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B6340" w14:textId="77777777" w:rsidR="00AB2F3A" w:rsidRPr="00FD50F6" w:rsidRDefault="00AB2F3A" w:rsidP="00AB2F3A">
      <w:pPr>
        <w:autoSpaceDE w:val="0"/>
        <w:autoSpaceDN w:val="0"/>
        <w:adjustRightInd w:val="0"/>
        <w:rPr>
          <w:b/>
          <w:bCs/>
          <w:kern w:val="0"/>
          <w:sz w:val="30"/>
          <w:szCs w:val="30"/>
        </w:rPr>
      </w:pPr>
      <w:r w:rsidRPr="00FD50F6">
        <w:rPr>
          <w:b/>
          <w:bCs/>
          <w:kern w:val="0"/>
          <w:sz w:val="30"/>
          <w:szCs w:val="30"/>
        </w:rPr>
        <w:t>UDC</w:t>
      </w:r>
    </w:p>
    <w:p w14:paraId="566B659E" w14:textId="47A9A105" w:rsidR="00AB2F3A" w:rsidRPr="00FD50F6" w:rsidRDefault="00AB2F3A" w:rsidP="00AB2F3A">
      <w:pPr>
        <w:wordWrap w:val="0"/>
        <w:autoSpaceDE w:val="0"/>
        <w:autoSpaceDN w:val="0"/>
        <w:adjustRightInd w:val="0"/>
        <w:jc w:val="right"/>
        <w:rPr>
          <w:rFonts w:eastAsia="黑体"/>
          <w:kern w:val="0"/>
          <w:sz w:val="36"/>
          <w:szCs w:val="36"/>
        </w:rPr>
      </w:pPr>
      <w:r w:rsidRPr="00FD50F6">
        <w:rPr>
          <w:rFonts w:eastAsia="黑体"/>
          <w:kern w:val="0"/>
          <w:sz w:val="36"/>
          <w:szCs w:val="36"/>
        </w:rPr>
        <w:t>中华人民共和国国家标准</w:t>
      </w:r>
      <w:r w:rsidRPr="00FD50F6">
        <w:rPr>
          <w:rFonts w:eastAsia="黑体" w:hint="eastAsia"/>
          <w:kern w:val="0"/>
          <w:sz w:val="36"/>
          <w:szCs w:val="36"/>
        </w:rPr>
        <w:t xml:space="preserve">    </w:t>
      </w:r>
      <w:r w:rsidRPr="00FD50F6">
        <w:rPr>
          <w:rFonts w:eastAsia="黑体"/>
          <w:noProof/>
          <w:kern w:val="0"/>
          <w:sz w:val="36"/>
          <w:szCs w:val="36"/>
        </w:rPr>
        <w:drawing>
          <wp:inline distT="0" distB="0" distL="0" distR="0" wp14:anchorId="3775AD70" wp14:editId="377CBE9F">
            <wp:extent cx="1045210" cy="5880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ext uri="{28A0092B-C50C-407E-A947-70E740481C1C}">
                          <a14:useLocalDpi xmlns:a14="http://schemas.microsoft.com/office/drawing/2010/main" val="0"/>
                        </a:ext>
                      </a:extLst>
                    </a:blip>
                    <a:srcRect r="1682"/>
                    <a:stretch>
                      <a:fillRect/>
                    </a:stretch>
                  </pic:blipFill>
                  <pic:spPr bwMode="auto">
                    <a:xfrm>
                      <a:off x="0" y="0"/>
                      <a:ext cx="1045210" cy="588010"/>
                    </a:xfrm>
                    <a:prstGeom prst="rect">
                      <a:avLst/>
                    </a:prstGeom>
                    <a:noFill/>
                    <a:ln>
                      <a:noFill/>
                    </a:ln>
                  </pic:spPr>
                </pic:pic>
              </a:graphicData>
            </a:graphic>
          </wp:inline>
        </w:drawing>
      </w:r>
    </w:p>
    <w:p w14:paraId="7126304B" w14:textId="77777777" w:rsidR="00AB2F3A" w:rsidRPr="00FD50F6" w:rsidRDefault="00AB2F3A" w:rsidP="00AB2F3A">
      <w:pPr>
        <w:autoSpaceDE w:val="0"/>
        <w:autoSpaceDN w:val="0"/>
        <w:adjustRightInd w:val="0"/>
        <w:rPr>
          <w:b/>
          <w:bCs/>
          <w:kern w:val="0"/>
          <w:sz w:val="28"/>
          <w:szCs w:val="28"/>
        </w:rPr>
      </w:pPr>
      <w:r w:rsidRPr="00FD50F6">
        <w:rPr>
          <w:b/>
          <w:bCs/>
          <w:kern w:val="0"/>
        </w:rPr>
        <w:t xml:space="preserve">P                                                  </w:t>
      </w:r>
      <w:r w:rsidRPr="00FD50F6">
        <w:rPr>
          <w:b/>
          <w:bCs/>
          <w:kern w:val="0"/>
          <w:sz w:val="28"/>
          <w:szCs w:val="28"/>
        </w:rPr>
        <w:t>GB</w:t>
      </w:r>
      <w:r w:rsidRPr="00FD50F6">
        <w:rPr>
          <w:rFonts w:hint="eastAsia"/>
          <w:b/>
          <w:bCs/>
          <w:kern w:val="0"/>
          <w:sz w:val="28"/>
          <w:szCs w:val="28"/>
        </w:rPr>
        <w:t>/T</w:t>
      </w:r>
      <w:r w:rsidRPr="00FD50F6">
        <w:rPr>
          <w:b/>
          <w:bCs/>
          <w:kern w:val="0"/>
          <w:sz w:val="28"/>
          <w:szCs w:val="28"/>
        </w:rPr>
        <w:t xml:space="preserve"> </w:t>
      </w:r>
      <w:r w:rsidRPr="00FD50F6">
        <w:rPr>
          <w:rFonts w:hint="eastAsia"/>
          <w:b/>
          <w:bCs/>
          <w:kern w:val="0"/>
          <w:sz w:val="28"/>
          <w:szCs w:val="28"/>
        </w:rPr>
        <w:t>5</w:t>
      </w:r>
      <w:r w:rsidRPr="00FD50F6">
        <w:rPr>
          <w:b/>
          <w:bCs/>
          <w:kern w:val="0"/>
          <w:sz w:val="28"/>
          <w:szCs w:val="28"/>
        </w:rPr>
        <w:t>0157 – 20</w:t>
      </w:r>
      <w:r w:rsidRPr="00FD50F6">
        <w:rPr>
          <w:rFonts w:eastAsia="黑体"/>
          <w:kern w:val="0"/>
        </w:rPr>
        <w:t>XX</w:t>
      </w:r>
    </w:p>
    <w:p w14:paraId="61179B8A" w14:textId="4ABB59BC" w:rsidR="00AB2F3A" w:rsidRPr="00FD50F6" w:rsidRDefault="000C34BB" w:rsidP="00AB2F3A">
      <w:pPr>
        <w:autoSpaceDE w:val="0"/>
        <w:autoSpaceDN w:val="0"/>
        <w:adjustRightInd w:val="0"/>
        <w:rPr>
          <w:b/>
          <w:bCs/>
          <w:kern w:val="0"/>
          <w:sz w:val="28"/>
          <w:szCs w:val="28"/>
        </w:rPr>
      </w:pPr>
      <w:r>
        <w:rPr>
          <w:noProof/>
        </w:rPr>
        <mc:AlternateContent>
          <mc:Choice Requires="wps">
            <w:drawing>
              <wp:anchor distT="0" distB="0" distL="114300" distR="114300" simplePos="0" relativeHeight="251667456" behindDoc="0" locked="0" layoutInCell="1" allowOverlap="1" wp14:anchorId="40EE32EE" wp14:editId="242F6ED3">
                <wp:simplePos x="0" y="0"/>
                <wp:positionH relativeFrom="column">
                  <wp:posOffset>-125730</wp:posOffset>
                </wp:positionH>
                <wp:positionV relativeFrom="paragraph">
                  <wp:posOffset>55245</wp:posOffset>
                </wp:positionV>
                <wp:extent cx="5666740" cy="0"/>
                <wp:effectExtent l="15875" t="9525" r="13335" b="9525"/>
                <wp:wrapNone/>
                <wp:docPr id="119" name="直线连接符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67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223ED" id="直线连接符 326"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35pt" to="436.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" strokeweight="1.5pt"/>
            </w:pict>
          </mc:Fallback>
        </mc:AlternateContent>
      </w:r>
    </w:p>
    <w:p w14:paraId="61B6E55B" w14:textId="77777777" w:rsidR="00AB2F3A" w:rsidRPr="00FD50F6" w:rsidRDefault="00AB2F3A" w:rsidP="00AB2F3A">
      <w:pPr>
        <w:autoSpaceDE w:val="0"/>
        <w:autoSpaceDN w:val="0"/>
        <w:adjustRightInd w:val="0"/>
        <w:rPr>
          <w:b/>
          <w:bCs/>
          <w:kern w:val="0"/>
          <w:sz w:val="28"/>
          <w:szCs w:val="28"/>
        </w:rPr>
      </w:pPr>
    </w:p>
    <w:p w14:paraId="4089C74C" w14:textId="7DD811A1" w:rsidR="00AB2F3A" w:rsidRPr="00FD50F6" w:rsidRDefault="00AB2F3A" w:rsidP="00AB2F3A">
      <w:pPr>
        <w:pStyle w:val="afffffff2"/>
        <w:spacing w:beforeLines="0" w:afterLines="0"/>
        <w:outlineLvl w:val="9"/>
        <w:rPr>
          <w:rFonts w:eastAsia="黑体"/>
          <w:w w:val="95"/>
          <w:sz w:val="48"/>
        </w:rPr>
      </w:pPr>
      <w:r w:rsidRPr="00FD50F6">
        <w:rPr>
          <w:rFonts w:eastAsia="黑体" w:hint="eastAsia"/>
          <w:w w:val="95"/>
          <w:sz w:val="48"/>
        </w:rPr>
        <w:t>地铁设计</w:t>
      </w:r>
      <w:r w:rsidR="00EA3C6F" w:rsidRPr="00FD50F6">
        <w:rPr>
          <w:rFonts w:eastAsia="黑体" w:hint="eastAsia"/>
          <w:w w:val="95"/>
          <w:sz w:val="48"/>
        </w:rPr>
        <w:t>标准</w:t>
      </w:r>
    </w:p>
    <w:p w14:paraId="00AF9664" w14:textId="77777777" w:rsidR="00AB2F3A" w:rsidRPr="00FD50F6" w:rsidRDefault="00AB2F3A" w:rsidP="00AB2F3A">
      <w:pPr>
        <w:autoSpaceDE w:val="0"/>
        <w:autoSpaceDN w:val="0"/>
        <w:adjustRightInd w:val="0"/>
        <w:jc w:val="center"/>
        <w:rPr>
          <w:b/>
          <w:kern w:val="0"/>
          <w:sz w:val="36"/>
          <w:szCs w:val="36"/>
        </w:rPr>
      </w:pPr>
      <w:r w:rsidRPr="00FD50F6">
        <w:rPr>
          <w:rFonts w:eastAsia="黑体" w:hint="eastAsia"/>
          <w:w w:val="95"/>
          <w:sz w:val="36"/>
          <w:szCs w:val="36"/>
        </w:rPr>
        <w:t>Code for design</w:t>
      </w:r>
      <w:r w:rsidRPr="00FD50F6">
        <w:rPr>
          <w:rFonts w:eastAsia="黑体"/>
          <w:w w:val="95"/>
          <w:sz w:val="36"/>
          <w:szCs w:val="36"/>
        </w:rPr>
        <w:t xml:space="preserve"> of metro</w:t>
      </w:r>
    </w:p>
    <w:p w14:paraId="6B291D64" w14:textId="4166D807" w:rsidR="00AB2F3A" w:rsidRPr="00FD50F6" w:rsidRDefault="00081808" w:rsidP="00AB2F3A">
      <w:pPr>
        <w:autoSpaceDE w:val="0"/>
        <w:autoSpaceDN w:val="0"/>
        <w:adjustRightInd w:val="0"/>
        <w:jc w:val="center"/>
        <w:rPr>
          <w:b/>
          <w:bCs/>
          <w:kern w:val="0"/>
          <w:sz w:val="32"/>
          <w:szCs w:val="32"/>
        </w:rPr>
      </w:pPr>
      <w:r w:rsidRPr="00FD50F6">
        <w:rPr>
          <w:b/>
          <w:bCs/>
          <w:kern w:val="0"/>
          <w:sz w:val="32"/>
          <w:szCs w:val="32"/>
        </w:rPr>
        <w:t>（征求意见稿）</w:t>
      </w:r>
    </w:p>
    <w:p w14:paraId="235985D5" w14:textId="77777777" w:rsidR="00AB2F3A" w:rsidRPr="00FD50F6" w:rsidRDefault="00AB2F3A" w:rsidP="00AB2F3A">
      <w:pPr>
        <w:autoSpaceDE w:val="0"/>
        <w:autoSpaceDN w:val="0"/>
        <w:adjustRightInd w:val="0"/>
        <w:jc w:val="center"/>
        <w:rPr>
          <w:b/>
          <w:kern w:val="0"/>
          <w:sz w:val="36"/>
          <w:szCs w:val="36"/>
        </w:rPr>
      </w:pPr>
    </w:p>
    <w:p w14:paraId="3C700F2D" w14:textId="77777777" w:rsidR="00AB2F3A" w:rsidRPr="00FD50F6" w:rsidRDefault="00AB2F3A" w:rsidP="00AB2F3A">
      <w:pPr>
        <w:autoSpaceDE w:val="0"/>
        <w:autoSpaceDN w:val="0"/>
        <w:adjustRightInd w:val="0"/>
        <w:rPr>
          <w:kern w:val="0"/>
          <w:sz w:val="28"/>
          <w:szCs w:val="28"/>
        </w:rPr>
      </w:pPr>
    </w:p>
    <w:p w14:paraId="3203002C" w14:textId="77777777" w:rsidR="00AB2F3A" w:rsidRPr="00FD50F6" w:rsidRDefault="00AB2F3A" w:rsidP="00AB2F3A">
      <w:pPr>
        <w:autoSpaceDE w:val="0"/>
        <w:autoSpaceDN w:val="0"/>
        <w:adjustRightInd w:val="0"/>
        <w:rPr>
          <w:kern w:val="0"/>
          <w:sz w:val="28"/>
          <w:szCs w:val="28"/>
        </w:rPr>
      </w:pPr>
    </w:p>
    <w:p w14:paraId="382A751F" w14:textId="77777777" w:rsidR="00AB2F3A" w:rsidRPr="00FD50F6" w:rsidRDefault="00AB2F3A" w:rsidP="00AB2F3A">
      <w:pPr>
        <w:autoSpaceDE w:val="0"/>
        <w:autoSpaceDN w:val="0"/>
        <w:adjustRightInd w:val="0"/>
        <w:rPr>
          <w:kern w:val="0"/>
          <w:sz w:val="28"/>
          <w:szCs w:val="28"/>
        </w:rPr>
      </w:pPr>
    </w:p>
    <w:p w14:paraId="4FDBF7A2" w14:textId="77777777" w:rsidR="00AB2F3A" w:rsidRPr="00FD50F6" w:rsidRDefault="00AB2F3A" w:rsidP="00AB2F3A">
      <w:pPr>
        <w:autoSpaceDE w:val="0"/>
        <w:autoSpaceDN w:val="0"/>
        <w:adjustRightInd w:val="0"/>
        <w:rPr>
          <w:kern w:val="0"/>
          <w:sz w:val="28"/>
          <w:szCs w:val="28"/>
        </w:rPr>
      </w:pPr>
    </w:p>
    <w:p w14:paraId="44B7E5BB" w14:textId="77777777" w:rsidR="00AB2F3A" w:rsidRPr="00FD50F6" w:rsidRDefault="00AB2F3A" w:rsidP="00AB2F3A">
      <w:pPr>
        <w:autoSpaceDE w:val="0"/>
        <w:autoSpaceDN w:val="0"/>
        <w:adjustRightInd w:val="0"/>
        <w:rPr>
          <w:kern w:val="0"/>
          <w:sz w:val="28"/>
          <w:szCs w:val="28"/>
        </w:rPr>
      </w:pPr>
    </w:p>
    <w:p w14:paraId="5DF515A4" w14:textId="77777777" w:rsidR="00AB2F3A" w:rsidRPr="00FD50F6" w:rsidRDefault="00AB2F3A" w:rsidP="00AB2F3A">
      <w:pPr>
        <w:autoSpaceDE w:val="0"/>
        <w:autoSpaceDN w:val="0"/>
        <w:adjustRightInd w:val="0"/>
        <w:rPr>
          <w:kern w:val="0"/>
          <w:sz w:val="28"/>
          <w:szCs w:val="28"/>
        </w:rPr>
      </w:pPr>
    </w:p>
    <w:p w14:paraId="1E4C2533" w14:textId="77777777" w:rsidR="00AB2F3A" w:rsidRPr="00FD50F6" w:rsidRDefault="00AB2F3A" w:rsidP="00AB2F3A">
      <w:pPr>
        <w:autoSpaceDE w:val="0"/>
        <w:autoSpaceDN w:val="0"/>
        <w:adjustRightInd w:val="0"/>
        <w:rPr>
          <w:kern w:val="0"/>
          <w:sz w:val="28"/>
          <w:szCs w:val="28"/>
        </w:rPr>
      </w:pPr>
    </w:p>
    <w:p w14:paraId="6A3BC93A" w14:textId="144CAD8A" w:rsidR="00AB2F3A" w:rsidRPr="00FD50F6" w:rsidRDefault="000C34BB" w:rsidP="00AB2F3A">
      <w:pPr>
        <w:autoSpaceDE w:val="0"/>
        <w:autoSpaceDN w:val="0"/>
        <w:adjustRightInd w:val="0"/>
        <w:spacing w:afterLines="100" w:after="312"/>
        <w:rPr>
          <w:rFonts w:ascii="黑体" w:eastAsia="黑体" w:hAnsi="黑体"/>
          <w:kern w:val="0"/>
          <w:sz w:val="30"/>
          <w:szCs w:val="30"/>
        </w:rPr>
      </w:pPr>
      <w:r>
        <w:rPr>
          <w:noProof/>
        </w:rPr>
        <mc:AlternateContent>
          <mc:Choice Requires="wps">
            <w:drawing>
              <wp:anchor distT="0" distB="0" distL="114300" distR="114300" simplePos="0" relativeHeight="251668480" behindDoc="0" locked="0" layoutInCell="1" allowOverlap="1" wp14:anchorId="3E6660D6" wp14:editId="25AA60B4">
                <wp:simplePos x="0" y="0"/>
                <wp:positionH relativeFrom="column">
                  <wp:posOffset>-114935</wp:posOffset>
                </wp:positionH>
                <wp:positionV relativeFrom="paragraph">
                  <wp:posOffset>369570</wp:posOffset>
                </wp:positionV>
                <wp:extent cx="5666740" cy="0"/>
                <wp:effectExtent l="17145" t="13335" r="12065" b="15240"/>
                <wp:wrapNone/>
                <wp:docPr id="118" name="直线连接符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67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E477" id="直线连接符 325"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29.1pt" to="437.1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" strokeweight="1.5pt"/>
            </w:pict>
          </mc:Fallback>
        </mc:AlternateContent>
      </w:r>
      <w:r w:rsidR="00AB2F3A" w:rsidRPr="00FD50F6">
        <w:rPr>
          <w:rFonts w:ascii="黑体" w:eastAsia="黑体" w:hAnsi="黑体"/>
          <w:kern w:val="0"/>
          <w:sz w:val="30"/>
          <w:szCs w:val="30"/>
        </w:rPr>
        <w:t>20XX– XX –XX 发布                   20XX – XX –</w:t>
      </w:r>
      <w:r w:rsidR="00AB2F3A" w:rsidRPr="00FD50F6">
        <w:rPr>
          <w:rFonts w:ascii="黑体" w:eastAsia="黑体" w:hAnsi="黑体" w:hint="eastAsia"/>
          <w:kern w:val="0"/>
          <w:sz w:val="30"/>
          <w:szCs w:val="30"/>
        </w:rPr>
        <w:t>01</w:t>
      </w:r>
      <w:r w:rsidR="00AB2F3A" w:rsidRPr="00FD50F6">
        <w:rPr>
          <w:rFonts w:ascii="黑体" w:eastAsia="黑体" w:hAnsi="黑体"/>
          <w:kern w:val="0"/>
          <w:sz w:val="30"/>
          <w:szCs w:val="30"/>
        </w:rPr>
        <w:t xml:space="preserve"> 实施</w:t>
      </w:r>
    </w:p>
    <w:tbl>
      <w:tblPr>
        <w:tblW w:w="8764" w:type="dxa"/>
        <w:tblLayout w:type="fixed"/>
        <w:tblLook w:val="0000" w:firstRow="0" w:lastRow="0" w:firstColumn="0" w:lastColumn="0" w:noHBand="0" w:noVBand="0"/>
      </w:tblPr>
      <w:tblGrid>
        <w:gridCol w:w="5958"/>
        <w:gridCol w:w="2806"/>
      </w:tblGrid>
      <w:tr w:rsidR="00FD50F6" w:rsidRPr="00FD50F6" w14:paraId="6018E13A" w14:textId="77777777" w:rsidTr="002B007C">
        <w:tc>
          <w:tcPr>
            <w:tcW w:w="5958" w:type="dxa"/>
          </w:tcPr>
          <w:p w14:paraId="2F082E75" w14:textId="7B336DB9" w:rsidR="002B007C" w:rsidRPr="00FD50F6" w:rsidRDefault="002B007C" w:rsidP="002B007C">
            <w:pPr>
              <w:adjustRightInd w:val="0"/>
              <w:snapToGrid w:val="0"/>
              <w:spacing w:line="240" w:lineRule="atLeast"/>
              <w:rPr>
                <w:rFonts w:ascii="黑体" w:eastAsia="黑体" w:hAnsi="黑体"/>
                <w:sz w:val="36"/>
                <w:szCs w:val="36"/>
              </w:rPr>
            </w:pPr>
            <w:r w:rsidRPr="00FD50F6">
              <w:rPr>
                <w:rFonts w:ascii="黑体" w:eastAsia="黑体" w:hAnsi="黑体"/>
                <w:sz w:val="36"/>
                <w:szCs w:val="36"/>
              </w:rPr>
              <w:t>中华人民共和国住房和城乡建设部</w:t>
            </w:r>
          </w:p>
          <w:p w14:paraId="67EB011D" w14:textId="77777777" w:rsidR="002B007C" w:rsidRPr="00FD50F6" w:rsidRDefault="002B007C" w:rsidP="002B007C">
            <w:pPr>
              <w:rPr>
                <w:rFonts w:ascii="黑体" w:eastAsia="黑体" w:hAnsi="黑体"/>
                <w:sz w:val="36"/>
                <w:szCs w:val="36"/>
              </w:rPr>
            </w:pPr>
            <w:r w:rsidRPr="00FD50F6">
              <w:rPr>
                <w:rFonts w:ascii="黑体" w:eastAsia="黑体" w:hAnsi="黑体"/>
                <w:sz w:val="36"/>
                <w:szCs w:val="36"/>
              </w:rPr>
              <w:t>国 家 市 场 监 督 管 理 总 局</w:t>
            </w:r>
          </w:p>
          <w:p w14:paraId="12A39CA6" w14:textId="029E2501" w:rsidR="00AB2F3A" w:rsidRPr="00FD50F6" w:rsidRDefault="00AB2F3A" w:rsidP="00AB2F3A">
            <w:pPr>
              <w:autoSpaceDE w:val="0"/>
              <w:autoSpaceDN w:val="0"/>
              <w:adjustRightInd w:val="0"/>
              <w:ind w:firstLineChars="25" w:firstLine="80"/>
              <w:jc w:val="center"/>
              <w:rPr>
                <w:spacing w:val="40"/>
                <w:kern w:val="0"/>
                <w:sz w:val="28"/>
                <w:szCs w:val="28"/>
              </w:rPr>
            </w:pPr>
          </w:p>
        </w:tc>
        <w:tc>
          <w:tcPr>
            <w:tcW w:w="2806" w:type="dxa"/>
            <w:vAlign w:val="center"/>
          </w:tcPr>
          <w:p w14:paraId="29BD5955" w14:textId="7F053FAC" w:rsidR="00AB2F3A" w:rsidRPr="00FD50F6" w:rsidRDefault="00CA6052" w:rsidP="00AB2F3A">
            <w:pPr>
              <w:autoSpaceDE w:val="0"/>
              <w:autoSpaceDN w:val="0"/>
              <w:adjustRightInd w:val="0"/>
              <w:jc w:val="center"/>
              <w:rPr>
                <w:kern w:val="0"/>
                <w:sz w:val="28"/>
                <w:szCs w:val="28"/>
              </w:rPr>
            </w:pPr>
            <w:r>
              <w:rPr>
                <w:noProof/>
              </w:rPr>
              <mc:AlternateContent>
                <mc:Choice Requires="wps">
                  <w:drawing>
                    <wp:anchor distT="0" distB="0" distL="114300" distR="114300" simplePos="0" relativeHeight="251670528" behindDoc="0" locked="0" layoutInCell="1" allowOverlap="1" wp14:anchorId="2620F592" wp14:editId="603C2D2C">
                      <wp:simplePos x="0" y="0"/>
                      <wp:positionH relativeFrom="column">
                        <wp:posOffset>332740</wp:posOffset>
                      </wp:positionH>
                      <wp:positionV relativeFrom="paragraph">
                        <wp:posOffset>-140335</wp:posOffset>
                      </wp:positionV>
                      <wp:extent cx="1200150" cy="487680"/>
                      <wp:effectExtent l="0" t="0" r="0" b="7620"/>
                      <wp:wrapNone/>
                      <wp:docPr id="117"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9670" w14:textId="77777777" w:rsidR="00BF2787" w:rsidRPr="001B5E1F" w:rsidRDefault="00BF2787" w:rsidP="002B007C">
                                  <w:pPr>
                                    <w:rPr>
                                      <w:rFonts w:ascii="黑体" w:eastAsia="黑体" w:hAnsi="黑体"/>
                                    </w:rPr>
                                  </w:pPr>
                                  <w:r w:rsidRPr="001B5E1F">
                                    <w:rPr>
                                      <w:rFonts w:ascii="黑体" w:eastAsia="黑体" w:hAnsi="黑体" w:hint="eastAsia"/>
                                      <w:sz w:val="32"/>
                                      <w:szCs w:val="32"/>
                                    </w:rPr>
                                    <w:t>联合发布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620F592" id="_x0000_t202" coordsize="21600,21600" o:spt="202" path="m,l,21600r21600,l21600,xe">
                      <v:stroke joinstyle="miter"/>
                      <v:path gradientshapeok="t" o:connecttype="rect"/>
                    </v:shapetype>
                    <v:shape id="文本框 324" o:spid="_x0000_s1026" type="#_x0000_t202" style="position:absolute;left:0;text-align:left;margin-left:26.2pt;margin-top:-11.05pt;width:94.5pt;height: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" filled="f" stroked="f">
                      <v:textbox style="mso-fit-shape-to-text:t">
                        <w:txbxContent>
                          <w:p w14:paraId="7EAA9670" w14:textId="77777777" w:rsidR="00BF2787" w:rsidRPr="001B5E1F" w:rsidRDefault="00BF2787" w:rsidP="002B007C">
                            <w:pPr>
                              <w:rPr>
                                <w:rFonts w:ascii="黑体" w:eastAsia="黑体" w:hAnsi="黑体"/>
                              </w:rPr>
                            </w:pPr>
                            <w:r w:rsidRPr="001B5E1F">
                              <w:rPr>
                                <w:rFonts w:ascii="黑体" w:eastAsia="黑体" w:hAnsi="黑体" w:hint="eastAsia"/>
                                <w:sz w:val="32"/>
                                <w:szCs w:val="32"/>
                              </w:rPr>
                              <w:t>联合发布</w:t>
                            </w:r>
                          </w:p>
                        </w:txbxContent>
                      </v:textbox>
                    </v:shape>
                  </w:pict>
                </mc:Fallback>
              </mc:AlternateContent>
            </w:r>
          </w:p>
        </w:tc>
      </w:tr>
    </w:tbl>
    <w:p w14:paraId="78ACB772" w14:textId="77777777" w:rsidR="00AB2F3A" w:rsidRPr="00FD50F6" w:rsidRDefault="00AB2F3A" w:rsidP="00AB2F3A">
      <w:pPr>
        <w:autoSpaceDE w:val="0"/>
        <w:autoSpaceDN w:val="0"/>
        <w:adjustRightInd w:val="0"/>
        <w:rPr>
          <w:kern w:val="0"/>
          <w:sz w:val="30"/>
          <w:szCs w:val="30"/>
        </w:rPr>
        <w:sectPr w:rsidR="00AB2F3A" w:rsidRPr="00FD50F6">
          <w:footerReference w:type="even" r:id="rId11"/>
          <w:footerReference w:type="default" r:id="rId12"/>
          <w:pgSz w:w="11906" w:h="16838"/>
          <w:pgMar w:top="1361" w:right="1588" w:bottom="1361" w:left="1588" w:header="851" w:footer="992" w:gutter="0"/>
          <w:cols w:space="720"/>
          <w:docGrid w:type="lines" w:linePitch="312"/>
        </w:sectPr>
      </w:pPr>
    </w:p>
    <w:p w14:paraId="15067798" w14:textId="77777777" w:rsidR="00AB2F3A" w:rsidRPr="00FD50F6" w:rsidRDefault="00AB2F3A" w:rsidP="00AB2F3A">
      <w:pPr>
        <w:widowControl/>
        <w:rPr>
          <w:rFonts w:eastAsia="黑体"/>
          <w:kern w:val="0"/>
          <w:sz w:val="32"/>
          <w:szCs w:val="32"/>
        </w:rPr>
      </w:pPr>
    </w:p>
    <w:p w14:paraId="3426BA57" w14:textId="77777777" w:rsidR="00AB2F3A" w:rsidRPr="00FD50F6" w:rsidRDefault="00AB2F3A" w:rsidP="00AB2F3A">
      <w:pPr>
        <w:pStyle w:val="afc"/>
        <w:spacing w:after="100"/>
        <w:rPr>
          <w:b/>
          <w:sz w:val="28"/>
          <w:szCs w:val="28"/>
        </w:rPr>
      </w:pPr>
    </w:p>
    <w:p w14:paraId="4CC77751" w14:textId="77777777" w:rsidR="00AB2F3A" w:rsidRPr="00FD50F6" w:rsidRDefault="00AB2F3A" w:rsidP="00AB2F3A">
      <w:pPr>
        <w:autoSpaceDE w:val="0"/>
        <w:autoSpaceDN w:val="0"/>
        <w:adjustRightInd w:val="0"/>
        <w:jc w:val="center"/>
        <w:rPr>
          <w:rFonts w:ascii="黑体" w:eastAsia="黑体" w:cs="黑体"/>
          <w:kern w:val="0"/>
          <w:sz w:val="32"/>
          <w:szCs w:val="32"/>
        </w:rPr>
      </w:pPr>
      <w:r w:rsidRPr="00FD50F6">
        <w:rPr>
          <w:rFonts w:ascii="黑体" w:eastAsia="黑体" w:cs="黑体" w:hint="eastAsia"/>
          <w:kern w:val="0"/>
          <w:sz w:val="32"/>
          <w:szCs w:val="32"/>
        </w:rPr>
        <w:t>中华人民共和国国家标准</w:t>
      </w:r>
    </w:p>
    <w:p w14:paraId="1B3944DB" w14:textId="7D512890" w:rsidR="00AB2F3A" w:rsidRPr="00FD50F6" w:rsidRDefault="00AB2F3A" w:rsidP="00AB2F3A">
      <w:pPr>
        <w:pStyle w:val="afffffff2"/>
        <w:spacing w:beforeLines="0" w:afterLines="0"/>
        <w:outlineLvl w:val="9"/>
        <w:rPr>
          <w:rFonts w:eastAsia="黑体"/>
          <w:w w:val="95"/>
          <w:sz w:val="48"/>
        </w:rPr>
      </w:pPr>
      <w:r w:rsidRPr="00FD50F6">
        <w:rPr>
          <w:rFonts w:eastAsia="黑体" w:hint="eastAsia"/>
          <w:w w:val="95"/>
          <w:sz w:val="48"/>
        </w:rPr>
        <w:t>地铁设计</w:t>
      </w:r>
      <w:r w:rsidR="00EA3C6F" w:rsidRPr="00FD50F6">
        <w:rPr>
          <w:rFonts w:eastAsia="黑体" w:hint="eastAsia"/>
          <w:w w:val="95"/>
          <w:sz w:val="48"/>
        </w:rPr>
        <w:t>标准</w:t>
      </w:r>
    </w:p>
    <w:p w14:paraId="7F1344A5" w14:textId="77777777" w:rsidR="00AB2F3A" w:rsidRPr="00FD50F6" w:rsidRDefault="00AB2F3A" w:rsidP="00AB2F3A">
      <w:pPr>
        <w:jc w:val="center"/>
        <w:outlineLvl w:val="0"/>
        <w:rPr>
          <w:sz w:val="28"/>
        </w:rPr>
      </w:pPr>
      <w:r w:rsidRPr="00FD50F6">
        <w:rPr>
          <w:rFonts w:eastAsia="黑体" w:hint="eastAsia"/>
          <w:w w:val="95"/>
          <w:sz w:val="36"/>
          <w:szCs w:val="36"/>
        </w:rPr>
        <w:t>Code for design</w:t>
      </w:r>
      <w:r w:rsidRPr="00FD50F6">
        <w:rPr>
          <w:rFonts w:eastAsia="黑体"/>
          <w:w w:val="95"/>
          <w:sz w:val="36"/>
          <w:szCs w:val="36"/>
        </w:rPr>
        <w:t xml:space="preserve"> of metro</w:t>
      </w:r>
    </w:p>
    <w:p w14:paraId="213D6BE6" w14:textId="77777777" w:rsidR="00AB2F3A" w:rsidRPr="00FD50F6" w:rsidRDefault="00AB2F3A" w:rsidP="00AB2F3A">
      <w:pPr>
        <w:jc w:val="center"/>
        <w:rPr>
          <w:rFonts w:eastAsia="黑体"/>
          <w:b/>
          <w:kern w:val="0"/>
          <w:sz w:val="28"/>
          <w:szCs w:val="28"/>
        </w:rPr>
      </w:pPr>
    </w:p>
    <w:p w14:paraId="4C611711" w14:textId="77777777" w:rsidR="00AB2F3A" w:rsidRPr="00FD50F6" w:rsidRDefault="00AB2F3A" w:rsidP="00AB2F3A">
      <w:pPr>
        <w:jc w:val="center"/>
        <w:rPr>
          <w:rFonts w:eastAsia="黑体"/>
          <w:b/>
          <w:kern w:val="0"/>
          <w:sz w:val="28"/>
          <w:szCs w:val="28"/>
        </w:rPr>
      </w:pPr>
      <w:r w:rsidRPr="00FD50F6">
        <w:rPr>
          <w:rFonts w:eastAsia="黑体"/>
          <w:b/>
          <w:kern w:val="0"/>
          <w:sz w:val="28"/>
          <w:szCs w:val="28"/>
        </w:rPr>
        <w:t>GB</w:t>
      </w:r>
      <w:r w:rsidRPr="00FD50F6">
        <w:rPr>
          <w:rFonts w:eastAsia="黑体" w:hint="eastAsia"/>
          <w:b/>
          <w:kern w:val="0"/>
          <w:sz w:val="28"/>
          <w:szCs w:val="28"/>
        </w:rPr>
        <w:t>/T 5</w:t>
      </w:r>
      <w:r w:rsidRPr="00FD50F6">
        <w:rPr>
          <w:rFonts w:eastAsia="黑体"/>
          <w:b/>
          <w:kern w:val="0"/>
          <w:sz w:val="28"/>
          <w:szCs w:val="28"/>
        </w:rPr>
        <w:t>0157</w:t>
      </w:r>
      <w:r w:rsidRPr="00FD50F6">
        <w:rPr>
          <w:rFonts w:eastAsia="黑体" w:hint="eastAsia"/>
          <w:b/>
          <w:kern w:val="0"/>
          <w:sz w:val="28"/>
          <w:szCs w:val="28"/>
        </w:rPr>
        <w:t xml:space="preserve"> -20</w:t>
      </w:r>
      <w:r w:rsidRPr="00FD50F6">
        <w:rPr>
          <w:rFonts w:eastAsia="黑体"/>
          <w:kern w:val="0"/>
        </w:rPr>
        <w:t>XX</w:t>
      </w:r>
    </w:p>
    <w:p w14:paraId="43BED013" w14:textId="77777777" w:rsidR="00AB2F3A" w:rsidRPr="00FD50F6" w:rsidRDefault="00AB2F3A" w:rsidP="00AB2F3A">
      <w:pPr>
        <w:jc w:val="center"/>
        <w:rPr>
          <w:sz w:val="28"/>
          <w:szCs w:val="28"/>
        </w:rPr>
      </w:pPr>
    </w:p>
    <w:p w14:paraId="0A414E22" w14:textId="77777777" w:rsidR="00AB2F3A" w:rsidRPr="00FD50F6" w:rsidRDefault="00AB2F3A" w:rsidP="00AB2F3A">
      <w:pPr>
        <w:jc w:val="center"/>
        <w:rPr>
          <w:rFonts w:eastAsia="黑体"/>
          <w:kern w:val="0"/>
          <w:sz w:val="28"/>
          <w:szCs w:val="28"/>
        </w:rPr>
      </w:pPr>
    </w:p>
    <w:p w14:paraId="065F310B" w14:textId="77777777" w:rsidR="00AB2F3A" w:rsidRPr="00FD50F6" w:rsidRDefault="00AB2F3A" w:rsidP="00AB2F3A">
      <w:pPr>
        <w:autoSpaceDE w:val="0"/>
        <w:autoSpaceDN w:val="0"/>
        <w:adjustRightInd w:val="0"/>
        <w:ind w:firstLineChars="405" w:firstLine="1134"/>
        <w:jc w:val="left"/>
        <w:rPr>
          <w:rFonts w:ascii="黑体" w:eastAsia="黑体" w:cs="黑体"/>
          <w:kern w:val="0"/>
          <w:sz w:val="28"/>
          <w:szCs w:val="28"/>
        </w:rPr>
      </w:pPr>
      <w:r w:rsidRPr="00FD50F6">
        <w:rPr>
          <w:rFonts w:ascii="黑体" w:eastAsia="黑体" w:cs="黑体" w:hint="eastAsia"/>
          <w:kern w:val="0"/>
          <w:sz w:val="28"/>
          <w:szCs w:val="28"/>
        </w:rPr>
        <w:t>主编部门：</w:t>
      </w:r>
      <w:r w:rsidRPr="00FD50F6">
        <w:rPr>
          <w:rFonts w:ascii="黑体" w:eastAsia="黑体" w:hAnsi="黑体" w:cs="黑体" w:hint="eastAsia"/>
          <w:kern w:val="0"/>
          <w:sz w:val="28"/>
          <w:szCs w:val="28"/>
        </w:rPr>
        <w:t>中华人民共和国</w:t>
      </w:r>
      <w:r w:rsidRPr="00FD50F6">
        <w:rPr>
          <w:rFonts w:ascii="黑体" w:eastAsia="黑体" w:hAnsi="黑体" w:hint="eastAsia"/>
          <w:sz w:val="28"/>
          <w:szCs w:val="28"/>
        </w:rPr>
        <w:t>住房和城乡建设部</w:t>
      </w:r>
    </w:p>
    <w:p w14:paraId="0CE91970" w14:textId="77777777" w:rsidR="00AB2F3A" w:rsidRPr="00FD50F6" w:rsidRDefault="00AB2F3A" w:rsidP="00AB2F3A">
      <w:pPr>
        <w:autoSpaceDE w:val="0"/>
        <w:autoSpaceDN w:val="0"/>
        <w:adjustRightInd w:val="0"/>
        <w:ind w:firstLineChars="405" w:firstLine="1134"/>
        <w:jc w:val="left"/>
        <w:rPr>
          <w:rFonts w:ascii="黑体" w:eastAsia="黑体" w:cs="黑体"/>
          <w:kern w:val="0"/>
          <w:sz w:val="28"/>
          <w:szCs w:val="28"/>
        </w:rPr>
      </w:pPr>
      <w:r w:rsidRPr="00FD50F6">
        <w:rPr>
          <w:rFonts w:ascii="黑体" w:eastAsia="黑体" w:cs="黑体" w:hint="eastAsia"/>
          <w:kern w:val="0"/>
          <w:sz w:val="28"/>
          <w:szCs w:val="28"/>
        </w:rPr>
        <w:t>批准部门：</w:t>
      </w:r>
      <w:r w:rsidRPr="00FD50F6">
        <w:rPr>
          <w:rFonts w:ascii="黑体" w:eastAsia="黑体" w:hAnsi="黑体" w:cs="黑体" w:hint="eastAsia"/>
          <w:kern w:val="0"/>
          <w:sz w:val="28"/>
          <w:szCs w:val="28"/>
        </w:rPr>
        <w:t>中华人民共和国</w:t>
      </w:r>
      <w:r w:rsidRPr="00FD50F6">
        <w:rPr>
          <w:rFonts w:ascii="黑体" w:eastAsia="黑体" w:hAnsi="黑体" w:hint="eastAsia"/>
          <w:sz w:val="28"/>
          <w:szCs w:val="28"/>
        </w:rPr>
        <w:t>住房和城乡建设部</w:t>
      </w:r>
    </w:p>
    <w:p w14:paraId="65819821" w14:textId="77777777" w:rsidR="00AB2F3A" w:rsidRPr="00FD50F6" w:rsidRDefault="00AB2F3A" w:rsidP="00AB2F3A">
      <w:pPr>
        <w:autoSpaceDE w:val="0"/>
        <w:autoSpaceDN w:val="0"/>
        <w:adjustRightInd w:val="0"/>
        <w:ind w:firstLineChars="400" w:firstLine="1120"/>
        <w:jc w:val="left"/>
        <w:rPr>
          <w:rFonts w:ascii="黑体" w:eastAsia="黑体" w:cs="黑体"/>
          <w:kern w:val="0"/>
          <w:sz w:val="28"/>
          <w:szCs w:val="28"/>
        </w:rPr>
      </w:pPr>
      <w:r w:rsidRPr="00FD50F6">
        <w:rPr>
          <w:rFonts w:ascii="黑体" w:eastAsia="黑体" w:cs="黑体" w:hint="eastAsia"/>
          <w:kern w:val="0"/>
          <w:sz w:val="28"/>
          <w:szCs w:val="28"/>
        </w:rPr>
        <w:t>施行日期：</w:t>
      </w:r>
      <w:r w:rsidRPr="00FD50F6">
        <w:rPr>
          <w:rFonts w:eastAsia="黑体"/>
          <w:spacing w:val="113"/>
          <w:sz w:val="28"/>
          <w:szCs w:val="28"/>
        </w:rPr>
        <w:t>20</w:t>
      </w:r>
      <w:r w:rsidRPr="00FD50F6">
        <w:rPr>
          <w:rFonts w:eastAsia="黑体" w:hint="eastAsia"/>
          <w:spacing w:val="113"/>
          <w:sz w:val="28"/>
          <w:szCs w:val="28"/>
        </w:rPr>
        <w:t>XX</w:t>
      </w:r>
      <w:r w:rsidRPr="00FD50F6">
        <w:rPr>
          <w:rFonts w:eastAsia="黑体"/>
          <w:spacing w:val="113"/>
          <w:sz w:val="28"/>
          <w:szCs w:val="28"/>
          <w:lang w:val="zh-CN"/>
        </w:rPr>
        <w:t>年</w:t>
      </w:r>
      <w:r w:rsidRPr="00FD50F6">
        <w:rPr>
          <w:rFonts w:eastAsia="黑体" w:hint="eastAsia"/>
          <w:spacing w:val="113"/>
          <w:sz w:val="28"/>
          <w:szCs w:val="28"/>
        </w:rPr>
        <w:t>XX</w:t>
      </w:r>
      <w:r w:rsidRPr="00FD50F6">
        <w:rPr>
          <w:rFonts w:eastAsia="黑体"/>
          <w:spacing w:val="113"/>
          <w:sz w:val="28"/>
          <w:szCs w:val="28"/>
          <w:lang w:val="zh-CN"/>
        </w:rPr>
        <w:t>月</w:t>
      </w:r>
      <w:r w:rsidRPr="00FD50F6">
        <w:rPr>
          <w:rFonts w:eastAsia="黑体" w:hint="eastAsia"/>
          <w:spacing w:val="113"/>
          <w:sz w:val="28"/>
          <w:szCs w:val="28"/>
        </w:rPr>
        <w:t>1</w:t>
      </w:r>
      <w:r w:rsidRPr="00FD50F6">
        <w:rPr>
          <w:rFonts w:eastAsia="黑体"/>
          <w:spacing w:val="113"/>
          <w:sz w:val="28"/>
          <w:szCs w:val="28"/>
          <w:lang w:val="zh-CN"/>
        </w:rPr>
        <w:t>日</w:t>
      </w:r>
    </w:p>
    <w:p w14:paraId="37B61DE7" w14:textId="77777777" w:rsidR="00AB2F3A" w:rsidRPr="00FD50F6" w:rsidRDefault="00AB2F3A" w:rsidP="00AB2F3A">
      <w:pPr>
        <w:jc w:val="center"/>
        <w:rPr>
          <w:sz w:val="28"/>
        </w:rPr>
      </w:pPr>
    </w:p>
    <w:p w14:paraId="74C823B5" w14:textId="77777777" w:rsidR="00AB2F3A" w:rsidRPr="00FD50F6" w:rsidRDefault="00AB2F3A" w:rsidP="00CA6052">
      <w:pPr>
        <w:jc w:val="center"/>
        <w:rPr>
          <w:sz w:val="28"/>
        </w:rPr>
      </w:pPr>
    </w:p>
    <w:p w14:paraId="3D0EDDB3" w14:textId="77777777" w:rsidR="00AB2F3A" w:rsidRPr="00FD50F6" w:rsidRDefault="00AB2F3A" w:rsidP="00AB2F3A">
      <w:pPr>
        <w:jc w:val="center"/>
        <w:rPr>
          <w:sz w:val="28"/>
        </w:rPr>
      </w:pPr>
    </w:p>
    <w:p w14:paraId="7E5BFB1C" w14:textId="77777777" w:rsidR="00AB2F3A" w:rsidRPr="00FD50F6" w:rsidRDefault="00AB2F3A" w:rsidP="00AB2F3A">
      <w:pPr>
        <w:autoSpaceDE w:val="0"/>
        <w:autoSpaceDN w:val="0"/>
        <w:adjustRightInd w:val="0"/>
        <w:jc w:val="center"/>
        <w:rPr>
          <w:b/>
          <w:bCs/>
          <w:sz w:val="28"/>
          <w:szCs w:val="28"/>
          <w:lang w:val="zh-CN"/>
        </w:rPr>
      </w:pPr>
      <w:r w:rsidRPr="00FD50F6">
        <w:rPr>
          <w:rFonts w:hint="eastAsia"/>
          <w:b/>
          <w:bCs/>
          <w:sz w:val="28"/>
          <w:szCs w:val="28"/>
          <w:lang w:val="zh-CN"/>
        </w:rPr>
        <w:t>中国建筑工业</w:t>
      </w:r>
      <w:r w:rsidRPr="00FD50F6">
        <w:rPr>
          <w:rFonts w:hint="eastAsia"/>
          <w:b/>
          <w:bCs/>
          <w:sz w:val="28"/>
          <w:szCs w:val="28"/>
          <w:lang w:val="zh-CN"/>
        </w:rPr>
        <w:t>(</w:t>
      </w:r>
      <w:r w:rsidRPr="00FD50F6">
        <w:rPr>
          <w:rFonts w:hint="eastAsia"/>
          <w:b/>
          <w:bCs/>
          <w:sz w:val="28"/>
          <w:szCs w:val="28"/>
          <w:lang w:val="zh-CN"/>
        </w:rPr>
        <w:t>计划</w:t>
      </w:r>
      <w:r w:rsidRPr="00FD50F6">
        <w:rPr>
          <w:rFonts w:hint="eastAsia"/>
          <w:b/>
          <w:bCs/>
          <w:sz w:val="28"/>
          <w:szCs w:val="28"/>
          <w:lang w:val="zh-CN"/>
        </w:rPr>
        <w:t>)</w:t>
      </w:r>
      <w:r w:rsidRPr="00FD50F6">
        <w:rPr>
          <w:rFonts w:hint="eastAsia"/>
          <w:b/>
          <w:bCs/>
          <w:sz w:val="28"/>
          <w:szCs w:val="28"/>
          <w:lang w:val="zh-CN"/>
        </w:rPr>
        <w:t>出版社</w:t>
      </w:r>
    </w:p>
    <w:p w14:paraId="19D2EFCC" w14:textId="77777777" w:rsidR="00AB2F3A" w:rsidRPr="00FD50F6" w:rsidRDefault="00AB2F3A" w:rsidP="00AB2F3A">
      <w:pPr>
        <w:autoSpaceDE w:val="0"/>
        <w:autoSpaceDN w:val="0"/>
        <w:adjustRightInd w:val="0"/>
        <w:jc w:val="center"/>
        <w:rPr>
          <w:rFonts w:eastAsia="黑体"/>
          <w:bCs/>
          <w:sz w:val="28"/>
          <w:szCs w:val="28"/>
          <w:lang w:val="zh-CN"/>
        </w:rPr>
        <w:sectPr w:rsidR="00AB2F3A" w:rsidRPr="00FD50F6" w:rsidSect="00AB2F3A">
          <w:footerReference w:type="default" r:id="rId13"/>
          <w:pgSz w:w="11906" w:h="16838"/>
          <w:pgMar w:top="1440" w:right="1797" w:bottom="1440" w:left="1797" w:header="851" w:footer="851" w:gutter="0"/>
          <w:pgNumType w:start="1"/>
          <w:cols w:space="720"/>
          <w:titlePg/>
          <w:docGrid w:linePitch="492" w:charSpace="703"/>
        </w:sectPr>
      </w:pPr>
      <w:r w:rsidRPr="00FD50F6">
        <w:rPr>
          <w:bCs/>
          <w:sz w:val="28"/>
          <w:szCs w:val="28"/>
          <w:lang w:val="zh-CN"/>
        </w:rPr>
        <w:t>20</w:t>
      </w:r>
      <w:r w:rsidRPr="00FD50F6">
        <w:rPr>
          <w:rFonts w:eastAsia="黑体" w:hint="eastAsia"/>
          <w:spacing w:val="113"/>
        </w:rPr>
        <w:t>XX</w:t>
      </w:r>
      <w:r w:rsidRPr="00FD50F6">
        <w:rPr>
          <w:rFonts w:eastAsia="黑体"/>
          <w:bCs/>
          <w:sz w:val="28"/>
          <w:szCs w:val="28"/>
          <w:lang w:val="zh-CN"/>
        </w:rPr>
        <w:t xml:space="preserve">  </w:t>
      </w:r>
      <w:r w:rsidRPr="00FD50F6">
        <w:rPr>
          <w:rFonts w:eastAsia="黑体" w:hint="eastAsia"/>
          <w:bCs/>
          <w:sz w:val="28"/>
          <w:szCs w:val="28"/>
          <w:lang w:val="zh-CN"/>
        </w:rPr>
        <w:t>北</w:t>
      </w:r>
      <w:r w:rsidRPr="00FD50F6">
        <w:rPr>
          <w:rFonts w:eastAsia="黑体" w:hint="eastAsia"/>
          <w:bCs/>
          <w:sz w:val="28"/>
          <w:szCs w:val="28"/>
          <w:lang w:val="zh-CN"/>
        </w:rPr>
        <w:t xml:space="preserve"> </w:t>
      </w:r>
      <w:r w:rsidRPr="00FD50F6">
        <w:rPr>
          <w:rFonts w:eastAsia="黑体" w:hint="eastAsia"/>
          <w:bCs/>
          <w:sz w:val="28"/>
          <w:szCs w:val="28"/>
          <w:lang w:val="zh-CN"/>
        </w:rPr>
        <w:t>京</w:t>
      </w:r>
    </w:p>
    <w:p w14:paraId="0CDE34DE" w14:textId="779E0E9E" w:rsidR="00867258" w:rsidRPr="00FD50F6" w:rsidRDefault="00B84F8E" w:rsidP="006D776B">
      <w:pPr>
        <w:jc w:val="center"/>
        <w:rPr>
          <w:b/>
          <w:bCs/>
          <w:sz w:val="32"/>
          <w:szCs w:val="32"/>
        </w:rPr>
      </w:pPr>
      <w:bookmarkStart w:id="0" w:name="_Toc320640157"/>
      <w:bookmarkStart w:id="1" w:name="_Toc320115605"/>
      <w:bookmarkStart w:id="2" w:name="_Toc320639513"/>
      <w:bookmarkStart w:id="3" w:name="_Toc320639654"/>
      <w:bookmarkStart w:id="4" w:name="_Toc320104001"/>
      <w:bookmarkEnd w:id="0"/>
      <w:bookmarkEnd w:id="1"/>
      <w:bookmarkEnd w:id="2"/>
      <w:bookmarkEnd w:id="3"/>
      <w:bookmarkEnd w:id="4"/>
      <w:r w:rsidRPr="00FD50F6">
        <w:rPr>
          <w:rFonts w:hint="eastAsia"/>
          <w:b/>
          <w:bCs/>
          <w:sz w:val="32"/>
          <w:szCs w:val="32"/>
        </w:rPr>
        <w:lastRenderedPageBreak/>
        <w:t>目</w:t>
      </w:r>
      <w:r w:rsidR="006D776B" w:rsidRPr="00FD50F6">
        <w:rPr>
          <w:rFonts w:hint="eastAsia"/>
          <w:b/>
          <w:bCs/>
          <w:sz w:val="32"/>
          <w:szCs w:val="32"/>
        </w:rPr>
        <w:t xml:space="preserve"> </w:t>
      </w:r>
      <w:r w:rsidR="006D776B" w:rsidRPr="00FD50F6">
        <w:rPr>
          <w:b/>
          <w:bCs/>
          <w:sz w:val="32"/>
          <w:szCs w:val="32"/>
        </w:rPr>
        <w:t xml:space="preserve"> </w:t>
      </w:r>
      <w:r w:rsidR="006D776B" w:rsidRPr="00FD50F6">
        <w:rPr>
          <w:rFonts w:hint="eastAsia"/>
          <w:b/>
          <w:bCs/>
          <w:sz w:val="32"/>
          <w:szCs w:val="32"/>
        </w:rPr>
        <w:t>次</w:t>
      </w:r>
    </w:p>
    <w:p w14:paraId="56DB95C3" w14:textId="7FD368BE" w:rsidR="00D07F0F" w:rsidRPr="00FD50F6" w:rsidRDefault="006D776B">
      <w:pPr>
        <w:pStyle w:val="TOC1"/>
        <w:tabs>
          <w:tab w:val="right" w:leader="dot" w:pos="8302"/>
        </w:tabs>
        <w:rPr>
          <w:rFonts w:eastAsiaTheme="minorEastAsia"/>
          <w:b w:val="0"/>
          <w:bCs w:val="0"/>
          <w:caps w:val="0"/>
          <w:noProof/>
          <w:sz w:val="21"/>
          <w:szCs w:val="24"/>
        </w:rPr>
      </w:pPr>
      <w:r w:rsidRPr="00FD50F6">
        <w:rPr>
          <w:rStyle w:val="afff1"/>
          <w:noProof/>
          <w:color w:val="auto"/>
        </w:rPr>
        <w:fldChar w:fldCharType="begin"/>
      </w:r>
      <w:r w:rsidRPr="00FD50F6">
        <w:rPr>
          <w:rStyle w:val="afff1"/>
          <w:noProof/>
          <w:color w:val="auto"/>
        </w:rPr>
        <w:instrText xml:space="preserve"> </w:instrText>
      </w:r>
      <w:r w:rsidRPr="00FD50F6">
        <w:rPr>
          <w:rStyle w:val="afff1"/>
          <w:rFonts w:hint="eastAsia"/>
          <w:noProof/>
          <w:color w:val="auto"/>
        </w:rPr>
        <w:instrText>TOC \h \z \t "</w:instrText>
      </w:r>
      <w:r w:rsidRPr="00FD50F6">
        <w:rPr>
          <w:rStyle w:val="afff1"/>
          <w:rFonts w:hint="eastAsia"/>
          <w:noProof/>
          <w:color w:val="auto"/>
        </w:rPr>
        <w:instrText>标题</w:instrText>
      </w:r>
      <w:r w:rsidRPr="00FD50F6">
        <w:rPr>
          <w:rStyle w:val="afff1"/>
          <w:rFonts w:hint="eastAsia"/>
          <w:noProof/>
          <w:color w:val="auto"/>
        </w:rPr>
        <w:instrText xml:space="preserve"> 1,1,</w:instrText>
      </w:r>
      <w:r w:rsidRPr="00FD50F6">
        <w:rPr>
          <w:rStyle w:val="afff1"/>
          <w:rFonts w:hint="eastAsia"/>
          <w:noProof/>
          <w:color w:val="auto"/>
        </w:rPr>
        <w:instrText>标题</w:instrText>
      </w:r>
      <w:r w:rsidRPr="00FD50F6">
        <w:rPr>
          <w:rStyle w:val="afff1"/>
          <w:rFonts w:hint="eastAsia"/>
          <w:noProof/>
          <w:color w:val="auto"/>
        </w:rPr>
        <w:instrText xml:space="preserve"> 2,2"</w:instrText>
      </w:r>
      <w:r w:rsidRPr="00FD50F6">
        <w:rPr>
          <w:rStyle w:val="afff1"/>
          <w:noProof/>
          <w:color w:val="auto"/>
        </w:rPr>
        <w:instrText xml:space="preserve"> </w:instrText>
      </w:r>
      <w:r w:rsidRPr="00FD50F6">
        <w:rPr>
          <w:rStyle w:val="afff1"/>
          <w:noProof/>
          <w:color w:val="auto"/>
        </w:rPr>
        <w:fldChar w:fldCharType="separate"/>
      </w:r>
      <w:hyperlink w:anchor="_Toc112830638" w:history="1">
        <w:r w:rsidR="00D07F0F" w:rsidRPr="00FD50F6">
          <w:rPr>
            <w:rStyle w:val="afff1"/>
            <w:noProof/>
            <w:color w:val="auto"/>
          </w:rPr>
          <w:t xml:space="preserve">1 </w:t>
        </w:r>
        <w:r w:rsidR="00D07F0F" w:rsidRPr="00FD50F6">
          <w:rPr>
            <w:rStyle w:val="afff1"/>
            <w:noProof/>
            <w:color w:val="auto"/>
          </w:rPr>
          <w:t>总</w:t>
        </w:r>
        <w:r w:rsidR="00D07F0F" w:rsidRPr="00FD50F6">
          <w:rPr>
            <w:rStyle w:val="afff1"/>
            <w:noProof/>
            <w:color w:val="auto"/>
          </w:rPr>
          <w:t xml:space="preserve">  </w:t>
        </w:r>
        <w:r w:rsidR="00D07F0F" w:rsidRPr="00FD50F6">
          <w:rPr>
            <w:rStyle w:val="afff1"/>
            <w:noProof/>
            <w:color w:val="auto"/>
          </w:rPr>
          <w:t>则</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_Toc112830638 \h </w:instrText>
        </w:r>
        <w:r w:rsidR="00D07F0F" w:rsidRPr="00FD50F6">
          <w:rPr>
            <w:noProof/>
            <w:webHidden/>
          </w:rPr>
        </w:r>
        <w:r w:rsidR="00D07F0F" w:rsidRPr="00FD50F6">
          <w:rPr>
            <w:noProof/>
            <w:webHidden/>
          </w:rPr>
          <w:fldChar w:fldCharType="separate"/>
        </w:r>
        <w:r w:rsidR="00BF2787">
          <w:rPr>
            <w:noProof/>
            <w:webHidden/>
          </w:rPr>
          <w:t>1</w:t>
        </w:r>
        <w:r w:rsidR="00D07F0F" w:rsidRPr="00FD50F6">
          <w:rPr>
            <w:noProof/>
            <w:webHidden/>
          </w:rPr>
          <w:fldChar w:fldCharType="end"/>
        </w:r>
      </w:hyperlink>
    </w:p>
    <w:p w14:paraId="410D3687" w14:textId="31420F0A" w:rsidR="00D07F0F" w:rsidRPr="00FD50F6" w:rsidRDefault="00BF2787">
      <w:pPr>
        <w:pStyle w:val="TOC1"/>
        <w:tabs>
          <w:tab w:val="right" w:leader="dot" w:pos="8302"/>
        </w:tabs>
        <w:rPr>
          <w:rFonts w:eastAsiaTheme="minorEastAsia"/>
          <w:b w:val="0"/>
          <w:bCs w:val="0"/>
          <w:caps w:val="0"/>
          <w:noProof/>
          <w:sz w:val="21"/>
          <w:szCs w:val="24"/>
        </w:rPr>
      </w:pPr>
      <w:hyperlink w:anchor="_Toc112830639" w:history="1">
        <w:r w:rsidR="00D07F0F" w:rsidRPr="00FD50F6">
          <w:rPr>
            <w:rStyle w:val="afff1"/>
            <w:noProof/>
            <w:color w:val="auto"/>
          </w:rPr>
          <w:t xml:space="preserve">2 </w:t>
        </w:r>
        <w:r w:rsidR="00D07F0F" w:rsidRPr="00FD50F6">
          <w:rPr>
            <w:rStyle w:val="afff1"/>
            <w:noProof/>
            <w:color w:val="auto"/>
          </w:rPr>
          <w:t>术</w:t>
        </w:r>
        <w:r w:rsidR="00D07F0F" w:rsidRPr="00FD50F6">
          <w:rPr>
            <w:rStyle w:val="afff1"/>
            <w:noProof/>
            <w:color w:val="auto"/>
          </w:rPr>
          <w:t xml:space="preserve">  </w:t>
        </w:r>
        <w:r w:rsidR="00D07F0F" w:rsidRPr="00FD50F6">
          <w:rPr>
            <w:rStyle w:val="afff1"/>
            <w:noProof/>
            <w:color w:val="auto"/>
          </w:rPr>
          <w:t>语</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_Toc112830639 \h </w:instrText>
        </w:r>
        <w:r w:rsidR="00D07F0F" w:rsidRPr="00FD50F6">
          <w:rPr>
            <w:noProof/>
            <w:webHidden/>
          </w:rPr>
        </w:r>
        <w:r w:rsidR="00D07F0F" w:rsidRPr="00FD50F6">
          <w:rPr>
            <w:noProof/>
            <w:webHidden/>
          </w:rPr>
          <w:fldChar w:fldCharType="separate"/>
        </w:r>
        <w:r>
          <w:rPr>
            <w:noProof/>
            <w:webHidden/>
          </w:rPr>
          <w:t>2</w:t>
        </w:r>
        <w:r w:rsidR="00D07F0F" w:rsidRPr="00FD50F6">
          <w:rPr>
            <w:noProof/>
            <w:webHidden/>
          </w:rPr>
          <w:fldChar w:fldCharType="end"/>
        </w:r>
      </w:hyperlink>
    </w:p>
    <w:p w14:paraId="32F1A6F8" w14:textId="308251E7" w:rsidR="00D07F0F" w:rsidRPr="00FD50F6" w:rsidRDefault="00BF2787">
      <w:pPr>
        <w:pStyle w:val="TOC1"/>
        <w:tabs>
          <w:tab w:val="right" w:leader="dot" w:pos="8302"/>
        </w:tabs>
        <w:rPr>
          <w:rFonts w:eastAsiaTheme="minorEastAsia"/>
          <w:b w:val="0"/>
          <w:bCs w:val="0"/>
          <w:caps w:val="0"/>
          <w:noProof/>
          <w:sz w:val="21"/>
          <w:szCs w:val="24"/>
        </w:rPr>
      </w:pPr>
      <w:hyperlink w:anchor="_Toc112830640" w:history="1">
        <w:r w:rsidR="00D07F0F" w:rsidRPr="00FD50F6">
          <w:rPr>
            <w:rStyle w:val="afff1"/>
            <w:noProof/>
            <w:color w:val="auto"/>
          </w:rPr>
          <w:t xml:space="preserve">3 </w:t>
        </w:r>
        <w:r w:rsidR="00D07F0F" w:rsidRPr="00FD50F6">
          <w:rPr>
            <w:rStyle w:val="afff1"/>
            <w:noProof/>
            <w:color w:val="auto"/>
          </w:rPr>
          <w:t>基本规定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_Toc112830640 \h </w:instrText>
        </w:r>
        <w:r w:rsidR="00D07F0F" w:rsidRPr="00FD50F6">
          <w:rPr>
            <w:noProof/>
            <w:webHidden/>
          </w:rPr>
        </w:r>
        <w:r w:rsidR="00D07F0F" w:rsidRPr="00FD50F6">
          <w:rPr>
            <w:noProof/>
            <w:webHidden/>
          </w:rPr>
          <w:fldChar w:fldCharType="separate"/>
        </w:r>
        <w:r>
          <w:rPr>
            <w:noProof/>
            <w:webHidden/>
          </w:rPr>
          <w:t>11</w:t>
        </w:r>
        <w:r w:rsidR="00D07F0F" w:rsidRPr="00FD50F6">
          <w:rPr>
            <w:noProof/>
            <w:webHidden/>
          </w:rPr>
          <w:fldChar w:fldCharType="end"/>
        </w:r>
      </w:hyperlink>
    </w:p>
    <w:p w14:paraId="7B9F4E55" w14:textId="3F0EBC3B" w:rsidR="00D07F0F" w:rsidRPr="00FD50F6" w:rsidRDefault="00BF2787">
      <w:pPr>
        <w:pStyle w:val="TOC1"/>
        <w:tabs>
          <w:tab w:val="right" w:leader="dot" w:pos="8302"/>
        </w:tabs>
        <w:rPr>
          <w:rFonts w:eastAsiaTheme="minorEastAsia"/>
          <w:b w:val="0"/>
          <w:bCs w:val="0"/>
          <w:caps w:val="0"/>
          <w:noProof/>
          <w:sz w:val="21"/>
          <w:szCs w:val="24"/>
        </w:rPr>
      </w:pPr>
      <w:hyperlink w:anchor="_Toc112830641" w:history="1">
        <w:r w:rsidR="00D07F0F" w:rsidRPr="00FD50F6">
          <w:rPr>
            <w:rStyle w:val="afff1"/>
            <w:noProof/>
            <w:color w:val="auto"/>
          </w:rPr>
          <w:t xml:space="preserve">4 </w:t>
        </w:r>
        <w:r w:rsidR="00D07F0F" w:rsidRPr="00FD50F6">
          <w:rPr>
            <w:rStyle w:val="afff1"/>
            <w:noProof/>
            <w:color w:val="auto"/>
          </w:rPr>
          <w:t>运营组织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_Toc112830641 \h </w:instrText>
        </w:r>
        <w:r w:rsidR="00D07F0F" w:rsidRPr="00FD50F6">
          <w:rPr>
            <w:noProof/>
            <w:webHidden/>
          </w:rPr>
        </w:r>
        <w:r w:rsidR="00D07F0F" w:rsidRPr="00FD50F6">
          <w:rPr>
            <w:noProof/>
            <w:webHidden/>
          </w:rPr>
          <w:fldChar w:fldCharType="separate"/>
        </w:r>
        <w:r>
          <w:rPr>
            <w:noProof/>
            <w:webHidden/>
          </w:rPr>
          <w:t>1</w:t>
        </w:r>
        <w:r w:rsidR="00D07F0F" w:rsidRPr="00FD50F6">
          <w:rPr>
            <w:noProof/>
            <w:webHidden/>
          </w:rPr>
          <w:fldChar w:fldCharType="end"/>
        </w:r>
      </w:hyperlink>
    </w:p>
    <w:p w14:paraId="298D15B5" w14:textId="515FDAD1" w:rsidR="00D07F0F" w:rsidRPr="00FD50F6" w:rsidRDefault="00BF2787">
      <w:pPr>
        <w:pStyle w:val="TOC2"/>
        <w:tabs>
          <w:tab w:val="right" w:leader="dot" w:pos="8302"/>
        </w:tabs>
        <w:rPr>
          <w:rFonts w:eastAsiaTheme="minorEastAsia"/>
          <w:smallCaps w:val="0"/>
          <w:noProof/>
          <w:sz w:val="21"/>
          <w:szCs w:val="24"/>
        </w:rPr>
      </w:pPr>
      <w:hyperlink w:anchor="_Toc112830642" w:history="1">
        <w:r w:rsidR="00D07F0F" w:rsidRPr="00FD50F6">
          <w:rPr>
            <w:rStyle w:val="afff1"/>
            <w:noProof/>
            <w:color w:val="auto"/>
            <w:lang w:bidi="en-US"/>
          </w:rPr>
          <w:t xml:space="preserve">4.1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_Toc112830642 \h </w:instrText>
        </w:r>
        <w:r w:rsidR="00D07F0F" w:rsidRPr="00FD50F6">
          <w:rPr>
            <w:noProof/>
            <w:webHidden/>
          </w:rPr>
        </w:r>
        <w:r w:rsidR="00D07F0F" w:rsidRPr="00FD50F6">
          <w:rPr>
            <w:noProof/>
            <w:webHidden/>
          </w:rPr>
          <w:fldChar w:fldCharType="separate"/>
        </w:r>
        <w:r>
          <w:rPr>
            <w:noProof/>
            <w:webHidden/>
          </w:rPr>
          <w:t>1</w:t>
        </w:r>
        <w:r w:rsidR="00D07F0F" w:rsidRPr="00FD50F6">
          <w:rPr>
            <w:noProof/>
            <w:webHidden/>
          </w:rPr>
          <w:fldChar w:fldCharType="end"/>
        </w:r>
      </w:hyperlink>
    </w:p>
    <w:p w14:paraId="248679ED" w14:textId="583349B5" w:rsidR="00D07F0F" w:rsidRPr="00FD50F6" w:rsidRDefault="00BF2787">
      <w:pPr>
        <w:pStyle w:val="TOC2"/>
        <w:tabs>
          <w:tab w:val="right" w:leader="dot" w:pos="8302"/>
        </w:tabs>
        <w:rPr>
          <w:rFonts w:eastAsiaTheme="minorEastAsia"/>
          <w:smallCaps w:val="0"/>
          <w:noProof/>
          <w:sz w:val="21"/>
          <w:szCs w:val="24"/>
        </w:rPr>
      </w:pPr>
      <w:hyperlink w:anchor="_Toc112830644" w:history="1">
        <w:r w:rsidR="00D07F0F" w:rsidRPr="00FD50F6">
          <w:rPr>
            <w:rStyle w:val="afff1"/>
            <w:noProof/>
            <w:color w:val="auto"/>
            <w:lang w:bidi="en-US"/>
          </w:rPr>
          <w:t xml:space="preserve">4.2 </w:t>
        </w:r>
        <w:r w:rsidR="00D07F0F" w:rsidRPr="00FD50F6">
          <w:rPr>
            <w:rStyle w:val="afff1"/>
            <w:noProof/>
            <w:color w:val="auto"/>
            <w:lang w:bidi="en-US"/>
          </w:rPr>
          <w:t>设计运输能力及配车</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_Toc112830644 \h </w:instrText>
        </w:r>
        <w:r w:rsidR="00D07F0F" w:rsidRPr="00FD50F6">
          <w:rPr>
            <w:noProof/>
            <w:webHidden/>
          </w:rPr>
        </w:r>
        <w:r w:rsidR="00D07F0F" w:rsidRPr="00FD50F6">
          <w:rPr>
            <w:noProof/>
            <w:webHidden/>
          </w:rPr>
          <w:fldChar w:fldCharType="separate"/>
        </w:r>
        <w:r>
          <w:rPr>
            <w:noProof/>
            <w:webHidden/>
          </w:rPr>
          <w:t>2</w:t>
        </w:r>
        <w:r w:rsidR="00D07F0F" w:rsidRPr="00FD50F6">
          <w:rPr>
            <w:noProof/>
            <w:webHidden/>
          </w:rPr>
          <w:fldChar w:fldCharType="end"/>
        </w:r>
      </w:hyperlink>
    </w:p>
    <w:p w14:paraId="56004347" w14:textId="7F0159C5" w:rsidR="00D07F0F" w:rsidRPr="00FD50F6" w:rsidRDefault="00BF2787">
      <w:pPr>
        <w:pStyle w:val="TOC2"/>
        <w:tabs>
          <w:tab w:val="right" w:leader="dot" w:pos="8302"/>
        </w:tabs>
        <w:rPr>
          <w:rFonts w:eastAsiaTheme="minorEastAsia"/>
          <w:smallCaps w:val="0"/>
          <w:noProof/>
          <w:sz w:val="21"/>
          <w:szCs w:val="24"/>
        </w:rPr>
      </w:pPr>
      <w:hyperlink w:anchor="_Toc112830646" w:history="1">
        <w:r w:rsidR="00D07F0F" w:rsidRPr="00FD50F6">
          <w:rPr>
            <w:rStyle w:val="afff1"/>
            <w:noProof/>
            <w:color w:val="auto"/>
            <w:lang w:bidi="en-US"/>
          </w:rPr>
          <w:t xml:space="preserve">4.3 </w:t>
        </w:r>
        <w:r w:rsidR="00D07F0F" w:rsidRPr="00FD50F6">
          <w:rPr>
            <w:rStyle w:val="afff1"/>
            <w:noProof/>
            <w:color w:val="auto"/>
            <w:lang w:bidi="en-US"/>
          </w:rPr>
          <w:t>速度标准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_Toc112830646 \h </w:instrText>
        </w:r>
        <w:r w:rsidR="00D07F0F" w:rsidRPr="00FD50F6">
          <w:rPr>
            <w:noProof/>
            <w:webHidden/>
          </w:rPr>
        </w:r>
        <w:r w:rsidR="00D07F0F" w:rsidRPr="00FD50F6">
          <w:rPr>
            <w:noProof/>
            <w:webHidden/>
          </w:rPr>
          <w:fldChar w:fldCharType="separate"/>
        </w:r>
        <w:r>
          <w:rPr>
            <w:noProof/>
            <w:webHidden/>
          </w:rPr>
          <w:t>3</w:t>
        </w:r>
        <w:r w:rsidR="00D07F0F" w:rsidRPr="00FD50F6">
          <w:rPr>
            <w:noProof/>
            <w:webHidden/>
          </w:rPr>
          <w:fldChar w:fldCharType="end"/>
        </w:r>
      </w:hyperlink>
    </w:p>
    <w:p w14:paraId="6321CDE3" w14:textId="68075EC3" w:rsidR="00D07F0F" w:rsidRPr="00FD50F6" w:rsidRDefault="00BF2787">
      <w:pPr>
        <w:pStyle w:val="TOC2"/>
        <w:tabs>
          <w:tab w:val="right" w:leader="dot" w:pos="8302"/>
        </w:tabs>
        <w:rPr>
          <w:rFonts w:eastAsiaTheme="minorEastAsia"/>
          <w:smallCaps w:val="0"/>
          <w:noProof/>
          <w:sz w:val="21"/>
          <w:szCs w:val="24"/>
        </w:rPr>
      </w:pPr>
      <w:hyperlink w:anchor="_Toc112830648" w:history="1">
        <w:r w:rsidR="00D07F0F" w:rsidRPr="00FD50F6">
          <w:rPr>
            <w:rStyle w:val="afff1"/>
            <w:noProof/>
            <w:color w:val="auto"/>
            <w:lang w:bidi="en-US"/>
          </w:rPr>
          <w:t xml:space="preserve">4.4 </w:t>
        </w:r>
        <w:r w:rsidR="00D07F0F" w:rsidRPr="00FD50F6">
          <w:rPr>
            <w:rStyle w:val="afff1"/>
            <w:noProof/>
            <w:color w:val="auto"/>
            <w:lang w:bidi="en-US"/>
          </w:rPr>
          <w:t>行车组织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_Toc112830648 \h </w:instrText>
        </w:r>
        <w:r w:rsidR="00D07F0F" w:rsidRPr="00FD50F6">
          <w:rPr>
            <w:noProof/>
            <w:webHidden/>
          </w:rPr>
        </w:r>
        <w:r w:rsidR="00D07F0F" w:rsidRPr="00FD50F6">
          <w:rPr>
            <w:noProof/>
            <w:webHidden/>
          </w:rPr>
          <w:fldChar w:fldCharType="separate"/>
        </w:r>
        <w:r>
          <w:rPr>
            <w:noProof/>
            <w:webHidden/>
          </w:rPr>
          <w:t>5</w:t>
        </w:r>
        <w:r w:rsidR="00D07F0F" w:rsidRPr="00FD50F6">
          <w:rPr>
            <w:noProof/>
            <w:webHidden/>
          </w:rPr>
          <w:fldChar w:fldCharType="end"/>
        </w:r>
      </w:hyperlink>
    </w:p>
    <w:p w14:paraId="22E4682A" w14:textId="79F3A9BD" w:rsidR="00D07F0F" w:rsidRPr="00FD50F6" w:rsidRDefault="00BF2787">
      <w:pPr>
        <w:pStyle w:val="TOC2"/>
        <w:tabs>
          <w:tab w:val="right" w:leader="dot" w:pos="8302"/>
        </w:tabs>
        <w:rPr>
          <w:rFonts w:eastAsiaTheme="minorEastAsia"/>
          <w:smallCaps w:val="0"/>
          <w:noProof/>
          <w:sz w:val="21"/>
          <w:szCs w:val="24"/>
        </w:rPr>
      </w:pPr>
      <w:hyperlink w:anchor="_Toc112830650" w:history="1">
        <w:r w:rsidR="00D07F0F" w:rsidRPr="00FD50F6">
          <w:rPr>
            <w:rStyle w:val="afff1"/>
            <w:noProof/>
            <w:color w:val="auto"/>
            <w:lang w:bidi="en-US"/>
          </w:rPr>
          <w:t xml:space="preserve">4.5 </w:t>
        </w:r>
        <w:r w:rsidR="00D07F0F" w:rsidRPr="00FD50F6">
          <w:rPr>
            <w:rStyle w:val="afff1"/>
            <w:noProof/>
            <w:color w:val="auto"/>
            <w:lang w:bidi="en-US"/>
          </w:rPr>
          <w:t>运营配线</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_Toc112830650 \h </w:instrText>
        </w:r>
        <w:r w:rsidR="00D07F0F" w:rsidRPr="00FD50F6">
          <w:rPr>
            <w:noProof/>
            <w:webHidden/>
          </w:rPr>
        </w:r>
        <w:r w:rsidR="00D07F0F" w:rsidRPr="00FD50F6">
          <w:rPr>
            <w:noProof/>
            <w:webHidden/>
          </w:rPr>
          <w:fldChar w:fldCharType="separate"/>
        </w:r>
        <w:r>
          <w:rPr>
            <w:noProof/>
            <w:webHidden/>
          </w:rPr>
          <w:t>8</w:t>
        </w:r>
        <w:r w:rsidR="00D07F0F" w:rsidRPr="00FD50F6">
          <w:rPr>
            <w:noProof/>
            <w:webHidden/>
          </w:rPr>
          <w:fldChar w:fldCharType="end"/>
        </w:r>
      </w:hyperlink>
    </w:p>
    <w:p w14:paraId="2F7CDFE9" w14:textId="56FB64D3" w:rsidR="00D07F0F" w:rsidRPr="00FD50F6" w:rsidRDefault="00BF2787">
      <w:pPr>
        <w:pStyle w:val="TOC2"/>
        <w:tabs>
          <w:tab w:val="right" w:leader="dot" w:pos="8302"/>
        </w:tabs>
        <w:rPr>
          <w:rFonts w:eastAsiaTheme="minorEastAsia"/>
          <w:smallCaps w:val="0"/>
          <w:noProof/>
          <w:sz w:val="21"/>
          <w:szCs w:val="24"/>
        </w:rPr>
      </w:pPr>
      <w:hyperlink w:anchor="_Toc112830651" w:history="1">
        <w:r w:rsidR="00D07F0F" w:rsidRPr="00FD50F6">
          <w:rPr>
            <w:rStyle w:val="afff1"/>
            <w:noProof/>
            <w:color w:val="auto"/>
            <w:lang w:bidi="en-US"/>
          </w:rPr>
          <w:t xml:space="preserve">4.6 </w:t>
        </w:r>
        <w:r w:rsidR="00D07F0F" w:rsidRPr="00FD50F6">
          <w:rPr>
            <w:rStyle w:val="afff1"/>
            <w:noProof/>
            <w:color w:val="auto"/>
            <w:lang w:bidi="en-US"/>
          </w:rPr>
          <w:t>运营管理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_Toc112830651 \h </w:instrText>
        </w:r>
        <w:r w:rsidR="00D07F0F" w:rsidRPr="00FD50F6">
          <w:rPr>
            <w:noProof/>
            <w:webHidden/>
          </w:rPr>
        </w:r>
        <w:r w:rsidR="00D07F0F" w:rsidRPr="00FD50F6">
          <w:rPr>
            <w:noProof/>
            <w:webHidden/>
          </w:rPr>
          <w:fldChar w:fldCharType="separate"/>
        </w:r>
        <w:r>
          <w:rPr>
            <w:noProof/>
            <w:webHidden/>
          </w:rPr>
          <w:t>11</w:t>
        </w:r>
        <w:r w:rsidR="00D07F0F" w:rsidRPr="00FD50F6">
          <w:rPr>
            <w:noProof/>
            <w:webHidden/>
          </w:rPr>
          <w:fldChar w:fldCharType="end"/>
        </w:r>
      </w:hyperlink>
    </w:p>
    <w:p w14:paraId="64A6C083" w14:textId="1460EE8B" w:rsidR="00D07F0F" w:rsidRPr="00FD50F6" w:rsidRDefault="00BF2787">
      <w:pPr>
        <w:pStyle w:val="TOC1"/>
        <w:tabs>
          <w:tab w:val="right" w:leader="dot" w:pos="8302"/>
        </w:tabs>
        <w:rPr>
          <w:rFonts w:eastAsiaTheme="minorEastAsia"/>
          <w:b w:val="0"/>
          <w:bCs w:val="0"/>
          <w:caps w:val="0"/>
          <w:noProof/>
          <w:sz w:val="21"/>
          <w:szCs w:val="24"/>
        </w:rPr>
      </w:pPr>
      <w:hyperlink w:anchor="_Toc112830652" w:history="1">
        <w:r w:rsidR="00D07F0F" w:rsidRPr="00FD50F6">
          <w:rPr>
            <w:rStyle w:val="afff1"/>
            <w:noProof/>
            <w:color w:val="auto"/>
          </w:rPr>
          <w:t xml:space="preserve">5 </w:t>
        </w:r>
        <w:r w:rsidR="00D07F0F" w:rsidRPr="00FD50F6">
          <w:rPr>
            <w:rStyle w:val="afff1"/>
            <w:noProof/>
            <w:color w:val="auto"/>
          </w:rPr>
          <w:t>车</w:t>
        </w:r>
        <w:r w:rsidR="00D07F0F" w:rsidRPr="00FD50F6">
          <w:rPr>
            <w:rStyle w:val="afff1"/>
            <w:noProof/>
            <w:color w:val="auto"/>
          </w:rPr>
          <w:t xml:space="preserve">  </w:t>
        </w:r>
        <w:r w:rsidR="00D07F0F" w:rsidRPr="00FD50F6">
          <w:rPr>
            <w:rStyle w:val="afff1"/>
            <w:noProof/>
            <w:color w:val="auto"/>
          </w:rPr>
          <w:t>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_Toc112830652 \h </w:instrText>
        </w:r>
        <w:r w:rsidR="00D07F0F" w:rsidRPr="00FD50F6">
          <w:rPr>
            <w:noProof/>
            <w:webHidden/>
          </w:rPr>
        </w:r>
        <w:r w:rsidR="00D07F0F" w:rsidRPr="00FD50F6">
          <w:rPr>
            <w:noProof/>
            <w:webHidden/>
          </w:rPr>
          <w:fldChar w:fldCharType="separate"/>
        </w:r>
        <w:r>
          <w:rPr>
            <w:noProof/>
            <w:webHidden/>
          </w:rPr>
          <w:t>13</w:t>
        </w:r>
        <w:r w:rsidR="00D07F0F" w:rsidRPr="00FD50F6">
          <w:rPr>
            <w:noProof/>
            <w:webHidden/>
          </w:rPr>
          <w:fldChar w:fldCharType="end"/>
        </w:r>
      </w:hyperlink>
    </w:p>
    <w:p w14:paraId="6C345DBE" w14:textId="1396DB7C" w:rsidR="00D07F0F" w:rsidRPr="00FD50F6" w:rsidRDefault="00BF2787">
      <w:pPr>
        <w:pStyle w:val="TOC2"/>
        <w:tabs>
          <w:tab w:val="right" w:leader="dot" w:pos="8302"/>
        </w:tabs>
        <w:rPr>
          <w:rFonts w:eastAsiaTheme="minorEastAsia"/>
          <w:smallCaps w:val="0"/>
          <w:noProof/>
          <w:sz w:val="21"/>
          <w:szCs w:val="24"/>
        </w:rPr>
      </w:pPr>
      <w:hyperlink w:anchor="_Toc112830653" w:history="1">
        <w:r w:rsidR="00D07F0F" w:rsidRPr="00FD50F6">
          <w:rPr>
            <w:rStyle w:val="afff1"/>
            <w:noProof/>
            <w:color w:val="auto"/>
            <w:lang w:bidi="en-US"/>
          </w:rPr>
          <w:t xml:space="preserve">5.1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_Toc112830653 \h </w:instrText>
        </w:r>
        <w:r w:rsidR="00D07F0F" w:rsidRPr="00FD50F6">
          <w:rPr>
            <w:noProof/>
            <w:webHidden/>
          </w:rPr>
        </w:r>
        <w:r w:rsidR="00D07F0F" w:rsidRPr="00FD50F6">
          <w:rPr>
            <w:noProof/>
            <w:webHidden/>
          </w:rPr>
          <w:fldChar w:fldCharType="separate"/>
        </w:r>
        <w:r>
          <w:rPr>
            <w:noProof/>
            <w:webHidden/>
          </w:rPr>
          <w:t>13</w:t>
        </w:r>
        <w:r w:rsidR="00D07F0F" w:rsidRPr="00FD50F6">
          <w:rPr>
            <w:noProof/>
            <w:webHidden/>
          </w:rPr>
          <w:fldChar w:fldCharType="end"/>
        </w:r>
      </w:hyperlink>
    </w:p>
    <w:p w14:paraId="2FFD4167" w14:textId="4040A200" w:rsidR="00D07F0F" w:rsidRPr="00FD50F6" w:rsidRDefault="00BF2787">
      <w:pPr>
        <w:pStyle w:val="TOC2"/>
        <w:tabs>
          <w:tab w:val="right" w:leader="dot" w:pos="8302"/>
        </w:tabs>
        <w:rPr>
          <w:rFonts w:eastAsiaTheme="minorEastAsia"/>
          <w:smallCaps w:val="0"/>
          <w:noProof/>
          <w:sz w:val="21"/>
          <w:szCs w:val="24"/>
        </w:rPr>
      </w:pPr>
      <w:hyperlink w:anchor="_Toc112830654" w:history="1">
        <w:r w:rsidR="00D07F0F" w:rsidRPr="00FD50F6">
          <w:rPr>
            <w:rStyle w:val="afff1"/>
            <w:noProof/>
            <w:color w:val="auto"/>
            <w:lang w:bidi="en-US"/>
          </w:rPr>
          <w:t xml:space="preserve">5.2 </w:t>
        </w:r>
        <w:r w:rsidR="00D07F0F" w:rsidRPr="00FD50F6">
          <w:rPr>
            <w:rStyle w:val="afff1"/>
            <w:noProof/>
            <w:color w:val="auto"/>
            <w:lang w:bidi="en-US"/>
          </w:rPr>
          <w:t>车辆型式与列车编组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_Toc112830654 \h </w:instrText>
        </w:r>
        <w:r w:rsidR="00D07F0F" w:rsidRPr="00FD50F6">
          <w:rPr>
            <w:noProof/>
            <w:webHidden/>
          </w:rPr>
        </w:r>
        <w:r w:rsidR="00D07F0F" w:rsidRPr="00FD50F6">
          <w:rPr>
            <w:noProof/>
            <w:webHidden/>
          </w:rPr>
          <w:fldChar w:fldCharType="separate"/>
        </w:r>
        <w:r>
          <w:rPr>
            <w:noProof/>
            <w:webHidden/>
          </w:rPr>
          <w:t>16</w:t>
        </w:r>
        <w:r w:rsidR="00D07F0F" w:rsidRPr="00FD50F6">
          <w:rPr>
            <w:noProof/>
            <w:webHidden/>
          </w:rPr>
          <w:fldChar w:fldCharType="end"/>
        </w:r>
      </w:hyperlink>
    </w:p>
    <w:p w14:paraId="21C2DE2B" w14:textId="5CAC9034" w:rsidR="00D07F0F" w:rsidRPr="00FD50F6" w:rsidRDefault="00BF2787">
      <w:pPr>
        <w:pStyle w:val="TOC2"/>
        <w:tabs>
          <w:tab w:val="right" w:leader="dot" w:pos="8302"/>
        </w:tabs>
        <w:rPr>
          <w:rFonts w:eastAsiaTheme="minorEastAsia"/>
          <w:smallCaps w:val="0"/>
          <w:noProof/>
          <w:sz w:val="21"/>
          <w:szCs w:val="24"/>
        </w:rPr>
      </w:pPr>
      <w:hyperlink w:anchor="_Toc112830655" w:history="1">
        <w:r w:rsidR="00D07F0F" w:rsidRPr="00FD50F6">
          <w:rPr>
            <w:rStyle w:val="afff1"/>
            <w:noProof/>
            <w:color w:val="auto"/>
            <w:lang w:bidi="en-US"/>
          </w:rPr>
          <w:t xml:space="preserve">5.3 </w:t>
        </w:r>
        <w:r w:rsidR="00D07F0F" w:rsidRPr="00FD50F6">
          <w:rPr>
            <w:rStyle w:val="afff1"/>
            <w:noProof/>
            <w:color w:val="auto"/>
            <w:lang w:bidi="en-US"/>
          </w:rPr>
          <w:t>车体</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_Toc112830655 \h </w:instrText>
        </w:r>
        <w:r w:rsidR="00D07F0F" w:rsidRPr="00FD50F6">
          <w:rPr>
            <w:noProof/>
            <w:webHidden/>
          </w:rPr>
        </w:r>
        <w:r w:rsidR="00D07F0F" w:rsidRPr="00FD50F6">
          <w:rPr>
            <w:noProof/>
            <w:webHidden/>
          </w:rPr>
          <w:fldChar w:fldCharType="separate"/>
        </w:r>
        <w:r>
          <w:rPr>
            <w:noProof/>
            <w:webHidden/>
          </w:rPr>
          <w:t>17</w:t>
        </w:r>
        <w:r w:rsidR="00D07F0F" w:rsidRPr="00FD50F6">
          <w:rPr>
            <w:noProof/>
            <w:webHidden/>
          </w:rPr>
          <w:fldChar w:fldCharType="end"/>
        </w:r>
      </w:hyperlink>
    </w:p>
    <w:p w14:paraId="4BD1D19D" w14:textId="1C549588" w:rsidR="00D07F0F" w:rsidRPr="00FD50F6" w:rsidRDefault="00BF2787">
      <w:pPr>
        <w:pStyle w:val="TOC2"/>
        <w:tabs>
          <w:tab w:val="right" w:leader="dot" w:pos="8302"/>
        </w:tabs>
        <w:rPr>
          <w:rFonts w:eastAsiaTheme="minorEastAsia"/>
          <w:smallCaps w:val="0"/>
          <w:noProof/>
          <w:sz w:val="21"/>
          <w:szCs w:val="24"/>
        </w:rPr>
      </w:pPr>
      <w:hyperlink w:anchor="_Toc112830656" w:history="1">
        <w:r w:rsidR="00D07F0F" w:rsidRPr="00FD50F6">
          <w:rPr>
            <w:rStyle w:val="afff1"/>
            <w:noProof/>
            <w:color w:val="auto"/>
            <w:lang w:bidi="en-US"/>
          </w:rPr>
          <w:t xml:space="preserve">5.4 </w:t>
        </w:r>
        <w:r w:rsidR="00D07F0F" w:rsidRPr="00FD50F6">
          <w:rPr>
            <w:rStyle w:val="afff1"/>
            <w:noProof/>
            <w:color w:val="auto"/>
            <w:lang w:bidi="en-US"/>
          </w:rPr>
          <w:t>转向架</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_Toc112830656 \h </w:instrText>
        </w:r>
        <w:r w:rsidR="00D07F0F" w:rsidRPr="00FD50F6">
          <w:rPr>
            <w:noProof/>
            <w:webHidden/>
          </w:rPr>
        </w:r>
        <w:r w:rsidR="00D07F0F" w:rsidRPr="00FD50F6">
          <w:rPr>
            <w:noProof/>
            <w:webHidden/>
          </w:rPr>
          <w:fldChar w:fldCharType="separate"/>
        </w:r>
        <w:r>
          <w:rPr>
            <w:noProof/>
            <w:webHidden/>
          </w:rPr>
          <w:t>18</w:t>
        </w:r>
        <w:r w:rsidR="00D07F0F" w:rsidRPr="00FD50F6">
          <w:rPr>
            <w:noProof/>
            <w:webHidden/>
          </w:rPr>
          <w:fldChar w:fldCharType="end"/>
        </w:r>
      </w:hyperlink>
    </w:p>
    <w:p w14:paraId="4B636481" w14:textId="3A3BD4C8" w:rsidR="00D07F0F" w:rsidRPr="00FD50F6" w:rsidRDefault="00BF2787">
      <w:pPr>
        <w:pStyle w:val="TOC2"/>
        <w:tabs>
          <w:tab w:val="right" w:leader="dot" w:pos="8302"/>
        </w:tabs>
        <w:rPr>
          <w:rFonts w:eastAsiaTheme="minorEastAsia"/>
          <w:smallCaps w:val="0"/>
          <w:noProof/>
          <w:sz w:val="21"/>
          <w:szCs w:val="24"/>
        </w:rPr>
      </w:pPr>
      <w:hyperlink w:anchor="_Toc112830657" w:history="1">
        <w:r w:rsidR="00D07F0F" w:rsidRPr="00FD50F6">
          <w:rPr>
            <w:rStyle w:val="afff1"/>
            <w:noProof/>
            <w:color w:val="auto"/>
            <w:lang w:bidi="en-US"/>
          </w:rPr>
          <w:t xml:space="preserve">5.5 </w:t>
        </w:r>
        <w:r w:rsidR="00D07F0F" w:rsidRPr="00FD50F6">
          <w:rPr>
            <w:rStyle w:val="afff1"/>
            <w:noProof/>
            <w:color w:val="auto"/>
            <w:lang w:bidi="en-US"/>
          </w:rPr>
          <w:t>电气系统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_Toc112830657 \h </w:instrText>
        </w:r>
        <w:r w:rsidR="00D07F0F" w:rsidRPr="00FD50F6">
          <w:rPr>
            <w:noProof/>
            <w:webHidden/>
          </w:rPr>
        </w:r>
        <w:r w:rsidR="00D07F0F" w:rsidRPr="00FD50F6">
          <w:rPr>
            <w:noProof/>
            <w:webHidden/>
          </w:rPr>
          <w:fldChar w:fldCharType="separate"/>
        </w:r>
        <w:r>
          <w:rPr>
            <w:noProof/>
            <w:webHidden/>
          </w:rPr>
          <w:t>18</w:t>
        </w:r>
        <w:r w:rsidR="00D07F0F" w:rsidRPr="00FD50F6">
          <w:rPr>
            <w:noProof/>
            <w:webHidden/>
          </w:rPr>
          <w:fldChar w:fldCharType="end"/>
        </w:r>
      </w:hyperlink>
    </w:p>
    <w:p w14:paraId="3F1374FE" w14:textId="672F0299" w:rsidR="00D07F0F" w:rsidRPr="00FD50F6" w:rsidRDefault="00BF2787">
      <w:pPr>
        <w:pStyle w:val="TOC2"/>
        <w:tabs>
          <w:tab w:val="right" w:leader="dot" w:pos="8302"/>
        </w:tabs>
        <w:rPr>
          <w:rFonts w:eastAsiaTheme="minorEastAsia"/>
          <w:smallCaps w:val="0"/>
          <w:noProof/>
          <w:sz w:val="21"/>
          <w:szCs w:val="24"/>
        </w:rPr>
      </w:pPr>
      <w:hyperlink w:anchor="_Toc112830658" w:history="1">
        <w:r w:rsidR="00D07F0F" w:rsidRPr="00FD50F6">
          <w:rPr>
            <w:rStyle w:val="afff1"/>
            <w:noProof/>
            <w:color w:val="auto"/>
            <w:lang w:bidi="en-US"/>
          </w:rPr>
          <w:t xml:space="preserve">5.6 </w:t>
        </w:r>
        <w:r w:rsidR="00D07F0F" w:rsidRPr="00FD50F6">
          <w:rPr>
            <w:rStyle w:val="afff1"/>
            <w:noProof/>
            <w:color w:val="auto"/>
            <w:lang w:bidi="en-US"/>
          </w:rPr>
          <w:t>制动系统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_Toc112830658 \h </w:instrText>
        </w:r>
        <w:r w:rsidR="00D07F0F" w:rsidRPr="00FD50F6">
          <w:rPr>
            <w:noProof/>
            <w:webHidden/>
          </w:rPr>
        </w:r>
        <w:r w:rsidR="00D07F0F" w:rsidRPr="00FD50F6">
          <w:rPr>
            <w:noProof/>
            <w:webHidden/>
          </w:rPr>
          <w:fldChar w:fldCharType="separate"/>
        </w:r>
        <w:r>
          <w:rPr>
            <w:noProof/>
            <w:webHidden/>
          </w:rPr>
          <w:t>19</w:t>
        </w:r>
        <w:r w:rsidR="00D07F0F" w:rsidRPr="00FD50F6">
          <w:rPr>
            <w:noProof/>
            <w:webHidden/>
          </w:rPr>
          <w:fldChar w:fldCharType="end"/>
        </w:r>
      </w:hyperlink>
    </w:p>
    <w:p w14:paraId="687BFCBA" w14:textId="7F2B0555" w:rsidR="00D07F0F" w:rsidRPr="00FD50F6" w:rsidRDefault="00BF2787">
      <w:pPr>
        <w:pStyle w:val="TOC2"/>
        <w:tabs>
          <w:tab w:val="right" w:leader="dot" w:pos="8302"/>
        </w:tabs>
        <w:rPr>
          <w:rFonts w:eastAsiaTheme="minorEastAsia"/>
          <w:smallCaps w:val="0"/>
          <w:noProof/>
          <w:sz w:val="21"/>
          <w:szCs w:val="24"/>
        </w:rPr>
      </w:pPr>
      <w:hyperlink w:anchor="_Toc112830660" w:history="1">
        <w:r w:rsidR="00D07F0F" w:rsidRPr="00FD50F6">
          <w:rPr>
            <w:rStyle w:val="afff1"/>
            <w:noProof/>
            <w:color w:val="auto"/>
            <w:lang w:bidi="en-US"/>
          </w:rPr>
          <w:t xml:space="preserve">5.7 </w:t>
        </w:r>
        <w:r w:rsidR="00D07F0F" w:rsidRPr="00FD50F6">
          <w:rPr>
            <w:rStyle w:val="afff1"/>
            <w:noProof/>
            <w:color w:val="auto"/>
            <w:lang w:bidi="en-US"/>
          </w:rPr>
          <w:t>控制和诊断系统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_Toc112830660 \h </w:instrText>
        </w:r>
        <w:r w:rsidR="00D07F0F" w:rsidRPr="00FD50F6">
          <w:rPr>
            <w:noProof/>
            <w:webHidden/>
          </w:rPr>
        </w:r>
        <w:r w:rsidR="00D07F0F" w:rsidRPr="00FD50F6">
          <w:rPr>
            <w:noProof/>
            <w:webHidden/>
          </w:rPr>
          <w:fldChar w:fldCharType="separate"/>
        </w:r>
        <w:r>
          <w:rPr>
            <w:noProof/>
            <w:webHidden/>
          </w:rPr>
          <w:t>20</w:t>
        </w:r>
        <w:r w:rsidR="00D07F0F" w:rsidRPr="00FD50F6">
          <w:rPr>
            <w:noProof/>
            <w:webHidden/>
          </w:rPr>
          <w:fldChar w:fldCharType="end"/>
        </w:r>
      </w:hyperlink>
    </w:p>
    <w:p w14:paraId="779B5E35" w14:textId="1982A950" w:rsidR="00D07F0F" w:rsidRPr="00FD50F6" w:rsidRDefault="00BF2787">
      <w:pPr>
        <w:pStyle w:val="TOC2"/>
        <w:tabs>
          <w:tab w:val="right" w:leader="dot" w:pos="8302"/>
        </w:tabs>
        <w:rPr>
          <w:rFonts w:eastAsiaTheme="minorEastAsia"/>
          <w:smallCaps w:val="0"/>
          <w:noProof/>
          <w:sz w:val="21"/>
          <w:szCs w:val="24"/>
        </w:rPr>
      </w:pPr>
      <w:hyperlink w:anchor="_Toc112830661" w:history="1">
        <w:r w:rsidR="00D07F0F" w:rsidRPr="00FD50F6">
          <w:rPr>
            <w:rStyle w:val="afff1"/>
            <w:noProof/>
            <w:color w:val="auto"/>
            <w:lang w:bidi="en-US"/>
          </w:rPr>
          <w:t xml:space="preserve">5.8 </w:t>
        </w:r>
        <w:r w:rsidR="00D07F0F" w:rsidRPr="00FD50F6">
          <w:rPr>
            <w:rStyle w:val="afff1"/>
            <w:noProof/>
            <w:color w:val="auto"/>
            <w:lang w:bidi="en-US"/>
          </w:rPr>
          <w:t>通信与乘客信息系统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_Toc112830661 \h </w:instrText>
        </w:r>
        <w:r w:rsidR="00D07F0F" w:rsidRPr="00FD50F6">
          <w:rPr>
            <w:noProof/>
            <w:webHidden/>
          </w:rPr>
        </w:r>
        <w:r w:rsidR="00D07F0F" w:rsidRPr="00FD50F6">
          <w:rPr>
            <w:noProof/>
            <w:webHidden/>
          </w:rPr>
          <w:fldChar w:fldCharType="separate"/>
        </w:r>
        <w:r>
          <w:rPr>
            <w:noProof/>
            <w:webHidden/>
          </w:rPr>
          <w:t>20</w:t>
        </w:r>
        <w:r w:rsidR="00D07F0F" w:rsidRPr="00FD50F6">
          <w:rPr>
            <w:noProof/>
            <w:webHidden/>
          </w:rPr>
          <w:fldChar w:fldCharType="end"/>
        </w:r>
      </w:hyperlink>
    </w:p>
    <w:p w14:paraId="1E7A1403" w14:textId="34BA281B" w:rsidR="00D07F0F" w:rsidRPr="00FD50F6" w:rsidRDefault="00BF2787">
      <w:pPr>
        <w:pStyle w:val="TOC2"/>
        <w:tabs>
          <w:tab w:val="right" w:leader="dot" w:pos="8302"/>
        </w:tabs>
        <w:rPr>
          <w:rFonts w:eastAsiaTheme="minorEastAsia"/>
          <w:smallCaps w:val="0"/>
          <w:noProof/>
          <w:sz w:val="21"/>
          <w:szCs w:val="24"/>
        </w:rPr>
      </w:pPr>
      <w:hyperlink w:anchor="_Toc112830662" w:history="1">
        <w:r w:rsidR="00D07F0F" w:rsidRPr="00FD50F6">
          <w:rPr>
            <w:rStyle w:val="afff1"/>
            <w:noProof/>
            <w:color w:val="auto"/>
            <w:lang w:bidi="en-US"/>
          </w:rPr>
          <w:t xml:space="preserve">5.9 </w:t>
        </w:r>
        <w:r w:rsidR="00D07F0F" w:rsidRPr="00FD50F6">
          <w:rPr>
            <w:rStyle w:val="afff1"/>
            <w:noProof/>
            <w:color w:val="auto"/>
            <w:lang w:bidi="en-US"/>
          </w:rPr>
          <w:t>安全与应急设施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_Toc112830662 \h </w:instrText>
        </w:r>
        <w:r w:rsidR="00D07F0F" w:rsidRPr="00FD50F6">
          <w:rPr>
            <w:noProof/>
            <w:webHidden/>
          </w:rPr>
        </w:r>
        <w:r w:rsidR="00D07F0F" w:rsidRPr="00FD50F6">
          <w:rPr>
            <w:noProof/>
            <w:webHidden/>
          </w:rPr>
          <w:fldChar w:fldCharType="separate"/>
        </w:r>
        <w:r>
          <w:rPr>
            <w:noProof/>
            <w:webHidden/>
          </w:rPr>
          <w:t>21</w:t>
        </w:r>
        <w:r w:rsidR="00D07F0F" w:rsidRPr="00FD50F6">
          <w:rPr>
            <w:noProof/>
            <w:webHidden/>
          </w:rPr>
          <w:fldChar w:fldCharType="end"/>
        </w:r>
      </w:hyperlink>
    </w:p>
    <w:p w14:paraId="4C5E7B33" w14:textId="1CED4E07" w:rsidR="00D07F0F" w:rsidRPr="00FD50F6" w:rsidRDefault="00BF2787">
      <w:pPr>
        <w:pStyle w:val="TOC1"/>
        <w:tabs>
          <w:tab w:val="right" w:leader="dot" w:pos="8302"/>
        </w:tabs>
        <w:rPr>
          <w:rFonts w:eastAsiaTheme="minorEastAsia"/>
          <w:b w:val="0"/>
          <w:bCs w:val="0"/>
          <w:caps w:val="0"/>
          <w:noProof/>
          <w:sz w:val="21"/>
          <w:szCs w:val="24"/>
        </w:rPr>
      </w:pPr>
      <w:hyperlink w:anchor="_Toc112830663" w:history="1">
        <w:r w:rsidR="00D07F0F" w:rsidRPr="00FD50F6">
          <w:rPr>
            <w:rStyle w:val="afff1"/>
            <w:noProof/>
            <w:color w:val="auto"/>
          </w:rPr>
          <w:t xml:space="preserve">6 </w:t>
        </w:r>
        <w:r w:rsidR="00D07F0F" w:rsidRPr="00FD50F6">
          <w:rPr>
            <w:rStyle w:val="afff1"/>
            <w:noProof/>
            <w:color w:val="auto"/>
          </w:rPr>
          <w:t>限</w:t>
        </w:r>
        <w:r w:rsidR="00D07F0F" w:rsidRPr="00FD50F6">
          <w:rPr>
            <w:rStyle w:val="afff1"/>
            <w:noProof/>
            <w:color w:val="auto"/>
          </w:rPr>
          <w:t xml:space="preserve">  </w:t>
        </w:r>
        <w:r w:rsidR="00D07F0F" w:rsidRPr="00FD50F6">
          <w:rPr>
            <w:rStyle w:val="afff1"/>
            <w:noProof/>
            <w:color w:val="auto"/>
          </w:rPr>
          <w:t>界</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_Toc112830663 \h </w:instrText>
        </w:r>
        <w:r w:rsidR="00D07F0F" w:rsidRPr="00FD50F6">
          <w:rPr>
            <w:noProof/>
            <w:webHidden/>
          </w:rPr>
        </w:r>
        <w:r w:rsidR="00D07F0F" w:rsidRPr="00FD50F6">
          <w:rPr>
            <w:noProof/>
            <w:webHidden/>
          </w:rPr>
          <w:fldChar w:fldCharType="separate"/>
        </w:r>
        <w:r>
          <w:rPr>
            <w:noProof/>
            <w:webHidden/>
          </w:rPr>
          <w:t>22</w:t>
        </w:r>
        <w:r w:rsidR="00D07F0F" w:rsidRPr="00FD50F6">
          <w:rPr>
            <w:noProof/>
            <w:webHidden/>
          </w:rPr>
          <w:fldChar w:fldCharType="end"/>
        </w:r>
      </w:hyperlink>
    </w:p>
    <w:p w14:paraId="5FA931A3" w14:textId="150728E5" w:rsidR="00D07F0F" w:rsidRPr="00FD50F6" w:rsidRDefault="00BF2787">
      <w:pPr>
        <w:pStyle w:val="TOC2"/>
        <w:tabs>
          <w:tab w:val="right" w:leader="dot" w:pos="8302"/>
        </w:tabs>
        <w:rPr>
          <w:rFonts w:eastAsiaTheme="minorEastAsia"/>
          <w:smallCaps w:val="0"/>
          <w:noProof/>
          <w:sz w:val="21"/>
          <w:szCs w:val="24"/>
        </w:rPr>
      </w:pPr>
      <w:hyperlink w:anchor="_Toc112830664" w:history="1">
        <w:r w:rsidR="00D07F0F" w:rsidRPr="00FD50F6">
          <w:rPr>
            <w:rStyle w:val="afff1"/>
            <w:noProof/>
            <w:color w:val="auto"/>
            <w:lang w:bidi="en-US"/>
          </w:rPr>
          <w:t xml:space="preserve">6.1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_Toc112830664 \h </w:instrText>
        </w:r>
        <w:r w:rsidR="00D07F0F" w:rsidRPr="00FD50F6">
          <w:rPr>
            <w:noProof/>
            <w:webHidden/>
          </w:rPr>
        </w:r>
        <w:r w:rsidR="00D07F0F" w:rsidRPr="00FD50F6">
          <w:rPr>
            <w:noProof/>
            <w:webHidden/>
          </w:rPr>
          <w:fldChar w:fldCharType="separate"/>
        </w:r>
        <w:r>
          <w:rPr>
            <w:noProof/>
            <w:webHidden/>
          </w:rPr>
          <w:t>22</w:t>
        </w:r>
        <w:r w:rsidR="00D07F0F" w:rsidRPr="00FD50F6">
          <w:rPr>
            <w:noProof/>
            <w:webHidden/>
          </w:rPr>
          <w:fldChar w:fldCharType="end"/>
        </w:r>
      </w:hyperlink>
    </w:p>
    <w:p w14:paraId="78E21972" w14:textId="1BE78C0B" w:rsidR="00D07F0F" w:rsidRPr="00FD50F6" w:rsidRDefault="00BF2787">
      <w:pPr>
        <w:pStyle w:val="TOC2"/>
        <w:tabs>
          <w:tab w:val="right" w:leader="dot" w:pos="8302"/>
        </w:tabs>
        <w:rPr>
          <w:rFonts w:eastAsiaTheme="minorEastAsia"/>
          <w:smallCaps w:val="0"/>
          <w:noProof/>
          <w:sz w:val="21"/>
          <w:szCs w:val="24"/>
        </w:rPr>
      </w:pPr>
      <w:hyperlink w:anchor="_Toc112830665" w:history="1">
        <w:r w:rsidR="00D07F0F" w:rsidRPr="00FD50F6">
          <w:rPr>
            <w:rStyle w:val="afff1"/>
            <w:noProof/>
            <w:color w:val="auto"/>
            <w:lang w:bidi="en-US"/>
          </w:rPr>
          <w:t xml:space="preserve">6.2 </w:t>
        </w:r>
        <w:r w:rsidR="00D07F0F" w:rsidRPr="00FD50F6">
          <w:rPr>
            <w:rStyle w:val="afff1"/>
            <w:noProof/>
            <w:color w:val="auto"/>
            <w:lang w:bidi="en-US"/>
          </w:rPr>
          <w:t>基本参数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_Toc112830665 \h </w:instrText>
        </w:r>
        <w:r w:rsidR="00D07F0F" w:rsidRPr="00FD50F6">
          <w:rPr>
            <w:noProof/>
            <w:webHidden/>
          </w:rPr>
        </w:r>
        <w:r w:rsidR="00D07F0F" w:rsidRPr="00FD50F6">
          <w:rPr>
            <w:noProof/>
            <w:webHidden/>
          </w:rPr>
          <w:fldChar w:fldCharType="separate"/>
        </w:r>
        <w:r>
          <w:rPr>
            <w:noProof/>
            <w:webHidden/>
          </w:rPr>
          <w:t>22</w:t>
        </w:r>
        <w:r w:rsidR="00D07F0F" w:rsidRPr="00FD50F6">
          <w:rPr>
            <w:noProof/>
            <w:webHidden/>
          </w:rPr>
          <w:fldChar w:fldCharType="end"/>
        </w:r>
      </w:hyperlink>
    </w:p>
    <w:p w14:paraId="14F72573" w14:textId="5F6C57DC" w:rsidR="00D07F0F" w:rsidRPr="00FD50F6" w:rsidRDefault="00BF2787">
      <w:pPr>
        <w:pStyle w:val="TOC2"/>
        <w:tabs>
          <w:tab w:val="right" w:leader="dot" w:pos="8302"/>
        </w:tabs>
        <w:rPr>
          <w:rFonts w:eastAsiaTheme="minorEastAsia"/>
          <w:smallCaps w:val="0"/>
          <w:noProof/>
          <w:sz w:val="21"/>
          <w:szCs w:val="24"/>
        </w:rPr>
      </w:pPr>
      <w:hyperlink w:anchor="_Toc112830666" w:history="1">
        <w:r w:rsidR="00D07F0F" w:rsidRPr="00FD50F6">
          <w:rPr>
            <w:rStyle w:val="afff1"/>
            <w:noProof/>
            <w:color w:val="auto"/>
            <w:lang w:bidi="en-US"/>
          </w:rPr>
          <w:t xml:space="preserve">6.3 </w:t>
        </w:r>
        <w:r w:rsidR="00D07F0F" w:rsidRPr="00FD50F6">
          <w:rPr>
            <w:rStyle w:val="afff1"/>
            <w:noProof/>
            <w:color w:val="auto"/>
            <w:lang w:bidi="en-US"/>
          </w:rPr>
          <w:t>建筑限界</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_Toc112830666 \h </w:instrText>
        </w:r>
        <w:r w:rsidR="00D07F0F" w:rsidRPr="00FD50F6">
          <w:rPr>
            <w:noProof/>
            <w:webHidden/>
          </w:rPr>
        </w:r>
        <w:r w:rsidR="00D07F0F" w:rsidRPr="00FD50F6">
          <w:rPr>
            <w:noProof/>
            <w:webHidden/>
          </w:rPr>
          <w:fldChar w:fldCharType="separate"/>
        </w:r>
        <w:r>
          <w:rPr>
            <w:noProof/>
            <w:webHidden/>
          </w:rPr>
          <w:t>23</w:t>
        </w:r>
        <w:r w:rsidR="00D07F0F" w:rsidRPr="00FD50F6">
          <w:rPr>
            <w:noProof/>
            <w:webHidden/>
          </w:rPr>
          <w:fldChar w:fldCharType="end"/>
        </w:r>
      </w:hyperlink>
    </w:p>
    <w:p w14:paraId="68646A24" w14:textId="1CFFF9E6" w:rsidR="00D07F0F" w:rsidRPr="00FD50F6" w:rsidRDefault="00BF2787">
      <w:pPr>
        <w:pStyle w:val="TOC2"/>
        <w:tabs>
          <w:tab w:val="right" w:leader="dot" w:pos="8302"/>
        </w:tabs>
        <w:rPr>
          <w:rFonts w:eastAsiaTheme="minorEastAsia"/>
          <w:smallCaps w:val="0"/>
          <w:noProof/>
          <w:sz w:val="21"/>
          <w:szCs w:val="24"/>
        </w:rPr>
      </w:pPr>
      <w:hyperlink w:anchor="_Toc112830667" w:history="1">
        <w:r w:rsidR="00D07F0F" w:rsidRPr="00FD50F6">
          <w:rPr>
            <w:rStyle w:val="afff1"/>
            <w:noProof/>
            <w:color w:val="auto"/>
            <w:lang w:bidi="en-US"/>
          </w:rPr>
          <w:t xml:space="preserve">6.4 </w:t>
        </w:r>
        <w:r w:rsidR="00D07F0F" w:rsidRPr="00FD50F6">
          <w:rPr>
            <w:rStyle w:val="afff1"/>
            <w:noProof/>
            <w:color w:val="auto"/>
            <w:lang w:bidi="en-US"/>
          </w:rPr>
          <w:t>轨道区设备和管线布置原则</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_Toc112830667 \h </w:instrText>
        </w:r>
        <w:r w:rsidR="00D07F0F" w:rsidRPr="00FD50F6">
          <w:rPr>
            <w:noProof/>
            <w:webHidden/>
          </w:rPr>
        </w:r>
        <w:r w:rsidR="00D07F0F" w:rsidRPr="00FD50F6">
          <w:rPr>
            <w:noProof/>
            <w:webHidden/>
          </w:rPr>
          <w:fldChar w:fldCharType="separate"/>
        </w:r>
        <w:r>
          <w:rPr>
            <w:noProof/>
            <w:webHidden/>
          </w:rPr>
          <w:t>27</w:t>
        </w:r>
        <w:r w:rsidR="00D07F0F" w:rsidRPr="00FD50F6">
          <w:rPr>
            <w:noProof/>
            <w:webHidden/>
          </w:rPr>
          <w:fldChar w:fldCharType="end"/>
        </w:r>
      </w:hyperlink>
    </w:p>
    <w:p w14:paraId="6F48DE36" w14:textId="01F7C95E" w:rsidR="00D07F0F" w:rsidRPr="00FD50F6" w:rsidRDefault="00BF2787">
      <w:pPr>
        <w:pStyle w:val="TOC1"/>
        <w:tabs>
          <w:tab w:val="right" w:leader="dot" w:pos="8302"/>
        </w:tabs>
        <w:rPr>
          <w:rFonts w:eastAsiaTheme="minorEastAsia"/>
          <w:b w:val="0"/>
          <w:bCs w:val="0"/>
          <w:caps w:val="0"/>
          <w:noProof/>
          <w:sz w:val="21"/>
          <w:szCs w:val="24"/>
        </w:rPr>
      </w:pPr>
      <w:hyperlink w:anchor="_Toc112830668" w:history="1">
        <w:r w:rsidR="00D07F0F" w:rsidRPr="00FD50F6">
          <w:rPr>
            <w:rStyle w:val="afff1"/>
            <w:noProof/>
            <w:color w:val="auto"/>
          </w:rPr>
          <w:t xml:space="preserve">7 </w:t>
        </w:r>
        <w:r w:rsidR="00D07F0F" w:rsidRPr="00FD50F6">
          <w:rPr>
            <w:rStyle w:val="afff1"/>
            <w:noProof/>
            <w:color w:val="auto"/>
          </w:rPr>
          <w:t>线</w:t>
        </w:r>
        <w:r w:rsidR="00D07F0F" w:rsidRPr="00FD50F6">
          <w:rPr>
            <w:rStyle w:val="afff1"/>
            <w:noProof/>
            <w:color w:val="auto"/>
          </w:rPr>
          <w:t xml:space="preserve">  </w:t>
        </w:r>
        <w:r w:rsidR="00D07F0F" w:rsidRPr="00FD50F6">
          <w:rPr>
            <w:rStyle w:val="afff1"/>
            <w:noProof/>
            <w:color w:val="auto"/>
          </w:rPr>
          <w:t>路</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_Toc112830668 \h </w:instrText>
        </w:r>
        <w:r w:rsidR="00D07F0F" w:rsidRPr="00FD50F6">
          <w:rPr>
            <w:noProof/>
            <w:webHidden/>
          </w:rPr>
        </w:r>
        <w:r w:rsidR="00D07F0F" w:rsidRPr="00FD50F6">
          <w:rPr>
            <w:noProof/>
            <w:webHidden/>
          </w:rPr>
          <w:fldChar w:fldCharType="separate"/>
        </w:r>
        <w:r>
          <w:rPr>
            <w:noProof/>
            <w:webHidden/>
          </w:rPr>
          <w:t>29</w:t>
        </w:r>
        <w:r w:rsidR="00D07F0F" w:rsidRPr="00FD50F6">
          <w:rPr>
            <w:noProof/>
            <w:webHidden/>
          </w:rPr>
          <w:fldChar w:fldCharType="end"/>
        </w:r>
      </w:hyperlink>
    </w:p>
    <w:p w14:paraId="5981B67A" w14:textId="5F710441" w:rsidR="00D07F0F" w:rsidRPr="00FD50F6" w:rsidRDefault="00BF2787">
      <w:pPr>
        <w:pStyle w:val="TOC2"/>
        <w:tabs>
          <w:tab w:val="right" w:leader="dot" w:pos="8302"/>
        </w:tabs>
        <w:rPr>
          <w:rFonts w:eastAsiaTheme="minorEastAsia"/>
          <w:smallCaps w:val="0"/>
          <w:noProof/>
          <w:sz w:val="21"/>
          <w:szCs w:val="24"/>
        </w:rPr>
      </w:pPr>
      <w:hyperlink w:anchor="_Toc112830669" w:history="1">
        <w:r w:rsidR="00D07F0F" w:rsidRPr="00FD50F6">
          <w:rPr>
            <w:rStyle w:val="afff1"/>
            <w:noProof/>
            <w:color w:val="auto"/>
            <w:lang w:bidi="en-US"/>
          </w:rPr>
          <w:t xml:space="preserve">7.1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_Toc112830669 \h </w:instrText>
        </w:r>
        <w:r w:rsidR="00D07F0F" w:rsidRPr="00FD50F6">
          <w:rPr>
            <w:noProof/>
            <w:webHidden/>
          </w:rPr>
        </w:r>
        <w:r w:rsidR="00D07F0F" w:rsidRPr="00FD50F6">
          <w:rPr>
            <w:noProof/>
            <w:webHidden/>
          </w:rPr>
          <w:fldChar w:fldCharType="separate"/>
        </w:r>
        <w:r>
          <w:rPr>
            <w:noProof/>
            <w:webHidden/>
          </w:rPr>
          <w:t>29</w:t>
        </w:r>
        <w:r w:rsidR="00D07F0F" w:rsidRPr="00FD50F6">
          <w:rPr>
            <w:noProof/>
            <w:webHidden/>
          </w:rPr>
          <w:fldChar w:fldCharType="end"/>
        </w:r>
      </w:hyperlink>
    </w:p>
    <w:p w14:paraId="60423FB5" w14:textId="2C0AC92C" w:rsidR="00D07F0F" w:rsidRPr="00FD50F6" w:rsidRDefault="00BF2787">
      <w:pPr>
        <w:pStyle w:val="TOC2"/>
        <w:tabs>
          <w:tab w:val="right" w:leader="dot" w:pos="8302"/>
        </w:tabs>
        <w:rPr>
          <w:rFonts w:eastAsiaTheme="minorEastAsia"/>
          <w:smallCaps w:val="0"/>
          <w:noProof/>
          <w:sz w:val="21"/>
          <w:szCs w:val="24"/>
        </w:rPr>
      </w:pPr>
      <w:hyperlink w:anchor="_Toc112830670" w:history="1">
        <w:r w:rsidR="00D07F0F" w:rsidRPr="00FD50F6">
          <w:rPr>
            <w:rStyle w:val="afff1"/>
            <w:noProof/>
            <w:color w:val="auto"/>
            <w:lang w:bidi="en-US"/>
          </w:rPr>
          <w:t xml:space="preserve">7.2 </w:t>
        </w:r>
        <w:r w:rsidR="00D07F0F" w:rsidRPr="00FD50F6">
          <w:rPr>
            <w:rStyle w:val="afff1"/>
            <w:noProof/>
            <w:color w:val="auto"/>
            <w:lang w:bidi="en-US"/>
          </w:rPr>
          <w:t>线路平面</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_Toc112830670 \h </w:instrText>
        </w:r>
        <w:r w:rsidR="00D07F0F" w:rsidRPr="00FD50F6">
          <w:rPr>
            <w:noProof/>
            <w:webHidden/>
          </w:rPr>
        </w:r>
        <w:r w:rsidR="00D07F0F" w:rsidRPr="00FD50F6">
          <w:rPr>
            <w:noProof/>
            <w:webHidden/>
          </w:rPr>
          <w:fldChar w:fldCharType="separate"/>
        </w:r>
        <w:r>
          <w:rPr>
            <w:noProof/>
            <w:webHidden/>
          </w:rPr>
          <w:t>32</w:t>
        </w:r>
        <w:r w:rsidR="00D07F0F" w:rsidRPr="00FD50F6">
          <w:rPr>
            <w:noProof/>
            <w:webHidden/>
          </w:rPr>
          <w:fldChar w:fldCharType="end"/>
        </w:r>
      </w:hyperlink>
    </w:p>
    <w:p w14:paraId="6892F757" w14:textId="5269F628" w:rsidR="00D07F0F" w:rsidRPr="00FD50F6" w:rsidRDefault="00BF2787">
      <w:pPr>
        <w:pStyle w:val="TOC2"/>
        <w:tabs>
          <w:tab w:val="right" w:leader="dot" w:pos="8302"/>
        </w:tabs>
        <w:rPr>
          <w:rFonts w:eastAsiaTheme="minorEastAsia"/>
          <w:smallCaps w:val="0"/>
          <w:noProof/>
          <w:sz w:val="21"/>
          <w:szCs w:val="24"/>
        </w:rPr>
      </w:pPr>
      <w:hyperlink w:anchor="_Toc112830671" w:history="1">
        <w:r w:rsidR="00D07F0F" w:rsidRPr="00FD50F6">
          <w:rPr>
            <w:rStyle w:val="afff1"/>
            <w:noProof/>
            <w:color w:val="auto"/>
            <w:lang w:bidi="en-US"/>
          </w:rPr>
          <w:t xml:space="preserve">7.3 </w:t>
        </w:r>
        <w:r w:rsidR="00D07F0F" w:rsidRPr="00FD50F6">
          <w:rPr>
            <w:rStyle w:val="afff1"/>
            <w:noProof/>
            <w:color w:val="auto"/>
            <w:lang w:bidi="en-US"/>
          </w:rPr>
          <w:t>线路纵断面</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_Toc112830671 \h </w:instrText>
        </w:r>
        <w:r w:rsidR="00D07F0F" w:rsidRPr="00FD50F6">
          <w:rPr>
            <w:noProof/>
            <w:webHidden/>
          </w:rPr>
        </w:r>
        <w:r w:rsidR="00D07F0F" w:rsidRPr="00FD50F6">
          <w:rPr>
            <w:noProof/>
            <w:webHidden/>
          </w:rPr>
          <w:fldChar w:fldCharType="separate"/>
        </w:r>
        <w:r>
          <w:rPr>
            <w:noProof/>
            <w:webHidden/>
          </w:rPr>
          <w:t>36</w:t>
        </w:r>
        <w:r w:rsidR="00D07F0F" w:rsidRPr="00FD50F6">
          <w:rPr>
            <w:noProof/>
            <w:webHidden/>
          </w:rPr>
          <w:fldChar w:fldCharType="end"/>
        </w:r>
      </w:hyperlink>
    </w:p>
    <w:p w14:paraId="6927B6B8" w14:textId="3740E745" w:rsidR="00D07F0F" w:rsidRPr="00FD50F6" w:rsidRDefault="00BF2787">
      <w:pPr>
        <w:pStyle w:val="TOC2"/>
        <w:tabs>
          <w:tab w:val="right" w:leader="dot" w:pos="8302"/>
        </w:tabs>
        <w:rPr>
          <w:rFonts w:eastAsiaTheme="minorEastAsia"/>
          <w:smallCaps w:val="0"/>
          <w:noProof/>
          <w:sz w:val="21"/>
          <w:szCs w:val="24"/>
        </w:rPr>
      </w:pPr>
      <w:hyperlink w:anchor="_Toc112830672" w:history="1">
        <w:r w:rsidR="00D07F0F" w:rsidRPr="00FD50F6">
          <w:rPr>
            <w:rStyle w:val="afff1"/>
            <w:noProof/>
            <w:color w:val="auto"/>
            <w:lang w:bidi="en-US"/>
          </w:rPr>
          <w:t xml:space="preserve">7.4 </w:t>
        </w:r>
        <w:r w:rsidR="00D07F0F" w:rsidRPr="00FD50F6">
          <w:rPr>
            <w:rStyle w:val="afff1"/>
            <w:noProof/>
            <w:color w:val="auto"/>
            <w:lang w:bidi="en-US"/>
          </w:rPr>
          <w:t>配线设置</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_Toc112830672 \h </w:instrText>
        </w:r>
        <w:r w:rsidR="00D07F0F" w:rsidRPr="00FD50F6">
          <w:rPr>
            <w:noProof/>
            <w:webHidden/>
          </w:rPr>
        </w:r>
        <w:r w:rsidR="00D07F0F" w:rsidRPr="00FD50F6">
          <w:rPr>
            <w:noProof/>
            <w:webHidden/>
          </w:rPr>
          <w:fldChar w:fldCharType="separate"/>
        </w:r>
        <w:r>
          <w:rPr>
            <w:noProof/>
            <w:webHidden/>
          </w:rPr>
          <w:t>37</w:t>
        </w:r>
        <w:r w:rsidR="00D07F0F" w:rsidRPr="00FD50F6">
          <w:rPr>
            <w:noProof/>
            <w:webHidden/>
          </w:rPr>
          <w:fldChar w:fldCharType="end"/>
        </w:r>
      </w:hyperlink>
    </w:p>
    <w:p w14:paraId="3399A32F" w14:textId="08B26B2A" w:rsidR="00D07F0F" w:rsidRPr="00FD50F6" w:rsidRDefault="00BF2787">
      <w:pPr>
        <w:pStyle w:val="TOC1"/>
        <w:tabs>
          <w:tab w:val="right" w:leader="dot" w:pos="8302"/>
        </w:tabs>
        <w:rPr>
          <w:rFonts w:eastAsiaTheme="minorEastAsia"/>
          <w:b w:val="0"/>
          <w:bCs w:val="0"/>
          <w:caps w:val="0"/>
          <w:noProof/>
          <w:sz w:val="21"/>
          <w:szCs w:val="24"/>
        </w:rPr>
      </w:pPr>
      <w:hyperlink w:anchor="_Toc112830673" w:history="1">
        <w:r w:rsidR="00D07F0F" w:rsidRPr="00FD50F6">
          <w:rPr>
            <w:rStyle w:val="afff1"/>
            <w:noProof/>
            <w:color w:val="auto"/>
          </w:rPr>
          <w:t xml:space="preserve">8 </w:t>
        </w:r>
        <w:r w:rsidR="00D07F0F" w:rsidRPr="00FD50F6">
          <w:rPr>
            <w:rStyle w:val="afff1"/>
            <w:noProof/>
            <w:color w:val="auto"/>
          </w:rPr>
          <w:t>轨</w:t>
        </w:r>
        <w:r w:rsidR="00D07F0F" w:rsidRPr="00FD50F6">
          <w:rPr>
            <w:rStyle w:val="afff1"/>
            <w:noProof/>
            <w:color w:val="auto"/>
          </w:rPr>
          <w:t xml:space="preserve">  </w:t>
        </w:r>
        <w:r w:rsidR="00D07F0F" w:rsidRPr="00FD50F6">
          <w:rPr>
            <w:rStyle w:val="afff1"/>
            <w:noProof/>
            <w:color w:val="auto"/>
          </w:rPr>
          <w:t>道</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_Toc112830673 \h </w:instrText>
        </w:r>
        <w:r w:rsidR="00D07F0F" w:rsidRPr="00FD50F6">
          <w:rPr>
            <w:noProof/>
            <w:webHidden/>
          </w:rPr>
        </w:r>
        <w:r w:rsidR="00D07F0F" w:rsidRPr="00FD50F6">
          <w:rPr>
            <w:noProof/>
            <w:webHidden/>
          </w:rPr>
          <w:fldChar w:fldCharType="separate"/>
        </w:r>
        <w:r>
          <w:rPr>
            <w:noProof/>
            <w:webHidden/>
          </w:rPr>
          <w:t>40</w:t>
        </w:r>
        <w:r w:rsidR="00D07F0F" w:rsidRPr="00FD50F6">
          <w:rPr>
            <w:noProof/>
            <w:webHidden/>
          </w:rPr>
          <w:fldChar w:fldCharType="end"/>
        </w:r>
      </w:hyperlink>
    </w:p>
    <w:p w14:paraId="281622F5" w14:textId="25ACFD67" w:rsidR="00D07F0F" w:rsidRPr="00FD50F6" w:rsidRDefault="00BF2787">
      <w:pPr>
        <w:pStyle w:val="TOC2"/>
        <w:tabs>
          <w:tab w:val="right" w:leader="dot" w:pos="8302"/>
        </w:tabs>
        <w:rPr>
          <w:rFonts w:eastAsiaTheme="minorEastAsia"/>
          <w:smallCaps w:val="0"/>
          <w:noProof/>
          <w:sz w:val="21"/>
          <w:szCs w:val="24"/>
        </w:rPr>
      </w:pPr>
      <w:hyperlink w:anchor="_Toc112830674" w:history="1">
        <w:r w:rsidR="00D07F0F" w:rsidRPr="00FD50F6">
          <w:rPr>
            <w:rStyle w:val="afff1"/>
            <w:noProof/>
            <w:color w:val="auto"/>
            <w:lang w:bidi="en-US"/>
          </w:rPr>
          <w:t xml:space="preserve">8.1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_Toc112830674 \h </w:instrText>
        </w:r>
        <w:r w:rsidR="00D07F0F" w:rsidRPr="00FD50F6">
          <w:rPr>
            <w:noProof/>
            <w:webHidden/>
          </w:rPr>
        </w:r>
        <w:r w:rsidR="00D07F0F" w:rsidRPr="00FD50F6">
          <w:rPr>
            <w:noProof/>
            <w:webHidden/>
          </w:rPr>
          <w:fldChar w:fldCharType="separate"/>
        </w:r>
        <w:r>
          <w:rPr>
            <w:noProof/>
            <w:webHidden/>
          </w:rPr>
          <w:t>40</w:t>
        </w:r>
        <w:r w:rsidR="00D07F0F" w:rsidRPr="00FD50F6">
          <w:rPr>
            <w:noProof/>
            <w:webHidden/>
          </w:rPr>
          <w:fldChar w:fldCharType="end"/>
        </w:r>
      </w:hyperlink>
    </w:p>
    <w:p w14:paraId="7447E585" w14:textId="30489F47" w:rsidR="00D07F0F" w:rsidRPr="00FD50F6" w:rsidRDefault="00BF2787">
      <w:pPr>
        <w:pStyle w:val="TOC2"/>
        <w:tabs>
          <w:tab w:val="right" w:leader="dot" w:pos="8302"/>
        </w:tabs>
        <w:rPr>
          <w:rFonts w:eastAsiaTheme="minorEastAsia"/>
          <w:smallCaps w:val="0"/>
          <w:noProof/>
          <w:sz w:val="21"/>
          <w:szCs w:val="24"/>
        </w:rPr>
      </w:pPr>
      <w:hyperlink w:anchor="_Toc112830675" w:history="1">
        <w:r w:rsidR="00D07F0F" w:rsidRPr="00FD50F6">
          <w:rPr>
            <w:rStyle w:val="afff1"/>
            <w:noProof/>
            <w:color w:val="auto"/>
            <w:lang w:bidi="en-US"/>
          </w:rPr>
          <w:t xml:space="preserve">8.2 </w:t>
        </w:r>
        <w:r w:rsidR="00D07F0F" w:rsidRPr="00FD50F6">
          <w:rPr>
            <w:rStyle w:val="afff1"/>
            <w:noProof/>
            <w:color w:val="auto"/>
            <w:lang w:bidi="en-US"/>
          </w:rPr>
          <w:t>基本技术要求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_Toc112830675 \h </w:instrText>
        </w:r>
        <w:r w:rsidR="00D07F0F" w:rsidRPr="00FD50F6">
          <w:rPr>
            <w:noProof/>
            <w:webHidden/>
          </w:rPr>
        </w:r>
        <w:r w:rsidR="00D07F0F" w:rsidRPr="00FD50F6">
          <w:rPr>
            <w:noProof/>
            <w:webHidden/>
          </w:rPr>
          <w:fldChar w:fldCharType="separate"/>
        </w:r>
        <w:r>
          <w:rPr>
            <w:noProof/>
            <w:webHidden/>
          </w:rPr>
          <w:t>40</w:t>
        </w:r>
        <w:r w:rsidR="00D07F0F" w:rsidRPr="00FD50F6">
          <w:rPr>
            <w:noProof/>
            <w:webHidden/>
          </w:rPr>
          <w:fldChar w:fldCharType="end"/>
        </w:r>
      </w:hyperlink>
    </w:p>
    <w:p w14:paraId="053D1B54" w14:textId="15BD62DF" w:rsidR="00D07F0F" w:rsidRPr="00FD50F6" w:rsidRDefault="00BF2787">
      <w:pPr>
        <w:pStyle w:val="TOC2"/>
        <w:tabs>
          <w:tab w:val="right" w:leader="dot" w:pos="8302"/>
        </w:tabs>
        <w:rPr>
          <w:rFonts w:eastAsiaTheme="minorEastAsia"/>
          <w:smallCaps w:val="0"/>
          <w:noProof/>
          <w:sz w:val="21"/>
          <w:szCs w:val="24"/>
        </w:rPr>
      </w:pPr>
      <w:hyperlink w:anchor="_Toc112830676" w:history="1">
        <w:r w:rsidR="00D07F0F" w:rsidRPr="00FD50F6">
          <w:rPr>
            <w:rStyle w:val="afff1"/>
            <w:noProof/>
            <w:color w:val="auto"/>
            <w:lang w:bidi="en-US"/>
          </w:rPr>
          <w:t xml:space="preserve">8.3 </w:t>
        </w:r>
        <w:r w:rsidR="00D07F0F" w:rsidRPr="00FD50F6">
          <w:rPr>
            <w:rStyle w:val="afff1"/>
            <w:noProof/>
            <w:color w:val="auto"/>
            <w:lang w:bidi="en-US"/>
          </w:rPr>
          <w:t>轨道部件</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_Toc112830676 \h </w:instrText>
        </w:r>
        <w:r w:rsidR="00D07F0F" w:rsidRPr="00FD50F6">
          <w:rPr>
            <w:noProof/>
            <w:webHidden/>
          </w:rPr>
        </w:r>
        <w:r w:rsidR="00D07F0F" w:rsidRPr="00FD50F6">
          <w:rPr>
            <w:noProof/>
            <w:webHidden/>
          </w:rPr>
          <w:fldChar w:fldCharType="separate"/>
        </w:r>
        <w:r>
          <w:rPr>
            <w:noProof/>
            <w:webHidden/>
          </w:rPr>
          <w:t>42</w:t>
        </w:r>
        <w:r w:rsidR="00D07F0F" w:rsidRPr="00FD50F6">
          <w:rPr>
            <w:noProof/>
            <w:webHidden/>
          </w:rPr>
          <w:fldChar w:fldCharType="end"/>
        </w:r>
      </w:hyperlink>
    </w:p>
    <w:p w14:paraId="144E0A4F" w14:textId="57BEBE48" w:rsidR="00D07F0F" w:rsidRPr="00FD50F6" w:rsidRDefault="00BF2787">
      <w:pPr>
        <w:pStyle w:val="TOC2"/>
        <w:tabs>
          <w:tab w:val="right" w:leader="dot" w:pos="8302"/>
        </w:tabs>
        <w:rPr>
          <w:rFonts w:eastAsiaTheme="minorEastAsia"/>
          <w:smallCaps w:val="0"/>
          <w:noProof/>
          <w:sz w:val="21"/>
          <w:szCs w:val="24"/>
        </w:rPr>
      </w:pPr>
      <w:hyperlink w:anchor="_Toc112830677" w:history="1">
        <w:r w:rsidR="00D07F0F" w:rsidRPr="00FD50F6">
          <w:rPr>
            <w:rStyle w:val="afff1"/>
            <w:noProof/>
            <w:color w:val="auto"/>
            <w:lang w:bidi="en-US"/>
          </w:rPr>
          <w:t xml:space="preserve">8.4 </w:t>
        </w:r>
        <w:r w:rsidR="00D07F0F" w:rsidRPr="00FD50F6">
          <w:rPr>
            <w:rStyle w:val="afff1"/>
            <w:noProof/>
            <w:color w:val="auto"/>
            <w:lang w:bidi="en-US"/>
          </w:rPr>
          <w:t>道床结构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_Toc112830677 \h </w:instrText>
        </w:r>
        <w:r w:rsidR="00D07F0F" w:rsidRPr="00FD50F6">
          <w:rPr>
            <w:noProof/>
            <w:webHidden/>
          </w:rPr>
        </w:r>
        <w:r w:rsidR="00D07F0F" w:rsidRPr="00FD50F6">
          <w:rPr>
            <w:noProof/>
            <w:webHidden/>
          </w:rPr>
          <w:fldChar w:fldCharType="separate"/>
        </w:r>
        <w:r>
          <w:rPr>
            <w:noProof/>
            <w:webHidden/>
          </w:rPr>
          <w:t>43</w:t>
        </w:r>
        <w:r w:rsidR="00D07F0F" w:rsidRPr="00FD50F6">
          <w:rPr>
            <w:noProof/>
            <w:webHidden/>
          </w:rPr>
          <w:fldChar w:fldCharType="end"/>
        </w:r>
      </w:hyperlink>
    </w:p>
    <w:p w14:paraId="10EE334C" w14:textId="72657ADE" w:rsidR="00D07F0F" w:rsidRPr="00FD50F6" w:rsidRDefault="00BF2787">
      <w:pPr>
        <w:pStyle w:val="TOC2"/>
        <w:tabs>
          <w:tab w:val="right" w:leader="dot" w:pos="8302"/>
        </w:tabs>
        <w:rPr>
          <w:rFonts w:eastAsiaTheme="minorEastAsia"/>
          <w:smallCaps w:val="0"/>
          <w:noProof/>
          <w:sz w:val="21"/>
          <w:szCs w:val="24"/>
        </w:rPr>
      </w:pPr>
      <w:hyperlink w:anchor="_Toc112830678" w:history="1">
        <w:r w:rsidR="00D07F0F" w:rsidRPr="00FD50F6">
          <w:rPr>
            <w:rStyle w:val="afff1"/>
            <w:noProof/>
            <w:color w:val="auto"/>
            <w:lang w:bidi="en-US"/>
          </w:rPr>
          <w:t xml:space="preserve">8.5 </w:t>
        </w:r>
        <w:r w:rsidR="00D07F0F" w:rsidRPr="00FD50F6">
          <w:rPr>
            <w:rStyle w:val="afff1"/>
            <w:noProof/>
            <w:color w:val="auto"/>
            <w:lang w:bidi="en-US"/>
          </w:rPr>
          <w:t>无缝线路</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_Toc112830678 \h </w:instrText>
        </w:r>
        <w:r w:rsidR="00D07F0F" w:rsidRPr="00FD50F6">
          <w:rPr>
            <w:noProof/>
            <w:webHidden/>
          </w:rPr>
        </w:r>
        <w:r w:rsidR="00D07F0F" w:rsidRPr="00FD50F6">
          <w:rPr>
            <w:noProof/>
            <w:webHidden/>
          </w:rPr>
          <w:fldChar w:fldCharType="separate"/>
        </w:r>
        <w:r>
          <w:rPr>
            <w:noProof/>
            <w:webHidden/>
          </w:rPr>
          <w:t>45</w:t>
        </w:r>
        <w:r w:rsidR="00D07F0F" w:rsidRPr="00FD50F6">
          <w:rPr>
            <w:noProof/>
            <w:webHidden/>
          </w:rPr>
          <w:fldChar w:fldCharType="end"/>
        </w:r>
      </w:hyperlink>
    </w:p>
    <w:p w14:paraId="1D329FBC" w14:textId="1C5CF4BD" w:rsidR="00D07F0F" w:rsidRPr="00FD50F6" w:rsidRDefault="00BF2787">
      <w:pPr>
        <w:pStyle w:val="TOC2"/>
        <w:tabs>
          <w:tab w:val="right" w:leader="dot" w:pos="8302"/>
        </w:tabs>
        <w:rPr>
          <w:rFonts w:eastAsiaTheme="minorEastAsia"/>
          <w:smallCaps w:val="0"/>
          <w:noProof/>
          <w:sz w:val="21"/>
          <w:szCs w:val="24"/>
        </w:rPr>
      </w:pPr>
      <w:hyperlink w:anchor="_Toc112830679" w:history="1">
        <w:r w:rsidR="00D07F0F" w:rsidRPr="00FD50F6">
          <w:rPr>
            <w:rStyle w:val="afff1"/>
            <w:noProof/>
            <w:color w:val="auto"/>
            <w:lang w:bidi="en-US"/>
          </w:rPr>
          <w:t xml:space="preserve">8.6 </w:t>
        </w:r>
        <w:r w:rsidR="00D07F0F" w:rsidRPr="00FD50F6">
          <w:rPr>
            <w:rStyle w:val="afff1"/>
            <w:noProof/>
            <w:color w:val="auto"/>
            <w:lang w:bidi="en-US"/>
          </w:rPr>
          <w:t>减振降噪轨道结构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_Toc112830679 \h </w:instrText>
        </w:r>
        <w:r w:rsidR="00D07F0F" w:rsidRPr="00FD50F6">
          <w:rPr>
            <w:noProof/>
            <w:webHidden/>
          </w:rPr>
        </w:r>
        <w:r w:rsidR="00D07F0F" w:rsidRPr="00FD50F6">
          <w:rPr>
            <w:noProof/>
            <w:webHidden/>
          </w:rPr>
          <w:fldChar w:fldCharType="separate"/>
        </w:r>
        <w:r>
          <w:rPr>
            <w:noProof/>
            <w:webHidden/>
          </w:rPr>
          <w:t>46</w:t>
        </w:r>
        <w:r w:rsidR="00D07F0F" w:rsidRPr="00FD50F6">
          <w:rPr>
            <w:noProof/>
            <w:webHidden/>
          </w:rPr>
          <w:fldChar w:fldCharType="end"/>
        </w:r>
      </w:hyperlink>
    </w:p>
    <w:p w14:paraId="3A26C0D2" w14:textId="0110F17C" w:rsidR="00D07F0F" w:rsidRPr="00FD50F6" w:rsidRDefault="00BF2787">
      <w:pPr>
        <w:pStyle w:val="TOC2"/>
        <w:tabs>
          <w:tab w:val="right" w:leader="dot" w:pos="8302"/>
        </w:tabs>
        <w:rPr>
          <w:rFonts w:eastAsiaTheme="minorEastAsia"/>
          <w:smallCaps w:val="0"/>
          <w:noProof/>
          <w:sz w:val="21"/>
          <w:szCs w:val="24"/>
        </w:rPr>
      </w:pPr>
      <w:hyperlink w:anchor="_Toc112830680" w:history="1">
        <w:r w:rsidR="00D07F0F" w:rsidRPr="00FD50F6">
          <w:rPr>
            <w:rStyle w:val="afff1"/>
            <w:noProof/>
            <w:color w:val="auto"/>
            <w:lang w:bidi="en-US"/>
          </w:rPr>
          <w:t xml:space="preserve">8.7 </w:t>
        </w:r>
        <w:r w:rsidR="00D07F0F" w:rsidRPr="00FD50F6">
          <w:rPr>
            <w:rStyle w:val="afff1"/>
            <w:noProof/>
            <w:color w:val="auto"/>
            <w:lang w:bidi="en-US"/>
          </w:rPr>
          <w:t>轨道安全设备及附属设备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_Toc112830680 \h </w:instrText>
        </w:r>
        <w:r w:rsidR="00D07F0F" w:rsidRPr="00FD50F6">
          <w:rPr>
            <w:noProof/>
            <w:webHidden/>
          </w:rPr>
        </w:r>
        <w:r w:rsidR="00D07F0F" w:rsidRPr="00FD50F6">
          <w:rPr>
            <w:noProof/>
            <w:webHidden/>
          </w:rPr>
          <w:fldChar w:fldCharType="separate"/>
        </w:r>
        <w:r>
          <w:rPr>
            <w:noProof/>
            <w:webHidden/>
          </w:rPr>
          <w:t>46</w:t>
        </w:r>
        <w:r w:rsidR="00D07F0F" w:rsidRPr="00FD50F6">
          <w:rPr>
            <w:noProof/>
            <w:webHidden/>
          </w:rPr>
          <w:fldChar w:fldCharType="end"/>
        </w:r>
      </w:hyperlink>
    </w:p>
    <w:p w14:paraId="7BC003BD" w14:textId="42C417B4" w:rsidR="00D07F0F" w:rsidRPr="00FD50F6" w:rsidRDefault="00BF2787">
      <w:pPr>
        <w:pStyle w:val="TOC1"/>
        <w:tabs>
          <w:tab w:val="right" w:leader="dot" w:pos="8302"/>
        </w:tabs>
        <w:rPr>
          <w:rFonts w:eastAsiaTheme="minorEastAsia"/>
          <w:b w:val="0"/>
          <w:bCs w:val="0"/>
          <w:caps w:val="0"/>
          <w:noProof/>
          <w:sz w:val="21"/>
          <w:szCs w:val="24"/>
        </w:rPr>
      </w:pPr>
      <w:hyperlink w:anchor="_Toc112830681" w:history="1">
        <w:r w:rsidR="00D07F0F" w:rsidRPr="00FD50F6">
          <w:rPr>
            <w:rStyle w:val="afff1"/>
            <w:noProof/>
            <w:color w:val="auto"/>
          </w:rPr>
          <w:t xml:space="preserve">9 </w:t>
        </w:r>
        <w:r w:rsidR="00D07F0F" w:rsidRPr="00FD50F6">
          <w:rPr>
            <w:rStyle w:val="afff1"/>
            <w:noProof/>
            <w:color w:val="auto"/>
          </w:rPr>
          <w:t>路</w:t>
        </w:r>
        <w:r w:rsidR="00D07F0F" w:rsidRPr="00FD50F6">
          <w:rPr>
            <w:rStyle w:val="afff1"/>
            <w:noProof/>
            <w:color w:val="auto"/>
          </w:rPr>
          <w:t xml:space="preserve">  </w:t>
        </w:r>
        <w:r w:rsidR="00D07F0F" w:rsidRPr="00FD50F6">
          <w:rPr>
            <w:rStyle w:val="afff1"/>
            <w:noProof/>
            <w:color w:val="auto"/>
          </w:rPr>
          <w:t>基</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_Toc112830681 \h </w:instrText>
        </w:r>
        <w:r w:rsidR="00D07F0F" w:rsidRPr="00FD50F6">
          <w:rPr>
            <w:noProof/>
            <w:webHidden/>
          </w:rPr>
        </w:r>
        <w:r w:rsidR="00D07F0F" w:rsidRPr="00FD50F6">
          <w:rPr>
            <w:noProof/>
            <w:webHidden/>
          </w:rPr>
          <w:fldChar w:fldCharType="separate"/>
        </w:r>
        <w:r>
          <w:rPr>
            <w:noProof/>
            <w:webHidden/>
          </w:rPr>
          <w:t>48</w:t>
        </w:r>
        <w:r w:rsidR="00D07F0F" w:rsidRPr="00FD50F6">
          <w:rPr>
            <w:noProof/>
            <w:webHidden/>
          </w:rPr>
          <w:fldChar w:fldCharType="end"/>
        </w:r>
      </w:hyperlink>
    </w:p>
    <w:p w14:paraId="105C667E" w14:textId="3D7B24EF" w:rsidR="00D07F0F" w:rsidRPr="00FD50F6" w:rsidRDefault="00BF2787">
      <w:pPr>
        <w:pStyle w:val="TOC2"/>
        <w:tabs>
          <w:tab w:val="right" w:leader="dot" w:pos="8302"/>
        </w:tabs>
        <w:rPr>
          <w:rFonts w:eastAsiaTheme="minorEastAsia"/>
          <w:smallCaps w:val="0"/>
          <w:noProof/>
          <w:sz w:val="21"/>
          <w:szCs w:val="24"/>
        </w:rPr>
      </w:pPr>
      <w:hyperlink w:anchor="_Toc112830682" w:history="1">
        <w:r w:rsidR="00D07F0F" w:rsidRPr="00FD50F6">
          <w:rPr>
            <w:rStyle w:val="afff1"/>
            <w:noProof/>
            <w:color w:val="auto"/>
            <w:lang w:bidi="en-US"/>
          </w:rPr>
          <w:t xml:space="preserve">9.1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_Toc112830682 \h </w:instrText>
        </w:r>
        <w:r w:rsidR="00D07F0F" w:rsidRPr="00FD50F6">
          <w:rPr>
            <w:noProof/>
            <w:webHidden/>
          </w:rPr>
        </w:r>
        <w:r w:rsidR="00D07F0F" w:rsidRPr="00FD50F6">
          <w:rPr>
            <w:noProof/>
            <w:webHidden/>
          </w:rPr>
          <w:fldChar w:fldCharType="separate"/>
        </w:r>
        <w:r>
          <w:rPr>
            <w:noProof/>
            <w:webHidden/>
          </w:rPr>
          <w:t>48</w:t>
        </w:r>
        <w:r w:rsidR="00D07F0F" w:rsidRPr="00FD50F6">
          <w:rPr>
            <w:noProof/>
            <w:webHidden/>
          </w:rPr>
          <w:fldChar w:fldCharType="end"/>
        </w:r>
      </w:hyperlink>
    </w:p>
    <w:p w14:paraId="43D4BAED" w14:textId="426FB91E" w:rsidR="00D07F0F" w:rsidRPr="00FD50F6" w:rsidRDefault="00BF2787">
      <w:pPr>
        <w:pStyle w:val="TOC2"/>
        <w:tabs>
          <w:tab w:val="right" w:leader="dot" w:pos="8302"/>
        </w:tabs>
        <w:rPr>
          <w:rFonts w:eastAsiaTheme="minorEastAsia"/>
          <w:smallCaps w:val="0"/>
          <w:noProof/>
          <w:sz w:val="21"/>
          <w:szCs w:val="24"/>
        </w:rPr>
      </w:pPr>
      <w:hyperlink w:anchor="_Toc112830683" w:history="1">
        <w:r w:rsidR="00D07F0F" w:rsidRPr="00FD50F6">
          <w:rPr>
            <w:rStyle w:val="afff1"/>
            <w:noProof/>
            <w:color w:val="auto"/>
            <w:lang w:bidi="en-US"/>
          </w:rPr>
          <w:t xml:space="preserve">9.2 </w:t>
        </w:r>
        <w:r w:rsidR="00D07F0F" w:rsidRPr="00FD50F6">
          <w:rPr>
            <w:rStyle w:val="afff1"/>
            <w:noProof/>
            <w:color w:val="auto"/>
            <w:lang w:bidi="en-US"/>
          </w:rPr>
          <w:t>路基面及基床</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_Toc112830683 \h </w:instrText>
        </w:r>
        <w:r w:rsidR="00D07F0F" w:rsidRPr="00FD50F6">
          <w:rPr>
            <w:noProof/>
            <w:webHidden/>
          </w:rPr>
        </w:r>
        <w:r w:rsidR="00D07F0F" w:rsidRPr="00FD50F6">
          <w:rPr>
            <w:noProof/>
            <w:webHidden/>
          </w:rPr>
          <w:fldChar w:fldCharType="separate"/>
        </w:r>
        <w:r>
          <w:rPr>
            <w:noProof/>
            <w:webHidden/>
          </w:rPr>
          <w:t>48</w:t>
        </w:r>
        <w:r w:rsidR="00D07F0F" w:rsidRPr="00FD50F6">
          <w:rPr>
            <w:noProof/>
            <w:webHidden/>
          </w:rPr>
          <w:fldChar w:fldCharType="end"/>
        </w:r>
      </w:hyperlink>
    </w:p>
    <w:p w14:paraId="5313F70E" w14:textId="2EA2AB0B" w:rsidR="00D07F0F" w:rsidRPr="00FD50F6" w:rsidRDefault="00BF2787">
      <w:pPr>
        <w:pStyle w:val="TOC2"/>
        <w:tabs>
          <w:tab w:val="right" w:leader="dot" w:pos="8302"/>
        </w:tabs>
        <w:rPr>
          <w:rFonts w:eastAsiaTheme="minorEastAsia"/>
          <w:smallCaps w:val="0"/>
          <w:noProof/>
          <w:sz w:val="21"/>
          <w:szCs w:val="24"/>
        </w:rPr>
      </w:pPr>
      <w:hyperlink w:anchor="_Toc112830684" w:history="1">
        <w:r w:rsidR="00D07F0F" w:rsidRPr="00FD50F6">
          <w:rPr>
            <w:rStyle w:val="afff1"/>
            <w:noProof/>
            <w:color w:val="auto"/>
            <w:lang w:bidi="en-US"/>
          </w:rPr>
          <w:t xml:space="preserve">9.3 </w:t>
        </w:r>
        <w:r w:rsidR="00D07F0F" w:rsidRPr="00FD50F6">
          <w:rPr>
            <w:rStyle w:val="afff1"/>
            <w:noProof/>
            <w:color w:val="auto"/>
            <w:lang w:bidi="en-US"/>
          </w:rPr>
          <w:t>路堤</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_Toc112830684 \h </w:instrText>
        </w:r>
        <w:r w:rsidR="00D07F0F" w:rsidRPr="00FD50F6">
          <w:rPr>
            <w:noProof/>
            <w:webHidden/>
          </w:rPr>
        </w:r>
        <w:r w:rsidR="00D07F0F" w:rsidRPr="00FD50F6">
          <w:rPr>
            <w:noProof/>
            <w:webHidden/>
          </w:rPr>
          <w:fldChar w:fldCharType="separate"/>
        </w:r>
        <w:r>
          <w:rPr>
            <w:noProof/>
            <w:webHidden/>
          </w:rPr>
          <w:t>50</w:t>
        </w:r>
        <w:r w:rsidR="00D07F0F" w:rsidRPr="00FD50F6">
          <w:rPr>
            <w:noProof/>
            <w:webHidden/>
          </w:rPr>
          <w:fldChar w:fldCharType="end"/>
        </w:r>
      </w:hyperlink>
    </w:p>
    <w:p w14:paraId="3FF9AF93" w14:textId="5DAA72CC" w:rsidR="00D07F0F" w:rsidRPr="00FD50F6" w:rsidRDefault="00BF2787">
      <w:pPr>
        <w:pStyle w:val="TOC2"/>
        <w:tabs>
          <w:tab w:val="right" w:leader="dot" w:pos="8302"/>
        </w:tabs>
        <w:rPr>
          <w:rFonts w:eastAsiaTheme="minorEastAsia"/>
          <w:smallCaps w:val="0"/>
          <w:noProof/>
          <w:sz w:val="21"/>
          <w:szCs w:val="24"/>
        </w:rPr>
      </w:pPr>
      <w:hyperlink w:anchor="_Toc112830685" w:history="1">
        <w:r w:rsidR="00D07F0F" w:rsidRPr="00FD50F6">
          <w:rPr>
            <w:rStyle w:val="afff1"/>
            <w:noProof/>
            <w:color w:val="auto"/>
            <w:lang w:bidi="en-US"/>
          </w:rPr>
          <w:t xml:space="preserve">9.4 </w:t>
        </w:r>
        <w:r w:rsidR="00D07F0F" w:rsidRPr="00FD50F6">
          <w:rPr>
            <w:rStyle w:val="afff1"/>
            <w:noProof/>
            <w:color w:val="auto"/>
            <w:lang w:bidi="en-US"/>
          </w:rPr>
          <w:t>路堑</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_Toc112830685 \h </w:instrText>
        </w:r>
        <w:r w:rsidR="00D07F0F" w:rsidRPr="00FD50F6">
          <w:rPr>
            <w:noProof/>
            <w:webHidden/>
          </w:rPr>
        </w:r>
        <w:r w:rsidR="00D07F0F" w:rsidRPr="00FD50F6">
          <w:rPr>
            <w:noProof/>
            <w:webHidden/>
          </w:rPr>
          <w:fldChar w:fldCharType="separate"/>
        </w:r>
        <w:r>
          <w:rPr>
            <w:noProof/>
            <w:webHidden/>
          </w:rPr>
          <w:t>52</w:t>
        </w:r>
        <w:r w:rsidR="00D07F0F" w:rsidRPr="00FD50F6">
          <w:rPr>
            <w:noProof/>
            <w:webHidden/>
          </w:rPr>
          <w:fldChar w:fldCharType="end"/>
        </w:r>
      </w:hyperlink>
    </w:p>
    <w:p w14:paraId="68D16BEC" w14:textId="5CED44E5" w:rsidR="00D07F0F" w:rsidRPr="00FD50F6" w:rsidRDefault="00BF2787">
      <w:pPr>
        <w:pStyle w:val="TOC2"/>
        <w:tabs>
          <w:tab w:val="right" w:leader="dot" w:pos="8302"/>
        </w:tabs>
        <w:rPr>
          <w:rFonts w:eastAsiaTheme="minorEastAsia"/>
          <w:smallCaps w:val="0"/>
          <w:noProof/>
          <w:sz w:val="21"/>
          <w:szCs w:val="24"/>
        </w:rPr>
      </w:pPr>
      <w:hyperlink w:anchor="_Toc112830686" w:history="1">
        <w:r w:rsidR="00D07F0F" w:rsidRPr="00FD50F6">
          <w:rPr>
            <w:rStyle w:val="afff1"/>
            <w:noProof/>
            <w:color w:val="auto"/>
            <w:lang w:bidi="en-US"/>
          </w:rPr>
          <w:t xml:space="preserve">9.5 </w:t>
        </w:r>
        <w:r w:rsidR="00D07F0F" w:rsidRPr="00FD50F6">
          <w:rPr>
            <w:rStyle w:val="afff1"/>
            <w:noProof/>
            <w:color w:val="auto"/>
            <w:lang w:bidi="en-US"/>
          </w:rPr>
          <w:t>路基支挡结构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_Toc112830686 \h </w:instrText>
        </w:r>
        <w:r w:rsidR="00D07F0F" w:rsidRPr="00FD50F6">
          <w:rPr>
            <w:noProof/>
            <w:webHidden/>
          </w:rPr>
        </w:r>
        <w:r w:rsidR="00D07F0F" w:rsidRPr="00FD50F6">
          <w:rPr>
            <w:noProof/>
            <w:webHidden/>
          </w:rPr>
          <w:fldChar w:fldCharType="separate"/>
        </w:r>
        <w:r>
          <w:rPr>
            <w:noProof/>
            <w:webHidden/>
          </w:rPr>
          <w:t>53</w:t>
        </w:r>
        <w:r w:rsidR="00D07F0F" w:rsidRPr="00FD50F6">
          <w:rPr>
            <w:noProof/>
            <w:webHidden/>
          </w:rPr>
          <w:fldChar w:fldCharType="end"/>
        </w:r>
      </w:hyperlink>
    </w:p>
    <w:p w14:paraId="45262E8D" w14:textId="591C870F" w:rsidR="00D07F0F" w:rsidRPr="00FD50F6" w:rsidRDefault="00BF2787">
      <w:pPr>
        <w:pStyle w:val="TOC2"/>
        <w:tabs>
          <w:tab w:val="right" w:leader="dot" w:pos="8302"/>
        </w:tabs>
        <w:rPr>
          <w:rFonts w:eastAsiaTheme="minorEastAsia"/>
          <w:smallCaps w:val="0"/>
          <w:noProof/>
          <w:sz w:val="21"/>
          <w:szCs w:val="24"/>
        </w:rPr>
      </w:pPr>
      <w:hyperlink w:anchor="_Toc112830687" w:history="1">
        <w:r w:rsidR="00D07F0F" w:rsidRPr="00FD50F6">
          <w:rPr>
            <w:rStyle w:val="afff1"/>
            <w:noProof/>
            <w:color w:val="auto"/>
            <w:lang w:bidi="en-US"/>
          </w:rPr>
          <w:t xml:space="preserve">9.6 </w:t>
        </w:r>
        <w:r w:rsidR="00D07F0F" w:rsidRPr="00FD50F6">
          <w:rPr>
            <w:rStyle w:val="afff1"/>
            <w:noProof/>
            <w:color w:val="auto"/>
            <w:lang w:bidi="en-US"/>
          </w:rPr>
          <w:t>路基排水及防护</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_Toc112830687 \h </w:instrText>
        </w:r>
        <w:r w:rsidR="00D07F0F" w:rsidRPr="00FD50F6">
          <w:rPr>
            <w:noProof/>
            <w:webHidden/>
          </w:rPr>
        </w:r>
        <w:r w:rsidR="00D07F0F" w:rsidRPr="00FD50F6">
          <w:rPr>
            <w:noProof/>
            <w:webHidden/>
          </w:rPr>
          <w:fldChar w:fldCharType="separate"/>
        </w:r>
        <w:r>
          <w:rPr>
            <w:noProof/>
            <w:webHidden/>
          </w:rPr>
          <w:t>53</w:t>
        </w:r>
        <w:r w:rsidR="00D07F0F" w:rsidRPr="00FD50F6">
          <w:rPr>
            <w:noProof/>
            <w:webHidden/>
          </w:rPr>
          <w:fldChar w:fldCharType="end"/>
        </w:r>
      </w:hyperlink>
    </w:p>
    <w:p w14:paraId="64D4ADB0" w14:textId="70911791" w:rsidR="00D07F0F" w:rsidRPr="00FD50F6" w:rsidRDefault="00BF2787">
      <w:pPr>
        <w:pStyle w:val="TOC1"/>
        <w:tabs>
          <w:tab w:val="right" w:leader="dot" w:pos="8302"/>
        </w:tabs>
        <w:rPr>
          <w:rFonts w:eastAsiaTheme="minorEastAsia"/>
          <w:b w:val="0"/>
          <w:bCs w:val="0"/>
          <w:caps w:val="0"/>
          <w:noProof/>
          <w:sz w:val="21"/>
          <w:szCs w:val="24"/>
        </w:rPr>
      </w:pPr>
      <w:hyperlink w:anchor="_Toc112830688" w:history="1">
        <w:r w:rsidR="00D07F0F" w:rsidRPr="00FD50F6">
          <w:rPr>
            <w:rStyle w:val="afff1"/>
            <w:noProof/>
            <w:color w:val="auto"/>
          </w:rPr>
          <w:t xml:space="preserve">10 </w:t>
        </w:r>
        <w:r w:rsidR="00D07F0F" w:rsidRPr="00FD50F6">
          <w:rPr>
            <w:rStyle w:val="afff1"/>
            <w:noProof/>
            <w:color w:val="auto"/>
          </w:rPr>
          <w:t>建筑</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_Toc112830688 \h </w:instrText>
        </w:r>
        <w:r w:rsidR="00D07F0F" w:rsidRPr="00FD50F6">
          <w:rPr>
            <w:noProof/>
            <w:webHidden/>
          </w:rPr>
        </w:r>
        <w:r w:rsidR="00D07F0F" w:rsidRPr="00FD50F6">
          <w:rPr>
            <w:noProof/>
            <w:webHidden/>
          </w:rPr>
          <w:fldChar w:fldCharType="separate"/>
        </w:r>
        <w:r>
          <w:rPr>
            <w:noProof/>
            <w:webHidden/>
          </w:rPr>
          <w:t>55</w:t>
        </w:r>
        <w:r w:rsidR="00D07F0F" w:rsidRPr="00FD50F6">
          <w:rPr>
            <w:noProof/>
            <w:webHidden/>
          </w:rPr>
          <w:fldChar w:fldCharType="end"/>
        </w:r>
      </w:hyperlink>
    </w:p>
    <w:p w14:paraId="4E182A4E" w14:textId="43155B1D" w:rsidR="00D07F0F" w:rsidRPr="00FD50F6" w:rsidRDefault="00BF2787">
      <w:pPr>
        <w:pStyle w:val="TOC2"/>
        <w:tabs>
          <w:tab w:val="right" w:leader="dot" w:pos="8302"/>
        </w:tabs>
        <w:rPr>
          <w:rFonts w:eastAsiaTheme="minorEastAsia"/>
          <w:smallCaps w:val="0"/>
          <w:noProof/>
          <w:sz w:val="21"/>
          <w:szCs w:val="24"/>
        </w:rPr>
      </w:pPr>
      <w:hyperlink w:anchor="_Toc112830689" w:history="1">
        <w:r w:rsidR="00D07F0F" w:rsidRPr="00FD50F6">
          <w:rPr>
            <w:rStyle w:val="afff1"/>
            <w:noProof/>
            <w:color w:val="auto"/>
            <w:lang w:bidi="en-US"/>
          </w:rPr>
          <w:t xml:space="preserve">10.1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_Toc112830689 \h </w:instrText>
        </w:r>
        <w:r w:rsidR="00D07F0F" w:rsidRPr="00FD50F6">
          <w:rPr>
            <w:noProof/>
            <w:webHidden/>
          </w:rPr>
        </w:r>
        <w:r w:rsidR="00D07F0F" w:rsidRPr="00FD50F6">
          <w:rPr>
            <w:noProof/>
            <w:webHidden/>
          </w:rPr>
          <w:fldChar w:fldCharType="separate"/>
        </w:r>
        <w:r>
          <w:rPr>
            <w:noProof/>
            <w:webHidden/>
          </w:rPr>
          <w:t>55</w:t>
        </w:r>
        <w:r w:rsidR="00D07F0F" w:rsidRPr="00FD50F6">
          <w:rPr>
            <w:noProof/>
            <w:webHidden/>
          </w:rPr>
          <w:fldChar w:fldCharType="end"/>
        </w:r>
      </w:hyperlink>
    </w:p>
    <w:p w14:paraId="101BC55C" w14:textId="50330EA5" w:rsidR="00D07F0F" w:rsidRPr="00FD50F6" w:rsidRDefault="00BF2787">
      <w:pPr>
        <w:pStyle w:val="TOC2"/>
        <w:tabs>
          <w:tab w:val="right" w:leader="dot" w:pos="8302"/>
        </w:tabs>
        <w:rPr>
          <w:rFonts w:eastAsiaTheme="minorEastAsia"/>
          <w:smallCaps w:val="0"/>
          <w:noProof/>
          <w:sz w:val="21"/>
          <w:szCs w:val="24"/>
        </w:rPr>
      </w:pPr>
      <w:hyperlink w:anchor="_Toc112830690" w:history="1">
        <w:r w:rsidR="00D07F0F" w:rsidRPr="00FD50F6">
          <w:rPr>
            <w:rStyle w:val="afff1"/>
            <w:noProof/>
            <w:color w:val="auto"/>
            <w:lang w:bidi="en-US"/>
          </w:rPr>
          <w:t xml:space="preserve">10.2 </w:t>
        </w:r>
        <w:r w:rsidR="00D07F0F" w:rsidRPr="00FD50F6">
          <w:rPr>
            <w:rStyle w:val="afff1"/>
            <w:noProof/>
            <w:color w:val="auto"/>
            <w:lang w:bidi="en-US"/>
          </w:rPr>
          <w:t>车站设计标准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_Toc112830690 \h </w:instrText>
        </w:r>
        <w:r w:rsidR="00D07F0F" w:rsidRPr="00FD50F6">
          <w:rPr>
            <w:noProof/>
            <w:webHidden/>
          </w:rPr>
        </w:r>
        <w:r w:rsidR="00D07F0F" w:rsidRPr="00FD50F6">
          <w:rPr>
            <w:noProof/>
            <w:webHidden/>
          </w:rPr>
          <w:fldChar w:fldCharType="separate"/>
        </w:r>
        <w:r>
          <w:rPr>
            <w:noProof/>
            <w:webHidden/>
          </w:rPr>
          <w:t>56</w:t>
        </w:r>
        <w:r w:rsidR="00D07F0F" w:rsidRPr="00FD50F6">
          <w:rPr>
            <w:noProof/>
            <w:webHidden/>
          </w:rPr>
          <w:fldChar w:fldCharType="end"/>
        </w:r>
      </w:hyperlink>
    </w:p>
    <w:p w14:paraId="146F17CB" w14:textId="27F804DB" w:rsidR="00D07F0F" w:rsidRPr="00FD50F6" w:rsidRDefault="00BF2787">
      <w:pPr>
        <w:pStyle w:val="TOC2"/>
        <w:tabs>
          <w:tab w:val="right" w:leader="dot" w:pos="8302"/>
        </w:tabs>
        <w:rPr>
          <w:rFonts w:eastAsiaTheme="minorEastAsia"/>
          <w:smallCaps w:val="0"/>
          <w:noProof/>
          <w:sz w:val="21"/>
          <w:szCs w:val="24"/>
        </w:rPr>
      </w:pPr>
      <w:hyperlink w:anchor="_Toc112830691" w:history="1">
        <w:r w:rsidR="00D07F0F" w:rsidRPr="00FD50F6">
          <w:rPr>
            <w:rStyle w:val="afff1"/>
            <w:noProof/>
            <w:color w:val="auto"/>
            <w:lang w:bidi="en-US"/>
          </w:rPr>
          <w:t xml:space="preserve">10.3 </w:t>
        </w:r>
        <w:r w:rsidR="00D07F0F" w:rsidRPr="00FD50F6">
          <w:rPr>
            <w:rStyle w:val="afff1"/>
            <w:noProof/>
            <w:color w:val="auto"/>
            <w:lang w:bidi="en-US"/>
          </w:rPr>
          <w:t>车站总体布置</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_Toc112830691 \h </w:instrText>
        </w:r>
        <w:r w:rsidR="00D07F0F" w:rsidRPr="00FD50F6">
          <w:rPr>
            <w:noProof/>
            <w:webHidden/>
          </w:rPr>
        </w:r>
        <w:r w:rsidR="00D07F0F" w:rsidRPr="00FD50F6">
          <w:rPr>
            <w:noProof/>
            <w:webHidden/>
          </w:rPr>
          <w:fldChar w:fldCharType="separate"/>
        </w:r>
        <w:r>
          <w:rPr>
            <w:noProof/>
            <w:webHidden/>
          </w:rPr>
          <w:t>59</w:t>
        </w:r>
        <w:r w:rsidR="00D07F0F" w:rsidRPr="00FD50F6">
          <w:rPr>
            <w:noProof/>
            <w:webHidden/>
          </w:rPr>
          <w:fldChar w:fldCharType="end"/>
        </w:r>
      </w:hyperlink>
    </w:p>
    <w:p w14:paraId="04F07129" w14:textId="36AB2CEE" w:rsidR="00D07F0F" w:rsidRPr="00FD50F6" w:rsidRDefault="00BF2787">
      <w:pPr>
        <w:pStyle w:val="TOC2"/>
        <w:tabs>
          <w:tab w:val="right" w:leader="dot" w:pos="8302"/>
        </w:tabs>
        <w:rPr>
          <w:rFonts w:eastAsiaTheme="minorEastAsia"/>
          <w:smallCaps w:val="0"/>
          <w:noProof/>
          <w:sz w:val="21"/>
          <w:szCs w:val="24"/>
        </w:rPr>
      </w:pPr>
      <w:hyperlink w:anchor="_Toc112830692" w:history="1">
        <w:r w:rsidR="00D07F0F" w:rsidRPr="00FD50F6">
          <w:rPr>
            <w:rStyle w:val="afff1"/>
            <w:noProof/>
            <w:color w:val="auto"/>
            <w:lang w:bidi="en-US"/>
          </w:rPr>
          <w:t xml:space="preserve">10.4 </w:t>
        </w:r>
        <w:r w:rsidR="00D07F0F" w:rsidRPr="00FD50F6">
          <w:rPr>
            <w:rStyle w:val="afff1"/>
            <w:noProof/>
            <w:color w:val="auto"/>
            <w:lang w:bidi="en-US"/>
          </w:rPr>
          <w:t>车站平面</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_Toc112830692 \h </w:instrText>
        </w:r>
        <w:r w:rsidR="00D07F0F" w:rsidRPr="00FD50F6">
          <w:rPr>
            <w:noProof/>
            <w:webHidden/>
          </w:rPr>
        </w:r>
        <w:r w:rsidR="00D07F0F" w:rsidRPr="00FD50F6">
          <w:rPr>
            <w:noProof/>
            <w:webHidden/>
          </w:rPr>
          <w:fldChar w:fldCharType="separate"/>
        </w:r>
        <w:r>
          <w:rPr>
            <w:noProof/>
            <w:webHidden/>
          </w:rPr>
          <w:t>61</w:t>
        </w:r>
        <w:r w:rsidR="00D07F0F" w:rsidRPr="00FD50F6">
          <w:rPr>
            <w:noProof/>
            <w:webHidden/>
          </w:rPr>
          <w:fldChar w:fldCharType="end"/>
        </w:r>
      </w:hyperlink>
    </w:p>
    <w:p w14:paraId="1731DE08" w14:textId="50570E74" w:rsidR="00D07F0F" w:rsidRPr="00FD50F6" w:rsidRDefault="00BF2787">
      <w:pPr>
        <w:pStyle w:val="TOC2"/>
        <w:tabs>
          <w:tab w:val="right" w:leader="dot" w:pos="8302"/>
        </w:tabs>
        <w:rPr>
          <w:rFonts w:eastAsiaTheme="minorEastAsia"/>
          <w:smallCaps w:val="0"/>
          <w:noProof/>
          <w:sz w:val="21"/>
          <w:szCs w:val="24"/>
        </w:rPr>
      </w:pPr>
      <w:hyperlink w:anchor="_Toc112830693" w:history="1">
        <w:r w:rsidR="00D07F0F" w:rsidRPr="00FD50F6">
          <w:rPr>
            <w:rStyle w:val="afff1"/>
            <w:noProof/>
            <w:color w:val="auto"/>
            <w:lang w:bidi="en-US"/>
          </w:rPr>
          <w:t xml:space="preserve">10.5 </w:t>
        </w:r>
        <w:r w:rsidR="00D07F0F" w:rsidRPr="00FD50F6">
          <w:rPr>
            <w:rStyle w:val="afff1"/>
            <w:noProof/>
            <w:color w:val="auto"/>
            <w:lang w:bidi="en-US"/>
          </w:rPr>
          <w:t>车站出入口</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_Toc112830693 \h </w:instrText>
        </w:r>
        <w:r w:rsidR="00D07F0F" w:rsidRPr="00FD50F6">
          <w:rPr>
            <w:noProof/>
            <w:webHidden/>
          </w:rPr>
        </w:r>
        <w:r w:rsidR="00D07F0F" w:rsidRPr="00FD50F6">
          <w:rPr>
            <w:noProof/>
            <w:webHidden/>
          </w:rPr>
          <w:fldChar w:fldCharType="separate"/>
        </w:r>
        <w:r>
          <w:rPr>
            <w:noProof/>
            <w:webHidden/>
          </w:rPr>
          <w:t>64</w:t>
        </w:r>
        <w:r w:rsidR="00D07F0F" w:rsidRPr="00FD50F6">
          <w:rPr>
            <w:noProof/>
            <w:webHidden/>
          </w:rPr>
          <w:fldChar w:fldCharType="end"/>
        </w:r>
      </w:hyperlink>
    </w:p>
    <w:p w14:paraId="6F1F8BDB" w14:textId="3DCDD9C9" w:rsidR="00D07F0F" w:rsidRPr="00FD50F6" w:rsidRDefault="00BF2787">
      <w:pPr>
        <w:pStyle w:val="TOC2"/>
        <w:tabs>
          <w:tab w:val="right" w:leader="dot" w:pos="8302"/>
        </w:tabs>
        <w:rPr>
          <w:rFonts w:eastAsiaTheme="minorEastAsia"/>
          <w:smallCaps w:val="0"/>
          <w:noProof/>
          <w:sz w:val="21"/>
          <w:szCs w:val="24"/>
        </w:rPr>
      </w:pPr>
      <w:hyperlink w:anchor="_Toc112830699" w:history="1">
        <w:r w:rsidR="00D07F0F" w:rsidRPr="00FD50F6">
          <w:rPr>
            <w:rStyle w:val="afff1"/>
            <w:noProof/>
            <w:color w:val="auto"/>
            <w:lang w:bidi="en-US"/>
          </w:rPr>
          <w:t xml:space="preserve">10.6 </w:t>
        </w:r>
        <w:r w:rsidR="00D07F0F" w:rsidRPr="00FD50F6">
          <w:rPr>
            <w:rStyle w:val="afff1"/>
            <w:noProof/>
            <w:color w:val="auto"/>
            <w:lang w:bidi="en-US"/>
          </w:rPr>
          <w:t>风亭（井）与冷却塔</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_Toc112830699 \h </w:instrText>
        </w:r>
        <w:r w:rsidR="00D07F0F" w:rsidRPr="00FD50F6">
          <w:rPr>
            <w:noProof/>
            <w:webHidden/>
          </w:rPr>
        </w:r>
        <w:r w:rsidR="00D07F0F" w:rsidRPr="00FD50F6">
          <w:rPr>
            <w:noProof/>
            <w:webHidden/>
          </w:rPr>
          <w:fldChar w:fldCharType="separate"/>
        </w:r>
        <w:r>
          <w:rPr>
            <w:noProof/>
            <w:webHidden/>
          </w:rPr>
          <w:t>65</w:t>
        </w:r>
        <w:r w:rsidR="00D07F0F" w:rsidRPr="00FD50F6">
          <w:rPr>
            <w:noProof/>
            <w:webHidden/>
          </w:rPr>
          <w:fldChar w:fldCharType="end"/>
        </w:r>
      </w:hyperlink>
    </w:p>
    <w:p w14:paraId="28453E2E" w14:textId="42FAF0BF" w:rsidR="00D07F0F" w:rsidRPr="00FD50F6" w:rsidRDefault="00BF2787">
      <w:pPr>
        <w:pStyle w:val="TOC2"/>
        <w:tabs>
          <w:tab w:val="right" w:leader="dot" w:pos="8302"/>
        </w:tabs>
        <w:rPr>
          <w:rFonts w:eastAsiaTheme="minorEastAsia"/>
          <w:smallCaps w:val="0"/>
          <w:noProof/>
          <w:sz w:val="21"/>
          <w:szCs w:val="24"/>
        </w:rPr>
      </w:pPr>
      <w:hyperlink w:anchor="_Toc112830700" w:history="1">
        <w:r w:rsidR="00D07F0F" w:rsidRPr="00FD50F6">
          <w:rPr>
            <w:rStyle w:val="afff1"/>
            <w:noProof/>
            <w:color w:val="auto"/>
            <w:lang w:bidi="en-US"/>
          </w:rPr>
          <w:t xml:space="preserve">10.7 </w:t>
        </w:r>
        <w:r w:rsidR="00D07F0F" w:rsidRPr="00FD50F6">
          <w:rPr>
            <w:rStyle w:val="afff1"/>
            <w:noProof/>
            <w:color w:val="auto"/>
            <w:lang w:bidi="en-US"/>
          </w:rPr>
          <w:t>车站交通设施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_Toc112830700 \h </w:instrText>
        </w:r>
        <w:r w:rsidR="00D07F0F" w:rsidRPr="00FD50F6">
          <w:rPr>
            <w:noProof/>
            <w:webHidden/>
          </w:rPr>
        </w:r>
        <w:r w:rsidR="00D07F0F" w:rsidRPr="00FD50F6">
          <w:rPr>
            <w:noProof/>
            <w:webHidden/>
          </w:rPr>
          <w:fldChar w:fldCharType="separate"/>
        </w:r>
        <w:r>
          <w:rPr>
            <w:noProof/>
            <w:webHidden/>
          </w:rPr>
          <w:t>66</w:t>
        </w:r>
        <w:r w:rsidR="00D07F0F" w:rsidRPr="00FD50F6">
          <w:rPr>
            <w:noProof/>
            <w:webHidden/>
          </w:rPr>
          <w:fldChar w:fldCharType="end"/>
        </w:r>
      </w:hyperlink>
    </w:p>
    <w:p w14:paraId="036F3AAA" w14:textId="0C445CE2" w:rsidR="00D07F0F" w:rsidRPr="00FD50F6" w:rsidRDefault="00BF2787">
      <w:pPr>
        <w:pStyle w:val="TOC2"/>
        <w:tabs>
          <w:tab w:val="right" w:leader="dot" w:pos="8302"/>
        </w:tabs>
        <w:rPr>
          <w:rFonts w:eastAsiaTheme="minorEastAsia"/>
          <w:smallCaps w:val="0"/>
          <w:noProof/>
          <w:sz w:val="21"/>
          <w:szCs w:val="24"/>
        </w:rPr>
      </w:pPr>
      <w:hyperlink w:anchor="_Toc112830704" w:history="1">
        <w:r w:rsidR="00D07F0F" w:rsidRPr="00FD50F6">
          <w:rPr>
            <w:rStyle w:val="afff1"/>
            <w:noProof/>
            <w:color w:val="auto"/>
            <w:lang w:bidi="en-US"/>
          </w:rPr>
          <w:t xml:space="preserve">10.8 </w:t>
        </w:r>
        <w:r w:rsidR="00D07F0F" w:rsidRPr="00FD50F6">
          <w:rPr>
            <w:rStyle w:val="afff1"/>
            <w:noProof/>
            <w:color w:val="auto"/>
            <w:lang w:bidi="en-US"/>
          </w:rPr>
          <w:t>车站环境设计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_Toc112830704 \h </w:instrText>
        </w:r>
        <w:r w:rsidR="00D07F0F" w:rsidRPr="00FD50F6">
          <w:rPr>
            <w:noProof/>
            <w:webHidden/>
          </w:rPr>
        </w:r>
        <w:r w:rsidR="00D07F0F" w:rsidRPr="00FD50F6">
          <w:rPr>
            <w:noProof/>
            <w:webHidden/>
          </w:rPr>
          <w:fldChar w:fldCharType="separate"/>
        </w:r>
        <w:r>
          <w:rPr>
            <w:noProof/>
            <w:webHidden/>
          </w:rPr>
          <w:t>68</w:t>
        </w:r>
        <w:r w:rsidR="00D07F0F" w:rsidRPr="00FD50F6">
          <w:rPr>
            <w:noProof/>
            <w:webHidden/>
          </w:rPr>
          <w:fldChar w:fldCharType="end"/>
        </w:r>
      </w:hyperlink>
    </w:p>
    <w:p w14:paraId="5D2A37F7" w14:textId="21F82AC4" w:rsidR="00D07F0F" w:rsidRPr="00FD50F6" w:rsidRDefault="00BF2787">
      <w:pPr>
        <w:pStyle w:val="TOC2"/>
        <w:tabs>
          <w:tab w:val="right" w:leader="dot" w:pos="8302"/>
        </w:tabs>
        <w:rPr>
          <w:rFonts w:eastAsiaTheme="minorEastAsia"/>
          <w:smallCaps w:val="0"/>
          <w:noProof/>
          <w:sz w:val="21"/>
          <w:szCs w:val="24"/>
        </w:rPr>
      </w:pPr>
      <w:hyperlink w:anchor="_Toc112830705" w:history="1">
        <w:r w:rsidR="00D07F0F" w:rsidRPr="00FD50F6">
          <w:rPr>
            <w:rStyle w:val="afff1"/>
            <w:noProof/>
            <w:color w:val="auto"/>
            <w:lang w:bidi="en-US"/>
          </w:rPr>
          <w:t xml:space="preserve">10.9 </w:t>
        </w:r>
        <w:r w:rsidR="00D07F0F" w:rsidRPr="00FD50F6">
          <w:rPr>
            <w:rStyle w:val="afff1"/>
            <w:noProof/>
            <w:color w:val="auto"/>
            <w:lang w:bidi="en-US"/>
          </w:rPr>
          <w:t>车站无障碍设施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_Toc112830705 \h </w:instrText>
        </w:r>
        <w:r w:rsidR="00D07F0F" w:rsidRPr="00FD50F6">
          <w:rPr>
            <w:noProof/>
            <w:webHidden/>
          </w:rPr>
        </w:r>
        <w:r w:rsidR="00D07F0F" w:rsidRPr="00FD50F6">
          <w:rPr>
            <w:noProof/>
            <w:webHidden/>
          </w:rPr>
          <w:fldChar w:fldCharType="separate"/>
        </w:r>
        <w:r>
          <w:rPr>
            <w:noProof/>
            <w:webHidden/>
          </w:rPr>
          <w:t>68</w:t>
        </w:r>
        <w:r w:rsidR="00D07F0F" w:rsidRPr="00FD50F6">
          <w:rPr>
            <w:noProof/>
            <w:webHidden/>
          </w:rPr>
          <w:fldChar w:fldCharType="end"/>
        </w:r>
      </w:hyperlink>
    </w:p>
    <w:p w14:paraId="37B1DF04" w14:textId="76432BD7" w:rsidR="00D07F0F" w:rsidRPr="00FD50F6" w:rsidRDefault="00BF2787">
      <w:pPr>
        <w:pStyle w:val="TOC2"/>
        <w:tabs>
          <w:tab w:val="right" w:leader="dot" w:pos="8302"/>
        </w:tabs>
        <w:rPr>
          <w:rFonts w:eastAsiaTheme="minorEastAsia"/>
          <w:smallCaps w:val="0"/>
          <w:noProof/>
          <w:sz w:val="21"/>
          <w:szCs w:val="24"/>
        </w:rPr>
      </w:pPr>
      <w:hyperlink w:anchor="_Toc112830706" w:history="1">
        <w:r w:rsidR="00D07F0F" w:rsidRPr="00FD50F6">
          <w:rPr>
            <w:rStyle w:val="afff1"/>
            <w:noProof/>
            <w:color w:val="auto"/>
            <w:lang w:bidi="en-US"/>
          </w:rPr>
          <w:t xml:space="preserve">10.10 </w:t>
        </w:r>
        <w:r w:rsidR="00D07F0F" w:rsidRPr="00FD50F6">
          <w:rPr>
            <w:rStyle w:val="afff1"/>
            <w:noProof/>
            <w:color w:val="auto"/>
            <w:lang w:bidi="en-US"/>
          </w:rPr>
          <w:t>换乘车站</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_Toc112830706 \h </w:instrText>
        </w:r>
        <w:r w:rsidR="00D07F0F" w:rsidRPr="00FD50F6">
          <w:rPr>
            <w:noProof/>
            <w:webHidden/>
          </w:rPr>
        </w:r>
        <w:r w:rsidR="00D07F0F" w:rsidRPr="00FD50F6">
          <w:rPr>
            <w:noProof/>
            <w:webHidden/>
          </w:rPr>
          <w:fldChar w:fldCharType="separate"/>
        </w:r>
        <w:r>
          <w:rPr>
            <w:noProof/>
            <w:webHidden/>
          </w:rPr>
          <w:t>70</w:t>
        </w:r>
        <w:r w:rsidR="00D07F0F" w:rsidRPr="00FD50F6">
          <w:rPr>
            <w:noProof/>
            <w:webHidden/>
          </w:rPr>
          <w:fldChar w:fldCharType="end"/>
        </w:r>
      </w:hyperlink>
    </w:p>
    <w:p w14:paraId="3DC55F97" w14:textId="3335B2C8" w:rsidR="00D07F0F" w:rsidRPr="00FD50F6" w:rsidRDefault="00BF2787">
      <w:pPr>
        <w:pStyle w:val="TOC2"/>
        <w:tabs>
          <w:tab w:val="right" w:leader="dot" w:pos="8302"/>
        </w:tabs>
        <w:rPr>
          <w:rFonts w:eastAsiaTheme="minorEastAsia"/>
          <w:smallCaps w:val="0"/>
          <w:noProof/>
          <w:sz w:val="21"/>
          <w:szCs w:val="24"/>
        </w:rPr>
      </w:pPr>
      <w:hyperlink w:anchor="_Toc112830707" w:history="1">
        <w:r w:rsidR="00D07F0F" w:rsidRPr="00FD50F6">
          <w:rPr>
            <w:rStyle w:val="afff1"/>
            <w:noProof/>
            <w:color w:val="auto"/>
            <w:lang w:bidi="en-US"/>
          </w:rPr>
          <w:t xml:space="preserve">10.11 </w:t>
        </w:r>
        <w:r w:rsidR="00D07F0F" w:rsidRPr="00FD50F6">
          <w:rPr>
            <w:rStyle w:val="afff1"/>
            <w:noProof/>
            <w:color w:val="auto"/>
            <w:lang w:bidi="en-US"/>
          </w:rPr>
          <w:t>区间附属设施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_Toc112830707 \h </w:instrText>
        </w:r>
        <w:r w:rsidR="00D07F0F" w:rsidRPr="00FD50F6">
          <w:rPr>
            <w:noProof/>
            <w:webHidden/>
          </w:rPr>
        </w:r>
        <w:r w:rsidR="00D07F0F" w:rsidRPr="00FD50F6">
          <w:rPr>
            <w:noProof/>
            <w:webHidden/>
          </w:rPr>
          <w:fldChar w:fldCharType="separate"/>
        </w:r>
        <w:r>
          <w:rPr>
            <w:noProof/>
            <w:webHidden/>
          </w:rPr>
          <w:t>71</w:t>
        </w:r>
        <w:r w:rsidR="00D07F0F" w:rsidRPr="00FD50F6">
          <w:rPr>
            <w:noProof/>
            <w:webHidden/>
          </w:rPr>
          <w:fldChar w:fldCharType="end"/>
        </w:r>
      </w:hyperlink>
    </w:p>
    <w:p w14:paraId="57F0F41A" w14:textId="7978E7D1" w:rsidR="00D07F0F" w:rsidRPr="00FD50F6" w:rsidRDefault="00BF2787">
      <w:pPr>
        <w:pStyle w:val="TOC2"/>
        <w:tabs>
          <w:tab w:val="right" w:leader="dot" w:pos="8302"/>
        </w:tabs>
        <w:rPr>
          <w:rFonts w:eastAsiaTheme="minorEastAsia"/>
          <w:smallCaps w:val="0"/>
          <w:noProof/>
          <w:sz w:val="21"/>
          <w:szCs w:val="24"/>
        </w:rPr>
      </w:pPr>
      <w:hyperlink w:anchor="_Toc112830708" w:history="1">
        <w:r w:rsidR="00D07F0F" w:rsidRPr="00FD50F6">
          <w:rPr>
            <w:rStyle w:val="afff1"/>
            <w:noProof/>
            <w:color w:val="auto"/>
            <w:lang w:bidi="en-US"/>
          </w:rPr>
          <w:t xml:space="preserve">10.12 </w:t>
        </w:r>
        <w:r w:rsidR="00D07F0F" w:rsidRPr="00FD50F6">
          <w:rPr>
            <w:rStyle w:val="afff1"/>
            <w:noProof/>
            <w:color w:val="auto"/>
            <w:lang w:bidi="en-US"/>
          </w:rPr>
          <w:t>车辆基地、控制中心和主变电所</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_Toc112830708 \h </w:instrText>
        </w:r>
        <w:r w:rsidR="00D07F0F" w:rsidRPr="00FD50F6">
          <w:rPr>
            <w:noProof/>
            <w:webHidden/>
          </w:rPr>
        </w:r>
        <w:r w:rsidR="00D07F0F" w:rsidRPr="00FD50F6">
          <w:rPr>
            <w:noProof/>
            <w:webHidden/>
          </w:rPr>
          <w:fldChar w:fldCharType="separate"/>
        </w:r>
        <w:r>
          <w:rPr>
            <w:noProof/>
            <w:webHidden/>
          </w:rPr>
          <w:t>72</w:t>
        </w:r>
        <w:r w:rsidR="00D07F0F" w:rsidRPr="00FD50F6">
          <w:rPr>
            <w:noProof/>
            <w:webHidden/>
          </w:rPr>
          <w:fldChar w:fldCharType="end"/>
        </w:r>
      </w:hyperlink>
    </w:p>
    <w:p w14:paraId="51D177E4" w14:textId="0B317CE8" w:rsidR="00D07F0F" w:rsidRPr="00FD50F6" w:rsidRDefault="00BF2787">
      <w:pPr>
        <w:pStyle w:val="TOC1"/>
        <w:tabs>
          <w:tab w:val="right" w:leader="dot" w:pos="8302"/>
        </w:tabs>
        <w:rPr>
          <w:rFonts w:eastAsiaTheme="minorEastAsia"/>
          <w:b w:val="0"/>
          <w:bCs w:val="0"/>
          <w:caps w:val="0"/>
          <w:noProof/>
          <w:sz w:val="21"/>
          <w:szCs w:val="24"/>
        </w:rPr>
      </w:pPr>
      <w:hyperlink w:anchor="_Toc112830709" w:history="1">
        <w:r w:rsidR="00D07F0F" w:rsidRPr="00FD50F6">
          <w:rPr>
            <w:rStyle w:val="afff1"/>
            <w:noProof/>
            <w:color w:val="auto"/>
          </w:rPr>
          <w:t xml:space="preserve">11 </w:t>
        </w:r>
        <w:r w:rsidR="00D07F0F" w:rsidRPr="00FD50F6">
          <w:rPr>
            <w:rStyle w:val="afff1"/>
            <w:noProof/>
            <w:color w:val="auto"/>
          </w:rPr>
          <w:t>高架结构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_Toc112830709 \h </w:instrText>
        </w:r>
        <w:r w:rsidR="00D07F0F" w:rsidRPr="00FD50F6">
          <w:rPr>
            <w:noProof/>
            <w:webHidden/>
          </w:rPr>
        </w:r>
        <w:r w:rsidR="00D07F0F" w:rsidRPr="00FD50F6">
          <w:rPr>
            <w:noProof/>
            <w:webHidden/>
          </w:rPr>
          <w:fldChar w:fldCharType="separate"/>
        </w:r>
        <w:r>
          <w:rPr>
            <w:noProof/>
            <w:webHidden/>
          </w:rPr>
          <w:t>75</w:t>
        </w:r>
        <w:r w:rsidR="00D07F0F" w:rsidRPr="00FD50F6">
          <w:rPr>
            <w:noProof/>
            <w:webHidden/>
          </w:rPr>
          <w:fldChar w:fldCharType="end"/>
        </w:r>
      </w:hyperlink>
    </w:p>
    <w:p w14:paraId="6BF135A0" w14:textId="5E4491F7" w:rsidR="00D07F0F" w:rsidRPr="00FD50F6" w:rsidRDefault="00BF2787">
      <w:pPr>
        <w:pStyle w:val="TOC2"/>
        <w:tabs>
          <w:tab w:val="right" w:leader="dot" w:pos="8302"/>
        </w:tabs>
        <w:rPr>
          <w:rFonts w:eastAsiaTheme="minorEastAsia"/>
          <w:smallCaps w:val="0"/>
          <w:noProof/>
          <w:sz w:val="21"/>
          <w:szCs w:val="24"/>
        </w:rPr>
      </w:pPr>
      <w:hyperlink w:anchor="_Toc112830710" w:history="1">
        <w:r w:rsidR="00D07F0F" w:rsidRPr="00FD50F6">
          <w:rPr>
            <w:rStyle w:val="afff1"/>
            <w:noProof/>
            <w:color w:val="auto"/>
            <w:lang w:bidi="en-US"/>
          </w:rPr>
          <w:t xml:space="preserve">11.1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_Toc112830710 \h </w:instrText>
        </w:r>
        <w:r w:rsidR="00D07F0F" w:rsidRPr="00FD50F6">
          <w:rPr>
            <w:noProof/>
            <w:webHidden/>
          </w:rPr>
        </w:r>
        <w:r w:rsidR="00D07F0F" w:rsidRPr="00FD50F6">
          <w:rPr>
            <w:noProof/>
            <w:webHidden/>
          </w:rPr>
          <w:fldChar w:fldCharType="separate"/>
        </w:r>
        <w:r>
          <w:rPr>
            <w:noProof/>
            <w:webHidden/>
          </w:rPr>
          <w:t>75</w:t>
        </w:r>
        <w:r w:rsidR="00D07F0F" w:rsidRPr="00FD50F6">
          <w:rPr>
            <w:noProof/>
            <w:webHidden/>
          </w:rPr>
          <w:fldChar w:fldCharType="end"/>
        </w:r>
      </w:hyperlink>
    </w:p>
    <w:p w14:paraId="1FA32620" w14:textId="37049CC9" w:rsidR="00D07F0F" w:rsidRPr="00FD50F6" w:rsidRDefault="00BF2787">
      <w:pPr>
        <w:pStyle w:val="TOC2"/>
        <w:tabs>
          <w:tab w:val="right" w:leader="dot" w:pos="8302"/>
        </w:tabs>
        <w:rPr>
          <w:rFonts w:eastAsiaTheme="minorEastAsia"/>
          <w:smallCaps w:val="0"/>
          <w:noProof/>
          <w:sz w:val="21"/>
          <w:szCs w:val="24"/>
        </w:rPr>
      </w:pPr>
      <w:hyperlink w:anchor="_Toc112830711" w:history="1">
        <w:r w:rsidR="00D07F0F" w:rsidRPr="00FD50F6">
          <w:rPr>
            <w:rStyle w:val="afff1"/>
            <w:noProof/>
            <w:color w:val="auto"/>
            <w:lang w:bidi="en-US"/>
          </w:rPr>
          <w:t xml:space="preserve">11.2 </w:t>
        </w:r>
        <w:r w:rsidR="00D07F0F" w:rsidRPr="00FD50F6">
          <w:rPr>
            <w:rStyle w:val="afff1"/>
            <w:noProof/>
            <w:color w:val="auto"/>
            <w:lang w:bidi="en-US"/>
          </w:rPr>
          <w:t>荷载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_Toc112830711 \h </w:instrText>
        </w:r>
        <w:r w:rsidR="00D07F0F" w:rsidRPr="00FD50F6">
          <w:rPr>
            <w:noProof/>
            <w:webHidden/>
          </w:rPr>
        </w:r>
        <w:r w:rsidR="00D07F0F" w:rsidRPr="00FD50F6">
          <w:rPr>
            <w:noProof/>
            <w:webHidden/>
          </w:rPr>
          <w:fldChar w:fldCharType="separate"/>
        </w:r>
        <w:r>
          <w:rPr>
            <w:noProof/>
            <w:webHidden/>
          </w:rPr>
          <w:t>75</w:t>
        </w:r>
        <w:r w:rsidR="00D07F0F" w:rsidRPr="00FD50F6">
          <w:rPr>
            <w:noProof/>
            <w:webHidden/>
          </w:rPr>
          <w:fldChar w:fldCharType="end"/>
        </w:r>
      </w:hyperlink>
    </w:p>
    <w:p w14:paraId="50FA5BC9" w14:textId="590DF5F6" w:rsidR="00D07F0F" w:rsidRPr="00FD50F6" w:rsidRDefault="00BF2787">
      <w:pPr>
        <w:pStyle w:val="TOC2"/>
        <w:tabs>
          <w:tab w:val="right" w:leader="dot" w:pos="8302"/>
        </w:tabs>
        <w:rPr>
          <w:rFonts w:eastAsiaTheme="minorEastAsia"/>
          <w:smallCaps w:val="0"/>
          <w:noProof/>
          <w:sz w:val="21"/>
          <w:szCs w:val="24"/>
        </w:rPr>
      </w:pPr>
      <w:hyperlink w:anchor="_Toc112830712" w:history="1">
        <w:r w:rsidR="00D07F0F" w:rsidRPr="00FD50F6">
          <w:rPr>
            <w:rStyle w:val="afff1"/>
            <w:noProof/>
            <w:color w:val="auto"/>
            <w:lang w:bidi="en-US"/>
          </w:rPr>
          <w:t xml:space="preserve">11.3 </w:t>
        </w:r>
        <w:r w:rsidR="00D07F0F" w:rsidRPr="00FD50F6">
          <w:rPr>
            <w:rStyle w:val="afff1"/>
            <w:noProof/>
            <w:color w:val="auto"/>
            <w:lang w:bidi="en-US"/>
          </w:rPr>
          <w:t>结构变形、变位的限值</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_Toc112830712 \h </w:instrText>
        </w:r>
        <w:r w:rsidR="00D07F0F" w:rsidRPr="00FD50F6">
          <w:rPr>
            <w:noProof/>
            <w:webHidden/>
          </w:rPr>
        </w:r>
        <w:r w:rsidR="00D07F0F" w:rsidRPr="00FD50F6">
          <w:rPr>
            <w:noProof/>
            <w:webHidden/>
          </w:rPr>
          <w:fldChar w:fldCharType="separate"/>
        </w:r>
        <w:r>
          <w:rPr>
            <w:noProof/>
            <w:webHidden/>
          </w:rPr>
          <w:t>80</w:t>
        </w:r>
        <w:r w:rsidR="00D07F0F" w:rsidRPr="00FD50F6">
          <w:rPr>
            <w:noProof/>
            <w:webHidden/>
          </w:rPr>
          <w:fldChar w:fldCharType="end"/>
        </w:r>
      </w:hyperlink>
    </w:p>
    <w:p w14:paraId="2FA016C5" w14:textId="65E1CFDC" w:rsidR="00D07F0F" w:rsidRPr="00FD50F6" w:rsidRDefault="00BF2787">
      <w:pPr>
        <w:pStyle w:val="TOC2"/>
        <w:tabs>
          <w:tab w:val="right" w:leader="dot" w:pos="8302"/>
        </w:tabs>
        <w:rPr>
          <w:rFonts w:eastAsiaTheme="minorEastAsia"/>
          <w:smallCaps w:val="0"/>
          <w:noProof/>
          <w:sz w:val="21"/>
          <w:szCs w:val="24"/>
        </w:rPr>
      </w:pPr>
      <w:hyperlink w:anchor="_Toc112830713" w:history="1">
        <w:r w:rsidR="00D07F0F" w:rsidRPr="00FD50F6">
          <w:rPr>
            <w:rStyle w:val="afff1"/>
            <w:noProof/>
            <w:color w:val="auto"/>
            <w:lang w:bidi="en-US"/>
          </w:rPr>
          <w:t xml:space="preserve">11.4 </w:t>
        </w:r>
        <w:r w:rsidR="00D07F0F" w:rsidRPr="00FD50F6">
          <w:rPr>
            <w:rStyle w:val="afff1"/>
            <w:noProof/>
            <w:color w:val="auto"/>
            <w:lang w:bidi="en-US"/>
          </w:rPr>
          <w:t>高架区间结构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_Toc112830713 \h </w:instrText>
        </w:r>
        <w:r w:rsidR="00D07F0F" w:rsidRPr="00FD50F6">
          <w:rPr>
            <w:noProof/>
            <w:webHidden/>
          </w:rPr>
        </w:r>
        <w:r w:rsidR="00D07F0F" w:rsidRPr="00FD50F6">
          <w:rPr>
            <w:noProof/>
            <w:webHidden/>
          </w:rPr>
          <w:fldChar w:fldCharType="separate"/>
        </w:r>
        <w:r>
          <w:rPr>
            <w:noProof/>
            <w:webHidden/>
          </w:rPr>
          <w:t>83</w:t>
        </w:r>
        <w:r w:rsidR="00D07F0F" w:rsidRPr="00FD50F6">
          <w:rPr>
            <w:noProof/>
            <w:webHidden/>
          </w:rPr>
          <w:fldChar w:fldCharType="end"/>
        </w:r>
      </w:hyperlink>
    </w:p>
    <w:p w14:paraId="2B965ADC" w14:textId="6E329027" w:rsidR="00D07F0F" w:rsidRPr="00FD50F6" w:rsidRDefault="00BF2787">
      <w:pPr>
        <w:pStyle w:val="TOC2"/>
        <w:tabs>
          <w:tab w:val="right" w:leader="dot" w:pos="8302"/>
        </w:tabs>
        <w:rPr>
          <w:rFonts w:eastAsiaTheme="minorEastAsia"/>
          <w:smallCaps w:val="0"/>
          <w:noProof/>
          <w:sz w:val="21"/>
          <w:szCs w:val="24"/>
        </w:rPr>
      </w:pPr>
      <w:hyperlink w:anchor="_Toc112830714" w:history="1">
        <w:r w:rsidR="00D07F0F" w:rsidRPr="00FD50F6">
          <w:rPr>
            <w:rStyle w:val="afff1"/>
            <w:noProof/>
            <w:color w:val="auto"/>
            <w:lang w:bidi="en-US"/>
          </w:rPr>
          <w:t xml:space="preserve">11.5 </w:t>
        </w:r>
        <w:r w:rsidR="00D07F0F" w:rsidRPr="00FD50F6">
          <w:rPr>
            <w:rStyle w:val="afff1"/>
            <w:noProof/>
            <w:color w:val="auto"/>
            <w:lang w:bidi="en-US"/>
          </w:rPr>
          <w:t>高架车站结构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_Toc112830714 \h </w:instrText>
        </w:r>
        <w:r w:rsidR="00D07F0F" w:rsidRPr="00FD50F6">
          <w:rPr>
            <w:noProof/>
            <w:webHidden/>
          </w:rPr>
        </w:r>
        <w:r w:rsidR="00D07F0F" w:rsidRPr="00FD50F6">
          <w:rPr>
            <w:noProof/>
            <w:webHidden/>
          </w:rPr>
          <w:fldChar w:fldCharType="separate"/>
        </w:r>
        <w:r>
          <w:rPr>
            <w:noProof/>
            <w:webHidden/>
          </w:rPr>
          <w:t>84</w:t>
        </w:r>
        <w:r w:rsidR="00D07F0F" w:rsidRPr="00FD50F6">
          <w:rPr>
            <w:noProof/>
            <w:webHidden/>
          </w:rPr>
          <w:fldChar w:fldCharType="end"/>
        </w:r>
      </w:hyperlink>
    </w:p>
    <w:p w14:paraId="422874DA" w14:textId="076571EB" w:rsidR="00D07F0F" w:rsidRPr="00FD50F6" w:rsidRDefault="00BF2787">
      <w:pPr>
        <w:pStyle w:val="TOC2"/>
        <w:tabs>
          <w:tab w:val="right" w:leader="dot" w:pos="8302"/>
        </w:tabs>
        <w:rPr>
          <w:rFonts w:eastAsiaTheme="minorEastAsia"/>
          <w:smallCaps w:val="0"/>
          <w:noProof/>
          <w:sz w:val="21"/>
          <w:szCs w:val="24"/>
        </w:rPr>
      </w:pPr>
      <w:hyperlink w:anchor="_Toc112830715" w:history="1">
        <w:r w:rsidR="00D07F0F" w:rsidRPr="00FD50F6">
          <w:rPr>
            <w:rStyle w:val="afff1"/>
            <w:noProof/>
            <w:color w:val="auto"/>
            <w:lang w:bidi="en-US"/>
          </w:rPr>
          <w:t xml:space="preserve">11.6 </w:t>
        </w:r>
        <w:r w:rsidR="00D07F0F" w:rsidRPr="00FD50F6">
          <w:rPr>
            <w:rStyle w:val="afff1"/>
            <w:noProof/>
            <w:color w:val="auto"/>
            <w:lang w:bidi="en-US"/>
          </w:rPr>
          <w:t>构造要求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_Toc112830715 \h </w:instrText>
        </w:r>
        <w:r w:rsidR="00D07F0F" w:rsidRPr="00FD50F6">
          <w:rPr>
            <w:noProof/>
            <w:webHidden/>
          </w:rPr>
        </w:r>
        <w:r w:rsidR="00D07F0F" w:rsidRPr="00FD50F6">
          <w:rPr>
            <w:noProof/>
            <w:webHidden/>
          </w:rPr>
          <w:fldChar w:fldCharType="separate"/>
        </w:r>
        <w:r>
          <w:rPr>
            <w:noProof/>
            <w:webHidden/>
          </w:rPr>
          <w:t>87</w:t>
        </w:r>
        <w:r w:rsidR="00D07F0F" w:rsidRPr="00FD50F6">
          <w:rPr>
            <w:noProof/>
            <w:webHidden/>
          </w:rPr>
          <w:fldChar w:fldCharType="end"/>
        </w:r>
      </w:hyperlink>
    </w:p>
    <w:p w14:paraId="25179B40" w14:textId="1CF09426" w:rsidR="00D07F0F" w:rsidRPr="00FD50F6" w:rsidRDefault="00BF2787">
      <w:pPr>
        <w:pStyle w:val="TOC1"/>
        <w:tabs>
          <w:tab w:val="right" w:leader="dot" w:pos="8302"/>
        </w:tabs>
        <w:rPr>
          <w:rFonts w:eastAsiaTheme="minorEastAsia"/>
          <w:b w:val="0"/>
          <w:bCs w:val="0"/>
          <w:caps w:val="0"/>
          <w:noProof/>
          <w:sz w:val="21"/>
          <w:szCs w:val="24"/>
        </w:rPr>
      </w:pPr>
      <w:hyperlink w:anchor="_Toc112830716" w:history="1">
        <w:r w:rsidR="00D07F0F" w:rsidRPr="00FD50F6">
          <w:rPr>
            <w:rStyle w:val="afff1"/>
            <w:noProof/>
            <w:color w:val="auto"/>
          </w:rPr>
          <w:t xml:space="preserve">12 </w:t>
        </w:r>
        <w:r w:rsidR="00D07F0F" w:rsidRPr="00FD50F6">
          <w:rPr>
            <w:rStyle w:val="afff1"/>
            <w:noProof/>
            <w:color w:val="auto"/>
          </w:rPr>
          <w:t>地下结构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_Toc112830716 \h </w:instrText>
        </w:r>
        <w:r w:rsidR="00D07F0F" w:rsidRPr="00FD50F6">
          <w:rPr>
            <w:noProof/>
            <w:webHidden/>
          </w:rPr>
        </w:r>
        <w:r w:rsidR="00D07F0F" w:rsidRPr="00FD50F6">
          <w:rPr>
            <w:noProof/>
            <w:webHidden/>
          </w:rPr>
          <w:fldChar w:fldCharType="separate"/>
        </w:r>
        <w:r>
          <w:rPr>
            <w:noProof/>
            <w:webHidden/>
          </w:rPr>
          <w:t>90</w:t>
        </w:r>
        <w:r w:rsidR="00D07F0F" w:rsidRPr="00FD50F6">
          <w:rPr>
            <w:noProof/>
            <w:webHidden/>
          </w:rPr>
          <w:fldChar w:fldCharType="end"/>
        </w:r>
      </w:hyperlink>
    </w:p>
    <w:p w14:paraId="15ABA7BE" w14:textId="7164B8DD" w:rsidR="00D07F0F" w:rsidRPr="00FD50F6" w:rsidRDefault="00BF2787">
      <w:pPr>
        <w:pStyle w:val="TOC2"/>
        <w:tabs>
          <w:tab w:val="right" w:leader="dot" w:pos="8302"/>
        </w:tabs>
        <w:rPr>
          <w:rFonts w:eastAsiaTheme="minorEastAsia"/>
          <w:smallCaps w:val="0"/>
          <w:noProof/>
          <w:sz w:val="21"/>
          <w:szCs w:val="24"/>
        </w:rPr>
      </w:pPr>
      <w:hyperlink w:anchor="_Toc112830717" w:history="1">
        <w:r w:rsidR="00D07F0F" w:rsidRPr="00FD50F6">
          <w:rPr>
            <w:rStyle w:val="afff1"/>
            <w:noProof/>
            <w:color w:val="auto"/>
            <w:lang w:bidi="en-US"/>
          </w:rPr>
          <w:t xml:space="preserve">12.1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_Toc112830717 \h </w:instrText>
        </w:r>
        <w:r w:rsidR="00D07F0F" w:rsidRPr="00FD50F6">
          <w:rPr>
            <w:noProof/>
            <w:webHidden/>
          </w:rPr>
        </w:r>
        <w:r w:rsidR="00D07F0F" w:rsidRPr="00FD50F6">
          <w:rPr>
            <w:noProof/>
            <w:webHidden/>
          </w:rPr>
          <w:fldChar w:fldCharType="separate"/>
        </w:r>
        <w:r>
          <w:rPr>
            <w:noProof/>
            <w:webHidden/>
          </w:rPr>
          <w:t>90</w:t>
        </w:r>
        <w:r w:rsidR="00D07F0F" w:rsidRPr="00FD50F6">
          <w:rPr>
            <w:noProof/>
            <w:webHidden/>
          </w:rPr>
          <w:fldChar w:fldCharType="end"/>
        </w:r>
      </w:hyperlink>
    </w:p>
    <w:p w14:paraId="754ECE0E" w14:textId="7E1318CF" w:rsidR="00D07F0F" w:rsidRPr="00FD50F6" w:rsidRDefault="00BF2787">
      <w:pPr>
        <w:pStyle w:val="TOC2"/>
        <w:tabs>
          <w:tab w:val="right" w:leader="dot" w:pos="8302"/>
        </w:tabs>
        <w:rPr>
          <w:rFonts w:eastAsiaTheme="minorEastAsia"/>
          <w:smallCaps w:val="0"/>
          <w:noProof/>
          <w:sz w:val="21"/>
          <w:szCs w:val="24"/>
        </w:rPr>
      </w:pPr>
      <w:hyperlink w:anchor="_Toc112830718" w:history="1">
        <w:r w:rsidR="00D07F0F" w:rsidRPr="00FD50F6">
          <w:rPr>
            <w:rStyle w:val="afff1"/>
            <w:noProof/>
            <w:color w:val="auto"/>
            <w:lang w:bidi="en-US"/>
          </w:rPr>
          <w:t xml:space="preserve">12.2 </w:t>
        </w:r>
        <w:r w:rsidR="00D07F0F" w:rsidRPr="00FD50F6">
          <w:rPr>
            <w:rStyle w:val="afff1"/>
            <w:noProof/>
            <w:color w:val="auto"/>
            <w:lang w:bidi="en-US"/>
          </w:rPr>
          <w:t>荷载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_Toc112830718 \h </w:instrText>
        </w:r>
        <w:r w:rsidR="00D07F0F" w:rsidRPr="00FD50F6">
          <w:rPr>
            <w:noProof/>
            <w:webHidden/>
          </w:rPr>
        </w:r>
        <w:r w:rsidR="00D07F0F" w:rsidRPr="00FD50F6">
          <w:rPr>
            <w:noProof/>
            <w:webHidden/>
          </w:rPr>
          <w:fldChar w:fldCharType="separate"/>
        </w:r>
        <w:r>
          <w:rPr>
            <w:noProof/>
            <w:webHidden/>
          </w:rPr>
          <w:t>94</w:t>
        </w:r>
        <w:r w:rsidR="00D07F0F" w:rsidRPr="00FD50F6">
          <w:rPr>
            <w:noProof/>
            <w:webHidden/>
          </w:rPr>
          <w:fldChar w:fldCharType="end"/>
        </w:r>
      </w:hyperlink>
    </w:p>
    <w:p w14:paraId="6B43EB77" w14:textId="7E6EA2AE" w:rsidR="00D07F0F" w:rsidRPr="00FD50F6" w:rsidRDefault="00BF2787">
      <w:pPr>
        <w:pStyle w:val="TOC2"/>
        <w:tabs>
          <w:tab w:val="right" w:leader="dot" w:pos="8302"/>
        </w:tabs>
        <w:rPr>
          <w:rFonts w:eastAsiaTheme="minorEastAsia"/>
          <w:smallCaps w:val="0"/>
          <w:noProof/>
          <w:sz w:val="21"/>
          <w:szCs w:val="24"/>
        </w:rPr>
      </w:pPr>
      <w:hyperlink w:anchor="_Toc112830719" w:history="1">
        <w:r w:rsidR="00D07F0F" w:rsidRPr="00FD50F6">
          <w:rPr>
            <w:rStyle w:val="afff1"/>
            <w:noProof/>
            <w:color w:val="auto"/>
            <w:lang w:bidi="en-US"/>
          </w:rPr>
          <w:t xml:space="preserve">12.3 </w:t>
        </w:r>
        <w:r w:rsidR="00D07F0F" w:rsidRPr="00FD50F6">
          <w:rPr>
            <w:rStyle w:val="afff1"/>
            <w:noProof/>
            <w:color w:val="auto"/>
            <w:lang w:bidi="en-US"/>
          </w:rPr>
          <w:t>明挖顺作法结构设计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_Toc112830719 \h </w:instrText>
        </w:r>
        <w:r w:rsidR="00D07F0F" w:rsidRPr="00FD50F6">
          <w:rPr>
            <w:noProof/>
            <w:webHidden/>
          </w:rPr>
        </w:r>
        <w:r w:rsidR="00D07F0F" w:rsidRPr="00FD50F6">
          <w:rPr>
            <w:noProof/>
            <w:webHidden/>
          </w:rPr>
          <w:fldChar w:fldCharType="separate"/>
        </w:r>
        <w:r>
          <w:rPr>
            <w:noProof/>
            <w:webHidden/>
          </w:rPr>
          <w:t>96</w:t>
        </w:r>
        <w:r w:rsidR="00D07F0F" w:rsidRPr="00FD50F6">
          <w:rPr>
            <w:noProof/>
            <w:webHidden/>
          </w:rPr>
          <w:fldChar w:fldCharType="end"/>
        </w:r>
      </w:hyperlink>
    </w:p>
    <w:p w14:paraId="27AD2227" w14:textId="139B0439" w:rsidR="00D07F0F" w:rsidRPr="00FD50F6" w:rsidRDefault="00BF2787">
      <w:pPr>
        <w:pStyle w:val="TOC2"/>
        <w:tabs>
          <w:tab w:val="right" w:leader="dot" w:pos="8302"/>
        </w:tabs>
        <w:rPr>
          <w:rFonts w:eastAsiaTheme="minorEastAsia"/>
          <w:smallCaps w:val="0"/>
          <w:noProof/>
          <w:sz w:val="21"/>
          <w:szCs w:val="24"/>
        </w:rPr>
      </w:pPr>
      <w:hyperlink w:anchor="_Toc112830720" w:history="1">
        <w:r w:rsidR="00D07F0F" w:rsidRPr="00FD50F6">
          <w:rPr>
            <w:rStyle w:val="afff1"/>
            <w:noProof/>
            <w:color w:val="auto"/>
            <w:lang w:bidi="en-US"/>
          </w:rPr>
          <w:t xml:space="preserve">12.4 </w:t>
        </w:r>
        <w:r w:rsidR="00D07F0F" w:rsidRPr="00FD50F6">
          <w:rPr>
            <w:rStyle w:val="afff1"/>
            <w:noProof/>
            <w:color w:val="auto"/>
            <w:lang w:bidi="en-US"/>
          </w:rPr>
          <w:t>盖挖逆作法结构设计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_Toc112830720 \h </w:instrText>
        </w:r>
        <w:r w:rsidR="00D07F0F" w:rsidRPr="00FD50F6">
          <w:rPr>
            <w:noProof/>
            <w:webHidden/>
          </w:rPr>
        </w:r>
        <w:r w:rsidR="00D07F0F" w:rsidRPr="00FD50F6">
          <w:rPr>
            <w:noProof/>
            <w:webHidden/>
          </w:rPr>
          <w:fldChar w:fldCharType="separate"/>
        </w:r>
        <w:r>
          <w:rPr>
            <w:noProof/>
            <w:webHidden/>
          </w:rPr>
          <w:t>99</w:t>
        </w:r>
        <w:r w:rsidR="00D07F0F" w:rsidRPr="00FD50F6">
          <w:rPr>
            <w:noProof/>
            <w:webHidden/>
          </w:rPr>
          <w:fldChar w:fldCharType="end"/>
        </w:r>
      </w:hyperlink>
    </w:p>
    <w:p w14:paraId="3803F7A1" w14:textId="6DC5EE6E" w:rsidR="00D07F0F" w:rsidRPr="00FD50F6" w:rsidRDefault="00BF2787">
      <w:pPr>
        <w:pStyle w:val="TOC2"/>
        <w:tabs>
          <w:tab w:val="right" w:leader="dot" w:pos="8302"/>
        </w:tabs>
        <w:rPr>
          <w:rFonts w:eastAsiaTheme="minorEastAsia"/>
          <w:smallCaps w:val="0"/>
          <w:noProof/>
          <w:sz w:val="21"/>
          <w:szCs w:val="24"/>
        </w:rPr>
      </w:pPr>
      <w:hyperlink w:anchor="_Toc112830721" w:history="1">
        <w:r w:rsidR="00D07F0F" w:rsidRPr="00FD50F6">
          <w:rPr>
            <w:rStyle w:val="afff1"/>
            <w:noProof/>
            <w:color w:val="auto"/>
            <w:lang w:bidi="en-US"/>
          </w:rPr>
          <w:t xml:space="preserve">12.5 </w:t>
        </w:r>
        <w:r w:rsidR="00D07F0F" w:rsidRPr="00FD50F6">
          <w:rPr>
            <w:rStyle w:val="afff1"/>
            <w:noProof/>
            <w:color w:val="auto"/>
            <w:lang w:bidi="en-US"/>
          </w:rPr>
          <w:t>矿山法结构设计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_Toc112830721 \h </w:instrText>
        </w:r>
        <w:r w:rsidR="00D07F0F" w:rsidRPr="00FD50F6">
          <w:rPr>
            <w:noProof/>
            <w:webHidden/>
          </w:rPr>
        </w:r>
        <w:r w:rsidR="00D07F0F" w:rsidRPr="00FD50F6">
          <w:rPr>
            <w:noProof/>
            <w:webHidden/>
          </w:rPr>
          <w:fldChar w:fldCharType="separate"/>
        </w:r>
        <w:r>
          <w:rPr>
            <w:noProof/>
            <w:webHidden/>
          </w:rPr>
          <w:t>100</w:t>
        </w:r>
        <w:r w:rsidR="00D07F0F" w:rsidRPr="00FD50F6">
          <w:rPr>
            <w:noProof/>
            <w:webHidden/>
          </w:rPr>
          <w:fldChar w:fldCharType="end"/>
        </w:r>
      </w:hyperlink>
    </w:p>
    <w:p w14:paraId="0B3F9D94" w14:textId="371E54B7" w:rsidR="00D07F0F" w:rsidRPr="00FD50F6" w:rsidRDefault="00BF2787">
      <w:pPr>
        <w:pStyle w:val="TOC2"/>
        <w:tabs>
          <w:tab w:val="right" w:leader="dot" w:pos="8302"/>
        </w:tabs>
        <w:rPr>
          <w:rFonts w:eastAsiaTheme="minorEastAsia"/>
          <w:smallCaps w:val="0"/>
          <w:noProof/>
          <w:sz w:val="21"/>
          <w:szCs w:val="24"/>
        </w:rPr>
      </w:pPr>
      <w:hyperlink w:anchor="_Toc112830722" w:history="1">
        <w:r w:rsidR="00D07F0F" w:rsidRPr="00FD50F6">
          <w:rPr>
            <w:rStyle w:val="afff1"/>
            <w:noProof/>
            <w:color w:val="auto"/>
            <w:lang w:bidi="en-US"/>
          </w:rPr>
          <w:t xml:space="preserve">12.6 </w:t>
        </w:r>
        <w:r w:rsidR="00D07F0F" w:rsidRPr="00FD50F6">
          <w:rPr>
            <w:rStyle w:val="afff1"/>
            <w:noProof/>
            <w:color w:val="auto"/>
            <w:lang w:bidi="en-US"/>
          </w:rPr>
          <w:t>盾构法结构设计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_Toc112830722 \h </w:instrText>
        </w:r>
        <w:r w:rsidR="00D07F0F" w:rsidRPr="00FD50F6">
          <w:rPr>
            <w:noProof/>
            <w:webHidden/>
          </w:rPr>
        </w:r>
        <w:r w:rsidR="00D07F0F" w:rsidRPr="00FD50F6">
          <w:rPr>
            <w:noProof/>
            <w:webHidden/>
          </w:rPr>
          <w:fldChar w:fldCharType="separate"/>
        </w:r>
        <w:r>
          <w:rPr>
            <w:noProof/>
            <w:webHidden/>
          </w:rPr>
          <w:t>103</w:t>
        </w:r>
        <w:r w:rsidR="00D07F0F" w:rsidRPr="00FD50F6">
          <w:rPr>
            <w:noProof/>
            <w:webHidden/>
          </w:rPr>
          <w:fldChar w:fldCharType="end"/>
        </w:r>
      </w:hyperlink>
    </w:p>
    <w:p w14:paraId="228CF230" w14:textId="4765FAD1" w:rsidR="00D07F0F" w:rsidRPr="00FD50F6" w:rsidRDefault="00BF2787">
      <w:pPr>
        <w:pStyle w:val="TOC2"/>
        <w:tabs>
          <w:tab w:val="right" w:leader="dot" w:pos="8302"/>
        </w:tabs>
        <w:rPr>
          <w:rFonts w:eastAsiaTheme="minorEastAsia"/>
          <w:smallCaps w:val="0"/>
          <w:noProof/>
          <w:sz w:val="21"/>
          <w:szCs w:val="24"/>
        </w:rPr>
      </w:pPr>
      <w:hyperlink w:anchor="_Toc112830723" w:history="1">
        <w:r w:rsidR="00D07F0F" w:rsidRPr="00FD50F6">
          <w:rPr>
            <w:rStyle w:val="afff1"/>
            <w:noProof/>
            <w:color w:val="auto"/>
            <w:lang w:bidi="en-US"/>
          </w:rPr>
          <w:t xml:space="preserve">12.7 </w:t>
        </w:r>
        <w:r w:rsidR="00D07F0F" w:rsidRPr="00FD50F6">
          <w:rPr>
            <w:rStyle w:val="afff1"/>
            <w:noProof/>
            <w:color w:val="auto"/>
            <w:lang w:bidi="en-US"/>
          </w:rPr>
          <w:t>沉管法结构设计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_Toc112830723 \h </w:instrText>
        </w:r>
        <w:r w:rsidR="00D07F0F" w:rsidRPr="00FD50F6">
          <w:rPr>
            <w:noProof/>
            <w:webHidden/>
          </w:rPr>
        </w:r>
        <w:r w:rsidR="00D07F0F" w:rsidRPr="00FD50F6">
          <w:rPr>
            <w:noProof/>
            <w:webHidden/>
          </w:rPr>
          <w:fldChar w:fldCharType="separate"/>
        </w:r>
        <w:r>
          <w:rPr>
            <w:noProof/>
            <w:webHidden/>
          </w:rPr>
          <w:t>106</w:t>
        </w:r>
        <w:r w:rsidR="00D07F0F" w:rsidRPr="00FD50F6">
          <w:rPr>
            <w:noProof/>
            <w:webHidden/>
          </w:rPr>
          <w:fldChar w:fldCharType="end"/>
        </w:r>
      </w:hyperlink>
    </w:p>
    <w:p w14:paraId="1433D07D" w14:textId="6960212C" w:rsidR="00D07F0F" w:rsidRPr="00FD50F6" w:rsidRDefault="00BF2787">
      <w:pPr>
        <w:pStyle w:val="TOC2"/>
        <w:tabs>
          <w:tab w:val="right" w:leader="dot" w:pos="8302"/>
        </w:tabs>
        <w:rPr>
          <w:rFonts w:eastAsiaTheme="minorEastAsia"/>
          <w:smallCaps w:val="0"/>
          <w:noProof/>
          <w:sz w:val="21"/>
          <w:szCs w:val="24"/>
        </w:rPr>
      </w:pPr>
      <w:hyperlink w:anchor="_Toc112830724" w:history="1">
        <w:r w:rsidR="00D07F0F" w:rsidRPr="00FD50F6">
          <w:rPr>
            <w:rStyle w:val="afff1"/>
            <w:noProof/>
            <w:color w:val="auto"/>
            <w:lang w:bidi="en-US"/>
          </w:rPr>
          <w:t xml:space="preserve">12.8 </w:t>
        </w:r>
        <w:r w:rsidR="00D07F0F" w:rsidRPr="00FD50F6">
          <w:rPr>
            <w:rStyle w:val="afff1"/>
            <w:noProof/>
            <w:color w:val="auto"/>
            <w:lang w:bidi="en-US"/>
          </w:rPr>
          <w:t>顶管法结构设计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_Toc112830724 \h </w:instrText>
        </w:r>
        <w:r w:rsidR="00D07F0F" w:rsidRPr="00FD50F6">
          <w:rPr>
            <w:noProof/>
            <w:webHidden/>
          </w:rPr>
        </w:r>
        <w:r w:rsidR="00D07F0F" w:rsidRPr="00FD50F6">
          <w:rPr>
            <w:noProof/>
            <w:webHidden/>
          </w:rPr>
          <w:fldChar w:fldCharType="separate"/>
        </w:r>
        <w:r>
          <w:rPr>
            <w:noProof/>
            <w:webHidden/>
          </w:rPr>
          <w:t>107</w:t>
        </w:r>
        <w:r w:rsidR="00D07F0F" w:rsidRPr="00FD50F6">
          <w:rPr>
            <w:noProof/>
            <w:webHidden/>
          </w:rPr>
          <w:fldChar w:fldCharType="end"/>
        </w:r>
      </w:hyperlink>
    </w:p>
    <w:p w14:paraId="22D215F7" w14:textId="2A8E2729" w:rsidR="00D07F0F" w:rsidRPr="00FD50F6" w:rsidRDefault="00BF2787">
      <w:pPr>
        <w:pStyle w:val="TOC2"/>
        <w:tabs>
          <w:tab w:val="right" w:leader="dot" w:pos="8302"/>
        </w:tabs>
        <w:rPr>
          <w:rFonts w:eastAsiaTheme="minorEastAsia"/>
          <w:smallCaps w:val="0"/>
          <w:noProof/>
          <w:sz w:val="21"/>
          <w:szCs w:val="24"/>
        </w:rPr>
      </w:pPr>
      <w:hyperlink w:anchor="_Toc112830725" w:history="1">
        <w:r w:rsidR="00D07F0F" w:rsidRPr="00FD50F6">
          <w:rPr>
            <w:rStyle w:val="afff1"/>
            <w:noProof/>
            <w:color w:val="auto"/>
            <w:lang w:bidi="en-US"/>
          </w:rPr>
          <w:t xml:space="preserve">12.9 </w:t>
        </w:r>
        <w:r w:rsidR="00D07F0F" w:rsidRPr="00FD50F6">
          <w:rPr>
            <w:rStyle w:val="afff1"/>
            <w:noProof/>
            <w:color w:val="auto"/>
            <w:lang w:bidi="en-US"/>
          </w:rPr>
          <w:t>地下结构抗震设计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_Toc112830725 \h </w:instrText>
        </w:r>
        <w:r w:rsidR="00D07F0F" w:rsidRPr="00FD50F6">
          <w:rPr>
            <w:noProof/>
            <w:webHidden/>
          </w:rPr>
        </w:r>
        <w:r w:rsidR="00D07F0F" w:rsidRPr="00FD50F6">
          <w:rPr>
            <w:noProof/>
            <w:webHidden/>
          </w:rPr>
          <w:fldChar w:fldCharType="separate"/>
        </w:r>
        <w:r>
          <w:rPr>
            <w:noProof/>
            <w:webHidden/>
          </w:rPr>
          <w:t>109</w:t>
        </w:r>
        <w:r w:rsidR="00D07F0F" w:rsidRPr="00FD50F6">
          <w:rPr>
            <w:noProof/>
            <w:webHidden/>
          </w:rPr>
          <w:fldChar w:fldCharType="end"/>
        </w:r>
      </w:hyperlink>
    </w:p>
    <w:p w14:paraId="70A1744D" w14:textId="32FDBE97" w:rsidR="00D07F0F" w:rsidRPr="00FD50F6" w:rsidRDefault="00BF2787">
      <w:pPr>
        <w:pStyle w:val="TOC2"/>
        <w:tabs>
          <w:tab w:val="right" w:leader="dot" w:pos="8302"/>
        </w:tabs>
        <w:rPr>
          <w:rFonts w:eastAsiaTheme="minorEastAsia"/>
          <w:smallCaps w:val="0"/>
          <w:noProof/>
          <w:sz w:val="21"/>
          <w:szCs w:val="24"/>
        </w:rPr>
      </w:pPr>
      <w:hyperlink w:anchor="_Toc112830726" w:history="1">
        <w:r w:rsidR="00D07F0F" w:rsidRPr="00FD50F6">
          <w:rPr>
            <w:rStyle w:val="afff1"/>
            <w:noProof/>
            <w:color w:val="auto"/>
            <w:lang w:bidi="en-US"/>
          </w:rPr>
          <w:t xml:space="preserve">12.10 </w:t>
        </w:r>
        <w:r w:rsidR="00D07F0F" w:rsidRPr="00FD50F6">
          <w:rPr>
            <w:rStyle w:val="afff1"/>
            <w:noProof/>
            <w:color w:val="auto"/>
            <w:lang w:bidi="en-US"/>
          </w:rPr>
          <w:t>构造要求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_Toc112830726 \h </w:instrText>
        </w:r>
        <w:r w:rsidR="00D07F0F" w:rsidRPr="00FD50F6">
          <w:rPr>
            <w:noProof/>
            <w:webHidden/>
          </w:rPr>
        </w:r>
        <w:r w:rsidR="00D07F0F" w:rsidRPr="00FD50F6">
          <w:rPr>
            <w:noProof/>
            <w:webHidden/>
          </w:rPr>
          <w:fldChar w:fldCharType="separate"/>
        </w:r>
        <w:r>
          <w:rPr>
            <w:noProof/>
            <w:webHidden/>
          </w:rPr>
          <w:t>112</w:t>
        </w:r>
        <w:r w:rsidR="00D07F0F" w:rsidRPr="00FD50F6">
          <w:rPr>
            <w:noProof/>
            <w:webHidden/>
          </w:rPr>
          <w:fldChar w:fldCharType="end"/>
        </w:r>
      </w:hyperlink>
    </w:p>
    <w:p w14:paraId="7CF7AA6D" w14:textId="58D57ECC" w:rsidR="00D07F0F" w:rsidRPr="00FD50F6" w:rsidRDefault="00BF2787">
      <w:pPr>
        <w:pStyle w:val="TOC2"/>
        <w:tabs>
          <w:tab w:val="right" w:leader="dot" w:pos="8302"/>
        </w:tabs>
        <w:rPr>
          <w:rFonts w:eastAsiaTheme="minorEastAsia"/>
          <w:smallCaps w:val="0"/>
          <w:noProof/>
          <w:sz w:val="21"/>
          <w:szCs w:val="24"/>
        </w:rPr>
      </w:pPr>
      <w:hyperlink w:anchor="_Toc112830727" w:history="1">
        <w:r w:rsidR="00D07F0F" w:rsidRPr="00FD50F6">
          <w:rPr>
            <w:rStyle w:val="afff1"/>
            <w:noProof/>
            <w:color w:val="auto"/>
            <w:lang w:bidi="en-US"/>
          </w:rPr>
          <w:t xml:space="preserve">12.11 </w:t>
        </w:r>
        <w:r w:rsidR="00D07F0F" w:rsidRPr="00FD50F6">
          <w:rPr>
            <w:rStyle w:val="afff1"/>
            <w:noProof/>
            <w:color w:val="auto"/>
            <w:lang w:bidi="en-US"/>
          </w:rPr>
          <w:t>工程材料</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_Toc112830727 \h </w:instrText>
        </w:r>
        <w:r w:rsidR="00D07F0F" w:rsidRPr="00FD50F6">
          <w:rPr>
            <w:noProof/>
            <w:webHidden/>
          </w:rPr>
        </w:r>
        <w:r w:rsidR="00D07F0F" w:rsidRPr="00FD50F6">
          <w:rPr>
            <w:noProof/>
            <w:webHidden/>
          </w:rPr>
          <w:fldChar w:fldCharType="separate"/>
        </w:r>
        <w:r>
          <w:rPr>
            <w:noProof/>
            <w:webHidden/>
          </w:rPr>
          <w:t>113</w:t>
        </w:r>
        <w:r w:rsidR="00D07F0F" w:rsidRPr="00FD50F6">
          <w:rPr>
            <w:noProof/>
            <w:webHidden/>
          </w:rPr>
          <w:fldChar w:fldCharType="end"/>
        </w:r>
      </w:hyperlink>
    </w:p>
    <w:p w14:paraId="44520C90" w14:textId="4B372C2F" w:rsidR="00D07F0F" w:rsidRPr="00FD50F6" w:rsidRDefault="00BF2787">
      <w:pPr>
        <w:pStyle w:val="TOC2"/>
        <w:tabs>
          <w:tab w:val="right" w:leader="dot" w:pos="8302"/>
        </w:tabs>
        <w:rPr>
          <w:rFonts w:eastAsiaTheme="minorEastAsia"/>
          <w:smallCaps w:val="0"/>
          <w:noProof/>
          <w:sz w:val="21"/>
          <w:szCs w:val="24"/>
        </w:rPr>
      </w:pPr>
      <w:hyperlink w:anchor="_Toc112830728" w:history="1">
        <w:r w:rsidR="00D07F0F" w:rsidRPr="00FD50F6">
          <w:rPr>
            <w:rStyle w:val="afff1"/>
            <w:noProof/>
            <w:color w:val="auto"/>
            <w:lang w:bidi="en-US"/>
          </w:rPr>
          <w:t xml:space="preserve">12.12 </w:t>
        </w:r>
        <w:r w:rsidR="00D07F0F" w:rsidRPr="00FD50F6">
          <w:rPr>
            <w:rStyle w:val="afff1"/>
            <w:noProof/>
            <w:color w:val="auto"/>
            <w:lang w:bidi="en-US"/>
          </w:rPr>
          <w:t>安全风险工程设计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_Toc112830728 \h </w:instrText>
        </w:r>
        <w:r w:rsidR="00D07F0F" w:rsidRPr="00FD50F6">
          <w:rPr>
            <w:noProof/>
            <w:webHidden/>
          </w:rPr>
        </w:r>
        <w:r w:rsidR="00D07F0F" w:rsidRPr="00FD50F6">
          <w:rPr>
            <w:noProof/>
            <w:webHidden/>
          </w:rPr>
          <w:fldChar w:fldCharType="separate"/>
        </w:r>
        <w:r>
          <w:rPr>
            <w:noProof/>
            <w:webHidden/>
          </w:rPr>
          <w:t>115</w:t>
        </w:r>
        <w:r w:rsidR="00D07F0F" w:rsidRPr="00FD50F6">
          <w:rPr>
            <w:noProof/>
            <w:webHidden/>
          </w:rPr>
          <w:fldChar w:fldCharType="end"/>
        </w:r>
      </w:hyperlink>
    </w:p>
    <w:p w14:paraId="1AB8B89F" w14:textId="012F3848" w:rsidR="00D07F0F" w:rsidRPr="00FD50F6" w:rsidRDefault="00BF2787">
      <w:pPr>
        <w:pStyle w:val="TOC2"/>
        <w:tabs>
          <w:tab w:val="right" w:leader="dot" w:pos="8302"/>
        </w:tabs>
        <w:rPr>
          <w:rFonts w:eastAsiaTheme="minorEastAsia"/>
          <w:smallCaps w:val="0"/>
          <w:noProof/>
          <w:sz w:val="21"/>
          <w:szCs w:val="24"/>
        </w:rPr>
      </w:pPr>
      <w:hyperlink w:anchor="_Toc112830729" w:history="1">
        <w:r w:rsidR="00D07F0F" w:rsidRPr="00FD50F6">
          <w:rPr>
            <w:rStyle w:val="afff1"/>
            <w:noProof/>
            <w:color w:val="auto"/>
            <w:lang w:bidi="en-US"/>
          </w:rPr>
          <w:t xml:space="preserve">12.13 </w:t>
        </w:r>
        <w:r w:rsidR="00D07F0F" w:rsidRPr="00FD50F6">
          <w:rPr>
            <w:rStyle w:val="afff1"/>
            <w:noProof/>
            <w:color w:val="auto"/>
            <w:lang w:bidi="en-US"/>
          </w:rPr>
          <w:t>监控量测</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_Toc112830729 \h </w:instrText>
        </w:r>
        <w:r w:rsidR="00D07F0F" w:rsidRPr="00FD50F6">
          <w:rPr>
            <w:noProof/>
            <w:webHidden/>
          </w:rPr>
        </w:r>
        <w:r w:rsidR="00D07F0F" w:rsidRPr="00FD50F6">
          <w:rPr>
            <w:noProof/>
            <w:webHidden/>
          </w:rPr>
          <w:fldChar w:fldCharType="separate"/>
        </w:r>
        <w:r>
          <w:rPr>
            <w:noProof/>
            <w:webHidden/>
          </w:rPr>
          <w:t>117</w:t>
        </w:r>
        <w:r w:rsidR="00D07F0F" w:rsidRPr="00FD50F6">
          <w:rPr>
            <w:noProof/>
            <w:webHidden/>
          </w:rPr>
          <w:fldChar w:fldCharType="end"/>
        </w:r>
      </w:hyperlink>
    </w:p>
    <w:p w14:paraId="3B8F6A1A" w14:textId="013C1E50" w:rsidR="00D07F0F" w:rsidRPr="00FD50F6" w:rsidRDefault="00BF2787">
      <w:pPr>
        <w:pStyle w:val="TOC1"/>
        <w:tabs>
          <w:tab w:val="right" w:leader="dot" w:pos="8302"/>
        </w:tabs>
        <w:rPr>
          <w:rFonts w:eastAsiaTheme="minorEastAsia"/>
          <w:b w:val="0"/>
          <w:bCs w:val="0"/>
          <w:caps w:val="0"/>
          <w:noProof/>
          <w:sz w:val="21"/>
          <w:szCs w:val="24"/>
        </w:rPr>
      </w:pPr>
      <w:hyperlink w:anchor="_Toc112830730" w:history="1">
        <w:r w:rsidR="00D07F0F" w:rsidRPr="00FD50F6">
          <w:rPr>
            <w:rStyle w:val="afff1"/>
            <w:noProof/>
            <w:color w:val="auto"/>
          </w:rPr>
          <w:t xml:space="preserve">13 </w:t>
        </w:r>
        <w:r w:rsidR="00D07F0F" w:rsidRPr="00FD50F6">
          <w:rPr>
            <w:rStyle w:val="afff1"/>
            <w:noProof/>
            <w:color w:val="auto"/>
          </w:rPr>
          <w:t>工程防水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_Toc112830730 \h </w:instrText>
        </w:r>
        <w:r w:rsidR="00D07F0F" w:rsidRPr="00FD50F6">
          <w:rPr>
            <w:noProof/>
            <w:webHidden/>
          </w:rPr>
        </w:r>
        <w:r w:rsidR="00D07F0F" w:rsidRPr="00FD50F6">
          <w:rPr>
            <w:noProof/>
            <w:webHidden/>
          </w:rPr>
          <w:fldChar w:fldCharType="separate"/>
        </w:r>
        <w:r>
          <w:rPr>
            <w:noProof/>
            <w:webHidden/>
          </w:rPr>
          <w:t>119</w:t>
        </w:r>
        <w:r w:rsidR="00D07F0F" w:rsidRPr="00FD50F6">
          <w:rPr>
            <w:noProof/>
            <w:webHidden/>
          </w:rPr>
          <w:fldChar w:fldCharType="end"/>
        </w:r>
      </w:hyperlink>
    </w:p>
    <w:p w14:paraId="07E64615" w14:textId="5B159C69" w:rsidR="00D07F0F" w:rsidRPr="00FD50F6" w:rsidRDefault="00BF2787">
      <w:pPr>
        <w:pStyle w:val="TOC2"/>
        <w:tabs>
          <w:tab w:val="right" w:leader="dot" w:pos="8302"/>
        </w:tabs>
        <w:rPr>
          <w:rFonts w:eastAsiaTheme="minorEastAsia"/>
          <w:smallCaps w:val="0"/>
          <w:noProof/>
          <w:sz w:val="21"/>
          <w:szCs w:val="24"/>
        </w:rPr>
      </w:pPr>
      <w:hyperlink w:anchor="_Toc112830731" w:history="1">
        <w:r w:rsidR="00D07F0F" w:rsidRPr="00FD50F6">
          <w:rPr>
            <w:rStyle w:val="afff1"/>
            <w:noProof/>
            <w:color w:val="auto"/>
            <w:lang w:bidi="en-US"/>
          </w:rPr>
          <w:t xml:space="preserve">13.1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_Toc112830731 \h </w:instrText>
        </w:r>
        <w:r w:rsidR="00D07F0F" w:rsidRPr="00FD50F6">
          <w:rPr>
            <w:noProof/>
            <w:webHidden/>
          </w:rPr>
        </w:r>
        <w:r w:rsidR="00D07F0F" w:rsidRPr="00FD50F6">
          <w:rPr>
            <w:noProof/>
            <w:webHidden/>
          </w:rPr>
          <w:fldChar w:fldCharType="separate"/>
        </w:r>
        <w:r>
          <w:rPr>
            <w:noProof/>
            <w:webHidden/>
          </w:rPr>
          <w:t>119</w:t>
        </w:r>
        <w:r w:rsidR="00D07F0F" w:rsidRPr="00FD50F6">
          <w:rPr>
            <w:noProof/>
            <w:webHidden/>
          </w:rPr>
          <w:fldChar w:fldCharType="end"/>
        </w:r>
      </w:hyperlink>
    </w:p>
    <w:p w14:paraId="281B56EB" w14:textId="10CA5BB8" w:rsidR="00D07F0F" w:rsidRPr="00FD50F6" w:rsidRDefault="00BF2787">
      <w:pPr>
        <w:pStyle w:val="TOC2"/>
        <w:tabs>
          <w:tab w:val="right" w:leader="dot" w:pos="8302"/>
        </w:tabs>
        <w:rPr>
          <w:rFonts w:eastAsiaTheme="minorEastAsia"/>
          <w:smallCaps w:val="0"/>
          <w:noProof/>
          <w:sz w:val="21"/>
          <w:szCs w:val="24"/>
        </w:rPr>
      </w:pPr>
      <w:hyperlink w:anchor="_Toc112830733" w:history="1">
        <w:r w:rsidR="00D07F0F" w:rsidRPr="00FD50F6">
          <w:rPr>
            <w:rStyle w:val="afff1"/>
            <w:noProof/>
            <w:color w:val="auto"/>
            <w:lang w:bidi="en-US"/>
          </w:rPr>
          <w:t xml:space="preserve">13.2 </w:t>
        </w:r>
        <w:r w:rsidR="00D07F0F" w:rsidRPr="00FD50F6">
          <w:rPr>
            <w:rStyle w:val="afff1"/>
            <w:noProof/>
            <w:color w:val="auto"/>
            <w:lang w:bidi="en-US"/>
          </w:rPr>
          <w:t>混凝土结构自防水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_Toc112830733 \h </w:instrText>
        </w:r>
        <w:r w:rsidR="00D07F0F" w:rsidRPr="00FD50F6">
          <w:rPr>
            <w:noProof/>
            <w:webHidden/>
          </w:rPr>
        </w:r>
        <w:r w:rsidR="00D07F0F" w:rsidRPr="00FD50F6">
          <w:rPr>
            <w:noProof/>
            <w:webHidden/>
          </w:rPr>
          <w:fldChar w:fldCharType="separate"/>
        </w:r>
        <w:r>
          <w:rPr>
            <w:noProof/>
            <w:webHidden/>
          </w:rPr>
          <w:t>120</w:t>
        </w:r>
        <w:r w:rsidR="00D07F0F" w:rsidRPr="00FD50F6">
          <w:rPr>
            <w:noProof/>
            <w:webHidden/>
          </w:rPr>
          <w:fldChar w:fldCharType="end"/>
        </w:r>
      </w:hyperlink>
    </w:p>
    <w:p w14:paraId="3BE22D31" w14:textId="6DE3E8CD" w:rsidR="00D07F0F" w:rsidRPr="00FD50F6" w:rsidRDefault="00BF2787">
      <w:pPr>
        <w:pStyle w:val="TOC2"/>
        <w:tabs>
          <w:tab w:val="right" w:leader="dot" w:pos="8302"/>
        </w:tabs>
        <w:rPr>
          <w:rFonts w:eastAsiaTheme="minorEastAsia"/>
          <w:smallCaps w:val="0"/>
          <w:noProof/>
          <w:sz w:val="21"/>
          <w:szCs w:val="24"/>
        </w:rPr>
      </w:pPr>
      <w:hyperlink w:anchor="_Toc112830734" w:history="1">
        <w:r w:rsidR="00D07F0F" w:rsidRPr="00FD50F6">
          <w:rPr>
            <w:rStyle w:val="afff1"/>
            <w:noProof/>
            <w:color w:val="auto"/>
            <w:lang w:bidi="en-US"/>
          </w:rPr>
          <w:t xml:space="preserve">13.3 </w:t>
        </w:r>
        <w:r w:rsidR="00D07F0F" w:rsidRPr="00FD50F6">
          <w:rPr>
            <w:rStyle w:val="afff1"/>
            <w:noProof/>
            <w:color w:val="auto"/>
            <w:lang w:bidi="en-US"/>
          </w:rPr>
          <w:t>防水层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_Toc112830734 \h </w:instrText>
        </w:r>
        <w:r w:rsidR="00D07F0F" w:rsidRPr="00FD50F6">
          <w:rPr>
            <w:noProof/>
            <w:webHidden/>
          </w:rPr>
        </w:r>
        <w:r w:rsidR="00D07F0F" w:rsidRPr="00FD50F6">
          <w:rPr>
            <w:noProof/>
            <w:webHidden/>
          </w:rPr>
          <w:fldChar w:fldCharType="separate"/>
        </w:r>
        <w:r>
          <w:rPr>
            <w:noProof/>
            <w:webHidden/>
          </w:rPr>
          <w:t>121</w:t>
        </w:r>
        <w:r w:rsidR="00D07F0F" w:rsidRPr="00FD50F6">
          <w:rPr>
            <w:noProof/>
            <w:webHidden/>
          </w:rPr>
          <w:fldChar w:fldCharType="end"/>
        </w:r>
      </w:hyperlink>
    </w:p>
    <w:p w14:paraId="6EEC9700" w14:textId="179D951A" w:rsidR="00D07F0F" w:rsidRPr="00FD50F6" w:rsidRDefault="00BF2787">
      <w:pPr>
        <w:pStyle w:val="TOC2"/>
        <w:tabs>
          <w:tab w:val="right" w:leader="dot" w:pos="8302"/>
        </w:tabs>
        <w:rPr>
          <w:rFonts w:eastAsiaTheme="minorEastAsia"/>
          <w:smallCaps w:val="0"/>
          <w:noProof/>
          <w:sz w:val="21"/>
          <w:szCs w:val="24"/>
        </w:rPr>
      </w:pPr>
      <w:hyperlink w:anchor="_Toc112830735" w:history="1">
        <w:r w:rsidR="00D07F0F" w:rsidRPr="00FD50F6">
          <w:rPr>
            <w:rStyle w:val="afff1"/>
            <w:noProof/>
            <w:color w:val="auto"/>
            <w:lang w:bidi="en-US"/>
          </w:rPr>
          <w:t xml:space="preserve">13.4 </w:t>
        </w:r>
        <w:r w:rsidR="00D07F0F" w:rsidRPr="00FD50F6">
          <w:rPr>
            <w:rStyle w:val="afff1"/>
            <w:noProof/>
            <w:color w:val="auto"/>
            <w:lang w:bidi="en-US"/>
          </w:rPr>
          <w:t>高架结构防水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_Toc112830735 \h </w:instrText>
        </w:r>
        <w:r w:rsidR="00D07F0F" w:rsidRPr="00FD50F6">
          <w:rPr>
            <w:noProof/>
            <w:webHidden/>
          </w:rPr>
        </w:r>
        <w:r w:rsidR="00D07F0F" w:rsidRPr="00FD50F6">
          <w:rPr>
            <w:noProof/>
            <w:webHidden/>
          </w:rPr>
          <w:fldChar w:fldCharType="separate"/>
        </w:r>
        <w:r>
          <w:rPr>
            <w:noProof/>
            <w:webHidden/>
          </w:rPr>
          <w:t>122</w:t>
        </w:r>
        <w:r w:rsidR="00D07F0F" w:rsidRPr="00FD50F6">
          <w:rPr>
            <w:noProof/>
            <w:webHidden/>
          </w:rPr>
          <w:fldChar w:fldCharType="end"/>
        </w:r>
      </w:hyperlink>
    </w:p>
    <w:p w14:paraId="0569D1EA" w14:textId="72B64D96" w:rsidR="00D07F0F" w:rsidRPr="00FD50F6" w:rsidRDefault="00BF2787">
      <w:pPr>
        <w:pStyle w:val="TOC2"/>
        <w:tabs>
          <w:tab w:val="right" w:leader="dot" w:pos="8302"/>
        </w:tabs>
        <w:rPr>
          <w:rFonts w:eastAsiaTheme="minorEastAsia"/>
          <w:smallCaps w:val="0"/>
          <w:noProof/>
          <w:sz w:val="21"/>
          <w:szCs w:val="24"/>
        </w:rPr>
      </w:pPr>
      <w:hyperlink w:anchor="_Toc112830736" w:history="1">
        <w:r w:rsidR="00D07F0F" w:rsidRPr="00FD50F6">
          <w:rPr>
            <w:rStyle w:val="afff1"/>
            <w:noProof/>
            <w:color w:val="auto"/>
            <w:lang w:bidi="en-US"/>
          </w:rPr>
          <w:t xml:space="preserve">13.5 </w:t>
        </w:r>
        <w:r w:rsidR="00D07F0F" w:rsidRPr="00FD50F6">
          <w:rPr>
            <w:rStyle w:val="afff1"/>
            <w:noProof/>
            <w:color w:val="auto"/>
            <w:lang w:bidi="en-US"/>
          </w:rPr>
          <w:t>明挖顺作法结构防水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_Toc112830736 \h </w:instrText>
        </w:r>
        <w:r w:rsidR="00D07F0F" w:rsidRPr="00FD50F6">
          <w:rPr>
            <w:noProof/>
            <w:webHidden/>
          </w:rPr>
        </w:r>
        <w:r w:rsidR="00D07F0F" w:rsidRPr="00FD50F6">
          <w:rPr>
            <w:noProof/>
            <w:webHidden/>
          </w:rPr>
          <w:fldChar w:fldCharType="separate"/>
        </w:r>
        <w:r>
          <w:rPr>
            <w:noProof/>
            <w:webHidden/>
          </w:rPr>
          <w:t>122</w:t>
        </w:r>
        <w:r w:rsidR="00D07F0F" w:rsidRPr="00FD50F6">
          <w:rPr>
            <w:noProof/>
            <w:webHidden/>
          </w:rPr>
          <w:fldChar w:fldCharType="end"/>
        </w:r>
      </w:hyperlink>
    </w:p>
    <w:p w14:paraId="47A6BBAC" w14:textId="53EBFEF6" w:rsidR="00D07F0F" w:rsidRPr="00FD50F6" w:rsidRDefault="00BF2787">
      <w:pPr>
        <w:pStyle w:val="TOC2"/>
        <w:tabs>
          <w:tab w:val="right" w:leader="dot" w:pos="8302"/>
        </w:tabs>
        <w:rPr>
          <w:rFonts w:eastAsiaTheme="minorEastAsia"/>
          <w:smallCaps w:val="0"/>
          <w:noProof/>
          <w:sz w:val="21"/>
          <w:szCs w:val="24"/>
        </w:rPr>
      </w:pPr>
      <w:hyperlink w:anchor="_Toc112830737" w:history="1">
        <w:r w:rsidR="00D07F0F" w:rsidRPr="00FD50F6">
          <w:rPr>
            <w:rStyle w:val="afff1"/>
            <w:noProof/>
            <w:color w:val="auto"/>
            <w:lang w:bidi="en-US"/>
          </w:rPr>
          <w:t xml:space="preserve">13.6 </w:t>
        </w:r>
        <w:r w:rsidR="00D07F0F" w:rsidRPr="00FD50F6">
          <w:rPr>
            <w:rStyle w:val="afff1"/>
            <w:noProof/>
            <w:color w:val="auto"/>
            <w:lang w:bidi="en-US"/>
          </w:rPr>
          <w:t>盖挖逆作法结构防水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_Toc112830737 \h </w:instrText>
        </w:r>
        <w:r w:rsidR="00D07F0F" w:rsidRPr="00FD50F6">
          <w:rPr>
            <w:noProof/>
            <w:webHidden/>
          </w:rPr>
        </w:r>
        <w:r w:rsidR="00D07F0F" w:rsidRPr="00FD50F6">
          <w:rPr>
            <w:noProof/>
            <w:webHidden/>
          </w:rPr>
          <w:fldChar w:fldCharType="separate"/>
        </w:r>
        <w:r>
          <w:rPr>
            <w:noProof/>
            <w:webHidden/>
          </w:rPr>
          <w:t>124</w:t>
        </w:r>
        <w:r w:rsidR="00D07F0F" w:rsidRPr="00FD50F6">
          <w:rPr>
            <w:noProof/>
            <w:webHidden/>
          </w:rPr>
          <w:fldChar w:fldCharType="end"/>
        </w:r>
      </w:hyperlink>
    </w:p>
    <w:p w14:paraId="627AA221" w14:textId="0112A9EB" w:rsidR="00D07F0F" w:rsidRPr="00FD50F6" w:rsidRDefault="00BF2787">
      <w:pPr>
        <w:pStyle w:val="TOC2"/>
        <w:tabs>
          <w:tab w:val="right" w:leader="dot" w:pos="8302"/>
        </w:tabs>
        <w:rPr>
          <w:rFonts w:eastAsiaTheme="minorEastAsia"/>
          <w:smallCaps w:val="0"/>
          <w:noProof/>
          <w:sz w:val="21"/>
          <w:szCs w:val="24"/>
        </w:rPr>
      </w:pPr>
      <w:hyperlink w:anchor="_Toc112830738" w:history="1">
        <w:r w:rsidR="00D07F0F" w:rsidRPr="00FD50F6">
          <w:rPr>
            <w:rStyle w:val="afff1"/>
            <w:noProof/>
            <w:color w:val="auto"/>
            <w:lang w:bidi="en-US"/>
          </w:rPr>
          <w:t xml:space="preserve">13.7 </w:t>
        </w:r>
        <w:r w:rsidR="00D07F0F" w:rsidRPr="00FD50F6">
          <w:rPr>
            <w:rStyle w:val="afff1"/>
            <w:noProof/>
            <w:color w:val="auto"/>
            <w:lang w:bidi="en-US"/>
          </w:rPr>
          <w:t>矿山法结构防水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_Toc112830738 \h </w:instrText>
        </w:r>
        <w:r w:rsidR="00D07F0F" w:rsidRPr="00FD50F6">
          <w:rPr>
            <w:noProof/>
            <w:webHidden/>
          </w:rPr>
        </w:r>
        <w:r w:rsidR="00D07F0F" w:rsidRPr="00FD50F6">
          <w:rPr>
            <w:noProof/>
            <w:webHidden/>
          </w:rPr>
          <w:fldChar w:fldCharType="separate"/>
        </w:r>
        <w:r>
          <w:rPr>
            <w:noProof/>
            <w:webHidden/>
          </w:rPr>
          <w:t>124</w:t>
        </w:r>
        <w:r w:rsidR="00D07F0F" w:rsidRPr="00FD50F6">
          <w:rPr>
            <w:noProof/>
            <w:webHidden/>
          </w:rPr>
          <w:fldChar w:fldCharType="end"/>
        </w:r>
      </w:hyperlink>
    </w:p>
    <w:p w14:paraId="15AAB45E" w14:textId="4C38FAF7" w:rsidR="00D07F0F" w:rsidRPr="00FD50F6" w:rsidRDefault="00BF2787">
      <w:pPr>
        <w:pStyle w:val="TOC2"/>
        <w:tabs>
          <w:tab w:val="right" w:leader="dot" w:pos="8302"/>
        </w:tabs>
        <w:rPr>
          <w:rFonts w:eastAsiaTheme="minorEastAsia"/>
          <w:smallCaps w:val="0"/>
          <w:noProof/>
          <w:sz w:val="21"/>
          <w:szCs w:val="24"/>
        </w:rPr>
      </w:pPr>
      <w:hyperlink w:anchor="_Toc112830739" w:history="1">
        <w:r w:rsidR="00D07F0F" w:rsidRPr="00FD50F6">
          <w:rPr>
            <w:rStyle w:val="afff1"/>
            <w:noProof/>
            <w:color w:val="auto"/>
            <w:lang w:bidi="en-US"/>
          </w:rPr>
          <w:t xml:space="preserve">13.8 </w:t>
        </w:r>
        <w:r w:rsidR="00D07F0F" w:rsidRPr="00FD50F6">
          <w:rPr>
            <w:rStyle w:val="afff1"/>
            <w:noProof/>
            <w:color w:val="auto"/>
            <w:lang w:bidi="en-US"/>
          </w:rPr>
          <w:t>盾构法结构防水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_Toc112830739 \h </w:instrText>
        </w:r>
        <w:r w:rsidR="00D07F0F" w:rsidRPr="00FD50F6">
          <w:rPr>
            <w:noProof/>
            <w:webHidden/>
          </w:rPr>
        </w:r>
        <w:r w:rsidR="00D07F0F" w:rsidRPr="00FD50F6">
          <w:rPr>
            <w:noProof/>
            <w:webHidden/>
          </w:rPr>
          <w:fldChar w:fldCharType="separate"/>
        </w:r>
        <w:r>
          <w:rPr>
            <w:noProof/>
            <w:webHidden/>
          </w:rPr>
          <w:t>126</w:t>
        </w:r>
        <w:r w:rsidR="00D07F0F" w:rsidRPr="00FD50F6">
          <w:rPr>
            <w:noProof/>
            <w:webHidden/>
          </w:rPr>
          <w:fldChar w:fldCharType="end"/>
        </w:r>
      </w:hyperlink>
    </w:p>
    <w:p w14:paraId="50D62E99" w14:textId="5125D3AD" w:rsidR="00D07F0F" w:rsidRPr="00FD50F6" w:rsidRDefault="00BF2787">
      <w:pPr>
        <w:pStyle w:val="TOC2"/>
        <w:tabs>
          <w:tab w:val="right" w:leader="dot" w:pos="8302"/>
        </w:tabs>
        <w:rPr>
          <w:rFonts w:eastAsiaTheme="minorEastAsia"/>
          <w:smallCaps w:val="0"/>
          <w:noProof/>
          <w:sz w:val="21"/>
          <w:szCs w:val="24"/>
        </w:rPr>
      </w:pPr>
      <w:hyperlink w:anchor="_Toc112830740" w:history="1">
        <w:r w:rsidR="00D07F0F" w:rsidRPr="00FD50F6">
          <w:rPr>
            <w:rStyle w:val="afff1"/>
            <w:noProof/>
            <w:color w:val="auto"/>
            <w:lang w:bidi="en-US"/>
          </w:rPr>
          <w:t xml:space="preserve">13.9 </w:t>
        </w:r>
        <w:r w:rsidR="00D07F0F" w:rsidRPr="00FD50F6">
          <w:rPr>
            <w:rStyle w:val="afff1"/>
            <w:noProof/>
            <w:color w:val="auto"/>
            <w:lang w:bidi="en-US"/>
          </w:rPr>
          <w:t>沉管法及顶管法结构防水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_Toc112830740 \h </w:instrText>
        </w:r>
        <w:r w:rsidR="00D07F0F" w:rsidRPr="00FD50F6">
          <w:rPr>
            <w:noProof/>
            <w:webHidden/>
          </w:rPr>
        </w:r>
        <w:r w:rsidR="00D07F0F" w:rsidRPr="00FD50F6">
          <w:rPr>
            <w:noProof/>
            <w:webHidden/>
          </w:rPr>
          <w:fldChar w:fldCharType="separate"/>
        </w:r>
        <w:r>
          <w:rPr>
            <w:noProof/>
            <w:webHidden/>
          </w:rPr>
          <w:t>128</w:t>
        </w:r>
        <w:r w:rsidR="00D07F0F" w:rsidRPr="00FD50F6">
          <w:rPr>
            <w:noProof/>
            <w:webHidden/>
          </w:rPr>
          <w:fldChar w:fldCharType="end"/>
        </w:r>
      </w:hyperlink>
    </w:p>
    <w:p w14:paraId="43C6831E" w14:textId="4D7EE38D" w:rsidR="00D07F0F" w:rsidRPr="00FD50F6" w:rsidRDefault="00BF2787">
      <w:pPr>
        <w:pStyle w:val="TOC2"/>
        <w:tabs>
          <w:tab w:val="right" w:leader="dot" w:pos="8302"/>
        </w:tabs>
        <w:rPr>
          <w:rFonts w:eastAsiaTheme="minorEastAsia"/>
          <w:smallCaps w:val="0"/>
          <w:noProof/>
          <w:sz w:val="21"/>
          <w:szCs w:val="24"/>
        </w:rPr>
      </w:pPr>
      <w:hyperlink w:anchor="_Toc112830741" w:history="1">
        <w:r w:rsidR="00D07F0F" w:rsidRPr="00FD50F6">
          <w:rPr>
            <w:rStyle w:val="afff1"/>
            <w:noProof/>
            <w:color w:val="auto"/>
            <w:lang w:bidi="en-US"/>
          </w:rPr>
          <w:t xml:space="preserve">13.10 </w:t>
        </w:r>
        <w:r w:rsidR="00D07F0F" w:rsidRPr="00FD50F6">
          <w:rPr>
            <w:rStyle w:val="afff1"/>
            <w:noProof/>
            <w:color w:val="auto"/>
            <w:lang w:bidi="en-US"/>
          </w:rPr>
          <w:t>细部构造防水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_Toc112830741 \h </w:instrText>
        </w:r>
        <w:r w:rsidR="00D07F0F" w:rsidRPr="00FD50F6">
          <w:rPr>
            <w:noProof/>
            <w:webHidden/>
          </w:rPr>
        </w:r>
        <w:r w:rsidR="00D07F0F" w:rsidRPr="00FD50F6">
          <w:rPr>
            <w:noProof/>
            <w:webHidden/>
          </w:rPr>
          <w:fldChar w:fldCharType="separate"/>
        </w:r>
        <w:r>
          <w:rPr>
            <w:noProof/>
            <w:webHidden/>
          </w:rPr>
          <w:t>128</w:t>
        </w:r>
        <w:r w:rsidR="00D07F0F" w:rsidRPr="00FD50F6">
          <w:rPr>
            <w:noProof/>
            <w:webHidden/>
          </w:rPr>
          <w:fldChar w:fldCharType="end"/>
        </w:r>
      </w:hyperlink>
    </w:p>
    <w:p w14:paraId="31A0E014" w14:textId="68057D45" w:rsidR="00D07F0F" w:rsidRPr="00FD50F6" w:rsidRDefault="00BF2787">
      <w:pPr>
        <w:pStyle w:val="TOC1"/>
        <w:tabs>
          <w:tab w:val="right" w:leader="dot" w:pos="8302"/>
        </w:tabs>
        <w:rPr>
          <w:rFonts w:eastAsiaTheme="minorEastAsia"/>
          <w:b w:val="0"/>
          <w:bCs w:val="0"/>
          <w:caps w:val="0"/>
          <w:noProof/>
          <w:sz w:val="21"/>
          <w:szCs w:val="24"/>
        </w:rPr>
      </w:pPr>
      <w:hyperlink w:anchor="_Toc112830742" w:history="1">
        <w:r w:rsidR="00D07F0F" w:rsidRPr="00FD50F6">
          <w:rPr>
            <w:rStyle w:val="afff1"/>
            <w:noProof/>
            <w:color w:val="auto"/>
          </w:rPr>
          <w:t xml:space="preserve">14 </w:t>
        </w:r>
        <w:r w:rsidR="00D07F0F" w:rsidRPr="00FD50F6">
          <w:rPr>
            <w:rStyle w:val="afff1"/>
            <w:noProof/>
            <w:color w:val="auto"/>
          </w:rPr>
          <w:t>通风、空调与供暖</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_Toc112830742 \h </w:instrText>
        </w:r>
        <w:r w:rsidR="00D07F0F" w:rsidRPr="00FD50F6">
          <w:rPr>
            <w:noProof/>
            <w:webHidden/>
          </w:rPr>
        </w:r>
        <w:r w:rsidR="00D07F0F" w:rsidRPr="00FD50F6">
          <w:rPr>
            <w:noProof/>
            <w:webHidden/>
          </w:rPr>
          <w:fldChar w:fldCharType="separate"/>
        </w:r>
        <w:r>
          <w:rPr>
            <w:noProof/>
            <w:webHidden/>
          </w:rPr>
          <w:t>130</w:t>
        </w:r>
        <w:r w:rsidR="00D07F0F" w:rsidRPr="00FD50F6">
          <w:rPr>
            <w:noProof/>
            <w:webHidden/>
          </w:rPr>
          <w:fldChar w:fldCharType="end"/>
        </w:r>
      </w:hyperlink>
    </w:p>
    <w:p w14:paraId="03C1325D" w14:textId="658FAEAF" w:rsidR="00D07F0F" w:rsidRPr="00FD50F6" w:rsidRDefault="00BF2787">
      <w:pPr>
        <w:pStyle w:val="TOC2"/>
        <w:tabs>
          <w:tab w:val="right" w:leader="dot" w:pos="8302"/>
        </w:tabs>
        <w:rPr>
          <w:rFonts w:eastAsiaTheme="minorEastAsia"/>
          <w:smallCaps w:val="0"/>
          <w:noProof/>
          <w:sz w:val="21"/>
          <w:szCs w:val="24"/>
        </w:rPr>
      </w:pPr>
      <w:hyperlink w:anchor="_Toc112830743" w:history="1">
        <w:r w:rsidR="00D07F0F" w:rsidRPr="00FD50F6">
          <w:rPr>
            <w:rStyle w:val="afff1"/>
            <w:noProof/>
            <w:color w:val="auto"/>
            <w:lang w:bidi="en-US"/>
          </w:rPr>
          <w:t xml:space="preserve">14.1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_Toc112830743 \h </w:instrText>
        </w:r>
        <w:r w:rsidR="00D07F0F" w:rsidRPr="00FD50F6">
          <w:rPr>
            <w:noProof/>
            <w:webHidden/>
          </w:rPr>
        </w:r>
        <w:r w:rsidR="00D07F0F" w:rsidRPr="00FD50F6">
          <w:rPr>
            <w:noProof/>
            <w:webHidden/>
          </w:rPr>
          <w:fldChar w:fldCharType="separate"/>
        </w:r>
        <w:r>
          <w:rPr>
            <w:noProof/>
            <w:webHidden/>
          </w:rPr>
          <w:t>130</w:t>
        </w:r>
        <w:r w:rsidR="00D07F0F" w:rsidRPr="00FD50F6">
          <w:rPr>
            <w:noProof/>
            <w:webHidden/>
          </w:rPr>
          <w:fldChar w:fldCharType="end"/>
        </w:r>
      </w:hyperlink>
    </w:p>
    <w:p w14:paraId="25B5DE1F" w14:textId="6DBE7B9E" w:rsidR="00D07F0F" w:rsidRPr="00FD50F6" w:rsidRDefault="00BF2787">
      <w:pPr>
        <w:pStyle w:val="TOC2"/>
        <w:tabs>
          <w:tab w:val="right" w:leader="dot" w:pos="8302"/>
        </w:tabs>
        <w:rPr>
          <w:rFonts w:eastAsiaTheme="minorEastAsia"/>
          <w:smallCaps w:val="0"/>
          <w:noProof/>
          <w:sz w:val="21"/>
          <w:szCs w:val="24"/>
        </w:rPr>
      </w:pPr>
      <w:hyperlink w:anchor="_Toc112830744" w:history="1">
        <w:r w:rsidR="00D07F0F" w:rsidRPr="00FD50F6">
          <w:rPr>
            <w:rStyle w:val="afff1"/>
            <w:noProof/>
            <w:color w:val="auto"/>
            <w:lang w:bidi="en-US"/>
          </w:rPr>
          <w:t xml:space="preserve">14.2 </w:t>
        </w:r>
        <w:r w:rsidR="00D07F0F" w:rsidRPr="00FD50F6">
          <w:rPr>
            <w:rStyle w:val="afff1"/>
            <w:noProof/>
            <w:color w:val="auto"/>
            <w:lang w:bidi="en-US"/>
          </w:rPr>
          <w:t>地下线路</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_Toc112830744 \h </w:instrText>
        </w:r>
        <w:r w:rsidR="00D07F0F" w:rsidRPr="00FD50F6">
          <w:rPr>
            <w:noProof/>
            <w:webHidden/>
          </w:rPr>
        </w:r>
        <w:r w:rsidR="00D07F0F" w:rsidRPr="00FD50F6">
          <w:rPr>
            <w:noProof/>
            <w:webHidden/>
          </w:rPr>
          <w:fldChar w:fldCharType="separate"/>
        </w:r>
        <w:r>
          <w:rPr>
            <w:noProof/>
            <w:webHidden/>
          </w:rPr>
          <w:t>131</w:t>
        </w:r>
        <w:r w:rsidR="00D07F0F" w:rsidRPr="00FD50F6">
          <w:rPr>
            <w:noProof/>
            <w:webHidden/>
          </w:rPr>
          <w:fldChar w:fldCharType="end"/>
        </w:r>
      </w:hyperlink>
    </w:p>
    <w:p w14:paraId="4D1717EA" w14:textId="78AD9B42" w:rsidR="00D07F0F" w:rsidRPr="00FD50F6" w:rsidRDefault="00BF2787">
      <w:pPr>
        <w:pStyle w:val="TOC2"/>
        <w:tabs>
          <w:tab w:val="right" w:leader="dot" w:pos="8302"/>
        </w:tabs>
        <w:rPr>
          <w:rFonts w:eastAsiaTheme="minorEastAsia"/>
          <w:smallCaps w:val="0"/>
          <w:noProof/>
          <w:sz w:val="21"/>
          <w:szCs w:val="24"/>
        </w:rPr>
      </w:pPr>
      <w:hyperlink w:anchor="_Toc112830745" w:history="1">
        <w:r w:rsidR="00D07F0F" w:rsidRPr="00FD50F6">
          <w:rPr>
            <w:rStyle w:val="afff1"/>
            <w:noProof/>
            <w:color w:val="auto"/>
            <w:lang w:bidi="en-US"/>
          </w:rPr>
          <w:t xml:space="preserve">14.3 </w:t>
        </w:r>
        <w:r w:rsidR="00D07F0F" w:rsidRPr="00FD50F6">
          <w:rPr>
            <w:rStyle w:val="afff1"/>
            <w:noProof/>
            <w:color w:val="auto"/>
            <w:lang w:bidi="en-US"/>
          </w:rPr>
          <w:t>地上线路与地上建筑</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_Toc112830745 \h </w:instrText>
        </w:r>
        <w:r w:rsidR="00D07F0F" w:rsidRPr="00FD50F6">
          <w:rPr>
            <w:noProof/>
            <w:webHidden/>
          </w:rPr>
        </w:r>
        <w:r w:rsidR="00D07F0F" w:rsidRPr="00FD50F6">
          <w:rPr>
            <w:noProof/>
            <w:webHidden/>
          </w:rPr>
          <w:fldChar w:fldCharType="separate"/>
        </w:r>
        <w:r>
          <w:rPr>
            <w:noProof/>
            <w:webHidden/>
          </w:rPr>
          <w:t>136</w:t>
        </w:r>
        <w:r w:rsidR="00D07F0F" w:rsidRPr="00FD50F6">
          <w:rPr>
            <w:noProof/>
            <w:webHidden/>
          </w:rPr>
          <w:fldChar w:fldCharType="end"/>
        </w:r>
      </w:hyperlink>
    </w:p>
    <w:p w14:paraId="09FD3EE2" w14:textId="69A9957E" w:rsidR="00D07F0F" w:rsidRPr="00FD50F6" w:rsidRDefault="00BF2787">
      <w:pPr>
        <w:pStyle w:val="TOC2"/>
        <w:tabs>
          <w:tab w:val="right" w:leader="dot" w:pos="8302"/>
        </w:tabs>
        <w:rPr>
          <w:rFonts w:eastAsiaTheme="minorEastAsia"/>
          <w:smallCaps w:val="0"/>
          <w:noProof/>
          <w:sz w:val="21"/>
          <w:szCs w:val="24"/>
        </w:rPr>
      </w:pPr>
      <w:hyperlink w:anchor="_Toc112830746" w:history="1">
        <w:r w:rsidR="00D07F0F" w:rsidRPr="00FD50F6">
          <w:rPr>
            <w:rStyle w:val="afff1"/>
            <w:noProof/>
            <w:color w:val="auto"/>
            <w:lang w:bidi="en-US"/>
          </w:rPr>
          <w:t xml:space="preserve">14.4 </w:t>
        </w:r>
        <w:r w:rsidR="00D07F0F" w:rsidRPr="00FD50F6">
          <w:rPr>
            <w:rStyle w:val="afff1"/>
            <w:noProof/>
            <w:color w:val="auto"/>
            <w:lang w:bidi="en-US"/>
          </w:rPr>
          <w:t>监测与控制</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_Toc112830746 \h </w:instrText>
        </w:r>
        <w:r w:rsidR="00D07F0F" w:rsidRPr="00FD50F6">
          <w:rPr>
            <w:noProof/>
            <w:webHidden/>
          </w:rPr>
        </w:r>
        <w:r w:rsidR="00D07F0F" w:rsidRPr="00FD50F6">
          <w:rPr>
            <w:noProof/>
            <w:webHidden/>
          </w:rPr>
          <w:fldChar w:fldCharType="separate"/>
        </w:r>
        <w:r>
          <w:rPr>
            <w:noProof/>
            <w:webHidden/>
          </w:rPr>
          <w:t>137</w:t>
        </w:r>
        <w:r w:rsidR="00D07F0F" w:rsidRPr="00FD50F6">
          <w:rPr>
            <w:noProof/>
            <w:webHidden/>
          </w:rPr>
          <w:fldChar w:fldCharType="end"/>
        </w:r>
      </w:hyperlink>
    </w:p>
    <w:p w14:paraId="53621388" w14:textId="021547DF" w:rsidR="00D07F0F" w:rsidRPr="00FD50F6" w:rsidRDefault="00BF2787">
      <w:pPr>
        <w:pStyle w:val="TOC1"/>
        <w:tabs>
          <w:tab w:val="right" w:leader="dot" w:pos="8302"/>
        </w:tabs>
        <w:rPr>
          <w:rFonts w:eastAsiaTheme="minorEastAsia"/>
          <w:b w:val="0"/>
          <w:bCs w:val="0"/>
          <w:caps w:val="0"/>
          <w:noProof/>
          <w:sz w:val="21"/>
          <w:szCs w:val="24"/>
        </w:rPr>
      </w:pPr>
      <w:hyperlink w:anchor="_Toc112830747" w:history="1">
        <w:r w:rsidR="00D07F0F" w:rsidRPr="00FD50F6">
          <w:rPr>
            <w:rStyle w:val="afff1"/>
            <w:noProof/>
            <w:color w:val="auto"/>
          </w:rPr>
          <w:t xml:space="preserve">15 </w:t>
        </w:r>
        <w:r w:rsidR="00D07F0F" w:rsidRPr="00FD50F6">
          <w:rPr>
            <w:rStyle w:val="afff1"/>
            <w:noProof/>
            <w:color w:val="auto"/>
          </w:rPr>
          <w:t>给水与排水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_Toc112830747 \h </w:instrText>
        </w:r>
        <w:r w:rsidR="00D07F0F" w:rsidRPr="00FD50F6">
          <w:rPr>
            <w:noProof/>
            <w:webHidden/>
          </w:rPr>
        </w:r>
        <w:r w:rsidR="00D07F0F" w:rsidRPr="00FD50F6">
          <w:rPr>
            <w:noProof/>
            <w:webHidden/>
          </w:rPr>
          <w:fldChar w:fldCharType="separate"/>
        </w:r>
        <w:r>
          <w:rPr>
            <w:noProof/>
            <w:webHidden/>
          </w:rPr>
          <w:t>138</w:t>
        </w:r>
        <w:r w:rsidR="00D07F0F" w:rsidRPr="00FD50F6">
          <w:rPr>
            <w:noProof/>
            <w:webHidden/>
          </w:rPr>
          <w:fldChar w:fldCharType="end"/>
        </w:r>
      </w:hyperlink>
    </w:p>
    <w:p w14:paraId="7494216B" w14:textId="24A50FE3" w:rsidR="00D07F0F" w:rsidRPr="00FD50F6" w:rsidRDefault="00BF2787">
      <w:pPr>
        <w:pStyle w:val="TOC2"/>
        <w:tabs>
          <w:tab w:val="right" w:leader="dot" w:pos="8302"/>
        </w:tabs>
        <w:rPr>
          <w:rFonts w:eastAsiaTheme="minorEastAsia"/>
          <w:smallCaps w:val="0"/>
          <w:noProof/>
          <w:sz w:val="21"/>
          <w:szCs w:val="24"/>
        </w:rPr>
      </w:pPr>
      <w:hyperlink w:anchor="_Toc112830748" w:history="1">
        <w:r w:rsidR="00D07F0F" w:rsidRPr="00FD50F6">
          <w:rPr>
            <w:rStyle w:val="afff1"/>
            <w:noProof/>
            <w:color w:val="auto"/>
            <w:lang w:bidi="en-US"/>
          </w:rPr>
          <w:t xml:space="preserve">15.1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_Toc112830748 \h </w:instrText>
        </w:r>
        <w:r w:rsidR="00D07F0F" w:rsidRPr="00FD50F6">
          <w:rPr>
            <w:noProof/>
            <w:webHidden/>
          </w:rPr>
        </w:r>
        <w:r w:rsidR="00D07F0F" w:rsidRPr="00FD50F6">
          <w:rPr>
            <w:noProof/>
            <w:webHidden/>
          </w:rPr>
          <w:fldChar w:fldCharType="separate"/>
        </w:r>
        <w:r>
          <w:rPr>
            <w:noProof/>
            <w:webHidden/>
          </w:rPr>
          <w:t>138</w:t>
        </w:r>
        <w:r w:rsidR="00D07F0F" w:rsidRPr="00FD50F6">
          <w:rPr>
            <w:noProof/>
            <w:webHidden/>
          </w:rPr>
          <w:fldChar w:fldCharType="end"/>
        </w:r>
      </w:hyperlink>
    </w:p>
    <w:p w14:paraId="71D2FDFA" w14:textId="415FE2D0" w:rsidR="00D07F0F" w:rsidRPr="00FD50F6" w:rsidRDefault="00BF2787">
      <w:pPr>
        <w:pStyle w:val="TOC2"/>
        <w:tabs>
          <w:tab w:val="right" w:leader="dot" w:pos="8302"/>
        </w:tabs>
        <w:rPr>
          <w:rFonts w:eastAsiaTheme="minorEastAsia"/>
          <w:smallCaps w:val="0"/>
          <w:noProof/>
          <w:sz w:val="21"/>
          <w:szCs w:val="24"/>
        </w:rPr>
      </w:pPr>
      <w:hyperlink w:anchor="_Toc112830749" w:history="1">
        <w:r w:rsidR="00D07F0F" w:rsidRPr="00FD50F6">
          <w:rPr>
            <w:rStyle w:val="afff1"/>
            <w:noProof/>
            <w:color w:val="auto"/>
            <w:lang w:bidi="en-US"/>
          </w:rPr>
          <w:t xml:space="preserve">15.2 </w:t>
        </w:r>
        <w:r w:rsidR="00D07F0F" w:rsidRPr="00FD50F6">
          <w:rPr>
            <w:rStyle w:val="afff1"/>
            <w:noProof/>
            <w:color w:val="auto"/>
            <w:lang w:bidi="en-US"/>
          </w:rPr>
          <w:t>给水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_Toc112830749 \h </w:instrText>
        </w:r>
        <w:r w:rsidR="00D07F0F" w:rsidRPr="00FD50F6">
          <w:rPr>
            <w:noProof/>
            <w:webHidden/>
          </w:rPr>
        </w:r>
        <w:r w:rsidR="00D07F0F" w:rsidRPr="00FD50F6">
          <w:rPr>
            <w:noProof/>
            <w:webHidden/>
          </w:rPr>
          <w:fldChar w:fldCharType="separate"/>
        </w:r>
        <w:r>
          <w:rPr>
            <w:noProof/>
            <w:webHidden/>
          </w:rPr>
          <w:t>138</w:t>
        </w:r>
        <w:r w:rsidR="00D07F0F" w:rsidRPr="00FD50F6">
          <w:rPr>
            <w:noProof/>
            <w:webHidden/>
          </w:rPr>
          <w:fldChar w:fldCharType="end"/>
        </w:r>
      </w:hyperlink>
    </w:p>
    <w:p w14:paraId="4666669E" w14:textId="3CDE1C67" w:rsidR="00D07F0F" w:rsidRPr="00FD50F6" w:rsidRDefault="00BF2787">
      <w:pPr>
        <w:pStyle w:val="TOC2"/>
        <w:tabs>
          <w:tab w:val="right" w:leader="dot" w:pos="8302"/>
        </w:tabs>
        <w:rPr>
          <w:rFonts w:eastAsiaTheme="minorEastAsia"/>
          <w:smallCaps w:val="0"/>
          <w:noProof/>
          <w:sz w:val="21"/>
          <w:szCs w:val="24"/>
        </w:rPr>
      </w:pPr>
      <w:hyperlink w:anchor="_Toc112830750" w:history="1">
        <w:r w:rsidR="00D07F0F" w:rsidRPr="00FD50F6">
          <w:rPr>
            <w:rStyle w:val="afff1"/>
            <w:noProof/>
            <w:color w:val="auto"/>
            <w:lang w:bidi="en-US"/>
          </w:rPr>
          <w:t xml:space="preserve">15.3 </w:t>
        </w:r>
        <w:r w:rsidR="00D07F0F" w:rsidRPr="00FD50F6">
          <w:rPr>
            <w:rStyle w:val="afff1"/>
            <w:noProof/>
            <w:color w:val="auto"/>
            <w:lang w:bidi="en-US"/>
          </w:rPr>
          <w:t>排水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_Toc112830750 \h </w:instrText>
        </w:r>
        <w:r w:rsidR="00D07F0F" w:rsidRPr="00FD50F6">
          <w:rPr>
            <w:noProof/>
            <w:webHidden/>
          </w:rPr>
        </w:r>
        <w:r w:rsidR="00D07F0F" w:rsidRPr="00FD50F6">
          <w:rPr>
            <w:noProof/>
            <w:webHidden/>
          </w:rPr>
          <w:fldChar w:fldCharType="separate"/>
        </w:r>
        <w:r>
          <w:rPr>
            <w:noProof/>
            <w:webHidden/>
          </w:rPr>
          <w:t>140</w:t>
        </w:r>
        <w:r w:rsidR="00D07F0F" w:rsidRPr="00FD50F6">
          <w:rPr>
            <w:noProof/>
            <w:webHidden/>
          </w:rPr>
          <w:fldChar w:fldCharType="end"/>
        </w:r>
      </w:hyperlink>
    </w:p>
    <w:p w14:paraId="617B8C8B" w14:textId="51516A7E" w:rsidR="00D07F0F" w:rsidRPr="00FD50F6" w:rsidRDefault="00BF2787">
      <w:pPr>
        <w:pStyle w:val="TOC2"/>
        <w:tabs>
          <w:tab w:val="right" w:leader="dot" w:pos="8302"/>
        </w:tabs>
        <w:rPr>
          <w:rFonts w:eastAsiaTheme="minorEastAsia"/>
          <w:smallCaps w:val="0"/>
          <w:noProof/>
          <w:sz w:val="21"/>
          <w:szCs w:val="24"/>
        </w:rPr>
      </w:pPr>
      <w:hyperlink w:anchor="_Toc112830751" w:history="1">
        <w:r w:rsidR="00D07F0F" w:rsidRPr="00FD50F6">
          <w:rPr>
            <w:rStyle w:val="afff1"/>
            <w:noProof/>
            <w:color w:val="auto"/>
            <w:lang w:bidi="en-US"/>
          </w:rPr>
          <w:t xml:space="preserve">15.4 </w:t>
        </w:r>
        <w:r w:rsidR="00D07F0F" w:rsidRPr="00FD50F6">
          <w:rPr>
            <w:rStyle w:val="afff1"/>
            <w:noProof/>
            <w:color w:val="auto"/>
            <w:lang w:bidi="en-US"/>
          </w:rPr>
          <w:t>车辆基地给水与排水</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_Toc112830751 \h </w:instrText>
        </w:r>
        <w:r w:rsidR="00D07F0F" w:rsidRPr="00FD50F6">
          <w:rPr>
            <w:noProof/>
            <w:webHidden/>
          </w:rPr>
        </w:r>
        <w:r w:rsidR="00D07F0F" w:rsidRPr="00FD50F6">
          <w:rPr>
            <w:noProof/>
            <w:webHidden/>
          </w:rPr>
          <w:fldChar w:fldCharType="separate"/>
        </w:r>
        <w:r>
          <w:rPr>
            <w:noProof/>
            <w:webHidden/>
          </w:rPr>
          <w:t>143</w:t>
        </w:r>
        <w:r w:rsidR="00D07F0F" w:rsidRPr="00FD50F6">
          <w:rPr>
            <w:noProof/>
            <w:webHidden/>
          </w:rPr>
          <w:fldChar w:fldCharType="end"/>
        </w:r>
      </w:hyperlink>
    </w:p>
    <w:p w14:paraId="5BCBA5D5" w14:textId="34FA88F3" w:rsidR="00D07F0F" w:rsidRPr="00FD50F6" w:rsidRDefault="00BF2787">
      <w:pPr>
        <w:pStyle w:val="TOC2"/>
        <w:tabs>
          <w:tab w:val="right" w:leader="dot" w:pos="8302"/>
        </w:tabs>
        <w:rPr>
          <w:rFonts w:eastAsiaTheme="minorEastAsia"/>
          <w:smallCaps w:val="0"/>
          <w:noProof/>
          <w:sz w:val="21"/>
          <w:szCs w:val="24"/>
        </w:rPr>
      </w:pPr>
      <w:hyperlink w:anchor="_Toc112830753" w:history="1">
        <w:r w:rsidR="00D07F0F" w:rsidRPr="00FD50F6">
          <w:rPr>
            <w:rStyle w:val="afff1"/>
            <w:noProof/>
            <w:color w:val="auto"/>
            <w:lang w:bidi="en-US"/>
          </w:rPr>
          <w:t xml:space="preserve">15.5 </w:t>
        </w:r>
        <w:r w:rsidR="00D07F0F" w:rsidRPr="00FD50F6">
          <w:rPr>
            <w:rStyle w:val="afff1"/>
            <w:noProof/>
            <w:color w:val="auto"/>
            <w:lang w:bidi="en-US"/>
          </w:rPr>
          <w:t>给排水设备监控</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_Toc112830753 \h </w:instrText>
        </w:r>
        <w:r w:rsidR="00D07F0F" w:rsidRPr="00FD50F6">
          <w:rPr>
            <w:noProof/>
            <w:webHidden/>
          </w:rPr>
        </w:r>
        <w:r w:rsidR="00D07F0F" w:rsidRPr="00FD50F6">
          <w:rPr>
            <w:noProof/>
            <w:webHidden/>
          </w:rPr>
          <w:fldChar w:fldCharType="separate"/>
        </w:r>
        <w:r>
          <w:rPr>
            <w:noProof/>
            <w:webHidden/>
          </w:rPr>
          <w:t>145</w:t>
        </w:r>
        <w:r w:rsidR="00D07F0F" w:rsidRPr="00FD50F6">
          <w:rPr>
            <w:noProof/>
            <w:webHidden/>
          </w:rPr>
          <w:fldChar w:fldCharType="end"/>
        </w:r>
      </w:hyperlink>
    </w:p>
    <w:p w14:paraId="2EA5C774" w14:textId="53318C50" w:rsidR="00D07F0F" w:rsidRPr="00FD50F6" w:rsidRDefault="00BF2787">
      <w:pPr>
        <w:pStyle w:val="TOC1"/>
        <w:tabs>
          <w:tab w:val="right" w:leader="dot" w:pos="8302"/>
        </w:tabs>
        <w:rPr>
          <w:rFonts w:eastAsiaTheme="minorEastAsia"/>
          <w:b w:val="0"/>
          <w:bCs w:val="0"/>
          <w:caps w:val="0"/>
          <w:noProof/>
          <w:sz w:val="21"/>
          <w:szCs w:val="24"/>
        </w:rPr>
      </w:pPr>
      <w:hyperlink w:anchor="_Toc112830754" w:history="1">
        <w:r w:rsidR="00D07F0F" w:rsidRPr="00FD50F6">
          <w:rPr>
            <w:rStyle w:val="afff1"/>
            <w:noProof/>
            <w:color w:val="auto"/>
          </w:rPr>
          <w:t xml:space="preserve">16 </w:t>
        </w:r>
        <w:r w:rsidR="00D07F0F" w:rsidRPr="00FD50F6">
          <w:rPr>
            <w:rStyle w:val="afff1"/>
            <w:noProof/>
            <w:color w:val="auto"/>
          </w:rPr>
          <w:t>供电</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_Toc112830754 \h </w:instrText>
        </w:r>
        <w:r w:rsidR="00D07F0F" w:rsidRPr="00FD50F6">
          <w:rPr>
            <w:noProof/>
            <w:webHidden/>
          </w:rPr>
        </w:r>
        <w:r w:rsidR="00D07F0F" w:rsidRPr="00FD50F6">
          <w:rPr>
            <w:noProof/>
            <w:webHidden/>
          </w:rPr>
          <w:fldChar w:fldCharType="separate"/>
        </w:r>
        <w:r>
          <w:rPr>
            <w:noProof/>
            <w:webHidden/>
          </w:rPr>
          <w:t>146</w:t>
        </w:r>
        <w:r w:rsidR="00D07F0F" w:rsidRPr="00FD50F6">
          <w:rPr>
            <w:noProof/>
            <w:webHidden/>
          </w:rPr>
          <w:fldChar w:fldCharType="end"/>
        </w:r>
      </w:hyperlink>
    </w:p>
    <w:p w14:paraId="28E17646" w14:textId="7BEEA897" w:rsidR="00D07F0F" w:rsidRPr="00FD50F6" w:rsidRDefault="00BF2787">
      <w:pPr>
        <w:pStyle w:val="TOC2"/>
        <w:tabs>
          <w:tab w:val="right" w:leader="dot" w:pos="8302"/>
        </w:tabs>
        <w:rPr>
          <w:rFonts w:eastAsiaTheme="minorEastAsia"/>
          <w:smallCaps w:val="0"/>
          <w:noProof/>
          <w:sz w:val="21"/>
          <w:szCs w:val="24"/>
        </w:rPr>
      </w:pPr>
      <w:hyperlink w:anchor="_Toc112830755" w:history="1">
        <w:r w:rsidR="00D07F0F" w:rsidRPr="00FD50F6">
          <w:rPr>
            <w:rStyle w:val="afff1"/>
            <w:noProof/>
            <w:color w:val="auto"/>
            <w:lang w:bidi="en-US"/>
          </w:rPr>
          <w:t xml:space="preserve">16.1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_Toc112830755 \h </w:instrText>
        </w:r>
        <w:r w:rsidR="00D07F0F" w:rsidRPr="00FD50F6">
          <w:rPr>
            <w:noProof/>
            <w:webHidden/>
          </w:rPr>
        </w:r>
        <w:r w:rsidR="00D07F0F" w:rsidRPr="00FD50F6">
          <w:rPr>
            <w:noProof/>
            <w:webHidden/>
          </w:rPr>
          <w:fldChar w:fldCharType="separate"/>
        </w:r>
        <w:r>
          <w:rPr>
            <w:noProof/>
            <w:webHidden/>
          </w:rPr>
          <w:t>146</w:t>
        </w:r>
        <w:r w:rsidR="00D07F0F" w:rsidRPr="00FD50F6">
          <w:rPr>
            <w:noProof/>
            <w:webHidden/>
          </w:rPr>
          <w:fldChar w:fldCharType="end"/>
        </w:r>
      </w:hyperlink>
    </w:p>
    <w:p w14:paraId="6C8319B1" w14:textId="1625DAAB" w:rsidR="00D07F0F" w:rsidRPr="00FD50F6" w:rsidRDefault="00BF2787">
      <w:pPr>
        <w:pStyle w:val="TOC2"/>
        <w:tabs>
          <w:tab w:val="right" w:leader="dot" w:pos="8302"/>
        </w:tabs>
        <w:rPr>
          <w:rFonts w:eastAsiaTheme="minorEastAsia"/>
          <w:smallCaps w:val="0"/>
          <w:noProof/>
          <w:sz w:val="21"/>
          <w:szCs w:val="24"/>
        </w:rPr>
      </w:pPr>
      <w:hyperlink w:anchor="_Toc112830756" w:history="1">
        <w:r w:rsidR="00D07F0F" w:rsidRPr="00FD50F6">
          <w:rPr>
            <w:rStyle w:val="afff1"/>
            <w:noProof/>
            <w:color w:val="auto"/>
            <w:lang w:bidi="en-US"/>
          </w:rPr>
          <w:t xml:space="preserve">16.2 </w:t>
        </w:r>
        <w:r w:rsidR="00D07F0F" w:rsidRPr="00FD50F6">
          <w:rPr>
            <w:rStyle w:val="afff1"/>
            <w:noProof/>
            <w:color w:val="auto"/>
            <w:lang w:bidi="en-US"/>
          </w:rPr>
          <w:t>变电所</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_Toc112830756 \h </w:instrText>
        </w:r>
        <w:r w:rsidR="00D07F0F" w:rsidRPr="00FD50F6">
          <w:rPr>
            <w:noProof/>
            <w:webHidden/>
          </w:rPr>
        </w:r>
        <w:r w:rsidR="00D07F0F" w:rsidRPr="00FD50F6">
          <w:rPr>
            <w:noProof/>
            <w:webHidden/>
          </w:rPr>
          <w:fldChar w:fldCharType="separate"/>
        </w:r>
        <w:r>
          <w:rPr>
            <w:noProof/>
            <w:webHidden/>
          </w:rPr>
          <w:t>148</w:t>
        </w:r>
        <w:r w:rsidR="00D07F0F" w:rsidRPr="00FD50F6">
          <w:rPr>
            <w:noProof/>
            <w:webHidden/>
          </w:rPr>
          <w:fldChar w:fldCharType="end"/>
        </w:r>
      </w:hyperlink>
    </w:p>
    <w:p w14:paraId="7C7D9954" w14:textId="26B5519B" w:rsidR="00D07F0F" w:rsidRPr="00FD50F6" w:rsidRDefault="00BF2787">
      <w:pPr>
        <w:pStyle w:val="TOC2"/>
        <w:tabs>
          <w:tab w:val="right" w:leader="dot" w:pos="8302"/>
        </w:tabs>
        <w:rPr>
          <w:rFonts w:eastAsiaTheme="minorEastAsia"/>
          <w:smallCaps w:val="0"/>
          <w:noProof/>
          <w:sz w:val="21"/>
          <w:szCs w:val="24"/>
        </w:rPr>
      </w:pPr>
      <w:hyperlink w:anchor="_Toc112830757" w:history="1">
        <w:r w:rsidR="00D07F0F" w:rsidRPr="00FD50F6">
          <w:rPr>
            <w:rStyle w:val="afff1"/>
            <w:noProof/>
            <w:color w:val="auto"/>
            <w:lang w:bidi="en-US"/>
          </w:rPr>
          <w:t xml:space="preserve">16.3 </w:t>
        </w:r>
        <w:r w:rsidR="00D07F0F" w:rsidRPr="00FD50F6">
          <w:rPr>
            <w:rStyle w:val="afff1"/>
            <w:noProof/>
            <w:color w:val="auto"/>
            <w:lang w:bidi="en-US"/>
          </w:rPr>
          <w:t>牵引网</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_Toc112830757 \h </w:instrText>
        </w:r>
        <w:r w:rsidR="00D07F0F" w:rsidRPr="00FD50F6">
          <w:rPr>
            <w:noProof/>
            <w:webHidden/>
          </w:rPr>
        </w:r>
        <w:r w:rsidR="00D07F0F" w:rsidRPr="00FD50F6">
          <w:rPr>
            <w:noProof/>
            <w:webHidden/>
          </w:rPr>
          <w:fldChar w:fldCharType="separate"/>
        </w:r>
        <w:r>
          <w:rPr>
            <w:noProof/>
            <w:webHidden/>
          </w:rPr>
          <w:t>151</w:t>
        </w:r>
        <w:r w:rsidR="00D07F0F" w:rsidRPr="00FD50F6">
          <w:rPr>
            <w:noProof/>
            <w:webHidden/>
          </w:rPr>
          <w:fldChar w:fldCharType="end"/>
        </w:r>
      </w:hyperlink>
    </w:p>
    <w:p w14:paraId="7970196F" w14:textId="7F9A9FA4" w:rsidR="00D07F0F" w:rsidRPr="00FD50F6" w:rsidRDefault="00BF2787">
      <w:pPr>
        <w:pStyle w:val="TOC2"/>
        <w:tabs>
          <w:tab w:val="right" w:leader="dot" w:pos="8302"/>
        </w:tabs>
        <w:rPr>
          <w:rFonts w:eastAsiaTheme="minorEastAsia"/>
          <w:smallCaps w:val="0"/>
          <w:noProof/>
          <w:sz w:val="21"/>
          <w:szCs w:val="24"/>
        </w:rPr>
      </w:pPr>
      <w:hyperlink w:anchor="_Toc112830758" w:history="1">
        <w:r w:rsidR="00D07F0F" w:rsidRPr="00FD50F6">
          <w:rPr>
            <w:rStyle w:val="afff1"/>
            <w:noProof/>
            <w:color w:val="auto"/>
            <w:lang w:bidi="en-US"/>
          </w:rPr>
          <w:t xml:space="preserve">16.4 </w:t>
        </w:r>
        <w:r w:rsidR="00D07F0F" w:rsidRPr="00FD50F6">
          <w:rPr>
            <w:rStyle w:val="afff1"/>
            <w:noProof/>
            <w:color w:val="auto"/>
            <w:lang w:bidi="en-US"/>
          </w:rPr>
          <w:t>电缆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_Toc112830758 \h </w:instrText>
        </w:r>
        <w:r w:rsidR="00D07F0F" w:rsidRPr="00FD50F6">
          <w:rPr>
            <w:noProof/>
            <w:webHidden/>
          </w:rPr>
        </w:r>
        <w:r w:rsidR="00D07F0F" w:rsidRPr="00FD50F6">
          <w:rPr>
            <w:noProof/>
            <w:webHidden/>
          </w:rPr>
          <w:fldChar w:fldCharType="separate"/>
        </w:r>
        <w:r>
          <w:rPr>
            <w:noProof/>
            <w:webHidden/>
          </w:rPr>
          <w:t>155</w:t>
        </w:r>
        <w:r w:rsidR="00D07F0F" w:rsidRPr="00FD50F6">
          <w:rPr>
            <w:noProof/>
            <w:webHidden/>
          </w:rPr>
          <w:fldChar w:fldCharType="end"/>
        </w:r>
      </w:hyperlink>
    </w:p>
    <w:p w14:paraId="5C8CA325" w14:textId="03B7F07B" w:rsidR="00D07F0F" w:rsidRPr="00FD50F6" w:rsidRDefault="00BF2787">
      <w:pPr>
        <w:pStyle w:val="TOC2"/>
        <w:tabs>
          <w:tab w:val="right" w:leader="dot" w:pos="8302"/>
        </w:tabs>
        <w:rPr>
          <w:rFonts w:eastAsiaTheme="minorEastAsia"/>
          <w:smallCaps w:val="0"/>
          <w:noProof/>
          <w:sz w:val="21"/>
          <w:szCs w:val="24"/>
        </w:rPr>
      </w:pPr>
      <w:hyperlink w:anchor="_Toc112830759" w:history="1">
        <w:r w:rsidR="00D07F0F" w:rsidRPr="00FD50F6">
          <w:rPr>
            <w:rStyle w:val="afff1"/>
            <w:noProof/>
            <w:color w:val="auto"/>
            <w:lang w:bidi="en-US"/>
          </w:rPr>
          <w:t xml:space="preserve">16.5 </w:t>
        </w:r>
        <w:r w:rsidR="00D07F0F" w:rsidRPr="00FD50F6">
          <w:rPr>
            <w:rStyle w:val="afff1"/>
            <w:noProof/>
            <w:color w:val="auto"/>
            <w:lang w:bidi="en-US"/>
          </w:rPr>
          <w:t>动力与照明</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_Toc112830759 \h </w:instrText>
        </w:r>
        <w:r w:rsidR="00D07F0F" w:rsidRPr="00FD50F6">
          <w:rPr>
            <w:noProof/>
            <w:webHidden/>
          </w:rPr>
        </w:r>
        <w:r w:rsidR="00D07F0F" w:rsidRPr="00FD50F6">
          <w:rPr>
            <w:noProof/>
            <w:webHidden/>
          </w:rPr>
          <w:fldChar w:fldCharType="separate"/>
        </w:r>
        <w:r>
          <w:rPr>
            <w:noProof/>
            <w:webHidden/>
          </w:rPr>
          <w:t>157</w:t>
        </w:r>
        <w:r w:rsidR="00D07F0F" w:rsidRPr="00FD50F6">
          <w:rPr>
            <w:noProof/>
            <w:webHidden/>
          </w:rPr>
          <w:fldChar w:fldCharType="end"/>
        </w:r>
      </w:hyperlink>
    </w:p>
    <w:p w14:paraId="1A5BAAF8" w14:textId="5AA270BB" w:rsidR="00D07F0F" w:rsidRPr="00FD50F6" w:rsidRDefault="00BF2787">
      <w:pPr>
        <w:pStyle w:val="TOC2"/>
        <w:tabs>
          <w:tab w:val="right" w:leader="dot" w:pos="8302"/>
        </w:tabs>
        <w:rPr>
          <w:rFonts w:eastAsiaTheme="minorEastAsia"/>
          <w:smallCaps w:val="0"/>
          <w:noProof/>
          <w:sz w:val="21"/>
          <w:szCs w:val="24"/>
        </w:rPr>
      </w:pPr>
      <w:hyperlink w:anchor="_Toc112830760" w:history="1">
        <w:r w:rsidR="00D07F0F" w:rsidRPr="00FD50F6">
          <w:rPr>
            <w:rStyle w:val="afff1"/>
            <w:noProof/>
            <w:color w:val="auto"/>
            <w:lang w:bidi="en-US"/>
          </w:rPr>
          <w:t xml:space="preserve">16.6 </w:t>
        </w:r>
        <w:r w:rsidR="00D07F0F" w:rsidRPr="00FD50F6">
          <w:rPr>
            <w:rStyle w:val="afff1"/>
            <w:noProof/>
            <w:color w:val="auto"/>
            <w:lang w:bidi="en-US"/>
          </w:rPr>
          <w:t>电力监控</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_Toc112830760 \h </w:instrText>
        </w:r>
        <w:r w:rsidR="00D07F0F" w:rsidRPr="00FD50F6">
          <w:rPr>
            <w:noProof/>
            <w:webHidden/>
          </w:rPr>
        </w:r>
        <w:r w:rsidR="00D07F0F" w:rsidRPr="00FD50F6">
          <w:rPr>
            <w:noProof/>
            <w:webHidden/>
          </w:rPr>
          <w:fldChar w:fldCharType="separate"/>
        </w:r>
        <w:r>
          <w:rPr>
            <w:noProof/>
            <w:webHidden/>
          </w:rPr>
          <w:t>159</w:t>
        </w:r>
        <w:r w:rsidR="00D07F0F" w:rsidRPr="00FD50F6">
          <w:rPr>
            <w:noProof/>
            <w:webHidden/>
          </w:rPr>
          <w:fldChar w:fldCharType="end"/>
        </w:r>
      </w:hyperlink>
    </w:p>
    <w:p w14:paraId="49BAAE7B" w14:textId="32BBB50E" w:rsidR="00D07F0F" w:rsidRPr="00FD50F6" w:rsidRDefault="00BF2787">
      <w:pPr>
        <w:pStyle w:val="TOC2"/>
        <w:tabs>
          <w:tab w:val="right" w:leader="dot" w:pos="8302"/>
        </w:tabs>
        <w:rPr>
          <w:rFonts w:eastAsiaTheme="minorEastAsia"/>
          <w:smallCaps w:val="0"/>
          <w:noProof/>
          <w:sz w:val="21"/>
          <w:szCs w:val="24"/>
        </w:rPr>
      </w:pPr>
      <w:hyperlink w:anchor="_Toc112830761" w:history="1">
        <w:r w:rsidR="00D07F0F" w:rsidRPr="00FD50F6">
          <w:rPr>
            <w:rStyle w:val="afff1"/>
            <w:noProof/>
            <w:color w:val="auto"/>
            <w:lang w:bidi="en-US"/>
          </w:rPr>
          <w:t xml:space="preserve">16.7 </w:t>
        </w:r>
        <w:r w:rsidR="00D07F0F" w:rsidRPr="00FD50F6">
          <w:rPr>
            <w:rStyle w:val="afff1"/>
            <w:noProof/>
            <w:color w:val="auto"/>
            <w:lang w:bidi="en-US"/>
          </w:rPr>
          <w:t>杂散电流腐蚀防护与接地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_Toc112830761 \h </w:instrText>
        </w:r>
        <w:r w:rsidR="00D07F0F" w:rsidRPr="00FD50F6">
          <w:rPr>
            <w:noProof/>
            <w:webHidden/>
          </w:rPr>
        </w:r>
        <w:r w:rsidR="00D07F0F" w:rsidRPr="00FD50F6">
          <w:rPr>
            <w:noProof/>
            <w:webHidden/>
          </w:rPr>
          <w:fldChar w:fldCharType="separate"/>
        </w:r>
        <w:r>
          <w:rPr>
            <w:noProof/>
            <w:webHidden/>
          </w:rPr>
          <w:t>162</w:t>
        </w:r>
        <w:r w:rsidR="00D07F0F" w:rsidRPr="00FD50F6">
          <w:rPr>
            <w:noProof/>
            <w:webHidden/>
          </w:rPr>
          <w:fldChar w:fldCharType="end"/>
        </w:r>
      </w:hyperlink>
    </w:p>
    <w:p w14:paraId="19C47BFA" w14:textId="1D2A75A9" w:rsidR="00D07F0F" w:rsidRPr="00FD50F6" w:rsidRDefault="00BF2787">
      <w:pPr>
        <w:pStyle w:val="TOC1"/>
        <w:tabs>
          <w:tab w:val="right" w:leader="dot" w:pos="8302"/>
        </w:tabs>
        <w:rPr>
          <w:rFonts w:eastAsiaTheme="minorEastAsia"/>
          <w:b w:val="0"/>
          <w:bCs w:val="0"/>
          <w:caps w:val="0"/>
          <w:noProof/>
          <w:sz w:val="21"/>
          <w:szCs w:val="24"/>
        </w:rPr>
      </w:pPr>
      <w:hyperlink w:anchor="_Toc112830762" w:history="1">
        <w:r w:rsidR="00D07F0F" w:rsidRPr="00FD50F6">
          <w:rPr>
            <w:rStyle w:val="afff1"/>
            <w:noProof/>
            <w:color w:val="auto"/>
          </w:rPr>
          <w:t xml:space="preserve">17 </w:t>
        </w:r>
        <w:r w:rsidR="00D07F0F" w:rsidRPr="00FD50F6">
          <w:rPr>
            <w:rStyle w:val="afff1"/>
            <w:noProof/>
            <w:color w:val="auto"/>
          </w:rPr>
          <w:t>通信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_Toc112830762 \h </w:instrText>
        </w:r>
        <w:r w:rsidR="00D07F0F" w:rsidRPr="00FD50F6">
          <w:rPr>
            <w:noProof/>
            <w:webHidden/>
          </w:rPr>
        </w:r>
        <w:r w:rsidR="00D07F0F" w:rsidRPr="00FD50F6">
          <w:rPr>
            <w:noProof/>
            <w:webHidden/>
          </w:rPr>
          <w:fldChar w:fldCharType="separate"/>
        </w:r>
        <w:r>
          <w:rPr>
            <w:noProof/>
            <w:webHidden/>
          </w:rPr>
          <w:t>164</w:t>
        </w:r>
        <w:r w:rsidR="00D07F0F" w:rsidRPr="00FD50F6">
          <w:rPr>
            <w:noProof/>
            <w:webHidden/>
          </w:rPr>
          <w:fldChar w:fldCharType="end"/>
        </w:r>
      </w:hyperlink>
    </w:p>
    <w:p w14:paraId="21D4F0C0" w14:textId="270F2262" w:rsidR="00D07F0F" w:rsidRPr="00FD50F6" w:rsidRDefault="00BF2787">
      <w:pPr>
        <w:pStyle w:val="TOC2"/>
        <w:tabs>
          <w:tab w:val="right" w:leader="dot" w:pos="8302"/>
        </w:tabs>
        <w:rPr>
          <w:rFonts w:eastAsiaTheme="minorEastAsia"/>
          <w:smallCaps w:val="0"/>
          <w:noProof/>
          <w:sz w:val="21"/>
          <w:szCs w:val="24"/>
        </w:rPr>
      </w:pPr>
      <w:hyperlink w:anchor="_Toc112830763" w:history="1">
        <w:r w:rsidR="00D07F0F" w:rsidRPr="00FD50F6">
          <w:rPr>
            <w:rStyle w:val="afff1"/>
            <w:noProof/>
            <w:color w:val="auto"/>
            <w:lang w:bidi="en-US"/>
          </w:rPr>
          <w:t xml:space="preserve">17.1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_Toc112830763 \h </w:instrText>
        </w:r>
        <w:r w:rsidR="00D07F0F" w:rsidRPr="00FD50F6">
          <w:rPr>
            <w:noProof/>
            <w:webHidden/>
          </w:rPr>
        </w:r>
        <w:r w:rsidR="00D07F0F" w:rsidRPr="00FD50F6">
          <w:rPr>
            <w:noProof/>
            <w:webHidden/>
          </w:rPr>
          <w:fldChar w:fldCharType="separate"/>
        </w:r>
        <w:r>
          <w:rPr>
            <w:noProof/>
            <w:webHidden/>
          </w:rPr>
          <w:t>164</w:t>
        </w:r>
        <w:r w:rsidR="00D07F0F" w:rsidRPr="00FD50F6">
          <w:rPr>
            <w:noProof/>
            <w:webHidden/>
          </w:rPr>
          <w:fldChar w:fldCharType="end"/>
        </w:r>
      </w:hyperlink>
    </w:p>
    <w:p w14:paraId="0124C1CE" w14:textId="3D0BFEC5" w:rsidR="00D07F0F" w:rsidRPr="00FD50F6" w:rsidRDefault="00BF2787">
      <w:pPr>
        <w:pStyle w:val="TOC2"/>
        <w:tabs>
          <w:tab w:val="right" w:leader="dot" w:pos="8302"/>
        </w:tabs>
        <w:rPr>
          <w:rFonts w:eastAsiaTheme="minorEastAsia"/>
          <w:smallCaps w:val="0"/>
          <w:noProof/>
          <w:sz w:val="21"/>
          <w:szCs w:val="24"/>
        </w:rPr>
      </w:pPr>
      <w:hyperlink w:anchor="_Toc112830764" w:history="1">
        <w:r w:rsidR="00D07F0F" w:rsidRPr="00FD50F6">
          <w:rPr>
            <w:rStyle w:val="afff1"/>
            <w:noProof/>
            <w:color w:val="auto"/>
            <w:lang w:bidi="en-US"/>
          </w:rPr>
          <w:t xml:space="preserve">17.2 </w:t>
        </w:r>
        <w:r w:rsidR="00D07F0F" w:rsidRPr="00FD50F6">
          <w:rPr>
            <w:rStyle w:val="afff1"/>
            <w:noProof/>
            <w:color w:val="auto"/>
            <w:lang w:bidi="en-US"/>
          </w:rPr>
          <w:t>传输系统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_Toc112830764 \h </w:instrText>
        </w:r>
        <w:r w:rsidR="00D07F0F" w:rsidRPr="00FD50F6">
          <w:rPr>
            <w:noProof/>
            <w:webHidden/>
          </w:rPr>
        </w:r>
        <w:r w:rsidR="00D07F0F" w:rsidRPr="00FD50F6">
          <w:rPr>
            <w:noProof/>
            <w:webHidden/>
          </w:rPr>
          <w:fldChar w:fldCharType="separate"/>
        </w:r>
        <w:r>
          <w:rPr>
            <w:noProof/>
            <w:webHidden/>
          </w:rPr>
          <w:t>165</w:t>
        </w:r>
        <w:r w:rsidR="00D07F0F" w:rsidRPr="00FD50F6">
          <w:rPr>
            <w:noProof/>
            <w:webHidden/>
          </w:rPr>
          <w:fldChar w:fldCharType="end"/>
        </w:r>
      </w:hyperlink>
    </w:p>
    <w:p w14:paraId="7A2BBD52" w14:textId="0FFCB7CD" w:rsidR="00D07F0F" w:rsidRPr="00FD50F6" w:rsidRDefault="00BF2787">
      <w:pPr>
        <w:pStyle w:val="TOC2"/>
        <w:tabs>
          <w:tab w:val="right" w:leader="dot" w:pos="8302"/>
        </w:tabs>
        <w:rPr>
          <w:rFonts w:eastAsiaTheme="minorEastAsia"/>
          <w:smallCaps w:val="0"/>
          <w:noProof/>
          <w:sz w:val="21"/>
          <w:szCs w:val="24"/>
        </w:rPr>
      </w:pPr>
      <w:hyperlink w:anchor="_Toc112830765" w:history="1">
        <w:r w:rsidR="00D07F0F" w:rsidRPr="00FD50F6">
          <w:rPr>
            <w:rStyle w:val="afff1"/>
            <w:noProof/>
            <w:color w:val="auto"/>
            <w:lang w:bidi="en-US"/>
          </w:rPr>
          <w:t xml:space="preserve">17.3 </w:t>
        </w:r>
        <w:r w:rsidR="00D07F0F" w:rsidRPr="00FD50F6">
          <w:rPr>
            <w:rStyle w:val="afff1"/>
            <w:noProof/>
            <w:color w:val="auto"/>
            <w:lang w:bidi="en-US"/>
          </w:rPr>
          <w:t>专用无线通信系统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_Toc112830765 \h </w:instrText>
        </w:r>
        <w:r w:rsidR="00D07F0F" w:rsidRPr="00FD50F6">
          <w:rPr>
            <w:noProof/>
            <w:webHidden/>
          </w:rPr>
        </w:r>
        <w:r w:rsidR="00D07F0F" w:rsidRPr="00FD50F6">
          <w:rPr>
            <w:noProof/>
            <w:webHidden/>
          </w:rPr>
          <w:fldChar w:fldCharType="separate"/>
        </w:r>
        <w:r>
          <w:rPr>
            <w:noProof/>
            <w:webHidden/>
          </w:rPr>
          <w:t>167</w:t>
        </w:r>
        <w:r w:rsidR="00D07F0F" w:rsidRPr="00FD50F6">
          <w:rPr>
            <w:noProof/>
            <w:webHidden/>
          </w:rPr>
          <w:fldChar w:fldCharType="end"/>
        </w:r>
      </w:hyperlink>
    </w:p>
    <w:p w14:paraId="7B0AE98C" w14:textId="15E9C3BF" w:rsidR="00D07F0F" w:rsidRPr="00FD50F6" w:rsidRDefault="00BF2787">
      <w:pPr>
        <w:pStyle w:val="TOC2"/>
        <w:tabs>
          <w:tab w:val="right" w:leader="dot" w:pos="8302"/>
        </w:tabs>
        <w:rPr>
          <w:rFonts w:eastAsiaTheme="minorEastAsia"/>
          <w:smallCaps w:val="0"/>
          <w:noProof/>
          <w:sz w:val="21"/>
          <w:szCs w:val="24"/>
        </w:rPr>
      </w:pPr>
      <w:hyperlink w:anchor="_Toc112830766" w:history="1">
        <w:r w:rsidR="00D07F0F" w:rsidRPr="00FD50F6">
          <w:rPr>
            <w:rStyle w:val="afff1"/>
            <w:noProof/>
            <w:color w:val="auto"/>
            <w:lang w:bidi="en-US"/>
          </w:rPr>
          <w:t xml:space="preserve">17.4 </w:t>
        </w:r>
        <w:r w:rsidR="00D07F0F" w:rsidRPr="00FD50F6">
          <w:rPr>
            <w:rStyle w:val="afff1"/>
            <w:noProof/>
            <w:color w:val="auto"/>
            <w:lang w:bidi="en-US"/>
          </w:rPr>
          <w:t>车地宽带无线通信系统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_Toc112830766 \h </w:instrText>
        </w:r>
        <w:r w:rsidR="00D07F0F" w:rsidRPr="00FD50F6">
          <w:rPr>
            <w:noProof/>
            <w:webHidden/>
          </w:rPr>
        </w:r>
        <w:r w:rsidR="00D07F0F" w:rsidRPr="00FD50F6">
          <w:rPr>
            <w:noProof/>
            <w:webHidden/>
          </w:rPr>
          <w:fldChar w:fldCharType="separate"/>
        </w:r>
        <w:r>
          <w:rPr>
            <w:noProof/>
            <w:webHidden/>
          </w:rPr>
          <w:t>168</w:t>
        </w:r>
        <w:r w:rsidR="00D07F0F" w:rsidRPr="00FD50F6">
          <w:rPr>
            <w:noProof/>
            <w:webHidden/>
          </w:rPr>
          <w:fldChar w:fldCharType="end"/>
        </w:r>
      </w:hyperlink>
    </w:p>
    <w:p w14:paraId="6CAEA7DA" w14:textId="60EC5FD2" w:rsidR="00D07F0F" w:rsidRPr="00FD50F6" w:rsidRDefault="00BF2787">
      <w:pPr>
        <w:pStyle w:val="TOC2"/>
        <w:tabs>
          <w:tab w:val="right" w:leader="dot" w:pos="8302"/>
        </w:tabs>
        <w:rPr>
          <w:rFonts w:eastAsiaTheme="minorEastAsia"/>
          <w:smallCaps w:val="0"/>
          <w:noProof/>
          <w:sz w:val="21"/>
          <w:szCs w:val="24"/>
        </w:rPr>
      </w:pPr>
      <w:hyperlink w:anchor="_Toc112830767" w:history="1">
        <w:r w:rsidR="00D07F0F" w:rsidRPr="00FD50F6">
          <w:rPr>
            <w:rStyle w:val="afff1"/>
            <w:noProof/>
            <w:color w:val="auto"/>
            <w:lang w:bidi="en-US"/>
          </w:rPr>
          <w:t xml:space="preserve">17.5 </w:t>
        </w:r>
        <w:r w:rsidR="00D07F0F" w:rsidRPr="00FD50F6">
          <w:rPr>
            <w:rStyle w:val="afff1"/>
            <w:noProof/>
            <w:color w:val="auto"/>
            <w:lang w:bidi="en-US"/>
          </w:rPr>
          <w:t>公务电话系统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_Toc112830767 \h </w:instrText>
        </w:r>
        <w:r w:rsidR="00D07F0F" w:rsidRPr="00FD50F6">
          <w:rPr>
            <w:noProof/>
            <w:webHidden/>
          </w:rPr>
        </w:r>
        <w:r w:rsidR="00D07F0F" w:rsidRPr="00FD50F6">
          <w:rPr>
            <w:noProof/>
            <w:webHidden/>
          </w:rPr>
          <w:fldChar w:fldCharType="separate"/>
        </w:r>
        <w:r>
          <w:rPr>
            <w:noProof/>
            <w:webHidden/>
          </w:rPr>
          <w:t>168</w:t>
        </w:r>
        <w:r w:rsidR="00D07F0F" w:rsidRPr="00FD50F6">
          <w:rPr>
            <w:noProof/>
            <w:webHidden/>
          </w:rPr>
          <w:fldChar w:fldCharType="end"/>
        </w:r>
      </w:hyperlink>
    </w:p>
    <w:p w14:paraId="036A4A1D" w14:textId="0B2263E3" w:rsidR="00D07F0F" w:rsidRPr="00FD50F6" w:rsidRDefault="00BF2787">
      <w:pPr>
        <w:pStyle w:val="TOC2"/>
        <w:tabs>
          <w:tab w:val="right" w:leader="dot" w:pos="8302"/>
        </w:tabs>
        <w:rPr>
          <w:rFonts w:eastAsiaTheme="minorEastAsia"/>
          <w:smallCaps w:val="0"/>
          <w:noProof/>
          <w:sz w:val="21"/>
          <w:szCs w:val="24"/>
        </w:rPr>
      </w:pPr>
      <w:hyperlink w:anchor="_Toc112830768" w:history="1">
        <w:r w:rsidR="00D07F0F" w:rsidRPr="00FD50F6">
          <w:rPr>
            <w:rStyle w:val="afff1"/>
            <w:noProof/>
            <w:color w:val="auto"/>
            <w:lang w:bidi="en-US"/>
          </w:rPr>
          <w:t xml:space="preserve">17.6 </w:t>
        </w:r>
        <w:r w:rsidR="00D07F0F" w:rsidRPr="00FD50F6">
          <w:rPr>
            <w:rStyle w:val="afff1"/>
            <w:noProof/>
            <w:color w:val="auto"/>
            <w:lang w:bidi="en-US"/>
          </w:rPr>
          <w:t>专用电话系统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_Toc112830768 \h </w:instrText>
        </w:r>
        <w:r w:rsidR="00D07F0F" w:rsidRPr="00FD50F6">
          <w:rPr>
            <w:noProof/>
            <w:webHidden/>
          </w:rPr>
        </w:r>
        <w:r w:rsidR="00D07F0F" w:rsidRPr="00FD50F6">
          <w:rPr>
            <w:noProof/>
            <w:webHidden/>
          </w:rPr>
          <w:fldChar w:fldCharType="separate"/>
        </w:r>
        <w:r>
          <w:rPr>
            <w:noProof/>
            <w:webHidden/>
          </w:rPr>
          <w:t>169</w:t>
        </w:r>
        <w:r w:rsidR="00D07F0F" w:rsidRPr="00FD50F6">
          <w:rPr>
            <w:noProof/>
            <w:webHidden/>
          </w:rPr>
          <w:fldChar w:fldCharType="end"/>
        </w:r>
      </w:hyperlink>
    </w:p>
    <w:p w14:paraId="1FA9EE03" w14:textId="6A640E76" w:rsidR="00D07F0F" w:rsidRPr="00FD50F6" w:rsidRDefault="00BF2787">
      <w:pPr>
        <w:pStyle w:val="TOC2"/>
        <w:tabs>
          <w:tab w:val="right" w:leader="dot" w:pos="8302"/>
        </w:tabs>
        <w:rPr>
          <w:rFonts w:eastAsiaTheme="minorEastAsia"/>
          <w:smallCaps w:val="0"/>
          <w:noProof/>
          <w:sz w:val="21"/>
          <w:szCs w:val="24"/>
        </w:rPr>
      </w:pPr>
      <w:hyperlink w:anchor="_Toc112830769" w:history="1">
        <w:r w:rsidR="00D07F0F" w:rsidRPr="00FD50F6">
          <w:rPr>
            <w:rStyle w:val="afff1"/>
            <w:noProof/>
            <w:color w:val="auto"/>
            <w:lang w:bidi="en-US"/>
          </w:rPr>
          <w:t xml:space="preserve">17.7 </w:t>
        </w:r>
        <w:r w:rsidR="00D07F0F" w:rsidRPr="00FD50F6">
          <w:rPr>
            <w:rStyle w:val="afff1"/>
            <w:noProof/>
            <w:color w:val="auto"/>
            <w:lang w:bidi="en-US"/>
          </w:rPr>
          <w:t>视频监视系统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_Toc112830769 \h </w:instrText>
        </w:r>
        <w:r w:rsidR="00D07F0F" w:rsidRPr="00FD50F6">
          <w:rPr>
            <w:noProof/>
            <w:webHidden/>
          </w:rPr>
        </w:r>
        <w:r w:rsidR="00D07F0F" w:rsidRPr="00FD50F6">
          <w:rPr>
            <w:noProof/>
            <w:webHidden/>
          </w:rPr>
          <w:fldChar w:fldCharType="separate"/>
        </w:r>
        <w:r>
          <w:rPr>
            <w:noProof/>
            <w:webHidden/>
          </w:rPr>
          <w:t>170</w:t>
        </w:r>
        <w:r w:rsidR="00D07F0F" w:rsidRPr="00FD50F6">
          <w:rPr>
            <w:noProof/>
            <w:webHidden/>
          </w:rPr>
          <w:fldChar w:fldCharType="end"/>
        </w:r>
      </w:hyperlink>
    </w:p>
    <w:p w14:paraId="551CBAC3" w14:textId="56CD11FE" w:rsidR="00D07F0F" w:rsidRPr="00FD50F6" w:rsidRDefault="00BF2787">
      <w:pPr>
        <w:pStyle w:val="TOC2"/>
        <w:tabs>
          <w:tab w:val="right" w:leader="dot" w:pos="8302"/>
        </w:tabs>
        <w:rPr>
          <w:rFonts w:eastAsiaTheme="minorEastAsia"/>
          <w:smallCaps w:val="0"/>
          <w:noProof/>
          <w:sz w:val="21"/>
          <w:szCs w:val="24"/>
        </w:rPr>
      </w:pPr>
      <w:hyperlink w:anchor="_Toc112830770" w:history="1">
        <w:r w:rsidR="00D07F0F" w:rsidRPr="00FD50F6">
          <w:rPr>
            <w:rStyle w:val="afff1"/>
            <w:noProof/>
            <w:color w:val="auto"/>
            <w:lang w:bidi="en-US"/>
          </w:rPr>
          <w:t xml:space="preserve">17.8 </w:t>
        </w:r>
        <w:r w:rsidR="00D07F0F" w:rsidRPr="00FD50F6">
          <w:rPr>
            <w:rStyle w:val="afff1"/>
            <w:noProof/>
            <w:color w:val="auto"/>
            <w:lang w:bidi="en-US"/>
          </w:rPr>
          <w:t>广播系统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_Toc112830770 \h </w:instrText>
        </w:r>
        <w:r w:rsidR="00D07F0F" w:rsidRPr="00FD50F6">
          <w:rPr>
            <w:noProof/>
            <w:webHidden/>
          </w:rPr>
        </w:r>
        <w:r w:rsidR="00D07F0F" w:rsidRPr="00FD50F6">
          <w:rPr>
            <w:noProof/>
            <w:webHidden/>
          </w:rPr>
          <w:fldChar w:fldCharType="separate"/>
        </w:r>
        <w:r>
          <w:rPr>
            <w:noProof/>
            <w:webHidden/>
          </w:rPr>
          <w:t>171</w:t>
        </w:r>
        <w:r w:rsidR="00D07F0F" w:rsidRPr="00FD50F6">
          <w:rPr>
            <w:noProof/>
            <w:webHidden/>
          </w:rPr>
          <w:fldChar w:fldCharType="end"/>
        </w:r>
      </w:hyperlink>
    </w:p>
    <w:p w14:paraId="4A35A43B" w14:textId="4998E5A7" w:rsidR="00D07F0F" w:rsidRPr="00FD50F6" w:rsidRDefault="00BF2787">
      <w:pPr>
        <w:pStyle w:val="TOC2"/>
        <w:tabs>
          <w:tab w:val="right" w:leader="dot" w:pos="8302"/>
        </w:tabs>
        <w:rPr>
          <w:rFonts w:eastAsiaTheme="minorEastAsia"/>
          <w:smallCaps w:val="0"/>
          <w:noProof/>
          <w:sz w:val="21"/>
          <w:szCs w:val="24"/>
        </w:rPr>
      </w:pPr>
      <w:hyperlink w:anchor="_Toc112830771" w:history="1">
        <w:r w:rsidR="00D07F0F" w:rsidRPr="00FD50F6">
          <w:rPr>
            <w:rStyle w:val="afff1"/>
            <w:noProof/>
            <w:color w:val="auto"/>
            <w:lang w:bidi="en-US"/>
          </w:rPr>
          <w:t xml:space="preserve">17.9 </w:t>
        </w:r>
        <w:r w:rsidR="00D07F0F" w:rsidRPr="00FD50F6">
          <w:rPr>
            <w:rStyle w:val="afff1"/>
            <w:noProof/>
            <w:color w:val="auto"/>
            <w:lang w:bidi="en-US"/>
          </w:rPr>
          <w:t>时钟系统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_Toc112830771 \h </w:instrText>
        </w:r>
        <w:r w:rsidR="00D07F0F" w:rsidRPr="00FD50F6">
          <w:rPr>
            <w:noProof/>
            <w:webHidden/>
          </w:rPr>
        </w:r>
        <w:r w:rsidR="00D07F0F" w:rsidRPr="00FD50F6">
          <w:rPr>
            <w:noProof/>
            <w:webHidden/>
          </w:rPr>
          <w:fldChar w:fldCharType="separate"/>
        </w:r>
        <w:r>
          <w:rPr>
            <w:noProof/>
            <w:webHidden/>
          </w:rPr>
          <w:t>172</w:t>
        </w:r>
        <w:r w:rsidR="00D07F0F" w:rsidRPr="00FD50F6">
          <w:rPr>
            <w:noProof/>
            <w:webHidden/>
          </w:rPr>
          <w:fldChar w:fldCharType="end"/>
        </w:r>
      </w:hyperlink>
    </w:p>
    <w:p w14:paraId="06EA39AA" w14:textId="1AF7C8A5" w:rsidR="00D07F0F" w:rsidRPr="00FD50F6" w:rsidRDefault="00BF2787">
      <w:pPr>
        <w:pStyle w:val="TOC2"/>
        <w:tabs>
          <w:tab w:val="right" w:leader="dot" w:pos="8302"/>
        </w:tabs>
        <w:rPr>
          <w:rFonts w:eastAsiaTheme="minorEastAsia"/>
          <w:smallCaps w:val="0"/>
          <w:noProof/>
          <w:sz w:val="21"/>
          <w:szCs w:val="24"/>
        </w:rPr>
      </w:pPr>
      <w:hyperlink w:anchor="_Toc112830772" w:history="1">
        <w:r w:rsidR="00D07F0F" w:rsidRPr="00FD50F6">
          <w:rPr>
            <w:rStyle w:val="afff1"/>
            <w:noProof/>
            <w:color w:val="auto"/>
            <w:lang w:bidi="en-US"/>
          </w:rPr>
          <w:t xml:space="preserve">17.10 </w:t>
        </w:r>
        <w:r w:rsidR="00D07F0F" w:rsidRPr="00FD50F6">
          <w:rPr>
            <w:rStyle w:val="afff1"/>
            <w:noProof/>
            <w:color w:val="auto"/>
            <w:lang w:bidi="en-US"/>
          </w:rPr>
          <w:t>办公自动化系统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_Toc112830772 \h </w:instrText>
        </w:r>
        <w:r w:rsidR="00D07F0F" w:rsidRPr="00FD50F6">
          <w:rPr>
            <w:noProof/>
            <w:webHidden/>
          </w:rPr>
        </w:r>
        <w:r w:rsidR="00D07F0F" w:rsidRPr="00FD50F6">
          <w:rPr>
            <w:noProof/>
            <w:webHidden/>
          </w:rPr>
          <w:fldChar w:fldCharType="separate"/>
        </w:r>
        <w:r>
          <w:rPr>
            <w:noProof/>
            <w:webHidden/>
          </w:rPr>
          <w:t>173</w:t>
        </w:r>
        <w:r w:rsidR="00D07F0F" w:rsidRPr="00FD50F6">
          <w:rPr>
            <w:noProof/>
            <w:webHidden/>
          </w:rPr>
          <w:fldChar w:fldCharType="end"/>
        </w:r>
      </w:hyperlink>
    </w:p>
    <w:p w14:paraId="62B2D425" w14:textId="5A706C06" w:rsidR="00D07F0F" w:rsidRPr="00FD50F6" w:rsidRDefault="00BF2787">
      <w:pPr>
        <w:pStyle w:val="TOC2"/>
        <w:tabs>
          <w:tab w:val="right" w:leader="dot" w:pos="8302"/>
        </w:tabs>
        <w:rPr>
          <w:rFonts w:eastAsiaTheme="minorEastAsia"/>
          <w:smallCaps w:val="0"/>
          <w:noProof/>
          <w:sz w:val="21"/>
          <w:szCs w:val="24"/>
        </w:rPr>
      </w:pPr>
      <w:hyperlink w:anchor="_Toc112830773" w:history="1">
        <w:r w:rsidR="00D07F0F" w:rsidRPr="00FD50F6">
          <w:rPr>
            <w:rStyle w:val="afff1"/>
            <w:noProof/>
            <w:color w:val="auto"/>
            <w:lang w:bidi="en-US"/>
          </w:rPr>
          <w:t xml:space="preserve">17.11 </w:t>
        </w:r>
        <w:r w:rsidR="00D07F0F" w:rsidRPr="00FD50F6">
          <w:rPr>
            <w:rStyle w:val="afff1"/>
            <w:noProof/>
            <w:color w:val="auto"/>
            <w:lang w:bidi="en-US"/>
          </w:rPr>
          <w:t>电源系统及接地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_Toc112830773 \h </w:instrText>
        </w:r>
        <w:r w:rsidR="00D07F0F" w:rsidRPr="00FD50F6">
          <w:rPr>
            <w:noProof/>
            <w:webHidden/>
          </w:rPr>
        </w:r>
        <w:r w:rsidR="00D07F0F" w:rsidRPr="00FD50F6">
          <w:rPr>
            <w:noProof/>
            <w:webHidden/>
          </w:rPr>
          <w:fldChar w:fldCharType="separate"/>
        </w:r>
        <w:r>
          <w:rPr>
            <w:noProof/>
            <w:webHidden/>
          </w:rPr>
          <w:t>173</w:t>
        </w:r>
        <w:r w:rsidR="00D07F0F" w:rsidRPr="00FD50F6">
          <w:rPr>
            <w:noProof/>
            <w:webHidden/>
          </w:rPr>
          <w:fldChar w:fldCharType="end"/>
        </w:r>
      </w:hyperlink>
    </w:p>
    <w:p w14:paraId="018181C9" w14:textId="101CD706" w:rsidR="00D07F0F" w:rsidRPr="00FD50F6" w:rsidRDefault="00BF2787">
      <w:pPr>
        <w:pStyle w:val="TOC2"/>
        <w:tabs>
          <w:tab w:val="right" w:leader="dot" w:pos="8302"/>
        </w:tabs>
        <w:rPr>
          <w:rFonts w:eastAsiaTheme="minorEastAsia"/>
          <w:smallCaps w:val="0"/>
          <w:noProof/>
          <w:sz w:val="21"/>
          <w:szCs w:val="24"/>
        </w:rPr>
      </w:pPr>
      <w:hyperlink w:anchor="_Toc112830774" w:history="1">
        <w:r w:rsidR="00D07F0F" w:rsidRPr="00FD50F6">
          <w:rPr>
            <w:rStyle w:val="afff1"/>
            <w:noProof/>
            <w:color w:val="auto"/>
            <w:lang w:bidi="en-US"/>
          </w:rPr>
          <w:t xml:space="preserve">17.12 </w:t>
        </w:r>
        <w:r w:rsidR="00D07F0F" w:rsidRPr="00FD50F6">
          <w:rPr>
            <w:rStyle w:val="afff1"/>
            <w:noProof/>
            <w:color w:val="auto"/>
            <w:lang w:bidi="en-US"/>
          </w:rPr>
          <w:t>集中告警系统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_Toc112830774 \h </w:instrText>
        </w:r>
        <w:r w:rsidR="00D07F0F" w:rsidRPr="00FD50F6">
          <w:rPr>
            <w:noProof/>
            <w:webHidden/>
          </w:rPr>
        </w:r>
        <w:r w:rsidR="00D07F0F" w:rsidRPr="00FD50F6">
          <w:rPr>
            <w:noProof/>
            <w:webHidden/>
          </w:rPr>
          <w:fldChar w:fldCharType="separate"/>
        </w:r>
        <w:r>
          <w:rPr>
            <w:noProof/>
            <w:webHidden/>
          </w:rPr>
          <w:t>174</w:t>
        </w:r>
        <w:r w:rsidR="00D07F0F" w:rsidRPr="00FD50F6">
          <w:rPr>
            <w:noProof/>
            <w:webHidden/>
          </w:rPr>
          <w:fldChar w:fldCharType="end"/>
        </w:r>
      </w:hyperlink>
    </w:p>
    <w:p w14:paraId="605CB689" w14:textId="51B8B9D6" w:rsidR="00D07F0F" w:rsidRPr="00FD50F6" w:rsidRDefault="00BF2787">
      <w:pPr>
        <w:pStyle w:val="TOC2"/>
        <w:tabs>
          <w:tab w:val="right" w:leader="dot" w:pos="8302"/>
        </w:tabs>
        <w:rPr>
          <w:rFonts w:eastAsiaTheme="minorEastAsia"/>
          <w:smallCaps w:val="0"/>
          <w:noProof/>
          <w:sz w:val="21"/>
          <w:szCs w:val="24"/>
        </w:rPr>
      </w:pPr>
      <w:hyperlink w:anchor="_Toc112830775" w:history="1">
        <w:r w:rsidR="00D07F0F" w:rsidRPr="00FD50F6">
          <w:rPr>
            <w:rStyle w:val="afff1"/>
            <w:noProof/>
            <w:color w:val="auto"/>
            <w:lang w:bidi="en-US"/>
          </w:rPr>
          <w:t xml:space="preserve">17.13 </w:t>
        </w:r>
        <w:r w:rsidR="00D07F0F" w:rsidRPr="00FD50F6">
          <w:rPr>
            <w:rStyle w:val="afff1"/>
            <w:noProof/>
            <w:color w:val="auto"/>
            <w:lang w:bidi="en-US"/>
          </w:rPr>
          <w:t>民用通信引入系统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_Toc112830775 \h </w:instrText>
        </w:r>
        <w:r w:rsidR="00D07F0F" w:rsidRPr="00FD50F6">
          <w:rPr>
            <w:noProof/>
            <w:webHidden/>
          </w:rPr>
        </w:r>
        <w:r w:rsidR="00D07F0F" w:rsidRPr="00FD50F6">
          <w:rPr>
            <w:noProof/>
            <w:webHidden/>
          </w:rPr>
          <w:fldChar w:fldCharType="separate"/>
        </w:r>
        <w:r>
          <w:rPr>
            <w:noProof/>
            <w:webHidden/>
          </w:rPr>
          <w:t>174</w:t>
        </w:r>
        <w:r w:rsidR="00D07F0F" w:rsidRPr="00FD50F6">
          <w:rPr>
            <w:noProof/>
            <w:webHidden/>
          </w:rPr>
          <w:fldChar w:fldCharType="end"/>
        </w:r>
      </w:hyperlink>
    </w:p>
    <w:p w14:paraId="5FD3A0A7" w14:textId="373402F5" w:rsidR="00D07F0F" w:rsidRPr="00FD50F6" w:rsidRDefault="00BF2787">
      <w:pPr>
        <w:pStyle w:val="TOC2"/>
        <w:tabs>
          <w:tab w:val="right" w:leader="dot" w:pos="8302"/>
        </w:tabs>
        <w:rPr>
          <w:rFonts w:eastAsiaTheme="minorEastAsia"/>
          <w:smallCaps w:val="0"/>
          <w:noProof/>
          <w:sz w:val="21"/>
          <w:szCs w:val="24"/>
        </w:rPr>
      </w:pPr>
      <w:hyperlink w:anchor="_Toc112830776" w:history="1">
        <w:r w:rsidR="00D07F0F" w:rsidRPr="00FD50F6">
          <w:rPr>
            <w:rStyle w:val="afff1"/>
            <w:noProof/>
            <w:color w:val="auto"/>
            <w:lang w:bidi="en-US"/>
          </w:rPr>
          <w:t xml:space="preserve">17.14 </w:t>
        </w:r>
        <w:r w:rsidR="00D07F0F" w:rsidRPr="00FD50F6">
          <w:rPr>
            <w:rStyle w:val="afff1"/>
            <w:noProof/>
            <w:color w:val="auto"/>
            <w:lang w:bidi="en-US"/>
          </w:rPr>
          <w:t>公安通信系统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_Toc112830776 \h </w:instrText>
        </w:r>
        <w:r w:rsidR="00D07F0F" w:rsidRPr="00FD50F6">
          <w:rPr>
            <w:noProof/>
            <w:webHidden/>
          </w:rPr>
        </w:r>
        <w:r w:rsidR="00D07F0F" w:rsidRPr="00FD50F6">
          <w:rPr>
            <w:noProof/>
            <w:webHidden/>
          </w:rPr>
          <w:fldChar w:fldCharType="separate"/>
        </w:r>
        <w:r>
          <w:rPr>
            <w:noProof/>
            <w:webHidden/>
          </w:rPr>
          <w:t>175</w:t>
        </w:r>
        <w:r w:rsidR="00D07F0F" w:rsidRPr="00FD50F6">
          <w:rPr>
            <w:noProof/>
            <w:webHidden/>
          </w:rPr>
          <w:fldChar w:fldCharType="end"/>
        </w:r>
      </w:hyperlink>
    </w:p>
    <w:p w14:paraId="54C707C6" w14:textId="10B62AF9" w:rsidR="00D07F0F" w:rsidRPr="00FD50F6" w:rsidRDefault="00BF2787">
      <w:pPr>
        <w:pStyle w:val="TOC2"/>
        <w:tabs>
          <w:tab w:val="right" w:leader="dot" w:pos="8302"/>
        </w:tabs>
        <w:rPr>
          <w:rFonts w:eastAsiaTheme="minorEastAsia"/>
          <w:smallCaps w:val="0"/>
          <w:noProof/>
          <w:sz w:val="21"/>
          <w:szCs w:val="24"/>
        </w:rPr>
      </w:pPr>
      <w:hyperlink w:anchor="_Toc112830777" w:history="1">
        <w:r w:rsidR="00D07F0F" w:rsidRPr="00FD50F6">
          <w:rPr>
            <w:rStyle w:val="afff1"/>
            <w:noProof/>
            <w:color w:val="auto"/>
            <w:lang w:bidi="en-US"/>
          </w:rPr>
          <w:t xml:space="preserve">17.15 </w:t>
        </w:r>
        <w:r w:rsidR="00D07F0F" w:rsidRPr="00FD50F6">
          <w:rPr>
            <w:rStyle w:val="afff1"/>
            <w:noProof/>
            <w:color w:val="auto"/>
            <w:lang w:bidi="en-US"/>
          </w:rPr>
          <w:t>通信用房要求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_Toc112830777 \h </w:instrText>
        </w:r>
        <w:r w:rsidR="00D07F0F" w:rsidRPr="00FD50F6">
          <w:rPr>
            <w:noProof/>
            <w:webHidden/>
          </w:rPr>
        </w:r>
        <w:r w:rsidR="00D07F0F" w:rsidRPr="00FD50F6">
          <w:rPr>
            <w:noProof/>
            <w:webHidden/>
          </w:rPr>
          <w:fldChar w:fldCharType="separate"/>
        </w:r>
        <w:r>
          <w:rPr>
            <w:noProof/>
            <w:webHidden/>
          </w:rPr>
          <w:t>175</w:t>
        </w:r>
        <w:r w:rsidR="00D07F0F" w:rsidRPr="00FD50F6">
          <w:rPr>
            <w:noProof/>
            <w:webHidden/>
          </w:rPr>
          <w:fldChar w:fldCharType="end"/>
        </w:r>
      </w:hyperlink>
    </w:p>
    <w:p w14:paraId="7282205A" w14:textId="5E5D4AE3" w:rsidR="00D07F0F" w:rsidRPr="00FD50F6" w:rsidRDefault="00BF2787">
      <w:pPr>
        <w:pStyle w:val="TOC1"/>
        <w:tabs>
          <w:tab w:val="right" w:leader="dot" w:pos="8302"/>
        </w:tabs>
        <w:rPr>
          <w:rFonts w:eastAsiaTheme="minorEastAsia"/>
          <w:b w:val="0"/>
          <w:bCs w:val="0"/>
          <w:caps w:val="0"/>
          <w:noProof/>
          <w:sz w:val="21"/>
          <w:szCs w:val="24"/>
        </w:rPr>
      </w:pPr>
      <w:hyperlink w:anchor="_Toc112830778" w:history="1">
        <w:r w:rsidR="00D07F0F" w:rsidRPr="00FD50F6">
          <w:rPr>
            <w:rStyle w:val="afff1"/>
            <w:noProof/>
            <w:color w:val="auto"/>
          </w:rPr>
          <w:t xml:space="preserve">18 </w:t>
        </w:r>
        <w:r w:rsidR="00D07F0F" w:rsidRPr="00FD50F6">
          <w:rPr>
            <w:rStyle w:val="afff1"/>
            <w:noProof/>
            <w:color w:val="auto"/>
          </w:rPr>
          <w:t>信号</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_Toc112830778 \h </w:instrText>
        </w:r>
        <w:r w:rsidR="00D07F0F" w:rsidRPr="00FD50F6">
          <w:rPr>
            <w:noProof/>
            <w:webHidden/>
          </w:rPr>
        </w:r>
        <w:r w:rsidR="00D07F0F" w:rsidRPr="00FD50F6">
          <w:rPr>
            <w:noProof/>
            <w:webHidden/>
          </w:rPr>
          <w:fldChar w:fldCharType="separate"/>
        </w:r>
        <w:r>
          <w:rPr>
            <w:noProof/>
            <w:webHidden/>
          </w:rPr>
          <w:t>177</w:t>
        </w:r>
        <w:r w:rsidR="00D07F0F" w:rsidRPr="00FD50F6">
          <w:rPr>
            <w:noProof/>
            <w:webHidden/>
          </w:rPr>
          <w:fldChar w:fldCharType="end"/>
        </w:r>
      </w:hyperlink>
    </w:p>
    <w:p w14:paraId="05200C58" w14:textId="1E6FB0F0" w:rsidR="00D07F0F" w:rsidRPr="00FD50F6" w:rsidRDefault="00BF2787">
      <w:pPr>
        <w:pStyle w:val="TOC2"/>
        <w:tabs>
          <w:tab w:val="right" w:leader="dot" w:pos="8302"/>
        </w:tabs>
        <w:rPr>
          <w:rFonts w:eastAsiaTheme="minorEastAsia"/>
          <w:smallCaps w:val="0"/>
          <w:noProof/>
          <w:sz w:val="21"/>
          <w:szCs w:val="24"/>
        </w:rPr>
      </w:pPr>
      <w:hyperlink w:anchor="_Toc112830779" w:history="1">
        <w:r w:rsidR="00D07F0F" w:rsidRPr="00FD50F6">
          <w:rPr>
            <w:rStyle w:val="afff1"/>
            <w:noProof/>
            <w:color w:val="auto"/>
            <w:lang w:bidi="en-US"/>
          </w:rPr>
          <w:t xml:space="preserve">18.1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_Toc112830779 \h </w:instrText>
        </w:r>
        <w:r w:rsidR="00D07F0F" w:rsidRPr="00FD50F6">
          <w:rPr>
            <w:noProof/>
            <w:webHidden/>
          </w:rPr>
        </w:r>
        <w:r w:rsidR="00D07F0F" w:rsidRPr="00FD50F6">
          <w:rPr>
            <w:noProof/>
            <w:webHidden/>
          </w:rPr>
          <w:fldChar w:fldCharType="separate"/>
        </w:r>
        <w:r>
          <w:rPr>
            <w:noProof/>
            <w:webHidden/>
          </w:rPr>
          <w:t>177</w:t>
        </w:r>
        <w:r w:rsidR="00D07F0F" w:rsidRPr="00FD50F6">
          <w:rPr>
            <w:noProof/>
            <w:webHidden/>
          </w:rPr>
          <w:fldChar w:fldCharType="end"/>
        </w:r>
      </w:hyperlink>
    </w:p>
    <w:p w14:paraId="398631F5" w14:textId="645747E3" w:rsidR="00D07F0F" w:rsidRPr="00FD50F6" w:rsidRDefault="00BF2787">
      <w:pPr>
        <w:pStyle w:val="TOC2"/>
        <w:tabs>
          <w:tab w:val="right" w:leader="dot" w:pos="8302"/>
        </w:tabs>
        <w:rPr>
          <w:rFonts w:eastAsiaTheme="minorEastAsia"/>
          <w:smallCaps w:val="0"/>
          <w:noProof/>
          <w:sz w:val="21"/>
          <w:szCs w:val="24"/>
        </w:rPr>
      </w:pPr>
      <w:hyperlink w:anchor="_Toc112830780" w:history="1">
        <w:r w:rsidR="00D07F0F" w:rsidRPr="00FD50F6">
          <w:rPr>
            <w:rStyle w:val="afff1"/>
            <w:noProof/>
            <w:color w:val="auto"/>
            <w:lang w:bidi="en-US"/>
          </w:rPr>
          <w:t xml:space="preserve">18.2 </w:t>
        </w:r>
        <w:r w:rsidR="00D07F0F" w:rsidRPr="00FD50F6">
          <w:rPr>
            <w:rStyle w:val="afff1"/>
            <w:noProof/>
            <w:color w:val="auto"/>
            <w:lang w:bidi="en-US"/>
          </w:rPr>
          <w:t>系统构成</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_Toc112830780 \h </w:instrText>
        </w:r>
        <w:r w:rsidR="00D07F0F" w:rsidRPr="00FD50F6">
          <w:rPr>
            <w:noProof/>
            <w:webHidden/>
          </w:rPr>
        </w:r>
        <w:r w:rsidR="00D07F0F" w:rsidRPr="00FD50F6">
          <w:rPr>
            <w:noProof/>
            <w:webHidden/>
          </w:rPr>
          <w:fldChar w:fldCharType="separate"/>
        </w:r>
        <w:r>
          <w:rPr>
            <w:noProof/>
            <w:webHidden/>
          </w:rPr>
          <w:t>180</w:t>
        </w:r>
        <w:r w:rsidR="00D07F0F" w:rsidRPr="00FD50F6">
          <w:rPr>
            <w:noProof/>
            <w:webHidden/>
          </w:rPr>
          <w:fldChar w:fldCharType="end"/>
        </w:r>
      </w:hyperlink>
    </w:p>
    <w:p w14:paraId="6C37615D" w14:textId="23FBC4DE" w:rsidR="00D07F0F" w:rsidRPr="00FD50F6" w:rsidRDefault="00BF2787">
      <w:pPr>
        <w:pStyle w:val="TOC2"/>
        <w:tabs>
          <w:tab w:val="right" w:leader="dot" w:pos="8302"/>
        </w:tabs>
        <w:rPr>
          <w:rFonts w:eastAsiaTheme="minorEastAsia"/>
          <w:smallCaps w:val="0"/>
          <w:noProof/>
          <w:sz w:val="21"/>
          <w:szCs w:val="24"/>
        </w:rPr>
      </w:pPr>
      <w:hyperlink w:anchor="_Toc112830781" w:history="1">
        <w:r w:rsidR="00D07F0F" w:rsidRPr="00FD50F6">
          <w:rPr>
            <w:rStyle w:val="afff1"/>
            <w:noProof/>
            <w:color w:val="auto"/>
            <w:lang w:bidi="en-US"/>
          </w:rPr>
          <w:t xml:space="preserve">18.3 </w:t>
        </w:r>
        <w:r w:rsidR="00D07F0F" w:rsidRPr="00FD50F6">
          <w:rPr>
            <w:rStyle w:val="afff1"/>
            <w:noProof/>
            <w:color w:val="auto"/>
            <w:lang w:bidi="en-US"/>
          </w:rPr>
          <w:t>系统功能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_Toc112830781 \h </w:instrText>
        </w:r>
        <w:r w:rsidR="00D07F0F" w:rsidRPr="00FD50F6">
          <w:rPr>
            <w:noProof/>
            <w:webHidden/>
          </w:rPr>
        </w:r>
        <w:r w:rsidR="00D07F0F" w:rsidRPr="00FD50F6">
          <w:rPr>
            <w:noProof/>
            <w:webHidden/>
          </w:rPr>
          <w:fldChar w:fldCharType="separate"/>
        </w:r>
        <w:r>
          <w:rPr>
            <w:noProof/>
            <w:webHidden/>
          </w:rPr>
          <w:t>185</w:t>
        </w:r>
        <w:r w:rsidR="00D07F0F" w:rsidRPr="00FD50F6">
          <w:rPr>
            <w:noProof/>
            <w:webHidden/>
          </w:rPr>
          <w:fldChar w:fldCharType="end"/>
        </w:r>
      </w:hyperlink>
    </w:p>
    <w:p w14:paraId="239F1310" w14:textId="2D932FA8" w:rsidR="00D07F0F" w:rsidRPr="00FD50F6" w:rsidRDefault="00BF2787">
      <w:pPr>
        <w:pStyle w:val="TOC2"/>
        <w:tabs>
          <w:tab w:val="right" w:leader="dot" w:pos="8302"/>
        </w:tabs>
        <w:rPr>
          <w:rFonts w:eastAsiaTheme="minorEastAsia"/>
          <w:smallCaps w:val="0"/>
          <w:noProof/>
          <w:sz w:val="21"/>
          <w:szCs w:val="24"/>
        </w:rPr>
      </w:pPr>
      <w:hyperlink w:anchor="_Toc112830782" w:history="1">
        <w:r w:rsidR="00D07F0F" w:rsidRPr="00FD50F6">
          <w:rPr>
            <w:rStyle w:val="afff1"/>
            <w:noProof/>
            <w:color w:val="auto"/>
            <w:lang w:bidi="en-US"/>
          </w:rPr>
          <w:t xml:space="preserve">18.4 </w:t>
        </w:r>
        <w:r w:rsidR="00D07F0F" w:rsidRPr="00FD50F6">
          <w:rPr>
            <w:rStyle w:val="afff1"/>
            <w:noProof/>
            <w:color w:val="auto"/>
            <w:lang w:bidi="en-US"/>
          </w:rPr>
          <w:t>系统性能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_Toc112830782 \h </w:instrText>
        </w:r>
        <w:r w:rsidR="00D07F0F" w:rsidRPr="00FD50F6">
          <w:rPr>
            <w:noProof/>
            <w:webHidden/>
          </w:rPr>
        </w:r>
        <w:r w:rsidR="00D07F0F" w:rsidRPr="00FD50F6">
          <w:rPr>
            <w:noProof/>
            <w:webHidden/>
          </w:rPr>
          <w:fldChar w:fldCharType="separate"/>
        </w:r>
        <w:r>
          <w:rPr>
            <w:noProof/>
            <w:webHidden/>
          </w:rPr>
          <w:t>189</w:t>
        </w:r>
        <w:r w:rsidR="00D07F0F" w:rsidRPr="00FD50F6">
          <w:rPr>
            <w:noProof/>
            <w:webHidden/>
          </w:rPr>
          <w:fldChar w:fldCharType="end"/>
        </w:r>
      </w:hyperlink>
    </w:p>
    <w:p w14:paraId="28AB2468" w14:textId="1CAFF985" w:rsidR="00D07F0F" w:rsidRPr="00FD50F6" w:rsidRDefault="00BF2787">
      <w:pPr>
        <w:pStyle w:val="TOC2"/>
        <w:tabs>
          <w:tab w:val="right" w:leader="dot" w:pos="8302"/>
        </w:tabs>
        <w:rPr>
          <w:rFonts w:eastAsiaTheme="minorEastAsia"/>
          <w:smallCaps w:val="0"/>
          <w:noProof/>
          <w:sz w:val="21"/>
          <w:szCs w:val="24"/>
        </w:rPr>
      </w:pPr>
      <w:hyperlink w:anchor="_Toc112830783" w:history="1">
        <w:r w:rsidR="00D07F0F" w:rsidRPr="00FD50F6">
          <w:rPr>
            <w:rStyle w:val="afff1"/>
            <w:noProof/>
            <w:color w:val="auto"/>
            <w:lang w:bidi="en-US"/>
          </w:rPr>
          <w:t xml:space="preserve">18.5 </w:t>
        </w:r>
        <w:r w:rsidR="00D07F0F" w:rsidRPr="00FD50F6">
          <w:rPr>
            <w:rStyle w:val="afff1"/>
            <w:noProof/>
            <w:color w:val="auto"/>
            <w:lang w:bidi="en-US"/>
          </w:rPr>
          <w:t>其他</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_Toc112830783 \h </w:instrText>
        </w:r>
        <w:r w:rsidR="00D07F0F" w:rsidRPr="00FD50F6">
          <w:rPr>
            <w:noProof/>
            <w:webHidden/>
          </w:rPr>
        </w:r>
        <w:r w:rsidR="00D07F0F" w:rsidRPr="00FD50F6">
          <w:rPr>
            <w:noProof/>
            <w:webHidden/>
          </w:rPr>
          <w:fldChar w:fldCharType="separate"/>
        </w:r>
        <w:r>
          <w:rPr>
            <w:noProof/>
            <w:webHidden/>
          </w:rPr>
          <w:t>189</w:t>
        </w:r>
        <w:r w:rsidR="00D07F0F" w:rsidRPr="00FD50F6">
          <w:rPr>
            <w:noProof/>
            <w:webHidden/>
          </w:rPr>
          <w:fldChar w:fldCharType="end"/>
        </w:r>
      </w:hyperlink>
    </w:p>
    <w:p w14:paraId="48A06A38" w14:textId="06588D83" w:rsidR="00D07F0F" w:rsidRPr="00FD50F6" w:rsidRDefault="00BF2787">
      <w:pPr>
        <w:pStyle w:val="TOC1"/>
        <w:tabs>
          <w:tab w:val="right" w:leader="dot" w:pos="8302"/>
        </w:tabs>
        <w:rPr>
          <w:rFonts w:eastAsiaTheme="minorEastAsia"/>
          <w:b w:val="0"/>
          <w:bCs w:val="0"/>
          <w:caps w:val="0"/>
          <w:noProof/>
          <w:sz w:val="21"/>
          <w:szCs w:val="24"/>
        </w:rPr>
      </w:pPr>
      <w:hyperlink w:anchor="_Toc112830784" w:history="1">
        <w:r w:rsidR="00D07F0F" w:rsidRPr="00FD50F6">
          <w:rPr>
            <w:rStyle w:val="afff1"/>
            <w:noProof/>
            <w:color w:val="auto"/>
          </w:rPr>
          <w:t xml:space="preserve">19 </w:t>
        </w:r>
        <w:r w:rsidR="00D07F0F" w:rsidRPr="00FD50F6">
          <w:rPr>
            <w:rStyle w:val="afff1"/>
            <w:noProof/>
            <w:color w:val="auto"/>
          </w:rPr>
          <w:t>自动售检票系统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_Toc112830784 \h </w:instrText>
        </w:r>
        <w:r w:rsidR="00D07F0F" w:rsidRPr="00FD50F6">
          <w:rPr>
            <w:noProof/>
            <w:webHidden/>
          </w:rPr>
        </w:r>
        <w:r w:rsidR="00D07F0F" w:rsidRPr="00FD50F6">
          <w:rPr>
            <w:noProof/>
            <w:webHidden/>
          </w:rPr>
          <w:fldChar w:fldCharType="separate"/>
        </w:r>
        <w:r>
          <w:rPr>
            <w:noProof/>
            <w:webHidden/>
          </w:rPr>
          <w:t>194</w:t>
        </w:r>
        <w:r w:rsidR="00D07F0F" w:rsidRPr="00FD50F6">
          <w:rPr>
            <w:noProof/>
            <w:webHidden/>
          </w:rPr>
          <w:fldChar w:fldCharType="end"/>
        </w:r>
      </w:hyperlink>
    </w:p>
    <w:p w14:paraId="4D17C846" w14:textId="4F2629B4" w:rsidR="00D07F0F" w:rsidRPr="00FD50F6" w:rsidRDefault="00BF2787">
      <w:pPr>
        <w:pStyle w:val="TOC2"/>
        <w:tabs>
          <w:tab w:val="right" w:leader="dot" w:pos="8302"/>
        </w:tabs>
        <w:rPr>
          <w:rFonts w:eastAsiaTheme="minorEastAsia"/>
          <w:smallCaps w:val="0"/>
          <w:noProof/>
          <w:sz w:val="21"/>
          <w:szCs w:val="24"/>
        </w:rPr>
      </w:pPr>
      <w:hyperlink w:anchor="_Toc112830785" w:history="1">
        <w:r w:rsidR="00D07F0F" w:rsidRPr="00FD50F6">
          <w:rPr>
            <w:rStyle w:val="afff1"/>
            <w:noProof/>
            <w:color w:val="auto"/>
            <w:lang w:bidi="en-US"/>
          </w:rPr>
          <w:t xml:space="preserve">19.1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_Toc112830785 \h </w:instrText>
        </w:r>
        <w:r w:rsidR="00D07F0F" w:rsidRPr="00FD50F6">
          <w:rPr>
            <w:noProof/>
            <w:webHidden/>
          </w:rPr>
        </w:r>
        <w:r w:rsidR="00D07F0F" w:rsidRPr="00FD50F6">
          <w:rPr>
            <w:noProof/>
            <w:webHidden/>
          </w:rPr>
          <w:fldChar w:fldCharType="separate"/>
        </w:r>
        <w:r>
          <w:rPr>
            <w:noProof/>
            <w:webHidden/>
          </w:rPr>
          <w:t>194</w:t>
        </w:r>
        <w:r w:rsidR="00D07F0F" w:rsidRPr="00FD50F6">
          <w:rPr>
            <w:noProof/>
            <w:webHidden/>
          </w:rPr>
          <w:fldChar w:fldCharType="end"/>
        </w:r>
      </w:hyperlink>
    </w:p>
    <w:p w14:paraId="246B0EC8" w14:textId="4AEC57AA" w:rsidR="00D07F0F" w:rsidRPr="00FD50F6" w:rsidRDefault="00BF2787">
      <w:pPr>
        <w:pStyle w:val="TOC2"/>
        <w:tabs>
          <w:tab w:val="right" w:leader="dot" w:pos="8302"/>
        </w:tabs>
        <w:rPr>
          <w:rFonts w:eastAsiaTheme="minorEastAsia"/>
          <w:smallCaps w:val="0"/>
          <w:noProof/>
          <w:sz w:val="21"/>
          <w:szCs w:val="24"/>
        </w:rPr>
      </w:pPr>
      <w:hyperlink w:anchor="_Toc112830786" w:history="1">
        <w:r w:rsidR="00D07F0F" w:rsidRPr="00FD50F6">
          <w:rPr>
            <w:rStyle w:val="afff1"/>
            <w:noProof/>
            <w:color w:val="auto"/>
            <w:lang w:bidi="en-US"/>
          </w:rPr>
          <w:t xml:space="preserve">19.2 </w:t>
        </w:r>
        <w:r w:rsidR="00D07F0F" w:rsidRPr="00FD50F6">
          <w:rPr>
            <w:rStyle w:val="afff1"/>
            <w:noProof/>
            <w:color w:val="auto"/>
            <w:lang w:bidi="en-US"/>
          </w:rPr>
          <w:t>票务管理、运营模式管理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_Toc112830786 \h </w:instrText>
        </w:r>
        <w:r w:rsidR="00D07F0F" w:rsidRPr="00FD50F6">
          <w:rPr>
            <w:noProof/>
            <w:webHidden/>
          </w:rPr>
        </w:r>
        <w:r w:rsidR="00D07F0F" w:rsidRPr="00FD50F6">
          <w:rPr>
            <w:noProof/>
            <w:webHidden/>
          </w:rPr>
          <w:fldChar w:fldCharType="separate"/>
        </w:r>
        <w:r>
          <w:rPr>
            <w:noProof/>
            <w:webHidden/>
          </w:rPr>
          <w:t>195</w:t>
        </w:r>
        <w:r w:rsidR="00D07F0F" w:rsidRPr="00FD50F6">
          <w:rPr>
            <w:noProof/>
            <w:webHidden/>
          </w:rPr>
          <w:fldChar w:fldCharType="end"/>
        </w:r>
      </w:hyperlink>
    </w:p>
    <w:p w14:paraId="3A22D0F8" w14:textId="6204CB8D" w:rsidR="00D07F0F" w:rsidRPr="00FD50F6" w:rsidRDefault="00BF2787">
      <w:pPr>
        <w:pStyle w:val="TOC2"/>
        <w:tabs>
          <w:tab w:val="right" w:leader="dot" w:pos="8302"/>
        </w:tabs>
        <w:rPr>
          <w:rFonts w:eastAsiaTheme="minorEastAsia"/>
          <w:smallCaps w:val="0"/>
          <w:noProof/>
          <w:sz w:val="21"/>
          <w:szCs w:val="24"/>
        </w:rPr>
      </w:pPr>
      <w:hyperlink w:anchor="_Toc112830787" w:history="1">
        <w:r w:rsidR="00D07F0F" w:rsidRPr="00FD50F6">
          <w:rPr>
            <w:rStyle w:val="afff1"/>
            <w:noProof/>
            <w:color w:val="auto"/>
            <w:lang w:bidi="en-US"/>
          </w:rPr>
          <w:t xml:space="preserve">19.3 </w:t>
        </w:r>
        <w:r w:rsidR="00D07F0F" w:rsidRPr="00FD50F6">
          <w:rPr>
            <w:rStyle w:val="afff1"/>
            <w:noProof/>
            <w:color w:val="auto"/>
            <w:lang w:bidi="en-US"/>
          </w:rPr>
          <w:t>系统构成</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_Toc112830787 \h </w:instrText>
        </w:r>
        <w:r w:rsidR="00D07F0F" w:rsidRPr="00FD50F6">
          <w:rPr>
            <w:noProof/>
            <w:webHidden/>
          </w:rPr>
        </w:r>
        <w:r w:rsidR="00D07F0F" w:rsidRPr="00FD50F6">
          <w:rPr>
            <w:noProof/>
            <w:webHidden/>
          </w:rPr>
          <w:fldChar w:fldCharType="separate"/>
        </w:r>
        <w:r>
          <w:rPr>
            <w:noProof/>
            <w:webHidden/>
          </w:rPr>
          <w:t>195</w:t>
        </w:r>
        <w:r w:rsidR="00D07F0F" w:rsidRPr="00FD50F6">
          <w:rPr>
            <w:noProof/>
            <w:webHidden/>
          </w:rPr>
          <w:fldChar w:fldCharType="end"/>
        </w:r>
      </w:hyperlink>
    </w:p>
    <w:p w14:paraId="64B78A6A" w14:textId="7BA6EBCB" w:rsidR="00D07F0F" w:rsidRPr="00FD50F6" w:rsidRDefault="00BF2787">
      <w:pPr>
        <w:pStyle w:val="TOC2"/>
        <w:tabs>
          <w:tab w:val="right" w:leader="dot" w:pos="8302"/>
        </w:tabs>
        <w:rPr>
          <w:rFonts w:eastAsiaTheme="minorEastAsia"/>
          <w:smallCaps w:val="0"/>
          <w:noProof/>
          <w:sz w:val="21"/>
          <w:szCs w:val="24"/>
        </w:rPr>
      </w:pPr>
      <w:hyperlink w:anchor="_Toc112830788" w:history="1">
        <w:r w:rsidR="00D07F0F" w:rsidRPr="00FD50F6">
          <w:rPr>
            <w:rStyle w:val="afff1"/>
            <w:noProof/>
            <w:color w:val="auto"/>
            <w:lang w:bidi="en-US"/>
          </w:rPr>
          <w:t xml:space="preserve">19.4 </w:t>
        </w:r>
        <w:r w:rsidR="00D07F0F" w:rsidRPr="00FD50F6">
          <w:rPr>
            <w:rStyle w:val="afff1"/>
            <w:noProof/>
            <w:color w:val="auto"/>
            <w:lang w:bidi="en-US"/>
          </w:rPr>
          <w:t>系统功能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_Toc112830788 \h </w:instrText>
        </w:r>
        <w:r w:rsidR="00D07F0F" w:rsidRPr="00FD50F6">
          <w:rPr>
            <w:noProof/>
            <w:webHidden/>
          </w:rPr>
        </w:r>
        <w:r w:rsidR="00D07F0F" w:rsidRPr="00FD50F6">
          <w:rPr>
            <w:noProof/>
            <w:webHidden/>
          </w:rPr>
          <w:fldChar w:fldCharType="separate"/>
        </w:r>
        <w:r>
          <w:rPr>
            <w:noProof/>
            <w:webHidden/>
          </w:rPr>
          <w:t>196</w:t>
        </w:r>
        <w:r w:rsidR="00D07F0F" w:rsidRPr="00FD50F6">
          <w:rPr>
            <w:noProof/>
            <w:webHidden/>
          </w:rPr>
          <w:fldChar w:fldCharType="end"/>
        </w:r>
      </w:hyperlink>
    </w:p>
    <w:p w14:paraId="7045F9EB" w14:textId="10F6AE95" w:rsidR="00D07F0F" w:rsidRPr="00FD50F6" w:rsidRDefault="00BF2787">
      <w:pPr>
        <w:pStyle w:val="TOC2"/>
        <w:tabs>
          <w:tab w:val="right" w:leader="dot" w:pos="8302"/>
        </w:tabs>
        <w:rPr>
          <w:rFonts w:eastAsiaTheme="minorEastAsia"/>
          <w:smallCaps w:val="0"/>
          <w:noProof/>
          <w:sz w:val="21"/>
          <w:szCs w:val="24"/>
        </w:rPr>
      </w:pPr>
      <w:hyperlink w:anchor="_Toc112830789" w:history="1">
        <w:r w:rsidR="00D07F0F" w:rsidRPr="00FD50F6">
          <w:rPr>
            <w:rStyle w:val="afff1"/>
            <w:noProof/>
            <w:color w:val="auto"/>
            <w:lang w:bidi="en-US"/>
          </w:rPr>
          <w:t xml:space="preserve">19.5 </w:t>
        </w:r>
        <w:r w:rsidR="00D07F0F" w:rsidRPr="00FD50F6">
          <w:rPr>
            <w:rStyle w:val="afff1"/>
            <w:noProof/>
            <w:color w:val="auto"/>
            <w:lang w:bidi="en-US"/>
          </w:rPr>
          <w:t>系统网络、软件及时钟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_Toc112830789 \h </w:instrText>
        </w:r>
        <w:r w:rsidR="00D07F0F" w:rsidRPr="00FD50F6">
          <w:rPr>
            <w:noProof/>
            <w:webHidden/>
          </w:rPr>
        </w:r>
        <w:r w:rsidR="00D07F0F" w:rsidRPr="00FD50F6">
          <w:rPr>
            <w:noProof/>
            <w:webHidden/>
          </w:rPr>
          <w:fldChar w:fldCharType="separate"/>
        </w:r>
        <w:r>
          <w:rPr>
            <w:noProof/>
            <w:webHidden/>
          </w:rPr>
          <w:t>200</w:t>
        </w:r>
        <w:r w:rsidR="00D07F0F" w:rsidRPr="00FD50F6">
          <w:rPr>
            <w:noProof/>
            <w:webHidden/>
          </w:rPr>
          <w:fldChar w:fldCharType="end"/>
        </w:r>
      </w:hyperlink>
    </w:p>
    <w:p w14:paraId="47919E69" w14:textId="6B965A48" w:rsidR="00D07F0F" w:rsidRPr="00FD50F6" w:rsidRDefault="00BF2787">
      <w:pPr>
        <w:pStyle w:val="TOC2"/>
        <w:tabs>
          <w:tab w:val="right" w:leader="dot" w:pos="8302"/>
        </w:tabs>
        <w:rPr>
          <w:rFonts w:eastAsiaTheme="minorEastAsia"/>
          <w:smallCaps w:val="0"/>
          <w:noProof/>
          <w:sz w:val="21"/>
          <w:szCs w:val="24"/>
        </w:rPr>
      </w:pPr>
      <w:hyperlink w:anchor="_Toc112830790" w:history="1">
        <w:r w:rsidR="00D07F0F" w:rsidRPr="00FD50F6">
          <w:rPr>
            <w:rStyle w:val="afff1"/>
            <w:noProof/>
            <w:color w:val="auto"/>
            <w:lang w:bidi="en-US"/>
          </w:rPr>
          <w:t xml:space="preserve">19.6 </w:t>
        </w:r>
        <w:r w:rsidR="00D07F0F" w:rsidRPr="00FD50F6">
          <w:rPr>
            <w:rStyle w:val="afff1"/>
            <w:noProof/>
            <w:color w:val="auto"/>
            <w:lang w:bidi="en-US"/>
          </w:rPr>
          <w:t>电源、接地及防雷</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_Toc112830790 \h </w:instrText>
        </w:r>
        <w:r w:rsidR="00D07F0F" w:rsidRPr="00FD50F6">
          <w:rPr>
            <w:noProof/>
            <w:webHidden/>
          </w:rPr>
        </w:r>
        <w:r w:rsidR="00D07F0F" w:rsidRPr="00FD50F6">
          <w:rPr>
            <w:noProof/>
            <w:webHidden/>
          </w:rPr>
          <w:fldChar w:fldCharType="separate"/>
        </w:r>
        <w:r>
          <w:rPr>
            <w:noProof/>
            <w:webHidden/>
          </w:rPr>
          <w:t>201</w:t>
        </w:r>
        <w:r w:rsidR="00D07F0F" w:rsidRPr="00FD50F6">
          <w:rPr>
            <w:noProof/>
            <w:webHidden/>
          </w:rPr>
          <w:fldChar w:fldCharType="end"/>
        </w:r>
      </w:hyperlink>
    </w:p>
    <w:p w14:paraId="38770DAB" w14:textId="16BBAF51" w:rsidR="00D07F0F" w:rsidRPr="00FD50F6" w:rsidRDefault="00BF2787">
      <w:pPr>
        <w:pStyle w:val="TOC2"/>
        <w:tabs>
          <w:tab w:val="right" w:leader="dot" w:pos="8302"/>
        </w:tabs>
        <w:rPr>
          <w:rFonts w:eastAsiaTheme="minorEastAsia"/>
          <w:smallCaps w:val="0"/>
          <w:noProof/>
          <w:sz w:val="21"/>
          <w:szCs w:val="24"/>
        </w:rPr>
      </w:pPr>
      <w:hyperlink w:anchor="_Toc112830791" w:history="1">
        <w:r w:rsidR="00D07F0F" w:rsidRPr="00FD50F6">
          <w:rPr>
            <w:rStyle w:val="afff1"/>
            <w:noProof/>
            <w:color w:val="auto"/>
            <w:lang w:bidi="en-US"/>
          </w:rPr>
          <w:t xml:space="preserve">19.7 </w:t>
        </w:r>
        <w:r w:rsidR="00D07F0F" w:rsidRPr="00FD50F6">
          <w:rPr>
            <w:rStyle w:val="afff1"/>
            <w:noProof/>
            <w:color w:val="auto"/>
            <w:lang w:bidi="en-US"/>
          </w:rPr>
          <w:t>系统布线</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_Toc112830791 \h </w:instrText>
        </w:r>
        <w:r w:rsidR="00D07F0F" w:rsidRPr="00FD50F6">
          <w:rPr>
            <w:noProof/>
            <w:webHidden/>
          </w:rPr>
        </w:r>
        <w:r w:rsidR="00D07F0F" w:rsidRPr="00FD50F6">
          <w:rPr>
            <w:noProof/>
            <w:webHidden/>
          </w:rPr>
          <w:fldChar w:fldCharType="separate"/>
        </w:r>
        <w:r>
          <w:rPr>
            <w:noProof/>
            <w:webHidden/>
          </w:rPr>
          <w:t>202</w:t>
        </w:r>
        <w:r w:rsidR="00D07F0F" w:rsidRPr="00FD50F6">
          <w:rPr>
            <w:noProof/>
            <w:webHidden/>
          </w:rPr>
          <w:fldChar w:fldCharType="end"/>
        </w:r>
      </w:hyperlink>
    </w:p>
    <w:p w14:paraId="4A5425B3" w14:textId="1FD03158" w:rsidR="00D07F0F" w:rsidRPr="00FD50F6" w:rsidRDefault="00BF2787">
      <w:pPr>
        <w:pStyle w:val="TOC2"/>
        <w:tabs>
          <w:tab w:val="right" w:leader="dot" w:pos="8302"/>
        </w:tabs>
        <w:rPr>
          <w:rFonts w:eastAsiaTheme="minorEastAsia"/>
          <w:smallCaps w:val="0"/>
          <w:noProof/>
          <w:sz w:val="21"/>
          <w:szCs w:val="24"/>
        </w:rPr>
      </w:pPr>
      <w:hyperlink w:anchor="_Toc112830792" w:history="1">
        <w:r w:rsidR="00D07F0F" w:rsidRPr="00FD50F6">
          <w:rPr>
            <w:rStyle w:val="afff1"/>
            <w:noProof/>
            <w:color w:val="auto"/>
            <w:lang w:bidi="en-US"/>
          </w:rPr>
          <w:t xml:space="preserve">19.8 </w:t>
        </w:r>
        <w:r w:rsidR="00D07F0F" w:rsidRPr="00FD50F6">
          <w:rPr>
            <w:rStyle w:val="afff1"/>
            <w:noProof/>
            <w:color w:val="auto"/>
            <w:lang w:bidi="en-US"/>
          </w:rPr>
          <w:t>设备选型、配置及布置</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_Toc112830792 \h </w:instrText>
        </w:r>
        <w:r w:rsidR="00D07F0F" w:rsidRPr="00FD50F6">
          <w:rPr>
            <w:noProof/>
            <w:webHidden/>
          </w:rPr>
        </w:r>
        <w:r w:rsidR="00D07F0F" w:rsidRPr="00FD50F6">
          <w:rPr>
            <w:noProof/>
            <w:webHidden/>
          </w:rPr>
          <w:fldChar w:fldCharType="separate"/>
        </w:r>
        <w:r>
          <w:rPr>
            <w:noProof/>
            <w:webHidden/>
          </w:rPr>
          <w:t>202</w:t>
        </w:r>
        <w:r w:rsidR="00D07F0F" w:rsidRPr="00FD50F6">
          <w:rPr>
            <w:noProof/>
            <w:webHidden/>
          </w:rPr>
          <w:fldChar w:fldCharType="end"/>
        </w:r>
      </w:hyperlink>
    </w:p>
    <w:p w14:paraId="19370FEF" w14:textId="088A5AB6" w:rsidR="00D07F0F" w:rsidRPr="00FD50F6" w:rsidRDefault="00BF2787">
      <w:pPr>
        <w:pStyle w:val="TOC2"/>
        <w:tabs>
          <w:tab w:val="right" w:leader="dot" w:pos="8302"/>
        </w:tabs>
        <w:rPr>
          <w:rFonts w:eastAsiaTheme="minorEastAsia"/>
          <w:smallCaps w:val="0"/>
          <w:noProof/>
          <w:sz w:val="21"/>
          <w:szCs w:val="24"/>
        </w:rPr>
      </w:pPr>
      <w:hyperlink w:anchor="_Toc112830793" w:history="1">
        <w:r w:rsidR="00D07F0F" w:rsidRPr="00FD50F6">
          <w:rPr>
            <w:rStyle w:val="afff1"/>
            <w:noProof/>
            <w:color w:val="auto"/>
            <w:lang w:bidi="en-US"/>
          </w:rPr>
          <w:t xml:space="preserve">19.9 </w:t>
        </w:r>
        <w:r w:rsidR="00D07F0F" w:rsidRPr="00FD50F6">
          <w:rPr>
            <w:rStyle w:val="afff1"/>
            <w:noProof/>
            <w:color w:val="auto"/>
            <w:lang w:bidi="en-US"/>
          </w:rPr>
          <w:t>设备用房</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_Toc112830793 \h </w:instrText>
        </w:r>
        <w:r w:rsidR="00D07F0F" w:rsidRPr="00FD50F6">
          <w:rPr>
            <w:noProof/>
            <w:webHidden/>
          </w:rPr>
        </w:r>
        <w:r w:rsidR="00D07F0F" w:rsidRPr="00FD50F6">
          <w:rPr>
            <w:noProof/>
            <w:webHidden/>
          </w:rPr>
          <w:fldChar w:fldCharType="separate"/>
        </w:r>
        <w:r>
          <w:rPr>
            <w:noProof/>
            <w:webHidden/>
          </w:rPr>
          <w:t>203</w:t>
        </w:r>
        <w:r w:rsidR="00D07F0F" w:rsidRPr="00FD50F6">
          <w:rPr>
            <w:noProof/>
            <w:webHidden/>
          </w:rPr>
          <w:fldChar w:fldCharType="end"/>
        </w:r>
      </w:hyperlink>
    </w:p>
    <w:p w14:paraId="706AF75F" w14:textId="66ABF826" w:rsidR="00D07F0F" w:rsidRPr="00FD50F6" w:rsidRDefault="00BF2787">
      <w:pPr>
        <w:pStyle w:val="TOC2"/>
        <w:tabs>
          <w:tab w:val="right" w:leader="dot" w:pos="8302"/>
        </w:tabs>
        <w:rPr>
          <w:rFonts w:eastAsiaTheme="minorEastAsia"/>
          <w:smallCaps w:val="0"/>
          <w:noProof/>
          <w:sz w:val="21"/>
          <w:szCs w:val="24"/>
        </w:rPr>
      </w:pPr>
      <w:hyperlink w:anchor="_Toc112830796" w:history="1">
        <w:r w:rsidR="00D07F0F" w:rsidRPr="00FD50F6">
          <w:rPr>
            <w:rStyle w:val="afff1"/>
            <w:noProof/>
            <w:color w:val="auto"/>
            <w:lang w:bidi="en-US"/>
          </w:rPr>
          <w:t xml:space="preserve">19.10 </w:t>
        </w:r>
        <w:r w:rsidR="00D07F0F" w:rsidRPr="00FD50F6">
          <w:rPr>
            <w:rStyle w:val="afff1"/>
            <w:noProof/>
            <w:color w:val="auto"/>
            <w:lang w:bidi="en-US"/>
          </w:rPr>
          <w:t>系统接口</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_Toc112830796 \h </w:instrText>
        </w:r>
        <w:r w:rsidR="00D07F0F" w:rsidRPr="00FD50F6">
          <w:rPr>
            <w:noProof/>
            <w:webHidden/>
          </w:rPr>
        </w:r>
        <w:r w:rsidR="00D07F0F" w:rsidRPr="00FD50F6">
          <w:rPr>
            <w:noProof/>
            <w:webHidden/>
          </w:rPr>
          <w:fldChar w:fldCharType="separate"/>
        </w:r>
        <w:r>
          <w:rPr>
            <w:noProof/>
            <w:webHidden/>
          </w:rPr>
          <w:t>204</w:t>
        </w:r>
        <w:r w:rsidR="00D07F0F" w:rsidRPr="00FD50F6">
          <w:rPr>
            <w:noProof/>
            <w:webHidden/>
          </w:rPr>
          <w:fldChar w:fldCharType="end"/>
        </w:r>
      </w:hyperlink>
    </w:p>
    <w:p w14:paraId="52A0F684" w14:textId="4DCCB52A" w:rsidR="00D07F0F" w:rsidRPr="00FD50F6" w:rsidRDefault="00BF2787">
      <w:pPr>
        <w:pStyle w:val="TOC1"/>
        <w:tabs>
          <w:tab w:val="right" w:leader="dot" w:pos="8302"/>
        </w:tabs>
        <w:rPr>
          <w:rFonts w:eastAsiaTheme="minorEastAsia"/>
          <w:b w:val="0"/>
          <w:bCs w:val="0"/>
          <w:caps w:val="0"/>
          <w:noProof/>
          <w:sz w:val="21"/>
          <w:szCs w:val="24"/>
        </w:rPr>
      </w:pPr>
      <w:hyperlink w:anchor="_Toc112830797" w:history="1">
        <w:r w:rsidR="00D07F0F" w:rsidRPr="00FD50F6">
          <w:rPr>
            <w:rStyle w:val="afff1"/>
            <w:noProof/>
            <w:color w:val="auto"/>
          </w:rPr>
          <w:t xml:space="preserve">20 </w:t>
        </w:r>
        <w:r w:rsidR="00D07F0F" w:rsidRPr="00FD50F6">
          <w:rPr>
            <w:rStyle w:val="afff1"/>
            <w:noProof/>
            <w:color w:val="auto"/>
          </w:rPr>
          <w:t>火灾自动报警系统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_Toc112830797 \h </w:instrText>
        </w:r>
        <w:r w:rsidR="00D07F0F" w:rsidRPr="00FD50F6">
          <w:rPr>
            <w:noProof/>
            <w:webHidden/>
          </w:rPr>
        </w:r>
        <w:r w:rsidR="00D07F0F" w:rsidRPr="00FD50F6">
          <w:rPr>
            <w:noProof/>
            <w:webHidden/>
          </w:rPr>
          <w:fldChar w:fldCharType="separate"/>
        </w:r>
        <w:r>
          <w:rPr>
            <w:noProof/>
            <w:webHidden/>
          </w:rPr>
          <w:t>205</w:t>
        </w:r>
        <w:r w:rsidR="00D07F0F" w:rsidRPr="00FD50F6">
          <w:rPr>
            <w:noProof/>
            <w:webHidden/>
          </w:rPr>
          <w:fldChar w:fldCharType="end"/>
        </w:r>
      </w:hyperlink>
    </w:p>
    <w:p w14:paraId="041DFB4D" w14:textId="09D5AAA8" w:rsidR="00D07F0F" w:rsidRPr="00FD50F6" w:rsidRDefault="00BF2787">
      <w:pPr>
        <w:pStyle w:val="TOC2"/>
        <w:tabs>
          <w:tab w:val="right" w:leader="dot" w:pos="8302"/>
        </w:tabs>
        <w:rPr>
          <w:rFonts w:eastAsiaTheme="minorEastAsia"/>
          <w:smallCaps w:val="0"/>
          <w:noProof/>
          <w:sz w:val="21"/>
          <w:szCs w:val="24"/>
        </w:rPr>
      </w:pPr>
      <w:hyperlink w:anchor="_Toc112830798" w:history="1">
        <w:r w:rsidR="00D07F0F" w:rsidRPr="00FD50F6">
          <w:rPr>
            <w:rStyle w:val="afff1"/>
            <w:noProof/>
            <w:color w:val="auto"/>
            <w:lang w:bidi="en-US"/>
          </w:rPr>
          <w:t xml:space="preserve">20.1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_Toc112830798 \h </w:instrText>
        </w:r>
        <w:r w:rsidR="00D07F0F" w:rsidRPr="00FD50F6">
          <w:rPr>
            <w:noProof/>
            <w:webHidden/>
          </w:rPr>
        </w:r>
        <w:r w:rsidR="00D07F0F" w:rsidRPr="00FD50F6">
          <w:rPr>
            <w:noProof/>
            <w:webHidden/>
          </w:rPr>
          <w:fldChar w:fldCharType="separate"/>
        </w:r>
        <w:r>
          <w:rPr>
            <w:noProof/>
            <w:webHidden/>
          </w:rPr>
          <w:t>205</w:t>
        </w:r>
        <w:r w:rsidR="00D07F0F" w:rsidRPr="00FD50F6">
          <w:rPr>
            <w:noProof/>
            <w:webHidden/>
          </w:rPr>
          <w:fldChar w:fldCharType="end"/>
        </w:r>
      </w:hyperlink>
    </w:p>
    <w:p w14:paraId="0D3E682E" w14:textId="63A96F6F" w:rsidR="00D07F0F" w:rsidRPr="00FD50F6" w:rsidRDefault="00BF2787">
      <w:pPr>
        <w:pStyle w:val="TOC2"/>
        <w:tabs>
          <w:tab w:val="right" w:leader="dot" w:pos="8302"/>
        </w:tabs>
        <w:rPr>
          <w:rFonts w:eastAsiaTheme="minorEastAsia"/>
          <w:smallCaps w:val="0"/>
          <w:noProof/>
          <w:sz w:val="21"/>
          <w:szCs w:val="24"/>
        </w:rPr>
      </w:pPr>
      <w:hyperlink w:anchor="_Toc112830799" w:history="1">
        <w:r w:rsidR="00D07F0F" w:rsidRPr="00FD50F6">
          <w:rPr>
            <w:rStyle w:val="afff1"/>
            <w:noProof/>
            <w:color w:val="auto"/>
            <w:lang w:bidi="en-US"/>
          </w:rPr>
          <w:t xml:space="preserve">20.2 </w:t>
        </w:r>
        <w:r w:rsidR="00D07F0F" w:rsidRPr="00FD50F6">
          <w:rPr>
            <w:rStyle w:val="afff1"/>
            <w:noProof/>
            <w:color w:val="auto"/>
            <w:lang w:bidi="en-US"/>
          </w:rPr>
          <w:t>系统构成</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_Toc112830799 \h </w:instrText>
        </w:r>
        <w:r w:rsidR="00D07F0F" w:rsidRPr="00FD50F6">
          <w:rPr>
            <w:noProof/>
            <w:webHidden/>
          </w:rPr>
        </w:r>
        <w:r w:rsidR="00D07F0F" w:rsidRPr="00FD50F6">
          <w:rPr>
            <w:noProof/>
            <w:webHidden/>
          </w:rPr>
          <w:fldChar w:fldCharType="separate"/>
        </w:r>
        <w:r>
          <w:rPr>
            <w:noProof/>
            <w:webHidden/>
          </w:rPr>
          <w:t>205</w:t>
        </w:r>
        <w:r w:rsidR="00D07F0F" w:rsidRPr="00FD50F6">
          <w:rPr>
            <w:noProof/>
            <w:webHidden/>
          </w:rPr>
          <w:fldChar w:fldCharType="end"/>
        </w:r>
      </w:hyperlink>
    </w:p>
    <w:p w14:paraId="2E2F70D2" w14:textId="7D9F4AC1" w:rsidR="00D07F0F" w:rsidRPr="00FD50F6" w:rsidRDefault="00BF2787">
      <w:pPr>
        <w:pStyle w:val="TOC2"/>
        <w:tabs>
          <w:tab w:val="right" w:leader="dot" w:pos="8302"/>
        </w:tabs>
        <w:rPr>
          <w:rFonts w:eastAsiaTheme="minorEastAsia"/>
          <w:smallCaps w:val="0"/>
          <w:noProof/>
          <w:sz w:val="21"/>
          <w:szCs w:val="24"/>
        </w:rPr>
      </w:pPr>
      <w:hyperlink w:anchor="_Toc112830800" w:history="1">
        <w:r w:rsidR="00D07F0F" w:rsidRPr="00FD50F6">
          <w:rPr>
            <w:rStyle w:val="afff1"/>
            <w:noProof/>
            <w:color w:val="auto"/>
            <w:lang w:bidi="en-US"/>
          </w:rPr>
          <w:t xml:space="preserve">20.3 </w:t>
        </w:r>
        <w:r w:rsidR="00D07F0F" w:rsidRPr="00FD50F6">
          <w:rPr>
            <w:rStyle w:val="afff1"/>
            <w:noProof/>
            <w:color w:val="auto"/>
            <w:lang w:bidi="en-US"/>
          </w:rPr>
          <w:t>监控管理功能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_Toc112830800 \h </w:instrText>
        </w:r>
        <w:r w:rsidR="00D07F0F" w:rsidRPr="00FD50F6">
          <w:rPr>
            <w:noProof/>
            <w:webHidden/>
          </w:rPr>
        </w:r>
        <w:r w:rsidR="00D07F0F" w:rsidRPr="00FD50F6">
          <w:rPr>
            <w:noProof/>
            <w:webHidden/>
          </w:rPr>
          <w:fldChar w:fldCharType="separate"/>
        </w:r>
        <w:r>
          <w:rPr>
            <w:noProof/>
            <w:webHidden/>
          </w:rPr>
          <w:t>205</w:t>
        </w:r>
        <w:r w:rsidR="00D07F0F" w:rsidRPr="00FD50F6">
          <w:rPr>
            <w:noProof/>
            <w:webHidden/>
          </w:rPr>
          <w:fldChar w:fldCharType="end"/>
        </w:r>
      </w:hyperlink>
    </w:p>
    <w:p w14:paraId="6D080666" w14:textId="224E5F59" w:rsidR="00D07F0F" w:rsidRPr="00FD50F6" w:rsidRDefault="00BF2787">
      <w:pPr>
        <w:pStyle w:val="TOC2"/>
        <w:tabs>
          <w:tab w:val="right" w:leader="dot" w:pos="8302"/>
        </w:tabs>
        <w:rPr>
          <w:rFonts w:eastAsiaTheme="minorEastAsia"/>
          <w:smallCaps w:val="0"/>
          <w:noProof/>
          <w:sz w:val="21"/>
          <w:szCs w:val="24"/>
        </w:rPr>
      </w:pPr>
      <w:hyperlink w:anchor="_Toc112830801" w:history="1">
        <w:r w:rsidR="00D07F0F" w:rsidRPr="00FD50F6">
          <w:rPr>
            <w:rStyle w:val="afff1"/>
            <w:noProof/>
            <w:color w:val="auto"/>
            <w:lang w:bidi="en-US"/>
          </w:rPr>
          <w:t xml:space="preserve">20.4 </w:t>
        </w:r>
        <w:r w:rsidR="00D07F0F" w:rsidRPr="00FD50F6">
          <w:rPr>
            <w:rStyle w:val="afff1"/>
            <w:noProof/>
            <w:color w:val="auto"/>
            <w:lang w:bidi="en-US"/>
          </w:rPr>
          <w:t>消防控制</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_Toc112830801 \h </w:instrText>
        </w:r>
        <w:r w:rsidR="00D07F0F" w:rsidRPr="00FD50F6">
          <w:rPr>
            <w:noProof/>
            <w:webHidden/>
          </w:rPr>
        </w:r>
        <w:r w:rsidR="00D07F0F" w:rsidRPr="00FD50F6">
          <w:rPr>
            <w:noProof/>
            <w:webHidden/>
          </w:rPr>
          <w:fldChar w:fldCharType="separate"/>
        </w:r>
        <w:r>
          <w:rPr>
            <w:noProof/>
            <w:webHidden/>
          </w:rPr>
          <w:t>206</w:t>
        </w:r>
        <w:r w:rsidR="00D07F0F" w:rsidRPr="00FD50F6">
          <w:rPr>
            <w:noProof/>
            <w:webHidden/>
          </w:rPr>
          <w:fldChar w:fldCharType="end"/>
        </w:r>
      </w:hyperlink>
    </w:p>
    <w:p w14:paraId="67EA5649" w14:textId="02F81572" w:rsidR="00D07F0F" w:rsidRPr="00FD50F6" w:rsidRDefault="00BF2787">
      <w:pPr>
        <w:pStyle w:val="TOC2"/>
        <w:tabs>
          <w:tab w:val="right" w:leader="dot" w:pos="8302"/>
        </w:tabs>
        <w:rPr>
          <w:rFonts w:eastAsiaTheme="minorEastAsia"/>
          <w:smallCaps w:val="0"/>
          <w:noProof/>
          <w:sz w:val="21"/>
          <w:szCs w:val="24"/>
        </w:rPr>
      </w:pPr>
      <w:hyperlink w:anchor="_Toc112830802" w:history="1">
        <w:r w:rsidR="00D07F0F" w:rsidRPr="00FD50F6">
          <w:rPr>
            <w:rStyle w:val="afff1"/>
            <w:noProof/>
            <w:color w:val="auto"/>
            <w:lang w:bidi="en-US"/>
          </w:rPr>
          <w:t xml:space="preserve">20.5 </w:t>
        </w:r>
        <w:r w:rsidR="00D07F0F" w:rsidRPr="00FD50F6">
          <w:rPr>
            <w:rStyle w:val="afff1"/>
            <w:noProof/>
            <w:color w:val="auto"/>
            <w:lang w:bidi="en-US"/>
          </w:rPr>
          <w:t>火灾探测器与报警装置的设置</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_Toc112830802 \h </w:instrText>
        </w:r>
        <w:r w:rsidR="00D07F0F" w:rsidRPr="00FD50F6">
          <w:rPr>
            <w:noProof/>
            <w:webHidden/>
          </w:rPr>
        </w:r>
        <w:r w:rsidR="00D07F0F" w:rsidRPr="00FD50F6">
          <w:rPr>
            <w:noProof/>
            <w:webHidden/>
          </w:rPr>
          <w:fldChar w:fldCharType="separate"/>
        </w:r>
        <w:r>
          <w:rPr>
            <w:noProof/>
            <w:webHidden/>
          </w:rPr>
          <w:t>208</w:t>
        </w:r>
        <w:r w:rsidR="00D07F0F" w:rsidRPr="00FD50F6">
          <w:rPr>
            <w:noProof/>
            <w:webHidden/>
          </w:rPr>
          <w:fldChar w:fldCharType="end"/>
        </w:r>
      </w:hyperlink>
    </w:p>
    <w:p w14:paraId="23FD29A1" w14:textId="07C383F7" w:rsidR="00D07F0F" w:rsidRPr="00FD50F6" w:rsidRDefault="00BF2787">
      <w:pPr>
        <w:pStyle w:val="TOC2"/>
        <w:tabs>
          <w:tab w:val="right" w:leader="dot" w:pos="8302"/>
        </w:tabs>
        <w:rPr>
          <w:rFonts w:eastAsiaTheme="minorEastAsia"/>
          <w:smallCaps w:val="0"/>
          <w:noProof/>
          <w:sz w:val="21"/>
          <w:szCs w:val="24"/>
        </w:rPr>
      </w:pPr>
      <w:hyperlink w:anchor="_Toc112830803" w:history="1">
        <w:r w:rsidR="00D07F0F" w:rsidRPr="00FD50F6">
          <w:rPr>
            <w:rStyle w:val="afff1"/>
            <w:noProof/>
            <w:color w:val="auto"/>
            <w:lang w:bidi="en-US"/>
          </w:rPr>
          <w:t xml:space="preserve">20.6 </w:t>
        </w:r>
        <w:r w:rsidR="00D07F0F" w:rsidRPr="00FD50F6">
          <w:rPr>
            <w:rStyle w:val="afff1"/>
            <w:noProof/>
            <w:color w:val="auto"/>
            <w:lang w:bidi="en-US"/>
          </w:rPr>
          <w:t>消防控制室</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_Toc112830803 \h </w:instrText>
        </w:r>
        <w:r w:rsidR="00D07F0F" w:rsidRPr="00FD50F6">
          <w:rPr>
            <w:noProof/>
            <w:webHidden/>
          </w:rPr>
        </w:r>
        <w:r w:rsidR="00D07F0F" w:rsidRPr="00FD50F6">
          <w:rPr>
            <w:noProof/>
            <w:webHidden/>
          </w:rPr>
          <w:fldChar w:fldCharType="separate"/>
        </w:r>
        <w:r>
          <w:rPr>
            <w:noProof/>
            <w:webHidden/>
          </w:rPr>
          <w:t>209</w:t>
        </w:r>
        <w:r w:rsidR="00D07F0F" w:rsidRPr="00FD50F6">
          <w:rPr>
            <w:noProof/>
            <w:webHidden/>
          </w:rPr>
          <w:fldChar w:fldCharType="end"/>
        </w:r>
      </w:hyperlink>
    </w:p>
    <w:p w14:paraId="4232C9AC" w14:textId="0864C384" w:rsidR="00D07F0F" w:rsidRPr="00FD50F6" w:rsidRDefault="00BF2787">
      <w:pPr>
        <w:pStyle w:val="TOC2"/>
        <w:tabs>
          <w:tab w:val="right" w:leader="dot" w:pos="8302"/>
        </w:tabs>
        <w:rPr>
          <w:rFonts w:eastAsiaTheme="minorEastAsia"/>
          <w:smallCaps w:val="0"/>
          <w:noProof/>
          <w:sz w:val="21"/>
          <w:szCs w:val="24"/>
        </w:rPr>
      </w:pPr>
      <w:hyperlink w:anchor="_Toc112830804" w:history="1">
        <w:r w:rsidR="00D07F0F" w:rsidRPr="00FD50F6">
          <w:rPr>
            <w:rStyle w:val="afff1"/>
            <w:noProof/>
            <w:color w:val="auto"/>
            <w:lang w:bidi="en-US"/>
          </w:rPr>
          <w:t xml:space="preserve">20.7 </w:t>
        </w:r>
        <w:r w:rsidR="00D07F0F" w:rsidRPr="00FD50F6">
          <w:rPr>
            <w:rStyle w:val="afff1"/>
            <w:noProof/>
            <w:color w:val="auto"/>
            <w:lang w:bidi="en-US"/>
          </w:rPr>
          <w:t>供电与接地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_Toc112830804 \h </w:instrText>
        </w:r>
        <w:r w:rsidR="00D07F0F" w:rsidRPr="00FD50F6">
          <w:rPr>
            <w:noProof/>
            <w:webHidden/>
          </w:rPr>
        </w:r>
        <w:r w:rsidR="00D07F0F" w:rsidRPr="00FD50F6">
          <w:rPr>
            <w:noProof/>
            <w:webHidden/>
          </w:rPr>
          <w:fldChar w:fldCharType="separate"/>
        </w:r>
        <w:r>
          <w:rPr>
            <w:noProof/>
            <w:webHidden/>
          </w:rPr>
          <w:t>209</w:t>
        </w:r>
        <w:r w:rsidR="00D07F0F" w:rsidRPr="00FD50F6">
          <w:rPr>
            <w:noProof/>
            <w:webHidden/>
          </w:rPr>
          <w:fldChar w:fldCharType="end"/>
        </w:r>
      </w:hyperlink>
    </w:p>
    <w:p w14:paraId="316FB090" w14:textId="3E576D9E" w:rsidR="00D07F0F" w:rsidRPr="00FD50F6" w:rsidRDefault="00BF2787">
      <w:pPr>
        <w:pStyle w:val="TOC2"/>
        <w:tabs>
          <w:tab w:val="right" w:leader="dot" w:pos="8302"/>
        </w:tabs>
        <w:rPr>
          <w:rFonts w:eastAsiaTheme="minorEastAsia"/>
          <w:smallCaps w:val="0"/>
          <w:noProof/>
          <w:sz w:val="21"/>
          <w:szCs w:val="24"/>
        </w:rPr>
      </w:pPr>
      <w:hyperlink w:anchor="_Toc112830805" w:history="1">
        <w:r w:rsidR="00D07F0F" w:rsidRPr="00FD50F6">
          <w:rPr>
            <w:rStyle w:val="afff1"/>
            <w:noProof/>
            <w:color w:val="auto"/>
            <w:lang w:bidi="en-US"/>
          </w:rPr>
          <w:t xml:space="preserve">20.8 </w:t>
        </w:r>
        <w:r w:rsidR="00D07F0F" w:rsidRPr="00FD50F6">
          <w:rPr>
            <w:rStyle w:val="afff1"/>
            <w:noProof/>
            <w:color w:val="auto"/>
            <w:lang w:bidi="en-US"/>
          </w:rPr>
          <w:t>布</w:t>
        </w:r>
        <w:r w:rsidR="00D07F0F" w:rsidRPr="00FD50F6">
          <w:rPr>
            <w:rStyle w:val="afff1"/>
            <w:noProof/>
            <w:color w:val="auto"/>
            <w:lang w:bidi="en-US"/>
          </w:rPr>
          <w:t xml:space="preserve">  </w:t>
        </w:r>
        <w:r w:rsidR="00D07F0F" w:rsidRPr="00FD50F6">
          <w:rPr>
            <w:rStyle w:val="afff1"/>
            <w:noProof/>
            <w:color w:val="auto"/>
            <w:lang w:bidi="en-US"/>
          </w:rPr>
          <w:t>线</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_Toc112830805 \h </w:instrText>
        </w:r>
        <w:r w:rsidR="00D07F0F" w:rsidRPr="00FD50F6">
          <w:rPr>
            <w:noProof/>
            <w:webHidden/>
          </w:rPr>
        </w:r>
        <w:r w:rsidR="00D07F0F" w:rsidRPr="00FD50F6">
          <w:rPr>
            <w:noProof/>
            <w:webHidden/>
          </w:rPr>
          <w:fldChar w:fldCharType="separate"/>
        </w:r>
        <w:r>
          <w:rPr>
            <w:noProof/>
            <w:webHidden/>
          </w:rPr>
          <w:t>210</w:t>
        </w:r>
        <w:r w:rsidR="00D07F0F" w:rsidRPr="00FD50F6">
          <w:rPr>
            <w:noProof/>
            <w:webHidden/>
          </w:rPr>
          <w:fldChar w:fldCharType="end"/>
        </w:r>
      </w:hyperlink>
    </w:p>
    <w:p w14:paraId="24D55F6D" w14:textId="35F28547" w:rsidR="00D07F0F" w:rsidRPr="00FD50F6" w:rsidRDefault="00BF2787">
      <w:pPr>
        <w:pStyle w:val="TOC1"/>
        <w:tabs>
          <w:tab w:val="right" w:leader="dot" w:pos="8302"/>
        </w:tabs>
        <w:rPr>
          <w:rFonts w:eastAsiaTheme="minorEastAsia"/>
          <w:b w:val="0"/>
          <w:bCs w:val="0"/>
          <w:caps w:val="0"/>
          <w:noProof/>
          <w:sz w:val="21"/>
          <w:szCs w:val="24"/>
        </w:rPr>
      </w:pPr>
      <w:hyperlink w:anchor="_Toc112830806" w:history="1">
        <w:r w:rsidR="00D07F0F" w:rsidRPr="00FD50F6">
          <w:rPr>
            <w:rStyle w:val="afff1"/>
            <w:noProof/>
            <w:color w:val="auto"/>
          </w:rPr>
          <w:t xml:space="preserve">21 </w:t>
        </w:r>
        <w:r w:rsidR="00D07F0F" w:rsidRPr="00FD50F6">
          <w:rPr>
            <w:rStyle w:val="afff1"/>
            <w:noProof/>
            <w:color w:val="auto"/>
          </w:rPr>
          <w:t>综合监控系统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_Toc112830806 \h </w:instrText>
        </w:r>
        <w:r w:rsidR="00D07F0F" w:rsidRPr="00FD50F6">
          <w:rPr>
            <w:noProof/>
            <w:webHidden/>
          </w:rPr>
        </w:r>
        <w:r w:rsidR="00D07F0F" w:rsidRPr="00FD50F6">
          <w:rPr>
            <w:noProof/>
            <w:webHidden/>
          </w:rPr>
          <w:fldChar w:fldCharType="separate"/>
        </w:r>
        <w:r>
          <w:rPr>
            <w:noProof/>
            <w:webHidden/>
          </w:rPr>
          <w:t>212</w:t>
        </w:r>
        <w:r w:rsidR="00D07F0F" w:rsidRPr="00FD50F6">
          <w:rPr>
            <w:noProof/>
            <w:webHidden/>
          </w:rPr>
          <w:fldChar w:fldCharType="end"/>
        </w:r>
      </w:hyperlink>
    </w:p>
    <w:p w14:paraId="28BAADA5" w14:textId="13359EC0" w:rsidR="00D07F0F" w:rsidRPr="00FD50F6" w:rsidRDefault="00BF2787">
      <w:pPr>
        <w:pStyle w:val="TOC2"/>
        <w:tabs>
          <w:tab w:val="right" w:leader="dot" w:pos="8302"/>
        </w:tabs>
        <w:rPr>
          <w:rFonts w:eastAsiaTheme="minorEastAsia"/>
          <w:smallCaps w:val="0"/>
          <w:noProof/>
          <w:sz w:val="21"/>
          <w:szCs w:val="24"/>
        </w:rPr>
      </w:pPr>
      <w:hyperlink w:anchor="_Toc112830807" w:history="1">
        <w:r w:rsidR="00D07F0F" w:rsidRPr="00FD50F6">
          <w:rPr>
            <w:rStyle w:val="afff1"/>
            <w:noProof/>
            <w:color w:val="auto"/>
            <w:lang w:bidi="en-US"/>
          </w:rPr>
          <w:t xml:space="preserve">21.1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_Toc112830807 \h </w:instrText>
        </w:r>
        <w:r w:rsidR="00D07F0F" w:rsidRPr="00FD50F6">
          <w:rPr>
            <w:noProof/>
            <w:webHidden/>
          </w:rPr>
        </w:r>
        <w:r w:rsidR="00D07F0F" w:rsidRPr="00FD50F6">
          <w:rPr>
            <w:noProof/>
            <w:webHidden/>
          </w:rPr>
          <w:fldChar w:fldCharType="separate"/>
        </w:r>
        <w:r>
          <w:rPr>
            <w:noProof/>
            <w:webHidden/>
          </w:rPr>
          <w:t>212</w:t>
        </w:r>
        <w:r w:rsidR="00D07F0F" w:rsidRPr="00FD50F6">
          <w:rPr>
            <w:noProof/>
            <w:webHidden/>
          </w:rPr>
          <w:fldChar w:fldCharType="end"/>
        </w:r>
      </w:hyperlink>
    </w:p>
    <w:p w14:paraId="1CA44CA4" w14:textId="2D2F0D81" w:rsidR="00D07F0F" w:rsidRPr="00FD50F6" w:rsidRDefault="00BF2787">
      <w:pPr>
        <w:pStyle w:val="TOC2"/>
        <w:tabs>
          <w:tab w:val="right" w:leader="dot" w:pos="8302"/>
        </w:tabs>
        <w:rPr>
          <w:rFonts w:eastAsiaTheme="minorEastAsia"/>
          <w:smallCaps w:val="0"/>
          <w:noProof/>
          <w:sz w:val="21"/>
          <w:szCs w:val="24"/>
        </w:rPr>
      </w:pPr>
      <w:hyperlink w:anchor="_Toc112830808" w:history="1">
        <w:r w:rsidR="00D07F0F" w:rsidRPr="00FD50F6">
          <w:rPr>
            <w:rStyle w:val="afff1"/>
            <w:noProof/>
            <w:color w:val="auto"/>
            <w:lang w:bidi="en-US"/>
          </w:rPr>
          <w:t xml:space="preserve">21.2 </w:t>
        </w:r>
        <w:r w:rsidR="00D07F0F" w:rsidRPr="00FD50F6">
          <w:rPr>
            <w:rStyle w:val="afff1"/>
            <w:noProof/>
            <w:color w:val="auto"/>
            <w:lang w:bidi="en-US"/>
          </w:rPr>
          <w:t>系统架构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_Toc112830808 \h </w:instrText>
        </w:r>
        <w:r w:rsidR="00D07F0F" w:rsidRPr="00FD50F6">
          <w:rPr>
            <w:noProof/>
            <w:webHidden/>
          </w:rPr>
        </w:r>
        <w:r w:rsidR="00D07F0F" w:rsidRPr="00FD50F6">
          <w:rPr>
            <w:noProof/>
            <w:webHidden/>
          </w:rPr>
          <w:fldChar w:fldCharType="separate"/>
        </w:r>
        <w:r>
          <w:rPr>
            <w:noProof/>
            <w:webHidden/>
          </w:rPr>
          <w:t>212</w:t>
        </w:r>
        <w:r w:rsidR="00D07F0F" w:rsidRPr="00FD50F6">
          <w:rPr>
            <w:noProof/>
            <w:webHidden/>
          </w:rPr>
          <w:fldChar w:fldCharType="end"/>
        </w:r>
      </w:hyperlink>
    </w:p>
    <w:p w14:paraId="661CDDCF" w14:textId="22F51B92" w:rsidR="00D07F0F" w:rsidRPr="00FD50F6" w:rsidRDefault="00BF2787">
      <w:pPr>
        <w:pStyle w:val="TOC2"/>
        <w:tabs>
          <w:tab w:val="right" w:leader="dot" w:pos="8302"/>
        </w:tabs>
        <w:rPr>
          <w:rFonts w:eastAsiaTheme="minorEastAsia"/>
          <w:smallCaps w:val="0"/>
          <w:noProof/>
          <w:sz w:val="21"/>
          <w:szCs w:val="24"/>
        </w:rPr>
      </w:pPr>
      <w:hyperlink w:anchor="_Toc112830809" w:history="1">
        <w:r w:rsidR="00D07F0F" w:rsidRPr="00FD50F6">
          <w:rPr>
            <w:rStyle w:val="afff1"/>
            <w:noProof/>
            <w:color w:val="auto"/>
            <w:lang w:bidi="en-US"/>
          </w:rPr>
          <w:t xml:space="preserve">21.3 </w:t>
        </w:r>
        <w:r w:rsidR="00D07F0F" w:rsidRPr="00FD50F6">
          <w:rPr>
            <w:rStyle w:val="afff1"/>
            <w:noProof/>
            <w:color w:val="auto"/>
            <w:lang w:bidi="en-US"/>
          </w:rPr>
          <w:t>系统基本功能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_Toc112830809 \h </w:instrText>
        </w:r>
        <w:r w:rsidR="00D07F0F" w:rsidRPr="00FD50F6">
          <w:rPr>
            <w:noProof/>
            <w:webHidden/>
          </w:rPr>
        </w:r>
        <w:r w:rsidR="00D07F0F" w:rsidRPr="00FD50F6">
          <w:rPr>
            <w:noProof/>
            <w:webHidden/>
          </w:rPr>
          <w:fldChar w:fldCharType="separate"/>
        </w:r>
        <w:r>
          <w:rPr>
            <w:noProof/>
            <w:webHidden/>
          </w:rPr>
          <w:t>212</w:t>
        </w:r>
        <w:r w:rsidR="00D07F0F" w:rsidRPr="00FD50F6">
          <w:rPr>
            <w:noProof/>
            <w:webHidden/>
          </w:rPr>
          <w:fldChar w:fldCharType="end"/>
        </w:r>
      </w:hyperlink>
    </w:p>
    <w:p w14:paraId="7C762ACF" w14:textId="25D892D1" w:rsidR="00D07F0F" w:rsidRPr="00FD50F6" w:rsidRDefault="00BF2787">
      <w:pPr>
        <w:pStyle w:val="TOC2"/>
        <w:tabs>
          <w:tab w:val="right" w:leader="dot" w:pos="8302"/>
        </w:tabs>
        <w:rPr>
          <w:rFonts w:eastAsiaTheme="minorEastAsia"/>
          <w:smallCaps w:val="0"/>
          <w:noProof/>
          <w:sz w:val="21"/>
          <w:szCs w:val="24"/>
        </w:rPr>
      </w:pPr>
      <w:hyperlink w:anchor="_Toc112830810" w:history="1">
        <w:r w:rsidR="00D07F0F" w:rsidRPr="00FD50F6">
          <w:rPr>
            <w:rStyle w:val="afff1"/>
            <w:noProof/>
            <w:color w:val="auto"/>
            <w:lang w:bidi="en-US"/>
          </w:rPr>
          <w:t xml:space="preserve">21.4 </w:t>
        </w:r>
        <w:r w:rsidR="00D07F0F" w:rsidRPr="00FD50F6">
          <w:rPr>
            <w:rStyle w:val="afff1"/>
            <w:noProof/>
            <w:color w:val="auto"/>
            <w:lang w:bidi="en-US"/>
          </w:rPr>
          <w:t>硬件基本要求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_Toc112830810 \h </w:instrText>
        </w:r>
        <w:r w:rsidR="00D07F0F" w:rsidRPr="00FD50F6">
          <w:rPr>
            <w:noProof/>
            <w:webHidden/>
          </w:rPr>
        </w:r>
        <w:r w:rsidR="00D07F0F" w:rsidRPr="00FD50F6">
          <w:rPr>
            <w:noProof/>
            <w:webHidden/>
          </w:rPr>
          <w:fldChar w:fldCharType="separate"/>
        </w:r>
        <w:r>
          <w:rPr>
            <w:noProof/>
            <w:webHidden/>
          </w:rPr>
          <w:t>215</w:t>
        </w:r>
        <w:r w:rsidR="00D07F0F" w:rsidRPr="00FD50F6">
          <w:rPr>
            <w:noProof/>
            <w:webHidden/>
          </w:rPr>
          <w:fldChar w:fldCharType="end"/>
        </w:r>
      </w:hyperlink>
    </w:p>
    <w:p w14:paraId="5C553485" w14:textId="0F5459FF" w:rsidR="00D07F0F" w:rsidRPr="00FD50F6" w:rsidRDefault="00BF2787">
      <w:pPr>
        <w:pStyle w:val="TOC2"/>
        <w:tabs>
          <w:tab w:val="right" w:leader="dot" w:pos="8302"/>
        </w:tabs>
        <w:rPr>
          <w:rFonts w:eastAsiaTheme="minorEastAsia"/>
          <w:smallCaps w:val="0"/>
          <w:noProof/>
          <w:sz w:val="21"/>
          <w:szCs w:val="24"/>
        </w:rPr>
      </w:pPr>
      <w:hyperlink w:anchor="_Toc112830811" w:history="1">
        <w:r w:rsidR="00D07F0F" w:rsidRPr="00FD50F6">
          <w:rPr>
            <w:rStyle w:val="afff1"/>
            <w:noProof/>
            <w:color w:val="auto"/>
            <w:lang w:bidi="en-US"/>
          </w:rPr>
          <w:t xml:space="preserve">21.5 </w:t>
        </w:r>
        <w:r w:rsidR="00D07F0F" w:rsidRPr="00FD50F6">
          <w:rPr>
            <w:rStyle w:val="afff1"/>
            <w:noProof/>
            <w:color w:val="auto"/>
            <w:lang w:bidi="en-US"/>
          </w:rPr>
          <w:t>软件基本要求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_Toc112830811 \h </w:instrText>
        </w:r>
        <w:r w:rsidR="00D07F0F" w:rsidRPr="00FD50F6">
          <w:rPr>
            <w:noProof/>
            <w:webHidden/>
          </w:rPr>
        </w:r>
        <w:r w:rsidR="00D07F0F" w:rsidRPr="00FD50F6">
          <w:rPr>
            <w:noProof/>
            <w:webHidden/>
          </w:rPr>
          <w:fldChar w:fldCharType="separate"/>
        </w:r>
        <w:r>
          <w:rPr>
            <w:noProof/>
            <w:webHidden/>
          </w:rPr>
          <w:t>215</w:t>
        </w:r>
        <w:r w:rsidR="00D07F0F" w:rsidRPr="00FD50F6">
          <w:rPr>
            <w:noProof/>
            <w:webHidden/>
          </w:rPr>
          <w:fldChar w:fldCharType="end"/>
        </w:r>
      </w:hyperlink>
    </w:p>
    <w:p w14:paraId="4BCCACC1" w14:textId="443C061D" w:rsidR="00D07F0F" w:rsidRPr="00FD50F6" w:rsidRDefault="00BF2787">
      <w:pPr>
        <w:pStyle w:val="TOC2"/>
        <w:tabs>
          <w:tab w:val="right" w:leader="dot" w:pos="8302"/>
        </w:tabs>
        <w:rPr>
          <w:rFonts w:eastAsiaTheme="minorEastAsia"/>
          <w:smallCaps w:val="0"/>
          <w:noProof/>
          <w:sz w:val="21"/>
          <w:szCs w:val="24"/>
        </w:rPr>
      </w:pPr>
      <w:hyperlink w:anchor="_Toc112830812" w:history="1">
        <w:r w:rsidR="00D07F0F" w:rsidRPr="00FD50F6">
          <w:rPr>
            <w:rStyle w:val="afff1"/>
            <w:noProof/>
            <w:color w:val="auto"/>
            <w:lang w:bidi="en-US"/>
          </w:rPr>
          <w:t xml:space="preserve">21.6 </w:t>
        </w:r>
        <w:r w:rsidR="00D07F0F" w:rsidRPr="00FD50F6">
          <w:rPr>
            <w:rStyle w:val="afff1"/>
            <w:noProof/>
            <w:color w:val="auto"/>
            <w:lang w:bidi="en-US"/>
          </w:rPr>
          <w:t>系统网络基本要求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_Toc112830812 \h </w:instrText>
        </w:r>
        <w:r w:rsidR="00D07F0F" w:rsidRPr="00FD50F6">
          <w:rPr>
            <w:noProof/>
            <w:webHidden/>
          </w:rPr>
        </w:r>
        <w:r w:rsidR="00D07F0F" w:rsidRPr="00FD50F6">
          <w:rPr>
            <w:noProof/>
            <w:webHidden/>
          </w:rPr>
          <w:fldChar w:fldCharType="separate"/>
        </w:r>
        <w:r>
          <w:rPr>
            <w:noProof/>
            <w:webHidden/>
          </w:rPr>
          <w:t>216</w:t>
        </w:r>
        <w:r w:rsidR="00D07F0F" w:rsidRPr="00FD50F6">
          <w:rPr>
            <w:noProof/>
            <w:webHidden/>
          </w:rPr>
          <w:fldChar w:fldCharType="end"/>
        </w:r>
      </w:hyperlink>
    </w:p>
    <w:p w14:paraId="060C4B2C" w14:textId="5C1B6B9F" w:rsidR="00D07F0F" w:rsidRPr="00FD50F6" w:rsidRDefault="00BF2787">
      <w:pPr>
        <w:pStyle w:val="TOC2"/>
        <w:tabs>
          <w:tab w:val="right" w:leader="dot" w:pos="8302"/>
        </w:tabs>
        <w:rPr>
          <w:rFonts w:eastAsiaTheme="minorEastAsia"/>
          <w:smallCaps w:val="0"/>
          <w:noProof/>
          <w:sz w:val="21"/>
          <w:szCs w:val="24"/>
        </w:rPr>
      </w:pPr>
      <w:hyperlink w:anchor="_Toc112830813" w:history="1">
        <w:r w:rsidR="00D07F0F" w:rsidRPr="00FD50F6">
          <w:rPr>
            <w:rStyle w:val="afff1"/>
            <w:noProof/>
            <w:color w:val="auto"/>
            <w:lang w:bidi="en-US"/>
          </w:rPr>
          <w:t xml:space="preserve">21.7 </w:t>
        </w:r>
        <w:r w:rsidR="00D07F0F" w:rsidRPr="00FD50F6">
          <w:rPr>
            <w:rStyle w:val="afff1"/>
            <w:noProof/>
            <w:color w:val="auto"/>
            <w:lang w:bidi="en-US"/>
          </w:rPr>
          <w:t>系统性能指标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_Toc112830813 \h </w:instrText>
        </w:r>
        <w:r w:rsidR="00D07F0F" w:rsidRPr="00FD50F6">
          <w:rPr>
            <w:noProof/>
            <w:webHidden/>
          </w:rPr>
        </w:r>
        <w:r w:rsidR="00D07F0F" w:rsidRPr="00FD50F6">
          <w:rPr>
            <w:noProof/>
            <w:webHidden/>
          </w:rPr>
          <w:fldChar w:fldCharType="separate"/>
        </w:r>
        <w:r>
          <w:rPr>
            <w:noProof/>
            <w:webHidden/>
          </w:rPr>
          <w:t>216</w:t>
        </w:r>
        <w:r w:rsidR="00D07F0F" w:rsidRPr="00FD50F6">
          <w:rPr>
            <w:noProof/>
            <w:webHidden/>
          </w:rPr>
          <w:fldChar w:fldCharType="end"/>
        </w:r>
      </w:hyperlink>
    </w:p>
    <w:p w14:paraId="20AC8F68" w14:textId="50FABB77" w:rsidR="00D07F0F" w:rsidRPr="00FD50F6" w:rsidRDefault="00BF2787">
      <w:pPr>
        <w:pStyle w:val="TOC2"/>
        <w:tabs>
          <w:tab w:val="right" w:leader="dot" w:pos="8302"/>
        </w:tabs>
        <w:rPr>
          <w:rFonts w:eastAsiaTheme="minorEastAsia"/>
          <w:smallCaps w:val="0"/>
          <w:noProof/>
          <w:sz w:val="21"/>
          <w:szCs w:val="24"/>
        </w:rPr>
      </w:pPr>
      <w:hyperlink w:anchor="_Toc112830814" w:history="1">
        <w:r w:rsidR="00D07F0F" w:rsidRPr="00FD50F6">
          <w:rPr>
            <w:rStyle w:val="afff1"/>
            <w:noProof/>
            <w:color w:val="auto"/>
            <w:lang w:bidi="en-US"/>
          </w:rPr>
          <w:t xml:space="preserve">21.8 </w:t>
        </w:r>
        <w:r w:rsidR="00D07F0F" w:rsidRPr="00FD50F6">
          <w:rPr>
            <w:rStyle w:val="afff1"/>
            <w:noProof/>
            <w:color w:val="auto"/>
            <w:lang w:bidi="en-US"/>
          </w:rPr>
          <w:t>供电、防雷及接地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_Toc112830814 \h </w:instrText>
        </w:r>
        <w:r w:rsidR="00D07F0F" w:rsidRPr="00FD50F6">
          <w:rPr>
            <w:noProof/>
            <w:webHidden/>
          </w:rPr>
        </w:r>
        <w:r w:rsidR="00D07F0F" w:rsidRPr="00FD50F6">
          <w:rPr>
            <w:noProof/>
            <w:webHidden/>
          </w:rPr>
          <w:fldChar w:fldCharType="separate"/>
        </w:r>
        <w:r>
          <w:rPr>
            <w:noProof/>
            <w:webHidden/>
          </w:rPr>
          <w:t>216</w:t>
        </w:r>
        <w:r w:rsidR="00D07F0F" w:rsidRPr="00FD50F6">
          <w:rPr>
            <w:noProof/>
            <w:webHidden/>
          </w:rPr>
          <w:fldChar w:fldCharType="end"/>
        </w:r>
      </w:hyperlink>
    </w:p>
    <w:p w14:paraId="17065A02" w14:textId="3AD2B66D" w:rsidR="00D07F0F" w:rsidRPr="00FD50F6" w:rsidRDefault="00BF2787">
      <w:pPr>
        <w:pStyle w:val="TOC2"/>
        <w:tabs>
          <w:tab w:val="right" w:leader="dot" w:pos="8302"/>
        </w:tabs>
        <w:rPr>
          <w:rFonts w:eastAsiaTheme="minorEastAsia"/>
          <w:smallCaps w:val="0"/>
          <w:noProof/>
          <w:sz w:val="21"/>
          <w:szCs w:val="24"/>
        </w:rPr>
      </w:pPr>
      <w:hyperlink w:anchor="_Toc112830815" w:history="1">
        <w:r w:rsidR="00D07F0F" w:rsidRPr="00FD50F6">
          <w:rPr>
            <w:rStyle w:val="afff1"/>
            <w:noProof/>
            <w:color w:val="auto"/>
            <w:lang w:bidi="en-US"/>
          </w:rPr>
          <w:t xml:space="preserve">21.9 </w:t>
        </w:r>
        <w:r w:rsidR="00D07F0F" w:rsidRPr="00FD50F6">
          <w:rPr>
            <w:rStyle w:val="afff1"/>
            <w:noProof/>
            <w:color w:val="auto"/>
            <w:lang w:bidi="en-US"/>
          </w:rPr>
          <w:t>布线要求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_Toc112830815 \h </w:instrText>
        </w:r>
        <w:r w:rsidR="00D07F0F" w:rsidRPr="00FD50F6">
          <w:rPr>
            <w:noProof/>
            <w:webHidden/>
          </w:rPr>
        </w:r>
        <w:r w:rsidR="00D07F0F" w:rsidRPr="00FD50F6">
          <w:rPr>
            <w:noProof/>
            <w:webHidden/>
          </w:rPr>
          <w:fldChar w:fldCharType="separate"/>
        </w:r>
        <w:r>
          <w:rPr>
            <w:noProof/>
            <w:webHidden/>
          </w:rPr>
          <w:t>217</w:t>
        </w:r>
        <w:r w:rsidR="00D07F0F" w:rsidRPr="00FD50F6">
          <w:rPr>
            <w:noProof/>
            <w:webHidden/>
          </w:rPr>
          <w:fldChar w:fldCharType="end"/>
        </w:r>
      </w:hyperlink>
    </w:p>
    <w:p w14:paraId="69B7AE4E" w14:textId="50EE50F9" w:rsidR="00D07F0F" w:rsidRPr="00FD50F6" w:rsidRDefault="00BF2787">
      <w:pPr>
        <w:pStyle w:val="TOC1"/>
        <w:tabs>
          <w:tab w:val="right" w:leader="dot" w:pos="8302"/>
        </w:tabs>
        <w:rPr>
          <w:rFonts w:eastAsiaTheme="minorEastAsia"/>
          <w:b w:val="0"/>
          <w:bCs w:val="0"/>
          <w:caps w:val="0"/>
          <w:noProof/>
          <w:sz w:val="21"/>
          <w:szCs w:val="24"/>
        </w:rPr>
      </w:pPr>
      <w:hyperlink w:anchor="_Toc112830816" w:history="1">
        <w:r w:rsidR="00D07F0F" w:rsidRPr="00FD50F6">
          <w:rPr>
            <w:rStyle w:val="afff1"/>
            <w:noProof/>
            <w:color w:val="auto"/>
          </w:rPr>
          <w:t xml:space="preserve">22 </w:t>
        </w:r>
        <w:r w:rsidR="00D07F0F" w:rsidRPr="00FD50F6">
          <w:rPr>
            <w:rStyle w:val="afff1"/>
            <w:noProof/>
            <w:color w:val="auto"/>
          </w:rPr>
          <w:t>环境与设备监控系统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_Toc112830816 \h </w:instrText>
        </w:r>
        <w:r w:rsidR="00D07F0F" w:rsidRPr="00FD50F6">
          <w:rPr>
            <w:noProof/>
            <w:webHidden/>
          </w:rPr>
        </w:r>
        <w:r w:rsidR="00D07F0F" w:rsidRPr="00FD50F6">
          <w:rPr>
            <w:noProof/>
            <w:webHidden/>
          </w:rPr>
          <w:fldChar w:fldCharType="separate"/>
        </w:r>
        <w:r>
          <w:rPr>
            <w:noProof/>
            <w:webHidden/>
          </w:rPr>
          <w:t>218</w:t>
        </w:r>
        <w:r w:rsidR="00D07F0F" w:rsidRPr="00FD50F6">
          <w:rPr>
            <w:noProof/>
            <w:webHidden/>
          </w:rPr>
          <w:fldChar w:fldCharType="end"/>
        </w:r>
      </w:hyperlink>
    </w:p>
    <w:p w14:paraId="46A6CD4A" w14:textId="1E1B805B" w:rsidR="00D07F0F" w:rsidRPr="00FD50F6" w:rsidRDefault="00BF2787">
      <w:pPr>
        <w:pStyle w:val="TOC2"/>
        <w:tabs>
          <w:tab w:val="right" w:leader="dot" w:pos="8302"/>
        </w:tabs>
        <w:rPr>
          <w:rFonts w:eastAsiaTheme="minorEastAsia"/>
          <w:smallCaps w:val="0"/>
          <w:noProof/>
          <w:sz w:val="21"/>
          <w:szCs w:val="24"/>
        </w:rPr>
      </w:pPr>
      <w:hyperlink w:anchor="_Toc112830817" w:history="1">
        <w:r w:rsidR="00D07F0F" w:rsidRPr="00FD50F6">
          <w:rPr>
            <w:rStyle w:val="afff1"/>
            <w:noProof/>
            <w:color w:val="auto"/>
            <w:lang w:bidi="en-US"/>
          </w:rPr>
          <w:t xml:space="preserve">22.1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_Toc112830817 \h </w:instrText>
        </w:r>
        <w:r w:rsidR="00D07F0F" w:rsidRPr="00FD50F6">
          <w:rPr>
            <w:noProof/>
            <w:webHidden/>
          </w:rPr>
        </w:r>
        <w:r w:rsidR="00D07F0F" w:rsidRPr="00FD50F6">
          <w:rPr>
            <w:noProof/>
            <w:webHidden/>
          </w:rPr>
          <w:fldChar w:fldCharType="separate"/>
        </w:r>
        <w:r>
          <w:rPr>
            <w:noProof/>
            <w:webHidden/>
          </w:rPr>
          <w:t>218</w:t>
        </w:r>
        <w:r w:rsidR="00D07F0F" w:rsidRPr="00FD50F6">
          <w:rPr>
            <w:noProof/>
            <w:webHidden/>
          </w:rPr>
          <w:fldChar w:fldCharType="end"/>
        </w:r>
      </w:hyperlink>
    </w:p>
    <w:p w14:paraId="081E5964" w14:textId="51510C1E" w:rsidR="00D07F0F" w:rsidRPr="00FD50F6" w:rsidRDefault="00BF2787">
      <w:pPr>
        <w:pStyle w:val="TOC2"/>
        <w:tabs>
          <w:tab w:val="right" w:leader="dot" w:pos="8302"/>
        </w:tabs>
        <w:rPr>
          <w:rFonts w:eastAsiaTheme="minorEastAsia"/>
          <w:smallCaps w:val="0"/>
          <w:noProof/>
          <w:sz w:val="21"/>
          <w:szCs w:val="24"/>
        </w:rPr>
      </w:pPr>
      <w:hyperlink w:anchor="_Toc112830818" w:history="1">
        <w:r w:rsidR="00D07F0F" w:rsidRPr="00FD50F6">
          <w:rPr>
            <w:rStyle w:val="afff1"/>
            <w:noProof/>
            <w:color w:val="auto"/>
            <w:lang w:bidi="en-US"/>
          </w:rPr>
          <w:t xml:space="preserve">22.2 </w:t>
        </w:r>
        <w:r w:rsidR="00D07F0F" w:rsidRPr="00FD50F6">
          <w:rPr>
            <w:rStyle w:val="afff1"/>
            <w:noProof/>
            <w:color w:val="auto"/>
            <w:lang w:bidi="en-US"/>
          </w:rPr>
          <w:t>系统设置原则</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_Toc112830818 \h </w:instrText>
        </w:r>
        <w:r w:rsidR="00D07F0F" w:rsidRPr="00FD50F6">
          <w:rPr>
            <w:noProof/>
            <w:webHidden/>
          </w:rPr>
        </w:r>
        <w:r w:rsidR="00D07F0F" w:rsidRPr="00FD50F6">
          <w:rPr>
            <w:noProof/>
            <w:webHidden/>
          </w:rPr>
          <w:fldChar w:fldCharType="separate"/>
        </w:r>
        <w:r>
          <w:rPr>
            <w:noProof/>
            <w:webHidden/>
          </w:rPr>
          <w:t>218</w:t>
        </w:r>
        <w:r w:rsidR="00D07F0F" w:rsidRPr="00FD50F6">
          <w:rPr>
            <w:noProof/>
            <w:webHidden/>
          </w:rPr>
          <w:fldChar w:fldCharType="end"/>
        </w:r>
      </w:hyperlink>
    </w:p>
    <w:p w14:paraId="0F580C13" w14:textId="26076834" w:rsidR="00D07F0F" w:rsidRPr="00FD50F6" w:rsidRDefault="00BF2787">
      <w:pPr>
        <w:pStyle w:val="TOC2"/>
        <w:tabs>
          <w:tab w:val="right" w:leader="dot" w:pos="8302"/>
        </w:tabs>
        <w:rPr>
          <w:rFonts w:eastAsiaTheme="minorEastAsia"/>
          <w:smallCaps w:val="0"/>
          <w:noProof/>
          <w:sz w:val="21"/>
          <w:szCs w:val="24"/>
        </w:rPr>
      </w:pPr>
      <w:hyperlink w:anchor="_Toc112830819" w:history="1">
        <w:r w:rsidR="00D07F0F" w:rsidRPr="00FD50F6">
          <w:rPr>
            <w:rStyle w:val="afff1"/>
            <w:noProof/>
            <w:color w:val="auto"/>
            <w:lang w:bidi="en-US"/>
          </w:rPr>
          <w:t xml:space="preserve">22.3 </w:t>
        </w:r>
        <w:r w:rsidR="00D07F0F" w:rsidRPr="00FD50F6">
          <w:rPr>
            <w:rStyle w:val="afff1"/>
            <w:noProof/>
            <w:color w:val="auto"/>
            <w:lang w:bidi="en-US"/>
          </w:rPr>
          <w:t>系统基本功能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_Toc112830819 \h </w:instrText>
        </w:r>
        <w:r w:rsidR="00D07F0F" w:rsidRPr="00FD50F6">
          <w:rPr>
            <w:noProof/>
            <w:webHidden/>
          </w:rPr>
        </w:r>
        <w:r w:rsidR="00D07F0F" w:rsidRPr="00FD50F6">
          <w:rPr>
            <w:noProof/>
            <w:webHidden/>
          </w:rPr>
          <w:fldChar w:fldCharType="separate"/>
        </w:r>
        <w:r>
          <w:rPr>
            <w:noProof/>
            <w:webHidden/>
          </w:rPr>
          <w:t>219</w:t>
        </w:r>
        <w:r w:rsidR="00D07F0F" w:rsidRPr="00FD50F6">
          <w:rPr>
            <w:noProof/>
            <w:webHidden/>
          </w:rPr>
          <w:fldChar w:fldCharType="end"/>
        </w:r>
      </w:hyperlink>
    </w:p>
    <w:p w14:paraId="3FD3F7F7" w14:textId="6CE9BB7E" w:rsidR="00D07F0F" w:rsidRPr="00FD50F6" w:rsidRDefault="00BF2787">
      <w:pPr>
        <w:pStyle w:val="TOC2"/>
        <w:tabs>
          <w:tab w:val="right" w:leader="dot" w:pos="8302"/>
        </w:tabs>
        <w:rPr>
          <w:rFonts w:eastAsiaTheme="minorEastAsia"/>
          <w:smallCaps w:val="0"/>
          <w:noProof/>
          <w:sz w:val="21"/>
          <w:szCs w:val="24"/>
        </w:rPr>
      </w:pPr>
      <w:hyperlink w:anchor="_Toc112830820" w:history="1">
        <w:r w:rsidR="00D07F0F" w:rsidRPr="00FD50F6">
          <w:rPr>
            <w:rStyle w:val="afff1"/>
            <w:noProof/>
            <w:color w:val="auto"/>
            <w:lang w:bidi="en-US"/>
          </w:rPr>
          <w:t xml:space="preserve">22.4 </w:t>
        </w:r>
        <w:r w:rsidR="00D07F0F" w:rsidRPr="00FD50F6">
          <w:rPr>
            <w:rStyle w:val="afff1"/>
            <w:noProof/>
            <w:color w:val="auto"/>
            <w:lang w:bidi="en-US"/>
          </w:rPr>
          <w:t>系统硬件配置要求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_Toc112830820 \h </w:instrText>
        </w:r>
        <w:r w:rsidR="00D07F0F" w:rsidRPr="00FD50F6">
          <w:rPr>
            <w:noProof/>
            <w:webHidden/>
          </w:rPr>
        </w:r>
        <w:r w:rsidR="00D07F0F" w:rsidRPr="00FD50F6">
          <w:rPr>
            <w:noProof/>
            <w:webHidden/>
          </w:rPr>
          <w:fldChar w:fldCharType="separate"/>
        </w:r>
        <w:r>
          <w:rPr>
            <w:noProof/>
            <w:webHidden/>
          </w:rPr>
          <w:t>221</w:t>
        </w:r>
        <w:r w:rsidR="00D07F0F" w:rsidRPr="00FD50F6">
          <w:rPr>
            <w:noProof/>
            <w:webHidden/>
          </w:rPr>
          <w:fldChar w:fldCharType="end"/>
        </w:r>
      </w:hyperlink>
    </w:p>
    <w:p w14:paraId="41DC8803" w14:textId="461C56E2" w:rsidR="00D07F0F" w:rsidRPr="00FD50F6" w:rsidRDefault="00BF2787">
      <w:pPr>
        <w:pStyle w:val="TOC2"/>
        <w:tabs>
          <w:tab w:val="right" w:leader="dot" w:pos="8302"/>
        </w:tabs>
        <w:rPr>
          <w:rFonts w:eastAsiaTheme="minorEastAsia"/>
          <w:smallCaps w:val="0"/>
          <w:noProof/>
          <w:sz w:val="21"/>
          <w:szCs w:val="24"/>
        </w:rPr>
      </w:pPr>
      <w:hyperlink w:anchor="_Toc112830821" w:history="1">
        <w:r w:rsidR="00D07F0F" w:rsidRPr="00FD50F6">
          <w:rPr>
            <w:rStyle w:val="afff1"/>
            <w:noProof/>
            <w:color w:val="auto"/>
            <w:lang w:bidi="en-US"/>
          </w:rPr>
          <w:t xml:space="preserve">22.5 </w:t>
        </w:r>
        <w:r w:rsidR="00D07F0F" w:rsidRPr="00FD50F6">
          <w:rPr>
            <w:rStyle w:val="afff1"/>
            <w:noProof/>
            <w:color w:val="auto"/>
            <w:lang w:bidi="en-US"/>
          </w:rPr>
          <w:t>软件基本要求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_Toc112830821 \h </w:instrText>
        </w:r>
        <w:r w:rsidR="00D07F0F" w:rsidRPr="00FD50F6">
          <w:rPr>
            <w:noProof/>
            <w:webHidden/>
          </w:rPr>
        </w:r>
        <w:r w:rsidR="00D07F0F" w:rsidRPr="00FD50F6">
          <w:rPr>
            <w:noProof/>
            <w:webHidden/>
          </w:rPr>
          <w:fldChar w:fldCharType="separate"/>
        </w:r>
        <w:r>
          <w:rPr>
            <w:noProof/>
            <w:webHidden/>
          </w:rPr>
          <w:t>222</w:t>
        </w:r>
        <w:r w:rsidR="00D07F0F" w:rsidRPr="00FD50F6">
          <w:rPr>
            <w:noProof/>
            <w:webHidden/>
          </w:rPr>
          <w:fldChar w:fldCharType="end"/>
        </w:r>
      </w:hyperlink>
    </w:p>
    <w:p w14:paraId="445AA74B" w14:textId="0D6700D6" w:rsidR="00D07F0F" w:rsidRPr="00FD50F6" w:rsidRDefault="00BF2787">
      <w:pPr>
        <w:pStyle w:val="TOC2"/>
        <w:tabs>
          <w:tab w:val="right" w:leader="dot" w:pos="8302"/>
        </w:tabs>
        <w:rPr>
          <w:rFonts w:eastAsiaTheme="minorEastAsia"/>
          <w:smallCaps w:val="0"/>
          <w:noProof/>
          <w:sz w:val="21"/>
          <w:szCs w:val="24"/>
        </w:rPr>
      </w:pPr>
      <w:hyperlink w:anchor="_Toc112830822" w:history="1">
        <w:r w:rsidR="00D07F0F" w:rsidRPr="00FD50F6">
          <w:rPr>
            <w:rStyle w:val="afff1"/>
            <w:noProof/>
            <w:color w:val="auto"/>
            <w:lang w:bidi="en-US"/>
          </w:rPr>
          <w:t xml:space="preserve">22.6 </w:t>
        </w:r>
        <w:r w:rsidR="00D07F0F" w:rsidRPr="00FD50F6">
          <w:rPr>
            <w:rStyle w:val="afff1"/>
            <w:noProof/>
            <w:color w:val="auto"/>
            <w:lang w:bidi="en-US"/>
          </w:rPr>
          <w:t>系统网络结构、功能、技术指标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_Toc112830822 \h </w:instrText>
        </w:r>
        <w:r w:rsidR="00D07F0F" w:rsidRPr="00FD50F6">
          <w:rPr>
            <w:noProof/>
            <w:webHidden/>
          </w:rPr>
        </w:r>
        <w:r w:rsidR="00D07F0F" w:rsidRPr="00FD50F6">
          <w:rPr>
            <w:noProof/>
            <w:webHidden/>
          </w:rPr>
          <w:fldChar w:fldCharType="separate"/>
        </w:r>
        <w:r>
          <w:rPr>
            <w:noProof/>
            <w:webHidden/>
          </w:rPr>
          <w:t>223</w:t>
        </w:r>
        <w:r w:rsidR="00D07F0F" w:rsidRPr="00FD50F6">
          <w:rPr>
            <w:noProof/>
            <w:webHidden/>
          </w:rPr>
          <w:fldChar w:fldCharType="end"/>
        </w:r>
      </w:hyperlink>
    </w:p>
    <w:p w14:paraId="64D0B7AB" w14:textId="31A39970" w:rsidR="00D07F0F" w:rsidRPr="00FD50F6" w:rsidRDefault="00BF2787">
      <w:pPr>
        <w:pStyle w:val="TOC2"/>
        <w:tabs>
          <w:tab w:val="right" w:leader="dot" w:pos="8302"/>
        </w:tabs>
        <w:rPr>
          <w:rFonts w:eastAsiaTheme="minorEastAsia"/>
          <w:smallCaps w:val="0"/>
          <w:noProof/>
          <w:sz w:val="21"/>
          <w:szCs w:val="24"/>
        </w:rPr>
      </w:pPr>
      <w:hyperlink w:anchor="_Toc112830823" w:history="1">
        <w:r w:rsidR="00D07F0F" w:rsidRPr="00FD50F6">
          <w:rPr>
            <w:rStyle w:val="afff1"/>
            <w:noProof/>
            <w:color w:val="auto"/>
            <w:lang w:bidi="en-US"/>
          </w:rPr>
          <w:t xml:space="preserve">22.7 </w:t>
        </w:r>
        <w:r w:rsidR="00D07F0F" w:rsidRPr="00FD50F6">
          <w:rPr>
            <w:rStyle w:val="afff1"/>
            <w:noProof/>
            <w:color w:val="auto"/>
            <w:lang w:bidi="en-US"/>
          </w:rPr>
          <w:t>供电、防雷及接地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_Toc112830823 \h </w:instrText>
        </w:r>
        <w:r w:rsidR="00D07F0F" w:rsidRPr="00FD50F6">
          <w:rPr>
            <w:noProof/>
            <w:webHidden/>
          </w:rPr>
        </w:r>
        <w:r w:rsidR="00D07F0F" w:rsidRPr="00FD50F6">
          <w:rPr>
            <w:noProof/>
            <w:webHidden/>
          </w:rPr>
          <w:fldChar w:fldCharType="separate"/>
        </w:r>
        <w:r>
          <w:rPr>
            <w:noProof/>
            <w:webHidden/>
          </w:rPr>
          <w:t>225</w:t>
        </w:r>
        <w:r w:rsidR="00D07F0F" w:rsidRPr="00FD50F6">
          <w:rPr>
            <w:noProof/>
            <w:webHidden/>
          </w:rPr>
          <w:fldChar w:fldCharType="end"/>
        </w:r>
      </w:hyperlink>
    </w:p>
    <w:p w14:paraId="362309A4" w14:textId="41ACBAFC" w:rsidR="00D07F0F" w:rsidRPr="00FD50F6" w:rsidRDefault="00BF2787">
      <w:pPr>
        <w:pStyle w:val="TOC2"/>
        <w:tabs>
          <w:tab w:val="right" w:leader="dot" w:pos="8302"/>
        </w:tabs>
        <w:rPr>
          <w:rFonts w:eastAsiaTheme="minorEastAsia"/>
          <w:smallCaps w:val="0"/>
          <w:noProof/>
          <w:sz w:val="21"/>
          <w:szCs w:val="24"/>
        </w:rPr>
      </w:pPr>
      <w:hyperlink w:anchor="_Toc112830824" w:history="1">
        <w:r w:rsidR="00D07F0F" w:rsidRPr="00FD50F6">
          <w:rPr>
            <w:rStyle w:val="afff1"/>
            <w:noProof/>
            <w:color w:val="auto"/>
            <w:lang w:bidi="en-US"/>
          </w:rPr>
          <w:t xml:space="preserve">22.8 </w:t>
        </w:r>
        <w:r w:rsidR="00D07F0F" w:rsidRPr="00FD50F6">
          <w:rPr>
            <w:rStyle w:val="afff1"/>
            <w:noProof/>
            <w:color w:val="auto"/>
            <w:lang w:bidi="en-US"/>
          </w:rPr>
          <w:t>系统布线</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_Toc112830824 \h </w:instrText>
        </w:r>
        <w:r w:rsidR="00D07F0F" w:rsidRPr="00FD50F6">
          <w:rPr>
            <w:noProof/>
            <w:webHidden/>
          </w:rPr>
        </w:r>
        <w:r w:rsidR="00D07F0F" w:rsidRPr="00FD50F6">
          <w:rPr>
            <w:noProof/>
            <w:webHidden/>
          </w:rPr>
          <w:fldChar w:fldCharType="separate"/>
        </w:r>
        <w:r>
          <w:rPr>
            <w:noProof/>
            <w:webHidden/>
          </w:rPr>
          <w:t>225</w:t>
        </w:r>
        <w:r w:rsidR="00D07F0F" w:rsidRPr="00FD50F6">
          <w:rPr>
            <w:noProof/>
            <w:webHidden/>
          </w:rPr>
          <w:fldChar w:fldCharType="end"/>
        </w:r>
      </w:hyperlink>
    </w:p>
    <w:p w14:paraId="7935AF58" w14:textId="5BB6FAE5" w:rsidR="00D07F0F" w:rsidRPr="00FD50F6" w:rsidRDefault="00BF2787">
      <w:pPr>
        <w:pStyle w:val="TOC1"/>
        <w:tabs>
          <w:tab w:val="right" w:leader="dot" w:pos="8302"/>
        </w:tabs>
        <w:rPr>
          <w:rFonts w:eastAsiaTheme="minorEastAsia"/>
          <w:b w:val="0"/>
          <w:bCs w:val="0"/>
          <w:caps w:val="0"/>
          <w:noProof/>
          <w:sz w:val="21"/>
          <w:szCs w:val="24"/>
        </w:rPr>
      </w:pPr>
      <w:hyperlink w:anchor="_Toc112830825" w:history="1">
        <w:r w:rsidR="00D07F0F" w:rsidRPr="00FD50F6">
          <w:rPr>
            <w:rStyle w:val="afff1"/>
            <w:noProof/>
            <w:color w:val="auto"/>
          </w:rPr>
          <w:t xml:space="preserve">23 </w:t>
        </w:r>
        <w:r w:rsidR="00D07F0F" w:rsidRPr="00FD50F6">
          <w:rPr>
            <w:rStyle w:val="afff1"/>
            <w:noProof/>
            <w:color w:val="auto"/>
          </w:rPr>
          <w:t>乘客信息系统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_Toc112830825 \h </w:instrText>
        </w:r>
        <w:r w:rsidR="00D07F0F" w:rsidRPr="00FD50F6">
          <w:rPr>
            <w:noProof/>
            <w:webHidden/>
          </w:rPr>
        </w:r>
        <w:r w:rsidR="00D07F0F" w:rsidRPr="00FD50F6">
          <w:rPr>
            <w:noProof/>
            <w:webHidden/>
          </w:rPr>
          <w:fldChar w:fldCharType="separate"/>
        </w:r>
        <w:r>
          <w:rPr>
            <w:noProof/>
            <w:webHidden/>
          </w:rPr>
          <w:t>227</w:t>
        </w:r>
        <w:r w:rsidR="00D07F0F" w:rsidRPr="00FD50F6">
          <w:rPr>
            <w:noProof/>
            <w:webHidden/>
          </w:rPr>
          <w:fldChar w:fldCharType="end"/>
        </w:r>
      </w:hyperlink>
    </w:p>
    <w:p w14:paraId="1B94A9D9" w14:textId="1BF9E021" w:rsidR="00D07F0F" w:rsidRPr="00FD50F6" w:rsidRDefault="00BF2787">
      <w:pPr>
        <w:pStyle w:val="TOC2"/>
        <w:tabs>
          <w:tab w:val="right" w:leader="dot" w:pos="8302"/>
        </w:tabs>
        <w:rPr>
          <w:rFonts w:eastAsiaTheme="minorEastAsia"/>
          <w:smallCaps w:val="0"/>
          <w:noProof/>
          <w:sz w:val="21"/>
          <w:szCs w:val="24"/>
        </w:rPr>
      </w:pPr>
      <w:hyperlink w:anchor="_Toc112830826" w:history="1">
        <w:r w:rsidR="00D07F0F" w:rsidRPr="00FD50F6">
          <w:rPr>
            <w:rStyle w:val="afff1"/>
            <w:noProof/>
            <w:color w:val="auto"/>
            <w:lang w:bidi="en-US"/>
          </w:rPr>
          <w:t xml:space="preserve">23.1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_Toc112830826 \h </w:instrText>
        </w:r>
        <w:r w:rsidR="00D07F0F" w:rsidRPr="00FD50F6">
          <w:rPr>
            <w:noProof/>
            <w:webHidden/>
          </w:rPr>
        </w:r>
        <w:r w:rsidR="00D07F0F" w:rsidRPr="00FD50F6">
          <w:rPr>
            <w:noProof/>
            <w:webHidden/>
          </w:rPr>
          <w:fldChar w:fldCharType="separate"/>
        </w:r>
        <w:r>
          <w:rPr>
            <w:noProof/>
            <w:webHidden/>
          </w:rPr>
          <w:t>227</w:t>
        </w:r>
        <w:r w:rsidR="00D07F0F" w:rsidRPr="00FD50F6">
          <w:rPr>
            <w:noProof/>
            <w:webHidden/>
          </w:rPr>
          <w:fldChar w:fldCharType="end"/>
        </w:r>
      </w:hyperlink>
    </w:p>
    <w:p w14:paraId="3144AC72" w14:textId="254801D9" w:rsidR="00D07F0F" w:rsidRPr="00FD50F6" w:rsidRDefault="00BF2787">
      <w:pPr>
        <w:pStyle w:val="TOC2"/>
        <w:tabs>
          <w:tab w:val="right" w:leader="dot" w:pos="8302"/>
        </w:tabs>
        <w:rPr>
          <w:rFonts w:eastAsiaTheme="minorEastAsia"/>
          <w:smallCaps w:val="0"/>
          <w:noProof/>
          <w:sz w:val="21"/>
          <w:szCs w:val="24"/>
        </w:rPr>
      </w:pPr>
      <w:hyperlink w:anchor="_Toc112830827" w:history="1">
        <w:r w:rsidR="00D07F0F" w:rsidRPr="00FD50F6">
          <w:rPr>
            <w:rStyle w:val="afff1"/>
            <w:noProof/>
            <w:color w:val="auto"/>
            <w:lang w:bidi="en-US"/>
          </w:rPr>
          <w:t xml:space="preserve">23.2 </w:t>
        </w:r>
        <w:r w:rsidR="00D07F0F" w:rsidRPr="00FD50F6">
          <w:rPr>
            <w:rStyle w:val="afff1"/>
            <w:noProof/>
            <w:color w:val="auto"/>
            <w:lang w:bidi="en-US"/>
          </w:rPr>
          <w:t>系统功能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_Toc112830827 \h </w:instrText>
        </w:r>
        <w:r w:rsidR="00D07F0F" w:rsidRPr="00FD50F6">
          <w:rPr>
            <w:noProof/>
            <w:webHidden/>
          </w:rPr>
        </w:r>
        <w:r w:rsidR="00D07F0F" w:rsidRPr="00FD50F6">
          <w:rPr>
            <w:noProof/>
            <w:webHidden/>
          </w:rPr>
          <w:fldChar w:fldCharType="separate"/>
        </w:r>
        <w:r>
          <w:rPr>
            <w:noProof/>
            <w:webHidden/>
          </w:rPr>
          <w:t>227</w:t>
        </w:r>
        <w:r w:rsidR="00D07F0F" w:rsidRPr="00FD50F6">
          <w:rPr>
            <w:noProof/>
            <w:webHidden/>
          </w:rPr>
          <w:fldChar w:fldCharType="end"/>
        </w:r>
      </w:hyperlink>
    </w:p>
    <w:p w14:paraId="32985740" w14:textId="5E9A43AE" w:rsidR="00D07F0F" w:rsidRPr="00FD50F6" w:rsidRDefault="00BF2787">
      <w:pPr>
        <w:pStyle w:val="TOC2"/>
        <w:tabs>
          <w:tab w:val="right" w:leader="dot" w:pos="8302"/>
        </w:tabs>
        <w:rPr>
          <w:rFonts w:eastAsiaTheme="minorEastAsia"/>
          <w:smallCaps w:val="0"/>
          <w:noProof/>
          <w:sz w:val="21"/>
          <w:szCs w:val="24"/>
        </w:rPr>
      </w:pPr>
      <w:hyperlink w:anchor="_Toc112830828" w:history="1">
        <w:r w:rsidR="00D07F0F" w:rsidRPr="00FD50F6">
          <w:rPr>
            <w:rStyle w:val="afff1"/>
            <w:noProof/>
            <w:color w:val="auto"/>
            <w:lang w:bidi="en-US"/>
          </w:rPr>
          <w:t xml:space="preserve">23.3 </w:t>
        </w:r>
        <w:r w:rsidR="00D07F0F" w:rsidRPr="00FD50F6">
          <w:rPr>
            <w:rStyle w:val="afff1"/>
            <w:noProof/>
            <w:color w:val="auto"/>
            <w:lang w:bidi="en-US"/>
          </w:rPr>
          <w:t>系统构成及设备配置</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_Toc112830828 \h </w:instrText>
        </w:r>
        <w:r w:rsidR="00D07F0F" w:rsidRPr="00FD50F6">
          <w:rPr>
            <w:noProof/>
            <w:webHidden/>
          </w:rPr>
        </w:r>
        <w:r w:rsidR="00D07F0F" w:rsidRPr="00FD50F6">
          <w:rPr>
            <w:noProof/>
            <w:webHidden/>
          </w:rPr>
          <w:fldChar w:fldCharType="separate"/>
        </w:r>
        <w:r>
          <w:rPr>
            <w:noProof/>
            <w:webHidden/>
          </w:rPr>
          <w:t>228</w:t>
        </w:r>
        <w:r w:rsidR="00D07F0F" w:rsidRPr="00FD50F6">
          <w:rPr>
            <w:noProof/>
            <w:webHidden/>
          </w:rPr>
          <w:fldChar w:fldCharType="end"/>
        </w:r>
      </w:hyperlink>
    </w:p>
    <w:p w14:paraId="1957F0D1" w14:textId="6877A710" w:rsidR="00D07F0F" w:rsidRPr="00FD50F6" w:rsidRDefault="00BF2787">
      <w:pPr>
        <w:pStyle w:val="TOC2"/>
        <w:tabs>
          <w:tab w:val="right" w:leader="dot" w:pos="8302"/>
        </w:tabs>
        <w:rPr>
          <w:rFonts w:eastAsiaTheme="minorEastAsia"/>
          <w:smallCaps w:val="0"/>
          <w:noProof/>
          <w:sz w:val="21"/>
          <w:szCs w:val="24"/>
        </w:rPr>
      </w:pPr>
      <w:hyperlink w:anchor="_Toc112830829" w:history="1">
        <w:r w:rsidR="00D07F0F" w:rsidRPr="00FD50F6">
          <w:rPr>
            <w:rStyle w:val="afff1"/>
            <w:noProof/>
            <w:color w:val="auto"/>
            <w:lang w:bidi="en-US"/>
          </w:rPr>
          <w:t xml:space="preserve">23.4 </w:t>
        </w:r>
        <w:r w:rsidR="00D07F0F" w:rsidRPr="00FD50F6">
          <w:rPr>
            <w:rStyle w:val="afff1"/>
            <w:noProof/>
            <w:color w:val="auto"/>
            <w:lang w:bidi="en-US"/>
          </w:rPr>
          <w:t>系统接口</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_Toc112830829 \h </w:instrText>
        </w:r>
        <w:r w:rsidR="00D07F0F" w:rsidRPr="00FD50F6">
          <w:rPr>
            <w:noProof/>
            <w:webHidden/>
          </w:rPr>
        </w:r>
        <w:r w:rsidR="00D07F0F" w:rsidRPr="00FD50F6">
          <w:rPr>
            <w:noProof/>
            <w:webHidden/>
          </w:rPr>
          <w:fldChar w:fldCharType="separate"/>
        </w:r>
        <w:r>
          <w:rPr>
            <w:noProof/>
            <w:webHidden/>
          </w:rPr>
          <w:t>228</w:t>
        </w:r>
        <w:r w:rsidR="00D07F0F" w:rsidRPr="00FD50F6">
          <w:rPr>
            <w:noProof/>
            <w:webHidden/>
          </w:rPr>
          <w:fldChar w:fldCharType="end"/>
        </w:r>
      </w:hyperlink>
    </w:p>
    <w:p w14:paraId="5DBE4F1A" w14:textId="2BB0B307" w:rsidR="00D07F0F" w:rsidRPr="00FD50F6" w:rsidRDefault="00BF2787">
      <w:pPr>
        <w:pStyle w:val="TOC2"/>
        <w:tabs>
          <w:tab w:val="right" w:leader="dot" w:pos="8302"/>
        </w:tabs>
        <w:rPr>
          <w:rFonts w:eastAsiaTheme="minorEastAsia"/>
          <w:smallCaps w:val="0"/>
          <w:noProof/>
          <w:sz w:val="21"/>
          <w:szCs w:val="24"/>
        </w:rPr>
      </w:pPr>
      <w:hyperlink w:anchor="_Toc112830830" w:history="1">
        <w:r w:rsidR="00D07F0F" w:rsidRPr="00FD50F6">
          <w:rPr>
            <w:rStyle w:val="afff1"/>
            <w:noProof/>
            <w:color w:val="auto"/>
            <w:lang w:bidi="en-US"/>
          </w:rPr>
          <w:t xml:space="preserve">23.5 </w:t>
        </w:r>
        <w:r w:rsidR="00D07F0F" w:rsidRPr="00FD50F6">
          <w:rPr>
            <w:rStyle w:val="afff1"/>
            <w:noProof/>
            <w:color w:val="auto"/>
            <w:lang w:bidi="en-US"/>
          </w:rPr>
          <w:t>供电与接地、防雷</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_Toc112830830 \h </w:instrText>
        </w:r>
        <w:r w:rsidR="00D07F0F" w:rsidRPr="00FD50F6">
          <w:rPr>
            <w:noProof/>
            <w:webHidden/>
          </w:rPr>
        </w:r>
        <w:r w:rsidR="00D07F0F" w:rsidRPr="00FD50F6">
          <w:rPr>
            <w:noProof/>
            <w:webHidden/>
          </w:rPr>
          <w:fldChar w:fldCharType="separate"/>
        </w:r>
        <w:r>
          <w:rPr>
            <w:noProof/>
            <w:webHidden/>
          </w:rPr>
          <w:t>229</w:t>
        </w:r>
        <w:r w:rsidR="00D07F0F" w:rsidRPr="00FD50F6">
          <w:rPr>
            <w:noProof/>
            <w:webHidden/>
          </w:rPr>
          <w:fldChar w:fldCharType="end"/>
        </w:r>
      </w:hyperlink>
    </w:p>
    <w:p w14:paraId="68ED75BB" w14:textId="4A588681" w:rsidR="00D07F0F" w:rsidRPr="00FD50F6" w:rsidRDefault="00BF2787">
      <w:pPr>
        <w:pStyle w:val="TOC1"/>
        <w:tabs>
          <w:tab w:val="right" w:leader="dot" w:pos="8302"/>
        </w:tabs>
        <w:rPr>
          <w:rFonts w:eastAsiaTheme="minorEastAsia"/>
          <w:b w:val="0"/>
          <w:bCs w:val="0"/>
          <w:caps w:val="0"/>
          <w:noProof/>
          <w:sz w:val="21"/>
          <w:szCs w:val="24"/>
        </w:rPr>
      </w:pPr>
      <w:hyperlink w:anchor="_Toc112830831" w:history="1">
        <w:r w:rsidR="00D07F0F" w:rsidRPr="00FD50F6">
          <w:rPr>
            <w:rStyle w:val="afff1"/>
            <w:noProof/>
            <w:color w:val="auto"/>
          </w:rPr>
          <w:t xml:space="preserve">24 </w:t>
        </w:r>
        <w:r w:rsidR="00D07F0F" w:rsidRPr="00FD50F6">
          <w:rPr>
            <w:rStyle w:val="afff1"/>
            <w:noProof/>
            <w:color w:val="auto"/>
          </w:rPr>
          <w:t>安全防范</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_Toc112830831 \h </w:instrText>
        </w:r>
        <w:r w:rsidR="00D07F0F" w:rsidRPr="00FD50F6">
          <w:rPr>
            <w:noProof/>
            <w:webHidden/>
          </w:rPr>
        </w:r>
        <w:r w:rsidR="00D07F0F" w:rsidRPr="00FD50F6">
          <w:rPr>
            <w:noProof/>
            <w:webHidden/>
          </w:rPr>
          <w:fldChar w:fldCharType="separate"/>
        </w:r>
        <w:r>
          <w:rPr>
            <w:noProof/>
            <w:webHidden/>
          </w:rPr>
          <w:t>230</w:t>
        </w:r>
        <w:r w:rsidR="00D07F0F" w:rsidRPr="00FD50F6">
          <w:rPr>
            <w:noProof/>
            <w:webHidden/>
          </w:rPr>
          <w:fldChar w:fldCharType="end"/>
        </w:r>
      </w:hyperlink>
    </w:p>
    <w:p w14:paraId="78CA663D" w14:textId="6F89492A" w:rsidR="00D07F0F" w:rsidRPr="00FD50F6" w:rsidRDefault="00BF2787">
      <w:pPr>
        <w:pStyle w:val="TOC2"/>
        <w:tabs>
          <w:tab w:val="right" w:leader="dot" w:pos="8302"/>
        </w:tabs>
        <w:rPr>
          <w:rFonts w:eastAsiaTheme="minorEastAsia"/>
          <w:smallCaps w:val="0"/>
          <w:noProof/>
          <w:sz w:val="21"/>
          <w:szCs w:val="24"/>
        </w:rPr>
      </w:pPr>
      <w:hyperlink w:anchor="_Toc112830832" w:history="1">
        <w:r w:rsidR="00D07F0F" w:rsidRPr="00FD50F6">
          <w:rPr>
            <w:rStyle w:val="afff1"/>
            <w:noProof/>
            <w:color w:val="auto"/>
            <w:lang w:bidi="en-US"/>
          </w:rPr>
          <w:t xml:space="preserve">24.1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_Toc112830832 \h </w:instrText>
        </w:r>
        <w:r w:rsidR="00D07F0F" w:rsidRPr="00FD50F6">
          <w:rPr>
            <w:noProof/>
            <w:webHidden/>
          </w:rPr>
        </w:r>
        <w:r w:rsidR="00D07F0F" w:rsidRPr="00FD50F6">
          <w:rPr>
            <w:noProof/>
            <w:webHidden/>
          </w:rPr>
          <w:fldChar w:fldCharType="separate"/>
        </w:r>
        <w:r>
          <w:rPr>
            <w:noProof/>
            <w:webHidden/>
          </w:rPr>
          <w:t>230</w:t>
        </w:r>
        <w:r w:rsidR="00D07F0F" w:rsidRPr="00FD50F6">
          <w:rPr>
            <w:noProof/>
            <w:webHidden/>
          </w:rPr>
          <w:fldChar w:fldCharType="end"/>
        </w:r>
      </w:hyperlink>
    </w:p>
    <w:p w14:paraId="07C1342A" w14:textId="331A4ECE" w:rsidR="00D07F0F" w:rsidRPr="00FD50F6" w:rsidRDefault="00BF2787">
      <w:pPr>
        <w:pStyle w:val="TOC2"/>
        <w:tabs>
          <w:tab w:val="right" w:leader="dot" w:pos="8302"/>
        </w:tabs>
        <w:rPr>
          <w:rFonts w:eastAsiaTheme="minorEastAsia"/>
          <w:smallCaps w:val="0"/>
          <w:noProof/>
          <w:sz w:val="21"/>
          <w:szCs w:val="24"/>
        </w:rPr>
      </w:pPr>
      <w:hyperlink w:anchor="_Toc112830833" w:history="1">
        <w:r w:rsidR="00D07F0F" w:rsidRPr="00FD50F6">
          <w:rPr>
            <w:rStyle w:val="afff1"/>
            <w:noProof/>
            <w:color w:val="auto"/>
            <w:lang w:bidi="en-US"/>
          </w:rPr>
          <w:t xml:space="preserve">24.2 </w:t>
        </w:r>
        <w:r w:rsidR="00D07F0F" w:rsidRPr="00FD50F6">
          <w:rPr>
            <w:rStyle w:val="afff1"/>
            <w:noProof/>
            <w:color w:val="auto"/>
            <w:lang w:bidi="en-US"/>
          </w:rPr>
          <w:t>安防集成平台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_Toc112830833 \h </w:instrText>
        </w:r>
        <w:r w:rsidR="00D07F0F" w:rsidRPr="00FD50F6">
          <w:rPr>
            <w:noProof/>
            <w:webHidden/>
          </w:rPr>
        </w:r>
        <w:r w:rsidR="00D07F0F" w:rsidRPr="00FD50F6">
          <w:rPr>
            <w:noProof/>
            <w:webHidden/>
          </w:rPr>
          <w:fldChar w:fldCharType="separate"/>
        </w:r>
        <w:r>
          <w:rPr>
            <w:noProof/>
            <w:webHidden/>
          </w:rPr>
          <w:t>230</w:t>
        </w:r>
        <w:r w:rsidR="00D07F0F" w:rsidRPr="00FD50F6">
          <w:rPr>
            <w:noProof/>
            <w:webHidden/>
          </w:rPr>
          <w:fldChar w:fldCharType="end"/>
        </w:r>
      </w:hyperlink>
    </w:p>
    <w:p w14:paraId="19FAE86E" w14:textId="32AA5623" w:rsidR="00D07F0F" w:rsidRPr="00FD50F6" w:rsidRDefault="00BF2787">
      <w:pPr>
        <w:pStyle w:val="TOC2"/>
        <w:tabs>
          <w:tab w:val="right" w:leader="dot" w:pos="8302"/>
        </w:tabs>
        <w:rPr>
          <w:rFonts w:eastAsiaTheme="minorEastAsia"/>
          <w:smallCaps w:val="0"/>
          <w:noProof/>
          <w:sz w:val="21"/>
          <w:szCs w:val="24"/>
        </w:rPr>
      </w:pPr>
      <w:hyperlink w:anchor="_Toc112830834" w:history="1">
        <w:r w:rsidR="00D07F0F" w:rsidRPr="00FD50F6">
          <w:rPr>
            <w:rStyle w:val="afff1"/>
            <w:noProof/>
            <w:color w:val="auto"/>
            <w:lang w:bidi="en-US"/>
          </w:rPr>
          <w:t xml:space="preserve">24.3 </w:t>
        </w:r>
        <w:r w:rsidR="00D07F0F" w:rsidRPr="00FD50F6">
          <w:rPr>
            <w:rStyle w:val="afff1"/>
            <w:noProof/>
            <w:color w:val="auto"/>
            <w:lang w:bidi="en-US"/>
          </w:rPr>
          <w:t>门禁</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_Toc112830834 \h </w:instrText>
        </w:r>
        <w:r w:rsidR="00D07F0F" w:rsidRPr="00FD50F6">
          <w:rPr>
            <w:noProof/>
            <w:webHidden/>
          </w:rPr>
        </w:r>
        <w:r w:rsidR="00D07F0F" w:rsidRPr="00FD50F6">
          <w:rPr>
            <w:noProof/>
            <w:webHidden/>
          </w:rPr>
          <w:fldChar w:fldCharType="separate"/>
        </w:r>
        <w:r>
          <w:rPr>
            <w:noProof/>
            <w:webHidden/>
          </w:rPr>
          <w:t>230</w:t>
        </w:r>
        <w:r w:rsidR="00D07F0F" w:rsidRPr="00FD50F6">
          <w:rPr>
            <w:noProof/>
            <w:webHidden/>
          </w:rPr>
          <w:fldChar w:fldCharType="end"/>
        </w:r>
      </w:hyperlink>
    </w:p>
    <w:p w14:paraId="49B38E24" w14:textId="52009886" w:rsidR="00D07F0F" w:rsidRPr="00FD50F6" w:rsidRDefault="00BF2787">
      <w:pPr>
        <w:pStyle w:val="TOC2"/>
        <w:tabs>
          <w:tab w:val="right" w:leader="dot" w:pos="8302"/>
        </w:tabs>
        <w:rPr>
          <w:rFonts w:eastAsiaTheme="minorEastAsia"/>
          <w:smallCaps w:val="0"/>
          <w:noProof/>
          <w:sz w:val="21"/>
          <w:szCs w:val="24"/>
        </w:rPr>
      </w:pPr>
      <w:hyperlink w:anchor="_Toc112830835" w:history="1">
        <w:r w:rsidR="00D07F0F" w:rsidRPr="00FD50F6">
          <w:rPr>
            <w:rStyle w:val="afff1"/>
            <w:noProof/>
            <w:color w:val="auto"/>
            <w:lang w:bidi="en-US"/>
          </w:rPr>
          <w:t xml:space="preserve">24.4 </w:t>
        </w:r>
        <w:r w:rsidR="00D07F0F" w:rsidRPr="00FD50F6">
          <w:rPr>
            <w:rStyle w:val="afff1"/>
            <w:noProof/>
            <w:color w:val="auto"/>
            <w:lang w:bidi="en-US"/>
          </w:rPr>
          <w:t>安全检查及探测系统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_Toc112830835 \h </w:instrText>
        </w:r>
        <w:r w:rsidR="00D07F0F" w:rsidRPr="00FD50F6">
          <w:rPr>
            <w:noProof/>
            <w:webHidden/>
          </w:rPr>
        </w:r>
        <w:r w:rsidR="00D07F0F" w:rsidRPr="00FD50F6">
          <w:rPr>
            <w:noProof/>
            <w:webHidden/>
          </w:rPr>
          <w:fldChar w:fldCharType="separate"/>
        </w:r>
        <w:r>
          <w:rPr>
            <w:noProof/>
            <w:webHidden/>
          </w:rPr>
          <w:t>235</w:t>
        </w:r>
        <w:r w:rsidR="00D07F0F" w:rsidRPr="00FD50F6">
          <w:rPr>
            <w:noProof/>
            <w:webHidden/>
          </w:rPr>
          <w:fldChar w:fldCharType="end"/>
        </w:r>
      </w:hyperlink>
    </w:p>
    <w:p w14:paraId="0860CE2D" w14:textId="1320793E" w:rsidR="00D07F0F" w:rsidRPr="00FD50F6" w:rsidRDefault="00BF2787">
      <w:pPr>
        <w:pStyle w:val="TOC2"/>
        <w:tabs>
          <w:tab w:val="right" w:leader="dot" w:pos="8302"/>
        </w:tabs>
        <w:rPr>
          <w:rFonts w:eastAsiaTheme="minorEastAsia"/>
          <w:smallCaps w:val="0"/>
          <w:noProof/>
          <w:sz w:val="21"/>
          <w:szCs w:val="24"/>
        </w:rPr>
      </w:pPr>
      <w:hyperlink w:anchor="_Toc112830836" w:history="1">
        <w:r w:rsidR="00D07F0F" w:rsidRPr="00FD50F6">
          <w:rPr>
            <w:rStyle w:val="afff1"/>
            <w:noProof/>
            <w:color w:val="auto"/>
            <w:lang w:bidi="en-US"/>
          </w:rPr>
          <w:t xml:space="preserve">24.5 </w:t>
        </w:r>
        <w:r w:rsidR="00D07F0F" w:rsidRPr="00FD50F6">
          <w:rPr>
            <w:rStyle w:val="afff1"/>
            <w:noProof/>
            <w:color w:val="auto"/>
            <w:lang w:bidi="en-US"/>
          </w:rPr>
          <w:t>视频监视系统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_Toc112830836 \h </w:instrText>
        </w:r>
        <w:r w:rsidR="00D07F0F" w:rsidRPr="00FD50F6">
          <w:rPr>
            <w:noProof/>
            <w:webHidden/>
          </w:rPr>
        </w:r>
        <w:r w:rsidR="00D07F0F" w:rsidRPr="00FD50F6">
          <w:rPr>
            <w:noProof/>
            <w:webHidden/>
          </w:rPr>
          <w:fldChar w:fldCharType="separate"/>
        </w:r>
        <w:r>
          <w:rPr>
            <w:noProof/>
            <w:webHidden/>
          </w:rPr>
          <w:t>236</w:t>
        </w:r>
        <w:r w:rsidR="00D07F0F" w:rsidRPr="00FD50F6">
          <w:rPr>
            <w:noProof/>
            <w:webHidden/>
          </w:rPr>
          <w:fldChar w:fldCharType="end"/>
        </w:r>
      </w:hyperlink>
    </w:p>
    <w:p w14:paraId="04D258B0" w14:textId="7C80826D" w:rsidR="00D07F0F" w:rsidRPr="00FD50F6" w:rsidRDefault="00BF2787">
      <w:pPr>
        <w:pStyle w:val="TOC2"/>
        <w:tabs>
          <w:tab w:val="right" w:leader="dot" w:pos="8302"/>
        </w:tabs>
        <w:rPr>
          <w:rFonts w:eastAsiaTheme="minorEastAsia"/>
          <w:smallCaps w:val="0"/>
          <w:noProof/>
          <w:sz w:val="21"/>
          <w:szCs w:val="24"/>
        </w:rPr>
      </w:pPr>
      <w:hyperlink w:anchor="_Toc112830838" w:history="1">
        <w:r w:rsidR="00D07F0F" w:rsidRPr="00FD50F6">
          <w:rPr>
            <w:rStyle w:val="afff1"/>
            <w:noProof/>
            <w:color w:val="auto"/>
            <w:lang w:bidi="en-US"/>
          </w:rPr>
          <w:t xml:space="preserve">24.6 </w:t>
        </w:r>
        <w:r w:rsidR="00D07F0F" w:rsidRPr="00FD50F6">
          <w:rPr>
            <w:rStyle w:val="afff1"/>
            <w:noProof/>
            <w:color w:val="auto"/>
            <w:lang w:bidi="en-US"/>
          </w:rPr>
          <w:t>入侵报警系统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_Toc112830838 \h </w:instrText>
        </w:r>
        <w:r w:rsidR="00D07F0F" w:rsidRPr="00FD50F6">
          <w:rPr>
            <w:noProof/>
            <w:webHidden/>
          </w:rPr>
        </w:r>
        <w:r w:rsidR="00D07F0F" w:rsidRPr="00FD50F6">
          <w:rPr>
            <w:noProof/>
            <w:webHidden/>
          </w:rPr>
          <w:fldChar w:fldCharType="separate"/>
        </w:r>
        <w:r>
          <w:rPr>
            <w:noProof/>
            <w:webHidden/>
          </w:rPr>
          <w:t>237</w:t>
        </w:r>
        <w:r w:rsidR="00D07F0F" w:rsidRPr="00FD50F6">
          <w:rPr>
            <w:noProof/>
            <w:webHidden/>
          </w:rPr>
          <w:fldChar w:fldCharType="end"/>
        </w:r>
      </w:hyperlink>
    </w:p>
    <w:p w14:paraId="14A0FE3B" w14:textId="6B82DD8C" w:rsidR="00D07F0F" w:rsidRPr="00FD50F6" w:rsidRDefault="00BF2787">
      <w:pPr>
        <w:pStyle w:val="TOC2"/>
        <w:tabs>
          <w:tab w:val="right" w:leader="dot" w:pos="8302"/>
        </w:tabs>
        <w:rPr>
          <w:rFonts w:eastAsiaTheme="minorEastAsia"/>
          <w:smallCaps w:val="0"/>
          <w:noProof/>
          <w:sz w:val="21"/>
          <w:szCs w:val="24"/>
        </w:rPr>
      </w:pPr>
      <w:hyperlink w:anchor="_Toc112830839" w:history="1">
        <w:r w:rsidR="00D07F0F" w:rsidRPr="00FD50F6">
          <w:rPr>
            <w:rStyle w:val="afff1"/>
            <w:noProof/>
            <w:color w:val="auto"/>
            <w:lang w:bidi="en-US"/>
          </w:rPr>
          <w:t xml:space="preserve">24.7 </w:t>
        </w:r>
        <w:r w:rsidR="00D07F0F" w:rsidRPr="00FD50F6">
          <w:rPr>
            <w:rStyle w:val="afff1"/>
            <w:noProof/>
            <w:color w:val="auto"/>
            <w:lang w:bidi="en-US"/>
          </w:rPr>
          <w:t>电子巡查系统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_Toc112830839 \h </w:instrText>
        </w:r>
        <w:r w:rsidR="00D07F0F" w:rsidRPr="00FD50F6">
          <w:rPr>
            <w:noProof/>
            <w:webHidden/>
          </w:rPr>
        </w:r>
        <w:r w:rsidR="00D07F0F" w:rsidRPr="00FD50F6">
          <w:rPr>
            <w:noProof/>
            <w:webHidden/>
          </w:rPr>
          <w:fldChar w:fldCharType="separate"/>
        </w:r>
        <w:r>
          <w:rPr>
            <w:noProof/>
            <w:webHidden/>
          </w:rPr>
          <w:t>237</w:t>
        </w:r>
        <w:r w:rsidR="00D07F0F" w:rsidRPr="00FD50F6">
          <w:rPr>
            <w:noProof/>
            <w:webHidden/>
          </w:rPr>
          <w:fldChar w:fldCharType="end"/>
        </w:r>
      </w:hyperlink>
    </w:p>
    <w:p w14:paraId="7F45C9F0" w14:textId="6BB749CD" w:rsidR="00D07F0F" w:rsidRPr="00FD50F6" w:rsidRDefault="00BF2787">
      <w:pPr>
        <w:pStyle w:val="TOC1"/>
        <w:tabs>
          <w:tab w:val="right" w:leader="dot" w:pos="8302"/>
        </w:tabs>
        <w:rPr>
          <w:rFonts w:eastAsiaTheme="minorEastAsia"/>
          <w:b w:val="0"/>
          <w:bCs w:val="0"/>
          <w:caps w:val="0"/>
          <w:noProof/>
          <w:sz w:val="21"/>
          <w:szCs w:val="24"/>
        </w:rPr>
      </w:pPr>
      <w:hyperlink w:anchor="_Toc112830840" w:history="1">
        <w:r w:rsidR="00D07F0F" w:rsidRPr="00FD50F6">
          <w:rPr>
            <w:rStyle w:val="afff1"/>
            <w:noProof/>
            <w:color w:val="auto"/>
          </w:rPr>
          <w:t xml:space="preserve">25 </w:t>
        </w:r>
        <w:r w:rsidR="00D07F0F" w:rsidRPr="00FD50F6">
          <w:rPr>
            <w:rStyle w:val="afff1"/>
            <w:noProof/>
            <w:color w:val="auto"/>
          </w:rPr>
          <w:t>运营控制中心</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_Toc112830840 \h </w:instrText>
        </w:r>
        <w:r w:rsidR="00D07F0F" w:rsidRPr="00FD50F6">
          <w:rPr>
            <w:noProof/>
            <w:webHidden/>
          </w:rPr>
        </w:r>
        <w:r w:rsidR="00D07F0F" w:rsidRPr="00FD50F6">
          <w:rPr>
            <w:noProof/>
            <w:webHidden/>
          </w:rPr>
          <w:fldChar w:fldCharType="separate"/>
        </w:r>
        <w:r>
          <w:rPr>
            <w:noProof/>
            <w:webHidden/>
          </w:rPr>
          <w:t>239</w:t>
        </w:r>
        <w:r w:rsidR="00D07F0F" w:rsidRPr="00FD50F6">
          <w:rPr>
            <w:noProof/>
            <w:webHidden/>
          </w:rPr>
          <w:fldChar w:fldCharType="end"/>
        </w:r>
      </w:hyperlink>
    </w:p>
    <w:p w14:paraId="3360F858" w14:textId="4FCD22B3" w:rsidR="00D07F0F" w:rsidRPr="00FD50F6" w:rsidRDefault="00BF2787">
      <w:pPr>
        <w:pStyle w:val="TOC2"/>
        <w:tabs>
          <w:tab w:val="right" w:leader="dot" w:pos="8302"/>
        </w:tabs>
        <w:rPr>
          <w:rFonts w:eastAsiaTheme="minorEastAsia"/>
          <w:smallCaps w:val="0"/>
          <w:noProof/>
          <w:sz w:val="21"/>
          <w:szCs w:val="24"/>
        </w:rPr>
      </w:pPr>
      <w:hyperlink w:anchor="_Toc112830841" w:history="1">
        <w:r w:rsidR="00D07F0F" w:rsidRPr="00FD50F6">
          <w:rPr>
            <w:rStyle w:val="afff1"/>
            <w:noProof/>
            <w:color w:val="auto"/>
            <w:lang w:bidi="en-US"/>
          </w:rPr>
          <w:t xml:space="preserve">25.1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_Toc112830841 \h </w:instrText>
        </w:r>
        <w:r w:rsidR="00D07F0F" w:rsidRPr="00FD50F6">
          <w:rPr>
            <w:noProof/>
            <w:webHidden/>
          </w:rPr>
        </w:r>
        <w:r w:rsidR="00D07F0F" w:rsidRPr="00FD50F6">
          <w:rPr>
            <w:noProof/>
            <w:webHidden/>
          </w:rPr>
          <w:fldChar w:fldCharType="separate"/>
        </w:r>
        <w:r>
          <w:rPr>
            <w:noProof/>
            <w:webHidden/>
          </w:rPr>
          <w:t>239</w:t>
        </w:r>
        <w:r w:rsidR="00D07F0F" w:rsidRPr="00FD50F6">
          <w:rPr>
            <w:noProof/>
            <w:webHidden/>
          </w:rPr>
          <w:fldChar w:fldCharType="end"/>
        </w:r>
      </w:hyperlink>
    </w:p>
    <w:p w14:paraId="2A24210F" w14:textId="5329D141" w:rsidR="00D07F0F" w:rsidRPr="00FD50F6" w:rsidRDefault="00BF2787">
      <w:pPr>
        <w:pStyle w:val="TOC2"/>
        <w:tabs>
          <w:tab w:val="right" w:leader="dot" w:pos="8302"/>
        </w:tabs>
        <w:rPr>
          <w:rFonts w:eastAsiaTheme="minorEastAsia"/>
          <w:smallCaps w:val="0"/>
          <w:noProof/>
          <w:sz w:val="21"/>
          <w:szCs w:val="24"/>
        </w:rPr>
      </w:pPr>
      <w:hyperlink w:anchor="_Toc112830842" w:history="1">
        <w:r w:rsidR="00D07F0F" w:rsidRPr="00FD50F6">
          <w:rPr>
            <w:rStyle w:val="afff1"/>
            <w:noProof/>
            <w:color w:val="auto"/>
            <w:lang w:bidi="en-US"/>
          </w:rPr>
          <w:t xml:space="preserve">25.2 </w:t>
        </w:r>
        <w:r w:rsidR="00D07F0F" w:rsidRPr="00FD50F6">
          <w:rPr>
            <w:rStyle w:val="afff1"/>
            <w:noProof/>
            <w:color w:val="auto"/>
            <w:lang w:bidi="en-US"/>
          </w:rPr>
          <w:t>工艺设计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_Toc112830842 \h </w:instrText>
        </w:r>
        <w:r w:rsidR="00D07F0F" w:rsidRPr="00FD50F6">
          <w:rPr>
            <w:noProof/>
            <w:webHidden/>
          </w:rPr>
        </w:r>
        <w:r w:rsidR="00D07F0F" w:rsidRPr="00FD50F6">
          <w:rPr>
            <w:noProof/>
            <w:webHidden/>
          </w:rPr>
          <w:fldChar w:fldCharType="separate"/>
        </w:r>
        <w:r>
          <w:rPr>
            <w:noProof/>
            <w:webHidden/>
          </w:rPr>
          <w:t>239</w:t>
        </w:r>
        <w:r w:rsidR="00D07F0F" w:rsidRPr="00FD50F6">
          <w:rPr>
            <w:noProof/>
            <w:webHidden/>
          </w:rPr>
          <w:fldChar w:fldCharType="end"/>
        </w:r>
      </w:hyperlink>
    </w:p>
    <w:p w14:paraId="4715152A" w14:textId="655279A8" w:rsidR="00D07F0F" w:rsidRPr="00FD50F6" w:rsidRDefault="00BF2787">
      <w:pPr>
        <w:pStyle w:val="TOC2"/>
        <w:tabs>
          <w:tab w:val="right" w:leader="dot" w:pos="8302"/>
        </w:tabs>
        <w:rPr>
          <w:rFonts w:eastAsiaTheme="minorEastAsia"/>
          <w:smallCaps w:val="0"/>
          <w:noProof/>
          <w:sz w:val="21"/>
          <w:szCs w:val="24"/>
        </w:rPr>
      </w:pPr>
      <w:hyperlink w:anchor="_Toc112830843" w:history="1">
        <w:r w:rsidR="00D07F0F" w:rsidRPr="00FD50F6">
          <w:rPr>
            <w:rStyle w:val="afff1"/>
            <w:noProof/>
            <w:color w:val="auto"/>
            <w:lang w:bidi="en-US"/>
          </w:rPr>
          <w:t xml:space="preserve">25.3 </w:t>
        </w:r>
        <w:r w:rsidR="00D07F0F" w:rsidRPr="00FD50F6">
          <w:rPr>
            <w:rStyle w:val="afff1"/>
            <w:noProof/>
            <w:color w:val="auto"/>
            <w:lang w:bidi="en-US"/>
          </w:rPr>
          <w:t>建筑与结构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_Toc112830843 \h </w:instrText>
        </w:r>
        <w:r w:rsidR="00D07F0F" w:rsidRPr="00FD50F6">
          <w:rPr>
            <w:noProof/>
            <w:webHidden/>
          </w:rPr>
        </w:r>
        <w:r w:rsidR="00D07F0F" w:rsidRPr="00FD50F6">
          <w:rPr>
            <w:noProof/>
            <w:webHidden/>
          </w:rPr>
          <w:fldChar w:fldCharType="separate"/>
        </w:r>
        <w:r>
          <w:rPr>
            <w:noProof/>
            <w:webHidden/>
          </w:rPr>
          <w:t>241</w:t>
        </w:r>
        <w:r w:rsidR="00D07F0F" w:rsidRPr="00FD50F6">
          <w:rPr>
            <w:noProof/>
            <w:webHidden/>
          </w:rPr>
          <w:fldChar w:fldCharType="end"/>
        </w:r>
      </w:hyperlink>
    </w:p>
    <w:p w14:paraId="0ED9C87F" w14:textId="59A435E2" w:rsidR="00D07F0F" w:rsidRPr="00FD50F6" w:rsidRDefault="00BF2787">
      <w:pPr>
        <w:pStyle w:val="TOC2"/>
        <w:tabs>
          <w:tab w:val="right" w:leader="dot" w:pos="8302"/>
        </w:tabs>
        <w:rPr>
          <w:rFonts w:eastAsiaTheme="minorEastAsia"/>
          <w:smallCaps w:val="0"/>
          <w:noProof/>
          <w:sz w:val="21"/>
          <w:szCs w:val="24"/>
        </w:rPr>
      </w:pPr>
      <w:hyperlink w:anchor="_Toc112830844" w:history="1">
        <w:r w:rsidR="00D07F0F" w:rsidRPr="00FD50F6">
          <w:rPr>
            <w:rStyle w:val="afff1"/>
            <w:noProof/>
            <w:color w:val="auto"/>
            <w:lang w:bidi="en-US"/>
          </w:rPr>
          <w:t xml:space="preserve">25.4 </w:t>
        </w:r>
        <w:r w:rsidR="00D07F0F" w:rsidRPr="00FD50F6">
          <w:rPr>
            <w:rStyle w:val="afff1"/>
            <w:noProof/>
            <w:color w:val="auto"/>
            <w:lang w:bidi="en-US"/>
          </w:rPr>
          <w:t>布线</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_Toc112830844 \h </w:instrText>
        </w:r>
        <w:r w:rsidR="00D07F0F" w:rsidRPr="00FD50F6">
          <w:rPr>
            <w:noProof/>
            <w:webHidden/>
          </w:rPr>
        </w:r>
        <w:r w:rsidR="00D07F0F" w:rsidRPr="00FD50F6">
          <w:rPr>
            <w:noProof/>
            <w:webHidden/>
          </w:rPr>
          <w:fldChar w:fldCharType="separate"/>
        </w:r>
        <w:r>
          <w:rPr>
            <w:noProof/>
            <w:webHidden/>
          </w:rPr>
          <w:t>242</w:t>
        </w:r>
        <w:r w:rsidR="00D07F0F" w:rsidRPr="00FD50F6">
          <w:rPr>
            <w:noProof/>
            <w:webHidden/>
          </w:rPr>
          <w:fldChar w:fldCharType="end"/>
        </w:r>
      </w:hyperlink>
    </w:p>
    <w:p w14:paraId="53ED7A9D" w14:textId="141CB34F" w:rsidR="00D07F0F" w:rsidRPr="00FD50F6" w:rsidRDefault="00BF2787">
      <w:pPr>
        <w:pStyle w:val="TOC2"/>
        <w:tabs>
          <w:tab w:val="right" w:leader="dot" w:pos="8302"/>
        </w:tabs>
        <w:rPr>
          <w:rFonts w:eastAsiaTheme="minorEastAsia"/>
          <w:smallCaps w:val="0"/>
          <w:noProof/>
          <w:sz w:val="21"/>
          <w:szCs w:val="24"/>
        </w:rPr>
      </w:pPr>
      <w:hyperlink w:anchor="_Toc112830845" w:history="1">
        <w:r w:rsidR="00D07F0F" w:rsidRPr="00FD50F6">
          <w:rPr>
            <w:rStyle w:val="afff1"/>
            <w:noProof/>
            <w:color w:val="auto"/>
            <w:lang w:bidi="en-US"/>
          </w:rPr>
          <w:t xml:space="preserve">25.5 </w:t>
        </w:r>
        <w:r w:rsidR="00D07F0F" w:rsidRPr="00FD50F6">
          <w:rPr>
            <w:rStyle w:val="afff1"/>
            <w:noProof/>
            <w:color w:val="auto"/>
            <w:lang w:bidi="en-US"/>
          </w:rPr>
          <w:t>供电、防雷与接地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_Toc112830845 \h </w:instrText>
        </w:r>
        <w:r w:rsidR="00D07F0F" w:rsidRPr="00FD50F6">
          <w:rPr>
            <w:noProof/>
            <w:webHidden/>
          </w:rPr>
        </w:r>
        <w:r w:rsidR="00D07F0F" w:rsidRPr="00FD50F6">
          <w:rPr>
            <w:noProof/>
            <w:webHidden/>
          </w:rPr>
          <w:fldChar w:fldCharType="separate"/>
        </w:r>
        <w:r>
          <w:rPr>
            <w:noProof/>
            <w:webHidden/>
          </w:rPr>
          <w:t>243</w:t>
        </w:r>
        <w:r w:rsidR="00D07F0F" w:rsidRPr="00FD50F6">
          <w:rPr>
            <w:noProof/>
            <w:webHidden/>
          </w:rPr>
          <w:fldChar w:fldCharType="end"/>
        </w:r>
      </w:hyperlink>
    </w:p>
    <w:p w14:paraId="5885C801" w14:textId="21B89F89" w:rsidR="00D07F0F" w:rsidRPr="00FD50F6" w:rsidRDefault="00BF2787">
      <w:pPr>
        <w:pStyle w:val="TOC2"/>
        <w:tabs>
          <w:tab w:val="right" w:leader="dot" w:pos="8302"/>
        </w:tabs>
        <w:rPr>
          <w:rFonts w:eastAsiaTheme="minorEastAsia"/>
          <w:smallCaps w:val="0"/>
          <w:noProof/>
          <w:sz w:val="21"/>
          <w:szCs w:val="24"/>
        </w:rPr>
      </w:pPr>
      <w:hyperlink w:anchor="_Toc112830846" w:history="1">
        <w:r w:rsidR="00D07F0F" w:rsidRPr="00FD50F6">
          <w:rPr>
            <w:rStyle w:val="afff1"/>
            <w:noProof/>
            <w:color w:val="auto"/>
            <w:lang w:bidi="en-US"/>
          </w:rPr>
          <w:t xml:space="preserve">25.6 </w:t>
        </w:r>
        <w:r w:rsidR="00D07F0F" w:rsidRPr="00FD50F6">
          <w:rPr>
            <w:rStyle w:val="afff1"/>
            <w:noProof/>
            <w:color w:val="auto"/>
            <w:lang w:bidi="en-US"/>
          </w:rPr>
          <w:t>使用环境要求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_Toc112830846 \h </w:instrText>
        </w:r>
        <w:r w:rsidR="00D07F0F" w:rsidRPr="00FD50F6">
          <w:rPr>
            <w:noProof/>
            <w:webHidden/>
          </w:rPr>
        </w:r>
        <w:r w:rsidR="00D07F0F" w:rsidRPr="00FD50F6">
          <w:rPr>
            <w:noProof/>
            <w:webHidden/>
          </w:rPr>
          <w:fldChar w:fldCharType="separate"/>
        </w:r>
        <w:r>
          <w:rPr>
            <w:noProof/>
            <w:webHidden/>
          </w:rPr>
          <w:t>243</w:t>
        </w:r>
        <w:r w:rsidR="00D07F0F" w:rsidRPr="00FD50F6">
          <w:rPr>
            <w:noProof/>
            <w:webHidden/>
          </w:rPr>
          <w:fldChar w:fldCharType="end"/>
        </w:r>
      </w:hyperlink>
    </w:p>
    <w:p w14:paraId="1F56A894" w14:textId="501CA7B6" w:rsidR="00D07F0F" w:rsidRPr="00FD50F6" w:rsidRDefault="00BF2787">
      <w:pPr>
        <w:pStyle w:val="TOC2"/>
        <w:tabs>
          <w:tab w:val="right" w:leader="dot" w:pos="8302"/>
        </w:tabs>
        <w:rPr>
          <w:rFonts w:eastAsiaTheme="minorEastAsia"/>
          <w:smallCaps w:val="0"/>
          <w:noProof/>
          <w:sz w:val="21"/>
          <w:szCs w:val="24"/>
        </w:rPr>
      </w:pPr>
      <w:hyperlink w:anchor="_Toc112830847" w:history="1">
        <w:r w:rsidR="00D07F0F" w:rsidRPr="00FD50F6">
          <w:rPr>
            <w:rStyle w:val="afff1"/>
            <w:noProof/>
            <w:color w:val="auto"/>
            <w:lang w:bidi="en-US"/>
          </w:rPr>
          <w:t xml:space="preserve">25.7 </w:t>
        </w:r>
        <w:r w:rsidR="00D07F0F" w:rsidRPr="00FD50F6">
          <w:rPr>
            <w:rStyle w:val="afff1"/>
            <w:noProof/>
            <w:color w:val="auto"/>
            <w:lang w:bidi="en-US"/>
          </w:rPr>
          <w:t>照明与应急照明</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_Toc112830847 \h </w:instrText>
        </w:r>
        <w:r w:rsidR="00D07F0F" w:rsidRPr="00FD50F6">
          <w:rPr>
            <w:noProof/>
            <w:webHidden/>
          </w:rPr>
        </w:r>
        <w:r w:rsidR="00D07F0F" w:rsidRPr="00FD50F6">
          <w:rPr>
            <w:noProof/>
            <w:webHidden/>
          </w:rPr>
          <w:fldChar w:fldCharType="separate"/>
        </w:r>
        <w:r>
          <w:rPr>
            <w:noProof/>
            <w:webHidden/>
          </w:rPr>
          <w:t>243</w:t>
        </w:r>
        <w:r w:rsidR="00D07F0F" w:rsidRPr="00FD50F6">
          <w:rPr>
            <w:noProof/>
            <w:webHidden/>
          </w:rPr>
          <w:fldChar w:fldCharType="end"/>
        </w:r>
      </w:hyperlink>
    </w:p>
    <w:p w14:paraId="5A8E03EA" w14:textId="1273FE56" w:rsidR="00D07F0F" w:rsidRPr="00FD50F6" w:rsidRDefault="00BF2787">
      <w:pPr>
        <w:pStyle w:val="TOC2"/>
        <w:tabs>
          <w:tab w:val="right" w:leader="dot" w:pos="8302"/>
        </w:tabs>
        <w:rPr>
          <w:rFonts w:eastAsiaTheme="minorEastAsia"/>
          <w:smallCaps w:val="0"/>
          <w:noProof/>
          <w:sz w:val="21"/>
          <w:szCs w:val="24"/>
        </w:rPr>
      </w:pPr>
      <w:hyperlink w:anchor="_Toc112830848" w:history="1">
        <w:r w:rsidR="00D07F0F" w:rsidRPr="00FD50F6">
          <w:rPr>
            <w:rStyle w:val="afff1"/>
            <w:noProof/>
            <w:color w:val="auto"/>
            <w:lang w:bidi="en-US"/>
          </w:rPr>
          <w:t xml:space="preserve">25.8 </w:t>
        </w:r>
        <w:r w:rsidR="00D07F0F" w:rsidRPr="00FD50F6">
          <w:rPr>
            <w:rStyle w:val="afff1"/>
            <w:noProof/>
            <w:color w:val="auto"/>
            <w:lang w:bidi="en-US"/>
          </w:rPr>
          <w:t>消防与安全</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_Toc112830848 \h </w:instrText>
        </w:r>
        <w:r w:rsidR="00D07F0F" w:rsidRPr="00FD50F6">
          <w:rPr>
            <w:noProof/>
            <w:webHidden/>
          </w:rPr>
        </w:r>
        <w:r w:rsidR="00D07F0F" w:rsidRPr="00FD50F6">
          <w:rPr>
            <w:noProof/>
            <w:webHidden/>
          </w:rPr>
          <w:fldChar w:fldCharType="separate"/>
        </w:r>
        <w:r>
          <w:rPr>
            <w:noProof/>
            <w:webHidden/>
          </w:rPr>
          <w:t>244</w:t>
        </w:r>
        <w:r w:rsidR="00D07F0F" w:rsidRPr="00FD50F6">
          <w:rPr>
            <w:noProof/>
            <w:webHidden/>
          </w:rPr>
          <w:fldChar w:fldCharType="end"/>
        </w:r>
      </w:hyperlink>
    </w:p>
    <w:p w14:paraId="15391329" w14:textId="6327BB4E" w:rsidR="00D07F0F" w:rsidRPr="00FD50F6" w:rsidRDefault="00BF2787">
      <w:pPr>
        <w:pStyle w:val="TOC1"/>
        <w:tabs>
          <w:tab w:val="right" w:leader="dot" w:pos="8302"/>
        </w:tabs>
        <w:rPr>
          <w:rFonts w:eastAsiaTheme="minorEastAsia"/>
          <w:b w:val="0"/>
          <w:bCs w:val="0"/>
          <w:caps w:val="0"/>
          <w:noProof/>
          <w:sz w:val="21"/>
          <w:szCs w:val="24"/>
        </w:rPr>
      </w:pPr>
      <w:hyperlink w:anchor="_Toc112830849" w:history="1">
        <w:r w:rsidR="00D07F0F" w:rsidRPr="00FD50F6">
          <w:rPr>
            <w:rStyle w:val="afff1"/>
            <w:noProof/>
            <w:color w:val="auto"/>
          </w:rPr>
          <w:t xml:space="preserve">26 </w:t>
        </w:r>
        <w:r w:rsidR="00D07F0F" w:rsidRPr="00FD50F6">
          <w:rPr>
            <w:rStyle w:val="afff1"/>
            <w:noProof/>
            <w:color w:val="auto"/>
          </w:rPr>
          <w:t>信息系统</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_Toc112830849 \h </w:instrText>
        </w:r>
        <w:r w:rsidR="00D07F0F" w:rsidRPr="00FD50F6">
          <w:rPr>
            <w:noProof/>
            <w:webHidden/>
          </w:rPr>
        </w:r>
        <w:r w:rsidR="00D07F0F" w:rsidRPr="00FD50F6">
          <w:rPr>
            <w:noProof/>
            <w:webHidden/>
          </w:rPr>
          <w:fldChar w:fldCharType="separate"/>
        </w:r>
        <w:r>
          <w:rPr>
            <w:noProof/>
            <w:webHidden/>
          </w:rPr>
          <w:t>245</w:t>
        </w:r>
        <w:r w:rsidR="00D07F0F" w:rsidRPr="00FD50F6">
          <w:rPr>
            <w:noProof/>
            <w:webHidden/>
          </w:rPr>
          <w:fldChar w:fldCharType="end"/>
        </w:r>
      </w:hyperlink>
    </w:p>
    <w:p w14:paraId="49A0B5A1" w14:textId="4DDCAC72" w:rsidR="00D07F0F" w:rsidRPr="00FD50F6" w:rsidRDefault="00BF2787">
      <w:pPr>
        <w:pStyle w:val="TOC2"/>
        <w:tabs>
          <w:tab w:val="right" w:leader="dot" w:pos="8302"/>
        </w:tabs>
        <w:rPr>
          <w:rFonts w:eastAsiaTheme="minorEastAsia"/>
          <w:smallCaps w:val="0"/>
          <w:noProof/>
          <w:sz w:val="21"/>
          <w:szCs w:val="24"/>
        </w:rPr>
      </w:pPr>
      <w:hyperlink w:anchor="_Toc112830850" w:history="1">
        <w:r w:rsidR="00D07F0F" w:rsidRPr="00FD50F6">
          <w:rPr>
            <w:rStyle w:val="afff1"/>
            <w:noProof/>
            <w:color w:val="auto"/>
            <w:lang w:bidi="en-US"/>
          </w:rPr>
          <w:t xml:space="preserve">26.1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_Toc112830850 \h </w:instrText>
        </w:r>
        <w:r w:rsidR="00D07F0F" w:rsidRPr="00FD50F6">
          <w:rPr>
            <w:noProof/>
            <w:webHidden/>
          </w:rPr>
        </w:r>
        <w:r w:rsidR="00D07F0F" w:rsidRPr="00FD50F6">
          <w:rPr>
            <w:noProof/>
            <w:webHidden/>
          </w:rPr>
          <w:fldChar w:fldCharType="separate"/>
        </w:r>
        <w:r>
          <w:rPr>
            <w:noProof/>
            <w:webHidden/>
          </w:rPr>
          <w:t>245</w:t>
        </w:r>
        <w:r w:rsidR="00D07F0F" w:rsidRPr="00FD50F6">
          <w:rPr>
            <w:noProof/>
            <w:webHidden/>
          </w:rPr>
          <w:fldChar w:fldCharType="end"/>
        </w:r>
      </w:hyperlink>
    </w:p>
    <w:p w14:paraId="3564C1FF" w14:textId="4B024801" w:rsidR="00D07F0F" w:rsidRPr="00FD50F6" w:rsidRDefault="00BF2787">
      <w:pPr>
        <w:pStyle w:val="TOC2"/>
        <w:tabs>
          <w:tab w:val="right" w:leader="dot" w:pos="8302"/>
        </w:tabs>
        <w:rPr>
          <w:rFonts w:eastAsiaTheme="minorEastAsia"/>
          <w:smallCaps w:val="0"/>
          <w:noProof/>
          <w:sz w:val="21"/>
          <w:szCs w:val="24"/>
        </w:rPr>
      </w:pPr>
      <w:hyperlink w:anchor="_Toc112830851" w:history="1">
        <w:r w:rsidR="00D07F0F" w:rsidRPr="00FD50F6">
          <w:rPr>
            <w:rStyle w:val="afff1"/>
            <w:noProof/>
            <w:color w:val="auto"/>
            <w:lang w:bidi="en-US"/>
          </w:rPr>
          <w:t xml:space="preserve">26.2 </w:t>
        </w:r>
        <w:r w:rsidR="00D07F0F" w:rsidRPr="00FD50F6">
          <w:rPr>
            <w:rStyle w:val="afff1"/>
            <w:noProof/>
            <w:color w:val="auto"/>
            <w:lang w:bidi="en-US"/>
          </w:rPr>
          <w:t>系统基本功能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_Toc112830851 \h </w:instrText>
        </w:r>
        <w:r w:rsidR="00D07F0F" w:rsidRPr="00FD50F6">
          <w:rPr>
            <w:noProof/>
            <w:webHidden/>
          </w:rPr>
        </w:r>
        <w:r w:rsidR="00D07F0F" w:rsidRPr="00FD50F6">
          <w:rPr>
            <w:noProof/>
            <w:webHidden/>
          </w:rPr>
          <w:fldChar w:fldCharType="separate"/>
        </w:r>
        <w:r>
          <w:rPr>
            <w:noProof/>
            <w:webHidden/>
          </w:rPr>
          <w:t>245</w:t>
        </w:r>
        <w:r w:rsidR="00D07F0F" w:rsidRPr="00FD50F6">
          <w:rPr>
            <w:noProof/>
            <w:webHidden/>
          </w:rPr>
          <w:fldChar w:fldCharType="end"/>
        </w:r>
      </w:hyperlink>
    </w:p>
    <w:p w14:paraId="75732BAD" w14:textId="29D9D7E4" w:rsidR="00D07F0F" w:rsidRPr="00FD50F6" w:rsidRDefault="00BF2787">
      <w:pPr>
        <w:pStyle w:val="TOC2"/>
        <w:tabs>
          <w:tab w:val="right" w:leader="dot" w:pos="8302"/>
        </w:tabs>
        <w:rPr>
          <w:rFonts w:eastAsiaTheme="minorEastAsia"/>
          <w:smallCaps w:val="0"/>
          <w:noProof/>
          <w:sz w:val="21"/>
          <w:szCs w:val="24"/>
        </w:rPr>
      </w:pPr>
      <w:hyperlink w:anchor="_Toc112830852" w:history="1">
        <w:r w:rsidR="00D07F0F" w:rsidRPr="00FD50F6">
          <w:rPr>
            <w:rStyle w:val="afff1"/>
            <w:noProof/>
            <w:color w:val="auto"/>
            <w:lang w:bidi="en-US"/>
          </w:rPr>
          <w:t xml:space="preserve">26.3 </w:t>
        </w:r>
        <w:r w:rsidR="00D07F0F" w:rsidRPr="00FD50F6">
          <w:rPr>
            <w:rStyle w:val="afff1"/>
            <w:noProof/>
            <w:color w:val="auto"/>
            <w:lang w:bidi="en-US"/>
          </w:rPr>
          <w:t>系统构建基本要求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_Toc112830852 \h </w:instrText>
        </w:r>
        <w:r w:rsidR="00D07F0F" w:rsidRPr="00FD50F6">
          <w:rPr>
            <w:noProof/>
            <w:webHidden/>
          </w:rPr>
        </w:r>
        <w:r w:rsidR="00D07F0F" w:rsidRPr="00FD50F6">
          <w:rPr>
            <w:noProof/>
            <w:webHidden/>
          </w:rPr>
          <w:fldChar w:fldCharType="separate"/>
        </w:r>
        <w:r>
          <w:rPr>
            <w:noProof/>
            <w:webHidden/>
          </w:rPr>
          <w:t>246</w:t>
        </w:r>
        <w:r w:rsidR="00D07F0F" w:rsidRPr="00FD50F6">
          <w:rPr>
            <w:noProof/>
            <w:webHidden/>
          </w:rPr>
          <w:fldChar w:fldCharType="end"/>
        </w:r>
      </w:hyperlink>
    </w:p>
    <w:p w14:paraId="5E5F7618" w14:textId="0B7E587E" w:rsidR="00D07F0F" w:rsidRPr="00FD50F6" w:rsidRDefault="00BF2787">
      <w:pPr>
        <w:pStyle w:val="TOC2"/>
        <w:tabs>
          <w:tab w:val="right" w:leader="dot" w:pos="8302"/>
        </w:tabs>
        <w:rPr>
          <w:rFonts w:eastAsiaTheme="minorEastAsia"/>
          <w:smallCaps w:val="0"/>
          <w:noProof/>
          <w:sz w:val="21"/>
          <w:szCs w:val="24"/>
        </w:rPr>
      </w:pPr>
      <w:hyperlink w:anchor="_Toc112830853" w:history="1">
        <w:r w:rsidR="00D07F0F" w:rsidRPr="00FD50F6">
          <w:rPr>
            <w:rStyle w:val="afff1"/>
            <w:noProof/>
            <w:color w:val="auto"/>
            <w:lang w:bidi="en-US"/>
          </w:rPr>
          <w:t xml:space="preserve">26.4 </w:t>
        </w:r>
        <w:r w:rsidR="00D07F0F" w:rsidRPr="00FD50F6">
          <w:rPr>
            <w:rStyle w:val="afff1"/>
            <w:noProof/>
            <w:color w:val="auto"/>
            <w:lang w:bidi="en-US"/>
          </w:rPr>
          <w:t>其他要求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_Toc112830853 \h </w:instrText>
        </w:r>
        <w:r w:rsidR="00D07F0F" w:rsidRPr="00FD50F6">
          <w:rPr>
            <w:noProof/>
            <w:webHidden/>
          </w:rPr>
        </w:r>
        <w:r w:rsidR="00D07F0F" w:rsidRPr="00FD50F6">
          <w:rPr>
            <w:noProof/>
            <w:webHidden/>
          </w:rPr>
          <w:fldChar w:fldCharType="separate"/>
        </w:r>
        <w:r>
          <w:rPr>
            <w:noProof/>
            <w:webHidden/>
          </w:rPr>
          <w:t>246</w:t>
        </w:r>
        <w:r w:rsidR="00D07F0F" w:rsidRPr="00FD50F6">
          <w:rPr>
            <w:noProof/>
            <w:webHidden/>
          </w:rPr>
          <w:fldChar w:fldCharType="end"/>
        </w:r>
      </w:hyperlink>
    </w:p>
    <w:p w14:paraId="0F426671" w14:textId="18C1F9FB" w:rsidR="00D07F0F" w:rsidRPr="00FD50F6" w:rsidRDefault="00BF2787">
      <w:pPr>
        <w:pStyle w:val="TOC1"/>
        <w:tabs>
          <w:tab w:val="right" w:leader="dot" w:pos="8302"/>
        </w:tabs>
        <w:rPr>
          <w:rFonts w:eastAsiaTheme="minorEastAsia"/>
          <w:b w:val="0"/>
          <w:bCs w:val="0"/>
          <w:caps w:val="0"/>
          <w:noProof/>
          <w:sz w:val="21"/>
          <w:szCs w:val="24"/>
        </w:rPr>
      </w:pPr>
      <w:hyperlink w:anchor="_Toc112830854" w:history="1">
        <w:r w:rsidR="00D07F0F" w:rsidRPr="00FD50F6">
          <w:rPr>
            <w:rStyle w:val="afff1"/>
            <w:noProof/>
            <w:color w:val="auto"/>
          </w:rPr>
          <w:t xml:space="preserve">27 </w:t>
        </w:r>
        <w:r w:rsidR="00D07F0F" w:rsidRPr="00FD50F6">
          <w:rPr>
            <w:rStyle w:val="afff1"/>
            <w:noProof/>
            <w:color w:val="auto"/>
          </w:rPr>
          <w:t>站内客运设备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_Toc112830854 \h </w:instrText>
        </w:r>
        <w:r w:rsidR="00D07F0F" w:rsidRPr="00FD50F6">
          <w:rPr>
            <w:noProof/>
            <w:webHidden/>
          </w:rPr>
        </w:r>
        <w:r w:rsidR="00D07F0F" w:rsidRPr="00FD50F6">
          <w:rPr>
            <w:noProof/>
            <w:webHidden/>
          </w:rPr>
          <w:fldChar w:fldCharType="separate"/>
        </w:r>
        <w:r>
          <w:rPr>
            <w:noProof/>
            <w:webHidden/>
          </w:rPr>
          <w:t>247</w:t>
        </w:r>
        <w:r w:rsidR="00D07F0F" w:rsidRPr="00FD50F6">
          <w:rPr>
            <w:noProof/>
            <w:webHidden/>
          </w:rPr>
          <w:fldChar w:fldCharType="end"/>
        </w:r>
      </w:hyperlink>
    </w:p>
    <w:p w14:paraId="0160A9DD" w14:textId="6040B822" w:rsidR="00D07F0F" w:rsidRPr="00FD50F6" w:rsidRDefault="00BF2787">
      <w:pPr>
        <w:pStyle w:val="TOC2"/>
        <w:tabs>
          <w:tab w:val="right" w:leader="dot" w:pos="8302"/>
        </w:tabs>
        <w:rPr>
          <w:rFonts w:eastAsiaTheme="minorEastAsia"/>
          <w:smallCaps w:val="0"/>
          <w:noProof/>
          <w:sz w:val="21"/>
          <w:szCs w:val="24"/>
        </w:rPr>
      </w:pPr>
      <w:hyperlink w:anchor="_Toc112830855" w:history="1">
        <w:r w:rsidR="00D07F0F" w:rsidRPr="00FD50F6">
          <w:rPr>
            <w:rStyle w:val="afff1"/>
            <w:noProof/>
            <w:color w:val="auto"/>
            <w:lang w:bidi="en-US"/>
          </w:rPr>
          <w:t xml:space="preserve">27.1 </w:t>
        </w:r>
        <w:r w:rsidR="00D07F0F" w:rsidRPr="00FD50F6">
          <w:rPr>
            <w:rStyle w:val="afff1"/>
            <w:noProof/>
            <w:color w:val="auto"/>
            <w:lang w:bidi="en-US"/>
          </w:rPr>
          <w:t>自动扶梯和自动人行道</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_Toc112830855 \h </w:instrText>
        </w:r>
        <w:r w:rsidR="00D07F0F" w:rsidRPr="00FD50F6">
          <w:rPr>
            <w:noProof/>
            <w:webHidden/>
          </w:rPr>
        </w:r>
        <w:r w:rsidR="00D07F0F" w:rsidRPr="00FD50F6">
          <w:rPr>
            <w:noProof/>
            <w:webHidden/>
          </w:rPr>
          <w:fldChar w:fldCharType="separate"/>
        </w:r>
        <w:r>
          <w:rPr>
            <w:noProof/>
            <w:webHidden/>
          </w:rPr>
          <w:t>247</w:t>
        </w:r>
        <w:r w:rsidR="00D07F0F" w:rsidRPr="00FD50F6">
          <w:rPr>
            <w:noProof/>
            <w:webHidden/>
          </w:rPr>
          <w:fldChar w:fldCharType="end"/>
        </w:r>
      </w:hyperlink>
    </w:p>
    <w:p w14:paraId="74612839" w14:textId="413E1CA8" w:rsidR="00D07F0F" w:rsidRPr="00FD50F6" w:rsidRDefault="00BF2787">
      <w:pPr>
        <w:pStyle w:val="TOC2"/>
        <w:tabs>
          <w:tab w:val="right" w:leader="dot" w:pos="8302"/>
        </w:tabs>
        <w:rPr>
          <w:rFonts w:eastAsiaTheme="minorEastAsia"/>
          <w:smallCaps w:val="0"/>
          <w:noProof/>
          <w:sz w:val="21"/>
          <w:szCs w:val="24"/>
        </w:rPr>
      </w:pPr>
      <w:hyperlink w:anchor="_Toc112830856" w:history="1">
        <w:r w:rsidR="00D07F0F" w:rsidRPr="00FD50F6">
          <w:rPr>
            <w:rStyle w:val="afff1"/>
            <w:noProof/>
            <w:color w:val="auto"/>
            <w:lang w:bidi="en-US"/>
          </w:rPr>
          <w:t xml:space="preserve">27.2 </w:t>
        </w:r>
        <w:r w:rsidR="00D07F0F" w:rsidRPr="00FD50F6">
          <w:rPr>
            <w:rStyle w:val="afff1"/>
            <w:noProof/>
            <w:color w:val="auto"/>
            <w:lang w:bidi="en-US"/>
          </w:rPr>
          <w:t>电梯</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_Toc112830856 \h </w:instrText>
        </w:r>
        <w:r w:rsidR="00D07F0F" w:rsidRPr="00FD50F6">
          <w:rPr>
            <w:noProof/>
            <w:webHidden/>
          </w:rPr>
        </w:r>
        <w:r w:rsidR="00D07F0F" w:rsidRPr="00FD50F6">
          <w:rPr>
            <w:noProof/>
            <w:webHidden/>
          </w:rPr>
          <w:fldChar w:fldCharType="separate"/>
        </w:r>
        <w:r>
          <w:rPr>
            <w:noProof/>
            <w:webHidden/>
          </w:rPr>
          <w:t>248</w:t>
        </w:r>
        <w:r w:rsidR="00D07F0F" w:rsidRPr="00FD50F6">
          <w:rPr>
            <w:noProof/>
            <w:webHidden/>
          </w:rPr>
          <w:fldChar w:fldCharType="end"/>
        </w:r>
      </w:hyperlink>
    </w:p>
    <w:p w14:paraId="4E51019A" w14:textId="15E7DFF6" w:rsidR="00D07F0F" w:rsidRPr="00FD50F6" w:rsidRDefault="00BF2787">
      <w:pPr>
        <w:pStyle w:val="TOC2"/>
        <w:tabs>
          <w:tab w:val="right" w:leader="dot" w:pos="8302"/>
        </w:tabs>
        <w:rPr>
          <w:rFonts w:eastAsiaTheme="minorEastAsia"/>
          <w:smallCaps w:val="0"/>
          <w:noProof/>
          <w:sz w:val="21"/>
          <w:szCs w:val="24"/>
        </w:rPr>
      </w:pPr>
      <w:hyperlink w:anchor="_Toc112830857" w:history="1">
        <w:r w:rsidR="00D07F0F" w:rsidRPr="00FD50F6">
          <w:rPr>
            <w:rStyle w:val="afff1"/>
            <w:noProof/>
            <w:color w:val="auto"/>
            <w:lang w:bidi="en-US"/>
          </w:rPr>
          <w:t xml:space="preserve">27.3 </w:t>
        </w:r>
        <w:r w:rsidR="00D07F0F" w:rsidRPr="00FD50F6">
          <w:rPr>
            <w:rStyle w:val="afff1"/>
            <w:noProof/>
            <w:color w:val="auto"/>
            <w:lang w:bidi="en-US"/>
          </w:rPr>
          <w:t>轮椅升降机</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_Toc112830857 \h </w:instrText>
        </w:r>
        <w:r w:rsidR="00D07F0F" w:rsidRPr="00FD50F6">
          <w:rPr>
            <w:noProof/>
            <w:webHidden/>
          </w:rPr>
        </w:r>
        <w:r w:rsidR="00D07F0F" w:rsidRPr="00FD50F6">
          <w:rPr>
            <w:noProof/>
            <w:webHidden/>
          </w:rPr>
          <w:fldChar w:fldCharType="separate"/>
        </w:r>
        <w:r>
          <w:rPr>
            <w:noProof/>
            <w:webHidden/>
          </w:rPr>
          <w:t>249</w:t>
        </w:r>
        <w:r w:rsidR="00D07F0F" w:rsidRPr="00FD50F6">
          <w:rPr>
            <w:noProof/>
            <w:webHidden/>
          </w:rPr>
          <w:fldChar w:fldCharType="end"/>
        </w:r>
      </w:hyperlink>
    </w:p>
    <w:p w14:paraId="14B74FBC" w14:textId="1D8FBC80" w:rsidR="00D07F0F" w:rsidRPr="00FD50F6" w:rsidRDefault="00BF2787">
      <w:pPr>
        <w:pStyle w:val="TOC1"/>
        <w:tabs>
          <w:tab w:val="right" w:leader="dot" w:pos="8302"/>
        </w:tabs>
        <w:rPr>
          <w:rFonts w:eastAsiaTheme="minorEastAsia"/>
          <w:b w:val="0"/>
          <w:bCs w:val="0"/>
          <w:caps w:val="0"/>
          <w:noProof/>
          <w:sz w:val="21"/>
          <w:szCs w:val="24"/>
        </w:rPr>
      </w:pPr>
      <w:hyperlink w:anchor="_Toc112830858" w:history="1">
        <w:r w:rsidR="00D07F0F" w:rsidRPr="00FD50F6">
          <w:rPr>
            <w:rStyle w:val="afff1"/>
            <w:noProof/>
            <w:color w:val="auto"/>
          </w:rPr>
          <w:t xml:space="preserve">28 </w:t>
        </w:r>
        <w:r w:rsidR="00D07F0F" w:rsidRPr="00FD50F6">
          <w:rPr>
            <w:rStyle w:val="afff1"/>
            <w:noProof/>
            <w:color w:val="auto"/>
          </w:rPr>
          <w:t>站台屏蔽门</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_Toc112830858 \h </w:instrText>
        </w:r>
        <w:r w:rsidR="00D07F0F" w:rsidRPr="00FD50F6">
          <w:rPr>
            <w:noProof/>
            <w:webHidden/>
          </w:rPr>
        </w:r>
        <w:r w:rsidR="00D07F0F" w:rsidRPr="00FD50F6">
          <w:rPr>
            <w:noProof/>
            <w:webHidden/>
          </w:rPr>
          <w:fldChar w:fldCharType="separate"/>
        </w:r>
        <w:r>
          <w:rPr>
            <w:noProof/>
            <w:webHidden/>
          </w:rPr>
          <w:t>250</w:t>
        </w:r>
        <w:r w:rsidR="00D07F0F" w:rsidRPr="00FD50F6">
          <w:rPr>
            <w:noProof/>
            <w:webHidden/>
          </w:rPr>
          <w:fldChar w:fldCharType="end"/>
        </w:r>
      </w:hyperlink>
    </w:p>
    <w:p w14:paraId="577A8A28" w14:textId="4DC46897" w:rsidR="00D07F0F" w:rsidRPr="00FD50F6" w:rsidRDefault="00BF2787">
      <w:pPr>
        <w:pStyle w:val="TOC2"/>
        <w:tabs>
          <w:tab w:val="right" w:leader="dot" w:pos="8302"/>
        </w:tabs>
        <w:rPr>
          <w:rFonts w:eastAsiaTheme="minorEastAsia"/>
          <w:smallCaps w:val="0"/>
          <w:noProof/>
          <w:sz w:val="21"/>
          <w:szCs w:val="24"/>
        </w:rPr>
      </w:pPr>
      <w:hyperlink w:anchor="_Toc112830859" w:history="1">
        <w:r w:rsidR="00D07F0F" w:rsidRPr="00FD50F6">
          <w:rPr>
            <w:rStyle w:val="afff1"/>
            <w:noProof/>
            <w:color w:val="auto"/>
            <w:lang w:bidi="en-US"/>
          </w:rPr>
          <w:t xml:space="preserve">28.1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_Toc112830859 \h </w:instrText>
        </w:r>
        <w:r w:rsidR="00D07F0F" w:rsidRPr="00FD50F6">
          <w:rPr>
            <w:noProof/>
            <w:webHidden/>
          </w:rPr>
        </w:r>
        <w:r w:rsidR="00D07F0F" w:rsidRPr="00FD50F6">
          <w:rPr>
            <w:noProof/>
            <w:webHidden/>
          </w:rPr>
          <w:fldChar w:fldCharType="separate"/>
        </w:r>
        <w:r>
          <w:rPr>
            <w:noProof/>
            <w:webHidden/>
          </w:rPr>
          <w:t>250</w:t>
        </w:r>
        <w:r w:rsidR="00D07F0F" w:rsidRPr="00FD50F6">
          <w:rPr>
            <w:noProof/>
            <w:webHidden/>
          </w:rPr>
          <w:fldChar w:fldCharType="end"/>
        </w:r>
      </w:hyperlink>
    </w:p>
    <w:p w14:paraId="1312F67A" w14:textId="618C4AB3" w:rsidR="00D07F0F" w:rsidRPr="00FD50F6" w:rsidRDefault="00BF2787">
      <w:pPr>
        <w:pStyle w:val="TOC2"/>
        <w:tabs>
          <w:tab w:val="right" w:leader="dot" w:pos="8302"/>
        </w:tabs>
        <w:rPr>
          <w:rFonts w:eastAsiaTheme="minorEastAsia"/>
          <w:smallCaps w:val="0"/>
          <w:noProof/>
          <w:sz w:val="21"/>
          <w:szCs w:val="24"/>
        </w:rPr>
      </w:pPr>
      <w:hyperlink w:anchor="_Toc112830860" w:history="1">
        <w:r w:rsidR="00D07F0F" w:rsidRPr="00FD50F6">
          <w:rPr>
            <w:rStyle w:val="afff1"/>
            <w:noProof/>
            <w:color w:val="auto"/>
            <w:lang w:bidi="en-US"/>
          </w:rPr>
          <w:t xml:space="preserve">28.2 </w:t>
        </w:r>
        <w:r w:rsidR="00D07F0F" w:rsidRPr="00FD50F6">
          <w:rPr>
            <w:rStyle w:val="afff1"/>
            <w:noProof/>
            <w:color w:val="auto"/>
            <w:lang w:bidi="en-US"/>
          </w:rPr>
          <w:t>主要技术指标</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_Toc112830860 \h </w:instrText>
        </w:r>
        <w:r w:rsidR="00D07F0F" w:rsidRPr="00FD50F6">
          <w:rPr>
            <w:noProof/>
            <w:webHidden/>
          </w:rPr>
        </w:r>
        <w:r w:rsidR="00D07F0F" w:rsidRPr="00FD50F6">
          <w:rPr>
            <w:noProof/>
            <w:webHidden/>
          </w:rPr>
          <w:fldChar w:fldCharType="separate"/>
        </w:r>
        <w:r>
          <w:rPr>
            <w:noProof/>
            <w:webHidden/>
          </w:rPr>
          <w:t>251</w:t>
        </w:r>
        <w:r w:rsidR="00D07F0F" w:rsidRPr="00FD50F6">
          <w:rPr>
            <w:noProof/>
            <w:webHidden/>
          </w:rPr>
          <w:fldChar w:fldCharType="end"/>
        </w:r>
      </w:hyperlink>
    </w:p>
    <w:p w14:paraId="598666E8" w14:textId="3D4C334A" w:rsidR="00D07F0F" w:rsidRPr="00FD50F6" w:rsidRDefault="00BF2787">
      <w:pPr>
        <w:pStyle w:val="TOC2"/>
        <w:tabs>
          <w:tab w:val="right" w:leader="dot" w:pos="8302"/>
        </w:tabs>
        <w:rPr>
          <w:rFonts w:eastAsiaTheme="minorEastAsia"/>
          <w:smallCaps w:val="0"/>
          <w:noProof/>
          <w:sz w:val="21"/>
          <w:szCs w:val="24"/>
        </w:rPr>
      </w:pPr>
      <w:hyperlink w:anchor="_Toc112830861" w:history="1">
        <w:r w:rsidR="00D07F0F" w:rsidRPr="00FD50F6">
          <w:rPr>
            <w:rStyle w:val="afff1"/>
            <w:noProof/>
            <w:color w:val="auto"/>
            <w:lang w:bidi="en-US"/>
          </w:rPr>
          <w:t xml:space="preserve">28.3 </w:t>
        </w:r>
        <w:r w:rsidR="00D07F0F" w:rsidRPr="00FD50F6">
          <w:rPr>
            <w:rStyle w:val="afff1"/>
            <w:noProof/>
            <w:color w:val="auto"/>
            <w:lang w:bidi="en-US"/>
          </w:rPr>
          <w:t>布置与结构</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_Toc112830861 \h </w:instrText>
        </w:r>
        <w:r w:rsidR="00D07F0F" w:rsidRPr="00FD50F6">
          <w:rPr>
            <w:noProof/>
            <w:webHidden/>
          </w:rPr>
        </w:r>
        <w:r w:rsidR="00D07F0F" w:rsidRPr="00FD50F6">
          <w:rPr>
            <w:noProof/>
            <w:webHidden/>
          </w:rPr>
          <w:fldChar w:fldCharType="separate"/>
        </w:r>
        <w:r>
          <w:rPr>
            <w:noProof/>
            <w:webHidden/>
          </w:rPr>
          <w:t>252</w:t>
        </w:r>
        <w:r w:rsidR="00D07F0F" w:rsidRPr="00FD50F6">
          <w:rPr>
            <w:noProof/>
            <w:webHidden/>
          </w:rPr>
          <w:fldChar w:fldCharType="end"/>
        </w:r>
      </w:hyperlink>
    </w:p>
    <w:p w14:paraId="1426C227" w14:textId="6CB14B83" w:rsidR="00D07F0F" w:rsidRPr="00FD50F6" w:rsidRDefault="00BF2787">
      <w:pPr>
        <w:pStyle w:val="TOC2"/>
        <w:tabs>
          <w:tab w:val="right" w:leader="dot" w:pos="8302"/>
        </w:tabs>
        <w:rPr>
          <w:rFonts w:eastAsiaTheme="minorEastAsia"/>
          <w:smallCaps w:val="0"/>
          <w:noProof/>
          <w:sz w:val="21"/>
          <w:szCs w:val="24"/>
        </w:rPr>
      </w:pPr>
      <w:hyperlink w:anchor="_Toc112830862" w:history="1">
        <w:r w:rsidR="00D07F0F" w:rsidRPr="00FD50F6">
          <w:rPr>
            <w:rStyle w:val="afff1"/>
            <w:noProof/>
            <w:color w:val="auto"/>
            <w:lang w:bidi="en-US"/>
          </w:rPr>
          <w:t xml:space="preserve">28.4 </w:t>
        </w:r>
        <w:r w:rsidR="00D07F0F" w:rsidRPr="00FD50F6">
          <w:rPr>
            <w:rStyle w:val="afff1"/>
            <w:noProof/>
            <w:color w:val="auto"/>
            <w:lang w:bidi="en-US"/>
          </w:rPr>
          <w:t>运行与控制</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_Toc112830862 \h </w:instrText>
        </w:r>
        <w:r w:rsidR="00D07F0F" w:rsidRPr="00FD50F6">
          <w:rPr>
            <w:noProof/>
            <w:webHidden/>
          </w:rPr>
        </w:r>
        <w:r w:rsidR="00D07F0F" w:rsidRPr="00FD50F6">
          <w:rPr>
            <w:noProof/>
            <w:webHidden/>
          </w:rPr>
          <w:fldChar w:fldCharType="separate"/>
        </w:r>
        <w:r>
          <w:rPr>
            <w:noProof/>
            <w:webHidden/>
          </w:rPr>
          <w:t>252</w:t>
        </w:r>
        <w:r w:rsidR="00D07F0F" w:rsidRPr="00FD50F6">
          <w:rPr>
            <w:noProof/>
            <w:webHidden/>
          </w:rPr>
          <w:fldChar w:fldCharType="end"/>
        </w:r>
      </w:hyperlink>
    </w:p>
    <w:p w14:paraId="2DF30CEA" w14:textId="7A2BEF5B" w:rsidR="00D07F0F" w:rsidRPr="00FD50F6" w:rsidRDefault="00BF2787">
      <w:pPr>
        <w:pStyle w:val="TOC2"/>
        <w:tabs>
          <w:tab w:val="right" w:leader="dot" w:pos="8302"/>
        </w:tabs>
        <w:rPr>
          <w:rFonts w:eastAsiaTheme="minorEastAsia"/>
          <w:smallCaps w:val="0"/>
          <w:noProof/>
          <w:sz w:val="21"/>
          <w:szCs w:val="24"/>
        </w:rPr>
      </w:pPr>
      <w:hyperlink w:anchor="_Toc112830863" w:history="1">
        <w:r w:rsidR="00D07F0F" w:rsidRPr="00FD50F6">
          <w:rPr>
            <w:rStyle w:val="afff1"/>
            <w:noProof/>
            <w:color w:val="auto"/>
            <w:lang w:bidi="en-US"/>
          </w:rPr>
          <w:t xml:space="preserve">28.5 </w:t>
        </w:r>
        <w:r w:rsidR="00D07F0F" w:rsidRPr="00FD50F6">
          <w:rPr>
            <w:rStyle w:val="afff1"/>
            <w:noProof/>
            <w:color w:val="auto"/>
            <w:lang w:bidi="en-US"/>
          </w:rPr>
          <w:t>供电与接地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_Toc112830863 \h </w:instrText>
        </w:r>
        <w:r w:rsidR="00D07F0F" w:rsidRPr="00FD50F6">
          <w:rPr>
            <w:noProof/>
            <w:webHidden/>
          </w:rPr>
        </w:r>
        <w:r w:rsidR="00D07F0F" w:rsidRPr="00FD50F6">
          <w:rPr>
            <w:noProof/>
            <w:webHidden/>
          </w:rPr>
          <w:fldChar w:fldCharType="separate"/>
        </w:r>
        <w:r>
          <w:rPr>
            <w:noProof/>
            <w:webHidden/>
          </w:rPr>
          <w:t>253</w:t>
        </w:r>
        <w:r w:rsidR="00D07F0F" w:rsidRPr="00FD50F6">
          <w:rPr>
            <w:noProof/>
            <w:webHidden/>
          </w:rPr>
          <w:fldChar w:fldCharType="end"/>
        </w:r>
      </w:hyperlink>
    </w:p>
    <w:p w14:paraId="60433011" w14:textId="133B6D6F" w:rsidR="00D07F0F" w:rsidRPr="00FD50F6" w:rsidRDefault="00BF2787">
      <w:pPr>
        <w:pStyle w:val="TOC1"/>
        <w:tabs>
          <w:tab w:val="right" w:leader="dot" w:pos="8302"/>
        </w:tabs>
        <w:rPr>
          <w:rFonts w:eastAsiaTheme="minorEastAsia"/>
          <w:b w:val="0"/>
          <w:bCs w:val="0"/>
          <w:caps w:val="0"/>
          <w:noProof/>
          <w:sz w:val="21"/>
          <w:szCs w:val="24"/>
        </w:rPr>
      </w:pPr>
      <w:hyperlink w:anchor="_Toc112830864" w:history="1">
        <w:r w:rsidR="00D07F0F" w:rsidRPr="00FD50F6">
          <w:rPr>
            <w:rStyle w:val="afff1"/>
            <w:noProof/>
            <w:color w:val="auto"/>
          </w:rPr>
          <w:t xml:space="preserve">29 </w:t>
        </w:r>
        <w:r w:rsidR="00D07F0F" w:rsidRPr="00FD50F6">
          <w:rPr>
            <w:rStyle w:val="afff1"/>
            <w:noProof/>
            <w:color w:val="auto"/>
          </w:rPr>
          <w:t>车辆基地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_Toc112830864 \h </w:instrText>
        </w:r>
        <w:r w:rsidR="00D07F0F" w:rsidRPr="00FD50F6">
          <w:rPr>
            <w:noProof/>
            <w:webHidden/>
          </w:rPr>
        </w:r>
        <w:r w:rsidR="00D07F0F" w:rsidRPr="00FD50F6">
          <w:rPr>
            <w:noProof/>
            <w:webHidden/>
          </w:rPr>
          <w:fldChar w:fldCharType="separate"/>
        </w:r>
        <w:r>
          <w:rPr>
            <w:noProof/>
            <w:webHidden/>
          </w:rPr>
          <w:t>255</w:t>
        </w:r>
        <w:r w:rsidR="00D07F0F" w:rsidRPr="00FD50F6">
          <w:rPr>
            <w:noProof/>
            <w:webHidden/>
          </w:rPr>
          <w:fldChar w:fldCharType="end"/>
        </w:r>
      </w:hyperlink>
    </w:p>
    <w:p w14:paraId="0C97EBD3" w14:textId="1DA11F7C" w:rsidR="00D07F0F" w:rsidRPr="00FD50F6" w:rsidRDefault="00BF2787">
      <w:pPr>
        <w:pStyle w:val="TOC2"/>
        <w:tabs>
          <w:tab w:val="right" w:leader="dot" w:pos="8302"/>
        </w:tabs>
        <w:rPr>
          <w:rFonts w:eastAsiaTheme="minorEastAsia"/>
          <w:smallCaps w:val="0"/>
          <w:noProof/>
          <w:sz w:val="21"/>
          <w:szCs w:val="24"/>
        </w:rPr>
      </w:pPr>
      <w:hyperlink w:anchor="_Toc112830865" w:history="1">
        <w:r w:rsidR="00D07F0F" w:rsidRPr="00FD50F6">
          <w:rPr>
            <w:rStyle w:val="afff1"/>
            <w:noProof/>
            <w:color w:val="auto"/>
            <w:lang w:bidi="en-US"/>
          </w:rPr>
          <w:t xml:space="preserve">29.1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_Toc112830865 \h </w:instrText>
        </w:r>
        <w:r w:rsidR="00D07F0F" w:rsidRPr="00FD50F6">
          <w:rPr>
            <w:noProof/>
            <w:webHidden/>
          </w:rPr>
        </w:r>
        <w:r w:rsidR="00D07F0F" w:rsidRPr="00FD50F6">
          <w:rPr>
            <w:noProof/>
            <w:webHidden/>
          </w:rPr>
          <w:fldChar w:fldCharType="separate"/>
        </w:r>
        <w:r>
          <w:rPr>
            <w:noProof/>
            <w:webHidden/>
          </w:rPr>
          <w:t>255</w:t>
        </w:r>
        <w:r w:rsidR="00D07F0F" w:rsidRPr="00FD50F6">
          <w:rPr>
            <w:noProof/>
            <w:webHidden/>
          </w:rPr>
          <w:fldChar w:fldCharType="end"/>
        </w:r>
      </w:hyperlink>
    </w:p>
    <w:p w14:paraId="3B3EA37E" w14:textId="731C5F24" w:rsidR="00D07F0F" w:rsidRPr="00FD50F6" w:rsidRDefault="00BF2787">
      <w:pPr>
        <w:pStyle w:val="TOC2"/>
        <w:tabs>
          <w:tab w:val="right" w:leader="dot" w:pos="8302"/>
        </w:tabs>
        <w:rPr>
          <w:rFonts w:eastAsiaTheme="minorEastAsia"/>
          <w:smallCaps w:val="0"/>
          <w:noProof/>
          <w:sz w:val="21"/>
          <w:szCs w:val="24"/>
        </w:rPr>
      </w:pPr>
      <w:hyperlink w:anchor="_Toc112830866" w:history="1">
        <w:r w:rsidR="00D07F0F" w:rsidRPr="00FD50F6">
          <w:rPr>
            <w:rStyle w:val="afff1"/>
            <w:noProof/>
            <w:color w:val="auto"/>
            <w:lang w:bidi="en-US"/>
          </w:rPr>
          <w:t xml:space="preserve">29.2 </w:t>
        </w:r>
        <w:r w:rsidR="00D07F0F" w:rsidRPr="00FD50F6">
          <w:rPr>
            <w:rStyle w:val="afff1"/>
            <w:noProof/>
            <w:color w:val="auto"/>
            <w:lang w:bidi="en-US"/>
          </w:rPr>
          <w:t>车辆段与停车场的功能、规模及总平面布置</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_Toc112830866 \h </w:instrText>
        </w:r>
        <w:r w:rsidR="00D07F0F" w:rsidRPr="00FD50F6">
          <w:rPr>
            <w:noProof/>
            <w:webHidden/>
          </w:rPr>
        </w:r>
        <w:r w:rsidR="00D07F0F" w:rsidRPr="00FD50F6">
          <w:rPr>
            <w:noProof/>
            <w:webHidden/>
          </w:rPr>
          <w:fldChar w:fldCharType="separate"/>
        </w:r>
        <w:r>
          <w:rPr>
            <w:noProof/>
            <w:webHidden/>
          </w:rPr>
          <w:t>256</w:t>
        </w:r>
        <w:r w:rsidR="00D07F0F" w:rsidRPr="00FD50F6">
          <w:rPr>
            <w:noProof/>
            <w:webHidden/>
          </w:rPr>
          <w:fldChar w:fldCharType="end"/>
        </w:r>
      </w:hyperlink>
    </w:p>
    <w:p w14:paraId="6D12E832" w14:textId="5F36AF06" w:rsidR="00D07F0F" w:rsidRPr="00FD50F6" w:rsidRDefault="00BF2787">
      <w:pPr>
        <w:pStyle w:val="TOC2"/>
        <w:tabs>
          <w:tab w:val="right" w:leader="dot" w:pos="8302"/>
        </w:tabs>
        <w:rPr>
          <w:rFonts w:eastAsiaTheme="minorEastAsia"/>
          <w:smallCaps w:val="0"/>
          <w:noProof/>
          <w:sz w:val="21"/>
          <w:szCs w:val="24"/>
        </w:rPr>
      </w:pPr>
      <w:hyperlink w:anchor="_Toc112830867" w:history="1">
        <w:r w:rsidR="00D07F0F" w:rsidRPr="00FD50F6">
          <w:rPr>
            <w:rStyle w:val="afff1"/>
            <w:noProof/>
            <w:color w:val="auto"/>
            <w:lang w:bidi="en-US"/>
          </w:rPr>
          <w:t xml:space="preserve">29.3 </w:t>
        </w:r>
        <w:r w:rsidR="00D07F0F" w:rsidRPr="00FD50F6">
          <w:rPr>
            <w:rStyle w:val="afff1"/>
            <w:noProof/>
            <w:color w:val="auto"/>
            <w:lang w:bidi="en-US"/>
          </w:rPr>
          <w:t>车辆运用整备设施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_Toc112830867 \h </w:instrText>
        </w:r>
        <w:r w:rsidR="00D07F0F" w:rsidRPr="00FD50F6">
          <w:rPr>
            <w:noProof/>
            <w:webHidden/>
          </w:rPr>
        </w:r>
        <w:r w:rsidR="00D07F0F" w:rsidRPr="00FD50F6">
          <w:rPr>
            <w:noProof/>
            <w:webHidden/>
          </w:rPr>
          <w:fldChar w:fldCharType="separate"/>
        </w:r>
        <w:r>
          <w:rPr>
            <w:noProof/>
            <w:webHidden/>
          </w:rPr>
          <w:t>259</w:t>
        </w:r>
        <w:r w:rsidR="00D07F0F" w:rsidRPr="00FD50F6">
          <w:rPr>
            <w:noProof/>
            <w:webHidden/>
          </w:rPr>
          <w:fldChar w:fldCharType="end"/>
        </w:r>
      </w:hyperlink>
    </w:p>
    <w:p w14:paraId="0962B4B0" w14:textId="2E077D76" w:rsidR="00D07F0F" w:rsidRPr="00FD50F6" w:rsidRDefault="00BF2787">
      <w:pPr>
        <w:pStyle w:val="TOC2"/>
        <w:tabs>
          <w:tab w:val="right" w:leader="dot" w:pos="8302"/>
        </w:tabs>
        <w:rPr>
          <w:rFonts w:eastAsiaTheme="minorEastAsia"/>
          <w:smallCaps w:val="0"/>
          <w:noProof/>
          <w:sz w:val="21"/>
          <w:szCs w:val="24"/>
        </w:rPr>
      </w:pPr>
      <w:hyperlink w:anchor="_Toc112830868" w:history="1">
        <w:r w:rsidR="00D07F0F" w:rsidRPr="00FD50F6">
          <w:rPr>
            <w:rStyle w:val="afff1"/>
            <w:noProof/>
            <w:color w:val="auto"/>
            <w:lang w:bidi="en-US"/>
          </w:rPr>
          <w:t xml:space="preserve">29.4 </w:t>
        </w:r>
        <w:r w:rsidR="00D07F0F" w:rsidRPr="00FD50F6">
          <w:rPr>
            <w:rStyle w:val="afff1"/>
            <w:noProof/>
            <w:color w:val="auto"/>
            <w:lang w:bidi="en-US"/>
          </w:rPr>
          <w:t>车辆检修设施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_Toc112830868 \h </w:instrText>
        </w:r>
        <w:r w:rsidR="00D07F0F" w:rsidRPr="00FD50F6">
          <w:rPr>
            <w:noProof/>
            <w:webHidden/>
          </w:rPr>
        </w:r>
        <w:r w:rsidR="00D07F0F" w:rsidRPr="00FD50F6">
          <w:rPr>
            <w:noProof/>
            <w:webHidden/>
          </w:rPr>
          <w:fldChar w:fldCharType="separate"/>
        </w:r>
        <w:r>
          <w:rPr>
            <w:noProof/>
            <w:webHidden/>
          </w:rPr>
          <w:t>263</w:t>
        </w:r>
        <w:r w:rsidR="00D07F0F" w:rsidRPr="00FD50F6">
          <w:rPr>
            <w:noProof/>
            <w:webHidden/>
          </w:rPr>
          <w:fldChar w:fldCharType="end"/>
        </w:r>
      </w:hyperlink>
    </w:p>
    <w:p w14:paraId="2ABA746B" w14:textId="68F03D13" w:rsidR="00D07F0F" w:rsidRPr="00FD50F6" w:rsidRDefault="00BF2787">
      <w:pPr>
        <w:pStyle w:val="TOC2"/>
        <w:tabs>
          <w:tab w:val="right" w:leader="dot" w:pos="8302"/>
        </w:tabs>
        <w:rPr>
          <w:rFonts w:eastAsiaTheme="minorEastAsia"/>
          <w:smallCaps w:val="0"/>
          <w:noProof/>
          <w:sz w:val="21"/>
          <w:szCs w:val="24"/>
        </w:rPr>
      </w:pPr>
      <w:hyperlink w:anchor="_Toc112830869" w:history="1">
        <w:r w:rsidR="00D07F0F" w:rsidRPr="00FD50F6">
          <w:rPr>
            <w:rStyle w:val="afff1"/>
            <w:noProof/>
            <w:color w:val="auto"/>
            <w:lang w:bidi="en-US"/>
          </w:rPr>
          <w:t xml:space="preserve">29.5 </w:t>
        </w:r>
        <w:r w:rsidR="00D07F0F" w:rsidRPr="00FD50F6">
          <w:rPr>
            <w:rStyle w:val="afff1"/>
            <w:noProof/>
            <w:color w:val="auto"/>
            <w:lang w:bidi="en-US"/>
          </w:rPr>
          <w:t>车辆段设备维修与动力设施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_Toc112830869 \h </w:instrText>
        </w:r>
        <w:r w:rsidR="00D07F0F" w:rsidRPr="00FD50F6">
          <w:rPr>
            <w:noProof/>
            <w:webHidden/>
          </w:rPr>
        </w:r>
        <w:r w:rsidR="00D07F0F" w:rsidRPr="00FD50F6">
          <w:rPr>
            <w:noProof/>
            <w:webHidden/>
          </w:rPr>
          <w:fldChar w:fldCharType="separate"/>
        </w:r>
        <w:r>
          <w:rPr>
            <w:noProof/>
            <w:webHidden/>
          </w:rPr>
          <w:t>268</w:t>
        </w:r>
        <w:r w:rsidR="00D07F0F" w:rsidRPr="00FD50F6">
          <w:rPr>
            <w:noProof/>
            <w:webHidden/>
          </w:rPr>
          <w:fldChar w:fldCharType="end"/>
        </w:r>
      </w:hyperlink>
    </w:p>
    <w:p w14:paraId="4E10F45A" w14:textId="0B86FBF4" w:rsidR="00D07F0F" w:rsidRPr="00FD50F6" w:rsidRDefault="00BF2787">
      <w:pPr>
        <w:pStyle w:val="TOC2"/>
        <w:tabs>
          <w:tab w:val="right" w:leader="dot" w:pos="8302"/>
        </w:tabs>
        <w:rPr>
          <w:rFonts w:eastAsiaTheme="minorEastAsia"/>
          <w:smallCaps w:val="0"/>
          <w:noProof/>
          <w:sz w:val="21"/>
          <w:szCs w:val="24"/>
        </w:rPr>
      </w:pPr>
      <w:hyperlink w:anchor="_Toc112830870" w:history="1">
        <w:r w:rsidR="00D07F0F" w:rsidRPr="00FD50F6">
          <w:rPr>
            <w:rStyle w:val="afff1"/>
            <w:noProof/>
            <w:color w:val="auto"/>
            <w:lang w:bidi="en-US"/>
          </w:rPr>
          <w:t xml:space="preserve">29.6 </w:t>
        </w:r>
        <w:r w:rsidR="00D07F0F" w:rsidRPr="00FD50F6">
          <w:rPr>
            <w:rStyle w:val="afff1"/>
            <w:noProof/>
            <w:color w:val="auto"/>
            <w:lang w:bidi="en-US"/>
          </w:rPr>
          <w:t>综合维修中心</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_Toc112830870 \h </w:instrText>
        </w:r>
        <w:r w:rsidR="00D07F0F" w:rsidRPr="00FD50F6">
          <w:rPr>
            <w:noProof/>
            <w:webHidden/>
          </w:rPr>
        </w:r>
        <w:r w:rsidR="00D07F0F" w:rsidRPr="00FD50F6">
          <w:rPr>
            <w:noProof/>
            <w:webHidden/>
          </w:rPr>
          <w:fldChar w:fldCharType="separate"/>
        </w:r>
        <w:r>
          <w:rPr>
            <w:noProof/>
            <w:webHidden/>
          </w:rPr>
          <w:t>268</w:t>
        </w:r>
        <w:r w:rsidR="00D07F0F" w:rsidRPr="00FD50F6">
          <w:rPr>
            <w:noProof/>
            <w:webHidden/>
          </w:rPr>
          <w:fldChar w:fldCharType="end"/>
        </w:r>
      </w:hyperlink>
    </w:p>
    <w:p w14:paraId="7B7B0578" w14:textId="46F704F2" w:rsidR="00D07F0F" w:rsidRPr="00FD50F6" w:rsidRDefault="00BF2787">
      <w:pPr>
        <w:pStyle w:val="TOC2"/>
        <w:tabs>
          <w:tab w:val="right" w:leader="dot" w:pos="8302"/>
        </w:tabs>
        <w:rPr>
          <w:rFonts w:eastAsiaTheme="minorEastAsia"/>
          <w:smallCaps w:val="0"/>
          <w:noProof/>
          <w:sz w:val="21"/>
          <w:szCs w:val="24"/>
        </w:rPr>
      </w:pPr>
      <w:hyperlink w:anchor="_Toc112830871" w:history="1">
        <w:r w:rsidR="00D07F0F" w:rsidRPr="00FD50F6">
          <w:rPr>
            <w:rStyle w:val="afff1"/>
            <w:noProof/>
            <w:color w:val="auto"/>
            <w:lang w:bidi="en-US"/>
          </w:rPr>
          <w:t xml:space="preserve">29.7 </w:t>
        </w:r>
        <w:r w:rsidR="00D07F0F" w:rsidRPr="00FD50F6">
          <w:rPr>
            <w:rStyle w:val="afff1"/>
            <w:noProof/>
            <w:color w:val="auto"/>
            <w:lang w:bidi="en-US"/>
          </w:rPr>
          <w:t>物资总库</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_Toc112830871 \h </w:instrText>
        </w:r>
        <w:r w:rsidR="00D07F0F" w:rsidRPr="00FD50F6">
          <w:rPr>
            <w:noProof/>
            <w:webHidden/>
          </w:rPr>
        </w:r>
        <w:r w:rsidR="00D07F0F" w:rsidRPr="00FD50F6">
          <w:rPr>
            <w:noProof/>
            <w:webHidden/>
          </w:rPr>
          <w:fldChar w:fldCharType="separate"/>
        </w:r>
        <w:r>
          <w:rPr>
            <w:noProof/>
            <w:webHidden/>
          </w:rPr>
          <w:t>269</w:t>
        </w:r>
        <w:r w:rsidR="00D07F0F" w:rsidRPr="00FD50F6">
          <w:rPr>
            <w:noProof/>
            <w:webHidden/>
          </w:rPr>
          <w:fldChar w:fldCharType="end"/>
        </w:r>
      </w:hyperlink>
    </w:p>
    <w:p w14:paraId="398DD88F" w14:textId="5B320862" w:rsidR="00D07F0F" w:rsidRPr="00FD50F6" w:rsidRDefault="00BF2787">
      <w:pPr>
        <w:pStyle w:val="TOC2"/>
        <w:tabs>
          <w:tab w:val="right" w:leader="dot" w:pos="8302"/>
        </w:tabs>
        <w:rPr>
          <w:rFonts w:eastAsiaTheme="minorEastAsia"/>
          <w:smallCaps w:val="0"/>
          <w:noProof/>
          <w:sz w:val="21"/>
          <w:szCs w:val="24"/>
        </w:rPr>
      </w:pPr>
      <w:hyperlink w:anchor="_Toc112830872" w:history="1">
        <w:r w:rsidR="00D07F0F" w:rsidRPr="00FD50F6">
          <w:rPr>
            <w:rStyle w:val="afff1"/>
            <w:noProof/>
            <w:color w:val="auto"/>
            <w:lang w:bidi="en-US"/>
          </w:rPr>
          <w:t xml:space="preserve">29.8 </w:t>
        </w:r>
        <w:r w:rsidR="00D07F0F" w:rsidRPr="00FD50F6">
          <w:rPr>
            <w:rStyle w:val="afff1"/>
            <w:noProof/>
            <w:color w:val="auto"/>
            <w:lang w:bidi="en-US"/>
          </w:rPr>
          <w:t>培训中心</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_Toc112830872 \h </w:instrText>
        </w:r>
        <w:r w:rsidR="00D07F0F" w:rsidRPr="00FD50F6">
          <w:rPr>
            <w:noProof/>
            <w:webHidden/>
          </w:rPr>
        </w:r>
        <w:r w:rsidR="00D07F0F" w:rsidRPr="00FD50F6">
          <w:rPr>
            <w:noProof/>
            <w:webHidden/>
          </w:rPr>
          <w:fldChar w:fldCharType="separate"/>
        </w:r>
        <w:r>
          <w:rPr>
            <w:noProof/>
            <w:webHidden/>
          </w:rPr>
          <w:t>270</w:t>
        </w:r>
        <w:r w:rsidR="00D07F0F" w:rsidRPr="00FD50F6">
          <w:rPr>
            <w:noProof/>
            <w:webHidden/>
          </w:rPr>
          <w:fldChar w:fldCharType="end"/>
        </w:r>
      </w:hyperlink>
    </w:p>
    <w:p w14:paraId="11B9CB7B" w14:textId="0F06324F" w:rsidR="00D07F0F" w:rsidRPr="00FD50F6" w:rsidRDefault="00BF2787">
      <w:pPr>
        <w:pStyle w:val="TOC2"/>
        <w:tabs>
          <w:tab w:val="right" w:leader="dot" w:pos="8302"/>
        </w:tabs>
        <w:rPr>
          <w:rFonts w:eastAsiaTheme="minorEastAsia"/>
          <w:smallCaps w:val="0"/>
          <w:noProof/>
          <w:sz w:val="21"/>
          <w:szCs w:val="24"/>
        </w:rPr>
      </w:pPr>
      <w:hyperlink w:anchor="_Toc112830873" w:history="1">
        <w:r w:rsidR="00D07F0F" w:rsidRPr="00FD50F6">
          <w:rPr>
            <w:rStyle w:val="afff1"/>
            <w:noProof/>
            <w:color w:val="auto"/>
            <w:lang w:bidi="en-US"/>
          </w:rPr>
          <w:t xml:space="preserve">29.9 </w:t>
        </w:r>
        <w:r w:rsidR="00D07F0F" w:rsidRPr="00FD50F6">
          <w:rPr>
            <w:rStyle w:val="afff1"/>
            <w:noProof/>
            <w:color w:val="auto"/>
            <w:lang w:bidi="en-US"/>
          </w:rPr>
          <w:t>救援设施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_Toc112830873 \h </w:instrText>
        </w:r>
        <w:r w:rsidR="00D07F0F" w:rsidRPr="00FD50F6">
          <w:rPr>
            <w:noProof/>
            <w:webHidden/>
          </w:rPr>
        </w:r>
        <w:r w:rsidR="00D07F0F" w:rsidRPr="00FD50F6">
          <w:rPr>
            <w:noProof/>
            <w:webHidden/>
          </w:rPr>
          <w:fldChar w:fldCharType="separate"/>
        </w:r>
        <w:r>
          <w:rPr>
            <w:noProof/>
            <w:webHidden/>
          </w:rPr>
          <w:t>270</w:t>
        </w:r>
        <w:r w:rsidR="00D07F0F" w:rsidRPr="00FD50F6">
          <w:rPr>
            <w:noProof/>
            <w:webHidden/>
          </w:rPr>
          <w:fldChar w:fldCharType="end"/>
        </w:r>
      </w:hyperlink>
    </w:p>
    <w:p w14:paraId="1FBFE5E2" w14:textId="457D25CB" w:rsidR="00D07F0F" w:rsidRPr="00FD50F6" w:rsidRDefault="00BF2787">
      <w:pPr>
        <w:pStyle w:val="TOC2"/>
        <w:tabs>
          <w:tab w:val="right" w:leader="dot" w:pos="8302"/>
        </w:tabs>
        <w:rPr>
          <w:rFonts w:eastAsiaTheme="minorEastAsia"/>
          <w:smallCaps w:val="0"/>
          <w:noProof/>
          <w:sz w:val="21"/>
          <w:szCs w:val="24"/>
        </w:rPr>
      </w:pPr>
      <w:hyperlink w:anchor="_Toc112830874" w:history="1">
        <w:r w:rsidR="00D07F0F" w:rsidRPr="00FD50F6">
          <w:rPr>
            <w:rStyle w:val="afff1"/>
            <w:noProof/>
            <w:color w:val="auto"/>
            <w:lang w:bidi="en-US"/>
          </w:rPr>
          <w:t xml:space="preserve">29.10 </w:t>
        </w:r>
        <w:r w:rsidR="00D07F0F" w:rsidRPr="00FD50F6">
          <w:rPr>
            <w:rStyle w:val="afff1"/>
            <w:noProof/>
            <w:color w:val="auto"/>
            <w:lang w:bidi="en-US"/>
          </w:rPr>
          <w:t>站场设计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_Toc112830874 \h </w:instrText>
        </w:r>
        <w:r w:rsidR="00D07F0F" w:rsidRPr="00FD50F6">
          <w:rPr>
            <w:noProof/>
            <w:webHidden/>
          </w:rPr>
        </w:r>
        <w:r w:rsidR="00D07F0F" w:rsidRPr="00FD50F6">
          <w:rPr>
            <w:noProof/>
            <w:webHidden/>
          </w:rPr>
          <w:fldChar w:fldCharType="separate"/>
        </w:r>
        <w:r>
          <w:rPr>
            <w:noProof/>
            <w:webHidden/>
          </w:rPr>
          <w:t>270</w:t>
        </w:r>
        <w:r w:rsidR="00D07F0F" w:rsidRPr="00FD50F6">
          <w:rPr>
            <w:noProof/>
            <w:webHidden/>
          </w:rPr>
          <w:fldChar w:fldCharType="end"/>
        </w:r>
      </w:hyperlink>
    </w:p>
    <w:p w14:paraId="1FE2CB6C" w14:textId="75A95EC8" w:rsidR="00D07F0F" w:rsidRPr="00FD50F6" w:rsidRDefault="00BF2787">
      <w:pPr>
        <w:pStyle w:val="TOC2"/>
        <w:tabs>
          <w:tab w:val="right" w:leader="dot" w:pos="8302"/>
        </w:tabs>
        <w:rPr>
          <w:rFonts w:eastAsiaTheme="minorEastAsia"/>
          <w:smallCaps w:val="0"/>
          <w:noProof/>
          <w:sz w:val="21"/>
          <w:szCs w:val="24"/>
        </w:rPr>
      </w:pPr>
      <w:hyperlink w:anchor="_Toc112830876" w:history="1">
        <w:r w:rsidR="00D07F0F" w:rsidRPr="00FD50F6">
          <w:rPr>
            <w:rStyle w:val="afff1"/>
            <w:noProof/>
            <w:color w:val="auto"/>
            <w:lang w:bidi="en-US"/>
          </w:rPr>
          <w:t xml:space="preserve">29.11 </w:t>
        </w:r>
        <w:r w:rsidR="00D07F0F" w:rsidRPr="00FD50F6">
          <w:rPr>
            <w:rStyle w:val="afff1"/>
            <w:noProof/>
            <w:color w:val="auto"/>
            <w:lang w:bidi="en-US"/>
          </w:rPr>
          <w:t>其他工程</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_Toc112830876 \h </w:instrText>
        </w:r>
        <w:r w:rsidR="00D07F0F" w:rsidRPr="00FD50F6">
          <w:rPr>
            <w:noProof/>
            <w:webHidden/>
          </w:rPr>
        </w:r>
        <w:r w:rsidR="00D07F0F" w:rsidRPr="00FD50F6">
          <w:rPr>
            <w:noProof/>
            <w:webHidden/>
          </w:rPr>
          <w:fldChar w:fldCharType="separate"/>
        </w:r>
        <w:r>
          <w:rPr>
            <w:noProof/>
            <w:webHidden/>
          </w:rPr>
          <w:t>272</w:t>
        </w:r>
        <w:r w:rsidR="00D07F0F" w:rsidRPr="00FD50F6">
          <w:rPr>
            <w:noProof/>
            <w:webHidden/>
          </w:rPr>
          <w:fldChar w:fldCharType="end"/>
        </w:r>
      </w:hyperlink>
    </w:p>
    <w:p w14:paraId="5AA2AA2D" w14:textId="66544E30" w:rsidR="00D07F0F" w:rsidRPr="00FD50F6" w:rsidRDefault="00BF2787">
      <w:pPr>
        <w:pStyle w:val="TOC1"/>
        <w:tabs>
          <w:tab w:val="right" w:leader="dot" w:pos="8302"/>
        </w:tabs>
        <w:rPr>
          <w:rFonts w:eastAsiaTheme="minorEastAsia"/>
          <w:b w:val="0"/>
          <w:bCs w:val="0"/>
          <w:caps w:val="0"/>
          <w:noProof/>
          <w:sz w:val="21"/>
          <w:szCs w:val="24"/>
        </w:rPr>
      </w:pPr>
      <w:hyperlink w:anchor="_Toc112830877" w:history="1">
        <w:r w:rsidR="00D07F0F" w:rsidRPr="00FD50F6">
          <w:rPr>
            <w:rStyle w:val="afff1"/>
            <w:noProof/>
            <w:color w:val="auto"/>
          </w:rPr>
          <w:t xml:space="preserve">30 </w:t>
        </w:r>
        <w:r w:rsidR="00D07F0F" w:rsidRPr="00FD50F6">
          <w:rPr>
            <w:rStyle w:val="afff1"/>
            <w:noProof/>
            <w:color w:val="auto"/>
          </w:rPr>
          <w:t>防灾</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_Toc112830877 \h </w:instrText>
        </w:r>
        <w:r w:rsidR="00D07F0F" w:rsidRPr="00FD50F6">
          <w:rPr>
            <w:noProof/>
            <w:webHidden/>
          </w:rPr>
        </w:r>
        <w:r w:rsidR="00D07F0F" w:rsidRPr="00FD50F6">
          <w:rPr>
            <w:noProof/>
            <w:webHidden/>
          </w:rPr>
          <w:fldChar w:fldCharType="separate"/>
        </w:r>
        <w:r>
          <w:rPr>
            <w:noProof/>
            <w:webHidden/>
          </w:rPr>
          <w:t>273</w:t>
        </w:r>
        <w:r w:rsidR="00D07F0F" w:rsidRPr="00FD50F6">
          <w:rPr>
            <w:noProof/>
            <w:webHidden/>
          </w:rPr>
          <w:fldChar w:fldCharType="end"/>
        </w:r>
      </w:hyperlink>
    </w:p>
    <w:p w14:paraId="2D67662D" w14:textId="35CB0FCE" w:rsidR="00D07F0F" w:rsidRPr="00FD50F6" w:rsidRDefault="00BF2787">
      <w:pPr>
        <w:pStyle w:val="TOC2"/>
        <w:tabs>
          <w:tab w:val="right" w:leader="dot" w:pos="8302"/>
        </w:tabs>
        <w:rPr>
          <w:rFonts w:eastAsiaTheme="minorEastAsia"/>
          <w:smallCaps w:val="0"/>
          <w:noProof/>
          <w:sz w:val="21"/>
          <w:szCs w:val="24"/>
        </w:rPr>
      </w:pPr>
      <w:hyperlink w:anchor="_Toc112830878" w:history="1">
        <w:r w:rsidR="00D07F0F" w:rsidRPr="00FD50F6">
          <w:rPr>
            <w:rStyle w:val="afff1"/>
            <w:noProof/>
            <w:color w:val="auto"/>
            <w:lang w:bidi="en-US"/>
          </w:rPr>
          <w:t xml:space="preserve">30.1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_Toc112830878 \h </w:instrText>
        </w:r>
        <w:r w:rsidR="00D07F0F" w:rsidRPr="00FD50F6">
          <w:rPr>
            <w:noProof/>
            <w:webHidden/>
          </w:rPr>
        </w:r>
        <w:r w:rsidR="00D07F0F" w:rsidRPr="00FD50F6">
          <w:rPr>
            <w:noProof/>
            <w:webHidden/>
          </w:rPr>
          <w:fldChar w:fldCharType="separate"/>
        </w:r>
        <w:r>
          <w:rPr>
            <w:noProof/>
            <w:webHidden/>
          </w:rPr>
          <w:t>273</w:t>
        </w:r>
        <w:r w:rsidR="00D07F0F" w:rsidRPr="00FD50F6">
          <w:rPr>
            <w:noProof/>
            <w:webHidden/>
          </w:rPr>
          <w:fldChar w:fldCharType="end"/>
        </w:r>
      </w:hyperlink>
    </w:p>
    <w:p w14:paraId="72C7A06A" w14:textId="4FFF9054" w:rsidR="00D07F0F" w:rsidRPr="00FD50F6" w:rsidRDefault="00BF2787">
      <w:pPr>
        <w:pStyle w:val="TOC2"/>
        <w:tabs>
          <w:tab w:val="right" w:leader="dot" w:pos="8302"/>
        </w:tabs>
        <w:rPr>
          <w:rFonts w:eastAsiaTheme="minorEastAsia"/>
          <w:smallCaps w:val="0"/>
          <w:noProof/>
          <w:sz w:val="21"/>
          <w:szCs w:val="24"/>
        </w:rPr>
      </w:pPr>
      <w:hyperlink w:anchor="_Toc112830879" w:history="1">
        <w:r w:rsidR="00D07F0F" w:rsidRPr="00FD50F6">
          <w:rPr>
            <w:rStyle w:val="afff1"/>
            <w:noProof/>
            <w:color w:val="auto"/>
            <w:lang w:bidi="en-US"/>
          </w:rPr>
          <w:t xml:space="preserve">30.2 </w:t>
        </w:r>
        <w:r w:rsidR="00D07F0F" w:rsidRPr="00FD50F6">
          <w:rPr>
            <w:rStyle w:val="afff1"/>
            <w:noProof/>
            <w:color w:val="auto"/>
            <w:lang w:bidi="en-US"/>
          </w:rPr>
          <w:t>建筑防火</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_Toc112830879 \h </w:instrText>
        </w:r>
        <w:r w:rsidR="00D07F0F" w:rsidRPr="00FD50F6">
          <w:rPr>
            <w:noProof/>
            <w:webHidden/>
          </w:rPr>
        </w:r>
        <w:r w:rsidR="00D07F0F" w:rsidRPr="00FD50F6">
          <w:rPr>
            <w:noProof/>
            <w:webHidden/>
          </w:rPr>
          <w:fldChar w:fldCharType="separate"/>
        </w:r>
        <w:r>
          <w:rPr>
            <w:noProof/>
            <w:webHidden/>
          </w:rPr>
          <w:t>274</w:t>
        </w:r>
        <w:r w:rsidR="00D07F0F" w:rsidRPr="00FD50F6">
          <w:rPr>
            <w:noProof/>
            <w:webHidden/>
          </w:rPr>
          <w:fldChar w:fldCharType="end"/>
        </w:r>
      </w:hyperlink>
    </w:p>
    <w:p w14:paraId="6F61FB11" w14:textId="271E32AA" w:rsidR="00D07F0F" w:rsidRPr="00FD50F6" w:rsidRDefault="00BF2787">
      <w:pPr>
        <w:pStyle w:val="TOC2"/>
        <w:tabs>
          <w:tab w:val="right" w:leader="dot" w:pos="8302"/>
        </w:tabs>
        <w:rPr>
          <w:rFonts w:eastAsiaTheme="minorEastAsia"/>
          <w:smallCaps w:val="0"/>
          <w:noProof/>
          <w:sz w:val="21"/>
          <w:szCs w:val="24"/>
        </w:rPr>
      </w:pPr>
      <w:hyperlink w:anchor="_Toc112830880" w:history="1">
        <w:r w:rsidR="00D07F0F" w:rsidRPr="00FD50F6">
          <w:rPr>
            <w:rStyle w:val="afff1"/>
            <w:noProof/>
            <w:color w:val="auto"/>
            <w:lang w:bidi="en-US"/>
          </w:rPr>
          <w:t xml:space="preserve">30.3 </w:t>
        </w:r>
        <w:r w:rsidR="00D07F0F" w:rsidRPr="00FD50F6">
          <w:rPr>
            <w:rStyle w:val="afff1"/>
            <w:noProof/>
            <w:color w:val="auto"/>
            <w:lang w:bidi="en-US"/>
          </w:rPr>
          <w:t>消防给水与灭火</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_Toc112830880 \h </w:instrText>
        </w:r>
        <w:r w:rsidR="00D07F0F" w:rsidRPr="00FD50F6">
          <w:rPr>
            <w:noProof/>
            <w:webHidden/>
          </w:rPr>
        </w:r>
        <w:r w:rsidR="00D07F0F" w:rsidRPr="00FD50F6">
          <w:rPr>
            <w:noProof/>
            <w:webHidden/>
          </w:rPr>
          <w:fldChar w:fldCharType="separate"/>
        </w:r>
        <w:r>
          <w:rPr>
            <w:noProof/>
            <w:webHidden/>
          </w:rPr>
          <w:t>282</w:t>
        </w:r>
        <w:r w:rsidR="00D07F0F" w:rsidRPr="00FD50F6">
          <w:rPr>
            <w:noProof/>
            <w:webHidden/>
          </w:rPr>
          <w:fldChar w:fldCharType="end"/>
        </w:r>
      </w:hyperlink>
    </w:p>
    <w:p w14:paraId="1CE99F0F" w14:textId="73CE189E" w:rsidR="00D07F0F" w:rsidRPr="00FD50F6" w:rsidRDefault="00BF2787">
      <w:pPr>
        <w:pStyle w:val="TOC2"/>
        <w:tabs>
          <w:tab w:val="right" w:leader="dot" w:pos="8302"/>
        </w:tabs>
        <w:rPr>
          <w:rFonts w:eastAsiaTheme="minorEastAsia"/>
          <w:smallCaps w:val="0"/>
          <w:noProof/>
          <w:sz w:val="21"/>
          <w:szCs w:val="24"/>
        </w:rPr>
      </w:pPr>
      <w:hyperlink w:anchor="_Toc112830881" w:history="1">
        <w:r w:rsidR="00D07F0F" w:rsidRPr="00FD50F6">
          <w:rPr>
            <w:rStyle w:val="afff1"/>
            <w:noProof/>
            <w:color w:val="auto"/>
            <w:lang w:bidi="en-US"/>
          </w:rPr>
          <w:t xml:space="preserve">30.4 </w:t>
        </w:r>
        <w:r w:rsidR="00D07F0F" w:rsidRPr="00FD50F6">
          <w:rPr>
            <w:rStyle w:val="afff1"/>
            <w:noProof/>
            <w:color w:val="auto"/>
            <w:lang w:bidi="en-US"/>
          </w:rPr>
          <w:t>防烟、排烟与事故通风</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_Toc112830881 \h </w:instrText>
        </w:r>
        <w:r w:rsidR="00D07F0F" w:rsidRPr="00FD50F6">
          <w:rPr>
            <w:noProof/>
            <w:webHidden/>
          </w:rPr>
        </w:r>
        <w:r w:rsidR="00D07F0F" w:rsidRPr="00FD50F6">
          <w:rPr>
            <w:noProof/>
            <w:webHidden/>
          </w:rPr>
          <w:fldChar w:fldCharType="separate"/>
        </w:r>
        <w:r>
          <w:rPr>
            <w:noProof/>
            <w:webHidden/>
          </w:rPr>
          <w:t>287</w:t>
        </w:r>
        <w:r w:rsidR="00D07F0F" w:rsidRPr="00FD50F6">
          <w:rPr>
            <w:noProof/>
            <w:webHidden/>
          </w:rPr>
          <w:fldChar w:fldCharType="end"/>
        </w:r>
      </w:hyperlink>
    </w:p>
    <w:p w14:paraId="4987BADF" w14:textId="669F0BD4" w:rsidR="00D07F0F" w:rsidRPr="00FD50F6" w:rsidRDefault="00BF2787">
      <w:pPr>
        <w:pStyle w:val="TOC2"/>
        <w:tabs>
          <w:tab w:val="right" w:leader="dot" w:pos="8302"/>
        </w:tabs>
        <w:rPr>
          <w:rFonts w:eastAsiaTheme="minorEastAsia"/>
          <w:smallCaps w:val="0"/>
          <w:noProof/>
          <w:sz w:val="21"/>
          <w:szCs w:val="24"/>
        </w:rPr>
      </w:pPr>
      <w:hyperlink w:anchor="_Toc112830882" w:history="1">
        <w:r w:rsidR="00D07F0F" w:rsidRPr="00FD50F6">
          <w:rPr>
            <w:rStyle w:val="afff1"/>
            <w:noProof/>
            <w:color w:val="auto"/>
            <w:lang w:bidi="en-US"/>
          </w:rPr>
          <w:t xml:space="preserve">30.5 </w:t>
        </w:r>
        <w:r w:rsidR="00D07F0F" w:rsidRPr="00FD50F6">
          <w:rPr>
            <w:rStyle w:val="afff1"/>
            <w:noProof/>
            <w:color w:val="auto"/>
            <w:lang w:bidi="en-US"/>
          </w:rPr>
          <w:t>防灾通信</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_Toc112830882 \h </w:instrText>
        </w:r>
        <w:r w:rsidR="00D07F0F" w:rsidRPr="00FD50F6">
          <w:rPr>
            <w:noProof/>
            <w:webHidden/>
          </w:rPr>
        </w:r>
        <w:r w:rsidR="00D07F0F" w:rsidRPr="00FD50F6">
          <w:rPr>
            <w:noProof/>
            <w:webHidden/>
          </w:rPr>
          <w:fldChar w:fldCharType="separate"/>
        </w:r>
        <w:r>
          <w:rPr>
            <w:noProof/>
            <w:webHidden/>
          </w:rPr>
          <w:t>290</w:t>
        </w:r>
        <w:r w:rsidR="00D07F0F" w:rsidRPr="00FD50F6">
          <w:rPr>
            <w:noProof/>
            <w:webHidden/>
          </w:rPr>
          <w:fldChar w:fldCharType="end"/>
        </w:r>
      </w:hyperlink>
    </w:p>
    <w:p w14:paraId="7718CE3B" w14:textId="4DAD4288" w:rsidR="00D07F0F" w:rsidRPr="00FD50F6" w:rsidRDefault="00BF2787">
      <w:pPr>
        <w:pStyle w:val="TOC2"/>
        <w:tabs>
          <w:tab w:val="right" w:leader="dot" w:pos="8302"/>
        </w:tabs>
        <w:rPr>
          <w:rFonts w:eastAsiaTheme="minorEastAsia"/>
          <w:smallCaps w:val="0"/>
          <w:noProof/>
          <w:sz w:val="21"/>
          <w:szCs w:val="24"/>
        </w:rPr>
      </w:pPr>
      <w:hyperlink w:anchor="_Toc112830883" w:history="1">
        <w:r w:rsidR="00D07F0F" w:rsidRPr="00FD50F6">
          <w:rPr>
            <w:rStyle w:val="afff1"/>
            <w:noProof/>
            <w:color w:val="auto"/>
            <w:lang w:bidi="en-US"/>
          </w:rPr>
          <w:t xml:space="preserve">30.6 </w:t>
        </w:r>
        <w:r w:rsidR="00D07F0F" w:rsidRPr="00FD50F6">
          <w:rPr>
            <w:rStyle w:val="afff1"/>
            <w:noProof/>
            <w:color w:val="auto"/>
            <w:lang w:bidi="en-US"/>
          </w:rPr>
          <w:t>消防用电与疏散照明</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_Toc112830883 \h </w:instrText>
        </w:r>
        <w:r w:rsidR="00D07F0F" w:rsidRPr="00FD50F6">
          <w:rPr>
            <w:noProof/>
            <w:webHidden/>
          </w:rPr>
        </w:r>
        <w:r w:rsidR="00D07F0F" w:rsidRPr="00FD50F6">
          <w:rPr>
            <w:noProof/>
            <w:webHidden/>
          </w:rPr>
          <w:fldChar w:fldCharType="separate"/>
        </w:r>
        <w:r>
          <w:rPr>
            <w:noProof/>
            <w:webHidden/>
          </w:rPr>
          <w:t>290</w:t>
        </w:r>
        <w:r w:rsidR="00D07F0F" w:rsidRPr="00FD50F6">
          <w:rPr>
            <w:noProof/>
            <w:webHidden/>
          </w:rPr>
          <w:fldChar w:fldCharType="end"/>
        </w:r>
      </w:hyperlink>
    </w:p>
    <w:p w14:paraId="0DACA9BE" w14:textId="094BC7F6" w:rsidR="00D07F0F" w:rsidRPr="00FD50F6" w:rsidRDefault="00BF2787">
      <w:pPr>
        <w:pStyle w:val="TOC2"/>
        <w:tabs>
          <w:tab w:val="right" w:leader="dot" w:pos="8302"/>
        </w:tabs>
        <w:rPr>
          <w:rFonts w:eastAsiaTheme="minorEastAsia"/>
          <w:smallCaps w:val="0"/>
          <w:noProof/>
          <w:sz w:val="21"/>
          <w:szCs w:val="24"/>
        </w:rPr>
      </w:pPr>
      <w:hyperlink w:anchor="_Toc112830884" w:history="1">
        <w:r w:rsidR="00D07F0F" w:rsidRPr="00FD50F6">
          <w:rPr>
            <w:rStyle w:val="afff1"/>
            <w:noProof/>
            <w:color w:val="auto"/>
            <w:lang w:bidi="en-US"/>
          </w:rPr>
          <w:t xml:space="preserve">30.7 </w:t>
        </w:r>
        <w:r w:rsidR="00D07F0F" w:rsidRPr="00FD50F6">
          <w:rPr>
            <w:rStyle w:val="afff1"/>
            <w:noProof/>
            <w:color w:val="auto"/>
            <w:lang w:bidi="en-US"/>
          </w:rPr>
          <w:t>防水淹</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_Toc112830884 \h </w:instrText>
        </w:r>
        <w:r w:rsidR="00D07F0F" w:rsidRPr="00FD50F6">
          <w:rPr>
            <w:noProof/>
            <w:webHidden/>
          </w:rPr>
        </w:r>
        <w:r w:rsidR="00D07F0F" w:rsidRPr="00FD50F6">
          <w:rPr>
            <w:noProof/>
            <w:webHidden/>
          </w:rPr>
          <w:fldChar w:fldCharType="separate"/>
        </w:r>
        <w:r>
          <w:rPr>
            <w:noProof/>
            <w:webHidden/>
          </w:rPr>
          <w:t>291</w:t>
        </w:r>
        <w:r w:rsidR="00D07F0F" w:rsidRPr="00FD50F6">
          <w:rPr>
            <w:noProof/>
            <w:webHidden/>
          </w:rPr>
          <w:fldChar w:fldCharType="end"/>
        </w:r>
      </w:hyperlink>
    </w:p>
    <w:p w14:paraId="33F89EB0" w14:textId="0CE7D6F1" w:rsidR="00D07F0F" w:rsidRPr="00FD50F6" w:rsidRDefault="00BF2787">
      <w:pPr>
        <w:pStyle w:val="TOC2"/>
        <w:tabs>
          <w:tab w:val="right" w:leader="dot" w:pos="8302"/>
        </w:tabs>
        <w:rPr>
          <w:rFonts w:eastAsiaTheme="minorEastAsia"/>
          <w:smallCaps w:val="0"/>
          <w:noProof/>
          <w:sz w:val="21"/>
          <w:szCs w:val="24"/>
        </w:rPr>
      </w:pPr>
      <w:hyperlink w:anchor="_Toc112830885" w:history="1">
        <w:r w:rsidR="00D07F0F" w:rsidRPr="00FD50F6">
          <w:rPr>
            <w:rStyle w:val="afff1"/>
            <w:noProof/>
            <w:color w:val="auto"/>
            <w:lang w:bidi="en-US"/>
          </w:rPr>
          <w:t xml:space="preserve">30.8 </w:t>
        </w:r>
        <w:r w:rsidR="00D07F0F" w:rsidRPr="00FD50F6">
          <w:rPr>
            <w:rStyle w:val="afff1"/>
            <w:noProof/>
            <w:color w:val="auto"/>
            <w:lang w:bidi="en-US"/>
          </w:rPr>
          <w:t>其他灾害预防与报警</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_Toc112830885 \h </w:instrText>
        </w:r>
        <w:r w:rsidR="00D07F0F" w:rsidRPr="00FD50F6">
          <w:rPr>
            <w:noProof/>
            <w:webHidden/>
          </w:rPr>
        </w:r>
        <w:r w:rsidR="00D07F0F" w:rsidRPr="00FD50F6">
          <w:rPr>
            <w:noProof/>
            <w:webHidden/>
          </w:rPr>
          <w:fldChar w:fldCharType="separate"/>
        </w:r>
        <w:r>
          <w:rPr>
            <w:noProof/>
            <w:webHidden/>
          </w:rPr>
          <w:t>293</w:t>
        </w:r>
        <w:r w:rsidR="00D07F0F" w:rsidRPr="00FD50F6">
          <w:rPr>
            <w:noProof/>
            <w:webHidden/>
          </w:rPr>
          <w:fldChar w:fldCharType="end"/>
        </w:r>
      </w:hyperlink>
    </w:p>
    <w:p w14:paraId="63EC9669" w14:textId="2E6AA183" w:rsidR="00D07F0F" w:rsidRPr="00FD50F6" w:rsidRDefault="00BF2787">
      <w:pPr>
        <w:pStyle w:val="TOC1"/>
        <w:tabs>
          <w:tab w:val="right" w:leader="dot" w:pos="8302"/>
        </w:tabs>
        <w:rPr>
          <w:rFonts w:eastAsiaTheme="minorEastAsia"/>
          <w:b w:val="0"/>
          <w:bCs w:val="0"/>
          <w:caps w:val="0"/>
          <w:noProof/>
          <w:sz w:val="21"/>
          <w:szCs w:val="24"/>
        </w:rPr>
      </w:pPr>
      <w:hyperlink w:anchor="_Toc112830886" w:history="1">
        <w:r w:rsidR="00D07F0F" w:rsidRPr="00FD50F6">
          <w:rPr>
            <w:rStyle w:val="afff1"/>
            <w:noProof/>
            <w:color w:val="auto"/>
          </w:rPr>
          <w:t xml:space="preserve">31 </w:t>
        </w:r>
        <w:r w:rsidR="00D07F0F" w:rsidRPr="00FD50F6">
          <w:rPr>
            <w:rStyle w:val="afff1"/>
            <w:noProof/>
            <w:color w:val="auto"/>
          </w:rPr>
          <w:t>环境保护</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_Toc112830886 \h </w:instrText>
        </w:r>
        <w:r w:rsidR="00D07F0F" w:rsidRPr="00FD50F6">
          <w:rPr>
            <w:noProof/>
            <w:webHidden/>
          </w:rPr>
        </w:r>
        <w:r w:rsidR="00D07F0F" w:rsidRPr="00FD50F6">
          <w:rPr>
            <w:noProof/>
            <w:webHidden/>
          </w:rPr>
          <w:fldChar w:fldCharType="separate"/>
        </w:r>
        <w:r>
          <w:rPr>
            <w:noProof/>
            <w:webHidden/>
          </w:rPr>
          <w:t>295</w:t>
        </w:r>
        <w:r w:rsidR="00D07F0F" w:rsidRPr="00FD50F6">
          <w:rPr>
            <w:noProof/>
            <w:webHidden/>
          </w:rPr>
          <w:fldChar w:fldCharType="end"/>
        </w:r>
      </w:hyperlink>
    </w:p>
    <w:p w14:paraId="06531722" w14:textId="0F040531" w:rsidR="00D07F0F" w:rsidRPr="00FD50F6" w:rsidRDefault="00BF2787">
      <w:pPr>
        <w:pStyle w:val="TOC2"/>
        <w:tabs>
          <w:tab w:val="right" w:leader="dot" w:pos="8302"/>
        </w:tabs>
        <w:rPr>
          <w:rFonts w:eastAsiaTheme="minorEastAsia"/>
          <w:smallCaps w:val="0"/>
          <w:noProof/>
          <w:sz w:val="21"/>
          <w:szCs w:val="24"/>
        </w:rPr>
      </w:pPr>
      <w:hyperlink w:anchor="_Toc112830887" w:history="1">
        <w:r w:rsidR="00D07F0F" w:rsidRPr="00FD50F6">
          <w:rPr>
            <w:rStyle w:val="afff1"/>
            <w:noProof/>
            <w:color w:val="auto"/>
            <w:lang w:bidi="en-US"/>
          </w:rPr>
          <w:t xml:space="preserve">31.1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_Toc112830887 \h </w:instrText>
        </w:r>
        <w:r w:rsidR="00D07F0F" w:rsidRPr="00FD50F6">
          <w:rPr>
            <w:noProof/>
            <w:webHidden/>
          </w:rPr>
        </w:r>
        <w:r w:rsidR="00D07F0F" w:rsidRPr="00FD50F6">
          <w:rPr>
            <w:noProof/>
            <w:webHidden/>
          </w:rPr>
          <w:fldChar w:fldCharType="separate"/>
        </w:r>
        <w:r>
          <w:rPr>
            <w:noProof/>
            <w:webHidden/>
          </w:rPr>
          <w:t>295</w:t>
        </w:r>
        <w:r w:rsidR="00D07F0F" w:rsidRPr="00FD50F6">
          <w:rPr>
            <w:noProof/>
            <w:webHidden/>
          </w:rPr>
          <w:fldChar w:fldCharType="end"/>
        </w:r>
      </w:hyperlink>
    </w:p>
    <w:p w14:paraId="3CAB36CA" w14:textId="68FF9445" w:rsidR="00D07F0F" w:rsidRPr="00FD50F6" w:rsidRDefault="00BF2787">
      <w:pPr>
        <w:pStyle w:val="TOC2"/>
        <w:tabs>
          <w:tab w:val="right" w:leader="dot" w:pos="8302"/>
        </w:tabs>
        <w:rPr>
          <w:rFonts w:eastAsiaTheme="minorEastAsia"/>
          <w:smallCaps w:val="0"/>
          <w:noProof/>
          <w:sz w:val="21"/>
          <w:szCs w:val="24"/>
        </w:rPr>
      </w:pPr>
      <w:hyperlink w:anchor="_Toc112830888" w:history="1">
        <w:r w:rsidR="00D07F0F" w:rsidRPr="00FD50F6">
          <w:rPr>
            <w:rStyle w:val="afff1"/>
            <w:noProof/>
            <w:color w:val="auto"/>
            <w:lang w:bidi="en-US"/>
          </w:rPr>
          <w:t xml:space="preserve">31.2 </w:t>
        </w:r>
        <w:r w:rsidR="00D07F0F" w:rsidRPr="00FD50F6">
          <w:rPr>
            <w:rStyle w:val="afff1"/>
            <w:noProof/>
            <w:color w:val="auto"/>
            <w:lang w:bidi="en-US"/>
          </w:rPr>
          <w:t>环境标准及要求</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_Toc112830888 \h </w:instrText>
        </w:r>
        <w:r w:rsidR="00D07F0F" w:rsidRPr="00FD50F6">
          <w:rPr>
            <w:noProof/>
            <w:webHidden/>
          </w:rPr>
        </w:r>
        <w:r w:rsidR="00D07F0F" w:rsidRPr="00FD50F6">
          <w:rPr>
            <w:noProof/>
            <w:webHidden/>
          </w:rPr>
          <w:fldChar w:fldCharType="separate"/>
        </w:r>
        <w:r>
          <w:rPr>
            <w:noProof/>
            <w:webHidden/>
          </w:rPr>
          <w:t>296</w:t>
        </w:r>
        <w:r w:rsidR="00D07F0F" w:rsidRPr="00FD50F6">
          <w:rPr>
            <w:noProof/>
            <w:webHidden/>
          </w:rPr>
          <w:fldChar w:fldCharType="end"/>
        </w:r>
      </w:hyperlink>
    </w:p>
    <w:p w14:paraId="0F61A925" w14:textId="7698F5AB" w:rsidR="00D07F0F" w:rsidRPr="00FD50F6" w:rsidRDefault="00BF2787">
      <w:pPr>
        <w:pStyle w:val="TOC2"/>
        <w:tabs>
          <w:tab w:val="right" w:leader="dot" w:pos="8302"/>
        </w:tabs>
        <w:rPr>
          <w:rFonts w:eastAsiaTheme="minorEastAsia"/>
          <w:smallCaps w:val="0"/>
          <w:noProof/>
          <w:sz w:val="21"/>
          <w:szCs w:val="24"/>
        </w:rPr>
      </w:pPr>
      <w:hyperlink w:anchor="_Toc112830889" w:history="1">
        <w:r w:rsidR="00D07F0F" w:rsidRPr="00FD50F6">
          <w:rPr>
            <w:rStyle w:val="afff1"/>
            <w:noProof/>
            <w:color w:val="auto"/>
            <w:lang w:bidi="en-US"/>
          </w:rPr>
          <w:t xml:space="preserve">31.3 </w:t>
        </w:r>
        <w:r w:rsidR="00D07F0F" w:rsidRPr="00FD50F6">
          <w:rPr>
            <w:rStyle w:val="afff1"/>
            <w:noProof/>
            <w:color w:val="auto"/>
            <w:lang w:bidi="en-US"/>
          </w:rPr>
          <w:t>声环境保护措施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_Toc112830889 \h </w:instrText>
        </w:r>
        <w:r w:rsidR="00D07F0F" w:rsidRPr="00FD50F6">
          <w:rPr>
            <w:noProof/>
            <w:webHidden/>
          </w:rPr>
        </w:r>
        <w:r w:rsidR="00D07F0F" w:rsidRPr="00FD50F6">
          <w:rPr>
            <w:noProof/>
            <w:webHidden/>
          </w:rPr>
          <w:fldChar w:fldCharType="separate"/>
        </w:r>
        <w:r>
          <w:rPr>
            <w:noProof/>
            <w:webHidden/>
          </w:rPr>
          <w:t>298</w:t>
        </w:r>
        <w:r w:rsidR="00D07F0F" w:rsidRPr="00FD50F6">
          <w:rPr>
            <w:noProof/>
            <w:webHidden/>
          </w:rPr>
          <w:fldChar w:fldCharType="end"/>
        </w:r>
      </w:hyperlink>
    </w:p>
    <w:p w14:paraId="30A2A80A" w14:textId="05A7AF45" w:rsidR="00D07F0F" w:rsidRPr="00FD50F6" w:rsidRDefault="00BF2787">
      <w:pPr>
        <w:pStyle w:val="TOC2"/>
        <w:tabs>
          <w:tab w:val="right" w:leader="dot" w:pos="8302"/>
        </w:tabs>
        <w:rPr>
          <w:rFonts w:eastAsiaTheme="minorEastAsia"/>
          <w:smallCaps w:val="0"/>
          <w:noProof/>
          <w:sz w:val="21"/>
          <w:szCs w:val="24"/>
        </w:rPr>
      </w:pPr>
      <w:hyperlink w:anchor="_Toc112830890" w:history="1">
        <w:r w:rsidR="00D07F0F" w:rsidRPr="00FD50F6">
          <w:rPr>
            <w:rStyle w:val="afff1"/>
            <w:noProof/>
            <w:color w:val="auto"/>
            <w:lang w:bidi="en-US"/>
          </w:rPr>
          <w:t xml:space="preserve">31.4 </w:t>
        </w:r>
        <w:r w:rsidR="00D07F0F" w:rsidRPr="00FD50F6">
          <w:rPr>
            <w:rStyle w:val="afff1"/>
            <w:noProof/>
            <w:color w:val="auto"/>
            <w:lang w:bidi="en-US"/>
          </w:rPr>
          <w:t>振动环境保护措施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_Toc112830890 \h </w:instrText>
        </w:r>
        <w:r w:rsidR="00D07F0F" w:rsidRPr="00FD50F6">
          <w:rPr>
            <w:noProof/>
            <w:webHidden/>
          </w:rPr>
        </w:r>
        <w:r w:rsidR="00D07F0F" w:rsidRPr="00FD50F6">
          <w:rPr>
            <w:noProof/>
            <w:webHidden/>
          </w:rPr>
          <w:fldChar w:fldCharType="separate"/>
        </w:r>
        <w:r>
          <w:rPr>
            <w:noProof/>
            <w:webHidden/>
          </w:rPr>
          <w:t>299</w:t>
        </w:r>
        <w:r w:rsidR="00D07F0F" w:rsidRPr="00FD50F6">
          <w:rPr>
            <w:noProof/>
            <w:webHidden/>
          </w:rPr>
          <w:fldChar w:fldCharType="end"/>
        </w:r>
      </w:hyperlink>
    </w:p>
    <w:p w14:paraId="6B1558ED" w14:textId="2DD47847" w:rsidR="00D07F0F" w:rsidRPr="00FD50F6" w:rsidRDefault="00BF2787">
      <w:pPr>
        <w:pStyle w:val="TOC2"/>
        <w:tabs>
          <w:tab w:val="right" w:leader="dot" w:pos="8302"/>
        </w:tabs>
        <w:rPr>
          <w:rFonts w:eastAsiaTheme="minorEastAsia"/>
          <w:smallCaps w:val="0"/>
          <w:noProof/>
          <w:sz w:val="21"/>
          <w:szCs w:val="24"/>
        </w:rPr>
      </w:pPr>
      <w:hyperlink w:anchor="_Toc112830891" w:history="1">
        <w:r w:rsidR="00D07F0F" w:rsidRPr="00FD50F6">
          <w:rPr>
            <w:rStyle w:val="afff1"/>
            <w:noProof/>
            <w:color w:val="auto"/>
            <w:lang w:bidi="en-US"/>
          </w:rPr>
          <w:t xml:space="preserve">31.5 </w:t>
        </w:r>
        <w:r w:rsidR="00D07F0F" w:rsidRPr="00FD50F6">
          <w:rPr>
            <w:rStyle w:val="afff1"/>
            <w:noProof/>
            <w:color w:val="auto"/>
            <w:lang w:bidi="en-US"/>
          </w:rPr>
          <w:t>水环境保护措施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_Toc112830891 \h </w:instrText>
        </w:r>
        <w:r w:rsidR="00D07F0F" w:rsidRPr="00FD50F6">
          <w:rPr>
            <w:noProof/>
            <w:webHidden/>
          </w:rPr>
        </w:r>
        <w:r w:rsidR="00D07F0F" w:rsidRPr="00FD50F6">
          <w:rPr>
            <w:noProof/>
            <w:webHidden/>
          </w:rPr>
          <w:fldChar w:fldCharType="separate"/>
        </w:r>
        <w:r>
          <w:rPr>
            <w:noProof/>
            <w:webHidden/>
          </w:rPr>
          <w:t>300</w:t>
        </w:r>
        <w:r w:rsidR="00D07F0F" w:rsidRPr="00FD50F6">
          <w:rPr>
            <w:noProof/>
            <w:webHidden/>
          </w:rPr>
          <w:fldChar w:fldCharType="end"/>
        </w:r>
      </w:hyperlink>
    </w:p>
    <w:p w14:paraId="2D017F60" w14:textId="4F805B34" w:rsidR="00D07F0F" w:rsidRPr="00FD50F6" w:rsidRDefault="00BF2787">
      <w:pPr>
        <w:pStyle w:val="TOC1"/>
        <w:tabs>
          <w:tab w:val="right" w:leader="dot" w:pos="8302"/>
        </w:tabs>
        <w:rPr>
          <w:rFonts w:eastAsiaTheme="minorEastAsia"/>
          <w:b w:val="0"/>
          <w:bCs w:val="0"/>
          <w:caps w:val="0"/>
          <w:noProof/>
          <w:sz w:val="21"/>
          <w:szCs w:val="24"/>
        </w:rPr>
      </w:pPr>
      <w:hyperlink w:anchor="_Toc112830892" w:history="1">
        <w:r w:rsidR="00D07F0F" w:rsidRPr="00FD50F6">
          <w:rPr>
            <w:rStyle w:val="afff1"/>
            <w:noProof/>
            <w:color w:val="auto"/>
          </w:rPr>
          <w:t xml:space="preserve">32 </w:t>
        </w:r>
        <w:r w:rsidR="00D07F0F" w:rsidRPr="00FD50F6">
          <w:rPr>
            <w:rStyle w:val="afff1"/>
            <w:noProof/>
            <w:color w:val="auto"/>
          </w:rPr>
          <w:t>节能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_Toc112830892 \h </w:instrText>
        </w:r>
        <w:r w:rsidR="00D07F0F" w:rsidRPr="00FD50F6">
          <w:rPr>
            <w:noProof/>
            <w:webHidden/>
          </w:rPr>
        </w:r>
        <w:r w:rsidR="00D07F0F" w:rsidRPr="00FD50F6">
          <w:rPr>
            <w:noProof/>
            <w:webHidden/>
          </w:rPr>
          <w:fldChar w:fldCharType="separate"/>
        </w:r>
        <w:r>
          <w:rPr>
            <w:noProof/>
            <w:webHidden/>
          </w:rPr>
          <w:t>302</w:t>
        </w:r>
        <w:r w:rsidR="00D07F0F" w:rsidRPr="00FD50F6">
          <w:rPr>
            <w:noProof/>
            <w:webHidden/>
          </w:rPr>
          <w:fldChar w:fldCharType="end"/>
        </w:r>
      </w:hyperlink>
    </w:p>
    <w:p w14:paraId="2D804258" w14:textId="182D2522" w:rsidR="00D07F0F" w:rsidRPr="00FD50F6" w:rsidRDefault="00BF2787">
      <w:pPr>
        <w:pStyle w:val="TOC2"/>
        <w:tabs>
          <w:tab w:val="right" w:leader="dot" w:pos="8302"/>
        </w:tabs>
        <w:rPr>
          <w:rFonts w:eastAsiaTheme="minorEastAsia"/>
          <w:smallCaps w:val="0"/>
          <w:noProof/>
          <w:sz w:val="21"/>
          <w:szCs w:val="24"/>
        </w:rPr>
      </w:pPr>
      <w:hyperlink w:anchor="_Toc112830893" w:history="1">
        <w:r w:rsidR="00D07F0F" w:rsidRPr="00FD50F6">
          <w:rPr>
            <w:rStyle w:val="afff1"/>
            <w:noProof/>
            <w:color w:val="auto"/>
            <w:lang w:bidi="en-US"/>
          </w:rPr>
          <w:t xml:space="preserve">32.1 </w:t>
        </w:r>
        <w:r w:rsidR="00D07F0F" w:rsidRPr="00FD50F6">
          <w:rPr>
            <w:rStyle w:val="afff1"/>
            <w:noProof/>
            <w:color w:val="auto"/>
            <w:lang w:bidi="en-US"/>
          </w:rPr>
          <w:t>一般规定</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_Toc112830893 \h </w:instrText>
        </w:r>
        <w:r w:rsidR="00D07F0F" w:rsidRPr="00FD50F6">
          <w:rPr>
            <w:noProof/>
            <w:webHidden/>
          </w:rPr>
        </w:r>
        <w:r w:rsidR="00D07F0F" w:rsidRPr="00FD50F6">
          <w:rPr>
            <w:noProof/>
            <w:webHidden/>
          </w:rPr>
          <w:fldChar w:fldCharType="separate"/>
        </w:r>
        <w:r>
          <w:rPr>
            <w:noProof/>
            <w:webHidden/>
          </w:rPr>
          <w:t>302</w:t>
        </w:r>
        <w:r w:rsidR="00D07F0F" w:rsidRPr="00FD50F6">
          <w:rPr>
            <w:noProof/>
            <w:webHidden/>
          </w:rPr>
          <w:fldChar w:fldCharType="end"/>
        </w:r>
      </w:hyperlink>
    </w:p>
    <w:p w14:paraId="2C7DF3D9" w14:textId="7E888E32" w:rsidR="00D07F0F" w:rsidRPr="00FD50F6" w:rsidRDefault="00BF2787">
      <w:pPr>
        <w:pStyle w:val="TOC2"/>
        <w:tabs>
          <w:tab w:val="right" w:leader="dot" w:pos="8302"/>
        </w:tabs>
        <w:rPr>
          <w:rFonts w:eastAsiaTheme="minorEastAsia"/>
          <w:smallCaps w:val="0"/>
          <w:noProof/>
          <w:sz w:val="21"/>
          <w:szCs w:val="24"/>
        </w:rPr>
      </w:pPr>
      <w:hyperlink w:anchor="_Toc112830894" w:history="1">
        <w:r w:rsidR="00D07F0F" w:rsidRPr="00FD50F6">
          <w:rPr>
            <w:rStyle w:val="afff1"/>
            <w:noProof/>
            <w:color w:val="auto"/>
            <w:lang w:bidi="en-US"/>
          </w:rPr>
          <w:t xml:space="preserve">32.2 </w:t>
        </w:r>
        <w:r w:rsidR="00D07F0F" w:rsidRPr="00FD50F6">
          <w:rPr>
            <w:rStyle w:val="afff1"/>
            <w:noProof/>
            <w:color w:val="auto"/>
            <w:lang w:bidi="en-US"/>
          </w:rPr>
          <w:t>建筑节能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_Toc112830894 \h </w:instrText>
        </w:r>
        <w:r w:rsidR="00D07F0F" w:rsidRPr="00FD50F6">
          <w:rPr>
            <w:noProof/>
            <w:webHidden/>
          </w:rPr>
        </w:r>
        <w:r w:rsidR="00D07F0F" w:rsidRPr="00FD50F6">
          <w:rPr>
            <w:noProof/>
            <w:webHidden/>
          </w:rPr>
          <w:fldChar w:fldCharType="separate"/>
        </w:r>
        <w:r>
          <w:rPr>
            <w:noProof/>
            <w:webHidden/>
          </w:rPr>
          <w:t>302</w:t>
        </w:r>
        <w:r w:rsidR="00D07F0F" w:rsidRPr="00FD50F6">
          <w:rPr>
            <w:noProof/>
            <w:webHidden/>
          </w:rPr>
          <w:fldChar w:fldCharType="end"/>
        </w:r>
      </w:hyperlink>
    </w:p>
    <w:p w14:paraId="7700A96A" w14:textId="15B629B3" w:rsidR="00D07F0F" w:rsidRPr="00FD50F6" w:rsidRDefault="00BF2787">
      <w:pPr>
        <w:pStyle w:val="TOC2"/>
        <w:tabs>
          <w:tab w:val="right" w:leader="dot" w:pos="8302"/>
        </w:tabs>
        <w:rPr>
          <w:rFonts w:eastAsiaTheme="minorEastAsia"/>
          <w:smallCaps w:val="0"/>
          <w:noProof/>
          <w:sz w:val="21"/>
          <w:szCs w:val="24"/>
        </w:rPr>
      </w:pPr>
      <w:hyperlink w:anchor="_Toc112830895" w:history="1">
        <w:r w:rsidR="00D07F0F" w:rsidRPr="00FD50F6">
          <w:rPr>
            <w:rStyle w:val="afff1"/>
            <w:noProof/>
            <w:color w:val="auto"/>
            <w:lang w:bidi="en-US"/>
          </w:rPr>
          <w:t xml:space="preserve">32.3 </w:t>
        </w:r>
        <w:r w:rsidR="00D07F0F" w:rsidRPr="00FD50F6">
          <w:rPr>
            <w:rStyle w:val="afff1"/>
            <w:noProof/>
            <w:color w:val="auto"/>
            <w:lang w:bidi="en-US"/>
          </w:rPr>
          <w:t>设备系统节能</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_Toc112830895 \h </w:instrText>
        </w:r>
        <w:r w:rsidR="00D07F0F" w:rsidRPr="00FD50F6">
          <w:rPr>
            <w:noProof/>
            <w:webHidden/>
          </w:rPr>
        </w:r>
        <w:r w:rsidR="00D07F0F" w:rsidRPr="00FD50F6">
          <w:rPr>
            <w:noProof/>
            <w:webHidden/>
          </w:rPr>
          <w:fldChar w:fldCharType="separate"/>
        </w:r>
        <w:r>
          <w:rPr>
            <w:noProof/>
            <w:webHidden/>
          </w:rPr>
          <w:t>303</w:t>
        </w:r>
        <w:r w:rsidR="00D07F0F" w:rsidRPr="00FD50F6">
          <w:rPr>
            <w:noProof/>
            <w:webHidden/>
          </w:rPr>
          <w:fldChar w:fldCharType="end"/>
        </w:r>
      </w:hyperlink>
    </w:p>
    <w:p w14:paraId="6F7042B0" w14:textId="7488B298" w:rsidR="00D07F0F" w:rsidRPr="00FD50F6" w:rsidRDefault="00BF2787">
      <w:pPr>
        <w:pStyle w:val="TOC2"/>
        <w:tabs>
          <w:tab w:val="right" w:leader="dot" w:pos="8302"/>
        </w:tabs>
        <w:rPr>
          <w:rFonts w:eastAsiaTheme="minorEastAsia"/>
          <w:smallCaps w:val="0"/>
          <w:noProof/>
          <w:sz w:val="21"/>
          <w:szCs w:val="24"/>
        </w:rPr>
      </w:pPr>
      <w:hyperlink w:anchor="_Toc112830896" w:history="1">
        <w:r w:rsidR="00D07F0F" w:rsidRPr="00FD50F6">
          <w:rPr>
            <w:rStyle w:val="afff1"/>
            <w:noProof/>
            <w:color w:val="auto"/>
            <w:lang w:bidi="en-US"/>
          </w:rPr>
          <w:t xml:space="preserve">32.4 </w:t>
        </w:r>
        <w:r w:rsidR="00D07F0F" w:rsidRPr="00FD50F6">
          <w:rPr>
            <w:rStyle w:val="afff1"/>
            <w:noProof/>
            <w:color w:val="auto"/>
            <w:lang w:bidi="en-US"/>
          </w:rPr>
          <w:t>能源管理</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_Toc112830896 \h </w:instrText>
        </w:r>
        <w:r w:rsidR="00D07F0F" w:rsidRPr="00FD50F6">
          <w:rPr>
            <w:noProof/>
            <w:webHidden/>
          </w:rPr>
        </w:r>
        <w:r w:rsidR="00D07F0F" w:rsidRPr="00FD50F6">
          <w:rPr>
            <w:noProof/>
            <w:webHidden/>
          </w:rPr>
          <w:fldChar w:fldCharType="separate"/>
        </w:r>
        <w:r>
          <w:rPr>
            <w:noProof/>
            <w:webHidden/>
          </w:rPr>
          <w:t>304</w:t>
        </w:r>
        <w:r w:rsidR="00D07F0F" w:rsidRPr="00FD50F6">
          <w:rPr>
            <w:noProof/>
            <w:webHidden/>
          </w:rPr>
          <w:fldChar w:fldCharType="end"/>
        </w:r>
      </w:hyperlink>
    </w:p>
    <w:p w14:paraId="40BB4B74" w14:textId="7E7578A3" w:rsidR="00D07F0F" w:rsidRPr="00FD50F6" w:rsidRDefault="00BF2787">
      <w:pPr>
        <w:pStyle w:val="TOC1"/>
        <w:tabs>
          <w:tab w:val="right" w:leader="dot" w:pos="8302"/>
        </w:tabs>
        <w:rPr>
          <w:rFonts w:eastAsiaTheme="minorEastAsia"/>
          <w:b w:val="0"/>
          <w:bCs w:val="0"/>
          <w:caps w:val="0"/>
          <w:noProof/>
          <w:sz w:val="21"/>
          <w:szCs w:val="24"/>
        </w:rPr>
      </w:pPr>
      <w:hyperlink w:anchor="_Toc112830897" w:history="1">
        <w:r w:rsidR="00D07F0F" w:rsidRPr="00FD50F6">
          <w:rPr>
            <w:rStyle w:val="afff1"/>
            <w:noProof/>
            <w:color w:val="auto"/>
          </w:rPr>
          <w:t>附录</w:t>
        </w:r>
        <w:r w:rsidR="00D07F0F" w:rsidRPr="00FD50F6">
          <w:rPr>
            <w:rStyle w:val="afff1"/>
            <w:noProof/>
            <w:color w:val="auto"/>
          </w:rPr>
          <w:t xml:space="preserve">A </w:t>
        </w:r>
        <w:r w:rsidR="00D07F0F" w:rsidRPr="00FD50F6">
          <w:rPr>
            <w:rStyle w:val="afff1"/>
            <w:noProof/>
            <w:color w:val="auto"/>
          </w:rPr>
          <w:t>车辆限界和设备限界计算方法</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_Toc112830897 \h </w:instrText>
        </w:r>
        <w:r w:rsidR="00D07F0F" w:rsidRPr="00FD50F6">
          <w:rPr>
            <w:noProof/>
            <w:webHidden/>
          </w:rPr>
        </w:r>
        <w:r w:rsidR="00D07F0F" w:rsidRPr="00FD50F6">
          <w:rPr>
            <w:noProof/>
            <w:webHidden/>
          </w:rPr>
          <w:fldChar w:fldCharType="separate"/>
        </w:r>
        <w:r>
          <w:rPr>
            <w:noProof/>
            <w:webHidden/>
          </w:rPr>
          <w:t>306</w:t>
        </w:r>
        <w:r w:rsidR="00D07F0F" w:rsidRPr="00FD50F6">
          <w:rPr>
            <w:noProof/>
            <w:webHidden/>
          </w:rPr>
          <w:fldChar w:fldCharType="end"/>
        </w:r>
      </w:hyperlink>
    </w:p>
    <w:p w14:paraId="6C4A822C" w14:textId="1129D208" w:rsidR="00D07F0F" w:rsidRPr="00FD50F6" w:rsidRDefault="00BF2787">
      <w:pPr>
        <w:pStyle w:val="TOC2"/>
        <w:tabs>
          <w:tab w:val="right" w:leader="dot" w:pos="8302"/>
        </w:tabs>
        <w:rPr>
          <w:rFonts w:eastAsiaTheme="minorEastAsia"/>
          <w:smallCaps w:val="0"/>
          <w:noProof/>
          <w:sz w:val="21"/>
          <w:szCs w:val="24"/>
        </w:rPr>
      </w:pPr>
      <w:hyperlink w:anchor="_Toc112830898" w:history="1">
        <w:r w:rsidR="00D07F0F" w:rsidRPr="00FD50F6">
          <w:rPr>
            <w:rStyle w:val="afff1"/>
            <w:noProof/>
            <w:color w:val="auto"/>
            <w:lang w:bidi="en-US"/>
          </w:rPr>
          <w:t xml:space="preserve">A.1 </w:t>
        </w:r>
        <w:r w:rsidR="00D07F0F" w:rsidRPr="00FD50F6">
          <w:rPr>
            <w:rStyle w:val="afff1"/>
            <w:noProof/>
            <w:color w:val="auto"/>
            <w:lang w:bidi="en-US"/>
          </w:rPr>
          <w:t>限界计算参数</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_Toc112830898 \h </w:instrText>
        </w:r>
        <w:r w:rsidR="00D07F0F" w:rsidRPr="00FD50F6">
          <w:rPr>
            <w:noProof/>
            <w:webHidden/>
          </w:rPr>
        </w:r>
        <w:r w:rsidR="00D07F0F" w:rsidRPr="00FD50F6">
          <w:rPr>
            <w:noProof/>
            <w:webHidden/>
          </w:rPr>
          <w:fldChar w:fldCharType="separate"/>
        </w:r>
        <w:r>
          <w:rPr>
            <w:noProof/>
            <w:webHidden/>
          </w:rPr>
          <w:t>306</w:t>
        </w:r>
        <w:r w:rsidR="00D07F0F" w:rsidRPr="00FD50F6">
          <w:rPr>
            <w:noProof/>
            <w:webHidden/>
          </w:rPr>
          <w:fldChar w:fldCharType="end"/>
        </w:r>
      </w:hyperlink>
    </w:p>
    <w:p w14:paraId="0170B472" w14:textId="0AB84869" w:rsidR="00D07F0F" w:rsidRPr="00FD50F6" w:rsidRDefault="00BF2787">
      <w:pPr>
        <w:pStyle w:val="TOC2"/>
        <w:tabs>
          <w:tab w:val="right" w:leader="dot" w:pos="8302"/>
        </w:tabs>
        <w:rPr>
          <w:rFonts w:eastAsiaTheme="minorEastAsia"/>
          <w:smallCaps w:val="0"/>
          <w:noProof/>
          <w:sz w:val="21"/>
          <w:szCs w:val="24"/>
        </w:rPr>
      </w:pPr>
      <w:hyperlink w:anchor="_Toc112830899" w:history="1">
        <w:r w:rsidR="00D07F0F" w:rsidRPr="00FD50F6">
          <w:rPr>
            <w:rStyle w:val="afff1"/>
            <w:noProof/>
            <w:color w:val="auto"/>
            <w:lang w:bidi="en-US"/>
          </w:rPr>
          <w:t xml:space="preserve">A.2 </w:t>
        </w:r>
        <w:r w:rsidR="00D07F0F" w:rsidRPr="00FD50F6">
          <w:rPr>
            <w:rStyle w:val="afff1"/>
            <w:noProof/>
            <w:color w:val="auto"/>
            <w:lang w:bidi="en-US"/>
          </w:rPr>
          <w:t>限界计算公式</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_Toc112830899 \h </w:instrText>
        </w:r>
        <w:r w:rsidR="00D07F0F" w:rsidRPr="00FD50F6">
          <w:rPr>
            <w:noProof/>
            <w:webHidden/>
          </w:rPr>
        </w:r>
        <w:r w:rsidR="00D07F0F" w:rsidRPr="00FD50F6">
          <w:rPr>
            <w:noProof/>
            <w:webHidden/>
          </w:rPr>
          <w:fldChar w:fldCharType="separate"/>
        </w:r>
        <w:r>
          <w:rPr>
            <w:noProof/>
            <w:webHidden/>
          </w:rPr>
          <w:t>311</w:t>
        </w:r>
        <w:r w:rsidR="00D07F0F" w:rsidRPr="00FD50F6">
          <w:rPr>
            <w:noProof/>
            <w:webHidden/>
          </w:rPr>
          <w:fldChar w:fldCharType="end"/>
        </w:r>
      </w:hyperlink>
    </w:p>
    <w:p w14:paraId="5BC7209A" w14:textId="5D0ABD96" w:rsidR="00D07F0F" w:rsidRPr="00FD50F6" w:rsidRDefault="00BF2787">
      <w:pPr>
        <w:pStyle w:val="TOC1"/>
        <w:tabs>
          <w:tab w:val="right" w:leader="dot" w:pos="8302"/>
        </w:tabs>
        <w:rPr>
          <w:rFonts w:eastAsiaTheme="minorEastAsia"/>
          <w:b w:val="0"/>
          <w:bCs w:val="0"/>
          <w:caps w:val="0"/>
          <w:noProof/>
          <w:sz w:val="21"/>
          <w:szCs w:val="24"/>
        </w:rPr>
      </w:pPr>
      <w:hyperlink w:anchor="_Toc112830900" w:history="1">
        <w:r w:rsidR="00D07F0F" w:rsidRPr="00FD50F6">
          <w:rPr>
            <w:rStyle w:val="afff1"/>
            <w:noProof/>
            <w:color w:val="auto"/>
          </w:rPr>
          <w:t>附录</w:t>
        </w:r>
        <w:r w:rsidR="00D07F0F" w:rsidRPr="00FD50F6">
          <w:rPr>
            <w:rStyle w:val="afff1"/>
            <w:noProof/>
            <w:color w:val="auto"/>
          </w:rPr>
          <w:t>B  A</w:t>
        </w:r>
        <w:r w:rsidR="00D07F0F" w:rsidRPr="00FD50F6">
          <w:rPr>
            <w:rStyle w:val="afff1"/>
            <w:noProof/>
            <w:color w:val="auto"/>
            <w:vertAlign w:val="subscript"/>
          </w:rPr>
          <w:t>1</w:t>
        </w:r>
        <w:r w:rsidR="00D07F0F" w:rsidRPr="00FD50F6">
          <w:rPr>
            <w:rStyle w:val="afff1"/>
            <w:noProof/>
            <w:color w:val="auto"/>
          </w:rPr>
          <w:t>型车限界</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_Toc112830900 \h </w:instrText>
        </w:r>
        <w:r w:rsidR="00D07F0F" w:rsidRPr="00FD50F6">
          <w:rPr>
            <w:noProof/>
            <w:webHidden/>
          </w:rPr>
        </w:r>
        <w:r w:rsidR="00D07F0F" w:rsidRPr="00FD50F6">
          <w:rPr>
            <w:noProof/>
            <w:webHidden/>
          </w:rPr>
          <w:fldChar w:fldCharType="separate"/>
        </w:r>
        <w:r>
          <w:rPr>
            <w:noProof/>
            <w:webHidden/>
          </w:rPr>
          <w:t>318</w:t>
        </w:r>
        <w:r w:rsidR="00D07F0F" w:rsidRPr="00FD50F6">
          <w:rPr>
            <w:noProof/>
            <w:webHidden/>
          </w:rPr>
          <w:fldChar w:fldCharType="end"/>
        </w:r>
      </w:hyperlink>
    </w:p>
    <w:p w14:paraId="013A8DB7" w14:textId="36F64E2B" w:rsidR="00D07F0F" w:rsidRPr="00FD50F6" w:rsidRDefault="00BF2787">
      <w:pPr>
        <w:pStyle w:val="TOC1"/>
        <w:tabs>
          <w:tab w:val="right" w:leader="dot" w:pos="8302"/>
        </w:tabs>
        <w:rPr>
          <w:rFonts w:eastAsiaTheme="minorEastAsia"/>
          <w:b w:val="0"/>
          <w:bCs w:val="0"/>
          <w:caps w:val="0"/>
          <w:noProof/>
          <w:sz w:val="21"/>
          <w:szCs w:val="24"/>
        </w:rPr>
      </w:pPr>
      <w:hyperlink w:anchor="_Toc112830901" w:history="1">
        <w:r w:rsidR="00D07F0F" w:rsidRPr="00FD50F6">
          <w:rPr>
            <w:rStyle w:val="afff1"/>
            <w:noProof/>
            <w:color w:val="auto"/>
          </w:rPr>
          <w:t>附录</w:t>
        </w:r>
        <w:r w:rsidR="00D07F0F" w:rsidRPr="00FD50F6">
          <w:rPr>
            <w:rStyle w:val="afff1"/>
            <w:noProof/>
            <w:color w:val="auto"/>
          </w:rPr>
          <w:t>C  A</w:t>
        </w:r>
        <w:r w:rsidR="00D07F0F" w:rsidRPr="00FD50F6">
          <w:rPr>
            <w:rStyle w:val="afff1"/>
            <w:noProof/>
            <w:color w:val="auto"/>
            <w:vertAlign w:val="subscript"/>
          </w:rPr>
          <w:t>2</w:t>
        </w:r>
        <w:r w:rsidR="00D07F0F" w:rsidRPr="00FD50F6">
          <w:rPr>
            <w:rStyle w:val="afff1"/>
            <w:noProof/>
            <w:color w:val="auto"/>
          </w:rPr>
          <w:t>型车限界</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_Toc112830901 \h </w:instrText>
        </w:r>
        <w:r w:rsidR="00D07F0F" w:rsidRPr="00FD50F6">
          <w:rPr>
            <w:noProof/>
            <w:webHidden/>
          </w:rPr>
        </w:r>
        <w:r w:rsidR="00D07F0F" w:rsidRPr="00FD50F6">
          <w:rPr>
            <w:noProof/>
            <w:webHidden/>
          </w:rPr>
          <w:fldChar w:fldCharType="separate"/>
        </w:r>
        <w:r>
          <w:rPr>
            <w:noProof/>
            <w:webHidden/>
          </w:rPr>
          <w:t>326</w:t>
        </w:r>
        <w:r w:rsidR="00D07F0F" w:rsidRPr="00FD50F6">
          <w:rPr>
            <w:noProof/>
            <w:webHidden/>
          </w:rPr>
          <w:fldChar w:fldCharType="end"/>
        </w:r>
      </w:hyperlink>
    </w:p>
    <w:p w14:paraId="3E5B5549" w14:textId="7D02E4C7" w:rsidR="00D07F0F" w:rsidRPr="00FD50F6" w:rsidRDefault="00BF2787">
      <w:pPr>
        <w:pStyle w:val="TOC1"/>
        <w:tabs>
          <w:tab w:val="right" w:leader="dot" w:pos="8302"/>
        </w:tabs>
        <w:rPr>
          <w:rFonts w:eastAsiaTheme="minorEastAsia"/>
          <w:b w:val="0"/>
          <w:bCs w:val="0"/>
          <w:caps w:val="0"/>
          <w:noProof/>
          <w:sz w:val="21"/>
          <w:szCs w:val="24"/>
        </w:rPr>
      </w:pPr>
      <w:hyperlink w:anchor="_Toc112830902" w:history="1">
        <w:r w:rsidR="00D07F0F" w:rsidRPr="00FD50F6">
          <w:rPr>
            <w:rStyle w:val="afff1"/>
            <w:noProof/>
            <w:color w:val="auto"/>
          </w:rPr>
          <w:t>附录</w:t>
        </w:r>
        <w:r w:rsidR="00D07F0F" w:rsidRPr="00FD50F6">
          <w:rPr>
            <w:rStyle w:val="afff1"/>
            <w:noProof/>
            <w:color w:val="auto"/>
          </w:rPr>
          <w:t>D  B</w:t>
        </w:r>
        <w:r w:rsidR="00D07F0F" w:rsidRPr="00FD50F6">
          <w:rPr>
            <w:rStyle w:val="afff1"/>
            <w:noProof/>
            <w:color w:val="auto"/>
            <w:vertAlign w:val="subscript"/>
          </w:rPr>
          <w:t>1</w:t>
        </w:r>
        <w:r w:rsidR="00D07F0F" w:rsidRPr="00FD50F6">
          <w:rPr>
            <w:rStyle w:val="afff1"/>
            <w:noProof/>
            <w:color w:val="auto"/>
          </w:rPr>
          <w:t>型车限界</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_Toc112830902 \h </w:instrText>
        </w:r>
        <w:r w:rsidR="00D07F0F" w:rsidRPr="00FD50F6">
          <w:rPr>
            <w:noProof/>
            <w:webHidden/>
          </w:rPr>
        </w:r>
        <w:r w:rsidR="00D07F0F" w:rsidRPr="00FD50F6">
          <w:rPr>
            <w:noProof/>
            <w:webHidden/>
          </w:rPr>
          <w:fldChar w:fldCharType="separate"/>
        </w:r>
        <w:r>
          <w:rPr>
            <w:noProof/>
            <w:webHidden/>
          </w:rPr>
          <w:t>332</w:t>
        </w:r>
        <w:r w:rsidR="00D07F0F" w:rsidRPr="00FD50F6">
          <w:rPr>
            <w:noProof/>
            <w:webHidden/>
          </w:rPr>
          <w:fldChar w:fldCharType="end"/>
        </w:r>
      </w:hyperlink>
    </w:p>
    <w:p w14:paraId="50E3A703" w14:textId="3C44D2EF" w:rsidR="00D07F0F" w:rsidRPr="00FD50F6" w:rsidRDefault="00BF2787">
      <w:pPr>
        <w:pStyle w:val="TOC1"/>
        <w:tabs>
          <w:tab w:val="right" w:leader="dot" w:pos="8302"/>
        </w:tabs>
        <w:rPr>
          <w:rFonts w:eastAsiaTheme="minorEastAsia"/>
          <w:b w:val="0"/>
          <w:bCs w:val="0"/>
          <w:caps w:val="0"/>
          <w:noProof/>
          <w:sz w:val="21"/>
          <w:szCs w:val="24"/>
        </w:rPr>
      </w:pPr>
      <w:hyperlink w:anchor="_Toc112830903" w:history="1">
        <w:r w:rsidR="00D07F0F" w:rsidRPr="00FD50F6">
          <w:rPr>
            <w:rStyle w:val="afff1"/>
            <w:noProof/>
            <w:color w:val="auto"/>
          </w:rPr>
          <w:t>附录</w:t>
        </w:r>
        <w:r w:rsidR="00D07F0F" w:rsidRPr="00FD50F6">
          <w:rPr>
            <w:rStyle w:val="afff1"/>
            <w:noProof/>
            <w:color w:val="auto"/>
          </w:rPr>
          <w:t>E  B</w:t>
        </w:r>
        <w:r w:rsidR="00D07F0F" w:rsidRPr="00FD50F6">
          <w:rPr>
            <w:rStyle w:val="afff1"/>
            <w:noProof/>
            <w:color w:val="auto"/>
            <w:vertAlign w:val="subscript"/>
          </w:rPr>
          <w:t>2</w:t>
        </w:r>
        <w:r w:rsidR="00D07F0F" w:rsidRPr="00FD50F6">
          <w:rPr>
            <w:rStyle w:val="afff1"/>
            <w:noProof/>
            <w:color w:val="auto"/>
          </w:rPr>
          <w:t>型车限界</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_Toc112830903 \h </w:instrText>
        </w:r>
        <w:r w:rsidR="00D07F0F" w:rsidRPr="00FD50F6">
          <w:rPr>
            <w:noProof/>
            <w:webHidden/>
          </w:rPr>
        </w:r>
        <w:r w:rsidR="00D07F0F" w:rsidRPr="00FD50F6">
          <w:rPr>
            <w:noProof/>
            <w:webHidden/>
          </w:rPr>
          <w:fldChar w:fldCharType="separate"/>
        </w:r>
        <w:r>
          <w:rPr>
            <w:noProof/>
            <w:webHidden/>
          </w:rPr>
          <w:t>338</w:t>
        </w:r>
        <w:r w:rsidR="00D07F0F" w:rsidRPr="00FD50F6">
          <w:rPr>
            <w:noProof/>
            <w:webHidden/>
          </w:rPr>
          <w:fldChar w:fldCharType="end"/>
        </w:r>
      </w:hyperlink>
    </w:p>
    <w:p w14:paraId="488B0D0F" w14:textId="02CFBEB2" w:rsidR="00D07F0F" w:rsidRPr="00FD50F6" w:rsidRDefault="00BF2787">
      <w:pPr>
        <w:pStyle w:val="TOC1"/>
        <w:tabs>
          <w:tab w:val="right" w:leader="dot" w:pos="8302"/>
        </w:tabs>
        <w:rPr>
          <w:rFonts w:eastAsiaTheme="minorEastAsia"/>
          <w:b w:val="0"/>
          <w:bCs w:val="0"/>
          <w:caps w:val="0"/>
          <w:noProof/>
          <w:sz w:val="21"/>
          <w:szCs w:val="24"/>
        </w:rPr>
      </w:pPr>
      <w:hyperlink w:anchor="_Toc112830904" w:history="1">
        <w:r w:rsidR="00D07F0F" w:rsidRPr="00FD50F6">
          <w:rPr>
            <w:rStyle w:val="afff1"/>
            <w:noProof/>
            <w:color w:val="auto"/>
          </w:rPr>
          <w:t>附录</w:t>
        </w:r>
        <w:r w:rsidR="00D07F0F" w:rsidRPr="00FD50F6">
          <w:rPr>
            <w:rStyle w:val="afff1"/>
            <w:noProof/>
            <w:color w:val="auto"/>
          </w:rPr>
          <w:t xml:space="preserve">F </w:t>
        </w:r>
        <w:r w:rsidR="00D07F0F" w:rsidRPr="00FD50F6">
          <w:rPr>
            <w:rStyle w:val="afff1"/>
            <w:noProof/>
            <w:color w:val="auto"/>
          </w:rPr>
          <w:t>曲线地段车辆限界和设备限界计算方法</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_Toc112830904 \h </w:instrText>
        </w:r>
        <w:r w:rsidR="00D07F0F" w:rsidRPr="00FD50F6">
          <w:rPr>
            <w:noProof/>
            <w:webHidden/>
          </w:rPr>
        </w:r>
        <w:r w:rsidR="00D07F0F" w:rsidRPr="00FD50F6">
          <w:rPr>
            <w:noProof/>
            <w:webHidden/>
          </w:rPr>
          <w:fldChar w:fldCharType="separate"/>
        </w:r>
        <w:r>
          <w:rPr>
            <w:noProof/>
            <w:webHidden/>
          </w:rPr>
          <w:t>342</w:t>
        </w:r>
        <w:r w:rsidR="00D07F0F" w:rsidRPr="00FD50F6">
          <w:rPr>
            <w:noProof/>
            <w:webHidden/>
          </w:rPr>
          <w:fldChar w:fldCharType="end"/>
        </w:r>
      </w:hyperlink>
    </w:p>
    <w:p w14:paraId="1980D2AA" w14:textId="2513DB00" w:rsidR="00D07F0F" w:rsidRPr="00FD50F6" w:rsidRDefault="00BF2787">
      <w:pPr>
        <w:pStyle w:val="TOC1"/>
        <w:tabs>
          <w:tab w:val="right" w:leader="dot" w:pos="8302"/>
        </w:tabs>
        <w:rPr>
          <w:rFonts w:eastAsiaTheme="minorEastAsia"/>
          <w:b w:val="0"/>
          <w:bCs w:val="0"/>
          <w:caps w:val="0"/>
          <w:noProof/>
          <w:sz w:val="21"/>
          <w:szCs w:val="24"/>
        </w:rPr>
      </w:pPr>
      <w:hyperlink w:anchor="_Toc112830905" w:history="1">
        <w:r w:rsidR="00D07F0F" w:rsidRPr="00FD50F6">
          <w:rPr>
            <w:rStyle w:val="afff1"/>
            <w:noProof/>
            <w:color w:val="auto"/>
          </w:rPr>
          <w:t>附录</w:t>
        </w:r>
        <w:r w:rsidR="00D07F0F" w:rsidRPr="00FD50F6">
          <w:rPr>
            <w:rStyle w:val="afff1"/>
            <w:noProof/>
            <w:color w:val="auto"/>
          </w:rPr>
          <w:t xml:space="preserve">G </w:t>
        </w:r>
        <w:r w:rsidR="00D07F0F" w:rsidRPr="00FD50F6">
          <w:rPr>
            <w:rStyle w:val="afff1"/>
            <w:noProof/>
            <w:color w:val="auto"/>
          </w:rPr>
          <w:t>缓和曲线地段建筑限界的加宽计算公式</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_Toc112830905 \h </w:instrText>
        </w:r>
        <w:r w:rsidR="00D07F0F" w:rsidRPr="00FD50F6">
          <w:rPr>
            <w:noProof/>
            <w:webHidden/>
          </w:rPr>
        </w:r>
        <w:r w:rsidR="00D07F0F" w:rsidRPr="00FD50F6">
          <w:rPr>
            <w:noProof/>
            <w:webHidden/>
          </w:rPr>
          <w:fldChar w:fldCharType="separate"/>
        </w:r>
        <w:r>
          <w:rPr>
            <w:noProof/>
            <w:webHidden/>
          </w:rPr>
          <w:t>345</w:t>
        </w:r>
        <w:r w:rsidR="00D07F0F" w:rsidRPr="00FD50F6">
          <w:rPr>
            <w:noProof/>
            <w:webHidden/>
          </w:rPr>
          <w:fldChar w:fldCharType="end"/>
        </w:r>
      </w:hyperlink>
    </w:p>
    <w:p w14:paraId="7E1E91E8" w14:textId="7BF5CF97" w:rsidR="00D07F0F" w:rsidRPr="00FD50F6" w:rsidRDefault="00BF2787">
      <w:pPr>
        <w:pStyle w:val="TOC1"/>
        <w:tabs>
          <w:tab w:val="right" w:leader="dot" w:pos="8302"/>
        </w:tabs>
        <w:rPr>
          <w:rFonts w:eastAsiaTheme="minorEastAsia"/>
          <w:b w:val="0"/>
          <w:bCs w:val="0"/>
          <w:caps w:val="0"/>
          <w:noProof/>
          <w:sz w:val="21"/>
          <w:szCs w:val="24"/>
        </w:rPr>
      </w:pPr>
      <w:hyperlink w:anchor="_Toc112830906" w:history="1">
        <w:r w:rsidR="00D07F0F" w:rsidRPr="00FD50F6">
          <w:rPr>
            <w:rStyle w:val="afff1"/>
            <w:noProof/>
            <w:color w:val="auto"/>
          </w:rPr>
          <w:t>附录</w:t>
        </w:r>
        <w:r w:rsidR="00D07F0F" w:rsidRPr="00FD50F6">
          <w:rPr>
            <w:rStyle w:val="afff1"/>
            <w:noProof/>
            <w:color w:val="auto"/>
          </w:rPr>
          <w:t xml:space="preserve">H </w:t>
        </w:r>
        <w:r w:rsidR="00D07F0F" w:rsidRPr="00FD50F6">
          <w:rPr>
            <w:rStyle w:val="afff1"/>
            <w:noProof/>
            <w:color w:val="auto"/>
          </w:rPr>
          <w:t>车站换乘功能评价指标和计算公式</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_Toc112830906 \h </w:instrText>
        </w:r>
        <w:r w:rsidR="00D07F0F" w:rsidRPr="00FD50F6">
          <w:rPr>
            <w:noProof/>
            <w:webHidden/>
          </w:rPr>
        </w:r>
        <w:r w:rsidR="00D07F0F" w:rsidRPr="00FD50F6">
          <w:rPr>
            <w:noProof/>
            <w:webHidden/>
          </w:rPr>
          <w:fldChar w:fldCharType="separate"/>
        </w:r>
        <w:r>
          <w:rPr>
            <w:noProof/>
            <w:webHidden/>
          </w:rPr>
          <w:t>347</w:t>
        </w:r>
        <w:r w:rsidR="00D07F0F" w:rsidRPr="00FD50F6">
          <w:rPr>
            <w:noProof/>
            <w:webHidden/>
          </w:rPr>
          <w:fldChar w:fldCharType="end"/>
        </w:r>
      </w:hyperlink>
    </w:p>
    <w:p w14:paraId="75D05C6D" w14:textId="01A77EF5" w:rsidR="00D07F0F" w:rsidRPr="00FD50F6" w:rsidRDefault="00BF2787">
      <w:pPr>
        <w:pStyle w:val="TOC1"/>
        <w:tabs>
          <w:tab w:val="right" w:leader="dot" w:pos="8302"/>
        </w:tabs>
        <w:rPr>
          <w:rFonts w:eastAsiaTheme="minorEastAsia"/>
          <w:b w:val="0"/>
          <w:bCs w:val="0"/>
          <w:caps w:val="0"/>
          <w:noProof/>
          <w:sz w:val="21"/>
          <w:szCs w:val="24"/>
        </w:rPr>
      </w:pPr>
      <w:hyperlink w:anchor="_Toc112830907" w:history="1">
        <w:r w:rsidR="00D07F0F" w:rsidRPr="00FD50F6">
          <w:rPr>
            <w:rStyle w:val="afff1"/>
            <w:noProof/>
            <w:color w:val="auto"/>
          </w:rPr>
          <w:t>本标准用词说明</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_Toc112830907 \h </w:instrText>
        </w:r>
        <w:r w:rsidR="00D07F0F" w:rsidRPr="00FD50F6">
          <w:rPr>
            <w:noProof/>
            <w:webHidden/>
          </w:rPr>
        </w:r>
        <w:r w:rsidR="00D07F0F" w:rsidRPr="00FD50F6">
          <w:rPr>
            <w:noProof/>
            <w:webHidden/>
          </w:rPr>
          <w:fldChar w:fldCharType="separate"/>
        </w:r>
        <w:r>
          <w:rPr>
            <w:noProof/>
            <w:webHidden/>
          </w:rPr>
          <w:t>350</w:t>
        </w:r>
        <w:r w:rsidR="00D07F0F" w:rsidRPr="00FD50F6">
          <w:rPr>
            <w:noProof/>
            <w:webHidden/>
          </w:rPr>
          <w:fldChar w:fldCharType="end"/>
        </w:r>
      </w:hyperlink>
    </w:p>
    <w:p w14:paraId="5576B835" w14:textId="469364A9" w:rsidR="00D07F0F" w:rsidRPr="00FD50F6" w:rsidRDefault="00BF2787">
      <w:pPr>
        <w:pStyle w:val="TOC1"/>
        <w:tabs>
          <w:tab w:val="right" w:leader="dot" w:pos="8302"/>
        </w:tabs>
        <w:rPr>
          <w:rFonts w:eastAsiaTheme="minorEastAsia"/>
          <w:b w:val="0"/>
          <w:bCs w:val="0"/>
          <w:caps w:val="0"/>
          <w:noProof/>
          <w:sz w:val="21"/>
          <w:szCs w:val="24"/>
        </w:rPr>
      </w:pPr>
      <w:hyperlink w:anchor="_Toc112830908" w:history="1">
        <w:r w:rsidR="00D07F0F" w:rsidRPr="00FD50F6">
          <w:rPr>
            <w:rStyle w:val="afff1"/>
            <w:noProof/>
            <w:color w:val="auto"/>
          </w:rPr>
          <w:t>引用标准名录</w:t>
        </w:r>
        <w:r w:rsidR="00D07F0F" w:rsidRPr="00FD50F6">
          <w:rPr>
            <w:noProof/>
            <w:webHidden/>
          </w:rPr>
          <w:tab/>
        </w:r>
        <w:r w:rsidR="00D07F0F" w:rsidRPr="00FD50F6">
          <w:rPr>
            <w:noProof/>
            <w:webHidden/>
          </w:rPr>
          <w:fldChar w:fldCharType="begin"/>
        </w:r>
        <w:r w:rsidR="00D07F0F" w:rsidRPr="00FD50F6">
          <w:rPr>
            <w:noProof/>
            <w:webHidden/>
          </w:rPr>
          <w:instrText xml:space="preserve"> PAGEREF _Toc112830908 \h </w:instrText>
        </w:r>
        <w:r w:rsidR="00D07F0F" w:rsidRPr="00FD50F6">
          <w:rPr>
            <w:noProof/>
            <w:webHidden/>
          </w:rPr>
        </w:r>
        <w:r w:rsidR="00D07F0F" w:rsidRPr="00FD50F6">
          <w:rPr>
            <w:noProof/>
            <w:webHidden/>
          </w:rPr>
          <w:fldChar w:fldCharType="separate"/>
        </w:r>
        <w:r>
          <w:rPr>
            <w:noProof/>
            <w:webHidden/>
          </w:rPr>
          <w:t>351</w:t>
        </w:r>
        <w:r w:rsidR="00D07F0F" w:rsidRPr="00FD50F6">
          <w:rPr>
            <w:noProof/>
            <w:webHidden/>
          </w:rPr>
          <w:fldChar w:fldCharType="end"/>
        </w:r>
      </w:hyperlink>
    </w:p>
    <w:p w14:paraId="61D9D94B" w14:textId="4685B7C6" w:rsidR="00B84F8E" w:rsidRPr="00FD50F6" w:rsidRDefault="006D776B" w:rsidP="00555717">
      <w:pPr>
        <w:pStyle w:val="TOC1"/>
        <w:tabs>
          <w:tab w:val="right" w:leader="dot" w:pos="8302"/>
        </w:tabs>
        <w:rPr>
          <w:rStyle w:val="afff1"/>
          <w:noProof/>
          <w:color w:val="auto"/>
        </w:rPr>
        <w:sectPr w:rsidR="00B84F8E" w:rsidRPr="00FD50F6" w:rsidSect="00B84F8E">
          <w:footerReference w:type="default" r:id="rId14"/>
          <w:pgSz w:w="11906" w:h="16838"/>
          <w:pgMar w:top="1440" w:right="1797" w:bottom="1440" w:left="1797" w:header="851" w:footer="851" w:gutter="0"/>
          <w:pgNumType w:start="1"/>
          <w:cols w:space="720"/>
          <w:docGrid w:linePitch="492" w:charSpace="703"/>
        </w:sectPr>
      </w:pPr>
      <w:r w:rsidRPr="00FD50F6">
        <w:rPr>
          <w:rStyle w:val="afff1"/>
          <w:noProof/>
          <w:color w:val="auto"/>
        </w:rPr>
        <w:fldChar w:fldCharType="end"/>
      </w:r>
    </w:p>
    <w:p w14:paraId="31874440" w14:textId="77777777" w:rsidR="00C1563B" w:rsidRPr="00FD50F6" w:rsidRDefault="00C1563B" w:rsidP="00C1563B">
      <w:pPr>
        <w:pStyle w:val="12"/>
      </w:pPr>
      <w:bookmarkStart w:id="5" w:name="_Toc320115606"/>
      <w:bookmarkStart w:id="6" w:name="_Toc320639514"/>
      <w:bookmarkStart w:id="7" w:name="_Toc344218693"/>
      <w:bookmarkStart w:id="8" w:name="_Toc78966719"/>
      <w:bookmarkStart w:id="9" w:name="_Toc112830638"/>
      <w:r w:rsidRPr="00FD50F6">
        <w:lastRenderedPageBreak/>
        <w:t>总</w:t>
      </w:r>
      <w:r w:rsidRPr="00FD50F6">
        <w:rPr>
          <w:rFonts w:hint="eastAsia"/>
        </w:rPr>
        <w:t xml:space="preserve"> </w:t>
      </w:r>
      <w:r w:rsidRPr="00FD50F6">
        <w:t xml:space="preserve"> </w:t>
      </w:r>
      <w:r w:rsidRPr="00FD50F6">
        <w:t>则</w:t>
      </w:r>
      <w:bookmarkEnd w:id="5"/>
      <w:bookmarkEnd w:id="6"/>
      <w:bookmarkEnd w:id="7"/>
      <w:bookmarkEnd w:id="8"/>
      <w:bookmarkEnd w:id="9"/>
    </w:p>
    <w:p w14:paraId="2D5221B8" w14:textId="6DA557E9" w:rsidR="00C1563B" w:rsidRPr="00FD50F6" w:rsidRDefault="00C1563B" w:rsidP="00C1563B">
      <w:pPr>
        <w:pStyle w:val="30"/>
      </w:pPr>
      <w:r w:rsidRPr="00FD50F6">
        <w:t>为</w:t>
      </w:r>
      <w:r w:rsidRPr="00FD50F6">
        <w:rPr>
          <w:rFonts w:hint="eastAsia"/>
        </w:rPr>
        <w:t>统一地铁设计技术标准，</w:t>
      </w:r>
      <w:r w:rsidRPr="00FD50F6">
        <w:t>使地铁工程达到功能合理</w:t>
      </w:r>
      <w:r w:rsidRPr="00FD50F6">
        <w:rPr>
          <w:rFonts w:hint="eastAsia"/>
        </w:rPr>
        <w:t>、</w:t>
      </w:r>
      <w:r w:rsidRPr="00FD50F6">
        <w:t>安全可靠</w:t>
      </w:r>
      <w:r w:rsidRPr="00FD50F6">
        <w:rPr>
          <w:rFonts w:hint="eastAsia"/>
        </w:rPr>
        <w:t>、</w:t>
      </w:r>
      <w:r w:rsidRPr="00FD50F6">
        <w:t>经济适用</w:t>
      </w:r>
      <w:r w:rsidRPr="00FD50F6">
        <w:rPr>
          <w:rFonts w:hint="eastAsia"/>
        </w:rPr>
        <w:t>、</w:t>
      </w:r>
      <w:r w:rsidRPr="00FD50F6">
        <w:t>节能环保</w:t>
      </w:r>
      <w:r w:rsidRPr="00FD50F6">
        <w:rPr>
          <w:rFonts w:hint="eastAsia"/>
        </w:rPr>
        <w:t>、</w:t>
      </w:r>
      <w:r w:rsidRPr="00FD50F6">
        <w:t>技术先进</w:t>
      </w:r>
      <w:r w:rsidRPr="00FD50F6">
        <w:rPr>
          <w:rFonts w:hint="eastAsia"/>
        </w:rPr>
        <w:t>的要求</w:t>
      </w:r>
      <w:r w:rsidRPr="00FD50F6">
        <w:t>，制定本</w:t>
      </w:r>
      <w:r w:rsidRPr="00FD50F6">
        <w:rPr>
          <w:rFonts w:hint="eastAsia"/>
        </w:rPr>
        <w:t>标准</w:t>
      </w:r>
      <w:r w:rsidRPr="00FD50F6">
        <w:t>。</w:t>
      </w:r>
    </w:p>
    <w:p w14:paraId="42E45AD9" w14:textId="5A57E8A4" w:rsidR="00C1563B" w:rsidRPr="00FD50F6" w:rsidRDefault="00C1563B" w:rsidP="00C1563B">
      <w:pPr>
        <w:pStyle w:val="30"/>
      </w:pPr>
      <w:bookmarkStart w:id="10" w:name="_Toc320639657"/>
      <w:bookmarkEnd w:id="10"/>
      <w:r w:rsidRPr="00FD50F6">
        <w:rPr>
          <w:rFonts w:hint="eastAsia"/>
        </w:rPr>
        <w:t>本标准适用于采用旋转电机驱动、列车最高运行速度不大于</w:t>
      </w:r>
      <w:r w:rsidRPr="00FD50F6">
        <w:t>120km</w:t>
      </w:r>
      <w:r w:rsidRPr="00FD50F6">
        <w:rPr>
          <w:rFonts w:hint="eastAsia"/>
        </w:rPr>
        <w:t>／</w:t>
      </w:r>
      <w:r w:rsidRPr="00FD50F6">
        <w:t>h</w:t>
      </w:r>
      <w:r w:rsidRPr="00FD50F6">
        <w:rPr>
          <w:rFonts w:hint="eastAsia"/>
        </w:rPr>
        <w:t>、钢轮钢轨走行系统的地铁新建工程设计。适用客运能力为</w:t>
      </w:r>
      <w:r w:rsidR="00002060">
        <w:rPr>
          <w:rFonts w:hint="eastAsia"/>
        </w:rPr>
        <w:t>（</w:t>
      </w:r>
      <w:r w:rsidRPr="00FD50F6">
        <w:rPr>
          <w:rFonts w:eastAsia="楷体"/>
        </w:rPr>
        <w:t>3</w:t>
      </w:r>
      <w:r w:rsidRPr="00FD50F6">
        <w:rPr>
          <w:rFonts w:eastAsia="楷体"/>
        </w:rPr>
        <w:t>万～</w:t>
      </w:r>
      <w:r w:rsidRPr="00FD50F6">
        <w:rPr>
          <w:rFonts w:eastAsia="楷体"/>
        </w:rPr>
        <w:t>7</w:t>
      </w:r>
      <w:r w:rsidRPr="00FD50F6">
        <w:rPr>
          <w:rFonts w:eastAsia="楷体"/>
        </w:rPr>
        <w:t>万</w:t>
      </w:r>
      <w:r w:rsidR="00002060">
        <w:rPr>
          <w:rFonts w:hint="eastAsia"/>
        </w:rPr>
        <w:t>）</w:t>
      </w:r>
      <w:r w:rsidRPr="00FD50F6">
        <w:rPr>
          <w:rFonts w:eastAsia="楷体"/>
        </w:rPr>
        <w:t>人次</w:t>
      </w:r>
      <w:r w:rsidRPr="00FD50F6">
        <w:rPr>
          <w:rFonts w:eastAsia="楷体"/>
        </w:rPr>
        <w:t>/</w:t>
      </w:r>
      <w:r w:rsidRPr="00FD50F6">
        <w:rPr>
          <w:rFonts w:eastAsia="楷体" w:hint="eastAsia"/>
        </w:rPr>
        <w:t>小时。</w:t>
      </w:r>
    </w:p>
    <w:p w14:paraId="7C1F1C05" w14:textId="00E975FD" w:rsidR="00867258" w:rsidRPr="00FD50F6" w:rsidRDefault="00C1563B" w:rsidP="00634619">
      <w:pPr>
        <w:pStyle w:val="30"/>
      </w:pPr>
      <w:r w:rsidRPr="00FD50F6">
        <w:t>地铁</w:t>
      </w:r>
      <w:r w:rsidRPr="00FD50F6">
        <w:rPr>
          <w:rFonts w:hint="eastAsia"/>
        </w:rPr>
        <w:t>工程</w:t>
      </w:r>
      <w:r w:rsidRPr="00FD50F6">
        <w:t>设计</w:t>
      </w:r>
      <w:r w:rsidRPr="00FD50F6">
        <w:rPr>
          <w:rFonts w:hint="eastAsia"/>
        </w:rPr>
        <w:t>除</w:t>
      </w:r>
      <w:r w:rsidRPr="00FD50F6">
        <w:t>应符合本</w:t>
      </w:r>
      <w:r w:rsidRPr="00FD50F6">
        <w:rPr>
          <w:rFonts w:hint="eastAsia"/>
        </w:rPr>
        <w:t>标准的规定外</w:t>
      </w:r>
      <w:r w:rsidRPr="00FD50F6">
        <w:t>，</w:t>
      </w:r>
      <w:r w:rsidRPr="00FD50F6">
        <w:rPr>
          <w:rFonts w:hint="eastAsia"/>
        </w:rPr>
        <w:t>尚</w:t>
      </w:r>
      <w:r w:rsidRPr="00FD50F6">
        <w:t>应符合国家现行有关标准的规定</w:t>
      </w:r>
      <w:r w:rsidR="00634619" w:rsidRPr="00FD50F6">
        <w:t>。</w:t>
      </w:r>
    </w:p>
    <w:p w14:paraId="769BDC2A" w14:textId="23D4FE34" w:rsidR="00A77C50" w:rsidRPr="00FD50F6" w:rsidRDefault="00A77C50" w:rsidP="00A77C50">
      <w:r w:rsidRPr="00FD50F6">
        <w:br w:type="page"/>
      </w:r>
    </w:p>
    <w:p w14:paraId="3B8EDDC0" w14:textId="5F0410CC" w:rsidR="00867258" w:rsidRPr="00FD50F6" w:rsidRDefault="00867258" w:rsidP="00867258">
      <w:pPr>
        <w:pStyle w:val="12"/>
      </w:pPr>
      <w:bookmarkStart w:id="11" w:name="_Toc235521624"/>
      <w:bookmarkStart w:id="12" w:name="_Toc306203647"/>
      <w:bookmarkStart w:id="13" w:name="_Toc320115607"/>
      <w:bookmarkStart w:id="14" w:name="_Toc320639515"/>
      <w:bookmarkStart w:id="15" w:name="_Toc344218694"/>
      <w:bookmarkStart w:id="16" w:name="_Toc112830639"/>
      <w:r w:rsidRPr="00FD50F6">
        <w:lastRenderedPageBreak/>
        <w:t>术</w:t>
      </w:r>
      <w:r w:rsidR="007E7EFA" w:rsidRPr="00FD50F6">
        <w:rPr>
          <w:rFonts w:hint="eastAsia"/>
        </w:rPr>
        <w:t xml:space="preserve"> </w:t>
      </w:r>
      <w:r w:rsidR="007E7EFA" w:rsidRPr="00FD50F6">
        <w:t xml:space="preserve"> </w:t>
      </w:r>
      <w:r w:rsidRPr="00FD50F6">
        <w:t>语</w:t>
      </w:r>
      <w:bookmarkEnd w:id="11"/>
      <w:bookmarkEnd w:id="12"/>
      <w:bookmarkEnd w:id="13"/>
      <w:bookmarkEnd w:id="14"/>
      <w:bookmarkEnd w:id="15"/>
      <w:bookmarkEnd w:id="16"/>
    </w:p>
    <w:p w14:paraId="72DDE417" w14:textId="1052F2BE" w:rsidR="00867258" w:rsidRPr="00FD50F6" w:rsidRDefault="00867258" w:rsidP="00634619">
      <w:pPr>
        <w:pStyle w:val="30"/>
      </w:pPr>
      <w:r w:rsidRPr="00FD50F6">
        <w:t>地铁</w:t>
      </w:r>
      <w:r w:rsidRPr="00FD50F6">
        <w:t xml:space="preserve">  metro</w:t>
      </w:r>
      <w:r w:rsidRPr="00FD50F6">
        <w:t>（</w:t>
      </w:r>
      <w:r w:rsidRPr="00FD50F6">
        <w:t>underground railway</w:t>
      </w:r>
      <w:r w:rsidRPr="00FD50F6">
        <w:t>、</w:t>
      </w:r>
      <w:r w:rsidRPr="00FD50F6">
        <w:t>subway</w:t>
      </w:r>
      <w:r w:rsidRPr="00FD50F6">
        <w:t>）</w:t>
      </w:r>
    </w:p>
    <w:p w14:paraId="45844249" w14:textId="17601818" w:rsidR="00867258" w:rsidRPr="00FD50F6" w:rsidRDefault="00867258" w:rsidP="00867258">
      <w:pPr>
        <w:pStyle w:val="8"/>
        <w:ind w:firstLine="480"/>
        <w:rPr>
          <w:rFonts w:eastAsia="ヒラギノ角ゴ Pro W3" w:cs="Times New Roman"/>
        </w:rPr>
      </w:pPr>
      <w:r w:rsidRPr="00FD50F6">
        <w:rPr>
          <w:rFonts w:hint="eastAsia"/>
        </w:rPr>
        <w:t>在城市中修建的快速、大</w:t>
      </w:r>
      <w:r w:rsidR="00E76E8F" w:rsidRPr="00FD50F6">
        <w:rPr>
          <w:rFonts w:hint="eastAsia"/>
        </w:rPr>
        <w:t>（高）</w:t>
      </w:r>
      <w:r w:rsidRPr="00FD50F6">
        <w:rPr>
          <w:rFonts w:hint="eastAsia"/>
        </w:rPr>
        <w:t>运量轨道交通</w:t>
      </w:r>
      <w:r w:rsidR="00E76E8F" w:rsidRPr="00FD50F6">
        <w:rPr>
          <w:rFonts w:hint="eastAsia"/>
        </w:rPr>
        <w:t>城市</w:t>
      </w:r>
      <w:r w:rsidRPr="00FD50F6">
        <w:rPr>
          <w:rFonts w:hint="eastAsia"/>
        </w:rPr>
        <w:t>客运服务系统。列车在拥有独立路权的全封闭线路上运行，位于中心城区的线路基本设在地下隧道内，中心城区以外的线路一般设在高架桥或地面上。</w:t>
      </w:r>
    </w:p>
    <w:p w14:paraId="7DEFD524" w14:textId="42EBBD27" w:rsidR="00867258" w:rsidRPr="00FD50F6" w:rsidRDefault="00867258" w:rsidP="00634619">
      <w:pPr>
        <w:pStyle w:val="30"/>
      </w:pPr>
      <w:r w:rsidRPr="00FD50F6">
        <w:t>设计使用年限</w:t>
      </w:r>
      <w:r w:rsidRPr="00FD50F6">
        <w:t xml:space="preserve">  designed lifetime</w:t>
      </w:r>
    </w:p>
    <w:p w14:paraId="74D0B21F" w14:textId="77777777" w:rsidR="00867258" w:rsidRPr="00FD50F6" w:rsidRDefault="00867258" w:rsidP="00867258">
      <w:pPr>
        <w:pStyle w:val="8"/>
        <w:ind w:firstLine="480"/>
      </w:pPr>
      <w:r w:rsidRPr="00FD50F6">
        <w:t>在一般维护条件下，保证工程正常使用的最低时限。</w:t>
      </w:r>
    </w:p>
    <w:p w14:paraId="21C92EF8" w14:textId="77777777" w:rsidR="009B5B8E" w:rsidRPr="00FD50F6" w:rsidRDefault="009B5B8E" w:rsidP="009B5B8E">
      <w:pPr>
        <w:pStyle w:val="30"/>
      </w:pPr>
      <w:r w:rsidRPr="00FD50F6">
        <w:t>主体结构</w:t>
      </w:r>
      <w:r w:rsidRPr="00FD50F6">
        <w:t xml:space="preserve">  main structure</w:t>
      </w:r>
    </w:p>
    <w:p w14:paraId="3E1BAD92" w14:textId="11CA22AA" w:rsidR="009B5B8E" w:rsidRPr="00FD50F6" w:rsidRDefault="009B5B8E" w:rsidP="009B5B8E">
      <w:pPr>
        <w:pStyle w:val="8"/>
        <w:ind w:firstLine="480"/>
        <w:rPr>
          <w:kern w:val="0"/>
        </w:rPr>
      </w:pPr>
      <w:r w:rsidRPr="00FD50F6">
        <w:rPr>
          <w:kern w:val="0"/>
        </w:rPr>
        <w:t>车站与区间保障列车安全运营和结构体系稳定的主要受力结构。</w:t>
      </w:r>
      <w:r w:rsidRPr="00FD50F6">
        <w:rPr>
          <w:rFonts w:hint="eastAsia"/>
          <w:kern w:val="0"/>
        </w:rPr>
        <w:t>分为地下主体结构和地上主体结构。</w:t>
      </w:r>
    </w:p>
    <w:p w14:paraId="46DE8CD6" w14:textId="1053D6A8" w:rsidR="009B5B8E" w:rsidRPr="00121A5A" w:rsidRDefault="0086324A" w:rsidP="009B5B8E">
      <w:pPr>
        <w:pStyle w:val="30"/>
        <w:rPr>
          <w:rFonts w:ascii="宋体" w:hAnsi="Courier New"/>
          <w:kern w:val="0"/>
          <w:sz w:val="20"/>
        </w:rPr>
      </w:pPr>
      <w:r>
        <w:rPr>
          <w:rFonts w:hint="eastAsia"/>
          <w:kern w:val="0"/>
        </w:rPr>
        <w:t xml:space="preserve"> </w:t>
      </w:r>
      <w:r w:rsidR="009B5B8E" w:rsidRPr="00FD50F6">
        <w:rPr>
          <w:rFonts w:hint="eastAsia"/>
          <w:kern w:val="0"/>
        </w:rPr>
        <w:t>地下主体结构</w:t>
      </w:r>
    </w:p>
    <w:p w14:paraId="62CDBC91" w14:textId="0CD3CC2F" w:rsidR="009B5B8E" w:rsidRPr="00FD50F6" w:rsidRDefault="009B5B8E" w:rsidP="009B5B8E">
      <w:pPr>
        <w:pStyle w:val="8"/>
        <w:ind w:firstLine="480"/>
        <w:rPr>
          <w:rFonts w:ascii="宋体" w:hAnsi="Courier New"/>
          <w:kern w:val="0"/>
          <w:sz w:val="20"/>
        </w:rPr>
      </w:pPr>
      <w:r w:rsidRPr="00FD50F6">
        <w:rPr>
          <w:rFonts w:hint="eastAsia"/>
        </w:rPr>
        <w:t>地下工程承受外围水土荷载、地震荷载、人防荷载等作用，保障结构体系整体稳定的车站（含出入口、风道）和区间（含区间风井道、</w:t>
      </w:r>
      <w:r w:rsidR="00C1563B" w:rsidRPr="00FD50F6">
        <w:rPr>
          <w:rFonts w:hint="eastAsia"/>
        </w:rPr>
        <w:t>区间联络通道</w:t>
      </w:r>
      <w:r w:rsidRPr="00FD50F6">
        <w:rPr>
          <w:rFonts w:hint="eastAsia"/>
        </w:rPr>
        <w:t>、联络线等）主要受力结构。</w:t>
      </w:r>
    </w:p>
    <w:p w14:paraId="6BE0C81D" w14:textId="4FC81A91" w:rsidR="00867258" w:rsidRPr="00FD50F6" w:rsidRDefault="00867258" w:rsidP="00634619">
      <w:pPr>
        <w:pStyle w:val="30"/>
      </w:pPr>
      <w:r w:rsidRPr="00FD50F6">
        <w:t>旅行速度</w:t>
      </w:r>
      <w:r w:rsidRPr="00FD50F6">
        <w:t xml:space="preserve">  operation speed</w:t>
      </w:r>
    </w:p>
    <w:p w14:paraId="2969E384" w14:textId="77777777" w:rsidR="00867258" w:rsidRPr="00FD50F6" w:rsidRDefault="00867258" w:rsidP="00867258">
      <w:pPr>
        <w:pStyle w:val="8"/>
        <w:ind w:firstLine="480"/>
      </w:pPr>
      <w:r w:rsidRPr="00FD50F6">
        <w:t>正常运营情况下，列车从起点站发车至终点站停车的平均运行速度。</w:t>
      </w:r>
    </w:p>
    <w:p w14:paraId="5E4A16D8" w14:textId="360C1206" w:rsidR="00867258" w:rsidRPr="00FD50F6" w:rsidRDefault="00867258" w:rsidP="00634619">
      <w:pPr>
        <w:pStyle w:val="30"/>
      </w:pPr>
      <w:r w:rsidRPr="00FD50F6">
        <w:t>最高运行速度</w:t>
      </w:r>
      <w:r w:rsidRPr="00FD50F6">
        <w:t xml:space="preserve">  maximum running speed</w:t>
      </w:r>
    </w:p>
    <w:p w14:paraId="5B5B38C7" w14:textId="77777777" w:rsidR="00867258" w:rsidRPr="00FD50F6" w:rsidRDefault="00867258" w:rsidP="00867258">
      <w:pPr>
        <w:pStyle w:val="8"/>
        <w:ind w:firstLine="480"/>
      </w:pPr>
      <w:r w:rsidRPr="00FD50F6">
        <w:t>列车在各种不同运营状态和线路条件下允许达到的设计最高持续行驶速度。</w:t>
      </w:r>
    </w:p>
    <w:p w14:paraId="559E221A" w14:textId="5F7D4F27" w:rsidR="00867258" w:rsidRPr="00FD50F6" w:rsidRDefault="00867258" w:rsidP="00634619">
      <w:pPr>
        <w:pStyle w:val="30"/>
      </w:pPr>
      <w:r w:rsidRPr="00FD50F6">
        <w:t>限界</w:t>
      </w:r>
      <w:r w:rsidRPr="00FD50F6">
        <w:t xml:space="preserve">  gauge</w:t>
      </w:r>
    </w:p>
    <w:p w14:paraId="2E8F2A4B" w14:textId="77777777" w:rsidR="00867258" w:rsidRPr="00FD50F6" w:rsidRDefault="00867258" w:rsidP="00867258">
      <w:pPr>
        <w:pStyle w:val="8"/>
        <w:ind w:firstLine="480"/>
      </w:pPr>
      <w:r w:rsidRPr="00FD50F6">
        <w:t>限定车辆运行及轨道区周围构筑物超越的轮廓线，分车辆限界、设备限界和建筑限界。</w:t>
      </w:r>
    </w:p>
    <w:p w14:paraId="455659D6" w14:textId="2F211681" w:rsidR="00867258" w:rsidRPr="00FD50F6" w:rsidRDefault="00867258" w:rsidP="00634619">
      <w:pPr>
        <w:pStyle w:val="30"/>
      </w:pPr>
      <w:r w:rsidRPr="00FD50F6">
        <w:t>车辆轮廓线</w:t>
      </w:r>
      <w:r w:rsidRPr="00FD50F6">
        <w:t xml:space="preserve">  vehicle profile </w:t>
      </w:r>
    </w:p>
    <w:p w14:paraId="1CC13160" w14:textId="77777777" w:rsidR="00867258" w:rsidRPr="00FD50F6" w:rsidRDefault="00867258" w:rsidP="00867258">
      <w:pPr>
        <w:pStyle w:val="8"/>
        <w:ind w:firstLine="480"/>
      </w:pPr>
      <w:r w:rsidRPr="00FD50F6">
        <w:t>设定车辆所有横断面的包络线。</w:t>
      </w:r>
    </w:p>
    <w:p w14:paraId="3A8FE00E" w14:textId="6117E2BA" w:rsidR="00867258" w:rsidRPr="00FD50F6" w:rsidRDefault="00867258" w:rsidP="00634619">
      <w:pPr>
        <w:pStyle w:val="30"/>
      </w:pPr>
      <w:r w:rsidRPr="00FD50F6">
        <w:t>车辆限界</w:t>
      </w:r>
      <w:r w:rsidRPr="00FD50F6">
        <w:t xml:space="preserve">  vehicle gauge</w:t>
      </w:r>
    </w:p>
    <w:p w14:paraId="3C934B0F" w14:textId="536C2133" w:rsidR="00867258" w:rsidRPr="00FD50F6" w:rsidRDefault="00867258" w:rsidP="00867258">
      <w:pPr>
        <w:pStyle w:val="8"/>
        <w:ind w:firstLine="480"/>
      </w:pPr>
      <w:r w:rsidRPr="00FD50F6">
        <w:t>车辆在平直线上正常运行状态下所形成的最大动态包络线，用以控制车辆制造，以及制定站台和</w:t>
      </w:r>
      <w:r w:rsidR="007E64D2" w:rsidRPr="00FD50F6">
        <w:t>站台屏蔽门</w:t>
      </w:r>
      <w:r w:rsidRPr="00FD50F6">
        <w:t>的定位尺寸。</w:t>
      </w:r>
    </w:p>
    <w:p w14:paraId="79B34D58" w14:textId="37831E7F" w:rsidR="00867258" w:rsidRPr="00FD50F6" w:rsidRDefault="00867258" w:rsidP="00634619">
      <w:pPr>
        <w:pStyle w:val="30"/>
      </w:pPr>
      <w:r w:rsidRPr="00FD50F6">
        <w:t>设备限界</w:t>
      </w:r>
      <w:r w:rsidRPr="00FD50F6">
        <w:t xml:space="preserve">  equipment gauge</w:t>
      </w:r>
    </w:p>
    <w:p w14:paraId="6EAB336F" w14:textId="77777777" w:rsidR="00867258" w:rsidRPr="00FD50F6" w:rsidRDefault="00867258" w:rsidP="00867258">
      <w:pPr>
        <w:pStyle w:val="8"/>
        <w:ind w:firstLine="480"/>
      </w:pPr>
      <w:r w:rsidRPr="00FD50F6">
        <w:t>车辆在故障运行状态下所形成的最大动态包络线，用以限制行车区的设备安装。</w:t>
      </w:r>
    </w:p>
    <w:p w14:paraId="38E11CF0" w14:textId="624B3041" w:rsidR="00867258" w:rsidRPr="00FD50F6" w:rsidRDefault="00867258" w:rsidP="00634619">
      <w:pPr>
        <w:pStyle w:val="30"/>
      </w:pPr>
      <w:r w:rsidRPr="00FD50F6">
        <w:lastRenderedPageBreak/>
        <w:t>建筑限界</w:t>
      </w:r>
      <w:r w:rsidRPr="00FD50F6">
        <w:t xml:space="preserve">  structure gauge</w:t>
      </w:r>
    </w:p>
    <w:p w14:paraId="2F200785" w14:textId="77777777" w:rsidR="00867258" w:rsidRPr="00FD50F6" w:rsidRDefault="00867258" w:rsidP="00E73D12">
      <w:pPr>
        <w:pStyle w:val="8"/>
        <w:ind w:firstLine="480"/>
      </w:pPr>
      <w:r w:rsidRPr="00FD50F6">
        <w:t>在设备限界基础上，满足设备和管线安装尺寸后的最小有效断面。</w:t>
      </w:r>
    </w:p>
    <w:p w14:paraId="7ACD351B" w14:textId="62EE28F0" w:rsidR="00867258" w:rsidRPr="00FD50F6" w:rsidRDefault="00867258" w:rsidP="00634619">
      <w:pPr>
        <w:pStyle w:val="30"/>
      </w:pPr>
      <w:bookmarkStart w:id="17" w:name="_Hlk66365117"/>
      <w:r w:rsidRPr="00FD50F6">
        <w:t>正线</w:t>
      </w:r>
      <w:r w:rsidRPr="00FD50F6">
        <w:t xml:space="preserve"> </w:t>
      </w:r>
      <w:bookmarkEnd w:id="17"/>
      <w:r w:rsidRPr="00FD50F6">
        <w:t xml:space="preserve"> main line</w:t>
      </w:r>
    </w:p>
    <w:p w14:paraId="2D7B4B10" w14:textId="51F78C2E" w:rsidR="00867258" w:rsidRPr="00FD50F6" w:rsidRDefault="00867258" w:rsidP="00E73D12">
      <w:pPr>
        <w:pStyle w:val="8"/>
        <w:ind w:firstLine="480"/>
      </w:pPr>
      <w:r w:rsidRPr="00FD50F6">
        <w:t>载客列车运营的贯穿全程的线路</w:t>
      </w:r>
      <w:r w:rsidR="0011395E" w:rsidRPr="00FD50F6">
        <w:rPr>
          <w:rFonts w:hint="eastAsia"/>
        </w:rPr>
        <w:t>，包括支线</w:t>
      </w:r>
      <w:r w:rsidRPr="00FD50F6">
        <w:t>。</w:t>
      </w:r>
    </w:p>
    <w:p w14:paraId="6DFB8132" w14:textId="4E838E96" w:rsidR="00867258" w:rsidRPr="00FD50F6" w:rsidRDefault="00867258" w:rsidP="00634619">
      <w:pPr>
        <w:pStyle w:val="30"/>
      </w:pPr>
      <w:r w:rsidRPr="00FD50F6">
        <w:t>配线</w:t>
      </w:r>
      <w:r w:rsidRPr="00FD50F6">
        <w:t xml:space="preserve">  sidings</w:t>
      </w:r>
    </w:p>
    <w:p w14:paraId="649859F1" w14:textId="77777777" w:rsidR="00867258" w:rsidRPr="00FD50F6" w:rsidRDefault="00867258" w:rsidP="00E73D12">
      <w:pPr>
        <w:pStyle w:val="8"/>
        <w:ind w:firstLine="480"/>
      </w:pPr>
      <w:r w:rsidRPr="00FD50F6">
        <w:rPr>
          <w:rFonts w:hint="eastAsia"/>
        </w:rPr>
        <w:t>地铁线路中除正线外，在运行过程中为列车运行提供收发车、折返、联络、安全保障、临时停车、站台停靠等功能服务，通过道岔与正线或相互联络的轨道线路。包括折返线、停车线、到发线、联络线、渡线、安全线和车辆基地出入线。</w:t>
      </w:r>
    </w:p>
    <w:p w14:paraId="43BF5947" w14:textId="18E58C5F" w:rsidR="00867258" w:rsidRPr="00FD50F6" w:rsidRDefault="00867258" w:rsidP="00634619">
      <w:pPr>
        <w:pStyle w:val="30"/>
      </w:pPr>
      <w:bookmarkStart w:id="18" w:name="_Hlk66366093"/>
      <w:r w:rsidRPr="00FD50F6">
        <w:t>试车线</w:t>
      </w:r>
      <w:bookmarkEnd w:id="18"/>
      <w:r w:rsidRPr="00FD50F6">
        <w:t xml:space="preserve">  testing line</w:t>
      </w:r>
    </w:p>
    <w:p w14:paraId="17B3BBFF" w14:textId="77777777" w:rsidR="00353026" w:rsidRPr="00FD50F6" w:rsidRDefault="00353026" w:rsidP="00353026">
      <w:pPr>
        <w:pStyle w:val="8"/>
        <w:ind w:firstLine="480"/>
      </w:pPr>
      <w:r w:rsidRPr="00FD50F6">
        <w:t>专门用于车辆动态性能试验的线路。</w:t>
      </w:r>
    </w:p>
    <w:p w14:paraId="4C588095" w14:textId="2C698E96" w:rsidR="00867258" w:rsidRPr="00FD50F6" w:rsidRDefault="00867258" w:rsidP="00634619">
      <w:pPr>
        <w:pStyle w:val="30"/>
      </w:pPr>
      <w:r w:rsidRPr="00FD50F6">
        <w:t>地铁普线</w:t>
      </w:r>
    </w:p>
    <w:p w14:paraId="7A49BC6D" w14:textId="71CDFC6F" w:rsidR="00867258" w:rsidRPr="00FD50F6" w:rsidRDefault="00353026" w:rsidP="00E73D12">
      <w:pPr>
        <w:pStyle w:val="8"/>
        <w:ind w:firstLine="480"/>
        <w:rPr>
          <w:rFonts w:ascii="宋体" w:hAnsi="Courier New"/>
        </w:rPr>
      </w:pPr>
      <w:r w:rsidRPr="00FD50F6">
        <w:rPr>
          <w:rFonts w:hint="eastAsia"/>
        </w:rPr>
        <w:t>列车最高运行速度为</w:t>
      </w:r>
      <w:r w:rsidRPr="00FD50F6">
        <w:t>80km/h</w:t>
      </w:r>
      <w:r w:rsidRPr="00FD50F6">
        <w:rPr>
          <w:rFonts w:hint="eastAsia"/>
        </w:rPr>
        <w:t>或</w:t>
      </w:r>
      <w:r w:rsidRPr="00FD50F6">
        <w:t>100km/h</w:t>
      </w:r>
      <w:r w:rsidRPr="00FD50F6">
        <w:rPr>
          <w:rFonts w:hint="eastAsia"/>
        </w:rPr>
        <w:t>，主要服务于中心城区内部、中心城区与中心城区近邻的其它城市功能区的出行需求，采用站站停列车运行方式的地铁线路</w:t>
      </w:r>
      <w:r w:rsidR="00867258" w:rsidRPr="00FD50F6">
        <w:rPr>
          <w:rFonts w:hint="eastAsia"/>
        </w:rPr>
        <w:t>。</w:t>
      </w:r>
    </w:p>
    <w:p w14:paraId="79CE9BCD" w14:textId="4EAE1623" w:rsidR="00867258" w:rsidRPr="00FD50F6" w:rsidRDefault="00867258" w:rsidP="00634619">
      <w:pPr>
        <w:pStyle w:val="30"/>
      </w:pPr>
      <w:r w:rsidRPr="00FD50F6">
        <w:t>地铁快线</w:t>
      </w:r>
    </w:p>
    <w:p w14:paraId="063C1192" w14:textId="4D2ABD9E" w:rsidR="00867258" w:rsidRPr="00FD50F6" w:rsidRDefault="00353026" w:rsidP="00E73D12">
      <w:pPr>
        <w:pStyle w:val="8"/>
        <w:ind w:firstLine="480"/>
        <w:rPr>
          <w:rFonts w:ascii="宋体" w:hAnsi="Courier New"/>
        </w:rPr>
      </w:pPr>
      <w:r w:rsidRPr="00FD50F6">
        <w:rPr>
          <w:rFonts w:hint="eastAsia"/>
        </w:rPr>
        <w:t>列车最高运行速度采用为</w:t>
      </w:r>
      <w:r w:rsidRPr="00FD50F6">
        <w:t>100km/h</w:t>
      </w:r>
      <w:r w:rsidRPr="00FD50F6">
        <w:rPr>
          <w:rFonts w:hint="eastAsia"/>
        </w:rPr>
        <w:t>或</w:t>
      </w:r>
      <w:r w:rsidRPr="00FD50F6">
        <w:t>120km/h</w:t>
      </w:r>
      <w:r w:rsidRPr="00FD50F6">
        <w:rPr>
          <w:rFonts w:hint="eastAsia"/>
        </w:rPr>
        <w:t>，主要服务于中心城区与周边市郊、新建功能区的中长距离出行，可采用站站停、快慢车等多种运行方式的地铁线路</w:t>
      </w:r>
      <w:r w:rsidR="00867258" w:rsidRPr="00FD50F6">
        <w:rPr>
          <w:rFonts w:hint="eastAsia"/>
        </w:rPr>
        <w:t>。</w:t>
      </w:r>
    </w:p>
    <w:p w14:paraId="497AB886" w14:textId="20BE96D0" w:rsidR="00867258" w:rsidRPr="00FD50F6" w:rsidRDefault="00867258" w:rsidP="00634619">
      <w:pPr>
        <w:pStyle w:val="30"/>
      </w:pPr>
      <w:r w:rsidRPr="00FD50F6">
        <w:t>复合功能线路</w:t>
      </w:r>
    </w:p>
    <w:p w14:paraId="0405C626" w14:textId="09C18E3E" w:rsidR="00867258" w:rsidRPr="00FD50F6" w:rsidRDefault="00353026" w:rsidP="00E73D12">
      <w:pPr>
        <w:pStyle w:val="8"/>
        <w:ind w:firstLine="480"/>
        <w:rPr>
          <w:rFonts w:ascii="宋体" w:hAnsi="Courier New"/>
        </w:rPr>
      </w:pPr>
      <w:r w:rsidRPr="00FD50F6">
        <w:rPr>
          <w:rFonts w:hint="eastAsia"/>
        </w:rPr>
        <w:t>同时具有地铁普线和地铁快线特征。在城市中心区具有普线特征，在外围具备快线特征的地铁线路。</w:t>
      </w:r>
    </w:p>
    <w:p w14:paraId="6C8F4EA2" w14:textId="7665F9FE" w:rsidR="00867258" w:rsidRPr="00FD50F6" w:rsidRDefault="00867258" w:rsidP="00634619">
      <w:pPr>
        <w:pStyle w:val="30"/>
      </w:pPr>
      <w:r w:rsidRPr="00FD50F6">
        <w:t>设计载客量</w:t>
      </w:r>
    </w:p>
    <w:p w14:paraId="36B7D8A3" w14:textId="3664577C" w:rsidR="00353026" w:rsidRPr="00FD50F6" w:rsidRDefault="00353026" w:rsidP="00353026">
      <w:pPr>
        <w:pStyle w:val="8"/>
        <w:ind w:firstLine="480"/>
      </w:pPr>
      <w:bookmarkStart w:id="19" w:name="_Hlk66366637"/>
      <w:r w:rsidRPr="00FD50F6">
        <w:rPr>
          <w:rFonts w:hint="eastAsia"/>
        </w:rPr>
        <w:t>在</w:t>
      </w:r>
      <w:r w:rsidRPr="00FD50F6">
        <w:t>设定的车厢站席舒适度条件下</w:t>
      </w:r>
      <w:r w:rsidRPr="00FD50F6">
        <w:rPr>
          <w:rFonts w:hint="eastAsia"/>
        </w:rPr>
        <w:t>，站席与坐席乘客数量之和。</w:t>
      </w:r>
    </w:p>
    <w:p w14:paraId="3883732F" w14:textId="70E1940B" w:rsidR="00867258" w:rsidRPr="00FD50F6" w:rsidRDefault="00867258" w:rsidP="00634619">
      <w:pPr>
        <w:pStyle w:val="30"/>
      </w:pPr>
      <w:r w:rsidRPr="00FD50F6">
        <w:t>轨道结构</w:t>
      </w:r>
      <w:bookmarkEnd w:id="19"/>
      <w:r w:rsidRPr="00FD50F6">
        <w:t xml:space="preserve">  track structure</w:t>
      </w:r>
    </w:p>
    <w:p w14:paraId="25E6AF70" w14:textId="77777777" w:rsidR="00867258" w:rsidRPr="00FD50F6" w:rsidRDefault="00867258" w:rsidP="00E73D12">
      <w:pPr>
        <w:pStyle w:val="8"/>
        <w:ind w:firstLine="480"/>
      </w:pPr>
      <w:r w:rsidRPr="00FD50F6">
        <w:t>路基面或结构面以上的线路部分，由钢轨、扣件、轨枕、道床等组成。</w:t>
      </w:r>
    </w:p>
    <w:p w14:paraId="1DE51B9B" w14:textId="3425E1A3" w:rsidR="00867258" w:rsidRPr="00FD50F6" w:rsidRDefault="00867258" w:rsidP="00634619">
      <w:pPr>
        <w:pStyle w:val="30"/>
      </w:pPr>
      <w:bookmarkStart w:id="20" w:name="_Hlk66366763"/>
      <w:r w:rsidRPr="00FD50F6">
        <w:t>无缝线路</w:t>
      </w:r>
      <w:bookmarkEnd w:id="20"/>
      <w:r w:rsidRPr="00FD50F6">
        <w:t xml:space="preserve">  seamless track</w:t>
      </w:r>
    </w:p>
    <w:p w14:paraId="7960BA75" w14:textId="77777777" w:rsidR="00867258" w:rsidRPr="00FD50F6" w:rsidRDefault="00867258" w:rsidP="00E73D12">
      <w:pPr>
        <w:pStyle w:val="8"/>
        <w:ind w:firstLine="480"/>
      </w:pPr>
      <w:r w:rsidRPr="00FD50F6">
        <w:t>钢轨连续焊接或胶结超过两个伸缩区长度的轨道。</w:t>
      </w:r>
    </w:p>
    <w:p w14:paraId="0EDE20B4" w14:textId="480399CF" w:rsidR="00867258" w:rsidRPr="00FD50F6" w:rsidRDefault="00867258" w:rsidP="00634619">
      <w:pPr>
        <w:pStyle w:val="30"/>
      </w:pPr>
      <w:r w:rsidRPr="00FD50F6">
        <w:t>伸缩调节器</w:t>
      </w:r>
      <w:r w:rsidRPr="00FD50F6">
        <w:t xml:space="preserve">  expansion joint </w:t>
      </w:r>
    </w:p>
    <w:p w14:paraId="7A995927" w14:textId="77777777" w:rsidR="00867258" w:rsidRPr="00FD50F6" w:rsidRDefault="00867258" w:rsidP="00E73D12">
      <w:pPr>
        <w:pStyle w:val="8"/>
        <w:ind w:firstLine="480"/>
      </w:pPr>
      <w:r w:rsidRPr="00FD50F6">
        <w:t>调节钢轨伸缩量大于构造轨缝的装置。</w:t>
      </w:r>
      <w:r w:rsidRPr="00FD50F6">
        <w:t xml:space="preserve"> </w:t>
      </w:r>
    </w:p>
    <w:p w14:paraId="67FE1D1C" w14:textId="3296EDCA" w:rsidR="00867258" w:rsidRPr="00FD50F6" w:rsidRDefault="00867258" w:rsidP="00634619">
      <w:pPr>
        <w:pStyle w:val="30"/>
      </w:pPr>
      <w:r w:rsidRPr="00FD50F6">
        <w:lastRenderedPageBreak/>
        <w:t>基床</w:t>
      </w:r>
      <w:r w:rsidRPr="00FD50F6">
        <w:t xml:space="preserve">  subgrade bed</w:t>
      </w:r>
    </w:p>
    <w:p w14:paraId="1AAFA366" w14:textId="77777777" w:rsidR="00867258" w:rsidRPr="00FD50F6" w:rsidRDefault="00867258" w:rsidP="00E73D12">
      <w:pPr>
        <w:pStyle w:val="8"/>
        <w:ind w:firstLine="480"/>
      </w:pPr>
      <w:r w:rsidRPr="00FD50F6">
        <w:rPr>
          <w:rFonts w:hint="eastAsia"/>
        </w:rPr>
        <w:t>路肩高程以下、受列车荷载作用影响显著的路基上部结构。基床由表层和底层组成。</w:t>
      </w:r>
    </w:p>
    <w:p w14:paraId="3C3EE586" w14:textId="77777777" w:rsidR="00D84020" w:rsidRPr="00FD50F6" w:rsidRDefault="00D84020" w:rsidP="00D84020">
      <w:pPr>
        <w:pStyle w:val="30"/>
      </w:pPr>
      <w:bookmarkStart w:id="21" w:name="_Hlk66366974"/>
      <w:r w:rsidRPr="00FD50F6">
        <w:rPr>
          <w:rFonts w:hint="eastAsia"/>
        </w:rPr>
        <w:t>地上车站</w:t>
      </w:r>
      <w:r w:rsidRPr="00FD50F6">
        <w:rPr>
          <w:rFonts w:hint="eastAsia"/>
        </w:rPr>
        <w:t xml:space="preserve"> </w:t>
      </w:r>
      <w:r w:rsidRPr="00FD50F6">
        <w:t xml:space="preserve"> above-ground s</w:t>
      </w:r>
      <w:r w:rsidRPr="00FD50F6">
        <w:rPr>
          <w:rFonts w:hint="eastAsia"/>
        </w:rPr>
        <w:t>tation</w:t>
      </w:r>
    </w:p>
    <w:p w14:paraId="21515B26" w14:textId="427CF668" w:rsidR="00D84020" w:rsidRPr="00FD50F6" w:rsidRDefault="00DB6022" w:rsidP="00D84020">
      <w:pPr>
        <w:pStyle w:val="8"/>
        <w:ind w:firstLine="480"/>
      </w:pPr>
      <w:r w:rsidRPr="00FD50F6">
        <w:rPr>
          <w:rFonts w:hint="eastAsia"/>
        </w:rPr>
        <w:t>站厅和</w:t>
      </w:r>
      <w:r w:rsidR="00D84020" w:rsidRPr="00FD50F6">
        <w:rPr>
          <w:rFonts w:hint="eastAsia"/>
        </w:rPr>
        <w:t>轨道设于地面上或高架结构上的车站，以及站台层</w:t>
      </w:r>
      <w:r w:rsidR="00553DA3" w:rsidRPr="00FD50F6">
        <w:rPr>
          <w:rFonts w:hint="eastAsia"/>
        </w:rPr>
        <w:t>装修后</w:t>
      </w:r>
      <w:r w:rsidR="00D84020" w:rsidRPr="00FD50F6">
        <w:rPr>
          <w:rFonts w:hint="eastAsia"/>
        </w:rPr>
        <w:t>地面低于室外地面的平均高度不大于该站台层平均净高</w:t>
      </w:r>
      <w:r w:rsidR="00D84020" w:rsidRPr="00FD50F6">
        <w:t>1</w:t>
      </w:r>
      <w:r w:rsidR="00D84020" w:rsidRPr="00FD50F6">
        <w:rPr>
          <w:rFonts w:hint="eastAsia"/>
        </w:rPr>
        <w:t>/</w:t>
      </w:r>
      <w:r w:rsidR="00D84020" w:rsidRPr="00FD50F6">
        <w:t>3</w:t>
      </w:r>
      <w:r w:rsidRPr="00FD50F6">
        <w:rPr>
          <w:rFonts w:hint="eastAsia"/>
        </w:rPr>
        <w:t>、</w:t>
      </w:r>
      <w:r w:rsidR="009948B8" w:rsidRPr="00FD50F6">
        <w:rPr>
          <w:rFonts w:hint="eastAsia"/>
        </w:rPr>
        <w:t>且</w:t>
      </w:r>
      <w:r w:rsidRPr="00FD50F6">
        <w:rPr>
          <w:rFonts w:hint="eastAsia"/>
        </w:rPr>
        <w:t>站厅设于地面层或以上</w:t>
      </w:r>
      <w:r w:rsidR="00D84020" w:rsidRPr="00FD50F6">
        <w:rPr>
          <w:rFonts w:hint="eastAsia"/>
        </w:rPr>
        <w:t>的车</w:t>
      </w:r>
      <w:r w:rsidR="00553DA3" w:rsidRPr="00FD50F6">
        <w:rPr>
          <w:rFonts w:hint="eastAsia"/>
        </w:rPr>
        <w:t>站。</w:t>
      </w:r>
    </w:p>
    <w:p w14:paraId="5F1C4CEE" w14:textId="7CF263EB" w:rsidR="00867258" w:rsidRPr="00FD50F6" w:rsidRDefault="00867258" w:rsidP="00634619">
      <w:pPr>
        <w:pStyle w:val="30"/>
      </w:pPr>
      <w:r w:rsidRPr="00FD50F6">
        <w:t>车站公共区</w:t>
      </w:r>
      <w:r w:rsidRPr="00FD50F6">
        <w:t xml:space="preserve"> </w:t>
      </w:r>
      <w:bookmarkEnd w:id="21"/>
      <w:r w:rsidRPr="00FD50F6">
        <w:t xml:space="preserve"> public zone of station</w:t>
      </w:r>
    </w:p>
    <w:p w14:paraId="5BC02E3C" w14:textId="344CE86A" w:rsidR="00867258" w:rsidRPr="00FD50F6" w:rsidRDefault="00D84020" w:rsidP="00E73D12">
      <w:pPr>
        <w:pStyle w:val="8"/>
        <w:ind w:firstLine="480"/>
      </w:pPr>
      <w:r w:rsidRPr="00FD50F6">
        <w:t>车站内供乘客</w:t>
      </w:r>
      <w:r w:rsidRPr="00FD50F6">
        <w:rPr>
          <w:rFonts w:hint="eastAsia"/>
        </w:rPr>
        <w:t>购票、安检、检票、</w:t>
      </w:r>
      <w:r w:rsidRPr="00FD50F6">
        <w:t>通行</w:t>
      </w:r>
      <w:r w:rsidRPr="00FD50F6">
        <w:rPr>
          <w:rFonts w:hint="eastAsia"/>
        </w:rPr>
        <w:t>、候车</w:t>
      </w:r>
      <w:r w:rsidRPr="00FD50F6">
        <w:t>和乘降</w:t>
      </w:r>
      <w:r w:rsidRPr="00FD50F6">
        <w:rPr>
          <w:rFonts w:hint="eastAsia"/>
        </w:rPr>
        <w:t>列车</w:t>
      </w:r>
      <w:r w:rsidRPr="00FD50F6">
        <w:t>的</w:t>
      </w:r>
      <w:r w:rsidRPr="00FD50F6">
        <w:rPr>
          <w:rFonts w:hint="eastAsia"/>
        </w:rPr>
        <w:t>公共</w:t>
      </w:r>
      <w:r w:rsidRPr="00FD50F6">
        <w:t>区域</w:t>
      </w:r>
      <w:r w:rsidR="00867258" w:rsidRPr="00FD50F6">
        <w:t>。</w:t>
      </w:r>
    </w:p>
    <w:p w14:paraId="3DC8622C" w14:textId="77777777" w:rsidR="00D84020" w:rsidRPr="00FD50F6" w:rsidRDefault="00D84020" w:rsidP="00D84020">
      <w:pPr>
        <w:pStyle w:val="30"/>
      </w:pPr>
      <w:r w:rsidRPr="00FD50F6">
        <w:rPr>
          <w:rFonts w:hint="eastAsia"/>
        </w:rPr>
        <w:t>车站设备和管理用房区</w:t>
      </w:r>
      <w:r w:rsidRPr="00FD50F6">
        <w:rPr>
          <w:rFonts w:hint="eastAsia"/>
        </w:rPr>
        <w:t xml:space="preserve"> </w:t>
      </w:r>
      <w:r w:rsidRPr="00FD50F6">
        <w:t xml:space="preserve">equipment and management </w:t>
      </w:r>
      <w:r w:rsidRPr="00FD50F6">
        <w:rPr>
          <w:rFonts w:hint="eastAsia"/>
        </w:rPr>
        <w:t>zone</w:t>
      </w:r>
      <w:r w:rsidRPr="00FD50F6">
        <w:t xml:space="preserve"> of station</w:t>
      </w:r>
    </w:p>
    <w:p w14:paraId="7122B1FE" w14:textId="5CC4A3C0" w:rsidR="00867258" w:rsidRPr="00FD50F6" w:rsidRDefault="00D84020" w:rsidP="00D84020">
      <w:pPr>
        <w:pStyle w:val="8"/>
        <w:ind w:firstLine="480"/>
      </w:pPr>
      <w:r w:rsidRPr="00FD50F6">
        <w:rPr>
          <w:rFonts w:hint="eastAsia"/>
        </w:rPr>
        <w:t>车站各类设备设施用房和站内管理人员工作生活用房的区域。</w:t>
      </w:r>
    </w:p>
    <w:p w14:paraId="5B134AE4" w14:textId="4279B075" w:rsidR="00867258" w:rsidRPr="00FD50F6" w:rsidRDefault="00867258" w:rsidP="00634619">
      <w:pPr>
        <w:pStyle w:val="30"/>
      </w:pPr>
      <w:r w:rsidRPr="00FD50F6">
        <w:rPr>
          <w:rFonts w:hint="eastAsia"/>
        </w:rPr>
        <w:t>无障碍设施</w:t>
      </w:r>
      <w:r w:rsidRPr="00FD50F6">
        <w:rPr>
          <w:rFonts w:hint="eastAsia"/>
        </w:rPr>
        <w:t xml:space="preserve"> </w:t>
      </w:r>
      <w:r w:rsidRPr="00FD50F6">
        <w:t>Accessory accessibility facilities</w:t>
      </w:r>
    </w:p>
    <w:p w14:paraId="0E2D0325" w14:textId="77777777" w:rsidR="00867258" w:rsidRPr="00FD50F6" w:rsidRDefault="00867258" w:rsidP="00E73D12">
      <w:pPr>
        <w:pStyle w:val="8"/>
        <w:ind w:firstLine="480"/>
      </w:pPr>
      <w:r w:rsidRPr="00FD50F6">
        <w:rPr>
          <w:rFonts w:hint="eastAsia"/>
        </w:rPr>
        <w:t>保障残疾人、老年人、儿童等要使用无障碍设施的人员通行安全和使用便利的相关设施的总称。</w:t>
      </w:r>
    </w:p>
    <w:p w14:paraId="12EC94C4" w14:textId="77777777" w:rsidR="00D84020" w:rsidRPr="00FD50F6" w:rsidRDefault="00D84020" w:rsidP="00D84020">
      <w:pPr>
        <w:pStyle w:val="30"/>
      </w:pPr>
      <w:r w:rsidRPr="00FD50F6">
        <w:rPr>
          <w:rFonts w:hint="eastAsia"/>
        </w:rPr>
        <w:t>换乘车站</w:t>
      </w:r>
      <w:r w:rsidRPr="00FD50F6">
        <w:rPr>
          <w:rFonts w:hint="eastAsia"/>
        </w:rPr>
        <w:t xml:space="preserve"> </w:t>
      </w:r>
      <w:r w:rsidRPr="00FD50F6">
        <w:t>Transfer station</w:t>
      </w:r>
      <w:r w:rsidRPr="00FD50F6">
        <w:rPr>
          <w:rFonts w:hint="eastAsia"/>
        </w:rPr>
        <w:t>（</w:t>
      </w:r>
      <w:r w:rsidRPr="00FD50F6">
        <w:rPr>
          <w:rFonts w:hint="eastAsia"/>
        </w:rPr>
        <w:t>Interchange</w:t>
      </w:r>
      <w:r w:rsidRPr="00FD50F6">
        <w:t xml:space="preserve"> </w:t>
      </w:r>
      <w:r w:rsidRPr="00FD50F6">
        <w:rPr>
          <w:rFonts w:hint="eastAsia"/>
        </w:rPr>
        <w:t>station</w:t>
      </w:r>
      <w:r w:rsidRPr="00FD50F6">
        <w:rPr>
          <w:rFonts w:hint="eastAsia"/>
        </w:rPr>
        <w:t>）</w:t>
      </w:r>
    </w:p>
    <w:p w14:paraId="1913CD17" w14:textId="77777777" w:rsidR="00D84020" w:rsidRPr="00FD50F6" w:rsidRDefault="00D84020" w:rsidP="00D84020">
      <w:pPr>
        <w:pStyle w:val="8"/>
        <w:ind w:firstLine="480"/>
      </w:pPr>
      <w:r w:rsidRPr="00FD50F6">
        <w:rPr>
          <w:rFonts w:hint="eastAsia"/>
        </w:rPr>
        <w:t>供乘客在不同轨道交通线路之间进行跨线乘车的车站。</w:t>
      </w:r>
    </w:p>
    <w:p w14:paraId="50A88C31" w14:textId="054E6570" w:rsidR="00D5241E" w:rsidRPr="00FD50F6" w:rsidRDefault="00D5241E" w:rsidP="00D84020">
      <w:pPr>
        <w:pStyle w:val="30"/>
      </w:pPr>
      <w:r>
        <w:rPr>
          <w:rFonts w:hint="eastAsia"/>
        </w:rPr>
        <w:t>无缝线路</w:t>
      </w:r>
      <w:r w:rsidRPr="00FD50F6">
        <w:t>纵向水平力</w:t>
      </w:r>
      <w:r w:rsidRPr="00FD50F6">
        <w:t xml:space="preserve">  longitudinal force </w:t>
      </w:r>
      <w:r w:rsidRPr="00FD50F6">
        <w:rPr>
          <w:rFonts w:hint="eastAsia"/>
        </w:rPr>
        <w:t xml:space="preserve">due to </w:t>
      </w:r>
      <w:r w:rsidR="00602A8D" w:rsidRPr="000204BE">
        <w:t xml:space="preserve"> continuous welded roil</w:t>
      </w:r>
      <w:r w:rsidRPr="00FD50F6">
        <w:rPr>
          <w:rFonts w:hint="eastAsia"/>
        </w:rPr>
        <w:t xml:space="preserve"> </w:t>
      </w:r>
    </w:p>
    <w:p w14:paraId="413AE585" w14:textId="6D171E45" w:rsidR="00D84020" w:rsidRPr="00FD50F6" w:rsidRDefault="00D5241E" w:rsidP="00D84020">
      <w:pPr>
        <w:pStyle w:val="8"/>
        <w:ind w:firstLine="480"/>
      </w:pPr>
      <w:r w:rsidRPr="00FD50F6">
        <w:t>指伸缩力和挠曲力产生的纵向水平力。</w:t>
      </w:r>
    </w:p>
    <w:p w14:paraId="0B840812" w14:textId="708520C9" w:rsidR="00D84020" w:rsidRPr="00FD50F6" w:rsidRDefault="00602A8D" w:rsidP="00D84020">
      <w:pPr>
        <w:pStyle w:val="30"/>
      </w:pPr>
      <w:r>
        <w:rPr>
          <w:rFonts w:hint="eastAsia"/>
          <w:lang w:bidi="en-US"/>
        </w:rPr>
        <w:t>无缝线路</w:t>
      </w:r>
      <w:r w:rsidR="00D84020" w:rsidRPr="00FD50F6">
        <w:t>断轨力</w:t>
      </w:r>
      <w:r w:rsidR="00D84020" w:rsidRPr="00FD50F6">
        <w:t xml:space="preserve">  br</w:t>
      </w:r>
      <w:r w:rsidR="00D84020" w:rsidRPr="00FD50F6">
        <w:rPr>
          <w:rFonts w:hint="eastAsia"/>
        </w:rPr>
        <w:t>ea</w:t>
      </w:r>
      <w:r w:rsidR="00D84020" w:rsidRPr="00FD50F6">
        <w:t>k</w:t>
      </w:r>
      <w:r w:rsidR="00D84020" w:rsidRPr="00FD50F6">
        <w:rPr>
          <w:rFonts w:hint="eastAsia"/>
        </w:rPr>
        <w:t xml:space="preserve">ing </w:t>
      </w:r>
      <w:r w:rsidR="00D84020" w:rsidRPr="00FD50F6">
        <w:t xml:space="preserve">force of </w:t>
      </w:r>
      <w:r>
        <w:rPr>
          <w:rFonts w:hint="eastAsia"/>
          <w:lang w:bidi="en-US"/>
        </w:rPr>
        <w:t>continuous welded rail</w:t>
      </w:r>
    </w:p>
    <w:p w14:paraId="13A67C0D" w14:textId="24D430F8" w:rsidR="00867258" w:rsidRPr="00FD50F6" w:rsidRDefault="00D84020" w:rsidP="00D84020">
      <w:pPr>
        <w:pStyle w:val="8"/>
        <w:ind w:firstLine="480"/>
      </w:pPr>
      <w:r w:rsidRPr="00FD50F6">
        <w:t>因</w:t>
      </w:r>
      <w:r w:rsidR="00602A8D" w:rsidRPr="00602A8D">
        <w:rPr>
          <w:rFonts w:hint="eastAsia"/>
        </w:rPr>
        <w:t>无缝</w:t>
      </w:r>
      <w:r w:rsidR="00602A8D" w:rsidRPr="00602A8D">
        <w:t>线路</w:t>
      </w:r>
      <w:r w:rsidRPr="00FD50F6">
        <w:t>长钢轨折断引起桥梁与</w:t>
      </w:r>
      <w:r w:rsidR="00602A8D" w:rsidRPr="00602A8D">
        <w:t>钢轨</w:t>
      </w:r>
      <w:r w:rsidR="00602A8D" w:rsidRPr="00FD50F6">
        <w:t>相对</w:t>
      </w:r>
      <w:r w:rsidRPr="00FD50F6">
        <w:t>位移而产生的纵向力。</w:t>
      </w:r>
    </w:p>
    <w:p w14:paraId="6ABB722E" w14:textId="6B6B353E" w:rsidR="009B5B8E" w:rsidRPr="00FD50F6" w:rsidRDefault="009B5B8E" w:rsidP="009B5B8E">
      <w:pPr>
        <w:pStyle w:val="30"/>
      </w:pPr>
      <w:r w:rsidRPr="00FD50F6">
        <w:rPr>
          <w:rFonts w:hint="eastAsia"/>
        </w:rPr>
        <w:t>内部结构</w:t>
      </w:r>
      <w:r w:rsidRPr="00FD50F6">
        <w:t xml:space="preserve"> internal structure</w:t>
      </w:r>
    </w:p>
    <w:p w14:paraId="34184327" w14:textId="7452E9B9" w:rsidR="009B5B8E" w:rsidRPr="00FD50F6" w:rsidRDefault="009B5B8E" w:rsidP="009B5B8E">
      <w:pPr>
        <w:pStyle w:val="8"/>
        <w:ind w:firstLine="480"/>
      </w:pPr>
      <w:r w:rsidRPr="00FD50F6">
        <w:rPr>
          <w:rFonts w:hint="eastAsia"/>
        </w:rPr>
        <w:t>指支承于主体结构上、独立承受内部荷载作用的构件，如站台板、楼梯及内部墙体、柱子、楼板、梁等构件。</w:t>
      </w:r>
    </w:p>
    <w:p w14:paraId="21D4ECFC" w14:textId="77777777" w:rsidR="009B5B8E" w:rsidRPr="00FD50F6" w:rsidRDefault="009B5B8E" w:rsidP="009B5B8E">
      <w:pPr>
        <w:pStyle w:val="30"/>
      </w:pPr>
      <w:r w:rsidRPr="00FD50F6">
        <w:rPr>
          <w:rFonts w:hint="eastAsia"/>
        </w:rPr>
        <w:t>支护结构</w:t>
      </w:r>
      <w:r w:rsidRPr="00FD50F6">
        <w:t xml:space="preserve"> retaining structure</w:t>
      </w:r>
    </w:p>
    <w:p w14:paraId="009453C5" w14:textId="77777777" w:rsidR="009B5B8E" w:rsidRPr="00FD50F6" w:rsidRDefault="009B5B8E" w:rsidP="009B5B8E">
      <w:pPr>
        <w:pStyle w:val="8"/>
        <w:ind w:firstLine="480"/>
      </w:pPr>
      <w:r w:rsidRPr="00FD50F6">
        <w:rPr>
          <w:rFonts w:hint="eastAsia"/>
        </w:rPr>
        <w:t>指地下结构基坑开挖过程中，用于保持周边水土稳定的支挡结构，包括桩、墙、喷锚、土钉及止水帷幕以及基坑内支撑、锚索等结构。</w:t>
      </w:r>
    </w:p>
    <w:p w14:paraId="555E6656" w14:textId="77777777" w:rsidR="009B5B8E" w:rsidRPr="00FD50F6" w:rsidRDefault="009B5B8E" w:rsidP="009B5B8E">
      <w:pPr>
        <w:pStyle w:val="30"/>
      </w:pPr>
      <w:r w:rsidRPr="00FD50F6">
        <w:rPr>
          <w:rFonts w:hint="eastAsia"/>
        </w:rPr>
        <w:t>初期支护</w:t>
      </w:r>
      <w:r w:rsidRPr="00FD50F6">
        <w:t xml:space="preserve"> primary lining</w:t>
      </w:r>
    </w:p>
    <w:p w14:paraId="2188CCCF" w14:textId="20C17205" w:rsidR="009B5B8E" w:rsidRPr="00FD50F6" w:rsidRDefault="009B5B8E" w:rsidP="009B5B8E">
      <w:pPr>
        <w:pStyle w:val="8"/>
        <w:ind w:firstLine="480"/>
      </w:pPr>
      <w:r w:rsidRPr="00FD50F6">
        <w:rPr>
          <w:rFonts w:hint="eastAsia"/>
        </w:rPr>
        <w:t>指矿山法隧道开挖后施作的用于支挡外部地层作用的第一道支护结构。</w:t>
      </w:r>
    </w:p>
    <w:p w14:paraId="1825DECB" w14:textId="1370DE2F" w:rsidR="009B5B8E" w:rsidRPr="00FD50F6" w:rsidRDefault="009B5B8E" w:rsidP="009B5B8E">
      <w:pPr>
        <w:pStyle w:val="30"/>
      </w:pPr>
      <w:r w:rsidRPr="00FD50F6">
        <w:t>明挖</w:t>
      </w:r>
      <w:r w:rsidRPr="00FD50F6">
        <w:rPr>
          <w:rFonts w:hint="eastAsia"/>
        </w:rPr>
        <w:t>顺筑法</w:t>
      </w:r>
      <w:r w:rsidRPr="00FD50F6">
        <w:t xml:space="preserve">  open cut bottom-up  method</w:t>
      </w:r>
    </w:p>
    <w:p w14:paraId="7FE0D10F" w14:textId="77777777" w:rsidR="009B5B8E" w:rsidRPr="00FD50F6" w:rsidRDefault="009B5B8E" w:rsidP="009B5B8E">
      <w:pPr>
        <w:pStyle w:val="8"/>
        <w:ind w:firstLine="480"/>
        <w:rPr>
          <w:kern w:val="0"/>
        </w:rPr>
      </w:pPr>
      <w:r w:rsidRPr="00FD50F6">
        <w:rPr>
          <w:rFonts w:hint="eastAsia"/>
        </w:rPr>
        <w:t>在地面开挖出的基坑中，自下而上顺序修筑地下结构的方法。包括敞口明</w:t>
      </w:r>
      <w:r w:rsidRPr="00FD50F6">
        <w:rPr>
          <w:rFonts w:hint="eastAsia"/>
        </w:rPr>
        <w:lastRenderedPageBreak/>
        <w:t>挖顺作法、临时路面铺盖顺作法（即盖挖顺作法）等。简称明挖法。</w:t>
      </w:r>
    </w:p>
    <w:p w14:paraId="6EC118F1" w14:textId="17C45562" w:rsidR="009B5B8E" w:rsidRPr="00FD50F6" w:rsidRDefault="009B5B8E" w:rsidP="009B5B8E">
      <w:pPr>
        <w:pStyle w:val="30"/>
      </w:pPr>
      <w:r w:rsidRPr="00FD50F6">
        <w:t>盖挖逆</w:t>
      </w:r>
      <w:r w:rsidRPr="00FD50F6">
        <w:rPr>
          <w:rFonts w:hint="eastAsia"/>
        </w:rPr>
        <w:t>筑法</w:t>
      </w:r>
      <w:r w:rsidRPr="00FD50F6">
        <w:t xml:space="preserve">  cover and cut-top down method</w:t>
      </w:r>
    </w:p>
    <w:p w14:paraId="00E6D65B" w14:textId="77777777" w:rsidR="009B5B8E" w:rsidRPr="00FD50F6" w:rsidRDefault="009B5B8E" w:rsidP="009B5B8E">
      <w:pPr>
        <w:pStyle w:val="8"/>
        <w:ind w:firstLine="480"/>
        <w:rPr>
          <w:kern w:val="0"/>
        </w:rPr>
      </w:pPr>
      <w:r w:rsidRPr="00FD50F6">
        <w:rPr>
          <w:rFonts w:hint="eastAsia"/>
        </w:rPr>
        <w:t>在地面开挖出的浅基坑中修筑完地下结构顶板及其竖向支撑结构后，在顶板的下方自上而下逐层开挖土体并逐层修筑地下结构的方法。包括半盖挖逆作法和倒边盖挖逆作法。简称逆作法。</w:t>
      </w:r>
    </w:p>
    <w:p w14:paraId="32BA1DD4" w14:textId="77777777" w:rsidR="009B5B8E" w:rsidRPr="00FD50F6" w:rsidRDefault="009B5B8E" w:rsidP="009B5B8E">
      <w:pPr>
        <w:pStyle w:val="30"/>
      </w:pPr>
      <w:r w:rsidRPr="00FD50F6">
        <w:t>矿山法</w:t>
      </w:r>
      <w:r w:rsidRPr="00FD50F6">
        <w:t xml:space="preserve">  mining method</w:t>
      </w:r>
    </w:p>
    <w:p w14:paraId="29170D68" w14:textId="77777777" w:rsidR="009B5B8E" w:rsidRPr="00FD50F6" w:rsidRDefault="009B5B8E" w:rsidP="009B5B8E">
      <w:pPr>
        <w:pStyle w:val="8"/>
        <w:ind w:firstLine="480"/>
      </w:pPr>
      <w:r w:rsidRPr="00FD50F6">
        <w:t>修筑隧道的暗挖施工方法</w:t>
      </w:r>
      <w:r w:rsidRPr="00FD50F6">
        <w:rPr>
          <w:rFonts w:hint="eastAsia"/>
        </w:rPr>
        <w:t>，包括</w:t>
      </w:r>
      <w:r w:rsidRPr="00FD50F6">
        <w:t>土层浅埋暗挖法</w:t>
      </w:r>
      <w:r w:rsidRPr="00FD50F6">
        <w:rPr>
          <w:rFonts w:hint="eastAsia"/>
        </w:rPr>
        <w:t>和岩层</w:t>
      </w:r>
      <w:r w:rsidRPr="00FD50F6">
        <w:t>钻爆法</w:t>
      </w:r>
      <w:r w:rsidRPr="00FD50F6">
        <w:rPr>
          <w:rFonts w:hint="eastAsia"/>
        </w:rPr>
        <w:t>，并</w:t>
      </w:r>
      <w:r w:rsidRPr="00FD50F6">
        <w:t>由此衍生出多种修建地铁车站</w:t>
      </w:r>
      <w:r w:rsidRPr="00FD50F6">
        <w:rPr>
          <w:rFonts w:hint="eastAsia"/>
        </w:rPr>
        <w:t>、地下停车场</w:t>
      </w:r>
      <w:r w:rsidRPr="00FD50F6">
        <w:t>等大型地下工程的施工方法</w:t>
      </w:r>
      <w:r w:rsidRPr="00FD50F6">
        <w:rPr>
          <w:rFonts w:hint="eastAsia"/>
        </w:rPr>
        <w:t>，如分部开挖法、洞桩（柱）逆作法、一次扣拱暗挖法等</w:t>
      </w:r>
      <w:r w:rsidRPr="00FD50F6">
        <w:t>。</w:t>
      </w:r>
      <w:r w:rsidRPr="00FD50F6">
        <w:t xml:space="preserve"> </w:t>
      </w:r>
    </w:p>
    <w:p w14:paraId="746A2762" w14:textId="77777777" w:rsidR="009B5B8E" w:rsidRPr="00FD50F6" w:rsidRDefault="009B5B8E" w:rsidP="009B5B8E">
      <w:pPr>
        <w:pStyle w:val="30"/>
      </w:pPr>
      <w:r w:rsidRPr="00FD50F6">
        <w:t>盾构法</w:t>
      </w:r>
      <w:r w:rsidRPr="00FD50F6">
        <w:t xml:space="preserve">  shield method</w:t>
      </w:r>
    </w:p>
    <w:p w14:paraId="2775BF92" w14:textId="39F1BB44" w:rsidR="009B5B8E" w:rsidRPr="00FD50F6" w:rsidRDefault="009B5B8E" w:rsidP="009B5B8E">
      <w:pPr>
        <w:pStyle w:val="8"/>
        <w:ind w:firstLine="480"/>
      </w:pPr>
      <w:r w:rsidRPr="00FD50F6">
        <w:t>用盾构机</w:t>
      </w:r>
      <w:r w:rsidRPr="00FD50F6">
        <w:rPr>
          <w:rFonts w:hint="eastAsia"/>
        </w:rPr>
        <w:t>设备</w:t>
      </w:r>
      <w:r w:rsidRPr="00FD50F6">
        <w:t>修筑隧道的暗挖施工方法</w:t>
      </w:r>
      <w:r w:rsidRPr="00FD50F6">
        <w:rPr>
          <w:rFonts w:hint="eastAsia"/>
        </w:rPr>
        <w:t>。是</w:t>
      </w:r>
      <w:r w:rsidRPr="00FD50F6">
        <w:t>在盾构钢壳体的保护下进行开挖、推进、衬砌和注浆等作业的</w:t>
      </w:r>
      <w:r w:rsidRPr="00FD50F6">
        <w:rPr>
          <w:rFonts w:hint="eastAsia"/>
        </w:rPr>
        <w:t>施工</w:t>
      </w:r>
      <w:r w:rsidRPr="00FD50F6">
        <w:t>方法</w:t>
      </w:r>
      <w:r w:rsidRPr="00FD50F6">
        <w:rPr>
          <w:rFonts w:hint="eastAsia"/>
        </w:rPr>
        <w:t>，</w:t>
      </w:r>
      <w:r w:rsidRPr="00FD50F6">
        <w:t>包括</w:t>
      </w:r>
      <w:r w:rsidRPr="00FD50F6">
        <w:rPr>
          <w:rFonts w:hint="eastAsia"/>
        </w:rPr>
        <w:t>隧道掘进机（</w:t>
      </w:r>
      <w:r w:rsidRPr="00FD50F6">
        <w:rPr>
          <w:rFonts w:hint="eastAsia"/>
        </w:rPr>
        <w:t>T</w:t>
      </w:r>
      <w:r w:rsidRPr="00FD50F6">
        <w:t>BM</w:t>
      </w:r>
      <w:r w:rsidRPr="00FD50F6">
        <w:rPr>
          <w:rFonts w:hint="eastAsia"/>
        </w:rPr>
        <w:t>）</w:t>
      </w:r>
      <w:r w:rsidRPr="00FD50F6">
        <w:t>法</w:t>
      </w:r>
      <w:r w:rsidRPr="00FD50F6">
        <w:rPr>
          <w:rFonts w:hint="eastAsia"/>
        </w:rPr>
        <w:t>。</w:t>
      </w:r>
    </w:p>
    <w:p w14:paraId="6B43018E" w14:textId="77777777" w:rsidR="009B5B8E" w:rsidRPr="00FD50F6" w:rsidRDefault="009B5B8E" w:rsidP="009B5B8E">
      <w:pPr>
        <w:pStyle w:val="30"/>
      </w:pPr>
      <w:r w:rsidRPr="00FD50F6">
        <w:rPr>
          <w:rFonts w:hint="eastAsia"/>
        </w:rPr>
        <w:t>沉管法</w:t>
      </w:r>
      <w:r w:rsidRPr="00FD50F6">
        <w:rPr>
          <w:rFonts w:hint="eastAsia"/>
        </w:rPr>
        <w:t xml:space="preserve"> </w:t>
      </w:r>
      <w:r w:rsidRPr="00FD50F6">
        <w:t xml:space="preserve"> immersed tube method</w:t>
      </w:r>
    </w:p>
    <w:p w14:paraId="411E2206" w14:textId="77777777" w:rsidR="009B5B8E" w:rsidRPr="00FD50F6" w:rsidRDefault="009B5B8E" w:rsidP="009B5B8E">
      <w:pPr>
        <w:pStyle w:val="8"/>
        <w:ind w:firstLine="480"/>
      </w:pPr>
      <w:r w:rsidRPr="00FD50F6">
        <w:rPr>
          <w:rFonts w:hint="eastAsia"/>
        </w:rPr>
        <w:t>采用预制管段沉埋修筑水底隧道的施工方法。</w:t>
      </w:r>
    </w:p>
    <w:p w14:paraId="3E78B052" w14:textId="3C0C1C0B" w:rsidR="00867258" w:rsidRPr="00FD50F6" w:rsidRDefault="00867258" w:rsidP="009B5B8E">
      <w:pPr>
        <w:pStyle w:val="30"/>
      </w:pPr>
      <w:r w:rsidRPr="00FD50F6">
        <w:rPr>
          <w:rFonts w:hint="eastAsia"/>
        </w:rPr>
        <w:t>顶</w:t>
      </w:r>
      <w:r w:rsidRPr="00FD50F6">
        <w:t>管</w:t>
      </w:r>
      <w:r w:rsidRPr="00FD50F6">
        <w:rPr>
          <w:rFonts w:hint="eastAsia"/>
        </w:rPr>
        <w:t>法</w:t>
      </w:r>
      <w:r w:rsidRPr="00FD50F6">
        <w:t xml:space="preserve">  pipe jacking method</w:t>
      </w:r>
    </w:p>
    <w:p w14:paraId="37111175" w14:textId="62B9F4B0" w:rsidR="00867258" w:rsidRDefault="00423697" w:rsidP="00E73D12">
      <w:pPr>
        <w:pStyle w:val="8"/>
        <w:ind w:firstLine="480"/>
      </w:pPr>
      <w:r>
        <w:t>一种利用后方液压千斤顶或前方牵引装置将预制好的管节或管段结构，一节一节的压入地层中，形成隧道（管道）结构的非开挖施工方法。</w:t>
      </w:r>
    </w:p>
    <w:p w14:paraId="01B568DA" w14:textId="77777777" w:rsidR="00EC3972" w:rsidRDefault="00EC3972" w:rsidP="00ED729E">
      <w:pPr>
        <w:pStyle w:val="30"/>
        <w:rPr>
          <w:color w:val="000000" w:themeColor="text1"/>
          <w:lang w:val="zh-CN"/>
        </w:rPr>
      </w:pPr>
      <w:r w:rsidRPr="00C10734">
        <w:rPr>
          <w:rFonts w:hint="eastAsia"/>
          <w:color w:val="000000" w:themeColor="text1"/>
          <w:lang w:val="zh-CN"/>
        </w:rPr>
        <w:t>工程自身风险</w:t>
      </w:r>
      <w:r>
        <w:t>project self risk</w:t>
      </w:r>
    </w:p>
    <w:p w14:paraId="27842759" w14:textId="71A18649" w:rsidR="00EC3972" w:rsidRPr="00C10734" w:rsidRDefault="00EC3972" w:rsidP="00ED729E">
      <w:pPr>
        <w:pStyle w:val="8"/>
        <w:ind w:firstLine="480"/>
        <w:rPr>
          <w:color w:val="000000" w:themeColor="text1"/>
          <w:lang w:val="zh-CN"/>
        </w:rPr>
      </w:pPr>
      <w:r w:rsidRPr="00C10734">
        <w:rPr>
          <w:rFonts w:hint="eastAsia"/>
          <w:color w:val="000000" w:themeColor="text1"/>
          <w:lang w:val="zh-CN"/>
        </w:rPr>
        <w:t>由于地下结构自身的技术难度导致工程实施过程中可能出现的安全风险，包括场地不良地质及水文地质风险。</w:t>
      </w:r>
      <w:r>
        <w:rPr>
          <w:rFonts w:hint="eastAsia"/>
          <w:color w:val="000000" w:themeColor="text1"/>
          <w:lang w:val="zh-CN"/>
        </w:rPr>
        <w:t>简称</w:t>
      </w:r>
      <w:r w:rsidRPr="00C10734">
        <w:rPr>
          <w:rFonts w:hint="eastAsia"/>
          <w:color w:val="000000" w:themeColor="text1"/>
          <w:lang w:val="zh-CN"/>
        </w:rPr>
        <w:t>自身风险</w:t>
      </w:r>
      <w:r>
        <w:rPr>
          <w:rFonts w:hint="eastAsia"/>
          <w:color w:val="000000" w:themeColor="text1"/>
          <w:lang w:val="zh-CN"/>
        </w:rPr>
        <w:t>。</w:t>
      </w:r>
    </w:p>
    <w:p w14:paraId="13E644FF" w14:textId="77777777" w:rsidR="00EC3972" w:rsidRPr="00ED729E" w:rsidRDefault="00EC3972" w:rsidP="00EC3972">
      <w:pPr>
        <w:pStyle w:val="30"/>
      </w:pPr>
      <w:r w:rsidRPr="00C10734">
        <w:rPr>
          <w:rFonts w:hint="eastAsia"/>
          <w:color w:val="000000" w:themeColor="text1"/>
          <w:lang w:val="zh-CN"/>
        </w:rPr>
        <w:t>环境</w:t>
      </w:r>
      <w:r>
        <w:rPr>
          <w:rFonts w:hint="eastAsia"/>
          <w:color w:val="000000" w:themeColor="text1"/>
          <w:lang w:val="zh-CN"/>
        </w:rPr>
        <w:t>影响</w:t>
      </w:r>
      <w:r w:rsidRPr="00C10734">
        <w:rPr>
          <w:rFonts w:hint="eastAsia"/>
          <w:color w:val="000000" w:themeColor="text1"/>
          <w:lang w:val="zh-CN"/>
        </w:rPr>
        <w:t>风险</w:t>
      </w:r>
      <w:r w:rsidRPr="00FB1852">
        <w:t xml:space="preserve"> </w:t>
      </w:r>
      <w:r>
        <w:t>environmental impact risk</w:t>
      </w:r>
    </w:p>
    <w:p w14:paraId="12ECFC33" w14:textId="5CA99FB2" w:rsidR="00EC3972" w:rsidRPr="00EC3972" w:rsidRDefault="00863987" w:rsidP="00EC3972">
      <w:pPr>
        <w:pStyle w:val="8"/>
        <w:ind w:firstLine="480"/>
      </w:pPr>
      <w:r>
        <w:rPr>
          <w:rFonts w:hint="eastAsia"/>
          <w:color w:val="000000" w:themeColor="text1"/>
          <w:lang w:val="zh-CN"/>
        </w:rPr>
        <w:t>工程建设</w:t>
      </w:r>
      <w:r w:rsidR="00EC3972" w:rsidRPr="00C10734">
        <w:rPr>
          <w:rFonts w:hint="eastAsia"/>
          <w:color w:val="000000" w:themeColor="text1"/>
          <w:lang w:val="zh-CN"/>
        </w:rPr>
        <w:t>场地周边可能受</w:t>
      </w:r>
      <w:r w:rsidR="00EC3972">
        <w:rPr>
          <w:rFonts w:hint="eastAsia"/>
          <w:color w:val="000000" w:themeColor="text1"/>
          <w:lang w:val="zh-CN"/>
        </w:rPr>
        <w:t>地铁</w:t>
      </w:r>
      <w:r w:rsidR="00EC3972" w:rsidRPr="00C10734">
        <w:rPr>
          <w:rFonts w:hint="eastAsia"/>
          <w:color w:val="000000" w:themeColor="text1"/>
          <w:lang w:val="zh-CN"/>
        </w:rPr>
        <w:t>地下工程施工影响出现风险或其存在使</w:t>
      </w:r>
      <w:r w:rsidR="00EC3972">
        <w:rPr>
          <w:rFonts w:hint="eastAsia"/>
          <w:color w:val="000000" w:themeColor="text1"/>
          <w:lang w:val="zh-CN"/>
        </w:rPr>
        <w:t>地铁</w:t>
      </w:r>
      <w:r w:rsidR="00EC3972" w:rsidRPr="00C10734">
        <w:rPr>
          <w:rFonts w:hint="eastAsia"/>
          <w:color w:val="000000" w:themeColor="text1"/>
          <w:lang w:val="zh-CN"/>
        </w:rPr>
        <w:t>地下工程施工安全风险增加的环境设施或条件，包括城市道路、桥梁、建（构）筑物、市政管线、轨道</w:t>
      </w:r>
      <w:r w:rsidR="00EC3972">
        <w:rPr>
          <w:rFonts w:hint="eastAsia"/>
          <w:color w:val="000000" w:themeColor="text1"/>
          <w:lang w:val="zh-CN"/>
        </w:rPr>
        <w:t>交通</w:t>
      </w:r>
      <w:r w:rsidR="00EC3972" w:rsidRPr="00C10734">
        <w:rPr>
          <w:rFonts w:hint="eastAsia"/>
          <w:color w:val="000000" w:themeColor="text1"/>
          <w:lang w:val="zh-CN"/>
        </w:rPr>
        <w:t>运输系统、水体、绿化植物等。</w:t>
      </w:r>
      <w:r w:rsidR="00EC3972">
        <w:rPr>
          <w:rFonts w:hint="eastAsia"/>
          <w:color w:val="000000" w:themeColor="text1"/>
          <w:lang w:val="zh-CN"/>
        </w:rPr>
        <w:t>简称环境</w:t>
      </w:r>
      <w:r w:rsidR="00EC3972" w:rsidRPr="00C10734">
        <w:rPr>
          <w:rFonts w:hint="eastAsia"/>
          <w:color w:val="000000" w:themeColor="text1"/>
          <w:lang w:val="zh-CN"/>
        </w:rPr>
        <w:t>风险</w:t>
      </w:r>
      <w:r w:rsidR="00EC3972">
        <w:rPr>
          <w:rFonts w:hint="eastAsia"/>
          <w:color w:val="000000" w:themeColor="text1"/>
          <w:lang w:val="zh-CN"/>
        </w:rPr>
        <w:t>。</w:t>
      </w:r>
    </w:p>
    <w:p w14:paraId="24D77CEA" w14:textId="359E06AC" w:rsidR="00867258" w:rsidRPr="00FD50F6" w:rsidRDefault="00867258" w:rsidP="00634619">
      <w:pPr>
        <w:pStyle w:val="30"/>
      </w:pPr>
      <w:r w:rsidRPr="00FD50F6">
        <w:t>防水等级</w:t>
      </w:r>
      <w:r w:rsidRPr="00FD50F6">
        <w:t xml:space="preserve">  grade of waterproof</w:t>
      </w:r>
    </w:p>
    <w:p w14:paraId="79DFD474" w14:textId="77777777" w:rsidR="00867258" w:rsidRPr="00FD50F6" w:rsidRDefault="00867258" w:rsidP="00E73D12">
      <w:pPr>
        <w:pStyle w:val="8"/>
        <w:ind w:firstLine="480"/>
      </w:pPr>
      <w:r w:rsidRPr="00FD50F6">
        <w:t>根据工程对防水的要求确定的结构允许渗漏水量的等级标准。</w:t>
      </w:r>
    </w:p>
    <w:p w14:paraId="1AE64FDE" w14:textId="6EBAEF88" w:rsidR="00867258" w:rsidRPr="00FD50F6" w:rsidRDefault="00867258" w:rsidP="00634619">
      <w:pPr>
        <w:pStyle w:val="30"/>
      </w:pPr>
      <w:r w:rsidRPr="00FD50F6">
        <w:t>开式运行</w:t>
      </w:r>
      <w:r w:rsidRPr="00FD50F6">
        <w:t xml:space="preserve">  open mode operation</w:t>
      </w:r>
    </w:p>
    <w:p w14:paraId="1092B684" w14:textId="38D790DC" w:rsidR="00867258" w:rsidRPr="00FD50F6" w:rsidRDefault="00867258" w:rsidP="00E73D12">
      <w:pPr>
        <w:pStyle w:val="8"/>
        <w:ind w:firstLine="480"/>
      </w:pPr>
      <w:r w:rsidRPr="00FD50F6">
        <w:rPr>
          <w:rFonts w:hint="eastAsia"/>
        </w:rPr>
        <w:t>地铁</w:t>
      </w:r>
      <w:r w:rsidRPr="00FD50F6">
        <w:t>内部通过风机、风道、风亭等设施与外界大气进行</w:t>
      </w:r>
      <w:r w:rsidRPr="00FD50F6">
        <w:rPr>
          <w:rFonts w:hint="eastAsia"/>
        </w:rPr>
        <w:t>大风量</w:t>
      </w:r>
      <w:r w:rsidRPr="00FD50F6">
        <w:t>空气交换</w:t>
      </w:r>
      <w:r w:rsidRPr="00FD50F6">
        <w:rPr>
          <w:rFonts w:hint="eastAsia"/>
        </w:rPr>
        <w:t>的通风系统运行模式</w:t>
      </w:r>
      <w:r w:rsidRPr="00FD50F6">
        <w:t>。</w:t>
      </w:r>
    </w:p>
    <w:p w14:paraId="6770A8A3" w14:textId="792734D2" w:rsidR="00867258" w:rsidRPr="00FD50F6" w:rsidRDefault="00867258" w:rsidP="00634619">
      <w:pPr>
        <w:pStyle w:val="30"/>
      </w:pPr>
      <w:r w:rsidRPr="00FD50F6">
        <w:t>闭式运行</w:t>
      </w:r>
      <w:r w:rsidRPr="00FD50F6">
        <w:t xml:space="preserve">  close mode operation</w:t>
      </w:r>
    </w:p>
    <w:p w14:paraId="68026861" w14:textId="77777777" w:rsidR="00867258" w:rsidRPr="00FD50F6" w:rsidRDefault="00867258" w:rsidP="00E73D12">
      <w:pPr>
        <w:pStyle w:val="8"/>
        <w:ind w:firstLine="480"/>
      </w:pPr>
      <w:r w:rsidRPr="00FD50F6">
        <w:rPr>
          <w:rFonts w:hint="eastAsia"/>
        </w:rPr>
        <w:lastRenderedPageBreak/>
        <w:t>地铁</w:t>
      </w:r>
      <w:r w:rsidRPr="00FD50F6">
        <w:t>内部基本上与外界大气隔断，仅供给满足</w:t>
      </w:r>
      <w:r w:rsidRPr="00FD50F6">
        <w:rPr>
          <w:rFonts w:hint="eastAsia"/>
        </w:rPr>
        <w:t>人员</w:t>
      </w:r>
      <w:r w:rsidRPr="00FD50F6">
        <w:t>所需新鲜空气量</w:t>
      </w:r>
      <w:r w:rsidRPr="00FD50F6">
        <w:rPr>
          <w:rFonts w:hint="eastAsia"/>
        </w:rPr>
        <w:t>的通风系统运行模式</w:t>
      </w:r>
      <w:r w:rsidRPr="00FD50F6">
        <w:t>。</w:t>
      </w:r>
    </w:p>
    <w:p w14:paraId="3F6B320C" w14:textId="581CB217" w:rsidR="00867258" w:rsidRPr="00FD50F6" w:rsidRDefault="00867258" w:rsidP="00634619">
      <w:pPr>
        <w:pStyle w:val="30"/>
      </w:pPr>
      <w:r w:rsidRPr="00FD50F6">
        <w:rPr>
          <w:rFonts w:hint="eastAsia"/>
        </w:rPr>
        <w:t>防疫新风供给能力</w:t>
      </w:r>
      <w:r w:rsidRPr="00FD50F6">
        <w:rPr>
          <w:rFonts w:hint="eastAsia"/>
        </w:rPr>
        <w:t xml:space="preserve">  outdoor air</w:t>
      </w:r>
      <w:r w:rsidRPr="00FD50F6">
        <w:rPr>
          <w:rFonts w:ascii="Arial" w:hAnsi="Arial" w:cs="Arial"/>
          <w:sz w:val="20"/>
          <w:szCs w:val="20"/>
          <w:shd w:val="clear" w:color="auto" w:fill="F9FBFC"/>
        </w:rPr>
        <w:t xml:space="preserve"> </w:t>
      </w:r>
      <w:r w:rsidRPr="00FD50F6">
        <w:t>supply capacity</w:t>
      </w:r>
      <w:r w:rsidRPr="00FD50F6">
        <w:rPr>
          <w:rFonts w:hint="eastAsia"/>
        </w:rPr>
        <w:t xml:space="preserve"> for </w:t>
      </w:r>
      <w:r w:rsidRPr="00FD50F6">
        <w:t>epidemic prevention</w:t>
      </w:r>
    </w:p>
    <w:p w14:paraId="0E6BC3EA" w14:textId="408F2DA3" w:rsidR="00867258" w:rsidRPr="00FD50F6" w:rsidRDefault="00867258" w:rsidP="00E73D12">
      <w:pPr>
        <w:pStyle w:val="8"/>
        <w:ind w:firstLine="480"/>
      </w:pPr>
      <w:r w:rsidRPr="00FD50F6">
        <w:rPr>
          <w:rFonts w:hint="eastAsia"/>
        </w:rPr>
        <w:t>在</w:t>
      </w:r>
      <w:r w:rsidR="007526CF" w:rsidRPr="00FD50F6">
        <w:rPr>
          <w:rFonts w:hint="eastAsia"/>
        </w:rPr>
        <w:t>重大传染病</w:t>
      </w:r>
      <w:r w:rsidR="007526CF" w:rsidRPr="00FD50F6">
        <w:t>疫情</w:t>
      </w:r>
      <w:r w:rsidRPr="00FD50F6">
        <w:rPr>
          <w:rFonts w:hint="eastAsia"/>
        </w:rPr>
        <w:t>发生时，通风空调系统通过全新风或变新风量运行方式能够获得的最大新风量。</w:t>
      </w:r>
    </w:p>
    <w:p w14:paraId="3A15C358" w14:textId="6A71C340" w:rsidR="00867258" w:rsidRPr="00FD50F6" w:rsidRDefault="00867258" w:rsidP="00634619">
      <w:pPr>
        <w:pStyle w:val="30"/>
      </w:pPr>
      <w:r w:rsidRPr="00FD50F6">
        <w:t>集中式供电</w:t>
      </w:r>
      <w:r w:rsidRPr="00FD50F6">
        <w:t xml:space="preserve">  centralized power supply mode</w:t>
      </w:r>
    </w:p>
    <w:p w14:paraId="6FF3D4D1" w14:textId="77777777" w:rsidR="00867258" w:rsidRPr="00FD50F6" w:rsidRDefault="00867258" w:rsidP="00E73D12">
      <w:pPr>
        <w:pStyle w:val="8"/>
        <w:ind w:firstLine="480"/>
      </w:pPr>
      <w:r w:rsidRPr="00FD50F6">
        <w:t>由本线或</w:t>
      </w:r>
      <w:r w:rsidRPr="00FD50F6">
        <w:rPr>
          <w:rFonts w:hint="eastAsia"/>
        </w:rPr>
        <w:t>线网中</w:t>
      </w:r>
      <w:r w:rsidRPr="00FD50F6">
        <w:t>其他</w:t>
      </w:r>
      <w:r w:rsidRPr="00FD50F6">
        <w:rPr>
          <w:rFonts w:hint="eastAsia"/>
        </w:rPr>
        <w:t>地铁</w:t>
      </w:r>
      <w:r w:rsidRPr="00FD50F6">
        <w:t>线路的主变电所为本线牵引变电所及降压变电所供电的外部供电方式。</w:t>
      </w:r>
    </w:p>
    <w:p w14:paraId="78384B8F" w14:textId="09D23FC7" w:rsidR="00867258" w:rsidRPr="00FD50F6" w:rsidRDefault="00867258" w:rsidP="00634619">
      <w:pPr>
        <w:pStyle w:val="30"/>
      </w:pPr>
      <w:r w:rsidRPr="00FD50F6">
        <w:t>分散式供电</w:t>
      </w:r>
      <w:r w:rsidRPr="00FD50F6">
        <w:t xml:space="preserve">  distributed power supply mode</w:t>
      </w:r>
    </w:p>
    <w:p w14:paraId="22B7B40C" w14:textId="77777777" w:rsidR="00867258" w:rsidRPr="00FD50F6" w:rsidRDefault="00867258" w:rsidP="00E73D12">
      <w:pPr>
        <w:pStyle w:val="8"/>
        <w:ind w:firstLine="480"/>
      </w:pPr>
      <w:r w:rsidRPr="00FD50F6">
        <w:t>沿线</w:t>
      </w:r>
      <w:r w:rsidRPr="00FD50F6">
        <w:rPr>
          <w:rFonts w:hint="eastAsia"/>
        </w:rPr>
        <w:t>路</w:t>
      </w:r>
      <w:r w:rsidRPr="00FD50F6">
        <w:t>引入城市中压电源为</w:t>
      </w:r>
      <w:r w:rsidRPr="00FD50F6">
        <w:rPr>
          <w:rFonts w:hint="eastAsia"/>
        </w:rPr>
        <w:t>本线</w:t>
      </w:r>
      <w:r w:rsidRPr="00FD50F6">
        <w:t>牵引变电所及降压变电所供电的外部供电方式。</w:t>
      </w:r>
    </w:p>
    <w:p w14:paraId="7C82F703" w14:textId="61B4CC9B" w:rsidR="00867258" w:rsidRPr="00FD50F6" w:rsidRDefault="00867258" w:rsidP="00634619">
      <w:pPr>
        <w:pStyle w:val="30"/>
      </w:pPr>
      <w:r w:rsidRPr="00FD50F6">
        <w:t>混合式供电</w:t>
      </w:r>
      <w:r w:rsidRPr="00FD50F6">
        <w:t xml:space="preserve">  combined power supply mode</w:t>
      </w:r>
    </w:p>
    <w:p w14:paraId="474B394E" w14:textId="77777777" w:rsidR="00867258" w:rsidRPr="00FD50F6" w:rsidRDefault="00867258" w:rsidP="00E73D12">
      <w:pPr>
        <w:pStyle w:val="8"/>
        <w:ind w:firstLine="480"/>
      </w:pPr>
      <w:r w:rsidRPr="00FD50F6">
        <w:t>由</w:t>
      </w:r>
      <w:r w:rsidRPr="00FD50F6">
        <w:rPr>
          <w:rFonts w:hint="eastAsia"/>
        </w:rPr>
        <w:t>地铁</w:t>
      </w:r>
      <w:r w:rsidRPr="00FD50F6">
        <w:t>主变电所和城市中压电源共同为</w:t>
      </w:r>
      <w:r w:rsidRPr="00FD50F6">
        <w:rPr>
          <w:rFonts w:hint="eastAsia"/>
        </w:rPr>
        <w:t>一条地铁线路的</w:t>
      </w:r>
      <w:r w:rsidRPr="00FD50F6">
        <w:t>牵引变电所及降压变电所供电的外部供电方式。</w:t>
      </w:r>
    </w:p>
    <w:p w14:paraId="20B17FE8" w14:textId="77777777" w:rsidR="00A55EBF" w:rsidRPr="00FD50F6" w:rsidRDefault="00A55EBF" w:rsidP="00A55EBF">
      <w:pPr>
        <w:pStyle w:val="30"/>
      </w:pPr>
      <w:r w:rsidRPr="00FD50F6">
        <w:t>大双边供电</w:t>
      </w:r>
      <w:r w:rsidRPr="00FD50F6">
        <w:t xml:space="preserve">  over bi-traction power supply</w:t>
      </w:r>
    </w:p>
    <w:p w14:paraId="548499C8" w14:textId="77777777" w:rsidR="00A55EBF" w:rsidRPr="00FD50F6" w:rsidRDefault="00A55EBF" w:rsidP="00A55EBF">
      <w:pPr>
        <w:pStyle w:val="8"/>
        <w:ind w:firstLine="480"/>
      </w:pPr>
      <w:r w:rsidRPr="00FD50F6">
        <w:t>当某一中间牵引变电所退出运行</w:t>
      </w:r>
      <w:r w:rsidRPr="00FD50F6">
        <w:rPr>
          <w:rFonts w:hint="eastAsia"/>
        </w:rPr>
        <w:t>时</w:t>
      </w:r>
      <w:r w:rsidRPr="00FD50F6">
        <w:t>，由两侧相邻牵引变电所对接触网构成双边供电的方式。</w:t>
      </w:r>
    </w:p>
    <w:p w14:paraId="63FF9CA7" w14:textId="1C2B9EAD" w:rsidR="00867258" w:rsidRPr="00FD50F6" w:rsidRDefault="00867258" w:rsidP="00634619">
      <w:pPr>
        <w:pStyle w:val="30"/>
      </w:pPr>
      <w:r w:rsidRPr="00FD50F6">
        <w:t>电力监控系统</w:t>
      </w:r>
      <w:r w:rsidRPr="00FD50F6">
        <w:t xml:space="preserve">power supervisory control and data acquisition system </w:t>
      </w:r>
      <w:r w:rsidRPr="00FD50F6">
        <w:t>（</w:t>
      </w:r>
      <w:r w:rsidRPr="00FD50F6">
        <w:t>SCADA</w:t>
      </w:r>
      <w:r w:rsidRPr="00FD50F6">
        <w:t>）</w:t>
      </w:r>
    </w:p>
    <w:p w14:paraId="60299293" w14:textId="77777777" w:rsidR="00867258" w:rsidRPr="00FD50F6" w:rsidRDefault="00867258" w:rsidP="00E73D12">
      <w:pPr>
        <w:pStyle w:val="8"/>
        <w:ind w:firstLine="480"/>
      </w:pPr>
      <w:r w:rsidRPr="00FD50F6">
        <w:t>电力数据采集与监视控制系统，包括遥控、遥测、遥信和遥调功能。</w:t>
      </w:r>
    </w:p>
    <w:p w14:paraId="17B9CE18" w14:textId="77777777" w:rsidR="00BF56F5" w:rsidRPr="00FD50F6" w:rsidRDefault="00BF56F5" w:rsidP="00BF56F5">
      <w:pPr>
        <w:pStyle w:val="30"/>
      </w:pPr>
      <w:r w:rsidRPr="00FD50F6">
        <w:rPr>
          <w:rFonts w:hint="eastAsia"/>
        </w:rPr>
        <w:t>传输系统</w:t>
      </w:r>
      <w:r w:rsidRPr="00FD50F6">
        <w:rPr>
          <w:rFonts w:hint="eastAsia"/>
        </w:rPr>
        <w:t xml:space="preserve">  transmission system </w:t>
      </w:r>
    </w:p>
    <w:p w14:paraId="4E2435D4" w14:textId="249BC45B" w:rsidR="00BF56F5" w:rsidRPr="00FD50F6" w:rsidRDefault="00BF56F5" w:rsidP="00BF56F5">
      <w:pPr>
        <w:pStyle w:val="8"/>
        <w:ind w:firstLine="480"/>
      </w:pPr>
      <w:r w:rsidRPr="00FD50F6">
        <w:rPr>
          <w:rFonts w:hint="eastAsia"/>
        </w:rPr>
        <w:t>为专用通信系统中的信号、电力监控、防灾、环境与设备监控与自动售检票、线网业务、云平台等各系统提供线网中心、控制中心、车站、车辆基地等之间信息传输的系统。</w:t>
      </w:r>
    </w:p>
    <w:p w14:paraId="5E31DEF4" w14:textId="77777777" w:rsidR="00BF56F5" w:rsidRPr="00FD50F6" w:rsidRDefault="00BF56F5" w:rsidP="00BF56F5">
      <w:pPr>
        <w:pStyle w:val="30"/>
      </w:pPr>
      <w:r w:rsidRPr="00FD50F6">
        <w:rPr>
          <w:rFonts w:hint="eastAsia"/>
        </w:rPr>
        <w:t>视频监视系统</w:t>
      </w:r>
      <w:r w:rsidRPr="00FD50F6">
        <w:rPr>
          <w:rFonts w:hint="eastAsia"/>
        </w:rPr>
        <w:t xml:space="preserve"> image monitoring system </w:t>
      </w:r>
    </w:p>
    <w:p w14:paraId="3A4327C8" w14:textId="2F6620E5" w:rsidR="00BF56F5" w:rsidRPr="00FD50F6" w:rsidRDefault="00BF56F5" w:rsidP="00BF56F5">
      <w:pPr>
        <w:pStyle w:val="8"/>
        <w:ind w:firstLine="480"/>
      </w:pPr>
      <w:r w:rsidRPr="00FD50F6">
        <w:rPr>
          <w:rFonts w:hint="eastAsia"/>
        </w:rPr>
        <w:t>为控制中心调度员、各车站</w:t>
      </w:r>
      <w:r w:rsidRPr="00FD50F6">
        <w:rPr>
          <w:rFonts w:hint="eastAsia"/>
        </w:rPr>
        <w:t>/</w:t>
      </w:r>
      <w:r w:rsidRPr="00FD50F6">
        <w:rPr>
          <w:rFonts w:hint="eastAsia"/>
        </w:rPr>
        <w:t>车辆基地值班员、列车司机等提供有关列车运行、防灾、救灾及乘客疏导等方面视觉信息的设备总称，又称闭路电视系统。</w:t>
      </w:r>
    </w:p>
    <w:p w14:paraId="3D5A0823" w14:textId="77777777" w:rsidR="00BF56F5" w:rsidRPr="00FD50F6" w:rsidRDefault="00BF56F5" w:rsidP="00BF56F5">
      <w:pPr>
        <w:pStyle w:val="30"/>
      </w:pPr>
      <w:r w:rsidRPr="00FD50F6">
        <w:rPr>
          <w:rFonts w:hint="eastAsia"/>
        </w:rPr>
        <w:t>车地宽带无线通信系统</w:t>
      </w:r>
      <w:r w:rsidRPr="00FD50F6">
        <w:rPr>
          <w:rFonts w:hint="eastAsia"/>
        </w:rPr>
        <w:t xml:space="preserve"> Vehicle-Ground brandband wireless communication system</w:t>
      </w:r>
    </w:p>
    <w:p w14:paraId="5B262D87" w14:textId="6EA1EA0A" w:rsidR="00867258" w:rsidRPr="00FD50F6" w:rsidRDefault="00BF56F5" w:rsidP="00E73D12">
      <w:pPr>
        <w:pStyle w:val="8"/>
        <w:ind w:firstLine="480"/>
      </w:pPr>
      <w:r w:rsidRPr="00FD50F6">
        <w:rPr>
          <w:rFonts w:hint="eastAsia"/>
        </w:rPr>
        <w:t>为列车和地面之间提供列车视频、乘客信息等宽带信息业务无线传输的通</w:t>
      </w:r>
      <w:r w:rsidRPr="00FD50F6">
        <w:rPr>
          <w:rFonts w:hint="eastAsia"/>
        </w:rPr>
        <w:lastRenderedPageBreak/>
        <w:t>信系统。</w:t>
      </w:r>
    </w:p>
    <w:p w14:paraId="70697CE5" w14:textId="77777777" w:rsidR="00217378" w:rsidRPr="00FD50F6" w:rsidRDefault="00217378" w:rsidP="00217378">
      <w:pPr>
        <w:pStyle w:val="30"/>
      </w:pPr>
      <w:r w:rsidRPr="00FD50F6">
        <w:t>列车自动控制</w:t>
      </w:r>
      <w:r w:rsidRPr="00FD50F6">
        <w:t xml:space="preserve">  automatic train control (ATC)</w:t>
      </w:r>
    </w:p>
    <w:p w14:paraId="19E95CCC" w14:textId="77777777" w:rsidR="00217378" w:rsidRPr="00FD50F6" w:rsidRDefault="00217378" w:rsidP="00217378">
      <w:pPr>
        <w:pStyle w:val="8"/>
        <w:ind w:firstLine="480"/>
      </w:pPr>
      <w:r w:rsidRPr="00FD50F6">
        <w:rPr>
          <w:rFonts w:hint="eastAsia"/>
        </w:rPr>
        <w:t>实现列车自动监控、自动防护和自动运行控制等技术的总称。</w:t>
      </w:r>
    </w:p>
    <w:p w14:paraId="2899BE79" w14:textId="77777777" w:rsidR="00217378" w:rsidRPr="00FD50F6" w:rsidRDefault="00217378" w:rsidP="00217378">
      <w:pPr>
        <w:pStyle w:val="30"/>
      </w:pPr>
      <w:r w:rsidRPr="00FD50F6">
        <w:t>列车自动监控</w:t>
      </w:r>
      <w:r w:rsidRPr="00FD50F6">
        <w:t xml:space="preserve">  automatic train supervision (ATS)</w:t>
      </w:r>
    </w:p>
    <w:p w14:paraId="2D2D02EC" w14:textId="77777777" w:rsidR="00217378" w:rsidRPr="00FD50F6" w:rsidRDefault="00217378" w:rsidP="00217378">
      <w:pPr>
        <w:pStyle w:val="8"/>
        <w:ind w:firstLine="480"/>
      </w:pPr>
      <w:r w:rsidRPr="00FD50F6">
        <w:rPr>
          <w:rFonts w:hint="eastAsia"/>
        </w:rPr>
        <w:t>实现列车运行的自动监视、控制、调整和管理等技术的总称。</w:t>
      </w:r>
    </w:p>
    <w:p w14:paraId="32D5DED8" w14:textId="77777777" w:rsidR="00217378" w:rsidRPr="00FD50F6" w:rsidRDefault="00217378" w:rsidP="00217378">
      <w:pPr>
        <w:pStyle w:val="30"/>
      </w:pPr>
      <w:r w:rsidRPr="00FD50F6">
        <w:t>列车自动防护</w:t>
      </w:r>
      <w:r w:rsidRPr="00FD50F6">
        <w:t xml:space="preserve">  automatic train protection (ATP)</w:t>
      </w:r>
    </w:p>
    <w:p w14:paraId="51D2C668" w14:textId="77777777" w:rsidR="00217378" w:rsidRPr="00FD50F6" w:rsidRDefault="00217378" w:rsidP="00217378">
      <w:pPr>
        <w:pStyle w:val="8"/>
        <w:ind w:firstLine="480"/>
      </w:pPr>
      <w:r w:rsidRPr="00FD50F6">
        <w:rPr>
          <w:rFonts w:hint="eastAsia"/>
        </w:rPr>
        <w:t>实现列车运行间隔、超速防护、进路和车门等自动安全控制技术的总称。</w:t>
      </w:r>
    </w:p>
    <w:p w14:paraId="1E1257A1" w14:textId="77777777" w:rsidR="00217378" w:rsidRPr="00FD50F6" w:rsidRDefault="00217378" w:rsidP="00217378">
      <w:pPr>
        <w:pStyle w:val="30"/>
      </w:pPr>
      <w:r w:rsidRPr="00FD50F6">
        <w:t>列车自动运行</w:t>
      </w:r>
      <w:r w:rsidRPr="00FD50F6">
        <w:t xml:space="preserve">  automatic train operation (ATO)</w:t>
      </w:r>
    </w:p>
    <w:p w14:paraId="40B878C8" w14:textId="06C89DDF" w:rsidR="00217378" w:rsidRPr="00FD50F6" w:rsidRDefault="00217378" w:rsidP="00217378">
      <w:pPr>
        <w:pStyle w:val="8"/>
        <w:ind w:firstLine="480"/>
      </w:pPr>
      <w:r w:rsidRPr="00FD50F6">
        <w:rPr>
          <w:rFonts w:hint="eastAsia"/>
        </w:rPr>
        <w:t>实现列车启动、速度调整、定点停车和车门等自动控制技术的总称。</w:t>
      </w:r>
    </w:p>
    <w:p w14:paraId="7FFE5A75" w14:textId="77777777" w:rsidR="00217378" w:rsidRPr="00FD50F6" w:rsidRDefault="00217378" w:rsidP="00217378">
      <w:pPr>
        <w:pStyle w:val="30"/>
      </w:pPr>
      <w:r w:rsidRPr="00FD50F6">
        <w:rPr>
          <w:rFonts w:hint="eastAsia"/>
        </w:rPr>
        <w:t>计算机联锁</w:t>
      </w:r>
      <w:r w:rsidRPr="00FD50F6">
        <w:t xml:space="preserve"> </w:t>
      </w:r>
      <w:r w:rsidRPr="00FD50F6">
        <w:rPr>
          <w:rFonts w:hint="eastAsia"/>
        </w:rPr>
        <w:t>computer</w:t>
      </w:r>
      <w:r w:rsidRPr="00FD50F6">
        <w:t xml:space="preserve"> interlocking </w:t>
      </w:r>
      <w:r w:rsidRPr="00FD50F6">
        <w:rPr>
          <w:rFonts w:hint="eastAsia"/>
        </w:rPr>
        <w:t>(CI</w:t>
      </w:r>
      <w:r w:rsidRPr="00FD50F6">
        <w:t>)</w:t>
      </w:r>
    </w:p>
    <w:p w14:paraId="5BE1377C" w14:textId="30CD848B" w:rsidR="00217378" w:rsidRPr="00FD50F6" w:rsidRDefault="00217378" w:rsidP="00217378">
      <w:pPr>
        <w:pStyle w:val="8"/>
        <w:ind w:firstLine="480"/>
      </w:pPr>
      <w:r w:rsidRPr="00FD50F6">
        <w:rPr>
          <w:rFonts w:hint="eastAsia"/>
        </w:rPr>
        <w:t>以计算机、电子技术为核心，使道岔、区段、信号机按一定的规则和条件建立相互关联、制约安全关系的实时控制技术的总称。</w:t>
      </w:r>
    </w:p>
    <w:p w14:paraId="6A1A68FC" w14:textId="77777777" w:rsidR="00217378" w:rsidRPr="00FD50F6" w:rsidRDefault="00217378" w:rsidP="00217378">
      <w:pPr>
        <w:pStyle w:val="30"/>
      </w:pPr>
      <w:r w:rsidRPr="00FD50F6">
        <w:rPr>
          <w:rFonts w:hint="eastAsia"/>
        </w:rPr>
        <w:t>自动化等级</w:t>
      </w:r>
      <w:r w:rsidRPr="00FD50F6">
        <w:rPr>
          <w:rFonts w:hint="eastAsia"/>
        </w:rPr>
        <w:t xml:space="preserve"> g</w:t>
      </w:r>
      <w:r w:rsidRPr="00FD50F6">
        <w:t>rade of automation</w:t>
      </w:r>
      <w:r w:rsidRPr="00FD50F6">
        <w:rPr>
          <w:rFonts w:hint="eastAsia"/>
        </w:rPr>
        <w:t>（</w:t>
      </w:r>
      <w:r w:rsidRPr="00FD50F6">
        <w:t>GOA</w:t>
      </w:r>
      <w:r w:rsidRPr="00FD50F6">
        <w:rPr>
          <w:rFonts w:hint="eastAsia"/>
        </w:rPr>
        <w:t>）</w:t>
      </w:r>
    </w:p>
    <w:p w14:paraId="123A7CB1" w14:textId="68563D69" w:rsidR="00217378" w:rsidRPr="00FD50F6" w:rsidRDefault="00217378" w:rsidP="00217378">
      <w:pPr>
        <w:pStyle w:val="8"/>
        <w:ind w:firstLine="480"/>
      </w:pPr>
      <w:r w:rsidRPr="00FD50F6">
        <w:rPr>
          <w:rFonts w:hint="eastAsia"/>
        </w:rPr>
        <w:t>根据运营工作人员和系统所承担的列车运行基本功能的责任划分确定的列车运行的自动化水平分级。</w:t>
      </w:r>
    </w:p>
    <w:p w14:paraId="4DEFE29A" w14:textId="50B81629" w:rsidR="00217378" w:rsidRPr="00FD50F6" w:rsidRDefault="00AF13A4" w:rsidP="001A4CF3">
      <w:pPr>
        <w:pStyle w:val="8"/>
        <w:ind w:firstLineChars="0" w:firstLine="0"/>
      </w:pPr>
      <w:r w:rsidRPr="00FD50F6">
        <w:rPr>
          <w:rFonts w:hint="eastAsia"/>
        </w:rPr>
        <w:t>2.0.58</w:t>
      </w:r>
      <w:r w:rsidR="00217378" w:rsidRPr="00FD50F6">
        <w:rPr>
          <w:rFonts w:hint="eastAsia"/>
        </w:rPr>
        <w:t>全自动运行</w:t>
      </w:r>
      <w:r w:rsidR="00217378" w:rsidRPr="00FD50F6">
        <w:rPr>
          <w:rFonts w:hint="eastAsia"/>
        </w:rPr>
        <w:t xml:space="preserve"> </w:t>
      </w:r>
      <w:r w:rsidR="00217378" w:rsidRPr="00FD50F6">
        <w:t>f</w:t>
      </w:r>
      <w:r w:rsidR="00217378" w:rsidRPr="00FD50F6">
        <w:rPr>
          <w:rFonts w:hint="eastAsia"/>
        </w:rPr>
        <w:t xml:space="preserve">ully </w:t>
      </w:r>
      <w:r w:rsidR="00217378" w:rsidRPr="00FD50F6">
        <w:t>a</w:t>
      </w:r>
      <w:r w:rsidR="00217378" w:rsidRPr="00FD50F6">
        <w:rPr>
          <w:rFonts w:hint="eastAsia"/>
        </w:rPr>
        <w:t xml:space="preserve">utomatic </w:t>
      </w:r>
      <w:r w:rsidR="00217378" w:rsidRPr="00FD50F6">
        <w:t>o</w:t>
      </w:r>
      <w:r w:rsidR="00217378" w:rsidRPr="00FD50F6">
        <w:rPr>
          <w:rFonts w:hint="eastAsia"/>
        </w:rPr>
        <w:t xml:space="preserve">peration </w:t>
      </w:r>
      <w:r w:rsidR="00217378" w:rsidRPr="00FD50F6">
        <w:t>s</w:t>
      </w:r>
      <w:r w:rsidR="00217378" w:rsidRPr="00FD50F6">
        <w:rPr>
          <w:rFonts w:hint="eastAsia"/>
        </w:rPr>
        <w:t>ystem</w:t>
      </w:r>
      <w:r w:rsidR="00217378" w:rsidRPr="00FD50F6">
        <w:rPr>
          <w:rFonts w:hint="eastAsia"/>
        </w:rPr>
        <w:t>（</w:t>
      </w:r>
      <w:r w:rsidR="00217378" w:rsidRPr="00FD50F6">
        <w:rPr>
          <w:rFonts w:hint="eastAsia"/>
        </w:rPr>
        <w:t>FAO</w:t>
      </w:r>
      <w:r w:rsidR="00217378" w:rsidRPr="00FD50F6">
        <w:rPr>
          <w:rFonts w:hint="eastAsia"/>
        </w:rPr>
        <w:t>）</w:t>
      </w:r>
    </w:p>
    <w:p w14:paraId="06D4FD99" w14:textId="77777777" w:rsidR="00217378" w:rsidRPr="00FD50F6" w:rsidRDefault="00217378" w:rsidP="000D4D38">
      <w:pPr>
        <w:pStyle w:val="8"/>
        <w:ind w:firstLine="480"/>
      </w:pPr>
      <w:r w:rsidRPr="00FD50F6">
        <w:rPr>
          <w:rFonts w:hint="eastAsia"/>
        </w:rPr>
        <w:t>基于现代计算机、通信、控制和系统集成等技术，实现列车运行全过程</w:t>
      </w:r>
      <w:r w:rsidRPr="00FD50F6">
        <w:t>无司机操控</w:t>
      </w:r>
      <w:r w:rsidRPr="00FD50F6">
        <w:rPr>
          <w:rFonts w:hint="eastAsia"/>
        </w:rPr>
        <w:t>的系统。</w:t>
      </w:r>
    </w:p>
    <w:p w14:paraId="34118D48" w14:textId="77777777" w:rsidR="00217378" w:rsidRPr="00FD50F6" w:rsidRDefault="00217378" w:rsidP="00217378">
      <w:pPr>
        <w:pStyle w:val="30"/>
      </w:pPr>
      <w:r w:rsidRPr="00FD50F6">
        <w:rPr>
          <w:rFonts w:hint="eastAsia"/>
        </w:rPr>
        <w:t>限制速度</w:t>
      </w:r>
      <w:r w:rsidRPr="00FD50F6">
        <w:rPr>
          <w:rFonts w:hint="eastAsia"/>
        </w:rPr>
        <w:t>limiting speed</w:t>
      </w:r>
      <w:r w:rsidRPr="00FD50F6">
        <w:rPr>
          <w:rFonts w:hint="eastAsia"/>
        </w:rPr>
        <w:t>（</w:t>
      </w:r>
      <w:r w:rsidRPr="00FD50F6">
        <w:rPr>
          <w:rFonts w:hint="eastAsia"/>
        </w:rPr>
        <w:t>Vlim</w:t>
      </w:r>
      <w:r w:rsidRPr="00FD50F6">
        <w:rPr>
          <w:rFonts w:hint="eastAsia"/>
        </w:rPr>
        <w:t>）</w:t>
      </w:r>
    </w:p>
    <w:p w14:paraId="20F57F8D" w14:textId="7F3A5B28" w:rsidR="00867258" w:rsidRPr="00FD50F6" w:rsidRDefault="00563044" w:rsidP="00217378">
      <w:pPr>
        <w:pStyle w:val="8"/>
        <w:ind w:firstLine="480"/>
      </w:pPr>
      <w:r>
        <w:t>列车在各种不同运营状态和线路条件下不允许突破的速度</w:t>
      </w:r>
      <w:r w:rsidR="00867258" w:rsidRPr="00FD50F6">
        <w:rPr>
          <w:rFonts w:cs="宋体" w:hint="eastAsia"/>
        </w:rPr>
        <w:t>。</w:t>
      </w:r>
    </w:p>
    <w:p w14:paraId="052B1AC5" w14:textId="5B1289B7" w:rsidR="00867258" w:rsidRPr="00FD50F6" w:rsidRDefault="00867258" w:rsidP="00634619">
      <w:pPr>
        <w:pStyle w:val="30"/>
      </w:pPr>
      <w:r w:rsidRPr="00FD50F6">
        <w:rPr>
          <w:rFonts w:hint="eastAsia"/>
        </w:rPr>
        <w:t>自动售检票</w:t>
      </w:r>
      <w:r w:rsidRPr="00FD50F6">
        <w:t>系统</w:t>
      </w:r>
      <w:r w:rsidRPr="00FD50F6">
        <w:t>automatic fare collection system</w:t>
      </w:r>
      <w:r w:rsidRPr="00FD50F6">
        <w:t>（</w:t>
      </w:r>
      <w:r w:rsidRPr="00FD50F6">
        <w:t>AFC</w:t>
      </w:r>
      <w:r w:rsidRPr="00FD50F6">
        <w:rPr>
          <w:rFonts w:hint="eastAsia"/>
        </w:rPr>
        <w:t>）</w:t>
      </w:r>
    </w:p>
    <w:p w14:paraId="61AEA32C" w14:textId="36175EF8" w:rsidR="00867258" w:rsidRPr="00FD50F6" w:rsidRDefault="00867258" w:rsidP="00E73D12">
      <w:pPr>
        <w:pStyle w:val="8"/>
        <w:ind w:firstLine="480"/>
        <w:rPr>
          <w:rFonts w:ascii="宋体" w:hAnsi="Courier New"/>
          <w:sz w:val="20"/>
        </w:rPr>
      </w:pPr>
      <w:r w:rsidRPr="00FD50F6">
        <w:rPr>
          <w:rFonts w:hint="eastAsia"/>
        </w:rPr>
        <w:t>基于计算机、通信网络、自动控制、自动识别、精密机械和传动等技术</w:t>
      </w:r>
      <w:r w:rsidR="00A826B2" w:rsidRPr="00FD50F6">
        <w:rPr>
          <w:rFonts w:hint="eastAsia"/>
        </w:rPr>
        <w:t>，</w:t>
      </w:r>
      <w:r w:rsidRPr="00FD50F6">
        <w:rPr>
          <w:rFonts w:hint="eastAsia"/>
        </w:rPr>
        <w:t>实现地铁售票、检票、计费、收费、统计、清分、管理等全过程的机电一体化、自动化和信息化系统。</w:t>
      </w:r>
    </w:p>
    <w:p w14:paraId="03B6C440" w14:textId="58182F7B" w:rsidR="00867258" w:rsidRPr="00FD50F6" w:rsidRDefault="00867258" w:rsidP="00634619">
      <w:pPr>
        <w:pStyle w:val="30"/>
      </w:pPr>
      <w:r w:rsidRPr="00FD50F6">
        <w:rPr>
          <w:rFonts w:hint="eastAsia"/>
        </w:rPr>
        <w:t>自动售检票</w:t>
      </w:r>
      <w:r w:rsidRPr="00FD50F6">
        <w:t>清分系统</w:t>
      </w:r>
      <w:r w:rsidRPr="00FD50F6">
        <w:t xml:space="preserve">  automatic fare collection central clearing system(ACC)</w:t>
      </w:r>
    </w:p>
    <w:p w14:paraId="159388FE" w14:textId="77777777" w:rsidR="00867258" w:rsidRPr="00FD50F6" w:rsidRDefault="00867258" w:rsidP="00E73D12">
      <w:pPr>
        <w:pStyle w:val="8"/>
        <w:ind w:firstLine="480"/>
      </w:pPr>
      <w:r w:rsidRPr="00FD50F6">
        <w:t>用于发行和管理地铁车票，对不同线路的票、款进行结算，并具有与城市其他公共交通卡进行清算功能的系统。</w:t>
      </w:r>
    </w:p>
    <w:p w14:paraId="57FB4586" w14:textId="09889683" w:rsidR="00867258" w:rsidRPr="00FD50F6" w:rsidRDefault="00867258" w:rsidP="00634619">
      <w:pPr>
        <w:pStyle w:val="30"/>
      </w:pPr>
      <w:r w:rsidRPr="00FD50F6">
        <w:t>火灾自动报警系统</w:t>
      </w:r>
      <w:r w:rsidRPr="00FD50F6">
        <w:t xml:space="preserve"> automatic fire alarm system (FAS)</w:t>
      </w:r>
    </w:p>
    <w:p w14:paraId="5DA709EF" w14:textId="77777777" w:rsidR="00867258" w:rsidRPr="00FD50F6" w:rsidRDefault="00867258" w:rsidP="00E73D12">
      <w:pPr>
        <w:pStyle w:val="8"/>
        <w:ind w:firstLine="480"/>
        <w:rPr>
          <w:rFonts w:ascii="宋体" w:hAnsi="Courier New"/>
        </w:rPr>
      </w:pPr>
      <w:r w:rsidRPr="00FD50F6">
        <w:t>用于</w:t>
      </w:r>
      <w:r w:rsidRPr="00FD50F6">
        <w:rPr>
          <w:rFonts w:hint="eastAsia"/>
        </w:rPr>
        <w:t>及早发现和通报火灾，以便及时采取措施控制和扑灭火灾而设置在建筑物中或其他场所的一种自动消防报警设施。</w:t>
      </w:r>
    </w:p>
    <w:p w14:paraId="6C34F102" w14:textId="341EA609" w:rsidR="00867258" w:rsidRPr="00FD50F6" w:rsidRDefault="00867258" w:rsidP="00634619">
      <w:pPr>
        <w:pStyle w:val="30"/>
      </w:pPr>
      <w:r w:rsidRPr="00FD50F6">
        <w:lastRenderedPageBreak/>
        <w:t>综合监控系统</w:t>
      </w:r>
      <w:r w:rsidRPr="00FD50F6">
        <w:t>integrated supervisory and control system(ISCS)</w:t>
      </w:r>
    </w:p>
    <w:p w14:paraId="460EDC1A" w14:textId="77777777" w:rsidR="00867258" w:rsidRPr="00FD50F6" w:rsidRDefault="00867258" w:rsidP="00E73D12">
      <w:pPr>
        <w:pStyle w:val="8"/>
        <w:ind w:firstLine="480"/>
      </w:pPr>
      <w:r w:rsidRPr="00FD50F6">
        <w:t>基于大型监控软件平台，与</w:t>
      </w:r>
      <w:r w:rsidRPr="00FD50F6">
        <w:rPr>
          <w:rFonts w:hint="eastAsia"/>
        </w:rPr>
        <w:t>各自动化</w:t>
      </w:r>
      <w:r w:rsidRPr="00FD50F6">
        <w:t>系统</w:t>
      </w:r>
      <w:r w:rsidRPr="00FD50F6">
        <w:rPr>
          <w:rFonts w:hint="eastAsia"/>
        </w:rPr>
        <w:t>采用标准化</w:t>
      </w:r>
      <w:r w:rsidRPr="00FD50F6">
        <w:t>接口，</w:t>
      </w:r>
      <w:r w:rsidRPr="00FD50F6">
        <w:rPr>
          <w:rFonts w:hint="eastAsia"/>
        </w:rPr>
        <w:t>进行数据采集、信息集成和信息共享，</w:t>
      </w:r>
      <w:r w:rsidRPr="00FD50F6">
        <w:t>在同一</w:t>
      </w:r>
      <w:r w:rsidRPr="00FD50F6">
        <w:rPr>
          <w:rFonts w:hint="eastAsia"/>
        </w:rPr>
        <w:t>软件平台上</w:t>
      </w:r>
      <w:r w:rsidRPr="00FD50F6">
        <w:t>实现调度、协调和联动</w:t>
      </w:r>
      <w:r w:rsidRPr="00FD50F6">
        <w:rPr>
          <w:rFonts w:hint="eastAsia"/>
        </w:rPr>
        <w:t>的</w:t>
      </w:r>
      <w:r w:rsidRPr="00FD50F6">
        <w:t>集成系统。</w:t>
      </w:r>
    </w:p>
    <w:p w14:paraId="431EAD62" w14:textId="33BC94ED" w:rsidR="00867258" w:rsidRPr="00FD50F6" w:rsidRDefault="00867258" w:rsidP="00634619">
      <w:pPr>
        <w:pStyle w:val="30"/>
      </w:pPr>
      <w:r w:rsidRPr="00FD50F6">
        <w:rPr>
          <w:rFonts w:hint="eastAsia"/>
        </w:rPr>
        <w:t>安全防范</w:t>
      </w:r>
      <w:r w:rsidRPr="00FD50F6">
        <w:rPr>
          <w:rFonts w:hint="eastAsia"/>
        </w:rPr>
        <w:t xml:space="preserve">security and protection system  </w:t>
      </w:r>
    </w:p>
    <w:p w14:paraId="0AEE5D93" w14:textId="416A6011" w:rsidR="00867258" w:rsidRPr="00FD50F6" w:rsidRDefault="00867258" w:rsidP="00E73D12">
      <w:pPr>
        <w:pStyle w:val="8"/>
        <w:ind w:firstLine="480"/>
      </w:pPr>
      <w:r w:rsidRPr="00FD50F6">
        <w:rPr>
          <w:rFonts w:hint="eastAsia"/>
        </w:rPr>
        <w:t>以维护城市轨道交通公共安全为目的，综合运用各种安全防范手段，建立具有防非法入侵、防暴力袭击、安全检查记录等功能的系统。</w:t>
      </w:r>
    </w:p>
    <w:p w14:paraId="75888320" w14:textId="4206CA8B" w:rsidR="00867258" w:rsidRPr="00FD50F6" w:rsidRDefault="00867258" w:rsidP="00634619">
      <w:pPr>
        <w:pStyle w:val="30"/>
      </w:pPr>
      <w:r w:rsidRPr="00FD50F6">
        <w:t>门禁系统</w:t>
      </w:r>
      <w:r w:rsidRPr="00FD50F6">
        <w:t xml:space="preserve">  access control system (ACS)</w:t>
      </w:r>
    </w:p>
    <w:p w14:paraId="111B61B5" w14:textId="77777777" w:rsidR="00867258" w:rsidRPr="00FD50F6" w:rsidRDefault="00867258" w:rsidP="00E73D12">
      <w:pPr>
        <w:pStyle w:val="8"/>
        <w:ind w:firstLine="480"/>
      </w:pPr>
      <w:r w:rsidRPr="00FD50F6">
        <w:rPr>
          <w:rFonts w:hint="eastAsia"/>
        </w:rPr>
        <w:t>集计算机、网络、自动识别、控制等技术和现代安全管理措施为一体的自动化安全管理控制系统，又称出入口控制系统。</w:t>
      </w:r>
    </w:p>
    <w:p w14:paraId="628012A0" w14:textId="7A1F392A" w:rsidR="00867258" w:rsidRPr="00FD50F6" w:rsidRDefault="00867258" w:rsidP="00634619">
      <w:pPr>
        <w:pStyle w:val="30"/>
      </w:pPr>
      <w:r w:rsidRPr="00FD50F6">
        <w:rPr>
          <w:rFonts w:hint="eastAsia"/>
        </w:rPr>
        <w:t>入侵报警系统</w:t>
      </w:r>
      <w:r w:rsidRPr="00FD50F6">
        <w:rPr>
          <w:rFonts w:hint="eastAsia"/>
        </w:rPr>
        <w:t xml:space="preserve"> </w:t>
      </w:r>
      <w:r w:rsidRPr="00FD50F6">
        <w:t>intruder alarm system</w:t>
      </w:r>
    </w:p>
    <w:p w14:paraId="665774F7" w14:textId="29F05BA8" w:rsidR="00867258" w:rsidRPr="00FD50F6" w:rsidRDefault="00867258" w:rsidP="00E73D12">
      <w:pPr>
        <w:pStyle w:val="8"/>
        <w:ind w:firstLine="480"/>
        <w:rPr>
          <w:sz w:val="21"/>
        </w:rPr>
      </w:pPr>
      <w:r w:rsidRPr="00FD50F6">
        <w:rPr>
          <w:rFonts w:hint="eastAsia"/>
        </w:rPr>
        <w:t>利用传感器技术和电子信息技术探测并指示非法进入或试图非法进入设防区域</w:t>
      </w:r>
      <w:r w:rsidRPr="00FD50F6">
        <w:rPr>
          <w:rFonts w:hint="eastAsia"/>
        </w:rPr>
        <w:t>(</w:t>
      </w:r>
      <w:r w:rsidRPr="00FD50F6">
        <w:rPr>
          <w:rFonts w:hint="eastAsia"/>
        </w:rPr>
        <w:t>包括主观判断面临被劫持或遭抢劫或其他紧急情况时，故意触发紧急报警装置</w:t>
      </w:r>
      <w:r w:rsidRPr="00FD50F6">
        <w:rPr>
          <w:rFonts w:hint="eastAsia"/>
        </w:rPr>
        <w:t>)</w:t>
      </w:r>
      <w:r w:rsidRPr="00FD50F6">
        <w:rPr>
          <w:rFonts w:hint="eastAsia"/>
        </w:rPr>
        <w:t>的行为、处理报警信息、发出报警信息的电子系统或网络。</w:t>
      </w:r>
    </w:p>
    <w:p w14:paraId="442F16B3" w14:textId="66054901" w:rsidR="00867258" w:rsidRPr="00FD50F6" w:rsidRDefault="00867258" w:rsidP="00634619">
      <w:pPr>
        <w:pStyle w:val="30"/>
      </w:pPr>
      <w:r w:rsidRPr="00FD50F6">
        <w:rPr>
          <w:rFonts w:hint="eastAsia"/>
        </w:rPr>
        <w:t>智能视频分析</w:t>
      </w:r>
      <w:r w:rsidRPr="00FD50F6">
        <w:t xml:space="preserve"> intelligent video surveillance</w:t>
      </w:r>
    </w:p>
    <w:p w14:paraId="5D86AB3D" w14:textId="0668DBB7" w:rsidR="00867258" w:rsidRPr="00FD50F6" w:rsidRDefault="00867258" w:rsidP="00E73D12">
      <w:pPr>
        <w:pStyle w:val="8"/>
        <w:ind w:firstLine="480"/>
      </w:pPr>
      <w:r w:rsidRPr="00FD50F6">
        <w:rPr>
          <w:rFonts w:hint="eastAsia"/>
        </w:rPr>
        <w:t>通过自动分析和提取视频图像数据中的各种特征，来理解视频画面中的内容及相互关系，从而获取视频图像关键信息的视频结构化描述技术。</w:t>
      </w:r>
    </w:p>
    <w:p w14:paraId="126437AD" w14:textId="4CC0AF6C" w:rsidR="00867258" w:rsidRPr="00FD50F6" w:rsidRDefault="00867258" w:rsidP="00634619">
      <w:pPr>
        <w:pStyle w:val="30"/>
      </w:pPr>
      <w:r w:rsidRPr="00FD50F6">
        <w:rPr>
          <w:rFonts w:hint="eastAsia"/>
        </w:rPr>
        <w:t>安全检查及探测系统</w:t>
      </w:r>
      <w:r w:rsidRPr="00FD50F6">
        <w:rPr>
          <w:rFonts w:hint="eastAsia"/>
        </w:rPr>
        <w:t xml:space="preserve"> security inspection &amp; detection system</w:t>
      </w:r>
    </w:p>
    <w:p w14:paraId="29B8ACA2" w14:textId="77777777" w:rsidR="00867258" w:rsidRPr="00FD50F6" w:rsidRDefault="00867258" w:rsidP="00E73D12">
      <w:pPr>
        <w:pStyle w:val="8"/>
        <w:ind w:firstLine="480"/>
      </w:pPr>
      <w:r w:rsidRPr="00FD50F6">
        <w:rPr>
          <w:rFonts w:hint="eastAsia"/>
        </w:rPr>
        <w:t>检查有关人员、行李是否携带危险货物、武器和</w:t>
      </w:r>
      <w:r w:rsidRPr="00FD50F6">
        <w:rPr>
          <w:rFonts w:hint="eastAsia"/>
        </w:rPr>
        <w:t>/</w:t>
      </w:r>
      <w:r w:rsidRPr="00FD50F6">
        <w:rPr>
          <w:rFonts w:hint="eastAsia"/>
        </w:rPr>
        <w:t>或其他违禁品的电子设备及网络。</w:t>
      </w:r>
    </w:p>
    <w:p w14:paraId="5B19B996" w14:textId="7FC1A30A" w:rsidR="00D3751B" w:rsidRPr="00FD50F6" w:rsidRDefault="00D3751B" w:rsidP="00D3751B">
      <w:pPr>
        <w:pStyle w:val="30"/>
      </w:pPr>
      <w:r w:rsidRPr="00FD50F6">
        <w:rPr>
          <w:rFonts w:hint="eastAsia"/>
        </w:rPr>
        <w:t>安防集成平台</w:t>
      </w:r>
      <w:r w:rsidRPr="00FD50F6">
        <w:rPr>
          <w:rFonts w:hint="eastAsia"/>
        </w:rPr>
        <w:t xml:space="preserve"> security S</w:t>
      </w:r>
      <w:r w:rsidRPr="00FD50F6">
        <w:t>upervision</w:t>
      </w:r>
      <w:r w:rsidRPr="00FD50F6">
        <w:rPr>
          <w:rFonts w:hint="eastAsia"/>
        </w:rPr>
        <w:t xml:space="preserve"> platform</w:t>
      </w:r>
    </w:p>
    <w:p w14:paraId="65E954C8" w14:textId="77777777" w:rsidR="00867258" w:rsidRPr="00FD50F6" w:rsidRDefault="00867258" w:rsidP="00E73D12">
      <w:pPr>
        <w:pStyle w:val="8"/>
        <w:ind w:firstLine="480"/>
      </w:pPr>
      <w:r w:rsidRPr="00FD50F6">
        <w:rPr>
          <w:rFonts w:hint="eastAsia"/>
        </w:rPr>
        <w:t>通过统一的通信平台和管理软件对所有技术防范系统和设备进行自动化管理与监控的分层分布式计算机集成系统。</w:t>
      </w:r>
    </w:p>
    <w:p w14:paraId="43667B0F" w14:textId="07875B2C" w:rsidR="00867258" w:rsidRPr="00FD50F6" w:rsidRDefault="00867258" w:rsidP="00634619">
      <w:pPr>
        <w:pStyle w:val="30"/>
      </w:pPr>
      <w:r w:rsidRPr="00FD50F6">
        <w:t>环境与设备监控系统</w:t>
      </w:r>
      <w:r w:rsidRPr="00FD50F6">
        <w:t xml:space="preserve">  building automatic system (BAS)</w:t>
      </w:r>
    </w:p>
    <w:p w14:paraId="4D8BD8B2" w14:textId="0FD7A08F" w:rsidR="00867258" w:rsidRPr="00FD50F6" w:rsidRDefault="00867258" w:rsidP="00E73D12">
      <w:pPr>
        <w:pStyle w:val="8"/>
        <w:ind w:firstLine="480"/>
      </w:pPr>
      <w:r w:rsidRPr="00FD50F6">
        <w:rPr>
          <w:rFonts w:hint="eastAsia"/>
        </w:rPr>
        <w:t>对地铁建筑物内的环境参数及空气调节、通风（包括隧道通风）、给排水、照明、导向标识、自动扶梯及电梯、</w:t>
      </w:r>
      <w:r w:rsidR="007E64D2" w:rsidRPr="00FD50F6">
        <w:rPr>
          <w:rFonts w:hint="eastAsia"/>
        </w:rPr>
        <w:t>站台屏蔽门</w:t>
      </w:r>
      <w:r w:rsidRPr="00FD50F6">
        <w:rPr>
          <w:rFonts w:hint="eastAsia"/>
        </w:rPr>
        <w:t>、防淹门等机电设备和系统进行集中监视、控制和管理的工业自动化系统。</w:t>
      </w:r>
    </w:p>
    <w:p w14:paraId="0905143C" w14:textId="6DA883AA" w:rsidR="00867258" w:rsidRPr="00FD50F6" w:rsidRDefault="00867258" w:rsidP="00634619">
      <w:pPr>
        <w:pStyle w:val="30"/>
      </w:pPr>
      <w:r w:rsidRPr="00FD50F6">
        <w:t>乘客信息系统</w:t>
      </w:r>
      <w:r w:rsidRPr="00FD50F6">
        <w:t xml:space="preserve">  passenger information system</w:t>
      </w:r>
      <w:r w:rsidRPr="00FD50F6">
        <w:t>（</w:t>
      </w:r>
      <w:r w:rsidRPr="00FD50F6">
        <w:t>PIS</w:t>
      </w:r>
      <w:r w:rsidRPr="00FD50F6">
        <w:t>）</w:t>
      </w:r>
    </w:p>
    <w:p w14:paraId="22E60708" w14:textId="77777777" w:rsidR="00867258" w:rsidRPr="00FD50F6" w:rsidRDefault="00867258" w:rsidP="00E73D12">
      <w:pPr>
        <w:pStyle w:val="8"/>
        <w:ind w:firstLine="480"/>
      </w:pPr>
      <w:r w:rsidRPr="00FD50F6">
        <w:t>为站内和列车内的乘客提供有关安全、运营及服务等综合信息显示的系统设备总称。</w:t>
      </w:r>
    </w:p>
    <w:p w14:paraId="6DA89173" w14:textId="583D1F24" w:rsidR="00867258" w:rsidRPr="00FD50F6" w:rsidRDefault="00867258" w:rsidP="00634619">
      <w:pPr>
        <w:pStyle w:val="30"/>
      </w:pPr>
      <w:r w:rsidRPr="00FD50F6">
        <w:rPr>
          <w:rFonts w:hint="eastAsia"/>
        </w:rPr>
        <w:t>信息</w:t>
      </w:r>
      <w:r w:rsidRPr="00FD50F6">
        <w:t>系统</w:t>
      </w:r>
      <w:r w:rsidRPr="00FD50F6">
        <w:t xml:space="preserve">  information system</w:t>
      </w:r>
      <w:r w:rsidRPr="00FD50F6">
        <w:t>（</w:t>
      </w:r>
      <w:r w:rsidRPr="00FD50F6">
        <w:t>IS</w:t>
      </w:r>
      <w:r w:rsidRPr="00FD50F6">
        <w:t>）</w:t>
      </w:r>
    </w:p>
    <w:p w14:paraId="76E0D6EB" w14:textId="2FF1759E" w:rsidR="00867258" w:rsidRPr="00FD50F6" w:rsidRDefault="00867258" w:rsidP="00E73D12">
      <w:pPr>
        <w:pStyle w:val="8"/>
        <w:ind w:firstLine="480"/>
      </w:pPr>
      <w:r w:rsidRPr="00FD50F6">
        <w:rPr>
          <w:rFonts w:hint="eastAsia"/>
        </w:rPr>
        <w:lastRenderedPageBreak/>
        <w:t>运用于地铁的由计算机软件、硬件及其他外围设备组成的以处理信息为目的</w:t>
      </w:r>
      <w:r w:rsidR="00CB5BE1" w:rsidRPr="00FD50F6">
        <w:rPr>
          <w:rFonts w:hint="eastAsia"/>
        </w:rPr>
        <w:t>的</w:t>
      </w:r>
      <w:r w:rsidRPr="00FD50F6">
        <w:rPr>
          <w:rFonts w:hint="eastAsia"/>
        </w:rPr>
        <w:t>人机一体化系统</w:t>
      </w:r>
      <w:r w:rsidRPr="00FD50F6">
        <w:t>。</w:t>
      </w:r>
    </w:p>
    <w:p w14:paraId="2AA1F62D" w14:textId="4C109119" w:rsidR="00867258" w:rsidRPr="00FD50F6" w:rsidRDefault="00867258" w:rsidP="00634619">
      <w:pPr>
        <w:pStyle w:val="30"/>
      </w:pPr>
      <w:r w:rsidRPr="00FD50F6">
        <w:rPr>
          <w:rFonts w:hint="eastAsia"/>
        </w:rPr>
        <w:t>云平台</w:t>
      </w:r>
      <w:r w:rsidRPr="00FD50F6">
        <w:t xml:space="preserve">  </w:t>
      </w:r>
      <w:r w:rsidRPr="00FD50F6">
        <w:rPr>
          <w:rFonts w:hint="eastAsia"/>
        </w:rPr>
        <w:t>c</w:t>
      </w:r>
      <w:r w:rsidRPr="00FD50F6">
        <w:t xml:space="preserve">loud </w:t>
      </w:r>
      <w:r w:rsidRPr="00FD50F6">
        <w:rPr>
          <w:rFonts w:hint="eastAsia"/>
        </w:rPr>
        <w:t>p</w:t>
      </w:r>
      <w:r w:rsidRPr="00FD50F6">
        <w:t>latform</w:t>
      </w:r>
    </w:p>
    <w:p w14:paraId="226DD91E" w14:textId="77777777" w:rsidR="00867258" w:rsidRPr="00FD50F6" w:rsidRDefault="00867258" w:rsidP="00E73D12">
      <w:pPr>
        <w:pStyle w:val="8"/>
        <w:ind w:firstLine="480"/>
      </w:pPr>
      <w:r w:rsidRPr="00FD50F6">
        <w:rPr>
          <w:rFonts w:hint="eastAsia"/>
        </w:rPr>
        <w:t>部署各种计算、网络、存储、</w:t>
      </w:r>
      <w:r w:rsidRPr="00FD50F6">
        <w:t>安全</w:t>
      </w:r>
      <w:r w:rsidRPr="00FD50F6">
        <w:rPr>
          <w:rFonts w:hint="eastAsia"/>
        </w:rPr>
        <w:t>资源的云计算平台，具备提供各种云计算服务的能力，具有统一的资源、安全、服务等平台管理软件。</w:t>
      </w:r>
    </w:p>
    <w:p w14:paraId="6B2F1349" w14:textId="339F4700" w:rsidR="00867258" w:rsidRPr="00FD50F6" w:rsidRDefault="00867258" w:rsidP="00634619">
      <w:pPr>
        <w:pStyle w:val="30"/>
      </w:pPr>
      <w:r w:rsidRPr="00FD50F6">
        <w:t>数据平台</w:t>
      </w:r>
      <w:r w:rsidRPr="00FD50F6">
        <w:rPr>
          <w:rFonts w:hint="eastAsia"/>
        </w:rPr>
        <w:t xml:space="preserve">  </w:t>
      </w:r>
      <w:r w:rsidRPr="00FD50F6">
        <w:t>data platform</w:t>
      </w:r>
    </w:p>
    <w:p w14:paraId="0803CAFD" w14:textId="1477F390" w:rsidR="00867258" w:rsidRPr="00FD50F6" w:rsidRDefault="00867258" w:rsidP="00E73D12">
      <w:pPr>
        <w:pStyle w:val="8"/>
        <w:ind w:firstLine="480"/>
      </w:pPr>
      <w:r w:rsidRPr="00FD50F6">
        <w:t>采集和存储分散建设的</w:t>
      </w:r>
      <w:r w:rsidRPr="00FD50F6">
        <w:rPr>
          <w:rFonts w:hint="eastAsia"/>
        </w:rPr>
        <w:t>地铁</w:t>
      </w:r>
      <w:r w:rsidRPr="00FD50F6">
        <w:t>系统的部分或全部数据以及</w:t>
      </w:r>
      <w:r w:rsidRPr="00FD50F6">
        <w:rPr>
          <w:rFonts w:hint="eastAsia"/>
        </w:rPr>
        <w:t>地铁</w:t>
      </w:r>
      <w:r w:rsidRPr="00FD50F6">
        <w:t>体系外部的相关数据</w:t>
      </w:r>
      <w:r w:rsidR="00BA3E4C" w:rsidRPr="00FD50F6">
        <w:rPr>
          <w:rFonts w:hint="eastAsia"/>
        </w:rPr>
        <w:t>，</w:t>
      </w:r>
      <w:r w:rsidRPr="00FD50F6">
        <w:t>完成相关数据的规范化、标准化</w:t>
      </w:r>
      <w:r w:rsidR="00BA3E4C" w:rsidRPr="00FD50F6">
        <w:rPr>
          <w:rFonts w:hint="eastAsia"/>
        </w:rPr>
        <w:t>，</w:t>
      </w:r>
      <w:r w:rsidRPr="00FD50F6">
        <w:t>实现数据的共享、交换、展现、服务等功能的平台。</w:t>
      </w:r>
    </w:p>
    <w:p w14:paraId="148EFBF1" w14:textId="1D6AB827" w:rsidR="00867258" w:rsidRPr="00FD50F6" w:rsidRDefault="00867258" w:rsidP="00634619">
      <w:pPr>
        <w:pStyle w:val="30"/>
      </w:pPr>
      <w:r w:rsidRPr="00FD50F6">
        <w:t>轮椅升降机</w:t>
      </w:r>
      <w:r w:rsidRPr="00FD50F6">
        <w:t xml:space="preserve">  platform lift for straight stairway</w:t>
      </w:r>
    </w:p>
    <w:p w14:paraId="4C641096" w14:textId="63BE2F3B" w:rsidR="00867258" w:rsidRPr="00FD50F6" w:rsidRDefault="00867258" w:rsidP="00E73D12">
      <w:pPr>
        <w:pStyle w:val="8"/>
        <w:ind w:firstLine="480"/>
      </w:pPr>
      <w:r w:rsidRPr="00FD50F6">
        <w:t>设置在楼梯</w:t>
      </w:r>
      <w:r w:rsidR="00C83ABE" w:rsidRPr="00FD50F6">
        <w:rPr>
          <w:rFonts w:hint="eastAsia"/>
        </w:rPr>
        <w:t>上</w:t>
      </w:r>
      <w:r w:rsidRPr="00FD50F6">
        <w:t>用于运送坐轮椅车的乘客上下楼梯的设备。</w:t>
      </w:r>
    </w:p>
    <w:p w14:paraId="59D191D3" w14:textId="77777777" w:rsidR="00C83ABE" w:rsidRPr="00FD50F6" w:rsidRDefault="00C83ABE" w:rsidP="00C83ABE">
      <w:pPr>
        <w:pStyle w:val="30"/>
      </w:pPr>
      <w:r w:rsidRPr="00FD50F6">
        <w:rPr>
          <w:rFonts w:hint="eastAsia"/>
        </w:rPr>
        <w:t>站台屏蔽门</w:t>
      </w:r>
      <w:r w:rsidRPr="00FD50F6">
        <w:t xml:space="preserve">  platform screen door </w:t>
      </w:r>
    </w:p>
    <w:p w14:paraId="7F602734" w14:textId="77BA9C37" w:rsidR="00867258" w:rsidRPr="00FD50F6" w:rsidRDefault="00C83ABE" w:rsidP="00C83ABE">
      <w:pPr>
        <w:pStyle w:val="8"/>
        <w:ind w:firstLine="480"/>
      </w:pPr>
      <w:r w:rsidRPr="00FD50F6">
        <w:rPr>
          <w:rFonts w:hint="eastAsia"/>
        </w:rPr>
        <w:t>安装在车站站台边缘，将列车运行区与站台候车区隔开，设有与列车门相对应、可多级控制开启与关闭滑动门的连续屏障。</w:t>
      </w:r>
      <w:r w:rsidR="00867258" w:rsidRPr="00FD50F6">
        <w:t xml:space="preserve"> </w:t>
      </w:r>
    </w:p>
    <w:p w14:paraId="26CCF08D" w14:textId="5E9C064A" w:rsidR="00867258" w:rsidRPr="00FD50F6" w:rsidRDefault="00867258" w:rsidP="00634619">
      <w:pPr>
        <w:pStyle w:val="30"/>
      </w:pPr>
      <w:r w:rsidRPr="00FD50F6">
        <w:t>应急门</w:t>
      </w:r>
      <w:r w:rsidRPr="00FD50F6">
        <w:t xml:space="preserve">  emergency escape door</w:t>
      </w:r>
    </w:p>
    <w:p w14:paraId="67F46482" w14:textId="77777777" w:rsidR="00C83ABE" w:rsidRPr="00FD50F6" w:rsidRDefault="00C83ABE" w:rsidP="00C83ABE">
      <w:pPr>
        <w:pStyle w:val="8"/>
        <w:ind w:firstLine="480"/>
      </w:pPr>
      <w:r w:rsidRPr="00FD50F6">
        <w:rPr>
          <w:rFonts w:hint="eastAsia"/>
        </w:rPr>
        <w:t>站台屏蔽门设施上的应急装置，当乘客无法正常从滑动门进出时，供乘客由车内向站台通行的门。</w:t>
      </w:r>
    </w:p>
    <w:p w14:paraId="5201C1AE" w14:textId="1CA75465" w:rsidR="00867258" w:rsidRPr="00FD50F6" w:rsidRDefault="00867258" w:rsidP="00FF1C04">
      <w:pPr>
        <w:pStyle w:val="30"/>
      </w:pPr>
      <w:r w:rsidRPr="00FD50F6">
        <w:rPr>
          <w:rFonts w:hint="eastAsia"/>
        </w:rPr>
        <w:t>对位隔离</w:t>
      </w:r>
      <w:r w:rsidR="00FF1C04" w:rsidRPr="00FD50F6">
        <w:t>Corresponding Isolation</w:t>
      </w:r>
    </w:p>
    <w:p w14:paraId="2CA94824" w14:textId="2DB31AB5" w:rsidR="00867258" w:rsidRPr="00FD50F6" w:rsidRDefault="00FF1C04" w:rsidP="00E73D12">
      <w:pPr>
        <w:pStyle w:val="8"/>
        <w:ind w:firstLine="480"/>
      </w:pPr>
      <w:r w:rsidRPr="00FD50F6">
        <w:rPr>
          <w:rFonts w:asciiTheme="minorEastAsia" w:hAnsiTheme="minorEastAsia" w:hint="eastAsia"/>
        </w:rPr>
        <w:t>到站列车车门与站台屏蔽门滑动门其中一方出现故障不能开启时，相应位置的另一方联动不开启的功能。</w:t>
      </w:r>
    </w:p>
    <w:p w14:paraId="75416916" w14:textId="464C4937" w:rsidR="00867258" w:rsidRPr="00FD50F6" w:rsidRDefault="00867258" w:rsidP="00634619">
      <w:pPr>
        <w:pStyle w:val="30"/>
      </w:pPr>
      <w:r w:rsidRPr="00FD50F6">
        <w:t>车辆基地</w:t>
      </w:r>
      <w:r w:rsidRPr="00FD50F6">
        <w:t xml:space="preserve">  base for the vehicle </w:t>
      </w:r>
    </w:p>
    <w:p w14:paraId="6969734A" w14:textId="39A7B4B3" w:rsidR="00867258" w:rsidRPr="00FD50F6" w:rsidRDefault="00867258" w:rsidP="00E73D12">
      <w:pPr>
        <w:pStyle w:val="8"/>
        <w:ind w:firstLine="480"/>
      </w:pPr>
      <w:r w:rsidRPr="00FD50F6">
        <w:t>车辆停修和后勤保障</w:t>
      </w:r>
      <w:r w:rsidR="00040FDD">
        <w:t>的</w:t>
      </w:r>
      <w:r w:rsidR="00040FDD" w:rsidRPr="00FD50F6">
        <w:t>车辆段、综合维修中心、物资总库、培训中心以及相关的生活设施</w:t>
      </w:r>
      <w:r w:rsidR="00040FDD" w:rsidRPr="00FD50F6">
        <w:rPr>
          <w:rFonts w:hint="eastAsia"/>
        </w:rPr>
        <w:t>等</w:t>
      </w:r>
      <w:r w:rsidR="00040FDD">
        <w:rPr>
          <w:rFonts w:hint="eastAsia"/>
        </w:rPr>
        <w:t>的总称</w:t>
      </w:r>
      <w:r w:rsidRPr="00FD50F6">
        <w:t>。</w:t>
      </w:r>
    </w:p>
    <w:p w14:paraId="0D78D94B" w14:textId="77A19D6A" w:rsidR="00867258" w:rsidRPr="00FD50F6" w:rsidRDefault="00867258" w:rsidP="00634619">
      <w:pPr>
        <w:pStyle w:val="30"/>
      </w:pPr>
      <w:r w:rsidRPr="00FD50F6">
        <w:t>车辆段</w:t>
      </w:r>
      <w:r w:rsidRPr="00FD50F6">
        <w:t xml:space="preserve">  depot</w:t>
      </w:r>
    </w:p>
    <w:p w14:paraId="7034CBF0" w14:textId="474D1F3F" w:rsidR="00867258" w:rsidRPr="00FD50F6" w:rsidRDefault="008D26EF" w:rsidP="00E73D12">
      <w:pPr>
        <w:pStyle w:val="8"/>
        <w:ind w:firstLine="480"/>
      </w:pPr>
      <w:r w:rsidRPr="00FD50F6">
        <w:t>承担</w:t>
      </w:r>
      <w:r w:rsidR="00867258" w:rsidRPr="00FD50F6">
        <w:t>车辆</w:t>
      </w:r>
      <w:r w:rsidRPr="00FD50F6">
        <w:t>停放、</w:t>
      </w:r>
      <w:r w:rsidR="00867258" w:rsidRPr="00FD50F6">
        <w:t>运用管理、整备保养、检查</w:t>
      </w:r>
      <w:r w:rsidRPr="00FD50F6">
        <w:t>、</w:t>
      </w:r>
      <w:r w:rsidR="00867258" w:rsidRPr="00FD50F6">
        <w:t>定修或架修的基本生产单位。</w:t>
      </w:r>
    </w:p>
    <w:p w14:paraId="3480B125" w14:textId="0E20F4EE" w:rsidR="00867258" w:rsidRPr="00FD50F6" w:rsidRDefault="00867258" w:rsidP="00634619">
      <w:pPr>
        <w:pStyle w:val="30"/>
      </w:pPr>
      <w:r w:rsidRPr="00FD50F6">
        <w:t>停车场</w:t>
      </w:r>
      <w:r w:rsidRPr="00FD50F6">
        <w:t xml:space="preserve">  parking lot, stabling yard</w:t>
      </w:r>
    </w:p>
    <w:p w14:paraId="4818B521" w14:textId="77515CF0" w:rsidR="00867258" w:rsidRPr="00FD50F6" w:rsidRDefault="008D26EF" w:rsidP="00E73D12">
      <w:pPr>
        <w:pStyle w:val="8"/>
        <w:ind w:firstLine="480"/>
      </w:pPr>
      <w:r w:rsidRPr="00FD50F6">
        <w:t>承担</w:t>
      </w:r>
      <w:r w:rsidR="00867258" w:rsidRPr="00FD50F6">
        <w:t>车辆</w:t>
      </w:r>
      <w:r w:rsidRPr="00FD50F6">
        <w:rPr>
          <w:rFonts w:hint="eastAsia"/>
        </w:rPr>
        <w:t>停放</w:t>
      </w:r>
      <w:r w:rsidRPr="00FD50F6">
        <w:t>、</w:t>
      </w:r>
      <w:r w:rsidR="00867258" w:rsidRPr="00FD50F6">
        <w:t>运用管理、整备保养、检查的基本生产单位。</w:t>
      </w:r>
    </w:p>
    <w:p w14:paraId="38ECA1C2" w14:textId="298F6B19" w:rsidR="00A56C5B" w:rsidRPr="00FD50F6" w:rsidRDefault="00A56C5B" w:rsidP="00634619">
      <w:pPr>
        <w:pStyle w:val="30"/>
      </w:pPr>
      <w:r w:rsidRPr="00FD50F6">
        <w:rPr>
          <w:rFonts w:hint="eastAsia"/>
        </w:rPr>
        <w:t>板地</w:t>
      </w:r>
      <w:r w:rsidRPr="00FD50F6">
        <w:rPr>
          <w:rFonts w:hint="eastAsia"/>
        </w:rPr>
        <w:t xml:space="preserve"> </w:t>
      </w:r>
      <w:r w:rsidRPr="00FD50F6">
        <w:t>top slab floor</w:t>
      </w:r>
    </w:p>
    <w:p w14:paraId="7E0C6556" w14:textId="1226CC98" w:rsidR="00A56C5B" w:rsidRPr="00A65181" w:rsidRDefault="00A56C5B" w:rsidP="001A4CF3">
      <w:pPr>
        <w:pStyle w:val="8"/>
        <w:ind w:firstLine="480"/>
      </w:pPr>
      <w:r w:rsidRPr="00FD50F6">
        <w:rPr>
          <w:rFonts w:hint="eastAsia"/>
        </w:rPr>
        <w:t>轨道交通车辆基地上方</w:t>
      </w:r>
      <w:r w:rsidR="0086324A">
        <w:rPr>
          <w:rFonts w:hint="eastAsia"/>
        </w:rPr>
        <w:t>、</w:t>
      </w:r>
      <w:r w:rsidRPr="00FD50F6">
        <w:rPr>
          <w:rFonts w:hint="eastAsia"/>
        </w:rPr>
        <w:t>承载上盖建筑的结构顶板。</w:t>
      </w:r>
    </w:p>
    <w:p w14:paraId="76E980E9" w14:textId="58AE7C8A" w:rsidR="00867258" w:rsidRPr="00FD50F6" w:rsidRDefault="00867258" w:rsidP="00634619">
      <w:pPr>
        <w:pStyle w:val="30"/>
      </w:pPr>
      <w:r w:rsidRPr="00FD50F6">
        <w:rPr>
          <w:rFonts w:hint="eastAsia"/>
        </w:rPr>
        <w:t>区间联络通道</w:t>
      </w:r>
      <w:r w:rsidRPr="00FD50F6">
        <w:rPr>
          <w:rFonts w:hint="eastAsia"/>
        </w:rPr>
        <w:t xml:space="preserve"> cross-passageway</w:t>
      </w:r>
    </w:p>
    <w:p w14:paraId="7703673F" w14:textId="758394BE" w:rsidR="00867258" w:rsidRPr="00FD50F6" w:rsidRDefault="00867258" w:rsidP="00E73D12">
      <w:pPr>
        <w:pStyle w:val="8"/>
        <w:ind w:firstLine="480"/>
      </w:pPr>
      <w:r w:rsidRPr="00FD50F6">
        <w:lastRenderedPageBreak/>
        <w:t>连接相邻两条单洞单线载客运营地下区间</w:t>
      </w:r>
      <w:r w:rsidR="00213EB2">
        <w:rPr>
          <w:rFonts w:hint="eastAsia"/>
        </w:rPr>
        <w:t>、</w:t>
      </w:r>
      <w:r w:rsidRPr="00FD50F6">
        <w:t>可供人员</w:t>
      </w:r>
      <w:r w:rsidRPr="00FD50F6">
        <w:rPr>
          <w:rFonts w:hint="eastAsia"/>
        </w:rPr>
        <w:t>双向</w:t>
      </w:r>
      <w:r w:rsidRPr="00FD50F6">
        <w:t>安全疏散用的通道。</w:t>
      </w:r>
    </w:p>
    <w:p w14:paraId="589CDEC9" w14:textId="22579D11" w:rsidR="00867258" w:rsidRPr="00FD50F6" w:rsidRDefault="00867258" w:rsidP="00634619">
      <w:pPr>
        <w:pStyle w:val="30"/>
      </w:pPr>
      <w:r w:rsidRPr="00FD50F6">
        <w:rPr>
          <w:rFonts w:hint="eastAsia"/>
        </w:rPr>
        <w:t>消防专用通道</w:t>
      </w:r>
      <w:r w:rsidRPr="00FD50F6">
        <w:rPr>
          <w:rFonts w:hint="eastAsia"/>
        </w:rPr>
        <w:t xml:space="preserve">  fire access</w:t>
      </w:r>
    </w:p>
    <w:p w14:paraId="151BAB73" w14:textId="77777777" w:rsidR="00867258" w:rsidRPr="00FD50F6" w:rsidRDefault="00867258" w:rsidP="003566F9">
      <w:pPr>
        <w:pStyle w:val="8"/>
        <w:ind w:firstLine="480"/>
      </w:pPr>
      <w:r w:rsidRPr="00FD50F6">
        <w:rPr>
          <w:rFonts w:hint="eastAsia"/>
        </w:rPr>
        <w:t>供消防人员从地面进入地下站厅、站台、区间等区域进行灭火救援的专用通道和楼梯间</w:t>
      </w:r>
      <w:r w:rsidRPr="00FD50F6">
        <w:t>。</w:t>
      </w:r>
    </w:p>
    <w:p w14:paraId="618D19DE" w14:textId="163162E1" w:rsidR="00867258" w:rsidRPr="00FD50F6" w:rsidRDefault="00867258" w:rsidP="00634619">
      <w:pPr>
        <w:pStyle w:val="30"/>
      </w:pPr>
      <w:r w:rsidRPr="00FD50F6">
        <w:rPr>
          <w:rFonts w:hint="eastAsia"/>
        </w:rPr>
        <w:t>纵向疏散平台</w:t>
      </w:r>
      <w:r w:rsidRPr="00FD50F6">
        <w:rPr>
          <w:rFonts w:hint="eastAsia"/>
        </w:rPr>
        <w:t xml:space="preserve">  longitudinal evacuation walkway</w:t>
      </w:r>
    </w:p>
    <w:p w14:paraId="7D26313C" w14:textId="77777777" w:rsidR="00867258" w:rsidRPr="00FD50F6" w:rsidRDefault="00867258" w:rsidP="003566F9">
      <w:pPr>
        <w:pStyle w:val="8"/>
        <w:ind w:firstLine="480"/>
      </w:pPr>
      <w:r w:rsidRPr="00FD50F6">
        <w:rPr>
          <w:rFonts w:hint="eastAsia"/>
        </w:rPr>
        <w:t>在</w:t>
      </w:r>
      <w:r w:rsidRPr="00FD50F6">
        <w:t>区间内平行</w:t>
      </w:r>
      <w:r w:rsidRPr="00FD50F6">
        <w:rPr>
          <w:rFonts w:hint="eastAsia"/>
        </w:rPr>
        <w:t>于</w:t>
      </w:r>
      <w:r w:rsidRPr="00FD50F6">
        <w:t>线路靠站台</w:t>
      </w:r>
      <w:r w:rsidRPr="00FD50F6">
        <w:rPr>
          <w:rFonts w:hint="eastAsia"/>
        </w:rPr>
        <w:t>一</w:t>
      </w:r>
      <w:r w:rsidRPr="00FD50F6">
        <w:t>侧设置、供人员疏散用的纵向连续走道。</w:t>
      </w:r>
    </w:p>
    <w:p w14:paraId="7DE3F0AD" w14:textId="77777777" w:rsidR="004B3374" w:rsidRPr="00FD50F6" w:rsidRDefault="004B3374" w:rsidP="004B3374">
      <w:pPr>
        <w:pStyle w:val="30"/>
      </w:pPr>
      <w:r w:rsidRPr="00FD50F6">
        <w:rPr>
          <w:rFonts w:hint="eastAsia"/>
        </w:rPr>
        <w:t>安全出口</w:t>
      </w:r>
      <w:r w:rsidRPr="00FD50F6">
        <w:rPr>
          <w:rFonts w:hint="eastAsia"/>
        </w:rPr>
        <w:t xml:space="preserve">  safety exit</w:t>
      </w:r>
    </w:p>
    <w:p w14:paraId="2C9512C9" w14:textId="313390B6" w:rsidR="004B3374" w:rsidRPr="00FD50F6" w:rsidRDefault="004B3374" w:rsidP="004B3374">
      <w:pPr>
        <w:pStyle w:val="8"/>
        <w:ind w:firstLine="480"/>
      </w:pPr>
      <w:r w:rsidRPr="00FD50F6">
        <w:t>供人员安全疏散，并能直接通向</w:t>
      </w:r>
      <w:r w:rsidRPr="00FD50F6">
        <w:rPr>
          <w:rFonts w:hint="eastAsia"/>
        </w:rPr>
        <w:t>室内安全区域或</w:t>
      </w:r>
      <w:r w:rsidRPr="00FD50F6">
        <w:t>室外</w:t>
      </w:r>
      <w:r w:rsidR="00FB207E" w:rsidRPr="00FD50F6">
        <w:rPr>
          <w:rFonts w:hint="eastAsia"/>
        </w:rPr>
        <w:t>地面或其他室外安全区域</w:t>
      </w:r>
      <w:r w:rsidRPr="00FD50F6">
        <w:t>的车站出口、楼梯或扶梯的出口、</w:t>
      </w:r>
      <w:r w:rsidRPr="00FD50F6">
        <w:rPr>
          <w:rFonts w:hint="eastAsia"/>
        </w:rPr>
        <w:t>区间</w:t>
      </w:r>
      <w:r w:rsidRPr="00FD50F6">
        <w:t>联络通道</w:t>
      </w:r>
      <w:r w:rsidRPr="00FD50F6">
        <w:rPr>
          <w:rFonts w:hint="eastAsia"/>
        </w:rPr>
        <w:t>出</w:t>
      </w:r>
      <w:r w:rsidRPr="00FD50F6">
        <w:t>口、区间风井</w:t>
      </w:r>
      <w:r w:rsidR="000E08E0" w:rsidRPr="00FD50F6">
        <w:rPr>
          <w:rFonts w:hint="eastAsia"/>
        </w:rPr>
        <w:t>或变电所</w:t>
      </w:r>
      <w:r w:rsidRPr="00FD50F6">
        <w:t>内直通</w:t>
      </w:r>
      <w:r w:rsidRPr="00FD50F6">
        <w:rPr>
          <w:rFonts w:hint="eastAsia"/>
        </w:rPr>
        <w:t>室外</w:t>
      </w:r>
      <w:r w:rsidR="003101B6" w:rsidRPr="00FD50F6">
        <w:rPr>
          <w:rFonts w:hint="eastAsia"/>
        </w:rPr>
        <w:t>安全区域</w:t>
      </w:r>
      <w:r w:rsidRPr="00FD50F6">
        <w:t>的楼梯间</w:t>
      </w:r>
      <w:r w:rsidRPr="00FD50F6">
        <w:rPr>
          <w:rFonts w:hint="eastAsia"/>
        </w:rPr>
        <w:t>出</w:t>
      </w:r>
      <w:r w:rsidRPr="00FD50F6">
        <w:t>口以及地下区间隧道通向站台的人行楼梯和地上区间到达站台的人行楼梯。</w:t>
      </w:r>
    </w:p>
    <w:p w14:paraId="6DFE7F42" w14:textId="77777777" w:rsidR="004B3374" w:rsidRPr="00FD50F6" w:rsidRDefault="004B3374" w:rsidP="004B3374">
      <w:pPr>
        <w:pStyle w:val="30"/>
      </w:pPr>
      <w:r w:rsidRPr="00FD50F6">
        <w:rPr>
          <w:rFonts w:hint="eastAsia"/>
        </w:rPr>
        <w:t>车辆基地上盖</w:t>
      </w:r>
      <w:r w:rsidRPr="00FD50F6">
        <w:rPr>
          <w:rFonts w:hint="eastAsia"/>
        </w:rPr>
        <w:t xml:space="preserve">  Urban Complex above Metro Depot</w:t>
      </w:r>
    </w:p>
    <w:p w14:paraId="576509CD" w14:textId="53EE3FB3" w:rsidR="004B3374" w:rsidRPr="00FD50F6" w:rsidRDefault="004B3374" w:rsidP="004B3374">
      <w:pPr>
        <w:pStyle w:val="8"/>
        <w:ind w:firstLine="480"/>
      </w:pPr>
      <w:r w:rsidRPr="00FD50F6">
        <w:rPr>
          <w:rFonts w:hint="eastAsia"/>
        </w:rPr>
        <w:t>在城市轨道交通车辆基地用地范围内</w:t>
      </w:r>
      <w:r w:rsidR="00213EB2">
        <w:rPr>
          <w:rFonts w:hint="eastAsia"/>
        </w:rPr>
        <w:t>、</w:t>
      </w:r>
      <w:r w:rsidRPr="00FD50F6">
        <w:rPr>
          <w:rFonts w:hint="eastAsia"/>
        </w:rPr>
        <w:t>满足车辆基地正常使用功能的前提下，利用车辆基地的厂库房、咽喉区等上部的结构顶板和其他覆土地面空间，进行居住、商业零售、办公等其他功能设施的综合性工程建设的总称。</w:t>
      </w:r>
    </w:p>
    <w:p w14:paraId="5BA81A60" w14:textId="77777777" w:rsidR="004B3374" w:rsidRPr="00FD50F6" w:rsidRDefault="004B3374" w:rsidP="004B3374">
      <w:pPr>
        <w:pStyle w:val="30"/>
      </w:pPr>
      <w:r w:rsidRPr="00FD50F6">
        <w:t>防淹门</w:t>
      </w:r>
      <w:r w:rsidRPr="00FD50F6">
        <w:t xml:space="preserve">  flood gate</w:t>
      </w:r>
    </w:p>
    <w:p w14:paraId="5B08BF92" w14:textId="3C9047BE" w:rsidR="004B3374" w:rsidRPr="00FD50F6" w:rsidRDefault="004B3374" w:rsidP="004B3374">
      <w:pPr>
        <w:pStyle w:val="8"/>
        <w:ind w:firstLine="480"/>
      </w:pPr>
      <w:r w:rsidRPr="00FD50F6">
        <w:t>防止外部洪</w:t>
      </w:r>
      <w:r w:rsidR="005416E6">
        <w:rPr>
          <w:rFonts w:hint="eastAsia"/>
        </w:rPr>
        <w:t>水或</w:t>
      </w:r>
      <w:r w:rsidRPr="00FD50F6">
        <w:rPr>
          <w:rFonts w:hint="eastAsia"/>
        </w:rPr>
        <w:t>潮</w:t>
      </w:r>
      <w:r w:rsidRPr="00FD50F6">
        <w:t>水涌入地下车站与区间隧道的密闭设施。</w:t>
      </w:r>
    </w:p>
    <w:p w14:paraId="6DB4BA72" w14:textId="4CEEBEE8" w:rsidR="00867258" w:rsidRPr="00FD50F6" w:rsidRDefault="00867258" w:rsidP="00634619">
      <w:pPr>
        <w:pStyle w:val="30"/>
      </w:pPr>
      <w:r w:rsidRPr="00FD50F6">
        <w:rPr>
          <w:rFonts w:hint="eastAsia"/>
        </w:rPr>
        <w:t>插入损失</w:t>
      </w:r>
      <w:r w:rsidRPr="00FD50F6">
        <w:rPr>
          <w:rFonts w:hint="eastAsia"/>
        </w:rPr>
        <w:t xml:space="preserve"> insertion loss</w:t>
      </w:r>
    </w:p>
    <w:p w14:paraId="4961A1EC" w14:textId="3F84BF29" w:rsidR="00867258" w:rsidRPr="00FD50F6" w:rsidRDefault="00867258" w:rsidP="003566F9">
      <w:pPr>
        <w:pStyle w:val="8"/>
        <w:ind w:firstLine="480"/>
      </w:pPr>
      <w:r w:rsidRPr="00FD50F6">
        <w:rPr>
          <w:rFonts w:hint="eastAsia"/>
        </w:rPr>
        <w:t>在保持噪声源、地形、地貌和气象条件不变</w:t>
      </w:r>
      <w:r w:rsidR="004B2054" w:rsidRPr="00FD50F6">
        <w:rPr>
          <w:rFonts w:hint="eastAsia"/>
        </w:rPr>
        <w:t>的</w:t>
      </w:r>
      <w:r w:rsidRPr="00FD50F6">
        <w:rPr>
          <w:rFonts w:hint="eastAsia"/>
        </w:rPr>
        <w:t>情况下</w:t>
      </w:r>
      <w:r w:rsidR="004B2054" w:rsidRPr="00FD50F6">
        <w:rPr>
          <w:rFonts w:hint="eastAsia"/>
        </w:rPr>
        <w:t>，</w:t>
      </w:r>
      <w:r w:rsidRPr="00FD50F6">
        <w:rPr>
          <w:rFonts w:hint="eastAsia"/>
        </w:rPr>
        <w:t>安装声屏障前后在某特定位置上的声压级之差。</w:t>
      </w:r>
    </w:p>
    <w:p w14:paraId="418DB3F9" w14:textId="7E1E968E" w:rsidR="00867258" w:rsidRPr="00FD50F6" w:rsidRDefault="00867258" w:rsidP="00634619">
      <w:pPr>
        <w:pStyle w:val="30"/>
      </w:pPr>
      <w:r w:rsidRPr="00FD50F6">
        <w:rPr>
          <w:rFonts w:hint="eastAsia"/>
        </w:rPr>
        <w:t>制冷系统能效比</w:t>
      </w:r>
      <w:r w:rsidRPr="00FD50F6">
        <w:rPr>
          <w:rFonts w:hint="eastAsia"/>
        </w:rPr>
        <w:t xml:space="preserve"> energy efficiency ratio of refrigeration system(EERr</w:t>
      </w:r>
      <w:r w:rsidRPr="00FD50F6">
        <w:t>)</w:t>
      </w:r>
    </w:p>
    <w:p w14:paraId="743E3E1B" w14:textId="3C73927D" w:rsidR="00867258" w:rsidRPr="00FD50F6" w:rsidRDefault="00867258" w:rsidP="003566F9">
      <w:pPr>
        <w:pStyle w:val="8"/>
        <w:ind w:firstLine="480"/>
      </w:pPr>
      <w:r w:rsidRPr="00FD50F6">
        <w:rPr>
          <w:rFonts w:hint="eastAsia"/>
        </w:rPr>
        <w:t>空调系统制备的总冷量与制冷系统能耗之比。</w:t>
      </w:r>
    </w:p>
    <w:p w14:paraId="38C79297" w14:textId="5B4F78C8" w:rsidR="00A77C50" w:rsidRPr="00FD50F6" w:rsidRDefault="00A77C50">
      <w:pPr>
        <w:widowControl/>
        <w:spacing w:line="240" w:lineRule="auto"/>
        <w:jc w:val="left"/>
      </w:pPr>
      <w:r w:rsidRPr="00FD50F6">
        <w:br w:type="page"/>
      </w:r>
    </w:p>
    <w:p w14:paraId="546007E5" w14:textId="64362D32" w:rsidR="00EE4164" w:rsidRPr="00FD50F6" w:rsidRDefault="00EE4164" w:rsidP="00F112D7">
      <w:pPr>
        <w:pStyle w:val="12"/>
      </w:pPr>
      <w:bookmarkStart w:id="22" w:name="_Toc112830640"/>
      <w:r w:rsidRPr="00FD50F6">
        <w:rPr>
          <w:rFonts w:hint="eastAsia"/>
        </w:rPr>
        <w:lastRenderedPageBreak/>
        <w:t>基本规定</w:t>
      </w:r>
      <w:bookmarkEnd w:id="22"/>
    </w:p>
    <w:p w14:paraId="1F5E5C7E" w14:textId="6BBAE3CF" w:rsidR="00EE4164" w:rsidRPr="00FD50F6" w:rsidRDefault="00EE4164" w:rsidP="00EE4164">
      <w:pPr>
        <w:pStyle w:val="30"/>
      </w:pPr>
      <w:r w:rsidRPr="00FD50F6">
        <w:t>地铁工程设计应符合</w:t>
      </w:r>
      <w:r w:rsidRPr="00FD50F6">
        <w:rPr>
          <w:rFonts w:hint="eastAsia"/>
        </w:rPr>
        <w:t>城市总体规划、城市轨道交通线网规划及近期建设规划，</w:t>
      </w:r>
      <w:r w:rsidRPr="00FD50F6">
        <w:t>并应与城市</w:t>
      </w:r>
      <w:r w:rsidRPr="00FD50F6">
        <w:rPr>
          <w:rFonts w:hint="eastAsia"/>
        </w:rPr>
        <w:t>综合交通规划相</w:t>
      </w:r>
      <w:r w:rsidRPr="00FD50F6">
        <w:t>协调。</w:t>
      </w:r>
    </w:p>
    <w:p w14:paraId="020F0F6A" w14:textId="12C3D230" w:rsidR="00EE4164" w:rsidRPr="00FD50F6" w:rsidRDefault="00EE4164" w:rsidP="00EE4164">
      <w:pPr>
        <w:pStyle w:val="30"/>
      </w:pPr>
      <w:bookmarkStart w:id="23" w:name="_Hlk64214257"/>
      <w:r w:rsidRPr="00FD50F6">
        <w:t>地铁</w:t>
      </w:r>
      <w:r w:rsidRPr="00FD50F6">
        <w:rPr>
          <w:rFonts w:hint="eastAsia"/>
        </w:rPr>
        <w:t>工程</w:t>
      </w:r>
      <w:r w:rsidRPr="00FD50F6">
        <w:t>设计应与城市环境保护规划、饮用水水源保护规划、生态保护红线及历史文化保护规划等相协调，</w:t>
      </w:r>
      <w:r w:rsidR="005416E6">
        <w:t>应</w:t>
      </w:r>
      <w:r w:rsidRPr="00FD50F6">
        <w:t>符合城市环境功能区划的要求。</w:t>
      </w:r>
    </w:p>
    <w:bookmarkEnd w:id="23"/>
    <w:p w14:paraId="16CF0D7B" w14:textId="760E8779" w:rsidR="00EE4164" w:rsidRPr="00FD50F6" w:rsidRDefault="00EE4164" w:rsidP="00EE4164">
      <w:pPr>
        <w:pStyle w:val="30"/>
      </w:pPr>
      <w:r w:rsidRPr="00FD50F6">
        <w:t>地铁线路</w:t>
      </w:r>
      <w:r w:rsidRPr="00FD50F6">
        <w:rPr>
          <w:rFonts w:hint="eastAsia"/>
        </w:rPr>
        <w:t>的</w:t>
      </w:r>
      <w:r w:rsidRPr="00FD50F6">
        <w:t>功能定位、服务水平、系统运能、线路走向及起讫点、车辆基地选址和资源共享等应依据线网规划确定。</w:t>
      </w:r>
    </w:p>
    <w:p w14:paraId="2044F577" w14:textId="06258AC7" w:rsidR="00EE4164" w:rsidRPr="00FD50F6" w:rsidRDefault="00EE4164" w:rsidP="00EE4164">
      <w:pPr>
        <w:pStyle w:val="30"/>
      </w:pPr>
      <w:r w:rsidRPr="00FD50F6">
        <w:t>地铁工程设计应根据线网规划</w:t>
      </w:r>
      <w:r w:rsidRPr="00FD50F6">
        <w:rPr>
          <w:rFonts w:hint="eastAsia"/>
        </w:rPr>
        <w:t>和近期建设规划，合理安排</w:t>
      </w:r>
      <w:r w:rsidRPr="00FD50F6">
        <w:t>与其他线路的关系，并</w:t>
      </w:r>
      <w:r w:rsidRPr="00FD50F6">
        <w:rPr>
          <w:rFonts w:hint="eastAsia"/>
        </w:rPr>
        <w:t>综合分析建设时序、工程建设条件和工程方案的稳定性因素，合理</w:t>
      </w:r>
      <w:r w:rsidRPr="00FD50F6">
        <w:t>预留</w:t>
      </w:r>
      <w:r w:rsidRPr="00FD50F6">
        <w:rPr>
          <w:rFonts w:hint="eastAsia"/>
        </w:rPr>
        <w:t>相关</w:t>
      </w:r>
      <w:r w:rsidRPr="00FD50F6">
        <w:t>工程的连接条件。</w:t>
      </w:r>
    </w:p>
    <w:p w14:paraId="10898F2E" w14:textId="77777777" w:rsidR="00EE4164" w:rsidRPr="00FD50F6" w:rsidRDefault="00EE4164" w:rsidP="00EE4164">
      <w:pPr>
        <w:pStyle w:val="30"/>
      </w:pPr>
      <w:r w:rsidRPr="00FD50F6">
        <w:t>地铁线路间及地铁与其他交通系统间应做到换乘便捷、安全。</w:t>
      </w:r>
    </w:p>
    <w:p w14:paraId="08468CFD" w14:textId="30EB4A0E" w:rsidR="00EE4164" w:rsidRPr="00FD50F6" w:rsidRDefault="00EE4164" w:rsidP="00EE4164">
      <w:pPr>
        <w:pStyle w:val="30"/>
      </w:pPr>
      <w:r w:rsidRPr="00FD50F6">
        <w:t>地铁工程设计应</w:t>
      </w:r>
      <w:r w:rsidRPr="00FD50F6">
        <w:rPr>
          <w:rFonts w:hint="eastAsia"/>
        </w:rPr>
        <w:t>按</w:t>
      </w:r>
      <w:r w:rsidRPr="00FD50F6">
        <w:t>初期</w:t>
      </w:r>
      <w:r w:rsidRPr="00FD50F6">
        <w:rPr>
          <w:rFonts w:hint="eastAsia"/>
        </w:rPr>
        <w:t>（</w:t>
      </w:r>
      <w:r w:rsidRPr="00FD50F6">
        <w:t>建成通车后第</w:t>
      </w:r>
      <w:r w:rsidRPr="00FD50F6">
        <w:t>3</w:t>
      </w:r>
      <w:r w:rsidRPr="00FD50F6">
        <w:t>年</w:t>
      </w:r>
      <w:r w:rsidRPr="00FD50F6">
        <w:rPr>
          <w:rFonts w:hint="eastAsia"/>
        </w:rPr>
        <w:t>）</w:t>
      </w:r>
      <w:r w:rsidRPr="00FD50F6">
        <w:t>、近期</w:t>
      </w:r>
      <w:r w:rsidRPr="00FD50F6">
        <w:rPr>
          <w:rFonts w:hint="eastAsia"/>
        </w:rPr>
        <w:t>（</w:t>
      </w:r>
      <w:r w:rsidRPr="00FD50F6">
        <w:t>建成通车后第</w:t>
      </w:r>
      <w:r w:rsidRPr="00FD50F6">
        <w:t>10</w:t>
      </w:r>
      <w:r w:rsidRPr="00FD50F6">
        <w:t>年</w:t>
      </w:r>
      <w:r w:rsidRPr="00FD50F6">
        <w:rPr>
          <w:rFonts w:hint="eastAsia"/>
        </w:rPr>
        <w:t>）和</w:t>
      </w:r>
      <w:r w:rsidRPr="00FD50F6">
        <w:t>远期</w:t>
      </w:r>
      <w:r w:rsidRPr="00FD50F6">
        <w:rPr>
          <w:rFonts w:hint="eastAsia"/>
        </w:rPr>
        <w:t>（</w:t>
      </w:r>
      <w:r w:rsidRPr="00FD50F6">
        <w:t>建成通车后第</w:t>
      </w:r>
      <w:r w:rsidRPr="00FD50F6">
        <w:t>25</w:t>
      </w:r>
      <w:r w:rsidRPr="00FD50F6">
        <w:t>年</w:t>
      </w:r>
      <w:r w:rsidRPr="00FD50F6">
        <w:rPr>
          <w:rFonts w:hint="eastAsia"/>
        </w:rPr>
        <w:t>）分别测定客流需求，系统运能和土建工程规模应按最大客流进行设计，配属车辆可按初期运营规模和服务水平配置，运营设备系统可按近期规模配置</w:t>
      </w:r>
      <w:r w:rsidRPr="00FD50F6">
        <w:t>。</w:t>
      </w:r>
    </w:p>
    <w:p w14:paraId="159B7F02" w14:textId="267017CF" w:rsidR="00EE4164" w:rsidRPr="00FD50F6" w:rsidRDefault="00EE4164" w:rsidP="00EE4164">
      <w:pPr>
        <w:pStyle w:val="30"/>
      </w:pPr>
      <w:r w:rsidRPr="00FD50F6">
        <w:t>车辆基地、停车场、联络线、控制中心和主变电所应</w:t>
      </w:r>
      <w:r w:rsidRPr="00FD50F6">
        <w:rPr>
          <w:rFonts w:hint="eastAsia"/>
        </w:rPr>
        <w:t>依</w:t>
      </w:r>
      <w:r w:rsidRPr="00FD50F6">
        <w:t>据线网规划及建设时序统筹布设；</w:t>
      </w:r>
      <w:r w:rsidRPr="00FD50F6">
        <w:rPr>
          <w:rFonts w:hint="eastAsia"/>
        </w:rPr>
        <w:t>当布设条件不满足要求时，应调整线网规划相关内容并获得规划管理部门批准。</w:t>
      </w:r>
    </w:p>
    <w:p w14:paraId="096432F1" w14:textId="354E1493" w:rsidR="00EE4164" w:rsidRPr="00FD50F6" w:rsidRDefault="00EE4164" w:rsidP="00EE4164">
      <w:pPr>
        <w:pStyle w:val="30"/>
      </w:pPr>
      <w:r w:rsidRPr="00FD50F6">
        <w:rPr>
          <w:rFonts w:hint="eastAsia"/>
        </w:rPr>
        <w:t>地铁主体结构以及因结构损坏或大修对地铁运营安全有严重影响的其他结构，设计使用年限不应低于</w:t>
      </w:r>
      <w:r w:rsidRPr="00FD50F6">
        <w:t>100</w:t>
      </w:r>
      <w:r w:rsidRPr="00FD50F6">
        <w:rPr>
          <w:rFonts w:hint="eastAsia"/>
        </w:rPr>
        <w:t>年。</w:t>
      </w:r>
    </w:p>
    <w:p w14:paraId="6402F867" w14:textId="77777777" w:rsidR="00EE4164" w:rsidRPr="00FD50F6" w:rsidRDefault="00EE4164" w:rsidP="00EE4164">
      <w:pPr>
        <w:pStyle w:val="30"/>
      </w:pPr>
      <w:r w:rsidRPr="00FD50F6">
        <w:t>地铁线路应采用</w:t>
      </w:r>
      <w:r w:rsidRPr="00FD50F6">
        <w:t>1435mm</w:t>
      </w:r>
      <w:r w:rsidRPr="00FD50F6">
        <w:t>标准轨距，正线应采用右侧行车的双线线路。</w:t>
      </w:r>
    </w:p>
    <w:p w14:paraId="610071BD" w14:textId="4DA09593" w:rsidR="00EE4164" w:rsidRPr="00FD50F6" w:rsidRDefault="00EE4164" w:rsidP="00EE4164">
      <w:pPr>
        <w:pStyle w:val="30"/>
      </w:pPr>
      <w:r w:rsidRPr="00FD50F6">
        <w:t>地铁线路应</w:t>
      </w:r>
      <w:r w:rsidRPr="00FD50F6">
        <w:rPr>
          <w:rFonts w:hint="eastAsia"/>
        </w:rPr>
        <w:t>采用</w:t>
      </w:r>
      <w:r w:rsidRPr="00FD50F6">
        <w:t>全封闭</w:t>
      </w:r>
      <w:r w:rsidRPr="00FD50F6">
        <w:rPr>
          <w:rFonts w:hint="eastAsia"/>
        </w:rPr>
        <w:t>型</w:t>
      </w:r>
      <w:r w:rsidRPr="00FD50F6">
        <w:t>专用路权</w:t>
      </w:r>
      <w:r w:rsidRPr="00FD50F6">
        <w:rPr>
          <w:rFonts w:hint="eastAsia"/>
        </w:rPr>
        <w:t>系统模式</w:t>
      </w:r>
      <w:r w:rsidRPr="00FD50F6">
        <w:t>，并组织列车高密度运行。系统设计远期</w:t>
      </w:r>
      <w:r w:rsidRPr="00FD50F6">
        <w:rPr>
          <w:rFonts w:hint="eastAsia"/>
        </w:rPr>
        <w:t>或客流控制期的最大</w:t>
      </w:r>
      <w:r w:rsidRPr="00FD50F6">
        <w:t>行车密度按</w:t>
      </w:r>
      <w:r w:rsidRPr="00FD50F6">
        <w:rPr>
          <w:rFonts w:hint="eastAsia"/>
        </w:rPr>
        <w:t>最高运行</w:t>
      </w:r>
      <w:r w:rsidRPr="00FD50F6">
        <w:t>速度</w:t>
      </w:r>
      <w:r w:rsidRPr="00FD50F6">
        <w:rPr>
          <w:rFonts w:hint="eastAsia"/>
        </w:rPr>
        <w:t>等级</w:t>
      </w:r>
      <w:r w:rsidRPr="00FD50F6">
        <w:t>分为两档</w:t>
      </w:r>
      <w:r w:rsidRPr="00FD50F6">
        <w:rPr>
          <w:rFonts w:hint="eastAsia"/>
        </w:rPr>
        <w:t>：</w:t>
      </w:r>
      <w:bookmarkStart w:id="24" w:name="_Hlk64448706"/>
      <w:r w:rsidRPr="00FD50F6">
        <w:rPr>
          <w:rFonts w:hint="eastAsia"/>
        </w:rPr>
        <w:t>最高运行</w:t>
      </w:r>
      <w:r w:rsidRPr="00FD50F6">
        <w:t>速度</w:t>
      </w:r>
      <w:bookmarkEnd w:id="24"/>
      <w:r w:rsidRPr="00FD50F6">
        <w:rPr>
          <w:rFonts w:hint="eastAsia"/>
        </w:rPr>
        <w:t>不大</w:t>
      </w:r>
      <w:r w:rsidRPr="00FD50F6">
        <w:t>于</w:t>
      </w:r>
      <w:r w:rsidRPr="00FD50F6">
        <w:t>100km/h</w:t>
      </w:r>
      <w:r w:rsidRPr="00FD50F6">
        <w:t>的系统</w:t>
      </w:r>
      <w:r w:rsidRPr="00FD50F6">
        <w:rPr>
          <w:rFonts w:hint="eastAsia"/>
        </w:rPr>
        <w:t>，</w:t>
      </w:r>
      <w:r w:rsidRPr="00FD50F6">
        <w:t>应</w:t>
      </w:r>
      <w:r w:rsidRPr="00FD50F6">
        <w:rPr>
          <w:rFonts w:hint="eastAsia"/>
        </w:rPr>
        <w:t>按最大行车密度</w:t>
      </w:r>
      <w:r w:rsidRPr="00FD50F6">
        <w:t>不</w:t>
      </w:r>
      <w:r w:rsidRPr="00FD50F6">
        <w:rPr>
          <w:rFonts w:hint="eastAsia"/>
        </w:rPr>
        <w:t>小</w:t>
      </w:r>
      <w:r w:rsidRPr="00FD50F6">
        <w:t>于</w:t>
      </w:r>
      <w:r w:rsidRPr="00FD50F6">
        <w:t>30</w:t>
      </w:r>
      <w:r w:rsidRPr="00FD50F6">
        <w:t>对</w:t>
      </w:r>
      <w:r w:rsidRPr="00FD50F6">
        <w:t>/h</w:t>
      </w:r>
      <w:r w:rsidRPr="00FD50F6">
        <w:rPr>
          <w:rFonts w:hint="eastAsia"/>
        </w:rPr>
        <w:t>进行设计</w:t>
      </w:r>
      <w:r w:rsidRPr="00FD50F6">
        <w:t>；</w:t>
      </w:r>
      <w:r w:rsidRPr="00FD50F6">
        <w:rPr>
          <w:rFonts w:hint="eastAsia"/>
        </w:rPr>
        <w:t>最高运行</w:t>
      </w:r>
      <w:r w:rsidRPr="00FD50F6">
        <w:t>速度大于</w:t>
      </w:r>
      <w:r w:rsidRPr="00FD50F6">
        <w:t>100km/h</w:t>
      </w:r>
      <w:r w:rsidRPr="00FD50F6">
        <w:t>的系统，应</w:t>
      </w:r>
      <w:r w:rsidRPr="00FD50F6">
        <w:rPr>
          <w:rFonts w:hint="eastAsia"/>
        </w:rPr>
        <w:t>按最大行车密度</w:t>
      </w:r>
      <w:r w:rsidRPr="00FD50F6">
        <w:t>不</w:t>
      </w:r>
      <w:r w:rsidRPr="00FD50F6">
        <w:rPr>
          <w:rFonts w:hint="eastAsia"/>
        </w:rPr>
        <w:t>小</w:t>
      </w:r>
      <w:r w:rsidRPr="00FD50F6">
        <w:t>于</w:t>
      </w:r>
      <w:r w:rsidRPr="00FD50F6">
        <w:t>24</w:t>
      </w:r>
      <w:r w:rsidRPr="00FD50F6">
        <w:t>对</w:t>
      </w:r>
      <w:r w:rsidRPr="00FD50F6">
        <w:t>/h</w:t>
      </w:r>
      <w:r w:rsidRPr="00FD50F6">
        <w:rPr>
          <w:rFonts w:hint="eastAsia"/>
        </w:rPr>
        <w:t>进行设计</w:t>
      </w:r>
      <w:r w:rsidRPr="00FD50F6">
        <w:t>。</w:t>
      </w:r>
    </w:p>
    <w:p w14:paraId="69185632" w14:textId="21F96249" w:rsidR="00EE4164" w:rsidRPr="00FD50F6" w:rsidRDefault="00EE4164" w:rsidP="00EE4164">
      <w:pPr>
        <w:pStyle w:val="30"/>
      </w:pPr>
      <w:r w:rsidRPr="00FD50F6">
        <w:t>在确定地铁系统运能时，车厢有效空余地板面积上站立乘客标准宜</w:t>
      </w:r>
      <w:r w:rsidRPr="00FD50F6">
        <w:rPr>
          <w:rFonts w:hint="eastAsia"/>
        </w:rPr>
        <w:t>根据线路性质</w:t>
      </w:r>
      <w:r w:rsidRPr="00FD50F6">
        <w:t>按</w:t>
      </w:r>
      <w:r w:rsidRPr="00FD50F6">
        <w:t>5</w:t>
      </w:r>
      <w:r w:rsidRPr="00FD50F6">
        <w:t>人</w:t>
      </w:r>
      <w:r w:rsidRPr="00FD50F6">
        <w:t>/m</w:t>
      </w:r>
      <w:r w:rsidRPr="00FD50F6">
        <w:rPr>
          <w:vertAlign w:val="superscript"/>
        </w:rPr>
        <w:t>2</w:t>
      </w:r>
      <w:r w:rsidRPr="00FD50F6">
        <w:rPr>
          <w:rFonts w:hint="eastAsia"/>
        </w:rPr>
        <w:t>~</w:t>
      </w:r>
      <w:r w:rsidRPr="00FD50F6">
        <w:t>6</w:t>
      </w:r>
      <w:r w:rsidRPr="00FD50F6">
        <w:t>人</w:t>
      </w:r>
      <w:r w:rsidRPr="00FD50F6">
        <w:t>/m</w:t>
      </w:r>
      <w:r w:rsidRPr="00FD50F6">
        <w:rPr>
          <w:vertAlign w:val="superscript"/>
        </w:rPr>
        <w:t>2</w:t>
      </w:r>
      <w:r w:rsidRPr="00FD50F6">
        <w:rPr>
          <w:rFonts w:hint="eastAsia"/>
        </w:rPr>
        <w:t>进行</w:t>
      </w:r>
      <w:r w:rsidRPr="00FD50F6">
        <w:t>计算</w:t>
      </w:r>
      <w:r w:rsidRPr="00FD50F6">
        <w:rPr>
          <w:rFonts w:hint="eastAsia"/>
        </w:rPr>
        <w:t>；当线路对舒适度和安全性有要求时，可按</w:t>
      </w:r>
      <w:r w:rsidRPr="00FD50F6">
        <w:rPr>
          <w:rFonts w:hint="eastAsia"/>
        </w:rPr>
        <w:t>4</w:t>
      </w:r>
      <w:r w:rsidRPr="00FD50F6">
        <w:t>人</w:t>
      </w:r>
      <w:r w:rsidRPr="00FD50F6">
        <w:t>/m</w:t>
      </w:r>
      <w:r w:rsidRPr="00FD50F6">
        <w:rPr>
          <w:vertAlign w:val="superscript"/>
        </w:rPr>
        <w:t>2</w:t>
      </w:r>
      <w:r w:rsidRPr="00FD50F6">
        <w:rPr>
          <w:rFonts w:hint="eastAsia"/>
        </w:rPr>
        <w:t>~</w:t>
      </w:r>
      <w:r w:rsidRPr="00FD50F6">
        <w:t>5</w:t>
      </w:r>
      <w:r w:rsidRPr="00FD50F6">
        <w:t>人</w:t>
      </w:r>
      <w:r w:rsidRPr="00FD50F6">
        <w:t>/m</w:t>
      </w:r>
      <w:r w:rsidRPr="00FD50F6">
        <w:rPr>
          <w:vertAlign w:val="superscript"/>
        </w:rPr>
        <w:t>2</w:t>
      </w:r>
      <w:r w:rsidRPr="00FD50F6">
        <w:rPr>
          <w:rFonts w:hint="eastAsia"/>
        </w:rPr>
        <w:t>进行计算</w:t>
      </w:r>
      <w:r w:rsidRPr="00FD50F6">
        <w:t>。</w:t>
      </w:r>
    </w:p>
    <w:p w14:paraId="65AFA3A3" w14:textId="5F8A87CC" w:rsidR="00EE4164" w:rsidRPr="00FD50F6" w:rsidRDefault="00EE4164" w:rsidP="00EE4164">
      <w:pPr>
        <w:pStyle w:val="30"/>
      </w:pPr>
      <w:r w:rsidRPr="00FD50F6">
        <w:rPr>
          <w:rFonts w:hint="eastAsia"/>
        </w:rPr>
        <w:t>每条地铁线路均应设置车辆基地，</w:t>
      </w:r>
      <w:r w:rsidRPr="00FD50F6">
        <w:t>当线路长度超过</w:t>
      </w:r>
      <w:r w:rsidRPr="00FD50F6">
        <w:t>20km</w:t>
      </w:r>
      <w:r w:rsidRPr="00FD50F6">
        <w:t>时，</w:t>
      </w:r>
      <w:r w:rsidRPr="00FD50F6">
        <w:rPr>
          <w:rFonts w:hint="eastAsia"/>
        </w:rPr>
        <w:t>应在适当位</w:t>
      </w:r>
      <w:r w:rsidRPr="00FD50F6">
        <w:rPr>
          <w:rFonts w:hint="eastAsia"/>
        </w:rPr>
        <w:lastRenderedPageBreak/>
        <w:t>置增设一座停车场，无条件增设停车场时，应在正线增设存车线</w:t>
      </w:r>
      <w:r w:rsidRPr="00FD50F6">
        <w:t>。</w:t>
      </w:r>
    </w:p>
    <w:p w14:paraId="1E259E80" w14:textId="1351CFA4" w:rsidR="00EE4164" w:rsidRPr="00FD50F6" w:rsidRDefault="00EE4164" w:rsidP="00EE4164">
      <w:pPr>
        <w:pStyle w:val="30"/>
        <w:rPr>
          <w:rFonts w:ascii="黑体" w:eastAsia="黑体" w:hAnsi="黑体"/>
        </w:rPr>
      </w:pPr>
      <w:r w:rsidRPr="00FD50F6">
        <w:rPr>
          <w:rFonts w:hint="eastAsia"/>
        </w:rPr>
        <w:t>当地铁采用浅埋地下线、地面线及高架线敷设方式时，应根据沿线环境控制要求，采取降低运营噪声和振动对环境影响的措施</w:t>
      </w:r>
      <w:r w:rsidRPr="00FD50F6">
        <w:rPr>
          <w:rFonts w:ascii="黑体" w:eastAsia="黑体" w:hAnsi="黑体" w:hint="eastAsia"/>
        </w:rPr>
        <w:t>。</w:t>
      </w:r>
    </w:p>
    <w:p w14:paraId="243E58C3" w14:textId="48B3A62C" w:rsidR="00EE4164" w:rsidRPr="00FD50F6" w:rsidRDefault="00EE4164" w:rsidP="00EE4164">
      <w:pPr>
        <w:pStyle w:val="30"/>
      </w:pPr>
      <w:r w:rsidRPr="00FD50F6">
        <w:t>在中心城区外有条件的地方，地铁宜采用高架或地面线路，高架和地面的建筑结构形式和体量，应与城市景观和周围环境相协调。</w:t>
      </w:r>
      <w:r w:rsidRPr="00FD50F6">
        <w:rPr>
          <w:rFonts w:hint="eastAsia"/>
        </w:rPr>
        <w:t>当采用地面线路时，应避免其对城市的分割并应处理好与城市交通的连接问题。</w:t>
      </w:r>
    </w:p>
    <w:p w14:paraId="06DFF687" w14:textId="677C0258" w:rsidR="00EE4164" w:rsidRPr="00FD50F6" w:rsidRDefault="00085AB4" w:rsidP="00EE4164">
      <w:pPr>
        <w:pStyle w:val="30"/>
        <w:rPr>
          <w:rFonts w:eastAsia="黑体"/>
        </w:rPr>
      </w:pPr>
      <w:r w:rsidRPr="00062C61">
        <w:rPr>
          <w:rFonts w:ascii="仿宋" w:eastAsia="仿宋" w:hAnsi="仿宋" w:hint="eastAsia"/>
          <w:sz w:val="28"/>
          <w:szCs w:val="28"/>
        </w:rPr>
        <w:t>地铁工程应具有一定的防灾害的能力，设计应坚持以防为主、防抗救相结合</w:t>
      </w:r>
      <w:r w:rsidR="00BF2787">
        <w:rPr>
          <w:rFonts w:ascii="仿宋" w:eastAsia="仿宋" w:hAnsi="仿宋" w:hint="eastAsia"/>
          <w:sz w:val="28"/>
          <w:szCs w:val="28"/>
        </w:rPr>
        <w:t>的</w:t>
      </w:r>
      <w:r>
        <w:rPr>
          <w:rFonts w:ascii="仿宋" w:eastAsia="仿宋" w:hAnsi="仿宋" w:hint="eastAsia"/>
          <w:sz w:val="28"/>
          <w:szCs w:val="28"/>
        </w:rPr>
        <w:t>原则</w:t>
      </w:r>
      <w:r w:rsidRPr="00062C61">
        <w:rPr>
          <w:rFonts w:ascii="仿宋" w:eastAsia="仿宋" w:hAnsi="仿宋" w:hint="eastAsia"/>
          <w:sz w:val="28"/>
          <w:szCs w:val="28"/>
        </w:rPr>
        <w:t>，</w:t>
      </w:r>
      <w:r>
        <w:rPr>
          <w:rFonts w:ascii="仿宋" w:eastAsia="仿宋" w:hAnsi="仿宋" w:hint="eastAsia"/>
          <w:sz w:val="28"/>
          <w:szCs w:val="28"/>
        </w:rPr>
        <w:t>并</w:t>
      </w:r>
      <w:r w:rsidRPr="00062C61">
        <w:rPr>
          <w:rFonts w:ascii="仿宋" w:eastAsia="仿宋" w:hAnsi="仿宋" w:hint="eastAsia"/>
          <w:sz w:val="28"/>
          <w:szCs w:val="28"/>
        </w:rPr>
        <w:t>应采取</w:t>
      </w:r>
      <w:r>
        <w:rPr>
          <w:rFonts w:ascii="仿宋" w:eastAsia="仿宋" w:hAnsi="仿宋" w:hint="eastAsia"/>
          <w:sz w:val="28"/>
          <w:szCs w:val="28"/>
        </w:rPr>
        <w:t>各类灾害防范措施。</w:t>
      </w:r>
    </w:p>
    <w:p w14:paraId="590149AC" w14:textId="420D4AD8" w:rsidR="00EE4164" w:rsidRPr="00FD50F6" w:rsidRDefault="00EE4164" w:rsidP="00EE4164">
      <w:pPr>
        <w:pStyle w:val="30"/>
        <w:rPr>
          <w:rFonts w:ascii="黑体" w:eastAsia="黑体" w:hAnsi="黑体"/>
        </w:rPr>
      </w:pPr>
      <w:bookmarkStart w:id="25" w:name="_Toc320639679"/>
      <w:bookmarkEnd w:id="25"/>
      <w:r w:rsidRPr="00FD50F6">
        <w:rPr>
          <w:rFonts w:hint="eastAsia"/>
        </w:rPr>
        <w:t>地铁工程应设置完备的安全防范系统。安防设施应与地铁工程同步设计、同步建设，并同步投入使用。</w:t>
      </w:r>
    </w:p>
    <w:p w14:paraId="217420E8" w14:textId="77777777" w:rsidR="00EE4164" w:rsidRPr="00FD50F6" w:rsidRDefault="00EE4164" w:rsidP="00EE4164">
      <w:pPr>
        <w:pStyle w:val="30"/>
        <w:rPr>
          <w:rFonts w:ascii="黑体" w:eastAsia="黑体" w:hAnsi="黑体"/>
        </w:rPr>
      </w:pPr>
      <w:r w:rsidRPr="00FD50F6">
        <w:rPr>
          <w:rFonts w:hint="eastAsia"/>
        </w:rPr>
        <w:t>地铁工程应设置无障碍乘行和使用设施。</w:t>
      </w:r>
    </w:p>
    <w:p w14:paraId="7F1F1A73" w14:textId="065F204E" w:rsidR="00EE4164" w:rsidRPr="00FD50F6" w:rsidRDefault="00EE4164" w:rsidP="00EE4164">
      <w:pPr>
        <w:pStyle w:val="30"/>
      </w:pPr>
      <w:r w:rsidRPr="00FD50F6">
        <w:t>地铁工程</w:t>
      </w:r>
      <w:r w:rsidRPr="00FD50F6">
        <w:rPr>
          <w:rFonts w:hint="eastAsia"/>
        </w:rPr>
        <w:t>应</w:t>
      </w:r>
      <w:r w:rsidR="005416E6">
        <w:rPr>
          <w:rFonts w:hint="eastAsia"/>
        </w:rPr>
        <w:t>进行</w:t>
      </w:r>
      <w:r w:rsidRPr="00FD50F6">
        <w:rPr>
          <w:rFonts w:hint="eastAsia"/>
        </w:rPr>
        <w:t>车站主体、附属及其连通工程，隧道及车辆基地的防洪（潮）水、防内涝设计</w:t>
      </w:r>
      <w:r w:rsidR="005416E6">
        <w:rPr>
          <w:rFonts w:hint="eastAsia"/>
        </w:rPr>
        <w:t>；</w:t>
      </w:r>
      <w:r w:rsidRPr="00FD50F6">
        <w:t>应加强</w:t>
      </w:r>
      <w:r w:rsidRPr="00FD50F6">
        <w:rPr>
          <w:rFonts w:hint="eastAsia"/>
        </w:rPr>
        <w:t>口部</w:t>
      </w:r>
      <w:r w:rsidRPr="00FD50F6">
        <w:t>防</w:t>
      </w:r>
      <w:r w:rsidRPr="00FD50F6">
        <w:rPr>
          <w:rFonts w:hint="eastAsia"/>
        </w:rPr>
        <w:t>水</w:t>
      </w:r>
      <w:r w:rsidRPr="00FD50F6">
        <w:t>淹</w:t>
      </w:r>
      <w:r w:rsidRPr="00FD50F6">
        <w:rPr>
          <w:rFonts w:hint="eastAsia"/>
        </w:rPr>
        <w:t>设计</w:t>
      </w:r>
      <w:r w:rsidRPr="00FD50F6">
        <w:t>，</w:t>
      </w:r>
      <w:r w:rsidRPr="00FD50F6">
        <w:rPr>
          <w:rFonts w:hint="eastAsia"/>
        </w:rPr>
        <w:t>应采取</w:t>
      </w:r>
      <w:r w:rsidR="00721C78" w:rsidRPr="00FD50F6">
        <w:rPr>
          <w:rFonts w:hint="eastAsia"/>
        </w:rPr>
        <w:t>抵御</w:t>
      </w:r>
      <w:r w:rsidR="00721C78" w:rsidRPr="00FD50F6">
        <w:t>城市内涝</w:t>
      </w:r>
      <w:r w:rsidR="00721C78" w:rsidRPr="00FD50F6">
        <w:rPr>
          <w:rFonts w:hint="eastAsia"/>
        </w:rPr>
        <w:t>的</w:t>
      </w:r>
      <w:r w:rsidRPr="00FD50F6">
        <w:rPr>
          <w:rFonts w:hint="eastAsia"/>
        </w:rPr>
        <w:t>防水淹措施</w:t>
      </w:r>
      <w:r w:rsidR="000D4C28" w:rsidRPr="00FD50F6">
        <w:rPr>
          <w:rFonts w:hint="eastAsia"/>
        </w:rPr>
        <w:t>，</w:t>
      </w:r>
      <w:r w:rsidR="000D4C28" w:rsidRPr="00FD50F6">
        <w:t>防水淹设备应实现机械化、自动化，</w:t>
      </w:r>
      <w:r w:rsidR="000D4C28" w:rsidRPr="00FD50F6">
        <w:rPr>
          <w:rFonts w:hint="eastAsia"/>
        </w:rPr>
        <w:t>并</w:t>
      </w:r>
      <w:r w:rsidR="000D4C28" w:rsidRPr="00FD50F6">
        <w:t>逐步实现智能化</w:t>
      </w:r>
      <w:r w:rsidRPr="00FD50F6">
        <w:t>；对下穿</w:t>
      </w:r>
      <w:r w:rsidRPr="00FD50F6">
        <w:rPr>
          <w:rFonts w:hint="eastAsia"/>
        </w:rPr>
        <w:t>江</w:t>
      </w:r>
      <w:r w:rsidRPr="00FD50F6">
        <w:t>河</w:t>
      </w:r>
      <w:r w:rsidRPr="00FD50F6">
        <w:rPr>
          <w:rFonts w:hint="eastAsia"/>
        </w:rPr>
        <w:t>或</w:t>
      </w:r>
      <w:r w:rsidRPr="00FD50F6">
        <w:t>湖泊等通航水域的隧道工程，应在下穿</w:t>
      </w:r>
      <w:r w:rsidRPr="00FD50F6">
        <w:rPr>
          <w:rFonts w:hint="eastAsia"/>
        </w:rPr>
        <w:t>段</w:t>
      </w:r>
      <w:r w:rsidRPr="00FD50F6">
        <w:t>隧道两端设置防淹门或采取其他防水淹措施</w:t>
      </w:r>
      <w:r w:rsidRPr="00FD50F6">
        <w:rPr>
          <w:rFonts w:ascii="宋体" w:hAnsi="宋体" w:hint="eastAsia"/>
        </w:rPr>
        <w:t>。</w:t>
      </w:r>
    </w:p>
    <w:p w14:paraId="6746BA7E" w14:textId="0F7823F9" w:rsidR="00EE4164" w:rsidRPr="00FD50F6" w:rsidRDefault="00EE4164" w:rsidP="00EE4164">
      <w:pPr>
        <w:pStyle w:val="30"/>
      </w:pPr>
      <w:bookmarkStart w:id="26" w:name="_Toc320639684"/>
      <w:bookmarkEnd w:id="26"/>
      <w:r w:rsidRPr="00FD50F6">
        <w:t>地铁机电设备及车辆应满足功能要求</w:t>
      </w:r>
      <w:r w:rsidRPr="00FD50F6">
        <w:rPr>
          <w:rFonts w:hint="eastAsia"/>
        </w:rPr>
        <w:t>，并</w:t>
      </w:r>
      <w:r w:rsidRPr="00FD50F6">
        <w:t>有利于行车管理、客运组织和设备维护</w:t>
      </w:r>
      <w:r w:rsidRPr="00FD50F6">
        <w:rPr>
          <w:rFonts w:hint="eastAsia"/>
        </w:rPr>
        <w:t>，主要设备和车辆应采用</w:t>
      </w:r>
      <w:r w:rsidRPr="00FD50F6">
        <w:t>立足于国内生产</w:t>
      </w:r>
      <w:r w:rsidRPr="00FD50F6">
        <w:rPr>
          <w:rFonts w:hint="eastAsia"/>
        </w:rPr>
        <w:t>、</w:t>
      </w:r>
      <w:r w:rsidRPr="00FD50F6">
        <w:t>技术经济合理的成熟产品，</w:t>
      </w:r>
      <w:r w:rsidRPr="00FD50F6">
        <w:rPr>
          <w:rFonts w:hint="eastAsia"/>
        </w:rPr>
        <w:t>并应做到</w:t>
      </w:r>
      <w:r w:rsidRPr="00FD50F6">
        <w:t>标准化</w:t>
      </w:r>
      <w:r w:rsidRPr="00FD50F6">
        <w:rPr>
          <w:rFonts w:hint="eastAsia"/>
        </w:rPr>
        <w:t>和</w:t>
      </w:r>
      <w:r w:rsidRPr="00FD50F6">
        <w:t>系列化。</w:t>
      </w:r>
    </w:p>
    <w:p w14:paraId="1F6D5269" w14:textId="0AA4E59E" w:rsidR="00EE4164" w:rsidRPr="00FD50F6" w:rsidRDefault="00EE4164" w:rsidP="00EE4164">
      <w:pPr>
        <w:pStyle w:val="30"/>
      </w:pPr>
      <w:r w:rsidRPr="00FD50F6">
        <w:t>地铁</w:t>
      </w:r>
      <w:r w:rsidRPr="00FD50F6">
        <w:rPr>
          <w:rFonts w:hint="eastAsia"/>
        </w:rPr>
        <w:t>工程</w:t>
      </w:r>
      <w:r w:rsidRPr="00FD50F6">
        <w:t>设计应在不影响安全可靠</w:t>
      </w:r>
      <w:r w:rsidRPr="00FD50F6">
        <w:rPr>
          <w:rFonts w:hint="eastAsia"/>
        </w:rPr>
        <w:t>性</w:t>
      </w:r>
      <w:r w:rsidRPr="00FD50F6">
        <w:t>和使用功能的</w:t>
      </w:r>
      <w:r w:rsidRPr="00FD50F6">
        <w:rPr>
          <w:rFonts w:hint="eastAsia"/>
        </w:rPr>
        <w:t>前提</w:t>
      </w:r>
      <w:r w:rsidRPr="00FD50F6">
        <w:t>下，采取降低工程造价和有利于节省运营成本的</w:t>
      </w:r>
      <w:r w:rsidRPr="00FD50F6">
        <w:rPr>
          <w:rFonts w:hint="eastAsia"/>
        </w:rPr>
        <w:t>方案及</w:t>
      </w:r>
      <w:r w:rsidRPr="00FD50F6">
        <w:t>措施</w:t>
      </w:r>
      <w:r w:rsidRPr="00FD50F6">
        <w:rPr>
          <w:rFonts w:hint="eastAsia"/>
        </w:rPr>
        <w:t>；宜采用新技术提升工程建设的质量、效率和环境保护水平，提升设备系统和运营管理水平，提升乘客的出行体验。</w:t>
      </w:r>
    </w:p>
    <w:p w14:paraId="3E4D38CB" w14:textId="77777777" w:rsidR="00EE4164" w:rsidRPr="00FD50F6" w:rsidRDefault="00EE4164" w:rsidP="00EE4164">
      <w:pPr>
        <w:sectPr w:rsidR="00EE4164" w:rsidRPr="00FD50F6" w:rsidSect="00B84F8E">
          <w:pgSz w:w="11906" w:h="16838"/>
          <w:pgMar w:top="1440" w:right="1797" w:bottom="1440" w:left="1797" w:header="851" w:footer="851" w:gutter="0"/>
          <w:pgNumType w:start="1"/>
          <w:cols w:space="720"/>
          <w:docGrid w:linePitch="492" w:charSpace="703"/>
        </w:sectPr>
      </w:pPr>
    </w:p>
    <w:p w14:paraId="1B37B37C" w14:textId="77777777" w:rsidR="00EE4164" w:rsidRPr="00FD50F6" w:rsidRDefault="00EE4164" w:rsidP="00EE4164">
      <w:pPr>
        <w:sectPr w:rsidR="00EE4164" w:rsidRPr="00FD50F6" w:rsidSect="00EE4164">
          <w:type w:val="continuous"/>
          <w:pgSz w:w="11906" w:h="16838"/>
          <w:pgMar w:top="1440" w:right="1797" w:bottom="1440" w:left="1797" w:header="851" w:footer="851" w:gutter="0"/>
          <w:pgNumType w:start="1"/>
          <w:cols w:space="720"/>
          <w:docGrid w:linePitch="492" w:charSpace="703"/>
        </w:sectPr>
      </w:pPr>
    </w:p>
    <w:p w14:paraId="7825E393" w14:textId="77777777" w:rsidR="00BC444B" w:rsidRPr="00FD50F6" w:rsidRDefault="00BC444B" w:rsidP="00BC444B">
      <w:pPr>
        <w:pStyle w:val="12"/>
      </w:pPr>
      <w:bookmarkStart w:id="27" w:name="_Toc78966724"/>
      <w:bookmarkStart w:id="28" w:name="_Toc112830641"/>
      <w:r w:rsidRPr="00FD50F6">
        <w:lastRenderedPageBreak/>
        <w:t>运营组织</w:t>
      </w:r>
      <w:bookmarkEnd w:id="27"/>
      <w:bookmarkEnd w:id="28"/>
    </w:p>
    <w:p w14:paraId="6098746A" w14:textId="77777777" w:rsidR="00BC444B" w:rsidRPr="00FD50F6" w:rsidRDefault="00BC444B" w:rsidP="00010C49">
      <w:pPr>
        <w:pStyle w:val="2"/>
        <w:numPr>
          <w:ilvl w:val="1"/>
          <w:numId w:val="48"/>
        </w:numPr>
      </w:pPr>
      <w:bookmarkStart w:id="29" w:name="_Toc235612113"/>
      <w:bookmarkStart w:id="30" w:name="_Toc306203649"/>
      <w:bookmarkStart w:id="31" w:name="_Toc320115609"/>
      <w:bookmarkStart w:id="32" w:name="_Toc320639517"/>
      <w:bookmarkStart w:id="33" w:name="_Toc344218696"/>
      <w:bookmarkStart w:id="34" w:name="_Toc78966725"/>
      <w:bookmarkStart w:id="35" w:name="_Toc112830642"/>
      <w:r w:rsidRPr="00FD50F6">
        <w:t>一般规定</w:t>
      </w:r>
      <w:bookmarkEnd w:id="29"/>
      <w:bookmarkEnd w:id="30"/>
      <w:bookmarkEnd w:id="31"/>
      <w:bookmarkEnd w:id="32"/>
      <w:bookmarkEnd w:id="33"/>
      <w:bookmarkEnd w:id="34"/>
      <w:bookmarkEnd w:id="35"/>
    </w:p>
    <w:p w14:paraId="53B6E3A5" w14:textId="77777777" w:rsidR="00BC444B" w:rsidRPr="00FD50F6" w:rsidRDefault="00BC444B" w:rsidP="00BC444B">
      <w:pPr>
        <w:pStyle w:val="30"/>
      </w:pPr>
      <w:r w:rsidRPr="00FD50F6">
        <w:t>运营组织设计应根据城市轨道交通线网规划、预测客流量和乘客出行需求，明确运营需求，确定</w:t>
      </w:r>
      <w:r w:rsidRPr="00FD50F6">
        <w:rPr>
          <w:rFonts w:hint="eastAsia"/>
        </w:rPr>
        <w:t>工程</w:t>
      </w:r>
      <w:r w:rsidRPr="00FD50F6">
        <w:t>的运营标准</w:t>
      </w:r>
      <w:r w:rsidRPr="00FD50F6">
        <w:rPr>
          <w:rFonts w:hint="eastAsia"/>
        </w:rPr>
        <w:t>、</w:t>
      </w:r>
      <w:r w:rsidRPr="00FD50F6">
        <w:t>运营规模、运营模式</w:t>
      </w:r>
      <w:r w:rsidRPr="00FD50F6">
        <w:rPr>
          <w:rFonts w:hint="eastAsia"/>
        </w:rPr>
        <w:t>、</w:t>
      </w:r>
      <w:r w:rsidRPr="00FD50F6">
        <w:t>运营配线和运营管理方式等。</w:t>
      </w:r>
    </w:p>
    <w:p w14:paraId="2A480251" w14:textId="6C988165" w:rsidR="00BC444B" w:rsidRPr="00FD50F6" w:rsidRDefault="00BC444B" w:rsidP="00BC444B">
      <w:pPr>
        <w:pStyle w:val="30"/>
      </w:pPr>
      <w:r w:rsidRPr="00FD50F6">
        <w:rPr>
          <w:rFonts w:hint="eastAsia"/>
        </w:rPr>
        <w:t>地铁</w:t>
      </w:r>
      <w:r w:rsidRPr="00FD50F6">
        <w:t>线路</w:t>
      </w:r>
      <w:r w:rsidRPr="00FD50F6">
        <w:rPr>
          <w:rFonts w:hint="eastAsia"/>
        </w:rPr>
        <w:t>运营组织设计应与线路功能层次定位及其特征需求相适应。地铁线路按功能层次定位应分为地铁普线、地铁快线和复合功能线路。</w:t>
      </w:r>
    </w:p>
    <w:p w14:paraId="278D9AF2" w14:textId="5B3D8869" w:rsidR="00BC444B" w:rsidRPr="00FD50F6" w:rsidRDefault="00BC444B" w:rsidP="00BC444B">
      <w:pPr>
        <w:pStyle w:val="30"/>
      </w:pPr>
      <w:r w:rsidRPr="00FD50F6">
        <w:rPr>
          <w:rFonts w:hint="eastAsia"/>
        </w:rPr>
        <w:t>经工程和运营经济性分析后，复合功能线路</w:t>
      </w:r>
      <w:r w:rsidRPr="00FD50F6">
        <w:t>可</w:t>
      </w:r>
      <w:r w:rsidRPr="00FD50F6">
        <w:rPr>
          <w:rFonts w:hint="eastAsia"/>
        </w:rPr>
        <w:t>分段确定技术标准，从全线角度，分区段、分时段地</w:t>
      </w:r>
      <w:r w:rsidRPr="00FD50F6">
        <w:t>进行</w:t>
      </w:r>
      <w:r w:rsidRPr="00FD50F6">
        <w:rPr>
          <w:rFonts w:hint="eastAsia"/>
        </w:rPr>
        <w:t>运营组织设计。</w:t>
      </w:r>
    </w:p>
    <w:p w14:paraId="7E7DEE42" w14:textId="5D394C27" w:rsidR="00BC444B" w:rsidRPr="00FD50F6" w:rsidRDefault="00BC444B" w:rsidP="00BC444B">
      <w:pPr>
        <w:pStyle w:val="30"/>
      </w:pPr>
      <w:r w:rsidRPr="00FD50F6">
        <w:rPr>
          <w:rFonts w:hint="eastAsia"/>
        </w:rPr>
        <w:t>客流预测</w:t>
      </w:r>
      <w:r w:rsidRPr="00FD50F6">
        <w:t>应以城市轨道交通线网为基础，结合各条线路的建设时序和沿线城市发展状况，预测初期、近期和远期的客流数据</w:t>
      </w:r>
      <w:r w:rsidRPr="00FD50F6">
        <w:rPr>
          <w:rFonts w:hint="eastAsia"/>
        </w:rPr>
        <w:t>。</w:t>
      </w:r>
      <w:r w:rsidRPr="00FD50F6">
        <w:t>预测内容应满足运营组织和相关专业设计要求</w:t>
      </w:r>
      <w:r w:rsidRPr="00FD50F6">
        <w:rPr>
          <w:rFonts w:hint="eastAsia"/>
        </w:rPr>
        <w:t>，</w:t>
      </w:r>
      <w:r w:rsidRPr="00FD50F6">
        <w:t>并应进行客流敏感性风险分析。复合功能线路宜分区</w:t>
      </w:r>
      <w:r w:rsidRPr="00FD50F6">
        <w:rPr>
          <w:rFonts w:hint="eastAsia"/>
        </w:rPr>
        <w:t>段、</w:t>
      </w:r>
      <w:r w:rsidRPr="00FD50F6">
        <w:t>分时段</w:t>
      </w:r>
      <w:r w:rsidRPr="00FD50F6">
        <w:rPr>
          <w:rFonts w:hint="eastAsia"/>
        </w:rPr>
        <w:t>进行</w:t>
      </w:r>
      <w:r w:rsidRPr="00FD50F6">
        <w:t>客流预测</w:t>
      </w:r>
      <w:r w:rsidRPr="00FD50F6">
        <w:rPr>
          <w:rFonts w:hint="eastAsia"/>
        </w:rPr>
        <w:t>。</w:t>
      </w:r>
    </w:p>
    <w:p w14:paraId="402A4A98" w14:textId="62A7125D" w:rsidR="00BC444B" w:rsidRPr="00FD50F6" w:rsidRDefault="00BC444B" w:rsidP="00BB08B4">
      <w:pPr>
        <w:pStyle w:val="30"/>
      </w:pPr>
      <w:r w:rsidRPr="00FD50F6">
        <w:rPr>
          <w:rFonts w:hint="eastAsia"/>
        </w:rPr>
        <w:t>地铁快线和复合功能线路的运营规模、行车组织、管理模式等应与快线功能不同设计年限出行时间目标要求相匹配。</w:t>
      </w:r>
    </w:p>
    <w:p w14:paraId="10C8279B" w14:textId="77777777" w:rsidR="00BC444B" w:rsidRPr="00FD50F6" w:rsidRDefault="00BC444B" w:rsidP="00BC444B">
      <w:pPr>
        <w:pStyle w:val="30"/>
      </w:pPr>
      <w:r w:rsidRPr="00FD50F6">
        <w:rPr>
          <w:rFonts w:hint="eastAsia"/>
        </w:rPr>
        <w:t>地铁线路应根据客流规模及特征、车辆选型和编组、运营组织模式、站立标准等，明确各设计年限运营规模和系统设计能力</w:t>
      </w:r>
      <w:r w:rsidRPr="00FD50F6">
        <w:t>。</w:t>
      </w:r>
    </w:p>
    <w:p w14:paraId="69A42E36" w14:textId="77777777" w:rsidR="00BC444B" w:rsidRPr="00FD50F6" w:rsidRDefault="00BC444B" w:rsidP="00BC444B">
      <w:pPr>
        <w:pStyle w:val="30"/>
      </w:pPr>
      <w:r w:rsidRPr="00FD50F6">
        <w:t>运营模式应明确行车组织、调度指挥、运营辅助系统、维修保障系统和人员组织等内容的管理模式，并应明确在各种运营状态下的管理方式，各子系统之间以及系统与人员组织之间的相互关系。</w:t>
      </w:r>
    </w:p>
    <w:p w14:paraId="5A8DC3B4" w14:textId="77777777" w:rsidR="00BC444B" w:rsidRPr="00FD50F6" w:rsidRDefault="00BC444B" w:rsidP="00BC444B">
      <w:pPr>
        <w:pStyle w:val="30"/>
      </w:pPr>
      <w:r w:rsidRPr="00FD50F6">
        <w:rPr>
          <w:rFonts w:hint="eastAsia"/>
        </w:rPr>
        <w:t>运营</w:t>
      </w:r>
      <w:r w:rsidRPr="00FD50F6">
        <w:t>配线设置</w:t>
      </w:r>
      <w:r w:rsidRPr="00FD50F6">
        <w:rPr>
          <w:rFonts w:hint="eastAsia"/>
        </w:rPr>
        <w:t>应满足运营安全、运营组织、运营救援、运营维修的需求，并应结合工程实施条件综合确定。</w:t>
      </w:r>
    </w:p>
    <w:p w14:paraId="0B99B46C" w14:textId="2F03FD79" w:rsidR="00BC444B" w:rsidRPr="00FD50F6" w:rsidRDefault="00BC444B" w:rsidP="00BC444B">
      <w:pPr>
        <w:pStyle w:val="30"/>
      </w:pPr>
      <w:r w:rsidRPr="00FD50F6">
        <w:rPr>
          <w:rFonts w:hint="eastAsia"/>
        </w:rPr>
        <w:t>地铁快线应</w:t>
      </w:r>
      <w:r w:rsidR="005416E6">
        <w:rPr>
          <w:rFonts w:hint="eastAsia"/>
        </w:rPr>
        <w:t>将</w:t>
      </w:r>
      <w:r w:rsidRPr="00FD50F6">
        <w:rPr>
          <w:rFonts w:hint="eastAsia"/>
        </w:rPr>
        <w:t>乘客出行时间目标需求</w:t>
      </w:r>
      <w:r w:rsidRPr="00FD50F6">
        <w:t>作</w:t>
      </w:r>
      <w:r w:rsidRPr="00FD50F6">
        <w:rPr>
          <w:rFonts w:hint="eastAsia"/>
        </w:rPr>
        <w:t>为确定</w:t>
      </w:r>
      <w:r w:rsidRPr="00FD50F6">
        <w:t>旅行速度和最高速度标准的重要</w:t>
      </w:r>
      <w:r w:rsidRPr="00FD50F6">
        <w:rPr>
          <w:rFonts w:hint="eastAsia"/>
        </w:rPr>
        <w:t>指标</w:t>
      </w:r>
      <w:r w:rsidRPr="00FD50F6">
        <w:t>。当旅行速度不满足时间目标要求时</w:t>
      </w:r>
      <w:r w:rsidRPr="00FD50F6">
        <w:rPr>
          <w:rFonts w:hint="eastAsia"/>
        </w:rPr>
        <w:t>，</w:t>
      </w:r>
      <w:r w:rsidRPr="00FD50F6">
        <w:t>应</w:t>
      </w:r>
      <w:r w:rsidRPr="00FD50F6">
        <w:rPr>
          <w:rFonts w:hint="eastAsia"/>
        </w:rPr>
        <w:t>通过</w:t>
      </w:r>
      <w:r w:rsidRPr="00FD50F6">
        <w:t>行车组织</w:t>
      </w:r>
      <w:r w:rsidRPr="00FD50F6">
        <w:rPr>
          <w:rFonts w:hint="eastAsia"/>
        </w:rPr>
        <w:t>模式</w:t>
      </w:r>
      <w:r w:rsidRPr="00FD50F6">
        <w:t>实现时间目标要求</w:t>
      </w:r>
      <w:r w:rsidRPr="00FD50F6">
        <w:rPr>
          <w:rFonts w:hint="eastAsia"/>
        </w:rPr>
        <w:t>。</w:t>
      </w:r>
    </w:p>
    <w:p w14:paraId="22960555" w14:textId="65ED770C" w:rsidR="00BC444B" w:rsidRPr="00FD50F6" w:rsidRDefault="00BC444B" w:rsidP="00BC444B">
      <w:pPr>
        <w:pStyle w:val="30"/>
      </w:pPr>
      <w:r w:rsidRPr="00FD50F6">
        <w:t>运营状态应包含正常运营状态、非正常运营状态和紧急运营状态。系统的运营必须在</w:t>
      </w:r>
      <w:r w:rsidR="00781FC9">
        <w:t>满足</w:t>
      </w:r>
      <w:r w:rsidRPr="00FD50F6">
        <w:t>所有使用该系统的人员和乘客以及系统设施安全的情况下实</w:t>
      </w:r>
      <w:r w:rsidRPr="00FD50F6">
        <w:lastRenderedPageBreak/>
        <w:t>施。</w:t>
      </w:r>
    </w:p>
    <w:p w14:paraId="70574253" w14:textId="6C65F510" w:rsidR="00BC444B" w:rsidRPr="00FD50F6" w:rsidRDefault="00BC444B" w:rsidP="004E622B">
      <w:pPr>
        <w:pStyle w:val="30"/>
      </w:pPr>
      <w:r w:rsidRPr="00FD50F6">
        <w:rPr>
          <w:rFonts w:hint="eastAsia"/>
        </w:rPr>
        <w:t>地铁线路</w:t>
      </w:r>
      <w:r w:rsidR="00781FC9">
        <w:rPr>
          <w:rFonts w:hint="eastAsia"/>
        </w:rPr>
        <w:t>应</w:t>
      </w:r>
      <w:r w:rsidRPr="00FD50F6">
        <w:rPr>
          <w:rFonts w:hint="eastAsia"/>
        </w:rPr>
        <w:t>统一调度指挥，</w:t>
      </w:r>
      <w:r w:rsidR="00781FC9">
        <w:rPr>
          <w:rFonts w:hint="eastAsia"/>
        </w:rPr>
        <w:t>并</w:t>
      </w:r>
      <w:r w:rsidRPr="00FD50F6">
        <w:rPr>
          <w:rFonts w:hint="eastAsia"/>
        </w:rPr>
        <w:t>应推广应用网络化、大数据、智能化等先进技术。</w:t>
      </w:r>
    </w:p>
    <w:p w14:paraId="190F6CFB" w14:textId="77777777" w:rsidR="00BC444B" w:rsidRPr="00FD50F6" w:rsidRDefault="00BC444B" w:rsidP="00A65181">
      <w:pPr>
        <w:pStyle w:val="2"/>
      </w:pPr>
      <w:bookmarkStart w:id="36" w:name="_Toc112830643"/>
      <w:bookmarkStart w:id="37" w:name="_Toc78966726"/>
      <w:bookmarkStart w:id="38" w:name="_Toc112830644"/>
      <w:bookmarkStart w:id="39" w:name="_Toc235612114"/>
      <w:bookmarkStart w:id="40" w:name="_Toc306203650"/>
      <w:bookmarkStart w:id="41" w:name="_Toc320115610"/>
      <w:bookmarkStart w:id="42" w:name="_Toc320639518"/>
      <w:bookmarkStart w:id="43" w:name="_Toc344218697"/>
      <w:bookmarkEnd w:id="36"/>
      <w:r w:rsidRPr="00FD50F6">
        <w:t>设计运输能力及</w:t>
      </w:r>
      <w:r w:rsidRPr="00FD50F6">
        <w:rPr>
          <w:rFonts w:hint="eastAsia"/>
        </w:rPr>
        <w:t>配车</w:t>
      </w:r>
      <w:bookmarkEnd w:id="37"/>
      <w:bookmarkEnd w:id="38"/>
    </w:p>
    <w:p w14:paraId="182DA0AE" w14:textId="338CAC81" w:rsidR="00BC444B" w:rsidRPr="00FD50F6" w:rsidRDefault="00BC444B" w:rsidP="00BC444B">
      <w:pPr>
        <w:pStyle w:val="30"/>
      </w:pPr>
      <w:r w:rsidRPr="00FD50F6">
        <w:t>设计</w:t>
      </w:r>
      <w:r w:rsidRPr="00FD50F6">
        <w:rPr>
          <w:rFonts w:hint="eastAsia"/>
        </w:rPr>
        <w:t>运输能力</w:t>
      </w:r>
      <w:r w:rsidR="00D5241E">
        <w:rPr>
          <w:rFonts w:hint="eastAsia"/>
        </w:rPr>
        <w:t>应</w:t>
      </w:r>
      <w:r w:rsidRPr="00FD50F6">
        <w:rPr>
          <w:rFonts w:hint="eastAsia"/>
        </w:rPr>
        <w:t>在分析预测客流数据的基础上，根据沿线用地规划和乘客出行特征、客流断面分布特征、客流变化风险等多种因素综合确定</w:t>
      </w:r>
      <w:r w:rsidRPr="00151E22">
        <w:rPr>
          <w:rFonts w:hint="eastAsia"/>
        </w:rPr>
        <w:t>。</w:t>
      </w:r>
      <w:r w:rsidRPr="00FD50F6">
        <w:rPr>
          <w:rFonts w:hint="eastAsia"/>
        </w:rPr>
        <w:t>设计</w:t>
      </w:r>
      <w:r w:rsidRPr="00151E22">
        <w:rPr>
          <w:rFonts w:hint="eastAsia"/>
        </w:rPr>
        <w:t>运输能力</w:t>
      </w:r>
      <w:r w:rsidRPr="00FD50F6">
        <w:rPr>
          <w:rFonts w:asciiTheme="minorHAnsi" w:hAnsiTheme="minorHAnsi" w:hint="eastAsia"/>
          <w:bCs w:val="0"/>
          <w:szCs w:val="21"/>
        </w:rPr>
        <w:t>应在</w:t>
      </w:r>
      <w:r w:rsidRPr="00FD50F6">
        <w:rPr>
          <w:rFonts w:hint="eastAsia"/>
        </w:rPr>
        <w:t>扣除高峰小时客流断面的最高三个客流断面值后，按列车设计载客量设计运输能力，并</w:t>
      </w:r>
      <w:r w:rsidR="00F65BC7" w:rsidRPr="003A3A26">
        <w:rPr>
          <w:rFonts w:hint="eastAsia"/>
        </w:rPr>
        <w:t>宜</w:t>
      </w:r>
      <w:r w:rsidRPr="00FD50F6">
        <w:rPr>
          <w:rFonts w:hint="eastAsia"/>
        </w:rPr>
        <w:t>留有</w:t>
      </w:r>
      <w:r w:rsidRPr="00FD50F6">
        <w:t>10%</w:t>
      </w:r>
      <w:r w:rsidRPr="00FD50F6">
        <w:rPr>
          <w:rFonts w:hint="eastAsia"/>
        </w:rPr>
        <w:t>左右的运能裕量。</w:t>
      </w:r>
    </w:p>
    <w:p w14:paraId="297A0050" w14:textId="05CE72C8" w:rsidR="00BC444B" w:rsidRPr="00FD50F6" w:rsidRDefault="00BC444B" w:rsidP="00BC444B">
      <w:pPr>
        <w:pStyle w:val="30"/>
      </w:pPr>
      <w:r w:rsidRPr="00FD50F6">
        <w:t>地铁普线车厢站席密度</w:t>
      </w:r>
      <w:r w:rsidRPr="00FD50F6">
        <w:rPr>
          <w:rFonts w:hint="eastAsia"/>
        </w:rPr>
        <w:t>宜按</w:t>
      </w:r>
      <w:r w:rsidRPr="00FD50F6">
        <w:t>每平</w:t>
      </w:r>
      <w:r w:rsidR="00151E22">
        <w:rPr>
          <w:rFonts w:hint="eastAsia"/>
        </w:rPr>
        <w:t>方</w:t>
      </w:r>
      <w:r w:rsidRPr="00FD50F6">
        <w:t>米</w:t>
      </w:r>
      <w:r w:rsidRPr="00FD50F6">
        <w:rPr>
          <w:rFonts w:hint="eastAsia"/>
        </w:rPr>
        <w:t>5</w:t>
      </w:r>
      <w:r w:rsidR="00EC5930">
        <w:rPr>
          <w:rFonts w:hint="eastAsia"/>
        </w:rPr>
        <w:t>人</w:t>
      </w:r>
      <w:r w:rsidRPr="00FD50F6">
        <w:rPr>
          <w:rFonts w:hint="eastAsia"/>
        </w:rPr>
        <w:t>计算设计载客量；地铁快线</w:t>
      </w:r>
      <w:r w:rsidRPr="00FD50F6">
        <w:t>车厢站席</w:t>
      </w:r>
      <w:r w:rsidRPr="00FD50F6">
        <w:rPr>
          <w:rFonts w:hint="eastAsia"/>
        </w:rPr>
        <w:t>密度宜按每平</w:t>
      </w:r>
      <w:r w:rsidR="00151E22">
        <w:rPr>
          <w:rFonts w:hint="eastAsia"/>
        </w:rPr>
        <w:t>方</w:t>
      </w:r>
      <w:r w:rsidRPr="00FD50F6">
        <w:rPr>
          <w:rFonts w:hint="eastAsia"/>
        </w:rPr>
        <w:t>米</w:t>
      </w:r>
      <w:r w:rsidRPr="00FD50F6">
        <w:rPr>
          <w:rFonts w:hint="eastAsia"/>
        </w:rPr>
        <w:t>4</w:t>
      </w:r>
      <w:r w:rsidRPr="00FD50F6">
        <w:rPr>
          <w:rFonts w:hint="eastAsia"/>
        </w:rPr>
        <w:t>人计算设计载客量；当线路对舒适度、安全性有特殊要求时，</w:t>
      </w:r>
      <w:r w:rsidR="00EC5930">
        <w:rPr>
          <w:rFonts w:hint="eastAsia"/>
        </w:rPr>
        <w:t>应</w:t>
      </w:r>
      <w:r w:rsidRPr="00FD50F6">
        <w:rPr>
          <w:rFonts w:hint="eastAsia"/>
        </w:rPr>
        <w:t>经分析研究后另行确定车厢站席密度计算设计载客量。</w:t>
      </w:r>
    </w:p>
    <w:p w14:paraId="453C13AB" w14:textId="5C1612D5" w:rsidR="00BC444B" w:rsidRPr="00FD50F6" w:rsidRDefault="00BC444B" w:rsidP="00BC444B">
      <w:pPr>
        <w:pStyle w:val="30"/>
      </w:pPr>
      <w:r w:rsidRPr="00FD50F6">
        <w:t>系统设计能力应</w:t>
      </w:r>
      <w:r w:rsidR="00EC5930">
        <w:t>符合下列</w:t>
      </w:r>
      <w:r w:rsidRPr="00FD50F6">
        <w:t>规定：</w:t>
      </w:r>
    </w:p>
    <w:p w14:paraId="2CCB6263" w14:textId="2A4985FF" w:rsidR="00BC444B" w:rsidRPr="00FD50F6" w:rsidRDefault="00BC444B" w:rsidP="00A926BD">
      <w:pPr>
        <w:pStyle w:val="4"/>
      </w:pPr>
      <w:r w:rsidRPr="00FD50F6">
        <w:rPr>
          <w:rFonts w:hint="eastAsia"/>
        </w:rPr>
        <w:t>地铁普线</w:t>
      </w:r>
      <w:r w:rsidRPr="00FD50F6">
        <w:t>远期系统设计能力应满足行车密度不小于</w:t>
      </w:r>
      <w:r w:rsidRPr="00FD50F6">
        <w:t>30</w:t>
      </w:r>
      <w:r w:rsidRPr="00FD50F6">
        <w:t>对</w:t>
      </w:r>
      <w:r w:rsidRPr="00FD50F6">
        <w:t>/h</w:t>
      </w:r>
      <w:r w:rsidRPr="00FD50F6">
        <w:t>的要求</w:t>
      </w:r>
      <w:r w:rsidR="005E4AA9">
        <w:rPr>
          <w:rFonts w:hint="eastAsia"/>
        </w:rPr>
        <w:t>。</w:t>
      </w:r>
    </w:p>
    <w:p w14:paraId="118A2C96" w14:textId="61A648AC" w:rsidR="00BC444B" w:rsidRPr="00FD50F6" w:rsidRDefault="00BC444B" w:rsidP="00A926BD">
      <w:pPr>
        <w:pStyle w:val="4"/>
      </w:pPr>
      <w:r w:rsidRPr="00FD50F6">
        <w:rPr>
          <w:rFonts w:hint="eastAsia"/>
        </w:rPr>
        <w:t>地铁快线远期系统设计能力应满足行车密度不小于</w:t>
      </w:r>
      <w:r w:rsidRPr="00FD50F6">
        <w:t xml:space="preserve">24 </w:t>
      </w:r>
      <w:r w:rsidRPr="00FD50F6">
        <w:rPr>
          <w:rFonts w:hint="eastAsia"/>
        </w:rPr>
        <w:t>对</w:t>
      </w:r>
      <w:r w:rsidRPr="00FD50F6">
        <w:t>/h</w:t>
      </w:r>
      <w:r w:rsidRPr="00FD50F6">
        <w:t>的要求</w:t>
      </w:r>
      <w:r w:rsidRPr="00FD50F6">
        <w:rPr>
          <w:rFonts w:hint="eastAsia"/>
        </w:rPr>
        <w:t>；采用快慢车行车组织模式的地铁快线，系统设计能力应满足行车密度不小于</w:t>
      </w:r>
      <w:r w:rsidRPr="00FD50F6">
        <w:t>20</w:t>
      </w:r>
      <w:r w:rsidRPr="00FD50F6">
        <w:rPr>
          <w:rFonts w:hint="eastAsia"/>
        </w:rPr>
        <w:t>对</w:t>
      </w:r>
      <w:r w:rsidRPr="00FD50F6">
        <w:t>/h</w:t>
      </w:r>
      <w:r w:rsidRPr="00FD50F6">
        <w:rPr>
          <w:rFonts w:hint="eastAsia"/>
        </w:rPr>
        <w:t>的要求</w:t>
      </w:r>
      <w:r w:rsidR="005E4AA9">
        <w:rPr>
          <w:rFonts w:hint="eastAsia"/>
        </w:rPr>
        <w:t>。</w:t>
      </w:r>
    </w:p>
    <w:p w14:paraId="7CDD27F1" w14:textId="433EE1CD" w:rsidR="00BC444B" w:rsidRPr="00FD50F6" w:rsidRDefault="00BC444B" w:rsidP="00A926BD">
      <w:pPr>
        <w:pStyle w:val="4"/>
      </w:pPr>
      <w:r w:rsidRPr="00FD50F6">
        <w:rPr>
          <w:rFonts w:hint="eastAsia"/>
        </w:rPr>
        <w:t>设备配置能力应满足</w:t>
      </w:r>
      <w:r w:rsidRPr="00FD50F6">
        <w:t>线路</w:t>
      </w:r>
      <w:r w:rsidRPr="00FD50F6">
        <w:rPr>
          <w:rFonts w:hint="eastAsia"/>
        </w:rPr>
        <w:t>不同设计年限行车组织对最小行车间隔</w:t>
      </w:r>
      <w:r w:rsidR="005E4AA9">
        <w:rPr>
          <w:rFonts w:hint="eastAsia"/>
        </w:rPr>
        <w:t>的</w:t>
      </w:r>
      <w:r w:rsidRPr="00FD50F6">
        <w:rPr>
          <w:rFonts w:hint="eastAsia"/>
        </w:rPr>
        <w:t>要求</w:t>
      </w:r>
      <w:r w:rsidR="005E4AA9">
        <w:rPr>
          <w:rFonts w:hint="eastAsia"/>
        </w:rPr>
        <w:t>。</w:t>
      </w:r>
    </w:p>
    <w:p w14:paraId="4B524442" w14:textId="77777777" w:rsidR="00BC444B" w:rsidRPr="00FD50F6" w:rsidRDefault="00BC444B" w:rsidP="00BC444B">
      <w:pPr>
        <w:pStyle w:val="30"/>
      </w:pPr>
      <w:r w:rsidRPr="00FD50F6">
        <w:rPr>
          <w:rFonts w:hint="eastAsia"/>
        </w:rPr>
        <w:t>列车编组应符合下列规定：</w:t>
      </w:r>
    </w:p>
    <w:p w14:paraId="2E116D9F" w14:textId="5E693DDA" w:rsidR="00BC444B" w:rsidRPr="00FD50F6" w:rsidRDefault="00BC444B" w:rsidP="00A926BD">
      <w:pPr>
        <w:pStyle w:val="4"/>
      </w:pPr>
      <w:r w:rsidRPr="00FD50F6">
        <w:rPr>
          <w:rFonts w:hint="eastAsia"/>
        </w:rPr>
        <w:t>列车编组数应分别根据预测的初期、近期和远期的客流量，综合车辆选型、行车组织方案、技术经济比较确定。初期、近期宜采用相同的列车编组，当远期列车编组与初</w:t>
      </w:r>
      <w:r w:rsidR="00B41C08">
        <w:rPr>
          <w:rFonts w:hint="eastAsia"/>
        </w:rPr>
        <w:t>期</w:t>
      </w:r>
      <w:r w:rsidRPr="00FD50F6">
        <w:rPr>
          <w:rFonts w:hint="eastAsia"/>
        </w:rPr>
        <w:t>、近期不相同时，应按远期车辆的扩编要求预留条件</w:t>
      </w:r>
      <w:r w:rsidR="00B41C08">
        <w:rPr>
          <w:rFonts w:hint="eastAsia"/>
        </w:rPr>
        <w:t>。</w:t>
      </w:r>
    </w:p>
    <w:p w14:paraId="6DA737D6" w14:textId="0676BFDF" w:rsidR="00BC444B" w:rsidRPr="00FD50F6" w:rsidRDefault="00BC444B" w:rsidP="00A926BD">
      <w:pPr>
        <w:pStyle w:val="4"/>
      </w:pPr>
      <w:r w:rsidRPr="00FD50F6">
        <w:rPr>
          <w:rFonts w:hint="eastAsia"/>
        </w:rPr>
        <w:t>经技术经济方案比选及风险分析后，地铁快线可适当加长远期列车编组，或预留远期加长列车编组的土建条件</w:t>
      </w:r>
      <w:r w:rsidR="00B41C08">
        <w:rPr>
          <w:rFonts w:hint="eastAsia"/>
        </w:rPr>
        <w:t>。</w:t>
      </w:r>
    </w:p>
    <w:p w14:paraId="43160D18" w14:textId="1FF79DFA" w:rsidR="00BC444B" w:rsidRPr="00FD50F6" w:rsidRDefault="00BC444B" w:rsidP="00A926BD">
      <w:pPr>
        <w:pStyle w:val="4"/>
      </w:pPr>
      <w:r w:rsidRPr="00FD50F6">
        <w:rPr>
          <w:rFonts w:hint="eastAsia"/>
        </w:rPr>
        <w:t>当快线与中心城区轨道交通线路贯通运营或组织列车跨线运营时，宜与中心城区轨道交通线路列车编组保持一致；经技术、经济比较分析后，可采用不同编组混合运行。</w:t>
      </w:r>
    </w:p>
    <w:p w14:paraId="40013167" w14:textId="12AD48EC" w:rsidR="00BC444B" w:rsidRPr="00FD50F6" w:rsidRDefault="00BC444B" w:rsidP="00BC444B">
      <w:pPr>
        <w:pStyle w:val="30"/>
      </w:pPr>
      <w:r w:rsidRPr="00FD50F6">
        <w:t>地铁线路</w:t>
      </w:r>
      <w:r w:rsidRPr="00FD50F6">
        <w:rPr>
          <w:rFonts w:hint="eastAsia"/>
        </w:rPr>
        <w:t>宜</w:t>
      </w:r>
      <w:r w:rsidRPr="00FD50F6">
        <w:t>按远期交路控制系统规模</w:t>
      </w:r>
      <w:r w:rsidRPr="00FD50F6">
        <w:rPr>
          <w:rFonts w:hint="eastAsia"/>
        </w:rPr>
        <w:t>，</w:t>
      </w:r>
      <w:r w:rsidRPr="00FD50F6">
        <w:t>经论证和经济分析后</w:t>
      </w:r>
      <w:r w:rsidRPr="00FD50F6">
        <w:rPr>
          <w:rFonts w:hint="eastAsia"/>
        </w:rPr>
        <w:t>，也</w:t>
      </w:r>
      <w:r w:rsidRPr="00FD50F6">
        <w:t>可按全线单一交路进行控制</w:t>
      </w:r>
      <w:r w:rsidRPr="00FD50F6">
        <w:rPr>
          <w:rFonts w:hint="eastAsia"/>
        </w:rPr>
        <w:t>。</w:t>
      </w:r>
    </w:p>
    <w:p w14:paraId="08D1148A" w14:textId="77777777" w:rsidR="00BC444B" w:rsidRPr="00FD50F6" w:rsidRDefault="00BC444B" w:rsidP="00BC444B">
      <w:pPr>
        <w:pStyle w:val="30"/>
      </w:pPr>
      <w:r w:rsidRPr="00FD50F6">
        <w:rPr>
          <w:rFonts w:hint="eastAsia"/>
        </w:rPr>
        <w:lastRenderedPageBreak/>
        <w:t>地铁线路列车配属应符合下列规定：</w:t>
      </w:r>
    </w:p>
    <w:p w14:paraId="580D969F" w14:textId="1CD33A09" w:rsidR="00BC444B" w:rsidRPr="00FD50F6" w:rsidRDefault="00BC444B" w:rsidP="00A926BD">
      <w:pPr>
        <w:pStyle w:val="4"/>
      </w:pPr>
      <w:r w:rsidRPr="00FD50F6">
        <w:t>新建线路运用车数量应根据</w:t>
      </w:r>
      <w:r w:rsidRPr="00FD50F6">
        <w:rPr>
          <w:rFonts w:hint="eastAsia"/>
        </w:rPr>
        <w:t>各设计年限的列车</w:t>
      </w:r>
      <w:r w:rsidRPr="00FD50F6">
        <w:t>运行交路经计算确定</w:t>
      </w:r>
      <w:r w:rsidRPr="00FD50F6">
        <w:rPr>
          <w:rFonts w:hint="eastAsia"/>
        </w:rPr>
        <w:t>；备用车应基于线路特征，结合线路行车组织和故障列车备用替换需要进行配置；</w:t>
      </w:r>
      <w:r w:rsidRPr="00FD50F6">
        <w:t>运用车和备用车宜按初期需要进行配置</w:t>
      </w:r>
      <w:r w:rsidR="00B41C08">
        <w:rPr>
          <w:rFonts w:hint="eastAsia"/>
        </w:rPr>
        <w:t>。</w:t>
      </w:r>
    </w:p>
    <w:p w14:paraId="1C583D36" w14:textId="6E663CDD" w:rsidR="00BC444B" w:rsidRPr="00FD50F6" w:rsidRDefault="00BC444B" w:rsidP="00A926BD">
      <w:pPr>
        <w:pStyle w:val="4"/>
      </w:pPr>
      <w:r w:rsidRPr="00FD50F6">
        <w:t>当已实现网络化运营时</w:t>
      </w:r>
      <w:r w:rsidRPr="00FD50F6">
        <w:rPr>
          <w:rFonts w:hint="eastAsia"/>
        </w:rPr>
        <w:t>，</w:t>
      </w:r>
      <w:r w:rsidRPr="00FD50F6">
        <w:t>新线运用车可按与相交运营线路的运营组织方案适度匹配或按近期需要进行</w:t>
      </w:r>
      <w:r w:rsidRPr="00FD50F6">
        <w:rPr>
          <w:rFonts w:hint="eastAsia"/>
        </w:rPr>
        <w:t>配置</w:t>
      </w:r>
      <w:r w:rsidR="00B41C08">
        <w:rPr>
          <w:rFonts w:hint="eastAsia"/>
        </w:rPr>
        <w:t>。</w:t>
      </w:r>
    </w:p>
    <w:p w14:paraId="0031063B" w14:textId="6339E311" w:rsidR="00BC444B" w:rsidRPr="00FD50F6" w:rsidRDefault="00BC444B" w:rsidP="00A926BD">
      <w:pPr>
        <w:pStyle w:val="4"/>
      </w:pPr>
      <w:r w:rsidRPr="00FD50F6">
        <w:rPr>
          <w:rFonts w:hint="eastAsia"/>
        </w:rPr>
        <w:t>实现互联互通运营的两条或多条线路，可按两线或多条线路统筹配置备用车。</w:t>
      </w:r>
    </w:p>
    <w:p w14:paraId="74F20542" w14:textId="77777777" w:rsidR="00BC444B" w:rsidRPr="00FD50F6" w:rsidRDefault="00BC444B" w:rsidP="007E1758">
      <w:pPr>
        <w:pStyle w:val="2"/>
      </w:pPr>
      <w:bookmarkStart w:id="44" w:name="_Toc112830645"/>
      <w:bookmarkStart w:id="45" w:name="_Toc78966727"/>
      <w:bookmarkStart w:id="46" w:name="_Toc112830646"/>
      <w:bookmarkEnd w:id="44"/>
      <w:r w:rsidRPr="00FD50F6">
        <w:rPr>
          <w:rFonts w:hint="eastAsia"/>
        </w:rPr>
        <w:t>速度</w:t>
      </w:r>
      <w:r w:rsidRPr="00FD50F6">
        <w:t>标准</w:t>
      </w:r>
      <w:bookmarkEnd w:id="45"/>
      <w:bookmarkEnd w:id="46"/>
    </w:p>
    <w:p w14:paraId="03C09F9B" w14:textId="10C6B232" w:rsidR="00BC444B" w:rsidRPr="00FD50F6" w:rsidRDefault="00BC444B" w:rsidP="00BC444B">
      <w:pPr>
        <w:pStyle w:val="30"/>
      </w:pPr>
      <w:r w:rsidRPr="00FD50F6">
        <w:rPr>
          <w:rFonts w:hint="eastAsia"/>
        </w:rPr>
        <w:t>最高运行速度应满足线路功能定位、规划出行时间目标要求，并应与敷设方式、线路条件、站间距等工程特征相适应；当线路工程特征和客流特征差异性较大时，同一条线路可分段制定工程建设的最高速度标准。</w:t>
      </w:r>
    </w:p>
    <w:p w14:paraId="0FB79CB5" w14:textId="7F5046D4" w:rsidR="00BC444B" w:rsidRPr="00FD50F6" w:rsidRDefault="00BC444B" w:rsidP="00BC444B">
      <w:pPr>
        <w:pStyle w:val="30"/>
      </w:pPr>
      <w:r w:rsidRPr="00FD50F6">
        <w:t>列车旅行速度应根据列车技术性能、线路条件、</w:t>
      </w:r>
      <w:r w:rsidRPr="00FD50F6">
        <w:rPr>
          <w:rFonts w:hint="eastAsia"/>
        </w:rPr>
        <w:t>站间距</w:t>
      </w:r>
      <w:r w:rsidRPr="00FD50F6">
        <w:t>和</w:t>
      </w:r>
      <w:r w:rsidRPr="00FD50F6">
        <w:rPr>
          <w:rFonts w:hint="eastAsia"/>
        </w:rPr>
        <w:t>停站时间</w:t>
      </w:r>
      <w:r w:rsidRPr="00FD50F6">
        <w:t>等综合确定，且在计算旅行速度的基础上应留有</w:t>
      </w:r>
      <w:r w:rsidRPr="00FD50F6">
        <w:rPr>
          <w:rFonts w:hint="eastAsia"/>
        </w:rPr>
        <w:t>不大于</w:t>
      </w:r>
      <w:r w:rsidRPr="00FD50F6">
        <w:rPr>
          <w:rFonts w:hint="eastAsia"/>
        </w:rPr>
        <w:t>10%</w:t>
      </w:r>
      <w:r w:rsidRPr="00FD50F6">
        <w:t>的裕量。</w:t>
      </w:r>
    </w:p>
    <w:p w14:paraId="1203835B" w14:textId="3EC8FBE3" w:rsidR="00BC444B" w:rsidRPr="00FD50F6" w:rsidRDefault="00BC444B" w:rsidP="00BC444B">
      <w:pPr>
        <w:pStyle w:val="30"/>
      </w:pPr>
      <w:r w:rsidRPr="00FD50F6">
        <w:t>在正常运行状态下，列车启动前应通过目视或技术手段确认车门关闭。非全自动运行线路</w:t>
      </w:r>
      <w:r w:rsidRPr="00FD50F6">
        <w:rPr>
          <w:rFonts w:hint="eastAsia"/>
        </w:rPr>
        <w:t>，</w:t>
      </w:r>
      <w:r w:rsidRPr="00FD50F6">
        <w:t>有站台屏蔽门的车站列车开关门时间不宜大于</w:t>
      </w:r>
      <w:r w:rsidRPr="00FD50F6">
        <w:t>17s</w:t>
      </w:r>
      <w:r w:rsidRPr="00FD50F6">
        <w:t>；无站台屏蔽门的车站不宜大于</w:t>
      </w:r>
      <w:r w:rsidRPr="00FD50F6">
        <w:t>15s</w:t>
      </w:r>
      <w:r w:rsidRPr="00FD50F6">
        <w:rPr>
          <w:rFonts w:hint="eastAsia"/>
        </w:rPr>
        <w:t>。全自动运行线路，开关门时间取值应在此基础上减少</w:t>
      </w:r>
      <w:r w:rsidRPr="00FD50F6">
        <w:rPr>
          <w:rFonts w:hint="eastAsia"/>
        </w:rPr>
        <w:t>3</w:t>
      </w:r>
      <w:r w:rsidR="007E1758" w:rsidRPr="00FD50F6">
        <w:t>s</w:t>
      </w:r>
      <w:r w:rsidR="007E1758" w:rsidRPr="00FD50F6">
        <w:rPr>
          <w:rFonts w:hint="eastAsia"/>
        </w:rPr>
        <w:t xml:space="preserve"> </w:t>
      </w:r>
      <w:r w:rsidR="007E1758">
        <w:t>~</w:t>
      </w:r>
      <w:r w:rsidRPr="00FD50F6">
        <w:t>5</w:t>
      </w:r>
      <w:bookmarkStart w:id="47" w:name="_Hlk113613931"/>
      <w:r w:rsidRPr="00FD50F6">
        <w:t>s</w:t>
      </w:r>
      <w:bookmarkEnd w:id="47"/>
      <w:r w:rsidRPr="00FD50F6">
        <w:rPr>
          <w:rFonts w:hint="eastAsia"/>
        </w:rPr>
        <w:t>。</w:t>
      </w:r>
    </w:p>
    <w:p w14:paraId="2BD2E4FE" w14:textId="7934745A" w:rsidR="00BC444B" w:rsidRPr="00FD50F6" w:rsidRDefault="00BC444B" w:rsidP="00BC444B">
      <w:pPr>
        <w:pStyle w:val="30"/>
        <w:rPr>
          <w:b/>
        </w:rPr>
      </w:pPr>
      <w:r w:rsidRPr="00FD50F6">
        <w:t>在站台计算长度范围内</w:t>
      </w:r>
      <w:r w:rsidRPr="00FD50F6">
        <w:rPr>
          <w:rFonts w:hint="eastAsia"/>
        </w:rPr>
        <w:t>，</w:t>
      </w:r>
      <w:r w:rsidRPr="00FD50F6">
        <w:t>列车进入站台范围的最高限制速度，应符合下列规定：</w:t>
      </w:r>
    </w:p>
    <w:p w14:paraId="54A7C12F" w14:textId="0C0FCAC6" w:rsidR="00BC444B" w:rsidRPr="00FD50F6" w:rsidRDefault="007E1758" w:rsidP="00A926BD">
      <w:pPr>
        <w:pStyle w:val="4"/>
      </w:pPr>
      <w:r>
        <w:rPr>
          <w:rFonts w:hint="eastAsia"/>
        </w:rPr>
        <w:t>当</w:t>
      </w:r>
      <w:r w:rsidR="00BC444B" w:rsidRPr="00FD50F6">
        <w:t>不设站台屏蔽门时，列车进入站台的最高限制速度</w:t>
      </w:r>
      <w:r w:rsidR="00BC444B" w:rsidRPr="00FD50F6">
        <w:rPr>
          <w:rFonts w:hint="eastAsia"/>
        </w:rPr>
        <w:t>应</w:t>
      </w:r>
      <w:r w:rsidR="00BC444B" w:rsidRPr="00FD50F6">
        <w:t>符合</w:t>
      </w:r>
      <w:r w:rsidR="00BC444B" w:rsidRPr="00FD50F6">
        <w:rPr>
          <w:rFonts w:hint="eastAsia"/>
        </w:rPr>
        <w:t>现行国家标准</w:t>
      </w:r>
      <w:r w:rsidR="005B7F1E" w:rsidRPr="00606091">
        <w:rPr>
          <w:rFonts w:hint="eastAsia"/>
        </w:rPr>
        <w:t>《城市轨道交通工程项目规范》</w:t>
      </w:r>
      <w:r w:rsidR="005B7F1E" w:rsidRPr="00606091">
        <w:t>GB 55033</w:t>
      </w:r>
      <w:r w:rsidR="00BC444B" w:rsidRPr="00FD50F6">
        <w:t>的规定</w:t>
      </w:r>
      <w:r w:rsidR="00192BE0">
        <w:t>。</w:t>
      </w:r>
    </w:p>
    <w:p w14:paraId="42AB0AE8" w14:textId="373A2E5C" w:rsidR="00BC444B" w:rsidRPr="00FD50F6" w:rsidRDefault="00C80FC8" w:rsidP="00A926BD">
      <w:pPr>
        <w:pStyle w:val="4"/>
      </w:pPr>
      <w:r>
        <w:rPr>
          <w:rFonts w:hint="eastAsia"/>
        </w:rPr>
        <w:t>当</w:t>
      </w:r>
      <w:r w:rsidR="00BC444B" w:rsidRPr="00FD50F6">
        <w:t>设站台屏蔽门时，列车进入站台范围的最高</w:t>
      </w:r>
      <w:r w:rsidR="00BC444B" w:rsidRPr="00FD50F6">
        <w:rPr>
          <w:rFonts w:hint="eastAsia"/>
        </w:rPr>
        <w:t>限制</w:t>
      </w:r>
      <w:r w:rsidR="00BC444B" w:rsidRPr="00FD50F6">
        <w:t>速度应</w:t>
      </w:r>
      <w:r w:rsidR="00BC444B" w:rsidRPr="00FD50F6">
        <w:rPr>
          <w:rFonts w:hint="eastAsia"/>
        </w:rPr>
        <w:t>符合</w:t>
      </w:r>
      <w:r w:rsidR="00BC444B" w:rsidRPr="00FD50F6">
        <w:t>表</w:t>
      </w:r>
      <w:r w:rsidR="00BC444B" w:rsidRPr="00FD50F6">
        <w:rPr>
          <w:rFonts w:hint="eastAsia"/>
        </w:rPr>
        <w:t>4</w:t>
      </w:r>
      <w:r w:rsidR="00BC444B" w:rsidRPr="00FD50F6">
        <w:t>.3.4</w:t>
      </w:r>
      <w:r w:rsidR="00BC444B" w:rsidRPr="00FD50F6">
        <w:rPr>
          <w:rFonts w:hint="eastAsia"/>
        </w:rPr>
        <w:t>的规定。</w:t>
      </w:r>
    </w:p>
    <w:p w14:paraId="1F1A727B" w14:textId="77777777" w:rsidR="00BC444B" w:rsidRPr="00FD50F6" w:rsidRDefault="00BC444B" w:rsidP="002B2BEC">
      <w:pPr>
        <w:pStyle w:val="4"/>
        <w:numPr>
          <w:ilvl w:val="0"/>
          <w:numId w:val="0"/>
        </w:numPr>
        <w:ind w:left="480"/>
        <w:jc w:val="center"/>
      </w:pPr>
      <w:r w:rsidRPr="00FD50F6">
        <w:rPr>
          <w:rFonts w:hint="eastAsia"/>
        </w:rPr>
        <w:t>表</w:t>
      </w:r>
      <w:r w:rsidRPr="00FD50F6">
        <w:t>4</w:t>
      </w:r>
      <w:r w:rsidRPr="00FD50F6">
        <w:rPr>
          <w:rFonts w:hint="eastAsia"/>
        </w:rPr>
        <w:t>.3</w:t>
      </w:r>
      <w:r w:rsidRPr="00FD50F6">
        <w:t xml:space="preserve">.4 </w:t>
      </w:r>
      <w:r w:rsidRPr="00FD50F6">
        <w:rPr>
          <w:rFonts w:hint="eastAsia"/>
        </w:rPr>
        <w:t>列车进入站台范围的最高限制速度</w:t>
      </w:r>
    </w:p>
    <w:tbl>
      <w:tblPr>
        <w:tblStyle w:val="af6"/>
        <w:tblW w:w="0" w:type="auto"/>
        <w:jc w:val="center"/>
        <w:tblLook w:val="04A0" w:firstRow="1" w:lastRow="0" w:firstColumn="1" w:lastColumn="0" w:noHBand="0" w:noVBand="1"/>
      </w:tblPr>
      <w:tblGrid>
        <w:gridCol w:w="1658"/>
        <w:gridCol w:w="1660"/>
        <w:gridCol w:w="1659"/>
        <w:gridCol w:w="1659"/>
        <w:gridCol w:w="1666"/>
      </w:tblGrid>
      <w:tr w:rsidR="00EF0C60" w:rsidRPr="00FD50F6" w14:paraId="111A2055" w14:textId="77777777" w:rsidTr="008716A3">
        <w:trPr>
          <w:trHeight w:val="393"/>
          <w:jc w:val="center"/>
        </w:trPr>
        <w:tc>
          <w:tcPr>
            <w:tcW w:w="1658" w:type="dxa"/>
            <w:vAlign w:val="center"/>
          </w:tcPr>
          <w:p w14:paraId="54A6AD80" w14:textId="4E115883" w:rsidR="00EF0C60" w:rsidRPr="00FD50F6" w:rsidRDefault="00EF0C60" w:rsidP="008F1971">
            <w:pPr>
              <w:spacing w:line="240" w:lineRule="auto"/>
              <w:jc w:val="center"/>
              <w:rPr>
                <w:rFonts w:ascii="宋体" w:hAnsi="宋体"/>
              </w:rPr>
            </w:pPr>
            <w:r>
              <w:rPr>
                <w:rFonts w:ascii="宋体" w:hAnsi="宋体" w:hint="eastAsia"/>
              </w:rPr>
              <w:t>项目</w:t>
            </w:r>
          </w:p>
        </w:tc>
        <w:tc>
          <w:tcPr>
            <w:tcW w:w="6644" w:type="dxa"/>
            <w:gridSpan w:val="4"/>
            <w:vAlign w:val="center"/>
          </w:tcPr>
          <w:p w14:paraId="35E79A60" w14:textId="5F3AC5C9" w:rsidR="00EF0C60" w:rsidRPr="00FD50F6" w:rsidRDefault="00EF0C60" w:rsidP="00192BE0">
            <w:pPr>
              <w:spacing w:line="240" w:lineRule="auto"/>
              <w:jc w:val="center"/>
              <w:rPr>
                <w:rFonts w:ascii="宋体" w:hAnsi="宋体"/>
              </w:rPr>
            </w:pPr>
            <w:r>
              <w:rPr>
                <w:rFonts w:ascii="宋体" w:hAnsi="宋体" w:hint="eastAsia"/>
              </w:rPr>
              <w:t>参数</w:t>
            </w:r>
            <w:r w:rsidR="00606091">
              <w:rPr>
                <w:rFonts w:ascii="宋体" w:hAnsi="宋体" w:hint="eastAsia"/>
              </w:rPr>
              <w:t>取值</w:t>
            </w:r>
          </w:p>
        </w:tc>
      </w:tr>
      <w:tr w:rsidR="00EF0C60" w:rsidRPr="00FD50F6" w14:paraId="53F4B218" w14:textId="77777777" w:rsidTr="00EF0C60">
        <w:trPr>
          <w:trHeight w:val="393"/>
          <w:jc w:val="center"/>
        </w:trPr>
        <w:tc>
          <w:tcPr>
            <w:tcW w:w="1658" w:type="dxa"/>
            <w:vAlign w:val="center"/>
          </w:tcPr>
          <w:p w14:paraId="319B08F9" w14:textId="736A1574" w:rsidR="00EF0C60" w:rsidRPr="00FD50F6" w:rsidRDefault="00EF0C60" w:rsidP="00EF0C60">
            <w:pPr>
              <w:spacing w:line="240" w:lineRule="auto"/>
              <w:jc w:val="center"/>
              <w:rPr>
                <w:rFonts w:ascii="宋体" w:hAnsi="宋体"/>
              </w:rPr>
            </w:pPr>
            <w:r w:rsidRPr="00FD50F6">
              <w:rPr>
                <w:rFonts w:ascii="宋体" w:hAnsi="宋体" w:hint="eastAsia"/>
              </w:rPr>
              <w:t>列车长度</w:t>
            </w:r>
          </w:p>
        </w:tc>
        <w:tc>
          <w:tcPr>
            <w:tcW w:w="1660" w:type="dxa"/>
            <w:vAlign w:val="center"/>
          </w:tcPr>
          <w:p w14:paraId="23B40F87" w14:textId="47C60A17" w:rsidR="00EF0C60" w:rsidRPr="00FD50F6" w:rsidRDefault="00EF0C60" w:rsidP="00EF0C60">
            <w:pPr>
              <w:spacing w:line="240" w:lineRule="auto"/>
              <w:jc w:val="center"/>
              <w:rPr>
                <w:rFonts w:ascii="宋体" w:hAnsi="宋体"/>
              </w:rPr>
            </w:pPr>
            <w:r w:rsidRPr="00FD50F6">
              <w:rPr>
                <w:rFonts w:ascii="宋体" w:hAnsi="宋体" w:hint="eastAsia"/>
              </w:rPr>
              <w:t>≤1</w:t>
            </w:r>
            <w:r w:rsidRPr="00FD50F6">
              <w:rPr>
                <w:rFonts w:ascii="宋体" w:hAnsi="宋体"/>
              </w:rPr>
              <w:t>20m</w:t>
            </w:r>
          </w:p>
        </w:tc>
        <w:tc>
          <w:tcPr>
            <w:tcW w:w="1659" w:type="dxa"/>
            <w:vAlign w:val="center"/>
          </w:tcPr>
          <w:p w14:paraId="4DC46411" w14:textId="137DE402" w:rsidR="00EF0C60" w:rsidRPr="00FD50F6" w:rsidRDefault="00EF0C60" w:rsidP="00EF0C60">
            <w:pPr>
              <w:spacing w:line="240" w:lineRule="auto"/>
              <w:jc w:val="center"/>
              <w:rPr>
                <w:rFonts w:ascii="宋体" w:hAnsi="宋体"/>
              </w:rPr>
            </w:pPr>
            <w:r w:rsidRPr="00FD50F6">
              <w:rPr>
                <w:rFonts w:ascii="宋体" w:hAnsi="宋体" w:hint="eastAsia"/>
              </w:rPr>
              <w:t>140m</w:t>
            </w:r>
          </w:p>
        </w:tc>
        <w:tc>
          <w:tcPr>
            <w:tcW w:w="1659" w:type="dxa"/>
            <w:vAlign w:val="center"/>
          </w:tcPr>
          <w:p w14:paraId="023FB898" w14:textId="5FA0D76C" w:rsidR="00EF0C60" w:rsidRPr="00FD50F6" w:rsidRDefault="00EF0C60" w:rsidP="00EF0C60">
            <w:pPr>
              <w:spacing w:line="240" w:lineRule="auto"/>
              <w:jc w:val="center"/>
              <w:rPr>
                <w:rFonts w:ascii="宋体" w:hAnsi="宋体"/>
              </w:rPr>
            </w:pPr>
            <w:r w:rsidRPr="00FD50F6">
              <w:rPr>
                <w:rFonts w:ascii="宋体" w:hAnsi="宋体" w:hint="eastAsia"/>
              </w:rPr>
              <w:t>160m</w:t>
            </w:r>
          </w:p>
        </w:tc>
        <w:tc>
          <w:tcPr>
            <w:tcW w:w="1666" w:type="dxa"/>
            <w:vAlign w:val="center"/>
          </w:tcPr>
          <w:p w14:paraId="61995F95" w14:textId="38753B01" w:rsidR="00EF0C60" w:rsidRPr="00FD50F6" w:rsidRDefault="00EF0C60" w:rsidP="00EF0C60">
            <w:pPr>
              <w:spacing w:line="240" w:lineRule="auto"/>
              <w:jc w:val="center"/>
              <w:rPr>
                <w:rFonts w:ascii="宋体" w:hAnsi="宋体"/>
              </w:rPr>
            </w:pPr>
            <w:r w:rsidRPr="00FD50F6">
              <w:rPr>
                <w:rFonts w:ascii="宋体" w:hAnsi="宋体" w:hint="eastAsia"/>
              </w:rPr>
              <w:t>186m</w:t>
            </w:r>
          </w:p>
        </w:tc>
      </w:tr>
      <w:tr w:rsidR="00EF0C60" w:rsidRPr="00FD50F6" w14:paraId="66D92A76" w14:textId="77777777" w:rsidTr="00EF0C60">
        <w:trPr>
          <w:trHeight w:val="393"/>
          <w:jc w:val="center"/>
        </w:trPr>
        <w:tc>
          <w:tcPr>
            <w:tcW w:w="1658" w:type="dxa"/>
            <w:vAlign w:val="center"/>
          </w:tcPr>
          <w:p w14:paraId="32570CFC" w14:textId="6CC28D01" w:rsidR="00EF0C60" w:rsidRPr="00FD50F6" w:rsidRDefault="00192BE0" w:rsidP="00EF0C60">
            <w:pPr>
              <w:spacing w:line="240" w:lineRule="auto"/>
              <w:jc w:val="center"/>
              <w:rPr>
                <w:rFonts w:ascii="宋体" w:hAnsi="宋体"/>
              </w:rPr>
            </w:pPr>
            <w:r w:rsidRPr="00192BE0">
              <w:rPr>
                <w:rFonts w:ascii="宋体" w:hAnsi="宋体" w:hint="eastAsia"/>
              </w:rPr>
              <w:t>最高限制速度</w:t>
            </w:r>
          </w:p>
        </w:tc>
        <w:tc>
          <w:tcPr>
            <w:tcW w:w="1660" w:type="dxa"/>
            <w:vAlign w:val="center"/>
          </w:tcPr>
          <w:p w14:paraId="5099EA8D" w14:textId="77777777" w:rsidR="00EF0C60" w:rsidRPr="00FD50F6" w:rsidRDefault="00EF0C60" w:rsidP="00EF0C60">
            <w:pPr>
              <w:spacing w:line="240" w:lineRule="auto"/>
              <w:jc w:val="center"/>
              <w:rPr>
                <w:rFonts w:ascii="宋体" w:hAnsi="宋体"/>
              </w:rPr>
            </w:pPr>
            <w:r w:rsidRPr="00FD50F6">
              <w:rPr>
                <w:rFonts w:ascii="宋体" w:hAnsi="宋体" w:hint="eastAsia"/>
              </w:rPr>
              <w:t>6</w:t>
            </w:r>
            <w:r w:rsidRPr="00FD50F6">
              <w:rPr>
                <w:rFonts w:ascii="宋体" w:hAnsi="宋体"/>
              </w:rPr>
              <w:t>5</w:t>
            </w:r>
            <w:r w:rsidRPr="00FD50F6">
              <w:rPr>
                <w:rFonts w:ascii="宋体" w:hAnsi="宋体" w:hint="eastAsia"/>
              </w:rPr>
              <w:t>km</w:t>
            </w:r>
            <w:r w:rsidRPr="00FD50F6">
              <w:rPr>
                <w:rFonts w:ascii="宋体" w:hAnsi="宋体"/>
              </w:rPr>
              <w:t>/h</w:t>
            </w:r>
          </w:p>
        </w:tc>
        <w:tc>
          <w:tcPr>
            <w:tcW w:w="1659" w:type="dxa"/>
            <w:vAlign w:val="center"/>
          </w:tcPr>
          <w:p w14:paraId="3BC7F63E" w14:textId="77777777" w:rsidR="00EF0C60" w:rsidRPr="00FD50F6" w:rsidRDefault="00EF0C60" w:rsidP="00EF0C60">
            <w:pPr>
              <w:spacing w:line="240" w:lineRule="auto"/>
              <w:jc w:val="center"/>
              <w:rPr>
                <w:rFonts w:ascii="宋体" w:hAnsi="宋体"/>
              </w:rPr>
            </w:pPr>
            <w:r w:rsidRPr="00FD50F6">
              <w:rPr>
                <w:rFonts w:ascii="宋体" w:hAnsi="宋体"/>
              </w:rPr>
              <w:t>70</w:t>
            </w:r>
            <w:r w:rsidRPr="00FD50F6">
              <w:rPr>
                <w:rFonts w:ascii="宋体" w:hAnsi="宋体" w:hint="eastAsia"/>
              </w:rPr>
              <w:t>km</w:t>
            </w:r>
            <w:r w:rsidRPr="00FD50F6">
              <w:rPr>
                <w:rFonts w:ascii="宋体" w:hAnsi="宋体"/>
              </w:rPr>
              <w:t>/h</w:t>
            </w:r>
          </w:p>
        </w:tc>
        <w:tc>
          <w:tcPr>
            <w:tcW w:w="1659" w:type="dxa"/>
            <w:vAlign w:val="center"/>
          </w:tcPr>
          <w:p w14:paraId="013E8C42" w14:textId="77777777" w:rsidR="00EF0C60" w:rsidRPr="00FD50F6" w:rsidRDefault="00EF0C60" w:rsidP="00EF0C60">
            <w:pPr>
              <w:spacing w:line="240" w:lineRule="auto"/>
              <w:jc w:val="center"/>
              <w:rPr>
                <w:rFonts w:ascii="宋体" w:hAnsi="宋体"/>
              </w:rPr>
            </w:pPr>
            <w:r w:rsidRPr="00FD50F6">
              <w:rPr>
                <w:rFonts w:ascii="宋体" w:hAnsi="宋体"/>
              </w:rPr>
              <w:t>75</w:t>
            </w:r>
            <w:r w:rsidRPr="00FD50F6">
              <w:rPr>
                <w:rFonts w:ascii="宋体" w:hAnsi="宋体" w:hint="eastAsia"/>
              </w:rPr>
              <w:t>km</w:t>
            </w:r>
            <w:r w:rsidRPr="00FD50F6">
              <w:rPr>
                <w:rFonts w:ascii="宋体" w:hAnsi="宋体"/>
              </w:rPr>
              <w:t>/h</w:t>
            </w:r>
          </w:p>
        </w:tc>
        <w:tc>
          <w:tcPr>
            <w:tcW w:w="1666" w:type="dxa"/>
            <w:vAlign w:val="center"/>
          </w:tcPr>
          <w:p w14:paraId="57976A63" w14:textId="77777777" w:rsidR="00EF0C60" w:rsidRPr="00FD50F6" w:rsidRDefault="00EF0C60" w:rsidP="00EF0C60">
            <w:pPr>
              <w:spacing w:line="240" w:lineRule="auto"/>
              <w:jc w:val="center"/>
              <w:rPr>
                <w:rFonts w:ascii="宋体" w:hAnsi="宋体"/>
              </w:rPr>
            </w:pPr>
            <w:r w:rsidRPr="00FD50F6">
              <w:rPr>
                <w:rFonts w:ascii="宋体" w:hAnsi="宋体"/>
              </w:rPr>
              <w:t>80</w:t>
            </w:r>
            <w:r w:rsidRPr="00FD50F6">
              <w:rPr>
                <w:rFonts w:ascii="宋体" w:hAnsi="宋体" w:hint="eastAsia"/>
              </w:rPr>
              <w:t>km</w:t>
            </w:r>
            <w:r w:rsidRPr="00FD50F6">
              <w:rPr>
                <w:rFonts w:ascii="宋体" w:hAnsi="宋体"/>
              </w:rPr>
              <w:t>/h</w:t>
            </w:r>
          </w:p>
        </w:tc>
      </w:tr>
    </w:tbl>
    <w:p w14:paraId="5A7956BD" w14:textId="1AB245BD" w:rsidR="00BC444B" w:rsidRPr="00FD50F6" w:rsidRDefault="00192BE0" w:rsidP="009D510E">
      <w:pPr>
        <w:adjustRightInd w:val="0"/>
        <w:snapToGrid w:val="0"/>
        <w:spacing w:beforeLines="50" w:before="120"/>
        <w:rPr>
          <w:rFonts w:ascii="黑体" w:eastAsia="黑体" w:hAnsi="黑体"/>
        </w:rPr>
      </w:pPr>
      <w:r w:rsidRPr="009D510E">
        <w:rPr>
          <w:rFonts w:ascii="Times New Roman" w:hAnsi="Times New Roman" w:cstheme="majorBidi"/>
          <w:bCs/>
          <w:szCs w:val="28"/>
        </w:rPr>
        <w:t>3</w:t>
      </w:r>
      <w:r w:rsidRPr="009D510E">
        <w:rPr>
          <w:rFonts w:ascii="Times New Roman" w:hAnsi="Times New Roman" w:cstheme="majorBidi" w:hint="eastAsia"/>
          <w:bCs/>
          <w:szCs w:val="28"/>
        </w:rPr>
        <w:t>、当</w:t>
      </w:r>
      <w:r w:rsidRPr="009D510E">
        <w:rPr>
          <w:rFonts w:ascii="Times New Roman" w:hAnsi="Times New Roman" w:cstheme="majorBidi"/>
          <w:bCs/>
          <w:szCs w:val="28"/>
        </w:rPr>
        <w:t>设站台屏蔽门时，列车</w:t>
      </w:r>
      <w:r w:rsidR="00606091" w:rsidRPr="00606091">
        <w:rPr>
          <w:rFonts w:ascii="Times New Roman" w:hAnsi="Times New Roman" w:cstheme="majorBidi" w:hint="eastAsia"/>
          <w:bCs/>
          <w:szCs w:val="28"/>
        </w:rPr>
        <w:t>不停车通过站台</w:t>
      </w:r>
      <w:r w:rsidRPr="009D510E">
        <w:rPr>
          <w:rFonts w:ascii="Times New Roman" w:hAnsi="Times New Roman" w:cstheme="majorBidi"/>
          <w:bCs/>
          <w:szCs w:val="28"/>
        </w:rPr>
        <w:t>的最高</w:t>
      </w:r>
      <w:r w:rsidRPr="009D510E">
        <w:rPr>
          <w:rFonts w:ascii="Times New Roman" w:hAnsi="Times New Roman" w:cstheme="majorBidi" w:hint="eastAsia"/>
          <w:bCs/>
          <w:szCs w:val="28"/>
        </w:rPr>
        <w:t>限制</w:t>
      </w:r>
      <w:r w:rsidRPr="009D510E">
        <w:rPr>
          <w:rFonts w:ascii="Times New Roman" w:hAnsi="Times New Roman" w:cstheme="majorBidi"/>
          <w:bCs/>
          <w:szCs w:val="28"/>
        </w:rPr>
        <w:t>速度应</w:t>
      </w:r>
      <w:r>
        <w:t>不大于</w:t>
      </w:r>
      <w:r>
        <w:rPr>
          <w:rFonts w:hint="eastAsia"/>
        </w:rPr>
        <w:t>1</w:t>
      </w:r>
      <w:r>
        <w:t>00km</w:t>
      </w:r>
      <w:r>
        <w:rPr>
          <w:rFonts w:hint="eastAsia"/>
        </w:rPr>
        <w:t>/</w:t>
      </w:r>
      <w:r>
        <w:t>h</w:t>
      </w:r>
      <w:r>
        <w:t>。</w:t>
      </w:r>
    </w:p>
    <w:p w14:paraId="7C017356" w14:textId="67862122" w:rsidR="00BC444B" w:rsidRPr="00FD50F6" w:rsidRDefault="00BC444B" w:rsidP="00BC444B">
      <w:pPr>
        <w:pStyle w:val="30"/>
      </w:pPr>
      <w:r w:rsidRPr="00FD50F6">
        <w:rPr>
          <w:rFonts w:hint="eastAsia"/>
        </w:rPr>
        <w:lastRenderedPageBreak/>
        <w:t>载客的</w:t>
      </w:r>
      <w:r w:rsidRPr="00FD50F6">
        <w:t>故障或事故列车在正线上的推进速度不宜大于</w:t>
      </w:r>
      <w:r w:rsidRPr="00FD50F6">
        <w:t>30km/h</w:t>
      </w:r>
      <w:r w:rsidRPr="00FD50F6">
        <w:rPr>
          <w:rFonts w:hint="eastAsia"/>
        </w:rPr>
        <w:t>；</w:t>
      </w:r>
      <w:r w:rsidRPr="00FD50F6">
        <w:t>空载的故障或事故列车在正线上的推进速度</w:t>
      </w:r>
      <w:r w:rsidRPr="00FD50F6">
        <w:rPr>
          <w:rFonts w:hint="eastAsia"/>
        </w:rPr>
        <w:t>宜与</w:t>
      </w:r>
      <w:r w:rsidRPr="00FD50F6">
        <w:t>本线旅行速度相适应</w:t>
      </w:r>
      <w:r w:rsidRPr="00FD50F6">
        <w:rPr>
          <w:rFonts w:hint="eastAsia"/>
        </w:rPr>
        <w:t>，</w:t>
      </w:r>
      <w:r w:rsidRPr="00FD50F6">
        <w:t>且不应超过</w:t>
      </w:r>
      <w:r w:rsidRPr="00FD50F6">
        <w:rPr>
          <w:rFonts w:hint="eastAsia"/>
        </w:rPr>
        <w:t>50km/h</w:t>
      </w:r>
      <w:r w:rsidRPr="00FD50F6">
        <w:rPr>
          <w:rFonts w:hint="eastAsia"/>
        </w:rPr>
        <w:t>。</w:t>
      </w:r>
    </w:p>
    <w:p w14:paraId="5EB2B2E9" w14:textId="77777777" w:rsidR="00BC444B" w:rsidRPr="00FD50F6" w:rsidRDefault="00BC444B" w:rsidP="00BC444B">
      <w:pPr>
        <w:pStyle w:val="30"/>
      </w:pPr>
      <w:r w:rsidRPr="00FD50F6">
        <w:rPr>
          <w:rFonts w:hint="eastAsia"/>
        </w:rPr>
        <w:t>正线及折返线牵引计算应符合下列规定：</w:t>
      </w:r>
    </w:p>
    <w:p w14:paraId="08867A7A" w14:textId="528B1C7D" w:rsidR="00BC444B" w:rsidRPr="00FD50F6" w:rsidRDefault="00BC444B" w:rsidP="00A926BD">
      <w:pPr>
        <w:pStyle w:val="4"/>
      </w:pPr>
      <w:r w:rsidRPr="00FD50F6">
        <w:t>列车在平面曲线上的运行速度应按曲线半径大小和超高配置</w:t>
      </w:r>
      <w:r w:rsidRPr="00FD50F6">
        <w:rPr>
          <w:rFonts w:hint="eastAsia"/>
        </w:rPr>
        <w:t>大小</w:t>
      </w:r>
      <w:r w:rsidRPr="00FD50F6">
        <w:t>进行计算</w:t>
      </w:r>
      <w:r w:rsidRPr="00FD50F6">
        <w:rPr>
          <w:rFonts w:hint="eastAsia"/>
        </w:rPr>
        <w:t>。</w:t>
      </w:r>
      <w:r w:rsidRPr="00FD50F6">
        <w:t>在正常运行情况下</w:t>
      </w:r>
      <w:r w:rsidRPr="00FD50F6">
        <w:rPr>
          <w:rFonts w:hint="eastAsia"/>
        </w:rPr>
        <w:t>，</w:t>
      </w:r>
      <w:r w:rsidRPr="00FD50F6">
        <w:t>其未被平衡横向加速度应</w:t>
      </w:r>
      <w:r w:rsidRPr="00FD50F6">
        <w:rPr>
          <w:rFonts w:hint="eastAsia"/>
        </w:rPr>
        <w:t>为</w:t>
      </w:r>
      <w:r w:rsidRPr="00FD50F6">
        <w:t>0.4m/s</w:t>
      </w:r>
      <w:r w:rsidRPr="00FD50F6">
        <w:rPr>
          <w:rFonts w:hint="eastAsia"/>
        </w:rPr>
        <w:t>²；在瞬间超速情况下，未被平衡横向加速度不应超过</w:t>
      </w:r>
      <w:r w:rsidRPr="00FD50F6">
        <w:t>0.65m/s</w:t>
      </w:r>
      <w:r w:rsidRPr="00FD50F6">
        <w:rPr>
          <w:rFonts w:hint="eastAsia"/>
        </w:rPr>
        <w:t>²。</w:t>
      </w:r>
    </w:p>
    <w:p w14:paraId="2A154807" w14:textId="3DD0C991" w:rsidR="00BC444B" w:rsidRPr="00FD50F6" w:rsidRDefault="00BC444B" w:rsidP="00A926BD">
      <w:pPr>
        <w:pStyle w:val="4"/>
      </w:pPr>
      <w:r w:rsidRPr="00FD50F6">
        <w:t>列车牵引计算应在线路条件和车辆性能的基础上，确定站间运行速度、运行时间和能源消耗量，以及旅行速度。正常情况下，计算起动加速度、制动减速度不宜大于最大加速度、常用减速度的</w:t>
      </w:r>
      <w:r w:rsidRPr="00FD50F6">
        <w:t>90</w:t>
      </w:r>
      <w:r w:rsidRPr="00FD50F6">
        <w:t>％，且计算列车起、制动加速度均不宜大于</w:t>
      </w:r>
      <w:r w:rsidRPr="00FD50F6">
        <w:t>0.9m/s</w:t>
      </w:r>
      <w:r w:rsidRPr="00393C18">
        <w:rPr>
          <w:vertAlign w:val="superscript"/>
        </w:rPr>
        <w:t>2</w:t>
      </w:r>
      <w:r w:rsidRPr="00FD50F6">
        <w:t>，并应充分利用惰行模式。</w:t>
      </w:r>
    </w:p>
    <w:p w14:paraId="0D7906BE" w14:textId="77777777" w:rsidR="00BC444B" w:rsidRPr="00FD50F6" w:rsidRDefault="00BC444B" w:rsidP="00A926BD">
      <w:pPr>
        <w:pStyle w:val="4"/>
        <w:rPr>
          <w:rFonts w:ascii="黑体" w:eastAsia="黑体" w:hAnsi="黑体"/>
        </w:rPr>
      </w:pPr>
      <w:r w:rsidRPr="00FD50F6">
        <w:rPr>
          <w:rFonts w:hint="eastAsia"/>
        </w:rPr>
        <w:t>地铁线路采用快慢车行车组织模式时，列车区间运行时间、列车起停车附加时分应根据牵引计算确定。</w:t>
      </w:r>
      <w:r w:rsidRPr="00FD50F6">
        <w:rPr>
          <w:rFonts w:ascii="黑体" w:eastAsia="黑体" w:hAnsi="黑体"/>
        </w:rPr>
        <w:t xml:space="preserve"> </w:t>
      </w:r>
    </w:p>
    <w:p w14:paraId="77046476" w14:textId="167938A5" w:rsidR="00BC444B" w:rsidRPr="00FD50F6" w:rsidRDefault="00BC444B" w:rsidP="00BC444B">
      <w:pPr>
        <w:pStyle w:val="30"/>
      </w:pPr>
      <w:r w:rsidRPr="00FD50F6">
        <w:rPr>
          <w:rFonts w:hint="eastAsia"/>
        </w:rPr>
        <w:t>正线道岔应采用</w:t>
      </w:r>
      <w:r w:rsidRPr="00FD50F6">
        <w:rPr>
          <w:rFonts w:hint="eastAsia"/>
        </w:rPr>
        <w:t>9</w:t>
      </w:r>
      <w:r w:rsidRPr="00FD50F6">
        <w:rPr>
          <w:rFonts w:hint="eastAsia"/>
        </w:rPr>
        <w:t>号道岔，当有特殊运营功能</w:t>
      </w:r>
      <w:r w:rsidRPr="00FD50F6">
        <w:t>需求时</w:t>
      </w:r>
      <w:r w:rsidRPr="00FD50F6">
        <w:rPr>
          <w:rFonts w:hint="eastAsia"/>
        </w:rPr>
        <w:t>，应符合下列规定：</w:t>
      </w:r>
    </w:p>
    <w:p w14:paraId="7E8F00F8" w14:textId="70E9F13B" w:rsidR="00BC444B" w:rsidRPr="00FD50F6" w:rsidRDefault="00BC444B" w:rsidP="00A926BD">
      <w:pPr>
        <w:pStyle w:val="4"/>
      </w:pPr>
      <w:r w:rsidRPr="00FD50F6">
        <w:t>当列车长度超过</w:t>
      </w:r>
      <w:r w:rsidRPr="00FD50F6">
        <w:t>140m</w:t>
      </w:r>
      <w:r w:rsidRPr="00FD50F6">
        <w:rPr>
          <w:rFonts w:hint="eastAsia"/>
        </w:rPr>
        <w:t>，且有</w:t>
      </w:r>
      <w:r w:rsidRPr="00FD50F6">
        <w:t>2min</w:t>
      </w:r>
      <w:r w:rsidRPr="00FD50F6">
        <w:t>行车间隔要求</w:t>
      </w:r>
      <w:r w:rsidRPr="00FD50F6">
        <w:rPr>
          <w:rFonts w:hint="eastAsia"/>
        </w:rPr>
        <w:t>时，折返站应采用</w:t>
      </w:r>
      <w:r w:rsidRPr="00FD50F6">
        <w:t>12</w:t>
      </w:r>
      <w:r w:rsidRPr="00FD50F6">
        <w:rPr>
          <w:rFonts w:hint="eastAsia"/>
        </w:rPr>
        <w:t>号道岔；</w:t>
      </w:r>
    </w:p>
    <w:p w14:paraId="4F251EE8" w14:textId="59D859B2" w:rsidR="00BC444B" w:rsidRPr="00FD50F6" w:rsidRDefault="00BC444B" w:rsidP="00A926BD">
      <w:pPr>
        <w:pStyle w:val="4"/>
      </w:pPr>
      <w:r w:rsidRPr="00FD50F6">
        <w:t>当线路采用快慢车行车组织模式时</w:t>
      </w:r>
      <w:r w:rsidRPr="00FD50F6">
        <w:rPr>
          <w:rFonts w:hint="eastAsia"/>
        </w:rPr>
        <w:t>，</w:t>
      </w:r>
      <w:r w:rsidRPr="00FD50F6">
        <w:t>越行站到发线道岔不应小于</w:t>
      </w:r>
      <w:r w:rsidRPr="00FD50F6">
        <w:t>12</w:t>
      </w:r>
      <w:r w:rsidRPr="00FD50F6">
        <w:rPr>
          <w:rFonts w:hint="eastAsia"/>
        </w:rPr>
        <w:t>号道岔；</w:t>
      </w:r>
    </w:p>
    <w:p w14:paraId="5E1F8B03" w14:textId="600473F7" w:rsidR="00BC444B" w:rsidRPr="00FD50F6" w:rsidRDefault="00BC444B" w:rsidP="00A926BD">
      <w:pPr>
        <w:pStyle w:val="4"/>
      </w:pPr>
      <w:r w:rsidRPr="00FD50F6">
        <w:t>当线路最高运行速度为</w:t>
      </w:r>
      <w:r w:rsidRPr="00FD50F6">
        <w:t>120km/h</w:t>
      </w:r>
      <w:r w:rsidRPr="00FD50F6">
        <w:rPr>
          <w:rFonts w:hint="eastAsia"/>
        </w:rPr>
        <w:t>，</w:t>
      </w:r>
      <w:r w:rsidRPr="00FD50F6">
        <w:t>道岔位于区间时</w:t>
      </w:r>
      <w:r w:rsidRPr="00FD50F6">
        <w:rPr>
          <w:rFonts w:hint="eastAsia"/>
        </w:rPr>
        <w:t>，</w:t>
      </w:r>
      <w:r w:rsidRPr="00FD50F6">
        <w:t>应结合牵引计算</w:t>
      </w:r>
      <w:r w:rsidRPr="00FD50F6">
        <w:rPr>
          <w:rFonts w:hint="eastAsia"/>
        </w:rPr>
        <w:t>确定区间道岔选型</w:t>
      </w:r>
      <w:r w:rsidR="00393C18">
        <w:rPr>
          <w:rFonts w:hint="eastAsia"/>
        </w:rPr>
        <w:t>。</w:t>
      </w:r>
    </w:p>
    <w:p w14:paraId="508D3A27" w14:textId="0232767D" w:rsidR="00BC444B" w:rsidRPr="00FD50F6" w:rsidRDefault="00BC444B" w:rsidP="00BC444B">
      <w:pPr>
        <w:pStyle w:val="30"/>
      </w:pPr>
      <w:r w:rsidRPr="00FD50F6">
        <w:rPr>
          <w:rFonts w:hint="eastAsia"/>
        </w:rPr>
        <w:t>地铁线路道岔侧向允许速度和最高限制速度宜按表</w:t>
      </w:r>
      <w:r w:rsidR="00725D8E" w:rsidRPr="00FD50F6">
        <w:rPr>
          <w:rFonts w:hint="eastAsia"/>
        </w:rPr>
        <w:t>4</w:t>
      </w:r>
      <w:r w:rsidR="00725D8E" w:rsidRPr="00FD50F6">
        <w:t>.3.8</w:t>
      </w:r>
      <w:r w:rsidRPr="00FD50F6">
        <w:rPr>
          <w:rFonts w:hint="eastAsia"/>
        </w:rPr>
        <w:t>取值；直向允许通过速度应不低于正线设计速度。</w:t>
      </w:r>
    </w:p>
    <w:p w14:paraId="0367EAD4" w14:textId="64F847F0" w:rsidR="00BC444B" w:rsidRPr="00FD50F6" w:rsidRDefault="00BC444B" w:rsidP="00393C18">
      <w:pPr>
        <w:widowControl/>
        <w:spacing w:line="240" w:lineRule="auto"/>
        <w:jc w:val="center"/>
        <w:rPr>
          <w:rFonts w:ascii="宋体" w:hAnsi="宋体"/>
          <w:sz w:val="21"/>
        </w:rPr>
      </w:pPr>
      <w:r w:rsidRPr="00FD50F6">
        <w:rPr>
          <w:rFonts w:ascii="黑体" w:eastAsia="黑体" w:hAnsi="黑体"/>
          <w:sz w:val="21"/>
        </w:rPr>
        <w:br w:type="page"/>
      </w:r>
      <w:r w:rsidRPr="00FD50F6">
        <w:rPr>
          <w:rFonts w:ascii="宋体" w:hAnsi="宋体" w:hint="eastAsia"/>
          <w:sz w:val="21"/>
        </w:rPr>
        <w:lastRenderedPageBreak/>
        <w:t>表</w:t>
      </w:r>
      <w:r w:rsidRPr="00FD50F6">
        <w:rPr>
          <w:rFonts w:ascii="宋体" w:hAnsi="宋体"/>
          <w:sz w:val="21"/>
        </w:rPr>
        <w:t xml:space="preserve">4.3.8  </w:t>
      </w:r>
      <w:r w:rsidRPr="00FD50F6">
        <w:rPr>
          <w:rFonts w:ascii="宋体" w:hAnsi="宋体" w:hint="eastAsia"/>
          <w:sz w:val="21"/>
        </w:rPr>
        <w:t>道岔侧向允许速度与限制速度表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2"/>
        <w:gridCol w:w="2132"/>
        <w:gridCol w:w="2132"/>
        <w:gridCol w:w="2132"/>
      </w:tblGrid>
      <w:tr w:rsidR="00FD50F6" w:rsidRPr="00FD50F6" w14:paraId="70E6DC39" w14:textId="77777777" w:rsidTr="008F1971">
        <w:trPr>
          <w:trHeight w:val="300"/>
          <w:jc w:val="center"/>
        </w:trPr>
        <w:tc>
          <w:tcPr>
            <w:tcW w:w="1250" w:type="pct"/>
            <w:vMerge w:val="restart"/>
            <w:shd w:val="clear" w:color="auto" w:fill="auto"/>
            <w:vAlign w:val="center"/>
            <w:hideMark/>
          </w:tcPr>
          <w:p w14:paraId="44A87EFD" w14:textId="77777777" w:rsidR="00BC444B" w:rsidRPr="00FD50F6" w:rsidRDefault="00BC444B" w:rsidP="008F1971">
            <w:pPr>
              <w:spacing w:line="240" w:lineRule="auto"/>
              <w:jc w:val="center"/>
              <w:rPr>
                <w:rFonts w:ascii="宋体" w:hAnsi="宋体"/>
              </w:rPr>
            </w:pPr>
            <w:r w:rsidRPr="00FD50F6">
              <w:rPr>
                <w:rFonts w:ascii="宋体" w:hAnsi="宋体" w:hint="eastAsia"/>
              </w:rPr>
              <w:t>单开道岔号数</w:t>
            </w:r>
          </w:p>
        </w:tc>
        <w:tc>
          <w:tcPr>
            <w:tcW w:w="1250" w:type="pct"/>
            <w:vMerge w:val="restart"/>
            <w:shd w:val="clear" w:color="auto" w:fill="auto"/>
            <w:vAlign w:val="center"/>
            <w:hideMark/>
          </w:tcPr>
          <w:p w14:paraId="0F1C7DB0" w14:textId="77777777" w:rsidR="00BC444B" w:rsidRPr="00FD50F6" w:rsidRDefault="00BC444B" w:rsidP="008F1971">
            <w:pPr>
              <w:spacing w:line="240" w:lineRule="auto"/>
              <w:jc w:val="center"/>
              <w:rPr>
                <w:rFonts w:ascii="宋体" w:hAnsi="宋体"/>
              </w:rPr>
            </w:pPr>
            <w:r w:rsidRPr="00FD50F6">
              <w:rPr>
                <w:rFonts w:ascii="宋体" w:hAnsi="宋体" w:hint="eastAsia"/>
              </w:rPr>
              <w:t>导曲线半径（m）</w:t>
            </w:r>
          </w:p>
        </w:tc>
        <w:tc>
          <w:tcPr>
            <w:tcW w:w="2500" w:type="pct"/>
            <w:gridSpan w:val="2"/>
            <w:shd w:val="clear" w:color="auto" w:fill="auto"/>
            <w:vAlign w:val="center"/>
            <w:hideMark/>
          </w:tcPr>
          <w:p w14:paraId="530E913E" w14:textId="77777777" w:rsidR="00BC444B" w:rsidRPr="00FD50F6" w:rsidRDefault="00BC444B" w:rsidP="008F1971">
            <w:pPr>
              <w:spacing w:line="240" w:lineRule="auto"/>
              <w:jc w:val="center"/>
              <w:rPr>
                <w:rFonts w:ascii="宋体" w:hAnsi="宋体"/>
              </w:rPr>
            </w:pPr>
            <w:r w:rsidRPr="00FD50F6">
              <w:rPr>
                <w:rFonts w:ascii="宋体" w:hAnsi="宋体" w:hint="eastAsia"/>
              </w:rPr>
              <w:t>侧向速度</w:t>
            </w:r>
          </w:p>
        </w:tc>
      </w:tr>
      <w:tr w:rsidR="00FD50F6" w:rsidRPr="00FD50F6" w14:paraId="543A49BD" w14:textId="77777777" w:rsidTr="008F1971">
        <w:trPr>
          <w:trHeight w:val="300"/>
          <w:jc w:val="center"/>
        </w:trPr>
        <w:tc>
          <w:tcPr>
            <w:tcW w:w="1250" w:type="pct"/>
            <w:vMerge/>
            <w:vAlign w:val="center"/>
            <w:hideMark/>
          </w:tcPr>
          <w:p w14:paraId="639B7BB4" w14:textId="77777777" w:rsidR="00BC444B" w:rsidRPr="00FD50F6" w:rsidRDefault="00BC444B" w:rsidP="008F1971">
            <w:pPr>
              <w:spacing w:line="240" w:lineRule="auto"/>
              <w:jc w:val="center"/>
              <w:rPr>
                <w:rFonts w:ascii="宋体" w:hAnsi="宋体"/>
              </w:rPr>
            </w:pPr>
          </w:p>
        </w:tc>
        <w:tc>
          <w:tcPr>
            <w:tcW w:w="1250" w:type="pct"/>
            <w:vMerge/>
            <w:vAlign w:val="center"/>
            <w:hideMark/>
          </w:tcPr>
          <w:p w14:paraId="5EE5921D" w14:textId="77777777" w:rsidR="00BC444B" w:rsidRPr="00FD50F6" w:rsidRDefault="00BC444B" w:rsidP="008F1971">
            <w:pPr>
              <w:spacing w:line="240" w:lineRule="auto"/>
              <w:jc w:val="center"/>
              <w:rPr>
                <w:rFonts w:ascii="宋体" w:hAnsi="宋体"/>
              </w:rPr>
            </w:pPr>
          </w:p>
        </w:tc>
        <w:tc>
          <w:tcPr>
            <w:tcW w:w="1250" w:type="pct"/>
            <w:shd w:val="clear" w:color="auto" w:fill="auto"/>
            <w:vAlign w:val="center"/>
            <w:hideMark/>
          </w:tcPr>
          <w:p w14:paraId="282347B1" w14:textId="77777777" w:rsidR="00BC444B" w:rsidRPr="00FD50F6" w:rsidRDefault="00BC444B" w:rsidP="008F1971">
            <w:pPr>
              <w:spacing w:line="240" w:lineRule="auto"/>
              <w:jc w:val="center"/>
              <w:rPr>
                <w:rFonts w:ascii="宋体" w:hAnsi="宋体"/>
              </w:rPr>
            </w:pPr>
            <w:r w:rsidRPr="00FD50F6">
              <w:rPr>
                <w:rFonts w:ascii="宋体" w:hAnsi="宋体" w:hint="eastAsia"/>
              </w:rPr>
              <w:t>允许速度</w:t>
            </w:r>
          </w:p>
        </w:tc>
        <w:tc>
          <w:tcPr>
            <w:tcW w:w="1250" w:type="pct"/>
            <w:shd w:val="clear" w:color="auto" w:fill="auto"/>
            <w:vAlign w:val="center"/>
            <w:hideMark/>
          </w:tcPr>
          <w:p w14:paraId="6C820D04" w14:textId="77777777" w:rsidR="00BC444B" w:rsidRPr="00FD50F6" w:rsidRDefault="00BC444B" w:rsidP="008F1971">
            <w:pPr>
              <w:spacing w:line="240" w:lineRule="auto"/>
              <w:jc w:val="center"/>
              <w:rPr>
                <w:rFonts w:ascii="宋体" w:hAnsi="宋体"/>
              </w:rPr>
            </w:pPr>
            <w:r w:rsidRPr="00FD50F6">
              <w:rPr>
                <w:rFonts w:ascii="宋体" w:hAnsi="宋体" w:hint="eastAsia"/>
              </w:rPr>
              <w:t>最高限制速度</w:t>
            </w:r>
          </w:p>
        </w:tc>
      </w:tr>
      <w:tr w:rsidR="00FD50F6" w:rsidRPr="00FD50F6" w14:paraId="5AB4C0AB" w14:textId="77777777" w:rsidTr="008F1971">
        <w:trPr>
          <w:trHeight w:val="300"/>
          <w:jc w:val="center"/>
        </w:trPr>
        <w:tc>
          <w:tcPr>
            <w:tcW w:w="1250" w:type="pct"/>
            <w:shd w:val="clear" w:color="auto" w:fill="auto"/>
            <w:vAlign w:val="center"/>
            <w:hideMark/>
          </w:tcPr>
          <w:p w14:paraId="5B2BB817" w14:textId="77777777" w:rsidR="00BC444B" w:rsidRPr="00FD50F6" w:rsidRDefault="00BC444B" w:rsidP="008F1971">
            <w:pPr>
              <w:spacing w:line="240" w:lineRule="auto"/>
              <w:jc w:val="center"/>
              <w:rPr>
                <w:rFonts w:ascii="宋体" w:hAnsi="宋体"/>
              </w:rPr>
            </w:pPr>
            <w:r w:rsidRPr="00FD50F6">
              <w:rPr>
                <w:rFonts w:ascii="宋体" w:hAnsi="宋体" w:hint="eastAsia"/>
              </w:rPr>
              <w:t>7</w:t>
            </w:r>
          </w:p>
        </w:tc>
        <w:tc>
          <w:tcPr>
            <w:tcW w:w="1250" w:type="pct"/>
            <w:shd w:val="clear" w:color="auto" w:fill="auto"/>
            <w:vAlign w:val="center"/>
            <w:hideMark/>
          </w:tcPr>
          <w:p w14:paraId="374241CB" w14:textId="77777777" w:rsidR="00BC444B" w:rsidRPr="00FD50F6" w:rsidRDefault="00BC444B" w:rsidP="008F1971">
            <w:pPr>
              <w:spacing w:line="240" w:lineRule="auto"/>
              <w:jc w:val="center"/>
              <w:rPr>
                <w:rFonts w:ascii="宋体" w:hAnsi="宋体"/>
              </w:rPr>
            </w:pPr>
            <w:r w:rsidRPr="00FD50F6">
              <w:rPr>
                <w:rFonts w:ascii="宋体" w:hAnsi="宋体" w:hint="eastAsia"/>
              </w:rPr>
              <w:t>150</w:t>
            </w:r>
          </w:p>
        </w:tc>
        <w:tc>
          <w:tcPr>
            <w:tcW w:w="1250" w:type="pct"/>
            <w:shd w:val="clear" w:color="auto" w:fill="auto"/>
            <w:vAlign w:val="center"/>
            <w:hideMark/>
          </w:tcPr>
          <w:p w14:paraId="03E2D0C2" w14:textId="77777777" w:rsidR="00BC444B" w:rsidRPr="00FD50F6" w:rsidRDefault="00BC444B" w:rsidP="008F1971">
            <w:pPr>
              <w:spacing w:line="240" w:lineRule="auto"/>
              <w:jc w:val="center"/>
              <w:rPr>
                <w:rFonts w:ascii="宋体" w:hAnsi="宋体"/>
              </w:rPr>
            </w:pPr>
            <w:r w:rsidRPr="00FD50F6">
              <w:rPr>
                <w:rFonts w:ascii="宋体" w:hAnsi="宋体" w:hint="eastAsia"/>
              </w:rPr>
              <w:t>25</w:t>
            </w:r>
          </w:p>
        </w:tc>
        <w:tc>
          <w:tcPr>
            <w:tcW w:w="1250" w:type="pct"/>
            <w:shd w:val="clear" w:color="auto" w:fill="auto"/>
            <w:vAlign w:val="center"/>
            <w:hideMark/>
          </w:tcPr>
          <w:p w14:paraId="2F6F44F2" w14:textId="77777777" w:rsidR="00BC444B" w:rsidRPr="00FD50F6" w:rsidRDefault="00BC444B" w:rsidP="008F1971">
            <w:pPr>
              <w:spacing w:line="240" w:lineRule="auto"/>
              <w:jc w:val="center"/>
              <w:rPr>
                <w:rFonts w:ascii="宋体" w:hAnsi="宋体"/>
              </w:rPr>
            </w:pPr>
            <w:r w:rsidRPr="00FD50F6">
              <w:rPr>
                <w:rFonts w:ascii="宋体" w:hAnsi="宋体" w:hint="eastAsia"/>
              </w:rPr>
              <w:t>34</w:t>
            </w:r>
          </w:p>
        </w:tc>
      </w:tr>
      <w:tr w:rsidR="00FD50F6" w:rsidRPr="00FD50F6" w14:paraId="37E64A03" w14:textId="77777777" w:rsidTr="008F1971">
        <w:trPr>
          <w:trHeight w:val="300"/>
          <w:jc w:val="center"/>
        </w:trPr>
        <w:tc>
          <w:tcPr>
            <w:tcW w:w="1250" w:type="pct"/>
            <w:shd w:val="clear" w:color="auto" w:fill="auto"/>
            <w:vAlign w:val="center"/>
            <w:hideMark/>
          </w:tcPr>
          <w:p w14:paraId="63504845" w14:textId="77777777" w:rsidR="00BC444B" w:rsidRPr="00FD50F6" w:rsidRDefault="00BC444B" w:rsidP="008F1971">
            <w:pPr>
              <w:spacing w:line="240" w:lineRule="auto"/>
              <w:jc w:val="center"/>
              <w:rPr>
                <w:rFonts w:ascii="宋体" w:hAnsi="宋体"/>
              </w:rPr>
            </w:pPr>
            <w:r w:rsidRPr="00FD50F6">
              <w:rPr>
                <w:rFonts w:ascii="宋体" w:hAnsi="宋体" w:hint="eastAsia"/>
              </w:rPr>
              <w:t>9</w:t>
            </w:r>
          </w:p>
        </w:tc>
        <w:tc>
          <w:tcPr>
            <w:tcW w:w="1250" w:type="pct"/>
            <w:shd w:val="clear" w:color="auto" w:fill="auto"/>
            <w:vAlign w:val="center"/>
            <w:hideMark/>
          </w:tcPr>
          <w:p w14:paraId="19F16B57" w14:textId="77777777" w:rsidR="00BC444B" w:rsidRPr="00FD50F6" w:rsidRDefault="00BC444B" w:rsidP="008F1971">
            <w:pPr>
              <w:spacing w:line="240" w:lineRule="auto"/>
              <w:jc w:val="center"/>
              <w:rPr>
                <w:rFonts w:ascii="宋体" w:hAnsi="宋体"/>
              </w:rPr>
            </w:pPr>
            <w:r w:rsidRPr="00FD50F6">
              <w:rPr>
                <w:rFonts w:ascii="宋体" w:hAnsi="宋体" w:hint="eastAsia"/>
              </w:rPr>
              <w:t>200</w:t>
            </w:r>
          </w:p>
        </w:tc>
        <w:tc>
          <w:tcPr>
            <w:tcW w:w="1250" w:type="pct"/>
            <w:shd w:val="clear" w:color="auto" w:fill="auto"/>
            <w:vAlign w:val="center"/>
            <w:hideMark/>
          </w:tcPr>
          <w:p w14:paraId="5DAFAE23" w14:textId="77777777" w:rsidR="00BC444B" w:rsidRPr="00FD50F6" w:rsidRDefault="00BC444B" w:rsidP="008F1971">
            <w:pPr>
              <w:spacing w:line="240" w:lineRule="auto"/>
              <w:jc w:val="center"/>
              <w:rPr>
                <w:rFonts w:ascii="宋体" w:hAnsi="宋体"/>
              </w:rPr>
            </w:pPr>
            <w:r w:rsidRPr="00FD50F6">
              <w:rPr>
                <w:rFonts w:ascii="宋体" w:hAnsi="宋体" w:hint="eastAsia"/>
              </w:rPr>
              <w:t>35</w:t>
            </w:r>
          </w:p>
        </w:tc>
        <w:tc>
          <w:tcPr>
            <w:tcW w:w="1250" w:type="pct"/>
            <w:shd w:val="clear" w:color="auto" w:fill="auto"/>
            <w:vAlign w:val="center"/>
            <w:hideMark/>
          </w:tcPr>
          <w:p w14:paraId="37B86422" w14:textId="77777777" w:rsidR="00BC444B" w:rsidRPr="00FD50F6" w:rsidRDefault="00BC444B" w:rsidP="008F1971">
            <w:pPr>
              <w:spacing w:line="240" w:lineRule="auto"/>
              <w:jc w:val="center"/>
              <w:rPr>
                <w:rFonts w:ascii="宋体" w:hAnsi="宋体"/>
              </w:rPr>
            </w:pPr>
            <w:r w:rsidRPr="00FD50F6">
              <w:rPr>
                <w:rFonts w:ascii="宋体" w:hAnsi="宋体" w:hint="eastAsia"/>
              </w:rPr>
              <w:t>41</w:t>
            </w:r>
          </w:p>
        </w:tc>
      </w:tr>
      <w:tr w:rsidR="00FD50F6" w:rsidRPr="00FD50F6" w14:paraId="4BC44099" w14:textId="77777777" w:rsidTr="008F1971">
        <w:trPr>
          <w:trHeight w:val="300"/>
          <w:jc w:val="center"/>
        </w:trPr>
        <w:tc>
          <w:tcPr>
            <w:tcW w:w="1250" w:type="pct"/>
            <w:shd w:val="clear" w:color="auto" w:fill="auto"/>
            <w:vAlign w:val="center"/>
            <w:hideMark/>
          </w:tcPr>
          <w:p w14:paraId="18B230E1" w14:textId="77777777" w:rsidR="00BC444B" w:rsidRPr="00FD50F6" w:rsidRDefault="00BC444B" w:rsidP="008F1971">
            <w:pPr>
              <w:spacing w:line="240" w:lineRule="auto"/>
              <w:jc w:val="center"/>
              <w:rPr>
                <w:rFonts w:ascii="宋体" w:hAnsi="宋体"/>
              </w:rPr>
            </w:pPr>
            <w:r w:rsidRPr="00FD50F6">
              <w:rPr>
                <w:rFonts w:ascii="宋体" w:hAnsi="宋体" w:hint="eastAsia"/>
              </w:rPr>
              <w:t>12</w:t>
            </w:r>
          </w:p>
        </w:tc>
        <w:tc>
          <w:tcPr>
            <w:tcW w:w="1250" w:type="pct"/>
            <w:shd w:val="clear" w:color="auto" w:fill="auto"/>
            <w:vAlign w:val="center"/>
            <w:hideMark/>
          </w:tcPr>
          <w:p w14:paraId="0709EEC6" w14:textId="77777777" w:rsidR="00BC444B" w:rsidRPr="00FD50F6" w:rsidRDefault="00BC444B" w:rsidP="008F1971">
            <w:pPr>
              <w:spacing w:line="240" w:lineRule="auto"/>
              <w:jc w:val="center"/>
              <w:rPr>
                <w:rFonts w:ascii="宋体" w:hAnsi="宋体"/>
              </w:rPr>
            </w:pPr>
            <w:r w:rsidRPr="00FD50F6">
              <w:rPr>
                <w:rFonts w:ascii="宋体" w:hAnsi="宋体" w:hint="eastAsia"/>
              </w:rPr>
              <w:t>350</w:t>
            </w:r>
          </w:p>
        </w:tc>
        <w:tc>
          <w:tcPr>
            <w:tcW w:w="1250" w:type="pct"/>
            <w:shd w:val="clear" w:color="auto" w:fill="auto"/>
            <w:vAlign w:val="center"/>
            <w:hideMark/>
          </w:tcPr>
          <w:p w14:paraId="2319DCE6" w14:textId="77777777" w:rsidR="00BC444B" w:rsidRPr="00FD50F6" w:rsidRDefault="00BC444B" w:rsidP="008F1971">
            <w:pPr>
              <w:spacing w:line="240" w:lineRule="auto"/>
              <w:jc w:val="center"/>
              <w:rPr>
                <w:rFonts w:ascii="宋体" w:hAnsi="宋体"/>
              </w:rPr>
            </w:pPr>
            <w:r w:rsidRPr="00FD50F6">
              <w:rPr>
                <w:rFonts w:ascii="宋体" w:hAnsi="宋体" w:hint="eastAsia"/>
              </w:rPr>
              <w:t>50</w:t>
            </w:r>
          </w:p>
        </w:tc>
        <w:tc>
          <w:tcPr>
            <w:tcW w:w="1250" w:type="pct"/>
            <w:shd w:val="clear" w:color="auto" w:fill="auto"/>
            <w:vAlign w:val="center"/>
            <w:hideMark/>
          </w:tcPr>
          <w:p w14:paraId="323C3B86" w14:textId="77777777" w:rsidR="00BC444B" w:rsidRPr="00FD50F6" w:rsidRDefault="00BC444B" w:rsidP="008F1971">
            <w:pPr>
              <w:spacing w:line="240" w:lineRule="auto"/>
              <w:jc w:val="center"/>
              <w:rPr>
                <w:rFonts w:ascii="宋体" w:hAnsi="宋体"/>
              </w:rPr>
            </w:pPr>
            <w:r w:rsidRPr="00FD50F6">
              <w:rPr>
                <w:rFonts w:ascii="宋体" w:hAnsi="宋体" w:hint="eastAsia"/>
              </w:rPr>
              <w:t>54</w:t>
            </w:r>
          </w:p>
        </w:tc>
      </w:tr>
    </w:tbl>
    <w:p w14:paraId="42EEFAE8" w14:textId="77777777" w:rsidR="00BC444B" w:rsidRPr="00FD50F6" w:rsidRDefault="00BC444B" w:rsidP="00A926BD">
      <w:pPr>
        <w:pStyle w:val="4"/>
        <w:numPr>
          <w:ilvl w:val="0"/>
          <w:numId w:val="0"/>
        </w:numPr>
        <w:ind w:left="480"/>
      </w:pPr>
      <w:r w:rsidRPr="00FD50F6">
        <w:rPr>
          <w:rFonts w:hint="eastAsia"/>
        </w:rPr>
        <w:t>注：表中数据均为曲尖轨道岔的建议取值。</w:t>
      </w:r>
    </w:p>
    <w:p w14:paraId="11A108EF" w14:textId="77777777" w:rsidR="00BC444B" w:rsidRPr="00FD50F6" w:rsidRDefault="00BC444B" w:rsidP="00393C18">
      <w:pPr>
        <w:pStyle w:val="2"/>
      </w:pPr>
      <w:bookmarkStart w:id="48" w:name="_Toc112830647"/>
      <w:bookmarkStart w:id="49" w:name="_Toc78966728"/>
      <w:bookmarkStart w:id="50" w:name="_Toc112830648"/>
      <w:bookmarkEnd w:id="48"/>
      <w:r w:rsidRPr="00FD50F6">
        <w:rPr>
          <w:rFonts w:hint="eastAsia"/>
        </w:rPr>
        <w:t>行车组织</w:t>
      </w:r>
      <w:bookmarkEnd w:id="49"/>
      <w:bookmarkEnd w:id="50"/>
    </w:p>
    <w:p w14:paraId="69E06ED8" w14:textId="77777777" w:rsidR="00BC444B" w:rsidRPr="00FD50F6" w:rsidRDefault="00BC444B" w:rsidP="00BC444B">
      <w:pPr>
        <w:pStyle w:val="30"/>
      </w:pPr>
      <w:r w:rsidRPr="00FD50F6">
        <w:t>地</w:t>
      </w:r>
      <w:r w:rsidRPr="00FD50F6">
        <w:rPr>
          <w:rFonts w:hint="eastAsia"/>
        </w:rPr>
        <w:t>铁在正线上应采用双线、右侧行车制。南北向线路应以由南向北为上行方向，由北向南为下行</w:t>
      </w:r>
      <w:r w:rsidRPr="00FD50F6">
        <w:t>方向；东西向线路应以由西向东为上行方向，由东向西为下行方向；环形线路应以列车在外侧轨道线的运行方向为上行方向，内侧轨道线的运行方向应为下行。</w:t>
      </w:r>
    </w:p>
    <w:p w14:paraId="6209533F" w14:textId="7794380A" w:rsidR="00BC444B" w:rsidRPr="00FD50F6" w:rsidRDefault="00BC444B" w:rsidP="00BC444B">
      <w:pPr>
        <w:pStyle w:val="30"/>
      </w:pPr>
      <w:r w:rsidRPr="00FD50F6">
        <w:t>列车运行交路</w:t>
      </w:r>
      <w:r w:rsidRPr="00FD50F6">
        <w:rPr>
          <w:rFonts w:hint="eastAsia"/>
        </w:rPr>
        <w:t>应</w:t>
      </w:r>
      <w:r w:rsidRPr="00FD50F6">
        <w:t>根据各设计年限客流量</w:t>
      </w:r>
      <w:r w:rsidRPr="00FD50F6">
        <w:rPr>
          <w:rFonts w:hint="eastAsia"/>
        </w:rPr>
        <w:t>的</w:t>
      </w:r>
      <w:r w:rsidRPr="00FD50F6">
        <w:t>分布特征</w:t>
      </w:r>
      <w:r w:rsidRPr="00FD50F6">
        <w:rPr>
          <w:rFonts w:hint="eastAsia"/>
        </w:rPr>
        <w:t>以及城市客流出行需求、网络化运营</w:t>
      </w:r>
      <w:r w:rsidRPr="00FD50F6">
        <w:t>等因素综合确定</w:t>
      </w:r>
      <w:r w:rsidRPr="00FD50F6">
        <w:rPr>
          <w:rFonts w:hint="eastAsia"/>
        </w:rPr>
        <w:t>，并应符合下列规定：</w:t>
      </w:r>
    </w:p>
    <w:p w14:paraId="1ACB7E9E" w14:textId="234D3A43" w:rsidR="00BC444B" w:rsidRPr="00FD50F6" w:rsidRDefault="00BC444B" w:rsidP="00A926BD">
      <w:pPr>
        <w:pStyle w:val="4"/>
      </w:pPr>
      <w:r w:rsidRPr="00FD50F6">
        <w:rPr>
          <w:rFonts w:hint="eastAsia"/>
        </w:rPr>
        <w:t>各设计年限列车运行交路应满足线路断面客流对运输能力的需求，兼顾网络化运营客流换乘衔接需要；</w:t>
      </w:r>
    </w:p>
    <w:p w14:paraId="0BC52800" w14:textId="25E1C038" w:rsidR="00BC444B" w:rsidRPr="00FD50F6" w:rsidRDefault="00BC444B" w:rsidP="00A926BD">
      <w:pPr>
        <w:pStyle w:val="4"/>
      </w:pPr>
      <w:r w:rsidRPr="00FD50F6">
        <w:rPr>
          <w:rFonts w:hint="eastAsia"/>
        </w:rPr>
        <w:t>列车运行交路、中间折返站选择应与乘客出行特征和出行范围相</w:t>
      </w:r>
      <w:r w:rsidRPr="00FD50F6">
        <w:t>适应</w:t>
      </w:r>
      <w:r w:rsidR="00393C18">
        <w:rPr>
          <w:rFonts w:hint="eastAsia"/>
        </w:rPr>
        <w:t>，</w:t>
      </w:r>
      <w:r w:rsidRPr="00FD50F6">
        <w:rPr>
          <w:rFonts w:hint="eastAsia"/>
        </w:rPr>
        <w:t>交路折返点宜避开换乘站、区域性枢纽等大型客流集散点；</w:t>
      </w:r>
    </w:p>
    <w:p w14:paraId="259C4F1C" w14:textId="293D3A73" w:rsidR="00BC444B" w:rsidRPr="00FD50F6" w:rsidRDefault="00BC444B" w:rsidP="00A926BD">
      <w:pPr>
        <w:pStyle w:val="4"/>
      </w:pPr>
      <w:r w:rsidRPr="00FD50F6">
        <w:rPr>
          <w:rFonts w:hint="eastAsia"/>
        </w:rPr>
        <w:t>线路在</w:t>
      </w:r>
      <w:r w:rsidRPr="00FD50F6">
        <w:t>靠近隧道洞口或临近江河岸边的</w:t>
      </w:r>
      <w:r w:rsidRPr="00FD50F6">
        <w:rPr>
          <w:rFonts w:hint="eastAsia"/>
        </w:rPr>
        <w:t>区段</w:t>
      </w:r>
      <w:r w:rsidRPr="00FD50F6">
        <w:t>，</w:t>
      </w:r>
      <w:r w:rsidRPr="00FD50F6">
        <w:rPr>
          <w:rFonts w:hint="eastAsia"/>
        </w:rPr>
        <w:t>应根据线路工程条件、防淹门设置和车站分布情况，设置满足非正常运营状态的临时运行交路；</w:t>
      </w:r>
    </w:p>
    <w:p w14:paraId="7893A71B" w14:textId="2CF81C74" w:rsidR="00BC444B" w:rsidRPr="00FD50F6" w:rsidRDefault="00BC444B" w:rsidP="00A926BD">
      <w:pPr>
        <w:pStyle w:val="4"/>
      </w:pPr>
      <w:r w:rsidRPr="00FD50F6">
        <w:t>针对</w:t>
      </w:r>
      <w:r w:rsidRPr="00FD50F6">
        <w:rPr>
          <w:rFonts w:hint="eastAsia"/>
        </w:rPr>
        <w:t>网络化运营</w:t>
      </w:r>
      <w:r w:rsidRPr="00FD50F6">
        <w:t>重要换乘站点</w:t>
      </w:r>
      <w:r w:rsidRPr="00FD50F6">
        <w:rPr>
          <w:rFonts w:hint="eastAsia"/>
        </w:rPr>
        <w:t>，在非正常状态下，应设置</w:t>
      </w:r>
      <w:r w:rsidRPr="00FD50F6">
        <w:t>面向主要客流方向的临时运行交路</w:t>
      </w:r>
      <w:r w:rsidRPr="00FD50F6">
        <w:rPr>
          <w:rFonts w:hint="eastAsia"/>
        </w:rPr>
        <w:t>；</w:t>
      </w:r>
    </w:p>
    <w:p w14:paraId="537EB104" w14:textId="77777777" w:rsidR="00BC444B" w:rsidRPr="00FD50F6" w:rsidRDefault="00BC444B" w:rsidP="00A926BD">
      <w:pPr>
        <w:pStyle w:val="4"/>
      </w:pPr>
      <w:r w:rsidRPr="00FD50F6">
        <w:rPr>
          <w:rFonts w:hint="eastAsia"/>
        </w:rPr>
        <w:t>结合线路客流特征和工程条件，应具备实现不同</w:t>
      </w:r>
      <w:r w:rsidRPr="00FD50F6">
        <w:t>大小交路运行</w:t>
      </w:r>
      <w:r w:rsidRPr="00FD50F6">
        <w:rPr>
          <w:rFonts w:hint="eastAsia"/>
        </w:rPr>
        <w:t>、</w:t>
      </w:r>
      <w:r w:rsidRPr="00FD50F6">
        <w:t>不对称行车</w:t>
      </w:r>
      <w:r w:rsidRPr="00FD50F6">
        <w:rPr>
          <w:rFonts w:hint="eastAsia"/>
        </w:rPr>
        <w:t>、</w:t>
      </w:r>
      <w:r w:rsidRPr="00FD50F6">
        <w:t>单向加车</w:t>
      </w:r>
      <w:r w:rsidRPr="00FD50F6">
        <w:rPr>
          <w:rFonts w:hint="eastAsia"/>
        </w:rPr>
        <w:t>、</w:t>
      </w:r>
      <w:r w:rsidRPr="00FD50F6">
        <w:t>过站不停车等灵活行车组织的条件</w:t>
      </w:r>
      <w:r w:rsidRPr="00FD50F6">
        <w:rPr>
          <w:rFonts w:hint="eastAsia"/>
        </w:rPr>
        <w:t>；</w:t>
      </w:r>
    </w:p>
    <w:p w14:paraId="3E59CA2F" w14:textId="77777777" w:rsidR="00BC444B" w:rsidRPr="00FD50F6" w:rsidRDefault="00BC444B" w:rsidP="00A926BD">
      <w:pPr>
        <w:pStyle w:val="4"/>
      </w:pPr>
      <w:r w:rsidRPr="00FD50F6">
        <w:rPr>
          <w:rFonts w:hint="eastAsia"/>
        </w:rPr>
        <w:t>地铁线路</w:t>
      </w:r>
      <w:r w:rsidRPr="00FD50F6">
        <w:t>按照</w:t>
      </w:r>
      <w:r w:rsidRPr="00FD50F6">
        <w:rPr>
          <w:rFonts w:hint="eastAsia"/>
        </w:rPr>
        <w:t>快慢车行车组织模式设计时，经</w:t>
      </w:r>
      <w:r w:rsidRPr="00FD50F6">
        <w:t>客流风险和敏感性分析</w:t>
      </w:r>
      <w:r w:rsidRPr="00FD50F6">
        <w:rPr>
          <w:rFonts w:hint="eastAsia"/>
        </w:rPr>
        <w:t>后，可</w:t>
      </w:r>
      <w:r w:rsidRPr="00FD50F6">
        <w:t>按站站停模式下的列车运行交路确定各年限的运营规模</w:t>
      </w:r>
      <w:r w:rsidRPr="00FD50F6">
        <w:rPr>
          <w:rFonts w:hint="eastAsia"/>
        </w:rPr>
        <w:t>。</w:t>
      </w:r>
    </w:p>
    <w:p w14:paraId="15AE3DDA" w14:textId="5AB5D2EA" w:rsidR="00BC444B" w:rsidRPr="00FD50F6" w:rsidRDefault="00BC444B" w:rsidP="00BC444B">
      <w:pPr>
        <w:pStyle w:val="30"/>
      </w:pPr>
      <w:r w:rsidRPr="00FD50F6">
        <w:rPr>
          <w:rFonts w:hint="eastAsia"/>
        </w:rPr>
        <w:t>当地铁线路采用站站停模式不能满足出行时间目标或</w:t>
      </w:r>
      <w:r w:rsidRPr="00FD50F6">
        <w:t>竞争力不足时</w:t>
      </w:r>
      <w:r w:rsidRPr="00FD50F6">
        <w:rPr>
          <w:rFonts w:hint="eastAsia"/>
        </w:rPr>
        <w:t>，可采用开行大站快车行车组织模式，并应符合下列规定：</w:t>
      </w:r>
    </w:p>
    <w:p w14:paraId="58878054" w14:textId="77777777" w:rsidR="00BC444B" w:rsidRPr="00FD50F6" w:rsidRDefault="00BC444B" w:rsidP="00A926BD">
      <w:pPr>
        <w:pStyle w:val="4"/>
      </w:pPr>
      <w:r w:rsidRPr="00FD50F6">
        <w:t>线路远期高峰小时设计行车间隔不宜</w:t>
      </w:r>
      <w:r w:rsidRPr="00FD50F6">
        <w:rPr>
          <w:rFonts w:hint="eastAsia"/>
        </w:rPr>
        <w:t>小于</w:t>
      </w:r>
      <w:r w:rsidRPr="00FD50F6">
        <w:t>3min</w:t>
      </w:r>
      <w:r w:rsidRPr="00FD50F6">
        <w:rPr>
          <w:rFonts w:hint="eastAsia"/>
        </w:rPr>
        <w:t>；</w:t>
      </w:r>
    </w:p>
    <w:p w14:paraId="6152EFD4" w14:textId="77777777" w:rsidR="00BC444B" w:rsidRPr="00FD50F6" w:rsidRDefault="00BC444B" w:rsidP="00A926BD">
      <w:pPr>
        <w:pStyle w:val="4"/>
      </w:pPr>
      <w:r w:rsidRPr="00FD50F6">
        <w:rPr>
          <w:rFonts w:hint="eastAsia"/>
        </w:rPr>
        <w:t>系统规模可按站站停模式进行控制；</w:t>
      </w:r>
    </w:p>
    <w:p w14:paraId="45C785A3" w14:textId="24FD5956" w:rsidR="00BC444B" w:rsidRPr="00FD50F6" w:rsidRDefault="00BC444B" w:rsidP="00A926BD">
      <w:pPr>
        <w:pStyle w:val="4"/>
      </w:pPr>
      <w:r w:rsidRPr="00FD50F6">
        <w:lastRenderedPageBreak/>
        <w:t>慢车旅行速度不宜低于线路最高运行速度的</w:t>
      </w:r>
      <w:r w:rsidRPr="00FD50F6">
        <w:t>35%</w:t>
      </w:r>
      <w:r w:rsidRPr="00FD50F6">
        <w:rPr>
          <w:rFonts w:hint="eastAsia"/>
        </w:rPr>
        <w:t>，且不低于</w:t>
      </w:r>
      <w:r w:rsidRPr="00FD50F6">
        <w:t>35km/h</w:t>
      </w:r>
      <w:r w:rsidRPr="00FD50F6">
        <w:rPr>
          <w:rFonts w:hint="eastAsia"/>
        </w:rPr>
        <w:t>；</w:t>
      </w:r>
    </w:p>
    <w:p w14:paraId="125E8E17" w14:textId="26590B7D" w:rsidR="00BC444B" w:rsidRPr="00FD50F6" w:rsidRDefault="00BC444B" w:rsidP="00A926BD">
      <w:pPr>
        <w:pStyle w:val="4"/>
      </w:pPr>
      <w:r w:rsidRPr="00FD50F6">
        <w:rPr>
          <w:rFonts w:hint="eastAsia"/>
        </w:rPr>
        <w:t>同一列慢车被快车越行的次数不应超过</w:t>
      </w:r>
      <w:r w:rsidRPr="00FD50F6">
        <w:rPr>
          <w:rFonts w:hint="eastAsia"/>
        </w:rPr>
        <w:t>2</w:t>
      </w:r>
      <w:r w:rsidRPr="00FD50F6">
        <w:rPr>
          <w:rFonts w:hint="eastAsia"/>
        </w:rPr>
        <w:t>次；</w:t>
      </w:r>
    </w:p>
    <w:p w14:paraId="507DD3F5" w14:textId="77777777" w:rsidR="00BC444B" w:rsidRPr="00FD50F6" w:rsidRDefault="00BC444B" w:rsidP="00A926BD">
      <w:pPr>
        <w:pStyle w:val="4"/>
      </w:pPr>
      <w:r w:rsidRPr="00FD50F6">
        <w:rPr>
          <w:rFonts w:hint="eastAsia"/>
        </w:rPr>
        <w:t>慢车等候、避让快车越行过站时，慢车应停靠</w:t>
      </w:r>
      <w:r w:rsidRPr="00FD50F6">
        <w:t>有站台的配线</w:t>
      </w:r>
      <w:r w:rsidRPr="00FD50F6">
        <w:rPr>
          <w:rFonts w:hint="eastAsia"/>
        </w:rPr>
        <w:t>；</w:t>
      </w:r>
    </w:p>
    <w:p w14:paraId="06394269" w14:textId="77777777" w:rsidR="00BC444B" w:rsidRPr="00FD50F6" w:rsidRDefault="00BC444B" w:rsidP="00A926BD">
      <w:pPr>
        <w:pStyle w:val="4"/>
      </w:pPr>
      <w:r w:rsidRPr="00FD50F6">
        <w:rPr>
          <w:rFonts w:hint="eastAsia"/>
        </w:rPr>
        <w:t>当越行站有长距离出行客流需求或快车、慢车间存在客流交换时，快车应采用停站越行方式；否则应采用不停站越行方式。</w:t>
      </w:r>
    </w:p>
    <w:p w14:paraId="5DB578E7" w14:textId="3293D9FC" w:rsidR="00BC444B" w:rsidRPr="00FD50F6" w:rsidRDefault="0050686C" w:rsidP="00BC444B">
      <w:pPr>
        <w:pStyle w:val="30"/>
      </w:pPr>
      <w:r>
        <w:rPr>
          <w:rFonts w:hint="eastAsia"/>
        </w:rPr>
        <w:t>当</w:t>
      </w:r>
      <w:r w:rsidR="00BC444B" w:rsidRPr="00FD50F6">
        <w:t>地铁</w:t>
      </w:r>
      <w:r w:rsidR="00BC444B" w:rsidRPr="00FD50F6">
        <w:rPr>
          <w:rFonts w:hint="eastAsia"/>
        </w:rPr>
        <w:t>线路采用快慢车行车组织模式时，越行站设置位置和数量应在明确快车停靠站方案的基础上，结合系统设计能力和越行站最小追踪间隔，经不同设计年限运行图铺画或仿真计算后确定，并应具备对不同设计年限、不同行车组织方案的灵活性和包容性。</w:t>
      </w:r>
    </w:p>
    <w:p w14:paraId="15EC300E" w14:textId="77777777" w:rsidR="00BC444B" w:rsidRPr="00FD50F6" w:rsidRDefault="00BC444B" w:rsidP="00BC444B">
      <w:pPr>
        <w:pStyle w:val="30"/>
      </w:pPr>
      <w:r w:rsidRPr="00FD50F6">
        <w:rPr>
          <w:rFonts w:hint="eastAsia"/>
        </w:rPr>
        <w:t>地铁快线与地铁普线换乘衔接时，经运营和工程经济性分析后，运营组织上可预留开行跨线列车过轨运行的相关条件。</w:t>
      </w:r>
    </w:p>
    <w:p w14:paraId="20FC3F69" w14:textId="77777777" w:rsidR="00BC444B" w:rsidRPr="00FD50F6" w:rsidRDefault="00BC444B" w:rsidP="00BC444B">
      <w:pPr>
        <w:pStyle w:val="30"/>
      </w:pPr>
      <w:r w:rsidRPr="00FD50F6">
        <w:rPr>
          <w:rFonts w:hint="eastAsia"/>
        </w:rPr>
        <w:t>经</w:t>
      </w:r>
      <w:r w:rsidRPr="00FD50F6">
        <w:t>客流特征和运营经济性分析后</w:t>
      </w:r>
      <w:r w:rsidRPr="00FD50F6">
        <w:rPr>
          <w:rFonts w:hint="eastAsia"/>
        </w:rPr>
        <w:t>，复合功能线路</w:t>
      </w:r>
      <w:r w:rsidRPr="00FD50F6">
        <w:t>可采用不同编组列车混合或高峰时段采用小编组列车</w:t>
      </w:r>
      <w:r w:rsidRPr="00FD50F6">
        <w:rPr>
          <w:rFonts w:hint="eastAsia"/>
        </w:rPr>
        <w:t>重连运行、平峰时段采用列车解编运行的</w:t>
      </w:r>
      <w:r w:rsidRPr="00FD50F6">
        <w:t>行车组织模式</w:t>
      </w:r>
      <w:r w:rsidRPr="00FD50F6">
        <w:rPr>
          <w:rFonts w:hint="eastAsia"/>
        </w:rPr>
        <w:t>。</w:t>
      </w:r>
    </w:p>
    <w:p w14:paraId="08196D13" w14:textId="77777777" w:rsidR="00BC444B" w:rsidRPr="00FD50F6" w:rsidRDefault="00BC444B" w:rsidP="00BC444B">
      <w:pPr>
        <w:pStyle w:val="30"/>
      </w:pPr>
      <w:r w:rsidRPr="00FD50F6">
        <w:t>地铁各设计年限的列车运行间隔，应根据各设计年限预测客流量、列车编组及列车设计载客量、系统服务水平、系统运输效率、</w:t>
      </w:r>
      <w:r w:rsidRPr="00FD50F6">
        <w:rPr>
          <w:rFonts w:hint="eastAsia"/>
        </w:rPr>
        <w:t>网络化运营需求</w:t>
      </w:r>
      <w:r w:rsidRPr="00FD50F6">
        <w:t>等因素综合确定</w:t>
      </w:r>
      <w:r w:rsidRPr="00FD50F6">
        <w:rPr>
          <w:rFonts w:hint="eastAsia"/>
        </w:rPr>
        <w:t>，</w:t>
      </w:r>
      <w:r w:rsidRPr="00FD50F6">
        <w:t>并应符合以下规定</w:t>
      </w:r>
      <w:r w:rsidRPr="00FD50F6">
        <w:rPr>
          <w:rFonts w:hint="eastAsia"/>
        </w:rPr>
        <w:t>：</w:t>
      </w:r>
    </w:p>
    <w:p w14:paraId="527A21C8" w14:textId="1B00AE94" w:rsidR="00BC444B" w:rsidRPr="00FD50F6" w:rsidRDefault="00BC444B" w:rsidP="00A926BD">
      <w:pPr>
        <w:pStyle w:val="4"/>
      </w:pPr>
      <w:r w:rsidRPr="00FD50F6">
        <w:t>初期高峰时段列车最小</w:t>
      </w:r>
      <w:r w:rsidRPr="00FD50F6">
        <w:rPr>
          <w:rFonts w:hint="eastAsia"/>
        </w:rPr>
        <w:t>行车</w:t>
      </w:r>
      <w:r w:rsidRPr="00FD50F6">
        <w:t>间隔不宜大于</w:t>
      </w:r>
      <w:r w:rsidRPr="00FD50F6">
        <w:t>5min</w:t>
      </w:r>
      <w:r w:rsidRPr="00FD50F6">
        <w:t>，平峰时段最大</w:t>
      </w:r>
      <w:r w:rsidRPr="00FD50F6">
        <w:rPr>
          <w:rFonts w:hint="eastAsia"/>
        </w:rPr>
        <w:t>行车</w:t>
      </w:r>
      <w:r w:rsidRPr="00FD50F6">
        <w:t>间隔不</w:t>
      </w:r>
      <w:r w:rsidRPr="00FD50F6">
        <w:rPr>
          <w:rFonts w:hint="eastAsia"/>
        </w:rPr>
        <w:t>宜</w:t>
      </w:r>
      <w:r w:rsidRPr="00FD50F6">
        <w:t>大于</w:t>
      </w:r>
      <w:r w:rsidRPr="00FD50F6">
        <w:t>10min</w:t>
      </w:r>
      <w:r w:rsidRPr="00FD50F6">
        <w:rPr>
          <w:rFonts w:hint="eastAsia"/>
        </w:rPr>
        <w:t>；</w:t>
      </w:r>
      <w:r w:rsidRPr="00FD50F6">
        <w:t>远期高峰时段列车最小</w:t>
      </w:r>
      <w:r w:rsidRPr="00FD50F6">
        <w:rPr>
          <w:rFonts w:hint="eastAsia"/>
        </w:rPr>
        <w:t>行车</w:t>
      </w:r>
      <w:r w:rsidRPr="00FD50F6">
        <w:t>间隔不</w:t>
      </w:r>
      <w:r w:rsidRPr="00FD50F6">
        <w:rPr>
          <w:rFonts w:hint="eastAsia"/>
        </w:rPr>
        <w:t>宜</w:t>
      </w:r>
      <w:r w:rsidRPr="00FD50F6">
        <w:t>大于</w:t>
      </w:r>
      <w:r w:rsidRPr="00FD50F6">
        <w:t>3min</w:t>
      </w:r>
      <w:r w:rsidRPr="00FD50F6">
        <w:t>，平峰时段最大行车间隔不宜大于</w:t>
      </w:r>
      <w:r w:rsidRPr="00FD50F6">
        <w:t>6min</w:t>
      </w:r>
      <w:r w:rsidRPr="00FD50F6">
        <w:rPr>
          <w:rFonts w:hint="eastAsia"/>
        </w:rPr>
        <w:t>；</w:t>
      </w:r>
      <w:r w:rsidRPr="00FD50F6">
        <w:t>当线路为快线或复合功能线路时</w:t>
      </w:r>
      <w:r w:rsidRPr="00FD50F6">
        <w:rPr>
          <w:rFonts w:hint="eastAsia"/>
        </w:rPr>
        <w:t>，高峰、平峰时段最小行车间隔可适当加大。</w:t>
      </w:r>
    </w:p>
    <w:p w14:paraId="326ED21E" w14:textId="6097F6FD" w:rsidR="00BC444B" w:rsidRPr="00FD50F6" w:rsidRDefault="00BC444B" w:rsidP="00A926BD">
      <w:pPr>
        <w:pStyle w:val="4"/>
      </w:pPr>
      <w:r w:rsidRPr="00FD50F6">
        <w:rPr>
          <w:rFonts w:hint="eastAsia"/>
        </w:rPr>
        <w:t>当线路与其</w:t>
      </w:r>
      <w:r w:rsidRPr="00FD50F6">
        <w:t>他</w:t>
      </w:r>
      <w:r w:rsidRPr="00FD50F6">
        <w:rPr>
          <w:rFonts w:hint="eastAsia"/>
        </w:rPr>
        <w:t>既有线路换乘</w:t>
      </w:r>
      <w:r w:rsidRPr="00FD50F6">
        <w:t>时</w:t>
      </w:r>
      <w:r w:rsidRPr="00FD50F6">
        <w:rPr>
          <w:rFonts w:hint="eastAsia"/>
        </w:rPr>
        <w:t>，列车运行间隔应满足网络化运营匹配的需要</w:t>
      </w:r>
      <w:r w:rsidR="0050686C">
        <w:rPr>
          <w:rFonts w:hint="eastAsia"/>
        </w:rPr>
        <w:t>。</w:t>
      </w:r>
    </w:p>
    <w:p w14:paraId="607FA848" w14:textId="69D57501" w:rsidR="00BC444B" w:rsidRPr="00FD50F6" w:rsidRDefault="00BC444B" w:rsidP="00A926BD">
      <w:pPr>
        <w:pStyle w:val="4"/>
      </w:pPr>
      <w:r w:rsidRPr="00FD50F6">
        <w:rPr>
          <w:rFonts w:hint="eastAsia"/>
        </w:rPr>
        <w:t>当行车间隔大于</w:t>
      </w:r>
      <w:r w:rsidRPr="00FD50F6">
        <w:t>6min</w:t>
      </w:r>
      <w:r w:rsidRPr="00FD50F6">
        <w:t>或</w:t>
      </w:r>
      <w:r w:rsidRPr="00FD50F6">
        <w:rPr>
          <w:rFonts w:hint="eastAsia"/>
        </w:rPr>
        <w:t>开行</w:t>
      </w:r>
      <w:r w:rsidRPr="00FD50F6">
        <w:t>快慢车</w:t>
      </w:r>
      <w:r w:rsidRPr="00FD50F6">
        <w:rPr>
          <w:rFonts w:hint="eastAsia"/>
        </w:rPr>
        <w:t>、跨线列车、直达列车时，应提供时刻表运营服务。</w:t>
      </w:r>
    </w:p>
    <w:p w14:paraId="1C67B4C4" w14:textId="5FFD3BCC" w:rsidR="00BC444B" w:rsidRPr="00FD50F6" w:rsidRDefault="00BC444B" w:rsidP="00BC444B">
      <w:pPr>
        <w:pStyle w:val="30"/>
      </w:pPr>
      <w:r w:rsidRPr="00FD50F6">
        <w:rPr>
          <w:rFonts w:hint="eastAsia"/>
        </w:rPr>
        <w:t>地铁线路宜避免同区间、同方向、同时间</w:t>
      </w:r>
      <w:r w:rsidRPr="00FD50F6">
        <w:t>出现</w:t>
      </w:r>
      <w:r w:rsidRPr="00FD50F6">
        <w:rPr>
          <w:rFonts w:hint="eastAsia"/>
        </w:rPr>
        <w:t>三列及以上列车运行的状况。当出现同区间、同方向、同时间存在三列及以上列车运行在地下、高架长大区间时，并应符合以下规定：</w:t>
      </w:r>
    </w:p>
    <w:p w14:paraId="518E782D" w14:textId="10EBDA47" w:rsidR="00BC444B" w:rsidRPr="00FD50F6" w:rsidRDefault="00BC444B" w:rsidP="00A926BD">
      <w:pPr>
        <w:pStyle w:val="4"/>
      </w:pPr>
      <w:r w:rsidRPr="00FD50F6">
        <w:rPr>
          <w:rFonts w:hint="eastAsia"/>
        </w:rPr>
        <w:t>当列车在长大区间发生灾害和故障时，应运行至前方车站进行乘客疏散；</w:t>
      </w:r>
    </w:p>
    <w:p w14:paraId="61A5404B" w14:textId="77777777" w:rsidR="00BC444B" w:rsidRPr="00FD50F6" w:rsidRDefault="00BC444B" w:rsidP="00A926BD">
      <w:pPr>
        <w:pStyle w:val="4"/>
      </w:pPr>
      <w:r w:rsidRPr="00FD50F6">
        <w:rPr>
          <w:rFonts w:hint="eastAsia"/>
        </w:rPr>
        <w:t>当列车被迫在长大区间停车，并引起后续列车堵塞时，应采取行车组织和</w:t>
      </w:r>
      <w:r w:rsidRPr="00FD50F6">
        <w:rPr>
          <w:rFonts w:hint="eastAsia"/>
        </w:rPr>
        <w:lastRenderedPageBreak/>
        <w:t>管理措施疏散被堵塞列车；</w:t>
      </w:r>
    </w:p>
    <w:p w14:paraId="1BA0774F" w14:textId="43218F1D" w:rsidR="00BC444B" w:rsidRPr="00FD50F6" w:rsidRDefault="00BC444B" w:rsidP="00A926BD">
      <w:pPr>
        <w:pStyle w:val="4"/>
      </w:pPr>
      <w:r w:rsidRPr="00FD50F6">
        <w:t>长大区间正线</w:t>
      </w:r>
      <w:r w:rsidRPr="00FD50F6">
        <w:rPr>
          <w:rFonts w:hint="eastAsia"/>
        </w:rPr>
        <w:t>宜</w:t>
      </w:r>
      <w:r w:rsidRPr="00FD50F6">
        <w:t>具备列车反向运行功能</w:t>
      </w:r>
      <w:r w:rsidRPr="00FD50F6">
        <w:rPr>
          <w:rFonts w:hint="eastAsia"/>
        </w:rPr>
        <w:t>。</w:t>
      </w:r>
    </w:p>
    <w:p w14:paraId="760DC10D" w14:textId="77777777" w:rsidR="00BC444B" w:rsidRPr="00FD50F6" w:rsidRDefault="00BC444B" w:rsidP="00BC444B">
      <w:pPr>
        <w:pStyle w:val="30"/>
      </w:pPr>
      <w:r w:rsidRPr="00FD50F6">
        <w:t>地铁线路车辆基地的</w:t>
      </w:r>
      <w:r w:rsidRPr="00FD50F6">
        <w:rPr>
          <w:rFonts w:hint="eastAsia"/>
        </w:rPr>
        <w:t>停车规模</w:t>
      </w:r>
      <w:r w:rsidRPr="00FD50F6">
        <w:t>及分配</w:t>
      </w:r>
      <w:r w:rsidRPr="00FD50F6">
        <w:rPr>
          <w:rFonts w:hint="eastAsia"/>
        </w:rPr>
        <w:t>、</w:t>
      </w:r>
      <w:r w:rsidRPr="00FD50F6">
        <w:t>接发车能力，应满足各设计年限列车运行交路和</w:t>
      </w:r>
      <w:r w:rsidRPr="00FD50F6">
        <w:rPr>
          <w:rFonts w:hint="eastAsia"/>
        </w:rPr>
        <w:t>运营</w:t>
      </w:r>
      <w:r w:rsidRPr="00FD50F6">
        <w:t>组织需要</w:t>
      </w:r>
      <w:r w:rsidRPr="00FD50F6">
        <w:rPr>
          <w:rFonts w:hint="eastAsia"/>
        </w:rPr>
        <w:t>，</w:t>
      </w:r>
      <w:r w:rsidRPr="00FD50F6">
        <w:t>并应根据城市轨道交通线网规划和地铁线路的具体条件确定。</w:t>
      </w:r>
    </w:p>
    <w:p w14:paraId="08B40823" w14:textId="797C23A6" w:rsidR="00BC444B" w:rsidRPr="00FD50F6" w:rsidRDefault="00BC444B" w:rsidP="00BC444B">
      <w:pPr>
        <w:pStyle w:val="30"/>
      </w:pPr>
      <w:r w:rsidRPr="00FD50F6">
        <w:rPr>
          <w:rFonts w:hint="eastAsia"/>
        </w:rPr>
        <w:t>地铁线路车辆基地停车规模应结合全线段场布局、用地条件、出入线接轨条件等综合确定，并应符合下列规定：</w:t>
      </w:r>
      <w:r w:rsidRPr="00FD50F6">
        <w:t xml:space="preserve"> </w:t>
      </w:r>
    </w:p>
    <w:p w14:paraId="7DA8D64A" w14:textId="2A708886" w:rsidR="00BC444B" w:rsidRPr="00FD50F6" w:rsidRDefault="00BC444B" w:rsidP="00A926BD">
      <w:pPr>
        <w:pStyle w:val="4"/>
      </w:pPr>
      <w:r w:rsidRPr="00FD50F6">
        <w:t>车辆基地</w:t>
      </w:r>
      <w:r w:rsidRPr="00FD50F6">
        <w:rPr>
          <w:rFonts w:hint="eastAsia"/>
        </w:rPr>
        <w:t>规模应与不同区域、不同时段的行车组织模式对接发车的要求相适应；</w:t>
      </w:r>
    </w:p>
    <w:p w14:paraId="5131E232" w14:textId="3AA597F5" w:rsidR="00BC444B" w:rsidRPr="00FD50F6" w:rsidRDefault="00BC444B" w:rsidP="00A926BD">
      <w:pPr>
        <w:pStyle w:val="4"/>
      </w:pPr>
      <w:r w:rsidRPr="00FD50F6">
        <w:rPr>
          <w:rFonts w:hint="eastAsia"/>
        </w:rPr>
        <w:t>当快线以通勤客流为主、早晚高峰客流断面不均衡性较大时，段场规模应满足单向加发空车、不对称行车等运行模式要求；</w:t>
      </w:r>
    </w:p>
    <w:p w14:paraId="01BF8830" w14:textId="4B5DE28A" w:rsidR="00BC444B" w:rsidRPr="00FD50F6" w:rsidRDefault="00BC444B" w:rsidP="00A926BD">
      <w:pPr>
        <w:pStyle w:val="4"/>
      </w:pPr>
      <w:r w:rsidRPr="00FD50F6">
        <w:rPr>
          <w:rFonts w:hint="eastAsia"/>
        </w:rPr>
        <w:t>当地铁快线车辆基地分布距离超过旅行速度值时，宜结合工程条件在线路中部设置具备双列位停车功能的配线；</w:t>
      </w:r>
    </w:p>
    <w:p w14:paraId="21793C4D" w14:textId="77777777" w:rsidR="00BC444B" w:rsidRPr="00FD50F6" w:rsidRDefault="00BC444B" w:rsidP="00BC444B">
      <w:pPr>
        <w:pStyle w:val="30"/>
      </w:pPr>
      <w:r w:rsidRPr="00FD50F6">
        <w:t>地铁车辆基地可根据具体情况一条线路设置一座和几条线路合建一座</w:t>
      </w:r>
      <w:r w:rsidRPr="00FD50F6">
        <w:rPr>
          <w:rFonts w:hint="eastAsia"/>
        </w:rPr>
        <w:t>；</w:t>
      </w:r>
      <w:r w:rsidRPr="00FD50F6">
        <w:t>地铁普线车辆基地距离线路任一端超过</w:t>
      </w:r>
      <w:r w:rsidRPr="00FD50F6">
        <w:rPr>
          <w:rFonts w:hint="eastAsia"/>
        </w:rPr>
        <w:t>20km</w:t>
      </w:r>
      <w:r w:rsidRPr="00FD50F6">
        <w:rPr>
          <w:rFonts w:hint="eastAsia"/>
        </w:rPr>
        <w:t>时，应增设停车场；地铁快线车辆基地距离线路任一端超过</w:t>
      </w:r>
      <w:r w:rsidRPr="00FD50F6">
        <w:rPr>
          <w:rFonts w:hint="eastAsia"/>
        </w:rPr>
        <w:t>30km</w:t>
      </w:r>
      <w:r w:rsidRPr="00FD50F6">
        <w:rPr>
          <w:rFonts w:hint="eastAsia"/>
        </w:rPr>
        <w:t>时，应增设停车场。</w:t>
      </w:r>
    </w:p>
    <w:p w14:paraId="430B10A4" w14:textId="55DAE055" w:rsidR="00BC444B" w:rsidRPr="00FD50F6" w:rsidRDefault="00BC444B" w:rsidP="00BC444B">
      <w:pPr>
        <w:pStyle w:val="30"/>
      </w:pPr>
      <w:r w:rsidRPr="00FD50F6">
        <w:t>全自动运行线路</w:t>
      </w:r>
      <w:r w:rsidRPr="00FD50F6">
        <w:rPr>
          <w:rFonts w:hint="eastAsia"/>
        </w:rPr>
        <w:t>起终点、交路折返点的车站配线应实现自动折返、自动换端功能；停车线应具备临时自动折返、自动加发空车、故障列车停放、列车自动唤醒、驾驶模式转换等功能。</w:t>
      </w:r>
    </w:p>
    <w:p w14:paraId="1A8A4609" w14:textId="5F7BE7D1" w:rsidR="00BC444B" w:rsidRPr="00FD50F6" w:rsidRDefault="00BC444B" w:rsidP="00BC444B">
      <w:pPr>
        <w:pStyle w:val="30"/>
      </w:pPr>
      <w:r w:rsidRPr="00FD50F6">
        <w:t>全自动运行线路在自动运行区与非自动运行区之间</w:t>
      </w:r>
      <w:r w:rsidRPr="00FD50F6">
        <w:rPr>
          <w:rFonts w:hint="eastAsia"/>
        </w:rPr>
        <w:t>应</w:t>
      </w:r>
      <w:r w:rsidRPr="00FD50F6">
        <w:t>进行</w:t>
      </w:r>
      <w:r w:rsidRPr="00FD50F6">
        <w:rPr>
          <w:rFonts w:hint="eastAsia"/>
        </w:rPr>
        <w:t>物理隔离。</w:t>
      </w:r>
    </w:p>
    <w:p w14:paraId="45AD94AC" w14:textId="7BF0B7BD" w:rsidR="00BC444B" w:rsidRPr="00FD50F6" w:rsidRDefault="00BC444B" w:rsidP="00BC444B">
      <w:pPr>
        <w:pStyle w:val="30"/>
      </w:pPr>
      <w:r w:rsidRPr="00FD50F6">
        <w:rPr>
          <w:rFonts w:hint="eastAsia"/>
        </w:rPr>
        <w:t>全自动运行线路</w:t>
      </w:r>
      <w:r w:rsidR="00BB5BA0">
        <w:rPr>
          <w:rFonts w:hint="eastAsia"/>
        </w:rPr>
        <w:t>的</w:t>
      </w:r>
      <w:r w:rsidRPr="00FD50F6">
        <w:rPr>
          <w:rFonts w:hint="eastAsia"/>
        </w:rPr>
        <w:t>故障或事故列车可采用牵引或推送的救援模式，应具备列车反向运行功能。救援联挂后，应采用人工驾驶模式。</w:t>
      </w:r>
    </w:p>
    <w:p w14:paraId="2F2D5650" w14:textId="77777777" w:rsidR="00BC444B" w:rsidRPr="00FD50F6" w:rsidRDefault="00BC444B" w:rsidP="00BC444B">
      <w:pPr>
        <w:pStyle w:val="30"/>
      </w:pPr>
      <w:r w:rsidRPr="00FD50F6">
        <w:t>每个运营控制中心可控制一条或数条线路。控制中心应具有对列车运行、供电等系统进行集中监控的功能。地铁车站应设置车站控制室，车站控制室应具有对列车运行、车站设备进行监视和控制的功能。</w:t>
      </w:r>
    </w:p>
    <w:p w14:paraId="79550E01" w14:textId="77777777" w:rsidR="00BC444B" w:rsidRPr="00FD50F6" w:rsidRDefault="00BC444B" w:rsidP="00BC444B">
      <w:pPr>
        <w:pStyle w:val="30"/>
      </w:pPr>
      <w:r w:rsidRPr="00FD50F6">
        <w:t>站后折返运行的列车，应在折返站清空乘客后再进入折返线。故障或事故列车退出运营前，</w:t>
      </w:r>
      <w:r w:rsidRPr="00FD50F6">
        <w:rPr>
          <w:rFonts w:hint="eastAsia"/>
        </w:rPr>
        <w:t>以及使用客车进行救援前，宜</w:t>
      </w:r>
      <w:r w:rsidRPr="00FD50F6">
        <w:t>先在车站清空乘客。</w:t>
      </w:r>
    </w:p>
    <w:p w14:paraId="4F073F7D" w14:textId="77777777" w:rsidR="00BC444B" w:rsidRPr="00FD50F6" w:rsidRDefault="00BC444B" w:rsidP="00BC444B">
      <w:pPr>
        <w:pStyle w:val="30"/>
      </w:pPr>
      <w:r w:rsidRPr="00FD50F6">
        <w:rPr>
          <w:rFonts w:hint="eastAsia"/>
        </w:rPr>
        <w:t>地铁列车必须在安全防护系统的监控下运行。</w:t>
      </w:r>
    </w:p>
    <w:p w14:paraId="641B7374" w14:textId="77777777" w:rsidR="00BC444B" w:rsidRPr="00FD50F6" w:rsidRDefault="00BC444B" w:rsidP="00BC444B">
      <w:pPr>
        <w:pStyle w:val="30"/>
      </w:pPr>
      <w:r w:rsidRPr="00FD50F6">
        <w:t>地铁列车除无人驾驶模式外，应至少配置一名司机驾驶或监控列车运行。</w:t>
      </w:r>
    </w:p>
    <w:p w14:paraId="0C290934" w14:textId="0ECDCAB1" w:rsidR="00BC444B" w:rsidRPr="00FD50F6" w:rsidRDefault="00BC444B" w:rsidP="00BC444B">
      <w:pPr>
        <w:pStyle w:val="30"/>
      </w:pPr>
      <w:r w:rsidRPr="00FD50F6">
        <w:rPr>
          <w:rFonts w:hint="eastAsia"/>
        </w:rPr>
        <w:t>采用全自动运行模式时，列车运行监控、车辆客室应急通信以及车站站</w:t>
      </w:r>
      <w:r w:rsidRPr="00FD50F6">
        <w:rPr>
          <w:rFonts w:hint="eastAsia"/>
        </w:rPr>
        <w:lastRenderedPageBreak/>
        <w:t>台屏蔽门的设置和电视监视，应符合现行国家标准</w:t>
      </w:r>
      <w:r w:rsidR="005B7F1E" w:rsidRPr="00606091">
        <w:rPr>
          <w:rFonts w:hint="eastAsia"/>
        </w:rPr>
        <w:t>《城市轨道交通工程项目规范》</w:t>
      </w:r>
      <w:r w:rsidR="005B7F1E" w:rsidRPr="00606091">
        <w:t>GB 55033</w:t>
      </w:r>
      <w:r w:rsidRPr="00FD50F6">
        <w:rPr>
          <w:rFonts w:hint="eastAsia"/>
        </w:rPr>
        <w:t>的规定。</w:t>
      </w:r>
      <w:r w:rsidRPr="00FD50F6">
        <w:t xml:space="preserve"> </w:t>
      </w:r>
    </w:p>
    <w:p w14:paraId="1D52BE20" w14:textId="77777777" w:rsidR="00BC444B" w:rsidRPr="00FD50F6" w:rsidRDefault="00BC444B" w:rsidP="00BC444B">
      <w:pPr>
        <w:pStyle w:val="30"/>
      </w:pPr>
      <w:r w:rsidRPr="00FD50F6">
        <w:rPr>
          <w:rFonts w:hint="eastAsia"/>
        </w:rPr>
        <w:t>地铁线路运行图铺画应符合下列规定：</w:t>
      </w:r>
    </w:p>
    <w:p w14:paraId="0A5487E0" w14:textId="77777777" w:rsidR="00BC444B" w:rsidRPr="00FD50F6" w:rsidRDefault="00BC444B" w:rsidP="00A926BD">
      <w:pPr>
        <w:pStyle w:val="4"/>
      </w:pPr>
      <w:r w:rsidRPr="00FD50F6">
        <w:rPr>
          <w:rFonts w:hint="eastAsia"/>
        </w:rPr>
        <w:t>地铁线路的维修天窗时间不宜小于</w:t>
      </w:r>
      <w:r w:rsidRPr="00FD50F6">
        <w:t>4h</w:t>
      </w:r>
      <w:r w:rsidRPr="00FD50F6">
        <w:rPr>
          <w:rFonts w:hint="eastAsia"/>
        </w:rPr>
        <w:t>；</w:t>
      </w:r>
    </w:p>
    <w:p w14:paraId="67ED6354" w14:textId="77777777" w:rsidR="00BC444B" w:rsidRPr="00FD50F6" w:rsidRDefault="00BC444B" w:rsidP="00A926BD">
      <w:pPr>
        <w:pStyle w:val="4"/>
      </w:pPr>
      <w:r w:rsidRPr="00FD50F6">
        <w:rPr>
          <w:rFonts w:hint="eastAsia"/>
        </w:rPr>
        <w:t>运行图铺画应考虑车站布置形式、折返方式、出入线与正线接轨形式、运用列车数量等因素。</w:t>
      </w:r>
    </w:p>
    <w:p w14:paraId="7845BC9B" w14:textId="77777777" w:rsidR="00BC444B" w:rsidRPr="00FD50F6" w:rsidRDefault="00BC444B" w:rsidP="00A65181">
      <w:pPr>
        <w:pStyle w:val="2"/>
      </w:pPr>
      <w:bookmarkStart w:id="51" w:name="_Toc112830649"/>
      <w:bookmarkStart w:id="52" w:name="_Toc235612116"/>
      <w:bookmarkStart w:id="53" w:name="_Toc306203652"/>
      <w:bookmarkStart w:id="54" w:name="_Toc320115612"/>
      <w:bookmarkStart w:id="55" w:name="_Toc320639520"/>
      <w:bookmarkStart w:id="56" w:name="_Toc344218699"/>
      <w:bookmarkStart w:id="57" w:name="_Toc78966729"/>
      <w:bookmarkStart w:id="58" w:name="_Toc112830650"/>
      <w:bookmarkStart w:id="59" w:name="_Toc235612117"/>
      <w:bookmarkEnd w:id="39"/>
      <w:bookmarkEnd w:id="40"/>
      <w:bookmarkEnd w:id="41"/>
      <w:bookmarkEnd w:id="42"/>
      <w:bookmarkEnd w:id="43"/>
      <w:bookmarkEnd w:id="51"/>
      <w:r w:rsidRPr="00FD50F6">
        <w:t>运营配线</w:t>
      </w:r>
      <w:bookmarkEnd w:id="52"/>
      <w:bookmarkEnd w:id="53"/>
      <w:bookmarkEnd w:id="54"/>
      <w:bookmarkEnd w:id="55"/>
      <w:bookmarkEnd w:id="56"/>
      <w:bookmarkEnd w:id="57"/>
      <w:bookmarkEnd w:id="58"/>
    </w:p>
    <w:p w14:paraId="26618F94" w14:textId="74E6A21A" w:rsidR="00BC444B" w:rsidRPr="00FD50F6" w:rsidRDefault="00BC444B" w:rsidP="00B90629">
      <w:pPr>
        <w:pStyle w:val="30"/>
      </w:pPr>
      <w:r w:rsidRPr="00FD50F6">
        <w:rPr>
          <w:rFonts w:hint="eastAsia"/>
        </w:rPr>
        <w:t>地铁线路应按其功能分为正线、配线和车场线。配线应包括折返线、停车线、到发线、联络线、渡线、安全线和车辆基地出入线。</w:t>
      </w:r>
    </w:p>
    <w:p w14:paraId="07CDF19E" w14:textId="7FA8CE42" w:rsidR="00BC444B" w:rsidRPr="00FD50F6" w:rsidRDefault="00BC444B" w:rsidP="00B90629">
      <w:pPr>
        <w:pStyle w:val="30"/>
      </w:pPr>
      <w:r w:rsidRPr="00FD50F6">
        <w:rPr>
          <w:rFonts w:hint="eastAsia"/>
        </w:rPr>
        <w:t>运营配线设置应满足运营组织功能和运营灵活性需求，并应结合城市发展、线网规划、段场分布、工程条件等多方面因素综合确定。</w:t>
      </w:r>
    </w:p>
    <w:p w14:paraId="02BAED81" w14:textId="77777777" w:rsidR="00BC444B" w:rsidRPr="00FD50F6" w:rsidRDefault="00BC444B" w:rsidP="00B90629">
      <w:pPr>
        <w:pStyle w:val="30"/>
      </w:pPr>
      <w:r w:rsidRPr="00FD50F6">
        <w:t>运营配线设置标准应与线路功能层次定位相适应</w:t>
      </w:r>
      <w:r w:rsidRPr="00FD50F6">
        <w:rPr>
          <w:rFonts w:hint="eastAsia"/>
        </w:rPr>
        <w:t>。地铁普线停车线间隔距离不宜超过</w:t>
      </w:r>
      <w:r w:rsidRPr="00FD50F6">
        <w:rPr>
          <w:rFonts w:hint="eastAsia"/>
        </w:rPr>
        <w:t>10km</w:t>
      </w:r>
      <w:r w:rsidRPr="00FD50F6">
        <w:rPr>
          <w:rFonts w:hint="eastAsia"/>
        </w:rPr>
        <w:t>，地铁快线停车线间隔距离不宜超过</w:t>
      </w:r>
      <w:r w:rsidRPr="00FD50F6">
        <w:rPr>
          <w:rFonts w:hint="eastAsia"/>
        </w:rPr>
        <w:t>15km</w:t>
      </w:r>
      <w:r w:rsidRPr="00FD50F6">
        <w:rPr>
          <w:rFonts w:hint="eastAsia"/>
        </w:rPr>
        <w:t>。</w:t>
      </w:r>
      <w:r w:rsidRPr="00FD50F6">
        <w:t>停车线形式和布设方向应满足</w:t>
      </w:r>
      <w:r w:rsidRPr="00FD50F6">
        <w:rPr>
          <w:rFonts w:hint="eastAsia"/>
        </w:rPr>
        <w:t>加</w:t>
      </w:r>
      <w:r w:rsidRPr="00FD50F6">
        <w:t>发空车</w:t>
      </w:r>
      <w:r w:rsidRPr="00FD50F6">
        <w:rPr>
          <w:rFonts w:hint="eastAsia"/>
        </w:rPr>
        <w:t>、备用交路、列车</w:t>
      </w:r>
      <w:r w:rsidRPr="00FD50F6">
        <w:t>停放</w:t>
      </w:r>
      <w:r w:rsidRPr="00FD50F6">
        <w:rPr>
          <w:rFonts w:hint="eastAsia"/>
        </w:rPr>
        <w:t>和</w:t>
      </w:r>
      <w:r w:rsidRPr="00FD50F6">
        <w:t>临时交路折返等运营功能</w:t>
      </w:r>
      <w:r w:rsidRPr="00FD50F6">
        <w:rPr>
          <w:rFonts w:hint="eastAsia"/>
        </w:rPr>
        <w:t>需要，</w:t>
      </w:r>
      <w:r w:rsidRPr="00FD50F6">
        <w:t>并</w:t>
      </w:r>
      <w:r w:rsidRPr="00FD50F6">
        <w:rPr>
          <w:rFonts w:hint="eastAsia"/>
        </w:rPr>
        <w:t>应</w:t>
      </w:r>
      <w:r w:rsidRPr="00FD50F6">
        <w:t>兼顾故障车待避功能</w:t>
      </w:r>
      <w:r w:rsidRPr="00FD50F6">
        <w:rPr>
          <w:rFonts w:hint="eastAsia"/>
        </w:rPr>
        <w:t>；</w:t>
      </w:r>
      <w:r w:rsidRPr="00FD50F6">
        <w:t>相邻停车线间宜设单渡线</w:t>
      </w:r>
      <w:r w:rsidRPr="00FD50F6">
        <w:rPr>
          <w:rFonts w:hint="eastAsia"/>
        </w:rPr>
        <w:t>。</w:t>
      </w:r>
    </w:p>
    <w:p w14:paraId="58361CB1" w14:textId="77777777" w:rsidR="00BC444B" w:rsidRPr="00FD50F6" w:rsidRDefault="00BC444B" w:rsidP="00B90629">
      <w:pPr>
        <w:pStyle w:val="30"/>
      </w:pPr>
      <w:r w:rsidRPr="00FD50F6">
        <w:rPr>
          <w:rFonts w:hint="eastAsia"/>
        </w:rPr>
        <w:t>线路终点站、中间折返站、分区段实施的临时终点站应设置折返线或折返渡线。当线路分期建设时，本期工程终点站配线应满足列车折返、列车停放、列车故障救援等运营功能及线路延伸工程实施的需要。</w:t>
      </w:r>
    </w:p>
    <w:p w14:paraId="2EF7A04D" w14:textId="77777777" w:rsidR="00BC444B" w:rsidRPr="00FD50F6" w:rsidRDefault="00BC444B" w:rsidP="00B90629">
      <w:pPr>
        <w:pStyle w:val="30"/>
      </w:pPr>
      <w:r w:rsidRPr="00FD50F6">
        <w:t>在靠近隧道洞口以内或临近江河岸边的车站，应根据非正常运营模式和行车组织要求，</w:t>
      </w:r>
      <w:r w:rsidRPr="00FD50F6">
        <w:rPr>
          <w:rFonts w:hint="eastAsia"/>
        </w:rPr>
        <w:t>设置满足临时运行交路需要的配线。</w:t>
      </w:r>
    </w:p>
    <w:p w14:paraId="6CCD66F6" w14:textId="77777777" w:rsidR="00BC444B" w:rsidRPr="00FD50F6" w:rsidRDefault="00BC444B" w:rsidP="00B90629">
      <w:pPr>
        <w:pStyle w:val="30"/>
      </w:pPr>
      <w:r w:rsidRPr="00FD50F6">
        <w:rPr>
          <w:rFonts w:hint="eastAsia"/>
        </w:rPr>
        <w:t>当线路不同方向上的客流断面存在较大的不均衡特征时，应预留组织不对称行车的配线条件。</w:t>
      </w:r>
    </w:p>
    <w:p w14:paraId="1EF3E607" w14:textId="635D41DF" w:rsidR="00BC444B" w:rsidRPr="00FD50F6" w:rsidRDefault="00BC444B" w:rsidP="00B90629">
      <w:pPr>
        <w:pStyle w:val="30"/>
      </w:pPr>
      <w:r w:rsidRPr="00FD50F6">
        <w:rPr>
          <w:rFonts w:hint="eastAsia"/>
        </w:rPr>
        <w:t>线路服务于</w:t>
      </w:r>
      <w:r w:rsidRPr="00FD50F6">
        <w:t>商业中心</w:t>
      </w:r>
      <w:r w:rsidRPr="00FD50F6">
        <w:rPr>
          <w:rFonts w:hint="eastAsia"/>
        </w:rPr>
        <w:t>、</w:t>
      </w:r>
      <w:r w:rsidRPr="00FD50F6">
        <w:t>体育场馆</w:t>
      </w:r>
      <w:r w:rsidRPr="00FD50F6">
        <w:rPr>
          <w:rFonts w:hint="eastAsia"/>
        </w:rPr>
        <w:t>、</w:t>
      </w:r>
      <w:r w:rsidRPr="00FD50F6">
        <w:t>大型交通枢纽</w:t>
      </w:r>
      <w:r w:rsidRPr="00FD50F6">
        <w:rPr>
          <w:rFonts w:hint="eastAsia"/>
        </w:rPr>
        <w:t>、</w:t>
      </w:r>
      <w:r w:rsidRPr="00FD50F6">
        <w:t>重要网络节点等客流集散点</w:t>
      </w:r>
      <w:r w:rsidRPr="00FD50F6">
        <w:rPr>
          <w:rFonts w:hint="eastAsia"/>
        </w:rPr>
        <w:t>的车站或相邻近</w:t>
      </w:r>
      <w:r w:rsidRPr="00FD50F6">
        <w:t>车站</w:t>
      </w:r>
      <w:r w:rsidRPr="00FD50F6">
        <w:rPr>
          <w:rFonts w:hint="eastAsia"/>
        </w:rPr>
        <w:t>，宜</w:t>
      </w:r>
      <w:r w:rsidRPr="00FD50F6">
        <w:t>设置</w:t>
      </w:r>
      <w:r w:rsidRPr="00FD50F6">
        <w:rPr>
          <w:rFonts w:hint="eastAsia"/>
        </w:rPr>
        <w:t>服务备用列车存放的配线，并应具备</w:t>
      </w:r>
      <w:r w:rsidRPr="00FD50F6">
        <w:t>向客流主要疏散方向加发空车的条件</w:t>
      </w:r>
      <w:r w:rsidRPr="00FD50F6">
        <w:rPr>
          <w:rFonts w:hint="eastAsia"/>
        </w:rPr>
        <w:t>。</w:t>
      </w:r>
    </w:p>
    <w:p w14:paraId="0DCC5B5C" w14:textId="5A146BBA" w:rsidR="00BC444B" w:rsidRPr="00FD50F6" w:rsidRDefault="00BC444B" w:rsidP="00B90629">
      <w:pPr>
        <w:pStyle w:val="30"/>
      </w:pPr>
      <w:r w:rsidRPr="00FD50F6">
        <w:rPr>
          <w:rFonts w:hint="eastAsia"/>
        </w:rPr>
        <w:t>当线路</w:t>
      </w:r>
      <w:r w:rsidRPr="00FD50F6">
        <w:t>长度超过</w:t>
      </w:r>
      <w:r w:rsidRPr="00FD50F6">
        <w:rPr>
          <w:rFonts w:hint="eastAsia"/>
        </w:rPr>
        <w:t>3</w:t>
      </w:r>
      <w:r w:rsidRPr="00FD50F6">
        <w:t>5</w:t>
      </w:r>
      <w:r w:rsidRPr="00FD50F6">
        <w:rPr>
          <w:rFonts w:hint="eastAsia"/>
        </w:rPr>
        <w:t>km</w:t>
      </w:r>
      <w:r w:rsidRPr="00FD50F6">
        <w:rPr>
          <w:rFonts w:hint="eastAsia"/>
        </w:rPr>
        <w:t>、</w:t>
      </w:r>
      <w:r w:rsidRPr="00FD50F6">
        <w:t>按单一运行交路设计控制规模时</w:t>
      </w:r>
      <w:r w:rsidRPr="00FD50F6">
        <w:rPr>
          <w:rFonts w:hint="eastAsia"/>
        </w:rPr>
        <w:t>，</w:t>
      </w:r>
      <w:r w:rsidRPr="00FD50F6">
        <w:t>应预留组织大小交路灵活运营的配线条件</w:t>
      </w:r>
      <w:r w:rsidRPr="00FD50F6">
        <w:rPr>
          <w:rFonts w:hint="eastAsia"/>
        </w:rPr>
        <w:t>。</w:t>
      </w:r>
    </w:p>
    <w:p w14:paraId="73D99077" w14:textId="77777777" w:rsidR="00BC444B" w:rsidRPr="00FD50F6" w:rsidRDefault="00BC444B" w:rsidP="00B90629">
      <w:pPr>
        <w:pStyle w:val="30"/>
      </w:pPr>
      <w:r w:rsidRPr="00FD50F6">
        <w:rPr>
          <w:rFonts w:hint="eastAsia"/>
        </w:rPr>
        <w:t>当线路车辆基地分布距离超过</w:t>
      </w:r>
      <w:r w:rsidRPr="00FD50F6">
        <w:t>40</w:t>
      </w:r>
      <w:r w:rsidRPr="00FD50F6">
        <w:rPr>
          <w:rFonts w:hint="eastAsia"/>
        </w:rPr>
        <w:t>km</w:t>
      </w:r>
      <w:r w:rsidRPr="00FD50F6">
        <w:rPr>
          <w:rFonts w:hint="eastAsia"/>
        </w:rPr>
        <w:t>时，结合工程条件，可在线路中部位</w:t>
      </w:r>
      <w:r w:rsidRPr="00FD50F6">
        <w:rPr>
          <w:rFonts w:hint="eastAsia"/>
        </w:rPr>
        <w:lastRenderedPageBreak/>
        <w:t>置设置单线双列位停车线。</w:t>
      </w:r>
    </w:p>
    <w:p w14:paraId="7C882056" w14:textId="77777777" w:rsidR="00BC444B" w:rsidRPr="00FD50F6" w:rsidRDefault="00BC444B" w:rsidP="00B90629">
      <w:pPr>
        <w:pStyle w:val="30"/>
      </w:pPr>
      <w:r w:rsidRPr="00FD50F6">
        <w:rPr>
          <w:rFonts w:hint="eastAsia"/>
        </w:rPr>
        <w:t>停车规模超过</w:t>
      </w:r>
      <w:r w:rsidRPr="00FD50F6">
        <w:rPr>
          <w:rFonts w:hint="eastAsia"/>
        </w:rPr>
        <w:t>48</w:t>
      </w:r>
      <w:r w:rsidRPr="00FD50F6">
        <w:rPr>
          <w:rFonts w:hint="eastAsia"/>
        </w:rPr>
        <w:t>列位的车辆基地宜采用八字出入线或其他能够提高收发车效率的出入线形式。</w:t>
      </w:r>
    </w:p>
    <w:p w14:paraId="0D4D6DDE" w14:textId="77777777" w:rsidR="00BC444B" w:rsidRPr="00FD50F6" w:rsidRDefault="00BC444B" w:rsidP="00B90629">
      <w:pPr>
        <w:pStyle w:val="30"/>
      </w:pPr>
      <w:r w:rsidRPr="00FD50F6">
        <w:rPr>
          <w:rFonts w:hint="eastAsia"/>
        </w:rPr>
        <w:t>采用快慢车运行模式的线路，当有列车故障救援或其他灵活运营组织需要时，越行站到发线可兼做停车线功能使用。</w:t>
      </w:r>
    </w:p>
    <w:p w14:paraId="6E7CA367" w14:textId="77777777" w:rsidR="00BC444B" w:rsidRPr="00FD50F6" w:rsidRDefault="00BC444B" w:rsidP="00B90629">
      <w:pPr>
        <w:pStyle w:val="30"/>
      </w:pPr>
      <w:r w:rsidRPr="00FD50F6">
        <w:t>在线路与其</w:t>
      </w:r>
      <w:r w:rsidRPr="00FD50F6">
        <w:rPr>
          <w:rFonts w:hint="eastAsia"/>
        </w:rPr>
        <w:t>他</w:t>
      </w:r>
      <w:r w:rsidRPr="00FD50F6">
        <w:t>正线或支线共线运行的接轨站，配线宜设置进站共轨运行方向的平行进路。</w:t>
      </w:r>
    </w:p>
    <w:p w14:paraId="3E95AABE" w14:textId="0FDC23E4" w:rsidR="00BC444B" w:rsidRPr="00FD50F6" w:rsidRDefault="00BC444B" w:rsidP="00B90629">
      <w:pPr>
        <w:pStyle w:val="30"/>
      </w:pPr>
      <w:r w:rsidRPr="00FD50F6">
        <w:rPr>
          <w:rFonts w:hint="eastAsia"/>
        </w:rPr>
        <w:t>当长大区间同区间、同方向、同时间运行</w:t>
      </w:r>
      <w:r w:rsidRPr="00F06C95">
        <w:rPr>
          <w:rFonts w:hint="eastAsia"/>
        </w:rPr>
        <w:t>三</w:t>
      </w:r>
      <w:r w:rsidRPr="00FD50F6">
        <w:rPr>
          <w:rFonts w:hint="eastAsia"/>
        </w:rPr>
        <w:t>列</w:t>
      </w:r>
      <w:r w:rsidRPr="00F06C95">
        <w:rPr>
          <w:rFonts w:hint="eastAsia"/>
        </w:rPr>
        <w:t>及以上列车时，可</w:t>
      </w:r>
      <w:r w:rsidRPr="00FD50F6">
        <w:rPr>
          <w:rFonts w:hint="eastAsia"/>
        </w:rPr>
        <w:t>在长大区间</w:t>
      </w:r>
      <w:r w:rsidRPr="00F06C95">
        <w:rPr>
          <w:rFonts w:hint="eastAsia"/>
        </w:rPr>
        <w:t>两端车站</w:t>
      </w:r>
      <w:r w:rsidRPr="00FD50F6">
        <w:rPr>
          <w:rFonts w:hint="eastAsia"/>
        </w:rPr>
        <w:t>或区间中部设置配线；当配线为单渡线时，宜按顺向布置。</w:t>
      </w:r>
    </w:p>
    <w:p w14:paraId="0EC40C79" w14:textId="6BBED06E" w:rsidR="00BC444B" w:rsidRPr="00FD50F6" w:rsidRDefault="00BC444B" w:rsidP="00B90629">
      <w:pPr>
        <w:pStyle w:val="30"/>
      </w:pPr>
      <w:r w:rsidRPr="00FD50F6">
        <w:t>当地铁快线与</w:t>
      </w:r>
      <w:r w:rsidRPr="00FD50F6">
        <w:rPr>
          <w:rFonts w:hint="eastAsia"/>
        </w:rPr>
        <w:t>地铁</w:t>
      </w:r>
      <w:r w:rsidRPr="00FD50F6">
        <w:t>普线采用同</w:t>
      </w:r>
      <w:r w:rsidRPr="00FD50F6">
        <w:rPr>
          <w:rFonts w:hint="eastAsia"/>
        </w:rPr>
        <w:t>站</w:t>
      </w:r>
      <w:r w:rsidRPr="00FD50F6">
        <w:t>台换乘时</w:t>
      </w:r>
      <w:r w:rsidRPr="00FD50F6">
        <w:rPr>
          <w:rFonts w:hint="eastAsia"/>
        </w:rPr>
        <w:t>，宜</w:t>
      </w:r>
      <w:r w:rsidRPr="00FD50F6">
        <w:t>预留列车</w:t>
      </w:r>
      <w:r w:rsidRPr="00FD50F6">
        <w:rPr>
          <w:rFonts w:hint="eastAsia"/>
        </w:rPr>
        <w:t>跨线运行</w:t>
      </w:r>
      <w:r w:rsidRPr="00FD50F6">
        <w:t>配线的土建工程条件</w:t>
      </w:r>
      <w:r w:rsidRPr="00FD50F6">
        <w:rPr>
          <w:rFonts w:hint="eastAsia"/>
        </w:rPr>
        <w:t>。</w:t>
      </w:r>
    </w:p>
    <w:p w14:paraId="121F4272" w14:textId="77777777" w:rsidR="00BC444B" w:rsidRPr="00FD50F6" w:rsidRDefault="00BC444B" w:rsidP="00B90629">
      <w:pPr>
        <w:pStyle w:val="30"/>
      </w:pPr>
      <w:r w:rsidRPr="00FD50F6">
        <w:t>实现互联互通运营或开行跨线列车运行的线路</w:t>
      </w:r>
      <w:r w:rsidRPr="00FD50F6">
        <w:rPr>
          <w:rFonts w:hint="eastAsia"/>
        </w:rPr>
        <w:t>，</w:t>
      </w:r>
      <w:r w:rsidRPr="00FD50F6">
        <w:t>配线宜设置进站共轨运行方向的平行进路。</w:t>
      </w:r>
    </w:p>
    <w:p w14:paraId="5444C3A3" w14:textId="7A81BC62" w:rsidR="00BC444B" w:rsidRPr="00FD50F6" w:rsidRDefault="00BC444B" w:rsidP="00B90629">
      <w:pPr>
        <w:pStyle w:val="30"/>
      </w:pPr>
      <w:r w:rsidRPr="00FD50F6">
        <w:rPr>
          <w:rFonts w:hint="eastAsia"/>
        </w:rPr>
        <w:t>采用</w:t>
      </w:r>
      <w:r w:rsidRPr="00FD50F6">
        <w:t>全自动运行模式</w:t>
      </w:r>
      <w:r w:rsidRPr="00FD50F6">
        <w:rPr>
          <w:rFonts w:hint="eastAsia"/>
        </w:rPr>
        <w:t>的</w:t>
      </w:r>
      <w:r w:rsidRPr="00FD50F6">
        <w:t>线路配线</w:t>
      </w:r>
      <w:r w:rsidRPr="00FD50F6">
        <w:rPr>
          <w:rFonts w:hint="eastAsia"/>
        </w:rPr>
        <w:t>，</w:t>
      </w:r>
      <w:r w:rsidRPr="00FD50F6">
        <w:t>除</w:t>
      </w:r>
      <w:r w:rsidRPr="00FD50F6">
        <w:rPr>
          <w:rFonts w:hint="eastAsia"/>
        </w:rPr>
        <w:t>应</w:t>
      </w:r>
      <w:r w:rsidRPr="00FD50F6">
        <w:t>满足本</w:t>
      </w:r>
      <w:r w:rsidRPr="00FD50F6">
        <w:rPr>
          <w:rFonts w:hint="eastAsia"/>
        </w:rPr>
        <w:t>标准</w:t>
      </w:r>
      <w:r w:rsidRPr="00FD50F6">
        <w:t>相关</w:t>
      </w:r>
      <w:r w:rsidRPr="00FD50F6">
        <w:rPr>
          <w:rFonts w:hint="eastAsia"/>
        </w:rPr>
        <w:t>条款</w:t>
      </w:r>
      <w:r w:rsidRPr="00FD50F6">
        <w:t>外</w:t>
      </w:r>
      <w:r w:rsidRPr="00FD50F6">
        <w:rPr>
          <w:rFonts w:hint="eastAsia"/>
        </w:rPr>
        <w:t>，还应具备下列功能：</w:t>
      </w:r>
    </w:p>
    <w:p w14:paraId="6D123534" w14:textId="78743F83" w:rsidR="00BC444B" w:rsidRPr="00FD50F6" w:rsidRDefault="00BC444B" w:rsidP="00A926BD">
      <w:pPr>
        <w:pStyle w:val="4"/>
      </w:pPr>
      <w:r w:rsidRPr="00FD50F6">
        <w:rPr>
          <w:rFonts w:hint="eastAsia"/>
        </w:rPr>
        <w:t>停车线、单渡线设置形式、方向等</w:t>
      </w:r>
      <w:r w:rsidRPr="00FD50F6">
        <w:t>应</w:t>
      </w:r>
      <w:r w:rsidRPr="00FD50F6">
        <w:rPr>
          <w:rFonts w:hint="eastAsia"/>
        </w:rPr>
        <w:t>与</w:t>
      </w:r>
      <w:r w:rsidRPr="00F06C95">
        <w:rPr>
          <w:rFonts w:hint="eastAsia"/>
        </w:rPr>
        <w:t>故障列车的牵引</w:t>
      </w:r>
      <w:r w:rsidRPr="00F06C95">
        <w:t>和</w:t>
      </w:r>
      <w:r w:rsidRPr="00F06C95">
        <w:rPr>
          <w:rFonts w:hint="eastAsia"/>
        </w:rPr>
        <w:t>推送救援模式相适应</w:t>
      </w:r>
      <w:r w:rsidRPr="00FD50F6">
        <w:rPr>
          <w:rFonts w:hint="eastAsia"/>
        </w:rPr>
        <w:t>；</w:t>
      </w:r>
    </w:p>
    <w:p w14:paraId="6E9008CB" w14:textId="77777777" w:rsidR="00BC444B" w:rsidRPr="00FD50F6" w:rsidRDefault="00BC444B" w:rsidP="00A926BD">
      <w:pPr>
        <w:pStyle w:val="4"/>
      </w:pPr>
      <w:r w:rsidRPr="00FD50F6">
        <w:t>配线设置应与非正常</w:t>
      </w:r>
      <w:r w:rsidRPr="00FD50F6">
        <w:rPr>
          <w:rFonts w:hint="eastAsia"/>
        </w:rPr>
        <w:t>、</w:t>
      </w:r>
      <w:r w:rsidRPr="00FD50F6">
        <w:t>紧急情况下的各种可能运行场景</w:t>
      </w:r>
      <w:r w:rsidRPr="00FD50F6">
        <w:rPr>
          <w:rFonts w:hint="eastAsia"/>
        </w:rPr>
        <w:t>相适应。</w:t>
      </w:r>
    </w:p>
    <w:p w14:paraId="26AE4C28" w14:textId="77777777" w:rsidR="00BC444B" w:rsidRPr="00FD50F6" w:rsidRDefault="00BC444B" w:rsidP="00B90629">
      <w:pPr>
        <w:pStyle w:val="30"/>
      </w:pPr>
      <w:r w:rsidRPr="00FD50F6">
        <w:rPr>
          <w:rFonts w:hint="eastAsia"/>
        </w:rPr>
        <w:t>折返线、停车线设计应符合下列规定：</w:t>
      </w:r>
    </w:p>
    <w:p w14:paraId="07AC707A" w14:textId="40EB2F29" w:rsidR="00BC444B" w:rsidRPr="00FD50F6" w:rsidRDefault="00BC444B" w:rsidP="00A926BD">
      <w:pPr>
        <w:pStyle w:val="4"/>
      </w:pPr>
      <w:r w:rsidRPr="00FD50F6">
        <w:rPr>
          <w:rFonts w:hint="eastAsia"/>
        </w:rPr>
        <w:t>结合车站站台形式，</w:t>
      </w:r>
      <w:r w:rsidR="00F06C95" w:rsidRPr="00FD50F6">
        <w:rPr>
          <w:rFonts w:hint="eastAsia"/>
        </w:rPr>
        <w:t>终点折返线布置</w:t>
      </w:r>
      <w:r w:rsidRPr="00FD50F6">
        <w:rPr>
          <w:rFonts w:hint="eastAsia"/>
        </w:rPr>
        <w:t>可采用站前折返或站后折返形式，并应满足列车折返能力的要求。</w:t>
      </w:r>
    </w:p>
    <w:p w14:paraId="7D63B8E8" w14:textId="77777777" w:rsidR="00BC444B" w:rsidRPr="00FD50F6" w:rsidRDefault="00BC444B" w:rsidP="00A926BD">
      <w:pPr>
        <w:pStyle w:val="4"/>
      </w:pPr>
      <w:r w:rsidRPr="00FD50F6">
        <w:t>中间折返站应采用站后折返或具备平行进路的三线折返形式</w:t>
      </w:r>
      <w:r w:rsidRPr="00FD50F6">
        <w:rPr>
          <w:rFonts w:hint="eastAsia"/>
        </w:rPr>
        <w:t>，并应利用渡线与正线连通。</w:t>
      </w:r>
    </w:p>
    <w:p w14:paraId="75B98C25" w14:textId="7B259F78" w:rsidR="00BC444B" w:rsidRPr="00FD50F6" w:rsidRDefault="00BC444B" w:rsidP="00A926BD">
      <w:pPr>
        <w:pStyle w:val="4"/>
      </w:pPr>
      <w:r w:rsidRPr="00FD50F6">
        <w:rPr>
          <w:rFonts w:hint="eastAsia"/>
        </w:rPr>
        <w:t>折返站的折返线宜结合停车线共同设置。</w:t>
      </w:r>
      <w:r w:rsidRPr="00FD50F6">
        <w:t>当终点站距离</w:t>
      </w:r>
      <w:r w:rsidRPr="00FD50F6">
        <w:rPr>
          <w:rFonts w:hint="eastAsia"/>
        </w:rPr>
        <w:t>车辆基地超过</w:t>
      </w:r>
      <w:r w:rsidRPr="00FD50F6">
        <w:rPr>
          <w:rFonts w:hint="eastAsia"/>
        </w:rPr>
        <w:t>10km</w:t>
      </w:r>
      <w:r w:rsidRPr="00FD50F6">
        <w:rPr>
          <w:rFonts w:hint="eastAsia"/>
        </w:rPr>
        <w:t>时，应结合折返线或停车线设置预留一定的停车列位。</w:t>
      </w:r>
    </w:p>
    <w:p w14:paraId="6A426EFC" w14:textId="77777777" w:rsidR="00BC444B" w:rsidRPr="00FD50F6" w:rsidRDefault="00BC444B" w:rsidP="00B90629">
      <w:pPr>
        <w:pStyle w:val="30"/>
      </w:pPr>
      <w:r w:rsidRPr="00FD50F6">
        <w:rPr>
          <w:rFonts w:hint="eastAsia"/>
        </w:rPr>
        <w:t>渡线设计应符合下列规定：</w:t>
      </w:r>
    </w:p>
    <w:p w14:paraId="11A8AA04" w14:textId="77777777" w:rsidR="00BC444B" w:rsidRPr="00FD50F6" w:rsidRDefault="00BC444B" w:rsidP="00A926BD">
      <w:pPr>
        <w:pStyle w:val="4"/>
      </w:pPr>
      <w:r w:rsidRPr="00FD50F6">
        <w:rPr>
          <w:rFonts w:hint="eastAsia"/>
        </w:rPr>
        <w:t>两相邻停车线之间的渡线应设置在车站端部，</w:t>
      </w:r>
      <w:r w:rsidRPr="00FD50F6">
        <w:t>宜按顺岔方向布置</w:t>
      </w:r>
      <w:r w:rsidRPr="00FD50F6">
        <w:rPr>
          <w:rFonts w:hint="eastAsia"/>
        </w:rPr>
        <w:t>；</w:t>
      </w:r>
    </w:p>
    <w:p w14:paraId="0E8F2795" w14:textId="77777777" w:rsidR="00BC444B" w:rsidRPr="00FD50F6" w:rsidRDefault="00BC444B" w:rsidP="00A926BD">
      <w:pPr>
        <w:pStyle w:val="4"/>
      </w:pPr>
      <w:r w:rsidRPr="00FD50F6">
        <w:rPr>
          <w:rFonts w:hint="eastAsia"/>
        </w:rPr>
        <w:t>与联络线配套设置的渡线应满足列车转线进路设置的方便性要求；</w:t>
      </w:r>
    </w:p>
    <w:p w14:paraId="24EE4796" w14:textId="6D63A65E" w:rsidR="00BC444B" w:rsidRPr="00FD50F6" w:rsidRDefault="00BC444B" w:rsidP="00A926BD">
      <w:pPr>
        <w:pStyle w:val="4"/>
      </w:pPr>
      <w:r w:rsidRPr="00FD50F6">
        <w:rPr>
          <w:rFonts w:hint="eastAsia"/>
        </w:rPr>
        <w:t>当终点折返站采用站后折返形式时，宜在站前设置渡线，并应按逆向布置；</w:t>
      </w:r>
      <w:r w:rsidRPr="00FD50F6">
        <w:t>当线路近期规划延伸时</w:t>
      </w:r>
      <w:r w:rsidRPr="00FD50F6">
        <w:rPr>
          <w:rFonts w:hint="eastAsia"/>
        </w:rPr>
        <w:t>，站前</w:t>
      </w:r>
      <w:r w:rsidRPr="00FD50F6">
        <w:t>可不设单渡线</w:t>
      </w:r>
      <w:r w:rsidRPr="00FD50F6">
        <w:rPr>
          <w:rFonts w:hint="eastAsia"/>
        </w:rPr>
        <w:t>。</w:t>
      </w:r>
    </w:p>
    <w:p w14:paraId="643D11C4" w14:textId="77777777" w:rsidR="00BC444B" w:rsidRPr="00FD50F6" w:rsidRDefault="00BC444B" w:rsidP="00B90629">
      <w:pPr>
        <w:pStyle w:val="30"/>
      </w:pPr>
      <w:r w:rsidRPr="00FD50F6">
        <w:rPr>
          <w:rFonts w:hint="eastAsia"/>
        </w:rPr>
        <w:lastRenderedPageBreak/>
        <w:t>车辆基地出入线设计应符合下列规定：</w:t>
      </w:r>
    </w:p>
    <w:p w14:paraId="15DF88F6" w14:textId="197D1D46" w:rsidR="00BC444B" w:rsidRPr="00FD50F6" w:rsidRDefault="00BC444B" w:rsidP="00A926BD">
      <w:pPr>
        <w:pStyle w:val="4"/>
      </w:pPr>
      <w:r w:rsidRPr="00FD50F6">
        <w:t>车辆基地出入线应满足设计运输能力对出入车作业能力的要求</w:t>
      </w:r>
      <w:r w:rsidRPr="00FD50F6">
        <w:rPr>
          <w:rFonts w:hint="eastAsia"/>
        </w:rPr>
        <w:t>，</w:t>
      </w:r>
      <w:r w:rsidRPr="00FD50F6">
        <w:t>并</w:t>
      </w:r>
      <w:r w:rsidRPr="00FD50F6">
        <w:rPr>
          <w:rFonts w:hint="eastAsia"/>
        </w:rPr>
        <w:t>宜</w:t>
      </w:r>
      <w:r w:rsidRPr="00FD50F6">
        <w:t>具备一度停车条件</w:t>
      </w:r>
      <w:r w:rsidR="00F06C95">
        <w:rPr>
          <w:rFonts w:hint="eastAsia"/>
        </w:rPr>
        <w:t>。</w:t>
      </w:r>
    </w:p>
    <w:p w14:paraId="3B960967" w14:textId="6FD8D70D" w:rsidR="00BC444B" w:rsidRPr="00FD50F6" w:rsidRDefault="00BC444B" w:rsidP="00A926BD">
      <w:pPr>
        <w:pStyle w:val="4"/>
      </w:pPr>
      <w:r w:rsidRPr="00FD50F6">
        <w:rPr>
          <w:rFonts w:hint="eastAsia"/>
        </w:rPr>
        <w:t>车辆基地出入线应具备双向接发车的能力，并应与上下行正线联通，当与正线交叉时，应采用立交形式</w:t>
      </w:r>
      <w:r w:rsidR="00F06C95">
        <w:rPr>
          <w:rFonts w:hint="eastAsia"/>
        </w:rPr>
        <w:t>。</w:t>
      </w:r>
    </w:p>
    <w:p w14:paraId="05F38B90" w14:textId="6CBEF8A5" w:rsidR="00BC444B" w:rsidRPr="00FD50F6" w:rsidRDefault="00BC444B" w:rsidP="00A926BD">
      <w:pPr>
        <w:pStyle w:val="4"/>
      </w:pPr>
      <w:r w:rsidRPr="00FD50F6">
        <w:rPr>
          <w:rFonts w:hint="eastAsia"/>
        </w:rPr>
        <w:t>当尽端式车辆基地采用“八”字线形式与正线接轨，或布置为</w:t>
      </w:r>
      <w:r w:rsidRPr="00FD50F6">
        <w:t>贯通式车辆基地</w:t>
      </w:r>
      <w:r w:rsidRPr="00FD50F6">
        <w:rPr>
          <w:rFonts w:hint="eastAsia"/>
        </w:rPr>
        <w:t>时</w:t>
      </w:r>
      <w:r w:rsidRPr="00FD50F6">
        <w:t>，</w:t>
      </w:r>
      <w:r w:rsidRPr="00FD50F6">
        <w:rPr>
          <w:rFonts w:hint="eastAsia"/>
        </w:rPr>
        <w:t>主要方向的</w:t>
      </w:r>
      <w:r w:rsidRPr="00FD50F6">
        <w:t>出入线</w:t>
      </w:r>
      <w:r w:rsidRPr="00FD50F6">
        <w:rPr>
          <w:rFonts w:hint="eastAsia"/>
        </w:rPr>
        <w:t>应采用双线，并</w:t>
      </w:r>
      <w:r w:rsidRPr="00FD50F6">
        <w:t>在车站端部接轨；</w:t>
      </w:r>
      <w:r w:rsidRPr="00FD50F6">
        <w:rPr>
          <w:rFonts w:hint="eastAsia"/>
        </w:rPr>
        <w:t>次要方向可采用单线</w:t>
      </w:r>
      <w:r w:rsidRPr="00FD50F6">
        <w:t>。</w:t>
      </w:r>
      <w:r w:rsidRPr="00FD50F6">
        <w:rPr>
          <w:rFonts w:hint="eastAsia"/>
        </w:rPr>
        <w:t>当次要方向出入线受用地或工程实施条件制约，车站接轨方式实施困难或工程代价较大时，在满足系统设计能力要求的前提下，可采用区间接轨</w:t>
      </w:r>
      <w:r w:rsidR="00F06C95">
        <w:rPr>
          <w:rFonts w:hint="eastAsia"/>
        </w:rPr>
        <w:t>。</w:t>
      </w:r>
    </w:p>
    <w:p w14:paraId="6B3DD04D" w14:textId="7555B392" w:rsidR="00BC444B" w:rsidRPr="00FD50F6" w:rsidRDefault="00BC444B" w:rsidP="00A926BD">
      <w:pPr>
        <w:pStyle w:val="4"/>
      </w:pPr>
      <w:r w:rsidRPr="00FD50F6">
        <w:t>地铁环线的</w:t>
      </w:r>
      <w:r w:rsidRPr="00FD50F6">
        <w:rPr>
          <w:rFonts w:hint="eastAsia"/>
        </w:rPr>
        <w:t>车辆基地</w:t>
      </w:r>
      <w:r w:rsidRPr="00FD50F6">
        <w:t>出入线应采用八字线或具备向内</w:t>
      </w:r>
      <w:r w:rsidRPr="00FD50F6">
        <w:rPr>
          <w:rFonts w:hint="eastAsia"/>
        </w:rPr>
        <w:t>、</w:t>
      </w:r>
      <w:r w:rsidRPr="00FD50F6">
        <w:t>外环双向</w:t>
      </w:r>
      <w:r w:rsidRPr="00FD50F6">
        <w:rPr>
          <w:rFonts w:hint="eastAsia"/>
        </w:rPr>
        <w:t>收发</w:t>
      </w:r>
      <w:r w:rsidRPr="00FD50F6">
        <w:t>车功能的配线形式</w:t>
      </w:r>
      <w:r w:rsidRPr="00FD50F6">
        <w:rPr>
          <w:rFonts w:hint="eastAsia"/>
        </w:rPr>
        <w:t>；当地铁线路小半径曲线较多，有缓解轮轨偏磨需要时，出入线宜采用八字线</w:t>
      </w:r>
      <w:r w:rsidR="00F06C95">
        <w:rPr>
          <w:rFonts w:hint="eastAsia"/>
        </w:rPr>
        <w:t>。</w:t>
      </w:r>
    </w:p>
    <w:p w14:paraId="3D6D14A1" w14:textId="73D6DBF3" w:rsidR="00BC444B" w:rsidRPr="00FD50F6" w:rsidRDefault="00BC444B" w:rsidP="00A926BD">
      <w:pPr>
        <w:pStyle w:val="4"/>
      </w:pPr>
      <w:r w:rsidRPr="00FD50F6">
        <w:rPr>
          <w:rFonts w:hint="eastAsia"/>
        </w:rPr>
        <w:t>当车辆基地停车场规模不超过</w:t>
      </w:r>
      <w:r w:rsidRPr="00FD50F6">
        <w:rPr>
          <w:rFonts w:hint="eastAsia"/>
        </w:rPr>
        <w:t>12</w:t>
      </w:r>
      <w:r w:rsidRPr="00FD50F6">
        <w:rPr>
          <w:rFonts w:hint="eastAsia"/>
        </w:rPr>
        <w:t>列位时，出入线宜采用双线，困难情况下可采用单线</w:t>
      </w:r>
      <w:r w:rsidR="00F06C95">
        <w:rPr>
          <w:rFonts w:hint="eastAsia"/>
        </w:rPr>
        <w:t>。</w:t>
      </w:r>
    </w:p>
    <w:p w14:paraId="1CBD4BAB" w14:textId="14C0F97C" w:rsidR="00BC444B" w:rsidRPr="00FD50F6" w:rsidRDefault="00BC444B" w:rsidP="00A926BD">
      <w:pPr>
        <w:pStyle w:val="4"/>
      </w:pPr>
      <w:r w:rsidRPr="00FD50F6">
        <w:rPr>
          <w:rFonts w:hint="eastAsia"/>
        </w:rPr>
        <w:t>当出入线兼顾列车折返功能时，应满足正线折返、出入车等运行功能需要，并应对出入车能力进行核算</w:t>
      </w:r>
      <w:r w:rsidR="00F06C95">
        <w:rPr>
          <w:rFonts w:hint="eastAsia"/>
        </w:rPr>
        <w:t>。</w:t>
      </w:r>
    </w:p>
    <w:p w14:paraId="250C972B" w14:textId="77777777" w:rsidR="00BC444B" w:rsidRPr="00FD50F6" w:rsidRDefault="00BC444B" w:rsidP="00A926BD">
      <w:pPr>
        <w:pStyle w:val="4"/>
      </w:pPr>
      <w:r w:rsidRPr="00FD50F6">
        <w:t>当</w:t>
      </w:r>
      <w:r w:rsidRPr="00FD50F6">
        <w:rPr>
          <w:rFonts w:hint="eastAsia"/>
        </w:rPr>
        <w:t>地铁线路采用全自动运行模式</w:t>
      </w:r>
      <w:r w:rsidRPr="00FD50F6">
        <w:t>时</w:t>
      </w:r>
      <w:r w:rsidRPr="00FD50F6">
        <w:rPr>
          <w:rFonts w:hint="eastAsia"/>
        </w:rPr>
        <w:t>，为充分发挥全自动运行模式的运行效率，</w:t>
      </w:r>
      <w:r w:rsidRPr="00FD50F6">
        <w:t>出入线宜采用八字线</w:t>
      </w:r>
      <w:r w:rsidRPr="00FD50F6">
        <w:rPr>
          <w:rFonts w:hint="eastAsia"/>
        </w:rPr>
        <w:t>。</w:t>
      </w:r>
    </w:p>
    <w:p w14:paraId="58DCD755" w14:textId="77777777" w:rsidR="00BC444B" w:rsidRPr="00FD50F6" w:rsidRDefault="00BC444B" w:rsidP="00B90629">
      <w:pPr>
        <w:pStyle w:val="30"/>
      </w:pPr>
      <w:r w:rsidRPr="00FD50F6">
        <w:rPr>
          <w:rFonts w:hint="eastAsia"/>
        </w:rPr>
        <w:t>联络线设计应符合下列规定：</w:t>
      </w:r>
    </w:p>
    <w:p w14:paraId="2B3DBD1C" w14:textId="0E5DC951" w:rsidR="00BC444B" w:rsidRPr="00FD50F6" w:rsidRDefault="00BC444B" w:rsidP="00A926BD">
      <w:pPr>
        <w:pStyle w:val="4"/>
      </w:pPr>
      <w:r w:rsidRPr="00FD50F6">
        <w:t>正线之间的联络线应根据线网资源共享规划</w:t>
      </w:r>
      <w:r w:rsidRPr="00FD50F6">
        <w:rPr>
          <w:rFonts w:hint="eastAsia"/>
        </w:rPr>
        <w:t>、</w:t>
      </w:r>
      <w:r w:rsidRPr="00FD50F6">
        <w:t>线路建设时序</w:t>
      </w:r>
      <w:r w:rsidRPr="00FD50F6">
        <w:rPr>
          <w:rFonts w:hint="eastAsia"/>
        </w:rPr>
        <w:t>安排</w:t>
      </w:r>
      <w:r w:rsidRPr="00FD50F6">
        <w:t>、</w:t>
      </w:r>
      <w:r w:rsidRPr="00FD50F6">
        <w:rPr>
          <w:rFonts w:hint="eastAsia"/>
        </w:rPr>
        <w:t>网络化运营等</w:t>
      </w:r>
      <w:r w:rsidRPr="00FD50F6">
        <w:t>设置</w:t>
      </w:r>
      <w:r w:rsidRPr="00FD50F6">
        <w:rPr>
          <w:rFonts w:hint="eastAsia"/>
        </w:rPr>
        <w:t>；</w:t>
      </w:r>
    </w:p>
    <w:p w14:paraId="7A8C9DDB" w14:textId="77777777" w:rsidR="00BC444B" w:rsidRPr="00FD50F6" w:rsidRDefault="00BC444B" w:rsidP="00A926BD">
      <w:pPr>
        <w:pStyle w:val="4"/>
      </w:pPr>
      <w:r w:rsidRPr="00FD50F6">
        <w:t>承担车辆临时调度，运送大修、架修车辆，以及工程维修车辆、磨轨车等运行的相邻线路间的联络线，应设置单线；</w:t>
      </w:r>
    </w:p>
    <w:p w14:paraId="7F90CDB8" w14:textId="4A2FB56E" w:rsidR="00BC444B" w:rsidRPr="00FD50F6" w:rsidRDefault="00BC444B" w:rsidP="00A926BD">
      <w:pPr>
        <w:pStyle w:val="4"/>
      </w:pPr>
      <w:r w:rsidRPr="00FD50F6">
        <w:t>当两线间的联络线具备载客列车贯通运行</w:t>
      </w:r>
      <w:r w:rsidRPr="00FD50F6">
        <w:rPr>
          <w:rFonts w:hint="eastAsia"/>
        </w:rPr>
        <w:t>需求时，</w:t>
      </w:r>
      <w:r w:rsidRPr="00FD50F6">
        <w:t>应设置为双线</w:t>
      </w:r>
      <w:r w:rsidRPr="00FD50F6">
        <w:rPr>
          <w:rFonts w:hint="eastAsia"/>
        </w:rPr>
        <w:t>；</w:t>
      </w:r>
    </w:p>
    <w:p w14:paraId="71311316" w14:textId="77777777" w:rsidR="00BC444B" w:rsidRPr="00FD50F6" w:rsidRDefault="00BC444B" w:rsidP="00A926BD">
      <w:pPr>
        <w:pStyle w:val="4"/>
      </w:pPr>
      <w:r w:rsidRPr="00FD50F6">
        <w:t>联络线与正线的接轨点宜靠近车站，</w:t>
      </w:r>
      <w:r w:rsidRPr="00FD50F6">
        <w:rPr>
          <w:rFonts w:hint="eastAsia"/>
        </w:rPr>
        <w:t>并宜与其它配线结合设置</w:t>
      </w:r>
      <w:r w:rsidRPr="00FD50F6">
        <w:t>；</w:t>
      </w:r>
    </w:p>
    <w:p w14:paraId="02B62DF4" w14:textId="3F2D54B6" w:rsidR="00BC444B" w:rsidRPr="00FD50F6" w:rsidRDefault="00BC444B" w:rsidP="00A926BD">
      <w:pPr>
        <w:pStyle w:val="4"/>
      </w:pPr>
      <w:r w:rsidRPr="00FD50F6">
        <w:t>两线同站台平行换乘</w:t>
      </w:r>
      <w:r w:rsidRPr="00FD50F6">
        <w:rPr>
          <w:rFonts w:hint="eastAsia"/>
        </w:rPr>
        <w:t>时</w:t>
      </w:r>
      <w:r w:rsidRPr="00FD50F6">
        <w:t>宜设置渡线</w:t>
      </w:r>
      <w:r w:rsidRPr="00FD50F6">
        <w:rPr>
          <w:rFonts w:hint="eastAsia"/>
        </w:rPr>
        <w:t>联络；</w:t>
      </w:r>
    </w:p>
    <w:p w14:paraId="220D9FF7" w14:textId="77777777" w:rsidR="00BC444B" w:rsidRPr="00FD50F6" w:rsidRDefault="00BC444B" w:rsidP="00A926BD">
      <w:pPr>
        <w:pStyle w:val="4"/>
      </w:pPr>
      <w:r w:rsidRPr="00FD50F6">
        <w:t>共址建设的车辆基地应设置联络线</w:t>
      </w:r>
      <w:r w:rsidRPr="00FD50F6">
        <w:rPr>
          <w:rFonts w:hint="eastAsia"/>
        </w:rPr>
        <w:t>。</w:t>
      </w:r>
    </w:p>
    <w:p w14:paraId="7FBE94A8" w14:textId="77777777" w:rsidR="00BC444B" w:rsidRPr="00FD50F6" w:rsidRDefault="00BC444B" w:rsidP="00B90629">
      <w:pPr>
        <w:pStyle w:val="30"/>
      </w:pPr>
      <w:r w:rsidRPr="00FD50F6">
        <w:rPr>
          <w:rFonts w:hint="eastAsia"/>
        </w:rPr>
        <w:t>当采用快慢车行车组织模式时，越行</w:t>
      </w:r>
      <w:r w:rsidRPr="00FD50F6">
        <w:t>站</w:t>
      </w:r>
      <w:r w:rsidRPr="00FD50F6">
        <w:rPr>
          <w:rFonts w:hint="eastAsia"/>
        </w:rPr>
        <w:t>的配线设计应符合下列规定：</w:t>
      </w:r>
    </w:p>
    <w:p w14:paraId="4D59DE47" w14:textId="23501D52" w:rsidR="00BC444B" w:rsidRPr="00FD50F6" w:rsidRDefault="00BC444B" w:rsidP="00A926BD">
      <w:pPr>
        <w:pStyle w:val="4"/>
      </w:pPr>
      <w:r w:rsidRPr="00FD50F6">
        <w:t>快慢车越行会让站应设置越行线</w:t>
      </w:r>
      <w:r w:rsidRPr="00FD50F6">
        <w:rPr>
          <w:rFonts w:hint="eastAsia"/>
        </w:rPr>
        <w:t>。越行站配线形式应根据运营组织需要、列车过站速度等确定；越行站选取应基于远期运营组织方案，并应对各设计年</w:t>
      </w:r>
      <w:r w:rsidRPr="00FD50F6">
        <w:rPr>
          <w:rFonts w:hint="eastAsia"/>
        </w:rPr>
        <w:lastRenderedPageBreak/>
        <w:t>限具有包容性</w:t>
      </w:r>
      <w:r w:rsidR="006D06F9">
        <w:rPr>
          <w:rFonts w:hint="eastAsia"/>
        </w:rPr>
        <w:t>。</w:t>
      </w:r>
    </w:p>
    <w:p w14:paraId="0BB11D57" w14:textId="53819CE4" w:rsidR="00BC444B" w:rsidRPr="00FD50F6" w:rsidRDefault="00BC444B" w:rsidP="00A926BD">
      <w:pPr>
        <w:pStyle w:val="4"/>
      </w:pPr>
      <w:r w:rsidRPr="00FD50F6">
        <w:t>越行站配线形式宜选用四线双岛式布局</w:t>
      </w:r>
      <w:r w:rsidRPr="00FD50F6">
        <w:rPr>
          <w:rFonts w:hint="eastAsia"/>
        </w:rPr>
        <w:t>，并应兼顾停车功能；</w:t>
      </w:r>
      <w:r w:rsidRPr="00FD50F6">
        <w:t>当列车越行过站速度超过</w:t>
      </w:r>
      <w:r w:rsidRPr="00FD50F6">
        <w:rPr>
          <w:rFonts w:hint="eastAsia"/>
        </w:rPr>
        <w:t>100km</w:t>
      </w:r>
      <w:r w:rsidRPr="00FD50F6">
        <w:t>/h</w:t>
      </w:r>
      <w:r w:rsidRPr="00FD50F6">
        <w:t>时</w:t>
      </w:r>
      <w:r w:rsidRPr="00FD50F6">
        <w:rPr>
          <w:rFonts w:hint="eastAsia"/>
        </w:rPr>
        <w:t>，越行线不应设置站台</w:t>
      </w:r>
      <w:r w:rsidR="006D06F9">
        <w:rPr>
          <w:rFonts w:hint="eastAsia"/>
        </w:rPr>
        <w:t>。</w:t>
      </w:r>
    </w:p>
    <w:p w14:paraId="24BF5A64" w14:textId="2E6CC952" w:rsidR="00BC444B" w:rsidRPr="00FD50F6" w:rsidRDefault="00BC444B" w:rsidP="00A926BD">
      <w:pPr>
        <w:pStyle w:val="4"/>
      </w:pPr>
      <w:r w:rsidRPr="00FD50F6">
        <w:rPr>
          <w:rFonts w:hint="eastAsia"/>
        </w:rPr>
        <w:t>越行站配置的道岔直向通过速度应满足列车通过该区段的最高运行速度要求；侧向通过速度应</w:t>
      </w:r>
      <w:r w:rsidRPr="00FD50F6">
        <w:t>与</w:t>
      </w:r>
      <w:r w:rsidRPr="00FD50F6">
        <w:rPr>
          <w:rFonts w:hint="eastAsia"/>
        </w:rPr>
        <w:t>系统设计能力要求相匹配，并应经能力核算后确定。</w:t>
      </w:r>
    </w:p>
    <w:p w14:paraId="5BFB6241" w14:textId="77777777" w:rsidR="00BC444B" w:rsidRPr="00FD50F6" w:rsidRDefault="00BC444B" w:rsidP="00B90629">
      <w:pPr>
        <w:pStyle w:val="30"/>
      </w:pPr>
      <w:r w:rsidRPr="00FD50F6">
        <w:t>安全距离与安全线的</w:t>
      </w:r>
      <w:r w:rsidRPr="00FD50F6">
        <w:rPr>
          <w:rFonts w:hint="eastAsia"/>
        </w:rPr>
        <w:t>设计</w:t>
      </w:r>
      <w:r w:rsidRPr="00FD50F6">
        <w:t>应符合下列规定：</w:t>
      </w:r>
    </w:p>
    <w:p w14:paraId="55F52CBB" w14:textId="1E74173F" w:rsidR="00BC444B" w:rsidRPr="00FD50F6" w:rsidRDefault="00BC444B" w:rsidP="00A926BD">
      <w:pPr>
        <w:pStyle w:val="4"/>
      </w:pPr>
      <w:r w:rsidRPr="00FD50F6">
        <w:rPr>
          <w:rFonts w:hint="eastAsia"/>
        </w:rPr>
        <w:t>当</w:t>
      </w:r>
      <w:r w:rsidRPr="00FD50F6">
        <w:t>支线与</w:t>
      </w:r>
      <w:r w:rsidRPr="00FD50F6">
        <w:rPr>
          <w:rFonts w:hint="eastAsia"/>
        </w:rPr>
        <w:t>主</w:t>
      </w:r>
      <w:r w:rsidRPr="00FD50F6">
        <w:t>线接轨的车站在出站方向接轨点道岔处的警冲标至站台端部距离小于</w:t>
      </w:r>
      <w:r w:rsidRPr="00FD50F6">
        <w:t>50m</w:t>
      </w:r>
      <w:r w:rsidRPr="00FD50F6">
        <w:t>时，应设安全线</w:t>
      </w:r>
      <w:r w:rsidR="006D06F9">
        <w:rPr>
          <w:rFonts w:hint="eastAsia"/>
        </w:rPr>
        <w:t>。</w:t>
      </w:r>
    </w:p>
    <w:p w14:paraId="39C1E8F6" w14:textId="66AC9829" w:rsidR="00BC444B" w:rsidRPr="00FD50F6" w:rsidRDefault="00BC444B" w:rsidP="00A926BD">
      <w:pPr>
        <w:pStyle w:val="4"/>
      </w:pPr>
      <w:r w:rsidRPr="00FD50F6">
        <w:rPr>
          <w:rFonts w:hint="eastAsia"/>
        </w:rPr>
        <w:t>当车辆基地出入线、折返线、联络线、停车线与正线接轨时，且列车停车位置与接轨道岔之间距离小于信号安全保障距离时，应设置安全线。当出入线采用八字型布置，并在区间与正线接轨时，应设置安全线</w:t>
      </w:r>
      <w:r w:rsidR="006D06F9">
        <w:rPr>
          <w:rFonts w:hint="eastAsia"/>
        </w:rPr>
        <w:t>。</w:t>
      </w:r>
    </w:p>
    <w:p w14:paraId="5F12F5D7" w14:textId="065659A7" w:rsidR="00BC444B" w:rsidRPr="00FD50F6" w:rsidRDefault="00BC444B" w:rsidP="00A926BD">
      <w:pPr>
        <w:pStyle w:val="4"/>
      </w:pPr>
      <w:r w:rsidRPr="00FD50F6">
        <w:t>列车折返线与停车线末端均应设置安全线，其长度应符合本</w:t>
      </w:r>
      <w:r w:rsidRPr="00FD50F6">
        <w:rPr>
          <w:rFonts w:hint="eastAsia"/>
        </w:rPr>
        <w:t>标准</w:t>
      </w:r>
      <w:r w:rsidRPr="00FD50F6">
        <w:t>第</w:t>
      </w:r>
      <w:r w:rsidRPr="006D06F9">
        <w:t>7.4.3</w:t>
      </w:r>
      <w:r w:rsidRPr="006D06F9">
        <w:rPr>
          <w:rFonts w:hint="eastAsia"/>
        </w:rPr>
        <w:t>条第</w:t>
      </w:r>
      <w:r w:rsidRPr="006D06F9">
        <w:t>7</w:t>
      </w:r>
      <w:r w:rsidRPr="006D06F9">
        <w:rPr>
          <w:rFonts w:hint="eastAsia"/>
        </w:rPr>
        <w:t>款</w:t>
      </w:r>
      <w:r w:rsidRPr="00FD50F6">
        <w:t>的规定</w:t>
      </w:r>
      <w:r w:rsidR="006D06F9">
        <w:rPr>
          <w:rFonts w:hint="eastAsia"/>
        </w:rPr>
        <w:t>。</w:t>
      </w:r>
    </w:p>
    <w:p w14:paraId="756E1617" w14:textId="39BA1FB4" w:rsidR="00BC444B" w:rsidRPr="00FD50F6" w:rsidRDefault="00BC444B" w:rsidP="00A926BD">
      <w:pPr>
        <w:pStyle w:val="4"/>
      </w:pPr>
      <w:r w:rsidRPr="00FD50F6">
        <w:t>安全线自道岔前端基本轨缝（含道岔）至车挡前长度应为</w:t>
      </w:r>
      <w:r w:rsidRPr="00FD50F6">
        <w:t>50m</w:t>
      </w:r>
      <w:r w:rsidRPr="00FD50F6">
        <w:t>（不含车挡）。在</w:t>
      </w:r>
      <w:r w:rsidRPr="00FD50F6">
        <w:rPr>
          <w:rFonts w:hint="eastAsia"/>
        </w:rPr>
        <w:t>特殊情况下，缩短长度可采</w:t>
      </w:r>
      <w:r w:rsidRPr="00FD50F6">
        <w:t>取限速和增加阻尼措施</w:t>
      </w:r>
      <w:r w:rsidR="006D06F9">
        <w:rPr>
          <w:rFonts w:hint="eastAsia"/>
        </w:rPr>
        <w:t>。</w:t>
      </w:r>
    </w:p>
    <w:p w14:paraId="1B525A28" w14:textId="77777777" w:rsidR="00BC444B" w:rsidRPr="00FD50F6" w:rsidRDefault="00BC444B" w:rsidP="00A926BD">
      <w:pPr>
        <w:pStyle w:val="4"/>
      </w:pPr>
      <w:r w:rsidRPr="00FD50F6">
        <w:rPr>
          <w:rFonts w:hint="eastAsia"/>
        </w:rPr>
        <w:t>与正线直接接轨的支线、载客列车运行的联络线、与区间接轨的车辆基地出入线，在接入正线时，宜设置安全线。</w:t>
      </w:r>
    </w:p>
    <w:p w14:paraId="4159764A" w14:textId="77777777" w:rsidR="00BC444B" w:rsidRPr="00FD50F6" w:rsidRDefault="00BC444B" w:rsidP="00A65181">
      <w:pPr>
        <w:pStyle w:val="2"/>
      </w:pPr>
      <w:bookmarkStart w:id="60" w:name="_Toc78966730"/>
      <w:bookmarkStart w:id="61" w:name="_Toc306203653"/>
      <w:bookmarkStart w:id="62" w:name="_Toc320115613"/>
      <w:bookmarkStart w:id="63" w:name="_Toc320639521"/>
      <w:bookmarkStart w:id="64" w:name="_Toc344218700"/>
      <w:bookmarkStart w:id="65" w:name="_Toc78966731"/>
      <w:bookmarkStart w:id="66" w:name="_Toc112830651"/>
      <w:bookmarkEnd w:id="60"/>
      <w:r w:rsidRPr="00FD50F6">
        <w:t>运营管理</w:t>
      </w:r>
      <w:bookmarkEnd w:id="59"/>
      <w:bookmarkEnd w:id="61"/>
      <w:bookmarkEnd w:id="62"/>
      <w:bookmarkEnd w:id="63"/>
      <w:bookmarkEnd w:id="64"/>
      <w:bookmarkEnd w:id="65"/>
      <w:bookmarkEnd w:id="66"/>
    </w:p>
    <w:p w14:paraId="201BD2D8" w14:textId="17FB7B39" w:rsidR="00BC444B" w:rsidRPr="00FD50F6" w:rsidRDefault="00BC444B" w:rsidP="00B90629">
      <w:pPr>
        <w:pStyle w:val="30"/>
      </w:pPr>
      <w:r w:rsidRPr="00FD50F6">
        <w:t>结合地铁运营管理功能要求，</w:t>
      </w:r>
      <w:r w:rsidRPr="00FD50F6">
        <w:rPr>
          <w:rFonts w:hint="eastAsia"/>
        </w:rPr>
        <w:t>运营管理系统应</w:t>
      </w:r>
      <w:r w:rsidRPr="00FD50F6">
        <w:t>满足线路运营任务的需要，并应实现系统的安全、高效、节能运营。</w:t>
      </w:r>
    </w:p>
    <w:p w14:paraId="667479C4" w14:textId="77777777" w:rsidR="00BC444B" w:rsidRPr="00FD50F6" w:rsidRDefault="00BC444B" w:rsidP="00B90629">
      <w:pPr>
        <w:pStyle w:val="30"/>
      </w:pPr>
      <w:r w:rsidRPr="00FD50F6">
        <w:t>运营管理资源应根据线网规划和各线条件合理配置，并应满足运营管理和维修保障的资源共享要求。</w:t>
      </w:r>
    </w:p>
    <w:p w14:paraId="1D70311E" w14:textId="77777777" w:rsidR="00BC444B" w:rsidRPr="00FD50F6" w:rsidRDefault="00BC444B" w:rsidP="00B90629">
      <w:pPr>
        <w:pStyle w:val="30"/>
      </w:pPr>
      <w:r w:rsidRPr="00FD50F6">
        <w:t>地铁设备、设施的标识系统应根据现场设备、设施的维修维护、物资管理的需要建立，地铁运营管理系统应满足对设备设施运营状态、维修状态的监控与管理。</w:t>
      </w:r>
    </w:p>
    <w:p w14:paraId="7419085D" w14:textId="77777777" w:rsidR="00BC444B" w:rsidRPr="00FD50F6" w:rsidRDefault="00BC444B" w:rsidP="00B90629">
      <w:pPr>
        <w:pStyle w:val="30"/>
      </w:pPr>
      <w:r w:rsidRPr="00FD50F6">
        <w:t>首条地铁运营线路的系统运营人员定员</w:t>
      </w:r>
      <w:r w:rsidRPr="00FD50F6">
        <w:rPr>
          <w:rFonts w:hint="eastAsia"/>
        </w:rPr>
        <w:t>指标</w:t>
      </w:r>
      <w:r w:rsidRPr="00FD50F6">
        <w:t>不宜超过</w:t>
      </w:r>
      <w:r w:rsidRPr="00FD50F6">
        <w:t>80</w:t>
      </w:r>
      <w:r w:rsidRPr="00FD50F6">
        <w:t>人</w:t>
      </w:r>
      <w:r w:rsidRPr="00FD50F6">
        <w:t>/km</w:t>
      </w:r>
      <w:r w:rsidRPr="00FD50F6">
        <w:rPr>
          <w:rFonts w:hint="eastAsia"/>
        </w:rPr>
        <w:t>；</w:t>
      </w:r>
      <w:r w:rsidRPr="00FD50F6">
        <w:t>后建的每条线路运营</w:t>
      </w:r>
      <w:r w:rsidRPr="00FD50F6">
        <w:rPr>
          <w:rFonts w:hint="eastAsia"/>
        </w:rPr>
        <w:t>人员</w:t>
      </w:r>
      <w:r w:rsidRPr="00FD50F6">
        <w:t>定员指标不宜大于</w:t>
      </w:r>
      <w:r w:rsidRPr="00FD50F6">
        <w:t>60</w:t>
      </w:r>
      <w:r w:rsidRPr="00FD50F6">
        <w:t>人</w:t>
      </w:r>
      <w:r w:rsidRPr="00FD50F6">
        <w:t>/km</w:t>
      </w:r>
      <w:r w:rsidRPr="00FD50F6">
        <w:t>。地铁</w:t>
      </w:r>
      <w:r w:rsidRPr="00FD50F6">
        <w:rPr>
          <w:rFonts w:hint="eastAsia"/>
        </w:rPr>
        <w:t>快线和</w:t>
      </w:r>
      <w:r w:rsidRPr="00FD50F6">
        <w:t>采用全自动运行的线路</w:t>
      </w:r>
      <w:r w:rsidRPr="00FD50F6">
        <w:rPr>
          <w:rFonts w:hint="eastAsia"/>
        </w:rPr>
        <w:t>，</w:t>
      </w:r>
      <w:r w:rsidRPr="00FD50F6">
        <w:t>近</w:t>
      </w:r>
      <w:r w:rsidRPr="00FD50F6">
        <w:rPr>
          <w:rFonts w:hint="eastAsia"/>
        </w:rPr>
        <w:t>、</w:t>
      </w:r>
      <w:r w:rsidRPr="00FD50F6">
        <w:t>远期</w:t>
      </w:r>
      <w:r w:rsidRPr="00FD50F6">
        <w:rPr>
          <w:rFonts w:hint="eastAsia"/>
        </w:rPr>
        <w:t>运营人员</w:t>
      </w:r>
      <w:r w:rsidRPr="00FD50F6">
        <w:t>定员指标不应超过</w:t>
      </w:r>
      <w:r w:rsidRPr="00FD50F6">
        <w:rPr>
          <w:rFonts w:hint="eastAsia"/>
        </w:rPr>
        <w:t>60</w:t>
      </w:r>
      <w:r w:rsidRPr="00FD50F6">
        <w:rPr>
          <w:rFonts w:hint="eastAsia"/>
        </w:rPr>
        <w:t>人</w:t>
      </w:r>
      <w:r w:rsidRPr="00FD50F6">
        <w:rPr>
          <w:rFonts w:hint="eastAsia"/>
        </w:rPr>
        <w:t>/km</w:t>
      </w:r>
      <w:r w:rsidRPr="00FD50F6">
        <w:rPr>
          <w:rFonts w:hint="eastAsia"/>
        </w:rPr>
        <w:t>。</w:t>
      </w:r>
    </w:p>
    <w:p w14:paraId="7F62C806" w14:textId="77777777" w:rsidR="00BC444B" w:rsidRPr="00FD50F6" w:rsidRDefault="00BC444B" w:rsidP="00B90629">
      <w:pPr>
        <w:pStyle w:val="30"/>
      </w:pPr>
      <w:r w:rsidRPr="00FD50F6">
        <w:lastRenderedPageBreak/>
        <w:t>地铁线路全日运营时间宜控制在</w:t>
      </w:r>
      <w:r w:rsidRPr="00FD50F6">
        <w:rPr>
          <w:rFonts w:hint="eastAsia"/>
        </w:rPr>
        <w:t>16h</w:t>
      </w:r>
      <w:r w:rsidRPr="00FD50F6">
        <w:t>~18h</w:t>
      </w:r>
      <w:r w:rsidRPr="00FD50F6">
        <w:rPr>
          <w:rFonts w:hint="eastAsia"/>
        </w:rPr>
        <w:t>，</w:t>
      </w:r>
      <w:r w:rsidRPr="00FD50F6">
        <w:t>晚间维修时间不宜小于</w:t>
      </w:r>
      <w:r w:rsidRPr="00FD50F6">
        <w:rPr>
          <w:rFonts w:hint="eastAsia"/>
        </w:rPr>
        <w:t>4h</w:t>
      </w:r>
      <w:r w:rsidRPr="00FD50F6">
        <w:rPr>
          <w:rFonts w:hint="eastAsia"/>
        </w:rPr>
        <w:t>，并应做好与换乘线路在运营时间上合理衔接。</w:t>
      </w:r>
    </w:p>
    <w:p w14:paraId="0BA09248" w14:textId="25B2F534" w:rsidR="00BC444B" w:rsidRPr="00FD50F6" w:rsidRDefault="00BC444B" w:rsidP="00B90629">
      <w:pPr>
        <w:pStyle w:val="30"/>
      </w:pPr>
      <w:r w:rsidRPr="00FD50F6">
        <w:rPr>
          <w:rFonts w:hint="eastAsia"/>
        </w:rPr>
        <w:t>地铁快线应结合运营模式和车站工程条件设置运营人员上下班工作交接的场所和用房。</w:t>
      </w:r>
    </w:p>
    <w:p w14:paraId="2A1890A0" w14:textId="77777777" w:rsidR="00BC444B" w:rsidRPr="00FD50F6" w:rsidRDefault="00BC444B" w:rsidP="00B90629">
      <w:pPr>
        <w:pStyle w:val="30"/>
      </w:pPr>
      <w:r w:rsidRPr="00FD50F6">
        <w:t>运营管理模式应根据运营状态确定。运营状态应包括正常运营状态、非正常运营状态和紧急运营状态。运营机构应对不同的运营状态制定相应的管理规程和规章制度，并应包括工作流程和岗位责任。</w:t>
      </w:r>
    </w:p>
    <w:p w14:paraId="0BBDDF36" w14:textId="0B711402" w:rsidR="00F112D7" w:rsidRPr="00FD50F6" w:rsidRDefault="00BC444B" w:rsidP="00B90629">
      <w:pPr>
        <w:pStyle w:val="30"/>
      </w:pPr>
      <w:r w:rsidRPr="00FD50F6">
        <w:t>地铁宜采用计程和计时票制，运营管理系统应具备客流数据和票务收入自动统计功能。</w:t>
      </w:r>
    </w:p>
    <w:p w14:paraId="08FE4513" w14:textId="55830430" w:rsidR="00A77C50" w:rsidRPr="00FD50F6" w:rsidRDefault="00A77C50">
      <w:pPr>
        <w:widowControl/>
        <w:spacing w:line="240" w:lineRule="auto"/>
        <w:jc w:val="left"/>
      </w:pPr>
      <w:r w:rsidRPr="00FD50F6">
        <w:br w:type="page"/>
      </w:r>
    </w:p>
    <w:p w14:paraId="6CB2B1FA" w14:textId="0E4FDB9E" w:rsidR="002C6A8F" w:rsidRPr="00FD50F6" w:rsidRDefault="002C6A8F" w:rsidP="002C6A8F">
      <w:pPr>
        <w:pStyle w:val="12"/>
      </w:pPr>
      <w:bookmarkStart w:id="67" w:name="_Toc320639536"/>
      <w:bookmarkStart w:id="68" w:name="_Toc320639904"/>
      <w:bookmarkStart w:id="69" w:name="_Toc320640180"/>
      <w:bookmarkStart w:id="70" w:name="_Toc321814469"/>
      <w:bookmarkStart w:id="71" w:name="_Toc321819246"/>
      <w:bookmarkStart w:id="72" w:name="_Toc321985465"/>
      <w:bookmarkStart w:id="73" w:name="_Toc324853561"/>
      <w:bookmarkStart w:id="74" w:name="_Toc320639537"/>
      <w:bookmarkStart w:id="75" w:name="_Toc320639905"/>
      <w:bookmarkStart w:id="76" w:name="_Toc320640181"/>
      <w:bookmarkStart w:id="77" w:name="_Toc321814470"/>
      <w:bookmarkStart w:id="78" w:name="_Toc321819247"/>
      <w:bookmarkStart w:id="79" w:name="_Toc321985466"/>
      <w:bookmarkStart w:id="80" w:name="_Toc324853562"/>
      <w:bookmarkStart w:id="81" w:name="_Toc320639538"/>
      <w:bookmarkStart w:id="82" w:name="_Toc320639906"/>
      <w:bookmarkStart w:id="83" w:name="_Toc320640182"/>
      <w:bookmarkStart w:id="84" w:name="_Toc321814471"/>
      <w:bookmarkStart w:id="85" w:name="_Toc321819248"/>
      <w:bookmarkStart w:id="86" w:name="_Toc321985467"/>
      <w:bookmarkStart w:id="87" w:name="_Toc324853563"/>
      <w:bookmarkStart w:id="88" w:name="_Toc320115631"/>
      <w:bookmarkStart w:id="89" w:name="_Toc320639542"/>
      <w:bookmarkStart w:id="90" w:name="_Toc320639919"/>
      <w:bookmarkStart w:id="91" w:name="_Toc320640186"/>
      <w:bookmarkStart w:id="92" w:name="_Toc320115637"/>
      <w:bookmarkStart w:id="93" w:name="_Toc320639548"/>
      <w:bookmarkStart w:id="94" w:name="_Toc320639953"/>
      <w:bookmarkStart w:id="95" w:name="_Toc320640192"/>
      <w:bookmarkStart w:id="96" w:name="_Toc321814480"/>
      <w:bookmarkStart w:id="97" w:name="_Toc321819257"/>
      <w:bookmarkStart w:id="98" w:name="_Toc321985476"/>
      <w:bookmarkStart w:id="99" w:name="_Toc324853572"/>
      <w:bookmarkStart w:id="100" w:name="_Toc320104032"/>
      <w:bookmarkStart w:id="101" w:name="_Toc320115638"/>
      <w:bookmarkStart w:id="102" w:name="_Toc320639549"/>
      <w:bookmarkStart w:id="103" w:name="_Toc320639954"/>
      <w:bookmarkStart w:id="104" w:name="_Toc320640193"/>
      <w:bookmarkStart w:id="105" w:name="_Toc321814481"/>
      <w:bookmarkStart w:id="106" w:name="_Toc321819258"/>
      <w:bookmarkStart w:id="107" w:name="_Toc321985477"/>
      <w:bookmarkStart w:id="108" w:name="_Toc324853573"/>
      <w:bookmarkStart w:id="109" w:name="_Toc320104033"/>
      <w:bookmarkStart w:id="110" w:name="_Toc320115639"/>
      <w:bookmarkStart w:id="111" w:name="_Toc320639550"/>
      <w:bookmarkStart w:id="112" w:name="_Toc320639955"/>
      <w:bookmarkStart w:id="113" w:name="_Toc320640194"/>
      <w:bookmarkStart w:id="114" w:name="_Toc320104034"/>
      <w:bookmarkStart w:id="115" w:name="_Toc320115640"/>
      <w:bookmarkStart w:id="116" w:name="_Toc320639551"/>
      <w:bookmarkStart w:id="117" w:name="_Toc320639956"/>
      <w:bookmarkStart w:id="118" w:name="_Toc320640195"/>
      <w:bookmarkStart w:id="119" w:name="_Toc320639983"/>
      <w:bookmarkStart w:id="120" w:name="_Toc320639985"/>
      <w:bookmarkStart w:id="121" w:name="_Toc320196112"/>
      <w:bookmarkStart w:id="122" w:name="_Toc320642783"/>
      <w:bookmarkStart w:id="123" w:name="_Toc320643333"/>
      <w:bookmarkStart w:id="124" w:name="_Toc320643501"/>
      <w:bookmarkStart w:id="125" w:name="_Toc111975228"/>
      <w:bookmarkStart w:id="126" w:name="_Toc115065715"/>
      <w:bookmarkStart w:id="127" w:name="_Toc119136904"/>
      <w:bookmarkStart w:id="128" w:name="_Toc111975229"/>
      <w:bookmarkStart w:id="129" w:name="_Toc115065717"/>
      <w:bookmarkStart w:id="130" w:name="_Toc111975231"/>
      <w:bookmarkStart w:id="131" w:name="_Toc115065721"/>
      <w:bookmarkStart w:id="132" w:name="_Toc119136906"/>
      <w:bookmarkStart w:id="133" w:name="_Toc115065723"/>
      <w:bookmarkStart w:id="134" w:name="_Toc119136908"/>
      <w:bookmarkStart w:id="135" w:name="_Toc111975232"/>
      <w:bookmarkStart w:id="136" w:name="_Toc115065725"/>
      <w:bookmarkStart w:id="137" w:name="_Toc119136910"/>
      <w:bookmarkStart w:id="138" w:name="_Toc111975234"/>
      <w:bookmarkStart w:id="139" w:name="_Toc115065727"/>
      <w:bookmarkStart w:id="140" w:name="_Toc119136912"/>
      <w:bookmarkStart w:id="141" w:name="_Toc111975235"/>
      <w:bookmarkStart w:id="142" w:name="_Toc115065729"/>
      <w:bookmarkStart w:id="143" w:name="_Toc111975236"/>
      <w:bookmarkStart w:id="144" w:name="_Toc115065731"/>
      <w:bookmarkStart w:id="145" w:name="_Toc119136914"/>
      <w:bookmarkStart w:id="146" w:name="_Toc111975238"/>
      <w:bookmarkStart w:id="147" w:name="_Toc115065735"/>
      <w:bookmarkStart w:id="148" w:name="_Toc119136917"/>
      <w:bookmarkStart w:id="149" w:name="_Toc111975239"/>
      <w:bookmarkStart w:id="150" w:name="_Toc115065737"/>
      <w:bookmarkStart w:id="151" w:name="_Toc111975240"/>
      <w:bookmarkStart w:id="152" w:name="_Toc115065739"/>
      <w:bookmarkStart w:id="153" w:name="_Toc119136919"/>
      <w:bookmarkStart w:id="154" w:name="_Toc320196134"/>
      <w:bookmarkStart w:id="155" w:name="_Toc320643523"/>
      <w:bookmarkStart w:id="156" w:name="_Toc306203654"/>
      <w:bookmarkStart w:id="157" w:name="_Toc320115614"/>
      <w:bookmarkStart w:id="158" w:name="_Toc320639522"/>
      <w:bookmarkStart w:id="159" w:name="_Toc344218701"/>
      <w:bookmarkStart w:id="160" w:name="_Toc11283065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FD50F6">
        <w:lastRenderedPageBreak/>
        <w:t>车</w:t>
      </w:r>
      <w:r w:rsidR="000A2ACC" w:rsidRPr="00FD50F6">
        <w:rPr>
          <w:rFonts w:hint="eastAsia"/>
        </w:rPr>
        <w:t xml:space="preserve"> </w:t>
      </w:r>
      <w:r w:rsidR="000A2ACC" w:rsidRPr="00FD50F6">
        <w:t xml:space="preserve"> </w:t>
      </w:r>
      <w:r w:rsidRPr="00FD50F6">
        <w:t>辆</w:t>
      </w:r>
      <w:bookmarkEnd w:id="156"/>
      <w:bookmarkEnd w:id="157"/>
      <w:bookmarkEnd w:id="158"/>
      <w:bookmarkEnd w:id="159"/>
      <w:bookmarkEnd w:id="160"/>
    </w:p>
    <w:p w14:paraId="1E62AC7F" w14:textId="77777777" w:rsidR="002C6A8F" w:rsidRPr="00FD50F6" w:rsidRDefault="002C6A8F" w:rsidP="00010C49">
      <w:pPr>
        <w:pStyle w:val="2"/>
        <w:numPr>
          <w:ilvl w:val="1"/>
          <w:numId w:val="47"/>
        </w:numPr>
      </w:pPr>
      <w:bookmarkStart w:id="161" w:name="_Toc125086710"/>
      <w:bookmarkStart w:id="162" w:name="_Toc306203655"/>
      <w:bookmarkStart w:id="163" w:name="_Toc320115615"/>
      <w:bookmarkStart w:id="164" w:name="_Toc320639523"/>
      <w:bookmarkStart w:id="165" w:name="_Toc344218702"/>
      <w:bookmarkStart w:id="166" w:name="_Toc112830653"/>
      <w:r w:rsidRPr="00FD50F6">
        <w:t>一般规定</w:t>
      </w:r>
      <w:bookmarkEnd w:id="161"/>
      <w:bookmarkEnd w:id="162"/>
      <w:bookmarkEnd w:id="163"/>
      <w:bookmarkEnd w:id="164"/>
      <w:bookmarkEnd w:id="165"/>
      <w:bookmarkEnd w:id="166"/>
    </w:p>
    <w:p w14:paraId="4A805489" w14:textId="6E9B1B36" w:rsidR="002C6A8F" w:rsidRPr="00FD50F6" w:rsidRDefault="002C6A8F" w:rsidP="002C6A8F">
      <w:pPr>
        <w:pStyle w:val="30"/>
      </w:pPr>
      <w:r w:rsidRPr="00FD50F6">
        <w:t>地铁车辆技术要求除应符合本章规定外，尚应符合现行国家标准《地铁车辆通用技术条件》</w:t>
      </w:r>
      <w:r w:rsidRPr="00FD50F6">
        <w:t>GB/T 7928</w:t>
      </w:r>
      <w:r w:rsidRPr="00FD50F6">
        <w:t>的规定。车辆组装后的检查和试验应符合现行国家标准</w:t>
      </w:r>
      <w:r w:rsidR="00AA0E76" w:rsidRPr="00C10734">
        <w:t>《城市轨道交通车辆组装后</w:t>
      </w:r>
      <w:r w:rsidR="00AA0E76">
        <w:rPr>
          <w:rFonts w:hint="eastAsia"/>
        </w:rPr>
        <w:t>的</w:t>
      </w:r>
      <w:r w:rsidR="00AA0E76" w:rsidRPr="00C10734">
        <w:t>检查</w:t>
      </w:r>
      <w:r w:rsidR="00AA0E76">
        <w:rPr>
          <w:rFonts w:hint="eastAsia"/>
        </w:rPr>
        <w:t>与</w:t>
      </w:r>
      <w:r w:rsidR="00AA0E76" w:rsidRPr="00C10734">
        <w:t>试验规则》</w:t>
      </w:r>
      <w:r w:rsidRPr="00FD50F6">
        <w:t>GB/T 14894</w:t>
      </w:r>
      <w:r w:rsidRPr="00FD50F6">
        <w:t>的规定。</w:t>
      </w:r>
    </w:p>
    <w:p w14:paraId="3837E1CA" w14:textId="77777777" w:rsidR="002C6A8F" w:rsidRPr="00FD50F6" w:rsidRDefault="002C6A8F" w:rsidP="002C6A8F">
      <w:pPr>
        <w:pStyle w:val="30"/>
      </w:pPr>
      <w:r w:rsidRPr="00FD50F6">
        <w:t>车辆应确保在寿命周期内正常运行时的行车安全和人身安全；同时应具备故障、事故和灾难情况下对人员和车辆救助的条件。</w:t>
      </w:r>
    </w:p>
    <w:p w14:paraId="52DDC9F0" w14:textId="77777777" w:rsidR="002C6A8F" w:rsidRPr="00FD50F6" w:rsidRDefault="002C6A8F" w:rsidP="002C6A8F">
      <w:pPr>
        <w:pStyle w:val="30"/>
        <w:rPr>
          <w:rFonts w:eastAsia="黑体"/>
        </w:rPr>
      </w:pPr>
      <w:r w:rsidRPr="00FD50F6">
        <w:rPr>
          <w:rFonts w:hint="eastAsia"/>
        </w:rPr>
        <w:t>车辆所使用的非金属材料应为不燃材料或无卤、低烟的阻燃材料</w:t>
      </w:r>
      <w:r w:rsidRPr="00FD50F6">
        <w:rPr>
          <w:rFonts w:eastAsia="黑体"/>
        </w:rPr>
        <w:t>。</w:t>
      </w:r>
    </w:p>
    <w:p w14:paraId="2198E7F0" w14:textId="77777777" w:rsidR="002C6A8F" w:rsidRPr="00FD50F6" w:rsidRDefault="002C6A8F" w:rsidP="002C6A8F">
      <w:pPr>
        <w:pStyle w:val="30"/>
      </w:pPr>
      <w:r w:rsidRPr="00FD50F6">
        <w:t>车辆应采取减振与防噪措施。</w:t>
      </w:r>
    </w:p>
    <w:p w14:paraId="02069D4F" w14:textId="11E0100C" w:rsidR="002C6A8F" w:rsidRPr="00FD50F6" w:rsidRDefault="002C6A8F" w:rsidP="002C6A8F">
      <w:pPr>
        <w:pStyle w:val="30"/>
      </w:pPr>
      <w:r w:rsidRPr="00FD50F6">
        <w:t>车辆类型应根据预测客流量、环境条件、线路条件、运输能力要求等因素综合比较选定。地铁车辆的主要技术规格应符合表</w:t>
      </w:r>
      <w:r w:rsidR="00F70ADA" w:rsidRPr="00FD50F6">
        <w:t>5</w:t>
      </w:r>
      <w:r w:rsidRPr="00FD50F6">
        <w:t>.1.5</w:t>
      </w:r>
      <w:r w:rsidRPr="00FD50F6">
        <w:t>的规定。</w:t>
      </w:r>
    </w:p>
    <w:p w14:paraId="52CD9F3D" w14:textId="3CDA7B54" w:rsidR="002C6A8F" w:rsidRPr="00FD50F6" w:rsidRDefault="002C6A8F" w:rsidP="002C6A8F">
      <w:pPr>
        <w:pStyle w:val="6"/>
      </w:pPr>
      <w:r w:rsidRPr="00FD50F6">
        <w:t>表</w:t>
      </w:r>
      <w:r w:rsidR="00F70ADA" w:rsidRPr="00FD50F6">
        <w:t>5</w:t>
      </w:r>
      <w:r w:rsidRPr="00FD50F6">
        <w:t xml:space="preserve">.1.5  </w:t>
      </w:r>
      <w:r w:rsidRPr="00FD50F6">
        <w:t>地铁车辆的主要技术规格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409"/>
        <w:gridCol w:w="102"/>
        <w:gridCol w:w="1095"/>
        <w:gridCol w:w="1428"/>
        <w:gridCol w:w="10"/>
        <w:gridCol w:w="1383"/>
        <w:gridCol w:w="1728"/>
        <w:gridCol w:w="1373"/>
      </w:tblGrid>
      <w:tr w:rsidR="007370F2" w:rsidRPr="00FD50F6" w14:paraId="702C83D9" w14:textId="77777777" w:rsidTr="009D510E">
        <w:trPr>
          <w:trHeight w:val="106"/>
          <w:tblHeader/>
          <w:jc w:val="center"/>
        </w:trPr>
        <w:tc>
          <w:tcPr>
            <w:tcW w:w="1528" w:type="pct"/>
            <w:gridSpan w:val="4"/>
            <w:vMerge w:val="restart"/>
            <w:vAlign w:val="center"/>
          </w:tcPr>
          <w:p w14:paraId="3562C234" w14:textId="77777777" w:rsidR="007370F2" w:rsidRPr="00FD50F6" w:rsidRDefault="007370F2" w:rsidP="002B733E">
            <w:pPr>
              <w:pStyle w:val="7"/>
            </w:pPr>
            <w:r w:rsidRPr="00FD50F6">
              <w:t>名称</w:t>
            </w:r>
          </w:p>
        </w:tc>
        <w:tc>
          <w:tcPr>
            <w:tcW w:w="1654" w:type="pct"/>
            <w:gridSpan w:val="3"/>
            <w:vAlign w:val="center"/>
          </w:tcPr>
          <w:p w14:paraId="28C1039B" w14:textId="77777777" w:rsidR="007370F2" w:rsidRPr="00FD50F6" w:rsidRDefault="007370F2" w:rsidP="002B733E">
            <w:pPr>
              <w:pStyle w:val="7"/>
            </w:pPr>
            <w:r w:rsidRPr="00FD50F6">
              <w:t>A</w:t>
            </w:r>
            <w:r w:rsidRPr="00FD50F6">
              <w:t>型车</w:t>
            </w:r>
          </w:p>
        </w:tc>
        <w:tc>
          <w:tcPr>
            <w:tcW w:w="1818" w:type="pct"/>
            <w:gridSpan w:val="2"/>
            <w:vAlign w:val="center"/>
          </w:tcPr>
          <w:p w14:paraId="0E190048" w14:textId="77777777" w:rsidR="007370F2" w:rsidRPr="00FD50F6" w:rsidRDefault="007370F2" w:rsidP="002B733E">
            <w:pPr>
              <w:pStyle w:val="7"/>
            </w:pPr>
            <w:r w:rsidRPr="00FD50F6">
              <w:t>B</w:t>
            </w:r>
            <w:r w:rsidRPr="00FD50F6">
              <w:t>型车</w:t>
            </w:r>
          </w:p>
        </w:tc>
      </w:tr>
      <w:tr w:rsidR="007370F2" w:rsidRPr="00FD50F6" w14:paraId="3077A497" w14:textId="77777777" w:rsidTr="009D510E">
        <w:trPr>
          <w:trHeight w:val="106"/>
          <w:tblHeader/>
          <w:jc w:val="center"/>
        </w:trPr>
        <w:tc>
          <w:tcPr>
            <w:tcW w:w="1528" w:type="pct"/>
            <w:gridSpan w:val="4"/>
            <w:vMerge/>
            <w:vAlign w:val="center"/>
          </w:tcPr>
          <w:p w14:paraId="76CB16C9" w14:textId="77777777" w:rsidR="007370F2" w:rsidRPr="00FD50F6" w:rsidRDefault="007370F2" w:rsidP="002B733E">
            <w:pPr>
              <w:pStyle w:val="7"/>
            </w:pPr>
          </w:p>
        </w:tc>
        <w:tc>
          <w:tcPr>
            <w:tcW w:w="837" w:type="pct"/>
            <w:vAlign w:val="center"/>
          </w:tcPr>
          <w:p w14:paraId="68362011" w14:textId="77777777" w:rsidR="007370F2" w:rsidRPr="00FD50F6" w:rsidRDefault="007370F2" w:rsidP="002B733E">
            <w:pPr>
              <w:pStyle w:val="7"/>
            </w:pPr>
            <w:r w:rsidRPr="00FD50F6">
              <w:rPr>
                <w:rFonts w:hint="eastAsia"/>
              </w:rPr>
              <w:t>A</w:t>
            </w:r>
            <w:r w:rsidRPr="00FD50F6">
              <w:rPr>
                <w:vertAlign w:val="subscript"/>
              </w:rPr>
              <w:t>1</w:t>
            </w:r>
            <w:r w:rsidRPr="00FD50F6">
              <w:t>型车</w:t>
            </w:r>
          </w:p>
        </w:tc>
        <w:tc>
          <w:tcPr>
            <w:tcW w:w="817" w:type="pct"/>
            <w:gridSpan w:val="2"/>
            <w:vAlign w:val="center"/>
          </w:tcPr>
          <w:p w14:paraId="7F792089" w14:textId="77777777" w:rsidR="007370F2" w:rsidRPr="00FD50F6" w:rsidRDefault="007370F2" w:rsidP="002B733E">
            <w:pPr>
              <w:pStyle w:val="7"/>
            </w:pPr>
            <w:r w:rsidRPr="00FD50F6">
              <w:rPr>
                <w:rFonts w:hint="eastAsia"/>
              </w:rPr>
              <w:t>A</w:t>
            </w:r>
            <w:r w:rsidRPr="00FD50F6">
              <w:rPr>
                <w:vertAlign w:val="subscript"/>
              </w:rPr>
              <w:t>2</w:t>
            </w:r>
            <w:r w:rsidRPr="00FD50F6">
              <w:t>型车</w:t>
            </w:r>
          </w:p>
        </w:tc>
        <w:tc>
          <w:tcPr>
            <w:tcW w:w="1013" w:type="pct"/>
            <w:vAlign w:val="center"/>
          </w:tcPr>
          <w:p w14:paraId="53A5A74F" w14:textId="77777777" w:rsidR="007370F2" w:rsidRPr="00FD50F6" w:rsidRDefault="007370F2" w:rsidP="002B733E">
            <w:pPr>
              <w:pStyle w:val="7"/>
            </w:pPr>
            <w:r w:rsidRPr="00FD50F6">
              <w:t>B</w:t>
            </w:r>
            <w:r w:rsidRPr="00FD50F6">
              <w:rPr>
                <w:vertAlign w:val="subscript"/>
              </w:rPr>
              <w:t>1</w:t>
            </w:r>
            <w:r w:rsidRPr="00FD50F6">
              <w:t>型车</w:t>
            </w:r>
          </w:p>
        </w:tc>
        <w:tc>
          <w:tcPr>
            <w:tcW w:w="805" w:type="pct"/>
            <w:vAlign w:val="center"/>
          </w:tcPr>
          <w:p w14:paraId="15106176" w14:textId="77777777" w:rsidR="007370F2" w:rsidRPr="00FD50F6" w:rsidRDefault="007370F2" w:rsidP="002B733E">
            <w:pPr>
              <w:pStyle w:val="7"/>
            </w:pPr>
            <w:r w:rsidRPr="00FD50F6">
              <w:t>B</w:t>
            </w:r>
            <w:r w:rsidRPr="00FD50F6">
              <w:rPr>
                <w:vertAlign w:val="subscript"/>
              </w:rPr>
              <w:t>2</w:t>
            </w:r>
            <w:r w:rsidRPr="00FD50F6">
              <w:t>型车</w:t>
            </w:r>
          </w:p>
        </w:tc>
      </w:tr>
      <w:tr w:rsidR="007370F2" w:rsidRPr="00FD50F6" w14:paraId="122897A2" w14:textId="77777777" w:rsidTr="009D510E">
        <w:trPr>
          <w:trHeight w:val="106"/>
          <w:jc w:val="center"/>
        </w:trPr>
        <w:tc>
          <w:tcPr>
            <w:tcW w:w="1528" w:type="pct"/>
            <w:gridSpan w:val="4"/>
            <w:vAlign w:val="center"/>
          </w:tcPr>
          <w:p w14:paraId="78F1FB96" w14:textId="77777777" w:rsidR="007370F2" w:rsidRPr="00FD50F6" w:rsidRDefault="007370F2" w:rsidP="002B733E">
            <w:pPr>
              <w:pStyle w:val="7"/>
            </w:pPr>
            <w:r w:rsidRPr="00FD50F6">
              <w:t>车辆轴数</w:t>
            </w:r>
          </w:p>
        </w:tc>
        <w:tc>
          <w:tcPr>
            <w:tcW w:w="843" w:type="pct"/>
            <w:gridSpan w:val="2"/>
            <w:vAlign w:val="center"/>
          </w:tcPr>
          <w:p w14:paraId="764D9550" w14:textId="77777777" w:rsidR="007370F2" w:rsidRPr="00FD50F6" w:rsidRDefault="007370F2" w:rsidP="002B733E">
            <w:pPr>
              <w:pStyle w:val="7"/>
            </w:pPr>
            <w:r w:rsidRPr="00FD50F6">
              <w:t>4</w:t>
            </w:r>
          </w:p>
        </w:tc>
        <w:tc>
          <w:tcPr>
            <w:tcW w:w="811" w:type="pct"/>
            <w:vAlign w:val="center"/>
          </w:tcPr>
          <w:p w14:paraId="19660697" w14:textId="77777777" w:rsidR="007370F2" w:rsidRPr="00FD50F6" w:rsidRDefault="007370F2" w:rsidP="002B733E">
            <w:pPr>
              <w:pStyle w:val="7"/>
            </w:pPr>
            <w:r w:rsidRPr="00FD50F6">
              <w:rPr>
                <w:rFonts w:hint="eastAsia"/>
              </w:rPr>
              <w:t>4</w:t>
            </w:r>
          </w:p>
        </w:tc>
        <w:tc>
          <w:tcPr>
            <w:tcW w:w="1013" w:type="pct"/>
            <w:vAlign w:val="center"/>
          </w:tcPr>
          <w:p w14:paraId="752EAEAF" w14:textId="77777777" w:rsidR="007370F2" w:rsidRPr="00FD50F6" w:rsidRDefault="007370F2" w:rsidP="002B733E">
            <w:pPr>
              <w:pStyle w:val="7"/>
            </w:pPr>
            <w:r w:rsidRPr="00FD50F6">
              <w:t>4</w:t>
            </w:r>
          </w:p>
        </w:tc>
        <w:tc>
          <w:tcPr>
            <w:tcW w:w="805" w:type="pct"/>
            <w:vAlign w:val="center"/>
          </w:tcPr>
          <w:p w14:paraId="1AF05CE6" w14:textId="77777777" w:rsidR="007370F2" w:rsidRPr="00FD50F6" w:rsidRDefault="007370F2" w:rsidP="002B733E">
            <w:pPr>
              <w:pStyle w:val="7"/>
            </w:pPr>
            <w:r w:rsidRPr="00FD50F6">
              <w:t>4</w:t>
            </w:r>
          </w:p>
        </w:tc>
      </w:tr>
      <w:tr w:rsidR="007370F2" w:rsidRPr="00FD50F6" w14:paraId="784D045F" w14:textId="77777777" w:rsidTr="009D510E">
        <w:trPr>
          <w:trHeight w:val="106"/>
          <w:jc w:val="center"/>
        </w:trPr>
        <w:tc>
          <w:tcPr>
            <w:tcW w:w="826" w:type="pct"/>
            <w:gridSpan w:val="2"/>
            <w:vMerge w:val="restart"/>
            <w:vAlign w:val="center"/>
          </w:tcPr>
          <w:p w14:paraId="3A4DDE8B" w14:textId="77777777" w:rsidR="007370F2" w:rsidRPr="00FD50F6" w:rsidRDefault="007370F2" w:rsidP="002B733E">
            <w:pPr>
              <w:pStyle w:val="7"/>
            </w:pPr>
            <w:r w:rsidRPr="00FD50F6">
              <w:t>车体基本长度（</w:t>
            </w:r>
            <w:r w:rsidRPr="00FD50F6">
              <w:t>mm</w:t>
            </w:r>
            <w:r w:rsidRPr="00FD50F6">
              <w:t>）</w:t>
            </w:r>
          </w:p>
        </w:tc>
        <w:tc>
          <w:tcPr>
            <w:tcW w:w="702" w:type="pct"/>
            <w:gridSpan w:val="2"/>
            <w:vAlign w:val="center"/>
          </w:tcPr>
          <w:p w14:paraId="585F5947" w14:textId="77777777" w:rsidR="007370F2" w:rsidRPr="00FD50F6" w:rsidRDefault="007370F2" w:rsidP="002B733E">
            <w:pPr>
              <w:pStyle w:val="7"/>
            </w:pPr>
            <w:r w:rsidRPr="00FD50F6">
              <w:t>无司机室车辆</w:t>
            </w:r>
          </w:p>
        </w:tc>
        <w:tc>
          <w:tcPr>
            <w:tcW w:w="843" w:type="pct"/>
            <w:gridSpan w:val="2"/>
            <w:vAlign w:val="center"/>
          </w:tcPr>
          <w:p w14:paraId="5CF0F061" w14:textId="77777777" w:rsidR="007370F2" w:rsidRPr="00FD50F6" w:rsidRDefault="007370F2" w:rsidP="002B733E">
            <w:pPr>
              <w:pStyle w:val="7"/>
            </w:pPr>
          </w:p>
          <w:p w14:paraId="22428F2F" w14:textId="77777777" w:rsidR="007370F2" w:rsidRPr="00FD50F6" w:rsidRDefault="007370F2" w:rsidP="002B733E">
            <w:pPr>
              <w:pStyle w:val="7"/>
            </w:pPr>
            <w:r w:rsidRPr="00FD50F6">
              <w:rPr>
                <w:rFonts w:hint="eastAsia"/>
              </w:rPr>
              <w:t>21880</w:t>
            </w:r>
          </w:p>
        </w:tc>
        <w:tc>
          <w:tcPr>
            <w:tcW w:w="811" w:type="pct"/>
            <w:vAlign w:val="center"/>
          </w:tcPr>
          <w:p w14:paraId="6E7BBEA9" w14:textId="77777777" w:rsidR="007370F2" w:rsidRPr="00FD50F6" w:rsidRDefault="007370F2" w:rsidP="002B733E">
            <w:pPr>
              <w:pStyle w:val="7"/>
            </w:pPr>
          </w:p>
          <w:p w14:paraId="1C4E4944" w14:textId="77777777" w:rsidR="007370F2" w:rsidRPr="00FD50F6" w:rsidRDefault="007370F2" w:rsidP="002B733E">
            <w:pPr>
              <w:pStyle w:val="7"/>
            </w:pPr>
            <w:r w:rsidRPr="00FD50F6">
              <w:rPr>
                <w:rFonts w:hint="eastAsia"/>
              </w:rPr>
              <w:t>21880</w:t>
            </w:r>
          </w:p>
        </w:tc>
        <w:tc>
          <w:tcPr>
            <w:tcW w:w="1013" w:type="pct"/>
            <w:vAlign w:val="center"/>
          </w:tcPr>
          <w:p w14:paraId="55B28EB5" w14:textId="77777777" w:rsidR="007370F2" w:rsidRPr="00FD50F6" w:rsidRDefault="007370F2" w:rsidP="002B733E">
            <w:pPr>
              <w:pStyle w:val="7"/>
            </w:pPr>
            <w:r w:rsidRPr="00FD50F6">
              <w:t>19000</w:t>
            </w:r>
          </w:p>
        </w:tc>
        <w:tc>
          <w:tcPr>
            <w:tcW w:w="805" w:type="pct"/>
            <w:vAlign w:val="center"/>
          </w:tcPr>
          <w:p w14:paraId="3E19A147" w14:textId="77777777" w:rsidR="007370F2" w:rsidRPr="00FD50F6" w:rsidRDefault="007370F2" w:rsidP="002B733E">
            <w:pPr>
              <w:pStyle w:val="7"/>
            </w:pPr>
            <w:r w:rsidRPr="00FD50F6">
              <w:t>19000</w:t>
            </w:r>
          </w:p>
        </w:tc>
      </w:tr>
      <w:tr w:rsidR="007370F2" w:rsidRPr="00FD50F6" w14:paraId="4B3027E0" w14:textId="77777777" w:rsidTr="009D510E">
        <w:trPr>
          <w:trHeight w:val="106"/>
          <w:jc w:val="center"/>
        </w:trPr>
        <w:tc>
          <w:tcPr>
            <w:tcW w:w="826" w:type="pct"/>
            <w:gridSpan w:val="2"/>
            <w:vMerge/>
            <w:vAlign w:val="center"/>
          </w:tcPr>
          <w:p w14:paraId="3DAD99B6" w14:textId="77777777" w:rsidR="007370F2" w:rsidRPr="00FD50F6" w:rsidRDefault="007370F2" w:rsidP="002B733E">
            <w:pPr>
              <w:pStyle w:val="7"/>
            </w:pPr>
          </w:p>
        </w:tc>
        <w:tc>
          <w:tcPr>
            <w:tcW w:w="702" w:type="pct"/>
            <w:gridSpan w:val="2"/>
            <w:vAlign w:val="center"/>
          </w:tcPr>
          <w:p w14:paraId="47EEB5DB" w14:textId="77777777" w:rsidR="007370F2" w:rsidRPr="00FD50F6" w:rsidRDefault="007370F2" w:rsidP="002B733E">
            <w:pPr>
              <w:pStyle w:val="7"/>
            </w:pPr>
            <w:r w:rsidRPr="00FD50F6">
              <w:t>单司机室车辆</w:t>
            </w:r>
          </w:p>
        </w:tc>
        <w:tc>
          <w:tcPr>
            <w:tcW w:w="843" w:type="pct"/>
            <w:gridSpan w:val="2"/>
            <w:vAlign w:val="center"/>
          </w:tcPr>
          <w:p w14:paraId="2BC36B20" w14:textId="77777777" w:rsidR="007370F2" w:rsidRPr="00FD50F6" w:rsidRDefault="007370F2" w:rsidP="002B733E">
            <w:pPr>
              <w:pStyle w:val="7"/>
            </w:pPr>
          </w:p>
          <w:p w14:paraId="02F178EE" w14:textId="77777777" w:rsidR="007370F2" w:rsidRPr="00FD50F6" w:rsidRDefault="007370F2" w:rsidP="002B733E">
            <w:pPr>
              <w:pStyle w:val="7"/>
            </w:pPr>
            <w:r w:rsidRPr="00FD50F6">
              <w:t>23</w:t>
            </w:r>
            <w:r w:rsidRPr="00FD50F6">
              <w:rPr>
                <w:rFonts w:hint="eastAsia"/>
              </w:rPr>
              <w:t>590</w:t>
            </w:r>
          </w:p>
        </w:tc>
        <w:tc>
          <w:tcPr>
            <w:tcW w:w="811" w:type="pct"/>
            <w:vAlign w:val="center"/>
          </w:tcPr>
          <w:p w14:paraId="04B8EED3" w14:textId="77777777" w:rsidR="007370F2" w:rsidRPr="00FD50F6" w:rsidRDefault="007370F2" w:rsidP="002B733E">
            <w:pPr>
              <w:pStyle w:val="7"/>
            </w:pPr>
          </w:p>
          <w:p w14:paraId="45AEB626" w14:textId="77777777" w:rsidR="007370F2" w:rsidRPr="00FD50F6" w:rsidRDefault="007370F2" w:rsidP="002B733E">
            <w:pPr>
              <w:pStyle w:val="7"/>
            </w:pPr>
            <w:r w:rsidRPr="00FD50F6">
              <w:rPr>
                <w:rFonts w:hint="eastAsia"/>
              </w:rPr>
              <w:t>23590</w:t>
            </w:r>
          </w:p>
        </w:tc>
        <w:tc>
          <w:tcPr>
            <w:tcW w:w="1013" w:type="pct"/>
            <w:vAlign w:val="center"/>
          </w:tcPr>
          <w:p w14:paraId="573FD6D3" w14:textId="77777777" w:rsidR="007370F2" w:rsidRPr="00FD50F6" w:rsidRDefault="007370F2" w:rsidP="002B733E">
            <w:pPr>
              <w:pStyle w:val="7"/>
            </w:pPr>
          </w:p>
          <w:p w14:paraId="47214C98" w14:textId="77777777" w:rsidR="007370F2" w:rsidRPr="00FD50F6" w:rsidRDefault="007370F2" w:rsidP="002B733E">
            <w:pPr>
              <w:pStyle w:val="7"/>
            </w:pPr>
            <w:r w:rsidRPr="00FD50F6">
              <w:t>19</w:t>
            </w:r>
            <w:r w:rsidRPr="00FD50F6">
              <w:rPr>
                <w:rFonts w:hint="eastAsia"/>
              </w:rPr>
              <w:t>99</w:t>
            </w:r>
            <w:r w:rsidRPr="00FD50F6">
              <w:t>0</w:t>
            </w:r>
          </w:p>
        </w:tc>
        <w:tc>
          <w:tcPr>
            <w:tcW w:w="805" w:type="pct"/>
            <w:vAlign w:val="center"/>
          </w:tcPr>
          <w:p w14:paraId="63844B4B" w14:textId="77777777" w:rsidR="007370F2" w:rsidRPr="00FD50F6" w:rsidRDefault="007370F2" w:rsidP="002B733E">
            <w:pPr>
              <w:pStyle w:val="7"/>
            </w:pPr>
          </w:p>
          <w:p w14:paraId="6549618C" w14:textId="77777777" w:rsidR="007370F2" w:rsidRPr="00FD50F6" w:rsidRDefault="007370F2" w:rsidP="002B733E">
            <w:pPr>
              <w:pStyle w:val="7"/>
            </w:pPr>
            <w:r w:rsidRPr="00FD50F6">
              <w:t>19</w:t>
            </w:r>
            <w:r w:rsidRPr="00FD50F6">
              <w:rPr>
                <w:rFonts w:hint="eastAsia"/>
              </w:rPr>
              <w:t>99</w:t>
            </w:r>
            <w:r w:rsidRPr="00FD50F6">
              <w:t>0</w:t>
            </w:r>
          </w:p>
        </w:tc>
      </w:tr>
      <w:tr w:rsidR="007370F2" w:rsidRPr="00FD50F6" w14:paraId="377517B1" w14:textId="77777777" w:rsidTr="009D510E">
        <w:trPr>
          <w:trHeight w:val="106"/>
          <w:jc w:val="center"/>
        </w:trPr>
        <w:tc>
          <w:tcPr>
            <w:tcW w:w="826" w:type="pct"/>
            <w:gridSpan w:val="2"/>
            <w:vMerge w:val="restart"/>
            <w:vAlign w:val="center"/>
          </w:tcPr>
          <w:p w14:paraId="1176AB6C" w14:textId="77777777" w:rsidR="007370F2" w:rsidRPr="00FD50F6" w:rsidRDefault="007370F2" w:rsidP="002B733E">
            <w:pPr>
              <w:pStyle w:val="7"/>
            </w:pPr>
            <w:r w:rsidRPr="00FD50F6">
              <w:t>车钩连接中心点间距离（</w:t>
            </w:r>
            <w:r w:rsidRPr="00FD50F6">
              <w:t>mm</w:t>
            </w:r>
            <w:r w:rsidRPr="00FD50F6">
              <w:t>）</w:t>
            </w:r>
          </w:p>
        </w:tc>
        <w:tc>
          <w:tcPr>
            <w:tcW w:w="702" w:type="pct"/>
            <w:gridSpan w:val="2"/>
            <w:vAlign w:val="center"/>
          </w:tcPr>
          <w:p w14:paraId="109B090E" w14:textId="77777777" w:rsidR="007370F2" w:rsidRPr="00FD50F6" w:rsidRDefault="007370F2" w:rsidP="002B733E">
            <w:pPr>
              <w:pStyle w:val="7"/>
            </w:pPr>
            <w:r w:rsidRPr="00FD50F6">
              <w:t>无司机室车辆</w:t>
            </w:r>
          </w:p>
        </w:tc>
        <w:tc>
          <w:tcPr>
            <w:tcW w:w="843" w:type="pct"/>
            <w:gridSpan w:val="2"/>
            <w:vAlign w:val="center"/>
          </w:tcPr>
          <w:p w14:paraId="26B7281E" w14:textId="77777777" w:rsidR="007370F2" w:rsidRPr="00FD50F6" w:rsidRDefault="007370F2" w:rsidP="002B733E">
            <w:pPr>
              <w:pStyle w:val="7"/>
            </w:pPr>
            <w:r w:rsidRPr="00FD50F6">
              <w:t>22800</w:t>
            </w:r>
          </w:p>
        </w:tc>
        <w:tc>
          <w:tcPr>
            <w:tcW w:w="811" w:type="pct"/>
            <w:vAlign w:val="center"/>
          </w:tcPr>
          <w:p w14:paraId="5B8ACC0E" w14:textId="77777777" w:rsidR="007370F2" w:rsidRPr="00FD50F6" w:rsidRDefault="007370F2" w:rsidP="002B733E">
            <w:pPr>
              <w:pStyle w:val="7"/>
            </w:pPr>
            <w:r w:rsidRPr="00FD50F6">
              <w:t>22800</w:t>
            </w:r>
          </w:p>
        </w:tc>
        <w:tc>
          <w:tcPr>
            <w:tcW w:w="1013" w:type="pct"/>
            <w:vAlign w:val="center"/>
          </w:tcPr>
          <w:p w14:paraId="28F7CF68" w14:textId="77777777" w:rsidR="007370F2" w:rsidRPr="00FD50F6" w:rsidRDefault="007370F2" w:rsidP="002B733E">
            <w:pPr>
              <w:pStyle w:val="7"/>
            </w:pPr>
            <w:r w:rsidRPr="00FD50F6">
              <w:t>19520</w:t>
            </w:r>
          </w:p>
        </w:tc>
        <w:tc>
          <w:tcPr>
            <w:tcW w:w="805" w:type="pct"/>
            <w:vAlign w:val="center"/>
          </w:tcPr>
          <w:p w14:paraId="45DC8207" w14:textId="77777777" w:rsidR="007370F2" w:rsidRPr="00FD50F6" w:rsidRDefault="007370F2" w:rsidP="002B733E">
            <w:pPr>
              <w:pStyle w:val="7"/>
            </w:pPr>
            <w:r w:rsidRPr="00FD50F6">
              <w:t>19520</w:t>
            </w:r>
          </w:p>
        </w:tc>
      </w:tr>
      <w:tr w:rsidR="007370F2" w:rsidRPr="00FD50F6" w14:paraId="5D9ABE6A" w14:textId="77777777" w:rsidTr="009D510E">
        <w:trPr>
          <w:trHeight w:val="106"/>
          <w:jc w:val="center"/>
        </w:trPr>
        <w:tc>
          <w:tcPr>
            <w:tcW w:w="826" w:type="pct"/>
            <w:gridSpan w:val="2"/>
            <w:vMerge/>
            <w:vAlign w:val="center"/>
          </w:tcPr>
          <w:p w14:paraId="221AB047" w14:textId="77777777" w:rsidR="007370F2" w:rsidRPr="00FD50F6" w:rsidRDefault="007370F2" w:rsidP="002B733E">
            <w:pPr>
              <w:pStyle w:val="7"/>
            </w:pPr>
          </w:p>
        </w:tc>
        <w:tc>
          <w:tcPr>
            <w:tcW w:w="702" w:type="pct"/>
            <w:gridSpan w:val="2"/>
            <w:vAlign w:val="center"/>
          </w:tcPr>
          <w:p w14:paraId="74E95880" w14:textId="77777777" w:rsidR="007370F2" w:rsidRPr="00FD50F6" w:rsidRDefault="007370F2" w:rsidP="002B733E">
            <w:pPr>
              <w:pStyle w:val="7"/>
            </w:pPr>
            <w:r w:rsidRPr="00FD50F6">
              <w:t>单司机室车辆</w:t>
            </w:r>
          </w:p>
        </w:tc>
        <w:tc>
          <w:tcPr>
            <w:tcW w:w="843" w:type="pct"/>
            <w:gridSpan w:val="2"/>
            <w:vAlign w:val="center"/>
          </w:tcPr>
          <w:p w14:paraId="36F515FF" w14:textId="77777777" w:rsidR="007370F2" w:rsidRPr="00FD50F6" w:rsidRDefault="007370F2" w:rsidP="002B733E">
            <w:pPr>
              <w:pStyle w:val="7"/>
            </w:pPr>
            <w:r w:rsidRPr="00FD50F6">
              <w:t>24400</w:t>
            </w:r>
          </w:p>
        </w:tc>
        <w:tc>
          <w:tcPr>
            <w:tcW w:w="811" w:type="pct"/>
            <w:vAlign w:val="center"/>
          </w:tcPr>
          <w:p w14:paraId="735995E6" w14:textId="77777777" w:rsidR="007370F2" w:rsidRPr="00FD50F6" w:rsidRDefault="007370F2" w:rsidP="002B733E">
            <w:pPr>
              <w:pStyle w:val="7"/>
            </w:pPr>
            <w:r w:rsidRPr="00FD50F6">
              <w:t>24400</w:t>
            </w:r>
          </w:p>
        </w:tc>
        <w:tc>
          <w:tcPr>
            <w:tcW w:w="1013" w:type="pct"/>
            <w:vAlign w:val="center"/>
          </w:tcPr>
          <w:p w14:paraId="6B75781B" w14:textId="77777777" w:rsidR="007370F2" w:rsidRPr="00FD50F6" w:rsidRDefault="007370F2" w:rsidP="002B733E">
            <w:pPr>
              <w:pStyle w:val="7"/>
            </w:pPr>
          </w:p>
          <w:p w14:paraId="148D854B" w14:textId="77777777" w:rsidR="007370F2" w:rsidRPr="00FD50F6" w:rsidRDefault="007370F2" w:rsidP="002B733E">
            <w:pPr>
              <w:pStyle w:val="7"/>
            </w:pPr>
            <w:r w:rsidRPr="00FD50F6">
              <w:t>2</w:t>
            </w:r>
            <w:r w:rsidRPr="00FD50F6">
              <w:rPr>
                <w:rFonts w:hint="eastAsia"/>
              </w:rPr>
              <w:t>060</w:t>
            </w:r>
            <w:r w:rsidRPr="00FD50F6">
              <w:t>0</w:t>
            </w:r>
          </w:p>
        </w:tc>
        <w:tc>
          <w:tcPr>
            <w:tcW w:w="805" w:type="pct"/>
            <w:vAlign w:val="center"/>
          </w:tcPr>
          <w:p w14:paraId="143F4DDD" w14:textId="77777777" w:rsidR="007370F2" w:rsidRPr="00FD50F6" w:rsidRDefault="007370F2" w:rsidP="002B733E">
            <w:pPr>
              <w:pStyle w:val="7"/>
            </w:pPr>
          </w:p>
          <w:p w14:paraId="5B9AD2ED" w14:textId="77777777" w:rsidR="007370F2" w:rsidRPr="00FD50F6" w:rsidRDefault="007370F2" w:rsidP="002B733E">
            <w:pPr>
              <w:pStyle w:val="7"/>
            </w:pPr>
            <w:r w:rsidRPr="00FD50F6">
              <w:rPr>
                <w:rFonts w:hint="eastAsia"/>
              </w:rPr>
              <w:t>20600</w:t>
            </w:r>
          </w:p>
        </w:tc>
      </w:tr>
      <w:tr w:rsidR="007370F2" w:rsidRPr="00FD50F6" w14:paraId="1FD768C5" w14:textId="77777777" w:rsidTr="009D510E">
        <w:trPr>
          <w:trHeight w:val="106"/>
          <w:jc w:val="center"/>
        </w:trPr>
        <w:tc>
          <w:tcPr>
            <w:tcW w:w="1528" w:type="pct"/>
            <w:gridSpan w:val="4"/>
            <w:vAlign w:val="center"/>
          </w:tcPr>
          <w:p w14:paraId="1487CD11" w14:textId="77777777" w:rsidR="007370F2" w:rsidRPr="00FD50F6" w:rsidRDefault="007370F2" w:rsidP="002B733E">
            <w:pPr>
              <w:pStyle w:val="7"/>
            </w:pPr>
            <w:r w:rsidRPr="00FD50F6">
              <w:t>车体基本宽度（</w:t>
            </w:r>
            <w:r w:rsidRPr="00FD50F6">
              <w:t>mm</w:t>
            </w:r>
            <w:r w:rsidRPr="00FD50F6">
              <w:t>）</w:t>
            </w:r>
          </w:p>
        </w:tc>
        <w:tc>
          <w:tcPr>
            <w:tcW w:w="843" w:type="pct"/>
            <w:gridSpan w:val="2"/>
            <w:vAlign w:val="center"/>
          </w:tcPr>
          <w:p w14:paraId="38D2AF83" w14:textId="77777777" w:rsidR="007370F2" w:rsidRPr="00FD50F6" w:rsidRDefault="007370F2" w:rsidP="002B733E">
            <w:pPr>
              <w:pStyle w:val="7"/>
            </w:pPr>
            <w:r w:rsidRPr="00FD50F6">
              <w:t>3000</w:t>
            </w:r>
          </w:p>
        </w:tc>
        <w:tc>
          <w:tcPr>
            <w:tcW w:w="811" w:type="pct"/>
            <w:vAlign w:val="center"/>
          </w:tcPr>
          <w:p w14:paraId="05A4001F" w14:textId="77777777" w:rsidR="007370F2" w:rsidRPr="00FD50F6" w:rsidRDefault="007370F2" w:rsidP="002B733E">
            <w:pPr>
              <w:pStyle w:val="7"/>
            </w:pPr>
            <w:r w:rsidRPr="00FD50F6">
              <w:t>3000</w:t>
            </w:r>
          </w:p>
        </w:tc>
        <w:tc>
          <w:tcPr>
            <w:tcW w:w="1013" w:type="pct"/>
            <w:vAlign w:val="center"/>
          </w:tcPr>
          <w:p w14:paraId="05D41621" w14:textId="77777777" w:rsidR="007370F2" w:rsidRPr="00FD50F6" w:rsidRDefault="007370F2" w:rsidP="002B733E">
            <w:pPr>
              <w:pStyle w:val="7"/>
            </w:pPr>
            <w:r w:rsidRPr="00FD50F6">
              <w:t>2800</w:t>
            </w:r>
          </w:p>
        </w:tc>
        <w:tc>
          <w:tcPr>
            <w:tcW w:w="805" w:type="pct"/>
            <w:vAlign w:val="center"/>
          </w:tcPr>
          <w:p w14:paraId="34619D2C" w14:textId="77777777" w:rsidR="007370F2" w:rsidRPr="00FD50F6" w:rsidRDefault="007370F2" w:rsidP="002B733E">
            <w:pPr>
              <w:pStyle w:val="7"/>
            </w:pPr>
            <w:r w:rsidRPr="00FD50F6">
              <w:t>2800</w:t>
            </w:r>
          </w:p>
        </w:tc>
      </w:tr>
      <w:tr w:rsidR="007370F2" w:rsidRPr="00FD50F6" w14:paraId="1517B5ED" w14:textId="77777777" w:rsidTr="009D510E">
        <w:trPr>
          <w:trHeight w:val="106"/>
          <w:jc w:val="center"/>
        </w:trPr>
        <w:tc>
          <w:tcPr>
            <w:tcW w:w="826" w:type="pct"/>
            <w:gridSpan w:val="2"/>
            <w:vMerge w:val="restart"/>
            <w:vAlign w:val="center"/>
          </w:tcPr>
          <w:p w14:paraId="25DB017E" w14:textId="77777777" w:rsidR="007370F2" w:rsidRPr="00FD50F6" w:rsidRDefault="007370F2" w:rsidP="002B733E">
            <w:pPr>
              <w:pStyle w:val="7"/>
            </w:pPr>
            <w:r w:rsidRPr="00FD50F6">
              <w:t>车辆最大高度（</w:t>
            </w:r>
            <w:r w:rsidRPr="00FD50F6">
              <w:t>mm</w:t>
            </w:r>
            <w:r w:rsidRPr="00FD50F6">
              <w:t>）</w:t>
            </w:r>
          </w:p>
        </w:tc>
        <w:tc>
          <w:tcPr>
            <w:tcW w:w="702" w:type="pct"/>
            <w:gridSpan w:val="2"/>
            <w:vAlign w:val="center"/>
          </w:tcPr>
          <w:p w14:paraId="5DD513E4" w14:textId="77777777" w:rsidR="007370F2" w:rsidRPr="00FD50F6" w:rsidRDefault="007370F2" w:rsidP="002B733E">
            <w:pPr>
              <w:pStyle w:val="7"/>
            </w:pPr>
            <w:r w:rsidRPr="00FD50F6">
              <w:t>受流器车</w:t>
            </w:r>
          </w:p>
        </w:tc>
        <w:tc>
          <w:tcPr>
            <w:tcW w:w="843" w:type="pct"/>
            <w:gridSpan w:val="2"/>
            <w:vAlign w:val="center"/>
          </w:tcPr>
          <w:p w14:paraId="5268F8DB" w14:textId="77777777" w:rsidR="007370F2" w:rsidRPr="00FD50F6" w:rsidRDefault="007370F2" w:rsidP="002B733E">
            <w:pPr>
              <w:pStyle w:val="7"/>
            </w:pPr>
            <w:r w:rsidRPr="00FD50F6">
              <w:rPr>
                <w:rFonts w:hint="eastAsia"/>
              </w:rPr>
              <w:t>3800</w:t>
            </w:r>
          </w:p>
        </w:tc>
        <w:tc>
          <w:tcPr>
            <w:tcW w:w="811" w:type="pct"/>
            <w:vAlign w:val="center"/>
          </w:tcPr>
          <w:p w14:paraId="201FBA09" w14:textId="77777777" w:rsidR="007370F2" w:rsidRPr="00FD50F6" w:rsidRDefault="007370F2" w:rsidP="002B733E">
            <w:pPr>
              <w:pStyle w:val="7"/>
            </w:pPr>
            <w:r w:rsidRPr="00FD50F6">
              <w:t>—</w:t>
            </w:r>
          </w:p>
        </w:tc>
        <w:tc>
          <w:tcPr>
            <w:tcW w:w="1013" w:type="pct"/>
            <w:vAlign w:val="center"/>
          </w:tcPr>
          <w:p w14:paraId="70BF91A0" w14:textId="77777777" w:rsidR="007370F2" w:rsidRPr="00FD50F6" w:rsidRDefault="007370F2" w:rsidP="002B733E">
            <w:pPr>
              <w:pStyle w:val="7"/>
            </w:pPr>
            <w:r w:rsidRPr="00FD50F6">
              <w:t>3800</w:t>
            </w:r>
          </w:p>
        </w:tc>
        <w:tc>
          <w:tcPr>
            <w:tcW w:w="805" w:type="pct"/>
            <w:vAlign w:val="center"/>
          </w:tcPr>
          <w:p w14:paraId="00429340" w14:textId="77777777" w:rsidR="007370F2" w:rsidRPr="00FD50F6" w:rsidRDefault="007370F2" w:rsidP="002B733E">
            <w:pPr>
              <w:pStyle w:val="7"/>
            </w:pPr>
            <w:r w:rsidRPr="00FD50F6">
              <w:t>—</w:t>
            </w:r>
          </w:p>
        </w:tc>
      </w:tr>
      <w:tr w:rsidR="007370F2" w:rsidRPr="00FD50F6" w14:paraId="09B418CE" w14:textId="77777777" w:rsidTr="009D510E">
        <w:trPr>
          <w:trHeight w:val="106"/>
          <w:jc w:val="center"/>
        </w:trPr>
        <w:tc>
          <w:tcPr>
            <w:tcW w:w="826" w:type="pct"/>
            <w:gridSpan w:val="2"/>
            <w:vMerge/>
            <w:vAlign w:val="center"/>
          </w:tcPr>
          <w:p w14:paraId="49AAF700" w14:textId="77777777" w:rsidR="007370F2" w:rsidRPr="00FD50F6" w:rsidRDefault="007370F2" w:rsidP="002B733E">
            <w:pPr>
              <w:pStyle w:val="7"/>
            </w:pPr>
          </w:p>
        </w:tc>
        <w:tc>
          <w:tcPr>
            <w:tcW w:w="702" w:type="pct"/>
            <w:gridSpan w:val="2"/>
            <w:vAlign w:val="center"/>
          </w:tcPr>
          <w:p w14:paraId="3ED2A228" w14:textId="77777777" w:rsidR="007370F2" w:rsidRPr="00FD50F6" w:rsidRDefault="007370F2" w:rsidP="002B733E">
            <w:pPr>
              <w:pStyle w:val="7"/>
            </w:pPr>
            <w:r w:rsidRPr="00FD50F6">
              <w:t>受电弓车</w:t>
            </w:r>
            <w:r w:rsidRPr="00FD50F6">
              <w:t>(</w:t>
            </w:r>
            <w:r w:rsidRPr="00FD50F6">
              <w:t>落弓高度</w:t>
            </w:r>
            <w:r w:rsidRPr="00FD50F6">
              <w:t>)</w:t>
            </w:r>
          </w:p>
        </w:tc>
        <w:tc>
          <w:tcPr>
            <w:tcW w:w="843" w:type="pct"/>
            <w:gridSpan w:val="2"/>
            <w:vAlign w:val="center"/>
          </w:tcPr>
          <w:p w14:paraId="31A3BECF" w14:textId="77777777" w:rsidR="007370F2" w:rsidRPr="00FD50F6" w:rsidRDefault="007370F2" w:rsidP="002B733E">
            <w:pPr>
              <w:pStyle w:val="7"/>
            </w:pPr>
          </w:p>
        </w:tc>
        <w:tc>
          <w:tcPr>
            <w:tcW w:w="811" w:type="pct"/>
            <w:vAlign w:val="center"/>
          </w:tcPr>
          <w:p w14:paraId="71DBE2B6" w14:textId="77777777" w:rsidR="007370F2" w:rsidRPr="00FD50F6" w:rsidRDefault="007370F2" w:rsidP="002B733E">
            <w:pPr>
              <w:pStyle w:val="7"/>
            </w:pPr>
            <w:r w:rsidRPr="00FD50F6">
              <w:t>≤</w:t>
            </w:r>
          </w:p>
          <w:p w14:paraId="1B956651" w14:textId="77777777" w:rsidR="007370F2" w:rsidRPr="00FD50F6" w:rsidRDefault="007370F2" w:rsidP="002B733E">
            <w:pPr>
              <w:pStyle w:val="7"/>
            </w:pPr>
            <w:r w:rsidRPr="00FD50F6">
              <w:t>38</w:t>
            </w:r>
            <w:r w:rsidRPr="00FD50F6">
              <w:rPr>
                <w:rFonts w:hint="eastAsia"/>
              </w:rPr>
              <w:t>4</w:t>
            </w:r>
            <w:r w:rsidRPr="00FD50F6">
              <w:t>0</w:t>
            </w:r>
          </w:p>
        </w:tc>
        <w:tc>
          <w:tcPr>
            <w:tcW w:w="1013" w:type="pct"/>
            <w:vAlign w:val="center"/>
          </w:tcPr>
          <w:p w14:paraId="450DA750" w14:textId="77777777" w:rsidR="007370F2" w:rsidRPr="00FD50F6" w:rsidRDefault="007370F2" w:rsidP="002B733E">
            <w:pPr>
              <w:pStyle w:val="7"/>
            </w:pPr>
            <w:r w:rsidRPr="00FD50F6">
              <w:t>—</w:t>
            </w:r>
          </w:p>
        </w:tc>
        <w:tc>
          <w:tcPr>
            <w:tcW w:w="805" w:type="pct"/>
            <w:vAlign w:val="center"/>
          </w:tcPr>
          <w:p w14:paraId="37D88D5E" w14:textId="77777777" w:rsidR="007370F2" w:rsidRPr="00FD50F6" w:rsidRDefault="007370F2" w:rsidP="002B733E">
            <w:pPr>
              <w:pStyle w:val="7"/>
            </w:pPr>
            <w:r w:rsidRPr="00FD50F6">
              <w:t>≤38</w:t>
            </w:r>
            <w:r w:rsidRPr="00FD50F6">
              <w:rPr>
                <w:rFonts w:hint="eastAsia"/>
              </w:rPr>
              <w:t>1</w:t>
            </w:r>
            <w:r w:rsidRPr="00FD50F6">
              <w:t>0</w:t>
            </w:r>
          </w:p>
        </w:tc>
      </w:tr>
      <w:tr w:rsidR="007370F2" w:rsidRPr="00FD50F6" w14:paraId="77970998" w14:textId="77777777" w:rsidTr="009D510E">
        <w:trPr>
          <w:trHeight w:val="106"/>
          <w:jc w:val="center"/>
        </w:trPr>
        <w:tc>
          <w:tcPr>
            <w:tcW w:w="826" w:type="pct"/>
            <w:gridSpan w:val="2"/>
            <w:vMerge/>
            <w:vAlign w:val="center"/>
          </w:tcPr>
          <w:p w14:paraId="5D285F84" w14:textId="77777777" w:rsidR="007370F2" w:rsidRPr="00FD50F6" w:rsidRDefault="007370F2" w:rsidP="002B733E">
            <w:pPr>
              <w:pStyle w:val="7"/>
            </w:pPr>
          </w:p>
        </w:tc>
        <w:tc>
          <w:tcPr>
            <w:tcW w:w="702" w:type="pct"/>
            <w:gridSpan w:val="2"/>
            <w:vAlign w:val="center"/>
          </w:tcPr>
          <w:p w14:paraId="70E52C22" w14:textId="77777777" w:rsidR="007370F2" w:rsidRPr="00FD50F6" w:rsidRDefault="007370F2" w:rsidP="002B733E">
            <w:pPr>
              <w:pStyle w:val="7"/>
            </w:pPr>
            <w:r w:rsidRPr="00FD50F6">
              <w:t>受电弓工作高度</w:t>
            </w:r>
          </w:p>
        </w:tc>
        <w:tc>
          <w:tcPr>
            <w:tcW w:w="843" w:type="pct"/>
            <w:gridSpan w:val="2"/>
            <w:vAlign w:val="center"/>
          </w:tcPr>
          <w:p w14:paraId="22DB04BF" w14:textId="77777777" w:rsidR="007370F2" w:rsidRPr="00FD50F6" w:rsidRDefault="007370F2" w:rsidP="002B733E">
            <w:pPr>
              <w:pStyle w:val="7"/>
            </w:pPr>
          </w:p>
        </w:tc>
        <w:tc>
          <w:tcPr>
            <w:tcW w:w="811" w:type="pct"/>
            <w:vAlign w:val="center"/>
          </w:tcPr>
          <w:p w14:paraId="4751D88C" w14:textId="77777777" w:rsidR="007370F2" w:rsidRPr="00FD50F6" w:rsidRDefault="007370F2" w:rsidP="002B733E">
            <w:pPr>
              <w:pStyle w:val="7"/>
            </w:pPr>
            <w:r w:rsidRPr="00FD50F6">
              <w:t>3980</w:t>
            </w:r>
            <w:r w:rsidRPr="00FD50F6">
              <w:t>～</w:t>
            </w:r>
            <w:r w:rsidRPr="00FD50F6">
              <w:t>5800</w:t>
            </w:r>
          </w:p>
        </w:tc>
        <w:tc>
          <w:tcPr>
            <w:tcW w:w="1013" w:type="pct"/>
            <w:vAlign w:val="center"/>
          </w:tcPr>
          <w:p w14:paraId="6CA3B5C4" w14:textId="77777777" w:rsidR="007370F2" w:rsidRPr="00FD50F6" w:rsidRDefault="007370F2" w:rsidP="002B733E">
            <w:pPr>
              <w:pStyle w:val="7"/>
            </w:pPr>
            <w:r w:rsidRPr="00FD50F6">
              <w:t>—</w:t>
            </w:r>
          </w:p>
        </w:tc>
        <w:tc>
          <w:tcPr>
            <w:tcW w:w="805" w:type="pct"/>
            <w:vAlign w:val="center"/>
          </w:tcPr>
          <w:p w14:paraId="5F811F34" w14:textId="77777777" w:rsidR="007370F2" w:rsidRPr="00FD50F6" w:rsidRDefault="007370F2" w:rsidP="002B733E">
            <w:pPr>
              <w:pStyle w:val="7"/>
            </w:pPr>
            <w:r w:rsidRPr="00FD50F6">
              <w:t>3980</w:t>
            </w:r>
            <w:r w:rsidRPr="00FD50F6">
              <w:t>～</w:t>
            </w:r>
            <w:r w:rsidRPr="00FD50F6">
              <w:t>5800</w:t>
            </w:r>
          </w:p>
        </w:tc>
      </w:tr>
      <w:tr w:rsidR="007370F2" w:rsidRPr="00FD50F6" w14:paraId="2A6E932C" w14:textId="77777777" w:rsidTr="009D510E">
        <w:trPr>
          <w:trHeight w:val="106"/>
          <w:jc w:val="center"/>
        </w:trPr>
        <w:tc>
          <w:tcPr>
            <w:tcW w:w="1528" w:type="pct"/>
            <w:gridSpan w:val="4"/>
            <w:vAlign w:val="center"/>
          </w:tcPr>
          <w:p w14:paraId="78580826" w14:textId="77777777" w:rsidR="007370F2" w:rsidRPr="00FD50F6" w:rsidRDefault="007370F2" w:rsidP="002B733E">
            <w:pPr>
              <w:pStyle w:val="7"/>
            </w:pPr>
            <w:r w:rsidRPr="00FD50F6">
              <w:t>车内净高（</w:t>
            </w:r>
            <w:r w:rsidRPr="00FD50F6">
              <w:t>mm</w:t>
            </w:r>
            <w:r w:rsidRPr="00FD50F6">
              <w:t>）</w:t>
            </w:r>
          </w:p>
        </w:tc>
        <w:tc>
          <w:tcPr>
            <w:tcW w:w="843" w:type="pct"/>
            <w:gridSpan w:val="2"/>
            <w:vAlign w:val="center"/>
          </w:tcPr>
          <w:p w14:paraId="643D846D" w14:textId="77777777" w:rsidR="007370F2" w:rsidRPr="00FD50F6" w:rsidRDefault="007370F2" w:rsidP="002B733E">
            <w:pPr>
              <w:pStyle w:val="7"/>
            </w:pPr>
            <w:r w:rsidRPr="00FD50F6">
              <w:t>2100</w:t>
            </w:r>
            <w:r w:rsidRPr="00FD50F6">
              <w:t>～</w:t>
            </w:r>
            <w:r w:rsidRPr="00FD50F6">
              <w:t>2150</w:t>
            </w:r>
          </w:p>
        </w:tc>
        <w:tc>
          <w:tcPr>
            <w:tcW w:w="811" w:type="pct"/>
            <w:vAlign w:val="center"/>
          </w:tcPr>
          <w:p w14:paraId="270E35B9" w14:textId="77777777" w:rsidR="007370F2" w:rsidRPr="00FD50F6" w:rsidRDefault="007370F2" w:rsidP="002B733E">
            <w:pPr>
              <w:pStyle w:val="7"/>
            </w:pPr>
            <w:r w:rsidRPr="00FD50F6">
              <w:t>2100</w:t>
            </w:r>
            <w:r w:rsidRPr="00FD50F6">
              <w:t>～</w:t>
            </w:r>
            <w:r w:rsidRPr="00FD50F6">
              <w:t>2150</w:t>
            </w:r>
          </w:p>
        </w:tc>
        <w:tc>
          <w:tcPr>
            <w:tcW w:w="1013" w:type="pct"/>
            <w:vAlign w:val="center"/>
          </w:tcPr>
          <w:p w14:paraId="2BC4FD22" w14:textId="77777777" w:rsidR="007370F2" w:rsidRPr="00FD50F6" w:rsidRDefault="007370F2" w:rsidP="002B733E">
            <w:pPr>
              <w:pStyle w:val="7"/>
            </w:pPr>
            <w:r w:rsidRPr="00FD50F6">
              <w:t>2100</w:t>
            </w:r>
            <w:r w:rsidRPr="00FD50F6">
              <w:t>～</w:t>
            </w:r>
            <w:r w:rsidRPr="00FD50F6">
              <w:t>2150</w:t>
            </w:r>
          </w:p>
        </w:tc>
        <w:tc>
          <w:tcPr>
            <w:tcW w:w="805" w:type="pct"/>
            <w:vAlign w:val="center"/>
          </w:tcPr>
          <w:p w14:paraId="3F2FDE43" w14:textId="77777777" w:rsidR="007370F2" w:rsidRPr="00FD50F6" w:rsidRDefault="007370F2" w:rsidP="002B733E">
            <w:pPr>
              <w:pStyle w:val="7"/>
            </w:pPr>
            <w:r w:rsidRPr="00FD50F6">
              <w:t>2100</w:t>
            </w:r>
            <w:r w:rsidRPr="00FD50F6">
              <w:t>～</w:t>
            </w:r>
            <w:r w:rsidRPr="00FD50F6">
              <w:t>2150</w:t>
            </w:r>
          </w:p>
        </w:tc>
      </w:tr>
      <w:tr w:rsidR="007370F2" w:rsidRPr="00FD50F6" w14:paraId="1FEBEB87" w14:textId="77777777" w:rsidTr="009D510E">
        <w:trPr>
          <w:trHeight w:val="106"/>
          <w:jc w:val="center"/>
        </w:trPr>
        <w:tc>
          <w:tcPr>
            <w:tcW w:w="1528" w:type="pct"/>
            <w:gridSpan w:val="4"/>
            <w:vAlign w:val="center"/>
          </w:tcPr>
          <w:p w14:paraId="6F10C8DC" w14:textId="77777777" w:rsidR="007370F2" w:rsidRPr="00FD50F6" w:rsidRDefault="007370F2" w:rsidP="002B733E">
            <w:pPr>
              <w:pStyle w:val="7"/>
            </w:pPr>
            <w:r w:rsidRPr="00FD50F6">
              <w:t>地板面距轨面高（</w:t>
            </w:r>
            <w:r w:rsidRPr="00FD50F6">
              <w:t>mm</w:t>
            </w:r>
            <w:r w:rsidRPr="00FD50F6">
              <w:t>）</w:t>
            </w:r>
          </w:p>
        </w:tc>
        <w:tc>
          <w:tcPr>
            <w:tcW w:w="843" w:type="pct"/>
            <w:gridSpan w:val="2"/>
            <w:vAlign w:val="center"/>
          </w:tcPr>
          <w:p w14:paraId="71F6A3DE" w14:textId="77777777" w:rsidR="007370F2" w:rsidRPr="00FD50F6" w:rsidRDefault="007370F2" w:rsidP="002B733E">
            <w:pPr>
              <w:pStyle w:val="7"/>
            </w:pPr>
            <w:r w:rsidRPr="00FD50F6">
              <w:t>1130</w:t>
            </w:r>
          </w:p>
        </w:tc>
        <w:tc>
          <w:tcPr>
            <w:tcW w:w="811" w:type="pct"/>
          </w:tcPr>
          <w:p w14:paraId="1DF976E8" w14:textId="77777777" w:rsidR="007370F2" w:rsidRPr="00FD50F6" w:rsidRDefault="007370F2" w:rsidP="002B733E">
            <w:pPr>
              <w:pStyle w:val="7"/>
            </w:pPr>
            <w:r w:rsidRPr="00FD50F6">
              <w:t>1130</w:t>
            </w:r>
          </w:p>
        </w:tc>
        <w:tc>
          <w:tcPr>
            <w:tcW w:w="1013" w:type="pct"/>
            <w:vAlign w:val="center"/>
          </w:tcPr>
          <w:p w14:paraId="4AA85020" w14:textId="77777777" w:rsidR="007370F2" w:rsidRPr="00FD50F6" w:rsidRDefault="007370F2" w:rsidP="002B733E">
            <w:pPr>
              <w:pStyle w:val="7"/>
            </w:pPr>
            <w:r w:rsidRPr="00FD50F6">
              <w:t>l100</w:t>
            </w:r>
          </w:p>
        </w:tc>
        <w:tc>
          <w:tcPr>
            <w:tcW w:w="805" w:type="pct"/>
            <w:vAlign w:val="center"/>
          </w:tcPr>
          <w:p w14:paraId="3616B35E" w14:textId="77777777" w:rsidR="007370F2" w:rsidRPr="00FD50F6" w:rsidRDefault="007370F2" w:rsidP="002B733E">
            <w:pPr>
              <w:pStyle w:val="7"/>
            </w:pPr>
            <w:r w:rsidRPr="00FD50F6">
              <w:t>l100</w:t>
            </w:r>
          </w:p>
        </w:tc>
      </w:tr>
      <w:tr w:rsidR="007370F2" w:rsidRPr="00FD50F6" w14:paraId="73F17A20" w14:textId="77777777" w:rsidTr="009D510E">
        <w:trPr>
          <w:trHeight w:val="106"/>
          <w:jc w:val="center"/>
        </w:trPr>
        <w:tc>
          <w:tcPr>
            <w:tcW w:w="1528" w:type="pct"/>
            <w:gridSpan w:val="4"/>
            <w:vAlign w:val="center"/>
          </w:tcPr>
          <w:p w14:paraId="38B74D5F" w14:textId="77777777" w:rsidR="007370F2" w:rsidRPr="00FD50F6" w:rsidRDefault="007370F2" w:rsidP="002B733E">
            <w:pPr>
              <w:pStyle w:val="7"/>
            </w:pPr>
            <w:r w:rsidRPr="00FD50F6">
              <w:t>轴重（</w:t>
            </w:r>
            <w:r w:rsidRPr="00FD50F6">
              <w:t>t</w:t>
            </w:r>
            <w:r w:rsidRPr="00FD50F6">
              <w:t>）</w:t>
            </w:r>
          </w:p>
        </w:tc>
        <w:tc>
          <w:tcPr>
            <w:tcW w:w="843" w:type="pct"/>
            <w:gridSpan w:val="2"/>
            <w:vAlign w:val="center"/>
          </w:tcPr>
          <w:p w14:paraId="6B1FF93F" w14:textId="77777777" w:rsidR="007370F2" w:rsidRPr="00FD50F6" w:rsidRDefault="007370F2" w:rsidP="002B733E">
            <w:pPr>
              <w:pStyle w:val="7"/>
            </w:pPr>
            <w:r w:rsidRPr="00FD50F6">
              <w:t>≤</w:t>
            </w:r>
            <w:r w:rsidRPr="00FD50F6">
              <w:rPr>
                <w:rFonts w:hint="eastAsia"/>
              </w:rPr>
              <w:t>16.5</w:t>
            </w:r>
          </w:p>
        </w:tc>
        <w:tc>
          <w:tcPr>
            <w:tcW w:w="811" w:type="pct"/>
            <w:vAlign w:val="center"/>
          </w:tcPr>
          <w:p w14:paraId="44A9C785" w14:textId="77777777" w:rsidR="007370F2" w:rsidRPr="00FD50F6" w:rsidRDefault="007370F2" w:rsidP="002B733E">
            <w:pPr>
              <w:pStyle w:val="7"/>
            </w:pPr>
            <w:r w:rsidRPr="00FD50F6">
              <w:t>≤</w:t>
            </w:r>
            <w:r w:rsidRPr="00FD50F6">
              <w:rPr>
                <w:rFonts w:hint="eastAsia"/>
              </w:rPr>
              <w:t>16.5</w:t>
            </w:r>
          </w:p>
        </w:tc>
        <w:tc>
          <w:tcPr>
            <w:tcW w:w="1013" w:type="pct"/>
            <w:vAlign w:val="center"/>
          </w:tcPr>
          <w:p w14:paraId="0C0C4C6B" w14:textId="77777777" w:rsidR="007370F2" w:rsidRPr="00FD50F6" w:rsidRDefault="007370F2" w:rsidP="002B733E">
            <w:pPr>
              <w:pStyle w:val="7"/>
            </w:pPr>
            <w:r w:rsidRPr="00FD50F6">
              <w:t>≤14</w:t>
            </w:r>
          </w:p>
        </w:tc>
        <w:tc>
          <w:tcPr>
            <w:tcW w:w="805" w:type="pct"/>
            <w:vAlign w:val="center"/>
          </w:tcPr>
          <w:p w14:paraId="4EDC4936" w14:textId="77777777" w:rsidR="007370F2" w:rsidRPr="00FD50F6" w:rsidRDefault="007370F2" w:rsidP="002B733E">
            <w:pPr>
              <w:pStyle w:val="7"/>
            </w:pPr>
            <w:r w:rsidRPr="00FD50F6">
              <w:t>≤14</w:t>
            </w:r>
          </w:p>
        </w:tc>
      </w:tr>
      <w:tr w:rsidR="007370F2" w:rsidRPr="00FD50F6" w14:paraId="6C79C608" w14:textId="77777777" w:rsidTr="009D510E">
        <w:trPr>
          <w:trHeight w:val="106"/>
          <w:jc w:val="center"/>
        </w:trPr>
        <w:tc>
          <w:tcPr>
            <w:tcW w:w="1528" w:type="pct"/>
            <w:gridSpan w:val="4"/>
            <w:vAlign w:val="center"/>
          </w:tcPr>
          <w:p w14:paraId="11E711D8" w14:textId="77777777" w:rsidR="007370F2" w:rsidRPr="00FD50F6" w:rsidRDefault="007370F2" w:rsidP="002B733E">
            <w:pPr>
              <w:pStyle w:val="7"/>
            </w:pPr>
            <w:r w:rsidRPr="00FD50F6">
              <w:t>车辆定距（</w:t>
            </w:r>
            <w:r w:rsidRPr="00FD50F6">
              <w:t>mm</w:t>
            </w:r>
            <w:r w:rsidRPr="00FD50F6">
              <w:t>）</w:t>
            </w:r>
          </w:p>
        </w:tc>
        <w:tc>
          <w:tcPr>
            <w:tcW w:w="843" w:type="pct"/>
            <w:gridSpan w:val="2"/>
            <w:vAlign w:val="center"/>
          </w:tcPr>
          <w:p w14:paraId="68A43474" w14:textId="77777777" w:rsidR="007370F2" w:rsidRPr="00FD50F6" w:rsidRDefault="007370F2" w:rsidP="002B733E">
            <w:pPr>
              <w:pStyle w:val="7"/>
            </w:pPr>
            <w:r w:rsidRPr="00FD50F6">
              <w:t>15700</w:t>
            </w:r>
          </w:p>
        </w:tc>
        <w:tc>
          <w:tcPr>
            <w:tcW w:w="811" w:type="pct"/>
            <w:vAlign w:val="center"/>
          </w:tcPr>
          <w:p w14:paraId="7E7D2DB0" w14:textId="77777777" w:rsidR="007370F2" w:rsidRPr="00FD50F6" w:rsidRDefault="007370F2" w:rsidP="002B733E">
            <w:pPr>
              <w:pStyle w:val="7"/>
            </w:pPr>
            <w:r w:rsidRPr="00FD50F6">
              <w:t>15700</w:t>
            </w:r>
          </w:p>
        </w:tc>
        <w:tc>
          <w:tcPr>
            <w:tcW w:w="1013" w:type="pct"/>
            <w:vAlign w:val="center"/>
          </w:tcPr>
          <w:p w14:paraId="1E49AA04" w14:textId="77777777" w:rsidR="007370F2" w:rsidRPr="00FD50F6" w:rsidRDefault="007370F2" w:rsidP="002B733E">
            <w:pPr>
              <w:pStyle w:val="7"/>
            </w:pPr>
            <w:r w:rsidRPr="00FD50F6">
              <w:t>12600</w:t>
            </w:r>
          </w:p>
        </w:tc>
        <w:tc>
          <w:tcPr>
            <w:tcW w:w="805" w:type="pct"/>
            <w:vAlign w:val="center"/>
          </w:tcPr>
          <w:p w14:paraId="0B0C287C" w14:textId="77777777" w:rsidR="007370F2" w:rsidRPr="00FD50F6" w:rsidRDefault="007370F2" w:rsidP="002B733E">
            <w:pPr>
              <w:pStyle w:val="7"/>
            </w:pPr>
            <w:r w:rsidRPr="00FD50F6">
              <w:t>12600</w:t>
            </w:r>
          </w:p>
        </w:tc>
      </w:tr>
      <w:tr w:rsidR="007370F2" w:rsidRPr="00FD50F6" w14:paraId="02C800DF" w14:textId="77777777" w:rsidTr="009D510E">
        <w:trPr>
          <w:trHeight w:val="106"/>
          <w:jc w:val="center"/>
        </w:trPr>
        <w:tc>
          <w:tcPr>
            <w:tcW w:w="1528" w:type="pct"/>
            <w:gridSpan w:val="4"/>
            <w:vAlign w:val="center"/>
          </w:tcPr>
          <w:p w14:paraId="16AF0876" w14:textId="77777777" w:rsidR="007370F2" w:rsidRPr="00FD50F6" w:rsidRDefault="007370F2" w:rsidP="002B733E">
            <w:pPr>
              <w:pStyle w:val="7"/>
            </w:pPr>
            <w:r w:rsidRPr="00FD50F6">
              <w:t>固定轴距（</w:t>
            </w:r>
            <w:r w:rsidRPr="00FD50F6">
              <w:t>mm</w:t>
            </w:r>
            <w:r w:rsidRPr="00FD50F6">
              <w:t>）</w:t>
            </w:r>
          </w:p>
        </w:tc>
        <w:tc>
          <w:tcPr>
            <w:tcW w:w="843" w:type="pct"/>
            <w:gridSpan w:val="2"/>
            <w:vAlign w:val="center"/>
          </w:tcPr>
          <w:p w14:paraId="53E44B8A" w14:textId="77777777" w:rsidR="007370F2" w:rsidRPr="00FD50F6" w:rsidRDefault="007370F2" w:rsidP="002B733E">
            <w:pPr>
              <w:pStyle w:val="7"/>
            </w:pPr>
            <w:r w:rsidRPr="00FD50F6">
              <w:rPr>
                <w:rFonts w:hint="eastAsia"/>
              </w:rPr>
              <w:t>2300~2500</w:t>
            </w:r>
          </w:p>
        </w:tc>
        <w:tc>
          <w:tcPr>
            <w:tcW w:w="811" w:type="pct"/>
            <w:vAlign w:val="center"/>
          </w:tcPr>
          <w:p w14:paraId="7832E191" w14:textId="77777777" w:rsidR="007370F2" w:rsidRPr="00FD50F6" w:rsidRDefault="007370F2" w:rsidP="002B733E">
            <w:pPr>
              <w:pStyle w:val="7"/>
            </w:pPr>
            <w:r w:rsidRPr="00FD50F6">
              <w:rPr>
                <w:rFonts w:hint="eastAsia"/>
              </w:rPr>
              <w:t>2300~2500</w:t>
            </w:r>
          </w:p>
        </w:tc>
        <w:tc>
          <w:tcPr>
            <w:tcW w:w="1013" w:type="pct"/>
            <w:vAlign w:val="center"/>
          </w:tcPr>
          <w:p w14:paraId="6F0472A3" w14:textId="77777777" w:rsidR="007370F2" w:rsidRPr="00FD50F6" w:rsidRDefault="007370F2" w:rsidP="002B733E">
            <w:pPr>
              <w:pStyle w:val="7"/>
            </w:pPr>
            <w:r w:rsidRPr="00FD50F6">
              <w:rPr>
                <w:rFonts w:hint="eastAsia"/>
                <w:sz w:val="18"/>
                <w:szCs w:val="18"/>
              </w:rPr>
              <w:t>2200~2300</w:t>
            </w:r>
          </w:p>
        </w:tc>
        <w:tc>
          <w:tcPr>
            <w:tcW w:w="805" w:type="pct"/>
            <w:vAlign w:val="center"/>
          </w:tcPr>
          <w:p w14:paraId="18AEBE52" w14:textId="77777777" w:rsidR="007370F2" w:rsidRPr="00FD50F6" w:rsidRDefault="007370F2" w:rsidP="002B733E">
            <w:pPr>
              <w:pStyle w:val="7"/>
            </w:pPr>
            <w:r w:rsidRPr="00FD50F6">
              <w:rPr>
                <w:rFonts w:hint="eastAsia"/>
                <w:sz w:val="18"/>
                <w:szCs w:val="18"/>
              </w:rPr>
              <w:t>2200~2300</w:t>
            </w:r>
          </w:p>
        </w:tc>
      </w:tr>
      <w:tr w:rsidR="007370F2" w:rsidRPr="00FD50F6" w14:paraId="6449F699" w14:textId="77777777" w:rsidTr="009D510E">
        <w:trPr>
          <w:trHeight w:val="106"/>
          <w:jc w:val="center"/>
        </w:trPr>
        <w:tc>
          <w:tcPr>
            <w:tcW w:w="1528" w:type="pct"/>
            <w:gridSpan w:val="4"/>
            <w:vAlign w:val="center"/>
          </w:tcPr>
          <w:p w14:paraId="4DD61D83" w14:textId="77777777" w:rsidR="007370F2" w:rsidRPr="00FD50F6" w:rsidRDefault="007370F2" w:rsidP="002B733E">
            <w:pPr>
              <w:pStyle w:val="7"/>
            </w:pPr>
            <w:r w:rsidRPr="00FD50F6">
              <w:t>每侧车门数（对）</w:t>
            </w:r>
          </w:p>
        </w:tc>
        <w:tc>
          <w:tcPr>
            <w:tcW w:w="843" w:type="pct"/>
            <w:gridSpan w:val="2"/>
            <w:vAlign w:val="center"/>
          </w:tcPr>
          <w:p w14:paraId="2A3714C4" w14:textId="77777777" w:rsidR="007370F2" w:rsidRPr="00FD50F6" w:rsidRDefault="007370F2" w:rsidP="002B733E">
            <w:pPr>
              <w:pStyle w:val="7"/>
            </w:pPr>
            <w:r w:rsidRPr="00FD50F6">
              <w:t>5</w:t>
            </w:r>
          </w:p>
        </w:tc>
        <w:tc>
          <w:tcPr>
            <w:tcW w:w="811" w:type="pct"/>
            <w:vAlign w:val="center"/>
          </w:tcPr>
          <w:p w14:paraId="1E247C72" w14:textId="77777777" w:rsidR="007370F2" w:rsidRPr="00FD50F6" w:rsidRDefault="007370F2" w:rsidP="002B733E">
            <w:pPr>
              <w:pStyle w:val="7"/>
            </w:pPr>
            <w:r w:rsidRPr="00FD50F6">
              <w:rPr>
                <w:rFonts w:hint="eastAsia"/>
              </w:rPr>
              <w:t>5</w:t>
            </w:r>
          </w:p>
        </w:tc>
        <w:tc>
          <w:tcPr>
            <w:tcW w:w="1013" w:type="pct"/>
            <w:vAlign w:val="center"/>
          </w:tcPr>
          <w:p w14:paraId="00CD8A64" w14:textId="77777777" w:rsidR="007370F2" w:rsidRPr="00FD50F6" w:rsidRDefault="007370F2" w:rsidP="002B733E">
            <w:pPr>
              <w:pStyle w:val="7"/>
            </w:pPr>
            <w:r w:rsidRPr="00FD50F6">
              <w:t>4</w:t>
            </w:r>
          </w:p>
        </w:tc>
        <w:tc>
          <w:tcPr>
            <w:tcW w:w="805" w:type="pct"/>
            <w:vAlign w:val="center"/>
          </w:tcPr>
          <w:p w14:paraId="6842C344" w14:textId="77777777" w:rsidR="007370F2" w:rsidRPr="00FD50F6" w:rsidRDefault="007370F2" w:rsidP="002B733E">
            <w:pPr>
              <w:pStyle w:val="7"/>
            </w:pPr>
            <w:r w:rsidRPr="00FD50F6">
              <w:t>4</w:t>
            </w:r>
          </w:p>
        </w:tc>
      </w:tr>
      <w:tr w:rsidR="007370F2" w:rsidRPr="00FD50F6" w14:paraId="4AFE83AB" w14:textId="77777777" w:rsidTr="009D510E">
        <w:trPr>
          <w:trHeight w:val="106"/>
          <w:jc w:val="center"/>
        </w:trPr>
        <w:tc>
          <w:tcPr>
            <w:tcW w:w="1528" w:type="pct"/>
            <w:gridSpan w:val="4"/>
            <w:vAlign w:val="center"/>
          </w:tcPr>
          <w:p w14:paraId="04862A4C" w14:textId="77777777" w:rsidR="007370F2" w:rsidRPr="00FD50F6" w:rsidRDefault="007370F2" w:rsidP="002B733E">
            <w:pPr>
              <w:pStyle w:val="7"/>
            </w:pPr>
            <w:r w:rsidRPr="00FD50F6">
              <w:t>车门宽度（</w:t>
            </w:r>
            <w:r w:rsidRPr="00FD50F6">
              <w:t>mm</w:t>
            </w:r>
            <w:r w:rsidRPr="00FD50F6">
              <w:t>）</w:t>
            </w:r>
          </w:p>
        </w:tc>
        <w:tc>
          <w:tcPr>
            <w:tcW w:w="843" w:type="pct"/>
            <w:gridSpan w:val="2"/>
            <w:vAlign w:val="center"/>
          </w:tcPr>
          <w:p w14:paraId="2A114980" w14:textId="77777777" w:rsidR="007370F2" w:rsidRPr="00FD50F6" w:rsidRDefault="007370F2" w:rsidP="002B733E">
            <w:pPr>
              <w:pStyle w:val="7"/>
            </w:pPr>
            <w:r w:rsidRPr="00FD50F6">
              <w:t>1300</w:t>
            </w:r>
            <w:r w:rsidRPr="00FD50F6">
              <w:t>～</w:t>
            </w:r>
            <w:r w:rsidRPr="00FD50F6">
              <w:t>1400</w:t>
            </w:r>
          </w:p>
        </w:tc>
        <w:tc>
          <w:tcPr>
            <w:tcW w:w="811" w:type="pct"/>
            <w:vAlign w:val="center"/>
          </w:tcPr>
          <w:p w14:paraId="743D8D90" w14:textId="77777777" w:rsidR="007370F2" w:rsidRPr="00FD50F6" w:rsidRDefault="007370F2" w:rsidP="002B733E">
            <w:pPr>
              <w:pStyle w:val="7"/>
            </w:pPr>
            <w:r w:rsidRPr="00FD50F6">
              <w:t>1300</w:t>
            </w:r>
            <w:r w:rsidRPr="00FD50F6">
              <w:t>～</w:t>
            </w:r>
            <w:r w:rsidRPr="00FD50F6">
              <w:t>1400</w:t>
            </w:r>
          </w:p>
        </w:tc>
        <w:tc>
          <w:tcPr>
            <w:tcW w:w="1013" w:type="pct"/>
            <w:vAlign w:val="center"/>
          </w:tcPr>
          <w:p w14:paraId="7D3DFEED" w14:textId="77777777" w:rsidR="007370F2" w:rsidRPr="00FD50F6" w:rsidRDefault="007370F2" w:rsidP="002B733E">
            <w:pPr>
              <w:pStyle w:val="7"/>
            </w:pPr>
            <w:r w:rsidRPr="00FD50F6">
              <w:t>1300</w:t>
            </w:r>
            <w:r w:rsidRPr="00FD50F6">
              <w:t>～</w:t>
            </w:r>
            <w:r w:rsidRPr="00FD50F6">
              <w:t>1400</w:t>
            </w:r>
          </w:p>
        </w:tc>
        <w:tc>
          <w:tcPr>
            <w:tcW w:w="805" w:type="pct"/>
            <w:vAlign w:val="center"/>
          </w:tcPr>
          <w:p w14:paraId="4E69C6DA" w14:textId="77777777" w:rsidR="007370F2" w:rsidRPr="00FD50F6" w:rsidRDefault="007370F2" w:rsidP="002B733E">
            <w:pPr>
              <w:pStyle w:val="7"/>
            </w:pPr>
            <w:r w:rsidRPr="00FD50F6">
              <w:t>1300</w:t>
            </w:r>
            <w:r w:rsidRPr="00FD50F6">
              <w:t>～</w:t>
            </w:r>
            <w:r w:rsidRPr="00FD50F6">
              <w:t>1400</w:t>
            </w:r>
          </w:p>
        </w:tc>
      </w:tr>
      <w:tr w:rsidR="007370F2" w:rsidRPr="00FD50F6" w14:paraId="13675913" w14:textId="77777777" w:rsidTr="009D510E">
        <w:trPr>
          <w:trHeight w:val="106"/>
          <w:jc w:val="center"/>
        </w:trPr>
        <w:tc>
          <w:tcPr>
            <w:tcW w:w="1528" w:type="pct"/>
            <w:gridSpan w:val="4"/>
            <w:vAlign w:val="center"/>
          </w:tcPr>
          <w:p w14:paraId="210E153C" w14:textId="77777777" w:rsidR="007370F2" w:rsidRPr="00FD50F6" w:rsidRDefault="007370F2" w:rsidP="002B733E">
            <w:pPr>
              <w:pStyle w:val="7"/>
            </w:pPr>
            <w:r w:rsidRPr="00FD50F6">
              <w:t>车门高度（</w:t>
            </w:r>
            <w:r w:rsidRPr="00FD50F6">
              <w:t>mm</w:t>
            </w:r>
            <w:r w:rsidRPr="00FD50F6">
              <w:t>）</w:t>
            </w:r>
          </w:p>
        </w:tc>
        <w:tc>
          <w:tcPr>
            <w:tcW w:w="843" w:type="pct"/>
            <w:gridSpan w:val="2"/>
            <w:vAlign w:val="center"/>
          </w:tcPr>
          <w:p w14:paraId="345157AB" w14:textId="77777777" w:rsidR="007370F2" w:rsidRPr="00FD50F6" w:rsidRDefault="007370F2" w:rsidP="002B733E">
            <w:pPr>
              <w:pStyle w:val="7"/>
            </w:pPr>
            <w:r w:rsidRPr="00FD50F6">
              <w:t>≥1800</w:t>
            </w:r>
          </w:p>
        </w:tc>
        <w:tc>
          <w:tcPr>
            <w:tcW w:w="811" w:type="pct"/>
            <w:vAlign w:val="center"/>
          </w:tcPr>
          <w:p w14:paraId="2F9D0FCB" w14:textId="77777777" w:rsidR="007370F2" w:rsidRPr="00FD50F6" w:rsidRDefault="007370F2" w:rsidP="002B733E">
            <w:pPr>
              <w:pStyle w:val="7"/>
            </w:pPr>
            <w:r w:rsidRPr="00FD50F6">
              <w:t>≥1800</w:t>
            </w:r>
          </w:p>
        </w:tc>
        <w:tc>
          <w:tcPr>
            <w:tcW w:w="1013" w:type="pct"/>
            <w:vAlign w:val="center"/>
          </w:tcPr>
          <w:p w14:paraId="69331590" w14:textId="77777777" w:rsidR="007370F2" w:rsidRPr="00FD50F6" w:rsidRDefault="007370F2" w:rsidP="002B733E">
            <w:pPr>
              <w:pStyle w:val="7"/>
            </w:pPr>
            <w:r w:rsidRPr="00FD50F6">
              <w:t>≥1800</w:t>
            </w:r>
          </w:p>
        </w:tc>
        <w:tc>
          <w:tcPr>
            <w:tcW w:w="805" w:type="pct"/>
            <w:vAlign w:val="center"/>
          </w:tcPr>
          <w:p w14:paraId="67CF3669" w14:textId="77777777" w:rsidR="007370F2" w:rsidRPr="00FD50F6" w:rsidRDefault="007370F2" w:rsidP="002B733E">
            <w:pPr>
              <w:pStyle w:val="7"/>
            </w:pPr>
            <w:r w:rsidRPr="00FD50F6">
              <w:t>≥1800</w:t>
            </w:r>
          </w:p>
        </w:tc>
      </w:tr>
      <w:tr w:rsidR="007370F2" w:rsidRPr="00FD50F6" w14:paraId="4315C403" w14:textId="77777777" w:rsidTr="009D510E">
        <w:trPr>
          <w:trHeight w:val="106"/>
          <w:jc w:val="center"/>
        </w:trPr>
        <w:tc>
          <w:tcPr>
            <w:tcW w:w="586" w:type="pct"/>
            <w:vMerge w:val="restart"/>
            <w:vAlign w:val="center"/>
          </w:tcPr>
          <w:p w14:paraId="7ED0FC33" w14:textId="77777777" w:rsidR="007370F2" w:rsidRPr="00FD50F6" w:rsidRDefault="007370F2" w:rsidP="002B733E">
            <w:pPr>
              <w:pStyle w:val="7"/>
            </w:pPr>
            <w:r w:rsidRPr="00FD50F6">
              <w:t>载员（人）</w:t>
            </w:r>
          </w:p>
        </w:tc>
        <w:tc>
          <w:tcPr>
            <w:tcW w:w="300" w:type="pct"/>
            <w:gridSpan w:val="2"/>
            <w:vMerge w:val="restart"/>
            <w:vAlign w:val="center"/>
          </w:tcPr>
          <w:p w14:paraId="3268299D" w14:textId="77777777" w:rsidR="007370F2" w:rsidRPr="00FD50F6" w:rsidRDefault="007370F2" w:rsidP="002B733E">
            <w:pPr>
              <w:pStyle w:val="7"/>
            </w:pPr>
            <w:r w:rsidRPr="00FD50F6">
              <w:t>座席</w:t>
            </w:r>
          </w:p>
        </w:tc>
        <w:tc>
          <w:tcPr>
            <w:tcW w:w="642" w:type="pct"/>
            <w:vAlign w:val="center"/>
          </w:tcPr>
          <w:p w14:paraId="611133E4" w14:textId="77777777" w:rsidR="007370F2" w:rsidRPr="00FD50F6" w:rsidRDefault="007370F2" w:rsidP="002B733E">
            <w:pPr>
              <w:pStyle w:val="7"/>
            </w:pPr>
            <w:r w:rsidRPr="00FD50F6">
              <w:t>单司机室车辆</w:t>
            </w:r>
          </w:p>
        </w:tc>
        <w:tc>
          <w:tcPr>
            <w:tcW w:w="843" w:type="pct"/>
            <w:gridSpan w:val="2"/>
            <w:vAlign w:val="center"/>
          </w:tcPr>
          <w:p w14:paraId="6C009315" w14:textId="77777777" w:rsidR="007370F2" w:rsidRPr="00FD50F6" w:rsidRDefault="007370F2" w:rsidP="002B733E">
            <w:pPr>
              <w:pStyle w:val="7"/>
            </w:pPr>
          </w:p>
          <w:p w14:paraId="6D1783FD" w14:textId="77777777" w:rsidR="007370F2" w:rsidRPr="00FD50F6" w:rsidRDefault="007370F2" w:rsidP="002B733E">
            <w:pPr>
              <w:pStyle w:val="7"/>
            </w:pPr>
            <w:r w:rsidRPr="00FD50F6">
              <w:rPr>
                <w:rFonts w:hint="eastAsia"/>
              </w:rPr>
              <w:t>48</w:t>
            </w:r>
          </w:p>
        </w:tc>
        <w:tc>
          <w:tcPr>
            <w:tcW w:w="811" w:type="pct"/>
            <w:vAlign w:val="center"/>
          </w:tcPr>
          <w:p w14:paraId="3A2F6863" w14:textId="77777777" w:rsidR="007370F2" w:rsidRPr="00FD50F6" w:rsidRDefault="007370F2" w:rsidP="002B733E">
            <w:pPr>
              <w:pStyle w:val="7"/>
            </w:pPr>
          </w:p>
          <w:p w14:paraId="47C471F6" w14:textId="77777777" w:rsidR="007370F2" w:rsidRPr="00FD50F6" w:rsidRDefault="007370F2" w:rsidP="002B733E">
            <w:pPr>
              <w:pStyle w:val="7"/>
            </w:pPr>
            <w:r w:rsidRPr="00FD50F6">
              <w:rPr>
                <w:rFonts w:hint="eastAsia"/>
              </w:rPr>
              <w:t>48</w:t>
            </w:r>
          </w:p>
        </w:tc>
        <w:tc>
          <w:tcPr>
            <w:tcW w:w="1013" w:type="pct"/>
            <w:vAlign w:val="center"/>
          </w:tcPr>
          <w:p w14:paraId="202612CF" w14:textId="77777777" w:rsidR="007370F2" w:rsidRPr="00FD50F6" w:rsidRDefault="007370F2" w:rsidP="002B733E">
            <w:pPr>
              <w:pStyle w:val="7"/>
            </w:pPr>
            <w:r w:rsidRPr="00FD50F6">
              <w:t>36</w:t>
            </w:r>
          </w:p>
        </w:tc>
        <w:tc>
          <w:tcPr>
            <w:tcW w:w="805" w:type="pct"/>
            <w:vAlign w:val="center"/>
          </w:tcPr>
          <w:p w14:paraId="6FAC6118" w14:textId="77777777" w:rsidR="007370F2" w:rsidRPr="00FD50F6" w:rsidRDefault="007370F2" w:rsidP="002B733E">
            <w:pPr>
              <w:pStyle w:val="7"/>
            </w:pPr>
            <w:r w:rsidRPr="00FD50F6">
              <w:t>36</w:t>
            </w:r>
          </w:p>
        </w:tc>
      </w:tr>
      <w:tr w:rsidR="007370F2" w:rsidRPr="00FD50F6" w14:paraId="2C7B2517" w14:textId="77777777" w:rsidTr="009D510E">
        <w:trPr>
          <w:trHeight w:val="106"/>
          <w:jc w:val="center"/>
        </w:trPr>
        <w:tc>
          <w:tcPr>
            <w:tcW w:w="586" w:type="pct"/>
            <w:vMerge/>
            <w:vAlign w:val="center"/>
          </w:tcPr>
          <w:p w14:paraId="350D8F51" w14:textId="77777777" w:rsidR="007370F2" w:rsidRPr="00FD50F6" w:rsidRDefault="007370F2" w:rsidP="002B733E">
            <w:pPr>
              <w:pStyle w:val="7"/>
            </w:pPr>
          </w:p>
        </w:tc>
        <w:tc>
          <w:tcPr>
            <w:tcW w:w="300" w:type="pct"/>
            <w:gridSpan w:val="2"/>
            <w:vMerge/>
            <w:vAlign w:val="center"/>
          </w:tcPr>
          <w:p w14:paraId="643FE34D" w14:textId="77777777" w:rsidR="007370F2" w:rsidRPr="00FD50F6" w:rsidRDefault="007370F2" w:rsidP="002B733E">
            <w:pPr>
              <w:pStyle w:val="7"/>
            </w:pPr>
          </w:p>
        </w:tc>
        <w:tc>
          <w:tcPr>
            <w:tcW w:w="642" w:type="pct"/>
            <w:vAlign w:val="center"/>
          </w:tcPr>
          <w:p w14:paraId="01FFE8C1" w14:textId="77777777" w:rsidR="007370F2" w:rsidRPr="00FD50F6" w:rsidRDefault="007370F2" w:rsidP="002B733E">
            <w:pPr>
              <w:pStyle w:val="7"/>
            </w:pPr>
            <w:r w:rsidRPr="00FD50F6">
              <w:t>无司机室车辆</w:t>
            </w:r>
          </w:p>
        </w:tc>
        <w:tc>
          <w:tcPr>
            <w:tcW w:w="843" w:type="pct"/>
            <w:gridSpan w:val="2"/>
            <w:vAlign w:val="center"/>
          </w:tcPr>
          <w:p w14:paraId="5190D72E" w14:textId="77777777" w:rsidR="007370F2" w:rsidRPr="00FD50F6" w:rsidRDefault="007370F2" w:rsidP="002B733E">
            <w:pPr>
              <w:pStyle w:val="7"/>
            </w:pPr>
          </w:p>
          <w:p w14:paraId="3C9BD9DA" w14:textId="77777777" w:rsidR="007370F2" w:rsidRPr="00FD50F6" w:rsidRDefault="007370F2" w:rsidP="002B733E">
            <w:pPr>
              <w:pStyle w:val="7"/>
            </w:pPr>
            <w:r w:rsidRPr="00FD50F6">
              <w:rPr>
                <w:rFonts w:hint="eastAsia"/>
              </w:rPr>
              <w:t>48</w:t>
            </w:r>
          </w:p>
        </w:tc>
        <w:tc>
          <w:tcPr>
            <w:tcW w:w="811" w:type="pct"/>
            <w:vAlign w:val="center"/>
          </w:tcPr>
          <w:p w14:paraId="42015E61" w14:textId="77777777" w:rsidR="007370F2" w:rsidRPr="00FD50F6" w:rsidRDefault="007370F2" w:rsidP="002B733E">
            <w:pPr>
              <w:pStyle w:val="7"/>
            </w:pPr>
          </w:p>
          <w:p w14:paraId="498E9571" w14:textId="77777777" w:rsidR="007370F2" w:rsidRPr="00FD50F6" w:rsidRDefault="007370F2" w:rsidP="002B733E">
            <w:pPr>
              <w:pStyle w:val="7"/>
            </w:pPr>
            <w:r w:rsidRPr="00FD50F6">
              <w:rPr>
                <w:rFonts w:hint="eastAsia"/>
              </w:rPr>
              <w:t>48</w:t>
            </w:r>
          </w:p>
        </w:tc>
        <w:tc>
          <w:tcPr>
            <w:tcW w:w="1013" w:type="pct"/>
            <w:vAlign w:val="center"/>
          </w:tcPr>
          <w:p w14:paraId="0F40318A" w14:textId="77777777" w:rsidR="007370F2" w:rsidRPr="00FD50F6" w:rsidRDefault="007370F2" w:rsidP="002B733E">
            <w:pPr>
              <w:pStyle w:val="7"/>
            </w:pPr>
          </w:p>
          <w:p w14:paraId="2CB93A99" w14:textId="77777777" w:rsidR="007370F2" w:rsidRPr="00FD50F6" w:rsidRDefault="007370F2" w:rsidP="002B733E">
            <w:pPr>
              <w:pStyle w:val="7"/>
            </w:pPr>
            <w:r w:rsidRPr="00FD50F6">
              <w:rPr>
                <w:rFonts w:hint="eastAsia"/>
              </w:rPr>
              <w:t>42</w:t>
            </w:r>
          </w:p>
        </w:tc>
        <w:tc>
          <w:tcPr>
            <w:tcW w:w="805" w:type="pct"/>
            <w:vAlign w:val="center"/>
          </w:tcPr>
          <w:p w14:paraId="5909D3A6" w14:textId="77777777" w:rsidR="007370F2" w:rsidRPr="00FD50F6" w:rsidRDefault="007370F2" w:rsidP="002B733E">
            <w:pPr>
              <w:pStyle w:val="7"/>
            </w:pPr>
          </w:p>
          <w:p w14:paraId="69097FDD" w14:textId="77777777" w:rsidR="007370F2" w:rsidRPr="00FD50F6" w:rsidRDefault="007370F2" w:rsidP="002B733E">
            <w:pPr>
              <w:pStyle w:val="7"/>
            </w:pPr>
            <w:r w:rsidRPr="00FD50F6">
              <w:rPr>
                <w:rFonts w:hint="eastAsia"/>
              </w:rPr>
              <w:t>42</w:t>
            </w:r>
          </w:p>
        </w:tc>
      </w:tr>
      <w:tr w:rsidR="007370F2" w:rsidRPr="00FD50F6" w14:paraId="12AA62EC" w14:textId="77777777" w:rsidTr="009D510E">
        <w:trPr>
          <w:trHeight w:val="106"/>
          <w:jc w:val="center"/>
        </w:trPr>
        <w:tc>
          <w:tcPr>
            <w:tcW w:w="586" w:type="pct"/>
            <w:vMerge/>
            <w:vAlign w:val="center"/>
          </w:tcPr>
          <w:p w14:paraId="0B4ABB1A" w14:textId="77777777" w:rsidR="007370F2" w:rsidRPr="00FD50F6" w:rsidRDefault="007370F2" w:rsidP="002B733E">
            <w:pPr>
              <w:pStyle w:val="7"/>
            </w:pPr>
          </w:p>
        </w:tc>
        <w:tc>
          <w:tcPr>
            <w:tcW w:w="300" w:type="pct"/>
            <w:gridSpan w:val="2"/>
            <w:vMerge w:val="restart"/>
            <w:vAlign w:val="center"/>
          </w:tcPr>
          <w:p w14:paraId="4CF87C75" w14:textId="77777777" w:rsidR="007370F2" w:rsidRPr="00FD50F6" w:rsidRDefault="007370F2" w:rsidP="002B733E">
            <w:pPr>
              <w:pStyle w:val="7"/>
            </w:pPr>
            <w:r w:rsidRPr="00FD50F6">
              <w:t>定员</w:t>
            </w:r>
          </w:p>
        </w:tc>
        <w:tc>
          <w:tcPr>
            <w:tcW w:w="642" w:type="pct"/>
            <w:vAlign w:val="center"/>
          </w:tcPr>
          <w:p w14:paraId="73CB6E31" w14:textId="77777777" w:rsidR="007370F2" w:rsidRPr="00FD50F6" w:rsidRDefault="007370F2" w:rsidP="002B733E">
            <w:pPr>
              <w:pStyle w:val="7"/>
            </w:pPr>
            <w:r w:rsidRPr="00FD50F6">
              <w:t>单司机室车辆</w:t>
            </w:r>
          </w:p>
        </w:tc>
        <w:tc>
          <w:tcPr>
            <w:tcW w:w="843" w:type="pct"/>
            <w:gridSpan w:val="2"/>
            <w:vAlign w:val="center"/>
          </w:tcPr>
          <w:p w14:paraId="5E4F37E6" w14:textId="77777777" w:rsidR="007370F2" w:rsidRPr="00FD50F6" w:rsidRDefault="007370F2" w:rsidP="002B733E">
            <w:pPr>
              <w:pStyle w:val="7"/>
            </w:pPr>
          </w:p>
          <w:p w14:paraId="20205430" w14:textId="77777777" w:rsidR="007370F2" w:rsidRPr="00FD50F6" w:rsidRDefault="007370F2" w:rsidP="002B733E">
            <w:pPr>
              <w:pStyle w:val="7"/>
            </w:pPr>
            <w:r w:rsidRPr="00FD50F6">
              <w:rPr>
                <w:rFonts w:hint="eastAsia"/>
              </w:rPr>
              <w:t>305</w:t>
            </w:r>
          </w:p>
        </w:tc>
        <w:tc>
          <w:tcPr>
            <w:tcW w:w="811" w:type="pct"/>
            <w:vAlign w:val="center"/>
          </w:tcPr>
          <w:p w14:paraId="134A82EB" w14:textId="77777777" w:rsidR="007370F2" w:rsidRPr="00FD50F6" w:rsidRDefault="007370F2" w:rsidP="002B733E">
            <w:pPr>
              <w:pStyle w:val="7"/>
            </w:pPr>
          </w:p>
          <w:p w14:paraId="2C8D1DCE" w14:textId="77777777" w:rsidR="007370F2" w:rsidRPr="00FD50F6" w:rsidRDefault="007370F2" w:rsidP="002B733E">
            <w:pPr>
              <w:pStyle w:val="7"/>
            </w:pPr>
            <w:r w:rsidRPr="00FD50F6">
              <w:rPr>
                <w:rFonts w:hint="eastAsia"/>
              </w:rPr>
              <w:t>305</w:t>
            </w:r>
          </w:p>
        </w:tc>
        <w:tc>
          <w:tcPr>
            <w:tcW w:w="1013" w:type="pct"/>
            <w:vAlign w:val="center"/>
          </w:tcPr>
          <w:p w14:paraId="41E6CE88" w14:textId="77777777" w:rsidR="007370F2" w:rsidRPr="00FD50F6" w:rsidRDefault="007370F2" w:rsidP="002B733E">
            <w:pPr>
              <w:pStyle w:val="7"/>
            </w:pPr>
          </w:p>
          <w:p w14:paraId="4E8E08C7" w14:textId="77777777" w:rsidR="007370F2" w:rsidRPr="00FD50F6" w:rsidRDefault="007370F2" w:rsidP="002B733E">
            <w:pPr>
              <w:pStyle w:val="7"/>
            </w:pPr>
            <w:r w:rsidRPr="00FD50F6">
              <w:t>2</w:t>
            </w:r>
            <w:r w:rsidRPr="00FD50F6">
              <w:rPr>
                <w:rFonts w:hint="eastAsia"/>
              </w:rPr>
              <w:t>26</w:t>
            </w:r>
          </w:p>
        </w:tc>
        <w:tc>
          <w:tcPr>
            <w:tcW w:w="805" w:type="pct"/>
            <w:vAlign w:val="center"/>
          </w:tcPr>
          <w:p w14:paraId="39F39E2C" w14:textId="77777777" w:rsidR="007370F2" w:rsidRPr="00FD50F6" w:rsidRDefault="007370F2" w:rsidP="002B733E">
            <w:pPr>
              <w:pStyle w:val="7"/>
            </w:pPr>
          </w:p>
          <w:p w14:paraId="5207DCB1" w14:textId="77777777" w:rsidR="007370F2" w:rsidRPr="00FD50F6" w:rsidRDefault="007370F2" w:rsidP="002B733E">
            <w:pPr>
              <w:pStyle w:val="7"/>
            </w:pPr>
            <w:r w:rsidRPr="00FD50F6">
              <w:t>2</w:t>
            </w:r>
            <w:r w:rsidRPr="00FD50F6">
              <w:rPr>
                <w:rFonts w:hint="eastAsia"/>
              </w:rPr>
              <w:t>26</w:t>
            </w:r>
          </w:p>
        </w:tc>
      </w:tr>
      <w:tr w:rsidR="007370F2" w:rsidRPr="00FD50F6" w14:paraId="281B3E5C" w14:textId="77777777" w:rsidTr="009D510E">
        <w:trPr>
          <w:trHeight w:val="106"/>
          <w:jc w:val="center"/>
        </w:trPr>
        <w:tc>
          <w:tcPr>
            <w:tcW w:w="586" w:type="pct"/>
            <w:vMerge/>
            <w:vAlign w:val="center"/>
          </w:tcPr>
          <w:p w14:paraId="2DA1AB70" w14:textId="77777777" w:rsidR="007370F2" w:rsidRPr="00FD50F6" w:rsidRDefault="007370F2" w:rsidP="002B733E">
            <w:pPr>
              <w:pStyle w:val="7"/>
            </w:pPr>
          </w:p>
        </w:tc>
        <w:tc>
          <w:tcPr>
            <w:tcW w:w="300" w:type="pct"/>
            <w:gridSpan w:val="2"/>
            <w:vMerge/>
            <w:vAlign w:val="center"/>
          </w:tcPr>
          <w:p w14:paraId="2E3AA7E7" w14:textId="77777777" w:rsidR="007370F2" w:rsidRPr="00FD50F6" w:rsidRDefault="007370F2" w:rsidP="002B733E">
            <w:pPr>
              <w:pStyle w:val="7"/>
            </w:pPr>
          </w:p>
        </w:tc>
        <w:tc>
          <w:tcPr>
            <w:tcW w:w="642" w:type="pct"/>
            <w:vAlign w:val="center"/>
          </w:tcPr>
          <w:p w14:paraId="1B4815F2" w14:textId="77777777" w:rsidR="007370F2" w:rsidRPr="00FD50F6" w:rsidRDefault="007370F2" w:rsidP="002B733E">
            <w:pPr>
              <w:pStyle w:val="7"/>
            </w:pPr>
            <w:r w:rsidRPr="00FD50F6">
              <w:t>无司机室车辆</w:t>
            </w:r>
          </w:p>
        </w:tc>
        <w:tc>
          <w:tcPr>
            <w:tcW w:w="843" w:type="pct"/>
            <w:gridSpan w:val="2"/>
            <w:vAlign w:val="center"/>
          </w:tcPr>
          <w:p w14:paraId="377EB444" w14:textId="77777777" w:rsidR="007370F2" w:rsidRPr="00FD50F6" w:rsidRDefault="007370F2" w:rsidP="002B733E">
            <w:pPr>
              <w:pStyle w:val="7"/>
            </w:pPr>
          </w:p>
          <w:p w14:paraId="12D655E5" w14:textId="77777777" w:rsidR="007370F2" w:rsidRPr="00FD50F6" w:rsidRDefault="007370F2" w:rsidP="002B733E">
            <w:pPr>
              <w:pStyle w:val="7"/>
            </w:pPr>
            <w:r w:rsidRPr="00FD50F6">
              <w:rPr>
                <w:rFonts w:hint="eastAsia"/>
              </w:rPr>
              <w:t>305</w:t>
            </w:r>
          </w:p>
        </w:tc>
        <w:tc>
          <w:tcPr>
            <w:tcW w:w="811" w:type="pct"/>
            <w:vAlign w:val="center"/>
          </w:tcPr>
          <w:p w14:paraId="43A9E6B7" w14:textId="77777777" w:rsidR="007370F2" w:rsidRPr="00FD50F6" w:rsidRDefault="007370F2" w:rsidP="002B733E">
            <w:pPr>
              <w:pStyle w:val="7"/>
            </w:pPr>
          </w:p>
          <w:p w14:paraId="6804E0FB" w14:textId="77777777" w:rsidR="007370F2" w:rsidRPr="00FD50F6" w:rsidRDefault="007370F2" w:rsidP="002B733E">
            <w:pPr>
              <w:pStyle w:val="7"/>
            </w:pPr>
            <w:r w:rsidRPr="00FD50F6">
              <w:rPr>
                <w:rFonts w:hint="eastAsia"/>
              </w:rPr>
              <w:t>305</w:t>
            </w:r>
          </w:p>
        </w:tc>
        <w:tc>
          <w:tcPr>
            <w:tcW w:w="1013" w:type="pct"/>
            <w:vAlign w:val="center"/>
          </w:tcPr>
          <w:p w14:paraId="6209B2C7" w14:textId="77777777" w:rsidR="007370F2" w:rsidRPr="00FD50F6" w:rsidRDefault="007370F2" w:rsidP="002B733E">
            <w:pPr>
              <w:pStyle w:val="7"/>
            </w:pPr>
          </w:p>
          <w:p w14:paraId="291C6379" w14:textId="77777777" w:rsidR="007370F2" w:rsidRPr="00FD50F6" w:rsidRDefault="007370F2" w:rsidP="002B733E">
            <w:pPr>
              <w:pStyle w:val="7"/>
            </w:pPr>
            <w:r w:rsidRPr="00FD50F6">
              <w:rPr>
                <w:rFonts w:hint="eastAsia"/>
              </w:rPr>
              <w:t>246</w:t>
            </w:r>
          </w:p>
        </w:tc>
        <w:tc>
          <w:tcPr>
            <w:tcW w:w="805" w:type="pct"/>
            <w:vAlign w:val="center"/>
          </w:tcPr>
          <w:p w14:paraId="4120D101" w14:textId="77777777" w:rsidR="007370F2" w:rsidRPr="00FD50F6" w:rsidRDefault="007370F2" w:rsidP="002B733E">
            <w:pPr>
              <w:pStyle w:val="7"/>
            </w:pPr>
          </w:p>
          <w:p w14:paraId="22FEE81C" w14:textId="77777777" w:rsidR="007370F2" w:rsidRPr="00FD50F6" w:rsidRDefault="007370F2" w:rsidP="002B733E">
            <w:pPr>
              <w:pStyle w:val="7"/>
            </w:pPr>
            <w:r w:rsidRPr="00FD50F6">
              <w:rPr>
                <w:rFonts w:hint="eastAsia"/>
              </w:rPr>
              <w:t>246</w:t>
            </w:r>
          </w:p>
        </w:tc>
      </w:tr>
      <w:tr w:rsidR="007370F2" w:rsidRPr="00FD50F6" w14:paraId="635EF418" w14:textId="77777777" w:rsidTr="009D510E">
        <w:trPr>
          <w:trHeight w:val="106"/>
          <w:jc w:val="center"/>
        </w:trPr>
        <w:tc>
          <w:tcPr>
            <w:tcW w:w="586" w:type="pct"/>
            <w:vMerge/>
            <w:vAlign w:val="center"/>
          </w:tcPr>
          <w:p w14:paraId="38340E23" w14:textId="77777777" w:rsidR="007370F2" w:rsidRPr="00FD50F6" w:rsidRDefault="007370F2" w:rsidP="002B733E">
            <w:pPr>
              <w:pStyle w:val="7"/>
            </w:pPr>
          </w:p>
        </w:tc>
        <w:tc>
          <w:tcPr>
            <w:tcW w:w="300" w:type="pct"/>
            <w:gridSpan w:val="2"/>
            <w:vMerge w:val="restart"/>
            <w:vAlign w:val="center"/>
          </w:tcPr>
          <w:p w14:paraId="400F2FD4" w14:textId="77777777" w:rsidR="007370F2" w:rsidRPr="00FD50F6" w:rsidRDefault="007370F2" w:rsidP="002B733E">
            <w:pPr>
              <w:pStyle w:val="7"/>
            </w:pPr>
            <w:r w:rsidRPr="00FD50F6">
              <w:t>超员</w:t>
            </w:r>
          </w:p>
        </w:tc>
        <w:tc>
          <w:tcPr>
            <w:tcW w:w="642" w:type="pct"/>
            <w:vAlign w:val="center"/>
          </w:tcPr>
          <w:p w14:paraId="21AAAD10" w14:textId="77777777" w:rsidR="007370F2" w:rsidRPr="00FD50F6" w:rsidRDefault="007370F2" w:rsidP="002B733E">
            <w:pPr>
              <w:pStyle w:val="7"/>
            </w:pPr>
            <w:r w:rsidRPr="00FD50F6">
              <w:t>单司机室车辆</w:t>
            </w:r>
          </w:p>
        </w:tc>
        <w:tc>
          <w:tcPr>
            <w:tcW w:w="843" w:type="pct"/>
            <w:gridSpan w:val="2"/>
            <w:vAlign w:val="center"/>
          </w:tcPr>
          <w:p w14:paraId="2BBDF882" w14:textId="77777777" w:rsidR="007370F2" w:rsidRPr="00FD50F6" w:rsidRDefault="007370F2" w:rsidP="002B733E">
            <w:pPr>
              <w:pStyle w:val="7"/>
            </w:pPr>
            <w:r w:rsidRPr="00FD50F6">
              <w:t>432</w:t>
            </w:r>
          </w:p>
        </w:tc>
        <w:tc>
          <w:tcPr>
            <w:tcW w:w="811" w:type="pct"/>
            <w:vAlign w:val="center"/>
          </w:tcPr>
          <w:p w14:paraId="31F367D2" w14:textId="77777777" w:rsidR="007370F2" w:rsidRPr="00FD50F6" w:rsidRDefault="007370F2" w:rsidP="002B733E">
            <w:pPr>
              <w:pStyle w:val="7"/>
            </w:pPr>
            <w:r w:rsidRPr="00FD50F6">
              <w:t>432</w:t>
            </w:r>
          </w:p>
        </w:tc>
        <w:tc>
          <w:tcPr>
            <w:tcW w:w="1013" w:type="pct"/>
            <w:vAlign w:val="center"/>
          </w:tcPr>
          <w:p w14:paraId="52E8C7E0" w14:textId="77777777" w:rsidR="007370F2" w:rsidRPr="00FD50F6" w:rsidRDefault="007370F2" w:rsidP="002B733E">
            <w:pPr>
              <w:pStyle w:val="7"/>
            </w:pPr>
          </w:p>
          <w:p w14:paraId="4748B6BD" w14:textId="77777777" w:rsidR="007370F2" w:rsidRPr="00FD50F6" w:rsidRDefault="007370F2" w:rsidP="002B733E">
            <w:pPr>
              <w:pStyle w:val="7"/>
            </w:pPr>
            <w:r w:rsidRPr="00FD50F6">
              <w:rPr>
                <w:rFonts w:hint="eastAsia"/>
              </w:rPr>
              <w:t>320</w:t>
            </w:r>
          </w:p>
        </w:tc>
        <w:tc>
          <w:tcPr>
            <w:tcW w:w="805" w:type="pct"/>
            <w:vAlign w:val="center"/>
          </w:tcPr>
          <w:p w14:paraId="4B974CBF" w14:textId="77777777" w:rsidR="007370F2" w:rsidRPr="00FD50F6" w:rsidRDefault="007370F2" w:rsidP="002B733E">
            <w:pPr>
              <w:pStyle w:val="7"/>
            </w:pPr>
          </w:p>
          <w:p w14:paraId="06681E4C" w14:textId="77777777" w:rsidR="007370F2" w:rsidRPr="00FD50F6" w:rsidRDefault="007370F2" w:rsidP="002B733E">
            <w:pPr>
              <w:pStyle w:val="7"/>
            </w:pPr>
            <w:r w:rsidRPr="00FD50F6">
              <w:rPr>
                <w:rFonts w:hint="eastAsia"/>
              </w:rPr>
              <w:t>320</w:t>
            </w:r>
          </w:p>
        </w:tc>
      </w:tr>
      <w:tr w:rsidR="007370F2" w:rsidRPr="00FD50F6" w14:paraId="2E9C8B76" w14:textId="77777777" w:rsidTr="009D510E">
        <w:trPr>
          <w:trHeight w:val="106"/>
          <w:jc w:val="center"/>
        </w:trPr>
        <w:tc>
          <w:tcPr>
            <w:tcW w:w="586" w:type="pct"/>
            <w:vMerge/>
            <w:vAlign w:val="center"/>
          </w:tcPr>
          <w:p w14:paraId="4CC7162F" w14:textId="77777777" w:rsidR="007370F2" w:rsidRPr="00FD50F6" w:rsidRDefault="007370F2" w:rsidP="002B733E">
            <w:pPr>
              <w:pStyle w:val="7"/>
            </w:pPr>
          </w:p>
        </w:tc>
        <w:tc>
          <w:tcPr>
            <w:tcW w:w="300" w:type="pct"/>
            <w:gridSpan w:val="2"/>
            <w:vMerge/>
            <w:vAlign w:val="center"/>
          </w:tcPr>
          <w:p w14:paraId="0CAADE45" w14:textId="77777777" w:rsidR="007370F2" w:rsidRPr="00FD50F6" w:rsidRDefault="007370F2" w:rsidP="002B733E">
            <w:pPr>
              <w:pStyle w:val="7"/>
            </w:pPr>
          </w:p>
        </w:tc>
        <w:tc>
          <w:tcPr>
            <w:tcW w:w="642" w:type="pct"/>
            <w:vAlign w:val="center"/>
          </w:tcPr>
          <w:p w14:paraId="121DC4B3" w14:textId="77777777" w:rsidR="007370F2" w:rsidRPr="00FD50F6" w:rsidRDefault="007370F2" w:rsidP="002B733E">
            <w:pPr>
              <w:pStyle w:val="7"/>
            </w:pPr>
            <w:r w:rsidRPr="00FD50F6">
              <w:t>无司机室车辆</w:t>
            </w:r>
          </w:p>
        </w:tc>
        <w:tc>
          <w:tcPr>
            <w:tcW w:w="843" w:type="pct"/>
            <w:gridSpan w:val="2"/>
            <w:vAlign w:val="center"/>
          </w:tcPr>
          <w:p w14:paraId="1B0FD362" w14:textId="77777777" w:rsidR="007370F2" w:rsidRPr="00FD50F6" w:rsidRDefault="007370F2" w:rsidP="002B733E">
            <w:pPr>
              <w:pStyle w:val="7"/>
            </w:pPr>
            <w:r w:rsidRPr="00FD50F6">
              <w:t>432</w:t>
            </w:r>
          </w:p>
        </w:tc>
        <w:tc>
          <w:tcPr>
            <w:tcW w:w="811" w:type="pct"/>
            <w:vAlign w:val="center"/>
          </w:tcPr>
          <w:p w14:paraId="492D0D99" w14:textId="77777777" w:rsidR="007370F2" w:rsidRPr="00FD50F6" w:rsidRDefault="007370F2" w:rsidP="002B733E">
            <w:pPr>
              <w:pStyle w:val="7"/>
            </w:pPr>
            <w:r w:rsidRPr="00FD50F6">
              <w:t>432</w:t>
            </w:r>
          </w:p>
        </w:tc>
        <w:tc>
          <w:tcPr>
            <w:tcW w:w="1013" w:type="pct"/>
            <w:vAlign w:val="center"/>
          </w:tcPr>
          <w:p w14:paraId="327BAB70" w14:textId="77777777" w:rsidR="007370F2" w:rsidRPr="00FD50F6" w:rsidRDefault="007370F2" w:rsidP="002B733E">
            <w:pPr>
              <w:pStyle w:val="7"/>
            </w:pPr>
          </w:p>
          <w:p w14:paraId="4D6CC785" w14:textId="77777777" w:rsidR="007370F2" w:rsidRPr="00FD50F6" w:rsidRDefault="007370F2" w:rsidP="002B733E">
            <w:pPr>
              <w:pStyle w:val="7"/>
            </w:pPr>
            <w:r w:rsidRPr="00FD50F6">
              <w:rPr>
                <w:rFonts w:hint="eastAsia"/>
              </w:rPr>
              <w:t>348</w:t>
            </w:r>
          </w:p>
        </w:tc>
        <w:tc>
          <w:tcPr>
            <w:tcW w:w="805" w:type="pct"/>
            <w:vAlign w:val="center"/>
          </w:tcPr>
          <w:p w14:paraId="612F1F5E" w14:textId="77777777" w:rsidR="007370F2" w:rsidRPr="00FD50F6" w:rsidRDefault="007370F2" w:rsidP="002B733E">
            <w:pPr>
              <w:pStyle w:val="7"/>
            </w:pPr>
          </w:p>
          <w:p w14:paraId="67D3421F" w14:textId="77777777" w:rsidR="007370F2" w:rsidRPr="00FD50F6" w:rsidRDefault="007370F2" w:rsidP="002B733E">
            <w:pPr>
              <w:pStyle w:val="7"/>
            </w:pPr>
            <w:r w:rsidRPr="00FD50F6">
              <w:rPr>
                <w:rFonts w:hint="eastAsia"/>
              </w:rPr>
              <w:t>348</w:t>
            </w:r>
          </w:p>
        </w:tc>
      </w:tr>
      <w:tr w:rsidR="007370F2" w:rsidRPr="00FD50F6" w14:paraId="0325A0B4" w14:textId="77777777" w:rsidTr="009D510E">
        <w:trPr>
          <w:trHeight w:val="106"/>
          <w:jc w:val="center"/>
        </w:trPr>
        <w:tc>
          <w:tcPr>
            <w:tcW w:w="1528" w:type="pct"/>
            <w:gridSpan w:val="4"/>
            <w:vAlign w:val="center"/>
          </w:tcPr>
          <w:p w14:paraId="469EEC6F" w14:textId="77777777" w:rsidR="007370F2" w:rsidRPr="00FD50F6" w:rsidRDefault="007370F2" w:rsidP="002B733E">
            <w:pPr>
              <w:pStyle w:val="7"/>
            </w:pPr>
            <w:r w:rsidRPr="00FD50F6">
              <w:t>车辆最高运行速度（</w:t>
            </w:r>
            <w:r w:rsidRPr="00FD50F6">
              <w:t>km/h</w:t>
            </w:r>
            <w:r w:rsidRPr="00FD50F6">
              <w:t>）</w:t>
            </w:r>
          </w:p>
        </w:tc>
        <w:tc>
          <w:tcPr>
            <w:tcW w:w="843" w:type="pct"/>
            <w:gridSpan w:val="2"/>
            <w:vAlign w:val="center"/>
          </w:tcPr>
          <w:p w14:paraId="59E12B80" w14:textId="77777777" w:rsidR="007370F2" w:rsidRPr="00FD50F6" w:rsidRDefault="007370F2" w:rsidP="002B733E">
            <w:pPr>
              <w:pStyle w:val="7"/>
            </w:pPr>
            <w:r w:rsidRPr="00FD50F6">
              <w:t>80</w:t>
            </w:r>
            <w:r w:rsidRPr="00FD50F6">
              <w:t>、</w:t>
            </w:r>
            <w:r w:rsidRPr="00FD50F6">
              <w:t>100</w:t>
            </w:r>
            <w:r w:rsidRPr="00FD50F6">
              <w:rPr>
                <w:rFonts w:hint="eastAsia"/>
              </w:rPr>
              <w:t>、</w:t>
            </w:r>
            <w:r w:rsidRPr="00FD50F6">
              <w:rPr>
                <w:rFonts w:hint="eastAsia"/>
              </w:rPr>
              <w:t>120</w:t>
            </w:r>
          </w:p>
        </w:tc>
        <w:tc>
          <w:tcPr>
            <w:tcW w:w="811" w:type="pct"/>
            <w:vAlign w:val="center"/>
          </w:tcPr>
          <w:p w14:paraId="2E4EAACA" w14:textId="77777777" w:rsidR="007370F2" w:rsidRPr="00FD50F6" w:rsidRDefault="007370F2" w:rsidP="002B733E">
            <w:pPr>
              <w:pStyle w:val="7"/>
            </w:pPr>
            <w:r w:rsidRPr="00FD50F6">
              <w:t>80</w:t>
            </w:r>
            <w:r w:rsidRPr="00FD50F6">
              <w:t>、</w:t>
            </w:r>
            <w:r w:rsidRPr="00FD50F6">
              <w:t>100</w:t>
            </w:r>
            <w:r w:rsidRPr="00FD50F6">
              <w:rPr>
                <w:rFonts w:hint="eastAsia"/>
              </w:rPr>
              <w:t>、</w:t>
            </w:r>
            <w:r w:rsidRPr="00FD50F6">
              <w:rPr>
                <w:rFonts w:hint="eastAsia"/>
              </w:rPr>
              <w:t>120</w:t>
            </w:r>
          </w:p>
        </w:tc>
        <w:tc>
          <w:tcPr>
            <w:tcW w:w="1013" w:type="pct"/>
            <w:vAlign w:val="center"/>
          </w:tcPr>
          <w:p w14:paraId="20B13228" w14:textId="77777777" w:rsidR="007370F2" w:rsidRPr="00FD50F6" w:rsidRDefault="007370F2" w:rsidP="002B733E">
            <w:pPr>
              <w:pStyle w:val="7"/>
            </w:pPr>
            <w:r w:rsidRPr="00FD50F6">
              <w:t>80</w:t>
            </w:r>
            <w:r w:rsidRPr="00FD50F6">
              <w:t>、</w:t>
            </w:r>
            <w:r w:rsidRPr="00FD50F6">
              <w:t>100</w:t>
            </w:r>
            <w:r w:rsidRPr="00FD50F6">
              <w:rPr>
                <w:rFonts w:hint="eastAsia"/>
              </w:rPr>
              <w:t>、</w:t>
            </w:r>
            <w:r w:rsidRPr="00FD50F6">
              <w:rPr>
                <w:rFonts w:hint="eastAsia"/>
              </w:rPr>
              <w:t>120</w:t>
            </w:r>
          </w:p>
        </w:tc>
        <w:tc>
          <w:tcPr>
            <w:tcW w:w="805" w:type="pct"/>
            <w:vAlign w:val="center"/>
          </w:tcPr>
          <w:p w14:paraId="48DDE1A0" w14:textId="77777777" w:rsidR="007370F2" w:rsidRPr="00FD50F6" w:rsidRDefault="007370F2" w:rsidP="002B733E">
            <w:pPr>
              <w:pStyle w:val="7"/>
            </w:pPr>
            <w:r w:rsidRPr="00FD50F6">
              <w:t>80</w:t>
            </w:r>
            <w:r w:rsidRPr="00FD50F6">
              <w:t>、</w:t>
            </w:r>
            <w:r w:rsidRPr="00FD50F6">
              <w:t>100</w:t>
            </w:r>
            <w:r w:rsidRPr="00FD50F6">
              <w:rPr>
                <w:rFonts w:hint="eastAsia"/>
              </w:rPr>
              <w:t>、</w:t>
            </w:r>
            <w:r w:rsidRPr="00FD50F6">
              <w:rPr>
                <w:rFonts w:hint="eastAsia"/>
              </w:rPr>
              <w:t>120</w:t>
            </w:r>
          </w:p>
        </w:tc>
      </w:tr>
    </w:tbl>
    <w:p w14:paraId="474BBB01" w14:textId="7640CB65" w:rsidR="002C6A8F" w:rsidRPr="00FD50F6" w:rsidRDefault="002C6A8F" w:rsidP="002C6A8F">
      <w:pPr>
        <w:adjustRightInd w:val="0"/>
        <w:snapToGrid w:val="0"/>
        <w:spacing w:line="240" w:lineRule="auto"/>
        <w:jc w:val="left"/>
        <w:rPr>
          <w:rFonts w:ascii="Times New Roman" w:hAnsi="Times New Roman" w:cs="Times New Roman"/>
          <w:sz w:val="21"/>
        </w:rPr>
      </w:pPr>
      <w:r w:rsidRPr="00FD50F6">
        <w:rPr>
          <w:rFonts w:ascii="Times New Roman" w:hAnsi="Times New Roman" w:cs="Times New Roman"/>
          <w:sz w:val="21"/>
        </w:rPr>
        <w:t>注</w:t>
      </w:r>
      <w:r w:rsidRPr="00FD50F6">
        <w:rPr>
          <w:rFonts w:ascii="Times New Roman" w:hAnsi="Times New Roman" w:cs="Times New Roman" w:hint="eastAsia"/>
          <w:sz w:val="21"/>
        </w:rPr>
        <w:t>：</w:t>
      </w:r>
      <w:r w:rsidRPr="00FD50F6">
        <w:rPr>
          <w:rFonts w:ascii="Times New Roman" w:hAnsi="Times New Roman" w:cs="Times New Roman"/>
          <w:sz w:val="21"/>
        </w:rPr>
        <w:t>1</w:t>
      </w:r>
      <w:r w:rsidR="006A75E2">
        <w:rPr>
          <w:rFonts w:ascii="Times New Roman" w:hAnsi="Times New Roman" w:cs="Times New Roman" w:hint="eastAsia"/>
          <w:sz w:val="21"/>
        </w:rPr>
        <w:t xml:space="preserve"> </w:t>
      </w:r>
      <w:r w:rsidRPr="00FD50F6">
        <w:rPr>
          <w:rFonts w:ascii="Times New Roman" w:hAnsi="Times New Roman" w:cs="Times New Roman"/>
          <w:sz w:val="21"/>
        </w:rPr>
        <w:t>每平方米有效空余地板面积站立的人数，</w:t>
      </w:r>
      <w:r w:rsidRPr="00FD50F6">
        <w:rPr>
          <w:rFonts w:ascii="Times New Roman" w:hAnsi="Times New Roman" w:cs="Times New Roman" w:hint="eastAsia"/>
          <w:sz w:val="21"/>
        </w:rPr>
        <w:t>定员按</w:t>
      </w:r>
      <w:r w:rsidRPr="00FD50F6">
        <w:rPr>
          <w:rFonts w:ascii="Times New Roman" w:hAnsi="Times New Roman" w:cs="Times New Roman" w:hint="eastAsia"/>
          <w:sz w:val="21"/>
        </w:rPr>
        <w:t>6</w:t>
      </w:r>
      <w:r w:rsidRPr="00FD50F6">
        <w:rPr>
          <w:rFonts w:ascii="Times New Roman" w:hAnsi="Times New Roman" w:cs="Times New Roman" w:hint="eastAsia"/>
          <w:sz w:val="21"/>
        </w:rPr>
        <w:t>人计，</w:t>
      </w:r>
      <w:r w:rsidRPr="00FD50F6">
        <w:rPr>
          <w:rFonts w:ascii="Times New Roman" w:hAnsi="Times New Roman" w:cs="Times New Roman"/>
          <w:sz w:val="21"/>
        </w:rPr>
        <w:t>超员</w:t>
      </w:r>
      <w:r w:rsidRPr="00FD50F6">
        <w:rPr>
          <w:rFonts w:ascii="Times New Roman" w:hAnsi="Times New Roman" w:cs="Times New Roman" w:hint="eastAsia"/>
          <w:sz w:val="21"/>
        </w:rPr>
        <w:t>按</w:t>
      </w:r>
      <w:r w:rsidRPr="00FD50F6">
        <w:rPr>
          <w:rFonts w:ascii="Times New Roman" w:hAnsi="Times New Roman" w:cs="Times New Roman"/>
          <w:sz w:val="21"/>
        </w:rPr>
        <w:t>9</w:t>
      </w:r>
      <w:r w:rsidRPr="00FD50F6">
        <w:rPr>
          <w:rFonts w:ascii="Times New Roman" w:hAnsi="Times New Roman" w:cs="Times New Roman"/>
          <w:sz w:val="21"/>
        </w:rPr>
        <w:t>人</w:t>
      </w:r>
      <w:r w:rsidRPr="00FD50F6">
        <w:rPr>
          <w:rFonts w:ascii="Times New Roman" w:hAnsi="Times New Roman" w:cs="Times New Roman" w:hint="eastAsia"/>
          <w:sz w:val="21"/>
        </w:rPr>
        <w:t>计</w:t>
      </w:r>
      <w:r w:rsidR="00262675">
        <w:rPr>
          <w:rFonts w:ascii="Times New Roman" w:hAnsi="Times New Roman" w:cs="Times New Roman" w:hint="eastAsia"/>
          <w:sz w:val="21"/>
        </w:rPr>
        <w:t>。</w:t>
      </w:r>
    </w:p>
    <w:p w14:paraId="3F51ED1B" w14:textId="619083C4" w:rsidR="002C6A8F" w:rsidRPr="00FD50F6" w:rsidRDefault="002C6A8F" w:rsidP="009D510E">
      <w:pPr>
        <w:adjustRightInd w:val="0"/>
        <w:snapToGrid w:val="0"/>
        <w:spacing w:line="240" w:lineRule="auto"/>
        <w:ind w:leftChars="189" w:left="559" w:hangingChars="50" w:hanging="105"/>
        <w:jc w:val="left"/>
        <w:rPr>
          <w:rFonts w:ascii="Times New Roman" w:hAnsi="Times New Roman" w:cs="Times New Roman"/>
          <w:sz w:val="21"/>
        </w:rPr>
      </w:pPr>
      <w:r w:rsidRPr="00FD50F6">
        <w:rPr>
          <w:rFonts w:ascii="Times New Roman" w:hAnsi="Times New Roman" w:cs="Times New Roman"/>
          <w:sz w:val="21"/>
        </w:rPr>
        <w:t>2</w:t>
      </w:r>
      <w:r w:rsidR="006A75E2">
        <w:rPr>
          <w:rFonts w:ascii="Times New Roman" w:hAnsi="Times New Roman" w:cs="Times New Roman" w:hint="eastAsia"/>
          <w:sz w:val="21"/>
        </w:rPr>
        <w:t xml:space="preserve"> </w:t>
      </w:r>
      <w:r w:rsidRPr="00FD50F6">
        <w:rPr>
          <w:rFonts w:ascii="Times New Roman" w:hAnsi="Times New Roman" w:cs="Times New Roman" w:hint="eastAsia"/>
          <w:sz w:val="21"/>
        </w:rPr>
        <w:t>定员</w:t>
      </w:r>
      <w:r w:rsidRPr="00FD50F6">
        <w:rPr>
          <w:rFonts w:ascii="Times New Roman" w:hAnsi="Times New Roman" w:cs="Times New Roman"/>
          <w:sz w:val="21"/>
        </w:rPr>
        <w:t>站立面积为客室地板总面积减去座椅垂向投影面积和投影面积前</w:t>
      </w:r>
      <w:r w:rsidRPr="00FD50F6">
        <w:rPr>
          <w:rFonts w:ascii="Times New Roman" w:hAnsi="Times New Roman" w:cs="Times New Roman" w:hint="eastAsia"/>
          <w:sz w:val="21"/>
        </w:rPr>
        <w:t>250</w:t>
      </w:r>
      <w:r w:rsidRPr="00FD50F6">
        <w:rPr>
          <w:rFonts w:ascii="Times New Roman" w:hAnsi="Times New Roman" w:cs="Times New Roman"/>
          <w:sz w:val="21"/>
        </w:rPr>
        <w:t>mm</w:t>
      </w:r>
      <w:r w:rsidRPr="00FD50F6">
        <w:rPr>
          <w:rFonts w:ascii="Times New Roman" w:hAnsi="Times New Roman" w:cs="Times New Roman" w:hint="eastAsia"/>
          <w:sz w:val="21"/>
        </w:rPr>
        <w:t>；超员</w:t>
      </w:r>
      <w:r w:rsidRPr="00FD50F6">
        <w:rPr>
          <w:rFonts w:ascii="Times New Roman" w:hAnsi="Times New Roman" w:cs="Times New Roman"/>
          <w:sz w:val="21"/>
        </w:rPr>
        <w:t>站立面积为客室地板总面积减去座椅垂向投影面积和投影面积前</w:t>
      </w:r>
      <w:r w:rsidRPr="00FD50F6">
        <w:rPr>
          <w:rFonts w:ascii="Times New Roman" w:hAnsi="Times New Roman" w:cs="Times New Roman" w:hint="eastAsia"/>
          <w:sz w:val="21"/>
        </w:rPr>
        <w:t>100</w:t>
      </w:r>
      <w:r w:rsidRPr="00FD50F6">
        <w:rPr>
          <w:rFonts w:ascii="Times New Roman" w:hAnsi="Times New Roman" w:cs="Times New Roman"/>
          <w:sz w:val="21"/>
        </w:rPr>
        <w:t>mm</w:t>
      </w:r>
      <w:r w:rsidRPr="00FD50F6">
        <w:rPr>
          <w:rFonts w:ascii="Times New Roman" w:hAnsi="Times New Roman" w:cs="Times New Roman"/>
          <w:sz w:val="21"/>
        </w:rPr>
        <w:t>。</w:t>
      </w:r>
    </w:p>
    <w:p w14:paraId="4501F32F" w14:textId="4326B77A" w:rsidR="002C6A8F" w:rsidRPr="001A4CF3" w:rsidRDefault="002C6A8F" w:rsidP="001A4CF3">
      <w:pPr>
        <w:adjustRightInd w:val="0"/>
        <w:snapToGrid w:val="0"/>
        <w:spacing w:line="240" w:lineRule="auto"/>
        <w:ind w:firstLineChars="200" w:firstLine="420"/>
        <w:jc w:val="left"/>
        <w:rPr>
          <w:rFonts w:ascii="Times New Roman" w:hAnsi="Times New Roman" w:cs="Times New Roman"/>
          <w:sz w:val="21"/>
        </w:rPr>
      </w:pPr>
      <w:r w:rsidRPr="001A4CF3">
        <w:rPr>
          <w:rFonts w:ascii="Times New Roman" w:hAnsi="Times New Roman" w:cs="Times New Roman" w:hint="eastAsia"/>
          <w:sz w:val="21"/>
        </w:rPr>
        <w:t>3</w:t>
      </w:r>
      <w:r w:rsidR="006A75E2">
        <w:rPr>
          <w:rFonts w:ascii="Times New Roman" w:hAnsi="Times New Roman" w:cs="Times New Roman" w:hint="eastAsia"/>
          <w:sz w:val="21"/>
        </w:rPr>
        <w:t xml:space="preserve"> </w:t>
      </w:r>
      <w:r w:rsidRPr="001A4CF3">
        <w:rPr>
          <w:rFonts w:ascii="Times New Roman" w:hAnsi="Times New Roman" w:cs="Times New Roman" w:hint="eastAsia"/>
          <w:sz w:val="21"/>
        </w:rPr>
        <w:t>采用鼓型车体的</w:t>
      </w:r>
      <w:r w:rsidRPr="001A4CF3">
        <w:rPr>
          <w:rFonts w:ascii="Times New Roman" w:hAnsi="Times New Roman" w:cs="Times New Roman" w:hint="eastAsia"/>
          <w:sz w:val="21"/>
        </w:rPr>
        <w:t>A</w:t>
      </w:r>
      <w:r w:rsidRPr="001A4CF3">
        <w:rPr>
          <w:rFonts w:ascii="Times New Roman" w:hAnsi="Times New Roman" w:cs="Times New Roman" w:hint="eastAsia"/>
          <w:sz w:val="21"/>
        </w:rPr>
        <w:t>型车基本宽度为</w:t>
      </w:r>
      <w:r w:rsidRPr="001A4CF3">
        <w:rPr>
          <w:rFonts w:ascii="Times New Roman" w:hAnsi="Times New Roman" w:cs="Times New Roman" w:hint="eastAsia"/>
          <w:sz w:val="21"/>
        </w:rPr>
        <w:t>3090mm</w:t>
      </w:r>
      <w:r w:rsidRPr="001A4CF3">
        <w:rPr>
          <w:rFonts w:ascii="Times New Roman" w:hAnsi="Times New Roman" w:cs="Times New Roman" w:hint="eastAsia"/>
          <w:sz w:val="21"/>
        </w:rPr>
        <w:t>，</w:t>
      </w:r>
      <w:r w:rsidRPr="001A4CF3">
        <w:rPr>
          <w:rFonts w:ascii="Times New Roman" w:hAnsi="Times New Roman" w:cs="Times New Roman" w:hint="eastAsia"/>
          <w:sz w:val="21"/>
        </w:rPr>
        <w:t>B</w:t>
      </w:r>
      <w:r w:rsidRPr="001A4CF3">
        <w:rPr>
          <w:rFonts w:ascii="Times New Roman" w:hAnsi="Times New Roman" w:cs="Times New Roman" w:hint="eastAsia"/>
          <w:sz w:val="21"/>
        </w:rPr>
        <w:t>型车基本宽度为</w:t>
      </w:r>
      <w:r w:rsidRPr="001A4CF3">
        <w:rPr>
          <w:rFonts w:ascii="Times New Roman" w:hAnsi="Times New Roman" w:cs="Times New Roman" w:hint="eastAsia"/>
          <w:sz w:val="21"/>
        </w:rPr>
        <w:t>2890mm</w:t>
      </w:r>
      <w:r w:rsidRPr="001A4CF3">
        <w:rPr>
          <w:rFonts w:ascii="Times New Roman" w:hAnsi="Times New Roman" w:cs="Times New Roman" w:hint="eastAsia"/>
          <w:sz w:val="21"/>
        </w:rPr>
        <w:t>。</w:t>
      </w:r>
    </w:p>
    <w:p w14:paraId="76DB2BC3" w14:textId="2C2450DC" w:rsidR="002C6A8F" w:rsidRPr="00FD50F6" w:rsidRDefault="002C6A8F" w:rsidP="002C6A8F">
      <w:pPr>
        <w:pStyle w:val="30"/>
      </w:pPr>
      <w:r w:rsidRPr="00FD50F6">
        <w:t>车辆使用条件应符合下列</w:t>
      </w:r>
      <w:r w:rsidRPr="00FD50F6">
        <w:rPr>
          <w:rFonts w:hint="eastAsia"/>
        </w:rPr>
        <w:t>规定</w:t>
      </w:r>
      <w:r w:rsidRPr="00FD50F6">
        <w:t>：</w:t>
      </w:r>
    </w:p>
    <w:p w14:paraId="512AC1F0" w14:textId="083EC930" w:rsidR="002C6A8F" w:rsidRPr="00FD50F6" w:rsidRDefault="002C6A8F" w:rsidP="00A926BD">
      <w:pPr>
        <w:pStyle w:val="4"/>
      </w:pPr>
      <w:r w:rsidRPr="00FD50F6">
        <w:t>环境条件应符合下列</w:t>
      </w:r>
      <w:r w:rsidRPr="00FD50F6">
        <w:rPr>
          <w:rFonts w:hint="eastAsia"/>
        </w:rPr>
        <w:t>规定</w:t>
      </w:r>
      <w:r w:rsidRPr="00FD50F6">
        <w:t>：</w:t>
      </w:r>
    </w:p>
    <w:p w14:paraId="705EF5D1" w14:textId="77777777" w:rsidR="002C6A8F" w:rsidRPr="00FD50F6" w:rsidRDefault="002C6A8F" w:rsidP="002C6A8F">
      <w:pPr>
        <w:pStyle w:val="5"/>
        <w:ind w:firstLine="480"/>
      </w:pPr>
      <w:r w:rsidRPr="00FD50F6">
        <w:t>海拔不超过</w:t>
      </w:r>
      <w:r w:rsidRPr="00FD50F6">
        <w:t>1200m</w:t>
      </w:r>
      <w:r w:rsidRPr="00FD50F6">
        <w:t>；</w:t>
      </w:r>
    </w:p>
    <w:p w14:paraId="060946C5" w14:textId="77777777" w:rsidR="002C6A8F" w:rsidRPr="00FD50F6" w:rsidRDefault="002C6A8F" w:rsidP="002C6A8F">
      <w:pPr>
        <w:pStyle w:val="5"/>
        <w:ind w:firstLine="480"/>
      </w:pPr>
      <w:r w:rsidRPr="00FD50F6">
        <w:t>环境温度为－</w:t>
      </w:r>
      <w:r w:rsidRPr="00FD50F6">
        <w:t>25</w:t>
      </w:r>
      <w:r w:rsidRPr="00FD50F6">
        <w:rPr>
          <w:rFonts w:ascii="宋体" w:hAnsi="宋体" w:cs="宋体" w:hint="eastAsia"/>
        </w:rPr>
        <w:t>℃</w:t>
      </w:r>
      <w:r w:rsidRPr="00FD50F6">
        <w:t>～</w:t>
      </w:r>
      <w:r w:rsidRPr="00FD50F6">
        <w:t>4</w:t>
      </w:r>
      <w:r w:rsidRPr="00FD50F6">
        <w:rPr>
          <w:rFonts w:hint="eastAsia"/>
        </w:rPr>
        <w:t>5</w:t>
      </w:r>
      <w:r w:rsidRPr="00FD50F6">
        <w:rPr>
          <w:rFonts w:ascii="宋体" w:hAnsi="宋体" w:cs="宋体" w:hint="eastAsia"/>
        </w:rPr>
        <w:t>℃</w:t>
      </w:r>
      <w:r w:rsidRPr="00FD50F6">
        <w:t>；</w:t>
      </w:r>
    </w:p>
    <w:p w14:paraId="2CECA026" w14:textId="77777777" w:rsidR="002C6A8F" w:rsidRPr="00FD50F6" w:rsidRDefault="002C6A8F" w:rsidP="002C6A8F">
      <w:pPr>
        <w:pStyle w:val="5"/>
        <w:ind w:firstLine="480"/>
      </w:pPr>
      <w:r w:rsidRPr="00FD50F6">
        <w:t>最大相对湿度不大于</w:t>
      </w:r>
      <w:r w:rsidRPr="00FD50F6">
        <w:t>90</w:t>
      </w:r>
      <w:r w:rsidRPr="00FD50F6">
        <w:t>％</w:t>
      </w:r>
      <w:r w:rsidRPr="00FD50F6">
        <w:t>(</w:t>
      </w:r>
      <w:r w:rsidRPr="00FD50F6">
        <w:t>月平均温度为</w:t>
      </w:r>
      <w:r w:rsidRPr="00FD50F6">
        <w:t>25</w:t>
      </w:r>
      <w:r w:rsidRPr="00FD50F6">
        <w:rPr>
          <w:rFonts w:ascii="宋体" w:hAnsi="宋体" w:cs="宋体" w:hint="eastAsia"/>
        </w:rPr>
        <w:t>℃</w:t>
      </w:r>
      <w:r w:rsidRPr="00FD50F6">
        <w:t>时</w:t>
      </w:r>
      <w:r w:rsidRPr="00FD50F6">
        <w:t xml:space="preserve">) </w:t>
      </w:r>
      <w:r w:rsidRPr="00FD50F6">
        <w:t>；</w:t>
      </w:r>
    </w:p>
    <w:p w14:paraId="0CC8AE92" w14:textId="77777777" w:rsidR="002C6A8F" w:rsidRPr="00FD50F6" w:rsidRDefault="002C6A8F" w:rsidP="002C6A8F">
      <w:pPr>
        <w:pStyle w:val="5"/>
        <w:ind w:firstLine="480"/>
      </w:pPr>
      <w:r w:rsidRPr="00FD50F6">
        <w:t>车辆应能承受风、沙、雨、雪的侵袭。</w:t>
      </w:r>
    </w:p>
    <w:p w14:paraId="09DDC593" w14:textId="6BB8F1EE" w:rsidR="002C6A8F" w:rsidRPr="00FD50F6" w:rsidRDefault="002C6A8F" w:rsidP="00A926BD">
      <w:pPr>
        <w:pStyle w:val="4"/>
      </w:pPr>
      <w:r w:rsidRPr="00FD50F6">
        <w:t>线路条件应符合下列</w:t>
      </w:r>
      <w:r w:rsidRPr="00FD50F6">
        <w:rPr>
          <w:rFonts w:hint="eastAsia"/>
        </w:rPr>
        <w:t>规定</w:t>
      </w:r>
      <w:r w:rsidRPr="00FD50F6">
        <w:t>：</w:t>
      </w:r>
    </w:p>
    <w:p w14:paraId="1BF1442A" w14:textId="77777777" w:rsidR="002C6A8F" w:rsidRPr="00FD50F6" w:rsidRDefault="002C6A8F" w:rsidP="002C6A8F">
      <w:pPr>
        <w:pStyle w:val="5"/>
        <w:ind w:firstLine="480"/>
      </w:pPr>
      <w:r w:rsidRPr="00FD50F6">
        <w:t>线路轨距为</w:t>
      </w:r>
      <w:r w:rsidRPr="00FD50F6">
        <w:t>1435mm</w:t>
      </w:r>
      <w:r w:rsidRPr="00FD50F6">
        <w:t>；</w:t>
      </w:r>
    </w:p>
    <w:p w14:paraId="11D0B5BC" w14:textId="1DBA39FB" w:rsidR="002C6A8F" w:rsidRPr="00FD50F6" w:rsidRDefault="002C6A8F" w:rsidP="002C6A8F">
      <w:pPr>
        <w:pStyle w:val="5"/>
        <w:ind w:firstLine="480"/>
      </w:pPr>
      <w:r w:rsidRPr="00FD50F6">
        <w:t>最小平面曲线半径应符合本</w:t>
      </w:r>
      <w:r w:rsidRPr="00FD50F6">
        <w:rPr>
          <w:rFonts w:hint="eastAsia"/>
        </w:rPr>
        <w:t>标准</w:t>
      </w:r>
      <w:r w:rsidRPr="00FD50F6">
        <w:t>第</w:t>
      </w:r>
      <w:r w:rsidR="00F70ADA" w:rsidRPr="00FD50F6">
        <w:t>7</w:t>
      </w:r>
      <w:r w:rsidRPr="00262675">
        <w:t>.2.1</w:t>
      </w:r>
      <w:r w:rsidRPr="00FD50F6">
        <w:t>条的规定；</w:t>
      </w:r>
    </w:p>
    <w:p w14:paraId="0ED8A2CD" w14:textId="77777777" w:rsidR="002C6A8F" w:rsidRPr="00FD50F6" w:rsidRDefault="002C6A8F" w:rsidP="002C6A8F">
      <w:pPr>
        <w:pStyle w:val="5"/>
        <w:ind w:firstLine="480"/>
      </w:pPr>
      <w:r w:rsidRPr="00FD50F6">
        <w:t>最小竖曲线半径为</w:t>
      </w:r>
      <w:r w:rsidRPr="00FD50F6">
        <w:t>2000m</w:t>
      </w:r>
      <w:r w:rsidRPr="00FD50F6">
        <w:t>；</w:t>
      </w:r>
    </w:p>
    <w:p w14:paraId="27EA3A1D" w14:textId="4E28DB1C" w:rsidR="002C6A8F" w:rsidRPr="00FD50F6" w:rsidRDefault="002C6A8F" w:rsidP="002C6A8F">
      <w:pPr>
        <w:pStyle w:val="5"/>
        <w:ind w:firstLine="480"/>
      </w:pPr>
      <w:r w:rsidRPr="00FD50F6">
        <w:t>正线的最大坡度不宜大于</w:t>
      </w:r>
      <w:r w:rsidRPr="00FD50F6">
        <w:t>30‰</w:t>
      </w:r>
      <w:r w:rsidRPr="00FD50F6">
        <w:t>，困难地段可采用</w:t>
      </w:r>
      <w:r w:rsidRPr="00FD50F6">
        <w:t>35‰</w:t>
      </w:r>
      <w:r w:rsidRPr="00FD50F6">
        <w:t>，出入线、联络线和特殊地形区段的最大坡度不宜大于</w:t>
      </w:r>
      <w:r w:rsidRPr="00FD50F6">
        <w:t>40‰</w:t>
      </w:r>
      <w:r w:rsidRPr="00FD50F6">
        <w:rPr>
          <w:rFonts w:hint="eastAsia"/>
        </w:rPr>
        <w:t>。</w:t>
      </w:r>
    </w:p>
    <w:p w14:paraId="5FC42162" w14:textId="106AA1D5" w:rsidR="002C6A8F" w:rsidRPr="00FD50F6" w:rsidRDefault="002C6A8F" w:rsidP="00A926BD">
      <w:pPr>
        <w:pStyle w:val="4"/>
      </w:pPr>
      <w:r w:rsidRPr="00FD50F6">
        <w:t>供电条件应符合下列</w:t>
      </w:r>
      <w:r w:rsidRPr="00FD50F6">
        <w:rPr>
          <w:rFonts w:hint="eastAsia"/>
        </w:rPr>
        <w:t>规定</w:t>
      </w:r>
      <w:r w:rsidRPr="00FD50F6">
        <w:t>：</w:t>
      </w:r>
    </w:p>
    <w:p w14:paraId="024184F2" w14:textId="77777777" w:rsidR="002C6A8F" w:rsidRPr="00FD50F6" w:rsidRDefault="002C6A8F" w:rsidP="002C6A8F">
      <w:pPr>
        <w:pStyle w:val="5"/>
        <w:ind w:firstLine="480"/>
      </w:pPr>
      <w:r w:rsidRPr="00FD50F6">
        <w:t>受电方式可采用接触网受电弓受电或接触轨受流器受电；</w:t>
      </w:r>
    </w:p>
    <w:p w14:paraId="2695F150" w14:textId="65CF27FE" w:rsidR="002C6A8F" w:rsidRPr="00FD50F6" w:rsidRDefault="002C6A8F" w:rsidP="002C6A8F">
      <w:pPr>
        <w:pStyle w:val="5"/>
        <w:ind w:firstLine="480"/>
        <w:rPr>
          <w:b/>
        </w:rPr>
      </w:pPr>
      <w:r w:rsidRPr="00FD50F6">
        <w:t>供电电压可采用额定</w:t>
      </w:r>
      <w:r w:rsidRPr="00FD50F6">
        <w:t>DCl500V</w:t>
      </w:r>
      <w:r w:rsidRPr="00FD50F6">
        <w:t>，波动范围在</w:t>
      </w:r>
      <w:r w:rsidRPr="00FD50F6">
        <w:t>DCl000V</w:t>
      </w:r>
      <w:r w:rsidRPr="00FD50F6">
        <w:t>～</w:t>
      </w:r>
      <w:r w:rsidRPr="00FD50F6">
        <w:t>DC1800V</w:t>
      </w:r>
      <w:r w:rsidRPr="00FD50F6">
        <w:rPr>
          <w:rFonts w:hint="eastAsia"/>
        </w:rPr>
        <w:t>，</w:t>
      </w:r>
      <w:r w:rsidRPr="00FD50F6">
        <w:t>或采用额定</w:t>
      </w:r>
      <w:r w:rsidRPr="00FD50F6">
        <w:t>DC750V</w:t>
      </w:r>
      <w:r w:rsidRPr="00FD50F6">
        <w:t>，波动范围在</w:t>
      </w:r>
      <w:r w:rsidRPr="00FD50F6">
        <w:t>DC500V</w:t>
      </w:r>
      <w:r w:rsidRPr="00FD50F6">
        <w:t>～</w:t>
      </w:r>
      <w:r w:rsidRPr="00FD50F6">
        <w:t>DC900V</w:t>
      </w:r>
      <w:r w:rsidRPr="00FD50F6">
        <w:t>。</w:t>
      </w:r>
    </w:p>
    <w:p w14:paraId="615742C9" w14:textId="77777777" w:rsidR="002C6A8F" w:rsidRPr="00FD50F6" w:rsidRDefault="002C6A8F" w:rsidP="00A926BD">
      <w:pPr>
        <w:pStyle w:val="4"/>
      </w:pPr>
      <w:r w:rsidRPr="00FD50F6">
        <w:t>因城市所处地区不同而存在使用条件差异时，用户与制造商可在合同中另行规定使用条件。</w:t>
      </w:r>
    </w:p>
    <w:p w14:paraId="6BA9F6C1" w14:textId="70C79FB9" w:rsidR="002C6A8F" w:rsidRPr="00FD50F6" w:rsidRDefault="002C6A8F" w:rsidP="002C6A8F">
      <w:pPr>
        <w:pStyle w:val="30"/>
      </w:pPr>
      <w:r w:rsidRPr="00FD50F6">
        <w:t>地铁车辆限界应符合本</w:t>
      </w:r>
      <w:r w:rsidRPr="00FD50F6">
        <w:rPr>
          <w:rFonts w:hint="eastAsia"/>
        </w:rPr>
        <w:t>标准</w:t>
      </w:r>
      <w:r w:rsidRPr="00FD50F6">
        <w:t>第</w:t>
      </w:r>
      <w:r w:rsidR="00F70ADA" w:rsidRPr="00FD50F6">
        <w:t>6</w:t>
      </w:r>
      <w:r w:rsidRPr="00FD50F6">
        <w:t>章的规定。</w:t>
      </w:r>
    </w:p>
    <w:p w14:paraId="726C2CDE" w14:textId="77777777" w:rsidR="002C6A8F" w:rsidRPr="00FD50F6" w:rsidRDefault="002C6A8F" w:rsidP="002C6A8F">
      <w:pPr>
        <w:pStyle w:val="30"/>
      </w:pPr>
      <w:r w:rsidRPr="00FD50F6">
        <w:lastRenderedPageBreak/>
        <w:t>车轮直径应为</w:t>
      </w:r>
      <w:r w:rsidR="00F23B1A" w:rsidRPr="00FD50F6">
        <w:rPr>
          <w:noProof/>
          <w:position w:val="-12"/>
        </w:rPr>
        <w:object w:dxaOrig="581" w:dyaOrig="380" w14:anchorId="63A20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 style="width:27.75pt;height:18.75pt;mso-width-percent:0;mso-height-percent:0;mso-width-percent:0;mso-height-percent:0" o:ole="">
            <v:imagedata r:id="rId15" o:title=""/>
          </v:shape>
          <o:OLEObject Type="Embed" ProgID="Equation.3" ShapeID="Picture 4" DrawAspect="Content" ObjectID="_1731840742" r:id="rId16"/>
        </w:object>
      </w:r>
      <w:r w:rsidRPr="00FD50F6">
        <w:t>mm</w:t>
      </w:r>
      <w:r w:rsidRPr="00FD50F6">
        <w:t>。新造车同轴的两轮直径之差不应超过</w:t>
      </w:r>
      <w:r w:rsidRPr="00FD50F6">
        <w:t>1mm</w:t>
      </w:r>
      <w:r w:rsidRPr="00FD50F6">
        <w:t>。同一动车转向架各轮径差不应超过</w:t>
      </w:r>
      <w:r w:rsidRPr="00FD50F6">
        <w:t>2 mm</w:t>
      </w:r>
      <w:r w:rsidRPr="00FD50F6">
        <w:t>。</w:t>
      </w:r>
    </w:p>
    <w:p w14:paraId="3B022A13" w14:textId="77777777" w:rsidR="002C6A8F" w:rsidRPr="00FD50F6" w:rsidRDefault="002C6A8F" w:rsidP="002C6A8F">
      <w:pPr>
        <w:pStyle w:val="30"/>
      </w:pPr>
      <w:r w:rsidRPr="00FD50F6">
        <w:t>轮对内侧距应为</w:t>
      </w:r>
      <w:r w:rsidRPr="00FD50F6">
        <w:t>1353 mm±2mm</w:t>
      </w:r>
      <w:r w:rsidRPr="00FD50F6">
        <w:t>。</w:t>
      </w:r>
    </w:p>
    <w:p w14:paraId="5D14E441" w14:textId="111DE9AC" w:rsidR="002C6A8F" w:rsidRPr="00FD50F6" w:rsidRDefault="002C6A8F" w:rsidP="002C6A8F">
      <w:pPr>
        <w:pStyle w:val="30"/>
      </w:pPr>
      <w:r w:rsidRPr="00FD50F6">
        <w:t>车辆客室地板面距轨面高度应与车站站台面高度相协调，车辆高度调整装置应能保持车辆地板面高度不因载客量的变化而明显改变。车辆客室地板面高度在任何使用情况下均不应低于站台面高度。</w:t>
      </w:r>
    </w:p>
    <w:p w14:paraId="05858B27" w14:textId="77777777" w:rsidR="002C6A8F" w:rsidRPr="00FD50F6" w:rsidRDefault="002C6A8F" w:rsidP="002C6A8F">
      <w:pPr>
        <w:pStyle w:val="30"/>
      </w:pPr>
      <w:r w:rsidRPr="00FD50F6">
        <w:t>车辆的构造速度应为车辆最高运行速度的</w:t>
      </w:r>
      <w:r w:rsidRPr="00FD50F6">
        <w:t>1.1</w:t>
      </w:r>
      <w:r w:rsidRPr="00FD50F6">
        <w:t>倍。</w:t>
      </w:r>
    </w:p>
    <w:p w14:paraId="6F37FC1B" w14:textId="77777777" w:rsidR="002C6A8F" w:rsidRPr="00FD50F6" w:rsidRDefault="002C6A8F" w:rsidP="002C6A8F">
      <w:pPr>
        <w:pStyle w:val="30"/>
      </w:pPr>
      <w:r w:rsidRPr="00FD50F6">
        <w:t>列车在牵引或制动过程中纵向冲击率不应大于</w:t>
      </w:r>
      <w:r w:rsidRPr="00FD50F6">
        <w:t>0.75m/s</w:t>
      </w:r>
      <w:r w:rsidRPr="00FD50F6">
        <w:rPr>
          <w:vertAlign w:val="superscript"/>
        </w:rPr>
        <w:t>3</w:t>
      </w:r>
      <w:r w:rsidRPr="00FD50F6">
        <w:t>。</w:t>
      </w:r>
    </w:p>
    <w:p w14:paraId="51CF86B4" w14:textId="1E54EF4B" w:rsidR="002C6A8F" w:rsidRPr="00FD50F6" w:rsidRDefault="002C6A8F" w:rsidP="002C6A8F">
      <w:pPr>
        <w:pStyle w:val="30"/>
      </w:pPr>
      <w:r w:rsidRPr="00FD50F6">
        <w:t>车辆运行的平稳性指标应小于</w:t>
      </w:r>
      <w:r w:rsidRPr="00FD50F6">
        <w:t>2.5</w:t>
      </w:r>
      <w:r w:rsidRPr="00FD50F6">
        <w:t>，</w:t>
      </w:r>
      <w:r w:rsidRPr="00FD50F6">
        <w:rPr>
          <w:rFonts w:hint="eastAsia"/>
        </w:rPr>
        <w:t>脱轨系数和轮重减载的测试方法和限度值应按现行国家标准《机车车辆动力学性能评定及试验鉴定规范》</w:t>
      </w:r>
      <w:r w:rsidRPr="00FD50F6">
        <w:t>GB/T 5599</w:t>
      </w:r>
      <w:r w:rsidRPr="00FD50F6">
        <w:rPr>
          <w:rFonts w:hint="eastAsia"/>
        </w:rPr>
        <w:t>的规定执行，当曲线半径大于</w:t>
      </w:r>
      <w:r w:rsidRPr="00FD50F6">
        <w:rPr>
          <w:rFonts w:hint="eastAsia"/>
        </w:rPr>
        <w:t>400m</w:t>
      </w:r>
      <w:r w:rsidRPr="00FD50F6">
        <w:rPr>
          <w:rFonts w:hint="eastAsia"/>
        </w:rPr>
        <w:t>时，脱轨系数</w:t>
      </w:r>
      <w:r w:rsidR="007370F2">
        <w:rPr>
          <w:rFonts w:hint="eastAsia"/>
        </w:rPr>
        <w:t>应小于或等于</w:t>
      </w:r>
      <w:r w:rsidRPr="00FD50F6">
        <w:rPr>
          <w:rFonts w:hint="eastAsia"/>
        </w:rPr>
        <w:t>0.8</w:t>
      </w:r>
      <w:r w:rsidRPr="00FD50F6">
        <w:rPr>
          <w:rFonts w:hint="eastAsia"/>
        </w:rPr>
        <w:t>，当曲线半径不大于</w:t>
      </w:r>
      <w:r w:rsidRPr="00FD50F6">
        <w:rPr>
          <w:rFonts w:hint="eastAsia"/>
        </w:rPr>
        <w:t>400m</w:t>
      </w:r>
      <w:r w:rsidRPr="00FD50F6">
        <w:rPr>
          <w:rFonts w:hint="eastAsia"/>
        </w:rPr>
        <w:t>和侧向过道岔时，脱轨系数</w:t>
      </w:r>
      <w:r w:rsidR="007370F2">
        <w:rPr>
          <w:rFonts w:hint="eastAsia"/>
        </w:rPr>
        <w:t>应小于或等于</w:t>
      </w:r>
      <w:r w:rsidRPr="00FD50F6">
        <w:rPr>
          <w:rFonts w:hint="eastAsia"/>
        </w:rPr>
        <w:t>1.0</w:t>
      </w:r>
      <w:r w:rsidRPr="00FD50F6">
        <w:rPr>
          <w:rFonts w:hint="eastAsia"/>
        </w:rPr>
        <w:t>。</w:t>
      </w:r>
    </w:p>
    <w:p w14:paraId="216F7AA3" w14:textId="61696AC5" w:rsidR="002C6A8F" w:rsidRPr="00FD50F6" w:rsidRDefault="002C6A8F" w:rsidP="004142B4">
      <w:pPr>
        <w:pStyle w:val="30"/>
      </w:pPr>
      <w:r w:rsidRPr="00FD50F6">
        <w:rPr>
          <w:rFonts w:hint="eastAsia"/>
        </w:rPr>
        <w:t>列车内部的噪声限值应满足</w:t>
      </w:r>
      <w:r w:rsidRPr="00FD50F6">
        <w:t>表</w:t>
      </w:r>
      <w:r w:rsidR="007C4A61" w:rsidRPr="00FD50F6">
        <w:t>5</w:t>
      </w:r>
      <w:r w:rsidRPr="00FD50F6">
        <w:t>.1.14</w:t>
      </w:r>
      <w:r w:rsidRPr="00FD50F6">
        <w:rPr>
          <w:rFonts w:hint="eastAsia"/>
        </w:rPr>
        <w:t>的</w:t>
      </w:r>
      <w:r w:rsidRPr="00FD50F6">
        <w:t>规定</w:t>
      </w:r>
      <w:r w:rsidRPr="00FD50F6">
        <w:rPr>
          <w:rFonts w:hint="eastAsia"/>
        </w:rPr>
        <w:t>。其中测量方法应按现行国家标准《</w:t>
      </w:r>
      <w:r w:rsidRPr="00DF326F">
        <w:rPr>
          <w:rFonts w:hint="eastAsia"/>
        </w:rPr>
        <w:t>城市轨道交通列车噪声限值和测量方法</w:t>
      </w:r>
      <w:r w:rsidRPr="00FD50F6">
        <w:rPr>
          <w:rFonts w:hint="eastAsia"/>
        </w:rPr>
        <w:t>》</w:t>
      </w:r>
      <w:r w:rsidRPr="00FD50F6">
        <w:rPr>
          <w:rFonts w:hint="eastAsia"/>
        </w:rPr>
        <w:t>GB l4892</w:t>
      </w:r>
      <w:r w:rsidR="007370F2" w:rsidRPr="00FD50F6">
        <w:rPr>
          <w:rFonts w:hint="eastAsia"/>
        </w:rPr>
        <w:t>的</w:t>
      </w:r>
      <w:r w:rsidRPr="00FD50F6">
        <w:rPr>
          <w:rFonts w:hint="eastAsia"/>
        </w:rPr>
        <w:t>规定</w:t>
      </w:r>
      <w:r w:rsidR="007370F2">
        <w:rPr>
          <w:rFonts w:hint="eastAsia"/>
        </w:rPr>
        <w:t>执行</w:t>
      </w:r>
      <w:r w:rsidR="009D510E">
        <w:rPr>
          <w:rFonts w:hint="eastAsia"/>
        </w:rPr>
        <w:t>，</w:t>
      </w:r>
      <w:r w:rsidRPr="00FD50F6">
        <w:rPr>
          <w:rFonts w:hint="eastAsia"/>
        </w:rPr>
        <w:t>线路条件应按现行国家标准《声学　轨道机车车辆发射噪声测量》</w:t>
      </w:r>
      <w:r w:rsidRPr="00FD50F6">
        <w:rPr>
          <w:rFonts w:hint="eastAsia"/>
        </w:rPr>
        <w:t>GB/T 5111</w:t>
      </w:r>
      <w:r w:rsidR="007370F2" w:rsidRPr="00FD50F6">
        <w:rPr>
          <w:rFonts w:hint="eastAsia"/>
        </w:rPr>
        <w:t>的</w:t>
      </w:r>
      <w:r w:rsidRPr="00FD50F6">
        <w:rPr>
          <w:rFonts w:hint="eastAsia"/>
        </w:rPr>
        <w:t>规定执行。</w:t>
      </w:r>
    </w:p>
    <w:p w14:paraId="4CC0917C" w14:textId="0C2D56CD" w:rsidR="002C6A8F" w:rsidRPr="00FD50F6" w:rsidRDefault="002C6A8F" w:rsidP="002C6A8F">
      <w:pPr>
        <w:pStyle w:val="6"/>
      </w:pPr>
      <w:r w:rsidRPr="00FD50F6">
        <w:t>表</w:t>
      </w:r>
      <w:r w:rsidR="00F70ADA" w:rsidRPr="00FD50F6">
        <w:t>5</w:t>
      </w:r>
      <w:r w:rsidRPr="00FD50F6">
        <w:t xml:space="preserve">.1.14  </w:t>
      </w:r>
      <w:r w:rsidRPr="00FD50F6">
        <w:rPr>
          <w:rFonts w:hint="eastAsia"/>
        </w:rPr>
        <w:t>列车内部</w:t>
      </w:r>
      <w:r w:rsidRPr="00FD50F6">
        <w:t>噪声最大容许限值</w:t>
      </w:r>
      <w:r w:rsidRPr="00FD50F6">
        <w:t xml:space="preserve">    </w:t>
      </w:r>
      <w:r w:rsidRPr="00FD50F6">
        <w:rPr>
          <w:rFonts w:hint="eastAsia"/>
        </w:rPr>
        <w:t xml:space="preserve"> </w:t>
      </w:r>
      <w:r w:rsidRPr="00FD50F6">
        <w:t xml:space="preserve"> </w:t>
      </w:r>
    </w:p>
    <w:tbl>
      <w:tblPr>
        <w:tblW w:w="8364" w:type="dxa"/>
        <w:jc w:val="center"/>
        <w:tblLayout w:type="fixed"/>
        <w:tblLook w:val="0000" w:firstRow="0" w:lastRow="0" w:firstColumn="0" w:lastColumn="0" w:noHBand="0" w:noVBand="0"/>
      </w:tblPr>
      <w:tblGrid>
        <w:gridCol w:w="976"/>
        <w:gridCol w:w="1732"/>
        <w:gridCol w:w="1487"/>
        <w:gridCol w:w="1255"/>
        <w:gridCol w:w="1296"/>
        <w:gridCol w:w="1618"/>
      </w:tblGrid>
      <w:tr w:rsidR="00FD50F6" w:rsidRPr="00FD50F6" w14:paraId="44138B03" w14:textId="77777777" w:rsidTr="002B733E">
        <w:trPr>
          <w:trHeight w:val="282"/>
          <w:jc w:val="center"/>
        </w:trPr>
        <w:tc>
          <w:tcPr>
            <w:tcW w:w="976" w:type="dxa"/>
            <w:vMerge w:val="restart"/>
            <w:tcBorders>
              <w:top w:val="single" w:sz="4" w:space="0" w:color="auto"/>
              <w:left w:val="single" w:sz="4" w:space="0" w:color="auto"/>
              <w:bottom w:val="single" w:sz="4" w:space="0" w:color="auto"/>
              <w:right w:val="single" w:sz="4" w:space="0" w:color="auto"/>
            </w:tcBorders>
            <w:vAlign w:val="center"/>
          </w:tcPr>
          <w:p w14:paraId="129A2CD3" w14:textId="77777777" w:rsidR="002C6A8F" w:rsidRPr="00FD50F6" w:rsidRDefault="002C6A8F" w:rsidP="002B733E">
            <w:pPr>
              <w:pStyle w:val="7"/>
            </w:pPr>
            <w:r w:rsidRPr="00FD50F6">
              <w:t>序号</w:t>
            </w:r>
          </w:p>
        </w:tc>
        <w:tc>
          <w:tcPr>
            <w:tcW w:w="1732" w:type="dxa"/>
            <w:vMerge w:val="restart"/>
            <w:tcBorders>
              <w:top w:val="single" w:sz="4" w:space="0" w:color="auto"/>
              <w:left w:val="single" w:sz="4" w:space="0" w:color="auto"/>
              <w:bottom w:val="single" w:sz="4" w:space="0" w:color="auto"/>
              <w:right w:val="single" w:sz="4" w:space="0" w:color="auto"/>
            </w:tcBorders>
            <w:vAlign w:val="center"/>
          </w:tcPr>
          <w:p w14:paraId="3FB647E9" w14:textId="77777777" w:rsidR="002C6A8F" w:rsidRPr="00FD50F6" w:rsidRDefault="002C6A8F" w:rsidP="002B733E">
            <w:pPr>
              <w:pStyle w:val="7"/>
            </w:pPr>
            <w:r w:rsidRPr="00FD50F6">
              <w:t>工况</w:t>
            </w:r>
          </w:p>
        </w:tc>
        <w:tc>
          <w:tcPr>
            <w:tcW w:w="1487" w:type="dxa"/>
            <w:vMerge w:val="restart"/>
            <w:tcBorders>
              <w:top w:val="single" w:sz="4" w:space="0" w:color="auto"/>
              <w:left w:val="single" w:sz="4" w:space="0" w:color="auto"/>
              <w:bottom w:val="single" w:sz="4" w:space="0" w:color="auto"/>
              <w:right w:val="single" w:sz="4" w:space="0" w:color="auto"/>
            </w:tcBorders>
            <w:vAlign w:val="center"/>
          </w:tcPr>
          <w:p w14:paraId="4EF18465" w14:textId="77777777" w:rsidR="002C6A8F" w:rsidRPr="00FD50F6" w:rsidRDefault="002C6A8F" w:rsidP="002B733E">
            <w:pPr>
              <w:pStyle w:val="7"/>
            </w:pPr>
            <w:r w:rsidRPr="00FD50F6">
              <w:t>运行路线</w:t>
            </w:r>
          </w:p>
        </w:tc>
        <w:tc>
          <w:tcPr>
            <w:tcW w:w="2551" w:type="dxa"/>
            <w:gridSpan w:val="2"/>
            <w:tcBorders>
              <w:top w:val="single" w:sz="4" w:space="0" w:color="auto"/>
              <w:left w:val="nil"/>
              <w:bottom w:val="single" w:sz="4" w:space="0" w:color="auto"/>
              <w:right w:val="single" w:sz="4" w:space="0" w:color="auto"/>
            </w:tcBorders>
            <w:vAlign w:val="center"/>
          </w:tcPr>
          <w:p w14:paraId="2270ECDC" w14:textId="77777777" w:rsidR="002C6A8F" w:rsidRPr="00FD50F6" w:rsidRDefault="002C6A8F" w:rsidP="002B733E">
            <w:pPr>
              <w:pStyle w:val="7"/>
            </w:pPr>
            <w:r w:rsidRPr="00FD50F6">
              <w:t>噪声限值</w:t>
            </w:r>
            <w:r w:rsidRPr="00FD50F6">
              <w:t>dB(A)</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14:paraId="613B896A" w14:textId="77777777" w:rsidR="002C6A8F" w:rsidRPr="00FD50F6" w:rsidRDefault="002C6A8F" w:rsidP="002B733E">
            <w:pPr>
              <w:pStyle w:val="7"/>
            </w:pPr>
            <w:r w:rsidRPr="00FD50F6">
              <w:rPr>
                <w:rFonts w:hint="eastAsia"/>
              </w:rPr>
              <w:t>备注</w:t>
            </w:r>
          </w:p>
        </w:tc>
      </w:tr>
      <w:tr w:rsidR="00FD50F6" w:rsidRPr="00FD50F6" w14:paraId="3826B3FE" w14:textId="77777777" w:rsidTr="002B733E">
        <w:trPr>
          <w:trHeight w:val="282"/>
          <w:jc w:val="center"/>
        </w:trPr>
        <w:tc>
          <w:tcPr>
            <w:tcW w:w="976" w:type="dxa"/>
            <w:vMerge/>
            <w:tcBorders>
              <w:top w:val="single" w:sz="4" w:space="0" w:color="auto"/>
              <w:left w:val="single" w:sz="4" w:space="0" w:color="auto"/>
              <w:bottom w:val="single" w:sz="4" w:space="0" w:color="auto"/>
              <w:right w:val="single" w:sz="4" w:space="0" w:color="auto"/>
            </w:tcBorders>
            <w:vAlign w:val="center"/>
          </w:tcPr>
          <w:p w14:paraId="3CC8D452" w14:textId="77777777" w:rsidR="002C6A8F" w:rsidRPr="00FD50F6" w:rsidRDefault="002C6A8F" w:rsidP="002B733E">
            <w:pPr>
              <w:pStyle w:val="7"/>
            </w:pPr>
          </w:p>
        </w:tc>
        <w:tc>
          <w:tcPr>
            <w:tcW w:w="1732" w:type="dxa"/>
            <w:vMerge/>
            <w:tcBorders>
              <w:top w:val="single" w:sz="4" w:space="0" w:color="auto"/>
              <w:left w:val="single" w:sz="4" w:space="0" w:color="auto"/>
              <w:bottom w:val="single" w:sz="4" w:space="0" w:color="auto"/>
              <w:right w:val="single" w:sz="4" w:space="0" w:color="auto"/>
            </w:tcBorders>
            <w:vAlign w:val="center"/>
          </w:tcPr>
          <w:p w14:paraId="7F862CA5" w14:textId="77777777" w:rsidR="002C6A8F" w:rsidRPr="00FD50F6" w:rsidRDefault="002C6A8F" w:rsidP="002B733E">
            <w:pPr>
              <w:pStyle w:val="7"/>
            </w:pPr>
          </w:p>
        </w:tc>
        <w:tc>
          <w:tcPr>
            <w:tcW w:w="1487" w:type="dxa"/>
            <w:vMerge/>
            <w:tcBorders>
              <w:top w:val="single" w:sz="4" w:space="0" w:color="auto"/>
              <w:left w:val="single" w:sz="4" w:space="0" w:color="auto"/>
              <w:bottom w:val="single" w:sz="4" w:space="0" w:color="auto"/>
              <w:right w:val="single" w:sz="4" w:space="0" w:color="auto"/>
            </w:tcBorders>
            <w:vAlign w:val="center"/>
          </w:tcPr>
          <w:p w14:paraId="596BB47E" w14:textId="77777777" w:rsidR="002C6A8F" w:rsidRPr="00FD50F6" w:rsidRDefault="002C6A8F" w:rsidP="002B733E">
            <w:pPr>
              <w:pStyle w:val="7"/>
            </w:pPr>
          </w:p>
        </w:tc>
        <w:tc>
          <w:tcPr>
            <w:tcW w:w="1255" w:type="dxa"/>
            <w:tcBorders>
              <w:top w:val="nil"/>
              <w:left w:val="nil"/>
              <w:bottom w:val="single" w:sz="4" w:space="0" w:color="auto"/>
              <w:right w:val="single" w:sz="4" w:space="0" w:color="auto"/>
            </w:tcBorders>
            <w:vAlign w:val="center"/>
          </w:tcPr>
          <w:p w14:paraId="13F83E09" w14:textId="77777777" w:rsidR="002C6A8F" w:rsidRPr="00FD50F6" w:rsidRDefault="002C6A8F" w:rsidP="002B733E">
            <w:pPr>
              <w:pStyle w:val="7"/>
            </w:pPr>
            <w:r w:rsidRPr="00FD50F6">
              <w:t>客室</w:t>
            </w:r>
          </w:p>
        </w:tc>
        <w:tc>
          <w:tcPr>
            <w:tcW w:w="1296" w:type="dxa"/>
            <w:tcBorders>
              <w:top w:val="nil"/>
              <w:left w:val="nil"/>
              <w:bottom w:val="single" w:sz="4" w:space="0" w:color="auto"/>
              <w:right w:val="single" w:sz="4" w:space="0" w:color="auto"/>
            </w:tcBorders>
            <w:vAlign w:val="center"/>
          </w:tcPr>
          <w:p w14:paraId="3570A734" w14:textId="77777777" w:rsidR="002C6A8F" w:rsidRPr="00FD50F6" w:rsidRDefault="002C6A8F" w:rsidP="002B733E">
            <w:pPr>
              <w:pStyle w:val="7"/>
            </w:pPr>
            <w:r w:rsidRPr="00FD50F6">
              <w:t>司机室</w:t>
            </w:r>
          </w:p>
        </w:tc>
        <w:tc>
          <w:tcPr>
            <w:tcW w:w="1618" w:type="dxa"/>
            <w:vMerge/>
            <w:tcBorders>
              <w:top w:val="single" w:sz="4" w:space="0" w:color="auto"/>
              <w:left w:val="single" w:sz="4" w:space="0" w:color="auto"/>
              <w:bottom w:val="single" w:sz="4" w:space="0" w:color="auto"/>
              <w:right w:val="single" w:sz="4" w:space="0" w:color="auto"/>
            </w:tcBorders>
            <w:vAlign w:val="center"/>
          </w:tcPr>
          <w:p w14:paraId="3DCB37C1" w14:textId="77777777" w:rsidR="002C6A8F" w:rsidRPr="00FD50F6" w:rsidRDefault="002C6A8F" w:rsidP="002B733E">
            <w:pPr>
              <w:pStyle w:val="7"/>
            </w:pPr>
          </w:p>
        </w:tc>
      </w:tr>
      <w:tr w:rsidR="00FD50F6" w:rsidRPr="00FD50F6" w14:paraId="1B9E45A9" w14:textId="77777777" w:rsidTr="002B733E">
        <w:trPr>
          <w:trHeight w:val="282"/>
          <w:jc w:val="center"/>
        </w:trPr>
        <w:tc>
          <w:tcPr>
            <w:tcW w:w="976" w:type="dxa"/>
            <w:tcBorders>
              <w:top w:val="nil"/>
              <w:left w:val="single" w:sz="4" w:space="0" w:color="auto"/>
              <w:bottom w:val="single" w:sz="4" w:space="0" w:color="auto"/>
              <w:right w:val="single" w:sz="4" w:space="0" w:color="auto"/>
            </w:tcBorders>
            <w:vAlign w:val="center"/>
          </w:tcPr>
          <w:p w14:paraId="3FD3D8B0" w14:textId="77777777" w:rsidR="002C6A8F" w:rsidRPr="00FD50F6" w:rsidRDefault="002C6A8F" w:rsidP="002B733E">
            <w:pPr>
              <w:pStyle w:val="7"/>
            </w:pPr>
            <w:r w:rsidRPr="00FD50F6">
              <w:t>1</w:t>
            </w:r>
          </w:p>
        </w:tc>
        <w:tc>
          <w:tcPr>
            <w:tcW w:w="1732" w:type="dxa"/>
            <w:tcBorders>
              <w:top w:val="nil"/>
              <w:left w:val="nil"/>
              <w:bottom w:val="single" w:sz="4" w:space="0" w:color="auto"/>
              <w:right w:val="single" w:sz="4" w:space="0" w:color="auto"/>
            </w:tcBorders>
            <w:vAlign w:val="center"/>
          </w:tcPr>
          <w:p w14:paraId="3D2CA15E" w14:textId="77777777" w:rsidR="002C6A8F" w:rsidRPr="00FD50F6" w:rsidRDefault="002C6A8F" w:rsidP="002B733E">
            <w:pPr>
              <w:pStyle w:val="7"/>
            </w:pPr>
            <w:r w:rsidRPr="00FD50F6">
              <w:t>静止</w:t>
            </w:r>
          </w:p>
        </w:tc>
        <w:tc>
          <w:tcPr>
            <w:tcW w:w="1487" w:type="dxa"/>
            <w:tcBorders>
              <w:top w:val="nil"/>
              <w:left w:val="nil"/>
              <w:bottom w:val="single" w:sz="4" w:space="0" w:color="auto"/>
              <w:right w:val="single" w:sz="4" w:space="0" w:color="auto"/>
            </w:tcBorders>
            <w:vAlign w:val="center"/>
          </w:tcPr>
          <w:p w14:paraId="74376D49" w14:textId="77777777" w:rsidR="002C6A8F" w:rsidRPr="00FD50F6" w:rsidRDefault="002C6A8F" w:rsidP="002B733E">
            <w:pPr>
              <w:pStyle w:val="7"/>
            </w:pPr>
            <w:r w:rsidRPr="00FD50F6">
              <w:t>地上</w:t>
            </w:r>
          </w:p>
        </w:tc>
        <w:tc>
          <w:tcPr>
            <w:tcW w:w="1255" w:type="dxa"/>
            <w:tcBorders>
              <w:top w:val="nil"/>
              <w:left w:val="nil"/>
              <w:bottom w:val="single" w:sz="4" w:space="0" w:color="auto"/>
              <w:right w:val="single" w:sz="4" w:space="0" w:color="auto"/>
            </w:tcBorders>
            <w:vAlign w:val="center"/>
          </w:tcPr>
          <w:p w14:paraId="0D687711" w14:textId="77777777" w:rsidR="002C6A8F" w:rsidRPr="00FD50F6" w:rsidRDefault="002C6A8F" w:rsidP="002B733E">
            <w:pPr>
              <w:pStyle w:val="7"/>
            </w:pPr>
            <w:r w:rsidRPr="00FD50F6">
              <w:t>6</w:t>
            </w:r>
            <w:r w:rsidRPr="00FD50F6">
              <w:rPr>
                <w:rFonts w:hint="eastAsia"/>
              </w:rPr>
              <w:t>9</w:t>
            </w:r>
          </w:p>
        </w:tc>
        <w:tc>
          <w:tcPr>
            <w:tcW w:w="1296" w:type="dxa"/>
            <w:tcBorders>
              <w:top w:val="nil"/>
              <w:left w:val="nil"/>
              <w:bottom w:val="single" w:sz="4" w:space="0" w:color="auto"/>
              <w:right w:val="single" w:sz="4" w:space="0" w:color="auto"/>
            </w:tcBorders>
            <w:vAlign w:val="center"/>
          </w:tcPr>
          <w:p w14:paraId="7BAC903A" w14:textId="77777777" w:rsidR="002C6A8F" w:rsidRPr="00FD50F6" w:rsidRDefault="002C6A8F" w:rsidP="002B733E">
            <w:pPr>
              <w:pStyle w:val="7"/>
            </w:pPr>
            <w:r w:rsidRPr="00FD50F6">
              <w:t>65</w:t>
            </w:r>
          </w:p>
        </w:tc>
        <w:tc>
          <w:tcPr>
            <w:tcW w:w="1618" w:type="dxa"/>
            <w:vMerge w:val="restart"/>
            <w:tcBorders>
              <w:top w:val="nil"/>
              <w:left w:val="single" w:sz="4" w:space="0" w:color="auto"/>
              <w:bottom w:val="single" w:sz="4" w:space="0" w:color="auto"/>
              <w:right w:val="single" w:sz="4" w:space="0" w:color="auto"/>
            </w:tcBorders>
            <w:vAlign w:val="center"/>
          </w:tcPr>
          <w:p w14:paraId="26260519" w14:textId="77777777" w:rsidR="002C6A8F" w:rsidRPr="00FD50F6" w:rsidRDefault="002C6A8F" w:rsidP="002B733E">
            <w:pPr>
              <w:pStyle w:val="7"/>
            </w:pPr>
            <w:r w:rsidRPr="00FD50F6">
              <w:rPr>
                <w:rFonts w:hint="eastAsia"/>
              </w:rPr>
              <w:t>噪声测点</w:t>
            </w:r>
            <w:r w:rsidRPr="00FD50F6">
              <w:t>距地板高度</w:t>
            </w:r>
            <w:r w:rsidRPr="00FD50F6">
              <w:t>1.2 m±0.2m</w:t>
            </w:r>
            <w:r w:rsidRPr="00FD50F6">
              <w:t>或</w:t>
            </w:r>
            <w:r w:rsidRPr="00FD50F6">
              <w:t>1.6m±0.2m</w:t>
            </w:r>
          </w:p>
        </w:tc>
      </w:tr>
      <w:tr w:rsidR="00FD50F6" w:rsidRPr="00FD50F6" w14:paraId="58FBC2FB" w14:textId="77777777" w:rsidTr="002B733E">
        <w:trPr>
          <w:trHeight w:val="329"/>
          <w:jc w:val="center"/>
        </w:trPr>
        <w:tc>
          <w:tcPr>
            <w:tcW w:w="976" w:type="dxa"/>
            <w:tcBorders>
              <w:top w:val="nil"/>
              <w:left w:val="single" w:sz="4" w:space="0" w:color="auto"/>
              <w:bottom w:val="single" w:sz="4" w:space="0" w:color="auto"/>
              <w:right w:val="single" w:sz="4" w:space="0" w:color="auto"/>
            </w:tcBorders>
            <w:vAlign w:val="center"/>
          </w:tcPr>
          <w:p w14:paraId="21E31301" w14:textId="77777777" w:rsidR="002C6A8F" w:rsidRPr="00FD50F6" w:rsidRDefault="002C6A8F" w:rsidP="002B733E">
            <w:pPr>
              <w:pStyle w:val="7"/>
            </w:pPr>
            <w:r w:rsidRPr="00FD50F6">
              <w:t>2</w:t>
            </w:r>
          </w:p>
        </w:tc>
        <w:tc>
          <w:tcPr>
            <w:tcW w:w="1732" w:type="dxa"/>
            <w:tcBorders>
              <w:top w:val="nil"/>
              <w:left w:val="nil"/>
              <w:bottom w:val="single" w:sz="4" w:space="0" w:color="auto"/>
              <w:right w:val="single" w:sz="4" w:space="0" w:color="auto"/>
            </w:tcBorders>
            <w:vAlign w:val="center"/>
          </w:tcPr>
          <w:p w14:paraId="1F5CC018" w14:textId="77777777" w:rsidR="002C6A8F" w:rsidRPr="00FD50F6" w:rsidRDefault="002C6A8F" w:rsidP="002B733E">
            <w:pPr>
              <w:pStyle w:val="7"/>
            </w:pPr>
            <w:r w:rsidRPr="00FD50F6">
              <w:t>加速、制动</w:t>
            </w:r>
            <w:r w:rsidRPr="00FD50F6">
              <w:rPr>
                <w:rFonts w:ascii="宋体" w:hAnsi="宋体" w:cs="宋体" w:hint="eastAsia"/>
                <w:vertAlign w:val="superscript"/>
              </w:rPr>
              <w:t>①</w:t>
            </w:r>
          </w:p>
        </w:tc>
        <w:tc>
          <w:tcPr>
            <w:tcW w:w="1487" w:type="dxa"/>
            <w:tcBorders>
              <w:top w:val="nil"/>
              <w:left w:val="nil"/>
              <w:bottom w:val="single" w:sz="4" w:space="0" w:color="auto"/>
              <w:right w:val="single" w:sz="4" w:space="0" w:color="auto"/>
            </w:tcBorders>
            <w:vAlign w:val="center"/>
          </w:tcPr>
          <w:p w14:paraId="44420B12" w14:textId="77777777" w:rsidR="002C6A8F" w:rsidRPr="00FD50F6" w:rsidRDefault="002C6A8F" w:rsidP="002B733E">
            <w:pPr>
              <w:pStyle w:val="7"/>
            </w:pPr>
            <w:r w:rsidRPr="00FD50F6">
              <w:t>地上</w:t>
            </w:r>
          </w:p>
        </w:tc>
        <w:tc>
          <w:tcPr>
            <w:tcW w:w="1255" w:type="dxa"/>
            <w:tcBorders>
              <w:top w:val="nil"/>
              <w:left w:val="nil"/>
              <w:bottom w:val="single" w:sz="4" w:space="0" w:color="auto"/>
              <w:right w:val="single" w:sz="4" w:space="0" w:color="auto"/>
            </w:tcBorders>
            <w:vAlign w:val="center"/>
          </w:tcPr>
          <w:p w14:paraId="34AF8DC7" w14:textId="77777777" w:rsidR="002C6A8F" w:rsidRPr="00FD50F6" w:rsidRDefault="002C6A8F" w:rsidP="002B733E">
            <w:pPr>
              <w:pStyle w:val="7"/>
            </w:pPr>
            <w:r w:rsidRPr="00FD50F6">
              <w:t>7</w:t>
            </w:r>
            <w:r w:rsidRPr="00FD50F6">
              <w:rPr>
                <w:rFonts w:hint="eastAsia"/>
              </w:rPr>
              <w:t>5</w:t>
            </w:r>
          </w:p>
        </w:tc>
        <w:tc>
          <w:tcPr>
            <w:tcW w:w="1296" w:type="dxa"/>
            <w:tcBorders>
              <w:top w:val="nil"/>
              <w:left w:val="nil"/>
              <w:bottom w:val="single" w:sz="4" w:space="0" w:color="auto"/>
              <w:right w:val="single" w:sz="4" w:space="0" w:color="auto"/>
            </w:tcBorders>
            <w:vAlign w:val="center"/>
          </w:tcPr>
          <w:p w14:paraId="4DDED5C5" w14:textId="77777777" w:rsidR="002C6A8F" w:rsidRPr="00FD50F6" w:rsidRDefault="002C6A8F" w:rsidP="002B733E">
            <w:pPr>
              <w:pStyle w:val="7"/>
            </w:pPr>
            <w:r w:rsidRPr="00FD50F6">
              <w:t>7</w:t>
            </w:r>
            <w:r w:rsidRPr="00FD50F6">
              <w:rPr>
                <w:rFonts w:hint="eastAsia"/>
              </w:rPr>
              <w:t>5</w:t>
            </w:r>
          </w:p>
        </w:tc>
        <w:tc>
          <w:tcPr>
            <w:tcW w:w="1618" w:type="dxa"/>
            <w:vMerge/>
            <w:tcBorders>
              <w:top w:val="nil"/>
              <w:left w:val="single" w:sz="4" w:space="0" w:color="auto"/>
              <w:bottom w:val="single" w:sz="4" w:space="0" w:color="auto"/>
              <w:right w:val="single" w:sz="4" w:space="0" w:color="auto"/>
            </w:tcBorders>
            <w:vAlign w:val="center"/>
          </w:tcPr>
          <w:p w14:paraId="78BBD588" w14:textId="77777777" w:rsidR="002C6A8F" w:rsidRPr="00FD50F6" w:rsidRDefault="002C6A8F" w:rsidP="002B733E">
            <w:pPr>
              <w:pStyle w:val="7"/>
            </w:pPr>
          </w:p>
        </w:tc>
      </w:tr>
      <w:tr w:rsidR="00FD50F6" w:rsidRPr="00FD50F6" w14:paraId="1C3FF919" w14:textId="77777777" w:rsidTr="002B733E">
        <w:trPr>
          <w:trHeight w:val="282"/>
          <w:jc w:val="center"/>
        </w:trPr>
        <w:tc>
          <w:tcPr>
            <w:tcW w:w="976" w:type="dxa"/>
            <w:tcBorders>
              <w:top w:val="nil"/>
              <w:left w:val="single" w:sz="4" w:space="0" w:color="auto"/>
              <w:bottom w:val="single" w:sz="4" w:space="0" w:color="auto"/>
              <w:right w:val="single" w:sz="4" w:space="0" w:color="auto"/>
            </w:tcBorders>
            <w:vAlign w:val="center"/>
          </w:tcPr>
          <w:p w14:paraId="4D740BB2" w14:textId="77777777" w:rsidR="002C6A8F" w:rsidRPr="00FD50F6" w:rsidRDefault="002C6A8F" w:rsidP="002B733E">
            <w:pPr>
              <w:pStyle w:val="7"/>
            </w:pPr>
            <w:r w:rsidRPr="00FD50F6">
              <w:t>3</w:t>
            </w:r>
          </w:p>
        </w:tc>
        <w:tc>
          <w:tcPr>
            <w:tcW w:w="1732" w:type="dxa"/>
            <w:vMerge w:val="restart"/>
            <w:tcBorders>
              <w:top w:val="nil"/>
              <w:left w:val="single" w:sz="4" w:space="0" w:color="auto"/>
              <w:bottom w:val="single" w:sz="4" w:space="0" w:color="auto"/>
              <w:right w:val="single" w:sz="4" w:space="0" w:color="auto"/>
            </w:tcBorders>
            <w:vAlign w:val="center"/>
          </w:tcPr>
          <w:p w14:paraId="77F196CF" w14:textId="77777777" w:rsidR="002C6A8F" w:rsidRPr="00FD50F6" w:rsidRDefault="002C6A8F" w:rsidP="002B733E">
            <w:pPr>
              <w:pStyle w:val="7"/>
            </w:pPr>
            <w:r w:rsidRPr="00FD50F6">
              <w:t>恒速</w:t>
            </w:r>
            <w:r w:rsidRPr="00FD50F6">
              <w:rPr>
                <w:rFonts w:ascii="宋体" w:hAnsi="宋体" w:cs="宋体" w:hint="eastAsia"/>
                <w:vertAlign w:val="superscript"/>
              </w:rPr>
              <w:t>②</w:t>
            </w:r>
          </w:p>
        </w:tc>
        <w:tc>
          <w:tcPr>
            <w:tcW w:w="1487" w:type="dxa"/>
            <w:tcBorders>
              <w:top w:val="nil"/>
              <w:left w:val="nil"/>
              <w:bottom w:val="single" w:sz="4" w:space="0" w:color="auto"/>
              <w:right w:val="single" w:sz="4" w:space="0" w:color="auto"/>
            </w:tcBorders>
            <w:vAlign w:val="center"/>
          </w:tcPr>
          <w:p w14:paraId="0A3379AA" w14:textId="77777777" w:rsidR="002C6A8F" w:rsidRPr="00FD50F6" w:rsidRDefault="002C6A8F" w:rsidP="002B733E">
            <w:pPr>
              <w:pStyle w:val="7"/>
            </w:pPr>
            <w:r w:rsidRPr="00FD50F6">
              <w:t>地上</w:t>
            </w:r>
          </w:p>
        </w:tc>
        <w:tc>
          <w:tcPr>
            <w:tcW w:w="1255" w:type="dxa"/>
            <w:tcBorders>
              <w:top w:val="nil"/>
              <w:left w:val="nil"/>
              <w:bottom w:val="single" w:sz="4" w:space="0" w:color="auto"/>
              <w:right w:val="single" w:sz="4" w:space="0" w:color="auto"/>
            </w:tcBorders>
            <w:vAlign w:val="center"/>
          </w:tcPr>
          <w:p w14:paraId="73CF28F9" w14:textId="77777777" w:rsidR="002C6A8F" w:rsidRPr="00FD50F6" w:rsidRDefault="002C6A8F" w:rsidP="002B733E">
            <w:pPr>
              <w:pStyle w:val="7"/>
            </w:pPr>
            <w:r w:rsidRPr="00FD50F6">
              <w:t>75</w:t>
            </w:r>
          </w:p>
        </w:tc>
        <w:tc>
          <w:tcPr>
            <w:tcW w:w="1296" w:type="dxa"/>
            <w:tcBorders>
              <w:top w:val="nil"/>
              <w:left w:val="nil"/>
              <w:bottom w:val="single" w:sz="4" w:space="0" w:color="auto"/>
              <w:right w:val="single" w:sz="4" w:space="0" w:color="auto"/>
            </w:tcBorders>
            <w:vAlign w:val="center"/>
          </w:tcPr>
          <w:p w14:paraId="6D63DDD4" w14:textId="77777777" w:rsidR="002C6A8F" w:rsidRPr="00FD50F6" w:rsidRDefault="002C6A8F" w:rsidP="002B733E">
            <w:pPr>
              <w:pStyle w:val="7"/>
            </w:pPr>
            <w:r w:rsidRPr="00FD50F6">
              <w:t>75</w:t>
            </w:r>
          </w:p>
        </w:tc>
        <w:tc>
          <w:tcPr>
            <w:tcW w:w="1618" w:type="dxa"/>
            <w:vMerge/>
            <w:tcBorders>
              <w:top w:val="nil"/>
              <w:left w:val="single" w:sz="4" w:space="0" w:color="auto"/>
              <w:bottom w:val="single" w:sz="4" w:space="0" w:color="auto"/>
              <w:right w:val="single" w:sz="4" w:space="0" w:color="auto"/>
            </w:tcBorders>
            <w:vAlign w:val="center"/>
          </w:tcPr>
          <w:p w14:paraId="2B41F425" w14:textId="77777777" w:rsidR="002C6A8F" w:rsidRPr="00FD50F6" w:rsidRDefault="002C6A8F" w:rsidP="002B733E">
            <w:pPr>
              <w:pStyle w:val="7"/>
            </w:pPr>
          </w:p>
        </w:tc>
      </w:tr>
      <w:tr w:rsidR="00FD50F6" w:rsidRPr="00FD50F6" w14:paraId="44D440EC" w14:textId="77777777" w:rsidTr="002B733E">
        <w:trPr>
          <w:trHeight w:val="282"/>
          <w:jc w:val="center"/>
        </w:trPr>
        <w:tc>
          <w:tcPr>
            <w:tcW w:w="976" w:type="dxa"/>
            <w:tcBorders>
              <w:top w:val="nil"/>
              <w:left w:val="single" w:sz="4" w:space="0" w:color="auto"/>
              <w:bottom w:val="single" w:sz="4" w:space="0" w:color="auto"/>
              <w:right w:val="single" w:sz="4" w:space="0" w:color="auto"/>
            </w:tcBorders>
            <w:vAlign w:val="center"/>
          </w:tcPr>
          <w:p w14:paraId="5D43FCC3" w14:textId="77777777" w:rsidR="002C6A8F" w:rsidRPr="00FD50F6" w:rsidRDefault="002C6A8F" w:rsidP="002B733E">
            <w:pPr>
              <w:pStyle w:val="7"/>
            </w:pPr>
            <w:r w:rsidRPr="00FD50F6">
              <w:t>4</w:t>
            </w:r>
          </w:p>
        </w:tc>
        <w:tc>
          <w:tcPr>
            <w:tcW w:w="1732" w:type="dxa"/>
            <w:vMerge/>
            <w:tcBorders>
              <w:top w:val="nil"/>
              <w:left w:val="single" w:sz="4" w:space="0" w:color="auto"/>
              <w:bottom w:val="single" w:sz="4" w:space="0" w:color="auto"/>
              <w:right w:val="single" w:sz="4" w:space="0" w:color="auto"/>
            </w:tcBorders>
            <w:vAlign w:val="center"/>
          </w:tcPr>
          <w:p w14:paraId="1444A606" w14:textId="77777777" w:rsidR="002C6A8F" w:rsidRPr="00FD50F6" w:rsidRDefault="002C6A8F" w:rsidP="002B733E">
            <w:pPr>
              <w:pStyle w:val="7"/>
            </w:pPr>
          </w:p>
        </w:tc>
        <w:tc>
          <w:tcPr>
            <w:tcW w:w="1487" w:type="dxa"/>
            <w:tcBorders>
              <w:top w:val="nil"/>
              <w:left w:val="nil"/>
              <w:bottom w:val="single" w:sz="4" w:space="0" w:color="auto"/>
              <w:right w:val="single" w:sz="4" w:space="0" w:color="auto"/>
            </w:tcBorders>
            <w:vAlign w:val="center"/>
          </w:tcPr>
          <w:p w14:paraId="28A1FE36" w14:textId="77777777" w:rsidR="002C6A8F" w:rsidRPr="00FD50F6" w:rsidRDefault="002C6A8F" w:rsidP="002B733E">
            <w:pPr>
              <w:pStyle w:val="7"/>
            </w:pPr>
            <w:r w:rsidRPr="00FD50F6">
              <w:t>地下</w:t>
            </w:r>
          </w:p>
        </w:tc>
        <w:tc>
          <w:tcPr>
            <w:tcW w:w="1255" w:type="dxa"/>
            <w:tcBorders>
              <w:top w:val="nil"/>
              <w:left w:val="nil"/>
              <w:bottom w:val="single" w:sz="4" w:space="0" w:color="auto"/>
              <w:right w:val="single" w:sz="4" w:space="0" w:color="auto"/>
            </w:tcBorders>
            <w:vAlign w:val="center"/>
          </w:tcPr>
          <w:p w14:paraId="69A222C6" w14:textId="77777777" w:rsidR="002C6A8F" w:rsidRPr="00FD50F6" w:rsidRDefault="002C6A8F" w:rsidP="002B733E">
            <w:pPr>
              <w:pStyle w:val="7"/>
            </w:pPr>
            <w:r w:rsidRPr="00FD50F6">
              <w:t>83</w:t>
            </w:r>
          </w:p>
        </w:tc>
        <w:tc>
          <w:tcPr>
            <w:tcW w:w="1296" w:type="dxa"/>
            <w:tcBorders>
              <w:top w:val="nil"/>
              <w:left w:val="nil"/>
              <w:bottom w:val="single" w:sz="4" w:space="0" w:color="auto"/>
              <w:right w:val="single" w:sz="4" w:space="0" w:color="auto"/>
            </w:tcBorders>
            <w:vAlign w:val="center"/>
          </w:tcPr>
          <w:p w14:paraId="0C1CF8E0" w14:textId="77777777" w:rsidR="002C6A8F" w:rsidRPr="00FD50F6" w:rsidRDefault="002C6A8F" w:rsidP="002B733E">
            <w:pPr>
              <w:pStyle w:val="7"/>
            </w:pPr>
            <w:r w:rsidRPr="00FD50F6">
              <w:t>80</w:t>
            </w:r>
          </w:p>
        </w:tc>
        <w:tc>
          <w:tcPr>
            <w:tcW w:w="1618" w:type="dxa"/>
            <w:vMerge/>
            <w:tcBorders>
              <w:top w:val="nil"/>
              <w:left w:val="single" w:sz="4" w:space="0" w:color="auto"/>
              <w:bottom w:val="single" w:sz="4" w:space="0" w:color="auto"/>
              <w:right w:val="single" w:sz="4" w:space="0" w:color="auto"/>
            </w:tcBorders>
            <w:vAlign w:val="center"/>
          </w:tcPr>
          <w:p w14:paraId="4E844EEA" w14:textId="77777777" w:rsidR="002C6A8F" w:rsidRPr="00FD50F6" w:rsidRDefault="002C6A8F" w:rsidP="002B733E">
            <w:pPr>
              <w:pStyle w:val="7"/>
            </w:pPr>
          </w:p>
        </w:tc>
      </w:tr>
    </w:tbl>
    <w:p w14:paraId="1DF5663B" w14:textId="790EBE88" w:rsidR="002C6A8F" w:rsidRPr="00FD50F6" w:rsidRDefault="002C6A8F" w:rsidP="002C6A8F">
      <w:pPr>
        <w:pStyle w:val="7"/>
      </w:pPr>
      <w:r w:rsidRPr="00FD50F6">
        <w:t>注：</w:t>
      </w:r>
      <w:r w:rsidR="006A75E2">
        <w:rPr>
          <w:rFonts w:ascii="宋体" w:hAnsi="宋体" w:cs="宋体" w:hint="eastAsia"/>
        </w:rPr>
        <w:t>1</w:t>
      </w:r>
      <w:r w:rsidR="006A75E2">
        <w:rPr>
          <w:rFonts w:ascii="宋体" w:hAnsi="宋体" w:cs="宋体"/>
        </w:rPr>
        <w:t xml:space="preserve"> </w:t>
      </w:r>
      <w:r w:rsidRPr="00FD50F6">
        <w:rPr>
          <w:rFonts w:ascii="宋体" w:hAnsi="宋体" w:cs="宋体" w:hint="eastAsia"/>
        </w:rPr>
        <w:t>加速制动测试条件为</w:t>
      </w:r>
      <w:r w:rsidRPr="00FD50F6">
        <w:t>最大牵引力加速（</w:t>
      </w:r>
      <w:r w:rsidRPr="00FD50F6">
        <w:t>0</w:t>
      </w:r>
      <w:r w:rsidR="009D510E">
        <w:t>~</w:t>
      </w:r>
      <w:r w:rsidRPr="00FD50F6">
        <w:t>30</w:t>
      </w:r>
      <w:r w:rsidRPr="00FD50F6">
        <w:t>）</w:t>
      </w:r>
      <w:r w:rsidR="007370F2" w:rsidRPr="007370F2">
        <w:t xml:space="preserve"> </w:t>
      </w:r>
      <w:r w:rsidR="007370F2" w:rsidRPr="00FD50F6">
        <w:t>km/h</w:t>
      </w:r>
      <w:r w:rsidRPr="00FD50F6">
        <w:t>、常规停车制动（</w:t>
      </w:r>
      <w:r w:rsidRPr="00FD50F6">
        <w:t>30</w:t>
      </w:r>
      <w:r w:rsidR="009D510E">
        <w:t>~</w:t>
      </w:r>
      <w:r w:rsidRPr="00FD50F6">
        <w:t>0</w:t>
      </w:r>
      <w:r w:rsidRPr="00FD50F6">
        <w:t>）</w:t>
      </w:r>
      <w:r w:rsidR="007370F2" w:rsidRPr="007370F2">
        <w:t xml:space="preserve"> </w:t>
      </w:r>
      <w:r w:rsidR="007370F2" w:rsidRPr="00FD50F6">
        <w:t>km/h</w:t>
      </w:r>
      <w:r w:rsidRPr="00FD50F6">
        <w:t>；</w:t>
      </w:r>
    </w:p>
    <w:p w14:paraId="6A5F9CCE" w14:textId="0AC01790" w:rsidR="002C6A8F" w:rsidRPr="001A4CF3" w:rsidRDefault="006A75E2" w:rsidP="009D510E">
      <w:pPr>
        <w:pStyle w:val="30"/>
        <w:numPr>
          <w:ilvl w:val="0"/>
          <w:numId w:val="0"/>
        </w:numPr>
        <w:ind w:firstLineChars="200" w:firstLine="420"/>
        <w:rPr>
          <w:rFonts w:ascii="宋体" w:hAnsi="宋体" w:cs="宋体"/>
          <w:sz w:val="21"/>
          <w:szCs w:val="24"/>
        </w:rPr>
      </w:pPr>
      <w:r>
        <w:rPr>
          <w:rFonts w:ascii="宋体" w:hAnsi="宋体" w:cs="宋体" w:hint="eastAsia"/>
          <w:sz w:val="21"/>
          <w:szCs w:val="24"/>
        </w:rPr>
        <w:t>2</w:t>
      </w:r>
      <w:r>
        <w:rPr>
          <w:rFonts w:ascii="宋体" w:hAnsi="宋体" w:cs="宋体"/>
          <w:sz w:val="21"/>
          <w:szCs w:val="24"/>
        </w:rPr>
        <w:t xml:space="preserve"> </w:t>
      </w:r>
      <w:r w:rsidR="002C6A8F" w:rsidRPr="001A4CF3">
        <w:rPr>
          <w:rFonts w:ascii="宋体" w:hAnsi="宋体" w:cs="宋体" w:hint="eastAsia"/>
          <w:sz w:val="21"/>
          <w:szCs w:val="24"/>
        </w:rPr>
        <w:t>恒速测试条件为</w:t>
      </w:r>
      <w:r w:rsidR="002C6A8F" w:rsidRPr="001A4CF3">
        <w:rPr>
          <w:rFonts w:ascii="宋体" w:hAnsi="宋体" w:cs="宋体"/>
          <w:sz w:val="21"/>
          <w:szCs w:val="24"/>
        </w:rPr>
        <w:t>以最高运行速度的75%</w:t>
      </w:r>
      <w:r w:rsidR="002C6A8F" w:rsidRPr="001A4CF3">
        <w:rPr>
          <w:rFonts w:ascii="宋体" w:hAnsi="宋体" w:cs="宋体" w:hint="eastAsia"/>
          <w:sz w:val="21"/>
          <w:szCs w:val="24"/>
        </w:rPr>
        <w:t>恒速运行</w:t>
      </w:r>
      <w:r w:rsidR="002C6A8F" w:rsidRPr="001A4CF3">
        <w:rPr>
          <w:rFonts w:ascii="宋体" w:hAnsi="宋体" w:cs="宋体"/>
          <w:sz w:val="21"/>
          <w:szCs w:val="24"/>
        </w:rPr>
        <w:t>，速度的波动范围</w:t>
      </w:r>
      <w:r w:rsidR="007370F2">
        <w:rPr>
          <w:rFonts w:ascii="宋体" w:hAnsi="宋体" w:cs="宋体"/>
          <w:sz w:val="21"/>
          <w:szCs w:val="24"/>
        </w:rPr>
        <w:t>为</w:t>
      </w:r>
      <w:r w:rsidR="002C6A8F" w:rsidRPr="001A4CF3">
        <w:rPr>
          <w:rFonts w:ascii="宋体" w:hAnsi="宋体" w:cs="宋体"/>
          <w:sz w:val="21"/>
          <w:szCs w:val="24"/>
        </w:rPr>
        <w:t>±5%。</w:t>
      </w:r>
    </w:p>
    <w:p w14:paraId="710F6D97" w14:textId="6E9F7671" w:rsidR="002C6A8F" w:rsidRPr="00FD50F6" w:rsidRDefault="002C6A8F" w:rsidP="002C6A8F">
      <w:pPr>
        <w:pStyle w:val="30"/>
      </w:pPr>
      <w:r w:rsidRPr="00FD50F6">
        <w:t>列车对外辐射的噪声限值应满足表</w:t>
      </w:r>
      <w:r w:rsidR="00F70ADA" w:rsidRPr="00FD50F6">
        <w:t>5</w:t>
      </w:r>
      <w:r w:rsidRPr="00FD50F6">
        <w:t>.1.15</w:t>
      </w:r>
      <w:r w:rsidRPr="00FD50F6">
        <w:t>的规定。其中测量方法及线路条件</w:t>
      </w:r>
      <w:r w:rsidRPr="00FD50F6">
        <w:rPr>
          <w:rFonts w:hint="eastAsia"/>
        </w:rPr>
        <w:t>应按现行国家标准《声学　轨道机车车辆发射噪声测量》</w:t>
      </w:r>
      <w:r w:rsidRPr="00FD50F6">
        <w:t>GB/T 5111</w:t>
      </w:r>
      <w:r w:rsidR="00F95495" w:rsidRPr="00FD50F6">
        <w:t>的</w:t>
      </w:r>
      <w:r w:rsidRPr="00FD50F6">
        <w:t>规定</w:t>
      </w:r>
      <w:r w:rsidRPr="00FD50F6">
        <w:rPr>
          <w:rFonts w:hint="eastAsia"/>
        </w:rPr>
        <w:t>执行</w:t>
      </w:r>
      <w:r w:rsidRPr="00FD50F6">
        <w:t>。</w:t>
      </w:r>
    </w:p>
    <w:p w14:paraId="77EC2320" w14:textId="27A55C26" w:rsidR="002C6A8F" w:rsidRPr="00FD50F6" w:rsidRDefault="002C6A8F" w:rsidP="002C6A8F">
      <w:pPr>
        <w:pStyle w:val="6"/>
      </w:pPr>
      <w:r w:rsidRPr="00FD50F6">
        <w:t>表</w:t>
      </w:r>
      <w:r w:rsidR="00F70ADA" w:rsidRPr="00FD50F6">
        <w:rPr>
          <w:rFonts w:hint="eastAsia"/>
        </w:rPr>
        <w:t>5</w:t>
      </w:r>
      <w:r w:rsidRPr="00FD50F6">
        <w:rPr>
          <w:rFonts w:hint="eastAsia"/>
        </w:rPr>
        <w:t xml:space="preserve">.1.15  </w:t>
      </w:r>
      <w:r w:rsidRPr="00FD50F6">
        <w:rPr>
          <w:rFonts w:hint="eastAsia"/>
        </w:rPr>
        <w:t>列车对外辐射</w:t>
      </w:r>
      <w:r w:rsidRPr="00FD50F6">
        <w:t>噪声最大容许限值</w:t>
      </w:r>
      <w:r w:rsidRPr="00FD50F6">
        <w:t xml:space="preserve">   </w:t>
      </w:r>
      <w:r w:rsidRPr="00FD50F6">
        <w:rPr>
          <w:rFonts w:hint="eastAsia"/>
        </w:rPr>
        <w:t xml:space="preserve">    </w:t>
      </w:r>
      <w:r w:rsidRPr="00FD50F6">
        <w:t>单位：</w:t>
      </w:r>
      <w:r w:rsidRPr="00FD50F6">
        <w:t>dB(A)</w:t>
      </w:r>
    </w:p>
    <w:tbl>
      <w:tblPr>
        <w:tblW w:w="5000" w:type="pct"/>
        <w:tblLook w:val="04A0" w:firstRow="1" w:lastRow="0" w:firstColumn="1" w:lastColumn="0" w:noHBand="0" w:noVBand="1"/>
      </w:tblPr>
      <w:tblGrid>
        <w:gridCol w:w="1236"/>
        <w:gridCol w:w="2216"/>
        <w:gridCol w:w="1494"/>
        <w:gridCol w:w="1237"/>
        <w:gridCol w:w="2345"/>
      </w:tblGrid>
      <w:tr w:rsidR="00411222" w:rsidRPr="00FD50F6" w14:paraId="0F79E23B" w14:textId="77777777" w:rsidTr="00411222">
        <w:trPr>
          <w:trHeight w:val="288"/>
        </w:trPr>
        <w:tc>
          <w:tcPr>
            <w:tcW w:w="7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C8AC5" w14:textId="77777777" w:rsidR="00411222" w:rsidRPr="00FD50F6" w:rsidRDefault="00411222" w:rsidP="002B733E">
            <w:pPr>
              <w:pStyle w:val="7"/>
            </w:pPr>
            <w:r w:rsidRPr="00FD50F6">
              <w:rPr>
                <w:rFonts w:hint="eastAsia"/>
              </w:rPr>
              <w:t>序号</w:t>
            </w:r>
          </w:p>
        </w:tc>
        <w:tc>
          <w:tcPr>
            <w:tcW w:w="1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4830E" w14:textId="77777777" w:rsidR="00411222" w:rsidRPr="00FD50F6" w:rsidRDefault="00411222" w:rsidP="002B733E">
            <w:pPr>
              <w:pStyle w:val="7"/>
            </w:pPr>
            <w:r w:rsidRPr="00FD50F6">
              <w:rPr>
                <w:rFonts w:hint="eastAsia"/>
              </w:rPr>
              <w:t>工况</w:t>
            </w:r>
          </w:p>
        </w:tc>
        <w:tc>
          <w:tcPr>
            <w:tcW w:w="8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94819C" w14:textId="77777777" w:rsidR="00411222" w:rsidRPr="00FD50F6" w:rsidRDefault="00411222" w:rsidP="002B733E">
            <w:pPr>
              <w:pStyle w:val="7"/>
            </w:pPr>
            <w:r w:rsidRPr="00FD50F6">
              <w:rPr>
                <w:rFonts w:hint="eastAsia"/>
              </w:rPr>
              <w:t>运行线路</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4A3D0920" w14:textId="77777777" w:rsidR="00411222" w:rsidRPr="00FD50F6" w:rsidRDefault="00411222" w:rsidP="002B733E">
            <w:pPr>
              <w:pStyle w:val="7"/>
            </w:pPr>
            <w:r w:rsidRPr="00FD50F6">
              <w:rPr>
                <w:rFonts w:hint="eastAsia"/>
              </w:rPr>
              <w:t>速度</w:t>
            </w:r>
          </w:p>
        </w:tc>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E718" w14:textId="77777777" w:rsidR="00411222" w:rsidRPr="00FD50F6" w:rsidRDefault="00411222" w:rsidP="002B733E">
            <w:pPr>
              <w:pStyle w:val="7"/>
            </w:pPr>
            <w:r w:rsidRPr="00FD50F6">
              <w:rPr>
                <w:rFonts w:hint="eastAsia"/>
              </w:rPr>
              <w:t>噪声限值</w:t>
            </w:r>
          </w:p>
        </w:tc>
      </w:tr>
      <w:tr w:rsidR="00411222" w:rsidRPr="00FD50F6" w14:paraId="0148878B" w14:textId="77777777" w:rsidTr="00411222">
        <w:trPr>
          <w:trHeight w:val="288"/>
        </w:trPr>
        <w:tc>
          <w:tcPr>
            <w:tcW w:w="725" w:type="pct"/>
            <w:vMerge/>
            <w:tcBorders>
              <w:top w:val="single" w:sz="4" w:space="0" w:color="auto"/>
              <w:left w:val="single" w:sz="4" w:space="0" w:color="auto"/>
              <w:bottom w:val="single" w:sz="4" w:space="0" w:color="auto"/>
              <w:right w:val="single" w:sz="4" w:space="0" w:color="auto"/>
            </w:tcBorders>
            <w:vAlign w:val="center"/>
            <w:hideMark/>
          </w:tcPr>
          <w:p w14:paraId="51E8AECD" w14:textId="77777777" w:rsidR="00411222" w:rsidRPr="00FD50F6" w:rsidRDefault="00411222" w:rsidP="002B733E">
            <w:pPr>
              <w:pStyle w:val="7"/>
            </w:pPr>
          </w:p>
        </w:tc>
        <w:tc>
          <w:tcPr>
            <w:tcW w:w="1299" w:type="pct"/>
            <w:vMerge/>
            <w:tcBorders>
              <w:top w:val="single" w:sz="4" w:space="0" w:color="auto"/>
              <w:left w:val="single" w:sz="4" w:space="0" w:color="auto"/>
              <w:bottom w:val="single" w:sz="4" w:space="0" w:color="auto"/>
              <w:right w:val="single" w:sz="4" w:space="0" w:color="auto"/>
            </w:tcBorders>
            <w:vAlign w:val="center"/>
            <w:hideMark/>
          </w:tcPr>
          <w:p w14:paraId="6686BF3E" w14:textId="77777777" w:rsidR="00411222" w:rsidRPr="00FD50F6" w:rsidRDefault="00411222" w:rsidP="002B733E">
            <w:pPr>
              <w:pStyle w:val="7"/>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A63A662" w14:textId="77777777" w:rsidR="00411222" w:rsidRPr="00FD50F6" w:rsidRDefault="00411222" w:rsidP="002B733E">
            <w:pPr>
              <w:pStyle w:val="7"/>
            </w:pPr>
          </w:p>
        </w:tc>
        <w:tc>
          <w:tcPr>
            <w:tcW w:w="725" w:type="pct"/>
            <w:tcBorders>
              <w:top w:val="nil"/>
              <w:left w:val="nil"/>
              <w:bottom w:val="single" w:sz="4" w:space="0" w:color="auto"/>
              <w:right w:val="single" w:sz="4" w:space="0" w:color="auto"/>
            </w:tcBorders>
            <w:shd w:val="clear" w:color="auto" w:fill="auto"/>
            <w:vAlign w:val="center"/>
            <w:hideMark/>
          </w:tcPr>
          <w:p w14:paraId="3BF2D6EB" w14:textId="77777777" w:rsidR="00411222" w:rsidRPr="00FD50F6" w:rsidRDefault="00411222" w:rsidP="002B733E">
            <w:pPr>
              <w:pStyle w:val="7"/>
              <w:rPr>
                <w:rFonts w:cs="Times New Roman"/>
              </w:rPr>
            </w:pPr>
            <w:r w:rsidRPr="00FD50F6">
              <w:rPr>
                <w:rFonts w:cs="Times New Roman"/>
              </w:rPr>
              <w:t>km/h</w:t>
            </w:r>
          </w:p>
        </w:tc>
        <w:tc>
          <w:tcPr>
            <w:tcW w:w="1375" w:type="pct"/>
            <w:vMerge/>
            <w:tcBorders>
              <w:top w:val="single" w:sz="4" w:space="0" w:color="auto"/>
              <w:left w:val="single" w:sz="4" w:space="0" w:color="auto"/>
              <w:bottom w:val="single" w:sz="4" w:space="0" w:color="auto"/>
              <w:right w:val="single" w:sz="4" w:space="0" w:color="auto"/>
            </w:tcBorders>
            <w:vAlign w:val="center"/>
            <w:hideMark/>
          </w:tcPr>
          <w:p w14:paraId="6E2BBCA0" w14:textId="77777777" w:rsidR="00411222" w:rsidRPr="00FD50F6" w:rsidRDefault="00411222" w:rsidP="002B733E">
            <w:pPr>
              <w:pStyle w:val="7"/>
            </w:pPr>
          </w:p>
        </w:tc>
      </w:tr>
      <w:tr w:rsidR="00411222" w:rsidRPr="00FD50F6" w14:paraId="21AE8D99" w14:textId="77777777" w:rsidTr="00411222">
        <w:trPr>
          <w:trHeight w:val="288"/>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5684851C" w14:textId="77777777" w:rsidR="00411222" w:rsidRPr="00FD50F6" w:rsidRDefault="00411222" w:rsidP="002B733E">
            <w:pPr>
              <w:pStyle w:val="7"/>
              <w:rPr>
                <w:rFonts w:cs="Times New Roman"/>
              </w:rPr>
            </w:pPr>
            <w:r w:rsidRPr="00FD50F6">
              <w:rPr>
                <w:rFonts w:cs="Times New Roman"/>
              </w:rPr>
              <w:t>1</w:t>
            </w:r>
          </w:p>
        </w:tc>
        <w:tc>
          <w:tcPr>
            <w:tcW w:w="1299" w:type="pct"/>
            <w:tcBorders>
              <w:top w:val="nil"/>
              <w:left w:val="nil"/>
              <w:bottom w:val="single" w:sz="4" w:space="0" w:color="auto"/>
              <w:right w:val="single" w:sz="4" w:space="0" w:color="auto"/>
            </w:tcBorders>
            <w:shd w:val="clear" w:color="auto" w:fill="auto"/>
            <w:vAlign w:val="center"/>
            <w:hideMark/>
          </w:tcPr>
          <w:p w14:paraId="34F3640E" w14:textId="77777777" w:rsidR="00411222" w:rsidRPr="00FD50F6" w:rsidRDefault="00411222" w:rsidP="002B733E">
            <w:pPr>
              <w:pStyle w:val="7"/>
            </w:pPr>
            <w:r w:rsidRPr="00FD50F6">
              <w:rPr>
                <w:rFonts w:hint="eastAsia"/>
              </w:rPr>
              <w:t>静止</w:t>
            </w:r>
          </w:p>
        </w:tc>
        <w:tc>
          <w:tcPr>
            <w:tcW w:w="876" w:type="pct"/>
            <w:tcBorders>
              <w:top w:val="nil"/>
              <w:left w:val="nil"/>
              <w:bottom w:val="single" w:sz="4" w:space="0" w:color="auto"/>
              <w:right w:val="single" w:sz="4" w:space="0" w:color="auto"/>
            </w:tcBorders>
            <w:shd w:val="clear" w:color="auto" w:fill="auto"/>
            <w:vAlign w:val="center"/>
            <w:hideMark/>
          </w:tcPr>
          <w:p w14:paraId="78524D11" w14:textId="77777777" w:rsidR="00411222" w:rsidRPr="00FD50F6" w:rsidRDefault="00411222" w:rsidP="002B733E">
            <w:pPr>
              <w:pStyle w:val="7"/>
            </w:pPr>
            <w:r w:rsidRPr="00FD50F6">
              <w:rPr>
                <w:rFonts w:hint="eastAsia"/>
              </w:rPr>
              <w:t>地上</w:t>
            </w:r>
          </w:p>
        </w:tc>
        <w:tc>
          <w:tcPr>
            <w:tcW w:w="725" w:type="pct"/>
            <w:tcBorders>
              <w:top w:val="nil"/>
              <w:left w:val="nil"/>
              <w:bottom w:val="single" w:sz="4" w:space="0" w:color="auto"/>
              <w:right w:val="single" w:sz="4" w:space="0" w:color="auto"/>
            </w:tcBorders>
            <w:shd w:val="clear" w:color="auto" w:fill="auto"/>
            <w:vAlign w:val="center"/>
            <w:hideMark/>
          </w:tcPr>
          <w:p w14:paraId="0863792B" w14:textId="77777777" w:rsidR="00411222" w:rsidRPr="00FD50F6" w:rsidRDefault="00411222" w:rsidP="002B733E">
            <w:pPr>
              <w:pStyle w:val="7"/>
              <w:rPr>
                <w:rFonts w:cs="Times New Roman"/>
              </w:rPr>
            </w:pPr>
            <w:r w:rsidRPr="00FD50F6">
              <w:rPr>
                <w:rFonts w:cs="Times New Roman"/>
              </w:rPr>
              <w:t>0</w:t>
            </w:r>
          </w:p>
        </w:tc>
        <w:tc>
          <w:tcPr>
            <w:tcW w:w="1375" w:type="pct"/>
            <w:tcBorders>
              <w:top w:val="nil"/>
              <w:left w:val="nil"/>
              <w:bottom w:val="single" w:sz="4" w:space="0" w:color="auto"/>
              <w:right w:val="single" w:sz="4" w:space="0" w:color="auto"/>
            </w:tcBorders>
            <w:shd w:val="clear" w:color="auto" w:fill="auto"/>
            <w:vAlign w:val="center"/>
            <w:hideMark/>
          </w:tcPr>
          <w:p w14:paraId="6B2C20FD" w14:textId="77777777" w:rsidR="00411222" w:rsidRPr="00FD50F6" w:rsidRDefault="00411222" w:rsidP="002B733E">
            <w:pPr>
              <w:pStyle w:val="7"/>
              <w:rPr>
                <w:rFonts w:cs="Times New Roman"/>
              </w:rPr>
            </w:pPr>
            <w:r w:rsidRPr="00FD50F6">
              <w:rPr>
                <w:rFonts w:cs="Times New Roman"/>
              </w:rPr>
              <w:t>69</w:t>
            </w:r>
          </w:p>
        </w:tc>
      </w:tr>
      <w:tr w:rsidR="00411222" w:rsidRPr="00FD50F6" w14:paraId="6E15C077" w14:textId="77777777" w:rsidTr="00411222">
        <w:trPr>
          <w:trHeight w:val="288"/>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407AD87C" w14:textId="77777777" w:rsidR="00411222" w:rsidRPr="00FD50F6" w:rsidRDefault="00411222" w:rsidP="002B733E">
            <w:pPr>
              <w:pStyle w:val="7"/>
            </w:pPr>
            <w:r w:rsidRPr="00FD50F6">
              <w:rPr>
                <w:rFonts w:hint="eastAsia"/>
              </w:rPr>
              <w:t>2</w:t>
            </w:r>
          </w:p>
        </w:tc>
        <w:tc>
          <w:tcPr>
            <w:tcW w:w="1299" w:type="pct"/>
            <w:vMerge w:val="restart"/>
            <w:tcBorders>
              <w:top w:val="nil"/>
              <w:left w:val="single" w:sz="4" w:space="0" w:color="auto"/>
              <w:bottom w:val="single" w:sz="4" w:space="0" w:color="auto"/>
              <w:right w:val="single" w:sz="4" w:space="0" w:color="auto"/>
            </w:tcBorders>
            <w:shd w:val="clear" w:color="auto" w:fill="auto"/>
            <w:vAlign w:val="center"/>
            <w:hideMark/>
          </w:tcPr>
          <w:p w14:paraId="43CFE5D6" w14:textId="77777777" w:rsidR="00411222" w:rsidRPr="00FD50F6" w:rsidRDefault="00411222" w:rsidP="002B733E">
            <w:pPr>
              <w:pStyle w:val="7"/>
            </w:pPr>
            <w:r w:rsidRPr="00FD50F6">
              <w:rPr>
                <w:rFonts w:hint="eastAsia"/>
              </w:rPr>
              <w:t>恒速</w:t>
            </w:r>
          </w:p>
        </w:tc>
        <w:tc>
          <w:tcPr>
            <w:tcW w:w="876" w:type="pct"/>
            <w:vMerge w:val="restart"/>
            <w:tcBorders>
              <w:top w:val="nil"/>
              <w:left w:val="single" w:sz="4" w:space="0" w:color="auto"/>
              <w:bottom w:val="single" w:sz="4" w:space="0" w:color="auto"/>
              <w:right w:val="single" w:sz="4" w:space="0" w:color="auto"/>
            </w:tcBorders>
            <w:shd w:val="clear" w:color="auto" w:fill="auto"/>
            <w:vAlign w:val="center"/>
            <w:hideMark/>
          </w:tcPr>
          <w:p w14:paraId="19B125F3" w14:textId="77777777" w:rsidR="00411222" w:rsidRPr="00FD50F6" w:rsidRDefault="00411222" w:rsidP="002B733E">
            <w:pPr>
              <w:pStyle w:val="7"/>
            </w:pPr>
            <w:r w:rsidRPr="00FD50F6">
              <w:rPr>
                <w:rFonts w:hint="eastAsia"/>
              </w:rPr>
              <w:t>地上</w:t>
            </w:r>
          </w:p>
        </w:tc>
        <w:tc>
          <w:tcPr>
            <w:tcW w:w="725" w:type="pct"/>
            <w:tcBorders>
              <w:top w:val="nil"/>
              <w:left w:val="nil"/>
              <w:bottom w:val="single" w:sz="4" w:space="0" w:color="auto"/>
              <w:right w:val="single" w:sz="4" w:space="0" w:color="auto"/>
            </w:tcBorders>
            <w:shd w:val="clear" w:color="auto" w:fill="auto"/>
            <w:vAlign w:val="center"/>
            <w:hideMark/>
          </w:tcPr>
          <w:p w14:paraId="3C09A1A3" w14:textId="77777777" w:rsidR="00411222" w:rsidRPr="00FD50F6" w:rsidRDefault="00411222" w:rsidP="002B733E">
            <w:pPr>
              <w:pStyle w:val="7"/>
              <w:rPr>
                <w:rFonts w:cs="Times New Roman"/>
              </w:rPr>
            </w:pPr>
            <w:r w:rsidRPr="00FD50F6">
              <w:rPr>
                <w:rFonts w:cs="Times New Roman"/>
              </w:rPr>
              <w:t>80</w:t>
            </w:r>
          </w:p>
        </w:tc>
        <w:tc>
          <w:tcPr>
            <w:tcW w:w="1375" w:type="pct"/>
            <w:tcBorders>
              <w:top w:val="nil"/>
              <w:left w:val="nil"/>
              <w:bottom w:val="single" w:sz="4" w:space="0" w:color="auto"/>
              <w:right w:val="single" w:sz="4" w:space="0" w:color="auto"/>
            </w:tcBorders>
            <w:shd w:val="clear" w:color="auto" w:fill="auto"/>
            <w:vAlign w:val="center"/>
            <w:hideMark/>
          </w:tcPr>
          <w:p w14:paraId="588AB332" w14:textId="77777777" w:rsidR="00411222" w:rsidRPr="00FD50F6" w:rsidRDefault="00411222" w:rsidP="002B733E">
            <w:pPr>
              <w:pStyle w:val="7"/>
              <w:rPr>
                <w:rFonts w:cs="Times New Roman"/>
              </w:rPr>
            </w:pPr>
            <w:r w:rsidRPr="00FD50F6">
              <w:rPr>
                <w:rFonts w:cs="Times New Roman" w:hint="eastAsia"/>
              </w:rPr>
              <w:t>84</w:t>
            </w:r>
          </w:p>
        </w:tc>
      </w:tr>
      <w:tr w:rsidR="00411222" w:rsidRPr="00FD50F6" w14:paraId="15E05558" w14:textId="77777777" w:rsidTr="00411222">
        <w:trPr>
          <w:trHeight w:val="288"/>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53858240" w14:textId="77777777" w:rsidR="00411222" w:rsidRPr="00FD50F6" w:rsidRDefault="00411222" w:rsidP="002B733E">
            <w:pPr>
              <w:pStyle w:val="7"/>
            </w:pPr>
            <w:r w:rsidRPr="00FD50F6">
              <w:rPr>
                <w:rFonts w:hint="eastAsia"/>
              </w:rPr>
              <w:t>3</w:t>
            </w:r>
          </w:p>
        </w:tc>
        <w:tc>
          <w:tcPr>
            <w:tcW w:w="1299" w:type="pct"/>
            <w:vMerge/>
            <w:tcBorders>
              <w:top w:val="nil"/>
              <w:left w:val="single" w:sz="4" w:space="0" w:color="auto"/>
              <w:bottom w:val="single" w:sz="4" w:space="0" w:color="auto"/>
              <w:right w:val="single" w:sz="4" w:space="0" w:color="auto"/>
            </w:tcBorders>
            <w:vAlign w:val="center"/>
            <w:hideMark/>
          </w:tcPr>
          <w:p w14:paraId="43E2B62E" w14:textId="77777777" w:rsidR="00411222" w:rsidRPr="00FD50F6" w:rsidRDefault="00411222" w:rsidP="002B733E">
            <w:pPr>
              <w:pStyle w:val="7"/>
            </w:pPr>
          </w:p>
        </w:tc>
        <w:tc>
          <w:tcPr>
            <w:tcW w:w="876" w:type="pct"/>
            <w:vMerge/>
            <w:tcBorders>
              <w:top w:val="nil"/>
              <w:left w:val="single" w:sz="4" w:space="0" w:color="auto"/>
              <w:bottom w:val="single" w:sz="4" w:space="0" w:color="auto"/>
              <w:right w:val="single" w:sz="4" w:space="0" w:color="auto"/>
            </w:tcBorders>
            <w:vAlign w:val="center"/>
            <w:hideMark/>
          </w:tcPr>
          <w:p w14:paraId="6B73CFE2" w14:textId="77777777" w:rsidR="00411222" w:rsidRPr="00FD50F6" w:rsidRDefault="00411222" w:rsidP="002B733E">
            <w:pPr>
              <w:pStyle w:val="7"/>
            </w:pPr>
          </w:p>
        </w:tc>
        <w:tc>
          <w:tcPr>
            <w:tcW w:w="725" w:type="pct"/>
            <w:tcBorders>
              <w:top w:val="nil"/>
              <w:left w:val="nil"/>
              <w:bottom w:val="single" w:sz="4" w:space="0" w:color="auto"/>
              <w:right w:val="single" w:sz="4" w:space="0" w:color="auto"/>
            </w:tcBorders>
            <w:shd w:val="clear" w:color="auto" w:fill="auto"/>
            <w:noWrap/>
            <w:vAlign w:val="center"/>
            <w:hideMark/>
          </w:tcPr>
          <w:p w14:paraId="54FB14C0" w14:textId="77777777" w:rsidR="00411222" w:rsidRPr="00FD50F6" w:rsidRDefault="00411222" w:rsidP="002B733E">
            <w:pPr>
              <w:pStyle w:val="7"/>
            </w:pPr>
            <w:r w:rsidRPr="00FD50F6">
              <w:rPr>
                <w:rFonts w:hint="eastAsia"/>
              </w:rPr>
              <w:t>100</w:t>
            </w:r>
          </w:p>
        </w:tc>
        <w:tc>
          <w:tcPr>
            <w:tcW w:w="1375" w:type="pct"/>
            <w:tcBorders>
              <w:top w:val="nil"/>
              <w:left w:val="nil"/>
              <w:bottom w:val="single" w:sz="4" w:space="0" w:color="auto"/>
              <w:right w:val="single" w:sz="4" w:space="0" w:color="auto"/>
            </w:tcBorders>
            <w:shd w:val="clear" w:color="auto" w:fill="auto"/>
            <w:noWrap/>
            <w:vAlign w:val="center"/>
            <w:hideMark/>
          </w:tcPr>
          <w:p w14:paraId="3F57E922" w14:textId="77777777" w:rsidR="00411222" w:rsidRPr="00FD50F6" w:rsidRDefault="00411222" w:rsidP="002B733E">
            <w:pPr>
              <w:pStyle w:val="7"/>
            </w:pPr>
            <w:r w:rsidRPr="00FD50F6">
              <w:rPr>
                <w:rFonts w:hint="eastAsia"/>
              </w:rPr>
              <w:t>88</w:t>
            </w:r>
          </w:p>
        </w:tc>
      </w:tr>
      <w:tr w:rsidR="00411222" w:rsidRPr="00FD50F6" w14:paraId="43E2B0E2" w14:textId="77777777" w:rsidTr="00411222">
        <w:trPr>
          <w:trHeight w:val="288"/>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5A36D48E" w14:textId="77777777" w:rsidR="00411222" w:rsidRPr="00FD50F6" w:rsidRDefault="00411222" w:rsidP="002B733E">
            <w:pPr>
              <w:pStyle w:val="7"/>
            </w:pPr>
            <w:r w:rsidRPr="00FD50F6">
              <w:rPr>
                <w:rFonts w:hint="eastAsia"/>
              </w:rPr>
              <w:t>4</w:t>
            </w:r>
          </w:p>
        </w:tc>
        <w:tc>
          <w:tcPr>
            <w:tcW w:w="1299" w:type="pct"/>
            <w:vMerge/>
            <w:tcBorders>
              <w:top w:val="nil"/>
              <w:left w:val="single" w:sz="4" w:space="0" w:color="auto"/>
              <w:bottom w:val="single" w:sz="4" w:space="0" w:color="auto"/>
              <w:right w:val="single" w:sz="4" w:space="0" w:color="auto"/>
            </w:tcBorders>
            <w:vAlign w:val="center"/>
            <w:hideMark/>
          </w:tcPr>
          <w:p w14:paraId="04851F49" w14:textId="77777777" w:rsidR="00411222" w:rsidRPr="00FD50F6" w:rsidRDefault="00411222" w:rsidP="002B733E">
            <w:pPr>
              <w:pStyle w:val="7"/>
            </w:pPr>
          </w:p>
        </w:tc>
        <w:tc>
          <w:tcPr>
            <w:tcW w:w="876" w:type="pct"/>
            <w:vMerge/>
            <w:tcBorders>
              <w:top w:val="nil"/>
              <w:left w:val="single" w:sz="4" w:space="0" w:color="auto"/>
              <w:bottom w:val="single" w:sz="4" w:space="0" w:color="auto"/>
              <w:right w:val="single" w:sz="4" w:space="0" w:color="auto"/>
            </w:tcBorders>
            <w:vAlign w:val="center"/>
            <w:hideMark/>
          </w:tcPr>
          <w:p w14:paraId="020DE2E1" w14:textId="77777777" w:rsidR="00411222" w:rsidRPr="00FD50F6" w:rsidRDefault="00411222" w:rsidP="002B733E">
            <w:pPr>
              <w:pStyle w:val="7"/>
            </w:pPr>
          </w:p>
        </w:tc>
        <w:tc>
          <w:tcPr>
            <w:tcW w:w="725" w:type="pct"/>
            <w:tcBorders>
              <w:top w:val="nil"/>
              <w:left w:val="nil"/>
              <w:bottom w:val="single" w:sz="4" w:space="0" w:color="auto"/>
              <w:right w:val="single" w:sz="4" w:space="0" w:color="auto"/>
            </w:tcBorders>
            <w:shd w:val="clear" w:color="auto" w:fill="auto"/>
            <w:noWrap/>
            <w:vAlign w:val="center"/>
            <w:hideMark/>
          </w:tcPr>
          <w:p w14:paraId="69C57D6B" w14:textId="77777777" w:rsidR="00411222" w:rsidRPr="00FD50F6" w:rsidRDefault="00411222" w:rsidP="002B733E">
            <w:pPr>
              <w:pStyle w:val="7"/>
            </w:pPr>
            <w:r w:rsidRPr="00FD50F6">
              <w:rPr>
                <w:rFonts w:hint="eastAsia"/>
              </w:rPr>
              <w:t>120</w:t>
            </w:r>
          </w:p>
        </w:tc>
        <w:tc>
          <w:tcPr>
            <w:tcW w:w="1375" w:type="pct"/>
            <w:tcBorders>
              <w:top w:val="nil"/>
              <w:left w:val="nil"/>
              <w:bottom w:val="single" w:sz="4" w:space="0" w:color="auto"/>
              <w:right w:val="single" w:sz="4" w:space="0" w:color="auto"/>
            </w:tcBorders>
            <w:shd w:val="clear" w:color="auto" w:fill="auto"/>
            <w:vAlign w:val="center"/>
            <w:hideMark/>
          </w:tcPr>
          <w:p w14:paraId="58696E1A" w14:textId="77777777" w:rsidR="00411222" w:rsidRPr="00FD50F6" w:rsidRDefault="00411222" w:rsidP="002B733E">
            <w:pPr>
              <w:pStyle w:val="7"/>
              <w:rPr>
                <w:rFonts w:cs="Times New Roman"/>
              </w:rPr>
            </w:pPr>
            <w:r w:rsidRPr="00FD50F6">
              <w:rPr>
                <w:rFonts w:cs="Times New Roman" w:hint="eastAsia"/>
              </w:rPr>
              <w:t>90</w:t>
            </w:r>
          </w:p>
        </w:tc>
      </w:tr>
    </w:tbl>
    <w:p w14:paraId="6AA8AFA8" w14:textId="77777777" w:rsidR="002C6A8F" w:rsidRPr="00FD50F6" w:rsidRDefault="002C6A8F" w:rsidP="002C6A8F">
      <w:pPr>
        <w:pStyle w:val="30"/>
      </w:pPr>
      <w:r w:rsidRPr="00FD50F6">
        <w:rPr>
          <w:rFonts w:hint="eastAsia"/>
        </w:rPr>
        <w:lastRenderedPageBreak/>
        <w:t>列车应具有下列故障运行能力：</w:t>
      </w:r>
    </w:p>
    <w:p w14:paraId="6467ACE6" w14:textId="77777777" w:rsidR="002C6A8F" w:rsidRPr="00FD50F6" w:rsidRDefault="002C6A8F" w:rsidP="00A926BD">
      <w:pPr>
        <w:pStyle w:val="4"/>
      </w:pPr>
      <w:r w:rsidRPr="00FD50F6">
        <w:rPr>
          <w:rFonts w:hint="eastAsia"/>
        </w:rPr>
        <w:t>列车在超员载荷和在丧失</w:t>
      </w:r>
      <w:r w:rsidRPr="00FD50F6">
        <w:rPr>
          <w:rFonts w:hint="eastAsia"/>
        </w:rPr>
        <w:t>1/4</w:t>
      </w:r>
      <w:r w:rsidRPr="00FD50F6">
        <w:rPr>
          <w:rFonts w:hint="eastAsia"/>
        </w:rPr>
        <w:t>动力的情况下，应能维持运行到终点；</w:t>
      </w:r>
    </w:p>
    <w:p w14:paraId="7860F0D5" w14:textId="77777777" w:rsidR="002C6A8F" w:rsidRPr="00FD50F6" w:rsidRDefault="002C6A8F" w:rsidP="00A926BD">
      <w:pPr>
        <w:pStyle w:val="4"/>
      </w:pPr>
      <w:r w:rsidRPr="00FD50F6">
        <w:rPr>
          <w:rFonts w:hint="eastAsia"/>
        </w:rPr>
        <w:t>列车在超员载荷和在丧失</w:t>
      </w:r>
      <w:r w:rsidRPr="00FD50F6">
        <w:rPr>
          <w:rFonts w:hint="eastAsia"/>
        </w:rPr>
        <w:t>1/2</w:t>
      </w:r>
      <w:r w:rsidRPr="00FD50F6">
        <w:rPr>
          <w:rFonts w:hint="eastAsia"/>
        </w:rPr>
        <w:t>动力的情况下，应具有在正线最大坡道上起动和运行到最近车站的能力；</w:t>
      </w:r>
    </w:p>
    <w:p w14:paraId="3A041031" w14:textId="77777777" w:rsidR="002C6A8F" w:rsidRPr="00FD50F6" w:rsidRDefault="002C6A8F" w:rsidP="00A926BD">
      <w:pPr>
        <w:pStyle w:val="4"/>
      </w:pPr>
      <w:r w:rsidRPr="00FD50F6">
        <w:rPr>
          <w:rFonts w:hint="eastAsia"/>
        </w:rPr>
        <w:t>一列空载列车应具有在正线线路的最大坡道上牵引（或推送）另一列超员载荷的无动力列车运行到下一车站的能力</w:t>
      </w:r>
      <w:r w:rsidRPr="00FD50F6">
        <w:rPr>
          <w:rFonts w:ascii="黑体" w:eastAsia="黑体" w:hint="eastAsia"/>
        </w:rPr>
        <w:t>；</w:t>
      </w:r>
    </w:p>
    <w:p w14:paraId="48EE0888" w14:textId="2DD63E79" w:rsidR="002C6A8F" w:rsidRPr="00FD50F6" w:rsidRDefault="002C6A8F" w:rsidP="00A926BD">
      <w:pPr>
        <w:pStyle w:val="4"/>
      </w:pPr>
      <w:r w:rsidRPr="00FD50F6">
        <w:rPr>
          <w:rFonts w:hint="eastAsia"/>
        </w:rPr>
        <w:t>在校验故障运行能力和救援能力时，应校验故障列车或救援列车在最大坡道上的启动加速度，其值不宜小于</w:t>
      </w:r>
      <w:r w:rsidRPr="00FD50F6">
        <w:rPr>
          <w:rFonts w:hint="eastAsia"/>
        </w:rPr>
        <w:t>0.083m/s</w:t>
      </w:r>
      <w:r w:rsidRPr="00FD50F6">
        <w:rPr>
          <w:rFonts w:hint="eastAsia"/>
        </w:rPr>
        <w:t>²。</w:t>
      </w:r>
    </w:p>
    <w:p w14:paraId="6ECA3659" w14:textId="77777777" w:rsidR="002C6A8F" w:rsidRPr="00FD50F6" w:rsidRDefault="002C6A8F" w:rsidP="00A65181">
      <w:pPr>
        <w:pStyle w:val="2"/>
      </w:pPr>
      <w:bookmarkStart w:id="167" w:name="_Toc320104012"/>
      <w:bookmarkStart w:id="168" w:name="_Toc320115616"/>
      <w:bookmarkStart w:id="169" w:name="_Toc320639524"/>
      <w:bookmarkStart w:id="170" w:name="_Toc320639833"/>
      <w:bookmarkStart w:id="171" w:name="_Toc320640168"/>
      <w:bookmarkStart w:id="172" w:name="_Toc320115618"/>
      <w:bookmarkStart w:id="173" w:name="_Toc320639526"/>
      <w:bookmarkStart w:id="174" w:name="_Toc320640170"/>
      <w:bookmarkStart w:id="175" w:name="_Toc344218703"/>
      <w:bookmarkStart w:id="176" w:name="_Toc112830654"/>
      <w:bookmarkEnd w:id="167"/>
      <w:bookmarkEnd w:id="168"/>
      <w:bookmarkEnd w:id="169"/>
      <w:bookmarkEnd w:id="170"/>
      <w:bookmarkEnd w:id="171"/>
      <w:bookmarkEnd w:id="172"/>
      <w:bookmarkEnd w:id="173"/>
      <w:bookmarkEnd w:id="174"/>
      <w:r w:rsidRPr="00FD50F6">
        <w:t>车辆型式与列车编组</w:t>
      </w:r>
      <w:bookmarkEnd w:id="175"/>
      <w:bookmarkEnd w:id="176"/>
    </w:p>
    <w:p w14:paraId="5E93F894" w14:textId="77777777" w:rsidR="002C6A8F" w:rsidRPr="00FD50F6" w:rsidRDefault="002C6A8F" w:rsidP="002C6A8F">
      <w:pPr>
        <w:pStyle w:val="30"/>
      </w:pPr>
      <w:r w:rsidRPr="00FD50F6">
        <w:t>车辆型式应按下列规定分类：</w:t>
      </w:r>
    </w:p>
    <w:p w14:paraId="6DB43688" w14:textId="689CFB9A" w:rsidR="002C6A8F" w:rsidRPr="00FD50F6" w:rsidRDefault="002C6A8F" w:rsidP="00A926BD">
      <w:pPr>
        <w:pStyle w:val="4"/>
      </w:pPr>
      <w:r w:rsidRPr="00FD50F6">
        <w:t>动车可分为带司机室动车</w:t>
      </w:r>
      <w:r w:rsidRPr="00FD50F6">
        <w:t>(Mc)</w:t>
      </w:r>
      <w:r w:rsidRPr="00FD50F6">
        <w:rPr>
          <w:rFonts w:hint="eastAsia"/>
        </w:rPr>
        <w:t>和</w:t>
      </w:r>
      <w:r w:rsidRPr="00FD50F6">
        <w:t>无司机室动车</w:t>
      </w:r>
      <w:r w:rsidRPr="00FD50F6">
        <w:t>(M)</w:t>
      </w:r>
      <w:r w:rsidRPr="00FD50F6">
        <w:t>；</w:t>
      </w:r>
    </w:p>
    <w:p w14:paraId="359CE768" w14:textId="1FB01ABD" w:rsidR="002C6A8F" w:rsidRPr="00FD50F6" w:rsidRDefault="002C6A8F" w:rsidP="00A926BD">
      <w:pPr>
        <w:pStyle w:val="4"/>
      </w:pPr>
      <w:r w:rsidRPr="00FD50F6">
        <w:t>拖车可分为带司机室拖车（</w:t>
      </w:r>
      <w:r w:rsidRPr="00FD50F6">
        <w:t>Tc)</w:t>
      </w:r>
      <w:r w:rsidRPr="00FD50F6">
        <w:rPr>
          <w:rFonts w:hint="eastAsia"/>
        </w:rPr>
        <w:t>和</w:t>
      </w:r>
      <w:r w:rsidRPr="00FD50F6">
        <w:t>无司机室拖车</w:t>
      </w:r>
      <w:r w:rsidRPr="00FD50F6">
        <w:rPr>
          <w:rFonts w:hint="eastAsia"/>
        </w:rPr>
        <w:t>（</w:t>
      </w:r>
      <w:r w:rsidRPr="00FD50F6">
        <w:rPr>
          <w:rFonts w:hint="eastAsia"/>
        </w:rPr>
        <w:t>T</w:t>
      </w:r>
      <w:r w:rsidRPr="00FD50F6">
        <w:rPr>
          <w:rFonts w:hint="eastAsia"/>
        </w:rPr>
        <w:t>）</w:t>
      </w:r>
      <w:r w:rsidRPr="00FD50F6">
        <w:t>。</w:t>
      </w:r>
    </w:p>
    <w:p w14:paraId="5F665F1D" w14:textId="77777777" w:rsidR="002C6A8F" w:rsidRPr="00FD50F6" w:rsidRDefault="002C6A8F" w:rsidP="002C6A8F">
      <w:pPr>
        <w:pStyle w:val="30"/>
      </w:pPr>
      <w:r w:rsidRPr="00FD50F6">
        <w:t>列车编组可由不同型式的车辆根据客流预测、设计运输能力、线路条件、环境条件及运营组织等要素确定。</w:t>
      </w:r>
    </w:p>
    <w:p w14:paraId="755BCFAC" w14:textId="42B96E04" w:rsidR="002C6A8F" w:rsidRPr="00FD50F6" w:rsidRDefault="002C6A8F" w:rsidP="002C6A8F">
      <w:pPr>
        <w:pStyle w:val="30"/>
      </w:pPr>
      <w:r w:rsidRPr="00FD50F6">
        <w:t>列车的动拖比应根据起动加速度、制动减速度、平均速度、旅行速度、故障运行能力、维修费、耗电量、车辆的购置费以及发挥再生制动作用因素综合分析确定。</w:t>
      </w:r>
    </w:p>
    <w:p w14:paraId="14E904F3" w14:textId="732A0983" w:rsidR="002C6A8F" w:rsidRPr="00A65181" w:rsidRDefault="002C6A8F" w:rsidP="002C6A8F">
      <w:pPr>
        <w:pStyle w:val="30"/>
      </w:pPr>
      <w:r w:rsidRPr="00FD50F6">
        <w:t>在线路条件和列车编组初步确定后，应通过模拟运行计算初步确定</w:t>
      </w:r>
      <w:r w:rsidRPr="00FD50F6">
        <w:rPr>
          <w:rFonts w:hint="eastAsia"/>
        </w:rPr>
        <w:t>牵引电机</w:t>
      </w:r>
      <w:r w:rsidRPr="00FD50F6">
        <w:t>的容量。</w:t>
      </w:r>
      <w:r w:rsidRPr="00FD50F6">
        <w:rPr>
          <w:rFonts w:hint="eastAsia"/>
        </w:rPr>
        <w:t>牵引电</w:t>
      </w:r>
      <w:r w:rsidRPr="00A65181">
        <w:rPr>
          <w:rFonts w:hint="eastAsia"/>
        </w:rPr>
        <w:t>机</w:t>
      </w:r>
      <w:r w:rsidRPr="00FD50F6">
        <w:rPr>
          <w:rFonts w:hint="eastAsia"/>
        </w:rPr>
        <w:t>的容量应留有</w:t>
      </w:r>
      <w:r w:rsidRPr="00A65181">
        <w:rPr>
          <w:rFonts w:hint="eastAsia"/>
        </w:rPr>
        <w:t>余量，并应符合下式条件：</w:t>
      </w:r>
    </w:p>
    <w:p w14:paraId="4A6F9D84" w14:textId="2EBBD662" w:rsidR="002C6A8F" w:rsidRPr="00FD50F6" w:rsidRDefault="002C6A8F" w:rsidP="002C6A8F">
      <w:pPr>
        <w:adjustRightInd w:val="0"/>
        <w:snapToGrid w:val="0"/>
        <w:ind w:firstLineChars="708" w:firstLine="1699"/>
        <w:rPr>
          <w:rFonts w:ascii="Times New Roman" w:hAnsi="Times New Roman" w:cs="Times New Roman"/>
          <w:szCs w:val="24"/>
        </w:rPr>
      </w:pPr>
      <w:r w:rsidRPr="00FD50F6">
        <w:rPr>
          <w:rFonts w:ascii="Times New Roman" w:hAnsi="Times New Roman" w:cs="Times New Roman"/>
          <w:szCs w:val="24"/>
        </w:rPr>
        <w:t>Im≥Irms/</w:t>
      </w:r>
      <w:r w:rsidRPr="00FD50F6">
        <w:rPr>
          <w:rFonts w:ascii="Times New Roman" w:hAnsi="Times New Roman" w:cs="Times New Roman"/>
          <w:szCs w:val="24"/>
        </w:rPr>
        <w:t>（</w:t>
      </w:r>
      <w:r w:rsidRPr="00FD50F6">
        <w:rPr>
          <w:rFonts w:ascii="Times New Roman" w:hAnsi="Times New Roman" w:cs="Times New Roman"/>
          <w:szCs w:val="24"/>
        </w:rPr>
        <w:t>0.85</w:t>
      </w:r>
      <w:r w:rsidRPr="00FD50F6">
        <w:rPr>
          <w:rFonts w:ascii="Times New Roman" w:hAnsi="Times New Roman" w:cs="Times New Roman"/>
          <w:szCs w:val="24"/>
        </w:rPr>
        <w:t>～</w:t>
      </w:r>
      <w:r w:rsidRPr="00FD50F6">
        <w:rPr>
          <w:rFonts w:ascii="Times New Roman" w:hAnsi="Times New Roman" w:cs="Times New Roman"/>
          <w:szCs w:val="24"/>
        </w:rPr>
        <w:t>0.9</w:t>
      </w:r>
      <w:r w:rsidRPr="00FD50F6">
        <w:rPr>
          <w:rFonts w:ascii="Times New Roman" w:hAnsi="Times New Roman" w:cs="Times New Roman"/>
          <w:szCs w:val="24"/>
        </w:rPr>
        <w:t>）</w:t>
      </w:r>
      <w:r w:rsidRPr="00FD50F6">
        <w:rPr>
          <w:rFonts w:ascii="Times New Roman" w:hAnsi="Times New Roman" w:cs="Times New Roman" w:hint="eastAsia"/>
          <w:szCs w:val="24"/>
        </w:rPr>
        <w:t xml:space="preserve"> </w:t>
      </w:r>
      <w:r w:rsidRPr="00FD50F6">
        <w:rPr>
          <w:rFonts w:ascii="Times New Roman" w:hAnsi="Times New Roman" w:cs="Times New Roman"/>
          <w:szCs w:val="24"/>
        </w:rPr>
        <w:t xml:space="preserve">                   </w:t>
      </w:r>
      <w:r w:rsidRPr="00FD50F6">
        <w:rPr>
          <w:rFonts w:ascii="Times New Roman" w:hAnsi="Times New Roman" w:cs="Times New Roman"/>
          <w:szCs w:val="24"/>
        </w:rPr>
        <w:t>（</w:t>
      </w:r>
      <w:r w:rsidR="00F70ADA" w:rsidRPr="00FD50F6">
        <w:rPr>
          <w:rFonts w:ascii="Times New Roman" w:hAnsi="Times New Roman" w:cs="Times New Roman"/>
          <w:szCs w:val="24"/>
        </w:rPr>
        <w:t>5</w:t>
      </w:r>
      <w:r w:rsidRPr="00FD50F6">
        <w:rPr>
          <w:rFonts w:ascii="Times New Roman" w:hAnsi="Times New Roman" w:cs="Times New Roman"/>
          <w:szCs w:val="24"/>
        </w:rPr>
        <w:t>.2.4</w:t>
      </w:r>
      <w:r w:rsidRPr="00FD50F6">
        <w:rPr>
          <w:rFonts w:ascii="Times New Roman" w:hAnsi="Times New Roman" w:cs="Times New Roman"/>
          <w:szCs w:val="24"/>
        </w:rPr>
        <w:t>）</w:t>
      </w:r>
    </w:p>
    <w:p w14:paraId="36FAB67B" w14:textId="771C47BD" w:rsidR="002C6A8F" w:rsidRPr="00FD50F6" w:rsidRDefault="002C6A8F" w:rsidP="00F95495">
      <w:pPr>
        <w:pStyle w:val="8"/>
        <w:ind w:firstLineChars="0" w:firstLine="0"/>
      </w:pPr>
      <w:r w:rsidRPr="00FD50F6">
        <w:t>式中：</w:t>
      </w:r>
      <w:r w:rsidRPr="00FD50F6">
        <w:t>Im——</w:t>
      </w:r>
      <w:r w:rsidRPr="00FD50F6">
        <w:t>牵引电动机额定电流（连续制）（</w:t>
      </w:r>
      <w:r w:rsidRPr="00FD50F6">
        <w:t>A</w:t>
      </w:r>
      <w:r w:rsidRPr="00FD50F6">
        <w:t>）</w:t>
      </w:r>
      <w:r w:rsidRPr="00FD50F6">
        <w:rPr>
          <w:rFonts w:hint="eastAsia"/>
        </w:rPr>
        <w:t>；</w:t>
      </w:r>
    </w:p>
    <w:p w14:paraId="4B376B3E" w14:textId="77777777" w:rsidR="002C6A8F" w:rsidRPr="00FD50F6" w:rsidRDefault="002C6A8F" w:rsidP="00F95495">
      <w:pPr>
        <w:pStyle w:val="8"/>
        <w:ind w:firstLine="480"/>
      </w:pPr>
      <w:r w:rsidRPr="00FD50F6">
        <w:t>Irms——</w:t>
      </w:r>
      <w:r w:rsidRPr="00FD50F6">
        <w:t>列车正常运行条件下全线一个往返的模拟运行计算得到的均方根电流（</w:t>
      </w:r>
      <w:r w:rsidRPr="00FD50F6">
        <w:t>A</w:t>
      </w:r>
      <w:r w:rsidRPr="00FD50F6">
        <w:t>）或故障运行条件下计算得到的均方根电流（</w:t>
      </w:r>
      <w:r w:rsidRPr="00FD50F6">
        <w:t>A</w:t>
      </w:r>
      <w:r w:rsidRPr="00FD50F6">
        <w:t>），取其高者。</w:t>
      </w:r>
    </w:p>
    <w:p w14:paraId="281A0C35" w14:textId="186DA713" w:rsidR="002C6A8F" w:rsidRPr="00FD50F6" w:rsidRDefault="002C6A8F" w:rsidP="002C6A8F">
      <w:pPr>
        <w:pStyle w:val="30"/>
      </w:pPr>
      <w:r w:rsidRPr="00FD50F6">
        <w:t>列车基础制动的类型及在列车中的配置应根据最高运行速度选定，并应计算紧急制动和常用制动时基础制动装置摩擦面的温度。</w:t>
      </w:r>
    </w:p>
    <w:p w14:paraId="0A530933" w14:textId="77777777" w:rsidR="002C6A8F" w:rsidRPr="00FD50F6" w:rsidRDefault="002C6A8F" w:rsidP="002C6A8F">
      <w:pPr>
        <w:pStyle w:val="30"/>
      </w:pPr>
      <w:r w:rsidRPr="00FD50F6">
        <w:t>联结装置应符合下列规定：</w:t>
      </w:r>
    </w:p>
    <w:p w14:paraId="2E94A8FE" w14:textId="77777777" w:rsidR="002C6A8F" w:rsidRPr="00FD50F6" w:rsidRDefault="002C6A8F" w:rsidP="00A926BD">
      <w:pPr>
        <w:pStyle w:val="4"/>
      </w:pPr>
      <w:r w:rsidRPr="00FD50F6">
        <w:t>列车中固定编组的各车辆间的车钩型式宜为半永久性牵引杆，列车两端宜设密接式半自动车钩或密接式自动车钩；</w:t>
      </w:r>
    </w:p>
    <w:p w14:paraId="1823EC59" w14:textId="2FE3F26D" w:rsidR="002C6A8F" w:rsidRPr="00FD50F6" w:rsidRDefault="002C6A8F" w:rsidP="00A926BD">
      <w:pPr>
        <w:pStyle w:val="4"/>
      </w:pPr>
      <w:r w:rsidRPr="00FD50F6">
        <w:lastRenderedPageBreak/>
        <w:t>联结装置中应设置</w:t>
      </w:r>
      <w:r w:rsidRPr="00FD50F6">
        <w:rPr>
          <w:rFonts w:hint="eastAsia"/>
        </w:rPr>
        <w:t>能吸收撞击能量的缓冲装置，其能承受并可完全复原的最大冲击速度应不大于</w:t>
      </w:r>
      <w:r w:rsidRPr="00FD50F6">
        <w:t>5 km/h</w:t>
      </w:r>
      <w:r w:rsidRPr="00FD50F6">
        <w:t>。</w:t>
      </w:r>
    </w:p>
    <w:p w14:paraId="352EBE2B" w14:textId="1FED6D25" w:rsidR="002C6A8F" w:rsidRPr="00FD50F6" w:rsidRDefault="002C6A8F" w:rsidP="002C6A8F">
      <w:pPr>
        <w:pStyle w:val="30"/>
      </w:pPr>
      <w:r w:rsidRPr="00FD50F6">
        <w:t>车钩水平中心线距轨面高宜采用</w:t>
      </w:r>
      <w:r w:rsidRPr="00FD50F6">
        <w:rPr>
          <w:rFonts w:hint="eastAsia"/>
          <w:kern w:val="44"/>
        </w:rPr>
        <w:t>660+</w:t>
      </w:r>
      <w:r w:rsidRPr="00FD50F6">
        <w:rPr>
          <w:rFonts w:hint="eastAsia"/>
          <w:kern w:val="44"/>
          <w:vertAlign w:val="superscript"/>
        </w:rPr>
        <w:t>10</w:t>
      </w:r>
      <w:r w:rsidRPr="00FD50F6">
        <w:t xml:space="preserve"> mm</w:t>
      </w:r>
      <w:r w:rsidRPr="00FD50F6">
        <w:t>或</w:t>
      </w:r>
      <w:r w:rsidRPr="00FD50F6">
        <w:rPr>
          <w:rFonts w:hint="eastAsia"/>
          <w:kern w:val="44"/>
        </w:rPr>
        <w:t>720+</w:t>
      </w:r>
      <w:r w:rsidRPr="00FD50F6">
        <w:rPr>
          <w:rFonts w:hint="eastAsia"/>
          <w:kern w:val="44"/>
          <w:vertAlign w:val="superscript"/>
        </w:rPr>
        <w:t>10</w:t>
      </w:r>
      <w:r w:rsidRPr="00FD50F6">
        <w:t xml:space="preserve"> mm</w:t>
      </w:r>
      <w:r w:rsidRPr="00FD50F6">
        <w:t>。同一城市地铁车辆宜统一尺寸。</w:t>
      </w:r>
    </w:p>
    <w:p w14:paraId="5D423510" w14:textId="77777777" w:rsidR="002C6A8F" w:rsidRPr="00FD50F6" w:rsidRDefault="002C6A8F" w:rsidP="002C6A8F">
      <w:pPr>
        <w:pStyle w:val="30"/>
      </w:pPr>
      <w:r w:rsidRPr="00FD50F6">
        <w:t>在使用自动车钩时，应使司机能识别车钩的联结和锁紧状态。</w:t>
      </w:r>
    </w:p>
    <w:p w14:paraId="4FFA7E8E" w14:textId="7D9040DC" w:rsidR="002C6A8F" w:rsidRPr="00FD50F6" w:rsidRDefault="002C6A8F" w:rsidP="002C6A8F">
      <w:pPr>
        <w:pStyle w:val="30"/>
      </w:pPr>
      <w:r w:rsidRPr="00FD50F6">
        <w:t>连接的两节车辆之间应设置贯通道，贯通道应密封、防火、防水、隔热、隔</w:t>
      </w:r>
      <w:r w:rsidRPr="00FD50F6">
        <w:rPr>
          <w:rFonts w:hint="eastAsia"/>
        </w:rPr>
        <w:t>声</w:t>
      </w:r>
      <w:r w:rsidRPr="00FD50F6">
        <w:t>，贯通道渡板应耐磨、平顺、防滑、防夹，用于贯通道的密封材料应</w:t>
      </w:r>
      <w:r w:rsidRPr="00FD50F6">
        <w:rPr>
          <w:rFonts w:hint="eastAsia"/>
        </w:rPr>
        <w:t>满足</w:t>
      </w:r>
      <w:r w:rsidRPr="00FD50F6">
        <w:t>抗拉强度</w:t>
      </w:r>
      <w:r w:rsidRPr="00FD50F6">
        <w:rPr>
          <w:rFonts w:hint="eastAsia"/>
        </w:rPr>
        <w:t>要求</w:t>
      </w:r>
      <w:r w:rsidRPr="00FD50F6">
        <w:t>，并应安全可靠、不易老化。</w:t>
      </w:r>
    </w:p>
    <w:p w14:paraId="57D5DBF6" w14:textId="77777777" w:rsidR="002C6A8F" w:rsidRPr="00FD50F6" w:rsidRDefault="002C6A8F" w:rsidP="00A65181">
      <w:pPr>
        <w:pStyle w:val="2"/>
      </w:pPr>
      <w:bookmarkStart w:id="177" w:name="_Toc320115620"/>
      <w:bookmarkStart w:id="178" w:name="_Toc320639528"/>
      <w:bookmarkStart w:id="179" w:name="_Toc320640172"/>
      <w:bookmarkStart w:id="180" w:name="_Toc344218704"/>
      <w:bookmarkStart w:id="181" w:name="_Toc112830655"/>
      <w:bookmarkEnd w:id="177"/>
      <w:bookmarkEnd w:id="178"/>
      <w:bookmarkEnd w:id="179"/>
      <w:r w:rsidRPr="00FD50F6">
        <w:t>车体</w:t>
      </w:r>
      <w:bookmarkEnd w:id="180"/>
      <w:bookmarkEnd w:id="181"/>
    </w:p>
    <w:p w14:paraId="4264460E" w14:textId="1D77B35B" w:rsidR="002C6A8F" w:rsidRPr="00FD50F6" w:rsidRDefault="002C6A8F" w:rsidP="002C6A8F">
      <w:pPr>
        <w:pStyle w:val="30"/>
      </w:pPr>
      <w:r w:rsidRPr="00FD50F6">
        <w:t>车体应采用不锈钢或铝合金材料和整体承载结构。在使用期限内承受正常载荷时不应产生永久变形和疲劳损伤。在最大垂直载荷</w:t>
      </w:r>
      <w:r w:rsidRPr="00FD50F6">
        <w:rPr>
          <w:rFonts w:hint="eastAsia"/>
        </w:rPr>
        <w:t>（超员工况）</w:t>
      </w:r>
      <w:r w:rsidRPr="00FD50F6">
        <w:t>作用下，车体静挠度不应超过两转向架支承点之间距离的</w:t>
      </w:r>
      <w:r w:rsidRPr="00FD50F6">
        <w:t>l‰</w:t>
      </w:r>
      <w:r w:rsidRPr="00FD50F6">
        <w:t>。</w:t>
      </w:r>
    </w:p>
    <w:p w14:paraId="1BE07130" w14:textId="762BC289" w:rsidR="002C6A8F" w:rsidRPr="00FD50F6" w:rsidRDefault="002C6A8F" w:rsidP="002C6A8F">
      <w:pPr>
        <w:pStyle w:val="30"/>
      </w:pPr>
      <w:r w:rsidRPr="00FD50F6">
        <w:t>车体的试验用纵向静压缩载荷可采用下列数值：</w:t>
      </w:r>
    </w:p>
    <w:p w14:paraId="0C62F9B6" w14:textId="02C0327B" w:rsidR="002C6A8F" w:rsidRPr="00FD50F6" w:rsidRDefault="002C6A8F" w:rsidP="00A926BD">
      <w:pPr>
        <w:pStyle w:val="4"/>
      </w:pPr>
      <w:r w:rsidRPr="00FD50F6">
        <w:t>A</w:t>
      </w:r>
      <w:r w:rsidRPr="00FD50F6">
        <w:t>型车不低于</w:t>
      </w:r>
      <w:r w:rsidRPr="00FD50F6">
        <w:rPr>
          <w:rFonts w:hint="eastAsia"/>
        </w:rPr>
        <w:t>1.2</w:t>
      </w:r>
      <w:r w:rsidRPr="00FD50F6">
        <w:t xml:space="preserve"> MN</w:t>
      </w:r>
      <w:r w:rsidRPr="00FD50F6">
        <w:t>；</w:t>
      </w:r>
    </w:p>
    <w:p w14:paraId="4C12623B" w14:textId="77777777" w:rsidR="002C6A8F" w:rsidRPr="00FD50F6" w:rsidRDefault="002C6A8F" w:rsidP="00A926BD">
      <w:pPr>
        <w:pStyle w:val="4"/>
      </w:pPr>
      <w:r w:rsidRPr="00FD50F6">
        <w:t>B</w:t>
      </w:r>
      <w:r w:rsidRPr="00FD50F6">
        <w:t>型车不低于</w:t>
      </w:r>
      <w:r w:rsidRPr="00FD50F6">
        <w:rPr>
          <w:rFonts w:hint="eastAsia"/>
        </w:rPr>
        <w:t xml:space="preserve">0.8 </w:t>
      </w:r>
      <w:r w:rsidRPr="00FD50F6">
        <w:t>MN</w:t>
      </w:r>
      <w:r w:rsidRPr="00FD50F6">
        <w:t>。</w:t>
      </w:r>
    </w:p>
    <w:p w14:paraId="784F443A" w14:textId="768FC5AF" w:rsidR="002C6A8F" w:rsidRPr="00FD50F6" w:rsidRDefault="002C6A8F" w:rsidP="002C6A8F">
      <w:pPr>
        <w:pStyle w:val="30"/>
      </w:pPr>
      <w:r w:rsidRPr="00FD50F6">
        <w:t>车体的试验用垂直载荷可按公式</w:t>
      </w:r>
      <w:r w:rsidR="00F70ADA" w:rsidRPr="00FD50F6">
        <w:t>5</w:t>
      </w:r>
      <w:r w:rsidRPr="00FD50F6">
        <w:t>.3.3</w:t>
      </w:r>
      <w:r w:rsidRPr="00FD50F6">
        <w:t>计算。强度计算应</w:t>
      </w:r>
      <w:r w:rsidRPr="00FD50F6">
        <w:rPr>
          <w:rFonts w:hint="eastAsia"/>
        </w:rPr>
        <w:t>按</w:t>
      </w:r>
      <w:r w:rsidRPr="00FD50F6">
        <w:t>最大立席超员人数</w:t>
      </w:r>
      <w:r w:rsidRPr="00FD50F6">
        <w:t>9</w:t>
      </w:r>
      <w:r w:rsidRPr="00FD50F6">
        <w:t>人／</w:t>
      </w:r>
      <w:r w:rsidRPr="00FD50F6">
        <w:t>m</w:t>
      </w:r>
      <w:r w:rsidRPr="00FD50F6">
        <w:rPr>
          <w:vertAlign w:val="superscript"/>
        </w:rPr>
        <w:t>2</w:t>
      </w:r>
      <w:r w:rsidRPr="00FD50F6">
        <w:t>计，站立面积应为除去座椅及前缘</w:t>
      </w:r>
      <w:r w:rsidRPr="00FD50F6">
        <w:t>100mm</w:t>
      </w:r>
      <w:r w:rsidRPr="00FD50F6">
        <w:t>外的客室面积，人均体重应按</w:t>
      </w:r>
      <w:r w:rsidRPr="00FD50F6">
        <w:t>60kg</w:t>
      </w:r>
      <w:r w:rsidRPr="00FD50F6">
        <w:t>计算</w:t>
      </w:r>
      <w:bookmarkStart w:id="182" w:name="_Toc320639851"/>
      <w:bookmarkEnd w:id="182"/>
      <w:r w:rsidR="001C57B3">
        <w:rPr>
          <w:rFonts w:hint="eastAsia"/>
        </w:rPr>
        <w:t>。</w:t>
      </w:r>
    </w:p>
    <w:p w14:paraId="13F95A43" w14:textId="34EC4BD0" w:rsidR="002C6A8F" w:rsidRPr="00FD50F6" w:rsidRDefault="002C6A8F" w:rsidP="002C6A8F">
      <w:pPr>
        <w:numPr>
          <w:ilvl w:val="2"/>
          <w:numId w:val="0"/>
        </w:numPr>
        <w:ind w:left="420" w:firstLine="420"/>
        <w:outlineLvl w:val="1"/>
        <w:rPr>
          <w:rFonts w:ascii="Times New Roman" w:hAnsi="Times New Roman" w:cs="Times New Roman"/>
          <w:i/>
          <w:iCs/>
          <w:szCs w:val="24"/>
        </w:rPr>
      </w:pPr>
      <w:bookmarkStart w:id="183" w:name="_Toc320639852"/>
      <w:bookmarkEnd w:id="183"/>
      <w:r w:rsidRPr="00FD50F6">
        <w:rPr>
          <w:rFonts w:ascii="Times New Roman" w:hAnsi="Times New Roman" w:cs="Times New Roman"/>
          <w:i/>
          <w:iCs/>
          <w:szCs w:val="24"/>
        </w:rPr>
        <w:t>Lvt=</w:t>
      </w:r>
      <w:r w:rsidRPr="001C57B3">
        <w:rPr>
          <w:rFonts w:ascii="Times New Roman" w:hAnsi="Times New Roman" w:cs="Times New Roman"/>
          <w:szCs w:val="24"/>
        </w:rPr>
        <w:t>1.1</w:t>
      </w:r>
      <w:r w:rsidRPr="00FD50F6">
        <w:rPr>
          <w:rFonts w:ascii="Times New Roman" w:hAnsi="Times New Roman" w:cs="Times New Roman"/>
          <w:i/>
          <w:iCs/>
          <w:szCs w:val="24"/>
        </w:rPr>
        <w:t>×</w:t>
      </w:r>
      <w:r w:rsidRPr="00FD50F6">
        <w:rPr>
          <w:rFonts w:ascii="Times New Roman" w:hAnsi="Times New Roman" w:cs="Times New Roman"/>
          <w:i/>
          <w:iCs/>
          <w:szCs w:val="24"/>
        </w:rPr>
        <w:t>（</w:t>
      </w:r>
      <w:r w:rsidRPr="00FD50F6">
        <w:rPr>
          <w:rFonts w:ascii="Times New Roman" w:hAnsi="Times New Roman" w:cs="Times New Roman"/>
          <w:i/>
          <w:iCs/>
          <w:szCs w:val="24"/>
        </w:rPr>
        <w:t>Wc+Wp</w:t>
      </w:r>
      <w:r w:rsidRPr="00FD50F6">
        <w:rPr>
          <w:rFonts w:ascii="Times New Roman" w:hAnsi="Times New Roman" w:cs="Times New Roman"/>
          <w:szCs w:val="24"/>
        </w:rPr>
        <w:t>max</w:t>
      </w:r>
      <w:r w:rsidRPr="00FD50F6">
        <w:rPr>
          <w:rFonts w:ascii="Times New Roman" w:hAnsi="Times New Roman" w:cs="Times New Roman"/>
          <w:i/>
          <w:iCs/>
          <w:szCs w:val="24"/>
        </w:rPr>
        <w:t>）－（</w:t>
      </w:r>
      <w:r w:rsidRPr="00FD50F6">
        <w:rPr>
          <w:rFonts w:ascii="Times New Roman" w:hAnsi="Times New Roman" w:cs="Times New Roman"/>
          <w:i/>
          <w:iCs/>
          <w:szCs w:val="24"/>
        </w:rPr>
        <w:t>Wcb+Wet</w:t>
      </w:r>
      <w:r w:rsidRPr="00FD50F6">
        <w:rPr>
          <w:rFonts w:ascii="Times New Roman" w:hAnsi="Times New Roman" w:cs="Times New Roman"/>
          <w:i/>
          <w:iCs/>
          <w:szCs w:val="24"/>
        </w:rPr>
        <w:t>）</w:t>
      </w:r>
      <w:r w:rsidRPr="00FD50F6">
        <w:rPr>
          <w:rFonts w:ascii="Times New Roman" w:hAnsi="Times New Roman" w:cs="Times New Roman" w:hint="eastAsia"/>
          <w:i/>
          <w:iCs/>
          <w:szCs w:val="24"/>
        </w:rPr>
        <w:t xml:space="preserve"> </w:t>
      </w:r>
      <w:r w:rsidRPr="00FD50F6">
        <w:rPr>
          <w:rFonts w:ascii="Times New Roman" w:hAnsi="Times New Roman" w:cs="Times New Roman"/>
          <w:i/>
          <w:iCs/>
          <w:szCs w:val="24"/>
        </w:rPr>
        <w:t xml:space="preserve">       </w:t>
      </w:r>
      <w:r w:rsidRPr="00FD50F6">
        <w:rPr>
          <w:rFonts w:ascii="Times New Roman" w:hAnsi="Times New Roman" w:cs="Times New Roman"/>
          <w:iCs/>
          <w:szCs w:val="24"/>
        </w:rPr>
        <w:t>(</w:t>
      </w:r>
      <w:r w:rsidR="00F70ADA" w:rsidRPr="00FD50F6">
        <w:rPr>
          <w:rFonts w:ascii="Times New Roman" w:hAnsi="Times New Roman" w:cs="Times New Roman"/>
          <w:iCs/>
          <w:szCs w:val="24"/>
        </w:rPr>
        <w:t>5</w:t>
      </w:r>
      <w:r w:rsidRPr="00FD50F6">
        <w:rPr>
          <w:rFonts w:ascii="Times New Roman" w:hAnsi="Times New Roman" w:cs="Times New Roman"/>
          <w:iCs/>
          <w:szCs w:val="24"/>
        </w:rPr>
        <w:t>.3.3)</w:t>
      </w:r>
    </w:p>
    <w:p w14:paraId="6008731C" w14:textId="77777777" w:rsidR="002C6A8F" w:rsidRPr="00FD50F6" w:rsidRDefault="002C6A8F" w:rsidP="001C57B3">
      <w:pPr>
        <w:widowControl/>
        <w:autoSpaceDE w:val="0"/>
        <w:autoSpaceDN w:val="0"/>
        <w:rPr>
          <w:rFonts w:ascii="Times New Roman" w:hAnsi="Times New Roman" w:cs="Times New Roman"/>
          <w:kern w:val="0"/>
          <w:szCs w:val="24"/>
        </w:rPr>
      </w:pPr>
      <w:r w:rsidRPr="00FD50F6">
        <w:rPr>
          <w:rFonts w:ascii="Times New Roman" w:hAnsi="Times New Roman" w:cs="Times New Roman"/>
          <w:kern w:val="0"/>
          <w:szCs w:val="24"/>
        </w:rPr>
        <w:t>式中：</w:t>
      </w:r>
      <w:r w:rsidRPr="00FD50F6">
        <w:rPr>
          <w:rFonts w:ascii="Times New Roman" w:hAnsi="Times New Roman" w:cs="Times New Roman"/>
          <w:i/>
          <w:iCs/>
          <w:kern w:val="0"/>
          <w:szCs w:val="24"/>
        </w:rPr>
        <w:t>Lvt</w:t>
      </w:r>
      <w:r w:rsidRPr="00FD50F6">
        <w:rPr>
          <w:rFonts w:ascii="Times New Roman" w:hAnsi="Times New Roman" w:cs="Times New Roman"/>
          <w:kern w:val="0"/>
          <w:szCs w:val="24"/>
        </w:rPr>
        <w:t>——</w:t>
      </w:r>
      <w:r w:rsidRPr="00FD50F6">
        <w:rPr>
          <w:rFonts w:ascii="Times New Roman" w:hAnsi="Times New Roman" w:cs="Times New Roman"/>
          <w:kern w:val="0"/>
          <w:szCs w:val="24"/>
        </w:rPr>
        <w:t>车体垂向试验载荷（</w:t>
      </w:r>
      <w:r w:rsidRPr="00FD50F6">
        <w:rPr>
          <w:rFonts w:ascii="Times New Roman" w:hAnsi="Times New Roman" w:cs="Times New Roman"/>
          <w:kern w:val="0"/>
          <w:szCs w:val="24"/>
        </w:rPr>
        <w:t>t</w:t>
      </w:r>
      <w:r w:rsidRPr="00FD50F6">
        <w:rPr>
          <w:rFonts w:ascii="Times New Roman" w:hAnsi="Times New Roman" w:cs="Times New Roman"/>
          <w:kern w:val="0"/>
          <w:szCs w:val="24"/>
        </w:rPr>
        <w:t>）；</w:t>
      </w:r>
    </w:p>
    <w:p w14:paraId="3F34F0E8" w14:textId="77777777" w:rsidR="002C6A8F" w:rsidRPr="00FD50F6" w:rsidRDefault="002C6A8F" w:rsidP="001C57B3">
      <w:pPr>
        <w:widowControl/>
        <w:autoSpaceDE w:val="0"/>
        <w:autoSpaceDN w:val="0"/>
        <w:ind w:firstLineChars="300" w:firstLine="720"/>
        <w:rPr>
          <w:rFonts w:ascii="Times New Roman" w:hAnsi="Times New Roman" w:cs="Times New Roman"/>
          <w:kern w:val="0"/>
          <w:szCs w:val="24"/>
        </w:rPr>
      </w:pPr>
      <w:r w:rsidRPr="00FD50F6">
        <w:rPr>
          <w:rFonts w:ascii="Times New Roman" w:hAnsi="Times New Roman" w:cs="Times New Roman"/>
          <w:i/>
          <w:iCs/>
          <w:kern w:val="0"/>
          <w:szCs w:val="24"/>
        </w:rPr>
        <w:t>Wc</w:t>
      </w:r>
      <w:r w:rsidRPr="00FD50F6">
        <w:rPr>
          <w:rFonts w:ascii="Times New Roman" w:hAnsi="Times New Roman" w:cs="Times New Roman"/>
          <w:kern w:val="0"/>
          <w:szCs w:val="24"/>
        </w:rPr>
        <w:t>——</w:t>
      </w:r>
      <w:r w:rsidRPr="00FD50F6">
        <w:rPr>
          <w:rFonts w:ascii="Times New Roman" w:hAnsi="Times New Roman" w:cs="Times New Roman"/>
          <w:kern w:val="0"/>
          <w:szCs w:val="24"/>
        </w:rPr>
        <w:t>运转整备状态时的车体重量（</w:t>
      </w:r>
      <w:r w:rsidRPr="00FD50F6">
        <w:rPr>
          <w:rFonts w:ascii="Times New Roman" w:hAnsi="Times New Roman" w:cs="Times New Roman"/>
          <w:kern w:val="0"/>
          <w:szCs w:val="24"/>
        </w:rPr>
        <w:t>t</w:t>
      </w:r>
      <w:r w:rsidRPr="00FD50F6">
        <w:rPr>
          <w:rFonts w:ascii="Times New Roman" w:hAnsi="Times New Roman" w:cs="Times New Roman"/>
          <w:kern w:val="0"/>
          <w:szCs w:val="24"/>
        </w:rPr>
        <w:t>）；</w:t>
      </w:r>
    </w:p>
    <w:p w14:paraId="6D0AD829" w14:textId="682547B2" w:rsidR="002C6A8F" w:rsidRPr="00FD50F6" w:rsidRDefault="002C6A8F" w:rsidP="001C57B3">
      <w:pPr>
        <w:widowControl/>
        <w:autoSpaceDE w:val="0"/>
        <w:autoSpaceDN w:val="0"/>
        <w:ind w:firstLineChars="100" w:firstLine="240"/>
        <w:rPr>
          <w:rFonts w:ascii="Times New Roman" w:hAnsi="Times New Roman" w:cs="Times New Roman"/>
          <w:kern w:val="0"/>
          <w:szCs w:val="24"/>
        </w:rPr>
      </w:pPr>
      <w:r w:rsidRPr="00FD50F6">
        <w:rPr>
          <w:rFonts w:ascii="Times New Roman" w:hAnsi="Times New Roman" w:cs="Times New Roman"/>
          <w:i/>
          <w:iCs/>
          <w:kern w:val="0"/>
          <w:szCs w:val="24"/>
        </w:rPr>
        <w:t>Wp</w:t>
      </w:r>
      <w:r w:rsidRPr="00FD50F6">
        <w:rPr>
          <w:rFonts w:ascii="Times New Roman" w:hAnsi="Times New Roman" w:cs="Times New Roman"/>
          <w:kern w:val="0"/>
          <w:szCs w:val="24"/>
        </w:rPr>
        <w:t>max——</w:t>
      </w:r>
      <w:r w:rsidRPr="00FD50F6">
        <w:rPr>
          <w:rFonts w:ascii="Times New Roman" w:hAnsi="Times New Roman" w:cs="Times New Roman"/>
          <w:kern w:val="0"/>
          <w:szCs w:val="24"/>
        </w:rPr>
        <w:t>最大载客重量，包括乘务员、坐席定员及强度计算用立席乘客的重量（</w:t>
      </w:r>
      <w:r w:rsidRPr="00FD50F6">
        <w:rPr>
          <w:rFonts w:ascii="Times New Roman" w:hAnsi="Times New Roman" w:cs="Times New Roman"/>
          <w:kern w:val="0"/>
          <w:szCs w:val="24"/>
        </w:rPr>
        <w:t>t</w:t>
      </w:r>
      <w:r w:rsidRPr="00FD50F6">
        <w:rPr>
          <w:rFonts w:ascii="Times New Roman" w:hAnsi="Times New Roman" w:cs="Times New Roman"/>
          <w:kern w:val="0"/>
          <w:szCs w:val="24"/>
        </w:rPr>
        <w:t>）</w:t>
      </w:r>
      <w:r w:rsidRPr="00FD50F6">
        <w:rPr>
          <w:rFonts w:ascii="Times New Roman" w:hAnsi="Times New Roman" w:cs="Times New Roman" w:hint="eastAsia"/>
          <w:kern w:val="0"/>
          <w:szCs w:val="24"/>
        </w:rPr>
        <w:t>；</w:t>
      </w:r>
    </w:p>
    <w:p w14:paraId="54137B9A" w14:textId="77777777" w:rsidR="002C6A8F" w:rsidRPr="00FD50F6" w:rsidRDefault="002C6A8F" w:rsidP="001C57B3">
      <w:pPr>
        <w:widowControl/>
        <w:autoSpaceDE w:val="0"/>
        <w:autoSpaceDN w:val="0"/>
        <w:ind w:firstLineChars="200" w:firstLine="480"/>
        <w:rPr>
          <w:rFonts w:ascii="Times New Roman" w:hAnsi="Times New Roman" w:cs="Times New Roman"/>
          <w:kern w:val="0"/>
          <w:szCs w:val="24"/>
        </w:rPr>
      </w:pPr>
      <w:r w:rsidRPr="00FD50F6">
        <w:rPr>
          <w:rFonts w:ascii="Times New Roman" w:hAnsi="Times New Roman" w:cs="Times New Roman"/>
          <w:i/>
          <w:iCs/>
          <w:kern w:val="0"/>
          <w:szCs w:val="24"/>
        </w:rPr>
        <w:t>Wcb</w:t>
      </w:r>
      <w:r w:rsidRPr="00FD50F6">
        <w:rPr>
          <w:rFonts w:ascii="Times New Roman" w:hAnsi="Times New Roman" w:cs="Times New Roman"/>
          <w:kern w:val="0"/>
          <w:szCs w:val="24"/>
        </w:rPr>
        <w:t>——</w:t>
      </w:r>
      <w:r w:rsidRPr="00FD50F6">
        <w:rPr>
          <w:rFonts w:ascii="Times New Roman" w:hAnsi="Times New Roman" w:cs="Times New Roman"/>
          <w:kern w:val="0"/>
          <w:szCs w:val="24"/>
        </w:rPr>
        <w:t>车体结构重量（</w:t>
      </w:r>
      <w:r w:rsidRPr="00FD50F6">
        <w:rPr>
          <w:rFonts w:ascii="Times New Roman" w:hAnsi="Times New Roman" w:cs="Times New Roman"/>
          <w:kern w:val="0"/>
          <w:szCs w:val="24"/>
        </w:rPr>
        <w:t>t</w:t>
      </w:r>
      <w:r w:rsidRPr="00FD50F6">
        <w:rPr>
          <w:rFonts w:ascii="Times New Roman" w:hAnsi="Times New Roman" w:cs="Times New Roman"/>
          <w:kern w:val="0"/>
          <w:szCs w:val="24"/>
        </w:rPr>
        <w:t>）；</w:t>
      </w:r>
    </w:p>
    <w:p w14:paraId="0A79B391" w14:textId="77777777" w:rsidR="002C6A8F" w:rsidRPr="00FD50F6" w:rsidRDefault="002C6A8F" w:rsidP="001C57B3">
      <w:pPr>
        <w:widowControl/>
        <w:autoSpaceDE w:val="0"/>
        <w:autoSpaceDN w:val="0"/>
        <w:ind w:firstLineChars="200" w:firstLine="480"/>
        <w:rPr>
          <w:rFonts w:ascii="Times New Roman" w:hAnsi="Times New Roman" w:cs="Times New Roman"/>
          <w:kern w:val="0"/>
          <w:szCs w:val="24"/>
        </w:rPr>
      </w:pPr>
      <w:r w:rsidRPr="00FD50F6">
        <w:rPr>
          <w:rFonts w:ascii="Times New Roman" w:hAnsi="Times New Roman" w:cs="Times New Roman"/>
          <w:i/>
          <w:iCs/>
          <w:kern w:val="0"/>
          <w:szCs w:val="24"/>
        </w:rPr>
        <w:t>Wte</w:t>
      </w:r>
      <w:r w:rsidRPr="00FD50F6">
        <w:rPr>
          <w:rFonts w:ascii="Times New Roman" w:hAnsi="Times New Roman" w:cs="Times New Roman"/>
          <w:kern w:val="0"/>
          <w:szCs w:val="24"/>
        </w:rPr>
        <w:t>——</w:t>
      </w:r>
      <w:r w:rsidRPr="00FD50F6">
        <w:rPr>
          <w:rFonts w:ascii="Times New Roman" w:hAnsi="Times New Roman" w:cs="Times New Roman"/>
          <w:kern w:val="0"/>
          <w:szCs w:val="24"/>
        </w:rPr>
        <w:t>试验器材重量（</w:t>
      </w:r>
      <w:r w:rsidRPr="00FD50F6">
        <w:rPr>
          <w:rFonts w:ascii="Times New Roman" w:hAnsi="Times New Roman" w:cs="Times New Roman"/>
          <w:kern w:val="0"/>
          <w:szCs w:val="24"/>
        </w:rPr>
        <w:t>t</w:t>
      </w:r>
      <w:r w:rsidRPr="00FD50F6">
        <w:rPr>
          <w:rFonts w:ascii="Times New Roman" w:hAnsi="Times New Roman" w:cs="Times New Roman"/>
          <w:kern w:val="0"/>
          <w:szCs w:val="24"/>
        </w:rPr>
        <w:t>）。</w:t>
      </w:r>
    </w:p>
    <w:p w14:paraId="79EA7560" w14:textId="77777777" w:rsidR="002C6A8F" w:rsidRPr="00FD50F6" w:rsidRDefault="002C6A8F" w:rsidP="002C6A8F">
      <w:pPr>
        <w:pStyle w:val="30"/>
      </w:pPr>
      <w:r w:rsidRPr="00FD50F6">
        <w:t>车体结构设计寿命不应低于</w:t>
      </w:r>
      <w:r w:rsidRPr="00FD50F6">
        <w:t>30</w:t>
      </w:r>
      <w:r w:rsidRPr="00FD50F6">
        <w:t>年。</w:t>
      </w:r>
    </w:p>
    <w:p w14:paraId="32A5CA74" w14:textId="77777777" w:rsidR="002C6A8F" w:rsidRPr="00FD50F6" w:rsidRDefault="002C6A8F" w:rsidP="002C6A8F">
      <w:pPr>
        <w:pStyle w:val="30"/>
      </w:pPr>
      <w:r w:rsidRPr="00FD50F6">
        <w:t>车体的内外墙板之间，以及底架与地板之间，应敷设吸湿性小、膨胀率低、性能稳定的隔热、隔</w:t>
      </w:r>
      <w:r w:rsidRPr="00FD50F6">
        <w:rPr>
          <w:rFonts w:hint="eastAsia"/>
        </w:rPr>
        <w:t>声</w:t>
      </w:r>
      <w:r w:rsidRPr="00FD50F6">
        <w:t>材料。</w:t>
      </w:r>
    </w:p>
    <w:p w14:paraId="1D54913F" w14:textId="77777777" w:rsidR="002C6A8F" w:rsidRPr="00FD50F6" w:rsidRDefault="002C6A8F" w:rsidP="002C6A8F">
      <w:pPr>
        <w:pStyle w:val="30"/>
      </w:pPr>
      <w:r w:rsidRPr="00FD50F6">
        <w:lastRenderedPageBreak/>
        <w:t>车辆应设置架车支座、车体吊装座，并应标注允许架车、起吊的位置。</w:t>
      </w:r>
    </w:p>
    <w:p w14:paraId="5054CDD7" w14:textId="77777777" w:rsidR="002C6A8F" w:rsidRPr="00FD50F6" w:rsidRDefault="002C6A8F" w:rsidP="002C6A8F">
      <w:pPr>
        <w:pStyle w:val="30"/>
      </w:pPr>
      <w:r w:rsidRPr="00FD50F6">
        <w:rPr>
          <w:rFonts w:hint="eastAsia"/>
        </w:rPr>
        <w:t>当列车最高运行速度达到</w:t>
      </w:r>
      <w:r w:rsidRPr="00FD50F6">
        <w:rPr>
          <w:rFonts w:hint="eastAsia"/>
        </w:rPr>
        <w:t>120km/h</w:t>
      </w:r>
      <w:r w:rsidRPr="00FD50F6">
        <w:rPr>
          <w:rFonts w:hint="eastAsia"/>
        </w:rPr>
        <w:t>时，应根据隧道阻塞比确定车辆采用的密闭措施与动态密封指数。</w:t>
      </w:r>
    </w:p>
    <w:p w14:paraId="60699489" w14:textId="77777777" w:rsidR="002C6A8F" w:rsidRPr="00FD50F6" w:rsidRDefault="002C6A8F" w:rsidP="00A65181">
      <w:pPr>
        <w:pStyle w:val="2"/>
      </w:pPr>
      <w:bookmarkStart w:id="184" w:name="_Toc306203658"/>
      <w:bookmarkStart w:id="185" w:name="_Toc320104017"/>
      <w:bookmarkStart w:id="186" w:name="_Toc320115621"/>
      <w:bookmarkStart w:id="187" w:name="_Toc320639529"/>
      <w:bookmarkStart w:id="188" w:name="_Toc344218705"/>
      <w:bookmarkStart w:id="189" w:name="_Toc112830656"/>
      <w:r w:rsidRPr="00FD50F6">
        <w:t>转向架</w:t>
      </w:r>
      <w:bookmarkStart w:id="190" w:name="_Toc320115622"/>
      <w:bookmarkStart w:id="191" w:name="_Toc320639530"/>
      <w:bookmarkStart w:id="192" w:name="_Toc320640174"/>
      <w:bookmarkEnd w:id="184"/>
      <w:bookmarkEnd w:id="185"/>
      <w:bookmarkEnd w:id="186"/>
      <w:bookmarkEnd w:id="187"/>
      <w:bookmarkEnd w:id="188"/>
      <w:bookmarkEnd w:id="189"/>
      <w:bookmarkEnd w:id="190"/>
      <w:bookmarkEnd w:id="191"/>
      <w:bookmarkEnd w:id="192"/>
    </w:p>
    <w:p w14:paraId="4D742708" w14:textId="77777777" w:rsidR="002C6A8F" w:rsidRPr="00FD50F6" w:rsidRDefault="002C6A8F" w:rsidP="002C6A8F">
      <w:pPr>
        <w:pStyle w:val="30"/>
      </w:pPr>
      <w:r w:rsidRPr="00FD50F6">
        <w:t>车辆宜采用无摇枕两系悬挂两轴转向架。</w:t>
      </w:r>
    </w:p>
    <w:p w14:paraId="7C0A40E2" w14:textId="6B21A81E" w:rsidR="002C6A8F" w:rsidRPr="00FD50F6" w:rsidRDefault="002C6A8F" w:rsidP="002C6A8F">
      <w:pPr>
        <w:pStyle w:val="30"/>
      </w:pPr>
      <w:r w:rsidRPr="00FD50F6">
        <w:t>转向架性能、主要尺寸应与车体、线路相互匹配</w:t>
      </w:r>
      <w:r w:rsidR="001C57B3">
        <w:rPr>
          <w:rFonts w:hint="eastAsia"/>
        </w:rPr>
        <w:t>，</w:t>
      </w:r>
      <w:r w:rsidRPr="00FD50F6">
        <w:rPr>
          <w:rFonts w:hint="eastAsia"/>
        </w:rPr>
        <w:t>且</w:t>
      </w:r>
      <w:r w:rsidRPr="00FD50F6">
        <w:t>在允许磨耗限度内，列车</w:t>
      </w:r>
      <w:r w:rsidR="00FB2E68">
        <w:t>应</w:t>
      </w:r>
      <w:r w:rsidRPr="00FD50F6">
        <w:rPr>
          <w:rFonts w:hint="eastAsia"/>
        </w:rPr>
        <w:t>能在</w:t>
      </w:r>
      <w:r w:rsidRPr="00FD50F6">
        <w:t>允许速度</w:t>
      </w:r>
      <w:r w:rsidRPr="00FD50F6">
        <w:rPr>
          <w:rFonts w:hint="eastAsia"/>
        </w:rPr>
        <w:t>范围</w:t>
      </w:r>
      <w:r w:rsidRPr="00FD50F6">
        <w:t>安全平稳运行</w:t>
      </w:r>
      <w:r w:rsidR="001C57B3">
        <w:rPr>
          <w:rFonts w:hint="eastAsia"/>
        </w:rPr>
        <w:t>；</w:t>
      </w:r>
      <w:r w:rsidRPr="00FD50F6">
        <w:t>即使在悬挂或减振系统损坏时，也应确保车辆在线路上安全地运行到终点。</w:t>
      </w:r>
    </w:p>
    <w:p w14:paraId="30681C48" w14:textId="77777777" w:rsidR="002C6A8F" w:rsidRPr="00FD50F6" w:rsidRDefault="002C6A8F" w:rsidP="002C6A8F">
      <w:pPr>
        <w:pStyle w:val="30"/>
      </w:pPr>
      <w:r w:rsidRPr="00FD50F6">
        <w:rPr>
          <w:rFonts w:hint="eastAsia"/>
        </w:rPr>
        <w:t>转向架对于运行中可能脱落并危及车辆运行安全的装置，其组装紧固件应有可靠的防松措施。</w:t>
      </w:r>
    </w:p>
    <w:p w14:paraId="2511CB80" w14:textId="666CA7FB" w:rsidR="002C6A8F" w:rsidRPr="00FD50F6" w:rsidRDefault="002C6A8F" w:rsidP="002C6A8F">
      <w:pPr>
        <w:pStyle w:val="30"/>
      </w:pPr>
      <w:r w:rsidRPr="00FD50F6">
        <w:t>转向架的动力学性能应符合现行国家标准《铁道车辆动力学性能评定和试验鉴定规范》</w:t>
      </w:r>
      <w:r w:rsidRPr="00FD50F6">
        <w:t>GB 5599</w:t>
      </w:r>
      <w:r w:rsidRPr="00FD50F6">
        <w:t>的规定。</w:t>
      </w:r>
    </w:p>
    <w:p w14:paraId="36B8C312" w14:textId="373EF9AA" w:rsidR="002C6A8F" w:rsidRPr="00FD50F6" w:rsidRDefault="002C6A8F" w:rsidP="002C6A8F">
      <w:pPr>
        <w:pStyle w:val="30"/>
      </w:pPr>
      <w:r w:rsidRPr="00FD50F6">
        <w:rPr>
          <w:rFonts w:hint="eastAsia"/>
        </w:rPr>
        <w:t>当</w:t>
      </w:r>
      <w:r w:rsidRPr="00FD50F6">
        <w:t>车轮采用整体碾钢轮时，其踏面形状应符合现行行业标准《机车车辆车轮轮缘踏面外形》</w:t>
      </w:r>
      <w:r w:rsidRPr="00FD50F6">
        <w:t>TB</w:t>
      </w:r>
      <w:r w:rsidRPr="00FD50F6">
        <w:t>／</w:t>
      </w:r>
      <w:r w:rsidRPr="00FD50F6">
        <w:t>T 449</w:t>
      </w:r>
      <w:r w:rsidRPr="00FD50F6">
        <w:t>的规定。</w:t>
      </w:r>
    </w:p>
    <w:p w14:paraId="69204DA6" w14:textId="77777777" w:rsidR="002C6A8F" w:rsidRPr="00FD50F6" w:rsidRDefault="002C6A8F" w:rsidP="002C6A8F">
      <w:pPr>
        <w:pStyle w:val="30"/>
      </w:pPr>
      <w:r w:rsidRPr="00FD50F6">
        <w:rPr>
          <w:rFonts w:hint="eastAsia"/>
        </w:rPr>
        <w:t>轴箱轴承、齿轮箱轴承宜设置温度报警装置。</w:t>
      </w:r>
    </w:p>
    <w:p w14:paraId="174FB76B" w14:textId="77777777" w:rsidR="002C6A8F" w:rsidRPr="00FD50F6" w:rsidRDefault="002C6A8F" w:rsidP="002C6A8F">
      <w:pPr>
        <w:pStyle w:val="30"/>
      </w:pPr>
      <w:r w:rsidRPr="00FD50F6">
        <w:rPr>
          <w:rFonts w:hint="eastAsia"/>
        </w:rPr>
        <w:t>转向架及其部件在相同功能的情况下应具有互换性。</w:t>
      </w:r>
    </w:p>
    <w:p w14:paraId="683C3CBD" w14:textId="77777777" w:rsidR="002C6A8F" w:rsidRPr="00FD50F6" w:rsidRDefault="002C6A8F" w:rsidP="002C6A8F">
      <w:pPr>
        <w:pStyle w:val="30"/>
      </w:pPr>
      <w:r w:rsidRPr="00FD50F6">
        <w:rPr>
          <w:rFonts w:hint="eastAsia"/>
        </w:rPr>
        <w:t>全自动运行车辆宜设置走行部在线检测装置。</w:t>
      </w:r>
    </w:p>
    <w:p w14:paraId="69F319B1" w14:textId="77777777" w:rsidR="002C6A8F" w:rsidRPr="00FD50F6" w:rsidRDefault="002C6A8F" w:rsidP="002C6A8F">
      <w:pPr>
        <w:pStyle w:val="30"/>
      </w:pPr>
      <w:r w:rsidRPr="00FD50F6">
        <w:t>转向架构架设计寿命不应低于</w:t>
      </w:r>
      <w:r w:rsidRPr="00FD50F6">
        <w:t>30</w:t>
      </w:r>
      <w:r w:rsidRPr="00FD50F6">
        <w:t>年。</w:t>
      </w:r>
    </w:p>
    <w:p w14:paraId="2E2D7EE2" w14:textId="77777777" w:rsidR="002C6A8F" w:rsidRPr="00FD50F6" w:rsidRDefault="002C6A8F" w:rsidP="00A65181">
      <w:pPr>
        <w:pStyle w:val="2"/>
      </w:pPr>
      <w:bookmarkStart w:id="193" w:name="_Toc306203659"/>
      <w:bookmarkStart w:id="194" w:name="_Toc320104019"/>
      <w:bookmarkStart w:id="195" w:name="_Toc320115623"/>
      <w:bookmarkStart w:id="196" w:name="_Toc320639531"/>
      <w:bookmarkStart w:id="197" w:name="_Toc344218706"/>
      <w:bookmarkStart w:id="198" w:name="_Toc112830657"/>
      <w:r w:rsidRPr="00FD50F6">
        <w:t>电气系统</w:t>
      </w:r>
      <w:bookmarkStart w:id="199" w:name="_Toc320115624"/>
      <w:bookmarkStart w:id="200" w:name="_Toc320639532"/>
      <w:bookmarkStart w:id="201" w:name="_Toc320640176"/>
      <w:bookmarkEnd w:id="193"/>
      <w:bookmarkEnd w:id="194"/>
      <w:bookmarkEnd w:id="195"/>
      <w:bookmarkEnd w:id="196"/>
      <w:bookmarkEnd w:id="197"/>
      <w:bookmarkEnd w:id="198"/>
      <w:bookmarkEnd w:id="199"/>
      <w:bookmarkEnd w:id="200"/>
      <w:bookmarkEnd w:id="201"/>
    </w:p>
    <w:p w14:paraId="226966F1" w14:textId="0DDC69CA" w:rsidR="002C6A8F" w:rsidRPr="00FD50F6" w:rsidRDefault="002C6A8F" w:rsidP="002C6A8F">
      <w:pPr>
        <w:pStyle w:val="30"/>
      </w:pPr>
      <w:r w:rsidRPr="00FD50F6">
        <w:t>电传动系统宜采用变频调压的交流传动系统；牵引电机宜采用矢量控制或直接转矩控制方式。</w:t>
      </w:r>
    </w:p>
    <w:p w14:paraId="409EDFED" w14:textId="77777777" w:rsidR="002C6A8F" w:rsidRPr="00FD50F6" w:rsidRDefault="002C6A8F" w:rsidP="002C6A8F">
      <w:pPr>
        <w:pStyle w:val="30"/>
      </w:pPr>
      <w:r w:rsidRPr="00FD50F6">
        <w:t>电传动系统应具有牵引和再生制动的基本功能。</w:t>
      </w:r>
    </w:p>
    <w:p w14:paraId="2A015FAA" w14:textId="27B8C00A" w:rsidR="002C6A8F" w:rsidRPr="00FD50F6" w:rsidRDefault="002C6A8F" w:rsidP="002C6A8F">
      <w:pPr>
        <w:pStyle w:val="30"/>
      </w:pPr>
      <w:r w:rsidRPr="00FD50F6">
        <w:t>电力变流器应符合现行国家标准《轨道交通机车车辆用电力变流器》</w:t>
      </w:r>
      <w:r w:rsidRPr="00FD50F6">
        <w:t>GB/T 25122.1</w:t>
      </w:r>
      <w:r w:rsidRPr="00FD50F6">
        <w:t>的规定，牵引电机应符合现行国家标准《</w:t>
      </w:r>
      <w:r w:rsidRPr="00FD50F6">
        <w:rPr>
          <w:rFonts w:hint="eastAsia"/>
        </w:rPr>
        <w:t>电力牵引轨道</w:t>
      </w:r>
      <w:r w:rsidRPr="00FD50F6">
        <w:t>机车车辆</w:t>
      </w:r>
      <w:r w:rsidRPr="00FD50F6">
        <w:rPr>
          <w:rFonts w:hint="eastAsia"/>
        </w:rPr>
        <w:t>和公路车辆用旋转电机</w:t>
      </w:r>
      <w:r w:rsidRPr="00FD50F6">
        <w:t>》</w:t>
      </w:r>
      <w:r w:rsidRPr="00FD50F6">
        <w:rPr>
          <w:rFonts w:hint="eastAsia"/>
        </w:rPr>
        <w:t>G</w:t>
      </w:r>
      <w:r w:rsidRPr="00FD50F6">
        <w:t>B</w:t>
      </w:r>
      <w:r w:rsidRPr="00FD50F6">
        <w:t>／</w:t>
      </w:r>
      <w:r w:rsidRPr="00FD50F6">
        <w:t>T</w:t>
      </w:r>
      <w:r w:rsidRPr="00FD50F6">
        <w:rPr>
          <w:rFonts w:hint="eastAsia"/>
        </w:rPr>
        <w:t xml:space="preserve"> 25123</w:t>
      </w:r>
      <w:r w:rsidRPr="00FD50F6">
        <w:t>的规定，牵引电器应符合现行国家标准《铁路应用</w:t>
      </w:r>
      <w:r w:rsidRPr="00FD50F6">
        <w:t> </w:t>
      </w:r>
      <w:r w:rsidRPr="00FD50F6">
        <w:t>机车车辆电气设备</w:t>
      </w:r>
      <w:r w:rsidRPr="00FD50F6">
        <w:t> </w:t>
      </w:r>
      <w:r w:rsidRPr="00FD50F6">
        <w:t>》</w:t>
      </w:r>
      <w:r w:rsidRPr="00FD50F6">
        <w:rPr>
          <w:rFonts w:hint="eastAsia"/>
        </w:rPr>
        <w:t>G</w:t>
      </w:r>
      <w:r w:rsidRPr="00FD50F6">
        <w:t>B/T </w:t>
      </w:r>
      <w:r w:rsidRPr="00FD50F6">
        <w:rPr>
          <w:rFonts w:hint="eastAsia"/>
        </w:rPr>
        <w:t>21413</w:t>
      </w:r>
      <w:r w:rsidRPr="00FD50F6">
        <w:t>的规定，电子设备应符合现行国家标准《</w:t>
      </w:r>
      <w:r w:rsidRPr="00FD50F6">
        <w:rPr>
          <w:rFonts w:hint="eastAsia"/>
        </w:rPr>
        <w:t>轨道交通</w:t>
      </w:r>
      <w:r w:rsidRPr="00FD50F6">
        <w:t>机车车辆电子装置》</w:t>
      </w:r>
      <w:r w:rsidRPr="00FD50F6">
        <w:rPr>
          <w:rFonts w:hint="eastAsia"/>
        </w:rPr>
        <w:t>G</w:t>
      </w:r>
      <w:r w:rsidRPr="00FD50F6">
        <w:t>B</w:t>
      </w:r>
      <w:r w:rsidRPr="00FD50F6">
        <w:t>／</w:t>
      </w:r>
      <w:r w:rsidRPr="00FD50F6">
        <w:t>T </w:t>
      </w:r>
      <w:r w:rsidRPr="00FD50F6">
        <w:rPr>
          <w:rFonts w:hint="eastAsia"/>
        </w:rPr>
        <w:t>25119</w:t>
      </w:r>
      <w:r w:rsidRPr="00FD50F6">
        <w:t>的规定，电气设备的电磁兼容性</w:t>
      </w:r>
      <w:r w:rsidRPr="00FD50F6">
        <w:lastRenderedPageBreak/>
        <w:t>应符合现行</w:t>
      </w:r>
      <w:r w:rsidRPr="00FD50F6">
        <w:rPr>
          <w:rFonts w:hint="eastAsia"/>
        </w:rPr>
        <w:t>国家</w:t>
      </w:r>
      <w:r w:rsidRPr="00FD50F6">
        <w:t>标准</w:t>
      </w:r>
      <w:r w:rsidRPr="00FD50F6">
        <w:rPr>
          <w:rFonts w:hint="eastAsia"/>
        </w:rPr>
        <w:t>《</w:t>
      </w:r>
      <w:r w:rsidRPr="00FD50F6">
        <w:t>轨道交通电磁兼容</w:t>
      </w:r>
      <w:r w:rsidRPr="00FD50F6">
        <w:rPr>
          <w:rFonts w:hint="eastAsia"/>
        </w:rPr>
        <w:t>》</w:t>
      </w:r>
      <w:r w:rsidRPr="00FD50F6">
        <w:t>GB/T 24338</w:t>
      </w:r>
      <w:r w:rsidRPr="00FD50F6">
        <w:t>的规定。</w:t>
      </w:r>
    </w:p>
    <w:p w14:paraId="11BFCB10" w14:textId="58DB6BF4" w:rsidR="002C6A8F" w:rsidRPr="00FD50F6" w:rsidRDefault="002C6A8F" w:rsidP="002C6A8F">
      <w:pPr>
        <w:pStyle w:val="30"/>
      </w:pPr>
      <w:r w:rsidRPr="00FD50F6">
        <w:t>电传动系统应能利用轮轨粘着条件和车辆载重量自动调整牵引力或电制动力的大小，并应具有防空转、防滑行控制和防冲动控制。</w:t>
      </w:r>
    </w:p>
    <w:p w14:paraId="05DDD12D" w14:textId="69D83C8F" w:rsidR="002C6A8F" w:rsidRPr="00FD50F6" w:rsidRDefault="002C6A8F" w:rsidP="002C6A8F">
      <w:pPr>
        <w:pStyle w:val="30"/>
      </w:pPr>
      <w:r w:rsidRPr="00FD50F6">
        <w:t>当多台电动机由一个变流器并联供电时，其定额功率应计及轮径差与电动机特性差异引起的负荷分配不均及在高粘着系数下运行时轴重转移的影响。</w:t>
      </w:r>
    </w:p>
    <w:p w14:paraId="29AE4CD8" w14:textId="77777777" w:rsidR="002C6A8F" w:rsidRPr="00FD50F6" w:rsidRDefault="002C6A8F" w:rsidP="002C6A8F">
      <w:pPr>
        <w:pStyle w:val="30"/>
      </w:pPr>
      <w:r w:rsidRPr="00FD50F6">
        <w:rPr>
          <w:rFonts w:hint="eastAsia"/>
        </w:rPr>
        <w:t>当</w:t>
      </w:r>
      <w:r w:rsidRPr="00FD50F6">
        <w:t>受流器或受电弓受流时，应对受电器或供电设施均无损伤或异常磨耗。受电弓的静态压力应为</w:t>
      </w:r>
      <w:r w:rsidRPr="00FD50F6">
        <w:t>70 N</w:t>
      </w:r>
      <w:r w:rsidRPr="00FD50F6">
        <w:t>～</w:t>
      </w:r>
      <w:r w:rsidRPr="00FD50F6">
        <w:t>140 N</w:t>
      </w:r>
      <w:r w:rsidRPr="00FD50F6">
        <w:t>，受流器的静态压力应为</w:t>
      </w:r>
      <w:r w:rsidRPr="00FD50F6">
        <w:t>1</w:t>
      </w:r>
      <w:r w:rsidRPr="00FD50F6">
        <w:rPr>
          <w:rFonts w:hint="eastAsia"/>
        </w:rPr>
        <w:t>05</w:t>
      </w:r>
      <w:r w:rsidRPr="00FD50F6">
        <w:t xml:space="preserve"> N</w:t>
      </w:r>
      <w:r w:rsidRPr="00FD50F6">
        <w:t>～</w:t>
      </w:r>
      <w:r w:rsidRPr="00FD50F6">
        <w:t>1</w:t>
      </w:r>
      <w:r w:rsidRPr="00FD50F6">
        <w:rPr>
          <w:rFonts w:hint="eastAsia"/>
        </w:rPr>
        <w:t>35</w:t>
      </w:r>
      <w:r w:rsidRPr="00FD50F6">
        <w:t xml:space="preserve"> N</w:t>
      </w:r>
      <w:r w:rsidRPr="00FD50F6">
        <w:t>。</w:t>
      </w:r>
    </w:p>
    <w:p w14:paraId="1EC6B55D" w14:textId="77777777" w:rsidR="002C6A8F" w:rsidRPr="00FD50F6" w:rsidRDefault="002C6A8F" w:rsidP="002C6A8F">
      <w:pPr>
        <w:pStyle w:val="30"/>
      </w:pPr>
      <w:r w:rsidRPr="00FD50F6">
        <w:t>列车应设置避雷装置。</w:t>
      </w:r>
    </w:p>
    <w:p w14:paraId="482881C8" w14:textId="4AA5768C" w:rsidR="002C6A8F" w:rsidRPr="00FD50F6" w:rsidRDefault="002C6A8F" w:rsidP="002C6A8F">
      <w:pPr>
        <w:pStyle w:val="30"/>
      </w:pPr>
      <w:r w:rsidRPr="00FD50F6">
        <w:t>辅助电源系统应由辅助变流器、蓄电池等组成。辅助电源的交流输出电压波形应为正弦波，波形畸变率不应大于</w:t>
      </w:r>
      <w:r w:rsidRPr="00FD50F6">
        <w:t>5%</w:t>
      </w:r>
      <w:r w:rsidRPr="00FD50F6">
        <w:t>，电压波动范围</w:t>
      </w:r>
      <w:r w:rsidRPr="00FD50F6">
        <w:rPr>
          <w:rFonts w:hint="eastAsia"/>
        </w:rPr>
        <w:t>应为</w:t>
      </w:r>
      <w:r w:rsidRPr="00FD50F6">
        <w:t>±5%</w:t>
      </w:r>
      <w:r w:rsidRPr="00FD50F6">
        <w:t>，相间不平衡系数不应大于</w:t>
      </w:r>
      <w:r w:rsidRPr="00FD50F6">
        <w:t>1%</w:t>
      </w:r>
      <w:r w:rsidRPr="00FD50F6">
        <w:t>，频率应为</w:t>
      </w:r>
      <w:r w:rsidRPr="00FD50F6">
        <w:t>50Hz±</w:t>
      </w:r>
      <w:r w:rsidRPr="00FD50F6">
        <w:rPr>
          <w:rFonts w:hint="eastAsia"/>
        </w:rPr>
        <w:t>1Hz</w:t>
      </w:r>
      <w:r w:rsidRPr="00FD50F6">
        <w:t>。辅助变流器应符合现行国家标准《轨道交通机车车辆用电力变流器》</w:t>
      </w:r>
      <w:r w:rsidRPr="00FD50F6">
        <w:t>GB/T 25122.1</w:t>
      </w:r>
      <w:r w:rsidRPr="00FD50F6">
        <w:t>的规定，其容量应能满足车辆各种工况下的使用需求。</w:t>
      </w:r>
    </w:p>
    <w:p w14:paraId="5507BD0E" w14:textId="596A9DB1" w:rsidR="002C6A8F" w:rsidRPr="00FD50F6" w:rsidRDefault="002C6A8F" w:rsidP="002C6A8F">
      <w:pPr>
        <w:pStyle w:val="30"/>
      </w:pPr>
      <w:r w:rsidRPr="00FD50F6">
        <w:t>由浮充电蓄电池供电的设备标称电压应选用</w:t>
      </w:r>
      <w:r w:rsidRPr="00FD50F6">
        <w:t>110V</w:t>
      </w:r>
      <w:r w:rsidRPr="00FD50F6">
        <w:t>，额定工作电压应符合现行</w:t>
      </w:r>
      <w:r w:rsidRPr="00FD50F6">
        <w:rPr>
          <w:rFonts w:hint="eastAsia"/>
        </w:rPr>
        <w:t>国家</w:t>
      </w:r>
      <w:r w:rsidRPr="00FD50F6">
        <w:t>标准《</w:t>
      </w:r>
      <w:r w:rsidRPr="00FD50F6">
        <w:rPr>
          <w:rFonts w:hint="eastAsia"/>
        </w:rPr>
        <w:t>轨道交通</w:t>
      </w:r>
      <w:r w:rsidRPr="00FD50F6">
        <w:rPr>
          <w:rFonts w:hint="eastAsia"/>
        </w:rPr>
        <w:t xml:space="preserve"> </w:t>
      </w:r>
      <w:r w:rsidRPr="00FD50F6">
        <w:rPr>
          <w:rFonts w:hint="eastAsia"/>
        </w:rPr>
        <w:t>机车车辆电气设备</w:t>
      </w:r>
      <w:r w:rsidRPr="00FD50F6">
        <w:rPr>
          <w:rFonts w:hint="eastAsia"/>
        </w:rPr>
        <w:t xml:space="preserve"> </w:t>
      </w:r>
      <w:r w:rsidRPr="00FD50F6">
        <w:rPr>
          <w:rFonts w:hint="eastAsia"/>
        </w:rPr>
        <w:t>第</w:t>
      </w:r>
      <w:r w:rsidRPr="00FD50F6">
        <w:rPr>
          <w:rFonts w:hint="eastAsia"/>
        </w:rPr>
        <w:t>1</w:t>
      </w:r>
      <w:r w:rsidRPr="00FD50F6">
        <w:rPr>
          <w:rFonts w:hint="eastAsia"/>
        </w:rPr>
        <w:t>部分</w:t>
      </w:r>
      <w:r w:rsidRPr="00FD50F6">
        <w:rPr>
          <w:rFonts w:hint="eastAsia"/>
        </w:rPr>
        <w:t xml:space="preserve"> </w:t>
      </w:r>
      <w:r w:rsidRPr="00FD50F6">
        <w:rPr>
          <w:rFonts w:hint="eastAsia"/>
        </w:rPr>
        <w:t>一般使用条件和通用规则</w:t>
      </w:r>
      <w:r w:rsidRPr="00FD50F6">
        <w:t>》</w:t>
      </w:r>
      <w:r w:rsidRPr="00FD50F6">
        <w:t>GB/T 21413.1</w:t>
      </w:r>
      <w:r w:rsidRPr="00FD50F6">
        <w:t>的规定。蓄电池容量应能满足车辆在故障及紧急情况下车门控制、应急通风、应急照明、外部照明、车载安全设备、广播、通信等系统不低于</w:t>
      </w:r>
      <w:r w:rsidRPr="00FD50F6">
        <w:t>45min</w:t>
      </w:r>
      <w:r w:rsidRPr="00FD50F6">
        <w:t>及</w:t>
      </w:r>
      <w:r w:rsidRPr="00FD50F6">
        <w:t>45min</w:t>
      </w:r>
      <w:r w:rsidRPr="00FD50F6">
        <w:t>后列车车门能开关门一次的要求。蓄电池箱应采用二级绝缘安装。蓄电池箱上应安装正极和负极短路保护用空气断路器</w:t>
      </w:r>
      <w:r w:rsidRPr="00FD50F6">
        <w:rPr>
          <w:rFonts w:hint="eastAsia"/>
        </w:rPr>
        <w:t>或熔断器</w:t>
      </w:r>
      <w:r w:rsidRPr="00FD50F6">
        <w:t>。</w:t>
      </w:r>
      <w:bookmarkStart w:id="202" w:name="_Toc320639875"/>
      <w:bookmarkStart w:id="203" w:name="_Toc320639876"/>
      <w:bookmarkEnd w:id="202"/>
      <w:bookmarkEnd w:id="203"/>
    </w:p>
    <w:p w14:paraId="24ECB567" w14:textId="77777777" w:rsidR="002C6A8F" w:rsidRPr="00FD50F6" w:rsidRDefault="002C6A8F" w:rsidP="00A65181">
      <w:pPr>
        <w:pStyle w:val="2"/>
      </w:pPr>
      <w:bookmarkStart w:id="204" w:name="_Toc306203660"/>
      <w:bookmarkStart w:id="205" w:name="_Toc320104021"/>
      <w:bookmarkStart w:id="206" w:name="_Toc320115625"/>
      <w:bookmarkStart w:id="207" w:name="_Toc320639533"/>
      <w:bookmarkStart w:id="208" w:name="_Toc344218707"/>
      <w:bookmarkStart w:id="209" w:name="_Toc112830658"/>
      <w:r w:rsidRPr="00FD50F6">
        <w:t>制动系统</w:t>
      </w:r>
      <w:bookmarkStart w:id="210" w:name="_Toc320115626"/>
      <w:bookmarkStart w:id="211" w:name="_Toc320639534"/>
      <w:bookmarkStart w:id="212" w:name="_Toc320640178"/>
      <w:bookmarkEnd w:id="204"/>
      <w:bookmarkEnd w:id="205"/>
      <w:bookmarkEnd w:id="206"/>
      <w:bookmarkEnd w:id="207"/>
      <w:bookmarkEnd w:id="208"/>
      <w:bookmarkEnd w:id="209"/>
      <w:bookmarkEnd w:id="210"/>
      <w:bookmarkEnd w:id="211"/>
      <w:bookmarkEnd w:id="212"/>
    </w:p>
    <w:p w14:paraId="27F7F8CD" w14:textId="77777777" w:rsidR="002C6A8F" w:rsidRPr="00FD50F6" w:rsidRDefault="002C6A8F" w:rsidP="002C6A8F">
      <w:pPr>
        <w:pStyle w:val="30"/>
      </w:pPr>
      <w:r w:rsidRPr="00FD50F6">
        <w:t>列车空气制动系统应由风源系统、</w:t>
      </w:r>
      <w:r w:rsidRPr="00FD50F6">
        <w:rPr>
          <w:rFonts w:hint="eastAsia"/>
        </w:rPr>
        <w:t>制动控制装置、基础制动装置、辅助制动装置</w:t>
      </w:r>
      <w:r w:rsidRPr="00FD50F6">
        <w:t>组成，并应包括指令装置、电气及空气控制装置、执行操作装置、自诊断装置等。</w:t>
      </w:r>
    </w:p>
    <w:p w14:paraId="6F1095C7" w14:textId="77777777" w:rsidR="002C6A8F" w:rsidRPr="00FD50F6" w:rsidRDefault="002C6A8F" w:rsidP="002C6A8F">
      <w:pPr>
        <w:pStyle w:val="30"/>
      </w:pPr>
      <w:r w:rsidRPr="00FD50F6">
        <w:t>制动系统应采用微机控制，应能根据载荷大小自动调整制动力大小。</w:t>
      </w:r>
    </w:p>
    <w:p w14:paraId="6A4EF42B" w14:textId="3C212861" w:rsidR="002C6A8F" w:rsidRPr="00FD50F6" w:rsidRDefault="002C6A8F" w:rsidP="002C6A8F">
      <w:pPr>
        <w:pStyle w:val="30"/>
      </w:pPr>
      <w:r w:rsidRPr="00FD50F6">
        <w:t>常用制动应使用电制动，并应充分利用电制动功能。电制动与空气制动应能协调配合，并应具有冲击率限制。当电制动力不足时，空气制动应按总制动力的要求补充不足的制动力。空气制动应具有相对独立的制动能力。</w:t>
      </w:r>
    </w:p>
    <w:p w14:paraId="71F9FFA4" w14:textId="77777777" w:rsidR="002C6A8F" w:rsidRPr="00FD50F6" w:rsidRDefault="002C6A8F" w:rsidP="002C6A8F">
      <w:pPr>
        <w:pStyle w:val="30"/>
      </w:pPr>
      <w:r w:rsidRPr="00FD50F6">
        <w:t>列车在实施再生制动时，制动能量应能被其他列车吸收，多余能量应由再</w:t>
      </w:r>
      <w:r w:rsidRPr="00FD50F6">
        <w:lastRenderedPageBreak/>
        <w:t>生制动能量吸收装置吸收。再生制动能量吸收装置宜设于变电所。</w:t>
      </w:r>
    </w:p>
    <w:p w14:paraId="1ED1379B" w14:textId="04BAAFAF" w:rsidR="002C6A8F" w:rsidRPr="00FD50F6" w:rsidRDefault="002C6A8F" w:rsidP="002C6A8F">
      <w:pPr>
        <w:pStyle w:val="30"/>
      </w:pPr>
      <w:r w:rsidRPr="00FD50F6">
        <w:t>紧急制动应为纯空气制动。列车出现意外分离等严重故障影响列车安全时，应能立刻自动实施紧急制动。</w:t>
      </w:r>
    </w:p>
    <w:p w14:paraId="5B4F070E" w14:textId="3EA20F50" w:rsidR="002C6A8F" w:rsidRPr="00FD50F6" w:rsidRDefault="002C6A8F" w:rsidP="002C6A8F">
      <w:pPr>
        <w:pStyle w:val="30"/>
      </w:pPr>
      <w:r w:rsidRPr="00FD50F6">
        <w:rPr>
          <w:rFonts w:hint="eastAsia"/>
        </w:rPr>
        <w:t>在线路最大坡道、列车在最大载荷情况下施加停放制动时，不得出现溜车现象</w:t>
      </w:r>
      <w:r w:rsidRPr="00FD50F6">
        <w:t>。</w:t>
      </w:r>
    </w:p>
    <w:p w14:paraId="01CE8473" w14:textId="77777777" w:rsidR="002C6A8F" w:rsidRPr="00FD50F6" w:rsidRDefault="002C6A8F" w:rsidP="002C6A8F">
      <w:pPr>
        <w:pStyle w:val="30"/>
      </w:pPr>
      <w:r w:rsidRPr="00FD50F6">
        <w:t>基础制动宜采用单元式踏面制动装置或盘形制动装置。</w:t>
      </w:r>
    </w:p>
    <w:p w14:paraId="6ABBD384" w14:textId="5F30E39E" w:rsidR="002C6A8F" w:rsidRPr="00FD50F6" w:rsidRDefault="002C6A8F" w:rsidP="002C6A8F">
      <w:pPr>
        <w:pStyle w:val="30"/>
      </w:pPr>
      <w:r w:rsidRPr="00FD50F6">
        <w:t>列车应具有两套或以上独立的电动空气压缩机组。当一台机组失效时，其余空气压缩机组的供气量、供气质量和总风缸容积，应能满足整列车的供风要求，同时应维持空气压缩机开动占空比。空气压缩机组应设有干燥器和自动排水装置</w:t>
      </w:r>
      <w:r w:rsidRPr="00FD50F6">
        <w:rPr>
          <w:rFonts w:hint="eastAsia"/>
        </w:rPr>
        <w:t>及</w:t>
      </w:r>
      <w:r w:rsidRPr="00FD50F6">
        <w:t>压力调节器和安全阀。</w:t>
      </w:r>
    </w:p>
    <w:p w14:paraId="36DD31E0" w14:textId="77777777" w:rsidR="002C6A8F" w:rsidRPr="00FD50F6" w:rsidRDefault="002C6A8F" w:rsidP="00A65181">
      <w:pPr>
        <w:pStyle w:val="2"/>
      </w:pPr>
      <w:bookmarkStart w:id="213" w:name="_Toc112830659"/>
      <w:bookmarkStart w:id="214" w:name="_Toc377049699"/>
      <w:bookmarkStart w:id="215" w:name="_Toc112830660"/>
      <w:bookmarkStart w:id="216" w:name="_Toc306203661"/>
      <w:bookmarkStart w:id="217" w:name="_Toc320115627"/>
      <w:bookmarkStart w:id="218" w:name="_Toc320639535"/>
      <w:bookmarkStart w:id="219" w:name="_Toc344218708"/>
      <w:bookmarkEnd w:id="213"/>
      <w:r w:rsidRPr="00FD50F6">
        <w:t>控制和诊断系统</w:t>
      </w:r>
      <w:bookmarkEnd w:id="214"/>
      <w:bookmarkEnd w:id="215"/>
    </w:p>
    <w:p w14:paraId="5ECF2196" w14:textId="77777777" w:rsidR="002C6A8F" w:rsidRPr="00FD50F6" w:rsidRDefault="002C6A8F" w:rsidP="002C6A8F">
      <w:pPr>
        <w:pStyle w:val="30"/>
      </w:pPr>
      <w:r w:rsidRPr="00FD50F6">
        <w:t>车辆宜采用网络控制系统，</w:t>
      </w:r>
      <w:bookmarkStart w:id="220" w:name="_Hlk45703199"/>
      <w:r w:rsidRPr="00FD50F6">
        <w:t>与运行及安全有关</w:t>
      </w:r>
      <w:bookmarkEnd w:id="220"/>
      <w:r w:rsidRPr="00FD50F6">
        <w:t>的控制应有硬线冗余措施。关键部件、显示信息也应有冗余。</w:t>
      </w:r>
    </w:p>
    <w:p w14:paraId="4B484EB5" w14:textId="2A0E890C" w:rsidR="002C6A8F" w:rsidRPr="00FD50F6" w:rsidRDefault="002C6A8F" w:rsidP="002C6A8F">
      <w:pPr>
        <w:pStyle w:val="30"/>
      </w:pPr>
      <w:r w:rsidRPr="00FD50F6">
        <w:t>车辆诊断系统应具有</w:t>
      </w:r>
      <w:r w:rsidRPr="00FD50F6">
        <w:rPr>
          <w:rFonts w:hint="eastAsia"/>
        </w:rPr>
        <w:t>对车辆电子控制系统的诊断功能，包括状态信息接收、故障状态诊断等功能，并可</w:t>
      </w:r>
      <w:r w:rsidR="00FB2E68">
        <w:rPr>
          <w:rFonts w:hint="eastAsia"/>
        </w:rPr>
        <w:t>将</w:t>
      </w:r>
      <w:r w:rsidRPr="00FD50F6">
        <w:rPr>
          <w:rFonts w:hint="eastAsia"/>
        </w:rPr>
        <w:t>诊断结果储存</w:t>
      </w:r>
      <w:r w:rsidR="00FB2E68">
        <w:rPr>
          <w:rFonts w:hint="eastAsia"/>
        </w:rPr>
        <w:t>、</w:t>
      </w:r>
      <w:r w:rsidRPr="00FD50F6">
        <w:t>在司机室的显示屏上显示与报警</w:t>
      </w:r>
      <w:r w:rsidRPr="00FD50F6">
        <w:rPr>
          <w:rFonts w:hint="eastAsia"/>
        </w:rPr>
        <w:t>，全自动运行车辆应具备车辆诊断数据实时上传条件。</w:t>
      </w:r>
    </w:p>
    <w:p w14:paraId="30006014" w14:textId="2681E328" w:rsidR="002C6A8F" w:rsidRPr="00FD50F6" w:rsidRDefault="002C6A8F" w:rsidP="002C6A8F">
      <w:pPr>
        <w:pStyle w:val="30"/>
      </w:pPr>
      <w:r w:rsidRPr="00FD50F6">
        <w:rPr>
          <w:rFonts w:hint="eastAsia"/>
        </w:rPr>
        <w:t>车辆诊断系统应</w:t>
      </w:r>
      <w:r w:rsidR="0071133B">
        <w:rPr>
          <w:rFonts w:hint="eastAsia"/>
        </w:rPr>
        <w:t>具备</w:t>
      </w:r>
      <w:r w:rsidR="0071133B" w:rsidRPr="00FD50F6">
        <w:rPr>
          <w:rFonts w:hint="eastAsia"/>
        </w:rPr>
        <w:t>车辆运行及安全相关数据进行存储及分析</w:t>
      </w:r>
      <w:r w:rsidR="0071133B">
        <w:rPr>
          <w:rFonts w:hint="eastAsia"/>
        </w:rPr>
        <w:t>的</w:t>
      </w:r>
      <w:r w:rsidR="0071133B" w:rsidRPr="00FD50F6">
        <w:rPr>
          <w:rFonts w:hint="eastAsia"/>
        </w:rPr>
        <w:t>功能</w:t>
      </w:r>
      <w:r w:rsidRPr="00FD50F6">
        <w:rPr>
          <w:rFonts w:hint="eastAsia"/>
        </w:rPr>
        <w:t>，全自动运行车辆应具备数据实时上传功能。</w:t>
      </w:r>
    </w:p>
    <w:p w14:paraId="1972AF71" w14:textId="77777777" w:rsidR="002C6A8F" w:rsidRPr="00FD50F6" w:rsidRDefault="002C6A8F" w:rsidP="00A65181">
      <w:pPr>
        <w:pStyle w:val="2"/>
      </w:pPr>
      <w:bookmarkStart w:id="221" w:name="_Toc377049700"/>
      <w:bookmarkStart w:id="222" w:name="_Toc112830661"/>
      <w:r w:rsidRPr="00FD50F6">
        <w:t>通</w:t>
      </w:r>
      <w:r w:rsidRPr="00FD50F6">
        <w:rPr>
          <w:rFonts w:hint="eastAsia"/>
        </w:rPr>
        <w:t>信</w:t>
      </w:r>
      <w:r w:rsidRPr="00FD50F6">
        <w:t>与乘客信息系统</w:t>
      </w:r>
      <w:bookmarkEnd w:id="221"/>
      <w:bookmarkEnd w:id="222"/>
    </w:p>
    <w:p w14:paraId="5FC14329" w14:textId="77777777" w:rsidR="002C6A8F" w:rsidRPr="00FD50F6" w:rsidRDefault="002C6A8F" w:rsidP="002C6A8F">
      <w:pPr>
        <w:pStyle w:val="30"/>
      </w:pPr>
      <w:r w:rsidRPr="00FD50F6">
        <w:rPr>
          <w:rFonts w:hint="eastAsia"/>
        </w:rPr>
        <w:t>车辆</w:t>
      </w:r>
      <w:r w:rsidRPr="00FD50F6">
        <w:t>应具有司机与行车控制调度中心进行双向通讯、首尾司机室之间的通讯等功能。</w:t>
      </w:r>
    </w:p>
    <w:p w14:paraId="143A762E" w14:textId="77777777" w:rsidR="002C6A8F" w:rsidRPr="00FD50F6" w:rsidRDefault="002C6A8F" w:rsidP="002C6A8F">
      <w:pPr>
        <w:pStyle w:val="30"/>
      </w:pPr>
      <w:r w:rsidRPr="00FD50F6">
        <w:rPr>
          <w:rFonts w:hint="eastAsia"/>
        </w:rPr>
        <w:t>车辆</w:t>
      </w:r>
      <w:r w:rsidRPr="00FD50F6">
        <w:t>应具有司机对乘客广播及自动报站的装置。客室内</w:t>
      </w:r>
      <w:r w:rsidRPr="00FD50F6">
        <w:rPr>
          <w:rFonts w:hint="eastAsia"/>
        </w:rPr>
        <w:t>应</w:t>
      </w:r>
      <w:r w:rsidRPr="00FD50F6">
        <w:t>设扬声器用于预告前方停站，并应设有线路、车站向导标志等乘客信息设施。</w:t>
      </w:r>
    </w:p>
    <w:p w14:paraId="21D486F9" w14:textId="77777777" w:rsidR="002C6A8F" w:rsidRPr="00FD50F6" w:rsidRDefault="002C6A8F" w:rsidP="002C6A8F">
      <w:pPr>
        <w:pStyle w:val="30"/>
      </w:pPr>
      <w:r w:rsidRPr="00FD50F6">
        <w:t>客室内应设置乘客手动报警和能与司机对讲的装置，司机在乘客报警时应能立即识别报警车</w:t>
      </w:r>
      <w:r w:rsidRPr="00FD50F6">
        <w:rPr>
          <w:rFonts w:hint="eastAsia"/>
        </w:rPr>
        <w:t>厢</w:t>
      </w:r>
      <w:r w:rsidRPr="00FD50F6">
        <w:t>。</w:t>
      </w:r>
    </w:p>
    <w:p w14:paraId="714AC423" w14:textId="77777777" w:rsidR="002C6A8F" w:rsidRPr="00FD50F6" w:rsidRDefault="002C6A8F" w:rsidP="002C6A8F">
      <w:pPr>
        <w:pStyle w:val="30"/>
      </w:pPr>
      <w:r w:rsidRPr="00FD50F6">
        <w:rPr>
          <w:rFonts w:hint="eastAsia"/>
        </w:rPr>
        <w:t>客室内应设置视频监控系统。</w:t>
      </w:r>
    </w:p>
    <w:p w14:paraId="5C537012" w14:textId="77777777" w:rsidR="002C6A8F" w:rsidRPr="00FD50F6" w:rsidRDefault="002C6A8F" w:rsidP="002C6A8F">
      <w:pPr>
        <w:pStyle w:val="30"/>
      </w:pPr>
      <w:r w:rsidRPr="00FD50F6">
        <w:rPr>
          <w:rFonts w:hint="eastAsia"/>
        </w:rPr>
        <w:t>客室内宜设置动态地图。</w:t>
      </w:r>
    </w:p>
    <w:p w14:paraId="07FF3809" w14:textId="77777777" w:rsidR="002C6A8F" w:rsidRPr="00FD50F6" w:rsidRDefault="002C6A8F" w:rsidP="00A65181">
      <w:pPr>
        <w:pStyle w:val="2"/>
      </w:pPr>
      <w:bookmarkStart w:id="223" w:name="_Toc112830662"/>
      <w:r w:rsidRPr="00FD50F6">
        <w:lastRenderedPageBreak/>
        <w:t>安全与应急设施</w:t>
      </w:r>
      <w:bookmarkEnd w:id="216"/>
      <w:bookmarkEnd w:id="217"/>
      <w:bookmarkEnd w:id="218"/>
      <w:bookmarkEnd w:id="219"/>
      <w:bookmarkEnd w:id="223"/>
    </w:p>
    <w:p w14:paraId="65156E69" w14:textId="77777777" w:rsidR="002C6A8F" w:rsidRPr="00FD50F6" w:rsidRDefault="002C6A8F" w:rsidP="002C6A8F">
      <w:pPr>
        <w:pStyle w:val="30"/>
      </w:pPr>
      <w:bookmarkStart w:id="224" w:name="_Toc320639890"/>
      <w:bookmarkEnd w:id="224"/>
      <w:r w:rsidRPr="00FD50F6">
        <w:rPr>
          <w:rFonts w:ascii="宋体" w:hAnsi="宋体" w:hint="eastAsia"/>
        </w:rPr>
        <w:t>车辆应具备故障、事故和灾难情况下对人员和车辆救助的条件，</w:t>
      </w:r>
      <w:r w:rsidRPr="00FD50F6">
        <w:t>列车端部车辆应设置专用端门和配置下车设施，且组成列车的各车辆之间应贯通。端门和贯通道的宽度不应小于</w:t>
      </w:r>
      <w:r w:rsidRPr="00FD50F6">
        <w:t>600mm</w:t>
      </w:r>
      <w:r w:rsidRPr="00FD50F6">
        <w:t>，高度不应低于</w:t>
      </w:r>
      <w:r w:rsidRPr="00FD50F6">
        <w:t>1800mm</w:t>
      </w:r>
      <w:r w:rsidRPr="00FD50F6">
        <w:t>。</w:t>
      </w:r>
    </w:p>
    <w:p w14:paraId="02399461" w14:textId="77777777" w:rsidR="002C6A8F" w:rsidRPr="00FD50F6" w:rsidRDefault="002C6A8F" w:rsidP="002C6A8F">
      <w:pPr>
        <w:pStyle w:val="30"/>
      </w:pPr>
      <w:r w:rsidRPr="00FD50F6">
        <w:rPr>
          <w:rFonts w:hint="eastAsia"/>
        </w:rPr>
        <w:t>列车应设置报警系统，客室内应设置乘客紧急报警装置，乘客紧急报警装置应具有乘务员或中心调度人员与乘客间双向通信功能。</w:t>
      </w:r>
    </w:p>
    <w:p w14:paraId="75FE05BB" w14:textId="4F6BE252" w:rsidR="002C6A8F" w:rsidRPr="00FD50F6" w:rsidRDefault="002C6A8F" w:rsidP="002C6A8F">
      <w:pPr>
        <w:pStyle w:val="30"/>
        <w:rPr>
          <w:rFonts w:eastAsia="黑体"/>
          <w:b/>
        </w:rPr>
      </w:pPr>
      <w:bookmarkStart w:id="225" w:name="_Toc320639893"/>
      <w:bookmarkStart w:id="226" w:name="_Toc320639894"/>
      <w:bookmarkStart w:id="227" w:name="_Toc320639895"/>
      <w:bookmarkEnd w:id="225"/>
      <w:bookmarkEnd w:id="226"/>
      <w:bookmarkEnd w:id="227"/>
      <w:r w:rsidRPr="00FD50F6">
        <w:t>列车应</w:t>
      </w:r>
      <w:r w:rsidRPr="00FD50F6">
        <w:rPr>
          <w:rFonts w:hint="eastAsia"/>
        </w:rPr>
        <w:t>安装</w:t>
      </w:r>
      <w:r w:rsidRPr="00FD50F6">
        <w:t>ATP</w:t>
      </w:r>
      <w:r w:rsidRPr="00FD50F6">
        <w:t>信号车载设备</w:t>
      </w:r>
      <w:r w:rsidRPr="00FD50F6">
        <w:rPr>
          <w:rFonts w:eastAsia="黑体"/>
          <w:b/>
        </w:rPr>
        <w:t>。</w:t>
      </w:r>
    </w:p>
    <w:p w14:paraId="2D2ED57E" w14:textId="77777777" w:rsidR="002C6A8F" w:rsidRPr="00FD50F6" w:rsidRDefault="002C6A8F" w:rsidP="002C6A8F">
      <w:pPr>
        <w:pStyle w:val="30"/>
      </w:pPr>
      <w:bookmarkStart w:id="228" w:name="_Toc320639897"/>
      <w:bookmarkEnd w:id="228"/>
      <w:r w:rsidRPr="00FD50F6">
        <w:rPr>
          <w:rFonts w:hint="eastAsia"/>
        </w:rPr>
        <w:t>客室车门系统应设置安全联锁，应确保车速大于</w:t>
      </w:r>
      <w:r w:rsidRPr="00FD50F6">
        <w:t>5km/h</w:t>
      </w:r>
      <w:r w:rsidRPr="00FD50F6">
        <w:rPr>
          <w:rFonts w:hint="eastAsia"/>
        </w:rPr>
        <w:t>时不能开启、车门未全关闭时不能启动列车。</w:t>
      </w:r>
    </w:p>
    <w:p w14:paraId="78C1053B" w14:textId="4C504199" w:rsidR="002C6A8F" w:rsidRPr="00FD50F6" w:rsidRDefault="002C6A8F" w:rsidP="002C6A8F">
      <w:pPr>
        <w:pStyle w:val="30"/>
      </w:pPr>
      <w:r w:rsidRPr="00FD50F6">
        <w:t>司机室前端应装设可进行远近光变换的前照灯。</w:t>
      </w:r>
      <w:r w:rsidRPr="00FD50F6">
        <w:rPr>
          <w:rFonts w:hint="eastAsia"/>
        </w:rPr>
        <w:t>照度值</w:t>
      </w:r>
      <w:r w:rsidR="0071133B">
        <w:rPr>
          <w:rFonts w:hint="eastAsia"/>
        </w:rPr>
        <w:t>应</w:t>
      </w:r>
      <w:r w:rsidRPr="00FD50F6">
        <w:rPr>
          <w:rFonts w:hint="eastAsia"/>
        </w:rPr>
        <w:t>符合行业现行标准《机车、动车组前照灯和标志灯技术条件》</w:t>
      </w:r>
      <w:r w:rsidRPr="00FD50F6">
        <w:rPr>
          <w:rFonts w:hint="eastAsia"/>
        </w:rPr>
        <w:t>TB/T 2325</w:t>
      </w:r>
      <w:r w:rsidRPr="00FD50F6">
        <w:rPr>
          <w:rFonts w:hint="eastAsia"/>
        </w:rPr>
        <w:t>的规定。</w:t>
      </w:r>
      <w:r w:rsidRPr="00FD50F6">
        <w:t>列车</w:t>
      </w:r>
      <w:r w:rsidRPr="00FD50F6">
        <w:rPr>
          <w:rFonts w:hint="eastAsia"/>
        </w:rPr>
        <w:t>两端外侧</w:t>
      </w:r>
      <w:r w:rsidRPr="00FD50F6">
        <w:t>应设有</w:t>
      </w:r>
      <w:r w:rsidRPr="00FD50F6">
        <w:rPr>
          <w:rFonts w:hint="eastAsia"/>
        </w:rPr>
        <w:t>满足</w:t>
      </w:r>
      <w:r w:rsidRPr="00FD50F6">
        <w:t>可视距离的红色防护灯。车辆</w:t>
      </w:r>
      <w:r w:rsidRPr="00FD50F6">
        <w:rPr>
          <w:rFonts w:hint="eastAsia"/>
        </w:rPr>
        <w:t>两侧</w:t>
      </w:r>
      <w:r w:rsidRPr="00FD50F6">
        <w:t>可设置显示车门开闭、制动缸缓解等的指示灯。</w:t>
      </w:r>
      <w:r w:rsidRPr="00FD50F6">
        <w:rPr>
          <w:rFonts w:hint="eastAsia"/>
        </w:rPr>
        <w:t>全自动列车头车宜设置模式运行灯和动车提示灯。</w:t>
      </w:r>
    </w:p>
    <w:p w14:paraId="1FF2AD0F" w14:textId="77777777" w:rsidR="002C6A8F" w:rsidRPr="00FD50F6" w:rsidRDefault="002C6A8F" w:rsidP="002C6A8F">
      <w:pPr>
        <w:pStyle w:val="30"/>
      </w:pPr>
      <w:r w:rsidRPr="00FD50F6">
        <w:t>车辆内</w:t>
      </w:r>
      <w:r w:rsidRPr="00FD50F6">
        <w:rPr>
          <w:rFonts w:hint="eastAsia"/>
        </w:rPr>
        <w:t>外</w:t>
      </w:r>
      <w:r w:rsidRPr="00FD50F6">
        <w:t>应有各种警告标识，包括标在司机室内的紧急制动装置、高压设备、消防设备及电器箱内的操作警示标识等。</w:t>
      </w:r>
    </w:p>
    <w:p w14:paraId="3BE5DF68" w14:textId="77777777" w:rsidR="002C6A8F" w:rsidRPr="00FD50F6" w:rsidRDefault="002C6A8F" w:rsidP="002C6A8F">
      <w:pPr>
        <w:pStyle w:val="30"/>
      </w:pPr>
      <w:bookmarkStart w:id="229" w:name="_Toc320639900"/>
      <w:bookmarkStart w:id="230" w:name="_Toc320639901"/>
      <w:bookmarkEnd w:id="229"/>
      <w:bookmarkEnd w:id="230"/>
      <w:r w:rsidRPr="00FD50F6">
        <w:rPr>
          <w:rFonts w:hAnsi="Calibri" w:hint="eastAsia"/>
        </w:rPr>
        <w:t>客室</w:t>
      </w:r>
      <w:r w:rsidRPr="00FD50F6">
        <w:rPr>
          <w:rFonts w:hint="eastAsia"/>
        </w:rPr>
        <w:t>、司机室应配置便携式灭火器具，安放位置应有明显标识并便于取用。</w:t>
      </w:r>
    </w:p>
    <w:p w14:paraId="66AC9501" w14:textId="7CB87324" w:rsidR="00090C18" w:rsidRPr="00FD50F6" w:rsidRDefault="002C6A8F" w:rsidP="002C6A8F">
      <w:pPr>
        <w:pStyle w:val="30"/>
      </w:pPr>
      <w:r w:rsidRPr="00FD50F6">
        <w:t>各电气设备金属外壳或箱体应采取保护性接地措施。</w:t>
      </w:r>
    </w:p>
    <w:p w14:paraId="07927B26" w14:textId="710563F8" w:rsidR="00A77C50" w:rsidRPr="00FD50F6" w:rsidRDefault="00A77C50">
      <w:pPr>
        <w:widowControl/>
        <w:spacing w:line="240" w:lineRule="auto"/>
        <w:jc w:val="left"/>
      </w:pPr>
      <w:r w:rsidRPr="00FD50F6">
        <w:br w:type="page"/>
      </w:r>
    </w:p>
    <w:p w14:paraId="72A46DC2" w14:textId="74E76BF5" w:rsidR="002B733E" w:rsidRPr="00FD50F6" w:rsidRDefault="002B733E" w:rsidP="002B733E">
      <w:pPr>
        <w:pStyle w:val="12"/>
      </w:pPr>
      <w:bookmarkStart w:id="231" w:name="_Toc306203662"/>
      <w:bookmarkStart w:id="232" w:name="_Toc320115628"/>
      <w:bookmarkStart w:id="233" w:name="_Toc320639539"/>
      <w:bookmarkStart w:id="234" w:name="_Toc236147310"/>
      <w:bookmarkStart w:id="235" w:name="_Toc321985468"/>
      <w:bookmarkStart w:id="236" w:name="_Toc112830663"/>
      <w:bookmarkStart w:id="237" w:name="_Hlk63430238"/>
      <w:r w:rsidRPr="00FD50F6">
        <w:rPr>
          <w:rFonts w:hint="eastAsia"/>
        </w:rPr>
        <w:lastRenderedPageBreak/>
        <w:t>限</w:t>
      </w:r>
      <w:r w:rsidR="007E7EFA" w:rsidRPr="00FD50F6">
        <w:rPr>
          <w:rFonts w:hint="eastAsia"/>
        </w:rPr>
        <w:t xml:space="preserve"> </w:t>
      </w:r>
      <w:r w:rsidR="007E7EFA" w:rsidRPr="00FD50F6">
        <w:t xml:space="preserve"> </w:t>
      </w:r>
      <w:r w:rsidRPr="00FD50F6">
        <w:rPr>
          <w:rFonts w:hint="eastAsia"/>
        </w:rPr>
        <w:t>界</w:t>
      </w:r>
      <w:bookmarkEnd w:id="231"/>
      <w:bookmarkEnd w:id="232"/>
      <w:bookmarkEnd w:id="233"/>
      <w:bookmarkEnd w:id="234"/>
      <w:bookmarkEnd w:id="235"/>
      <w:bookmarkEnd w:id="236"/>
    </w:p>
    <w:p w14:paraId="29138FCF" w14:textId="77777777" w:rsidR="002B733E" w:rsidRPr="00FD50F6" w:rsidRDefault="002B733E" w:rsidP="00010C49">
      <w:pPr>
        <w:pStyle w:val="2"/>
        <w:numPr>
          <w:ilvl w:val="1"/>
          <w:numId w:val="40"/>
        </w:numPr>
      </w:pPr>
      <w:bookmarkStart w:id="238" w:name="_Toc321985469"/>
      <w:bookmarkStart w:id="239" w:name="_Toc320639540"/>
      <w:bookmarkStart w:id="240" w:name="_Toc320115629"/>
      <w:bookmarkStart w:id="241" w:name="_Toc236147311"/>
      <w:bookmarkStart w:id="242" w:name="_Toc306203663"/>
      <w:bookmarkStart w:id="243" w:name="_Toc112830664"/>
      <w:r w:rsidRPr="00FD50F6">
        <w:rPr>
          <w:rFonts w:hint="eastAsia"/>
        </w:rPr>
        <w:t>一般规定</w:t>
      </w:r>
      <w:bookmarkEnd w:id="238"/>
      <w:bookmarkEnd w:id="239"/>
      <w:bookmarkEnd w:id="240"/>
      <w:bookmarkEnd w:id="241"/>
      <w:bookmarkEnd w:id="242"/>
      <w:bookmarkEnd w:id="243"/>
    </w:p>
    <w:p w14:paraId="6E80B410" w14:textId="77777777" w:rsidR="002B733E" w:rsidRPr="00FD50F6" w:rsidRDefault="002B733E" w:rsidP="002B733E">
      <w:pPr>
        <w:pStyle w:val="30"/>
      </w:pPr>
      <w:r w:rsidRPr="00FD50F6">
        <w:rPr>
          <w:rFonts w:hint="eastAsia"/>
        </w:rPr>
        <w:t>地铁限界应分为车辆限界、设备限界和建筑限界。</w:t>
      </w:r>
    </w:p>
    <w:p w14:paraId="5A88CF09" w14:textId="059C9A26" w:rsidR="002B733E" w:rsidRPr="00FD50F6" w:rsidRDefault="002B733E" w:rsidP="002B733E">
      <w:pPr>
        <w:pStyle w:val="30"/>
      </w:pPr>
      <w:r w:rsidRPr="00FD50F6">
        <w:rPr>
          <w:rFonts w:hint="eastAsia"/>
        </w:rPr>
        <w:t>车辆限界可按隧道内外区域分为隧道内车辆限界和隧道外车辆限界，也可按列车运行区域分为区间车辆限界、站台计算长度内车辆限界和车辆基地内车辆限界。</w:t>
      </w:r>
      <w:r w:rsidR="00D54E84">
        <w:rPr>
          <w:rFonts w:hint="eastAsia"/>
        </w:rPr>
        <w:t>车辆限界计算方法应按本标准附录</w:t>
      </w:r>
      <w:r w:rsidR="00D54E84">
        <w:rPr>
          <w:rFonts w:hint="eastAsia"/>
        </w:rPr>
        <w:t>A</w:t>
      </w:r>
      <w:r w:rsidR="00D54E84">
        <w:rPr>
          <w:rFonts w:hint="eastAsia"/>
        </w:rPr>
        <w:t>的规定执行；直线车辆限界应符合本标准附录</w:t>
      </w:r>
      <w:r w:rsidR="00D54E84">
        <w:rPr>
          <w:rFonts w:hint="eastAsia"/>
        </w:rPr>
        <w:t>B~E</w:t>
      </w:r>
      <w:r w:rsidR="00D54E84">
        <w:rPr>
          <w:rFonts w:hint="eastAsia"/>
        </w:rPr>
        <w:t>的规定；曲线车辆限界计算方法应按本标准附录</w:t>
      </w:r>
      <w:r w:rsidR="00D54E84">
        <w:rPr>
          <w:rFonts w:hint="eastAsia"/>
        </w:rPr>
        <w:t>F</w:t>
      </w:r>
      <w:r w:rsidR="00D54E84">
        <w:rPr>
          <w:rFonts w:hint="eastAsia"/>
        </w:rPr>
        <w:t>的规定执行。</w:t>
      </w:r>
    </w:p>
    <w:p w14:paraId="4D7B649C" w14:textId="3CDC3C11" w:rsidR="002B733E" w:rsidRPr="00FD50F6" w:rsidRDefault="00D54E84" w:rsidP="002B733E">
      <w:pPr>
        <w:pStyle w:val="30"/>
      </w:pPr>
      <w:r>
        <w:rPr>
          <w:rFonts w:hint="eastAsia"/>
        </w:rPr>
        <w:t>设备限界可按所处地段分为直线设备限界和曲线设备限界。设备限界计算方法应按本标准附录</w:t>
      </w:r>
      <w:r>
        <w:rPr>
          <w:rFonts w:hint="eastAsia"/>
        </w:rPr>
        <w:t>A</w:t>
      </w:r>
      <w:r>
        <w:rPr>
          <w:rFonts w:hint="eastAsia"/>
        </w:rPr>
        <w:t>的规定执行；直线设备限界应符合本标准附录</w:t>
      </w:r>
      <w:r>
        <w:rPr>
          <w:rFonts w:hint="eastAsia"/>
        </w:rPr>
        <w:t>B~E</w:t>
      </w:r>
      <w:r>
        <w:rPr>
          <w:rFonts w:hint="eastAsia"/>
        </w:rPr>
        <w:t>的规定；曲线设备限界计算方法应按本标准附录</w:t>
      </w:r>
      <w:r>
        <w:rPr>
          <w:rFonts w:hint="eastAsia"/>
        </w:rPr>
        <w:t>F</w:t>
      </w:r>
      <w:r>
        <w:rPr>
          <w:rFonts w:hint="eastAsia"/>
        </w:rPr>
        <w:t>的规定执行</w:t>
      </w:r>
      <w:r w:rsidR="002B733E" w:rsidRPr="00FD50F6">
        <w:rPr>
          <w:rFonts w:hint="eastAsia"/>
        </w:rPr>
        <w:t>。</w:t>
      </w:r>
    </w:p>
    <w:p w14:paraId="11CF946F" w14:textId="77777777" w:rsidR="002B733E" w:rsidRPr="00FD50F6" w:rsidRDefault="002B733E" w:rsidP="002B733E">
      <w:pPr>
        <w:pStyle w:val="30"/>
      </w:pPr>
      <w:r w:rsidRPr="00FD50F6">
        <w:rPr>
          <w:rFonts w:hint="eastAsia"/>
        </w:rPr>
        <w:t>建筑限界应分为隧道建筑限界、高架建筑限界、地面建筑限界。隧道建筑限界可按工程结构形式分为矩形隧道建筑限界、马蹄形隧道建筑限界和圆形隧道建筑限界。</w:t>
      </w:r>
    </w:p>
    <w:p w14:paraId="637E1F0B" w14:textId="77777777" w:rsidR="002B733E" w:rsidRPr="00FD50F6" w:rsidRDefault="002B733E" w:rsidP="00873AA4">
      <w:pPr>
        <w:pStyle w:val="30"/>
      </w:pPr>
      <w:r w:rsidRPr="00FD50F6">
        <w:rPr>
          <w:rFonts w:hint="eastAsia"/>
        </w:rPr>
        <w:t>在无管线和设备等敷设的范围内，建筑限界与设备限界之间的最小间距不宜小于</w:t>
      </w:r>
      <w:r w:rsidRPr="00FD50F6">
        <w:rPr>
          <w:rFonts w:hint="eastAsia"/>
        </w:rPr>
        <w:t>200mm</w:t>
      </w:r>
      <w:r w:rsidRPr="00FD50F6">
        <w:rPr>
          <w:rFonts w:hint="eastAsia"/>
        </w:rPr>
        <w:t>，困难条件下不应小于</w:t>
      </w:r>
      <w:r w:rsidRPr="00FD50F6">
        <w:rPr>
          <w:rFonts w:hint="eastAsia"/>
        </w:rPr>
        <w:t>100mm</w:t>
      </w:r>
      <w:r w:rsidRPr="00FD50F6">
        <w:rPr>
          <w:rFonts w:hint="eastAsia"/>
        </w:rPr>
        <w:t>。</w:t>
      </w:r>
    </w:p>
    <w:p w14:paraId="7879D617" w14:textId="0CA89F36" w:rsidR="002B733E" w:rsidRPr="00FD50F6" w:rsidRDefault="002B733E" w:rsidP="002B733E">
      <w:pPr>
        <w:pStyle w:val="30"/>
      </w:pPr>
      <w:r w:rsidRPr="00FD50F6">
        <w:rPr>
          <w:rFonts w:hint="eastAsia"/>
        </w:rPr>
        <w:t>轨道区混凝土结构体、轨旁设备与车辆带电体或授电设备的间隙应符合本标准表</w:t>
      </w:r>
      <w:r w:rsidRPr="00FD50F6">
        <w:t>1</w:t>
      </w:r>
      <w:r w:rsidR="00426DB1" w:rsidRPr="00FD50F6">
        <w:t>6</w:t>
      </w:r>
      <w:r w:rsidRPr="00FD50F6">
        <w:t>.3.3</w:t>
      </w:r>
      <w:r w:rsidRPr="00FD50F6">
        <w:rPr>
          <w:rFonts w:hint="eastAsia"/>
        </w:rPr>
        <w:t>的规定。</w:t>
      </w:r>
    </w:p>
    <w:p w14:paraId="75171C2D" w14:textId="77777777" w:rsidR="002B733E" w:rsidRPr="00FD50F6" w:rsidRDefault="002B733E" w:rsidP="002B733E">
      <w:pPr>
        <w:pStyle w:val="30"/>
      </w:pPr>
      <w:r w:rsidRPr="00FD50F6">
        <w:rPr>
          <w:rFonts w:hint="eastAsia"/>
        </w:rPr>
        <w:t>对于相邻区间线路，当两线间无墙、柱或设备时，两设备限界之间的安全间隙不应小于</w:t>
      </w:r>
      <w:r w:rsidRPr="00FD50F6">
        <w:rPr>
          <w:rFonts w:hint="eastAsia"/>
        </w:rPr>
        <w:t>100</w:t>
      </w:r>
      <w:r w:rsidRPr="00FD50F6">
        <w:t>mm</w:t>
      </w:r>
      <w:r w:rsidRPr="00FD50F6">
        <w:rPr>
          <w:rFonts w:hint="eastAsia"/>
        </w:rPr>
        <w:t>；当两线间有墙或柱时，应按建筑限界加上墙或柱的宽度及其施工误差确定。</w:t>
      </w:r>
    </w:p>
    <w:p w14:paraId="12A0D2E0" w14:textId="5026E887" w:rsidR="002B733E" w:rsidRPr="00FD50F6" w:rsidRDefault="002B733E" w:rsidP="002B733E">
      <w:pPr>
        <w:pStyle w:val="30"/>
      </w:pPr>
      <w:r w:rsidRPr="00FD50F6">
        <w:rPr>
          <w:rFonts w:hint="eastAsia"/>
        </w:rPr>
        <w:t>A</w:t>
      </w:r>
      <w:r w:rsidRPr="00FD50F6">
        <w:rPr>
          <w:rFonts w:hint="eastAsia"/>
          <w:vertAlign w:val="subscript"/>
        </w:rPr>
        <w:t>1</w:t>
      </w:r>
      <w:r w:rsidRPr="00FD50F6">
        <w:rPr>
          <w:rFonts w:hint="eastAsia"/>
        </w:rPr>
        <w:t>型、</w:t>
      </w:r>
      <w:r w:rsidRPr="00FD50F6">
        <w:rPr>
          <w:rFonts w:hint="eastAsia"/>
        </w:rPr>
        <w:t>A</w:t>
      </w:r>
      <w:r w:rsidRPr="00FD50F6">
        <w:rPr>
          <w:rFonts w:hint="eastAsia"/>
          <w:vertAlign w:val="subscript"/>
        </w:rPr>
        <w:t>2</w:t>
      </w:r>
      <w:r w:rsidRPr="00FD50F6">
        <w:rPr>
          <w:rFonts w:hint="eastAsia"/>
        </w:rPr>
        <w:t>型、</w:t>
      </w:r>
      <w:r w:rsidRPr="00FD50F6">
        <w:rPr>
          <w:rFonts w:hint="eastAsia"/>
        </w:rPr>
        <w:t>B</w:t>
      </w:r>
      <w:r w:rsidRPr="00FD50F6">
        <w:rPr>
          <w:rFonts w:hint="eastAsia"/>
          <w:vertAlign w:val="subscript"/>
        </w:rPr>
        <w:t>1</w:t>
      </w:r>
      <w:r w:rsidRPr="00FD50F6">
        <w:rPr>
          <w:rFonts w:hint="eastAsia"/>
        </w:rPr>
        <w:t>型和</w:t>
      </w:r>
      <w:r w:rsidRPr="00FD50F6">
        <w:rPr>
          <w:rFonts w:hint="eastAsia"/>
        </w:rPr>
        <w:t>B</w:t>
      </w:r>
      <w:r w:rsidRPr="00FD50F6">
        <w:rPr>
          <w:rFonts w:hint="eastAsia"/>
          <w:vertAlign w:val="subscript"/>
        </w:rPr>
        <w:t>2</w:t>
      </w:r>
      <w:r w:rsidRPr="00FD50F6">
        <w:rPr>
          <w:rFonts w:hint="eastAsia"/>
        </w:rPr>
        <w:t>型车辆采用的基本参数应符合本标准第</w:t>
      </w:r>
      <w:r w:rsidR="00426DB1" w:rsidRPr="00FD50F6">
        <w:rPr>
          <w:rFonts w:hint="eastAsia"/>
        </w:rPr>
        <w:t>6</w:t>
      </w:r>
      <w:r w:rsidRPr="00FD50F6">
        <w:rPr>
          <w:rFonts w:hint="eastAsia"/>
        </w:rPr>
        <w:t>.</w:t>
      </w:r>
      <w:r w:rsidRPr="00FD50F6">
        <w:t>2</w:t>
      </w:r>
      <w:r w:rsidRPr="00FD50F6">
        <w:rPr>
          <w:rFonts w:hint="eastAsia"/>
        </w:rPr>
        <w:t>节的规定。当选用车辆的基本参数与本</w:t>
      </w:r>
      <w:r w:rsidRPr="00FD50F6">
        <w:rPr>
          <w:rStyle w:val="afff2"/>
          <w:rFonts w:asciiTheme="minorHAnsi" w:hAnsiTheme="minorHAnsi" w:hint="eastAsia"/>
          <w:bCs w:val="0"/>
          <w:szCs w:val="24"/>
        </w:rPr>
        <w:t>标准</w:t>
      </w:r>
      <w:r w:rsidRPr="00FD50F6">
        <w:rPr>
          <w:rFonts w:hint="eastAsia"/>
        </w:rPr>
        <w:t>不同时，应重新核定车辆限界、设备限界和建筑限界。</w:t>
      </w:r>
      <w:bookmarkStart w:id="244" w:name="_Toc236147312"/>
    </w:p>
    <w:p w14:paraId="3EC69DD6" w14:textId="77777777" w:rsidR="002B733E" w:rsidRPr="00FD50F6" w:rsidRDefault="002B733E" w:rsidP="00A65181">
      <w:pPr>
        <w:pStyle w:val="2"/>
      </w:pPr>
      <w:bookmarkStart w:id="245" w:name="_Toc321985470"/>
      <w:bookmarkStart w:id="246" w:name="_Toc306203664"/>
      <w:bookmarkStart w:id="247" w:name="_Toc320115630"/>
      <w:bookmarkStart w:id="248" w:name="_Toc320639541"/>
      <w:bookmarkStart w:id="249" w:name="_Toc112830665"/>
      <w:r w:rsidRPr="00FD50F6">
        <w:rPr>
          <w:rFonts w:hint="eastAsia"/>
        </w:rPr>
        <w:t>基本参数</w:t>
      </w:r>
      <w:bookmarkEnd w:id="244"/>
      <w:bookmarkEnd w:id="245"/>
      <w:bookmarkEnd w:id="246"/>
      <w:bookmarkEnd w:id="247"/>
      <w:bookmarkEnd w:id="248"/>
      <w:bookmarkEnd w:id="249"/>
    </w:p>
    <w:p w14:paraId="64A1F900" w14:textId="347E6BBE" w:rsidR="002B733E" w:rsidRPr="00FD50F6" w:rsidRDefault="002B733E" w:rsidP="002B733E">
      <w:pPr>
        <w:pStyle w:val="30"/>
      </w:pPr>
      <w:r w:rsidRPr="00FD50F6">
        <w:rPr>
          <w:rFonts w:hint="eastAsia"/>
        </w:rPr>
        <w:t>各型车辆基本参数应符合表</w:t>
      </w:r>
      <w:r w:rsidR="00F70ADA" w:rsidRPr="00FD50F6">
        <w:rPr>
          <w:rFonts w:hint="eastAsia"/>
        </w:rPr>
        <w:t>6</w:t>
      </w:r>
      <w:r w:rsidRPr="00FD50F6">
        <w:rPr>
          <w:rFonts w:hint="eastAsia"/>
        </w:rPr>
        <w:t>.2.1</w:t>
      </w:r>
      <w:r w:rsidRPr="00FD50F6">
        <w:rPr>
          <w:rFonts w:hint="eastAsia"/>
        </w:rPr>
        <w:t>的规定。</w:t>
      </w:r>
    </w:p>
    <w:p w14:paraId="3DF16180" w14:textId="1C1A717D" w:rsidR="0071133B" w:rsidRPr="0071133B" w:rsidRDefault="002B733E" w:rsidP="0071133B">
      <w:pPr>
        <w:pStyle w:val="6"/>
      </w:pPr>
      <w:r w:rsidRPr="00FD50F6">
        <w:rPr>
          <w:rFonts w:hint="eastAsia"/>
        </w:rPr>
        <w:lastRenderedPageBreak/>
        <w:t>表</w:t>
      </w:r>
      <w:r w:rsidR="00F70ADA" w:rsidRPr="00FD50F6">
        <w:rPr>
          <w:rFonts w:hint="eastAsia"/>
        </w:rPr>
        <w:t>6</w:t>
      </w:r>
      <w:r w:rsidRPr="00FD50F6">
        <w:rPr>
          <w:rFonts w:hint="eastAsia"/>
        </w:rPr>
        <w:t>.2.</w:t>
      </w:r>
      <w:r w:rsidRPr="00FD50F6">
        <w:t>1</w:t>
      </w:r>
      <w:r w:rsidRPr="00FD50F6">
        <w:rPr>
          <w:rFonts w:hint="eastAsia"/>
        </w:rPr>
        <w:t xml:space="preserve"> </w:t>
      </w:r>
      <w:r w:rsidRPr="00FD50F6">
        <w:rPr>
          <w:rFonts w:hint="eastAsia"/>
        </w:rPr>
        <w:t>各型车辆基本参数（</w:t>
      </w:r>
      <w:r w:rsidRPr="00FD50F6">
        <w:t>mm</w:t>
      </w:r>
      <w:r w:rsidRPr="00FD50F6">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99"/>
        <w:gridCol w:w="3988"/>
        <w:gridCol w:w="1398"/>
        <w:gridCol w:w="1701"/>
      </w:tblGrid>
      <w:tr w:rsidR="0071133B" w:rsidRPr="00FD50F6" w14:paraId="418E43E9" w14:textId="77777777" w:rsidTr="008716A3">
        <w:trPr>
          <w:trHeight w:val="534"/>
          <w:jc w:val="center"/>
        </w:trPr>
        <w:tc>
          <w:tcPr>
            <w:tcW w:w="5087" w:type="dxa"/>
            <w:gridSpan w:val="2"/>
            <w:vMerge w:val="restart"/>
            <w:tcBorders>
              <w:top w:val="single" w:sz="4" w:space="0" w:color="auto"/>
              <w:left w:val="single" w:sz="4" w:space="0" w:color="auto"/>
              <w:right w:val="single" w:sz="4" w:space="0" w:color="auto"/>
            </w:tcBorders>
            <w:vAlign w:val="center"/>
          </w:tcPr>
          <w:p w14:paraId="29D0E67A" w14:textId="4427DF18" w:rsidR="0071133B" w:rsidRPr="00FD50F6" w:rsidRDefault="00487CA7" w:rsidP="00CD1063">
            <w:pPr>
              <w:pStyle w:val="7"/>
            </w:pPr>
            <w:r>
              <w:rPr>
                <w:rFonts w:hint="eastAsia"/>
              </w:rPr>
              <w:t>项目</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8C03A6D" w14:textId="678DE7DF" w:rsidR="0071133B" w:rsidRPr="00FD50F6" w:rsidRDefault="00487CA7" w:rsidP="0071133B">
            <w:pPr>
              <w:pStyle w:val="7"/>
            </w:pPr>
            <w:r>
              <w:rPr>
                <w:rFonts w:hint="eastAsia"/>
              </w:rPr>
              <w:t>参数值</w:t>
            </w:r>
          </w:p>
        </w:tc>
      </w:tr>
      <w:tr w:rsidR="0071133B" w:rsidRPr="00FD50F6" w14:paraId="47E2517B" w14:textId="77777777" w:rsidTr="008716A3">
        <w:trPr>
          <w:trHeight w:val="534"/>
          <w:jc w:val="center"/>
        </w:trPr>
        <w:tc>
          <w:tcPr>
            <w:tcW w:w="5087" w:type="dxa"/>
            <w:gridSpan w:val="2"/>
            <w:vMerge/>
            <w:tcBorders>
              <w:left w:val="single" w:sz="4" w:space="0" w:color="auto"/>
              <w:bottom w:val="single" w:sz="4" w:space="0" w:color="auto"/>
              <w:right w:val="single" w:sz="4" w:space="0" w:color="auto"/>
            </w:tcBorders>
            <w:vAlign w:val="center"/>
          </w:tcPr>
          <w:p w14:paraId="1981C563" w14:textId="77777777" w:rsidR="0071133B" w:rsidRPr="00FD50F6" w:rsidRDefault="0071133B" w:rsidP="0071133B">
            <w:pPr>
              <w:pStyle w:val="7"/>
            </w:pPr>
          </w:p>
        </w:tc>
        <w:tc>
          <w:tcPr>
            <w:tcW w:w="1398" w:type="dxa"/>
            <w:tcBorders>
              <w:top w:val="single" w:sz="4" w:space="0" w:color="auto"/>
              <w:left w:val="single" w:sz="4" w:space="0" w:color="auto"/>
              <w:bottom w:val="single" w:sz="4" w:space="0" w:color="auto"/>
              <w:right w:val="single" w:sz="4" w:space="0" w:color="auto"/>
            </w:tcBorders>
            <w:vAlign w:val="center"/>
          </w:tcPr>
          <w:p w14:paraId="227E2D06" w14:textId="2889934D" w:rsidR="0071133B" w:rsidRPr="00FD50F6" w:rsidRDefault="0071133B" w:rsidP="0071133B">
            <w:pPr>
              <w:pStyle w:val="7"/>
            </w:pPr>
            <w:r w:rsidRPr="00FD50F6">
              <w:rPr>
                <w:rFonts w:hint="eastAsia"/>
              </w:rPr>
              <w:t>A</w:t>
            </w:r>
            <w:r w:rsidRPr="00FD50F6">
              <w:rPr>
                <w:rFonts w:hint="eastAsia"/>
              </w:rPr>
              <w:t>型</w:t>
            </w:r>
          </w:p>
        </w:tc>
        <w:tc>
          <w:tcPr>
            <w:tcW w:w="1701" w:type="dxa"/>
            <w:tcBorders>
              <w:top w:val="single" w:sz="4" w:space="0" w:color="auto"/>
              <w:left w:val="single" w:sz="4" w:space="0" w:color="auto"/>
              <w:bottom w:val="single" w:sz="4" w:space="0" w:color="auto"/>
              <w:right w:val="single" w:sz="4" w:space="0" w:color="auto"/>
            </w:tcBorders>
            <w:vAlign w:val="center"/>
          </w:tcPr>
          <w:p w14:paraId="5D9212A6" w14:textId="40E4B54F" w:rsidR="0071133B" w:rsidRPr="00FD50F6" w:rsidRDefault="0071133B" w:rsidP="0071133B">
            <w:pPr>
              <w:pStyle w:val="7"/>
            </w:pPr>
            <w:r w:rsidRPr="00FD50F6">
              <w:rPr>
                <w:rFonts w:hint="eastAsia"/>
              </w:rPr>
              <w:t>B</w:t>
            </w:r>
            <w:r w:rsidRPr="00FD50F6">
              <w:rPr>
                <w:rFonts w:hint="eastAsia"/>
              </w:rPr>
              <w:t>型</w:t>
            </w:r>
          </w:p>
        </w:tc>
      </w:tr>
      <w:tr w:rsidR="0071133B" w:rsidRPr="00FD50F6" w14:paraId="22878E50" w14:textId="77777777" w:rsidTr="002B733E">
        <w:trPr>
          <w:trHeight w:val="397"/>
          <w:jc w:val="center"/>
        </w:trPr>
        <w:tc>
          <w:tcPr>
            <w:tcW w:w="5087" w:type="dxa"/>
            <w:gridSpan w:val="2"/>
            <w:tcBorders>
              <w:top w:val="single" w:sz="4" w:space="0" w:color="auto"/>
              <w:left w:val="single" w:sz="4" w:space="0" w:color="auto"/>
              <w:bottom w:val="single" w:sz="4" w:space="0" w:color="auto"/>
              <w:right w:val="single" w:sz="4" w:space="0" w:color="auto"/>
            </w:tcBorders>
            <w:vAlign w:val="center"/>
          </w:tcPr>
          <w:p w14:paraId="09D01318" w14:textId="77777777" w:rsidR="0071133B" w:rsidRPr="00FD50F6" w:rsidRDefault="0071133B" w:rsidP="0071133B">
            <w:pPr>
              <w:pStyle w:val="7"/>
            </w:pPr>
            <w:r w:rsidRPr="00FD50F6">
              <w:rPr>
                <w:rFonts w:hint="eastAsia"/>
              </w:rPr>
              <w:t>计算车体长度</w:t>
            </w:r>
          </w:p>
        </w:tc>
        <w:tc>
          <w:tcPr>
            <w:tcW w:w="1398" w:type="dxa"/>
            <w:tcBorders>
              <w:top w:val="single" w:sz="4" w:space="0" w:color="auto"/>
              <w:left w:val="single" w:sz="4" w:space="0" w:color="auto"/>
              <w:bottom w:val="single" w:sz="4" w:space="0" w:color="auto"/>
              <w:right w:val="single" w:sz="4" w:space="0" w:color="auto"/>
            </w:tcBorders>
            <w:vAlign w:val="center"/>
          </w:tcPr>
          <w:p w14:paraId="0E794435" w14:textId="77777777" w:rsidR="0071133B" w:rsidRPr="00FD50F6" w:rsidRDefault="0071133B" w:rsidP="0071133B">
            <w:pPr>
              <w:pStyle w:val="7"/>
            </w:pPr>
            <w:r w:rsidRPr="00FD50F6">
              <w:t>22100</w:t>
            </w:r>
          </w:p>
        </w:tc>
        <w:tc>
          <w:tcPr>
            <w:tcW w:w="1701" w:type="dxa"/>
            <w:tcBorders>
              <w:top w:val="single" w:sz="4" w:space="0" w:color="auto"/>
              <w:left w:val="single" w:sz="4" w:space="0" w:color="auto"/>
              <w:bottom w:val="single" w:sz="4" w:space="0" w:color="auto"/>
              <w:right w:val="single" w:sz="4" w:space="0" w:color="auto"/>
            </w:tcBorders>
            <w:vAlign w:val="center"/>
          </w:tcPr>
          <w:p w14:paraId="5D3A597A" w14:textId="77777777" w:rsidR="0071133B" w:rsidRPr="00FD50F6" w:rsidRDefault="0071133B" w:rsidP="0071133B">
            <w:pPr>
              <w:pStyle w:val="7"/>
            </w:pPr>
            <w:r w:rsidRPr="00FD50F6">
              <w:t>19000</w:t>
            </w:r>
          </w:p>
        </w:tc>
      </w:tr>
      <w:tr w:rsidR="0071133B" w:rsidRPr="00FD50F6" w14:paraId="23A20B31" w14:textId="77777777" w:rsidTr="002B733E">
        <w:trPr>
          <w:trHeight w:val="397"/>
          <w:jc w:val="center"/>
        </w:trPr>
        <w:tc>
          <w:tcPr>
            <w:tcW w:w="5087" w:type="dxa"/>
            <w:gridSpan w:val="2"/>
            <w:tcBorders>
              <w:top w:val="single" w:sz="4" w:space="0" w:color="auto"/>
              <w:left w:val="single" w:sz="4" w:space="0" w:color="auto"/>
              <w:bottom w:val="single" w:sz="4" w:space="0" w:color="auto"/>
              <w:right w:val="single" w:sz="4" w:space="0" w:color="auto"/>
            </w:tcBorders>
            <w:vAlign w:val="center"/>
          </w:tcPr>
          <w:p w14:paraId="456B699B" w14:textId="77777777" w:rsidR="0071133B" w:rsidRPr="00FD50F6" w:rsidRDefault="0071133B" w:rsidP="0071133B">
            <w:pPr>
              <w:pStyle w:val="7"/>
            </w:pPr>
            <w:r w:rsidRPr="00FD50F6">
              <w:rPr>
                <w:rFonts w:hint="eastAsia"/>
              </w:rPr>
              <w:t>计算车体宽度</w:t>
            </w:r>
          </w:p>
        </w:tc>
        <w:tc>
          <w:tcPr>
            <w:tcW w:w="1398" w:type="dxa"/>
            <w:tcBorders>
              <w:top w:val="single" w:sz="4" w:space="0" w:color="auto"/>
              <w:left w:val="single" w:sz="4" w:space="0" w:color="auto"/>
              <w:bottom w:val="single" w:sz="4" w:space="0" w:color="auto"/>
              <w:right w:val="single" w:sz="4" w:space="0" w:color="auto"/>
            </w:tcBorders>
            <w:vAlign w:val="center"/>
          </w:tcPr>
          <w:p w14:paraId="44BF3148" w14:textId="77777777" w:rsidR="0071133B" w:rsidRPr="00FD50F6" w:rsidRDefault="0071133B" w:rsidP="0071133B">
            <w:pPr>
              <w:pStyle w:val="7"/>
            </w:pPr>
            <w:r w:rsidRPr="00FD50F6">
              <w:t>3000</w:t>
            </w:r>
          </w:p>
        </w:tc>
        <w:tc>
          <w:tcPr>
            <w:tcW w:w="1701" w:type="dxa"/>
            <w:tcBorders>
              <w:top w:val="single" w:sz="4" w:space="0" w:color="auto"/>
              <w:left w:val="single" w:sz="4" w:space="0" w:color="auto"/>
              <w:bottom w:val="single" w:sz="4" w:space="0" w:color="auto"/>
              <w:right w:val="single" w:sz="4" w:space="0" w:color="auto"/>
            </w:tcBorders>
            <w:vAlign w:val="center"/>
          </w:tcPr>
          <w:p w14:paraId="75D2660E" w14:textId="77777777" w:rsidR="0071133B" w:rsidRPr="00FD50F6" w:rsidRDefault="0071133B" w:rsidP="0071133B">
            <w:pPr>
              <w:pStyle w:val="7"/>
            </w:pPr>
            <w:r w:rsidRPr="00FD50F6">
              <w:t>2800</w:t>
            </w:r>
          </w:p>
        </w:tc>
      </w:tr>
      <w:tr w:rsidR="0071133B" w:rsidRPr="00FD50F6" w14:paraId="3E29ACBD" w14:textId="77777777" w:rsidTr="002B733E">
        <w:trPr>
          <w:trHeight w:val="397"/>
          <w:jc w:val="center"/>
        </w:trPr>
        <w:tc>
          <w:tcPr>
            <w:tcW w:w="5087" w:type="dxa"/>
            <w:gridSpan w:val="2"/>
            <w:tcBorders>
              <w:top w:val="single" w:sz="4" w:space="0" w:color="auto"/>
              <w:left w:val="single" w:sz="4" w:space="0" w:color="auto"/>
              <w:bottom w:val="single" w:sz="4" w:space="0" w:color="auto"/>
              <w:right w:val="single" w:sz="4" w:space="0" w:color="auto"/>
            </w:tcBorders>
            <w:vAlign w:val="center"/>
          </w:tcPr>
          <w:p w14:paraId="1A94240E" w14:textId="77777777" w:rsidR="0071133B" w:rsidRPr="00FD50F6" w:rsidRDefault="0071133B" w:rsidP="0071133B">
            <w:pPr>
              <w:pStyle w:val="7"/>
            </w:pPr>
            <w:r w:rsidRPr="00FD50F6">
              <w:rPr>
                <w:rFonts w:hint="eastAsia"/>
              </w:rPr>
              <w:t>计算车辆高度</w:t>
            </w:r>
          </w:p>
        </w:tc>
        <w:tc>
          <w:tcPr>
            <w:tcW w:w="1398" w:type="dxa"/>
            <w:tcBorders>
              <w:top w:val="single" w:sz="4" w:space="0" w:color="auto"/>
              <w:left w:val="single" w:sz="4" w:space="0" w:color="auto"/>
              <w:bottom w:val="single" w:sz="4" w:space="0" w:color="auto"/>
              <w:right w:val="single" w:sz="4" w:space="0" w:color="auto"/>
            </w:tcBorders>
            <w:vAlign w:val="center"/>
          </w:tcPr>
          <w:p w14:paraId="4037EAFA" w14:textId="77777777" w:rsidR="0071133B" w:rsidRPr="00FD50F6" w:rsidRDefault="0071133B" w:rsidP="0071133B">
            <w:pPr>
              <w:pStyle w:val="7"/>
            </w:pPr>
            <w:r w:rsidRPr="00FD50F6">
              <w:t>38</w:t>
            </w:r>
            <w:r w:rsidRPr="00FD50F6">
              <w:rPr>
                <w:rFonts w:hint="eastAsia"/>
              </w:rPr>
              <w:t>5</w:t>
            </w:r>
            <w:r w:rsidRPr="00FD50F6">
              <w:t>0</w:t>
            </w:r>
          </w:p>
        </w:tc>
        <w:tc>
          <w:tcPr>
            <w:tcW w:w="1701" w:type="dxa"/>
            <w:tcBorders>
              <w:top w:val="single" w:sz="4" w:space="0" w:color="auto"/>
              <w:left w:val="single" w:sz="4" w:space="0" w:color="auto"/>
              <w:bottom w:val="single" w:sz="4" w:space="0" w:color="auto"/>
              <w:right w:val="single" w:sz="4" w:space="0" w:color="auto"/>
            </w:tcBorders>
            <w:vAlign w:val="center"/>
          </w:tcPr>
          <w:p w14:paraId="3C3E5402" w14:textId="77777777" w:rsidR="0071133B" w:rsidRPr="00FD50F6" w:rsidRDefault="0071133B" w:rsidP="0071133B">
            <w:pPr>
              <w:pStyle w:val="7"/>
            </w:pPr>
            <w:r w:rsidRPr="00FD50F6">
              <w:t>38</w:t>
            </w:r>
            <w:r w:rsidRPr="00FD50F6">
              <w:rPr>
                <w:rFonts w:hint="eastAsia"/>
              </w:rPr>
              <w:t>5</w:t>
            </w:r>
            <w:r w:rsidRPr="00FD50F6">
              <w:t>0</w:t>
            </w:r>
          </w:p>
        </w:tc>
      </w:tr>
      <w:tr w:rsidR="0071133B" w:rsidRPr="00FD50F6" w14:paraId="16D14BDB" w14:textId="77777777" w:rsidTr="002B733E">
        <w:trPr>
          <w:trHeight w:val="397"/>
          <w:jc w:val="center"/>
        </w:trPr>
        <w:tc>
          <w:tcPr>
            <w:tcW w:w="5087" w:type="dxa"/>
            <w:gridSpan w:val="2"/>
            <w:tcBorders>
              <w:top w:val="single" w:sz="4" w:space="0" w:color="auto"/>
              <w:left w:val="single" w:sz="4" w:space="0" w:color="auto"/>
              <w:bottom w:val="single" w:sz="4" w:space="0" w:color="auto"/>
              <w:right w:val="single" w:sz="4" w:space="0" w:color="auto"/>
            </w:tcBorders>
            <w:vAlign w:val="center"/>
          </w:tcPr>
          <w:p w14:paraId="5FD4AA98" w14:textId="77777777" w:rsidR="0071133B" w:rsidRPr="00FD50F6" w:rsidRDefault="0071133B" w:rsidP="0071133B">
            <w:pPr>
              <w:pStyle w:val="7"/>
            </w:pPr>
            <w:r w:rsidRPr="00FD50F6">
              <w:rPr>
                <w:rFonts w:hint="eastAsia"/>
              </w:rPr>
              <w:t>计算车辆定距</w:t>
            </w:r>
          </w:p>
        </w:tc>
        <w:tc>
          <w:tcPr>
            <w:tcW w:w="1398" w:type="dxa"/>
            <w:tcBorders>
              <w:top w:val="single" w:sz="4" w:space="0" w:color="auto"/>
              <w:left w:val="single" w:sz="4" w:space="0" w:color="auto"/>
              <w:bottom w:val="single" w:sz="4" w:space="0" w:color="auto"/>
              <w:right w:val="single" w:sz="4" w:space="0" w:color="auto"/>
            </w:tcBorders>
            <w:vAlign w:val="center"/>
          </w:tcPr>
          <w:p w14:paraId="7CA1848C" w14:textId="77777777" w:rsidR="0071133B" w:rsidRPr="00FD50F6" w:rsidRDefault="0071133B" w:rsidP="0071133B">
            <w:pPr>
              <w:pStyle w:val="7"/>
            </w:pPr>
            <w:r w:rsidRPr="00FD50F6">
              <w:t>15700</w:t>
            </w:r>
          </w:p>
        </w:tc>
        <w:tc>
          <w:tcPr>
            <w:tcW w:w="1701" w:type="dxa"/>
            <w:tcBorders>
              <w:top w:val="single" w:sz="4" w:space="0" w:color="auto"/>
              <w:left w:val="single" w:sz="4" w:space="0" w:color="auto"/>
              <w:bottom w:val="single" w:sz="4" w:space="0" w:color="auto"/>
              <w:right w:val="single" w:sz="4" w:space="0" w:color="auto"/>
            </w:tcBorders>
            <w:vAlign w:val="center"/>
          </w:tcPr>
          <w:p w14:paraId="5B66EE50" w14:textId="77777777" w:rsidR="0071133B" w:rsidRPr="00FD50F6" w:rsidRDefault="0071133B" w:rsidP="0071133B">
            <w:pPr>
              <w:pStyle w:val="7"/>
            </w:pPr>
            <w:r w:rsidRPr="00FD50F6">
              <w:t>12600</w:t>
            </w:r>
          </w:p>
        </w:tc>
      </w:tr>
      <w:tr w:rsidR="0071133B" w:rsidRPr="00FD50F6" w14:paraId="52BC20FE" w14:textId="77777777" w:rsidTr="002B733E">
        <w:trPr>
          <w:trHeight w:val="397"/>
          <w:jc w:val="center"/>
        </w:trPr>
        <w:tc>
          <w:tcPr>
            <w:tcW w:w="5087" w:type="dxa"/>
            <w:gridSpan w:val="2"/>
            <w:tcBorders>
              <w:top w:val="single" w:sz="4" w:space="0" w:color="auto"/>
              <w:left w:val="single" w:sz="4" w:space="0" w:color="auto"/>
              <w:bottom w:val="single" w:sz="4" w:space="0" w:color="auto"/>
              <w:right w:val="single" w:sz="4" w:space="0" w:color="auto"/>
            </w:tcBorders>
            <w:vAlign w:val="center"/>
          </w:tcPr>
          <w:p w14:paraId="7657CD66" w14:textId="77777777" w:rsidR="0071133B" w:rsidRPr="00FD50F6" w:rsidRDefault="0071133B" w:rsidP="0071133B">
            <w:pPr>
              <w:pStyle w:val="7"/>
            </w:pPr>
            <w:r w:rsidRPr="00FD50F6">
              <w:rPr>
                <w:rFonts w:hint="eastAsia"/>
              </w:rPr>
              <w:t>计算转向架固定轴距</w:t>
            </w:r>
          </w:p>
        </w:tc>
        <w:tc>
          <w:tcPr>
            <w:tcW w:w="1398" w:type="dxa"/>
            <w:tcBorders>
              <w:top w:val="single" w:sz="4" w:space="0" w:color="auto"/>
              <w:left w:val="single" w:sz="4" w:space="0" w:color="auto"/>
              <w:bottom w:val="single" w:sz="4" w:space="0" w:color="auto"/>
              <w:right w:val="single" w:sz="4" w:space="0" w:color="auto"/>
            </w:tcBorders>
            <w:vAlign w:val="center"/>
          </w:tcPr>
          <w:p w14:paraId="216FAEC7" w14:textId="77777777" w:rsidR="0071133B" w:rsidRPr="00FD50F6" w:rsidRDefault="0071133B" w:rsidP="0071133B">
            <w:pPr>
              <w:pStyle w:val="7"/>
            </w:pPr>
            <w:r w:rsidRPr="00FD50F6">
              <w:t>2500</w:t>
            </w:r>
          </w:p>
        </w:tc>
        <w:tc>
          <w:tcPr>
            <w:tcW w:w="1701" w:type="dxa"/>
            <w:tcBorders>
              <w:top w:val="single" w:sz="4" w:space="0" w:color="auto"/>
              <w:left w:val="single" w:sz="4" w:space="0" w:color="auto"/>
              <w:bottom w:val="single" w:sz="4" w:space="0" w:color="auto"/>
              <w:right w:val="single" w:sz="4" w:space="0" w:color="auto"/>
            </w:tcBorders>
            <w:vAlign w:val="center"/>
          </w:tcPr>
          <w:p w14:paraId="5490D159" w14:textId="77777777" w:rsidR="0071133B" w:rsidRPr="00FD50F6" w:rsidRDefault="0071133B" w:rsidP="0071133B">
            <w:pPr>
              <w:pStyle w:val="7"/>
            </w:pPr>
            <w:r w:rsidRPr="00FD50F6">
              <w:rPr>
                <w:rFonts w:hint="eastAsia"/>
              </w:rPr>
              <w:t>2200/</w:t>
            </w:r>
            <w:r w:rsidRPr="00FD50F6">
              <w:t>2</w:t>
            </w:r>
            <w:r w:rsidRPr="00FD50F6">
              <w:rPr>
                <w:rFonts w:hint="eastAsia"/>
              </w:rPr>
              <w:t>3</w:t>
            </w:r>
            <w:r w:rsidRPr="00FD50F6">
              <w:t>00</w:t>
            </w:r>
          </w:p>
        </w:tc>
      </w:tr>
      <w:tr w:rsidR="0071133B" w:rsidRPr="00FD50F6" w14:paraId="092FBB71" w14:textId="77777777" w:rsidTr="002B733E">
        <w:trPr>
          <w:trHeight w:val="397"/>
          <w:jc w:val="center"/>
        </w:trPr>
        <w:tc>
          <w:tcPr>
            <w:tcW w:w="5087" w:type="dxa"/>
            <w:gridSpan w:val="2"/>
            <w:tcBorders>
              <w:top w:val="single" w:sz="4" w:space="0" w:color="auto"/>
              <w:left w:val="single" w:sz="4" w:space="0" w:color="auto"/>
              <w:bottom w:val="single" w:sz="4" w:space="0" w:color="auto"/>
              <w:right w:val="single" w:sz="4" w:space="0" w:color="auto"/>
            </w:tcBorders>
            <w:vAlign w:val="center"/>
          </w:tcPr>
          <w:p w14:paraId="164A8C10" w14:textId="77777777" w:rsidR="0071133B" w:rsidRPr="00FD50F6" w:rsidRDefault="0071133B" w:rsidP="0071133B">
            <w:pPr>
              <w:pStyle w:val="7"/>
            </w:pPr>
            <w:r w:rsidRPr="00FD50F6">
              <w:rPr>
                <w:rFonts w:hint="eastAsia"/>
              </w:rPr>
              <w:t>地板面距走行轨面高度</w:t>
            </w:r>
          </w:p>
        </w:tc>
        <w:tc>
          <w:tcPr>
            <w:tcW w:w="1398" w:type="dxa"/>
            <w:tcBorders>
              <w:top w:val="single" w:sz="4" w:space="0" w:color="auto"/>
              <w:left w:val="single" w:sz="4" w:space="0" w:color="auto"/>
              <w:bottom w:val="single" w:sz="4" w:space="0" w:color="auto"/>
              <w:right w:val="single" w:sz="4" w:space="0" w:color="auto"/>
            </w:tcBorders>
            <w:vAlign w:val="center"/>
          </w:tcPr>
          <w:p w14:paraId="44EC08D8" w14:textId="77777777" w:rsidR="0071133B" w:rsidRPr="00FD50F6" w:rsidRDefault="0071133B" w:rsidP="0071133B">
            <w:pPr>
              <w:pStyle w:val="7"/>
            </w:pPr>
            <w:r w:rsidRPr="00FD50F6">
              <w:t>1130</w:t>
            </w:r>
          </w:p>
        </w:tc>
        <w:tc>
          <w:tcPr>
            <w:tcW w:w="1701" w:type="dxa"/>
            <w:tcBorders>
              <w:top w:val="single" w:sz="4" w:space="0" w:color="auto"/>
              <w:left w:val="single" w:sz="4" w:space="0" w:color="auto"/>
              <w:bottom w:val="single" w:sz="4" w:space="0" w:color="auto"/>
              <w:right w:val="single" w:sz="4" w:space="0" w:color="auto"/>
            </w:tcBorders>
            <w:vAlign w:val="center"/>
          </w:tcPr>
          <w:p w14:paraId="2E1C27CD" w14:textId="77777777" w:rsidR="0071133B" w:rsidRPr="00FD50F6" w:rsidRDefault="0071133B" w:rsidP="0071133B">
            <w:pPr>
              <w:pStyle w:val="7"/>
            </w:pPr>
            <w:r w:rsidRPr="00FD50F6">
              <w:t>1100</w:t>
            </w:r>
          </w:p>
        </w:tc>
      </w:tr>
      <w:tr w:rsidR="0071133B" w:rsidRPr="00FD50F6" w14:paraId="57F86F68" w14:textId="77777777" w:rsidTr="002B733E">
        <w:trPr>
          <w:trHeight w:val="397"/>
          <w:jc w:val="center"/>
        </w:trPr>
        <w:tc>
          <w:tcPr>
            <w:tcW w:w="1099" w:type="dxa"/>
            <w:vMerge w:val="restart"/>
            <w:tcBorders>
              <w:top w:val="single" w:sz="4" w:space="0" w:color="auto"/>
              <w:left w:val="single" w:sz="4" w:space="0" w:color="auto"/>
              <w:bottom w:val="single" w:sz="4" w:space="0" w:color="auto"/>
              <w:right w:val="single" w:sz="4" w:space="0" w:color="auto"/>
            </w:tcBorders>
            <w:vAlign w:val="center"/>
          </w:tcPr>
          <w:p w14:paraId="07369AF9" w14:textId="77777777" w:rsidR="0071133B" w:rsidRPr="00FD50F6" w:rsidRDefault="0071133B" w:rsidP="0071133B">
            <w:pPr>
              <w:pStyle w:val="7"/>
            </w:pPr>
            <w:r w:rsidRPr="00FD50F6">
              <w:rPr>
                <w:rFonts w:hint="eastAsia"/>
              </w:rPr>
              <w:t>DC1500V</w:t>
            </w:r>
            <w:r w:rsidRPr="00FD50F6">
              <w:rPr>
                <w:rFonts w:hint="eastAsia"/>
              </w:rPr>
              <w:t>接触轨下部受流</w:t>
            </w:r>
          </w:p>
        </w:tc>
        <w:tc>
          <w:tcPr>
            <w:tcW w:w="3988" w:type="dxa"/>
            <w:tcBorders>
              <w:top w:val="single" w:sz="4" w:space="0" w:color="auto"/>
              <w:left w:val="single" w:sz="4" w:space="0" w:color="auto"/>
              <w:bottom w:val="single" w:sz="4" w:space="0" w:color="auto"/>
              <w:right w:val="single" w:sz="4" w:space="0" w:color="auto"/>
            </w:tcBorders>
            <w:vAlign w:val="center"/>
          </w:tcPr>
          <w:p w14:paraId="54E3E96B" w14:textId="77777777" w:rsidR="0071133B" w:rsidRPr="00FD50F6" w:rsidRDefault="0071133B" w:rsidP="0071133B">
            <w:pPr>
              <w:pStyle w:val="7"/>
            </w:pPr>
            <w:r w:rsidRPr="00FD50F6">
              <w:rPr>
                <w:rFonts w:hint="eastAsia"/>
              </w:rPr>
              <w:t>受流器工作点至转向架中心线水平距离</w:t>
            </w:r>
          </w:p>
        </w:tc>
        <w:tc>
          <w:tcPr>
            <w:tcW w:w="1398" w:type="dxa"/>
            <w:tcBorders>
              <w:top w:val="single" w:sz="4" w:space="0" w:color="auto"/>
              <w:left w:val="single" w:sz="4" w:space="0" w:color="auto"/>
              <w:bottom w:val="single" w:sz="4" w:space="0" w:color="auto"/>
              <w:right w:val="single" w:sz="4" w:space="0" w:color="auto"/>
            </w:tcBorders>
            <w:vAlign w:val="center"/>
          </w:tcPr>
          <w:p w14:paraId="467E9918" w14:textId="77777777" w:rsidR="0071133B" w:rsidRPr="00FD50F6" w:rsidRDefault="0071133B" w:rsidP="0071133B">
            <w:pPr>
              <w:pStyle w:val="7"/>
            </w:pPr>
            <w:r w:rsidRPr="00FD50F6">
              <w:rPr>
                <w:rFonts w:hint="eastAsia"/>
              </w:rPr>
              <w:t>1550</w:t>
            </w:r>
          </w:p>
        </w:tc>
        <w:tc>
          <w:tcPr>
            <w:tcW w:w="1701" w:type="dxa"/>
            <w:tcBorders>
              <w:top w:val="single" w:sz="4" w:space="0" w:color="auto"/>
              <w:left w:val="single" w:sz="4" w:space="0" w:color="auto"/>
              <w:bottom w:val="single" w:sz="4" w:space="0" w:color="auto"/>
              <w:right w:val="single" w:sz="4" w:space="0" w:color="auto"/>
            </w:tcBorders>
            <w:vAlign w:val="center"/>
          </w:tcPr>
          <w:p w14:paraId="01C404CA" w14:textId="77777777" w:rsidR="0071133B" w:rsidRPr="00FD50F6" w:rsidRDefault="0071133B" w:rsidP="0071133B">
            <w:pPr>
              <w:pStyle w:val="7"/>
            </w:pPr>
            <w:r w:rsidRPr="00FD50F6">
              <w:rPr>
                <w:rFonts w:hint="eastAsia"/>
              </w:rPr>
              <w:t>1470</w:t>
            </w:r>
          </w:p>
        </w:tc>
      </w:tr>
      <w:tr w:rsidR="0071133B" w:rsidRPr="00FD50F6" w14:paraId="067B1167" w14:textId="77777777" w:rsidTr="002B733E">
        <w:trPr>
          <w:trHeight w:val="397"/>
          <w:jc w:val="center"/>
        </w:trPr>
        <w:tc>
          <w:tcPr>
            <w:tcW w:w="1099" w:type="dxa"/>
            <w:vMerge/>
            <w:tcBorders>
              <w:top w:val="single" w:sz="4" w:space="0" w:color="auto"/>
              <w:left w:val="single" w:sz="4" w:space="0" w:color="auto"/>
              <w:bottom w:val="single" w:sz="4" w:space="0" w:color="auto"/>
              <w:right w:val="single" w:sz="4" w:space="0" w:color="auto"/>
            </w:tcBorders>
            <w:vAlign w:val="center"/>
          </w:tcPr>
          <w:p w14:paraId="70D6C132" w14:textId="77777777" w:rsidR="0071133B" w:rsidRPr="00FD50F6" w:rsidRDefault="0071133B" w:rsidP="0071133B">
            <w:pPr>
              <w:pStyle w:val="7"/>
            </w:pPr>
          </w:p>
        </w:tc>
        <w:tc>
          <w:tcPr>
            <w:tcW w:w="3988" w:type="dxa"/>
            <w:tcBorders>
              <w:top w:val="single" w:sz="4" w:space="0" w:color="auto"/>
              <w:left w:val="single" w:sz="4" w:space="0" w:color="auto"/>
              <w:bottom w:val="single" w:sz="4" w:space="0" w:color="auto"/>
              <w:right w:val="single" w:sz="4" w:space="0" w:color="auto"/>
            </w:tcBorders>
            <w:vAlign w:val="center"/>
          </w:tcPr>
          <w:p w14:paraId="79BE98E4" w14:textId="77777777" w:rsidR="0071133B" w:rsidRPr="00FD50F6" w:rsidRDefault="0071133B" w:rsidP="0071133B">
            <w:pPr>
              <w:pStyle w:val="7"/>
            </w:pPr>
            <w:r w:rsidRPr="00FD50F6">
              <w:rPr>
                <w:rFonts w:hint="eastAsia"/>
              </w:rPr>
              <w:t>受流器工作面距走行轨面高度</w:t>
            </w:r>
          </w:p>
        </w:tc>
        <w:tc>
          <w:tcPr>
            <w:tcW w:w="1398" w:type="dxa"/>
            <w:tcBorders>
              <w:top w:val="single" w:sz="4" w:space="0" w:color="auto"/>
              <w:left w:val="single" w:sz="4" w:space="0" w:color="auto"/>
              <w:bottom w:val="single" w:sz="4" w:space="0" w:color="auto"/>
              <w:right w:val="single" w:sz="4" w:space="0" w:color="auto"/>
            </w:tcBorders>
            <w:vAlign w:val="center"/>
          </w:tcPr>
          <w:p w14:paraId="1FFC5B3D" w14:textId="77777777" w:rsidR="0071133B" w:rsidRPr="00FD50F6" w:rsidRDefault="0071133B" w:rsidP="0071133B">
            <w:pPr>
              <w:pStyle w:val="7"/>
            </w:pPr>
            <w:r w:rsidRPr="00FD50F6">
              <w:rPr>
                <w:rFonts w:hint="eastAsia"/>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2F45091B" w14:textId="77777777" w:rsidR="0071133B" w:rsidRPr="00FD50F6" w:rsidRDefault="0071133B" w:rsidP="0071133B">
            <w:pPr>
              <w:pStyle w:val="7"/>
            </w:pPr>
            <w:r w:rsidRPr="00FD50F6">
              <w:rPr>
                <w:rFonts w:hint="eastAsia"/>
              </w:rPr>
              <w:t>200</w:t>
            </w:r>
          </w:p>
        </w:tc>
      </w:tr>
      <w:tr w:rsidR="0071133B" w:rsidRPr="00FD50F6" w14:paraId="24EA4537" w14:textId="77777777" w:rsidTr="002B733E">
        <w:trPr>
          <w:trHeight w:val="397"/>
          <w:jc w:val="center"/>
        </w:trPr>
        <w:tc>
          <w:tcPr>
            <w:tcW w:w="1099" w:type="dxa"/>
            <w:vMerge/>
            <w:tcBorders>
              <w:top w:val="single" w:sz="4" w:space="0" w:color="auto"/>
              <w:left w:val="single" w:sz="4" w:space="0" w:color="auto"/>
              <w:bottom w:val="single" w:sz="4" w:space="0" w:color="auto"/>
              <w:right w:val="single" w:sz="4" w:space="0" w:color="auto"/>
            </w:tcBorders>
            <w:vAlign w:val="center"/>
          </w:tcPr>
          <w:p w14:paraId="3A573F8F" w14:textId="77777777" w:rsidR="0071133B" w:rsidRPr="00FD50F6" w:rsidRDefault="0071133B" w:rsidP="0071133B">
            <w:pPr>
              <w:pStyle w:val="7"/>
            </w:pPr>
          </w:p>
        </w:tc>
        <w:tc>
          <w:tcPr>
            <w:tcW w:w="3988" w:type="dxa"/>
            <w:tcBorders>
              <w:top w:val="single" w:sz="4" w:space="0" w:color="auto"/>
              <w:left w:val="single" w:sz="4" w:space="0" w:color="auto"/>
              <w:bottom w:val="single" w:sz="4" w:space="0" w:color="auto"/>
              <w:right w:val="single" w:sz="4" w:space="0" w:color="auto"/>
            </w:tcBorders>
            <w:vAlign w:val="center"/>
          </w:tcPr>
          <w:p w14:paraId="402E320E" w14:textId="77777777" w:rsidR="0071133B" w:rsidRPr="00FD50F6" w:rsidRDefault="0071133B" w:rsidP="0071133B">
            <w:pPr>
              <w:pStyle w:val="7"/>
            </w:pPr>
            <w:r w:rsidRPr="00FD50F6">
              <w:rPr>
                <w:rFonts w:hint="eastAsia"/>
              </w:rPr>
              <w:t>接触轨防护罩内侧至接触轨中心线距离</w:t>
            </w:r>
          </w:p>
        </w:tc>
        <w:tc>
          <w:tcPr>
            <w:tcW w:w="1398" w:type="dxa"/>
            <w:tcBorders>
              <w:top w:val="single" w:sz="4" w:space="0" w:color="auto"/>
              <w:left w:val="single" w:sz="4" w:space="0" w:color="auto"/>
              <w:bottom w:val="single" w:sz="4" w:space="0" w:color="auto"/>
              <w:right w:val="single" w:sz="4" w:space="0" w:color="auto"/>
            </w:tcBorders>
            <w:vAlign w:val="center"/>
          </w:tcPr>
          <w:p w14:paraId="47432C83" w14:textId="77777777" w:rsidR="0071133B" w:rsidRPr="00FD50F6" w:rsidRDefault="0071133B" w:rsidP="0071133B">
            <w:pPr>
              <w:pStyle w:val="7"/>
            </w:pPr>
            <w:r w:rsidRPr="00FD50F6">
              <w:t>≤</w:t>
            </w:r>
            <w:r w:rsidRPr="00FD50F6">
              <w:rPr>
                <w:rFonts w:hint="eastAsia"/>
              </w:rPr>
              <w:t>86</w:t>
            </w:r>
          </w:p>
        </w:tc>
        <w:tc>
          <w:tcPr>
            <w:tcW w:w="1701" w:type="dxa"/>
            <w:tcBorders>
              <w:top w:val="single" w:sz="4" w:space="0" w:color="auto"/>
              <w:left w:val="single" w:sz="4" w:space="0" w:color="auto"/>
              <w:bottom w:val="single" w:sz="4" w:space="0" w:color="auto"/>
              <w:right w:val="single" w:sz="4" w:space="0" w:color="auto"/>
            </w:tcBorders>
            <w:vAlign w:val="center"/>
          </w:tcPr>
          <w:p w14:paraId="770F66DE" w14:textId="77777777" w:rsidR="0071133B" w:rsidRPr="00FD50F6" w:rsidRDefault="0071133B" w:rsidP="0071133B">
            <w:pPr>
              <w:pStyle w:val="7"/>
            </w:pPr>
            <w:r w:rsidRPr="00FD50F6">
              <w:t>≤</w:t>
            </w:r>
            <w:r w:rsidRPr="00FD50F6">
              <w:rPr>
                <w:rFonts w:hint="eastAsia"/>
              </w:rPr>
              <w:t>86</w:t>
            </w:r>
          </w:p>
        </w:tc>
      </w:tr>
      <w:tr w:rsidR="0071133B" w:rsidRPr="00FD50F6" w14:paraId="23345039" w14:textId="77777777" w:rsidTr="002B733E">
        <w:trPr>
          <w:trHeight w:val="397"/>
          <w:jc w:val="center"/>
        </w:trPr>
        <w:tc>
          <w:tcPr>
            <w:tcW w:w="1099" w:type="dxa"/>
            <w:vMerge w:val="restart"/>
            <w:tcBorders>
              <w:top w:val="single" w:sz="4" w:space="0" w:color="auto"/>
              <w:left w:val="single" w:sz="4" w:space="0" w:color="auto"/>
              <w:right w:val="single" w:sz="4" w:space="0" w:color="auto"/>
            </w:tcBorders>
            <w:vAlign w:val="center"/>
          </w:tcPr>
          <w:p w14:paraId="4A6E1E7B" w14:textId="5748C524" w:rsidR="0071133B" w:rsidRPr="00FD50F6" w:rsidRDefault="0071133B" w:rsidP="0071133B">
            <w:pPr>
              <w:pStyle w:val="7"/>
            </w:pPr>
            <w:r w:rsidRPr="00FD50F6">
              <w:rPr>
                <w:rFonts w:hint="eastAsia"/>
              </w:rPr>
              <w:t>DC750V</w:t>
            </w:r>
            <w:r w:rsidRPr="00FD50F6">
              <w:rPr>
                <w:rFonts w:hint="eastAsia"/>
              </w:rPr>
              <w:t>接触轨上部受流</w:t>
            </w:r>
          </w:p>
          <w:p w14:paraId="7D9423CE" w14:textId="77777777" w:rsidR="0071133B" w:rsidRPr="00FD50F6" w:rsidRDefault="0071133B" w:rsidP="0071133B">
            <w:pPr>
              <w:pStyle w:val="7"/>
            </w:pPr>
          </w:p>
        </w:tc>
        <w:tc>
          <w:tcPr>
            <w:tcW w:w="3988" w:type="dxa"/>
            <w:tcBorders>
              <w:top w:val="single" w:sz="4" w:space="0" w:color="auto"/>
              <w:left w:val="single" w:sz="4" w:space="0" w:color="auto"/>
              <w:bottom w:val="single" w:sz="4" w:space="0" w:color="auto"/>
              <w:right w:val="single" w:sz="4" w:space="0" w:color="auto"/>
            </w:tcBorders>
            <w:vAlign w:val="center"/>
          </w:tcPr>
          <w:p w14:paraId="372E8ED9" w14:textId="77777777" w:rsidR="0071133B" w:rsidRPr="00FD50F6" w:rsidRDefault="0071133B" w:rsidP="0071133B">
            <w:pPr>
              <w:pStyle w:val="7"/>
            </w:pPr>
            <w:r w:rsidRPr="00FD50F6">
              <w:rPr>
                <w:rFonts w:hint="eastAsia"/>
              </w:rPr>
              <w:t>受流器工作点至转向架中心线水平距离</w:t>
            </w:r>
          </w:p>
        </w:tc>
        <w:tc>
          <w:tcPr>
            <w:tcW w:w="1398" w:type="dxa"/>
            <w:tcBorders>
              <w:top w:val="single" w:sz="4" w:space="0" w:color="auto"/>
              <w:left w:val="single" w:sz="4" w:space="0" w:color="auto"/>
              <w:bottom w:val="single" w:sz="4" w:space="0" w:color="auto"/>
              <w:right w:val="single" w:sz="4" w:space="0" w:color="auto"/>
            </w:tcBorders>
            <w:vAlign w:val="center"/>
          </w:tcPr>
          <w:p w14:paraId="102ADBCC" w14:textId="1DBFCBF3" w:rsidR="0071133B" w:rsidRPr="00873AA4" w:rsidRDefault="0071133B" w:rsidP="0071133B">
            <w:pPr>
              <w:pStyle w:val="7"/>
            </w:pPr>
            <w:r w:rsidRPr="00FD50F6">
              <w:rPr>
                <w:rFonts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573EE717" w14:textId="61FFE2E5" w:rsidR="0071133B" w:rsidRPr="00FD50F6" w:rsidRDefault="0071133B" w:rsidP="0071133B">
            <w:pPr>
              <w:pStyle w:val="7"/>
            </w:pPr>
            <w:r w:rsidRPr="00FD50F6">
              <w:rPr>
                <w:rFonts w:hint="eastAsia"/>
              </w:rPr>
              <w:t>1417.5</w:t>
            </w:r>
          </w:p>
        </w:tc>
      </w:tr>
      <w:tr w:rsidR="0071133B" w:rsidRPr="00FD50F6" w14:paraId="78A3111E" w14:textId="77777777" w:rsidTr="002B733E">
        <w:trPr>
          <w:trHeight w:val="397"/>
          <w:jc w:val="center"/>
        </w:trPr>
        <w:tc>
          <w:tcPr>
            <w:tcW w:w="1099" w:type="dxa"/>
            <w:vMerge/>
            <w:tcBorders>
              <w:left w:val="single" w:sz="4" w:space="0" w:color="auto"/>
              <w:right w:val="single" w:sz="4" w:space="0" w:color="auto"/>
            </w:tcBorders>
            <w:vAlign w:val="center"/>
          </w:tcPr>
          <w:p w14:paraId="28F65FA5" w14:textId="77777777" w:rsidR="0071133B" w:rsidRPr="00FD50F6" w:rsidRDefault="0071133B" w:rsidP="0071133B">
            <w:pPr>
              <w:pStyle w:val="7"/>
            </w:pPr>
          </w:p>
        </w:tc>
        <w:tc>
          <w:tcPr>
            <w:tcW w:w="3988" w:type="dxa"/>
            <w:tcBorders>
              <w:top w:val="single" w:sz="4" w:space="0" w:color="auto"/>
              <w:left w:val="single" w:sz="4" w:space="0" w:color="auto"/>
              <w:bottom w:val="single" w:sz="4" w:space="0" w:color="auto"/>
              <w:right w:val="single" w:sz="4" w:space="0" w:color="auto"/>
            </w:tcBorders>
            <w:vAlign w:val="center"/>
          </w:tcPr>
          <w:p w14:paraId="0EBFF49E" w14:textId="77777777" w:rsidR="0071133B" w:rsidRPr="00FD50F6" w:rsidRDefault="0071133B" w:rsidP="0071133B">
            <w:pPr>
              <w:pStyle w:val="7"/>
            </w:pPr>
            <w:r w:rsidRPr="00FD50F6">
              <w:rPr>
                <w:rFonts w:hint="eastAsia"/>
              </w:rPr>
              <w:t>受流器工作面距走行轨面高度</w:t>
            </w:r>
          </w:p>
        </w:tc>
        <w:tc>
          <w:tcPr>
            <w:tcW w:w="1398" w:type="dxa"/>
            <w:tcBorders>
              <w:top w:val="single" w:sz="4" w:space="0" w:color="auto"/>
              <w:left w:val="single" w:sz="4" w:space="0" w:color="auto"/>
              <w:bottom w:val="single" w:sz="4" w:space="0" w:color="auto"/>
              <w:right w:val="single" w:sz="4" w:space="0" w:color="auto"/>
            </w:tcBorders>
            <w:vAlign w:val="center"/>
          </w:tcPr>
          <w:p w14:paraId="7518034C" w14:textId="30B05F2F" w:rsidR="0071133B" w:rsidRPr="00873AA4" w:rsidRDefault="0071133B" w:rsidP="0071133B">
            <w:pPr>
              <w:pStyle w:val="7"/>
            </w:pPr>
            <w:r w:rsidRPr="00FD50F6">
              <w:rPr>
                <w:rFonts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354379C3" w14:textId="79404871" w:rsidR="0071133B" w:rsidRPr="00FD50F6" w:rsidRDefault="0071133B" w:rsidP="0071133B">
            <w:pPr>
              <w:pStyle w:val="7"/>
            </w:pPr>
            <w:r w:rsidRPr="00FD50F6">
              <w:rPr>
                <w:rFonts w:hint="eastAsia"/>
              </w:rPr>
              <w:t>140</w:t>
            </w:r>
          </w:p>
        </w:tc>
      </w:tr>
      <w:tr w:rsidR="0071133B" w:rsidRPr="00FD50F6" w14:paraId="4E86C74D" w14:textId="77777777" w:rsidTr="002B733E">
        <w:trPr>
          <w:trHeight w:val="397"/>
          <w:jc w:val="center"/>
        </w:trPr>
        <w:tc>
          <w:tcPr>
            <w:tcW w:w="1099" w:type="dxa"/>
            <w:vMerge/>
            <w:tcBorders>
              <w:left w:val="single" w:sz="4" w:space="0" w:color="auto"/>
              <w:bottom w:val="single" w:sz="4" w:space="0" w:color="auto"/>
              <w:right w:val="single" w:sz="4" w:space="0" w:color="auto"/>
            </w:tcBorders>
            <w:vAlign w:val="center"/>
          </w:tcPr>
          <w:p w14:paraId="22D49F97" w14:textId="77777777" w:rsidR="0071133B" w:rsidRPr="00FD50F6" w:rsidRDefault="0071133B" w:rsidP="0071133B">
            <w:pPr>
              <w:pStyle w:val="7"/>
            </w:pPr>
          </w:p>
        </w:tc>
        <w:tc>
          <w:tcPr>
            <w:tcW w:w="3988" w:type="dxa"/>
            <w:tcBorders>
              <w:top w:val="single" w:sz="4" w:space="0" w:color="auto"/>
              <w:left w:val="single" w:sz="4" w:space="0" w:color="auto"/>
              <w:bottom w:val="single" w:sz="4" w:space="0" w:color="auto"/>
              <w:right w:val="single" w:sz="4" w:space="0" w:color="auto"/>
            </w:tcBorders>
            <w:vAlign w:val="center"/>
          </w:tcPr>
          <w:p w14:paraId="51FB28B7" w14:textId="77777777" w:rsidR="0071133B" w:rsidRPr="00FD50F6" w:rsidRDefault="0071133B" w:rsidP="0071133B">
            <w:pPr>
              <w:pStyle w:val="7"/>
            </w:pPr>
            <w:r w:rsidRPr="00FD50F6">
              <w:rPr>
                <w:rFonts w:hint="eastAsia"/>
              </w:rPr>
              <w:t>接触轨防护罩内侧至接触轨中心线距离</w:t>
            </w:r>
          </w:p>
        </w:tc>
        <w:tc>
          <w:tcPr>
            <w:tcW w:w="1398" w:type="dxa"/>
            <w:tcBorders>
              <w:top w:val="single" w:sz="4" w:space="0" w:color="auto"/>
              <w:left w:val="single" w:sz="4" w:space="0" w:color="auto"/>
              <w:bottom w:val="single" w:sz="4" w:space="0" w:color="auto"/>
              <w:right w:val="single" w:sz="4" w:space="0" w:color="auto"/>
            </w:tcBorders>
            <w:vAlign w:val="center"/>
          </w:tcPr>
          <w:p w14:paraId="2B55CB8C" w14:textId="442E2BAC" w:rsidR="0071133B" w:rsidRPr="00873AA4" w:rsidRDefault="0071133B" w:rsidP="0071133B">
            <w:pPr>
              <w:pStyle w:val="7"/>
            </w:pPr>
            <w:r w:rsidRPr="00FD50F6">
              <w:rPr>
                <w:rFonts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156E9640" w14:textId="66A3C78A" w:rsidR="0071133B" w:rsidRPr="00FD50F6" w:rsidRDefault="0071133B" w:rsidP="0071133B">
            <w:pPr>
              <w:pStyle w:val="7"/>
            </w:pPr>
            <w:r w:rsidRPr="00FD50F6">
              <w:rPr>
                <w:rFonts w:hint="eastAsia"/>
              </w:rPr>
              <w:t>—</w:t>
            </w:r>
          </w:p>
        </w:tc>
      </w:tr>
    </w:tbl>
    <w:p w14:paraId="16448362" w14:textId="77777777" w:rsidR="002B733E" w:rsidRPr="00CD1063" w:rsidRDefault="002B733E" w:rsidP="00873AA4">
      <w:pPr>
        <w:pStyle w:val="9"/>
        <w:ind w:firstLineChars="95" w:firstLine="199"/>
        <w:rPr>
          <w:rFonts w:ascii="宋体" w:eastAsia="宋体" w:hAnsi="宋体"/>
        </w:rPr>
      </w:pPr>
      <w:r w:rsidRPr="00CD1063">
        <w:rPr>
          <w:rFonts w:ascii="宋体" w:eastAsia="宋体" w:hAnsi="宋体" w:cs="Times New Roman" w:hint="eastAsia"/>
          <w:sz w:val="21"/>
        </w:rPr>
        <w:t>注：本表供限界设计使用。</w:t>
      </w:r>
    </w:p>
    <w:p w14:paraId="5D710889" w14:textId="77777777" w:rsidR="002B733E" w:rsidRPr="00FD50F6" w:rsidRDefault="002B733E" w:rsidP="002B733E">
      <w:pPr>
        <w:pStyle w:val="30"/>
      </w:pPr>
      <w:r w:rsidRPr="00FD50F6">
        <w:rPr>
          <w:rFonts w:hint="eastAsia"/>
        </w:rPr>
        <w:t>制定限界的基本参数应符合下列规定：</w:t>
      </w:r>
    </w:p>
    <w:p w14:paraId="546169FA" w14:textId="1E51974E" w:rsidR="002B733E" w:rsidRPr="00FD50F6" w:rsidRDefault="002B733E" w:rsidP="00A926BD">
      <w:pPr>
        <w:pStyle w:val="4"/>
      </w:pPr>
      <w:r w:rsidRPr="00FD50F6">
        <w:rPr>
          <w:rFonts w:hint="eastAsia"/>
        </w:rPr>
        <w:t>接触线距轨面安装高度应符合本标准第</w:t>
      </w:r>
      <w:r w:rsidRPr="00FD50F6">
        <w:rPr>
          <w:rFonts w:hint="eastAsia"/>
        </w:rPr>
        <w:t>1</w:t>
      </w:r>
      <w:r w:rsidR="00F70ADA" w:rsidRPr="00FD50F6">
        <w:rPr>
          <w:rFonts w:hint="eastAsia"/>
        </w:rPr>
        <w:t>6</w:t>
      </w:r>
      <w:r w:rsidRPr="00FD50F6">
        <w:rPr>
          <w:rFonts w:hint="eastAsia"/>
        </w:rPr>
        <w:t>.3.19</w:t>
      </w:r>
      <w:r w:rsidRPr="00FD50F6">
        <w:rPr>
          <w:rFonts w:hint="eastAsia"/>
        </w:rPr>
        <w:t>条的规定；</w:t>
      </w:r>
    </w:p>
    <w:p w14:paraId="382B7F7A" w14:textId="7DB3EE02" w:rsidR="002B733E" w:rsidRPr="00FD50F6" w:rsidRDefault="002B733E" w:rsidP="00A926BD">
      <w:pPr>
        <w:pStyle w:val="4"/>
      </w:pPr>
      <w:r w:rsidRPr="00FD50F6">
        <w:rPr>
          <w:rFonts w:hint="eastAsia"/>
        </w:rPr>
        <w:t>轨道结构高度应符合本标准表</w:t>
      </w:r>
      <w:r w:rsidR="00F70ADA" w:rsidRPr="00FD50F6">
        <w:t>8</w:t>
      </w:r>
      <w:r w:rsidRPr="00FD50F6">
        <w:t>.2.</w:t>
      </w:r>
      <w:r w:rsidRPr="00FD50F6">
        <w:rPr>
          <w:rFonts w:hint="eastAsia"/>
        </w:rPr>
        <w:t>5</w:t>
      </w:r>
      <w:r w:rsidRPr="00FD50F6">
        <w:t>-1</w:t>
      </w:r>
      <w:r w:rsidRPr="00FD50F6">
        <w:rPr>
          <w:rFonts w:hint="eastAsia"/>
        </w:rPr>
        <w:t>~3</w:t>
      </w:r>
      <w:r w:rsidRPr="00FD50F6">
        <w:rPr>
          <w:rFonts w:hint="eastAsia"/>
        </w:rPr>
        <w:t>的规定；</w:t>
      </w:r>
    </w:p>
    <w:p w14:paraId="77C6351F" w14:textId="77777777" w:rsidR="002B733E" w:rsidRPr="00FD50F6" w:rsidRDefault="002B733E" w:rsidP="00A926BD">
      <w:pPr>
        <w:pStyle w:val="4"/>
      </w:pPr>
      <w:r w:rsidRPr="00FD50F6">
        <w:rPr>
          <w:rFonts w:hint="eastAsia"/>
        </w:rPr>
        <w:t>高架线或地面线风荷载应为</w:t>
      </w:r>
      <w:r w:rsidRPr="00FD50F6">
        <w:rPr>
          <w:rFonts w:hint="eastAsia"/>
        </w:rPr>
        <w:t>400N/m</w:t>
      </w:r>
      <w:r w:rsidRPr="00FD50F6">
        <w:rPr>
          <w:rFonts w:hint="eastAsia"/>
          <w:vertAlign w:val="superscript"/>
        </w:rPr>
        <w:t>2</w:t>
      </w:r>
      <w:r w:rsidRPr="00FD50F6">
        <w:rPr>
          <w:rFonts w:hint="eastAsia"/>
        </w:rPr>
        <w:t>；</w:t>
      </w:r>
    </w:p>
    <w:p w14:paraId="09F0E33F" w14:textId="2790452A" w:rsidR="002B733E" w:rsidRPr="00FD50F6" w:rsidRDefault="002B733E" w:rsidP="00A926BD">
      <w:pPr>
        <w:pStyle w:val="4"/>
      </w:pPr>
      <w:r w:rsidRPr="00FD50F6">
        <w:rPr>
          <w:rFonts w:hint="eastAsia"/>
        </w:rPr>
        <w:t>列车过站限界计算速度应为</w:t>
      </w:r>
      <w:r w:rsidRPr="00FD50F6">
        <w:rPr>
          <w:rFonts w:hint="eastAsia"/>
        </w:rPr>
        <w:t>110km/h</w:t>
      </w:r>
      <w:r w:rsidRPr="00FD50F6">
        <w:rPr>
          <w:rFonts w:hint="eastAsia"/>
        </w:rPr>
        <w:t>；</w:t>
      </w:r>
    </w:p>
    <w:p w14:paraId="794A9A76" w14:textId="544A6AD1" w:rsidR="002B733E" w:rsidRPr="00FD50F6" w:rsidRDefault="002B733E" w:rsidP="00A926BD">
      <w:pPr>
        <w:pStyle w:val="4"/>
      </w:pPr>
      <w:r w:rsidRPr="00FD50F6">
        <w:rPr>
          <w:rFonts w:hint="eastAsia"/>
        </w:rPr>
        <w:t>区间限界计算速度应为</w:t>
      </w:r>
      <w:r w:rsidRPr="00FD50F6">
        <w:rPr>
          <w:rFonts w:hint="eastAsia"/>
        </w:rPr>
        <w:t>132km/h</w:t>
      </w:r>
      <w:r w:rsidRPr="00FD50F6">
        <w:rPr>
          <w:rFonts w:hint="eastAsia"/>
        </w:rPr>
        <w:t>；</w:t>
      </w:r>
    </w:p>
    <w:p w14:paraId="3E149202" w14:textId="1CC9AF74" w:rsidR="002B733E" w:rsidRPr="00FD50F6" w:rsidRDefault="002B733E" w:rsidP="00A926BD">
      <w:pPr>
        <w:pStyle w:val="4"/>
      </w:pPr>
      <w:r w:rsidRPr="00FD50F6">
        <w:rPr>
          <w:rFonts w:hint="eastAsia"/>
        </w:rPr>
        <w:t>当区间设置疏散平台时应符合下列规定：</w:t>
      </w:r>
    </w:p>
    <w:p w14:paraId="36323B5B" w14:textId="005CBF2D" w:rsidR="002B733E" w:rsidRPr="00FD50F6" w:rsidRDefault="002B733E" w:rsidP="002B733E">
      <w:pPr>
        <w:pStyle w:val="5"/>
        <w:ind w:firstLine="480"/>
      </w:pPr>
      <w:r w:rsidRPr="00FD50F6">
        <w:rPr>
          <w:rFonts w:hint="eastAsia"/>
        </w:rPr>
        <w:t>疏散平台最小宽度应符合表</w:t>
      </w:r>
      <w:r w:rsidR="00F70ADA" w:rsidRPr="00FD50F6">
        <w:rPr>
          <w:rFonts w:hint="eastAsia"/>
        </w:rPr>
        <w:t>6</w:t>
      </w:r>
      <w:r w:rsidRPr="00FD50F6">
        <w:rPr>
          <w:rFonts w:hint="eastAsia"/>
        </w:rPr>
        <w:t>.2.2</w:t>
      </w:r>
      <w:r w:rsidRPr="00FD50F6">
        <w:rPr>
          <w:rFonts w:hint="eastAsia"/>
        </w:rPr>
        <w:t>的规定；</w:t>
      </w:r>
    </w:p>
    <w:p w14:paraId="401BE9BA" w14:textId="77AD6EBC" w:rsidR="002B733E" w:rsidRPr="00FD50F6" w:rsidRDefault="002B733E" w:rsidP="002B733E">
      <w:pPr>
        <w:pStyle w:val="6"/>
      </w:pPr>
      <w:r w:rsidRPr="00FD50F6">
        <w:rPr>
          <w:rFonts w:hint="eastAsia"/>
        </w:rPr>
        <w:t>表</w:t>
      </w:r>
      <w:r w:rsidR="00F70ADA" w:rsidRPr="00FD50F6">
        <w:rPr>
          <w:rFonts w:hint="eastAsia"/>
        </w:rPr>
        <w:t>6</w:t>
      </w:r>
      <w:r w:rsidRPr="00FD50F6">
        <w:rPr>
          <w:rFonts w:hint="eastAsia"/>
        </w:rPr>
        <w:t xml:space="preserve">.2.2  </w:t>
      </w:r>
      <w:r w:rsidRPr="00FD50F6">
        <w:rPr>
          <w:rFonts w:hint="eastAsia"/>
        </w:rPr>
        <w:t>疏散平台最小宽度（</w:t>
      </w:r>
      <w:r w:rsidRPr="00FD50F6">
        <w:t>mm</w:t>
      </w:r>
      <w:r w:rsidRPr="00FD50F6">
        <w:rPr>
          <w:rFonts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57"/>
        <w:gridCol w:w="1704"/>
        <w:gridCol w:w="1705"/>
        <w:gridCol w:w="1705"/>
      </w:tblGrid>
      <w:tr w:rsidR="00FD50F6" w:rsidRPr="00FD50F6" w14:paraId="729109C5" w14:textId="77777777" w:rsidTr="00CD1063">
        <w:trPr>
          <w:jc w:val="center"/>
        </w:trPr>
        <w:tc>
          <w:tcPr>
            <w:tcW w:w="1951" w:type="dxa"/>
            <w:vMerge w:val="restart"/>
            <w:vAlign w:val="center"/>
          </w:tcPr>
          <w:p w14:paraId="09E24BFB" w14:textId="342D8041" w:rsidR="002B733E" w:rsidRPr="00FD50F6" w:rsidRDefault="00367D04" w:rsidP="00367D04">
            <w:pPr>
              <w:pStyle w:val="7"/>
            </w:pPr>
            <w:r>
              <w:rPr>
                <w:rFonts w:hint="eastAsia"/>
              </w:rPr>
              <w:t>疏散平台设置方式</w:t>
            </w:r>
          </w:p>
        </w:tc>
        <w:tc>
          <w:tcPr>
            <w:tcW w:w="3161" w:type="dxa"/>
            <w:gridSpan w:val="2"/>
          </w:tcPr>
          <w:p w14:paraId="498993A1" w14:textId="77777777" w:rsidR="002B733E" w:rsidRPr="00FD50F6" w:rsidRDefault="002B733E" w:rsidP="002B733E">
            <w:pPr>
              <w:pStyle w:val="7"/>
            </w:pPr>
            <w:r w:rsidRPr="00FD50F6">
              <w:rPr>
                <w:rFonts w:hint="eastAsia"/>
              </w:rPr>
              <w:t>隧道内</w:t>
            </w:r>
          </w:p>
        </w:tc>
        <w:tc>
          <w:tcPr>
            <w:tcW w:w="3410" w:type="dxa"/>
            <w:gridSpan w:val="2"/>
          </w:tcPr>
          <w:p w14:paraId="3DF17136" w14:textId="77777777" w:rsidR="002B733E" w:rsidRPr="00FD50F6" w:rsidRDefault="002B733E" w:rsidP="002B733E">
            <w:pPr>
              <w:pStyle w:val="7"/>
            </w:pPr>
            <w:r w:rsidRPr="00FD50F6">
              <w:rPr>
                <w:rFonts w:hint="eastAsia"/>
              </w:rPr>
              <w:t>隧道外</w:t>
            </w:r>
          </w:p>
        </w:tc>
      </w:tr>
      <w:tr w:rsidR="00FD50F6" w:rsidRPr="00FD50F6" w14:paraId="3962375E" w14:textId="77777777" w:rsidTr="002B733E">
        <w:trPr>
          <w:jc w:val="center"/>
        </w:trPr>
        <w:tc>
          <w:tcPr>
            <w:tcW w:w="1951" w:type="dxa"/>
            <w:vMerge/>
          </w:tcPr>
          <w:p w14:paraId="4130ACA6" w14:textId="77777777" w:rsidR="002B733E" w:rsidRPr="00FD50F6" w:rsidRDefault="002B733E" w:rsidP="002B733E">
            <w:pPr>
              <w:pStyle w:val="7"/>
            </w:pPr>
          </w:p>
        </w:tc>
        <w:tc>
          <w:tcPr>
            <w:tcW w:w="1457" w:type="dxa"/>
          </w:tcPr>
          <w:p w14:paraId="035C2D4E" w14:textId="77777777" w:rsidR="002B733E" w:rsidRPr="00FD50F6" w:rsidRDefault="002B733E" w:rsidP="002B733E">
            <w:pPr>
              <w:pStyle w:val="7"/>
            </w:pPr>
            <w:r w:rsidRPr="00FD50F6">
              <w:rPr>
                <w:rFonts w:hint="eastAsia"/>
              </w:rPr>
              <w:t>一般情况</w:t>
            </w:r>
          </w:p>
        </w:tc>
        <w:tc>
          <w:tcPr>
            <w:tcW w:w="1704" w:type="dxa"/>
          </w:tcPr>
          <w:p w14:paraId="0242CA61" w14:textId="77777777" w:rsidR="002B733E" w:rsidRPr="00FD50F6" w:rsidRDefault="002B733E" w:rsidP="002B733E">
            <w:pPr>
              <w:pStyle w:val="7"/>
            </w:pPr>
            <w:r w:rsidRPr="00FD50F6">
              <w:rPr>
                <w:rFonts w:hint="eastAsia"/>
              </w:rPr>
              <w:t>困难情况</w:t>
            </w:r>
          </w:p>
        </w:tc>
        <w:tc>
          <w:tcPr>
            <w:tcW w:w="1705" w:type="dxa"/>
          </w:tcPr>
          <w:p w14:paraId="575A91D3" w14:textId="77777777" w:rsidR="002B733E" w:rsidRPr="00FD50F6" w:rsidRDefault="002B733E" w:rsidP="002B733E">
            <w:pPr>
              <w:pStyle w:val="7"/>
            </w:pPr>
            <w:r w:rsidRPr="00FD50F6">
              <w:rPr>
                <w:rFonts w:hint="eastAsia"/>
              </w:rPr>
              <w:t>一般情况</w:t>
            </w:r>
          </w:p>
        </w:tc>
        <w:tc>
          <w:tcPr>
            <w:tcW w:w="1705" w:type="dxa"/>
          </w:tcPr>
          <w:p w14:paraId="48993A66" w14:textId="77777777" w:rsidR="002B733E" w:rsidRPr="00FD50F6" w:rsidRDefault="002B733E" w:rsidP="002B733E">
            <w:pPr>
              <w:pStyle w:val="7"/>
            </w:pPr>
            <w:r w:rsidRPr="00FD50F6">
              <w:rPr>
                <w:rFonts w:hint="eastAsia"/>
              </w:rPr>
              <w:t>困难情况</w:t>
            </w:r>
          </w:p>
        </w:tc>
      </w:tr>
      <w:tr w:rsidR="00FD50F6" w:rsidRPr="00FD50F6" w14:paraId="660A07B4" w14:textId="77777777" w:rsidTr="002B733E">
        <w:trPr>
          <w:jc w:val="center"/>
        </w:trPr>
        <w:tc>
          <w:tcPr>
            <w:tcW w:w="1951" w:type="dxa"/>
          </w:tcPr>
          <w:p w14:paraId="07F2E299" w14:textId="77777777" w:rsidR="002B733E" w:rsidRPr="00FD50F6" w:rsidRDefault="002B733E" w:rsidP="002B733E">
            <w:pPr>
              <w:pStyle w:val="7"/>
            </w:pPr>
            <w:r w:rsidRPr="00FD50F6">
              <w:rPr>
                <w:rFonts w:hint="eastAsia"/>
              </w:rPr>
              <w:t>单线（设于一侧）</w:t>
            </w:r>
          </w:p>
        </w:tc>
        <w:tc>
          <w:tcPr>
            <w:tcW w:w="1457" w:type="dxa"/>
            <w:vAlign w:val="center"/>
          </w:tcPr>
          <w:p w14:paraId="0BEBCC12" w14:textId="77777777" w:rsidR="002B733E" w:rsidRPr="00FD50F6" w:rsidRDefault="002B733E" w:rsidP="002B733E">
            <w:pPr>
              <w:pStyle w:val="7"/>
            </w:pPr>
            <w:r w:rsidRPr="00FD50F6">
              <w:rPr>
                <w:rFonts w:hint="eastAsia"/>
              </w:rPr>
              <w:t>700</w:t>
            </w:r>
          </w:p>
        </w:tc>
        <w:tc>
          <w:tcPr>
            <w:tcW w:w="1704" w:type="dxa"/>
            <w:vAlign w:val="center"/>
          </w:tcPr>
          <w:p w14:paraId="700082C3" w14:textId="537E27E5" w:rsidR="002B733E" w:rsidRPr="00FD50F6" w:rsidRDefault="002B733E" w:rsidP="002B733E">
            <w:pPr>
              <w:pStyle w:val="7"/>
            </w:pPr>
            <w:r w:rsidRPr="00FD50F6">
              <w:rPr>
                <w:rFonts w:hint="eastAsia"/>
              </w:rPr>
              <w:t>550</w:t>
            </w:r>
          </w:p>
        </w:tc>
        <w:tc>
          <w:tcPr>
            <w:tcW w:w="1705" w:type="dxa"/>
            <w:vAlign w:val="center"/>
          </w:tcPr>
          <w:p w14:paraId="5EA563D5" w14:textId="77777777" w:rsidR="002B733E" w:rsidRPr="00FD50F6" w:rsidRDefault="002B733E" w:rsidP="002B733E">
            <w:pPr>
              <w:pStyle w:val="7"/>
            </w:pPr>
            <w:r w:rsidRPr="00FD50F6">
              <w:rPr>
                <w:rFonts w:hint="eastAsia"/>
              </w:rPr>
              <w:t>700</w:t>
            </w:r>
          </w:p>
        </w:tc>
        <w:tc>
          <w:tcPr>
            <w:tcW w:w="1705" w:type="dxa"/>
            <w:vAlign w:val="center"/>
          </w:tcPr>
          <w:p w14:paraId="09F3B8ED" w14:textId="29CD50F0" w:rsidR="002B733E" w:rsidRPr="00FD50F6" w:rsidRDefault="002B733E" w:rsidP="002B733E">
            <w:pPr>
              <w:pStyle w:val="7"/>
            </w:pPr>
            <w:r w:rsidRPr="00FD50F6">
              <w:rPr>
                <w:rFonts w:hint="eastAsia"/>
              </w:rPr>
              <w:t>550</w:t>
            </w:r>
          </w:p>
        </w:tc>
      </w:tr>
      <w:tr w:rsidR="00FD50F6" w:rsidRPr="00FD50F6" w14:paraId="0F522D63" w14:textId="77777777" w:rsidTr="002B733E">
        <w:trPr>
          <w:jc w:val="center"/>
        </w:trPr>
        <w:tc>
          <w:tcPr>
            <w:tcW w:w="1951" w:type="dxa"/>
          </w:tcPr>
          <w:p w14:paraId="29D679A8" w14:textId="77777777" w:rsidR="002B733E" w:rsidRPr="00FD50F6" w:rsidRDefault="002B733E" w:rsidP="002B733E">
            <w:pPr>
              <w:pStyle w:val="7"/>
            </w:pPr>
            <w:r w:rsidRPr="00FD50F6">
              <w:rPr>
                <w:rFonts w:hint="eastAsia"/>
              </w:rPr>
              <w:t>双线（设于中央）</w:t>
            </w:r>
          </w:p>
        </w:tc>
        <w:tc>
          <w:tcPr>
            <w:tcW w:w="1457" w:type="dxa"/>
            <w:vAlign w:val="center"/>
          </w:tcPr>
          <w:p w14:paraId="2405DFC6" w14:textId="77777777" w:rsidR="002B733E" w:rsidRPr="00FD50F6" w:rsidRDefault="002B733E" w:rsidP="002B733E">
            <w:pPr>
              <w:pStyle w:val="7"/>
            </w:pPr>
            <w:r w:rsidRPr="00FD50F6">
              <w:rPr>
                <w:rFonts w:hint="eastAsia"/>
              </w:rPr>
              <w:t>1000</w:t>
            </w:r>
          </w:p>
        </w:tc>
        <w:tc>
          <w:tcPr>
            <w:tcW w:w="1704" w:type="dxa"/>
            <w:vAlign w:val="center"/>
          </w:tcPr>
          <w:p w14:paraId="10667C2F" w14:textId="77777777" w:rsidR="002B733E" w:rsidRPr="00FD50F6" w:rsidRDefault="002B733E" w:rsidP="002B733E">
            <w:pPr>
              <w:pStyle w:val="7"/>
            </w:pPr>
            <w:r w:rsidRPr="00FD50F6">
              <w:rPr>
                <w:rFonts w:hint="eastAsia"/>
              </w:rPr>
              <w:t>800</w:t>
            </w:r>
          </w:p>
        </w:tc>
        <w:tc>
          <w:tcPr>
            <w:tcW w:w="1705" w:type="dxa"/>
            <w:vAlign w:val="center"/>
          </w:tcPr>
          <w:p w14:paraId="46B6D4F7" w14:textId="77777777" w:rsidR="002B733E" w:rsidRPr="00FD50F6" w:rsidRDefault="002B733E" w:rsidP="002B733E">
            <w:pPr>
              <w:pStyle w:val="7"/>
            </w:pPr>
            <w:r w:rsidRPr="00FD50F6">
              <w:rPr>
                <w:rFonts w:hint="eastAsia"/>
              </w:rPr>
              <w:t>1000</w:t>
            </w:r>
          </w:p>
        </w:tc>
        <w:tc>
          <w:tcPr>
            <w:tcW w:w="1705" w:type="dxa"/>
            <w:vAlign w:val="center"/>
          </w:tcPr>
          <w:p w14:paraId="6F14E2EA" w14:textId="77777777" w:rsidR="002B733E" w:rsidRPr="00FD50F6" w:rsidRDefault="002B733E" w:rsidP="002B733E">
            <w:pPr>
              <w:pStyle w:val="7"/>
            </w:pPr>
            <w:r w:rsidRPr="00FD50F6">
              <w:rPr>
                <w:rFonts w:hint="eastAsia"/>
              </w:rPr>
              <w:t>800</w:t>
            </w:r>
          </w:p>
        </w:tc>
      </w:tr>
    </w:tbl>
    <w:p w14:paraId="5EA3E489" w14:textId="44A6CB5F" w:rsidR="002B733E" w:rsidRPr="00FD50F6" w:rsidRDefault="002B733E" w:rsidP="002B733E">
      <w:pPr>
        <w:pStyle w:val="5"/>
        <w:ind w:firstLine="480"/>
      </w:pPr>
      <w:r w:rsidRPr="00FD50F6">
        <w:rPr>
          <w:rFonts w:hint="eastAsia"/>
        </w:rPr>
        <w:t>疏散平台顶面距轨面高度宜采用</w:t>
      </w:r>
      <w:r w:rsidRPr="00FD50F6">
        <w:rPr>
          <w:rFonts w:hint="eastAsia"/>
        </w:rPr>
        <w:t>950mm</w:t>
      </w:r>
      <w:r w:rsidRPr="00FD50F6">
        <w:rPr>
          <w:rFonts w:hint="eastAsia"/>
        </w:rPr>
        <w:t>。</w:t>
      </w:r>
    </w:p>
    <w:p w14:paraId="5083571A" w14:textId="77777777" w:rsidR="002B733E" w:rsidRPr="00FD50F6" w:rsidRDefault="002B733E" w:rsidP="00A65181">
      <w:pPr>
        <w:pStyle w:val="2"/>
      </w:pPr>
      <w:bookmarkStart w:id="250" w:name="_Toc321985471"/>
      <w:bookmarkStart w:id="251" w:name="_Toc320115632"/>
      <w:bookmarkStart w:id="252" w:name="_Toc306203665"/>
      <w:bookmarkStart w:id="253" w:name="_Toc320639543"/>
      <w:bookmarkStart w:id="254" w:name="_Toc236147313"/>
      <w:bookmarkStart w:id="255" w:name="_Toc112830666"/>
      <w:r w:rsidRPr="00FD50F6">
        <w:rPr>
          <w:rFonts w:hint="eastAsia"/>
        </w:rPr>
        <w:t>建筑限界</w:t>
      </w:r>
      <w:bookmarkEnd w:id="250"/>
      <w:bookmarkEnd w:id="251"/>
      <w:bookmarkEnd w:id="252"/>
      <w:bookmarkEnd w:id="253"/>
      <w:bookmarkEnd w:id="254"/>
      <w:bookmarkEnd w:id="255"/>
    </w:p>
    <w:p w14:paraId="59B15989" w14:textId="25BE4722" w:rsidR="002B733E" w:rsidRPr="00FD50F6" w:rsidRDefault="002B733E" w:rsidP="002B733E">
      <w:pPr>
        <w:pStyle w:val="30"/>
      </w:pPr>
      <w:r w:rsidRPr="00FD50F6">
        <w:rPr>
          <w:rFonts w:hint="eastAsia"/>
        </w:rPr>
        <w:t>建筑限界坐标系为正交于轨道中心线的平面直角坐标，通过两钢轨轨顶中</w:t>
      </w:r>
      <w:r w:rsidRPr="00FD50F6">
        <w:rPr>
          <w:rFonts w:hint="eastAsia"/>
        </w:rPr>
        <w:lastRenderedPageBreak/>
        <w:t>心连线的中点引出的水平坐标轴用</w:t>
      </w:r>
      <w:r w:rsidRPr="00FD50F6">
        <w:rPr>
          <w:rFonts w:hint="eastAsia"/>
        </w:rPr>
        <w:t>Y</w:t>
      </w:r>
      <w:r w:rsidRPr="00FD50F6">
        <w:rPr>
          <w:rFonts w:hint="eastAsia"/>
        </w:rPr>
        <w:t>表示，通过该中点垂直于水平轴的纵向坐标轴用</w:t>
      </w:r>
      <w:r w:rsidRPr="00FD50F6">
        <w:rPr>
          <w:rFonts w:hint="eastAsia"/>
        </w:rPr>
        <w:t>Z</w:t>
      </w:r>
      <w:r w:rsidRPr="00FD50F6">
        <w:rPr>
          <w:rFonts w:hint="eastAsia"/>
        </w:rPr>
        <w:t>表示。</w:t>
      </w:r>
    </w:p>
    <w:p w14:paraId="03C4B57D" w14:textId="77777777" w:rsidR="002B733E" w:rsidRPr="00FD50F6" w:rsidRDefault="002B733E" w:rsidP="002B733E">
      <w:pPr>
        <w:pStyle w:val="30"/>
      </w:pPr>
      <w:r w:rsidRPr="00FD50F6">
        <w:rPr>
          <w:rFonts w:hint="eastAsia"/>
        </w:rPr>
        <w:t>矩形隧道建筑限界应符合下列规定：</w:t>
      </w:r>
    </w:p>
    <w:p w14:paraId="2C733249" w14:textId="7D4F5265" w:rsidR="002B733E" w:rsidRPr="00FD50F6" w:rsidRDefault="002B733E" w:rsidP="00A926BD">
      <w:pPr>
        <w:pStyle w:val="4"/>
      </w:pPr>
      <w:r w:rsidRPr="00FD50F6">
        <w:rPr>
          <w:rFonts w:hint="eastAsia"/>
        </w:rPr>
        <w:t>直线地段矩形隧道建筑限界应在直线地段设备限界基础上，按下列公式计算确定：</w:t>
      </w:r>
    </w:p>
    <w:p w14:paraId="5A5CE4FF" w14:textId="6718E15A" w:rsidR="002B733E" w:rsidRPr="00FD50F6" w:rsidRDefault="002B733E" w:rsidP="002B733E">
      <w:pPr>
        <w:pStyle w:val="8"/>
        <w:ind w:firstLine="480"/>
        <w:jc w:val="center"/>
      </w:pPr>
      <w:r w:rsidRPr="00873AA4">
        <w:rPr>
          <w:i/>
          <w:iCs/>
        </w:rPr>
        <w:t>B</w:t>
      </w:r>
      <w:r w:rsidRPr="00873AA4">
        <w:rPr>
          <w:i/>
          <w:iCs/>
          <w:vertAlign w:val="subscript"/>
        </w:rPr>
        <w:t>S</w:t>
      </w:r>
      <w:r w:rsidRPr="00FD50F6">
        <w:rPr>
          <w:rFonts w:hint="eastAsia"/>
        </w:rPr>
        <w:t>=</w:t>
      </w:r>
      <w:r w:rsidRPr="00873AA4">
        <w:rPr>
          <w:i/>
          <w:iCs/>
        </w:rPr>
        <w:t>B</w:t>
      </w:r>
      <w:r w:rsidRPr="00873AA4">
        <w:rPr>
          <w:i/>
          <w:iCs/>
          <w:vertAlign w:val="subscript"/>
        </w:rPr>
        <w:t>L</w:t>
      </w:r>
      <w:r w:rsidRPr="00FD50F6">
        <w:rPr>
          <w:rFonts w:hint="eastAsia"/>
        </w:rPr>
        <w:t>+</w:t>
      </w:r>
      <w:r w:rsidRPr="00873AA4">
        <w:rPr>
          <w:i/>
          <w:iCs/>
        </w:rPr>
        <w:t>B</w:t>
      </w:r>
      <w:r w:rsidRPr="00873AA4">
        <w:rPr>
          <w:i/>
          <w:iCs/>
          <w:vertAlign w:val="subscript"/>
        </w:rPr>
        <w:t>R</w:t>
      </w:r>
      <w:r w:rsidRPr="00FD50F6">
        <w:rPr>
          <w:rFonts w:hint="eastAsia"/>
        </w:rPr>
        <w:t xml:space="preserve">   </w:t>
      </w:r>
      <w:r w:rsidRPr="00FD50F6">
        <w:t xml:space="preserve">        </w:t>
      </w:r>
      <w:r w:rsidRPr="00FD50F6">
        <w:rPr>
          <w:rFonts w:hint="eastAsia"/>
        </w:rPr>
        <w:t xml:space="preserve">    </w:t>
      </w:r>
      <w:r w:rsidRPr="00FD50F6">
        <w:t xml:space="preserve"> </w:t>
      </w:r>
      <w:r w:rsidRPr="00FD50F6">
        <w:rPr>
          <w:rFonts w:hint="eastAsia"/>
        </w:rPr>
        <w:t xml:space="preserve">    </w:t>
      </w:r>
      <w:r w:rsidRPr="00FD50F6">
        <w:t>(</w:t>
      </w:r>
      <w:r w:rsidR="00F70ADA" w:rsidRPr="00FD50F6">
        <w:rPr>
          <w:rFonts w:hint="eastAsia"/>
        </w:rPr>
        <w:t>6</w:t>
      </w:r>
      <w:r w:rsidRPr="00FD50F6">
        <w:rPr>
          <w:rFonts w:hint="eastAsia"/>
        </w:rPr>
        <w:t>.</w:t>
      </w:r>
      <w:r w:rsidRPr="00FD50F6">
        <w:t>3.</w:t>
      </w:r>
      <w:r w:rsidRPr="00FD50F6">
        <w:rPr>
          <w:rFonts w:hint="eastAsia"/>
        </w:rPr>
        <w:t>2</w:t>
      </w:r>
      <w:r w:rsidRPr="00FD50F6">
        <w:t>-1)</w:t>
      </w:r>
    </w:p>
    <w:p w14:paraId="38C9F99B" w14:textId="408A32DB" w:rsidR="002B733E" w:rsidRPr="00FD50F6" w:rsidRDefault="002B733E" w:rsidP="002B733E">
      <w:pPr>
        <w:pStyle w:val="8"/>
        <w:ind w:firstLine="480"/>
        <w:jc w:val="center"/>
      </w:pPr>
      <w:r w:rsidRPr="00873AA4">
        <w:rPr>
          <w:i/>
          <w:iCs/>
        </w:rPr>
        <w:t>B</w:t>
      </w:r>
      <w:r w:rsidRPr="00873AA4">
        <w:rPr>
          <w:i/>
          <w:iCs/>
          <w:vertAlign w:val="subscript"/>
        </w:rPr>
        <w:t>L</w:t>
      </w:r>
      <w:r w:rsidRPr="00FD50F6">
        <w:rPr>
          <w:rFonts w:hint="eastAsia"/>
        </w:rPr>
        <w:t>=</w:t>
      </w:r>
      <w:r w:rsidRPr="00873AA4">
        <w:rPr>
          <w:iCs/>
        </w:rPr>
        <w:t>Y</w:t>
      </w:r>
      <w:r w:rsidRPr="00FD50F6">
        <w:rPr>
          <w:rFonts w:hint="eastAsia"/>
          <w:iCs/>
          <w:vertAlign w:val="subscript"/>
        </w:rPr>
        <w:t>S</w:t>
      </w:r>
      <w:r w:rsidRPr="00FD50F6">
        <w:rPr>
          <w:rFonts w:hint="eastAsia"/>
          <w:iCs/>
          <w:vertAlign w:val="subscript"/>
        </w:rPr>
        <w:t>（</w:t>
      </w:r>
      <w:r w:rsidRPr="00FD50F6">
        <w:rPr>
          <w:iCs/>
          <w:vertAlign w:val="subscript"/>
        </w:rPr>
        <w:t>max</w:t>
      </w:r>
      <w:r w:rsidRPr="00FD50F6">
        <w:rPr>
          <w:rFonts w:hint="eastAsia"/>
          <w:iCs/>
          <w:vertAlign w:val="subscript"/>
        </w:rPr>
        <w:t>）</w:t>
      </w:r>
      <w:r w:rsidRPr="00FD50F6">
        <w:t>+</w:t>
      </w:r>
      <w:r w:rsidRPr="00873AA4">
        <w:rPr>
          <w:i/>
          <w:iCs/>
        </w:rPr>
        <w:t>b</w:t>
      </w:r>
      <w:r w:rsidRPr="00873AA4">
        <w:rPr>
          <w:i/>
          <w:iCs/>
          <w:vertAlign w:val="subscript"/>
        </w:rPr>
        <w:t>L</w:t>
      </w:r>
      <w:r w:rsidRPr="00FD50F6">
        <w:t>+</w:t>
      </w:r>
      <w:r w:rsidRPr="00873AA4">
        <w:rPr>
          <w:i/>
          <w:iCs/>
        </w:rPr>
        <w:t>c</w:t>
      </w:r>
      <w:r w:rsidRPr="00FD50F6">
        <w:t xml:space="preserve"> </w:t>
      </w:r>
      <w:r w:rsidRPr="00FD50F6">
        <w:rPr>
          <w:rFonts w:hint="eastAsia"/>
        </w:rPr>
        <w:t xml:space="preserve">   </w:t>
      </w:r>
      <w:r w:rsidRPr="00FD50F6">
        <w:t xml:space="preserve"> </w:t>
      </w:r>
      <w:r w:rsidRPr="00FD50F6">
        <w:rPr>
          <w:rFonts w:hint="eastAsia"/>
        </w:rPr>
        <w:t xml:space="preserve"> </w:t>
      </w:r>
      <w:r w:rsidRPr="00FD50F6">
        <w:t xml:space="preserve"> </w:t>
      </w:r>
      <w:r w:rsidRPr="00FD50F6">
        <w:rPr>
          <w:rFonts w:hint="eastAsia"/>
        </w:rPr>
        <w:t xml:space="preserve"> </w:t>
      </w:r>
      <w:r w:rsidRPr="00FD50F6">
        <w:t xml:space="preserve"> </w:t>
      </w:r>
      <w:r w:rsidRPr="00FD50F6">
        <w:rPr>
          <w:rFonts w:hint="eastAsia"/>
        </w:rPr>
        <w:t xml:space="preserve">     </w:t>
      </w:r>
      <w:r w:rsidRPr="00FD50F6">
        <w:t xml:space="preserve"> (</w:t>
      </w:r>
      <w:r w:rsidR="00F70ADA" w:rsidRPr="00FD50F6">
        <w:rPr>
          <w:rFonts w:hint="eastAsia"/>
        </w:rPr>
        <w:t>6</w:t>
      </w:r>
      <w:r w:rsidRPr="00FD50F6">
        <w:rPr>
          <w:rFonts w:hint="eastAsia"/>
        </w:rPr>
        <w:t>.</w:t>
      </w:r>
      <w:r w:rsidRPr="00FD50F6">
        <w:t>3.</w:t>
      </w:r>
      <w:r w:rsidRPr="00FD50F6">
        <w:rPr>
          <w:rFonts w:hint="eastAsia"/>
        </w:rPr>
        <w:t>2</w:t>
      </w:r>
      <w:r w:rsidRPr="00FD50F6">
        <w:t>-</w:t>
      </w:r>
      <w:r w:rsidRPr="00FD50F6">
        <w:rPr>
          <w:rFonts w:hint="eastAsia"/>
        </w:rPr>
        <w:t>2</w:t>
      </w:r>
      <w:r w:rsidRPr="00FD50F6">
        <w:t>)</w:t>
      </w:r>
    </w:p>
    <w:p w14:paraId="37798986" w14:textId="10CDCA63" w:rsidR="002B733E" w:rsidRPr="00FD50F6" w:rsidRDefault="002B733E" w:rsidP="002B733E">
      <w:pPr>
        <w:pStyle w:val="8"/>
        <w:ind w:firstLine="480"/>
        <w:jc w:val="center"/>
      </w:pPr>
      <w:r w:rsidRPr="00873AA4">
        <w:rPr>
          <w:i/>
          <w:iCs/>
        </w:rPr>
        <w:t>B</w:t>
      </w:r>
      <w:r w:rsidRPr="00873AA4">
        <w:rPr>
          <w:i/>
          <w:iCs/>
          <w:vertAlign w:val="subscript"/>
        </w:rPr>
        <w:t>R</w:t>
      </w:r>
      <w:r w:rsidRPr="00FD50F6">
        <w:rPr>
          <w:rFonts w:hint="eastAsia"/>
        </w:rPr>
        <w:t>=</w:t>
      </w:r>
      <w:r w:rsidRPr="00873AA4">
        <w:rPr>
          <w:iCs/>
        </w:rPr>
        <w:t>Y</w:t>
      </w:r>
      <w:r w:rsidRPr="00FD50F6">
        <w:rPr>
          <w:rFonts w:hint="eastAsia"/>
          <w:iCs/>
          <w:vertAlign w:val="subscript"/>
        </w:rPr>
        <w:t>S</w:t>
      </w:r>
      <w:r w:rsidRPr="00FD50F6">
        <w:rPr>
          <w:rFonts w:hint="eastAsia"/>
          <w:iCs/>
          <w:vertAlign w:val="subscript"/>
        </w:rPr>
        <w:t>（</w:t>
      </w:r>
      <w:r w:rsidRPr="00FD50F6">
        <w:rPr>
          <w:iCs/>
          <w:vertAlign w:val="subscript"/>
        </w:rPr>
        <w:t>max</w:t>
      </w:r>
      <w:r w:rsidRPr="00FD50F6">
        <w:rPr>
          <w:rFonts w:hint="eastAsia"/>
          <w:iCs/>
          <w:vertAlign w:val="subscript"/>
        </w:rPr>
        <w:t>）</w:t>
      </w:r>
      <w:r w:rsidRPr="00FD50F6">
        <w:t>+</w:t>
      </w:r>
      <w:r w:rsidRPr="00873AA4">
        <w:rPr>
          <w:i/>
          <w:iCs/>
        </w:rPr>
        <w:t>b</w:t>
      </w:r>
      <w:r w:rsidRPr="00873AA4">
        <w:rPr>
          <w:i/>
          <w:iCs/>
          <w:vertAlign w:val="subscript"/>
        </w:rPr>
        <w:t>R</w:t>
      </w:r>
      <w:r w:rsidRPr="00FD50F6">
        <w:t>+</w:t>
      </w:r>
      <w:r w:rsidRPr="00873AA4">
        <w:rPr>
          <w:i/>
          <w:iCs/>
        </w:rPr>
        <w:t>c</w:t>
      </w:r>
      <w:r w:rsidRPr="00FD50F6">
        <w:t xml:space="preserve">    </w:t>
      </w:r>
      <w:r w:rsidRPr="00FD50F6">
        <w:rPr>
          <w:rFonts w:hint="eastAsia"/>
          <w:vertAlign w:val="subscript"/>
        </w:rPr>
        <w:t xml:space="preserve"> </w:t>
      </w:r>
      <w:r w:rsidRPr="00FD50F6">
        <w:rPr>
          <w:rFonts w:hint="eastAsia"/>
        </w:rPr>
        <w:t xml:space="preserve">        </w:t>
      </w:r>
      <w:r w:rsidRPr="00FD50F6">
        <w:t xml:space="preserve"> </w:t>
      </w:r>
      <w:r w:rsidRPr="00FD50F6">
        <w:rPr>
          <w:rFonts w:hint="eastAsia"/>
        </w:rPr>
        <w:t xml:space="preserve"> </w:t>
      </w:r>
      <w:r w:rsidRPr="00FD50F6">
        <w:t>(</w:t>
      </w:r>
      <w:r w:rsidR="00F70ADA" w:rsidRPr="00FD50F6">
        <w:rPr>
          <w:rFonts w:hint="eastAsia"/>
        </w:rPr>
        <w:t>6</w:t>
      </w:r>
      <w:r w:rsidRPr="00FD50F6">
        <w:rPr>
          <w:rFonts w:hint="eastAsia"/>
        </w:rPr>
        <w:t>.</w:t>
      </w:r>
      <w:r w:rsidRPr="00FD50F6">
        <w:t>3.</w:t>
      </w:r>
      <w:r w:rsidRPr="00FD50F6">
        <w:rPr>
          <w:rFonts w:hint="eastAsia"/>
        </w:rPr>
        <w:t>2</w:t>
      </w:r>
      <w:r w:rsidRPr="00FD50F6">
        <w:t>-</w:t>
      </w:r>
      <w:r w:rsidRPr="00FD50F6">
        <w:rPr>
          <w:rFonts w:hint="eastAsia"/>
        </w:rPr>
        <w:t>3</w:t>
      </w:r>
      <w:r w:rsidRPr="00FD50F6">
        <w:t>)</w:t>
      </w:r>
    </w:p>
    <w:p w14:paraId="4C9DA7D4" w14:textId="41D9EEBD" w:rsidR="002B733E" w:rsidRPr="00FD50F6" w:rsidRDefault="002B733E" w:rsidP="00873AA4">
      <w:pPr>
        <w:pStyle w:val="8"/>
        <w:ind w:firstLineChars="133" w:firstLine="319"/>
      </w:pPr>
      <w:r w:rsidRPr="00FD50F6">
        <w:rPr>
          <w:rFonts w:hint="eastAsia"/>
        </w:rPr>
        <w:t>Ａ</w:t>
      </w:r>
      <w:r w:rsidRPr="00FD50F6">
        <w:rPr>
          <w:rFonts w:hint="eastAsia"/>
          <w:vertAlign w:val="subscript"/>
        </w:rPr>
        <w:t>1</w:t>
      </w:r>
      <w:r w:rsidRPr="00FD50F6">
        <w:rPr>
          <w:rFonts w:hint="eastAsia"/>
        </w:rPr>
        <w:t>型车和</w:t>
      </w:r>
      <w:r w:rsidRPr="00FD50F6">
        <w:rPr>
          <w:rFonts w:hint="eastAsia"/>
        </w:rPr>
        <w:t>B</w:t>
      </w:r>
      <w:r w:rsidRPr="00FD50F6">
        <w:rPr>
          <w:rFonts w:hint="eastAsia"/>
          <w:vertAlign w:val="subscript"/>
        </w:rPr>
        <w:t>1</w:t>
      </w:r>
      <w:r w:rsidRPr="00FD50F6">
        <w:rPr>
          <w:rFonts w:hint="eastAsia"/>
        </w:rPr>
        <w:t>型车：</w:t>
      </w:r>
      <w:r w:rsidRPr="00873AA4">
        <w:rPr>
          <w:i/>
          <w:iCs/>
        </w:rPr>
        <w:t>H</w:t>
      </w:r>
      <w:r w:rsidRPr="00FD50F6">
        <w:rPr>
          <w:rFonts w:hint="eastAsia"/>
        </w:rPr>
        <w:t>=</w:t>
      </w:r>
      <w:r w:rsidRPr="00873AA4">
        <w:rPr>
          <w:i/>
          <w:iCs/>
        </w:rPr>
        <w:t>h</w:t>
      </w:r>
      <w:r w:rsidRPr="00873AA4">
        <w:rPr>
          <w:i/>
          <w:iCs/>
          <w:vertAlign w:val="superscript"/>
        </w:rPr>
        <w:t>’</w:t>
      </w:r>
      <w:r w:rsidRPr="00873AA4">
        <w:rPr>
          <w:i/>
          <w:iCs/>
          <w:vertAlign w:val="subscript"/>
        </w:rPr>
        <w:t>1</w:t>
      </w:r>
      <w:r w:rsidRPr="00FD50F6">
        <w:t xml:space="preserve">+ </w:t>
      </w:r>
      <w:r w:rsidRPr="00873AA4">
        <w:rPr>
          <w:i/>
          <w:iCs/>
        </w:rPr>
        <w:t>h</w:t>
      </w:r>
      <w:r w:rsidRPr="00873AA4">
        <w:rPr>
          <w:i/>
          <w:iCs/>
          <w:vertAlign w:val="superscript"/>
        </w:rPr>
        <w:t>’</w:t>
      </w:r>
      <w:r w:rsidRPr="00873AA4">
        <w:rPr>
          <w:i/>
          <w:iCs/>
          <w:vertAlign w:val="subscript"/>
        </w:rPr>
        <w:t>2</w:t>
      </w:r>
      <w:r w:rsidRPr="00FD50F6">
        <w:t>+</w:t>
      </w:r>
      <w:r w:rsidRPr="00873AA4">
        <w:rPr>
          <w:i/>
          <w:iCs/>
        </w:rPr>
        <w:t>h</w:t>
      </w:r>
      <w:r w:rsidRPr="00873AA4">
        <w:rPr>
          <w:i/>
          <w:iCs/>
          <w:vertAlign w:val="subscript"/>
        </w:rPr>
        <w:t>3</w:t>
      </w:r>
      <w:r w:rsidRPr="00FD50F6">
        <w:t xml:space="preserve">                </w:t>
      </w:r>
      <w:r w:rsidRPr="00FD50F6">
        <w:rPr>
          <w:rFonts w:hint="eastAsia"/>
        </w:rPr>
        <w:t xml:space="preserve"> </w:t>
      </w:r>
      <w:r w:rsidRPr="00FD50F6">
        <w:t>(</w:t>
      </w:r>
      <w:r w:rsidR="00F70ADA" w:rsidRPr="00FD50F6">
        <w:rPr>
          <w:rFonts w:hint="eastAsia"/>
        </w:rPr>
        <w:t>6</w:t>
      </w:r>
      <w:r w:rsidRPr="00FD50F6">
        <w:rPr>
          <w:rFonts w:hint="eastAsia"/>
        </w:rPr>
        <w:t>.</w:t>
      </w:r>
      <w:r w:rsidRPr="00FD50F6">
        <w:t>3.</w:t>
      </w:r>
      <w:r w:rsidRPr="00FD50F6">
        <w:rPr>
          <w:rFonts w:hint="eastAsia"/>
        </w:rPr>
        <w:t>2</w:t>
      </w:r>
      <w:r w:rsidRPr="00FD50F6">
        <w:t>-</w:t>
      </w:r>
      <w:r w:rsidRPr="00FD50F6">
        <w:rPr>
          <w:rFonts w:hint="eastAsia"/>
        </w:rPr>
        <w:t>4</w:t>
      </w:r>
      <w:r w:rsidRPr="00FD50F6">
        <w:t>)</w:t>
      </w:r>
    </w:p>
    <w:p w14:paraId="573C5B29" w14:textId="60A89A08" w:rsidR="002B733E" w:rsidRPr="00FD50F6" w:rsidRDefault="002B733E" w:rsidP="00873AA4">
      <w:pPr>
        <w:pStyle w:val="8"/>
        <w:ind w:firstLineChars="133" w:firstLine="319"/>
      </w:pPr>
      <w:r w:rsidRPr="00FD50F6">
        <w:rPr>
          <w:rFonts w:hint="eastAsia"/>
        </w:rPr>
        <w:t>Ａ</w:t>
      </w:r>
      <w:r w:rsidRPr="00FD50F6">
        <w:rPr>
          <w:rFonts w:hint="eastAsia"/>
          <w:vertAlign w:val="subscript"/>
        </w:rPr>
        <w:t>2</w:t>
      </w:r>
      <w:r w:rsidRPr="00FD50F6">
        <w:rPr>
          <w:rFonts w:hint="eastAsia"/>
        </w:rPr>
        <w:t>型车和</w:t>
      </w:r>
      <w:r w:rsidRPr="00FD50F6">
        <w:rPr>
          <w:rFonts w:hint="eastAsia"/>
        </w:rPr>
        <w:t>B</w:t>
      </w:r>
      <w:r w:rsidRPr="00FD50F6">
        <w:rPr>
          <w:rFonts w:hint="eastAsia"/>
          <w:vertAlign w:val="subscript"/>
        </w:rPr>
        <w:t>2</w:t>
      </w:r>
      <w:r w:rsidRPr="00FD50F6">
        <w:rPr>
          <w:rFonts w:hint="eastAsia"/>
        </w:rPr>
        <w:t>型车：</w:t>
      </w:r>
      <w:r w:rsidRPr="00873AA4">
        <w:rPr>
          <w:i/>
          <w:iCs/>
        </w:rPr>
        <w:t>H</w:t>
      </w:r>
      <w:r w:rsidRPr="00FD50F6">
        <w:rPr>
          <w:rFonts w:hint="eastAsia"/>
        </w:rPr>
        <w:t>=</w:t>
      </w:r>
      <w:r w:rsidRPr="00873AA4">
        <w:rPr>
          <w:i/>
          <w:iCs/>
        </w:rPr>
        <w:t>h</w:t>
      </w:r>
      <w:r w:rsidRPr="00873AA4">
        <w:rPr>
          <w:i/>
          <w:iCs/>
          <w:vertAlign w:val="subscript"/>
        </w:rPr>
        <w:t>1</w:t>
      </w:r>
      <w:r w:rsidRPr="00FD50F6">
        <w:t>+</w:t>
      </w:r>
      <w:r w:rsidRPr="00873AA4">
        <w:rPr>
          <w:i/>
          <w:iCs/>
        </w:rPr>
        <w:t>h</w:t>
      </w:r>
      <w:r w:rsidRPr="00873AA4">
        <w:rPr>
          <w:i/>
          <w:iCs/>
          <w:vertAlign w:val="subscript"/>
        </w:rPr>
        <w:t>2</w:t>
      </w:r>
      <w:r w:rsidRPr="00FD50F6">
        <w:t>+</w:t>
      </w:r>
      <w:r w:rsidRPr="00873AA4">
        <w:rPr>
          <w:i/>
          <w:iCs/>
        </w:rPr>
        <w:t>h</w:t>
      </w:r>
      <w:r w:rsidRPr="00873AA4">
        <w:rPr>
          <w:i/>
          <w:iCs/>
          <w:vertAlign w:val="subscript"/>
        </w:rPr>
        <w:t>3</w:t>
      </w:r>
      <w:r w:rsidRPr="00FD50F6">
        <w:t xml:space="preserve">  </w:t>
      </w:r>
      <w:r w:rsidRPr="00FD50F6">
        <w:rPr>
          <w:rFonts w:hint="eastAsia"/>
        </w:rPr>
        <w:t xml:space="preserve"> </w:t>
      </w:r>
      <w:r w:rsidRPr="00FD50F6">
        <w:t xml:space="preserve">               (</w:t>
      </w:r>
      <w:r w:rsidR="00F70ADA" w:rsidRPr="00FD50F6">
        <w:rPr>
          <w:rFonts w:hint="eastAsia"/>
        </w:rPr>
        <w:t>6</w:t>
      </w:r>
      <w:r w:rsidRPr="00FD50F6">
        <w:rPr>
          <w:rFonts w:hint="eastAsia"/>
        </w:rPr>
        <w:t>.</w:t>
      </w:r>
      <w:r w:rsidRPr="00FD50F6">
        <w:t>3.</w:t>
      </w:r>
      <w:r w:rsidRPr="00FD50F6">
        <w:rPr>
          <w:rFonts w:hint="eastAsia"/>
        </w:rPr>
        <w:t>2</w:t>
      </w:r>
      <w:r w:rsidRPr="00FD50F6">
        <w:t>-</w:t>
      </w:r>
      <w:r w:rsidRPr="00FD50F6">
        <w:rPr>
          <w:rFonts w:hint="eastAsia"/>
        </w:rPr>
        <w:t>5</w:t>
      </w:r>
      <w:r w:rsidRPr="00FD50F6">
        <w:t>)</w:t>
      </w:r>
    </w:p>
    <w:p w14:paraId="41822A5B" w14:textId="0AA36C3F" w:rsidR="002B733E" w:rsidRPr="00FD50F6" w:rsidRDefault="002B733E" w:rsidP="00873AA4">
      <w:pPr>
        <w:pStyle w:val="8"/>
        <w:ind w:firstLineChars="0" w:firstLine="0"/>
      </w:pPr>
      <w:r w:rsidRPr="00FD50F6">
        <w:rPr>
          <w:rFonts w:hint="eastAsia"/>
        </w:rPr>
        <w:t>式中：</w:t>
      </w:r>
      <w:r w:rsidRPr="00873AA4">
        <w:rPr>
          <w:i/>
          <w:iCs/>
        </w:rPr>
        <w:t>B</w:t>
      </w:r>
      <w:r w:rsidRPr="00873AA4">
        <w:rPr>
          <w:i/>
          <w:iCs/>
          <w:vertAlign w:val="subscript"/>
        </w:rPr>
        <w:t>S</w:t>
      </w:r>
      <w:r w:rsidRPr="00FD50F6">
        <w:rPr>
          <w:rFonts w:hint="eastAsia"/>
        </w:rPr>
        <w:t>——建筑限界宽度</w:t>
      </w:r>
      <w:r w:rsidR="00367D04" w:rsidRPr="00367D04">
        <w:rPr>
          <w:rFonts w:hint="eastAsia"/>
        </w:rPr>
        <w:t>（</w:t>
      </w:r>
      <w:r w:rsidR="00367D04" w:rsidRPr="00367D04">
        <w:t>mm</w:t>
      </w:r>
      <w:r w:rsidR="00367D04" w:rsidRPr="00367D04">
        <w:t>）</w:t>
      </w:r>
      <w:r w:rsidRPr="00FD50F6">
        <w:rPr>
          <w:rFonts w:hint="eastAsia"/>
        </w:rPr>
        <w:t>；</w:t>
      </w:r>
    </w:p>
    <w:p w14:paraId="399FC591" w14:textId="0BF750EE" w:rsidR="002B733E" w:rsidRPr="00FD50F6" w:rsidRDefault="002B733E" w:rsidP="00873AA4">
      <w:pPr>
        <w:pStyle w:val="8"/>
        <w:ind w:firstLineChars="283" w:firstLine="679"/>
      </w:pPr>
      <w:r w:rsidRPr="00873AA4">
        <w:rPr>
          <w:i/>
          <w:iCs/>
        </w:rPr>
        <w:t>B</w:t>
      </w:r>
      <w:r w:rsidRPr="00873AA4">
        <w:rPr>
          <w:i/>
          <w:iCs/>
          <w:vertAlign w:val="subscript"/>
        </w:rPr>
        <w:t>L</w:t>
      </w:r>
      <w:r w:rsidRPr="00FD50F6">
        <w:rPr>
          <w:rFonts w:hint="eastAsia"/>
        </w:rPr>
        <w:t>——行车方向左侧墙至线路中心线净空距离</w:t>
      </w:r>
      <w:r w:rsidR="00367D04" w:rsidRPr="00FD50F6">
        <w:rPr>
          <w:rFonts w:hint="eastAsia"/>
        </w:rPr>
        <w:t>（</w:t>
      </w:r>
      <w:r w:rsidR="00367D04" w:rsidRPr="00FD50F6">
        <w:t>mm</w:t>
      </w:r>
      <w:r w:rsidR="00367D04" w:rsidRPr="00FD50F6">
        <w:rPr>
          <w:rFonts w:hint="eastAsia"/>
        </w:rPr>
        <w:t>）</w:t>
      </w:r>
      <w:r w:rsidRPr="00FD50F6">
        <w:rPr>
          <w:rFonts w:hint="eastAsia"/>
        </w:rPr>
        <w:t>；</w:t>
      </w:r>
    </w:p>
    <w:p w14:paraId="416B23B7" w14:textId="50BD5F21" w:rsidR="002B733E" w:rsidRPr="00FD50F6" w:rsidRDefault="002B733E" w:rsidP="00873AA4">
      <w:pPr>
        <w:pStyle w:val="8"/>
        <w:ind w:firstLineChars="308" w:firstLine="739"/>
      </w:pPr>
      <w:r w:rsidRPr="00873AA4">
        <w:rPr>
          <w:i/>
          <w:iCs/>
        </w:rPr>
        <w:t>B</w:t>
      </w:r>
      <w:r w:rsidRPr="00873AA4">
        <w:rPr>
          <w:i/>
          <w:iCs/>
          <w:vertAlign w:val="subscript"/>
        </w:rPr>
        <w:t>R</w:t>
      </w:r>
      <w:r w:rsidRPr="00FD50F6">
        <w:rPr>
          <w:rFonts w:hint="eastAsia"/>
        </w:rPr>
        <w:t>——行车方向右侧墙至线路中心线净空距离</w:t>
      </w:r>
      <w:r w:rsidR="00367D04" w:rsidRPr="00FD50F6">
        <w:rPr>
          <w:rFonts w:hint="eastAsia"/>
        </w:rPr>
        <w:t>（</w:t>
      </w:r>
      <w:r w:rsidR="00367D04" w:rsidRPr="00FD50F6">
        <w:t>mm</w:t>
      </w:r>
      <w:r w:rsidR="00367D04" w:rsidRPr="00FD50F6">
        <w:rPr>
          <w:rFonts w:hint="eastAsia"/>
        </w:rPr>
        <w:t>）</w:t>
      </w:r>
      <w:r w:rsidRPr="00FD50F6">
        <w:rPr>
          <w:rFonts w:hint="eastAsia"/>
        </w:rPr>
        <w:t>；</w:t>
      </w:r>
    </w:p>
    <w:p w14:paraId="46460DBB" w14:textId="3A7C61B6" w:rsidR="002B733E" w:rsidRPr="00FD50F6" w:rsidRDefault="002B733E" w:rsidP="00873AA4">
      <w:pPr>
        <w:pStyle w:val="8"/>
        <w:ind w:firstLineChars="308" w:firstLine="739"/>
      </w:pPr>
      <w:r w:rsidRPr="00873AA4">
        <w:rPr>
          <w:i/>
          <w:iCs/>
        </w:rPr>
        <w:t>H</w:t>
      </w:r>
      <w:r w:rsidRPr="00FD50F6">
        <w:rPr>
          <w:rFonts w:hint="eastAsia"/>
        </w:rPr>
        <w:t>——自结构底板至隧道顶板建筑限界高度</w:t>
      </w:r>
      <w:r w:rsidR="00367D04" w:rsidRPr="00FD50F6">
        <w:rPr>
          <w:rFonts w:hint="eastAsia"/>
        </w:rPr>
        <w:t>（</w:t>
      </w:r>
      <w:r w:rsidR="00367D04" w:rsidRPr="00FD50F6">
        <w:t>mm</w:t>
      </w:r>
      <w:r w:rsidR="00367D04" w:rsidRPr="00FD50F6">
        <w:rPr>
          <w:rFonts w:hint="eastAsia"/>
        </w:rPr>
        <w:t>）</w:t>
      </w:r>
      <w:r w:rsidRPr="00FD50F6">
        <w:rPr>
          <w:rFonts w:hint="eastAsia"/>
        </w:rPr>
        <w:t>；</w:t>
      </w:r>
    </w:p>
    <w:p w14:paraId="08898824" w14:textId="77777777" w:rsidR="002B733E" w:rsidRPr="00FD50F6" w:rsidRDefault="002B733E" w:rsidP="00873AA4">
      <w:pPr>
        <w:pStyle w:val="8"/>
        <w:ind w:firstLineChars="100" w:firstLine="240"/>
      </w:pPr>
      <w:r w:rsidRPr="00FD50F6">
        <w:rPr>
          <w:rFonts w:hint="eastAsia"/>
          <w:i/>
        </w:rPr>
        <w:t>Y</w:t>
      </w:r>
      <w:r w:rsidRPr="00FD50F6">
        <w:rPr>
          <w:rFonts w:hint="eastAsia"/>
          <w:vertAlign w:val="subscript"/>
        </w:rPr>
        <w:t>S</w:t>
      </w:r>
      <w:r w:rsidRPr="00FD50F6">
        <w:rPr>
          <w:rFonts w:hint="eastAsia"/>
          <w:vertAlign w:val="subscript"/>
        </w:rPr>
        <w:t>（</w:t>
      </w:r>
      <w:r w:rsidRPr="00FD50F6">
        <w:rPr>
          <w:vertAlign w:val="subscript"/>
        </w:rPr>
        <w:t>max</w:t>
      </w:r>
      <w:r w:rsidRPr="00FD50F6">
        <w:rPr>
          <w:rFonts w:hint="eastAsia"/>
          <w:vertAlign w:val="subscript"/>
        </w:rPr>
        <w:t>）</w:t>
      </w:r>
      <w:r w:rsidRPr="00FD50F6">
        <w:rPr>
          <w:rFonts w:hint="eastAsia"/>
        </w:rPr>
        <w:t>——直线地段设备限界最大宽度值（</w:t>
      </w:r>
      <w:r w:rsidRPr="00FD50F6">
        <w:t>mm</w:t>
      </w:r>
      <w:r w:rsidRPr="00FD50F6">
        <w:rPr>
          <w:rFonts w:hint="eastAsia"/>
        </w:rPr>
        <w:t>）；</w:t>
      </w:r>
    </w:p>
    <w:p w14:paraId="1F389250" w14:textId="5E8C818C" w:rsidR="002B733E" w:rsidRPr="00FD50F6" w:rsidRDefault="002B733E" w:rsidP="00873AA4">
      <w:pPr>
        <w:pStyle w:val="8"/>
        <w:ind w:firstLineChars="100" w:firstLine="240"/>
      </w:pPr>
      <w:r w:rsidRPr="00873AA4">
        <w:rPr>
          <w:i/>
          <w:iCs/>
        </w:rPr>
        <w:t>b</w:t>
      </w:r>
      <w:r w:rsidRPr="00873AA4">
        <w:rPr>
          <w:i/>
          <w:iCs/>
          <w:vertAlign w:val="subscript"/>
        </w:rPr>
        <w:t>L</w:t>
      </w:r>
      <w:r w:rsidRPr="00873AA4">
        <w:rPr>
          <w:i/>
          <w:iCs/>
        </w:rPr>
        <w:t xml:space="preserve"> </w:t>
      </w:r>
      <w:r w:rsidRPr="00873AA4">
        <w:rPr>
          <w:rFonts w:hint="eastAsia"/>
          <w:i/>
          <w:iCs/>
        </w:rPr>
        <w:t>、</w:t>
      </w:r>
      <w:r w:rsidRPr="00873AA4">
        <w:rPr>
          <w:i/>
          <w:iCs/>
        </w:rPr>
        <w:t>b</w:t>
      </w:r>
      <w:r w:rsidRPr="00873AA4">
        <w:rPr>
          <w:i/>
          <w:iCs/>
          <w:vertAlign w:val="subscript"/>
        </w:rPr>
        <w:t>R</w:t>
      </w:r>
      <w:r w:rsidRPr="00FD50F6">
        <w:rPr>
          <w:rFonts w:hint="eastAsia"/>
        </w:rPr>
        <w:t>——左、右侧的设备、支架或疏散平台等最大安装宽度值（</w:t>
      </w:r>
      <w:r w:rsidRPr="00FD50F6">
        <w:t>mm</w:t>
      </w:r>
      <w:r w:rsidRPr="00FD50F6">
        <w:rPr>
          <w:rFonts w:hint="eastAsia"/>
        </w:rPr>
        <w:t>）；</w:t>
      </w:r>
    </w:p>
    <w:p w14:paraId="5851DA9B" w14:textId="328930ED" w:rsidR="002B733E" w:rsidRPr="00FD50F6" w:rsidRDefault="002B733E" w:rsidP="00873AA4">
      <w:pPr>
        <w:pStyle w:val="8"/>
        <w:ind w:firstLineChars="308" w:firstLine="739"/>
      </w:pPr>
      <w:r w:rsidRPr="00873AA4">
        <w:rPr>
          <w:i/>
          <w:iCs/>
        </w:rPr>
        <w:t>c</w:t>
      </w:r>
      <w:r w:rsidRPr="00FD50F6">
        <w:rPr>
          <w:rFonts w:hint="eastAsia"/>
        </w:rPr>
        <w:t>——</w:t>
      </w:r>
      <w:r w:rsidRPr="00873AA4">
        <w:rPr>
          <w:rFonts w:hint="eastAsia"/>
        </w:rPr>
        <w:t>管线或设备与设备限界的</w:t>
      </w:r>
      <w:r w:rsidRPr="00FD50F6">
        <w:rPr>
          <w:rFonts w:hint="eastAsia"/>
        </w:rPr>
        <w:t>安全间隙，取</w:t>
      </w:r>
      <w:r w:rsidRPr="00FD50F6">
        <w:rPr>
          <w:rFonts w:hint="eastAsia"/>
        </w:rPr>
        <w:t>50</w:t>
      </w:r>
      <w:r w:rsidRPr="00FD50F6">
        <w:rPr>
          <w:rFonts w:hint="eastAsia"/>
        </w:rPr>
        <w:t>（</w:t>
      </w:r>
      <w:r w:rsidRPr="00FD50F6">
        <w:t>mm</w:t>
      </w:r>
      <w:r w:rsidRPr="00FD50F6">
        <w:rPr>
          <w:rFonts w:hint="eastAsia"/>
        </w:rPr>
        <w:t>）；</w:t>
      </w:r>
    </w:p>
    <w:p w14:paraId="573C5A74" w14:textId="5426B4C3" w:rsidR="002B733E" w:rsidRPr="00FD50F6" w:rsidRDefault="002B733E" w:rsidP="00873AA4">
      <w:pPr>
        <w:pStyle w:val="8"/>
        <w:ind w:firstLineChars="308" w:firstLine="739"/>
      </w:pPr>
      <w:r w:rsidRPr="00873AA4">
        <w:rPr>
          <w:i/>
          <w:iCs/>
        </w:rPr>
        <w:t>h</w:t>
      </w:r>
      <w:r w:rsidRPr="00873AA4">
        <w:rPr>
          <w:i/>
          <w:iCs/>
          <w:vertAlign w:val="subscript"/>
        </w:rPr>
        <w:t>1</w:t>
      </w:r>
      <w:r w:rsidRPr="00FD50F6">
        <w:rPr>
          <w:rFonts w:hint="eastAsia"/>
        </w:rPr>
        <w:t>——受电弓工作高度（</w:t>
      </w:r>
      <w:r w:rsidRPr="00FD50F6">
        <w:t>mm</w:t>
      </w:r>
      <w:r w:rsidRPr="00FD50F6">
        <w:rPr>
          <w:rFonts w:hint="eastAsia"/>
        </w:rPr>
        <w:t>）；</w:t>
      </w:r>
    </w:p>
    <w:p w14:paraId="4166EE6E" w14:textId="6BF16D4F" w:rsidR="002B733E" w:rsidRPr="00FD50F6" w:rsidRDefault="002B733E" w:rsidP="00873AA4">
      <w:pPr>
        <w:pStyle w:val="8"/>
        <w:ind w:firstLineChars="308" w:firstLine="739"/>
      </w:pPr>
      <w:r w:rsidRPr="00873AA4">
        <w:rPr>
          <w:i/>
          <w:iCs/>
        </w:rPr>
        <w:t>h</w:t>
      </w:r>
      <w:r w:rsidRPr="00873AA4">
        <w:rPr>
          <w:i/>
          <w:iCs/>
          <w:vertAlign w:val="subscript"/>
        </w:rPr>
        <w:t>2</w:t>
      </w:r>
      <w:r w:rsidRPr="00FD50F6">
        <w:rPr>
          <w:rFonts w:hint="eastAsia"/>
        </w:rPr>
        <w:t>——接触网系统高度（</w:t>
      </w:r>
      <w:r w:rsidRPr="00FD50F6">
        <w:t>mm</w:t>
      </w:r>
      <w:r w:rsidRPr="00FD50F6">
        <w:rPr>
          <w:rFonts w:hint="eastAsia"/>
        </w:rPr>
        <w:t>）；</w:t>
      </w:r>
    </w:p>
    <w:p w14:paraId="24D5C715" w14:textId="74797D3B" w:rsidR="002B733E" w:rsidRPr="00FD50F6" w:rsidRDefault="002B733E" w:rsidP="00873AA4">
      <w:pPr>
        <w:pStyle w:val="8"/>
        <w:ind w:firstLineChars="308" w:firstLine="739"/>
      </w:pPr>
      <w:r w:rsidRPr="00873AA4">
        <w:rPr>
          <w:i/>
          <w:iCs/>
        </w:rPr>
        <w:t>h</w:t>
      </w:r>
      <w:r w:rsidRPr="00873AA4">
        <w:rPr>
          <w:i/>
          <w:iCs/>
          <w:vertAlign w:val="subscript"/>
        </w:rPr>
        <w:t>3</w:t>
      </w:r>
      <w:r w:rsidRPr="00FD50F6">
        <w:rPr>
          <w:rFonts w:hint="eastAsia"/>
        </w:rPr>
        <w:t>——轨道结构高度（</w:t>
      </w:r>
      <w:r w:rsidRPr="00FD50F6">
        <w:t>mm</w:t>
      </w:r>
      <w:r w:rsidRPr="00FD50F6">
        <w:rPr>
          <w:rFonts w:hint="eastAsia"/>
        </w:rPr>
        <w:t>）；</w:t>
      </w:r>
    </w:p>
    <w:p w14:paraId="3843314B" w14:textId="73C63385" w:rsidR="002B733E" w:rsidRPr="00FD50F6" w:rsidRDefault="002B733E" w:rsidP="00873AA4">
      <w:pPr>
        <w:pStyle w:val="8"/>
        <w:ind w:firstLineChars="308" w:firstLine="739"/>
        <w:rPr>
          <w:rFonts w:ascii="Calibri" w:hAnsi="Calibri" w:cs="Times New Roman"/>
        </w:rPr>
      </w:pPr>
      <w:r w:rsidRPr="00873AA4">
        <w:rPr>
          <w:rFonts w:ascii="Calibri" w:hAnsi="Calibri" w:cs="Times New Roman"/>
          <w:i/>
          <w:iCs/>
        </w:rPr>
        <w:t>h</w:t>
      </w:r>
      <w:r w:rsidRPr="00873AA4">
        <w:rPr>
          <w:rFonts w:ascii="Calibri" w:hAnsi="Calibri" w:cs="Times New Roman"/>
          <w:i/>
          <w:iCs/>
          <w:vertAlign w:val="superscript"/>
        </w:rPr>
        <w:t>’</w:t>
      </w:r>
      <w:r w:rsidRPr="00873AA4">
        <w:rPr>
          <w:rFonts w:ascii="Calibri" w:hAnsi="Calibri" w:cs="Times New Roman"/>
          <w:i/>
          <w:iCs/>
          <w:vertAlign w:val="subscript"/>
        </w:rPr>
        <w:t>1</w:t>
      </w:r>
      <w:r w:rsidRPr="00FD50F6">
        <w:rPr>
          <w:rFonts w:ascii="Calibri" w:hAnsi="Calibri" w:cs="Times New Roman" w:hint="eastAsia"/>
        </w:rPr>
        <w:t>——设备限界高度（</w:t>
      </w:r>
      <w:r w:rsidRPr="00FD50F6">
        <w:rPr>
          <w:rFonts w:ascii="Calibri" w:hAnsi="Calibri" w:cs="Times New Roman"/>
        </w:rPr>
        <w:t>mm</w:t>
      </w:r>
      <w:r w:rsidRPr="00FD50F6">
        <w:rPr>
          <w:rFonts w:ascii="Calibri" w:hAnsi="Calibri" w:cs="Times New Roman" w:hint="eastAsia"/>
        </w:rPr>
        <w:t>）；</w:t>
      </w:r>
    </w:p>
    <w:p w14:paraId="04C6DAB9" w14:textId="24BCE32C" w:rsidR="002B733E" w:rsidRPr="00FD50F6" w:rsidRDefault="002B733E" w:rsidP="00873AA4">
      <w:pPr>
        <w:pStyle w:val="8"/>
        <w:ind w:firstLineChars="308" w:firstLine="739"/>
        <w:rPr>
          <w:rFonts w:ascii="Calibri" w:hAnsi="Calibri" w:cs="Times New Roman"/>
        </w:rPr>
      </w:pPr>
      <w:r w:rsidRPr="00873AA4">
        <w:rPr>
          <w:rFonts w:ascii="Calibri" w:hAnsi="Calibri" w:cs="Times New Roman"/>
          <w:i/>
          <w:iCs/>
        </w:rPr>
        <w:t>h</w:t>
      </w:r>
      <w:r w:rsidRPr="00873AA4">
        <w:rPr>
          <w:rFonts w:ascii="Calibri" w:hAnsi="Calibri" w:cs="Times New Roman"/>
          <w:i/>
          <w:iCs/>
          <w:vertAlign w:val="superscript"/>
        </w:rPr>
        <w:t>’</w:t>
      </w:r>
      <w:r w:rsidRPr="00873AA4">
        <w:rPr>
          <w:rFonts w:ascii="Calibri" w:hAnsi="Calibri" w:cs="Times New Roman"/>
          <w:i/>
          <w:iCs/>
          <w:vertAlign w:val="subscript"/>
        </w:rPr>
        <w:t>2</w:t>
      </w:r>
      <w:r w:rsidRPr="00FD50F6">
        <w:rPr>
          <w:rFonts w:ascii="Calibri" w:hAnsi="Calibri" w:cs="Times New Roman" w:hint="eastAsia"/>
        </w:rPr>
        <w:t>——设备限界至建筑限界安全间隙（</w:t>
      </w:r>
      <w:r w:rsidRPr="00FD50F6">
        <w:rPr>
          <w:rFonts w:ascii="Calibri" w:hAnsi="Calibri" w:cs="Times New Roman"/>
        </w:rPr>
        <w:t>mm</w:t>
      </w:r>
      <w:r w:rsidRPr="00FD50F6">
        <w:rPr>
          <w:rFonts w:ascii="Calibri" w:hAnsi="Calibri" w:cs="Times New Roman" w:hint="eastAsia"/>
        </w:rPr>
        <w:t>）。</w:t>
      </w:r>
    </w:p>
    <w:p w14:paraId="5BC1A1D4" w14:textId="7D63D916" w:rsidR="002B733E" w:rsidRPr="00FD50F6" w:rsidRDefault="002B733E" w:rsidP="00A926BD">
      <w:pPr>
        <w:pStyle w:val="4"/>
      </w:pPr>
      <w:r w:rsidRPr="00FD50F6">
        <w:rPr>
          <w:rFonts w:hint="eastAsia"/>
        </w:rPr>
        <w:t>曲线地段矩形隧道建筑限界应在曲线地段设备限界基础上，按下列公式计算确定：</w:t>
      </w:r>
    </w:p>
    <w:p w14:paraId="2E6A2BD1" w14:textId="37370E49" w:rsidR="002B733E" w:rsidRPr="00FD50F6" w:rsidRDefault="002B733E" w:rsidP="002B733E">
      <w:pPr>
        <w:pStyle w:val="8"/>
        <w:ind w:firstLine="480"/>
        <w:jc w:val="center"/>
      </w:pPr>
      <w:r w:rsidRPr="00873AA4">
        <w:rPr>
          <w:i/>
          <w:iCs/>
        </w:rPr>
        <w:t>B</w:t>
      </w:r>
      <w:r w:rsidRPr="00873AA4">
        <w:rPr>
          <w:i/>
          <w:iCs/>
          <w:vertAlign w:val="subscript"/>
        </w:rPr>
        <w:t>a</w:t>
      </w:r>
      <w:r w:rsidRPr="00FD50F6">
        <w:t>=</w:t>
      </w:r>
      <w:r w:rsidRPr="00873AA4">
        <w:rPr>
          <w:i/>
          <w:iCs/>
        </w:rPr>
        <w:t>Y</w:t>
      </w:r>
      <w:r w:rsidRPr="00873AA4">
        <w:rPr>
          <w:i/>
          <w:iCs/>
          <w:vertAlign w:val="subscript"/>
        </w:rPr>
        <w:t>Ka</w:t>
      </w:r>
      <w:r w:rsidRPr="00FD50F6">
        <w:t xml:space="preserve"> cos</w:t>
      </w:r>
      <w:r w:rsidRPr="00873AA4">
        <w:rPr>
          <w:rFonts w:hint="eastAsia"/>
          <w:i/>
          <w:iCs/>
        </w:rPr>
        <w:t>α</w:t>
      </w:r>
      <w:r w:rsidRPr="00FD50F6">
        <w:t>-</w:t>
      </w:r>
      <w:r w:rsidRPr="00873AA4">
        <w:rPr>
          <w:i/>
          <w:iCs/>
        </w:rPr>
        <w:t>Z</w:t>
      </w:r>
      <w:r w:rsidRPr="00873AA4">
        <w:rPr>
          <w:i/>
          <w:iCs/>
          <w:vertAlign w:val="subscript"/>
        </w:rPr>
        <w:t>Ka</w:t>
      </w:r>
      <w:r w:rsidRPr="00FD50F6">
        <w:t xml:space="preserve"> sin</w:t>
      </w:r>
      <w:r w:rsidRPr="00873AA4">
        <w:rPr>
          <w:rFonts w:hint="eastAsia"/>
          <w:i/>
          <w:iCs/>
        </w:rPr>
        <w:t>α</w:t>
      </w:r>
      <w:r w:rsidRPr="00FD50F6">
        <w:rPr>
          <w:rFonts w:hint="eastAsia"/>
        </w:rPr>
        <w:t>+</w:t>
      </w:r>
      <w:r w:rsidRPr="00FD50F6">
        <w:t xml:space="preserve"> </w:t>
      </w:r>
      <w:r w:rsidRPr="00873AA4">
        <w:rPr>
          <w:i/>
          <w:iCs/>
        </w:rPr>
        <w:t>b</w:t>
      </w:r>
      <w:r w:rsidRPr="00873AA4">
        <w:rPr>
          <w:i/>
          <w:iCs/>
          <w:vertAlign w:val="subscript"/>
        </w:rPr>
        <w:t>R</w:t>
      </w:r>
      <w:r w:rsidRPr="00FD50F6">
        <w:rPr>
          <w:rFonts w:hint="eastAsia"/>
        </w:rPr>
        <w:t>(</w:t>
      </w:r>
      <w:r w:rsidRPr="00FD50F6">
        <w:rPr>
          <w:rFonts w:hint="eastAsia"/>
        </w:rPr>
        <w:t>或</w:t>
      </w:r>
      <w:r w:rsidRPr="00873AA4">
        <w:rPr>
          <w:i/>
          <w:iCs/>
        </w:rPr>
        <w:t>b</w:t>
      </w:r>
      <w:r w:rsidRPr="00873AA4">
        <w:rPr>
          <w:i/>
          <w:iCs/>
          <w:vertAlign w:val="subscript"/>
        </w:rPr>
        <w:t>L</w:t>
      </w:r>
      <w:r w:rsidRPr="00FD50F6">
        <w:rPr>
          <w:rFonts w:hint="eastAsia"/>
        </w:rPr>
        <w:t>)+</w:t>
      </w:r>
      <w:r w:rsidRPr="00873AA4">
        <w:rPr>
          <w:i/>
          <w:iCs/>
        </w:rPr>
        <w:t>c</w:t>
      </w:r>
      <w:r w:rsidRPr="00FD50F6">
        <w:rPr>
          <w:rFonts w:hint="eastAsia"/>
        </w:rPr>
        <w:t xml:space="preserve">          </w:t>
      </w:r>
      <w:r w:rsidRPr="00FD50F6">
        <w:t>(</w:t>
      </w:r>
      <w:r w:rsidR="00F70ADA" w:rsidRPr="00FD50F6">
        <w:rPr>
          <w:rFonts w:hint="eastAsia"/>
        </w:rPr>
        <w:t>6</w:t>
      </w:r>
      <w:r w:rsidRPr="00FD50F6">
        <w:rPr>
          <w:rFonts w:hint="eastAsia"/>
        </w:rPr>
        <w:t>.</w:t>
      </w:r>
      <w:r w:rsidRPr="00FD50F6">
        <w:t>3.</w:t>
      </w:r>
      <w:r w:rsidRPr="00FD50F6">
        <w:rPr>
          <w:rFonts w:hint="eastAsia"/>
        </w:rPr>
        <w:t>2</w:t>
      </w:r>
      <w:r w:rsidRPr="00FD50F6">
        <w:t>-</w:t>
      </w:r>
      <w:r w:rsidRPr="00FD50F6">
        <w:rPr>
          <w:rFonts w:hint="eastAsia"/>
        </w:rPr>
        <w:t>6</w:t>
      </w:r>
      <w:r w:rsidRPr="00FD50F6">
        <w:t>)</w:t>
      </w:r>
    </w:p>
    <w:p w14:paraId="3A1FB6AF" w14:textId="562BD797" w:rsidR="002B733E" w:rsidRPr="00FD50F6" w:rsidRDefault="002B733E" w:rsidP="002B733E">
      <w:pPr>
        <w:pStyle w:val="8"/>
        <w:ind w:firstLine="480"/>
        <w:jc w:val="center"/>
      </w:pPr>
      <w:r w:rsidRPr="00873AA4">
        <w:rPr>
          <w:i/>
          <w:iCs/>
        </w:rPr>
        <w:t>B</w:t>
      </w:r>
      <w:r w:rsidRPr="00873AA4">
        <w:rPr>
          <w:i/>
          <w:iCs/>
          <w:vertAlign w:val="subscript"/>
        </w:rPr>
        <w:t>i</w:t>
      </w:r>
      <w:r w:rsidRPr="00FD50F6">
        <w:t>=</w:t>
      </w:r>
      <w:r w:rsidRPr="00873AA4">
        <w:rPr>
          <w:i/>
          <w:iCs/>
        </w:rPr>
        <w:t>Y</w:t>
      </w:r>
      <w:r w:rsidRPr="00873AA4">
        <w:rPr>
          <w:i/>
          <w:iCs/>
          <w:vertAlign w:val="subscript"/>
        </w:rPr>
        <w:t>Ki</w:t>
      </w:r>
      <w:r w:rsidRPr="00FD50F6">
        <w:t xml:space="preserve"> cos</w:t>
      </w:r>
      <w:r w:rsidRPr="00873AA4">
        <w:rPr>
          <w:rFonts w:hint="eastAsia"/>
          <w:i/>
          <w:iCs/>
        </w:rPr>
        <w:t>α</w:t>
      </w:r>
      <w:r w:rsidRPr="00FD50F6">
        <w:rPr>
          <w:rFonts w:hint="eastAsia"/>
        </w:rPr>
        <w:t>+</w:t>
      </w:r>
      <w:r w:rsidRPr="00873AA4">
        <w:rPr>
          <w:i/>
          <w:iCs/>
        </w:rPr>
        <w:t>Z</w:t>
      </w:r>
      <w:r w:rsidRPr="00873AA4">
        <w:rPr>
          <w:i/>
          <w:iCs/>
          <w:vertAlign w:val="subscript"/>
        </w:rPr>
        <w:t xml:space="preserve">Ki </w:t>
      </w:r>
      <w:r w:rsidRPr="00FD50F6">
        <w:t>sin</w:t>
      </w:r>
      <w:r w:rsidRPr="00873AA4">
        <w:rPr>
          <w:rFonts w:hint="eastAsia"/>
          <w:i/>
          <w:iCs/>
        </w:rPr>
        <w:t>α</w:t>
      </w:r>
      <w:r w:rsidRPr="00FD50F6">
        <w:rPr>
          <w:rFonts w:hint="eastAsia"/>
        </w:rPr>
        <w:t>+</w:t>
      </w:r>
      <w:r w:rsidRPr="00FD50F6">
        <w:t xml:space="preserve"> </w:t>
      </w:r>
      <w:r w:rsidRPr="00873AA4">
        <w:rPr>
          <w:i/>
          <w:iCs/>
        </w:rPr>
        <w:t>b</w:t>
      </w:r>
      <w:r w:rsidRPr="00873AA4">
        <w:rPr>
          <w:i/>
          <w:iCs/>
          <w:vertAlign w:val="subscript"/>
        </w:rPr>
        <w:t>L</w:t>
      </w:r>
      <w:r w:rsidRPr="00FD50F6">
        <w:rPr>
          <w:rFonts w:hint="eastAsia"/>
        </w:rPr>
        <w:t>(</w:t>
      </w:r>
      <w:r w:rsidRPr="00FD50F6">
        <w:rPr>
          <w:rFonts w:hint="eastAsia"/>
        </w:rPr>
        <w:t>或</w:t>
      </w:r>
      <w:r w:rsidRPr="00873AA4">
        <w:rPr>
          <w:i/>
          <w:iCs/>
        </w:rPr>
        <w:t>b</w:t>
      </w:r>
      <w:r w:rsidRPr="00873AA4">
        <w:rPr>
          <w:i/>
          <w:iCs/>
          <w:vertAlign w:val="subscript"/>
        </w:rPr>
        <w:t>R</w:t>
      </w:r>
      <w:r w:rsidRPr="00FD50F6">
        <w:rPr>
          <w:rFonts w:hint="eastAsia"/>
        </w:rPr>
        <w:t>)+</w:t>
      </w:r>
      <w:r w:rsidRPr="00873AA4">
        <w:rPr>
          <w:i/>
          <w:iCs/>
        </w:rPr>
        <w:t>c</w:t>
      </w:r>
      <w:r w:rsidRPr="00FD50F6">
        <w:rPr>
          <w:rFonts w:hint="eastAsia"/>
        </w:rPr>
        <w:t xml:space="preserve">           (</w:t>
      </w:r>
      <w:r w:rsidR="00F70ADA" w:rsidRPr="00FD50F6">
        <w:rPr>
          <w:rFonts w:hint="eastAsia"/>
        </w:rPr>
        <w:t>6</w:t>
      </w:r>
      <w:r w:rsidRPr="00FD50F6">
        <w:rPr>
          <w:rFonts w:hint="eastAsia"/>
        </w:rPr>
        <w:t>.</w:t>
      </w:r>
      <w:r w:rsidRPr="00FD50F6">
        <w:t>3.</w:t>
      </w:r>
      <w:r w:rsidRPr="00FD50F6">
        <w:rPr>
          <w:rFonts w:hint="eastAsia"/>
        </w:rPr>
        <w:t>2</w:t>
      </w:r>
      <w:r w:rsidRPr="00FD50F6">
        <w:t>-</w:t>
      </w:r>
      <w:r w:rsidRPr="00FD50F6">
        <w:rPr>
          <w:rFonts w:hint="eastAsia"/>
        </w:rPr>
        <w:t>7</w:t>
      </w:r>
      <w:r w:rsidRPr="00FD50F6">
        <w:t>)</w:t>
      </w:r>
    </w:p>
    <w:p w14:paraId="6DB03588" w14:textId="6AFAAA39" w:rsidR="002B733E" w:rsidRPr="00FD50F6" w:rsidRDefault="002B733E" w:rsidP="002B733E">
      <w:pPr>
        <w:pStyle w:val="8"/>
        <w:ind w:firstLine="480"/>
        <w:jc w:val="center"/>
      </w:pPr>
      <w:r w:rsidRPr="00FD50F6">
        <w:rPr>
          <w:rFonts w:hint="eastAsia"/>
        </w:rPr>
        <w:t>A</w:t>
      </w:r>
      <w:r w:rsidRPr="00FD50F6">
        <w:rPr>
          <w:vertAlign w:val="subscript"/>
        </w:rPr>
        <w:t>1</w:t>
      </w:r>
      <w:r w:rsidRPr="00FD50F6">
        <w:rPr>
          <w:rFonts w:hint="eastAsia"/>
        </w:rPr>
        <w:t>型车</w:t>
      </w:r>
      <w:r w:rsidRPr="00FD50F6">
        <w:rPr>
          <w:rFonts w:hint="eastAsia"/>
        </w:rPr>
        <w:t>B</w:t>
      </w:r>
      <w:r w:rsidRPr="00FD50F6">
        <w:rPr>
          <w:vertAlign w:val="subscript"/>
        </w:rPr>
        <w:t>1</w:t>
      </w:r>
      <w:r w:rsidRPr="00FD50F6">
        <w:rPr>
          <w:rFonts w:hint="eastAsia"/>
        </w:rPr>
        <w:t>型车：</w:t>
      </w:r>
      <w:r w:rsidRPr="00873AA4">
        <w:rPr>
          <w:i/>
          <w:iCs/>
        </w:rPr>
        <w:t>Bu</w:t>
      </w:r>
      <w:r w:rsidRPr="00FD50F6">
        <w:t>=</w:t>
      </w:r>
      <w:r w:rsidRPr="00873AA4">
        <w:rPr>
          <w:i/>
          <w:iCs/>
        </w:rPr>
        <w:t>Y</w:t>
      </w:r>
      <w:r w:rsidRPr="00873AA4">
        <w:rPr>
          <w:i/>
          <w:iCs/>
          <w:vertAlign w:val="subscript"/>
        </w:rPr>
        <w:t xml:space="preserve">Kh </w:t>
      </w:r>
      <w:r w:rsidRPr="00FD50F6">
        <w:t>sin</w:t>
      </w:r>
      <w:r w:rsidRPr="00873AA4">
        <w:rPr>
          <w:rFonts w:hint="eastAsia"/>
          <w:i/>
          <w:iCs/>
        </w:rPr>
        <w:t>α</w:t>
      </w:r>
      <w:r w:rsidRPr="00FD50F6">
        <w:t>+</w:t>
      </w:r>
      <w:r w:rsidRPr="00873AA4">
        <w:rPr>
          <w:i/>
          <w:iCs/>
        </w:rPr>
        <w:t>Z</w:t>
      </w:r>
      <w:r w:rsidRPr="00873AA4">
        <w:rPr>
          <w:i/>
          <w:iCs/>
          <w:vertAlign w:val="subscript"/>
        </w:rPr>
        <w:t xml:space="preserve">Kh </w:t>
      </w:r>
      <w:r w:rsidRPr="00FD50F6">
        <w:t>cos</w:t>
      </w:r>
      <w:r w:rsidRPr="00873AA4">
        <w:rPr>
          <w:rFonts w:hint="eastAsia"/>
          <w:i/>
          <w:iCs/>
        </w:rPr>
        <w:t>α</w:t>
      </w:r>
      <w:r w:rsidRPr="00FD50F6">
        <w:rPr>
          <w:rFonts w:hint="eastAsia"/>
        </w:rPr>
        <w:t>+</w:t>
      </w:r>
      <w:r w:rsidRPr="00873AA4">
        <w:rPr>
          <w:i/>
          <w:iCs/>
        </w:rPr>
        <w:t>h</w:t>
      </w:r>
      <w:r w:rsidRPr="00873AA4">
        <w:rPr>
          <w:i/>
          <w:iCs/>
          <w:vertAlign w:val="subscript"/>
        </w:rPr>
        <w:t>3</w:t>
      </w:r>
      <w:r w:rsidRPr="00FD50F6">
        <w:rPr>
          <w:rFonts w:hint="eastAsia"/>
        </w:rPr>
        <w:t>+200</w:t>
      </w:r>
      <w:r w:rsidRPr="00FD50F6">
        <w:rPr>
          <w:vertAlign w:val="subscript"/>
        </w:rPr>
        <w:t xml:space="preserve">   </w:t>
      </w:r>
      <w:r w:rsidRPr="00FD50F6">
        <w:rPr>
          <w:rFonts w:hint="eastAsia"/>
          <w:vertAlign w:val="subscript"/>
        </w:rPr>
        <w:t xml:space="preserve">   </w:t>
      </w:r>
      <w:r w:rsidRPr="00FD50F6">
        <w:t>(</w:t>
      </w:r>
      <w:r w:rsidR="00F70ADA" w:rsidRPr="00FD50F6">
        <w:rPr>
          <w:rFonts w:hint="eastAsia"/>
        </w:rPr>
        <w:t>6</w:t>
      </w:r>
      <w:r w:rsidRPr="00FD50F6">
        <w:rPr>
          <w:rFonts w:hint="eastAsia"/>
        </w:rPr>
        <w:t>.3.2</w:t>
      </w:r>
      <w:r w:rsidRPr="00FD50F6">
        <w:t>-</w:t>
      </w:r>
      <w:r w:rsidRPr="00FD50F6">
        <w:rPr>
          <w:rFonts w:hint="eastAsia"/>
        </w:rPr>
        <w:t>8</w:t>
      </w:r>
      <w:r w:rsidRPr="00FD50F6">
        <w:t>)</w:t>
      </w:r>
    </w:p>
    <w:p w14:paraId="1C029A12" w14:textId="2D613BE7" w:rsidR="002B733E" w:rsidRPr="00FD50F6" w:rsidRDefault="002B733E" w:rsidP="002B733E">
      <w:pPr>
        <w:pStyle w:val="8"/>
        <w:ind w:firstLine="480"/>
        <w:jc w:val="center"/>
      </w:pPr>
      <w:r w:rsidRPr="00FD50F6">
        <w:rPr>
          <w:rFonts w:hint="eastAsia"/>
        </w:rPr>
        <w:t>Ａ</w:t>
      </w:r>
      <w:r w:rsidRPr="00FD50F6">
        <w:rPr>
          <w:rFonts w:hint="eastAsia"/>
          <w:vertAlign w:val="subscript"/>
        </w:rPr>
        <w:t>2</w:t>
      </w:r>
      <w:r w:rsidRPr="00FD50F6">
        <w:rPr>
          <w:rFonts w:hint="eastAsia"/>
        </w:rPr>
        <w:t>型车和</w:t>
      </w:r>
      <w:r w:rsidRPr="00FD50F6">
        <w:rPr>
          <w:rFonts w:hint="eastAsia"/>
        </w:rPr>
        <w:t>B</w:t>
      </w:r>
      <w:r w:rsidRPr="00FD50F6">
        <w:rPr>
          <w:rFonts w:hint="eastAsia"/>
          <w:vertAlign w:val="subscript"/>
        </w:rPr>
        <w:t>2</w:t>
      </w:r>
      <w:r w:rsidRPr="00FD50F6">
        <w:rPr>
          <w:rFonts w:hint="eastAsia"/>
        </w:rPr>
        <w:t>型车：</w:t>
      </w:r>
      <w:r w:rsidRPr="00873AA4">
        <w:rPr>
          <w:i/>
          <w:iCs/>
        </w:rPr>
        <w:t>H</w:t>
      </w:r>
      <w:r w:rsidRPr="00FD50F6">
        <w:rPr>
          <w:rFonts w:hint="eastAsia"/>
        </w:rPr>
        <w:t>=</w:t>
      </w:r>
      <w:r w:rsidRPr="00873AA4">
        <w:rPr>
          <w:i/>
          <w:iCs/>
        </w:rPr>
        <w:t>h</w:t>
      </w:r>
      <w:r w:rsidRPr="00873AA4">
        <w:rPr>
          <w:i/>
          <w:iCs/>
          <w:vertAlign w:val="subscript"/>
        </w:rPr>
        <w:t>1</w:t>
      </w:r>
      <w:r w:rsidRPr="00FD50F6">
        <w:t>+</w:t>
      </w:r>
      <w:r w:rsidRPr="00873AA4">
        <w:rPr>
          <w:i/>
          <w:iCs/>
        </w:rPr>
        <w:t>h</w:t>
      </w:r>
      <w:r w:rsidRPr="00873AA4">
        <w:rPr>
          <w:i/>
          <w:iCs/>
          <w:vertAlign w:val="subscript"/>
        </w:rPr>
        <w:t>2</w:t>
      </w:r>
      <w:r w:rsidRPr="00FD50F6">
        <w:t>+</w:t>
      </w:r>
      <w:r w:rsidRPr="00873AA4">
        <w:rPr>
          <w:i/>
          <w:iCs/>
        </w:rPr>
        <w:t>h</w:t>
      </w:r>
      <w:r w:rsidRPr="00873AA4">
        <w:rPr>
          <w:i/>
          <w:iCs/>
          <w:vertAlign w:val="subscript"/>
        </w:rPr>
        <w:t>3</w:t>
      </w:r>
      <w:r w:rsidRPr="00873AA4">
        <w:rPr>
          <w:i/>
          <w:iCs/>
        </w:rPr>
        <w:t xml:space="preserve">                </w:t>
      </w:r>
      <w:r w:rsidRPr="00FD50F6">
        <w:t>(</w:t>
      </w:r>
      <w:r w:rsidR="00F70ADA" w:rsidRPr="00FD50F6">
        <w:rPr>
          <w:rFonts w:hint="eastAsia"/>
        </w:rPr>
        <w:t>6</w:t>
      </w:r>
      <w:r w:rsidRPr="00FD50F6">
        <w:rPr>
          <w:rFonts w:hint="eastAsia"/>
        </w:rPr>
        <w:t>.3.2</w:t>
      </w:r>
      <w:r w:rsidRPr="00FD50F6">
        <w:t>-</w:t>
      </w:r>
      <w:r w:rsidRPr="00FD50F6">
        <w:rPr>
          <w:rFonts w:hint="eastAsia"/>
        </w:rPr>
        <w:t>9)</w:t>
      </w:r>
    </w:p>
    <w:p w14:paraId="2ADD5B2A" w14:textId="0643D5AD" w:rsidR="002B733E" w:rsidRPr="00FD50F6" w:rsidRDefault="002B733E" w:rsidP="002B733E">
      <w:pPr>
        <w:pStyle w:val="8"/>
        <w:ind w:firstLine="480"/>
        <w:jc w:val="center"/>
        <w:rPr>
          <w:vertAlign w:val="subscript"/>
        </w:rPr>
      </w:pPr>
      <w:r w:rsidRPr="00873AA4">
        <w:rPr>
          <w:rFonts w:hint="eastAsia"/>
          <w:i/>
          <w:iCs/>
        </w:rPr>
        <w:t>α</w:t>
      </w:r>
      <w:r w:rsidRPr="00FD50F6">
        <w:rPr>
          <w:rFonts w:hint="eastAsia"/>
        </w:rPr>
        <w:t xml:space="preserve">= </w:t>
      </w:r>
      <w:r w:rsidRPr="00FD50F6">
        <w:t>sin</w:t>
      </w:r>
      <w:r w:rsidRPr="00FD50F6">
        <w:rPr>
          <w:rFonts w:hint="eastAsia"/>
          <w:vertAlign w:val="superscript"/>
        </w:rPr>
        <w:t>-1</w:t>
      </w:r>
      <w:r w:rsidRPr="00FD50F6">
        <w:rPr>
          <w:rFonts w:hint="eastAsia"/>
        </w:rPr>
        <w:t>(</w:t>
      </w:r>
      <w:r w:rsidRPr="00873AA4">
        <w:rPr>
          <w:i/>
          <w:iCs/>
        </w:rPr>
        <w:t>h/s</w:t>
      </w:r>
      <w:r w:rsidRPr="00FD50F6">
        <w:rPr>
          <w:rFonts w:hint="eastAsia"/>
        </w:rPr>
        <w:t xml:space="preserve">)  </w:t>
      </w:r>
      <w:r w:rsidRPr="00FD50F6">
        <w:t xml:space="preserve"> </w:t>
      </w:r>
      <w:r w:rsidRPr="00FD50F6">
        <w:rPr>
          <w:rFonts w:hint="eastAsia"/>
        </w:rPr>
        <w:t xml:space="preserve">  </w:t>
      </w:r>
      <w:r w:rsidRPr="00FD50F6">
        <w:t xml:space="preserve"> </w:t>
      </w:r>
      <w:r w:rsidRPr="00FD50F6">
        <w:rPr>
          <w:rFonts w:hint="eastAsia"/>
        </w:rPr>
        <w:t xml:space="preserve">                       </w:t>
      </w:r>
      <w:r w:rsidRPr="00FD50F6">
        <w:t>(</w:t>
      </w:r>
      <w:r w:rsidR="00F70ADA" w:rsidRPr="00FD50F6">
        <w:rPr>
          <w:rFonts w:hint="eastAsia"/>
        </w:rPr>
        <w:t>6</w:t>
      </w:r>
      <w:r w:rsidRPr="00FD50F6">
        <w:rPr>
          <w:rFonts w:hint="eastAsia"/>
        </w:rPr>
        <w:t>.3.2</w:t>
      </w:r>
      <w:r w:rsidRPr="00FD50F6">
        <w:t>-</w:t>
      </w:r>
      <w:r w:rsidRPr="00FD50F6">
        <w:rPr>
          <w:rFonts w:hint="eastAsia"/>
        </w:rPr>
        <w:t>10</w:t>
      </w:r>
      <w:r w:rsidRPr="00FD50F6">
        <w:t>)</w:t>
      </w:r>
    </w:p>
    <w:p w14:paraId="08FF1DB2" w14:textId="29E86911" w:rsidR="002B733E" w:rsidRPr="00FD50F6" w:rsidRDefault="002B733E" w:rsidP="00873AA4">
      <w:pPr>
        <w:pStyle w:val="8"/>
        <w:ind w:firstLineChars="0" w:firstLine="0"/>
        <w:rPr>
          <w:szCs w:val="20"/>
        </w:rPr>
      </w:pPr>
      <w:r w:rsidRPr="00FD50F6">
        <w:rPr>
          <w:rFonts w:hint="eastAsia"/>
        </w:rPr>
        <w:t>式中：</w:t>
      </w:r>
      <w:r w:rsidRPr="00873AA4">
        <w:rPr>
          <w:i/>
          <w:iCs/>
          <w:szCs w:val="20"/>
        </w:rPr>
        <w:t>B</w:t>
      </w:r>
      <w:r w:rsidRPr="00873AA4">
        <w:rPr>
          <w:i/>
          <w:iCs/>
          <w:szCs w:val="20"/>
          <w:vertAlign w:val="subscript"/>
        </w:rPr>
        <w:t>a</w:t>
      </w:r>
      <w:r w:rsidRPr="00FD50F6">
        <w:rPr>
          <w:rFonts w:hint="eastAsia"/>
        </w:rPr>
        <w:t>——</w:t>
      </w:r>
      <w:r w:rsidRPr="00FD50F6">
        <w:rPr>
          <w:rFonts w:hint="eastAsia"/>
          <w:szCs w:val="20"/>
        </w:rPr>
        <w:t>曲线外侧建筑限界宽度</w:t>
      </w:r>
      <w:r w:rsidR="00367D04" w:rsidRPr="00FD50F6">
        <w:rPr>
          <w:rFonts w:hint="eastAsia"/>
        </w:rPr>
        <w:t>（</w:t>
      </w:r>
      <w:r w:rsidR="00367D04" w:rsidRPr="00FD50F6">
        <w:t>mm</w:t>
      </w:r>
      <w:r w:rsidR="00367D04" w:rsidRPr="00FD50F6">
        <w:rPr>
          <w:rFonts w:hint="eastAsia"/>
        </w:rPr>
        <w:t>）</w:t>
      </w:r>
      <w:r w:rsidRPr="00FD50F6">
        <w:rPr>
          <w:rFonts w:hint="eastAsia"/>
          <w:szCs w:val="20"/>
        </w:rPr>
        <w:t>；</w:t>
      </w:r>
    </w:p>
    <w:p w14:paraId="3E22FB6C" w14:textId="54138A44" w:rsidR="002B733E" w:rsidRPr="00FD50F6" w:rsidRDefault="002B733E" w:rsidP="00873AA4">
      <w:pPr>
        <w:pStyle w:val="8"/>
        <w:ind w:firstLineChars="308" w:firstLine="739"/>
        <w:rPr>
          <w:szCs w:val="20"/>
        </w:rPr>
      </w:pPr>
      <w:r w:rsidRPr="00873AA4">
        <w:rPr>
          <w:i/>
          <w:iCs/>
          <w:szCs w:val="20"/>
        </w:rPr>
        <w:lastRenderedPageBreak/>
        <w:t>B</w:t>
      </w:r>
      <w:r w:rsidRPr="00873AA4">
        <w:rPr>
          <w:i/>
          <w:iCs/>
          <w:szCs w:val="20"/>
          <w:vertAlign w:val="subscript"/>
        </w:rPr>
        <w:t>i</w:t>
      </w:r>
      <w:r w:rsidRPr="00FD50F6">
        <w:rPr>
          <w:rFonts w:hint="eastAsia"/>
        </w:rPr>
        <w:t>——</w:t>
      </w:r>
      <w:r w:rsidRPr="00FD50F6">
        <w:rPr>
          <w:rFonts w:hint="eastAsia"/>
          <w:szCs w:val="20"/>
        </w:rPr>
        <w:t>曲线内侧建筑限界宽度</w:t>
      </w:r>
      <w:r w:rsidR="00367D04" w:rsidRPr="00FD50F6">
        <w:rPr>
          <w:rFonts w:hint="eastAsia"/>
        </w:rPr>
        <w:t>（</w:t>
      </w:r>
      <w:r w:rsidR="00367D04" w:rsidRPr="00FD50F6">
        <w:t>mm</w:t>
      </w:r>
      <w:r w:rsidR="00367D04" w:rsidRPr="00FD50F6">
        <w:rPr>
          <w:rFonts w:hint="eastAsia"/>
        </w:rPr>
        <w:t>）</w:t>
      </w:r>
      <w:r w:rsidRPr="00FD50F6">
        <w:rPr>
          <w:rFonts w:hint="eastAsia"/>
          <w:szCs w:val="20"/>
        </w:rPr>
        <w:t>；</w:t>
      </w:r>
    </w:p>
    <w:p w14:paraId="5F143C31" w14:textId="0CAC2B6C" w:rsidR="002B733E" w:rsidRPr="00FD50F6" w:rsidRDefault="002B733E" w:rsidP="00873AA4">
      <w:pPr>
        <w:pStyle w:val="8"/>
        <w:ind w:firstLineChars="308" w:firstLine="739"/>
        <w:rPr>
          <w:szCs w:val="20"/>
        </w:rPr>
      </w:pPr>
      <w:r w:rsidRPr="00873AA4">
        <w:rPr>
          <w:i/>
          <w:iCs/>
          <w:szCs w:val="20"/>
        </w:rPr>
        <w:t>B</w:t>
      </w:r>
      <w:r w:rsidRPr="00873AA4">
        <w:rPr>
          <w:i/>
          <w:iCs/>
          <w:szCs w:val="20"/>
          <w:vertAlign w:val="subscript"/>
        </w:rPr>
        <w:t>u</w:t>
      </w:r>
      <w:r w:rsidRPr="00FD50F6">
        <w:rPr>
          <w:rFonts w:hint="eastAsia"/>
        </w:rPr>
        <w:t>——</w:t>
      </w:r>
      <w:r w:rsidRPr="00FD50F6">
        <w:rPr>
          <w:rFonts w:hint="eastAsia"/>
          <w:szCs w:val="20"/>
        </w:rPr>
        <w:t>曲线建筑限界高度</w:t>
      </w:r>
      <w:r w:rsidR="00367D04" w:rsidRPr="00FD50F6">
        <w:rPr>
          <w:rFonts w:hint="eastAsia"/>
        </w:rPr>
        <w:t>（</w:t>
      </w:r>
      <w:r w:rsidR="00367D04" w:rsidRPr="00FD50F6">
        <w:t>mm</w:t>
      </w:r>
      <w:r w:rsidR="00367D04" w:rsidRPr="00FD50F6">
        <w:rPr>
          <w:rFonts w:hint="eastAsia"/>
        </w:rPr>
        <w:t>）</w:t>
      </w:r>
      <w:r w:rsidRPr="00FD50F6">
        <w:rPr>
          <w:rFonts w:hint="eastAsia"/>
          <w:szCs w:val="20"/>
        </w:rPr>
        <w:t>；</w:t>
      </w:r>
    </w:p>
    <w:p w14:paraId="26561B77" w14:textId="77777777" w:rsidR="002B733E" w:rsidRPr="00FD50F6" w:rsidRDefault="002B733E" w:rsidP="00873AA4">
      <w:pPr>
        <w:pStyle w:val="8"/>
        <w:ind w:firstLineChars="308" w:firstLine="739"/>
      </w:pPr>
      <w:r w:rsidRPr="00873AA4">
        <w:rPr>
          <w:i/>
        </w:rPr>
        <w:t>h</w:t>
      </w:r>
      <w:r w:rsidRPr="00FD50F6">
        <w:rPr>
          <w:rFonts w:hint="eastAsia"/>
        </w:rPr>
        <w:t>——轨道超高值（</w:t>
      </w:r>
      <w:r w:rsidRPr="00FD50F6">
        <w:t>mm</w:t>
      </w:r>
      <w:r w:rsidRPr="00FD50F6">
        <w:rPr>
          <w:rFonts w:hint="eastAsia"/>
        </w:rPr>
        <w:t>）；</w:t>
      </w:r>
    </w:p>
    <w:p w14:paraId="50685AC7" w14:textId="77777777" w:rsidR="002B733E" w:rsidRPr="00FD50F6" w:rsidRDefault="002B733E" w:rsidP="00873AA4">
      <w:pPr>
        <w:pStyle w:val="8"/>
        <w:ind w:firstLineChars="308" w:firstLine="739"/>
      </w:pPr>
      <w:r w:rsidRPr="00873AA4">
        <w:rPr>
          <w:i/>
        </w:rPr>
        <w:t>s</w:t>
      </w:r>
      <w:r w:rsidRPr="00FD50F6">
        <w:rPr>
          <w:rFonts w:hint="eastAsia"/>
        </w:rPr>
        <w:t>——滚动圆间距（</w:t>
      </w:r>
      <w:r w:rsidRPr="00FD50F6">
        <w:t>mm</w:t>
      </w:r>
      <w:r w:rsidRPr="00FD50F6">
        <w:rPr>
          <w:rFonts w:hint="eastAsia"/>
        </w:rPr>
        <w:t>），取值</w:t>
      </w:r>
      <w:r w:rsidRPr="00FD50F6">
        <w:rPr>
          <w:rFonts w:hint="eastAsia"/>
        </w:rPr>
        <w:t>1500mm</w:t>
      </w:r>
      <w:r w:rsidRPr="00FD50F6">
        <w:rPr>
          <w:rFonts w:hint="eastAsia"/>
        </w:rPr>
        <w:t>；</w:t>
      </w:r>
    </w:p>
    <w:p w14:paraId="4E6F671F" w14:textId="77777777" w:rsidR="002B733E" w:rsidRPr="00FD50F6" w:rsidRDefault="002B733E" w:rsidP="002B733E">
      <w:pPr>
        <w:pStyle w:val="8"/>
        <w:ind w:firstLineChars="300" w:firstLine="720"/>
      </w:pPr>
      <w:r w:rsidRPr="00FD50F6">
        <w:t>(</w:t>
      </w:r>
      <w:r w:rsidRPr="00873AA4">
        <w:rPr>
          <w:i/>
          <w:iCs/>
        </w:rPr>
        <w:t>Y</w:t>
      </w:r>
      <w:r w:rsidRPr="00873AA4">
        <w:rPr>
          <w:i/>
          <w:iCs/>
          <w:vertAlign w:val="subscript"/>
        </w:rPr>
        <w:t>Kh</w:t>
      </w:r>
      <w:r w:rsidRPr="00873AA4">
        <w:rPr>
          <w:rFonts w:hint="eastAsia"/>
          <w:i/>
          <w:iCs/>
        </w:rPr>
        <w:t>、</w:t>
      </w:r>
      <w:r w:rsidRPr="00873AA4">
        <w:rPr>
          <w:i/>
          <w:iCs/>
        </w:rPr>
        <w:t>Z</w:t>
      </w:r>
      <w:r w:rsidRPr="00873AA4">
        <w:rPr>
          <w:i/>
          <w:iCs/>
          <w:vertAlign w:val="subscript"/>
        </w:rPr>
        <w:t>Kh</w:t>
      </w:r>
      <w:r w:rsidRPr="00FD50F6">
        <w:t>), (</w:t>
      </w:r>
      <w:r w:rsidRPr="00873AA4">
        <w:rPr>
          <w:i/>
          <w:iCs/>
        </w:rPr>
        <w:t>Y</w:t>
      </w:r>
      <w:r w:rsidRPr="00873AA4">
        <w:rPr>
          <w:i/>
          <w:iCs/>
          <w:vertAlign w:val="subscript"/>
        </w:rPr>
        <w:t>Ki</w:t>
      </w:r>
      <w:r w:rsidRPr="00873AA4">
        <w:rPr>
          <w:rFonts w:hint="eastAsia"/>
          <w:i/>
          <w:iCs/>
        </w:rPr>
        <w:t>、</w:t>
      </w:r>
      <w:r w:rsidRPr="00873AA4">
        <w:rPr>
          <w:i/>
          <w:iCs/>
        </w:rPr>
        <w:t>Z</w:t>
      </w:r>
      <w:r w:rsidRPr="00873AA4">
        <w:rPr>
          <w:i/>
          <w:iCs/>
          <w:vertAlign w:val="subscript"/>
        </w:rPr>
        <w:t>Ki</w:t>
      </w:r>
      <w:r w:rsidRPr="00FD50F6">
        <w:t>), (</w:t>
      </w:r>
      <w:r w:rsidRPr="00873AA4">
        <w:rPr>
          <w:i/>
          <w:iCs/>
        </w:rPr>
        <w:t>Y</w:t>
      </w:r>
      <w:r w:rsidRPr="00873AA4">
        <w:rPr>
          <w:i/>
          <w:iCs/>
          <w:vertAlign w:val="subscript"/>
        </w:rPr>
        <w:t>Ka</w:t>
      </w:r>
      <w:r w:rsidRPr="00873AA4">
        <w:rPr>
          <w:rFonts w:hint="eastAsia"/>
          <w:i/>
          <w:iCs/>
        </w:rPr>
        <w:t>、</w:t>
      </w:r>
      <w:r w:rsidRPr="00873AA4">
        <w:rPr>
          <w:i/>
          <w:iCs/>
        </w:rPr>
        <w:t>Z</w:t>
      </w:r>
      <w:r w:rsidRPr="00873AA4">
        <w:rPr>
          <w:i/>
          <w:iCs/>
          <w:vertAlign w:val="subscript"/>
        </w:rPr>
        <w:t>Ka</w:t>
      </w:r>
      <w:r w:rsidRPr="00FD50F6">
        <w:t>)</w:t>
      </w:r>
      <w:r w:rsidRPr="00FD50F6">
        <w:rPr>
          <w:rFonts w:hint="eastAsia"/>
        </w:rPr>
        <w:t>——曲线地段设备限界控制点坐标值（</w:t>
      </w:r>
      <w:r w:rsidRPr="00FD50F6">
        <w:t>mm</w:t>
      </w:r>
      <w:r w:rsidRPr="00FD50F6">
        <w:rPr>
          <w:rFonts w:hint="eastAsia"/>
        </w:rPr>
        <w:t>）；</w:t>
      </w:r>
    </w:p>
    <w:p w14:paraId="22D40082" w14:textId="5BA3D8D0" w:rsidR="002B733E" w:rsidRPr="00FD50F6" w:rsidRDefault="002B733E" w:rsidP="00A926BD">
      <w:pPr>
        <w:pStyle w:val="4"/>
      </w:pPr>
      <w:r w:rsidRPr="00FD50F6">
        <w:rPr>
          <w:rFonts w:hint="eastAsia"/>
        </w:rPr>
        <w:t>缓和曲线地段矩形隧道建筑限界加宽方法应按本标准附录</w:t>
      </w:r>
      <w:r w:rsidRPr="00FD50F6">
        <w:rPr>
          <w:rFonts w:hint="eastAsia"/>
        </w:rPr>
        <w:t>G</w:t>
      </w:r>
      <w:r w:rsidRPr="00FD50F6">
        <w:rPr>
          <w:rFonts w:hint="eastAsia"/>
        </w:rPr>
        <w:t>的规定计算；</w:t>
      </w:r>
    </w:p>
    <w:p w14:paraId="3A243273" w14:textId="180E0666" w:rsidR="002B733E" w:rsidRPr="00FD50F6" w:rsidRDefault="002B733E" w:rsidP="00A926BD">
      <w:pPr>
        <w:pStyle w:val="4"/>
      </w:pPr>
      <w:r w:rsidRPr="00FD50F6">
        <w:rPr>
          <w:rFonts w:hint="eastAsia"/>
        </w:rPr>
        <w:t>全线矩形隧道建筑限界高度宜统一采用曲线地段最大高度。</w:t>
      </w:r>
    </w:p>
    <w:p w14:paraId="19B03A99" w14:textId="77777777" w:rsidR="002B733E" w:rsidRPr="00FD50F6" w:rsidRDefault="002B733E" w:rsidP="002B733E">
      <w:pPr>
        <w:pStyle w:val="30"/>
      </w:pPr>
      <w:r w:rsidRPr="00FD50F6">
        <w:rPr>
          <w:rFonts w:hint="eastAsia"/>
        </w:rPr>
        <w:t>单线圆形隧道的建筑限界，应按全线盾构施工地段的平面曲线最小半径和最大轨道超高确定。</w:t>
      </w:r>
    </w:p>
    <w:p w14:paraId="18C4CABD" w14:textId="77777777" w:rsidR="002B733E" w:rsidRPr="00FD50F6" w:rsidRDefault="002B733E" w:rsidP="002B733E">
      <w:pPr>
        <w:pStyle w:val="30"/>
      </w:pPr>
      <w:r w:rsidRPr="00FD50F6">
        <w:rPr>
          <w:rFonts w:hint="eastAsia"/>
        </w:rPr>
        <w:t>单线马蹄形隧道的建筑限界，宜按全线采用矿山法施工地段的平面曲线最小半径确定。</w:t>
      </w:r>
    </w:p>
    <w:p w14:paraId="50A26F41" w14:textId="77777777" w:rsidR="002B733E" w:rsidRPr="00FD50F6" w:rsidRDefault="002B733E" w:rsidP="002B733E">
      <w:pPr>
        <w:pStyle w:val="30"/>
      </w:pPr>
      <w:r w:rsidRPr="00FD50F6">
        <w:rPr>
          <w:rFonts w:hint="eastAsia"/>
        </w:rPr>
        <w:t>圆形或马蹄形隧道在曲线超高地段，应采用隧道中心向线路基准线内侧偏移的方法解决轨道超高造成的内外侧不均匀位移量。位移量应按下列公式计算：</w:t>
      </w:r>
    </w:p>
    <w:p w14:paraId="0292EC1B" w14:textId="77777777" w:rsidR="002B733E" w:rsidRPr="00FD50F6" w:rsidRDefault="002B733E" w:rsidP="00A926BD">
      <w:pPr>
        <w:pStyle w:val="4"/>
      </w:pPr>
      <w:r w:rsidRPr="00FD50F6">
        <w:rPr>
          <w:rFonts w:hint="eastAsia"/>
        </w:rPr>
        <w:t>按半超高设置时，应按下列公式计算：</w:t>
      </w:r>
    </w:p>
    <w:p w14:paraId="597872F7" w14:textId="5018FE75" w:rsidR="002B733E" w:rsidRPr="00FD50F6" w:rsidRDefault="002B733E" w:rsidP="002B733E">
      <w:pPr>
        <w:pStyle w:val="8"/>
        <w:ind w:firstLine="480"/>
        <w:jc w:val="center"/>
      </w:pPr>
      <w:r w:rsidRPr="00873AA4">
        <w:rPr>
          <w:i/>
          <w:iCs/>
        </w:rPr>
        <w:t>y’</w:t>
      </w:r>
      <w:r w:rsidRPr="00FD50F6">
        <w:t xml:space="preserve">= </w:t>
      </w:r>
      <w:r w:rsidRPr="00873AA4">
        <w:rPr>
          <w:i/>
          <w:iCs/>
        </w:rPr>
        <w:t>h</w:t>
      </w:r>
      <w:r w:rsidRPr="00873AA4">
        <w:rPr>
          <w:i/>
          <w:iCs/>
          <w:vertAlign w:val="subscript"/>
        </w:rPr>
        <w:t>0</w:t>
      </w:r>
      <w:r w:rsidRPr="00FD50F6">
        <w:rPr>
          <w:rFonts w:hint="eastAsia"/>
        </w:rPr>
        <w:t>·</w:t>
      </w:r>
      <w:r w:rsidRPr="00873AA4">
        <w:rPr>
          <w:i/>
          <w:iCs/>
        </w:rPr>
        <w:t>h</w:t>
      </w:r>
      <w:r w:rsidRPr="00FD50F6">
        <w:rPr>
          <w:rFonts w:hint="eastAsia"/>
        </w:rPr>
        <w:t>/</w:t>
      </w:r>
      <w:r w:rsidRPr="00873AA4">
        <w:rPr>
          <w:i/>
          <w:iCs/>
        </w:rPr>
        <w:t>s</w:t>
      </w:r>
      <w:r w:rsidRPr="00FD50F6">
        <w:rPr>
          <w:rFonts w:hint="eastAsia"/>
        </w:rPr>
        <w:t xml:space="preserve">               </w:t>
      </w:r>
      <w:r w:rsidRPr="00FD50F6">
        <w:rPr>
          <w:rFonts w:hint="eastAsia"/>
        </w:rPr>
        <w:t>（</w:t>
      </w:r>
      <w:r w:rsidR="00F70ADA" w:rsidRPr="00FD50F6">
        <w:rPr>
          <w:rFonts w:hint="eastAsia"/>
        </w:rPr>
        <w:t>6</w:t>
      </w:r>
      <w:r w:rsidRPr="00FD50F6">
        <w:rPr>
          <w:rFonts w:hint="eastAsia"/>
        </w:rPr>
        <w:t>.3.5</w:t>
      </w:r>
      <w:r w:rsidRPr="00FD50F6">
        <w:t>-1</w:t>
      </w:r>
      <w:r w:rsidRPr="00FD50F6">
        <w:rPr>
          <w:rFonts w:hint="eastAsia"/>
        </w:rPr>
        <w:t>）</w:t>
      </w:r>
    </w:p>
    <w:p w14:paraId="7CDF5F8C" w14:textId="69E6BC0C" w:rsidR="002B733E" w:rsidRPr="00FD50F6" w:rsidRDefault="002B733E" w:rsidP="002B733E">
      <w:pPr>
        <w:pStyle w:val="8"/>
        <w:ind w:firstLine="480"/>
        <w:jc w:val="center"/>
      </w:pPr>
      <w:r w:rsidRPr="00873AA4">
        <w:rPr>
          <w:i/>
          <w:iCs/>
        </w:rPr>
        <w:t>z’</w:t>
      </w:r>
      <w:r w:rsidRPr="00FD50F6">
        <w:t>=-</w:t>
      </w:r>
      <w:r w:rsidRPr="00873AA4">
        <w:rPr>
          <w:i/>
          <w:iCs/>
        </w:rPr>
        <w:t>h</w:t>
      </w:r>
      <w:r w:rsidRPr="00873AA4">
        <w:rPr>
          <w:i/>
          <w:iCs/>
          <w:vertAlign w:val="subscript"/>
        </w:rPr>
        <w:t>0</w:t>
      </w:r>
      <w:r w:rsidRPr="00FD50F6">
        <w:t>(1-cos</w:t>
      </w:r>
      <w:r w:rsidRPr="00873AA4">
        <w:rPr>
          <w:rFonts w:hint="eastAsia"/>
          <w:i/>
          <w:iCs/>
        </w:rPr>
        <w:t>α</w:t>
      </w:r>
      <w:r w:rsidRPr="00FD50F6">
        <w:t>)</w:t>
      </w:r>
      <w:r w:rsidRPr="00FD50F6">
        <w:rPr>
          <w:rFonts w:hint="eastAsia"/>
        </w:rPr>
        <w:t xml:space="preserve">  </w:t>
      </w:r>
      <w:r w:rsidRPr="00FD50F6">
        <w:t xml:space="preserve"> </w:t>
      </w:r>
      <w:r w:rsidRPr="00FD50F6">
        <w:rPr>
          <w:rFonts w:hint="eastAsia"/>
        </w:rPr>
        <w:t xml:space="preserve">        </w:t>
      </w:r>
      <w:r w:rsidRPr="00FD50F6">
        <w:rPr>
          <w:rFonts w:hint="eastAsia"/>
        </w:rPr>
        <w:t>（</w:t>
      </w:r>
      <w:r w:rsidR="00F70ADA" w:rsidRPr="00FD50F6">
        <w:rPr>
          <w:rFonts w:hint="eastAsia"/>
        </w:rPr>
        <w:t>6</w:t>
      </w:r>
      <w:r w:rsidRPr="00FD50F6">
        <w:rPr>
          <w:rFonts w:hint="eastAsia"/>
        </w:rPr>
        <w:t>.3.5</w:t>
      </w:r>
      <w:r w:rsidRPr="00FD50F6">
        <w:t>-2</w:t>
      </w:r>
      <w:r w:rsidRPr="00FD50F6">
        <w:rPr>
          <w:rFonts w:hint="eastAsia"/>
        </w:rPr>
        <w:t>）</w:t>
      </w:r>
    </w:p>
    <w:p w14:paraId="20616B55" w14:textId="53C907A1" w:rsidR="002B733E" w:rsidRPr="00FD50F6" w:rsidRDefault="002B733E" w:rsidP="002B733E">
      <w:pPr>
        <w:pStyle w:val="8"/>
        <w:ind w:firstLine="480"/>
        <w:jc w:val="center"/>
      </w:pPr>
      <w:r w:rsidRPr="00FD50F6">
        <w:rPr>
          <w:rFonts w:hint="eastAsia"/>
        </w:rPr>
        <w:t>式中：</w:t>
      </w:r>
      <w:r w:rsidRPr="00FD50F6">
        <w:rPr>
          <w:rFonts w:hint="eastAsia"/>
          <w:i/>
          <w:iCs/>
        </w:rPr>
        <w:t>y</w:t>
      </w:r>
      <w:r w:rsidRPr="00FD50F6">
        <w:rPr>
          <w:i/>
          <w:iCs/>
        </w:rPr>
        <w:t>’</w:t>
      </w:r>
      <w:r w:rsidRPr="00FD50F6">
        <w:rPr>
          <w:rFonts w:hint="eastAsia"/>
        </w:rPr>
        <w:t>——隧道中心线对线路基准线内侧的水平位移量（</w:t>
      </w:r>
      <w:r w:rsidRPr="00FD50F6">
        <w:t>mm</w:t>
      </w:r>
      <w:r w:rsidRPr="00FD50F6">
        <w:rPr>
          <w:rFonts w:hint="eastAsia"/>
        </w:rPr>
        <w:t>）；</w:t>
      </w:r>
    </w:p>
    <w:p w14:paraId="545F5DE4" w14:textId="77777777" w:rsidR="002B733E" w:rsidRPr="00FD50F6" w:rsidRDefault="002B733E" w:rsidP="002B733E">
      <w:pPr>
        <w:pStyle w:val="8"/>
        <w:ind w:firstLineChars="700" w:firstLine="1680"/>
      </w:pPr>
      <w:r w:rsidRPr="00FD50F6">
        <w:rPr>
          <w:rFonts w:hint="eastAsia"/>
          <w:i/>
          <w:iCs/>
        </w:rPr>
        <w:t>z</w:t>
      </w:r>
      <w:r w:rsidRPr="00FD50F6">
        <w:rPr>
          <w:i/>
          <w:iCs/>
        </w:rPr>
        <w:t>’</w:t>
      </w:r>
      <w:r w:rsidRPr="00FD50F6">
        <w:rPr>
          <w:rFonts w:hint="eastAsia"/>
        </w:rPr>
        <w:t>——隧道中心线竖向位移量（</w:t>
      </w:r>
      <w:r w:rsidRPr="00FD50F6">
        <w:t>mm</w:t>
      </w:r>
      <w:r w:rsidRPr="00FD50F6">
        <w:rPr>
          <w:rFonts w:hint="eastAsia"/>
        </w:rPr>
        <w:t>）；</w:t>
      </w:r>
    </w:p>
    <w:p w14:paraId="69A1CEA4" w14:textId="4FEAC401" w:rsidR="002B733E" w:rsidRPr="00FD50F6" w:rsidRDefault="002B733E" w:rsidP="002B733E">
      <w:pPr>
        <w:pStyle w:val="8"/>
        <w:ind w:firstLineChars="700" w:firstLine="1680"/>
      </w:pPr>
      <w:r w:rsidRPr="00FD50F6">
        <w:rPr>
          <w:rFonts w:hint="eastAsia"/>
          <w:i/>
          <w:iCs/>
        </w:rPr>
        <w:t>h</w:t>
      </w:r>
      <w:r w:rsidRPr="00FD50F6">
        <w:rPr>
          <w:rFonts w:hint="eastAsia"/>
          <w:i/>
          <w:iCs/>
          <w:vertAlign w:val="subscript"/>
        </w:rPr>
        <w:t>0</w:t>
      </w:r>
      <w:r w:rsidRPr="00FD50F6">
        <w:rPr>
          <w:rFonts w:hint="eastAsia"/>
        </w:rPr>
        <w:t>——隧道中心至轨面的垂向距离（</w:t>
      </w:r>
      <w:r w:rsidRPr="00FD50F6">
        <w:t>mm</w:t>
      </w:r>
      <w:r w:rsidRPr="00FD50F6">
        <w:rPr>
          <w:rFonts w:hint="eastAsia"/>
        </w:rPr>
        <w:t>）。</w:t>
      </w:r>
    </w:p>
    <w:p w14:paraId="7F81491C" w14:textId="77777777" w:rsidR="002B733E" w:rsidRPr="00FD50F6" w:rsidRDefault="002B733E" w:rsidP="00A926BD">
      <w:pPr>
        <w:pStyle w:val="4"/>
      </w:pPr>
      <w:r w:rsidRPr="00FD50F6">
        <w:rPr>
          <w:rFonts w:hint="eastAsia"/>
        </w:rPr>
        <w:t>按全超高设置时，应按下列公式计算：</w:t>
      </w:r>
    </w:p>
    <w:p w14:paraId="1DDEA7B7" w14:textId="3F328195" w:rsidR="002B733E" w:rsidRPr="00FD50F6" w:rsidRDefault="002B733E" w:rsidP="002B733E">
      <w:pPr>
        <w:pStyle w:val="8"/>
        <w:ind w:firstLine="480"/>
        <w:jc w:val="center"/>
      </w:pPr>
      <w:r w:rsidRPr="00873AA4">
        <w:rPr>
          <w:i/>
          <w:iCs/>
        </w:rPr>
        <w:t>y’</w:t>
      </w:r>
      <w:r w:rsidRPr="00FD50F6">
        <w:t>=</w:t>
      </w:r>
      <w:r w:rsidRPr="00873AA4">
        <w:rPr>
          <w:i/>
          <w:iCs/>
        </w:rPr>
        <w:t xml:space="preserve"> h</w:t>
      </w:r>
      <w:r w:rsidRPr="00873AA4">
        <w:rPr>
          <w:i/>
          <w:iCs/>
          <w:vertAlign w:val="subscript"/>
        </w:rPr>
        <w:t>0</w:t>
      </w:r>
      <w:r w:rsidRPr="00FD50F6">
        <w:rPr>
          <w:rFonts w:hint="eastAsia"/>
        </w:rPr>
        <w:t>·</w:t>
      </w:r>
      <w:r w:rsidRPr="00873AA4">
        <w:rPr>
          <w:i/>
          <w:iCs/>
        </w:rPr>
        <w:t>h</w:t>
      </w:r>
      <w:r w:rsidRPr="00FD50F6">
        <w:rPr>
          <w:rFonts w:hint="eastAsia"/>
        </w:rPr>
        <w:t>/</w:t>
      </w:r>
      <w:r w:rsidRPr="00873AA4">
        <w:rPr>
          <w:i/>
          <w:iCs/>
        </w:rPr>
        <w:t>s</w:t>
      </w:r>
      <w:r w:rsidRPr="00FD50F6">
        <w:rPr>
          <w:rFonts w:hint="eastAsia"/>
        </w:rPr>
        <w:t xml:space="preserve">                </w:t>
      </w:r>
      <w:r w:rsidRPr="00FD50F6">
        <w:rPr>
          <w:rFonts w:hint="eastAsia"/>
        </w:rPr>
        <w:t>（</w:t>
      </w:r>
      <w:r w:rsidR="00F70ADA" w:rsidRPr="00FD50F6">
        <w:rPr>
          <w:rFonts w:hint="eastAsia"/>
        </w:rPr>
        <w:t>6</w:t>
      </w:r>
      <w:r w:rsidRPr="00FD50F6">
        <w:rPr>
          <w:rFonts w:hint="eastAsia"/>
        </w:rPr>
        <w:t>.3.5-3</w:t>
      </w:r>
      <w:r w:rsidRPr="00FD50F6">
        <w:rPr>
          <w:rFonts w:hint="eastAsia"/>
        </w:rPr>
        <w:t>）</w:t>
      </w:r>
    </w:p>
    <w:p w14:paraId="01D4EABB" w14:textId="0FA2111E" w:rsidR="002B733E" w:rsidRPr="00FD50F6" w:rsidRDefault="002B733E" w:rsidP="002B733E">
      <w:pPr>
        <w:pStyle w:val="8"/>
        <w:ind w:firstLine="480"/>
        <w:jc w:val="center"/>
      </w:pPr>
      <w:r w:rsidRPr="00873AA4">
        <w:rPr>
          <w:i/>
          <w:iCs/>
        </w:rPr>
        <w:t>z’</w:t>
      </w:r>
      <w:r w:rsidRPr="00FD50F6">
        <w:t>=</w:t>
      </w:r>
      <w:r w:rsidRPr="00873AA4">
        <w:rPr>
          <w:i/>
          <w:iCs/>
        </w:rPr>
        <w:t>h</w:t>
      </w:r>
      <w:r w:rsidRPr="00FD50F6">
        <w:rPr>
          <w:rFonts w:hint="eastAsia"/>
        </w:rPr>
        <w:t>/2-</w:t>
      </w:r>
      <w:r w:rsidRPr="00FD50F6">
        <w:t xml:space="preserve"> </w:t>
      </w:r>
      <w:r w:rsidRPr="00873AA4">
        <w:rPr>
          <w:i/>
          <w:iCs/>
        </w:rPr>
        <w:t>h</w:t>
      </w:r>
      <w:r w:rsidRPr="00873AA4">
        <w:rPr>
          <w:i/>
          <w:iCs/>
          <w:vertAlign w:val="subscript"/>
        </w:rPr>
        <w:t>0</w:t>
      </w:r>
      <w:r w:rsidRPr="00FD50F6">
        <w:t xml:space="preserve"> (1-cos</w:t>
      </w:r>
      <w:r w:rsidRPr="00873AA4">
        <w:rPr>
          <w:rFonts w:hint="eastAsia"/>
          <w:i/>
          <w:iCs/>
        </w:rPr>
        <w:t>α</w:t>
      </w:r>
      <w:r w:rsidRPr="00FD50F6">
        <w:t xml:space="preserve">)     </w:t>
      </w:r>
      <w:r w:rsidRPr="00FD50F6">
        <w:rPr>
          <w:rFonts w:hint="eastAsia"/>
        </w:rPr>
        <w:t xml:space="preserve">    </w:t>
      </w:r>
      <w:r w:rsidRPr="00FD50F6">
        <w:rPr>
          <w:rFonts w:hint="eastAsia"/>
        </w:rPr>
        <w:t>（</w:t>
      </w:r>
      <w:r w:rsidR="00F70ADA" w:rsidRPr="00FD50F6">
        <w:rPr>
          <w:rFonts w:hint="eastAsia"/>
        </w:rPr>
        <w:t>6</w:t>
      </w:r>
      <w:r w:rsidRPr="00FD50F6">
        <w:rPr>
          <w:rFonts w:hint="eastAsia"/>
        </w:rPr>
        <w:t>.3.5</w:t>
      </w:r>
      <w:r w:rsidRPr="00FD50F6">
        <w:t>-</w:t>
      </w:r>
      <w:r w:rsidRPr="00FD50F6">
        <w:rPr>
          <w:rFonts w:hint="eastAsia"/>
        </w:rPr>
        <w:t>4</w:t>
      </w:r>
      <w:r w:rsidRPr="00FD50F6">
        <w:rPr>
          <w:rFonts w:hint="eastAsia"/>
        </w:rPr>
        <w:t>）</w:t>
      </w:r>
    </w:p>
    <w:p w14:paraId="0BADC079" w14:textId="2764B21A" w:rsidR="002B733E" w:rsidRPr="00FD50F6" w:rsidRDefault="002B733E" w:rsidP="002B733E">
      <w:pPr>
        <w:pStyle w:val="30"/>
      </w:pPr>
      <w:r w:rsidRPr="00FD50F6">
        <w:rPr>
          <w:rFonts w:hint="eastAsia"/>
        </w:rPr>
        <w:t>隧道外的建筑限界确定，应符合下列规定：</w:t>
      </w:r>
    </w:p>
    <w:p w14:paraId="23BD9296" w14:textId="7D0169B8" w:rsidR="002B733E" w:rsidRPr="00FD50F6" w:rsidRDefault="002B733E" w:rsidP="00A926BD">
      <w:pPr>
        <w:pStyle w:val="4"/>
      </w:pPr>
      <w:r w:rsidRPr="00FD50F6">
        <w:rPr>
          <w:rFonts w:hint="eastAsia"/>
        </w:rPr>
        <w:t>隧道外的区间建筑限界应按隧道外设备限界及设备安装尺寸计算确定。</w:t>
      </w:r>
    </w:p>
    <w:p w14:paraId="3AAD59E9" w14:textId="424F1559" w:rsidR="002B733E" w:rsidRPr="00FD50F6" w:rsidRDefault="002B733E" w:rsidP="00A926BD">
      <w:pPr>
        <w:pStyle w:val="4"/>
      </w:pPr>
      <w:r w:rsidRPr="00FD50F6">
        <w:rPr>
          <w:rFonts w:hint="eastAsia"/>
        </w:rPr>
        <w:t>当无疏散平台时，建筑限界宽度的计算方法应按矩形隧道建筑限界制定方法确定；当有疏散平台时，疏散平台和设备限界的安全间隙宜为</w:t>
      </w:r>
      <w:r w:rsidRPr="00FD50F6">
        <w:rPr>
          <w:rFonts w:hint="eastAsia"/>
        </w:rPr>
        <w:t>20mm~50mm</w:t>
      </w:r>
      <w:r w:rsidRPr="00FD50F6">
        <w:rPr>
          <w:rFonts w:hint="eastAsia"/>
        </w:rPr>
        <w:t>。疏散平台宽度应符合本标准第</w:t>
      </w:r>
      <w:r w:rsidR="00F70ADA" w:rsidRPr="00FD50F6">
        <w:rPr>
          <w:rFonts w:hint="eastAsia"/>
        </w:rPr>
        <w:t>6</w:t>
      </w:r>
      <w:r w:rsidRPr="00FD50F6">
        <w:rPr>
          <w:rFonts w:hint="eastAsia"/>
        </w:rPr>
        <w:t>.2.2</w:t>
      </w:r>
      <w:r w:rsidRPr="00FD50F6">
        <w:rPr>
          <w:rStyle w:val="afff2"/>
          <w:rFonts w:asciiTheme="minorHAnsi" w:hAnsiTheme="minorHAnsi" w:cstheme="minorBidi" w:hint="eastAsia"/>
          <w:bCs w:val="0"/>
        </w:rPr>
        <w:t>条</w:t>
      </w:r>
      <w:r w:rsidRPr="00FD50F6">
        <w:rPr>
          <w:rFonts w:hint="eastAsia"/>
        </w:rPr>
        <w:t>的规定。</w:t>
      </w:r>
    </w:p>
    <w:p w14:paraId="275F1C2F" w14:textId="6EF2D78A" w:rsidR="002B733E" w:rsidRPr="00FD50F6" w:rsidRDefault="002B733E" w:rsidP="00A926BD">
      <w:pPr>
        <w:pStyle w:val="4"/>
      </w:pPr>
      <w:r w:rsidRPr="00FD50F6">
        <w:rPr>
          <w:rFonts w:hint="eastAsia"/>
        </w:rPr>
        <w:t>当设置接触网支柱或声屏障时，其与设备限界的最小安全间隙不应小于</w:t>
      </w:r>
      <w:r w:rsidRPr="00FD50F6">
        <w:rPr>
          <w:rFonts w:hint="eastAsia"/>
        </w:rPr>
        <w:t>200mm</w:t>
      </w:r>
      <w:r w:rsidRPr="00FD50F6">
        <w:rPr>
          <w:rFonts w:hint="eastAsia"/>
        </w:rPr>
        <w:t>。</w:t>
      </w:r>
    </w:p>
    <w:p w14:paraId="06C8F711" w14:textId="77777777" w:rsidR="002B733E" w:rsidRPr="00FD50F6" w:rsidRDefault="002B733E" w:rsidP="00A926BD">
      <w:pPr>
        <w:pStyle w:val="4"/>
      </w:pPr>
      <w:r w:rsidRPr="00FD50F6">
        <w:rPr>
          <w:rFonts w:hint="eastAsia"/>
        </w:rPr>
        <w:lastRenderedPageBreak/>
        <w:t>建筑限界高度应符合下列规定：</w:t>
      </w:r>
    </w:p>
    <w:p w14:paraId="66BAFF4C" w14:textId="74607A37" w:rsidR="002B733E" w:rsidRPr="00FD50F6" w:rsidRDefault="002B733E" w:rsidP="002B733E">
      <w:pPr>
        <w:pStyle w:val="5"/>
        <w:ind w:firstLine="480"/>
      </w:pPr>
      <w:r w:rsidRPr="00FD50F6">
        <w:rPr>
          <w:rFonts w:hint="eastAsia"/>
        </w:rPr>
        <w:t>A</w:t>
      </w:r>
      <w:r w:rsidRPr="00FD50F6">
        <w:rPr>
          <w:rFonts w:hint="eastAsia"/>
          <w:vertAlign w:val="subscript"/>
        </w:rPr>
        <w:t>1</w:t>
      </w:r>
      <w:r w:rsidRPr="00FD50F6">
        <w:rPr>
          <w:rFonts w:hint="eastAsia"/>
        </w:rPr>
        <w:t>型车和</w:t>
      </w:r>
      <w:r w:rsidRPr="00FD50F6">
        <w:rPr>
          <w:rFonts w:hint="eastAsia"/>
        </w:rPr>
        <w:t>B</w:t>
      </w:r>
      <w:r w:rsidRPr="00FD50F6">
        <w:rPr>
          <w:rFonts w:hint="eastAsia"/>
          <w:vertAlign w:val="subscript"/>
        </w:rPr>
        <w:t>1</w:t>
      </w:r>
      <w:r w:rsidRPr="00FD50F6">
        <w:rPr>
          <w:rFonts w:hint="eastAsia"/>
        </w:rPr>
        <w:t>型车应按设备限界高度和轨道结构高度加不小于</w:t>
      </w:r>
      <w:r w:rsidRPr="00FD50F6">
        <w:t>200mm</w:t>
      </w:r>
      <w:r w:rsidRPr="00FD50F6">
        <w:rPr>
          <w:rFonts w:hint="eastAsia"/>
        </w:rPr>
        <w:t>的安全间隙；</w:t>
      </w:r>
    </w:p>
    <w:p w14:paraId="2EE0E253" w14:textId="77777777" w:rsidR="002B733E" w:rsidRPr="00FD50F6" w:rsidRDefault="002B733E" w:rsidP="002B733E">
      <w:pPr>
        <w:pStyle w:val="5"/>
        <w:ind w:firstLine="480"/>
      </w:pPr>
      <w:r w:rsidRPr="00FD50F6">
        <w:rPr>
          <w:rFonts w:hint="eastAsia"/>
        </w:rPr>
        <w:t>A</w:t>
      </w:r>
      <w:r w:rsidRPr="00FD50F6">
        <w:rPr>
          <w:vertAlign w:val="subscript"/>
        </w:rPr>
        <w:t>2</w:t>
      </w:r>
      <w:r w:rsidRPr="00FD50F6">
        <w:rPr>
          <w:rFonts w:hint="eastAsia"/>
        </w:rPr>
        <w:t>型车和</w:t>
      </w:r>
      <w:r w:rsidRPr="00FD50F6">
        <w:rPr>
          <w:rFonts w:hint="eastAsia"/>
        </w:rPr>
        <w:t>B</w:t>
      </w:r>
      <w:r w:rsidRPr="00FD50F6">
        <w:rPr>
          <w:rFonts w:hint="eastAsia"/>
          <w:vertAlign w:val="subscript"/>
        </w:rPr>
        <w:t>2</w:t>
      </w:r>
      <w:r w:rsidRPr="00FD50F6">
        <w:rPr>
          <w:rFonts w:hint="eastAsia"/>
        </w:rPr>
        <w:t>型车应按受电弓工作高度和接触网系统高度加轨道结构高度确定。</w:t>
      </w:r>
    </w:p>
    <w:p w14:paraId="23C7056F" w14:textId="3E917EB7" w:rsidR="002B733E" w:rsidRPr="00FD50F6" w:rsidRDefault="002B733E" w:rsidP="00873AA4">
      <w:pPr>
        <w:pStyle w:val="30"/>
      </w:pPr>
      <w:r w:rsidRPr="00FD50F6">
        <w:rPr>
          <w:rFonts w:hint="eastAsia"/>
        </w:rPr>
        <w:t>道岔区的建筑限界应在直线地段建筑限界的基础上，根据不同类型的道岔和车辆技术参数，分别按欠超高和曲线轨道参数计算合成后进行加宽。采用接触轨授电的道岔区，当电缆从隧道顶部过轨时，应核查顶部高度。</w:t>
      </w:r>
    </w:p>
    <w:p w14:paraId="25284AEB" w14:textId="0CCD27D6" w:rsidR="002B733E" w:rsidRPr="00FD50F6" w:rsidRDefault="002B733E" w:rsidP="002B733E">
      <w:pPr>
        <w:pStyle w:val="30"/>
      </w:pPr>
      <w:r w:rsidRPr="00FD50F6">
        <w:rPr>
          <w:rFonts w:hint="eastAsia"/>
        </w:rPr>
        <w:t>车站直线地段建筑限界应符合下列规定：</w:t>
      </w:r>
    </w:p>
    <w:p w14:paraId="15CED9D0" w14:textId="39FCD6F5" w:rsidR="002B733E" w:rsidRPr="00FD50F6" w:rsidRDefault="002B733E" w:rsidP="00A926BD">
      <w:pPr>
        <w:pStyle w:val="4"/>
      </w:pPr>
      <w:r w:rsidRPr="00FD50F6">
        <w:rPr>
          <w:rFonts w:hint="eastAsia"/>
        </w:rPr>
        <w:t>站台面不应高于车厢地板面，站台面距轨面高度应符合下列规定：</w:t>
      </w:r>
      <w:r w:rsidRPr="00FD50F6">
        <w:rPr>
          <w:rFonts w:hint="eastAsia"/>
        </w:rPr>
        <w:t xml:space="preserve"> </w:t>
      </w:r>
    </w:p>
    <w:p w14:paraId="3B86BC22" w14:textId="77777777" w:rsidR="002B733E" w:rsidRPr="00FD50F6" w:rsidRDefault="002B733E" w:rsidP="002B733E">
      <w:pPr>
        <w:pStyle w:val="5"/>
        <w:ind w:firstLine="480"/>
      </w:pPr>
      <w:r w:rsidRPr="00FD50F6">
        <w:rPr>
          <w:rFonts w:hint="eastAsia"/>
        </w:rPr>
        <w:t>A</w:t>
      </w:r>
      <w:r w:rsidRPr="00FD50F6">
        <w:rPr>
          <w:rFonts w:hint="eastAsia"/>
          <w:vertAlign w:val="subscript"/>
        </w:rPr>
        <w:t>1</w:t>
      </w:r>
      <w:r w:rsidRPr="00FD50F6">
        <w:rPr>
          <w:rFonts w:hint="eastAsia"/>
        </w:rPr>
        <w:t>、</w:t>
      </w:r>
      <w:r w:rsidRPr="00FD50F6">
        <w:rPr>
          <w:rFonts w:hint="eastAsia"/>
        </w:rPr>
        <w:t>A</w:t>
      </w:r>
      <w:r w:rsidRPr="00FD50F6">
        <w:rPr>
          <w:rFonts w:hint="eastAsia"/>
          <w:vertAlign w:val="subscript"/>
        </w:rPr>
        <w:t>2</w:t>
      </w:r>
      <w:r w:rsidRPr="00FD50F6">
        <w:rPr>
          <w:rFonts w:hint="eastAsia"/>
        </w:rPr>
        <w:t>型车应为</w:t>
      </w:r>
      <w:r w:rsidRPr="00FD50F6">
        <w:rPr>
          <w:rFonts w:hint="eastAsia"/>
        </w:rPr>
        <w:t>1100mm</w:t>
      </w:r>
      <w:r w:rsidRPr="00FD50F6">
        <w:rPr>
          <w:rFonts w:hint="eastAsia"/>
        </w:rPr>
        <w:t>±</w:t>
      </w:r>
      <w:r w:rsidRPr="00FD50F6">
        <w:rPr>
          <w:rFonts w:hint="eastAsia"/>
        </w:rPr>
        <w:t>5mm</w:t>
      </w:r>
      <w:r w:rsidRPr="00FD50F6">
        <w:rPr>
          <w:rFonts w:hint="eastAsia"/>
        </w:rPr>
        <w:t>；</w:t>
      </w:r>
    </w:p>
    <w:p w14:paraId="3AEC2757" w14:textId="33CF512B" w:rsidR="002B733E" w:rsidRPr="00FD50F6" w:rsidRDefault="002B733E" w:rsidP="002B733E">
      <w:pPr>
        <w:pStyle w:val="5"/>
        <w:ind w:firstLine="480"/>
      </w:pPr>
      <w:r w:rsidRPr="00FD50F6">
        <w:rPr>
          <w:rFonts w:hint="eastAsia"/>
        </w:rPr>
        <w:t>B</w:t>
      </w:r>
      <w:r w:rsidRPr="00FD50F6">
        <w:rPr>
          <w:rFonts w:hint="eastAsia"/>
          <w:vertAlign w:val="subscript"/>
        </w:rPr>
        <w:t>1</w:t>
      </w:r>
      <w:r w:rsidRPr="00FD50F6">
        <w:rPr>
          <w:rFonts w:hint="eastAsia"/>
        </w:rPr>
        <w:t>、</w:t>
      </w:r>
      <w:r w:rsidRPr="00FD50F6">
        <w:rPr>
          <w:rFonts w:hint="eastAsia"/>
        </w:rPr>
        <w:t>B</w:t>
      </w:r>
      <w:r w:rsidRPr="00FD50F6">
        <w:rPr>
          <w:rFonts w:hint="eastAsia"/>
          <w:vertAlign w:val="subscript"/>
        </w:rPr>
        <w:t>2</w:t>
      </w:r>
      <w:r w:rsidRPr="00FD50F6">
        <w:rPr>
          <w:rFonts w:hint="eastAsia"/>
        </w:rPr>
        <w:t>型车应为</w:t>
      </w:r>
      <w:r w:rsidRPr="00FD50F6">
        <w:rPr>
          <w:rFonts w:hint="eastAsia"/>
        </w:rPr>
        <w:t>1070mm</w:t>
      </w:r>
      <w:r w:rsidRPr="00FD50F6">
        <w:rPr>
          <w:rFonts w:hint="eastAsia"/>
        </w:rPr>
        <w:t>±</w:t>
      </w:r>
      <w:r w:rsidRPr="00FD50F6">
        <w:rPr>
          <w:rFonts w:hint="eastAsia"/>
        </w:rPr>
        <w:t>5mm</w:t>
      </w:r>
      <w:r w:rsidRPr="00FD50F6">
        <w:rPr>
          <w:rFonts w:hint="eastAsia"/>
        </w:rPr>
        <w:t>。</w:t>
      </w:r>
    </w:p>
    <w:p w14:paraId="10ADF6EC" w14:textId="29C6A98F" w:rsidR="002B733E" w:rsidRPr="00FD50F6" w:rsidRDefault="002B733E" w:rsidP="00A926BD">
      <w:pPr>
        <w:pStyle w:val="4"/>
      </w:pPr>
      <w:r w:rsidRPr="00FD50F6">
        <w:rPr>
          <w:rFonts w:hint="eastAsia"/>
        </w:rPr>
        <w:t>站台计算长度内站台边缘至轨道中心线的距离应按不侵入车站车辆限界确定。站台边缘与车辆轮廓线之间的间隙应符合下列规定：</w:t>
      </w:r>
    </w:p>
    <w:p w14:paraId="7CE665B1" w14:textId="57B2EDCD" w:rsidR="002B733E" w:rsidRPr="00FD50F6" w:rsidRDefault="002B733E" w:rsidP="002B733E">
      <w:pPr>
        <w:pStyle w:val="5"/>
        <w:ind w:firstLine="480"/>
        <w:rPr>
          <w:rFonts w:ascii="Calibri" w:hAnsi="Calibri"/>
          <w:szCs w:val="20"/>
        </w:rPr>
      </w:pPr>
      <w:r w:rsidRPr="00FD50F6">
        <w:rPr>
          <w:rFonts w:ascii="Calibri" w:hAnsi="Calibri" w:hint="eastAsia"/>
          <w:szCs w:val="20"/>
        </w:rPr>
        <w:t>当车辆采用塞拉门时</w:t>
      </w:r>
      <w:r w:rsidR="00873AA4">
        <w:rPr>
          <w:rFonts w:ascii="Calibri" w:hAnsi="Calibri" w:hint="eastAsia"/>
          <w:szCs w:val="20"/>
        </w:rPr>
        <w:t>，</w:t>
      </w:r>
      <w:r w:rsidRPr="001A4CF3">
        <w:rPr>
          <w:rFonts w:ascii="Calibri" w:hAnsi="Calibri" w:hint="eastAsia"/>
          <w:szCs w:val="20"/>
        </w:rPr>
        <w:t>应为</w:t>
      </w:r>
      <w:r w:rsidRPr="00FD50F6">
        <w:rPr>
          <w:noProof/>
          <w:position w:val="-12"/>
          <w:szCs w:val="20"/>
        </w:rPr>
        <w:drawing>
          <wp:inline distT="0" distB="0" distL="0" distR="0" wp14:anchorId="55D92377" wp14:editId="3B3E9BAF">
            <wp:extent cx="349250" cy="247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247650"/>
                    </a:xfrm>
                    <a:prstGeom prst="rect">
                      <a:avLst/>
                    </a:prstGeom>
                    <a:noFill/>
                    <a:ln>
                      <a:noFill/>
                    </a:ln>
                  </pic:spPr>
                </pic:pic>
              </a:graphicData>
            </a:graphic>
          </wp:inline>
        </w:drawing>
      </w:r>
      <w:r w:rsidRPr="00FD50F6">
        <w:rPr>
          <w:rFonts w:ascii="Calibri" w:hAnsi="Calibri"/>
          <w:szCs w:val="20"/>
        </w:rPr>
        <w:t>mm</w:t>
      </w:r>
      <w:r w:rsidRPr="00FD50F6">
        <w:rPr>
          <w:rFonts w:ascii="Calibri" w:hAnsi="Calibri" w:hint="eastAsia"/>
          <w:szCs w:val="20"/>
        </w:rPr>
        <w:t>；</w:t>
      </w:r>
    </w:p>
    <w:p w14:paraId="2DD82CB7" w14:textId="3831654E" w:rsidR="002B733E" w:rsidRPr="00FD50F6" w:rsidRDefault="002B733E" w:rsidP="002B733E">
      <w:pPr>
        <w:pStyle w:val="5"/>
        <w:ind w:firstLine="480"/>
        <w:rPr>
          <w:rFonts w:ascii="Calibri" w:hAnsi="Calibri"/>
          <w:szCs w:val="20"/>
        </w:rPr>
      </w:pPr>
      <w:r w:rsidRPr="00FD50F6">
        <w:rPr>
          <w:rFonts w:ascii="Calibri" w:hAnsi="Calibri" w:hint="eastAsia"/>
          <w:szCs w:val="20"/>
        </w:rPr>
        <w:t>当车辆采用内藏门或外挂门时</w:t>
      </w:r>
      <w:r w:rsidR="00873AA4">
        <w:rPr>
          <w:rFonts w:ascii="Calibri" w:hAnsi="Calibri" w:hint="eastAsia"/>
          <w:szCs w:val="20"/>
        </w:rPr>
        <w:t>，</w:t>
      </w:r>
      <w:r w:rsidRPr="00FD50F6">
        <w:rPr>
          <w:rFonts w:ascii="Calibri" w:hAnsi="Calibri" w:hint="eastAsia"/>
          <w:szCs w:val="20"/>
        </w:rPr>
        <w:t>应为</w:t>
      </w:r>
      <w:r w:rsidRPr="00FD50F6">
        <w:rPr>
          <w:noProof/>
          <w:position w:val="-12"/>
          <w:szCs w:val="20"/>
        </w:rPr>
        <w:drawing>
          <wp:inline distT="0" distB="0" distL="0" distR="0" wp14:anchorId="06327D3A" wp14:editId="2A46E6D4">
            <wp:extent cx="292100" cy="247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100" cy="247650"/>
                    </a:xfrm>
                    <a:prstGeom prst="rect">
                      <a:avLst/>
                    </a:prstGeom>
                    <a:noFill/>
                    <a:ln>
                      <a:noFill/>
                    </a:ln>
                  </pic:spPr>
                </pic:pic>
              </a:graphicData>
            </a:graphic>
          </wp:inline>
        </w:drawing>
      </w:r>
      <w:r w:rsidRPr="00FD50F6">
        <w:rPr>
          <w:rFonts w:ascii="Calibri" w:hAnsi="Calibri"/>
          <w:szCs w:val="20"/>
        </w:rPr>
        <w:t>mm</w:t>
      </w:r>
      <w:r w:rsidRPr="00FD50F6">
        <w:rPr>
          <w:rFonts w:ascii="Calibri" w:hAnsi="Calibri" w:hint="eastAsia"/>
          <w:szCs w:val="20"/>
        </w:rPr>
        <w:t>。</w:t>
      </w:r>
    </w:p>
    <w:p w14:paraId="5938343B" w14:textId="48C59CC8" w:rsidR="002B733E" w:rsidRPr="00FD50F6" w:rsidRDefault="002B733E" w:rsidP="00A926BD">
      <w:pPr>
        <w:pStyle w:val="4"/>
      </w:pPr>
      <w:r w:rsidRPr="00FD50F6">
        <w:rPr>
          <w:rFonts w:hint="eastAsia"/>
        </w:rPr>
        <w:t>当车站设置站台屏蔽门时，其滑动门体至车辆轮廓线之间的净距，当车辆采用塞拉门时，应为</w:t>
      </w:r>
      <w:r w:rsidR="00F23B1A" w:rsidRPr="00FD50F6">
        <w:rPr>
          <w:rFonts w:ascii="Cambria Math" w:hAnsi="Cambria Math"/>
          <w:i/>
          <w:noProof/>
          <w:position w:val="-12"/>
        </w:rPr>
        <w:object w:dxaOrig="639" w:dyaOrig="380" w14:anchorId="7BB07434">
          <v:shape id="_x0000_i1026" type="#_x0000_t75" alt="" style="width:32.25pt;height:20.25pt;mso-width-percent:0;mso-height-percent:0;mso-width-percent:0;mso-height-percent:0" o:ole="">
            <v:imagedata r:id="rId19" o:title=""/>
          </v:shape>
          <o:OLEObject Type="Embed" ProgID="Equation.3" ShapeID="_x0000_i1026" DrawAspect="Content" ObjectID="_1731840743" r:id="rId20"/>
        </w:object>
      </w:r>
      <w:r w:rsidRPr="00FD50F6">
        <w:rPr>
          <w:rFonts w:hint="eastAsia"/>
        </w:rPr>
        <w:t>mm</w:t>
      </w:r>
      <w:r w:rsidRPr="00FD50F6">
        <w:rPr>
          <w:rFonts w:hint="eastAsia"/>
        </w:rPr>
        <w:t>；当车辆采用内藏门或外挂门时，应为</w:t>
      </w:r>
      <w:r w:rsidR="00F23B1A" w:rsidRPr="00FD50F6">
        <w:rPr>
          <w:rFonts w:ascii="Cambria Math" w:hAnsi="Cambria Math"/>
          <w:i/>
          <w:noProof/>
          <w:position w:val="-12"/>
        </w:rPr>
        <w:object w:dxaOrig="639" w:dyaOrig="380" w14:anchorId="3A34014C">
          <v:shape id="_x0000_i1027" type="#_x0000_t75" alt="" style="width:32.25pt;height:20.25pt;mso-width-percent:0;mso-height-percent:0;mso-width-percent:0;mso-height-percent:0" o:ole="">
            <v:imagedata r:id="rId21" o:title=""/>
          </v:shape>
          <o:OLEObject Type="Embed" ProgID="Equation.3" ShapeID="_x0000_i1027" DrawAspect="Content" ObjectID="_1731840744" r:id="rId22"/>
        </w:object>
      </w:r>
      <w:r w:rsidRPr="00FD50F6">
        <w:rPr>
          <w:rFonts w:hint="eastAsia"/>
        </w:rPr>
        <w:t>mm</w:t>
      </w:r>
      <w:r w:rsidRPr="00FD50F6">
        <w:rPr>
          <w:rFonts w:hint="eastAsia"/>
        </w:rPr>
        <w:t>；站台屏蔽门顶箱与车站车辆限界之间应保持不小于</w:t>
      </w:r>
      <w:r w:rsidRPr="00FD50F6">
        <w:rPr>
          <w:rFonts w:hint="eastAsia"/>
        </w:rPr>
        <w:t>25mm</w:t>
      </w:r>
      <w:r w:rsidRPr="00FD50F6">
        <w:rPr>
          <w:rFonts w:hint="eastAsia"/>
        </w:rPr>
        <w:t>的安全间隙。</w:t>
      </w:r>
    </w:p>
    <w:p w14:paraId="5C38ADC6" w14:textId="079537A6" w:rsidR="002B733E" w:rsidRPr="00FD50F6" w:rsidRDefault="002B733E" w:rsidP="00A926BD">
      <w:pPr>
        <w:pStyle w:val="4"/>
      </w:pPr>
      <w:r w:rsidRPr="00FD50F6">
        <w:rPr>
          <w:rFonts w:hint="eastAsia"/>
        </w:rPr>
        <w:t>站台计算长度外站台边缘至轨道中心线</w:t>
      </w:r>
      <w:r w:rsidRPr="001A4CF3">
        <w:rPr>
          <w:rFonts w:hint="eastAsia"/>
        </w:rPr>
        <w:t>的</w:t>
      </w:r>
      <w:r w:rsidRPr="00FD50F6">
        <w:rPr>
          <w:rFonts w:hint="eastAsia"/>
        </w:rPr>
        <w:t>距离，宜按设备限界加不小于</w:t>
      </w:r>
      <w:r w:rsidRPr="00FD50F6">
        <w:t>50mm</w:t>
      </w:r>
      <w:r w:rsidRPr="00FD50F6">
        <w:rPr>
          <w:rFonts w:hint="eastAsia"/>
        </w:rPr>
        <w:t>的安全间隙确定。</w:t>
      </w:r>
    </w:p>
    <w:p w14:paraId="056F65D1" w14:textId="57AB255B" w:rsidR="002B733E" w:rsidRPr="00FD50F6" w:rsidRDefault="002B733E" w:rsidP="00A926BD">
      <w:pPr>
        <w:pStyle w:val="4"/>
      </w:pPr>
      <w:r w:rsidRPr="00FD50F6">
        <w:rPr>
          <w:rFonts w:hint="eastAsia"/>
        </w:rPr>
        <w:t>站端设有道岔的车站与盾构区间相接时，道岔岔心与盾构工作井端墙或隔断门门框最小净空距离应符合表</w:t>
      </w:r>
      <w:r w:rsidR="00F70ADA" w:rsidRPr="00FD50F6">
        <w:rPr>
          <w:rFonts w:hint="eastAsia"/>
        </w:rPr>
        <w:t>6</w:t>
      </w:r>
      <w:r w:rsidRPr="00FD50F6">
        <w:rPr>
          <w:rFonts w:hint="eastAsia"/>
        </w:rPr>
        <w:t>.3.8</w:t>
      </w:r>
      <w:r w:rsidRPr="00FD50F6">
        <w:rPr>
          <w:rFonts w:hint="eastAsia"/>
        </w:rPr>
        <w:t>的规定：</w:t>
      </w:r>
    </w:p>
    <w:p w14:paraId="1DA1B116" w14:textId="09CA6A97" w:rsidR="002B733E" w:rsidRPr="00FD50F6" w:rsidRDefault="002B733E" w:rsidP="001A4CF3">
      <w:pPr>
        <w:pStyle w:val="6"/>
      </w:pPr>
      <w:r w:rsidRPr="00FD50F6">
        <w:rPr>
          <w:rFonts w:hint="eastAsia"/>
        </w:rPr>
        <w:t>表</w:t>
      </w:r>
      <w:r w:rsidR="00F70ADA" w:rsidRPr="00FD50F6">
        <w:rPr>
          <w:rFonts w:hint="eastAsia"/>
        </w:rPr>
        <w:t>6</w:t>
      </w:r>
      <w:r w:rsidRPr="00FD50F6">
        <w:rPr>
          <w:rFonts w:hint="eastAsia"/>
        </w:rPr>
        <w:t xml:space="preserve">.3.8  </w:t>
      </w:r>
      <w:r w:rsidRPr="00FD50F6">
        <w:rPr>
          <w:rFonts w:hint="eastAsia"/>
        </w:rPr>
        <w:t>站端至道岔岔心的距离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5"/>
        <w:gridCol w:w="2430"/>
        <w:gridCol w:w="2843"/>
      </w:tblGrid>
      <w:tr w:rsidR="00FD50F6" w:rsidRPr="00FD50F6" w14:paraId="3381EE98" w14:textId="77777777" w:rsidTr="00CD1063">
        <w:trPr>
          <w:jc w:val="center"/>
        </w:trPr>
        <w:tc>
          <w:tcPr>
            <w:tcW w:w="1908" w:type="pct"/>
          </w:tcPr>
          <w:p w14:paraId="5F134845" w14:textId="52051C80" w:rsidR="002B733E" w:rsidRPr="00FD50F6" w:rsidRDefault="00E251B8" w:rsidP="002B733E">
            <w:pPr>
              <w:pStyle w:val="7"/>
            </w:pPr>
            <w:r w:rsidRPr="00FD50F6">
              <w:rPr>
                <w:rFonts w:hint="eastAsia"/>
              </w:rPr>
              <w:t>道岔</w:t>
            </w:r>
            <w:r>
              <w:rPr>
                <w:rFonts w:hint="eastAsia"/>
              </w:rPr>
              <w:t>类型</w:t>
            </w:r>
          </w:p>
        </w:tc>
        <w:tc>
          <w:tcPr>
            <w:tcW w:w="1425" w:type="pct"/>
          </w:tcPr>
          <w:p w14:paraId="01C87083" w14:textId="77777777" w:rsidR="002B733E" w:rsidRPr="00FD50F6" w:rsidRDefault="002B733E" w:rsidP="002B733E">
            <w:pPr>
              <w:pStyle w:val="7"/>
            </w:pPr>
            <w:r w:rsidRPr="00FD50F6">
              <w:rPr>
                <w:rFonts w:hint="eastAsia"/>
              </w:rPr>
              <w:t>一般情况</w:t>
            </w:r>
          </w:p>
        </w:tc>
        <w:tc>
          <w:tcPr>
            <w:tcW w:w="1667" w:type="pct"/>
          </w:tcPr>
          <w:p w14:paraId="01910538" w14:textId="77777777" w:rsidR="002B733E" w:rsidRPr="00FD50F6" w:rsidRDefault="002B733E" w:rsidP="002B733E">
            <w:pPr>
              <w:pStyle w:val="7"/>
            </w:pPr>
            <w:r w:rsidRPr="00FD50F6">
              <w:rPr>
                <w:rFonts w:hint="eastAsia"/>
              </w:rPr>
              <w:t>困难情况</w:t>
            </w:r>
          </w:p>
        </w:tc>
      </w:tr>
      <w:tr w:rsidR="00FD50F6" w:rsidRPr="00FD50F6" w14:paraId="7C1A5EB8" w14:textId="77777777" w:rsidTr="00CD1063">
        <w:trPr>
          <w:jc w:val="center"/>
        </w:trPr>
        <w:tc>
          <w:tcPr>
            <w:tcW w:w="1908" w:type="pct"/>
          </w:tcPr>
          <w:p w14:paraId="1AAAFF01" w14:textId="77777777" w:rsidR="002B733E" w:rsidRPr="00FD50F6" w:rsidRDefault="002B733E" w:rsidP="002B733E">
            <w:pPr>
              <w:pStyle w:val="7"/>
            </w:pPr>
            <w:r w:rsidRPr="00FD50F6">
              <w:rPr>
                <w:rFonts w:hint="eastAsia"/>
              </w:rPr>
              <w:t>9</w:t>
            </w:r>
            <w:r w:rsidRPr="00FD50F6">
              <w:rPr>
                <w:rFonts w:hint="eastAsia"/>
              </w:rPr>
              <w:t>号道岔</w:t>
            </w:r>
          </w:p>
        </w:tc>
        <w:tc>
          <w:tcPr>
            <w:tcW w:w="1425" w:type="pct"/>
            <w:vAlign w:val="center"/>
          </w:tcPr>
          <w:p w14:paraId="2D057C21" w14:textId="77777777" w:rsidR="002B733E" w:rsidRPr="00FD50F6" w:rsidRDefault="002B733E" w:rsidP="002B733E">
            <w:pPr>
              <w:pStyle w:val="7"/>
            </w:pPr>
            <w:r w:rsidRPr="00FD50F6">
              <w:rPr>
                <w:rFonts w:hint="eastAsia"/>
              </w:rPr>
              <w:t>18m</w:t>
            </w:r>
          </w:p>
        </w:tc>
        <w:tc>
          <w:tcPr>
            <w:tcW w:w="1667" w:type="pct"/>
            <w:vAlign w:val="center"/>
          </w:tcPr>
          <w:p w14:paraId="4677C701" w14:textId="77777777" w:rsidR="002B733E" w:rsidRPr="00FD50F6" w:rsidRDefault="002B733E" w:rsidP="002B733E">
            <w:pPr>
              <w:pStyle w:val="7"/>
            </w:pPr>
            <w:r w:rsidRPr="00FD50F6">
              <w:rPr>
                <w:rFonts w:hint="eastAsia"/>
              </w:rPr>
              <w:t>13m</w:t>
            </w:r>
          </w:p>
        </w:tc>
      </w:tr>
      <w:tr w:rsidR="00FD50F6" w:rsidRPr="00FD50F6" w14:paraId="63929FAC" w14:textId="77777777" w:rsidTr="00CD1063">
        <w:trPr>
          <w:jc w:val="center"/>
        </w:trPr>
        <w:tc>
          <w:tcPr>
            <w:tcW w:w="1908" w:type="pct"/>
          </w:tcPr>
          <w:p w14:paraId="1AB0A9D7" w14:textId="77777777" w:rsidR="002B733E" w:rsidRPr="00FD50F6" w:rsidRDefault="002B733E" w:rsidP="002B733E">
            <w:pPr>
              <w:pStyle w:val="7"/>
            </w:pPr>
            <w:r w:rsidRPr="00FD50F6">
              <w:rPr>
                <w:rFonts w:hint="eastAsia"/>
              </w:rPr>
              <w:t>12</w:t>
            </w:r>
            <w:r w:rsidRPr="00FD50F6">
              <w:rPr>
                <w:rFonts w:hint="eastAsia"/>
              </w:rPr>
              <w:t>号道岔</w:t>
            </w:r>
          </w:p>
        </w:tc>
        <w:tc>
          <w:tcPr>
            <w:tcW w:w="1425" w:type="pct"/>
            <w:vAlign w:val="center"/>
          </w:tcPr>
          <w:p w14:paraId="06704D4A" w14:textId="77777777" w:rsidR="002B733E" w:rsidRPr="00FD50F6" w:rsidRDefault="002B733E" w:rsidP="002B733E">
            <w:pPr>
              <w:pStyle w:val="7"/>
            </w:pPr>
            <w:r w:rsidRPr="00FD50F6">
              <w:rPr>
                <w:rFonts w:hint="eastAsia"/>
              </w:rPr>
              <w:t>21m</w:t>
            </w:r>
          </w:p>
        </w:tc>
        <w:tc>
          <w:tcPr>
            <w:tcW w:w="1667" w:type="pct"/>
            <w:vAlign w:val="center"/>
          </w:tcPr>
          <w:p w14:paraId="1D51BB7E" w14:textId="77777777" w:rsidR="002B733E" w:rsidRPr="00FD50F6" w:rsidRDefault="002B733E" w:rsidP="002B733E">
            <w:pPr>
              <w:pStyle w:val="7"/>
            </w:pPr>
            <w:r w:rsidRPr="00FD50F6">
              <w:rPr>
                <w:rFonts w:hint="eastAsia"/>
              </w:rPr>
              <w:t>16m</w:t>
            </w:r>
          </w:p>
        </w:tc>
      </w:tr>
    </w:tbl>
    <w:p w14:paraId="0B046D98" w14:textId="6A32451B" w:rsidR="002B733E" w:rsidRPr="00FD50F6" w:rsidRDefault="002B733E" w:rsidP="00A926BD">
      <w:pPr>
        <w:pStyle w:val="4"/>
      </w:pPr>
      <w:r w:rsidRPr="00FD50F6">
        <w:rPr>
          <w:rFonts w:hint="eastAsia"/>
        </w:rPr>
        <w:t>车站范围内其余部位的建筑限界应按区间建筑限界的规定执行。</w:t>
      </w:r>
    </w:p>
    <w:p w14:paraId="43ED071B" w14:textId="218C527B" w:rsidR="002B733E" w:rsidRPr="00FD50F6" w:rsidRDefault="002B733E" w:rsidP="002B733E">
      <w:pPr>
        <w:pStyle w:val="30"/>
      </w:pPr>
      <w:r w:rsidRPr="00FD50F6">
        <w:rPr>
          <w:rFonts w:hint="eastAsia"/>
        </w:rPr>
        <w:t>曲线站台边缘至车门门槛之间的间隙应按站台类型、车辆参数和曲线半径计算确定。曲线车站站台边缘与车厢地板面高度处车辆轮廓线的水平间隙不应大于</w:t>
      </w:r>
      <w:r w:rsidRPr="00FD50F6">
        <w:rPr>
          <w:rFonts w:hint="eastAsia"/>
        </w:rPr>
        <w:t>180mm</w:t>
      </w:r>
      <w:r w:rsidRPr="00FD50F6">
        <w:rPr>
          <w:rFonts w:hint="eastAsia"/>
        </w:rPr>
        <w:t>。</w:t>
      </w:r>
    </w:p>
    <w:p w14:paraId="77367B0F" w14:textId="77777777" w:rsidR="002B733E" w:rsidRPr="00FD50F6" w:rsidRDefault="002B733E" w:rsidP="002B733E">
      <w:pPr>
        <w:pStyle w:val="30"/>
      </w:pPr>
      <w:r w:rsidRPr="00FD50F6">
        <w:rPr>
          <w:rFonts w:hint="eastAsia"/>
        </w:rPr>
        <w:lastRenderedPageBreak/>
        <w:t>轨道区隔断门建筑限界宽度，其门框内边缘至设备限界应有不小于</w:t>
      </w:r>
      <w:r w:rsidRPr="00FD50F6">
        <w:rPr>
          <w:rFonts w:hint="eastAsia"/>
        </w:rPr>
        <w:t>100</w:t>
      </w:r>
      <w:r w:rsidRPr="00FD50F6">
        <w:t>mm</w:t>
      </w:r>
      <w:r w:rsidRPr="00FD50F6">
        <w:rPr>
          <w:rFonts w:hint="eastAsia"/>
        </w:rPr>
        <w:t>的安全间隙；隔断门建筑限界高度宜与区间矩形隧道高度相同。</w:t>
      </w:r>
    </w:p>
    <w:p w14:paraId="001BF001" w14:textId="77777777" w:rsidR="002B733E" w:rsidRPr="00FD50F6" w:rsidRDefault="002B733E" w:rsidP="002B733E">
      <w:pPr>
        <w:pStyle w:val="30"/>
      </w:pPr>
      <w:r w:rsidRPr="00FD50F6">
        <w:rPr>
          <w:rFonts w:hint="eastAsia"/>
        </w:rPr>
        <w:t>车辆基地限界应符合下列规定：</w:t>
      </w:r>
    </w:p>
    <w:p w14:paraId="4AD30C16" w14:textId="77777777" w:rsidR="002B733E" w:rsidRPr="00FD50F6" w:rsidRDefault="002B733E" w:rsidP="00A926BD">
      <w:pPr>
        <w:pStyle w:val="4"/>
      </w:pPr>
      <w:r w:rsidRPr="00FD50F6">
        <w:rPr>
          <w:rFonts w:hint="eastAsia"/>
        </w:rPr>
        <w:t>车辆基地库外限界应按区间限界规定执行；</w:t>
      </w:r>
    </w:p>
    <w:p w14:paraId="1D838AE7" w14:textId="5C460485" w:rsidR="002B733E" w:rsidRPr="00FD50F6" w:rsidRDefault="002B733E" w:rsidP="00A926BD">
      <w:pPr>
        <w:pStyle w:val="4"/>
      </w:pPr>
      <w:r w:rsidRPr="00FD50F6">
        <w:rPr>
          <w:rFonts w:hint="eastAsia"/>
        </w:rPr>
        <w:t>车辆基地库内检修平台的高平台及安全栅栏与车辆轮廓线之间应留有</w:t>
      </w:r>
      <w:r w:rsidRPr="00FD50F6">
        <w:rPr>
          <w:rFonts w:hint="eastAsia"/>
        </w:rPr>
        <w:t>80mm</w:t>
      </w:r>
      <w:r w:rsidRPr="00FD50F6">
        <w:rPr>
          <w:rFonts w:hint="eastAsia"/>
        </w:rPr>
        <w:t>的安全间隙，低平台应采用车站站台建筑限界；</w:t>
      </w:r>
    </w:p>
    <w:p w14:paraId="5A7478CA" w14:textId="77777777" w:rsidR="002B733E" w:rsidRPr="00FD50F6" w:rsidRDefault="002B733E" w:rsidP="00A926BD">
      <w:pPr>
        <w:pStyle w:val="4"/>
      </w:pPr>
      <w:r w:rsidRPr="00FD50F6">
        <w:rPr>
          <w:rFonts w:hint="eastAsia"/>
        </w:rPr>
        <w:t>受电弓车辆升弓进库时，车库大门应按受电弓限界设计。</w:t>
      </w:r>
    </w:p>
    <w:p w14:paraId="414AB20D" w14:textId="05283B2F" w:rsidR="002B733E" w:rsidRPr="00FD50F6" w:rsidRDefault="002B733E" w:rsidP="002B733E">
      <w:pPr>
        <w:pStyle w:val="30"/>
      </w:pPr>
      <w:r w:rsidRPr="00FD50F6">
        <w:rPr>
          <w:rFonts w:hint="eastAsia"/>
        </w:rPr>
        <w:t>设在两线交叉处的警冲标应满足相邻两线设备限界的要求。</w:t>
      </w:r>
    </w:p>
    <w:p w14:paraId="699D804D" w14:textId="77777777" w:rsidR="002B733E" w:rsidRPr="00FD50F6" w:rsidRDefault="002B733E" w:rsidP="00A65181">
      <w:pPr>
        <w:pStyle w:val="2"/>
      </w:pPr>
      <w:bookmarkStart w:id="256" w:name="_Toc320115633"/>
      <w:bookmarkStart w:id="257" w:name="_Toc321985472"/>
      <w:bookmarkStart w:id="258" w:name="_Toc320639544"/>
      <w:bookmarkStart w:id="259" w:name="_Toc112830667"/>
      <w:r w:rsidRPr="00FD50F6">
        <w:rPr>
          <w:rFonts w:hint="eastAsia"/>
        </w:rPr>
        <w:t>轨道区设备和管线布置原则</w:t>
      </w:r>
      <w:bookmarkEnd w:id="256"/>
      <w:bookmarkEnd w:id="257"/>
      <w:bookmarkEnd w:id="258"/>
      <w:bookmarkEnd w:id="259"/>
    </w:p>
    <w:p w14:paraId="5A4FF32C" w14:textId="77777777" w:rsidR="002B733E" w:rsidRPr="00FD50F6" w:rsidRDefault="002B733E" w:rsidP="002B733E">
      <w:pPr>
        <w:pStyle w:val="30"/>
      </w:pPr>
      <w:r w:rsidRPr="00FD50F6">
        <w:rPr>
          <w:rFonts w:hint="eastAsia"/>
        </w:rPr>
        <w:t>轨道区内安装的设备和管线（含支架）与设备限界应保持不小于</w:t>
      </w:r>
      <w:r w:rsidRPr="00FD50F6">
        <w:rPr>
          <w:rFonts w:hint="eastAsia"/>
        </w:rPr>
        <w:t>50mm</w:t>
      </w:r>
      <w:r w:rsidRPr="00FD50F6">
        <w:rPr>
          <w:rFonts w:hint="eastAsia"/>
        </w:rPr>
        <w:t>的安全间隙（架空接触网和接触轨除外）。</w:t>
      </w:r>
    </w:p>
    <w:p w14:paraId="4830B9B9" w14:textId="77777777" w:rsidR="002B733E" w:rsidRPr="00FD50F6" w:rsidRDefault="002B733E" w:rsidP="002B733E">
      <w:pPr>
        <w:pStyle w:val="30"/>
      </w:pPr>
      <w:r w:rsidRPr="00FD50F6">
        <w:rPr>
          <w:rFonts w:hint="eastAsia"/>
        </w:rPr>
        <w:t>强、弱电设备应分别布置在线路两侧，必须布置在同侧时，其间隔距离应符合强、弱电干扰距离的规定。区间内的各种管线布置宜保持顺直。</w:t>
      </w:r>
    </w:p>
    <w:p w14:paraId="1051C6C7" w14:textId="2591FCDE" w:rsidR="002B733E" w:rsidRPr="00FD50F6" w:rsidRDefault="002B733E" w:rsidP="002B733E">
      <w:pPr>
        <w:pStyle w:val="30"/>
      </w:pPr>
      <w:r w:rsidRPr="00FD50F6">
        <w:rPr>
          <w:rFonts w:hint="eastAsia"/>
        </w:rPr>
        <w:t>单渡线区域的道岔转辙机宜布置在两线之间；交叉渡线区域的道岔转辙机，其中一组宜布置在两线之间，另一组宜布置在线路外侧。</w:t>
      </w:r>
    </w:p>
    <w:p w14:paraId="2C43683B" w14:textId="3F761A85" w:rsidR="002B733E" w:rsidRPr="00FD50F6" w:rsidRDefault="002B733E" w:rsidP="002B733E">
      <w:pPr>
        <w:pStyle w:val="30"/>
      </w:pPr>
      <w:r w:rsidRPr="00FD50F6">
        <w:rPr>
          <w:rFonts w:hint="eastAsia"/>
        </w:rPr>
        <w:t>区间隧道内管线设备布置应符合下列规定：</w:t>
      </w:r>
    </w:p>
    <w:p w14:paraId="31027228" w14:textId="3DEB69F7" w:rsidR="002B733E" w:rsidRPr="00FD50F6" w:rsidRDefault="002B733E" w:rsidP="00A926BD">
      <w:pPr>
        <w:pStyle w:val="4"/>
      </w:pPr>
      <w:r w:rsidRPr="00FD50F6">
        <w:rPr>
          <w:rFonts w:hint="eastAsia"/>
        </w:rPr>
        <w:t>行车方向右侧宜布置弱电设备和管线，行车方向左侧宜布置强电设备和管线。当区间隧道设有疏散平台时，平台宜设在行车方向左侧，消防设备、排水管宜布置在行车方向右侧；不设置疏散平台时，消防设备、排水管以及维修插座箱宜布置在行车方向左侧。</w:t>
      </w:r>
    </w:p>
    <w:p w14:paraId="45E23063" w14:textId="0B4CECD8" w:rsidR="002B733E" w:rsidRPr="00FD50F6" w:rsidRDefault="002B733E" w:rsidP="00A926BD">
      <w:pPr>
        <w:pStyle w:val="4"/>
      </w:pPr>
      <w:r w:rsidRPr="00FD50F6">
        <w:rPr>
          <w:rFonts w:hint="eastAsia"/>
        </w:rPr>
        <w:t>疏散平台上方应保持不小于</w:t>
      </w:r>
      <w:r w:rsidRPr="00FD50F6">
        <w:rPr>
          <w:rFonts w:hint="eastAsia"/>
        </w:rPr>
        <w:t>2000mm</w:t>
      </w:r>
      <w:r w:rsidRPr="00FD50F6">
        <w:rPr>
          <w:rFonts w:hint="eastAsia"/>
        </w:rPr>
        <w:t>的疏散空间。</w:t>
      </w:r>
    </w:p>
    <w:p w14:paraId="1167273A" w14:textId="2126D238" w:rsidR="002B733E" w:rsidRPr="00FD50F6" w:rsidRDefault="002B733E" w:rsidP="00A926BD">
      <w:pPr>
        <w:pStyle w:val="4"/>
      </w:pPr>
      <w:r w:rsidRPr="00FD50F6">
        <w:rPr>
          <w:rFonts w:hint="eastAsia"/>
        </w:rPr>
        <w:t>射流风机宜布置在隧道侧墙上部。</w:t>
      </w:r>
    </w:p>
    <w:p w14:paraId="08348ECC" w14:textId="00769115" w:rsidR="002B733E" w:rsidRPr="00FD50F6" w:rsidRDefault="002B733E" w:rsidP="00A926BD">
      <w:pPr>
        <w:pStyle w:val="4"/>
      </w:pPr>
      <w:r w:rsidRPr="00FD50F6">
        <w:rPr>
          <w:rFonts w:hint="eastAsia"/>
        </w:rPr>
        <w:t>当采用集中供冷方式时，区间隧道内的冷冻水管宜布置在行车方向右侧。</w:t>
      </w:r>
    </w:p>
    <w:p w14:paraId="6356CEB2" w14:textId="40DFD84E" w:rsidR="002B733E" w:rsidRPr="00FD50F6" w:rsidRDefault="002B733E" w:rsidP="00A926BD">
      <w:pPr>
        <w:pStyle w:val="4"/>
      </w:pPr>
      <w:r w:rsidRPr="00FD50F6">
        <w:rPr>
          <w:rFonts w:hint="eastAsia"/>
        </w:rPr>
        <w:t>当接触网（轨）隔离开关安装在轨道区时，</w:t>
      </w:r>
      <w:r w:rsidR="005B7F1E">
        <w:t>应核查隧道建筑限界是否满足要求，</w:t>
      </w:r>
      <w:r w:rsidRPr="00FD50F6">
        <w:rPr>
          <w:rFonts w:hint="eastAsia"/>
        </w:rPr>
        <w:t>并应留出周边管线安装空间。</w:t>
      </w:r>
    </w:p>
    <w:p w14:paraId="14447169" w14:textId="5D955DD8" w:rsidR="002B733E" w:rsidRPr="00FD50F6" w:rsidRDefault="002B733E" w:rsidP="002B733E">
      <w:pPr>
        <w:pStyle w:val="30"/>
      </w:pPr>
      <w:r w:rsidRPr="00FD50F6">
        <w:rPr>
          <w:rFonts w:hint="eastAsia"/>
        </w:rPr>
        <w:t>高架区间管线设备布置应符合下列要求：</w:t>
      </w:r>
    </w:p>
    <w:p w14:paraId="20BF8E75" w14:textId="463E1610" w:rsidR="002B733E" w:rsidRPr="00FD50F6" w:rsidRDefault="002B733E" w:rsidP="00A926BD">
      <w:pPr>
        <w:pStyle w:val="4"/>
      </w:pPr>
      <w:r w:rsidRPr="00FD50F6">
        <w:rPr>
          <w:rFonts w:hint="eastAsia"/>
        </w:rPr>
        <w:t>当采用车辆侧门疏散模式时，双线高架区间宜在两线间布置疏散平台。弱电和强电设备宜分开布置在两线之间和两线外侧。</w:t>
      </w:r>
    </w:p>
    <w:p w14:paraId="6FC8D2A7" w14:textId="77777777" w:rsidR="002B733E" w:rsidRPr="00FD50F6" w:rsidRDefault="002B733E" w:rsidP="00A926BD">
      <w:pPr>
        <w:pStyle w:val="4"/>
      </w:pPr>
      <w:r w:rsidRPr="00FD50F6">
        <w:rPr>
          <w:rFonts w:hint="eastAsia"/>
        </w:rPr>
        <w:lastRenderedPageBreak/>
        <w:t>信号机宜安装在两线外侧。</w:t>
      </w:r>
    </w:p>
    <w:p w14:paraId="06463AB2" w14:textId="1A9C7A9E" w:rsidR="002B733E" w:rsidRPr="00FD50F6" w:rsidRDefault="002B733E" w:rsidP="002B733E">
      <w:pPr>
        <w:pStyle w:val="30"/>
      </w:pPr>
      <w:r w:rsidRPr="00FD50F6">
        <w:rPr>
          <w:rFonts w:hint="eastAsia"/>
        </w:rPr>
        <w:t>车站范围内管线设备布置应符合下列要求：</w:t>
      </w:r>
    </w:p>
    <w:p w14:paraId="4F46730A" w14:textId="77777777" w:rsidR="002B733E" w:rsidRPr="00FD50F6" w:rsidRDefault="002B733E" w:rsidP="00A926BD">
      <w:pPr>
        <w:pStyle w:val="4"/>
      </w:pPr>
      <w:r w:rsidRPr="00FD50F6">
        <w:rPr>
          <w:rFonts w:hint="eastAsia"/>
        </w:rPr>
        <w:t>岛式车站的广告灯箱、信号机和弱电电缆宜布置在站台对侧，强电电缆宜布置在站台板下的结构墙上；</w:t>
      </w:r>
    </w:p>
    <w:p w14:paraId="41550A50" w14:textId="2D42CAEC" w:rsidR="00C22F74" w:rsidRPr="00FD50F6" w:rsidRDefault="002B733E" w:rsidP="00A926BD">
      <w:pPr>
        <w:pStyle w:val="4"/>
      </w:pPr>
      <w:r w:rsidRPr="00FD50F6">
        <w:rPr>
          <w:rFonts w:hint="eastAsia"/>
        </w:rPr>
        <w:t>侧式车站的广告灯箱宜布置在两线之间，信号机宜布置在站台侧，弱电电缆宜布置在站台内电缆通道中，强电电缆宜布置在站台板下的结构墙体外侧。</w:t>
      </w:r>
    </w:p>
    <w:p w14:paraId="0F83A3F8" w14:textId="77777777" w:rsidR="00C22F74" w:rsidRPr="00FD50F6" w:rsidRDefault="00C22F74" w:rsidP="00A171BC">
      <w:pPr>
        <w:spacing w:line="240" w:lineRule="auto"/>
        <w:rPr>
          <w:rFonts w:ascii="仿宋" w:eastAsia="仿宋" w:hAnsi="仿宋" w:cs="仿宋"/>
          <w:sz w:val="28"/>
          <w:szCs w:val="28"/>
        </w:rPr>
        <w:sectPr w:rsidR="00C22F74" w:rsidRPr="00FD50F6" w:rsidSect="00EE4164">
          <w:pgSz w:w="11906" w:h="16838"/>
          <w:pgMar w:top="1440" w:right="1797" w:bottom="1440" w:left="1797" w:header="851" w:footer="851" w:gutter="0"/>
          <w:pgNumType w:start="1"/>
          <w:cols w:space="720"/>
          <w:docGrid w:linePitch="492" w:charSpace="703"/>
        </w:sectPr>
      </w:pPr>
    </w:p>
    <w:p w14:paraId="491DB265" w14:textId="53C15ADD" w:rsidR="00A171BC" w:rsidRPr="00FD50F6" w:rsidRDefault="00A171BC" w:rsidP="00A171BC">
      <w:pPr>
        <w:pStyle w:val="12"/>
      </w:pPr>
      <w:bookmarkStart w:id="260" w:name="_Toc306203666"/>
      <w:bookmarkStart w:id="261" w:name="_Toc320115634"/>
      <w:bookmarkStart w:id="262" w:name="_Toc320639545"/>
      <w:bookmarkStart w:id="263" w:name="_Toc344218714"/>
      <w:bookmarkStart w:id="264" w:name="_Toc112830668"/>
      <w:bookmarkStart w:id="265" w:name="_Toc236214380"/>
      <w:bookmarkEnd w:id="237"/>
      <w:r w:rsidRPr="00FD50F6">
        <w:lastRenderedPageBreak/>
        <w:t>线</w:t>
      </w:r>
      <w:r w:rsidR="007E7EFA" w:rsidRPr="00FD50F6">
        <w:rPr>
          <w:rFonts w:hint="eastAsia"/>
        </w:rPr>
        <w:t xml:space="preserve"> </w:t>
      </w:r>
      <w:r w:rsidR="007E7EFA" w:rsidRPr="00FD50F6">
        <w:t xml:space="preserve"> </w:t>
      </w:r>
      <w:r w:rsidRPr="00FD50F6">
        <w:t>路</w:t>
      </w:r>
      <w:bookmarkEnd w:id="260"/>
      <w:bookmarkEnd w:id="261"/>
      <w:bookmarkEnd w:id="262"/>
      <w:bookmarkEnd w:id="263"/>
      <w:bookmarkEnd w:id="264"/>
    </w:p>
    <w:p w14:paraId="1351B5BE" w14:textId="69FF2DDE" w:rsidR="00A171BC" w:rsidRPr="00FD50F6" w:rsidRDefault="00A171BC" w:rsidP="00010C49">
      <w:pPr>
        <w:pStyle w:val="2"/>
        <w:numPr>
          <w:ilvl w:val="1"/>
          <w:numId w:val="41"/>
        </w:numPr>
      </w:pPr>
      <w:bookmarkStart w:id="266" w:name="_Toc306203667"/>
      <w:bookmarkStart w:id="267" w:name="_Toc320115635"/>
      <w:bookmarkStart w:id="268" w:name="_Toc320639546"/>
      <w:bookmarkStart w:id="269" w:name="_Toc344218715"/>
      <w:bookmarkStart w:id="270" w:name="_Toc112830669"/>
      <w:r w:rsidRPr="00FD50F6">
        <w:t>一般规定</w:t>
      </w:r>
      <w:bookmarkEnd w:id="265"/>
      <w:bookmarkEnd w:id="266"/>
      <w:bookmarkEnd w:id="267"/>
      <w:bookmarkEnd w:id="268"/>
      <w:bookmarkEnd w:id="269"/>
      <w:bookmarkEnd w:id="270"/>
    </w:p>
    <w:p w14:paraId="40B606D3" w14:textId="1006B5E4" w:rsidR="00A171BC" w:rsidRPr="00FD50F6" w:rsidRDefault="00EA3C6F" w:rsidP="00A75302">
      <w:pPr>
        <w:pStyle w:val="30"/>
      </w:pPr>
      <w:r w:rsidRPr="00FD50F6">
        <w:t>地铁线路应</w:t>
      </w:r>
      <w:r w:rsidRPr="00FD50F6">
        <w:rPr>
          <w:rFonts w:hint="eastAsia"/>
        </w:rPr>
        <w:t>根据其运营中的功能定位</w:t>
      </w:r>
      <w:r w:rsidR="00F0091F" w:rsidRPr="00FD50F6">
        <w:rPr>
          <w:rFonts w:hint="eastAsia"/>
        </w:rPr>
        <w:t>，按其分类</w:t>
      </w:r>
      <w:r w:rsidRPr="00FD50F6">
        <w:rPr>
          <w:rFonts w:hint="eastAsia"/>
        </w:rPr>
        <w:t>分别</w:t>
      </w:r>
      <w:r w:rsidR="00F0091F" w:rsidRPr="00FD50F6">
        <w:rPr>
          <w:rFonts w:hint="eastAsia"/>
        </w:rPr>
        <w:t>制定和</w:t>
      </w:r>
      <w:r w:rsidRPr="00FD50F6">
        <w:rPr>
          <w:rFonts w:hint="eastAsia"/>
        </w:rPr>
        <w:t>选择设计标准。</w:t>
      </w:r>
    </w:p>
    <w:p w14:paraId="169B14A5" w14:textId="57E064E5" w:rsidR="00F44D5F" w:rsidRPr="00FD50F6" w:rsidRDefault="00F44D5F" w:rsidP="00F44D5F">
      <w:pPr>
        <w:pStyle w:val="30"/>
      </w:pPr>
      <w:r w:rsidRPr="00FD50F6">
        <w:rPr>
          <w:rFonts w:hint="eastAsia"/>
        </w:rPr>
        <w:t>地铁线路按最高运营速度可分为地铁普线和地铁快线，一般地铁普线的最高运营速度不宜超过</w:t>
      </w:r>
      <w:r w:rsidRPr="00FD50F6">
        <w:rPr>
          <w:rFonts w:hint="eastAsia"/>
        </w:rPr>
        <w:t>100km/h</w:t>
      </w:r>
      <w:r w:rsidRPr="00FD50F6">
        <w:rPr>
          <w:rFonts w:hint="eastAsia"/>
        </w:rPr>
        <w:t>，地铁快线的最高运营速度不</w:t>
      </w:r>
      <w:r w:rsidR="001C75D8">
        <w:rPr>
          <w:rFonts w:hint="eastAsia"/>
        </w:rPr>
        <w:t>应</w:t>
      </w:r>
      <w:r w:rsidRPr="00FD50F6">
        <w:rPr>
          <w:rFonts w:hint="eastAsia"/>
        </w:rPr>
        <w:t>低于</w:t>
      </w:r>
      <w:r w:rsidRPr="00FD50F6">
        <w:rPr>
          <w:rFonts w:hint="eastAsia"/>
        </w:rPr>
        <w:t>100km/h</w:t>
      </w:r>
      <w:r w:rsidRPr="00FD50F6">
        <w:rPr>
          <w:rFonts w:hint="eastAsia"/>
        </w:rPr>
        <w:t>，不</w:t>
      </w:r>
      <w:r w:rsidR="001C75D8">
        <w:rPr>
          <w:rFonts w:hint="eastAsia"/>
        </w:rPr>
        <w:t>宜</w:t>
      </w:r>
      <w:r w:rsidRPr="00FD50F6">
        <w:rPr>
          <w:rFonts w:hint="eastAsia"/>
        </w:rPr>
        <w:t>超过</w:t>
      </w:r>
      <w:r w:rsidRPr="00FD50F6">
        <w:rPr>
          <w:rFonts w:hint="eastAsia"/>
        </w:rPr>
        <w:t>120km/h</w:t>
      </w:r>
      <w:r w:rsidRPr="00FD50F6">
        <w:rPr>
          <w:rFonts w:hint="eastAsia"/>
        </w:rPr>
        <w:t>。</w:t>
      </w:r>
    </w:p>
    <w:p w14:paraId="7B8E97E0" w14:textId="2870635F" w:rsidR="00F44D5F" w:rsidRPr="00FD50F6" w:rsidRDefault="00F44D5F" w:rsidP="00C70434">
      <w:pPr>
        <w:pStyle w:val="30"/>
      </w:pPr>
      <w:r w:rsidRPr="00FD50F6">
        <w:t>地铁线路设计应以交通需求</w:t>
      </w:r>
      <w:r w:rsidRPr="00FD50F6">
        <w:rPr>
          <w:rFonts w:hint="eastAsia"/>
        </w:rPr>
        <w:t>目标</w:t>
      </w:r>
      <w:r w:rsidRPr="00FD50F6">
        <w:t>为依据</w:t>
      </w:r>
      <w:r w:rsidRPr="00FD50F6">
        <w:rPr>
          <w:rFonts w:hint="eastAsia"/>
        </w:rPr>
        <w:t>，</w:t>
      </w:r>
      <w:r w:rsidRPr="00FD50F6">
        <w:t>研究确定不同空间层次轨道交通服务时效性和竞争力</w:t>
      </w:r>
      <w:r w:rsidRPr="00FD50F6">
        <w:rPr>
          <w:rFonts w:hint="eastAsia"/>
        </w:rPr>
        <w:t>，</w:t>
      </w:r>
      <w:r w:rsidRPr="00FD50F6">
        <w:t>提出与之相适应的旅行速度目标</w:t>
      </w:r>
      <w:r w:rsidRPr="00FD50F6">
        <w:rPr>
          <w:rFonts w:hint="eastAsia"/>
        </w:rPr>
        <w:t>，</w:t>
      </w:r>
      <w:r w:rsidRPr="00FD50F6">
        <w:t>确定最高设计速度和适宜的站间距</w:t>
      </w:r>
      <w:r w:rsidRPr="00FD50F6">
        <w:rPr>
          <w:rFonts w:hint="eastAsia"/>
        </w:rPr>
        <w:t>，并</w:t>
      </w:r>
      <w:r w:rsidR="007534DE">
        <w:rPr>
          <w:rFonts w:hint="eastAsia"/>
        </w:rPr>
        <w:t>分段</w:t>
      </w:r>
      <w:r w:rsidR="007534DE" w:rsidRPr="00FD50F6">
        <w:rPr>
          <w:rFonts w:hint="eastAsia"/>
        </w:rPr>
        <w:t>采用</w:t>
      </w:r>
      <w:r w:rsidRPr="00FD50F6">
        <w:rPr>
          <w:rFonts w:hint="eastAsia"/>
        </w:rPr>
        <w:t>与之相适应的技术标准。</w:t>
      </w:r>
    </w:p>
    <w:p w14:paraId="57207676" w14:textId="77777777" w:rsidR="00F44D5F" w:rsidRPr="00FD50F6" w:rsidRDefault="00F44D5F" w:rsidP="00F44D5F">
      <w:pPr>
        <w:pStyle w:val="30"/>
        <w:rPr>
          <w:rFonts w:eastAsia="黑体"/>
        </w:rPr>
      </w:pPr>
      <w:bookmarkStart w:id="271" w:name="_Toc236214381"/>
      <w:bookmarkStart w:id="272" w:name="_Toc306203668"/>
      <w:bookmarkStart w:id="273" w:name="_Toc320115636"/>
      <w:bookmarkStart w:id="274" w:name="_Toc320639547"/>
      <w:bookmarkStart w:id="275" w:name="_Toc344218716"/>
      <w:r w:rsidRPr="00FD50F6">
        <w:t>地铁</w:t>
      </w:r>
      <w:r w:rsidRPr="00FD50F6">
        <w:rPr>
          <w:rFonts w:hint="eastAsia"/>
        </w:rPr>
        <w:t>线路设计</w:t>
      </w:r>
      <w:r w:rsidRPr="00FD50F6">
        <w:t>应符合下列规定</w:t>
      </w:r>
      <w:r w:rsidRPr="00FD50F6">
        <w:rPr>
          <w:rFonts w:hint="eastAsia"/>
        </w:rPr>
        <w:t>：</w:t>
      </w:r>
    </w:p>
    <w:p w14:paraId="136D8056" w14:textId="15EE4B3F" w:rsidR="00F44D5F" w:rsidRPr="00FD50F6" w:rsidRDefault="00F44D5F" w:rsidP="00A926BD">
      <w:pPr>
        <w:pStyle w:val="4"/>
      </w:pPr>
      <w:r w:rsidRPr="00FD50F6">
        <w:rPr>
          <w:rFonts w:hint="eastAsia"/>
        </w:rPr>
        <w:t>地铁线路设计应按照线路的功能定位确定线路的服务水平和设计标准，对于超长线路，应结合</w:t>
      </w:r>
      <w:r w:rsidRPr="00FD50F6">
        <w:rPr>
          <w:rFonts w:hint="eastAsia"/>
        </w:rPr>
        <w:t>OD</w:t>
      </w:r>
      <w:r w:rsidRPr="00FD50F6">
        <w:rPr>
          <w:rFonts w:hint="eastAsia"/>
        </w:rPr>
        <w:t>分析确定线路最高速度和主</w:t>
      </w:r>
      <w:r w:rsidRPr="00FD50F6">
        <w:rPr>
          <w:rFonts w:hint="eastAsia"/>
        </w:rPr>
        <w:t>OD</w:t>
      </w:r>
      <w:r w:rsidRPr="00FD50F6">
        <w:rPr>
          <w:rFonts w:hint="eastAsia"/>
        </w:rPr>
        <w:t>之间的旅行速度，确保项目在城市交通中具有较强的出行竞争力。</w:t>
      </w:r>
    </w:p>
    <w:p w14:paraId="6AE11332" w14:textId="77777777" w:rsidR="00F44D5F" w:rsidRPr="00FD50F6" w:rsidRDefault="00F44D5F" w:rsidP="00A926BD">
      <w:pPr>
        <w:pStyle w:val="4"/>
      </w:pPr>
      <w:r w:rsidRPr="00FD50F6">
        <w:t>地铁线路应以安全、</w:t>
      </w:r>
      <w:r w:rsidRPr="00FD50F6">
        <w:rPr>
          <w:rFonts w:hint="eastAsia"/>
        </w:rPr>
        <w:t>经济、</w:t>
      </w:r>
      <w:r w:rsidRPr="00FD50F6">
        <w:t>独立运行为原则。当有条件时，也可根据需要在</w:t>
      </w:r>
      <w:r w:rsidRPr="00FD50F6">
        <w:rPr>
          <w:rFonts w:hint="eastAsia"/>
        </w:rPr>
        <w:t>不同线路的</w:t>
      </w:r>
      <w:r w:rsidRPr="00FD50F6">
        <w:t>正线之间或一条线路上</w:t>
      </w:r>
      <w:r w:rsidRPr="00FD50F6">
        <w:rPr>
          <w:rFonts w:hint="eastAsia"/>
        </w:rPr>
        <w:t>主</w:t>
      </w:r>
      <w:r w:rsidRPr="00FD50F6">
        <w:t>线与支线之间，组织</w:t>
      </w:r>
      <w:r w:rsidRPr="00FD50F6">
        <w:rPr>
          <w:rFonts w:hint="eastAsia"/>
        </w:rPr>
        <w:t>跨线或</w:t>
      </w:r>
      <w:r w:rsidRPr="00FD50F6">
        <w:t>共线运行</w:t>
      </w:r>
      <w:r w:rsidRPr="00FD50F6">
        <w:rPr>
          <w:rFonts w:hint="eastAsia"/>
        </w:rPr>
        <w:t>。</w:t>
      </w:r>
    </w:p>
    <w:p w14:paraId="57AA4898" w14:textId="77777777" w:rsidR="00F44D5F" w:rsidRPr="00FD50F6" w:rsidRDefault="00F44D5F" w:rsidP="00A926BD">
      <w:pPr>
        <w:pStyle w:val="4"/>
      </w:pPr>
      <w:r w:rsidRPr="00FD50F6">
        <w:t>支线在</w:t>
      </w:r>
      <w:r w:rsidRPr="00FD50F6">
        <w:rPr>
          <w:rFonts w:hint="eastAsia"/>
        </w:rPr>
        <w:t>主</w:t>
      </w:r>
      <w:r w:rsidRPr="00FD50F6">
        <w:t>线上的接轨点</w:t>
      </w:r>
      <w:r w:rsidRPr="00FD50F6">
        <w:rPr>
          <w:rFonts w:hint="eastAsia"/>
        </w:rPr>
        <w:t>宜</w:t>
      </w:r>
      <w:r w:rsidRPr="00FD50F6">
        <w:t>设在车站，并应按进站方向设置平行进路</w:t>
      </w:r>
      <w:r w:rsidRPr="00FD50F6">
        <w:rPr>
          <w:rFonts w:hint="eastAsia"/>
        </w:rPr>
        <w:t>；</w:t>
      </w:r>
      <w:r w:rsidRPr="00FD50F6">
        <w:t>接轨点不宜设在靠近客流大断面的车站</w:t>
      </w:r>
      <w:r w:rsidRPr="00FD50F6">
        <w:rPr>
          <w:rFonts w:hint="eastAsia"/>
        </w:rPr>
        <w:t>。</w:t>
      </w:r>
    </w:p>
    <w:p w14:paraId="3AAFCA8F" w14:textId="77777777" w:rsidR="00F44D5F" w:rsidRPr="00873AA4" w:rsidRDefault="00F44D5F" w:rsidP="00A926BD">
      <w:pPr>
        <w:pStyle w:val="4"/>
      </w:pPr>
      <w:r w:rsidRPr="00873AA4">
        <w:rPr>
          <w:rFonts w:hint="eastAsia"/>
        </w:rPr>
        <w:t>地铁线路之间交叉，以及地铁线路与其他交通线路交叉时，必须采用立体交叉方式。</w:t>
      </w:r>
    </w:p>
    <w:p w14:paraId="04FA938A" w14:textId="422FE295" w:rsidR="00F44D5F" w:rsidRPr="00FD50F6" w:rsidRDefault="00F44D5F" w:rsidP="00A926BD">
      <w:pPr>
        <w:pStyle w:val="4"/>
      </w:pPr>
      <w:r w:rsidRPr="00FD50F6">
        <w:t>地铁线路应</w:t>
      </w:r>
      <w:r w:rsidRPr="00FD50F6">
        <w:rPr>
          <w:rFonts w:hint="eastAsia"/>
        </w:rPr>
        <w:t>追求</w:t>
      </w:r>
      <w:r w:rsidRPr="00FD50F6">
        <w:t>运营</w:t>
      </w:r>
      <w:r w:rsidRPr="00FD50F6">
        <w:rPr>
          <w:rFonts w:hint="eastAsia"/>
        </w:rPr>
        <w:t>经济</w:t>
      </w:r>
      <w:r w:rsidRPr="00FD50F6">
        <w:t>效益，线路走向应</w:t>
      </w:r>
      <w:r w:rsidRPr="00FD50F6">
        <w:rPr>
          <w:rFonts w:hint="eastAsia"/>
        </w:rPr>
        <w:t>与</w:t>
      </w:r>
      <w:r w:rsidRPr="00FD50F6">
        <w:t>城市</w:t>
      </w:r>
      <w:r w:rsidRPr="00FD50F6">
        <w:rPr>
          <w:rFonts w:hint="eastAsia"/>
        </w:rPr>
        <w:t>主</w:t>
      </w:r>
      <w:r w:rsidRPr="00FD50F6">
        <w:t>客流走</w:t>
      </w:r>
      <w:r w:rsidRPr="00FD50F6">
        <w:rPr>
          <w:rFonts w:hint="eastAsia"/>
        </w:rPr>
        <w:t>廊一致</w:t>
      </w:r>
      <w:r w:rsidRPr="00FD50F6">
        <w:t>，串联交通枢纽</w:t>
      </w:r>
      <w:r w:rsidRPr="00FD50F6">
        <w:rPr>
          <w:rFonts w:hint="eastAsia"/>
        </w:rPr>
        <w:t>、</w:t>
      </w:r>
      <w:r w:rsidRPr="00FD50F6">
        <w:t>大型居住区</w:t>
      </w:r>
      <w:r w:rsidRPr="00FD50F6">
        <w:rPr>
          <w:rFonts w:hint="eastAsia"/>
        </w:rPr>
        <w:t>、</w:t>
      </w:r>
      <w:r w:rsidRPr="00FD50F6">
        <w:t>商务区等大型客流点</w:t>
      </w:r>
      <w:r w:rsidRPr="00FD50F6">
        <w:rPr>
          <w:rFonts w:hint="eastAsia"/>
        </w:rPr>
        <w:t>。</w:t>
      </w:r>
    </w:p>
    <w:p w14:paraId="1BFAC278" w14:textId="7028AD75" w:rsidR="00F44D5F" w:rsidRPr="00FD50F6" w:rsidRDefault="00F44D5F" w:rsidP="00A926BD">
      <w:pPr>
        <w:pStyle w:val="4"/>
      </w:pPr>
      <w:r w:rsidRPr="00FD50F6">
        <w:t>地铁选线应符合工程实施安全原则，宜规避不良工程地质、水文地质地段，并宜减少房屋和管线拆迁，宜保护文物和重要建</w:t>
      </w:r>
      <w:r w:rsidR="00B528A1">
        <w:t>（</w:t>
      </w:r>
      <w:r w:rsidRPr="00FD50F6">
        <w:t>构</w:t>
      </w:r>
      <w:r w:rsidR="00B528A1">
        <w:rPr>
          <w:rFonts w:hint="eastAsia"/>
        </w:rPr>
        <w:t>）</w:t>
      </w:r>
      <w:r w:rsidRPr="00FD50F6">
        <w:t>筑物，同时应保护地下资源</w:t>
      </w:r>
      <w:r w:rsidRPr="00FD50F6">
        <w:rPr>
          <w:rFonts w:hint="eastAsia"/>
        </w:rPr>
        <w:t>。</w:t>
      </w:r>
      <w:r w:rsidRPr="00FD50F6">
        <w:t xml:space="preserve"> </w:t>
      </w:r>
    </w:p>
    <w:p w14:paraId="7E0324F2" w14:textId="50433F51" w:rsidR="00F44D5F" w:rsidRPr="00FD50F6" w:rsidRDefault="00F44D5F" w:rsidP="00A926BD">
      <w:pPr>
        <w:pStyle w:val="4"/>
      </w:pPr>
      <w:r w:rsidRPr="00FD50F6">
        <w:t>地铁线路与相近建筑物距离应符合城市环境、风景名胜</w:t>
      </w:r>
      <w:r w:rsidRPr="00FD50F6">
        <w:rPr>
          <w:rFonts w:hint="eastAsia"/>
        </w:rPr>
        <w:t>、</w:t>
      </w:r>
      <w:r w:rsidRPr="00FD50F6">
        <w:t>文物保护和安全防护的要求。</w:t>
      </w:r>
      <w:r w:rsidR="0011329D">
        <w:t>当不满足上述要求时，</w:t>
      </w:r>
      <w:r w:rsidRPr="00FD50F6">
        <w:t>地上线应采取针对振动、噪声、景观、隐私、日照的治理措施，并应</w:t>
      </w:r>
      <w:r w:rsidRPr="00FD50F6">
        <w:rPr>
          <w:rFonts w:hint="eastAsia"/>
        </w:rPr>
        <w:t>符合</w:t>
      </w:r>
      <w:r w:rsidRPr="00FD50F6">
        <w:t>城市环境</w:t>
      </w:r>
      <w:r w:rsidRPr="00FD50F6">
        <w:rPr>
          <w:rFonts w:hint="eastAsia"/>
        </w:rPr>
        <w:t>保护</w:t>
      </w:r>
      <w:r w:rsidRPr="00FD50F6">
        <w:t>相关</w:t>
      </w:r>
      <w:r w:rsidRPr="00FD50F6">
        <w:rPr>
          <w:rFonts w:hint="eastAsia"/>
        </w:rPr>
        <w:t>要求</w:t>
      </w:r>
      <w:r w:rsidRPr="00FD50F6">
        <w:t>；地下线应减少振动对</w:t>
      </w:r>
      <w:r w:rsidRPr="00FD50F6">
        <w:lastRenderedPageBreak/>
        <w:t>周围敏感点的影响。</w:t>
      </w:r>
      <w:r w:rsidRPr="00FD50F6">
        <w:rPr>
          <w:rFonts w:hint="eastAsia"/>
        </w:rPr>
        <w:t>高架线路的</w:t>
      </w:r>
      <w:r w:rsidRPr="00FD50F6">
        <w:t>结构外缘与建筑物的距离应符合现行国家标准《建筑设计防火规范》</w:t>
      </w:r>
      <w:r w:rsidRPr="00FD50F6">
        <w:t>GB 50016</w:t>
      </w:r>
      <w:r w:rsidRPr="00FD50F6">
        <w:t>的规定</w:t>
      </w:r>
      <w:r w:rsidRPr="00FD50F6">
        <w:rPr>
          <w:rFonts w:hint="eastAsia"/>
        </w:rPr>
        <w:t>。</w:t>
      </w:r>
    </w:p>
    <w:p w14:paraId="68EF5618" w14:textId="4D674274" w:rsidR="00F44D5F" w:rsidRPr="001A4CF3" w:rsidRDefault="00F44D5F" w:rsidP="001A4CF3">
      <w:pPr>
        <w:pStyle w:val="4"/>
      </w:pPr>
      <w:r w:rsidRPr="00FD50F6">
        <w:rPr>
          <w:rFonts w:hint="eastAsia"/>
        </w:rPr>
        <w:t>有条件时，线路设计宜统筹轨道交通各类设施与市政基础设施、地下空间开发、地面建筑、交通衔接等的设计与实施。</w:t>
      </w:r>
    </w:p>
    <w:p w14:paraId="40C6BDAC" w14:textId="77777777" w:rsidR="00F44D5F" w:rsidRPr="00FD50F6" w:rsidRDefault="00F44D5F" w:rsidP="00F44D5F">
      <w:pPr>
        <w:pStyle w:val="30"/>
      </w:pPr>
      <w:r w:rsidRPr="00FD50F6">
        <w:t>线路起、终点选择应符合下列规定：</w:t>
      </w:r>
    </w:p>
    <w:p w14:paraId="236738FE" w14:textId="77777777" w:rsidR="00F44D5F" w:rsidRPr="00FD50F6" w:rsidRDefault="00F44D5F" w:rsidP="00A926BD">
      <w:pPr>
        <w:pStyle w:val="4"/>
      </w:pPr>
      <w:r w:rsidRPr="00FD50F6">
        <w:t>线路起、终点车站宜与城市用地规划相结合，并宜预留</w:t>
      </w:r>
      <w:r w:rsidRPr="00FD50F6">
        <w:rPr>
          <w:rFonts w:hint="eastAsia"/>
        </w:rPr>
        <w:t>公共交通</w:t>
      </w:r>
      <w:r w:rsidRPr="00FD50F6">
        <w:t>等城市交通接驳配套条件</w:t>
      </w:r>
      <w:r w:rsidRPr="00FD50F6">
        <w:rPr>
          <w:rFonts w:hint="eastAsia"/>
        </w:rPr>
        <w:t>。</w:t>
      </w:r>
    </w:p>
    <w:p w14:paraId="4A022304" w14:textId="77777777" w:rsidR="00F44D5F" w:rsidRPr="00FD50F6" w:rsidRDefault="00F44D5F" w:rsidP="00A926BD">
      <w:pPr>
        <w:pStyle w:val="4"/>
      </w:pPr>
      <w:r w:rsidRPr="00FD50F6">
        <w:t>线路起、终点不宜设在城区内客流大断面位置</w:t>
      </w:r>
      <w:r w:rsidRPr="00FD50F6">
        <w:rPr>
          <w:rFonts w:hint="eastAsia"/>
        </w:rPr>
        <w:t>，</w:t>
      </w:r>
      <w:r w:rsidRPr="00FD50F6">
        <w:t>也不宜设在高峰客流断面小于全线高峰小时单向最大断面客流量</w:t>
      </w:r>
      <w:r w:rsidRPr="00FD50F6">
        <w:t>1/4</w:t>
      </w:r>
      <w:r w:rsidRPr="00FD50F6">
        <w:t>的位置</w:t>
      </w:r>
      <w:r w:rsidRPr="00FD50F6">
        <w:rPr>
          <w:rFonts w:hint="eastAsia"/>
        </w:rPr>
        <w:t>。</w:t>
      </w:r>
    </w:p>
    <w:p w14:paraId="4F0639E0" w14:textId="6B1507DD" w:rsidR="00F44D5F" w:rsidRPr="00FD50F6" w:rsidRDefault="00F44D5F" w:rsidP="00A926BD">
      <w:pPr>
        <w:pStyle w:val="4"/>
      </w:pPr>
      <w:r w:rsidRPr="00FD50F6">
        <w:t>对穿越城市中心的超长线路，应</w:t>
      </w:r>
      <w:r w:rsidRPr="00FD50F6">
        <w:rPr>
          <w:rFonts w:hint="eastAsia"/>
        </w:rPr>
        <w:t>针对</w:t>
      </w:r>
      <w:r w:rsidRPr="00FD50F6">
        <w:t>全线不同地段客流断面、列车在各区间的满载率</w:t>
      </w:r>
      <w:r w:rsidRPr="00FD50F6">
        <w:rPr>
          <w:rFonts w:hint="eastAsia"/>
        </w:rPr>
        <w:t>、</w:t>
      </w:r>
      <w:r w:rsidRPr="00FD50F6">
        <w:t>建设时序等分析运营组织的经济性，确定线路运行的起、终点或运行的分段点</w:t>
      </w:r>
      <w:r w:rsidRPr="00FD50F6">
        <w:rPr>
          <w:rFonts w:hint="eastAsia"/>
        </w:rPr>
        <w:t>。</w:t>
      </w:r>
    </w:p>
    <w:p w14:paraId="3CE73605" w14:textId="3FA745CA" w:rsidR="00F44D5F" w:rsidRPr="00873AA4" w:rsidRDefault="00F44D5F" w:rsidP="00873AA4">
      <w:pPr>
        <w:ind w:firstLineChars="150" w:firstLine="360"/>
      </w:pPr>
      <w:r w:rsidRPr="001A4CF3">
        <w:rPr>
          <w:rFonts w:ascii="Times New Roman" w:hAnsi="Times New Roman" w:cstheme="majorBidi" w:hint="eastAsia"/>
          <w:bCs/>
          <w:szCs w:val="28"/>
        </w:rPr>
        <w:t xml:space="preserve">4 </w:t>
      </w:r>
      <w:r w:rsidR="007534DE" w:rsidRPr="00FD50F6">
        <w:rPr>
          <w:rFonts w:hint="eastAsia"/>
        </w:rPr>
        <w:t>线路起终点设计应</w:t>
      </w:r>
      <w:r w:rsidR="007534DE">
        <w:rPr>
          <w:rFonts w:hint="eastAsia"/>
        </w:rPr>
        <w:t>根据</w:t>
      </w:r>
      <w:r w:rsidR="007534DE" w:rsidRPr="00FD50F6">
        <w:rPr>
          <w:rFonts w:ascii="Times New Roman" w:hAnsi="Times New Roman" w:cstheme="majorBidi" w:hint="eastAsia"/>
          <w:bCs/>
          <w:szCs w:val="28"/>
        </w:rPr>
        <w:t>城市总体规划（</w:t>
      </w:r>
      <w:r w:rsidR="007534DE" w:rsidRPr="00FD50F6">
        <w:rPr>
          <w:rFonts w:hint="eastAsia"/>
        </w:rPr>
        <w:t>国土空间规划）和城市轨道交通线网规划，</w:t>
      </w:r>
      <w:r w:rsidR="007534DE">
        <w:rPr>
          <w:rFonts w:hint="eastAsia"/>
        </w:rPr>
        <w:t>并结合起终点处的用地条件，</w:t>
      </w:r>
      <w:r w:rsidR="007534DE" w:rsidRPr="00FD50F6">
        <w:rPr>
          <w:rFonts w:hint="eastAsia"/>
        </w:rPr>
        <w:t>研究论证线路的延伸预留方案</w:t>
      </w:r>
      <w:r w:rsidRPr="00FD50F6">
        <w:rPr>
          <w:rFonts w:hint="eastAsia"/>
        </w:rPr>
        <w:t>。</w:t>
      </w:r>
    </w:p>
    <w:p w14:paraId="0D102A06" w14:textId="77777777" w:rsidR="00F44D5F" w:rsidRPr="00FD50F6" w:rsidRDefault="00F44D5F" w:rsidP="00F44D5F">
      <w:pPr>
        <w:pStyle w:val="30"/>
      </w:pPr>
      <w:r w:rsidRPr="00FD50F6">
        <w:t>线路长度应符合下列规定：</w:t>
      </w:r>
    </w:p>
    <w:p w14:paraId="78EFFFAD" w14:textId="5CBB9F30" w:rsidR="00F44D5F" w:rsidRPr="00FD50F6" w:rsidRDefault="00F44D5F" w:rsidP="00A926BD">
      <w:pPr>
        <w:pStyle w:val="4"/>
      </w:pPr>
      <w:r w:rsidRPr="00FD50F6">
        <w:rPr>
          <w:rFonts w:hint="eastAsia"/>
        </w:rPr>
        <w:t>结合线路的功能定位和客流高峰断面特征控制线路长度，线路全线</w:t>
      </w:r>
      <w:r w:rsidRPr="00FD50F6">
        <w:t>全程运行时间不宜大于</w:t>
      </w:r>
      <w:r w:rsidRPr="00FD50F6">
        <w:t>1</w:t>
      </w:r>
      <w:r w:rsidRPr="00FD50F6">
        <w:t>小时</w:t>
      </w:r>
      <w:r w:rsidRPr="00FD50F6">
        <w:rPr>
          <w:rFonts w:hint="eastAsia"/>
        </w:rPr>
        <w:t>；当全程运行时间大于</w:t>
      </w:r>
      <w:r w:rsidRPr="00FD50F6">
        <w:rPr>
          <w:rFonts w:hint="eastAsia"/>
        </w:rPr>
        <w:t>1</w:t>
      </w:r>
      <w:r w:rsidRPr="00FD50F6">
        <w:rPr>
          <w:rFonts w:hint="eastAsia"/>
        </w:rPr>
        <w:t>小时时，运营管理或车辆配置宜采取相应措施</w:t>
      </w:r>
      <w:r w:rsidRPr="00FD50F6">
        <w:t>。</w:t>
      </w:r>
      <w:r w:rsidRPr="00FD50F6">
        <w:rPr>
          <w:rFonts w:hint="eastAsia"/>
        </w:rPr>
        <w:t>80km/h</w:t>
      </w:r>
      <w:r w:rsidRPr="00FD50F6">
        <w:rPr>
          <w:rFonts w:hint="eastAsia"/>
        </w:rPr>
        <w:t>速度等级的</w:t>
      </w:r>
      <w:r w:rsidRPr="00FD50F6">
        <w:t>线路长度不宜大于</w:t>
      </w:r>
      <w:r w:rsidRPr="00FD50F6">
        <w:rPr>
          <w:rFonts w:hint="eastAsia"/>
        </w:rPr>
        <w:t>40</w:t>
      </w:r>
      <w:r w:rsidRPr="00FD50F6">
        <w:t>km</w:t>
      </w:r>
      <w:r w:rsidRPr="00FD50F6">
        <w:t>，</w:t>
      </w:r>
      <w:r w:rsidRPr="00FD50F6">
        <w:rPr>
          <w:rFonts w:hint="eastAsia"/>
        </w:rPr>
        <w:t>100km/h</w:t>
      </w:r>
      <w:r w:rsidRPr="00FD50F6">
        <w:rPr>
          <w:rFonts w:hint="eastAsia"/>
        </w:rPr>
        <w:t>速度等级的线路长度不宜大于</w:t>
      </w:r>
      <w:r w:rsidRPr="00FD50F6">
        <w:rPr>
          <w:rFonts w:hint="eastAsia"/>
        </w:rPr>
        <w:t>50km</w:t>
      </w:r>
      <w:r w:rsidRPr="00FD50F6">
        <w:rPr>
          <w:rFonts w:hint="eastAsia"/>
        </w:rPr>
        <w:t>，</w:t>
      </w:r>
      <w:r w:rsidRPr="00FD50F6">
        <w:rPr>
          <w:rFonts w:hint="eastAsia"/>
        </w:rPr>
        <w:t>120km/h</w:t>
      </w:r>
      <w:r w:rsidRPr="00FD50F6">
        <w:rPr>
          <w:rFonts w:hint="eastAsia"/>
        </w:rPr>
        <w:t>速度等级的线路长度不宜大于</w:t>
      </w:r>
      <w:r w:rsidRPr="00FD50F6">
        <w:rPr>
          <w:rFonts w:hint="eastAsia"/>
        </w:rPr>
        <w:t>60km</w:t>
      </w:r>
      <w:r w:rsidRPr="00FD50F6">
        <w:rPr>
          <w:rFonts w:hint="eastAsia"/>
        </w:rPr>
        <w:t>；</w:t>
      </w:r>
      <w:r w:rsidRPr="00FD50F6" w:rsidDel="00546585">
        <w:t xml:space="preserve"> </w:t>
      </w:r>
    </w:p>
    <w:p w14:paraId="2A308CFB" w14:textId="1E97AD9D" w:rsidR="00F44D5F" w:rsidRPr="00FD50F6" w:rsidRDefault="007534DE" w:rsidP="00A926BD">
      <w:pPr>
        <w:pStyle w:val="4"/>
      </w:pPr>
      <w:r w:rsidRPr="00FD50F6">
        <w:rPr>
          <w:rFonts w:hint="eastAsia"/>
        </w:rPr>
        <w:t>当</w:t>
      </w:r>
      <w:r w:rsidRPr="00FD50F6">
        <w:t>支线与</w:t>
      </w:r>
      <w:r w:rsidRPr="00FD50F6">
        <w:rPr>
          <w:rFonts w:hint="eastAsia"/>
        </w:rPr>
        <w:t>主</w:t>
      </w:r>
      <w:r w:rsidRPr="00FD50F6">
        <w:t>线贯通共线运行时，其长度不宜过长。当支线长度大于</w:t>
      </w:r>
      <w:r w:rsidRPr="00FD50F6">
        <w:t>15km</w:t>
      </w:r>
      <w:r w:rsidRPr="00FD50F6">
        <w:t>时，宜按既能贯通、又能独立折返运行设计，</w:t>
      </w:r>
      <w:r>
        <w:rPr>
          <w:rFonts w:hint="eastAsia"/>
        </w:rPr>
        <w:t>同时</w:t>
      </w:r>
      <w:r w:rsidRPr="00FD50F6">
        <w:t>应核算</w:t>
      </w:r>
      <w:r w:rsidRPr="00FD50F6">
        <w:rPr>
          <w:rFonts w:hint="eastAsia"/>
        </w:rPr>
        <w:t>主</w:t>
      </w:r>
      <w:r w:rsidRPr="00FD50F6">
        <w:t>线</w:t>
      </w:r>
      <w:r>
        <w:t>及接轨车站</w:t>
      </w:r>
      <w:r w:rsidRPr="00FD50F6">
        <w:t>对支线客流的承受能力</w:t>
      </w:r>
      <w:r>
        <w:rPr>
          <w:rFonts w:hint="eastAsia"/>
        </w:rPr>
        <w:t>，</w:t>
      </w:r>
      <w:r>
        <w:t>并采取相应措施</w:t>
      </w:r>
      <w:r w:rsidR="00F44D5F" w:rsidRPr="00FD50F6">
        <w:t>。</w:t>
      </w:r>
    </w:p>
    <w:p w14:paraId="239D39D9" w14:textId="77777777" w:rsidR="00F44D5F" w:rsidRPr="00FD50F6" w:rsidRDefault="00F44D5F" w:rsidP="00A926BD">
      <w:pPr>
        <w:pStyle w:val="4"/>
      </w:pPr>
      <w:r w:rsidRPr="00FD50F6">
        <w:t>当线路分期建设时，初期建设的线路长度不宜小于</w:t>
      </w:r>
      <w:r w:rsidRPr="00FD50F6">
        <w:t>15km</w:t>
      </w:r>
      <w:r w:rsidRPr="00FD50F6">
        <w:rPr>
          <w:rFonts w:hint="eastAsia"/>
        </w:rPr>
        <w:t>；</w:t>
      </w:r>
    </w:p>
    <w:p w14:paraId="61C10A4E" w14:textId="77777777" w:rsidR="00F44D5F" w:rsidRPr="00FD50F6" w:rsidRDefault="00F44D5F" w:rsidP="006E2974">
      <w:pPr>
        <w:pStyle w:val="30"/>
      </w:pPr>
      <w:r w:rsidRPr="00FD50F6">
        <w:t>车站分布应符合下列规定：</w:t>
      </w:r>
    </w:p>
    <w:p w14:paraId="45B52F52" w14:textId="77777777" w:rsidR="00F44D5F" w:rsidRPr="00FD50F6" w:rsidRDefault="00F44D5F" w:rsidP="00A926BD">
      <w:pPr>
        <w:pStyle w:val="4"/>
      </w:pPr>
      <w:r w:rsidRPr="00FD50F6">
        <w:t>车站分布应以</w:t>
      </w:r>
      <w:r w:rsidRPr="00FD50F6">
        <w:rPr>
          <w:rFonts w:hint="eastAsia"/>
        </w:rPr>
        <w:t>线网规划</w:t>
      </w:r>
      <w:r w:rsidRPr="00FD50F6">
        <w:t>换乘节点、城市交通枢纽点为基本站点，结合</w:t>
      </w:r>
      <w:r w:rsidRPr="00FD50F6">
        <w:rPr>
          <w:rFonts w:hint="eastAsia"/>
        </w:rPr>
        <w:t>城市用地布局、客流集散点分布、道路网结构确定。</w:t>
      </w:r>
    </w:p>
    <w:p w14:paraId="52E54696" w14:textId="44AD7CBD" w:rsidR="00F44D5F" w:rsidRPr="00FD50F6" w:rsidRDefault="00F44D5F" w:rsidP="00A926BD">
      <w:pPr>
        <w:pStyle w:val="4"/>
      </w:pPr>
      <w:r w:rsidRPr="00FD50F6">
        <w:rPr>
          <w:rFonts w:hint="eastAsia"/>
        </w:rPr>
        <w:t>车站间距应根据城市交通特征、线路功能定位和旅行速度目标等要求确定，地铁普线在城市中心区和居民稠密地区宜为</w:t>
      </w:r>
      <w:r w:rsidRPr="00FD50F6">
        <w:t>1km</w:t>
      </w:r>
      <w:r w:rsidRPr="00FD50F6">
        <w:rPr>
          <w:rFonts w:hint="eastAsia"/>
        </w:rPr>
        <w:t>，在城市外围区宜为</w:t>
      </w:r>
      <w:r w:rsidRPr="00FD50F6">
        <w:t>2km</w:t>
      </w:r>
      <w:r w:rsidRPr="00FD50F6">
        <w:rPr>
          <w:rFonts w:hint="eastAsia"/>
        </w:rPr>
        <w:t>；地铁快线的车站分布应根据线路功能定位、速度目标和运营模式相匹配，全线平均站间距不</w:t>
      </w:r>
      <w:r w:rsidR="00092DE9">
        <w:rPr>
          <w:rFonts w:hint="eastAsia"/>
        </w:rPr>
        <w:t>宜</w:t>
      </w:r>
      <w:r w:rsidRPr="00FD50F6">
        <w:rPr>
          <w:rFonts w:hint="eastAsia"/>
        </w:rPr>
        <w:t>小于</w:t>
      </w:r>
      <w:r w:rsidRPr="00FD50F6">
        <w:rPr>
          <w:rFonts w:hint="eastAsia"/>
        </w:rPr>
        <w:t>2.5km</w:t>
      </w:r>
      <w:r w:rsidRPr="00FD50F6">
        <w:rPr>
          <w:rFonts w:hint="eastAsia"/>
        </w:rPr>
        <w:t>。穿越中心城的超长线路不同区段的功能定位有所差</w:t>
      </w:r>
      <w:r w:rsidRPr="00FD50F6">
        <w:rPr>
          <w:rFonts w:hint="eastAsia"/>
        </w:rPr>
        <w:lastRenderedPageBreak/>
        <w:t>异时，可结合速度目标分段确定平均站间距。</w:t>
      </w:r>
    </w:p>
    <w:p w14:paraId="40D1D49D" w14:textId="1BFC8CF6" w:rsidR="00F44D5F" w:rsidRDefault="00F44D5F" w:rsidP="00A926BD">
      <w:pPr>
        <w:pStyle w:val="4"/>
      </w:pPr>
      <w:r w:rsidRPr="00FD50F6">
        <w:t>车站站位选择应结合车站出入口、风亭设置条件确定，并应满足结构施工、用地规划、客流疏导、交通接驳</w:t>
      </w:r>
      <w:r w:rsidRPr="00FD50F6">
        <w:rPr>
          <w:rFonts w:hint="eastAsia"/>
        </w:rPr>
        <w:t>、</w:t>
      </w:r>
      <w:r w:rsidRPr="00FD50F6">
        <w:t>管线拆改和环境要求。</w:t>
      </w:r>
    </w:p>
    <w:p w14:paraId="42B88C50" w14:textId="2B20DE80" w:rsidR="007534DE" w:rsidRPr="007534DE" w:rsidRDefault="007534DE" w:rsidP="007534DE">
      <w:pPr>
        <w:pStyle w:val="4"/>
      </w:pPr>
      <w:r>
        <w:rPr>
          <w:rFonts w:hint="eastAsia"/>
        </w:rPr>
        <w:t>宜采用城市大数据平台对站位选址进行方案比选。</w:t>
      </w:r>
    </w:p>
    <w:p w14:paraId="4CD668FF" w14:textId="77777777" w:rsidR="00F44D5F" w:rsidRPr="00FD50F6" w:rsidRDefault="00F44D5F" w:rsidP="00F44D5F">
      <w:pPr>
        <w:pStyle w:val="30"/>
      </w:pPr>
      <w:r w:rsidRPr="00FD50F6">
        <w:t>换乘车站线路设计应符合下列规定：</w:t>
      </w:r>
    </w:p>
    <w:p w14:paraId="5886CFEF" w14:textId="71039C19" w:rsidR="00F44D5F" w:rsidRPr="00FD50F6" w:rsidRDefault="00F44D5F" w:rsidP="00A926BD">
      <w:pPr>
        <w:pStyle w:val="4"/>
      </w:pPr>
      <w:r w:rsidRPr="00FD50F6">
        <w:t>换乘</w:t>
      </w:r>
      <w:r w:rsidRPr="00FD50F6">
        <w:rPr>
          <w:rFonts w:hint="eastAsia"/>
        </w:rPr>
        <w:t>车</w:t>
      </w:r>
      <w:r w:rsidRPr="00FD50F6">
        <w:t>站的规划与设计，</w:t>
      </w:r>
      <w:r w:rsidRPr="00FD50F6">
        <w:rPr>
          <w:rFonts w:hint="eastAsia"/>
        </w:rPr>
        <w:t>应控制相交换乘的线路数目。</w:t>
      </w:r>
      <w:r w:rsidRPr="00FD50F6">
        <w:t>应优先采用两线相交换乘形式，并宜控制好换乘高差与距离；当采用三线相交换乘于一点时，宜控制层数，并宜按两个站台层设置；</w:t>
      </w:r>
      <w:r w:rsidRPr="00FD50F6">
        <w:rPr>
          <w:rFonts w:hint="eastAsia"/>
        </w:rPr>
        <w:t>换乘线路</w:t>
      </w:r>
      <w:r w:rsidRPr="00FD50F6">
        <w:t>多于三条线路时，其换乘形式应经技术经济论证确定</w:t>
      </w:r>
      <w:r w:rsidRPr="00FD50F6">
        <w:rPr>
          <w:rFonts w:hint="eastAsia"/>
        </w:rPr>
        <w:t>。</w:t>
      </w:r>
    </w:p>
    <w:p w14:paraId="46E3E0BC" w14:textId="25C4BF6A" w:rsidR="00F44D5F" w:rsidRPr="00FD50F6" w:rsidRDefault="007B338E" w:rsidP="00A926BD">
      <w:pPr>
        <w:pStyle w:val="4"/>
      </w:pPr>
      <w:r w:rsidRPr="00FD50F6">
        <w:t>换乘车站应结合换乘方式拟定线位、线间距、线路坡度和轨面高程</w:t>
      </w:r>
      <w:r w:rsidRPr="00FD50F6">
        <w:rPr>
          <w:rFonts w:hint="eastAsia"/>
        </w:rPr>
        <w:t>，</w:t>
      </w:r>
      <w:r w:rsidRPr="00FD50F6">
        <w:t>相交线路邻近的</w:t>
      </w:r>
      <w:r w:rsidRPr="00FD50F6">
        <w:rPr>
          <w:rFonts w:hint="eastAsia"/>
        </w:rPr>
        <w:t>三</w:t>
      </w:r>
      <w:r w:rsidRPr="00FD50F6">
        <w:t>站</w:t>
      </w:r>
      <w:r w:rsidRPr="00FD50F6">
        <w:rPr>
          <w:rFonts w:hint="eastAsia"/>
        </w:rPr>
        <w:t>两</w:t>
      </w:r>
      <w:r w:rsidRPr="00FD50F6">
        <w:t>区间宜同步设计</w:t>
      </w:r>
      <w:r>
        <w:rPr>
          <w:rFonts w:hint="eastAsia"/>
        </w:rPr>
        <w:t>，</w:t>
      </w:r>
      <w:r>
        <w:t>并</w:t>
      </w:r>
      <w:r w:rsidR="007873D3">
        <w:rPr>
          <w:rFonts w:hint="eastAsia"/>
        </w:rPr>
        <w:t>应</w:t>
      </w:r>
      <w:r>
        <w:t>纳入轨道交通用地控制规划</w:t>
      </w:r>
      <w:r w:rsidR="00F44D5F" w:rsidRPr="00FD50F6">
        <w:rPr>
          <w:rFonts w:hint="eastAsia"/>
        </w:rPr>
        <w:t>。</w:t>
      </w:r>
    </w:p>
    <w:p w14:paraId="2F316F21" w14:textId="5D95FA37" w:rsidR="00F44D5F" w:rsidRPr="00FD50F6" w:rsidRDefault="007873D3" w:rsidP="00A926BD">
      <w:pPr>
        <w:pStyle w:val="4"/>
      </w:pPr>
      <w:r w:rsidRPr="00FD50F6">
        <w:t>当换乘</w:t>
      </w:r>
      <w:r w:rsidRPr="00FD50F6">
        <w:rPr>
          <w:rFonts w:hint="eastAsia"/>
        </w:rPr>
        <w:t>车</w:t>
      </w:r>
      <w:r w:rsidRPr="00FD50F6">
        <w:t>站为两条线路采用同站台平行换乘方式时，车站线路设计应以主要换乘客流方向实现同站台换乘为</w:t>
      </w:r>
      <w:r>
        <w:rPr>
          <w:rFonts w:hint="eastAsia"/>
        </w:rPr>
        <w:t>目标</w:t>
      </w:r>
      <w:r w:rsidR="00F44D5F" w:rsidRPr="00FD50F6">
        <w:t>。</w:t>
      </w:r>
    </w:p>
    <w:p w14:paraId="16810EDF" w14:textId="329563C8" w:rsidR="00F44D5F" w:rsidRPr="00FD50F6" w:rsidRDefault="00F44D5F" w:rsidP="00A926BD">
      <w:pPr>
        <w:pStyle w:val="4"/>
      </w:pPr>
      <w:r w:rsidRPr="00FD50F6">
        <w:t>当多条线路在中心城区共轨运行并实行换乘时，接轨（换乘）站应满足各线运行能力和共轨运行总量需求，主支线接轨形式应符合</w:t>
      </w:r>
      <w:r w:rsidR="00347867">
        <w:rPr>
          <w:rFonts w:hint="eastAsia"/>
        </w:rPr>
        <w:t>本标准</w:t>
      </w:r>
      <w:r w:rsidR="006E2974" w:rsidRPr="00FD50F6">
        <w:t>7</w:t>
      </w:r>
      <w:r w:rsidRPr="00FD50F6">
        <w:t>.1.</w:t>
      </w:r>
      <w:r w:rsidRPr="00FD50F6">
        <w:rPr>
          <w:rFonts w:hint="eastAsia"/>
        </w:rPr>
        <w:t>4</w:t>
      </w:r>
      <w:r w:rsidRPr="00FD50F6">
        <w:t>条第</w:t>
      </w:r>
      <w:r w:rsidR="00046FF6" w:rsidRPr="00FD50F6">
        <w:t>3</w:t>
      </w:r>
      <w:r w:rsidRPr="00FD50F6">
        <w:t>款规定，线路配线及站台布置形式应满足</w:t>
      </w:r>
      <w:r w:rsidR="006E2974" w:rsidRPr="00FD50F6">
        <w:rPr>
          <w:rFonts w:hint="eastAsia"/>
        </w:rPr>
        <w:t>本标准</w:t>
      </w:r>
      <w:r w:rsidR="006E2974" w:rsidRPr="00347867">
        <w:t>7</w:t>
      </w:r>
      <w:r w:rsidRPr="00347867">
        <w:t>.4.6</w:t>
      </w:r>
      <w:r w:rsidRPr="00347867">
        <w:rPr>
          <w:rFonts w:hint="eastAsia"/>
        </w:rPr>
        <w:t>第</w:t>
      </w:r>
      <w:r w:rsidR="0035633D" w:rsidRPr="00347867">
        <w:t>1</w:t>
      </w:r>
      <w:r w:rsidRPr="00347867">
        <w:rPr>
          <w:rFonts w:hint="eastAsia"/>
        </w:rPr>
        <w:t>款</w:t>
      </w:r>
      <w:r w:rsidRPr="00FD50F6">
        <w:rPr>
          <w:rFonts w:hint="eastAsia"/>
        </w:rPr>
        <w:t>规定</w:t>
      </w:r>
      <w:r w:rsidRPr="00FD50F6">
        <w:t>。</w:t>
      </w:r>
    </w:p>
    <w:p w14:paraId="7024383B" w14:textId="77777777" w:rsidR="00F44D5F" w:rsidRPr="00FD50F6" w:rsidRDefault="00F44D5F" w:rsidP="00F44D5F">
      <w:pPr>
        <w:pStyle w:val="30"/>
      </w:pPr>
      <w:r w:rsidRPr="00FD50F6">
        <w:t>线路敷设方式应符合下列规定：</w:t>
      </w:r>
    </w:p>
    <w:p w14:paraId="388E2A9E" w14:textId="6F850763" w:rsidR="00F44D5F" w:rsidRPr="00FD50F6" w:rsidRDefault="00F44D5F" w:rsidP="00A926BD">
      <w:pPr>
        <w:pStyle w:val="4"/>
      </w:pPr>
      <w:r w:rsidRPr="00FD50F6">
        <w:t>线路敷设方式应根据城市国土空间规划和</w:t>
      </w:r>
      <w:r w:rsidRPr="00FD50F6">
        <w:rPr>
          <w:rFonts w:hint="eastAsia"/>
        </w:rPr>
        <w:t>环境保护、城市景观要求</w:t>
      </w:r>
      <w:r w:rsidRPr="00FD50F6">
        <w:t>等，因地制宜选定。在城市建</w:t>
      </w:r>
      <w:r w:rsidR="00FE77CE">
        <w:t>设</w:t>
      </w:r>
      <w:r w:rsidRPr="00FD50F6">
        <w:t>密集区宜采用地下线</w:t>
      </w:r>
      <w:r w:rsidRPr="00FD50F6">
        <w:rPr>
          <w:rFonts w:hint="eastAsia"/>
        </w:rPr>
        <w:t>，在中心城区以外地段宜采用地上线；当采用地面线时，应采取措施减小对地块的阻隔作用。</w:t>
      </w:r>
    </w:p>
    <w:p w14:paraId="4105BA8D" w14:textId="77777777" w:rsidR="00F44D5F" w:rsidRPr="00FD50F6" w:rsidRDefault="00F44D5F" w:rsidP="00A926BD">
      <w:pPr>
        <w:pStyle w:val="4"/>
      </w:pPr>
      <w:r w:rsidRPr="00FD50F6">
        <w:t>地下线路埋设深度应结合地质</w:t>
      </w:r>
      <w:r w:rsidRPr="00FD50F6">
        <w:rPr>
          <w:rFonts w:hint="eastAsia"/>
        </w:rPr>
        <w:t>、</w:t>
      </w:r>
      <w:r w:rsidRPr="00FD50F6">
        <w:t>水文</w:t>
      </w:r>
      <w:r w:rsidRPr="00FD50F6">
        <w:rPr>
          <w:rFonts w:hint="eastAsia"/>
        </w:rPr>
        <w:t>气候</w:t>
      </w:r>
      <w:r w:rsidRPr="00FD50F6">
        <w:t>条件</w:t>
      </w:r>
      <w:r w:rsidRPr="00FD50F6">
        <w:rPr>
          <w:rFonts w:hint="eastAsia"/>
        </w:rPr>
        <w:t>、地下构建筑物、</w:t>
      </w:r>
      <w:r w:rsidRPr="00FD50F6">
        <w:t>隧道形式和施工方法</w:t>
      </w:r>
      <w:r w:rsidRPr="00FD50F6">
        <w:rPr>
          <w:rFonts w:hint="eastAsia"/>
        </w:rPr>
        <w:t>等</w:t>
      </w:r>
      <w:r w:rsidRPr="00FD50F6">
        <w:t>确定；隧道顶部覆土厚度应满足地面绿化、地下管线布设和综合利用地下空间资源</w:t>
      </w:r>
      <w:r w:rsidRPr="00FD50F6">
        <w:rPr>
          <w:rFonts w:hint="eastAsia"/>
        </w:rPr>
        <w:t>、</w:t>
      </w:r>
      <w:r w:rsidRPr="00FD50F6">
        <w:t>防冻融等要求</w:t>
      </w:r>
      <w:r w:rsidRPr="00FD50F6">
        <w:rPr>
          <w:rFonts w:hint="eastAsia"/>
        </w:rPr>
        <w:t>。</w:t>
      </w:r>
    </w:p>
    <w:p w14:paraId="13D2942F" w14:textId="324B8685" w:rsidR="00F44D5F" w:rsidRPr="00FD50F6" w:rsidRDefault="00F44D5F" w:rsidP="00A926BD">
      <w:pPr>
        <w:pStyle w:val="4"/>
      </w:pPr>
      <w:r w:rsidRPr="00FD50F6">
        <w:t>高架线路</w:t>
      </w:r>
      <w:r w:rsidRPr="00FD50F6">
        <w:rPr>
          <w:rFonts w:hint="eastAsia"/>
        </w:rPr>
        <w:t>的桥下净空应满足道路通行、景观等要求，在跨越铁路、河流、架空电力线时，还应满足相应行业的标准要求。。</w:t>
      </w:r>
    </w:p>
    <w:p w14:paraId="108B8434" w14:textId="76A8A4C8" w:rsidR="00F44D5F" w:rsidRPr="00FD50F6" w:rsidRDefault="00F44D5F" w:rsidP="00A926BD">
      <w:pPr>
        <w:pStyle w:val="4"/>
      </w:pPr>
      <w:r w:rsidRPr="00FD50F6">
        <w:t>地面线应按全封闭设计，并应处理好与城市道路红线及其道路断面的关系，地面线应具备防淹、防洪能力，并应</w:t>
      </w:r>
      <w:r w:rsidRPr="00FD50F6">
        <w:rPr>
          <w:rFonts w:hint="eastAsia"/>
        </w:rPr>
        <w:t>设置</w:t>
      </w:r>
      <w:r w:rsidRPr="00FD50F6">
        <w:t>防侵入和防偷盗设施。</w:t>
      </w:r>
    </w:p>
    <w:p w14:paraId="00BB9615" w14:textId="77777777" w:rsidR="00F44D5F" w:rsidRPr="00FD50F6" w:rsidRDefault="00F44D5F" w:rsidP="00A926BD">
      <w:pPr>
        <w:pStyle w:val="4"/>
        <w:rPr>
          <w:lang w:bidi="en-US"/>
        </w:rPr>
      </w:pPr>
      <w:r w:rsidRPr="00FD50F6">
        <w:t>地下地上过渡段线路</w:t>
      </w:r>
      <w:r w:rsidRPr="00FD50F6">
        <w:rPr>
          <w:rFonts w:hint="eastAsia"/>
        </w:rPr>
        <w:t>，</w:t>
      </w:r>
      <w:r w:rsidRPr="00FD50F6">
        <w:t>洞口位置的选择应考虑城市交通</w:t>
      </w:r>
      <w:r w:rsidRPr="00FD50F6">
        <w:rPr>
          <w:rFonts w:hint="eastAsia"/>
        </w:rPr>
        <w:t>、</w:t>
      </w:r>
      <w:r w:rsidRPr="00FD50F6">
        <w:t>城市景观等要求</w:t>
      </w:r>
      <w:r w:rsidRPr="00FD50F6">
        <w:rPr>
          <w:rFonts w:hint="eastAsia"/>
        </w:rPr>
        <w:t>，</w:t>
      </w:r>
      <w:r w:rsidRPr="00FD50F6">
        <w:t>洞口标高应符合防洪要求</w:t>
      </w:r>
      <w:r w:rsidRPr="00FD50F6">
        <w:rPr>
          <w:rFonts w:hint="eastAsia"/>
        </w:rPr>
        <w:t>。</w:t>
      </w:r>
    </w:p>
    <w:p w14:paraId="4CA6FE2A" w14:textId="77777777" w:rsidR="006E2974" w:rsidRPr="00FD50F6" w:rsidRDefault="006E2974" w:rsidP="00A65181">
      <w:pPr>
        <w:pStyle w:val="2"/>
      </w:pPr>
      <w:bookmarkStart w:id="276" w:name="_Toc112830670"/>
      <w:bookmarkEnd w:id="271"/>
      <w:bookmarkEnd w:id="272"/>
      <w:bookmarkEnd w:id="273"/>
      <w:bookmarkEnd w:id="274"/>
      <w:bookmarkEnd w:id="275"/>
      <w:r w:rsidRPr="00FD50F6">
        <w:lastRenderedPageBreak/>
        <w:t>线路平面</w:t>
      </w:r>
      <w:bookmarkEnd w:id="276"/>
    </w:p>
    <w:p w14:paraId="3D7166FA" w14:textId="77777777" w:rsidR="006E2974" w:rsidRPr="00FD50F6" w:rsidRDefault="006E2974" w:rsidP="006E2974">
      <w:pPr>
        <w:pStyle w:val="30"/>
      </w:pPr>
      <w:r w:rsidRPr="00FD50F6">
        <w:t>平面曲线设计应符合下列规定：</w:t>
      </w:r>
    </w:p>
    <w:p w14:paraId="428856DE" w14:textId="2CF0D068" w:rsidR="006E2974" w:rsidRPr="00FD50F6" w:rsidRDefault="006E2974" w:rsidP="00A926BD">
      <w:pPr>
        <w:pStyle w:val="4"/>
      </w:pPr>
      <w:r w:rsidRPr="00FD50F6">
        <w:t>线路平面圆曲线半径应根据车辆类型、地形条件、</w:t>
      </w:r>
      <w:r w:rsidRPr="00FD50F6">
        <w:rPr>
          <w:rFonts w:hint="eastAsia"/>
        </w:rPr>
        <w:t>最高运行</w:t>
      </w:r>
      <w:r w:rsidRPr="00FD50F6">
        <w:t>速度、环境要求等综合因素比选确定。圆曲线最小曲线半径应符合表</w:t>
      </w:r>
      <w:r w:rsidRPr="00FD50F6">
        <w:t>7.2.1-1</w:t>
      </w:r>
      <w:r w:rsidRPr="00FD50F6">
        <w:t>的规定</w:t>
      </w:r>
      <w:r w:rsidRPr="00FD50F6">
        <w:rPr>
          <w:rFonts w:hint="eastAsia"/>
        </w:rPr>
        <w:t>。</w:t>
      </w:r>
    </w:p>
    <w:p w14:paraId="03795885" w14:textId="21F3A39D" w:rsidR="006E2974" w:rsidRPr="00FD50F6" w:rsidRDefault="006E2974" w:rsidP="006E2974">
      <w:pPr>
        <w:pStyle w:val="6"/>
      </w:pPr>
      <w:r w:rsidRPr="00FD50F6">
        <w:t>表</w:t>
      </w:r>
      <w:r w:rsidRPr="00FD50F6">
        <w:t xml:space="preserve">7.2.1-1  </w:t>
      </w:r>
      <w:r w:rsidRPr="00FD50F6">
        <w:t>圆曲线最小曲线半径（</w:t>
      </w:r>
      <w:r w:rsidRPr="00FD50F6">
        <w:t>m</w:t>
      </w:r>
      <w:r w:rsidRPr="00FD50F6">
        <w:t>）</w:t>
      </w:r>
    </w:p>
    <w:tbl>
      <w:tblPr>
        <w:tblW w:w="82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48"/>
        <w:gridCol w:w="1560"/>
        <w:gridCol w:w="1388"/>
        <w:gridCol w:w="1388"/>
        <w:gridCol w:w="1388"/>
      </w:tblGrid>
      <w:tr w:rsidR="00FD50F6" w:rsidRPr="00FD50F6" w14:paraId="516C86AF" w14:textId="77777777" w:rsidTr="00FE77CE">
        <w:trPr>
          <w:trHeight w:val="282"/>
          <w:jc w:val="center"/>
        </w:trPr>
        <w:tc>
          <w:tcPr>
            <w:tcW w:w="2548" w:type="dxa"/>
            <w:vMerge w:val="restart"/>
            <w:tcBorders>
              <w:top w:val="single" w:sz="4" w:space="0" w:color="auto"/>
              <w:left w:val="single" w:sz="4" w:space="0" w:color="auto"/>
              <w:bottom w:val="single" w:sz="4" w:space="0" w:color="auto"/>
              <w:right w:val="single" w:sz="4" w:space="0" w:color="auto"/>
            </w:tcBorders>
            <w:vAlign w:val="center"/>
          </w:tcPr>
          <w:p w14:paraId="471587D0" w14:textId="5EEF8D36" w:rsidR="006E2974" w:rsidRPr="00FD50F6" w:rsidRDefault="006E2974" w:rsidP="00857435">
            <w:pPr>
              <w:pStyle w:val="7"/>
            </w:pPr>
            <w:r w:rsidRPr="00FD50F6">
              <w:rPr>
                <w:rFonts w:hint="eastAsia"/>
              </w:rPr>
              <w:t xml:space="preserve"> </w:t>
            </w:r>
            <w:r w:rsidRPr="00FD50F6">
              <w:t xml:space="preserve">     </w:t>
            </w:r>
            <w:r w:rsidRPr="00FD50F6">
              <w:t>线</w:t>
            </w:r>
            <w:r w:rsidRPr="00FD50F6">
              <w:t xml:space="preserve">  </w:t>
            </w:r>
            <w:r w:rsidRPr="00FD50F6">
              <w:t>路</w:t>
            </w:r>
          </w:p>
        </w:tc>
        <w:tc>
          <w:tcPr>
            <w:tcW w:w="2948" w:type="dxa"/>
            <w:gridSpan w:val="2"/>
            <w:tcBorders>
              <w:top w:val="single" w:sz="4" w:space="0" w:color="auto"/>
              <w:left w:val="single" w:sz="4" w:space="0" w:color="auto"/>
              <w:bottom w:val="single" w:sz="4" w:space="0" w:color="auto"/>
              <w:right w:val="single" w:sz="4" w:space="0" w:color="auto"/>
            </w:tcBorders>
            <w:vAlign w:val="center"/>
          </w:tcPr>
          <w:p w14:paraId="2008174C" w14:textId="77777777" w:rsidR="006E2974" w:rsidRPr="00FD50F6" w:rsidRDefault="006E2974" w:rsidP="00C70434">
            <w:pPr>
              <w:pStyle w:val="7"/>
            </w:pPr>
            <w:r w:rsidRPr="00FD50F6">
              <w:t>A</w:t>
            </w:r>
            <w:r w:rsidRPr="00FD50F6">
              <w:t>型车</w:t>
            </w:r>
          </w:p>
        </w:tc>
        <w:tc>
          <w:tcPr>
            <w:tcW w:w="2776" w:type="dxa"/>
            <w:gridSpan w:val="2"/>
            <w:tcBorders>
              <w:top w:val="single" w:sz="4" w:space="0" w:color="auto"/>
              <w:left w:val="single" w:sz="4" w:space="0" w:color="auto"/>
              <w:bottom w:val="single" w:sz="4" w:space="0" w:color="auto"/>
              <w:right w:val="single" w:sz="4" w:space="0" w:color="auto"/>
            </w:tcBorders>
            <w:vAlign w:val="center"/>
          </w:tcPr>
          <w:p w14:paraId="71728530" w14:textId="77777777" w:rsidR="006E2974" w:rsidRPr="00FD50F6" w:rsidRDefault="006E2974" w:rsidP="00C70434">
            <w:pPr>
              <w:pStyle w:val="7"/>
            </w:pPr>
            <w:r w:rsidRPr="00FD50F6">
              <w:t>B</w:t>
            </w:r>
            <w:r w:rsidRPr="00FD50F6">
              <w:t>型车</w:t>
            </w:r>
          </w:p>
        </w:tc>
      </w:tr>
      <w:tr w:rsidR="00FD50F6" w:rsidRPr="00FD50F6" w14:paraId="178BD583" w14:textId="77777777" w:rsidTr="00C70434">
        <w:trPr>
          <w:trHeight w:val="425"/>
          <w:jc w:val="center"/>
        </w:trPr>
        <w:tc>
          <w:tcPr>
            <w:tcW w:w="2548" w:type="dxa"/>
            <w:vMerge/>
            <w:tcBorders>
              <w:top w:val="single" w:sz="4" w:space="0" w:color="auto"/>
              <w:left w:val="single" w:sz="4" w:space="0" w:color="auto"/>
              <w:bottom w:val="single" w:sz="4" w:space="0" w:color="auto"/>
              <w:right w:val="single" w:sz="4" w:space="0" w:color="auto"/>
            </w:tcBorders>
            <w:vAlign w:val="center"/>
          </w:tcPr>
          <w:p w14:paraId="4B77D857" w14:textId="77777777" w:rsidR="006E2974" w:rsidRPr="00FD50F6" w:rsidRDefault="006E2974" w:rsidP="00C70434">
            <w:pPr>
              <w:pStyle w:val="7"/>
            </w:pPr>
          </w:p>
        </w:tc>
        <w:tc>
          <w:tcPr>
            <w:tcW w:w="1560" w:type="dxa"/>
            <w:tcBorders>
              <w:top w:val="single" w:sz="4" w:space="0" w:color="auto"/>
              <w:left w:val="single" w:sz="4" w:space="0" w:color="auto"/>
              <w:bottom w:val="single" w:sz="4" w:space="0" w:color="auto"/>
              <w:right w:val="single" w:sz="4" w:space="0" w:color="auto"/>
            </w:tcBorders>
            <w:vAlign w:val="center"/>
          </w:tcPr>
          <w:p w14:paraId="4FB3699B" w14:textId="77777777" w:rsidR="006E2974" w:rsidRPr="00FD50F6" w:rsidRDefault="006E2974" w:rsidP="00C70434">
            <w:pPr>
              <w:pStyle w:val="7"/>
            </w:pPr>
            <w:r w:rsidRPr="00FD50F6">
              <w:t>一般地段</w:t>
            </w:r>
          </w:p>
        </w:tc>
        <w:tc>
          <w:tcPr>
            <w:tcW w:w="1388" w:type="dxa"/>
            <w:tcBorders>
              <w:top w:val="single" w:sz="4" w:space="0" w:color="auto"/>
              <w:left w:val="single" w:sz="4" w:space="0" w:color="auto"/>
              <w:bottom w:val="single" w:sz="4" w:space="0" w:color="auto"/>
              <w:right w:val="single" w:sz="4" w:space="0" w:color="auto"/>
            </w:tcBorders>
            <w:vAlign w:val="center"/>
          </w:tcPr>
          <w:p w14:paraId="30E73DA5" w14:textId="77777777" w:rsidR="006E2974" w:rsidRPr="00FD50F6" w:rsidRDefault="006E2974" w:rsidP="00C70434">
            <w:pPr>
              <w:pStyle w:val="7"/>
            </w:pPr>
            <w:r w:rsidRPr="00FD50F6">
              <w:t>困难地段</w:t>
            </w:r>
          </w:p>
        </w:tc>
        <w:tc>
          <w:tcPr>
            <w:tcW w:w="1388" w:type="dxa"/>
            <w:tcBorders>
              <w:top w:val="single" w:sz="4" w:space="0" w:color="auto"/>
              <w:left w:val="single" w:sz="4" w:space="0" w:color="auto"/>
              <w:bottom w:val="single" w:sz="4" w:space="0" w:color="auto"/>
              <w:right w:val="single" w:sz="4" w:space="0" w:color="auto"/>
            </w:tcBorders>
            <w:vAlign w:val="center"/>
          </w:tcPr>
          <w:p w14:paraId="3234B0B8" w14:textId="77777777" w:rsidR="006E2974" w:rsidRPr="00FD50F6" w:rsidRDefault="006E2974" w:rsidP="00C70434">
            <w:pPr>
              <w:pStyle w:val="7"/>
            </w:pPr>
            <w:r w:rsidRPr="00FD50F6">
              <w:t>一般地段</w:t>
            </w:r>
          </w:p>
        </w:tc>
        <w:tc>
          <w:tcPr>
            <w:tcW w:w="1388" w:type="dxa"/>
            <w:tcBorders>
              <w:top w:val="single" w:sz="4" w:space="0" w:color="auto"/>
              <w:left w:val="single" w:sz="4" w:space="0" w:color="auto"/>
              <w:bottom w:val="single" w:sz="4" w:space="0" w:color="auto"/>
              <w:right w:val="single" w:sz="4" w:space="0" w:color="auto"/>
            </w:tcBorders>
            <w:vAlign w:val="center"/>
          </w:tcPr>
          <w:p w14:paraId="2A6C4B27" w14:textId="77777777" w:rsidR="006E2974" w:rsidRPr="00FD50F6" w:rsidRDefault="006E2974" w:rsidP="00C70434">
            <w:pPr>
              <w:pStyle w:val="7"/>
            </w:pPr>
            <w:r w:rsidRPr="00FD50F6">
              <w:t>困难地段</w:t>
            </w:r>
          </w:p>
        </w:tc>
      </w:tr>
      <w:tr w:rsidR="00FD50F6" w:rsidRPr="00FD50F6" w14:paraId="0799B8D5" w14:textId="77777777" w:rsidTr="00C70434">
        <w:trPr>
          <w:trHeight w:val="293"/>
          <w:jc w:val="center"/>
        </w:trPr>
        <w:tc>
          <w:tcPr>
            <w:tcW w:w="2548" w:type="dxa"/>
            <w:tcBorders>
              <w:top w:val="single" w:sz="4" w:space="0" w:color="auto"/>
              <w:left w:val="single" w:sz="4" w:space="0" w:color="auto"/>
              <w:bottom w:val="single" w:sz="4" w:space="0" w:color="auto"/>
              <w:right w:val="single" w:sz="4" w:space="0" w:color="auto"/>
            </w:tcBorders>
            <w:vAlign w:val="center"/>
          </w:tcPr>
          <w:p w14:paraId="6A8ABADC" w14:textId="77777777" w:rsidR="006E2974" w:rsidRPr="00FD50F6" w:rsidRDefault="006E2974" w:rsidP="00C70434">
            <w:pPr>
              <w:pStyle w:val="7"/>
            </w:pPr>
            <w:r w:rsidRPr="00FD50F6">
              <w:t>正</w:t>
            </w:r>
            <w:r w:rsidRPr="00FD50F6">
              <w:t xml:space="preserve">  </w:t>
            </w:r>
            <w:r w:rsidRPr="00FD50F6">
              <w:t>线</w:t>
            </w:r>
          </w:p>
        </w:tc>
        <w:tc>
          <w:tcPr>
            <w:tcW w:w="1560" w:type="dxa"/>
            <w:tcBorders>
              <w:top w:val="single" w:sz="4" w:space="0" w:color="auto"/>
              <w:left w:val="single" w:sz="4" w:space="0" w:color="auto"/>
              <w:bottom w:val="single" w:sz="4" w:space="0" w:color="auto"/>
              <w:right w:val="single" w:sz="4" w:space="0" w:color="auto"/>
            </w:tcBorders>
            <w:vAlign w:val="center"/>
          </w:tcPr>
          <w:p w14:paraId="672F7392" w14:textId="77777777" w:rsidR="006E2974" w:rsidRPr="00FD50F6" w:rsidRDefault="006E2974" w:rsidP="00C70434">
            <w:pPr>
              <w:pStyle w:val="7"/>
            </w:pPr>
            <w:r w:rsidRPr="00FD50F6">
              <w:t>350</w:t>
            </w:r>
          </w:p>
        </w:tc>
        <w:tc>
          <w:tcPr>
            <w:tcW w:w="1388" w:type="dxa"/>
            <w:tcBorders>
              <w:top w:val="single" w:sz="4" w:space="0" w:color="auto"/>
              <w:left w:val="single" w:sz="4" w:space="0" w:color="auto"/>
              <w:bottom w:val="single" w:sz="4" w:space="0" w:color="auto"/>
              <w:right w:val="single" w:sz="4" w:space="0" w:color="auto"/>
            </w:tcBorders>
            <w:vAlign w:val="center"/>
          </w:tcPr>
          <w:p w14:paraId="2271863A" w14:textId="77777777" w:rsidR="006E2974" w:rsidRPr="00FD50F6" w:rsidRDefault="006E2974" w:rsidP="00C70434">
            <w:pPr>
              <w:pStyle w:val="7"/>
            </w:pPr>
            <w:r w:rsidRPr="00FD50F6">
              <w:t>300</w:t>
            </w:r>
          </w:p>
        </w:tc>
        <w:tc>
          <w:tcPr>
            <w:tcW w:w="1388" w:type="dxa"/>
            <w:tcBorders>
              <w:top w:val="single" w:sz="4" w:space="0" w:color="auto"/>
              <w:left w:val="single" w:sz="4" w:space="0" w:color="auto"/>
              <w:bottom w:val="single" w:sz="4" w:space="0" w:color="auto"/>
              <w:right w:val="single" w:sz="4" w:space="0" w:color="auto"/>
            </w:tcBorders>
            <w:vAlign w:val="center"/>
          </w:tcPr>
          <w:p w14:paraId="78371EE8" w14:textId="77777777" w:rsidR="006E2974" w:rsidRPr="00FD50F6" w:rsidRDefault="006E2974" w:rsidP="00C70434">
            <w:pPr>
              <w:pStyle w:val="7"/>
            </w:pPr>
            <w:r w:rsidRPr="00FD50F6">
              <w:t>300</w:t>
            </w:r>
          </w:p>
        </w:tc>
        <w:tc>
          <w:tcPr>
            <w:tcW w:w="1388" w:type="dxa"/>
            <w:tcBorders>
              <w:top w:val="single" w:sz="4" w:space="0" w:color="auto"/>
              <w:left w:val="single" w:sz="4" w:space="0" w:color="auto"/>
              <w:bottom w:val="single" w:sz="4" w:space="0" w:color="auto"/>
              <w:right w:val="single" w:sz="4" w:space="0" w:color="auto"/>
            </w:tcBorders>
            <w:vAlign w:val="center"/>
          </w:tcPr>
          <w:p w14:paraId="75A9A131" w14:textId="77777777" w:rsidR="006E2974" w:rsidRPr="00FD50F6" w:rsidRDefault="006E2974" w:rsidP="00C70434">
            <w:pPr>
              <w:pStyle w:val="7"/>
            </w:pPr>
            <w:r w:rsidRPr="00FD50F6">
              <w:t>250</w:t>
            </w:r>
          </w:p>
        </w:tc>
      </w:tr>
      <w:tr w:rsidR="00FD50F6" w:rsidRPr="00FD50F6" w14:paraId="5E5AAE2C" w14:textId="77777777" w:rsidTr="00C70434">
        <w:trPr>
          <w:trHeight w:val="304"/>
          <w:jc w:val="center"/>
        </w:trPr>
        <w:tc>
          <w:tcPr>
            <w:tcW w:w="2548" w:type="dxa"/>
            <w:tcBorders>
              <w:top w:val="single" w:sz="4" w:space="0" w:color="auto"/>
              <w:left w:val="single" w:sz="4" w:space="0" w:color="auto"/>
              <w:bottom w:val="single" w:sz="4" w:space="0" w:color="auto"/>
              <w:right w:val="single" w:sz="4" w:space="0" w:color="auto"/>
            </w:tcBorders>
            <w:vAlign w:val="center"/>
          </w:tcPr>
          <w:p w14:paraId="2F5489BD" w14:textId="77777777" w:rsidR="006E2974" w:rsidRPr="00FD50F6" w:rsidRDefault="006E2974" w:rsidP="00C70434">
            <w:pPr>
              <w:pStyle w:val="7"/>
            </w:pPr>
            <w:r w:rsidRPr="00FD50F6">
              <w:t xml:space="preserve">  </w:t>
            </w:r>
            <w:r w:rsidRPr="00FD50F6">
              <w:t>出入线、联络线</w:t>
            </w:r>
          </w:p>
        </w:tc>
        <w:tc>
          <w:tcPr>
            <w:tcW w:w="1560" w:type="dxa"/>
            <w:tcBorders>
              <w:top w:val="single" w:sz="4" w:space="0" w:color="auto"/>
              <w:left w:val="single" w:sz="4" w:space="0" w:color="auto"/>
              <w:bottom w:val="single" w:sz="4" w:space="0" w:color="auto"/>
              <w:right w:val="single" w:sz="4" w:space="0" w:color="auto"/>
            </w:tcBorders>
            <w:vAlign w:val="center"/>
          </w:tcPr>
          <w:p w14:paraId="5934E0A4" w14:textId="77777777" w:rsidR="006E2974" w:rsidRPr="00FD50F6" w:rsidRDefault="006E2974" w:rsidP="00C70434">
            <w:pPr>
              <w:pStyle w:val="7"/>
            </w:pPr>
            <w:r w:rsidRPr="00FD50F6">
              <w:t>250</w:t>
            </w:r>
          </w:p>
        </w:tc>
        <w:tc>
          <w:tcPr>
            <w:tcW w:w="1388" w:type="dxa"/>
            <w:tcBorders>
              <w:top w:val="single" w:sz="4" w:space="0" w:color="auto"/>
              <w:left w:val="single" w:sz="4" w:space="0" w:color="auto"/>
              <w:bottom w:val="single" w:sz="4" w:space="0" w:color="auto"/>
              <w:right w:val="single" w:sz="4" w:space="0" w:color="auto"/>
            </w:tcBorders>
            <w:vAlign w:val="center"/>
          </w:tcPr>
          <w:p w14:paraId="5C9ACA45" w14:textId="77777777" w:rsidR="006E2974" w:rsidRPr="00FD50F6" w:rsidRDefault="006E2974" w:rsidP="00C70434">
            <w:pPr>
              <w:pStyle w:val="7"/>
            </w:pPr>
            <w:r w:rsidRPr="00FD50F6">
              <w:t>150</w:t>
            </w:r>
          </w:p>
        </w:tc>
        <w:tc>
          <w:tcPr>
            <w:tcW w:w="1388" w:type="dxa"/>
            <w:tcBorders>
              <w:top w:val="single" w:sz="4" w:space="0" w:color="auto"/>
              <w:left w:val="single" w:sz="4" w:space="0" w:color="auto"/>
              <w:bottom w:val="single" w:sz="4" w:space="0" w:color="auto"/>
              <w:right w:val="single" w:sz="4" w:space="0" w:color="auto"/>
            </w:tcBorders>
            <w:vAlign w:val="center"/>
          </w:tcPr>
          <w:p w14:paraId="394E98FA" w14:textId="77777777" w:rsidR="006E2974" w:rsidRPr="00FD50F6" w:rsidRDefault="006E2974" w:rsidP="00C70434">
            <w:pPr>
              <w:pStyle w:val="7"/>
            </w:pPr>
            <w:r w:rsidRPr="00FD50F6">
              <w:t>200</w:t>
            </w:r>
          </w:p>
        </w:tc>
        <w:tc>
          <w:tcPr>
            <w:tcW w:w="1388" w:type="dxa"/>
            <w:tcBorders>
              <w:top w:val="single" w:sz="4" w:space="0" w:color="auto"/>
              <w:left w:val="single" w:sz="4" w:space="0" w:color="auto"/>
              <w:bottom w:val="single" w:sz="4" w:space="0" w:color="auto"/>
              <w:right w:val="single" w:sz="4" w:space="0" w:color="auto"/>
            </w:tcBorders>
            <w:vAlign w:val="center"/>
          </w:tcPr>
          <w:p w14:paraId="174F757B" w14:textId="77777777" w:rsidR="006E2974" w:rsidRPr="00FD50F6" w:rsidRDefault="006E2974" w:rsidP="00C70434">
            <w:pPr>
              <w:pStyle w:val="7"/>
            </w:pPr>
            <w:r w:rsidRPr="00FD50F6">
              <w:t>150</w:t>
            </w:r>
          </w:p>
        </w:tc>
      </w:tr>
      <w:tr w:rsidR="00FD50F6" w:rsidRPr="00FD50F6" w14:paraId="24759DF5" w14:textId="77777777" w:rsidTr="00C70434">
        <w:trPr>
          <w:trHeight w:val="304"/>
          <w:jc w:val="center"/>
        </w:trPr>
        <w:tc>
          <w:tcPr>
            <w:tcW w:w="2548" w:type="dxa"/>
            <w:tcBorders>
              <w:top w:val="single" w:sz="4" w:space="0" w:color="auto"/>
              <w:left w:val="single" w:sz="4" w:space="0" w:color="auto"/>
              <w:bottom w:val="single" w:sz="4" w:space="0" w:color="auto"/>
              <w:right w:val="single" w:sz="4" w:space="0" w:color="auto"/>
            </w:tcBorders>
            <w:vAlign w:val="center"/>
          </w:tcPr>
          <w:p w14:paraId="57D8BA8E" w14:textId="77777777" w:rsidR="006E2974" w:rsidRPr="00FD50F6" w:rsidRDefault="006E2974" w:rsidP="00C70434">
            <w:pPr>
              <w:pStyle w:val="7"/>
            </w:pPr>
            <w:r w:rsidRPr="00FD50F6">
              <w:t>车场线</w:t>
            </w:r>
          </w:p>
        </w:tc>
        <w:tc>
          <w:tcPr>
            <w:tcW w:w="1560" w:type="dxa"/>
            <w:tcBorders>
              <w:top w:val="single" w:sz="4" w:space="0" w:color="auto"/>
              <w:left w:val="single" w:sz="4" w:space="0" w:color="auto"/>
              <w:bottom w:val="single" w:sz="4" w:space="0" w:color="auto"/>
              <w:right w:val="single" w:sz="4" w:space="0" w:color="auto"/>
            </w:tcBorders>
            <w:vAlign w:val="center"/>
          </w:tcPr>
          <w:p w14:paraId="3079BAFE" w14:textId="77777777" w:rsidR="006E2974" w:rsidRPr="00FD50F6" w:rsidRDefault="006E2974" w:rsidP="00C70434">
            <w:pPr>
              <w:pStyle w:val="7"/>
            </w:pPr>
            <w:r w:rsidRPr="00FD50F6">
              <w:t>150</w:t>
            </w:r>
          </w:p>
        </w:tc>
        <w:tc>
          <w:tcPr>
            <w:tcW w:w="1388" w:type="dxa"/>
            <w:tcBorders>
              <w:top w:val="single" w:sz="4" w:space="0" w:color="auto"/>
              <w:left w:val="single" w:sz="4" w:space="0" w:color="auto"/>
              <w:bottom w:val="single" w:sz="4" w:space="0" w:color="auto"/>
              <w:right w:val="single" w:sz="4" w:space="0" w:color="auto"/>
            </w:tcBorders>
            <w:vAlign w:val="center"/>
          </w:tcPr>
          <w:p w14:paraId="49078135" w14:textId="77777777" w:rsidR="006E2974" w:rsidRPr="00FD50F6" w:rsidRDefault="006E2974" w:rsidP="00C70434">
            <w:pPr>
              <w:pStyle w:val="7"/>
            </w:pPr>
            <w:r w:rsidRPr="00FD50F6">
              <w:t>—</w:t>
            </w:r>
          </w:p>
        </w:tc>
        <w:tc>
          <w:tcPr>
            <w:tcW w:w="1388" w:type="dxa"/>
            <w:tcBorders>
              <w:top w:val="single" w:sz="4" w:space="0" w:color="auto"/>
              <w:left w:val="single" w:sz="4" w:space="0" w:color="auto"/>
              <w:bottom w:val="single" w:sz="4" w:space="0" w:color="auto"/>
              <w:right w:val="single" w:sz="4" w:space="0" w:color="auto"/>
            </w:tcBorders>
            <w:vAlign w:val="center"/>
          </w:tcPr>
          <w:p w14:paraId="3FF4AD6A" w14:textId="77777777" w:rsidR="006E2974" w:rsidRPr="00FD50F6" w:rsidRDefault="006E2974" w:rsidP="00C70434">
            <w:pPr>
              <w:pStyle w:val="7"/>
            </w:pPr>
            <w:r w:rsidRPr="00FD50F6">
              <w:t>150</w:t>
            </w:r>
          </w:p>
        </w:tc>
        <w:tc>
          <w:tcPr>
            <w:tcW w:w="1388" w:type="dxa"/>
            <w:tcBorders>
              <w:top w:val="single" w:sz="4" w:space="0" w:color="auto"/>
              <w:left w:val="single" w:sz="4" w:space="0" w:color="auto"/>
              <w:bottom w:val="single" w:sz="4" w:space="0" w:color="auto"/>
              <w:right w:val="single" w:sz="4" w:space="0" w:color="auto"/>
            </w:tcBorders>
            <w:vAlign w:val="center"/>
          </w:tcPr>
          <w:p w14:paraId="28AD8936" w14:textId="77777777" w:rsidR="006E2974" w:rsidRPr="00FD50F6" w:rsidRDefault="006E2974" w:rsidP="00C70434">
            <w:pPr>
              <w:pStyle w:val="7"/>
            </w:pPr>
            <w:r w:rsidRPr="00FD50F6">
              <w:t>—</w:t>
            </w:r>
          </w:p>
        </w:tc>
      </w:tr>
    </w:tbl>
    <w:p w14:paraId="6C4EED7D" w14:textId="552D5C97" w:rsidR="006E2974" w:rsidRPr="00FD50F6" w:rsidRDefault="006E2974" w:rsidP="00A926BD">
      <w:pPr>
        <w:pStyle w:val="4"/>
      </w:pPr>
      <w:r w:rsidRPr="00FD50F6">
        <w:t>线路平面曲线半径选择宜适应所在区段的列车</w:t>
      </w:r>
      <w:r w:rsidRPr="00FD50F6">
        <w:rPr>
          <w:rFonts w:hint="eastAsia"/>
        </w:rPr>
        <w:t>运行速度</w:t>
      </w:r>
      <w:r w:rsidRPr="00FD50F6">
        <w:t>要求。</w:t>
      </w:r>
      <w:r w:rsidRPr="00FD50F6">
        <w:rPr>
          <w:rFonts w:hint="eastAsia"/>
        </w:rPr>
        <w:t>当条件不具备设置满足运行速度要求的曲线半径时，宜取大值。列车通过曲线时，应按限定的允许未被平衡横向加速度计算通过的最高速度，</w:t>
      </w:r>
      <w:r w:rsidR="00FE77CE">
        <w:rPr>
          <w:rFonts w:hint="eastAsia"/>
        </w:rPr>
        <w:t>应</w:t>
      </w:r>
      <w:r w:rsidRPr="00FD50F6">
        <w:rPr>
          <w:rFonts w:hint="eastAsia"/>
        </w:rPr>
        <w:t>按下列要求计算</w:t>
      </w:r>
      <w:r w:rsidRPr="00FD50F6">
        <w:t>：</w:t>
      </w:r>
    </w:p>
    <w:p w14:paraId="2AF9C195" w14:textId="161E1633" w:rsidR="006E2974" w:rsidRPr="00FD50F6" w:rsidRDefault="006E2974" w:rsidP="006E2974">
      <w:pPr>
        <w:pStyle w:val="5"/>
        <w:ind w:firstLine="480"/>
      </w:pPr>
      <w:r w:rsidRPr="00FD50F6">
        <w:t>在正常情况下，允许未被平衡横向加速度为</w:t>
      </w:r>
      <w:r w:rsidRPr="00FD50F6">
        <w:t xml:space="preserve"> 0.4m/s</w:t>
      </w:r>
      <w:r w:rsidRPr="00FD50F6">
        <w:rPr>
          <w:vertAlign w:val="superscript"/>
        </w:rPr>
        <w:t>2</w:t>
      </w:r>
      <w:r w:rsidRPr="00FD50F6">
        <w:t>。</w:t>
      </w:r>
      <w:r w:rsidRPr="00FD50F6">
        <w:rPr>
          <w:rFonts w:hint="eastAsia"/>
        </w:rPr>
        <w:t>当列车最高运行速度为</w:t>
      </w:r>
      <w:r w:rsidRPr="00FD50F6">
        <w:rPr>
          <w:rFonts w:hint="eastAsia"/>
        </w:rPr>
        <w:t>100km/h</w:t>
      </w:r>
      <w:r w:rsidRPr="00FD50F6">
        <w:rPr>
          <w:rFonts w:hint="eastAsia"/>
        </w:rPr>
        <w:t>以下</w:t>
      </w:r>
      <w:r w:rsidR="007D64DA">
        <w:rPr>
          <w:rFonts w:hint="eastAsia"/>
        </w:rPr>
        <w:t>、</w:t>
      </w:r>
      <w:r w:rsidRPr="00FD50F6">
        <w:t>曲线</w:t>
      </w:r>
      <w:r w:rsidRPr="00FD50F6">
        <w:rPr>
          <w:rFonts w:hint="eastAsia"/>
        </w:rPr>
        <w:t>最大</w:t>
      </w:r>
      <w:r w:rsidRPr="00FD50F6">
        <w:t>超高为</w:t>
      </w:r>
      <w:r w:rsidRPr="00FD50F6">
        <w:t>120mm</w:t>
      </w:r>
      <w:r w:rsidRPr="00FD50F6">
        <w:t>时，最高运行速度应按式</w:t>
      </w:r>
      <w:r w:rsidRPr="00FD50F6">
        <w:t>7.2.1-1</w:t>
      </w:r>
      <w:r w:rsidRPr="00FD50F6">
        <w:t>计算，且不应大于</w:t>
      </w:r>
      <w:r w:rsidRPr="00FD50F6">
        <w:rPr>
          <w:rFonts w:hint="eastAsia"/>
        </w:rPr>
        <w:t>车辆</w:t>
      </w:r>
      <w:r w:rsidRPr="00FD50F6">
        <w:t>最高运行速度</w:t>
      </w:r>
      <w:r w:rsidRPr="00FD50F6">
        <w:rPr>
          <w:rFonts w:hint="eastAsia"/>
        </w:rPr>
        <w:t>；当列车最高速度为</w:t>
      </w:r>
      <w:r w:rsidRPr="00FD50F6">
        <w:rPr>
          <w:rFonts w:hint="eastAsia"/>
        </w:rPr>
        <w:t>100</w:t>
      </w:r>
      <w:r w:rsidR="007D64DA" w:rsidRPr="007D64DA">
        <w:t xml:space="preserve"> km/h~</w:t>
      </w:r>
      <w:r w:rsidRPr="00FD50F6">
        <w:rPr>
          <w:rFonts w:hint="eastAsia"/>
        </w:rPr>
        <w:t>120km/h</w:t>
      </w:r>
      <w:r w:rsidR="007D64DA">
        <w:rPr>
          <w:rFonts w:hint="eastAsia"/>
        </w:rPr>
        <w:t>、</w:t>
      </w:r>
      <w:r w:rsidRPr="00FD50F6">
        <w:rPr>
          <w:rFonts w:hint="eastAsia"/>
        </w:rPr>
        <w:t>曲线最大超高为</w:t>
      </w:r>
      <w:r w:rsidRPr="00FD50F6">
        <w:rPr>
          <w:rFonts w:hint="eastAsia"/>
        </w:rPr>
        <w:t>150mm</w:t>
      </w:r>
      <w:r w:rsidR="007D64DA">
        <w:rPr>
          <w:rFonts w:hint="eastAsia"/>
        </w:rPr>
        <w:t>时</w:t>
      </w:r>
      <w:r w:rsidRPr="00FD50F6">
        <w:rPr>
          <w:rFonts w:hint="eastAsia"/>
        </w:rPr>
        <w:t>，最高速度限制应按</w:t>
      </w:r>
      <w:r w:rsidRPr="00FD50F6">
        <w:t>7.2.1-</w:t>
      </w:r>
      <w:r w:rsidRPr="00FD50F6">
        <w:rPr>
          <w:rFonts w:hint="eastAsia"/>
        </w:rPr>
        <w:t>2</w:t>
      </w:r>
      <w:r w:rsidRPr="00FD50F6">
        <w:rPr>
          <w:rFonts w:hint="eastAsia"/>
        </w:rPr>
        <w:t>计算，且</w:t>
      </w:r>
      <w:r w:rsidRPr="00FD50F6">
        <w:t>不应大于</w:t>
      </w:r>
      <w:r w:rsidRPr="00FD50F6">
        <w:rPr>
          <w:rFonts w:hint="eastAsia"/>
        </w:rPr>
        <w:t>车辆</w:t>
      </w:r>
      <w:r w:rsidRPr="00FD50F6">
        <w:t>最高运行速度</w:t>
      </w:r>
      <w:r w:rsidRPr="00FD50F6">
        <w:rPr>
          <w:rFonts w:hint="eastAsia"/>
        </w:rPr>
        <w:t>。</w:t>
      </w:r>
    </w:p>
    <w:p w14:paraId="4A843DA1" w14:textId="0A181C24" w:rsidR="006E2974" w:rsidRPr="001A4CF3" w:rsidRDefault="006E2974" w:rsidP="006E2974">
      <w:pPr>
        <w:ind w:leftChars="200" w:left="480" w:firstLineChars="550" w:firstLine="1320"/>
        <w:rPr>
          <w:rFonts w:ascii="Times New Roman" w:hAnsi="Times New Roman" w:cs="Times New Roman"/>
          <w:iCs/>
        </w:rPr>
      </w:pPr>
      <w:r w:rsidRPr="00FD50F6">
        <w:rPr>
          <w:rFonts w:ascii="Times New Roman" w:hAnsi="Times New Roman" w:cs="Times New Roman"/>
          <w:i/>
        </w:rPr>
        <w:t>V</w:t>
      </w:r>
      <w:r w:rsidRPr="00857435">
        <w:rPr>
          <w:rFonts w:ascii="Times New Roman" w:hAnsi="Times New Roman" w:cs="Times New Roman"/>
          <w:vertAlign w:val="subscript"/>
        </w:rPr>
        <w:t>0.4</w:t>
      </w:r>
      <w:r w:rsidRPr="00857435">
        <w:rPr>
          <w:rFonts w:ascii="Times New Roman" w:hAnsi="Times New Roman" w:cs="Times New Roman" w:hint="eastAsia"/>
        </w:rPr>
        <w:t>＝</w:t>
      </w:r>
      <w:r w:rsidRPr="00857435">
        <w:rPr>
          <w:rFonts w:ascii="Times New Roman" w:hAnsi="Times New Roman" w:cs="Times New Roman"/>
        </w:rPr>
        <w:t>3.91</w:t>
      </w:r>
      <w:r w:rsidR="00F23B1A" w:rsidRPr="00FD50F6">
        <w:rPr>
          <w:rFonts w:ascii="Times New Roman" w:hAnsi="Times New Roman" w:cs="Times New Roman"/>
          <w:i/>
          <w:noProof/>
          <w:position w:val="-6"/>
        </w:rPr>
        <w:object w:dxaOrig="435" w:dyaOrig="330" w14:anchorId="5BF41906">
          <v:shape id="_x0000_i1028" type="#_x0000_t75" alt="" style="width:21.75pt;height:14.25pt;mso-width-percent:0;mso-height-percent:0;mso-width-percent:0;mso-height-percent:0" o:ole="">
            <v:imagedata r:id="rId23" o:title=""/>
          </v:shape>
          <o:OLEObject Type="Embed" ProgID="Equation.3" ShapeID="_x0000_i1028" DrawAspect="Content" ObjectID="_1731840745" r:id="rId24"/>
        </w:object>
      </w:r>
      <w:r w:rsidRPr="007D64DA">
        <w:rPr>
          <w:rFonts w:ascii="Times New Roman" w:hAnsi="Times New Roman" w:cs="Times New Roman"/>
          <w:i/>
        </w:rPr>
        <w:t xml:space="preserve">              </w:t>
      </w:r>
      <w:r w:rsidRPr="001A4CF3">
        <w:rPr>
          <w:rFonts w:ascii="Times New Roman" w:hAnsi="Times New Roman" w:cs="Times New Roman" w:hint="eastAsia"/>
          <w:iCs/>
        </w:rPr>
        <w:t>（</w:t>
      </w:r>
      <w:r w:rsidRPr="001A4CF3">
        <w:rPr>
          <w:rFonts w:ascii="Times New Roman" w:hAnsi="Times New Roman" w:cs="Times New Roman"/>
          <w:iCs/>
        </w:rPr>
        <w:t>7.2.1-1</w:t>
      </w:r>
      <w:r w:rsidRPr="001A4CF3">
        <w:rPr>
          <w:rFonts w:ascii="Times New Roman" w:hAnsi="Times New Roman" w:cs="Times New Roman" w:hint="eastAsia"/>
          <w:iCs/>
        </w:rPr>
        <w:t>）</w:t>
      </w:r>
    </w:p>
    <w:p w14:paraId="4E3D34C9" w14:textId="62D31950" w:rsidR="006E2974" w:rsidRDefault="006E2974" w:rsidP="006E2974">
      <w:pPr>
        <w:ind w:leftChars="200" w:left="480" w:firstLineChars="550" w:firstLine="1320"/>
        <w:rPr>
          <w:rFonts w:ascii="Times New Roman" w:hAnsi="Times New Roman" w:cs="Times New Roman"/>
          <w:iCs/>
        </w:rPr>
      </w:pPr>
      <w:r w:rsidRPr="00857435">
        <w:rPr>
          <w:rFonts w:ascii="Times New Roman" w:hAnsi="Times New Roman" w:cs="Times New Roman"/>
          <w:i/>
          <w:iCs/>
        </w:rPr>
        <w:t>V</w:t>
      </w:r>
      <w:r w:rsidRPr="001A4CF3">
        <w:rPr>
          <w:rFonts w:ascii="Times New Roman" w:hAnsi="Times New Roman" w:cs="Times New Roman"/>
          <w:iCs/>
          <w:vertAlign w:val="subscript"/>
        </w:rPr>
        <w:t>0.4</w:t>
      </w:r>
      <w:r w:rsidRPr="001A4CF3">
        <w:rPr>
          <w:rFonts w:ascii="Times New Roman" w:hAnsi="Times New Roman" w:cs="Times New Roman" w:hint="eastAsia"/>
          <w:iCs/>
        </w:rPr>
        <w:t>＝</w:t>
      </w:r>
      <w:r w:rsidRPr="001A4CF3">
        <w:rPr>
          <w:rFonts w:ascii="Times New Roman" w:hAnsi="Times New Roman" w:cs="Times New Roman"/>
          <w:iCs/>
        </w:rPr>
        <w:t>4.24</w:t>
      </w:r>
      <w:r w:rsidR="00F23B1A" w:rsidRPr="001A4CF3">
        <w:rPr>
          <w:rFonts w:ascii="Times New Roman" w:hAnsi="Times New Roman" w:cs="Times New Roman"/>
          <w:iCs/>
          <w:noProof/>
          <w:position w:val="-6"/>
        </w:rPr>
        <w:object w:dxaOrig="435" w:dyaOrig="330" w14:anchorId="40E08D9F">
          <v:shape id="_x0000_i1029" type="#_x0000_t75" alt="" style="width:21.75pt;height:14.25pt;mso-width-percent:0;mso-height-percent:0;mso-width-percent:0;mso-height-percent:0" o:ole="">
            <v:imagedata r:id="rId23" o:title=""/>
          </v:shape>
          <o:OLEObject Type="Embed" ProgID="Equation.3" ShapeID="_x0000_i1029" DrawAspect="Content" ObjectID="_1731840746" r:id="rId25"/>
        </w:object>
      </w:r>
      <w:r w:rsidRPr="001A4CF3">
        <w:rPr>
          <w:rFonts w:ascii="Times New Roman" w:hAnsi="Times New Roman" w:cs="Times New Roman"/>
          <w:iCs/>
        </w:rPr>
        <w:t xml:space="preserve">              </w:t>
      </w:r>
      <w:r w:rsidRPr="001A4CF3">
        <w:rPr>
          <w:rFonts w:ascii="Times New Roman" w:hAnsi="Times New Roman" w:cs="Times New Roman" w:hint="eastAsia"/>
          <w:iCs/>
        </w:rPr>
        <w:t>（</w:t>
      </w:r>
      <w:r w:rsidRPr="001A4CF3">
        <w:rPr>
          <w:rFonts w:ascii="Times New Roman" w:hAnsi="Times New Roman" w:cs="Times New Roman"/>
          <w:iCs/>
        </w:rPr>
        <w:t>7.2.1-2</w:t>
      </w:r>
      <w:r w:rsidRPr="001A4CF3">
        <w:rPr>
          <w:rFonts w:ascii="Times New Roman" w:hAnsi="Times New Roman" w:cs="Times New Roman" w:hint="eastAsia"/>
          <w:iCs/>
        </w:rPr>
        <w:t>）</w:t>
      </w:r>
    </w:p>
    <w:p w14:paraId="1E1A7AFC" w14:textId="0AF36D40" w:rsidR="007873D3" w:rsidRDefault="007873D3" w:rsidP="00857435">
      <w:pPr>
        <w:ind w:leftChars="236" w:left="2127" w:hanging="1561"/>
      </w:pPr>
      <w:r>
        <w:rPr>
          <w:rFonts w:ascii="Times New Roman" w:hAnsi="Times New Roman" w:cs="Times New Roman" w:hint="eastAsia"/>
          <w:iCs/>
        </w:rPr>
        <w:t>式中：</w:t>
      </w:r>
      <w:r w:rsidRPr="00FD50F6">
        <w:rPr>
          <w:rFonts w:ascii="Times New Roman" w:hAnsi="Times New Roman" w:cs="Times New Roman"/>
          <w:i/>
        </w:rPr>
        <w:t>V</w:t>
      </w:r>
      <w:r w:rsidRPr="007D64DA">
        <w:rPr>
          <w:rFonts w:ascii="Times New Roman" w:hAnsi="Times New Roman" w:cs="Times New Roman"/>
          <w:i/>
          <w:vertAlign w:val="subscript"/>
        </w:rPr>
        <w:t>0.4</w:t>
      </w:r>
      <w:r>
        <w:rPr>
          <w:rFonts w:ascii="Times New Roman" w:hAnsi="Times New Roman" w:cs="Times New Roman" w:hint="eastAsia"/>
          <w:iCs/>
        </w:rPr>
        <w:t>——</w:t>
      </w:r>
      <w:r w:rsidRPr="00FD50F6">
        <w:t>允许未被平衡横向加速度为</w:t>
      </w:r>
      <w:r w:rsidRPr="00FD50F6">
        <w:t xml:space="preserve"> 0.4m/s</w:t>
      </w:r>
      <w:r w:rsidRPr="00FD50F6">
        <w:rPr>
          <w:vertAlign w:val="superscript"/>
        </w:rPr>
        <w:t>2</w:t>
      </w:r>
      <w:r>
        <w:rPr>
          <w:rFonts w:hint="eastAsia"/>
        </w:rPr>
        <w:t>时</w:t>
      </w:r>
      <w:r w:rsidRPr="00857435">
        <w:rPr>
          <w:rFonts w:hint="eastAsia"/>
        </w:rPr>
        <w:t>的</w:t>
      </w:r>
      <w:r w:rsidRPr="00FD50F6">
        <w:t>最高运行速度</w:t>
      </w:r>
      <w:r w:rsidR="003F149C" w:rsidRPr="007D64DA">
        <w:rPr>
          <w:rFonts w:ascii="Times New Roman" w:hAnsi="Times New Roman" w:cs="Times New Roman" w:hint="eastAsia"/>
          <w:i/>
        </w:rPr>
        <w:t>（</w:t>
      </w:r>
      <w:r w:rsidR="003F149C" w:rsidRPr="00857435">
        <w:rPr>
          <w:rFonts w:ascii="Times New Roman" w:hAnsi="Times New Roman" w:cs="Times New Roman"/>
          <w:iCs/>
        </w:rPr>
        <w:t>km</w:t>
      </w:r>
      <w:r w:rsidR="003F149C" w:rsidRPr="007D64DA">
        <w:rPr>
          <w:rFonts w:ascii="Times New Roman" w:hAnsi="Times New Roman" w:cs="Times New Roman"/>
          <w:i/>
        </w:rPr>
        <w:t>/</w:t>
      </w:r>
      <w:r w:rsidR="003F149C" w:rsidRPr="00857435">
        <w:rPr>
          <w:rFonts w:ascii="Times New Roman" w:hAnsi="Times New Roman" w:cs="Times New Roman"/>
          <w:iCs/>
        </w:rPr>
        <w:t>h</w:t>
      </w:r>
      <w:r w:rsidR="003F149C" w:rsidRPr="007D64DA">
        <w:rPr>
          <w:rFonts w:ascii="Times New Roman" w:hAnsi="Times New Roman" w:cs="Times New Roman" w:hint="eastAsia"/>
          <w:i/>
        </w:rPr>
        <w:t>）</w:t>
      </w:r>
      <w:r>
        <w:rPr>
          <w:rFonts w:hint="eastAsia"/>
        </w:rPr>
        <w:t>；</w:t>
      </w:r>
    </w:p>
    <w:p w14:paraId="5B954840" w14:textId="4E15215F" w:rsidR="007873D3" w:rsidRPr="001A4CF3" w:rsidRDefault="007873D3" w:rsidP="00857435">
      <w:pPr>
        <w:ind w:leftChars="200" w:left="480" w:firstLineChars="390" w:firstLine="936"/>
        <w:rPr>
          <w:rFonts w:ascii="Times New Roman" w:hAnsi="Times New Roman" w:cs="Times New Roman"/>
          <w:iCs/>
        </w:rPr>
      </w:pPr>
      <w:r w:rsidRPr="00FB2A8E">
        <w:rPr>
          <w:rFonts w:ascii="Times New Roman" w:hAnsi="Times New Roman" w:cs="Times New Roman" w:hint="eastAsia"/>
          <w:i/>
          <w:iCs/>
          <w:szCs w:val="20"/>
        </w:rPr>
        <w:t>R</w:t>
      </w:r>
      <w:r>
        <w:rPr>
          <w:rFonts w:ascii="Times New Roman" w:hAnsi="Times New Roman" w:cs="Times New Roman" w:hint="eastAsia"/>
          <w:iCs/>
          <w:szCs w:val="20"/>
        </w:rPr>
        <w:t>——曲线半径</w:t>
      </w:r>
      <w:r w:rsidR="003F149C">
        <w:rPr>
          <w:rFonts w:ascii="Times New Roman" w:hAnsi="Times New Roman" w:cs="Times New Roman" w:hint="eastAsia"/>
          <w:iCs/>
          <w:szCs w:val="20"/>
        </w:rPr>
        <w:t>（</w:t>
      </w:r>
      <w:r w:rsidR="003F149C">
        <w:rPr>
          <w:rFonts w:ascii="Times New Roman" w:hAnsi="Times New Roman" w:cs="Times New Roman" w:hint="eastAsia"/>
          <w:iCs/>
          <w:szCs w:val="20"/>
        </w:rPr>
        <w:t>m</w:t>
      </w:r>
      <w:r w:rsidR="003F149C">
        <w:rPr>
          <w:rFonts w:ascii="Times New Roman" w:hAnsi="Times New Roman" w:cs="Times New Roman" w:hint="eastAsia"/>
          <w:iCs/>
          <w:szCs w:val="20"/>
        </w:rPr>
        <w:t>）。</w:t>
      </w:r>
    </w:p>
    <w:p w14:paraId="1D1EE10F" w14:textId="10977EAA" w:rsidR="006E2974" w:rsidRPr="00FD50F6" w:rsidRDefault="006E2974" w:rsidP="006E2974">
      <w:pPr>
        <w:pStyle w:val="5"/>
        <w:ind w:firstLine="480"/>
      </w:pPr>
      <w:r w:rsidRPr="00FD50F6">
        <w:t>在瞬间情况下，允许短时出现未被平衡横向加速度为</w:t>
      </w:r>
      <w:r w:rsidRPr="00FD50F6">
        <w:t>0.</w:t>
      </w:r>
      <w:r w:rsidRPr="00FD50F6">
        <w:rPr>
          <w:rFonts w:hint="eastAsia"/>
        </w:rPr>
        <w:t>6</w:t>
      </w:r>
      <w:r w:rsidRPr="00FD50F6">
        <w:t>5m/s</w:t>
      </w:r>
      <w:r w:rsidRPr="00FD50F6">
        <w:rPr>
          <w:vertAlign w:val="superscript"/>
        </w:rPr>
        <w:t>2</w:t>
      </w:r>
      <w:r w:rsidRPr="00FD50F6">
        <w:t>。当曲线最大超高为</w:t>
      </w:r>
      <w:r w:rsidRPr="00FD50F6">
        <w:t>120mm</w:t>
      </w:r>
      <w:r w:rsidRPr="00FD50F6">
        <w:t>时，瞬间最高运行速度应按式</w:t>
      </w:r>
      <w:r w:rsidRPr="00FD50F6">
        <w:t>7.2.1-3</w:t>
      </w:r>
      <w:r w:rsidRPr="00FD50F6">
        <w:t>计算</w:t>
      </w:r>
      <w:r w:rsidRPr="00FD50F6">
        <w:rPr>
          <w:rFonts w:hint="eastAsia"/>
        </w:rPr>
        <w:t>；</w:t>
      </w:r>
      <w:r w:rsidRPr="00FD50F6">
        <w:t>当曲线超高为</w:t>
      </w:r>
      <w:r w:rsidRPr="00FD50F6">
        <w:t>1</w:t>
      </w:r>
      <w:r w:rsidRPr="00FD50F6">
        <w:rPr>
          <w:rFonts w:hint="eastAsia"/>
        </w:rPr>
        <w:t>5</w:t>
      </w:r>
      <w:r w:rsidRPr="00FD50F6">
        <w:t>0mm</w:t>
      </w:r>
      <w:r w:rsidRPr="00FD50F6">
        <w:t>时，瞬间最高运行速度应按式</w:t>
      </w:r>
      <w:r w:rsidRPr="00FD50F6">
        <w:t>7.2.1-4</w:t>
      </w:r>
      <w:r w:rsidRPr="00FD50F6">
        <w:t>计算</w:t>
      </w:r>
      <w:r w:rsidRPr="00FD50F6">
        <w:rPr>
          <w:rFonts w:hint="eastAsia"/>
        </w:rPr>
        <w:t>，</w:t>
      </w:r>
      <w:r w:rsidRPr="00FD50F6">
        <w:t>且不应大于</w:t>
      </w:r>
      <w:r w:rsidRPr="00FD50F6">
        <w:rPr>
          <w:rFonts w:hint="eastAsia"/>
        </w:rPr>
        <w:t>车辆构造</w:t>
      </w:r>
      <w:r w:rsidRPr="00FD50F6">
        <w:t>速度。</w:t>
      </w:r>
    </w:p>
    <w:p w14:paraId="44ACAE5A" w14:textId="6A909DE3" w:rsidR="006E2974" w:rsidRPr="00FD50F6" w:rsidRDefault="006E2974" w:rsidP="006E2974">
      <w:pPr>
        <w:ind w:leftChars="200" w:left="480" w:firstLineChars="600" w:firstLine="1440"/>
        <w:rPr>
          <w:rFonts w:ascii="Times New Roman" w:hAnsi="Times New Roman" w:cs="Times New Roman"/>
        </w:rPr>
      </w:pPr>
      <w:r w:rsidRPr="007D64DA">
        <w:rPr>
          <w:rFonts w:ascii="Times New Roman" w:hAnsi="Times New Roman" w:cs="Times New Roman"/>
          <w:szCs w:val="20"/>
        </w:rPr>
        <w:t>V</w:t>
      </w:r>
      <w:r w:rsidRPr="00FD50F6">
        <w:rPr>
          <w:rFonts w:ascii="Times New Roman" w:hAnsi="Times New Roman" w:cs="Times New Roman"/>
          <w:vertAlign w:val="subscript"/>
        </w:rPr>
        <w:t>0.</w:t>
      </w:r>
      <w:r w:rsidRPr="00FD50F6">
        <w:rPr>
          <w:rFonts w:ascii="Times New Roman" w:hAnsi="Times New Roman" w:cs="Times New Roman" w:hint="eastAsia"/>
          <w:vertAlign w:val="subscript"/>
        </w:rPr>
        <w:t>6</w:t>
      </w:r>
      <w:r w:rsidRPr="00FD50F6">
        <w:rPr>
          <w:rFonts w:ascii="Times New Roman" w:hAnsi="Times New Roman" w:cs="Times New Roman"/>
          <w:vertAlign w:val="subscript"/>
        </w:rPr>
        <w:t>5</w:t>
      </w:r>
      <w:r w:rsidRPr="00FD50F6">
        <w:rPr>
          <w:rFonts w:ascii="Times New Roman" w:hAnsi="Times New Roman" w:cs="Times New Roman"/>
        </w:rPr>
        <w:t>＝</w:t>
      </w:r>
      <w:r w:rsidRPr="00FD50F6">
        <w:rPr>
          <w:rFonts w:ascii="Times New Roman" w:hAnsi="Times New Roman" w:cs="Times New Roman"/>
        </w:rPr>
        <w:t>4.</w:t>
      </w:r>
      <w:r w:rsidRPr="00FD50F6">
        <w:rPr>
          <w:rFonts w:ascii="Times New Roman" w:hAnsi="Times New Roman" w:cs="Times New Roman" w:hint="eastAsia"/>
        </w:rPr>
        <w:t>31</w:t>
      </w:r>
      <w:r w:rsidR="00F23B1A" w:rsidRPr="00FD50F6">
        <w:rPr>
          <w:rFonts w:ascii="Times New Roman" w:hAnsi="Times New Roman" w:cs="Times New Roman"/>
          <w:noProof/>
          <w:position w:val="-6"/>
        </w:rPr>
        <w:object w:dxaOrig="435" w:dyaOrig="330" w14:anchorId="5B5A5902">
          <v:shape id="_x0000_i1030" type="#_x0000_t75" alt="" style="width:21.75pt;height:14.25pt;mso-width-percent:0;mso-height-percent:0;mso-width-percent:0;mso-height-percent:0" o:ole="">
            <v:imagedata r:id="rId26" o:title=""/>
          </v:shape>
          <o:OLEObject Type="Embed" ProgID="Equation.3" ShapeID="_x0000_i1030" DrawAspect="Content" ObjectID="_1731840747" r:id="rId27"/>
        </w:object>
      </w:r>
      <w:r w:rsidRPr="00FD50F6">
        <w:rPr>
          <w:rFonts w:ascii="Times New Roman" w:hAnsi="Times New Roman" w:cs="Times New Roman"/>
        </w:rPr>
        <w:t xml:space="preserve">               </w:t>
      </w:r>
      <w:r w:rsidRPr="00FD50F6">
        <w:rPr>
          <w:rFonts w:ascii="Times New Roman" w:hAnsi="Times New Roman" w:cs="Times New Roman"/>
        </w:rPr>
        <w:t>（</w:t>
      </w:r>
      <w:r w:rsidRPr="00FD50F6">
        <w:rPr>
          <w:rFonts w:ascii="Times New Roman" w:hAnsi="Times New Roman" w:cs="Times New Roman"/>
        </w:rPr>
        <w:t>7.2.1-3</w:t>
      </w:r>
      <w:r w:rsidRPr="00FD50F6">
        <w:rPr>
          <w:rFonts w:ascii="Times New Roman" w:hAnsi="Times New Roman" w:cs="Times New Roman"/>
        </w:rPr>
        <w:t>）</w:t>
      </w:r>
    </w:p>
    <w:p w14:paraId="2FA98B7D" w14:textId="13AE268F" w:rsidR="006E2974" w:rsidRDefault="006E2974" w:rsidP="006E2974">
      <w:pPr>
        <w:ind w:leftChars="200" w:left="480" w:firstLineChars="600" w:firstLine="1440"/>
        <w:rPr>
          <w:rFonts w:ascii="Times New Roman" w:hAnsi="Times New Roman" w:cs="Times New Roman"/>
        </w:rPr>
      </w:pPr>
      <w:r w:rsidRPr="007D64DA">
        <w:rPr>
          <w:rFonts w:ascii="Times New Roman" w:hAnsi="Times New Roman" w:cs="Times New Roman"/>
          <w:szCs w:val="20"/>
        </w:rPr>
        <w:t>V</w:t>
      </w:r>
      <w:r w:rsidRPr="00FD50F6">
        <w:rPr>
          <w:rFonts w:ascii="Times New Roman" w:hAnsi="Times New Roman" w:cs="Times New Roman"/>
          <w:vertAlign w:val="subscript"/>
        </w:rPr>
        <w:t>0.</w:t>
      </w:r>
      <w:r w:rsidRPr="00FD50F6">
        <w:rPr>
          <w:rFonts w:ascii="Times New Roman" w:hAnsi="Times New Roman" w:cs="Times New Roman" w:hint="eastAsia"/>
          <w:vertAlign w:val="subscript"/>
        </w:rPr>
        <w:t>6</w:t>
      </w:r>
      <w:r w:rsidRPr="00FD50F6">
        <w:rPr>
          <w:rFonts w:ascii="Times New Roman" w:hAnsi="Times New Roman" w:cs="Times New Roman"/>
          <w:vertAlign w:val="subscript"/>
        </w:rPr>
        <w:t>5</w:t>
      </w:r>
      <w:r w:rsidRPr="00FD50F6">
        <w:rPr>
          <w:rFonts w:ascii="Times New Roman" w:hAnsi="Times New Roman" w:cs="Times New Roman"/>
        </w:rPr>
        <w:t>＝</w:t>
      </w:r>
      <w:r w:rsidRPr="00FD50F6">
        <w:rPr>
          <w:rFonts w:ascii="Times New Roman" w:hAnsi="Times New Roman" w:cs="Times New Roman"/>
        </w:rPr>
        <w:t>4.60</w:t>
      </w:r>
      <w:r w:rsidR="00F23B1A" w:rsidRPr="00FD50F6">
        <w:rPr>
          <w:rFonts w:ascii="Times New Roman" w:hAnsi="Times New Roman" w:cs="Times New Roman"/>
          <w:noProof/>
          <w:position w:val="-6"/>
        </w:rPr>
        <w:object w:dxaOrig="435" w:dyaOrig="330" w14:anchorId="1B6B15A5">
          <v:shape id="_x0000_i1031" type="#_x0000_t75" alt="" style="width:21.75pt;height:14.25pt;mso-width-percent:0;mso-height-percent:0;mso-width-percent:0;mso-height-percent:0" o:ole="">
            <v:imagedata r:id="rId26" o:title=""/>
          </v:shape>
          <o:OLEObject Type="Embed" ProgID="Equation.3" ShapeID="_x0000_i1031" DrawAspect="Content" ObjectID="_1731840748" r:id="rId28"/>
        </w:object>
      </w:r>
      <w:r w:rsidRPr="00FD50F6">
        <w:rPr>
          <w:rFonts w:ascii="Times New Roman" w:hAnsi="Times New Roman" w:cs="Times New Roman"/>
        </w:rPr>
        <w:t xml:space="preserve">               </w:t>
      </w:r>
      <w:r w:rsidRPr="00FD50F6">
        <w:rPr>
          <w:rFonts w:ascii="Times New Roman" w:hAnsi="Times New Roman" w:cs="Times New Roman"/>
        </w:rPr>
        <w:t>（</w:t>
      </w:r>
      <w:r w:rsidRPr="00FD50F6">
        <w:rPr>
          <w:rFonts w:ascii="Times New Roman" w:hAnsi="Times New Roman" w:cs="Times New Roman"/>
        </w:rPr>
        <w:t>7.2.1-4</w:t>
      </w:r>
      <w:r w:rsidRPr="00FD50F6">
        <w:rPr>
          <w:rFonts w:ascii="Times New Roman" w:hAnsi="Times New Roman" w:cs="Times New Roman"/>
        </w:rPr>
        <w:t>）</w:t>
      </w:r>
    </w:p>
    <w:p w14:paraId="26145B0E" w14:textId="283B2F86" w:rsidR="003F149C" w:rsidRPr="00FD50F6" w:rsidRDefault="003F149C" w:rsidP="00FB2A8E">
      <w:pPr>
        <w:ind w:leftChars="198" w:left="1985" w:hangingChars="629" w:hanging="1510"/>
        <w:rPr>
          <w:rFonts w:ascii="Times New Roman" w:hAnsi="Times New Roman" w:cs="Times New Roman"/>
        </w:rPr>
      </w:pPr>
      <w:r w:rsidRPr="00FB2A8E">
        <w:rPr>
          <w:rFonts w:ascii="Times New Roman" w:hAnsi="Times New Roman" w:cs="Times New Roman" w:hint="eastAsia"/>
        </w:rPr>
        <w:t>式中：</w:t>
      </w:r>
      <w:r w:rsidRPr="00FD50F6">
        <w:rPr>
          <w:rFonts w:ascii="Times New Roman" w:hAnsi="Times New Roman" w:cs="Times New Roman"/>
          <w:i/>
        </w:rPr>
        <w:t>V</w:t>
      </w:r>
      <w:r w:rsidRPr="00FB2A8E">
        <w:rPr>
          <w:rFonts w:ascii="Times New Roman" w:hAnsi="Times New Roman" w:cs="Times New Roman"/>
          <w:vertAlign w:val="subscript"/>
        </w:rPr>
        <w:t>0.65</w:t>
      </w:r>
      <w:r w:rsidRPr="00FB2A8E">
        <w:rPr>
          <w:rFonts w:ascii="Times New Roman" w:hAnsi="Times New Roman" w:cs="Times New Roman" w:hint="eastAsia"/>
          <w:i/>
        </w:rPr>
        <w:t>——</w:t>
      </w:r>
      <w:r w:rsidRPr="00FB2A8E">
        <w:rPr>
          <w:rFonts w:ascii="Times New Roman" w:hAnsi="Times New Roman" w:cs="Times New Roman"/>
          <w:iCs/>
        </w:rPr>
        <w:t>允许未被平衡横向加速度为</w:t>
      </w:r>
      <w:r w:rsidRPr="00FB2A8E">
        <w:rPr>
          <w:rFonts w:ascii="Times New Roman" w:hAnsi="Times New Roman" w:cs="Times New Roman"/>
          <w:iCs/>
        </w:rPr>
        <w:t xml:space="preserve"> 0.65m/s</w:t>
      </w:r>
      <w:r w:rsidRPr="00FB2A8E">
        <w:rPr>
          <w:rFonts w:ascii="Times New Roman" w:hAnsi="Times New Roman" w:cs="Times New Roman"/>
          <w:iCs/>
          <w:vertAlign w:val="superscript"/>
        </w:rPr>
        <w:t>2</w:t>
      </w:r>
      <w:r w:rsidRPr="00FB2A8E">
        <w:rPr>
          <w:rFonts w:ascii="Times New Roman" w:hAnsi="Times New Roman" w:cs="Times New Roman" w:hint="eastAsia"/>
          <w:iCs/>
        </w:rPr>
        <w:t>时的</w:t>
      </w:r>
      <w:r w:rsidRPr="00FB2A8E">
        <w:rPr>
          <w:rFonts w:ascii="Times New Roman" w:hAnsi="Times New Roman" w:cs="Times New Roman"/>
          <w:iCs/>
        </w:rPr>
        <w:t>最高运行速度</w:t>
      </w:r>
      <w:r w:rsidRPr="00FB2A8E">
        <w:rPr>
          <w:rFonts w:ascii="Times New Roman" w:hAnsi="Times New Roman" w:cs="Times New Roman" w:hint="eastAsia"/>
          <w:iCs/>
        </w:rPr>
        <w:t>（</w:t>
      </w:r>
      <w:r w:rsidRPr="00FB2A8E">
        <w:rPr>
          <w:rFonts w:ascii="Times New Roman" w:hAnsi="Times New Roman" w:cs="Times New Roman"/>
          <w:iCs/>
        </w:rPr>
        <w:t>km/h</w:t>
      </w:r>
      <w:r w:rsidRPr="00FB2A8E">
        <w:rPr>
          <w:rFonts w:ascii="Times New Roman" w:hAnsi="Times New Roman" w:cs="Times New Roman" w:hint="eastAsia"/>
          <w:iCs/>
        </w:rPr>
        <w:t>）</w:t>
      </w:r>
      <w:r w:rsidR="004E00C7" w:rsidRPr="0082400B">
        <w:rPr>
          <w:rFonts w:hint="eastAsia"/>
          <w:iCs/>
        </w:rPr>
        <w:t>。</w:t>
      </w:r>
    </w:p>
    <w:p w14:paraId="1658F741" w14:textId="1B465CAD" w:rsidR="006E2974" w:rsidRPr="00FD50F6" w:rsidRDefault="006E2974" w:rsidP="006E2974">
      <w:pPr>
        <w:pStyle w:val="5"/>
        <w:ind w:firstLine="480"/>
      </w:pPr>
      <w:r w:rsidRPr="00FD50F6">
        <w:t>在车站正线及折返线上</w:t>
      </w:r>
      <w:r w:rsidR="007D64DA">
        <w:rPr>
          <w:rFonts w:hint="eastAsia"/>
        </w:rPr>
        <w:t>、</w:t>
      </w:r>
      <w:r w:rsidRPr="00FD50F6">
        <w:t>曲线</w:t>
      </w:r>
      <w:r w:rsidRPr="00FD50F6">
        <w:rPr>
          <w:rFonts w:hint="eastAsia"/>
        </w:rPr>
        <w:t>最大</w:t>
      </w:r>
      <w:r w:rsidRPr="00FD50F6">
        <w:t>超高为</w:t>
      </w:r>
      <w:r w:rsidRPr="00FD50F6">
        <w:t>15mm</w:t>
      </w:r>
      <w:r w:rsidRPr="00FD50F6">
        <w:t>时，允许未被平衡横</w:t>
      </w:r>
      <w:r w:rsidRPr="00FD50F6">
        <w:lastRenderedPageBreak/>
        <w:t>向加速度为</w:t>
      </w:r>
      <w:r w:rsidRPr="00FD50F6">
        <w:t>0.3m/s</w:t>
      </w:r>
      <w:r w:rsidRPr="00FD50F6">
        <w:rPr>
          <w:vertAlign w:val="superscript"/>
        </w:rPr>
        <w:t>2</w:t>
      </w:r>
      <w:r w:rsidRPr="00FD50F6">
        <w:rPr>
          <w:rFonts w:hint="eastAsia"/>
        </w:rPr>
        <w:t>，</w:t>
      </w:r>
      <w:r w:rsidRPr="00FD50F6">
        <w:t>最高运行速度应按式</w:t>
      </w:r>
      <w:r w:rsidRPr="00FD50F6">
        <w:rPr>
          <w:iCs/>
          <w:szCs w:val="20"/>
        </w:rPr>
        <w:t>7.2.1-5</w:t>
      </w:r>
      <w:r w:rsidRPr="00FD50F6">
        <w:t>计算</w:t>
      </w:r>
      <w:r w:rsidRPr="00FD50F6">
        <w:rPr>
          <w:rFonts w:hint="eastAsia"/>
        </w:rPr>
        <w:t>；</w:t>
      </w:r>
      <w:r w:rsidRPr="00FD50F6">
        <w:t>在瞬间情况下，允许短时出现未被平衡横向加速度为</w:t>
      </w:r>
      <w:r w:rsidRPr="00FD50F6">
        <w:t>0.</w:t>
      </w:r>
      <w:r w:rsidRPr="00FD50F6">
        <w:rPr>
          <w:rFonts w:hint="eastAsia"/>
        </w:rPr>
        <w:t>4</w:t>
      </w:r>
      <w:r w:rsidRPr="00FD50F6">
        <w:t>m/s</w:t>
      </w:r>
      <w:r w:rsidRPr="00FD50F6">
        <w:rPr>
          <w:vertAlign w:val="superscript"/>
        </w:rPr>
        <w:t>2</w:t>
      </w:r>
      <w:r w:rsidRPr="00FD50F6">
        <w:rPr>
          <w:rFonts w:hint="eastAsia"/>
        </w:rPr>
        <w:t>，</w:t>
      </w:r>
      <w:r w:rsidRPr="00FD50F6">
        <w:t>最高运行速度应按式</w:t>
      </w:r>
      <w:r w:rsidR="0035633D" w:rsidRPr="00FD50F6">
        <w:rPr>
          <w:iCs/>
          <w:szCs w:val="20"/>
        </w:rPr>
        <w:t>7</w:t>
      </w:r>
      <w:r w:rsidRPr="00FD50F6">
        <w:rPr>
          <w:iCs/>
          <w:szCs w:val="20"/>
        </w:rPr>
        <w:t>.2.1-6</w:t>
      </w:r>
      <w:r w:rsidRPr="00FD50F6">
        <w:t>计算</w:t>
      </w:r>
      <w:r w:rsidRPr="00FD50F6">
        <w:rPr>
          <w:rFonts w:hint="eastAsia"/>
        </w:rPr>
        <w:t>，且</w:t>
      </w:r>
      <w:r w:rsidRPr="00FD50F6">
        <w:t>分别不应大于车站允许通过速度或道岔侧向允许速度：</w:t>
      </w:r>
    </w:p>
    <w:p w14:paraId="6E123EF8" w14:textId="4B815B7A" w:rsidR="006E2974" w:rsidRPr="007D64DA" w:rsidRDefault="006E2974" w:rsidP="006E2974">
      <w:pPr>
        <w:ind w:leftChars="200" w:left="480" w:firstLineChars="600" w:firstLine="1440"/>
        <w:rPr>
          <w:rFonts w:ascii="Times New Roman" w:hAnsi="Times New Roman" w:cs="Times New Roman"/>
          <w:szCs w:val="20"/>
        </w:rPr>
      </w:pPr>
      <w:r w:rsidRPr="00FB2A8E">
        <w:rPr>
          <w:rFonts w:ascii="Times New Roman" w:hAnsi="Times New Roman" w:cs="Times New Roman"/>
          <w:i/>
          <w:szCs w:val="20"/>
        </w:rPr>
        <w:t>V</w:t>
      </w:r>
      <w:r w:rsidRPr="00FD50F6">
        <w:rPr>
          <w:rFonts w:ascii="Times New Roman" w:hAnsi="Times New Roman" w:cs="Times New Roman"/>
          <w:vertAlign w:val="subscript"/>
        </w:rPr>
        <w:t>0.</w:t>
      </w:r>
      <w:r w:rsidRPr="00FD50F6">
        <w:rPr>
          <w:rFonts w:ascii="Times New Roman" w:hAnsi="Times New Roman" w:cs="Times New Roman" w:hint="eastAsia"/>
          <w:vertAlign w:val="subscript"/>
        </w:rPr>
        <w:t>3</w:t>
      </w:r>
      <w:r w:rsidRPr="007D64DA">
        <w:rPr>
          <w:rFonts w:ascii="Times New Roman" w:hAnsi="Times New Roman" w:cs="Times New Roman" w:hint="eastAsia"/>
          <w:szCs w:val="20"/>
        </w:rPr>
        <w:t>＝</w:t>
      </w:r>
      <w:r w:rsidRPr="00FD50F6">
        <w:rPr>
          <w:rFonts w:ascii="Times New Roman" w:hAnsi="Times New Roman" w:cs="Times New Roman"/>
        </w:rPr>
        <w:t>2.27</w:t>
      </w:r>
      <w:r w:rsidR="00F23B1A" w:rsidRPr="00FD50F6">
        <w:rPr>
          <w:rFonts w:ascii="Times New Roman" w:hAnsi="Times New Roman" w:cs="Times New Roman"/>
          <w:noProof/>
          <w:position w:val="-6"/>
        </w:rPr>
        <w:object w:dxaOrig="435" w:dyaOrig="330" w14:anchorId="5B2A2AA8">
          <v:shape id="_x0000_i1032" type="#_x0000_t75" alt="" style="width:21.75pt;height:14.25pt;mso-width-percent:0;mso-height-percent:0;mso-width-percent:0;mso-height-percent:0" o:ole="">
            <v:imagedata r:id="rId26" o:title=""/>
          </v:shape>
          <o:OLEObject Type="Embed" ProgID="Equation.3" ShapeID="_x0000_i1032" DrawAspect="Content" ObjectID="_1731840749" r:id="rId29"/>
        </w:object>
      </w:r>
      <w:r w:rsidRPr="007D64DA">
        <w:rPr>
          <w:rFonts w:ascii="Times New Roman" w:hAnsi="Times New Roman" w:cs="Times New Roman"/>
          <w:szCs w:val="20"/>
        </w:rPr>
        <w:t xml:space="preserve">              </w:t>
      </w:r>
      <w:r w:rsidRPr="00FD50F6">
        <w:rPr>
          <w:rFonts w:ascii="Times New Roman" w:hAnsi="Times New Roman" w:cs="Times New Roman" w:hint="eastAsia"/>
          <w:iCs/>
          <w:szCs w:val="20"/>
        </w:rPr>
        <w:t>（</w:t>
      </w:r>
      <w:r w:rsidRPr="00FD50F6">
        <w:rPr>
          <w:rFonts w:ascii="Times New Roman" w:hAnsi="Times New Roman" w:cs="Times New Roman"/>
          <w:iCs/>
          <w:szCs w:val="20"/>
        </w:rPr>
        <w:t>7.2.1-5</w:t>
      </w:r>
      <w:r w:rsidRPr="00FD50F6">
        <w:rPr>
          <w:rFonts w:ascii="Times New Roman" w:hAnsi="Times New Roman" w:cs="Times New Roman" w:hint="eastAsia"/>
          <w:iCs/>
          <w:szCs w:val="20"/>
        </w:rPr>
        <w:t>）</w:t>
      </w:r>
    </w:p>
    <w:p w14:paraId="4D069F70" w14:textId="0E34B0E2" w:rsidR="006E2974" w:rsidRDefault="006E2974" w:rsidP="006E2974">
      <w:pPr>
        <w:ind w:leftChars="200" w:left="480" w:firstLineChars="600" w:firstLine="1440"/>
        <w:rPr>
          <w:rFonts w:ascii="Times New Roman" w:hAnsi="Times New Roman" w:cs="Times New Roman"/>
          <w:iCs/>
          <w:szCs w:val="20"/>
        </w:rPr>
      </w:pPr>
      <w:r w:rsidRPr="00FD50F6">
        <w:rPr>
          <w:rFonts w:ascii="Times New Roman" w:hAnsi="Times New Roman" w:cs="Times New Roman"/>
          <w:szCs w:val="20"/>
        </w:rPr>
        <w:t xml:space="preserve"> </w:t>
      </w:r>
      <w:r w:rsidRPr="00FB2A8E">
        <w:rPr>
          <w:rFonts w:ascii="Times New Roman" w:hAnsi="Times New Roman" w:cs="Times New Roman"/>
          <w:i/>
          <w:szCs w:val="20"/>
        </w:rPr>
        <w:t>V</w:t>
      </w:r>
      <w:r w:rsidRPr="00FD50F6">
        <w:rPr>
          <w:rFonts w:ascii="Times New Roman" w:hAnsi="Times New Roman" w:cs="Times New Roman"/>
          <w:vertAlign w:val="subscript"/>
        </w:rPr>
        <w:t>0.</w:t>
      </w:r>
      <w:r w:rsidRPr="00FD50F6">
        <w:rPr>
          <w:rFonts w:ascii="Times New Roman" w:hAnsi="Times New Roman" w:cs="Times New Roman" w:hint="eastAsia"/>
          <w:vertAlign w:val="subscript"/>
        </w:rPr>
        <w:t>4</w:t>
      </w:r>
      <w:r w:rsidRPr="007D64DA">
        <w:rPr>
          <w:rFonts w:ascii="Times New Roman" w:hAnsi="Times New Roman" w:cs="Times New Roman" w:hint="eastAsia"/>
          <w:szCs w:val="20"/>
        </w:rPr>
        <w:t>＝</w:t>
      </w:r>
      <w:r w:rsidRPr="00FD50F6">
        <w:rPr>
          <w:rFonts w:ascii="Times New Roman" w:hAnsi="Times New Roman" w:cs="Times New Roman"/>
        </w:rPr>
        <w:t>2.54</w:t>
      </w:r>
      <w:r w:rsidR="00F23B1A" w:rsidRPr="00FD50F6">
        <w:rPr>
          <w:rFonts w:ascii="Times New Roman" w:hAnsi="Times New Roman" w:cs="Times New Roman"/>
          <w:noProof/>
          <w:position w:val="-6"/>
        </w:rPr>
        <w:object w:dxaOrig="435" w:dyaOrig="330" w14:anchorId="5644EAA6">
          <v:shape id="_x0000_i1033" type="#_x0000_t75" alt="" style="width:21.75pt;height:14.25pt;mso-width-percent:0;mso-height-percent:0;mso-width-percent:0;mso-height-percent:0" o:ole="">
            <v:imagedata r:id="rId26" o:title=""/>
          </v:shape>
          <o:OLEObject Type="Embed" ProgID="Equation.3" ShapeID="_x0000_i1033" DrawAspect="Content" ObjectID="_1731840750" r:id="rId30"/>
        </w:object>
      </w:r>
      <w:r w:rsidRPr="00FD50F6">
        <w:rPr>
          <w:rFonts w:ascii="Times New Roman" w:hAnsi="Times New Roman" w:cs="Times New Roman"/>
          <w:iCs/>
          <w:szCs w:val="20"/>
        </w:rPr>
        <w:t xml:space="preserve">  </w:t>
      </w:r>
      <w:r w:rsidRPr="007D64DA">
        <w:rPr>
          <w:rFonts w:ascii="Times New Roman" w:hAnsi="Times New Roman" w:cs="Times New Roman"/>
          <w:szCs w:val="20"/>
        </w:rPr>
        <w:t xml:space="preserve">            </w:t>
      </w:r>
      <w:r w:rsidRPr="00FD50F6">
        <w:rPr>
          <w:rFonts w:ascii="Times New Roman" w:hAnsi="Times New Roman" w:cs="Times New Roman" w:hint="eastAsia"/>
          <w:iCs/>
          <w:szCs w:val="20"/>
        </w:rPr>
        <w:t>（</w:t>
      </w:r>
      <w:r w:rsidRPr="00FD50F6">
        <w:rPr>
          <w:rFonts w:ascii="Times New Roman" w:hAnsi="Times New Roman" w:cs="Times New Roman"/>
          <w:iCs/>
          <w:szCs w:val="20"/>
        </w:rPr>
        <w:t>7.2.1-6</w:t>
      </w:r>
      <w:r w:rsidRPr="00FD50F6">
        <w:rPr>
          <w:rFonts w:ascii="Times New Roman" w:hAnsi="Times New Roman" w:cs="Times New Roman" w:hint="eastAsia"/>
          <w:iCs/>
          <w:szCs w:val="20"/>
        </w:rPr>
        <w:t>）</w:t>
      </w:r>
    </w:p>
    <w:p w14:paraId="707E1D72" w14:textId="236B7223" w:rsidR="0082400B" w:rsidRPr="00FD50F6" w:rsidRDefault="0082400B" w:rsidP="0082400B">
      <w:pPr>
        <w:ind w:leftChars="198" w:left="1985" w:hangingChars="629" w:hanging="1510"/>
        <w:rPr>
          <w:rFonts w:ascii="Times New Roman" w:hAnsi="Times New Roman" w:cs="Times New Roman"/>
        </w:rPr>
      </w:pPr>
      <w:r w:rsidRPr="00FB2A8E">
        <w:rPr>
          <w:rFonts w:ascii="Times New Roman" w:hAnsi="Times New Roman" w:cs="Times New Roman" w:hint="eastAsia"/>
        </w:rPr>
        <w:t>式中：</w:t>
      </w:r>
      <w:r w:rsidRPr="00FD50F6">
        <w:rPr>
          <w:rFonts w:ascii="Times New Roman" w:hAnsi="Times New Roman" w:cs="Times New Roman"/>
          <w:i/>
        </w:rPr>
        <w:t>V</w:t>
      </w:r>
      <w:r w:rsidRPr="00FB2A8E">
        <w:rPr>
          <w:rFonts w:ascii="Times New Roman" w:hAnsi="Times New Roman" w:cs="Times New Roman"/>
          <w:vertAlign w:val="subscript"/>
        </w:rPr>
        <w:t>0.3</w:t>
      </w:r>
      <w:r w:rsidRPr="001F175C">
        <w:rPr>
          <w:rFonts w:ascii="Times New Roman" w:hAnsi="Times New Roman" w:cs="Times New Roman" w:hint="eastAsia"/>
          <w:i/>
        </w:rPr>
        <w:t>——</w:t>
      </w:r>
      <w:r w:rsidRPr="00FB2A8E">
        <w:rPr>
          <w:rFonts w:ascii="Times New Roman" w:hAnsi="Times New Roman" w:cs="Times New Roman" w:hint="eastAsia"/>
          <w:iCs/>
        </w:rPr>
        <w:t>允许未被平衡横向加速度为</w:t>
      </w:r>
      <w:r w:rsidRPr="00FB2A8E">
        <w:rPr>
          <w:rFonts w:ascii="Times New Roman" w:hAnsi="Times New Roman" w:cs="Times New Roman"/>
          <w:iCs/>
        </w:rPr>
        <w:t xml:space="preserve"> 0.3m/s</w:t>
      </w:r>
      <w:r w:rsidRPr="00FB2A8E">
        <w:rPr>
          <w:rFonts w:ascii="Times New Roman" w:hAnsi="Times New Roman" w:cs="Times New Roman"/>
          <w:iCs/>
          <w:vertAlign w:val="superscript"/>
        </w:rPr>
        <w:t>2</w:t>
      </w:r>
      <w:r w:rsidRPr="00FB2A8E">
        <w:rPr>
          <w:rFonts w:ascii="Times New Roman" w:hAnsi="Times New Roman" w:cs="Times New Roman" w:hint="eastAsia"/>
          <w:iCs/>
        </w:rPr>
        <w:t>时的最高运行速度（</w:t>
      </w:r>
      <w:r w:rsidRPr="00FB2A8E">
        <w:rPr>
          <w:rFonts w:ascii="Times New Roman" w:hAnsi="Times New Roman" w:cs="Times New Roman"/>
          <w:iCs/>
        </w:rPr>
        <w:t>km/h</w:t>
      </w:r>
      <w:r w:rsidRPr="00FB2A8E">
        <w:rPr>
          <w:rFonts w:ascii="Times New Roman" w:hAnsi="Times New Roman" w:cs="Times New Roman" w:hint="eastAsia"/>
          <w:iCs/>
        </w:rPr>
        <w:t>）</w:t>
      </w:r>
      <w:r w:rsidRPr="0082400B">
        <w:rPr>
          <w:rFonts w:hint="eastAsia"/>
          <w:iCs/>
        </w:rPr>
        <w:t>。</w:t>
      </w:r>
    </w:p>
    <w:p w14:paraId="121F6288" w14:textId="559E30D4" w:rsidR="006E2974" w:rsidRPr="00FD50F6" w:rsidRDefault="006E2974" w:rsidP="00A926BD">
      <w:pPr>
        <w:pStyle w:val="4"/>
      </w:pPr>
      <w:r w:rsidRPr="00FD50F6">
        <w:t>车站站台宜设在直线上。当设在曲线上时，其站台有效长度范围的线路曲线最小半径应符合表</w:t>
      </w:r>
      <w:r w:rsidRPr="00FD50F6">
        <w:t>7.2.1-2</w:t>
      </w:r>
      <w:r w:rsidRPr="00FD50F6">
        <w:t>的规定</w:t>
      </w:r>
      <w:r w:rsidRPr="00FD50F6">
        <w:rPr>
          <w:rFonts w:hint="eastAsia"/>
        </w:rPr>
        <w:t>。</w:t>
      </w:r>
    </w:p>
    <w:p w14:paraId="5913C2E3" w14:textId="43A7D108" w:rsidR="006E2974" w:rsidRPr="00FD50F6" w:rsidRDefault="006E2974" w:rsidP="006E2974">
      <w:pPr>
        <w:pStyle w:val="6"/>
      </w:pPr>
      <w:r w:rsidRPr="00FD50F6">
        <w:t>表</w:t>
      </w:r>
      <w:r w:rsidRPr="00FD50F6">
        <w:t xml:space="preserve">7.2.1-2   </w:t>
      </w:r>
      <w:r w:rsidRPr="00FD50F6">
        <w:t>车站曲线最小半径（</w:t>
      </w:r>
      <w:r w:rsidRPr="00FD50F6">
        <w:t>m</w:t>
      </w:r>
      <w:r w:rsidRPr="00FD50F6">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543"/>
        <w:gridCol w:w="2467"/>
        <w:gridCol w:w="2482"/>
      </w:tblGrid>
      <w:tr w:rsidR="00FD50F6" w:rsidRPr="00FD50F6" w14:paraId="2BC3A2BB" w14:textId="77777777" w:rsidTr="00C70434">
        <w:trPr>
          <w:jc w:val="center"/>
        </w:trPr>
        <w:tc>
          <w:tcPr>
            <w:tcW w:w="3323" w:type="dxa"/>
            <w:gridSpan w:val="2"/>
            <w:vAlign w:val="center"/>
          </w:tcPr>
          <w:p w14:paraId="6628633E" w14:textId="77777777" w:rsidR="006E2974" w:rsidRPr="00FD50F6" w:rsidRDefault="006E2974" w:rsidP="00C70434">
            <w:pPr>
              <w:pStyle w:val="7"/>
            </w:pPr>
            <w:r w:rsidRPr="00FD50F6">
              <w:t>车</w:t>
            </w:r>
            <w:r w:rsidRPr="00FD50F6">
              <w:t xml:space="preserve">  </w:t>
            </w:r>
            <w:r w:rsidRPr="00FD50F6">
              <w:t>型</w:t>
            </w:r>
          </w:p>
        </w:tc>
        <w:tc>
          <w:tcPr>
            <w:tcW w:w="2467" w:type="dxa"/>
            <w:vAlign w:val="center"/>
          </w:tcPr>
          <w:p w14:paraId="36742721" w14:textId="77777777" w:rsidR="006E2974" w:rsidRPr="00FD50F6" w:rsidRDefault="006E2974" w:rsidP="00C70434">
            <w:pPr>
              <w:pStyle w:val="7"/>
            </w:pPr>
            <w:r w:rsidRPr="00FD50F6">
              <w:t>A</w:t>
            </w:r>
            <w:r w:rsidRPr="00FD50F6">
              <w:t>型车</w:t>
            </w:r>
          </w:p>
        </w:tc>
        <w:tc>
          <w:tcPr>
            <w:tcW w:w="2482" w:type="dxa"/>
            <w:vAlign w:val="center"/>
          </w:tcPr>
          <w:p w14:paraId="210DDC28" w14:textId="77777777" w:rsidR="006E2974" w:rsidRPr="00FD50F6" w:rsidRDefault="006E2974" w:rsidP="00C70434">
            <w:pPr>
              <w:pStyle w:val="7"/>
            </w:pPr>
            <w:r w:rsidRPr="00FD50F6">
              <w:t>B</w:t>
            </w:r>
            <w:r w:rsidRPr="00FD50F6">
              <w:t>型车</w:t>
            </w:r>
          </w:p>
        </w:tc>
      </w:tr>
      <w:tr w:rsidR="00FD50F6" w:rsidRPr="00FD50F6" w14:paraId="42052BF6" w14:textId="77777777" w:rsidTr="00C70434">
        <w:trPr>
          <w:jc w:val="center"/>
        </w:trPr>
        <w:tc>
          <w:tcPr>
            <w:tcW w:w="1780" w:type="dxa"/>
            <w:vMerge w:val="restart"/>
            <w:vAlign w:val="center"/>
          </w:tcPr>
          <w:p w14:paraId="0B469C41" w14:textId="77777777" w:rsidR="006E2974" w:rsidRPr="00FD50F6" w:rsidRDefault="006E2974" w:rsidP="00C70434">
            <w:pPr>
              <w:pStyle w:val="7"/>
            </w:pPr>
            <w:r w:rsidRPr="00FD50F6">
              <w:t>曲线半径</w:t>
            </w:r>
          </w:p>
        </w:tc>
        <w:tc>
          <w:tcPr>
            <w:tcW w:w="1543" w:type="dxa"/>
            <w:vAlign w:val="center"/>
          </w:tcPr>
          <w:p w14:paraId="2EE5258F" w14:textId="180AE8E4" w:rsidR="006E2974" w:rsidRPr="00FD50F6" w:rsidRDefault="006E2974" w:rsidP="00C70434">
            <w:pPr>
              <w:pStyle w:val="7"/>
            </w:pPr>
            <w:r w:rsidRPr="00FD50F6">
              <w:t>无</w:t>
            </w:r>
            <w:r w:rsidR="007E64D2" w:rsidRPr="00FD50F6">
              <w:t>站台屏蔽门</w:t>
            </w:r>
          </w:p>
        </w:tc>
        <w:tc>
          <w:tcPr>
            <w:tcW w:w="2467" w:type="dxa"/>
            <w:vAlign w:val="center"/>
          </w:tcPr>
          <w:p w14:paraId="27DE9E6A" w14:textId="77777777" w:rsidR="006E2974" w:rsidRPr="00FD50F6" w:rsidRDefault="006E2974" w:rsidP="00C70434">
            <w:pPr>
              <w:pStyle w:val="7"/>
            </w:pPr>
            <w:r w:rsidRPr="00FD50F6">
              <w:t>800</w:t>
            </w:r>
          </w:p>
        </w:tc>
        <w:tc>
          <w:tcPr>
            <w:tcW w:w="2482" w:type="dxa"/>
            <w:vAlign w:val="center"/>
          </w:tcPr>
          <w:p w14:paraId="22701C94" w14:textId="77777777" w:rsidR="006E2974" w:rsidRPr="00FD50F6" w:rsidRDefault="006E2974" w:rsidP="00C70434">
            <w:pPr>
              <w:pStyle w:val="7"/>
            </w:pPr>
            <w:r w:rsidRPr="00FD50F6">
              <w:t>600</w:t>
            </w:r>
          </w:p>
        </w:tc>
      </w:tr>
      <w:tr w:rsidR="006E2974" w:rsidRPr="00FD50F6" w14:paraId="63ADE70B" w14:textId="77777777" w:rsidTr="00C70434">
        <w:trPr>
          <w:jc w:val="center"/>
        </w:trPr>
        <w:tc>
          <w:tcPr>
            <w:tcW w:w="1780" w:type="dxa"/>
            <w:vMerge/>
            <w:vAlign w:val="center"/>
          </w:tcPr>
          <w:p w14:paraId="5B74602C" w14:textId="77777777" w:rsidR="006E2974" w:rsidRPr="00FD50F6" w:rsidRDefault="006E2974" w:rsidP="00C70434">
            <w:pPr>
              <w:pStyle w:val="7"/>
            </w:pPr>
          </w:p>
        </w:tc>
        <w:tc>
          <w:tcPr>
            <w:tcW w:w="1543" w:type="dxa"/>
            <w:vAlign w:val="center"/>
          </w:tcPr>
          <w:p w14:paraId="1A9A4FBA" w14:textId="75952327" w:rsidR="006E2974" w:rsidRPr="00FD50F6" w:rsidRDefault="006E2974" w:rsidP="00C70434">
            <w:pPr>
              <w:pStyle w:val="7"/>
            </w:pPr>
            <w:r w:rsidRPr="00FD50F6">
              <w:t>设</w:t>
            </w:r>
            <w:r w:rsidR="007E64D2" w:rsidRPr="00FD50F6">
              <w:t>站台屏蔽门</w:t>
            </w:r>
          </w:p>
        </w:tc>
        <w:tc>
          <w:tcPr>
            <w:tcW w:w="2467" w:type="dxa"/>
            <w:vAlign w:val="center"/>
          </w:tcPr>
          <w:p w14:paraId="2CF160F2" w14:textId="77777777" w:rsidR="006E2974" w:rsidRPr="00FD50F6" w:rsidRDefault="006E2974" w:rsidP="00C70434">
            <w:pPr>
              <w:pStyle w:val="7"/>
            </w:pPr>
            <w:r w:rsidRPr="00FD50F6">
              <w:t>1500</w:t>
            </w:r>
          </w:p>
        </w:tc>
        <w:tc>
          <w:tcPr>
            <w:tcW w:w="2482" w:type="dxa"/>
            <w:vAlign w:val="center"/>
          </w:tcPr>
          <w:p w14:paraId="4320FD9A" w14:textId="77777777" w:rsidR="006E2974" w:rsidRPr="00FD50F6" w:rsidRDefault="006E2974" w:rsidP="00C70434">
            <w:pPr>
              <w:pStyle w:val="7"/>
            </w:pPr>
            <w:r w:rsidRPr="00FD50F6">
              <w:t>1000</w:t>
            </w:r>
          </w:p>
        </w:tc>
      </w:tr>
    </w:tbl>
    <w:p w14:paraId="218572A1" w14:textId="77777777" w:rsidR="006E2974" w:rsidRPr="00FD50F6" w:rsidRDefault="006E2974" w:rsidP="006E2974">
      <w:pPr>
        <w:pStyle w:val="aff8"/>
      </w:pPr>
    </w:p>
    <w:p w14:paraId="178B57F8" w14:textId="13EE42D8" w:rsidR="006E2974" w:rsidRPr="00FD50F6" w:rsidRDefault="006E2974" w:rsidP="00A926BD">
      <w:pPr>
        <w:pStyle w:val="4"/>
      </w:pPr>
      <w:r w:rsidRPr="00FD50F6">
        <w:t>折返线、停车线等宜设在直线上</w:t>
      </w:r>
      <w:r w:rsidRPr="00FD50F6">
        <w:rPr>
          <w:rFonts w:hint="eastAsia"/>
        </w:rPr>
        <w:t>，在</w:t>
      </w:r>
      <w:r w:rsidRPr="00FD50F6">
        <w:t>困难情况下，除道岔区外，可设在曲线上，并可不设缓和曲线，超高应为</w:t>
      </w:r>
      <w:r w:rsidRPr="00FD50F6">
        <w:t>0</w:t>
      </w:r>
      <w:r w:rsidRPr="00FD50F6">
        <w:t>～</w:t>
      </w:r>
      <w:r w:rsidRPr="00FD50F6">
        <w:t>15mm</w:t>
      </w:r>
      <w:r w:rsidRPr="00FD50F6">
        <w:rPr>
          <w:rFonts w:hint="eastAsia"/>
        </w:rPr>
        <w:t>；但在车挡前宜保持不少于</w:t>
      </w:r>
      <w:r w:rsidRPr="00FD50F6">
        <w:t>20m</w:t>
      </w:r>
      <w:r w:rsidRPr="00FD50F6">
        <w:rPr>
          <w:rFonts w:hint="eastAsia"/>
        </w:rPr>
        <w:t>的直线段，困难时应采取有效措施。车挡长度应由行车、信号和轨道综合确定。</w:t>
      </w:r>
    </w:p>
    <w:p w14:paraId="57BA7186" w14:textId="6E6D8131" w:rsidR="006E2974" w:rsidRPr="00FD50F6" w:rsidRDefault="00C662A1" w:rsidP="00A926BD">
      <w:pPr>
        <w:pStyle w:val="4"/>
      </w:pPr>
      <w:r w:rsidRPr="00FD50F6">
        <w:t>圆曲线最小长度，</w:t>
      </w:r>
      <w:r w:rsidR="006E2974" w:rsidRPr="00FD50F6">
        <w:t>A</w:t>
      </w:r>
      <w:r w:rsidR="006E2974" w:rsidRPr="00FD50F6">
        <w:t>型车不宜小于</w:t>
      </w:r>
      <w:r w:rsidR="006E2974" w:rsidRPr="00FD50F6">
        <w:t>25m</w:t>
      </w:r>
      <w:r w:rsidR="006E2974" w:rsidRPr="00FD50F6">
        <w:t>，</w:t>
      </w:r>
      <w:r w:rsidR="006E2974" w:rsidRPr="00FD50F6">
        <w:t>B</w:t>
      </w:r>
      <w:r w:rsidR="006E2974" w:rsidRPr="00FD50F6">
        <w:t>型车不宜小于</w:t>
      </w:r>
      <w:r w:rsidR="006E2974" w:rsidRPr="00FD50F6">
        <w:t>20m</w:t>
      </w:r>
      <w:r w:rsidR="006E2974" w:rsidRPr="00FD50F6">
        <w:t>；在困难情况下，不得小于一节车辆的全轴距；车场线不应小于</w:t>
      </w:r>
      <w:r w:rsidR="006E2974" w:rsidRPr="00FD50F6">
        <w:t>3m</w:t>
      </w:r>
      <w:r w:rsidR="006E2974" w:rsidRPr="00FD50F6">
        <w:rPr>
          <w:rFonts w:hint="eastAsia"/>
        </w:rPr>
        <w:t>。</w:t>
      </w:r>
    </w:p>
    <w:p w14:paraId="26A216DF" w14:textId="77777777" w:rsidR="006E2974" w:rsidRPr="00FD50F6" w:rsidRDefault="006E2974" w:rsidP="00A926BD">
      <w:pPr>
        <w:pStyle w:val="4"/>
      </w:pPr>
      <w:r w:rsidRPr="00FD50F6">
        <w:t>新建线路不应采用复曲线，在困难地段，应经技术经济比较后采用。复曲线间应设置中间缓和曲线，其长度不应小于</w:t>
      </w:r>
      <w:r w:rsidRPr="00FD50F6">
        <w:t>20m</w:t>
      </w:r>
      <w:r w:rsidRPr="00FD50F6">
        <w:t>，并应满足超高顺坡率不大于</w:t>
      </w:r>
      <w:r w:rsidRPr="00FD50F6">
        <w:t>2‰</w:t>
      </w:r>
      <w:r w:rsidRPr="00FD50F6">
        <w:t>的要求</w:t>
      </w:r>
      <w:r w:rsidRPr="00FD50F6">
        <w:rPr>
          <w:rFonts w:hint="eastAsia"/>
        </w:rPr>
        <w:t>。</w:t>
      </w:r>
    </w:p>
    <w:p w14:paraId="33541FC9" w14:textId="77777777" w:rsidR="006E2974" w:rsidRPr="00FD50F6" w:rsidRDefault="006E2974" w:rsidP="00A926BD">
      <w:pPr>
        <w:pStyle w:val="4"/>
      </w:pPr>
      <w:r w:rsidRPr="00FD50F6">
        <w:rPr>
          <w:rFonts w:hint="eastAsia"/>
        </w:rPr>
        <w:t>线路调线调坡的最大半径不宜超过</w:t>
      </w:r>
      <w:r w:rsidRPr="00FD50F6">
        <w:t>1</w:t>
      </w:r>
      <w:r w:rsidRPr="00FD50F6">
        <w:rPr>
          <w:rFonts w:hint="eastAsia"/>
        </w:rPr>
        <w:t>2</w:t>
      </w:r>
      <w:r w:rsidRPr="00FD50F6">
        <w:t>000m</w:t>
      </w:r>
      <w:r w:rsidRPr="00FD50F6">
        <w:rPr>
          <w:rFonts w:hint="eastAsia"/>
        </w:rPr>
        <w:t>，在困难地段，应经多方案比较后确定。</w:t>
      </w:r>
    </w:p>
    <w:p w14:paraId="3D543364" w14:textId="77777777" w:rsidR="006E2974" w:rsidRPr="00FD50F6" w:rsidRDefault="006E2974" w:rsidP="006E2974">
      <w:pPr>
        <w:pStyle w:val="30"/>
      </w:pPr>
      <w:r w:rsidRPr="00FD50F6">
        <w:t>缓和曲线设计应符合下列规定：</w:t>
      </w:r>
    </w:p>
    <w:p w14:paraId="62446735" w14:textId="77777777" w:rsidR="006E2974" w:rsidRPr="00FD50F6" w:rsidRDefault="006E2974" w:rsidP="00A926BD">
      <w:pPr>
        <w:pStyle w:val="4"/>
      </w:pPr>
      <w:r w:rsidRPr="00FD50F6">
        <w:t>线路平面圆曲线与直线之间应设置三次抛物线型的缓和曲线；</w:t>
      </w:r>
    </w:p>
    <w:p w14:paraId="75383AF6" w14:textId="77777777" w:rsidR="006E2974" w:rsidRPr="00FD50F6" w:rsidRDefault="006E2974" w:rsidP="00A926BD">
      <w:pPr>
        <w:pStyle w:val="4"/>
      </w:pPr>
      <w:r w:rsidRPr="00FD50F6">
        <w:t>缓和曲线长度内应完成直线至圆曲线的曲率变化，应包括轨距加宽过渡和超高递变；</w:t>
      </w:r>
    </w:p>
    <w:p w14:paraId="093ADFFD" w14:textId="755E0A86" w:rsidR="006E2974" w:rsidRPr="00FD50F6" w:rsidRDefault="006E2974" w:rsidP="00A926BD">
      <w:pPr>
        <w:pStyle w:val="4"/>
      </w:pPr>
      <w:r w:rsidRPr="00FD50F6">
        <w:t>缓和曲线长度应根据曲线半径、列车通过速度及曲线超高设置等因素，按表</w:t>
      </w:r>
      <w:r w:rsidRPr="00FD50F6">
        <w:t>7.2.2</w:t>
      </w:r>
      <w:r w:rsidRPr="00FD50F6">
        <w:t>的规定选用；</w:t>
      </w:r>
    </w:p>
    <w:p w14:paraId="5BDC001C" w14:textId="30B44D35" w:rsidR="006E2974" w:rsidRPr="001A4CF3" w:rsidRDefault="006E2974" w:rsidP="006E2974">
      <w:pPr>
        <w:pStyle w:val="6"/>
      </w:pPr>
      <w:r w:rsidRPr="001A4CF3">
        <w:t>表</w:t>
      </w:r>
      <w:r w:rsidRPr="001A4CF3">
        <w:t xml:space="preserve">7.2.2 </w:t>
      </w:r>
      <w:r w:rsidRPr="001A4CF3">
        <w:t>线路曲线超高－缓和曲线长度</w:t>
      </w:r>
    </w:p>
    <w:tbl>
      <w:tblPr>
        <w:tblpPr w:leftFromText="180" w:rightFromText="180" w:vertAnchor="text" w:horzAnchor="margin" w:tblpXSpec="center" w:tblpY="2"/>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4"/>
        <w:gridCol w:w="283"/>
        <w:gridCol w:w="541"/>
        <w:gridCol w:w="534"/>
        <w:gridCol w:w="534"/>
        <w:gridCol w:w="541"/>
        <w:gridCol w:w="541"/>
        <w:gridCol w:w="541"/>
        <w:gridCol w:w="541"/>
        <w:gridCol w:w="541"/>
        <w:gridCol w:w="541"/>
        <w:gridCol w:w="541"/>
        <w:gridCol w:w="558"/>
        <w:gridCol w:w="567"/>
        <w:gridCol w:w="567"/>
        <w:gridCol w:w="567"/>
        <w:gridCol w:w="567"/>
        <w:gridCol w:w="567"/>
        <w:gridCol w:w="425"/>
        <w:gridCol w:w="425"/>
      </w:tblGrid>
      <w:tr w:rsidR="00FD50F6" w:rsidRPr="00FD50F6" w14:paraId="4D739E14" w14:textId="77777777" w:rsidTr="00C70434">
        <w:tc>
          <w:tcPr>
            <w:tcW w:w="534" w:type="dxa"/>
            <w:tcBorders>
              <w:right w:val="single" w:sz="4" w:space="0" w:color="auto"/>
            </w:tcBorders>
          </w:tcPr>
          <w:p w14:paraId="21FD1228" w14:textId="77777777" w:rsidR="006E2974" w:rsidRPr="00FD50F6" w:rsidRDefault="006E2974" w:rsidP="00C70434">
            <w:pPr>
              <w:pStyle w:val="7"/>
              <w:jc w:val="left"/>
              <w:rPr>
                <w:rFonts w:eastAsia="楷体" w:cs="Times New Roman"/>
                <w:i/>
                <w:sz w:val="15"/>
                <w:szCs w:val="15"/>
              </w:rPr>
            </w:pPr>
            <w:r w:rsidRPr="00FD50F6">
              <w:rPr>
                <w:rFonts w:eastAsia="楷体" w:cs="Times New Roman"/>
                <w:i/>
                <w:sz w:val="15"/>
                <w:szCs w:val="15"/>
              </w:rPr>
              <w:t>R</w:t>
            </w:r>
          </w:p>
        </w:tc>
        <w:tc>
          <w:tcPr>
            <w:tcW w:w="283" w:type="dxa"/>
            <w:tcBorders>
              <w:left w:val="single" w:sz="4" w:space="0" w:color="auto"/>
              <w:bottom w:val="single" w:sz="6" w:space="0" w:color="auto"/>
            </w:tcBorders>
          </w:tcPr>
          <w:p w14:paraId="04AE5629" w14:textId="77777777" w:rsidR="006E2974" w:rsidRPr="00FD50F6" w:rsidRDefault="006E2974" w:rsidP="00C70434">
            <w:pPr>
              <w:pStyle w:val="7"/>
              <w:jc w:val="left"/>
              <w:rPr>
                <w:rFonts w:eastAsia="楷体" w:cs="Times New Roman"/>
                <w:i/>
                <w:sz w:val="15"/>
                <w:szCs w:val="15"/>
              </w:rPr>
            </w:pPr>
            <w:r w:rsidRPr="00FD50F6">
              <w:rPr>
                <w:rFonts w:eastAsia="楷体" w:cs="Times New Roman"/>
                <w:i/>
                <w:sz w:val="15"/>
                <w:szCs w:val="15"/>
              </w:rPr>
              <w:t>V</w:t>
            </w:r>
          </w:p>
        </w:tc>
        <w:tc>
          <w:tcPr>
            <w:tcW w:w="541" w:type="dxa"/>
            <w:tcBorders>
              <w:bottom w:val="single" w:sz="6" w:space="0" w:color="auto"/>
            </w:tcBorders>
          </w:tcPr>
          <w:p w14:paraId="2F2C1D4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120</w:t>
            </w:r>
          </w:p>
        </w:tc>
        <w:tc>
          <w:tcPr>
            <w:tcW w:w="534" w:type="dxa"/>
            <w:tcBorders>
              <w:bottom w:val="single" w:sz="6" w:space="0" w:color="auto"/>
            </w:tcBorders>
          </w:tcPr>
          <w:p w14:paraId="4A6B804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115</w:t>
            </w:r>
          </w:p>
        </w:tc>
        <w:tc>
          <w:tcPr>
            <w:tcW w:w="534" w:type="dxa"/>
          </w:tcPr>
          <w:p w14:paraId="19254E68"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110</w:t>
            </w:r>
          </w:p>
        </w:tc>
        <w:tc>
          <w:tcPr>
            <w:tcW w:w="541" w:type="dxa"/>
          </w:tcPr>
          <w:p w14:paraId="473DB61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105</w:t>
            </w:r>
          </w:p>
        </w:tc>
        <w:tc>
          <w:tcPr>
            <w:tcW w:w="541" w:type="dxa"/>
          </w:tcPr>
          <w:p w14:paraId="2580313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100</w:t>
            </w:r>
          </w:p>
        </w:tc>
        <w:tc>
          <w:tcPr>
            <w:tcW w:w="541" w:type="dxa"/>
          </w:tcPr>
          <w:p w14:paraId="41EC7A5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95</w:t>
            </w:r>
          </w:p>
        </w:tc>
        <w:tc>
          <w:tcPr>
            <w:tcW w:w="541" w:type="dxa"/>
          </w:tcPr>
          <w:p w14:paraId="281E75B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90</w:t>
            </w:r>
          </w:p>
        </w:tc>
        <w:tc>
          <w:tcPr>
            <w:tcW w:w="541" w:type="dxa"/>
          </w:tcPr>
          <w:p w14:paraId="3397792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85</w:t>
            </w:r>
          </w:p>
        </w:tc>
        <w:tc>
          <w:tcPr>
            <w:tcW w:w="541" w:type="dxa"/>
          </w:tcPr>
          <w:p w14:paraId="550E939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80</w:t>
            </w:r>
          </w:p>
        </w:tc>
        <w:tc>
          <w:tcPr>
            <w:tcW w:w="541" w:type="dxa"/>
          </w:tcPr>
          <w:p w14:paraId="2B4024C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75</w:t>
            </w:r>
          </w:p>
        </w:tc>
        <w:tc>
          <w:tcPr>
            <w:tcW w:w="558" w:type="dxa"/>
          </w:tcPr>
          <w:p w14:paraId="56D0A15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70</w:t>
            </w:r>
          </w:p>
        </w:tc>
        <w:tc>
          <w:tcPr>
            <w:tcW w:w="567" w:type="dxa"/>
          </w:tcPr>
          <w:p w14:paraId="1CCB654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65</w:t>
            </w:r>
          </w:p>
        </w:tc>
        <w:tc>
          <w:tcPr>
            <w:tcW w:w="567" w:type="dxa"/>
          </w:tcPr>
          <w:p w14:paraId="41F8E4E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60</w:t>
            </w:r>
          </w:p>
        </w:tc>
        <w:tc>
          <w:tcPr>
            <w:tcW w:w="567" w:type="dxa"/>
          </w:tcPr>
          <w:p w14:paraId="04724DC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55</w:t>
            </w:r>
          </w:p>
        </w:tc>
        <w:tc>
          <w:tcPr>
            <w:tcW w:w="567" w:type="dxa"/>
          </w:tcPr>
          <w:p w14:paraId="301EBFA8"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50</w:t>
            </w:r>
          </w:p>
        </w:tc>
        <w:tc>
          <w:tcPr>
            <w:tcW w:w="567" w:type="dxa"/>
          </w:tcPr>
          <w:p w14:paraId="26AB6D3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45</w:t>
            </w:r>
          </w:p>
        </w:tc>
        <w:tc>
          <w:tcPr>
            <w:tcW w:w="425" w:type="dxa"/>
          </w:tcPr>
          <w:p w14:paraId="198ABBD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40</w:t>
            </w:r>
          </w:p>
        </w:tc>
        <w:tc>
          <w:tcPr>
            <w:tcW w:w="425" w:type="dxa"/>
          </w:tcPr>
          <w:p w14:paraId="7A55ED0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r>
      <w:tr w:rsidR="003A7917" w:rsidRPr="00FD50F6" w14:paraId="0FBA997D" w14:textId="77777777" w:rsidTr="008716A3">
        <w:tc>
          <w:tcPr>
            <w:tcW w:w="534" w:type="dxa"/>
            <w:vMerge w:val="restart"/>
            <w:tcBorders>
              <w:right w:val="single" w:sz="4" w:space="0" w:color="auto"/>
            </w:tcBorders>
          </w:tcPr>
          <w:p w14:paraId="6784526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5A5B5F1D"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7E5CBF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4739637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Pr>
          <w:p w14:paraId="7FA8BE17" w14:textId="1AF68E95"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41" w:type="dxa"/>
          </w:tcPr>
          <w:p w14:paraId="0791629C" w14:textId="51249485" w:rsidR="003A7917" w:rsidRPr="00FD50F6" w:rsidRDefault="003A7917" w:rsidP="003A7917">
            <w:pPr>
              <w:pStyle w:val="7"/>
              <w:ind w:firstLineChars="200" w:firstLine="300"/>
              <w:jc w:val="left"/>
              <w:rPr>
                <w:rFonts w:eastAsia="楷体" w:cs="Times New Roman"/>
                <w:sz w:val="15"/>
                <w:szCs w:val="15"/>
              </w:rPr>
            </w:pPr>
            <w:r w:rsidRPr="00D1200D">
              <w:rPr>
                <w:rFonts w:eastAsia="楷体" w:cs="Times New Roman"/>
                <w:sz w:val="15"/>
                <w:szCs w:val="15"/>
              </w:rPr>
              <w:t>—</w:t>
            </w:r>
          </w:p>
        </w:tc>
        <w:tc>
          <w:tcPr>
            <w:tcW w:w="541" w:type="dxa"/>
          </w:tcPr>
          <w:p w14:paraId="6F809DA9" w14:textId="76CFEA64" w:rsidR="003A7917" w:rsidRPr="00FD50F6" w:rsidRDefault="003A7917" w:rsidP="003A7917">
            <w:pPr>
              <w:pStyle w:val="7"/>
              <w:ind w:firstLineChars="200" w:firstLine="300"/>
              <w:jc w:val="left"/>
              <w:rPr>
                <w:rFonts w:eastAsia="楷体" w:cs="Times New Roman"/>
                <w:sz w:val="15"/>
                <w:szCs w:val="15"/>
              </w:rPr>
            </w:pPr>
            <w:r w:rsidRPr="00D1200D">
              <w:rPr>
                <w:rFonts w:eastAsia="楷体" w:cs="Times New Roman"/>
                <w:sz w:val="15"/>
                <w:szCs w:val="15"/>
              </w:rPr>
              <w:t>—</w:t>
            </w:r>
          </w:p>
        </w:tc>
        <w:tc>
          <w:tcPr>
            <w:tcW w:w="541" w:type="dxa"/>
          </w:tcPr>
          <w:p w14:paraId="342D55EE" w14:textId="77BD9B4B"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41" w:type="dxa"/>
          </w:tcPr>
          <w:p w14:paraId="4A4656EA" w14:textId="2D9328C5"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41" w:type="dxa"/>
          </w:tcPr>
          <w:p w14:paraId="0781257B" w14:textId="044F24C4"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41" w:type="dxa"/>
          </w:tcPr>
          <w:p w14:paraId="00878454" w14:textId="62882D40"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41" w:type="dxa"/>
          </w:tcPr>
          <w:p w14:paraId="69EC372C" w14:textId="4329C31C"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58" w:type="dxa"/>
          </w:tcPr>
          <w:p w14:paraId="260D76B8" w14:textId="05B0BCCD"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67" w:type="dxa"/>
          </w:tcPr>
          <w:p w14:paraId="6D9026B7" w14:textId="2188810A"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67" w:type="dxa"/>
          </w:tcPr>
          <w:p w14:paraId="4E2A2B52" w14:textId="67523B87"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67" w:type="dxa"/>
          </w:tcPr>
          <w:p w14:paraId="42CCD7E8" w14:textId="3DD95244"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67" w:type="dxa"/>
          </w:tcPr>
          <w:p w14:paraId="4783C76E" w14:textId="0F4F9157"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567" w:type="dxa"/>
          </w:tcPr>
          <w:p w14:paraId="2586B33C" w14:textId="3A14213F"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425" w:type="dxa"/>
          </w:tcPr>
          <w:p w14:paraId="3B96CA55" w14:textId="5673FBB9"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c>
          <w:tcPr>
            <w:tcW w:w="425" w:type="dxa"/>
          </w:tcPr>
          <w:p w14:paraId="22DCE7F0" w14:textId="4833330B" w:rsidR="003A7917" w:rsidRPr="00FD50F6" w:rsidRDefault="003A7917" w:rsidP="003A7917">
            <w:pPr>
              <w:pStyle w:val="7"/>
              <w:jc w:val="left"/>
              <w:rPr>
                <w:rFonts w:eastAsia="楷体" w:cs="Times New Roman"/>
                <w:sz w:val="15"/>
                <w:szCs w:val="15"/>
              </w:rPr>
            </w:pPr>
            <w:r w:rsidRPr="00D1200D">
              <w:rPr>
                <w:rFonts w:eastAsia="楷体" w:cs="Times New Roman"/>
                <w:sz w:val="15"/>
                <w:szCs w:val="15"/>
              </w:rPr>
              <w:t>—</w:t>
            </w:r>
          </w:p>
        </w:tc>
      </w:tr>
      <w:tr w:rsidR="00FD50F6" w:rsidRPr="00FD50F6" w14:paraId="24A1E474" w14:textId="77777777" w:rsidTr="00C70434">
        <w:tc>
          <w:tcPr>
            <w:tcW w:w="534" w:type="dxa"/>
            <w:vMerge/>
            <w:tcBorders>
              <w:right w:val="single" w:sz="4" w:space="0" w:color="auto"/>
            </w:tcBorders>
          </w:tcPr>
          <w:p w14:paraId="049F05D7"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63AFA9C6"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6510F242"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vAlign w:val="center"/>
          </w:tcPr>
          <w:p w14:paraId="562ACC4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34" w:type="dxa"/>
            <w:tcBorders>
              <w:bottom w:val="single" w:sz="6" w:space="0" w:color="auto"/>
            </w:tcBorders>
            <w:vAlign w:val="center"/>
          </w:tcPr>
          <w:p w14:paraId="42ECAF9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0D1A0DB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B8D5D6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9461C0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51AE14E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1E65C6E1"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418B661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1BD8CE6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6773594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4F33D48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26DF91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FF8E4D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2A6F892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3EEA6B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457DAD3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016BEE4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7B19D958" w14:textId="77777777" w:rsidTr="008716A3">
        <w:tc>
          <w:tcPr>
            <w:tcW w:w="534" w:type="dxa"/>
            <w:vMerge w:val="restart"/>
            <w:tcBorders>
              <w:right w:val="single" w:sz="4" w:space="0" w:color="auto"/>
            </w:tcBorders>
          </w:tcPr>
          <w:p w14:paraId="71C5FFD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53F5E929"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1BFEB5B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158E15E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06EC2D3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2D907EF0" w14:textId="1FE19E10" w:rsidR="003A7917" w:rsidRPr="00FD50F6" w:rsidRDefault="003A7917" w:rsidP="003A7917">
            <w:pPr>
              <w:pStyle w:val="7"/>
              <w:ind w:firstLineChars="200" w:firstLine="300"/>
              <w:jc w:val="left"/>
              <w:rPr>
                <w:rFonts w:eastAsia="楷体" w:cs="Times New Roman"/>
                <w:sz w:val="15"/>
                <w:szCs w:val="15"/>
              </w:rPr>
            </w:pPr>
            <w:r w:rsidRPr="00753E07">
              <w:rPr>
                <w:rFonts w:eastAsia="楷体" w:cs="Times New Roman"/>
                <w:sz w:val="15"/>
                <w:szCs w:val="15"/>
              </w:rPr>
              <w:t>—</w:t>
            </w:r>
          </w:p>
        </w:tc>
        <w:tc>
          <w:tcPr>
            <w:tcW w:w="541" w:type="dxa"/>
          </w:tcPr>
          <w:p w14:paraId="1B6287BE" w14:textId="2AEF5638" w:rsidR="003A7917" w:rsidRPr="00FD50F6" w:rsidRDefault="003A7917" w:rsidP="003A7917">
            <w:pPr>
              <w:pStyle w:val="7"/>
              <w:ind w:firstLineChars="200" w:firstLine="300"/>
              <w:jc w:val="left"/>
              <w:rPr>
                <w:rFonts w:eastAsia="楷体" w:cs="Times New Roman"/>
                <w:sz w:val="15"/>
                <w:szCs w:val="15"/>
              </w:rPr>
            </w:pPr>
            <w:r w:rsidRPr="00753E07">
              <w:rPr>
                <w:rFonts w:eastAsia="楷体" w:cs="Times New Roman"/>
                <w:sz w:val="15"/>
                <w:szCs w:val="15"/>
              </w:rPr>
              <w:t>—</w:t>
            </w:r>
          </w:p>
        </w:tc>
        <w:tc>
          <w:tcPr>
            <w:tcW w:w="541" w:type="dxa"/>
          </w:tcPr>
          <w:p w14:paraId="2DFE5399" w14:textId="272C3981"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41" w:type="dxa"/>
          </w:tcPr>
          <w:p w14:paraId="10D9EAAE" w14:textId="28864414"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41" w:type="dxa"/>
          </w:tcPr>
          <w:p w14:paraId="130CBD60" w14:textId="7349E8C9"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41" w:type="dxa"/>
          </w:tcPr>
          <w:p w14:paraId="6AC9CD23" w14:textId="0C5E3641"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41" w:type="dxa"/>
          </w:tcPr>
          <w:p w14:paraId="5ACF9992" w14:textId="56CDA044"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58" w:type="dxa"/>
          </w:tcPr>
          <w:p w14:paraId="69435891" w14:textId="3507A2BD"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67" w:type="dxa"/>
          </w:tcPr>
          <w:p w14:paraId="57A9AD68" w14:textId="3632D0D5"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67" w:type="dxa"/>
          </w:tcPr>
          <w:p w14:paraId="236E5CDA" w14:textId="5FC47139"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67" w:type="dxa"/>
          </w:tcPr>
          <w:p w14:paraId="5BECEA84" w14:textId="268E37DA"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67" w:type="dxa"/>
          </w:tcPr>
          <w:p w14:paraId="2AEDA332" w14:textId="0740E5F9"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567" w:type="dxa"/>
          </w:tcPr>
          <w:p w14:paraId="799A7573" w14:textId="61594965"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425" w:type="dxa"/>
          </w:tcPr>
          <w:p w14:paraId="3598B723" w14:textId="716779E3"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c>
          <w:tcPr>
            <w:tcW w:w="425" w:type="dxa"/>
          </w:tcPr>
          <w:p w14:paraId="3EB68505" w14:textId="2B464838" w:rsidR="003A7917" w:rsidRPr="00FD50F6" w:rsidRDefault="003A7917" w:rsidP="003A7917">
            <w:pPr>
              <w:pStyle w:val="7"/>
              <w:jc w:val="left"/>
              <w:rPr>
                <w:rFonts w:eastAsia="楷体" w:cs="Times New Roman"/>
                <w:sz w:val="15"/>
                <w:szCs w:val="15"/>
              </w:rPr>
            </w:pPr>
            <w:r w:rsidRPr="00753E07">
              <w:rPr>
                <w:rFonts w:eastAsia="楷体" w:cs="Times New Roman"/>
                <w:sz w:val="15"/>
                <w:szCs w:val="15"/>
              </w:rPr>
              <w:t>—</w:t>
            </w:r>
          </w:p>
        </w:tc>
      </w:tr>
      <w:tr w:rsidR="00FD50F6" w:rsidRPr="00FD50F6" w14:paraId="5CF363BE" w14:textId="77777777" w:rsidTr="00C70434">
        <w:tc>
          <w:tcPr>
            <w:tcW w:w="534" w:type="dxa"/>
            <w:vMerge/>
            <w:tcBorders>
              <w:right w:val="single" w:sz="4" w:space="0" w:color="auto"/>
            </w:tcBorders>
          </w:tcPr>
          <w:p w14:paraId="29B3FE94"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793A461C"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4BA091E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vAlign w:val="center"/>
          </w:tcPr>
          <w:p w14:paraId="6A0A8DA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vAlign w:val="center"/>
          </w:tcPr>
          <w:p w14:paraId="31E9431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5CBFBA1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42541F4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0402BA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28D859A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0EF3176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1ED6BBAB"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2EEA476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6CC1B0F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5DAF450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27F71DA4"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4E38F41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79F91C8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64C93346"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15C0ED8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2566345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r>
      <w:tr w:rsidR="003A7917" w:rsidRPr="00FD50F6" w14:paraId="7E1A2BFB" w14:textId="77777777" w:rsidTr="008716A3">
        <w:tc>
          <w:tcPr>
            <w:tcW w:w="534" w:type="dxa"/>
            <w:vMerge w:val="restart"/>
            <w:tcBorders>
              <w:right w:val="single" w:sz="4" w:space="0" w:color="auto"/>
            </w:tcBorders>
          </w:tcPr>
          <w:p w14:paraId="0046645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2783274F"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6D87B7C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0AA2FAE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297F67A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17B72F75" w14:textId="5F02C0FE" w:rsidR="003A7917" w:rsidRPr="00FD50F6" w:rsidRDefault="003A7917" w:rsidP="003A7917">
            <w:pPr>
              <w:pStyle w:val="7"/>
              <w:ind w:firstLineChars="200" w:firstLine="300"/>
              <w:jc w:val="left"/>
              <w:rPr>
                <w:rFonts w:eastAsia="楷体" w:cs="Times New Roman"/>
                <w:sz w:val="15"/>
                <w:szCs w:val="15"/>
              </w:rPr>
            </w:pPr>
            <w:r w:rsidRPr="007539DD">
              <w:rPr>
                <w:rFonts w:eastAsia="楷体" w:cs="Times New Roman"/>
                <w:sz w:val="15"/>
                <w:szCs w:val="15"/>
              </w:rPr>
              <w:t>—</w:t>
            </w:r>
          </w:p>
        </w:tc>
        <w:tc>
          <w:tcPr>
            <w:tcW w:w="541" w:type="dxa"/>
          </w:tcPr>
          <w:p w14:paraId="69A4562C" w14:textId="6EBBC61C" w:rsidR="003A7917" w:rsidRPr="00FD50F6" w:rsidRDefault="003A7917" w:rsidP="003A7917">
            <w:pPr>
              <w:pStyle w:val="7"/>
              <w:ind w:firstLineChars="200" w:firstLine="300"/>
              <w:jc w:val="left"/>
              <w:rPr>
                <w:rFonts w:eastAsia="楷体" w:cs="Times New Roman"/>
                <w:sz w:val="15"/>
                <w:szCs w:val="15"/>
              </w:rPr>
            </w:pPr>
            <w:r w:rsidRPr="007539DD">
              <w:rPr>
                <w:rFonts w:eastAsia="楷体" w:cs="Times New Roman"/>
                <w:sz w:val="15"/>
                <w:szCs w:val="15"/>
              </w:rPr>
              <w:t>—</w:t>
            </w:r>
          </w:p>
        </w:tc>
        <w:tc>
          <w:tcPr>
            <w:tcW w:w="541" w:type="dxa"/>
          </w:tcPr>
          <w:p w14:paraId="608AB870" w14:textId="47FBB04C"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41" w:type="dxa"/>
          </w:tcPr>
          <w:p w14:paraId="44D29474" w14:textId="32703BFA"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41" w:type="dxa"/>
          </w:tcPr>
          <w:p w14:paraId="5D95F1F7" w14:textId="6AE15745"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41" w:type="dxa"/>
          </w:tcPr>
          <w:p w14:paraId="5C708A0A" w14:textId="1606A7E5"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41" w:type="dxa"/>
          </w:tcPr>
          <w:p w14:paraId="646C7E64" w14:textId="44231B9C"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58" w:type="dxa"/>
          </w:tcPr>
          <w:p w14:paraId="3139BD96" w14:textId="69788056"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67" w:type="dxa"/>
          </w:tcPr>
          <w:p w14:paraId="0F2AF59E" w14:textId="0C3DB8AD"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67" w:type="dxa"/>
          </w:tcPr>
          <w:p w14:paraId="7E1D64DE" w14:textId="272C50FA"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67" w:type="dxa"/>
          </w:tcPr>
          <w:p w14:paraId="48B39AE0" w14:textId="18A758EE"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67" w:type="dxa"/>
          </w:tcPr>
          <w:p w14:paraId="2D495187" w14:textId="394B8598"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567" w:type="dxa"/>
          </w:tcPr>
          <w:p w14:paraId="70C96CD3" w14:textId="362FBFFB"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425" w:type="dxa"/>
          </w:tcPr>
          <w:p w14:paraId="7A60D11C" w14:textId="4445641B"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c>
          <w:tcPr>
            <w:tcW w:w="425" w:type="dxa"/>
          </w:tcPr>
          <w:p w14:paraId="6F43261D" w14:textId="6268948E" w:rsidR="003A7917" w:rsidRPr="00FD50F6" w:rsidRDefault="003A7917" w:rsidP="003A7917">
            <w:pPr>
              <w:pStyle w:val="7"/>
              <w:jc w:val="left"/>
              <w:rPr>
                <w:rFonts w:eastAsia="楷体" w:cs="Times New Roman"/>
                <w:sz w:val="15"/>
                <w:szCs w:val="15"/>
              </w:rPr>
            </w:pPr>
            <w:r w:rsidRPr="007539DD">
              <w:rPr>
                <w:rFonts w:eastAsia="楷体" w:cs="Times New Roman"/>
                <w:sz w:val="15"/>
                <w:szCs w:val="15"/>
              </w:rPr>
              <w:t>—</w:t>
            </w:r>
          </w:p>
        </w:tc>
      </w:tr>
      <w:tr w:rsidR="00FD50F6" w:rsidRPr="00FD50F6" w14:paraId="5EF6B0E5" w14:textId="77777777" w:rsidTr="00C70434">
        <w:tc>
          <w:tcPr>
            <w:tcW w:w="534" w:type="dxa"/>
            <w:vMerge/>
            <w:tcBorders>
              <w:right w:val="single" w:sz="4" w:space="0" w:color="auto"/>
            </w:tcBorders>
          </w:tcPr>
          <w:p w14:paraId="4D16295B"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663D548F"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59E1DD3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vAlign w:val="center"/>
          </w:tcPr>
          <w:p w14:paraId="48F197E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vAlign w:val="center"/>
          </w:tcPr>
          <w:p w14:paraId="775E10F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6EBF05C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314DF9A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176FBC2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4923CB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6930582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7EB2ACE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27A0FB5B"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65D7A44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1CC5356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549F219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77D9526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673B5FD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6BD8588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65CA01D2"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11B4C50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r>
      <w:tr w:rsidR="003A7917" w:rsidRPr="00FD50F6" w14:paraId="1C240669" w14:textId="77777777" w:rsidTr="008716A3">
        <w:tc>
          <w:tcPr>
            <w:tcW w:w="534" w:type="dxa"/>
            <w:vMerge w:val="restart"/>
            <w:tcBorders>
              <w:right w:val="single" w:sz="4" w:space="0" w:color="auto"/>
            </w:tcBorders>
          </w:tcPr>
          <w:p w14:paraId="38ED32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7EC4EA73"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6363376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7050A34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34" w:type="dxa"/>
            <w:tcBorders>
              <w:top w:val="single" w:sz="6" w:space="0" w:color="auto"/>
              <w:bottom w:val="single" w:sz="6" w:space="0" w:color="auto"/>
            </w:tcBorders>
            <w:shd w:val="clear" w:color="auto" w:fill="D9D9D9" w:themeFill="background1" w:themeFillShade="D9"/>
            <w:vAlign w:val="center"/>
          </w:tcPr>
          <w:p w14:paraId="6095FF7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757561B2" w14:textId="11B8C6DE" w:rsidR="003A7917" w:rsidRPr="00FD50F6" w:rsidRDefault="003A7917" w:rsidP="003A7917">
            <w:pPr>
              <w:pStyle w:val="7"/>
              <w:ind w:firstLineChars="200" w:firstLine="300"/>
              <w:jc w:val="left"/>
              <w:rPr>
                <w:rFonts w:eastAsia="楷体" w:cs="Times New Roman"/>
                <w:sz w:val="15"/>
                <w:szCs w:val="15"/>
              </w:rPr>
            </w:pPr>
            <w:r w:rsidRPr="00FA5F8F">
              <w:rPr>
                <w:rFonts w:eastAsia="楷体" w:cs="Times New Roman"/>
                <w:sz w:val="15"/>
                <w:szCs w:val="15"/>
              </w:rPr>
              <w:t>—</w:t>
            </w:r>
          </w:p>
        </w:tc>
        <w:tc>
          <w:tcPr>
            <w:tcW w:w="541" w:type="dxa"/>
          </w:tcPr>
          <w:p w14:paraId="3331ED17" w14:textId="5C0CC8D7" w:rsidR="003A7917" w:rsidRPr="00FD50F6" w:rsidRDefault="003A7917" w:rsidP="003A7917">
            <w:pPr>
              <w:pStyle w:val="7"/>
              <w:ind w:firstLineChars="200" w:firstLine="300"/>
              <w:jc w:val="left"/>
              <w:rPr>
                <w:rFonts w:eastAsia="楷体" w:cs="Times New Roman"/>
                <w:sz w:val="15"/>
                <w:szCs w:val="15"/>
              </w:rPr>
            </w:pPr>
            <w:r w:rsidRPr="00FA5F8F">
              <w:rPr>
                <w:rFonts w:eastAsia="楷体" w:cs="Times New Roman"/>
                <w:sz w:val="15"/>
                <w:szCs w:val="15"/>
              </w:rPr>
              <w:t>—</w:t>
            </w:r>
          </w:p>
        </w:tc>
        <w:tc>
          <w:tcPr>
            <w:tcW w:w="541" w:type="dxa"/>
          </w:tcPr>
          <w:p w14:paraId="1D6155E9" w14:textId="187C8DF3"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41" w:type="dxa"/>
          </w:tcPr>
          <w:p w14:paraId="3A299B38" w14:textId="2BB0C80E"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41" w:type="dxa"/>
          </w:tcPr>
          <w:p w14:paraId="6934896F" w14:textId="3121C638"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41" w:type="dxa"/>
          </w:tcPr>
          <w:p w14:paraId="1F895C37" w14:textId="53F72CA9"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41" w:type="dxa"/>
          </w:tcPr>
          <w:p w14:paraId="73A36B3D" w14:textId="623D914A"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58" w:type="dxa"/>
          </w:tcPr>
          <w:p w14:paraId="5F560B61" w14:textId="4A4B20ED"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67" w:type="dxa"/>
          </w:tcPr>
          <w:p w14:paraId="02FF6AC6" w14:textId="533E481A"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67" w:type="dxa"/>
          </w:tcPr>
          <w:p w14:paraId="1BAFDBF0" w14:textId="7E41CE69"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67" w:type="dxa"/>
          </w:tcPr>
          <w:p w14:paraId="44954DE5" w14:textId="1DE0585D"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67" w:type="dxa"/>
          </w:tcPr>
          <w:p w14:paraId="2EDA3484" w14:textId="25E24D36"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567" w:type="dxa"/>
          </w:tcPr>
          <w:p w14:paraId="041D7C21" w14:textId="50F64876"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425" w:type="dxa"/>
          </w:tcPr>
          <w:p w14:paraId="7A2FBF19" w14:textId="1B15547F"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c>
          <w:tcPr>
            <w:tcW w:w="425" w:type="dxa"/>
          </w:tcPr>
          <w:p w14:paraId="14C31C5E" w14:textId="5B9A6B69" w:rsidR="003A7917" w:rsidRPr="00FD50F6" w:rsidRDefault="003A7917" w:rsidP="003A7917">
            <w:pPr>
              <w:pStyle w:val="7"/>
              <w:jc w:val="left"/>
              <w:rPr>
                <w:rFonts w:eastAsia="楷体" w:cs="Times New Roman"/>
                <w:sz w:val="15"/>
                <w:szCs w:val="15"/>
              </w:rPr>
            </w:pPr>
            <w:r w:rsidRPr="00FA5F8F">
              <w:rPr>
                <w:rFonts w:eastAsia="楷体" w:cs="Times New Roman"/>
                <w:sz w:val="15"/>
                <w:szCs w:val="15"/>
              </w:rPr>
              <w:t>—</w:t>
            </w:r>
          </w:p>
        </w:tc>
      </w:tr>
      <w:tr w:rsidR="00FD50F6" w:rsidRPr="00FD50F6" w14:paraId="5B20526B" w14:textId="77777777" w:rsidTr="00C70434">
        <w:tc>
          <w:tcPr>
            <w:tcW w:w="534" w:type="dxa"/>
            <w:vMerge/>
            <w:tcBorders>
              <w:right w:val="single" w:sz="4" w:space="0" w:color="auto"/>
            </w:tcBorders>
          </w:tcPr>
          <w:p w14:paraId="2D16AFD4"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5A642F02"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506C352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vAlign w:val="center"/>
          </w:tcPr>
          <w:p w14:paraId="623FA8F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vAlign w:val="center"/>
          </w:tcPr>
          <w:p w14:paraId="3F42652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7130277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5F67024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0DD050C4"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0BB72E4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0D77CAD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47AD5A8B"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6077686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5FEE06F2"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498D5A9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4ED9232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7B276AC2"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3237868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730617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361851E6"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5E0AB07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r>
      <w:tr w:rsidR="003A7917" w:rsidRPr="00FD50F6" w14:paraId="2B35D497" w14:textId="77777777" w:rsidTr="008716A3">
        <w:tc>
          <w:tcPr>
            <w:tcW w:w="534" w:type="dxa"/>
            <w:vMerge w:val="restart"/>
            <w:tcBorders>
              <w:right w:val="single" w:sz="4" w:space="0" w:color="auto"/>
            </w:tcBorders>
          </w:tcPr>
          <w:p w14:paraId="0206AB8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54EE95DB"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5FF7E78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shd w:val="clear" w:color="auto" w:fill="D9D9D9" w:themeFill="background1" w:themeFillShade="D9"/>
            <w:vAlign w:val="center"/>
          </w:tcPr>
          <w:p w14:paraId="4479DEE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shd w:val="clear" w:color="auto" w:fill="D9D9D9" w:themeFill="background1" w:themeFillShade="D9"/>
            <w:vAlign w:val="center"/>
          </w:tcPr>
          <w:p w14:paraId="12698BA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76204F6D" w14:textId="61F1C772" w:rsidR="003A7917" w:rsidRPr="00FD50F6" w:rsidRDefault="003A7917" w:rsidP="003A7917">
            <w:pPr>
              <w:pStyle w:val="7"/>
              <w:ind w:firstLineChars="200" w:firstLine="300"/>
              <w:jc w:val="left"/>
              <w:rPr>
                <w:rFonts w:eastAsia="楷体" w:cs="Times New Roman"/>
                <w:sz w:val="15"/>
                <w:szCs w:val="15"/>
              </w:rPr>
            </w:pPr>
            <w:r w:rsidRPr="00EB74BD">
              <w:rPr>
                <w:rFonts w:eastAsia="楷体" w:cs="Times New Roman"/>
                <w:sz w:val="15"/>
                <w:szCs w:val="15"/>
              </w:rPr>
              <w:t>—</w:t>
            </w:r>
          </w:p>
        </w:tc>
        <w:tc>
          <w:tcPr>
            <w:tcW w:w="541" w:type="dxa"/>
          </w:tcPr>
          <w:p w14:paraId="5093F1CC" w14:textId="479AD0FD" w:rsidR="003A7917" w:rsidRPr="00FD50F6" w:rsidRDefault="003A7917" w:rsidP="003A7917">
            <w:pPr>
              <w:pStyle w:val="7"/>
              <w:ind w:firstLineChars="200" w:firstLine="300"/>
              <w:jc w:val="left"/>
              <w:rPr>
                <w:rFonts w:eastAsia="楷体" w:cs="Times New Roman"/>
                <w:sz w:val="15"/>
                <w:szCs w:val="15"/>
              </w:rPr>
            </w:pPr>
            <w:r w:rsidRPr="00EB74BD">
              <w:rPr>
                <w:rFonts w:eastAsia="楷体" w:cs="Times New Roman"/>
                <w:sz w:val="15"/>
                <w:szCs w:val="15"/>
              </w:rPr>
              <w:t>—</w:t>
            </w:r>
          </w:p>
        </w:tc>
        <w:tc>
          <w:tcPr>
            <w:tcW w:w="541" w:type="dxa"/>
          </w:tcPr>
          <w:p w14:paraId="56AFF9D9" w14:textId="3C44A06B"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41" w:type="dxa"/>
          </w:tcPr>
          <w:p w14:paraId="3810D266" w14:textId="1A958D65"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41" w:type="dxa"/>
          </w:tcPr>
          <w:p w14:paraId="7864615A" w14:textId="1367200D"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41" w:type="dxa"/>
          </w:tcPr>
          <w:p w14:paraId="3DF7B2C8" w14:textId="5D99C20E"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41" w:type="dxa"/>
          </w:tcPr>
          <w:p w14:paraId="62926A83" w14:textId="6B20E7DE"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58" w:type="dxa"/>
          </w:tcPr>
          <w:p w14:paraId="260D04D9" w14:textId="14C8C5BF"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67" w:type="dxa"/>
          </w:tcPr>
          <w:p w14:paraId="5C7FC9D4" w14:textId="209E9066"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67" w:type="dxa"/>
          </w:tcPr>
          <w:p w14:paraId="2D6EB16B" w14:textId="3D4B57FC"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67" w:type="dxa"/>
          </w:tcPr>
          <w:p w14:paraId="0A9922D3" w14:textId="297C70A3"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67" w:type="dxa"/>
          </w:tcPr>
          <w:p w14:paraId="2FD9C109" w14:textId="7ED0050D"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567" w:type="dxa"/>
          </w:tcPr>
          <w:p w14:paraId="4FCF3B94" w14:textId="07782DE2"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425" w:type="dxa"/>
          </w:tcPr>
          <w:p w14:paraId="5C2D7747" w14:textId="0E531F80"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c>
          <w:tcPr>
            <w:tcW w:w="425" w:type="dxa"/>
          </w:tcPr>
          <w:p w14:paraId="5745C8D1" w14:textId="717E2388" w:rsidR="003A7917" w:rsidRPr="00FD50F6" w:rsidRDefault="003A7917" w:rsidP="003A7917">
            <w:pPr>
              <w:pStyle w:val="7"/>
              <w:jc w:val="left"/>
              <w:rPr>
                <w:rFonts w:eastAsia="楷体" w:cs="Times New Roman"/>
                <w:sz w:val="15"/>
                <w:szCs w:val="15"/>
              </w:rPr>
            </w:pPr>
            <w:r w:rsidRPr="00EB74BD">
              <w:rPr>
                <w:rFonts w:eastAsia="楷体" w:cs="Times New Roman"/>
                <w:sz w:val="15"/>
                <w:szCs w:val="15"/>
              </w:rPr>
              <w:t>—</w:t>
            </w:r>
          </w:p>
        </w:tc>
      </w:tr>
      <w:tr w:rsidR="00FD50F6" w:rsidRPr="00FD50F6" w14:paraId="0FC8C703" w14:textId="77777777" w:rsidTr="00C70434">
        <w:tc>
          <w:tcPr>
            <w:tcW w:w="534" w:type="dxa"/>
            <w:vMerge/>
            <w:tcBorders>
              <w:right w:val="single" w:sz="4" w:space="0" w:color="auto"/>
            </w:tcBorders>
          </w:tcPr>
          <w:p w14:paraId="4B297674"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10B21291"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1A7EF0A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vAlign w:val="center"/>
          </w:tcPr>
          <w:p w14:paraId="12E34EC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vAlign w:val="center"/>
          </w:tcPr>
          <w:p w14:paraId="3551D16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1EDC381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016076A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6CB4327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5800E49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54F10E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548852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41" w:type="dxa"/>
            <w:vAlign w:val="center"/>
          </w:tcPr>
          <w:p w14:paraId="3A27E53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2791E2A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22B0C87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7306F54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6CFCE7F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3D5C68C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D2C064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3CFA0B9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5F9C71D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1B02AD30" w14:textId="77777777" w:rsidTr="008716A3">
        <w:tc>
          <w:tcPr>
            <w:tcW w:w="534" w:type="dxa"/>
            <w:vMerge w:val="restart"/>
            <w:tcBorders>
              <w:right w:val="single" w:sz="4" w:space="0" w:color="auto"/>
            </w:tcBorders>
          </w:tcPr>
          <w:p w14:paraId="2487798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7C4D4BA3"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3C5B9D2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shd w:val="clear" w:color="auto" w:fill="D9D9D9" w:themeFill="background1" w:themeFillShade="D9"/>
            <w:vAlign w:val="center"/>
          </w:tcPr>
          <w:p w14:paraId="21A7F10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shd w:val="clear" w:color="auto" w:fill="D9D9D9" w:themeFill="background1" w:themeFillShade="D9"/>
            <w:vAlign w:val="center"/>
          </w:tcPr>
          <w:p w14:paraId="42D56A1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1052B238" w14:textId="3D9669CE" w:rsidR="003A7917" w:rsidRPr="00FD50F6" w:rsidRDefault="003A7917" w:rsidP="003A7917">
            <w:pPr>
              <w:pStyle w:val="7"/>
              <w:ind w:firstLineChars="200" w:firstLine="300"/>
              <w:jc w:val="left"/>
              <w:rPr>
                <w:rFonts w:eastAsia="楷体" w:cs="Times New Roman"/>
                <w:sz w:val="15"/>
                <w:szCs w:val="15"/>
              </w:rPr>
            </w:pPr>
            <w:r w:rsidRPr="008671B2">
              <w:rPr>
                <w:rFonts w:eastAsia="楷体" w:cs="Times New Roman"/>
                <w:sz w:val="15"/>
                <w:szCs w:val="15"/>
              </w:rPr>
              <w:t>—</w:t>
            </w:r>
          </w:p>
        </w:tc>
        <w:tc>
          <w:tcPr>
            <w:tcW w:w="541" w:type="dxa"/>
          </w:tcPr>
          <w:p w14:paraId="4F8BCFFB" w14:textId="318F0EB5" w:rsidR="003A7917" w:rsidRPr="00FD50F6" w:rsidRDefault="003A7917" w:rsidP="003A7917">
            <w:pPr>
              <w:pStyle w:val="7"/>
              <w:ind w:firstLineChars="200" w:firstLine="300"/>
              <w:jc w:val="left"/>
              <w:rPr>
                <w:rFonts w:eastAsia="楷体" w:cs="Times New Roman"/>
                <w:sz w:val="15"/>
                <w:szCs w:val="15"/>
              </w:rPr>
            </w:pPr>
            <w:r w:rsidRPr="008671B2">
              <w:rPr>
                <w:rFonts w:eastAsia="楷体" w:cs="Times New Roman"/>
                <w:sz w:val="15"/>
                <w:szCs w:val="15"/>
              </w:rPr>
              <w:t>—</w:t>
            </w:r>
          </w:p>
        </w:tc>
        <w:tc>
          <w:tcPr>
            <w:tcW w:w="541" w:type="dxa"/>
          </w:tcPr>
          <w:p w14:paraId="41B6AE85" w14:textId="5D9DCA8A"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41" w:type="dxa"/>
          </w:tcPr>
          <w:p w14:paraId="1851F218" w14:textId="28020984"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41" w:type="dxa"/>
          </w:tcPr>
          <w:p w14:paraId="1AC14B07" w14:textId="6BA613E5"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41" w:type="dxa"/>
          </w:tcPr>
          <w:p w14:paraId="046809E3" w14:textId="4D85260B"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41" w:type="dxa"/>
          </w:tcPr>
          <w:p w14:paraId="265001BD" w14:textId="1D6A9F51"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58" w:type="dxa"/>
          </w:tcPr>
          <w:p w14:paraId="665F72F2" w14:textId="18C76E68"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67" w:type="dxa"/>
          </w:tcPr>
          <w:p w14:paraId="76C98C19" w14:textId="69DEFA12"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67" w:type="dxa"/>
          </w:tcPr>
          <w:p w14:paraId="2D108149" w14:textId="042795AA"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67" w:type="dxa"/>
          </w:tcPr>
          <w:p w14:paraId="6D3C9E11" w14:textId="47A91D23"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67" w:type="dxa"/>
          </w:tcPr>
          <w:p w14:paraId="4988D621" w14:textId="5F702D89"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567" w:type="dxa"/>
          </w:tcPr>
          <w:p w14:paraId="218B95D1" w14:textId="3FD3EEE0"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425" w:type="dxa"/>
          </w:tcPr>
          <w:p w14:paraId="02FF4700" w14:textId="05D5C24F"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c>
          <w:tcPr>
            <w:tcW w:w="425" w:type="dxa"/>
          </w:tcPr>
          <w:p w14:paraId="165376D6" w14:textId="3CCDA9E5" w:rsidR="003A7917" w:rsidRPr="00FD50F6" w:rsidRDefault="003A7917" w:rsidP="003A7917">
            <w:pPr>
              <w:pStyle w:val="7"/>
              <w:jc w:val="left"/>
              <w:rPr>
                <w:rFonts w:eastAsia="楷体" w:cs="Times New Roman"/>
                <w:sz w:val="15"/>
                <w:szCs w:val="15"/>
              </w:rPr>
            </w:pPr>
            <w:r w:rsidRPr="008671B2">
              <w:rPr>
                <w:rFonts w:eastAsia="楷体" w:cs="Times New Roman"/>
                <w:sz w:val="15"/>
                <w:szCs w:val="15"/>
              </w:rPr>
              <w:t>—</w:t>
            </w:r>
          </w:p>
        </w:tc>
      </w:tr>
      <w:tr w:rsidR="00FD50F6" w:rsidRPr="00FD50F6" w14:paraId="73D1ED2F" w14:textId="77777777" w:rsidTr="00C70434">
        <w:tc>
          <w:tcPr>
            <w:tcW w:w="534" w:type="dxa"/>
            <w:vMerge/>
            <w:tcBorders>
              <w:right w:val="single" w:sz="4" w:space="0" w:color="auto"/>
            </w:tcBorders>
          </w:tcPr>
          <w:p w14:paraId="50BAD2D1"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2A368799"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08FCD31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vAlign w:val="center"/>
          </w:tcPr>
          <w:p w14:paraId="663B29B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vAlign w:val="center"/>
          </w:tcPr>
          <w:p w14:paraId="06BD38B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41" w:type="dxa"/>
            <w:tcBorders>
              <w:bottom w:val="single" w:sz="6" w:space="0" w:color="auto"/>
            </w:tcBorders>
            <w:vAlign w:val="center"/>
          </w:tcPr>
          <w:p w14:paraId="2434898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0E8D1F3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56F26D2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2D52162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4129D893"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7D664E8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58DF63B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0D003E4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5D617CA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7FF9387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6F70BF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1E93A09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20844C6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0E73977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03872CE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304A68B7" w14:textId="77777777" w:rsidTr="008716A3">
        <w:tc>
          <w:tcPr>
            <w:tcW w:w="534" w:type="dxa"/>
            <w:vMerge w:val="restart"/>
            <w:tcBorders>
              <w:right w:val="single" w:sz="4" w:space="0" w:color="auto"/>
            </w:tcBorders>
          </w:tcPr>
          <w:p w14:paraId="5785136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2746C6B7"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614221F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shd w:val="clear" w:color="auto" w:fill="D9D9D9" w:themeFill="background1" w:themeFillShade="D9"/>
            <w:vAlign w:val="center"/>
          </w:tcPr>
          <w:p w14:paraId="411DBF2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shd w:val="clear" w:color="auto" w:fill="D9D9D9" w:themeFill="background1" w:themeFillShade="D9"/>
            <w:vAlign w:val="center"/>
          </w:tcPr>
          <w:p w14:paraId="2D3AD40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Borders>
              <w:top w:val="single" w:sz="6" w:space="0" w:color="auto"/>
              <w:bottom w:val="single" w:sz="6" w:space="0" w:color="auto"/>
            </w:tcBorders>
            <w:shd w:val="clear" w:color="auto" w:fill="D9D9D9" w:themeFill="background1" w:themeFillShade="D9"/>
            <w:vAlign w:val="center"/>
          </w:tcPr>
          <w:p w14:paraId="44E58F8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35BFE63D" w14:textId="36A1DF9F" w:rsidR="003A7917" w:rsidRPr="00FD50F6" w:rsidRDefault="003A7917" w:rsidP="003A7917">
            <w:pPr>
              <w:pStyle w:val="7"/>
              <w:ind w:firstLineChars="200" w:firstLine="300"/>
              <w:jc w:val="left"/>
              <w:rPr>
                <w:rFonts w:eastAsia="楷体" w:cs="Times New Roman"/>
                <w:sz w:val="15"/>
                <w:szCs w:val="15"/>
              </w:rPr>
            </w:pPr>
            <w:r w:rsidRPr="00FF6EDE">
              <w:rPr>
                <w:rFonts w:eastAsia="楷体" w:cs="Times New Roman"/>
                <w:sz w:val="15"/>
                <w:szCs w:val="15"/>
              </w:rPr>
              <w:t>—</w:t>
            </w:r>
          </w:p>
        </w:tc>
        <w:tc>
          <w:tcPr>
            <w:tcW w:w="541" w:type="dxa"/>
          </w:tcPr>
          <w:p w14:paraId="1DF094D8" w14:textId="30BD572C"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41" w:type="dxa"/>
          </w:tcPr>
          <w:p w14:paraId="318ADE6A" w14:textId="46C4FBEB"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41" w:type="dxa"/>
          </w:tcPr>
          <w:p w14:paraId="378347F9" w14:textId="5E4BC8D8"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41" w:type="dxa"/>
          </w:tcPr>
          <w:p w14:paraId="426CEF87" w14:textId="66233B2E"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41" w:type="dxa"/>
          </w:tcPr>
          <w:p w14:paraId="682DE03D" w14:textId="18E849D4"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58" w:type="dxa"/>
          </w:tcPr>
          <w:p w14:paraId="430067F7" w14:textId="18F00A58"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67" w:type="dxa"/>
          </w:tcPr>
          <w:p w14:paraId="01A1467A" w14:textId="0CC67B74"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67" w:type="dxa"/>
          </w:tcPr>
          <w:p w14:paraId="23195E56" w14:textId="4093C18E"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67" w:type="dxa"/>
          </w:tcPr>
          <w:p w14:paraId="1F44BC92" w14:textId="50056BFA"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67" w:type="dxa"/>
          </w:tcPr>
          <w:p w14:paraId="2B02FC47" w14:textId="1D0EBDC2"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567" w:type="dxa"/>
          </w:tcPr>
          <w:p w14:paraId="2C94F9B6" w14:textId="65D928B8"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425" w:type="dxa"/>
          </w:tcPr>
          <w:p w14:paraId="6A3C8901" w14:textId="1D8750FC"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c>
          <w:tcPr>
            <w:tcW w:w="425" w:type="dxa"/>
          </w:tcPr>
          <w:p w14:paraId="2F60D14E" w14:textId="44400A77" w:rsidR="003A7917" w:rsidRPr="00FD50F6" w:rsidRDefault="003A7917" w:rsidP="003A7917">
            <w:pPr>
              <w:pStyle w:val="7"/>
              <w:jc w:val="left"/>
              <w:rPr>
                <w:rFonts w:eastAsia="楷体" w:cs="Times New Roman"/>
                <w:sz w:val="15"/>
                <w:szCs w:val="15"/>
              </w:rPr>
            </w:pPr>
            <w:r w:rsidRPr="00FF6EDE">
              <w:rPr>
                <w:rFonts w:eastAsia="楷体" w:cs="Times New Roman"/>
                <w:sz w:val="15"/>
                <w:szCs w:val="15"/>
              </w:rPr>
              <w:t>—</w:t>
            </w:r>
          </w:p>
        </w:tc>
      </w:tr>
      <w:tr w:rsidR="00FD50F6" w:rsidRPr="00FD50F6" w14:paraId="366AC42A" w14:textId="77777777" w:rsidTr="00C70434">
        <w:tc>
          <w:tcPr>
            <w:tcW w:w="534" w:type="dxa"/>
            <w:vMerge/>
            <w:tcBorders>
              <w:right w:val="single" w:sz="4" w:space="0" w:color="auto"/>
            </w:tcBorders>
          </w:tcPr>
          <w:p w14:paraId="31A003FB"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62C5834E"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4E4B405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vAlign w:val="center"/>
          </w:tcPr>
          <w:p w14:paraId="37F0573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vAlign w:val="center"/>
          </w:tcPr>
          <w:p w14:paraId="1A4EE4B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vAlign w:val="center"/>
          </w:tcPr>
          <w:p w14:paraId="5FA95DD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41" w:type="dxa"/>
            <w:tcBorders>
              <w:bottom w:val="single" w:sz="6" w:space="0" w:color="auto"/>
            </w:tcBorders>
            <w:vAlign w:val="center"/>
          </w:tcPr>
          <w:p w14:paraId="7F8178E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250970B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7637160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A5588D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7E6FD98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23F9E591"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58" w:type="dxa"/>
            <w:vAlign w:val="center"/>
          </w:tcPr>
          <w:p w14:paraId="44E8C28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307B2FC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00E589E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00E7AF1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533404B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0DA5577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1B18B12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1D508E2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3A6963E2" w14:textId="77777777" w:rsidTr="008716A3">
        <w:tc>
          <w:tcPr>
            <w:tcW w:w="534" w:type="dxa"/>
            <w:vMerge w:val="restart"/>
            <w:tcBorders>
              <w:right w:val="single" w:sz="4" w:space="0" w:color="auto"/>
            </w:tcBorders>
          </w:tcPr>
          <w:p w14:paraId="38F4501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0FB1F547"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391B53A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shd w:val="clear" w:color="auto" w:fill="D9D9D9" w:themeFill="background1" w:themeFillShade="D9"/>
            <w:vAlign w:val="center"/>
          </w:tcPr>
          <w:p w14:paraId="6863E8C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34" w:type="dxa"/>
            <w:tcBorders>
              <w:top w:val="single" w:sz="6" w:space="0" w:color="auto"/>
              <w:bottom w:val="single" w:sz="6" w:space="0" w:color="auto"/>
            </w:tcBorders>
            <w:shd w:val="clear" w:color="auto" w:fill="D9D9D9" w:themeFill="background1" w:themeFillShade="D9"/>
            <w:vAlign w:val="center"/>
          </w:tcPr>
          <w:p w14:paraId="5BE526D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shd w:val="clear" w:color="auto" w:fill="D9D9D9" w:themeFill="background1" w:themeFillShade="D9"/>
            <w:vAlign w:val="center"/>
          </w:tcPr>
          <w:p w14:paraId="010F706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Borders>
              <w:top w:val="single" w:sz="6" w:space="0" w:color="auto"/>
              <w:bottom w:val="single" w:sz="6" w:space="0" w:color="auto"/>
            </w:tcBorders>
            <w:shd w:val="clear" w:color="auto" w:fill="D9D9D9" w:themeFill="background1" w:themeFillShade="D9"/>
            <w:vAlign w:val="center"/>
          </w:tcPr>
          <w:p w14:paraId="4856F92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4BA124AF" w14:textId="5FB9A061"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41" w:type="dxa"/>
          </w:tcPr>
          <w:p w14:paraId="000938E0" w14:textId="19FD97A5"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41" w:type="dxa"/>
          </w:tcPr>
          <w:p w14:paraId="7CD7A10B" w14:textId="5214E48A"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41" w:type="dxa"/>
          </w:tcPr>
          <w:p w14:paraId="774A21A0" w14:textId="6B86ECBB"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41" w:type="dxa"/>
          </w:tcPr>
          <w:p w14:paraId="71F8DDB3" w14:textId="2937366F"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58" w:type="dxa"/>
          </w:tcPr>
          <w:p w14:paraId="735E0F7D" w14:textId="3CA5433C"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67" w:type="dxa"/>
          </w:tcPr>
          <w:p w14:paraId="7A852B2A" w14:textId="4C5F5E96"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67" w:type="dxa"/>
          </w:tcPr>
          <w:p w14:paraId="61D5D4BB" w14:textId="36EFFD94"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67" w:type="dxa"/>
          </w:tcPr>
          <w:p w14:paraId="634EE81E" w14:textId="3A5852ED"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67" w:type="dxa"/>
          </w:tcPr>
          <w:p w14:paraId="652BAD19" w14:textId="5D16A0FA"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567" w:type="dxa"/>
          </w:tcPr>
          <w:p w14:paraId="579C8EFE" w14:textId="20F140E5"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425" w:type="dxa"/>
          </w:tcPr>
          <w:p w14:paraId="2C268A3B" w14:textId="30D15689"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c>
          <w:tcPr>
            <w:tcW w:w="425" w:type="dxa"/>
          </w:tcPr>
          <w:p w14:paraId="5D91B8BF" w14:textId="719122DD" w:rsidR="003A7917" w:rsidRPr="00FD50F6" w:rsidRDefault="003A7917" w:rsidP="003A7917">
            <w:pPr>
              <w:pStyle w:val="7"/>
              <w:jc w:val="left"/>
              <w:rPr>
                <w:rFonts w:eastAsia="楷体" w:cs="Times New Roman"/>
                <w:sz w:val="15"/>
                <w:szCs w:val="15"/>
              </w:rPr>
            </w:pPr>
            <w:r w:rsidRPr="009A7D48">
              <w:rPr>
                <w:rFonts w:eastAsia="楷体" w:cs="Times New Roman"/>
                <w:sz w:val="15"/>
                <w:szCs w:val="15"/>
              </w:rPr>
              <w:t>—</w:t>
            </w:r>
          </w:p>
        </w:tc>
      </w:tr>
      <w:tr w:rsidR="00FD50F6" w:rsidRPr="00FD50F6" w14:paraId="24147972" w14:textId="77777777" w:rsidTr="00C70434">
        <w:tc>
          <w:tcPr>
            <w:tcW w:w="534" w:type="dxa"/>
            <w:vMerge/>
            <w:tcBorders>
              <w:right w:val="single" w:sz="4" w:space="0" w:color="auto"/>
            </w:tcBorders>
          </w:tcPr>
          <w:p w14:paraId="7829AF89"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7240242F"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21B9246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35</w:t>
            </w:r>
          </w:p>
        </w:tc>
        <w:tc>
          <w:tcPr>
            <w:tcW w:w="534" w:type="dxa"/>
            <w:tcBorders>
              <w:top w:val="single" w:sz="6" w:space="0" w:color="auto"/>
              <w:bottom w:val="single" w:sz="6" w:space="0" w:color="auto"/>
            </w:tcBorders>
            <w:vAlign w:val="center"/>
          </w:tcPr>
          <w:p w14:paraId="56B52FB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vAlign w:val="center"/>
          </w:tcPr>
          <w:p w14:paraId="7FF5870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vAlign w:val="center"/>
          </w:tcPr>
          <w:p w14:paraId="094B07A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vAlign w:val="center"/>
          </w:tcPr>
          <w:p w14:paraId="1E71EE0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41" w:type="dxa"/>
            <w:tcBorders>
              <w:bottom w:val="single" w:sz="6" w:space="0" w:color="auto"/>
            </w:tcBorders>
            <w:vAlign w:val="center"/>
          </w:tcPr>
          <w:p w14:paraId="13C58A9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1C637D7B"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2FD1A65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18E7E6A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13873B6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58" w:type="dxa"/>
            <w:vAlign w:val="center"/>
          </w:tcPr>
          <w:p w14:paraId="45FDB50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3115CD1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2C6AC50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17146752"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04CC71D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3238B9D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453D904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65D47EE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r>
      <w:tr w:rsidR="003A7917" w:rsidRPr="00FD50F6" w14:paraId="1E6956E8" w14:textId="77777777" w:rsidTr="008716A3">
        <w:tc>
          <w:tcPr>
            <w:tcW w:w="534" w:type="dxa"/>
            <w:vMerge w:val="restart"/>
            <w:tcBorders>
              <w:right w:val="single" w:sz="4" w:space="0" w:color="auto"/>
            </w:tcBorders>
          </w:tcPr>
          <w:p w14:paraId="4083DFF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1E348AA9"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60B82D2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34" w:type="dxa"/>
            <w:tcBorders>
              <w:top w:val="single" w:sz="6" w:space="0" w:color="auto"/>
              <w:bottom w:val="single" w:sz="6" w:space="0" w:color="auto"/>
            </w:tcBorders>
            <w:shd w:val="clear" w:color="auto" w:fill="D9D9D9" w:themeFill="background1" w:themeFillShade="D9"/>
            <w:vAlign w:val="center"/>
          </w:tcPr>
          <w:p w14:paraId="14A89D5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34" w:type="dxa"/>
            <w:tcBorders>
              <w:top w:val="single" w:sz="6" w:space="0" w:color="auto"/>
              <w:bottom w:val="single" w:sz="6" w:space="0" w:color="auto"/>
            </w:tcBorders>
            <w:shd w:val="clear" w:color="auto" w:fill="D9D9D9" w:themeFill="background1" w:themeFillShade="D9"/>
            <w:vAlign w:val="center"/>
          </w:tcPr>
          <w:p w14:paraId="23A7DAB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shd w:val="clear" w:color="auto" w:fill="D9D9D9" w:themeFill="background1" w:themeFillShade="D9"/>
            <w:vAlign w:val="center"/>
          </w:tcPr>
          <w:p w14:paraId="797F1B8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shd w:val="clear" w:color="auto" w:fill="D9D9D9" w:themeFill="background1" w:themeFillShade="D9"/>
            <w:vAlign w:val="center"/>
          </w:tcPr>
          <w:p w14:paraId="1C4F59C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Borders>
              <w:top w:val="single" w:sz="6" w:space="0" w:color="auto"/>
              <w:bottom w:val="single" w:sz="6" w:space="0" w:color="auto"/>
            </w:tcBorders>
            <w:shd w:val="clear" w:color="auto" w:fill="D9D9D9" w:themeFill="background1" w:themeFillShade="D9"/>
            <w:vAlign w:val="center"/>
          </w:tcPr>
          <w:p w14:paraId="2B34751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167DFED4" w14:textId="3792C9DD"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41" w:type="dxa"/>
          </w:tcPr>
          <w:p w14:paraId="7AA5D950" w14:textId="45A9A141"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41" w:type="dxa"/>
          </w:tcPr>
          <w:p w14:paraId="478ECB25" w14:textId="58A16522"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41" w:type="dxa"/>
          </w:tcPr>
          <w:p w14:paraId="4C1438A9" w14:textId="341BFCFB"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58" w:type="dxa"/>
          </w:tcPr>
          <w:p w14:paraId="3ECE8CA7" w14:textId="11932909"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67" w:type="dxa"/>
          </w:tcPr>
          <w:p w14:paraId="14F6B3AB" w14:textId="0EBF13D8"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67" w:type="dxa"/>
          </w:tcPr>
          <w:p w14:paraId="57576828" w14:textId="0005EC5A"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67" w:type="dxa"/>
          </w:tcPr>
          <w:p w14:paraId="4F43B9D8" w14:textId="50C9AC70"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67" w:type="dxa"/>
          </w:tcPr>
          <w:p w14:paraId="743D8236" w14:textId="03951814"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567" w:type="dxa"/>
          </w:tcPr>
          <w:p w14:paraId="76B93D49" w14:textId="0E41D603"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425" w:type="dxa"/>
          </w:tcPr>
          <w:p w14:paraId="3B711A79" w14:textId="57A432B6"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c>
          <w:tcPr>
            <w:tcW w:w="425" w:type="dxa"/>
          </w:tcPr>
          <w:p w14:paraId="7D115EA8" w14:textId="45987DA4" w:rsidR="003A7917" w:rsidRPr="00FD50F6" w:rsidRDefault="003A7917" w:rsidP="003A7917">
            <w:pPr>
              <w:pStyle w:val="7"/>
              <w:jc w:val="left"/>
              <w:rPr>
                <w:rFonts w:eastAsia="楷体" w:cs="Times New Roman"/>
                <w:sz w:val="15"/>
                <w:szCs w:val="15"/>
              </w:rPr>
            </w:pPr>
            <w:r w:rsidRPr="00C70188">
              <w:rPr>
                <w:rFonts w:eastAsia="楷体" w:cs="Times New Roman"/>
                <w:sz w:val="15"/>
                <w:szCs w:val="15"/>
              </w:rPr>
              <w:t>—</w:t>
            </w:r>
          </w:p>
        </w:tc>
      </w:tr>
      <w:tr w:rsidR="00FD50F6" w:rsidRPr="00FD50F6" w14:paraId="471CA6C4" w14:textId="77777777" w:rsidTr="00C70434">
        <w:tc>
          <w:tcPr>
            <w:tcW w:w="534" w:type="dxa"/>
            <w:vMerge/>
            <w:tcBorders>
              <w:right w:val="single" w:sz="4" w:space="0" w:color="auto"/>
            </w:tcBorders>
          </w:tcPr>
          <w:p w14:paraId="4A37D022"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5A3877A0"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435215B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40</w:t>
            </w:r>
          </w:p>
        </w:tc>
        <w:tc>
          <w:tcPr>
            <w:tcW w:w="534" w:type="dxa"/>
            <w:tcBorders>
              <w:top w:val="single" w:sz="6" w:space="0" w:color="auto"/>
              <w:bottom w:val="single" w:sz="6" w:space="0" w:color="auto"/>
            </w:tcBorders>
            <w:vAlign w:val="center"/>
          </w:tcPr>
          <w:p w14:paraId="3F179FC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35</w:t>
            </w:r>
          </w:p>
        </w:tc>
        <w:tc>
          <w:tcPr>
            <w:tcW w:w="534" w:type="dxa"/>
            <w:tcBorders>
              <w:top w:val="single" w:sz="6" w:space="0" w:color="auto"/>
              <w:bottom w:val="single" w:sz="6" w:space="0" w:color="auto"/>
            </w:tcBorders>
            <w:vAlign w:val="center"/>
          </w:tcPr>
          <w:p w14:paraId="0858E1F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vAlign w:val="center"/>
          </w:tcPr>
          <w:p w14:paraId="54E1B0A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vAlign w:val="center"/>
          </w:tcPr>
          <w:p w14:paraId="71439E8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vAlign w:val="center"/>
          </w:tcPr>
          <w:p w14:paraId="4A26B941"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41" w:type="dxa"/>
            <w:tcBorders>
              <w:bottom w:val="single" w:sz="6" w:space="0" w:color="auto"/>
            </w:tcBorders>
            <w:vAlign w:val="center"/>
          </w:tcPr>
          <w:p w14:paraId="4A9DBC4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204C6BC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2ECE5F9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41" w:type="dxa"/>
            <w:vAlign w:val="center"/>
          </w:tcPr>
          <w:p w14:paraId="3E352E1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58" w:type="dxa"/>
            <w:vAlign w:val="center"/>
          </w:tcPr>
          <w:p w14:paraId="19352DB3"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vAlign w:val="center"/>
          </w:tcPr>
          <w:p w14:paraId="2826F89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7A1C1E3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23BFD788"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11BC550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567" w:type="dxa"/>
            <w:vAlign w:val="center"/>
          </w:tcPr>
          <w:p w14:paraId="011782A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7DFB291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27641F9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585F0385" w14:textId="77777777" w:rsidTr="008716A3">
        <w:tc>
          <w:tcPr>
            <w:tcW w:w="534" w:type="dxa"/>
            <w:vMerge w:val="restart"/>
            <w:tcBorders>
              <w:right w:val="single" w:sz="4" w:space="0" w:color="auto"/>
            </w:tcBorders>
          </w:tcPr>
          <w:p w14:paraId="31368EE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15155517"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6E6E220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34" w:type="dxa"/>
            <w:tcBorders>
              <w:top w:val="single" w:sz="6" w:space="0" w:color="auto"/>
              <w:bottom w:val="single" w:sz="6" w:space="0" w:color="auto"/>
            </w:tcBorders>
            <w:shd w:val="clear" w:color="auto" w:fill="D9D9D9" w:themeFill="background1" w:themeFillShade="D9"/>
            <w:vAlign w:val="center"/>
          </w:tcPr>
          <w:p w14:paraId="121C5C1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34" w:type="dxa"/>
            <w:tcBorders>
              <w:top w:val="single" w:sz="6" w:space="0" w:color="auto"/>
              <w:bottom w:val="single" w:sz="6" w:space="0" w:color="auto"/>
            </w:tcBorders>
            <w:shd w:val="clear" w:color="auto" w:fill="D9D9D9" w:themeFill="background1" w:themeFillShade="D9"/>
            <w:vAlign w:val="center"/>
          </w:tcPr>
          <w:p w14:paraId="6506517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shd w:val="clear" w:color="auto" w:fill="D9D9D9" w:themeFill="background1" w:themeFillShade="D9"/>
            <w:vAlign w:val="center"/>
          </w:tcPr>
          <w:p w14:paraId="3E715F3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shd w:val="clear" w:color="auto" w:fill="D9D9D9" w:themeFill="background1" w:themeFillShade="D9"/>
            <w:vAlign w:val="center"/>
          </w:tcPr>
          <w:p w14:paraId="1E5F626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shd w:val="clear" w:color="auto" w:fill="D9D9D9" w:themeFill="background1" w:themeFillShade="D9"/>
            <w:vAlign w:val="center"/>
          </w:tcPr>
          <w:p w14:paraId="4C4FE37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Borders>
              <w:top w:val="single" w:sz="6" w:space="0" w:color="auto"/>
              <w:bottom w:val="single" w:sz="6" w:space="0" w:color="auto"/>
            </w:tcBorders>
            <w:shd w:val="clear" w:color="auto" w:fill="D9D9D9" w:themeFill="background1" w:themeFillShade="D9"/>
            <w:vAlign w:val="center"/>
          </w:tcPr>
          <w:p w14:paraId="2FD5127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Pr>
          <w:p w14:paraId="1C32EDE0" w14:textId="6D29F1BD"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41" w:type="dxa"/>
          </w:tcPr>
          <w:p w14:paraId="68DC6125" w14:textId="146393A0"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41" w:type="dxa"/>
          </w:tcPr>
          <w:p w14:paraId="6987C02D" w14:textId="1D3E9995"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58" w:type="dxa"/>
          </w:tcPr>
          <w:p w14:paraId="17E4623B" w14:textId="01D9CBC1"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67" w:type="dxa"/>
          </w:tcPr>
          <w:p w14:paraId="2F9929C8" w14:textId="5C2B87F9"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67" w:type="dxa"/>
          </w:tcPr>
          <w:p w14:paraId="21E4A7EA" w14:textId="2D369ECD"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67" w:type="dxa"/>
          </w:tcPr>
          <w:p w14:paraId="5C0A6FB5" w14:textId="25940D13"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67" w:type="dxa"/>
          </w:tcPr>
          <w:p w14:paraId="176C5955" w14:textId="41D33B3A"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567" w:type="dxa"/>
          </w:tcPr>
          <w:p w14:paraId="32ABDEE8" w14:textId="4BA7C8A7"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425" w:type="dxa"/>
          </w:tcPr>
          <w:p w14:paraId="069339A2" w14:textId="135322BD"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c>
          <w:tcPr>
            <w:tcW w:w="425" w:type="dxa"/>
          </w:tcPr>
          <w:p w14:paraId="5916BD0A" w14:textId="7D05D04F" w:rsidR="003A7917" w:rsidRPr="00FD50F6" w:rsidRDefault="003A7917" w:rsidP="003A7917">
            <w:pPr>
              <w:pStyle w:val="7"/>
              <w:jc w:val="left"/>
              <w:rPr>
                <w:rFonts w:eastAsia="楷体" w:cs="Times New Roman"/>
                <w:sz w:val="15"/>
                <w:szCs w:val="15"/>
              </w:rPr>
            </w:pPr>
            <w:r w:rsidRPr="004E6D2F">
              <w:rPr>
                <w:rFonts w:eastAsia="楷体" w:cs="Times New Roman"/>
                <w:sz w:val="15"/>
                <w:szCs w:val="15"/>
              </w:rPr>
              <w:t>—</w:t>
            </w:r>
          </w:p>
        </w:tc>
      </w:tr>
      <w:tr w:rsidR="00FD50F6" w:rsidRPr="00FD50F6" w14:paraId="1516F6E1" w14:textId="77777777" w:rsidTr="00C70434">
        <w:tc>
          <w:tcPr>
            <w:tcW w:w="534" w:type="dxa"/>
            <w:vMerge/>
            <w:tcBorders>
              <w:right w:val="single" w:sz="4" w:space="0" w:color="auto"/>
            </w:tcBorders>
          </w:tcPr>
          <w:p w14:paraId="5016EBD1"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bottom w:val="single" w:sz="6" w:space="0" w:color="auto"/>
            </w:tcBorders>
          </w:tcPr>
          <w:p w14:paraId="1A619D5A"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bottom w:val="single" w:sz="6" w:space="0" w:color="auto"/>
            </w:tcBorders>
            <w:vAlign w:val="center"/>
          </w:tcPr>
          <w:p w14:paraId="2DDE32C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45</w:t>
            </w:r>
          </w:p>
        </w:tc>
        <w:tc>
          <w:tcPr>
            <w:tcW w:w="534" w:type="dxa"/>
            <w:tcBorders>
              <w:top w:val="single" w:sz="6" w:space="0" w:color="auto"/>
              <w:bottom w:val="single" w:sz="6" w:space="0" w:color="auto"/>
            </w:tcBorders>
            <w:vAlign w:val="center"/>
          </w:tcPr>
          <w:p w14:paraId="404FC9A6"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40</w:t>
            </w:r>
          </w:p>
        </w:tc>
        <w:tc>
          <w:tcPr>
            <w:tcW w:w="534" w:type="dxa"/>
            <w:tcBorders>
              <w:top w:val="single" w:sz="6" w:space="0" w:color="auto"/>
              <w:bottom w:val="single" w:sz="6" w:space="0" w:color="auto"/>
            </w:tcBorders>
            <w:vAlign w:val="center"/>
          </w:tcPr>
          <w:p w14:paraId="4FF7C3B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35</w:t>
            </w:r>
          </w:p>
        </w:tc>
        <w:tc>
          <w:tcPr>
            <w:tcW w:w="541" w:type="dxa"/>
            <w:tcBorders>
              <w:top w:val="single" w:sz="6" w:space="0" w:color="auto"/>
              <w:bottom w:val="single" w:sz="6" w:space="0" w:color="auto"/>
            </w:tcBorders>
            <w:vAlign w:val="center"/>
          </w:tcPr>
          <w:p w14:paraId="6F1C183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c>
          <w:tcPr>
            <w:tcW w:w="541" w:type="dxa"/>
            <w:tcBorders>
              <w:top w:val="single" w:sz="6" w:space="0" w:color="auto"/>
              <w:bottom w:val="single" w:sz="6" w:space="0" w:color="auto"/>
            </w:tcBorders>
            <w:vAlign w:val="center"/>
          </w:tcPr>
          <w:p w14:paraId="23DA2D4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vAlign w:val="center"/>
          </w:tcPr>
          <w:p w14:paraId="0406FBD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vAlign w:val="center"/>
          </w:tcPr>
          <w:p w14:paraId="1AF8502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41" w:type="dxa"/>
            <w:vAlign w:val="center"/>
          </w:tcPr>
          <w:p w14:paraId="4327DB5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6B162CA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4CBD297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58" w:type="dxa"/>
            <w:vAlign w:val="center"/>
          </w:tcPr>
          <w:p w14:paraId="0FED7A4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67" w:type="dxa"/>
            <w:vAlign w:val="center"/>
          </w:tcPr>
          <w:p w14:paraId="2477BAE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67" w:type="dxa"/>
            <w:vAlign w:val="center"/>
          </w:tcPr>
          <w:p w14:paraId="204AC92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70129ED9"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1564DCF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597D2254"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309AD85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3F6B5E8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r>
      <w:tr w:rsidR="003A7917" w:rsidRPr="00FD50F6" w14:paraId="261FF4A7" w14:textId="77777777" w:rsidTr="003A7917">
        <w:tc>
          <w:tcPr>
            <w:tcW w:w="534" w:type="dxa"/>
            <w:vMerge w:val="restart"/>
            <w:tcBorders>
              <w:right w:val="single" w:sz="4" w:space="0" w:color="auto"/>
            </w:tcBorders>
          </w:tcPr>
          <w:p w14:paraId="2D09DD4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3500</w:t>
            </w:r>
          </w:p>
        </w:tc>
        <w:tc>
          <w:tcPr>
            <w:tcW w:w="283" w:type="dxa"/>
            <w:tcBorders>
              <w:top w:val="single" w:sz="6" w:space="0" w:color="auto"/>
              <w:left w:val="single" w:sz="4" w:space="0" w:color="auto"/>
              <w:bottom w:val="single" w:sz="6" w:space="0" w:color="auto"/>
            </w:tcBorders>
            <w:shd w:val="clear" w:color="auto" w:fill="D9D9D9" w:themeFill="background1" w:themeFillShade="D9"/>
          </w:tcPr>
          <w:p w14:paraId="6E7B71FE"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top w:val="single" w:sz="6" w:space="0" w:color="auto"/>
              <w:bottom w:val="single" w:sz="6" w:space="0" w:color="auto"/>
            </w:tcBorders>
            <w:shd w:val="clear" w:color="auto" w:fill="D9D9D9" w:themeFill="background1" w:themeFillShade="D9"/>
            <w:vAlign w:val="center"/>
          </w:tcPr>
          <w:p w14:paraId="10D0FEC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34" w:type="dxa"/>
            <w:tcBorders>
              <w:top w:val="single" w:sz="6" w:space="0" w:color="auto"/>
              <w:bottom w:val="single" w:sz="6" w:space="0" w:color="auto"/>
            </w:tcBorders>
            <w:shd w:val="clear" w:color="auto" w:fill="D9D9D9" w:themeFill="background1" w:themeFillShade="D9"/>
            <w:vAlign w:val="center"/>
          </w:tcPr>
          <w:p w14:paraId="3CCA181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34" w:type="dxa"/>
            <w:tcBorders>
              <w:top w:val="single" w:sz="6" w:space="0" w:color="auto"/>
              <w:bottom w:val="single" w:sz="6" w:space="0" w:color="auto"/>
            </w:tcBorders>
            <w:shd w:val="clear" w:color="auto" w:fill="D9D9D9" w:themeFill="background1" w:themeFillShade="D9"/>
            <w:vAlign w:val="center"/>
          </w:tcPr>
          <w:p w14:paraId="300B0C5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41" w:type="dxa"/>
            <w:tcBorders>
              <w:top w:val="single" w:sz="6" w:space="0" w:color="auto"/>
              <w:bottom w:val="single" w:sz="6" w:space="0" w:color="auto"/>
            </w:tcBorders>
            <w:shd w:val="clear" w:color="auto" w:fill="D9D9D9" w:themeFill="background1" w:themeFillShade="D9"/>
            <w:vAlign w:val="center"/>
          </w:tcPr>
          <w:p w14:paraId="32E615BE" w14:textId="77777777" w:rsidR="003A7917" w:rsidRPr="00FD50F6" w:rsidRDefault="003A7917" w:rsidP="003A7917">
            <w:pPr>
              <w:pStyle w:val="7"/>
              <w:spacing w:before="120" w:after="120"/>
              <w:ind w:firstLineChars="2" w:firstLine="3"/>
              <w:rPr>
                <w:rFonts w:eastAsia="楷体" w:cs="Times New Roman"/>
                <w:sz w:val="15"/>
                <w:szCs w:val="15"/>
              </w:rPr>
            </w:pPr>
            <w:r w:rsidRPr="00FD50F6">
              <w:rPr>
                <w:rFonts w:eastAsia="楷体" w:cs="Times New Roman"/>
                <w:sz w:val="15"/>
                <w:szCs w:val="15"/>
              </w:rPr>
              <w:t>30</w:t>
            </w:r>
          </w:p>
        </w:tc>
        <w:tc>
          <w:tcPr>
            <w:tcW w:w="541" w:type="dxa"/>
            <w:tcBorders>
              <w:top w:val="single" w:sz="6" w:space="0" w:color="auto"/>
              <w:bottom w:val="single" w:sz="6" w:space="0" w:color="auto"/>
            </w:tcBorders>
            <w:shd w:val="clear" w:color="auto" w:fill="D9D9D9" w:themeFill="background1" w:themeFillShade="D9"/>
            <w:vAlign w:val="center"/>
          </w:tcPr>
          <w:p w14:paraId="3FDCD837" w14:textId="77777777" w:rsidR="003A7917" w:rsidRPr="00FD50F6" w:rsidRDefault="003A7917" w:rsidP="003A7917">
            <w:pPr>
              <w:pStyle w:val="7"/>
              <w:spacing w:before="120" w:after="120"/>
              <w:rPr>
                <w:rFonts w:eastAsia="楷体" w:cs="Times New Roman"/>
                <w:sz w:val="15"/>
                <w:szCs w:val="15"/>
              </w:rPr>
            </w:pPr>
            <w:r w:rsidRPr="00FD50F6">
              <w:rPr>
                <w:rFonts w:eastAsia="楷体" w:cs="Times New Roman"/>
                <w:sz w:val="15"/>
                <w:szCs w:val="15"/>
              </w:rPr>
              <w:t>25</w:t>
            </w:r>
          </w:p>
        </w:tc>
        <w:tc>
          <w:tcPr>
            <w:tcW w:w="541" w:type="dxa"/>
            <w:tcBorders>
              <w:top w:val="single" w:sz="6" w:space="0" w:color="auto"/>
              <w:bottom w:val="single" w:sz="6" w:space="0" w:color="auto"/>
            </w:tcBorders>
            <w:shd w:val="clear" w:color="auto" w:fill="D9D9D9" w:themeFill="background1" w:themeFillShade="D9"/>
            <w:vAlign w:val="center"/>
          </w:tcPr>
          <w:p w14:paraId="165F86A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tcBorders>
              <w:top w:val="single" w:sz="6" w:space="0" w:color="auto"/>
              <w:bottom w:val="single" w:sz="6" w:space="0" w:color="auto"/>
            </w:tcBorders>
            <w:shd w:val="clear" w:color="auto" w:fill="D9D9D9" w:themeFill="background1" w:themeFillShade="D9"/>
            <w:vAlign w:val="center"/>
          </w:tcPr>
          <w:p w14:paraId="69BE8CB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4E2A0C18" w14:textId="3868FC58"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41" w:type="dxa"/>
            <w:vAlign w:val="center"/>
          </w:tcPr>
          <w:p w14:paraId="3E1EE1F7" w14:textId="21207B7F"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41" w:type="dxa"/>
            <w:vAlign w:val="center"/>
          </w:tcPr>
          <w:p w14:paraId="41CF9420" w14:textId="6DB71AF7"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58" w:type="dxa"/>
            <w:vAlign w:val="center"/>
          </w:tcPr>
          <w:p w14:paraId="53726FD5" w14:textId="1D2E5857"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67" w:type="dxa"/>
            <w:vAlign w:val="center"/>
          </w:tcPr>
          <w:p w14:paraId="683920E8" w14:textId="0DCFD86F"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67" w:type="dxa"/>
            <w:vAlign w:val="center"/>
          </w:tcPr>
          <w:p w14:paraId="72B05F03" w14:textId="42A6DCCF"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67" w:type="dxa"/>
            <w:vAlign w:val="center"/>
          </w:tcPr>
          <w:p w14:paraId="7339E428" w14:textId="24F4A26A"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67" w:type="dxa"/>
            <w:vAlign w:val="center"/>
          </w:tcPr>
          <w:p w14:paraId="0EF2CC4B" w14:textId="30882669"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567" w:type="dxa"/>
            <w:vAlign w:val="center"/>
          </w:tcPr>
          <w:p w14:paraId="1394132B" w14:textId="28AFAE5D"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425" w:type="dxa"/>
            <w:vAlign w:val="center"/>
          </w:tcPr>
          <w:p w14:paraId="32B01BC2" w14:textId="616119BB"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c>
          <w:tcPr>
            <w:tcW w:w="425" w:type="dxa"/>
            <w:vAlign w:val="center"/>
          </w:tcPr>
          <w:p w14:paraId="2925B1BA" w14:textId="5994F626" w:rsidR="003A7917" w:rsidRPr="00FD50F6" w:rsidRDefault="003A7917" w:rsidP="003A7917">
            <w:pPr>
              <w:pStyle w:val="7"/>
              <w:rPr>
                <w:rFonts w:eastAsia="楷体" w:cs="Times New Roman"/>
                <w:sz w:val="15"/>
                <w:szCs w:val="15"/>
              </w:rPr>
            </w:pPr>
            <w:r w:rsidRPr="0078624F">
              <w:rPr>
                <w:rFonts w:eastAsia="楷体" w:cs="Times New Roman"/>
                <w:sz w:val="15"/>
                <w:szCs w:val="15"/>
              </w:rPr>
              <w:t>—</w:t>
            </w:r>
          </w:p>
        </w:tc>
      </w:tr>
      <w:tr w:rsidR="00FD50F6" w:rsidRPr="00FD50F6" w14:paraId="4E681BB3" w14:textId="77777777" w:rsidTr="00C70434">
        <w:tc>
          <w:tcPr>
            <w:tcW w:w="534" w:type="dxa"/>
            <w:vMerge/>
            <w:tcBorders>
              <w:right w:val="single" w:sz="4" w:space="0" w:color="auto"/>
            </w:tcBorders>
          </w:tcPr>
          <w:p w14:paraId="32F97A78" w14:textId="77777777" w:rsidR="006E2974" w:rsidRPr="00FD50F6" w:rsidRDefault="006E2974" w:rsidP="00E559B9">
            <w:pPr>
              <w:pStyle w:val="7"/>
              <w:jc w:val="left"/>
              <w:rPr>
                <w:rFonts w:eastAsia="楷体" w:cs="Times New Roman"/>
                <w:sz w:val="15"/>
                <w:szCs w:val="15"/>
              </w:rPr>
            </w:pPr>
          </w:p>
        </w:tc>
        <w:tc>
          <w:tcPr>
            <w:tcW w:w="283" w:type="dxa"/>
            <w:tcBorders>
              <w:top w:val="single" w:sz="6" w:space="0" w:color="auto"/>
              <w:left w:val="single" w:sz="4" w:space="0" w:color="auto"/>
            </w:tcBorders>
          </w:tcPr>
          <w:p w14:paraId="27DC123B"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Borders>
              <w:top w:val="single" w:sz="6" w:space="0" w:color="auto"/>
            </w:tcBorders>
            <w:vAlign w:val="center"/>
          </w:tcPr>
          <w:p w14:paraId="40B4239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50</w:t>
            </w:r>
          </w:p>
        </w:tc>
        <w:tc>
          <w:tcPr>
            <w:tcW w:w="534" w:type="dxa"/>
            <w:tcBorders>
              <w:top w:val="single" w:sz="6" w:space="0" w:color="auto"/>
            </w:tcBorders>
            <w:vAlign w:val="center"/>
          </w:tcPr>
          <w:p w14:paraId="59C666F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45</w:t>
            </w:r>
          </w:p>
        </w:tc>
        <w:tc>
          <w:tcPr>
            <w:tcW w:w="534" w:type="dxa"/>
            <w:tcBorders>
              <w:top w:val="single" w:sz="6" w:space="0" w:color="auto"/>
            </w:tcBorders>
            <w:vAlign w:val="center"/>
          </w:tcPr>
          <w:p w14:paraId="2B690F6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40</w:t>
            </w:r>
          </w:p>
        </w:tc>
        <w:tc>
          <w:tcPr>
            <w:tcW w:w="541" w:type="dxa"/>
            <w:tcBorders>
              <w:top w:val="single" w:sz="6" w:space="0" w:color="auto"/>
            </w:tcBorders>
            <w:vAlign w:val="center"/>
          </w:tcPr>
          <w:p w14:paraId="788013E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c>
          <w:tcPr>
            <w:tcW w:w="541" w:type="dxa"/>
            <w:tcBorders>
              <w:top w:val="single" w:sz="6" w:space="0" w:color="auto"/>
            </w:tcBorders>
            <w:vAlign w:val="center"/>
          </w:tcPr>
          <w:p w14:paraId="6488043E"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c>
          <w:tcPr>
            <w:tcW w:w="541" w:type="dxa"/>
            <w:tcBorders>
              <w:top w:val="single" w:sz="6" w:space="0" w:color="auto"/>
            </w:tcBorders>
            <w:vAlign w:val="center"/>
          </w:tcPr>
          <w:p w14:paraId="5117A673"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41" w:type="dxa"/>
            <w:tcBorders>
              <w:top w:val="single" w:sz="6" w:space="0" w:color="auto"/>
            </w:tcBorders>
            <w:vAlign w:val="center"/>
          </w:tcPr>
          <w:p w14:paraId="1359612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41" w:type="dxa"/>
            <w:vAlign w:val="center"/>
          </w:tcPr>
          <w:p w14:paraId="66F09A5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41" w:type="dxa"/>
            <w:vAlign w:val="center"/>
          </w:tcPr>
          <w:p w14:paraId="375DC38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41" w:type="dxa"/>
            <w:vAlign w:val="center"/>
          </w:tcPr>
          <w:p w14:paraId="232346F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58" w:type="dxa"/>
            <w:vAlign w:val="center"/>
          </w:tcPr>
          <w:p w14:paraId="1B67718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vAlign w:val="center"/>
          </w:tcPr>
          <w:p w14:paraId="6A7A965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vAlign w:val="center"/>
          </w:tcPr>
          <w:p w14:paraId="7BE75D93"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75FDD0E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25441B8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vAlign w:val="center"/>
          </w:tcPr>
          <w:p w14:paraId="40E14D1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1E56F13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vAlign w:val="center"/>
          </w:tcPr>
          <w:p w14:paraId="087011D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7628ED75" w14:textId="77777777" w:rsidTr="00C70434">
        <w:tc>
          <w:tcPr>
            <w:tcW w:w="534" w:type="dxa"/>
            <w:vMerge w:val="restart"/>
            <w:tcBorders>
              <w:right w:val="single" w:sz="4" w:space="0" w:color="auto"/>
            </w:tcBorders>
            <w:shd w:val="clear" w:color="auto" w:fill="auto"/>
          </w:tcPr>
          <w:p w14:paraId="0AFB724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3000</w:t>
            </w:r>
          </w:p>
        </w:tc>
        <w:tc>
          <w:tcPr>
            <w:tcW w:w="283" w:type="dxa"/>
            <w:tcBorders>
              <w:left w:val="single" w:sz="4" w:space="0" w:color="auto"/>
            </w:tcBorders>
            <w:shd w:val="clear" w:color="auto" w:fill="D9D9D9"/>
          </w:tcPr>
          <w:p w14:paraId="6B5BD5DF"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3D28C22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34" w:type="dxa"/>
            <w:shd w:val="clear" w:color="auto" w:fill="D9D9D9"/>
          </w:tcPr>
          <w:p w14:paraId="5FADFD0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34" w:type="dxa"/>
            <w:shd w:val="clear" w:color="auto" w:fill="D9D9D9"/>
          </w:tcPr>
          <w:p w14:paraId="30D1F19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41" w:type="dxa"/>
            <w:shd w:val="clear" w:color="auto" w:fill="D9D9D9"/>
          </w:tcPr>
          <w:p w14:paraId="012D9F6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41" w:type="dxa"/>
            <w:shd w:val="clear" w:color="auto" w:fill="D9D9D9"/>
          </w:tcPr>
          <w:p w14:paraId="4E48BD5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D9D9D9"/>
          </w:tcPr>
          <w:p w14:paraId="579539D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shd w:val="clear" w:color="auto" w:fill="D9D9D9"/>
          </w:tcPr>
          <w:p w14:paraId="12D8634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shd w:val="clear" w:color="auto" w:fill="auto"/>
          </w:tcPr>
          <w:p w14:paraId="1265EF9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shd w:val="clear" w:color="auto" w:fill="auto"/>
          </w:tcPr>
          <w:p w14:paraId="6BA5484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shd w:val="clear" w:color="auto" w:fill="auto"/>
          </w:tcPr>
          <w:p w14:paraId="3ED380A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58" w:type="dxa"/>
            <w:shd w:val="clear" w:color="auto" w:fill="auto"/>
          </w:tcPr>
          <w:p w14:paraId="52FB2FA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09600139" w14:textId="14FCF575"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c>
          <w:tcPr>
            <w:tcW w:w="567" w:type="dxa"/>
            <w:shd w:val="clear" w:color="auto" w:fill="auto"/>
          </w:tcPr>
          <w:p w14:paraId="431B9C3B" w14:textId="47613530"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c>
          <w:tcPr>
            <w:tcW w:w="567" w:type="dxa"/>
            <w:shd w:val="clear" w:color="auto" w:fill="auto"/>
          </w:tcPr>
          <w:p w14:paraId="154569F0" w14:textId="7742484D"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c>
          <w:tcPr>
            <w:tcW w:w="567" w:type="dxa"/>
            <w:shd w:val="clear" w:color="auto" w:fill="auto"/>
          </w:tcPr>
          <w:p w14:paraId="22FDE23F" w14:textId="44DCB852"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c>
          <w:tcPr>
            <w:tcW w:w="567" w:type="dxa"/>
            <w:shd w:val="clear" w:color="auto" w:fill="auto"/>
          </w:tcPr>
          <w:p w14:paraId="00DD5E5C" w14:textId="6297EF7D"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c>
          <w:tcPr>
            <w:tcW w:w="425" w:type="dxa"/>
            <w:shd w:val="clear" w:color="auto" w:fill="auto"/>
          </w:tcPr>
          <w:p w14:paraId="4779B03C" w14:textId="79CB761C"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c>
          <w:tcPr>
            <w:tcW w:w="425" w:type="dxa"/>
            <w:shd w:val="clear" w:color="auto" w:fill="auto"/>
          </w:tcPr>
          <w:p w14:paraId="226ACC36" w14:textId="0D7EF900" w:rsidR="003A7917" w:rsidRPr="00FD50F6" w:rsidRDefault="003A7917" w:rsidP="003A7917">
            <w:pPr>
              <w:pStyle w:val="7"/>
              <w:jc w:val="left"/>
              <w:rPr>
                <w:rFonts w:eastAsia="楷体" w:cs="Times New Roman"/>
                <w:sz w:val="15"/>
                <w:szCs w:val="15"/>
              </w:rPr>
            </w:pPr>
            <w:r w:rsidRPr="001E63AD">
              <w:rPr>
                <w:rFonts w:eastAsia="楷体" w:cs="Times New Roman"/>
                <w:sz w:val="15"/>
                <w:szCs w:val="15"/>
              </w:rPr>
              <w:t>—</w:t>
            </w:r>
          </w:p>
        </w:tc>
      </w:tr>
      <w:tr w:rsidR="00FD50F6" w:rsidRPr="00FD50F6" w14:paraId="1DD458ED" w14:textId="77777777" w:rsidTr="00C70434">
        <w:tc>
          <w:tcPr>
            <w:tcW w:w="534" w:type="dxa"/>
            <w:vMerge/>
            <w:tcBorders>
              <w:right w:val="single" w:sz="4" w:space="0" w:color="auto"/>
            </w:tcBorders>
          </w:tcPr>
          <w:p w14:paraId="1B2AAA67" w14:textId="77777777" w:rsidR="006E2974" w:rsidRPr="00FD50F6" w:rsidRDefault="006E2974" w:rsidP="00E559B9">
            <w:pPr>
              <w:pStyle w:val="7"/>
              <w:jc w:val="left"/>
              <w:rPr>
                <w:rFonts w:eastAsia="楷体" w:cs="Times New Roman"/>
                <w:sz w:val="15"/>
                <w:szCs w:val="15"/>
              </w:rPr>
            </w:pPr>
          </w:p>
        </w:tc>
        <w:tc>
          <w:tcPr>
            <w:tcW w:w="283" w:type="dxa"/>
            <w:tcBorders>
              <w:left w:val="single" w:sz="4" w:space="0" w:color="auto"/>
            </w:tcBorders>
          </w:tcPr>
          <w:p w14:paraId="4ED7DF80"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4AA6002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60</w:t>
            </w:r>
          </w:p>
        </w:tc>
        <w:tc>
          <w:tcPr>
            <w:tcW w:w="534" w:type="dxa"/>
          </w:tcPr>
          <w:p w14:paraId="5D618D8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55</w:t>
            </w:r>
          </w:p>
        </w:tc>
        <w:tc>
          <w:tcPr>
            <w:tcW w:w="534" w:type="dxa"/>
          </w:tcPr>
          <w:p w14:paraId="02800D7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50</w:t>
            </w:r>
          </w:p>
        </w:tc>
        <w:tc>
          <w:tcPr>
            <w:tcW w:w="541" w:type="dxa"/>
          </w:tcPr>
          <w:p w14:paraId="0591BE1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45</w:t>
            </w:r>
          </w:p>
        </w:tc>
        <w:tc>
          <w:tcPr>
            <w:tcW w:w="541" w:type="dxa"/>
          </w:tcPr>
          <w:p w14:paraId="433637B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40</w:t>
            </w:r>
          </w:p>
        </w:tc>
        <w:tc>
          <w:tcPr>
            <w:tcW w:w="541" w:type="dxa"/>
          </w:tcPr>
          <w:p w14:paraId="12057E7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c>
          <w:tcPr>
            <w:tcW w:w="541" w:type="dxa"/>
          </w:tcPr>
          <w:p w14:paraId="77D2190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auto"/>
          </w:tcPr>
          <w:p w14:paraId="52166A3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auto"/>
          </w:tcPr>
          <w:p w14:paraId="40F6CAE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41" w:type="dxa"/>
            <w:shd w:val="clear" w:color="auto" w:fill="auto"/>
          </w:tcPr>
          <w:p w14:paraId="56D3D058"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58" w:type="dxa"/>
            <w:shd w:val="clear" w:color="auto" w:fill="auto"/>
          </w:tcPr>
          <w:p w14:paraId="16ECAF8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1117065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shd w:val="clear" w:color="auto" w:fill="auto"/>
          </w:tcPr>
          <w:p w14:paraId="3B5C17B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shd w:val="clear" w:color="auto" w:fill="auto"/>
          </w:tcPr>
          <w:p w14:paraId="5705CF7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shd w:val="clear" w:color="auto" w:fill="auto"/>
          </w:tcPr>
          <w:p w14:paraId="14F422B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shd w:val="clear" w:color="auto" w:fill="auto"/>
          </w:tcPr>
          <w:p w14:paraId="74E42882"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425" w:type="dxa"/>
            <w:shd w:val="clear" w:color="auto" w:fill="auto"/>
          </w:tcPr>
          <w:p w14:paraId="6FF2EA4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c>
          <w:tcPr>
            <w:tcW w:w="425" w:type="dxa"/>
            <w:shd w:val="clear" w:color="auto" w:fill="auto"/>
          </w:tcPr>
          <w:p w14:paraId="5511902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18F97A4C" w14:textId="77777777" w:rsidTr="00C70434">
        <w:tc>
          <w:tcPr>
            <w:tcW w:w="534" w:type="dxa"/>
            <w:vMerge w:val="restart"/>
            <w:shd w:val="clear" w:color="auto" w:fill="auto"/>
          </w:tcPr>
          <w:p w14:paraId="7664426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2500</w:t>
            </w:r>
          </w:p>
        </w:tc>
        <w:tc>
          <w:tcPr>
            <w:tcW w:w="283" w:type="dxa"/>
            <w:shd w:val="clear" w:color="auto" w:fill="D9D9D9"/>
          </w:tcPr>
          <w:p w14:paraId="7F536B9C"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3E5440E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34" w:type="dxa"/>
            <w:shd w:val="clear" w:color="auto" w:fill="D9D9D9"/>
          </w:tcPr>
          <w:p w14:paraId="414B845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34" w:type="dxa"/>
            <w:shd w:val="clear" w:color="auto" w:fill="D9D9D9"/>
          </w:tcPr>
          <w:p w14:paraId="091FBE1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41" w:type="dxa"/>
            <w:shd w:val="clear" w:color="auto" w:fill="D9D9D9"/>
          </w:tcPr>
          <w:p w14:paraId="21CC47B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41" w:type="dxa"/>
            <w:shd w:val="clear" w:color="auto" w:fill="D9D9D9"/>
          </w:tcPr>
          <w:p w14:paraId="34E7ABF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41" w:type="dxa"/>
            <w:shd w:val="clear" w:color="auto" w:fill="D9D9D9"/>
          </w:tcPr>
          <w:p w14:paraId="36BC177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D9D9D9"/>
          </w:tcPr>
          <w:p w14:paraId="68DC0A3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shd w:val="clear" w:color="auto" w:fill="auto"/>
          </w:tcPr>
          <w:p w14:paraId="5C7FBFD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shd w:val="clear" w:color="auto" w:fill="auto"/>
          </w:tcPr>
          <w:p w14:paraId="2BF02E6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41" w:type="dxa"/>
            <w:shd w:val="clear" w:color="auto" w:fill="auto"/>
          </w:tcPr>
          <w:p w14:paraId="3830998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58" w:type="dxa"/>
            <w:shd w:val="clear" w:color="auto" w:fill="auto"/>
          </w:tcPr>
          <w:p w14:paraId="3B7DC84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6378FA2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33225489" w14:textId="66EAFBB5" w:rsidR="003A7917" w:rsidRPr="00FD50F6" w:rsidRDefault="003A7917" w:rsidP="003A7917">
            <w:pPr>
              <w:pStyle w:val="7"/>
              <w:jc w:val="left"/>
              <w:rPr>
                <w:rFonts w:eastAsia="楷体" w:cs="Times New Roman"/>
                <w:sz w:val="15"/>
                <w:szCs w:val="15"/>
              </w:rPr>
            </w:pPr>
            <w:r w:rsidRPr="007A5EFC">
              <w:rPr>
                <w:rFonts w:eastAsia="楷体" w:cs="Times New Roman"/>
                <w:sz w:val="15"/>
                <w:szCs w:val="15"/>
              </w:rPr>
              <w:t>—</w:t>
            </w:r>
          </w:p>
        </w:tc>
        <w:tc>
          <w:tcPr>
            <w:tcW w:w="567" w:type="dxa"/>
            <w:shd w:val="clear" w:color="auto" w:fill="auto"/>
          </w:tcPr>
          <w:p w14:paraId="4711CA7C" w14:textId="5FC74A02" w:rsidR="003A7917" w:rsidRPr="00FD50F6" w:rsidRDefault="003A7917" w:rsidP="003A7917">
            <w:pPr>
              <w:pStyle w:val="7"/>
              <w:jc w:val="left"/>
              <w:rPr>
                <w:rFonts w:eastAsia="楷体" w:cs="Times New Roman"/>
                <w:sz w:val="15"/>
                <w:szCs w:val="15"/>
              </w:rPr>
            </w:pPr>
            <w:r w:rsidRPr="007A5EFC">
              <w:rPr>
                <w:rFonts w:eastAsia="楷体" w:cs="Times New Roman"/>
                <w:sz w:val="15"/>
                <w:szCs w:val="15"/>
              </w:rPr>
              <w:t>—</w:t>
            </w:r>
          </w:p>
        </w:tc>
        <w:tc>
          <w:tcPr>
            <w:tcW w:w="567" w:type="dxa"/>
            <w:shd w:val="clear" w:color="auto" w:fill="auto"/>
          </w:tcPr>
          <w:p w14:paraId="1091D22A" w14:textId="7B6F2735" w:rsidR="003A7917" w:rsidRPr="00FD50F6" w:rsidRDefault="003A7917" w:rsidP="003A7917">
            <w:pPr>
              <w:pStyle w:val="7"/>
              <w:jc w:val="left"/>
              <w:rPr>
                <w:rFonts w:eastAsia="楷体" w:cs="Times New Roman"/>
                <w:sz w:val="15"/>
                <w:szCs w:val="15"/>
              </w:rPr>
            </w:pPr>
            <w:r w:rsidRPr="007A5EFC">
              <w:rPr>
                <w:rFonts w:eastAsia="楷体" w:cs="Times New Roman"/>
                <w:sz w:val="15"/>
                <w:szCs w:val="15"/>
              </w:rPr>
              <w:t>—</w:t>
            </w:r>
          </w:p>
        </w:tc>
        <w:tc>
          <w:tcPr>
            <w:tcW w:w="567" w:type="dxa"/>
            <w:shd w:val="clear" w:color="auto" w:fill="auto"/>
          </w:tcPr>
          <w:p w14:paraId="453843F0" w14:textId="72401F73" w:rsidR="003A7917" w:rsidRPr="00FD50F6" w:rsidRDefault="003A7917" w:rsidP="003A7917">
            <w:pPr>
              <w:pStyle w:val="7"/>
              <w:jc w:val="left"/>
              <w:rPr>
                <w:rFonts w:eastAsia="楷体" w:cs="Times New Roman"/>
                <w:sz w:val="15"/>
                <w:szCs w:val="15"/>
              </w:rPr>
            </w:pPr>
            <w:r w:rsidRPr="007A5EFC">
              <w:rPr>
                <w:rFonts w:eastAsia="楷体" w:cs="Times New Roman"/>
                <w:sz w:val="15"/>
                <w:szCs w:val="15"/>
              </w:rPr>
              <w:t>—</w:t>
            </w:r>
          </w:p>
        </w:tc>
        <w:tc>
          <w:tcPr>
            <w:tcW w:w="425" w:type="dxa"/>
            <w:shd w:val="clear" w:color="auto" w:fill="auto"/>
          </w:tcPr>
          <w:p w14:paraId="1A932E40" w14:textId="21038114" w:rsidR="003A7917" w:rsidRPr="00FD50F6" w:rsidRDefault="003A7917" w:rsidP="003A7917">
            <w:pPr>
              <w:pStyle w:val="7"/>
              <w:jc w:val="left"/>
              <w:rPr>
                <w:rFonts w:eastAsia="楷体" w:cs="Times New Roman"/>
                <w:sz w:val="15"/>
                <w:szCs w:val="15"/>
              </w:rPr>
            </w:pPr>
            <w:r w:rsidRPr="007A5EFC">
              <w:rPr>
                <w:rFonts w:eastAsia="楷体" w:cs="Times New Roman"/>
                <w:sz w:val="15"/>
                <w:szCs w:val="15"/>
              </w:rPr>
              <w:t>—</w:t>
            </w:r>
          </w:p>
        </w:tc>
        <w:tc>
          <w:tcPr>
            <w:tcW w:w="425" w:type="dxa"/>
            <w:shd w:val="clear" w:color="auto" w:fill="auto"/>
          </w:tcPr>
          <w:p w14:paraId="1B61FB7C" w14:textId="1E7BB150" w:rsidR="003A7917" w:rsidRPr="00FD50F6" w:rsidRDefault="003A7917" w:rsidP="003A7917">
            <w:pPr>
              <w:pStyle w:val="7"/>
              <w:jc w:val="left"/>
              <w:rPr>
                <w:rFonts w:eastAsia="楷体" w:cs="Times New Roman"/>
                <w:sz w:val="15"/>
                <w:szCs w:val="15"/>
              </w:rPr>
            </w:pPr>
            <w:r w:rsidRPr="007A5EFC">
              <w:rPr>
                <w:rFonts w:eastAsia="楷体" w:cs="Times New Roman"/>
                <w:sz w:val="15"/>
                <w:szCs w:val="15"/>
              </w:rPr>
              <w:t>—</w:t>
            </w:r>
          </w:p>
        </w:tc>
      </w:tr>
      <w:tr w:rsidR="00FD50F6" w:rsidRPr="00FD50F6" w14:paraId="0864ABAD" w14:textId="77777777" w:rsidTr="00C70434">
        <w:tc>
          <w:tcPr>
            <w:tcW w:w="534" w:type="dxa"/>
            <w:vMerge/>
          </w:tcPr>
          <w:p w14:paraId="35D57C91" w14:textId="77777777" w:rsidR="006E2974" w:rsidRPr="00FD50F6" w:rsidRDefault="006E2974" w:rsidP="00E559B9">
            <w:pPr>
              <w:pStyle w:val="7"/>
              <w:jc w:val="left"/>
              <w:rPr>
                <w:rFonts w:eastAsia="楷体" w:cs="Times New Roman"/>
                <w:sz w:val="15"/>
                <w:szCs w:val="15"/>
              </w:rPr>
            </w:pPr>
          </w:p>
        </w:tc>
        <w:tc>
          <w:tcPr>
            <w:tcW w:w="283" w:type="dxa"/>
          </w:tcPr>
          <w:p w14:paraId="5A18A10A"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7DE6D8B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70</w:t>
            </w:r>
          </w:p>
        </w:tc>
        <w:tc>
          <w:tcPr>
            <w:tcW w:w="534" w:type="dxa"/>
          </w:tcPr>
          <w:p w14:paraId="1C14EDC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65</w:t>
            </w:r>
          </w:p>
        </w:tc>
        <w:tc>
          <w:tcPr>
            <w:tcW w:w="534" w:type="dxa"/>
          </w:tcPr>
          <w:p w14:paraId="69F1AF9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60</w:t>
            </w:r>
          </w:p>
        </w:tc>
        <w:tc>
          <w:tcPr>
            <w:tcW w:w="541" w:type="dxa"/>
          </w:tcPr>
          <w:p w14:paraId="77EA5A0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55</w:t>
            </w:r>
          </w:p>
        </w:tc>
        <w:tc>
          <w:tcPr>
            <w:tcW w:w="541" w:type="dxa"/>
          </w:tcPr>
          <w:p w14:paraId="748D538D"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50</w:t>
            </w:r>
          </w:p>
        </w:tc>
        <w:tc>
          <w:tcPr>
            <w:tcW w:w="541" w:type="dxa"/>
          </w:tcPr>
          <w:p w14:paraId="6CCB364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45</w:t>
            </w:r>
          </w:p>
        </w:tc>
        <w:tc>
          <w:tcPr>
            <w:tcW w:w="541" w:type="dxa"/>
          </w:tcPr>
          <w:p w14:paraId="4AEEAEA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40</w:t>
            </w:r>
          </w:p>
        </w:tc>
        <w:tc>
          <w:tcPr>
            <w:tcW w:w="541" w:type="dxa"/>
            <w:shd w:val="clear" w:color="auto" w:fill="auto"/>
          </w:tcPr>
          <w:p w14:paraId="41AEA9D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c>
          <w:tcPr>
            <w:tcW w:w="541" w:type="dxa"/>
            <w:shd w:val="clear" w:color="auto" w:fill="auto"/>
          </w:tcPr>
          <w:p w14:paraId="64B7466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auto"/>
          </w:tcPr>
          <w:p w14:paraId="66156D7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58" w:type="dxa"/>
            <w:shd w:val="clear" w:color="auto" w:fill="auto"/>
          </w:tcPr>
          <w:p w14:paraId="5F15F62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68901FC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7C204D0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shd w:val="clear" w:color="auto" w:fill="auto"/>
          </w:tcPr>
          <w:p w14:paraId="7E377AF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567" w:type="dxa"/>
            <w:shd w:val="clear" w:color="auto" w:fill="auto"/>
          </w:tcPr>
          <w:p w14:paraId="3175B1A5"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567" w:type="dxa"/>
            <w:shd w:val="clear" w:color="auto" w:fill="auto"/>
          </w:tcPr>
          <w:p w14:paraId="0B2CE548"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425" w:type="dxa"/>
            <w:shd w:val="clear" w:color="auto" w:fill="auto"/>
          </w:tcPr>
          <w:p w14:paraId="5464A291"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c>
          <w:tcPr>
            <w:tcW w:w="425" w:type="dxa"/>
            <w:shd w:val="clear" w:color="auto" w:fill="auto"/>
          </w:tcPr>
          <w:p w14:paraId="33BD835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w:t>
            </w:r>
          </w:p>
        </w:tc>
      </w:tr>
      <w:tr w:rsidR="003A7917" w:rsidRPr="00FD50F6" w14:paraId="5CCC32A0" w14:textId="77777777" w:rsidTr="00C70434">
        <w:tc>
          <w:tcPr>
            <w:tcW w:w="534" w:type="dxa"/>
            <w:vMerge w:val="restart"/>
            <w:shd w:val="clear" w:color="auto" w:fill="auto"/>
          </w:tcPr>
          <w:p w14:paraId="191AC41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2000</w:t>
            </w:r>
          </w:p>
        </w:tc>
        <w:tc>
          <w:tcPr>
            <w:tcW w:w="283" w:type="dxa"/>
            <w:shd w:val="clear" w:color="auto" w:fill="D9D9D9"/>
          </w:tcPr>
          <w:p w14:paraId="32E29C8C"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3A9C850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34" w:type="dxa"/>
            <w:shd w:val="clear" w:color="auto" w:fill="D9D9D9"/>
          </w:tcPr>
          <w:p w14:paraId="21A8DD3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34" w:type="dxa"/>
            <w:shd w:val="clear" w:color="auto" w:fill="D9D9D9"/>
          </w:tcPr>
          <w:p w14:paraId="663ABE1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41" w:type="dxa"/>
            <w:shd w:val="clear" w:color="auto" w:fill="D9D9D9"/>
          </w:tcPr>
          <w:p w14:paraId="769AC2D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41" w:type="dxa"/>
            <w:shd w:val="clear" w:color="auto" w:fill="D9D9D9"/>
          </w:tcPr>
          <w:p w14:paraId="2A32313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41" w:type="dxa"/>
            <w:shd w:val="clear" w:color="auto" w:fill="D9D9D9"/>
          </w:tcPr>
          <w:p w14:paraId="6297B75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41" w:type="dxa"/>
            <w:shd w:val="clear" w:color="auto" w:fill="D9D9D9"/>
          </w:tcPr>
          <w:p w14:paraId="7162728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41" w:type="dxa"/>
            <w:shd w:val="clear" w:color="auto" w:fill="auto"/>
          </w:tcPr>
          <w:p w14:paraId="68D1908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auto"/>
          </w:tcPr>
          <w:p w14:paraId="4AA21D8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41" w:type="dxa"/>
            <w:shd w:val="clear" w:color="auto" w:fill="auto"/>
          </w:tcPr>
          <w:p w14:paraId="48547EE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58" w:type="dxa"/>
            <w:shd w:val="clear" w:color="auto" w:fill="auto"/>
          </w:tcPr>
          <w:p w14:paraId="6C94D46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24A582F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7C9EB1E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6F1C834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33E5EF6C" w14:textId="4CD94C4E" w:rsidR="003A7917" w:rsidRPr="00FD50F6" w:rsidRDefault="003A7917" w:rsidP="003A7917">
            <w:pPr>
              <w:pStyle w:val="7"/>
              <w:jc w:val="left"/>
              <w:rPr>
                <w:rFonts w:eastAsia="楷体" w:cs="Times New Roman"/>
                <w:sz w:val="15"/>
                <w:szCs w:val="15"/>
              </w:rPr>
            </w:pPr>
            <w:r w:rsidRPr="000618E7">
              <w:rPr>
                <w:rFonts w:eastAsia="楷体" w:cs="Times New Roman"/>
                <w:sz w:val="15"/>
                <w:szCs w:val="15"/>
              </w:rPr>
              <w:t>—</w:t>
            </w:r>
          </w:p>
        </w:tc>
        <w:tc>
          <w:tcPr>
            <w:tcW w:w="567" w:type="dxa"/>
            <w:shd w:val="clear" w:color="auto" w:fill="auto"/>
          </w:tcPr>
          <w:p w14:paraId="171EE2F8" w14:textId="47513D7A" w:rsidR="003A7917" w:rsidRPr="00FD50F6" w:rsidRDefault="003A7917" w:rsidP="003A7917">
            <w:pPr>
              <w:pStyle w:val="7"/>
              <w:jc w:val="left"/>
              <w:rPr>
                <w:rFonts w:eastAsia="楷体" w:cs="Times New Roman"/>
                <w:sz w:val="15"/>
                <w:szCs w:val="15"/>
              </w:rPr>
            </w:pPr>
            <w:r w:rsidRPr="000618E7">
              <w:rPr>
                <w:rFonts w:eastAsia="楷体" w:cs="Times New Roman"/>
                <w:sz w:val="15"/>
                <w:szCs w:val="15"/>
              </w:rPr>
              <w:t>—</w:t>
            </w:r>
          </w:p>
        </w:tc>
        <w:tc>
          <w:tcPr>
            <w:tcW w:w="425" w:type="dxa"/>
            <w:shd w:val="clear" w:color="auto" w:fill="auto"/>
          </w:tcPr>
          <w:p w14:paraId="16F60AAE" w14:textId="12B055CD" w:rsidR="003A7917" w:rsidRPr="00FD50F6" w:rsidRDefault="003A7917" w:rsidP="003A7917">
            <w:pPr>
              <w:pStyle w:val="7"/>
              <w:jc w:val="left"/>
              <w:rPr>
                <w:rFonts w:eastAsia="楷体" w:cs="Times New Roman"/>
                <w:sz w:val="15"/>
                <w:szCs w:val="15"/>
              </w:rPr>
            </w:pPr>
            <w:r w:rsidRPr="000618E7">
              <w:rPr>
                <w:rFonts w:eastAsia="楷体" w:cs="Times New Roman"/>
                <w:sz w:val="15"/>
                <w:szCs w:val="15"/>
              </w:rPr>
              <w:t>—</w:t>
            </w:r>
          </w:p>
        </w:tc>
        <w:tc>
          <w:tcPr>
            <w:tcW w:w="425" w:type="dxa"/>
            <w:shd w:val="clear" w:color="auto" w:fill="auto"/>
          </w:tcPr>
          <w:p w14:paraId="78046CBB" w14:textId="11D86335" w:rsidR="003A7917" w:rsidRPr="00FD50F6" w:rsidRDefault="003A7917" w:rsidP="003A7917">
            <w:pPr>
              <w:pStyle w:val="7"/>
              <w:jc w:val="left"/>
              <w:rPr>
                <w:rFonts w:eastAsia="楷体" w:cs="Times New Roman"/>
                <w:sz w:val="15"/>
                <w:szCs w:val="15"/>
              </w:rPr>
            </w:pPr>
            <w:r w:rsidRPr="000618E7">
              <w:rPr>
                <w:rFonts w:eastAsia="楷体" w:cs="Times New Roman"/>
                <w:sz w:val="15"/>
                <w:szCs w:val="15"/>
              </w:rPr>
              <w:t>—</w:t>
            </w:r>
          </w:p>
        </w:tc>
      </w:tr>
      <w:tr w:rsidR="00FD50F6" w:rsidRPr="00FD50F6" w14:paraId="594DED24" w14:textId="77777777" w:rsidTr="00C70434">
        <w:tc>
          <w:tcPr>
            <w:tcW w:w="534" w:type="dxa"/>
            <w:vMerge/>
          </w:tcPr>
          <w:p w14:paraId="20BF0529" w14:textId="77777777" w:rsidR="006E2974" w:rsidRPr="00FD50F6" w:rsidRDefault="006E2974" w:rsidP="00E559B9">
            <w:pPr>
              <w:pStyle w:val="7"/>
              <w:jc w:val="left"/>
              <w:rPr>
                <w:rFonts w:eastAsia="楷体" w:cs="Times New Roman"/>
                <w:sz w:val="15"/>
                <w:szCs w:val="15"/>
              </w:rPr>
            </w:pPr>
          </w:p>
        </w:tc>
        <w:tc>
          <w:tcPr>
            <w:tcW w:w="283" w:type="dxa"/>
          </w:tcPr>
          <w:p w14:paraId="5B35B1FC"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35FA045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85</w:t>
            </w:r>
          </w:p>
        </w:tc>
        <w:tc>
          <w:tcPr>
            <w:tcW w:w="534" w:type="dxa"/>
          </w:tcPr>
          <w:p w14:paraId="53843CE4"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80</w:t>
            </w:r>
          </w:p>
        </w:tc>
        <w:tc>
          <w:tcPr>
            <w:tcW w:w="534" w:type="dxa"/>
          </w:tcPr>
          <w:p w14:paraId="1320C9C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75</w:t>
            </w:r>
          </w:p>
        </w:tc>
        <w:tc>
          <w:tcPr>
            <w:tcW w:w="541" w:type="dxa"/>
          </w:tcPr>
          <w:p w14:paraId="6BE98DB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70</w:t>
            </w:r>
          </w:p>
        </w:tc>
        <w:tc>
          <w:tcPr>
            <w:tcW w:w="541" w:type="dxa"/>
          </w:tcPr>
          <w:p w14:paraId="79ED943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60</w:t>
            </w:r>
          </w:p>
        </w:tc>
        <w:tc>
          <w:tcPr>
            <w:tcW w:w="541" w:type="dxa"/>
          </w:tcPr>
          <w:p w14:paraId="2A5B145D"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55</w:t>
            </w:r>
          </w:p>
        </w:tc>
        <w:tc>
          <w:tcPr>
            <w:tcW w:w="541" w:type="dxa"/>
          </w:tcPr>
          <w:p w14:paraId="0328F14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50</w:t>
            </w:r>
          </w:p>
        </w:tc>
        <w:tc>
          <w:tcPr>
            <w:tcW w:w="541" w:type="dxa"/>
            <w:shd w:val="clear" w:color="auto" w:fill="auto"/>
          </w:tcPr>
          <w:p w14:paraId="54BDF5A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45</w:t>
            </w:r>
          </w:p>
        </w:tc>
        <w:tc>
          <w:tcPr>
            <w:tcW w:w="541" w:type="dxa"/>
            <w:shd w:val="clear" w:color="auto" w:fill="auto"/>
          </w:tcPr>
          <w:p w14:paraId="168704D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40</w:t>
            </w:r>
          </w:p>
        </w:tc>
        <w:tc>
          <w:tcPr>
            <w:tcW w:w="541" w:type="dxa"/>
            <w:shd w:val="clear" w:color="auto" w:fill="auto"/>
          </w:tcPr>
          <w:p w14:paraId="54D12A1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35</w:t>
            </w:r>
          </w:p>
        </w:tc>
        <w:tc>
          <w:tcPr>
            <w:tcW w:w="558" w:type="dxa"/>
            <w:shd w:val="clear" w:color="auto" w:fill="auto"/>
          </w:tcPr>
          <w:p w14:paraId="7748452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2A9143E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21E7D0D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55427CC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72B8ACA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567" w:type="dxa"/>
            <w:shd w:val="clear" w:color="auto" w:fill="auto"/>
          </w:tcPr>
          <w:p w14:paraId="31C3CFB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425" w:type="dxa"/>
            <w:shd w:val="clear" w:color="auto" w:fill="auto"/>
          </w:tcPr>
          <w:p w14:paraId="40048BE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c>
          <w:tcPr>
            <w:tcW w:w="425" w:type="dxa"/>
            <w:shd w:val="clear" w:color="auto" w:fill="auto"/>
          </w:tcPr>
          <w:p w14:paraId="0977F064"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w:t>
            </w:r>
          </w:p>
        </w:tc>
      </w:tr>
      <w:tr w:rsidR="003A7917" w:rsidRPr="00FD50F6" w14:paraId="372CD838" w14:textId="77777777" w:rsidTr="00C70434">
        <w:tc>
          <w:tcPr>
            <w:tcW w:w="534" w:type="dxa"/>
            <w:vMerge w:val="restart"/>
            <w:shd w:val="clear" w:color="auto" w:fill="auto"/>
          </w:tcPr>
          <w:p w14:paraId="1D8F5C7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1500</w:t>
            </w:r>
          </w:p>
        </w:tc>
        <w:tc>
          <w:tcPr>
            <w:tcW w:w="283" w:type="dxa"/>
            <w:shd w:val="clear" w:color="auto" w:fill="D9D9D9"/>
          </w:tcPr>
          <w:p w14:paraId="1FDBFC28"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55654EB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100</w:t>
            </w:r>
          </w:p>
        </w:tc>
        <w:tc>
          <w:tcPr>
            <w:tcW w:w="534" w:type="dxa"/>
            <w:shd w:val="clear" w:color="auto" w:fill="D9D9D9"/>
          </w:tcPr>
          <w:p w14:paraId="2A89A78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34" w:type="dxa"/>
            <w:shd w:val="clear" w:color="auto" w:fill="D9D9D9"/>
          </w:tcPr>
          <w:p w14:paraId="7DEDF40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w:t>
            </w:r>
          </w:p>
        </w:tc>
        <w:tc>
          <w:tcPr>
            <w:tcW w:w="541" w:type="dxa"/>
            <w:shd w:val="clear" w:color="auto" w:fill="D9D9D9"/>
          </w:tcPr>
          <w:p w14:paraId="2CB8DE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shd w:val="clear" w:color="auto" w:fill="D9D9D9"/>
          </w:tcPr>
          <w:p w14:paraId="4B4A57B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41" w:type="dxa"/>
            <w:shd w:val="clear" w:color="auto" w:fill="D9D9D9"/>
          </w:tcPr>
          <w:p w14:paraId="7E12FC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41" w:type="dxa"/>
            <w:shd w:val="clear" w:color="auto" w:fill="D9D9D9"/>
          </w:tcPr>
          <w:p w14:paraId="397B82C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41" w:type="dxa"/>
            <w:shd w:val="clear" w:color="auto" w:fill="auto"/>
          </w:tcPr>
          <w:p w14:paraId="5254D3B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41" w:type="dxa"/>
            <w:shd w:val="clear" w:color="auto" w:fill="auto"/>
          </w:tcPr>
          <w:p w14:paraId="1B4A57D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41" w:type="dxa"/>
            <w:shd w:val="clear" w:color="auto" w:fill="auto"/>
          </w:tcPr>
          <w:p w14:paraId="0E18967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58" w:type="dxa"/>
            <w:shd w:val="clear" w:color="auto" w:fill="auto"/>
          </w:tcPr>
          <w:p w14:paraId="6051386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26ECE9A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69CDAF7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12D27B9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2FDB611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0E295D8B" w14:textId="6F4FF446" w:rsidR="003A7917" w:rsidRPr="00FD50F6" w:rsidRDefault="003A7917" w:rsidP="003A7917">
            <w:pPr>
              <w:pStyle w:val="7"/>
              <w:jc w:val="left"/>
              <w:rPr>
                <w:rFonts w:eastAsia="楷体" w:cs="Times New Roman"/>
                <w:sz w:val="15"/>
                <w:szCs w:val="15"/>
              </w:rPr>
            </w:pPr>
            <w:r w:rsidRPr="008256BD">
              <w:rPr>
                <w:rFonts w:eastAsia="楷体" w:cs="Times New Roman"/>
                <w:sz w:val="15"/>
                <w:szCs w:val="15"/>
              </w:rPr>
              <w:t>—</w:t>
            </w:r>
          </w:p>
        </w:tc>
        <w:tc>
          <w:tcPr>
            <w:tcW w:w="425" w:type="dxa"/>
            <w:shd w:val="clear" w:color="auto" w:fill="auto"/>
          </w:tcPr>
          <w:p w14:paraId="63F66653" w14:textId="695B18A3" w:rsidR="003A7917" w:rsidRPr="00FD50F6" w:rsidRDefault="003A7917" w:rsidP="003A7917">
            <w:pPr>
              <w:pStyle w:val="7"/>
              <w:jc w:val="left"/>
              <w:rPr>
                <w:rFonts w:eastAsia="楷体" w:cs="Times New Roman"/>
                <w:sz w:val="15"/>
                <w:szCs w:val="15"/>
              </w:rPr>
            </w:pPr>
            <w:r w:rsidRPr="008256BD">
              <w:rPr>
                <w:rFonts w:eastAsia="楷体" w:cs="Times New Roman"/>
                <w:sz w:val="15"/>
                <w:szCs w:val="15"/>
              </w:rPr>
              <w:t>—</w:t>
            </w:r>
          </w:p>
        </w:tc>
        <w:tc>
          <w:tcPr>
            <w:tcW w:w="425" w:type="dxa"/>
            <w:shd w:val="clear" w:color="auto" w:fill="auto"/>
          </w:tcPr>
          <w:p w14:paraId="7EC06D44" w14:textId="66CD251E" w:rsidR="003A7917" w:rsidRPr="00FD50F6" w:rsidRDefault="003A7917" w:rsidP="003A7917">
            <w:pPr>
              <w:pStyle w:val="7"/>
              <w:jc w:val="left"/>
              <w:rPr>
                <w:rFonts w:eastAsia="楷体" w:cs="Times New Roman"/>
                <w:sz w:val="15"/>
                <w:szCs w:val="15"/>
              </w:rPr>
            </w:pPr>
            <w:r w:rsidRPr="008256BD">
              <w:rPr>
                <w:rFonts w:eastAsia="楷体" w:cs="Times New Roman"/>
                <w:sz w:val="15"/>
                <w:szCs w:val="15"/>
              </w:rPr>
              <w:t>—</w:t>
            </w:r>
          </w:p>
        </w:tc>
      </w:tr>
      <w:tr w:rsidR="00FD50F6" w:rsidRPr="00FD50F6" w14:paraId="2779E987" w14:textId="77777777" w:rsidTr="00C70434">
        <w:tc>
          <w:tcPr>
            <w:tcW w:w="534" w:type="dxa"/>
            <w:vMerge/>
          </w:tcPr>
          <w:p w14:paraId="4E6FA267" w14:textId="77777777" w:rsidR="006E2974" w:rsidRPr="00FD50F6" w:rsidRDefault="006E2974" w:rsidP="00E559B9">
            <w:pPr>
              <w:pStyle w:val="7"/>
              <w:jc w:val="left"/>
              <w:rPr>
                <w:rFonts w:eastAsia="楷体" w:cs="Times New Roman"/>
                <w:sz w:val="15"/>
                <w:szCs w:val="15"/>
              </w:rPr>
            </w:pPr>
          </w:p>
        </w:tc>
        <w:tc>
          <w:tcPr>
            <w:tcW w:w="283" w:type="dxa"/>
          </w:tcPr>
          <w:p w14:paraId="2BB61CE4"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047F17A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115</w:t>
            </w:r>
          </w:p>
        </w:tc>
        <w:tc>
          <w:tcPr>
            <w:tcW w:w="534" w:type="dxa"/>
          </w:tcPr>
          <w:p w14:paraId="1ABACCFE"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105</w:t>
            </w:r>
          </w:p>
        </w:tc>
        <w:tc>
          <w:tcPr>
            <w:tcW w:w="534" w:type="dxa"/>
          </w:tcPr>
          <w:p w14:paraId="0B56DAA8"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100</w:t>
            </w:r>
          </w:p>
        </w:tc>
        <w:tc>
          <w:tcPr>
            <w:tcW w:w="541" w:type="dxa"/>
          </w:tcPr>
          <w:p w14:paraId="1E0F2338"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90</w:t>
            </w:r>
          </w:p>
        </w:tc>
        <w:tc>
          <w:tcPr>
            <w:tcW w:w="541" w:type="dxa"/>
          </w:tcPr>
          <w:p w14:paraId="45C6DA0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80</w:t>
            </w:r>
          </w:p>
        </w:tc>
        <w:tc>
          <w:tcPr>
            <w:tcW w:w="541" w:type="dxa"/>
          </w:tcPr>
          <w:p w14:paraId="78A84C8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70</w:t>
            </w:r>
          </w:p>
        </w:tc>
        <w:tc>
          <w:tcPr>
            <w:tcW w:w="541" w:type="dxa"/>
          </w:tcPr>
          <w:p w14:paraId="6B8E055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65</w:t>
            </w:r>
          </w:p>
        </w:tc>
        <w:tc>
          <w:tcPr>
            <w:tcW w:w="541" w:type="dxa"/>
            <w:shd w:val="clear" w:color="auto" w:fill="auto"/>
          </w:tcPr>
          <w:p w14:paraId="42705431"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60</w:t>
            </w:r>
          </w:p>
        </w:tc>
        <w:tc>
          <w:tcPr>
            <w:tcW w:w="541" w:type="dxa"/>
            <w:shd w:val="clear" w:color="auto" w:fill="auto"/>
          </w:tcPr>
          <w:p w14:paraId="6A5AB770"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50</w:t>
            </w:r>
          </w:p>
        </w:tc>
        <w:tc>
          <w:tcPr>
            <w:tcW w:w="541" w:type="dxa"/>
            <w:shd w:val="clear" w:color="auto" w:fill="auto"/>
          </w:tcPr>
          <w:p w14:paraId="353C2326"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45</w:t>
            </w:r>
          </w:p>
        </w:tc>
        <w:tc>
          <w:tcPr>
            <w:tcW w:w="558" w:type="dxa"/>
            <w:shd w:val="clear" w:color="auto" w:fill="auto"/>
          </w:tcPr>
          <w:p w14:paraId="5F1D2C04"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7D2E6CA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790BC671"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53C8D3A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5A6CE8EA"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1F302FC7"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425" w:type="dxa"/>
            <w:shd w:val="clear" w:color="auto" w:fill="auto"/>
          </w:tcPr>
          <w:p w14:paraId="16A5A5CF"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15</w:t>
            </w:r>
          </w:p>
        </w:tc>
        <w:tc>
          <w:tcPr>
            <w:tcW w:w="425" w:type="dxa"/>
            <w:shd w:val="clear" w:color="auto" w:fill="auto"/>
          </w:tcPr>
          <w:p w14:paraId="6BD6B8BC"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w:t>
            </w:r>
          </w:p>
        </w:tc>
      </w:tr>
      <w:tr w:rsidR="003A7917" w:rsidRPr="00FD50F6" w14:paraId="270CD8F4" w14:textId="77777777" w:rsidTr="00C70434">
        <w:tc>
          <w:tcPr>
            <w:tcW w:w="534" w:type="dxa"/>
            <w:vMerge w:val="restart"/>
            <w:shd w:val="clear" w:color="auto" w:fill="auto"/>
          </w:tcPr>
          <w:p w14:paraId="0B00A2C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1200</w:t>
            </w:r>
          </w:p>
        </w:tc>
        <w:tc>
          <w:tcPr>
            <w:tcW w:w="283" w:type="dxa"/>
            <w:shd w:val="clear" w:color="auto" w:fill="D9D9D9"/>
          </w:tcPr>
          <w:p w14:paraId="32728C9B"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6F88F2F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125</w:t>
            </w:r>
          </w:p>
        </w:tc>
        <w:tc>
          <w:tcPr>
            <w:tcW w:w="534" w:type="dxa"/>
            <w:shd w:val="clear" w:color="auto" w:fill="D9D9D9"/>
          </w:tcPr>
          <w:p w14:paraId="73DEEE8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105</w:t>
            </w:r>
          </w:p>
        </w:tc>
        <w:tc>
          <w:tcPr>
            <w:tcW w:w="534" w:type="dxa"/>
            <w:shd w:val="clear" w:color="auto" w:fill="D9D9D9"/>
          </w:tcPr>
          <w:p w14:paraId="4A72E08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541" w:type="dxa"/>
            <w:shd w:val="clear" w:color="auto" w:fill="D9D9D9"/>
          </w:tcPr>
          <w:p w14:paraId="341D842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41" w:type="dxa"/>
            <w:shd w:val="clear" w:color="auto" w:fill="D9D9D9"/>
          </w:tcPr>
          <w:p w14:paraId="6B627F9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shd w:val="clear" w:color="auto" w:fill="D9D9D9"/>
          </w:tcPr>
          <w:p w14:paraId="3CC6888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41" w:type="dxa"/>
            <w:shd w:val="clear" w:color="auto" w:fill="D9D9D9"/>
          </w:tcPr>
          <w:p w14:paraId="2770321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41" w:type="dxa"/>
            <w:shd w:val="clear" w:color="auto" w:fill="auto"/>
          </w:tcPr>
          <w:p w14:paraId="163EFCD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41" w:type="dxa"/>
            <w:shd w:val="clear" w:color="auto" w:fill="auto"/>
          </w:tcPr>
          <w:p w14:paraId="0976A57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41" w:type="dxa"/>
            <w:shd w:val="clear" w:color="auto" w:fill="auto"/>
          </w:tcPr>
          <w:p w14:paraId="27B591A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58" w:type="dxa"/>
            <w:shd w:val="clear" w:color="auto" w:fill="auto"/>
          </w:tcPr>
          <w:p w14:paraId="7BA196F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0128B59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11CBC02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509808B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73922FD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4A4198C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518DFB8E" w14:textId="32192898" w:rsidR="003A7917" w:rsidRPr="00FD50F6" w:rsidRDefault="003A7917" w:rsidP="003A7917">
            <w:pPr>
              <w:pStyle w:val="7"/>
              <w:jc w:val="left"/>
              <w:rPr>
                <w:rFonts w:eastAsia="楷体" w:cs="Times New Roman"/>
                <w:sz w:val="15"/>
                <w:szCs w:val="15"/>
              </w:rPr>
            </w:pPr>
            <w:r w:rsidRPr="008256BD">
              <w:rPr>
                <w:rFonts w:eastAsia="楷体" w:cs="Times New Roman"/>
                <w:sz w:val="15"/>
                <w:szCs w:val="15"/>
              </w:rPr>
              <w:t>—</w:t>
            </w:r>
          </w:p>
        </w:tc>
        <w:tc>
          <w:tcPr>
            <w:tcW w:w="425" w:type="dxa"/>
            <w:shd w:val="clear" w:color="auto" w:fill="auto"/>
          </w:tcPr>
          <w:p w14:paraId="4EF84F73" w14:textId="0A3716C7" w:rsidR="003A7917" w:rsidRPr="00FD50F6" w:rsidRDefault="003A7917" w:rsidP="003A7917">
            <w:pPr>
              <w:pStyle w:val="7"/>
              <w:jc w:val="left"/>
              <w:rPr>
                <w:rFonts w:eastAsia="楷体" w:cs="Times New Roman"/>
                <w:sz w:val="15"/>
                <w:szCs w:val="15"/>
              </w:rPr>
            </w:pPr>
            <w:r w:rsidRPr="008256BD">
              <w:rPr>
                <w:rFonts w:eastAsia="楷体" w:cs="Times New Roman"/>
                <w:sz w:val="15"/>
                <w:szCs w:val="15"/>
              </w:rPr>
              <w:t>—</w:t>
            </w:r>
          </w:p>
        </w:tc>
      </w:tr>
      <w:tr w:rsidR="00FD50F6" w:rsidRPr="00FD50F6" w14:paraId="51233D98" w14:textId="77777777" w:rsidTr="00C70434">
        <w:tc>
          <w:tcPr>
            <w:tcW w:w="534" w:type="dxa"/>
            <w:vMerge/>
          </w:tcPr>
          <w:p w14:paraId="32EBCAE1" w14:textId="77777777" w:rsidR="006E2974" w:rsidRPr="00FD50F6" w:rsidRDefault="006E2974" w:rsidP="00E559B9">
            <w:pPr>
              <w:pStyle w:val="7"/>
              <w:jc w:val="left"/>
              <w:rPr>
                <w:rFonts w:eastAsia="楷体" w:cs="Times New Roman"/>
                <w:sz w:val="15"/>
                <w:szCs w:val="15"/>
              </w:rPr>
            </w:pPr>
          </w:p>
        </w:tc>
        <w:tc>
          <w:tcPr>
            <w:tcW w:w="283" w:type="dxa"/>
          </w:tcPr>
          <w:p w14:paraId="1AD2E318" w14:textId="77777777" w:rsidR="006E2974" w:rsidRPr="003A7917" w:rsidRDefault="006E2974" w:rsidP="00E559B9">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275EE2E4"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145</w:t>
            </w:r>
          </w:p>
        </w:tc>
        <w:tc>
          <w:tcPr>
            <w:tcW w:w="534" w:type="dxa"/>
          </w:tcPr>
          <w:p w14:paraId="7E33102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130</w:t>
            </w:r>
          </w:p>
        </w:tc>
        <w:tc>
          <w:tcPr>
            <w:tcW w:w="534" w:type="dxa"/>
          </w:tcPr>
          <w:p w14:paraId="07FEB0E3"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120</w:t>
            </w:r>
          </w:p>
        </w:tc>
        <w:tc>
          <w:tcPr>
            <w:tcW w:w="541" w:type="dxa"/>
          </w:tcPr>
          <w:p w14:paraId="50D4A159"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110</w:t>
            </w:r>
          </w:p>
        </w:tc>
        <w:tc>
          <w:tcPr>
            <w:tcW w:w="541" w:type="dxa"/>
          </w:tcPr>
          <w:p w14:paraId="083EA59B" w14:textId="77777777" w:rsidR="006E2974" w:rsidRPr="00FD50F6" w:rsidRDefault="006E2974" w:rsidP="00C70434">
            <w:pPr>
              <w:pStyle w:val="7"/>
              <w:jc w:val="left"/>
              <w:rPr>
                <w:rFonts w:eastAsia="楷体" w:cs="Times New Roman"/>
                <w:sz w:val="15"/>
                <w:szCs w:val="15"/>
              </w:rPr>
            </w:pPr>
            <w:r w:rsidRPr="00FD50F6">
              <w:rPr>
                <w:rFonts w:eastAsia="楷体" w:cs="Times New Roman"/>
                <w:sz w:val="15"/>
                <w:szCs w:val="15"/>
              </w:rPr>
              <w:t>100</w:t>
            </w:r>
          </w:p>
        </w:tc>
        <w:tc>
          <w:tcPr>
            <w:tcW w:w="541" w:type="dxa"/>
          </w:tcPr>
          <w:p w14:paraId="6663EFB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90</w:t>
            </w:r>
          </w:p>
        </w:tc>
        <w:tc>
          <w:tcPr>
            <w:tcW w:w="541" w:type="dxa"/>
          </w:tcPr>
          <w:p w14:paraId="22F0397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80</w:t>
            </w:r>
          </w:p>
        </w:tc>
        <w:tc>
          <w:tcPr>
            <w:tcW w:w="541" w:type="dxa"/>
            <w:shd w:val="clear" w:color="auto" w:fill="auto"/>
          </w:tcPr>
          <w:p w14:paraId="74D958F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70</w:t>
            </w:r>
          </w:p>
        </w:tc>
        <w:tc>
          <w:tcPr>
            <w:tcW w:w="541" w:type="dxa"/>
            <w:shd w:val="clear" w:color="auto" w:fill="auto"/>
          </w:tcPr>
          <w:p w14:paraId="51376B5A"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65</w:t>
            </w:r>
          </w:p>
        </w:tc>
        <w:tc>
          <w:tcPr>
            <w:tcW w:w="541" w:type="dxa"/>
            <w:shd w:val="clear" w:color="auto" w:fill="auto"/>
          </w:tcPr>
          <w:p w14:paraId="561E3156"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55</w:t>
            </w:r>
          </w:p>
        </w:tc>
        <w:tc>
          <w:tcPr>
            <w:tcW w:w="558" w:type="dxa"/>
            <w:shd w:val="clear" w:color="auto" w:fill="auto"/>
          </w:tcPr>
          <w:p w14:paraId="5F57A1A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3FE29090"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71D0C3EB"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70F905E1"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1C637E27"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2FEB69EC"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754B4EB5"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15</w:t>
            </w:r>
          </w:p>
        </w:tc>
        <w:tc>
          <w:tcPr>
            <w:tcW w:w="425" w:type="dxa"/>
            <w:shd w:val="clear" w:color="auto" w:fill="auto"/>
          </w:tcPr>
          <w:p w14:paraId="65177CFF" w14:textId="77777777" w:rsidR="006E2974" w:rsidRPr="00FD50F6" w:rsidRDefault="006E2974" w:rsidP="00E559B9">
            <w:pPr>
              <w:pStyle w:val="7"/>
              <w:jc w:val="left"/>
              <w:rPr>
                <w:rFonts w:eastAsia="楷体" w:cs="Times New Roman"/>
                <w:sz w:val="15"/>
                <w:szCs w:val="15"/>
              </w:rPr>
            </w:pPr>
            <w:r w:rsidRPr="00FD50F6">
              <w:rPr>
                <w:rFonts w:eastAsia="楷体" w:cs="Times New Roman"/>
                <w:sz w:val="15"/>
                <w:szCs w:val="15"/>
              </w:rPr>
              <w:t>10</w:t>
            </w:r>
          </w:p>
        </w:tc>
      </w:tr>
      <w:tr w:rsidR="003A7917" w:rsidRPr="00FD50F6" w14:paraId="406F3D64" w14:textId="77777777" w:rsidTr="00C70434">
        <w:tc>
          <w:tcPr>
            <w:tcW w:w="534" w:type="dxa"/>
            <w:vMerge w:val="restart"/>
            <w:shd w:val="clear" w:color="auto" w:fill="auto"/>
          </w:tcPr>
          <w:p w14:paraId="4FFECCD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1000</w:t>
            </w:r>
          </w:p>
        </w:tc>
        <w:tc>
          <w:tcPr>
            <w:tcW w:w="283" w:type="dxa"/>
            <w:shd w:val="clear" w:color="auto" w:fill="D9D9D9"/>
          </w:tcPr>
          <w:p w14:paraId="7D04CE55"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3C6C939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130</w:t>
            </w:r>
          </w:p>
        </w:tc>
        <w:tc>
          <w:tcPr>
            <w:tcW w:w="534" w:type="dxa"/>
            <w:shd w:val="clear" w:color="auto" w:fill="D9D9D9"/>
          </w:tcPr>
          <w:p w14:paraId="2C677D8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125</w:t>
            </w:r>
          </w:p>
        </w:tc>
        <w:tc>
          <w:tcPr>
            <w:tcW w:w="534" w:type="dxa"/>
            <w:shd w:val="clear" w:color="auto" w:fill="D9D9D9"/>
          </w:tcPr>
          <w:p w14:paraId="19482E5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115</w:t>
            </w:r>
          </w:p>
        </w:tc>
        <w:tc>
          <w:tcPr>
            <w:tcW w:w="541" w:type="dxa"/>
            <w:shd w:val="clear" w:color="auto" w:fill="D9D9D9"/>
          </w:tcPr>
          <w:p w14:paraId="0126883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100</w:t>
            </w:r>
          </w:p>
        </w:tc>
        <w:tc>
          <w:tcPr>
            <w:tcW w:w="541" w:type="dxa"/>
            <w:tcBorders>
              <w:bottom w:val="single" w:sz="12" w:space="0" w:color="auto"/>
            </w:tcBorders>
            <w:shd w:val="clear" w:color="auto" w:fill="D9D9D9"/>
          </w:tcPr>
          <w:p w14:paraId="3E4459D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41" w:type="dxa"/>
            <w:shd w:val="clear" w:color="auto" w:fill="D9D9D9"/>
          </w:tcPr>
          <w:p w14:paraId="5F370E8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shd w:val="clear" w:color="auto" w:fill="D9D9D9"/>
          </w:tcPr>
          <w:p w14:paraId="5E3547A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41" w:type="dxa"/>
            <w:shd w:val="clear" w:color="auto" w:fill="auto"/>
          </w:tcPr>
          <w:p w14:paraId="3D0AC01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41" w:type="dxa"/>
            <w:shd w:val="clear" w:color="auto" w:fill="auto"/>
          </w:tcPr>
          <w:p w14:paraId="6078E85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41" w:type="dxa"/>
            <w:shd w:val="clear" w:color="auto" w:fill="auto"/>
          </w:tcPr>
          <w:p w14:paraId="1975EFE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58" w:type="dxa"/>
            <w:shd w:val="clear" w:color="auto" w:fill="auto"/>
          </w:tcPr>
          <w:p w14:paraId="5C804CE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4112FC4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106613A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370BD26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5B941EE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5C732B9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495BE9E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6628A5D8" w14:textId="53F799FF" w:rsidR="003A7917" w:rsidRPr="00FD50F6" w:rsidRDefault="003A7917" w:rsidP="003A7917">
            <w:pPr>
              <w:pStyle w:val="7"/>
              <w:jc w:val="left"/>
              <w:rPr>
                <w:rFonts w:eastAsia="楷体" w:cs="Times New Roman"/>
                <w:sz w:val="15"/>
                <w:szCs w:val="15"/>
              </w:rPr>
            </w:pPr>
            <w:r w:rsidRPr="008256BD">
              <w:rPr>
                <w:rFonts w:eastAsia="楷体" w:cs="Times New Roman"/>
                <w:sz w:val="15"/>
                <w:szCs w:val="15"/>
              </w:rPr>
              <w:t>—</w:t>
            </w:r>
          </w:p>
        </w:tc>
      </w:tr>
      <w:tr w:rsidR="003A7917" w:rsidRPr="00FD50F6" w14:paraId="64A8604F" w14:textId="77777777" w:rsidTr="00C70434">
        <w:tc>
          <w:tcPr>
            <w:tcW w:w="534" w:type="dxa"/>
            <w:vMerge/>
            <w:shd w:val="clear" w:color="auto" w:fill="auto"/>
          </w:tcPr>
          <w:p w14:paraId="0692EAB7"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4D432999"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249FB87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34" w:type="dxa"/>
          </w:tcPr>
          <w:p w14:paraId="1E75481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34" w:type="dxa"/>
          </w:tcPr>
          <w:p w14:paraId="145B421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145</w:t>
            </w:r>
          </w:p>
        </w:tc>
        <w:tc>
          <w:tcPr>
            <w:tcW w:w="541" w:type="dxa"/>
          </w:tcPr>
          <w:p w14:paraId="0C026A5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130</w:t>
            </w:r>
          </w:p>
        </w:tc>
        <w:tc>
          <w:tcPr>
            <w:tcW w:w="541" w:type="dxa"/>
            <w:tcBorders>
              <w:top w:val="single" w:sz="12" w:space="0" w:color="auto"/>
              <w:right w:val="single" w:sz="12" w:space="0" w:color="auto"/>
            </w:tcBorders>
            <w:shd w:val="clear" w:color="auto" w:fill="auto"/>
          </w:tcPr>
          <w:p w14:paraId="53B6F94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left w:val="single" w:sz="12" w:space="0" w:color="auto"/>
            </w:tcBorders>
          </w:tcPr>
          <w:p w14:paraId="2D85F8E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105</w:t>
            </w:r>
          </w:p>
        </w:tc>
        <w:tc>
          <w:tcPr>
            <w:tcW w:w="541" w:type="dxa"/>
          </w:tcPr>
          <w:p w14:paraId="07AB77A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541" w:type="dxa"/>
            <w:shd w:val="clear" w:color="auto" w:fill="auto"/>
          </w:tcPr>
          <w:p w14:paraId="581A66E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41" w:type="dxa"/>
            <w:shd w:val="clear" w:color="auto" w:fill="auto"/>
          </w:tcPr>
          <w:p w14:paraId="07E9D9C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shd w:val="clear" w:color="auto" w:fill="auto"/>
          </w:tcPr>
          <w:p w14:paraId="31553DF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58" w:type="dxa"/>
            <w:shd w:val="clear" w:color="auto" w:fill="auto"/>
          </w:tcPr>
          <w:p w14:paraId="2E36812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7C04670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4FF1D03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0ACE735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2D2B15B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68ECC9C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5F06796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166CBD5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w:t>
            </w:r>
          </w:p>
        </w:tc>
      </w:tr>
      <w:tr w:rsidR="003A7917" w:rsidRPr="00FD50F6" w14:paraId="6620C7CA" w14:textId="77777777" w:rsidTr="00C70434">
        <w:tc>
          <w:tcPr>
            <w:tcW w:w="534" w:type="dxa"/>
            <w:vMerge w:val="restart"/>
            <w:shd w:val="clear" w:color="auto" w:fill="auto"/>
          </w:tcPr>
          <w:p w14:paraId="2A83AF4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800</w:t>
            </w:r>
          </w:p>
        </w:tc>
        <w:tc>
          <w:tcPr>
            <w:tcW w:w="283" w:type="dxa"/>
            <w:shd w:val="clear" w:color="auto" w:fill="D9D9D9"/>
          </w:tcPr>
          <w:p w14:paraId="18E75AC9"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7E92826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130</w:t>
            </w:r>
          </w:p>
        </w:tc>
        <w:tc>
          <w:tcPr>
            <w:tcW w:w="534" w:type="dxa"/>
            <w:shd w:val="clear" w:color="auto" w:fill="D9D9D9"/>
          </w:tcPr>
          <w:p w14:paraId="55A1516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125</w:t>
            </w:r>
          </w:p>
        </w:tc>
        <w:tc>
          <w:tcPr>
            <w:tcW w:w="534" w:type="dxa"/>
            <w:shd w:val="clear" w:color="auto" w:fill="D9D9D9"/>
          </w:tcPr>
          <w:p w14:paraId="28BDC2C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D9D9D9"/>
          </w:tcPr>
          <w:p w14:paraId="12E7042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115</w:t>
            </w:r>
          </w:p>
        </w:tc>
        <w:tc>
          <w:tcPr>
            <w:tcW w:w="541" w:type="dxa"/>
            <w:tcBorders>
              <w:bottom w:val="single" w:sz="4" w:space="0" w:color="auto"/>
              <w:right w:val="single" w:sz="12" w:space="0" w:color="auto"/>
            </w:tcBorders>
            <w:shd w:val="clear" w:color="auto" w:fill="D9D9D9"/>
          </w:tcPr>
          <w:p w14:paraId="4396D8D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41" w:type="dxa"/>
            <w:tcBorders>
              <w:left w:val="single" w:sz="12" w:space="0" w:color="auto"/>
              <w:bottom w:val="single" w:sz="12" w:space="0" w:color="auto"/>
            </w:tcBorders>
            <w:shd w:val="clear" w:color="auto" w:fill="D9D9D9"/>
          </w:tcPr>
          <w:p w14:paraId="0D09319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w:t>
            </w:r>
          </w:p>
        </w:tc>
        <w:tc>
          <w:tcPr>
            <w:tcW w:w="541" w:type="dxa"/>
            <w:tcBorders>
              <w:bottom w:val="single" w:sz="12" w:space="0" w:color="auto"/>
            </w:tcBorders>
            <w:shd w:val="clear" w:color="auto" w:fill="D9D9D9"/>
          </w:tcPr>
          <w:p w14:paraId="34C0D31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shd w:val="clear" w:color="auto" w:fill="auto"/>
          </w:tcPr>
          <w:p w14:paraId="646DD8C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41" w:type="dxa"/>
            <w:shd w:val="clear" w:color="auto" w:fill="auto"/>
          </w:tcPr>
          <w:p w14:paraId="65229E4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41" w:type="dxa"/>
            <w:shd w:val="clear" w:color="auto" w:fill="auto"/>
          </w:tcPr>
          <w:p w14:paraId="7C1E6B3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58" w:type="dxa"/>
            <w:shd w:val="clear" w:color="auto" w:fill="auto"/>
          </w:tcPr>
          <w:p w14:paraId="36043F5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5BFF2AD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671BA7C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2B00CBD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5899FB8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2653823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6CB79B2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5AC8D85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6CEF24D2" w14:textId="77777777" w:rsidTr="00C70434">
        <w:tc>
          <w:tcPr>
            <w:tcW w:w="534" w:type="dxa"/>
            <w:vMerge/>
            <w:shd w:val="clear" w:color="auto" w:fill="auto"/>
          </w:tcPr>
          <w:p w14:paraId="129D7B15" w14:textId="77777777" w:rsidR="003A7917" w:rsidRPr="00FD50F6" w:rsidRDefault="003A7917" w:rsidP="003A7917">
            <w:pPr>
              <w:pStyle w:val="7"/>
              <w:jc w:val="left"/>
              <w:rPr>
                <w:rFonts w:eastAsia="楷体" w:cs="Times New Roman"/>
                <w:sz w:val="15"/>
                <w:szCs w:val="15"/>
              </w:rPr>
            </w:pPr>
          </w:p>
        </w:tc>
        <w:tc>
          <w:tcPr>
            <w:tcW w:w="283" w:type="dxa"/>
            <w:tcBorders>
              <w:right w:val="single" w:sz="4" w:space="0" w:color="auto"/>
            </w:tcBorders>
            <w:shd w:val="clear" w:color="auto" w:fill="auto"/>
          </w:tcPr>
          <w:p w14:paraId="3E87A148"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74431A0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34" w:type="dxa"/>
          </w:tcPr>
          <w:p w14:paraId="4D4A545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34" w:type="dxa"/>
          </w:tcPr>
          <w:p w14:paraId="3792405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41" w:type="dxa"/>
            <w:tcBorders>
              <w:right w:val="single" w:sz="4" w:space="0" w:color="auto"/>
            </w:tcBorders>
          </w:tcPr>
          <w:p w14:paraId="00BAD59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1AA1047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left w:val="single" w:sz="4" w:space="0" w:color="auto"/>
            </w:tcBorders>
            <w:shd w:val="clear" w:color="auto" w:fill="auto"/>
          </w:tcPr>
          <w:p w14:paraId="2E34C6F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right w:val="single" w:sz="12" w:space="0" w:color="auto"/>
            </w:tcBorders>
            <w:shd w:val="clear" w:color="auto" w:fill="auto"/>
          </w:tcPr>
          <w:p w14:paraId="39C285A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left w:val="single" w:sz="12" w:space="0" w:color="auto"/>
            </w:tcBorders>
            <w:shd w:val="clear" w:color="auto" w:fill="auto"/>
          </w:tcPr>
          <w:p w14:paraId="768E408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105</w:t>
            </w:r>
          </w:p>
        </w:tc>
        <w:tc>
          <w:tcPr>
            <w:tcW w:w="541" w:type="dxa"/>
            <w:shd w:val="clear" w:color="auto" w:fill="auto"/>
          </w:tcPr>
          <w:p w14:paraId="4A4E6FE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541" w:type="dxa"/>
            <w:shd w:val="clear" w:color="auto" w:fill="auto"/>
          </w:tcPr>
          <w:p w14:paraId="3E28E51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58" w:type="dxa"/>
            <w:shd w:val="clear" w:color="auto" w:fill="auto"/>
          </w:tcPr>
          <w:p w14:paraId="41E95ED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67" w:type="dxa"/>
            <w:shd w:val="clear" w:color="auto" w:fill="auto"/>
          </w:tcPr>
          <w:p w14:paraId="30E88D3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647E3D6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67" w:type="dxa"/>
            <w:shd w:val="clear" w:color="auto" w:fill="auto"/>
          </w:tcPr>
          <w:p w14:paraId="5A06DB7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541DEA1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1AA9BB3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425" w:type="dxa"/>
            <w:shd w:val="clear" w:color="auto" w:fill="auto"/>
          </w:tcPr>
          <w:p w14:paraId="7C7EE39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2AED4EA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14836AF0" w14:textId="77777777" w:rsidTr="00C70434">
        <w:tc>
          <w:tcPr>
            <w:tcW w:w="534" w:type="dxa"/>
            <w:vMerge w:val="restart"/>
            <w:shd w:val="clear" w:color="auto" w:fill="auto"/>
          </w:tcPr>
          <w:p w14:paraId="2D64896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700</w:t>
            </w:r>
          </w:p>
        </w:tc>
        <w:tc>
          <w:tcPr>
            <w:tcW w:w="283" w:type="dxa"/>
            <w:shd w:val="clear" w:color="auto" w:fill="D9D9D9"/>
          </w:tcPr>
          <w:p w14:paraId="04F8B4E7"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5440AC07" w14:textId="4ADEA7EF"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5014658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125</w:t>
            </w:r>
          </w:p>
        </w:tc>
        <w:tc>
          <w:tcPr>
            <w:tcW w:w="534" w:type="dxa"/>
            <w:shd w:val="clear" w:color="auto" w:fill="D9D9D9"/>
          </w:tcPr>
          <w:p w14:paraId="3987D5D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D9D9D9"/>
          </w:tcPr>
          <w:p w14:paraId="2B23853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115</w:t>
            </w:r>
          </w:p>
        </w:tc>
        <w:tc>
          <w:tcPr>
            <w:tcW w:w="541" w:type="dxa"/>
            <w:tcBorders>
              <w:top w:val="single" w:sz="4" w:space="0" w:color="auto"/>
            </w:tcBorders>
            <w:shd w:val="clear" w:color="auto" w:fill="auto"/>
          </w:tcPr>
          <w:p w14:paraId="0CBAE00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41" w:type="dxa"/>
            <w:shd w:val="clear" w:color="auto" w:fill="auto"/>
          </w:tcPr>
          <w:p w14:paraId="7831643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w:t>
            </w:r>
          </w:p>
        </w:tc>
        <w:tc>
          <w:tcPr>
            <w:tcW w:w="541" w:type="dxa"/>
            <w:tcBorders>
              <w:right w:val="single" w:sz="12" w:space="0" w:color="auto"/>
            </w:tcBorders>
            <w:shd w:val="clear" w:color="auto" w:fill="auto"/>
          </w:tcPr>
          <w:p w14:paraId="19DDFBC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tcBorders>
              <w:left w:val="single" w:sz="12" w:space="0" w:color="auto"/>
              <w:bottom w:val="single" w:sz="12" w:space="0" w:color="auto"/>
            </w:tcBorders>
            <w:shd w:val="clear" w:color="auto" w:fill="auto"/>
          </w:tcPr>
          <w:p w14:paraId="7411CA4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shd w:val="clear" w:color="auto" w:fill="auto"/>
          </w:tcPr>
          <w:p w14:paraId="698ADC3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41" w:type="dxa"/>
            <w:shd w:val="clear" w:color="auto" w:fill="auto"/>
          </w:tcPr>
          <w:p w14:paraId="0F2F07B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58" w:type="dxa"/>
            <w:shd w:val="clear" w:color="auto" w:fill="auto"/>
          </w:tcPr>
          <w:p w14:paraId="1A47DA3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518C191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06AAA94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5C2BAA5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12324D8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567" w:type="dxa"/>
            <w:shd w:val="clear" w:color="auto" w:fill="auto"/>
          </w:tcPr>
          <w:p w14:paraId="2ED60FC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65286BA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5AB608F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2B8AD7DC" w14:textId="77777777" w:rsidTr="00C70434">
        <w:tc>
          <w:tcPr>
            <w:tcW w:w="534" w:type="dxa"/>
            <w:vMerge/>
            <w:shd w:val="clear" w:color="auto" w:fill="auto"/>
          </w:tcPr>
          <w:p w14:paraId="10AA464B"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6F575B33"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055296F6" w14:textId="5ADD6360"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4C76105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34" w:type="dxa"/>
          </w:tcPr>
          <w:p w14:paraId="685DC38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41" w:type="dxa"/>
          </w:tcPr>
          <w:p w14:paraId="7023F24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41" w:type="dxa"/>
            <w:tcBorders>
              <w:bottom w:val="single" w:sz="12" w:space="0" w:color="auto"/>
            </w:tcBorders>
            <w:shd w:val="clear" w:color="auto" w:fill="auto"/>
          </w:tcPr>
          <w:p w14:paraId="2E1289E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1840286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705B8D1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top w:val="single" w:sz="12" w:space="0" w:color="auto"/>
              <w:right w:val="single" w:sz="12" w:space="0" w:color="auto"/>
            </w:tcBorders>
            <w:shd w:val="clear" w:color="auto" w:fill="auto"/>
          </w:tcPr>
          <w:p w14:paraId="0340FE6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left w:val="single" w:sz="12" w:space="0" w:color="auto"/>
            </w:tcBorders>
            <w:shd w:val="clear" w:color="auto" w:fill="auto"/>
          </w:tcPr>
          <w:p w14:paraId="6F6D8FA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110</w:t>
            </w:r>
          </w:p>
        </w:tc>
        <w:tc>
          <w:tcPr>
            <w:tcW w:w="541" w:type="dxa"/>
            <w:shd w:val="clear" w:color="auto" w:fill="auto"/>
          </w:tcPr>
          <w:p w14:paraId="592D2E1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558" w:type="dxa"/>
            <w:shd w:val="clear" w:color="auto" w:fill="auto"/>
          </w:tcPr>
          <w:p w14:paraId="354E4E9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67" w:type="dxa"/>
            <w:shd w:val="clear" w:color="auto" w:fill="auto"/>
          </w:tcPr>
          <w:p w14:paraId="182B05E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67" w:type="dxa"/>
            <w:shd w:val="clear" w:color="auto" w:fill="auto"/>
          </w:tcPr>
          <w:p w14:paraId="458F189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1DAFE56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000053E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279F49D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425" w:type="dxa"/>
            <w:shd w:val="clear" w:color="auto" w:fill="auto"/>
          </w:tcPr>
          <w:p w14:paraId="24E17CA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7978D4D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r>
      <w:tr w:rsidR="003A7917" w:rsidRPr="00FD50F6" w14:paraId="12618EE3" w14:textId="77777777" w:rsidTr="00C70434">
        <w:tc>
          <w:tcPr>
            <w:tcW w:w="534" w:type="dxa"/>
            <w:vMerge w:val="restart"/>
            <w:shd w:val="clear" w:color="auto" w:fill="auto"/>
          </w:tcPr>
          <w:p w14:paraId="0887E7F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600</w:t>
            </w:r>
          </w:p>
        </w:tc>
        <w:tc>
          <w:tcPr>
            <w:tcW w:w="283" w:type="dxa"/>
            <w:tcBorders>
              <w:bottom w:val="single" w:sz="4" w:space="0" w:color="auto"/>
            </w:tcBorders>
            <w:shd w:val="clear" w:color="auto" w:fill="D9D9D9"/>
          </w:tcPr>
          <w:p w14:paraId="60DACEC9"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tcBorders>
              <w:bottom w:val="single" w:sz="4" w:space="0" w:color="auto"/>
            </w:tcBorders>
            <w:shd w:val="clear" w:color="auto" w:fill="D9D9D9"/>
          </w:tcPr>
          <w:p w14:paraId="453BEFFA" w14:textId="199DBA0F"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Borders>
              <w:bottom w:val="single" w:sz="4" w:space="0" w:color="auto"/>
            </w:tcBorders>
            <w:shd w:val="clear" w:color="auto" w:fill="D9D9D9"/>
          </w:tcPr>
          <w:p w14:paraId="2772266F" w14:textId="798A324A"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Borders>
              <w:bottom w:val="single" w:sz="4" w:space="0" w:color="auto"/>
            </w:tcBorders>
            <w:shd w:val="clear" w:color="auto" w:fill="D9D9D9"/>
          </w:tcPr>
          <w:p w14:paraId="61393748" w14:textId="43DDB766"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bottom w:val="single" w:sz="4" w:space="0" w:color="auto"/>
            </w:tcBorders>
            <w:shd w:val="clear" w:color="auto" w:fill="D9D9D9"/>
          </w:tcPr>
          <w:p w14:paraId="6B0A9F8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115</w:t>
            </w:r>
          </w:p>
        </w:tc>
        <w:tc>
          <w:tcPr>
            <w:tcW w:w="541" w:type="dxa"/>
            <w:tcBorders>
              <w:top w:val="single" w:sz="12" w:space="0" w:color="auto"/>
              <w:bottom w:val="single" w:sz="4" w:space="0" w:color="auto"/>
              <w:right w:val="single" w:sz="12" w:space="0" w:color="auto"/>
            </w:tcBorders>
            <w:shd w:val="clear" w:color="auto" w:fill="auto"/>
          </w:tcPr>
          <w:p w14:paraId="11968D68"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tcBorders>
              <w:left w:val="single" w:sz="12" w:space="0" w:color="auto"/>
            </w:tcBorders>
            <w:shd w:val="clear" w:color="auto" w:fill="auto"/>
          </w:tcPr>
          <w:p w14:paraId="57BB8B6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w:t>
            </w:r>
          </w:p>
        </w:tc>
        <w:tc>
          <w:tcPr>
            <w:tcW w:w="541" w:type="dxa"/>
            <w:shd w:val="clear" w:color="auto" w:fill="auto"/>
          </w:tcPr>
          <w:p w14:paraId="50DF9FD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tcBorders>
              <w:right w:val="single" w:sz="12" w:space="0" w:color="auto"/>
            </w:tcBorders>
            <w:shd w:val="clear" w:color="auto" w:fill="auto"/>
          </w:tcPr>
          <w:p w14:paraId="2E05035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tcBorders>
              <w:left w:val="single" w:sz="12" w:space="0" w:color="auto"/>
              <w:bottom w:val="single" w:sz="12" w:space="0" w:color="auto"/>
            </w:tcBorders>
            <w:shd w:val="clear" w:color="auto" w:fill="auto"/>
          </w:tcPr>
          <w:p w14:paraId="115E8FA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shd w:val="clear" w:color="auto" w:fill="auto"/>
          </w:tcPr>
          <w:p w14:paraId="73B8D79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58" w:type="dxa"/>
            <w:shd w:val="clear" w:color="auto" w:fill="auto"/>
          </w:tcPr>
          <w:p w14:paraId="1533E6B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0325F38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61FCA37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3416E34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6D19A7E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567" w:type="dxa"/>
            <w:shd w:val="clear" w:color="auto" w:fill="auto"/>
          </w:tcPr>
          <w:p w14:paraId="0C4B40F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3E07AA2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471882D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3CAB0B91" w14:textId="77777777" w:rsidTr="00C70434">
        <w:tc>
          <w:tcPr>
            <w:tcW w:w="534" w:type="dxa"/>
            <w:vMerge/>
            <w:shd w:val="clear" w:color="auto" w:fill="auto"/>
          </w:tcPr>
          <w:p w14:paraId="43B36731"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548A9CA4"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64A81140" w14:textId="52F7993B"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1EAA9DA4" w14:textId="45B84056"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126E6ACE" w14:textId="2BD197FA"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31042C9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150</w:t>
            </w:r>
          </w:p>
        </w:tc>
        <w:tc>
          <w:tcPr>
            <w:tcW w:w="541" w:type="dxa"/>
            <w:tcBorders>
              <w:bottom w:val="single" w:sz="4" w:space="0" w:color="auto"/>
              <w:right w:val="single" w:sz="12" w:space="0" w:color="auto"/>
            </w:tcBorders>
            <w:shd w:val="clear" w:color="auto" w:fill="auto"/>
          </w:tcPr>
          <w:p w14:paraId="082F68D6"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tcBorders>
              <w:left w:val="single" w:sz="12" w:space="0" w:color="auto"/>
              <w:bottom w:val="single" w:sz="12" w:space="0" w:color="auto"/>
            </w:tcBorders>
            <w:shd w:val="clear" w:color="auto" w:fill="auto"/>
          </w:tcPr>
          <w:p w14:paraId="1DD5944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25A5A2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5E65A79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top w:val="single" w:sz="12" w:space="0" w:color="auto"/>
              <w:right w:val="single" w:sz="12" w:space="0" w:color="auto"/>
            </w:tcBorders>
            <w:shd w:val="clear" w:color="auto" w:fill="auto"/>
          </w:tcPr>
          <w:p w14:paraId="7CDA30C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left w:val="single" w:sz="12" w:space="0" w:color="auto"/>
            </w:tcBorders>
            <w:shd w:val="clear" w:color="auto" w:fill="auto"/>
          </w:tcPr>
          <w:p w14:paraId="598D361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110</w:t>
            </w:r>
          </w:p>
        </w:tc>
        <w:tc>
          <w:tcPr>
            <w:tcW w:w="558" w:type="dxa"/>
            <w:shd w:val="clear" w:color="auto" w:fill="auto"/>
          </w:tcPr>
          <w:p w14:paraId="1961632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567" w:type="dxa"/>
            <w:shd w:val="clear" w:color="auto" w:fill="auto"/>
          </w:tcPr>
          <w:p w14:paraId="4824C11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67" w:type="dxa"/>
            <w:shd w:val="clear" w:color="auto" w:fill="auto"/>
          </w:tcPr>
          <w:p w14:paraId="4510F3A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67" w:type="dxa"/>
            <w:shd w:val="clear" w:color="auto" w:fill="auto"/>
          </w:tcPr>
          <w:p w14:paraId="366085D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2FFB751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5CC7504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425" w:type="dxa"/>
            <w:shd w:val="clear" w:color="auto" w:fill="auto"/>
          </w:tcPr>
          <w:p w14:paraId="6560006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425" w:type="dxa"/>
            <w:shd w:val="clear" w:color="auto" w:fill="auto"/>
          </w:tcPr>
          <w:p w14:paraId="2EFD0B6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r>
      <w:tr w:rsidR="003A7917" w:rsidRPr="00FD50F6" w14:paraId="12D085D6" w14:textId="77777777" w:rsidTr="00C70434">
        <w:tc>
          <w:tcPr>
            <w:tcW w:w="534" w:type="dxa"/>
            <w:vMerge w:val="restart"/>
            <w:shd w:val="clear" w:color="auto" w:fill="auto"/>
          </w:tcPr>
          <w:p w14:paraId="08E7866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550</w:t>
            </w:r>
          </w:p>
        </w:tc>
        <w:tc>
          <w:tcPr>
            <w:tcW w:w="283" w:type="dxa"/>
            <w:tcBorders>
              <w:right w:val="single" w:sz="4" w:space="0" w:color="auto"/>
            </w:tcBorders>
            <w:shd w:val="clear" w:color="auto" w:fill="D9D9D9"/>
          </w:tcPr>
          <w:p w14:paraId="351BF742"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0CE970A7" w14:textId="7FBE46B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729369B1" w14:textId="4888FC0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1C4A9FE4" w14:textId="22C0161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4" w:space="0" w:color="auto"/>
            </w:tcBorders>
            <w:shd w:val="clear" w:color="auto" w:fill="D9D9D9"/>
          </w:tcPr>
          <w:p w14:paraId="75E4B994" w14:textId="6CD7804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62B0551B"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tcBorders>
              <w:left w:val="single" w:sz="4" w:space="0" w:color="auto"/>
              <w:right w:val="single" w:sz="12" w:space="0" w:color="auto"/>
            </w:tcBorders>
            <w:shd w:val="clear" w:color="auto" w:fill="auto"/>
          </w:tcPr>
          <w:p w14:paraId="21BDCDD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tcBorders>
            <w:shd w:val="clear" w:color="auto" w:fill="auto"/>
          </w:tcPr>
          <w:p w14:paraId="098E939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shd w:val="clear" w:color="auto" w:fill="auto"/>
          </w:tcPr>
          <w:p w14:paraId="3DBFC8B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tcBorders>
              <w:right w:val="single" w:sz="12" w:space="0" w:color="auto"/>
            </w:tcBorders>
            <w:shd w:val="clear" w:color="auto" w:fill="auto"/>
          </w:tcPr>
          <w:p w14:paraId="0183E05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tcBorders>
              <w:left w:val="single" w:sz="12" w:space="0" w:color="auto"/>
              <w:bottom w:val="single" w:sz="12" w:space="0" w:color="auto"/>
            </w:tcBorders>
            <w:shd w:val="clear" w:color="auto" w:fill="auto"/>
          </w:tcPr>
          <w:p w14:paraId="3B4109A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58" w:type="dxa"/>
            <w:shd w:val="clear" w:color="auto" w:fill="auto"/>
          </w:tcPr>
          <w:p w14:paraId="491BDBB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67" w:type="dxa"/>
            <w:shd w:val="clear" w:color="auto" w:fill="auto"/>
          </w:tcPr>
          <w:p w14:paraId="4CC868B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3F6757D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7AA238A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3C65806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1CFB6F0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74DFD65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4A2F475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32EB27EB" w14:textId="77777777" w:rsidTr="00C70434">
        <w:tc>
          <w:tcPr>
            <w:tcW w:w="534" w:type="dxa"/>
            <w:vMerge/>
            <w:shd w:val="clear" w:color="auto" w:fill="auto"/>
          </w:tcPr>
          <w:p w14:paraId="64AB232E"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14717DA5"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60EDE5ED" w14:textId="41ABFC53"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219A9DC6" w14:textId="4A39A21C"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43A38541" w14:textId="3E1BE950"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733BDDA9" w14:textId="2260D82C"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4" w:space="0" w:color="auto"/>
            </w:tcBorders>
            <w:shd w:val="clear" w:color="auto" w:fill="auto"/>
          </w:tcPr>
          <w:p w14:paraId="5AB38E6F"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tcBorders>
              <w:bottom w:val="single" w:sz="4" w:space="0" w:color="auto"/>
              <w:right w:val="single" w:sz="12" w:space="0" w:color="auto"/>
            </w:tcBorders>
            <w:shd w:val="clear" w:color="auto" w:fill="auto"/>
          </w:tcPr>
          <w:p w14:paraId="356C23D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bottom w:val="single" w:sz="12" w:space="0" w:color="auto"/>
            </w:tcBorders>
            <w:shd w:val="clear" w:color="auto" w:fill="auto"/>
          </w:tcPr>
          <w:p w14:paraId="10A8086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1957700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4A72564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top w:val="single" w:sz="12" w:space="0" w:color="auto"/>
              <w:right w:val="single" w:sz="12" w:space="0" w:color="auto"/>
            </w:tcBorders>
            <w:shd w:val="clear" w:color="auto" w:fill="auto"/>
          </w:tcPr>
          <w:p w14:paraId="1F64941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58" w:type="dxa"/>
            <w:tcBorders>
              <w:left w:val="single" w:sz="12" w:space="0" w:color="auto"/>
            </w:tcBorders>
            <w:shd w:val="clear" w:color="auto" w:fill="auto"/>
          </w:tcPr>
          <w:p w14:paraId="70914BC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105</w:t>
            </w:r>
          </w:p>
        </w:tc>
        <w:tc>
          <w:tcPr>
            <w:tcW w:w="567" w:type="dxa"/>
            <w:shd w:val="clear" w:color="auto" w:fill="auto"/>
          </w:tcPr>
          <w:p w14:paraId="111612C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90</w:t>
            </w:r>
          </w:p>
        </w:tc>
        <w:tc>
          <w:tcPr>
            <w:tcW w:w="567" w:type="dxa"/>
            <w:shd w:val="clear" w:color="auto" w:fill="auto"/>
          </w:tcPr>
          <w:p w14:paraId="16DC0AC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67" w:type="dxa"/>
            <w:shd w:val="clear" w:color="auto" w:fill="auto"/>
          </w:tcPr>
          <w:p w14:paraId="1296590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67" w:type="dxa"/>
            <w:shd w:val="clear" w:color="auto" w:fill="auto"/>
          </w:tcPr>
          <w:p w14:paraId="2CE10D4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67" w:type="dxa"/>
            <w:shd w:val="clear" w:color="auto" w:fill="auto"/>
          </w:tcPr>
          <w:p w14:paraId="50C6F9B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425" w:type="dxa"/>
            <w:shd w:val="clear" w:color="auto" w:fill="auto"/>
          </w:tcPr>
          <w:p w14:paraId="7C66BFA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425" w:type="dxa"/>
            <w:shd w:val="clear" w:color="auto" w:fill="auto"/>
          </w:tcPr>
          <w:p w14:paraId="0CD3C2F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r>
      <w:tr w:rsidR="003A7917" w:rsidRPr="00FD50F6" w14:paraId="618C78EF" w14:textId="77777777" w:rsidTr="00C70434">
        <w:tc>
          <w:tcPr>
            <w:tcW w:w="534" w:type="dxa"/>
            <w:vMerge w:val="restart"/>
            <w:shd w:val="clear" w:color="auto" w:fill="auto"/>
          </w:tcPr>
          <w:p w14:paraId="02671FF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500</w:t>
            </w:r>
          </w:p>
        </w:tc>
        <w:tc>
          <w:tcPr>
            <w:tcW w:w="283" w:type="dxa"/>
            <w:shd w:val="clear" w:color="auto" w:fill="D9D9D9"/>
          </w:tcPr>
          <w:p w14:paraId="4942060B"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04EEC080" w14:textId="7DFBE32D"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565B9337" w14:textId="200CF8E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122B7EF9" w14:textId="4FD2790E"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29B2CFB4" w14:textId="7851C242"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4" w:space="0" w:color="auto"/>
            </w:tcBorders>
            <w:shd w:val="clear" w:color="auto" w:fill="auto"/>
          </w:tcPr>
          <w:p w14:paraId="4BD6FD8A"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11C9661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4" w:space="0" w:color="auto"/>
              <w:right w:val="single" w:sz="12" w:space="0" w:color="auto"/>
            </w:tcBorders>
            <w:shd w:val="clear" w:color="auto" w:fill="auto"/>
          </w:tcPr>
          <w:p w14:paraId="765F04E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tcBorders>
            <w:shd w:val="clear" w:color="auto" w:fill="auto"/>
          </w:tcPr>
          <w:p w14:paraId="364B1B3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41" w:type="dxa"/>
            <w:shd w:val="clear" w:color="auto" w:fill="auto"/>
          </w:tcPr>
          <w:p w14:paraId="7A608B0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tcBorders>
              <w:right w:val="single" w:sz="12" w:space="0" w:color="auto"/>
            </w:tcBorders>
            <w:shd w:val="clear" w:color="auto" w:fill="auto"/>
          </w:tcPr>
          <w:p w14:paraId="64C3BC7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58" w:type="dxa"/>
            <w:tcBorders>
              <w:left w:val="single" w:sz="12" w:space="0" w:color="auto"/>
            </w:tcBorders>
            <w:shd w:val="clear" w:color="auto" w:fill="auto"/>
          </w:tcPr>
          <w:p w14:paraId="4422823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7AEB49E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2F7F2AC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3C9860D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3CC713E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567" w:type="dxa"/>
            <w:shd w:val="clear" w:color="auto" w:fill="auto"/>
          </w:tcPr>
          <w:p w14:paraId="3C5481C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110393D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c>
          <w:tcPr>
            <w:tcW w:w="425" w:type="dxa"/>
            <w:shd w:val="clear" w:color="auto" w:fill="auto"/>
          </w:tcPr>
          <w:p w14:paraId="514BBC8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2CA6D80F" w14:textId="77777777" w:rsidTr="00C70434">
        <w:tc>
          <w:tcPr>
            <w:tcW w:w="534" w:type="dxa"/>
            <w:vMerge/>
            <w:shd w:val="clear" w:color="auto" w:fill="auto"/>
          </w:tcPr>
          <w:p w14:paraId="65084642"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097C3F3A"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7E924119" w14:textId="43472C2F"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4BD862A7" w14:textId="2CB5322C"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474D8333" w14:textId="587AE381"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03AF0FE7" w14:textId="7396599B"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6E01B242"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tcBorders>
              <w:top w:val="single" w:sz="4" w:space="0" w:color="auto"/>
            </w:tcBorders>
            <w:shd w:val="clear" w:color="auto" w:fill="auto"/>
          </w:tcPr>
          <w:p w14:paraId="522087A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12" w:space="0" w:color="auto"/>
            </w:tcBorders>
            <w:shd w:val="clear" w:color="auto" w:fill="auto"/>
          </w:tcPr>
          <w:p w14:paraId="450137A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bottom w:val="single" w:sz="12" w:space="0" w:color="auto"/>
            </w:tcBorders>
            <w:shd w:val="clear" w:color="auto" w:fill="auto"/>
          </w:tcPr>
          <w:p w14:paraId="5AC0288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18DEB0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tcBorders>
              <w:right w:val="single" w:sz="12" w:space="0" w:color="auto"/>
            </w:tcBorders>
            <w:shd w:val="clear" w:color="auto" w:fill="auto"/>
          </w:tcPr>
          <w:p w14:paraId="3233B32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58" w:type="dxa"/>
            <w:tcBorders>
              <w:left w:val="single" w:sz="12" w:space="0" w:color="auto"/>
            </w:tcBorders>
            <w:shd w:val="clear" w:color="auto" w:fill="auto"/>
          </w:tcPr>
          <w:p w14:paraId="046CA0B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115</w:t>
            </w:r>
          </w:p>
        </w:tc>
        <w:tc>
          <w:tcPr>
            <w:tcW w:w="567" w:type="dxa"/>
            <w:shd w:val="clear" w:color="auto" w:fill="auto"/>
          </w:tcPr>
          <w:p w14:paraId="565EFD4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100</w:t>
            </w:r>
          </w:p>
        </w:tc>
        <w:tc>
          <w:tcPr>
            <w:tcW w:w="567" w:type="dxa"/>
            <w:shd w:val="clear" w:color="auto" w:fill="auto"/>
          </w:tcPr>
          <w:p w14:paraId="152844D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67" w:type="dxa"/>
            <w:shd w:val="clear" w:color="auto" w:fill="auto"/>
          </w:tcPr>
          <w:p w14:paraId="44E6E6F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67" w:type="dxa"/>
            <w:shd w:val="clear" w:color="auto" w:fill="auto"/>
          </w:tcPr>
          <w:p w14:paraId="693693C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6DD0062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425" w:type="dxa"/>
            <w:shd w:val="clear" w:color="auto" w:fill="auto"/>
          </w:tcPr>
          <w:p w14:paraId="6089876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425" w:type="dxa"/>
            <w:shd w:val="clear" w:color="auto" w:fill="auto"/>
          </w:tcPr>
          <w:p w14:paraId="171C1D9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r>
      <w:tr w:rsidR="003A7917" w:rsidRPr="00FD50F6" w14:paraId="296CBB27" w14:textId="77777777" w:rsidTr="00C70434">
        <w:tc>
          <w:tcPr>
            <w:tcW w:w="534" w:type="dxa"/>
            <w:vMerge w:val="restart"/>
            <w:shd w:val="clear" w:color="auto" w:fill="auto"/>
          </w:tcPr>
          <w:p w14:paraId="17BB7A8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450</w:t>
            </w:r>
          </w:p>
        </w:tc>
        <w:tc>
          <w:tcPr>
            <w:tcW w:w="283" w:type="dxa"/>
            <w:shd w:val="clear" w:color="auto" w:fill="D9D9D9"/>
          </w:tcPr>
          <w:p w14:paraId="0E57BCE0"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56F58336" w14:textId="1C76E436"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23B7A468" w14:textId="3E5298AD"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572AF1F0" w14:textId="7D76A86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25905AF5" w14:textId="69F8846B"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2DFE2985"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0A8B95D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2800B16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12" w:space="0" w:color="auto"/>
              <w:right w:val="single" w:sz="12" w:space="0" w:color="auto"/>
            </w:tcBorders>
            <w:shd w:val="clear" w:color="auto" w:fill="auto"/>
          </w:tcPr>
          <w:p w14:paraId="3DA3654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tcBorders>
            <w:shd w:val="clear" w:color="auto" w:fill="auto"/>
          </w:tcPr>
          <w:p w14:paraId="40716E5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541" w:type="dxa"/>
            <w:tcBorders>
              <w:right w:val="single" w:sz="12" w:space="0" w:color="auto"/>
            </w:tcBorders>
            <w:shd w:val="clear" w:color="auto" w:fill="auto"/>
          </w:tcPr>
          <w:p w14:paraId="5AA2209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58" w:type="dxa"/>
            <w:tcBorders>
              <w:left w:val="single" w:sz="12" w:space="0" w:color="auto"/>
              <w:bottom w:val="single" w:sz="12" w:space="0" w:color="auto"/>
            </w:tcBorders>
            <w:shd w:val="clear" w:color="auto" w:fill="auto"/>
          </w:tcPr>
          <w:p w14:paraId="18C95B2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7FBA011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67" w:type="dxa"/>
            <w:shd w:val="clear" w:color="auto" w:fill="auto"/>
          </w:tcPr>
          <w:p w14:paraId="1DC9A69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5C093F8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69D7193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567" w:type="dxa"/>
            <w:shd w:val="clear" w:color="auto" w:fill="auto"/>
          </w:tcPr>
          <w:p w14:paraId="7BEF913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425" w:type="dxa"/>
            <w:shd w:val="clear" w:color="auto" w:fill="auto"/>
          </w:tcPr>
          <w:p w14:paraId="30A318A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7BF60D6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05DD37DD" w14:textId="77777777" w:rsidTr="00C70434">
        <w:tc>
          <w:tcPr>
            <w:tcW w:w="534" w:type="dxa"/>
            <w:vMerge/>
            <w:shd w:val="clear" w:color="auto" w:fill="auto"/>
          </w:tcPr>
          <w:p w14:paraId="4B548A87"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05534233"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661F5A3E" w14:textId="181DBCFE"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5BD5F3CF" w14:textId="01B804C3"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39F72CA2" w14:textId="4C27376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5A7813EC" w14:textId="7DFCF979"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4BA1331A"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02325BA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60F26B5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bottom w:val="single" w:sz="4" w:space="0" w:color="auto"/>
              <w:right w:val="single" w:sz="12" w:space="0" w:color="auto"/>
            </w:tcBorders>
            <w:shd w:val="clear" w:color="auto" w:fill="auto"/>
          </w:tcPr>
          <w:p w14:paraId="4F0C840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bottom w:val="single" w:sz="12" w:space="0" w:color="auto"/>
            </w:tcBorders>
            <w:shd w:val="clear" w:color="auto" w:fill="auto"/>
          </w:tcPr>
          <w:p w14:paraId="2E3203D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41" w:type="dxa"/>
            <w:shd w:val="clear" w:color="auto" w:fill="auto"/>
          </w:tcPr>
          <w:p w14:paraId="4FC94BC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58" w:type="dxa"/>
            <w:tcBorders>
              <w:top w:val="single" w:sz="12" w:space="0" w:color="auto"/>
              <w:right w:val="single" w:sz="12" w:space="0" w:color="auto"/>
            </w:tcBorders>
            <w:shd w:val="clear" w:color="auto" w:fill="auto"/>
          </w:tcPr>
          <w:p w14:paraId="786C1B5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 xml:space="preserve">120    </w:t>
            </w:r>
          </w:p>
        </w:tc>
        <w:tc>
          <w:tcPr>
            <w:tcW w:w="567" w:type="dxa"/>
            <w:tcBorders>
              <w:left w:val="single" w:sz="12" w:space="0" w:color="auto"/>
            </w:tcBorders>
            <w:shd w:val="clear" w:color="auto" w:fill="auto"/>
          </w:tcPr>
          <w:p w14:paraId="66624FA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110</w:t>
            </w:r>
          </w:p>
        </w:tc>
        <w:tc>
          <w:tcPr>
            <w:tcW w:w="567" w:type="dxa"/>
            <w:shd w:val="clear" w:color="auto" w:fill="auto"/>
          </w:tcPr>
          <w:p w14:paraId="649641D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567" w:type="dxa"/>
            <w:shd w:val="clear" w:color="auto" w:fill="auto"/>
          </w:tcPr>
          <w:p w14:paraId="736880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w:t>
            </w:r>
          </w:p>
        </w:tc>
        <w:tc>
          <w:tcPr>
            <w:tcW w:w="567" w:type="dxa"/>
            <w:shd w:val="clear" w:color="auto" w:fill="auto"/>
          </w:tcPr>
          <w:p w14:paraId="0B247B2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67" w:type="dxa"/>
            <w:shd w:val="clear" w:color="auto" w:fill="auto"/>
          </w:tcPr>
          <w:p w14:paraId="1194303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425" w:type="dxa"/>
            <w:shd w:val="clear" w:color="auto" w:fill="auto"/>
          </w:tcPr>
          <w:p w14:paraId="7D09E97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425" w:type="dxa"/>
            <w:shd w:val="clear" w:color="auto" w:fill="auto"/>
          </w:tcPr>
          <w:p w14:paraId="004F863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r>
      <w:tr w:rsidR="003A7917" w:rsidRPr="00FD50F6" w14:paraId="6C271E61" w14:textId="77777777" w:rsidTr="00C70434">
        <w:tc>
          <w:tcPr>
            <w:tcW w:w="534" w:type="dxa"/>
            <w:vMerge w:val="restart"/>
            <w:shd w:val="clear" w:color="auto" w:fill="auto"/>
          </w:tcPr>
          <w:p w14:paraId="12B4D62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400</w:t>
            </w:r>
          </w:p>
        </w:tc>
        <w:tc>
          <w:tcPr>
            <w:tcW w:w="283" w:type="dxa"/>
            <w:shd w:val="clear" w:color="auto" w:fill="D9D9D9"/>
          </w:tcPr>
          <w:p w14:paraId="3E8784B8"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6FFB5A80" w14:textId="47E819CA"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18CBC5F5" w14:textId="0B9B4D23"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5C75F961" w14:textId="17856F6B"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34ECF2FA" w14:textId="6CFB99C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01323A83"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7EFB775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4" w:space="0" w:color="auto"/>
            </w:tcBorders>
            <w:shd w:val="clear" w:color="auto" w:fill="auto"/>
          </w:tcPr>
          <w:p w14:paraId="101D8CC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58AED41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4" w:space="0" w:color="auto"/>
              <w:right w:val="single" w:sz="12" w:space="0" w:color="auto"/>
            </w:tcBorders>
            <w:shd w:val="clear" w:color="auto" w:fill="auto"/>
          </w:tcPr>
          <w:p w14:paraId="460C0EE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tcBorders>
            <w:shd w:val="clear" w:color="auto" w:fill="auto"/>
          </w:tcPr>
          <w:p w14:paraId="57A3F6B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558" w:type="dxa"/>
            <w:tcBorders>
              <w:right w:val="single" w:sz="12" w:space="0" w:color="auto"/>
            </w:tcBorders>
            <w:shd w:val="clear" w:color="auto" w:fill="auto"/>
          </w:tcPr>
          <w:p w14:paraId="483C21D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left w:val="single" w:sz="12" w:space="0" w:color="auto"/>
              <w:bottom w:val="single" w:sz="12" w:space="0" w:color="auto"/>
            </w:tcBorders>
            <w:shd w:val="clear" w:color="auto" w:fill="auto"/>
          </w:tcPr>
          <w:p w14:paraId="45EC309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1111F79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567" w:type="dxa"/>
            <w:shd w:val="clear" w:color="auto" w:fill="auto"/>
          </w:tcPr>
          <w:p w14:paraId="7955102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4F5AC63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567" w:type="dxa"/>
            <w:shd w:val="clear" w:color="auto" w:fill="auto"/>
          </w:tcPr>
          <w:p w14:paraId="687348F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425" w:type="dxa"/>
            <w:shd w:val="clear" w:color="auto" w:fill="auto"/>
          </w:tcPr>
          <w:p w14:paraId="29C2A71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c>
          <w:tcPr>
            <w:tcW w:w="425" w:type="dxa"/>
            <w:shd w:val="clear" w:color="auto" w:fill="auto"/>
          </w:tcPr>
          <w:p w14:paraId="2B90C6C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w:t>
            </w:r>
          </w:p>
        </w:tc>
      </w:tr>
      <w:tr w:rsidR="003A7917" w:rsidRPr="00FD50F6" w14:paraId="7D33274D" w14:textId="77777777" w:rsidTr="00C70434">
        <w:tc>
          <w:tcPr>
            <w:tcW w:w="534" w:type="dxa"/>
            <w:vMerge/>
            <w:shd w:val="clear" w:color="auto" w:fill="auto"/>
          </w:tcPr>
          <w:p w14:paraId="33C557C4"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34C4BCAA"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7A86A404" w14:textId="2E32391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1A4F1AA0" w14:textId="5FEAF63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67BD38A0" w14:textId="75101F2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61323D6C" w14:textId="0B476D32"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5F6B3645"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2F0DCD5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3F8B0EA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4" w:space="0" w:color="auto"/>
            </w:tcBorders>
            <w:shd w:val="clear" w:color="auto" w:fill="auto"/>
          </w:tcPr>
          <w:p w14:paraId="54BE995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bottom w:val="single" w:sz="4" w:space="0" w:color="auto"/>
              <w:right w:val="single" w:sz="12" w:space="0" w:color="auto"/>
            </w:tcBorders>
            <w:shd w:val="clear" w:color="auto" w:fill="auto"/>
          </w:tcPr>
          <w:p w14:paraId="2F0CF1E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12" w:space="0" w:color="auto"/>
              <w:bottom w:val="single" w:sz="12" w:space="0" w:color="auto"/>
            </w:tcBorders>
            <w:shd w:val="clear" w:color="auto" w:fill="auto"/>
          </w:tcPr>
          <w:p w14:paraId="1EA7E75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58" w:type="dxa"/>
            <w:shd w:val="clear" w:color="auto" w:fill="auto"/>
          </w:tcPr>
          <w:p w14:paraId="2A6364C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top w:val="single" w:sz="12" w:space="0" w:color="auto"/>
              <w:right w:val="single" w:sz="12" w:space="0" w:color="auto"/>
            </w:tcBorders>
            <w:shd w:val="clear" w:color="auto" w:fill="auto"/>
          </w:tcPr>
          <w:p w14:paraId="421CF9A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left w:val="single" w:sz="12" w:space="0" w:color="auto"/>
            </w:tcBorders>
            <w:shd w:val="clear" w:color="auto" w:fill="auto"/>
          </w:tcPr>
          <w:p w14:paraId="6CA28F0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105</w:t>
            </w:r>
          </w:p>
        </w:tc>
        <w:tc>
          <w:tcPr>
            <w:tcW w:w="567" w:type="dxa"/>
            <w:shd w:val="clear" w:color="auto" w:fill="auto"/>
          </w:tcPr>
          <w:p w14:paraId="3356CA9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90</w:t>
            </w:r>
          </w:p>
        </w:tc>
        <w:tc>
          <w:tcPr>
            <w:tcW w:w="567" w:type="dxa"/>
            <w:shd w:val="clear" w:color="auto" w:fill="auto"/>
          </w:tcPr>
          <w:p w14:paraId="23A6562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567" w:type="dxa"/>
            <w:shd w:val="clear" w:color="auto" w:fill="auto"/>
          </w:tcPr>
          <w:p w14:paraId="3F42D29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425" w:type="dxa"/>
            <w:shd w:val="clear" w:color="auto" w:fill="auto"/>
          </w:tcPr>
          <w:p w14:paraId="01965B0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425" w:type="dxa"/>
            <w:shd w:val="clear" w:color="auto" w:fill="auto"/>
          </w:tcPr>
          <w:p w14:paraId="002DEEE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r>
      <w:tr w:rsidR="003A7917" w:rsidRPr="00FD50F6" w14:paraId="431AC32B" w14:textId="77777777" w:rsidTr="00C70434">
        <w:tc>
          <w:tcPr>
            <w:tcW w:w="534" w:type="dxa"/>
            <w:vMerge w:val="restart"/>
            <w:shd w:val="clear" w:color="auto" w:fill="auto"/>
          </w:tcPr>
          <w:p w14:paraId="2E77A55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350</w:t>
            </w:r>
          </w:p>
        </w:tc>
        <w:tc>
          <w:tcPr>
            <w:tcW w:w="283" w:type="dxa"/>
            <w:shd w:val="clear" w:color="auto" w:fill="D9D9D9"/>
          </w:tcPr>
          <w:p w14:paraId="3F0E4854"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21F99CED" w14:textId="57C517F9"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000604D9" w14:textId="53F42C74"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01F496A8" w14:textId="06881FB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1F4469C0" w14:textId="4E34BB0E"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E99AD28"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0894A6F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49D5CD2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4" w:space="0" w:color="auto"/>
            </w:tcBorders>
            <w:shd w:val="clear" w:color="auto" w:fill="auto"/>
          </w:tcPr>
          <w:p w14:paraId="2A2C74A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06845E4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left w:val="single" w:sz="4" w:space="0" w:color="auto"/>
              <w:right w:val="single" w:sz="12" w:space="0" w:color="auto"/>
            </w:tcBorders>
            <w:shd w:val="clear" w:color="auto" w:fill="auto"/>
          </w:tcPr>
          <w:p w14:paraId="1F2165F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left w:val="single" w:sz="12" w:space="0" w:color="auto"/>
            </w:tcBorders>
            <w:shd w:val="clear" w:color="auto" w:fill="auto"/>
          </w:tcPr>
          <w:p w14:paraId="5F5199F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right w:val="single" w:sz="12" w:space="0" w:color="auto"/>
            </w:tcBorders>
            <w:shd w:val="clear" w:color="auto" w:fill="auto"/>
          </w:tcPr>
          <w:p w14:paraId="588C350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left w:val="single" w:sz="12" w:space="0" w:color="auto"/>
              <w:bottom w:val="single" w:sz="12" w:space="0" w:color="auto"/>
            </w:tcBorders>
            <w:shd w:val="clear" w:color="auto" w:fill="auto"/>
          </w:tcPr>
          <w:p w14:paraId="15DC26E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39CCB34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7D0651F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c>
          <w:tcPr>
            <w:tcW w:w="567" w:type="dxa"/>
            <w:shd w:val="clear" w:color="auto" w:fill="auto"/>
          </w:tcPr>
          <w:p w14:paraId="7683E3F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425" w:type="dxa"/>
            <w:shd w:val="clear" w:color="auto" w:fill="auto"/>
          </w:tcPr>
          <w:p w14:paraId="3CCCAC2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c>
          <w:tcPr>
            <w:tcW w:w="425" w:type="dxa"/>
            <w:shd w:val="clear" w:color="auto" w:fill="auto"/>
          </w:tcPr>
          <w:p w14:paraId="12F4598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r>
      <w:tr w:rsidR="003A7917" w:rsidRPr="00FD50F6" w14:paraId="3F50DDDE" w14:textId="77777777" w:rsidTr="00C70434">
        <w:tc>
          <w:tcPr>
            <w:tcW w:w="534" w:type="dxa"/>
            <w:vMerge/>
            <w:shd w:val="clear" w:color="auto" w:fill="auto"/>
          </w:tcPr>
          <w:p w14:paraId="74BE1485"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3B263298"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436FC9DC" w14:textId="3F35858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329FD231" w14:textId="595A4D8F"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384F7067" w14:textId="2F3595C2"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5A97E7A6" w14:textId="57F8E226"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09EA90B"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31C7C76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58390A3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F4AA7D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top w:val="single" w:sz="4" w:space="0" w:color="auto"/>
            </w:tcBorders>
            <w:shd w:val="clear" w:color="auto" w:fill="auto"/>
          </w:tcPr>
          <w:p w14:paraId="0E16C41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12" w:space="0" w:color="auto"/>
            </w:tcBorders>
            <w:shd w:val="clear" w:color="auto" w:fill="auto"/>
          </w:tcPr>
          <w:p w14:paraId="1A6D9B6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left w:val="single" w:sz="12" w:space="0" w:color="auto"/>
              <w:bottom w:val="single" w:sz="12" w:space="0" w:color="auto"/>
            </w:tcBorders>
            <w:shd w:val="clear" w:color="auto" w:fill="auto"/>
          </w:tcPr>
          <w:p w14:paraId="79EF40E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shd w:val="clear" w:color="auto" w:fill="auto"/>
          </w:tcPr>
          <w:p w14:paraId="6A99447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top w:val="single" w:sz="12" w:space="0" w:color="auto"/>
              <w:right w:val="single" w:sz="12" w:space="0" w:color="auto"/>
            </w:tcBorders>
            <w:shd w:val="clear" w:color="auto" w:fill="auto"/>
          </w:tcPr>
          <w:p w14:paraId="14E3862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left w:val="single" w:sz="12" w:space="0" w:color="auto"/>
            </w:tcBorders>
          </w:tcPr>
          <w:p w14:paraId="779F787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100</w:t>
            </w:r>
          </w:p>
        </w:tc>
        <w:tc>
          <w:tcPr>
            <w:tcW w:w="567" w:type="dxa"/>
          </w:tcPr>
          <w:p w14:paraId="3BDD3A5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85</w:t>
            </w:r>
          </w:p>
        </w:tc>
        <w:tc>
          <w:tcPr>
            <w:tcW w:w="567" w:type="dxa"/>
          </w:tcPr>
          <w:p w14:paraId="3113A54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c>
          <w:tcPr>
            <w:tcW w:w="425" w:type="dxa"/>
          </w:tcPr>
          <w:p w14:paraId="59B8327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55</w:t>
            </w:r>
          </w:p>
        </w:tc>
        <w:tc>
          <w:tcPr>
            <w:tcW w:w="425" w:type="dxa"/>
          </w:tcPr>
          <w:p w14:paraId="0A74D66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45</w:t>
            </w:r>
          </w:p>
        </w:tc>
      </w:tr>
      <w:tr w:rsidR="003A7917" w:rsidRPr="00FD50F6" w14:paraId="7B1655C3" w14:textId="77777777" w:rsidTr="00C70434">
        <w:tc>
          <w:tcPr>
            <w:tcW w:w="534" w:type="dxa"/>
            <w:vMerge w:val="restart"/>
            <w:shd w:val="clear" w:color="auto" w:fill="auto"/>
          </w:tcPr>
          <w:p w14:paraId="1C5C61F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300</w:t>
            </w:r>
          </w:p>
        </w:tc>
        <w:tc>
          <w:tcPr>
            <w:tcW w:w="283" w:type="dxa"/>
            <w:shd w:val="clear" w:color="auto" w:fill="D9D9D9"/>
          </w:tcPr>
          <w:p w14:paraId="1F2641A8"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19B17B1D" w14:textId="035025E6"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48CCBA09" w14:textId="785E449B"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7109D571" w14:textId="35BF0AFE"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214E38A7" w14:textId="0208B263"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50E02806"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426C415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4E13E4F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6C44F98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2D25A9A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18EA3E0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top w:val="single" w:sz="12" w:space="0" w:color="auto"/>
              <w:right w:val="single" w:sz="12" w:space="0" w:color="auto"/>
            </w:tcBorders>
            <w:shd w:val="clear" w:color="auto" w:fill="D9D9D9"/>
          </w:tcPr>
          <w:p w14:paraId="6D59EAD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12" w:space="0" w:color="auto"/>
            </w:tcBorders>
            <w:shd w:val="clear" w:color="auto" w:fill="auto"/>
          </w:tcPr>
          <w:p w14:paraId="2D92BCE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right w:val="single" w:sz="12" w:space="0" w:color="auto"/>
            </w:tcBorders>
            <w:shd w:val="clear" w:color="auto" w:fill="auto"/>
          </w:tcPr>
          <w:p w14:paraId="7164D2E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left w:val="single" w:sz="12" w:space="0" w:color="auto"/>
              <w:bottom w:val="single" w:sz="12" w:space="0" w:color="auto"/>
            </w:tcBorders>
            <w:shd w:val="clear" w:color="auto" w:fill="auto"/>
          </w:tcPr>
          <w:p w14:paraId="43FD1AC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5FFA0D9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567" w:type="dxa"/>
            <w:shd w:val="clear" w:color="auto" w:fill="auto"/>
          </w:tcPr>
          <w:p w14:paraId="16E8B2B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425" w:type="dxa"/>
            <w:shd w:val="clear" w:color="auto" w:fill="auto"/>
          </w:tcPr>
          <w:p w14:paraId="781C4A2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c>
          <w:tcPr>
            <w:tcW w:w="425" w:type="dxa"/>
            <w:shd w:val="clear" w:color="auto" w:fill="auto"/>
          </w:tcPr>
          <w:p w14:paraId="7054AA4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w:t>
            </w:r>
          </w:p>
        </w:tc>
      </w:tr>
      <w:tr w:rsidR="003A7917" w:rsidRPr="00FD50F6" w14:paraId="3FB7CAED" w14:textId="77777777" w:rsidTr="00C70434">
        <w:tc>
          <w:tcPr>
            <w:tcW w:w="534" w:type="dxa"/>
            <w:vMerge/>
            <w:shd w:val="clear" w:color="auto" w:fill="auto"/>
          </w:tcPr>
          <w:p w14:paraId="22E51B8B"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4A5E6728"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22A84432" w14:textId="34CA8F38"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2C4D03C3" w14:textId="537AF075"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21962243" w14:textId="7D15921A"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17AD36B0" w14:textId="22B026A1"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6B17C950"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0A92F7E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433E0E4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3EB7533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A0094D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235ABB7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bottom w:val="single" w:sz="4" w:space="0" w:color="auto"/>
              <w:right w:val="single" w:sz="12" w:space="0" w:color="auto"/>
            </w:tcBorders>
            <w:shd w:val="clear" w:color="auto" w:fill="auto"/>
          </w:tcPr>
          <w:p w14:paraId="6AD7C43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12" w:space="0" w:color="auto"/>
              <w:bottom w:val="single" w:sz="12" w:space="0" w:color="auto"/>
            </w:tcBorders>
            <w:shd w:val="clear" w:color="auto" w:fill="auto"/>
          </w:tcPr>
          <w:p w14:paraId="72902E7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shd w:val="clear" w:color="auto" w:fill="auto"/>
          </w:tcPr>
          <w:p w14:paraId="2053E1C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top w:val="single" w:sz="12" w:space="0" w:color="auto"/>
              <w:right w:val="single" w:sz="12" w:space="0" w:color="auto"/>
            </w:tcBorders>
            <w:shd w:val="clear" w:color="auto" w:fill="auto"/>
          </w:tcPr>
          <w:p w14:paraId="4D085E1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left w:val="single" w:sz="12" w:space="0" w:color="auto"/>
            </w:tcBorders>
            <w:shd w:val="clear" w:color="auto" w:fill="auto"/>
          </w:tcPr>
          <w:p w14:paraId="550E5BF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100</w:t>
            </w:r>
          </w:p>
        </w:tc>
        <w:tc>
          <w:tcPr>
            <w:tcW w:w="567" w:type="dxa"/>
            <w:shd w:val="clear" w:color="auto" w:fill="auto"/>
          </w:tcPr>
          <w:p w14:paraId="22EA003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80</w:t>
            </w:r>
          </w:p>
        </w:tc>
        <w:tc>
          <w:tcPr>
            <w:tcW w:w="425" w:type="dxa"/>
            <w:shd w:val="clear" w:color="auto" w:fill="auto"/>
          </w:tcPr>
          <w:p w14:paraId="0618469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65</w:t>
            </w:r>
          </w:p>
        </w:tc>
        <w:tc>
          <w:tcPr>
            <w:tcW w:w="425" w:type="dxa"/>
            <w:shd w:val="clear" w:color="auto" w:fill="auto"/>
          </w:tcPr>
          <w:p w14:paraId="6C597A5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r>
      <w:tr w:rsidR="003A7917" w:rsidRPr="00FD50F6" w14:paraId="0E969132" w14:textId="77777777" w:rsidTr="00C70434">
        <w:tc>
          <w:tcPr>
            <w:tcW w:w="534" w:type="dxa"/>
            <w:vMerge w:val="restart"/>
            <w:shd w:val="clear" w:color="auto" w:fill="auto"/>
          </w:tcPr>
          <w:p w14:paraId="08F0C63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250</w:t>
            </w:r>
          </w:p>
        </w:tc>
        <w:tc>
          <w:tcPr>
            <w:tcW w:w="283" w:type="dxa"/>
            <w:shd w:val="clear" w:color="auto" w:fill="D9D9D9"/>
          </w:tcPr>
          <w:p w14:paraId="17F1A100"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2BBA2F21" w14:textId="59E526B2"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20AECC52" w14:textId="2E67A5FA"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6CE13CA1" w14:textId="3F92FBDC"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17DFDA56" w14:textId="5AC6BDD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01C7D3D0"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6A15796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54DE352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6BAA5C3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01A02FD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Borders>
              <w:right w:val="single" w:sz="4" w:space="0" w:color="auto"/>
            </w:tcBorders>
            <w:shd w:val="clear" w:color="auto" w:fill="D9D9D9"/>
          </w:tcPr>
          <w:p w14:paraId="7957921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top w:val="single" w:sz="4" w:space="0" w:color="auto"/>
              <w:left w:val="single" w:sz="4" w:space="0" w:color="auto"/>
              <w:bottom w:val="single" w:sz="4" w:space="0" w:color="auto"/>
              <w:right w:val="single" w:sz="4" w:space="0" w:color="auto"/>
            </w:tcBorders>
            <w:shd w:val="clear" w:color="auto" w:fill="D9D9D9"/>
          </w:tcPr>
          <w:p w14:paraId="2F8C271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4" w:space="0" w:color="auto"/>
              <w:right w:val="single" w:sz="12" w:space="0" w:color="auto"/>
            </w:tcBorders>
            <w:shd w:val="clear" w:color="auto" w:fill="auto"/>
          </w:tcPr>
          <w:p w14:paraId="2EC38AB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12" w:space="0" w:color="auto"/>
            </w:tcBorders>
            <w:shd w:val="clear" w:color="auto" w:fill="auto"/>
          </w:tcPr>
          <w:p w14:paraId="1EADA2F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right w:val="single" w:sz="12" w:space="0" w:color="auto"/>
            </w:tcBorders>
            <w:shd w:val="clear" w:color="auto" w:fill="auto"/>
          </w:tcPr>
          <w:p w14:paraId="06529E3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left w:val="single" w:sz="12" w:space="0" w:color="auto"/>
              <w:bottom w:val="single" w:sz="12" w:space="0" w:color="auto"/>
            </w:tcBorders>
            <w:shd w:val="clear" w:color="auto" w:fill="auto"/>
          </w:tcPr>
          <w:p w14:paraId="2A8BDFA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shd w:val="clear" w:color="auto" w:fill="auto"/>
          </w:tcPr>
          <w:p w14:paraId="530FA3F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425" w:type="dxa"/>
            <w:shd w:val="clear" w:color="auto" w:fill="auto"/>
          </w:tcPr>
          <w:p w14:paraId="1A12319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40</w:t>
            </w:r>
          </w:p>
        </w:tc>
        <w:tc>
          <w:tcPr>
            <w:tcW w:w="425" w:type="dxa"/>
            <w:shd w:val="clear" w:color="auto" w:fill="auto"/>
          </w:tcPr>
          <w:p w14:paraId="470464A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30</w:t>
            </w:r>
          </w:p>
        </w:tc>
      </w:tr>
      <w:tr w:rsidR="003A7917" w:rsidRPr="00FD50F6" w14:paraId="03D73BBB" w14:textId="77777777" w:rsidTr="00C70434">
        <w:tc>
          <w:tcPr>
            <w:tcW w:w="534" w:type="dxa"/>
            <w:vMerge/>
            <w:shd w:val="clear" w:color="auto" w:fill="auto"/>
          </w:tcPr>
          <w:p w14:paraId="414CF0EC"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3FC36BB2"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47075CF6" w14:textId="470A52DB"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00862648" w14:textId="595729C2"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357754A0" w14:textId="04D5100D"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3DF64802" w14:textId="156DB94D"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2C35376A"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09BAA5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3EE17982"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6AFF3DC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5CF1D50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44876B4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top w:val="single" w:sz="4" w:space="0" w:color="auto"/>
            </w:tcBorders>
            <w:shd w:val="clear" w:color="auto" w:fill="auto"/>
          </w:tcPr>
          <w:p w14:paraId="1A2C546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bottom w:val="single" w:sz="4" w:space="0" w:color="auto"/>
              <w:right w:val="single" w:sz="12" w:space="0" w:color="auto"/>
            </w:tcBorders>
            <w:shd w:val="clear" w:color="auto" w:fill="auto"/>
          </w:tcPr>
          <w:p w14:paraId="31AF78D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12" w:space="0" w:color="auto"/>
              <w:bottom w:val="single" w:sz="12" w:space="0" w:color="auto"/>
            </w:tcBorders>
            <w:shd w:val="clear" w:color="auto" w:fill="auto"/>
          </w:tcPr>
          <w:p w14:paraId="33BBC67E"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shd w:val="clear" w:color="auto" w:fill="auto"/>
          </w:tcPr>
          <w:p w14:paraId="45BAA95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top w:val="single" w:sz="12" w:space="0" w:color="auto"/>
              <w:right w:val="single" w:sz="12" w:space="0" w:color="auto"/>
            </w:tcBorders>
            <w:shd w:val="clear" w:color="auto" w:fill="auto"/>
          </w:tcPr>
          <w:p w14:paraId="24FE3E3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left w:val="single" w:sz="12" w:space="0" w:color="auto"/>
            </w:tcBorders>
            <w:shd w:val="clear" w:color="auto" w:fill="auto"/>
          </w:tcPr>
          <w:p w14:paraId="48A5FA9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425" w:type="dxa"/>
            <w:shd w:val="clear" w:color="auto" w:fill="auto"/>
          </w:tcPr>
          <w:p w14:paraId="228AF2D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75</w:t>
            </w:r>
          </w:p>
        </w:tc>
        <w:tc>
          <w:tcPr>
            <w:tcW w:w="425" w:type="dxa"/>
            <w:shd w:val="clear" w:color="auto" w:fill="auto"/>
          </w:tcPr>
          <w:p w14:paraId="4793956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r>
      <w:tr w:rsidR="003A7917" w:rsidRPr="00FD50F6" w14:paraId="7B6E086C" w14:textId="77777777" w:rsidTr="00C70434">
        <w:tc>
          <w:tcPr>
            <w:tcW w:w="534" w:type="dxa"/>
            <w:vMerge w:val="restart"/>
            <w:shd w:val="clear" w:color="auto" w:fill="auto"/>
          </w:tcPr>
          <w:p w14:paraId="731B27F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200</w:t>
            </w:r>
          </w:p>
        </w:tc>
        <w:tc>
          <w:tcPr>
            <w:tcW w:w="283" w:type="dxa"/>
            <w:shd w:val="clear" w:color="auto" w:fill="D9D9D9"/>
          </w:tcPr>
          <w:p w14:paraId="73D8D697"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L</w:t>
            </w:r>
          </w:p>
        </w:tc>
        <w:tc>
          <w:tcPr>
            <w:tcW w:w="541" w:type="dxa"/>
            <w:shd w:val="clear" w:color="auto" w:fill="D9D9D9"/>
          </w:tcPr>
          <w:p w14:paraId="60AD50F8" w14:textId="72196D61"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74082C82" w14:textId="7FE9CB51"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shd w:val="clear" w:color="auto" w:fill="D9D9D9"/>
          </w:tcPr>
          <w:p w14:paraId="78A05F13" w14:textId="7CD57020"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3B6C52D0" w14:textId="2D6A6A6F"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45B1D997"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52F5628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2AD0B0E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231E5C3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5EC37CF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D9D9D9"/>
          </w:tcPr>
          <w:p w14:paraId="0C9E26A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tcBorders>
              <w:right w:val="single" w:sz="4" w:space="0" w:color="auto"/>
            </w:tcBorders>
            <w:shd w:val="clear" w:color="auto" w:fill="D9D9D9"/>
          </w:tcPr>
          <w:p w14:paraId="2A3D0E5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5AD767"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4" w:space="0" w:color="auto"/>
              <w:right w:val="single" w:sz="12" w:space="0" w:color="auto"/>
            </w:tcBorders>
            <w:shd w:val="clear" w:color="auto" w:fill="auto"/>
          </w:tcPr>
          <w:p w14:paraId="4F0630B5"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12" w:space="0" w:color="auto"/>
            </w:tcBorders>
            <w:shd w:val="clear" w:color="auto" w:fill="auto"/>
          </w:tcPr>
          <w:p w14:paraId="3B8762A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bottom w:val="single" w:sz="4" w:space="0" w:color="auto"/>
              <w:right w:val="single" w:sz="12" w:space="0" w:color="auto"/>
            </w:tcBorders>
            <w:shd w:val="clear" w:color="auto" w:fill="auto"/>
          </w:tcPr>
          <w:p w14:paraId="53DF69E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567" w:type="dxa"/>
            <w:tcBorders>
              <w:left w:val="single" w:sz="12" w:space="0" w:color="auto"/>
              <w:bottom w:val="single" w:sz="12" w:space="0" w:color="auto"/>
            </w:tcBorders>
            <w:shd w:val="clear" w:color="auto" w:fill="auto"/>
          </w:tcPr>
          <w:p w14:paraId="3CEF3563"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60</w:t>
            </w:r>
          </w:p>
        </w:tc>
        <w:tc>
          <w:tcPr>
            <w:tcW w:w="425" w:type="dxa"/>
            <w:shd w:val="clear" w:color="auto" w:fill="auto"/>
          </w:tcPr>
          <w:p w14:paraId="3FDFE8B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50</w:t>
            </w:r>
          </w:p>
        </w:tc>
        <w:tc>
          <w:tcPr>
            <w:tcW w:w="425" w:type="dxa"/>
            <w:shd w:val="clear" w:color="auto" w:fill="auto"/>
          </w:tcPr>
          <w:p w14:paraId="0BEF6E7A"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35</w:t>
            </w:r>
          </w:p>
        </w:tc>
      </w:tr>
      <w:tr w:rsidR="003A7917" w:rsidRPr="00FD50F6" w14:paraId="6EA12C70" w14:textId="77777777" w:rsidTr="00C70434">
        <w:tc>
          <w:tcPr>
            <w:tcW w:w="534" w:type="dxa"/>
            <w:vMerge/>
            <w:shd w:val="clear" w:color="auto" w:fill="auto"/>
          </w:tcPr>
          <w:p w14:paraId="474609BA" w14:textId="77777777" w:rsidR="003A7917" w:rsidRPr="00FD50F6" w:rsidRDefault="003A7917" w:rsidP="003A7917">
            <w:pPr>
              <w:pStyle w:val="7"/>
              <w:jc w:val="left"/>
              <w:rPr>
                <w:rFonts w:eastAsia="楷体" w:cs="Times New Roman"/>
                <w:sz w:val="15"/>
                <w:szCs w:val="15"/>
              </w:rPr>
            </w:pPr>
          </w:p>
        </w:tc>
        <w:tc>
          <w:tcPr>
            <w:tcW w:w="283" w:type="dxa"/>
            <w:shd w:val="clear" w:color="auto" w:fill="auto"/>
          </w:tcPr>
          <w:p w14:paraId="64EFED06" w14:textId="77777777" w:rsidR="003A7917" w:rsidRPr="003A7917" w:rsidRDefault="003A7917" w:rsidP="003A7917">
            <w:pPr>
              <w:pStyle w:val="7"/>
              <w:jc w:val="left"/>
              <w:rPr>
                <w:rFonts w:eastAsia="楷体" w:cs="Times New Roman"/>
                <w:i/>
                <w:sz w:val="15"/>
                <w:szCs w:val="15"/>
              </w:rPr>
            </w:pPr>
            <w:r w:rsidRPr="003A7917">
              <w:rPr>
                <w:rFonts w:eastAsia="楷体" w:cs="Times New Roman"/>
                <w:i/>
                <w:sz w:val="15"/>
                <w:szCs w:val="15"/>
              </w:rPr>
              <w:t>h</w:t>
            </w:r>
          </w:p>
        </w:tc>
        <w:tc>
          <w:tcPr>
            <w:tcW w:w="541" w:type="dxa"/>
          </w:tcPr>
          <w:p w14:paraId="6364F1D1" w14:textId="54860990"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329DDBAF" w14:textId="4729EC72"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34" w:type="dxa"/>
          </w:tcPr>
          <w:p w14:paraId="6D018C9B" w14:textId="233B7EAD"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tcPr>
          <w:p w14:paraId="6F7C13D0" w14:textId="6681E549"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0610F5FF" w14:textId="77777777" w:rsidR="003A7917" w:rsidRPr="00FD50F6" w:rsidRDefault="003A7917" w:rsidP="003A7917">
            <w:pPr>
              <w:pStyle w:val="7"/>
              <w:ind w:firstLineChars="18" w:firstLine="27"/>
              <w:rPr>
                <w:rFonts w:eastAsia="楷体" w:cs="Times New Roman"/>
                <w:sz w:val="15"/>
                <w:szCs w:val="15"/>
              </w:rPr>
            </w:pPr>
            <w:r w:rsidRPr="00FD50F6">
              <w:rPr>
                <w:rFonts w:eastAsia="楷体" w:cs="Times New Roman"/>
                <w:sz w:val="15"/>
                <w:szCs w:val="15"/>
              </w:rPr>
              <w:t>—</w:t>
            </w:r>
          </w:p>
        </w:tc>
        <w:tc>
          <w:tcPr>
            <w:tcW w:w="541" w:type="dxa"/>
            <w:shd w:val="clear" w:color="auto" w:fill="auto"/>
          </w:tcPr>
          <w:p w14:paraId="53B9EC9C"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EB7069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6E85D57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1F5ABF39"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41" w:type="dxa"/>
            <w:shd w:val="clear" w:color="auto" w:fill="auto"/>
          </w:tcPr>
          <w:p w14:paraId="7766BFC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58" w:type="dxa"/>
            <w:shd w:val="clear" w:color="auto" w:fill="auto"/>
          </w:tcPr>
          <w:p w14:paraId="3BD724FB"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top w:val="single" w:sz="4" w:space="0" w:color="auto"/>
            </w:tcBorders>
            <w:shd w:val="clear" w:color="auto" w:fill="auto"/>
          </w:tcPr>
          <w:p w14:paraId="47B29151"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right w:val="single" w:sz="12" w:space="0" w:color="auto"/>
            </w:tcBorders>
            <w:shd w:val="clear" w:color="auto" w:fill="auto"/>
          </w:tcPr>
          <w:p w14:paraId="287DABFD"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w:t>
            </w:r>
          </w:p>
        </w:tc>
        <w:tc>
          <w:tcPr>
            <w:tcW w:w="567" w:type="dxa"/>
            <w:tcBorders>
              <w:left w:val="single" w:sz="12" w:space="0" w:color="auto"/>
              <w:right w:val="single" w:sz="4" w:space="0" w:color="auto"/>
            </w:tcBorders>
            <w:shd w:val="clear" w:color="auto" w:fill="auto"/>
          </w:tcPr>
          <w:p w14:paraId="783BE166"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top w:val="single" w:sz="4" w:space="0" w:color="auto"/>
              <w:left w:val="single" w:sz="4" w:space="0" w:color="auto"/>
              <w:bottom w:val="single" w:sz="12" w:space="0" w:color="auto"/>
              <w:right w:val="single" w:sz="4" w:space="0" w:color="auto"/>
            </w:tcBorders>
            <w:shd w:val="clear" w:color="auto" w:fill="auto"/>
          </w:tcPr>
          <w:p w14:paraId="2C42F3C0"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120</w:t>
            </w:r>
          </w:p>
        </w:tc>
        <w:tc>
          <w:tcPr>
            <w:tcW w:w="567" w:type="dxa"/>
            <w:tcBorders>
              <w:left w:val="single" w:sz="4" w:space="0" w:color="auto"/>
              <w:right w:val="single" w:sz="12" w:space="0" w:color="auto"/>
            </w:tcBorders>
            <w:shd w:val="clear" w:color="auto" w:fill="auto"/>
          </w:tcPr>
          <w:p w14:paraId="1F8DE398"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12</w:t>
            </w:r>
            <w:r w:rsidRPr="00FD50F6">
              <w:rPr>
                <w:rFonts w:eastAsia="楷体" w:cs="Times New Roman"/>
                <w:sz w:val="15"/>
                <w:szCs w:val="15"/>
                <w:shd w:val="clear" w:color="auto" w:fill="FFFF00"/>
              </w:rPr>
              <w:t>0</w:t>
            </w:r>
          </w:p>
        </w:tc>
        <w:tc>
          <w:tcPr>
            <w:tcW w:w="425" w:type="dxa"/>
            <w:tcBorders>
              <w:left w:val="single" w:sz="12" w:space="0" w:color="auto"/>
            </w:tcBorders>
            <w:shd w:val="clear" w:color="auto" w:fill="auto"/>
          </w:tcPr>
          <w:p w14:paraId="216105B4"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95</w:t>
            </w:r>
          </w:p>
        </w:tc>
        <w:tc>
          <w:tcPr>
            <w:tcW w:w="425" w:type="dxa"/>
            <w:shd w:val="clear" w:color="auto" w:fill="auto"/>
          </w:tcPr>
          <w:p w14:paraId="222488CF" w14:textId="77777777" w:rsidR="003A7917" w:rsidRPr="00FD50F6" w:rsidRDefault="003A7917" w:rsidP="003A7917">
            <w:pPr>
              <w:pStyle w:val="7"/>
              <w:jc w:val="left"/>
              <w:rPr>
                <w:rFonts w:eastAsia="楷体" w:cs="Times New Roman"/>
                <w:sz w:val="15"/>
                <w:szCs w:val="15"/>
              </w:rPr>
            </w:pPr>
            <w:r w:rsidRPr="00FD50F6">
              <w:rPr>
                <w:rFonts w:eastAsia="楷体" w:cs="Times New Roman"/>
                <w:sz w:val="15"/>
                <w:szCs w:val="15"/>
              </w:rPr>
              <w:t>70</w:t>
            </w:r>
          </w:p>
        </w:tc>
      </w:tr>
    </w:tbl>
    <w:p w14:paraId="3832AA37" w14:textId="6BE9D83D" w:rsidR="006E2974" w:rsidRPr="00FD50F6" w:rsidRDefault="006E2974" w:rsidP="006E2974">
      <w:pPr>
        <w:spacing w:line="240" w:lineRule="auto"/>
      </w:pPr>
      <w:r w:rsidRPr="00FD50F6">
        <w:rPr>
          <w:rFonts w:ascii="Times New Roman" w:hAnsi="Times New Roman" w:cs="Times New Roman"/>
          <w:sz w:val="18"/>
          <w:szCs w:val="18"/>
        </w:rPr>
        <w:t>注：</w:t>
      </w:r>
      <w:r w:rsidRPr="00FD50F6">
        <w:rPr>
          <w:rFonts w:ascii="Times New Roman" w:hAnsi="Times New Roman" w:cs="Times New Roman"/>
          <w:sz w:val="18"/>
          <w:szCs w:val="18"/>
        </w:rPr>
        <w:t xml:space="preserve"> </w:t>
      </w:r>
      <w:r w:rsidRPr="003A7917">
        <w:rPr>
          <w:rFonts w:ascii="Times New Roman" w:hAnsi="Times New Roman" w:cs="Times New Roman"/>
          <w:i/>
          <w:sz w:val="18"/>
          <w:szCs w:val="18"/>
        </w:rPr>
        <w:t xml:space="preserve"> R</w:t>
      </w:r>
      <w:r w:rsidRPr="00FD50F6">
        <w:rPr>
          <w:rFonts w:ascii="Times New Roman" w:hAnsi="Times New Roman" w:cs="Times New Roman"/>
          <w:sz w:val="18"/>
          <w:szCs w:val="18"/>
        </w:rPr>
        <w:t>为曲线半径（</w:t>
      </w:r>
      <w:r w:rsidRPr="00FD50F6">
        <w:rPr>
          <w:rFonts w:ascii="Times New Roman" w:hAnsi="Times New Roman" w:cs="Times New Roman"/>
          <w:sz w:val="18"/>
          <w:szCs w:val="18"/>
        </w:rPr>
        <w:t>m</w:t>
      </w:r>
      <w:r w:rsidRPr="00FD50F6">
        <w:rPr>
          <w:rFonts w:ascii="Times New Roman" w:hAnsi="Times New Roman" w:cs="Times New Roman"/>
          <w:sz w:val="18"/>
          <w:szCs w:val="18"/>
        </w:rPr>
        <w:t>）；</w:t>
      </w:r>
      <w:r w:rsidRPr="003A7917">
        <w:rPr>
          <w:rFonts w:ascii="Times New Roman" w:hAnsi="Times New Roman" w:cs="Times New Roman"/>
          <w:i/>
          <w:sz w:val="18"/>
          <w:szCs w:val="18"/>
        </w:rPr>
        <w:t>V</w:t>
      </w:r>
      <w:r w:rsidRPr="00FD50F6">
        <w:rPr>
          <w:rFonts w:ascii="Times New Roman" w:hAnsi="Times New Roman" w:cs="Times New Roman"/>
          <w:sz w:val="18"/>
          <w:szCs w:val="18"/>
        </w:rPr>
        <w:t>为最高</w:t>
      </w:r>
      <w:r w:rsidRPr="00FD50F6">
        <w:rPr>
          <w:rFonts w:ascii="Times New Roman" w:hAnsi="Times New Roman" w:cs="Times New Roman" w:hint="eastAsia"/>
          <w:sz w:val="18"/>
          <w:szCs w:val="18"/>
        </w:rPr>
        <w:t>运行</w:t>
      </w:r>
      <w:r w:rsidRPr="00FD50F6">
        <w:rPr>
          <w:rFonts w:ascii="Times New Roman" w:hAnsi="Times New Roman" w:cs="Times New Roman"/>
          <w:sz w:val="18"/>
          <w:szCs w:val="18"/>
        </w:rPr>
        <w:t>速度（</w:t>
      </w:r>
      <w:r w:rsidRPr="00FD50F6">
        <w:rPr>
          <w:rFonts w:ascii="Times New Roman" w:hAnsi="Times New Roman" w:cs="Times New Roman"/>
          <w:sz w:val="18"/>
          <w:szCs w:val="18"/>
        </w:rPr>
        <w:t>km/h</w:t>
      </w:r>
      <w:r w:rsidRPr="00FD50F6">
        <w:rPr>
          <w:rFonts w:ascii="Times New Roman" w:hAnsi="Times New Roman" w:cs="Times New Roman"/>
          <w:sz w:val="18"/>
          <w:szCs w:val="18"/>
        </w:rPr>
        <w:t>）；</w:t>
      </w:r>
      <w:r w:rsidRPr="003A7917">
        <w:rPr>
          <w:rFonts w:ascii="Times New Roman" w:hAnsi="Times New Roman" w:cs="Times New Roman"/>
          <w:i/>
          <w:sz w:val="18"/>
          <w:szCs w:val="18"/>
        </w:rPr>
        <w:t>L</w:t>
      </w:r>
      <w:r w:rsidRPr="00FD50F6">
        <w:rPr>
          <w:rFonts w:ascii="Times New Roman" w:hAnsi="Times New Roman" w:cs="Times New Roman"/>
          <w:sz w:val="18"/>
          <w:szCs w:val="18"/>
        </w:rPr>
        <w:t>为缓和曲线长度（</w:t>
      </w:r>
      <w:r w:rsidRPr="00FD50F6">
        <w:rPr>
          <w:rFonts w:ascii="Times New Roman" w:hAnsi="Times New Roman" w:cs="Times New Roman"/>
          <w:sz w:val="18"/>
          <w:szCs w:val="18"/>
        </w:rPr>
        <w:t>m</w:t>
      </w:r>
      <w:r w:rsidRPr="00FD50F6">
        <w:rPr>
          <w:rFonts w:ascii="Times New Roman" w:hAnsi="Times New Roman" w:cs="Times New Roman"/>
          <w:sz w:val="18"/>
          <w:szCs w:val="18"/>
        </w:rPr>
        <w:t>）；</w:t>
      </w:r>
      <w:r w:rsidRPr="003A7917">
        <w:rPr>
          <w:rFonts w:ascii="Times New Roman" w:hAnsi="Times New Roman" w:cs="Times New Roman"/>
          <w:i/>
          <w:sz w:val="18"/>
          <w:szCs w:val="18"/>
        </w:rPr>
        <w:t>h</w:t>
      </w:r>
      <w:r w:rsidRPr="00FD50F6">
        <w:rPr>
          <w:rFonts w:ascii="Times New Roman" w:hAnsi="Times New Roman" w:cs="Times New Roman"/>
          <w:sz w:val="18"/>
          <w:szCs w:val="18"/>
        </w:rPr>
        <w:t>为超高值（</w:t>
      </w:r>
      <w:r w:rsidRPr="00FD50F6">
        <w:rPr>
          <w:rFonts w:ascii="Times New Roman" w:hAnsi="Times New Roman" w:cs="Times New Roman"/>
          <w:sz w:val="18"/>
          <w:szCs w:val="18"/>
        </w:rPr>
        <w:t>mm</w:t>
      </w:r>
      <w:r w:rsidR="00E559B9">
        <w:rPr>
          <w:rFonts w:ascii="Times New Roman" w:hAnsi="Times New Roman" w:cs="Times New Roman" w:hint="eastAsia"/>
          <w:sz w:val="18"/>
          <w:szCs w:val="18"/>
        </w:rPr>
        <w:t>），</w:t>
      </w:r>
      <w:r w:rsidRPr="00FD50F6">
        <w:rPr>
          <w:rFonts w:ascii="Times New Roman" w:hAnsi="Times New Roman" w:cs="Times New Roman"/>
          <w:sz w:val="18"/>
          <w:szCs w:val="18"/>
        </w:rPr>
        <w:t>当最高</w:t>
      </w:r>
      <w:r w:rsidRPr="00FD50F6">
        <w:rPr>
          <w:rFonts w:ascii="Times New Roman" w:hAnsi="Times New Roman" w:cs="Times New Roman" w:hint="eastAsia"/>
          <w:sz w:val="18"/>
          <w:szCs w:val="18"/>
        </w:rPr>
        <w:t>运行</w:t>
      </w:r>
      <w:r w:rsidRPr="00FD50F6">
        <w:rPr>
          <w:rFonts w:ascii="Times New Roman" w:hAnsi="Times New Roman" w:cs="Times New Roman"/>
          <w:sz w:val="18"/>
          <w:szCs w:val="18"/>
        </w:rPr>
        <w:t>速度为</w:t>
      </w:r>
      <w:r w:rsidRPr="00FD50F6">
        <w:rPr>
          <w:rFonts w:ascii="Times New Roman" w:hAnsi="Times New Roman" w:cs="Times New Roman"/>
          <w:sz w:val="18"/>
          <w:szCs w:val="18"/>
        </w:rPr>
        <w:t>100km/h</w:t>
      </w:r>
      <w:r w:rsidRPr="00FD50F6">
        <w:rPr>
          <w:rFonts w:ascii="Times New Roman" w:hAnsi="Times New Roman" w:cs="Times New Roman"/>
          <w:sz w:val="18"/>
          <w:szCs w:val="18"/>
        </w:rPr>
        <w:t>及以下时，最大超高为</w:t>
      </w:r>
      <w:r w:rsidRPr="00FD50F6">
        <w:rPr>
          <w:rFonts w:ascii="Times New Roman" w:hAnsi="Times New Roman" w:cs="Times New Roman"/>
          <w:sz w:val="18"/>
          <w:szCs w:val="18"/>
        </w:rPr>
        <w:t>120mm</w:t>
      </w:r>
      <w:r w:rsidRPr="00FD50F6">
        <w:rPr>
          <w:rFonts w:ascii="Times New Roman" w:hAnsi="Times New Roman" w:cs="Times New Roman"/>
          <w:sz w:val="18"/>
          <w:szCs w:val="18"/>
        </w:rPr>
        <w:t>；</w:t>
      </w:r>
      <w:r w:rsidRPr="00FD50F6">
        <w:rPr>
          <w:rFonts w:ascii="Times New Roman" w:hAnsi="Times New Roman" w:cs="Times New Roman" w:hint="eastAsia"/>
          <w:sz w:val="18"/>
          <w:szCs w:val="18"/>
        </w:rPr>
        <w:t>当最高运行</w:t>
      </w:r>
      <w:r w:rsidRPr="00FD50F6">
        <w:rPr>
          <w:rFonts w:ascii="Times New Roman" w:hAnsi="Times New Roman" w:cs="Times New Roman"/>
          <w:sz w:val="18"/>
          <w:szCs w:val="18"/>
        </w:rPr>
        <w:t>速度为</w:t>
      </w:r>
      <w:r w:rsidRPr="00FD50F6">
        <w:rPr>
          <w:rFonts w:ascii="Times New Roman" w:hAnsi="Times New Roman" w:cs="Times New Roman"/>
          <w:sz w:val="18"/>
          <w:szCs w:val="18"/>
        </w:rPr>
        <w:t>120km/h</w:t>
      </w:r>
      <w:r w:rsidRPr="00FD50F6">
        <w:rPr>
          <w:rFonts w:ascii="Times New Roman" w:hAnsi="Times New Roman" w:cs="Times New Roman"/>
          <w:sz w:val="18"/>
          <w:szCs w:val="18"/>
        </w:rPr>
        <w:t>时，最大超高为</w:t>
      </w:r>
      <w:r w:rsidRPr="00FD50F6">
        <w:rPr>
          <w:rFonts w:ascii="Times New Roman" w:hAnsi="Times New Roman" w:cs="Times New Roman"/>
          <w:sz w:val="18"/>
          <w:szCs w:val="18"/>
        </w:rPr>
        <w:t>150mm</w:t>
      </w:r>
      <w:r w:rsidRPr="00FD50F6">
        <w:rPr>
          <w:rFonts w:ascii="Times New Roman" w:hAnsi="Times New Roman" w:cs="Times New Roman"/>
          <w:sz w:val="18"/>
          <w:szCs w:val="18"/>
        </w:rPr>
        <w:t>；</w:t>
      </w:r>
      <w:r w:rsidRPr="00E559B9">
        <w:rPr>
          <w:rFonts w:ascii="Times New Roman" w:hAnsi="Times New Roman" w:cs="Times New Roman" w:hint="eastAsia"/>
          <w:sz w:val="18"/>
          <w:szCs w:val="18"/>
        </w:rPr>
        <w:t>当计算超高值小于</w:t>
      </w:r>
      <w:r w:rsidRPr="00E559B9">
        <w:rPr>
          <w:rFonts w:ascii="Times New Roman" w:hAnsi="Times New Roman" w:cs="Times New Roman"/>
          <w:sz w:val="18"/>
          <w:szCs w:val="18"/>
        </w:rPr>
        <w:t>10mm</w:t>
      </w:r>
      <w:r w:rsidRPr="00E559B9">
        <w:rPr>
          <w:rFonts w:ascii="Times New Roman" w:hAnsi="Times New Roman" w:cs="Times New Roman" w:hint="eastAsia"/>
          <w:sz w:val="18"/>
          <w:szCs w:val="18"/>
        </w:rPr>
        <w:t>时，可不设缓和曲线，但曲线超高应在圆曲线外的两端直线段内完成递变。</w:t>
      </w:r>
    </w:p>
    <w:p w14:paraId="0AB8DE9E" w14:textId="77777777" w:rsidR="006E2974" w:rsidRPr="00FD50F6" w:rsidRDefault="006E2974" w:rsidP="006E2974">
      <w:pPr>
        <w:pStyle w:val="30"/>
      </w:pPr>
      <w:r w:rsidRPr="00FD50F6">
        <w:t>曲线间的夹直线设计应符合下列规定：</w:t>
      </w:r>
    </w:p>
    <w:p w14:paraId="714116AE" w14:textId="1B717F6F" w:rsidR="006E2974" w:rsidRPr="00FD50F6" w:rsidRDefault="006E2974" w:rsidP="00A926BD">
      <w:pPr>
        <w:pStyle w:val="4"/>
      </w:pPr>
      <w:r w:rsidRPr="00FD50F6">
        <w:t>正线、联络线及车辆基地出入线上，两相邻曲线间，无超高的夹直线最小长度应按表</w:t>
      </w:r>
      <w:r w:rsidRPr="00FD50F6">
        <w:t>7.2.3</w:t>
      </w:r>
      <w:r w:rsidRPr="00FD50F6">
        <w:t>确定；</w:t>
      </w:r>
      <w:r w:rsidRPr="00FD50F6">
        <w:t xml:space="preserve"> </w:t>
      </w:r>
    </w:p>
    <w:p w14:paraId="691015C2" w14:textId="6C327786" w:rsidR="006E2974" w:rsidRPr="00FD50F6" w:rsidRDefault="006E2974" w:rsidP="006E2974">
      <w:pPr>
        <w:pStyle w:val="6"/>
      </w:pPr>
      <w:r w:rsidRPr="00FD50F6">
        <w:lastRenderedPageBreak/>
        <w:t>表</w:t>
      </w:r>
      <w:r w:rsidRPr="00FD50F6">
        <w:t xml:space="preserve">7.2.3  </w:t>
      </w:r>
      <w:r w:rsidRPr="00FD50F6">
        <w:t>夹直线最小长度（</w:t>
      </w:r>
      <w:r w:rsidRPr="00FD50F6">
        <w:t>m</w:t>
      </w:r>
      <w:r w:rsidRPr="00FD50F6">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2808"/>
        <w:gridCol w:w="1926"/>
        <w:gridCol w:w="1876"/>
      </w:tblGrid>
      <w:tr w:rsidR="00FD50F6" w:rsidRPr="00FD50F6" w14:paraId="2BBC6734" w14:textId="77777777" w:rsidTr="00C70434">
        <w:trPr>
          <w:trHeight w:val="431"/>
          <w:jc w:val="center"/>
        </w:trPr>
        <w:tc>
          <w:tcPr>
            <w:tcW w:w="1662" w:type="dxa"/>
            <w:vMerge w:val="restart"/>
            <w:vAlign w:val="center"/>
          </w:tcPr>
          <w:p w14:paraId="291F99C1" w14:textId="77777777" w:rsidR="006E2974" w:rsidRPr="00FD50F6" w:rsidRDefault="006E2974" w:rsidP="00C70434">
            <w:pPr>
              <w:pStyle w:val="7"/>
            </w:pPr>
            <w:r w:rsidRPr="00FD50F6">
              <w:t>正线、</w:t>
            </w:r>
          </w:p>
          <w:p w14:paraId="3C5A58A1" w14:textId="77777777" w:rsidR="006E2974" w:rsidRPr="00FD50F6" w:rsidRDefault="006E2974" w:rsidP="00C70434">
            <w:pPr>
              <w:pStyle w:val="7"/>
            </w:pPr>
            <w:r w:rsidRPr="00FD50F6">
              <w:t>联络线、</w:t>
            </w:r>
          </w:p>
          <w:p w14:paraId="7106F852" w14:textId="77777777" w:rsidR="006E2974" w:rsidRPr="00FD50F6" w:rsidRDefault="006E2974" w:rsidP="00C70434">
            <w:pPr>
              <w:pStyle w:val="7"/>
            </w:pPr>
            <w:r w:rsidRPr="00FD50F6">
              <w:t>出入线</w:t>
            </w:r>
          </w:p>
        </w:tc>
        <w:tc>
          <w:tcPr>
            <w:tcW w:w="2808" w:type="dxa"/>
            <w:vAlign w:val="center"/>
          </w:tcPr>
          <w:p w14:paraId="337147D8" w14:textId="77777777" w:rsidR="006E2974" w:rsidRPr="00FD50F6" w:rsidRDefault="006E2974" w:rsidP="00C70434">
            <w:pPr>
              <w:pStyle w:val="7"/>
            </w:pPr>
            <w:r w:rsidRPr="00FD50F6">
              <w:t>一般情况</w:t>
            </w:r>
          </w:p>
        </w:tc>
        <w:tc>
          <w:tcPr>
            <w:tcW w:w="3802" w:type="dxa"/>
            <w:gridSpan w:val="2"/>
            <w:vAlign w:val="center"/>
          </w:tcPr>
          <w:p w14:paraId="1BDDEC3B" w14:textId="77777777" w:rsidR="006E2974" w:rsidRPr="00FD50F6" w:rsidRDefault="006E2974" w:rsidP="00C70434">
            <w:pPr>
              <w:pStyle w:val="7"/>
            </w:pPr>
            <w:r w:rsidRPr="00FD50F6">
              <w:t>λ≥0.5</w:t>
            </w:r>
            <w:r w:rsidRPr="00E559B9">
              <w:rPr>
                <w:i/>
              </w:rPr>
              <w:t>V</w:t>
            </w:r>
          </w:p>
        </w:tc>
      </w:tr>
      <w:tr w:rsidR="00FD50F6" w:rsidRPr="00FD50F6" w14:paraId="5E455B63" w14:textId="77777777" w:rsidTr="00C70434">
        <w:trPr>
          <w:trHeight w:val="409"/>
          <w:jc w:val="center"/>
        </w:trPr>
        <w:tc>
          <w:tcPr>
            <w:tcW w:w="1662" w:type="dxa"/>
            <w:vMerge/>
            <w:vAlign w:val="center"/>
          </w:tcPr>
          <w:p w14:paraId="75D01293" w14:textId="77777777" w:rsidR="006E2974" w:rsidRPr="00FD50F6" w:rsidRDefault="006E2974" w:rsidP="00C70434">
            <w:pPr>
              <w:pStyle w:val="7"/>
            </w:pPr>
          </w:p>
        </w:tc>
        <w:tc>
          <w:tcPr>
            <w:tcW w:w="2808" w:type="dxa"/>
            <w:vMerge w:val="restart"/>
            <w:vAlign w:val="center"/>
          </w:tcPr>
          <w:p w14:paraId="4A6585B1" w14:textId="77777777" w:rsidR="006E2974" w:rsidRPr="00FD50F6" w:rsidRDefault="006E2974" w:rsidP="00C70434">
            <w:pPr>
              <w:pStyle w:val="7"/>
            </w:pPr>
            <w:r w:rsidRPr="00FD50F6">
              <w:t>困难时最小长度</w:t>
            </w:r>
            <w:r w:rsidRPr="00FD50F6">
              <w:t>λ</w:t>
            </w:r>
          </w:p>
        </w:tc>
        <w:tc>
          <w:tcPr>
            <w:tcW w:w="1926" w:type="dxa"/>
            <w:vAlign w:val="center"/>
          </w:tcPr>
          <w:p w14:paraId="33C6AD8B" w14:textId="77777777" w:rsidR="006E2974" w:rsidRPr="00FD50F6" w:rsidRDefault="006E2974" w:rsidP="00C70434">
            <w:pPr>
              <w:pStyle w:val="7"/>
            </w:pPr>
            <w:r w:rsidRPr="00FD50F6">
              <w:t>A</w:t>
            </w:r>
            <w:r w:rsidRPr="00FD50F6">
              <w:t>型车</w:t>
            </w:r>
          </w:p>
        </w:tc>
        <w:tc>
          <w:tcPr>
            <w:tcW w:w="1876" w:type="dxa"/>
            <w:vAlign w:val="center"/>
          </w:tcPr>
          <w:p w14:paraId="67FC89F5" w14:textId="77777777" w:rsidR="006E2974" w:rsidRPr="00FD50F6" w:rsidRDefault="006E2974" w:rsidP="00C70434">
            <w:pPr>
              <w:pStyle w:val="7"/>
            </w:pPr>
            <w:r w:rsidRPr="00FD50F6">
              <w:t>B</w:t>
            </w:r>
            <w:r w:rsidRPr="00FD50F6">
              <w:t>型车</w:t>
            </w:r>
          </w:p>
        </w:tc>
      </w:tr>
      <w:tr w:rsidR="00FD50F6" w:rsidRPr="00FD50F6" w14:paraId="2CF6650D" w14:textId="77777777" w:rsidTr="00C70434">
        <w:trPr>
          <w:trHeight w:val="372"/>
          <w:jc w:val="center"/>
        </w:trPr>
        <w:tc>
          <w:tcPr>
            <w:tcW w:w="1662" w:type="dxa"/>
            <w:vMerge/>
            <w:vAlign w:val="center"/>
          </w:tcPr>
          <w:p w14:paraId="25CFC793" w14:textId="77777777" w:rsidR="006E2974" w:rsidRPr="00FD50F6" w:rsidRDefault="006E2974" w:rsidP="00C70434">
            <w:pPr>
              <w:pStyle w:val="7"/>
            </w:pPr>
          </w:p>
        </w:tc>
        <w:tc>
          <w:tcPr>
            <w:tcW w:w="2808" w:type="dxa"/>
            <w:vMerge/>
            <w:vAlign w:val="center"/>
          </w:tcPr>
          <w:p w14:paraId="2F280761" w14:textId="77777777" w:rsidR="006E2974" w:rsidRPr="00FD50F6" w:rsidRDefault="006E2974" w:rsidP="00C70434">
            <w:pPr>
              <w:pStyle w:val="7"/>
            </w:pPr>
          </w:p>
        </w:tc>
        <w:tc>
          <w:tcPr>
            <w:tcW w:w="1926" w:type="dxa"/>
            <w:vAlign w:val="center"/>
          </w:tcPr>
          <w:p w14:paraId="2DAFD7D3" w14:textId="77777777" w:rsidR="006E2974" w:rsidRPr="00FD50F6" w:rsidRDefault="006E2974" w:rsidP="00C70434">
            <w:pPr>
              <w:pStyle w:val="7"/>
            </w:pPr>
            <w:r w:rsidRPr="00FD50F6">
              <w:t>25</w:t>
            </w:r>
          </w:p>
        </w:tc>
        <w:tc>
          <w:tcPr>
            <w:tcW w:w="1876" w:type="dxa"/>
            <w:vAlign w:val="center"/>
          </w:tcPr>
          <w:p w14:paraId="4DF78D59" w14:textId="77777777" w:rsidR="006E2974" w:rsidRPr="00FD50F6" w:rsidRDefault="006E2974" w:rsidP="00C70434">
            <w:pPr>
              <w:pStyle w:val="7"/>
            </w:pPr>
            <w:r w:rsidRPr="00FD50F6">
              <w:t>20</w:t>
            </w:r>
          </w:p>
        </w:tc>
      </w:tr>
    </w:tbl>
    <w:p w14:paraId="43066E4F" w14:textId="77777777" w:rsidR="006E2974" w:rsidRPr="00FB2A8E" w:rsidRDefault="006E2974" w:rsidP="00FB2A8E">
      <w:pPr>
        <w:pStyle w:val="4"/>
        <w:numPr>
          <w:ilvl w:val="0"/>
          <w:numId w:val="0"/>
        </w:numPr>
        <w:rPr>
          <w:sz w:val="21"/>
          <w:szCs w:val="21"/>
        </w:rPr>
      </w:pPr>
      <w:r w:rsidRPr="00FB2A8E">
        <w:rPr>
          <w:rFonts w:hint="eastAsia"/>
          <w:sz w:val="21"/>
          <w:szCs w:val="21"/>
        </w:rPr>
        <w:t>注：</w:t>
      </w:r>
      <w:r w:rsidRPr="00FB2A8E">
        <w:rPr>
          <w:sz w:val="21"/>
          <w:szCs w:val="21"/>
        </w:rPr>
        <w:t xml:space="preserve"> </w:t>
      </w:r>
      <w:r w:rsidRPr="00FB2A8E">
        <w:rPr>
          <w:i/>
          <w:sz w:val="21"/>
          <w:szCs w:val="21"/>
        </w:rPr>
        <w:t>V</w:t>
      </w:r>
      <w:r w:rsidRPr="00FB2A8E">
        <w:rPr>
          <w:rFonts w:hint="eastAsia"/>
          <w:sz w:val="21"/>
          <w:szCs w:val="21"/>
        </w:rPr>
        <w:t>为列车通过夹直线的运行速度（</w:t>
      </w:r>
      <w:r w:rsidRPr="00FB2A8E">
        <w:rPr>
          <w:sz w:val="21"/>
          <w:szCs w:val="21"/>
        </w:rPr>
        <w:t>km/h</w:t>
      </w:r>
      <w:r w:rsidRPr="00FB2A8E">
        <w:rPr>
          <w:rFonts w:hint="eastAsia"/>
          <w:sz w:val="21"/>
          <w:szCs w:val="21"/>
        </w:rPr>
        <w:t>）。</w:t>
      </w:r>
    </w:p>
    <w:p w14:paraId="68C29A53" w14:textId="77777777" w:rsidR="006E2974" w:rsidRPr="00FD50F6" w:rsidRDefault="006E2974" w:rsidP="00A926BD">
      <w:pPr>
        <w:pStyle w:val="4"/>
      </w:pPr>
      <w:r w:rsidRPr="00FD50F6">
        <w:rPr>
          <w:rFonts w:hint="eastAsia"/>
        </w:rPr>
        <w:t>道岔缩短渡线，不载客的其曲线间夹直线可缩短为</w:t>
      </w:r>
      <w:r w:rsidRPr="00FD50F6">
        <w:t>10m</w:t>
      </w:r>
      <w:r w:rsidRPr="00FD50F6">
        <w:rPr>
          <w:rFonts w:hint="eastAsia"/>
        </w:rPr>
        <w:t>，载客的其曲线间夹直线宜为</w:t>
      </w:r>
      <w:r w:rsidRPr="00FD50F6">
        <w:rPr>
          <w:rFonts w:hint="eastAsia"/>
        </w:rPr>
        <w:t>20m</w:t>
      </w:r>
      <w:r w:rsidRPr="00FD50F6">
        <w:rPr>
          <w:rFonts w:hint="eastAsia"/>
        </w:rPr>
        <w:t>。</w:t>
      </w:r>
    </w:p>
    <w:p w14:paraId="0CA742E3" w14:textId="77777777" w:rsidR="006E2974" w:rsidRPr="00FD50F6" w:rsidRDefault="006E2974" w:rsidP="006E2974">
      <w:pPr>
        <w:pStyle w:val="30"/>
      </w:pPr>
      <w:r w:rsidRPr="00FD50F6">
        <w:t>道岔铺设应符合下列规定：</w:t>
      </w:r>
    </w:p>
    <w:p w14:paraId="07BDC50D" w14:textId="4E99860B" w:rsidR="006E2974" w:rsidRPr="00FD50F6" w:rsidRDefault="006E2974" w:rsidP="00A926BD">
      <w:pPr>
        <w:pStyle w:val="4"/>
      </w:pPr>
      <w:r w:rsidRPr="00FD50F6">
        <w:t>正线道岔型号不应小于</w:t>
      </w:r>
      <w:r w:rsidRPr="00FD50F6">
        <w:t>9</w:t>
      </w:r>
      <w:r w:rsidRPr="00FD50F6">
        <w:t>号</w:t>
      </w:r>
      <w:r w:rsidRPr="00FD50F6">
        <w:rPr>
          <w:rFonts w:hint="eastAsia"/>
        </w:rPr>
        <w:t>，</w:t>
      </w:r>
      <w:r w:rsidRPr="00FD50F6">
        <w:t>当</w:t>
      </w:r>
      <w:r w:rsidRPr="00FD50F6">
        <w:rPr>
          <w:rFonts w:hint="eastAsia"/>
        </w:rPr>
        <w:t>9</w:t>
      </w:r>
      <w:r w:rsidRPr="00FD50F6">
        <w:rPr>
          <w:rFonts w:hint="eastAsia"/>
        </w:rPr>
        <w:t>号</w:t>
      </w:r>
      <w:r w:rsidRPr="00FD50F6">
        <w:t>道岔侧向通过速度不能符合</w:t>
      </w:r>
      <w:r w:rsidRPr="00FD50F6">
        <w:rPr>
          <w:rFonts w:hint="eastAsia"/>
        </w:rPr>
        <w:t>运营需求</w:t>
      </w:r>
      <w:r w:rsidRPr="00FD50F6">
        <w:t>时，可经过论证比较，</w:t>
      </w:r>
      <w:r w:rsidR="00C662A1" w:rsidRPr="00FD50F6">
        <w:t>选择</w:t>
      </w:r>
      <w:r w:rsidR="00C662A1" w:rsidRPr="00FD50F6">
        <w:rPr>
          <w:rFonts w:hint="eastAsia"/>
        </w:rPr>
        <w:t>12</w:t>
      </w:r>
      <w:r w:rsidR="00C662A1" w:rsidRPr="00FD50F6">
        <w:rPr>
          <w:rFonts w:hint="eastAsia"/>
        </w:rPr>
        <w:t>及以上大</w:t>
      </w:r>
      <w:r w:rsidR="00C662A1" w:rsidRPr="00FD50F6">
        <w:t>号道岔</w:t>
      </w:r>
      <w:r w:rsidRPr="00FD50F6">
        <w:t>，也可作特殊设计</w:t>
      </w:r>
      <w:r w:rsidRPr="00FD50F6">
        <w:rPr>
          <w:rFonts w:hint="eastAsia"/>
        </w:rPr>
        <w:t>。</w:t>
      </w:r>
    </w:p>
    <w:p w14:paraId="163D3B3F" w14:textId="4D05D4D0" w:rsidR="006E2974" w:rsidRPr="00FD50F6" w:rsidRDefault="006E2974" w:rsidP="00A926BD">
      <w:pPr>
        <w:pStyle w:val="4"/>
        <w:rPr>
          <w:szCs w:val="21"/>
        </w:rPr>
      </w:pPr>
      <w:r w:rsidRPr="00FD50F6">
        <w:t>单渡线和交叉渡线的线间距应符合表</w:t>
      </w:r>
      <w:r w:rsidRPr="00FD50F6">
        <w:t>7.2.4-1</w:t>
      </w:r>
      <w:r w:rsidRPr="00FD50F6">
        <w:t>的规定，特殊情况无法</w:t>
      </w:r>
      <w:r w:rsidRPr="00FD50F6">
        <w:rPr>
          <w:szCs w:val="21"/>
        </w:rPr>
        <w:t>符</w:t>
      </w:r>
      <w:r w:rsidRPr="00FD50F6">
        <w:t>合</w:t>
      </w:r>
      <w:r w:rsidRPr="00FD50F6">
        <w:rPr>
          <w:rFonts w:hint="eastAsia"/>
        </w:rPr>
        <w:t>表</w:t>
      </w:r>
      <w:r w:rsidRPr="00FD50F6">
        <w:t>7.2.4-1</w:t>
      </w:r>
      <w:r w:rsidRPr="00FD50F6">
        <w:rPr>
          <w:rFonts w:hint="eastAsia"/>
        </w:rPr>
        <w:t>的</w:t>
      </w:r>
      <w:r w:rsidRPr="00FD50F6">
        <w:t>规定时，</w:t>
      </w:r>
      <w:r w:rsidRPr="00FD50F6">
        <w:rPr>
          <w:szCs w:val="21"/>
        </w:rPr>
        <w:t>应进行特殊设计</w:t>
      </w:r>
      <w:r w:rsidRPr="00FD50F6">
        <w:rPr>
          <w:rFonts w:hint="eastAsia"/>
        </w:rPr>
        <w:t>。</w:t>
      </w:r>
    </w:p>
    <w:p w14:paraId="4616AA37" w14:textId="39B6D4DC" w:rsidR="006E2974" w:rsidRPr="00FD50F6" w:rsidRDefault="006E2974" w:rsidP="006E2974">
      <w:pPr>
        <w:pStyle w:val="6"/>
      </w:pPr>
      <w:r w:rsidRPr="00FD50F6">
        <w:t>表</w:t>
      </w:r>
      <w:r w:rsidRPr="00FD50F6">
        <w:t xml:space="preserve">7.2.4-1  </w:t>
      </w:r>
      <w:r w:rsidRPr="00FD50F6">
        <w:t>单渡线和交叉渡线的线间距</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0"/>
        <w:gridCol w:w="1810"/>
        <w:gridCol w:w="1711"/>
        <w:gridCol w:w="1469"/>
        <w:gridCol w:w="1728"/>
      </w:tblGrid>
      <w:tr w:rsidR="00B835FD" w:rsidRPr="00FD50F6" w14:paraId="1FB2AB52" w14:textId="77777777" w:rsidTr="00FB2A8E">
        <w:trPr>
          <w:trHeight w:val="429"/>
          <w:jc w:val="center"/>
        </w:trPr>
        <w:tc>
          <w:tcPr>
            <w:tcW w:w="1062" w:type="pct"/>
            <w:vMerge w:val="restart"/>
            <w:tcBorders>
              <w:top w:val="single" w:sz="4" w:space="0" w:color="auto"/>
              <w:left w:val="single" w:sz="4" w:space="0" w:color="auto"/>
              <w:bottom w:val="single" w:sz="4" w:space="0" w:color="auto"/>
              <w:right w:val="single" w:sz="4" w:space="0" w:color="auto"/>
            </w:tcBorders>
            <w:vAlign w:val="center"/>
          </w:tcPr>
          <w:p w14:paraId="1751526A" w14:textId="77777777" w:rsidR="00B835FD" w:rsidRPr="00FD50F6" w:rsidRDefault="00B835FD" w:rsidP="00C70434">
            <w:pPr>
              <w:pStyle w:val="7"/>
            </w:pPr>
            <w:r w:rsidRPr="00FD50F6">
              <w:t>道岔型号</w:t>
            </w:r>
          </w:p>
        </w:tc>
        <w:tc>
          <w:tcPr>
            <w:tcW w:w="1061" w:type="pct"/>
            <w:vMerge w:val="restart"/>
            <w:tcBorders>
              <w:top w:val="single" w:sz="4" w:space="0" w:color="auto"/>
              <w:left w:val="single" w:sz="4" w:space="0" w:color="auto"/>
              <w:bottom w:val="single" w:sz="4" w:space="0" w:color="auto"/>
              <w:right w:val="single" w:sz="4" w:space="0" w:color="auto"/>
            </w:tcBorders>
            <w:vAlign w:val="center"/>
          </w:tcPr>
          <w:p w14:paraId="25D35FE9" w14:textId="77777777" w:rsidR="00B835FD" w:rsidRPr="00FD50F6" w:rsidRDefault="00B835FD" w:rsidP="00C70434">
            <w:pPr>
              <w:pStyle w:val="7"/>
            </w:pPr>
            <w:r w:rsidRPr="00FD50F6">
              <w:t>导曲线半径（</w:t>
            </w:r>
            <w:r w:rsidRPr="00FD50F6">
              <w:t>m</w:t>
            </w:r>
            <w:r w:rsidRPr="00FD50F6">
              <w:t>）</w:t>
            </w:r>
          </w:p>
        </w:tc>
        <w:tc>
          <w:tcPr>
            <w:tcW w:w="1003" w:type="pct"/>
            <w:vMerge w:val="restart"/>
            <w:tcBorders>
              <w:top w:val="single" w:sz="4" w:space="0" w:color="auto"/>
              <w:left w:val="single" w:sz="4" w:space="0" w:color="auto"/>
              <w:bottom w:val="single" w:sz="4" w:space="0" w:color="auto"/>
              <w:right w:val="single" w:sz="4" w:space="0" w:color="auto"/>
            </w:tcBorders>
            <w:vAlign w:val="center"/>
          </w:tcPr>
          <w:p w14:paraId="39133859" w14:textId="77777777" w:rsidR="00B835FD" w:rsidRPr="00FD50F6" w:rsidRDefault="00B835FD" w:rsidP="00C70434">
            <w:pPr>
              <w:pStyle w:val="7"/>
            </w:pPr>
            <w:r w:rsidRPr="00FD50F6">
              <w:t>侧向限速</w:t>
            </w:r>
            <w:r w:rsidRPr="00FD50F6">
              <w:t>(km/h)</w:t>
            </w:r>
          </w:p>
        </w:tc>
        <w:tc>
          <w:tcPr>
            <w:tcW w:w="1874" w:type="pct"/>
            <w:gridSpan w:val="2"/>
            <w:tcBorders>
              <w:top w:val="single" w:sz="4" w:space="0" w:color="auto"/>
              <w:left w:val="single" w:sz="4" w:space="0" w:color="auto"/>
              <w:bottom w:val="single" w:sz="4" w:space="0" w:color="auto"/>
              <w:right w:val="single" w:sz="4" w:space="0" w:color="auto"/>
            </w:tcBorders>
            <w:vAlign w:val="center"/>
          </w:tcPr>
          <w:p w14:paraId="31658BD8" w14:textId="77777777" w:rsidR="00B835FD" w:rsidRPr="00FD50F6" w:rsidRDefault="00B835FD" w:rsidP="00C70434">
            <w:pPr>
              <w:pStyle w:val="7"/>
            </w:pPr>
            <w:r w:rsidRPr="00FD50F6">
              <w:t>线间距（</w:t>
            </w:r>
            <w:r w:rsidRPr="00FD50F6">
              <w:t>m</w:t>
            </w:r>
            <w:r w:rsidRPr="00FD50F6">
              <w:t>）</w:t>
            </w:r>
          </w:p>
        </w:tc>
      </w:tr>
      <w:tr w:rsidR="00B835FD" w:rsidRPr="00FD50F6" w14:paraId="7EDE8430" w14:textId="77777777" w:rsidTr="00FB2A8E">
        <w:trPr>
          <w:trHeight w:val="311"/>
          <w:jc w:val="center"/>
        </w:trPr>
        <w:tc>
          <w:tcPr>
            <w:tcW w:w="1062" w:type="pct"/>
            <w:vMerge/>
            <w:tcBorders>
              <w:top w:val="single" w:sz="4" w:space="0" w:color="auto"/>
              <w:left w:val="single" w:sz="4" w:space="0" w:color="auto"/>
              <w:bottom w:val="single" w:sz="4" w:space="0" w:color="auto"/>
              <w:right w:val="single" w:sz="4" w:space="0" w:color="auto"/>
            </w:tcBorders>
            <w:vAlign w:val="center"/>
          </w:tcPr>
          <w:p w14:paraId="0D6A9E66" w14:textId="77777777" w:rsidR="00B835FD" w:rsidRPr="00FD50F6" w:rsidRDefault="00B835FD" w:rsidP="00C70434">
            <w:pPr>
              <w:pStyle w:val="7"/>
            </w:pPr>
          </w:p>
        </w:tc>
        <w:tc>
          <w:tcPr>
            <w:tcW w:w="1061" w:type="pct"/>
            <w:vMerge/>
            <w:tcBorders>
              <w:top w:val="single" w:sz="4" w:space="0" w:color="auto"/>
              <w:left w:val="single" w:sz="4" w:space="0" w:color="auto"/>
              <w:bottom w:val="single" w:sz="4" w:space="0" w:color="auto"/>
              <w:right w:val="single" w:sz="4" w:space="0" w:color="auto"/>
            </w:tcBorders>
            <w:vAlign w:val="center"/>
          </w:tcPr>
          <w:p w14:paraId="4E4B67B3" w14:textId="77777777" w:rsidR="00B835FD" w:rsidRPr="00FD50F6" w:rsidRDefault="00B835FD" w:rsidP="00C70434">
            <w:pPr>
              <w:pStyle w:val="7"/>
            </w:pPr>
          </w:p>
        </w:tc>
        <w:tc>
          <w:tcPr>
            <w:tcW w:w="1003" w:type="pct"/>
            <w:vMerge/>
            <w:tcBorders>
              <w:top w:val="single" w:sz="4" w:space="0" w:color="auto"/>
              <w:left w:val="single" w:sz="4" w:space="0" w:color="auto"/>
              <w:bottom w:val="single" w:sz="4" w:space="0" w:color="auto"/>
              <w:right w:val="single" w:sz="4" w:space="0" w:color="auto"/>
            </w:tcBorders>
            <w:vAlign w:val="center"/>
          </w:tcPr>
          <w:p w14:paraId="3DD62428" w14:textId="77777777" w:rsidR="00B835FD" w:rsidRPr="00FD50F6" w:rsidRDefault="00B835FD" w:rsidP="00C70434">
            <w:pPr>
              <w:pStyle w:val="7"/>
            </w:pPr>
          </w:p>
        </w:tc>
        <w:tc>
          <w:tcPr>
            <w:tcW w:w="861" w:type="pct"/>
            <w:tcBorders>
              <w:top w:val="single" w:sz="4" w:space="0" w:color="auto"/>
              <w:left w:val="single" w:sz="4" w:space="0" w:color="auto"/>
              <w:bottom w:val="single" w:sz="4" w:space="0" w:color="auto"/>
              <w:right w:val="single" w:sz="4" w:space="0" w:color="auto"/>
            </w:tcBorders>
            <w:vAlign w:val="center"/>
          </w:tcPr>
          <w:p w14:paraId="5B35DC1C" w14:textId="77777777" w:rsidR="00B835FD" w:rsidRPr="00FD50F6" w:rsidRDefault="00B835FD" w:rsidP="00C70434">
            <w:pPr>
              <w:pStyle w:val="7"/>
            </w:pPr>
            <w:r w:rsidRPr="00FD50F6">
              <w:t>单渡线</w:t>
            </w:r>
          </w:p>
        </w:tc>
        <w:tc>
          <w:tcPr>
            <w:tcW w:w="1013" w:type="pct"/>
            <w:tcBorders>
              <w:top w:val="single" w:sz="4" w:space="0" w:color="auto"/>
              <w:left w:val="single" w:sz="4" w:space="0" w:color="auto"/>
              <w:bottom w:val="single" w:sz="4" w:space="0" w:color="auto"/>
              <w:right w:val="single" w:sz="4" w:space="0" w:color="auto"/>
            </w:tcBorders>
            <w:vAlign w:val="center"/>
          </w:tcPr>
          <w:p w14:paraId="3C4A063F" w14:textId="77777777" w:rsidR="00B835FD" w:rsidRPr="00FD50F6" w:rsidRDefault="00B835FD" w:rsidP="00C70434">
            <w:pPr>
              <w:pStyle w:val="7"/>
            </w:pPr>
            <w:r w:rsidRPr="00FD50F6">
              <w:t>交叉渡线</w:t>
            </w:r>
          </w:p>
        </w:tc>
      </w:tr>
      <w:tr w:rsidR="00B835FD" w:rsidRPr="00FD50F6" w14:paraId="353616CE" w14:textId="77777777" w:rsidTr="00FB2A8E">
        <w:trPr>
          <w:trHeight w:val="355"/>
          <w:jc w:val="center"/>
        </w:trPr>
        <w:tc>
          <w:tcPr>
            <w:tcW w:w="1062" w:type="pct"/>
            <w:tcBorders>
              <w:top w:val="single" w:sz="4" w:space="0" w:color="auto"/>
              <w:left w:val="single" w:sz="4" w:space="0" w:color="auto"/>
              <w:bottom w:val="single" w:sz="4" w:space="0" w:color="auto"/>
              <w:right w:val="single" w:sz="4" w:space="0" w:color="auto"/>
            </w:tcBorders>
            <w:vAlign w:val="center"/>
          </w:tcPr>
          <w:p w14:paraId="4E7DF242" w14:textId="77777777" w:rsidR="00B835FD" w:rsidRPr="00FD50F6" w:rsidRDefault="00B835FD" w:rsidP="00C70434">
            <w:pPr>
              <w:pStyle w:val="7"/>
            </w:pPr>
            <w:r w:rsidRPr="00FD50F6">
              <w:t>9</w:t>
            </w:r>
          </w:p>
        </w:tc>
        <w:tc>
          <w:tcPr>
            <w:tcW w:w="1061" w:type="pct"/>
            <w:tcBorders>
              <w:top w:val="single" w:sz="4" w:space="0" w:color="auto"/>
              <w:left w:val="single" w:sz="4" w:space="0" w:color="auto"/>
              <w:bottom w:val="single" w:sz="4" w:space="0" w:color="auto"/>
              <w:right w:val="single" w:sz="4" w:space="0" w:color="auto"/>
            </w:tcBorders>
            <w:vAlign w:val="center"/>
          </w:tcPr>
          <w:p w14:paraId="50C3B620" w14:textId="77777777" w:rsidR="00B835FD" w:rsidRPr="00FD50F6" w:rsidRDefault="00B835FD" w:rsidP="00C70434">
            <w:pPr>
              <w:pStyle w:val="7"/>
            </w:pPr>
            <w:r w:rsidRPr="00FD50F6">
              <w:t>200</w:t>
            </w:r>
          </w:p>
        </w:tc>
        <w:tc>
          <w:tcPr>
            <w:tcW w:w="1003" w:type="pct"/>
            <w:tcBorders>
              <w:top w:val="single" w:sz="4" w:space="0" w:color="auto"/>
              <w:left w:val="single" w:sz="4" w:space="0" w:color="auto"/>
              <w:bottom w:val="single" w:sz="4" w:space="0" w:color="auto"/>
              <w:right w:val="single" w:sz="4" w:space="0" w:color="auto"/>
            </w:tcBorders>
            <w:vAlign w:val="center"/>
          </w:tcPr>
          <w:p w14:paraId="7F2ED5E5" w14:textId="77777777" w:rsidR="00B835FD" w:rsidRPr="00FD50F6" w:rsidRDefault="00B835FD" w:rsidP="00C70434">
            <w:pPr>
              <w:pStyle w:val="7"/>
            </w:pPr>
            <w:r w:rsidRPr="00FD50F6">
              <w:t>35</w:t>
            </w:r>
          </w:p>
        </w:tc>
        <w:tc>
          <w:tcPr>
            <w:tcW w:w="861" w:type="pct"/>
            <w:tcBorders>
              <w:top w:val="single" w:sz="4" w:space="0" w:color="auto"/>
              <w:left w:val="single" w:sz="4" w:space="0" w:color="auto"/>
              <w:bottom w:val="single" w:sz="4" w:space="0" w:color="auto"/>
              <w:right w:val="single" w:sz="4" w:space="0" w:color="auto"/>
            </w:tcBorders>
            <w:vAlign w:val="center"/>
          </w:tcPr>
          <w:p w14:paraId="42D09E17" w14:textId="3DEB56C3" w:rsidR="00B835FD" w:rsidRPr="00FD50F6" w:rsidRDefault="00B835FD" w:rsidP="00C70434">
            <w:pPr>
              <w:pStyle w:val="7"/>
            </w:pPr>
            <w:r>
              <w:rPr>
                <w:rFonts w:ascii="宋体" w:hAnsi="宋体" w:hint="eastAsia"/>
              </w:rPr>
              <w:t>≥</w:t>
            </w:r>
            <w:r w:rsidRPr="00FD50F6">
              <w:t>4.2</w:t>
            </w:r>
          </w:p>
        </w:tc>
        <w:tc>
          <w:tcPr>
            <w:tcW w:w="1013" w:type="pct"/>
            <w:tcBorders>
              <w:top w:val="single" w:sz="4" w:space="0" w:color="auto"/>
              <w:left w:val="single" w:sz="4" w:space="0" w:color="auto"/>
              <w:bottom w:val="single" w:sz="4" w:space="0" w:color="auto"/>
              <w:right w:val="single" w:sz="4" w:space="0" w:color="auto"/>
            </w:tcBorders>
            <w:vAlign w:val="center"/>
          </w:tcPr>
          <w:p w14:paraId="584DA169" w14:textId="77777777" w:rsidR="00B835FD" w:rsidRPr="00FD50F6" w:rsidRDefault="00B835FD" w:rsidP="00C70434">
            <w:pPr>
              <w:pStyle w:val="7"/>
            </w:pPr>
            <w:r w:rsidRPr="00FD50F6">
              <w:t>5.0</w:t>
            </w:r>
          </w:p>
        </w:tc>
      </w:tr>
      <w:tr w:rsidR="00C662A1" w:rsidRPr="00FD50F6" w14:paraId="7F95EABB" w14:textId="77777777" w:rsidTr="00FB2A8E">
        <w:trPr>
          <w:trHeight w:val="355"/>
          <w:jc w:val="center"/>
        </w:trPr>
        <w:tc>
          <w:tcPr>
            <w:tcW w:w="1062" w:type="pct"/>
            <w:tcBorders>
              <w:top w:val="single" w:sz="4" w:space="0" w:color="auto"/>
              <w:left w:val="single" w:sz="4" w:space="0" w:color="auto"/>
              <w:bottom w:val="single" w:sz="4" w:space="0" w:color="auto"/>
              <w:right w:val="single" w:sz="4" w:space="0" w:color="auto"/>
            </w:tcBorders>
            <w:vAlign w:val="center"/>
          </w:tcPr>
          <w:p w14:paraId="17589929" w14:textId="77777777" w:rsidR="00C662A1" w:rsidRPr="00FD50F6" w:rsidRDefault="00C662A1" w:rsidP="00C662A1">
            <w:pPr>
              <w:pStyle w:val="7"/>
            </w:pPr>
            <w:r w:rsidRPr="00FD50F6">
              <w:rPr>
                <w:rFonts w:hint="eastAsia"/>
              </w:rPr>
              <w:t>12</w:t>
            </w:r>
          </w:p>
        </w:tc>
        <w:tc>
          <w:tcPr>
            <w:tcW w:w="1061" w:type="pct"/>
            <w:tcBorders>
              <w:top w:val="single" w:sz="4" w:space="0" w:color="auto"/>
              <w:left w:val="single" w:sz="4" w:space="0" w:color="auto"/>
              <w:bottom w:val="single" w:sz="4" w:space="0" w:color="auto"/>
              <w:right w:val="single" w:sz="4" w:space="0" w:color="auto"/>
            </w:tcBorders>
            <w:vAlign w:val="center"/>
          </w:tcPr>
          <w:p w14:paraId="3CF874DD" w14:textId="77777777" w:rsidR="00C662A1" w:rsidRPr="00FD50F6" w:rsidRDefault="00C662A1" w:rsidP="00C662A1">
            <w:pPr>
              <w:pStyle w:val="7"/>
            </w:pPr>
            <w:r w:rsidRPr="00FD50F6">
              <w:rPr>
                <w:rFonts w:hint="eastAsia"/>
              </w:rPr>
              <w:t>350</w:t>
            </w:r>
          </w:p>
        </w:tc>
        <w:tc>
          <w:tcPr>
            <w:tcW w:w="1003" w:type="pct"/>
            <w:tcBorders>
              <w:top w:val="single" w:sz="4" w:space="0" w:color="auto"/>
              <w:left w:val="single" w:sz="4" w:space="0" w:color="auto"/>
              <w:bottom w:val="single" w:sz="4" w:space="0" w:color="auto"/>
              <w:right w:val="single" w:sz="4" w:space="0" w:color="auto"/>
            </w:tcBorders>
            <w:vAlign w:val="center"/>
          </w:tcPr>
          <w:p w14:paraId="22A81A41" w14:textId="77777777" w:rsidR="00C662A1" w:rsidRPr="00FD50F6" w:rsidRDefault="00C662A1" w:rsidP="00C662A1">
            <w:pPr>
              <w:pStyle w:val="7"/>
            </w:pPr>
            <w:r w:rsidRPr="00FD50F6">
              <w:rPr>
                <w:rFonts w:hint="eastAsia"/>
              </w:rPr>
              <w:t>50</w:t>
            </w:r>
          </w:p>
        </w:tc>
        <w:tc>
          <w:tcPr>
            <w:tcW w:w="861" w:type="pct"/>
            <w:tcBorders>
              <w:top w:val="single" w:sz="4" w:space="0" w:color="auto"/>
              <w:left w:val="single" w:sz="4" w:space="0" w:color="auto"/>
              <w:bottom w:val="single" w:sz="4" w:space="0" w:color="auto"/>
              <w:right w:val="single" w:sz="4" w:space="0" w:color="auto"/>
            </w:tcBorders>
          </w:tcPr>
          <w:p w14:paraId="111EF5BA" w14:textId="0E402DE3" w:rsidR="00C662A1" w:rsidRPr="00FD50F6" w:rsidRDefault="00C662A1" w:rsidP="00C662A1">
            <w:pPr>
              <w:pStyle w:val="7"/>
            </w:pPr>
            <w:r>
              <w:rPr>
                <w:rFonts w:ascii="宋体" w:hAnsi="宋体" w:hint="eastAsia"/>
              </w:rPr>
              <w:t>≥</w:t>
            </w:r>
            <w:r>
              <w:rPr>
                <w:rFonts w:ascii="宋体" w:hAnsi="宋体" w:cs="宋体" w:hint="eastAsia"/>
              </w:rPr>
              <w:t>4</w:t>
            </w:r>
            <w:r w:rsidRPr="00FD50F6">
              <w:t>.</w:t>
            </w:r>
            <w:r>
              <w:rPr>
                <w:rFonts w:hint="eastAsia"/>
              </w:rPr>
              <w:t>6</w:t>
            </w:r>
          </w:p>
        </w:tc>
        <w:tc>
          <w:tcPr>
            <w:tcW w:w="1013" w:type="pct"/>
            <w:tcBorders>
              <w:top w:val="single" w:sz="4" w:space="0" w:color="auto"/>
              <w:left w:val="single" w:sz="4" w:space="0" w:color="auto"/>
              <w:bottom w:val="single" w:sz="4" w:space="0" w:color="auto"/>
              <w:right w:val="single" w:sz="4" w:space="0" w:color="auto"/>
            </w:tcBorders>
          </w:tcPr>
          <w:p w14:paraId="2603EC88" w14:textId="4F2D0CBE" w:rsidR="00C662A1" w:rsidRPr="00FD50F6" w:rsidRDefault="00C662A1" w:rsidP="00C662A1">
            <w:pPr>
              <w:pStyle w:val="7"/>
            </w:pPr>
            <w:r w:rsidRPr="00E6139B">
              <w:rPr>
                <w:rFonts w:hint="eastAsia"/>
              </w:rPr>
              <w:t>5.0</w:t>
            </w:r>
          </w:p>
        </w:tc>
      </w:tr>
    </w:tbl>
    <w:p w14:paraId="136BD5D8" w14:textId="77777777" w:rsidR="006E2974" w:rsidRPr="00FB2A8E" w:rsidRDefault="006E2974" w:rsidP="00FB2A8E">
      <w:pPr>
        <w:pStyle w:val="4"/>
        <w:numPr>
          <w:ilvl w:val="0"/>
          <w:numId w:val="0"/>
        </w:numPr>
        <w:rPr>
          <w:sz w:val="21"/>
          <w:szCs w:val="21"/>
        </w:rPr>
      </w:pPr>
      <w:r w:rsidRPr="00FB2A8E">
        <w:rPr>
          <w:sz w:val="21"/>
          <w:szCs w:val="21"/>
        </w:rPr>
        <w:t>注：</w:t>
      </w:r>
      <w:r w:rsidRPr="00FB2A8E">
        <w:rPr>
          <w:sz w:val="21"/>
          <w:szCs w:val="21"/>
        </w:rPr>
        <w:t xml:space="preserve"> </w:t>
      </w:r>
      <w:r w:rsidRPr="00FB2A8E">
        <w:rPr>
          <w:sz w:val="21"/>
          <w:szCs w:val="21"/>
        </w:rPr>
        <w:t>正线道岔为含折返线、出入线在正线接轨的道岔。</w:t>
      </w:r>
    </w:p>
    <w:p w14:paraId="2AF76D8D" w14:textId="5FAD9029" w:rsidR="006E2974" w:rsidRPr="00FD50F6" w:rsidRDefault="006E2974" w:rsidP="00A926BD">
      <w:pPr>
        <w:pStyle w:val="4"/>
      </w:pPr>
      <w:r w:rsidRPr="00FD50F6">
        <w:rPr>
          <w:rFonts w:hint="eastAsia"/>
        </w:rPr>
        <w:t>在车站端部接轨采用</w:t>
      </w:r>
      <w:r w:rsidRPr="00FD50F6">
        <w:t>9</w:t>
      </w:r>
      <w:r w:rsidRPr="00FD50F6">
        <w:rPr>
          <w:rFonts w:hint="eastAsia"/>
        </w:rPr>
        <w:t>号道岔时，道岔前端，道岔中心至有效站台端部距离不宜小于</w:t>
      </w:r>
      <w:r w:rsidRPr="00FD50F6">
        <w:t>2</w:t>
      </w:r>
      <w:r w:rsidRPr="00FD50F6">
        <w:rPr>
          <w:rFonts w:hint="eastAsia"/>
        </w:rPr>
        <w:t>2</w:t>
      </w:r>
      <w:r w:rsidRPr="00FD50F6">
        <w:t>m</w:t>
      </w:r>
      <w:r w:rsidRPr="00FD50F6">
        <w:rPr>
          <w:rFonts w:hint="eastAsia"/>
        </w:rPr>
        <w:t>；道岔后端，道岔警冲标或出站信号机至有效站台端部距离不应小于</w:t>
      </w:r>
      <w:r w:rsidRPr="00FD50F6">
        <w:t>5m</w:t>
      </w:r>
      <w:r w:rsidRPr="00FD50F6">
        <w:rPr>
          <w:rFonts w:hint="eastAsia"/>
        </w:rPr>
        <w:t>。当采用</w:t>
      </w:r>
      <w:r w:rsidRPr="00FD50F6">
        <w:rPr>
          <w:rFonts w:hint="eastAsia"/>
        </w:rPr>
        <w:t>12</w:t>
      </w:r>
      <w:r w:rsidRPr="00FD50F6">
        <w:rPr>
          <w:rFonts w:hint="eastAsia"/>
        </w:rPr>
        <w:t>号及以上型号道岔时，道岔位置应根据道岔型号和信号布置研究确定。</w:t>
      </w:r>
    </w:p>
    <w:p w14:paraId="713288E5" w14:textId="042C8464" w:rsidR="006E2974" w:rsidRPr="00FD50F6" w:rsidRDefault="006E2974" w:rsidP="00A926BD">
      <w:pPr>
        <w:pStyle w:val="4"/>
      </w:pPr>
      <w:r w:rsidRPr="00FD50F6">
        <w:t>道岔应设在直线地段。道岔两端与平、竖曲线端部应保持一定的直线距离，其值不应小于表</w:t>
      </w:r>
      <w:r w:rsidRPr="00FD50F6">
        <w:t xml:space="preserve">7.2.4-2 </w:t>
      </w:r>
      <w:r w:rsidRPr="00FD50F6">
        <w:t>的规定</w:t>
      </w:r>
      <w:r w:rsidRPr="00FD50F6">
        <w:rPr>
          <w:rFonts w:hint="eastAsia"/>
        </w:rPr>
        <w:t>。</w:t>
      </w:r>
    </w:p>
    <w:p w14:paraId="3ABAAEC1" w14:textId="42187C4A" w:rsidR="006E2974" w:rsidRPr="00FD50F6" w:rsidRDefault="006E2974" w:rsidP="006E2974">
      <w:pPr>
        <w:pStyle w:val="6"/>
        <w:rPr>
          <w:b/>
        </w:rPr>
      </w:pPr>
      <w:r w:rsidRPr="00FD50F6">
        <w:t>表</w:t>
      </w:r>
      <w:r w:rsidRPr="00FD50F6">
        <w:t xml:space="preserve">7.2.4-2  </w:t>
      </w:r>
      <w:r w:rsidRPr="00FD50F6">
        <w:t>道岔两端与平、竖曲线端部的最小距离</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212"/>
        <w:gridCol w:w="2364"/>
        <w:gridCol w:w="2952"/>
      </w:tblGrid>
      <w:tr w:rsidR="00FD50F6" w:rsidRPr="00FD50F6" w14:paraId="00DAAFAD" w14:textId="77777777" w:rsidTr="00FB2A8E">
        <w:trPr>
          <w:trHeight w:hRule="exact" w:val="369"/>
          <w:jc w:val="center"/>
        </w:trPr>
        <w:tc>
          <w:tcPr>
            <w:tcW w:w="1883" w:type="pct"/>
            <w:vMerge w:val="restart"/>
            <w:vAlign w:val="center"/>
          </w:tcPr>
          <w:p w14:paraId="26CEFBCE" w14:textId="77777777" w:rsidR="006E2974" w:rsidRPr="00FD50F6" w:rsidRDefault="006E2974" w:rsidP="00C70434">
            <w:pPr>
              <w:pStyle w:val="7"/>
            </w:pPr>
            <w:r w:rsidRPr="00FD50F6">
              <w:t>项</w:t>
            </w:r>
            <w:r w:rsidRPr="00FD50F6">
              <w:t xml:space="preserve">  </w:t>
            </w:r>
            <w:r w:rsidRPr="00FD50F6">
              <w:t>目</w:t>
            </w:r>
          </w:p>
        </w:tc>
        <w:tc>
          <w:tcPr>
            <w:tcW w:w="3117" w:type="pct"/>
            <w:gridSpan w:val="2"/>
            <w:vAlign w:val="center"/>
          </w:tcPr>
          <w:p w14:paraId="6D9ED192" w14:textId="77777777" w:rsidR="006E2974" w:rsidRPr="00FD50F6" w:rsidRDefault="006E2974" w:rsidP="00C70434">
            <w:pPr>
              <w:pStyle w:val="7"/>
            </w:pPr>
            <w:r w:rsidRPr="00FD50F6">
              <w:t>至平面曲线端或竖曲线端</w:t>
            </w:r>
          </w:p>
        </w:tc>
      </w:tr>
      <w:tr w:rsidR="00FD50F6" w:rsidRPr="00FD50F6" w14:paraId="075E7F2F" w14:textId="77777777" w:rsidTr="00FB2A8E">
        <w:trPr>
          <w:trHeight w:hRule="exact" w:val="369"/>
          <w:jc w:val="center"/>
        </w:trPr>
        <w:tc>
          <w:tcPr>
            <w:tcW w:w="1883" w:type="pct"/>
            <w:vMerge/>
            <w:vAlign w:val="center"/>
          </w:tcPr>
          <w:p w14:paraId="60922709" w14:textId="77777777" w:rsidR="006E2974" w:rsidRPr="00FD50F6" w:rsidRDefault="006E2974" w:rsidP="00C70434">
            <w:pPr>
              <w:pStyle w:val="7"/>
            </w:pPr>
          </w:p>
        </w:tc>
        <w:tc>
          <w:tcPr>
            <w:tcW w:w="1386" w:type="pct"/>
            <w:vAlign w:val="center"/>
          </w:tcPr>
          <w:p w14:paraId="61F05E08" w14:textId="77777777" w:rsidR="006E2974" w:rsidRPr="00FD50F6" w:rsidRDefault="006E2974" w:rsidP="00C70434">
            <w:pPr>
              <w:pStyle w:val="7"/>
            </w:pPr>
            <w:r w:rsidRPr="00FD50F6">
              <w:t>正线</w:t>
            </w:r>
          </w:p>
        </w:tc>
        <w:tc>
          <w:tcPr>
            <w:tcW w:w="1731" w:type="pct"/>
            <w:vAlign w:val="center"/>
          </w:tcPr>
          <w:p w14:paraId="5D545570" w14:textId="77777777" w:rsidR="006E2974" w:rsidRPr="00FD50F6" w:rsidRDefault="006E2974" w:rsidP="00C70434">
            <w:pPr>
              <w:pStyle w:val="7"/>
            </w:pPr>
            <w:r w:rsidRPr="00FD50F6">
              <w:t>车场线</w:t>
            </w:r>
          </w:p>
        </w:tc>
      </w:tr>
      <w:tr w:rsidR="00FD50F6" w:rsidRPr="00FD50F6" w14:paraId="07583584" w14:textId="77777777" w:rsidTr="00FB2A8E">
        <w:trPr>
          <w:trHeight w:hRule="exact" w:val="369"/>
          <w:jc w:val="center"/>
        </w:trPr>
        <w:tc>
          <w:tcPr>
            <w:tcW w:w="1883" w:type="pct"/>
            <w:vAlign w:val="center"/>
          </w:tcPr>
          <w:p w14:paraId="4F41EB37" w14:textId="77777777" w:rsidR="006E2974" w:rsidRPr="00FD50F6" w:rsidRDefault="006E2974" w:rsidP="00C70434">
            <w:pPr>
              <w:pStyle w:val="7"/>
            </w:pPr>
            <w:r w:rsidRPr="00FD50F6">
              <w:t>道岔型号</w:t>
            </w:r>
          </w:p>
        </w:tc>
        <w:tc>
          <w:tcPr>
            <w:tcW w:w="1386" w:type="pct"/>
            <w:vAlign w:val="center"/>
          </w:tcPr>
          <w:p w14:paraId="2EE97F36" w14:textId="77777777" w:rsidR="006E2974" w:rsidRPr="00FD50F6" w:rsidRDefault="006E2974" w:rsidP="00C70434">
            <w:pPr>
              <w:pStyle w:val="7"/>
            </w:pPr>
            <w:r w:rsidRPr="00FD50F6">
              <w:t>60kg/m-1/9</w:t>
            </w:r>
          </w:p>
        </w:tc>
        <w:tc>
          <w:tcPr>
            <w:tcW w:w="1731" w:type="pct"/>
            <w:vAlign w:val="center"/>
          </w:tcPr>
          <w:p w14:paraId="4EC2197A" w14:textId="77777777" w:rsidR="006E2974" w:rsidRPr="00FD50F6" w:rsidRDefault="006E2974" w:rsidP="00C70434">
            <w:pPr>
              <w:pStyle w:val="7"/>
            </w:pPr>
            <w:r w:rsidRPr="00FD50F6">
              <w:t>50kg/m-1/7</w:t>
            </w:r>
          </w:p>
        </w:tc>
      </w:tr>
      <w:tr w:rsidR="00FD50F6" w:rsidRPr="00FD50F6" w14:paraId="5D58540D" w14:textId="77777777" w:rsidTr="00FB2A8E">
        <w:trPr>
          <w:trHeight w:hRule="exact" w:val="369"/>
          <w:jc w:val="center"/>
        </w:trPr>
        <w:tc>
          <w:tcPr>
            <w:tcW w:w="1883" w:type="pct"/>
            <w:vAlign w:val="center"/>
          </w:tcPr>
          <w:p w14:paraId="5E09B469" w14:textId="77777777" w:rsidR="006E2974" w:rsidRPr="00FD50F6" w:rsidRDefault="006E2974" w:rsidP="00C70434">
            <w:pPr>
              <w:pStyle w:val="7"/>
            </w:pPr>
            <w:r w:rsidRPr="00FD50F6">
              <w:t>道岔前端／后端</w:t>
            </w:r>
          </w:p>
        </w:tc>
        <w:tc>
          <w:tcPr>
            <w:tcW w:w="1386" w:type="pct"/>
            <w:vAlign w:val="center"/>
          </w:tcPr>
          <w:p w14:paraId="355B0779" w14:textId="77777777" w:rsidR="006E2974" w:rsidRPr="00FD50F6" w:rsidRDefault="006E2974" w:rsidP="00C70434">
            <w:pPr>
              <w:pStyle w:val="7"/>
            </w:pPr>
            <w:r w:rsidRPr="00FD50F6">
              <w:t>5/5</w:t>
            </w:r>
            <w:r w:rsidRPr="00FD50F6">
              <w:t>（</w:t>
            </w:r>
            <w:r w:rsidRPr="00FD50F6">
              <w:t>m</w:t>
            </w:r>
            <w:r w:rsidRPr="00FD50F6">
              <w:t>）</w:t>
            </w:r>
          </w:p>
        </w:tc>
        <w:tc>
          <w:tcPr>
            <w:tcW w:w="1731" w:type="pct"/>
            <w:vAlign w:val="center"/>
          </w:tcPr>
          <w:p w14:paraId="003A72F2" w14:textId="77777777" w:rsidR="006E2974" w:rsidRPr="00FD50F6" w:rsidRDefault="006E2974" w:rsidP="00C70434">
            <w:pPr>
              <w:pStyle w:val="7"/>
            </w:pPr>
            <w:r w:rsidRPr="00FD50F6">
              <w:t>3/3</w:t>
            </w:r>
            <w:r w:rsidRPr="00FD50F6">
              <w:t>（</w:t>
            </w:r>
            <w:r w:rsidRPr="00FD50F6">
              <w:t>m</w:t>
            </w:r>
            <w:r w:rsidRPr="00FD50F6">
              <w:t>）</w:t>
            </w:r>
          </w:p>
        </w:tc>
      </w:tr>
    </w:tbl>
    <w:p w14:paraId="3C24B8AA" w14:textId="77777777" w:rsidR="006E2974" w:rsidRPr="00FB2A8E" w:rsidRDefault="006E2974" w:rsidP="00FB2A8E">
      <w:pPr>
        <w:pStyle w:val="4"/>
        <w:numPr>
          <w:ilvl w:val="0"/>
          <w:numId w:val="0"/>
        </w:numPr>
        <w:rPr>
          <w:sz w:val="21"/>
          <w:szCs w:val="21"/>
        </w:rPr>
      </w:pPr>
      <w:r w:rsidRPr="00FB2A8E">
        <w:rPr>
          <w:rFonts w:hint="eastAsia"/>
          <w:sz w:val="21"/>
          <w:szCs w:val="21"/>
        </w:rPr>
        <w:t>注：道岔后端至站台端位置应按道岔警冲标位置控制。</w:t>
      </w:r>
    </w:p>
    <w:p w14:paraId="67CD302A" w14:textId="373E6C3C" w:rsidR="006E2974" w:rsidRPr="00FD50F6" w:rsidRDefault="006E2974" w:rsidP="00A926BD">
      <w:pPr>
        <w:pStyle w:val="4"/>
      </w:pPr>
      <w:r w:rsidRPr="00FD50F6">
        <w:t>道岔附带曲线可不设缓和曲线和超高，但曲线半径不应小于道岔导曲线半径</w:t>
      </w:r>
      <w:r w:rsidRPr="00FD50F6">
        <w:rPr>
          <w:rFonts w:hint="eastAsia"/>
        </w:rPr>
        <w:t>。</w:t>
      </w:r>
    </w:p>
    <w:p w14:paraId="45BDB65D" w14:textId="36FCFC93" w:rsidR="006E2974" w:rsidRPr="00FD50F6" w:rsidRDefault="006E2974" w:rsidP="00A926BD">
      <w:pPr>
        <w:pStyle w:val="4"/>
      </w:pPr>
      <w:r w:rsidRPr="00FD50F6">
        <w:t>两组道岔之间应设置直线段钢轨连接，钢轨长度不应小于表</w:t>
      </w:r>
      <w:r w:rsidRPr="00FD50F6">
        <w:t>7.2.4</w:t>
      </w:r>
      <w:r w:rsidRPr="00FD50F6">
        <w:rPr>
          <w:rFonts w:hint="eastAsia"/>
        </w:rPr>
        <w:t>-</w:t>
      </w:r>
      <w:r w:rsidRPr="00FD50F6">
        <w:t xml:space="preserve">3 </w:t>
      </w:r>
      <w:r w:rsidRPr="00FD50F6">
        <w:t>的规定。</w:t>
      </w:r>
    </w:p>
    <w:p w14:paraId="1A09F856" w14:textId="22726FF1" w:rsidR="006E2974" w:rsidRPr="00FD50F6" w:rsidRDefault="006E2974" w:rsidP="006E2974">
      <w:pPr>
        <w:pStyle w:val="6"/>
      </w:pPr>
      <w:r w:rsidRPr="00FD50F6">
        <w:lastRenderedPageBreak/>
        <w:t>表</w:t>
      </w:r>
      <w:r w:rsidRPr="00FD50F6">
        <w:t xml:space="preserve">7.2.4-3  </w:t>
      </w:r>
      <w:r w:rsidRPr="00FD50F6">
        <w:t>道岔间插入钢轨长度（</w:t>
      </w:r>
      <w:r w:rsidRPr="00FD50F6">
        <w:t>m</w:t>
      </w:r>
      <w:r w:rsidRPr="00FD50F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86"/>
        <w:gridCol w:w="1329"/>
        <w:gridCol w:w="1397"/>
        <w:gridCol w:w="1728"/>
      </w:tblGrid>
      <w:tr w:rsidR="00FD50F6" w:rsidRPr="00FD50F6" w14:paraId="68B7639B" w14:textId="77777777" w:rsidTr="00FB2A8E">
        <w:trPr>
          <w:trHeight w:hRule="exact" w:val="372"/>
        </w:trPr>
        <w:tc>
          <w:tcPr>
            <w:tcW w:w="2371" w:type="pct"/>
            <w:gridSpan w:val="2"/>
            <w:vMerge w:val="restart"/>
            <w:vAlign w:val="center"/>
          </w:tcPr>
          <w:p w14:paraId="0B88B9F6" w14:textId="77777777" w:rsidR="006E2974" w:rsidRPr="00FD50F6" w:rsidRDefault="006E2974" w:rsidP="00C70434">
            <w:pPr>
              <w:pStyle w:val="7"/>
            </w:pPr>
            <w:r w:rsidRPr="00FD50F6">
              <w:t>道岔布置相对位置</w:t>
            </w:r>
          </w:p>
        </w:tc>
        <w:tc>
          <w:tcPr>
            <w:tcW w:w="785" w:type="pct"/>
            <w:vMerge w:val="restart"/>
            <w:vAlign w:val="center"/>
          </w:tcPr>
          <w:p w14:paraId="1752C71F" w14:textId="77777777" w:rsidR="006E2974" w:rsidRPr="00FD50F6" w:rsidRDefault="006E2974" w:rsidP="00C70434">
            <w:pPr>
              <w:pStyle w:val="7"/>
            </w:pPr>
            <w:r w:rsidRPr="00FD50F6">
              <w:t>线别</w:t>
            </w:r>
          </w:p>
        </w:tc>
        <w:tc>
          <w:tcPr>
            <w:tcW w:w="1845" w:type="pct"/>
            <w:gridSpan w:val="2"/>
            <w:vAlign w:val="center"/>
          </w:tcPr>
          <w:p w14:paraId="5DAD9EF1" w14:textId="77777777" w:rsidR="006E2974" w:rsidRPr="00FD50F6" w:rsidRDefault="006E2974" w:rsidP="00C70434">
            <w:pPr>
              <w:pStyle w:val="7"/>
            </w:pPr>
            <w:r w:rsidRPr="00FD50F6">
              <w:t>插入钢轨长度</w:t>
            </w:r>
            <w:r w:rsidRPr="00FD50F6">
              <w:t>L</w:t>
            </w:r>
            <w:r w:rsidRPr="00FD50F6">
              <w:t>（按轨缝中心）</w:t>
            </w:r>
          </w:p>
        </w:tc>
      </w:tr>
      <w:tr w:rsidR="00FD50F6" w:rsidRPr="00FD50F6" w14:paraId="4ED28BD1" w14:textId="77777777" w:rsidTr="00FB2A8E">
        <w:trPr>
          <w:trHeight w:hRule="exact" w:val="372"/>
        </w:trPr>
        <w:tc>
          <w:tcPr>
            <w:tcW w:w="2371" w:type="pct"/>
            <w:gridSpan w:val="2"/>
            <w:vMerge/>
            <w:vAlign w:val="center"/>
          </w:tcPr>
          <w:p w14:paraId="5E752C44" w14:textId="77777777" w:rsidR="006E2974" w:rsidRPr="00FD50F6" w:rsidRDefault="006E2974" w:rsidP="00C70434">
            <w:pPr>
              <w:pStyle w:val="7"/>
            </w:pPr>
          </w:p>
        </w:tc>
        <w:tc>
          <w:tcPr>
            <w:tcW w:w="785" w:type="pct"/>
            <w:vMerge/>
            <w:vAlign w:val="center"/>
          </w:tcPr>
          <w:p w14:paraId="50300950" w14:textId="77777777" w:rsidR="006E2974" w:rsidRPr="00FD50F6" w:rsidRDefault="006E2974" w:rsidP="00C70434">
            <w:pPr>
              <w:pStyle w:val="7"/>
            </w:pPr>
          </w:p>
        </w:tc>
        <w:tc>
          <w:tcPr>
            <w:tcW w:w="825" w:type="pct"/>
            <w:vAlign w:val="center"/>
          </w:tcPr>
          <w:p w14:paraId="5DE22F62" w14:textId="77777777" w:rsidR="006E2974" w:rsidRPr="00FD50F6" w:rsidRDefault="006E2974" w:rsidP="00C70434">
            <w:pPr>
              <w:pStyle w:val="7"/>
            </w:pPr>
            <w:r w:rsidRPr="00FD50F6">
              <w:t>一般地段</w:t>
            </w:r>
          </w:p>
        </w:tc>
        <w:tc>
          <w:tcPr>
            <w:tcW w:w="1020" w:type="pct"/>
            <w:vAlign w:val="center"/>
          </w:tcPr>
          <w:p w14:paraId="49409CF7" w14:textId="77777777" w:rsidR="006E2974" w:rsidRPr="00FD50F6" w:rsidRDefault="006E2974" w:rsidP="00C70434">
            <w:pPr>
              <w:pStyle w:val="7"/>
            </w:pPr>
            <w:r w:rsidRPr="00FD50F6">
              <w:t>困难地段</w:t>
            </w:r>
          </w:p>
        </w:tc>
      </w:tr>
      <w:tr w:rsidR="00FD50F6" w:rsidRPr="00FD50F6" w14:paraId="2EC3AC15" w14:textId="77777777" w:rsidTr="00FB2A8E">
        <w:trPr>
          <w:trHeight w:hRule="exact" w:val="372"/>
        </w:trPr>
        <w:tc>
          <w:tcPr>
            <w:tcW w:w="703" w:type="pct"/>
            <w:vMerge w:val="restart"/>
            <w:vAlign w:val="center"/>
          </w:tcPr>
          <w:p w14:paraId="7E4AB3D4" w14:textId="77777777" w:rsidR="006E2974" w:rsidRPr="00FD50F6" w:rsidRDefault="006E2974" w:rsidP="00C70434">
            <w:pPr>
              <w:pStyle w:val="7"/>
            </w:pPr>
            <w:r w:rsidRPr="00FD50F6">
              <w:t>两组道岔前端对向布置</w:t>
            </w:r>
          </w:p>
        </w:tc>
        <w:tc>
          <w:tcPr>
            <w:tcW w:w="1667" w:type="pct"/>
            <w:vMerge w:val="restart"/>
            <w:vAlign w:val="center"/>
          </w:tcPr>
          <w:p w14:paraId="12E1C33B" w14:textId="2DCB8D37" w:rsidR="006E2974" w:rsidRPr="00FD50F6" w:rsidRDefault="000C34BB" w:rsidP="00C70434">
            <w:pPr>
              <w:pStyle w:val="7"/>
            </w:pPr>
            <w:r>
              <w:rPr>
                <w:noProof/>
              </w:rPr>
              <mc:AlternateContent>
                <mc:Choice Requires="wps">
                  <w:drawing>
                    <wp:anchor distT="0" distB="0" distL="114300" distR="114300" simplePos="0" relativeHeight="251674624" behindDoc="0" locked="0" layoutInCell="1" allowOverlap="1" wp14:anchorId="1E1D416F" wp14:editId="71F3B74A">
                      <wp:simplePos x="0" y="0"/>
                      <wp:positionH relativeFrom="column">
                        <wp:posOffset>775970</wp:posOffset>
                      </wp:positionH>
                      <wp:positionV relativeFrom="paragraph">
                        <wp:posOffset>22860</wp:posOffset>
                      </wp:positionV>
                      <wp:extent cx="146050" cy="187960"/>
                      <wp:effectExtent l="4445" t="4445" r="1905" b="0"/>
                      <wp:wrapNone/>
                      <wp:docPr id="116"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E22EF" w14:textId="77777777" w:rsidR="00BF2787" w:rsidRDefault="00BF2787" w:rsidP="006E2974">
                                  <w:pPr>
                                    <w:rPr>
                                      <w:sz w:val="15"/>
                                      <w:szCs w:val="15"/>
                                    </w:rPr>
                                  </w:pPr>
                                  <w:r>
                                    <w:rPr>
                                      <w:rFonts w:hint="eastAsia"/>
                                      <w:sz w:val="15"/>
                                      <w:szCs w:val="15"/>
                                    </w:rPr>
                                    <w:t>L</w:t>
                                  </w:r>
                                </w:p>
                              </w:txbxContent>
                            </wps:txbx>
                            <wps:bodyPr rot="0" vert="horz" wrap="square" lIns="27940" tIns="13970" rIns="27940" bIns="139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416F" id="文本框 323" o:spid="_x0000_s1027" type="#_x0000_t202" style="position:absolute;left:0;text-align:left;margin-left:61.1pt;margin-top:1.8pt;width:11.5pt;height:1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" stroked="f">
                      <v:textbox inset="2.2pt,1.1pt,2.2pt,1.1pt">
                        <w:txbxContent>
                          <w:p w14:paraId="2BBE22EF" w14:textId="77777777" w:rsidR="00BF2787" w:rsidRDefault="00BF2787" w:rsidP="006E2974">
                            <w:pPr>
                              <w:rPr>
                                <w:sz w:val="15"/>
                                <w:szCs w:val="15"/>
                              </w:rPr>
                            </w:pPr>
                            <w:r>
                              <w:rPr>
                                <w:rFonts w:hint="eastAsia"/>
                                <w:sz w:val="15"/>
                                <w:szCs w:val="15"/>
                              </w:rPr>
                              <w:t>L</w:t>
                            </w:r>
                          </w:p>
                        </w:txbxContent>
                      </v:textbox>
                    </v:shape>
                  </w:pict>
                </mc:Fallback>
              </mc:AlternateContent>
            </w:r>
            <w:r>
              <w:rPr>
                <w:noProof/>
              </w:rPr>
              <mc:AlternateContent>
                <mc:Choice Requires="wpg">
                  <w:drawing>
                    <wp:inline distT="0" distB="0" distL="0" distR="0" wp14:anchorId="2A53CBB3" wp14:editId="0E13C3E1">
                      <wp:extent cx="1351915" cy="495300"/>
                      <wp:effectExtent l="5080" t="635" r="0" b="8890"/>
                      <wp:docPr id="102" name="组合 7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351915" cy="495300"/>
                                <a:chOff x="0" y="0"/>
                                <a:chExt cx="13519" cy="4953"/>
                              </a:xfrm>
                            </wpg:grpSpPr>
                            <wps:wsp>
                              <wps:cNvPr id="103" name="Picture 3"/>
                              <wps:cNvSpPr>
                                <a:spLocks noChangeAspect="1" noChangeArrowheads="1"/>
                              </wps:cNvSpPr>
                              <wps:spPr bwMode="auto">
                                <a:xfrm>
                                  <a:off x="0" y="0"/>
                                  <a:ext cx="13519"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969"/>
                              <wps:cNvCnPr>
                                <a:cxnSpLocks noChangeShapeType="1"/>
                              </wps:cNvCnPr>
                              <wps:spPr bwMode="auto">
                                <a:xfrm>
                                  <a:off x="17" y="3542"/>
                                  <a:ext cx="5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970"/>
                              <wps:cNvCnPr>
                                <a:cxnSpLocks noChangeShapeType="1"/>
                              </wps:cNvCnPr>
                              <wps:spPr bwMode="auto">
                                <a:xfrm>
                                  <a:off x="6048" y="3542"/>
                                  <a:ext cx="1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971"/>
                              <wps:cNvCnPr>
                                <a:cxnSpLocks noChangeShapeType="1"/>
                              </wps:cNvCnPr>
                              <wps:spPr bwMode="auto">
                                <a:xfrm>
                                  <a:off x="8456" y="3542"/>
                                  <a:ext cx="4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972"/>
                              <wps:cNvCnPr>
                                <a:cxnSpLocks noChangeShapeType="1"/>
                              </wps:cNvCnPr>
                              <wps:spPr bwMode="auto">
                                <a:xfrm flipH="1" flipV="1">
                                  <a:off x="17" y="2150"/>
                                  <a:ext cx="3213" cy="1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973"/>
                              <wps:cNvCnPr>
                                <a:cxnSpLocks noChangeShapeType="1"/>
                              </wps:cNvCnPr>
                              <wps:spPr bwMode="auto">
                                <a:xfrm>
                                  <a:off x="10065" y="3542"/>
                                  <a:ext cx="3213" cy="1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974"/>
                              <wps:cNvCnPr>
                                <a:cxnSpLocks noChangeShapeType="1"/>
                              </wps:cNvCnPr>
                              <wps:spPr bwMode="auto">
                                <a:xfrm>
                                  <a:off x="5244" y="319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975"/>
                              <wps:cNvCnPr>
                                <a:cxnSpLocks noChangeShapeType="1"/>
                              </wps:cNvCnPr>
                              <wps:spPr bwMode="auto">
                                <a:xfrm>
                                  <a:off x="6048" y="3196"/>
                                  <a:ext cx="0" cy="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976"/>
                              <wps:cNvCnPr>
                                <a:cxnSpLocks noChangeShapeType="1"/>
                              </wps:cNvCnPr>
                              <wps:spPr bwMode="auto">
                                <a:xfrm>
                                  <a:off x="7652" y="3190"/>
                                  <a:ext cx="0" cy="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977"/>
                              <wps:cNvCnPr>
                                <a:cxnSpLocks noChangeShapeType="1"/>
                              </wps:cNvCnPr>
                              <wps:spPr bwMode="auto">
                                <a:xfrm>
                                  <a:off x="8456" y="3190"/>
                                  <a:ext cx="6"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978"/>
                              <wps:cNvCnPr>
                                <a:cxnSpLocks noChangeShapeType="1"/>
                              </wps:cNvCnPr>
                              <wps:spPr bwMode="auto">
                                <a:xfrm>
                                  <a:off x="5643" y="1457"/>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979"/>
                              <wps:cNvCnPr>
                                <a:cxnSpLocks noChangeShapeType="1"/>
                              </wps:cNvCnPr>
                              <wps:spPr bwMode="auto">
                                <a:xfrm flipV="1">
                                  <a:off x="8057" y="1457"/>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980"/>
                              <wps:cNvCnPr>
                                <a:cxnSpLocks noChangeShapeType="1"/>
                              </wps:cNvCnPr>
                              <wps:spPr bwMode="auto">
                                <a:xfrm>
                                  <a:off x="5643" y="1803"/>
                                  <a:ext cx="24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D0BE9C" id="组合 74" o:spid="_x0000_s1026" style="width:106.45pt;height:39pt;mso-position-horizontal-relative:char;mso-position-vertical-relative:line" coordsize="13519,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">
                      <o:lock v:ext="edit" rotation="t" position="t"/>
                      <v:rect id="Picture 3" o:spid="_x0000_s1027" style="position:absolute;width:1351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VlwwAAANwAAAAPAAAAZHJzL2Rvd25yZXYueG1sRE/basJA&#10;EH0X+g/LFPoiumkF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3qAFZcMAAADcAAAADwAA&#10;AAAAAAAAAAAAAAAHAgAAZHJzL2Rvd25yZXYueG1sUEsFBgAAAAADAAMAtwAAAPcCAAAAAA==&#10;" filled="f" stroked="f">
                        <o:lock v:ext="edit" aspectratio="t"/>
                      </v:rect>
                      <v:line id="Line 969" o:spid="_x0000_s1028" style="position:absolute;visibility:visible;mso-wrap-style:square" from="17,3542" to="5244,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970" o:spid="_x0000_s1029" style="position:absolute;visibility:visible;mso-wrap-style:square" from="6048,3542" to="7652,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971" o:spid="_x0000_s1030" style="position:absolute;visibility:visible;mso-wrap-style:square" from="8456,3542" to="12879,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972" o:spid="_x0000_s1031" style="position:absolute;flip:x y;visibility:visible;mso-wrap-style:square" from="17,2150" to="323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"/>
                      <v:line id="Line 973" o:spid="_x0000_s1032" style="position:absolute;visibility:visible;mso-wrap-style:square" from="10065,3542" to="13278,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974" o:spid="_x0000_s1033" style="position:absolute;visibility:visible;mso-wrap-style:square" from="5244,3190" to="5244,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975" o:spid="_x0000_s1034" style="position:absolute;visibility:visible;mso-wrap-style:square" from="6048,3196" to="6048,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976" o:spid="_x0000_s1035" style="position:absolute;visibility:visible;mso-wrap-style:square" from="7652,3190" to="7652,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977" o:spid="_x0000_s1036" style="position:absolute;visibility:visible;mso-wrap-style:square" from="8456,3190" to="8462,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978" o:spid="_x0000_s1037" style="position:absolute;visibility:visible;mso-wrap-style:square" from="5643,1457" to="5643,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979" o:spid="_x0000_s1038" style="position:absolute;flip:y;visibility:visible;mso-wrap-style:square" from="8057,1457" to="8057,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980" o:spid="_x0000_s1039" style="position:absolute;visibility:visible;mso-wrap-style:square" from="5643,1803" to="8057,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w10:anchorlock/>
                    </v:group>
                  </w:pict>
                </mc:Fallback>
              </mc:AlternateContent>
            </w:r>
          </w:p>
        </w:tc>
        <w:tc>
          <w:tcPr>
            <w:tcW w:w="785" w:type="pct"/>
            <w:vAlign w:val="center"/>
          </w:tcPr>
          <w:p w14:paraId="7A0B619B" w14:textId="77777777" w:rsidR="006E2974" w:rsidRPr="00FD50F6" w:rsidRDefault="006E2974" w:rsidP="00C70434">
            <w:pPr>
              <w:pStyle w:val="7"/>
            </w:pPr>
            <w:r w:rsidRPr="00FD50F6">
              <w:t>正线、配线</w:t>
            </w:r>
          </w:p>
        </w:tc>
        <w:tc>
          <w:tcPr>
            <w:tcW w:w="825" w:type="pct"/>
            <w:vAlign w:val="center"/>
          </w:tcPr>
          <w:p w14:paraId="21AC79D6" w14:textId="77777777" w:rsidR="006E2974" w:rsidRPr="00FD50F6" w:rsidRDefault="006E2974" w:rsidP="00C70434">
            <w:pPr>
              <w:pStyle w:val="7"/>
            </w:pPr>
            <w:r w:rsidRPr="00FD50F6">
              <w:t>12.5</w:t>
            </w:r>
          </w:p>
        </w:tc>
        <w:tc>
          <w:tcPr>
            <w:tcW w:w="1020" w:type="pct"/>
            <w:vAlign w:val="center"/>
          </w:tcPr>
          <w:p w14:paraId="70CACA66" w14:textId="77777777" w:rsidR="006E2974" w:rsidRPr="00FD50F6" w:rsidRDefault="006E2974" w:rsidP="00C70434">
            <w:pPr>
              <w:pStyle w:val="7"/>
            </w:pPr>
            <w:r w:rsidRPr="00FD50F6">
              <w:t>6.0</w:t>
            </w:r>
          </w:p>
        </w:tc>
      </w:tr>
      <w:tr w:rsidR="00FD50F6" w:rsidRPr="00FD50F6" w14:paraId="240F2934" w14:textId="77777777" w:rsidTr="00FB2A8E">
        <w:trPr>
          <w:trHeight w:hRule="exact" w:val="480"/>
        </w:trPr>
        <w:tc>
          <w:tcPr>
            <w:tcW w:w="703" w:type="pct"/>
            <w:vMerge/>
            <w:vAlign w:val="center"/>
          </w:tcPr>
          <w:p w14:paraId="23AD7361" w14:textId="77777777" w:rsidR="006E2974" w:rsidRPr="00FD50F6" w:rsidRDefault="006E2974" w:rsidP="00C70434">
            <w:pPr>
              <w:pStyle w:val="7"/>
            </w:pPr>
          </w:p>
        </w:tc>
        <w:tc>
          <w:tcPr>
            <w:tcW w:w="1667" w:type="pct"/>
            <w:vMerge/>
            <w:vAlign w:val="center"/>
          </w:tcPr>
          <w:p w14:paraId="50300A3B" w14:textId="77777777" w:rsidR="006E2974" w:rsidRPr="00FD50F6" w:rsidRDefault="006E2974" w:rsidP="00C70434">
            <w:pPr>
              <w:pStyle w:val="7"/>
            </w:pPr>
          </w:p>
        </w:tc>
        <w:tc>
          <w:tcPr>
            <w:tcW w:w="785" w:type="pct"/>
            <w:vAlign w:val="center"/>
          </w:tcPr>
          <w:p w14:paraId="5E0569E6" w14:textId="77777777" w:rsidR="006E2974" w:rsidRPr="00FD50F6" w:rsidRDefault="006E2974" w:rsidP="00C70434">
            <w:pPr>
              <w:pStyle w:val="7"/>
            </w:pPr>
            <w:r w:rsidRPr="00FD50F6">
              <w:t>车场线</w:t>
            </w:r>
          </w:p>
        </w:tc>
        <w:tc>
          <w:tcPr>
            <w:tcW w:w="825" w:type="pct"/>
            <w:vAlign w:val="center"/>
          </w:tcPr>
          <w:p w14:paraId="10BC8F0C" w14:textId="77777777" w:rsidR="006E2974" w:rsidRPr="00FD50F6" w:rsidRDefault="006E2974" w:rsidP="00C70434">
            <w:pPr>
              <w:pStyle w:val="7"/>
            </w:pPr>
            <w:r w:rsidRPr="00FD50F6">
              <w:t>4.5</w:t>
            </w:r>
          </w:p>
        </w:tc>
        <w:tc>
          <w:tcPr>
            <w:tcW w:w="1020" w:type="pct"/>
            <w:vAlign w:val="center"/>
          </w:tcPr>
          <w:p w14:paraId="2CC887D1" w14:textId="77777777" w:rsidR="006E2974" w:rsidRPr="00FD50F6" w:rsidRDefault="006E2974" w:rsidP="00C70434">
            <w:pPr>
              <w:pStyle w:val="7"/>
            </w:pPr>
            <w:r w:rsidRPr="00FD50F6">
              <w:t>3.0</w:t>
            </w:r>
          </w:p>
        </w:tc>
      </w:tr>
      <w:tr w:rsidR="00FD50F6" w:rsidRPr="00FD50F6" w14:paraId="2BFC852C" w14:textId="77777777" w:rsidTr="00FB2A8E">
        <w:trPr>
          <w:trHeight w:hRule="exact" w:val="372"/>
        </w:trPr>
        <w:tc>
          <w:tcPr>
            <w:tcW w:w="703" w:type="pct"/>
            <w:vMerge w:val="restart"/>
            <w:vAlign w:val="center"/>
          </w:tcPr>
          <w:p w14:paraId="74AC8648" w14:textId="77777777" w:rsidR="006E2974" w:rsidRPr="00FD50F6" w:rsidRDefault="006E2974" w:rsidP="00C70434">
            <w:pPr>
              <w:pStyle w:val="7"/>
            </w:pPr>
            <w:r w:rsidRPr="00FD50F6">
              <w:t>两组道岔前后顺向布置</w:t>
            </w:r>
          </w:p>
        </w:tc>
        <w:tc>
          <w:tcPr>
            <w:tcW w:w="1667" w:type="pct"/>
            <w:vMerge w:val="restart"/>
            <w:vAlign w:val="center"/>
          </w:tcPr>
          <w:p w14:paraId="19A8628F" w14:textId="2FC94A20" w:rsidR="006E2974" w:rsidRPr="00FD50F6" w:rsidRDefault="000C34BB" w:rsidP="00C70434">
            <w:pPr>
              <w:pStyle w:val="7"/>
            </w:pPr>
            <w:r>
              <w:rPr>
                <w:noProof/>
              </w:rPr>
              <mc:AlternateContent>
                <mc:Choice Requires="wpg">
                  <w:drawing>
                    <wp:inline distT="0" distB="0" distL="0" distR="0" wp14:anchorId="66E4F485" wp14:editId="4423E307">
                      <wp:extent cx="1528445" cy="440690"/>
                      <wp:effectExtent l="10160" t="635" r="13970" b="0"/>
                      <wp:docPr id="87" name="组合 9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528445" cy="440690"/>
                                <a:chOff x="0" y="0"/>
                                <a:chExt cx="15284" cy="4406"/>
                              </a:xfrm>
                            </wpg:grpSpPr>
                            <wps:wsp>
                              <wps:cNvPr id="88" name="Picture 87"/>
                              <wps:cNvSpPr>
                                <a:spLocks noChangeAspect="1" noChangeArrowheads="1"/>
                              </wps:cNvSpPr>
                              <wps:spPr bwMode="auto">
                                <a:xfrm>
                                  <a:off x="0" y="0"/>
                                  <a:ext cx="15284" cy="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54"/>
                              <wps:cNvCnPr>
                                <a:cxnSpLocks noChangeShapeType="1"/>
                              </wps:cNvCnPr>
                              <wps:spPr bwMode="auto">
                                <a:xfrm>
                                  <a:off x="31" y="2000"/>
                                  <a:ext cx="508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55"/>
                              <wps:cNvCnPr>
                                <a:cxnSpLocks noChangeShapeType="1"/>
                              </wps:cNvCnPr>
                              <wps:spPr bwMode="auto">
                                <a:xfrm flipV="1">
                                  <a:off x="1879" y="400"/>
                                  <a:ext cx="2775"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956"/>
                              <wps:cNvCnPr>
                                <a:cxnSpLocks noChangeShapeType="1"/>
                              </wps:cNvCnPr>
                              <wps:spPr bwMode="auto">
                                <a:xfrm>
                                  <a:off x="6038" y="2000"/>
                                  <a:ext cx="37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57"/>
                              <wps:cNvCnPr>
                                <a:cxnSpLocks noChangeShapeType="1"/>
                              </wps:cNvCnPr>
                              <wps:spPr bwMode="auto">
                                <a:xfrm>
                                  <a:off x="10661" y="2000"/>
                                  <a:ext cx="4623"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958"/>
                              <wps:cNvCnPr>
                                <a:cxnSpLocks noChangeShapeType="1"/>
                              </wps:cNvCnPr>
                              <wps:spPr bwMode="auto">
                                <a:xfrm flipV="1">
                                  <a:off x="12973" y="800"/>
                                  <a:ext cx="2311"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959"/>
                              <wps:cNvCnPr>
                                <a:cxnSpLocks noChangeShapeType="1"/>
                              </wps:cNvCnPr>
                              <wps:spPr bwMode="auto">
                                <a:xfrm>
                                  <a:off x="5111" y="1600"/>
                                  <a:ext cx="7" cy="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60"/>
                              <wps:cNvCnPr>
                                <a:cxnSpLocks noChangeShapeType="1"/>
                              </wps:cNvCnPr>
                              <wps:spPr bwMode="auto">
                                <a:xfrm>
                                  <a:off x="6038" y="1600"/>
                                  <a:ext cx="0" cy="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61"/>
                              <wps:cNvCnPr>
                                <a:cxnSpLocks noChangeShapeType="1"/>
                              </wps:cNvCnPr>
                              <wps:spPr bwMode="auto">
                                <a:xfrm>
                                  <a:off x="9740" y="1600"/>
                                  <a:ext cx="0" cy="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62"/>
                              <wps:cNvCnPr>
                                <a:cxnSpLocks noChangeShapeType="1"/>
                              </wps:cNvCnPr>
                              <wps:spPr bwMode="auto">
                                <a:xfrm>
                                  <a:off x="10661" y="1600"/>
                                  <a:ext cx="7" cy="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963"/>
                              <wps:cNvCnPr>
                                <a:cxnSpLocks noChangeShapeType="1"/>
                              </wps:cNvCnPr>
                              <wps:spPr bwMode="auto">
                                <a:xfrm>
                                  <a:off x="5575" y="2406"/>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964"/>
                              <wps:cNvCnPr>
                                <a:cxnSpLocks noChangeShapeType="1"/>
                              </wps:cNvCnPr>
                              <wps:spPr bwMode="auto">
                                <a:xfrm>
                                  <a:off x="10198" y="2406"/>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965"/>
                              <wps:cNvCnPr>
                                <a:cxnSpLocks noChangeShapeType="1"/>
                              </wps:cNvCnPr>
                              <wps:spPr bwMode="auto">
                                <a:xfrm flipV="1">
                                  <a:off x="5575" y="4006"/>
                                  <a:ext cx="4623"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966"/>
                              <wps:cNvSpPr txBox="1">
                                <a:spLocks noChangeArrowheads="1"/>
                              </wps:cNvSpPr>
                              <wps:spPr bwMode="auto">
                                <a:xfrm>
                                  <a:off x="7162" y="2178"/>
                                  <a:ext cx="1461"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062A" w14:textId="77777777" w:rsidR="00BF2787" w:rsidRDefault="00BF2787" w:rsidP="006E2974">
                                    <w:pPr>
                                      <w:rPr>
                                        <w:sz w:val="15"/>
                                        <w:szCs w:val="15"/>
                                      </w:rPr>
                                    </w:pPr>
                                    <w:r>
                                      <w:rPr>
                                        <w:rFonts w:hint="eastAsia"/>
                                        <w:sz w:val="15"/>
                                        <w:szCs w:val="15"/>
                                      </w:rPr>
                                      <w:t>L</w:t>
                                    </w:r>
                                  </w:p>
                                </w:txbxContent>
                              </wps:txbx>
                              <wps:bodyPr rot="0" vert="horz" wrap="square" lIns="27940" tIns="13970" rIns="27940" bIns="13970" anchor="t" anchorCtr="0" upright="1">
                                <a:noAutofit/>
                              </wps:bodyPr>
                            </wps:wsp>
                          </wpg:wgp>
                        </a:graphicData>
                      </a:graphic>
                    </wp:inline>
                  </w:drawing>
                </mc:Choice>
                <mc:Fallback>
                  <w:pict>
                    <v:group w14:anchorId="66E4F485" id="组合 90" o:spid="_x0000_s1028" style="width:120.35pt;height:34.7pt;mso-position-horizontal-relative:char;mso-position-vertical-relative:line" coordsize="15284,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">
                      <o:lock v:ext="edit" rotation="t" position="t"/>
                      <v:rect id="Picture 87" o:spid="_x0000_s1029" style="position:absolute;width:15284;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o:lock v:ext="edit" aspectratio="t"/>
                      </v:rect>
                      <v:line id="Line 954" o:spid="_x0000_s1030" style="position:absolute;visibility:visible;mso-wrap-style:square" from="31,2000" to="511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955" o:spid="_x0000_s1031" style="position:absolute;flip:y;visibility:visible;mso-wrap-style:square" from="1879,400" to="465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956" o:spid="_x0000_s1032" style="position:absolute;visibility:visible;mso-wrap-style:square" from="6038,2000" to="974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957" o:spid="_x0000_s1033" style="position:absolute;visibility:visible;mso-wrap-style:square" from="10661,2000" to="1528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958" o:spid="_x0000_s1034" style="position:absolute;flip:y;visibility:visible;mso-wrap-style:square" from="12973,800" to="1528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959" o:spid="_x0000_s1035" style="position:absolute;visibility:visible;mso-wrap-style:square" from="5111,1600" to="5118,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960" o:spid="_x0000_s1036" style="position:absolute;visibility:visible;mso-wrap-style:square" from="6038,1600" to="6038,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961" o:spid="_x0000_s1037" style="position:absolute;visibility:visible;mso-wrap-style:square" from="9740,1600" to="9740,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962" o:spid="_x0000_s1038" style="position:absolute;visibility:visible;mso-wrap-style:square" from="10661,1600" to="10668,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963" o:spid="_x0000_s1039" style="position:absolute;visibility:visible;mso-wrap-style:square" from="5575,2406" to="5575,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964" o:spid="_x0000_s1040" style="position:absolute;visibility:visible;mso-wrap-style:square" from="10198,2406" to="1019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965" o:spid="_x0000_s1041" style="position:absolute;flip:y;visibility:visible;mso-wrap-style:square" from="5575,4006" to="10198,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shape id="Text Box 966" o:spid="_x0000_s1042" type="#_x0000_t202" style="position:absolute;left:7162;top:2178;width:146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" stroked="f">
                        <v:textbox inset="2.2pt,1.1pt,2.2pt,1.1pt">
                          <w:txbxContent>
                            <w:p w14:paraId="384F062A" w14:textId="77777777" w:rsidR="00BF2787" w:rsidRDefault="00BF2787" w:rsidP="006E2974">
                              <w:pPr>
                                <w:rPr>
                                  <w:sz w:val="15"/>
                                  <w:szCs w:val="15"/>
                                </w:rPr>
                              </w:pPr>
                              <w:r>
                                <w:rPr>
                                  <w:rFonts w:hint="eastAsia"/>
                                  <w:sz w:val="15"/>
                                  <w:szCs w:val="15"/>
                                </w:rPr>
                                <w:t>L</w:t>
                              </w:r>
                            </w:p>
                          </w:txbxContent>
                        </v:textbox>
                      </v:shape>
                      <w10:anchorlock/>
                    </v:group>
                  </w:pict>
                </mc:Fallback>
              </mc:AlternateContent>
            </w:r>
          </w:p>
        </w:tc>
        <w:tc>
          <w:tcPr>
            <w:tcW w:w="785" w:type="pct"/>
            <w:vAlign w:val="center"/>
          </w:tcPr>
          <w:p w14:paraId="6BD9B8BA" w14:textId="77777777" w:rsidR="006E2974" w:rsidRPr="00FD50F6" w:rsidRDefault="006E2974" w:rsidP="00C70434">
            <w:pPr>
              <w:pStyle w:val="7"/>
            </w:pPr>
            <w:r w:rsidRPr="00FD50F6">
              <w:t>正线、配线</w:t>
            </w:r>
          </w:p>
        </w:tc>
        <w:tc>
          <w:tcPr>
            <w:tcW w:w="825" w:type="pct"/>
            <w:vAlign w:val="center"/>
          </w:tcPr>
          <w:p w14:paraId="1A909AEE" w14:textId="77777777" w:rsidR="006E2974" w:rsidRPr="00FD50F6" w:rsidRDefault="006E2974" w:rsidP="00C70434">
            <w:pPr>
              <w:pStyle w:val="7"/>
            </w:pPr>
            <w:r w:rsidRPr="00FD50F6">
              <w:t>6.0</w:t>
            </w:r>
          </w:p>
        </w:tc>
        <w:tc>
          <w:tcPr>
            <w:tcW w:w="1020" w:type="pct"/>
            <w:vAlign w:val="center"/>
          </w:tcPr>
          <w:p w14:paraId="38944A8B" w14:textId="77777777" w:rsidR="006E2974" w:rsidRPr="00FD50F6" w:rsidRDefault="006E2974" w:rsidP="00C70434">
            <w:pPr>
              <w:pStyle w:val="7"/>
            </w:pPr>
            <w:r w:rsidRPr="00FD50F6">
              <w:t>4.5</w:t>
            </w:r>
          </w:p>
        </w:tc>
      </w:tr>
      <w:tr w:rsidR="00FD50F6" w:rsidRPr="00FD50F6" w14:paraId="0E5D29A2" w14:textId="77777777" w:rsidTr="00FB2A8E">
        <w:trPr>
          <w:trHeight w:hRule="exact" w:val="475"/>
        </w:trPr>
        <w:tc>
          <w:tcPr>
            <w:tcW w:w="703" w:type="pct"/>
            <w:vMerge/>
            <w:tcBorders>
              <w:bottom w:val="single" w:sz="4" w:space="0" w:color="auto"/>
            </w:tcBorders>
            <w:vAlign w:val="center"/>
          </w:tcPr>
          <w:p w14:paraId="118DB830" w14:textId="77777777" w:rsidR="006E2974" w:rsidRPr="00FD50F6" w:rsidRDefault="006E2974" w:rsidP="00C70434">
            <w:pPr>
              <w:pStyle w:val="7"/>
            </w:pPr>
          </w:p>
        </w:tc>
        <w:tc>
          <w:tcPr>
            <w:tcW w:w="1667" w:type="pct"/>
            <w:vMerge/>
            <w:tcBorders>
              <w:bottom w:val="single" w:sz="4" w:space="0" w:color="auto"/>
            </w:tcBorders>
            <w:vAlign w:val="center"/>
          </w:tcPr>
          <w:p w14:paraId="04DFBCB1" w14:textId="77777777" w:rsidR="006E2974" w:rsidRPr="00FD50F6" w:rsidRDefault="006E2974" w:rsidP="00C70434">
            <w:pPr>
              <w:pStyle w:val="7"/>
            </w:pPr>
          </w:p>
        </w:tc>
        <w:tc>
          <w:tcPr>
            <w:tcW w:w="785" w:type="pct"/>
            <w:tcBorders>
              <w:bottom w:val="single" w:sz="4" w:space="0" w:color="auto"/>
            </w:tcBorders>
            <w:vAlign w:val="center"/>
          </w:tcPr>
          <w:p w14:paraId="16568F12" w14:textId="77777777" w:rsidR="006E2974" w:rsidRPr="00FD50F6" w:rsidRDefault="006E2974" w:rsidP="00C70434">
            <w:pPr>
              <w:pStyle w:val="7"/>
            </w:pPr>
            <w:r w:rsidRPr="00FD50F6">
              <w:t>车场线</w:t>
            </w:r>
          </w:p>
        </w:tc>
        <w:tc>
          <w:tcPr>
            <w:tcW w:w="825" w:type="pct"/>
            <w:tcBorders>
              <w:bottom w:val="single" w:sz="4" w:space="0" w:color="auto"/>
            </w:tcBorders>
            <w:vAlign w:val="center"/>
          </w:tcPr>
          <w:p w14:paraId="11BB64EE" w14:textId="77777777" w:rsidR="006E2974" w:rsidRPr="00FD50F6" w:rsidRDefault="006E2974" w:rsidP="00C70434">
            <w:pPr>
              <w:pStyle w:val="7"/>
            </w:pPr>
            <w:r w:rsidRPr="00FD50F6">
              <w:t>4.5</w:t>
            </w:r>
          </w:p>
        </w:tc>
        <w:tc>
          <w:tcPr>
            <w:tcW w:w="1020" w:type="pct"/>
            <w:tcBorders>
              <w:bottom w:val="single" w:sz="4" w:space="0" w:color="auto"/>
            </w:tcBorders>
            <w:vAlign w:val="center"/>
          </w:tcPr>
          <w:p w14:paraId="5D1BCB90" w14:textId="77777777" w:rsidR="006E2974" w:rsidRPr="00FD50F6" w:rsidRDefault="006E2974" w:rsidP="00C70434">
            <w:pPr>
              <w:pStyle w:val="7"/>
            </w:pPr>
            <w:r w:rsidRPr="00FD50F6">
              <w:t>3.0</w:t>
            </w:r>
          </w:p>
        </w:tc>
      </w:tr>
      <w:tr w:rsidR="00FD50F6" w:rsidRPr="00FD50F6" w14:paraId="380FD9CC" w14:textId="77777777" w:rsidTr="00FB2A8E">
        <w:trPr>
          <w:trHeight w:hRule="exact" w:val="372"/>
        </w:trPr>
        <w:tc>
          <w:tcPr>
            <w:tcW w:w="703" w:type="pct"/>
            <w:vMerge w:val="restart"/>
            <w:vAlign w:val="center"/>
          </w:tcPr>
          <w:p w14:paraId="2712E8EC" w14:textId="77777777" w:rsidR="006E2974" w:rsidRPr="00FD50F6" w:rsidRDefault="006E2974" w:rsidP="00C70434">
            <w:pPr>
              <w:pStyle w:val="7"/>
            </w:pPr>
            <w:r w:rsidRPr="00FD50F6">
              <w:t>两组道岔根端对向布置</w:t>
            </w:r>
          </w:p>
        </w:tc>
        <w:tc>
          <w:tcPr>
            <w:tcW w:w="1667" w:type="pct"/>
            <w:vMerge w:val="restart"/>
            <w:vAlign w:val="center"/>
          </w:tcPr>
          <w:p w14:paraId="1B7E5AA3" w14:textId="158180AA" w:rsidR="006E2974" w:rsidRPr="00FD50F6" w:rsidRDefault="000C34BB" w:rsidP="00C70434">
            <w:pPr>
              <w:pStyle w:val="7"/>
            </w:pPr>
            <w:r>
              <w:rPr>
                <w:noProof/>
              </w:rPr>
              <mc:AlternateContent>
                <mc:Choice Requires="wpg">
                  <w:drawing>
                    <wp:inline distT="0" distB="0" distL="0" distR="0" wp14:anchorId="27037E3B" wp14:editId="4B65A541">
                      <wp:extent cx="1673860" cy="523875"/>
                      <wp:effectExtent l="10160" t="3175" r="11430" b="0"/>
                      <wp:docPr id="7" name="组合 10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673860" cy="523875"/>
                                <a:chOff x="0" y="0"/>
                                <a:chExt cx="16738" cy="5238"/>
                              </a:xfrm>
                            </wpg:grpSpPr>
                            <wps:wsp>
                              <wps:cNvPr id="8" name="Picture 19"/>
                              <wps:cNvSpPr>
                                <a:spLocks noChangeAspect="1" noChangeArrowheads="1"/>
                              </wps:cNvSpPr>
                              <wps:spPr bwMode="auto">
                                <a:xfrm>
                                  <a:off x="0" y="0"/>
                                  <a:ext cx="16738"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939"/>
                              <wps:cNvCnPr>
                                <a:cxnSpLocks noChangeShapeType="1"/>
                              </wps:cNvCnPr>
                              <wps:spPr bwMode="auto">
                                <a:xfrm>
                                  <a:off x="0" y="2419"/>
                                  <a:ext cx="69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940"/>
                              <wps:cNvCnPr>
                                <a:cxnSpLocks noChangeShapeType="1"/>
                              </wps:cNvCnPr>
                              <wps:spPr bwMode="auto">
                                <a:xfrm flipV="1">
                                  <a:off x="2787" y="1206"/>
                                  <a:ext cx="3721" cy="1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941"/>
                              <wps:cNvCnPr>
                                <a:cxnSpLocks noChangeShapeType="1"/>
                              </wps:cNvCnPr>
                              <wps:spPr bwMode="auto">
                                <a:xfrm>
                                  <a:off x="7905" y="2419"/>
                                  <a:ext cx="27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942"/>
                              <wps:cNvCnPr>
                                <a:cxnSpLocks noChangeShapeType="1"/>
                              </wps:cNvCnPr>
                              <wps:spPr bwMode="auto">
                                <a:xfrm>
                                  <a:off x="11620" y="2419"/>
                                  <a:ext cx="5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943"/>
                              <wps:cNvCnPr>
                                <a:cxnSpLocks noChangeShapeType="1"/>
                              </wps:cNvCnPr>
                              <wps:spPr bwMode="auto">
                                <a:xfrm flipV="1">
                                  <a:off x="11620" y="2419"/>
                                  <a:ext cx="3258" cy="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944"/>
                              <wps:cNvCnPr>
                                <a:cxnSpLocks noChangeShapeType="1"/>
                              </wps:cNvCnPr>
                              <wps:spPr bwMode="auto">
                                <a:xfrm flipV="1">
                                  <a:off x="6972" y="2012"/>
                                  <a:ext cx="6"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945"/>
                              <wps:cNvCnPr>
                                <a:cxnSpLocks noChangeShapeType="1"/>
                              </wps:cNvCnPr>
                              <wps:spPr bwMode="auto">
                                <a:xfrm>
                                  <a:off x="7905" y="2012"/>
                                  <a:ext cx="0"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946"/>
                              <wps:cNvCnPr>
                                <a:cxnSpLocks noChangeShapeType="1"/>
                              </wps:cNvCnPr>
                              <wps:spPr bwMode="auto">
                                <a:xfrm>
                                  <a:off x="10693" y="2012"/>
                                  <a:ext cx="0"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947"/>
                              <wps:cNvCnPr>
                                <a:cxnSpLocks noChangeShapeType="1"/>
                              </wps:cNvCnPr>
                              <wps:spPr bwMode="auto">
                                <a:xfrm>
                                  <a:off x="11620" y="2012"/>
                                  <a:ext cx="0"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948"/>
                              <wps:cNvCnPr>
                                <a:cxnSpLocks noChangeShapeType="1"/>
                              </wps:cNvCnPr>
                              <wps:spPr bwMode="auto">
                                <a:xfrm>
                                  <a:off x="7435" y="2825"/>
                                  <a:ext cx="0"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949"/>
                              <wps:cNvCnPr>
                                <a:cxnSpLocks noChangeShapeType="1"/>
                              </wps:cNvCnPr>
                              <wps:spPr bwMode="auto">
                                <a:xfrm>
                                  <a:off x="11156" y="2825"/>
                                  <a:ext cx="0"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950"/>
                              <wps:cNvCnPr>
                                <a:cxnSpLocks noChangeShapeType="1"/>
                              </wps:cNvCnPr>
                              <wps:spPr bwMode="auto">
                                <a:xfrm flipV="1">
                                  <a:off x="7435" y="4432"/>
                                  <a:ext cx="3721"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951"/>
                              <wps:cNvSpPr txBox="1">
                                <a:spLocks noChangeArrowheads="1"/>
                              </wps:cNvSpPr>
                              <wps:spPr bwMode="auto">
                                <a:xfrm>
                                  <a:off x="8724" y="2565"/>
                                  <a:ext cx="1461" cy="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C3CD8" w14:textId="77777777" w:rsidR="00BF2787" w:rsidRDefault="00BF2787" w:rsidP="006E2974">
                                    <w:pPr>
                                      <w:rPr>
                                        <w:sz w:val="15"/>
                                        <w:szCs w:val="15"/>
                                      </w:rPr>
                                    </w:pPr>
                                    <w:r>
                                      <w:rPr>
                                        <w:rFonts w:hint="eastAsia"/>
                                        <w:sz w:val="15"/>
                                        <w:szCs w:val="15"/>
                                      </w:rPr>
                                      <w:t>L</w:t>
                                    </w:r>
                                  </w:p>
                                </w:txbxContent>
                              </wps:txbx>
                              <wps:bodyPr rot="0" vert="horz" wrap="square" lIns="27940" tIns="13970" rIns="27940" bIns="13970" anchor="t" anchorCtr="0" upright="1">
                                <a:noAutofit/>
                              </wps:bodyPr>
                            </wps:wsp>
                          </wpg:wgp>
                        </a:graphicData>
                      </a:graphic>
                    </wp:inline>
                  </w:drawing>
                </mc:Choice>
                <mc:Fallback>
                  <w:pict>
                    <v:group w14:anchorId="27037E3B" id="组合 105" o:spid="_x0000_s1043" style="width:131.8pt;height:41.25pt;mso-position-horizontal-relative:char;mso-position-vertical-relative:line" coordsize="16738,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">
                      <o:lock v:ext="edit" rotation="t" position="t"/>
                      <v:rect id="Picture 19" o:spid="_x0000_s1044" style="position:absolute;width:1673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v:rect>
                      <v:line id="Line 939" o:spid="_x0000_s1045" style="position:absolute;visibility:visible;mso-wrap-style:square" from="0,2419" to="6972,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940" o:spid="_x0000_s1046" style="position:absolute;flip:y;visibility:visible;mso-wrap-style:square" from="2787,1206" to="6508,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941" o:spid="_x0000_s1047" style="position:absolute;visibility:visible;mso-wrap-style:square" from="7905,2419" to="10693,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942" o:spid="_x0000_s1048" style="position:absolute;visibility:visible;mso-wrap-style:square" from="11620,2419" to="16738,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943" o:spid="_x0000_s1049" style="position:absolute;flip:y;visibility:visible;mso-wrap-style:square" from="11620,2419" to="14878,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944" o:spid="_x0000_s1050" style="position:absolute;flip:y;visibility:visible;mso-wrap-style:square" from="6972,2012" to="6978,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945" o:spid="_x0000_s1051" style="position:absolute;visibility:visible;mso-wrap-style:square" from="7905,2012" to="7905,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946" o:spid="_x0000_s1052" style="position:absolute;visibility:visible;mso-wrap-style:square" from="10693,2012" to="1069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947" o:spid="_x0000_s1053" style="position:absolute;visibility:visible;mso-wrap-style:square" from="11620,2012" to="1162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948" o:spid="_x0000_s1054" style="position:absolute;visibility:visible;mso-wrap-style:square" from="7435,2825" to="7435,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949" o:spid="_x0000_s1055" style="position:absolute;visibility:visible;mso-wrap-style:square" from="11156,2825" to="11156,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950" o:spid="_x0000_s1056" style="position:absolute;flip:y;visibility:visible;mso-wrap-style:square" from="7435,4432" to="11156,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shape id="Text Box 951" o:spid="_x0000_s1057" type="#_x0000_t202" style="position:absolute;left:8724;top:2565;width:146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" stroked="f">
                        <v:textbox inset="2.2pt,1.1pt,2.2pt,1.1pt">
                          <w:txbxContent>
                            <w:p w14:paraId="4AAC3CD8" w14:textId="77777777" w:rsidR="00BF2787" w:rsidRDefault="00BF2787" w:rsidP="006E2974">
                              <w:pPr>
                                <w:rPr>
                                  <w:sz w:val="15"/>
                                  <w:szCs w:val="15"/>
                                </w:rPr>
                              </w:pPr>
                              <w:r>
                                <w:rPr>
                                  <w:rFonts w:hint="eastAsia"/>
                                  <w:sz w:val="15"/>
                                  <w:szCs w:val="15"/>
                                </w:rPr>
                                <w:t>L</w:t>
                              </w:r>
                            </w:p>
                          </w:txbxContent>
                        </v:textbox>
                      </v:shape>
                      <w10:anchorlock/>
                    </v:group>
                  </w:pict>
                </mc:Fallback>
              </mc:AlternateContent>
            </w:r>
          </w:p>
        </w:tc>
        <w:tc>
          <w:tcPr>
            <w:tcW w:w="785" w:type="pct"/>
            <w:vAlign w:val="center"/>
          </w:tcPr>
          <w:p w14:paraId="5967DBD5" w14:textId="77777777" w:rsidR="006E2974" w:rsidRPr="00FD50F6" w:rsidRDefault="006E2974" w:rsidP="00C70434">
            <w:pPr>
              <w:pStyle w:val="7"/>
            </w:pPr>
            <w:r w:rsidRPr="00FD50F6">
              <w:t>正线、配线</w:t>
            </w:r>
          </w:p>
        </w:tc>
        <w:tc>
          <w:tcPr>
            <w:tcW w:w="825" w:type="pct"/>
            <w:vAlign w:val="center"/>
          </w:tcPr>
          <w:p w14:paraId="00695233" w14:textId="77777777" w:rsidR="006E2974" w:rsidRPr="00FD50F6" w:rsidRDefault="006E2974" w:rsidP="00C70434">
            <w:pPr>
              <w:pStyle w:val="7"/>
            </w:pPr>
            <w:r w:rsidRPr="00FD50F6">
              <w:t>6.0</w:t>
            </w:r>
          </w:p>
        </w:tc>
        <w:tc>
          <w:tcPr>
            <w:tcW w:w="1020" w:type="pct"/>
            <w:vAlign w:val="center"/>
          </w:tcPr>
          <w:p w14:paraId="63831D81" w14:textId="77777777" w:rsidR="006E2974" w:rsidRPr="00FD50F6" w:rsidRDefault="006E2974" w:rsidP="00C70434">
            <w:pPr>
              <w:pStyle w:val="7"/>
            </w:pPr>
            <w:r w:rsidRPr="00FD50F6">
              <w:rPr>
                <w:rFonts w:hint="eastAsia"/>
              </w:rPr>
              <w:t>4.5</w:t>
            </w:r>
          </w:p>
        </w:tc>
      </w:tr>
      <w:tr w:rsidR="00FD50F6" w:rsidRPr="00FD50F6" w14:paraId="59B5ED23" w14:textId="77777777" w:rsidTr="00FB2A8E">
        <w:trPr>
          <w:trHeight w:hRule="exact" w:val="631"/>
        </w:trPr>
        <w:tc>
          <w:tcPr>
            <w:tcW w:w="703" w:type="pct"/>
            <w:vMerge/>
            <w:vAlign w:val="center"/>
          </w:tcPr>
          <w:p w14:paraId="5323399B" w14:textId="77777777" w:rsidR="006E2974" w:rsidRPr="00FD50F6" w:rsidRDefault="006E2974" w:rsidP="00C70434">
            <w:pPr>
              <w:pStyle w:val="7"/>
            </w:pPr>
          </w:p>
        </w:tc>
        <w:tc>
          <w:tcPr>
            <w:tcW w:w="1667" w:type="pct"/>
            <w:vMerge/>
            <w:vAlign w:val="center"/>
          </w:tcPr>
          <w:p w14:paraId="0965C8A0" w14:textId="77777777" w:rsidR="006E2974" w:rsidRPr="00FD50F6" w:rsidRDefault="006E2974" w:rsidP="00C70434">
            <w:pPr>
              <w:pStyle w:val="7"/>
            </w:pPr>
          </w:p>
        </w:tc>
        <w:tc>
          <w:tcPr>
            <w:tcW w:w="785" w:type="pct"/>
            <w:vAlign w:val="center"/>
          </w:tcPr>
          <w:p w14:paraId="20CE6962" w14:textId="77777777" w:rsidR="006E2974" w:rsidRPr="00FD50F6" w:rsidRDefault="006E2974" w:rsidP="00C70434">
            <w:pPr>
              <w:pStyle w:val="7"/>
            </w:pPr>
            <w:r w:rsidRPr="00FD50F6">
              <w:t>车场线</w:t>
            </w:r>
          </w:p>
        </w:tc>
        <w:tc>
          <w:tcPr>
            <w:tcW w:w="825" w:type="pct"/>
            <w:vAlign w:val="center"/>
          </w:tcPr>
          <w:p w14:paraId="29ADA47A" w14:textId="77777777" w:rsidR="006E2974" w:rsidRPr="00FD50F6" w:rsidRDefault="006E2974" w:rsidP="00C70434">
            <w:pPr>
              <w:pStyle w:val="7"/>
            </w:pPr>
            <w:r w:rsidRPr="00FD50F6">
              <w:t>4.5</w:t>
            </w:r>
          </w:p>
        </w:tc>
        <w:tc>
          <w:tcPr>
            <w:tcW w:w="1020" w:type="pct"/>
            <w:vAlign w:val="center"/>
          </w:tcPr>
          <w:p w14:paraId="058BA7ED" w14:textId="77777777" w:rsidR="006E2974" w:rsidRPr="00FD50F6" w:rsidRDefault="006E2974" w:rsidP="00C70434">
            <w:pPr>
              <w:pStyle w:val="7"/>
            </w:pPr>
            <w:r w:rsidRPr="00FD50F6">
              <w:t>3.0</w:t>
            </w:r>
          </w:p>
        </w:tc>
      </w:tr>
    </w:tbl>
    <w:p w14:paraId="335740D7" w14:textId="77777777" w:rsidR="006E2974" w:rsidRPr="00FD50F6" w:rsidRDefault="006E2974" w:rsidP="006E2974">
      <w:pPr>
        <w:pStyle w:val="aff8"/>
        <w:rPr>
          <w:lang w:bidi="en-US"/>
        </w:rPr>
      </w:pPr>
      <w:bookmarkStart w:id="277" w:name="_Toc236214382"/>
      <w:bookmarkStart w:id="278" w:name="_Toc306203669"/>
      <w:bookmarkStart w:id="279" w:name="_Toc320115641"/>
      <w:bookmarkStart w:id="280" w:name="_Toc320639552"/>
    </w:p>
    <w:p w14:paraId="355F4BE0" w14:textId="77777777" w:rsidR="006E2974" w:rsidRPr="00FD50F6" w:rsidRDefault="006E2974" w:rsidP="00A65181">
      <w:pPr>
        <w:pStyle w:val="2"/>
      </w:pPr>
      <w:bookmarkStart w:id="281" w:name="_Toc344218717"/>
      <w:bookmarkStart w:id="282" w:name="_Toc112830671"/>
      <w:r w:rsidRPr="00FD50F6">
        <w:t>线路纵断面</w:t>
      </w:r>
      <w:bookmarkEnd w:id="277"/>
      <w:bookmarkEnd w:id="278"/>
      <w:bookmarkEnd w:id="279"/>
      <w:bookmarkEnd w:id="280"/>
      <w:bookmarkEnd w:id="281"/>
      <w:bookmarkEnd w:id="282"/>
    </w:p>
    <w:p w14:paraId="23EEAD10" w14:textId="77777777" w:rsidR="006E2974" w:rsidRPr="00FD50F6" w:rsidRDefault="006E2974" w:rsidP="006E2974">
      <w:pPr>
        <w:pStyle w:val="30"/>
      </w:pPr>
      <w:r w:rsidRPr="00FD50F6">
        <w:t>线路坡度设计应符合下列规定：</w:t>
      </w:r>
    </w:p>
    <w:p w14:paraId="16720CBE" w14:textId="2BCA654E" w:rsidR="006E2974" w:rsidRPr="00FD50F6" w:rsidRDefault="006E2974" w:rsidP="00A926BD">
      <w:pPr>
        <w:pStyle w:val="4"/>
      </w:pPr>
      <w:r w:rsidRPr="00FD50F6">
        <w:t>正线的最大坡度宜采用</w:t>
      </w:r>
      <w:r w:rsidRPr="00FD50F6">
        <w:t>30‰</w:t>
      </w:r>
      <w:r w:rsidRPr="00FD50F6">
        <w:t>，困难地段最大坡度可采用</w:t>
      </w:r>
      <w:r w:rsidRPr="00FD50F6">
        <w:t>35‰</w:t>
      </w:r>
      <w:r w:rsidRPr="00FD50F6">
        <w:t>。在特殊地形地区，经技术经济比较，有充分依据时，最大坡度可采用</w:t>
      </w:r>
      <w:r w:rsidRPr="00FD50F6">
        <w:t>4</w:t>
      </w:r>
      <w:r w:rsidRPr="00FD50F6">
        <w:rPr>
          <w:rFonts w:hint="eastAsia"/>
        </w:rPr>
        <w:t>5</w:t>
      </w:r>
      <w:r w:rsidRPr="00FD50F6">
        <w:t>‰</w:t>
      </w:r>
      <w:r w:rsidR="001A4CF3">
        <w:rPr>
          <w:rFonts w:hint="eastAsia"/>
        </w:rPr>
        <w:t>。</w:t>
      </w:r>
    </w:p>
    <w:p w14:paraId="305F84E7" w14:textId="0E9D3D5A" w:rsidR="006E2974" w:rsidRPr="00FD50F6" w:rsidRDefault="006E2974" w:rsidP="00A926BD">
      <w:pPr>
        <w:pStyle w:val="4"/>
      </w:pPr>
      <w:r w:rsidRPr="00FD50F6">
        <w:t>联络线、出入段线的最大坡度</w:t>
      </w:r>
      <w:r w:rsidRPr="00FD50F6">
        <w:rPr>
          <w:rFonts w:hint="eastAsia"/>
        </w:rPr>
        <w:t>不宜超过</w:t>
      </w:r>
      <w:r w:rsidRPr="00FD50F6">
        <w:rPr>
          <w:rFonts w:hint="eastAsia"/>
        </w:rPr>
        <w:t>35</w:t>
      </w:r>
      <w:r w:rsidRPr="00FD50F6">
        <w:t>‰</w:t>
      </w:r>
      <w:r w:rsidRPr="00FD50F6">
        <w:rPr>
          <w:rFonts w:hint="eastAsia"/>
        </w:rPr>
        <w:t>，困难地段不</w:t>
      </w:r>
      <w:r w:rsidRPr="00FD50F6">
        <w:t>宜</w:t>
      </w:r>
      <w:r w:rsidRPr="00FD50F6">
        <w:rPr>
          <w:rFonts w:hint="eastAsia"/>
        </w:rPr>
        <w:t>超过</w:t>
      </w:r>
      <w:r w:rsidRPr="00FD50F6">
        <w:t>40‰</w:t>
      </w:r>
      <w:r w:rsidRPr="00FD50F6">
        <w:t>；地势高差较大的线路</w:t>
      </w:r>
      <w:r w:rsidRPr="00FD50F6">
        <w:rPr>
          <w:rFonts w:hint="eastAsia"/>
        </w:rPr>
        <w:t>，</w:t>
      </w:r>
      <w:r w:rsidRPr="00FD50F6">
        <w:t>在采取相应措施后</w:t>
      </w:r>
      <w:r w:rsidRPr="00FD50F6">
        <w:rPr>
          <w:rFonts w:hint="eastAsia"/>
        </w:rPr>
        <w:t>，</w:t>
      </w:r>
      <w:r w:rsidRPr="00FD50F6">
        <w:t>出入段线的最大坡度可采用</w:t>
      </w:r>
      <w:r w:rsidRPr="00FD50F6">
        <w:rPr>
          <w:rFonts w:hint="eastAsia"/>
        </w:rPr>
        <w:t>50</w:t>
      </w:r>
      <w:r w:rsidRPr="00FD50F6">
        <w:t>‰</w:t>
      </w:r>
      <w:r w:rsidR="001A4CF3">
        <w:rPr>
          <w:rFonts w:hint="eastAsia"/>
        </w:rPr>
        <w:t>。</w:t>
      </w:r>
    </w:p>
    <w:p w14:paraId="5B7A6E61" w14:textId="77777777" w:rsidR="006E2974" w:rsidRPr="00FD50F6" w:rsidRDefault="006E2974" w:rsidP="00A926BD">
      <w:pPr>
        <w:pStyle w:val="4"/>
      </w:pPr>
      <w:r w:rsidRPr="00FD50F6">
        <w:t>区间隧道的线路最小坡度不宜小于</w:t>
      </w:r>
      <w:r w:rsidRPr="00FD50F6">
        <w:rPr>
          <w:rFonts w:hint="eastAsia"/>
        </w:rPr>
        <w:t>5</w:t>
      </w:r>
      <w:r w:rsidRPr="00FD50F6">
        <w:t>‰</w:t>
      </w:r>
      <w:r w:rsidRPr="00FD50F6">
        <w:rPr>
          <w:rFonts w:hint="eastAsia"/>
        </w:rPr>
        <w:t>，</w:t>
      </w:r>
      <w:r w:rsidRPr="00FD50F6">
        <w:t>困难情况下不得小于</w:t>
      </w:r>
      <w:r w:rsidRPr="00FD50F6">
        <w:t>3‰</w:t>
      </w:r>
      <w:r w:rsidRPr="00FD50F6">
        <w:rPr>
          <w:rFonts w:hint="eastAsia"/>
        </w:rPr>
        <w:t>；</w:t>
      </w:r>
      <w:r w:rsidRPr="00FD50F6">
        <w:t>区间地面线和高架线，当具有有效排水措施时，可采用平坡。</w:t>
      </w:r>
    </w:p>
    <w:p w14:paraId="4DDFDC5E" w14:textId="77777777" w:rsidR="006E2974" w:rsidRPr="00FD50F6" w:rsidRDefault="006E2974" w:rsidP="006E2974">
      <w:pPr>
        <w:pStyle w:val="30"/>
      </w:pPr>
      <w:r w:rsidRPr="00FD50F6">
        <w:t>车站及其配线坡度设计应符合下列规定：</w:t>
      </w:r>
    </w:p>
    <w:p w14:paraId="2015DD7E" w14:textId="77777777" w:rsidR="006E2974" w:rsidRPr="00FD50F6" w:rsidRDefault="006E2974" w:rsidP="00A926BD">
      <w:pPr>
        <w:pStyle w:val="4"/>
      </w:pPr>
      <w:r w:rsidRPr="00FD50F6">
        <w:rPr>
          <w:rFonts w:hint="eastAsia"/>
        </w:rPr>
        <w:t>地下</w:t>
      </w:r>
      <w:r w:rsidRPr="00FD50F6">
        <w:t>车站宜布置在纵断面的凸型部位上，可根据具体条件，按节能坡理念，设计合理的进出站坡度和坡段长度</w:t>
      </w:r>
      <w:r w:rsidRPr="00FD50F6">
        <w:rPr>
          <w:rFonts w:hint="eastAsia"/>
        </w:rPr>
        <w:t>。</w:t>
      </w:r>
    </w:p>
    <w:p w14:paraId="01DEDF01" w14:textId="408FEB90" w:rsidR="006E2974" w:rsidRPr="00FD50F6" w:rsidRDefault="006E2974" w:rsidP="00A926BD">
      <w:pPr>
        <w:pStyle w:val="4"/>
      </w:pPr>
      <w:r w:rsidRPr="00FD50F6">
        <w:t>车站站台范围内的线路应设在一个坡道上，坡度宜</w:t>
      </w:r>
      <w:r w:rsidRPr="00FD50F6">
        <w:rPr>
          <w:rFonts w:hint="eastAsia"/>
        </w:rPr>
        <w:t>为</w:t>
      </w:r>
      <w:r w:rsidRPr="00FD50F6">
        <w:rPr>
          <w:rFonts w:hint="eastAsia"/>
        </w:rPr>
        <w:t>2</w:t>
      </w:r>
      <w:r w:rsidRPr="00FD50F6">
        <w:t>‰</w:t>
      </w:r>
      <w:r w:rsidRPr="00FD50F6">
        <w:t>。当车站与周边地块一体化开发或两线采用十字换乘时</w:t>
      </w:r>
      <w:r w:rsidRPr="00FD50F6">
        <w:rPr>
          <w:rFonts w:hint="eastAsia"/>
        </w:rPr>
        <w:t>，</w:t>
      </w:r>
      <w:r w:rsidRPr="00FD50F6">
        <w:t>在采取有效排水措施后</w:t>
      </w:r>
      <w:r w:rsidRPr="00FD50F6">
        <w:rPr>
          <w:rFonts w:hint="eastAsia"/>
        </w:rPr>
        <w:t>，</w:t>
      </w:r>
      <w:r w:rsidRPr="00FD50F6">
        <w:t>可采用平坡</w:t>
      </w:r>
      <w:r w:rsidRPr="00FD50F6">
        <w:rPr>
          <w:rFonts w:hint="eastAsia"/>
        </w:rPr>
        <w:t>。</w:t>
      </w:r>
    </w:p>
    <w:p w14:paraId="5E1DCDA1" w14:textId="6C4CDC49" w:rsidR="006E2974" w:rsidRPr="00FD50F6" w:rsidRDefault="006E2974" w:rsidP="00A926BD">
      <w:pPr>
        <w:pStyle w:val="4"/>
      </w:pPr>
      <w:r w:rsidRPr="00FD50F6">
        <w:t>具有夜间停放车辆功能的配线应布置在面向车挡或区间的下坡道上，隧道内的坡度宜为</w:t>
      </w:r>
      <w:r w:rsidRPr="00FD50F6">
        <w:t>2‰</w:t>
      </w:r>
      <w:r w:rsidRPr="00FD50F6">
        <w:rPr>
          <w:rFonts w:hint="eastAsia"/>
        </w:rPr>
        <w:t>，</w:t>
      </w:r>
      <w:r w:rsidRPr="00FD50F6">
        <w:t>地面和高架桥上</w:t>
      </w:r>
      <w:r w:rsidRPr="00FD50F6">
        <w:rPr>
          <w:rFonts w:hint="eastAsia"/>
        </w:rPr>
        <w:t>的</w:t>
      </w:r>
      <w:r w:rsidRPr="00FD50F6">
        <w:t>坡度不应大于</w:t>
      </w:r>
      <w:r w:rsidRPr="00FD50F6">
        <w:t>1.5‰</w:t>
      </w:r>
      <w:r w:rsidRPr="00FD50F6">
        <w:rPr>
          <w:rFonts w:hint="eastAsia"/>
        </w:rPr>
        <w:t>。</w:t>
      </w:r>
    </w:p>
    <w:p w14:paraId="38667009" w14:textId="77777777" w:rsidR="006E2974" w:rsidRPr="00FD50F6" w:rsidRDefault="006E2974" w:rsidP="00A926BD">
      <w:pPr>
        <w:pStyle w:val="4"/>
      </w:pPr>
      <w:r w:rsidRPr="00FD50F6">
        <w:t>道岔宜设在不大于</w:t>
      </w:r>
      <w:r w:rsidRPr="00FD50F6">
        <w:t>5‰</w:t>
      </w:r>
      <w:r w:rsidRPr="00FD50F6">
        <w:t>的坡道上。在困难地段应采用无砟道床，尖轨后端为固定接头的道岔，可设在不大于</w:t>
      </w:r>
      <w:r w:rsidRPr="00FD50F6">
        <w:t>10‰</w:t>
      </w:r>
      <w:r w:rsidRPr="00FD50F6">
        <w:t>的坡道上</w:t>
      </w:r>
      <w:r w:rsidRPr="00FD50F6">
        <w:rPr>
          <w:rFonts w:hint="eastAsia"/>
        </w:rPr>
        <w:t>。</w:t>
      </w:r>
    </w:p>
    <w:p w14:paraId="4CE4CBE1" w14:textId="77777777" w:rsidR="006E2974" w:rsidRPr="00FD50F6" w:rsidRDefault="006E2974" w:rsidP="006E2974">
      <w:pPr>
        <w:pStyle w:val="30"/>
      </w:pPr>
      <w:r w:rsidRPr="00FD50F6">
        <w:t>坡段与竖曲线设计应符合下列规定：</w:t>
      </w:r>
    </w:p>
    <w:p w14:paraId="006E62F0" w14:textId="77777777" w:rsidR="006E2974" w:rsidRPr="00FD50F6" w:rsidRDefault="006E2974" w:rsidP="00A926BD">
      <w:pPr>
        <w:pStyle w:val="4"/>
      </w:pPr>
      <w:r w:rsidRPr="00FD50F6">
        <w:t>线路坡段长度不宜小于远期列车长度</w:t>
      </w:r>
      <w:r w:rsidRPr="00FD50F6">
        <w:rPr>
          <w:rFonts w:hint="eastAsia"/>
        </w:rPr>
        <w:t>，</w:t>
      </w:r>
      <w:r w:rsidRPr="00FD50F6">
        <w:t>并应满足相邻竖曲线间的夹直线长度不小于</w:t>
      </w:r>
      <w:r w:rsidRPr="00FD50F6">
        <w:t>50m</w:t>
      </w:r>
      <w:r w:rsidRPr="00FD50F6">
        <w:t>的要求；</w:t>
      </w:r>
    </w:p>
    <w:p w14:paraId="25D64FC1" w14:textId="46E6AC7F" w:rsidR="006E2974" w:rsidRPr="00FD50F6" w:rsidRDefault="006E2974" w:rsidP="00A926BD">
      <w:pPr>
        <w:pStyle w:val="4"/>
      </w:pPr>
      <w:r w:rsidRPr="00FD50F6">
        <w:rPr>
          <w:rFonts w:hint="eastAsia"/>
        </w:rPr>
        <w:lastRenderedPageBreak/>
        <w:t>当</w:t>
      </w:r>
      <w:r w:rsidRPr="00FD50F6">
        <w:t>两相邻坡段的坡度代数差等于或大于</w:t>
      </w:r>
      <w:r w:rsidRPr="00FD50F6">
        <w:t>2‰</w:t>
      </w:r>
      <w:r w:rsidRPr="00FD50F6">
        <w:t>时，应设圆曲线型的竖曲线连接</w:t>
      </w:r>
      <w:r w:rsidRPr="00FD50F6">
        <w:rPr>
          <w:rFonts w:hint="eastAsia"/>
        </w:rPr>
        <w:t>，</w:t>
      </w:r>
      <w:r w:rsidRPr="00FD50F6">
        <w:t>竖曲线的半径不应小于表</w:t>
      </w:r>
      <w:r w:rsidRPr="00FD50F6">
        <w:t>7.3.3</w:t>
      </w:r>
      <w:r w:rsidRPr="00FD50F6">
        <w:t>的规定；</w:t>
      </w:r>
    </w:p>
    <w:p w14:paraId="29BE6C4B" w14:textId="1A745763" w:rsidR="006E2974" w:rsidRPr="00FD50F6" w:rsidRDefault="006E2974" w:rsidP="006E2974">
      <w:pPr>
        <w:pStyle w:val="6"/>
      </w:pPr>
      <w:r w:rsidRPr="00FD50F6">
        <w:t>表</w:t>
      </w:r>
      <w:r w:rsidRPr="00FD50F6">
        <w:t xml:space="preserve">7.3.3  </w:t>
      </w:r>
      <w:r w:rsidRPr="00FD50F6">
        <w:t>竖曲线半径</w:t>
      </w:r>
      <w:r w:rsidRPr="00FD50F6">
        <w:t>(m)</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36"/>
        <w:gridCol w:w="1236"/>
        <w:gridCol w:w="1236"/>
        <w:gridCol w:w="1236"/>
        <w:gridCol w:w="1236"/>
      </w:tblGrid>
      <w:tr w:rsidR="00FD50F6" w:rsidRPr="00FD50F6" w14:paraId="2A1323C8" w14:textId="77777777" w:rsidTr="00C70434">
        <w:trPr>
          <w:trHeight w:hRule="exact" w:val="397"/>
          <w:jc w:val="center"/>
        </w:trPr>
        <w:tc>
          <w:tcPr>
            <w:tcW w:w="3050" w:type="dxa"/>
            <w:gridSpan w:val="2"/>
            <w:vMerge w:val="restart"/>
            <w:vAlign w:val="center"/>
          </w:tcPr>
          <w:p w14:paraId="094D3BAC" w14:textId="77777777" w:rsidR="006E2974" w:rsidRPr="00FD50F6" w:rsidRDefault="006E2974" w:rsidP="00C70434">
            <w:pPr>
              <w:pStyle w:val="7"/>
            </w:pPr>
            <w:r w:rsidRPr="00FD50F6">
              <w:t>线别</w:t>
            </w:r>
          </w:p>
        </w:tc>
        <w:tc>
          <w:tcPr>
            <w:tcW w:w="2472" w:type="dxa"/>
            <w:gridSpan w:val="2"/>
          </w:tcPr>
          <w:p w14:paraId="72F6FD13" w14:textId="59A86F5E" w:rsidR="006E2974" w:rsidRPr="00FD50F6" w:rsidRDefault="006E2974" w:rsidP="00B835FD">
            <w:pPr>
              <w:pStyle w:val="7"/>
            </w:pPr>
            <w:r w:rsidRPr="00FD50F6">
              <w:rPr>
                <w:rFonts w:hint="eastAsia"/>
              </w:rPr>
              <w:t>100</w:t>
            </w:r>
            <w:r w:rsidR="003A7917" w:rsidRPr="00FD50F6">
              <w:rPr>
                <w:rFonts w:hint="eastAsia"/>
              </w:rPr>
              <w:t xml:space="preserve"> km/h</w:t>
            </w:r>
            <w:r w:rsidR="00B835FD">
              <w:t>~</w:t>
            </w:r>
            <w:r w:rsidRPr="00FD50F6">
              <w:rPr>
                <w:rFonts w:hint="eastAsia"/>
              </w:rPr>
              <w:t>120km/h</w:t>
            </w:r>
          </w:p>
        </w:tc>
        <w:tc>
          <w:tcPr>
            <w:tcW w:w="2472" w:type="dxa"/>
            <w:gridSpan w:val="2"/>
            <w:vAlign w:val="center"/>
          </w:tcPr>
          <w:p w14:paraId="0857C452" w14:textId="06B59269" w:rsidR="006E2974" w:rsidRPr="00FD50F6" w:rsidRDefault="006E2974" w:rsidP="00C70434">
            <w:pPr>
              <w:pStyle w:val="7"/>
            </w:pPr>
            <w:r w:rsidRPr="00FD50F6">
              <w:rPr>
                <w:rFonts w:hint="eastAsia"/>
              </w:rPr>
              <w:t>80</w:t>
            </w:r>
            <w:r w:rsidR="003A7917" w:rsidRPr="00FD50F6">
              <w:rPr>
                <w:rFonts w:hint="eastAsia"/>
              </w:rPr>
              <w:t xml:space="preserve"> km/h </w:t>
            </w:r>
            <w:r w:rsidR="00B835FD">
              <w:rPr>
                <w:rFonts w:hint="eastAsia"/>
              </w:rPr>
              <w:t>~</w:t>
            </w:r>
            <w:r w:rsidRPr="00FD50F6">
              <w:rPr>
                <w:rFonts w:hint="eastAsia"/>
              </w:rPr>
              <w:t>100km/h</w:t>
            </w:r>
          </w:p>
        </w:tc>
      </w:tr>
      <w:tr w:rsidR="00FD50F6" w:rsidRPr="00FD50F6" w14:paraId="1D76FC16" w14:textId="77777777" w:rsidTr="00C70434">
        <w:trPr>
          <w:trHeight w:hRule="exact" w:val="397"/>
          <w:jc w:val="center"/>
        </w:trPr>
        <w:tc>
          <w:tcPr>
            <w:tcW w:w="3050" w:type="dxa"/>
            <w:gridSpan w:val="2"/>
            <w:vMerge/>
            <w:vAlign w:val="center"/>
          </w:tcPr>
          <w:p w14:paraId="3B5066A7" w14:textId="77777777" w:rsidR="006E2974" w:rsidRPr="00FD50F6" w:rsidRDefault="006E2974" w:rsidP="00C70434">
            <w:pPr>
              <w:pStyle w:val="7"/>
            </w:pPr>
          </w:p>
        </w:tc>
        <w:tc>
          <w:tcPr>
            <w:tcW w:w="1236" w:type="dxa"/>
            <w:vAlign w:val="center"/>
          </w:tcPr>
          <w:p w14:paraId="167EFAF3" w14:textId="77777777" w:rsidR="006E2974" w:rsidRPr="00FD50F6" w:rsidRDefault="006E2974" w:rsidP="00C70434">
            <w:pPr>
              <w:pStyle w:val="7"/>
            </w:pPr>
            <w:r w:rsidRPr="00FD50F6">
              <w:t>一般情况</w:t>
            </w:r>
          </w:p>
        </w:tc>
        <w:tc>
          <w:tcPr>
            <w:tcW w:w="1236" w:type="dxa"/>
            <w:vAlign w:val="center"/>
          </w:tcPr>
          <w:p w14:paraId="206DED6F" w14:textId="77777777" w:rsidR="006E2974" w:rsidRPr="00FD50F6" w:rsidRDefault="006E2974" w:rsidP="00C70434">
            <w:pPr>
              <w:pStyle w:val="7"/>
            </w:pPr>
            <w:r w:rsidRPr="00FD50F6">
              <w:t>困难情况</w:t>
            </w:r>
          </w:p>
        </w:tc>
        <w:tc>
          <w:tcPr>
            <w:tcW w:w="1236" w:type="dxa"/>
            <w:vAlign w:val="center"/>
          </w:tcPr>
          <w:p w14:paraId="343A74CC" w14:textId="77777777" w:rsidR="006E2974" w:rsidRPr="00FD50F6" w:rsidRDefault="006E2974" w:rsidP="00C70434">
            <w:pPr>
              <w:pStyle w:val="7"/>
            </w:pPr>
            <w:r w:rsidRPr="00FD50F6">
              <w:t>一般情况</w:t>
            </w:r>
          </w:p>
        </w:tc>
        <w:tc>
          <w:tcPr>
            <w:tcW w:w="1236" w:type="dxa"/>
            <w:vAlign w:val="center"/>
          </w:tcPr>
          <w:p w14:paraId="419F75CC" w14:textId="77777777" w:rsidR="006E2974" w:rsidRPr="00FD50F6" w:rsidRDefault="006E2974" w:rsidP="00C70434">
            <w:pPr>
              <w:pStyle w:val="7"/>
            </w:pPr>
            <w:r w:rsidRPr="00FD50F6">
              <w:t>困难情况</w:t>
            </w:r>
          </w:p>
        </w:tc>
      </w:tr>
      <w:tr w:rsidR="00FD50F6" w:rsidRPr="00FD50F6" w14:paraId="1D4FE42E" w14:textId="77777777" w:rsidTr="00C70434">
        <w:trPr>
          <w:trHeight w:hRule="exact" w:val="397"/>
          <w:jc w:val="center"/>
        </w:trPr>
        <w:tc>
          <w:tcPr>
            <w:tcW w:w="1814" w:type="dxa"/>
            <w:vMerge w:val="restart"/>
            <w:vAlign w:val="center"/>
          </w:tcPr>
          <w:p w14:paraId="78B19DD2" w14:textId="77777777" w:rsidR="006E2974" w:rsidRPr="00FD50F6" w:rsidRDefault="006E2974" w:rsidP="00C70434">
            <w:pPr>
              <w:pStyle w:val="7"/>
            </w:pPr>
            <w:r w:rsidRPr="00FD50F6">
              <w:t>正线</w:t>
            </w:r>
          </w:p>
        </w:tc>
        <w:tc>
          <w:tcPr>
            <w:tcW w:w="1236" w:type="dxa"/>
            <w:vAlign w:val="center"/>
          </w:tcPr>
          <w:p w14:paraId="51008C94" w14:textId="77777777" w:rsidR="006E2974" w:rsidRPr="00FD50F6" w:rsidRDefault="006E2974" w:rsidP="00C70434">
            <w:pPr>
              <w:pStyle w:val="7"/>
            </w:pPr>
            <w:r w:rsidRPr="00FD50F6">
              <w:t>区间</w:t>
            </w:r>
          </w:p>
        </w:tc>
        <w:tc>
          <w:tcPr>
            <w:tcW w:w="1236" w:type="dxa"/>
          </w:tcPr>
          <w:p w14:paraId="1D1DFD62" w14:textId="77777777" w:rsidR="006E2974" w:rsidRPr="00FD50F6" w:rsidRDefault="006E2974" w:rsidP="00C70434">
            <w:pPr>
              <w:pStyle w:val="7"/>
            </w:pPr>
            <w:r w:rsidRPr="00FD50F6">
              <w:rPr>
                <w:rFonts w:hint="eastAsia"/>
              </w:rPr>
              <w:t>7000</w:t>
            </w:r>
          </w:p>
        </w:tc>
        <w:tc>
          <w:tcPr>
            <w:tcW w:w="1236" w:type="dxa"/>
          </w:tcPr>
          <w:p w14:paraId="228E567F" w14:textId="77777777" w:rsidR="006E2974" w:rsidRPr="00FD50F6" w:rsidRDefault="006E2974" w:rsidP="00C70434">
            <w:pPr>
              <w:pStyle w:val="7"/>
            </w:pPr>
            <w:r w:rsidRPr="00FD50F6">
              <w:rPr>
                <w:rFonts w:hint="eastAsia"/>
              </w:rPr>
              <w:t>4000</w:t>
            </w:r>
          </w:p>
        </w:tc>
        <w:tc>
          <w:tcPr>
            <w:tcW w:w="1236" w:type="dxa"/>
            <w:vAlign w:val="center"/>
          </w:tcPr>
          <w:p w14:paraId="4998FAF6" w14:textId="77777777" w:rsidR="006E2974" w:rsidRPr="00FD50F6" w:rsidRDefault="006E2974" w:rsidP="00C70434">
            <w:pPr>
              <w:pStyle w:val="7"/>
            </w:pPr>
            <w:r w:rsidRPr="00FD50F6">
              <w:t>5000</w:t>
            </w:r>
          </w:p>
        </w:tc>
        <w:tc>
          <w:tcPr>
            <w:tcW w:w="1236" w:type="dxa"/>
            <w:vAlign w:val="center"/>
          </w:tcPr>
          <w:p w14:paraId="0CE08B62" w14:textId="77777777" w:rsidR="006E2974" w:rsidRPr="00FD50F6" w:rsidRDefault="006E2974" w:rsidP="00C70434">
            <w:pPr>
              <w:pStyle w:val="7"/>
            </w:pPr>
            <w:r w:rsidRPr="00FD50F6">
              <w:t>2500</w:t>
            </w:r>
          </w:p>
        </w:tc>
      </w:tr>
      <w:tr w:rsidR="00FD50F6" w:rsidRPr="00FD50F6" w14:paraId="4A3F38C9" w14:textId="77777777" w:rsidTr="00C70434">
        <w:trPr>
          <w:trHeight w:hRule="exact" w:val="397"/>
          <w:jc w:val="center"/>
        </w:trPr>
        <w:tc>
          <w:tcPr>
            <w:tcW w:w="1814" w:type="dxa"/>
            <w:vMerge/>
            <w:vAlign w:val="center"/>
          </w:tcPr>
          <w:p w14:paraId="1CF16752" w14:textId="77777777" w:rsidR="006E2974" w:rsidRPr="00FD50F6" w:rsidRDefault="006E2974" w:rsidP="00C70434">
            <w:pPr>
              <w:pStyle w:val="7"/>
            </w:pPr>
          </w:p>
        </w:tc>
        <w:tc>
          <w:tcPr>
            <w:tcW w:w="1236" w:type="dxa"/>
            <w:vAlign w:val="center"/>
          </w:tcPr>
          <w:p w14:paraId="74156783" w14:textId="77777777" w:rsidR="006E2974" w:rsidRPr="00FD50F6" w:rsidRDefault="006E2974" w:rsidP="00C70434">
            <w:pPr>
              <w:pStyle w:val="7"/>
            </w:pPr>
            <w:r w:rsidRPr="00FD50F6">
              <w:rPr>
                <w:rFonts w:hint="eastAsia"/>
              </w:rPr>
              <w:t>站台</w:t>
            </w:r>
            <w:r w:rsidRPr="00FD50F6">
              <w:t>端部</w:t>
            </w:r>
          </w:p>
        </w:tc>
        <w:tc>
          <w:tcPr>
            <w:tcW w:w="1236" w:type="dxa"/>
          </w:tcPr>
          <w:p w14:paraId="74310BAA" w14:textId="77777777" w:rsidR="006E2974" w:rsidRPr="00FD50F6" w:rsidRDefault="006E2974" w:rsidP="00C70434">
            <w:pPr>
              <w:pStyle w:val="7"/>
            </w:pPr>
            <w:r w:rsidRPr="00FD50F6">
              <w:rPr>
                <w:rFonts w:hint="eastAsia"/>
              </w:rPr>
              <w:t>3000</w:t>
            </w:r>
          </w:p>
        </w:tc>
        <w:tc>
          <w:tcPr>
            <w:tcW w:w="1236" w:type="dxa"/>
          </w:tcPr>
          <w:p w14:paraId="18997B5C" w14:textId="77777777" w:rsidR="006E2974" w:rsidRPr="00FD50F6" w:rsidRDefault="006E2974" w:rsidP="00C70434">
            <w:pPr>
              <w:pStyle w:val="7"/>
            </w:pPr>
            <w:r w:rsidRPr="00FD50F6">
              <w:rPr>
                <w:rFonts w:hint="eastAsia"/>
              </w:rPr>
              <w:t>2000</w:t>
            </w:r>
          </w:p>
        </w:tc>
        <w:tc>
          <w:tcPr>
            <w:tcW w:w="1236" w:type="dxa"/>
            <w:vAlign w:val="center"/>
          </w:tcPr>
          <w:p w14:paraId="531E42FA" w14:textId="77777777" w:rsidR="006E2974" w:rsidRPr="00FD50F6" w:rsidRDefault="006E2974" w:rsidP="00C70434">
            <w:pPr>
              <w:pStyle w:val="7"/>
            </w:pPr>
            <w:r w:rsidRPr="00FD50F6">
              <w:t>3000</w:t>
            </w:r>
          </w:p>
        </w:tc>
        <w:tc>
          <w:tcPr>
            <w:tcW w:w="1236" w:type="dxa"/>
            <w:vAlign w:val="center"/>
          </w:tcPr>
          <w:p w14:paraId="4AFC4065" w14:textId="77777777" w:rsidR="006E2974" w:rsidRPr="00FD50F6" w:rsidRDefault="006E2974" w:rsidP="00C70434">
            <w:pPr>
              <w:pStyle w:val="7"/>
            </w:pPr>
            <w:r w:rsidRPr="00FD50F6">
              <w:t>2000</w:t>
            </w:r>
          </w:p>
        </w:tc>
      </w:tr>
      <w:tr w:rsidR="006E2974" w:rsidRPr="00FD50F6" w14:paraId="4FE40031" w14:textId="77777777" w:rsidTr="00C70434">
        <w:trPr>
          <w:trHeight w:hRule="exact" w:val="397"/>
          <w:jc w:val="center"/>
        </w:trPr>
        <w:tc>
          <w:tcPr>
            <w:tcW w:w="3050" w:type="dxa"/>
            <w:gridSpan w:val="2"/>
            <w:vAlign w:val="center"/>
          </w:tcPr>
          <w:p w14:paraId="7672458B" w14:textId="77777777" w:rsidR="006E2974" w:rsidRPr="00FD50F6" w:rsidRDefault="006E2974" w:rsidP="00C70434">
            <w:pPr>
              <w:pStyle w:val="7"/>
            </w:pPr>
            <w:r w:rsidRPr="00FD50F6">
              <w:t>联络线、出入段线、车场线</w:t>
            </w:r>
          </w:p>
        </w:tc>
        <w:tc>
          <w:tcPr>
            <w:tcW w:w="4944" w:type="dxa"/>
            <w:gridSpan w:val="4"/>
          </w:tcPr>
          <w:p w14:paraId="18E2CD20" w14:textId="77777777" w:rsidR="006E2974" w:rsidRPr="00FD50F6" w:rsidRDefault="006E2974" w:rsidP="00C70434">
            <w:pPr>
              <w:pStyle w:val="7"/>
            </w:pPr>
            <w:r w:rsidRPr="00FD50F6">
              <w:t>2000</w:t>
            </w:r>
          </w:p>
        </w:tc>
      </w:tr>
    </w:tbl>
    <w:p w14:paraId="78E84126" w14:textId="77777777" w:rsidR="006E2974" w:rsidRPr="00FD50F6" w:rsidRDefault="006E2974" w:rsidP="006E2974">
      <w:pPr>
        <w:pStyle w:val="aff8"/>
        <w:rPr>
          <w:rStyle w:val="50"/>
        </w:rPr>
      </w:pPr>
    </w:p>
    <w:p w14:paraId="0118377C" w14:textId="7C4933DF" w:rsidR="006E2974" w:rsidRPr="00FD50F6" w:rsidRDefault="006E2974" w:rsidP="00A926BD">
      <w:pPr>
        <w:pStyle w:val="4"/>
      </w:pPr>
      <w:r w:rsidRPr="00FD50F6">
        <w:t>车站站台有效长度内和道岔范围内不得设置竖曲线，竖曲线离开道岔端部的距离应符合表</w:t>
      </w:r>
      <w:r w:rsidRPr="00FD50F6">
        <w:t>7.2.4</w:t>
      </w:r>
      <w:r w:rsidRPr="00FD50F6">
        <w:rPr>
          <w:rFonts w:hint="eastAsia"/>
        </w:rPr>
        <w:t>-</w:t>
      </w:r>
      <w:r w:rsidRPr="00FD50F6">
        <w:t xml:space="preserve">2 </w:t>
      </w:r>
      <w:r w:rsidRPr="00FD50F6">
        <w:t>的规定。</w:t>
      </w:r>
    </w:p>
    <w:p w14:paraId="19153A16" w14:textId="7532167E" w:rsidR="006E2974" w:rsidRPr="00FD50F6" w:rsidRDefault="006E2974" w:rsidP="006E2974">
      <w:pPr>
        <w:pStyle w:val="30"/>
      </w:pPr>
      <w:r w:rsidRPr="00FD50F6">
        <w:t>正线坡度大于</w:t>
      </w:r>
      <w:r w:rsidRPr="00FD50F6">
        <w:t>24‰</w:t>
      </w:r>
      <w:r w:rsidR="00F93334">
        <w:rPr>
          <w:rFonts w:hint="eastAsia"/>
        </w:rPr>
        <w:t>、</w:t>
      </w:r>
      <w:r w:rsidRPr="00FD50F6">
        <w:t>连续高差达</w:t>
      </w:r>
      <w:r w:rsidRPr="00FD50F6">
        <w:t>16m</w:t>
      </w:r>
      <w:r w:rsidRPr="00FD50F6">
        <w:t>以上的长大陡坡地段，应根据线路平纵断面和气候条件，核查车辆的编组及其牵引和制动的动力性能，以及故障运行能力。长大坡段不宜与平面小半径曲线重叠</w:t>
      </w:r>
      <w:r w:rsidR="00F93334">
        <w:rPr>
          <w:rFonts w:hint="eastAsia"/>
        </w:rPr>
        <w:t>，</w:t>
      </w:r>
      <w:r w:rsidRPr="00FD50F6">
        <w:t>同时应对其道床排水沟断面尺寸进行校核。</w:t>
      </w:r>
      <w:r w:rsidRPr="00FD50F6">
        <w:rPr>
          <w:rFonts w:hint="eastAsia"/>
        </w:rPr>
        <w:t>既有线延伸时出现的长大陡坡，应核查既有车辆的牵引和制动的动力性能。</w:t>
      </w:r>
    </w:p>
    <w:p w14:paraId="5E620DA5" w14:textId="1D95D2F1" w:rsidR="006E2974" w:rsidRPr="00FD50F6" w:rsidRDefault="006E2974" w:rsidP="006E2974">
      <w:pPr>
        <w:pStyle w:val="30"/>
      </w:pPr>
      <w:r w:rsidRPr="00FD50F6">
        <w:t>区间纵断面设计的最低点位置</w:t>
      </w:r>
      <w:r w:rsidRPr="00FD50F6">
        <w:rPr>
          <w:rFonts w:hint="eastAsia"/>
        </w:rPr>
        <w:t>宜</w:t>
      </w:r>
      <w:r w:rsidRPr="00FD50F6">
        <w:t>与区间排水泵房和区间联络通道位置结合，当排水管采用竖井引出方式时，地面应具有竖井实施条件。</w:t>
      </w:r>
    </w:p>
    <w:p w14:paraId="72B26C5C" w14:textId="048BD219" w:rsidR="006E2974" w:rsidRPr="00FD50F6" w:rsidRDefault="006E2974" w:rsidP="006E2974">
      <w:pPr>
        <w:pStyle w:val="30"/>
      </w:pPr>
      <w:r w:rsidRPr="00FD50F6">
        <w:t>竖曲线与缓和曲线或超高顺坡段在有砟道床地段不得重叠。</w:t>
      </w:r>
    </w:p>
    <w:p w14:paraId="41F3FFDB" w14:textId="77777777" w:rsidR="006E2974" w:rsidRPr="00FD50F6" w:rsidRDefault="006E2974" w:rsidP="00A65181">
      <w:pPr>
        <w:pStyle w:val="2"/>
      </w:pPr>
      <w:bookmarkStart w:id="283" w:name="_Toc236214383"/>
      <w:bookmarkStart w:id="284" w:name="_Toc306203670"/>
      <w:bookmarkStart w:id="285" w:name="_Toc320115642"/>
      <w:bookmarkStart w:id="286" w:name="_Toc320639553"/>
      <w:bookmarkStart w:id="287" w:name="_Toc344218718"/>
      <w:bookmarkStart w:id="288" w:name="_Toc112830672"/>
      <w:r w:rsidRPr="00FD50F6">
        <w:t>配线</w:t>
      </w:r>
      <w:bookmarkEnd w:id="283"/>
      <w:r w:rsidRPr="00FD50F6">
        <w:t>设置</w:t>
      </w:r>
      <w:bookmarkEnd w:id="284"/>
      <w:bookmarkEnd w:id="285"/>
      <w:bookmarkEnd w:id="286"/>
      <w:bookmarkEnd w:id="287"/>
      <w:bookmarkEnd w:id="288"/>
    </w:p>
    <w:p w14:paraId="48AB46E8" w14:textId="77777777" w:rsidR="006E2974" w:rsidRPr="00FD50F6" w:rsidRDefault="006E2974" w:rsidP="006E2974">
      <w:pPr>
        <w:pStyle w:val="30"/>
      </w:pPr>
      <w:r w:rsidRPr="00FD50F6">
        <w:t>联络线设置应符合下列规定：</w:t>
      </w:r>
    </w:p>
    <w:p w14:paraId="6DCBFDA8" w14:textId="77777777" w:rsidR="006E2974" w:rsidRPr="00FD50F6" w:rsidRDefault="006E2974" w:rsidP="00A926BD">
      <w:pPr>
        <w:pStyle w:val="4"/>
      </w:pPr>
      <w:r w:rsidRPr="00FD50F6">
        <w:t>正线之间的联络线应根据线网规划、车辆基地分布位置和承担任务范围设置；</w:t>
      </w:r>
    </w:p>
    <w:p w14:paraId="45CF0BE5" w14:textId="77777777" w:rsidR="006E2974" w:rsidRPr="00FD50F6" w:rsidRDefault="006E2974" w:rsidP="00A926BD">
      <w:pPr>
        <w:pStyle w:val="4"/>
      </w:pPr>
      <w:r w:rsidRPr="00FD50F6">
        <w:t>凡设置在相邻线路间的联络线，承担车辆临时调度，运送大修、架修车辆，以及工程维修车辆、磨轨车等运行的线路，应设置单线；</w:t>
      </w:r>
    </w:p>
    <w:p w14:paraId="33081F64" w14:textId="77777777" w:rsidR="006E2974" w:rsidRPr="00FD50F6" w:rsidRDefault="006E2974" w:rsidP="00A926BD">
      <w:pPr>
        <w:pStyle w:val="4"/>
      </w:pPr>
      <w:r w:rsidRPr="00FD50F6">
        <w:t>相邻两段线路初期临时贯通且正式载客运行的联络线，应设置双线；</w:t>
      </w:r>
    </w:p>
    <w:p w14:paraId="59A918F1" w14:textId="77777777" w:rsidR="006E2974" w:rsidRPr="00FD50F6" w:rsidRDefault="006E2974" w:rsidP="00A926BD">
      <w:pPr>
        <w:pStyle w:val="4"/>
      </w:pPr>
      <w:r w:rsidRPr="00FD50F6">
        <w:t>联络线与正线的接轨点宜靠近车站；</w:t>
      </w:r>
    </w:p>
    <w:p w14:paraId="472EB8AE" w14:textId="77777777" w:rsidR="006E2974" w:rsidRPr="00FD50F6" w:rsidRDefault="006E2974" w:rsidP="00A926BD">
      <w:pPr>
        <w:pStyle w:val="4"/>
      </w:pPr>
      <w:r w:rsidRPr="00FD50F6">
        <w:t>在两线同站台平行换乘站，宜设置渡线</w:t>
      </w:r>
      <w:r w:rsidRPr="00FD50F6">
        <w:rPr>
          <w:rFonts w:hint="eastAsia"/>
        </w:rPr>
        <w:t>作为联络线</w:t>
      </w:r>
      <w:r w:rsidRPr="00FD50F6">
        <w:t>。</w:t>
      </w:r>
    </w:p>
    <w:p w14:paraId="666FD0F6" w14:textId="77777777" w:rsidR="006E2974" w:rsidRPr="00FD50F6" w:rsidRDefault="006E2974" w:rsidP="006E2974">
      <w:pPr>
        <w:pStyle w:val="30"/>
      </w:pPr>
      <w:r w:rsidRPr="00FD50F6">
        <w:t>车辆基地出入段线设置应符合下列规定：</w:t>
      </w:r>
    </w:p>
    <w:p w14:paraId="6AB060D4" w14:textId="77777777" w:rsidR="006E2974" w:rsidRPr="00FD50F6" w:rsidRDefault="006E2974" w:rsidP="00A926BD">
      <w:pPr>
        <w:pStyle w:val="4"/>
      </w:pPr>
      <w:r w:rsidRPr="00FD50F6">
        <w:t>出入段线宜在车站端部接轨，并应具备一度停车再启动条件</w:t>
      </w:r>
      <w:r w:rsidRPr="00FD50F6">
        <w:rPr>
          <w:rFonts w:hint="eastAsia"/>
        </w:rPr>
        <w:t>。</w:t>
      </w:r>
    </w:p>
    <w:p w14:paraId="0B7FA1B3" w14:textId="43D3F1D8" w:rsidR="006E2974" w:rsidRPr="00FD50F6" w:rsidRDefault="006E2974" w:rsidP="00A926BD">
      <w:pPr>
        <w:pStyle w:val="4"/>
      </w:pPr>
      <w:r w:rsidRPr="00FD50F6">
        <w:lastRenderedPageBreak/>
        <w:t>出入段线应按双线双向运行设计，并应避免与正线平面交叉，也可根据车辆基地位置和接轨条件，设置八字形出入段线。规模较小的停车场，其工程实施受条件限制时，可采用单线双向设计。贯通式车辆基地应在两端分别接入正线，主要方向端应为双线，另一端可为单线</w:t>
      </w:r>
      <w:r w:rsidRPr="00FD50F6">
        <w:rPr>
          <w:rFonts w:hint="eastAsia"/>
        </w:rPr>
        <w:t>。</w:t>
      </w:r>
    </w:p>
    <w:p w14:paraId="3A6B0D18" w14:textId="77777777" w:rsidR="006E2974" w:rsidRPr="00FD50F6" w:rsidRDefault="006E2974" w:rsidP="00A926BD">
      <w:pPr>
        <w:pStyle w:val="4"/>
      </w:pPr>
      <w:r w:rsidRPr="00FD50F6">
        <w:rPr>
          <w:rFonts w:hint="eastAsia"/>
        </w:rPr>
        <w:t>当出入段线兼顾列车折返功能时，应对出入段线与正线间的配线进行多方案比选，并应满足正线、折返线、出入段线的运行功能要求。</w:t>
      </w:r>
    </w:p>
    <w:p w14:paraId="37E22CFB" w14:textId="77777777" w:rsidR="006E2974" w:rsidRPr="00FD50F6" w:rsidRDefault="006E2974" w:rsidP="006E2974">
      <w:pPr>
        <w:pStyle w:val="30"/>
      </w:pPr>
      <w:r w:rsidRPr="00FD50F6">
        <w:t>折返线与停车线设置应符合下列规定：</w:t>
      </w:r>
      <w:r w:rsidRPr="00FD50F6">
        <w:t xml:space="preserve">  </w:t>
      </w:r>
    </w:p>
    <w:p w14:paraId="7AE47C29" w14:textId="77777777" w:rsidR="006E2974" w:rsidRPr="00FD50F6" w:rsidRDefault="006E2974" w:rsidP="00A926BD">
      <w:pPr>
        <w:pStyle w:val="4"/>
      </w:pPr>
      <w:r w:rsidRPr="00FD50F6">
        <w:t>折返线应根据行车组织交路设计确定，起、终点站和中间折返站应设置列车折返线</w:t>
      </w:r>
      <w:r w:rsidRPr="00FD50F6">
        <w:rPr>
          <w:rFonts w:hint="eastAsia"/>
        </w:rPr>
        <w:t>。</w:t>
      </w:r>
    </w:p>
    <w:p w14:paraId="2A7C2F13" w14:textId="77777777" w:rsidR="006E2974" w:rsidRPr="00FD50F6" w:rsidRDefault="006E2974" w:rsidP="00A926BD">
      <w:pPr>
        <w:pStyle w:val="4"/>
      </w:pPr>
      <w:r w:rsidRPr="00FD50F6">
        <w:t>折返线布置应结合车站站台形式确定，可采用站前折返或站后折返形式，并应满足列车折返能力要求</w:t>
      </w:r>
      <w:r w:rsidRPr="00FD50F6">
        <w:rPr>
          <w:rFonts w:hint="eastAsia"/>
        </w:rPr>
        <w:t>。</w:t>
      </w:r>
    </w:p>
    <w:p w14:paraId="7926C13E" w14:textId="34F1C1CA" w:rsidR="006E2974" w:rsidRPr="00FD50F6" w:rsidRDefault="006E2974" w:rsidP="00A926BD">
      <w:pPr>
        <w:pStyle w:val="4"/>
      </w:pPr>
      <w:r w:rsidRPr="00FD50F6">
        <w:rPr>
          <w:rFonts w:hint="eastAsia"/>
        </w:rPr>
        <w:t>地铁普线</w:t>
      </w:r>
      <w:r w:rsidRPr="00FD50F6">
        <w:t>应每隔</w:t>
      </w:r>
      <w:r w:rsidRPr="00FD50F6">
        <w:t>8km</w:t>
      </w:r>
      <w:r w:rsidRPr="00FD50F6">
        <w:t>～</w:t>
      </w:r>
      <w:r w:rsidRPr="00FD50F6">
        <w:t>10km</w:t>
      </w:r>
      <w:r w:rsidRPr="00FD50F6">
        <w:t>设置停车线</w:t>
      </w:r>
      <w:r w:rsidRPr="00FD50F6">
        <w:rPr>
          <w:rFonts w:hint="eastAsia"/>
        </w:rPr>
        <w:t>，</w:t>
      </w:r>
      <w:r w:rsidRPr="00FD50F6">
        <w:t>其间每相隔</w:t>
      </w:r>
      <w:r w:rsidRPr="00FD50F6">
        <w:t>2</w:t>
      </w:r>
      <w:r w:rsidRPr="00FD50F6">
        <w:t>～</w:t>
      </w:r>
      <w:r w:rsidRPr="00FD50F6">
        <w:t>3</w:t>
      </w:r>
      <w:r w:rsidRPr="00FD50F6">
        <w:t>座车站或</w:t>
      </w:r>
      <w:r w:rsidRPr="00FD50F6">
        <w:t>3km</w:t>
      </w:r>
      <w:r w:rsidRPr="00FD50F6">
        <w:t>～</w:t>
      </w:r>
      <w:r w:rsidRPr="00FD50F6">
        <w:t>5km</w:t>
      </w:r>
      <w:r w:rsidRPr="00FD50F6">
        <w:t>应加设渡线</w:t>
      </w:r>
      <w:r w:rsidRPr="00FD50F6">
        <w:rPr>
          <w:rFonts w:hint="eastAsia"/>
        </w:rPr>
        <w:t>；</w:t>
      </w:r>
      <w:r w:rsidRPr="00FD50F6">
        <w:t>地铁快线停车线间距不宜大于</w:t>
      </w:r>
      <w:r w:rsidRPr="00FD50F6">
        <w:rPr>
          <w:rFonts w:hint="eastAsia"/>
        </w:rPr>
        <w:t>15km</w:t>
      </w:r>
      <w:r w:rsidRPr="00FD50F6">
        <w:t>，其间每隔</w:t>
      </w:r>
      <w:r w:rsidRPr="00FD50F6">
        <w:rPr>
          <w:rFonts w:hint="eastAsia"/>
        </w:rPr>
        <w:t>2-3</w:t>
      </w:r>
      <w:r w:rsidRPr="00FD50F6">
        <w:rPr>
          <w:rFonts w:hint="eastAsia"/>
        </w:rPr>
        <w:t>座车站或</w:t>
      </w:r>
      <w:r w:rsidRPr="00FD50F6">
        <w:rPr>
          <w:rFonts w:hint="eastAsia"/>
        </w:rPr>
        <w:t>4-6km</w:t>
      </w:r>
      <w:r w:rsidRPr="00FD50F6">
        <w:rPr>
          <w:rFonts w:hint="eastAsia"/>
        </w:rPr>
        <w:t>应加设渡线；站间距超过</w:t>
      </w:r>
      <w:r w:rsidRPr="00FD50F6">
        <w:rPr>
          <w:rFonts w:hint="eastAsia"/>
        </w:rPr>
        <w:t>15km</w:t>
      </w:r>
      <w:r w:rsidRPr="00FD50F6">
        <w:rPr>
          <w:rFonts w:hint="eastAsia"/>
        </w:rPr>
        <w:t>的两座车站，宜在该两座车站增加单渡线或具有单渡线功能的其他配线。</w:t>
      </w:r>
    </w:p>
    <w:p w14:paraId="5ED06374" w14:textId="77777777" w:rsidR="006E2974" w:rsidRPr="00FD50F6" w:rsidRDefault="006E2974" w:rsidP="00A926BD">
      <w:pPr>
        <w:pStyle w:val="4"/>
      </w:pPr>
      <w:r w:rsidRPr="00FD50F6">
        <w:t>停车线应具备故障车待避和临时折返功能。停车线设在中间折返站时，应与折返线分开设置，在正常运营时段，不宜兼用。停车线尾端应设置单渡线与正线贯通</w:t>
      </w:r>
      <w:r w:rsidRPr="00FD50F6">
        <w:rPr>
          <w:rFonts w:hint="eastAsia"/>
        </w:rPr>
        <w:t>。</w:t>
      </w:r>
    </w:p>
    <w:p w14:paraId="7B8443C3" w14:textId="77777777" w:rsidR="006E2974" w:rsidRPr="00FD50F6" w:rsidRDefault="006E2974" w:rsidP="00A926BD">
      <w:pPr>
        <w:pStyle w:val="4"/>
      </w:pPr>
      <w:r w:rsidRPr="00FD50F6">
        <w:t>远离车辆段或停车场的尽端式车站配线，除应满足折返功能外，还应满足故障列车停车、夜间存车和工程维修车辆折返等功能要求</w:t>
      </w:r>
      <w:r w:rsidRPr="00FD50F6">
        <w:rPr>
          <w:rFonts w:hint="eastAsia"/>
        </w:rPr>
        <w:t>。</w:t>
      </w:r>
    </w:p>
    <w:p w14:paraId="1C287BE4" w14:textId="04363E24" w:rsidR="006E2974" w:rsidRPr="00FD50F6" w:rsidRDefault="006E2974" w:rsidP="00A926BD">
      <w:pPr>
        <w:pStyle w:val="4"/>
      </w:pPr>
      <w:r w:rsidRPr="00FD50F6">
        <w:t>在靠近隧道洞口以内或临近江河岸边的车站，应根据非正常运营模式和行车组织要求确定车站配线形式</w:t>
      </w:r>
      <w:r w:rsidRPr="00FD50F6">
        <w:rPr>
          <w:rFonts w:hint="eastAsia"/>
        </w:rPr>
        <w:t>。</w:t>
      </w:r>
    </w:p>
    <w:p w14:paraId="58258A9B" w14:textId="3505A3FF" w:rsidR="006E2974" w:rsidRPr="00FD50F6" w:rsidRDefault="006E2974" w:rsidP="00A926BD">
      <w:pPr>
        <w:pStyle w:val="4"/>
      </w:pPr>
      <w:r w:rsidRPr="00FD50F6">
        <w:t>折返线、故障列车停车线有效长度（不含车挡长度）不</w:t>
      </w:r>
      <w:r w:rsidRPr="00FD50F6">
        <w:rPr>
          <w:rFonts w:hint="eastAsia"/>
        </w:rPr>
        <w:t>宜</w:t>
      </w:r>
      <w:r w:rsidRPr="00FD50F6">
        <w:t>小于表</w:t>
      </w:r>
      <w:r w:rsidRPr="00FD50F6">
        <w:t>7.4.3</w:t>
      </w:r>
      <w:r w:rsidRPr="00FD50F6">
        <w:t>的规定</w:t>
      </w:r>
      <w:r w:rsidR="008F52F0">
        <w:rPr>
          <w:rFonts w:hint="eastAsia"/>
        </w:rPr>
        <w:t>；</w:t>
      </w:r>
      <w:r w:rsidR="008F52F0" w:rsidRPr="00FD50F6">
        <w:rPr>
          <w:rFonts w:hint="eastAsia"/>
        </w:rPr>
        <w:t>困难条件下，安全距离</w:t>
      </w:r>
      <w:r w:rsidR="008F52F0">
        <w:rPr>
          <w:rFonts w:hint="eastAsia"/>
        </w:rPr>
        <w:t>可与行车、信号专业协商，在采取限速措施</w:t>
      </w:r>
      <w:r w:rsidR="008F52F0" w:rsidRPr="00FD50F6">
        <w:rPr>
          <w:rFonts w:hint="eastAsia"/>
        </w:rPr>
        <w:t>后，可缩短安全</w:t>
      </w:r>
      <w:r w:rsidR="008F52F0">
        <w:rPr>
          <w:rFonts w:hint="eastAsia"/>
        </w:rPr>
        <w:t>距离</w:t>
      </w:r>
      <w:r w:rsidRPr="00FD50F6">
        <w:rPr>
          <w:rFonts w:hint="eastAsia"/>
        </w:rPr>
        <w:t>。</w:t>
      </w:r>
    </w:p>
    <w:p w14:paraId="33433FAA" w14:textId="7A26149C" w:rsidR="006E2974" w:rsidRPr="00FD50F6" w:rsidRDefault="006E2974" w:rsidP="006E2974">
      <w:pPr>
        <w:pStyle w:val="6"/>
      </w:pPr>
      <w:r w:rsidRPr="00FD50F6">
        <w:t>表</w:t>
      </w:r>
      <w:r w:rsidRPr="00FD50F6">
        <w:t xml:space="preserve">7.4.3  </w:t>
      </w:r>
      <w:r w:rsidRPr="00FD50F6">
        <w:t>折返线、故障列车停车线有效长度</w:t>
      </w:r>
      <w:r w:rsidRPr="00FD50F6">
        <w:t xml:space="preserve"> </w:t>
      </w:r>
      <w:r w:rsidRPr="00FD50F6">
        <w:t>（</w:t>
      </w:r>
      <w:r w:rsidRPr="00FD50F6">
        <w:t>m</w:t>
      </w:r>
      <w:r w:rsidRPr="00FD50F6">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3881"/>
      </w:tblGrid>
      <w:tr w:rsidR="00FD50F6" w:rsidRPr="00FD50F6" w14:paraId="64F8C417" w14:textId="77777777" w:rsidTr="00C70434">
        <w:trPr>
          <w:trHeight w:hRule="exact" w:val="397"/>
          <w:jc w:val="center"/>
        </w:trPr>
        <w:tc>
          <w:tcPr>
            <w:tcW w:w="4647" w:type="dxa"/>
            <w:vAlign w:val="center"/>
          </w:tcPr>
          <w:p w14:paraId="35EE310E" w14:textId="77777777" w:rsidR="006E2974" w:rsidRPr="00FD50F6" w:rsidRDefault="006E2974" w:rsidP="00C70434">
            <w:pPr>
              <w:pStyle w:val="7"/>
            </w:pPr>
            <w:r w:rsidRPr="00FD50F6">
              <w:t>配</w:t>
            </w:r>
            <w:r w:rsidRPr="00FD50F6">
              <w:t xml:space="preserve"> </w:t>
            </w:r>
            <w:r w:rsidRPr="00FD50F6">
              <w:t>线</w:t>
            </w:r>
            <w:r w:rsidRPr="00FD50F6">
              <w:t xml:space="preserve"> </w:t>
            </w:r>
            <w:r w:rsidRPr="00FD50F6">
              <w:t>名</w:t>
            </w:r>
            <w:r w:rsidRPr="00FD50F6">
              <w:t xml:space="preserve"> </w:t>
            </w:r>
            <w:r w:rsidRPr="00FD50F6">
              <w:t>称</w:t>
            </w:r>
          </w:p>
        </w:tc>
        <w:tc>
          <w:tcPr>
            <w:tcW w:w="3881" w:type="dxa"/>
            <w:vAlign w:val="center"/>
          </w:tcPr>
          <w:p w14:paraId="0DDCA6D4" w14:textId="77777777" w:rsidR="006E2974" w:rsidRPr="00FD50F6" w:rsidRDefault="006E2974" w:rsidP="00C70434">
            <w:pPr>
              <w:pStyle w:val="7"/>
            </w:pPr>
            <w:r w:rsidRPr="00FD50F6">
              <w:t>有效长度</w:t>
            </w:r>
            <w:r w:rsidRPr="00FD50F6">
              <w:t>+</w:t>
            </w:r>
            <w:r w:rsidRPr="00FD50F6">
              <w:t>安全距离（不含车挡长度）</w:t>
            </w:r>
          </w:p>
        </w:tc>
      </w:tr>
      <w:tr w:rsidR="00FD50F6" w:rsidRPr="00FD50F6" w14:paraId="426B8593" w14:textId="77777777" w:rsidTr="00C70434">
        <w:trPr>
          <w:trHeight w:hRule="exact" w:val="397"/>
          <w:jc w:val="center"/>
        </w:trPr>
        <w:tc>
          <w:tcPr>
            <w:tcW w:w="4647" w:type="dxa"/>
            <w:vAlign w:val="center"/>
          </w:tcPr>
          <w:p w14:paraId="3687A596" w14:textId="77777777" w:rsidR="006E2974" w:rsidRPr="00FD50F6" w:rsidRDefault="006E2974" w:rsidP="00C70434">
            <w:pPr>
              <w:pStyle w:val="7"/>
            </w:pPr>
            <w:r w:rsidRPr="00FD50F6">
              <w:t>尽端式折返线、停车线</w:t>
            </w:r>
          </w:p>
        </w:tc>
        <w:tc>
          <w:tcPr>
            <w:tcW w:w="3881" w:type="dxa"/>
            <w:vAlign w:val="center"/>
          </w:tcPr>
          <w:p w14:paraId="0CE82F4E" w14:textId="77777777" w:rsidR="006E2974" w:rsidRPr="00FD50F6" w:rsidRDefault="006E2974" w:rsidP="00C70434">
            <w:pPr>
              <w:pStyle w:val="7"/>
            </w:pPr>
            <w:r w:rsidRPr="00FD50F6">
              <w:t>列车长度最大值</w:t>
            </w:r>
            <w:r w:rsidRPr="00FD50F6">
              <w:t>+50</w:t>
            </w:r>
          </w:p>
        </w:tc>
      </w:tr>
      <w:tr w:rsidR="006E2974" w:rsidRPr="00FD50F6" w14:paraId="4E42C59B" w14:textId="77777777" w:rsidTr="00C70434">
        <w:trPr>
          <w:trHeight w:hRule="exact" w:val="397"/>
          <w:jc w:val="center"/>
        </w:trPr>
        <w:tc>
          <w:tcPr>
            <w:tcW w:w="4647" w:type="dxa"/>
            <w:vAlign w:val="center"/>
          </w:tcPr>
          <w:p w14:paraId="31F021C2" w14:textId="77777777" w:rsidR="006E2974" w:rsidRPr="00FD50F6" w:rsidRDefault="006E2974" w:rsidP="00C70434">
            <w:pPr>
              <w:pStyle w:val="7"/>
            </w:pPr>
            <w:r w:rsidRPr="00FD50F6">
              <w:t>贯通式折返线、停车线</w:t>
            </w:r>
          </w:p>
        </w:tc>
        <w:tc>
          <w:tcPr>
            <w:tcW w:w="3881" w:type="dxa"/>
            <w:vAlign w:val="center"/>
          </w:tcPr>
          <w:p w14:paraId="644BE2A5" w14:textId="77777777" w:rsidR="006E2974" w:rsidRPr="00FD50F6" w:rsidRDefault="006E2974" w:rsidP="00C70434">
            <w:pPr>
              <w:pStyle w:val="7"/>
            </w:pPr>
            <w:r w:rsidRPr="00FD50F6">
              <w:t>列车长度最大值</w:t>
            </w:r>
            <w:r w:rsidRPr="00FD50F6">
              <w:t>+60</w:t>
            </w:r>
          </w:p>
        </w:tc>
      </w:tr>
    </w:tbl>
    <w:p w14:paraId="72A3BA33" w14:textId="77777777" w:rsidR="006E2974" w:rsidRPr="00FD50F6" w:rsidRDefault="006E2974" w:rsidP="006E2974">
      <w:pPr>
        <w:pStyle w:val="aff8"/>
      </w:pPr>
    </w:p>
    <w:p w14:paraId="0E2B3024" w14:textId="77777777" w:rsidR="006E2974" w:rsidRPr="00FD50F6" w:rsidRDefault="006E2974" w:rsidP="006E2974">
      <w:pPr>
        <w:pStyle w:val="30"/>
      </w:pPr>
      <w:r w:rsidRPr="00FD50F6">
        <w:t>渡线的设置应符合下列规定：</w:t>
      </w:r>
    </w:p>
    <w:p w14:paraId="29E28110" w14:textId="77777777" w:rsidR="006E2974" w:rsidRPr="00FD50F6" w:rsidRDefault="006E2974" w:rsidP="00A926BD">
      <w:pPr>
        <w:pStyle w:val="4"/>
      </w:pPr>
      <w:r w:rsidRPr="00FD50F6">
        <w:lastRenderedPageBreak/>
        <w:t>单渡线应设在车站端部，一般中间站的单渡线道岔宜按顺岔方向布置</w:t>
      </w:r>
      <w:r w:rsidRPr="00FD50F6">
        <w:rPr>
          <w:rFonts w:hint="eastAsia"/>
        </w:rPr>
        <w:t>；</w:t>
      </w:r>
    </w:p>
    <w:p w14:paraId="717E0E30" w14:textId="4E015A8A" w:rsidR="006E2974" w:rsidRPr="00FD50F6" w:rsidRDefault="006E2974" w:rsidP="00A926BD">
      <w:pPr>
        <w:pStyle w:val="4"/>
      </w:pPr>
      <w:r w:rsidRPr="00FD50F6">
        <w:rPr>
          <w:rFonts w:hint="eastAsia"/>
        </w:rPr>
        <w:t>当</w:t>
      </w:r>
      <w:r w:rsidRPr="00FD50F6">
        <w:t>单渡线与其他配线的道岔组合布置时，</w:t>
      </w:r>
      <w:r w:rsidRPr="00FD50F6">
        <w:rPr>
          <w:rFonts w:hint="eastAsia"/>
        </w:rPr>
        <w:t>可</w:t>
      </w:r>
      <w:r w:rsidRPr="00FD50F6">
        <w:t>按功能需要逆向布置</w:t>
      </w:r>
      <w:r w:rsidRPr="00FD50F6">
        <w:rPr>
          <w:rFonts w:hint="eastAsia"/>
        </w:rPr>
        <w:t>；</w:t>
      </w:r>
    </w:p>
    <w:p w14:paraId="0BF33D4E" w14:textId="77777777" w:rsidR="006E2974" w:rsidRPr="00FD50F6" w:rsidRDefault="006E2974" w:rsidP="00A926BD">
      <w:pPr>
        <w:pStyle w:val="4"/>
      </w:pPr>
      <w:r w:rsidRPr="00FD50F6">
        <w:t>采用站后折返的尽端站，宜增设站前单渡线，并宜按逆向布置。</w:t>
      </w:r>
      <w:r w:rsidRPr="00FD50F6">
        <w:t xml:space="preserve"> </w:t>
      </w:r>
    </w:p>
    <w:p w14:paraId="0D83822D" w14:textId="77777777" w:rsidR="006E2974" w:rsidRPr="00FD50F6" w:rsidRDefault="006E2974" w:rsidP="006E2974">
      <w:pPr>
        <w:pStyle w:val="30"/>
      </w:pPr>
      <w:r w:rsidRPr="00FD50F6">
        <w:rPr>
          <w:rFonts w:hint="eastAsia"/>
        </w:rPr>
        <w:t>避让</w:t>
      </w:r>
      <w:r w:rsidRPr="00FD50F6">
        <w:t>线的设置应符合下列规定：</w:t>
      </w:r>
    </w:p>
    <w:p w14:paraId="0925AB9A" w14:textId="77777777" w:rsidR="006E2974" w:rsidRPr="00FD50F6" w:rsidRDefault="006E2974" w:rsidP="00A926BD">
      <w:pPr>
        <w:pStyle w:val="4"/>
      </w:pPr>
      <w:r w:rsidRPr="00FD50F6">
        <w:rPr>
          <w:rFonts w:hint="eastAsia"/>
        </w:rPr>
        <w:t>避让线不宜设在上下车客流前</w:t>
      </w:r>
      <w:r w:rsidRPr="00FD50F6">
        <w:rPr>
          <w:rFonts w:hint="eastAsia"/>
        </w:rPr>
        <w:t>50%</w:t>
      </w:r>
      <w:r w:rsidRPr="00FD50F6">
        <w:rPr>
          <w:rFonts w:hint="eastAsia"/>
        </w:rPr>
        <w:t>或中位数以上的车站；</w:t>
      </w:r>
    </w:p>
    <w:p w14:paraId="0534EFB7" w14:textId="77777777" w:rsidR="006E2974" w:rsidRPr="00FD50F6" w:rsidRDefault="006E2974" w:rsidP="00A926BD">
      <w:pPr>
        <w:pStyle w:val="4"/>
      </w:pPr>
      <w:r w:rsidRPr="00FD50F6">
        <w:rPr>
          <w:rFonts w:hint="eastAsia"/>
        </w:rPr>
        <w:t>避让线的设置位置、道岔型号应经过行车计算模拟确定；</w:t>
      </w:r>
    </w:p>
    <w:p w14:paraId="5ADCFEDE" w14:textId="77777777" w:rsidR="006E2974" w:rsidRPr="00FD50F6" w:rsidRDefault="006E2974" w:rsidP="00A926BD">
      <w:pPr>
        <w:pStyle w:val="4"/>
      </w:pPr>
      <w:r w:rsidRPr="00FD50F6">
        <w:rPr>
          <w:rFonts w:hint="eastAsia"/>
        </w:rPr>
        <w:t>避让线宜结合其他配线综合统筹设置。</w:t>
      </w:r>
    </w:p>
    <w:p w14:paraId="6B2A7E1C" w14:textId="77777777" w:rsidR="006E2974" w:rsidRPr="00FD50F6" w:rsidRDefault="006E2974" w:rsidP="006E2974">
      <w:pPr>
        <w:pStyle w:val="30"/>
      </w:pPr>
      <w:r w:rsidRPr="00FD50F6">
        <w:t>安全线的设置应符合下列规定：</w:t>
      </w:r>
    </w:p>
    <w:p w14:paraId="5834F4DA" w14:textId="77777777" w:rsidR="006E2974" w:rsidRPr="00FD50F6" w:rsidRDefault="006E2974" w:rsidP="00A926BD">
      <w:pPr>
        <w:pStyle w:val="4"/>
      </w:pPr>
      <w:r w:rsidRPr="00FD50F6">
        <w:t>支线与干线接轨的车站应设置平行进路；在出站方向接轨点道岔处的警冲标至站台端部距离不应小于</w:t>
      </w:r>
      <w:r w:rsidRPr="00FD50F6">
        <w:t>50m</w:t>
      </w:r>
      <w:r w:rsidRPr="00FD50F6">
        <w:t>，小于</w:t>
      </w:r>
      <w:r w:rsidRPr="00FD50F6">
        <w:t>50m</w:t>
      </w:r>
      <w:r w:rsidRPr="00FD50F6">
        <w:t>时应设安全线</w:t>
      </w:r>
      <w:r w:rsidRPr="00FD50F6">
        <w:rPr>
          <w:rFonts w:hint="eastAsia"/>
        </w:rPr>
        <w:t>。</w:t>
      </w:r>
    </w:p>
    <w:p w14:paraId="02A232A1" w14:textId="77777777" w:rsidR="006E2974" w:rsidRPr="00FD50F6" w:rsidRDefault="006E2974" w:rsidP="00A926BD">
      <w:pPr>
        <w:pStyle w:val="4"/>
      </w:pPr>
      <w:r w:rsidRPr="00FD50F6">
        <w:t>车辆基地出入段线，在车站接轨点前，线路不具备一度停车条件或停车信号机至警冲标之间小于</w:t>
      </w:r>
      <w:r w:rsidRPr="00FD50F6">
        <w:t>50m</w:t>
      </w:r>
      <w:r w:rsidRPr="00FD50F6">
        <w:t>时，应设置安全线。采用八字型布置在区间与正线接轨时，应设置安全线</w:t>
      </w:r>
      <w:r w:rsidRPr="00FD50F6">
        <w:rPr>
          <w:rFonts w:hint="eastAsia"/>
        </w:rPr>
        <w:t>。</w:t>
      </w:r>
    </w:p>
    <w:p w14:paraId="237CFF64" w14:textId="68FB529C" w:rsidR="006E2974" w:rsidRPr="00FD50F6" w:rsidRDefault="006E2974" w:rsidP="00A926BD">
      <w:pPr>
        <w:pStyle w:val="4"/>
      </w:pPr>
      <w:r w:rsidRPr="00FD50F6">
        <w:t>列车折返线与停车线末端均应设置安全线</w:t>
      </w:r>
      <w:r w:rsidRPr="00FD50F6">
        <w:rPr>
          <w:rFonts w:hint="eastAsia"/>
        </w:rPr>
        <w:t>，</w:t>
      </w:r>
      <w:r w:rsidRPr="00FD50F6">
        <w:t>其长度应符合本</w:t>
      </w:r>
      <w:r w:rsidRPr="00FD50F6">
        <w:rPr>
          <w:rFonts w:hint="eastAsia"/>
        </w:rPr>
        <w:t>标准</w:t>
      </w:r>
      <w:r w:rsidRPr="00FD50F6">
        <w:t>第</w:t>
      </w:r>
      <w:r w:rsidRPr="00FD50F6">
        <w:t>7.4.3</w:t>
      </w:r>
      <w:r w:rsidRPr="00FD50F6">
        <w:t>条第</w:t>
      </w:r>
      <w:r w:rsidRPr="00FD50F6">
        <w:t>7</w:t>
      </w:r>
      <w:r w:rsidRPr="00FD50F6">
        <w:t>款的规定</w:t>
      </w:r>
      <w:r w:rsidRPr="00FD50F6">
        <w:rPr>
          <w:rFonts w:hint="eastAsia"/>
        </w:rPr>
        <w:t>。</w:t>
      </w:r>
    </w:p>
    <w:p w14:paraId="1315737D" w14:textId="3506C5EB" w:rsidR="00FE2A4D" w:rsidRPr="00FD50F6" w:rsidRDefault="006E2974" w:rsidP="00A926BD">
      <w:pPr>
        <w:pStyle w:val="4"/>
      </w:pPr>
      <w:r w:rsidRPr="00FD50F6">
        <w:t>安全线自道岔前端</w:t>
      </w:r>
      <w:r w:rsidRPr="00FD50F6">
        <w:rPr>
          <w:rStyle w:val="50"/>
        </w:rPr>
        <w:t>基本轨缝（含道岔）至车挡前长度应为</w:t>
      </w:r>
      <w:r w:rsidRPr="00FD50F6">
        <w:rPr>
          <w:rStyle w:val="50"/>
        </w:rPr>
        <w:t>50m</w:t>
      </w:r>
      <w:r w:rsidRPr="00FD50F6">
        <w:rPr>
          <w:rStyle w:val="50"/>
        </w:rPr>
        <w:t>（不含车挡）</w:t>
      </w:r>
      <w:r w:rsidRPr="00FD50F6">
        <w:rPr>
          <w:rStyle w:val="50"/>
          <w:rFonts w:hint="eastAsia"/>
        </w:rPr>
        <w:t>；</w:t>
      </w:r>
      <w:r w:rsidR="008F52F0">
        <w:rPr>
          <w:rStyle w:val="50"/>
          <w:rFonts w:hint="eastAsia"/>
        </w:rPr>
        <w:t>困难情况下</w:t>
      </w:r>
      <w:r w:rsidRPr="00FD50F6">
        <w:rPr>
          <w:rStyle w:val="50"/>
        </w:rPr>
        <w:t>，可采</w:t>
      </w:r>
      <w:r w:rsidRPr="00FD50F6">
        <w:t>取限速措施</w:t>
      </w:r>
      <w:r w:rsidRPr="00FD50F6">
        <w:rPr>
          <w:rStyle w:val="50"/>
        </w:rPr>
        <w:t>缩短安全线长度</w:t>
      </w:r>
      <w:r w:rsidRPr="00FD50F6">
        <w:rPr>
          <w:rStyle w:val="50"/>
          <w:rFonts w:hint="eastAsia"/>
        </w:rPr>
        <w:t>。</w:t>
      </w:r>
      <w:r w:rsidR="00FE2A4D" w:rsidRPr="00FD50F6">
        <w:br w:type="page"/>
      </w:r>
    </w:p>
    <w:p w14:paraId="687AA823" w14:textId="666DC516" w:rsidR="00D84020" w:rsidRPr="00FD50F6" w:rsidRDefault="00D84020" w:rsidP="00D84020">
      <w:pPr>
        <w:pStyle w:val="12"/>
      </w:pPr>
      <w:bookmarkStart w:id="289" w:name="_Toc320115643"/>
      <w:bookmarkStart w:id="290" w:name="_Toc320639554"/>
      <w:bookmarkStart w:id="291" w:name="_Toc344218719"/>
      <w:bookmarkStart w:id="292" w:name="_Toc112830673"/>
      <w:r w:rsidRPr="00FD50F6">
        <w:lastRenderedPageBreak/>
        <w:t>轨</w:t>
      </w:r>
      <w:r w:rsidR="00F0091F" w:rsidRPr="00FD50F6">
        <w:rPr>
          <w:rFonts w:hint="eastAsia"/>
        </w:rPr>
        <w:t xml:space="preserve"> </w:t>
      </w:r>
      <w:r w:rsidR="00F0091F" w:rsidRPr="00FD50F6">
        <w:t xml:space="preserve"> </w:t>
      </w:r>
      <w:r w:rsidRPr="00FD50F6">
        <w:t>道</w:t>
      </w:r>
      <w:bookmarkEnd w:id="289"/>
      <w:bookmarkEnd w:id="290"/>
      <w:bookmarkEnd w:id="291"/>
      <w:bookmarkEnd w:id="292"/>
    </w:p>
    <w:p w14:paraId="44913156" w14:textId="77777777" w:rsidR="00D84020" w:rsidRPr="00FD50F6" w:rsidRDefault="00D84020" w:rsidP="00010C49">
      <w:pPr>
        <w:pStyle w:val="2"/>
        <w:numPr>
          <w:ilvl w:val="1"/>
          <w:numId w:val="42"/>
        </w:numPr>
      </w:pPr>
      <w:bookmarkStart w:id="293" w:name="_Toc236218582"/>
      <w:bookmarkStart w:id="294" w:name="_Toc306203672"/>
      <w:bookmarkStart w:id="295" w:name="_Toc320115644"/>
      <w:bookmarkStart w:id="296" w:name="_Toc320639555"/>
      <w:bookmarkStart w:id="297" w:name="_Toc344218720"/>
      <w:bookmarkStart w:id="298" w:name="_Toc112830674"/>
      <w:r w:rsidRPr="00FD50F6">
        <w:t>一般规</w:t>
      </w:r>
      <w:bookmarkEnd w:id="293"/>
      <w:r w:rsidRPr="00FD50F6">
        <w:t>定</w:t>
      </w:r>
      <w:bookmarkEnd w:id="294"/>
      <w:bookmarkEnd w:id="295"/>
      <w:bookmarkEnd w:id="296"/>
      <w:bookmarkEnd w:id="297"/>
      <w:bookmarkEnd w:id="298"/>
    </w:p>
    <w:p w14:paraId="111E9C4B" w14:textId="353B70F7" w:rsidR="00D84020" w:rsidRPr="00FD50F6" w:rsidRDefault="00D84020" w:rsidP="00D84020">
      <w:pPr>
        <w:pStyle w:val="30"/>
      </w:pPr>
      <w:r w:rsidRPr="00FD50F6">
        <w:rPr>
          <w:rFonts w:hint="eastAsia"/>
        </w:rPr>
        <w:t>轨道结构应</w:t>
      </w:r>
      <w:bookmarkStart w:id="299" w:name="OLE_LINK1"/>
      <w:r w:rsidRPr="00FD50F6">
        <w:rPr>
          <w:rFonts w:hint="eastAsia"/>
        </w:rPr>
        <w:t>满足安全、稳定、平顺、耐久及减振降噪的要求。</w:t>
      </w:r>
      <w:bookmarkEnd w:id="299"/>
      <w:r w:rsidRPr="00FD50F6">
        <w:rPr>
          <w:rFonts w:hint="eastAsia"/>
        </w:rPr>
        <w:t>钢轨与扣件、扣件与下部结构之间应满足绝缘要求。</w:t>
      </w:r>
    </w:p>
    <w:p w14:paraId="5E5E99DF" w14:textId="5C9632A3" w:rsidR="00D84020" w:rsidRPr="00FD50F6" w:rsidRDefault="00D84020" w:rsidP="00D84020">
      <w:pPr>
        <w:pStyle w:val="30"/>
      </w:pPr>
      <w:bookmarkStart w:id="300" w:name="_Hlk62647064"/>
      <w:r w:rsidRPr="00FD50F6">
        <w:rPr>
          <w:rFonts w:hint="eastAsia"/>
        </w:rPr>
        <w:t>轨道结构设计方案应在满足使用功能的前提下，结合城市线网中各条线的使用条件综合确定。正线应根据线下工程条件、环境条件及养护维修要求等，经技术经济比较后选择轨道结构类型。同一线路可采用不同轨道结构型式。</w:t>
      </w:r>
    </w:p>
    <w:bookmarkEnd w:id="300"/>
    <w:p w14:paraId="6E41FBCA" w14:textId="77777777" w:rsidR="00D84020" w:rsidRPr="00FD50F6" w:rsidRDefault="00D84020" w:rsidP="00D84020">
      <w:pPr>
        <w:pStyle w:val="30"/>
      </w:pPr>
      <w:r w:rsidRPr="00FD50F6">
        <w:rPr>
          <w:rFonts w:hint="eastAsia"/>
        </w:rPr>
        <w:t>无砟轨道主体结构应按设计使用年限为</w:t>
      </w:r>
      <w:r w:rsidRPr="00FD50F6">
        <w:t>100</w:t>
      </w:r>
      <w:r w:rsidRPr="00FD50F6">
        <w:rPr>
          <w:rFonts w:hint="eastAsia"/>
        </w:rPr>
        <w:t>年的要求进行耐久性设计。</w:t>
      </w:r>
    </w:p>
    <w:p w14:paraId="74657748" w14:textId="77777777" w:rsidR="00D84020" w:rsidRPr="00FD50F6" w:rsidRDefault="00D84020" w:rsidP="00D84020">
      <w:pPr>
        <w:pStyle w:val="30"/>
        <w:rPr>
          <w:rFonts w:ascii="宋体" w:hAnsi="宋体"/>
        </w:rPr>
      </w:pPr>
      <w:r w:rsidRPr="00FD50F6">
        <w:rPr>
          <w:rFonts w:hint="eastAsia"/>
        </w:rPr>
        <w:t>轨道结构减振降噪设计应根据工程环境影响评价报告书的要求，采取相应技术措施。</w:t>
      </w:r>
    </w:p>
    <w:p w14:paraId="739DEB95" w14:textId="172EEBB7" w:rsidR="00D84020" w:rsidRPr="00FD50F6" w:rsidRDefault="00D84020" w:rsidP="00D84020">
      <w:pPr>
        <w:pStyle w:val="30"/>
      </w:pPr>
      <w:r w:rsidRPr="00FD50F6">
        <w:rPr>
          <w:rFonts w:hint="eastAsia"/>
        </w:rPr>
        <w:t>轨道结构设计应配备必要的检测、维修、管理设备。</w:t>
      </w:r>
    </w:p>
    <w:p w14:paraId="0C6398A9" w14:textId="77777777" w:rsidR="00D84020" w:rsidRPr="00FD50F6" w:rsidRDefault="00D84020" w:rsidP="00A65181">
      <w:pPr>
        <w:pStyle w:val="2"/>
      </w:pPr>
      <w:bookmarkStart w:id="301" w:name="_Toc112830675"/>
      <w:r w:rsidRPr="00FD50F6">
        <w:rPr>
          <w:rFonts w:hint="eastAsia"/>
        </w:rPr>
        <w:t>基本技术要求</w:t>
      </w:r>
      <w:bookmarkEnd w:id="301"/>
    </w:p>
    <w:p w14:paraId="63E443AA" w14:textId="77777777" w:rsidR="00D84020" w:rsidRPr="00FD50F6" w:rsidRDefault="00D84020" w:rsidP="00D84020">
      <w:pPr>
        <w:pStyle w:val="30"/>
      </w:pPr>
      <w:r w:rsidRPr="00FD50F6">
        <w:rPr>
          <w:rFonts w:hint="eastAsia"/>
        </w:rPr>
        <w:t>钢轨轨底坡应为</w:t>
      </w:r>
      <w:r w:rsidRPr="00FD50F6">
        <w:rPr>
          <w:rFonts w:hint="eastAsia"/>
        </w:rPr>
        <w:t>1/40</w:t>
      </w:r>
      <w:r w:rsidRPr="00FD50F6">
        <w:rPr>
          <w:rFonts w:hint="eastAsia"/>
        </w:rPr>
        <w:t>或</w:t>
      </w:r>
      <w:r w:rsidRPr="00FD50F6">
        <w:rPr>
          <w:rFonts w:hint="eastAsia"/>
        </w:rPr>
        <w:t>1/30</w:t>
      </w:r>
      <w:r w:rsidRPr="00FD50F6">
        <w:rPr>
          <w:rFonts w:hint="eastAsia"/>
        </w:rPr>
        <w:t>。在无轨底坡的两道岔间不足</w:t>
      </w:r>
      <w:r w:rsidRPr="00FD50F6">
        <w:rPr>
          <w:rFonts w:hint="eastAsia"/>
        </w:rPr>
        <w:t>50m</w:t>
      </w:r>
      <w:r w:rsidRPr="00FD50F6">
        <w:rPr>
          <w:rFonts w:hint="eastAsia"/>
        </w:rPr>
        <w:t>地段，可不设置轨底坡。</w:t>
      </w:r>
    </w:p>
    <w:p w14:paraId="4704BA68" w14:textId="7E159894" w:rsidR="00D84020" w:rsidRPr="00FD50F6" w:rsidRDefault="00D84020" w:rsidP="00D84020">
      <w:pPr>
        <w:pStyle w:val="30"/>
      </w:pPr>
      <w:r w:rsidRPr="00FD50F6">
        <w:rPr>
          <w:rFonts w:hint="eastAsia"/>
        </w:rPr>
        <w:t>轨距应为</w:t>
      </w:r>
      <w:r w:rsidRPr="00FD50F6">
        <w:rPr>
          <w:rFonts w:hint="eastAsia"/>
        </w:rPr>
        <w:t>1435mm</w:t>
      </w:r>
      <w:r w:rsidRPr="00FD50F6">
        <w:rPr>
          <w:rFonts w:hint="eastAsia"/>
        </w:rPr>
        <w:t>，半径小于</w:t>
      </w:r>
      <w:r w:rsidRPr="00FD50F6">
        <w:rPr>
          <w:rFonts w:hint="eastAsia"/>
        </w:rPr>
        <w:t>250m</w:t>
      </w:r>
      <w:r w:rsidRPr="00FD50F6">
        <w:rPr>
          <w:rFonts w:hint="eastAsia"/>
        </w:rPr>
        <w:t>的曲线地段应进行轨距加宽，加宽值应符合表</w:t>
      </w:r>
      <w:r w:rsidRPr="00FD50F6">
        <w:t>表</w:t>
      </w:r>
      <w:r w:rsidR="008F1971" w:rsidRPr="00FD50F6">
        <w:t>8</w:t>
      </w:r>
      <w:r w:rsidRPr="00FD50F6">
        <w:t>.2.2</w:t>
      </w:r>
      <w:r w:rsidRPr="00FD50F6">
        <w:rPr>
          <w:rFonts w:hint="eastAsia"/>
        </w:rPr>
        <w:t>的规定。轨距加宽值应在缓和曲线范围内递减，无缓和曲线或其长度不足时，应在直线地段递减，递减率不宜大于</w:t>
      </w:r>
      <w:r w:rsidRPr="00FD50F6">
        <w:rPr>
          <w:rFonts w:hint="eastAsia"/>
        </w:rPr>
        <w:t>2</w:t>
      </w:r>
      <w:r w:rsidRPr="00FD50F6">
        <w:rPr>
          <w:rFonts w:hint="eastAsia"/>
        </w:rPr>
        <w:t>‰。</w:t>
      </w:r>
    </w:p>
    <w:p w14:paraId="1B7005F8" w14:textId="1D8B6273" w:rsidR="00D84020" w:rsidRPr="00FD50F6" w:rsidRDefault="00D84020" w:rsidP="00D84020">
      <w:pPr>
        <w:pStyle w:val="6"/>
      </w:pPr>
      <w:r w:rsidRPr="00FD50F6">
        <w:t>表</w:t>
      </w:r>
      <w:r w:rsidR="008F1971" w:rsidRPr="00FD50F6">
        <w:t>8</w:t>
      </w:r>
      <w:r w:rsidRPr="00FD50F6">
        <w:t xml:space="preserve">.2.2  </w:t>
      </w:r>
      <w:r w:rsidRPr="00FD50F6">
        <w:t>曲线地段轨距加宽值</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7"/>
        <w:gridCol w:w="2588"/>
        <w:gridCol w:w="2627"/>
      </w:tblGrid>
      <w:tr w:rsidR="00FD50F6" w:rsidRPr="00FD50F6" w14:paraId="69F8A777" w14:textId="77777777" w:rsidTr="002C00FF">
        <w:trPr>
          <w:trHeight w:hRule="exact" w:val="397"/>
          <w:jc w:val="center"/>
        </w:trPr>
        <w:tc>
          <w:tcPr>
            <w:tcW w:w="3057" w:type="dxa"/>
            <w:vMerge w:val="restart"/>
            <w:vAlign w:val="center"/>
          </w:tcPr>
          <w:p w14:paraId="33A1BAEF" w14:textId="77777777" w:rsidR="00D84020" w:rsidRPr="00FD50F6" w:rsidRDefault="00D84020" w:rsidP="002C00FF">
            <w:pPr>
              <w:pStyle w:val="7"/>
            </w:pPr>
            <w:r w:rsidRPr="00FD50F6">
              <w:t>曲线半径</w:t>
            </w:r>
            <w:r w:rsidRPr="00FD50F6">
              <w:t>R</w:t>
            </w:r>
            <w:r w:rsidRPr="00FD50F6">
              <w:t>（</w:t>
            </w:r>
            <w:r w:rsidRPr="00FD50F6">
              <w:t>m</w:t>
            </w:r>
            <w:r w:rsidRPr="00FD50F6">
              <w:t>）</w:t>
            </w:r>
          </w:p>
        </w:tc>
        <w:tc>
          <w:tcPr>
            <w:tcW w:w="5215" w:type="dxa"/>
            <w:gridSpan w:val="2"/>
            <w:vAlign w:val="center"/>
          </w:tcPr>
          <w:p w14:paraId="5E8D335F" w14:textId="77777777" w:rsidR="00D84020" w:rsidRPr="00FD50F6" w:rsidRDefault="00D84020" w:rsidP="002C00FF">
            <w:pPr>
              <w:pStyle w:val="7"/>
            </w:pPr>
            <w:r w:rsidRPr="00FD50F6">
              <w:t>加宽值（</w:t>
            </w:r>
            <w:r w:rsidRPr="00FD50F6">
              <w:t>mm</w:t>
            </w:r>
            <w:r w:rsidRPr="00FD50F6">
              <w:t>）</w:t>
            </w:r>
          </w:p>
        </w:tc>
      </w:tr>
      <w:tr w:rsidR="00FD50F6" w:rsidRPr="00FD50F6" w14:paraId="72ADA4FD" w14:textId="77777777" w:rsidTr="002C00FF">
        <w:trPr>
          <w:trHeight w:hRule="exact" w:val="397"/>
          <w:jc w:val="center"/>
        </w:trPr>
        <w:tc>
          <w:tcPr>
            <w:tcW w:w="3057" w:type="dxa"/>
            <w:vMerge/>
            <w:vAlign w:val="center"/>
          </w:tcPr>
          <w:p w14:paraId="033D65EA" w14:textId="77777777" w:rsidR="00D84020" w:rsidRPr="00FD50F6" w:rsidRDefault="00D84020" w:rsidP="002C00FF">
            <w:pPr>
              <w:pStyle w:val="7"/>
            </w:pPr>
          </w:p>
        </w:tc>
        <w:tc>
          <w:tcPr>
            <w:tcW w:w="2588" w:type="dxa"/>
            <w:vAlign w:val="center"/>
          </w:tcPr>
          <w:p w14:paraId="657B61C7" w14:textId="77777777" w:rsidR="00D84020" w:rsidRPr="00FD50F6" w:rsidRDefault="00D84020" w:rsidP="002C00FF">
            <w:pPr>
              <w:pStyle w:val="7"/>
            </w:pPr>
            <w:r w:rsidRPr="00FD50F6">
              <w:t>A</w:t>
            </w:r>
            <w:r w:rsidRPr="00FD50F6">
              <w:t>型车</w:t>
            </w:r>
          </w:p>
        </w:tc>
        <w:tc>
          <w:tcPr>
            <w:tcW w:w="2627" w:type="dxa"/>
            <w:vAlign w:val="center"/>
          </w:tcPr>
          <w:p w14:paraId="4962E9BC" w14:textId="77777777" w:rsidR="00D84020" w:rsidRPr="00FD50F6" w:rsidRDefault="00D84020" w:rsidP="002C00FF">
            <w:pPr>
              <w:pStyle w:val="7"/>
            </w:pPr>
            <w:r w:rsidRPr="00FD50F6">
              <w:t>B</w:t>
            </w:r>
            <w:r w:rsidRPr="00FD50F6">
              <w:t>型车</w:t>
            </w:r>
          </w:p>
        </w:tc>
      </w:tr>
      <w:tr w:rsidR="00FD50F6" w:rsidRPr="00FD50F6" w14:paraId="3E531F04" w14:textId="77777777" w:rsidTr="002C00FF">
        <w:trPr>
          <w:trHeight w:hRule="exact" w:val="397"/>
          <w:jc w:val="center"/>
        </w:trPr>
        <w:tc>
          <w:tcPr>
            <w:tcW w:w="3057" w:type="dxa"/>
            <w:vAlign w:val="center"/>
          </w:tcPr>
          <w:p w14:paraId="0A9F79FF" w14:textId="77777777" w:rsidR="00D84020" w:rsidRPr="00FD50F6" w:rsidRDefault="00D84020" w:rsidP="002C00FF">
            <w:pPr>
              <w:pStyle w:val="7"/>
            </w:pPr>
            <w:r w:rsidRPr="00FD50F6">
              <w:t>250</w:t>
            </w:r>
            <w:r w:rsidRPr="00FD50F6">
              <w:t>＞</w:t>
            </w:r>
            <w:r w:rsidRPr="00FD50F6">
              <w:t>R≥200</w:t>
            </w:r>
          </w:p>
        </w:tc>
        <w:tc>
          <w:tcPr>
            <w:tcW w:w="2588" w:type="dxa"/>
            <w:vAlign w:val="center"/>
          </w:tcPr>
          <w:p w14:paraId="2317D752" w14:textId="77777777" w:rsidR="00D84020" w:rsidRPr="00FD50F6" w:rsidRDefault="00D84020" w:rsidP="002C00FF">
            <w:pPr>
              <w:pStyle w:val="7"/>
            </w:pPr>
            <w:r w:rsidRPr="00FD50F6">
              <w:t>5</w:t>
            </w:r>
          </w:p>
        </w:tc>
        <w:tc>
          <w:tcPr>
            <w:tcW w:w="2627" w:type="dxa"/>
            <w:vAlign w:val="center"/>
          </w:tcPr>
          <w:p w14:paraId="64AC3AA8" w14:textId="074C92D9" w:rsidR="00D84020" w:rsidRPr="00FD50F6" w:rsidRDefault="00D84020" w:rsidP="002C00FF">
            <w:pPr>
              <w:pStyle w:val="7"/>
            </w:pPr>
            <w:r w:rsidRPr="00FD50F6">
              <w:t>—</w:t>
            </w:r>
          </w:p>
        </w:tc>
      </w:tr>
      <w:tr w:rsidR="00FD50F6" w:rsidRPr="00FD50F6" w14:paraId="04125205" w14:textId="77777777" w:rsidTr="002C00FF">
        <w:trPr>
          <w:trHeight w:hRule="exact" w:val="397"/>
          <w:jc w:val="center"/>
        </w:trPr>
        <w:tc>
          <w:tcPr>
            <w:tcW w:w="3057" w:type="dxa"/>
            <w:vAlign w:val="center"/>
          </w:tcPr>
          <w:p w14:paraId="15D9AA15" w14:textId="77777777" w:rsidR="00D84020" w:rsidRPr="00FD50F6" w:rsidRDefault="00D84020" w:rsidP="002C00FF">
            <w:pPr>
              <w:pStyle w:val="7"/>
            </w:pPr>
            <w:r w:rsidRPr="00FD50F6">
              <w:t>200</w:t>
            </w:r>
            <w:r w:rsidRPr="00FD50F6">
              <w:t>＞</w:t>
            </w:r>
            <w:r w:rsidRPr="00FD50F6">
              <w:t>R≥150</w:t>
            </w:r>
          </w:p>
        </w:tc>
        <w:tc>
          <w:tcPr>
            <w:tcW w:w="2588" w:type="dxa"/>
            <w:vAlign w:val="center"/>
          </w:tcPr>
          <w:p w14:paraId="5A5EA1FF" w14:textId="77777777" w:rsidR="00D84020" w:rsidRPr="00FD50F6" w:rsidRDefault="00D84020" w:rsidP="002C00FF">
            <w:pPr>
              <w:pStyle w:val="7"/>
            </w:pPr>
            <w:r w:rsidRPr="00FD50F6">
              <w:t>10</w:t>
            </w:r>
          </w:p>
        </w:tc>
        <w:tc>
          <w:tcPr>
            <w:tcW w:w="2627" w:type="dxa"/>
            <w:vAlign w:val="center"/>
          </w:tcPr>
          <w:p w14:paraId="7B79A094" w14:textId="77777777" w:rsidR="00D84020" w:rsidRPr="00FD50F6" w:rsidRDefault="00D84020" w:rsidP="002C00FF">
            <w:pPr>
              <w:pStyle w:val="7"/>
            </w:pPr>
            <w:r w:rsidRPr="00FD50F6">
              <w:t>5</w:t>
            </w:r>
          </w:p>
        </w:tc>
      </w:tr>
      <w:tr w:rsidR="00FD50F6" w:rsidRPr="00FD50F6" w14:paraId="34DE7C4C" w14:textId="77777777" w:rsidTr="002C00FF">
        <w:trPr>
          <w:trHeight w:hRule="exact" w:val="397"/>
          <w:jc w:val="center"/>
        </w:trPr>
        <w:tc>
          <w:tcPr>
            <w:tcW w:w="3057" w:type="dxa"/>
            <w:vAlign w:val="center"/>
          </w:tcPr>
          <w:p w14:paraId="4DE12DDB" w14:textId="77777777" w:rsidR="00D84020" w:rsidRPr="00FD50F6" w:rsidRDefault="00D84020" w:rsidP="002C00FF">
            <w:pPr>
              <w:pStyle w:val="7"/>
            </w:pPr>
            <w:r w:rsidRPr="00FD50F6">
              <w:t>150</w:t>
            </w:r>
            <w:r w:rsidRPr="00FD50F6">
              <w:t>＞</w:t>
            </w:r>
            <w:r w:rsidRPr="00FD50F6">
              <w:t>R≥100</w:t>
            </w:r>
          </w:p>
        </w:tc>
        <w:tc>
          <w:tcPr>
            <w:tcW w:w="2588" w:type="dxa"/>
            <w:vAlign w:val="center"/>
          </w:tcPr>
          <w:p w14:paraId="52A9128F" w14:textId="77777777" w:rsidR="00D84020" w:rsidRPr="00FD50F6" w:rsidRDefault="00D84020" w:rsidP="002C00FF">
            <w:pPr>
              <w:pStyle w:val="7"/>
            </w:pPr>
            <w:r w:rsidRPr="00FD50F6">
              <w:t>15</w:t>
            </w:r>
          </w:p>
        </w:tc>
        <w:tc>
          <w:tcPr>
            <w:tcW w:w="2627" w:type="dxa"/>
            <w:vAlign w:val="center"/>
          </w:tcPr>
          <w:p w14:paraId="3B39D649" w14:textId="77777777" w:rsidR="00D84020" w:rsidRPr="00FD50F6" w:rsidRDefault="00D84020" w:rsidP="002C00FF">
            <w:pPr>
              <w:pStyle w:val="7"/>
            </w:pPr>
            <w:r w:rsidRPr="00FD50F6">
              <w:t>10</w:t>
            </w:r>
          </w:p>
        </w:tc>
      </w:tr>
    </w:tbl>
    <w:p w14:paraId="565337EA" w14:textId="77777777" w:rsidR="00D84020" w:rsidRPr="00FD50F6" w:rsidRDefault="00D84020" w:rsidP="00D84020">
      <w:pPr>
        <w:pStyle w:val="30"/>
      </w:pPr>
      <w:r w:rsidRPr="00FD50F6">
        <w:rPr>
          <w:rFonts w:hint="eastAsia"/>
        </w:rPr>
        <w:t>曲线超高值应按下式计算。</w:t>
      </w:r>
    </w:p>
    <w:p w14:paraId="5194F0B6" w14:textId="1FAA43BC" w:rsidR="00D84020" w:rsidRPr="00FD50F6" w:rsidRDefault="00D84020" w:rsidP="00D84020">
      <w:pPr>
        <w:pStyle w:val="8"/>
        <w:ind w:firstLine="480"/>
      </w:pPr>
      <w:r w:rsidRPr="00FD50F6">
        <w:rPr>
          <w:rFonts w:hint="eastAsia"/>
        </w:rPr>
        <w:t>1</w:t>
      </w:r>
      <w:r w:rsidRPr="00FD50F6">
        <w:t xml:space="preserve"> </w:t>
      </w:r>
      <w:r w:rsidRPr="00FD50F6">
        <w:rPr>
          <w:rFonts w:hint="eastAsia"/>
        </w:rPr>
        <w:t>最高设计速度不大于</w:t>
      </w:r>
      <w:r w:rsidRPr="00FD50F6">
        <w:rPr>
          <w:rFonts w:hint="eastAsia"/>
        </w:rPr>
        <w:t>100km/h</w:t>
      </w:r>
      <w:r w:rsidRPr="00FD50F6">
        <w:rPr>
          <w:rFonts w:hint="eastAsia"/>
        </w:rPr>
        <w:t>时，设置的最大超高应为</w:t>
      </w:r>
      <w:r w:rsidRPr="00FD50F6">
        <w:rPr>
          <w:rFonts w:hint="eastAsia"/>
        </w:rPr>
        <w:t>120mm</w:t>
      </w:r>
      <w:r w:rsidRPr="00FD50F6">
        <w:rPr>
          <w:rFonts w:hint="eastAsia"/>
        </w:rPr>
        <w:t>；</w:t>
      </w:r>
    </w:p>
    <w:p w14:paraId="59E354C0" w14:textId="61F53FEA" w:rsidR="00D84020" w:rsidRPr="00FD50F6" w:rsidRDefault="00D84020" w:rsidP="001A4CF3">
      <w:pPr>
        <w:pStyle w:val="8"/>
        <w:ind w:firstLineChars="83" w:firstLine="199"/>
      </w:pPr>
      <w:r w:rsidRPr="00FD50F6">
        <w:rPr>
          <w:rFonts w:hint="eastAsia"/>
        </w:rPr>
        <w:t>最高设计速度</w:t>
      </w:r>
      <w:r w:rsidRPr="00FD50F6">
        <w:rPr>
          <w:rFonts w:hint="eastAsia"/>
        </w:rPr>
        <w:t>100~120km/h</w:t>
      </w:r>
      <w:r w:rsidRPr="00FD50F6">
        <w:rPr>
          <w:rFonts w:hint="eastAsia"/>
        </w:rPr>
        <w:t>时，设置的最大超高应为</w:t>
      </w:r>
      <w:r w:rsidRPr="00FD50F6">
        <w:rPr>
          <w:rFonts w:hint="eastAsia"/>
        </w:rPr>
        <w:t>150mm</w:t>
      </w:r>
      <w:r w:rsidRPr="00FD50F6">
        <w:rPr>
          <w:rFonts w:hint="eastAsia"/>
        </w:rPr>
        <w:t>；</w:t>
      </w:r>
    </w:p>
    <w:p w14:paraId="01373367" w14:textId="77777777" w:rsidR="00D84020" w:rsidRPr="00FD50F6" w:rsidRDefault="00D84020" w:rsidP="00D84020">
      <w:pPr>
        <w:pStyle w:val="8"/>
        <w:ind w:firstLine="480"/>
      </w:pPr>
      <w:r w:rsidRPr="00FD50F6">
        <w:t xml:space="preserve">2 </w:t>
      </w:r>
      <w:r w:rsidRPr="00FD50F6">
        <w:rPr>
          <w:rFonts w:hint="eastAsia"/>
        </w:rPr>
        <w:t>未被平衡超高允许值不宜大于</w:t>
      </w:r>
      <w:r w:rsidRPr="00FD50F6">
        <w:rPr>
          <w:rFonts w:hint="eastAsia"/>
        </w:rPr>
        <w:t>61mm</w:t>
      </w:r>
      <w:r w:rsidRPr="00FD50F6">
        <w:rPr>
          <w:rFonts w:hint="eastAsia"/>
        </w:rPr>
        <w:t>，困难时不应大于</w:t>
      </w:r>
      <w:r w:rsidRPr="00FD50F6">
        <w:rPr>
          <w:rFonts w:hint="eastAsia"/>
        </w:rPr>
        <w:t>75mm</w:t>
      </w:r>
      <w:r w:rsidRPr="00FD50F6">
        <w:rPr>
          <w:rFonts w:hint="eastAsia"/>
        </w:rPr>
        <w:t>。车站站台有效长度范围内曲线超高不应大于</w:t>
      </w:r>
      <w:r w:rsidRPr="00FD50F6">
        <w:rPr>
          <w:rFonts w:hint="eastAsia"/>
        </w:rPr>
        <w:t>15mm</w:t>
      </w:r>
      <w:r w:rsidRPr="00FD50F6">
        <w:rPr>
          <w:rFonts w:hint="eastAsia"/>
        </w:rPr>
        <w:t>，未被平衡超高允许值不宜大于</w:t>
      </w:r>
      <w:r w:rsidRPr="00FD50F6">
        <w:rPr>
          <w:rFonts w:hint="eastAsia"/>
        </w:rPr>
        <w:t>45mm</w:t>
      </w:r>
      <w:r w:rsidRPr="00FD50F6">
        <w:rPr>
          <w:rFonts w:hint="eastAsia"/>
        </w:rPr>
        <w:t>。</w:t>
      </w:r>
    </w:p>
    <w:p w14:paraId="3DBBAE3D" w14:textId="77777777" w:rsidR="00D84020" w:rsidRPr="00FD50F6" w:rsidRDefault="00D84020" w:rsidP="00D84020">
      <w:pPr>
        <w:pStyle w:val="8"/>
        <w:ind w:firstLine="480"/>
      </w:pPr>
      <w:r w:rsidRPr="00FD50F6">
        <w:lastRenderedPageBreak/>
        <w:t xml:space="preserve">3 </w:t>
      </w:r>
      <w:r w:rsidRPr="00FD50F6">
        <w:rPr>
          <w:rFonts w:hint="eastAsia"/>
        </w:rPr>
        <w:t>曲线超高值应按下式计算：</w:t>
      </w:r>
    </w:p>
    <w:p w14:paraId="6418405D" w14:textId="22E8F4E6" w:rsidR="00D84020" w:rsidRPr="00FD50F6" w:rsidRDefault="00F23B1A" w:rsidP="00D84020">
      <w:pPr>
        <w:pStyle w:val="8"/>
        <w:ind w:firstLine="480"/>
        <w:jc w:val="center"/>
        <w:rPr>
          <w:rFonts w:ascii="宋体" w:hAnsi="宋体"/>
          <w:szCs w:val="21"/>
        </w:rPr>
      </w:pPr>
      <w:r w:rsidRPr="00FD50F6">
        <w:rPr>
          <w:noProof/>
          <w:position w:val="-12"/>
        </w:rPr>
        <w:object w:dxaOrig="1420" w:dyaOrig="380" w14:anchorId="2DD3D656">
          <v:shape id="_x0000_i1034" type="#_x0000_t75" alt="" style="width:71.45pt;height:20.2pt;mso-width-percent:0;mso-height-percent:0;mso-width-percent:0;mso-height-percent:0" o:ole="">
            <v:imagedata r:id="rId31" o:title=""/>
          </v:shape>
          <o:OLEObject Type="Embed" ProgID="Equation.DSMT4" ShapeID="_x0000_i1034" DrawAspect="Content" ObjectID="_1731840751" r:id="rId32"/>
        </w:object>
      </w:r>
      <w:r w:rsidR="00D84020" w:rsidRPr="00FD50F6">
        <w:rPr>
          <w:rFonts w:ascii="宋体" w:hAnsi="宋体" w:hint="eastAsia"/>
          <w:szCs w:val="21"/>
        </w:rPr>
        <w:t xml:space="preserve">                    </w:t>
      </w:r>
      <w:r w:rsidR="00D84020" w:rsidRPr="00FD50F6">
        <w:rPr>
          <w:rFonts w:cs="Times New Roman"/>
          <w:szCs w:val="21"/>
        </w:rPr>
        <w:t>(</w:t>
      </w:r>
      <w:r w:rsidR="008F1971" w:rsidRPr="00FD50F6">
        <w:rPr>
          <w:rFonts w:cs="Times New Roman"/>
          <w:szCs w:val="21"/>
        </w:rPr>
        <w:t>8</w:t>
      </w:r>
      <w:r w:rsidR="00D84020" w:rsidRPr="00FD50F6">
        <w:rPr>
          <w:rFonts w:cs="Times New Roman"/>
          <w:szCs w:val="21"/>
        </w:rPr>
        <w:t>.2.3)</w:t>
      </w:r>
    </w:p>
    <w:p w14:paraId="116A0BCD" w14:textId="5E07D46C" w:rsidR="00D84020" w:rsidRPr="00FD50F6" w:rsidRDefault="00D84020" w:rsidP="001A4CF3">
      <w:pPr>
        <w:pStyle w:val="8"/>
        <w:ind w:firstLineChars="83" w:firstLine="199"/>
        <w:rPr>
          <w:rFonts w:ascii="宋体" w:hAnsi="宋体"/>
          <w:szCs w:val="21"/>
        </w:rPr>
      </w:pPr>
      <w:r w:rsidRPr="00FD50F6">
        <w:rPr>
          <w:rFonts w:ascii="宋体" w:hAnsi="宋体" w:hint="eastAsia"/>
          <w:szCs w:val="21"/>
        </w:rPr>
        <w:t>式中：</w:t>
      </w:r>
      <w:r w:rsidR="00F23B1A" w:rsidRPr="00FD50F6">
        <w:rPr>
          <w:noProof/>
          <w:position w:val="-6"/>
        </w:rPr>
        <w:object w:dxaOrig="200" w:dyaOrig="279" w14:anchorId="60F31EDE">
          <v:shape id="_x0000_i1035" type="#_x0000_t75" alt="" style="width:12pt;height:14.2pt;mso-width-percent:0;mso-height-percent:0;mso-width-percent:0;mso-height-percent:0" o:ole="">
            <v:imagedata r:id="rId33" o:title=""/>
          </v:shape>
          <o:OLEObject Type="Embed" ProgID="Equation.DSMT4" ShapeID="_x0000_i1035" DrawAspect="Content" ObjectID="_1731840752" r:id="rId34"/>
        </w:object>
      </w:r>
      <w:r w:rsidRPr="00FD50F6">
        <w:rPr>
          <w:rFonts w:ascii="宋体" w:hAnsi="宋体" w:hint="eastAsia"/>
          <w:szCs w:val="21"/>
        </w:rPr>
        <w:t>——超高值(mm)；</w:t>
      </w:r>
    </w:p>
    <w:p w14:paraId="2C536D0C" w14:textId="1094CA49" w:rsidR="00D84020" w:rsidRPr="00FD50F6" w:rsidRDefault="00F23B1A" w:rsidP="00D84020">
      <w:pPr>
        <w:pStyle w:val="8"/>
        <w:ind w:firstLineChars="400" w:firstLine="960"/>
        <w:rPr>
          <w:rFonts w:ascii="宋体" w:hAnsi="宋体"/>
          <w:szCs w:val="21"/>
        </w:rPr>
      </w:pPr>
      <w:r w:rsidRPr="00FD50F6">
        <w:rPr>
          <w:noProof/>
          <w:position w:val="-12"/>
        </w:rPr>
        <w:object w:dxaOrig="260" w:dyaOrig="360" w14:anchorId="29A45CB2">
          <v:shape id="_x0000_i1036" type="#_x0000_t75" alt="" style="width:14.2pt;height:20.2pt;mso-width-percent:0;mso-height-percent:0;mso-width-percent:0;mso-height-percent:0" o:ole="">
            <v:imagedata r:id="rId35" o:title=""/>
          </v:shape>
          <o:OLEObject Type="Embed" ProgID="Equation.DSMT4" ShapeID="_x0000_i1036" DrawAspect="Content" ObjectID="_1731840753" r:id="rId36"/>
        </w:object>
      </w:r>
      <w:r w:rsidR="00D84020" w:rsidRPr="00FD50F6">
        <w:rPr>
          <w:rFonts w:ascii="宋体" w:hAnsi="宋体" w:hint="eastAsia"/>
          <w:szCs w:val="21"/>
        </w:rPr>
        <w:t>——列车通过速度(km/h)；</w:t>
      </w:r>
    </w:p>
    <w:p w14:paraId="178B3A55" w14:textId="3721156E" w:rsidR="00D84020" w:rsidRPr="00FD50F6" w:rsidRDefault="00F23B1A" w:rsidP="00D84020">
      <w:pPr>
        <w:pStyle w:val="8"/>
        <w:ind w:firstLineChars="400" w:firstLine="960"/>
        <w:rPr>
          <w:rFonts w:ascii="宋体" w:hAnsi="宋体"/>
          <w:szCs w:val="21"/>
        </w:rPr>
      </w:pPr>
      <w:r w:rsidRPr="00FD50F6">
        <w:rPr>
          <w:noProof/>
          <w:position w:val="-4"/>
        </w:rPr>
        <w:object w:dxaOrig="240" w:dyaOrig="260" w14:anchorId="798539B2">
          <v:shape id="_x0000_i1037" type="#_x0000_t75" alt="" style="width:12pt;height:14.2pt;mso-width-percent:0;mso-height-percent:0;mso-width-percent:0;mso-height-percent:0" o:ole="">
            <v:imagedata r:id="rId37" o:title=""/>
          </v:shape>
          <o:OLEObject Type="Embed" ProgID="Equation.DSMT4" ShapeID="_x0000_i1037" DrawAspect="Content" ObjectID="_1731840754" r:id="rId38"/>
        </w:object>
      </w:r>
      <w:r w:rsidR="00D84020" w:rsidRPr="00FD50F6">
        <w:rPr>
          <w:rFonts w:ascii="宋体" w:hAnsi="宋体" w:hint="eastAsia"/>
          <w:szCs w:val="21"/>
        </w:rPr>
        <w:t>——曲线半径(m)。</w:t>
      </w:r>
    </w:p>
    <w:p w14:paraId="5349819B" w14:textId="77777777" w:rsidR="00D84020" w:rsidRPr="00FD50F6" w:rsidRDefault="00D84020" w:rsidP="00D84020">
      <w:pPr>
        <w:pStyle w:val="30"/>
      </w:pPr>
      <w:r w:rsidRPr="00FD50F6">
        <w:rPr>
          <w:rFonts w:hint="eastAsia"/>
        </w:rPr>
        <w:t>曲线超高设置应符合下列规定：</w:t>
      </w:r>
    </w:p>
    <w:p w14:paraId="45FDF006" w14:textId="0B3FFEAC" w:rsidR="00D84020" w:rsidRPr="00FD50F6" w:rsidRDefault="00D84020" w:rsidP="00A926BD">
      <w:pPr>
        <w:pStyle w:val="4"/>
      </w:pPr>
      <w:r w:rsidRPr="00FD50F6">
        <w:rPr>
          <w:rFonts w:hint="eastAsia"/>
        </w:rPr>
        <w:t>隧道内及</w:t>
      </w:r>
      <w:r w:rsidRPr="00FD50F6">
        <w:rPr>
          <w:rFonts w:hint="eastAsia"/>
        </w:rPr>
        <w:t>U</w:t>
      </w:r>
      <w:r w:rsidRPr="00FD50F6">
        <w:rPr>
          <w:rFonts w:hint="eastAsia"/>
        </w:rPr>
        <w:t>形结构的无砟道床地段曲线超高，宜采用外轨抬高超高值的</w:t>
      </w:r>
      <w:r w:rsidRPr="00FD50F6">
        <w:rPr>
          <w:rFonts w:hint="eastAsia"/>
        </w:rPr>
        <w:t>1/2</w:t>
      </w:r>
      <w:r w:rsidRPr="00FD50F6">
        <w:rPr>
          <w:rFonts w:hint="eastAsia"/>
        </w:rPr>
        <w:t>、内轨降低超高值的</w:t>
      </w:r>
      <w:r w:rsidRPr="00FD50F6">
        <w:rPr>
          <w:rFonts w:hint="eastAsia"/>
        </w:rPr>
        <w:t xml:space="preserve"> 1/2</w:t>
      </w:r>
      <w:r w:rsidRPr="00FD50F6">
        <w:rPr>
          <w:rFonts w:hint="eastAsia"/>
        </w:rPr>
        <w:t>设置；高架线、地面线的轨道曲线超高，宜采取外轨抬高超高值设置；同一曲线应采用相同的超高设置方式。</w:t>
      </w:r>
    </w:p>
    <w:p w14:paraId="39EDF26B" w14:textId="179A49D7" w:rsidR="00D84020" w:rsidRPr="00FD50F6" w:rsidRDefault="00D84020" w:rsidP="00A926BD">
      <w:pPr>
        <w:pStyle w:val="4"/>
      </w:pPr>
      <w:r w:rsidRPr="00FD50F6">
        <w:rPr>
          <w:rFonts w:hint="eastAsia"/>
        </w:rPr>
        <w:t>超高顺坡率不宜大于</w:t>
      </w:r>
      <w:r w:rsidRPr="00FD50F6">
        <w:rPr>
          <w:rFonts w:hint="eastAsia"/>
        </w:rPr>
        <w:t>2</w:t>
      </w:r>
      <w:r w:rsidRPr="00FD50F6">
        <w:rPr>
          <w:rFonts w:hint="eastAsia"/>
        </w:rPr>
        <w:t>‰，困难地段不应大于</w:t>
      </w:r>
      <w:r w:rsidRPr="00FD50F6">
        <w:t>2.5</w:t>
      </w:r>
      <w:r w:rsidRPr="00FD50F6">
        <w:rPr>
          <w:rFonts w:hint="eastAsia"/>
        </w:rPr>
        <w:t>‰。</w:t>
      </w:r>
      <w:r w:rsidRPr="00FD50F6">
        <w:t>在无砟道床地段</w:t>
      </w:r>
      <w:r w:rsidRPr="00FD50F6">
        <w:rPr>
          <w:rFonts w:hint="eastAsia"/>
        </w:rPr>
        <w:t>，当</w:t>
      </w:r>
      <w:r w:rsidRPr="00FD50F6">
        <w:t>竖曲线与缓和曲线重叠时，</w:t>
      </w:r>
      <w:r w:rsidRPr="00FD50F6">
        <w:rPr>
          <w:rFonts w:hint="eastAsia"/>
        </w:rPr>
        <w:t>全超高条件下</w:t>
      </w:r>
      <w:r w:rsidRPr="00FD50F6">
        <w:t>的超高最大顺坡率</w:t>
      </w:r>
      <w:r w:rsidRPr="00FD50F6">
        <w:rPr>
          <w:rFonts w:hint="eastAsia"/>
        </w:rPr>
        <w:t>不应大于</w:t>
      </w:r>
      <w:r w:rsidRPr="00FD50F6">
        <w:rPr>
          <w:rFonts w:hint="eastAsia"/>
        </w:rPr>
        <w:t>1</w:t>
      </w:r>
      <w:r w:rsidRPr="00FD50F6">
        <w:t>.5</w:t>
      </w:r>
      <w:r w:rsidRPr="00FD50F6">
        <w:rPr>
          <w:rFonts w:hint="eastAsia"/>
        </w:rPr>
        <w:t>‰。曲线超高值应在缓和曲线内递减；无缓和曲线或其长度不足时，应在直线段递减。</w:t>
      </w:r>
    </w:p>
    <w:p w14:paraId="7879BD59" w14:textId="4734E98E" w:rsidR="00D84020" w:rsidRPr="00FD50F6" w:rsidRDefault="00D84020" w:rsidP="00D84020">
      <w:pPr>
        <w:pStyle w:val="30"/>
      </w:pPr>
      <w:r w:rsidRPr="00FD50F6">
        <w:rPr>
          <w:rFonts w:hint="eastAsia"/>
        </w:rPr>
        <w:t>无砟轨道地段轨道结构高度宜按表</w:t>
      </w:r>
      <w:r w:rsidR="008F1971" w:rsidRPr="00FD50F6">
        <w:rPr>
          <w:rFonts w:hint="eastAsia"/>
        </w:rPr>
        <w:t>8</w:t>
      </w:r>
      <w:r w:rsidRPr="00FD50F6">
        <w:rPr>
          <w:rFonts w:hint="eastAsia"/>
        </w:rPr>
        <w:t>.2.5</w:t>
      </w:r>
      <w:r w:rsidRPr="00FD50F6">
        <w:rPr>
          <w:rFonts w:hint="eastAsia"/>
        </w:rPr>
        <w:t>取值。</w:t>
      </w:r>
    </w:p>
    <w:p w14:paraId="7161EE4C" w14:textId="78BB1F49" w:rsidR="00D84020" w:rsidRPr="00FD50F6" w:rsidRDefault="00D84020" w:rsidP="00D84020">
      <w:pPr>
        <w:pStyle w:val="6"/>
      </w:pPr>
      <w:r w:rsidRPr="00FD50F6">
        <w:t>表</w:t>
      </w:r>
      <w:r w:rsidR="008F1971" w:rsidRPr="00FD50F6">
        <w:t>8</w:t>
      </w:r>
      <w:r w:rsidRPr="00FD50F6">
        <w:t>.2.5</w:t>
      </w:r>
      <w:r w:rsidRPr="00FD50F6">
        <w:rPr>
          <w:rFonts w:hint="eastAsia"/>
        </w:rPr>
        <w:t>无砟轨道地段的</w:t>
      </w:r>
      <w:r w:rsidRPr="00FD50F6">
        <w:t>轨道结构高度（</w:t>
      </w:r>
      <w:r w:rsidRPr="00FD50F6">
        <w:t>mm</w:t>
      </w:r>
      <w:r w:rsidRPr="00FD50F6">
        <w:t>）</w:t>
      </w:r>
    </w:p>
    <w:tbl>
      <w:tblPr>
        <w:tblW w:w="508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8"/>
        <w:gridCol w:w="1643"/>
        <w:gridCol w:w="1657"/>
        <w:gridCol w:w="1584"/>
        <w:gridCol w:w="1834"/>
      </w:tblGrid>
      <w:tr w:rsidR="00FD50F6" w:rsidRPr="00FD50F6" w14:paraId="29D747C6" w14:textId="77777777" w:rsidTr="002C00FF">
        <w:trPr>
          <w:trHeight w:val="300"/>
          <w:jc w:val="center"/>
        </w:trPr>
        <w:tc>
          <w:tcPr>
            <w:tcW w:w="1128" w:type="pct"/>
            <w:vMerge w:val="restart"/>
            <w:shd w:val="clear" w:color="auto" w:fill="auto"/>
            <w:vAlign w:val="center"/>
            <w:hideMark/>
          </w:tcPr>
          <w:p w14:paraId="54FFDA43" w14:textId="77777777" w:rsidR="00D84020" w:rsidRPr="00FD50F6" w:rsidRDefault="00D84020" w:rsidP="002C00FF">
            <w:pPr>
              <w:pStyle w:val="7"/>
            </w:pPr>
            <w:r w:rsidRPr="00FD50F6">
              <w:rPr>
                <w:rFonts w:hint="eastAsia"/>
              </w:rPr>
              <w:t>结构型式</w:t>
            </w:r>
          </w:p>
        </w:tc>
        <w:tc>
          <w:tcPr>
            <w:tcW w:w="1902" w:type="pct"/>
            <w:gridSpan w:val="2"/>
            <w:shd w:val="clear" w:color="auto" w:fill="auto"/>
            <w:vAlign w:val="center"/>
            <w:hideMark/>
          </w:tcPr>
          <w:p w14:paraId="76651188" w14:textId="77777777" w:rsidR="00D84020" w:rsidRPr="00FD50F6" w:rsidRDefault="00D84020" w:rsidP="002C00FF">
            <w:pPr>
              <w:pStyle w:val="7"/>
            </w:pPr>
            <w:r w:rsidRPr="00FD50F6">
              <w:rPr>
                <w:rFonts w:hint="eastAsia"/>
              </w:rPr>
              <w:t>现浇道床轨道结构高度</w:t>
            </w:r>
          </w:p>
        </w:tc>
        <w:tc>
          <w:tcPr>
            <w:tcW w:w="1970" w:type="pct"/>
            <w:gridSpan w:val="2"/>
            <w:shd w:val="clear" w:color="auto" w:fill="auto"/>
            <w:vAlign w:val="center"/>
            <w:hideMark/>
          </w:tcPr>
          <w:p w14:paraId="1E5E7C67" w14:textId="77777777" w:rsidR="00D84020" w:rsidRPr="00FD50F6" w:rsidRDefault="00D84020" w:rsidP="002C00FF">
            <w:pPr>
              <w:pStyle w:val="7"/>
            </w:pPr>
            <w:r w:rsidRPr="00FD50F6">
              <w:rPr>
                <w:rFonts w:hint="eastAsia"/>
              </w:rPr>
              <w:t>预制板道床轨道结构高度</w:t>
            </w:r>
          </w:p>
        </w:tc>
      </w:tr>
      <w:tr w:rsidR="00FD50F6" w:rsidRPr="00FD50F6" w14:paraId="0FD5BFC3" w14:textId="77777777" w:rsidTr="002C00FF">
        <w:trPr>
          <w:trHeight w:val="300"/>
          <w:jc w:val="center"/>
        </w:trPr>
        <w:tc>
          <w:tcPr>
            <w:tcW w:w="1128" w:type="pct"/>
            <w:vMerge/>
            <w:vAlign w:val="center"/>
            <w:hideMark/>
          </w:tcPr>
          <w:p w14:paraId="42E92DED" w14:textId="77777777" w:rsidR="00D84020" w:rsidRPr="00FD50F6" w:rsidRDefault="00D84020" w:rsidP="002C00FF">
            <w:pPr>
              <w:pStyle w:val="7"/>
            </w:pPr>
          </w:p>
        </w:tc>
        <w:tc>
          <w:tcPr>
            <w:tcW w:w="947" w:type="pct"/>
            <w:shd w:val="clear" w:color="auto" w:fill="auto"/>
            <w:vAlign w:val="center"/>
            <w:hideMark/>
          </w:tcPr>
          <w:p w14:paraId="0693C361" w14:textId="77777777" w:rsidR="00D84020" w:rsidRPr="00FD50F6" w:rsidRDefault="00D84020" w:rsidP="002C00FF">
            <w:pPr>
              <w:pStyle w:val="7"/>
            </w:pPr>
            <w:r w:rsidRPr="00FD50F6">
              <w:rPr>
                <w:rFonts w:hint="eastAsia"/>
              </w:rPr>
              <w:t>一般或中等减振</w:t>
            </w:r>
          </w:p>
        </w:tc>
        <w:tc>
          <w:tcPr>
            <w:tcW w:w="955" w:type="pct"/>
            <w:shd w:val="clear" w:color="auto" w:fill="auto"/>
            <w:vAlign w:val="center"/>
            <w:hideMark/>
          </w:tcPr>
          <w:p w14:paraId="6DBB1164" w14:textId="77777777" w:rsidR="00D84020" w:rsidRPr="00FD50F6" w:rsidRDefault="00D84020" w:rsidP="002C00FF">
            <w:pPr>
              <w:pStyle w:val="7"/>
            </w:pPr>
            <w:r w:rsidRPr="00FD50F6">
              <w:rPr>
                <w:rFonts w:hint="eastAsia"/>
              </w:rPr>
              <w:t>高等或特殊减振</w:t>
            </w:r>
          </w:p>
        </w:tc>
        <w:tc>
          <w:tcPr>
            <w:tcW w:w="913" w:type="pct"/>
            <w:shd w:val="clear" w:color="auto" w:fill="auto"/>
            <w:vAlign w:val="center"/>
            <w:hideMark/>
          </w:tcPr>
          <w:p w14:paraId="3C970929" w14:textId="77777777" w:rsidR="00D84020" w:rsidRPr="00FD50F6" w:rsidRDefault="00D84020" w:rsidP="002C00FF">
            <w:pPr>
              <w:pStyle w:val="7"/>
            </w:pPr>
            <w:r w:rsidRPr="00FD50F6">
              <w:rPr>
                <w:rFonts w:hint="eastAsia"/>
              </w:rPr>
              <w:t>一般或中等减振</w:t>
            </w:r>
          </w:p>
        </w:tc>
        <w:tc>
          <w:tcPr>
            <w:tcW w:w="1057" w:type="pct"/>
            <w:shd w:val="clear" w:color="auto" w:fill="auto"/>
            <w:vAlign w:val="center"/>
            <w:hideMark/>
          </w:tcPr>
          <w:p w14:paraId="09475007" w14:textId="77777777" w:rsidR="00D84020" w:rsidRPr="00FD50F6" w:rsidRDefault="00D84020" w:rsidP="002C00FF">
            <w:pPr>
              <w:pStyle w:val="7"/>
            </w:pPr>
            <w:r w:rsidRPr="00FD50F6">
              <w:rPr>
                <w:rFonts w:hint="eastAsia"/>
              </w:rPr>
              <w:t>高等或特殊减振</w:t>
            </w:r>
          </w:p>
        </w:tc>
      </w:tr>
      <w:tr w:rsidR="00FD50F6" w:rsidRPr="00FD50F6" w14:paraId="1900F143" w14:textId="77777777" w:rsidTr="002C00FF">
        <w:trPr>
          <w:trHeight w:val="300"/>
          <w:jc w:val="center"/>
        </w:trPr>
        <w:tc>
          <w:tcPr>
            <w:tcW w:w="1128" w:type="pct"/>
            <w:shd w:val="clear" w:color="auto" w:fill="auto"/>
            <w:vAlign w:val="center"/>
            <w:hideMark/>
          </w:tcPr>
          <w:p w14:paraId="162A5D8E" w14:textId="77777777" w:rsidR="00D84020" w:rsidRPr="00FD50F6" w:rsidRDefault="00D84020" w:rsidP="002C00FF">
            <w:pPr>
              <w:pStyle w:val="7"/>
            </w:pPr>
            <w:r w:rsidRPr="00FD50F6">
              <w:rPr>
                <w:rFonts w:hint="eastAsia"/>
              </w:rPr>
              <w:t>矩形隧道、双线马蹄型隧道（仰拱回填）</w:t>
            </w:r>
          </w:p>
        </w:tc>
        <w:tc>
          <w:tcPr>
            <w:tcW w:w="947" w:type="pct"/>
            <w:shd w:val="clear" w:color="auto" w:fill="auto"/>
            <w:vAlign w:val="center"/>
            <w:hideMark/>
          </w:tcPr>
          <w:p w14:paraId="7253CF86" w14:textId="77777777" w:rsidR="00D84020" w:rsidRPr="00FD50F6" w:rsidRDefault="00D84020" w:rsidP="002C00FF">
            <w:pPr>
              <w:pStyle w:val="7"/>
            </w:pPr>
            <w:r w:rsidRPr="00FD50F6">
              <w:t>560</w:t>
            </w:r>
          </w:p>
        </w:tc>
        <w:tc>
          <w:tcPr>
            <w:tcW w:w="955" w:type="pct"/>
            <w:shd w:val="clear" w:color="auto" w:fill="auto"/>
            <w:vAlign w:val="center"/>
            <w:hideMark/>
          </w:tcPr>
          <w:p w14:paraId="144D37B3" w14:textId="77777777" w:rsidR="00D84020" w:rsidRPr="00FD50F6" w:rsidRDefault="00D84020" w:rsidP="002C00FF">
            <w:pPr>
              <w:pStyle w:val="7"/>
            </w:pPr>
            <w:r w:rsidRPr="00FD50F6">
              <w:t>750</w:t>
            </w:r>
          </w:p>
        </w:tc>
        <w:tc>
          <w:tcPr>
            <w:tcW w:w="913" w:type="pct"/>
            <w:shd w:val="clear" w:color="auto" w:fill="auto"/>
            <w:vAlign w:val="center"/>
            <w:hideMark/>
          </w:tcPr>
          <w:p w14:paraId="715E96C8" w14:textId="77777777" w:rsidR="00D84020" w:rsidRPr="00FD50F6" w:rsidRDefault="00D84020" w:rsidP="002C00FF">
            <w:pPr>
              <w:pStyle w:val="7"/>
            </w:pPr>
            <w:r w:rsidRPr="00FD50F6">
              <w:t>650</w:t>
            </w:r>
          </w:p>
        </w:tc>
        <w:tc>
          <w:tcPr>
            <w:tcW w:w="1057" w:type="pct"/>
            <w:shd w:val="clear" w:color="auto" w:fill="auto"/>
            <w:vAlign w:val="center"/>
            <w:hideMark/>
          </w:tcPr>
          <w:p w14:paraId="54CB5ECE" w14:textId="77777777" w:rsidR="00D84020" w:rsidRPr="00FD50F6" w:rsidRDefault="00D84020" w:rsidP="002C00FF">
            <w:pPr>
              <w:pStyle w:val="7"/>
            </w:pPr>
            <w:r w:rsidRPr="00FD50F6">
              <w:t>750</w:t>
            </w:r>
          </w:p>
        </w:tc>
      </w:tr>
      <w:tr w:rsidR="00FD50F6" w:rsidRPr="00FD50F6" w14:paraId="19D07D73" w14:textId="77777777" w:rsidTr="002C00FF">
        <w:trPr>
          <w:trHeight w:val="876"/>
          <w:jc w:val="center"/>
        </w:trPr>
        <w:tc>
          <w:tcPr>
            <w:tcW w:w="1128" w:type="pct"/>
            <w:shd w:val="clear" w:color="auto" w:fill="auto"/>
            <w:vAlign w:val="center"/>
            <w:hideMark/>
          </w:tcPr>
          <w:p w14:paraId="54344472" w14:textId="77777777" w:rsidR="00D84020" w:rsidRPr="00FD50F6" w:rsidRDefault="00D84020" w:rsidP="002C00FF">
            <w:pPr>
              <w:pStyle w:val="7"/>
            </w:pPr>
            <w:r w:rsidRPr="00FD50F6">
              <w:rPr>
                <w:rFonts w:hint="eastAsia"/>
              </w:rPr>
              <w:t>单线马蹄形隧道（仰拱不回填时）</w:t>
            </w:r>
          </w:p>
        </w:tc>
        <w:tc>
          <w:tcPr>
            <w:tcW w:w="947" w:type="pct"/>
            <w:shd w:val="clear" w:color="auto" w:fill="auto"/>
            <w:vAlign w:val="center"/>
            <w:hideMark/>
          </w:tcPr>
          <w:p w14:paraId="7432B096" w14:textId="77777777" w:rsidR="00D84020" w:rsidRPr="00FD50F6" w:rsidRDefault="00D84020" w:rsidP="002C00FF">
            <w:pPr>
              <w:pStyle w:val="7"/>
            </w:pPr>
            <w:r w:rsidRPr="00FD50F6">
              <w:t>650</w:t>
            </w:r>
          </w:p>
        </w:tc>
        <w:tc>
          <w:tcPr>
            <w:tcW w:w="955" w:type="pct"/>
            <w:shd w:val="clear" w:color="auto" w:fill="auto"/>
            <w:vAlign w:val="center"/>
            <w:hideMark/>
          </w:tcPr>
          <w:p w14:paraId="57AD6F44" w14:textId="77777777" w:rsidR="00D84020" w:rsidRPr="00FD50F6" w:rsidRDefault="00D84020" w:rsidP="002C00FF">
            <w:pPr>
              <w:pStyle w:val="7"/>
            </w:pPr>
            <w:r w:rsidRPr="00FD50F6">
              <w:t>840</w:t>
            </w:r>
          </w:p>
        </w:tc>
        <w:tc>
          <w:tcPr>
            <w:tcW w:w="913" w:type="pct"/>
            <w:shd w:val="clear" w:color="auto" w:fill="auto"/>
            <w:vAlign w:val="center"/>
            <w:hideMark/>
          </w:tcPr>
          <w:p w14:paraId="33925873" w14:textId="77777777" w:rsidR="00D84020" w:rsidRPr="00FD50F6" w:rsidRDefault="00D84020" w:rsidP="002C00FF">
            <w:pPr>
              <w:pStyle w:val="7"/>
            </w:pPr>
            <w:r w:rsidRPr="00FD50F6">
              <w:t>650</w:t>
            </w:r>
          </w:p>
        </w:tc>
        <w:tc>
          <w:tcPr>
            <w:tcW w:w="1057" w:type="pct"/>
            <w:shd w:val="clear" w:color="auto" w:fill="auto"/>
            <w:vAlign w:val="center"/>
            <w:hideMark/>
          </w:tcPr>
          <w:p w14:paraId="1057F7F7" w14:textId="77777777" w:rsidR="00D84020" w:rsidRPr="00FD50F6" w:rsidRDefault="00D84020" w:rsidP="002C00FF">
            <w:pPr>
              <w:pStyle w:val="7"/>
            </w:pPr>
            <w:r w:rsidRPr="00FD50F6">
              <w:t>840</w:t>
            </w:r>
          </w:p>
        </w:tc>
      </w:tr>
      <w:tr w:rsidR="00FD50F6" w:rsidRPr="00FD50F6" w14:paraId="40F726CB" w14:textId="77777777" w:rsidTr="002C00FF">
        <w:trPr>
          <w:trHeight w:val="588"/>
          <w:jc w:val="center"/>
        </w:trPr>
        <w:tc>
          <w:tcPr>
            <w:tcW w:w="1128" w:type="pct"/>
            <w:shd w:val="clear" w:color="auto" w:fill="auto"/>
            <w:vAlign w:val="center"/>
            <w:hideMark/>
          </w:tcPr>
          <w:p w14:paraId="6E695986" w14:textId="77777777" w:rsidR="00D84020" w:rsidRPr="00FD50F6" w:rsidRDefault="00D84020" w:rsidP="002C00FF">
            <w:pPr>
              <w:pStyle w:val="7"/>
            </w:pPr>
            <w:r w:rsidRPr="00FD50F6">
              <w:rPr>
                <w:rFonts w:hint="eastAsia"/>
              </w:rPr>
              <w:t>单线圆形隧道</w:t>
            </w:r>
          </w:p>
        </w:tc>
        <w:tc>
          <w:tcPr>
            <w:tcW w:w="947" w:type="pct"/>
            <w:shd w:val="clear" w:color="auto" w:fill="auto"/>
            <w:vAlign w:val="center"/>
            <w:hideMark/>
          </w:tcPr>
          <w:p w14:paraId="5A9C6516" w14:textId="77777777" w:rsidR="00D84020" w:rsidRPr="00FD50F6" w:rsidRDefault="00D84020" w:rsidP="002C00FF">
            <w:pPr>
              <w:pStyle w:val="7"/>
            </w:pPr>
            <w:r w:rsidRPr="00FD50F6">
              <w:t>760</w:t>
            </w:r>
          </w:p>
        </w:tc>
        <w:tc>
          <w:tcPr>
            <w:tcW w:w="955" w:type="pct"/>
            <w:shd w:val="clear" w:color="auto" w:fill="auto"/>
            <w:vAlign w:val="center"/>
            <w:hideMark/>
          </w:tcPr>
          <w:p w14:paraId="3CDEDD20" w14:textId="77777777" w:rsidR="00D84020" w:rsidRPr="00FD50F6" w:rsidRDefault="00D84020" w:rsidP="002C00FF">
            <w:pPr>
              <w:pStyle w:val="7"/>
            </w:pPr>
            <w:r w:rsidRPr="00FD50F6">
              <w:t>850</w:t>
            </w:r>
          </w:p>
        </w:tc>
        <w:tc>
          <w:tcPr>
            <w:tcW w:w="913" w:type="pct"/>
            <w:shd w:val="clear" w:color="auto" w:fill="auto"/>
            <w:vAlign w:val="center"/>
            <w:hideMark/>
          </w:tcPr>
          <w:p w14:paraId="4CD5F030" w14:textId="77777777" w:rsidR="00D84020" w:rsidRPr="00FD50F6" w:rsidRDefault="00D84020" w:rsidP="002C00FF">
            <w:pPr>
              <w:pStyle w:val="7"/>
            </w:pPr>
            <w:r w:rsidRPr="00FD50F6">
              <w:t>800</w:t>
            </w:r>
          </w:p>
        </w:tc>
        <w:tc>
          <w:tcPr>
            <w:tcW w:w="1057" w:type="pct"/>
            <w:shd w:val="clear" w:color="auto" w:fill="auto"/>
            <w:vAlign w:val="center"/>
            <w:hideMark/>
          </w:tcPr>
          <w:p w14:paraId="466C39EE" w14:textId="77777777" w:rsidR="00D84020" w:rsidRPr="00FD50F6" w:rsidRDefault="00D84020" w:rsidP="002C00FF">
            <w:pPr>
              <w:pStyle w:val="7"/>
            </w:pPr>
            <w:r w:rsidRPr="00FD50F6">
              <w:t>850</w:t>
            </w:r>
          </w:p>
        </w:tc>
      </w:tr>
      <w:tr w:rsidR="00FD50F6" w:rsidRPr="00FD50F6" w14:paraId="4281CA9D" w14:textId="77777777" w:rsidTr="002C00FF">
        <w:trPr>
          <w:trHeight w:val="288"/>
          <w:jc w:val="center"/>
        </w:trPr>
        <w:tc>
          <w:tcPr>
            <w:tcW w:w="1128" w:type="pct"/>
            <w:shd w:val="clear" w:color="auto" w:fill="auto"/>
            <w:vAlign w:val="center"/>
            <w:hideMark/>
          </w:tcPr>
          <w:p w14:paraId="64981096" w14:textId="77777777" w:rsidR="00D84020" w:rsidRPr="00FD50F6" w:rsidRDefault="00D84020" w:rsidP="002C00FF">
            <w:pPr>
              <w:pStyle w:val="7"/>
            </w:pPr>
            <w:r w:rsidRPr="00FD50F6">
              <w:rPr>
                <w:rFonts w:hint="eastAsia"/>
              </w:rPr>
              <w:t>高架桥</w:t>
            </w:r>
          </w:p>
        </w:tc>
        <w:tc>
          <w:tcPr>
            <w:tcW w:w="947" w:type="pct"/>
            <w:shd w:val="clear" w:color="auto" w:fill="auto"/>
            <w:vAlign w:val="center"/>
            <w:hideMark/>
          </w:tcPr>
          <w:p w14:paraId="38C13856" w14:textId="77777777" w:rsidR="00D84020" w:rsidRPr="00FD50F6" w:rsidRDefault="00D84020" w:rsidP="002C00FF">
            <w:pPr>
              <w:pStyle w:val="7"/>
            </w:pPr>
            <w:r w:rsidRPr="00FD50F6">
              <w:t>520</w:t>
            </w:r>
          </w:p>
        </w:tc>
        <w:tc>
          <w:tcPr>
            <w:tcW w:w="955" w:type="pct"/>
            <w:shd w:val="clear" w:color="auto" w:fill="auto"/>
            <w:vAlign w:val="center"/>
            <w:hideMark/>
          </w:tcPr>
          <w:p w14:paraId="679B2005" w14:textId="77777777" w:rsidR="00D84020" w:rsidRPr="00FD50F6" w:rsidRDefault="00D84020" w:rsidP="002C00FF">
            <w:pPr>
              <w:pStyle w:val="7"/>
            </w:pPr>
            <w:r w:rsidRPr="00FD50F6">
              <w:t>650</w:t>
            </w:r>
          </w:p>
        </w:tc>
        <w:tc>
          <w:tcPr>
            <w:tcW w:w="913" w:type="pct"/>
            <w:shd w:val="clear" w:color="auto" w:fill="auto"/>
            <w:vAlign w:val="center"/>
            <w:hideMark/>
          </w:tcPr>
          <w:p w14:paraId="4528456B" w14:textId="77777777" w:rsidR="00D84020" w:rsidRPr="00FD50F6" w:rsidRDefault="00D84020" w:rsidP="002C00FF">
            <w:pPr>
              <w:pStyle w:val="7"/>
            </w:pPr>
            <w:r w:rsidRPr="00FD50F6">
              <w:t>650</w:t>
            </w:r>
          </w:p>
        </w:tc>
        <w:tc>
          <w:tcPr>
            <w:tcW w:w="1057" w:type="pct"/>
            <w:shd w:val="clear" w:color="auto" w:fill="auto"/>
            <w:vAlign w:val="center"/>
            <w:hideMark/>
          </w:tcPr>
          <w:p w14:paraId="34FBFF66" w14:textId="77777777" w:rsidR="00D84020" w:rsidRPr="00FD50F6" w:rsidRDefault="00D84020" w:rsidP="002C00FF">
            <w:pPr>
              <w:pStyle w:val="7"/>
            </w:pPr>
            <w:r w:rsidRPr="00FD50F6">
              <w:t>650</w:t>
            </w:r>
          </w:p>
        </w:tc>
      </w:tr>
    </w:tbl>
    <w:p w14:paraId="34A4CD1E" w14:textId="77777777" w:rsidR="00D84020" w:rsidRPr="00FD50F6" w:rsidRDefault="00D84020" w:rsidP="00D84020">
      <w:pPr>
        <w:rPr>
          <w:rFonts w:ascii="宋体" w:hAnsi="宋体"/>
        </w:rPr>
      </w:pPr>
      <w:r w:rsidRPr="00FD50F6">
        <w:rPr>
          <w:rFonts w:ascii="宋体" w:hAnsi="宋体" w:hint="eastAsia"/>
          <w:sz w:val="21"/>
        </w:rPr>
        <w:t>注：</w:t>
      </w:r>
      <w:r w:rsidRPr="00FD50F6">
        <w:rPr>
          <w:rFonts w:ascii="宋体" w:hAnsi="宋体"/>
          <w:sz w:val="21"/>
        </w:rPr>
        <w:t xml:space="preserve">1 </w:t>
      </w:r>
      <w:r w:rsidRPr="00FD50F6">
        <w:rPr>
          <w:rFonts w:ascii="宋体" w:hAnsi="宋体" w:hint="eastAsia"/>
          <w:sz w:val="21"/>
        </w:rPr>
        <w:t>圆形隧道以盾构内径</w:t>
      </w:r>
      <w:r w:rsidRPr="00FD50F6">
        <w:rPr>
          <w:rFonts w:ascii="宋体" w:hAnsi="宋体"/>
          <w:sz w:val="21"/>
        </w:rPr>
        <w:t>5.5m</w:t>
      </w:r>
      <w:r w:rsidRPr="00FD50F6">
        <w:rPr>
          <w:rFonts w:ascii="宋体" w:hAnsi="宋体" w:hint="eastAsia"/>
          <w:sz w:val="21"/>
        </w:rPr>
        <w:t>为例，盾构内径不同时可根据工程条件调整轨道结构高度。</w:t>
      </w:r>
    </w:p>
    <w:p w14:paraId="315DB56A" w14:textId="7746C600" w:rsidR="00D84020" w:rsidRPr="00FD50F6" w:rsidRDefault="00D84020" w:rsidP="00D84020">
      <w:r w:rsidRPr="00FD50F6">
        <w:rPr>
          <w:rFonts w:ascii="宋体" w:hAnsi="宋体"/>
          <w:sz w:val="21"/>
        </w:rPr>
        <w:t xml:space="preserve">   </w:t>
      </w:r>
      <w:r w:rsidR="006A75E2">
        <w:rPr>
          <w:rFonts w:ascii="宋体" w:hAnsi="宋体"/>
          <w:sz w:val="21"/>
        </w:rPr>
        <w:t xml:space="preserve"> </w:t>
      </w:r>
      <w:r w:rsidRPr="00FD50F6">
        <w:rPr>
          <w:rFonts w:ascii="宋体" w:hAnsi="宋体"/>
          <w:sz w:val="21"/>
        </w:rPr>
        <w:t xml:space="preserve">2 </w:t>
      </w:r>
      <w:r w:rsidRPr="00FD50F6">
        <w:rPr>
          <w:rFonts w:ascii="宋体" w:hAnsi="宋体" w:hint="eastAsia"/>
          <w:sz w:val="21"/>
        </w:rPr>
        <w:t>预制板轨道结构高度可结合预制轨道结构类型适当调整。</w:t>
      </w:r>
      <w:r w:rsidRPr="00FD50F6">
        <w:t xml:space="preserve"> </w:t>
      </w:r>
    </w:p>
    <w:p w14:paraId="73058237" w14:textId="59CEC1B1" w:rsidR="00D84020" w:rsidRPr="001A4CF3" w:rsidRDefault="00D84020" w:rsidP="001A4CF3">
      <w:pPr>
        <w:pStyle w:val="30"/>
      </w:pPr>
      <w:r w:rsidRPr="00FD50F6">
        <w:rPr>
          <w:rFonts w:hint="eastAsia"/>
        </w:rPr>
        <w:t>有砟道床最小厚度宜按表</w:t>
      </w:r>
      <w:r w:rsidR="008F1971" w:rsidRPr="00FD50F6">
        <w:rPr>
          <w:rFonts w:hint="eastAsia"/>
        </w:rPr>
        <w:t>8</w:t>
      </w:r>
      <w:r w:rsidRPr="00FD50F6">
        <w:rPr>
          <w:rFonts w:hint="eastAsia"/>
        </w:rPr>
        <w:t>.2.</w:t>
      </w:r>
      <w:r w:rsidR="008C6B9B" w:rsidRPr="00FD50F6">
        <w:t>6</w:t>
      </w:r>
      <w:r w:rsidRPr="00FD50F6">
        <w:rPr>
          <w:rFonts w:hint="eastAsia"/>
        </w:rPr>
        <w:t xml:space="preserve"> </w:t>
      </w:r>
      <w:r w:rsidRPr="00FD50F6">
        <w:rPr>
          <w:rFonts w:hint="eastAsia"/>
        </w:rPr>
        <w:t>取值。</w:t>
      </w:r>
    </w:p>
    <w:p w14:paraId="35616899" w14:textId="39DF76FF" w:rsidR="00D84020" w:rsidRPr="00FD50F6" w:rsidRDefault="00D84020" w:rsidP="00D84020">
      <w:pPr>
        <w:pStyle w:val="6"/>
      </w:pPr>
      <w:r w:rsidRPr="00FD50F6">
        <w:t>表</w:t>
      </w:r>
      <w:r w:rsidR="008F1971" w:rsidRPr="00FD50F6">
        <w:t>8</w:t>
      </w:r>
      <w:r w:rsidRPr="00FD50F6">
        <w:t>.2.</w:t>
      </w:r>
      <w:r w:rsidR="008C6B9B" w:rsidRPr="00FD50F6">
        <w:t>6</w:t>
      </w:r>
      <w:r w:rsidRPr="00FD50F6">
        <w:t>有砟道床最小厚度（</w:t>
      </w:r>
      <w:r w:rsidRPr="00FD50F6">
        <w:t>mm</w:t>
      </w:r>
      <w:r w:rsidRPr="00FD50F6">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817"/>
        <w:gridCol w:w="1652"/>
        <w:gridCol w:w="2384"/>
      </w:tblGrid>
      <w:tr w:rsidR="00FD50F6" w:rsidRPr="00FD50F6" w14:paraId="09FB8C63" w14:textId="77777777" w:rsidTr="002C00FF">
        <w:trPr>
          <w:cantSplit/>
          <w:trHeight w:hRule="exact" w:val="397"/>
          <w:jc w:val="center"/>
        </w:trPr>
        <w:tc>
          <w:tcPr>
            <w:tcW w:w="3419" w:type="dxa"/>
            <w:vMerge w:val="restart"/>
            <w:vAlign w:val="center"/>
          </w:tcPr>
          <w:p w14:paraId="74F68FB8" w14:textId="77777777" w:rsidR="00D84020" w:rsidRPr="00FD50F6" w:rsidRDefault="00D84020" w:rsidP="002C00FF">
            <w:pPr>
              <w:pStyle w:val="7"/>
            </w:pPr>
            <w:r w:rsidRPr="00FD50F6">
              <w:t>下部结构类型</w:t>
            </w:r>
          </w:p>
        </w:tc>
        <w:tc>
          <w:tcPr>
            <w:tcW w:w="4853" w:type="dxa"/>
            <w:gridSpan w:val="3"/>
            <w:vAlign w:val="center"/>
          </w:tcPr>
          <w:p w14:paraId="31F47364" w14:textId="77777777" w:rsidR="00D84020" w:rsidRPr="00FD50F6" w:rsidRDefault="00D84020" w:rsidP="002C00FF">
            <w:pPr>
              <w:pStyle w:val="7"/>
            </w:pPr>
            <w:r w:rsidRPr="00FD50F6">
              <w:t>道床厚度</w:t>
            </w:r>
          </w:p>
        </w:tc>
      </w:tr>
      <w:tr w:rsidR="00FD50F6" w:rsidRPr="00FD50F6" w14:paraId="791F7925" w14:textId="77777777" w:rsidTr="002C00FF">
        <w:trPr>
          <w:cantSplit/>
          <w:trHeight w:hRule="exact" w:val="397"/>
          <w:jc w:val="center"/>
        </w:trPr>
        <w:tc>
          <w:tcPr>
            <w:tcW w:w="3419" w:type="dxa"/>
            <w:vMerge/>
            <w:vAlign w:val="center"/>
          </w:tcPr>
          <w:p w14:paraId="12456944" w14:textId="77777777" w:rsidR="00D84020" w:rsidRPr="00FD50F6" w:rsidRDefault="00D84020" w:rsidP="002C00FF">
            <w:pPr>
              <w:pStyle w:val="7"/>
              <w:rPr>
                <w:szCs w:val="21"/>
              </w:rPr>
            </w:pPr>
          </w:p>
        </w:tc>
        <w:tc>
          <w:tcPr>
            <w:tcW w:w="2469" w:type="dxa"/>
            <w:gridSpan w:val="2"/>
            <w:vAlign w:val="center"/>
          </w:tcPr>
          <w:p w14:paraId="0BE40B21" w14:textId="77777777" w:rsidR="00D84020" w:rsidRPr="00FD50F6" w:rsidRDefault="00D84020" w:rsidP="002C00FF">
            <w:pPr>
              <w:pStyle w:val="7"/>
            </w:pPr>
            <w:r w:rsidRPr="00FD50F6">
              <w:t>正线、配线</w:t>
            </w:r>
          </w:p>
        </w:tc>
        <w:tc>
          <w:tcPr>
            <w:tcW w:w="2384" w:type="dxa"/>
            <w:vAlign w:val="center"/>
          </w:tcPr>
          <w:p w14:paraId="468BB805" w14:textId="77777777" w:rsidR="00D84020" w:rsidRPr="00FD50F6" w:rsidRDefault="00D84020" w:rsidP="002C00FF">
            <w:pPr>
              <w:pStyle w:val="7"/>
            </w:pPr>
            <w:r w:rsidRPr="00FD50F6">
              <w:t>车场线</w:t>
            </w:r>
          </w:p>
        </w:tc>
      </w:tr>
      <w:tr w:rsidR="00FD50F6" w:rsidRPr="00FD50F6" w14:paraId="4DAA5096" w14:textId="77777777" w:rsidTr="002C00FF">
        <w:trPr>
          <w:cantSplit/>
          <w:trHeight w:hRule="exact" w:val="397"/>
          <w:jc w:val="center"/>
        </w:trPr>
        <w:tc>
          <w:tcPr>
            <w:tcW w:w="3419" w:type="dxa"/>
            <w:vMerge w:val="restart"/>
            <w:vAlign w:val="center"/>
          </w:tcPr>
          <w:p w14:paraId="47777EC5" w14:textId="77777777" w:rsidR="00D84020" w:rsidRPr="00FD50F6" w:rsidRDefault="00D84020" w:rsidP="002C00FF">
            <w:pPr>
              <w:pStyle w:val="7"/>
            </w:pPr>
            <w:r w:rsidRPr="00FD50F6">
              <w:t>非渗水土路基</w:t>
            </w:r>
          </w:p>
        </w:tc>
        <w:tc>
          <w:tcPr>
            <w:tcW w:w="817" w:type="dxa"/>
            <w:vMerge w:val="restart"/>
            <w:vAlign w:val="center"/>
          </w:tcPr>
          <w:p w14:paraId="4E472EFF" w14:textId="77777777" w:rsidR="00D84020" w:rsidRPr="00FD50F6" w:rsidRDefault="00D84020" w:rsidP="002C00FF">
            <w:pPr>
              <w:pStyle w:val="7"/>
            </w:pPr>
            <w:r w:rsidRPr="00FD50F6">
              <w:t>双层</w:t>
            </w:r>
          </w:p>
        </w:tc>
        <w:tc>
          <w:tcPr>
            <w:tcW w:w="1652" w:type="dxa"/>
            <w:vAlign w:val="center"/>
          </w:tcPr>
          <w:p w14:paraId="1BE2C7E7" w14:textId="77777777" w:rsidR="00D84020" w:rsidRPr="00FD50F6" w:rsidRDefault="00D84020" w:rsidP="002C00FF">
            <w:pPr>
              <w:pStyle w:val="7"/>
            </w:pPr>
            <w:r w:rsidRPr="00FD50F6">
              <w:t>道砟</w:t>
            </w:r>
            <w:r w:rsidRPr="00FD50F6">
              <w:t>250</w:t>
            </w:r>
          </w:p>
        </w:tc>
        <w:tc>
          <w:tcPr>
            <w:tcW w:w="2384" w:type="dxa"/>
            <w:vMerge w:val="restart"/>
            <w:vAlign w:val="center"/>
          </w:tcPr>
          <w:p w14:paraId="661BA588" w14:textId="77777777" w:rsidR="00D84020" w:rsidRPr="00FD50F6" w:rsidRDefault="00D84020" w:rsidP="002C00FF">
            <w:pPr>
              <w:pStyle w:val="7"/>
            </w:pPr>
            <w:r w:rsidRPr="00FD50F6">
              <w:t>单层</w:t>
            </w:r>
            <w:r w:rsidRPr="00FD50F6">
              <w:t>250</w:t>
            </w:r>
          </w:p>
        </w:tc>
      </w:tr>
      <w:tr w:rsidR="00FD50F6" w:rsidRPr="00FD50F6" w14:paraId="77F3F0F3" w14:textId="77777777" w:rsidTr="002C00FF">
        <w:trPr>
          <w:cantSplit/>
          <w:trHeight w:hRule="exact" w:val="397"/>
          <w:jc w:val="center"/>
        </w:trPr>
        <w:tc>
          <w:tcPr>
            <w:tcW w:w="3419" w:type="dxa"/>
            <w:vMerge/>
            <w:vAlign w:val="center"/>
          </w:tcPr>
          <w:p w14:paraId="19E25FD7" w14:textId="77777777" w:rsidR="00D84020" w:rsidRPr="00FD50F6" w:rsidRDefault="00D84020" w:rsidP="002C00FF">
            <w:pPr>
              <w:pStyle w:val="7"/>
              <w:rPr>
                <w:szCs w:val="21"/>
              </w:rPr>
            </w:pPr>
          </w:p>
        </w:tc>
        <w:tc>
          <w:tcPr>
            <w:tcW w:w="817" w:type="dxa"/>
            <w:vMerge/>
            <w:vAlign w:val="center"/>
          </w:tcPr>
          <w:p w14:paraId="1C836A50" w14:textId="77777777" w:rsidR="00D84020" w:rsidRPr="00FD50F6" w:rsidRDefault="00D84020" w:rsidP="002C00FF">
            <w:pPr>
              <w:pStyle w:val="7"/>
              <w:rPr>
                <w:szCs w:val="21"/>
              </w:rPr>
            </w:pPr>
          </w:p>
        </w:tc>
        <w:tc>
          <w:tcPr>
            <w:tcW w:w="1652" w:type="dxa"/>
            <w:vAlign w:val="center"/>
          </w:tcPr>
          <w:p w14:paraId="7892432B" w14:textId="77777777" w:rsidR="00D84020" w:rsidRPr="00FD50F6" w:rsidRDefault="00D84020" w:rsidP="002C00FF">
            <w:pPr>
              <w:pStyle w:val="7"/>
            </w:pPr>
            <w:r w:rsidRPr="00FD50F6">
              <w:t>底砟</w:t>
            </w:r>
            <w:r w:rsidRPr="00FD50F6">
              <w:t>200</w:t>
            </w:r>
          </w:p>
        </w:tc>
        <w:tc>
          <w:tcPr>
            <w:tcW w:w="2384" w:type="dxa"/>
            <w:vMerge/>
          </w:tcPr>
          <w:p w14:paraId="1E27CD19" w14:textId="77777777" w:rsidR="00D84020" w:rsidRPr="00FD50F6" w:rsidRDefault="00D84020" w:rsidP="002C00FF">
            <w:pPr>
              <w:pStyle w:val="7"/>
              <w:rPr>
                <w:szCs w:val="21"/>
              </w:rPr>
            </w:pPr>
          </w:p>
        </w:tc>
      </w:tr>
      <w:tr w:rsidR="00D84020" w:rsidRPr="00FD50F6" w14:paraId="0D678DCC" w14:textId="77777777" w:rsidTr="002C00FF">
        <w:trPr>
          <w:cantSplit/>
          <w:trHeight w:hRule="exact" w:val="397"/>
          <w:jc w:val="center"/>
        </w:trPr>
        <w:tc>
          <w:tcPr>
            <w:tcW w:w="3419" w:type="dxa"/>
            <w:vAlign w:val="center"/>
          </w:tcPr>
          <w:p w14:paraId="646F954F" w14:textId="77777777" w:rsidR="00D84020" w:rsidRPr="00FD50F6" w:rsidRDefault="00D84020" w:rsidP="002C00FF">
            <w:pPr>
              <w:pStyle w:val="7"/>
            </w:pPr>
            <w:r w:rsidRPr="00FD50F6">
              <w:t>岩石、渗水土路基、混凝土结构</w:t>
            </w:r>
          </w:p>
        </w:tc>
        <w:tc>
          <w:tcPr>
            <w:tcW w:w="2469" w:type="dxa"/>
            <w:gridSpan w:val="2"/>
            <w:vAlign w:val="center"/>
          </w:tcPr>
          <w:p w14:paraId="27BFDB6E" w14:textId="77777777" w:rsidR="00D84020" w:rsidRPr="00FD50F6" w:rsidRDefault="00D84020" w:rsidP="002C00FF">
            <w:pPr>
              <w:pStyle w:val="7"/>
            </w:pPr>
            <w:r w:rsidRPr="00FD50F6">
              <w:t>单层道砟</w:t>
            </w:r>
            <w:r w:rsidRPr="00FD50F6">
              <w:t>300</w:t>
            </w:r>
          </w:p>
        </w:tc>
        <w:tc>
          <w:tcPr>
            <w:tcW w:w="2384" w:type="dxa"/>
            <w:vMerge/>
          </w:tcPr>
          <w:p w14:paraId="0651DBBD" w14:textId="77777777" w:rsidR="00D84020" w:rsidRPr="00FD50F6" w:rsidRDefault="00D84020" w:rsidP="002C00FF">
            <w:pPr>
              <w:pStyle w:val="7"/>
              <w:rPr>
                <w:szCs w:val="21"/>
              </w:rPr>
            </w:pPr>
          </w:p>
        </w:tc>
      </w:tr>
    </w:tbl>
    <w:p w14:paraId="58B77E0F" w14:textId="77777777" w:rsidR="00D84020" w:rsidRPr="00FD50F6" w:rsidRDefault="00D84020" w:rsidP="00D84020">
      <w:pPr>
        <w:pStyle w:val="6"/>
      </w:pPr>
    </w:p>
    <w:p w14:paraId="126BF313" w14:textId="2C972A30" w:rsidR="00D84020" w:rsidRPr="00FD50F6" w:rsidRDefault="00D84020" w:rsidP="001A4CF3">
      <w:pPr>
        <w:pStyle w:val="30"/>
      </w:pPr>
      <w:r w:rsidRPr="00FD50F6">
        <w:rPr>
          <w:rFonts w:hint="eastAsia"/>
        </w:rPr>
        <w:t>车场线轨道结构高度宜按表</w:t>
      </w:r>
      <w:r w:rsidR="008C6B9B" w:rsidRPr="00FD50F6">
        <w:t>8</w:t>
      </w:r>
      <w:r w:rsidRPr="00FD50F6">
        <w:rPr>
          <w:rFonts w:hint="eastAsia"/>
        </w:rPr>
        <w:t>.2.</w:t>
      </w:r>
      <w:r w:rsidR="008C6B9B" w:rsidRPr="00FD50F6">
        <w:t>7</w:t>
      </w:r>
      <w:r w:rsidRPr="00FD50F6">
        <w:rPr>
          <w:rFonts w:hint="eastAsia"/>
        </w:rPr>
        <w:t>取值。</w:t>
      </w:r>
    </w:p>
    <w:p w14:paraId="5258C969" w14:textId="02E06A77" w:rsidR="00D84020" w:rsidRPr="00FD50F6" w:rsidRDefault="00D84020" w:rsidP="00D84020">
      <w:pPr>
        <w:pStyle w:val="6"/>
      </w:pPr>
      <w:r w:rsidRPr="00FD50F6">
        <w:t>表</w:t>
      </w:r>
      <w:r w:rsidR="008C6B9B" w:rsidRPr="00FD50F6">
        <w:t>8</w:t>
      </w:r>
      <w:r w:rsidRPr="00FD50F6">
        <w:t>.2.</w:t>
      </w:r>
      <w:r w:rsidR="008C6B9B" w:rsidRPr="00FD50F6">
        <w:t>7</w:t>
      </w:r>
      <w:r w:rsidRPr="00FD50F6">
        <w:t xml:space="preserve"> </w:t>
      </w:r>
      <w:r w:rsidRPr="00FD50F6">
        <w:rPr>
          <w:rFonts w:hint="eastAsia"/>
        </w:rPr>
        <w:t>车场线轨道结构高度</w:t>
      </w:r>
      <w:r w:rsidRPr="00FD50F6">
        <w:t>（</w:t>
      </w:r>
      <w:r w:rsidRPr="00FD50F6">
        <w:t>mm</w:t>
      </w:r>
      <w:r w:rsidRPr="00FD50F6">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04"/>
        <w:gridCol w:w="4324"/>
      </w:tblGrid>
      <w:tr w:rsidR="00FD50F6" w:rsidRPr="00FD50F6" w14:paraId="655A7986" w14:textId="77777777" w:rsidTr="002C00FF">
        <w:trPr>
          <w:trHeight w:val="288"/>
          <w:jc w:val="center"/>
        </w:trPr>
        <w:tc>
          <w:tcPr>
            <w:tcW w:w="2465" w:type="pct"/>
            <w:shd w:val="clear" w:color="auto" w:fill="auto"/>
            <w:vAlign w:val="center"/>
          </w:tcPr>
          <w:p w14:paraId="3333B31D" w14:textId="77777777" w:rsidR="00D84020" w:rsidRPr="00FD50F6" w:rsidRDefault="00D84020" w:rsidP="002C00FF">
            <w:pPr>
              <w:pStyle w:val="7"/>
            </w:pPr>
            <w:r w:rsidRPr="00FD50F6">
              <w:rPr>
                <w:rFonts w:hint="eastAsia"/>
              </w:rPr>
              <w:t>结构型式</w:t>
            </w:r>
          </w:p>
        </w:tc>
        <w:tc>
          <w:tcPr>
            <w:tcW w:w="2535" w:type="pct"/>
            <w:shd w:val="clear" w:color="auto" w:fill="auto"/>
            <w:vAlign w:val="center"/>
          </w:tcPr>
          <w:p w14:paraId="616B1D93" w14:textId="77777777" w:rsidR="00D84020" w:rsidRPr="00FD50F6" w:rsidRDefault="00D84020" w:rsidP="002C00FF">
            <w:pPr>
              <w:pStyle w:val="7"/>
            </w:pPr>
            <w:r w:rsidRPr="00FD50F6">
              <w:rPr>
                <w:rFonts w:hint="eastAsia"/>
              </w:rPr>
              <w:t>轨道结构高度</w:t>
            </w:r>
          </w:p>
        </w:tc>
      </w:tr>
      <w:tr w:rsidR="00FD50F6" w:rsidRPr="00FD50F6" w14:paraId="0DDBA82E" w14:textId="77777777" w:rsidTr="002C00FF">
        <w:trPr>
          <w:trHeight w:val="288"/>
          <w:jc w:val="center"/>
        </w:trPr>
        <w:tc>
          <w:tcPr>
            <w:tcW w:w="2465" w:type="pct"/>
            <w:shd w:val="clear" w:color="auto" w:fill="auto"/>
            <w:vAlign w:val="center"/>
            <w:hideMark/>
          </w:tcPr>
          <w:p w14:paraId="5AF503D0" w14:textId="77777777" w:rsidR="00D84020" w:rsidRPr="00FD50F6" w:rsidRDefault="00D84020" w:rsidP="002C00FF">
            <w:pPr>
              <w:pStyle w:val="7"/>
            </w:pPr>
            <w:r w:rsidRPr="00FD50F6">
              <w:rPr>
                <w:rFonts w:hint="eastAsia"/>
              </w:rPr>
              <w:t>车场线（不含试车线）有砟道床</w:t>
            </w:r>
          </w:p>
        </w:tc>
        <w:tc>
          <w:tcPr>
            <w:tcW w:w="2535" w:type="pct"/>
            <w:shd w:val="clear" w:color="auto" w:fill="auto"/>
            <w:vAlign w:val="center"/>
            <w:hideMark/>
          </w:tcPr>
          <w:p w14:paraId="04A01F41" w14:textId="77777777" w:rsidR="00D84020" w:rsidRPr="00FD50F6" w:rsidRDefault="00D84020" w:rsidP="002C00FF">
            <w:pPr>
              <w:pStyle w:val="7"/>
            </w:pPr>
            <w:r w:rsidRPr="00FD50F6">
              <w:t>625</w:t>
            </w:r>
          </w:p>
        </w:tc>
      </w:tr>
      <w:tr w:rsidR="00FD50F6" w:rsidRPr="00FD50F6" w14:paraId="36B8E7CF" w14:textId="77777777" w:rsidTr="002C00FF">
        <w:trPr>
          <w:trHeight w:val="288"/>
          <w:jc w:val="center"/>
        </w:trPr>
        <w:tc>
          <w:tcPr>
            <w:tcW w:w="2465" w:type="pct"/>
            <w:shd w:val="clear" w:color="auto" w:fill="auto"/>
            <w:vAlign w:val="center"/>
          </w:tcPr>
          <w:p w14:paraId="3ECF9C97" w14:textId="77777777" w:rsidR="00D84020" w:rsidRPr="00FD50F6" w:rsidRDefault="00D84020" w:rsidP="002C00FF">
            <w:pPr>
              <w:pStyle w:val="7"/>
            </w:pPr>
            <w:r w:rsidRPr="00FD50F6">
              <w:rPr>
                <w:rFonts w:hint="eastAsia"/>
              </w:rPr>
              <w:t>出入线及试车线有砟道床</w:t>
            </w:r>
          </w:p>
        </w:tc>
        <w:tc>
          <w:tcPr>
            <w:tcW w:w="2535" w:type="pct"/>
            <w:shd w:val="clear" w:color="auto" w:fill="auto"/>
            <w:vAlign w:val="center"/>
          </w:tcPr>
          <w:p w14:paraId="3DB72951" w14:textId="77777777" w:rsidR="00D84020" w:rsidRPr="00FD50F6" w:rsidRDefault="00D84020" w:rsidP="002C00FF">
            <w:pPr>
              <w:pStyle w:val="7"/>
            </w:pPr>
            <w:r w:rsidRPr="00FD50F6">
              <w:rPr>
                <w:rFonts w:hint="eastAsia"/>
              </w:rPr>
              <w:t>8</w:t>
            </w:r>
            <w:r w:rsidRPr="00FD50F6">
              <w:t>50</w:t>
            </w:r>
          </w:p>
        </w:tc>
      </w:tr>
      <w:tr w:rsidR="00FD50F6" w:rsidRPr="00FD50F6" w14:paraId="7AA9F601" w14:textId="77777777" w:rsidTr="002C00FF">
        <w:trPr>
          <w:trHeight w:val="288"/>
          <w:jc w:val="center"/>
        </w:trPr>
        <w:tc>
          <w:tcPr>
            <w:tcW w:w="2465" w:type="pct"/>
            <w:shd w:val="clear" w:color="auto" w:fill="auto"/>
            <w:vAlign w:val="center"/>
            <w:hideMark/>
          </w:tcPr>
          <w:p w14:paraId="6EA1D2CD" w14:textId="77777777" w:rsidR="00D84020" w:rsidRPr="00FD50F6" w:rsidRDefault="00D84020" w:rsidP="002C00FF">
            <w:pPr>
              <w:pStyle w:val="7"/>
            </w:pPr>
            <w:r w:rsidRPr="00FD50F6">
              <w:rPr>
                <w:rFonts w:hint="eastAsia"/>
              </w:rPr>
              <w:t>车场现浇道床轨道结构</w:t>
            </w:r>
          </w:p>
        </w:tc>
        <w:tc>
          <w:tcPr>
            <w:tcW w:w="2535" w:type="pct"/>
            <w:shd w:val="clear" w:color="auto" w:fill="auto"/>
            <w:vAlign w:val="center"/>
            <w:hideMark/>
          </w:tcPr>
          <w:p w14:paraId="5121042C" w14:textId="77777777" w:rsidR="00D84020" w:rsidRPr="00FD50F6" w:rsidRDefault="00D84020" w:rsidP="002C00FF">
            <w:pPr>
              <w:pStyle w:val="7"/>
            </w:pPr>
            <w:r w:rsidRPr="00FD50F6">
              <w:t>500</w:t>
            </w:r>
          </w:p>
        </w:tc>
      </w:tr>
    </w:tbl>
    <w:p w14:paraId="00A36073" w14:textId="77777777" w:rsidR="00D84020" w:rsidRPr="001A4CF3" w:rsidRDefault="00D84020" w:rsidP="001A4CF3">
      <w:r w:rsidRPr="00FD50F6">
        <w:rPr>
          <w:rFonts w:ascii="宋体" w:hAnsi="宋体" w:hint="eastAsia"/>
          <w:sz w:val="21"/>
        </w:rPr>
        <w:t>注：车场线无砟轨道采用预制结构时，可结合实际的预制道床结构类型进行适当调整。</w:t>
      </w:r>
    </w:p>
    <w:p w14:paraId="435B2E13" w14:textId="77777777" w:rsidR="00D84020" w:rsidRPr="00FD50F6" w:rsidRDefault="00D84020" w:rsidP="00D84020">
      <w:pPr>
        <w:pStyle w:val="6"/>
      </w:pPr>
    </w:p>
    <w:p w14:paraId="1C0355F0" w14:textId="77777777" w:rsidR="00D84020" w:rsidRPr="00FD50F6" w:rsidRDefault="00D84020" w:rsidP="00D84020">
      <w:pPr>
        <w:pStyle w:val="30"/>
      </w:pPr>
      <w:r w:rsidRPr="00FD50F6">
        <w:rPr>
          <w:rFonts w:hint="eastAsia"/>
        </w:rPr>
        <w:t>道床结构型式应符合下列规定：</w:t>
      </w:r>
    </w:p>
    <w:p w14:paraId="47049328" w14:textId="5AD29845" w:rsidR="00D84020" w:rsidRPr="00FD50F6" w:rsidRDefault="00D84020" w:rsidP="00A926BD">
      <w:pPr>
        <w:pStyle w:val="4"/>
      </w:pPr>
      <w:r w:rsidRPr="00FD50F6">
        <w:rPr>
          <w:rFonts w:hint="eastAsia"/>
        </w:rPr>
        <w:t>地下线、高架线宜采用现浇或预制板无砟道床，地面线宜采用有砟道床；</w:t>
      </w:r>
    </w:p>
    <w:p w14:paraId="158E3D80" w14:textId="77777777" w:rsidR="00D84020" w:rsidRPr="00FD50F6" w:rsidRDefault="00D84020" w:rsidP="00A926BD">
      <w:pPr>
        <w:pStyle w:val="4"/>
      </w:pPr>
      <w:r w:rsidRPr="00FD50F6">
        <w:rPr>
          <w:rFonts w:hint="eastAsia"/>
        </w:rPr>
        <w:t>车场库内线宜采用无砟道床。</w:t>
      </w:r>
    </w:p>
    <w:p w14:paraId="0CDA146C" w14:textId="190D72C3" w:rsidR="00D84020" w:rsidRPr="00FD50F6" w:rsidRDefault="00D84020" w:rsidP="00D84020">
      <w:pPr>
        <w:pStyle w:val="30"/>
      </w:pPr>
      <w:r w:rsidRPr="00FD50F6">
        <w:rPr>
          <w:rFonts w:hint="eastAsia"/>
        </w:rPr>
        <w:t>扣件铺设数量应符合表</w:t>
      </w:r>
      <w:r w:rsidR="008C6B9B" w:rsidRPr="00FD50F6">
        <w:t>8</w:t>
      </w:r>
      <w:r w:rsidRPr="00FD50F6">
        <w:rPr>
          <w:rFonts w:hint="eastAsia"/>
        </w:rPr>
        <w:t>.2.</w:t>
      </w:r>
      <w:r w:rsidR="008C6B9B" w:rsidRPr="00FD50F6">
        <w:t>9</w:t>
      </w:r>
      <w:r w:rsidRPr="00FD50F6">
        <w:rPr>
          <w:rFonts w:hint="eastAsia"/>
        </w:rPr>
        <w:t>的规定。</w:t>
      </w:r>
    </w:p>
    <w:p w14:paraId="254E1A33" w14:textId="59B52BDB" w:rsidR="00D84020" w:rsidRPr="00FD50F6" w:rsidRDefault="00D84020" w:rsidP="00D84020">
      <w:pPr>
        <w:pStyle w:val="6"/>
      </w:pPr>
      <w:r w:rsidRPr="00FD50F6">
        <w:t>表</w:t>
      </w:r>
      <w:r w:rsidR="008C6B9B" w:rsidRPr="00FD50F6">
        <w:t>8</w:t>
      </w:r>
      <w:r w:rsidRPr="00FD50F6">
        <w:t>.2.</w:t>
      </w:r>
      <w:r w:rsidR="008C6B9B" w:rsidRPr="00FD50F6">
        <w:t xml:space="preserve">9  </w:t>
      </w:r>
      <w:r w:rsidRPr="00FD50F6">
        <w:t>扣件铺设数量（对</w:t>
      </w:r>
      <w:r w:rsidRPr="00FD50F6">
        <w:t>/km</w:t>
      </w:r>
      <w:r w:rsidRPr="00FD50F6">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1765"/>
        <w:gridCol w:w="1503"/>
        <w:gridCol w:w="1457"/>
        <w:gridCol w:w="1611"/>
      </w:tblGrid>
      <w:tr w:rsidR="00FD50F6" w:rsidRPr="00FD50F6" w14:paraId="1621CE20" w14:textId="77777777" w:rsidTr="002C00FF">
        <w:trPr>
          <w:cantSplit/>
          <w:trHeight w:hRule="exact" w:val="340"/>
          <w:jc w:val="center"/>
        </w:trPr>
        <w:tc>
          <w:tcPr>
            <w:tcW w:w="2192" w:type="dxa"/>
            <w:vMerge w:val="restart"/>
            <w:vAlign w:val="center"/>
          </w:tcPr>
          <w:p w14:paraId="404FDB63" w14:textId="77777777" w:rsidR="00D84020" w:rsidRPr="00FD50F6" w:rsidRDefault="00D84020" w:rsidP="002C00FF">
            <w:pPr>
              <w:pStyle w:val="7"/>
            </w:pPr>
            <w:r w:rsidRPr="00FD50F6">
              <w:t>道床型式</w:t>
            </w:r>
          </w:p>
        </w:tc>
        <w:tc>
          <w:tcPr>
            <w:tcW w:w="3268" w:type="dxa"/>
            <w:gridSpan w:val="2"/>
            <w:vAlign w:val="center"/>
          </w:tcPr>
          <w:p w14:paraId="52A03C08" w14:textId="77777777" w:rsidR="00D84020" w:rsidRPr="00FD50F6" w:rsidRDefault="00D84020" w:rsidP="002C00FF">
            <w:pPr>
              <w:pStyle w:val="7"/>
            </w:pPr>
            <w:r w:rsidRPr="00FD50F6">
              <w:t>正线、试车线、出入线</w:t>
            </w:r>
          </w:p>
        </w:tc>
        <w:tc>
          <w:tcPr>
            <w:tcW w:w="1457" w:type="dxa"/>
            <w:vMerge w:val="restart"/>
            <w:vAlign w:val="center"/>
          </w:tcPr>
          <w:p w14:paraId="682BDB4A" w14:textId="77777777" w:rsidR="00D84020" w:rsidRPr="00FD50F6" w:rsidRDefault="00D84020" w:rsidP="002C00FF">
            <w:pPr>
              <w:pStyle w:val="7"/>
            </w:pPr>
            <w:r w:rsidRPr="00FD50F6">
              <w:t>其他配线</w:t>
            </w:r>
          </w:p>
        </w:tc>
        <w:tc>
          <w:tcPr>
            <w:tcW w:w="1611" w:type="dxa"/>
            <w:vMerge w:val="restart"/>
            <w:vAlign w:val="center"/>
          </w:tcPr>
          <w:p w14:paraId="7588A4A9" w14:textId="77777777" w:rsidR="00D84020" w:rsidRPr="00FD50F6" w:rsidRDefault="00D84020" w:rsidP="002C00FF">
            <w:pPr>
              <w:pStyle w:val="7"/>
            </w:pPr>
            <w:r w:rsidRPr="00FD50F6">
              <w:t>车场线</w:t>
            </w:r>
            <w:r w:rsidRPr="00FD50F6">
              <w:t>(</w:t>
            </w:r>
            <w:r w:rsidRPr="00FD50F6">
              <w:t>不含试车线</w:t>
            </w:r>
            <w:r w:rsidRPr="00FD50F6">
              <w:t>)</w:t>
            </w:r>
          </w:p>
        </w:tc>
      </w:tr>
      <w:tr w:rsidR="00FD50F6" w:rsidRPr="00FD50F6" w14:paraId="38F37A42" w14:textId="77777777" w:rsidTr="002C00FF">
        <w:trPr>
          <w:cantSplit/>
          <w:trHeight w:val="717"/>
          <w:jc w:val="center"/>
        </w:trPr>
        <w:tc>
          <w:tcPr>
            <w:tcW w:w="2192" w:type="dxa"/>
            <w:vMerge/>
            <w:vAlign w:val="center"/>
          </w:tcPr>
          <w:p w14:paraId="29ED564D" w14:textId="77777777" w:rsidR="00D84020" w:rsidRPr="00FD50F6" w:rsidRDefault="00D84020" w:rsidP="002C00FF">
            <w:pPr>
              <w:pStyle w:val="7"/>
            </w:pPr>
          </w:p>
        </w:tc>
        <w:tc>
          <w:tcPr>
            <w:tcW w:w="1765" w:type="dxa"/>
            <w:vAlign w:val="center"/>
          </w:tcPr>
          <w:p w14:paraId="1114960D" w14:textId="77777777" w:rsidR="00D84020" w:rsidRPr="00FD50F6" w:rsidRDefault="00D84020" w:rsidP="002C00FF">
            <w:pPr>
              <w:pStyle w:val="7"/>
            </w:pPr>
            <w:r w:rsidRPr="00FD50F6">
              <w:t>直线及</w:t>
            </w:r>
            <w:r w:rsidRPr="001A4CF3">
              <w:rPr>
                <w:i/>
                <w:iCs/>
              </w:rPr>
              <w:t>R</w:t>
            </w:r>
            <w:r w:rsidRPr="00FD50F6">
              <w:t>&gt;400m</w:t>
            </w:r>
            <w:r w:rsidRPr="00FD50F6">
              <w:t>、坡度</w:t>
            </w:r>
            <w:r w:rsidRPr="001A4CF3">
              <w:rPr>
                <w:i/>
                <w:iCs/>
              </w:rPr>
              <w:t>i</w:t>
            </w:r>
            <w:r w:rsidRPr="00FD50F6">
              <w:t>&lt;20‰</w:t>
            </w:r>
          </w:p>
        </w:tc>
        <w:tc>
          <w:tcPr>
            <w:tcW w:w="1503" w:type="dxa"/>
            <w:vAlign w:val="center"/>
          </w:tcPr>
          <w:p w14:paraId="5DCD2E89" w14:textId="77777777" w:rsidR="00D84020" w:rsidRPr="00FD50F6" w:rsidRDefault="00D84020" w:rsidP="002C00FF">
            <w:pPr>
              <w:pStyle w:val="7"/>
            </w:pPr>
            <w:r w:rsidRPr="001A4CF3">
              <w:rPr>
                <w:i/>
                <w:iCs/>
              </w:rPr>
              <w:t>R</w:t>
            </w:r>
            <w:r w:rsidRPr="00FD50F6">
              <w:t>≤400m</w:t>
            </w:r>
            <w:r w:rsidRPr="00FD50F6">
              <w:t>或</w:t>
            </w:r>
          </w:p>
          <w:p w14:paraId="237F385B" w14:textId="77777777" w:rsidR="00D84020" w:rsidRPr="00FD50F6" w:rsidRDefault="00D84020" w:rsidP="002C00FF">
            <w:pPr>
              <w:pStyle w:val="7"/>
            </w:pPr>
            <w:r w:rsidRPr="00FD50F6">
              <w:t>坡度</w:t>
            </w:r>
            <w:r w:rsidRPr="001A4CF3">
              <w:rPr>
                <w:i/>
                <w:iCs/>
              </w:rPr>
              <w:t>i</w:t>
            </w:r>
            <w:r w:rsidRPr="00FD50F6">
              <w:t>≥20‰</w:t>
            </w:r>
          </w:p>
        </w:tc>
        <w:tc>
          <w:tcPr>
            <w:tcW w:w="1457" w:type="dxa"/>
            <w:vMerge/>
            <w:vAlign w:val="center"/>
          </w:tcPr>
          <w:p w14:paraId="62A1B4D4" w14:textId="77777777" w:rsidR="00D84020" w:rsidRPr="00FD50F6" w:rsidRDefault="00D84020" w:rsidP="002C00FF">
            <w:pPr>
              <w:pStyle w:val="7"/>
            </w:pPr>
          </w:p>
        </w:tc>
        <w:tc>
          <w:tcPr>
            <w:tcW w:w="1611" w:type="dxa"/>
            <w:vMerge/>
            <w:vAlign w:val="center"/>
          </w:tcPr>
          <w:p w14:paraId="70A30493" w14:textId="77777777" w:rsidR="00D84020" w:rsidRPr="00FD50F6" w:rsidRDefault="00D84020" w:rsidP="002C00FF">
            <w:pPr>
              <w:pStyle w:val="7"/>
            </w:pPr>
          </w:p>
        </w:tc>
      </w:tr>
      <w:tr w:rsidR="00FD50F6" w:rsidRPr="00FD50F6" w14:paraId="6C7FE182" w14:textId="77777777" w:rsidTr="002C00FF">
        <w:trPr>
          <w:cantSplit/>
          <w:trHeight w:hRule="exact" w:val="397"/>
          <w:jc w:val="center"/>
        </w:trPr>
        <w:tc>
          <w:tcPr>
            <w:tcW w:w="2192" w:type="dxa"/>
            <w:vAlign w:val="center"/>
          </w:tcPr>
          <w:p w14:paraId="6FA5FD61" w14:textId="77777777" w:rsidR="00D84020" w:rsidRPr="00FD50F6" w:rsidRDefault="00D84020" w:rsidP="002C00FF">
            <w:pPr>
              <w:pStyle w:val="7"/>
            </w:pPr>
            <w:r w:rsidRPr="00FD50F6">
              <w:t>无砟道床</w:t>
            </w:r>
          </w:p>
        </w:tc>
        <w:tc>
          <w:tcPr>
            <w:tcW w:w="1765" w:type="dxa"/>
            <w:vAlign w:val="center"/>
          </w:tcPr>
          <w:p w14:paraId="4DF67669" w14:textId="77777777" w:rsidR="00D84020" w:rsidRPr="00FD50F6" w:rsidRDefault="00D84020" w:rsidP="002C00FF">
            <w:pPr>
              <w:pStyle w:val="7"/>
            </w:pPr>
            <w:r w:rsidRPr="00FD50F6">
              <w:t>1600</w:t>
            </w:r>
            <w:r w:rsidRPr="00FD50F6">
              <w:t>～</w:t>
            </w:r>
            <w:r w:rsidRPr="00FD50F6">
              <w:t>1680</w:t>
            </w:r>
          </w:p>
        </w:tc>
        <w:tc>
          <w:tcPr>
            <w:tcW w:w="1503" w:type="dxa"/>
            <w:vAlign w:val="center"/>
          </w:tcPr>
          <w:p w14:paraId="032983DF" w14:textId="77777777" w:rsidR="00D84020" w:rsidRPr="00FD50F6" w:rsidRDefault="00D84020" w:rsidP="002C00FF">
            <w:pPr>
              <w:pStyle w:val="7"/>
            </w:pPr>
            <w:r w:rsidRPr="00FD50F6">
              <w:t>1680</w:t>
            </w:r>
            <w:r w:rsidRPr="00FD50F6">
              <w:t>～</w:t>
            </w:r>
            <w:r w:rsidRPr="00FD50F6">
              <w:rPr>
                <w:rFonts w:hint="eastAsia"/>
              </w:rPr>
              <w:t>1760</w:t>
            </w:r>
          </w:p>
        </w:tc>
        <w:tc>
          <w:tcPr>
            <w:tcW w:w="1457" w:type="dxa"/>
            <w:vAlign w:val="center"/>
          </w:tcPr>
          <w:p w14:paraId="6AB4C0CD" w14:textId="77777777" w:rsidR="00D84020" w:rsidRPr="00FD50F6" w:rsidRDefault="00D84020" w:rsidP="002C00FF">
            <w:pPr>
              <w:pStyle w:val="7"/>
            </w:pPr>
            <w:r w:rsidRPr="00FD50F6">
              <w:t>1600</w:t>
            </w:r>
            <w:r w:rsidRPr="00FD50F6">
              <w:rPr>
                <w:rFonts w:hint="eastAsia"/>
              </w:rPr>
              <w:t>~1680</w:t>
            </w:r>
          </w:p>
        </w:tc>
        <w:tc>
          <w:tcPr>
            <w:tcW w:w="1611" w:type="dxa"/>
            <w:vAlign w:val="center"/>
          </w:tcPr>
          <w:p w14:paraId="33555A8F" w14:textId="77777777" w:rsidR="00D84020" w:rsidRPr="00FD50F6" w:rsidRDefault="00D84020" w:rsidP="002C00FF">
            <w:pPr>
              <w:pStyle w:val="7"/>
            </w:pPr>
            <w:r w:rsidRPr="00FD50F6">
              <w:t>1440</w:t>
            </w:r>
          </w:p>
        </w:tc>
      </w:tr>
      <w:tr w:rsidR="00FD50F6" w:rsidRPr="00FD50F6" w14:paraId="2C4C52F0" w14:textId="77777777" w:rsidTr="002C00FF">
        <w:trPr>
          <w:cantSplit/>
          <w:trHeight w:hRule="exact" w:val="655"/>
          <w:jc w:val="center"/>
        </w:trPr>
        <w:tc>
          <w:tcPr>
            <w:tcW w:w="2192" w:type="dxa"/>
            <w:vAlign w:val="center"/>
          </w:tcPr>
          <w:p w14:paraId="00FB35F6" w14:textId="77777777" w:rsidR="00D84020" w:rsidRPr="00FD50F6" w:rsidRDefault="00D84020" w:rsidP="002C00FF">
            <w:pPr>
              <w:pStyle w:val="7"/>
            </w:pPr>
            <w:r w:rsidRPr="00FD50F6">
              <w:rPr>
                <w:rFonts w:hint="eastAsia"/>
              </w:rPr>
              <w:t>普通线路</w:t>
            </w:r>
            <w:r w:rsidRPr="00FD50F6">
              <w:t>混凝土枕有砟道床</w:t>
            </w:r>
          </w:p>
        </w:tc>
        <w:tc>
          <w:tcPr>
            <w:tcW w:w="1765" w:type="dxa"/>
            <w:vAlign w:val="center"/>
          </w:tcPr>
          <w:p w14:paraId="4051CA0D" w14:textId="77777777" w:rsidR="00D84020" w:rsidRPr="00FD50F6" w:rsidRDefault="00D84020" w:rsidP="002C00FF">
            <w:pPr>
              <w:pStyle w:val="7"/>
            </w:pPr>
            <w:r w:rsidRPr="00FD50F6">
              <w:t>1600</w:t>
            </w:r>
            <w:r w:rsidRPr="00FD50F6">
              <w:t>～</w:t>
            </w:r>
            <w:r w:rsidRPr="00FD50F6">
              <w:t>1680</w:t>
            </w:r>
          </w:p>
        </w:tc>
        <w:tc>
          <w:tcPr>
            <w:tcW w:w="1503" w:type="dxa"/>
            <w:vAlign w:val="center"/>
          </w:tcPr>
          <w:p w14:paraId="1CC12A98" w14:textId="77777777" w:rsidR="00D84020" w:rsidRPr="00FD50F6" w:rsidRDefault="00D84020" w:rsidP="002C00FF">
            <w:pPr>
              <w:pStyle w:val="7"/>
            </w:pPr>
            <w:r w:rsidRPr="00FD50F6">
              <w:t>1680</w:t>
            </w:r>
            <w:r w:rsidRPr="00FD50F6">
              <w:t>～</w:t>
            </w:r>
            <w:r w:rsidRPr="00FD50F6">
              <w:t>1760</w:t>
            </w:r>
          </w:p>
        </w:tc>
        <w:tc>
          <w:tcPr>
            <w:tcW w:w="1457" w:type="dxa"/>
            <w:vAlign w:val="center"/>
          </w:tcPr>
          <w:p w14:paraId="398BCE4E" w14:textId="77777777" w:rsidR="00D84020" w:rsidRPr="00FD50F6" w:rsidRDefault="00D84020" w:rsidP="002C00FF">
            <w:pPr>
              <w:pStyle w:val="7"/>
            </w:pPr>
            <w:r w:rsidRPr="00FD50F6">
              <w:t>1600</w:t>
            </w:r>
            <w:r w:rsidRPr="00FD50F6">
              <w:t>～</w:t>
            </w:r>
            <w:r w:rsidRPr="00FD50F6">
              <w:t>1680</w:t>
            </w:r>
          </w:p>
        </w:tc>
        <w:tc>
          <w:tcPr>
            <w:tcW w:w="1611" w:type="dxa"/>
            <w:vAlign w:val="center"/>
          </w:tcPr>
          <w:p w14:paraId="43764BF2" w14:textId="77777777" w:rsidR="00D84020" w:rsidRPr="00FD50F6" w:rsidRDefault="00D84020" w:rsidP="002C00FF">
            <w:pPr>
              <w:pStyle w:val="7"/>
            </w:pPr>
            <w:r w:rsidRPr="00FD50F6">
              <w:t>1440</w:t>
            </w:r>
          </w:p>
        </w:tc>
      </w:tr>
      <w:tr w:rsidR="00FD50F6" w:rsidRPr="00FD50F6" w14:paraId="0B4B92DD" w14:textId="77777777" w:rsidTr="002C00FF">
        <w:trPr>
          <w:cantSplit/>
          <w:trHeight w:val="640"/>
          <w:jc w:val="center"/>
        </w:trPr>
        <w:tc>
          <w:tcPr>
            <w:tcW w:w="2192" w:type="dxa"/>
            <w:vAlign w:val="center"/>
          </w:tcPr>
          <w:p w14:paraId="07169ABB" w14:textId="77777777" w:rsidR="00D84020" w:rsidRPr="00FD50F6" w:rsidRDefault="00D84020" w:rsidP="002C00FF">
            <w:pPr>
              <w:pStyle w:val="7"/>
            </w:pPr>
            <w:r w:rsidRPr="00FD50F6">
              <w:t>无缝线路混凝土枕有砟道床</w:t>
            </w:r>
          </w:p>
        </w:tc>
        <w:tc>
          <w:tcPr>
            <w:tcW w:w="1765" w:type="dxa"/>
            <w:vAlign w:val="center"/>
          </w:tcPr>
          <w:p w14:paraId="093AADBC" w14:textId="77777777" w:rsidR="00D84020" w:rsidRPr="00FD50F6" w:rsidRDefault="00D84020" w:rsidP="002C00FF">
            <w:pPr>
              <w:pStyle w:val="7"/>
            </w:pPr>
            <w:r w:rsidRPr="00FD50F6">
              <w:t>1680</w:t>
            </w:r>
            <w:r w:rsidRPr="00FD50F6">
              <w:t>～</w:t>
            </w:r>
            <w:r w:rsidRPr="00FD50F6">
              <w:t>1760</w:t>
            </w:r>
          </w:p>
        </w:tc>
        <w:tc>
          <w:tcPr>
            <w:tcW w:w="1503" w:type="dxa"/>
            <w:vAlign w:val="center"/>
          </w:tcPr>
          <w:p w14:paraId="2B27C8CF" w14:textId="77777777" w:rsidR="00D84020" w:rsidRPr="00FD50F6" w:rsidRDefault="00D84020" w:rsidP="002C00FF">
            <w:pPr>
              <w:pStyle w:val="7"/>
            </w:pPr>
            <w:r w:rsidRPr="00FD50F6">
              <w:t>1760</w:t>
            </w:r>
            <w:r w:rsidRPr="00FD50F6">
              <w:t>～</w:t>
            </w:r>
            <w:r w:rsidRPr="00FD50F6">
              <w:t>1840</w:t>
            </w:r>
          </w:p>
        </w:tc>
        <w:tc>
          <w:tcPr>
            <w:tcW w:w="1457" w:type="dxa"/>
            <w:vAlign w:val="center"/>
          </w:tcPr>
          <w:p w14:paraId="304F79ED" w14:textId="77777777" w:rsidR="00D84020" w:rsidRPr="00FD50F6" w:rsidRDefault="00D84020" w:rsidP="002C00FF">
            <w:pPr>
              <w:pStyle w:val="7"/>
            </w:pPr>
            <w:r w:rsidRPr="00FD50F6">
              <w:t>—</w:t>
            </w:r>
          </w:p>
        </w:tc>
        <w:tc>
          <w:tcPr>
            <w:tcW w:w="1611" w:type="dxa"/>
            <w:vAlign w:val="center"/>
          </w:tcPr>
          <w:p w14:paraId="740552EF" w14:textId="77777777" w:rsidR="00D84020" w:rsidRPr="00FD50F6" w:rsidRDefault="00D84020" w:rsidP="002C00FF">
            <w:pPr>
              <w:pStyle w:val="7"/>
            </w:pPr>
            <w:r w:rsidRPr="00FD50F6">
              <w:t>—</w:t>
            </w:r>
          </w:p>
        </w:tc>
      </w:tr>
    </w:tbl>
    <w:p w14:paraId="6D4DDB75" w14:textId="77777777" w:rsidR="00D84020" w:rsidRPr="00FD50F6" w:rsidRDefault="00D84020" w:rsidP="001A4CF3">
      <w:pPr>
        <w:pStyle w:val="affffff8"/>
        <w:jc w:val="left"/>
      </w:pPr>
      <w:r w:rsidRPr="00FD50F6">
        <w:rPr>
          <w:rFonts w:hint="eastAsia"/>
          <w:color w:val="auto"/>
        </w:rPr>
        <w:t>注：</w:t>
      </w:r>
      <w:r w:rsidRPr="001A4CF3">
        <w:rPr>
          <w:i/>
          <w:iCs/>
          <w:color w:val="auto"/>
        </w:rPr>
        <w:t>R</w:t>
      </w:r>
      <w:r w:rsidRPr="001A4CF3">
        <w:rPr>
          <w:rFonts w:hint="eastAsia"/>
          <w:color w:val="auto"/>
        </w:rPr>
        <w:t>为线路曲线半径；</w:t>
      </w:r>
      <w:r w:rsidRPr="001A4CF3">
        <w:rPr>
          <w:rFonts w:hint="eastAsia"/>
          <w:i/>
          <w:iCs/>
          <w:color w:val="auto"/>
        </w:rPr>
        <w:t>ｉ</w:t>
      </w:r>
      <w:r w:rsidRPr="00FD50F6">
        <w:rPr>
          <w:rFonts w:hint="eastAsia"/>
          <w:color w:val="auto"/>
        </w:rPr>
        <w:t>为</w:t>
      </w:r>
      <w:r w:rsidRPr="001A4CF3">
        <w:rPr>
          <w:rFonts w:hint="eastAsia"/>
          <w:color w:val="auto"/>
        </w:rPr>
        <w:t>线路</w:t>
      </w:r>
      <w:r w:rsidRPr="00FD50F6">
        <w:rPr>
          <w:rFonts w:hint="eastAsia"/>
          <w:color w:val="auto"/>
        </w:rPr>
        <w:t>纵坡。</w:t>
      </w:r>
    </w:p>
    <w:p w14:paraId="5EE91A07" w14:textId="77777777" w:rsidR="00D84020" w:rsidRPr="00FD50F6" w:rsidRDefault="00D84020" w:rsidP="00A65181">
      <w:pPr>
        <w:pStyle w:val="2"/>
      </w:pPr>
      <w:bookmarkStart w:id="302" w:name="_Toc112830676"/>
      <w:r w:rsidRPr="00FD50F6">
        <w:rPr>
          <w:rFonts w:hint="eastAsia"/>
        </w:rPr>
        <w:t>轨道部件</w:t>
      </w:r>
      <w:bookmarkEnd w:id="302"/>
    </w:p>
    <w:p w14:paraId="2F986891" w14:textId="77777777" w:rsidR="00D84020" w:rsidRPr="00FD50F6" w:rsidRDefault="00D84020" w:rsidP="00D84020">
      <w:pPr>
        <w:pStyle w:val="30"/>
      </w:pPr>
      <w:r w:rsidRPr="00FD50F6">
        <w:rPr>
          <w:rFonts w:hint="eastAsia"/>
        </w:rPr>
        <w:t>钢轨应符合下列规定：</w:t>
      </w:r>
    </w:p>
    <w:p w14:paraId="04F05D58" w14:textId="49CF5725" w:rsidR="00D84020" w:rsidRPr="00FD50F6" w:rsidRDefault="00D84020" w:rsidP="00A926BD">
      <w:pPr>
        <w:pStyle w:val="4"/>
      </w:pPr>
      <w:r w:rsidRPr="00FD50F6">
        <w:rPr>
          <w:rFonts w:hint="eastAsia"/>
        </w:rPr>
        <w:t>正线、</w:t>
      </w:r>
      <w:r w:rsidRPr="00FD50F6">
        <w:rPr>
          <w:rStyle w:val="410"/>
          <w:rFonts w:hint="eastAsia"/>
        </w:rPr>
        <w:t>配线</w:t>
      </w:r>
      <w:r w:rsidRPr="00FD50F6">
        <w:rPr>
          <w:rFonts w:hint="eastAsia"/>
        </w:rPr>
        <w:t>、试车线钢轨宜采用</w:t>
      </w:r>
      <w:r w:rsidRPr="00FD50F6">
        <w:rPr>
          <w:rFonts w:hint="eastAsia"/>
        </w:rPr>
        <w:t>60kg/m</w:t>
      </w:r>
      <w:r w:rsidRPr="00FD50F6">
        <w:rPr>
          <w:rFonts w:hint="eastAsia"/>
        </w:rPr>
        <w:t>钢轨，车场线（试车线除外）宜采用</w:t>
      </w:r>
      <w:r w:rsidRPr="00FD50F6">
        <w:rPr>
          <w:rFonts w:hint="eastAsia"/>
        </w:rPr>
        <w:t>50kg/m</w:t>
      </w:r>
      <w:r w:rsidRPr="00FD50F6">
        <w:rPr>
          <w:rFonts w:hint="eastAsia"/>
        </w:rPr>
        <w:t>钢轨。</w:t>
      </w:r>
    </w:p>
    <w:p w14:paraId="1439A435" w14:textId="1D996702" w:rsidR="00D84020" w:rsidRPr="00FD50F6" w:rsidRDefault="00D84020" w:rsidP="00A926BD">
      <w:pPr>
        <w:pStyle w:val="4"/>
      </w:pPr>
      <w:r w:rsidRPr="00FD50F6">
        <w:rPr>
          <w:rFonts w:hint="eastAsia"/>
        </w:rPr>
        <w:t>正线及出入线半径不大于</w:t>
      </w:r>
      <w:r w:rsidRPr="00FD50F6">
        <w:rPr>
          <w:rFonts w:hint="eastAsia"/>
        </w:rPr>
        <w:t>400m</w:t>
      </w:r>
      <w:r w:rsidRPr="00FD50F6">
        <w:rPr>
          <w:rFonts w:hint="eastAsia"/>
        </w:rPr>
        <w:t>的曲线地段应采用热处理钢轨。</w:t>
      </w:r>
    </w:p>
    <w:p w14:paraId="025D3151" w14:textId="211185CE" w:rsidR="00D84020" w:rsidRPr="00FD50F6" w:rsidRDefault="00D84020" w:rsidP="00A926BD">
      <w:pPr>
        <w:pStyle w:val="4"/>
      </w:pPr>
      <w:r w:rsidRPr="00FD50F6">
        <w:rPr>
          <w:rFonts w:hint="eastAsia"/>
        </w:rPr>
        <w:t>正线及试车线有缝线路地段的钢轨接头应采用对接，曲线内股应采用厂制缩短轨。配线和车场线半径不大于</w:t>
      </w:r>
      <w:r w:rsidRPr="00FD50F6">
        <w:rPr>
          <w:rFonts w:hint="eastAsia"/>
        </w:rPr>
        <w:t>200m</w:t>
      </w:r>
      <w:r w:rsidRPr="00FD50F6">
        <w:rPr>
          <w:rFonts w:hint="eastAsia"/>
        </w:rPr>
        <w:t>的曲线地段钢轨接头应采用错接，普通钢轨接头错接距离不应小于</w:t>
      </w:r>
      <w:r w:rsidRPr="00FD50F6">
        <w:rPr>
          <w:rFonts w:hint="eastAsia"/>
        </w:rPr>
        <w:t>3m</w:t>
      </w:r>
      <w:r w:rsidRPr="00FD50F6">
        <w:rPr>
          <w:rFonts w:hint="eastAsia"/>
        </w:rPr>
        <w:t>，绝缘接头错接距离不应大于车辆的固定轴距。</w:t>
      </w:r>
    </w:p>
    <w:p w14:paraId="4C399C69" w14:textId="77777777" w:rsidR="00D84020" w:rsidRPr="00FD50F6" w:rsidRDefault="00D84020" w:rsidP="00A926BD">
      <w:pPr>
        <w:pStyle w:val="4"/>
      </w:pPr>
      <w:r w:rsidRPr="00FD50F6">
        <w:rPr>
          <w:rFonts w:hint="eastAsia"/>
        </w:rPr>
        <w:t>不同类型的钢轨应采用异型钢轨连接。</w:t>
      </w:r>
    </w:p>
    <w:p w14:paraId="59323386" w14:textId="77777777" w:rsidR="00D84020" w:rsidRPr="00FD50F6" w:rsidRDefault="00D84020" w:rsidP="00D84020">
      <w:pPr>
        <w:pStyle w:val="30"/>
      </w:pPr>
      <w:r w:rsidRPr="00FD50F6">
        <w:rPr>
          <w:rFonts w:hint="eastAsia"/>
        </w:rPr>
        <w:t>扣件结构应符合下列规定：</w:t>
      </w:r>
    </w:p>
    <w:p w14:paraId="75EF822E" w14:textId="77777777" w:rsidR="00D84020" w:rsidRPr="00FD50F6" w:rsidRDefault="00D84020" w:rsidP="00A926BD">
      <w:pPr>
        <w:pStyle w:val="4"/>
        <w:rPr>
          <w:rFonts w:cstheme="minorBidi"/>
          <w:szCs w:val="32"/>
        </w:rPr>
      </w:pPr>
      <w:r w:rsidRPr="00FD50F6">
        <w:rPr>
          <w:rFonts w:hint="eastAsia"/>
        </w:rPr>
        <w:t>应采用弹性扣件；</w:t>
      </w:r>
    </w:p>
    <w:p w14:paraId="00620B23" w14:textId="24BB82A0" w:rsidR="00D84020" w:rsidRPr="00FD50F6" w:rsidRDefault="00D84020" w:rsidP="00A926BD">
      <w:pPr>
        <w:pStyle w:val="4"/>
      </w:pPr>
      <w:r w:rsidRPr="00FD50F6">
        <w:rPr>
          <w:rFonts w:hint="eastAsia"/>
        </w:rPr>
        <w:lastRenderedPageBreak/>
        <w:t>正线及试车线无砟道床一般地段的扣件节点垂向静刚度宜为</w:t>
      </w:r>
      <w:r w:rsidRPr="00FD50F6">
        <w:rPr>
          <w:rFonts w:hint="eastAsia"/>
        </w:rPr>
        <w:t>20 kN/mm ~ 40kN/mm</w:t>
      </w:r>
      <w:r w:rsidRPr="00FD50F6">
        <w:rPr>
          <w:rFonts w:hint="eastAsia"/>
        </w:rPr>
        <w:t>，弹性垫板动静比不应大于</w:t>
      </w:r>
      <w:r w:rsidRPr="00FD50F6">
        <w:rPr>
          <w:rFonts w:hint="eastAsia"/>
        </w:rPr>
        <w:t>1.5</w:t>
      </w:r>
      <w:r w:rsidRPr="00FD50F6">
        <w:rPr>
          <w:rFonts w:hint="eastAsia"/>
        </w:rPr>
        <w:t>。</w:t>
      </w:r>
    </w:p>
    <w:p w14:paraId="4C51EAE5" w14:textId="77777777" w:rsidR="00D84020" w:rsidRPr="00FD50F6" w:rsidRDefault="00D84020" w:rsidP="00D84020">
      <w:pPr>
        <w:pStyle w:val="30"/>
      </w:pPr>
      <w:r w:rsidRPr="00FD50F6">
        <w:rPr>
          <w:rFonts w:hint="eastAsia"/>
        </w:rPr>
        <w:t>无砟道床地段用轨枕应采用预制钢筋混凝土轨枕；有砟道床地段应采用预应力混凝土轨枕。</w:t>
      </w:r>
    </w:p>
    <w:p w14:paraId="7DAD4156" w14:textId="77777777" w:rsidR="00D84020" w:rsidRPr="00FD50F6" w:rsidRDefault="00D84020" w:rsidP="00D84020">
      <w:pPr>
        <w:pStyle w:val="30"/>
      </w:pPr>
      <w:r w:rsidRPr="00FD50F6">
        <w:rPr>
          <w:rFonts w:hint="eastAsia"/>
        </w:rPr>
        <w:t>道岔结构应符合下列规定：</w:t>
      </w:r>
    </w:p>
    <w:p w14:paraId="7AB068EA" w14:textId="32B2F2EE" w:rsidR="00D84020" w:rsidRPr="00FD50F6" w:rsidRDefault="00D84020" w:rsidP="00A926BD">
      <w:pPr>
        <w:pStyle w:val="4"/>
      </w:pPr>
      <w:r w:rsidRPr="00FD50F6">
        <w:rPr>
          <w:rFonts w:hint="eastAsia"/>
        </w:rPr>
        <w:t>道岔号数应结合行车等相关专业需求综合确定，宜选用</w:t>
      </w:r>
      <w:r w:rsidRPr="00FD50F6">
        <w:rPr>
          <w:rFonts w:hint="eastAsia"/>
        </w:rPr>
        <w:t>7</w:t>
      </w:r>
      <w:r w:rsidRPr="00FD50F6">
        <w:rPr>
          <w:rFonts w:hint="eastAsia"/>
        </w:rPr>
        <w:t>号、</w:t>
      </w:r>
      <w:r w:rsidRPr="00FD50F6">
        <w:rPr>
          <w:rFonts w:hint="eastAsia"/>
        </w:rPr>
        <w:t>9</w:t>
      </w:r>
      <w:r w:rsidRPr="00FD50F6">
        <w:rPr>
          <w:rFonts w:hint="eastAsia"/>
        </w:rPr>
        <w:t>号、</w:t>
      </w:r>
      <w:r w:rsidRPr="00FD50F6">
        <w:rPr>
          <w:rFonts w:hint="eastAsia"/>
        </w:rPr>
        <w:t>12</w:t>
      </w:r>
      <w:r w:rsidRPr="00FD50F6">
        <w:rPr>
          <w:rFonts w:hint="eastAsia"/>
        </w:rPr>
        <w:t>号等道岔；</w:t>
      </w:r>
    </w:p>
    <w:p w14:paraId="5CB5CFC5" w14:textId="77777777" w:rsidR="00D84020" w:rsidRPr="00FD50F6" w:rsidRDefault="00D84020" w:rsidP="00A926BD">
      <w:pPr>
        <w:pStyle w:val="4"/>
      </w:pPr>
      <w:r w:rsidRPr="00FD50F6">
        <w:rPr>
          <w:rFonts w:hint="eastAsia"/>
        </w:rPr>
        <w:t>道岔的轨型及材质选择应与相邻区间的钢轨一致；</w:t>
      </w:r>
    </w:p>
    <w:p w14:paraId="45F08EA9" w14:textId="77777777" w:rsidR="00D84020" w:rsidRPr="00FD50F6" w:rsidRDefault="00D84020" w:rsidP="00A926BD">
      <w:pPr>
        <w:pStyle w:val="4"/>
      </w:pPr>
      <w:r w:rsidRPr="00FD50F6">
        <w:rPr>
          <w:rFonts w:hint="eastAsia"/>
        </w:rPr>
        <w:t>应采用弹性扣件，扣压件型式宜与相邻区间的扣压件一致；</w:t>
      </w:r>
    </w:p>
    <w:p w14:paraId="389DB7EC" w14:textId="6AF638B2" w:rsidR="00D84020" w:rsidRPr="00FD50F6" w:rsidRDefault="00D84020" w:rsidP="00A926BD">
      <w:pPr>
        <w:pStyle w:val="4"/>
      </w:pPr>
      <w:r w:rsidRPr="00FD50F6">
        <w:rPr>
          <w:rFonts w:hint="eastAsia"/>
        </w:rPr>
        <w:t>道岔</w:t>
      </w:r>
      <w:r w:rsidR="00A34309">
        <w:rPr>
          <w:rFonts w:hint="eastAsia"/>
        </w:rPr>
        <w:t>宜</w:t>
      </w:r>
      <w:r w:rsidRPr="00FD50F6">
        <w:rPr>
          <w:rFonts w:hint="eastAsia"/>
        </w:rPr>
        <w:t>设置在同一轨下基础构筑物上，且距离构筑物变形缝或梁缝不应小于</w:t>
      </w:r>
      <w:r w:rsidRPr="00FD50F6">
        <w:rPr>
          <w:rFonts w:hint="eastAsia"/>
        </w:rPr>
        <w:t>2m</w:t>
      </w:r>
      <w:r w:rsidRPr="00FD50F6">
        <w:rPr>
          <w:rFonts w:hint="eastAsia"/>
        </w:rPr>
        <w:t>，困难条件下道岔转辙器和辙叉部位且距离构筑物变形缝或梁缝不应小于</w:t>
      </w:r>
      <w:r w:rsidRPr="00FD50F6">
        <w:rPr>
          <w:rFonts w:hint="eastAsia"/>
        </w:rPr>
        <w:t>2m</w:t>
      </w:r>
      <w:r w:rsidRPr="00FD50F6">
        <w:rPr>
          <w:rFonts w:hint="eastAsia"/>
        </w:rPr>
        <w:t>。</w:t>
      </w:r>
    </w:p>
    <w:p w14:paraId="15A59A00" w14:textId="77777777" w:rsidR="00D84020" w:rsidRPr="00FD50F6" w:rsidRDefault="00D84020" w:rsidP="00A926BD">
      <w:pPr>
        <w:pStyle w:val="4"/>
      </w:pPr>
      <w:r w:rsidRPr="00FD50F6">
        <w:rPr>
          <w:rFonts w:hint="eastAsia"/>
        </w:rPr>
        <w:t>正线道岔直向允许通过速度不应小于区间最高运行速度。</w:t>
      </w:r>
    </w:p>
    <w:p w14:paraId="0D11AD7F" w14:textId="77777777" w:rsidR="00D84020" w:rsidRPr="00FD50F6" w:rsidRDefault="00D84020" w:rsidP="00D84020">
      <w:pPr>
        <w:pStyle w:val="30"/>
      </w:pPr>
      <w:r w:rsidRPr="00FD50F6">
        <w:rPr>
          <w:rFonts w:hint="eastAsia"/>
        </w:rPr>
        <w:t>钢轨伸缩调节器的设置位置应符合下列规定：</w:t>
      </w:r>
    </w:p>
    <w:p w14:paraId="7A399D27" w14:textId="32F689D7" w:rsidR="00D84020" w:rsidRPr="00FD50F6" w:rsidRDefault="00D84020" w:rsidP="00A926BD">
      <w:pPr>
        <w:pStyle w:val="4"/>
      </w:pPr>
      <w:r w:rsidRPr="00FD50F6">
        <w:rPr>
          <w:rFonts w:hint="eastAsia"/>
        </w:rPr>
        <w:t>钢轨伸缩调节器的设置应通过桥上无缝线路检算确定，并宜设置在直线地段；当必须设置在曲线地段时，应按伸缩调节器的适用范围选用，且不应设置在竖曲线范围内。</w:t>
      </w:r>
    </w:p>
    <w:p w14:paraId="0F4ECDF8" w14:textId="69344EEE" w:rsidR="00D84020" w:rsidRPr="00FD50F6" w:rsidRDefault="00D84020" w:rsidP="00A926BD">
      <w:pPr>
        <w:pStyle w:val="4"/>
      </w:pPr>
      <w:r w:rsidRPr="00FD50F6">
        <w:rPr>
          <w:rFonts w:hint="eastAsia"/>
        </w:rPr>
        <w:t>钢轨伸缩调节器不应跨越梁缝，基本轨始端、尖轨跟端焊接接头距离梁缝、钢梁横梁、支座中心不应小于</w:t>
      </w:r>
      <w:r w:rsidRPr="00FD50F6">
        <w:rPr>
          <w:rFonts w:hint="eastAsia"/>
        </w:rPr>
        <w:t>2m</w:t>
      </w:r>
      <w:r w:rsidRPr="00FD50F6">
        <w:rPr>
          <w:rFonts w:hint="eastAsia"/>
        </w:rPr>
        <w:t>。</w:t>
      </w:r>
    </w:p>
    <w:p w14:paraId="5D404CAD" w14:textId="77777777" w:rsidR="00D84020" w:rsidRPr="00FD50F6" w:rsidRDefault="00D84020" w:rsidP="00A926BD">
      <w:pPr>
        <w:pStyle w:val="4"/>
      </w:pPr>
      <w:r w:rsidRPr="00FD50F6">
        <w:rPr>
          <w:rFonts w:hint="eastAsia"/>
        </w:rPr>
        <w:t>钢轨伸缩调节器的轨型及材质应与相邻钢轨一致。</w:t>
      </w:r>
    </w:p>
    <w:p w14:paraId="06CA81C9" w14:textId="77777777" w:rsidR="00D84020" w:rsidRPr="00FD50F6" w:rsidRDefault="00D84020" w:rsidP="00A65181">
      <w:pPr>
        <w:pStyle w:val="2"/>
      </w:pPr>
      <w:bookmarkStart w:id="303" w:name="_Toc112830677"/>
      <w:r w:rsidRPr="00FD50F6">
        <w:rPr>
          <w:rFonts w:hint="eastAsia"/>
        </w:rPr>
        <w:t>道床结构</w:t>
      </w:r>
      <w:bookmarkEnd w:id="303"/>
    </w:p>
    <w:p w14:paraId="21E1B5F1" w14:textId="19A9C5A1" w:rsidR="00D84020" w:rsidRPr="00FD50F6" w:rsidRDefault="00D84020" w:rsidP="00D84020">
      <w:pPr>
        <w:pStyle w:val="30"/>
        <w:rPr>
          <w:lang w:bidi="en-US"/>
        </w:rPr>
      </w:pPr>
      <w:r w:rsidRPr="00FD50F6">
        <w:rPr>
          <w:rFonts w:hint="eastAsia"/>
          <w:lang w:bidi="en-US"/>
        </w:rPr>
        <w:t>采用无砟道床结构应符合下列基本规定：</w:t>
      </w:r>
    </w:p>
    <w:p w14:paraId="6B0DA1AF" w14:textId="0BB67BAB" w:rsidR="00D84020" w:rsidRPr="00FD50F6" w:rsidRDefault="00D84020" w:rsidP="00A926BD">
      <w:pPr>
        <w:pStyle w:val="4"/>
      </w:pPr>
      <w:r w:rsidRPr="00FD50F6">
        <w:rPr>
          <w:rFonts w:hint="eastAsia"/>
        </w:rPr>
        <w:t>地下线道床排水沟的纵向坡度宜与线路坡度一致。线路平坡地段及排水顺坡地段排水沟纵向坡度不宜小于</w:t>
      </w:r>
      <w:r w:rsidRPr="00FD50F6">
        <w:rPr>
          <w:rFonts w:hint="eastAsia"/>
        </w:rPr>
        <w:t>2</w:t>
      </w:r>
      <w:r w:rsidRPr="00FD50F6">
        <w:rPr>
          <w:rFonts w:hint="eastAsia"/>
        </w:rPr>
        <w:t>‰；地下线道岔转辙基坑应进行防</w:t>
      </w:r>
      <w:r w:rsidR="00B3449C">
        <w:rPr>
          <w:rFonts w:hint="eastAsia"/>
        </w:rPr>
        <w:t>水</w:t>
      </w:r>
      <w:r w:rsidRPr="00FD50F6">
        <w:rPr>
          <w:rFonts w:hint="eastAsia"/>
        </w:rPr>
        <w:t>、排水设计。</w:t>
      </w:r>
    </w:p>
    <w:p w14:paraId="0500AD31" w14:textId="7804CE7C" w:rsidR="00D84020" w:rsidRPr="00FD50F6" w:rsidRDefault="00D84020" w:rsidP="00A926BD">
      <w:pPr>
        <w:pStyle w:val="4"/>
      </w:pPr>
      <w:r w:rsidRPr="00FD50F6">
        <w:rPr>
          <w:rFonts w:hint="eastAsia"/>
        </w:rPr>
        <w:t>当采用基标铺轨时，在无砟道床上应设铺轨基标；当采用任意设站控制网铺轨时，应保留控制点，可不设铺轨基标。</w:t>
      </w:r>
    </w:p>
    <w:p w14:paraId="0600D299" w14:textId="2752340B" w:rsidR="00D84020" w:rsidRPr="00FD50F6" w:rsidRDefault="00D84020" w:rsidP="00A926BD">
      <w:pPr>
        <w:pStyle w:val="4"/>
      </w:pPr>
      <w:r w:rsidRPr="00FD50F6">
        <w:rPr>
          <w:rFonts w:hint="eastAsia"/>
        </w:rPr>
        <w:t>道床结构应根据杂散电流的防护要求，并应与相关专业综合统筹设计，共</w:t>
      </w:r>
      <w:r w:rsidRPr="00FD50F6">
        <w:rPr>
          <w:rFonts w:hint="eastAsia"/>
        </w:rPr>
        <w:lastRenderedPageBreak/>
        <w:t>同采取防护措施。</w:t>
      </w:r>
    </w:p>
    <w:p w14:paraId="689BE7FC" w14:textId="77777777" w:rsidR="00D84020" w:rsidRPr="00FD50F6" w:rsidRDefault="00D84020" w:rsidP="00A926BD">
      <w:pPr>
        <w:pStyle w:val="4"/>
      </w:pPr>
      <w:r w:rsidRPr="00FD50F6">
        <w:rPr>
          <w:rFonts w:hint="eastAsia"/>
        </w:rPr>
        <w:t>道床面低于钢轨底面不宜小于</w:t>
      </w:r>
      <w:r w:rsidRPr="00FD50F6">
        <w:rPr>
          <w:rFonts w:hint="eastAsia"/>
        </w:rPr>
        <w:t>70mm</w:t>
      </w:r>
      <w:r w:rsidRPr="00FD50F6">
        <w:rPr>
          <w:rFonts w:hint="eastAsia"/>
        </w:rPr>
        <w:t>。</w:t>
      </w:r>
    </w:p>
    <w:p w14:paraId="401F956C" w14:textId="17A36077" w:rsidR="00D84020" w:rsidRPr="00FD50F6" w:rsidRDefault="00D84020" w:rsidP="00D84020">
      <w:pPr>
        <w:pStyle w:val="30"/>
      </w:pPr>
      <w:r w:rsidRPr="00FD50F6">
        <w:rPr>
          <w:rFonts w:hint="eastAsia"/>
        </w:rPr>
        <w:t>现浇无砟道床结构应符合下列规定：</w:t>
      </w:r>
    </w:p>
    <w:p w14:paraId="16B43923" w14:textId="71B8803B" w:rsidR="00D84020" w:rsidRPr="00FD50F6" w:rsidRDefault="00D84020" w:rsidP="00A926BD">
      <w:pPr>
        <w:pStyle w:val="4"/>
      </w:pPr>
      <w:r w:rsidRPr="00FD50F6">
        <w:rPr>
          <w:rFonts w:hint="eastAsia"/>
        </w:rPr>
        <w:t>应采用轨枕埋入式结构。</w:t>
      </w:r>
    </w:p>
    <w:p w14:paraId="1B00B295" w14:textId="4E1C50D1" w:rsidR="00D84020" w:rsidRPr="00FD50F6" w:rsidRDefault="00D84020" w:rsidP="00A926BD">
      <w:pPr>
        <w:pStyle w:val="4"/>
      </w:pPr>
      <w:r w:rsidRPr="00FD50F6">
        <w:rPr>
          <w:rFonts w:hint="eastAsia"/>
        </w:rPr>
        <w:t>道床的混凝土强度等级，隧道结构地段不应低于</w:t>
      </w:r>
      <w:r w:rsidRPr="00FD50F6">
        <w:rPr>
          <w:rFonts w:hint="eastAsia"/>
        </w:rPr>
        <w:t>C35</w:t>
      </w:r>
      <w:r w:rsidRPr="00FD50F6">
        <w:rPr>
          <w:rFonts w:hint="eastAsia"/>
        </w:rPr>
        <w:t>，高架线、地面线、</w:t>
      </w:r>
      <w:r w:rsidRPr="00FD50F6">
        <w:rPr>
          <w:rFonts w:hint="eastAsia"/>
        </w:rPr>
        <w:t>U</w:t>
      </w:r>
      <w:r w:rsidRPr="00FD50F6">
        <w:rPr>
          <w:rFonts w:hint="eastAsia"/>
        </w:rPr>
        <w:t>型槽结构地段不应低于</w:t>
      </w:r>
      <w:r w:rsidRPr="00FD50F6">
        <w:rPr>
          <w:rFonts w:hint="eastAsia"/>
        </w:rPr>
        <w:t>C40</w:t>
      </w:r>
      <w:r w:rsidRPr="00FD50F6">
        <w:rPr>
          <w:rFonts w:hint="eastAsia"/>
        </w:rPr>
        <w:t>。</w:t>
      </w:r>
    </w:p>
    <w:p w14:paraId="04CFC0D2" w14:textId="7F6DE144" w:rsidR="00D84020" w:rsidRPr="00FD50F6" w:rsidRDefault="00D84020" w:rsidP="00A926BD">
      <w:pPr>
        <w:pStyle w:val="4"/>
      </w:pPr>
      <w:r w:rsidRPr="00FD50F6">
        <w:rPr>
          <w:rFonts w:hint="eastAsia"/>
        </w:rPr>
        <w:t>隧道内伸缩缝间距不宜大于</w:t>
      </w:r>
      <w:r w:rsidRPr="00FD50F6">
        <w:rPr>
          <w:rFonts w:hint="eastAsia"/>
        </w:rPr>
        <w:t>12m</w:t>
      </w:r>
      <w:r w:rsidRPr="00FD50F6">
        <w:rPr>
          <w:rFonts w:hint="eastAsia"/>
        </w:rPr>
        <w:t>，</w:t>
      </w:r>
      <w:r w:rsidRPr="00FD50F6">
        <w:rPr>
          <w:rFonts w:hint="eastAsia"/>
        </w:rPr>
        <w:t>U</w:t>
      </w:r>
      <w:r w:rsidRPr="00FD50F6">
        <w:rPr>
          <w:rFonts w:hint="eastAsia"/>
        </w:rPr>
        <w:t>形结构地段、隧道洞口内</w:t>
      </w:r>
      <w:r w:rsidRPr="00FD50F6">
        <w:rPr>
          <w:rFonts w:hint="eastAsia"/>
        </w:rPr>
        <w:t>50m</w:t>
      </w:r>
      <w:r w:rsidRPr="00FD50F6">
        <w:rPr>
          <w:rFonts w:hint="eastAsia"/>
        </w:rPr>
        <w:t>范围、高架桥上和库内线不宜大于</w:t>
      </w:r>
      <w:r w:rsidRPr="00FD50F6">
        <w:rPr>
          <w:rFonts w:hint="eastAsia"/>
        </w:rPr>
        <w:t>9m</w:t>
      </w:r>
      <w:r w:rsidRPr="00FD50F6">
        <w:rPr>
          <w:rFonts w:hint="eastAsia"/>
        </w:rPr>
        <w:t>。在结构变形缝和高架桥梁缝处应设置道床伸缩缝。</w:t>
      </w:r>
    </w:p>
    <w:p w14:paraId="3124DEBA" w14:textId="77777777" w:rsidR="00D84020" w:rsidRPr="00FD50F6" w:rsidRDefault="00D84020" w:rsidP="00A926BD">
      <w:pPr>
        <w:pStyle w:val="4"/>
      </w:pPr>
      <w:r w:rsidRPr="00FD50F6">
        <w:rPr>
          <w:rFonts w:hint="eastAsia"/>
        </w:rPr>
        <w:t>道床面横向排水坡不宜小于</w:t>
      </w:r>
      <w:r w:rsidRPr="00FD50F6">
        <w:rPr>
          <w:rFonts w:hint="eastAsia"/>
        </w:rPr>
        <w:t>2.5%</w:t>
      </w:r>
      <w:r w:rsidRPr="00FD50F6">
        <w:rPr>
          <w:rFonts w:hint="eastAsia"/>
        </w:rPr>
        <w:t>，道岔道床横向排水坡宜为</w:t>
      </w:r>
      <w:r w:rsidRPr="00FD50F6">
        <w:rPr>
          <w:rFonts w:hint="eastAsia"/>
        </w:rPr>
        <w:t>1%</w:t>
      </w:r>
      <w:r w:rsidRPr="00FD50F6">
        <w:rPr>
          <w:rFonts w:hint="eastAsia"/>
        </w:rPr>
        <w:t>～</w:t>
      </w:r>
      <w:r w:rsidRPr="00FD50F6">
        <w:rPr>
          <w:rFonts w:hint="eastAsia"/>
        </w:rPr>
        <w:t>2%</w:t>
      </w:r>
      <w:r w:rsidRPr="00FD50F6">
        <w:rPr>
          <w:rFonts w:hint="eastAsia"/>
        </w:rPr>
        <w:t>。</w:t>
      </w:r>
    </w:p>
    <w:p w14:paraId="6E816660" w14:textId="3567E24B" w:rsidR="00D84020" w:rsidRPr="00FD50F6" w:rsidRDefault="00D84020" w:rsidP="00D84020">
      <w:pPr>
        <w:pStyle w:val="30"/>
      </w:pPr>
      <w:r w:rsidRPr="00FD50F6">
        <w:rPr>
          <w:rFonts w:hint="eastAsia"/>
        </w:rPr>
        <w:t>预制板式无砟道床结构应符合下列规定：</w:t>
      </w:r>
    </w:p>
    <w:p w14:paraId="754164C9" w14:textId="428882FA" w:rsidR="00D84020" w:rsidRPr="00FD50F6" w:rsidRDefault="00D84020" w:rsidP="00A926BD">
      <w:pPr>
        <w:pStyle w:val="4"/>
      </w:pPr>
      <w:r w:rsidRPr="00FD50F6">
        <w:rPr>
          <w:rFonts w:hint="eastAsia"/>
        </w:rPr>
        <w:t>预制板道床宜由预制板、隔离层、填充层、底座及限位结构等部分组成，地下线及高架线预制板道床可不设底座。</w:t>
      </w:r>
    </w:p>
    <w:p w14:paraId="68C47338" w14:textId="0A1591DB" w:rsidR="00D84020" w:rsidRPr="00FD50F6" w:rsidRDefault="00D84020" w:rsidP="00A926BD">
      <w:pPr>
        <w:pStyle w:val="4"/>
      </w:pPr>
      <w:r w:rsidRPr="00FD50F6">
        <w:rPr>
          <w:rFonts w:hint="eastAsia"/>
        </w:rPr>
        <w:t>预制板混凝土强度等级不应低于</w:t>
      </w:r>
      <w:r w:rsidRPr="00FD50F6">
        <w:rPr>
          <w:rFonts w:hint="eastAsia"/>
        </w:rPr>
        <w:t>C50</w:t>
      </w:r>
      <w:r w:rsidRPr="00FD50F6">
        <w:rPr>
          <w:rFonts w:hint="eastAsia"/>
        </w:rPr>
        <w:t>，可采用预应力或非预应力结构。</w:t>
      </w:r>
    </w:p>
    <w:p w14:paraId="53852374" w14:textId="439BE612" w:rsidR="00D84020" w:rsidRPr="00FD50F6" w:rsidRDefault="00D84020" w:rsidP="00A926BD">
      <w:pPr>
        <w:pStyle w:val="4"/>
      </w:pPr>
      <w:r w:rsidRPr="00FD50F6">
        <w:rPr>
          <w:rFonts w:hint="eastAsia"/>
        </w:rPr>
        <w:t>预制板下填充层应根据灌注条件选用合适的灌注材料，材料性能应符合相关规范规定及设计要求。</w:t>
      </w:r>
    </w:p>
    <w:p w14:paraId="35ADF980" w14:textId="097841C9" w:rsidR="00D84020" w:rsidRPr="00FD50F6" w:rsidRDefault="00D84020" w:rsidP="00A926BD">
      <w:pPr>
        <w:pStyle w:val="4"/>
      </w:pPr>
      <w:r w:rsidRPr="00FD50F6">
        <w:rPr>
          <w:rFonts w:hint="eastAsia"/>
        </w:rPr>
        <w:t>预制板和填充层之间采用隔离层时，预制板应采用柔性限位设计。若隔离层具有减振功能，应通过构造设计避免减振失效。隔离层及柔性限位材料的性能应符合设计要求。</w:t>
      </w:r>
    </w:p>
    <w:p w14:paraId="6E496D9A" w14:textId="13C0A2AB" w:rsidR="00D84020" w:rsidRPr="00FD50F6" w:rsidRDefault="00D84020" w:rsidP="00A926BD">
      <w:pPr>
        <w:pStyle w:val="4"/>
      </w:pPr>
      <w:r w:rsidRPr="00FD50F6">
        <w:rPr>
          <w:rFonts w:hint="eastAsia"/>
        </w:rPr>
        <w:t>预制板和填充层之间采用刚性连接设计时，应在填充层与下部结构之间采取柔性限位措施。柔性限位材料的性能应符合设计要求。</w:t>
      </w:r>
    </w:p>
    <w:p w14:paraId="11FE9F70" w14:textId="72C7847A" w:rsidR="00D84020" w:rsidRPr="00FD50F6" w:rsidRDefault="00D84020" w:rsidP="00A926BD">
      <w:pPr>
        <w:pStyle w:val="4"/>
      </w:pPr>
      <w:r w:rsidRPr="00FD50F6">
        <w:rPr>
          <w:rFonts w:hint="eastAsia"/>
        </w:rPr>
        <w:t>预制板与填充层之间、填充层与底座之间等结合面处，应采取防水措施。</w:t>
      </w:r>
    </w:p>
    <w:p w14:paraId="70375424" w14:textId="6B32315B" w:rsidR="00D84020" w:rsidRPr="00FD50F6" w:rsidRDefault="00D84020" w:rsidP="00A926BD">
      <w:pPr>
        <w:pStyle w:val="4"/>
      </w:pPr>
      <w:r w:rsidRPr="00FD50F6">
        <w:rPr>
          <w:rFonts w:hint="eastAsia"/>
        </w:rPr>
        <w:t>曲线超高应在板下填充层或底座上设置。</w:t>
      </w:r>
    </w:p>
    <w:p w14:paraId="15A3DBB9" w14:textId="77777777" w:rsidR="00D84020" w:rsidRPr="00FD50F6" w:rsidRDefault="00D84020" w:rsidP="00A926BD">
      <w:pPr>
        <w:pStyle w:val="4"/>
      </w:pPr>
      <w:r w:rsidRPr="00FD50F6">
        <w:rPr>
          <w:rFonts w:hint="eastAsia"/>
        </w:rPr>
        <w:t>填充层或底座的伸缩缝间距不宜超过</w:t>
      </w:r>
      <w:r w:rsidRPr="00FD50F6">
        <w:t>3</w:t>
      </w:r>
      <w:r w:rsidRPr="00FD50F6">
        <w:rPr>
          <w:rFonts w:hint="eastAsia"/>
        </w:rPr>
        <w:t>块板板长，伸缩缝宜与预制板板缝对齐。在结构变形缝和高架桥梁缝处，应设置伸缩缝。</w:t>
      </w:r>
    </w:p>
    <w:p w14:paraId="4A30F863" w14:textId="77777777" w:rsidR="00D84020" w:rsidRPr="00FD50F6" w:rsidRDefault="00D84020" w:rsidP="00D84020">
      <w:pPr>
        <w:pStyle w:val="30"/>
      </w:pPr>
      <w:r w:rsidRPr="00FD50F6">
        <w:rPr>
          <w:rFonts w:hint="eastAsia"/>
        </w:rPr>
        <w:t>有砟道床应符合下列规定：</w:t>
      </w:r>
    </w:p>
    <w:p w14:paraId="53B5BFEF" w14:textId="7F9C65C4" w:rsidR="00D84020" w:rsidRPr="00FD50F6" w:rsidRDefault="00D84020" w:rsidP="00A926BD">
      <w:pPr>
        <w:pStyle w:val="4"/>
      </w:pPr>
      <w:r w:rsidRPr="00FD50F6">
        <w:rPr>
          <w:rFonts w:hint="eastAsia"/>
        </w:rPr>
        <w:t>应采用一级或特级道砟。</w:t>
      </w:r>
    </w:p>
    <w:p w14:paraId="7E912915" w14:textId="49081FBB" w:rsidR="00D84020" w:rsidRPr="00FD50F6" w:rsidRDefault="00D84020" w:rsidP="00A926BD">
      <w:pPr>
        <w:pStyle w:val="4"/>
      </w:pPr>
      <w:r w:rsidRPr="00FD50F6">
        <w:rPr>
          <w:rFonts w:hint="eastAsia"/>
        </w:rPr>
        <w:t>无缝线路地段道床的密实度不得小于</w:t>
      </w:r>
      <w:r w:rsidRPr="00FD50F6">
        <w:rPr>
          <w:rFonts w:hint="eastAsia"/>
        </w:rPr>
        <w:t>1.7t/m</w:t>
      </w:r>
      <w:r w:rsidRPr="00FD50F6">
        <w:rPr>
          <w:rFonts w:hint="eastAsia"/>
          <w:vertAlign w:val="superscript"/>
        </w:rPr>
        <w:t>3</w:t>
      </w:r>
      <w:r w:rsidRPr="00FD50F6">
        <w:rPr>
          <w:rFonts w:hint="eastAsia"/>
        </w:rPr>
        <w:t>，纵向阻力不得小于</w:t>
      </w:r>
      <w:r w:rsidRPr="00FD50F6">
        <w:rPr>
          <w:rFonts w:hint="eastAsia"/>
        </w:rPr>
        <w:t>10kN/</w:t>
      </w:r>
      <w:r w:rsidRPr="00FD50F6">
        <w:rPr>
          <w:rFonts w:hint="eastAsia"/>
        </w:rPr>
        <w:t>枕，横向阻力不得小于</w:t>
      </w:r>
      <w:r w:rsidRPr="00FD50F6">
        <w:rPr>
          <w:rFonts w:hint="eastAsia"/>
        </w:rPr>
        <w:t>9kN/</w:t>
      </w:r>
      <w:r w:rsidRPr="00FD50F6">
        <w:rPr>
          <w:rFonts w:hint="eastAsia"/>
        </w:rPr>
        <w:t>枕。</w:t>
      </w:r>
    </w:p>
    <w:p w14:paraId="21E21519" w14:textId="03B3DCD6" w:rsidR="00D84020" w:rsidRPr="00FD50F6" w:rsidRDefault="00D84020" w:rsidP="00A926BD">
      <w:pPr>
        <w:pStyle w:val="4"/>
      </w:pPr>
      <w:r w:rsidRPr="00FD50F6">
        <w:rPr>
          <w:rFonts w:hint="eastAsia"/>
        </w:rPr>
        <w:t>正线无缝线路地段道床的肩宽不应小于</w:t>
      </w:r>
      <w:r w:rsidRPr="00FD50F6">
        <w:rPr>
          <w:rFonts w:hint="eastAsia"/>
        </w:rPr>
        <w:t>400mm</w:t>
      </w:r>
      <w:r w:rsidRPr="00FD50F6">
        <w:rPr>
          <w:rFonts w:hint="eastAsia"/>
        </w:rPr>
        <w:t>，有缝线路地段道床肩宽不</w:t>
      </w:r>
      <w:r w:rsidRPr="00FD50F6">
        <w:rPr>
          <w:rFonts w:hint="eastAsia"/>
        </w:rPr>
        <w:lastRenderedPageBreak/>
        <w:t>应小于</w:t>
      </w:r>
      <w:r w:rsidRPr="00FD50F6">
        <w:rPr>
          <w:rFonts w:hint="eastAsia"/>
        </w:rPr>
        <w:t>300mm</w:t>
      </w:r>
      <w:r w:rsidRPr="00FD50F6">
        <w:rPr>
          <w:rFonts w:hint="eastAsia"/>
        </w:rPr>
        <w:t>。无缝线路曲线半径小于</w:t>
      </w:r>
      <w:r w:rsidRPr="00FD50F6">
        <w:rPr>
          <w:rFonts w:hint="eastAsia"/>
        </w:rPr>
        <w:t>800m</w:t>
      </w:r>
      <w:r w:rsidRPr="00FD50F6">
        <w:rPr>
          <w:rFonts w:hint="eastAsia"/>
        </w:rPr>
        <w:t>、有缝线路曲线半径小于</w:t>
      </w:r>
      <w:r w:rsidRPr="00FD50F6">
        <w:rPr>
          <w:rFonts w:hint="eastAsia"/>
        </w:rPr>
        <w:t>600m</w:t>
      </w:r>
      <w:r w:rsidRPr="00FD50F6">
        <w:rPr>
          <w:rFonts w:hint="eastAsia"/>
        </w:rPr>
        <w:t>的地段，曲线外侧道床肩宽应加宽</w:t>
      </w:r>
      <w:r w:rsidRPr="00FD50F6">
        <w:rPr>
          <w:rFonts w:hint="eastAsia"/>
        </w:rPr>
        <w:t>100mm</w:t>
      </w:r>
      <w:r w:rsidRPr="00FD50F6">
        <w:rPr>
          <w:rFonts w:hint="eastAsia"/>
        </w:rPr>
        <w:t>。无缝线路道床砟肩应堆高</w:t>
      </w:r>
      <w:r w:rsidRPr="00FD50F6">
        <w:rPr>
          <w:rFonts w:hint="eastAsia"/>
        </w:rPr>
        <w:t>150mm</w:t>
      </w:r>
      <w:r w:rsidRPr="00FD50F6">
        <w:rPr>
          <w:rFonts w:hint="eastAsia"/>
        </w:rPr>
        <w:t>。道床边坡均应采用</w:t>
      </w:r>
      <w:r w:rsidRPr="00FD50F6">
        <w:rPr>
          <w:rFonts w:hint="eastAsia"/>
        </w:rPr>
        <w:t>1:1.75</w:t>
      </w:r>
      <w:r w:rsidRPr="00FD50F6">
        <w:rPr>
          <w:rFonts w:hint="eastAsia"/>
        </w:rPr>
        <w:t>。</w:t>
      </w:r>
    </w:p>
    <w:p w14:paraId="79502D54" w14:textId="73CD7370" w:rsidR="00D84020" w:rsidRPr="00FD50F6" w:rsidRDefault="00D84020" w:rsidP="00A926BD">
      <w:pPr>
        <w:pStyle w:val="4"/>
      </w:pPr>
      <w:r w:rsidRPr="00FD50F6">
        <w:rPr>
          <w:rFonts w:hint="eastAsia"/>
        </w:rPr>
        <w:t>车场线道床的道床肩宽不应小于</w:t>
      </w:r>
      <w:r w:rsidRPr="00FD50F6">
        <w:rPr>
          <w:rFonts w:hint="eastAsia"/>
        </w:rPr>
        <w:t>200mm</w:t>
      </w:r>
      <w:r w:rsidRPr="00FD50F6">
        <w:rPr>
          <w:rFonts w:hint="eastAsia"/>
        </w:rPr>
        <w:t>，曲线半径不大于</w:t>
      </w:r>
      <w:r w:rsidRPr="00FD50F6">
        <w:rPr>
          <w:rFonts w:hint="eastAsia"/>
        </w:rPr>
        <w:t>300m</w:t>
      </w:r>
      <w:r w:rsidRPr="00FD50F6">
        <w:rPr>
          <w:rFonts w:hint="eastAsia"/>
        </w:rPr>
        <w:t>的曲线地段，曲线外侧道床肩宽应加宽</w:t>
      </w:r>
      <w:r w:rsidRPr="00FD50F6">
        <w:rPr>
          <w:rFonts w:hint="eastAsia"/>
        </w:rPr>
        <w:t>100mm</w:t>
      </w:r>
      <w:r w:rsidRPr="00FD50F6">
        <w:rPr>
          <w:rFonts w:hint="eastAsia"/>
        </w:rPr>
        <w:t>，道床边坡均应采用</w:t>
      </w:r>
      <w:r w:rsidRPr="00FD50F6">
        <w:rPr>
          <w:rFonts w:hint="eastAsia"/>
        </w:rPr>
        <w:t>1:1.5</w:t>
      </w:r>
      <w:r w:rsidRPr="00FD50F6">
        <w:rPr>
          <w:rFonts w:hint="eastAsia"/>
        </w:rPr>
        <w:t>。</w:t>
      </w:r>
    </w:p>
    <w:p w14:paraId="13E7FA23" w14:textId="2BD281BB" w:rsidR="00D84020" w:rsidRPr="00FD50F6" w:rsidRDefault="00D84020" w:rsidP="00A926BD">
      <w:pPr>
        <w:pStyle w:val="4"/>
      </w:pPr>
      <w:r w:rsidRPr="00FD50F6">
        <w:rPr>
          <w:rFonts w:hint="eastAsia"/>
        </w:rPr>
        <w:t>道床顶面应与混凝土轨枕中部顶面平齐，道岔区应低于岔枕顶面</w:t>
      </w:r>
      <w:r w:rsidRPr="00FD50F6">
        <w:rPr>
          <w:rFonts w:hint="eastAsia"/>
        </w:rPr>
        <w:t>30mm</w:t>
      </w:r>
      <w:r w:rsidRPr="00FD50F6">
        <w:rPr>
          <w:rFonts w:hint="eastAsia"/>
        </w:rPr>
        <w:t>。</w:t>
      </w:r>
    </w:p>
    <w:p w14:paraId="4573C5B0" w14:textId="77777777" w:rsidR="00D84020" w:rsidRPr="00FD50F6" w:rsidRDefault="00D84020" w:rsidP="00D84020">
      <w:pPr>
        <w:pStyle w:val="30"/>
      </w:pPr>
      <w:r w:rsidRPr="00FD50F6">
        <w:rPr>
          <w:rFonts w:hint="eastAsia"/>
        </w:rPr>
        <w:t>不同道床结构的过渡段设置应符合下列规定：</w:t>
      </w:r>
    </w:p>
    <w:p w14:paraId="0573DAE4" w14:textId="77777777" w:rsidR="00D84020" w:rsidRPr="00FD50F6" w:rsidRDefault="00D84020" w:rsidP="00A926BD">
      <w:pPr>
        <w:pStyle w:val="4"/>
      </w:pPr>
      <w:r w:rsidRPr="00FD50F6">
        <w:rPr>
          <w:rFonts w:hint="eastAsia"/>
        </w:rPr>
        <w:t>正线、出入线和试车线的无砟道床与有砟道床间应设置过渡段，长度不宜短于车辆全轴距；</w:t>
      </w:r>
    </w:p>
    <w:p w14:paraId="48A10A29" w14:textId="77777777" w:rsidR="00D84020" w:rsidRPr="00FD50F6" w:rsidRDefault="00D84020" w:rsidP="00A926BD">
      <w:pPr>
        <w:pStyle w:val="4"/>
      </w:pPr>
      <w:r w:rsidRPr="00FD50F6">
        <w:rPr>
          <w:rFonts w:hint="eastAsia"/>
        </w:rPr>
        <w:t>不同减振地段间的过渡方式和长度应根据计算确定。</w:t>
      </w:r>
    </w:p>
    <w:p w14:paraId="650F9C9C" w14:textId="77777777" w:rsidR="00D84020" w:rsidRPr="00FD50F6" w:rsidRDefault="00D84020" w:rsidP="001A4CF3">
      <w:pPr>
        <w:pStyle w:val="2"/>
      </w:pPr>
      <w:bookmarkStart w:id="304" w:name="_Toc112830678"/>
      <w:r w:rsidRPr="00FD50F6">
        <w:t>无缝线路</w:t>
      </w:r>
      <w:bookmarkEnd w:id="304"/>
    </w:p>
    <w:p w14:paraId="22F80515" w14:textId="77777777" w:rsidR="00D84020" w:rsidRPr="00FD50F6" w:rsidRDefault="00D84020" w:rsidP="00D84020">
      <w:pPr>
        <w:pStyle w:val="30"/>
      </w:pPr>
      <w:bookmarkStart w:id="305" w:name="_Hlk77752026"/>
      <w:r w:rsidRPr="00FD50F6">
        <w:rPr>
          <w:rFonts w:hint="eastAsia"/>
        </w:rPr>
        <w:t>无缝线路设计应根据当地气象及地下线温度资料确定设计锁定轨温，并应对轨道结构强度、稳定性、断缝安全性等进行检算。</w:t>
      </w:r>
    </w:p>
    <w:p w14:paraId="1FE7CC80" w14:textId="45C7A818" w:rsidR="00D84020" w:rsidRPr="00FD50F6" w:rsidRDefault="00D84020" w:rsidP="00D84020">
      <w:pPr>
        <w:pStyle w:val="30"/>
      </w:pPr>
      <w:r w:rsidRPr="00FD50F6">
        <w:rPr>
          <w:rFonts w:hint="eastAsia"/>
        </w:rPr>
        <w:t>下列地段轨道宜按无缝线路设计：</w:t>
      </w:r>
    </w:p>
    <w:p w14:paraId="1A9D041F" w14:textId="77777777" w:rsidR="00D84020" w:rsidRPr="00FD50F6" w:rsidRDefault="00D84020" w:rsidP="00A926BD">
      <w:pPr>
        <w:pStyle w:val="4"/>
      </w:pPr>
      <w:r w:rsidRPr="00FD50F6">
        <w:rPr>
          <w:rFonts w:hint="eastAsia"/>
        </w:rPr>
        <w:t>地下线无砟道床的直线和半径不小于</w:t>
      </w:r>
      <w:r w:rsidRPr="00FD50F6">
        <w:rPr>
          <w:rFonts w:hint="eastAsia"/>
        </w:rPr>
        <w:t>300m</w:t>
      </w:r>
      <w:r w:rsidRPr="00FD50F6">
        <w:rPr>
          <w:rFonts w:hint="eastAsia"/>
        </w:rPr>
        <w:t>的曲线地段；</w:t>
      </w:r>
    </w:p>
    <w:p w14:paraId="14B3E6E4" w14:textId="77777777" w:rsidR="00D84020" w:rsidRPr="00FD50F6" w:rsidRDefault="00D84020" w:rsidP="00A926BD">
      <w:pPr>
        <w:pStyle w:val="4"/>
      </w:pPr>
      <w:r w:rsidRPr="00FD50F6">
        <w:rPr>
          <w:rFonts w:hint="eastAsia"/>
        </w:rPr>
        <w:t>高架线及地面线无砟道床的直线和半径不小于</w:t>
      </w:r>
      <w:r w:rsidRPr="00FD50F6">
        <w:rPr>
          <w:rFonts w:hint="eastAsia"/>
        </w:rPr>
        <w:t>400m</w:t>
      </w:r>
      <w:r w:rsidRPr="00FD50F6">
        <w:rPr>
          <w:rFonts w:hint="eastAsia"/>
        </w:rPr>
        <w:t>的曲线地段；</w:t>
      </w:r>
    </w:p>
    <w:p w14:paraId="54AD7332" w14:textId="77777777" w:rsidR="00D84020" w:rsidRPr="00FD50F6" w:rsidRDefault="00D84020" w:rsidP="00A926BD">
      <w:pPr>
        <w:pStyle w:val="4"/>
      </w:pPr>
      <w:r w:rsidRPr="00FD50F6">
        <w:rPr>
          <w:rFonts w:hint="eastAsia"/>
        </w:rPr>
        <w:t>有砟道床的直线和半径不小于</w:t>
      </w:r>
      <w:r w:rsidRPr="00FD50F6">
        <w:rPr>
          <w:rFonts w:hint="eastAsia"/>
        </w:rPr>
        <w:t>600m</w:t>
      </w:r>
      <w:r w:rsidRPr="00FD50F6">
        <w:rPr>
          <w:rFonts w:hint="eastAsia"/>
        </w:rPr>
        <w:t>的曲线地段；</w:t>
      </w:r>
    </w:p>
    <w:p w14:paraId="1D29321D" w14:textId="77777777" w:rsidR="00D84020" w:rsidRPr="00FD50F6" w:rsidRDefault="00D84020" w:rsidP="00A926BD">
      <w:pPr>
        <w:pStyle w:val="4"/>
      </w:pPr>
      <w:r w:rsidRPr="00FD50F6">
        <w:rPr>
          <w:rFonts w:hint="eastAsia"/>
        </w:rPr>
        <w:t>试车线；</w:t>
      </w:r>
    </w:p>
    <w:p w14:paraId="50743A0E" w14:textId="77777777" w:rsidR="00D84020" w:rsidRPr="00FD50F6" w:rsidRDefault="00D84020" w:rsidP="00A926BD">
      <w:pPr>
        <w:pStyle w:val="4"/>
      </w:pPr>
      <w:r w:rsidRPr="00FD50F6">
        <w:rPr>
          <w:rFonts w:hint="eastAsia"/>
        </w:rPr>
        <w:t>上盖物业开发的库内线；</w:t>
      </w:r>
    </w:p>
    <w:p w14:paraId="15E41BC8" w14:textId="05E62906" w:rsidR="00D84020" w:rsidRPr="00FD50F6" w:rsidRDefault="00D84020" w:rsidP="00A926BD">
      <w:pPr>
        <w:pStyle w:val="4"/>
      </w:pPr>
      <w:r w:rsidRPr="00FD50F6">
        <w:rPr>
          <w:rFonts w:hint="eastAsia"/>
        </w:rPr>
        <w:t>当曲线半径小于本条第</w:t>
      </w:r>
      <w:r w:rsidRPr="00FD50F6">
        <w:rPr>
          <w:rFonts w:hint="eastAsia"/>
        </w:rPr>
        <w:t>1</w:t>
      </w:r>
      <w:r w:rsidRPr="00FD50F6">
        <w:rPr>
          <w:rFonts w:hint="eastAsia"/>
        </w:rPr>
        <w:t>～</w:t>
      </w:r>
      <w:r w:rsidRPr="00FD50F6">
        <w:rPr>
          <w:rFonts w:hint="eastAsia"/>
        </w:rPr>
        <w:t>3</w:t>
      </w:r>
      <w:r w:rsidRPr="00FD50F6">
        <w:rPr>
          <w:rFonts w:hint="eastAsia"/>
        </w:rPr>
        <w:t>款的限制值时，应按</w:t>
      </w:r>
      <w:r w:rsidR="00B3449C">
        <w:rPr>
          <w:rFonts w:hint="eastAsia"/>
        </w:rPr>
        <w:t>现行行业标准</w:t>
      </w:r>
      <w:r w:rsidRPr="00FD50F6">
        <w:rPr>
          <w:rFonts w:hint="eastAsia"/>
        </w:rPr>
        <w:t>《铁路无缝线路设计规范》</w:t>
      </w:r>
      <w:r w:rsidR="00B3449C" w:rsidRPr="00B3449C">
        <w:rPr>
          <w:rFonts w:hint="eastAsia"/>
        </w:rPr>
        <w:t xml:space="preserve"> </w:t>
      </w:r>
      <w:r w:rsidR="00B3449C" w:rsidRPr="00FD50F6">
        <w:rPr>
          <w:rFonts w:hint="eastAsia"/>
        </w:rPr>
        <w:t>T</w:t>
      </w:r>
      <w:r w:rsidR="00B3449C" w:rsidRPr="00FD50F6">
        <w:t>B 10015</w:t>
      </w:r>
      <w:r w:rsidRPr="00FD50F6">
        <w:rPr>
          <w:rFonts w:hint="eastAsia"/>
        </w:rPr>
        <w:t>的要求进行相关检算，以确定是否铺设无缝线路。</w:t>
      </w:r>
    </w:p>
    <w:p w14:paraId="6B0A8253" w14:textId="77777777" w:rsidR="00D84020" w:rsidRPr="00FD50F6" w:rsidRDefault="00D84020" w:rsidP="00D84020">
      <w:pPr>
        <w:pStyle w:val="30"/>
      </w:pPr>
      <w:r w:rsidRPr="00FD50F6">
        <w:rPr>
          <w:rFonts w:hint="eastAsia"/>
        </w:rPr>
        <w:t>符合铺设无缝线路条件的正线有砟道床地段，宜按一次铺设无缝线路设计。</w:t>
      </w:r>
    </w:p>
    <w:p w14:paraId="0D368C9D" w14:textId="0F7A2382" w:rsidR="00D84020" w:rsidRPr="00FD50F6" w:rsidRDefault="00D84020" w:rsidP="00D84020">
      <w:pPr>
        <w:pStyle w:val="30"/>
      </w:pPr>
      <w:r w:rsidRPr="00FD50F6">
        <w:rPr>
          <w:rFonts w:hint="eastAsia"/>
        </w:rPr>
        <w:t>高架线无缝线路铺设应符合下列规定：</w:t>
      </w:r>
    </w:p>
    <w:p w14:paraId="00BD0A3A" w14:textId="62AD54DF" w:rsidR="00D84020" w:rsidRPr="00FD50F6" w:rsidRDefault="00D84020" w:rsidP="00A926BD">
      <w:pPr>
        <w:pStyle w:val="4"/>
      </w:pPr>
      <w:r w:rsidRPr="00FD50F6">
        <w:rPr>
          <w:rFonts w:hint="eastAsia"/>
        </w:rPr>
        <w:t>桥上无缝线路设计应计算伸缩力、挠曲力、断轨力等，并应进行钢轨断缝检算。钢轨折断允许断缝值，一般情况下应取</w:t>
      </w:r>
      <w:r w:rsidRPr="00FD50F6">
        <w:rPr>
          <w:rFonts w:hint="eastAsia"/>
        </w:rPr>
        <w:t>80mm</w:t>
      </w:r>
      <w:r w:rsidRPr="00FD50F6">
        <w:rPr>
          <w:rFonts w:hint="eastAsia"/>
        </w:rPr>
        <w:t>，困难情况下应取</w:t>
      </w:r>
      <w:r w:rsidRPr="00FD50F6">
        <w:rPr>
          <w:rFonts w:hint="eastAsia"/>
        </w:rPr>
        <w:t>100mm</w:t>
      </w:r>
      <w:r w:rsidRPr="00FD50F6">
        <w:rPr>
          <w:rFonts w:hint="eastAsia"/>
        </w:rPr>
        <w:t>。</w:t>
      </w:r>
    </w:p>
    <w:p w14:paraId="398B1AAA" w14:textId="0E43874F" w:rsidR="00D84020" w:rsidRPr="00FD50F6" w:rsidRDefault="00D84020" w:rsidP="00A926BD">
      <w:pPr>
        <w:pStyle w:val="4"/>
      </w:pPr>
      <w:r w:rsidRPr="00FD50F6">
        <w:rPr>
          <w:rFonts w:hint="eastAsia"/>
        </w:rPr>
        <w:t>铝热焊、气压焊焊接头不应设置在不同轨道结构过渡段及线下基础过渡段范围内，</w:t>
      </w:r>
      <w:r w:rsidR="00B3449C">
        <w:rPr>
          <w:rFonts w:hint="eastAsia"/>
        </w:rPr>
        <w:t>且</w:t>
      </w:r>
      <w:r w:rsidRPr="00FD50F6">
        <w:rPr>
          <w:rFonts w:hint="eastAsia"/>
        </w:rPr>
        <w:t>距离桥台边墙及桥墩不应小于</w:t>
      </w:r>
      <w:r w:rsidRPr="00FD50F6">
        <w:rPr>
          <w:rFonts w:hint="eastAsia"/>
        </w:rPr>
        <w:t>2m</w:t>
      </w:r>
      <w:r w:rsidRPr="00FD50F6">
        <w:rPr>
          <w:rFonts w:hint="eastAsia"/>
        </w:rPr>
        <w:t>。</w:t>
      </w:r>
    </w:p>
    <w:p w14:paraId="288AAE85" w14:textId="77777777" w:rsidR="00D84020" w:rsidRPr="00FD50F6" w:rsidRDefault="00D84020" w:rsidP="00D84020">
      <w:pPr>
        <w:pStyle w:val="30"/>
      </w:pPr>
      <w:r w:rsidRPr="00FD50F6">
        <w:rPr>
          <w:rFonts w:hint="eastAsia"/>
        </w:rPr>
        <w:t>当轨道采用无缝道岔时，应进行无缝道岔中相对位移、部件强度等检算。</w:t>
      </w:r>
    </w:p>
    <w:p w14:paraId="6B55F815" w14:textId="77777777" w:rsidR="00D84020" w:rsidRPr="00FD50F6" w:rsidRDefault="00D84020" w:rsidP="00D84020">
      <w:pPr>
        <w:pStyle w:val="30"/>
      </w:pPr>
      <w:r w:rsidRPr="00FD50F6">
        <w:rPr>
          <w:rFonts w:hint="eastAsia"/>
        </w:rPr>
        <w:lastRenderedPageBreak/>
        <w:t>无缝线路应设置基础牢固稳定的位移观测桩。钢轨伸缩调节器和道岔均应按一个单元轨节设置位移观测桩。</w:t>
      </w:r>
    </w:p>
    <w:p w14:paraId="5C1B40AD" w14:textId="77777777" w:rsidR="00D84020" w:rsidRPr="00FD50F6" w:rsidRDefault="00D84020" w:rsidP="00A65181">
      <w:pPr>
        <w:pStyle w:val="2"/>
      </w:pPr>
      <w:bookmarkStart w:id="306" w:name="_Toc112830679"/>
      <w:bookmarkEnd w:id="305"/>
      <w:r w:rsidRPr="00FD50F6">
        <w:rPr>
          <w:rFonts w:hint="eastAsia"/>
        </w:rPr>
        <w:t>减振降噪轨道结构</w:t>
      </w:r>
      <w:bookmarkEnd w:id="306"/>
    </w:p>
    <w:p w14:paraId="1C8D2137" w14:textId="77777777" w:rsidR="00D84020" w:rsidRPr="00FD50F6" w:rsidRDefault="00D84020" w:rsidP="00D84020">
      <w:pPr>
        <w:pStyle w:val="30"/>
      </w:pPr>
      <w:r w:rsidRPr="00FD50F6">
        <w:rPr>
          <w:rFonts w:hint="eastAsia"/>
        </w:rPr>
        <w:t>减振降噪轨道结构应依据项目环境影响评价报告书，确定实施减振降噪措施的位置及方案。</w:t>
      </w:r>
    </w:p>
    <w:p w14:paraId="6D3FF1D3" w14:textId="0B66ED08" w:rsidR="00D84020" w:rsidRPr="00FD50F6" w:rsidRDefault="00D84020" w:rsidP="00D84020">
      <w:pPr>
        <w:pStyle w:val="30"/>
      </w:pPr>
      <w:r w:rsidRPr="00FD50F6">
        <w:rPr>
          <w:rFonts w:hint="eastAsia"/>
        </w:rPr>
        <w:t>采取的减振降噪措施不应削弱轨道结构的强度、稳定及及平顺性</w:t>
      </w:r>
      <w:r w:rsidRPr="00FD50F6">
        <w:t>。</w:t>
      </w:r>
    </w:p>
    <w:p w14:paraId="492D2A5B" w14:textId="77777777" w:rsidR="00D84020" w:rsidRPr="00FD50F6" w:rsidRDefault="00D84020" w:rsidP="00D84020">
      <w:pPr>
        <w:pStyle w:val="30"/>
      </w:pPr>
      <w:r w:rsidRPr="00FD50F6">
        <w:rPr>
          <w:rFonts w:hint="eastAsia"/>
        </w:rPr>
        <w:t>减振级别宜划分为中等减振、高等减振和特殊减振。每个减振级别的减振产品宜相同。</w:t>
      </w:r>
    </w:p>
    <w:p w14:paraId="64BEC4E4" w14:textId="77777777" w:rsidR="00D84020" w:rsidRPr="00FD50F6" w:rsidRDefault="00D84020" w:rsidP="00A65181">
      <w:pPr>
        <w:pStyle w:val="2"/>
      </w:pPr>
      <w:bookmarkStart w:id="307" w:name="_Toc236218588"/>
      <w:bookmarkStart w:id="308" w:name="_Toc306203678"/>
      <w:bookmarkStart w:id="309" w:name="_Toc320115650"/>
      <w:bookmarkStart w:id="310" w:name="_Toc320639561"/>
      <w:bookmarkStart w:id="311" w:name="_Toc344218726"/>
      <w:bookmarkStart w:id="312" w:name="_Toc112830680"/>
      <w:r w:rsidRPr="00FD50F6">
        <w:t>轨道安全设备及附属设备</w:t>
      </w:r>
      <w:bookmarkEnd w:id="307"/>
      <w:bookmarkEnd w:id="308"/>
      <w:bookmarkEnd w:id="309"/>
      <w:bookmarkEnd w:id="310"/>
      <w:bookmarkEnd w:id="311"/>
      <w:bookmarkEnd w:id="312"/>
    </w:p>
    <w:p w14:paraId="059444E2" w14:textId="06A00F0C" w:rsidR="00D84020" w:rsidRPr="00FD50F6" w:rsidRDefault="00D84020" w:rsidP="00D84020">
      <w:pPr>
        <w:pStyle w:val="30"/>
      </w:pPr>
      <w:r w:rsidRPr="00FD50F6">
        <w:t>高架线路的下列地段或全桥范围应</w:t>
      </w:r>
      <w:r w:rsidRPr="00FD50F6">
        <w:rPr>
          <w:rFonts w:hint="eastAsia"/>
        </w:rPr>
        <w:t>设</w:t>
      </w:r>
      <w:r w:rsidRPr="00FD50F6">
        <w:t>防脱护轨：</w:t>
      </w:r>
    </w:p>
    <w:p w14:paraId="242354B7" w14:textId="77777777" w:rsidR="00D84020" w:rsidRPr="00FD50F6" w:rsidRDefault="00D84020" w:rsidP="00A926BD">
      <w:pPr>
        <w:pStyle w:val="4"/>
      </w:pPr>
      <w:r w:rsidRPr="00FD50F6">
        <w:t>半径不大于</w:t>
      </w:r>
      <w:r w:rsidRPr="00FD50F6">
        <w:t xml:space="preserve">500m </w:t>
      </w:r>
      <w:r w:rsidRPr="00FD50F6">
        <w:t>曲线地段的缓圆</w:t>
      </w:r>
      <w:r w:rsidRPr="00FD50F6">
        <w:t>(</w:t>
      </w:r>
      <w:r w:rsidRPr="00FD50F6">
        <w:t>圆缓</w:t>
      </w:r>
      <w:r w:rsidRPr="00FD50F6">
        <w:t>)</w:t>
      </w:r>
      <w:r w:rsidRPr="00FD50F6">
        <w:t>点两侧，其缓和曲线部分不小于缓和曲线长的一半并不小于</w:t>
      </w:r>
      <w:r w:rsidRPr="00FD50F6">
        <w:t>20m</w:t>
      </w:r>
      <w:r w:rsidRPr="00FD50F6">
        <w:t>、圆曲线部分</w:t>
      </w:r>
      <w:r w:rsidRPr="00FD50F6">
        <w:t xml:space="preserve">20m </w:t>
      </w:r>
      <w:r w:rsidRPr="00FD50F6">
        <w:t>范围内，曲线下股钢轨</w:t>
      </w:r>
      <w:r w:rsidRPr="00FD50F6">
        <w:rPr>
          <w:rFonts w:hint="eastAsia"/>
        </w:rPr>
        <w:t>旁</w:t>
      </w:r>
      <w:r w:rsidRPr="00FD50F6">
        <w:t>；</w:t>
      </w:r>
    </w:p>
    <w:p w14:paraId="7A75B64F" w14:textId="77777777" w:rsidR="00D84020" w:rsidRPr="00FD50F6" w:rsidRDefault="00D84020" w:rsidP="00A926BD">
      <w:pPr>
        <w:pStyle w:val="4"/>
      </w:pPr>
      <w:r w:rsidRPr="00FD50F6">
        <w:t>高架桥跨越城市干道、铁路及通航航道等重要地段，以及受列车意外撞击时易产生结构性破坏的高架桥地段及其以外各</w:t>
      </w:r>
      <w:r w:rsidRPr="00FD50F6">
        <w:t xml:space="preserve">20m </w:t>
      </w:r>
      <w:r w:rsidRPr="00FD50F6">
        <w:t>范围内，在靠近双线高架桥中线侧的钢轨</w:t>
      </w:r>
      <w:r w:rsidRPr="00FD50F6">
        <w:rPr>
          <w:rFonts w:hint="eastAsia"/>
        </w:rPr>
        <w:t>内侧</w:t>
      </w:r>
      <w:r w:rsidRPr="00FD50F6">
        <w:t>；</w:t>
      </w:r>
    </w:p>
    <w:p w14:paraId="10DFFFFE" w14:textId="77777777" w:rsidR="00D84020" w:rsidRPr="00FD50F6" w:rsidRDefault="00D84020" w:rsidP="00A926BD">
      <w:pPr>
        <w:pStyle w:val="4"/>
      </w:pPr>
      <w:r w:rsidRPr="00FD50F6">
        <w:rPr>
          <w:rFonts w:hint="eastAsia"/>
        </w:rPr>
        <w:t>竖曲线与缓和曲线重叠处，重叠范围内两根钢轨内侧，设置长度不短于</w:t>
      </w:r>
      <w:r w:rsidRPr="00FD50F6">
        <w:rPr>
          <w:rFonts w:hint="eastAsia"/>
        </w:rPr>
        <w:t>20m</w:t>
      </w:r>
      <w:r w:rsidRPr="00FD50F6">
        <w:rPr>
          <w:rFonts w:hint="eastAsia"/>
        </w:rPr>
        <w:t>。</w:t>
      </w:r>
    </w:p>
    <w:p w14:paraId="7C6C8085" w14:textId="456DE93F" w:rsidR="00D84020" w:rsidRPr="00FD50F6" w:rsidRDefault="00D84020" w:rsidP="00D84020">
      <w:pPr>
        <w:pStyle w:val="30"/>
      </w:pPr>
      <w:r w:rsidRPr="00FD50F6">
        <w:t>在轨道尽端应设置车挡，并应符合下列</w:t>
      </w:r>
      <w:r w:rsidRPr="00FD50F6">
        <w:rPr>
          <w:rFonts w:hint="eastAsia"/>
        </w:rPr>
        <w:t>规定</w:t>
      </w:r>
      <w:r w:rsidRPr="00FD50F6">
        <w:t>：</w:t>
      </w:r>
    </w:p>
    <w:p w14:paraId="698B78EE" w14:textId="050826E4" w:rsidR="00D84020" w:rsidRPr="00FD50F6" w:rsidRDefault="00D84020" w:rsidP="00D84020">
      <w:pPr>
        <w:pStyle w:val="8"/>
        <w:ind w:firstLine="480"/>
      </w:pPr>
      <w:r w:rsidRPr="00FD50F6">
        <w:rPr>
          <w:rFonts w:hint="eastAsia"/>
        </w:rPr>
        <w:t>1</w:t>
      </w:r>
      <w:r w:rsidRPr="00FD50F6">
        <w:t xml:space="preserve"> </w:t>
      </w:r>
      <w:r w:rsidRPr="00FD50F6">
        <w:t>正线及配线、试车线、牵出线的终端应采用</w:t>
      </w:r>
      <w:r w:rsidRPr="00FD50F6">
        <w:rPr>
          <w:rFonts w:hint="eastAsia"/>
        </w:rPr>
        <w:t>液压</w:t>
      </w:r>
      <w:r w:rsidRPr="00FD50F6">
        <w:t>缓冲滑动式车挡。地面和地下线终端车挡</w:t>
      </w:r>
      <w:r w:rsidRPr="00FD50F6">
        <w:rPr>
          <w:rFonts w:hint="eastAsia"/>
        </w:rPr>
        <w:t>的允许撞击速度为</w:t>
      </w:r>
      <w:r w:rsidRPr="00FD50F6">
        <w:rPr>
          <w:rFonts w:hint="eastAsia"/>
        </w:rPr>
        <w:t>15km/h</w:t>
      </w:r>
      <w:r w:rsidRPr="00FD50F6">
        <w:t>，高架线终端车挡</w:t>
      </w:r>
      <w:r w:rsidRPr="00FD50F6">
        <w:rPr>
          <w:rFonts w:hint="eastAsia"/>
        </w:rPr>
        <w:t>的允许撞击速度为</w:t>
      </w:r>
      <w:r w:rsidRPr="00FD50F6">
        <w:rPr>
          <w:rFonts w:hint="eastAsia"/>
        </w:rPr>
        <w:t>25km/h</w:t>
      </w:r>
      <w:r w:rsidRPr="00FD50F6">
        <w:t>。特殊情况可根据车辆、信号等要求计算确定</w:t>
      </w:r>
      <w:r w:rsidRPr="00FD50F6">
        <w:rPr>
          <w:rFonts w:hint="eastAsia"/>
        </w:rPr>
        <w:t>。</w:t>
      </w:r>
    </w:p>
    <w:p w14:paraId="26AB442A" w14:textId="77777777" w:rsidR="00D84020" w:rsidRPr="00FD50F6" w:rsidRDefault="00D84020" w:rsidP="00D84020">
      <w:pPr>
        <w:pStyle w:val="8"/>
        <w:ind w:firstLine="480"/>
      </w:pPr>
      <w:r w:rsidRPr="00FD50F6">
        <w:rPr>
          <w:rFonts w:hint="eastAsia"/>
        </w:rPr>
        <w:t>2</w:t>
      </w:r>
      <w:r w:rsidRPr="00FD50F6">
        <w:t xml:space="preserve"> </w:t>
      </w:r>
      <w:r w:rsidRPr="00FD50F6">
        <w:rPr>
          <w:rFonts w:hint="eastAsia"/>
        </w:rPr>
        <w:t>库内线终端应采用固定液压或滑移式车挡，库外线终端采用固定式液压车挡。库外线车挡应能承受列车不小于</w:t>
      </w:r>
      <w:r w:rsidRPr="00FD50F6">
        <w:rPr>
          <w:rFonts w:hint="eastAsia"/>
        </w:rPr>
        <w:t>5km/h</w:t>
      </w:r>
      <w:r w:rsidRPr="00FD50F6">
        <w:rPr>
          <w:rFonts w:hint="eastAsia"/>
        </w:rPr>
        <w:t>的撞击速度，库内线车挡应能承受列车不小于</w:t>
      </w:r>
      <w:r w:rsidRPr="00FD50F6">
        <w:rPr>
          <w:rFonts w:hint="eastAsia"/>
        </w:rPr>
        <w:t>3km/h</w:t>
      </w:r>
      <w:r w:rsidRPr="00FD50F6">
        <w:rPr>
          <w:rFonts w:hint="eastAsia"/>
        </w:rPr>
        <w:t>的撞击速度</w:t>
      </w:r>
      <w:r w:rsidRPr="00FD50F6">
        <w:t>。</w:t>
      </w:r>
    </w:p>
    <w:p w14:paraId="1362C2D9" w14:textId="24C8BA51" w:rsidR="00D84020" w:rsidRPr="00FD50F6" w:rsidRDefault="00D84020" w:rsidP="00D84020">
      <w:pPr>
        <w:pStyle w:val="30"/>
      </w:pPr>
      <w:r w:rsidRPr="00FD50F6">
        <w:rPr>
          <w:rFonts w:hint="eastAsia"/>
        </w:rPr>
        <w:t>线路及信号</w:t>
      </w:r>
      <w:r w:rsidRPr="00FD50F6">
        <w:t>标志的设置应符合下列规定：</w:t>
      </w:r>
    </w:p>
    <w:p w14:paraId="4ED9AC2A" w14:textId="0549C9FA" w:rsidR="00D84020" w:rsidRPr="00FD50F6" w:rsidRDefault="00D84020" w:rsidP="00D84020">
      <w:pPr>
        <w:pStyle w:val="8"/>
        <w:ind w:firstLine="480"/>
      </w:pPr>
      <w:r w:rsidRPr="00FD50F6">
        <w:t xml:space="preserve">1 </w:t>
      </w:r>
      <w:r w:rsidRPr="00FD50F6">
        <w:t>应设置百米标、坡度标、曲线要素标、平面曲线起终点标、竖曲线起终点标、道岔编号标、站名称等线路标志；</w:t>
      </w:r>
    </w:p>
    <w:p w14:paraId="0FAE9CFB" w14:textId="7AD628C6" w:rsidR="00D84020" w:rsidRPr="00FD50F6" w:rsidRDefault="00A34309" w:rsidP="00D84020">
      <w:pPr>
        <w:pStyle w:val="8"/>
        <w:ind w:firstLine="480"/>
      </w:pPr>
      <w:r>
        <w:lastRenderedPageBreak/>
        <w:t>2</w:t>
      </w:r>
      <w:r w:rsidRPr="00FD50F6">
        <w:t xml:space="preserve"> </w:t>
      </w:r>
      <w:r w:rsidR="00D84020" w:rsidRPr="00FD50F6">
        <w:t>应设置限速标、停车位置标、警冲标等信号标志</w:t>
      </w:r>
      <w:r w:rsidR="00D84020" w:rsidRPr="00FD50F6">
        <w:rPr>
          <w:rFonts w:hint="eastAsia"/>
        </w:rPr>
        <w:t>；</w:t>
      </w:r>
    </w:p>
    <w:p w14:paraId="38C8F4DE" w14:textId="0C764B00" w:rsidR="00D84020" w:rsidRPr="00FD50F6" w:rsidRDefault="00A34309" w:rsidP="00D84020">
      <w:pPr>
        <w:pStyle w:val="8"/>
        <w:ind w:firstLine="480"/>
      </w:pPr>
      <w:r>
        <w:t>3</w:t>
      </w:r>
      <w:r w:rsidRPr="00FD50F6">
        <w:t xml:space="preserve"> </w:t>
      </w:r>
      <w:r w:rsidR="00D84020" w:rsidRPr="00FD50F6">
        <w:t>各种标志应采用反光材料制作</w:t>
      </w:r>
      <w:r w:rsidR="00D84020" w:rsidRPr="00FD50F6">
        <w:rPr>
          <w:rFonts w:hint="eastAsia"/>
        </w:rPr>
        <w:t>；</w:t>
      </w:r>
    </w:p>
    <w:p w14:paraId="1066BE85" w14:textId="3128050F" w:rsidR="00D84020" w:rsidRPr="00FD50F6" w:rsidRDefault="00A34309" w:rsidP="00D84020">
      <w:pPr>
        <w:pStyle w:val="8"/>
        <w:ind w:firstLine="480"/>
      </w:pPr>
      <w:r>
        <w:t>4</w:t>
      </w:r>
      <w:r w:rsidRPr="00FD50F6">
        <w:t xml:space="preserve"> </w:t>
      </w:r>
      <w:r w:rsidR="00D84020" w:rsidRPr="00FD50F6">
        <w:t>警冲标应设在两设备限界相交处，其余标志应安装在行车方向右侧司机易见的位置。</w:t>
      </w:r>
    </w:p>
    <w:p w14:paraId="3E535870" w14:textId="50A7ADF0" w:rsidR="00010CF8" w:rsidRPr="00FD50F6" w:rsidRDefault="00D84020" w:rsidP="00D84020">
      <w:pPr>
        <w:pStyle w:val="30"/>
        <w:rPr>
          <w:bCs w:val="0"/>
        </w:rPr>
      </w:pPr>
      <w:r w:rsidRPr="00FD50F6">
        <w:rPr>
          <w:rFonts w:hint="eastAsia"/>
        </w:rPr>
        <w:t>正线及出入线半径不大于</w:t>
      </w:r>
      <w:r w:rsidRPr="00FD50F6">
        <w:rPr>
          <w:rFonts w:hint="eastAsia"/>
        </w:rPr>
        <w:t>400</w:t>
      </w:r>
      <w:r w:rsidRPr="00FD50F6">
        <w:t>m</w:t>
      </w:r>
      <w:r w:rsidRPr="00FD50F6">
        <w:rPr>
          <w:rFonts w:hint="eastAsia"/>
        </w:rPr>
        <w:t>地段、车场线咽喉区宜采用钢轨润滑装置。</w:t>
      </w:r>
    </w:p>
    <w:p w14:paraId="1E749044" w14:textId="77777777" w:rsidR="00010CF8" w:rsidRPr="00FD50F6" w:rsidRDefault="00010CF8" w:rsidP="00010CF8"/>
    <w:p w14:paraId="70632F2A" w14:textId="13BDAC21" w:rsidR="00B37D0F" w:rsidRPr="00FD50F6" w:rsidRDefault="00B37D0F">
      <w:pPr>
        <w:widowControl/>
        <w:spacing w:line="240" w:lineRule="auto"/>
        <w:jc w:val="left"/>
      </w:pPr>
      <w:r w:rsidRPr="00FD50F6">
        <w:br w:type="page"/>
      </w:r>
    </w:p>
    <w:p w14:paraId="107D3E31" w14:textId="5418794E" w:rsidR="001E2468" w:rsidRPr="00FD50F6" w:rsidRDefault="001E2468" w:rsidP="001E2468">
      <w:pPr>
        <w:pStyle w:val="12"/>
      </w:pPr>
      <w:bookmarkStart w:id="313" w:name="_Toc320115651"/>
      <w:bookmarkStart w:id="314" w:name="_Toc236220618"/>
      <w:bookmarkStart w:id="315" w:name="_Toc306203679"/>
      <w:bookmarkStart w:id="316" w:name="_Toc344218727"/>
      <w:bookmarkStart w:id="317" w:name="_Toc320639562"/>
      <w:bookmarkStart w:id="318" w:name="_Toc112830681"/>
      <w:r w:rsidRPr="00FD50F6">
        <w:lastRenderedPageBreak/>
        <w:t>路</w:t>
      </w:r>
      <w:r w:rsidR="008B680F" w:rsidRPr="00FD50F6">
        <w:rPr>
          <w:rFonts w:hint="eastAsia"/>
        </w:rPr>
        <w:t xml:space="preserve"> </w:t>
      </w:r>
      <w:r w:rsidR="008B680F" w:rsidRPr="00FD50F6">
        <w:t xml:space="preserve"> </w:t>
      </w:r>
      <w:r w:rsidRPr="00FD50F6">
        <w:t>基</w:t>
      </w:r>
      <w:bookmarkEnd w:id="313"/>
      <w:bookmarkEnd w:id="314"/>
      <w:bookmarkEnd w:id="315"/>
      <w:bookmarkEnd w:id="316"/>
      <w:bookmarkEnd w:id="317"/>
      <w:bookmarkEnd w:id="318"/>
    </w:p>
    <w:p w14:paraId="2FC7AA74" w14:textId="77777777" w:rsidR="001E2468" w:rsidRPr="00FD50F6" w:rsidRDefault="001E2468" w:rsidP="00A65181">
      <w:pPr>
        <w:pStyle w:val="2"/>
        <w:numPr>
          <w:ilvl w:val="1"/>
          <w:numId w:val="5"/>
        </w:numPr>
      </w:pPr>
      <w:bookmarkStart w:id="319" w:name="_Toc320115652"/>
      <w:bookmarkStart w:id="320" w:name="_Toc344218728"/>
      <w:bookmarkStart w:id="321" w:name="_Toc306203680"/>
      <w:bookmarkStart w:id="322" w:name="_Toc236220619"/>
      <w:bookmarkStart w:id="323" w:name="_Toc320639563"/>
      <w:bookmarkStart w:id="324" w:name="_Toc112830682"/>
      <w:r w:rsidRPr="00FD50F6">
        <w:t>一般规定</w:t>
      </w:r>
      <w:bookmarkEnd w:id="319"/>
      <w:bookmarkEnd w:id="320"/>
      <w:bookmarkEnd w:id="321"/>
      <w:bookmarkEnd w:id="322"/>
      <w:bookmarkEnd w:id="323"/>
      <w:bookmarkEnd w:id="324"/>
    </w:p>
    <w:p w14:paraId="19E2F704" w14:textId="7C2032A1" w:rsidR="001E2468" w:rsidRPr="00FD50F6" w:rsidRDefault="001E2468" w:rsidP="001E2468">
      <w:pPr>
        <w:pStyle w:val="30"/>
      </w:pPr>
      <w:r w:rsidRPr="00FD50F6">
        <w:t>地铁路基工程应</w:t>
      </w:r>
      <w:r w:rsidRPr="00FD50F6">
        <w:rPr>
          <w:rFonts w:hint="eastAsia"/>
        </w:rPr>
        <w:t>按土工结构物进行设计，确保其满足</w:t>
      </w:r>
      <w:r w:rsidRPr="00FD50F6">
        <w:t>强度、稳定性和耐久性</w:t>
      </w:r>
      <w:r w:rsidRPr="00FD50F6">
        <w:rPr>
          <w:rFonts w:hint="eastAsia"/>
        </w:rPr>
        <w:t>的要求。路基支挡及承载结构设计年限应为</w:t>
      </w:r>
      <w:r w:rsidRPr="00FD50F6">
        <w:rPr>
          <w:rFonts w:hint="eastAsia"/>
        </w:rPr>
        <w:t>100</w:t>
      </w:r>
      <w:r w:rsidRPr="00FD50F6">
        <w:rPr>
          <w:rFonts w:hint="eastAsia"/>
        </w:rPr>
        <w:t>年。</w:t>
      </w:r>
    </w:p>
    <w:p w14:paraId="332B03E2" w14:textId="77777777" w:rsidR="001E2468" w:rsidRPr="00FD50F6" w:rsidRDefault="001E2468" w:rsidP="001E2468">
      <w:pPr>
        <w:pStyle w:val="30"/>
      </w:pPr>
      <w:r w:rsidRPr="00FD50F6">
        <w:t>轨道和车辆荷载应根据采用的轨道结构及车辆的轴重、轴距等参数计算，</w:t>
      </w:r>
      <w:r w:rsidRPr="00FD50F6">
        <w:rPr>
          <w:rFonts w:hint="eastAsia"/>
        </w:rPr>
        <w:t>可采</w:t>
      </w:r>
      <w:r w:rsidRPr="00FD50F6">
        <w:t>用换算土柱高度代替。</w:t>
      </w:r>
    </w:p>
    <w:p w14:paraId="1440CE1F" w14:textId="77777777" w:rsidR="001E2468" w:rsidRPr="00FD50F6" w:rsidRDefault="001E2468" w:rsidP="001E2468">
      <w:pPr>
        <w:pStyle w:val="30"/>
      </w:pPr>
      <w:r w:rsidRPr="00FD50F6">
        <w:t>路基工程的地基应满足</w:t>
      </w:r>
      <w:r w:rsidRPr="00FD50F6">
        <w:rPr>
          <w:rFonts w:hint="eastAsia"/>
        </w:rPr>
        <w:t>稳定性</w:t>
      </w:r>
      <w:r w:rsidRPr="00FD50F6">
        <w:t>和路基工后沉降的要求，</w:t>
      </w:r>
      <w:r w:rsidRPr="00FD50F6">
        <w:rPr>
          <w:rFonts w:hint="eastAsia"/>
        </w:rPr>
        <w:t>地基</w:t>
      </w:r>
      <w:r w:rsidRPr="00FD50F6">
        <w:t>处理措施应根据线路设计标准、地质资料、路堤高度、填料、建设工期等确定。</w:t>
      </w:r>
      <w:r w:rsidRPr="00FD50F6">
        <w:rPr>
          <w:rFonts w:hint="eastAsia"/>
        </w:rPr>
        <w:t xml:space="preserve"> </w:t>
      </w:r>
    </w:p>
    <w:p w14:paraId="153026A6" w14:textId="77777777" w:rsidR="001E2468" w:rsidRPr="00FD50F6" w:rsidRDefault="001E2468" w:rsidP="001E2468">
      <w:pPr>
        <w:pStyle w:val="30"/>
      </w:pPr>
      <w:r w:rsidRPr="00FD50F6">
        <w:t>路基设计应符合环境保护的要求，并应重视沿线的绿化和</w:t>
      </w:r>
      <w:r w:rsidRPr="00FD50F6">
        <w:rPr>
          <w:rFonts w:hint="eastAsia"/>
        </w:rPr>
        <w:t>景观</w:t>
      </w:r>
      <w:r w:rsidRPr="00FD50F6">
        <w:t>设计。结构设计应与邻近的建筑物相协调。</w:t>
      </w:r>
    </w:p>
    <w:p w14:paraId="7347684C" w14:textId="77777777" w:rsidR="001E2468" w:rsidRPr="00FD50F6" w:rsidRDefault="001E2468" w:rsidP="001E2468">
      <w:pPr>
        <w:pStyle w:val="30"/>
      </w:pPr>
      <w:r w:rsidRPr="00FD50F6">
        <w:t>路基工程防排水设计应保证排水系统完整、通畅。</w:t>
      </w:r>
    </w:p>
    <w:p w14:paraId="15791C14" w14:textId="63D8921C" w:rsidR="001E2468" w:rsidRPr="00FD50F6" w:rsidRDefault="001E2468" w:rsidP="001E2468">
      <w:pPr>
        <w:pStyle w:val="30"/>
      </w:pPr>
      <w:r w:rsidRPr="00FD50F6">
        <w:rPr>
          <w:rFonts w:hint="eastAsia"/>
        </w:rPr>
        <w:t>路基与桥台、路基与横向结构物、路基与隧道及路堤与路堑、无砟道床与有砟道床等连接处应设置过渡段。</w:t>
      </w:r>
    </w:p>
    <w:p w14:paraId="6236F777" w14:textId="17870CD6" w:rsidR="001E2468" w:rsidRPr="00FD50F6" w:rsidRDefault="001E2468" w:rsidP="001E2468">
      <w:pPr>
        <w:pStyle w:val="30"/>
      </w:pPr>
      <w:r w:rsidRPr="00FD50F6">
        <w:rPr>
          <w:rFonts w:hint="eastAsia"/>
        </w:rPr>
        <w:t>路基填料分类应按现行行业标准《铁路路基设计规范》</w:t>
      </w:r>
      <w:r w:rsidRPr="00FD50F6">
        <w:rPr>
          <w:rFonts w:hint="eastAsia"/>
        </w:rPr>
        <w:t>TB</w:t>
      </w:r>
      <w:r w:rsidR="00B3449C">
        <w:t xml:space="preserve"> </w:t>
      </w:r>
      <w:r w:rsidRPr="00FD50F6">
        <w:rPr>
          <w:rFonts w:hint="eastAsia"/>
        </w:rPr>
        <w:t>10001</w:t>
      </w:r>
      <w:r w:rsidRPr="00FD50F6">
        <w:rPr>
          <w:rFonts w:hint="eastAsia"/>
        </w:rPr>
        <w:t>中的规定进行划分</w:t>
      </w:r>
      <w:r w:rsidRPr="00FD50F6">
        <w:t>。</w:t>
      </w:r>
    </w:p>
    <w:p w14:paraId="71C08604" w14:textId="46131B9D" w:rsidR="001E2468" w:rsidRPr="00FD50F6" w:rsidRDefault="001E2468" w:rsidP="001E2468">
      <w:pPr>
        <w:pStyle w:val="30"/>
      </w:pPr>
      <w:r w:rsidRPr="001A4CF3">
        <w:rPr>
          <w:rFonts w:hint="eastAsia"/>
        </w:rPr>
        <w:t>路基地段应合理设置电缆槽、电缆过轨、接触网支柱基础、综合接地及声屏障基础等相关工程</w:t>
      </w:r>
      <w:r w:rsidRPr="00FD50F6">
        <w:t>。</w:t>
      </w:r>
    </w:p>
    <w:p w14:paraId="01E235FA" w14:textId="6E9974AD" w:rsidR="001E2468" w:rsidRPr="00FD50F6" w:rsidRDefault="001E2468" w:rsidP="001E2468">
      <w:pPr>
        <w:pStyle w:val="30"/>
      </w:pPr>
      <w:r w:rsidRPr="00FD50F6">
        <w:t>区间路基地段</w:t>
      </w:r>
      <w:r w:rsidRPr="00FD50F6">
        <w:rPr>
          <w:rFonts w:hint="eastAsia"/>
        </w:rPr>
        <w:t>可适当设置</w:t>
      </w:r>
      <w:r w:rsidRPr="00FD50F6">
        <w:t>养路机械平台</w:t>
      </w:r>
      <w:r w:rsidRPr="00FD50F6">
        <w:rPr>
          <w:rFonts w:hint="eastAsia"/>
        </w:rPr>
        <w:t>，</w:t>
      </w:r>
      <w:r w:rsidRPr="00FD50F6">
        <w:t>间距宜采用</w:t>
      </w:r>
      <w:r w:rsidRPr="00FD50F6">
        <w:t>500m</w:t>
      </w:r>
      <w:r w:rsidRPr="00FD50F6">
        <w:t>，单线地段可在一侧设置，双线地段应两侧交错设置</w:t>
      </w:r>
      <w:r w:rsidRPr="00FD50F6">
        <w:rPr>
          <w:rFonts w:hint="eastAsia"/>
        </w:rPr>
        <w:t>，采用移动平台时可不设置</w:t>
      </w:r>
      <w:r w:rsidRPr="00FD50F6">
        <w:t>。</w:t>
      </w:r>
    </w:p>
    <w:p w14:paraId="5E3D684C" w14:textId="77777777" w:rsidR="001E2468" w:rsidRPr="00FD50F6" w:rsidRDefault="001E2468" w:rsidP="001E2468">
      <w:pPr>
        <w:pStyle w:val="30"/>
      </w:pPr>
      <w:r w:rsidRPr="00FD50F6">
        <w:t>无砟道</w:t>
      </w:r>
      <w:r w:rsidRPr="00FD50F6">
        <w:rPr>
          <w:rFonts w:hint="eastAsia"/>
        </w:rPr>
        <w:t>床</w:t>
      </w:r>
      <w:r w:rsidRPr="00FD50F6">
        <w:t>路基</w:t>
      </w:r>
      <w:r w:rsidRPr="00FD50F6">
        <w:rPr>
          <w:rFonts w:hint="eastAsia"/>
        </w:rPr>
        <w:t>、</w:t>
      </w:r>
      <w:r w:rsidRPr="00FD50F6">
        <w:t>有砟道床深厚软土等路基应进行沉降变形观测</w:t>
      </w:r>
      <w:r w:rsidRPr="00FD50F6">
        <w:rPr>
          <w:rFonts w:hint="eastAsia"/>
        </w:rPr>
        <w:t>，</w:t>
      </w:r>
      <w:r w:rsidRPr="00FD50F6">
        <w:t>在轨道铺设前，应</w:t>
      </w:r>
      <w:r w:rsidRPr="00FD50F6">
        <w:rPr>
          <w:rFonts w:hint="eastAsia"/>
        </w:rPr>
        <w:t>根据沉降观测资料进行分析</w:t>
      </w:r>
      <w:r w:rsidRPr="00FD50F6">
        <w:t>评估。</w:t>
      </w:r>
    </w:p>
    <w:p w14:paraId="74D71974" w14:textId="77777777" w:rsidR="001E2468" w:rsidRPr="00FD50F6" w:rsidRDefault="001E2468" w:rsidP="00A65181">
      <w:pPr>
        <w:pStyle w:val="2"/>
      </w:pPr>
      <w:bookmarkStart w:id="325" w:name="_Toc236220620"/>
      <w:bookmarkStart w:id="326" w:name="_Toc306203681"/>
      <w:bookmarkStart w:id="327" w:name="_Toc320115653"/>
      <w:bookmarkStart w:id="328" w:name="_Toc344218729"/>
      <w:bookmarkStart w:id="329" w:name="_Toc320639564"/>
      <w:bookmarkStart w:id="330" w:name="_Toc112830683"/>
      <w:r w:rsidRPr="00FD50F6">
        <w:t>路基面及基床</w:t>
      </w:r>
      <w:bookmarkEnd w:id="325"/>
      <w:bookmarkEnd w:id="326"/>
      <w:bookmarkEnd w:id="327"/>
      <w:bookmarkEnd w:id="328"/>
      <w:bookmarkEnd w:id="329"/>
      <w:bookmarkEnd w:id="330"/>
    </w:p>
    <w:p w14:paraId="7AF872EB" w14:textId="77777777" w:rsidR="001E2468" w:rsidRPr="00FD50F6" w:rsidRDefault="001E2468" w:rsidP="001E2468">
      <w:pPr>
        <w:pStyle w:val="30"/>
      </w:pPr>
      <w:r w:rsidRPr="00FD50F6">
        <w:rPr>
          <w:rFonts w:hint="eastAsia"/>
        </w:rPr>
        <w:t>路基路肩高程应根据下列要求进行控制：</w:t>
      </w:r>
    </w:p>
    <w:p w14:paraId="285DA446" w14:textId="57C72F94" w:rsidR="001E2468" w:rsidRPr="00FD50F6" w:rsidRDefault="001E2468" w:rsidP="00A926BD">
      <w:pPr>
        <w:pStyle w:val="4"/>
      </w:pPr>
      <w:r w:rsidRPr="00FD50F6">
        <w:rPr>
          <w:rFonts w:hint="eastAsia"/>
        </w:rPr>
        <w:t>滨海</w:t>
      </w:r>
      <w:r w:rsidRPr="00FD50F6">
        <w:t>或</w:t>
      </w:r>
      <w:r w:rsidRPr="00FD50F6">
        <w:rPr>
          <w:rFonts w:hint="eastAsia"/>
        </w:rPr>
        <w:t>滨</w:t>
      </w:r>
      <w:r w:rsidRPr="00FD50F6">
        <w:t>河附近</w:t>
      </w:r>
      <w:r w:rsidRPr="00FD50F6">
        <w:rPr>
          <w:rFonts w:hint="eastAsia"/>
        </w:rPr>
        <w:t>的</w:t>
      </w:r>
      <w:r w:rsidRPr="00FD50F6">
        <w:t>路肩设计高程不应小于</w:t>
      </w:r>
      <w:r w:rsidRPr="00FD50F6">
        <w:t>1/100</w:t>
      </w:r>
      <w:r w:rsidRPr="00FD50F6">
        <w:rPr>
          <w:rFonts w:hint="eastAsia"/>
        </w:rPr>
        <w:t>洪水频率标准的</w:t>
      </w:r>
      <w:r w:rsidRPr="00FD50F6">
        <w:t>潮水位、波浪爬高值和安全高之和</w:t>
      </w:r>
      <w:r w:rsidRPr="00FD50F6">
        <w:rPr>
          <w:rFonts w:hint="eastAsia"/>
        </w:rPr>
        <w:t>。当路肩设计高程不能满足要求时，应采取</w:t>
      </w:r>
      <w:r w:rsidRPr="00585A3F">
        <w:rPr>
          <w:rFonts w:hint="eastAsia"/>
        </w:rPr>
        <w:t>保护路基稳定和安全的措施</w:t>
      </w:r>
      <w:r w:rsidRPr="00FD50F6">
        <w:rPr>
          <w:rFonts w:hint="eastAsia"/>
        </w:rPr>
        <w:t>。</w:t>
      </w:r>
    </w:p>
    <w:p w14:paraId="1538B43B" w14:textId="175B1AA3" w:rsidR="001E2468" w:rsidRPr="00FD50F6" w:rsidRDefault="001E2468" w:rsidP="00585A3F">
      <w:pPr>
        <w:pStyle w:val="4"/>
      </w:pPr>
      <w:r w:rsidRPr="00FD50F6">
        <w:t>路肩高程应高出线路通过地段的最高地下水位和最高地面积水水位，并应</w:t>
      </w:r>
      <w:r w:rsidRPr="00FD50F6">
        <w:lastRenderedPageBreak/>
        <w:t>加</w:t>
      </w:r>
      <w:r w:rsidRPr="00FD50F6">
        <w:rPr>
          <w:rFonts w:hint="eastAsia"/>
        </w:rPr>
        <w:t>上</w:t>
      </w:r>
      <w:r w:rsidRPr="00FD50F6">
        <w:t>毛细水强烈上升高度</w:t>
      </w:r>
      <w:r w:rsidRPr="00FD50F6">
        <w:rPr>
          <w:rFonts w:hint="eastAsia"/>
        </w:rPr>
        <w:t>、</w:t>
      </w:r>
      <w:r w:rsidRPr="00FD50F6">
        <w:t>有害冻胀深度</w:t>
      </w:r>
      <w:r w:rsidRPr="00FD50F6">
        <w:rPr>
          <w:rFonts w:hint="eastAsia"/>
        </w:rPr>
        <w:t>、</w:t>
      </w:r>
      <w:r w:rsidRPr="00FD50F6">
        <w:t>蒸发强烈影响深度，再加</w:t>
      </w:r>
      <w:r w:rsidRPr="00FD50F6">
        <w:t>0.5m</w:t>
      </w:r>
      <w:r w:rsidRPr="00FD50F6">
        <w:t>。路基采取降低水位、设置毛细水隔断层等措施时，可不受本条规定的限制</w:t>
      </w:r>
      <w:r w:rsidRPr="00FD50F6">
        <w:rPr>
          <w:rFonts w:hint="eastAsia"/>
        </w:rPr>
        <w:t>。</w:t>
      </w:r>
    </w:p>
    <w:p w14:paraId="3B66ECA9" w14:textId="77777777" w:rsidR="001E2468" w:rsidRPr="00FD50F6" w:rsidRDefault="001E2468" w:rsidP="001E2468">
      <w:pPr>
        <w:pStyle w:val="30"/>
        <w:rPr>
          <w:b/>
          <w:szCs w:val="24"/>
        </w:rPr>
      </w:pPr>
      <w:r w:rsidRPr="00FD50F6">
        <w:rPr>
          <w:rFonts w:hint="eastAsia"/>
        </w:rPr>
        <w:t>路基面形状应根据道床类型确定，并</w:t>
      </w:r>
      <w:r w:rsidRPr="00FD50F6">
        <w:rPr>
          <w:rStyle w:val="afff2"/>
          <w:rFonts w:asciiTheme="minorHAnsi" w:hAnsiTheme="minorHAnsi" w:hint="eastAsia"/>
          <w:bCs w:val="0"/>
        </w:rPr>
        <w:t>应</w:t>
      </w:r>
      <w:r w:rsidRPr="00FD50F6">
        <w:rPr>
          <w:rFonts w:hint="eastAsia"/>
        </w:rPr>
        <w:t>符合下列规定：</w:t>
      </w:r>
    </w:p>
    <w:p w14:paraId="7691F631" w14:textId="04D91614" w:rsidR="001E2468" w:rsidRPr="00FD50F6" w:rsidRDefault="001E2468" w:rsidP="00A926BD">
      <w:pPr>
        <w:pStyle w:val="4"/>
      </w:pPr>
      <w:r w:rsidRPr="00FD50F6">
        <w:rPr>
          <w:rFonts w:hint="eastAsia"/>
        </w:rPr>
        <w:t>无砟道床支承层（或底座）底部范围内路基面可水平设置，支承层（或底部）外侧路基面应设置不小于</w:t>
      </w:r>
      <w:r w:rsidRPr="00FD50F6">
        <w:rPr>
          <w:rFonts w:hint="eastAsia"/>
        </w:rPr>
        <w:t>4%</w:t>
      </w:r>
      <w:r w:rsidRPr="00FD50F6">
        <w:rPr>
          <w:rFonts w:hint="eastAsia"/>
        </w:rPr>
        <w:t>的横向排水坡；</w:t>
      </w:r>
    </w:p>
    <w:p w14:paraId="589EBE18" w14:textId="15CC3EF5" w:rsidR="001E2468" w:rsidRPr="00FD50F6" w:rsidRDefault="001E2468" w:rsidP="00A926BD">
      <w:pPr>
        <w:pStyle w:val="4"/>
      </w:pPr>
      <w:r w:rsidRPr="00FD50F6">
        <w:rPr>
          <w:rFonts w:hint="eastAsia"/>
        </w:rPr>
        <w:t>有砟道床的路基面形状应设计为三角形，</w:t>
      </w:r>
      <w:r w:rsidRPr="00FD50F6">
        <w:t>应由路基中心线向两侧设</w:t>
      </w:r>
      <w:r w:rsidRPr="00FD50F6">
        <w:t>4%</w:t>
      </w:r>
      <w:r w:rsidRPr="00FD50F6">
        <w:t>的人字排水坡</w:t>
      </w:r>
      <w:r w:rsidRPr="00FD50F6">
        <w:rPr>
          <w:rFonts w:hint="eastAsia"/>
        </w:rPr>
        <w:t>；当</w:t>
      </w:r>
      <w:r w:rsidRPr="00FD50F6">
        <w:t>曲线加宽时，路基面仍应保持三角形。</w:t>
      </w:r>
    </w:p>
    <w:p w14:paraId="5CEF8824" w14:textId="77777777" w:rsidR="001E2468" w:rsidRPr="00FD50F6" w:rsidRDefault="001E2468" w:rsidP="001E2468">
      <w:pPr>
        <w:pStyle w:val="30"/>
      </w:pPr>
      <w:r w:rsidRPr="00FD50F6">
        <w:t>路基面宽度应根据线路数目、线间距、轨道结构尺寸、曲线加宽、路肩宽度、站后相关接口</w:t>
      </w:r>
      <w:r w:rsidRPr="00FD50F6">
        <w:rPr>
          <w:rFonts w:hint="eastAsia"/>
        </w:rPr>
        <w:t>工程</w:t>
      </w:r>
      <w:r w:rsidRPr="00FD50F6">
        <w:t>设置等计算确定。</w:t>
      </w:r>
      <w:r w:rsidRPr="00FD50F6">
        <w:rPr>
          <w:rFonts w:hint="eastAsia"/>
        </w:rPr>
        <w:t>正线路肩宽度不应小于</w:t>
      </w:r>
      <w:r w:rsidRPr="00FD50F6">
        <w:rPr>
          <w:rFonts w:hint="eastAsia"/>
        </w:rPr>
        <w:t>0.6m</w:t>
      </w:r>
      <w:r w:rsidRPr="00FD50F6">
        <w:t>。</w:t>
      </w:r>
    </w:p>
    <w:p w14:paraId="6C46BCB8" w14:textId="7E4A09D0" w:rsidR="001E2468" w:rsidRPr="00FD50F6" w:rsidRDefault="001E2468" w:rsidP="001E2468">
      <w:pPr>
        <w:pStyle w:val="30"/>
      </w:pPr>
      <w:r w:rsidRPr="00FD50F6">
        <w:rPr>
          <w:rFonts w:hint="eastAsia"/>
        </w:rPr>
        <w:t>有砟道床</w:t>
      </w:r>
      <w:r w:rsidRPr="00FD50F6">
        <w:t>区间曲线地段的路基面宽度，单线应在曲线外侧，双线应在外股曲线外侧按表</w:t>
      </w:r>
      <w:r w:rsidR="008C6B9B" w:rsidRPr="00FD50F6">
        <w:t>9</w:t>
      </w:r>
      <w:r w:rsidRPr="00FD50F6">
        <w:t>.2.4</w:t>
      </w:r>
      <w:r w:rsidRPr="00FD50F6">
        <w:t>的数值加宽</w:t>
      </w:r>
      <w:r w:rsidRPr="00FD50F6">
        <w:rPr>
          <w:rFonts w:hint="eastAsia"/>
        </w:rPr>
        <w:t>，</w:t>
      </w:r>
      <w:r w:rsidRPr="00FD50F6">
        <w:t>加宽值在缓和曲线范围内应线性递减</w:t>
      </w:r>
      <w:r w:rsidRPr="00FD50F6">
        <w:rPr>
          <w:rFonts w:hint="eastAsia"/>
        </w:rPr>
        <w:t>；无砟道床</w:t>
      </w:r>
      <w:r w:rsidRPr="00FD50F6">
        <w:t>区间曲线地段的路基面</w:t>
      </w:r>
      <w:r w:rsidRPr="00FD50F6">
        <w:rPr>
          <w:rFonts w:hint="eastAsia"/>
        </w:rPr>
        <w:t>可不进行加宽，</w:t>
      </w:r>
      <w:r w:rsidRPr="00FD50F6">
        <w:rPr>
          <w:rFonts w:ascii="宋体" w:hAnsi="Calibri" w:cs="宋体" w:hint="eastAsia"/>
          <w:kern w:val="0"/>
        </w:rPr>
        <w:t>当轨道结构和接触网支柱等设施的设置有特殊要求时，应根据具体情况分析确定。</w:t>
      </w:r>
    </w:p>
    <w:p w14:paraId="70C2D168" w14:textId="79676FDD" w:rsidR="001E2468" w:rsidRPr="00FD50F6" w:rsidRDefault="001E2468" w:rsidP="001E2468">
      <w:pPr>
        <w:pStyle w:val="6"/>
      </w:pPr>
      <w:r w:rsidRPr="00FD50F6">
        <w:t>表</w:t>
      </w:r>
      <w:r w:rsidR="008C6B9B" w:rsidRPr="00FD50F6">
        <w:t>9</w:t>
      </w:r>
      <w:r w:rsidRPr="00FD50F6">
        <w:t>.2.4</w:t>
      </w:r>
      <w:r w:rsidRPr="00FD50F6">
        <w:rPr>
          <w:rFonts w:ascii="宋体" w:hAnsi="Courier New" w:hint="eastAsia"/>
        </w:rPr>
        <w:t>有砟道床</w:t>
      </w:r>
      <w:r w:rsidRPr="00FD50F6">
        <w:t>曲线地段路基面加宽值（</w:t>
      </w:r>
      <w:r w:rsidRPr="00FD50F6">
        <w:t>m</w:t>
      </w:r>
      <w:r w:rsidRPr="00FD50F6">
        <w:t>）</w:t>
      </w: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4226"/>
        <w:gridCol w:w="3945"/>
      </w:tblGrid>
      <w:tr w:rsidR="00FD50F6" w:rsidRPr="00FD50F6" w14:paraId="45293BC4" w14:textId="77777777" w:rsidTr="000831EC">
        <w:trPr>
          <w:cantSplit/>
          <w:trHeight w:hRule="exact" w:val="397"/>
          <w:jc w:val="center"/>
        </w:trPr>
        <w:tc>
          <w:tcPr>
            <w:tcW w:w="4226" w:type="dxa"/>
            <w:vAlign w:val="center"/>
          </w:tcPr>
          <w:p w14:paraId="7CE878A4" w14:textId="77777777" w:rsidR="001E2468" w:rsidRPr="00FD50F6" w:rsidRDefault="001E2468" w:rsidP="000831EC">
            <w:pPr>
              <w:pStyle w:val="7"/>
            </w:pPr>
            <w:r w:rsidRPr="00FD50F6">
              <w:t>曲线半径</w:t>
            </w:r>
            <w:r w:rsidRPr="001A4CF3">
              <w:rPr>
                <w:i/>
                <w:iCs/>
              </w:rPr>
              <w:t>R</w:t>
            </w:r>
          </w:p>
        </w:tc>
        <w:tc>
          <w:tcPr>
            <w:tcW w:w="3945" w:type="dxa"/>
            <w:vAlign w:val="center"/>
          </w:tcPr>
          <w:p w14:paraId="7D692123" w14:textId="77777777" w:rsidR="001E2468" w:rsidRPr="00FD50F6" w:rsidRDefault="001E2468" w:rsidP="000831EC">
            <w:pPr>
              <w:pStyle w:val="7"/>
            </w:pPr>
            <w:r w:rsidRPr="00FD50F6">
              <w:t>路基面外侧加宽值</w:t>
            </w:r>
          </w:p>
        </w:tc>
      </w:tr>
      <w:tr w:rsidR="00FD50F6" w:rsidRPr="00FD50F6" w14:paraId="3529C8AD" w14:textId="77777777" w:rsidTr="000831EC">
        <w:trPr>
          <w:cantSplit/>
          <w:trHeight w:hRule="exact" w:val="397"/>
          <w:jc w:val="center"/>
        </w:trPr>
        <w:tc>
          <w:tcPr>
            <w:tcW w:w="4226" w:type="dxa"/>
            <w:vAlign w:val="center"/>
          </w:tcPr>
          <w:p w14:paraId="59E6B860" w14:textId="77777777" w:rsidR="001E2468" w:rsidRPr="00FD50F6" w:rsidRDefault="001E2468" w:rsidP="000831EC">
            <w:pPr>
              <w:pStyle w:val="7"/>
            </w:pPr>
            <w:r w:rsidRPr="001A4CF3">
              <w:rPr>
                <w:i/>
                <w:iCs/>
              </w:rPr>
              <w:t>R</w:t>
            </w:r>
            <w:r w:rsidRPr="00FD50F6">
              <w:t>≤600</w:t>
            </w:r>
          </w:p>
        </w:tc>
        <w:tc>
          <w:tcPr>
            <w:tcW w:w="3945" w:type="dxa"/>
            <w:vAlign w:val="center"/>
          </w:tcPr>
          <w:p w14:paraId="033C237B" w14:textId="77777777" w:rsidR="001E2468" w:rsidRPr="00FD50F6" w:rsidRDefault="001E2468" w:rsidP="000831EC">
            <w:pPr>
              <w:pStyle w:val="7"/>
            </w:pPr>
            <w:r w:rsidRPr="00FD50F6">
              <w:t>0.5</w:t>
            </w:r>
          </w:p>
        </w:tc>
      </w:tr>
      <w:tr w:rsidR="00FD50F6" w:rsidRPr="00FD50F6" w14:paraId="284F0D17" w14:textId="77777777" w:rsidTr="000831EC">
        <w:trPr>
          <w:cantSplit/>
          <w:trHeight w:hRule="exact" w:val="397"/>
          <w:jc w:val="center"/>
        </w:trPr>
        <w:tc>
          <w:tcPr>
            <w:tcW w:w="4226" w:type="dxa"/>
            <w:vAlign w:val="center"/>
          </w:tcPr>
          <w:p w14:paraId="1F046806" w14:textId="77777777" w:rsidR="001E2468" w:rsidRPr="00FD50F6" w:rsidRDefault="001E2468" w:rsidP="000831EC">
            <w:pPr>
              <w:pStyle w:val="7"/>
            </w:pPr>
            <w:r w:rsidRPr="00FD50F6">
              <w:t>600</w:t>
            </w:r>
            <w:r w:rsidRPr="00FD50F6">
              <w:t>＜</w:t>
            </w:r>
            <w:r w:rsidRPr="001A4CF3">
              <w:rPr>
                <w:i/>
                <w:iCs/>
              </w:rPr>
              <w:t>R</w:t>
            </w:r>
            <w:r w:rsidRPr="00FD50F6">
              <w:t>≤800</w:t>
            </w:r>
          </w:p>
        </w:tc>
        <w:tc>
          <w:tcPr>
            <w:tcW w:w="3945" w:type="dxa"/>
            <w:vAlign w:val="center"/>
          </w:tcPr>
          <w:p w14:paraId="07176A20" w14:textId="77777777" w:rsidR="001E2468" w:rsidRPr="00FD50F6" w:rsidRDefault="001E2468" w:rsidP="000831EC">
            <w:pPr>
              <w:pStyle w:val="7"/>
            </w:pPr>
            <w:r w:rsidRPr="00FD50F6">
              <w:t>0.4</w:t>
            </w:r>
          </w:p>
        </w:tc>
      </w:tr>
      <w:tr w:rsidR="00FD50F6" w:rsidRPr="00FD50F6" w14:paraId="08B4B1A1" w14:textId="77777777" w:rsidTr="000831EC">
        <w:trPr>
          <w:cantSplit/>
          <w:trHeight w:hRule="exact" w:val="397"/>
          <w:jc w:val="center"/>
        </w:trPr>
        <w:tc>
          <w:tcPr>
            <w:tcW w:w="4226" w:type="dxa"/>
            <w:vAlign w:val="center"/>
          </w:tcPr>
          <w:p w14:paraId="7BB5FF6C" w14:textId="77777777" w:rsidR="001E2468" w:rsidRPr="00FD50F6" w:rsidRDefault="001E2468" w:rsidP="000831EC">
            <w:pPr>
              <w:pStyle w:val="7"/>
            </w:pPr>
            <w:r w:rsidRPr="00FD50F6">
              <w:t>800</w:t>
            </w:r>
            <w:r w:rsidRPr="00FD50F6">
              <w:t>＜</w:t>
            </w:r>
            <w:r w:rsidRPr="001A4CF3">
              <w:rPr>
                <w:i/>
                <w:iCs/>
              </w:rPr>
              <w:t>R</w:t>
            </w:r>
            <w:r w:rsidRPr="00FD50F6">
              <w:t>≤1000</w:t>
            </w:r>
          </w:p>
        </w:tc>
        <w:tc>
          <w:tcPr>
            <w:tcW w:w="3945" w:type="dxa"/>
            <w:vAlign w:val="center"/>
          </w:tcPr>
          <w:p w14:paraId="1014CACC" w14:textId="77777777" w:rsidR="001E2468" w:rsidRPr="00FD50F6" w:rsidRDefault="001E2468" w:rsidP="000831EC">
            <w:pPr>
              <w:pStyle w:val="7"/>
            </w:pPr>
            <w:r w:rsidRPr="00FD50F6">
              <w:t>0.3</w:t>
            </w:r>
          </w:p>
        </w:tc>
      </w:tr>
      <w:tr w:rsidR="00FD50F6" w:rsidRPr="00FD50F6" w14:paraId="0735ACB4" w14:textId="77777777" w:rsidTr="000831EC">
        <w:trPr>
          <w:cantSplit/>
          <w:trHeight w:hRule="exact" w:val="397"/>
          <w:jc w:val="center"/>
        </w:trPr>
        <w:tc>
          <w:tcPr>
            <w:tcW w:w="4226" w:type="dxa"/>
            <w:vAlign w:val="center"/>
          </w:tcPr>
          <w:p w14:paraId="170F25D6" w14:textId="77777777" w:rsidR="001E2468" w:rsidRPr="00FD50F6" w:rsidRDefault="001E2468" w:rsidP="000831EC">
            <w:pPr>
              <w:pStyle w:val="7"/>
            </w:pPr>
            <w:r w:rsidRPr="00FD50F6">
              <w:t>1000</w:t>
            </w:r>
            <w:r w:rsidRPr="00FD50F6">
              <w:t>＜</w:t>
            </w:r>
            <w:r w:rsidRPr="001A4CF3">
              <w:rPr>
                <w:i/>
                <w:iCs/>
              </w:rPr>
              <w:t>R</w:t>
            </w:r>
            <w:r w:rsidRPr="00FD50F6">
              <w:t>≤2000</w:t>
            </w:r>
          </w:p>
        </w:tc>
        <w:tc>
          <w:tcPr>
            <w:tcW w:w="3945" w:type="dxa"/>
            <w:vAlign w:val="center"/>
          </w:tcPr>
          <w:p w14:paraId="3B2B4CFF" w14:textId="77777777" w:rsidR="001E2468" w:rsidRPr="00FD50F6" w:rsidRDefault="001E2468" w:rsidP="000831EC">
            <w:pPr>
              <w:pStyle w:val="7"/>
            </w:pPr>
            <w:r w:rsidRPr="00FD50F6">
              <w:t>0.2</w:t>
            </w:r>
          </w:p>
        </w:tc>
      </w:tr>
      <w:tr w:rsidR="00FD50F6" w:rsidRPr="00FD50F6" w14:paraId="536BDA97" w14:textId="77777777" w:rsidTr="000831EC">
        <w:trPr>
          <w:cantSplit/>
          <w:trHeight w:hRule="exact" w:val="397"/>
          <w:jc w:val="center"/>
        </w:trPr>
        <w:tc>
          <w:tcPr>
            <w:tcW w:w="4226" w:type="dxa"/>
            <w:vAlign w:val="center"/>
          </w:tcPr>
          <w:p w14:paraId="312F359B" w14:textId="77777777" w:rsidR="001E2468" w:rsidRPr="00FD50F6" w:rsidRDefault="001E2468" w:rsidP="000831EC">
            <w:pPr>
              <w:pStyle w:val="7"/>
            </w:pPr>
            <w:r w:rsidRPr="00FD50F6">
              <w:t>2000</w:t>
            </w:r>
            <w:r w:rsidRPr="00FD50F6">
              <w:t>＜</w:t>
            </w:r>
            <w:r w:rsidRPr="001A4CF3">
              <w:rPr>
                <w:i/>
                <w:iCs/>
              </w:rPr>
              <w:t>R</w:t>
            </w:r>
            <w:r w:rsidRPr="00FD50F6">
              <w:t>≤5000</w:t>
            </w:r>
          </w:p>
        </w:tc>
        <w:tc>
          <w:tcPr>
            <w:tcW w:w="3945" w:type="dxa"/>
            <w:vAlign w:val="center"/>
          </w:tcPr>
          <w:p w14:paraId="7B284855" w14:textId="77777777" w:rsidR="001E2468" w:rsidRPr="00FD50F6" w:rsidRDefault="001E2468" w:rsidP="000831EC">
            <w:pPr>
              <w:pStyle w:val="7"/>
            </w:pPr>
            <w:r w:rsidRPr="00FD50F6">
              <w:t>0.1</w:t>
            </w:r>
          </w:p>
        </w:tc>
      </w:tr>
    </w:tbl>
    <w:p w14:paraId="6BADBA7B" w14:textId="513EB405" w:rsidR="001E2468" w:rsidRPr="00FD50F6" w:rsidRDefault="001E2468" w:rsidP="001E2468">
      <w:pPr>
        <w:pStyle w:val="30"/>
      </w:pPr>
      <w:r w:rsidRPr="00585A3F">
        <w:rPr>
          <w:rFonts w:hint="eastAsia"/>
          <w:bCs w:val="0"/>
        </w:rPr>
        <w:t>路基基床结构应由基床表层和基床底层组成</w:t>
      </w:r>
      <w:r w:rsidRPr="00FD50F6">
        <w:t>。路基基床结构</w:t>
      </w:r>
      <w:r w:rsidRPr="00FD50F6">
        <w:rPr>
          <w:rFonts w:hint="eastAsia"/>
        </w:rPr>
        <w:t>应</w:t>
      </w:r>
      <w:r w:rsidRPr="00FD50F6">
        <w:t>根据道</w:t>
      </w:r>
      <w:r w:rsidRPr="00FD50F6">
        <w:rPr>
          <w:rFonts w:hint="eastAsia"/>
        </w:rPr>
        <w:t>床</w:t>
      </w:r>
      <w:r w:rsidRPr="00FD50F6">
        <w:t>类型</w:t>
      </w:r>
      <w:r w:rsidRPr="00FD50F6">
        <w:rPr>
          <w:rFonts w:hint="eastAsia"/>
        </w:rPr>
        <w:t>、线路功能等</w:t>
      </w:r>
      <w:r w:rsidRPr="00FD50F6">
        <w:t>按表</w:t>
      </w:r>
      <w:r w:rsidR="008C6B9B" w:rsidRPr="00FD50F6">
        <w:t>9</w:t>
      </w:r>
      <w:r w:rsidRPr="00FD50F6">
        <w:t>.</w:t>
      </w:r>
      <w:r w:rsidRPr="00FD50F6">
        <w:rPr>
          <w:rFonts w:hint="eastAsia"/>
        </w:rPr>
        <w:t>2</w:t>
      </w:r>
      <w:r w:rsidRPr="00FD50F6">
        <w:t>.</w:t>
      </w:r>
      <w:r w:rsidRPr="00FD50F6">
        <w:rPr>
          <w:rFonts w:hint="eastAsia"/>
        </w:rPr>
        <w:t>5</w:t>
      </w:r>
      <w:r w:rsidRPr="00FD50F6">
        <w:t>采用。基床厚度应以路肩施工高程为计算起点。</w:t>
      </w:r>
    </w:p>
    <w:p w14:paraId="02D7E28B" w14:textId="6D8D16C1" w:rsidR="001E2468" w:rsidRPr="00FD50F6" w:rsidRDefault="001E2468" w:rsidP="001E2468">
      <w:pPr>
        <w:pStyle w:val="6"/>
      </w:pPr>
      <w:r w:rsidRPr="00FD50F6">
        <w:t>表</w:t>
      </w:r>
      <w:r w:rsidR="008C6B9B" w:rsidRPr="00FD50F6">
        <w:t>9</w:t>
      </w:r>
      <w:r w:rsidRPr="00FD50F6">
        <w:t>.</w:t>
      </w:r>
      <w:r w:rsidRPr="00FD50F6">
        <w:rPr>
          <w:rFonts w:hint="eastAsia"/>
        </w:rPr>
        <w:t>2</w:t>
      </w:r>
      <w:r w:rsidRPr="00FD50F6">
        <w:t>.</w:t>
      </w:r>
      <w:r w:rsidRPr="00FD50F6">
        <w:rPr>
          <w:rFonts w:hint="eastAsia"/>
        </w:rPr>
        <w:t>5</w:t>
      </w:r>
      <w:r w:rsidRPr="00FD50F6">
        <w:t>基床结构</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2"/>
        <w:gridCol w:w="2814"/>
        <w:gridCol w:w="1349"/>
        <w:gridCol w:w="1837"/>
        <w:gridCol w:w="1796"/>
      </w:tblGrid>
      <w:tr w:rsidR="00FD50F6" w:rsidRPr="00FD50F6" w14:paraId="2257E531" w14:textId="77777777" w:rsidTr="000831EC">
        <w:trPr>
          <w:trHeight w:val="397"/>
          <w:jc w:val="center"/>
        </w:trPr>
        <w:tc>
          <w:tcPr>
            <w:tcW w:w="2079" w:type="pct"/>
            <w:gridSpan w:val="2"/>
            <w:vAlign w:val="center"/>
          </w:tcPr>
          <w:p w14:paraId="2F1AAAAA" w14:textId="77777777" w:rsidR="001E2468" w:rsidRPr="00FD50F6" w:rsidRDefault="001E2468" w:rsidP="000831EC">
            <w:pPr>
              <w:pStyle w:val="7"/>
            </w:pPr>
            <w:r w:rsidRPr="00FD50F6">
              <w:t>轨道类型</w:t>
            </w:r>
          </w:p>
        </w:tc>
        <w:tc>
          <w:tcPr>
            <w:tcW w:w="791" w:type="pct"/>
            <w:vAlign w:val="center"/>
          </w:tcPr>
          <w:p w14:paraId="2D121022" w14:textId="77777777" w:rsidR="001E2468" w:rsidRPr="00FD50F6" w:rsidRDefault="001E2468" w:rsidP="000831EC">
            <w:pPr>
              <w:pStyle w:val="7"/>
            </w:pPr>
            <w:r w:rsidRPr="00FD50F6">
              <w:t>基床厚度</w:t>
            </w:r>
          </w:p>
          <w:p w14:paraId="2901A0B3" w14:textId="77777777" w:rsidR="001E2468" w:rsidRPr="00FD50F6" w:rsidRDefault="001E2468" w:rsidP="000831EC">
            <w:pPr>
              <w:pStyle w:val="7"/>
            </w:pPr>
            <w:r w:rsidRPr="00FD50F6">
              <w:t>（</w:t>
            </w:r>
            <w:r w:rsidRPr="00FD50F6">
              <w:t>m</w:t>
            </w:r>
            <w:r w:rsidRPr="00FD50F6">
              <w:t>）</w:t>
            </w:r>
          </w:p>
        </w:tc>
        <w:tc>
          <w:tcPr>
            <w:tcW w:w="1077" w:type="pct"/>
            <w:vAlign w:val="center"/>
          </w:tcPr>
          <w:p w14:paraId="3E7EBD48" w14:textId="77777777" w:rsidR="001E2468" w:rsidRPr="00FD50F6" w:rsidRDefault="001E2468" w:rsidP="000831EC">
            <w:pPr>
              <w:pStyle w:val="7"/>
            </w:pPr>
            <w:r w:rsidRPr="00FD50F6">
              <w:t>基床表层厚度</w:t>
            </w:r>
          </w:p>
          <w:p w14:paraId="1F304D39" w14:textId="77777777" w:rsidR="001E2468" w:rsidRPr="00FD50F6" w:rsidRDefault="001E2468" w:rsidP="000831EC">
            <w:pPr>
              <w:pStyle w:val="7"/>
            </w:pPr>
            <w:r w:rsidRPr="00FD50F6">
              <w:t>（</w:t>
            </w:r>
            <w:r w:rsidRPr="00FD50F6">
              <w:t>m</w:t>
            </w:r>
            <w:r w:rsidRPr="00FD50F6">
              <w:t>）</w:t>
            </w:r>
          </w:p>
        </w:tc>
        <w:tc>
          <w:tcPr>
            <w:tcW w:w="1053" w:type="pct"/>
            <w:vAlign w:val="center"/>
          </w:tcPr>
          <w:p w14:paraId="1B0F43EC" w14:textId="77777777" w:rsidR="001E2468" w:rsidRPr="00FD50F6" w:rsidRDefault="001E2468" w:rsidP="000831EC">
            <w:pPr>
              <w:pStyle w:val="7"/>
            </w:pPr>
            <w:r w:rsidRPr="00FD50F6">
              <w:t>基床底层厚度</w:t>
            </w:r>
          </w:p>
          <w:p w14:paraId="33AD81C3" w14:textId="77777777" w:rsidR="001E2468" w:rsidRPr="00FD50F6" w:rsidRDefault="001E2468" w:rsidP="000831EC">
            <w:pPr>
              <w:pStyle w:val="7"/>
            </w:pPr>
            <w:r w:rsidRPr="00FD50F6">
              <w:t>（</w:t>
            </w:r>
            <w:r w:rsidRPr="00FD50F6">
              <w:t>m</w:t>
            </w:r>
            <w:r w:rsidRPr="00FD50F6">
              <w:t>）</w:t>
            </w:r>
          </w:p>
        </w:tc>
      </w:tr>
      <w:tr w:rsidR="00FD50F6" w:rsidRPr="00FD50F6" w14:paraId="5A23DA27" w14:textId="77777777" w:rsidTr="000831EC">
        <w:trPr>
          <w:cantSplit/>
          <w:trHeight w:val="413"/>
          <w:jc w:val="center"/>
        </w:trPr>
        <w:tc>
          <w:tcPr>
            <w:tcW w:w="429" w:type="pct"/>
            <w:vMerge w:val="restart"/>
            <w:vAlign w:val="center"/>
          </w:tcPr>
          <w:p w14:paraId="210049FE" w14:textId="77777777" w:rsidR="001E2468" w:rsidRPr="00FD50F6" w:rsidRDefault="001E2468" w:rsidP="000831EC">
            <w:pPr>
              <w:pStyle w:val="7"/>
            </w:pPr>
            <w:r w:rsidRPr="00FD50F6">
              <w:t>有</w:t>
            </w:r>
          </w:p>
          <w:p w14:paraId="232349CD" w14:textId="77777777" w:rsidR="001E2468" w:rsidRPr="00FD50F6" w:rsidRDefault="001E2468" w:rsidP="000831EC">
            <w:pPr>
              <w:pStyle w:val="7"/>
            </w:pPr>
            <w:r w:rsidRPr="00FD50F6">
              <w:t>砟</w:t>
            </w:r>
          </w:p>
          <w:p w14:paraId="1BD2FD9D" w14:textId="77777777" w:rsidR="001E2468" w:rsidRPr="00FD50F6" w:rsidRDefault="001E2468" w:rsidP="000831EC">
            <w:pPr>
              <w:pStyle w:val="7"/>
            </w:pPr>
            <w:r w:rsidRPr="00FD50F6">
              <w:t>道</w:t>
            </w:r>
          </w:p>
          <w:p w14:paraId="08583619" w14:textId="77777777" w:rsidR="001E2468" w:rsidRPr="00FD50F6" w:rsidRDefault="001E2468" w:rsidP="000831EC">
            <w:pPr>
              <w:pStyle w:val="7"/>
            </w:pPr>
            <w:r w:rsidRPr="00FD50F6">
              <w:rPr>
                <w:rFonts w:hint="eastAsia"/>
              </w:rPr>
              <w:t>床</w:t>
            </w:r>
          </w:p>
        </w:tc>
        <w:tc>
          <w:tcPr>
            <w:tcW w:w="1650" w:type="pct"/>
            <w:vAlign w:val="center"/>
          </w:tcPr>
          <w:p w14:paraId="3B200A31" w14:textId="77777777" w:rsidR="001E2468" w:rsidRPr="00FD50F6" w:rsidRDefault="001E2468" w:rsidP="000831EC">
            <w:pPr>
              <w:pStyle w:val="7"/>
            </w:pPr>
            <w:r w:rsidRPr="00FD50F6">
              <w:t>正线</w:t>
            </w:r>
          </w:p>
        </w:tc>
        <w:tc>
          <w:tcPr>
            <w:tcW w:w="791" w:type="pct"/>
            <w:vAlign w:val="center"/>
          </w:tcPr>
          <w:p w14:paraId="5733BA9D" w14:textId="77777777" w:rsidR="001E2468" w:rsidRPr="00FD50F6" w:rsidRDefault="001E2468" w:rsidP="000831EC">
            <w:pPr>
              <w:pStyle w:val="7"/>
            </w:pPr>
            <w:r w:rsidRPr="00FD50F6">
              <w:t>2.0</w:t>
            </w:r>
          </w:p>
        </w:tc>
        <w:tc>
          <w:tcPr>
            <w:tcW w:w="1077" w:type="pct"/>
            <w:vAlign w:val="center"/>
          </w:tcPr>
          <w:p w14:paraId="768AF771" w14:textId="77777777" w:rsidR="001E2468" w:rsidRPr="00FD50F6" w:rsidRDefault="001E2468" w:rsidP="000831EC">
            <w:pPr>
              <w:pStyle w:val="7"/>
            </w:pPr>
            <w:r w:rsidRPr="00FD50F6">
              <w:t>0.5</w:t>
            </w:r>
          </w:p>
        </w:tc>
        <w:tc>
          <w:tcPr>
            <w:tcW w:w="1053" w:type="pct"/>
            <w:vAlign w:val="center"/>
          </w:tcPr>
          <w:p w14:paraId="4C43A528" w14:textId="77777777" w:rsidR="001E2468" w:rsidRPr="00FD50F6" w:rsidRDefault="001E2468" w:rsidP="000831EC">
            <w:pPr>
              <w:pStyle w:val="7"/>
            </w:pPr>
            <w:r w:rsidRPr="00FD50F6">
              <w:t>1.5</w:t>
            </w:r>
          </w:p>
        </w:tc>
      </w:tr>
      <w:tr w:rsidR="00FD50F6" w:rsidRPr="00FD50F6" w14:paraId="11720520" w14:textId="77777777" w:rsidTr="000831EC">
        <w:trPr>
          <w:cantSplit/>
          <w:trHeight w:val="357"/>
          <w:jc w:val="center"/>
        </w:trPr>
        <w:tc>
          <w:tcPr>
            <w:tcW w:w="429" w:type="pct"/>
            <w:vMerge/>
            <w:vAlign w:val="center"/>
          </w:tcPr>
          <w:p w14:paraId="2C74F637" w14:textId="77777777" w:rsidR="001E2468" w:rsidRPr="00FD50F6" w:rsidRDefault="001E2468" w:rsidP="000831EC">
            <w:pPr>
              <w:pStyle w:val="7"/>
            </w:pPr>
          </w:p>
        </w:tc>
        <w:tc>
          <w:tcPr>
            <w:tcW w:w="1650" w:type="pct"/>
            <w:vAlign w:val="center"/>
          </w:tcPr>
          <w:p w14:paraId="1E1672FA" w14:textId="77777777" w:rsidR="001E2468" w:rsidRPr="00FD50F6" w:rsidRDefault="001E2468" w:rsidP="000831EC">
            <w:pPr>
              <w:pStyle w:val="7"/>
            </w:pPr>
            <w:r w:rsidRPr="00FD50F6">
              <w:t>与正线处于同一路基的站线</w:t>
            </w:r>
            <w:r w:rsidRPr="00FD50F6">
              <w:rPr>
                <w:rFonts w:hint="eastAsia"/>
              </w:rPr>
              <w:t>、试车线、出入段线、联络线</w:t>
            </w:r>
          </w:p>
        </w:tc>
        <w:tc>
          <w:tcPr>
            <w:tcW w:w="791" w:type="pct"/>
            <w:vAlign w:val="center"/>
          </w:tcPr>
          <w:p w14:paraId="5E458FE0" w14:textId="77777777" w:rsidR="001E2468" w:rsidRPr="00FD50F6" w:rsidRDefault="001E2468" w:rsidP="000831EC">
            <w:pPr>
              <w:pStyle w:val="7"/>
            </w:pPr>
            <w:r w:rsidRPr="00FD50F6">
              <w:t>2.0</w:t>
            </w:r>
          </w:p>
        </w:tc>
        <w:tc>
          <w:tcPr>
            <w:tcW w:w="1077" w:type="pct"/>
            <w:vAlign w:val="center"/>
          </w:tcPr>
          <w:p w14:paraId="2DAD60EA" w14:textId="77777777" w:rsidR="001E2468" w:rsidRPr="00FD50F6" w:rsidRDefault="001E2468" w:rsidP="000831EC">
            <w:pPr>
              <w:pStyle w:val="7"/>
            </w:pPr>
            <w:r w:rsidRPr="00FD50F6">
              <w:t>0.5</w:t>
            </w:r>
          </w:p>
        </w:tc>
        <w:tc>
          <w:tcPr>
            <w:tcW w:w="1053" w:type="pct"/>
            <w:vAlign w:val="center"/>
          </w:tcPr>
          <w:p w14:paraId="6F6BB0FE" w14:textId="77777777" w:rsidR="001E2468" w:rsidRPr="00FD50F6" w:rsidRDefault="001E2468" w:rsidP="000831EC">
            <w:pPr>
              <w:pStyle w:val="7"/>
            </w:pPr>
            <w:r w:rsidRPr="00FD50F6">
              <w:t>1.5</w:t>
            </w:r>
          </w:p>
        </w:tc>
      </w:tr>
      <w:tr w:rsidR="00FD50F6" w:rsidRPr="00FD50F6" w14:paraId="0F2700A5" w14:textId="77777777" w:rsidTr="000831EC">
        <w:trPr>
          <w:cantSplit/>
          <w:trHeight w:val="319"/>
          <w:jc w:val="center"/>
        </w:trPr>
        <w:tc>
          <w:tcPr>
            <w:tcW w:w="429" w:type="pct"/>
            <w:vMerge/>
            <w:vAlign w:val="center"/>
          </w:tcPr>
          <w:p w14:paraId="5E3B520C" w14:textId="77777777" w:rsidR="001E2468" w:rsidRPr="00FD50F6" w:rsidRDefault="001E2468" w:rsidP="000831EC">
            <w:pPr>
              <w:pStyle w:val="7"/>
            </w:pPr>
          </w:p>
        </w:tc>
        <w:tc>
          <w:tcPr>
            <w:tcW w:w="1650" w:type="pct"/>
            <w:vAlign w:val="center"/>
          </w:tcPr>
          <w:p w14:paraId="24C783C2" w14:textId="77777777" w:rsidR="001E2468" w:rsidRPr="00FD50F6" w:rsidRDefault="001E2468" w:rsidP="000831EC">
            <w:pPr>
              <w:pStyle w:val="7"/>
            </w:pPr>
            <w:r w:rsidRPr="00FD50F6">
              <w:t>其它站线</w:t>
            </w:r>
            <w:r w:rsidRPr="00FD50F6">
              <w:rPr>
                <w:rFonts w:hint="eastAsia"/>
              </w:rPr>
              <w:t>、车场线</w:t>
            </w:r>
          </w:p>
        </w:tc>
        <w:tc>
          <w:tcPr>
            <w:tcW w:w="791" w:type="pct"/>
            <w:vAlign w:val="center"/>
          </w:tcPr>
          <w:p w14:paraId="15166473" w14:textId="77777777" w:rsidR="001E2468" w:rsidRPr="00FD50F6" w:rsidRDefault="001E2468" w:rsidP="000831EC">
            <w:pPr>
              <w:pStyle w:val="7"/>
            </w:pPr>
            <w:r w:rsidRPr="00FD50F6">
              <w:t>1.2</w:t>
            </w:r>
          </w:p>
        </w:tc>
        <w:tc>
          <w:tcPr>
            <w:tcW w:w="1077" w:type="pct"/>
            <w:vAlign w:val="center"/>
          </w:tcPr>
          <w:p w14:paraId="17184162" w14:textId="77777777" w:rsidR="001E2468" w:rsidRPr="00FD50F6" w:rsidRDefault="001E2468" w:rsidP="000831EC">
            <w:pPr>
              <w:pStyle w:val="7"/>
            </w:pPr>
            <w:r w:rsidRPr="00FD50F6">
              <w:t>0.3</w:t>
            </w:r>
          </w:p>
        </w:tc>
        <w:tc>
          <w:tcPr>
            <w:tcW w:w="1053" w:type="pct"/>
            <w:vAlign w:val="center"/>
          </w:tcPr>
          <w:p w14:paraId="18910985" w14:textId="77777777" w:rsidR="001E2468" w:rsidRPr="00FD50F6" w:rsidRDefault="001E2468" w:rsidP="000831EC">
            <w:pPr>
              <w:pStyle w:val="7"/>
            </w:pPr>
            <w:r w:rsidRPr="00FD50F6">
              <w:t>0.9</w:t>
            </w:r>
          </w:p>
        </w:tc>
      </w:tr>
      <w:tr w:rsidR="00FD50F6" w:rsidRPr="00FD50F6" w14:paraId="70A6DDA8" w14:textId="77777777" w:rsidTr="000831EC">
        <w:trPr>
          <w:cantSplit/>
          <w:trHeight w:val="385"/>
          <w:jc w:val="center"/>
        </w:trPr>
        <w:tc>
          <w:tcPr>
            <w:tcW w:w="2079" w:type="pct"/>
            <w:gridSpan w:val="2"/>
            <w:vAlign w:val="center"/>
          </w:tcPr>
          <w:p w14:paraId="66507ECC" w14:textId="77777777" w:rsidR="001E2468" w:rsidRPr="00FD50F6" w:rsidRDefault="001E2468" w:rsidP="000831EC">
            <w:pPr>
              <w:pStyle w:val="7"/>
            </w:pPr>
            <w:r w:rsidRPr="00FD50F6">
              <w:t>无砟道</w:t>
            </w:r>
            <w:r w:rsidRPr="00FD50F6">
              <w:rPr>
                <w:rFonts w:hint="eastAsia"/>
              </w:rPr>
              <w:t>床</w:t>
            </w:r>
          </w:p>
        </w:tc>
        <w:tc>
          <w:tcPr>
            <w:tcW w:w="791" w:type="pct"/>
            <w:vAlign w:val="center"/>
          </w:tcPr>
          <w:p w14:paraId="391D558A" w14:textId="77777777" w:rsidR="001E2468" w:rsidRPr="00FD50F6" w:rsidRDefault="001E2468" w:rsidP="000831EC">
            <w:pPr>
              <w:pStyle w:val="7"/>
            </w:pPr>
            <w:r w:rsidRPr="00FD50F6">
              <w:t>1.8</w:t>
            </w:r>
          </w:p>
        </w:tc>
        <w:tc>
          <w:tcPr>
            <w:tcW w:w="1077" w:type="pct"/>
            <w:vAlign w:val="center"/>
          </w:tcPr>
          <w:p w14:paraId="35676B85" w14:textId="77777777" w:rsidR="001E2468" w:rsidRPr="00FD50F6" w:rsidRDefault="001E2468" w:rsidP="000831EC">
            <w:pPr>
              <w:pStyle w:val="7"/>
            </w:pPr>
            <w:r w:rsidRPr="00FD50F6">
              <w:t>0.3</w:t>
            </w:r>
          </w:p>
        </w:tc>
        <w:tc>
          <w:tcPr>
            <w:tcW w:w="1053" w:type="pct"/>
            <w:vAlign w:val="center"/>
          </w:tcPr>
          <w:p w14:paraId="5B94A5BB" w14:textId="77777777" w:rsidR="001E2468" w:rsidRPr="00FD50F6" w:rsidRDefault="001E2468" w:rsidP="000831EC">
            <w:pPr>
              <w:pStyle w:val="7"/>
            </w:pPr>
            <w:r w:rsidRPr="00FD50F6">
              <w:t>1.5</w:t>
            </w:r>
          </w:p>
        </w:tc>
      </w:tr>
    </w:tbl>
    <w:p w14:paraId="4C92775B" w14:textId="58AEDC61" w:rsidR="001E2468" w:rsidRPr="00FD50F6" w:rsidRDefault="001E2468" w:rsidP="001E2468">
      <w:pPr>
        <w:pStyle w:val="30"/>
        <w:rPr>
          <w:kern w:val="0"/>
        </w:rPr>
      </w:pPr>
      <w:r w:rsidRPr="00FD50F6">
        <w:rPr>
          <w:rFonts w:hint="eastAsia"/>
        </w:rPr>
        <w:t>路基基床的填料要求和压实标准应按表</w:t>
      </w:r>
      <w:r w:rsidR="008C6B9B" w:rsidRPr="00FD50F6">
        <w:t>9</w:t>
      </w:r>
      <w:r w:rsidRPr="00FD50F6">
        <w:rPr>
          <w:rFonts w:hint="eastAsia"/>
        </w:rPr>
        <w:t>.2.6</w:t>
      </w:r>
      <w:r w:rsidRPr="00FD50F6">
        <w:rPr>
          <w:rFonts w:hint="eastAsia"/>
        </w:rPr>
        <w:t>控制</w:t>
      </w:r>
      <w:r w:rsidRPr="00FD50F6">
        <w:rPr>
          <w:kern w:val="0"/>
        </w:rPr>
        <w:t>。</w:t>
      </w:r>
    </w:p>
    <w:p w14:paraId="29F9CBAE" w14:textId="47494F3A" w:rsidR="001E2468" w:rsidRPr="00FD50F6" w:rsidRDefault="001E2468" w:rsidP="001E2468">
      <w:pPr>
        <w:pStyle w:val="6"/>
        <w:rPr>
          <w:lang w:val="zh-CN"/>
        </w:rPr>
      </w:pPr>
      <w:r w:rsidRPr="00FD50F6">
        <w:rPr>
          <w:rFonts w:hint="eastAsia"/>
        </w:rPr>
        <w:t>表</w:t>
      </w:r>
      <w:r w:rsidR="008C6B9B" w:rsidRPr="00FD50F6">
        <w:t>9</w:t>
      </w:r>
      <w:r w:rsidRPr="00FD50F6">
        <w:rPr>
          <w:rFonts w:hint="eastAsia"/>
        </w:rPr>
        <w:t>.2.6</w:t>
      </w:r>
      <w:r w:rsidRPr="00FD50F6">
        <w:rPr>
          <w:rFonts w:hint="eastAsia"/>
          <w:lang w:val="zh-CN"/>
        </w:rPr>
        <w:t>基床填料要求和压实标准</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
        <w:gridCol w:w="308"/>
        <w:gridCol w:w="667"/>
        <w:gridCol w:w="1116"/>
        <w:gridCol w:w="25"/>
        <w:gridCol w:w="7"/>
        <w:gridCol w:w="2191"/>
        <w:gridCol w:w="667"/>
        <w:gridCol w:w="1189"/>
        <w:gridCol w:w="1023"/>
        <w:gridCol w:w="1250"/>
      </w:tblGrid>
      <w:tr w:rsidR="00FD50F6" w:rsidRPr="00FD50F6" w14:paraId="57A337EF" w14:textId="77777777" w:rsidTr="00585A3F">
        <w:trPr>
          <w:trHeight w:val="405"/>
          <w:jc w:val="center"/>
        </w:trPr>
        <w:tc>
          <w:tcPr>
            <w:tcW w:w="205" w:type="pct"/>
            <w:vMerge w:val="restart"/>
            <w:tcMar>
              <w:left w:w="0" w:type="dxa"/>
              <w:right w:w="0" w:type="dxa"/>
            </w:tcMar>
            <w:vAlign w:val="center"/>
          </w:tcPr>
          <w:p w14:paraId="6F07A215" w14:textId="77777777" w:rsidR="001E2468" w:rsidRPr="00FD50F6" w:rsidRDefault="001E2468" w:rsidP="000831EC">
            <w:pPr>
              <w:pStyle w:val="7"/>
            </w:pPr>
            <w:r w:rsidRPr="00FD50F6">
              <w:t>道</w:t>
            </w:r>
            <w:r w:rsidRPr="00FD50F6">
              <w:lastRenderedPageBreak/>
              <w:t>床类型</w:t>
            </w:r>
          </w:p>
        </w:tc>
        <w:tc>
          <w:tcPr>
            <w:tcW w:w="175" w:type="pct"/>
            <w:vMerge w:val="restart"/>
            <w:tcMar>
              <w:left w:w="0" w:type="dxa"/>
              <w:right w:w="0" w:type="dxa"/>
            </w:tcMar>
            <w:vAlign w:val="center"/>
          </w:tcPr>
          <w:p w14:paraId="12E1F199" w14:textId="77777777" w:rsidR="001E2468" w:rsidRPr="00FD50F6" w:rsidRDefault="001E2468" w:rsidP="000831EC">
            <w:pPr>
              <w:pStyle w:val="7"/>
            </w:pPr>
            <w:r w:rsidRPr="00FD50F6">
              <w:lastRenderedPageBreak/>
              <w:t>基</w:t>
            </w:r>
          </w:p>
          <w:p w14:paraId="00FE38B4" w14:textId="77777777" w:rsidR="001E2468" w:rsidRPr="00FD50F6" w:rsidRDefault="001E2468" w:rsidP="000831EC">
            <w:pPr>
              <w:pStyle w:val="7"/>
            </w:pPr>
            <w:r w:rsidRPr="00FD50F6">
              <w:lastRenderedPageBreak/>
              <w:t>床</w:t>
            </w:r>
          </w:p>
          <w:p w14:paraId="33D1F4C2" w14:textId="77777777" w:rsidR="001E2468" w:rsidRPr="00FD50F6" w:rsidRDefault="001E2468" w:rsidP="000831EC">
            <w:pPr>
              <w:pStyle w:val="7"/>
            </w:pPr>
            <w:r w:rsidRPr="00FD50F6">
              <w:t>部</w:t>
            </w:r>
          </w:p>
          <w:p w14:paraId="18A78621" w14:textId="77777777" w:rsidR="001E2468" w:rsidRPr="00FD50F6" w:rsidRDefault="001E2468" w:rsidP="000831EC">
            <w:pPr>
              <w:pStyle w:val="7"/>
            </w:pPr>
            <w:r w:rsidRPr="00FD50F6">
              <w:t>位</w:t>
            </w:r>
          </w:p>
        </w:tc>
        <w:tc>
          <w:tcPr>
            <w:tcW w:w="2275" w:type="pct"/>
            <w:gridSpan w:val="5"/>
            <w:tcMar>
              <w:left w:w="0" w:type="dxa"/>
              <w:right w:w="0" w:type="dxa"/>
            </w:tcMar>
            <w:vAlign w:val="center"/>
          </w:tcPr>
          <w:p w14:paraId="6DD1622F" w14:textId="77777777" w:rsidR="001E2468" w:rsidRPr="00FD50F6" w:rsidRDefault="001E2468" w:rsidP="000831EC">
            <w:pPr>
              <w:pStyle w:val="7"/>
            </w:pPr>
            <w:r w:rsidRPr="00FD50F6">
              <w:lastRenderedPageBreak/>
              <w:t>填料要求</w:t>
            </w:r>
          </w:p>
        </w:tc>
        <w:tc>
          <w:tcPr>
            <w:tcW w:w="2345" w:type="pct"/>
            <w:gridSpan w:val="4"/>
            <w:tcMar>
              <w:left w:w="0" w:type="dxa"/>
              <w:right w:w="0" w:type="dxa"/>
            </w:tcMar>
            <w:vAlign w:val="center"/>
          </w:tcPr>
          <w:p w14:paraId="14B0A47E" w14:textId="77777777" w:rsidR="001E2468" w:rsidRPr="00FD50F6" w:rsidRDefault="001E2468" w:rsidP="000831EC">
            <w:pPr>
              <w:pStyle w:val="7"/>
            </w:pPr>
            <w:r w:rsidRPr="00FD50F6">
              <w:t>压实标准</w:t>
            </w:r>
          </w:p>
        </w:tc>
      </w:tr>
      <w:tr w:rsidR="00FD50F6" w:rsidRPr="00FD50F6" w14:paraId="38598CFD" w14:textId="77777777" w:rsidTr="00585A3F">
        <w:trPr>
          <w:trHeight w:val="317"/>
          <w:jc w:val="center"/>
        </w:trPr>
        <w:tc>
          <w:tcPr>
            <w:tcW w:w="205" w:type="pct"/>
            <w:vMerge/>
            <w:tcMar>
              <w:left w:w="0" w:type="dxa"/>
              <w:right w:w="0" w:type="dxa"/>
            </w:tcMar>
            <w:vAlign w:val="center"/>
          </w:tcPr>
          <w:p w14:paraId="2BA5B493" w14:textId="77777777" w:rsidR="001E2468" w:rsidRPr="00FD50F6" w:rsidRDefault="001E2468" w:rsidP="000831EC">
            <w:pPr>
              <w:pStyle w:val="7"/>
            </w:pPr>
          </w:p>
        </w:tc>
        <w:tc>
          <w:tcPr>
            <w:tcW w:w="175" w:type="pct"/>
            <w:vMerge/>
            <w:tcMar>
              <w:left w:w="0" w:type="dxa"/>
              <w:right w:w="0" w:type="dxa"/>
            </w:tcMar>
            <w:vAlign w:val="center"/>
          </w:tcPr>
          <w:p w14:paraId="0F0D42B2" w14:textId="77777777" w:rsidR="001E2468" w:rsidRPr="00FD50F6" w:rsidRDefault="001E2468" w:rsidP="000831EC">
            <w:pPr>
              <w:pStyle w:val="7"/>
            </w:pPr>
          </w:p>
        </w:tc>
        <w:tc>
          <w:tcPr>
            <w:tcW w:w="379" w:type="pct"/>
            <w:tcMar>
              <w:left w:w="0" w:type="dxa"/>
              <w:right w:w="0" w:type="dxa"/>
            </w:tcMar>
            <w:vAlign w:val="center"/>
          </w:tcPr>
          <w:p w14:paraId="0AC47199" w14:textId="77777777" w:rsidR="001E2468" w:rsidRPr="00FD50F6" w:rsidRDefault="001E2468" w:rsidP="000831EC">
            <w:pPr>
              <w:pStyle w:val="7"/>
            </w:pPr>
            <w:r w:rsidRPr="00FD50F6">
              <w:t>最大</w:t>
            </w:r>
          </w:p>
          <w:p w14:paraId="2D46A046" w14:textId="77777777" w:rsidR="001E2468" w:rsidRPr="00FD50F6" w:rsidRDefault="001E2468" w:rsidP="000831EC">
            <w:pPr>
              <w:pStyle w:val="7"/>
            </w:pPr>
            <w:r w:rsidRPr="00FD50F6">
              <w:t>粒径</w:t>
            </w:r>
          </w:p>
          <w:p w14:paraId="097F5EEC" w14:textId="77777777" w:rsidR="001E2468" w:rsidRPr="00FD50F6" w:rsidRDefault="001E2468" w:rsidP="000831EC">
            <w:pPr>
              <w:pStyle w:val="7"/>
            </w:pPr>
            <w:r w:rsidRPr="00FD50F6">
              <w:t>（</w:t>
            </w:r>
            <w:r w:rsidRPr="00FD50F6">
              <w:t>mm</w:t>
            </w:r>
            <w:r w:rsidRPr="00FD50F6">
              <w:t>）</w:t>
            </w:r>
          </w:p>
        </w:tc>
        <w:tc>
          <w:tcPr>
            <w:tcW w:w="1895" w:type="pct"/>
            <w:gridSpan w:val="4"/>
            <w:tcMar>
              <w:left w:w="0" w:type="dxa"/>
              <w:right w:w="0" w:type="dxa"/>
            </w:tcMar>
            <w:vAlign w:val="center"/>
          </w:tcPr>
          <w:p w14:paraId="76692DC4" w14:textId="77777777" w:rsidR="001E2468" w:rsidRPr="00FD50F6" w:rsidRDefault="001E2468" w:rsidP="000831EC">
            <w:pPr>
              <w:pStyle w:val="7"/>
            </w:pPr>
            <w:r w:rsidRPr="00FD50F6">
              <w:t>填料类别</w:t>
            </w:r>
          </w:p>
        </w:tc>
        <w:tc>
          <w:tcPr>
            <w:tcW w:w="379" w:type="pct"/>
            <w:tcMar>
              <w:left w:w="0" w:type="dxa"/>
              <w:right w:w="0" w:type="dxa"/>
            </w:tcMar>
            <w:vAlign w:val="center"/>
          </w:tcPr>
          <w:p w14:paraId="3C0DB496" w14:textId="77777777" w:rsidR="001E2468" w:rsidRPr="00FD50F6" w:rsidRDefault="001E2468" w:rsidP="000831EC">
            <w:pPr>
              <w:pStyle w:val="7"/>
            </w:pPr>
            <w:r w:rsidRPr="00FD50F6">
              <w:t>压实系数</w:t>
            </w:r>
            <w:r w:rsidRPr="001A4CF3">
              <w:rPr>
                <w:i/>
                <w:iCs/>
              </w:rPr>
              <w:t>K</w:t>
            </w:r>
          </w:p>
        </w:tc>
        <w:tc>
          <w:tcPr>
            <w:tcW w:w="675" w:type="pct"/>
            <w:tcMar>
              <w:left w:w="0" w:type="dxa"/>
              <w:right w:w="0" w:type="dxa"/>
            </w:tcMar>
            <w:vAlign w:val="center"/>
          </w:tcPr>
          <w:p w14:paraId="74D5A60C" w14:textId="77777777" w:rsidR="001E2468" w:rsidRPr="00FD50F6" w:rsidRDefault="001E2468" w:rsidP="000831EC">
            <w:pPr>
              <w:pStyle w:val="7"/>
            </w:pPr>
            <w:r w:rsidRPr="00FD50F6">
              <w:rPr>
                <w:kern w:val="0"/>
              </w:rPr>
              <w:t>地基系数</w:t>
            </w:r>
            <w:r w:rsidRPr="001A4CF3">
              <w:rPr>
                <w:i/>
                <w:iCs/>
                <w:kern w:val="0"/>
              </w:rPr>
              <w:t>K</w:t>
            </w:r>
            <w:r w:rsidRPr="00FD50F6">
              <w:rPr>
                <w:kern w:val="0"/>
                <w:vertAlign w:val="subscript"/>
              </w:rPr>
              <w:t>30</w:t>
            </w:r>
            <w:r w:rsidRPr="00FD50F6">
              <w:rPr>
                <w:kern w:val="0"/>
              </w:rPr>
              <w:t>（</w:t>
            </w:r>
            <w:r w:rsidRPr="00FD50F6">
              <w:rPr>
                <w:kern w:val="0"/>
              </w:rPr>
              <w:t>MPa/m</w:t>
            </w:r>
            <w:r w:rsidRPr="00FD50F6">
              <w:rPr>
                <w:kern w:val="0"/>
              </w:rPr>
              <w:t>）</w:t>
            </w:r>
          </w:p>
        </w:tc>
        <w:tc>
          <w:tcPr>
            <w:tcW w:w="581" w:type="pct"/>
            <w:tcMar>
              <w:left w:w="0" w:type="dxa"/>
              <w:right w:w="0" w:type="dxa"/>
            </w:tcMar>
            <w:vAlign w:val="center"/>
          </w:tcPr>
          <w:p w14:paraId="4350061B" w14:textId="77777777" w:rsidR="001E2468" w:rsidRPr="00FD50F6" w:rsidRDefault="001E2468" w:rsidP="000831EC">
            <w:pPr>
              <w:pStyle w:val="7"/>
              <w:rPr>
                <w:kern w:val="0"/>
              </w:rPr>
            </w:pPr>
            <w:r w:rsidRPr="00FD50F6">
              <w:rPr>
                <w:kern w:val="0"/>
              </w:rPr>
              <w:t>7d</w:t>
            </w:r>
            <w:r w:rsidRPr="00FD50F6">
              <w:rPr>
                <w:kern w:val="0"/>
              </w:rPr>
              <w:t>饱和无侧限抗压强度（</w:t>
            </w:r>
            <w:r w:rsidRPr="00FD50F6">
              <w:rPr>
                <w:kern w:val="0"/>
              </w:rPr>
              <w:t>kPa</w:t>
            </w:r>
            <w:r w:rsidRPr="00FD50F6">
              <w:rPr>
                <w:kern w:val="0"/>
              </w:rPr>
              <w:t>）</w:t>
            </w:r>
          </w:p>
        </w:tc>
        <w:tc>
          <w:tcPr>
            <w:tcW w:w="709" w:type="pct"/>
          </w:tcPr>
          <w:p w14:paraId="70071B70" w14:textId="77777777" w:rsidR="001E2468" w:rsidRPr="00FD50F6" w:rsidRDefault="001E2468" w:rsidP="000831EC">
            <w:pPr>
              <w:pStyle w:val="7"/>
              <w:rPr>
                <w:kern w:val="0"/>
              </w:rPr>
            </w:pPr>
            <w:r w:rsidRPr="00FD50F6">
              <w:rPr>
                <w:rFonts w:hint="eastAsia"/>
                <w:kern w:val="0"/>
              </w:rPr>
              <w:t>动态变形模量</w:t>
            </w:r>
            <w:r w:rsidRPr="001A4CF3">
              <w:rPr>
                <w:i/>
                <w:iCs/>
                <w:kern w:val="0"/>
              </w:rPr>
              <w:t>E</w:t>
            </w:r>
            <w:r w:rsidRPr="001A4CF3">
              <w:rPr>
                <w:i/>
                <w:iCs/>
                <w:kern w:val="0"/>
                <w:vertAlign w:val="subscript"/>
              </w:rPr>
              <w:t>vd</w:t>
            </w:r>
          </w:p>
          <w:p w14:paraId="5BB48B86" w14:textId="77777777" w:rsidR="001E2468" w:rsidRPr="00FD50F6" w:rsidRDefault="001E2468" w:rsidP="000831EC">
            <w:pPr>
              <w:pStyle w:val="7"/>
              <w:rPr>
                <w:kern w:val="0"/>
              </w:rPr>
            </w:pPr>
            <w:r w:rsidRPr="00FD50F6">
              <w:rPr>
                <w:kern w:val="0"/>
              </w:rPr>
              <w:t>（</w:t>
            </w:r>
            <w:r w:rsidRPr="00FD50F6">
              <w:rPr>
                <w:kern w:val="0"/>
              </w:rPr>
              <w:t>MPa</w:t>
            </w:r>
            <w:r w:rsidRPr="00FD50F6">
              <w:rPr>
                <w:kern w:val="0"/>
              </w:rPr>
              <w:t>）</w:t>
            </w:r>
          </w:p>
        </w:tc>
      </w:tr>
      <w:tr w:rsidR="00FD50F6" w:rsidRPr="00FD50F6" w14:paraId="30B25F92" w14:textId="77777777" w:rsidTr="00585A3F">
        <w:trPr>
          <w:trHeight w:val="177"/>
          <w:jc w:val="center"/>
        </w:trPr>
        <w:tc>
          <w:tcPr>
            <w:tcW w:w="205" w:type="pct"/>
            <w:vMerge w:val="restart"/>
            <w:tcMar>
              <w:left w:w="0" w:type="dxa"/>
              <w:right w:w="0" w:type="dxa"/>
            </w:tcMar>
            <w:vAlign w:val="center"/>
          </w:tcPr>
          <w:p w14:paraId="5E82A2AB" w14:textId="77777777" w:rsidR="001E2468" w:rsidRPr="00FD50F6" w:rsidRDefault="001E2468" w:rsidP="000831EC">
            <w:pPr>
              <w:pStyle w:val="7"/>
            </w:pPr>
            <w:r w:rsidRPr="00FD50F6">
              <w:t>有砟道</w:t>
            </w:r>
          </w:p>
          <w:p w14:paraId="54A77561" w14:textId="77777777" w:rsidR="001E2468" w:rsidRPr="00FD50F6" w:rsidRDefault="001E2468" w:rsidP="000831EC">
            <w:pPr>
              <w:pStyle w:val="7"/>
            </w:pPr>
            <w:r w:rsidRPr="00FD50F6">
              <w:rPr>
                <w:rFonts w:hint="eastAsia"/>
              </w:rPr>
              <w:t>床</w:t>
            </w:r>
          </w:p>
        </w:tc>
        <w:tc>
          <w:tcPr>
            <w:tcW w:w="175" w:type="pct"/>
            <w:vMerge w:val="restart"/>
            <w:tcMar>
              <w:left w:w="0" w:type="dxa"/>
              <w:right w:w="0" w:type="dxa"/>
            </w:tcMar>
            <w:vAlign w:val="center"/>
          </w:tcPr>
          <w:p w14:paraId="374EDC5C" w14:textId="77777777" w:rsidR="001E2468" w:rsidRPr="00FD50F6" w:rsidRDefault="001E2468" w:rsidP="000831EC">
            <w:pPr>
              <w:pStyle w:val="7"/>
            </w:pPr>
            <w:r w:rsidRPr="00FD50F6">
              <w:t>表层</w:t>
            </w:r>
          </w:p>
        </w:tc>
        <w:tc>
          <w:tcPr>
            <w:tcW w:w="379" w:type="pct"/>
            <w:vMerge w:val="restart"/>
            <w:tcMar>
              <w:left w:w="0" w:type="dxa"/>
              <w:right w:w="0" w:type="dxa"/>
            </w:tcMar>
            <w:vAlign w:val="center"/>
          </w:tcPr>
          <w:p w14:paraId="67689242" w14:textId="77777777" w:rsidR="001E2468" w:rsidRPr="00FD50F6" w:rsidRDefault="001E2468" w:rsidP="000831EC">
            <w:pPr>
              <w:pStyle w:val="7"/>
            </w:pPr>
            <w:r w:rsidRPr="00FD50F6">
              <w:t>1</w:t>
            </w:r>
            <w:r w:rsidRPr="00FD50F6">
              <w:rPr>
                <w:rFonts w:hint="eastAsia"/>
              </w:rPr>
              <w:t>0</w:t>
            </w:r>
            <w:r w:rsidRPr="00FD50F6">
              <w:t>0</w:t>
            </w:r>
          </w:p>
        </w:tc>
        <w:tc>
          <w:tcPr>
            <w:tcW w:w="648" w:type="pct"/>
            <w:gridSpan w:val="2"/>
            <w:vMerge w:val="restart"/>
            <w:tcMar>
              <w:left w:w="0" w:type="dxa"/>
              <w:right w:w="0" w:type="dxa"/>
            </w:tcMar>
            <w:vAlign w:val="center"/>
          </w:tcPr>
          <w:p w14:paraId="31BFC9D7" w14:textId="77777777" w:rsidR="001E2468" w:rsidRPr="00FD50F6" w:rsidRDefault="001E2468" w:rsidP="000831EC">
            <w:pPr>
              <w:pStyle w:val="7"/>
              <w:rPr>
                <w:kern w:val="0"/>
              </w:rPr>
            </w:pPr>
            <w:r w:rsidRPr="00FD50F6">
              <w:rPr>
                <w:kern w:val="0"/>
              </w:rPr>
              <w:t>A</w:t>
            </w:r>
            <w:r w:rsidRPr="00FD50F6">
              <w:rPr>
                <w:kern w:val="0"/>
              </w:rPr>
              <w:t>、</w:t>
            </w:r>
            <w:r w:rsidRPr="00FD50F6">
              <w:rPr>
                <w:kern w:val="0"/>
              </w:rPr>
              <w:t>B</w:t>
            </w:r>
            <w:r w:rsidRPr="00FD50F6">
              <w:rPr>
                <w:kern w:val="0"/>
              </w:rPr>
              <w:t>组</w:t>
            </w:r>
          </w:p>
        </w:tc>
        <w:tc>
          <w:tcPr>
            <w:tcW w:w="1247" w:type="pct"/>
            <w:gridSpan w:val="2"/>
            <w:tcMar>
              <w:left w:w="0" w:type="dxa"/>
              <w:right w:w="0" w:type="dxa"/>
            </w:tcMar>
            <w:vAlign w:val="center"/>
          </w:tcPr>
          <w:p w14:paraId="25AF0B1C" w14:textId="77777777" w:rsidR="001E2468" w:rsidRPr="00FD50F6" w:rsidRDefault="001E2468" w:rsidP="000831EC">
            <w:pPr>
              <w:pStyle w:val="7"/>
              <w:rPr>
                <w:kern w:val="0"/>
              </w:rPr>
            </w:pPr>
            <w:r w:rsidRPr="00FD50F6">
              <w:rPr>
                <w:kern w:val="0"/>
              </w:rPr>
              <w:t>砾石类、碎石类</w:t>
            </w:r>
          </w:p>
        </w:tc>
        <w:tc>
          <w:tcPr>
            <w:tcW w:w="379" w:type="pct"/>
            <w:tcMar>
              <w:left w:w="0" w:type="dxa"/>
              <w:right w:w="0" w:type="dxa"/>
            </w:tcMar>
            <w:vAlign w:val="center"/>
          </w:tcPr>
          <w:p w14:paraId="4749E805" w14:textId="77777777" w:rsidR="001E2468" w:rsidRPr="00FD50F6" w:rsidRDefault="001E2468" w:rsidP="000831EC">
            <w:pPr>
              <w:pStyle w:val="7"/>
            </w:pPr>
            <w:r w:rsidRPr="00FD50F6">
              <w:t>≥0.95</w:t>
            </w:r>
          </w:p>
        </w:tc>
        <w:tc>
          <w:tcPr>
            <w:tcW w:w="675" w:type="pct"/>
            <w:tcMar>
              <w:left w:w="0" w:type="dxa"/>
              <w:right w:w="0" w:type="dxa"/>
            </w:tcMar>
            <w:vAlign w:val="center"/>
          </w:tcPr>
          <w:p w14:paraId="7956E027" w14:textId="77777777" w:rsidR="001E2468" w:rsidRPr="00FD50F6" w:rsidRDefault="001E2468" w:rsidP="000831EC">
            <w:pPr>
              <w:pStyle w:val="7"/>
            </w:pPr>
            <w:r w:rsidRPr="00FD50F6">
              <w:t>≥150</w:t>
            </w:r>
          </w:p>
        </w:tc>
        <w:tc>
          <w:tcPr>
            <w:tcW w:w="581" w:type="pct"/>
            <w:tcMar>
              <w:left w:w="0" w:type="dxa"/>
              <w:right w:w="0" w:type="dxa"/>
            </w:tcMar>
            <w:vAlign w:val="center"/>
          </w:tcPr>
          <w:p w14:paraId="14E23E4B" w14:textId="77777777" w:rsidR="001E2468" w:rsidRPr="00FD50F6" w:rsidRDefault="001E2468" w:rsidP="000831EC">
            <w:pPr>
              <w:pStyle w:val="7"/>
            </w:pPr>
            <w:r w:rsidRPr="00FD50F6">
              <w:t>-</w:t>
            </w:r>
          </w:p>
        </w:tc>
        <w:tc>
          <w:tcPr>
            <w:tcW w:w="709" w:type="pct"/>
          </w:tcPr>
          <w:p w14:paraId="467C7C1E" w14:textId="77777777" w:rsidR="001E2468" w:rsidRPr="00FD50F6" w:rsidRDefault="001E2468" w:rsidP="000831EC">
            <w:pPr>
              <w:pStyle w:val="7"/>
            </w:pPr>
            <w:r w:rsidRPr="00FD50F6">
              <w:t>-</w:t>
            </w:r>
          </w:p>
        </w:tc>
      </w:tr>
      <w:tr w:rsidR="00FD50F6" w:rsidRPr="00FD50F6" w14:paraId="05CF0603" w14:textId="77777777" w:rsidTr="00585A3F">
        <w:trPr>
          <w:trHeight w:val="318"/>
          <w:jc w:val="center"/>
        </w:trPr>
        <w:tc>
          <w:tcPr>
            <w:tcW w:w="205" w:type="pct"/>
            <w:vMerge/>
            <w:tcMar>
              <w:left w:w="0" w:type="dxa"/>
              <w:right w:w="0" w:type="dxa"/>
            </w:tcMar>
            <w:vAlign w:val="center"/>
          </w:tcPr>
          <w:p w14:paraId="46092141" w14:textId="77777777" w:rsidR="001E2468" w:rsidRPr="00FD50F6" w:rsidRDefault="001E2468" w:rsidP="000831EC">
            <w:pPr>
              <w:pStyle w:val="7"/>
            </w:pPr>
          </w:p>
        </w:tc>
        <w:tc>
          <w:tcPr>
            <w:tcW w:w="175" w:type="pct"/>
            <w:vMerge/>
            <w:tcMar>
              <w:left w:w="0" w:type="dxa"/>
              <w:right w:w="0" w:type="dxa"/>
            </w:tcMar>
            <w:vAlign w:val="center"/>
          </w:tcPr>
          <w:p w14:paraId="674DA3CF" w14:textId="77777777" w:rsidR="001E2468" w:rsidRPr="00FD50F6" w:rsidRDefault="001E2468" w:rsidP="000831EC">
            <w:pPr>
              <w:pStyle w:val="7"/>
            </w:pPr>
          </w:p>
        </w:tc>
        <w:tc>
          <w:tcPr>
            <w:tcW w:w="379" w:type="pct"/>
            <w:vMerge/>
            <w:tcMar>
              <w:left w:w="0" w:type="dxa"/>
              <w:right w:w="0" w:type="dxa"/>
            </w:tcMar>
            <w:vAlign w:val="center"/>
          </w:tcPr>
          <w:p w14:paraId="28923D4D" w14:textId="77777777" w:rsidR="001E2468" w:rsidRPr="00FD50F6" w:rsidRDefault="001E2468" w:rsidP="000831EC">
            <w:pPr>
              <w:pStyle w:val="7"/>
            </w:pPr>
          </w:p>
        </w:tc>
        <w:tc>
          <w:tcPr>
            <w:tcW w:w="648" w:type="pct"/>
            <w:gridSpan w:val="2"/>
            <w:vMerge/>
            <w:tcMar>
              <w:left w:w="0" w:type="dxa"/>
              <w:right w:w="0" w:type="dxa"/>
            </w:tcMar>
            <w:vAlign w:val="center"/>
          </w:tcPr>
          <w:p w14:paraId="0D468B8B" w14:textId="77777777" w:rsidR="001E2468" w:rsidRPr="00FD50F6" w:rsidRDefault="001E2468" w:rsidP="000831EC">
            <w:pPr>
              <w:pStyle w:val="7"/>
              <w:rPr>
                <w:kern w:val="0"/>
              </w:rPr>
            </w:pPr>
          </w:p>
        </w:tc>
        <w:tc>
          <w:tcPr>
            <w:tcW w:w="1247" w:type="pct"/>
            <w:gridSpan w:val="2"/>
            <w:tcMar>
              <w:left w:w="0" w:type="dxa"/>
              <w:right w:w="0" w:type="dxa"/>
            </w:tcMar>
            <w:vAlign w:val="center"/>
          </w:tcPr>
          <w:p w14:paraId="6663FB6E" w14:textId="77777777" w:rsidR="001E2468" w:rsidRPr="00FD50F6" w:rsidRDefault="001E2468" w:rsidP="000831EC">
            <w:pPr>
              <w:pStyle w:val="7"/>
              <w:rPr>
                <w:kern w:val="0"/>
              </w:rPr>
            </w:pPr>
            <w:r w:rsidRPr="00FD50F6">
              <w:rPr>
                <w:kern w:val="0"/>
              </w:rPr>
              <w:t>砂类土（粉细砂除外）</w:t>
            </w:r>
          </w:p>
        </w:tc>
        <w:tc>
          <w:tcPr>
            <w:tcW w:w="379" w:type="pct"/>
            <w:tcMar>
              <w:left w:w="0" w:type="dxa"/>
              <w:right w:w="0" w:type="dxa"/>
            </w:tcMar>
            <w:vAlign w:val="center"/>
          </w:tcPr>
          <w:p w14:paraId="24B1A40C" w14:textId="77777777" w:rsidR="001E2468" w:rsidRPr="00FD50F6" w:rsidRDefault="001E2468" w:rsidP="000831EC">
            <w:pPr>
              <w:pStyle w:val="7"/>
            </w:pPr>
            <w:r w:rsidRPr="00FD50F6">
              <w:t>≥0.95</w:t>
            </w:r>
          </w:p>
        </w:tc>
        <w:tc>
          <w:tcPr>
            <w:tcW w:w="675" w:type="pct"/>
            <w:tcMar>
              <w:left w:w="0" w:type="dxa"/>
              <w:right w:w="0" w:type="dxa"/>
            </w:tcMar>
            <w:vAlign w:val="center"/>
          </w:tcPr>
          <w:p w14:paraId="4DEF2837" w14:textId="77777777" w:rsidR="001E2468" w:rsidRPr="00FD50F6" w:rsidRDefault="001E2468" w:rsidP="000831EC">
            <w:pPr>
              <w:pStyle w:val="7"/>
            </w:pPr>
            <w:r w:rsidRPr="00FD50F6">
              <w:t>≥110</w:t>
            </w:r>
          </w:p>
        </w:tc>
        <w:tc>
          <w:tcPr>
            <w:tcW w:w="581" w:type="pct"/>
            <w:tcMar>
              <w:left w:w="0" w:type="dxa"/>
              <w:right w:w="0" w:type="dxa"/>
            </w:tcMar>
            <w:vAlign w:val="center"/>
          </w:tcPr>
          <w:p w14:paraId="6AE6A73C" w14:textId="77777777" w:rsidR="001E2468" w:rsidRPr="00FD50F6" w:rsidRDefault="001E2468" w:rsidP="000831EC">
            <w:pPr>
              <w:pStyle w:val="7"/>
            </w:pPr>
            <w:r w:rsidRPr="00FD50F6">
              <w:t>-</w:t>
            </w:r>
          </w:p>
        </w:tc>
        <w:tc>
          <w:tcPr>
            <w:tcW w:w="709" w:type="pct"/>
          </w:tcPr>
          <w:p w14:paraId="2DAAA029" w14:textId="77777777" w:rsidR="001E2468" w:rsidRPr="00FD50F6" w:rsidRDefault="001E2468" w:rsidP="000831EC">
            <w:pPr>
              <w:pStyle w:val="7"/>
            </w:pPr>
            <w:r w:rsidRPr="00FD50F6">
              <w:t>-</w:t>
            </w:r>
          </w:p>
        </w:tc>
      </w:tr>
      <w:tr w:rsidR="00FD50F6" w:rsidRPr="00FD50F6" w14:paraId="7E9F7204" w14:textId="77777777" w:rsidTr="00585A3F">
        <w:trPr>
          <w:trHeight w:val="239"/>
          <w:jc w:val="center"/>
        </w:trPr>
        <w:tc>
          <w:tcPr>
            <w:tcW w:w="205" w:type="pct"/>
            <w:vMerge/>
            <w:tcMar>
              <w:left w:w="0" w:type="dxa"/>
              <w:right w:w="0" w:type="dxa"/>
            </w:tcMar>
            <w:vAlign w:val="center"/>
          </w:tcPr>
          <w:p w14:paraId="72264EA5" w14:textId="77777777" w:rsidR="001E2468" w:rsidRPr="00FD50F6" w:rsidRDefault="001E2468" w:rsidP="000831EC">
            <w:pPr>
              <w:pStyle w:val="7"/>
            </w:pPr>
          </w:p>
        </w:tc>
        <w:tc>
          <w:tcPr>
            <w:tcW w:w="175" w:type="pct"/>
            <w:vMerge/>
            <w:tcMar>
              <w:left w:w="0" w:type="dxa"/>
              <w:right w:w="0" w:type="dxa"/>
            </w:tcMar>
            <w:vAlign w:val="center"/>
          </w:tcPr>
          <w:p w14:paraId="42A3FA91" w14:textId="77777777" w:rsidR="001E2468" w:rsidRPr="00FD50F6" w:rsidRDefault="001E2468" w:rsidP="000831EC">
            <w:pPr>
              <w:pStyle w:val="7"/>
            </w:pPr>
          </w:p>
        </w:tc>
        <w:tc>
          <w:tcPr>
            <w:tcW w:w="379" w:type="pct"/>
            <w:vMerge/>
            <w:tcMar>
              <w:left w:w="0" w:type="dxa"/>
              <w:right w:w="0" w:type="dxa"/>
            </w:tcMar>
            <w:vAlign w:val="center"/>
          </w:tcPr>
          <w:p w14:paraId="27D05270" w14:textId="77777777" w:rsidR="001E2468" w:rsidRPr="00FD50F6" w:rsidRDefault="001E2468" w:rsidP="000831EC">
            <w:pPr>
              <w:pStyle w:val="7"/>
            </w:pPr>
          </w:p>
        </w:tc>
        <w:tc>
          <w:tcPr>
            <w:tcW w:w="1895" w:type="pct"/>
            <w:gridSpan w:val="4"/>
            <w:tcMar>
              <w:left w:w="0" w:type="dxa"/>
              <w:right w:w="0" w:type="dxa"/>
            </w:tcMar>
            <w:vAlign w:val="center"/>
          </w:tcPr>
          <w:p w14:paraId="7DF74A48" w14:textId="77777777" w:rsidR="001E2468" w:rsidRPr="00FD50F6" w:rsidRDefault="001E2468" w:rsidP="000831EC">
            <w:pPr>
              <w:pStyle w:val="7"/>
              <w:rPr>
                <w:kern w:val="0"/>
              </w:rPr>
            </w:pPr>
            <w:r w:rsidRPr="00FD50F6">
              <w:rPr>
                <w:kern w:val="0"/>
              </w:rPr>
              <w:t>化学改良土</w:t>
            </w:r>
          </w:p>
        </w:tc>
        <w:tc>
          <w:tcPr>
            <w:tcW w:w="379" w:type="pct"/>
            <w:tcMar>
              <w:left w:w="0" w:type="dxa"/>
              <w:right w:w="0" w:type="dxa"/>
            </w:tcMar>
            <w:vAlign w:val="center"/>
          </w:tcPr>
          <w:p w14:paraId="12E9A3D2" w14:textId="77777777" w:rsidR="001E2468" w:rsidRPr="00FD50F6" w:rsidRDefault="001E2468" w:rsidP="000831EC">
            <w:pPr>
              <w:pStyle w:val="7"/>
            </w:pPr>
            <w:r w:rsidRPr="00FD50F6">
              <w:t>≥0.95</w:t>
            </w:r>
          </w:p>
        </w:tc>
        <w:tc>
          <w:tcPr>
            <w:tcW w:w="675" w:type="pct"/>
            <w:tcMar>
              <w:left w:w="0" w:type="dxa"/>
              <w:right w:w="0" w:type="dxa"/>
            </w:tcMar>
            <w:vAlign w:val="center"/>
          </w:tcPr>
          <w:p w14:paraId="283E65EA" w14:textId="77777777" w:rsidR="001E2468" w:rsidRPr="00FD50F6" w:rsidRDefault="001E2468" w:rsidP="000831EC">
            <w:pPr>
              <w:pStyle w:val="7"/>
            </w:pPr>
            <w:r w:rsidRPr="00FD50F6">
              <w:t>-</w:t>
            </w:r>
          </w:p>
        </w:tc>
        <w:tc>
          <w:tcPr>
            <w:tcW w:w="581" w:type="pct"/>
            <w:tcMar>
              <w:left w:w="0" w:type="dxa"/>
              <w:right w:w="0" w:type="dxa"/>
            </w:tcMar>
            <w:vAlign w:val="center"/>
          </w:tcPr>
          <w:p w14:paraId="7CD88571" w14:textId="77777777" w:rsidR="001E2468" w:rsidRPr="00FD50F6" w:rsidRDefault="001E2468" w:rsidP="000831EC">
            <w:pPr>
              <w:pStyle w:val="7"/>
            </w:pPr>
            <w:r w:rsidRPr="00FD50F6">
              <w:t>≥500</w:t>
            </w:r>
            <w:r w:rsidRPr="00FD50F6">
              <w:rPr>
                <w:rFonts w:hint="eastAsia"/>
              </w:rPr>
              <w:t>（</w:t>
            </w:r>
            <w:r w:rsidRPr="00FD50F6">
              <w:rPr>
                <w:rFonts w:hint="eastAsia"/>
              </w:rPr>
              <w:t>700</w:t>
            </w:r>
            <w:r w:rsidRPr="00FD50F6">
              <w:rPr>
                <w:rFonts w:hint="eastAsia"/>
              </w:rPr>
              <w:t>）</w:t>
            </w:r>
          </w:p>
        </w:tc>
        <w:tc>
          <w:tcPr>
            <w:tcW w:w="709" w:type="pct"/>
          </w:tcPr>
          <w:p w14:paraId="19842C2D" w14:textId="77777777" w:rsidR="001E2468" w:rsidRPr="00FD50F6" w:rsidRDefault="001E2468" w:rsidP="000831EC">
            <w:pPr>
              <w:pStyle w:val="7"/>
            </w:pPr>
            <w:r w:rsidRPr="00FD50F6">
              <w:t>-</w:t>
            </w:r>
          </w:p>
        </w:tc>
      </w:tr>
      <w:tr w:rsidR="00FD50F6" w:rsidRPr="00FD50F6" w14:paraId="37EA263A" w14:textId="77777777" w:rsidTr="00585A3F">
        <w:trPr>
          <w:trHeight w:val="221"/>
          <w:jc w:val="center"/>
        </w:trPr>
        <w:tc>
          <w:tcPr>
            <w:tcW w:w="205" w:type="pct"/>
            <w:vMerge/>
            <w:tcMar>
              <w:left w:w="0" w:type="dxa"/>
              <w:right w:w="0" w:type="dxa"/>
            </w:tcMar>
            <w:vAlign w:val="center"/>
          </w:tcPr>
          <w:p w14:paraId="45E60215" w14:textId="77777777" w:rsidR="001E2468" w:rsidRPr="00FD50F6" w:rsidRDefault="001E2468" w:rsidP="000831EC">
            <w:pPr>
              <w:pStyle w:val="7"/>
            </w:pPr>
          </w:p>
        </w:tc>
        <w:tc>
          <w:tcPr>
            <w:tcW w:w="175" w:type="pct"/>
            <w:vMerge w:val="restart"/>
            <w:tcMar>
              <w:left w:w="0" w:type="dxa"/>
              <w:right w:w="0" w:type="dxa"/>
            </w:tcMar>
            <w:vAlign w:val="center"/>
          </w:tcPr>
          <w:p w14:paraId="23EAB892" w14:textId="77777777" w:rsidR="001E2468" w:rsidRPr="00FD50F6" w:rsidRDefault="001E2468" w:rsidP="000831EC">
            <w:pPr>
              <w:pStyle w:val="7"/>
            </w:pPr>
            <w:r w:rsidRPr="00FD50F6">
              <w:t>底层</w:t>
            </w:r>
          </w:p>
        </w:tc>
        <w:tc>
          <w:tcPr>
            <w:tcW w:w="379" w:type="pct"/>
            <w:vMerge w:val="restart"/>
            <w:tcMar>
              <w:left w:w="0" w:type="dxa"/>
              <w:right w:w="0" w:type="dxa"/>
            </w:tcMar>
            <w:vAlign w:val="center"/>
          </w:tcPr>
          <w:p w14:paraId="7EB783D0" w14:textId="77777777" w:rsidR="001E2468" w:rsidRPr="00FD50F6" w:rsidRDefault="001E2468" w:rsidP="000831EC">
            <w:pPr>
              <w:pStyle w:val="7"/>
            </w:pPr>
            <w:r w:rsidRPr="00FD50F6">
              <w:t>200</w:t>
            </w:r>
          </w:p>
        </w:tc>
        <w:tc>
          <w:tcPr>
            <w:tcW w:w="652" w:type="pct"/>
            <w:gridSpan w:val="3"/>
            <w:vMerge w:val="restart"/>
            <w:tcMar>
              <w:left w:w="0" w:type="dxa"/>
              <w:right w:w="0" w:type="dxa"/>
            </w:tcMar>
            <w:vAlign w:val="center"/>
          </w:tcPr>
          <w:p w14:paraId="6148CD67" w14:textId="77777777" w:rsidR="001E2468" w:rsidRPr="00FD50F6" w:rsidRDefault="001E2468" w:rsidP="000831EC">
            <w:pPr>
              <w:pStyle w:val="7"/>
              <w:rPr>
                <w:kern w:val="0"/>
              </w:rPr>
            </w:pPr>
            <w:r w:rsidRPr="00FD50F6">
              <w:rPr>
                <w:kern w:val="0"/>
              </w:rPr>
              <w:t>A</w:t>
            </w:r>
            <w:r w:rsidRPr="00FD50F6">
              <w:rPr>
                <w:kern w:val="0"/>
              </w:rPr>
              <w:t>、</w:t>
            </w:r>
            <w:r w:rsidRPr="00FD50F6">
              <w:rPr>
                <w:kern w:val="0"/>
              </w:rPr>
              <w:t>B</w:t>
            </w:r>
            <w:r w:rsidRPr="00FD50F6">
              <w:rPr>
                <w:kern w:val="0"/>
              </w:rPr>
              <w:t>、</w:t>
            </w:r>
            <w:r w:rsidRPr="00FD50F6">
              <w:rPr>
                <w:kern w:val="0"/>
              </w:rPr>
              <w:t>C1</w:t>
            </w:r>
            <w:r w:rsidRPr="00FD50F6">
              <w:rPr>
                <w:kern w:val="0"/>
              </w:rPr>
              <w:t>、</w:t>
            </w:r>
            <w:r w:rsidRPr="00FD50F6">
              <w:rPr>
                <w:kern w:val="0"/>
              </w:rPr>
              <w:t>C2</w:t>
            </w:r>
            <w:r w:rsidRPr="00FD50F6">
              <w:rPr>
                <w:kern w:val="0"/>
              </w:rPr>
              <w:t>组</w:t>
            </w:r>
          </w:p>
        </w:tc>
        <w:tc>
          <w:tcPr>
            <w:tcW w:w="1243" w:type="pct"/>
            <w:tcMar>
              <w:left w:w="0" w:type="dxa"/>
              <w:right w:w="0" w:type="dxa"/>
            </w:tcMar>
            <w:vAlign w:val="center"/>
          </w:tcPr>
          <w:p w14:paraId="40FCD896" w14:textId="77777777" w:rsidR="001E2468" w:rsidRPr="00FD50F6" w:rsidRDefault="001E2468" w:rsidP="000831EC">
            <w:pPr>
              <w:pStyle w:val="7"/>
              <w:rPr>
                <w:kern w:val="0"/>
              </w:rPr>
            </w:pPr>
            <w:r w:rsidRPr="00FD50F6">
              <w:rPr>
                <w:kern w:val="0"/>
              </w:rPr>
              <w:t>砾石类、碎石类</w:t>
            </w:r>
          </w:p>
        </w:tc>
        <w:tc>
          <w:tcPr>
            <w:tcW w:w="379" w:type="pct"/>
            <w:tcMar>
              <w:left w:w="0" w:type="dxa"/>
              <w:right w:w="0" w:type="dxa"/>
            </w:tcMar>
            <w:vAlign w:val="center"/>
          </w:tcPr>
          <w:p w14:paraId="3F0DC91C" w14:textId="77777777" w:rsidR="001E2468" w:rsidRPr="00FD50F6" w:rsidRDefault="001E2468" w:rsidP="000831EC">
            <w:pPr>
              <w:pStyle w:val="7"/>
            </w:pPr>
            <w:r w:rsidRPr="00FD50F6">
              <w:t>≥0.93</w:t>
            </w:r>
          </w:p>
        </w:tc>
        <w:tc>
          <w:tcPr>
            <w:tcW w:w="675" w:type="pct"/>
            <w:tcMar>
              <w:left w:w="0" w:type="dxa"/>
              <w:right w:w="0" w:type="dxa"/>
            </w:tcMar>
            <w:vAlign w:val="center"/>
          </w:tcPr>
          <w:p w14:paraId="0EE9101D" w14:textId="77777777" w:rsidR="001E2468" w:rsidRPr="00FD50F6" w:rsidRDefault="001E2468" w:rsidP="000831EC">
            <w:pPr>
              <w:pStyle w:val="7"/>
            </w:pPr>
            <w:r w:rsidRPr="00FD50F6">
              <w:t>≥130</w:t>
            </w:r>
          </w:p>
        </w:tc>
        <w:tc>
          <w:tcPr>
            <w:tcW w:w="581" w:type="pct"/>
            <w:tcMar>
              <w:left w:w="0" w:type="dxa"/>
              <w:right w:w="0" w:type="dxa"/>
            </w:tcMar>
            <w:vAlign w:val="center"/>
          </w:tcPr>
          <w:p w14:paraId="1E1BF351" w14:textId="77777777" w:rsidR="001E2468" w:rsidRPr="00FD50F6" w:rsidRDefault="001E2468" w:rsidP="000831EC">
            <w:pPr>
              <w:pStyle w:val="7"/>
            </w:pPr>
            <w:r w:rsidRPr="00FD50F6">
              <w:t>-</w:t>
            </w:r>
          </w:p>
        </w:tc>
        <w:tc>
          <w:tcPr>
            <w:tcW w:w="709" w:type="pct"/>
          </w:tcPr>
          <w:p w14:paraId="3152288B" w14:textId="77777777" w:rsidR="001E2468" w:rsidRPr="00FD50F6" w:rsidRDefault="001E2468" w:rsidP="000831EC">
            <w:pPr>
              <w:pStyle w:val="7"/>
            </w:pPr>
            <w:r w:rsidRPr="00FD50F6">
              <w:t>-</w:t>
            </w:r>
          </w:p>
        </w:tc>
      </w:tr>
      <w:tr w:rsidR="00FD50F6" w:rsidRPr="00FD50F6" w14:paraId="74D84D28" w14:textId="77777777" w:rsidTr="00585A3F">
        <w:trPr>
          <w:trHeight w:val="344"/>
          <w:jc w:val="center"/>
        </w:trPr>
        <w:tc>
          <w:tcPr>
            <w:tcW w:w="205" w:type="pct"/>
            <w:vMerge/>
            <w:tcMar>
              <w:left w:w="0" w:type="dxa"/>
              <w:right w:w="0" w:type="dxa"/>
            </w:tcMar>
            <w:vAlign w:val="center"/>
          </w:tcPr>
          <w:p w14:paraId="2CC94EB8" w14:textId="77777777" w:rsidR="001E2468" w:rsidRPr="00FD50F6" w:rsidRDefault="001E2468" w:rsidP="000831EC">
            <w:pPr>
              <w:pStyle w:val="7"/>
            </w:pPr>
          </w:p>
        </w:tc>
        <w:tc>
          <w:tcPr>
            <w:tcW w:w="175" w:type="pct"/>
            <w:vMerge/>
            <w:tcMar>
              <w:left w:w="0" w:type="dxa"/>
              <w:right w:w="0" w:type="dxa"/>
            </w:tcMar>
            <w:vAlign w:val="center"/>
          </w:tcPr>
          <w:p w14:paraId="41DDC5E8" w14:textId="77777777" w:rsidR="001E2468" w:rsidRPr="00FD50F6" w:rsidRDefault="001E2468" w:rsidP="000831EC">
            <w:pPr>
              <w:pStyle w:val="7"/>
            </w:pPr>
          </w:p>
        </w:tc>
        <w:tc>
          <w:tcPr>
            <w:tcW w:w="379" w:type="pct"/>
            <w:vMerge/>
            <w:tcMar>
              <w:left w:w="0" w:type="dxa"/>
              <w:right w:w="0" w:type="dxa"/>
            </w:tcMar>
            <w:vAlign w:val="center"/>
          </w:tcPr>
          <w:p w14:paraId="73FE1FAF" w14:textId="77777777" w:rsidR="001E2468" w:rsidRPr="00FD50F6" w:rsidRDefault="001E2468" w:rsidP="000831EC">
            <w:pPr>
              <w:pStyle w:val="7"/>
            </w:pPr>
          </w:p>
        </w:tc>
        <w:tc>
          <w:tcPr>
            <w:tcW w:w="652" w:type="pct"/>
            <w:gridSpan w:val="3"/>
            <w:vMerge/>
            <w:tcMar>
              <w:left w:w="0" w:type="dxa"/>
              <w:right w:w="0" w:type="dxa"/>
            </w:tcMar>
            <w:vAlign w:val="center"/>
          </w:tcPr>
          <w:p w14:paraId="77126492" w14:textId="77777777" w:rsidR="001E2468" w:rsidRPr="00FD50F6" w:rsidRDefault="001E2468" w:rsidP="000831EC">
            <w:pPr>
              <w:pStyle w:val="7"/>
            </w:pPr>
          </w:p>
        </w:tc>
        <w:tc>
          <w:tcPr>
            <w:tcW w:w="1243" w:type="pct"/>
            <w:tcMar>
              <w:left w:w="0" w:type="dxa"/>
              <w:right w:w="0" w:type="dxa"/>
            </w:tcMar>
            <w:vAlign w:val="center"/>
          </w:tcPr>
          <w:p w14:paraId="17A939BD" w14:textId="77777777" w:rsidR="001E2468" w:rsidRPr="00FD50F6" w:rsidRDefault="001E2468" w:rsidP="000831EC">
            <w:pPr>
              <w:pStyle w:val="7"/>
              <w:rPr>
                <w:kern w:val="0"/>
              </w:rPr>
            </w:pPr>
            <w:r w:rsidRPr="00FD50F6">
              <w:rPr>
                <w:kern w:val="0"/>
              </w:rPr>
              <w:t>砂类土</w:t>
            </w:r>
            <w:r w:rsidRPr="00FD50F6">
              <w:rPr>
                <w:rFonts w:hint="eastAsia"/>
                <w:kern w:val="0"/>
              </w:rPr>
              <w:t>、细粒土</w:t>
            </w:r>
          </w:p>
        </w:tc>
        <w:tc>
          <w:tcPr>
            <w:tcW w:w="379" w:type="pct"/>
            <w:tcMar>
              <w:left w:w="0" w:type="dxa"/>
              <w:right w:w="0" w:type="dxa"/>
            </w:tcMar>
            <w:vAlign w:val="center"/>
          </w:tcPr>
          <w:p w14:paraId="5218D583" w14:textId="77777777" w:rsidR="001E2468" w:rsidRPr="00FD50F6" w:rsidRDefault="001E2468" w:rsidP="000831EC">
            <w:pPr>
              <w:pStyle w:val="7"/>
            </w:pPr>
            <w:r w:rsidRPr="00FD50F6">
              <w:t>≥0.93</w:t>
            </w:r>
          </w:p>
        </w:tc>
        <w:tc>
          <w:tcPr>
            <w:tcW w:w="675" w:type="pct"/>
            <w:tcMar>
              <w:left w:w="0" w:type="dxa"/>
              <w:right w:w="0" w:type="dxa"/>
            </w:tcMar>
            <w:vAlign w:val="center"/>
          </w:tcPr>
          <w:p w14:paraId="1DC3D1DE" w14:textId="77777777" w:rsidR="001E2468" w:rsidRPr="00FD50F6" w:rsidRDefault="001E2468" w:rsidP="000831EC">
            <w:pPr>
              <w:pStyle w:val="7"/>
            </w:pPr>
            <w:r w:rsidRPr="00FD50F6">
              <w:t>≥100</w:t>
            </w:r>
          </w:p>
        </w:tc>
        <w:tc>
          <w:tcPr>
            <w:tcW w:w="581" w:type="pct"/>
            <w:tcMar>
              <w:left w:w="0" w:type="dxa"/>
              <w:right w:w="0" w:type="dxa"/>
            </w:tcMar>
            <w:vAlign w:val="center"/>
          </w:tcPr>
          <w:p w14:paraId="7C56EBDD" w14:textId="77777777" w:rsidR="001E2468" w:rsidRPr="00FD50F6" w:rsidRDefault="001E2468" w:rsidP="000831EC">
            <w:pPr>
              <w:pStyle w:val="7"/>
            </w:pPr>
            <w:r w:rsidRPr="00FD50F6">
              <w:t>-</w:t>
            </w:r>
          </w:p>
        </w:tc>
        <w:tc>
          <w:tcPr>
            <w:tcW w:w="709" w:type="pct"/>
          </w:tcPr>
          <w:p w14:paraId="2DA382A9" w14:textId="77777777" w:rsidR="001E2468" w:rsidRPr="00FD50F6" w:rsidRDefault="001E2468" w:rsidP="000831EC">
            <w:pPr>
              <w:pStyle w:val="7"/>
            </w:pPr>
            <w:r w:rsidRPr="00FD50F6">
              <w:t>-</w:t>
            </w:r>
          </w:p>
        </w:tc>
      </w:tr>
      <w:tr w:rsidR="00FD50F6" w:rsidRPr="00FD50F6" w14:paraId="37442B6B" w14:textId="77777777" w:rsidTr="00585A3F">
        <w:trPr>
          <w:trHeight w:val="221"/>
          <w:jc w:val="center"/>
        </w:trPr>
        <w:tc>
          <w:tcPr>
            <w:tcW w:w="205" w:type="pct"/>
            <w:vMerge/>
            <w:tcMar>
              <w:left w:w="0" w:type="dxa"/>
              <w:right w:w="0" w:type="dxa"/>
            </w:tcMar>
            <w:vAlign w:val="center"/>
          </w:tcPr>
          <w:p w14:paraId="2914E77A" w14:textId="77777777" w:rsidR="001E2468" w:rsidRPr="00FD50F6" w:rsidRDefault="001E2468" w:rsidP="000831EC">
            <w:pPr>
              <w:pStyle w:val="7"/>
            </w:pPr>
          </w:p>
        </w:tc>
        <w:tc>
          <w:tcPr>
            <w:tcW w:w="175" w:type="pct"/>
            <w:vMerge/>
            <w:tcMar>
              <w:left w:w="0" w:type="dxa"/>
              <w:right w:w="0" w:type="dxa"/>
            </w:tcMar>
            <w:vAlign w:val="center"/>
          </w:tcPr>
          <w:p w14:paraId="2200F52F" w14:textId="77777777" w:rsidR="001E2468" w:rsidRPr="00FD50F6" w:rsidRDefault="001E2468" w:rsidP="000831EC">
            <w:pPr>
              <w:pStyle w:val="7"/>
            </w:pPr>
          </w:p>
        </w:tc>
        <w:tc>
          <w:tcPr>
            <w:tcW w:w="379" w:type="pct"/>
            <w:vMerge/>
            <w:tcMar>
              <w:left w:w="0" w:type="dxa"/>
              <w:right w:w="0" w:type="dxa"/>
            </w:tcMar>
            <w:vAlign w:val="center"/>
          </w:tcPr>
          <w:p w14:paraId="19CAD8F4" w14:textId="77777777" w:rsidR="001E2468" w:rsidRPr="00FD50F6" w:rsidRDefault="001E2468" w:rsidP="000831EC">
            <w:pPr>
              <w:pStyle w:val="7"/>
            </w:pPr>
          </w:p>
        </w:tc>
        <w:tc>
          <w:tcPr>
            <w:tcW w:w="1895" w:type="pct"/>
            <w:gridSpan w:val="4"/>
            <w:tcMar>
              <w:left w:w="0" w:type="dxa"/>
              <w:right w:w="0" w:type="dxa"/>
            </w:tcMar>
            <w:vAlign w:val="center"/>
          </w:tcPr>
          <w:p w14:paraId="15F1CA0E" w14:textId="77777777" w:rsidR="001E2468" w:rsidRPr="00FD50F6" w:rsidRDefault="001E2468" w:rsidP="000831EC">
            <w:pPr>
              <w:pStyle w:val="7"/>
              <w:rPr>
                <w:kern w:val="0"/>
              </w:rPr>
            </w:pPr>
            <w:r w:rsidRPr="00FD50F6">
              <w:rPr>
                <w:kern w:val="0"/>
              </w:rPr>
              <w:t>化学改良土</w:t>
            </w:r>
          </w:p>
        </w:tc>
        <w:tc>
          <w:tcPr>
            <w:tcW w:w="379" w:type="pct"/>
            <w:tcMar>
              <w:left w:w="0" w:type="dxa"/>
              <w:right w:w="0" w:type="dxa"/>
            </w:tcMar>
            <w:vAlign w:val="center"/>
          </w:tcPr>
          <w:p w14:paraId="77E14483" w14:textId="77777777" w:rsidR="001E2468" w:rsidRPr="00FD50F6" w:rsidRDefault="001E2468" w:rsidP="000831EC">
            <w:pPr>
              <w:pStyle w:val="7"/>
            </w:pPr>
            <w:r w:rsidRPr="00FD50F6">
              <w:t>≥0.93</w:t>
            </w:r>
          </w:p>
        </w:tc>
        <w:tc>
          <w:tcPr>
            <w:tcW w:w="675" w:type="pct"/>
            <w:tcMar>
              <w:left w:w="0" w:type="dxa"/>
              <w:right w:w="0" w:type="dxa"/>
            </w:tcMar>
            <w:vAlign w:val="center"/>
          </w:tcPr>
          <w:p w14:paraId="180E5618" w14:textId="77777777" w:rsidR="001E2468" w:rsidRPr="00FD50F6" w:rsidRDefault="001E2468" w:rsidP="000831EC">
            <w:pPr>
              <w:pStyle w:val="7"/>
            </w:pPr>
            <w:r w:rsidRPr="00FD50F6">
              <w:t>-</w:t>
            </w:r>
          </w:p>
        </w:tc>
        <w:tc>
          <w:tcPr>
            <w:tcW w:w="581" w:type="pct"/>
            <w:tcMar>
              <w:left w:w="0" w:type="dxa"/>
              <w:right w:w="0" w:type="dxa"/>
            </w:tcMar>
            <w:vAlign w:val="center"/>
          </w:tcPr>
          <w:p w14:paraId="79099DF9" w14:textId="77777777" w:rsidR="001E2468" w:rsidRPr="00FD50F6" w:rsidRDefault="001E2468" w:rsidP="000831EC">
            <w:pPr>
              <w:pStyle w:val="7"/>
            </w:pPr>
            <w:r w:rsidRPr="00FD50F6">
              <w:t>≥350</w:t>
            </w:r>
            <w:r w:rsidRPr="00FD50F6">
              <w:rPr>
                <w:rFonts w:hint="eastAsia"/>
              </w:rPr>
              <w:t>（</w:t>
            </w:r>
            <w:r w:rsidRPr="00FD50F6">
              <w:rPr>
                <w:rFonts w:hint="eastAsia"/>
              </w:rPr>
              <w:t>550</w:t>
            </w:r>
            <w:r w:rsidRPr="00FD50F6">
              <w:rPr>
                <w:rFonts w:hint="eastAsia"/>
              </w:rPr>
              <w:t>）</w:t>
            </w:r>
          </w:p>
        </w:tc>
        <w:tc>
          <w:tcPr>
            <w:tcW w:w="709" w:type="pct"/>
          </w:tcPr>
          <w:p w14:paraId="00FE4FB3" w14:textId="77777777" w:rsidR="001E2468" w:rsidRPr="00FD50F6" w:rsidRDefault="001E2468" w:rsidP="000831EC">
            <w:pPr>
              <w:pStyle w:val="7"/>
            </w:pPr>
            <w:r w:rsidRPr="00FD50F6">
              <w:t>-</w:t>
            </w:r>
          </w:p>
        </w:tc>
      </w:tr>
      <w:tr w:rsidR="00FD50F6" w:rsidRPr="00FD50F6" w14:paraId="6B9C4DA8" w14:textId="77777777" w:rsidTr="00585A3F">
        <w:trPr>
          <w:trHeight w:val="752"/>
          <w:jc w:val="center"/>
        </w:trPr>
        <w:tc>
          <w:tcPr>
            <w:tcW w:w="205" w:type="pct"/>
            <w:vMerge w:val="restart"/>
            <w:tcMar>
              <w:left w:w="0" w:type="dxa"/>
              <w:right w:w="0" w:type="dxa"/>
            </w:tcMar>
            <w:vAlign w:val="center"/>
          </w:tcPr>
          <w:p w14:paraId="4D4273D9" w14:textId="77777777" w:rsidR="001E2468" w:rsidRPr="00FD50F6" w:rsidRDefault="001E2468" w:rsidP="000831EC">
            <w:pPr>
              <w:pStyle w:val="7"/>
            </w:pPr>
            <w:r w:rsidRPr="00FD50F6">
              <w:t>无砟道</w:t>
            </w:r>
          </w:p>
          <w:p w14:paraId="0963382F" w14:textId="77777777" w:rsidR="001E2468" w:rsidRPr="00FD50F6" w:rsidRDefault="001E2468" w:rsidP="000831EC">
            <w:pPr>
              <w:pStyle w:val="7"/>
            </w:pPr>
            <w:r w:rsidRPr="00FD50F6">
              <w:rPr>
                <w:rFonts w:hint="eastAsia"/>
              </w:rPr>
              <w:t>床</w:t>
            </w:r>
          </w:p>
        </w:tc>
        <w:tc>
          <w:tcPr>
            <w:tcW w:w="175" w:type="pct"/>
            <w:tcMar>
              <w:left w:w="0" w:type="dxa"/>
              <w:right w:w="0" w:type="dxa"/>
            </w:tcMar>
            <w:vAlign w:val="center"/>
          </w:tcPr>
          <w:p w14:paraId="3E6F0937" w14:textId="77777777" w:rsidR="001E2468" w:rsidRPr="00FD50F6" w:rsidRDefault="001E2468" w:rsidP="000831EC">
            <w:pPr>
              <w:pStyle w:val="7"/>
            </w:pPr>
            <w:r w:rsidRPr="00FD50F6">
              <w:t>表层</w:t>
            </w:r>
          </w:p>
        </w:tc>
        <w:tc>
          <w:tcPr>
            <w:tcW w:w="379" w:type="pct"/>
            <w:tcMar>
              <w:left w:w="0" w:type="dxa"/>
              <w:right w:w="0" w:type="dxa"/>
            </w:tcMar>
            <w:vAlign w:val="center"/>
          </w:tcPr>
          <w:p w14:paraId="44C147EA" w14:textId="77777777" w:rsidR="001E2468" w:rsidRPr="00FD50F6" w:rsidRDefault="001E2468" w:rsidP="000831EC">
            <w:pPr>
              <w:pStyle w:val="7"/>
            </w:pPr>
          </w:p>
        </w:tc>
        <w:tc>
          <w:tcPr>
            <w:tcW w:w="1895" w:type="pct"/>
            <w:gridSpan w:val="4"/>
            <w:tcMar>
              <w:left w:w="0" w:type="dxa"/>
              <w:right w:w="0" w:type="dxa"/>
            </w:tcMar>
            <w:vAlign w:val="center"/>
          </w:tcPr>
          <w:p w14:paraId="45F0BA0B" w14:textId="77777777" w:rsidR="001E2468" w:rsidRPr="00FD50F6" w:rsidRDefault="001E2468" w:rsidP="000831EC">
            <w:pPr>
              <w:pStyle w:val="7"/>
            </w:pPr>
            <w:r w:rsidRPr="00FD50F6">
              <w:t>级配碎石</w:t>
            </w:r>
          </w:p>
        </w:tc>
        <w:tc>
          <w:tcPr>
            <w:tcW w:w="379" w:type="pct"/>
            <w:tcMar>
              <w:left w:w="0" w:type="dxa"/>
              <w:right w:w="0" w:type="dxa"/>
            </w:tcMar>
            <w:vAlign w:val="center"/>
          </w:tcPr>
          <w:p w14:paraId="3F1E1043" w14:textId="77777777" w:rsidR="001E2468" w:rsidRPr="00FD50F6" w:rsidRDefault="001E2468" w:rsidP="000831EC">
            <w:pPr>
              <w:pStyle w:val="7"/>
              <w:rPr>
                <w:kern w:val="0"/>
              </w:rPr>
            </w:pPr>
            <w:r w:rsidRPr="00FD50F6">
              <w:rPr>
                <w:kern w:val="0"/>
              </w:rPr>
              <w:t>≥0.97</w:t>
            </w:r>
          </w:p>
        </w:tc>
        <w:tc>
          <w:tcPr>
            <w:tcW w:w="675" w:type="pct"/>
            <w:tcMar>
              <w:left w:w="0" w:type="dxa"/>
              <w:right w:w="0" w:type="dxa"/>
            </w:tcMar>
            <w:vAlign w:val="center"/>
          </w:tcPr>
          <w:p w14:paraId="7F62B320" w14:textId="77777777" w:rsidR="001E2468" w:rsidRPr="00FD50F6" w:rsidRDefault="001E2468" w:rsidP="000831EC">
            <w:pPr>
              <w:pStyle w:val="7"/>
              <w:rPr>
                <w:kern w:val="0"/>
              </w:rPr>
            </w:pPr>
            <w:r w:rsidRPr="00FD50F6">
              <w:rPr>
                <w:kern w:val="0"/>
              </w:rPr>
              <w:t>≥190</w:t>
            </w:r>
          </w:p>
        </w:tc>
        <w:tc>
          <w:tcPr>
            <w:tcW w:w="581" w:type="pct"/>
            <w:tcMar>
              <w:left w:w="0" w:type="dxa"/>
              <w:right w:w="0" w:type="dxa"/>
            </w:tcMar>
            <w:vAlign w:val="center"/>
          </w:tcPr>
          <w:p w14:paraId="087EDC32" w14:textId="77777777" w:rsidR="001E2468" w:rsidRPr="00FD50F6" w:rsidRDefault="001E2468" w:rsidP="000831EC">
            <w:pPr>
              <w:pStyle w:val="7"/>
            </w:pPr>
            <w:r w:rsidRPr="00FD50F6">
              <w:t>-</w:t>
            </w:r>
          </w:p>
        </w:tc>
        <w:tc>
          <w:tcPr>
            <w:tcW w:w="709" w:type="pct"/>
          </w:tcPr>
          <w:p w14:paraId="05D23087" w14:textId="77777777" w:rsidR="001E2468" w:rsidRPr="00FD50F6" w:rsidRDefault="001E2468" w:rsidP="000831EC">
            <w:pPr>
              <w:pStyle w:val="7"/>
            </w:pPr>
            <w:r w:rsidRPr="00FD50F6">
              <w:t>≥</w:t>
            </w:r>
            <w:r w:rsidRPr="00FD50F6">
              <w:rPr>
                <w:rFonts w:hint="eastAsia"/>
              </w:rPr>
              <w:t>55</w:t>
            </w:r>
          </w:p>
        </w:tc>
      </w:tr>
      <w:tr w:rsidR="00FD50F6" w:rsidRPr="00FD50F6" w14:paraId="43B1F9CE" w14:textId="77777777" w:rsidTr="00585A3F">
        <w:trPr>
          <w:trHeight w:val="265"/>
          <w:jc w:val="center"/>
        </w:trPr>
        <w:tc>
          <w:tcPr>
            <w:tcW w:w="205" w:type="pct"/>
            <w:vMerge/>
            <w:tcMar>
              <w:left w:w="0" w:type="dxa"/>
              <w:right w:w="0" w:type="dxa"/>
            </w:tcMar>
            <w:vAlign w:val="center"/>
          </w:tcPr>
          <w:p w14:paraId="665C2316" w14:textId="77777777" w:rsidR="001E2468" w:rsidRPr="00FD50F6" w:rsidRDefault="001E2468" w:rsidP="000831EC">
            <w:pPr>
              <w:pStyle w:val="7"/>
            </w:pPr>
          </w:p>
        </w:tc>
        <w:tc>
          <w:tcPr>
            <w:tcW w:w="175" w:type="pct"/>
            <w:vMerge w:val="restart"/>
            <w:tcMar>
              <w:left w:w="0" w:type="dxa"/>
              <w:right w:w="0" w:type="dxa"/>
            </w:tcMar>
            <w:vAlign w:val="center"/>
          </w:tcPr>
          <w:p w14:paraId="77BAE2F9" w14:textId="77777777" w:rsidR="001E2468" w:rsidRPr="00FD50F6" w:rsidRDefault="001E2468" w:rsidP="000831EC">
            <w:pPr>
              <w:pStyle w:val="7"/>
            </w:pPr>
            <w:r w:rsidRPr="00FD50F6">
              <w:t>底层</w:t>
            </w:r>
          </w:p>
        </w:tc>
        <w:tc>
          <w:tcPr>
            <w:tcW w:w="379" w:type="pct"/>
            <w:vMerge w:val="restart"/>
            <w:tcMar>
              <w:left w:w="0" w:type="dxa"/>
              <w:right w:w="0" w:type="dxa"/>
            </w:tcMar>
            <w:vAlign w:val="center"/>
          </w:tcPr>
          <w:p w14:paraId="57A25E72" w14:textId="77777777" w:rsidR="001E2468" w:rsidRPr="00FD50F6" w:rsidRDefault="001E2468" w:rsidP="000831EC">
            <w:pPr>
              <w:pStyle w:val="7"/>
            </w:pPr>
            <w:r w:rsidRPr="00FD50F6">
              <w:t>60</w:t>
            </w:r>
          </w:p>
        </w:tc>
        <w:tc>
          <w:tcPr>
            <w:tcW w:w="634" w:type="pct"/>
            <w:vMerge w:val="restart"/>
            <w:tcMar>
              <w:left w:w="0" w:type="dxa"/>
              <w:right w:w="0" w:type="dxa"/>
            </w:tcMar>
            <w:vAlign w:val="center"/>
          </w:tcPr>
          <w:p w14:paraId="0B0E1C26" w14:textId="77777777" w:rsidR="001E2468" w:rsidRPr="00FD50F6" w:rsidRDefault="001E2468" w:rsidP="000831EC">
            <w:pPr>
              <w:pStyle w:val="7"/>
              <w:rPr>
                <w:kern w:val="0"/>
              </w:rPr>
            </w:pPr>
            <w:r w:rsidRPr="00FD50F6">
              <w:rPr>
                <w:kern w:val="0"/>
              </w:rPr>
              <w:t>A</w:t>
            </w:r>
            <w:r w:rsidRPr="00FD50F6">
              <w:rPr>
                <w:kern w:val="0"/>
              </w:rPr>
              <w:t>、</w:t>
            </w:r>
            <w:r w:rsidRPr="00FD50F6">
              <w:rPr>
                <w:kern w:val="0"/>
              </w:rPr>
              <w:t>B</w:t>
            </w:r>
            <w:r w:rsidRPr="00FD50F6">
              <w:rPr>
                <w:kern w:val="0"/>
              </w:rPr>
              <w:t>组</w:t>
            </w:r>
          </w:p>
        </w:tc>
        <w:tc>
          <w:tcPr>
            <w:tcW w:w="1261" w:type="pct"/>
            <w:gridSpan w:val="3"/>
            <w:tcMar>
              <w:left w:w="0" w:type="dxa"/>
              <w:right w:w="0" w:type="dxa"/>
            </w:tcMar>
            <w:vAlign w:val="center"/>
          </w:tcPr>
          <w:p w14:paraId="375AA463" w14:textId="77777777" w:rsidR="001E2468" w:rsidRPr="00FD50F6" w:rsidRDefault="001E2468" w:rsidP="000831EC">
            <w:pPr>
              <w:pStyle w:val="7"/>
            </w:pPr>
            <w:r w:rsidRPr="00FD50F6">
              <w:t>粗砾土、碎石类</w:t>
            </w:r>
          </w:p>
        </w:tc>
        <w:tc>
          <w:tcPr>
            <w:tcW w:w="379" w:type="pct"/>
            <w:tcMar>
              <w:left w:w="0" w:type="dxa"/>
              <w:right w:w="0" w:type="dxa"/>
            </w:tcMar>
            <w:vAlign w:val="center"/>
          </w:tcPr>
          <w:p w14:paraId="2B6147DA" w14:textId="77777777" w:rsidR="001E2468" w:rsidRPr="00FD50F6" w:rsidRDefault="001E2468" w:rsidP="000831EC">
            <w:pPr>
              <w:pStyle w:val="7"/>
            </w:pPr>
            <w:r w:rsidRPr="00FD50F6">
              <w:t>≥0.95</w:t>
            </w:r>
          </w:p>
        </w:tc>
        <w:tc>
          <w:tcPr>
            <w:tcW w:w="675" w:type="pct"/>
            <w:tcMar>
              <w:left w:w="0" w:type="dxa"/>
              <w:right w:w="0" w:type="dxa"/>
            </w:tcMar>
            <w:vAlign w:val="center"/>
          </w:tcPr>
          <w:p w14:paraId="4E0E4086" w14:textId="77777777" w:rsidR="001E2468" w:rsidRPr="00FD50F6" w:rsidRDefault="001E2468" w:rsidP="000831EC">
            <w:pPr>
              <w:pStyle w:val="7"/>
            </w:pPr>
            <w:r w:rsidRPr="00FD50F6">
              <w:t>≥150</w:t>
            </w:r>
          </w:p>
        </w:tc>
        <w:tc>
          <w:tcPr>
            <w:tcW w:w="581" w:type="pct"/>
            <w:tcMar>
              <w:left w:w="0" w:type="dxa"/>
              <w:right w:w="0" w:type="dxa"/>
            </w:tcMar>
            <w:vAlign w:val="center"/>
          </w:tcPr>
          <w:p w14:paraId="13CE35B7" w14:textId="77777777" w:rsidR="001E2468" w:rsidRPr="00FD50F6" w:rsidRDefault="001E2468" w:rsidP="000831EC">
            <w:pPr>
              <w:pStyle w:val="7"/>
            </w:pPr>
            <w:r w:rsidRPr="00FD50F6">
              <w:t>-</w:t>
            </w:r>
          </w:p>
        </w:tc>
        <w:tc>
          <w:tcPr>
            <w:tcW w:w="709" w:type="pct"/>
          </w:tcPr>
          <w:p w14:paraId="68EF6992" w14:textId="77777777" w:rsidR="001E2468" w:rsidRPr="00FD50F6" w:rsidRDefault="001E2468" w:rsidP="000831EC">
            <w:pPr>
              <w:pStyle w:val="7"/>
            </w:pPr>
            <w:r w:rsidRPr="00FD50F6">
              <w:t>≥</w:t>
            </w:r>
            <w:r w:rsidRPr="00FD50F6">
              <w:rPr>
                <w:rFonts w:hint="eastAsia"/>
              </w:rPr>
              <w:t>40</w:t>
            </w:r>
          </w:p>
        </w:tc>
      </w:tr>
      <w:tr w:rsidR="00FD50F6" w:rsidRPr="00FD50F6" w14:paraId="3818FD3F" w14:textId="77777777" w:rsidTr="00585A3F">
        <w:trPr>
          <w:trHeight w:val="274"/>
          <w:jc w:val="center"/>
        </w:trPr>
        <w:tc>
          <w:tcPr>
            <w:tcW w:w="205" w:type="pct"/>
            <w:vMerge/>
            <w:tcMar>
              <w:left w:w="0" w:type="dxa"/>
              <w:right w:w="0" w:type="dxa"/>
            </w:tcMar>
            <w:vAlign w:val="center"/>
          </w:tcPr>
          <w:p w14:paraId="1DC91FAA" w14:textId="77777777" w:rsidR="001E2468" w:rsidRPr="00FD50F6" w:rsidRDefault="001E2468" w:rsidP="000831EC">
            <w:pPr>
              <w:pStyle w:val="7"/>
            </w:pPr>
          </w:p>
        </w:tc>
        <w:tc>
          <w:tcPr>
            <w:tcW w:w="175" w:type="pct"/>
            <w:vMerge/>
            <w:tcMar>
              <w:left w:w="0" w:type="dxa"/>
              <w:right w:w="0" w:type="dxa"/>
            </w:tcMar>
            <w:vAlign w:val="center"/>
          </w:tcPr>
          <w:p w14:paraId="47D08FB4" w14:textId="77777777" w:rsidR="001E2468" w:rsidRPr="00FD50F6" w:rsidRDefault="001E2468" w:rsidP="000831EC">
            <w:pPr>
              <w:pStyle w:val="7"/>
            </w:pPr>
          </w:p>
        </w:tc>
        <w:tc>
          <w:tcPr>
            <w:tcW w:w="379" w:type="pct"/>
            <w:vMerge/>
            <w:tcMar>
              <w:left w:w="0" w:type="dxa"/>
              <w:right w:w="0" w:type="dxa"/>
            </w:tcMar>
            <w:vAlign w:val="center"/>
          </w:tcPr>
          <w:p w14:paraId="2725C927" w14:textId="77777777" w:rsidR="001E2468" w:rsidRPr="00FD50F6" w:rsidRDefault="001E2468" w:rsidP="000831EC">
            <w:pPr>
              <w:pStyle w:val="7"/>
            </w:pPr>
          </w:p>
        </w:tc>
        <w:tc>
          <w:tcPr>
            <w:tcW w:w="634" w:type="pct"/>
            <w:vMerge/>
            <w:tcMar>
              <w:left w:w="0" w:type="dxa"/>
              <w:right w:w="0" w:type="dxa"/>
            </w:tcMar>
            <w:vAlign w:val="center"/>
          </w:tcPr>
          <w:p w14:paraId="6FA2B20F" w14:textId="77777777" w:rsidR="001E2468" w:rsidRPr="00FD50F6" w:rsidRDefault="001E2468" w:rsidP="000831EC">
            <w:pPr>
              <w:pStyle w:val="7"/>
            </w:pPr>
          </w:p>
        </w:tc>
        <w:tc>
          <w:tcPr>
            <w:tcW w:w="1261" w:type="pct"/>
            <w:gridSpan w:val="3"/>
            <w:tcMar>
              <w:left w:w="0" w:type="dxa"/>
              <w:right w:w="0" w:type="dxa"/>
            </w:tcMar>
            <w:vAlign w:val="center"/>
          </w:tcPr>
          <w:p w14:paraId="4F95E1EF" w14:textId="77777777" w:rsidR="001E2468" w:rsidRPr="00FD50F6" w:rsidRDefault="001E2468" w:rsidP="000831EC">
            <w:pPr>
              <w:pStyle w:val="7"/>
            </w:pPr>
            <w:r w:rsidRPr="00FD50F6">
              <w:t>砂类土（粉细砂除外）</w:t>
            </w:r>
          </w:p>
        </w:tc>
        <w:tc>
          <w:tcPr>
            <w:tcW w:w="379" w:type="pct"/>
            <w:tcMar>
              <w:left w:w="0" w:type="dxa"/>
              <w:right w:w="0" w:type="dxa"/>
            </w:tcMar>
            <w:vAlign w:val="center"/>
          </w:tcPr>
          <w:p w14:paraId="44096AA9" w14:textId="77777777" w:rsidR="001E2468" w:rsidRPr="00FD50F6" w:rsidRDefault="001E2468" w:rsidP="000831EC">
            <w:pPr>
              <w:pStyle w:val="7"/>
            </w:pPr>
            <w:r w:rsidRPr="00FD50F6">
              <w:t>≥0.95</w:t>
            </w:r>
          </w:p>
        </w:tc>
        <w:tc>
          <w:tcPr>
            <w:tcW w:w="675" w:type="pct"/>
            <w:tcMar>
              <w:left w:w="0" w:type="dxa"/>
              <w:right w:w="0" w:type="dxa"/>
            </w:tcMar>
            <w:vAlign w:val="center"/>
          </w:tcPr>
          <w:p w14:paraId="384DB142" w14:textId="77777777" w:rsidR="001E2468" w:rsidRPr="00FD50F6" w:rsidRDefault="001E2468" w:rsidP="000831EC">
            <w:pPr>
              <w:pStyle w:val="7"/>
            </w:pPr>
            <w:r w:rsidRPr="00FD50F6">
              <w:t>≥130</w:t>
            </w:r>
          </w:p>
        </w:tc>
        <w:tc>
          <w:tcPr>
            <w:tcW w:w="581" w:type="pct"/>
            <w:tcMar>
              <w:left w:w="0" w:type="dxa"/>
              <w:right w:w="0" w:type="dxa"/>
            </w:tcMar>
            <w:vAlign w:val="center"/>
          </w:tcPr>
          <w:p w14:paraId="1795FEFB" w14:textId="77777777" w:rsidR="001E2468" w:rsidRPr="00FD50F6" w:rsidRDefault="001E2468" w:rsidP="000831EC">
            <w:pPr>
              <w:pStyle w:val="7"/>
            </w:pPr>
            <w:r w:rsidRPr="00FD50F6">
              <w:t>-</w:t>
            </w:r>
          </w:p>
        </w:tc>
        <w:tc>
          <w:tcPr>
            <w:tcW w:w="709" w:type="pct"/>
          </w:tcPr>
          <w:p w14:paraId="70639A07" w14:textId="77777777" w:rsidR="001E2468" w:rsidRPr="00FD50F6" w:rsidRDefault="001E2468" w:rsidP="000831EC">
            <w:pPr>
              <w:pStyle w:val="7"/>
            </w:pPr>
            <w:r w:rsidRPr="00FD50F6">
              <w:t>≥</w:t>
            </w:r>
            <w:r w:rsidRPr="00FD50F6">
              <w:rPr>
                <w:rFonts w:hint="eastAsia"/>
              </w:rPr>
              <w:t>40</w:t>
            </w:r>
          </w:p>
        </w:tc>
      </w:tr>
      <w:tr w:rsidR="00FD50F6" w:rsidRPr="00FD50F6" w14:paraId="3D3A0C3A" w14:textId="77777777" w:rsidTr="00585A3F">
        <w:trPr>
          <w:trHeight w:val="239"/>
          <w:jc w:val="center"/>
        </w:trPr>
        <w:tc>
          <w:tcPr>
            <w:tcW w:w="205" w:type="pct"/>
            <w:vMerge/>
            <w:tcMar>
              <w:left w:w="0" w:type="dxa"/>
              <w:right w:w="0" w:type="dxa"/>
            </w:tcMar>
            <w:vAlign w:val="center"/>
          </w:tcPr>
          <w:p w14:paraId="31B839B9" w14:textId="77777777" w:rsidR="001E2468" w:rsidRPr="00FD50F6" w:rsidRDefault="001E2468" w:rsidP="000831EC">
            <w:pPr>
              <w:pStyle w:val="7"/>
            </w:pPr>
          </w:p>
        </w:tc>
        <w:tc>
          <w:tcPr>
            <w:tcW w:w="175" w:type="pct"/>
            <w:vMerge/>
            <w:tcMar>
              <w:left w:w="0" w:type="dxa"/>
              <w:right w:w="0" w:type="dxa"/>
            </w:tcMar>
            <w:vAlign w:val="center"/>
          </w:tcPr>
          <w:p w14:paraId="038B2DE6" w14:textId="77777777" w:rsidR="001E2468" w:rsidRPr="00FD50F6" w:rsidRDefault="001E2468" w:rsidP="000831EC">
            <w:pPr>
              <w:pStyle w:val="7"/>
            </w:pPr>
          </w:p>
        </w:tc>
        <w:tc>
          <w:tcPr>
            <w:tcW w:w="379" w:type="pct"/>
            <w:vMerge/>
            <w:tcMar>
              <w:left w:w="0" w:type="dxa"/>
              <w:right w:w="0" w:type="dxa"/>
            </w:tcMar>
            <w:vAlign w:val="center"/>
          </w:tcPr>
          <w:p w14:paraId="0D6C932B" w14:textId="77777777" w:rsidR="001E2468" w:rsidRPr="00FD50F6" w:rsidRDefault="001E2468" w:rsidP="000831EC">
            <w:pPr>
              <w:pStyle w:val="7"/>
            </w:pPr>
          </w:p>
        </w:tc>
        <w:tc>
          <w:tcPr>
            <w:tcW w:w="1895" w:type="pct"/>
            <w:gridSpan w:val="4"/>
            <w:tcMar>
              <w:left w:w="0" w:type="dxa"/>
              <w:right w:w="0" w:type="dxa"/>
            </w:tcMar>
            <w:vAlign w:val="center"/>
          </w:tcPr>
          <w:p w14:paraId="19569E75" w14:textId="77777777" w:rsidR="001E2468" w:rsidRPr="00FD50F6" w:rsidRDefault="001E2468" w:rsidP="000831EC">
            <w:pPr>
              <w:pStyle w:val="7"/>
              <w:rPr>
                <w:kern w:val="0"/>
              </w:rPr>
            </w:pPr>
            <w:r w:rsidRPr="00FD50F6">
              <w:rPr>
                <w:kern w:val="0"/>
              </w:rPr>
              <w:t>化学改良土</w:t>
            </w:r>
          </w:p>
        </w:tc>
        <w:tc>
          <w:tcPr>
            <w:tcW w:w="379" w:type="pct"/>
            <w:tcMar>
              <w:left w:w="0" w:type="dxa"/>
              <w:right w:w="0" w:type="dxa"/>
            </w:tcMar>
            <w:vAlign w:val="center"/>
          </w:tcPr>
          <w:p w14:paraId="2B09AD12" w14:textId="77777777" w:rsidR="001E2468" w:rsidRPr="00FD50F6" w:rsidRDefault="001E2468" w:rsidP="000831EC">
            <w:pPr>
              <w:pStyle w:val="7"/>
            </w:pPr>
            <w:r w:rsidRPr="00FD50F6">
              <w:t>≥0.95</w:t>
            </w:r>
          </w:p>
        </w:tc>
        <w:tc>
          <w:tcPr>
            <w:tcW w:w="675" w:type="pct"/>
            <w:tcMar>
              <w:left w:w="0" w:type="dxa"/>
              <w:right w:w="0" w:type="dxa"/>
            </w:tcMar>
            <w:vAlign w:val="center"/>
          </w:tcPr>
          <w:p w14:paraId="2D4158B7" w14:textId="77777777" w:rsidR="001E2468" w:rsidRPr="00FD50F6" w:rsidRDefault="001E2468" w:rsidP="000831EC">
            <w:pPr>
              <w:pStyle w:val="7"/>
            </w:pPr>
            <w:r w:rsidRPr="00FD50F6">
              <w:t>-</w:t>
            </w:r>
          </w:p>
        </w:tc>
        <w:tc>
          <w:tcPr>
            <w:tcW w:w="581" w:type="pct"/>
            <w:tcMar>
              <w:left w:w="0" w:type="dxa"/>
              <w:right w:w="0" w:type="dxa"/>
            </w:tcMar>
            <w:vAlign w:val="center"/>
          </w:tcPr>
          <w:p w14:paraId="3EF541C4" w14:textId="77777777" w:rsidR="001E2468" w:rsidRPr="00FD50F6" w:rsidRDefault="001E2468" w:rsidP="000831EC">
            <w:pPr>
              <w:pStyle w:val="7"/>
            </w:pPr>
            <w:r w:rsidRPr="00FD50F6">
              <w:t>≥350</w:t>
            </w:r>
            <w:r w:rsidRPr="00FD50F6">
              <w:rPr>
                <w:rFonts w:hint="eastAsia"/>
              </w:rPr>
              <w:t>（</w:t>
            </w:r>
            <w:r w:rsidRPr="00FD50F6">
              <w:rPr>
                <w:rFonts w:hint="eastAsia"/>
              </w:rPr>
              <w:t>550</w:t>
            </w:r>
            <w:r w:rsidRPr="00FD50F6">
              <w:rPr>
                <w:rFonts w:hint="eastAsia"/>
              </w:rPr>
              <w:t>）</w:t>
            </w:r>
          </w:p>
        </w:tc>
        <w:tc>
          <w:tcPr>
            <w:tcW w:w="709" w:type="pct"/>
          </w:tcPr>
          <w:p w14:paraId="61E8DB83" w14:textId="77777777" w:rsidR="001E2468" w:rsidRPr="00FD50F6" w:rsidRDefault="001E2468" w:rsidP="000831EC">
            <w:pPr>
              <w:pStyle w:val="7"/>
            </w:pPr>
            <w:r w:rsidRPr="00FD50F6">
              <w:t>-</w:t>
            </w:r>
          </w:p>
        </w:tc>
      </w:tr>
    </w:tbl>
    <w:p w14:paraId="2E0407F4" w14:textId="71BB7D75" w:rsidR="001E2468" w:rsidRPr="00FD50F6" w:rsidRDefault="006A75E2" w:rsidP="001E2468">
      <w:pPr>
        <w:pStyle w:val="7"/>
        <w:jc w:val="left"/>
        <w:rPr>
          <w:rFonts w:cs="Times New Roman"/>
          <w:kern w:val="0"/>
          <w:sz w:val="20"/>
          <w:szCs w:val="20"/>
        </w:rPr>
      </w:pPr>
      <w:r>
        <w:rPr>
          <w:rFonts w:cs="Times New Roman" w:hint="eastAsia"/>
          <w:kern w:val="0"/>
          <w:sz w:val="20"/>
          <w:szCs w:val="20"/>
        </w:rPr>
        <w:t>注：</w:t>
      </w:r>
      <w:r w:rsidR="001E2468" w:rsidRPr="00FD50F6">
        <w:rPr>
          <w:rFonts w:cs="Times New Roman"/>
          <w:kern w:val="0"/>
          <w:sz w:val="20"/>
          <w:szCs w:val="20"/>
        </w:rPr>
        <w:t>1</w:t>
      </w:r>
      <w:r w:rsidR="001E2468" w:rsidRPr="00FD50F6">
        <w:rPr>
          <w:rFonts w:cs="Times New Roman" w:hint="eastAsia"/>
          <w:kern w:val="0"/>
          <w:sz w:val="20"/>
          <w:szCs w:val="20"/>
        </w:rPr>
        <w:t xml:space="preserve"> </w:t>
      </w:r>
      <w:r w:rsidR="001E2468" w:rsidRPr="00FD50F6">
        <w:rPr>
          <w:rFonts w:cs="Times New Roman" w:hint="eastAsia"/>
          <w:kern w:val="0"/>
          <w:sz w:val="20"/>
          <w:szCs w:val="20"/>
        </w:rPr>
        <w:t>括号中数值</w:t>
      </w:r>
      <w:r w:rsidR="001E2468" w:rsidRPr="00FD50F6">
        <w:rPr>
          <w:rFonts w:cs="Times New Roman"/>
          <w:kern w:val="0"/>
          <w:sz w:val="20"/>
          <w:szCs w:val="20"/>
        </w:rPr>
        <w:t>为严寒地区化学改良土考虑冻融循环作用所需强度值；</w:t>
      </w:r>
    </w:p>
    <w:p w14:paraId="6BB1F1BB" w14:textId="40C8ED5C" w:rsidR="001E2468" w:rsidRPr="00FD50F6" w:rsidRDefault="001E2468" w:rsidP="00585A3F">
      <w:pPr>
        <w:pStyle w:val="7"/>
        <w:ind w:leftChars="165" w:left="596" w:hangingChars="100" w:hanging="200"/>
        <w:jc w:val="left"/>
        <w:rPr>
          <w:rFonts w:cs="Times New Roman"/>
          <w:kern w:val="0"/>
          <w:sz w:val="20"/>
          <w:szCs w:val="20"/>
        </w:rPr>
      </w:pPr>
      <w:r w:rsidRPr="00FD50F6">
        <w:rPr>
          <w:rFonts w:cs="Times New Roman"/>
          <w:kern w:val="0"/>
          <w:sz w:val="20"/>
          <w:szCs w:val="20"/>
        </w:rPr>
        <w:t>2</w:t>
      </w:r>
      <w:r w:rsidRPr="00FD50F6">
        <w:rPr>
          <w:rFonts w:cs="Times New Roman" w:hint="eastAsia"/>
          <w:kern w:val="0"/>
          <w:sz w:val="20"/>
          <w:szCs w:val="20"/>
        </w:rPr>
        <w:t xml:space="preserve"> </w:t>
      </w:r>
      <w:r w:rsidRPr="00FD50F6">
        <w:rPr>
          <w:rFonts w:cs="Times New Roman"/>
          <w:kern w:val="0"/>
          <w:sz w:val="20"/>
          <w:szCs w:val="20"/>
        </w:rPr>
        <w:t>使用</w:t>
      </w:r>
      <w:r w:rsidRPr="00FD50F6">
        <w:rPr>
          <w:rFonts w:cs="Times New Roman"/>
          <w:kern w:val="0"/>
          <w:sz w:val="20"/>
          <w:szCs w:val="20"/>
        </w:rPr>
        <w:t>C</w:t>
      </w:r>
      <w:r w:rsidRPr="00FD50F6">
        <w:rPr>
          <w:rFonts w:cs="Times New Roman"/>
          <w:kern w:val="0"/>
          <w:sz w:val="20"/>
          <w:szCs w:val="20"/>
        </w:rPr>
        <w:t>组填料时，在年平均降水量大于</w:t>
      </w:r>
      <w:r w:rsidRPr="00FD50F6">
        <w:rPr>
          <w:rFonts w:cs="Times New Roman"/>
          <w:kern w:val="0"/>
          <w:sz w:val="20"/>
          <w:szCs w:val="20"/>
        </w:rPr>
        <w:t>500mm</w:t>
      </w:r>
      <w:r w:rsidRPr="00FD50F6">
        <w:rPr>
          <w:rFonts w:cs="Times New Roman"/>
          <w:kern w:val="0"/>
          <w:sz w:val="20"/>
          <w:szCs w:val="20"/>
        </w:rPr>
        <w:t>地区，其塑性指数不应大于</w:t>
      </w:r>
      <w:r w:rsidRPr="00FD50F6">
        <w:rPr>
          <w:rFonts w:cs="Times New Roman"/>
          <w:kern w:val="0"/>
          <w:sz w:val="20"/>
          <w:szCs w:val="20"/>
        </w:rPr>
        <w:t>12</w:t>
      </w:r>
      <w:r w:rsidRPr="00FD50F6">
        <w:rPr>
          <w:rFonts w:cs="Times New Roman"/>
          <w:kern w:val="0"/>
          <w:sz w:val="20"/>
          <w:szCs w:val="20"/>
        </w:rPr>
        <w:t>，液限不</w:t>
      </w:r>
      <w:r w:rsidR="006A75E2">
        <w:rPr>
          <w:rFonts w:cs="Times New Roman" w:hint="eastAsia"/>
          <w:kern w:val="0"/>
          <w:sz w:val="20"/>
          <w:szCs w:val="20"/>
        </w:rPr>
        <w:t xml:space="preserve"> </w:t>
      </w:r>
      <w:r w:rsidRPr="00FD50F6">
        <w:rPr>
          <w:rFonts w:cs="Times New Roman"/>
          <w:kern w:val="0"/>
          <w:sz w:val="20"/>
          <w:szCs w:val="20"/>
        </w:rPr>
        <w:t>应大于</w:t>
      </w:r>
      <w:r w:rsidRPr="00FD50F6">
        <w:rPr>
          <w:rFonts w:cs="Times New Roman"/>
          <w:kern w:val="0"/>
          <w:sz w:val="20"/>
          <w:szCs w:val="20"/>
        </w:rPr>
        <w:t>32%</w:t>
      </w:r>
      <w:r w:rsidRPr="00FD50F6">
        <w:rPr>
          <w:rFonts w:cs="Times New Roman"/>
          <w:kern w:val="0"/>
          <w:sz w:val="20"/>
          <w:szCs w:val="20"/>
        </w:rPr>
        <w:t>；</w:t>
      </w:r>
    </w:p>
    <w:p w14:paraId="249387D3" w14:textId="77777777" w:rsidR="001E2468" w:rsidRPr="00FD50F6" w:rsidRDefault="001E2468" w:rsidP="00585A3F">
      <w:pPr>
        <w:pStyle w:val="7"/>
        <w:ind w:firstLineChars="200" w:firstLine="400"/>
        <w:jc w:val="left"/>
        <w:rPr>
          <w:rFonts w:cs="Times New Roman"/>
          <w:kern w:val="0"/>
          <w:sz w:val="20"/>
          <w:szCs w:val="20"/>
        </w:rPr>
      </w:pPr>
      <w:r w:rsidRPr="00FD50F6">
        <w:rPr>
          <w:rFonts w:cs="Times New Roman"/>
          <w:kern w:val="0"/>
          <w:sz w:val="20"/>
          <w:szCs w:val="20"/>
        </w:rPr>
        <w:t>3</w:t>
      </w:r>
      <w:r w:rsidRPr="00FD50F6">
        <w:rPr>
          <w:rFonts w:cs="Times New Roman" w:hint="eastAsia"/>
          <w:kern w:val="0"/>
          <w:sz w:val="20"/>
          <w:szCs w:val="20"/>
        </w:rPr>
        <w:t xml:space="preserve"> </w:t>
      </w:r>
      <w:r w:rsidRPr="00FD50F6">
        <w:rPr>
          <w:rFonts w:cs="Times New Roman"/>
          <w:kern w:val="0"/>
          <w:sz w:val="20"/>
          <w:szCs w:val="20"/>
        </w:rPr>
        <w:t>有砟轨道及非冻土地区无砟轨道基床表层采用</w:t>
      </w:r>
      <w:r w:rsidRPr="00FD50F6">
        <w:rPr>
          <w:rFonts w:cs="Times New Roman"/>
          <w:kern w:val="0"/>
          <w:sz w:val="20"/>
          <w:szCs w:val="20"/>
        </w:rPr>
        <w:t>I</w:t>
      </w:r>
      <w:r w:rsidRPr="00FD50F6">
        <w:rPr>
          <w:rFonts w:cs="Times New Roman"/>
          <w:kern w:val="0"/>
          <w:sz w:val="20"/>
          <w:szCs w:val="20"/>
        </w:rPr>
        <w:t>型级配碎石；</w:t>
      </w:r>
    </w:p>
    <w:p w14:paraId="4ACE6AEA" w14:textId="77777777" w:rsidR="001E2468" w:rsidRPr="00FD50F6" w:rsidRDefault="001E2468" w:rsidP="00585A3F">
      <w:pPr>
        <w:pStyle w:val="30"/>
        <w:numPr>
          <w:ilvl w:val="0"/>
          <w:numId w:val="0"/>
        </w:numPr>
        <w:ind w:firstLineChars="200" w:firstLine="400"/>
      </w:pPr>
      <w:r w:rsidRPr="00FD50F6">
        <w:rPr>
          <w:rFonts w:cs="Times New Roman"/>
          <w:kern w:val="0"/>
          <w:sz w:val="20"/>
          <w:szCs w:val="20"/>
          <w:lang w:val="zh-CN"/>
        </w:rPr>
        <w:t>4</w:t>
      </w:r>
      <w:r w:rsidRPr="00FD50F6">
        <w:rPr>
          <w:rFonts w:cs="Times New Roman" w:hint="eastAsia"/>
          <w:kern w:val="0"/>
          <w:sz w:val="20"/>
          <w:szCs w:val="20"/>
          <w:lang w:val="zh-CN"/>
        </w:rPr>
        <w:t xml:space="preserve"> </w:t>
      </w:r>
      <w:r w:rsidRPr="00FD50F6">
        <w:rPr>
          <w:rFonts w:cs="Times New Roman"/>
          <w:kern w:val="0"/>
          <w:sz w:val="20"/>
          <w:szCs w:val="20"/>
          <w:lang w:val="zh-CN"/>
        </w:rPr>
        <w:t>冻结深度大于</w:t>
      </w:r>
      <w:r w:rsidRPr="00FD50F6">
        <w:rPr>
          <w:rFonts w:cs="Times New Roman"/>
          <w:kern w:val="0"/>
          <w:sz w:val="20"/>
          <w:szCs w:val="20"/>
          <w:lang w:val="zh-CN"/>
        </w:rPr>
        <w:t xml:space="preserve">0.5m </w:t>
      </w:r>
      <w:r w:rsidRPr="00FD50F6">
        <w:rPr>
          <w:rFonts w:cs="Times New Roman"/>
          <w:kern w:val="0"/>
          <w:sz w:val="20"/>
          <w:szCs w:val="20"/>
          <w:lang w:val="zh-CN"/>
        </w:rPr>
        <w:t>的冻土地区以及多雨地区无砟轨道基床表层采用</w:t>
      </w:r>
      <w:r w:rsidRPr="00FD50F6">
        <w:rPr>
          <w:rFonts w:cs="Times New Roman"/>
          <w:kern w:val="0"/>
          <w:sz w:val="20"/>
          <w:szCs w:val="20"/>
          <w:lang w:val="zh-CN"/>
        </w:rPr>
        <w:t>II</w:t>
      </w:r>
      <w:r w:rsidRPr="00FD50F6">
        <w:rPr>
          <w:rFonts w:hAnsi="宋体" w:cs="Times New Roman" w:hint="eastAsia"/>
          <w:kern w:val="0"/>
          <w:sz w:val="20"/>
          <w:szCs w:val="20"/>
          <w:lang w:val="zh-CN"/>
        </w:rPr>
        <w:t>型级配碎石。</w:t>
      </w:r>
    </w:p>
    <w:p w14:paraId="6BE874DD" w14:textId="4278ED85" w:rsidR="001E2468" w:rsidRPr="00FD50F6" w:rsidRDefault="001E2468" w:rsidP="001E2468">
      <w:pPr>
        <w:pStyle w:val="30"/>
      </w:pPr>
      <w:r w:rsidRPr="00FD50F6">
        <w:t>路堑</w:t>
      </w:r>
      <w:r w:rsidRPr="00FD50F6">
        <w:rPr>
          <w:rFonts w:hint="eastAsia"/>
        </w:rPr>
        <w:t>及低路堤</w:t>
      </w:r>
      <w:r w:rsidRPr="00FD50F6">
        <w:t>基床表层土质</w:t>
      </w:r>
      <w:r w:rsidRPr="00FD50F6">
        <w:rPr>
          <w:rFonts w:hint="eastAsia"/>
        </w:rPr>
        <w:t>及压实度应</w:t>
      </w:r>
      <w:r w:rsidRPr="00FD50F6">
        <w:t>满足本</w:t>
      </w:r>
      <w:r w:rsidRPr="00FD50F6">
        <w:rPr>
          <w:rFonts w:hint="eastAsia"/>
        </w:rPr>
        <w:t>标准</w:t>
      </w:r>
      <w:r w:rsidR="008C6B9B" w:rsidRPr="00FD50F6">
        <w:t>第</w:t>
      </w:r>
      <w:r w:rsidR="008C6B9B" w:rsidRPr="00FD50F6">
        <w:t>9</w:t>
      </w:r>
      <w:r w:rsidRPr="00FD50F6">
        <w:t>.2.6</w:t>
      </w:r>
      <w:r w:rsidRPr="00FD50F6">
        <w:t>条的规定，否则应采取换填或土质改良等措施。</w:t>
      </w:r>
    </w:p>
    <w:p w14:paraId="4FD824AA" w14:textId="343CD312" w:rsidR="001E2468" w:rsidRPr="00FD50F6" w:rsidRDefault="001E2468" w:rsidP="001E2468">
      <w:pPr>
        <w:pStyle w:val="30"/>
      </w:pPr>
      <w:r w:rsidRPr="00FD50F6">
        <w:rPr>
          <w:rFonts w:hint="eastAsia"/>
        </w:rPr>
        <w:t>路堑及低路堤基</w:t>
      </w:r>
      <w:r w:rsidRPr="00FD50F6">
        <w:t>床底层厚度范围内天然地基的</w:t>
      </w:r>
      <w:r w:rsidRPr="00FD50F6">
        <w:rPr>
          <w:rFonts w:hint="eastAsia"/>
        </w:rPr>
        <w:t>基本</w:t>
      </w:r>
      <w:r w:rsidRPr="00FD50F6">
        <w:t>承载力</w:t>
      </w:r>
      <w:r w:rsidRPr="00FD50F6">
        <w:rPr>
          <w:rFonts w:hint="eastAsia"/>
        </w:rPr>
        <w:t>，有砟道床</w:t>
      </w:r>
      <w:r w:rsidRPr="00FD50F6">
        <w:t>不应小于</w:t>
      </w:r>
      <w:r w:rsidRPr="00FD50F6">
        <w:rPr>
          <w:rFonts w:hint="eastAsia"/>
        </w:rPr>
        <w:t>150K</w:t>
      </w:r>
      <w:r w:rsidRPr="00FD50F6">
        <w:t>Pa</w:t>
      </w:r>
      <w:r w:rsidRPr="00FD50F6">
        <w:rPr>
          <w:rFonts w:hint="eastAsia"/>
        </w:rPr>
        <w:t>，无砟道床</w:t>
      </w:r>
      <w:r w:rsidRPr="00FD50F6">
        <w:t>不应小于</w:t>
      </w:r>
      <w:r w:rsidRPr="00FD50F6">
        <w:rPr>
          <w:rFonts w:hint="eastAsia"/>
        </w:rPr>
        <w:t>180K</w:t>
      </w:r>
      <w:r w:rsidRPr="00FD50F6">
        <w:t>Pa</w:t>
      </w:r>
      <w:r w:rsidRPr="00FD50F6">
        <w:t>。</w:t>
      </w:r>
    </w:p>
    <w:p w14:paraId="32037AA1" w14:textId="77777777" w:rsidR="001E2468" w:rsidRPr="00FD50F6" w:rsidRDefault="001E2468" w:rsidP="00A65181">
      <w:pPr>
        <w:pStyle w:val="2"/>
      </w:pPr>
      <w:bookmarkStart w:id="331" w:name="_Toc306203682"/>
      <w:bookmarkStart w:id="332" w:name="_Toc320115654"/>
      <w:bookmarkStart w:id="333" w:name="_Toc236220621"/>
      <w:bookmarkStart w:id="334" w:name="_Toc344218730"/>
      <w:bookmarkStart w:id="335" w:name="_Toc320639565"/>
      <w:bookmarkStart w:id="336" w:name="_Toc112830684"/>
      <w:r w:rsidRPr="00FD50F6">
        <w:t>路堤</w:t>
      </w:r>
      <w:bookmarkEnd w:id="331"/>
      <w:bookmarkEnd w:id="332"/>
      <w:bookmarkEnd w:id="333"/>
      <w:bookmarkEnd w:id="334"/>
      <w:bookmarkEnd w:id="335"/>
      <w:bookmarkEnd w:id="336"/>
    </w:p>
    <w:p w14:paraId="5000E93B" w14:textId="1C7A2585" w:rsidR="001E2468" w:rsidRPr="00A65181" w:rsidRDefault="001E2468" w:rsidP="001A4CF3">
      <w:pPr>
        <w:pStyle w:val="30"/>
      </w:pPr>
      <w:r w:rsidRPr="00FD50F6">
        <w:t>路堤边坡坡度应根据填料或土质的物理力学性质、边坡高度、轨道</w:t>
      </w:r>
      <w:r w:rsidRPr="00FD50F6">
        <w:rPr>
          <w:rFonts w:hint="eastAsia"/>
        </w:rPr>
        <w:t>类型</w:t>
      </w:r>
      <w:r w:rsidRPr="00FD50F6">
        <w:t>、列车荷载和地基工程地质条件确定，当路堤高度小于</w:t>
      </w:r>
      <w:r w:rsidRPr="00FD50F6">
        <w:rPr>
          <w:rFonts w:hint="eastAsia"/>
        </w:rPr>
        <w:t>或</w:t>
      </w:r>
      <w:r w:rsidRPr="00FD50F6">
        <w:t>等于</w:t>
      </w:r>
      <w:r w:rsidRPr="00FD50F6">
        <w:t>8m</w:t>
      </w:r>
      <w:r w:rsidRPr="00FD50F6">
        <w:t>时，路堤边坡坡度不应大于</w:t>
      </w:r>
      <w:r w:rsidRPr="00FD50F6">
        <w:t>1:1.5</w:t>
      </w:r>
      <w:r w:rsidRPr="00FD50F6">
        <w:t>。</w:t>
      </w:r>
      <w:r w:rsidRPr="00FD50F6">
        <w:rPr>
          <w:rFonts w:hint="eastAsia"/>
        </w:rPr>
        <w:t>路堤坡脚外应设宽度不小于</w:t>
      </w:r>
      <w:r w:rsidRPr="00FD50F6">
        <w:t>1.0m</w:t>
      </w:r>
      <w:r w:rsidRPr="00A65181">
        <w:rPr>
          <w:rFonts w:hint="eastAsia"/>
        </w:rPr>
        <w:t>的护道。</w:t>
      </w:r>
    </w:p>
    <w:p w14:paraId="4E005D17" w14:textId="77777777" w:rsidR="001E2468" w:rsidRPr="00FD50F6" w:rsidRDefault="001E2468" w:rsidP="001E2468">
      <w:pPr>
        <w:pStyle w:val="30"/>
        <w:rPr>
          <w:b/>
        </w:rPr>
      </w:pPr>
      <w:r w:rsidRPr="00FD50F6">
        <w:rPr>
          <w:rFonts w:hint="eastAsia"/>
        </w:rPr>
        <w:t>基床以下路堤填料应符合下列规定：</w:t>
      </w:r>
    </w:p>
    <w:p w14:paraId="7F002154" w14:textId="77777777" w:rsidR="001E2468" w:rsidRPr="00FD50F6" w:rsidRDefault="001E2468" w:rsidP="00A926BD">
      <w:pPr>
        <w:pStyle w:val="4"/>
      </w:pPr>
      <w:r w:rsidRPr="00FD50F6">
        <w:t>无砟道床基床以下路堤</w:t>
      </w:r>
      <w:r w:rsidRPr="00FD50F6">
        <w:rPr>
          <w:rFonts w:hint="eastAsia"/>
        </w:rPr>
        <w:t>宜</w:t>
      </w:r>
      <w:r w:rsidRPr="00FD50F6">
        <w:t>选用</w:t>
      </w:r>
      <w:r w:rsidRPr="00FD50F6">
        <w:t>A</w:t>
      </w:r>
      <w:r w:rsidRPr="00FD50F6">
        <w:t>、</w:t>
      </w:r>
      <w:r w:rsidRPr="00FD50F6">
        <w:t>B</w:t>
      </w:r>
      <w:r w:rsidRPr="00FD50F6">
        <w:t>组或</w:t>
      </w:r>
      <w:r w:rsidRPr="00FD50F6">
        <w:t>C1</w:t>
      </w:r>
      <w:r w:rsidRPr="00FD50F6">
        <w:t>、</w:t>
      </w:r>
      <w:r w:rsidRPr="00FD50F6">
        <w:t>C2</w:t>
      </w:r>
      <w:r w:rsidRPr="00FD50F6">
        <w:t>组填料或化学改良土</w:t>
      </w:r>
      <w:r w:rsidRPr="00FD50F6">
        <w:rPr>
          <w:rFonts w:hint="eastAsia"/>
        </w:rPr>
        <w:t>；</w:t>
      </w:r>
    </w:p>
    <w:p w14:paraId="430B9BE3" w14:textId="77777777" w:rsidR="001E2468" w:rsidRPr="00FD50F6" w:rsidRDefault="001E2468" w:rsidP="00A926BD">
      <w:pPr>
        <w:pStyle w:val="4"/>
      </w:pPr>
      <w:r w:rsidRPr="00FD50F6">
        <w:t>有砟道床基床以下路堤可选用</w:t>
      </w:r>
      <w:r w:rsidRPr="00FD50F6">
        <w:t>A</w:t>
      </w:r>
      <w:r w:rsidRPr="00FD50F6">
        <w:t>、</w:t>
      </w:r>
      <w:r w:rsidRPr="00FD50F6">
        <w:t>B</w:t>
      </w:r>
      <w:r w:rsidRPr="00FD50F6">
        <w:t>、</w:t>
      </w:r>
      <w:r w:rsidRPr="00FD50F6">
        <w:t>C</w:t>
      </w:r>
      <w:r w:rsidRPr="00FD50F6">
        <w:t>组填料或化学改良土</w:t>
      </w:r>
      <w:r w:rsidRPr="00FD50F6">
        <w:rPr>
          <w:rFonts w:hint="eastAsia"/>
        </w:rPr>
        <w:t>；</w:t>
      </w:r>
    </w:p>
    <w:p w14:paraId="2F681D6C" w14:textId="77777777" w:rsidR="001E2468" w:rsidRPr="00FD50F6" w:rsidRDefault="001E2468" w:rsidP="00A926BD">
      <w:pPr>
        <w:pStyle w:val="4"/>
      </w:pPr>
      <w:r w:rsidRPr="00FD50F6">
        <w:t>有砟道床基床以下路堤选用</w:t>
      </w:r>
      <w:r w:rsidRPr="00FD50F6">
        <w:t>D</w:t>
      </w:r>
      <w:r w:rsidRPr="00FD50F6">
        <w:t>组填料时</w:t>
      </w:r>
      <w:r w:rsidRPr="00FD50F6">
        <w:rPr>
          <w:rFonts w:hint="eastAsia"/>
        </w:rPr>
        <w:t>，</w:t>
      </w:r>
      <w:r w:rsidRPr="00FD50F6">
        <w:t>应进行改良或采取加固措施</w:t>
      </w:r>
      <w:r w:rsidRPr="00FD50F6">
        <w:rPr>
          <w:rFonts w:hint="eastAsia"/>
        </w:rPr>
        <w:t>；</w:t>
      </w:r>
    </w:p>
    <w:p w14:paraId="483D766D" w14:textId="77777777" w:rsidR="001E2468" w:rsidRPr="00FD50F6" w:rsidRDefault="001E2468" w:rsidP="00A926BD">
      <w:pPr>
        <w:pStyle w:val="4"/>
      </w:pPr>
      <w:r w:rsidRPr="00FD50F6">
        <w:rPr>
          <w:rFonts w:hint="eastAsia"/>
        </w:rPr>
        <w:t>当</w:t>
      </w:r>
      <w:r w:rsidRPr="00FD50F6">
        <w:t>采用</w:t>
      </w:r>
      <w:r w:rsidRPr="00FD50F6">
        <w:t>C2</w:t>
      </w:r>
      <w:r w:rsidRPr="00FD50F6">
        <w:t>组中的砂类土及</w:t>
      </w:r>
      <w:r w:rsidRPr="00FD50F6">
        <w:t>C3</w:t>
      </w:r>
      <w:r w:rsidRPr="00FD50F6">
        <w:t>组填料</w:t>
      </w:r>
      <w:r w:rsidRPr="00FD50F6">
        <w:rPr>
          <w:rFonts w:hint="eastAsia"/>
        </w:rPr>
        <w:t>时</w:t>
      </w:r>
      <w:r w:rsidRPr="00FD50F6">
        <w:t>，应采取加强防护措施</w:t>
      </w:r>
      <w:r w:rsidRPr="00FD50F6">
        <w:rPr>
          <w:rFonts w:hint="eastAsia"/>
        </w:rPr>
        <w:t>；</w:t>
      </w:r>
    </w:p>
    <w:p w14:paraId="78F5044B" w14:textId="14FE19D7" w:rsidR="001E2468" w:rsidRPr="00FD50F6" w:rsidRDefault="001E2468" w:rsidP="00A926BD">
      <w:pPr>
        <w:pStyle w:val="4"/>
      </w:pPr>
      <w:r w:rsidRPr="00FD50F6">
        <w:t>有砟道床路基填料最大粒径不应大于摊铺厚度的</w:t>
      </w:r>
      <w:r w:rsidRPr="00FD50F6">
        <w:t>2/3</w:t>
      </w:r>
      <w:r w:rsidRPr="00FD50F6">
        <w:t>且不应大于</w:t>
      </w:r>
      <w:r w:rsidRPr="00FD50F6">
        <w:t>300mm</w:t>
      </w:r>
      <w:r w:rsidRPr="00FD50F6">
        <w:rPr>
          <w:rFonts w:hint="eastAsia"/>
        </w:rPr>
        <w:t>，</w:t>
      </w:r>
      <w:r w:rsidRPr="00FD50F6">
        <w:lastRenderedPageBreak/>
        <w:t>无砟道床路基填料的最大粒径不应大于</w:t>
      </w:r>
      <w:r w:rsidRPr="00FD50F6">
        <w:t>75mm</w:t>
      </w:r>
      <w:r w:rsidRPr="00FD50F6">
        <w:rPr>
          <w:rFonts w:hint="eastAsia"/>
        </w:rPr>
        <w:t>；</w:t>
      </w:r>
    </w:p>
    <w:p w14:paraId="6AB2A323" w14:textId="77777777" w:rsidR="001E2468" w:rsidRPr="00FD50F6" w:rsidRDefault="001E2468" w:rsidP="00A926BD">
      <w:pPr>
        <w:pStyle w:val="4"/>
      </w:pPr>
      <w:r w:rsidRPr="00FD50F6">
        <w:rPr>
          <w:rFonts w:hint="eastAsia"/>
        </w:rPr>
        <w:t>路堤浸水部位的填料应选用渗水土填料；</w:t>
      </w:r>
    </w:p>
    <w:p w14:paraId="62295326" w14:textId="77777777" w:rsidR="001E2468" w:rsidRPr="00FD50F6" w:rsidRDefault="001E2468" w:rsidP="00A926BD">
      <w:pPr>
        <w:pStyle w:val="4"/>
      </w:pPr>
      <w:r w:rsidRPr="00FD50F6">
        <w:rPr>
          <w:rFonts w:hint="eastAsia"/>
        </w:rPr>
        <w:t>当渗水土填在非渗水土上时，非渗水土层顶面应向两侧设</w:t>
      </w:r>
      <w:r w:rsidRPr="00FD50F6">
        <w:rPr>
          <w:rFonts w:hint="eastAsia"/>
        </w:rPr>
        <w:t>4%</w:t>
      </w:r>
      <w:r w:rsidRPr="00FD50F6">
        <w:rPr>
          <w:rFonts w:hint="eastAsia"/>
        </w:rPr>
        <w:t>的人字横坡</w:t>
      </w:r>
      <w:r w:rsidRPr="00FD50F6">
        <w:t>。</w:t>
      </w:r>
    </w:p>
    <w:p w14:paraId="6667C60C" w14:textId="7331FB42" w:rsidR="001E2468" w:rsidRPr="00FD50F6" w:rsidRDefault="001E2468" w:rsidP="001E2468">
      <w:pPr>
        <w:pStyle w:val="30"/>
      </w:pPr>
      <w:r w:rsidRPr="00FD50F6">
        <w:t>基床以下部分填料的压实</w:t>
      </w:r>
      <w:r w:rsidRPr="00FD50F6">
        <w:rPr>
          <w:rFonts w:hint="eastAsia"/>
        </w:rPr>
        <w:t>标准应按表</w:t>
      </w:r>
      <w:r w:rsidR="008C6B9B" w:rsidRPr="00FD50F6">
        <w:t>9</w:t>
      </w:r>
      <w:r w:rsidRPr="00FD50F6">
        <w:rPr>
          <w:rFonts w:hint="eastAsia"/>
        </w:rPr>
        <w:t>.3.3</w:t>
      </w:r>
      <w:r w:rsidRPr="00FD50F6">
        <w:rPr>
          <w:rFonts w:hint="eastAsia"/>
        </w:rPr>
        <w:t>控制。</w:t>
      </w:r>
    </w:p>
    <w:p w14:paraId="3625B41E" w14:textId="5F810EFB" w:rsidR="001E2468" w:rsidRPr="00FD50F6" w:rsidRDefault="001E2468" w:rsidP="001E2468">
      <w:pPr>
        <w:pStyle w:val="6"/>
        <w:rPr>
          <w:lang w:val="zh-CN"/>
        </w:rPr>
      </w:pPr>
      <w:r w:rsidRPr="00FD50F6">
        <w:rPr>
          <w:rFonts w:hint="eastAsia"/>
        </w:rPr>
        <w:t>表</w:t>
      </w:r>
      <w:r w:rsidR="008C6B9B" w:rsidRPr="00FD50F6">
        <w:t>9</w:t>
      </w:r>
      <w:r w:rsidRPr="00FD50F6">
        <w:rPr>
          <w:rFonts w:hint="eastAsia"/>
        </w:rPr>
        <w:t>.3.3</w:t>
      </w:r>
      <w:r w:rsidRPr="00FD50F6">
        <w:rPr>
          <w:rFonts w:hint="eastAsia"/>
          <w:lang w:val="zh-CN"/>
        </w:rPr>
        <w:t>基床以下路堤填料压实标准</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089"/>
        <w:gridCol w:w="3234"/>
        <w:gridCol w:w="692"/>
        <w:gridCol w:w="1192"/>
        <w:gridCol w:w="1280"/>
      </w:tblGrid>
      <w:tr w:rsidR="00FD50F6" w:rsidRPr="00FD50F6" w14:paraId="3ED0F25D" w14:textId="77777777" w:rsidTr="000831EC">
        <w:trPr>
          <w:trHeight w:val="405"/>
          <w:jc w:val="center"/>
        </w:trPr>
        <w:tc>
          <w:tcPr>
            <w:tcW w:w="379" w:type="pct"/>
            <w:vMerge w:val="restart"/>
            <w:tcMar>
              <w:left w:w="0" w:type="dxa"/>
              <w:right w:w="0" w:type="dxa"/>
            </w:tcMar>
            <w:vAlign w:val="center"/>
          </w:tcPr>
          <w:p w14:paraId="5F7BC31B" w14:textId="77777777" w:rsidR="001E2468" w:rsidRPr="00FD50F6" w:rsidRDefault="001E2468" w:rsidP="000831EC">
            <w:pPr>
              <w:pStyle w:val="7"/>
            </w:pPr>
            <w:r w:rsidRPr="00FD50F6">
              <w:t>道床</w:t>
            </w:r>
          </w:p>
          <w:p w14:paraId="29F8C557" w14:textId="77777777" w:rsidR="001E2468" w:rsidRPr="00FD50F6" w:rsidRDefault="001E2468" w:rsidP="000831EC">
            <w:pPr>
              <w:pStyle w:val="7"/>
            </w:pPr>
            <w:r w:rsidRPr="00FD50F6">
              <w:t>类型</w:t>
            </w:r>
          </w:p>
        </w:tc>
        <w:tc>
          <w:tcPr>
            <w:tcW w:w="2668" w:type="pct"/>
            <w:gridSpan w:val="2"/>
            <w:tcMar>
              <w:left w:w="0" w:type="dxa"/>
              <w:right w:w="0" w:type="dxa"/>
            </w:tcMar>
            <w:vAlign w:val="center"/>
          </w:tcPr>
          <w:p w14:paraId="47B76EF9" w14:textId="77777777" w:rsidR="001E2468" w:rsidRPr="00FD50F6" w:rsidRDefault="001E2468" w:rsidP="000831EC">
            <w:pPr>
              <w:pStyle w:val="7"/>
            </w:pPr>
            <w:r w:rsidRPr="00FD50F6">
              <w:t>填料要求</w:t>
            </w:r>
          </w:p>
        </w:tc>
        <w:tc>
          <w:tcPr>
            <w:tcW w:w="1953" w:type="pct"/>
            <w:gridSpan w:val="3"/>
            <w:tcMar>
              <w:left w:w="0" w:type="dxa"/>
              <w:right w:w="0" w:type="dxa"/>
            </w:tcMar>
            <w:vAlign w:val="center"/>
          </w:tcPr>
          <w:p w14:paraId="63293486" w14:textId="77777777" w:rsidR="001E2468" w:rsidRPr="00FD50F6" w:rsidRDefault="001E2468" w:rsidP="000831EC">
            <w:pPr>
              <w:pStyle w:val="7"/>
            </w:pPr>
            <w:r w:rsidRPr="00FD50F6">
              <w:t>压实标准</w:t>
            </w:r>
          </w:p>
        </w:tc>
      </w:tr>
      <w:tr w:rsidR="00FD50F6" w:rsidRPr="00FD50F6" w14:paraId="72290CEA" w14:textId="77777777" w:rsidTr="000831EC">
        <w:trPr>
          <w:trHeight w:val="317"/>
          <w:jc w:val="center"/>
        </w:trPr>
        <w:tc>
          <w:tcPr>
            <w:tcW w:w="379" w:type="pct"/>
            <w:vMerge/>
            <w:tcMar>
              <w:left w:w="0" w:type="dxa"/>
              <w:right w:w="0" w:type="dxa"/>
            </w:tcMar>
            <w:vAlign w:val="center"/>
          </w:tcPr>
          <w:p w14:paraId="70EEB306" w14:textId="77777777" w:rsidR="001E2468" w:rsidRPr="00FD50F6" w:rsidRDefault="001E2468" w:rsidP="000831EC">
            <w:pPr>
              <w:pStyle w:val="7"/>
            </w:pPr>
          </w:p>
        </w:tc>
        <w:tc>
          <w:tcPr>
            <w:tcW w:w="672" w:type="pct"/>
            <w:tcMar>
              <w:left w:w="0" w:type="dxa"/>
              <w:right w:w="0" w:type="dxa"/>
            </w:tcMar>
            <w:vAlign w:val="center"/>
          </w:tcPr>
          <w:p w14:paraId="1056D3D6" w14:textId="77777777" w:rsidR="001E2468" w:rsidRPr="00FD50F6" w:rsidRDefault="001E2468" w:rsidP="000831EC">
            <w:pPr>
              <w:pStyle w:val="7"/>
            </w:pPr>
            <w:r w:rsidRPr="00FD50F6">
              <w:t>最大</w:t>
            </w:r>
          </w:p>
          <w:p w14:paraId="6E096685" w14:textId="77777777" w:rsidR="001E2468" w:rsidRPr="00FD50F6" w:rsidRDefault="001E2468" w:rsidP="000831EC">
            <w:pPr>
              <w:pStyle w:val="7"/>
            </w:pPr>
            <w:r w:rsidRPr="00FD50F6">
              <w:t>粒径</w:t>
            </w:r>
          </w:p>
          <w:p w14:paraId="79AEFBD7" w14:textId="77777777" w:rsidR="001E2468" w:rsidRPr="00FD50F6" w:rsidRDefault="001E2468" w:rsidP="000831EC">
            <w:pPr>
              <w:pStyle w:val="7"/>
            </w:pPr>
            <w:r w:rsidRPr="00FD50F6">
              <w:t>（</w:t>
            </w:r>
            <w:r w:rsidRPr="00FD50F6">
              <w:t>mm</w:t>
            </w:r>
            <w:r w:rsidRPr="00FD50F6">
              <w:t>）</w:t>
            </w:r>
          </w:p>
        </w:tc>
        <w:tc>
          <w:tcPr>
            <w:tcW w:w="1996" w:type="pct"/>
            <w:tcMar>
              <w:left w:w="0" w:type="dxa"/>
              <w:right w:w="0" w:type="dxa"/>
            </w:tcMar>
            <w:vAlign w:val="center"/>
          </w:tcPr>
          <w:p w14:paraId="49006D4D" w14:textId="77777777" w:rsidR="001E2468" w:rsidRPr="00FD50F6" w:rsidRDefault="001E2468" w:rsidP="000831EC">
            <w:pPr>
              <w:pStyle w:val="7"/>
            </w:pPr>
            <w:r w:rsidRPr="00FD50F6">
              <w:t>填料类别</w:t>
            </w:r>
          </w:p>
        </w:tc>
        <w:tc>
          <w:tcPr>
            <w:tcW w:w="427" w:type="pct"/>
            <w:tcMar>
              <w:left w:w="0" w:type="dxa"/>
              <w:right w:w="0" w:type="dxa"/>
            </w:tcMar>
            <w:vAlign w:val="center"/>
          </w:tcPr>
          <w:p w14:paraId="306E091A" w14:textId="77777777" w:rsidR="001E2468" w:rsidRPr="00FD50F6" w:rsidRDefault="001E2468" w:rsidP="000831EC">
            <w:pPr>
              <w:pStyle w:val="7"/>
            </w:pPr>
            <w:r w:rsidRPr="00FD50F6">
              <w:t>压实系数</w:t>
            </w:r>
            <w:r w:rsidRPr="001A4CF3">
              <w:rPr>
                <w:i/>
                <w:iCs/>
              </w:rPr>
              <w:t>K</w:t>
            </w:r>
          </w:p>
        </w:tc>
        <w:tc>
          <w:tcPr>
            <w:tcW w:w="736" w:type="pct"/>
            <w:tcMar>
              <w:left w:w="0" w:type="dxa"/>
              <w:right w:w="0" w:type="dxa"/>
            </w:tcMar>
            <w:vAlign w:val="center"/>
          </w:tcPr>
          <w:p w14:paraId="085FF407" w14:textId="77777777" w:rsidR="001E2468" w:rsidRPr="00FD50F6" w:rsidRDefault="001E2468" w:rsidP="000831EC">
            <w:pPr>
              <w:pStyle w:val="7"/>
            </w:pPr>
            <w:r w:rsidRPr="00FD50F6">
              <w:rPr>
                <w:kern w:val="0"/>
              </w:rPr>
              <w:t>地基系数</w:t>
            </w:r>
            <w:r w:rsidRPr="001A4CF3">
              <w:rPr>
                <w:i/>
                <w:iCs/>
                <w:kern w:val="0"/>
              </w:rPr>
              <w:t>K</w:t>
            </w:r>
            <w:r w:rsidRPr="00FD50F6">
              <w:rPr>
                <w:kern w:val="0"/>
                <w:vertAlign w:val="subscript"/>
              </w:rPr>
              <w:t>30</w:t>
            </w:r>
            <w:r w:rsidRPr="00FD50F6">
              <w:rPr>
                <w:kern w:val="0"/>
              </w:rPr>
              <w:t>（</w:t>
            </w:r>
            <w:r w:rsidRPr="00FD50F6">
              <w:rPr>
                <w:kern w:val="0"/>
              </w:rPr>
              <w:t>MPa/m</w:t>
            </w:r>
            <w:r w:rsidRPr="00FD50F6">
              <w:rPr>
                <w:kern w:val="0"/>
              </w:rPr>
              <w:t>）</w:t>
            </w:r>
          </w:p>
        </w:tc>
        <w:tc>
          <w:tcPr>
            <w:tcW w:w="790" w:type="pct"/>
            <w:tcMar>
              <w:left w:w="0" w:type="dxa"/>
              <w:right w:w="0" w:type="dxa"/>
            </w:tcMar>
            <w:vAlign w:val="center"/>
          </w:tcPr>
          <w:p w14:paraId="64217241" w14:textId="77777777" w:rsidR="001E2468" w:rsidRPr="00FD50F6" w:rsidRDefault="001E2468" w:rsidP="000831EC">
            <w:pPr>
              <w:pStyle w:val="7"/>
              <w:rPr>
                <w:kern w:val="0"/>
              </w:rPr>
            </w:pPr>
            <w:r w:rsidRPr="00FD50F6">
              <w:rPr>
                <w:kern w:val="0"/>
              </w:rPr>
              <w:t>7d</w:t>
            </w:r>
            <w:r w:rsidRPr="00FD50F6">
              <w:rPr>
                <w:kern w:val="0"/>
              </w:rPr>
              <w:t>饱和无侧限抗压强度（</w:t>
            </w:r>
            <w:r w:rsidRPr="00FD50F6">
              <w:rPr>
                <w:kern w:val="0"/>
              </w:rPr>
              <w:t>kPa</w:t>
            </w:r>
            <w:r w:rsidRPr="00FD50F6">
              <w:rPr>
                <w:kern w:val="0"/>
              </w:rPr>
              <w:t>）</w:t>
            </w:r>
          </w:p>
        </w:tc>
      </w:tr>
      <w:tr w:rsidR="00FD50F6" w:rsidRPr="00FD50F6" w14:paraId="7A663B81" w14:textId="77777777" w:rsidTr="000831EC">
        <w:trPr>
          <w:trHeight w:val="283"/>
          <w:jc w:val="center"/>
        </w:trPr>
        <w:tc>
          <w:tcPr>
            <w:tcW w:w="379" w:type="pct"/>
            <w:vMerge w:val="restart"/>
            <w:tcMar>
              <w:left w:w="0" w:type="dxa"/>
              <w:right w:w="0" w:type="dxa"/>
            </w:tcMar>
            <w:vAlign w:val="center"/>
          </w:tcPr>
          <w:p w14:paraId="2BE15D07" w14:textId="77777777" w:rsidR="001E2468" w:rsidRPr="00FD50F6" w:rsidRDefault="001E2468" w:rsidP="000831EC">
            <w:pPr>
              <w:pStyle w:val="7"/>
            </w:pPr>
            <w:r w:rsidRPr="00FD50F6">
              <w:rPr>
                <w:rFonts w:hint="eastAsia"/>
              </w:rPr>
              <w:t>无</w:t>
            </w:r>
            <w:r w:rsidRPr="00FD50F6">
              <w:t>砟</w:t>
            </w:r>
          </w:p>
          <w:p w14:paraId="7FBA9E4B" w14:textId="77777777" w:rsidR="001E2468" w:rsidRPr="00FD50F6" w:rsidRDefault="001E2468" w:rsidP="000831EC">
            <w:pPr>
              <w:pStyle w:val="7"/>
            </w:pPr>
            <w:r w:rsidRPr="00FD50F6">
              <w:rPr>
                <w:rFonts w:hint="eastAsia"/>
              </w:rPr>
              <w:t>道床</w:t>
            </w:r>
          </w:p>
        </w:tc>
        <w:tc>
          <w:tcPr>
            <w:tcW w:w="672" w:type="pct"/>
            <w:vMerge w:val="restart"/>
            <w:tcMar>
              <w:left w:w="0" w:type="dxa"/>
              <w:right w:w="0" w:type="dxa"/>
            </w:tcMar>
            <w:vAlign w:val="center"/>
          </w:tcPr>
          <w:p w14:paraId="3557B1C3" w14:textId="77777777" w:rsidR="001E2468" w:rsidRPr="00FD50F6" w:rsidRDefault="001E2468" w:rsidP="000831EC">
            <w:pPr>
              <w:pStyle w:val="7"/>
            </w:pPr>
            <w:r w:rsidRPr="00FD50F6">
              <w:rPr>
                <w:rFonts w:hint="eastAsia"/>
              </w:rPr>
              <w:t>75</w:t>
            </w:r>
          </w:p>
        </w:tc>
        <w:tc>
          <w:tcPr>
            <w:tcW w:w="1996" w:type="pct"/>
            <w:tcMar>
              <w:left w:w="0" w:type="dxa"/>
              <w:right w:w="0" w:type="dxa"/>
            </w:tcMar>
            <w:vAlign w:val="center"/>
          </w:tcPr>
          <w:p w14:paraId="004B4BE7" w14:textId="77777777" w:rsidR="001E2468" w:rsidRPr="00FD50F6" w:rsidRDefault="001E2468" w:rsidP="000831EC">
            <w:pPr>
              <w:pStyle w:val="7"/>
              <w:rPr>
                <w:kern w:val="0"/>
              </w:rPr>
            </w:pPr>
            <w:r w:rsidRPr="00FD50F6">
              <w:rPr>
                <w:kern w:val="0"/>
              </w:rPr>
              <w:t>砂类土</w:t>
            </w:r>
            <w:r w:rsidRPr="00FD50F6">
              <w:rPr>
                <w:rFonts w:hint="eastAsia"/>
                <w:kern w:val="0"/>
              </w:rPr>
              <w:t>及细</w:t>
            </w:r>
            <w:r w:rsidRPr="00FD50F6">
              <w:rPr>
                <w:kern w:val="0"/>
              </w:rPr>
              <w:t>砾</w:t>
            </w:r>
            <w:r w:rsidRPr="00FD50F6">
              <w:rPr>
                <w:rFonts w:hint="eastAsia"/>
                <w:kern w:val="0"/>
              </w:rPr>
              <w:t>土</w:t>
            </w:r>
          </w:p>
        </w:tc>
        <w:tc>
          <w:tcPr>
            <w:tcW w:w="427" w:type="pct"/>
            <w:tcMar>
              <w:left w:w="0" w:type="dxa"/>
              <w:right w:w="0" w:type="dxa"/>
            </w:tcMar>
            <w:vAlign w:val="center"/>
          </w:tcPr>
          <w:p w14:paraId="63AB8A06" w14:textId="77777777" w:rsidR="001E2468" w:rsidRPr="00FD50F6" w:rsidRDefault="001E2468" w:rsidP="000831EC">
            <w:pPr>
              <w:pStyle w:val="7"/>
            </w:pPr>
            <w:r w:rsidRPr="00FD50F6">
              <w:t>≥0.9</w:t>
            </w:r>
            <w:r w:rsidRPr="00FD50F6">
              <w:rPr>
                <w:rFonts w:hint="eastAsia"/>
              </w:rPr>
              <w:t>2</w:t>
            </w:r>
          </w:p>
        </w:tc>
        <w:tc>
          <w:tcPr>
            <w:tcW w:w="736" w:type="pct"/>
            <w:tcMar>
              <w:left w:w="0" w:type="dxa"/>
              <w:right w:w="0" w:type="dxa"/>
            </w:tcMar>
            <w:vAlign w:val="center"/>
          </w:tcPr>
          <w:p w14:paraId="46DAEF5B" w14:textId="77777777" w:rsidR="001E2468" w:rsidRPr="00FD50F6" w:rsidRDefault="001E2468" w:rsidP="000831EC">
            <w:pPr>
              <w:pStyle w:val="7"/>
            </w:pPr>
            <w:r w:rsidRPr="00FD50F6">
              <w:t>≥1</w:t>
            </w:r>
            <w:r w:rsidRPr="00FD50F6">
              <w:rPr>
                <w:rFonts w:hint="eastAsia"/>
              </w:rPr>
              <w:t>1</w:t>
            </w:r>
            <w:r w:rsidRPr="00FD50F6">
              <w:t>0</w:t>
            </w:r>
          </w:p>
        </w:tc>
        <w:tc>
          <w:tcPr>
            <w:tcW w:w="790" w:type="pct"/>
            <w:tcMar>
              <w:left w:w="0" w:type="dxa"/>
              <w:right w:w="0" w:type="dxa"/>
            </w:tcMar>
            <w:vAlign w:val="center"/>
          </w:tcPr>
          <w:p w14:paraId="581D62DA" w14:textId="77777777" w:rsidR="001E2468" w:rsidRPr="00FD50F6" w:rsidRDefault="001E2468" w:rsidP="000831EC">
            <w:pPr>
              <w:pStyle w:val="7"/>
            </w:pPr>
            <w:r w:rsidRPr="00FD50F6">
              <w:rPr>
                <w:rFonts w:hint="eastAsia"/>
              </w:rPr>
              <w:t>-</w:t>
            </w:r>
          </w:p>
        </w:tc>
      </w:tr>
      <w:tr w:rsidR="00FD50F6" w:rsidRPr="00FD50F6" w14:paraId="5975B4BC" w14:textId="77777777" w:rsidTr="000831EC">
        <w:trPr>
          <w:trHeight w:val="373"/>
          <w:jc w:val="center"/>
        </w:trPr>
        <w:tc>
          <w:tcPr>
            <w:tcW w:w="379" w:type="pct"/>
            <w:vMerge/>
            <w:tcMar>
              <w:left w:w="0" w:type="dxa"/>
              <w:right w:w="0" w:type="dxa"/>
            </w:tcMar>
            <w:vAlign w:val="center"/>
          </w:tcPr>
          <w:p w14:paraId="3F05BCCC" w14:textId="77777777" w:rsidR="001E2468" w:rsidRPr="00FD50F6" w:rsidRDefault="001E2468" w:rsidP="000831EC">
            <w:pPr>
              <w:pStyle w:val="7"/>
            </w:pPr>
          </w:p>
        </w:tc>
        <w:tc>
          <w:tcPr>
            <w:tcW w:w="672" w:type="pct"/>
            <w:vMerge/>
            <w:tcMar>
              <w:left w:w="0" w:type="dxa"/>
              <w:right w:w="0" w:type="dxa"/>
            </w:tcMar>
            <w:vAlign w:val="center"/>
          </w:tcPr>
          <w:p w14:paraId="5A28BE8A" w14:textId="77777777" w:rsidR="001E2468" w:rsidRPr="00FD50F6" w:rsidRDefault="001E2468" w:rsidP="000831EC">
            <w:pPr>
              <w:pStyle w:val="7"/>
            </w:pPr>
          </w:p>
        </w:tc>
        <w:tc>
          <w:tcPr>
            <w:tcW w:w="1996" w:type="pct"/>
            <w:tcMar>
              <w:left w:w="0" w:type="dxa"/>
              <w:right w:w="0" w:type="dxa"/>
            </w:tcMar>
            <w:vAlign w:val="center"/>
          </w:tcPr>
          <w:p w14:paraId="6822AB91" w14:textId="77777777" w:rsidR="001E2468" w:rsidRPr="00FD50F6" w:rsidRDefault="001E2468" w:rsidP="000831EC">
            <w:pPr>
              <w:pStyle w:val="7"/>
              <w:rPr>
                <w:kern w:val="0"/>
              </w:rPr>
            </w:pPr>
            <w:r w:rsidRPr="00FD50F6">
              <w:rPr>
                <w:kern w:val="0"/>
              </w:rPr>
              <w:t>碎石</w:t>
            </w:r>
            <w:r w:rsidRPr="00FD50F6">
              <w:rPr>
                <w:rFonts w:hint="eastAsia"/>
                <w:kern w:val="0"/>
              </w:rPr>
              <w:t>土及粗砾土</w:t>
            </w:r>
          </w:p>
        </w:tc>
        <w:tc>
          <w:tcPr>
            <w:tcW w:w="427" w:type="pct"/>
            <w:tcMar>
              <w:left w:w="0" w:type="dxa"/>
              <w:right w:w="0" w:type="dxa"/>
            </w:tcMar>
            <w:vAlign w:val="center"/>
          </w:tcPr>
          <w:p w14:paraId="151CC80C" w14:textId="77777777" w:rsidR="001E2468" w:rsidRPr="00FD50F6" w:rsidRDefault="001E2468" w:rsidP="000831EC">
            <w:pPr>
              <w:pStyle w:val="7"/>
            </w:pPr>
            <w:r w:rsidRPr="00FD50F6">
              <w:t>≥0.9</w:t>
            </w:r>
            <w:r w:rsidRPr="00FD50F6">
              <w:rPr>
                <w:rFonts w:hint="eastAsia"/>
              </w:rPr>
              <w:t>2</w:t>
            </w:r>
          </w:p>
        </w:tc>
        <w:tc>
          <w:tcPr>
            <w:tcW w:w="736" w:type="pct"/>
            <w:tcMar>
              <w:left w:w="0" w:type="dxa"/>
              <w:right w:w="0" w:type="dxa"/>
            </w:tcMar>
            <w:vAlign w:val="center"/>
          </w:tcPr>
          <w:p w14:paraId="0C333D31" w14:textId="77777777" w:rsidR="001E2468" w:rsidRPr="00FD50F6" w:rsidRDefault="001E2468" w:rsidP="000831EC">
            <w:pPr>
              <w:pStyle w:val="7"/>
            </w:pPr>
            <w:r w:rsidRPr="00FD50F6">
              <w:t>≥1</w:t>
            </w:r>
            <w:r w:rsidRPr="00FD50F6">
              <w:rPr>
                <w:rFonts w:hint="eastAsia"/>
              </w:rPr>
              <w:t>0</w:t>
            </w:r>
            <w:r w:rsidRPr="00FD50F6">
              <w:t>0</w:t>
            </w:r>
          </w:p>
        </w:tc>
        <w:tc>
          <w:tcPr>
            <w:tcW w:w="790" w:type="pct"/>
            <w:tcMar>
              <w:left w:w="0" w:type="dxa"/>
              <w:right w:w="0" w:type="dxa"/>
            </w:tcMar>
            <w:vAlign w:val="center"/>
          </w:tcPr>
          <w:p w14:paraId="24BF498F" w14:textId="77777777" w:rsidR="001E2468" w:rsidRPr="00FD50F6" w:rsidRDefault="001E2468" w:rsidP="000831EC">
            <w:pPr>
              <w:pStyle w:val="7"/>
            </w:pPr>
            <w:r w:rsidRPr="00FD50F6">
              <w:rPr>
                <w:rFonts w:hint="eastAsia"/>
              </w:rPr>
              <w:t>-</w:t>
            </w:r>
          </w:p>
        </w:tc>
      </w:tr>
      <w:tr w:rsidR="00FD50F6" w:rsidRPr="00FD50F6" w14:paraId="69957817" w14:textId="77777777" w:rsidTr="000831EC">
        <w:trPr>
          <w:trHeight w:val="239"/>
          <w:jc w:val="center"/>
        </w:trPr>
        <w:tc>
          <w:tcPr>
            <w:tcW w:w="379" w:type="pct"/>
            <w:vMerge/>
            <w:tcMar>
              <w:left w:w="0" w:type="dxa"/>
              <w:right w:w="0" w:type="dxa"/>
            </w:tcMar>
            <w:vAlign w:val="center"/>
          </w:tcPr>
          <w:p w14:paraId="13A37C92" w14:textId="77777777" w:rsidR="001E2468" w:rsidRPr="00FD50F6" w:rsidRDefault="001E2468" w:rsidP="000831EC">
            <w:pPr>
              <w:pStyle w:val="7"/>
            </w:pPr>
          </w:p>
        </w:tc>
        <w:tc>
          <w:tcPr>
            <w:tcW w:w="672" w:type="pct"/>
            <w:vMerge/>
            <w:tcMar>
              <w:left w:w="0" w:type="dxa"/>
              <w:right w:w="0" w:type="dxa"/>
            </w:tcMar>
            <w:vAlign w:val="center"/>
          </w:tcPr>
          <w:p w14:paraId="01EEB294" w14:textId="77777777" w:rsidR="001E2468" w:rsidRPr="00FD50F6" w:rsidRDefault="001E2468" w:rsidP="000831EC">
            <w:pPr>
              <w:pStyle w:val="7"/>
            </w:pPr>
          </w:p>
        </w:tc>
        <w:tc>
          <w:tcPr>
            <w:tcW w:w="1996" w:type="pct"/>
            <w:tcMar>
              <w:left w:w="0" w:type="dxa"/>
              <w:right w:w="0" w:type="dxa"/>
            </w:tcMar>
            <w:vAlign w:val="center"/>
          </w:tcPr>
          <w:p w14:paraId="3D457A75" w14:textId="77777777" w:rsidR="001E2468" w:rsidRPr="00FD50F6" w:rsidRDefault="001E2468" w:rsidP="000831EC">
            <w:pPr>
              <w:pStyle w:val="7"/>
              <w:rPr>
                <w:kern w:val="0"/>
              </w:rPr>
            </w:pPr>
            <w:r w:rsidRPr="00FD50F6">
              <w:rPr>
                <w:kern w:val="0"/>
              </w:rPr>
              <w:t>化学改良土</w:t>
            </w:r>
          </w:p>
        </w:tc>
        <w:tc>
          <w:tcPr>
            <w:tcW w:w="427" w:type="pct"/>
            <w:tcMar>
              <w:left w:w="0" w:type="dxa"/>
              <w:right w:w="0" w:type="dxa"/>
            </w:tcMar>
            <w:vAlign w:val="center"/>
          </w:tcPr>
          <w:p w14:paraId="2D77B82B" w14:textId="77777777" w:rsidR="001E2468" w:rsidRPr="00FD50F6" w:rsidRDefault="001E2468" w:rsidP="000831EC">
            <w:pPr>
              <w:pStyle w:val="7"/>
            </w:pPr>
            <w:r w:rsidRPr="00FD50F6">
              <w:t>≥0.9</w:t>
            </w:r>
            <w:r w:rsidRPr="00FD50F6">
              <w:rPr>
                <w:rFonts w:hint="eastAsia"/>
              </w:rPr>
              <w:t>2</w:t>
            </w:r>
          </w:p>
        </w:tc>
        <w:tc>
          <w:tcPr>
            <w:tcW w:w="736" w:type="pct"/>
            <w:tcMar>
              <w:left w:w="0" w:type="dxa"/>
              <w:right w:w="0" w:type="dxa"/>
            </w:tcMar>
            <w:vAlign w:val="center"/>
          </w:tcPr>
          <w:p w14:paraId="64E1160C" w14:textId="77777777" w:rsidR="001E2468" w:rsidRPr="00FD50F6" w:rsidRDefault="001E2468" w:rsidP="000831EC">
            <w:pPr>
              <w:pStyle w:val="7"/>
            </w:pPr>
            <w:r w:rsidRPr="00FD50F6">
              <w:rPr>
                <w:rFonts w:hint="eastAsia"/>
              </w:rPr>
              <w:t>-</w:t>
            </w:r>
          </w:p>
        </w:tc>
        <w:tc>
          <w:tcPr>
            <w:tcW w:w="790" w:type="pct"/>
            <w:tcMar>
              <w:left w:w="0" w:type="dxa"/>
              <w:right w:w="0" w:type="dxa"/>
            </w:tcMar>
            <w:vAlign w:val="center"/>
          </w:tcPr>
          <w:p w14:paraId="2A17AEB1" w14:textId="77777777" w:rsidR="001E2468" w:rsidRPr="00FD50F6" w:rsidRDefault="001E2468" w:rsidP="000831EC">
            <w:pPr>
              <w:pStyle w:val="7"/>
            </w:pPr>
            <w:r w:rsidRPr="00FD50F6">
              <w:t>≥</w:t>
            </w:r>
            <w:r w:rsidRPr="00FD50F6">
              <w:rPr>
                <w:rFonts w:hint="eastAsia"/>
              </w:rPr>
              <w:t>2</w:t>
            </w:r>
            <w:r w:rsidRPr="00FD50F6">
              <w:t>50</w:t>
            </w:r>
          </w:p>
        </w:tc>
      </w:tr>
      <w:tr w:rsidR="00FD50F6" w:rsidRPr="00FD50F6" w14:paraId="70CC9C22" w14:textId="77777777" w:rsidTr="000831EC">
        <w:trPr>
          <w:trHeight w:val="221"/>
          <w:jc w:val="center"/>
        </w:trPr>
        <w:tc>
          <w:tcPr>
            <w:tcW w:w="379" w:type="pct"/>
            <w:vMerge w:val="restart"/>
            <w:tcMar>
              <w:left w:w="0" w:type="dxa"/>
              <w:right w:w="0" w:type="dxa"/>
            </w:tcMar>
            <w:vAlign w:val="center"/>
          </w:tcPr>
          <w:p w14:paraId="262D089D" w14:textId="77777777" w:rsidR="001E2468" w:rsidRPr="00FD50F6" w:rsidRDefault="001E2468" w:rsidP="000831EC">
            <w:pPr>
              <w:pStyle w:val="7"/>
            </w:pPr>
            <w:r w:rsidRPr="00FD50F6">
              <w:rPr>
                <w:rFonts w:hint="eastAsia"/>
              </w:rPr>
              <w:t>有</w:t>
            </w:r>
            <w:r w:rsidRPr="00FD50F6">
              <w:t>砟</w:t>
            </w:r>
          </w:p>
          <w:p w14:paraId="28B024FC" w14:textId="77777777" w:rsidR="001E2468" w:rsidRPr="00FD50F6" w:rsidRDefault="001E2468" w:rsidP="000831EC">
            <w:pPr>
              <w:pStyle w:val="7"/>
            </w:pPr>
            <w:r w:rsidRPr="00FD50F6">
              <w:rPr>
                <w:rFonts w:hint="eastAsia"/>
              </w:rPr>
              <w:t>道床</w:t>
            </w:r>
          </w:p>
        </w:tc>
        <w:tc>
          <w:tcPr>
            <w:tcW w:w="672" w:type="pct"/>
            <w:vMerge w:val="restart"/>
            <w:tcMar>
              <w:left w:w="0" w:type="dxa"/>
              <w:right w:w="0" w:type="dxa"/>
            </w:tcMar>
            <w:vAlign w:val="center"/>
          </w:tcPr>
          <w:p w14:paraId="0887A8FF" w14:textId="77777777" w:rsidR="001E2468" w:rsidRPr="00FD50F6" w:rsidRDefault="001E2468" w:rsidP="000831EC">
            <w:pPr>
              <w:pStyle w:val="7"/>
            </w:pPr>
            <w:r w:rsidRPr="00FD50F6">
              <w:rPr>
                <w:rFonts w:hint="eastAsia"/>
              </w:rPr>
              <w:t>3</w:t>
            </w:r>
            <w:r w:rsidRPr="00FD50F6">
              <w:t>00</w:t>
            </w:r>
          </w:p>
        </w:tc>
        <w:tc>
          <w:tcPr>
            <w:tcW w:w="1996" w:type="pct"/>
            <w:tcMar>
              <w:left w:w="0" w:type="dxa"/>
              <w:right w:w="0" w:type="dxa"/>
            </w:tcMar>
            <w:vAlign w:val="center"/>
          </w:tcPr>
          <w:p w14:paraId="576B031F" w14:textId="77777777" w:rsidR="001E2468" w:rsidRPr="00FD50F6" w:rsidRDefault="001E2468" w:rsidP="000831EC">
            <w:pPr>
              <w:pStyle w:val="7"/>
              <w:rPr>
                <w:kern w:val="0"/>
              </w:rPr>
            </w:pPr>
            <w:r w:rsidRPr="00FD50F6">
              <w:rPr>
                <w:rFonts w:hint="eastAsia"/>
                <w:kern w:val="0"/>
              </w:rPr>
              <w:t>细粒土、砂类土</w:t>
            </w:r>
          </w:p>
        </w:tc>
        <w:tc>
          <w:tcPr>
            <w:tcW w:w="427" w:type="pct"/>
            <w:tcMar>
              <w:left w:w="0" w:type="dxa"/>
              <w:right w:w="0" w:type="dxa"/>
            </w:tcMar>
            <w:vAlign w:val="center"/>
          </w:tcPr>
          <w:p w14:paraId="3F6396DA" w14:textId="77777777" w:rsidR="001E2468" w:rsidRPr="00FD50F6" w:rsidRDefault="001E2468" w:rsidP="000831EC">
            <w:pPr>
              <w:pStyle w:val="7"/>
            </w:pPr>
            <w:r w:rsidRPr="00FD50F6">
              <w:t>≥0.9</w:t>
            </w:r>
            <w:r w:rsidRPr="00FD50F6">
              <w:rPr>
                <w:rFonts w:hint="eastAsia"/>
              </w:rPr>
              <w:t>0</w:t>
            </w:r>
          </w:p>
        </w:tc>
        <w:tc>
          <w:tcPr>
            <w:tcW w:w="736" w:type="pct"/>
            <w:tcMar>
              <w:left w:w="0" w:type="dxa"/>
              <w:right w:w="0" w:type="dxa"/>
            </w:tcMar>
            <w:vAlign w:val="center"/>
          </w:tcPr>
          <w:p w14:paraId="6A9EF3D2" w14:textId="77777777" w:rsidR="001E2468" w:rsidRPr="00FD50F6" w:rsidRDefault="001E2468" w:rsidP="000831EC">
            <w:pPr>
              <w:pStyle w:val="7"/>
            </w:pPr>
            <w:r w:rsidRPr="00FD50F6">
              <w:t>≥</w:t>
            </w:r>
            <w:r w:rsidRPr="00FD50F6">
              <w:rPr>
                <w:rFonts w:hint="eastAsia"/>
              </w:rPr>
              <w:t>8</w:t>
            </w:r>
            <w:r w:rsidRPr="00FD50F6">
              <w:t>0</w:t>
            </w:r>
          </w:p>
        </w:tc>
        <w:tc>
          <w:tcPr>
            <w:tcW w:w="790" w:type="pct"/>
            <w:tcMar>
              <w:left w:w="0" w:type="dxa"/>
              <w:right w:w="0" w:type="dxa"/>
            </w:tcMar>
            <w:vAlign w:val="center"/>
          </w:tcPr>
          <w:p w14:paraId="6EFCBC31" w14:textId="77777777" w:rsidR="001E2468" w:rsidRPr="00FD50F6" w:rsidRDefault="001E2468" w:rsidP="000831EC">
            <w:pPr>
              <w:pStyle w:val="7"/>
            </w:pPr>
            <w:r w:rsidRPr="00FD50F6">
              <w:rPr>
                <w:rFonts w:hint="eastAsia"/>
              </w:rPr>
              <w:t>-</w:t>
            </w:r>
          </w:p>
        </w:tc>
      </w:tr>
      <w:tr w:rsidR="00FD50F6" w:rsidRPr="00FD50F6" w14:paraId="66989E25" w14:textId="77777777" w:rsidTr="000831EC">
        <w:trPr>
          <w:trHeight w:val="344"/>
          <w:jc w:val="center"/>
        </w:trPr>
        <w:tc>
          <w:tcPr>
            <w:tcW w:w="379" w:type="pct"/>
            <w:vMerge/>
            <w:tcMar>
              <w:left w:w="0" w:type="dxa"/>
              <w:right w:w="0" w:type="dxa"/>
            </w:tcMar>
            <w:vAlign w:val="center"/>
          </w:tcPr>
          <w:p w14:paraId="748EB9C3" w14:textId="77777777" w:rsidR="001E2468" w:rsidRPr="00FD50F6" w:rsidRDefault="001E2468" w:rsidP="000831EC">
            <w:pPr>
              <w:pStyle w:val="7"/>
            </w:pPr>
          </w:p>
        </w:tc>
        <w:tc>
          <w:tcPr>
            <w:tcW w:w="672" w:type="pct"/>
            <w:vMerge/>
            <w:tcMar>
              <w:left w:w="0" w:type="dxa"/>
              <w:right w:w="0" w:type="dxa"/>
            </w:tcMar>
            <w:vAlign w:val="center"/>
          </w:tcPr>
          <w:p w14:paraId="22795FF5" w14:textId="77777777" w:rsidR="001E2468" w:rsidRPr="00FD50F6" w:rsidRDefault="001E2468" w:rsidP="000831EC">
            <w:pPr>
              <w:pStyle w:val="7"/>
            </w:pPr>
          </w:p>
        </w:tc>
        <w:tc>
          <w:tcPr>
            <w:tcW w:w="1996" w:type="pct"/>
            <w:tcMar>
              <w:left w:w="0" w:type="dxa"/>
              <w:right w:w="0" w:type="dxa"/>
            </w:tcMar>
            <w:vAlign w:val="center"/>
          </w:tcPr>
          <w:p w14:paraId="2563060F" w14:textId="77777777" w:rsidR="001E2468" w:rsidRPr="00FD50F6" w:rsidRDefault="001E2468" w:rsidP="000831EC">
            <w:pPr>
              <w:pStyle w:val="7"/>
              <w:rPr>
                <w:kern w:val="0"/>
              </w:rPr>
            </w:pPr>
            <w:r w:rsidRPr="00FD50F6">
              <w:rPr>
                <w:kern w:val="0"/>
              </w:rPr>
              <w:t>碎石</w:t>
            </w:r>
            <w:r w:rsidRPr="00FD50F6">
              <w:rPr>
                <w:rFonts w:hint="eastAsia"/>
                <w:kern w:val="0"/>
              </w:rPr>
              <w:t>类、碎石土</w:t>
            </w:r>
          </w:p>
        </w:tc>
        <w:tc>
          <w:tcPr>
            <w:tcW w:w="427" w:type="pct"/>
            <w:tcMar>
              <w:left w:w="0" w:type="dxa"/>
              <w:right w:w="0" w:type="dxa"/>
            </w:tcMar>
            <w:vAlign w:val="center"/>
          </w:tcPr>
          <w:p w14:paraId="62EC2EEF" w14:textId="77777777" w:rsidR="001E2468" w:rsidRPr="00FD50F6" w:rsidRDefault="001E2468" w:rsidP="000831EC">
            <w:pPr>
              <w:pStyle w:val="7"/>
            </w:pPr>
            <w:r w:rsidRPr="00FD50F6">
              <w:t>≥0.9</w:t>
            </w:r>
            <w:r w:rsidRPr="00FD50F6">
              <w:rPr>
                <w:rFonts w:hint="eastAsia"/>
              </w:rPr>
              <w:t>0</w:t>
            </w:r>
          </w:p>
        </w:tc>
        <w:tc>
          <w:tcPr>
            <w:tcW w:w="736" w:type="pct"/>
            <w:tcMar>
              <w:left w:w="0" w:type="dxa"/>
              <w:right w:w="0" w:type="dxa"/>
            </w:tcMar>
            <w:vAlign w:val="center"/>
          </w:tcPr>
          <w:p w14:paraId="19D17D97" w14:textId="77777777" w:rsidR="001E2468" w:rsidRPr="00FD50F6" w:rsidRDefault="001E2468" w:rsidP="000831EC">
            <w:pPr>
              <w:pStyle w:val="7"/>
            </w:pPr>
            <w:r w:rsidRPr="00FD50F6">
              <w:t>≥</w:t>
            </w:r>
            <w:r w:rsidRPr="00FD50F6">
              <w:rPr>
                <w:rFonts w:hint="eastAsia"/>
              </w:rPr>
              <w:t>11</w:t>
            </w:r>
            <w:r w:rsidRPr="00FD50F6">
              <w:t>0</w:t>
            </w:r>
          </w:p>
        </w:tc>
        <w:tc>
          <w:tcPr>
            <w:tcW w:w="790" w:type="pct"/>
            <w:tcMar>
              <w:left w:w="0" w:type="dxa"/>
              <w:right w:w="0" w:type="dxa"/>
            </w:tcMar>
            <w:vAlign w:val="center"/>
          </w:tcPr>
          <w:p w14:paraId="14CBB983" w14:textId="77777777" w:rsidR="001E2468" w:rsidRPr="00FD50F6" w:rsidRDefault="001E2468" w:rsidP="000831EC">
            <w:pPr>
              <w:pStyle w:val="7"/>
            </w:pPr>
            <w:r w:rsidRPr="00FD50F6">
              <w:rPr>
                <w:rFonts w:hint="eastAsia"/>
              </w:rPr>
              <w:t>-</w:t>
            </w:r>
          </w:p>
        </w:tc>
      </w:tr>
      <w:tr w:rsidR="00FD50F6" w:rsidRPr="00FD50F6" w14:paraId="2CF7C732" w14:textId="77777777" w:rsidTr="000831EC">
        <w:trPr>
          <w:trHeight w:val="221"/>
          <w:jc w:val="center"/>
        </w:trPr>
        <w:tc>
          <w:tcPr>
            <w:tcW w:w="379" w:type="pct"/>
            <w:vMerge/>
            <w:tcMar>
              <w:left w:w="0" w:type="dxa"/>
              <w:right w:w="0" w:type="dxa"/>
            </w:tcMar>
            <w:vAlign w:val="center"/>
          </w:tcPr>
          <w:p w14:paraId="07F7DD31" w14:textId="77777777" w:rsidR="001E2468" w:rsidRPr="00FD50F6" w:rsidRDefault="001E2468" w:rsidP="000831EC">
            <w:pPr>
              <w:pStyle w:val="7"/>
            </w:pPr>
          </w:p>
        </w:tc>
        <w:tc>
          <w:tcPr>
            <w:tcW w:w="672" w:type="pct"/>
            <w:vMerge/>
            <w:tcMar>
              <w:left w:w="0" w:type="dxa"/>
              <w:right w:w="0" w:type="dxa"/>
            </w:tcMar>
            <w:vAlign w:val="center"/>
          </w:tcPr>
          <w:p w14:paraId="4AED5BEB" w14:textId="77777777" w:rsidR="001E2468" w:rsidRPr="00FD50F6" w:rsidRDefault="001E2468" w:rsidP="000831EC">
            <w:pPr>
              <w:pStyle w:val="7"/>
            </w:pPr>
          </w:p>
        </w:tc>
        <w:tc>
          <w:tcPr>
            <w:tcW w:w="1996" w:type="pct"/>
            <w:tcMar>
              <w:left w:w="0" w:type="dxa"/>
              <w:right w:w="0" w:type="dxa"/>
            </w:tcMar>
            <w:vAlign w:val="center"/>
          </w:tcPr>
          <w:p w14:paraId="0EEC2C47" w14:textId="77777777" w:rsidR="001E2468" w:rsidRPr="00FD50F6" w:rsidRDefault="001E2468" w:rsidP="000831EC">
            <w:pPr>
              <w:pStyle w:val="7"/>
              <w:rPr>
                <w:kern w:val="0"/>
              </w:rPr>
            </w:pPr>
            <w:r w:rsidRPr="00FD50F6">
              <w:rPr>
                <w:rFonts w:hint="eastAsia"/>
                <w:kern w:val="0"/>
              </w:rPr>
              <w:t>块石土</w:t>
            </w:r>
          </w:p>
        </w:tc>
        <w:tc>
          <w:tcPr>
            <w:tcW w:w="427" w:type="pct"/>
            <w:tcMar>
              <w:left w:w="0" w:type="dxa"/>
              <w:right w:w="0" w:type="dxa"/>
            </w:tcMar>
            <w:vAlign w:val="center"/>
          </w:tcPr>
          <w:p w14:paraId="156B5478" w14:textId="77777777" w:rsidR="001E2468" w:rsidRPr="00FD50F6" w:rsidRDefault="001E2468" w:rsidP="000831EC">
            <w:pPr>
              <w:pStyle w:val="7"/>
            </w:pPr>
            <w:r w:rsidRPr="00FD50F6">
              <w:t>≥0.9</w:t>
            </w:r>
            <w:r w:rsidRPr="00FD50F6">
              <w:rPr>
                <w:rFonts w:hint="eastAsia"/>
              </w:rPr>
              <w:t>0</w:t>
            </w:r>
          </w:p>
        </w:tc>
        <w:tc>
          <w:tcPr>
            <w:tcW w:w="736" w:type="pct"/>
            <w:tcMar>
              <w:left w:w="0" w:type="dxa"/>
              <w:right w:w="0" w:type="dxa"/>
            </w:tcMar>
            <w:vAlign w:val="center"/>
          </w:tcPr>
          <w:p w14:paraId="51944DAB" w14:textId="77777777" w:rsidR="001E2468" w:rsidRPr="00FD50F6" w:rsidRDefault="001E2468" w:rsidP="000831EC">
            <w:pPr>
              <w:pStyle w:val="7"/>
            </w:pPr>
            <w:r w:rsidRPr="00FD50F6">
              <w:t>≥</w:t>
            </w:r>
            <w:r w:rsidRPr="00FD50F6">
              <w:rPr>
                <w:rFonts w:hint="eastAsia"/>
              </w:rPr>
              <w:t>13</w:t>
            </w:r>
            <w:r w:rsidRPr="00FD50F6">
              <w:t>0</w:t>
            </w:r>
          </w:p>
        </w:tc>
        <w:tc>
          <w:tcPr>
            <w:tcW w:w="790" w:type="pct"/>
            <w:tcMar>
              <w:left w:w="0" w:type="dxa"/>
              <w:right w:w="0" w:type="dxa"/>
            </w:tcMar>
            <w:vAlign w:val="center"/>
          </w:tcPr>
          <w:p w14:paraId="41747D4D" w14:textId="77777777" w:rsidR="001E2468" w:rsidRPr="00FD50F6" w:rsidRDefault="001E2468" w:rsidP="000831EC">
            <w:pPr>
              <w:pStyle w:val="7"/>
            </w:pPr>
            <w:r w:rsidRPr="00FD50F6">
              <w:rPr>
                <w:rFonts w:hint="eastAsia"/>
              </w:rPr>
              <w:t>-</w:t>
            </w:r>
          </w:p>
        </w:tc>
      </w:tr>
      <w:tr w:rsidR="00FD50F6" w:rsidRPr="00FD50F6" w14:paraId="3CE0813C" w14:textId="77777777" w:rsidTr="000831EC">
        <w:trPr>
          <w:trHeight w:val="239"/>
          <w:jc w:val="center"/>
        </w:trPr>
        <w:tc>
          <w:tcPr>
            <w:tcW w:w="379" w:type="pct"/>
            <w:vMerge/>
            <w:tcMar>
              <w:left w:w="0" w:type="dxa"/>
              <w:right w:w="0" w:type="dxa"/>
            </w:tcMar>
            <w:vAlign w:val="center"/>
          </w:tcPr>
          <w:p w14:paraId="38A182EF" w14:textId="77777777" w:rsidR="001E2468" w:rsidRPr="00FD50F6" w:rsidRDefault="001E2468" w:rsidP="000831EC">
            <w:pPr>
              <w:pStyle w:val="7"/>
            </w:pPr>
          </w:p>
        </w:tc>
        <w:tc>
          <w:tcPr>
            <w:tcW w:w="672" w:type="pct"/>
            <w:vMerge/>
            <w:tcMar>
              <w:left w:w="0" w:type="dxa"/>
              <w:right w:w="0" w:type="dxa"/>
            </w:tcMar>
            <w:vAlign w:val="center"/>
          </w:tcPr>
          <w:p w14:paraId="2728E663" w14:textId="77777777" w:rsidR="001E2468" w:rsidRPr="00FD50F6" w:rsidRDefault="001E2468" w:rsidP="000831EC">
            <w:pPr>
              <w:pStyle w:val="7"/>
            </w:pPr>
          </w:p>
        </w:tc>
        <w:tc>
          <w:tcPr>
            <w:tcW w:w="1996" w:type="pct"/>
            <w:tcMar>
              <w:left w:w="0" w:type="dxa"/>
              <w:right w:w="0" w:type="dxa"/>
            </w:tcMar>
            <w:vAlign w:val="center"/>
          </w:tcPr>
          <w:p w14:paraId="671B3C74" w14:textId="77777777" w:rsidR="001E2468" w:rsidRPr="00FD50F6" w:rsidRDefault="001E2468" w:rsidP="000831EC">
            <w:pPr>
              <w:pStyle w:val="7"/>
              <w:rPr>
                <w:kern w:val="0"/>
              </w:rPr>
            </w:pPr>
            <w:r w:rsidRPr="00FD50F6">
              <w:rPr>
                <w:kern w:val="0"/>
              </w:rPr>
              <w:t>化学改良土</w:t>
            </w:r>
          </w:p>
        </w:tc>
        <w:tc>
          <w:tcPr>
            <w:tcW w:w="427" w:type="pct"/>
            <w:tcMar>
              <w:left w:w="0" w:type="dxa"/>
              <w:right w:w="0" w:type="dxa"/>
            </w:tcMar>
            <w:vAlign w:val="center"/>
          </w:tcPr>
          <w:p w14:paraId="1AEB1BD7" w14:textId="77777777" w:rsidR="001E2468" w:rsidRPr="00FD50F6" w:rsidRDefault="001E2468" w:rsidP="000831EC">
            <w:pPr>
              <w:pStyle w:val="7"/>
            </w:pPr>
            <w:r w:rsidRPr="00FD50F6">
              <w:t>≥0.9</w:t>
            </w:r>
            <w:r w:rsidRPr="00FD50F6">
              <w:rPr>
                <w:rFonts w:hint="eastAsia"/>
              </w:rPr>
              <w:t>0</w:t>
            </w:r>
          </w:p>
        </w:tc>
        <w:tc>
          <w:tcPr>
            <w:tcW w:w="736" w:type="pct"/>
            <w:tcMar>
              <w:left w:w="0" w:type="dxa"/>
              <w:right w:w="0" w:type="dxa"/>
            </w:tcMar>
            <w:vAlign w:val="center"/>
          </w:tcPr>
          <w:p w14:paraId="4897B795" w14:textId="77777777" w:rsidR="001E2468" w:rsidRPr="00FD50F6" w:rsidRDefault="001E2468" w:rsidP="000831EC">
            <w:pPr>
              <w:pStyle w:val="7"/>
            </w:pPr>
            <w:r w:rsidRPr="00FD50F6">
              <w:rPr>
                <w:rFonts w:hint="eastAsia"/>
              </w:rPr>
              <w:t>-</w:t>
            </w:r>
          </w:p>
        </w:tc>
        <w:tc>
          <w:tcPr>
            <w:tcW w:w="790" w:type="pct"/>
            <w:tcMar>
              <w:left w:w="0" w:type="dxa"/>
              <w:right w:w="0" w:type="dxa"/>
            </w:tcMar>
            <w:vAlign w:val="center"/>
          </w:tcPr>
          <w:p w14:paraId="7F6ABCF8" w14:textId="77777777" w:rsidR="001E2468" w:rsidRPr="00FD50F6" w:rsidRDefault="001E2468" w:rsidP="000831EC">
            <w:pPr>
              <w:pStyle w:val="7"/>
            </w:pPr>
            <w:r w:rsidRPr="00FD50F6">
              <w:t>≥</w:t>
            </w:r>
            <w:r w:rsidRPr="00FD50F6">
              <w:rPr>
                <w:rFonts w:hint="eastAsia"/>
              </w:rPr>
              <w:t>20</w:t>
            </w:r>
            <w:r w:rsidRPr="00FD50F6">
              <w:t>0</w:t>
            </w:r>
          </w:p>
        </w:tc>
      </w:tr>
    </w:tbl>
    <w:p w14:paraId="0BCAC07A" w14:textId="7528A4B2" w:rsidR="001E2468" w:rsidRPr="00FD50F6" w:rsidRDefault="001E2468" w:rsidP="001E2468">
      <w:pPr>
        <w:pStyle w:val="30"/>
      </w:pPr>
      <w:r w:rsidRPr="00FD50F6">
        <w:t>路堤基底处理应符合下列</w:t>
      </w:r>
      <w:r w:rsidRPr="00FD50F6">
        <w:rPr>
          <w:rFonts w:hint="eastAsia"/>
        </w:rPr>
        <w:t>规定</w:t>
      </w:r>
      <w:r w:rsidRPr="00FD50F6">
        <w:t>：</w:t>
      </w:r>
    </w:p>
    <w:p w14:paraId="7C46CE73" w14:textId="605E2266" w:rsidR="001E2468" w:rsidRPr="00FD50F6" w:rsidRDefault="001E2468" w:rsidP="00A926BD">
      <w:pPr>
        <w:pStyle w:val="4"/>
      </w:pPr>
      <w:r w:rsidRPr="00FD50F6">
        <w:rPr>
          <w:rFonts w:hint="eastAsia"/>
        </w:rPr>
        <w:t>当</w:t>
      </w:r>
      <w:r w:rsidRPr="00FD50F6">
        <w:t>地基表层为人工杂填土时，应清除换填。碾压后，其压实度应根据其不同部位分别满足表</w:t>
      </w:r>
      <w:r w:rsidR="008C6B9B" w:rsidRPr="00FD50F6">
        <w:t>9</w:t>
      </w:r>
      <w:r w:rsidRPr="00FD50F6">
        <w:t>.2.</w:t>
      </w:r>
      <w:r w:rsidRPr="00FD50F6">
        <w:rPr>
          <w:rFonts w:hint="eastAsia"/>
        </w:rPr>
        <w:t>6</w:t>
      </w:r>
      <w:r w:rsidRPr="00FD50F6">
        <w:t>、表</w:t>
      </w:r>
      <w:r w:rsidR="008C6B9B" w:rsidRPr="00FD50F6">
        <w:t>9</w:t>
      </w:r>
      <w:r w:rsidRPr="00FD50F6">
        <w:t>.3.</w:t>
      </w:r>
      <w:r w:rsidRPr="00FD50F6">
        <w:rPr>
          <w:rFonts w:hint="eastAsia"/>
        </w:rPr>
        <w:t>3</w:t>
      </w:r>
      <w:r w:rsidRPr="00FD50F6">
        <w:t>的规定</w:t>
      </w:r>
      <w:r w:rsidRPr="00FD50F6">
        <w:rPr>
          <w:rFonts w:hint="eastAsia"/>
        </w:rPr>
        <w:t>。</w:t>
      </w:r>
    </w:p>
    <w:p w14:paraId="436B1294" w14:textId="165A8D61" w:rsidR="001E2468" w:rsidRPr="00FD50F6" w:rsidRDefault="001E2468" w:rsidP="00A926BD">
      <w:pPr>
        <w:pStyle w:val="4"/>
      </w:pPr>
      <w:r w:rsidRPr="00FD50F6">
        <w:rPr>
          <w:rFonts w:hint="eastAsia"/>
        </w:rPr>
        <w:t>当</w:t>
      </w:r>
      <w:r w:rsidRPr="00FD50F6">
        <w:t>基底有地下水影响路堤稳定时，应采取拦截引排至基底范围以外并在路堤底部填筑渗水填料等措施</w:t>
      </w:r>
      <w:r w:rsidRPr="00FD50F6">
        <w:rPr>
          <w:rFonts w:hint="eastAsia"/>
        </w:rPr>
        <w:t>。</w:t>
      </w:r>
    </w:p>
    <w:p w14:paraId="7DB49AE4" w14:textId="2B26332B" w:rsidR="001E2468" w:rsidRPr="00FD50F6" w:rsidRDefault="001E2468" w:rsidP="00A926BD">
      <w:pPr>
        <w:pStyle w:val="4"/>
      </w:pPr>
      <w:r w:rsidRPr="00FD50F6">
        <w:t>若地基表层为软弱土层，应进行地基稳定性检算并采取排水疏干、清除淤泥、换填砂砾石或码填片石、采用土工合成材料等方法进行加固，加固后的地基承载力应满足其上部荷载的要求</w:t>
      </w:r>
      <w:r w:rsidRPr="00FD50F6">
        <w:rPr>
          <w:rFonts w:hint="eastAsia"/>
        </w:rPr>
        <w:t>。</w:t>
      </w:r>
    </w:p>
    <w:p w14:paraId="14A728F2" w14:textId="66463E00" w:rsidR="001E2468" w:rsidRPr="00FD50F6" w:rsidRDefault="001E2468" w:rsidP="00A926BD">
      <w:pPr>
        <w:pStyle w:val="4"/>
        <w:rPr>
          <w:rFonts w:eastAsia="华文宋体"/>
        </w:rPr>
      </w:pPr>
      <w:r w:rsidRPr="00FD50F6">
        <w:t>软土及其他类型厚层松软地基上的路基应进行路基稳定性、沉降检算。当稳定安全系数、工后沉降不符合规定时，应进行地基处理。</w:t>
      </w:r>
    </w:p>
    <w:p w14:paraId="6BDA992A" w14:textId="4513E915" w:rsidR="001E2468" w:rsidRPr="00FD50F6" w:rsidRDefault="001E2468" w:rsidP="001E2468">
      <w:pPr>
        <w:pStyle w:val="30"/>
        <w:rPr>
          <w:rFonts w:eastAsia="黑体"/>
        </w:rPr>
      </w:pPr>
      <w:r w:rsidRPr="00FD50F6">
        <w:t>路基工后沉降</w:t>
      </w:r>
      <w:r w:rsidRPr="00FD50F6">
        <w:rPr>
          <w:rFonts w:hint="eastAsia"/>
        </w:rPr>
        <w:t>控制标准应满足表</w:t>
      </w:r>
      <w:r w:rsidR="008C6B9B" w:rsidRPr="00FD50F6">
        <w:t>9</w:t>
      </w:r>
      <w:r w:rsidRPr="00FD50F6">
        <w:rPr>
          <w:rFonts w:hint="eastAsia"/>
        </w:rPr>
        <w:t>.3.5</w:t>
      </w:r>
      <w:r w:rsidRPr="00FD50F6">
        <w:rPr>
          <w:rFonts w:hint="eastAsia"/>
        </w:rPr>
        <w:t>的要求</w:t>
      </w:r>
      <w:r w:rsidRPr="00FD50F6">
        <w:rPr>
          <w:rFonts w:eastAsia="黑体" w:hint="eastAsia"/>
        </w:rPr>
        <w:t>。</w:t>
      </w:r>
    </w:p>
    <w:p w14:paraId="3C32C483" w14:textId="27E1B182" w:rsidR="001E2468" w:rsidRPr="00FD50F6" w:rsidRDefault="001E2468" w:rsidP="001E2468">
      <w:pPr>
        <w:pStyle w:val="6"/>
        <w:rPr>
          <w:lang w:val="zh-CN"/>
        </w:rPr>
      </w:pPr>
      <w:r w:rsidRPr="00FD50F6">
        <w:rPr>
          <w:rFonts w:hint="eastAsia"/>
        </w:rPr>
        <w:t>表</w:t>
      </w:r>
      <w:r w:rsidR="008C6B9B" w:rsidRPr="00FD50F6">
        <w:t>9</w:t>
      </w:r>
      <w:r w:rsidRPr="00FD50F6">
        <w:rPr>
          <w:rFonts w:hint="eastAsia"/>
        </w:rPr>
        <w:t>.3.5</w:t>
      </w:r>
      <w:r w:rsidRPr="00FD50F6">
        <w:rPr>
          <w:rFonts w:hint="eastAsia"/>
          <w:lang w:val="zh-CN"/>
        </w:rPr>
        <w:t>路基工后沉降控制标准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225"/>
        <w:gridCol w:w="2107"/>
        <w:gridCol w:w="2368"/>
        <w:gridCol w:w="1892"/>
      </w:tblGrid>
      <w:tr w:rsidR="00FD50F6" w:rsidRPr="00FD50F6" w14:paraId="762BF3CE" w14:textId="77777777" w:rsidTr="00585A3F">
        <w:trPr>
          <w:jc w:val="center"/>
        </w:trPr>
        <w:tc>
          <w:tcPr>
            <w:tcW w:w="1174" w:type="pct"/>
            <w:gridSpan w:val="2"/>
            <w:vMerge w:val="restart"/>
            <w:tcMar>
              <w:left w:w="0" w:type="dxa"/>
              <w:right w:w="0" w:type="dxa"/>
            </w:tcMar>
            <w:vAlign w:val="center"/>
          </w:tcPr>
          <w:p w14:paraId="02A9B0EE" w14:textId="77777777" w:rsidR="001E2468" w:rsidRPr="00FD50F6" w:rsidRDefault="001E2468" w:rsidP="000831EC">
            <w:pPr>
              <w:pStyle w:val="7"/>
            </w:pPr>
            <w:r w:rsidRPr="00FD50F6">
              <w:rPr>
                <w:rFonts w:hint="eastAsia"/>
              </w:rPr>
              <w:t>道床类型</w:t>
            </w:r>
          </w:p>
        </w:tc>
        <w:tc>
          <w:tcPr>
            <w:tcW w:w="1266" w:type="pct"/>
            <w:tcMar>
              <w:left w:w="0" w:type="dxa"/>
              <w:right w:w="0" w:type="dxa"/>
            </w:tcMar>
            <w:vAlign w:val="center"/>
          </w:tcPr>
          <w:p w14:paraId="42F55E0C" w14:textId="77777777" w:rsidR="001E2468" w:rsidRPr="00FD50F6" w:rsidRDefault="001E2468" w:rsidP="000831EC">
            <w:pPr>
              <w:pStyle w:val="7"/>
            </w:pPr>
            <w:r w:rsidRPr="00FD50F6">
              <w:rPr>
                <w:rFonts w:hint="eastAsia"/>
              </w:rPr>
              <w:t>一般地段</w:t>
            </w:r>
          </w:p>
        </w:tc>
        <w:tc>
          <w:tcPr>
            <w:tcW w:w="2560" w:type="pct"/>
            <w:gridSpan w:val="2"/>
            <w:tcMar>
              <w:left w:w="0" w:type="dxa"/>
              <w:right w:w="0" w:type="dxa"/>
            </w:tcMar>
            <w:vAlign w:val="center"/>
          </w:tcPr>
          <w:p w14:paraId="5A25C60E" w14:textId="77777777" w:rsidR="001E2468" w:rsidRPr="00FD50F6" w:rsidRDefault="001E2468" w:rsidP="000831EC">
            <w:pPr>
              <w:pStyle w:val="7"/>
            </w:pPr>
            <w:r w:rsidRPr="00FD50F6">
              <w:rPr>
                <w:rFonts w:hint="eastAsia"/>
              </w:rPr>
              <w:t>过渡段</w:t>
            </w:r>
          </w:p>
        </w:tc>
      </w:tr>
      <w:tr w:rsidR="00FD50F6" w:rsidRPr="00FD50F6" w14:paraId="5681D03F" w14:textId="77777777" w:rsidTr="00585A3F">
        <w:trPr>
          <w:jc w:val="center"/>
        </w:trPr>
        <w:tc>
          <w:tcPr>
            <w:tcW w:w="1174" w:type="pct"/>
            <w:gridSpan w:val="2"/>
            <w:vMerge/>
            <w:tcMar>
              <w:left w:w="0" w:type="dxa"/>
              <w:right w:w="0" w:type="dxa"/>
            </w:tcMar>
            <w:vAlign w:val="center"/>
          </w:tcPr>
          <w:p w14:paraId="0F35152F" w14:textId="77777777" w:rsidR="001E2468" w:rsidRPr="00FD50F6" w:rsidRDefault="001E2468" w:rsidP="000831EC">
            <w:pPr>
              <w:pStyle w:val="7"/>
            </w:pPr>
          </w:p>
        </w:tc>
        <w:tc>
          <w:tcPr>
            <w:tcW w:w="1266" w:type="pct"/>
            <w:tcMar>
              <w:left w:w="0" w:type="dxa"/>
              <w:right w:w="0" w:type="dxa"/>
            </w:tcMar>
            <w:vAlign w:val="center"/>
          </w:tcPr>
          <w:p w14:paraId="027A5C8F" w14:textId="77777777" w:rsidR="001E2468" w:rsidRPr="00FD50F6" w:rsidRDefault="001E2468" w:rsidP="000831EC">
            <w:pPr>
              <w:pStyle w:val="7"/>
            </w:pPr>
            <w:r w:rsidRPr="00FD50F6">
              <w:rPr>
                <w:rFonts w:hint="eastAsia"/>
              </w:rPr>
              <w:t>工后沉降（</w:t>
            </w:r>
            <w:r w:rsidRPr="00FD50F6">
              <w:rPr>
                <w:rFonts w:hint="eastAsia"/>
              </w:rPr>
              <w:t>mm</w:t>
            </w:r>
            <w:r w:rsidRPr="00FD50F6">
              <w:rPr>
                <w:rFonts w:hint="eastAsia"/>
              </w:rPr>
              <w:t>）</w:t>
            </w:r>
          </w:p>
        </w:tc>
        <w:tc>
          <w:tcPr>
            <w:tcW w:w="1423" w:type="pct"/>
            <w:tcMar>
              <w:left w:w="0" w:type="dxa"/>
              <w:right w:w="0" w:type="dxa"/>
            </w:tcMar>
            <w:vAlign w:val="center"/>
          </w:tcPr>
          <w:p w14:paraId="2B3D7B12" w14:textId="77777777" w:rsidR="001E2468" w:rsidRPr="00FD50F6" w:rsidRDefault="001E2468" w:rsidP="000831EC">
            <w:pPr>
              <w:pStyle w:val="7"/>
            </w:pPr>
            <w:r w:rsidRPr="00FD50F6">
              <w:rPr>
                <w:rFonts w:hint="eastAsia"/>
              </w:rPr>
              <w:t>差异沉降（</w:t>
            </w:r>
            <w:r w:rsidRPr="00FD50F6">
              <w:rPr>
                <w:rFonts w:hint="eastAsia"/>
              </w:rPr>
              <w:t>mm</w:t>
            </w:r>
            <w:r w:rsidRPr="00FD50F6">
              <w:rPr>
                <w:rFonts w:hint="eastAsia"/>
              </w:rPr>
              <w:t>）</w:t>
            </w:r>
          </w:p>
        </w:tc>
        <w:tc>
          <w:tcPr>
            <w:tcW w:w="1137" w:type="pct"/>
            <w:tcMar>
              <w:left w:w="0" w:type="dxa"/>
              <w:right w:w="0" w:type="dxa"/>
            </w:tcMar>
            <w:vAlign w:val="center"/>
          </w:tcPr>
          <w:p w14:paraId="70A71FF4" w14:textId="77777777" w:rsidR="001E2468" w:rsidRPr="00FD50F6" w:rsidRDefault="001E2468" w:rsidP="000831EC">
            <w:pPr>
              <w:pStyle w:val="7"/>
            </w:pPr>
            <w:r w:rsidRPr="00FD50F6">
              <w:rPr>
                <w:rFonts w:hint="eastAsia"/>
              </w:rPr>
              <w:t>差异沉降折角</w:t>
            </w:r>
          </w:p>
        </w:tc>
      </w:tr>
      <w:tr w:rsidR="00FD50F6" w:rsidRPr="00FD50F6" w14:paraId="1363FFD6" w14:textId="77777777" w:rsidTr="00585A3F">
        <w:trPr>
          <w:jc w:val="center"/>
        </w:trPr>
        <w:tc>
          <w:tcPr>
            <w:tcW w:w="1174" w:type="pct"/>
            <w:gridSpan w:val="2"/>
            <w:tcMar>
              <w:left w:w="0" w:type="dxa"/>
              <w:right w:w="0" w:type="dxa"/>
            </w:tcMar>
          </w:tcPr>
          <w:p w14:paraId="4D1EDD6C" w14:textId="77777777" w:rsidR="001E2468" w:rsidRPr="00FD50F6" w:rsidRDefault="001E2468" w:rsidP="000831EC">
            <w:pPr>
              <w:pStyle w:val="7"/>
            </w:pPr>
            <w:r w:rsidRPr="00FD50F6">
              <w:rPr>
                <w:rFonts w:hint="eastAsia"/>
              </w:rPr>
              <w:t>无砟道床</w:t>
            </w:r>
          </w:p>
        </w:tc>
        <w:tc>
          <w:tcPr>
            <w:tcW w:w="1266" w:type="pct"/>
            <w:tcMar>
              <w:left w:w="0" w:type="dxa"/>
              <w:right w:w="0" w:type="dxa"/>
            </w:tcMar>
            <w:vAlign w:val="center"/>
          </w:tcPr>
          <w:p w14:paraId="34215E96" w14:textId="77777777" w:rsidR="001E2468" w:rsidRPr="00FD50F6" w:rsidRDefault="001E2468" w:rsidP="000831EC">
            <w:pPr>
              <w:pStyle w:val="7"/>
            </w:pPr>
            <m:oMath>
              <m:r>
                <m:rPr>
                  <m:sty m:val="p"/>
                </m:rPr>
                <w:rPr>
                  <w:rFonts w:ascii="Cambria Math" w:hAnsi="Cambria Math"/>
                </w:rPr>
                <m:t>≤</m:t>
              </m:r>
            </m:oMath>
            <w:r w:rsidRPr="00FD50F6">
              <w:rPr>
                <w:rFonts w:hint="eastAsia"/>
              </w:rPr>
              <w:t>15</w:t>
            </w:r>
          </w:p>
        </w:tc>
        <w:tc>
          <w:tcPr>
            <w:tcW w:w="1423" w:type="pct"/>
            <w:tcMar>
              <w:left w:w="0" w:type="dxa"/>
              <w:right w:w="0" w:type="dxa"/>
            </w:tcMar>
            <w:vAlign w:val="center"/>
          </w:tcPr>
          <w:p w14:paraId="7F367EF9" w14:textId="77777777" w:rsidR="001E2468" w:rsidRPr="00FD50F6" w:rsidRDefault="001E2468" w:rsidP="000831EC">
            <w:pPr>
              <w:pStyle w:val="7"/>
            </w:pPr>
            <m:oMath>
              <m:r>
                <m:rPr>
                  <m:sty m:val="p"/>
                </m:rPr>
                <w:rPr>
                  <w:rFonts w:ascii="Cambria Math" w:hAnsi="Cambria Math"/>
                </w:rPr>
                <m:t>≤</m:t>
              </m:r>
            </m:oMath>
            <w:r w:rsidRPr="00FD50F6">
              <w:rPr>
                <w:rFonts w:hint="eastAsia"/>
              </w:rPr>
              <w:t>10</w:t>
            </w:r>
          </w:p>
        </w:tc>
        <w:tc>
          <w:tcPr>
            <w:tcW w:w="1137" w:type="pct"/>
            <w:tcMar>
              <w:left w:w="0" w:type="dxa"/>
              <w:right w:w="0" w:type="dxa"/>
            </w:tcMar>
            <w:vAlign w:val="center"/>
          </w:tcPr>
          <w:p w14:paraId="68B21888" w14:textId="77777777" w:rsidR="001E2468" w:rsidRPr="00FD50F6" w:rsidRDefault="001E2468" w:rsidP="000831EC">
            <w:pPr>
              <w:pStyle w:val="7"/>
            </w:pPr>
            <m:oMath>
              <m:r>
                <m:rPr>
                  <m:sty m:val="p"/>
                </m:rPr>
                <w:rPr>
                  <w:rFonts w:ascii="Cambria Math" w:hAnsi="Cambria Math"/>
                </w:rPr>
                <m:t>≤</m:t>
              </m:r>
            </m:oMath>
            <w:r w:rsidRPr="00FD50F6">
              <w:rPr>
                <w:rFonts w:hint="eastAsia"/>
              </w:rPr>
              <w:t>1/1000</w:t>
            </w:r>
          </w:p>
        </w:tc>
      </w:tr>
      <w:tr w:rsidR="00FD50F6" w:rsidRPr="00FD50F6" w14:paraId="4BEA354D" w14:textId="77777777" w:rsidTr="00585A3F">
        <w:trPr>
          <w:jc w:val="center"/>
        </w:trPr>
        <w:tc>
          <w:tcPr>
            <w:tcW w:w="438" w:type="pct"/>
            <w:vMerge w:val="restart"/>
            <w:tcMar>
              <w:left w:w="0" w:type="dxa"/>
              <w:right w:w="0" w:type="dxa"/>
            </w:tcMar>
          </w:tcPr>
          <w:p w14:paraId="7E5A73D4" w14:textId="77777777" w:rsidR="001E2468" w:rsidRPr="00FD50F6" w:rsidRDefault="001E2468" w:rsidP="000831EC">
            <w:pPr>
              <w:pStyle w:val="7"/>
            </w:pPr>
            <w:r w:rsidRPr="00FD50F6">
              <w:rPr>
                <w:rFonts w:hint="eastAsia"/>
              </w:rPr>
              <w:t>有砟</w:t>
            </w:r>
          </w:p>
          <w:p w14:paraId="6F1A89F8" w14:textId="77777777" w:rsidR="001E2468" w:rsidRPr="00FD50F6" w:rsidRDefault="001E2468" w:rsidP="000831EC">
            <w:pPr>
              <w:pStyle w:val="7"/>
            </w:pPr>
            <w:r w:rsidRPr="00FD50F6">
              <w:rPr>
                <w:rFonts w:hint="eastAsia"/>
              </w:rPr>
              <w:t>道床</w:t>
            </w:r>
          </w:p>
        </w:tc>
        <w:tc>
          <w:tcPr>
            <w:tcW w:w="736" w:type="pct"/>
            <w:tcMar>
              <w:left w:w="0" w:type="dxa"/>
              <w:right w:w="0" w:type="dxa"/>
            </w:tcMar>
            <w:vAlign w:val="center"/>
          </w:tcPr>
          <w:p w14:paraId="682BD5F8" w14:textId="77777777" w:rsidR="001E2468" w:rsidRPr="00FD50F6" w:rsidRDefault="001E2468" w:rsidP="000831EC">
            <w:pPr>
              <w:pStyle w:val="7"/>
            </w:pPr>
            <w:r w:rsidRPr="00FD50F6">
              <w:rPr>
                <w:rFonts w:hint="eastAsia"/>
              </w:rPr>
              <w:t>正线</w:t>
            </w:r>
          </w:p>
        </w:tc>
        <w:tc>
          <w:tcPr>
            <w:tcW w:w="1266" w:type="pct"/>
            <w:tcMar>
              <w:left w:w="0" w:type="dxa"/>
              <w:right w:w="0" w:type="dxa"/>
            </w:tcMar>
            <w:vAlign w:val="center"/>
          </w:tcPr>
          <w:p w14:paraId="74BC7411" w14:textId="77777777" w:rsidR="001E2468" w:rsidRPr="00FD50F6" w:rsidRDefault="001E2468" w:rsidP="000831EC">
            <w:pPr>
              <w:pStyle w:val="7"/>
            </w:pPr>
            <m:oMath>
              <m:r>
                <m:rPr>
                  <m:sty m:val="p"/>
                </m:rPr>
                <w:rPr>
                  <w:rFonts w:ascii="Cambria Math" w:hAnsi="Cambria Math"/>
                </w:rPr>
                <m:t>≤</m:t>
              </m:r>
            </m:oMath>
            <w:r w:rsidRPr="00FD50F6">
              <w:rPr>
                <w:rFonts w:hint="eastAsia"/>
              </w:rPr>
              <w:t>200</w:t>
            </w:r>
          </w:p>
        </w:tc>
        <w:tc>
          <w:tcPr>
            <w:tcW w:w="1423" w:type="pct"/>
            <w:tcMar>
              <w:left w:w="0" w:type="dxa"/>
              <w:right w:w="0" w:type="dxa"/>
            </w:tcMar>
            <w:vAlign w:val="center"/>
          </w:tcPr>
          <w:p w14:paraId="7CBD9C5E" w14:textId="77777777" w:rsidR="001E2468" w:rsidRPr="00FD50F6" w:rsidRDefault="001E2468" w:rsidP="000831EC">
            <w:pPr>
              <w:pStyle w:val="7"/>
            </w:pPr>
            <m:oMath>
              <m:r>
                <m:rPr>
                  <m:sty m:val="p"/>
                </m:rPr>
                <w:rPr>
                  <w:rFonts w:ascii="Cambria Math" w:hAnsi="Cambria Math"/>
                </w:rPr>
                <m:t>≤</m:t>
              </m:r>
            </m:oMath>
            <w:r w:rsidRPr="00FD50F6">
              <w:rPr>
                <w:rFonts w:hint="eastAsia"/>
              </w:rPr>
              <w:t>100</w:t>
            </w:r>
          </w:p>
        </w:tc>
        <w:tc>
          <w:tcPr>
            <w:tcW w:w="1137" w:type="pct"/>
            <w:tcMar>
              <w:left w:w="0" w:type="dxa"/>
              <w:right w:w="0" w:type="dxa"/>
            </w:tcMar>
            <w:vAlign w:val="center"/>
          </w:tcPr>
          <w:p w14:paraId="1124CD71" w14:textId="77777777" w:rsidR="001E2468" w:rsidRPr="00FD50F6" w:rsidRDefault="001E2468" w:rsidP="000831EC">
            <w:pPr>
              <w:pStyle w:val="7"/>
            </w:pPr>
            <w:r w:rsidRPr="00FD50F6">
              <w:rPr>
                <w:rFonts w:hint="eastAsia"/>
              </w:rPr>
              <w:t>-</w:t>
            </w:r>
          </w:p>
        </w:tc>
      </w:tr>
      <w:tr w:rsidR="00FD50F6" w:rsidRPr="00FD50F6" w14:paraId="145EEDC5" w14:textId="77777777" w:rsidTr="00585A3F">
        <w:trPr>
          <w:jc w:val="center"/>
        </w:trPr>
        <w:tc>
          <w:tcPr>
            <w:tcW w:w="438" w:type="pct"/>
            <w:vMerge/>
            <w:tcMar>
              <w:left w:w="0" w:type="dxa"/>
              <w:right w:w="0" w:type="dxa"/>
            </w:tcMar>
          </w:tcPr>
          <w:p w14:paraId="730BAF39" w14:textId="77777777" w:rsidR="001E2468" w:rsidRPr="00FD50F6" w:rsidRDefault="001E2468" w:rsidP="000831EC">
            <w:pPr>
              <w:pStyle w:val="7"/>
            </w:pPr>
          </w:p>
        </w:tc>
        <w:tc>
          <w:tcPr>
            <w:tcW w:w="736" w:type="pct"/>
            <w:tcMar>
              <w:left w:w="0" w:type="dxa"/>
              <w:right w:w="0" w:type="dxa"/>
            </w:tcMar>
            <w:vAlign w:val="center"/>
          </w:tcPr>
          <w:p w14:paraId="224E1F43" w14:textId="77777777" w:rsidR="001E2468" w:rsidRPr="00FD50F6" w:rsidRDefault="001E2468" w:rsidP="000831EC">
            <w:pPr>
              <w:pStyle w:val="7"/>
            </w:pPr>
            <w:r w:rsidRPr="00FD50F6">
              <w:rPr>
                <w:rFonts w:hint="eastAsia"/>
              </w:rPr>
              <w:t>车场线等</w:t>
            </w:r>
          </w:p>
        </w:tc>
        <w:tc>
          <w:tcPr>
            <w:tcW w:w="1266" w:type="pct"/>
            <w:tcMar>
              <w:left w:w="0" w:type="dxa"/>
              <w:right w:w="0" w:type="dxa"/>
            </w:tcMar>
            <w:vAlign w:val="center"/>
          </w:tcPr>
          <w:p w14:paraId="2A120311" w14:textId="77777777" w:rsidR="001E2468" w:rsidRPr="00FD50F6" w:rsidRDefault="001E2468" w:rsidP="000831EC">
            <w:pPr>
              <w:pStyle w:val="7"/>
            </w:pPr>
            <m:oMath>
              <m:r>
                <m:rPr>
                  <m:sty m:val="p"/>
                </m:rPr>
                <w:rPr>
                  <w:rFonts w:ascii="Cambria Math" w:hAnsi="Cambria Math"/>
                </w:rPr>
                <m:t>≤</m:t>
              </m:r>
            </m:oMath>
            <w:r w:rsidRPr="00FD50F6">
              <w:rPr>
                <w:rFonts w:hint="eastAsia"/>
              </w:rPr>
              <w:t>300</w:t>
            </w:r>
          </w:p>
        </w:tc>
        <w:tc>
          <w:tcPr>
            <w:tcW w:w="1423" w:type="pct"/>
            <w:tcMar>
              <w:left w:w="0" w:type="dxa"/>
              <w:right w:w="0" w:type="dxa"/>
            </w:tcMar>
            <w:vAlign w:val="center"/>
          </w:tcPr>
          <w:p w14:paraId="100C5FB9" w14:textId="77777777" w:rsidR="001E2468" w:rsidRPr="00FD50F6" w:rsidRDefault="001E2468" w:rsidP="000831EC">
            <w:pPr>
              <w:pStyle w:val="7"/>
            </w:pPr>
            <m:oMath>
              <m:r>
                <m:rPr>
                  <m:sty m:val="p"/>
                </m:rPr>
                <w:rPr>
                  <w:rFonts w:ascii="Cambria Math" w:hAnsi="Cambria Math"/>
                </w:rPr>
                <m:t>≤</m:t>
              </m:r>
            </m:oMath>
            <w:r w:rsidRPr="00FD50F6">
              <w:rPr>
                <w:rFonts w:hint="eastAsia"/>
              </w:rPr>
              <w:t>150</w:t>
            </w:r>
          </w:p>
        </w:tc>
        <w:tc>
          <w:tcPr>
            <w:tcW w:w="1137" w:type="pct"/>
            <w:tcMar>
              <w:left w:w="0" w:type="dxa"/>
              <w:right w:w="0" w:type="dxa"/>
            </w:tcMar>
            <w:vAlign w:val="center"/>
          </w:tcPr>
          <w:p w14:paraId="45C0E6B1" w14:textId="77777777" w:rsidR="001E2468" w:rsidRPr="00FD50F6" w:rsidRDefault="001E2468" w:rsidP="000831EC">
            <w:pPr>
              <w:pStyle w:val="7"/>
            </w:pPr>
            <w:r w:rsidRPr="00FD50F6">
              <w:rPr>
                <w:rFonts w:hint="eastAsia"/>
              </w:rPr>
              <w:t>-</w:t>
            </w:r>
          </w:p>
        </w:tc>
      </w:tr>
    </w:tbl>
    <w:p w14:paraId="06998DCE" w14:textId="77777777" w:rsidR="001E2468" w:rsidRPr="00FD50F6" w:rsidRDefault="001E2468" w:rsidP="00585A3F">
      <w:pPr>
        <w:pStyle w:val="7"/>
        <w:jc w:val="left"/>
      </w:pPr>
      <w:r w:rsidRPr="00FD50F6">
        <w:rPr>
          <w:rFonts w:hint="eastAsia"/>
        </w:rPr>
        <w:t>注：</w:t>
      </w:r>
      <w:r w:rsidRPr="00FD50F6">
        <w:rPr>
          <w:rFonts w:hint="eastAsia"/>
        </w:rPr>
        <w:t xml:space="preserve">1 </w:t>
      </w:r>
      <w:r w:rsidRPr="00FD50F6">
        <w:rPr>
          <w:rFonts w:hint="eastAsia"/>
        </w:rPr>
        <w:t>有砟道床路基的年沉降速率不应大于</w:t>
      </w:r>
      <w:r w:rsidRPr="00FD50F6">
        <w:rPr>
          <w:rFonts w:hint="eastAsia"/>
        </w:rPr>
        <w:t>50mm/</w:t>
      </w:r>
      <w:r w:rsidRPr="00FD50F6">
        <w:rPr>
          <w:rFonts w:hint="eastAsia"/>
        </w:rPr>
        <w:t>年；</w:t>
      </w:r>
    </w:p>
    <w:p w14:paraId="4BE1C8FD" w14:textId="77777777" w:rsidR="001E2468" w:rsidRPr="00585A3F" w:rsidRDefault="001E2468" w:rsidP="00585A3F">
      <w:pPr>
        <w:pStyle w:val="9"/>
        <w:ind w:leftChars="164" w:left="499" w:hangingChars="50" w:hanging="105"/>
        <w:rPr>
          <w:rFonts w:eastAsia="宋体" w:cstheme="minorBidi"/>
          <w:bCs/>
          <w:sz w:val="21"/>
          <w:szCs w:val="24"/>
        </w:rPr>
      </w:pPr>
      <w:r w:rsidRPr="00585A3F">
        <w:rPr>
          <w:rFonts w:eastAsia="宋体" w:cstheme="minorBidi"/>
          <w:bCs/>
          <w:sz w:val="21"/>
          <w:szCs w:val="24"/>
        </w:rPr>
        <w:t xml:space="preserve">2 </w:t>
      </w:r>
      <w:r w:rsidRPr="00585A3F">
        <w:rPr>
          <w:rFonts w:eastAsia="宋体" w:cstheme="minorBidi" w:hint="eastAsia"/>
          <w:bCs/>
          <w:sz w:val="21"/>
          <w:szCs w:val="24"/>
        </w:rPr>
        <w:t>无砟道床路基沉降比较均匀并且调整轨面高程后的竖曲线半径符合要求时，允许的工后沉降为</w:t>
      </w:r>
      <w:r w:rsidRPr="00585A3F">
        <w:rPr>
          <w:rFonts w:eastAsia="宋体" w:cstheme="minorBidi"/>
          <w:bCs/>
          <w:sz w:val="21"/>
          <w:szCs w:val="24"/>
        </w:rPr>
        <w:t>30mm</w:t>
      </w:r>
      <w:r w:rsidRPr="00585A3F">
        <w:rPr>
          <w:rFonts w:eastAsia="宋体" w:cstheme="minorBidi" w:hint="eastAsia"/>
          <w:bCs/>
          <w:sz w:val="21"/>
          <w:szCs w:val="24"/>
        </w:rPr>
        <w:t>。</w:t>
      </w:r>
    </w:p>
    <w:p w14:paraId="2FE871BF" w14:textId="0B4C0115" w:rsidR="001E2468" w:rsidRPr="00FD50F6" w:rsidRDefault="001E2468" w:rsidP="001E2468">
      <w:pPr>
        <w:pStyle w:val="30"/>
      </w:pPr>
      <w:bookmarkStart w:id="337" w:name="_Toc236220622"/>
      <w:r w:rsidRPr="00FD50F6">
        <w:rPr>
          <w:rFonts w:hint="eastAsia"/>
        </w:rPr>
        <w:t>无砟道床路基过渡段应采用级配碎石掺</w:t>
      </w:r>
      <w:r w:rsidRPr="00FD50F6">
        <w:rPr>
          <w:rFonts w:hint="eastAsia"/>
        </w:rPr>
        <w:t>3%</w:t>
      </w:r>
      <w:r w:rsidRPr="00FD50F6">
        <w:rPr>
          <w:rFonts w:hint="eastAsia"/>
        </w:rPr>
        <w:t>水泥填料，过渡段长度不</w:t>
      </w:r>
      <w:r w:rsidRPr="00585A3F">
        <w:rPr>
          <w:rFonts w:hint="eastAsia"/>
        </w:rPr>
        <w:t>应</w:t>
      </w:r>
      <w:r w:rsidRPr="00FD50F6">
        <w:rPr>
          <w:rFonts w:hint="eastAsia"/>
        </w:rPr>
        <w:t>小</w:t>
      </w:r>
      <w:r w:rsidRPr="00FD50F6">
        <w:rPr>
          <w:rFonts w:hint="eastAsia"/>
        </w:rPr>
        <w:lastRenderedPageBreak/>
        <w:t>于</w:t>
      </w:r>
      <w:r w:rsidRPr="00FD50F6">
        <w:rPr>
          <w:rFonts w:hint="eastAsia"/>
        </w:rPr>
        <w:t>20m</w:t>
      </w:r>
      <w:r w:rsidRPr="00FD50F6">
        <w:rPr>
          <w:rFonts w:hint="eastAsia"/>
        </w:rPr>
        <w:t>；有砟道床过渡段应采用</w:t>
      </w:r>
      <w:r w:rsidRPr="00FD50F6">
        <w:rPr>
          <w:rFonts w:hint="eastAsia"/>
        </w:rPr>
        <w:t>A</w:t>
      </w:r>
      <w:r w:rsidRPr="00FD50F6">
        <w:rPr>
          <w:rFonts w:hint="eastAsia"/>
        </w:rPr>
        <w:t>组填料；过渡段压实标准应符合表</w:t>
      </w:r>
      <w:r w:rsidR="00FF2802" w:rsidRPr="00FD50F6">
        <w:rPr>
          <w:rFonts w:hint="eastAsia"/>
        </w:rPr>
        <w:t>9</w:t>
      </w:r>
      <w:r w:rsidRPr="00FD50F6">
        <w:rPr>
          <w:rFonts w:hint="eastAsia"/>
        </w:rPr>
        <w:t>.2.6</w:t>
      </w:r>
      <w:r w:rsidRPr="00FD50F6">
        <w:rPr>
          <w:rFonts w:hint="eastAsia"/>
        </w:rPr>
        <w:t>的要求；</w:t>
      </w:r>
      <w:r w:rsidRPr="00FD50F6">
        <w:t>当过渡段浸水时，浸水部分的填料应采用渗水材料。</w:t>
      </w:r>
    </w:p>
    <w:p w14:paraId="03606C14" w14:textId="40ADC72E" w:rsidR="001E2468" w:rsidRPr="00FD50F6" w:rsidRDefault="001E2468" w:rsidP="001E2468">
      <w:pPr>
        <w:pStyle w:val="30"/>
      </w:pPr>
      <w:r w:rsidRPr="00FD50F6">
        <w:rPr>
          <w:rFonts w:hint="eastAsia"/>
        </w:rPr>
        <w:t>无砟轨道路基、有砟轨道深厚软土路基施工后应进行连续沉降观测，路基填筑完成或施工预压荷载后沉降观测时间不宜少于</w:t>
      </w:r>
      <w:r w:rsidRPr="00FD50F6">
        <w:rPr>
          <w:rFonts w:hint="eastAsia"/>
        </w:rPr>
        <w:t>6</w:t>
      </w:r>
      <w:r w:rsidRPr="00FD50F6">
        <w:rPr>
          <w:rFonts w:hint="eastAsia"/>
        </w:rPr>
        <w:t>个月，铺轨前应根据沉降观测资料进行系统分析评估，预测的路基工后沉降满足设计要求后方可铺设轨道</w:t>
      </w:r>
      <w:r w:rsidRPr="00FD50F6">
        <w:t>。</w:t>
      </w:r>
      <w:r w:rsidRPr="00FD50F6">
        <w:rPr>
          <w:rFonts w:hint="eastAsia"/>
        </w:rPr>
        <w:t>观测数据不足以评估或工后沉降不满足设计要求时，应继续观测或采取必要的加速和控制沉降的措施。</w:t>
      </w:r>
    </w:p>
    <w:p w14:paraId="251EFDE1" w14:textId="10957594" w:rsidR="001E2468" w:rsidRPr="00FD50F6" w:rsidRDefault="001E2468" w:rsidP="001E2468">
      <w:pPr>
        <w:pStyle w:val="30"/>
      </w:pPr>
      <w:r w:rsidRPr="00FD50F6">
        <w:rPr>
          <w:rFonts w:hint="eastAsia"/>
        </w:rPr>
        <w:t>无砟道床路堤沉降预测应采用曲线回归法，并</w:t>
      </w:r>
      <w:r w:rsidR="00A34309">
        <w:rPr>
          <w:rFonts w:hint="eastAsia"/>
        </w:rPr>
        <w:t>应</w:t>
      </w:r>
      <w:r w:rsidRPr="00FD50F6">
        <w:rPr>
          <w:rFonts w:hint="eastAsia"/>
        </w:rPr>
        <w:t>满足下列规定：</w:t>
      </w:r>
    </w:p>
    <w:p w14:paraId="30FE6693" w14:textId="77777777" w:rsidR="001E2468" w:rsidRPr="00FD50F6" w:rsidRDefault="001E2468" w:rsidP="00A926BD">
      <w:pPr>
        <w:pStyle w:val="4"/>
      </w:pPr>
      <w:r w:rsidRPr="00FD50F6">
        <w:rPr>
          <w:rFonts w:hint="eastAsia"/>
        </w:rPr>
        <w:t>根据路堤填筑完成或堆载预压后不少于</w:t>
      </w:r>
      <w:r w:rsidRPr="00FD50F6">
        <w:rPr>
          <w:rFonts w:hint="eastAsia"/>
        </w:rPr>
        <w:t>3</w:t>
      </w:r>
      <w:r w:rsidRPr="00FD50F6">
        <w:rPr>
          <w:rFonts w:hint="eastAsia"/>
        </w:rPr>
        <w:t>个月的实际观测数据进行曲线回归分析，确定沉降变形的趋势，曲线回归的相关系数不应低于</w:t>
      </w:r>
      <w:r w:rsidRPr="00FD50F6">
        <w:rPr>
          <w:rFonts w:hint="eastAsia"/>
        </w:rPr>
        <w:t>0.92</w:t>
      </w:r>
      <w:r w:rsidRPr="00FD50F6">
        <w:rPr>
          <w:rFonts w:hint="eastAsia"/>
        </w:rPr>
        <w:t>；</w:t>
      </w:r>
    </w:p>
    <w:p w14:paraId="2AB1D3F8" w14:textId="77777777" w:rsidR="001E2468" w:rsidRPr="00FD50F6" w:rsidRDefault="001E2468" w:rsidP="00A926BD">
      <w:pPr>
        <w:pStyle w:val="4"/>
      </w:pPr>
      <w:r w:rsidRPr="00FD50F6">
        <w:rPr>
          <w:rFonts w:hint="eastAsia"/>
        </w:rPr>
        <w:t>沉降预测的可靠性应经过验证，间隔不少于</w:t>
      </w:r>
      <w:r w:rsidRPr="00FD50F6">
        <w:rPr>
          <w:rFonts w:hint="eastAsia"/>
        </w:rPr>
        <w:t>3</w:t>
      </w:r>
      <w:r w:rsidRPr="00FD50F6">
        <w:rPr>
          <w:rFonts w:hint="eastAsia"/>
        </w:rPr>
        <w:t>个月的两次预测最终沉降的差值不应大于</w:t>
      </w:r>
      <w:r w:rsidRPr="00FD50F6">
        <w:rPr>
          <w:rFonts w:hint="eastAsia"/>
        </w:rPr>
        <w:t>8mm</w:t>
      </w:r>
      <w:r w:rsidRPr="00FD50F6">
        <w:rPr>
          <w:rFonts w:hint="eastAsia"/>
        </w:rPr>
        <w:t>；</w:t>
      </w:r>
    </w:p>
    <w:p w14:paraId="031D9E46" w14:textId="420FDFD2" w:rsidR="001E2468" w:rsidRPr="00FD50F6" w:rsidRDefault="001E2468" w:rsidP="00A926BD">
      <w:pPr>
        <w:pStyle w:val="4"/>
        <w:rPr>
          <w:lang w:val="zh-CN"/>
        </w:rPr>
      </w:pPr>
      <w:r w:rsidRPr="00FD50F6">
        <w:rPr>
          <w:rFonts w:hint="eastAsia"/>
          <w:lang w:val="zh-CN"/>
        </w:rPr>
        <w:t>路堤填筑完成或堆载预压后，最终的沉降预测时间应满足式</w:t>
      </w:r>
      <w:r w:rsidR="008C6B9B" w:rsidRPr="00FD50F6">
        <w:t>9</w:t>
      </w:r>
      <w:r w:rsidRPr="00FD50F6">
        <w:rPr>
          <w:rFonts w:hint="eastAsia"/>
          <w:lang w:val="zh-CN"/>
        </w:rPr>
        <w:t>.3.8</w:t>
      </w:r>
      <w:r w:rsidRPr="00FD50F6">
        <w:rPr>
          <w:rFonts w:hint="eastAsia"/>
          <w:lang w:val="zh-CN"/>
        </w:rPr>
        <w:t>的规定。</w:t>
      </w:r>
    </w:p>
    <w:p w14:paraId="224D9A5B" w14:textId="760A62B0" w:rsidR="001E2468" w:rsidRPr="00FD50F6" w:rsidRDefault="001E2468" w:rsidP="001E2468">
      <w:pPr>
        <w:widowControl/>
        <w:tabs>
          <w:tab w:val="center" w:pos="4201"/>
          <w:tab w:val="right" w:leader="dot" w:pos="9298"/>
        </w:tabs>
        <w:autoSpaceDE w:val="0"/>
        <w:autoSpaceDN w:val="0"/>
        <w:spacing w:after="156"/>
        <w:ind w:firstLineChars="200" w:firstLine="420"/>
        <w:rPr>
          <w:rFonts w:ascii="Times New Roman" w:hAnsi="Times New Roman" w:cs="Times New Roman"/>
          <w:szCs w:val="24"/>
        </w:rPr>
      </w:pPr>
      <w:r w:rsidRPr="00FD50F6">
        <w:rPr>
          <w:rFonts w:ascii="宋体" w:hAnsi="Times New Roman" w:cs="Times New Roman" w:hint="eastAsia"/>
          <w:kern w:val="0"/>
          <w:sz w:val="21"/>
          <w:szCs w:val="20"/>
        </w:rPr>
        <w:t xml:space="preserve">  </w:t>
      </w:r>
      <w:r w:rsidRPr="00FD50F6">
        <w:rPr>
          <w:rFonts w:ascii="Times New Roman" w:hAnsi="Times New Roman" w:cs="Times New Roman" w:hint="eastAsia"/>
          <w:szCs w:val="24"/>
        </w:rPr>
        <w:t xml:space="preserve">            </w:t>
      </w:r>
      <w:r w:rsidRPr="001A4CF3">
        <w:rPr>
          <w:rFonts w:ascii="Times New Roman" w:hAnsi="Times New Roman" w:cs="Times New Roman"/>
          <w:i/>
          <w:iCs/>
          <w:szCs w:val="24"/>
        </w:rPr>
        <w:t>s</w:t>
      </w:r>
      <w:r w:rsidRPr="00FD50F6">
        <w:rPr>
          <w:rFonts w:ascii="Times New Roman" w:hAnsi="Times New Roman" w:cs="Times New Roman" w:hint="eastAsia"/>
          <w:szCs w:val="24"/>
        </w:rPr>
        <w:t>（</w:t>
      </w:r>
      <w:r w:rsidRPr="001A4CF3">
        <w:rPr>
          <w:rFonts w:ascii="Times New Roman" w:hAnsi="Times New Roman" w:cs="Times New Roman"/>
          <w:i/>
          <w:iCs/>
          <w:szCs w:val="24"/>
        </w:rPr>
        <w:t>t</w:t>
      </w:r>
      <w:r w:rsidRPr="00FD50F6">
        <w:rPr>
          <w:rFonts w:ascii="Times New Roman" w:hAnsi="Times New Roman" w:cs="Times New Roman" w:hint="eastAsia"/>
          <w:szCs w:val="24"/>
        </w:rPr>
        <w:t>）</w:t>
      </w:r>
      <w:r w:rsidRPr="00FD50F6">
        <w:rPr>
          <w:rFonts w:ascii="Times New Roman" w:hAnsi="Times New Roman" w:cs="Times New Roman" w:hint="eastAsia"/>
          <w:szCs w:val="24"/>
        </w:rPr>
        <w:t>/s</w:t>
      </w:r>
      <w:r w:rsidRPr="00FD50F6">
        <w:rPr>
          <w:rFonts w:ascii="Times New Roman" w:hAnsi="Times New Roman" w:cs="Times New Roman" w:hint="eastAsia"/>
          <w:szCs w:val="24"/>
        </w:rPr>
        <w:t>（</w:t>
      </w:r>
      <w:r w:rsidRPr="001A4CF3">
        <w:rPr>
          <w:rFonts w:ascii="Times New Roman" w:hAnsi="Times New Roman" w:cs="Times New Roman"/>
          <w:i/>
          <w:iCs/>
          <w:szCs w:val="24"/>
        </w:rPr>
        <w:t>t</w:t>
      </w:r>
      <w:r w:rsidRPr="00FD50F6">
        <w:rPr>
          <w:rFonts w:ascii="Times New Roman" w:hAnsi="Times New Roman" w:cs="Times New Roman" w:hint="eastAsia"/>
          <w:szCs w:val="24"/>
        </w:rPr>
        <w:t>=</w:t>
      </w:r>
      <w:r w:rsidRPr="00FD50F6">
        <w:rPr>
          <w:rFonts w:ascii="Times New Roman" w:hAnsi="Times New Roman" w:cs="Times New Roman"/>
          <w:szCs w:val="24"/>
        </w:rPr>
        <w:t>∞</w:t>
      </w:r>
      <w:r w:rsidRPr="00FD50F6">
        <w:rPr>
          <w:rFonts w:ascii="Times New Roman" w:hAnsi="Times New Roman" w:cs="Times New Roman" w:hint="eastAsia"/>
          <w:szCs w:val="24"/>
        </w:rPr>
        <w:t>）≥</w:t>
      </w:r>
      <w:r w:rsidRPr="00FD50F6">
        <w:rPr>
          <w:rFonts w:ascii="Times New Roman" w:hAnsi="Times New Roman" w:cs="Times New Roman" w:hint="eastAsia"/>
          <w:szCs w:val="24"/>
        </w:rPr>
        <w:t xml:space="preserve">75%           </w:t>
      </w:r>
      <w:r w:rsidRPr="00FD50F6">
        <w:rPr>
          <w:rFonts w:ascii="Times New Roman" w:hAnsi="Times New Roman" w:cs="Times New Roman" w:hint="eastAsia"/>
          <w:szCs w:val="24"/>
        </w:rPr>
        <w:t>（</w:t>
      </w:r>
      <w:r w:rsidR="008C6B9B" w:rsidRPr="00FD50F6">
        <w:rPr>
          <w:rFonts w:ascii="Times New Roman" w:hAnsi="Times New Roman" w:cs="Times New Roman"/>
          <w:szCs w:val="24"/>
        </w:rPr>
        <w:t>9</w:t>
      </w:r>
      <w:r w:rsidRPr="00FD50F6">
        <w:rPr>
          <w:rFonts w:ascii="Times New Roman" w:hAnsi="Times New Roman" w:cs="Times New Roman" w:hint="eastAsia"/>
          <w:szCs w:val="24"/>
        </w:rPr>
        <w:t>.3.8</w:t>
      </w:r>
      <w:r w:rsidRPr="00FD50F6">
        <w:rPr>
          <w:rFonts w:ascii="Times New Roman" w:hAnsi="Times New Roman" w:cs="Times New Roman" w:hint="eastAsia"/>
          <w:szCs w:val="24"/>
        </w:rPr>
        <w:t>）</w:t>
      </w:r>
    </w:p>
    <w:p w14:paraId="16274E02" w14:textId="77777777" w:rsidR="001E2468" w:rsidRPr="00FD50F6" w:rsidRDefault="001E2468" w:rsidP="001A4CF3">
      <w:pPr>
        <w:widowControl/>
        <w:tabs>
          <w:tab w:val="center" w:pos="4201"/>
          <w:tab w:val="right" w:leader="dot" w:pos="9298"/>
        </w:tabs>
        <w:autoSpaceDE w:val="0"/>
        <w:autoSpaceDN w:val="0"/>
        <w:spacing w:after="156"/>
        <w:rPr>
          <w:rFonts w:ascii="Times New Roman" w:hAnsi="Times New Roman" w:cs="Times New Roman"/>
          <w:szCs w:val="24"/>
        </w:rPr>
      </w:pPr>
      <w:r w:rsidRPr="00FD50F6">
        <w:rPr>
          <w:rFonts w:ascii="Times New Roman" w:hAnsi="Times New Roman" w:cs="Times New Roman" w:hint="eastAsia"/>
          <w:szCs w:val="24"/>
        </w:rPr>
        <w:t>式中：</w:t>
      </w:r>
      <w:r w:rsidRPr="001A4CF3">
        <w:rPr>
          <w:rFonts w:ascii="Times New Roman" w:hAnsi="Times New Roman" w:cs="Times New Roman"/>
          <w:i/>
          <w:iCs/>
          <w:szCs w:val="24"/>
        </w:rPr>
        <w:t>s</w:t>
      </w:r>
      <w:r w:rsidRPr="00FD50F6">
        <w:rPr>
          <w:rFonts w:ascii="Times New Roman" w:hAnsi="Times New Roman" w:cs="Times New Roman" w:hint="eastAsia"/>
          <w:szCs w:val="24"/>
        </w:rPr>
        <w:t>（</w:t>
      </w:r>
      <w:r w:rsidRPr="001A4CF3">
        <w:rPr>
          <w:rFonts w:ascii="Times New Roman" w:hAnsi="Times New Roman" w:cs="Times New Roman"/>
          <w:i/>
          <w:iCs/>
          <w:szCs w:val="24"/>
        </w:rPr>
        <w:t>t</w:t>
      </w:r>
      <w:r w:rsidRPr="00FD50F6">
        <w:rPr>
          <w:rFonts w:ascii="Times New Roman" w:hAnsi="Times New Roman" w:cs="Times New Roman" w:hint="eastAsia"/>
          <w:szCs w:val="24"/>
        </w:rPr>
        <w:t>）</w:t>
      </w:r>
      <w:r w:rsidRPr="00FD50F6">
        <w:rPr>
          <w:rFonts w:ascii="Times New Roman" w:hAnsi="Times New Roman" w:cs="Times New Roman"/>
          <w:szCs w:val="24"/>
        </w:rPr>
        <w:t>——</w:t>
      </w:r>
      <w:r w:rsidRPr="00FD50F6">
        <w:rPr>
          <w:rFonts w:ascii="Times New Roman" w:hAnsi="Times New Roman" w:cs="Times New Roman" w:hint="eastAsia"/>
          <w:szCs w:val="24"/>
        </w:rPr>
        <w:t>评估时实际发生的沉降；</w:t>
      </w:r>
    </w:p>
    <w:p w14:paraId="7CE86F00" w14:textId="0778ED42" w:rsidR="001E2468" w:rsidRPr="00FD50F6" w:rsidRDefault="001E2468" w:rsidP="001A4CF3">
      <w:pPr>
        <w:widowControl/>
        <w:tabs>
          <w:tab w:val="center" w:pos="4201"/>
          <w:tab w:val="right" w:leader="dot" w:pos="9298"/>
        </w:tabs>
        <w:autoSpaceDE w:val="0"/>
        <w:autoSpaceDN w:val="0"/>
        <w:spacing w:after="156"/>
        <w:ind w:firstLineChars="150" w:firstLine="360"/>
        <w:rPr>
          <w:rFonts w:ascii="Times New Roman" w:hAnsi="Times New Roman" w:cs="Times New Roman"/>
          <w:szCs w:val="24"/>
        </w:rPr>
      </w:pPr>
      <w:r w:rsidRPr="001A4CF3">
        <w:rPr>
          <w:rFonts w:ascii="Times New Roman" w:hAnsi="Times New Roman" w:cs="Times New Roman"/>
          <w:i/>
          <w:iCs/>
          <w:szCs w:val="24"/>
        </w:rPr>
        <w:t>s</w:t>
      </w:r>
      <w:r w:rsidRPr="00FD50F6">
        <w:rPr>
          <w:rFonts w:ascii="Times New Roman" w:hAnsi="Times New Roman" w:cs="Times New Roman" w:hint="eastAsia"/>
          <w:szCs w:val="24"/>
        </w:rPr>
        <w:t>（</w:t>
      </w:r>
      <w:r w:rsidRPr="001A4CF3">
        <w:rPr>
          <w:rFonts w:ascii="Times New Roman" w:hAnsi="Times New Roman" w:cs="Times New Roman"/>
          <w:i/>
          <w:iCs/>
          <w:szCs w:val="24"/>
        </w:rPr>
        <w:t>t</w:t>
      </w:r>
      <w:r w:rsidRPr="00FD50F6">
        <w:rPr>
          <w:rFonts w:ascii="Times New Roman" w:hAnsi="Times New Roman" w:cs="Times New Roman" w:hint="eastAsia"/>
          <w:szCs w:val="24"/>
        </w:rPr>
        <w:t>=</w:t>
      </w:r>
      <w:r w:rsidRPr="00FD50F6">
        <w:rPr>
          <w:rFonts w:ascii="Times New Roman" w:hAnsi="Times New Roman" w:cs="Times New Roman"/>
          <w:szCs w:val="24"/>
        </w:rPr>
        <w:t>∞</w:t>
      </w:r>
      <w:r w:rsidRPr="00FD50F6">
        <w:rPr>
          <w:rFonts w:ascii="Times New Roman" w:hAnsi="Times New Roman" w:cs="Times New Roman" w:hint="eastAsia"/>
          <w:szCs w:val="24"/>
        </w:rPr>
        <w:t>）</w:t>
      </w:r>
      <w:r w:rsidRPr="00FD50F6">
        <w:rPr>
          <w:rFonts w:ascii="Times New Roman" w:hAnsi="Times New Roman" w:cs="Times New Roman"/>
          <w:szCs w:val="24"/>
        </w:rPr>
        <w:t>——</w:t>
      </w:r>
      <w:r w:rsidRPr="00FD50F6">
        <w:rPr>
          <w:rFonts w:ascii="Times New Roman" w:hAnsi="Times New Roman" w:cs="Times New Roman" w:hint="eastAsia"/>
          <w:szCs w:val="24"/>
        </w:rPr>
        <w:t>预测的最终总沉降；</w:t>
      </w:r>
    </w:p>
    <w:p w14:paraId="7BF74FC1" w14:textId="77777777" w:rsidR="001E2468" w:rsidRPr="00FD50F6" w:rsidRDefault="001E2468" w:rsidP="00585A3F">
      <w:pPr>
        <w:widowControl/>
        <w:tabs>
          <w:tab w:val="center" w:pos="4201"/>
          <w:tab w:val="right" w:leader="dot" w:pos="9298"/>
        </w:tabs>
        <w:autoSpaceDE w:val="0"/>
        <w:autoSpaceDN w:val="0"/>
        <w:spacing w:after="156"/>
        <w:ind w:firstLineChars="500" w:firstLine="1200"/>
        <w:rPr>
          <w:rFonts w:ascii="Times New Roman" w:hAnsi="Times New Roman" w:cs="Times New Roman"/>
          <w:szCs w:val="24"/>
        </w:rPr>
      </w:pPr>
      <w:r w:rsidRPr="00FD50F6">
        <w:rPr>
          <w:rFonts w:ascii="Times New Roman" w:hAnsi="Times New Roman" w:cs="Times New Roman" w:hint="eastAsia"/>
          <w:i/>
          <w:iCs/>
          <w:szCs w:val="24"/>
        </w:rPr>
        <w:t>t</w:t>
      </w:r>
      <w:r w:rsidRPr="00FD50F6">
        <w:rPr>
          <w:rFonts w:ascii="Times New Roman" w:hAnsi="Times New Roman" w:cs="Times New Roman"/>
          <w:szCs w:val="24"/>
        </w:rPr>
        <w:t>——</w:t>
      </w:r>
      <w:r w:rsidRPr="00FD50F6">
        <w:rPr>
          <w:rFonts w:ascii="Times New Roman" w:hAnsi="Times New Roman" w:cs="Times New Roman" w:hint="eastAsia"/>
          <w:szCs w:val="24"/>
        </w:rPr>
        <w:t>最终沉降预测时间。</w:t>
      </w:r>
      <w:bookmarkEnd w:id="337"/>
    </w:p>
    <w:p w14:paraId="59BB8996" w14:textId="77777777" w:rsidR="001E2468" w:rsidRPr="00FD50F6" w:rsidRDefault="001E2468" w:rsidP="00A65181">
      <w:pPr>
        <w:pStyle w:val="2"/>
      </w:pPr>
      <w:bookmarkStart w:id="338" w:name="_Toc320115655"/>
      <w:bookmarkStart w:id="339" w:name="_Toc320639566"/>
      <w:bookmarkStart w:id="340" w:name="_Toc306203683"/>
      <w:bookmarkStart w:id="341" w:name="_Toc344218731"/>
      <w:bookmarkStart w:id="342" w:name="_Toc112830685"/>
      <w:bookmarkStart w:id="343" w:name="_Toc236220624"/>
      <w:bookmarkStart w:id="344" w:name="_Toc344218733"/>
      <w:bookmarkStart w:id="345" w:name="_Toc306203685"/>
      <w:bookmarkStart w:id="346" w:name="_Toc320639568"/>
      <w:bookmarkStart w:id="347" w:name="_Toc320115657"/>
      <w:r w:rsidRPr="00FD50F6">
        <w:t>路堑</w:t>
      </w:r>
      <w:bookmarkEnd w:id="338"/>
      <w:bookmarkEnd w:id="339"/>
      <w:bookmarkEnd w:id="340"/>
      <w:bookmarkEnd w:id="341"/>
      <w:bookmarkEnd w:id="342"/>
    </w:p>
    <w:p w14:paraId="0A9A1DAE" w14:textId="77777777" w:rsidR="001E2468" w:rsidRPr="00FD50F6" w:rsidRDefault="001E2468" w:rsidP="001E2468">
      <w:pPr>
        <w:pStyle w:val="30"/>
      </w:pPr>
      <w:r w:rsidRPr="00FD50F6">
        <w:t>路堑边坡高度不宜超过</w:t>
      </w:r>
      <w:r w:rsidRPr="00FD50F6">
        <w:t>20m</w:t>
      </w:r>
      <w:r w:rsidRPr="00FD50F6">
        <w:t>，</w:t>
      </w:r>
      <w:r w:rsidRPr="00FD50F6">
        <w:rPr>
          <w:rFonts w:hint="eastAsia"/>
        </w:rPr>
        <w:t>当</w:t>
      </w:r>
      <w:r w:rsidRPr="00FD50F6">
        <w:t>路堑设计高度超过</w:t>
      </w:r>
      <w:r w:rsidRPr="00FD50F6">
        <w:t>20m</w:t>
      </w:r>
      <w:r w:rsidRPr="00FD50F6">
        <w:t>时，应采用隧道或明</w:t>
      </w:r>
      <w:r w:rsidRPr="00FD50F6">
        <w:rPr>
          <w:rFonts w:hint="eastAsia"/>
        </w:rPr>
        <w:t>洞</w:t>
      </w:r>
      <w:r w:rsidRPr="00FD50F6">
        <w:t>。对强风化、岩体破碎的石质路堑、特殊岩土和土质路堑的边坡高度，应严格控制，并应采取支挡防护措施。</w:t>
      </w:r>
    </w:p>
    <w:p w14:paraId="55715C0D" w14:textId="77777777" w:rsidR="001E2468" w:rsidRPr="00FD50F6" w:rsidRDefault="001E2468" w:rsidP="001E2468">
      <w:pPr>
        <w:pStyle w:val="30"/>
      </w:pPr>
      <w:r w:rsidRPr="00FD50F6">
        <w:t>路堑设计应减少对天然植被和山体的破坏。</w:t>
      </w:r>
    </w:p>
    <w:p w14:paraId="78E52F44" w14:textId="77777777" w:rsidR="001E2468" w:rsidRPr="00FD50F6" w:rsidRDefault="001E2468" w:rsidP="001E2468">
      <w:pPr>
        <w:pStyle w:val="30"/>
      </w:pPr>
      <w:r w:rsidRPr="00FD50F6">
        <w:t>路堑边坡形式及坡率应根据工程地质和水文地质条件、边坡高度、防排水措施、施工方法，并结合自然稳定山坡和人工边坡的调查及力学分析等综合确定。</w:t>
      </w:r>
    </w:p>
    <w:p w14:paraId="0B534E06" w14:textId="77777777" w:rsidR="001E2468" w:rsidRPr="00FD50F6" w:rsidRDefault="001E2468" w:rsidP="001E2468">
      <w:pPr>
        <w:pStyle w:val="30"/>
      </w:pPr>
      <w:r w:rsidRPr="00FD50F6">
        <w:rPr>
          <w:rFonts w:hint="eastAsia"/>
        </w:rPr>
        <w:t>有砟轨道极软岩、膨胀土（岩）等特殊岩土路堑和无砟轨道非硬质岩路堑宜采用路堤式路堑断面结构</w:t>
      </w:r>
      <w:r w:rsidRPr="00FD50F6">
        <w:t>。</w:t>
      </w:r>
    </w:p>
    <w:p w14:paraId="15E4FBA6" w14:textId="77777777" w:rsidR="001E2468" w:rsidRPr="00FD50F6" w:rsidRDefault="001E2468" w:rsidP="00A65181">
      <w:pPr>
        <w:pStyle w:val="2"/>
      </w:pPr>
      <w:bookmarkStart w:id="348" w:name="_Toc306203684"/>
      <w:bookmarkStart w:id="349" w:name="_Toc236220623"/>
      <w:bookmarkStart w:id="350" w:name="_Toc320115656"/>
      <w:bookmarkStart w:id="351" w:name="_Toc320639567"/>
      <w:bookmarkStart w:id="352" w:name="_Toc344218732"/>
      <w:bookmarkStart w:id="353" w:name="_Toc112830686"/>
      <w:r w:rsidRPr="00FD50F6">
        <w:lastRenderedPageBreak/>
        <w:t>路基支挡结构</w:t>
      </w:r>
      <w:bookmarkEnd w:id="348"/>
      <w:bookmarkEnd w:id="349"/>
      <w:bookmarkEnd w:id="350"/>
      <w:bookmarkEnd w:id="351"/>
      <w:bookmarkEnd w:id="352"/>
      <w:bookmarkEnd w:id="353"/>
    </w:p>
    <w:p w14:paraId="0C96BD04" w14:textId="77777777" w:rsidR="001E2468" w:rsidRPr="00FD50F6" w:rsidRDefault="001E2468" w:rsidP="001E2468">
      <w:pPr>
        <w:pStyle w:val="30"/>
      </w:pPr>
      <w:r w:rsidRPr="00FD50F6">
        <w:t>路基在下列情况</w:t>
      </w:r>
      <w:r w:rsidRPr="00FD50F6">
        <w:rPr>
          <w:rFonts w:hint="eastAsia"/>
        </w:rPr>
        <w:t>宜</w:t>
      </w:r>
      <w:r w:rsidRPr="00FD50F6">
        <w:t>修筑支挡结构：</w:t>
      </w:r>
    </w:p>
    <w:p w14:paraId="0DDDEE4A" w14:textId="77777777" w:rsidR="001E2468" w:rsidRPr="00FD50F6" w:rsidRDefault="001E2468" w:rsidP="00A926BD">
      <w:pPr>
        <w:pStyle w:val="4"/>
      </w:pPr>
      <w:r w:rsidRPr="00FD50F6">
        <w:t>位于陡坡地段或风化的路堑边坡地段；</w:t>
      </w:r>
    </w:p>
    <w:p w14:paraId="160B4A54" w14:textId="77777777" w:rsidR="001E2468" w:rsidRPr="00FD50F6" w:rsidRDefault="001E2468" w:rsidP="00A926BD">
      <w:pPr>
        <w:pStyle w:val="4"/>
      </w:pPr>
      <w:r w:rsidRPr="00FD50F6">
        <w:t>为避免大量挖方及降低边坡高度的路堑地段；</w:t>
      </w:r>
    </w:p>
    <w:p w14:paraId="4A2F29E5" w14:textId="77777777" w:rsidR="001E2468" w:rsidRPr="00FD50F6" w:rsidRDefault="001E2468" w:rsidP="00A926BD">
      <w:pPr>
        <w:pStyle w:val="4"/>
      </w:pPr>
      <w:r w:rsidRPr="00FD50F6">
        <w:t>不良地质条件下加固山体、边坡或地基地段；</w:t>
      </w:r>
    </w:p>
    <w:p w14:paraId="0E670492" w14:textId="77777777" w:rsidR="001E2468" w:rsidRPr="00FD50F6" w:rsidRDefault="001E2468" w:rsidP="00A926BD">
      <w:pPr>
        <w:pStyle w:val="4"/>
      </w:pPr>
      <w:r w:rsidRPr="00FD50F6">
        <w:t>为少占农田和城市用地的地段；</w:t>
      </w:r>
    </w:p>
    <w:p w14:paraId="2127085E" w14:textId="77777777" w:rsidR="001E2468" w:rsidRPr="00FD50F6" w:rsidRDefault="001E2468" w:rsidP="00A926BD">
      <w:pPr>
        <w:pStyle w:val="4"/>
      </w:pPr>
      <w:r w:rsidRPr="00FD50F6">
        <w:t>为保护重要的既有建筑物及其他特殊条件和生态环境需要的地段。</w:t>
      </w:r>
    </w:p>
    <w:p w14:paraId="7178C1E2"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40B2DCBC"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28CAE5D9"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0AE08F9A"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63F1AB49"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4944ED08"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744619C1" w14:textId="77777777" w:rsidR="001E2468" w:rsidRPr="00FD50F6" w:rsidRDefault="001E2468" w:rsidP="001E2468">
      <w:pPr>
        <w:widowControl/>
        <w:numPr>
          <w:ilvl w:val="0"/>
          <w:numId w:val="4"/>
        </w:numPr>
        <w:spacing w:beforeLines="50" w:before="120" w:afterLines="50" w:after="120"/>
        <w:ind w:left="0" w:firstLine="0"/>
        <w:jc w:val="center"/>
        <w:outlineLvl w:val="0"/>
        <w:rPr>
          <w:rFonts w:ascii="Times New Roman" w:hAnsi="Times New Roman" w:cs="Times New Roman"/>
          <w:b/>
          <w:vanish/>
          <w:kern w:val="0"/>
          <w:sz w:val="28"/>
          <w:szCs w:val="20"/>
        </w:rPr>
      </w:pPr>
    </w:p>
    <w:p w14:paraId="4056F6C0" w14:textId="77777777" w:rsidR="001E2468" w:rsidRPr="00FD50F6" w:rsidRDefault="001E2468" w:rsidP="001E2468">
      <w:pPr>
        <w:numPr>
          <w:ilvl w:val="1"/>
          <w:numId w:val="4"/>
        </w:numPr>
        <w:spacing w:beforeLines="50" w:before="120" w:afterLines="50" w:after="120"/>
        <w:ind w:left="0" w:firstLine="0"/>
        <w:jc w:val="center"/>
        <w:outlineLvl w:val="0"/>
        <w:rPr>
          <w:rFonts w:ascii="Times New Roman" w:hAnsi="Times New Roman" w:cs="Times New Roman"/>
          <w:b/>
          <w:vanish/>
          <w:szCs w:val="24"/>
        </w:rPr>
      </w:pPr>
    </w:p>
    <w:p w14:paraId="6345047B" w14:textId="77777777" w:rsidR="001E2468" w:rsidRPr="00FD50F6" w:rsidRDefault="001E2468" w:rsidP="001E2468">
      <w:pPr>
        <w:numPr>
          <w:ilvl w:val="1"/>
          <w:numId w:val="4"/>
        </w:numPr>
        <w:spacing w:beforeLines="50" w:before="120" w:afterLines="50" w:after="120"/>
        <w:ind w:left="0" w:firstLine="0"/>
        <w:jc w:val="center"/>
        <w:outlineLvl w:val="0"/>
        <w:rPr>
          <w:rFonts w:ascii="Times New Roman" w:hAnsi="Times New Roman" w:cs="Times New Roman"/>
          <w:b/>
          <w:vanish/>
          <w:szCs w:val="24"/>
        </w:rPr>
      </w:pPr>
    </w:p>
    <w:p w14:paraId="69C9CFA1" w14:textId="77777777" w:rsidR="001E2468" w:rsidRPr="00FD50F6" w:rsidRDefault="001E2468" w:rsidP="001E2468">
      <w:pPr>
        <w:numPr>
          <w:ilvl w:val="1"/>
          <w:numId w:val="4"/>
        </w:numPr>
        <w:spacing w:beforeLines="50" w:before="120" w:afterLines="50" w:after="120"/>
        <w:ind w:left="0" w:firstLine="0"/>
        <w:jc w:val="center"/>
        <w:outlineLvl w:val="0"/>
        <w:rPr>
          <w:rFonts w:ascii="Times New Roman" w:hAnsi="Times New Roman" w:cs="Times New Roman"/>
          <w:b/>
          <w:vanish/>
          <w:szCs w:val="24"/>
        </w:rPr>
      </w:pPr>
    </w:p>
    <w:p w14:paraId="7E2F315F" w14:textId="77777777" w:rsidR="001E2468" w:rsidRPr="00FD50F6" w:rsidRDefault="001E2468" w:rsidP="001E2468">
      <w:pPr>
        <w:numPr>
          <w:ilvl w:val="1"/>
          <w:numId w:val="4"/>
        </w:numPr>
        <w:spacing w:beforeLines="50" w:before="120" w:afterLines="50" w:after="120"/>
        <w:ind w:left="0" w:firstLine="0"/>
        <w:jc w:val="center"/>
        <w:outlineLvl w:val="0"/>
        <w:rPr>
          <w:rFonts w:ascii="Times New Roman" w:hAnsi="Times New Roman" w:cs="Times New Roman"/>
          <w:b/>
          <w:vanish/>
          <w:szCs w:val="24"/>
        </w:rPr>
      </w:pPr>
    </w:p>
    <w:p w14:paraId="7385FA33" w14:textId="77777777" w:rsidR="001E2468" w:rsidRPr="00FD50F6" w:rsidRDefault="001E2468" w:rsidP="001E2468">
      <w:pPr>
        <w:numPr>
          <w:ilvl w:val="1"/>
          <w:numId w:val="4"/>
        </w:numPr>
        <w:spacing w:beforeLines="50" w:before="120" w:afterLines="50" w:after="120"/>
        <w:ind w:left="0" w:firstLine="0"/>
        <w:jc w:val="center"/>
        <w:outlineLvl w:val="0"/>
        <w:rPr>
          <w:rFonts w:ascii="Times New Roman" w:hAnsi="Times New Roman" w:cs="Times New Roman"/>
          <w:b/>
          <w:vanish/>
          <w:szCs w:val="24"/>
        </w:rPr>
      </w:pPr>
    </w:p>
    <w:p w14:paraId="75DC7DEB" w14:textId="77777777" w:rsidR="001E2468" w:rsidRPr="00FD50F6" w:rsidRDefault="001E2468" w:rsidP="001E2468">
      <w:pPr>
        <w:numPr>
          <w:ilvl w:val="1"/>
          <w:numId w:val="4"/>
        </w:numPr>
        <w:spacing w:beforeLines="50" w:before="120" w:afterLines="50" w:after="120"/>
        <w:ind w:left="0" w:firstLine="0"/>
        <w:jc w:val="center"/>
        <w:outlineLvl w:val="0"/>
        <w:rPr>
          <w:rFonts w:ascii="Times New Roman" w:hAnsi="Times New Roman" w:cs="Times New Roman"/>
          <w:b/>
          <w:vanish/>
          <w:szCs w:val="24"/>
        </w:rPr>
      </w:pPr>
    </w:p>
    <w:p w14:paraId="26D7A944" w14:textId="77777777" w:rsidR="001E2468" w:rsidRPr="00FD50F6" w:rsidRDefault="001E2468" w:rsidP="001E2468">
      <w:pPr>
        <w:numPr>
          <w:ilvl w:val="2"/>
          <w:numId w:val="4"/>
        </w:numPr>
        <w:ind w:left="0" w:firstLine="0"/>
        <w:outlineLvl w:val="1"/>
        <w:rPr>
          <w:rFonts w:ascii="Times New Roman" w:hAnsi="Times New Roman" w:cs="Times New Roman"/>
          <w:vanish/>
          <w:szCs w:val="24"/>
        </w:rPr>
      </w:pPr>
    </w:p>
    <w:p w14:paraId="3A856A26" w14:textId="77777777" w:rsidR="001E2468" w:rsidRPr="00FD50F6" w:rsidRDefault="001E2468" w:rsidP="001E2468">
      <w:pPr>
        <w:pStyle w:val="30"/>
      </w:pPr>
      <w:r w:rsidRPr="00FD50F6">
        <w:t>支挡结构设计应符合下列规定：</w:t>
      </w:r>
    </w:p>
    <w:p w14:paraId="2B46027B" w14:textId="77777777" w:rsidR="001E2468" w:rsidRPr="00FD50F6" w:rsidRDefault="001E2468" w:rsidP="00A926BD">
      <w:pPr>
        <w:pStyle w:val="4"/>
      </w:pPr>
      <w:r w:rsidRPr="00FD50F6">
        <w:t>在各种设计荷载作用下，应满足稳定性、强度和耐久性要求；</w:t>
      </w:r>
    </w:p>
    <w:p w14:paraId="37D9F7E2" w14:textId="77777777" w:rsidR="001E2468" w:rsidRPr="00FD50F6" w:rsidRDefault="001E2468" w:rsidP="00A926BD">
      <w:pPr>
        <w:pStyle w:val="4"/>
      </w:pPr>
      <w:r w:rsidRPr="00FD50F6">
        <w:t>结构类型及其设置应做到安全可靠、经济合理、技术先进和便于施工及养护，</w:t>
      </w:r>
      <w:r w:rsidRPr="00FD50F6">
        <w:rPr>
          <w:rFonts w:hint="eastAsia"/>
        </w:rPr>
        <w:t>并</w:t>
      </w:r>
      <w:r w:rsidRPr="00FD50F6">
        <w:t>与周围环境协调；</w:t>
      </w:r>
    </w:p>
    <w:p w14:paraId="400772B7" w14:textId="77777777" w:rsidR="001E2468" w:rsidRPr="00FD50F6" w:rsidRDefault="001E2468" w:rsidP="00A926BD">
      <w:pPr>
        <w:pStyle w:val="4"/>
      </w:pPr>
      <w:r w:rsidRPr="00FD50F6">
        <w:rPr>
          <w:rFonts w:hint="eastAsia"/>
        </w:rPr>
        <w:t xml:space="preserve"> </w:t>
      </w:r>
      <w:r w:rsidRPr="00FD50F6">
        <w:t>支挡结构设计时</w:t>
      </w:r>
      <w:r w:rsidRPr="00FD50F6">
        <w:rPr>
          <w:rFonts w:hint="eastAsia"/>
        </w:rPr>
        <w:t>，</w:t>
      </w:r>
      <w:r w:rsidRPr="00FD50F6">
        <w:t>必须查明工程地质</w:t>
      </w:r>
      <w:r w:rsidRPr="00FD50F6">
        <w:rPr>
          <w:rFonts w:hint="eastAsia"/>
        </w:rPr>
        <w:t>、水文地质条件，合理选择岩土的物理力学参数；</w:t>
      </w:r>
    </w:p>
    <w:p w14:paraId="47857B6D" w14:textId="77777777" w:rsidR="001E2468" w:rsidRPr="00FD50F6" w:rsidRDefault="001E2468" w:rsidP="00A926BD">
      <w:pPr>
        <w:pStyle w:val="4"/>
      </w:pPr>
      <w:r w:rsidRPr="00FD50F6">
        <w:rPr>
          <w:rFonts w:hint="eastAsia"/>
        </w:rPr>
        <w:t>当</w:t>
      </w:r>
      <w:r w:rsidRPr="00FD50F6">
        <w:t>支挡结构与桥台、地下结构、既有支挡结构连接时，应平顺衔接；</w:t>
      </w:r>
    </w:p>
    <w:p w14:paraId="66DCD1D9" w14:textId="77777777" w:rsidR="001E2468" w:rsidRPr="00FD50F6" w:rsidRDefault="001E2468" w:rsidP="00A926BD">
      <w:pPr>
        <w:pStyle w:val="4"/>
      </w:pPr>
      <w:r w:rsidRPr="00FD50F6">
        <w:t>需在支挡结构上设置照明灯杆、电缆支架和声屏障立柱等设施时，应预留设施位置和条件。</w:t>
      </w:r>
    </w:p>
    <w:p w14:paraId="406B5616" w14:textId="109CCB9C" w:rsidR="001E2468" w:rsidRPr="00FD50F6" w:rsidRDefault="001E2468" w:rsidP="001E2468">
      <w:pPr>
        <w:pStyle w:val="30"/>
      </w:pPr>
      <w:r w:rsidRPr="00FD50F6">
        <w:t>挡土墙的平面位置，在直线地段应按路基宽度确定，曲线地段应符合曲线路基加宽的规定。</w:t>
      </w:r>
    </w:p>
    <w:p w14:paraId="70D2652D" w14:textId="10EFC441" w:rsidR="001E2468" w:rsidRPr="00FD50F6" w:rsidRDefault="00A4115E" w:rsidP="001E2468">
      <w:pPr>
        <w:pStyle w:val="30"/>
      </w:pPr>
      <w:r>
        <w:rPr>
          <w:rFonts w:hint="eastAsia"/>
        </w:rPr>
        <w:t>当进行</w:t>
      </w:r>
      <w:r w:rsidR="001E2468" w:rsidRPr="00FD50F6">
        <w:t>支挡结构设计时，所采用的荷载力系、荷载组合、检算、构造及材料等要求，可按现行行业标准《铁路路基支挡结构设计规范》</w:t>
      </w:r>
      <w:r w:rsidR="001E2468" w:rsidRPr="00FD50F6">
        <w:t>TB 10025</w:t>
      </w:r>
      <w:r w:rsidR="001E2468" w:rsidRPr="00FD50F6">
        <w:t>的规定执行，列车荷载应按地铁车辆的实际轴重计算其产生的竖向荷载作用，同时尚应按线路通过的重型设备运输车辆的荷载进行验算。</w:t>
      </w:r>
    </w:p>
    <w:p w14:paraId="528071B9" w14:textId="62DE6486" w:rsidR="001E2468" w:rsidRPr="00FD50F6" w:rsidRDefault="001E2468" w:rsidP="001E2468">
      <w:pPr>
        <w:pStyle w:val="30"/>
      </w:pPr>
      <w:r w:rsidRPr="00FD50F6">
        <w:rPr>
          <w:rFonts w:hint="eastAsia"/>
        </w:rPr>
        <w:t>支挡结构的抗震设计应符合现行</w:t>
      </w:r>
      <w:r w:rsidR="00A4115E">
        <w:rPr>
          <w:rFonts w:hint="eastAsia"/>
        </w:rPr>
        <w:t>国家</w:t>
      </w:r>
      <w:r w:rsidRPr="00FD50F6">
        <w:rPr>
          <w:rFonts w:hint="eastAsia"/>
        </w:rPr>
        <w:t>标准《铁路工程抗震设计规范》</w:t>
      </w:r>
      <w:r w:rsidRPr="00FD50F6">
        <w:rPr>
          <w:rStyle w:val="afff2"/>
          <w:rFonts w:hint="eastAsia"/>
          <w:sz w:val="24"/>
          <w:szCs w:val="32"/>
        </w:rPr>
        <w:t>GB</w:t>
      </w:r>
      <w:r w:rsidR="00A4115E">
        <w:rPr>
          <w:rStyle w:val="afff2"/>
          <w:sz w:val="24"/>
          <w:szCs w:val="32"/>
        </w:rPr>
        <w:t xml:space="preserve"> </w:t>
      </w:r>
      <w:r w:rsidRPr="00FD50F6">
        <w:rPr>
          <w:rStyle w:val="afff2"/>
          <w:rFonts w:hint="eastAsia"/>
          <w:sz w:val="24"/>
          <w:szCs w:val="32"/>
        </w:rPr>
        <w:t>50111</w:t>
      </w:r>
      <w:r w:rsidRPr="00FD50F6">
        <w:rPr>
          <w:rFonts w:hint="eastAsia"/>
        </w:rPr>
        <w:t>的规定。</w:t>
      </w:r>
    </w:p>
    <w:p w14:paraId="2497A225" w14:textId="77777777" w:rsidR="001E2468" w:rsidRPr="00FD50F6" w:rsidRDefault="001E2468" w:rsidP="001E2468">
      <w:pPr>
        <w:pStyle w:val="30"/>
      </w:pPr>
      <w:r w:rsidRPr="00FD50F6">
        <w:t>当支挡结构上有声屏障等附属设施时，应增加风荷载等附加荷载。</w:t>
      </w:r>
      <w:r w:rsidRPr="00FD50F6">
        <w:rPr>
          <w:rFonts w:hint="eastAsia"/>
        </w:rPr>
        <w:t>当</w:t>
      </w:r>
      <w:r w:rsidRPr="00FD50F6">
        <w:t>采用装配式支挡结构时，尚应检算连接部分的焊接强度。</w:t>
      </w:r>
    </w:p>
    <w:p w14:paraId="68343A68" w14:textId="77777777" w:rsidR="001E2468" w:rsidRPr="00FD50F6" w:rsidRDefault="001E2468" w:rsidP="00A65181">
      <w:pPr>
        <w:pStyle w:val="2"/>
      </w:pPr>
      <w:bookmarkStart w:id="354" w:name="_Toc112830687"/>
      <w:r w:rsidRPr="00FD50F6">
        <w:t>路基排水及防护</w:t>
      </w:r>
      <w:bookmarkEnd w:id="343"/>
      <w:bookmarkEnd w:id="344"/>
      <w:bookmarkEnd w:id="345"/>
      <w:bookmarkEnd w:id="346"/>
      <w:bookmarkEnd w:id="347"/>
      <w:bookmarkEnd w:id="354"/>
    </w:p>
    <w:p w14:paraId="36B1A73C" w14:textId="77777777" w:rsidR="001E2468" w:rsidRPr="00FD50F6" w:rsidRDefault="001E2468" w:rsidP="001E2468">
      <w:pPr>
        <w:pStyle w:val="30"/>
      </w:pPr>
      <w:r w:rsidRPr="00FD50F6">
        <w:t>路基应有完善的排水系统，并宜与市政排水设施相结合。排水设施应布置</w:t>
      </w:r>
      <w:r w:rsidRPr="00FD50F6">
        <w:lastRenderedPageBreak/>
        <w:t>合理，当与桥涵、隧道、车站等排水设施衔接时，应保证排水畅通。</w:t>
      </w:r>
    </w:p>
    <w:p w14:paraId="58698183" w14:textId="77777777" w:rsidR="001E2468" w:rsidRPr="00FD50F6" w:rsidRDefault="001E2468" w:rsidP="001E2468">
      <w:pPr>
        <w:pStyle w:val="30"/>
      </w:pPr>
      <w:r w:rsidRPr="00FD50F6">
        <w:t>排水设施的布置应符合下列规定：</w:t>
      </w:r>
    </w:p>
    <w:p w14:paraId="629A5AD3" w14:textId="77777777" w:rsidR="001E2468" w:rsidRPr="00FD50F6" w:rsidRDefault="001E2468" w:rsidP="00A926BD">
      <w:pPr>
        <w:pStyle w:val="4"/>
        <w:rPr>
          <w:sz w:val="21"/>
        </w:rPr>
      </w:pPr>
      <w:r w:rsidRPr="00FD50F6">
        <w:t>路基面水应采取适当措施引入排水沟或侧沟，或设置集水井进行集中引排</w:t>
      </w:r>
      <w:r w:rsidRPr="00FD50F6">
        <w:rPr>
          <w:rFonts w:hint="eastAsia"/>
        </w:rPr>
        <w:t>；</w:t>
      </w:r>
    </w:p>
    <w:p w14:paraId="569B417E" w14:textId="77777777" w:rsidR="001E2468" w:rsidRPr="00FD50F6" w:rsidRDefault="001E2468" w:rsidP="00A926BD">
      <w:pPr>
        <w:pStyle w:val="4"/>
      </w:pPr>
      <w:r w:rsidRPr="00FD50F6">
        <w:t>路堤坡脚外应设置排水沟</w:t>
      </w:r>
      <w:r w:rsidRPr="00FD50F6">
        <w:rPr>
          <w:rFonts w:hint="eastAsia"/>
        </w:rPr>
        <w:t>，</w:t>
      </w:r>
      <w:r w:rsidRPr="00FD50F6">
        <w:t>可根据地势情况等单侧或双侧布置；</w:t>
      </w:r>
    </w:p>
    <w:p w14:paraId="1D2C6DBF" w14:textId="77777777" w:rsidR="001E2468" w:rsidRPr="00FD50F6" w:rsidRDefault="001E2468" w:rsidP="00A926BD">
      <w:pPr>
        <w:pStyle w:val="4"/>
      </w:pPr>
      <w:r w:rsidRPr="00FD50F6">
        <w:t>路堑地段应于路肩两侧设置侧沟；</w:t>
      </w:r>
    </w:p>
    <w:p w14:paraId="4C7AEC3D" w14:textId="77777777" w:rsidR="001E2468" w:rsidRPr="00FD50F6" w:rsidRDefault="001E2468" w:rsidP="00A926BD">
      <w:pPr>
        <w:pStyle w:val="4"/>
      </w:pPr>
      <w:r w:rsidRPr="00FD50F6">
        <w:t>堑顶外根据地形应设置单侧或双侧天沟</w:t>
      </w:r>
      <w:r w:rsidRPr="00FD50F6">
        <w:rPr>
          <w:rFonts w:hint="eastAsia"/>
        </w:rPr>
        <w:t>，</w:t>
      </w:r>
      <w:r w:rsidRPr="00FD50F6">
        <w:t>天沟内边缘至堑顶距离不宜小于</w:t>
      </w:r>
      <w:r w:rsidRPr="00FD50F6">
        <w:t xml:space="preserve"> 5m</w:t>
      </w:r>
      <w:r w:rsidRPr="00FD50F6">
        <w:t>。</w:t>
      </w:r>
    </w:p>
    <w:p w14:paraId="22C5AE50" w14:textId="77777777" w:rsidR="001E2468" w:rsidRPr="00FD50F6" w:rsidRDefault="001E2468" w:rsidP="001E2468">
      <w:pPr>
        <w:pStyle w:val="30"/>
        <w:ind w:leftChars="118" w:left="283"/>
      </w:pPr>
      <w:r w:rsidRPr="00FD50F6">
        <w:t>路基排水纵坡不应小于</w:t>
      </w:r>
      <w:r w:rsidRPr="00FD50F6">
        <w:t>2‰</w:t>
      </w:r>
      <w:r w:rsidRPr="00FD50F6">
        <w:t>，单面排水坡段长度不宜大于</w:t>
      </w:r>
      <w:r w:rsidRPr="00FD50F6">
        <w:t>400m</w:t>
      </w:r>
      <w:r w:rsidRPr="00FD50F6">
        <w:t>。</w:t>
      </w:r>
    </w:p>
    <w:p w14:paraId="14BCF7DA" w14:textId="77777777" w:rsidR="001E2468" w:rsidRPr="00FD50F6" w:rsidRDefault="001E2468" w:rsidP="001E2468">
      <w:pPr>
        <w:pStyle w:val="30"/>
      </w:pPr>
      <w:r w:rsidRPr="00FD50F6">
        <w:t>对路基有危害的地下水，应根据地下水类型、含水层的埋藏深度、地层的渗透性及对环境的影响等条件，设置暗沟（管）、渗沟、检查井等地下排水设施。地下排水设施的类型、位置及尺寸应根据工程地质和水文地质条件确定。</w:t>
      </w:r>
    </w:p>
    <w:p w14:paraId="307D0FEF" w14:textId="77777777" w:rsidR="001E2468" w:rsidRPr="00FD50F6" w:rsidRDefault="001E2468" w:rsidP="001E2468">
      <w:pPr>
        <w:pStyle w:val="30"/>
      </w:pPr>
      <w:r w:rsidRPr="00FD50F6">
        <w:t>对受自然因素作用易产生损坏的路基边坡坡面，应根据边坡的土质、岩性、水文地质条件、边坡坡度与高度，以及周围景观等，选用适宜的防护措施。在适宜于植物生长的土质边坡上应采取植物防护措施。</w:t>
      </w:r>
    </w:p>
    <w:p w14:paraId="6B1514BB" w14:textId="6D45F195" w:rsidR="00A32476" w:rsidRPr="00FD50F6" w:rsidRDefault="001E2468" w:rsidP="000831EC">
      <w:pPr>
        <w:pStyle w:val="30"/>
      </w:pPr>
      <w:bookmarkStart w:id="355" w:name="_Toc320640064"/>
      <w:bookmarkStart w:id="356" w:name="_Toc320640063"/>
      <w:bookmarkEnd w:id="355"/>
      <w:bookmarkEnd w:id="356"/>
      <w:r w:rsidRPr="00FD50F6">
        <w:t>沿河地段路基应根据河流特性、水流性质、河道形状、地质条件等因素，结合路基位置，选用适宜的坡面防护、河水导流或改道等防护措施。</w:t>
      </w:r>
    </w:p>
    <w:p w14:paraId="6BEB35DB" w14:textId="3FD509D9" w:rsidR="00D70A4C" w:rsidRPr="00FD50F6" w:rsidRDefault="00D70A4C">
      <w:pPr>
        <w:widowControl/>
        <w:spacing w:line="240" w:lineRule="auto"/>
        <w:jc w:val="left"/>
        <w:rPr>
          <w:rFonts w:ascii="Times New Roman" w:hAnsi="Times New Roman"/>
          <w:b/>
          <w:bCs/>
          <w:szCs w:val="32"/>
        </w:rPr>
      </w:pPr>
      <w:r w:rsidRPr="00FD50F6">
        <w:rPr>
          <w:rFonts w:ascii="Times New Roman" w:hAnsi="Times New Roman"/>
          <w:b/>
          <w:bCs/>
          <w:szCs w:val="32"/>
        </w:rPr>
        <w:br w:type="page"/>
      </w:r>
    </w:p>
    <w:p w14:paraId="30B17B44" w14:textId="77777777" w:rsidR="00A048FB" w:rsidRPr="00FD50F6" w:rsidRDefault="00A048FB" w:rsidP="00A048FB">
      <w:pPr>
        <w:pStyle w:val="12"/>
      </w:pPr>
      <w:bookmarkStart w:id="357" w:name="_Toc112830688"/>
      <w:r w:rsidRPr="00FD50F6">
        <w:rPr>
          <w:rFonts w:hint="eastAsia"/>
        </w:rPr>
        <w:lastRenderedPageBreak/>
        <w:t>建筑</w:t>
      </w:r>
      <w:bookmarkEnd w:id="357"/>
    </w:p>
    <w:p w14:paraId="23D29FEB" w14:textId="77777777" w:rsidR="00A048FB" w:rsidRPr="00FD50F6" w:rsidRDefault="00A048FB" w:rsidP="00A65181">
      <w:pPr>
        <w:pStyle w:val="2"/>
        <w:numPr>
          <w:ilvl w:val="1"/>
          <w:numId w:val="6"/>
        </w:numPr>
      </w:pPr>
      <w:bookmarkStart w:id="358" w:name="_Toc306203687"/>
      <w:bookmarkStart w:id="359" w:name="_Toc320639570"/>
      <w:bookmarkStart w:id="360" w:name="_Toc236222486"/>
      <w:bookmarkStart w:id="361" w:name="_Toc344218735"/>
      <w:bookmarkStart w:id="362" w:name="_Toc320115659"/>
      <w:bookmarkStart w:id="363" w:name="_Toc112830689"/>
      <w:r w:rsidRPr="00FD50F6">
        <w:rPr>
          <w:rFonts w:hint="eastAsia"/>
        </w:rPr>
        <w:t>一般规定</w:t>
      </w:r>
      <w:bookmarkEnd w:id="358"/>
      <w:bookmarkEnd w:id="359"/>
      <w:bookmarkEnd w:id="360"/>
      <w:bookmarkEnd w:id="361"/>
      <w:bookmarkEnd w:id="362"/>
      <w:bookmarkEnd w:id="363"/>
    </w:p>
    <w:p w14:paraId="624DC765" w14:textId="77777777" w:rsidR="00A048FB" w:rsidRPr="00FD50F6" w:rsidRDefault="00A048FB" w:rsidP="00A048FB">
      <w:pPr>
        <w:pStyle w:val="30"/>
        <w:rPr>
          <w:b/>
        </w:rPr>
      </w:pPr>
      <w:r w:rsidRPr="00FD50F6">
        <w:rPr>
          <w:rFonts w:hint="eastAsia"/>
        </w:rPr>
        <w:t>车站的总体布局应符合城市规划、城市综合交通规划、环境保护和城市景观的要求，并应处理好与地面建筑、城市道路、地下管线、地下构筑物及施工时交通组织之间的关系。</w:t>
      </w:r>
    </w:p>
    <w:p w14:paraId="5CE76367" w14:textId="773E887D" w:rsidR="00A048FB" w:rsidRPr="00FD50F6" w:rsidRDefault="00A048FB" w:rsidP="00A048FB">
      <w:pPr>
        <w:pStyle w:val="30"/>
        <w:rPr>
          <w:b/>
        </w:rPr>
      </w:pPr>
      <w:r w:rsidRPr="00FD50F6">
        <w:rPr>
          <w:rFonts w:hint="eastAsia"/>
        </w:rPr>
        <w:t>车站设计应满足客流需求和系统功能需求，并应满足乘降安全与疏导迅速的要求，建筑功能布局合理紧凑、分区明确、便于管理，并应具有良好的通风、照明、卫生、防灾等设施。设备与管理用房宜采用标准化、模块化设计。</w:t>
      </w:r>
    </w:p>
    <w:p w14:paraId="33DD4DF8" w14:textId="77777777" w:rsidR="00A048FB" w:rsidRPr="00FD50F6" w:rsidRDefault="00A048FB" w:rsidP="00A048FB">
      <w:pPr>
        <w:pStyle w:val="30"/>
        <w:rPr>
          <w:b/>
        </w:rPr>
      </w:pPr>
      <w:r w:rsidRPr="00FD50F6">
        <w:rPr>
          <w:rFonts w:hint="eastAsia"/>
        </w:rPr>
        <w:t>车站规模和通行、服务设施标准应根据预测客流、系统设计能力和车站服务的客流特征以及不同的运营工况合理确定。</w:t>
      </w:r>
    </w:p>
    <w:p w14:paraId="4C04FDFB" w14:textId="77777777" w:rsidR="00A048FB" w:rsidRPr="00FD50F6" w:rsidRDefault="00A048FB" w:rsidP="00A048FB">
      <w:pPr>
        <w:pStyle w:val="30"/>
        <w:rPr>
          <w:b/>
        </w:rPr>
      </w:pPr>
      <w:r w:rsidRPr="00FD50F6">
        <w:rPr>
          <w:rFonts w:hint="eastAsia"/>
        </w:rPr>
        <w:t>地下车站的主体土建工程不应分期建设，地面和高架车站及相关地面建筑可分期建设。</w:t>
      </w:r>
    </w:p>
    <w:p w14:paraId="76906CAF" w14:textId="58B20C9C" w:rsidR="00A048FB" w:rsidRPr="00FD50F6" w:rsidRDefault="00A048FB" w:rsidP="00A048FB">
      <w:pPr>
        <w:pStyle w:val="30"/>
        <w:rPr>
          <w:b/>
        </w:rPr>
      </w:pPr>
      <w:r w:rsidRPr="00FD50F6">
        <w:rPr>
          <w:rFonts w:hint="eastAsia"/>
        </w:rPr>
        <w:t>车站的地下、地上空间宜综合利用。车站与周边建筑的一体化设计应根据两者的空间关系、建设时序合理确定，并应满足车站的运营管理、安防、防灾及人防等要求。两者的防火分隔和联通方式应满足本</w:t>
      </w:r>
      <w:r w:rsidR="001868FA" w:rsidRPr="00FD50F6">
        <w:rPr>
          <w:rFonts w:hint="eastAsia"/>
        </w:rPr>
        <w:t>标准</w:t>
      </w:r>
      <w:r w:rsidRPr="00FD50F6">
        <w:rPr>
          <w:rFonts w:hint="eastAsia"/>
        </w:rPr>
        <w:t>第</w:t>
      </w:r>
      <w:r w:rsidR="00FF2802" w:rsidRPr="00FD50F6">
        <w:t>30</w:t>
      </w:r>
      <w:r w:rsidRPr="00FD50F6">
        <w:t>.1.5</w:t>
      </w:r>
      <w:r w:rsidRPr="00FD50F6">
        <w:rPr>
          <w:rFonts w:hint="eastAsia"/>
        </w:rPr>
        <w:t>条的规定。</w:t>
      </w:r>
    </w:p>
    <w:p w14:paraId="1DA661FF" w14:textId="77777777" w:rsidR="00A048FB" w:rsidRPr="00FD50F6" w:rsidRDefault="00A048FB" w:rsidP="00A048FB">
      <w:pPr>
        <w:pStyle w:val="30"/>
        <w:rPr>
          <w:b/>
        </w:rPr>
      </w:pPr>
      <w:r w:rsidRPr="00FD50F6">
        <w:rPr>
          <w:rFonts w:hint="eastAsia"/>
        </w:rPr>
        <w:t>车站应设置无障碍设施。</w:t>
      </w:r>
    </w:p>
    <w:p w14:paraId="130A472F" w14:textId="63590814" w:rsidR="00A048FB" w:rsidRPr="00FD50F6" w:rsidRDefault="00A048FB" w:rsidP="00A048FB">
      <w:pPr>
        <w:pStyle w:val="30"/>
        <w:rPr>
          <w:b/>
        </w:rPr>
      </w:pPr>
      <w:r w:rsidRPr="00FD50F6">
        <w:rPr>
          <w:rFonts w:hint="eastAsia"/>
        </w:rPr>
        <w:t>车站内应设置公共卫生间及管理人员专用卫生间，两者可共址但不宜合用。</w:t>
      </w:r>
    </w:p>
    <w:p w14:paraId="0C599DDC" w14:textId="7FEBC28D" w:rsidR="00A048FB" w:rsidRPr="00FD50F6" w:rsidRDefault="00A048FB" w:rsidP="00A048FB">
      <w:pPr>
        <w:pStyle w:val="30"/>
        <w:rPr>
          <w:b/>
        </w:rPr>
      </w:pPr>
      <w:r w:rsidRPr="00FD50F6">
        <w:rPr>
          <w:rFonts w:hint="eastAsia"/>
        </w:rPr>
        <w:t>车站公共区宜设置母婴室。</w:t>
      </w:r>
    </w:p>
    <w:p w14:paraId="6509B4D8" w14:textId="77777777" w:rsidR="00A048FB" w:rsidRPr="00FD50F6" w:rsidRDefault="00A048FB" w:rsidP="00A048FB">
      <w:pPr>
        <w:pStyle w:val="30"/>
        <w:rPr>
          <w:b/>
        </w:rPr>
      </w:pPr>
      <w:r w:rsidRPr="00FD50F6">
        <w:rPr>
          <w:rFonts w:hint="eastAsia"/>
        </w:rPr>
        <w:t>地上车站的建筑围护应综合采取防雨雪、遮阳、保温、隔热和防风措施，并应满足日常清洁维护要求。</w:t>
      </w:r>
    </w:p>
    <w:p w14:paraId="406BBDF3" w14:textId="670C35BF" w:rsidR="00A048FB" w:rsidRPr="00FD50F6" w:rsidRDefault="00A048FB" w:rsidP="00A048FB">
      <w:pPr>
        <w:pStyle w:val="30"/>
        <w:rPr>
          <w:b/>
        </w:rPr>
      </w:pPr>
      <w:r w:rsidRPr="00FD50F6">
        <w:rPr>
          <w:rFonts w:hint="eastAsia"/>
        </w:rPr>
        <w:t>大型体育场馆、会展中心以及大型社会活动中心等短时间会产生大规模突发性客流的车站，应根据冲击规模和冲击强度，提供站外缓冲空间，进行有组织的限流。</w:t>
      </w:r>
    </w:p>
    <w:p w14:paraId="0062FA4F" w14:textId="77777777" w:rsidR="00A048FB" w:rsidRPr="00FD50F6" w:rsidRDefault="00A048FB" w:rsidP="00A048FB">
      <w:pPr>
        <w:pStyle w:val="30"/>
        <w:rPr>
          <w:b/>
        </w:rPr>
      </w:pPr>
      <w:r w:rsidRPr="00FD50F6">
        <w:rPr>
          <w:rFonts w:hint="eastAsia"/>
        </w:rPr>
        <w:t>地下车站出入口、风亭（井）以及地下区间和中间风井应按人防要求设置人防设施。</w:t>
      </w:r>
    </w:p>
    <w:p w14:paraId="702952CE" w14:textId="5A76BC79" w:rsidR="00A048FB" w:rsidRPr="00FD50F6" w:rsidRDefault="00F553F2" w:rsidP="00A048FB">
      <w:pPr>
        <w:pStyle w:val="30"/>
        <w:rPr>
          <w:b/>
        </w:rPr>
      </w:pPr>
      <w:r w:rsidRPr="00FD50F6">
        <w:rPr>
          <w:rFonts w:hint="eastAsia"/>
        </w:rPr>
        <w:t>车站防水淹设计应符合本标准第</w:t>
      </w:r>
      <w:r w:rsidRPr="00FD50F6">
        <w:rPr>
          <w:rFonts w:hint="eastAsia"/>
        </w:rPr>
        <w:t>30.7</w:t>
      </w:r>
      <w:r w:rsidRPr="00FD50F6">
        <w:rPr>
          <w:rFonts w:hint="eastAsia"/>
        </w:rPr>
        <w:t>节相关要求</w:t>
      </w:r>
      <w:r w:rsidR="00A048FB" w:rsidRPr="00FD50F6">
        <w:rPr>
          <w:rFonts w:hint="eastAsia"/>
        </w:rPr>
        <w:t>。</w:t>
      </w:r>
    </w:p>
    <w:p w14:paraId="7C5AAC2F" w14:textId="77777777" w:rsidR="00A048FB" w:rsidRPr="00FD50F6" w:rsidRDefault="00A048FB" w:rsidP="001A4CF3">
      <w:pPr>
        <w:pStyle w:val="2"/>
        <w:numPr>
          <w:ilvl w:val="1"/>
          <w:numId w:val="6"/>
        </w:numPr>
      </w:pPr>
      <w:bookmarkStart w:id="364" w:name="_Toc112830690"/>
      <w:bookmarkStart w:id="365" w:name="_Toc306203688"/>
      <w:bookmarkStart w:id="366" w:name="_Toc320639571"/>
      <w:bookmarkStart w:id="367" w:name="_Toc344218736"/>
      <w:bookmarkStart w:id="368" w:name="_Toc236222487"/>
      <w:bookmarkStart w:id="369" w:name="_Toc320115660"/>
      <w:r w:rsidRPr="00FD50F6">
        <w:rPr>
          <w:rFonts w:hint="eastAsia"/>
        </w:rPr>
        <w:lastRenderedPageBreak/>
        <w:t>车站设计标准</w:t>
      </w:r>
      <w:bookmarkEnd w:id="364"/>
    </w:p>
    <w:p w14:paraId="3D8C7F56" w14:textId="0A4207C0" w:rsidR="00A048FB" w:rsidRPr="00FD50F6" w:rsidRDefault="00A048FB" w:rsidP="00A048FB">
      <w:pPr>
        <w:pStyle w:val="30"/>
        <w:rPr>
          <w:b/>
        </w:rPr>
      </w:pPr>
      <w:r w:rsidRPr="00FD50F6">
        <w:rPr>
          <w:rFonts w:hint="eastAsia"/>
        </w:rPr>
        <w:t>车站的站厅、站台规模以及出入口通道、楼梯和自动扶梯、售检票口（机）、安检口等部位的通行能力，应按该站超高峰设计客流量确定，并应按本标准</w:t>
      </w:r>
      <w:r w:rsidR="008C6B9B" w:rsidRPr="00FD50F6">
        <w:rPr>
          <w:rFonts w:hint="eastAsia"/>
        </w:rPr>
        <w:t>第</w:t>
      </w:r>
      <w:r w:rsidR="008C6B9B" w:rsidRPr="00FD50F6">
        <w:t>30</w:t>
      </w:r>
      <w:r w:rsidRPr="00FD50F6">
        <w:rPr>
          <w:rFonts w:hint="eastAsia"/>
        </w:rPr>
        <w:t>章的安全疏散要求进行校核；超高峰设计客流量应为该站预测远期高峰小时客流量或客流控制期高峰小时客流量乘以</w:t>
      </w:r>
      <w:r w:rsidRPr="00FD50F6">
        <w:t>1.1</w:t>
      </w:r>
      <w:r w:rsidRPr="00FD50F6">
        <w:rPr>
          <w:rFonts w:hint="eastAsia"/>
        </w:rPr>
        <w:t>～</w:t>
      </w:r>
      <w:r w:rsidRPr="00FD50F6">
        <w:t>1.4</w:t>
      </w:r>
      <w:r w:rsidRPr="00FD50F6">
        <w:rPr>
          <w:rFonts w:hint="eastAsia"/>
        </w:rPr>
        <w:t>超高峰系数。</w:t>
      </w:r>
    </w:p>
    <w:p w14:paraId="51FDCE3F" w14:textId="2230110A" w:rsidR="00A048FB" w:rsidRPr="00FD50F6" w:rsidRDefault="00A048FB" w:rsidP="00A048FB">
      <w:pPr>
        <w:pStyle w:val="30"/>
        <w:rPr>
          <w:b/>
        </w:rPr>
      </w:pPr>
      <w:bookmarkStart w:id="370" w:name="_Hlk8886013"/>
      <w:r w:rsidRPr="00FD50F6">
        <w:rPr>
          <w:rFonts w:hint="eastAsia"/>
        </w:rPr>
        <w:t>车站宜根据服务客流特征进行分类，分类标准应符合表</w:t>
      </w:r>
      <w:r w:rsidR="008C6B9B" w:rsidRPr="00FD50F6">
        <w:t>10</w:t>
      </w:r>
      <w:r w:rsidRPr="00FD50F6">
        <w:t>.2.2</w:t>
      </w:r>
      <w:r w:rsidRPr="00FD50F6">
        <w:rPr>
          <w:rFonts w:hint="eastAsia"/>
        </w:rPr>
        <w:t>的规定。</w:t>
      </w:r>
    </w:p>
    <w:p w14:paraId="10DE3615" w14:textId="12F56BB8" w:rsidR="00A048FB" w:rsidRPr="00FD50F6" w:rsidRDefault="00A048FB" w:rsidP="00A048FB">
      <w:pPr>
        <w:pStyle w:val="6"/>
        <w:rPr>
          <w:sz w:val="21"/>
          <w:szCs w:val="21"/>
        </w:rPr>
      </w:pPr>
      <w:r w:rsidRPr="00FD50F6">
        <w:rPr>
          <w:rFonts w:hint="eastAsia"/>
        </w:rPr>
        <w:t>表</w:t>
      </w:r>
      <w:r w:rsidR="008C6B9B" w:rsidRPr="00FD50F6">
        <w:t>10</w:t>
      </w:r>
      <w:r w:rsidRPr="00FD50F6">
        <w:t>.2.2</w:t>
      </w:r>
      <w:r w:rsidRPr="00FD50F6">
        <w:rPr>
          <w:rFonts w:hint="eastAsia"/>
        </w:rPr>
        <w:t>车站分类体系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2"/>
        <w:gridCol w:w="1371"/>
        <w:gridCol w:w="1985"/>
        <w:gridCol w:w="2005"/>
        <w:gridCol w:w="1945"/>
      </w:tblGrid>
      <w:tr w:rsidR="00FD50F6" w:rsidRPr="00FD50F6" w14:paraId="7FB5C5BF" w14:textId="77777777" w:rsidTr="00353026">
        <w:trPr>
          <w:trHeight w:val="377"/>
          <w:tblHeader/>
          <w:jc w:val="center"/>
        </w:trPr>
        <w:tc>
          <w:tcPr>
            <w:tcW w:w="882"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14:paraId="37CD8C63" w14:textId="77777777" w:rsidR="00A048FB" w:rsidRPr="00FD50F6" w:rsidRDefault="00A048FB" w:rsidP="00353026">
            <w:pPr>
              <w:pStyle w:val="7"/>
              <w:rPr>
                <w:rFonts w:ascii="宋体" w:hAnsi="宋体" w:cs="宋体"/>
              </w:rPr>
            </w:pPr>
            <w:r w:rsidRPr="00FD50F6">
              <w:rPr>
                <w:rFonts w:hint="eastAsia"/>
              </w:rPr>
              <w:t>类别</w:t>
            </w:r>
          </w:p>
        </w:tc>
        <w:tc>
          <w:tcPr>
            <w:tcW w:w="1371" w:type="dxa"/>
            <w:vMerge w:val="restart"/>
            <w:tcBorders>
              <w:top w:val="single" w:sz="12" w:space="0" w:color="auto"/>
              <w:left w:val="single" w:sz="6" w:space="0" w:color="auto"/>
              <w:bottom w:val="single" w:sz="6" w:space="0" w:color="auto"/>
              <w:right w:val="single" w:sz="6" w:space="0" w:color="auto"/>
            </w:tcBorders>
            <w:shd w:val="clear" w:color="auto" w:fill="auto"/>
            <w:vAlign w:val="center"/>
          </w:tcPr>
          <w:p w14:paraId="638F73C0" w14:textId="77777777" w:rsidR="00A048FB" w:rsidRPr="00FD50F6" w:rsidRDefault="00A048FB" w:rsidP="00353026">
            <w:pPr>
              <w:pStyle w:val="7"/>
              <w:rPr>
                <w:rFonts w:ascii="宋体" w:hAnsi="宋体" w:cs="宋体"/>
              </w:rPr>
            </w:pPr>
            <w:r w:rsidRPr="00FD50F6">
              <w:rPr>
                <w:rFonts w:hint="eastAsia"/>
              </w:rPr>
              <w:t>A</w:t>
            </w:r>
            <w:r w:rsidRPr="00FD50F6">
              <w:rPr>
                <w:rFonts w:hint="eastAsia"/>
              </w:rPr>
              <w:t>类</w:t>
            </w:r>
          </w:p>
          <w:p w14:paraId="11587906" w14:textId="77777777" w:rsidR="00A048FB" w:rsidRPr="00FD50F6" w:rsidRDefault="00A048FB" w:rsidP="00353026">
            <w:pPr>
              <w:pStyle w:val="7"/>
              <w:rPr>
                <w:rFonts w:ascii="宋体" w:hAnsi="宋体" w:cs="宋体"/>
              </w:rPr>
            </w:pPr>
            <w:r w:rsidRPr="00FD50F6">
              <w:rPr>
                <w:rFonts w:hint="eastAsia"/>
              </w:rPr>
              <w:t>（旅行）</w:t>
            </w:r>
          </w:p>
        </w:tc>
        <w:tc>
          <w:tcPr>
            <w:tcW w:w="3990"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0A27A0B7" w14:textId="77777777" w:rsidR="00A048FB" w:rsidRPr="00FD50F6" w:rsidRDefault="00A048FB" w:rsidP="00353026">
            <w:pPr>
              <w:pStyle w:val="7"/>
              <w:rPr>
                <w:rFonts w:ascii="宋体" w:hAnsi="宋体" w:cs="宋体"/>
              </w:rPr>
            </w:pPr>
            <w:r w:rsidRPr="00FD50F6">
              <w:rPr>
                <w:rFonts w:hint="eastAsia"/>
              </w:rPr>
              <w:t>B</w:t>
            </w:r>
            <w:r w:rsidRPr="00FD50F6">
              <w:rPr>
                <w:rFonts w:hint="eastAsia"/>
              </w:rPr>
              <w:t>类（休闲、集会）</w:t>
            </w:r>
          </w:p>
        </w:tc>
        <w:tc>
          <w:tcPr>
            <w:tcW w:w="1945" w:type="dxa"/>
            <w:vMerge w:val="restart"/>
            <w:tcBorders>
              <w:top w:val="single" w:sz="12" w:space="0" w:color="auto"/>
              <w:left w:val="single" w:sz="6" w:space="0" w:color="auto"/>
              <w:bottom w:val="single" w:sz="6" w:space="0" w:color="auto"/>
              <w:right w:val="single" w:sz="12" w:space="0" w:color="auto"/>
            </w:tcBorders>
            <w:shd w:val="clear" w:color="auto" w:fill="auto"/>
            <w:vAlign w:val="center"/>
          </w:tcPr>
          <w:p w14:paraId="2D4D5589" w14:textId="77777777" w:rsidR="00A048FB" w:rsidRPr="00FD50F6" w:rsidRDefault="00A048FB" w:rsidP="00353026">
            <w:pPr>
              <w:pStyle w:val="7"/>
              <w:rPr>
                <w:rFonts w:ascii="宋体" w:hAnsi="宋体" w:cs="宋体"/>
              </w:rPr>
            </w:pPr>
            <w:r w:rsidRPr="00FD50F6">
              <w:rPr>
                <w:rFonts w:hint="eastAsia"/>
              </w:rPr>
              <w:t>C</w:t>
            </w:r>
            <w:r w:rsidRPr="00FD50F6">
              <w:rPr>
                <w:rFonts w:hint="eastAsia"/>
              </w:rPr>
              <w:t>类</w:t>
            </w:r>
          </w:p>
          <w:p w14:paraId="0AD7466F" w14:textId="77777777" w:rsidR="00A048FB" w:rsidRPr="00FD50F6" w:rsidRDefault="00A048FB" w:rsidP="00353026">
            <w:pPr>
              <w:pStyle w:val="7"/>
              <w:rPr>
                <w:rFonts w:ascii="宋体" w:hAnsi="宋体" w:cs="宋体"/>
              </w:rPr>
            </w:pPr>
            <w:r w:rsidRPr="00FD50F6">
              <w:rPr>
                <w:rFonts w:hint="eastAsia"/>
              </w:rPr>
              <w:t>（通勤）</w:t>
            </w:r>
          </w:p>
        </w:tc>
      </w:tr>
      <w:tr w:rsidR="00FD50F6" w:rsidRPr="00FD50F6" w14:paraId="6C928B7B" w14:textId="77777777" w:rsidTr="00353026">
        <w:trPr>
          <w:trHeight w:val="349"/>
          <w:tblHeader/>
          <w:jc w:val="center"/>
        </w:trPr>
        <w:tc>
          <w:tcPr>
            <w:tcW w:w="882" w:type="dxa"/>
            <w:vMerge/>
            <w:tcBorders>
              <w:top w:val="single" w:sz="12" w:space="0" w:color="auto"/>
              <w:left w:val="single" w:sz="12" w:space="0" w:color="auto"/>
              <w:bottom w:val="single" w:sz="6" w:space="0" w:color="auto"/>
              <w:right w:val="single" w:sz="6" w:space="0" w:color="auto"/>
            </w:tcBorders>
            <w:shd w:val="clear" w:color="auto" w:fill="auto"/>
            <w:vAlign w:val="center"/>
          </w:tcPr>
          <w:p w14:paraId="7B701DC7" w14:textId="77777777" w:rsidR="00A048FB" w:rsidRPr="00FD50F6" w:rsidRDefault="00A048FB" w:rsidP="00353026">
            <w:pPr>
              <w:pStyle w:val="7"/>
              <w:rPr>
                <w:rFonts w:ascii="等线" w:eastAsia="等线" w:hAnsi="等线" w:cs="等线"/>
                <w:szCs w:val="22"/>
              </w:rPr>
            </w:pPr>
          </w:p>
        </w:tc>
        <w:tc>
          <w:tcPr>
            <w:tcW w:w="1371" w:type="dxa"/>
            <w:vMerge/>
            <w:tcBorders>
              <w:top w:val="single" w:sz="12" w:space="0" w:color="auto"/>
              <w:left w:val="single" w:sz="6" w:space="0" w:color="auto"/>
              <w:bottom w:val="single" w:sz="6" w:space="0" w:color="auto"/>
              <w:right w:val="single" w:sz="6" w:space="0" w:color="auto"/>
            </w:tcBorders>
            <w:shd w:val="clear" w:color="auto" w:fill="auto"/>
            <w:vAlign w:val="center"/>
          </w:tcPr>
          <w:p w14:paraId="173362FE" w14:textId="77777777" w:rsidR="00A048FB" w:rsidRPr="00FD50F6" w:rsidRDefault="00A048FB" w:rsidP="00353026">
            <w:pPr>
              <w:pStyle w:val="7"/>
              <w:rPr>
                <w:rFonts w:ascii="等线" w:eastAsia="等线" w:hAnsi="等线" w:cs="等线"/>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9695BF4" w14:textId="77777777" w:rsidR="00A048FB" w:rsidRPr="00FD50F6" w:rsidRDefault="00A048FB" w:rsidP="00353026">
            <w:pPr>
              <w:pStyle w:val="7"/>
              <w:rPr>
                <w:rFonts w:ascii="宋体" w:hAnsi="宋体" w:cs="宋体"/>
              </w:rPr>
            </w:pPr>
            <w:r w:rsidRPr="00FD50F6">
              <w:rPr>
                <w:rFonts w:hint="eastAsia"/>
              </w:rPr>
              <w:t>休闲</w:t>
            </w:r>
          </w:p>
        </w:tc>
        <w:tc>
          <w:tcPr>
            <w:tcW w:w="2005" w:type="dxa"/>
            <w:tcBorders>
              <w:top w:val="single" w:sz="6" w:space="0" w:color="auto"/>
              <w:left w:val="single" w:sz="6" w:space="0" w:color="auto"/>
              <w:bottom w:val="single" w:sz="6" w:space="0" w:color="auto"/>
              <w:right w:val="single" w:sz="6" w:space="0" w:color="auto"/>
            </w:tcBorders>
            <w:shd w:val="clear" w:color="auto" w:fill="auto"/>
            <w:vAlign w:val="center"/>
          </w:tcPr>
          <w:p w14:paraId="49F96386" w14:textId="77777777" w:rsidR="00A048FB" w:rsidRPr="00FD50F6" w:rsidRDefault="00A048FB" w:rsidP="00353026">
            <w:pPr>
              <w:pStyle w:val="7"/>
              <w:rPr>
                <w:rFonts w:ascii="宋体" w:hAnsi="宋体" w:cs="宋体"/>
              </w:rPr>
            </w:pPr>
            <w:r w:rsidRPr="00FD50F6">
              <w:rPr>
                <w:rFonts w:hint="eastAsia"/>
              </w:rPr>
              <w:t>集会</w:t>
            </w:r>
          </w:p>
        </w:tc>
        <w:tc>
          <w:tcPr>
            <w:tcW w:w="1945" w:type="dxa"/>
            <w:vMerge/>
            <w:tcBorders>
              <w:top w:val="single" w:sz="12" w:space="0" w:color="auto"/>
              <w:left w:val="single" w:sz="6" w:space="0" w:color="auto"/>
              <w:bottom w:val="single" w:sz="6" w:space="0" w:color="auto"/>
              <w:right w:val="single" w:sz="12" w:space="0" w:color="auto"/>
            </w:tcBorders>
            <w:shd w:val="clear" w:color="auto" w:fill="auto"/>
            <w:vAlign w:val="center"/>
          </w:tcPr>
          <w:p w14:paraId="7F6BFB3F" w14:textId="77777777" w:rsidR="00A048FB" w:rsidRPr="00FD50F6" w:rsidRDefault="00A048FB" w:rsidP="00353026">
            <w:pPr>
              <w:pStyle w:val="7"/>
              <w:rPr>
                <w:rFonts w:ascii="等线" w:eastAsia="等线" w:hAnsi="等线" w:cs="等线"/>
                <w:szCs w:val="22"/>
              </w:rPr>
            </w:pPr>
          </w:p>
        </w:tc>
      </w:tr>
      <w:tr w:rsidR="00FD50F6" w:rsidRPr="00FD50F6" w14:paraId="3F77AE0E" w14:textId="77777777" w:rsidTr="00353026">
        <w:trPr>
          <w:jc w:val="center"/>
        </w:trPr>
        <w:tc>
          <w:tcPr>
            <w:tcW w:w="882" w:type="dxa"/>
            <w:tcBorders>
              <w:top w:val="single" w:sz="6" w:space="0" w:color="auto"/>
              <w:left w:val="single" w:sz="12" w:space="0" w:color="auto"/>
              <w:bottom w:val="single" w:sz="6" w:space="0" w:color="auto"/>
              <w:right w:val="single" w:sz="6" w:space="0" w:color="auto"/>
            </w:tcBorders>
            <w:shd w:val="clear" w:color="auto" w:fill="auto"/>
            <w:vAlign w:val="center"/>
          </w:tcPr>
          <w:p w14:paraId="4CFDE797" w14:textId="77777777" w:rsidR="00A048FB" w:rsidRPr="00FD50F6" w:rsidRDefault="00A048FB" w:rsidP="00353026">
            <w:pPr>
              <w:pStyle w:val="7"/>
              <w:rPr>
                <w:rFonts w:ascii="宋体" w:hAnsi="宋体" w:cs="宋体"/>
              </w:rPr>
            </w:pPr>
            <w:r w:rsidRPr="00FD50F6">
              <w:rPr>
                <w:rFonts w:hint="eastAsia"/>
              </w:rPr>
              <w:t>主导</w:t>
            </w:r>
          </w:p>
          <w:p w14:paraId="43AA7A13" w14:textId="77777777" w:rsidR="00A048FB" w:rsidRPr="00FD50F6" w:rsidRDefault="00A048FB" w:rsidP="00353026">
            <w:pPr>
              <w:pStyle w:val="7"/>
              <w:rPr>
                <w:rFonts w:ascii="宋体" w:hAnsi="宋体" w:cs="宋体"/>
              </w:rPr>
            </w:pPr>
            <w:r w:rsidRPr="00FD50F6">
              <w:rPr>
                <w:rFonts w:hint="eastAsia"/>
              </w:rPr>
              <w:t>客流</w:t>
            </w:r>
          </w:p>
        </w:tc>
        <w:tc>
          <w:tcPr>
            <w:tcW w:w="1371" w:type="dxa"/>
            <w:tcBorders>
              <w:top w:val="single" w:sz="6" w:space="0" w:color="auto"/>
              <w:left w:val="single" w:sz="6" w:space="0" w:color="auto"/>
              <w:bottom w:val="single" w:sz="6" w:space="0" w:color="auto"/>
              <w:right w:val="single" w:sz="6" w:space="0" w:color="auto"/>
            </w:tcBorders>
            <w:shd w:val="clear" w:color="auto" w:fill="auto"/>
            <w:vAlign w:val="center"/>
          </w:tcPr>
          <w:p w14:paraId="7E1A0C28" w14:textId="77777777" w:rsidR="00A048FB" w:rsidRPr="00FD50F6" w:rsidRDefault="00A048FB" w:rsidP="00353026">
            <w:pPr>
              <w:pStyle w:val="7"/>
              <w:rPr>
                <w:rFonts w:ascii="宋体" w:hAnsi="宋体" w:cs="宋体"/>
              </w:rPr>
            </w:pPr>
            <w:r w:rsidRPr="00FD50F6">
              <w:rPr>
                <w:rFonts w:hint="eastAsia"/>
              </w:rPr>
              <w:t>转乘城际</w:t>
            </w:r>
          </w:p>
          <w:p w14:paraId="485151E4" w14:textId="77777777" w:rsidR="00A048FB" w:rsidRPr="00FD50F6" w:rsidRDefault="00A048FB" w:rsidP="00353026">
            <w:pPr>
              <w:pStyle w:val="7"/>
              <w:rPr>
                <w:rFonts w:ascii="宋体" w:hAnsi="宋体" w:cs="宋体"/>
              </w:rPr>
            </w:pPr>
            <w:r w:rsidRPr="00FD50F6">
              <w:rPr>
                <w:rFonts w:hint="eastAsia"/>
              </w:rPr>
              <w:t>交通客流</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BF7F4D" w14:textId="77777777" w:rsidR="00A048FB" w:rsidRPr="00FD50F6" w:rsidRDefault="00A048FB" w:rsidP="00353026">
            <w:pPr>
              <w:pStyle w:val="7"/>
              <w:rPr>
                <w:rFonts w:ascii="宋体" w:hAnsi="宋体" w:cs="宋体"/>
              </w:rPr>
            </w:pPr>
            <w:r w:rsidRPr="00FD50F6">
              <w:rPr>
                <w:rFonts w:hint="eastAsia"/>
              </w:rPr>
              <w:t>旅游观光及</w:t>
            </w:r>
          </w:p>
          <w:p w14:paraId="3783A742" w14:textId="77777777" w:rsidR="00A048FB" w:rsidRPr="00FD50F6" w:rsidRDefault="00A048FB" w:rsidP="00353026">
            <w:pPr>
              <w:pStyle w:val="7"/>
              <w:rPr>
                <w:rFonts w:ascii="宋体" w:hAnsi="宋体" w:cs="宋体"/>
              </w:rPr>
            </w:pPr>
            <w:r w:rsidRPr="00FD50F6">
              <w:rPr>
                <w:rFonts w:hint="eastAsia"/>
              </w:rPr>
              <w:t>商业购物客流</w:t>
            </w:r>
          </w:p>
        </w:tc>
        <w:tc>
          <w:tcPr>
            <w:tcW w:w="2005" w:type="dxa"/>
            <w:tcBorders>
              <w:top w:val="single" w:sz="6" w:space="0" w:color="auto"/>
              <w:left w:val="single" w:sz="6" w:space="0" w:color="auto"/>
              <w:bottom w:val="single" w:sz="6" w:space="0" w:color="auto"/>
              <w:right w:val="single" w:sz="6" w:space="0" w:color="auto"/>
            </w:tcBorders>
            <w:shd w:val="clear" w:color="auto" w:fill="auto"/>
            <w:vAlign w:val="center"/>
          </w:tcPr>
          <w:p w14:paraId="50B4533C" w14:textId="77777777" w:rsidR="00A048FB" w:rsidRPr="00FD50F6" w:rsidRDefault="00A048FB" w:rsidP="00353026">
            <w:pPr>
              <w:pStyle w:val="7"/>
              <w:rPr>
                <w:rFonts w:ascii="宋体" w:hAnsi="宋体" w:cs="宋体"/>
              </w:rPr>
            </w:pPr>
            <w:r w:rsidRPr="00FD50F6">
              <w:rPr>
                <w:rFonts w:hint="eastAsia"/>
              </w:rPr>
              <w:t>瞬时大规模</w:t>
            </w:r>
          </w:p>
          <w:p w14:paraId="30EA10D8" w14:textId="77777777" w:rsidR="00A048FB" w:rsidRPr="00FD50F6" w:rsidRDefault="00A048FB" w:rsidP="00353026">
            <w:pPr>
              <w:pStyle w:val="7"/>
              <w:rPr>
                <w:rFonts w:ascii="宋体" w:hAnsi="宋体" w:cs="宋体"/>
              </w:rPr>
            </w:pPr>
            <w:r w:rsidRPr="00FD50F6">
              <w:rPr>
                <w:rFonts w:hint="eastAsia"/>
              </w:rPr>
              <w:t>突发客流</w:t>
            </w:r>
          </w:p>
        </w:tc>
        <w:tc>
          <w:tcPr>
            <w:tcW w:w="1945" w:type="dxa"/>
            <w:tcBorders>
              <w:top w:val="single" w:sz="6" w:space="0" w:color="auto"/>
              <w:left w:val="single" w:sz="6" w:space="0" w:color="auto"/>
              <w:bottom w:val="single" w:sz="6" w:space="0" w:color="auto"/>
              <w:right w:val="single" w:sz="12" w:space="0" w:color="auto"/>
            </w:tcBorders>
            <w:shd w:val="clear" w:color="auto" w:fill="auto"/>
            <w:vAlign w:val="center"/>
          </w:tcPr>
          <w:p w14:paraId="1E950576" w14:textId="77777777" w:rsidR="00A048FB" w:rsidRPr="00FD50F6" w:rsidRDefault="00A048FB" w:rsidP="00353026">
            <w:pPr>
              <w:pStyle w:val="7"/>
              <w:rPr>
                <w:rFonts w:ascii="宋体" w:hAnsi="宋体" w:cs="宋体"/>
              </w:rPr>
            </w:pPr>
            <w:r w:rsidRPr="00FD50F6">
              <w:rPr>
                <w:rFonts w:hint="eastAsia"/>
              </w:rPr>
              <w:t>上下班及日常</w:t>
            </w:r>
          </w:p>
          <w:p w14:paraId="55FF5549" w14:textId="77777777" w:rsidR="00A048FB" w:rsidRPr="00FD50F6" w:rsidRDefault="00A048FB" w:rsidP="00353026">
            <w:pPr>
              <w:pStyle w:val="7"/>
              <w:rPr>
                <w:rFonts w:ascii="宋体" w:hAnsi="宋体" w:cs="宋体"/>
              </w:rPr>
            </w:pPr>
            <w:r w:rsidRPr="00FD50F6">
              <w:rPr>
                <w:rFonts w:hint="eastAsia"/>
              </w:rPr>
              <w:t>商务客流</w:t>
            </w:r>
          </w:p>
        </w:tc>
      </w:tr>
      <w:tr w:rsidR="00FD50F6" w:rsidRPr="00FD50F6" w14:paraId="3D5B7CA7" w14:textId="77777777" w:rsidTr="00353026">
        <w:trPr>
          <w:jc w:val="center"/>
        </w:trPr>
        <w:tc>
          <w:tcPr>
            <w:tcW w:w="882" w:type="dxa"/>
            <w:tcBorders>
              <w:top w:val="single" w:sz="6" w:space="0" w:color="auto"/>
              <w:left w:val="single" w:sz="12" w:space="0" w:color="auto"/>
              <w:bottom w:val="single" w:sz="12" w:space="0" w:color="auto"/>
              <w:right w:val="single" w:sz="6" w:space="0" w:color="auto"/>
            </w:tcBorders>
            <w:shd w:val="clear" w:color="auto" w:fill="auto"/>
            <w:vAlign w:val="center"/>
          </w:tcPr>
          <w:p w14:paraId="6D5D356F" w14:textId="77777777" w:rsidR="00A048FB" w:rsidRPr="00FD50F6" w:rsidRDefault="00A048FB" w:rsidP="00353026">
            <w:pPr>
              <w:pStyle w:val="7"/>
              <w:rPr>
                <w:rFonts w:ascii="宋体" w:hAnsi="宋体" w:cs="宋体"/>
              </w:rPr>
            </w:pPr>
            <w:r w:rsidRPr="00FD50F6">
              <w:rPr>
                <w:rFonts w:hint="eastAsia"/>
              </w:rPr>
              <w:t>车站服务区域</w:t>
            </w:r>
          </w:p>
          <w:p w14:paraId="2BD7E82C" w14:textId="77777777" w:rsidR="00A048FB" w:rsidRPr="00FD50F6" w:rsidRDefault="00A048FB" w:rsidP="00353026">
            <w:pPr>
              <w:pStyle w:val="7"/>
              <w:rPr>
                <w:rFonts w:ascii="宋体" w:hAnsi="宋体" w:cs="宋体"/>
              </w:rPr>
            </w:pPr>
            <w:r w:rsidRPr="00FD50F6">
              <w:rPr>
                <w:rFonts w:hint="eastAsia"/>
              </w:rPr>
              <w:t>环境功能定位</w:t>
            </w:r>
          </w:p>
        </w:tc>
        <w:tc>
          <w:tcPr>
            <w:tcW w:w="1371" w:type="dxa"/>
            <w:tcBorders>
              <w:top w:val="single" w:sz="6" w:space="0" w:color="auto"/>
              <w:left w:val="single" w:sz="6" w:space="0" w:color="auto"/>
              <w:bottom w:val="single" w:sz="12" w:space="0" w:color="auto"/>
              <w:right w:val="single" w:sz="6" w:space="0" w:color="auto"/>
            </w:tcBorders>
            <w:shd w:val="clear" w:color="auto" w:fill="auto"/>
            <w:vAlign w:val="center"/>
          </w:tcPr>
          <w:p w14:paraId="14F2BBC6" w14:textId="6C323367" w:rsidR="00A048FB" w:rsidRPr="00FD50F6" w:rsidRDefault="00A048FB" w:rsidP="00353026">
            <w:pPr>
              <w:pStyle w:val="7"/>
              <w:rPr>
                <w:rFonts w:ascii="宋体" w:hAnsi="宋体" w:cs="宋体"/>
              </w:rPr>
            </w:pPr>
            <w:r w:rsidRPr="00FD50F6">
              <w:rPr>
                <w:rFonts w:hint="eastAsia"/>
              </w:rPr>
              <w:t>城际交通枢纽（城市主要火车站、客运港口、机场、长途客运站）</w:t>
            </w:r>
          </w:p>
        </w:tc>
        <w:tc>
          <w:tcPr>
            <w:tcW w:w="1985" w:type="dxa"/>
            <w:tcBorders>
              <w:top w:val="single" w:sz="6" w:space="0" w:color="auto"/>
              <w:left w:val="single" w:sz="6" w:space="0" w:color="auto"/>
              <w:bottom w:val="single" w:sz="12" w:space="0" w:color="auto"/>
              <w:right w:val="single" w:sz="6" w:space="0" w:color="auto"/>
            </w:tcBorders>
            <w:shd w:val="clear" w:color="auto" w:fill="auto"/>
            <w:vAlign w:val="center"/>
          </w:tcPr>
          <w:p w14:paraId="722CFBB2" w14:textId="5CEAF425" w:rsidR="00A048FB" w:rsidRPr="00FD50F6" w:rsidRDefault="00A048FB" w:rsidP="001A4CF3">
            <w:pPr>
              <w:pStyle w:val="7"/>
              <w:jc w:val="both"/>
              <w:rPr>
                <w:rFonts w:ascii="宋体" w:hAnsi="宋体" w:cs="宋体"/>
              </w:rPr>
            </w:pPr>
            <w:r w:rsidRPr="00FD50F6">
              <w:rPr>
                <w:rFonts w:hint="eastAsia"/>
              </w:rPr>
              <w:t>大型特色商业区、</w:t>
            </w:r>
            <w:r w:rsidRPr="00FD50F6">
              <w:rPr>
                <w:rFonts w:hint="eastAsia"/>
              </w:rPr>
              <w:t xml:space="preserve"> </w:t>
            </w:r>
            <w:r w:rsidRPr="00FD50F6">
              <w:rPr>
                <w:rFonts w:hint="eastAsia"/>
              </w:rPr>
              <w:t>风景名胜区及观光点、其它大型游乐场所</w:t>
            </w:r>
          </w:p>
        </w:tc>
        <w:tc>
          <w:tcPr>
            <w:tcW w:w="2005" w:type="dxa"/>
            <w:tcBorders>
              <w:top w:val="single" w:sz="6" w:space="0" w:color="auto"/>
              <w:left w:val="single" w:sz="6" w:space="0" w:color="auto"/>
              <w:bottom w:val="single" w:sz="12" w:space="0" w:color="auto"/>
              <w:right w:val="single" w:sz="6" w:space="0" w:color="auto"/>
            </w:tcBorders>
            <w:shd w:val="clear" w:color="auto" w:fill="auto"/>
            <w:vAlign w:val="center"/>
          </w:tcPr>
          <w:p w14:paraId="42C0D9FE" w14:textId="27241908" w:rsidR="00A048FB" w:rsidRPr="00FD50F6" w:rsidRDefault="00A048FB" w:rsidP="00353026">
            <w:pPr>
              <w:pStyle w:val="7"/>
              <w:rPr>
                <w:rFonts w:ascii="宋体" w:hAnsi="宋体" w:cs="宋体"/>
              </w:rPr>
            </w:pPr>
            <w:r w:rsidRPr="00FD50F6">
              <w:rPr>
                <w:rFonts w:hint="eastAsia"/>
              </w:rPr>
              <w:t>体育场馆、会展中心以及其它大型社会活动中心等短时间会产生突发性客流的场所</w:t>
            </w:r>
          </w:p>
        </w:tc>
        <w:tc>
          <w:tcPr>
            <w:tcW w:w="1945" w:type="dxa"/>
            <w:tcBorders>
              <w:top w:val="single" w:sz="6" w:space="0" w:color="auto"/>
              <w:left w:val="single" w:sz="6" w:space="0" w:color="auto"/>
              <w:bottom w:val="single" w:sz="12" w:space="0" w:color="auto"/>
              <w:right w:val="single" w:sz="12" w:space="0" w:color="auto"/>
            </w:tcBorders>
            <w:shd w:val="clear" w:color="auto" w:fill="auto"/>
            <w:vAlign w:val="center"/>
          </w:tcPr>
          <w:p w14:paraId="7B77C8B3" w14:textId="77777777" w:rsidR="00A048FB" w:rsidRPr="00FD50F6" w:rsidRDefault="00A048FB" w:rsidP="00353026">
            <w:pPr>
              <w:pStyle w:val="7"/>
              <w:rPr>
                <w:rFonts w:ascii="宋体" w:hAnsi="宋体" w:cs="宋体"/>
              </w:rPr>
            </w:pPr>
            <w:r w:rsidRPr="00FD50F6">
              <w:rPr>
                <w:rFonts w:hint="eastAsia"/>
              </w:rPr>
              <w:t>高密度就业集中区、以居住功能为主远地就业的社区、近郊客运中心、市郊铁路首末站、市域公交枢纽、市内公交枢纽、线路起终点</w:t>
            </w:r>
          </w:p>
        </w:tc>
      </w:tr>
    </w:tbl>
    <w:p w14:paraId="72148389" w14:textId="42658159" w:rsidR="00A048FB" w:rsidRPr="00FD50F6" w:rsidRDefault="00A048FB" w:rsidP="00F05D3F">
      <w:pPr>
        <w:pStyle w:val="7"/>
        <w:ind w:left="420" w:hangingChars="200" w:hanging="420"/>
        <w:jc w:val="left"/>
      </w:pPr>
      <w:r w:rsidRPr="00FD50F6">
        <w:rPr>
          <w:rFonts w:hint="eastAsia"/>
        </w:rPr>
        <w:t>注：在特定的区域，当出现功能定位交织时，应按标准兼容的主要类型原则进行归类。</w:t>
      </w:r>
    </w:p>
    <w:p w14:paraId="18070307" w14:textId="026E6E0C" w:rsidR="00A048FB" w:rsidRPr="00FD50F6" w:rsidRDefault="00A048FB" w:rsidP="00A048FB">
      <w:pPr>
        <w:pStyle w:val="30"/>
        <w:rPr>
          <w:b/>
        </w:rPr>
      </w:pPr>
      <w:r w:rsidRPr="00FD50F6">
        <w:rPr>
          <w:rFonts w:hint="eastAsia"/>
        </w:rPr>
        <w:t>车站各部位的最大</w:t>
      </w:r>
      <w:r w:rsidR="00F64B34" w:rsidRPr="00FD50F6">
        <w:rPr>
          <w:rFonts w:hint="eastAsia"/>
        </w:rPr>
        <w:t>通过及服务</w:t>
      </w:r>
      <w:r w:rsidRPr="00FD50F6">
        <w:rPr>
          <w:rFonts w:hint="eastAsia"/>
        </w:rPr>
        <w:t>能力宜符合表</w:t>
      </w:r>
      <w:r w:rsidR="008C6B9B" w:rsidRPr="00FD50F6">
        <w:t>10</w:t>
      </w:r>
      <w:r w:rsidRPr="00FD50F6">
        <w:t>.2.3</w:t>
      </w:r>
      <w:r w:rsidRPr="00FD50F6">
        <w:rPr>
          <w:rFonts w:hint="eastAsia"/>
        </w:rPr>
        <w:t>的规定。</w:t>
      </w:r>
    </w:p>
    <w:p w14:paraId="600BD884" w14:textId="0E52C0F1" w:rsidR="00A048FB" w:rsidRPr="00FD50F6" w:rsidRDefault="00A048FB" w:rsidP="00A048FB">
      <w:pPr>
        <w:pStyle w:val="6"/>
        <w:rPr>
          <w:sz w:val="21"/>
          <w:szCs w:val="21"/>
        </w:rPr>
      </w:pPr>
      <w:bookmarkStart w:id="371" w:name="_Hlk8867614"/>
      <w:r w:rsidRPr="00FD50F6">
        <w:rPr>
          <w:rFonts w:hint="eastAsia"/>
        </w:rPr>
        <w:t>表</w:t>
      </w:r>
      <w:r w:rsidR="008C6B9B" w:rsidRPr="00FD50F6">
        <w:t>10</w:t>
      </w:r>
      <w:r w:rsidRPr="00FD50F6">
        <w:t>.2.3</w:t>
      </w:r>
      <w:r w:rsidRPr="00FD50F6">
        <w:rPr>
          <w:rFonts w:hint="eastAsia"/>
        </w:rPr>
        <w:t>车站各部位的最大通过及服务能力</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905"/>
        <w:gridCol w:w="616"/>
        <w:gridCol w:w="1575"/>
        <w:gridCol w:w="3550"/>
      </w:tblGrid>
      <w:tr w:rsidR="00FD50F6" w:rsidRPr="00FD50F6" w14:paraId="2D799AC1" w14:textId="77777777" w:rsidTr="00353026">
        <w:trPr>
          <w:trHeight w:val="20"/>
          <w:tblHeader/>
          <w:jc w:val="center"/>
        </w:trPr>
        <w:tc>
          <w:tcPr>
            <w:tcW w:w="4673" w:type="dxa"/>
            <w:gridSpan w:val="4"/>
            <w:shd w:val="clear" w:color="auto" w:fill="auto"/>
            <w:vAlign w:val="center"/>
          </w:tcPr>
          <w:p w14:paraId="417E29E7" w14:textId="77777777" w:rsidR="00A048FB" w:rsidRPr="00FD50F6" w:rsidRDefault="00A048FB" w:rsidP="00353026">
            <w:pPr>
              <w:pStyle w:val="7"/>
            </w:pPr>
            <w:r w:rsidRPr="00FD50F6">
              <w:rPr>
                <w:rFonts w:hint="eastAsia"/>
              </w:rPr>
              <w:t>部位名称</w:t>
            </w:r>
          </w:p>
        </w:tc>
        <w:tc>
          <w:tcPr>
            <w:tcW w:w="3456" w:type="dxa"/>
            <w:shd w:val="clear" w:color="auto" w:fill="auto"/>
            <w:vAlign w:val="center"/>
          </w:tcPr>
          <w:p w14:paraId="201A569D" w14:textId="77777777" w:rsidR="00A048FB" w:rsidRPr="00FD50F6" w:rsidRDefault="00A048FB" w:rsidP="00353026">
            <w:pPr>
              <w:pStyle w:val="7"/>
            </w:pPr>
            <w:r w:rsidRPr="00FD50F6">
              <w:rPr>
                <w:rFonts w:hint="eastAsia"/>
              </w:rPr>
              <w:t>最大通过及服务能力（人次</w:t>
            </w:r>
            <w:r w:rsidRPr="00FD50F6">
              <w:t>/h</w:t>
            </w:r>
            <w:r w:rsidRPr="00FD50F6">
              <w:rPr>
                <w:rFonts w:hint="eastAsia"/>
              </w:rPr>
              <w:t>）</w:t>
            </w:r>
          </w:p>
        </w:tc>
      </w:tr>
      <w:tr w:rsidR="00FD50F6" w:rsidRPr="00FD50F6" w14:paraId="0EFCDE48" w14:textId="77777777" w:rsidTr="00353026">
        <w:trPr>
          <w:trHeight w:val="20"/>
          <w:jc w:val="center"/>
        </w:trPr>
        <w:tc>
          <w:tcPr>
            <w:tcW w:w="2540" w:type="dxa"/>
            <w:gridSpan w:val="2"/>
            <w:vMerge w:val="restart"/>
            <w:shd w:val="clear" w:color="auto" w:fill="auto"/>
            <w:vAlign w:val="center"/>
          </w:tcPr>
          <w:p w14:paraId="2D32B029" w14:textId="77777777" w:rsidR="00A048FB" w:rsidRPr="00FD50F6" w:rsidRDefault="00A048FB" w:rsidP="00353026">
            <w:pPr>
              <w:pStyle w:val="7"/>
            </w:pPr>
            <w:r w:rsidRPr="00FD50F6">
              <w:t>1m</w:t>
            </w:r>
            <w:r w:rsidRPr="00FD50F6">
              <w:rPr>
                <w:rFonts w:hint="eastAsia"/>
              </w:rPr>
              <w:t>宽楼梯</w:t>
            </w:r>
          </w:p>
        </w:tc>
        <w:tc>
          <w:tcPr>
            <w:tcW w:w="2133" w:type="dxa"/>
            <w:gridSpan w:val="2"/>
            <w:shd w:val="clear" w:color="auto" w:fill="auto"/>
            <w:vAlign w:val="center"/>
          </w:tcPr>
          <w:p w14:paraId="0C9CEAC4" w14:textId="77777777" w:rsidR="00A048FB" w:rsidRPr="00FD50F6" w:rsidRDefault="00A048FB" w:rsidP="00353026">
            <w:pPr>
              <w:pStyle w:val="7"/>
            </w:pPr>
            <w:r w:rsidRPr="00FD50F6">
              <w:rPr>
                <w:rFonts w:hint="eastAsia"/>
              </w:rPr>
              <w:t>下行</w:t>
            </w:r>
          </w:p>
        </w:tc>
        <w:tc>
          <w:tcPr>
            <w:tcW w:w="3456" w:type="dxa"/>
            <w:shd w:val="clear" w:color="auto" w:fill="auto"/>
            <w:vAlign w:val="center"/>
          </w:tcPr>
          <w:p w14:paraId="7AE71AD2" w14:textId="77777777" w:rsidR="00A048FB" w:rsidRPr="00FD50F6" w:rsidRDefault="00A048FB" w:rsidP="00353026">
            <w:pPr>
              <w:pStyle w:val="7"/>
            </w:pPr>
            <w:r w:rsidRPr="00FD50F6">
              <w:t>4200</w:t>
            </w:r>
          </w:p>
        </w:tc>
      </w:tr>
      <w:tr w:rsidR="00FD50F6" w:rsidRPr="00FD50F6" w14:paraId="457F506B" w14:textId="77777777" w:rsidTr="00353026">
        <w:trPr>
          <w:trHeight w:val="20"/>
          <w:jc w:val="center"/>
        </w:trPr>
        <w:tc>
          <w:tcPr>
            <w:tcW w:w="2540" w:type="dxa"/>
            <w:gridSpan w:val="2"/>
            <w:vMerge/>
            <w:shd w:val="clear" w:color="auto" w:fill="auto"/>
            <w:vAlign w:val="center"/>
          </w:tcPr>
          <w:p w14:paraId="15E82A87" w14:textId="77777777" w:rsidR="00A048FB" w:rsidRPr="00FD50F6" w:rsidRDefault="00A048FB" w:rsidP="00353026">
            <w:pPr>
              <w:pStyle w:val="7"/>
            </w:pPr>
          </w:p>
        </w:tc>
        <w:tc>
          <w:tcPr>
            <w:tcW w:w="2133" w:type="dxa"/>
            <w:gridSpan w:val="2"/>
            <w:shd w:val="clear" w:color="auto" w:fill="auto"/>
            <w:vAlign w:val="center"/>
          </w:tcPr>
          <w:p w14:paraId="06B443A1" w14:textId="77777777" w:rsidR="00A048FB" w:rsidRPr="00FD50F6" w:rsidRDefault="00A048FB" w:rsidP="00353026">
            <w:pPr>
              <w:pStyle w:val="7"/>
            </w:pPr>
            <w:r w:rsidRPr="00FD50F6">
              <w:rPr>
                <w:rFonts w:hint="eastAsia"/>
              </w:rPr>
              <w:t>上行</w:t>
            </w:r>
          </w:p>
        </w:tc>
        <w:tc>
          <w:tcPr>
            <w:tcW w:w="3456" w:type="dxa"/>
            <w:shd w:val="clear" w:color="auto" w:fill="auto"/>
            <w:vAlign w:val="center"/>
          </w:tcPr>
          <w:p w14:paraId="4C932F02" w14:textId="77777777" w:rsidR="00A048FB" w:rsidRPr="00FD50F6" w:rsidRDefault="00A048FB" w:rsidP="00353026">
            <w:pPr>
              <w:pStyle w:val="7"/>
            </w:pPr>
            <w:r w:rsidRPr="00FD50F6">
              <w:t>3700</w:t>
            </w:r>
          </w:p>
        </w:tc>
      </w:tr>
      <w:tr w:rsidR="00FD50F6" w:rsidRPr="00FD50F6" w14:paraId="059C3CB3" w14:textId="77777777" w:rsidTr="00353026">
        <w:trPr>
          <w:trHeight w:val="20"/>
          <w:jc w:val="center"/>
        </w:trPr>
        <w:tc>
          <w:tcPr>
            <w:tcW w:w="2540" w:type="dxa"/>
            <w:gridSpan w:val="2"/>
            <w:vMerge/>
            <w:shd w:val="clear" w:color="auto" w:fill="auto"/>
            <w:vAlign w:val="center"/>
          </w:tcPr>
          <w:p w14:paraId="403CF9E7" w14:textId="77777777" w:rsidR="00A048FB" w:rsidRPr="00FD50F6" w:rsidRDefault="00A048FB" w:rsidP="00353026">
            <w:pPr>
              <w:pStyle w:val="7"/>
            </w:pPr>
          </w:p>
        </w:tc>
        <w:tc>
          <w:tcPr>
            <w:tcW w:w="2133" w:type="dxa"/>
            <w:gridSpan w:val="2"/>
            <w:shd w:val="clear" w:color="auto" w:fill="auto"/>
            <w:vAlign w:val="center"/>
          </w:tcPr>
          <w:p w14:paraId="7E4BF55F" w14:textId="77777777" w:rsidR="00A048FB" w:rsidRPr="00FD50F6" w:rsidRDefault="00A048FB" w:rsidP="00353026">
            <w:pPr>
              <w:pStyle w:val="7"/>
            </w:pPr>
            <w:r w:rsidRPr="00FD50F6">
              <w:rPr>
                <w:rFonts w:hint="eastAsia"/>
              </w:rPr>
              <w:t>双向混行</w:t>
            </w:r>
          </w:p>
        </w:tc>
        <w:tc>
          <w:tcPr>
            <w:tcW w:w="3456" w:type="dxa"/>
            <w:shd w:val="clear" w:color="auto" w:fill="auto"/>
            <w:vAlign w:val="center"/>
          </w:tcPr>
          <w:p w14:paraId="43113147" w14:textId="77777777" w:rsidR="00A048FB" w:rsidRPr="00FD50F6" w:rsidRDefault="00A048FB" w:rsidP="00353026">
            <w:pPr>
              <w:pStyle w:val="7"/>
            </w:pPr>
            <w:r w:rsidRPr="00FD50F6">
              <w:t>3200</w:t>
            </w:r>
          </w:p>
        </w:tc>
      </w:tr>
      <w:tr w:rsidR="00FD50F6" w:rsidRPr="00FD50F6" w14:paraId="1B57F053" w14:textId="77777777" w:rsidTr="00353026">
        <w:trPr>
          <w:trHeight w:val="20"/>
          <w:jc w:val="center"/>
        </w:trPr>
        <w:tc>
          <w:tcPr>
            <w:tcW w:w="2540" w:type="dxa"/>
            <w:gridSpan w:val="2"/>
            <w:vMerge w:val="restart"/>
            <w:shd w:val="clear" w:color="auto" w:fill="auto"/>
            <w:vAlign w:val="center"/>
          </w:tcPr>
          <w:p w14:paraId="55D15294" w14:textId="77777777" w:rsidR="00A048FB" w:rsidRPr="00FD50F6" w:rsidRDefault="00A048FB" w:rsidP="00353026">
            <w:pPr>
              <w:pStyle w:val="7"/>
            </w:pPr>
            <w:r w:rsidRPr="00FD50F6">
              <w:t>1m</w:t>
            </w:r>
            <w:r w:rsidRPr="00FD50F6">
              <w:rPr>
                <w:rFonts w:hint="eastAsia"/>
              </w:rPr>
              <w:t>宽通道</w:t>
            </w:r>
          </w:p>
        </w:tc>
        <w:tc>
          <w:tcPr>
            <w:tcW w:w="2133" w:type="dxa"/>
            <w:gridSpan w:val="2"/>
            <w:shd w:val="clear" w:color="auto" w:fill="auto"/>
            <w:vAlign w:val="center"/>
          </w:tcPr>
          <w:p w14:paraId="5A59D068" w14:textId="77777777" w:rsidR="00A048FB" w:rsidRPr="00FD50F6" w:rsidRDefault="00A048FB" w:rsidP="00353026">
            <w:pPr>
              <w:pStyle w:val="7"/>
            </w:pPr>
            <w:r w:rsidRPr="00FD50F6">
              <w:rPr>
                <w:rFonts w:hint="eastAsia"/>
              </w:rPr>
              <w:t>单向</w:t>
            </w:r>
          </w:p>
        </w:tc>
        <w:tc>
          <w:tcPr>
            <w:tcW w:w="3456" w:type="dxa"/>
            <w:shd w:val="clear" w:color="auto" w:fill="auto"/>
            <w:vAlign w:val="center"/>
          </w:tcPr>
          <w:p w14:paraId="429CFB0D" w14:textId="77777777" w:rsidR="00A048FB" w:rsidRPr="00FD50F6" w:rsidRDefault="00A048FB" w:rsidP="00353026">
            <w:pPr>
              <w:pStyle w:val="7"/>
            </w:pPr>
            <w:r w:rsidRPr="00FD50F6">
              <w:t>5000</w:t>
            </w:r>
          </w:p>
        </w:tc>
      </w:tr>
      <w:tr w:rsidR="00FD50F6" w:rsidRPr="00FD50F6" w14:paraId="31216DEA" w14:textId="77777777" w:rsidTr="00353026">
        <w:trPr>
          <w:trHeight w:val="20"/>
          <w:jc w:val="center"/>
        </w:trPr>
        <w:tc>
          <w:tcPr>
            <w:tcW w:w="2540" w:type="dxa"/>
            <w:gridSpan w:val="2"/>
            <w:vMerge/>
            <w:shd w:val="clear" w:color="auto" w:fill="auto"/>
            <w:vAlign w:val="center"/>
          </w:tcPr>
          <w:p w14:paraId="17AB6863" w14:textId="77777777" w:rsidR="00A048FB" w:rsidRPr="00FD50F6" w:rsidRDefault="00A048FB" w:rsidP="00353026">
            <w:pPr>
              <w:pStyle w:val="7"/>
            </w:pPr>
          </w:p>
        </w:tc>
        <w:tc>
          <w:tcPr>
            <w:tcW w:w="2133" w:type="dxa"/>
            <w:gridSpan w:val="2"/>
            <w:shd w:val="clear" w:color="auto" w:fill="auto"/>
            <w:vAlign w:val="center"/>
          </w:tcPr>
          <w:p w14:paraId="25D05557" w14:textId="77777777" w:rsidR="00A048FB" w:rsidRPr="00FD50F6" w:rsidRDefault="00A048FB" w:rsidP="00353026">
            <w:pPr>
              <w:pStyle w:val="7"/>
            </w:pPr>
            <w:r w:rsidRPr="00FD50F6">
              <w:rPr>
                <w:rFonts w:hint="eastAsia"/>
              </w:rPr>
              <w:t>双向混行</w:t>
            </w:r>
          </w:p>
        </w:tc>
        <w:tc>
          <w:tcPr>
            <w:tcW w:w="3456" w:type="dxa"/>
            <w:shd w:val="clear" w:color="auto" w:fill="auto"/>
            <w:vAlign w:val="center"/>
          </w:tcPr>
          <w:p w14:paraId="4466A6FF" w14:textId="77777777" w:rsidR="00A048FB" w:rsidRPr="00FD50F6" w:rsidRDefault="00A048FB" w:rsidP="00353026">
            <w:pPr>
              <w:pStyle w:val="7"/>
            </w:pPr>
            <w:r w:rsidRPr="00FD50F6">
              <w:t>4000</w:t>
            </w:r>
          </w:p>
        </w:tc>
      </w:tr>
      <w:tr w:rsidR="00FD50F6" w:rsidRPr="00FD50F6" w14:paraId="7B42D44F" w14:textId="77777777" w:rsidTr="00353026">
        <w:trPr>
          <w:trHeight w:val="20"/>
          <w:jc w:val="center"/>
        </w:trPr>
        <w:tc>
          <w:tcPr>
            <w:tcW w:w="2540" w:type="dxa"/>
            <w:gridSpan w:val="2"/>
            <w:vMerge w:val="restart"/>
            <w:shd w:val="clear" w:color="auto" w:fill="auto"/>
            <w:vAlign w:val="center"/>
          </w:tcPr>
          <w:p w14:paraId="6A826559" w14:textId="77777777" w:rsidR="00A048FB" w:rsidRPr="00FD50F6" w:rsidRDefault="00A048FB" w:rsidP="00353026">
            <w:pPr>
              <w:pStyle w:val="7"/>
            </w:pPr>
            <w:r w:rsidRPr="00FD50F6">
              <w:rPr>
                <w:rFonts w:hint="eastAsia"/>
              </w:rPr>
              <w:t>梯级宽</w:t>
            </w:r>
            <w:r w:rsidRPr="00FD50F6">
              <w:t>1m</w:t>
            </w:r>
            <w:r w:rsidRPr="00FD50F6">
              <w:rPr>
                <w:rFonts w:hint="eastAsia"/>
              </w:rPr>
              <w:t>的自动扶梯</w:t>
            </w:r>
          </w:p>
        </w:tc>
        <w:tc>
          <w:tcPr>
            <w:tcW w:w="2133" w:type="dxa"/>
            <w:gridSpan w:val="2"/>
            <w:shd w:val="clear" w:color="auto" w:fill="auto"/>
            <w:vAlign w:val="center"/>
          </w:tcPr>
          <w:p w14:paraId="27770224" w14:textId="77777777" w:rsidR="00A048FB" w:rsidRPr="00FD50F6" w:rsidRDefault="00A048FB" w:rsidP="00353026">
            <w:pPr>
              <w:pStyle w:val="7"/>
            </w:pPr>
            <w:r w:rsidRPr="00FD50F6">
              <w:rPr>
                <w:rFonts w:hint="eastAsia"/>
              </w:rPr>
              <w:t>输送速度</w:t>
            </w:r>
            <w:r w:rsidRPr="00FD50F6">
              <w:t>0.5m/s</w:t>
            </w:r>
          </w:p>
        </w:tc>
        <w:tc>
          <w:tcPr>
            <w:tcW w:w="3456" w:type="dxa"/>
            <w:shd w:val="clear" w:color="auto" w:fill="auto"/>
            <w:vAlign w:val="center"/>
          </w:tcPr>
          <w:p w14:paraId="1B99EDC1" w14:textId="77777777" w:rsidR="00A048FB" w:rsidRPr="00FD50F6" w:rsidRDefault="00A048FB" w:rsidP="00353026">
            <w:pPr>
              <w:pStyle w:val="7"/>
            </w:pPr>
            <w:r w:rsidRPr="00FD50F6">
              <w:t xml:space="preserve">6000 </w:t>
            </w:r>
          </w:p>
        </w:tc>
      </w:tr>
      <w:tr w:rsidR="00FD50F6" w:rsidRPr="00FD50F6" w14:paraId="34E909A8" w14:textId="77777777" w:rsidTr="00353026">
        <w:trPr>
          <w:trHeight w:val="20"/>
          <w:jc w:val="center"/>
        </w:trPr>
        <w:tc>
          <w:tcPr>
            <w:tcW w:w="2540" w:type="dxa"/>
            <w:gridSpan w:val="2"/>
            <w:vMerge/>
            <w:shd w:val="clear" w:color="auto" w:fill="auto"/>
            <w:vAlign w:val="center"/>
          </w:tcPr>
          <w:p w14:paraId="4DD7DAAD" w14:textId="77777777" w:rsidR="00A048FB" w:rsidRPr="00FD50F6" w:rsidRDefault="00A048FB" w:rsidP="00353026">
            <w:pPr>
              <w:pStyle w:val="7"/>
            </w:pPr>
          </w:p>
        </w:tc>
        <w:tc>
          <w:tcPr>
            <w:tcW w:w="2133" w:type="dxa"/>
            <w:gridSpan w:val="2"/>
            <w:shd w:val="clear" w:color="auto" w:fill="auto"/>
            <w:vAlign w:val="center"/>
          </w:tcPr>
          <w:p w14:paraId="6CED01FA" w14:textId="77777777" w:rsidR="00A048FB" w:rsidRPr="00FD50F6" w:rsidRDefault="00A048FB" w:rsidP="00353026">
            <w:pPr>
              <w:pStyle w:val="7"/>
            </w:pPr>
            <w:r w:rsidRPr="00FD50F6">
              <w:rPr>
                <w:rFonts w:hint="eastAsia"/>
              </w:rPr>
              <w:t>输送速度</w:t>
            </w:r>
            <w:r w:rsidRPr="00FD50F6">
              <w:t>0.65m/s</w:t>
            </w:r>
          </w:p>
        </w:tc>
        <w:tc>
          <w:tcPr>
            <w:tcW w:w="3456" w:type="dxa"/>
            <w:shd w:val="clear" w:color="auto" w:fill="auto"/>
            <w:vAlign w:val="center"/>
          </w:tcPr>
          <w:p w14:paraId="5B71B992" w14:textId="77777777" w:rsidR="00A048FB" w:rsidRPr="00FD50F6" w:rsidRDefault="00A048FB" w:rsidP="00353026">
            <w:pPr>
              <w:pStyle w:val="7"/>
            </w:pPr>
            <w:r w:rsidRPr="00FD50F6">
              <w:t xml:space="preserve">7300 </w:t>
            </w:r>
          </w:p>
        </w:tc>
      </w:tr>
      <w:tr w:rsidR="00FD50F6" w:rsidRPr="00FD50F6" w14:paraId="77C7F331" w14:textId="77777777" w:rsidTr="00353026">
        <w:trPr>
          <w:trHeight w:val="20"/>
          <w:jc w:val="center"/>
        </w:trPr>
        <w:tc>
          <w:tcPr>
            <w:tcW w:w="2540" w:type="dxa"/>
            <w:gridSpan w:val="2"/>
            <w:vMerge w:val="restart"/>
            <w:shd w:val="clear" w:color="auto" w:fill="auto"/>
            <w:vAlign w:val="center"/>
          </w:tcPr>
          <w:p w14:paraId="6B242FEB" w14:textId="77777777" w:rsidR="00A048FB" w:rsidRPr="00FD50F6" w:rsidRDefault="00A048FB" w:rsidP="00353026">
            <w:pPr>
              <w:pStyle w:val="7"/>
            </w:pPr>
            <w:r w:rsidRPr="00FD50F6">
              <w:rPr>
                <w:rFonts w:hint="eastAsia"/>
              </w:rPr>
              <w:t>梯级宽</w:t>
            </w:r>
            <w:r w:rsidRPr="00FD50F6">
              <w:t>0.6m</w:t>
            </w:r>
            <w:r w:rsidRPr="00FD50F6">
              <w:rPr>
                <w:rFonts w:hint="eastAsia"/>
              </w:rPr>
              <w:t>的自动扶梯</w:t>
            </w:r>
          </w:p>
        </w:tc>
        <w:tc>
          <w:tcPr>
            <w:tcW w:w="2133" w:type="dxa"/>
            <w:gridSpan w:val="2"/>
            <w:shd w:val="clear" w:color="auto" w:fill="auto"/>
            <w:vAlign w:val="center"/>
          </w:tcPr>
          <w:p w14:paraId="664F4BEC" w14:textId="77777777" w:rsidR="00A048FB" w:rsidRPr="00FD50F6" w:rsidRDefault="00A048FB" w:rsidP="00353026">
            <w:pPr>
              <w:pStyle w:val="7"/>
            </w:pPr>
            <w:r w:rsidRPr="00FD50F6">
              <w:rPr>
                <w:rFonts w:hint="eastAsia"/>
              </w:rPr>
              <w:t>输送速度</w:t>
            </w:r>
            <w:r w:rsidRPr="00FD50F6">
              <w:t>0.5m/s</w:t>
            </w:r>
          </w:p>
        </w:tc>
        <w:tc>
          <w:tcPr>
            <w:tcW w:w="3456" w:type="dxa"/>
            <w:shd w:val="clear" w:color="auto" w:fill="auto"/>
            <w:vAlign w:val="center"/>
          </w:tcPr>
          <w:p w14:paraId="0B2078D3" w14:textId="77777777" w:rsidR="00A048FB" w:rsidRPr="00FD50F6" w:rsidRDefault="00A048FB" w:rsidP="00353026">
            <w:pPr>
              <w:pStyle w:val="7"/>
            </w:pPr>
            <w:r w:rsidRPr="00FD50F6">
              <w:t xml:space="preserve">3600 </w:t>
            </w:r>
          </w:p>
        </w:tc>
      </w:tr>
      <w:tr w:rsidR="00FD50F6" w:rsidRPr="00FD50F6" w14:paraId="56A9F054" w14:textId="77777777" w:rsidTr="00353026">
        <w:trPr>
          <w:trHeight w:val="20"/>
          <w:jc w:val="center"/>
        </w:trPr>
        <w:tc>
          <w:tcPr>
            <w:tcW w:w="2540" w:type="dxa"/>
            <w:gridSpan w:val="2"/>
            <w:vMerge/>
            <w:shd w:val="clear" w:color="auto" w:fill="auto"/>
            <w:vAlign w:val="center"/>
          </w:tcPr>
          <w:p w14:paraId="4CC99603" w14:textId="77777777" w:rsidR="00A048FB" w:rsidRPr="00FD50F6" w:rsidRDefault="00A048FB" w:rsidP="00353026">
            <w:pPr>
              <w:pStyle w:val="7"/>
            </w:pPr>
          </w:p>
        </w:tc>
        <w:tc>
          <w:tcPr>
            <w:tcW w:w="2133" w:type="dxa"/>
            <w:gridSpan w:val="2"/>
            <w:shd w:val="clear" w:color="auto" w:fill="auto"/>
            <w:vAlign w:val="center"/>
          </w:tcPr>
          <w:p w14:paraId="6C8CCAA0" w14:textId="77777777" w:rsidR="00A048FB" w:rsidRPr="00FD50F6" w:rsidRDefault="00A048FB" w:rsidP="00353026">
            <w:pPr>
              <w:pStyle w:val="7"/>
            </w:pPr>
            <w:r w:rsidRPr="00FD50F6">
              <w:rPr>
                <w:rFonts w:hint="eastAsia"/>
              </w:rPr>
              <w:t>输送速度</w:t>
            </w:r>
            <w:r w:rsidRPr="00FD50F6">
              <w:t>0.65m/s</w:t>
            </w:r>
          </w:p>
        </w:tc>
        <w:tc>
          <w:tcPr>
            <w:tcW w:w="3456" w:type="dxa"/>
            <w:shd w:val="clear" w:color="auto" w:fill="auto"/>
            <w:vAlign w:val="center"/>
          </w:tcPr>
          <w:p w14:paraId="70465EA6" w14:textId="77777777" w:rsidR="00A048FB" w:rsidRPr="00FD50F6" w:rsidRDefault="00A048FB" w:rsidP="00353026">
            <w:pPr>
              <w:pStyle w:val="7"/>
            </w:pPr>
            <w:r w:rsidRPr="00FD50F6">
              <w:t xml:space="preserve">4400 </w:t>
            </w:r>
          </w:p>
        </w:tc>
      </w:tr>
      <w:tr w:rsidR="00FD50F6" w:rsidRPr="00FD50F6" w14:paraId="6FC49A02" w14:textId="77777777" w:rsidTr="00353026">
        <w:trPr>
          <w:trHeight w:val="20"/>
          <w:jc w:val="center"/>
        </w:trPr>
        <w:tc>
          <w:tcPr>
            <w:tcW w:w="4673" w:type="dxa"/>
            <w:gridSpan w:val="4"/>
            <w:shd w:val="clear" w:color="auto" w:fill="auto"/>
            <w:vAlign w:val="center"/>
          </w:tcPr>
          <w:p w14:paraId="5075A141" w14:textId="77777777" w:rsidR="00A048FB" w:rsidRPr="00FD50F6" w:rsidRDefault="00A048FB" w:rsidP="00353026">
            <w:pPr>
              <w:pStyle w:val="7"/>
            </w:pPr>
            <w:r w:rsidRPr="00FD50F6">
              <w:t>1m</w:t>
            </w:r>
            <w:r w:rsidRPr="00FD50F6">
              <w:rPr>
                <w:rFonts w:hint="eastAsia"/>
              </w:rPr>
              <w:t>宽栅栏门</w:t>
            </w:r>
          </w:p>
        </w:tc>
        <w:tc>
          <w:tcPr>
            <w:tcW w:w="3456" w:type="dxa"/>
            <w:shd w:val="clear" w:color="auto" w:fill="auto"/>
            <w:vAlign w:val="center"/>
          </w:tcPr>
          <w:p w14:paraId="4BB8132E" w14:textId="77777777" w:rsidR="00A048FB" w:rsidRPr="00FD50F6" w:rsidRDefault="00A048FB" w:rsidP="00353026">
            <w:pPr>
              <w:pStyle w:val="7"/>
            </w:pPr>
            <w:r w:rsidRPr="00FD50F6">
              <w:t>5000</w:t>
            </w:r>
          </w:p>
        </w:tc>
      </w:tr>
      <w:tr w:rsidR="00FD50F6" w:rsidRPr="00FD50F6" w14:paraId="39A96021" w14:textId="77777777" w:rsidTr="00353026">
        <w:trPr>
          <w:trHeight w:val="20"/>
          <w:jc w:val="center"/>
        </w:trPr>
        <w:tc>
          <w:tcPr>
            <w:tcW w:w="4673" w:type="dxa"/>
            <w:gridSpan w:val="4"/>
            <w:shd w:val="clear" w:color="auto" w:fill="auto"/>
            <w:vAlign w:val="center"/>
          </w:tcPr>
          <w:p w14:paraId="645537CF" w14:textId="77777777" w:rsidR="00A048FB" w:rsidRPr="00FD50F6" w:rsidRDefault="00A048FB" w:rsidP="00353026">
            <w:pPr>
              <w:pStyle w:val="7"/>
            </w:pPr>
            <w:r w:rsidRPr="00FD50F6">
              <w:rPr>
                <w:rFonts w:hint="eastAsia"/>
              </w:rPr>
              <w:t>人工售票口</w:t>
            </w:r>
          </w:p>
        </w:tc>
        <w:tc>
          <w:tcPr>
            <w:tcW w:w="3456" w:type="dxa"/>
            <w:shd w:val="clear" w:color="auto" w:fill="auto"/>
            <w:vAlign w:val="center"/>
          </w:tcPr>
          <w:p w14:paraId="344AEE6B" w14:textId="77777777" w:rsidR="00A048FB" w:rsidRPr="00FD50F6" w:rsidRDefault="00A048FB" w:rsidP="00353026">
            <w:pPr>
              <w:pStyle w:val="7"/>
            </w:pPr>
            <w:r w:rsidRPr="00FD50F6">
              <w:t>240</w:t>
            </w:r>
          </w:p>
        </w:tc>
      </w:tr>
      <w:tr w:rsidR="00FD50F6" w:rsidRPr="00FD50F6" w14:paraId="304F2B3B" w14:textId="77777777" w:rsidTr="00353026">
        <w:trPr>
          <w:trHeight w:val="20"/>
          <w:jc w:val="center"/>
        </w:trPr>
        <w:tc>
          <w:tcPr>
            <w:tcW w:w="4673" w:type="dxa"/>
            <w:gridSpan w:val="4"/>
            <w:shd w:val="clear" w:color="auto" w:fill="auto"/>
            <w:vAlign w:val="center"/>
          </w:tcPr>
          <w:p w14:paraId="31D9A2FD" w14:textId="77777777" w:rsidR="00A048FB" w:rsidRPr="00FD50F6" w:rsidRDefault="00A048FB" w:rsidP="00353026">
            <w:pPr>
              <w:pStyle w:val="7"/>
            </w:pPr>
            <w:r w:rsidRPr="00FD50F6">
              <w:rPr>
                <w:rFonts w:hint="eastAsia"/>
              </w:rPr>
              <w:t>自动售票机</w:t>
            </w:r>
          </w:p>
        </w:tc>
        <w:tc>
          <w:tcPr>
            <w:tcW w:w="3456" w:type="dxa"/>
            <w:shd w:val="clear" w:color="auto" w:fill="auto"/>
            <w:vAlign w:val="center"/>
          </w:tcPr>
          <w:p w14:paraId="054E84F4" w14:textId="77777777" w:rsidR="00A048FB" w:rsidRPr="00FD50F6" w:rsidRDefault="00A048FB" w:rsidP="00353026">
            <w:pPr>
              <w:pStyle w:val="7"/>
            </w:pPr>
            <w:r w:rsidRPr="00FD50F6">
              <w:t>120</w:t>
            </w:r>
          </w:p>
        </w:tc>
      </w:tr>
      <w:tr w:rsidR="00FD50F6" w:rsidRPr="00FD50F6" w14:paraId="1D04E150" w14:textId="77777777" w:rsidTr="00353026">
        <w:trPr>
          <w:trHeight w:val="20"/>
          <w:jc w:val="center"/>
        </w:trPr>
        <w:tc>
          <w:tcPr>
            <w:tcW w:w="4673" w:type="dxa"/>
            <w:gridSpan w:val="4"/>
            <w:shd w:val="clear" w:color="auto" w:fill="auto"/>
            <w:vAlign w:val="center"/>
          </w:tcPr>
          <w:p w14:paraId="683A3ED0" w14:textId="77777777" w:rsidR="00A048FB" w:rsidRPr="00FD50F6" w:rsidRDefault="00A048FB" w:rsidP="00353026">
            <w:pPr>
              <w:pStyle w:val="7"/>
            </w:pPr>
            <w:r w:rsidRPr="00FD50F6">
              <w:rPr>
                <w:rFonts w:hint="eastAsia"/>
              </w:rPr>
              <w:t>人工检票口</w:t>
            </w:r>
          </w:p>
        </w:tc>
        <w:tc>
          <w:tcPr>
            <w:tcW w:w="3456" w:type="dxa"/>
            <w:shd w:val="clear" w:color="auto" w:fill="auto"/>
            <w:vAlign w:val="center"/>
          </w:tcPr>
          <w:p w14:paraId="1D889D3D" w14:textId="77777777" w:rsidR="00A048FB" w:rsidRPr="00FD50F6" w:rsidRDefault="00A048FB" w:rsidP="00353026">
            <w:pPr>
              <w:pStyle w:val="7"/>
            </w:pPr>
            <w:r w:rsidRPr="00FD50F6">
              <w:t>2600</w:t>
            </w:r>
          </w:p>
        </w:tc>
      </w:tr>
      <w:tr w:rsidR="00FD50F6" w:rsidRPr="00FD50F6" w14:paraId="1ECCC89C" w14:textId="77777777" w:rsidTr="00353026">
        <w:trPr>
          <w:trHeight w:val="20"/>
          <w:jc w:val="center"/>
        </w:trPr>
        <w:tc>
          <w:tcPr>
            <w:tcW w:w="4673" w:type="dxa"/>
            <w:gridSpan w:val="4"/>
            <w:shd w:val="clear" w:color="auto" w:fill="auto"/>
            <w:vAlign w:val="center"/>
          </w:tcPr>
          <w:p w14:paraId="5F447DB9" w14:textId="77777777" w:rsidR="00A048FB" w:rsidRPr="00FD50F6" w:rsidRDefault="00A048FB" w:rsidP="00353026">
            <w:pPr>
              <w:pStyle w:val="7"/>
            </w:pPr>
            <w:r w:rsidRPr="00FD50F6">
              <w:rPr>
                <w:rFonts w:hint="eastAsia"/>
              </w:rPr>
              <w:t>安检门</w:t>
            </w:r>
          </w:p>
        </w:tc>
        <w:tc>
          <w:tcPr>
            <w:tcW w:w="3456" w:type="dxa"/>
            <w:shd w:val="clear" w:color="auto" w:fill="auto"/>
            <w:vAlign w:val="center"/>
          </w:tcPr>
          <w:p w14:paraId="6197FCDE" w14:textId="77777777" w:rsidR="00A048FB" w:rsidRPr="00FD50F6" w:rsidRDefault="00A048FB" w:rsidP="00353026">
            <w:pPr>
              <w:pStyle w:val="7"/>
            </w:pPr>
            <w:r w:rsidRPr="00FD50F6">
              <w:t>2000</w:t>
            </w:r>
          </w:p>
        </w:tc>
      </w:tr>
      <w:tr w:rsidR="00FD50F6" w:rsidRPr="00FD50F6" w14:paraId="7C9A66DB" w14:textId="77777777" w:rsidTr="00353026">
        <w:trPr>
          <w:trHeight w:val="20"/>
          <w:jc w:val="center"/>
        </w:trPr>
        <w:tc>
          <w:tcPr>
            <w:tcW w:w="1659" w:type="dxa"/>
            <w:vMerge w:val="restart"/>
            <w:shd w:val="clear" w:color="auto" w:fill="auto"/>
            <w:vAlign w:val="center"/>
          </w:tcPr>
          <w:p w14:paraId="3138DB18" w14:textId="77777777" w:rsidR="00A048FB" w:rsidRPr="00FD50F6" w:rsidRDefault="00A048FB" w:rsidP="00353026">
            <w:pPr>
              <w:pStyle w:val="7"/>
            </w:pPr>
            <w:r w:rsidRPr="00FD50F6">
              <w:rPr>
                <w:rFonts w:hint="eastAsia"/>
              </w:rPr>
              <w:t>自动检票机</w:t>
            </w:r>
          </w:p>
        </w:tc>
        <w:tc>
          <w:tcPr>
            <w:tcW w:w="1481" w:type="dxa"/>
            <w:gridSpan w:val="2"/>
            <w:shd w:val="clear" w:color="auto" w:fill="auto"/>
            <w:vAlign w:val="center"/>
          </w:tcPr>
          <w:p w14:paraId="6D39FA10" w14:textId="77777777" w:rsidR="00A048FB" w:rsidRPr="00FD50F6" w:rsidRDefault="00A048FB" w:rsidP="00353026">
            <w:pPr>
              <w:pStyle w:val="7"/>
            </w:pPr>
            <w:r w:rsidRPr="00FD50F6">
              <w:rPr>
                <w:rFonts w:hint="eastAsia"/>
              </w:rPr>
              <w:t>三杆式</w:t>
            </w:r>
          </w:p>
        </w:tc>
        <w:tc>
          <w:tcPr>
            <w:tcW w:w="1533" w:type="dxa"/>
            <w:shd w:val="clear" w:color="auto" w:fill="auto"/>
            <w:vAlign w:val="center"/>
          </w:tcPr>
          <w:p w14:paraId="643B298D" w14:textId="77777777" w:rsidR="00A048FB" w:rsidRPr="00FD50F6" w:rsidRDefault="00A048FB" w:rsidP="00353026">
            <w:pPr>
              <w:pStyle w:val="7"/>
            </w:pPr>
            <w:r w:rsidRPr="00FD50F6">
              <w:rPr>
                <w:rFonts w:hint="eastAsia"/>
              </w:rPr>
              <w:t>非接触</w:t>
            </w:r>
            <w:r w:rsidRPr="00FD50F6">
              <w:t>IC</w:t>
            </w:r>
            <w:r w:rsidRPr="00FD50F6">
              <w:rPr>
                <w:rFonts w:hint="eastAsia"/>
              </w:rPr>
              <w:t>卡</w:t>
            </w:r>
          </w:p>
        </w:tc>
        <w:tc>
          <w:tcPr>
            <w:tcW w:w="3456" w:type="dxa"/>
            <w:shd w:val="clear" w:color="auto" w:fill="auto"/>
            <w:vAlign w:val="center"/>
          </w:tcPr>
          <w:p w14:paraId="4CB5FC3C" w14:textId="77777777" w:rsidR="00A048FB" w:rsidRPr="00FD50F6" w:rsidRDefault="00A048FB" w:rsidP="00353026">
            <w:pPr>
              <w:pStyle w:val="7"/>
            </w:pPr>
            <w:r w:rsidRPr="00FD50F6">
              <w:t>1200</w:t>
            </w:r>
          </w:p>
        </w:tc>
      </w:tr>
      <w:tr w:rsidR="00FD50F6" w:rsidRPr="00FD50F6" w14:paraId="61B97416" w14:textId="77777777" w:rsidTr="00353026">
        <w:trPr>
          <w:trHeight w:val="20"/>
          <w:jc w:val="center"/>
        </w:trPr>
        <w:tc>
          <w:tcPr>
            <w:tcW w:w="1659" w:type="dxa"/>
            <w:vMerge/>
            <w:shd w:val="clear" w:color="auto" w:fill="auto"/>
            <w:vAlign w:val="center"/>
          </w:tcPr>
          <w:p w14:paraId="4A68D053" w14:textId="77777777" w:rsidR="00A048FB" w:rsidRPr="00FD50F6" w:rsidRDefault="00A048FB" w:rsidP="00353026">
            <w:pPr>
              <w:pStyle w:val="7"/>
            </w:pPr>
          </w:p>
        </w:tc>
        <w:tc>
          <w:tcPr>
            <w:tcW w:w="1481" w:type="dxa"/>
            <w:gridSpan w:val="2"/>
            <w:shd w:val="clear" w:color="auto" w:fill="auto"/>
            <w:vAlign w:val="center"/>
          </w:tcPr>
          <w:p w14:paraId="320CE83B" w14:textId="77777777" w:rsidR="00A048FB" w:rsidRPr="00FD50F6" w:rsidRDefault="00A048FB" w:rsidP="00353026">
            <w:pPr>
              <w:pStyle w:val="7"/>
            </w:pPr>
            <w:r w:rsidRPr="00FD50F6">
              <w:rPr>
                <w:rFonts w:hint="eastAsia"/>
              </w:rPr>
              <w:t>门扉式</w:t>
            </w:r>
          </w:p>
        </w:tc>
        <w:tc>
          <w:tcPr>
            <w:tcW w:w="1533" w:type="dxa"/>
            <w:shd w:val="clear" w:color="auto" w:fill="auto"/>
            <w:vAlign w:val="center"/>
          </w:tcPr>
          <w:p w14:paraId="3435DE60" w14:textId="77777777" w:rsidR="00A048FB" w:rsidRPr="00FD50F6" w:rsidRDefault="00A048FB" w:rsidP="00353026">
            <w:pPr>
              <w:pStyle w:val="7"/>
            </w:pPr>
            <w:r w:rsidRPr="00FD50F6">
              <w:rPr>
                <w:rFonts w:hint="eastAsia"/>
              </w:rPr>
              <w:t>非接触</w:t>
            </w:r>
            <w:r w:rsidRPr="00FD50F6">
              <w:t>IC</w:t>
            </w:r>
            <w:r w:rsidRPr="00FD50F6">
              <w:rPr>
                <w:rFonts w:hint="eastAsia"/>
              </w:rPr>
              <w:t>卡</w:t>
            </w:r>
          </w:p>
        </w:tc>
        <w:tc>
          <w:tcPr>
            <w:tcW w:w="3456" w:type="dxa"/>
            <w:shd w:val="clear" w:color="auto" w:fill="auto"/>
            <w:vAlign w:val="center"/>
          </w:tcPr>
          <w:p w14:paraId="11A0D288" w14:textId="77777777" w:rsidR="00A048FB" w:rsidRPr="00FD50F6" w:rsidRDefault="00A048FB" w:rsidP="00353026">
            <w:pPr>
              <w:pStyle w:val="7"/>
            </w:pPr>
            <w:r w:rsidRPr="00FD50F6">
              <w:rPr>
                <w:rFonts w:hint="eastAsia"/>
              </w:rPr>
              <w:t>进站</w:t>
            </w:r>
            <w:r w:rsidRPr="00FD50F6">
              <w:t>1300</w:t>
            </w:r>
            <w:r w:rsidRPr="00FD50F6">
              <w:rPr>
                <w:rFonts w:hint="eastAsia"/>
              </w:rPr>
              <w:t>，出站</w:t>
            </w:r>
            <w:r w:rsidRPr="00FD50F6">
              <w:t>900</w:t>
            </w:r>
          </w:p>
        </w:tc>
      </w:tr>
      <w:tr w:rsidR="00FD50F6" w:rsidRPr="00FD50F6" w14:paraId="604EBAC1" w14:textId="77777777" w:rsidTr="00353026">
        <w:trPr>
          <w:trHeight w:val="20"/>
          <w:jc w:val="center"/>
        </w:trPr>
        <w:tc>
          <w:tcPr>
            <w:tcW w:w="1659" w:type="dxa"/>
            <w:vMerge/>
            <w:shd w:val="clear" w:color="auto" w:fill="auto"/>
            <w:vAlign w:val="center"/>
          </w:tcPr>
          <w:p w14:paraId="22A7512D" w14:textId="77777777" w:rsidR="00A048FB" w:rsidRPr="00FD50F6" w:rsidRDefault="00A048FB" w:rsidP="00353026">
            <w:pPr>
              <w:pStyle w:val="7"/>
            </w:pPr>
          </w:p>
        </w:tc>
        <w:tc>
          <w:tcPr>
            <w:tcW w:w="1481" w:type="dxa"/>
            <w:gridSpan w:val="2"/>
            <w:shd w:val="clear" w:color="auto" w:fill="auto"/>
            <w:vAlign w:val="center"/>
          </w:tcPr>
          <w:p w14:paraId="07E1F561" w14:textId="77777777" w:rsidR="00A048FB" w:rsidRPr="00FD50F6" w:rsidRDefault="00A048FB" w:rsidP="00353026">
            <w:pPr>
              <w:pStyle w:val="7"/>
            </w:pPr>
            <w:r w:rsidRPr="00FD50F6">
              <w:rPr>
                <w:rFonts w:hint="eastAsia"/>
              </w:rPr>
              <w:t>双向门扉式</w:t>
            </w:r>
          </w:p>
        </w:tc>
        <w:tc>
          <w:tcPr>
            <w:tcW w:w="1533" w:type="dxa"/>
            <w:shd w:val="clear" w:color="auto" w:fill="auto"/>
            <w:vAlign w:val="center"/>
          </w:tcPr>
          <w:p w14:paraId="028F4F67" w14:textId="77777777" w:rsidR="00A048FB" w:rsidRPr="00FD50F6" w:rsidRDefault="00A048FB" w:rsidP="00353026">
            <w:pPr>
              <w:pStyle w:val="7"/>
            </w:pPr>
            <w:r w:rsidRPr="00FD50F6">
              <w:rPr>
                <w:rFonts w:hint="eastAsia"/>
              </w:rPr>
              <w:t>非接触</w:t>
            </w:r>
            <w:r w:rsidRPr="00FD50F6">
              <w:t>IC</w:t>
            </w:r>
            <w:r w:rsidRPr="00FD50F6">
              <w:rPr>
                <w:rFonts w:hint="eastAsia"/>
              </w:rPr>
              <w:t>卡</w:t>
            </w:r>
          </w:p>
        </w:tc>
        <w:tc>
          <w:tcPr>
            <w:tcW w:w="3456" w:type="dxa"/>
            <w:shd w:val="clear" w:color="auto" w:fill="auto"/>
            <w:vAlign w:val="center"/>
          </w:tcPr>
          <w:p w14:paraId="4EE5C8A1" w14:textId="77777777" w:rsidR="00A048FB" w:rsidRPr="00FD50F6" w:rsidRDefault="00A048FB" w:rsidP="00353026">
            <w:pPr>
              <w:pStyle w:val="7"/>
            </w:pPr>
            <w:r w:rsidRPr="00FD50F6">
              <w:rPr>
                <w:rFonts w:hint="eastAsia"/>
              </w:rPr>
              <w:t>进站</w:t>
            </w:r>
            <w:r w:rsidRPr="00FD50F6">
              <w:t>1300</w:t>
            </w:r>
            <w:r w:rsidRPr="00FD50F6">
              <w:rPr>
                <w:rFonts w:hint="eastAsia"/>
              </w:rPr>
              <w:t>，出站</w:t>
            </w:r>
            <w:r w:rsidRPr="00FD50F6">
              <w:t>900</w:t>
            </w:r>
          </w:p>
        </w:tc>
      </w:tr>
    </w:tbl>
    <w:bookmarkEnd w:id="371"/>
    <w:p w14:paraId="2915855C" w14:textId="0B3CFD71" w:rsidR="001F5382" w:rsidRPr="00FD50F6" w:rsidRDefault="00A048FB" w:rsidP="00F05D3F">
      <w:pPr>
        <w:pStyle w:val="7"/>
        <w:ind w:left="630" w:hangingChars="300" w:hanging="630"/>
        <w:jc w:val="left"/>
        <w:rPr>
          <w:rFonts w:ascii="宋体" w:hAnsi="宋体"/>
          <w:szCs w:val="21"/>
        </w:rPr>
      </w:pPr>
      <w:r w:rsidRPr="001A4CF3">
        <w:rPr>
          <w:rFonts w:ascii="宋体" w:hAnsi="宋体" w:hint="eastAsia"/>
          <w:szCs w:val="21"/>
        </w:rPr>
        <w:t>注：</w:t>
      </w:r>
      <w:r w:rsidRPr="001A4CF3">
        <w:rPr>
          <w:rFonts w:ascii="宋体" w:hAnsi="宋体"/>
          <w:szCs w:val="21"/>
        </w:rPr>
        <w:t>1</w:t>
      </w:r>
      <w:r w:rsidR="006A75E2">
        <w:rPr>
          <w:rFonts w:ascii="宋体" w:hAnsi="宋体" w:hint="eastAsia"/>
          <w:szCs w:val="21"/>
        </w:rPr>
        <w:t xml:space="preserve"> </w:t>
      </w:r>
      <w:r w:rsidR="001F5382" w:rsidRPr="00FD50F6">
        <w:rPr>
          <w:rFonts w:ascii="宋体" w:hAnsi="宋体" w:hint="eastAsia"/>
          <w:szCs w:val="21"/>
        </w:rPr>
        <w:t>表中通行设施的通过能力是指在正常运营工况下的通行能力，如果部分设施在事</w:t>
      </w:r>
      <w:r w:rsidR="006A75E2">
        <w:rPr>
          <w:rFonts w:ascii="宋体" w:hAnsi="宋体" w:hint="eastAsia"/>
          <w:szCs w:val="21"/>
        </w:rPr>
        <w:t xml:space="preserve"> </w:t>
      </w:r>
      <w:r w:rsidR="006A75E2">
        <w:rPr>
          <w:rFonts w:ascii="宋体" w:hAnsi="宋体"/>
          <w:szCs w:val="21"/>
        </w:rPr>
        <w:t xml:space="preserve">   </w:t>
      </w:r>
      <w:r w:rsidR="001F5382" w:rsidRPr="00FD50F6">
        <w:rPr>
          <w:rFonts w:ascii="宋体" w:hAnsi="宋体" w:hint="eastAsia"/>
          <w:szCs w:val="21"/>
        </w:rPr>
        <w:t>故状态下的通行能力不同，应据设施的具体参数或具体工程技术标准而确定，例如安检、检票机等；</w:t>
      </w:r>
    </w:p>
    <w:p w14:paraId="52540EA5" w14:textId="3DD39CD6" w:rsidR="00A048FB" w:rsidRPr="001A4CF3" w:rsidRDefault="001F5382" w:rsidP="00F05D3F">
      <w:pPr>
        <w:pStyle w:val="7"/>
        <w:ind w:firstLineChars="200" w:firstLine="420"/>
        <w:jc w:val="left"/>
        <w:rPr>
          <w:rFonts w:ascii="宋体" w:hAnsi="宋体"/>
          <w:szCs w:val="21"/>
        </w:rPr>
      </w:pPr>
      <w:r w:rsidRPr="00FD50F6">
        <w:rPr>
          <w:rFonts w:ascii="宋体" w:hAnsi="宋体" w:hint="eastAsia"/>
          <w:szCs w:val="21"/>
        </w:rPr>
        <w:lastRenderedPageBreak/>
        <w:t>2</w:t>
      </w:r>
      <w:r w:rsidR="006A75E2">
        <w:rPr>
          <w:rFonts w:ascii="宋体" w:hAnsi="宋体" w:hint="eastAsia"/>
          <w:szCs w:val="21"/>
        </w:rPr>
        <w:t xml:space="preserve"> </w:t>
      </w:r>
      <w:r w:rsidR="00A048FB" w:rsidRPr="00FD50F6">
        <w:rPr>
          <w:rFonts w:ascii="宋体" w:hAnsi="宋体" w:hint="eastAsia"/>
          <w:szCs w:val="21"/>
        </w:rPr>
        <w:t>自动</w:t>
      </w:r>
      <w:r w:rsidR="00A048FB" w:rsidRPr="001A4CF3">
        <w:rPr>
          <w:rFonts w:ascii="宋体" w:hAnsi="宋体" w:hint="eastAsia"/>
          <w:szCs w:val="21"/>
        </w:rPr>
        <w:t>售票机</w:t>
      </w:r>
      <w:r w:rsidR="00A048FB" w:rsidRPr="00FD50F6">
        <w:rPr>
          <w:rFonts w:ascii="宋体" w:hAnsi="宋体" w:hint="eastAsia"/>
          <w:szCs w:val="21"/>
        </w:rPr>
        <w:t>的</w:t>
      </w:r>
      <w:r w:rsidR="00A048FB" w:rsidRPr="001A4CF3">
        <w:rPr>
          <w:rFonts w:ascii="宋体" w:hAnsi="宋体" w:hint="eastAsia"/>
          <w:szCs w:val="21"/>
        </w:rPr>
        <w:t>最大</w:t>
      </w:r>
      <w:r w:rsidR="00A048FB" w:rsidRPr="00FD50F6">
        <w:rPr>
          <w:rFonts w:ascii="宋体" w:hAnsi="宋体" w:hint="eastAsia"/>
          <w:szCs w:val="21"/>
        </w:rPr>
        <w:t>服务</w:t>
      </w:r>
      <w:r w:rsidR="00A048FB" w:rsidRPr="001A4CF3">
        <w:rPr>
          <w:rFonts w:ascii="宋体" w:hAnsi="宋体" w:hint="eastAsia"/>
          <w:szCs w:val="21"/>
        </w:rPr>
        <w:t>能力</w:t>
      </w:r>
      <w:r w:rsidR="00A048FB" w:rsidRPr="00FD50F6">
        <w:rPr>
          <w:rFonts w:ascii="宋体" w:hAnsi="宋体" w:hint="eastAsia"/>
          <w:szCs w:val="21"/>
        </w:rPr>
        <w:t>应根据实际选定的自动售票机的服务能力参数进行核验</w:t>
      </w:r>
      <w:r w:rsidR="00A048FB" w:rsidRPr="001A4CF3">
        <w:rPr>
          <w:rFonts w:ascii="宋体" w:hAnsi="宋体" w:hint="eastAsia"/>
          <w:szCs w:val="21"/>
        </w:rPr>
        <w:t>；</w:t>
      </w:r>
    </w:p>
    <w:p w14:paraId="7DC2BCBC" w14:textId="7A348DD6" w:rsidR="00A048FB" w:rsidRPr="001A4CF3" w:rsidRDefault="001F5382" w:rsidP="00F05D3F">
      <w:pPr>
        <w:pStyle w:val="7"/>
        <w:ind w:firstLineChars="200" w:firstLine="420"/>
        <w:jc w:val="left"/>
        <w:rPr>
          <w:rFonts w:ascii="宋体" w:hAnsi="宋体"/>
          <w:iCs/>
          <w:szCs w:val="21"/>
        </w:rPr>
      </w:pPr>
      <w:r w:rsidRPr="00FD50F6">
        <w:rPr>
          <w:rFonts w:ascii="宋体" w:hAnsi="宋体"/>
          <w:szCs w:val="21"/>
        </w:rPr>
        <w:t>3</w:t>
      </w:r>
      <w:r w:rsidR="006A75E2">
        <w:rPr>
          <w:rFonts w:ascii="宋体" w:hAnsi="宋体" w:hint="eastAsia"/>
          <w:szCs w:val="21"/>
        </w:rPr>
        <w:t xml:space="preserve"> </w:t>
      </w:r>
      <w:r w:rsidR="00A048FB" w:rsidRPr="001A4CF3">
        <w:rPr>
          <w:rFonts w:ascii="宋体" w:hAnsi="宋体" w:hint="eastAsia"/>
          <w:szCs w:val="21"/>
        </w:rPr>
        <w:t>安检门主要是指供人员安检使用的金属探测门；</w:t>
      </w:r>
    </w:p>
    <w:p w14:paraId="32CF6E9C" w14:textId="0EAEDF27" w:rsidR="00A048FB" w:rsidRPr="001A4CF3" w:rsidRDefault="001F5382" w:rsidP="00F05D3F">
      <w:pPr>
        <w:pStyle w:val="7"/>
        <w:ind w:leftChars="175" w:left="630" w:hangingChars="100" w:hanging="210"/>
        <w:jc w:val="left"/>
        <w:rPr>
          <w:rFonts w:ascii="宋体" w:hAnsi="宋体"/>
        </w:rPr>
      </w:pPr>
      <w:r w:rsidRPr="00FD50F6">
        <w:rPr>
          <w:rFonts w:ascii="宋体" w:hAnsi="宋体"/>
          <w:szCs w:val="21"/>
        </w:rPr>
        <w:t>4</w:t>
      </w:r>
      <w:r w:rsidR="006A75E2">
        <w:rPr>
          <w:rFonts w:ascii="宋体" w:hAnsi="宋体" w:hint="eastAsia"/>
          <w:szCs w:val="21"/>
        </w:rPr>
        <w:t xml:space="preserve"> </w:t>
      </w:r>
      <w:r w:rsidR="00A048FB" w:rsidRPr="001A4CF3">
        <w:rPr>
          <w:rFonts w:ascii="宋体" w:hAnsi="宋体" w:hint="eastAsia"/>
          <w:szCs w:val="21"/>
        </w:rPr>
        <w:t>本表中自动扶梯的</w:t>
      </w:r>
      <w:r w:rsidR="00A048FB" w:rsidRPr="00FD50F6">
        <w:rPr>
          <w:rFonts w:ascii="宋体" w:hAnsi="宋体" w:hint="eastAsia"/>
          <w:szCs w:val="21"/>
        </w:rPr>
        <w:t>通</w:t>
      </w:r>
      <w:r w:rsidR="00F64B34">
        <w:rPr>
          <w:rFonts w:ascii="宋体" w:hAnsi="宋体" w:hint="eastAsia"/>
          <w:szCs w:val="21"/>
        </w:rPr>
        <w:t>过</w:t>
      </w:r>
      <w:r w:rsidR="00A048FB" w:rsidRPr="00FD50F6">
        <w:rPr>
          <w:rFonts w:ascii="宋体" w:hAnsi="宋体" w:hint="eastAsia"/>
          <w:szCs w:val="21"/>
        </w:rPr>
        <w:t>能力是以自动扶梯</w:t>
      </w:r>
      <w:r w:rsidR="00A048FB" w:rsidRPr="001A4CF3">
        <w:rPr>
          <w:rFonts w:ascii="宋体" w:hAnsi="宋体" w:hint="eastAsia"/>
          <w:szCs w:val="21"/>
        </w:rPr>
        <w:t>倾角为</w:t>
      </w:r>
      <w:r w:rsidR="00A048FB" w:rsidRPr="001A4CF3">
        <w:rPr>
          <w:rFonts w:ascii="宋体" w:hAnsi="宋体"/>
          <w:szCs w:val="21"/>
        </w:rPr>
        <w:t>30</w:t>
      </w:r>
      <w:r w:rsidR="00A048FB" w:rsidRPr="001A4CF3">
        <w:rPr>
          <w:rFonts w:ascii="宋体" w:hAnsi="宋体" w:hint="eastAsia"/>
          <w:szCs w:val="21"/>
        </w:rPr>
        <w:t>°</w:t>
      </w:r>
      <w:r w:rsidR="00A048FB" w:rsidRPr="00FD50F6">
        <w:rPr>
          <w:rFonts w:ascii="宋体" w:hAnsi="宋体" w:hint="eastAsia"/>
          <w:szCs w:val="21"/>
        </w:rPr>
        <w:t>时确定的参数</w:t>
      </w:r>
      <w:r w:rsidR="00A048FB" w:rsidRPr="001A4CF3">
        <w:rPr>
          <w:rFonts w:ascii="宋体" w:hAnsi="宋体" w:hint="eastAsia"/>
          <w:szCs w:val="21"/>
        </w:rPr>
        <w:t>，</w:t>
      </w:r>
      <w:r w:rsidR="00A048FB" w:rsidRPr="00FD50F6">
        <w:rPr>
          <w:rFonts w:ascii="宋体" w:hAnsi="宋体" w:hint="eastAsia"/>
          <w:szCs w:val="21"/>
        </w:rPr>
        <w:t>当</w:t>
      </w:r>
      <w:r w:rsidR="00A048FB" w:rsidRPr="001A4CF3">
        <w:rPr>
          <w:rFonts w:ascii="宋体" w:hAnsi="宋体" w:hint="eastAsia"/>
          <w:szCs w:val="21"/>
        </w:rPr>
        <w:t>采用其他倾角的自动扶梯</w:t>
      </w:r>
      <w:r w:rsidR="00A048FB" w:rsidRPr="00FD50F6">
        <w:rPr>
          <w:rFonts w:ascii="宋体" w:hAnsi="宋体" w:hint="eastAsia"/>
          <w:szCs w:val="21"/>
        </w:rPr>
        <w:t>时</w:t>
      </w:r>
      <w:r w:rsidR="00A048FB" w:rsidRPr="001A4CF3">
        <w:rPr>
          <w:rFonts w:ascii="宋体" w:hAnsi="宋体" w:hint="eastAsia"/>
          <w:szCs w:val="21"/>
        </w:rPr>
        <w:t>，</w:t>
      </w:r>
      <w:r w:rsidR="00A048FB" w:rsidRPr="00FD50F6">
        <w:rPr>
          <w:rFonts w:ascii="宋体" w:hAnsi="宋体" w:hint="eastAsia"/>
          <w:szCs w:val="21"/>
        </w:rPr>
        <w:t>以确定选用的自动扶梯的</w:t>
      </w:r>
      <w:r w:rsidR="00A048FB" w:rsidRPr="001A4CF3">
        <w:rPr>
          <w:rFonts w:ascii="宋体" w:hAnsi="宋体" w:hint="eastAsia"/>
          <w:szCs w:val="21"/>
        </w:rPr>
        <w:t>通</w:t>
      </w:r>
      <w:r w:rsidR="00F64B34">
        <w:rPr>
          <w:rFonts w:ascii="宋体" w:hAnsi="宋体" w:hint="eastAsia"/>
          <w:szCs w:val="21"/>
        </w:rPr>
        <w:t>过</w:t>
      </w:r>
      <w:r w:rsidR="00A048FB" w:rsidRPr="001A4CF3">
        <w:rPr>
          <w:rFonts w:ascii="宋体" w:hAnsi="宋体" w:hint="eastAsia"/>
          <w:szCs w:val="21"/>
        </w:rPr>
        <w:t>能力参数</w:t>
      </w:r>
      <w:r w:rsidR="00A048FB" w:rsidRPr="00FD50F6">
        <w:rPr>
          <w:rFonts w:ascii="宋体" w:hAnsi="宋体" w:hint="eastAsia"/>
          <w:szCs w:val="21"/>
        </w:rPr>
        <w:t>为准</w:t>
      </w:r>
      <w:r w:rsidR="00A048FB" w:rsidRPr="001A4CF3">
        <w:rPr>
          <w:rFonts w:ascii="宋体" w:hAnsi="宋体" w:hint="eastAsia"/>
          <w:szCs w:val="21"/>
        </w:rPr>
        <w:t>。</w:t>
      </w:r>
    </w:p>
    <w:p w14:paraId="5AD32951" w14:textId="479549D6" w:rsidR="00A048FB" w:rsidRPr="00FD50F6" w:rsidRDefault="00A048FB" w:rsidP="00A048FB">
      <w:pPr>
        <w:pStyle w:val="30"/>
        <w:rPr>
          <w:b/>
        </w:rPr>
      </w:pPr>
      <w:r w:rsidRPr="00FD50F6">
        <w:rPr>
          <w:rFonts w:hint="eastAsia"/>
        </w:rPr>
        <w:t>不同类别车站的自动扶梯、楼梯、检票机和出入口通道等站内通行设施通行能力宜按表</w:t>
      </w:r>
      <w:r w:rsidR="008C6B9B" w:rsidRPr="00FD50F6">
        <w:t>10</w:t>
      </w:r>
      <w:r w:rsidRPr="00FD50F6">
        <w:t>.2.4</w:t>
      </w:r>
      <w:r w:rsidRPr="00FD50F6">
        <w:rPr>
          <w:rFonts w:hint="eastAsia"/>
        </w:rPr>
        <w:t>的规定折减。</w:t>
      </w:r>
    </w:p>
    <w:p w14:paraId="71E4EFAD" w14:textId="453E7381" w:rsidR="00A048FB" w:rsidRPr="00FD50F6" w:rsidRDefault="00A048FB" w:rsidP="00A048FB">
      <w:pPr>
        <w:pStyle w:val="6"/>
        <w:rPr>
          <w:sz w:val="21"/>
          <w:szCs w:val="21"/>
        </w:rPr>
      </w:pPr>
      <w:r w:rsidRPr="00FD50F6">
        <w:rPr>
          <w:rFonts w:hint="eastAsia"/>
        </w:rPr>
        <w:t>表</w:t>
      </w:r>
      <w:r w:rsidR="008C6B9B" w:rsidRPr="00FD50F6">
        <w:t>10</w:t>
      </w:r>
      <w:r w:rsidRPr="00FD50F6">
        <w:t>.2.4</w:t>
      </w:r>
      <w:r w:rsidRPr="00FD50F6">
        <w:rPr>
          <w:rFonts w:hint="eastAsia"/>
        </w:rPr>
        <w:t>车站通行设施折减系数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2"/>
        <w:gridCol w:w="1266"/>
        <w:gridCol w:w="1399"/>
        <w:gridCol w:w="1231"/>
        <w:gridCol w:w="1283"/>
        <w:gridCol w:w="17"/>
      </w:tblGrid>
      <w:tr w:rsidR="00FD50F6" w:rsidRPr="00FD50F6" w14:paraId="5CD5BB2B" w14:textId="77777777" w:rsidTr="00353026">
        <w:trPr>
          <w:trHeight w:val="20"/>
          <w:tblHeader/>
          <w:jc w:val="center"/>
        </w:trPr>
        <w:tc>
          <w:tcPr>
            <w:tcW w:w="1954" w:type="pct"/>
            <w:vMerge w:val="restart"/>
            <w:shd w:val="clear" w:color="auto" w:fill="auto"/>
            <w:vAlign w:val="center"/>
          </w:tcPr>
          <w:p w14:paraId="76CBA539" w14:textId="77777777" w:rsidR="00A048FB" w:rsidRPr="00FD50F6" w:rsidRDefault="00A048FB" w:rsidP="00353026">
            <w:pPr>
              <w:pStyle w:val="7"/>
            </w:pPr>
            <w:r w:rsidRPr="00FD50F6">
              <w:rPr>
                <w:rFonts w:hint="eastAsia"/>
              </w:rPr>
              <w:t>车站类型</w:t>
            </w:r>
          </w:p>
        </w:tc>
        <w:tc>
          <w:tcPr>
            <w:tcW w:w="3046" w:type="pct"/>
            <w:gridSpan w:val="5"/>
            <w:shd w:val="clear" w:color="auto" w:fill="auto"/>
            <w:vAlign w:val="center"/>
          </w:tcPr>
          <w:p w14:paraId="7D8E72C4" w14:textId="77777777" w:rsidR="00A048FB" w:rsidRPr="00FD50F6" w:rsidRDefault="00A048FB" w:rsidP="00353026">
            <w:pPr>
              <w:pStyle w:val="7"/>
            </w:pPr>
            <w:r w:rsidRPr="00FD50F6">
              <w:rPr>
                <w:rFonts w:hint="eastAsia"/>
              </w:rPr>
              <w:t>通行设施折减系数</w:t>
            </w:r>
          </w:p>
        </w:tc>
      </w:tr>
      <w:tr w:rsidR="00FD50F6" w:rsidRPr="00FD50F6" w14:paraId="625FD8F6" w14:textId="77777777" w:rsidTr="00353026">
        <w:trPr>
          <w:gridAfter w:val="1"/>
          <w:wAfter w:w="10" w:type="pct"/>
          <w:trHeight w:val="20"/>
          <w:tblHeader/>
          <w:jc w:val="center"/>
        </w:trPr>
        <w:tc>
          <w:tcPr>
            <w:tcW w:w="1954" w:type="pct"/>
            <w:vMerge/>
            <w:shd w:val="clear" w:color="auto" w:fill="auto"/>
            <w:vAlign w:val="center"/>
          </w:tcPr>
          <w:p w14:paraId="0E7A451A" w14:textId="77777777" w:rsidR="00A048FB" w:rsidRPr="00FD50F6" w:rsidRDefault="00A048FB" w:rsidP="00353026">
            <w:pPr>
              <w:pStyle w:val="7"/>
            </w:pPr>
          </w:p>
        </w:tc>
        <w:tc>
          <w:tcPr>
            <w:tcW w:w="742" w:type="pct"/>
            <w:shd w:val="clear" w:color="auto" w:fill="auto"/>
            <w:vAlign w:val="center"/>
          </w:tcPr>
          <w:p w14:paraId="03B9C02E" w14:textId="77777777" w:rsidR="00A048FB" w:rsidRPr="00FD50F6" w:rsidRDefault="00A048FB" w:rsidP="00353026">
            <w:pPr>
              <w:pStyle w:val="7"/>
            </w:pPr>
            <w:r w:rsidRPr="00FD50F6">
              <w:rPr>
                <w:rFonts w:hint="eastAsia"/>
              </w:rPr>
              <w:t>通道</w:t>
            </w:r>
          </w:p>
        </w:tc>
        <w:tc>
          <w:tcPr>
            <w:tcW w:w="820" w:type="pct"/>
            <w:shd w:val="clear" w:color="auto" w:fill="auto"/>
            <w:vAlign w:val="center"/>
          </w:tcPr>
          <w:p w14:paraId="080E4E00" w14:textId="77777777" w:rsidR="00A048FB" w:rsidRPr="00FD50F6" w:rsidRDefault="00A048FB" w:rsidP="00353026">
            <w:pPr>
              <w:pStyle w:val="7"/>
            </w:pPr>
            <w:r w:rsidRPr="00FD50F6">
              <w:rPr>
                <w:rFonts w:hint="eastAsia"/>
              </w:rPr>
              <w:t>自动扶梯</w:t>
            </w:r>
          </w:p>
        </w:tc>
        <w:tc>
          <w:tcPr>
            <w:tcW w:w="722" w:type="pct"/>
            <w:shd w:val="clear" w:color="auto" w:fill="auto"/>
            <w:vAlign w:val="center"/>
          </w:tcPr>
          <w:p w14:paraId="27D30CB3" w14:textId="77777777" w:rsidR="00A048FB" w:rsidRPr="00FD50F6" w:rsidRDefault="00A048FB" w:rsidP="00353026">
            <w:pPr>
              <w:pStyle w:val="7"/>
            </w:pPr>
            <w:r w:rsidRPr="00FD50F6">
              <w:rPr>
                <w:rFonts w:hint="eastAsia"/>
              </w:rPr>
              <w:t>楼梯</w:t>
            </w:r>
          </w:p>
        </w:tc>
        <w:tc>
          <w:tcPr>
            <w:tcW w:w="752" w:type="pct"/>
            <w:shd w:val="clear" w:color="auto" w:fill="auto"/>
            <w:vAlign w:val="center"/>
          </w:tcPr>
          <w:p w14:paraId="669AF96E" w14:textId="77777777" w:rsidR="00A048FB" w:rsidRPr="00FD50F6" w:rsidRDefault="00A048FB" w:rsidP="00353026">
            <w:pPr>
              <w:pStyle w:val="7"/>
            </w:pPr>
            <w:r w:rsidRPr="00FD50F6">
              <w:rPr>
                <w:rFonts w:hint="eastAsia"/>
              </w:rPr>
              <w:t>检票机</w:t>
            </w:r>
          </w:p>
        </w:tc>
      </w:tr>
      <w:tr w:rsidR="00FD50F6" w:rsidRPr="00FD50F6" w14:paraId="32C74375" w14:textId="77777777" w:rsidTr="00353026">
        <w:trPr>
          <w:gridAfter w:val="1"/>
          <w:wAfter w:w="10" w:type="pct"/>
          <w:cantSplit/>
          <w:trHeight w:val="20"/>
          <w:jc w:val="center"/>
        </w:trPr>
        <w:tc>
          <w:tcPr>
            <w:tcW w:w="1954" w:type="pct"/>
            <w:shd w:val="clear" w:color="auto" w:fill="auto"/>
            <w:vAlign w:val="center"/>
          </w:tcPr>
          <w:p w14:paraId="121333B4" w14:textId="77777777" w:rsidR="00A048FB" w:rsidRPr="00FD50F6" w:rsidRDefault="00A048FB" w:rsidP="00353026">
            <w:pPr>
              <w:pStyle w:val="7"/>
            </w:pPr>
            <w:r w:rsidRPr="00FD50F6">
              <w:t>A</w:t>
            </w:r>
            <w:r w:rsidRPr="00FD50F6">
              <w:rPr>
                <w:rFonts w:hint="eastAsia"/>
              </w:rPr>
              <w:t>类</w:t>
            </w:r>
          </w:p>
        </w:tc>
        <w:tc>
          <w:tcPr>
            <w:tcW w:w="742" w:type="pct"/>
            <w:shd w:val="clear" w:color="auto" w:fill="auto"/>
            <w:vAlign w:val="center"/>
          </w:tcPr>
          <w:p w14:paraId="05B34E2C" w14:textId="77777777" w:rsidR="00A048FB" w:rsidRPr="00FD50F6" w:rsidRDefault="00A048FB" w:rsidP="00353026">
            <w:pPr>
              <w:pStyle w:val="7"/>
            </w:pPr>
            <w:r w:rsidRPr="00FD50F6">
              <w:t>0.70</w:t>
            </w:r>
          </w:p>
        </w:tc>
        <w:tc>
          <w:tcPr>
            <w:tcW w:w="820" w:type="pct"/>
            <w:shd w:val="clear" w:color="auto" w:fill="auto"/>
            <w:vAlign w:val="center"/>
          </w:tcPr>
          <w:p w14:paraId="4ACA8FED" w14:textId="77777777" w:rsidR="00A048FB" w:rsidRPr="00FD50F6" w:rsidRDefault="00A048FB" w:rsidP="00353026">
            <w:pPr>
              <w:pStyle w:val="7"/>
            </w:pPr>
            <w:r w:rsidRPr="00FD50F6">
              <w:t>0.85</w:t>
            </w:r>
          </w:p>
        </w:tc>
        <w:tc>
          <w:tcPr>
            <w:tcW w:w="722" w:type="pct"/>
            <w:shd w:val="clear" w:color="auto" w:fill="auto"/>
            <w:vAlign w:val="center"/>
          </w:tcPr>
          <w:p w14:paraId="58005BCD" w14:textId="77777777" w:rsidR="00A048FB" w:rsidRPr="00FD50F6" w:rsidRDefault="00A048FB" w:rsidP="00353026">
            <w:pPr>
              <w:pStyle w:val="7"/>
            </w:pPr>
            <w:r w:rsidRPr="00FD50F6">
              <w:t>0.85</w:t>
            </w:r>
          </w:p>
        </w:tc>
        <w:tc>
          <w:tcPr>
            <w:tcW w:w="752" w:type="pct"/>
            <w:shd w:val="clear" w:color="auto" w:fill="auto"/>
            <w:vAlign w:val="center"/>
          </w:tcPr>
          <w:p w14:paraId="20CEA61C" w14:textId="77777777" w:rsidR="00A048FB" w:rsidRPr="00FD50F6" w:rsidRDefault="00A048FB" w:rsidP="00353026">
            <w:pPr>
              <w:pStyle w:val="7"/>
            </w:pPr>
            <w:r w:rsidRPr="00FD50F6">
              <w:t>0.75</w:t>
            </w:r>
          </w:p>
        </w:tc>
      </w:tr>
      <w:tr w:rsidR="00FD50F6" w:rsidRPr="00FD50F6" w14:paraId="78DCBDEF" w14:textId="77777777" w:rsidTr="00353026">
        <w:trPr>
          <w:gridAfter w:val="1"/>
          <w:wAfter w:w="10" w:type="pct"/>
          <w:cantSplit/>
          <w:trHeight w:val="20"/>
          <w:jc w:val="center"/>
        </w:trPr>
        <w:tc>
          <w:tcPr>
            <w:tcW w:w="1954" w:type="pct"/>
            <w:shd w:val="clear" w:color="auto" w:fill="auto"/>
            <w:vAlign w:val="center"/>
          </w:tcPr>
          <w:p w14:paraId="2173BDB1" w14:textId="77777777" w:rsidR="00A048FB" w:rsidRPr="00FD50F6" w:rsidRDefault="00A048FB" w:rsidP="00353026">
            <w:pPr>
              <w:pStyle w:val="7"/>
            </w:pPr>
            <w:r w:rsidRPr="00FD50F6">
              <w:t>B</w:t>
            </w:r>
            <w:r w:rsidRPr="00FD50F6">
              <w:rPr>
                <w:rFonts w:hint="eastAsia"/>
              </w:rPr>
              <w:t>类</w:t>
            </w:r>
          </w:p>
        </w:tc>
        <w:tc>
          <w:tcPr>
            <w:tcW w:w="742" w:type="pct"/>
            <w:shd w:val="clear" w:color="auto" w:fill="auto"/>
            <w:vAlign w:val="center"/>
          </w:tcPr>
          <w:p w14:paraId="7040EF23" w14:textId="77777777" w:rsidR="00A048FB" w:rsidRPr="00FD50F6" w:rsidRDefault="00A048FB" w:rsidP="00353026">
            <w:pPr>
              <w:pStyle w:val="7"/>
            </w:pPr>
            <w:r w:rsidRPr="00FD50F6">
              <w:t>0.80</w:t>
            </w:r>
          </w:p>
        </w:tc>
        <w:tc>
          <w:tcPr>
            <w:tcW w:w="820" w:type="pct"/>
            <w:shd w:val="clear" w:color="auto" w:fill="auto"/>
            <w:vAlign w:val="center"/>
          </w:tcPr>
          <w:p w14:paraId="062308A1" w14:textId="77777777" w:rsidR="00A048FB" w:rsidRPr="00FD50F6" w:rsidRDefault="00A048FB" w:rsidP="00353026">
            <w:pPr>
              <w:pStyle w:val="7"/>
            </w:pPr>
            <w:r w:rsidRPr="00FD50F6">
              <w:t>0.90</w:t>
            </w:r>
          </w:p>
        </w:tc>
        <w:tc>
          <w:tcPr>
            <w:tcW w:w="722" w:type="pct"/>
            <w:shd w:val="clear" w:color="auto" w:fill="auto"/>
            <w:vAlign w:val="center"/>
          </w:tcPr>
          <w:p w14:paraId="090EC628" w14:textId="77777777" w:rsidR="00A048FB" w:rsidRPr="00FD50F6" w:rsidRDefault="00A048FB" w:rsidP="00353026">
            <w:pPr>
              <w:pStyle w:val="7"/>
            </w:pPr>
            <w:r w:rsidRPr="00FD50F6">
              <w:t>0.90</w:t>
            </w:r>
          </w:p>
        </w:tc>
        <w:tc>
          <w:tcPr>
            <w:tcW w:w="752" w:type="pct"/>
            <w:shd w:val="clear" w:color="auto" w:fill="auto"/>
            <w:vAlign w:val="center"/>
          </w:tcPr>
          <w:p w14:paraId="16D4B2D1" w14:textId="77777777" w:rsidR="00A048FB" w:rsidRPr="00FD50F6" w:rsidRDefault="00A048FB" w:rsidP="00353026">
            <w:pPr>
              <w:pStyle w:val="7"/>
            </w:pPr>
            <w:r w:rsidRPr="00FD50F6">
              <w:t>0.85</w:t>
            </w:r>
          </w:p>
        </w:tc>
      </w:tr>
      <w:tr w:rsidR="00FD50F6" w:rsidRPr="00FD50F6" w14:paraId="422082BC" w14:textId="77777777" w:rsidTr="00353026">
        <w:trPr>
          <w:gridAfter w:val="1"/>
          <w:wAfter w:w="10" w:type="pct"/>
          <w:cantSplit/>
          <w:trHeight w:val="20"/>
          <w:jc w:val="center"/>
        </w:trPr>
        <w:tc>
          <w:tcPr>
            <w:tcW w:w="1954" w:type="pct"/>
            <w:shd w:val="clear" w:color="auto" w:fill="auto"/>
            <w:vAlign w:val="center"/>
          </w:tcPr>
          <w:p w14:paraId="476F7B00" w14:textId="77777777" w:rsidR="00A048FB" w:rsidRPr="00FD50F6" w:rsidRDefault="00A048FB" w:rsidP="00353026">
            <w:pPr>
              <w:pStyle w:val="7"/>
            </w:pPr>
            <w:r w:rsidRPr="00FD50F6">
              <w:t>C</w:t>
            </w:r>
            <w:r w:rsidRPr="00FD50F6">
              <w:rPr>
                <w:rFonts w:hint="eastAsia"/>
              </w:rPr>
              <w:t>类</w:t>
            </w:r>
          </w:p>
        </w:tc>
        <w:tc>
          <w:tcPr>
            <w:tcW w:w="742" w:type="pct"/>
            <w:shd w:val="clear" w:color="auto" w:fill="auto"/>
            <w:vAlign w:val="center"/>
          </w:tcPr>
          <w:p w14:paraId="1ACE8E89" w14:textId="77777777" w:rsidR="00A048FB" w:rsidRPr="00FD50F6" w:rsidRDefault="00A048FB" w:rsidP="00353026">
            <w:pPr>
              <w:pStyle w:val="7"/>
            </w:pPr>
            <w:r w:rsidRPr="00FD50F6">
              <w:t>1.00</w:t>
            </w:r>
          </w:p>
        </w:tc>
        <w:tc>
          <w:tcPr>
            <w:tcW w:w="820" w:type="pct"/>
            <w:shd w:val="clear" w:color="auto" w:fill="auto"/>
            <w:vAlign w:val="center"/>
          </w:tcPr>
          <w:p w14:paraId="013EE7F4" w14:textId="77777777" w:rsidR="00A048FB" w:rsidRPr="00FD50F6" w:rsidRDefault="00A048FB" w:rsidP="00353026">
            <w:pPr>
              <w:pStyle w:val="7"/>
            </w:pPr>
            <w:r w:rsidRPr="00FD50F6">
              <w:t>1.00</w:t>
            </w:r>
          </w:p>
        </w:tc>
        <w:tc>
          <w:tcPr>
            <w:tcW w:w="722" w:type="pct"/>
            <w:shd w:val="clear" w:color="auto" w:fill="auto"/>
            <w:vAlign w:val="center"/>
          </w:tcPr>
          <w:p w14:paraId="6555285F" w14:textId="77777777" w:rsidR="00A048FB" w:rsidRPr="00FD50F6" w:rsidRDefault="00A048FB" w:rsidP="00353026">
            <w:pPr>
              <w:pStyle w:val="7"/>
            </w:pPr>
            <w:r w:rsidRPr="00FD50F6">
              <w:t>1.00</w:t>
            </w:r>
          </w:p>
        </w:tc>
        <w:tc>
          <w:tcPr>
            <w:tcW w:w="752" w:type="pct"/>
            <w:shd w:val="clear" w:color="auto" w:fill="auto"/>
            <w:vAlign w:val="center"/>
          </w:tcPr>
          <w:p w14:paraId="0EFAAF37" w14:textId="77777777" w:rsidR="00A048FB" w:rsidRPr="00FD50F6" w:rsidRDefault="00A048FB" w:rsidP="00353026">
            <w:pPr>
              <w:pStyle w:val="7"/>
            </w:pPr>
            <w:r w:rsidRPr="00FD50F6">
              <w:t>1.00</w:t>
            </w:r>
          </w:p>
        </w:tc>
      </w:tr>
    </w:tbl>
    <w:p w14:paraId="74443126" w14:textId="2EFD6266" w:rsidR="00A048FB" w:rsidRPr="001A4CF3" w:rsidRDefault="001F5382" w:rsidP="001A4CF3">
      <w:pPr>
        <w:pStyle w:val="7"/>
        <w:jc w:val="left"/>
        <w:rPr>
          <w:rFonts w:ascii="宋体" w:hAnsi="宋体"/>
        </w:rPr>
      </w:pPr>
      <w:r w:rsidRPr="001A4CF3">
        <w:rPr>
          <w:rFonts w:ascii="宋体" w:hAnsi="宋体" w:hint="eastAsia"/>
          <w:szCs w:val="21"/>
        </w:rPr>
        <w:t>注</w:t>
      </w:r>
      <w:r w:rsidR="008B1DD3">
        <w:rPr>
          <w:rFonts w:ascii="宋体" w:hAnsi="宋体" w:hint="eastAsia"/>
          <w:szCs w:val="21"/>
        </w:rPr>
        <w:t>：</w:t>
      </w:r>
      <w:r w:rsidRPr="001A4CF3">
        <w:rPr>
          <w:rFonts w:ascii="宋体" w:hAnsi="宋体" w:hint="eastAsia"/>
          <w:szCs w:val="21"/>
        </w:rPr>
        <w:t>在车站紧急疏散计算时，车站通行设施通行能力可不考虑折减系数</w:t>
      </w:r>
      <w:r w:rsidRPr="00FD50F6">
        <w:rPr>
          <w:rFonts w:ascii="宋体" w:hAnsi="宋体" w:hint="eastAsia"/>
          <w:szCs w:val="21"/>
        </w:rPr>
        <w:t>。</w:t>
      </w:r>
    </w:p>
    <w:p w14:paraId="771E6A40" w14:textId="3FC90E6B" w:rsidR="00A048FB" w:rsidRPr="00FD50F6" w:rsidRDefault="00A048FB" w:rsidP="00A048FB">
      <w:pPr>
        <w:pStyle w:val="30"/>
        <w:rPr>
          <w:b/>
        </w:rPr>
      </w:pPr>
      <w:r w:rsidRPr="00FD50F6">
        <w:rPr>
          <w:rFonts w:hint="eastAsia"/>
        </w:rPr>
        <w:t>车站各部位的最小净宽和最小净高应分别符合表</w:t>
      </w:r>
      <w:r w:rsidR="008C6B9B" w:rsidRPr="00FD50F6">
        <w:t>10</w:t>
      </w:r>
      <w:r w:rsidRPr="00FD50F6">
        <w:t>.2.5-1</w:t>
      </w:r>
      <w:r w:rsidRPr="00FD50F6">
        <w:rPr>
          <w:rFonts w:hint="eastAsia"/>
        </w:rPr>
        <w:t>、表</w:t>
      </w:r>
      <w:r w:rsidR="008C6B9B" w:rsidRPr="00FD50F6">
        <w:t>10</w:t>
      </w:r>
      <w:r w:rsidRPr="00FD50F6">
        <w:t>.2.5-2</w:t>
      </w:r>
      <w:r w:rsidRPr="00FD50F6">
        <w:rPr>
          <w:rFonts w:hint="eastAsia"/>
        </w:rPr>
        <w:t>的规定。</w:t>
      </w:r>
    </w:p>
    <w:p w14:paraId="64DF055F" w14:textId="1F3AFABD" w:rsidR="00A048FB" w:rsidRPr="00FD50F6" w:rsidRDefault="00A048FB" w:rsidP="00A048FB">
      <w:pPr>
        <w:pStyle w:val="6"/>
        <w:rPr>
          <w:sz w:val="21"/>
          <w:szCs w:val="21"/>
        </w:rPr>
      </w:pPr>
      <w:r w:rsidRPr="00FD50F6">
        <w:rPr>
          <w:rFonts w:hint="eastAsia"/>
        </w:rPr>
        <w:t>表</w:t>
      </w:r>
      <w:r w:rsidR="008C6B9B" w:rsidRPr="00FD50F6">
        <w:t>10</w:t>
      </w:r>
      <w:r w:rsidRPr="00FD50F6">
        <w:t>.2.5-1</w:t>
      </w:r>
      <w:r w:rsidRPr="00FD50F6">
        <w:rPr>
          <w:rFonts w:hint="eastAsia"/>
        </w:rPr>
        <w:t>车站各部位的最小净宽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3842"/>
        <w:gridCol w:w="2263"/>
      </w:tblGrid>
      <w:tr w:rsidR="00FD50F6" w:rsidRPr="00FD50F6" w14:paraId="7F69CE69" w14:textId="77777777" w:rsidTr="008B1DD3">
        <w:trPr>
          <w:trHeight w:hRule="exact" w:val="340"/>
          <w:tblHeader/>
          <w:jc w:val="center"/>
        </w:trPr>
        <w:tc>
          <w:tcPr>
            <w:tcW w:w="6099" w:type="dxa"/>
            <w:gridSpan w:val="2"/>
            <w:shd w:val="clear" w:color="auto" w:fill="auto"/>
            <w:vAlign w:val="center"/>
          </w:tcPr>
          <w:p w14:paraId="5ADDEB8C" w14:textId="77777777" w:rsidR="00A048FB" w:rsidRPr="00FD50F6" w:rsidRDefault="00A048FB" w:rsidP="00353026">
            <w:pPr>
              <w:pStyle w:val="7"/>
            </w:pPr>
            <w:r w:rsidRPr="00FD50F6">
              <w:rPr>
                <w:rFonts w:hint="eastAsia"/>
              </w:rPr>
              <w:t>名称</w:t>
            </w:r>
          </w:p>
        </w:tc>
        <w:tc>
          <w:tcPr>
            <w:tcW w:w="2203" w:type="dxa"/>
            <w:shd w:val="clear" w:color="auto" w:fill="auto"/>
            <w:vAlign w:val="center"/>
          </w:tcPr>
          <w:p w14:paraId="0EA23221" w14:textId="77777777" w:rsidR="00A048FB" w:rsidRPr="00FD50F6" w:rsidRDefault="00A048FB" w:rsidP="00353026">
            <w:pPr>
              <w:pStyle w:val="7"/>
            </w:pPr>
            <w:r w:rsidRPr="00FD50F6">
              <w:rPr>
                <w:rFonts w:hint="eastAsia"/>
              </w:rPr>
              <w:t>最小净宽（</w:t>
            </w:r>
            <w:r w:rsidRPr="00FD50F6">
              <w:t>m</w:t>
            </w:r>
            <w:r w:rsidRPr="00FD50F6">
              <w:rPr>
                <w:rFonts w:hint="eastAsia"/>
              </w:rPr>
              <w:t>）</w:t>
            </w:r>
          </w:p>
        </w:tc>
      </w:tr>
      <w:tr w:rsidR="00FD50F6" w:rsidRPr="00FD50F6" w14:paraId="623BDE15" w14:textId="77777777" w:rsidTr="008B1DD3">
        <w:trPr>
          <w:trHeight w:hRule="exact" w:val="340"/>
          <w:jc w:val="center"/>
        </w:trPr>
        <w:tc>
          <w:tcPr>
            <w:tcW w:w="6099" w:type="dxa"/>
            <w:gridSpan w:val="2"/>
            <w:shd w:val="clear" w:color="auto" w:fill="auto"/>
            <w:vAlign w:val="center"/>
          </w:tcPr>
          <w:p w14:paraId="19209BB7" w14:textId="77777777" w:rsidR="00A048FB" w:rsidRPr="00FD50F6" w:rsidRDefault="00A048FB" w:rsidP="00353026">
            <w:pPr>
              <w:pStyle w:val="7"/>
            </w:pPr>
            <w:r w:rsidRPr="00FD50F6">
              <w:rPr>
                <w:rFonts w:hint="eastAsia"/>
              </w:rPr>
              <w:t>岛式站台</w:t>
            </w:r>
          </w:p>
        </w:tc>
        <w:tc>
          <w:tcPr>
            <w:tcW w:w="2203" w:type="dxa"/>
            <w:shd w:val="clear" w:color="auto" w:fill="auto"/>
            <w:vAlign w:val="center"/>
          </w:tcPr>
          <w:p w14:paraId="130281D7" w14:textId="77777777" w:rsidR="00A048FB" w:rsidRPr="00FD50F6" w:rsidRDefault="00A048FB" w:rsidP="00353026">
            <w:pPr>
              <w:pStyle w:val="7"/>
            </w:pPr>
            <w:r w:rsidRPr="00FD50F6">
              <w:t>11</w:t>
            </w:r>
          </w:p>
        </w:tc>
      </w:tr>
      <w:tr w:rsidR="00FD50F6" w:rsidRPr="00FD50F6" w14:paraId="776978B4" w14:textId="77777777" w:rsidTr="008B1DD3">
        <w:trPr>
          <w:trHeight w:hRule="exact" w:val="340"/>
          <w:jc w:val="center"/>
        </w:trPr>
        <w:tc>
          <w:tcPr>
            <w:tcW w:w="6099" w:type="dxa"/>
            <w:gridSpan w:val="2"/>
            <w:shd w:val="clear" w:color="auto" w:fill="auto"/>
            <w:vAlign w:val="center"/>
          </w:tcPr>
          <w:p w14:paraId="2DC3C8B0" w14:textId="77777777" w:rsidR="00A048FB" w:rsidRPr="00FD50F6" w:rsidRDefault="00A048FB" w:rsidP="00353026">
            <w:pPr>
              <w:pStyle w:val="7"/>
            </w:pPr>
            <w:r w:rsidRPr="00FD50F6">
              <w:rPr>
                <w:rFonts w:hint="eastAsia"/>
              </w:rPr>
              <w:t>岛式站台的侧站台</w:t>
            </w:r>
          </w:p>
        </w:tc>
        <w:tc>
          <w:tcPr>
            <w:tcW w:w="2203" w:type="dxa"/>
            <w:shd w:val="clear" w:color="auto" w:fill="auto"/>
            <w:vAlign w:val="center"/>
          </w:tcPr>
          <w:p w14:paraId="4AF6C17B" w14:textId="77777777" w:rsidR="00A048FB" w:rsidRPr="00FD50F6" w:rsidRDefault="00A048FB" w:rsidP="00353026">
            <w:pPr>
              <w:pStyle w:val="7"/>
            </w:pPr>
            <w:r w:rsidRPr="00FD50F6">
              <w:t>2.5</w:t>
            </w:r>
          </w:p>
        </w:tc>
      </w:tr>
      <w:tr w:rsidR="00FD50F6" w:rsidRPr="00FD50F6" w14:paraId="4454DADE" w14:textId="77777777" w:rsidTr="008B1DD3">
        <w:trPr>
          <w:trHeight w:hRule="exact" w:val="340"/>
          <w:jc w:val="center"/>
        </w:trPr>
        <w:tc>
          <w:tcPr>
            <w:tcW w:w="6099" w:type="dxa"/>
            <w:gridSpan w:val="2"/>
            <w:shd w:val="clear" w:color="auto" w:fill="auto"/>
            <w:vAlign w:val="center"/>
          </w:tcPr>
          <w:p w14:paraId="2448763F" w14:textId="77777777" w:rsidR="00A048FB" w:rsidRPr="00FD50F6" w:rsidRDefault="00A048FB" w:rsidP="00353026">
            <w:pPr>
              <w:pStyle w:val="7"/>
            </w:pPr>
            <w:r w:rsidRPr="00FD50F6">
              <w:rPr>
                <w:rFonts w:hint="eastAsia"/>
              </w:rPr>
              <w:t>侧式站台（长向范围内平行侧站台设梯）的侧站台</w:t>
            </w:r>
          </w:p>
        </w:tc>
        <w:tc>
          <w:tcPr>
            <w:tcW w:w="2203" w:type="dxa"/>
            <w:shd w:val="clear" w:color="auto" w:fill="auto"/>
            <w:vAlign w:val="center"/>
          </w:tcPr>
          <w:p w14:paraId="0AED153F" w14:textId="77777777" w:rsidR="00A048FB" w:rsidRPr="00FD50F6" w:rsidRDefault="00A048FB" w:rsidP="00353026">
            <w:pPr>
              <w:pStyle w:val="7"/>
            </w:pPr>
            <w:r w:rsidRPr="00FD50F6">
              <w:t>2.5</w:t>
            </w:r>
          </w:p>
        </w:tc>
      </w:tr>
      <w:tr w:rsidR="00FD50F6" w:rsidRPr="00FD50F6" w14:paraId="203AA89D" w14:textId="77777777" w:rsidTr="008B1DD3">
        <w:trPr>
          <w:trHeight w:hRule="exact" w:val="340"/>
          <w:jc w:val="center"/>
        </w:trPr>
        <w:tc>
          <w:tcPr>
            <w:tcW w:w="6099" w:type="dxa"/>
            <w:gridSpan w:val="2"/>
            <w:shd w:val="clear" w:color="auto" w:fill="auto"/>
            <w:vAlign w:val="center"/>
          </w:tcPr>
          <w:p w14:paraId="065D4D58" w14:textId="77777777" w:rsidR="00A048FB" w:rsidRPr="00FD50F6" w:rsidRDefault="00A048FB" w:rsidP="00353026">
            <w:pPr>
              <w:pStyle w:val="7"/>
            </w:pPr>
            <w:r w:rsidRPr="00FD50F6">
              <w:rPr>
                <w:rFonts w:hint="eastAsia"/>
              </w:rPr>
              <w:t>侧式站台（垂直于侧站台开通道口设梯）的侧站台</w:t>
            </w:r>
          </w:p>
        </w:tc>
        <w:tc>
          <w:tcPr>
            <w:tcW w:w="2203" w:type="dxa"/>
            <w:shd w:val="clear" w:color="auto" w:fill="auto"/>
            <w:vAlign w:val="center"/>
          </w:tcPr>
          <w:p w14:paraId="446CE284" w14:textId="77777777" w:rsidR="00A048FB" w:rsidRPr="00FD50F6" w:rsidRDefault="00A048FB" w:rsidP="00353026">
            <w:pPr>
              <w:pStyle w:val="7"/>
            </w:pPr>
            <w:r w:rsidRPr="00FD50F6">
              <w:t>3.5</w:t>
            </w:r>
          </w:p>
        </w:tc>
      </w:tr>
      <w:tr w:rsidR="00FD50F6" w:rsidRPr="00FD50F6" w14:paraId="57DEEDF7" w14:textId="77777777" w:rsidTr="008B1DD3">
        <w:trPr>
          <w:trHeight w:val="506"/>
          <w:jc w:val="center"/>
        </w:trPr>
        <w:tc>
          <w:tcPr>
            <w:tcW w:w="2359" w:type="dxa"/>
            <w:vMerge w:val="restart"/>
            <w:shd w:val="clear" w:color="auto" w:fill="auto"/>
            <w:vAlign w:val="center"/>
          </w:tcPr>
          <w:p w14:paraId="05634D87" w14:textId="77777777" w:rsidR="00A048FB" w:rsidRPr="00FD50F6" w:rsidRDefault="00A048FB" w:rsidP="00353026">
            <w:pPr>
              <w:pStyle w:val="7"/>
            </w:pPr>
            <w:r w:rsidRPr="00FD50F6">
              <w:rPr>
                <w:rFonts w:hint="eastAsia"/>
              </w:rPr>
              <w:t>站台计算长度不超过</w:t>
            </w:r>
            <w:r w:rsidRPr="00FD50F6">
              <w:t>100m</w:t>
            </w:r>
            <w:r w:rsidRPr="00FD50F6">
              <w:rPr>
                <w:rFonts w:hint="eastAsia"/>
              </w:rPr>
              <w:t>且楼、扶梯不伸入站台计算长度内</w:t>
            </w:r>
          </w:p>
        </w:tc>
        <w:tc>
          <w:tcPr>
            <w:tcW w:w="3740" w:type="dxa"/>
            <w:shd w:val="clear" w:color="auto" w:fill="auto"/>
            <w:vAlign w:val="center"/>
          </w:tcPr>
          <w:p w14:paraId="4DA1FA40" w14:textId="77777777" w:rsidR="00A048FB" w:rsidRPr="00FD50F6" w:rsidRDefault="00A048FB" w:rsidP="00353026">
            <w:pPr>
              <w:pStyle w:val="7"/>
            </w:pPr>
            <w:r w:rsidRPr="00FD50F6">
              <w:rPr>
                <w:rFonts w:hint="eastAsia"/>
              </w:rPr>
              <w:t>岛式站台</w:t>
            </w:r>
          </w:p>
        </w:tc>
        <w:tc>
          <w:tcPr>
            <w:tcW w:w="2203" w:type="dxa"/>
            <w:shd w:val="clear" w:color="auto" w:fill="auto"/>
            <w:vAlign w:val="center"/>
          </w:tcPr>
          <w:p w14:paraId="5A0A4AA8" w14:textId="77777777" w:rsidR="00A048FB" w:rsidRPr="00FD50F6" w:rsidRDefault="00A048FB" w:rsidP="00353026">
            <w:pPr>
              <w:pStyle w:val="7"/>
            </w:pPr>
            <w:r w:rsidRPr="00FD50F6">
              <w:t>6.0</w:t>
            </w:r>
          </w:p>
        </w:tc>
      </w:tr>
      <w:tr w:rsidR="00FD50F6" w:rsidRPr="00FD50F6" w14:paraId="431B5AD9" w14:textId="77777777" w:rsidTr="008B1DD3">
        <w:trPr>
          <w:trHeight w:val="506"/>
          <w:jc w:val="center"/>
        </w:trPr>
        <w:tc>
          <w:tcPr>
            <w:tcW w:w="2359" w:type="dxa"/>
            <w:vMerge/>
            <w:tcBorders>
              <w:bottom w:val="single" w:sz="4" w:space="0" w:color="auto"/>
            </w:tcBorders>
            <w:shd w:val="clear" w:color="auto" w:fill="auto"/>
            <w:vAlign w:val="center"/>
          </w:tcPr>
          <w:p w14:paraId="1E5BFBE4" w14:textId="77777777" w:rsidR="00A048FB" w:rsidRPr="00FD50F6" w:rsidRDefault="00A048FB" w:rsidP="00353026">
            <w:pPr>
              <w:pStyle w:val="7"/>
            </w:pPr>
          </w:p>
        </w:tc>
        <w:tc>
          <w:tcPr>
            <w:tcW w:w="3740" w:type="dxa"/>
            <w:tcBorders>
              <w:bottom w:val="single" w:sz="4" w:space="0" w:color="auto"/>
            </w:tcBorders>
            <w:shd w:val="clear" w:color="auto" w:fill="auto"/>
            <w:vAlign w:val="center"/>
          </w:tcPr>
          <w:p w14:paraId="49DB2787" w14:textId="77777777" w:rsidR="00A048FB" w:rsidRPr="00FD50F6" w:rsidRDefault="00A048FB" w:rsidP="00353026">
            <w:pPr>
              <w:pStyle w:val="7"/>
            </w:pPr>
            <w:r w:rsidRPr="00FD50F6">
              <w:rPr>
                <w:rFonts w:hint="eastAsia"/>
              </w:rPr>
              <w:t>侧式站台</w:t>
            </w:r>
          </w:p>
        </w:tc>
        <w:tc>
          <w:tcPr>
            <w:tcW w:w="2203" w:type="dxa"/>
            <w:shd w:val="clear" w:color="auto" w:fill="auto"/>
            <w:vAlign w:val="center"/>
          </w:tcPr>
          <w:p w14:paraId="77884DBE" w14:textId="77777777" w:rsidR="00A048FB" w:rsidRPr="00FD50F6" w:rsidRDefault="00A048FB" w:rsidP="00353026">
            <w:pPr>
              <w:pStyle w:val="7"/>
            </w:pPr>
            <w:r w:rsidRPr="00FD50F6">
              <w:t>4.0</w:t>
            </w:r>
          </w:p>
        </w:tc>
      </w:tr>
      <w:tr w:rsidR="00FD50F6" w:rsidRPr="00FD50F6" w14:paraId="5E06715C" w14:textId="77777777" w:rsidTr="008B1DD3">
        <w:trPr>
          <w:trHeight w:hRule="exact" w:val="340"/>
          <w:jc w:val="center"/>
        </w:trPr>
        <w:tc>
          <w:tcPr>
            <w:tcW w:w="6099" w:type="dxa"/>
            <w:gridSpan w:val="2"/>
            <w:shd w:val="clear" w:color="auto" w:fill="auto"/>
            <w:vAlign w:val="center"/>
          </w:tcPr>
          <w:p w14:paraId="0B79152C" w14:textId="77777777" w:rsidR="00A048FB" w:rsidRPr="002B4508" w:rsidRDefault="00A048FB" w:rsidP="00353026">
            <w:pPr>
              <w:pStyle w:val="7"/>
            </w:pPr>
            <w:r w:rsidRPr="002B4508">
              <w:rPr>
                <w:rFonts w:hint="eastAsia"/>
              </w:rPr>
              <w:t>供乘客使用的通道或天桥</w:t>
            </w:r>
          </w:p>
        </w:tc>
        <w:tc>
          <w:tcPr>
            <w:tcW w:w="2203" w:type="dxa"/>
            <w:shd w:val="clear" w:color="auto" w:fill="auto"/>
            <w:vAlign w:val="center"/>
          </w:tcPr>
          <w:p w14:paraId="3F2DE066" w14:textId="77777777" w:rsidR="00A048FB" w:rsidRPr="00FD50F6" w:rsidRDefault="00A048FB" w:rsidP="00353026">
            <w:pPr>
              <w:pStyle w:val="7"/>
            </w:pPr>
            <w:r w:rsidRPr="00FD50F6">
              <w:t>2.4</w:t>
            </w:r>
          </w:p>
        </w:tc>
      </w:tr>
      <w:tr w:rsidR="00FD50F6" w:rsidRPr="00FD50F6" w14:paraId="5D8E62A0" w14:textId="77777777" w:rsidTr="008B1DD3">
        <w:trPr>
          <w:trHeight w:hRule="exact" w:val="340"/>
          <w:jc w:val="center"/>
        </w:trPr>
        <w:tc>
          <w:tcPr>
            <w:tcW w:w="6099" w:type="dxa"/>
            <w:gridSpan w:val="2"/>
            <w:shd w:val="clear" w:color="auto" w:fill="auto"/>
            <w:vAlign w:val="center"/>
          </w:tcPr>
          <w:p w14:paraId="3837BB20" w14:textId="34B1E34D" w:rsidR="00A048FB" w:rsidRPr="002B4508" w:rsidRDefault="00A048FB" w:rsidP="00353026">
            <w:pPr>
              <w:pStyle w:val="7"/>
            </w:pPr>
            <w:r w:rsidRPr="002B4508">
              <w:rPr>
                <w:rFonts w:hint="eastAsia"/>
              </w:rPr>
              <w:t>供乘客使用的通道或天桥（</w:t>
            </w:r>
            <w:bookmarkStart w:id="372" w:name="_Hlk70608319"/>
            <w:bookmarkStart w:id="373" w:name="OLE_LINK7"/>
            <w:r w:rsidRPr="002B4508">
              <w:rPr>
                <w:rFonts w:hint="eastAsia"/>
              </w:rPr>
              <w:t>设有</w:t>
            </w:r>
            <w:r w:rsidRPr="002B4508">
              <w:rPr>
                <w:rFonts w:hint="eastAsia"/>
              </w:rPr>
              <w:t>2</w:t>
            </w:r>
            <w:r w:rsidRPr="002B4508">
              <w:rPr>
                <w:rFonts w:hint="eastAsia"/>
              </w:rPr>
              <w:t>个及以上分支时</w:t>
            </w:r>
            <w:bookmarkEnd w:id="372"/>
            <w:bookmarkEnd w:id="373"/>
            <w:r w:rsidRPr="002B4508">
              <w:rPr>
                <w:rFonts w:hint="eastAsia"/>
              </w:rPr>
              <w:t>）</w:t>
            </w:r>
          </w:p>
        </w:tc>
        <w:tc>
          <w:tcPr>
            <w:tcW w:w="2203" w:type="dxa"/>
            <w:shd w:val="clear" w:color="auto" w:fill="auto"/>
            <w:vAlign w:val="center"/>
          </w:tcPr>
          <w:p w14:paraId="4D129942" w14:textId="77777777" w:rsidR="00A048FB" w:rsidRPr="00FD50F6" w:rsidRDefault="00A048FB" w:rsidP="00353026">
            <w:pPr>
              <w:pStyle w:val="7"/>
            </w:pPr>
            <w:r w:rsidRPr="00FD50F6">
              <w:t>4.0</w:t>
            </w:r>
          </w:p>
        </w:tc>
      </w:tr>
      <w:tr w:rsidR="00FD50F6" w:rsidRPr="00FD50F6" w14:paraId="20D13C78" w14:textId="77777777" w:rsidTr="008B1DD3">
        <w:trPr>
          <w:trHeight w:hRule="exact" w:val="340"/>
          <w:jc w:val="center"/>
        </w:trPr>
        <w:tc>
          <w:tcPr>
            <w:tcW w:w="6099" w:type="dxa"/>
            <w:gridSpan w:val="2"/>
            <w:shd w:val="clear" w:color="auto" w:fill="auto"/>
            <w:vAlign w:val="center"/>
          </w:tcPr>
          <w:p w14:paraId="3A6A724F" w14:textId="77777777" w:rsidR="00A048FB" w:rsidRPr="00FD50F6" w:rsidRDefault="00A048FB" w:rsidP="00353026">
            <w:pPr>
              <w:pStyle w:val="7"/>
            </w:pPr>
            <w:r w:rsidRPr="00FD50F6">
              <w:rPr>
                <w:rFonts w:hint="eastAsia"/>
              </w:rPr>
              <w:t>供乘客使用的单向楼梯（含区间疏散楼梯）</w:t>
            </w:r>
          </w:p>
        </w:tc>
        <w:tc>
          <w:tcPr>
            <w:tcW w:w="2203" w:type="dxa"/>
            <w:shd w:val="clear" w:color="auto" w:fill="auto"/>
            <w:vAlign w:val="center"/>
          </w:tcPr>
          <w:p w14:paraId="20B026E7" w14:textId="77777777" w:rsidR="00A048FB" w:rsidRPr="00FD50F6" w:rsidRDefault="00A048FB" w:rsidP="00353026">
            <w:pPr>
              <w:pStyle w:val="7"/>
            </w:pPr>
            <w:r w:rsidRPr="00FD50F6">
              <w:t>1.8</w:t>
            </w:r>
          </w:p>
        </w:tc>
      </w:tr>
      <w:tr w:rsidR="00FD50F6" w:rsidRPr="00FD50F6" w14:paraId="7D80C8A8" w14:textId="23EF7C42" w:rsidTr="008B1DD3">
        <w:trPr>
          <w:trHeight w:hRule="exact" w:val="340"/>
          <w:jc w:val="center"/>
        </w:trPr>
        <w:tc>
          <w:tcPr>
            <w:tcW w:w="6099" w:type="dxa"/>
            <w:gridSpan w:val="2"/>
            <w:shd w:val="clear" w:color="auto" w:fill="auto"/>
            <w:vAlign w:val="center"/>
          </w:tcPr>
          <w:p w14:paraId="4BFE0F20" w14:textId="02B43FA1" w:rsidR="001F5382" w:rsidRPr="00FD50F6" w:rsidRDefault="001F5382" w:rsidP="00353026">
            <w:pPr>
              <w:pStyle w:val="7"/>
            </w:pPr>
            <w:r w:rsidRPr="00FD50F6">
              <w:rPr>
                <w:rFonts w:hint="eastAsia"/>
              </w:rPr>
              <w:t>供乘客使用的单向楼梯（与上下行自动扶梯成组并行布置时）</w:t>
            </w:r>
          </w:p>
        </w:tc>
        <w:tc>
          <w:tcPr>
            <w:tcW w:w="2203" w:type="dxa"/>
            <w:shd w:val="clear" w:color="auto" w:fill="auto"/>
            <w:vAlign w:val="center"/>
          </w:tcPr>
          <w:p w14:paraId="6C972559" w14:textId="57F9C460" w:rsidR="001F5382" w:rsidRPr="00FD50F6" w:rsidRDefault="001F5382" w:rsidP="00353026">
            <w:pPr>
              <w:pStyle w:val="7"/>
            </w:pPr>
            <w:r w:rsidRPr="00FD50F6">
              <w:rPr>
                <w:rFonts w:hint="eastAsia"/>
              </w:rPr>
              <w:t>1.2</w:t>
            </w:r>
          </w:p>
        </w:tc>
      </w:tr>
      <w:tr w:rsidR="00FD50F6" w:rsidRPr="00FD50F6" w14:paraId="76B24F3E" w14:textId="77777777" w:rsidTr="008B1DD3">
        <w:trPr>
          <w:trHeight w:hRule="exact" w:val="340"/>
          <w:jc w:val="center"/>
        </w:trPr>
        <w:tc>
          <w:tcPr>
            <w:tcW w:w="6099" w:type="dxa"/>
            <w:gridSpan w:val="2"/>
            <w:shd w:val="clear" w:color="auto" w:fill="auto"/>
            <w:vAlign w:val="center"/>
          </w:tcPr>
          <w:p w14:paraId="16098530" w14:textId="77777777" w:rsidR="00A048FB" w:rsidRPr="00FD50F6" w:rsidRDefault="00A048FB" w:rsidP="00353026">
            <w:pPr>
              <w:pStyle w:val="7"/>
            </w:pPr>
            <w:r w:rsidRPr="00FD50F6">
              <w:rPr>
                <w:rFonts w:hint="eastAsia"/>
              </w:rPr>
              <w:t>供乘客使用的双向楼梯</w:t>
            </w:r>
          </w:p>
        </w:tc>
        <w:tc>
          <w:tcPr>
            <w:tcW w:w="2203" w:type="dxa"/>
            <w:shd w:val="clear" w:color="auto" w:fill="auto"/>
            <w:vAlign w:val="center"/>
          </w:tcPr>
          <w:p w14:paraId="064741C1" w14:textId="77777777" w:rsidR="00A048FB" w:rsidRPr="00FD50F6" w:rsidRDefault="00A048FB" w:rsidP="00353026">
            <w:pPr>
              <w:pStyle w:val="7"/>
            </w:pPr>
            <w:r w:rsidRPr="00FD50F6">
              <w:t>2.4</w:t>
            </w:r>
          </w:p>
        </w:tc>
      </w:tr>
      <w:tr w:rsidR="00FD50F6" w:rsidRPr="00FD50F6" w14:paraId="20B044E9" w14:textId="77777777" w:rsidTr="008B1DD3">
        <w:trPr>
          <w:trHeight w:hRule="exact" w:val="340"/>
          <w:jc w:val="center"/>
        </w:trPr>
        <w:tc>
          <w:tcPr>
            <w:tcW w:w="6099" w:type="dxa"/>
            <w:gridSpan w:val="2"/>
            <w:shd w:val="clear" w:color="auto" w:fill="auto"/>
            <w:vAlign w:val="center"/>
          </w:tcPr>
          <w:p w14:paraId="3196FE54" w14:textId="2221B911" w:rsidR="00A048FB" w:rsidRPr="00FD50F6" w:rsidRDefault="00A048FB" w:rsidP="00353026">
            <w:pPr>
              <w:pStyle w:val="7"/>
            </w:pPr>
            <w:r w:rsidRPr="00FD50F6">
              <w:rPr>
                <w:rFonts w:hint="eastAsia"/>
              </w:rPr>
              <w:t>与上、下行自动扶梯并列设置的楼梯</w:t>
            </w:r>
          </w:p>
        </w:tc>
        <w:tc>
          <w:tcPr>
            <w:tcW w:w="2203" w:type="dxa"/>
            <w:shd w:val="clear" w:color="auto" w:fill="auto"/>
            <w:vAlign w:val="center"/>
          </w:tcPr>
          <w:p w14:paraId="08A79949" w14:textId="77777777" w:rsidR="00A048FB" w:rsidRPr="00FD50F6" w:rsidRDefault="00A048FB" w:rsidP="00353026">
            <w:pPr>
              <w:pStyle w:val="7"/>
            </w:pPr>
            <w:r w:rsidRPr="00FD50F6">
              <w:t>1.4</w:t>
            </w:r>
          </w:p>
        </w:tc>
      </w:tr>
      <w:tr w:rsidR="00FD50F6" w:rsidRPr="00FD50F6" w14:paraId="20B860D3" w14:textId="77777777" w:rsidTr="008B1DD3">
        <w:trPr>
          <w:trHeight w:hRule="exact" w:val="340"/>
          <w:jc w:val="center"/>
        </w:trPr>
        <w:tc>
          <w:tcPr>
            <w:tcW w:w="6099" w:type="dxa"/>
            <w:gridSpan w:val="2"/>
            <w:shd w:val="clear" w:color="auto" w:fill="auto"/>
            <w:vAlign w:val="center"/>
          </w:tcPr>
          <w:p w14:paraId="25506BBF" w14:textId="030A0B3A" w:rsidR="00A048FB" w:rsidRPr="00FD50F6" w:rsidRDefault="00A048FB" w:rsidP="00353026">
            <w:pPr>
              <w:pStyle w:val="7"/>
            </w:pPr>
            <w:r w:rsidRPr="00FD50F6">
              <w:rPr>
                <w:rFonts w:hint="eastAsia"/>
              </w:rPr>
              <w:t>设备管理用房楼梯、消防楼梯</w:t>
            </w:r>
          </w:p>
        </w:tc>
        <w:tc>
          <w:tcPr>
            <w:tcW w:w="2203" w:type="dxa"/>
            <w:shd w:val="clear" w:color="auto" w:fill="auto"/>
            <w:vAlign w:val="center"/>
          </w:tcPr>
          <w:p w14:paraId="194254B5" w14:textId="77777777" w:rsidR="00A048FB" w:rsidRPr="00FD50F6" w:rsidRDefault="00A048FB" w:rsidP="00353026">
            <w:pPr>
              <w:pStyle w:val="7"/>
            </w:pPr>
            <w:r w:rsidRPr="00FD50F6">
              <w:t>1.2</w:t>
            </w:r>
          </w:p>
        </w:tc>
      </w:tr>
      <w:tr w:rsidR="00FD50F6" w:rsidRPr="00FD50F6" w14:paraId="55B05269" w14:textId="77777777" w:rsidTr="008B1DD3">
        <w:trPr>
          <w:trHeight w:hRule="exact" w:val="340"/>
          <w:jc w:val="center"/>
        </w:trPr>
        <w:tc>
          <w:tcPr>
            <w:tcW w:w="6099" w:type="dxa"/>
            <w:gridSpan w:val="2"/>
            <w:shd w:val="clear" w:color="auto" w:fill="auto"/>
            <w:vAlign w:val="center"/>
          </w:tcPr>
          <w:p w14:paraId="329C8A32" w14:textId="2906FFDD" w:rsidR="00DE78F8" w:rsidRPr="00FD50F6" w:rsidRDefault="00DE78F8" w:rsidP="00DE78F8">
            <w:pPr>
              <w:pStyle w:val="7"/>
            </w:pPr>
            <w:r w:rsidRPr="00FD50F6">
              <w:rPr>
                <w:rFonts w:hint="eastAsia"/>
              </w:rPr>
              <w:t>车站公共区的付费区与非付费区之间疏散门</w:t>
            </w:r>
          </w:p>
          <w:p w14:paraId="1B635A70" w14:textId="77777777" w:rsidR="00DE78F8" w:rsidRPr="00FD50F6" w:rsidRDefault="00DE78F8" w:rsidP="00353026">
            <w:pPr>
              <w:pStyle w:val="7"/>
            </w:pPr>
          </w:p>
        </w:tc>
        <w:tc>
          <w:tcPr>
            <w:tcW w:w="2203" w:type="dxa"/>
            <w:shd w:val="clear" w:color="auto" w:fill="auto"/>
            <w:vAlign w:val="center"/>
          </w:tcPr>
          <w:p w14:paraId="4D912E76" w14:textId="59ACCA8A" w:rsidR="00DE78F8" w:rsidRPr="00FD50F6" w:rsidRDefault="00DE78F8" w:rsidP="00353026">
            <w:pPr>
              <w:pStyle w:val="7"/>
            </w:pPr>
            <w:r w:rsidRPr="00FD50F6">
              <w:t>1.1</w:t>
            </w:r>
          </w:p>
        </w:tc>
      </w:tr>
      <w:tr w:rsidR="00FD50F6" w:rsidRPr="00FD50F6" w14:paraId="4DB621B5" w14:textId="77777777" w:rsidTr="008B1DD3">
        <w:trPr>
          <w:trHeight w:hRule="exact" w:val="340"/>
          <w:jc w:val="center"/>
        </w:trPr>
        <w:tc>
          <w:tcPr>
            <w:tcW w:w="6099" w:type="dxa"/>
            <w:gridSpan w:val="2"/>
            <w:shd w:val="clear" w:color="auto" w:fill="auto"/>
            <w:vAlign w:val="center"/>
          </w:tcPr>
          <w:p w14:paraId="5C67338D" w14:textId="6CF93240" w:rsidR="00A048FB" w:rsidRPr="00FD50F6" w:rsidRDefault="00A048FB" w:rsidP="00353026">
            <w:pPr>
              <w:pStyle w:val="7"/>
            </w:pPr>
            <w:bookmarkStart w:id="374" w:name="_Hlk75154896"/>
            <w:r w:rsidRPr="00FD50F6">
              <w:rPr>
                <w:rFonts w:hint="eastAsia"/>
              </w:rPr>
              <w:t>站台至轨道区的工作梯</w:t>
            </w:r>
            <w:bookmarkEnd w:id="374"/>
          </w:p>
        </w:tc>
        <w:tc>
          <w:tcPr>
            <w:tcW w:w="2203" w:type="dxa"/>
            <w:shd w:val="clear" w:color="auto" w:fill="auto"/>
            <w:vAlign w:val="center"/>
          </w:tcPr>
          <w:p w14:paraId="7E318B33" w14:textId="77777777" w:rsidR="00A048FB" w:rsidRPr="00FD50F6" w:rsidRDefault="00A048FB" w:rsidP="00353026">
            <w:pPr>
              <w:pStyle w:val="7"/>
            </w:pPr>
            <w:r w:rsidRPr="00FD50F6">
              <w:t>1.1</w:t>
            </w:r>
          </w:p>
        </w:tc>
      </w:tr>
    </w:tbl>
    <w:p w14:paraId="5F37F218" w14:textId="5C37D5E3" w:rsidR="00A048FB" w:rsidRPr="001A4CF3" w:rsidRDefault="00D024C5" w:rsidP="008B1DD3">
      <w:pPr>
        <w:pStyle w:val="7"/>
        <w:ind w:left="420" w:hangingChars="200" w:hanging="420"/>
        <w:jc w:val="left"/>
        <w:rPr>
          <w:rFonts w:ascii="宋体" w:hAnsi="宋体"/>
          <w:szCs w:val="21"/>
        </w:rPr>
      </w:pPr>
      <w:r w:rsidRPr="00FD50F6">
        <w:rPr>
          <w:rFonts w:ascii="宋体" w:hAnsi="宋体" w:hint="eastAsia"/>
          <w:szCs w:val="21"/>
        </w:rPr>
        <w:t>注：</w:t>
      </w:r>
      <w:r w:rsidRPr="001A4CF3">
        <w:rPr>
          <w:rFonts w:ascii="宋体" w:hAnsi="宋体" w:hint="eastAsia"/>
          <w:szCs w:val="21"/>
        </w:rPr>
        <w:t>本表中侧站台的净宽指站台结构边至站台公共区内柱面或墙面的装修完成面之间的宽度。</w:t>
      </w:r>
    </w:p>
    <w:p w14:paraId="004F7EA8" w14:textId="2F09B278" w:rsidR="00A048FB" w:rsidRPr="00FD50F6" w:rsidRDefault="00A048FB" w:rsidP="00A048FB">
      <w:pPr>
        <w:pStyle w:val="6"/>
        <w:rPr>
          <w:sz w:val="21"/>
          <w:szCs w:val="21"/>
        </w:rPr>
      </w:pPr>
      <w:r w:rsidRPr="00FD50F6">
        <w:rPr>
          <w:rFonts w:hint="eastAsia"/>
        </w:rPr>
        <w:t>表</w:t>
      </w:r>
      <w:r w:rsidR="008C6B9B" w:rsidRPr="00FD50F6">
        <w:t>10</w:t>
      </w:r>
      <w:r w:rsidRPr="00FD50F6">
        <w:t>.2.5-2</w:t>
      </w:r>
      <w:bookmarkStart w:id="375" w:name="_Hlk75154799"/>
      <w:r w:rsidRPr="00FD50F6">
        <w:rPr>
          <w:rFonts w:hint="eastAsia"/>
        </w:rPr>
        <w:t>车站各部位的最小净高</w:t>
      </w:r>
      <w:bookmarkEnd w:id="3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4"/>
        <w:gridCol w:w="1974"/>
      </w:tblGrid>
      <w:tr w:rsidR="00FD50F6" w:rsidRPr="00FD50F6" w14:paraId="32895D06" w14:textId="77777777" w:rsidTr="00353026">
        <w:trPr>
          <w:trHeight w:hRule="exact" w:val="340"/>
          <w:tblHeader/>
          <w:jc w:val="center"/>
        </w:trPr>
        <w:tc>
          <w:tcPr>
            <w:tcW w:w="6360" w:type="dxa"/>
            <w:shd w:val="clear" w:color="auto" w:fill="auto"/>
            <w:vAlign w:val="center"/>
          </w:tcPr>
          <w:p w14:paraId="04BA90C8" w14:textId="77777777" w:rsidR="00A048FB" w:rsidRPr="00FD50F6" w:rsidRDefault="00A048FB" w:rsidP="00353026">
            <w:pPr>
              <w:pStyle w:val="7"/>
            </w:pPr>
            <w:r w:rsidRPr="00FD50F6">
              <w:rPr>
                <w:rFonts w:hint="eastAsia"/>
              </w:rPr>
              <w:t>名称</w:t>
            </w:r>
          </w:p>
        </w:tc>
        <w:tc>
          <w:tcPr>
            <w:tcW w:w="1916" w:type="dxa"/>
            <w:shd w:val="clear" w:color="auto" w:fill="auto"/>
            <w:vAlign w:val="center"/>
          </w:tcPr>
          <w:p w14:paraId="04510069" w14:textId="77777777" w:rsidR="00A048FB" w:rsidRPr="00FD50F6" w:rsidRDefault="00A048FB" w:rsidP="00353026">
            <w:pPr>
              <w:pStyle w:val="7"/>
            </w:pPr>
            <w:r w:rsidRPr="00FD50F6">
              <w:rPr>
                <w:rFonts w:hint="eastAsia"/>
              </w:rPr>
              <w:t>最小净高（</w:t>
            </w:r>
            <w:r w:rsidRPr="00FD50F6">
              <w:t>m</w:t>
            </w:r>
            <w:r w:rsidRPr="00FD50F6">
              <w:rPr>
                <w:rFonts w:hint="eastAsia"/>
              </w:rPr>
              <w:t>）</w:t>
            </w:r>
          </w:p>
        </w:tc>
      </w:tr>
      <w:tr w:rsidR="00FD50F6" w:rsidRPr="00FD50F6" w14:paraId="3B922A52" w14:textId="77777777" w:rsidTr="00353026">
        <w:trPr>
          <w:trHeight w:hRule="exact" w:val="340"/>
          <w:jc w:val="center"/>
        </w:trPr>
        <w:tc>
          <w:tcPr>
            <w:tcW w:w="6360" w:type="dxa"/>
            <w:shd w:val="clear" w:color="auto" w:fill="auto"/>
            <w:vAlign w:val="center"/>
          </w:tcPr>
          <w:p w14:paraId="5AC28E88" w14:textId="77777777" w:rsidR="00A048FB" w:rsidRPr="00FD50F6" w:rsidRDefault="00A048FB" w:rsidP="00353026">
            <w:pPr>
              <w:pStyle w:val="7"/>
            </w:pPr>
            <w:r w:rsidRPr="00FD50F6">
              <w:rPr>
                <w:rFonts w:hint="eastAsia"/>
              </w:rPr>
              <w:t>地下车站站厅公共区</w:t>
            </w:r>
          </w:p>
        </w:tc>
        <w:tc>
          <w:tcPr>
            <w:tcW w:w="1916" w:type="dxa"/>
            <w:shd w:val="clear" w:color="auto" w:fill="auto"/>
            <w:vAlign w:val="center"/>
          </w:tcPr>
          <w:p w14:paraId="74E2CAFC" w14:textId="77777777" w:rsidR="00A048FB" w:rsidRPr="00FD50F6" w:rsidRDefault="00A048FB" w:rsidP="00353026">
            <w:pPr>
              <w:pStyle w:val="7"/>
            </w:pPr>
            <w:r w:rsidRPr="00FD50F6">
              <w:t>3.0</w:t>
            </w:r>
          </w:p>
        </w:tc>
      </w:tr>
      <w:tr w:rsidR="00FD50F6" w:rsidRPr="00FD50F6" w14:paraId="13F514DF" w14:textId="77777777" w:rsidTr="00353026">
        <w:trPr>
          <w:trHeight w:hRule="exact" w:val="340"/>
          <w:jc w:val="center"/>
        </w:trPr>
        <w:tc>
          <w:tcPr>
            <w:tcW w:w="6360" w:type="dxa"/>
            <w:shd w:val="clear" w:color="auto" w:fill="auto"/>
            <w:vAlign w:val="center"/>
          </w:tcPr>
          <w:p w14:paraId="716E6088" w14:textId="77777777" w:rsidR="00A048FB" w:rsidRPr="00FD50F6" w:rsidRDefault="00A048FB" w:rsidP="00353026">
            <w:pPr>
              <w:pStyle w:val="7"/>
            </w:pPr>
            <w:r w:rsidRPr="00FD50F6">
              <w:rPr>
                <w:rFonts w:hint="eastAsia"/>
              </w:rPr>
              <w:t>地下车站站台公共区</w:t>
            </w:r>
          </w:p>
        </w:tc>
        <w:tc>
          <w:tcPr>
            <w:tcW w:w="1916" w:type="dxa"/>
            <w:shd w:val="clear" w:color="auto" w:fill="auto"/>
            <w:vAlign w:val="center"/>
          </w:tcPr>
          <w:p w14:paraId="327A2BF5" w14:textId="77777777" w:rsidR="00A048FB" w:rsidRPr="00FD50F6" w:rsidRDefault="00A048FB" w:rsidP="00353026">
            <w:pPr>
              <w:pStyle w:val="7"/>
            </w:pPr>
            <w:r w:rsidRPr="00FD50F6">
              <w:t>3.0</w:t>
            </w:r>
          </w:p>
        </w:tc>
      </w:tr>
      <w:tr w:rsidR="00FD50F6" w:rsidRPr="00FD50F6" w14:paraId="330F21D3" w14:textId="77777777" w:rsidTr="00353026">
        <w:trPr>
          <w:trHeight w:hRule="exact" w:val="340"/>
          <w:jc w:val="center"/>
        </w:trPr>
        <w:tc>
          <w:tcPr>
            <w:tcW w:w="6360" w:type="dxa"/>
            <w:shd w:val="clear" w:color="auto" w:fill="auto"/>
            <w:vAlign w:val="center"/>
          </w:tcPr>
          <w:p w14:paraId="3C2E71B3" w14:textId="77777777" w:rsidR="00A048FB" w:rsidRPr="00FD50F6" w:rsidRDefault="00A048FB" w:rsidP="00353026">
            <w:pPr>
              <w:pStyle w:val="7"/>
            </w:pPr>
            <w:r w:rsidRPr="00FD50F6">
              <w:rPr>
                <w:rFonts w:hint="eastAsia"/>
              </w:rPr>
              <w:t>地上车站站厅梁下</w:t>
            </w:r>
          </w:p>
        </w:tc>
        <w:tc>
          <w:tcPr>
            <w:tcW w:w="1916" w:type="dxa"/>
            <w:shd w:val="clear" w:color="auto" w:fill="auto"/>
            <w:vAlign w:val="center"/>
          </w:tcPr>
          <w:p w14:paraId="5CCCACD4" w14:textId="77777777" w:rsidR="00A048FB" w:rsidRPr="00FD50F6" w:rsidRDefault="00A048FB" w:rsidP="00353026">
            <w:pPr>
              <w:pStyle w:val="7"/>
            </w:pPr>
            <w:r w:rsidRPr="00FD50F6">
              <w:t>2.8</w:t>
            </w:r>
          </w:p>
        </w:tc>
      </w:tr>
      <w:tr w:rsidR="00FD50F6" w:rsidRPr="00FD50F6" w14:paraId="3BADFCBC" w14:textId="77777777" w:rsidTr="00353026">
        <w:trPr>
          <w:trHeight w:hRule="exact" w:val="340"/>
          <w:jc w:val="center"/>
        </w:trPr>
        <w:tc>
          <w:tcPr>
            <w:tcW w:w="6360" w:type="dxa"/>
            <w:shd w:val="clear" w:color="auto" w:fill="auto"/>
            <w:vAlign w:val="center"/>
          </w:tcPr>
          <w:p w14:paraId="66916933" w14:textId="77777777" w:rsidR="00A048FB" w:rsidRPr="00FD50F6" w:rsidRDefault="00A048FB" w:rsidP="00353026">
            <w:pPr>
              <w:pStyle w:val="7"/>
            </w:pPr>
            <w:r w:rsidRPr="00FD50F6">
              <w:rPr>
                <w:rFonts w:hint="eastAsia"/>
              </w:rPr>
              <w:t>地上侧式车站站台外边缘风雨棚</w:t>
            </w:r>
          </w:p>
        </w:tc>
        <w:tc>
          <w:tcPr>
            <w:tcW w:w="1916" w:type="dxa"/>
            <w:shd w:val="clear" w:color="auto" w:fill="auto"/>
            <w:vAlign w:val="center"/>
          </w:tcPr>
          <w:p w14:paraId="737DC9A7" w14:textId="77777777" w:rsidR="00A048FB" w:rsidRPr="00FD50F6" w:rsidRDefault="00A048FB" w:rsidP="00353026">
            <w:pPr>
              <w:pStyle w:val="7"/>
            </w:pPr>
            <w:r w:rsidRPr="00FD50F6">
              <w:t>2.8</w:t>
            </w:r>
          </w:p>
        </w:tc>
      </w:tr>
      <w:tr w:rsidR="00FD50F6" w:rsidRPr="00FD50F6" w14:paraId="0AB5CFE4" w14:textId="77777777" w:rsidTr="00353026">
        <w:trPr>
          <w:trHeight w:hRule="exact" w:val="340"/>
          <w:jc w:val="center"/>
        </w:trPr>
        <w:tc>
          <w:tcPr>
            <w:tcW w:w="6360" w:type="dxa"/>
            <w:shd w:val="clear" w:color="auto" w:fill="auto"/>
            <w:vAlign w:val="center"/>
          </w:tcPr>
          <w:p w14:paraId="1CC595E3" w14:textId="77777777" w:rsidR="00A048FB" w:rsidRPr="00FD50F6" w:rsidRDefault="00A048FB" w:rsidP="00353026">
            <w:pPr>
              <w:pStyle w:val="7"/>
            </w:pPr>
            <w:r w:rsidRPr="00FD50F6">
              <w:rPr>
                <w:rFonts w:hint="eastAsia"/>
              </w:rPr>
              <w:t>内部管理用房</w:t>
            </w:r>
          </w:p>
        </w:tc>
        <w:tc>
          <w:tcPr>
            <w:tcW w:w="1916" w:type="dxa"/>
            <w:shd w:val="clear" w:color="auto" w:fill="auto"/>
            <w:vAlign w:val="center"/>
          </w:tcPr>
          <w:p w14:paraId="6313D3EB" w14:textId="77777777" w:rsidR="00A048FB" w:rsidRPr="00FD50F6" w:rsidRDefault="00A048FB" w:rsidP="00353026">
            <w:pPr>
              <w:pStyle w:val="7"/>
            </w:pPr>
            <w:r w:rsidRPr="00FD50F6">
              <w:t>2.5</w:t>
            </w:r>
          </w:p>
        </w:tc>
      </w:tr>
      <w:tr w:rsidR="00FD50F6" w:rsidRPr="00FD50F6" w14:paraId="725904CD" w14:textId="77777777" w:rsidTr="00174CEF">
        <w:trPr>
          <w:trHeight w:hRule="exact" w:val="340"/>
          <w:jc w:val="center"/>
        </w:trPr>
        <w:tc>
          <w:tcPr>
            <w:tcW w:w="6360" w:type="dxa"/>
            <w:shd w:val="clear" w:color="auto" w:fill="auto"/>
            <w:vAlign w:val="center"/>
          </w:tcPr>
          <w:p w14:paraId="7BF5186B" w14:textId="77777777" w:rsidR="00A048FB" w:rsidRPr="00FD50F6" w:rsidRDefault="00A048FB" w:rsidP="00353026">
            <w:pPr>
              <w:pStyle w:val="7"/>
            </w:pPr>
            <w:r w:rsidRPr="00FD50F6">
              <w:rPr>
                <w:rFonts w:hint="eastAsia"/>
              </w:rPr>
              <w:lastRenderedPageBreak/>
              <w:t>供乘客使用的通道或天桥（地饰面至吊顶面或雨棚垂直高度）</w:t>
            </w:r>
          </w:p>
        </w:tc>
        <w:tc>
          <w:tcPr>
            <w:tcW w:w="1916" w:type="dxa"/>
            <w:shd w:val="clear" w:color="auto" w:fill="auto"/>
            <w:vAlign w:val="center"/>
          </w:tcPr>
          <w:p w14:paraId="04B6C2BA" w14:textId="77777777" w:rsidR="00A048FB" w:rsidRPr="00FD50F6" w:rsidRDefault="00A048FB" w:rsidP="00353026">
            <w:pPr>
              <w:pStyle w:val="7"/>
            </w:pPr>
            <w:r w:rsidRPr="00FD50F6">
              <w:t>2.5</w:t>
            </w:r>
          </w:p>
        </w:tc>
      </w:tr>
      <w:tr w:rsidR="00FD50F6" w:rsidRPr="00FD50F6" w14:paraId="0A356689" w14:textId="77777777" w:rsidTr="00174CEF">
        <w:trPr>
          <w:trHeight w:hRule="exact" w:val="340"/>
          <w:jc w:val="center"/>
        </w:trPr>
        <w:tc>
          <w:tcPr>
            <w:tcW w:w="6360" w:type="dxa"/>
            <w:shd w:val="clear" w:color="auto" w:fill="auto"/>
            <w:vAlign w:val="center"/>
          </w:tcPr>
          <w:p w14:paraId="5C1A2541" w14:textId="77777777" w:rsidR="00A048FB" w:rsidRPr="00FD50F6" w:rsidRDefault="00A048FB" w:rsidP="00353026">
            <w:pPr>
              <w:pStyle w:val="7"/>
            </w:pPr>
            <w:r w:rsidRPr="00FD50F6">
              <w:rPr>
                <w:rFonts w:hint="eastAsia"/>
              </w:rPr>
              <w:t>公共区人行楼梯和自动扶梯（踏步前沿装饰面至吊顶）</w:t>
            </w:r>
          </w:p>
        </w:tc>
        <w:tc>
          <w:tcPr>
            <w:tcW w:w="1916" w:type="dxa"/>
            <w:shd w:val="clear" w:color="auto" w:fill="auto"/>
            <w:vAlign w:val="center"/>
          </w:tcPr>
          <w:p w14:paraId="72142752" w14:textId="77777777" w:rsidR="00A048FB" w:rsidRPr="00FD50F6" w:rsidRDefault="00A048FB" w:rsidP="00353026">
            <w:pPr>
              <w:pStyle w:val="7"/>
            </w:pPr>
            <w:r w:rsidRPr="00FD50F6">
              <w:t>2.4</w:t>
            </w:r>
          </w:p>
        </w:tc>
      </w:tr>
      <w:tr w:rsidR="00FD50F6" w:rsidRPr="00FD50F6" w14:paraId="01FD5136" w14:textId="77777777" w:rsidTr="00353026">
        <w:trPr>
          <w:trHeight w:hRule="exact" w:val="340"/>
          <w:jc w:val="center"/>
        </w:trPr>
        <w:tc>
          <w:tcPr>
            <w:tcW w:w="6360" w:type="dxa"/>
            <w:shd w:val="clear" w:color="auto" w:fill="auto"/>
            <w:vAlign w:val="center"/>
          </w:tcPr>
          <w:p w14:paraId="3DAB3F0E" w14:textId="77777777" w:rsidR="00A048FB" w:rsidRPr="00FD50F6" w:rsidRDefault="00A048FB" w:rsidP="00353026">
            <w:pPr>
              <w:pStyle w:val="7"/>
            </w:pPr>
            <w:r w:rsidRPr="00FD50F6">
              <w:rPr>
                <w:rFonts w:hint="eastAsia"/>
              </w:rPr>
              <w:t>设备管理用房楼梯、紧急疏散楼梯</w:t>
            </w:r>
          </w:p>
        </w:tc>
        <w:tc>
          <w:tcPr>
            <w:tcW w:w="1916" w:type="dxa"/>
            <w:shd w:val="clear" w:color="auto" w:fill="auto"/>
            <w:vAlign w:val="center"/>
          </w:tcPr>
          <w:p w14:paraId="6D9ED925" w14:textId="77777777" w:rsidR="00A048FB" w:rsidRPr="00FD50F6" w:rsidRDefault="00A048FB" w:rsidP="00353026">
            <w:pPr>
              <w:pStyle w:val="7"/>
            </w:pPr>
            <w:r w:rsidRPr="00FD50F6">
              <w:t>2.2</w:t>
            </w:r>
          </w:p>
        </w:tc>
      </w:tr>
      <w:tr w:rsidR="00FD50F6" w:rsidRPr="00FD50F6" w14:paraId="7E7DFE05" w14:textId="77777777" w:rsidTr="00353026">
        <w:trPr>
          <w:trHeight w:hRule="exact" w:val="340"/>
          <w:jc w:val="center"/>
        </w:trPr>
        <w:tc>
          <w:tcPr>
            <w:tcW w:w="6360" w:type="dxa"/>
            <w:shd w:val="clear" w:color="auto" w:fill="auto"/>
            <w:vAlign w:val="center"/>
          </w:tcPr>
          <w:p w14:paraId="6E214654" w14:textId="180B3D51" w:rsidR="00A048FB" w:rsidRPr="00FD50F6" w:rsidRDefault="00A048FB" w:rsidP="00353026">
            <w:pPr>
              <w:pStyle w:val="7"/>
            </w:pPr>
            <w:r w:rsidRPr="00FD50F6">
              <w:rPr>
                <w:rFonts w:hint="eastAsia"/>
              </w:rPr>
              <w:t>地下车站消防专用通道</w:t>
            </w:r>
            <w:r w:rsidR="00CF5A56" w:rsidRPr="00FD50F6">
              <w:rPr>
                <w:rFonts w:hint="eastAsia"/>
              </w:rPr>
              <w:t>/</w:t>
            </w:r>
            <w:r w:rsidR="00CF5A56" w:rsidRPr="00FD50F6">
              <w:rPr>
                <w:rFonts w:hint="eastAsia"/>
              </w:rPr>
              <w:t>安全出口</w:t>
            </w:r>
          </w:p>
        </w:tc>
        <w:tc>
          <w:tcPr>
            <w:tcW w:w="1916" w:type="dxa"/>
            <w:shd w:val="clear" w:color="auto" w:fill="auto"/>
            <w:vAlign w:val="center"/>
          </w:tcPr>
          <w:p w14:paraId="0D93E9D3" w14:textId="77777777" w:rsidR="00A048FB" w:rsidRPr="00FD50F6" w:rsidRDefault="00A048FB" w:rsidP="00353026">
            <w:pPr>
              <w:pStyle w:val="7"/>
            </w:pPr>
            <w:r w:rsidRPr="00FD50F6">
              <w:t>2.4</w:t>
            </w:r>
          </w:p>
        </w:tc>
      </w:tr>
      <w:tr w:rsidR="00FD50F6" w:rsidRPr="00FD50F6" w14:paraId="235A69A5" w14:textId="77777777" w:rsidTr="00174CEF">
        <w:trPr>
          <w:trHeight w:hRule="exact" w:val="340"/>
          <w:jc w:val="center"/>
        </w:trPr>
        <w:tc>
          <w:tcPr>
            <w:tcW w:w="6360" w:type="dxa"/>
            <w:shd w:val="clear" w:color="auto" w:fill="auto"/>
            <w:vAlign w:val="center"/>
          </w:tcPr>
          <w:p w14:paraId="4286F2C3" w14:textId="77777777" w:rsidR="00A048FB" w:rsidRPr="00FD50F6" w:rsidRDefault="00A048FB" w:rsidP="00353026">
            <w:pPr>
              <w:pStyle w:val="7"/>
            </w:pPr>
            <w:r w:rsidRPr="00FD50F6">
              <w:rPr>
                <w:rFonts w:hint="eastAsia"/>
              </w:rPr>
              <w:t>设备管理用房的房间门（除管道间门外）以及走道的疏散门</w:t>
            </w:r>
          </w:p>
        </w:tc>
        <w:tc>
          <w:tcPr>
            <w:tcW w:w="1916" w:type="dxa"/>
            <w:shd w:val="clear" w:color="auto" w:fill="auto"/>
            <w:vAlign w:val="center"/>
          </w:tcPr>
          <w:p w14:paraId="4E1C00E0" w14:textId="77777777" w:rsidR="00A048FB" w:rsidRPr="00FD50F6" w:rsidRDefault="00A048FB" w:rsidP="00353026">
            <w:pPr>
              <w:pStyle w:val="7"/>
            </w:pPr>
            <w:r w:rsidRPr="00FD50F6">
              <w:t>2.1</w:t>
            </w:r>
          </w:p>
        </w:tc>
      </w:tr>
      <w:bookmarkEnd w:id="370"/>
    </w:tbl>
    <w:p w14:paraId="5E93915E" w14:textId="77777777" w:rsidR="00A048FB" w:rsidRPr="00FD50F6" w:rsidRDefault="00A048FB" w:rsidP="001A4CF3">
      <w:pPr>
        <w:pStyle w:val="6"/>
        <w:jc w:val="both"/>
      </w:pPr>
    </w:p>
    <w:p w14:paraId="5E3CA65A" w14:textId="221081AF" w:rsidR="00A048FB" w:rsidRPr="00FD50F6" w:rsidRDefault="00A048FB" w:rsidP="00A048FB">
      <w:pPr>
        <w:pStyle w:val="30"/>
        <w:rPr>
          <w:b/>
        </w:rPr>
      </w:pPr>
      <w:r w:rsidRPr="00FD50F6">
        <w:rPr>
          <w:rFonts w:hint="eastAsia"/>
        </w:rPr>
        <w:t>车站服务设施的分类配置标准宜符合表</w:t>
      </w:r>
      <w:r w:rsidR="008C6B9B" w:rsidRPr="00FD50F6">
        <w:t>10</w:t>
      </w:r>
      <w:r w:rsidRPr="00FD50F6">
        <w:t>.2.6</w:t>
      </w:r>
      <w:r w:rsidRPr="00FD50F6">
        <w:rPr>
          <w:rFonts w:hint="eastAsia"/>
        </w:rPr>
        <w:t>的规定：</w:t>
      </w:r>
    </w:p>
    <w:p w14:paraId="57C6B76A" w14:textId="037CD6EE" w:rsidR="00A048FB" w:rsidRPr="00FD50F6" w:rsidRDefault="00A048FB" w:rsidP="00A048FB">
      <w:pPr>
        <w:pStyle w:val="6"/>
        <w:rPr>
          <w:sz w:val="21"/>
          <w:szCs w:val="21"/>
        </w:rPr>
      </w:pPr>
      <w:r w:rsidRPr="00FD50F6">
        <w:rPr>
          <w:rFonts w:hint="eastAsia"/>
        </w:rPr>
        <w:t>表</w:t>
      </w:r>
      <w:r w:rsidR="008C6B9B" w:rsidRPr="00FD50F6">
        <w:t>10</w:t>
      </w:r>
      <w:r w:rsidRPr="00FD50F6">
        <w:t>.2.6</w:t>
      </w:r>
      <w:r w:rsidRPr="00FD50F6">
        <w:rPr>
          <w:rFonts w:hint="eastAsia"/>
        </w:rPr>
        <w:t>不同类型车站服务设施的配置要求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492"/>
        <w:gridCol w:w="1134"/>
        <w:gridCol w:w="953"/>
        <w:gridCol w:w="812"/>
        <w:gridCol w:w="814"/>
        <w:gridCol w:w="812"/>
        <w:gridCol w:w="812"/>
        <w:gridCol w:w="815"/>
      </w:tblGrid>
      <w:tr w:rsidR="00FD50F6" w:rsidRPr="00FD50F6" w14:paraId="05A36D74" w14:textId="77777777" w:rsidTr="00607D91">
        <w:trPr>
          <w:trHeight w:val="20"/>
          <w:tblHeader/>
          <w:jc w:val="center"/>
        </w:trPr>
        <w:tc>
          <w:tcPr>
            <w:tcW w:w="1392" w:type="pct"/>
            <w:gridSpan w:val="2"/>
            <w:vMerge w:val="restart"/>
            <w:shd w:val="clear" w:color="auto" w:fill="auto"/>
            <w:vAlign w:val="center"/>
          </w:tcPr>
          <w:p w14:paraId="7D774CD9" w14:textId="77777777" w:rsidR="00A048FB" w:rsidRPr="00FD50F6" w:rsidRDefault="00A048FB" w:rsidP="00353026">
            <w:pPr>
              <w:pStyle w:val="7"/>
            </w:pPr>
            <w:r w:rsidRPr="00FD50F6">
              <w:rPr>
                <w:rFonts w:hint="eastAsia"/>
              </w:rPr>
              <w:t>车站类型</w:t>
            </w:r>
          </w:p>
        </w:tc>
        <w:tc>
          <w:tcPr>
            <w:tcW w:w="3608" w:type="pct"/>
            <w:gridSpan w:val="7"/>
            <w:shd w:val="clear" w:color="auto" w:fill="auto"/>
            <w:vAlign w:val="center"/>
          </w:tcPr>
          <w:p w14:paraId="64CC1DE3" w14:textId="674E1E55" w:rsidR="00A048FB" w:rsidRPr="00FD50F6" w:rsidRDefault="00A048FB" w:rsidP="00353026">
            <w:pPr>
              <w:pStyle w:val="7"/>
            </w:pPr>
            <w:r w:rsidRPr="00FD50F6">
              <w:rPr>
                <w:rFonts w:hint="eastAsia"/>
              </w:rPr>
              <w:t>车站服务设施</w:t>
            </w:r>
          </w:p>
        </w:tc>
      </w:tr>
      <w:tr w:rsidR="00FD50F6" w:rsidRPr="00FD50F6" w14:paraId="1804DB9B" w14:textId="77777777" w:rsidTr="00607D91">
        <w:trPr>
          <w:trHeight w:val="20"/>
          <w:tblHeader/>
          <w:jc w:val="center"/>
        </w:trPr>
        <w:tc>
          <w:tcPr>
            <w:tcW w:w="1392" w:type="pct"/>
            <w:gridSpan w:val="2"/>
            <w:vMerge/>
            <w:shd w:val="clear" w:color="auto" w:fill="auto"/>
            <w:vAlign w:val="center"/>
          </w:tcPr>
          <w:p w14:paraId="69AAA267" w14:textId="77777777" w:rsidR="00A048FB" w:rsidRPr="00FD50F6" w:rsidRDefault="00A048FB" w:rsidP="00353026">
            <w:pPr>
              <w:pStyle w:val="7"/>
            </w:pPr>
          </w:p>
        </w:tc>
        <w:tc>
          <w:tcPr>
            <w:tcW w:w="665" w:type="pct"/>
            <w:shd w:val="clear" w:color="auto" w:fill="auto"/>
            <w:vAlign w:val="center"/>
          </w:tcPr>
          <w:p w14:paraId="52252A26" w14:textId="77777777" w:rsidR="00A048FB" w:rsidRPr="00FD50F6" w:rsidRDefault="00A048FB" w:rsidP="00353026">
            <w:pPr>
              <w:pStyle w:val="7"/>
            </w:pPr>
            <w:r w:rsidRPr="00FD50F6">
              <w:rPr>
                <w:rFonts w:hint="eastAsia"/>
              </w:rPr>
              <w:t>公共卫生间</w:t>
            </w:r>
          </w:p>
        </w:tc>
        <w:tc>
          <w:tcPr>
            <w:tcW w:w="559" w:type="pct"/>
            <w:shd w:val="clear" w:color="auto" w:fill="auto"/>
            <w:vAlign w:val="center"/>
          </w:tcPr>
          <w:p w14:paraId="76CEE0BF" w14:textId="77777777" w:rsidR="00A048FB" w:rsidRPr="00FD50F6" w:rsidRDefault="00A048FB" w:rsidP="00353026">
            <w:pPr>
              <w:pStyle w:val="7"/>
            </w:pPr>
            <w:r w:rsidRPr="00FD50F6">
              <w:rPr>
                <w:rFonts w:hint="eastAsia"/>
              </w:rPr>
              <w:t>信息</w:t>
            </w:r>
          </w:p>
          <w:p w14:paraId="799103A2" w14:textId="77777777" w:rsidR="00A048FB" w:rsidRPr="00FD50F6" w:rsidRDefault="00A048FB" w:rsidP="00353026">
            <w:pPr>
              <w:pStyle w:val="7"/>
            </w:pPr>
            <w:r w:rsidRPr="00FD50F6">
              <w:rPr>
                <w:rFonts w:hint="eastAsia"/>
              </w:rPr>
              <w:t>咨询</w:t>
            </w:r>
          </w:p>
        </w:tc>
        <w:tc>
          <w:tcPr>
            <w:tcW w:w="476" w:type="pct"/>
            <w:shd w:val="clear" w:color="auto" w:fill="auto"/>
            <w:vAlign w:val="center"/>
          </w:tcPr>
          <w:p w14:paraId="4B454E9E" w14:textId="77777777" w:rsidR="00A048FB" w:rsidRPr="00FD50F6" w:rsidRDefault="00A048FB" w:rsidP="00353026">
            <w:pPr>
              <w:pStyle w:val="7"/>
            </w:pPr>
            <w:r w:rsidRPr="00FD50F6">
              <w:rPr>
                <w:rFonts w:hint="eastAsia"/>
              </w:rPr>
              <w:t>自助</w:t>
            </w:r>
          </w:p>
          <w:p w14:paraId="3CE5EB79" w14:textId="77777777" w:rsidR="00A048FB" w:rsidRPr="00FD50F6" w:rsidRDefault="00A048FB" w:rsidP="00353026">
            <w:pPr>
              <w:pStyle w:val="7"/>
            </w:pPr>
            <w:r w:rsidRPr="00FD50F6">
              <w:rPr>
                <w:rFonts w:hint="eastAsia"/>
              </w:rPr>
              <w:t>零售</w:t>
            </w:r>
          </w:p>
        </w:tc>
        <w:tc>
          <w:tcPr>
            <w:tcW w:w="477" w:type="pct"/>
            <w:shd w:val="clear" w:color="auto" w:fill="auto"/>
            <w:vAlign w:val="center"/>
          </w:tcPr>
          <w:p w14:paraId="5B876642" w14:textId="77777777" w:rsidR="00A048FB" w:rsidRPr="00FD50F6" w:rsidRDefault="00A048FB" w:rsidP="00353026">
            <w:pPr>
              <w:pStyle w:val="7"/>
            </w:pPr>
            <w:r w:rsidRPr="00FD50F6">
              <w:rPr>
                <w:rFonts w:hint="eastAsia"/>
              </w:rPr>
              <w:t>金融</w:t>
            </w:r>
          </w:p>
          <w:p w14:paraId="746AE1FE" w14:textId="77777777" w:rsidR="00A048FB" w:rsidRPr="00FD50F6" w:rsidRDefault="00A048FB" w:rsidP="00353026">
            <w:pPr>
              <w:pStyle w:val="7"/>
            </w:pPr>
            <w:r w:rsidRPr="00FD50F6">
              <w:rPr>
                <w:rFonts w:hint="eastAsia"/>
              </w:rPr>
              <w:t>便利</w:t>
            </w:r>
          </w:p>
        </w:tc>
        <w:tc>
          <w:tcPr>
            <w:tcW w:w="476" w:type="pct"/>
            <w:shd w:val="clear" w:color="auto" w:fill="auto"/>
            <w:vAlign w:val="center"/>
          </w:tcPr>
          <w:p w14:paraId="436CBC51" w14:textId="77777777" w:rsidR="00A048FB" w:rsidRPr="00FD50F6" w:rsidRDefault="00A048FB" w:rsidP="00353026">
            <w:pPr>
              <w:pStyle w:val="7"/>
            </w:pPr>
            <w:r w:rsidRPr="00FD50F6">
              <w:rPr>
                <w:rFonts w:hint="eastAsia"/>
              </w:rPr>
              <w:t>客服</w:t>
            </w:r>
          </w:p>
          <w:p w14:paraId="3D8150C2" w14:textId="77777777" w:rsidR="00A048FB" w:rsidRPr="00FD50F6" w:rsidRDefault="00A048FB" w:rsidP="00353026">
            <w:pPr>
              <w:pStyle w:val="7"/>
            </w:pPr>
            <w:r w:rsidRPr="00FD50F6">
              <w:rPr>
                <w:rFonts w:hint="eastAsia"/>
              </w:rPr>
              <w:t>中心</w:t>
            </w:r>
          </w:p>
        </w:tc>
        <w:tc>
          <w:tcPr>
            <w:tcW w:w="476" w:type="pct"/>
            <w:shd w:val="clear" w:color="auto" w:fill="auto"/>
            <w:vAlign w:val="center"/>
          </w:tcPr>
          <w:p w14:paraId="2503FA72" w14:textId="77777777" w:rsidR="00A048FB" w:rsidRPr="00FD50F6" w:rsidRDefault="00A048FB" w:rsidP="00353026">
            <w:pPr>
              <w:pStyle w:val="7"/>
            </w:pPr>
            <w:r w:rsidRPr="00FD50F6">
              <w:rPr>
                <w:rFonts w:hint="eastAsia"/>
              </w:rPr>
              <w:t>人工</w:t>
            </w:r>
          </w:p>
          <w:p w14:paraId="24ABA455" w14:textId="77777777" w:rsidR="00A048FB" w:rsidRPr="00FD50F6" w:rsidRDefault="00A048FB" w:rsidP="00353026">
            <w:pPr>
              <w:pStyle w:val="7"/>
            </w:pPr>
            <w:r w:rsidRPr="00FD50F6">
              <w:rPr>
                <w:rFonts w:hint="eastAsia"/>
              </w:rPr>
              <w:t>售票</w:t>
            </w:r>
          </w:p>
        </w:tc>
        <w:tc>
          <w:tcPr>
            <w:tcW w:w="477" w:type="pct"/>
            <w:shd w:val="clear" w:color="auto" w:fill="auto"/>
            <w:vAlign w:val="center"/>
          </w:tcPr>
          <w:p w14:paraId="1CAF9C1E" w14:textId="102D965C" w:rsidR="00A048FB" w:rsidRPr="00FD50F6" w:rsidRDefault="00A048FB" w:rsidP="00FF1D45">
            <w:pPr>
              <w:pStyle w:val="7"/>
            </w:pPr>
            <w:r w:rsidRPr="00FD50F6">
              <w:rPr>
                <w:rFonts w:hint="eastAsia"/>
              </w:rPr>
              <w:t>无障碍设施</w:t>
            </w:r>
          </w:p>
        </w:tc>
      </w:tr>
      <w:tr w:rsidR="00FD50F6" w:rsidRPr="00FD50F6" w14:paraId="7FD6A390" w14:textId="77777777" w:rsidTr="00607D91">
        <w:trPr>
          <w:trHeight w:val="20"/>
          <w:jc w:val="center"/>
        </w:trPr>
        <w:tc>
          <w:tcPr>
            <w:tcW w:w="1392" w:type="pct"/>
            <w:gridSpan w:val="2"/>
            <w:shd w:val="clear" w:color="auto" w:fill="auto"/>
            <w:vAlign w:val="center"/>
          </w:tcPr>
          <w:p w14:paraId="651848CC" w14:textId="77777777" w:rsidR="00A048FB" w:rsidRPr="00FD50F6" w:rsidRDefault="00A048FB" w:rsidP="001A4CF3">
            <w:pPr>
              <w:pStyle w:val="7"/>
              <w:jc w:val="both"/>
            </w:pPr>
            <w:r w:rsidRPr="00FD50F6">
              <w:t>A</w:t>
            </w:r>
            <w:r w:rsidRPr="00FD50F6">
              <w:rPr>
                <w:rFonts w:hint="eastAsia"/>
              </w:rPr>
              <w:t>类：对外城际交通枢纽站、近郊客运中心</w:t>
            </w:r>
          </w:p>
        </w:tc>
        <w:tc>
          <w:tcPr>
            <w:tcW w:w="665" w:type="pct"/>
            <w:shd w:val="clear" w:color="auto" w:fill="auto"/>
            <w:vAlign w:val="center"/>
          </w:tcPr>
          <w:p w14:paraId="6FAD96CB" w14:textId="77777777" w:rsidR="00A048FB" w:rsidRPr="00FD50F6" w:rsidRDefault="00A048FB" w:rsidP="00353026">
            <w:pPr>
              <w:pStyle w:val="7"/>
            </w:pPr>
            <w:r w:rsidRPr="00FD50F6">
              <w:rPr>
                <w:rFonts w:hint="eastAsia"/>
              </w:rPr>
              <w:t>增加厕位数量</w:t>
            </w:r>
          </w:p>
        </w:tc>
        <w:tc>
          <w:tcPr>
            <w:tcW w:w="559" w:type="pct"/>
            <w:shd w:val="clear" w:color="auto" w:fill="auto"/>
            <w:vAlign w:val="center"/>
          </w:tcPr>
          <w:p w14:paraId="717EDE08" w14:textId="77777777" w:rsidR="00A048FB" w:rsidRPr="00FD50F6" w:rsidRDefault="00A048FB" w:rsidP="00353026">
            <w:pPr>
              <w:pStyle w:val="7"/>
            </w:pPr>
            <w:r w:rsidRPr="00FD50F6">
              <w:rPr>
                <w:rFonts w:hint="eastAsia"/>
              </w:rPr>
              <w:t>应独立设置</w:t>
            </w:r>
          </w:p>
        </w:tc>
        <w:tc>
          <w:tcPr>
            <w:tcW w:w="476" w:type="pct"/>
            <w:shd w:val="clear" w:color="auto" w:fill="auto"/>
            <w:vAlign w:val="center"/>
          </w:tcPr>
          <w:p w14:paraId="2B18D583" w14:textId="77777777" w:rsidR="00A048FB" w:rsidRPr="00FD50F6" w:rsidRDefault="00A048FB" w:rsidP="00353026">
            <w:pPr>
              <w:pStyle w:val="7"/>
            </w:pPr>
            <w:r w:rsidRPr="00FD50F6">
              <w:rPr>
                <w:rFonts w:hint="eastAsia"/>
              </w:rPr>
              <w:t>应设</w:t>
            </w:r>
          </w:p>
        </w:tc>
        <w:tc>
          <w:tcPr>
            <w:tcW w:w="477" w:type="pct"/>
            <w:shd w:val="clear" w:color="auto" w:fill="auto"/>
            <w:vAlign w:val="center"/>
          </w:tcPr>
          <w:p w14:paraId="72C3DF20" w14:textId="77777777" w:rsidR="00A048FB" w:rsidRPr="00FD50F6" w:rsidRDefault="00A048FB" w:rsidP="00353026">
            <w:pPr>
              <w:pStyle w:val="7"/>
            </w:pPr>
            <w:r w:rsidRPr="00FD50F6">
              <w:rPr>
                <w:rFonts w:hint="eastAsia"/>
              </w:rPr>
              <w:t>应设</w:t>
            </w:r>
          </w:p>
        </w:tc>
        <w:tc>
          <w:tcPr>
            <w:tcW w:w="476" w:type="pct"/>
            <w:shd w:val="clear" w:color="auto" w:fill="auto"/>
            <w:vAlign w:val="center"/>
          </w:tcPr>
          <w:p w14:paraId="5F53B4FA" w14:textId="77777777" w:rsidR="00A048FB" w:rsidRPr="00FD50F6" w:rsidRDefault="00A048FB" w:rsidP="00353026">
            <w:pPr>
              <w:pStyle w:val="7"/>
            </w:pPr>
            <w:r w:rsidRPr="00FD50F6">
              <w:rPr>
                <w:rFonts w:hint="eastAsia"/>
              </w:rPr>
              <w:t>应设</w:t>
            </w:r>
          </w:p>
        </w:tc>
        <w:tc>
          <w:tcPr>
            <w:tcW w:w="476" w:type="pct"/>
            <w:shd w:val="clear" w:color="auto" w:fill="auto"/>
            <w:vAlign w:val="center"/>
          </w:tcPr>
          <w:p w14:paraId="2952B975" w14:textId="77777777" w:rsidR="00A048FB" w:rsidRPr="00FD50F6" w:rsidRDefault="00A048FB" w:rsidP="00353026">
            <w:pPr>
              <w:pStyle w:val="7"/>
            </w:pPr>
            <w:r w:rsidRPr="00FD50F6">
              <w:rPr>
                <w:rFonts w:hint="eastAsia"/>
              </w:rPr>
              <w:t>应设</w:t>
            </w:r>
          </w:p>
        </w:tc>
        <w:tc>
          <w:tcPr>
            <w:tcW w:w="477" w:type="pct"/>
            <w:shd w:val="clear" w:color="auto" w:fill="auto"/>
            <w:vAlign w:val="center"/>
          </w:tcPr>
          <w:p w14:paraId="65A180CA" w14:textId="77777777" w:rsidR="00A048FB" w:rsidRPr="00FD50F6" w:rsidRDefault="00A048FB" w:rsidP="00353026">
            <w:pPr>
              <w:pStyle w:val="7"/>
            </w:pPr>
            <w:r w:rsidRPr="00FD50F6">
              <w:rPr>
                <w:rFonts w:hint="eastAsia"/>
              </w:rPr>
              <w:t>应设</w:t>
            </w:r>
          </w:p>
        </w:tc>
      </w:tr>
      <w:tr w:rsidR="00FD50F6" w:rsidRPr="00FD50F6" w14:paraId="3918B5AF" w14:textId="77777777" w:rsidTr="00174CEF">
        <w:trPr>
          <w:trHeight w:val="20"/>
          <w:jc w:val="center"/>
        </w:trPr>
        <w:tc>
          <w:tcPr>
            <w:tcW w:w="518" w:type="pct"/>
            <w:vMerge w:val="restart"/>
            <w:shd w:val="clear" w:color="auto" w:fill="auto"/>
            <w:vAlign w:val="center"/>
          </w:tcPr>
          <w:p w14:paraId="29080B7A" w14:textId="350E4659" w:rsidR="00A048FB" w:rsidRPr="00FD50F6" w:rsidRDefault="00A048FB" w:rsidP="00353026">
            <w:pPr>
              <w:pStyle w:val="7"/>
              <w:jc w:val="both"/>
            </w:pPr>
            <w:r w:rsidRPr="00FD50F6">
              <w:t>B</w:t>
            </w:r>
            <w:r w:rsidRPr="00FD50F6">
              <w:rPr>
                <w:rFonts w:hint="eastAsia"/>
              </w:rPr>
              <w:t>类：</w:t>
            </w:r>
          </w:p>
        </w:tc>
        <w:tc>
          <w:tcPr>
            <w:tcW w:w="875" w:type="pct"/>
            <w:shd w:val="clear" w:color="auto" w:fill="auto"/>
            <w:vAlign w:val="center"/>
          </w:tcPr>
          <w:p w14:paraId="34AD06A3" w14:textId="77777777" w:rsidR="00A048FB" w:rsidRPr="00FD50F6" w:rsidRDefault="00A048FB" w:rsidP="001A4CF3">
            <w:pPr>
              <w:pStyle w:val="7"/>
              <w:jc w:val="both"/>
            </w:pPr>
            <w:r w:rsidRPr="00FD50F6">
              <w:rPr>
                <w:rFonts w:hint="eastAsia"/>
              </w:rPr>
              <w:t>大型商业购物中心</w:t>
            </w:r>
          </w:p>
        </w:tc>
        <w:tc>
          <w:tcPr>
            <w:tcW w:w="665" w:type="pct"/>
            <w:shd w:val="clear" w:color="auto" w:fill="auto"/>
            <w:vAlign w:val="center"/>
          </w:tcPr>
          <w:p w14:paraId="6CE46158" w14:textId="77777777" w:rsidR="00A048FB" w:rsidRPr="00FD50F6" w:rsidRDefault="00A048FB" w:rsidP="00353026">
            <w:pPr>
              <w:pStyle w:val="7"/>
            </w:pPr>
            <w:r w:rsidRPr="00FD50F6">
              <w:rPr>
                <w:rFonts w:hint="eastAsia"/>
              </w:rPr>
              <w:t>增加厕位数量</w:t>
            </w:r>
          </w:p>
        </w:tc>
        <w:tc>
          <w:tcPr>
            <w:tcW w:w="559" w:type="pct"/>
            <w:shd w:val="clear" w:color="auto" w:fill="auto"/>
            <w:vAlign w:val="center"/>
          </w:tcPr>
          <w:p w14:paraId="10776DC6" w14:textId="77777777" w:rsidR="00A048FB" w:rsidRPr="00FD50F6" w:rsidRDefault="00A048FB" w:rsidP="00353026">
            <w:pPr>
              <w:pStyle w:val="7"/>
            </w:pPr>
            <w:r w:rsidRPr="00FD50F6">
              <w:rPr>
                <w:rFonts w:hint="eastAsia"/>
              </w:rPr>
              <w:t>宜独立设置</w:t>
            </w:r>
          </w:p>
        </w:tc>
        <w:tc>
          <w:tcPr>
            <w:tcW w:w="476" w:type="pct"/>
            <w:shd w:val="clear" w:color="auto" w:fill="auto"/>
            <w:vAlign w:val="center"/>
          </w:tcPr>
          <w:p w14:paraId="50BB01B2" w14:textId="77777777" w:rsidR="00A048FB" w:rsidRPr="00FD50F6" w:rsidRDefault="00A048FB" w:rsidP="00353026">
            <w:pPr>
              <w:pStyle w:val="7"/>
            </w:pPr>
            <w:r w:rsidRPr="00FD50F6">
              <w:rPr>
                <w:rFonts w:hint="eastAsia"/>
              </w:rPr>
              <w:t>可不设</w:t>
            </w:r>
          </w:p>
        </w:tc>
        <w:tc>
          <w:tcPr>
            <w:tcW w:w="477" w:type="pct"/>
            <w:shd w:val="clear" w:color="auto" w:fill="auto"/>
            <w:vAlign w:val="center"/>
          </w:tcPr>
          <w:p w14:paraId="313CEF6B" w14:textId="77777777" w:rsidR="00A048FB" w:rsidRPr="00FD50F6" w:rsidRDefault="00A048FB" w:rsidP="00353026">
            <w:pPr>
              <w:pStyle w:val="7"/>
            </w:pPr>
            <w:r w:rsidRPr="00FD50F6">
              <w:rPr>
                <w:rFonts w:hint="eastAsia"/>
              </w:rPr>
              <w:t>可不设</w:t>
            </w:r>
          </w:p>
        </w:tc>
        <w:tc>
          <w:tcPr>
            <w:tcW w:w="476" w:type="pct"/>
            <w:shd w:val="clear" w:color="auto" w:fill="auto"/>
            <w:vAlign w:val="center"/>
          </w:tcPr>
          <w:p w14:paraId="09B9A8FA" w14:textId="77777777" w:rsidR="00A048FB" w:rsidRPr="00FD50F6" w:rsidRDefault="00A048FB" w:rsidP="00353026">
            <w:pPr>
              <w:pStyle w:val="7"/>
            </w:pPr>
            <w:r w:rsidRPr="00FD50F6">
              <w:rPr>
                <w:rFonts w:hint="eastAsia"/>
              </w:rPr>
              <w:t>宜设</w:t>
            </w:r>
          </w:p>
        </w:tc>
        <w:tc>
          <w:tcPr>
            <w:tcW w:w="476" w:type="pct"/>
            <w:shd w:val="clear" w:color="auto" w:fill="auto"/>
            <w:vAlign w:val="center"/>
          </w:tcPr>
          <w:p w14:paraId="32942EC7" w14:textId="77777777" w:rsidR="00A048FB" w:rsidRPr="00FD50F6" w:rsidRDefault="00A048FB" w:rsidP="00353026">
            <w:pPr>
              <w:pStyle w:val="7"/>
            </w:pPr>
            <w:r w:rsidRPr="00FD50F6">
              <w:rPr>
                <w:rFonts w:hint="eastAsia"/>
              </w:rPr>
              <w:t>应设</w:t>
            </w:r>
          </w:p>
        </w:tc>
        <w:tc>
          <w:tcPr>
            <w:tcW w:w="477" w:type="pct"/>
            <w:shd w:val="clear" w:color="auto" w:fill="auto"/>
            <w:vAlign w:val="center"/>
          </w:tcPr>
          <w:p w14:paraId="79D3455B" w14:textId="77777777" w:rsidR="00A048FB" w:rsidRPr="00FD50F6" w:rsidRDefault="00A048FB" w:rsidP="00353026">
            <w:pPr>
              <w:pStyle w:val="7"/>
            </w:pPr>
            <w:r w:rsidRPr="00FD50F6">
              <w:rPr>
                <w:rFonts w:hint="eastAsia"/>
              </w:rPr>
              <w:t>应设</w:t>
            </w:r>
          </w:p>
        </w:tc>
      </w:tr>
      <w:tr w:rsidR="00FD50F6" w:rsidRPr="00FD50F6" w14:paraId="58300762" w14:textId="77777777" w:rsidTr="00174CEF">
        <w:trPr>
          <w:trHeight w:val="20"/>
          <w:jc w:val="center"/>
        </w:trPr>
        <w:tc>
          <w:tcPr>
            <w:tcW w:w="518" w:type="pct"/>
            <w:vMerge/>
            <w:shd w:val="clear" w:color="auto" w:fill="auto"/>
            <w:vAlign w:val="center"/>
          </w:tcPr>
          <w:p w14:paraId="03FEDDB5" w14:textId="77777777" w:rsidR="00A048FB" w:rsidRPr="00FD50F6" w:rsidRDefault="00A048FB" w:rsidP="00353026">
            <w:pPr>
              <w:pStyle w:val="7"/>
              <w:jc w:val="both"/>
            </w:pPr>
          </w:p>
        </w:tc>
        <w:tc>
          <w:tcPr>
            <w:tcW w:w="875" w:type="pct"/>
            <w:shd w:val="clear" w:color="auto" w:fill="auto"/>
            <w:vAlign w:val="center"/>
          </w:tcPr>
          <w:p w14:paraId="638C2824" w14:textId="77777777" w:rsidR="00A048FB" w:rsidRPr="00FD50F6" w:rsidRDefault="00A048FB" w:rsidP="001A4CF3">
            <w:pPr>
              <w:pStyle w:val="7"/>
              <w:jc w:val="both"/>
            </w:pPr>
            <w:r w:rsidRPr="00FD50F6">
              <w:rPr>
                <w:rFonts w:hint="eastAsia"/>
              </w:rPr>
              <w:t>旅游观光</w:t>
            </w:r>
          </w:p>
        </w:tc>
        <w:tc>
          <w:tcPr>
            <w:tcW w:w="665" w:type="pct"/>
            <w:shd w:val="clear" w:color="auto" w:fill="auto"/>
            <w:vAlign w:val="center"/>
          </w:tcPr>
          <w:p w14:paraId="12ECE08C" w14:textId="77777777" w:rsidR="00A048FB" w:rsidRPr="00FD50F6" w:rsidRDefault="00A048FB" w:rsidP="00353026">
            <w:pPr>
              <w:pStyle w:val="7"/>
            </w:pPr>
            <w:r w:rsidRPr="00FD50F6">
              <w:rPr>
                <w:rFonts w:hint="eastAsia"/>
              </w:rPr>
              <w:t>增加厕位数量</w:t>
            </w:r>
          </w:p>
        </w:tc>
        <w:tc>
          <w:tcPr>
            <w:tcW w:w="559" w:type="pct"/>
            <w:shd w:val="clear" w:color="auto" w:fill="auto"/>
            <w:vAlign w:val="center"/>
          </w:tcPr>
          <w:p w14:paraId="246F0AD1" w14:textId="77777777" w:rsidR="00A048FB" w:rsidRPr="00FD50F6" w:rsidRDefault="00A048FB" w:rsidP="00353026">
            <w:pPr>
              <w:pStyle w:val="7"/>
            </w:pPr>
            <w:r w:rsidRPr="00FD50F6">
              <w:rPr>
                <w:rFonts w:hint="eastAsia"/>
              </w:rPr>
              <w:t>宜独立设置</w:t>
            </w:r>
          </w:p>
        </w:tc>
        <w:tc>
          <w:tcPr>
            <w:tcW w:w="476" w:type="pct"/>
            <w:shd w:val="clear" w:color="auto" w:fill="auto"/>
            <w:vAlign w:val="center"/>
          </w:tcPr>
          <w:p w14:paraId="52FEB0FE" w14:textId="77777777" w:rsidR="00A048FB" w:rsidRPr="00FD50F6" w:rsidRDefault="00A048FB" w:rsidP="00353026">
            <w:pPr>
              <w:pStyle w:val="7"/>
            </w:pPr>
            <w:r w:rsidRPr="00FD50F6">
              <w:rPr>
                <w:rFonts w:hint="eastAsia"/>
              </w:rPr>
              <w:t>宜设</w:t>
            </w:r>
          </w:p>
        </w:tc>
        <w:tc>
          <w:tcPr>
            <w:tcW w:w="477" w:type="pct"/>
            <w:shd w:val="clear" w:color="auto" w:fill="auto"/>
            <w:vAlign w:val="center"/>
          </w:tcPr>
          <w:p w14:paraId="0FD8DB8A" w14:textId="77777777" w:rsidR="00A048FB" w:rsidRPr="00FD50F6" w:rsidRDefault="00A048FB" w:rsidP="00353026">
            <w:pPr>
              <w:pStyle w:val="7"/>
            </w:pPr>
            <w:r w:rsidRPr="00FD50F6">
              <w:rPr>
                <w:rFonts w:hint="eastAsia"/>
              </w:rPr>
              <w:t>宜设</w:t>
            </w:r>
          </w:p>
        </w:tc>
        <w:tc>
          <w:tcPr>
            <w:tcW w:w="476" w:type="pct"/>
            <w:shd w:val="clear" w:color="auto" w:fill="auto"/>
            <w:vAlign w:val="center"/>
          </w:tcPr>
          <w:p w14:paraId="0D6AF9C1" w14:textId="77777777" w:rsidR="00A048FB" w:rsidRPr="00FD50F6" w:rsidRDefault="00A048FB" w:rsidP="00353026">
            <w:pPr>
              <w:pStyle w:val="7"/>
            </w:pPr>
            <w:r w:rsidRPr="00FD50F6">
              <w:rPr>
                <w:rFonts w:hint="eastAsia"/>
              </w:rPr>
              <w:t>应设</w:t>
            </w:r>
          </w:p>
        </w:tc>
        <w:tc>
          <w:tcPr>
            <w:tcW w:w="476" w:type="pct"/>
            <w:shd w:val="clear" w:color="auto" w:fill="auto"/>
            <w:vAlign w:val="center"/>
          </w:tcPr>
          <w:p w14:paraId="5BFC1291" w14:textId="77777777" w:rsidR="00A048FB" w:rsidRPr="00FD50F6" w:rsidRDefault="00A048FB" w:rsidP="00353026">
            <w:pPr>
              <w:pStyle w:val="7"/>
            </w:pPr>
            <w:r w:rsidRPr="00FD50F6">
              <w:rPr>
                <w:rFonts w:hint="eastAsia"/>
              </w:rPr>
              <w:t>应设</w:t>
            </w:r>
          </w:p>
        </w:tc>
        <w:tc>
          <w:tcPr>
            <w:tcW w:w="477" w:type="pct"/>
            <w:shd w:val="clear" w:color="auto" w:fill="auto"/>
            <w:vAlign w:val="center"/>
          </w:tcPr>
          <w:p w14:paraId="70611A04" w14:textId="77777777" w:rsidR="00A048FB" w:rsidRPr="00FD50F6" w:rsidRDefault="00A048FB" w:rsidP="00353026">
            <w:pPr>
              <w:pStyle w:val="7"/>
            </w:pPr>
            <w:r w:rsidRPr="00FD50F6">
              <w:rPr>
                <w:rFonts w:hint="eastAsia"/>
              </w:rPr>
              <w:t>应设</w:t>
            </w:r>
          </w:p>
        </w:tc>
      </w:tr>
      <w:tr w:rsidR="00FD50F6" w:rsidRPr="00FD50F6" w14:paraId="2F861280" w14:textId="77777777" w:rsidTr="00174CEF">
        <w:trPr>
          <w:trHeight w:val="20"/>
          <w:jc w:val="center"/>
        </w:trPr>
        <w:tc>
          <w:tcPr>
            <w:tcW w:w="518" w:type="pct"/>
            <w:vMerge/>
            <w:shd w:val="clear" w:color="auto" w:fill="auto"/>
            <w:vAlign w:val="center"/>
          </w:tcPr>
          <w:p w14:paraId="45982539" w14:textId="77777777" w:rsidR="00A048FB" w:rsidRPr="00FD50F6" w:rsidRDefault="00A048FB" w:rsidP="00353026">
            <w:pPr>
              <w:pStyle w:val="7"/>
              <w:jc w:val="both"/>
            </w:pPr>
          </w:p>
        </w:tc>
        <w:tc>
          <w:tcPr>
            <w:tcW w:w="875" w:type="pct"/>
            <w:shd w:val="clear" w:color="auto" w:fill="auto"/>
            <w:vAlign w:val="center"/>
          </w:tcPr>
          <w:p w14:paraId="78D8E7C0" w14:textId="77777777" w:rsidR="00A048FB" w:rsidRPr="00FD50F6" w:rsidRDefault="00A048FB" w:rsidP="001A4CF3">
            <w:pPr>
              <w:pStyle w:val="7"/>
              <w:jc w:val="both"/>
            </w:pPr>
            <w:r w:rsidRPr="00FD50F6">
              <w:rPr>
                <w:rFonts w:hint="eastAsia"/>
              </w:rPr>
              <w:t>体育场馆、会展中心</w:t>
            </w:r>
          </w:p>
        </w:tc>
        <w:tc>
          <w:tcPr>
            <w:tcW w:w="665" w:type="pct"/>
            <w:shd w:val="clear" w:color="auto" w:fill="auto"/>
            <w:vAlign w:val="center"/>
          </w:tcPr>
          <w:p w14:paraId="343FAE1B" w14:textId="77777777" w:rsidR="00A048FB" w:rsidRPr="00FD50F6" w:rsidRDefault="00A048FB" w:rsidP="00353026">
            <w:pPr>
              <w:pStyle w:val="7"/>
            </w:pPr>
            <w:r w:rsidRPr="00FD50F6">
              <w:rPr>
                <w:rFonts w:hint="eastAsia"/>
              </w:rPr>
              <w:t>增加厕位数量</w:t>
            </w:r>
          </w:p>
        </w:tc>
        <w:tc>
          <w:tcPr>
            <w:tcW w:w="559" w:type="pct"/>
            <w:shd w:val="clear" w:color="auto" w:fill="auto"/>
            <w:vAlign w:val="center"/>
          </w:tcPr>
          <w:p w14:paraId="0A07174E" w14:textId="7FAD8C1C" w:rsidR="00A048FB" w:rsidRPr="00FD50F6" w:rsidRDefault="00A048FB" w:rsidP="00353026">
            <w:pPr>
              <w:pStyle w:val="7"/>
            </w:pPr>
            <w:r w:rsidRPr="00FD50F6">
              <w:rPr>
                <w:rFonts w:hint="eastAsia"/>
              </w:rPr>
              <w:t>宜合设</w:t>
            </w:r>
          </w:p>
        </w:tc>
        <w:tc>
          <w:tcPr>
            <w:tcW w:w="476" w:type="pct"/>
            <w:shd w:val="clear" w:color="auto" w:fill="auto"/>
            <w:vAlign w:val="center"/>
          </w:tcPr>
          <w:p w14:paraId="4D15C87A" w14:textId="77777777" w:rsidR="00A048FB" w:rsidRPr="00FD50F6" w:rsidRDefault="00A048FB" w:rsidP="00353026">
            <w:pPr>
              <w:pStyle w:val="7"/>
            </w:pPr>
            <w:r w:rsidRPr="00FD50F6">
              <w:rPr>
                <w:rFonts w:hint="eastAsia"/>
              </w:rPr>
              <w:t>可不设</w:t>
            </w:r>
          </w:p>
        </w:tc>
        <w:tc>
          <w:tcPr>
            <w:tcW w:w="477" w:type="pct"/>
            <w:shd w:val="clear" w:color="auto" w:fill="auto"/>
            <w:vAlign w:val="center"/>
          </w:tcPr>
          <w:p w14:paraId="57B8D28D" w14:textId="77777777" w:rsidR="00A048FB" w:rsidRPr="00FD50F6" w:rsidRDefault="00A048FB" w:rsidP="00353026">
            <w:pPr>
              <w:pStyle w:val="7"/>
            </w:pPr>
            <w:r w:rsidRPr="00FD50F6">
              <w:rPr>
                <w:rFonts w:hint="eastAsia"/>
              </w:rPr>
              <w:t>可不设</w:t>
            </w:r>
          </w:p>
        </w:tc>
        <w:tc>
          <w:tcPr>
            <w:tcW w:w="476" w:type="pct"/>
            <w:shd w:val="clear" w:color="auto" w:fill="auto"/>
            <w:vAlign w:val="center"/>
          </w:tcPr>
          <w:p w14:paraId="68724A14" w14:textId="77777777" w:rsidR="00A048FB" w:rsidRPr="00FD50F6" w:rsidRDefault="00A048FB" w:rsidP="00353026">
            <w:pPr>
              <w:pStyle w:val="7"/>
            </w:pPr>
            <w:r w:rsidRPr="00FD50F6">
              <w:rPr>
                <w:rFonts w:hint="eastAsia"/>
              </w:rPr>
              <w:t>宜设</w:t>
            </w:r>
          </w:p>
        </w:tc>
        <w:tc>
          <w:tcPr>
            <w:tcW w:w="476" w:type="pct"/>
            <w:shd w:val="clear" w:color="auto" w:fill="auto"/>
            <w:vAlign w:val="center"/>
          </w:tcPr>
          <w:p w14:paraId="0390DFD3" w14:textId="3FE51A53" w:rsidR="00A048FB" w:rsidRPr="00FD50F6" w:rsidRDefault="00A048FB" w:rsidP="00353026">
            <w:pPr>
              <w:pStyle w:val="7"/>
            </w:pPr>
            <w:r w:rsidRPr="00FD50F6">
              <w:rPr>
                <w:rFonts w:hint="eastAsia"/>
              </w:rPr>
              <w:t>宜合设</w:t>
            </w:r>
          </w:p>
        </w:tc>
        <w:tc>
          <w:tcPr>
            <w:tcW w:w="477" w:type="pct"/>
            <w:shd w:val="clear" w:color="auto" w:fill="auto"/>
            <w:vAlign w:val="center"/>
          </w:tcPr>
          <w:p w14:paraId="67E74D1C" w14:textId="77777777" w:rsidR="00A048FB" w:rsidRPr="00FD50F6" w:rsidRDefault="00A048FB" w:rsidP="00353026">
            <w:pPr>
              <w:pStyle w:val="7"/>
            </w:pPr>
            <w:r w:rsidRPr="00FD50F6">
              <w:rPr>
                <w:rFonts w:hint="eastAsia"/>
              </w:rPr>
              <w:t>应设</w:t>
            </w:r>
          </w:p>
        </w:tc>
      </w:tr>
      <w:tr w:rsidR="00FD50F6" w:rsidRPr="00FD50F6" w14:paraId="570DF51E" w14:textId="77777777" w:rsidTr="00174CEF">
        <w:trPr>
          <w:trHeight w:val="20"/>
          <w:jc w:val="center"/>
        </w:trPr>
        <w:tc>
          <w:tcPr>
            <w:tcW w:w="1392" w:type="pct"/>
            <w:gridSpan w:val="2"/>
            <w:shd w:val="clear" w:color="auto" w:fill="auto"/>
            <w:vAlign w:val="center"/>
          </w:tcPr>
          <w:p w14:paraId="45807E7C" w14:textId="77777777" w:rsidR="00A048FB" w:rsidRPr="00FD50F6" w:rsidRDefault="00A048FB" w:rsidP="00353026">
            <w:pPr>
              <w:pStyle w:val="7"/>
              <w:jc w:val="both"/>
            </w:pPr>
            <w:r w:rsidRPr="00FD50F6">
              <w:t>C</w:t>
            </w:r>
            <w:r w:rsidRPr="00FD50F6">
              <w:rPr>
                <w:rFonts w:hint="eastAsia"/>
              </w:rPr>
              <w:t>类：普通通勤车站</w:t>
            </w:r>
          </w:p>
        </w:tc>
        <w:tc>
          <w:tcPr>
            <w:tcW w:w="665" w:type="pct"/>
            <w:shd w:val="clear" w:color="auto" w:fill="auto"/>
            <w:vAlign w:val="center"/>
          </w:tcPr>
          <w:p w14:paraId="6D81278C" w14:textId="77777777" w:rsidR="00A048FB" w:rsidRPr="00FD50F6" w:rsidRDefault="00A048FB" w:rsidP="00353026">
            <w:pPr>
              <w:pStyle w:val="7"/>
            </w:pPr>
            <w:r w:rsidRPr="00FD50F6">
              <w:rPr>
                <w:rFonts w:hint="eastAsia"/>
              </w:rPr>
              <w:t>应设</w:t>
            </w:r>
          </w:p>
        </w:tc>
        <w:tc>
          <w:tcPr>
            <w:tcW w:w="559" w:type="pct"/>
            <w:shd w:val="clear" w:color="auto" w:fill="auto"/>
            <w:vAlign w:val="center"/>
          </w:tcPr>
          <w:p w14:paraId="0ED71129" w14:textId="77777777" w:rsidR="00A048FB" w:rsidRPr="00FD50F6" w:rsidRDefault="00A048FB" w:rsidP="00353026">
            <w:pPr>
              <w:pStyle w:val="7"/>
            </w:pPr>
            <w:r w:rsidRPr="00FD50F6">
              <w:rPr>
                <w:rFonts w:hint="eastAsia"/>
              </w:rPr>
              <w:t>宜合设</w:t>
            </w:r>
          </w:p>
        </w:tc>
        <w:tc>
          <w:tcPr>
            <w:tcW w:w="476" w:type="pct"/>
            <w:shd w:val="clear" w:color="auto" w:fill="auto"/>
            <w:vAlign w:val="center"/>
          </w:tcPr>
          <w:p w14:paraId="6BBA0990" w14:textId="77777777" w:rsidR="00A048FB" w:rsidRPr="00FD50F6" w:rsidRDefault="00A048FB" w:rsidP="00353026">
            <w:pPr>
              <w:pStyle w:val="7"/>
            </w:pPr>
            <w:r w:rsidRPr="00FD50F6">
              <w:rPr>
                <w:rFonts w:hint="eastAsia"/>
              </w:rPr>
              <w:t>可不设</w:t>
            </w:r>
          </w:p>
        </w:tc>
        <w:tc>
          <w:tcPr>
            <w:tcW w:w="477" w:type="pct"/>
            <w:shd w:val="clear" w:color="auto" w:fill="auto"/>
            <w:vAlign w:val="center"/>
          </w:tcPr>
          <w:p w14:paraId="5B0DD7F1" w14:textId="77777777" w:rsidR="00A048FB" w:rsidRPr="00FD50F6" w:rsidRDefault="00A048FB" w:rsidP="00353026">
            <w:pPr>
              <w:pStyle w:val="7"/>
            </w:pPr>
            <w:r w:rsidRPr="00FD50F6">
              <w:rPr>
                <w:rFonts w:hint="eastAsia"/>
              </w:rPr>
              <w:t>可不设</w:t>
            </w:r>
          </w:p>
        </w:tc>
        <w:tc>
          <w:tcPr>
            <w:tcW w:w="476" w:type="pct"/>
            <w:shd w:val="clear" w:color="auto" w:fill="auto"/>
            <w:vAlign w:val="center"/>
          </w:tcPr>
          <w:p w14:paraId="3D22117E" w14:textId="77777777" w:rsidR="00A048FB" w:rsidRPr="00FD50F6" w:rsidRDefault="00A048FB" w:rsidP="00353026">
            <w:pPr>
              <w:pStyle w:val="7"/>
            </w:pPr>
            <w:r w:rsidRPr="00FD50F6">
              <w:rPr>
                <w:rFonts w:hint="eastAsia"/>
              </w:rPr>
              <w:t>宜设</w:t>
            </w:r>
          </w:p>
        </w:tc>
        <w:tc>
          <w:tcPr>
            <w:tcW w:w="476" w:type="pct"/>
            <w:shd w:val="clear" w:color="auto" w:fill="auto"/>
            <w:vAlign w:val="center"/>
          </w:tcPr>
          <w:p w14:paraId="5F05D98D" w14:textId="77777777" w:rsidR="00A048FB" w:rsidRPr="00FD50F6" w:rsidRDefault="00A048FB" w:rsidP="00353026">
            <w:pPr>
              <w:pStyle w:val="7"/>
            </w:pPr>
            <w:r w:rsidRPr="00FD50F6">
              <w:rPr>
                <w:rFonts w:hint="eastAsia"/>
              </w:rPr>
              <w:t>宜合设</w:t>
            </w:r>
          </w:p>
        </w:tc>
        <w:tc>
          <w:tcPr>
            <w:tcW w:w="477" w:type="pct"/>
            <w:shd w:val="clear" w:color="auto" w:fill="auto"/>
            <w:vAlign w:val="center"/>
          </w:tcPr>
          <w:p w14:paraId="7E77DAB3" w14:textId="77777777" w:rsidR="00A048FB" w:rsidRPr="00FD50F6" w:rsidRDefault="00A048FB" w:rsidP="00353026">
            <w:pPr>
              <w:pStyle w:val="7"/>
            </w:pPr>
            <w:r w:rsidRPr="00FD50F6">
              <w:rPr>
                <w:rFonts w:hint="eastAsia"/>
              </w:rPr>
              <w:t>应设</w:t>
            </w:r>
          </w:p>
        </w:tc>
      </w:tr>
    </w:tbl>
    <w:p w14:paraId="12AC709C" w14:textId="532FC608" w:rsidR="00A048FB" w:rsidRPr="00FD50F6" w:rsidRDefault="00A048FB" w:rsidP="00A048FB">
      <w:pPr>
        <w:pStyle w:val="30"/>
        <w:rPr>
          <w:b/>
        </w:rPr>
      </w:pPr>
      <w:bookmarkStart w:id="376" w:name="_Hlk52872800"/>
      <w:r w:rsidRPr="00FD50F6">
        <w:rPr>
          <w:rFonts w:hint="eastAsia"/>
        </w:rPr>
        <w:t>车站站台宽度应按下列公式计算，最小宽度应符合表</w:t>
      </w:r>
      <w:r w:rsidR="008C6B9B" w:rsidRPr="00FD50F6">
        <w:t>10</w:t>
      </w:r>
      <w:r w:rsidRPr="00FD50F6">
        <w:t>.2.5-1</w:t>
      </w:r>
      <w:r w:rsidRPr="00FD50F6">
        <w:rPr>
          <w:rFonts w:hint="eastAsia"/>
        </w:rPr>
        <w:t>的规定：</w:t>
      </w:r>
    </w:p>
    <w:p w14:paraId="7C68CF9C" w14:textId="05E39663" w:rsidR="00A048FB" w:rsidRPr="00FD50F6" w:rsidRDefault="00A048FB" w:rsidP="00A048FB">
      <w:pPr>
        <w:pStyle w:val="8"/>
        <w:ind w:firstLine="480"/>
      </w:pPr>
      <w:r w:rsidRPr="00FD50F6">
        <w:rPr>
          <w:rFonts w:hint="eastAsia"/>
        </w:rPr>
        <w:t>岛式站台宽度：</w:t>
      </w:r>
      <w:r w:rsidR="00C16E35" w:rsidRPr="00FD50F6">
        <w:rPr>
          <w:i/>
          <w:iCs/>
        </w:rPr>
        <w:t>B</w:t>
      </w:r>
      <w:r w:rsidR="00C16E35" w:rsidRPr="00FD50F6">
        <w:rPr>
          <w:i/>
          <w:iCs/>
          <w:vertAlign w:val="subscript"/>
        </w:rPr>
        <w:t>d</w:t>
      </w:r>
      <w:r w:rsidR="00C16E35" w:rsidRPr="00FD50F6">
        <w:rPr>
          <w:noProof/>
          <w:position w:val="-6"/>
          <w:sz w:val="21"/>
        </w:rPr>
        <w:t xml:space="preserve"> </w:t>
      </w:r>
      <w:r w:rsidR="00C16E35" w:rsidRPr="001A4CF3">
        <w:rPr>
          <w:i/>
          <w:iCs/>
        </w:rPr>
        <w:t>=</w:t>
      </w:r>
      <w:r w:rsidR="00C16E35" w:rsidRPr="001A4CF3">
        <w:t>2</w:t>
      </w:r>
      <w:r w:rsidR="003B12A7" w:rsidRPr="00FD50F6">
        <w:rPr>
          <w:i/>
          <w:iCs/>
        </w:rPr>
        <w:t>b</w:t>
      </w:r>
      <w:r w:rsidR="003B12A7" w:rsidRPr="001A4CF3">
        <w:rPr>
          <w:i/>
          <w:iCs/>
          <w:vertAlign w:val="subscript"/>
        </w:rPr>
        <w:t>c</w:t>
      </w:r>
      <w:r w:rsidR="003B12A7" w:rsidRPr="00FD50F6">
        <w:rPr>
          <w:i/>
          <w:iCs/>
        </w:rPr>
        <w:t>+d+b</w:t>
      </w:r>
      <w:r w:rsidR="003B12A7" w:rsidRPr="001A4CF3">
        <w:rPr>
          <w:i/>
          <w:iCs/>
          <w:vertAlign w:val="subscript"/>
        </w:rPr>
        <w:t>t</w:t>
      </w:r>
      <w:r w:rsidR="003B12A7" w:rsidRPr="00FD50F6">
        <w:rPr>
          <w:rFonts w:cs="Times New Roman"/>
        </w:rPr>
        <w:t xml:space="preserve">                          </w:t>
      </w:r>
      <w:r w:rsidRPr="00FD50F6">
        <w:t xml:space="preserve"> </w:t>
      </w:r>
      <w:bookmarkStart w:id="377" w:name="_Hlk25139137"/>
      <w:r w:rsidRPr="00FD50F6">
        <w:t>(</w:t>
      </w:r>
      <w:r w:rsidR="008C6B9B" w:rsidRPr="00FD50F6">
        <w:t>10</w:t>
      </w:r>
      <w:r w:rsidRPr="00FD50F6">
        <w:t>.2.7-1)</w:t>
      </w:r>
      <w:bookmarkEnd w:id="377"/>
    </w:p>
    <w:p w14:paraId="5BF183B0" w14:textId="2C02DAFC" w:rsidR="00A048FB" w:rsidRPr="00FD50F6" w:rsidRDefault="00A048FB" w:rsidP="00A048FB">
      <w:pPr>
        <w:pStyle w:val="8"/>
        <w:ind w:firstLine="480"/>
      </w:pPr>
      <w:r w:rsidRPr="00FD50F6">
        <w:rPr>
          <w:rFonts w:hint="eastAsia"/>
        </w:rPr>
        <w:t>侧式站台宽度：</w:t>
      </w:r>
      <w:r w:rsidR="003B12A7" w:rsidRPr="00FD50F6">
        <w:rPr>
          <w:i/>
          <w:iCs/>
        </w:rPr>
        <w:t>B</w:t>
      </w:r>
      <w:r w:rsidR="003B12A7" w:rsidRPr="00FD50F6">
        <w:rPr>
          <w:i/>
          <w:iCs/>
          <w:vertAlign w:val="subscript"/>
        </w:rPr>
        <w:t>c</w:t>
      </w:r>
      <w:r w:rsidR="003B12A7" w:rsidRPr="00FD50F6">
        <w:rPr>
          <w:noProof/>
          <w:position w:val="-6"/>
          <w:sz w:val="21"/>
        </w:rPr>
        <w:t xml:space="preserve"> </w:t>
      </w:r>
      <w:r w:rsidR="003B12A7" w:rsidRPr="00FD50F6">
        <w:rPr>
          <w:i/>
          <w:iCs/>
        </w:rPr>
        <w:t>=  b</w:t>
      </w:r>
      <w:r w:rsidR="003B12A7" w:rsidRPr="00FD50F6">
        <w:rPr>
          <w:i/>
          <w:iCs/>
          <w:vertAlign w:val="subscript"/>
        </w:rPr>
        <w:t>c</w:t>
      </w:r>
      <w:r w:rsidR="003B12A7" w:rsidRPr="00FD50F6">
        <w:rPr>
          <w:i/>
          <w:iCs/>
        </w:rPr>
        <w:t>+d+b</w:t>
      </w:r>
      <w:r w:rsidR="003B12A7" w:rsidRPr="00FD50F6">
        <w:rPr>
          <w:i/>
          <w:iCs/>
          <w:vertAlign w:val="subscript"/>
        </w:rPr>
        <w:t>t</w:t>
      </w:r>
      <w:r w:rsidR="003B12A7" w:rsidRPr="00FD50F6">
        <w:rPr>
          <w:rFonts w:cs="Times New Roman"/>
        </w:rPr>
        <w:t xml:space="preserve">                        </w:t>
      </w:r>
      <w:r w:rsidRPr="00FD50F6">
        <w:t xml:space="preserve">   (</w:t>
      </w:r>
      <w:r w:rsidR="008C6B9B" w:rsidRPr="00FD50F6">
        <w:t>10</w:t>
      </w:r>
      <w:r w:rsidRPr="00FD50F6">
        <w:t>.2.7-2)</w:t>
      </w:r>
    </w:p>
    <w:p w14:paraId="5B55E60E" w14:textId="43768B69" w:rsidR="00A048FB" w:rsidRPr="00FD50F6" w:rsidRDefault="00BF2787" w:rsidP="00A048FB">
      <w:pPr>
        <w:jc w:val="center"/>
        <w:rPr>
          <w:rFonts w:ascii="Times New Roman" w:hAnsi="Times New Roman" w:cs="Times New Roman"/>
          <w:szCs w:val="24"/>
        </w:rPr>
      </w:pPr>
      <m:oMath>
        <m:sSub>
          <m:sSubPr>
            <m:ctrlPr>
              <w:rPr>
                <w:rFonts w:ascii="Cambria Math" w:hAnsi="Cambria Math"/>
                <w:i/>
                <w:iCs/>
                <w:vertAlign w:val="subscript"/>
              </w:rPr>
            </m:ctrlPr>
          </m:sSubPr>
          <m:e>
            <m:r>
              <w:rPr>
                <w:rFonts w:ascii="Cambria Math" w:hAnsi="Cambria Math"/>
                <w:vertAlign w:val="subscript"/>
              </w:rPr>
              <m:t>b</m:t>
            </m:r>
          </m:e>
          <m:sub>
            <m:r>
              <w:rPr>
                <w:rFonts w:ascii="Cambria Math" w:hAnsi="Cambria Math"/>
                <w:vertAlign w:val="subscript"/>
              </w:rPr>
              <m:t>c</m:t>
            </m:r>
          </m:sub>
        </m:sSub>
        <m:r>
          <w:rPr>
            <w:rFonts w:ascii="Cambria Math" w:hAnsi="Cambria Math"/>
            <w:vertAlign w:val="subscript"/>
          </w:rPr>
          <m:t>=</m:t>
        </m:r>
        <m:f>
          <m:fPr>
            <m:ctrlPr>
              <w:rPr>
                <w:rFonts w:ascii="Cambria Math" w:hAnsi="Cambria Math" w:cs="Times New Roman"/>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hint="eastAsia"/>
                    <w:szCs w:val="24"/>
                  </w:rPr>
                  <m:t>上下</m:t>
                </m:r>
              </m:sub>
            </m:sSub>
            <m:ctrlPr>
              <w:rPr>
                <w:rFonts w:ascii="Cambria Math" w:hAnsi="Cambria Math" w:cs="Times New Roman"/>
                <w:i/>
                <w:szCs w:val="24"/>
              </w:rPr>
            </m:ctrlPr>
          </m:num>
          <m:den>
            <m:r>
              <w:rPr>
                <w:rFonts w:ascii="Cambria Math" w:hAnsi="Cambria Math" w:cs="Times New Roman" w:hint="eastAsia"/>
                <w:szCs w:val="24"/>
              </w:rPr>
              <m:t>L</m:t>
            </m:r>
            <m:r>
              <w:rPr>
                <w:rFonts w:ascii="Cambria Math" w:hAnsi="Cambria Math" w:cs="Times New Roman"/>
                <w:szCs w:val="24"/>
              </w:rPr>
              <m:t>×ρ</m:t>
            </m:r>
          </m:den>
        </m:f>
        <m:r>
          <w:rPr>
            <w:rFonts w:ascii="Cambria Math" w:hAnsi="Cambria Math" w:cs="Times New Roman" w:hint="eastAsia"/>
            <w:szCs w:val="24"/>
          </w:rPr>
          <m:t>+M</m:t>
        </m:r>
      </m:oMath>
      <w:r w:rsidR="00A048FB" w:rsidRPr="00FD50F6">
        <w:rPr>
          <w:rFonts w:ascii="Times New Roman" w:hAnsi="Times New Roman" w:cs="Times New Roman"/>
        </w:rPr>
        <w:t xml:space="preserve">                         (</w:t>
      </w:r>
      <w:r w:rsidR="008C6B9B" w:rsidRPr="00FD50F6">
        <w:rPr>
          <w:rFonts w:ascii="Times New Roman" w:hAnsi="Times New Roman" w:cs="Times New Roman"/>
        </w:rPr>
        <w:t>10</w:t>
      </w:r>
      <w:r w:rsidR="00A048FB" w:rsidRPr="00FD50F6">
        <w:rPr>
          <w:rFonts w:ascii="Times New Roman" w:hAnsi="Times New Roman" w:cs="Times New Roman"/>
        </w:rPr>
        <w:t>.2.7-3)</w:t>
      </w:r>
    </w:p>
    <w:p w14:paraId="09678F3D" w14:textId="77777777" w:rsidR="00A048FB" w:rsidRPr="00FD50F6" w:rsidRDefault="00A048FB" w:rsidP="001A4CF3">
      <w:pPr>
        <w:pStyle w:val="8"/>
        <w:ind w:firstLineChars="0" w:firstLine="0"/>
      </w:pPr>
      <w:r w:rsidRPr="00FD50F6">
        <w:rPr>
          <w:rFonts w:hint="eastAsia"/>
        </w:rPr>
        <w:t>式中：</w:t>
      </w:r>
      <w:r w:rsidRPr="00FD50F6">
        <w:tab/>
      </w:r>
      <w:r w:rsidRPr="00FD50F6">
        <w:rPr>
          <w:i/>
          <w:iCs/>
        </w:rPr>
        <w:t>B</w:t>
      </w:r>
      <w:r w:rsidRPr="00FD50F6">
        <w:rPr>
          <w:i/>
          <w:iCs/>
          <w:vertAlign w:val="subscript"/>
        </w:rPr>
        <w:t>d</w:t>
      </w:r>
      <w:r w:rsidRPr="00FD50F6">
        <w:t>——</w:t>
      </w:r>
      <w:r w:rsidRPr="00FD50F6">
        <w:rPr>
          <w:rFonts w:hint="eastAsia"/>
        </w:rPr>
        <w:t>岛式站台宽度（</w:t>
      </w:r>
      <w:r w:rsidRPr="00FD50F6">
        <w:t>m</w:t>
      </w:r>
      <w:r w:rsidRPr="00FD50F6">
        <w:rPr>
          <w:rFonts w:hint="eastAsia"/>
        </w:rPr>
        <w:t>）；</w:t>
      </w:r>
    </w:p>
    <w:p w14:paraId="64EEDD11" w14:textId="35CF134C" w:rsidR="00A048FB" w:rsidRPr="00FD50F6" w:rsidRDefault="00A048FB" w:rsidP="00A048FB">
      <w:pPr>
        <w:pStyle w:val="8"/>
        <w:ind w:firstLine="480"/>
      </w:pPr>
      <w:r w:rsidRPr="00FD50F6">
        <w:tab/>
      </w:r>
      <w:r w:rsidRPr="00FD50F6">
        <w:rPr>
          <w:i/>
          <w:iCs/>
        </w:rPr>
        <w:t>B</w:t>
      </w:r>
      <w:r w:rsidRPr="00FD50F6">
        <w:rPr>
          <w:i/>
          <w:iCs/>
          <w:vertAlign w:val="subscript"/>
        </w:rPr>
        <w:t>c</w:t>
      </w:r>
      <w:r w:rsidRPr="00FD50F6">
        <w:t>——</w:t>
      </w:r>
      <w:r w:rsidRPr="00FD50F6">
        <w:rPr>
          <w:rFonts w:hint="eastAsia"/>
        </w:rPr>
        <w:t>侧式站台宽度（</w:t>
      </w:r>
      <w:r w:rsidRPr="00FD50F6">
        <w:t>m</w:t>
      </w:r>
      <w:r w:rsidRPr="00FD50F6">
        <w:rPr>
          <w:rFonts w:hint="eastAsia"/>
        </w:rPr>
        <w:t>）；</w:t>
      </w:r>
    </w:p>
    <w:p w14:paraId="3AA3C113" w14:textId="64242C2A" w:rsidR="00A048FB" w:rsidRPr="00FD50F6" w:rsidRDefault="00A048FB" w:rsidP="00A048FB">
      <w:pPr>
        <w:pStyle w:val="8"/>
        <w:ind w:firstLine="480"/>
      </w:pPr>
      <w:r w:rsidRPr="00FD50F6">
        <w:tab/>
      </w:r>
      <w:r w:rsidRPr="00FD50F6">
        <w:rPr>
          <w:i/>
          <w:iCs/>
        </w:rPr>
        <w:t>b</w:t>
      </w:r>
      <w:r w:rsidRPr="00FD50F6">
        <w:rPr>
          <w:i/>
          <w:iCs/>
          <w:vertAlign w:val="subscript"/>
        </w:rPr>
        <w:t>c</w:t>
      </w:r>
      <w:bookmarkStart w:id="378" w:name="_Hlk8871453"/>
      <w:r w:rsidRPr="00FD50F6">
        <w:t>——</w:t>
      </w:r>
      <w:r w:rsidRPr="00FD50F6">
        <w:rPr>
          <w:rFonts w:hint="eastAsia"/>
        </w:rPr>
        <w:t>侧站台宽度</w:t>
      </w:r>
      <w:r w:rsidRPr="00FD50F6">
        <w:t>(m)</w:t>
      </w:r>
      <w:r w:rsidRPr="00FD50F6">
        <w:rPr>
          <w:rFonts w:hint="eastAsia"/>
        </w:rPr>
        <w:t>，当计算值小于或等于</w:t>
      </w:r>
      <w:r w:rsidRPr="00FD50F6">
        <w:t>2.5m</w:t>
      </w:r>
      <w:r w:rsidRPr="00FD50F6">
        <w:rPr>
          <w:rFonts w:hint="eastAsia"/>
        </w:rPr>
        <w:t>时，应取</w:t>
      </w:r>
      <w:r w:rsidRPr="00FD50F6">
        <w:t>2.5m</w:t>
      </w:r>
      <w:r w:rsidRPr="00FD50F6">
        <w:rPr>
          <w:rFonts w:hint="eastAsia"/>
        </w:rPr>
        <w:t>；</w:t>
      </w:r>
      <w:bookmarkEnd w:id="378"/>
    </w:p>
    <w:p w14:paraId="3732BEF5" w14:textId="5ABF3421" w:rsidR="00A048FB" w:rsidRPr="00FD50F6" w:rsidRDefault="00A048FB" w:rsidP="00A048FB">
      <w:pPr>
        <w:pStyle w:val="8"/>
        <w:ind w:firstLine="480"/>
      </w:pPr>
      <w:r w:rsidRPr="00FD50F6">
        <w:tab/>
      </w:r>
      <w:r w:rsidRPr="00FD50F6">
        <w:rPr>
          <w:i/>
          <w:iCs/>
        </w:rPr>
        <w:t>d</w:t>
      </w:r>
      <w:r w:rsidRPr="00FD50F6">
        <w:t>——</w:t>
      </w:r>
      <w:r w:rsidRPr="00FD50F6">
        <w:rPr>
          <w:rFonts w:hint="eastAsia"/>
        </w:rPr>
        <w:t>底纵梁宽度或装修后的柱宽之和</w:t>
      </w:r>
      <w:r w:rsidRPr="00FD50F6">
        <w:t>(m)</w:t>
      </w:r>
      <w:r w:rsidRPr="00FD50F6">
        <w:rPr>
          <w:rFonts w:hint="eastAsia"/>
        </w:rPr>
        <w:t>；</w:t>
      </w:r>
    </w:p>
    <w:p w14:paraId="30D49AAA" w14:textId="37E7F2B4" w:rsidR="00A048FB" w:rsidRPr="00FD50F6" w:rsidRDefault="00A048FB" w:rsidP="00A048FB">
      <w:pPr>
        <w:pStyle w:val="8"/>
        <w:ind w:firstLine="480"/>
      </w:pPr>
      <w:r w:rsidRPr="00FD50F6">
        <w:tab/>
      </w:r>
      <w:r w:rsidRPr="00FD50F6">
        <w:rPr>
          <w:i/>
          <w:iCs/>
        </w:rPr>
        <w:t>b</w:t>
      </w:r>
      <w:r w:rsidRPr="00FD50F6">
        <w:rPr>
          <w:i/>
          <w:iCs/>
          <w:vertAlign w:val="subscript"/>
        </w:rPr>
        <w:t>t</w:t>
      </w:r>
      <w:r w:rsidRPr="00FD50F6">
        <w:t>——</w:t>
      </w:r>
      <w:r w:rsidRPr="00FD50F6">
        <w:rPr>
          <w:rFonts w:hint="eastAsia"/>
        </w:rPr>
        <w:t>每组楼梯和自动扶梯宽度之和（含自动扶梯之间、楼梯与自动扶梯之间及楼梯和自动扶梯与纵梁间的施工间隙及装修层厚度）</w:t>
      </w:r>
      <w:r w:rsidRPr="00FD50F6">
        <w:t>(m)</w:t>
      </w:r>
      <w:r w:rsidRPr="00FD50F6">
        <w:rPr>
          <w:rFonts w:hint="eastAsia"/>
        </w:rPr>
        <w:t>；</w:t>
      </w:r>
    </w:p>
    <w:p w14:paraId="673E478B" w14:textId="5483054B" w:rsidR="00A048FB" w:rsidRPr="00FD50F6" w:rsidRDefault="00A048FB" w:rsidP="00A048FB">
      <w:pPr>
        <w:pStyle w:val="8"/>
        <w:ind w:firstLine="480"/>
      </w:pPr>
      <w:r w:rsidRPr="00FD50F6">
        <w:tab/>
      </w:r>
      <w:r w:rsidRPr="001A4CF3">
        <w:rPr>
          <w:i/>
          <w:iCs/>
        </w:rPr>
        <w:t>Q</w:t>
      </w:r>
      <w:r w:rsidRPr="001A4CF3">
        <w:rPr>
          <w:rFonts w:hint="eastAsia"/>
          <w:i/>
          <w:iCs/>
          <w:vertAlign w:val="subscript"/>
        </w:rPr>
        <w:t>上</w:t>
      </w:r>
      <w:r w:rsidRPr="001A4CF3">
        <w:rPr>
          <w:i/>
          <w:iCs/>
          <w:vertAlign w:val="subscript"/>
        </w:rPr>
        <w:t>.</w:t>
      </w:r>
      <w:r w:rsidRPr="001A4CF3">
        <w:rPr>
          <w:rFonts w:hint="eastAsia"/>
          <w:i/>
          <w:iCs/>
          <w:vertAlign w:val="subscript"/>
        </w:rPr>
        <w:t>下</w:t>
      </w:r>
      <w:r w:rsidRPr="00FD50F6">
        <w:rPr>
          <w:rFonts w:hint="eastAsia"/>
        </w:rPr>
        <w:t>——远期或客流控制期超高峰小时单侧站台上每列车设计客流量（换乘车站含换乘客流量）（人）；</w:t>
      </w:r>
    </w:p>
    <w:p w14:paraId="5B4B8CE4" w14:textId="5814F6CA" w:rsidR="00A048FB" w:rsidRPr="00FD50F6" w:rsidRDefault="00A048FB" w:rsidP="00A048FB">
      <w:pPr>
        <w:pStyle w:val="8"/>
        <w:ind w:firstLine="480"/>
        <w:rPr>
          <w:rFonts w:ascii="Cambria Math" w:eastAsia="Cambria Math" w:hAnsi="Cambria Math" w:cs="Cambria Math"/>
        </w:rPr>
      </w:pPr>
      <w:r w:rsidRPr="00FD50F6">
        <w:tab/>
      </w:r>
      <w:r w:rsidRPr="00FD50F6">
        <w:rPr>
          <w:i/>
          <w:iCs/>
        </w:rPr>
        <w:t>ρ</w:t>
      </w:r>
      <w:r w:rsidRPr="00FD50F6">
        <w:rPr>
          <w:rFonts w:hint="eastAsia"/>
        </w:rPr>
        <w:t>——侧站台上人流密度（</w:t>
      </w:r>
      <w:r w:rsidRPr="00FD50F6">
        <w:t>1.33</w:t>
      </w:r>
      <w:r w:rsidRPr="00FD50F6">
        <w:rPr>
          <w:rFonts w:hint="eastAsia"/>
        </w:rPr>
        <w:t>人</w:t>
      </w:r>
      <w:r w:rsidRPr="00FD50F6">
        <w:t>/ m</w:t>
      </w:r>
      <w:r w:rsidRPr="00FD50F6">
        <w:rPr>
          <w:vertAlign w:val="superscript"/>
        </w:rPr>
        <w:t>2</w:t>
      </w:r>
      <w:r w:rsidRPr="00FD50F6">
        <w:t xml:space="preserve"> ~2.5</w:t>
      </w:r>
      <w:r w:rsidRPr="00FD50F6">
        <w:rPr>
          <w:rFonts w:hint="eastAsia"/>
        </w:rPr>
        <w:t>人</w:t>
      </w:r>
      <w:r w:rsidRPr="00FD50F6">
        <w:t>/ m</w:t>
      </w:r>
      <w:r w:rsidRPr="00FD50F6">
        <w:rPr>
          <w:vertAlign w:val="superscript"/>
        </w:rPr>
        <w:t>2</w:t>
      </w:r>
      <w:r w:rsidRPr="00FD50F6">
        <w:rPr>
          <w:rFonts w:hint="eastAsia"/>
        </w:rPr>
        <w:t>）；</w:t>
      </w:r>
    </w:p>
    <w:p w14:paraId="7C68E828" w14:textId="1012FB5A" w:rsidR="00A048FB" w:rsidRPr="00FD50F6" w:rsidRDefault="00A048FB" w:rsidP="00A048FB">
      <w:pPr>
        <w:pStyle w:val="8"/>
        <w:ind w:firstLine="480"/>
        <w:rPr>
          <w:rFonts w:ascii="Cambria Math" w:eastAsia="Cambria Math" w:hAnsi="Cambria Math" w:cs="Cambria Math"/>
        </w:rPr>
      </w:pPr>
      <w:r w:rsidRPr="00FD50F6">
        <w:tab/>
      </w:r>
      <w:r w:rsidRPr="00FD50F6">
        <w:rPr>
          <w:i/>
          <w:iCs/>
        </w:rPr>
        <w:t>L</w:t>
      </w:r>
      <w:r w:rsidRPr="00FD50F6">
        <w:rPr>
          <w:rFonts w:hint="eastAsia"/>
        </w:rPr>
        <w:t>——站台计算长度（站台屏蔽门端门之间的计算长度）（</w:t>
      </w:r>
      <w:r w:rsidRPr="00FD50F6">
        <w:t>m</w:t>
      </w:r>
      <w:r w:rsidRPr="00FD50F6">
        <w:rPr>
          <w:rFonts w:hint="eastAsia"/>
        </w:rPr>
        <w:t>）；</w:t>
      </w:r>
    </w:p>
    <w:p w14:paraId="5F9F44DC" w14:textId="3E5D079D" w:rsidR="00A048FB" w:rsidRPr="00FD50F6" w:rsidRDefault="00A048FB" w:rsidP="00A048FB">
      <w:pPr>
        <w:pStyle w:val="8"/>
        <w:ind w:firstLine="480"/>
        <w:rPr>
          <w:rFonts w:ascii="Cambria Math" w:eastAsia="Cambria Math" w:hAnsi="Cambria Math" w:cs="Cambria Math"/>
        </w:rPr>
      </w:pPr>
      <w:r w:rsidRPr="00FD50F6">
        <w:lastRenderedPageBreak/>
        <w:tab/>
      </w:r>
      <w:r w:rsidRPr="00FD50F6">
        <w:rPr>
          <w:i/>
          <w:iCs/>
        </w:rPr>
        <w:t>M</w:t>
      </w:r>
      <w:r w:rsidRPr="00FD50F6">
        <w:rPr>
          <w:rFonts w:hint="eastAsia"/>
        </w:rPr>
        <w:t>——站台边缘至站台屏蔽门立柱内侧距离（</w:t>
      </w:r>
      <w:r w:rsidRPr="00FD50F6">
        <w:t>m</w:t>
      </w:r>
      <w:r w:rsidRPr="00FD50F6">
        <w:rPr>
          <w:rFonts w:hint="eastAsia"/>
        </w:rPr>
        <w:t>）</w:t>
      </w:r>
      <w:bookmarkEnd w:id="376"/>
      <w:r w:rsidRPr="00FD50F6">
        <w:rPr>
          <w:rFonts w:hint="eastAsia"/>
        </w:rPr>
        <w:t>。</w:t>
      </w:r>
    </w:p>
    <w:p w14:paraId="7C218F59" w14:textId="11F9E429" w:rsidR="00A048FB" w:rsidRPr="00FD50F6" w:rsidRDefault="00A048FB" w:rsidP="00A048FB">
      <w:pPr>
        <w:pStyle w:val="30"/>
        <w:rPr>
          <w:b/>
        </w:rPr>
      </w:pPr>
      <w:r w:rsidRPr="00FD50F6">
        <w:rPr>
          <w:rFonts w:hint="eastAsia"/>
        </w:rPr>
        <w:t>具有清客功能的小交路折返站、车辆段</w:t>
      </w:r>
      <w:r w:rsidR="00F70D15" w:rsidRPr="00FD50F6">
        <w:rPr>
          <w:rFonts w:hint="eastAsia"/>
        </w:rPr>
        <w:t>（场）</w:t>
      </w:r>
      <w:r w:rsidRPr="00FD50F6">
        <w:rPr>
          <w:rFonts w:hint="eastAsia"/>
        </w:rPr>
        <w:t>出入线接轨站和具有故障停车功能的车站，应按下式对远期或客流控制期清客工况下站台滞留乘客的人流密度进行校验：</w:t>
      </w:r>
    </w:p>
    <w:p w14:paraId="4A997C22" w14:textId="133863E8" w:rsidR="00A048FB" w:rsidRPr="00FD50F6" w:rsidRDefault="00BF2787" w:rsidP="001A4CF3">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eastAsia="MS Gothic" w:hAnsi="Cambria Math" w:cs="MS Gothic" w:hint="eastAsia"/>
                <w:szCs w:val="24"/>
              </w:rPr>
              <m:t>h</m:t>
            </m:r>
            <m:r>
              <w:rPr>
                <w:rFonts w:ascii="Cambria Math" w:hAnsi="Cambria Math" w:cs="Times New Roman" w:hint="eastAsia"/>
                <w:szCs w:val="24"/>
              </w:rPr>
              <m:t>z</m:t>
            </m:r>
          </m:sub>
        </m:sSub>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qc</m:t>
                    </m:r>
                  </m:sub>
                </m:sSub>
              </m:e>
            </m:d>
            <m:r>
              <w:rPr>
                <w:rFonts w:ascii="Cambria Math" w:hAnsi="Cambria Math" w:cs="Times New Roman"/>
                <w:szCs w:val="24"/>
              </w:rPr>
              <m:t>×α</m:t>
            </m:r>
          </m:num>
          <m:den>
            <m:sSub>
              <m:sSubPr>
                <m:ctrlPr>
                  <w:rPr>
                    <w:rFonts w:ascii="Cambria Math" w:hAnsi="Cambria Math" w:cs="Times New Roman"/>
                    <w:i/>
                    <w:szCs w:val="24"/>
                  </w:rPr>
                </m:ctrlPr>
              </m:sSubPr>
              <m:e>
                <m:r>
                  <w:rPr>
                    <w:rFonts w:ascii="Cambria Math" w:hAnsi="Cambria Math" w:cs="Times New Roman"/>
                    <w:szCs w:val="24"/>
                  </w:rPr>
                  <m:t>n</m:t>
                </m:r>
                <m:ctrlPr>
                  <w:rPr>
                    <w:rFonts w:ascii="Cambria Math" w:hAnsi="Cambria Math" w:cs="Times New Roman"/>
                    <w:szCs w:val="24"/>
                  </w:rPr>
                </m:ctrlPr>
              </m:e>
              <m:sub>
                <m:r>
                  <w:rPr>
                    <w:rFonts w:ascii="Cambria Math" w:hAnsi="Cambria Math" w:cs="Times New Roman"/>
                    <w:szCs w:val="24"/>
                  </w:rPr>
                  <m:t>1</m:t>
                </m:r>
              </m:sub>
            </m:sSub>
          </m:den>
        </m:f>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i/>
                    <w:szCs w:val="24"/>
                  </w:rPr>
                </m:ctrlPr>
              </m:sSubPr>
              <m:e>
                <m:r>
                  <w:rPr>
                    <w:rFonts w:ascii="Cambria Math" w:hAnsi="Cambria Math" w:cs="Times New Roman"/>
                    <w:szCs w:val="24"/>
                  </w:rPr>
                  <m:t>Q</m:t>
                </m:r>
                <m:ctrlPr>
                  <w:rPr>
                    <w:rFonts w:ascii="Cambria Math" w:hAnsi="Cambria Math" w:cs="Times New Roman"/>
                    <w:szCs w:val="24"/>
                  </w:rPr>
                </m:ctrlPr>
              </m:e>
              <m:sub>
                <m:r>
                  <w:rPr>
                    <w:rFonts w:ascii="Cambria Math" w:hAnsi="Cambria Math" w:cs="Times New Roman"/>
                    <w:szCs w:val="24"/>
                  </w:rPr>
                  <m:t>js1</m:t>
                </m:r>
              </m:sub>
            </m:sSub>
            <m:r>
              <w:rPr>
                <w:rFonts w:ascii="Cambria Math" w:hAnsi="Cambria Math" w:cs="Times New Roman"/>
                <w:szCs w:val="24"/>
              </w:rPr>
              <m:t>×α</m:t>
            </m:r>
          </m:num>
          <m:den>
            <m:sSub>
              <m:sSubPr>
                <m:ctrlPr>
                  <w:rPr>
                    <w:rFonts w:ascii="Cambria Math" w:hAnsi="Cambria Math" w:cs="Times New Roman"/>
                    <w:i/>
                    <w:szCs w:val="24"/>
                  </w:rPr>
                </m:ctrlPr>
              </m:sSubPr>
              <m:e>
                <m:r>
                  <w:rPr>
                    <w:rFonts w:ascii="Cambria Math" w:hAnsi="Cambria Math" w:cs="Times New Roman"/>
                    <w:szCs w:val="24"/>
                  </w:rPr>
                  <m:t>n</m:t>
                </m:r>
                <m:ctrlPr>
                  <w:rPr>
                    <w:rFonts w:ascii="Cambria Math" w:hAnsi="Cambria Math" w:cs="Times New Roman"/>
                    <w:szCs w:val="24"/>
                  </w:rPr>
                </m:ctrlPr>
              </m:e>
              <m:sub>
                <m:r>
                  <w:rPr>
                    <w:rFonts w:ascii="Cambria Math" w:hAnsi="Cambria Math" w:cs="Times New Roman"/>
                    <w:szCs w:val="24"/>
                  </w:rPr>
                  <m:t>2</m:t>
                </m:r>
              </m:sub>
            </m:sSub>
          </m:den>
        </m:f>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i/>
                    <w:szCs w:val="24"/>
                  </w:rPr>
                </m:ctrlPr>
              </m:sSubPr>
              <m:e>
                <m:r>
                  <w:rPr>
                    <w:rFonts w:ascii="Cambria Math" w:hAnsi="Cambria Math" w:cs="Times New Roman"/>
                    <w:szCs w:val="24"/>
                  </w:rPr>
                  <m:t>Q</m:t>
                </m:r>
                <m:ctrlPr>
                  <w:rPr>
                    <w:rFonts w:ascii="Cambria Math" w:hAnsi="Cambria Math" w:cs="Times New Roman"/>
                    <w:szCs w:val="24"/>
                  </w:rPr>
                </m:ctrlPr>
              </m:e>
              <m:sub>
                <m:r>
                  <w:rPr>
                    <w:rFonts w:ascii="Cambria Math" w:hAnsi="Cambria Math" w:cs="Times New Roman"/>
                    <w:szCs w:val="24"/>
                  </w:rPr>
                  <m:t>js2</m:t>
                </m:r>
              </m:sub>
            </m:sSub>
            <m:r>
              <w:rPr>
                <w:rFonts w:ascii="Cambria Math" w:hAnsi="Cambria Math" w:cs="Times New Roman"/>
                <w:szCs w:val="24"/>
              </w:rPr>
              <m:t>×α</m:t>
            </m:r>
          </m:num>
          <m:den>
            <m:sSub>
              <m:sSubPr>
                <m:ctrlPr>
                  <w:rPr>
                    <w:rFonts w:ascii="Cambria Math" w:hAnsi="Cambria Math" w:cs="Times New Roman"/>
                    <w:i/>
                    <w:szCs w:val="24"/>
                  </w:rPr>
                </m:ctrlPr>
              </m:sSubPr>
              <m:e>
                <m:r>
                  <w:rPr>
                    <w:rFonts w:ascii="Cambria Math" w:hAnsi="Cambria Math" w:cs="Times New Roman"/>
                    <w:szCs w:val="24"/>
                  </w:rPr>
                  <m:t>n</m:t>
                </m:r>
                <m:ctrlPr>
                  <w:rPr>
                    <w:rFonts w:ascii="Cambria Math" w:hAnsi="Cambria Math" w:cs="Times New Roman"/>
                    <w:szCs w:val="24"/>
                  </w:rPr>
                </m:ctrlPr>
              </m:e>
              <m:sub>
                <m:r>
                  <w:rPr>
                    <w:rFonts w:ascii="Cambria Math" w:hAnsi="Cambria Math" w:cs="Times New Roman"/>
                    <w:szCs w:val="24"/>
                  </w:rPr>
                  <m:t>1</m:t>
                </m:r>
              </m:sub>
            </m:sSub>
          </m:den>
        </m:f>
        <m:r>
          <m:rPr>
            <m:sty m:val="p"/>
          </m:rPr>
          <w:rPr>
            <w:rFonts w:ascii="Cambria Math" w:hAnsi="Cambria Math" w:cs="Times New Roman"/>
            <w:szCs w:val="24"/>
          </w:rPr>
          <m:t>≤4</m:t>
        </m:r>
        <m:r>
          <w:rPr>
            <w:rFonts w:ascii="Cambria Math" w:hAnsi="Cambria Math" w:cs="Times New Roman"/>
            <w:szCs w:val="24"/>
          </w:rPr>
          <m:t>min</m:t>
        </m:r>
      </m:oMath>
      <w:r w:rsidR="00A048FB" w:rsidRPr="00FD50F6">
        <w:rPr>
          <w:rFonts w:ascii="Times New Roman" w:hAnsi="Times New Roman" w:cs="Times New Roman"/>
          <w:szCs w:val="24"/>
        </w:rPr>
        <w:t xml:space="preserve">    </w:t>
      </w:r>
      <w:r w:rsidR="00A048FB" w:rsidRPr="00FD50F6">
        <w:rPr>
          <w:rFonts w:ascii="Times New Roman" w:hAnsi="Times New Roman" w:cs="Times New Roman"/>
        </w:rPr>
        <w:t>（</w:t>
      </w:r>
      <w:r w:rsidR="008C6B9B" w:rsidRPr="00FD50F6">
        <w:rPr>
          <w:rFonts w:ascii="Times New Roman" w:hAnsi="Times New Roman" w:cs="Times New Roman"/>
        </w:rPr>
        <w:t>10</w:t>
      </w:r>
      <w:r w:rsidR="00A048FB" w:rsidRPr="00FD50F6">
        <w:rPr>
          <w:rFonts w:ascii="Times New Roman" w:hAnsi="Times New Roman" w:cs="Times New Roman"/>
        </w:rPr>
        <w:t>.2.8</w:t>
      </w:r>
      <w:r w:rsidR="00A048FB" w:rsidRPr="00FD50F6">
        <w:rPr>
          <w:rFonts w:ascii="Times New Roman" w:hAnsi="Times New Roman" w:cs="Times New Roman" w:hint="eastAsia"/>
        </w:rPr>
        <w:t>）</w:t>
      </w:r>
    </w:p>
    <w:p w14:paraId="7D3C0A1A" w14:textId="3CA6201E" w:rsidR="00A048FB" w:rsidRPr="00FD50F6" w:rsidRDefault="00A048FB" w:rsidP="001A4CF3">
      <w:pPr>
        <w:pStyle w:val="8"/>
        <w:ind w:firstLineChars="0" w:firstLine="0"/>
        <w:rPr>
          <w:rFonts w:ascii="宋体" w:hAnsi="宋体" w:cs="宋体"/>
        </w:rPr>
      </w:pPr>
      <w:r w:rsidRPr="00FD50F6">
        <w:rPr>
          <w:rFonts w:hint="eastAsia"/>
        </w:rPr>
        <w:t>式中：</w:t>
      </w:r>
      <w:bookmarkStart w:id="379" w:name="_Hlk77926967"/>
      <w:r w:rsidRPr="00FD50F6">
        <w:rPr>
          <w:i/>
          <w:iCs/>
        </w:rPr>
        <w:t>Q</w:t>
      </w:r>
      <w:r w:rsidRPr="00FD50F6">
        <w:rPr>
          <w:i/>
          <w:iCs/>
          <w:vertAlign w:val="subscript"/>
        </w:rPr>
        <w:t>hz</w:t>
      </w:r>
      <w:bookmarkEnd w:id="379"/>
      <w:r w:rsidRPr="00FD50F6">
        <w:rPr>
          <w:rFonts w:hint="eastAsia"/>
        </w:rPr>
        <w:t>——清客工况下远期或客流控制期超高峰小时行车间隔内在站台上滞留乘客人数（人）；</w:t>
      </w:r>
    </w:p>
    <w:p w14:paraId="035C7AEA" w14:textId="292B48AD" w:rsidR="00A048FB" w:rsidRPr="00FD50F6" w:rsidRDefault="00A048FB" w:rsidP="00A048FB">
      <w:pPr>
        <w:pStyle w:val="8"/>
        <w:ind w:firstLine="480"/>
      </w:pPr>
      <w:r w:rsidRPr="00FD50F6">
        <w:rPr>
          <w:i/>
          <w:iCs/>
        </w:rPr>
        <w:t>Q</w:t>
      </w:r>
      <w:r w:rsidRPr="00FD50F6">
        <w:rPr>
          <w:i/>
          <w:iCs/>
          <w:vertAlign w:val="subscript"/>
        </w:rPr>
        <w:t>d</w:t>
      </w:r>
      <w:r w:rsidRPr="00FD50F6">
        <w:rPr>
          <w:rFonts w:hint="eastAsia"/>
        </w:rPr>
        <w:t>——远期或客流控制期高峰小时清客方向一侧进站断面客流量（人）；</w:t>
      </w:r>
    </w:p>
    <w:p w14:paraId="0DE4130A" w14:textId="447B481C" w:rsidR="00A048FB" w:rsidRPr="00FD50F6" w:rsidRDefault="00A048FB" w:rsidP="00A048FB">
      <w:pPr>
        <w:pStyle w:val="8"/>
        <w:ind w:firstLine="480"/>
      </w:pPr>
      <w:r w:rsidRPr="00FD50F6">
        <w:rPr>
          <w:i/>
          <w:iCs/>
        </w:rPr>
        <w:t>Q</w:t>
      </w:r>
      <w:r w:rsidRPr="00FD50F6">
        <w:rPr>
          <w:i/>
          <w:iCs/>
          <w:vertAlign w:val="subscript"/>
        </w:rPr>
        <w:t>qc</w:t>
      </w:r>
      <w:r w:rsidRPr="00FD50F6">
        <w:rPr>
          <w:rFonts w:hint="eastAsia"/>
        </w:rPr>
        <w:t>——</w:t>
      </w:r>
      <w:bookmarkStart w:id="380" w:name="_Hlk39163757"/>
      <w:r w:rsidRPr="00FD50F6">
        <w:rPr>
          <w:rFonts w:hint="eastAsia"/>
        </w:rPr>
        <w:t>远期或客流控制期高峰小时</w:t>
      </w:r>
      <w:bookmarkEnd w:id="380"/>
      <w:r w:rsidRPr="00FD50F6">
        <w:rPr>
          <w:rFonts w:hint="eastAsia"/>
        </w:rPr>
        <w:t>清客方向一侧出站人数（人）；</w:t>
      </w:r>
    </w:p>
    <w:p w14:paraId="01BB2AAC" w14:textId="5EF63BF0" w:rsidR="00A048FB" w:rsidRPr="00FD50F6" w:rsidRDefault="00A048FB" w:rsidP="00A048FB">
      <w:pPr>
        <w:pStyle w:val="8"/>
        <w:ind w:firstLine="480"/>
      </w:pPr>
      <w:r w:rsidRPr="00FD50F6">
        <w:rPr>
          <w:i/>
          <w:iCs/>
        </w:rPr>
        <w:t>Q</w:t>
      </w:r>
      <w:r w:rsidRPr="00FD50F6">
        <w:rPr>
          <w:i/>
          <w:iCs/>
          <w:vertAlign w:val="subscript"/>
        </w:rPr>
        <w:t>js1</w:t>
      </w:r>
      <w:r w:rsidRPr="00FD50F6">
        <w:rPr>
          <w:rFonts w:hint="eastAsia"/>
        </w:rPr>
        <w:t>——远期或客流控制期高峰小时清客方向一侧进站上车人数（人）；</w:t>
      </w:r>
    </w:p>
    <w:p w14:paraId="0460B944" w14:textId="209C14A0" w:rsidR="00A048FB" w:rsidRPr="00FD50F6" w:rsidRDefault="00A048FB" w:rsidP="00A048FB">
      <w:pPr>
        <w:pStyle w:val="8"/>
        <w:ind w:firstLine="480"/>
      </w:pPr>
      <w:r w:rsidRPr="00FD50F6">
        <w:rPr>
          <w:i/>
          <w:iCs/>
        </w:rPr>
        <w:t>Q</w:t>
      </w:r>
      <w:r w:rsidRPr="00FD50F6">
        <w:rPr>
          <w:i/>
          <w:iCs/>
          <w:vertAlign w:val="subscript"/>
        </w:rPr>
        <w:t>js2</w:t>
      </w:r>
      <w:r w:rsidRPr="00FD50F6">
        <w:rPr>
          <w:rFonts w:hint="eastAsia"/>
        </w:rPr>
        <w:t>——远期或客流控制期高峰小时清客方向站台另一侧线路进站上车人数（人）；</w:t>
      </w:r>
    </w:p>
    <w:p w14:paraId="392FF1F4" w14:textId="6EB4BCFF" w:rsidR="00A048FB" w:rsidRPr="00FD50F6" w:rsidRDefault="00A048FB" w:rsidP="00A048FB">
      <w:pPr>
        <w:pStyle w:val="8"/>
        <w:ind w:firstLine="480"/>
      </w:pPr>
      <w:r w:rsidRPr="00FD50F6">
        <w:rPr>
          <w:i/>
          <w:iCs/>
        </w:rPr>
        <w:t>n</w:t>
      </w:r>
      <w:r w:rsidRPr="001A4CF3">
        <w:rPr>
          <w:i/>
          <w:iCs/>
          <w:vertAlign w:val="subscript"/>
        </w:rPr>
        <w:t>1</w:t>
      </w:r>
      <w:r w:rsidRPr="00FD50F6">
        <w:rPr>
          <w:rFonts w:hint="eastAsia"/>
        </w:rPr>
        <w:t>——远期或高峰控制期</w:t>
      </w:r>
      <w:r w:rsidRPr="001A4CF3">
        <w:rPr>
          <w:rFonts w:hint="eastAsia"/>
        </w:rPr>
        <w:t>小交路</w:t>
      </w:r>
      <w:r w:rsidRPr="00FD50F6">
        <w:rPr>
          <w:rFonts w:hint="eastAsia"/>
        </w:rPr>
        <w:t>行车对数；</w:t>
      </w:r>
    </w:p>
    <w:p w14:paraId="60411A35" w14:textId="344E9190" w:rsidR="001F5382" w:rsidRPr="00FD50F6" w:rsidRDefault="00A048FB" w:rsidP="00A048FB">
      <w:pPr>
        <w:pStyle w:val="8"/>
        <w:ind w:firstLine="480"/>
      </w:pPr>
      <w:r w:rsidRPr="001A4CF3">
        <w:rPr>
          <w:i/>
          <w:iCs/>
        </w:rPr>
        <w:t>n</w:t>
      </w:r>
      <w:r w:rsidRPr="001A4CF3">
        <w:rPr>
          <w:i/>
          <w:iCs/>
          <w:vertAlign w:val="subscript"/>
        </w:rPr>
        <w:t>2</w:t>
      </w:r>
      <w:r w:rsidRPr="001A4CF3">
        <w:rPr>
          <w:rFonts w:hint="eastAsia"/>
        </w:rPr>
        <w:t>——远期或高峰控制期大交路行车对数；</w:t>
      </w:r>
    </w:p>
    <w:p w14:paraId="6AB7FE64" w14:textId="5218F632" w:rsidR="00A048FB" w:rsidRPr="00FD50F6" w:rsidRDefault="00A048FB" w:rsidP="00A048FB">
      <w:pPr>
        <w:pStyle w:val="8"/>
        <w:ind w:firstLine="480"/>
      </w:pPr>
      <w:r w:rsidRPr="00FD50F6">
        <w:rPr>
          <w:rFonts w:hint="eastAsia"/>
          <w:i/>
          <w:iCs/>
        </w:rPr>
        <w:t>α</w:t>
      </w:r>
      <w:r w:rsidRPr="00FD50F6">
        <w:rPr>
          <w:rFonts w:hint="eastAsia"/>
        </w:rPr>
        <w:t>——超高峰系数，取值</w:t>
      </w:r>
      <w:r w:rsidRPr="00FD50F6">
        <w:t>1.1~1.4</w:t>
      </w:r>
      <w:r w:rsidRPr="00FD50F6">
        <w:rPr>
          <w:rFonts w:hint="eastAsia"/>
        </w:rPr>
        <w:t>。</w:t>
      </w:r>
    </w:p>
    <w:p w14:paraId="2FA738A4" w14:textId="22A9C451" w:rsidR="00A048FB" w:rsidRPr="00FD50F6" w:rsidRDefault="00A048FB" w:rsidP="00A048FB">
      <w:pPr>
        <w:pStyle w:val="30"/>
        <w:rPr>
          <w:b/>
        </w:rPr>
      </w:pPr>
      <w:r w:rsidRPr="00FD50F6">
        <w:rPr>
          <w:rFonts w:hint="eastAsia"/>
        </w:rPr>
        <w:t>自动检票机至车站各部位的最小净距不宜小于表</w:t>
      </w:r>
      <w:r w:rsidRPr="00FD50F6">
        <w:t xml:space="preserve"> </w:t>
      </w:r>
      <w:r w:rsidR="00A0175C" w:rsidRPr="00FD50F6">
        <w:t>10</w:t>
      </w:r>
      <w:r w:rsidRPr="00FD50F6">
        <w:t>.2.9</w:t>
      </w:r>
      <w:r w:rsidRPr="00FD50F6">
        <w:rPr>
          <w:rFonts w:hint="eastAsia"/>
        </w:rPr>
        <w:t>的规定。</w:t>
      </w:r>
    </w:p>
    <w:p w14:paraId="3D34BE26" w14:textId="65DD1D55" w:rsidR="00A048FB" w:rsidRPr="00FD50F6" w:rsidRDefault="00A048FB" w:rsidP="00A048FB">
      <w:pPr>
        <w:pStyle w:val="6"/>
        <w:rPr>
          <w:sz w:val="21"/>
          <w:szCs w:val="21"/>
        </w:rPr>
      </w:pPr>
      <w:bookmarkStart w:id="381" w:name="_Hlk15315636"/>
      <w:r w:rsidRPr="00FD50F6">
        <w:rPr>
          <w:rFonts w:hint="eastAsia"/>
        </w:rPr>
        <w:t>表</w:t>
      </w:r>
      <w:r w:rsidRPr="00FD50F6">
        <w:t xml:space="preserve"> </w:t>
      </w:r>
      <w:r w:rsidR="00A0175C" w:rsidRPr="00FD50F6">
        <w:t>10</w:t>
      </w:r>
      <w:r w:rsidRPr="00FD50F6">
        <w:t>.2.9</w:t>
      </w:r>
      <w:r w:rsidRPr="00FD50F6">
        <w:rPr>
          <w:rFonts w:hint="eastAsia"/>
        </w:rPr>
        <w:t>自动检票机至车站各部位的最小净距</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8"/>
        <w:gridCol w:w="2594"/>
      </w:tblGrid>
      <w:tr w:rsidR="00FD50F6" w:rsidRPr="00FD50F6" w14:paraId="3DB74B06" w14:textId="77777777" w:rsidTr="00353026">
        <w:trPr>
          <w:trHeight w:val="340"/>
          <w:tblHeader/>
          <w:jc w:val="center"/>
        </w:trPr>
        <w:tc>
          <w:tcPr>
            <w:tcW w:w="5524" w:type="dxa"/>
            <w:shd w:val="clear" w:color="auto" w:fill="auto"/>
            <w:vAlign w:val="center"/>
          </w:tcPr>
          <w:p w14:paraId="2B6F9817" w14:textId="77777777" w:rsidR="00A048FB" w:rsidRPr="00FD50F6" w:rsidRDefault="00A048FB" w:rsidP="00353026">
            <w:pPr>
              <w:pStyle w:val="7"/>
              <w:rPr>
                <w:sz w:val="18"/>
                <w:szCs w:val="18"/>
              </w:rPr>
            </w:pPr>
            <w:r w:rsidRPr="00FD50F6">
              <w:rPr>
                <w:rFonts w:hint="eastAsia"/>
              </w:rPr>
              <w:t>名称</w:t>
            </w:r>
          </w:p>
        </w:tc>
        <w:tc>
          <w:tcPr>
            <w:tcW w:w="2523" w:type="dxa"/>
            <w:shd w:val="clear" w:color="auto" w:fill="auto"/>
            <w:vAlign w:val="center"/>
          </w:tcPr>
          <w:p w14:paraId="732A6D7D" w14:textId="77777777" w:rsidR="00A048FB" w:rsidRPr="00FD50F6" w:rsidRDefault="00A048FB" w:rsidP="00353026">
            <w:pPr>
              <w:pStyle w:val="7"/>
              <w:rPr>
                <w:sz w:val="18"/>
                <w:szCs w:val="18"/>
              </w:rPr>
            </w:pPr>
            <w:r w:rsidRPr="00FD50F6">
              <w:rPr>
                <w:rFonts w:hint="eastAsia"/>
              </w:rPr>
              <w:t>最小净距（</w:t>
            </w:r>
            <w:r w:rsidRPr="00FD50F6">
              <w:t>m</w:t>
            </w:r>
            <w:r w:rsidRPr="00FD50F6">
              <w:rPr>
                <w:rFonts w:hint="eastAsia"/>
              </w:rPr>
              <w:t>）</w:t>
            </w:r>
          </w:p>
        </w:tc>
      </w:tr>
      <w:tr w:rsidR="00FD50F6" w:rsidRPr="00FD50F6" w14:paraId="2661DA9B" w14:textId="77777777" w:rsidTr="00353026">
        <w:trPr>
          <w:trHeight w:val="340"/>
          <w:jc w:val="center"/>
        </w:trPr>
        <w:tc>
          <w:tcPr>
            <w:tcW w:w="5524" w:type="dxa"/>
            <w:shd w:val="clear" w:color="auto" w:fill="auto"/>
            <w:vAlign w:val="center"/>
          </w:tcPr>
          <w:p w14:paraId="3BC5ED56" w14:textId="77777777" w:rsidR="00A048FB" w:rsidRPr="00FD50F6" w:rsidRDefault="00A048FB" w:rsidP="00353026">
            <w:pPr>
              <w:pStyle w:val="7"/>
              <w:rPr>
                <w:sz w:val="18"/>
                <w:szCs w:val="18"/>
              </w:rPr>
            </w:pPr>
            <w:r w:rsidRPr="00FD50F6">
              <w:rPr>
                <w:rFonts w:hint="eastAsia"/>
              </w:rPr>
              <w:t>进站自动检票机内侧距步行楼梯第一级踏步距离</w:t>
            </w:r>
          </w:p>
        </w:tc>
        <w:tc>
          <w:tcPr>
            <w:tcW w:w="2523" w:type="dxa"/>
            <w:shd w:val="clear" w:color="auto" w:fill="auto"/>
            <w:vAlign w:val="center"/>
          </w:tcPr>
          <w:p w14:paraId="332ED303" w14:textId="77777777" w:rsidR="00A048FB" w:rsidRPr="00FD50F6" w:rsidRDefault="00A048FB" w:rsidP="00353026">
            <w:pPr>
              <w:pStyle w:val="7"/>
              <w:rPr>
                <w:sz w:val="18"/>
                <w:szCs w:val="18"/>
              </w:rPr>
            </w:pPr>
            <w:r w:rsidRPr="00FD50F6">
              <w:t>4</w:t>
            </w:r>
          </w:p>
        </w:tc>
      </w:tr>
      <w:tr w:rsidR="00FD50F6" w:rsidRPr="00FD50F6" w14:paraId="77110AB6" w14:textId="77777777" w:rsidTr="00353026">
        <w:trPr>
          <w:trHeight w:val="340"/>
          <w:jc w:val="center"/>
        </w:trPr>
        <w:tc>
          <w:tcPr>
            <w:tcW w:w="5524" w:type="dxa"/>
            <w:shd w:val="clear" w:color="auto" w:fill="auto"/>
            <w:vAlign w:val="center"/>
          </w:tcPr>
          <w:p w14:paraId="130C2ED9" w14:textId="77777777" w:rsidR="00A048FB" w:rsidRPr="00FD50F6" w:rsidRDefault="00A048FB" w:rsidP="00353026">
            <w:pPr>
              <w:pStyle w:val="7"/>
              <w:rPr>
                <w:sz w:val="18"/>
                <w:szCs w:val="18"/>
              </w:rPr>
            </w:pPr>
            <w:r w:rsidRPr="00FD50F6">
              <w:rPr>
                <w:rFonts w:hint="eastAsia"/>
              </w:rPr>
              <w:t>进站自动检票机内侧距自动扶梯扶手带转向处距离</w:t>
            </w:r>
          </w:p>
        </w:tc>
        <w:tc>
          <w:tcPr>
            <w:tcW w:w="2523" w:type="dxa"/>
            <w:shd w:val="clear" w:color="auto" w:fill="auto"/>
            <w:vAlign w:val="center"/>
          </w:tcPr>
          <w:p w14:paraId="556DF9B2" w14:textId="77777777" w:rsidR="00A048FB" w:rsidRPr="00FD50F6" w:rsidRDefault="00A048FB" w:rsidP="00353026">
            <w:pPr>
              <w:pStyle w:val="7"/>
              <w:rPr>
                <w:sz w:val="18"/>
                <w:szCs w:val="18"/>
              </w:rPr>
            </w:pPr>
            <w:r w:rsidRPr="00FD50F6">
              <w:t>5</w:t>
            </w:r>
          </w:p>
        </w:tc>
      </w:tr>
      <w:tr w:rsidR="00FD50F6" w:rsidRPr="00FD50F6" w14:paraId="62D86626" w14:textId="77777777" w:rsidTr="00353026">
        <w:trPr>
          <w:trHeight w:val="340"/>
          <w:jc w:val="center"/>
        </w:trPr>
        <w:tc>
          <w:tcPr>
            <w:tcW w:w="5524" w:type="dxa"/>
            <w:shd w:val="clear" w:color="auto" w:fill="auto"/>
            <w:vAlign w:val="center"/>
          </w:tcPr>
          <w:p w14:paraId="63D4DB48" w14:textId="77777777" w:rsidR="00A048FB" w:rsidRPr="00FD50F6" w:rsidRDefault="00A048FB" w:rsidP="00353026">
            <w:pPr>
              <w:pStyle w:val="7"/>
              <w:rPr>
                <w:sz w:val="18"/>
                <w:szCs w:val="18"/>
              </w:rPr>
            </w:pPr>
            <w:r w:rsidRPr="00FD50F6">
              <w:rPr>
                <w:rFonts w:hint="eastAsia"/>
              </w:rPr>
              <w:t>进站自动检票机外侧距平行设置售票机的距离</w:t>
            </w:r>
          </w:p>
        </w:tc>
        <w:tc>
          <w:tcPr>
            <w:tcW w:w="2523" w:type="dxa"/>
            <w:shd w:val="clear" w:color="auto" w:fill="auto"/>
            <w:vAlign w:val="center"/>
          </w:tcPr>
          <w:p w14:paraId="77ED3A09" w14:textId="77777777" w:rsidR="00A048FB" w:rsidRPr="00FD50F6" w:rsidRDefault="00A048FB" w:rsidP="00353026">
            <w:pPr>
              <w:pStyle w:val="7"/>
              <w:rPr>
                <w:sz w:val="18"/>
                <w:szCs w:val="18"/>
              </w:rPr>
            </w:pPr>
            <w:r w:rsidRPr="00FD50F6">
              <w:t>5</w:t>
            </w:r>
          </w:p>
        </w:tc>
      </w:tr>
      <w:tr w:rsidR="00FD50F6" w:rsidRPr="00FD50F6" w14:paraId="2EEE9E92" w14:textId="77777777" w:rsidTr="00353026">
        <w:trPr>
          <w:trHeight w:val="340"/>
          <w:jc w:val="center"/>
        </w:trPr>
        <w:tc>
          <w:tcPr>
            <w:tcW w:w="5524" w:type="dxa"/>
            <w:shd w:val="clear" w:color="auto" w:fill="auto"/>
            <w:vAlign w:val="center"/>
          </w:tcPr>
          <w:p w14:paraId="22D3BBD0" w14:textId="77777777" w:rsidR="00A048FB" w:rsidRPr="00FD50F6" w:rsidRDefault="00A048FB" w:rsidP="00353026">
            <w:pPr>
              <w:pStyle w:val="7"/>
              <w:rPr>
                <w:sz w:val="18"/>
                <w:szCs w:val="18"/>
              </w:rPr>
            </w:pPr>
            <w:r w:rsidRPr="00FD50F6">
              <w:rPr>
                <w:rFonts w:hint="eastAsia"/>
              </w:rPr>
              <w:t>出站自动检票机内侧距步行楼梯第一级踏步的距离</w:t>
            </w:r>
          </w:p>
        </w:tc>
        <w:tc>
          <w:tcPr>
            <w:tcW w:w="2523" w:type="dxa"/>
            <w:shd w:val="clear" w:color="auto" w:fill="auto"/>
            <w:vAlign w:val="center"/>
          </w:tcPr>
          <w:p w14:paraId="2FD8E5A4" w14:textId="77777777" w:rsidR="00A048FB" w:rsidRPr="00FD50F6" w:rsidRDefault="00A048FB" w:rsidP="00353026">
            <w:pPr>
              <w:pStyle w:val="7"/>
              <w:rPr>
                <w:sz w:val="18"/>
                <w:szCs w:val="18"/>
              </w:rPr>
            </w:pPr>
            <w:r w:rsidRPr="00FD50F6">
              <w:t>5</w:t>
            </w:r>
            <w:bookmarkEnd w:id="381"/>
          </w:p>
        </w:tc>
      </w:tr>
      <w:tr w:rsidR="00FD50F6" w:rsidRPr="00FD50F6" w14:paraId="49638C18" w14:textId="77777777" w:rsidTr="00353026">
        <w:trPr>
          <w:trHeight w:val="340"/>
          <w:jc w:val="center"/>
        </w:trPr>
        <w:tc>
          <w:tcPr>
            <w:tcW w:w="5524" w:type="dxa"/>
            <w:shd w:val="clear" w:color="auto" w:fill="auto"/>
            <w:vAlign w:val="center"/>
          </w:tcPr>
          <w:p w14:paraId="1346004A" w14:textId="77777777" w:rsidR="00A048FB" w:rsidRPr="00FD50F6" w:rsidRDefault="00A048FB" w:rsidP="00353026">
            <w:pPr>
              <w:pStyle w:val="7"/>
              <w:rPr>
                <w:sz w:val="18"/>
                <w:szCs w:val="18"/>
              </w:rPr>
            </w:pPr>
            <w:r w:rsidRPr="00FD50F6">
              <w:rPr>
                <w:rFonts w:hint="eastAsia"/>
              </w:rPr>
              <w:t>出站自动检票机内侧距自动扶梯扶手带转向处距离</w:t>
            </w:r>
          </w:p>
        </w:tc>
        <w:tc>
          <w:tcPr>
            <w:tcW w:w="2523" w:type="dxa"/>
            <w:shd w:val="clear" w:color="auto" w:fill="auto"/>
            <w:vAlign w:val="center"/>
          </w:tcPr>
          <w:p w14:paraId="7F85C1AA" w14:textId="77777777" w:rsidR="00A048FB" w:rsidRPr="00FD50F6" w:rsidRDefault="00A048FB" w:rsidP="00353026">
            <w:pPr>
              <w:pStyle w:val="7"/>
              <w:rPr>
                <w:sz w:val="18"/>
                <w:szCs w:val="18"/>
              </w:rPr>
            </w:pPr>
            <w:r w:rsidRPr="00FD50F6">
              <w:t>6</w:t>
            </w:r>
          </w:p>
        </w:tc>
      </w:tr>
      <w:tr w:rsidR="00FD50F6" w:rsidRPr="00FD50F6" w14:paraId="0624C4CA" w14:textId="77777777" w:rsidTr="00353026">
        <w:trPr>
          <w:trHeight w:val="340"/>
          <w:jc w:val="center"/>
        </w:trPr>
        <w:tc>
          <w:tcPr>
            <w:tcW w:w="5524" w:type="dxa"/>
            <w:shd w:val="clear" w:color="auto" w:fill="auto"/>
            <w:vAlign w:val="center"/>
          </w:tcPr>
          <w:p w14:paraId="0B025FF2" w14:textId="77777777" w:rsidR="00A048FB" w:rsidRPr="00FD50F6" w:rsidRDefault="00A048FB" w:rsidP="00353026">
            <w:pPr>
              <w:pStyle w:val="7"/>
              <w:rPr>
                <w:sz w:val="18"/>
                <w:szCs w:val="18"/>
              </w:rPr>
            </w:pPr>
            <w:r w:rsidRPr="00FD50F6">
              <w:rPr>
                <w:rFonts w:hint="eastAsia"/>
              </w:rPr>
              <w:t>相对布置的自动检票机之间的距离</w:t>
            </w:r>
          </w:p>
        </w:tc>
        <w:tc>
          <w:tcPr>
            <w:tcW w:w="2523" w:type="dxa"/>
            <w:shd w:val="clear" w:color="auto" w:fill="auto"/>
            <w:vAlign w:val="center"/>
          </w:tcPr>
          <w:p w14:paraId="7527779D" w14:textId="77777777" w:rsidR="00A048FB" w:rsidRPr="00FD50F6" w:rsidRDefault="00A048FB" w:rsidP="00353026">
            <w:pPr>
              <w:pStyle w:val="7"/>
              <w:rPr>
                <w:sz w:val="18"/>
                <w:szCs w:val="18"/>
              </w:rPr>
            </w:pPr>
            <w:r w:rsidRPr="00FD50F6">
              <w:t>10</w:t>
            </w:r>
          </w:p>
        </w:tc>
      </w:tr>
      <w:tr w:rsidR="00FD50F6" w:rsidRPr="00FD50F6" w14:paraId="7F54BF93" w14:textId="77777777" w:rsidTr="00353026">
        <w:trPr>
          <w:trHeight w:val="340"/>
          <w:jc w:val="center"/>
        </w:trPr>
        <w:tc>
          <w:tcPr>
            <w:tcW w:w="5524" w:type="dxa"/>
            <w:shd w:val="clear" w:color="auto" w:fill="auto"/>
            <w:vAlign w:val="center"/>
          </w:tcPr>
          <w:p w14:paraId="4B9E2B82" w14:textId="77777777" w:rsidR="00A048FB" w:rsidRPr="00FD50F6" w:rsidRDefault="00A048FB" w:rsidP="00353026">
            <w:pPr>
              <w:pStyle w:val="7"/>
              <w:rPr>
                <w:sz w:val="18"/>
                <w:szCs w:val="18"/>
              </w:rPr>
            </w:pPr>
            <w:r w:rsidRPr="00FD50F6">
              <w:rPr>
                <w:rFonts w:hint="eastAsia"/>
              </w:rPr>
              <w:t>出站自动检票机外侧离出入口通道边缘距离</w:t>
            </w:r>
          </w:p>
        </w:tc>
        <w:tc>
          <w:tcPr>
            <w:tcW w:w="2523" w:type="dxa"/>
            <w:shd w:val="clear" w:color="auto" w:fill="auto"/>
            <w:vAlign w:val="center"/>
          </w:tcPr>
          <w:p w14:paraId="0DF807ED" w14:textId="77777777" w:rsidR="00A048FB" w:rsidRPr="00FD50F6" w:rsidRDefault="00A048FB" w:rsidP="00353026">
            <w:pPr>
              <w:pStyle w:val="7"/>
              <w:rPr>
                <w:sz w:val="18"/>
                <w:szCs w:val="18"/>
              </w:rPr>
            </w:pPr>
            <w:r w:rsidRPr="00FD50F6">
              <w:t>5</w:t>
            </w:r>
          </w:p>
        </w:tc>
      </w:tr>
      <w:tr w:rsidR="00FD50F6" w:rsidRPr="00FD50F6" w14:paraId="4A1A182D" w14:textId="77777777" w:rsidTr="00353026">
        <w:trPr>
          <w:trHeight w:val="340"/>
          <w:jc w:val="center"/>
        </w:trPr>
        <w:tc>
          <w:tcPr>
            <w:tcW w:w="5524" w:type="dxa"/>
            <w:shd w:val="clear" w:color="auto" w:fill="auto"/>
            <w:vAlign w:val="center"/>
          </w:tcPr>
          <w:p w14:paraId="7146583F" w14:textId="77777777" w:rsidR="00A048FB" w:rsidRPr="00FD50F6" w:rsidRDefault="00A048FB" w:rsidP="00353026">
            <w:pPr>
              <w:pStyle w:val="7"/>
              <w:rPr>
                <w:sz w:val="18"/>
                <w:szCs w:val="18"/>
              </w:rPr>
            </w:pPr>
            <w:r w:rsidRPr="00FD50F6">
              <w:rPr>
                <w:rFonts w:hint="eastAsia"/>
              </w:rPr>
              <w:t>进站自动检票机与安检设施边缘的距离</w:t>
            </w:r>
          </w:p>
        </w:tc>
        <w:tc>
          <w:tcPr>
            <w:tcW w:w="2523" w:type="dxa"/>
            <w:shd w:val="clear" w:color="auto" w:fill="auto"/>
            <w:vAlign w:val="center"/>
          </w:tcPr>
          <w:p w14:paraId="32B44DD1" w14:textId="77777777" w:rsidR="00A048FB" w:rsidRPr="00FD50F6" w:rsidRDefault="00A048FB" w:rsidP="00353026">
            <w:pPr>
              <w:pStyle w:val="7"/>
              <w:rPr>
                <w:sz w:val="18"/>
                <w:szCs w:val="18"/>
              </w:rPr>
            </w:pPr>
            <w:r w:rsidRPr="00FD50F6">
              <w:t>5</w:t>
            </w:r>
          </w:p>
        </w:tc>
      </w:tr>
    </w:tbl>
    <w:p w14:paraId="661E5A9A" w14:textId="77777777" w:rsidR="00A048FB" w:rsidRPr="00FD50F6" w:rsidRDefault="00A048FB" w:rsidP="001A4CF3">
      <w:pPr>
        <w:pStyle w:val="2"/>
        <w:numPr>
          <w:ilvl w:val="1"/>
          <w:numId w:val="6"/>
        </w:numPr>
      </w:pPr>
      <w:bookmarkStart w:id="382" w:name="_Toc112830691"/>
      <w:r w:rsidRPr="00FD50F6">
        <w:rPr>
          <w:rFonts w:hint="eastAsia"/>
        </w:rPr>
        <w:t>车站总体布置</w:t>
      </w:r>
      <w:bookmarkEnd w:id="365"/>
      <w:bookmarkEnd w:id="366"/>
      <w:bookmarkEnd w:id="367"/>
      <w:bookmarkEnd w:id="368"/>
      <w:bookmarkEnd w:id="369"/>
      <w:bookmarkEnd w:id="382"/>
    </w:p>
    <w:p w14:paraId="3586A122" w14:textId="399F05C3" w:rsidR="00A048FB" w:rsidRPr="00FD50F6" w:rsidRDefault="00A048FB" w:rsidP="00A048FB">
      <w:pPr>
        <w:pStyle w:val="30"/>
        <w:rPr>
          <w:b/>
        </w:rPr>
      </w:pPr>
      <w:r w:rsidRPr="00FD50F6">
        <w:rPr>
          <w:rFonts w:hint="eastAsia"/>
        </w:rPr>
        <w:t>地下车站总平面布局应根据线路特征、运营要求、地上和地下周边环境和规划条件、车站和区间采用的施工方法等条件确定。车站站位和出入口、风亭、冷却塔等附属设施的位置，应符合功能需求，满足规划、消防、人防、环保和城市景观等要求。站台可选用岛式、侧式、侧岛混合式等形式。站厅可采</w:t>
      </w:r>
      <w:r w:rsidRPr="00FD50F6">
        <w:rPr>
          <w:rFonts w:hint="eastAsia"/>
        </w:rPr>
        <w:lastRenderedPageBreak/>
        <w:t>用贯通式、端头厅式、地面厅等形式。</w:t>
      </w:r>
    </w:p>
    <w:p w14:paraId="08E0715E" w14:textId="77777777" w:rsidR="00A048FB" w:rsidRPr="00FD50F6" w:rsidRDefault="00A048FB" w:rsidP="00A048FB">
      <w:pPr>
        <w:pStyle w:val="30"/>
        <w:rPr>
          <w:b/>
        </w:rPr>
      </w:pPr>
      <w:r w:rsidRPr="00FD50F6">
        <w:rPr>
          <w:rFonts w:hint="eastAsia"/>
        </w:rPr>
        <w:t>地下车站竖向布局应根据线路敷设方式、地面纵坡、地下管线、地下构筑物和区间穿越条件等因素，采取地下多层、地下一层、路堑式等形式，车站埋深宜浅。</w:t>
      </w:r>
    </w:p>
    <w:p w14:paraId="2569D8B9" w14:textId="77777777" w:rsidR="00A048FB" w:rsidRPr="00FD50F6" w:rsidRDefault="00A048FB" w:rsidP="00A048FB">
      <w:pPr>
        <w:pStyle w:val="30"/>
        <w:rPr>
          <w:b/>
        </w:rPr>
      </w:pPr>
      <w:r w:rsidRPr="00FD50F6">
        <w:rPr>
          <w:rFonts w:hint="eastAsia"/>
        </w:rPr>
        <w:t>地上车站的总平面布局应根据区间线路条件、道路红线宽度、地面交通状况、周边环境及城市景观等因素确定，站位可采取路侧或路中，车站可采取地上一层、高架二层、高架多层等形式。有条件时，车站宜将站厅及设备管理用房设于地面。</w:t>
      </w:r>
    </w:p>
    <w:p w14:paraId="68AC062C" w14:textId="77777777" w:rsidR="00A048FB" w:rsidRPr="00FD50F6" w:rsidRDefault="00A048FB" w:rsidP="00A048FB">
      <w:pPr>
        <w:pStyle w:val="30"/>
        <w:rPr>
          <w:b/>
        </w:rPr>
      </w:pPr>
      <w:r w:rsidRPr="00FD50F6">
        <w:rPr>
          <w:rFonts w:hint="eastAsia"/>
        </w:rPr>
        <w:t>换乘车站应根据地铁线网规划、线路敷设方式、地上及地下周边环境、换乘量的大小等因素，可选取同车站平行换乘、同站台平面换乘、站台上下平行换乘、站台间的“十”形、“</w:t>
      </w:r>
      <w:r w:rsidRPr="00FD50F6">
        <w:t>T</w:t>
      </w:r>
      <w:r w:rsidRPr="00FD50F6">
        <w:rPr>
          <w:rFonts w:hint="eastAsia"/>
        </w:rPr>
        <w:t>”形、“</w:t>
      </w:r>
      <w:r w:rsidRPr="00FD50F6">
        <w:t>L</w:t>
      </w:r>
      <w:r w:rsidRPr="00FD50F6">
        <w:rPr>
          <w:rFonts w:hint="eastAsia"/>
        </w:rPr>
        <w:t>”形、“</w:t>
      </w:r>
      <w:r w:rsidRPr="00FD50F6">
        <w:t>H</w:t>
      </w:r>
      <w:r w:rsidRPr="00FD50F6">
        <w:rPr>
          <w:rFonts w:hint="eastAsia"/>
        </w:rPr>
        <w:t>”形等换乘及通道换乘形式。</w:t>
      </w:r>
    </w:p>
    <w:p w14:paraId="2A75C570" w14:textId="77777777" w:rsidR="00A048FB" w:rsidRPr="00FD50F6" w:rsidRDefault="00A048FB" w:rsidP="00A048FB">
      <w:pPr>
        <w:pStyle w:val="30"/>
        <w:rPr>
          <w:b/>
        </w:rPr>
      </w:pPr>
      <w:r w:rsidRPr="00FD50F6">
        <w:rPr>
          <w:rFonts w:hint="eastAsia"/>
        </w:rPr>
        <w:t>地下车站的总体布置应符合下列规定：</w:t>
      </w:r>
    </w:p>
    <w:p w14:paraId="03243268" w14:textId="059005C8" w:rsidR="00A048FB" w:rsidRPr="00FD50F6" w:rsidRDefault="00A048FB" w:rsidP="00A926BD">
      <w:pPr>
        <w:pStyle w:val="4"/>
      </w:pPr>
      <w:r w:rsidRPr="00FD50F6">
        <w:rPr>
          <w:rFonts w:hint="eastAsia"/>
        </w:rPr>
        <w:t>有条件时地下车站宜将站厅及设备、管理用房设于地面</w:t>
      </w:r>
      <w:r w:rsidR="00F70D15" w:rsidRPr="00FD50F6">
        <w:rPr>
          <w:rFonts w:hint="eastAsia"/>
        </w:rPr>
        <w:t>；</w:t>
      </w:r>
    </w:p>
    <w:p w14:paraId="1EAE75A8" w14:textId="6A73B779" w:rsidR="00A048FB" w:rsidRPr="00FD50F6" w:rsidRDefault="008D6C92" w:rsidP="00A926BD">
      <w:pPr>
        <w:pStyle w:val="4"/>
      </w:pPr>
      <w:r w:rsidRPr="00FD50F6">
        <w:rPr>
          <w:rFonts w:hint="eastAsia"/>
        </w:rPr>
        <w:t>跨</w:t>
      </w:r>
      <w:r>
        <w:rPr>
          <w:rFonts w:hint="eastAsia"/>
        </w:rPr>
        <w:t>道路</w:t>
      </w:r>
      <w:r w:rsidRPr="00FD50F6">
        <w:rPr>
          <w:rFonts w:hint="eastAsia"/>
        </w:rPr>
        <w:t>交叉口设置的地下车站，应结合规划条件在不同象限设置出入口，偏</w:t>
      </w:r>
      <w:r>
        <w:rPr>
          <w:rFonts w:hint="eastAsia"/>
        </w:rPr>
        <w:t>道路</w:t>
      </w:r>
      <w:r w:rsidRPr="00FD50F6">
        <w:rPr>
          <w:rFonts w:hint="eastAsia"/>
        </w:rPr>
        <w:t>交叉口一侧设置的地下车站，宜在主客流方向设置跨</w:t>
      </w:r>
      <w:r>
        <w:rPr>
          <w:rFonts w:hint="eastAsia"/>
        </w:rPr>
        <w:t>道路</w:t>
      </w:r>
      <w:r w:rsidRPr="00FD50F6">
        <w:rPr>
          <w:rFonts w:hint="eastAsia"/>
        </w:rPr>
        <w:t>交叉口的出入口或预留过街条件</w:t>
      </w:r>
      <w:r w:rsidR="00F70D15" w:rsidRPr="00FD50F6">
        <w:rPr>
          <w:rFonts w:hint="eastAsia"/>
        </w:rPr>
        <w:t>；</w:t>
      </w:r>
    </w:p>
    <w:p w14:paraId="25E47884" w14:textId="077554A7" w:rsidR="00A048FB" w:rsidRPr="00FD50F6" w:rsidRDefault="00A048FB" w:rsidP="00A926BD">
      <w:pPr>
        <w:pStyle w:val="4"/>
      </w:pPr>
      <w:r w:rsidRPr="00FD50F6">
        <w:rPr>
          <w:rFonts w:hint="eastAsia"/>
        </w:rPr>
        <w:t>带配线的明挖车站应充分利用配线上部空间布置设备与管理用房，设备与管理用房不宜外挂布置</w:t>
      </w:r>
      <w:r w:rsidR="00D024C5" w:rsidRPr="00FD50F6">
        <w:rPr>
          <w:rFonts w:hint="eastAsia"/>
        </w:rPr>
        <w:t>；</w:t>
      </w:r>
    </w:p>
    <w:p w14:paraId="48F01933" w14:textId="3535BDC1" w:rsidR="00A048FB" w:rsidRPr="00FD50F6" w:rsidRDefault="00A048FB" w:rsidP="00A926BD">
      <w:pPr>
        <w:pStyle w:val="4"/>
      </w:pPr>
      <w:r w:rsidRPr="00FD50F6">
        <w:rPr>
          <w:rFonts w:hint="eastAsia"/>
        </w:rPr>
        <w:t>车站出入口附近，宜根据交通衔接需要与现状条件，设置非机动车和机动车的停放场地。</w:t>
      </w:r>
    </w:p>
    <w:p w14:paraId="3E038AAD" w14:textId="77777777" w:rsidR="00A048FB" w:rsidRPr="00FD50F6" w:rsidRDefault="00A048FB" w:rsidP="00A048FB">
      <w:pPr>
        <w:pStyle w:val="30"/>
      </w:pPr>
      <w:r w:rsidRPr="00FD50F6">
        <w:rPr>
          <w:rFonts w:hint="eastAsia"/>
        </w:rPr>
        <w:t>地上车站站位设置应符合下列规定：</w:t>
      </w:r>
    </w:p>
    <w:p w14:paraId="28EBDDD3" w14:textId="0E8DD289" w:rsidR="00A048FB" w:rsidRPr="00FD50F6" w:rsidRDefault="00A048FB" w:rsidP="00A926BD">
      <w:pPr>
        <w:pStyle w:val="4"/>
      </w:pPr>
      <w:r w:rsidRPr="00FD50F6">
        <w:rPr>
          <w:rFonts w:hint="eastAsia"/>
        </w:rPr>
        <w:t>设于道路红线外的地上车站应符合站址周边规划和环保要求，站前广场的地面标高不应低于周边场地的地面高程和衔接道路的人行道高程，确有困难时，应采取有效的排水措施。当与开发建筑结合时，应采取减少振动和降低噪声干扰的措施</w:t>
      </w:r>
      <w:r w:rsidR="00D024C5" w:rsidRPr="00FD50F6">
        <w:rPr>
          <w:rFonts w:hint="eastAsia"/>
        </w:rPr>
        <w:t>；</w:t>
      </w:r>
    </w:p>
    <w:p w14:paraId="7BA9AC5C" w14:textId="27B3B0DA" w:rsidR="00A048FB" w:rsidRPr="00FD50F6" w:rsidRDefault="008D6C92" w:rsidP="00A926BD">
      <w:pPr>
        <w:pStyle w:val="4"/>
      </w:pPr>
      <w:r w:rsidRPr="00FD50F6">
        <w:rPr>
          <w:rFonts w:hint="eastAsia"/>
        </w:rPr>
        <w:t>设于道路中央的高架车站不应跨</w:t>
      </w:r>
      <w:r>
        <w:rPr>
          <w:rFonts w:hint="eastAsia"/>
        </w:rPr>
        <w:t>道路</w:t>
      </w:r>
      <w:r w:rsidRPr="00FD50F6">
        <w:rPr>
          <w:rFonts w:hint="eastAsia"/>
        </w:rPr>
        <w:t>十字交叉口和丁字交叉口布设，必须跨路设置的高架车站，宜缩小体量，桥墩的设置不应影响</w:t>
      </w:r>
      <w:r>
        <w:rPr>
          <w:rFonts w:hint="eastAsia"/>
        </w:rPr>
        <w:t>道路</w:t>
      </w:r>
      <w:r w:rsidRPr="00FD50F6">
        <w:rPr>
          <w:rFonts w:hint="eastAsia"/>
        </w:rPr>
        <w:t>交叉口交通视线和道路渠化；当偏</w:t>
      </w:r>
      <w:r>
        <w:rPr>
          <w:rFonts w:hint="eastAsia"/>
        </w:rPr>
        <w:t>道路</w:t>
      </w:r>
      <w:r w:rsidRPr="00FD50F6">
        <w:rPr>
          <w:rFonts w:hint="eastAsia"/>
        </w:rPr>
        <w:t>交叉口设站时，车站站端建筑轮廓线离道路红线交叉点的距离不宜小于</w:t>
      </w:r>
      <w:r w:rsidRPr="00FD50F6">
        <w:t xml:space="preserve"> 30m</w:t>
      </w:r>
      <w:r w:rsidR="00D024C5" w:rsidRPr="00FD50F6">
        <w:rPr>
          <w:rFonts w:hint="eastAsia"/>
        </w:rPr>
        <w:t>；</w:t>
      </w:r>
    </w:p>
    <w:p w14:paraId="374634EB" w14:textId="77777777" w:rsidR="00A048FB" w:rsidRPr="00FD50F6" w:rsidRDefault="00A048FB" w:rsidP="00A926BD">
      <w:pPr>
        <w:pStyle w:val="4"/>
      </w:pPr>
      <w:r w:rsidRPr="00FD50F6">
        <w:rPr>
          <w:rFonts w:hint="eastAsia"/>
        </w:rPr>
        <w:t>高架车站应远离横穿线路的铁路和公路桥，以及公路隧道进出口和立交桥，</w:t>
      </w:r>
      <w:r w:rsidRPr="00FD50F6">
        <w:rPr>
          <w:rFonts w:hint="eastAsia"/>
        </w:rPr>
        <w:lastRenderedPageBreak/>
        <w:t>并应满足道路交通要求。</w:t>
      </w:r>
    </w:p>
    <w:p w14:paraId="1B68D9A4" w14:textId="77777777" w:rsidR="00A048FB" w:rsidRPr="00FD50F6" w:rsidRDefault="00A048FB" w:rsidP="00A048FB">
      <w:pPr>
        <w:pStyle w:val="30"/>
        <w:rPr>
          <w:b/>
        </w:rPr>
      </w:pPr>
      <w:r w:rsidRPr="00FD50F6">
        <w:rPr>
          <w:rFonts w:hint="eastAsia"/>
        </w:rPr>
        <w:t>排风和活塞风亭（井）的设置位置应避让学校、医院、幼儿园、养老院等场所。</w:t>
      </w:r>
    </w:p>
    <w:p w14:paraId="207219E2" w14:textId="77777777" w:rsidR="00A048FB" w:rsidRPr="00FD50F6" w:rsidRDefault="00A048FB" w:rsidP="00A65181">
      <w:pPr>
        <w:pStyle w:val="2"/>
      </w:pPr>
      <w:bookmarkStart w:id="383" w:name="_Toc320639572"/>
      <w:bookmarkStart w:id="384" w:name="_Toc344218737"/>
      <w:bookmarkStart w:id="385" w:name="_Toc236222488"/>
      <w:bookmarkStart w:id="386" w:name="_Toc306203689"/>
      <w:bookmarkStart w:id="387" w:name="_Toc320115661"/>
      <w:bookmarkStart w:id="388" w:name="_Toc112830692"/>
      <w:r w:rsidRPr="00FD50F6">
        <w:rPr>
          <w:rFonts w:hint="eastAsia"/>
        </w:rPr>
        <w:t>车站</w:t>
      </w:r>
      <w:bookmarkEnd w:id="383"/>
      <w:bookmarkEnd w:id="384"/>
      <w:bookmarkEnd w:id="385"/>
      <w:bookmarkEnd w:id="386"/>
      <w:bookmarkEnd w:id="387"/>
      <w:r w:rsidRPr="00FD50F6">
        <w:rPr>
          <w:rFonts w:hint="eastAsia"/>
        </w:rPr>
        <w:t>平面</w:t>
      </w:r>
      <w:bookmarkEnd w:id="388"/>
    </w:p>
    <w:p w14:paraId="5457BA82" w14:textId="7E0E44B5" w:rsidR="00A048FB" w:rsidRPr="00FD50F6" w:rsidRDefault="00A048FB" w:rsidP="00A048FB">
      <w:pPr>
        <w:pStyle w:val="30"/>
        <w:rPr>
          <w:b/>
        </w:rPr>
      </w:pPr>
      <w:r w:rsidRPr="00FD50F6">
        <w:rPr>
          <w:rFonts w:hint="eastAsia"/>
        </w:rPr>
        <w:t>站厅公共区平面应根据车站形式、客流流线、安检设施、售检票方式以及楼梯、自动扶梯、垂直电梯和其他乘客服务设施的布局综合确定。</w:t>
      </w:r>
    </w:p>
    <w:p w14:paraId="449AEB09" w14:textId="77777777" w:rsidR="00A048FB" w:rsidRPr="00FD50F6" w:rsidRDefault="00A048FB" w:rsidP="00A048FB">
      <w:pPr>
        <w:pStyle w:val="30"/>
        <w:rPr>
          <w:b/>
        </w:rPr>
      </w:pPr>
      <w:r w:rsidRPr="00FD50F6">
        <w:rPr>
          <w:rFonts w:hint="eastAsia"/>
        </w:rPr>
        <w:t>站厅公共区应用检票机和栅栏隔开，划分为非付费区和付费区。栅栏的设置应符合下列规定：</w:t>
      </w:r>
    </w:p>
    <w:p w14:paraId="0637A1FF" w14:textId="77777777" w:rsidR="00A048FB" w:rsidRPr="00FD50F6" w:rsidRDefault="00A048FB" w:rsidP="00A926BD">
      <w:pPr>
        <w:pStyle w:val="4"/>
      </w:pPr>
      <w:r w:rsidRPr="00FD50F6">
        <w:rPr>
          <w:rFonts w:hint="eastAsia"/>
        </w:rPr>
        <w:t>栅栏的栏杆高度不应低于</w:t>
      </w:r>
      <w:r w:rsidRPr="00FD50F6">
        <w:t xml:space="preserve"> 1.1m</w:t>
      </w:r>
      <w:r w:rsidRPr="00FD50F6">
        <w:rPr>
          <w:rFonts w:hint="eastAsia"/>
        </w:rPr>
        <w:t>；</w:t>
      </w:r>
    </w:p>
    <w:p w14:paraId="1F4E726E" w14:textId="77777777" w:rsidR="00A048FB" w:rsidRPr="00FD50F6" w:rsidRDefault="00A048FB" w:rsidP="00A926BD">
      <w:pPr>
        <w:pStyle w:val="4"/>
      </w:pPr>
      <w:r w:rsidRPr="00FD50F6">
        <w:rPr>
          <w:rFonts w:hint="eastAsia"/>
        </w:rPr>
        <w:t>在付费区的不同方向应设置向疏散方向开启的平开栅栏门，栅栏门的净宽不应小于</w:t>
      </w:r>
      <w:r w:rsidRPr="00FD50F6">
        <w:t>1.1m</w:t>
      </w:r>
      <w:r w:rsidRPr="00FD50F6">
        <w:rPr>
          <w:rFonts w:hint="eastAsia"/>
        </w:rPr>
        <w:t>；</w:t>
      </w:r>
    </w:p>
    <w:p w14:paraId="1F88A1AE" w14:textId="163C89CB" w:rsidR="00A048FB" w:rsidRPr="00FD50F6" w:rsidRDefault="00A048FB" w:rsidP="00A926BD">
      <w:pPr>
        <w:pStyle w:val="4"/>
      </w:pPr>
      <w:r w:rsidRPr="00FD50F6">
        <w:rPr>
          <w:rFonts w:hint="eastAsia"/>
        </w:rPr>
        <w:t>栏栅门及进出站</w:t>
      </w:r>
      <w:r w:rsidR="00C07DFE" w:rsidRPr="00FD50F6">
        <w:rPr>
          <w:rFonts w:hint="eastAsia"/>
        </w:rPr>
        <w:t>自动检票机</w:t>
      </w:r>
      <w:r w:rsidRPr="00FD50F6">
        <w:rPr>
          <w:rFonts w:hint="eastAsia"/>
        </w:rPr>
        <w:t>的通行能力之和应满足本标准第</w:t>
      </w:r>
      <w:r w:rsidR="00FF2802" w:rsidRPr="00FD50F6">
        <w:t>30</w:t>
      </w:r>
      <w:r w:rsidRPr="00FD50F6">
        <w:t>.2.11</w:t>
      </w:r>
      <w:r w:rsidRPr="00FD50F6">
        <w:rPr>
          <w:rFonts w:hint="eastAsia"/>
        </w:rPr>
        <w:t>条的规定；</w:t>
      </w:r>
    </w:p>
    <w:p w14:paraId="57AF6122" w14:textId="77777777" w:rsidR="00A048FB" w:rsidRPr="00FD50F6" w:rsidRDefault="00A048FB" w:rsidP="00A926BD">
      <w:pPr>
        <w:pStyle w:val="4"/>
      </w:pPr>
      <w:r w:rsidRPr="00FD50F6">
        <w:rPr>
          <w:rFonts w:hint="eastAsia"/>
        </w:rPr>
        <w:t>当有特种消防设备进入付费区时，栅栏门宽度和相关设施布置应满足其通过要求。</w:t>
      </w:r>
    </w:p>
    <w:p w14:paraId="7E2E35C8" w14:textId="2B7EFAED" w:rsidR="00A048FB" w:rsidRPr="00FD50F6" w:rsidRDefault="00A048FB" w:rsidP="00A048FB">
      <w:pPr>
        <w:pStyle w:val="30"/>
        <w:rPr>
          <w:b/>
        </w:rPr>
      </w:pPr>
      <w:r w:rsidRPr="00FD50F6">
        <w:rPr>
          <w:rFonts w:hint="eastAsia"/>
        </w:rPr>
        <w:t>站厅自动售、检票机应结合出入口通道、楼梯、自动扶梯、垂直电梯、安检、票务等服务设施布局，且应符合下列规定：</w:t>
      </w:r>
    </w:p>
    <w:p w14:paraId="4DD23117" w14:textId="1A364A6E" w:rsidR="00A048FB" w:rsidRPr="00FD50F6" w:rsidRDefault="00A048FB" w:rsidP="00A926BD">
      <w:pPr>
        <w:pStyle w:val="4"/>
      </w:pPr>
      <w:r w:rsidRPr="00FD50F6">
        <w:rPr>
          <w:rFonts w:hint="eastAsia"/>
        </w:rPr>
        <w:t>售检票方式应根据运营需要采用人工、半自动或自动式</w:t>
      </w:r>
      <w:r w:rsidR="00D024C5" w:rsidRPr="00FD50F6">
        <w:rPr>
          <w:rFonts w:hint="eastAsia"/>
        </w:rPr>
        <w:t>；</w:t>
      </w:r>
    </w:p>
    <w:p w14:paraId="13B22DE1" w14:textId="17A911D6" w:rsidR="00A048FB" w:rsidRPr="00FD50F6" w:rsidRDefault="00A048FB" w:rsidP="00A926BD">
      <w:pPr>
        <w:pStyle w:val="4"/>
      </w:pPr>
      <w:r w:rsidRPr="00FD50F6">
        <w:rPr>
          <w:rFonts w:hint="eastAsia"/>
        </w:rPr>
        <w:t>售检票机及安检设备的布置应符合乘客进出站流线，客流不宜交叉</w:t>
      </w:r>
      <w:r w:rsidR="00D024C5" w:rsidRPr="00FD50F6">
        <w:rPr>
          <w:rFonts w:hint="eastAsia"/>
        </w:rPr>
        <w:t>；</w:t>
      </w:r>
    </w:p>
    <w:p w14:paraId="3596C125" w14:textId="75DCC24E" w:rsidR="00A048FB" w:rsidRPr="00FD50F6" w:rsidRDefault="00A048FB" w:rsidP="00A926BD">
      <w:pPr>
        <w:pStyle w:val="4"/>
      </w:pPr>
      <w:r w:rsidRPr="00FD50F6">
        <w:rPr>
          <w:rFonts w:hint="eastAsia"/>
        </w:rPr>
        <w:t>车站售检票机的数量和布局应根据近远期客流统一设计，远期可预留条件、分期实施</w:t>
      </w:r>
      <w:r w:rsidR="00D024C5" w:rsidRPr="00FD50F6">
        <w:rPr>
          <w:rFonts w:hint="eastAsia"/>
        </w:rPr>
        <w:t>；</w:t>
      </w:r>
    </w:p>
    <w:p w14:paraId="737C68F4" w14:textId="5E5DBD9C" w:rsidR="00A048FB" w:rsidRPr="00FD50F6" w:rsidRDefault="00A048FB" w:rsidP="00A926BD">
      <w:pPr>
        <w:pStyle w:val="4"/>
      </w:pPr>
      <w:r w:rsidRPr="00FD50F6">
        <w:rPr>
          <w:rFonts w:hint="eastAsia"/>
        </w:rPr>
        <w:t>售票机前应留有购票乘客的等候空间，等候空间不应侵入人流通行区</w:t>
      </w:r>
      <w:r w:rsidR="00D024C5" w:rsidRPr="00FD50F6">
        <w:rPr>
          <w:rFonts w:hint="eastAsia"/>
        </w:rPr>
        <w:t>；</w:t>
      </w:r>
    </w:p>
    <w:p w14:paraId="06D3418B" w14:textId="78F57DE0" w:rsidR="00A048FB" w:rsidRPr="00FD50F6" w:rsidRDefault="00A048FB" w:rsidP="00A926BD">
      <w:pPr>
        <w:pStyle w:val="4"/>
      </w:pPr>
      <w:r w:rsidRPr="00FD50F6">
        <w:rPr>
          <w:rFonts w:hint="eastAsia"/>
        </w:rPr>
        <w:t>自动检票机至车站各部位的最小净距不宜小于本标准第</w:t>
      </w:r>
      <w:r w:rsidR="00FF2802" w:rsidRPr="00FD50F6">
        <w:t>10</w:t>
      </w:r>
      <w:r w:rsidRPr="00FD50F6">
        <w:t>.2.9</w:t>
      </w:r>
      <w:r w:rsidRPr="00FD50F6">
        <w:rPr>
          <w:rFonts w:hint="eastAsia"/>
        </w:rPr>
        <w:t>条的规定</w:t>
      </w:r>
      <w:r w:rsidR="00D024C5" w:rsidRPr="00FD50F6">
        <w:rPr>
          <w:rFonts w:hint="eastAsia"/>
        </w:rPr>
        <w:t>；</w:t>
      </w:r>
    </w:p>
    <w:p w14:paraId="7186305C" w14:textId="5BCFE634" w:rsidR="00A048FB" w:rsidRPr="00FD50F6" w:rsidRDefault="00A048FB" w:rsidP="00A926BD">
      <w:pPr>
        <w:pStyle w:val="4"/>
      </w:pPr>
      <w:r w:rsidRPr="00FD50F6">
        <w:rPr>
          <w:rFonts w:hint="eastAsia"/>
        </w:rPr>
        <w:t>自动售票机应结合设备检修要求进行布置，当设备检修采用后开门形式时，售票机后部离墙装饰面净距不应小于</w:t>
      </w:r>
      <w:r w:rsidRPr="00FD50F6">
        <w:t xml:space="preserve"> 0.8m</w:t>
      </w:r>
      <w:r w:rsidRPr="00FD50F6">
        <w:rPr>
          <w:rFonts w:hint="eastAsia"/>
        </w:rPr>
        <w:t>；前开门的自动售票机宜采用嵌入式或靠墙安装布置方式</w:t>
      </w:r>
      <w:r w:rsidR="00D024C5" w:rsidRPr="00FD50F6">
        <w:rPr>
          <w:rFonts w:hint="eastAsia"/>
        </w:rPr>
        <w:t>；</w:t>
      </w:r>
    </w:p>
    <w:p w14:paraId="43FA2279" w14:textId="311AE9D0" w:rsidR="00A048FB" w:rsidRPr="00FD50F6" w:rsidRDefault="00A048FB" w:rsidP="00A926BD">
      <w:pPr>
        <w:pStyle w:val="4"/>
      </w:pPr>
      <w:r w:rsidRPr="00FD50F6">
        <w:rPr>
          <w:rFonts w:hint="eastAsia"/>
        </w:rPr>
        <w:t>对不同运营时段进出站客流差别较大以及有可能发生突发客流的车站，宜在不同方向增设双向检票机</w:t>
      </w:r>
      <w:r w:rsidR="00D024C5" w:rsidRPr="00FD50F6">
        <w:rPr>
          <w:rFonts w:hint="eastAsia"/>
        </w:rPr>
        <w:t>；</w:t>
      </w:r>
    </w:p>
    <w:p w14:paraId="6E0948E8" w14:textId="70888C94" w:rsidR="00A048FB" w:rsidRPr="00FD50F6" w:rsidRDefault="00A048FB" w:rsidP="00A926BD">
      <w:pPr>
        <w:pStyle w:val="4"/>
      </w:pPr>
      <w:r w:rsidRPr="00FD50F6">
        <w:rPr>
          <w:rFonts w:hint="eastAsia"/>
        </w:rPr>
        <w:lastRenderedPageBreak/>
        <w:t>当站厅公共区连接两端非付费区的联络通道内设置进站检票机时，检票机外侧的通道净宽度不应小于</w:t>
      </w:r>
      <w:r w:rsidRPr="00FD50F6">
        <w:t>4.0m</w:t>
      </w:r>
      <w:r w:rsidR="00D024C5" w:rsidRPr="00FD50F6">
        <w:rPr>
          <w:rFonts w:hint="eastAsia"/>
        </w:rPr>
        <w:t>，</w:t>
      </w:r>
      <w:r w:rsidRPr="00FD50F6">
        <w:rPr>
          <w:rFonts w:hint="eastAsia"/>
        </w:rPr>
        <w:t>当无售检票设备时，通道最小净宽不应小于</w:t>
      </w:r>
      <w:r w:rsidRPr="00FD50F6">
        <w:t>3.0m</w:t>
      </w:r>
      <w:r w:rsidRPr="00FD50F6">
        <w:rPr>
          <w:rFonts w:hint="eastAsia"/>
        </w:rPr>
        <w:t>。</w:t>
      </w:r>
    </w:p>
    <w:p w14:paraId="753EDB06" w14:textId="4F67D59A" w:rsidR="00A048FB" w:rsidRPr="00FD50F6" w:rsidRDefault="002B4508" w:rsidP="00A048FB">
      <w:pPr>
        <w:pStyle w:val="30"/>
        <w:rPr>
          <w:b/>
        </w:rPr>
      </w:pPr>
      <w:r>
        <w:rPr>
          <w:rFonts w:hint="eastAsia"/>
        </w:rPr>
        <w:t>当</w:t>
      </w:r>
      <w:r w:rsidR="00A048FB" w:rsidRPr="00FD50F6">
        <w:rPr>
          <w:rFonts w:hint="eastAsia"/>
        </w:rPr>
        <w:t>站内设置安检设施时，其布置应符合下列规定：</w:t>
      </w:r>
    </w:p>
    <w:p w14:paraId="07656101" w14:textId="56C808ED" w:rsidR="00A048FB" w:rsidRPr="00FD50F6" w:rsidRDefault="00A048FB" w:rsidP="00A926BD">
      <w:pPr>
        <w:pStyle w:val="4"/>
      </w:pPr>
      <w:r w:rsidRPr="00FD50F6">
        <w:rPr>
          <w:rFonts w:hint="eastAsia"/>
        </w:rPr>
        <w:t>安检设施应根据乘客进站流线布置在非付费区内，设施前应留有不小于安检设施长度的排队等候空间，且不应影响出站乘客和过街客流通行；</w:t>
      </w:r>
    </w:p>
    <w:p w14:paraId="57472586" w14:textId="74E27EB3" w:rsidR="00A048FB" w:rsidRPr="00FD50F6" w:rsidRDefault="00A048FB" w:rsidP="00A926BD">
      <w:pPr>
        <w:pStyle w:val="4"/>
      </w:pPr>
      <w:r w:rsidRPr="00FD50F6">
        <w:rPr>
          <w:rFonts w:hint="eastAsia"/>
        </w:rPr>
        <w:t>当通厅式车站在两端非付费区的联络通道内设安检设施时，安检设施两端前后通行空间的进深不应小于</w:t>
      </w:r>
      <w:r w:rsidRPr="00FD50F6">
        <w:t>4m</w:t>
      </w:r>
      <w:r w:rsidRPr="00FD50F6">
        <w:rPr>
          <w:rFonts w:hint="eastAsia"/>
        </w:rPr>
        <w:t>，安检机外侧通道净宽度不宜小于</w:t>
      </w:r>
      <w:r w:rsidRPr="00FD50F6">
        <w:t>2.4m</w:t>
      </w:r>
      <w:r w:rsidRPr="00FD50F6">
        <w:rPr>
          <w:rFonts w:hint="eastAsia"/>
        </w:rPr>
        <w:t>；</w:t>
      </w:r>
    </w:p>
    <w:p w14:paraId="5F776E6E" w14:textId="1B9F82FF" w:rsidR="00A048FB" w:rsidRPr="00FD50F6" w:rsidRDefault="00A048FB" w:rsidP="00A926BD">
      <w:pPr>
        <w:pStyle w:val="4"/>
      </w:pPr>
      <w:r w:rsidRPr="00FD50F6">
        <w:rPr>
          <w:rFonts w:hint="eastAsia"/>
        </w:rPr>
        <w:t>安检设施的通行能力宜与进站</w:t>
      </w:r>
      <w:r w:rsidR="00C07DFE" w:rsidRPr="00FD50F6">
        <w:rPr>
          <w:rFonts w:hint="eastAsia"/>
        </w:rPr>
        <w:t>自动检票机</w:t>
      </w:r>
      <w:r w:rsidRPr="00FD50F6">
        <w:rPr>
          <w:rFonts w:hint="eastAsia"/>
        </w:rPr>
        <w:t>的通行能力相匹配。</w:t>
      </w:r>
    </w:p>
    <w:p w14:paraId="03D44942" w14:textId="77777777" w:rsidR="00A048FB" w:rsidRPr="00FD50F6" w:rsidRDefault="00A048FB" w:rsidP="00A048FB">
      <w:pPr>
        <w:pStyle w:val="30"/>
        <w:rPr>
          <w:b/>
        </w:rPr>
      </w:pPr>
      <w:bookmarkStart w:id="389" w:name="_Hlk8869639"/>
      <w:r w:rsidRPr="00FD50F6">
        <w:rPr>
          <w:rFonts w:hint="eastAsia"/>
        </w:rPr>
        <w:t>站台公共区应设站台屏蔽门，站台计算长度应为列车最大编组数站台屏蔽门端门之间的长度。</w:t>
      </w:r>
      <w:bookmarkEnd w:id="389"/>
    </w:p>
    <w:p w14:paraId="020B0D8C" w14:textId="5171406F" w:rsidR="00A048FB" w:rsidRPr="00FD50F6" w:rsidRDefault="00A048FB" w:rsidP="00A048FB">
      <w:pPr>
        <w:pStyle w:val="30"/>
        <w:rPr>
          <w:b/>
        </w:rPr>
      </w:pPr>
      <w:r w:rsidRPr="00FD50F6">
        <w:rPr>
          <w:rFonts w:hint="eastAsia"/>
        </w:rPr>
        <w:t>设置在站台层两端的设备与管理用房可伸入站台计算长度内，但应符合下列规定：</w:t>
      </w:r>
    </w:p>
    <w:p w14:paraId="7D13598B" w14:textId="00C1CD53" w:rsidR="00A048FB" w:rsidRPr="00FD50F6" w:rsidRDefault="00A048FB" w:rsidP="00A926BD">
      <w:pPr>
        <w:pStyle w:val="4"/>
      </w:pPr>
      <w:r w:rsidRPr="00FD50F6">
        <w:rPr>
          <w:rFonts w:hint="eastAsia"/>
        </w:rPr>
        <w:t>伸入站台计算长度内的设备管理用房不应超过一节车辆的长度，伸入部分的侧站台宽度不应小于本标准表</w:t>
      </w:r>
      <w:r w:rsidR="00BB1FF9" w:rsidRPr="00FD50F6">
        <w:t>10</w:t>
      </w:r>
      <w:r w:rsidRPr="00FD50F6">
        <w:t>.2.5-1</w:t>
      </w:r>
      <w:r w:rsidRPr="00FD50F6">
        <w:rPr>
          <w:rFonts w:hint="eastAsia"/>
        </w:rPr>
        <w:t>中规定的最小宽度；</w:t>
      </w:r>
    </w:p>
    <w:p w14:paraId="6A5F37B6" w14:textId="77777777" w:rsidR="00A048FB" w:rsidRPr="00FD50F6" w:rsidRDefault="00A048FB" w:rsidP="00A926BD">
      <w:pPr>
        <w:pStyle w:val="4"/>
      </w:pPr>
      <w:r w:rsidRPr="00FD50F6">
        <w:rPr>
          <w:rFonts w:hint="eastAsia"/>
        </w:rPr>
        <w:t>设备用房端部外墙装饰面距自动扶梯扶手带转向处或楼梯第一级踏步沿口的最小距离不应小于</w:t>
      </w:r>
      <w:r w:rsidRPr="00FD50F6">
        <w:t>8m</w:t>
      </w:r>
      <w:r w:rsidRPr="00FD50F6">
        <w:rPr>
          <w:rFonts w:hint="eastAsia"/>
        </w:rPr>
        <w:t>。</w:t>
      </w:r>
    </w:p>
    <w:p w14:paraId="61E92897" w14:textId="62028D7B" w:rsidR="00A048FB" w:rsidRPr="00FD50F6" w:rsidRDefault="00A048FB" w:rsidP="00A048FB">
      <w:pPr>
        <w:pStyle w:val="30"/>
        <w:rPr>
          <w:b/>
        </w:rPr>
      </w:pPr>
      <w:r w:rsidRPr="00FD50F6">
        <w:rPr>
          <w:rFonts w:hint="eastAsia"/>
        </w:rPr>
        <w:t>站台上的楼梯和自动扶梯宜纵向均匀设置，楼梯、自动扶梯和垂直电梯前应有足够的缓冲空间，自动扶梯的设置要求应符合本标准第</w:t>
      </w:r>
      <w:r w:rsidRPr="00FD50F6">
        <w:rPr>
          <w:rFonts w:hint="eastAsia"/>
        </w:rPr>
        <w:t>2</w:t>
      </w:r>
      <w:r w:rsidR="00A0175C" w:rsidRPr="00FD50F6">
        <w:t>7</w:t>
      </w:r>
      <w:r w:rsidRPr="00FD50F6">
        <w:t>.1</w:t>
      </w:r>
      <w:r w:rsidRPr="00FD50F6">
        <w:rPr>
          <w:rFonts w:hint="eastAsia"/>
        </w:rPr>
        <w:t>节的规定。</w:t>
      </w:r>
    </w:p>
    <w:p w14:paraId="48C72323" w14:textId="77777777" w:rsidR="00A048FB" w:rsidRPr="00FD50F6" w:rsidRDefault="00A048FB" w:rsidP="00A048FB">
      <w:pPr>
        <w:pStyle w:val="30"/>
        <w:rPr>
          <w:b/>
        </w:rPr>
      </w:pPr>
      <w:r w:rsidRPr="00FD50F6">
        <w:rPr>
          <w:rFonts w:hint="eastAsia"/>
        </w:rPr>
        <w:t>地下车站每侧站台屏蔽门上的应急门数量不宜小于远期列车编组数的一半，且不应少于两处，全高屏蔽门上的应急门宜采用双扇对开方式。</w:t>
      </w:r>
    </w:p>
    <w:p w14:paraId="68FA2F49" w14:textId="089E71B6" w:rsidR="00A048FB" w:rsidRPr="00FD50F6" w:rsidRDefault="00A048FB" w:rsidP="00A048FB">
      <w:pPr>
        <w:pStyle w:val="30"/>
        <w:rPr>
          <w:b/>
        </w:rPr>
      </w:pPr>
      <w:r w:rsidRPr="00FD50F6">
        <w:rPr>
          <w:rFonts w:hint="eastAsia"/>
        </w:rPr>
        <w:t>地下车站站台屏蔽门端门外的设备管理用房外墙装饰面至线路中心线的距离不应侵入建筑限界，当车站设有配线或线路进入曲线段时，站台板、结构墙、柱、上反底纵梁等构筑物以及轨道区的设备边缘离线路中心线的距离应满足限界要求。</w:t>
      </w:r>
    </w:p>
    <w:p w14:paraId="60F500DF" w14:textId="77777777" w:rsidR="00A048FB" w:rsidRPr="00FD50F6" w:rsidRDefault="00A048FB" w:rsidP="00A048FB">
      <w:pPr>
        <w:pStyle w:val="30"/>
        <w:rPr>
          <w:b/>
        </w:rPr>
      </w:pPr>
      <w:r w:rsidRPr="00FD50F6">
        <w:rPr>
          <w:rFonts w:hint="eastAsia"/>
        </w:rPr>
        <w:t>地下车站站台屏蔽门端门外设备用房区外侧面向轨行区的通道，应符合下列规定：</w:t>
      </w:r>
    </w:p>
    <w:p w14:paraId="322F66CB" w14:textId="77777777" w:rsidR="00A048FB" w:rsidRPr="00FD50F6" w:rsidRDefault="00A048FB" w:rsidP="00A926BD">
      <w:pPr>
        <w:pStyle w:val="4"/>
      </w:pPr>
      <w:r w:rsidRPr="00FD50F6">
        <w:rPr>
          <w:rFonts w:hint="eastAsia"/>
        </w:rPr>
        <w:t>地下车站站台屏蔽门端门外应设置人行通道和净宽不小于</w:t>
      </w:r>
      <w:r w:rsidRPr="00FD50F6">
        <w:t xml:space="preserve"> 1.1m </w:t>
      </w:r>
      <w:r w:rsidRPr="00FD50F6">
        <w:rPr>
          <w:rFonts w:hint="eastAsia"/>
        </w:rPr>
        <w:t>的楼梯；</w:t>
      </w:r>
    </w:p>
    <w:p w14:paraId="5F875648" w14:textId="417D010C" w:rsidR="00A048FB" w:rsidRPr="00FD50F6" w:rsidRDefault="00A048FB" w:rsidP="00A926BD">
      <w:pPr>
        <w:pStyle w:val="4"/>
      </w:pPr>
      <w:r w:rsidRPr="00FD50F6">
        <w:rPr>
          <w:rFonts w:hint="eastAsia"/>
        </w:rPr>
        <w:t>非全自动运行线路，人行通道靠近轨行区一侧应设栏杆，栏杆高度不应小于</w:t>
      </w:r>
      <w:r w:rsidRPr="00FD50F6">
        <w:t xml:space="preserve"> 1.05m</w:t>
      </w:r>
      <w:r w:rsidRPr="00FD50F6">
        <w:rPr>
          <w:rFonts w:hint="eastAsia"/>
        </w:rPr>
        <w:t>，且不得侵入限界；</w:t>
      </w:r>
    </w:p>
    <w:p w14:paraId="6605EE82" w14:textId="5992775B" w:rsidR="00A048FB" w:rsidRPr="00FD50F6" w:rsidRDefault="00A048FB" w:rsidP="00A926BD">
      <w:pPr>
        <w:pStyle w:val="4"/>
      </w:pPr>
      <w:r w:rsidRPr="00FD50F6">
        <w:rPr>
          <w:rFonts w:hint="eastAsia"/>
        </w:rPr>
        <w:lastRenderedPageBreak/>
        <w:t>全自动运行线路，地下车站站台屏蔽门端门外的人行通道宜采用内走廊；当条件困难时，人行通道与轨行区间应采取封闭措施，且应满足限界要求。</w:t>
      </w:r>
    </w:p>
    <w:p w14:paraId="0C9BCFB7" w14:textId="77777777" w:rsidR="00A048FB" w:rsidRPr="00FD50F6" w:rsidRDefault="00A048FB" w:rsidP="00A048FB">
      <w:pPr>
        <w:pStyle w:val="30"/>
        <w:rPr>
          <w:b/>
        </w:rPr>
      </w:pPr>
      <w:r w:rsidRPr="00FD50F6">
        <w:rPr>
          <w:rFonts w:hint="eastAsia"/>
        </w:rPr>
        <w:t>地上车站站台雨篷应符合下列规定：</w:t>
      </w:r>
    </w:p>
    <w:p w14:paraId="507C54D4" w14:textId="46537AEF" w:rsidR="00A048FB" w:rsidRPr="00FD50F6" w:rsidRDefault="00A048FB" w:rsidP="00A926BD">
      <w:pPr>
        <w:pStyle w:val="4"/>
      </w:pPr>
      <w:r w:rsidRPr="00FD50F6">
        <w:rPr>
          <w:rFonts w:hint="eastAsia"/>
        </w:rPr>
        <w:t>雨蓬的最小净高应满足本标准表</w:t>
      </w:r>
      <w:r w:rsidR="00A0175C" w:rsidRPr="00FD50F6">
        <w:t>10</w:t>
      </w:r>
      <w:r w:rsidRPr="00FD50F6">
        <w:t>.2.5-2</w:t>
      </w:r>
      <w:r w:rsidRPr="00FD50F6">
        <w:rPr>
          <w:rFonts w:hint="eastAsia"/>
        </w:rPr>
        <w:t>的规定；</w:t>
      </w:r>
    </w:p>
    <w:p w14:paraId="4CCF2F71" w14:textId="77777777" w:rsidR="00A048FB" w:rsidRPr="00FD50F6" w:rsidRDefault="00A048FB" w:rsidP="00A926BD">
      <w:pPr>
        <w:pStyle w:val="4"/>
      </w:pPr>
      <w:r w:rsidRPr="00FD50F6">
        <w:rPr>
          <w:rFonts w:hint="eastAsia"/>
        </w:rPr>
        <w:t>雨蓬应满足防雪、防风等安全要求，其防水节点应满足列车震动、活塞风作用下的构造要求；</w:t>
      </w:r>
    </w:p>
    <w:p w14:paraId="435BE781" w14:textId="77777777" w:rsidR="00A048FB" w:rsidRPr="00FD50F6" w:rsidRDefault="00A048FB" w:rsidP="00A926BD">
      <w:pPr>
        <w:pStyle w:val="4"/>
      </w:pPr>
      <w:r w:rsidRPr="00FD50F6">
        <w:rPr>
          <w:rFonts w:hint="eastAsia"/>
        </w:rPr>
        <w:t>雨篷应有防止雨雪飘入站台的措施；</w:t>
      </w:r>
    </w:p>
    <w:p w14:paraId="37CD1775" w14:textId="77777777" w:rsidR="00A048FB" w:rsidRPr="00FD50F6" w:rsidRDefault="00A048FB" w:rsidP="00A926BD">
      <w:pPr>
        <w:pStyle w:val="4"/>
      </w:pPr>
      <w:r w:rsidRPr="00FD50F6">
        <w:rPr>
          <w:rFonts w:hint="eastAsia"/>
        </w:rPr>
        <w:t>屋面应设置方便维修和高空保洁的设施。</w:t>
      </w:r>
    </w:p>
    <w:p w14:paraId="5209A3F1" w14:textId="6EA539A5" w:rsidR="00A048FB" w:rsidRPr="00FD50F6" w:rsidRDefault="00A048FB" w:rsidP="00A048FB">
      <w:pPr>
        <w:pStyle w:val="30"/>
        <w:rPr>
          <w:b/>
        </w:rPr>
      </w:pPr>
      <w:r w:rsidRPr="00FD50F6">
        <w:rPr>
          <w:rFonts w:hint="eastAsia"/>
        </w:rPr>
        <w:t>设置混合变电所的地下车站结构底板、站台板、中楼板、顶板</w:t>
      </w:r>
      <w:bookmarkStart w:id="390" w:name="_Hlk19886148"/>
      <w:r w:rsidRPr="00FD50F6">
        <w:rPr>
          <w:rFonts w:hint="eastAsia"/>
        </w:rPr>
        <w:t>均宜设置</w:t>
      </w:r>
      <w:bookmarkStart w:id="391" w:name="_Hlk19886053"/>
      <w:r w:rsidRPr="00FD50F6">
        <w:rPr>
          <w:rFonts w:hint="eastAsia"/>
        </w:rPr>
        <w:t>不小于</w:t>
      </w:r>
      <w:r w:rsidRPr="00FD50F6">
        <w:t>2</w:t>
      </w:r>
      <w:r w:rsidRPr="00FD50F6">
        <w:rPr>
          <w:rFonts w:hint="eastAsia"/>
        </w:rPr>
        <w:t>‰的单向纵坡</w:t>
      </w:r>
      <w:bookmarkEnd w:id="390"/>
      <w:bookmarkEnd w:id="391"/>
      <w:r w:rsidRPr="00FD50F6">
        <w:rPr>
          <w:rFonts w:hint="eastAsia"/>
        </w:rPr>
        <w:t>，地上车站和设置降压变电所的地下车站结构底板、站台板、中楼板、顶板可采用平坡。</w:t>
      </w:r>
    </w:p>
    <w:p w14:paraId="56E3367B" w14:textId="73DE286D" w:rsidR="00A048FB" w:rsidRPr="00FD50F6" w:rsidRDefault="00A048FB" w:rsidP="00A048FB">
      <w:pPr>
        <w:pStyle w:val="30"/>
        <w:rPr>
          <w:b/>
        </w:rPr>
      </w:pPr>
      <w:r w:rsidRPr="00FD50F6">
        <w:rPr>
          <w:rFonts w:hint="eastAsia"/>
        </w:rPr>
        <w:t>地下车站的设备与管理用房应根据各设备系统工艺和接口要求紧凑合理布置，并应符合下列规定：</w:t>
      </w:r>
    </w:p>
    <w:p w14:paraId="65ADF608" w14:textId="77777777" w:rsidR="00A048FB" w:rsidRPr="00FD50F6" w:rsidRDefault="00A048FB" w:rsidP="00A926BD">
      <w:pPr>
        <w:pStyle w:val="4"/>
      </w:pPr>
      <w:r w:rsidRPr="00FD50F6">
        <w:rPr>
          <w:rFonts w:hint="eastAsia"/>
        </w:rPr>
        <w:t>主要管理用房应集中布置在站厅一端；</w:t>
      </w:r>
    </w:p>
    <w:p w14:paraId="5DC47994" w14:textId="77777777" w:rsidR="00A048FB" w:rsidRPr="00FD50F6" w:rsidRDefault="00A048FB" w:rsidP="00A926BD">
      <w:pPr>
        <w:pStyle w:val="4"/>
      </w:pPr>
      <w:r w:rsidRPr="00FD50F6">
        <w:rPr>
          <w:rFonts w:hint="eastAsia"/>
        </w:rPr>
        <w:t>车站通信信号等设备用房应集中布置，并宜靠近车站控制室；</w:t>
      </w:r>
    </w:p>
    <w:p w14:paraId="55791973" w14:textId="77777777" w:rsidR="00A048FB" w:rsidRPr="00FD50F6" w:rsidRDefault="00A048FB" w:rsidP="00A926BD">
      <w:pPr>
        <w:pStyle w:val="4"/>
      </w:pPr>
      <w:r w:rsidRPr="00FD50F6">
        <w:rPr>
          <w:rFonts w:hint="eastAsia"/>
        </w:rPr>
        <w:t>站长室与车站控制室应在走道同一侧相邻布置，门的设置应方便两者的联系；</w:t>
      </w:r>
    </w:p>
    <w:p w14:paraId="21D24631" w14:textId="77777777" w:rsidR="00A048FB" w:rsidRPr="00FD50F6" w:rsidRDefault="00A048FB" w:rsidP="00A926BD">
      <w:pPr>
        <w:pStyle w:val="4"/>
      </w:pPr>
      <w:r w:rsidRPr="00FD50F6">
        <w:rPr>
          <w:rFonts w:hint="eastAsia"/>
        </w:rPr>
        <w:t>会议、更衣、内部卫生间、休息等管理用房宜集中布置；</w:t>
      </w:r>
    </w:p>
    <w:p w14:paraId="1ADB917B" w14:textId="77777777" w:rsidR="00A048FB" w:rsidRPr="00FD50F6" w:rsidRDefault="00A048FB" w:rsidP="00A926BD">
      <w:pPr>
        <w:pStyle w:val="4"/>
      </w:pPr>
      <w:r w:rsidRPr="00FD50F6">
        <w:rPr>
          <w:rFonts w:hint="eastAsia"/>
        </w:rPr>
        <w:t>变电所和通信、信号等电气设备用房不应布置在消防泵房、卫生间、盥洗室以及冷冻机房等经常积水区的贴临或正下方。</w:t>
      </w:r>
    </w:p>
    <w:p w14:paraId="7468E0B1" w14:textId="77777777" w:rsidR="00A048FB" w:rsidRPr="00FD50F6" w:rsidRDefault="00A048FB" w:rsidP="00A048FB">
      <w:pPr>
        <w:pStyle w:val="30"/>
        <w:rPr>
          <w:b/>
        </w:rPr>
      </w:pPr>
      <w:r w:rsidRPr="00FD50F6">
        <w:rPr>
          <w:rFonts w:hint="eastAsia"/>
        </w:rPr>
        <w:t>高架车站站台层除设置必要用房外，不宜设置其他设备、管理用房。</w:t>
      </w:r>
    </w:p>
    <w:p w14:paraId="7680CB4D" w14:textId="77777777" w:rsidR="00A048FB" w:rsidRPr="00FD50F6" w:rsidRDefault="00A048FB" w:rsidP="00A048FB">
      <w:pPr>
        <w:pStyle w:val="30"/>
        <w:rPr>
          <w:b/>
        </w:rPr>
      </w:pPr>
      <w:r w:rsidRPr="00FD50F6">
        <w:rPr>
          <w:rFonts w:hint="eastAsia"/>
        </w:rPr>
        <w:t>车站设备和管理用房区的通道宜顺直，通道宽度应满足上部设备管线的敷设和维修要求，主要设备和管理用房区内，两侧开门的主通道宽度不宜小于</w:t>
      </w:r>
      <w:r w:rsidRPr="00FD50F6">
        <w:t xml:space="preserve"> 2.0m</w:t>
      </w:r>
      <w:r w:rsidRPr="00FD50F6">
        <w:rPr>
          <w:rFonts w:hint="eastAsia"/>
        </w:rPr>
        <w:t>，一侧开门的内走廊宽度不应小于</w:t>
      </w:r>
      <w:r w:rsidRPr="00FD50F6">
        <w:t xml:space="preserve"> 1.5m</w:t>
      </w:r>
      <w:r w:rsidRPr="00FD50F6">
        <w:rPr>
          <w:rFonts w:hint="eastAsia"/>
        </w:rPr>
        <w:t>。</w:t>
      </w:r>
    </w:p>
    <w:p w14:paraId="4604437B" w14:textId="77777777" w:rsidR="00A048FB" w:rsidRPr="00FD50F6" w:rsidRDefault="00A048FB" w:rsidP="00A048FB">
      <w:pPr>
        <w:pStyle w:val="30"/>
        <w:rPr>
          <w:b/>
        </w:rPr>
      </w:pPr>
      <w:r w:rsidRPr="00FD50F6">
        <w:rPr>
          <w:rFonts w:hint="eastAsia"/>
        </w:rPr>
        <w:t>地下车站变电所的设置应符合下列规定：</w:t>
      </w:r>
    </w:p>
    <w:p w14:paraId="2C9D9EED" w14:textId="77777777" w:rsidR="00A048FB" w:rsidRPr="00FD50F6" w:rsidRDefault="00A048FB" w:rsidP="00A926BD">
      <w:pPr>
        <w:pStyle w:val="4"/>
      </w:pPr>
      <w:r w:rsidRPr="00FD50F6">
        <w:rPr>
          <w:rFonts w:hint="eastAsia"/>
        </w:rPr>
        <w:t>变电所应设置在设备用房负荷中心的一端；</w:t>
      </w:r>
    </w:p>
    <w:p w14:paraId="35E6AA63" w14:textId="2CC1D33D" w:rsidR="00A048FB" w:rsidRPr="00FD50F6" w:rsidRDefault="00A048FB" w:rsidP="00A926BD">
      <w:pPr>
        <w:pStyle w:val="4"/>
      </w:pPr>
      <w:r w:rsidRPr="00FD50F6">
        <w:rPr>
          <w:rFonts w:hint="eastAsia"/>
        </w:rPr>
        <w:t>设在站台层的牵引变电所应设在线路纵坡的高端，当条件受限分层布置时，牵引整流机组、直流开关柜应设在站台层，其他设备可设在其他楼层；</w:t>
      </w:r>
    </w:p>
    <w:p w14:paraId="6D236BF5" w14:textId="22BA5FCC" w:rsidR="00A048FB" w:rsidRPr="00FD50F6" w:rsidRDefault="00A048FB" w:rsidP="00A926BD">
      <w:pPr>
        <w:pStyle w:val="4"/>
      </w:pPr>
      <w:r w:rsidRPr="00FD50F6">
        <w:rPr>
          <w:rFonts w:hint="eastAsia"/>
        </w:rPr>
        <w:t>设于变电所下电缆夹层板下净高不宜小于</w:t>
      </w:r>
      <w:r w:rsidRPr="00FD50F6">
        <w:t>1800mm</w:t>
      </w:r>
      <w:r w:rsidRPr="00FD50F6">
        <w:rPr>
          <w:rFonts w:hint="eastAsia"/>
        </w:rPr>
        <w:t>，当条件困难时，应采取方便电缆敷设的措施；其他要求应符合本标准第</w:t>
      </w:r>
      <w:r w:rsidR="00A0175C" w:rsidRPr="00FD50F6">
        <w:t>16</w:t>
      </w:r>
      <w:r w:rsidRPr="00FD50F6">
        <w:rPr>
          <w:rFonts w:hint="eastAsia"/>
        </w:rPr>
        <w:t>.</w:t>
      </w:r>
      <w:r w:rsidRPr="00FD50F6">
        <w:t>2</w:t>
      </w:r>
      <w:r w:rsidRPr="00FD50F6">
        <w:rPr>
          <w:rFonts w:hint="eastAsia"/>
        </w:rPr>
        <w:t>节的规定。</w:t>
      </w:r>
    </w:p>
    <w:p w14:paraId="02F18799" w14:textId="26FDACB9" w:rsidR="00A048FB" w:rsidRPr="00FD50F6" w:rsidRDefault="00A048FB" w:rsidP="00A048FB">
      <w:pPr>
        <w:pStyle w:val="30"/>
        <w:rPr>
          <w:b/>
        </w:rPr>
      </w:pPr>
      <w:r w:rsidRPr="00FD50F6">
        <w:rPr>
          <w:rFonts w:hint="eastAsia"/>
        </w:rPr>
        <w:lastRenderedPageBreak/>
        <w:t>车站电气设备用房应采取防水、防潮、防鼠措施。</w:t>
      </w:r>
    </w:p>
    <w:p w14:paraId="06EBBA26" w14:textId="77777777" w:rsidR="00A048FB" w:rsidRPr="00FD50F6" w:rsidRDefault="00A048FB" w:rsidP="001A4CF3">
      <w:pPr>
        <w:pStyle w:val="2"/>
        <w:numPr>
          <w:ilvl w:val="1"/>
          <w:numId w:val="6"/>
        </w:numPr>
      </w:pPr>
      <w:bookmarkStart w:id="392" w:name="_Toc112830693"/>
      <w:bookmarkStart w:id="393" w:name="_Toc306203691"/>
      <w:bookmarkStart w:id="394" w:name="_Toc344218739"/>
      <w:bookmarkStart w:id="395" w:name="_Toc236222490"/>
      <w:bookmarkStart w:id="396" w:name="_Toc320639574"/>
      <w:bookmarkStart w:id="397" w:name="_Toc320115663"/>
      <w:bookmarkStart w:id="398" w:name="_Toc320115662"/>
      <w:bookmarkStart w:id="399" w:name="_Toc320639573"/>
      <w:bookmarkStart w:id="400" w:name="_Toc306203690"/>
      <w:bookmarkStart w:id="401" w:name="_Toc344218738"/>
      <w:bookmarkStart w:id="402" w:name="_Toc236222489"/>
      <w:r w:rsidRPr="00FD50F6">
        <w:rPr>
          <w:rFonts w:hint="eastAsia"/>
        </w:rPr>
        <w:t>车站出入口</w:t>
      </w:r>
      <w:bookmarkEnd w:id="392"/>
      <w:r w:rsidRPr="00FD50F6">
        <w:t xml:space="preserve"> </w:t>
      </w:r>
      <w:bookmarkEnd w:id="393"/>
      <w:bookmarkEnd w:id="394"/>
      <w:bookmarkEnd w:id="395"/>
      <w:bookmarkEnd w:id="396"/>
      <w:bookmarkEnd w:id="397"/>
    </w:p>
    <w:p w14:paraId="1C50F4D0" w14:textId="6CD7F14C" w:rsidR="00A048FB" w:rsidRPr="00FD50F6" w:rsidRDefault="00A048FB" w:rsidP="00A048FB">
      <w:pPr>
        <w:pStyle w:val="30"/>
        <w:rPr>
          <w:b/>
        </w:rPr>
      </w:pPr>
      <w:r w:rsidRPr="00FD50F6">
        <w:rPr>
          <w:rFonts w:hint="eastAsia"/>
        </w:rPr>
        <w:t>车站出入口的数量应根据吸引与疏散客流的要求设置；每个站厅公共区直通</w:t>
      </w:r>
      <w:r w:rsidR="00881123" w:rsidRPr="00FD50F6">
        <w:rPr>
          <w:rFonts w:hint="eastAsia"/>
        </w:rPr>
        <w:t>室外</w:t>
      </w:r>
      <w:r w:rsidRPr="00FD50F6">
        <w:rPr>
          <w:rFonts w:hint="eastAsia"/>
        </w:rPr>
        <w:t>地面的出入口数量不应少于两个，且宜对角布置。每个出入口通道的宽度应按远期或客流控制期分向设计客流量乘以</w:t>
      </w:r>
      <w:r w:rsidRPr="00FD50F6">
        <w:t>1.1</w:t>
      </w:r>
      <w:r w:rsidRPr="00FD50F6">
        <w:rPr>
          <w:rFonts w:hint="eastAsia"/>
        </w:rPr>
        <w:t>～</w:t>
      </w:r>
      <w:r w:rsidRPr="00FD50F6">
        <w:t>1.25</w:t>
      </w:r>
      <w:r w:rsidR="006E6F89" w:rsidRPr="00FD50F6">
        <w:rPr>
          <w:rFonts w:hint="eastAsia"/>
        </w:rPr>
        <w:t>分向客流</w:t>
      </w:r>
      <w:r w:rsidRPr="00FD50F6">
        <w:rPr>
          <w:rFonts w:hint="eastAsia"/>
        </w:rPr>
        <w:t>不均匀系数计算确定。</w:t>
      </w:r>
    </w:p>
    <w:p w14:paraId="68CC9216" w14:textId="77777777" w:rsidR="00A048FB" w:rsidRPr="00FD50F6" w:rsidRDefault="00A048FB" w:rsidP="00A048FB">
      <w:pPr>
        <w:pStyle w:val="30"/>
        <w:rPr>
          <w:b/>
        </w:rPr>
      </w:pPr>
      <w:r w:rsidRPr="00FD50F6">
        <w:rPr>
          <w:rFonts w:hint="eastAsia"/>
        </w:rPr>
        <w:t>车站出入口布置应与主客流方向一致，且宜与过街天桥、过街地道、地下街、邻近公共建筑物相结合或连通，宜统一规划，同步或分期实施。当出入口兼有过街功能时，其通道宽度及其站厅非付费区的相应部位设计应计入过街客流量。</w:t>
      </w:r>
    </w:p>
    <w:p w14:paraId="0B0D5257" w14:textId="77777777" w:rsidR="00A048FB" w:rsidRPr="00FD50F6" w:rsidRDefault="00A048FB" w:rsidP="00A048FB">
      <w:pPr>
        <w:pStyle w:val="30"/>
        <w:rPr>
          <w:b/>
        </w:rPr>
      </w:pPr>
      <w:r w:rsidRPr="00FD50F6">
        <w:rPr>
          <w:rFonts w:hint="eastAsia"/>
        </w:rPr>
        <w:t>地下车站出入口地面厅的设置应符合下列规定：</w:t>
      </w:r>
    </w:p>
    <w:p w14:paraId="191C8476" w14:textId="61D51A77" w:rsidR="00A048FB" w:rsidRPr="00FD50F6" w:rsidRDefault="00A048FB" w:rsidP="00A926BD">
      <w:pPr>
        <w:pStyle w:val="4"/>
      </w:pPr>
      <w:r w:rsidRPr="00FD50F6">
        <w:rPr>
          <w:rFonts w:hint="eastAsia"/>
        </w:rPr>
        <w:t>出人口地面厅宜与地面相邻建筑合建，独立设置的出入口地面厅建筑形式应符合城市规划部门对景观的要求，全线建筑形式宜统一，并应有良好的标识性</w:t>
      </w:r>
      <w:r w:rsidR="00881123" w:rsidRPr="00FD50F6">
        <w:rPr>
          <w:rFonts w:hint="eastAsia"/>
        </w:rPr>
        <w:t>；</w:t>
      </w:r>
    </w:p>
    <w:p w14:paraId="761266D3" w14:textId="10CEBD64" w:rsidR="00A048FB" w:rsidRPr="00FD50F6" w:rsidRDefault="00A048FB" w:rsidP="00A926BD">
      <w:pPr>
        <w:pStyle w:val="4"/>
      </w:pPr>
      <w:r w:rsidRPr="00FD50F6">
        <w:rPr>
          <w:rFonts w:hint="eastAsia"/>
        </w:rPr>
        <w:t>设于城市建成区以外的出入口地面厅应退道路红线设置，退线距离应满足当地规划部门要求；在城市建成区内确有困难地段，在满足人员通行条件下，地面厅可设于道路红线内或压道路红线设置，但应征得规划和道路交通主管部门的同意</w:t>
      </w:r>
      <w:r w:rsidR="00881123" w:rsidRPr="00FD50F6">
        <w:rPr>
          <w:rFonts w:hint="eastAsia"/>
        </w:rPr>
        <w:t>；</w:t>
      </w:r>
    </w:p>
    <w:p w14:paraId="3AFFA331" w14:textId="217B959B" w:rsidR="00A048FB" w:rsidRPr="00FD50F6" w:rsidRDefault="00A048FB" w:rsidP="00A926BD">
      <w:pPr>
        <w:pStyle w:val="4"/>
      </w:pPr>
      <w:r w:rsidRPr="00FD50F6">
        <w:rPr>
          <w:rFonts w:hint="eastAsia"/>
        </w:rPr>
        <w:t>道路两侧的出入口地面厅宜平行道路红线设置，当条件困难垂直于主干路设置时，地面厅平台踏步前缘与路缘石边缘最小距离不宜小于地面亭开口宽度的</w:t>
      </w:r>
      <w:r w:rsidRPr="00FD50F6">
        <w:t>1.2</w:t>
      </w:r>
      <w:r w:rsidRPr="00FD50F6">
        <w:rPr>
          <w:rFonts w:hint="eastAsia"/>
        </w:rPr>
        <w:t>倍</w:t>
      </w:r>
      <w:r w:rsidR="00881123" w:rsidRPr="00FD50F6">
        <w:rPr>
          <w:rFonts w:hint="eastAsia"/>
        </w:rPr>
        <w:t>；</w:t>
      </w:r>
    </w:p>
    <w:p w14:paraId="7C24500F" w14:textId="56B1829D" w:rsidR="00A048FB" w:rsidRPr="00FD50F6" w:rsidRDefault="00A048FB" w:rsidP="00A926BD">
      <w:pPr>
        <w:pStyle w:val="4"/>
      </w:pPr>
      <w:r w:rsidRPr="00FD50F6">
        <w:rPr>
          <w:rFonts w:hint="eastAsia"/>
        </w:rPr>
        <w:t>设置在城市主干道交叉口的出入口地面厅，其开口不宜朝向道路交叉口，条件困难时，不应侵入道路红线抹角和规划渠化范围</w:t>
      </w:r>
      <w:r w:rsidR="00881123" w:rsidRPr="00FD50F6">
        <w:rPr>
          <w:rFonts w:hint="eastAsia"/>
        </w:rPr>
        <w:t>；</w:t>
      </w:r>
    </w:p>
    <w:p w14:paraId="182057AC" w14:textId="77777777" w:rsidR="00A048FB" w:rsidRPr="00FD50F6" w:rsidRDefault="00A048FB" w:rsidP="00A926BD">
      <w:pPr>
        <w:pStyle w:val="4"/>
      </w:pPr>
      <w:r w:rsidRPr="00FD50F6">
        <w:rPr>
          <w:rFonts w:hint="eastAsia"/>
        </w:rPr>
        <w:t>位于严寒地区的地下车站的出入口地面厅，应采取防寒、防冰雪措施。</w:t>
      </w:r>
    </w:p>
    <w:p w14:paraId="2BD01DA7" w14:textId="77777777" w:rsidR="00A048FB" w:rsidRPr="00FD50F6" w:rsidRDefault="00A048FB" w:rsidP="00A048FB">
      <w:pPr>
        <w:pStyle w:val="30"/>
        <w:rPr>
          <w:b/>
        </w:rPr>
      </w:pPr>
      <w:r w:rsidRPr="00FD50F6">
        <w:rPr>
          <w:rFonts w:hint="eastAsia"/>
        </w:rPr>
        <w:t>地下出入口通道应符合下列规定：</w:t>
      </w:r>
    </w:p>
    <w:p w14:paraId="6A0E6409" w14:textId="77777777" w:rsidR="00A048FB" w:rsidRPr="00FD50F6" w:rsidRDefault="00A048FB" w:rsidP="00A926BD">
      <w:pPr>
        <w:pStyle w:val="4"/>
      </w:pPr>
      <w:r w:rsidRPr="00FD50F6">
        <w:rPr>
          <w:rFonts w:hint="eastAsia"/>
        </w:rPr>
        <w:t>出入口通道应力求短、直，通道的弯折不宜超过三处，弯折角度不宜小于</w:t>
      </w:r>
      <w:r w:rsidRPr="00FD50F6">
        <w:t>90°</w:t>
      </w:r>
      <w:r w:rsidRPr="00FD50F6">
        <w:rPr>
          <w:rFonts w:hint="eastAsia"/>
        </w:rPr>
        <w:t>；</w:t>
      </w:r>
    </w:p>
    <w:p w14:paraId="45209B57" w14:textId="77777777" w:rsidR="00A048FB" w:rsidRPr="00FD50F6" w:rsidRDefault="00A048FB" w:rsidP="00A926BD">
      <w:pPr>
        <w:pStyle w:val="4"/>
      </w:pPr>
      <w:r w:rsidRPr="00FD50F6">
        <w:rPr>
          <w:rFonts w:hint="eastAsia"/>
        </w:rPr>
        <w:t>当两个或两个以上出入口汇于同一个出入口通道时，应视为一个出入口；</w:t>
      </w:r>
    </w:p>
    <w:p w14:paraId="0EF42BEE" w14:textId="77777777" w:rsidR="00A048FB" w:rsidRPr="00FD50F6" w:rsidRDefault="00A048FB" w:rsidP="00A926BD">
      <w:pPr>
        <w:pStyle w:val="4"/>
      </w:pPr>
      <w:r w:rsidRPr="00FD50F6">
        <w:rPr>
          <w:rFonts w:hint="eastAsia"/>
        </w:rPr>
        <w:lastRenderedPageBreak/>
        <w:t>出入口通道内不宜设置台阶，当无法避免时，台阶不应少于</w:t>
      </w:r>
      <w:r w:rsidRPr="00FD50F6">
        <w:t>3</w:t>
      </w:r>
      <w:r w:rsidRPr="00FD50F6">
        <w:rPr>
          <w:rFonts w:hint="eastAsia"/>
        </w:rPr>
        <w:t>级。</w:t>
      </w:r>
    </w:p>
    <w:p w14:paraId="29380E5C" w14:textId="77777777" w:rsidR="00881123" w:rsidRPr="001A4CF3" w:rsidRDefault="00881123" w:rsidP="00881123">
      <w:pPr>
        <w:pStyle w:val="30"/>
      </w:pPr>
      <w:bookmarkStart w:id="403" w:name="_Hlk102898153"/>
      <w:r w:rsidRPr="001A4CF3">
        <w:rPr>
          <w:rFonts w:hint="eastAsia"/>
        </w:rPr>
        <w:t>当车站设置垂直电梯群作为乘客进出站的出入口时，应符合下列规定：</w:t>
      </w:r>
    </w:p>
    <w:p w14:paraId="668BAA93" w14:textId="77777777" w:rsidR="00881123" w:rsidRPr="001A4CF3" w:rsidRDefault="00881123" w:rsidP="00A926BD">
      <w:pPr>
        <w:pStyle w:val="4"/>
      </w:pPr>
      <w:r w:rsidRPr="001A4CF3">
        <w:rPr>
          <w:rFonts w:hint="eastAsia"/>
        </w:rPr>
        <w:t>设置垂直电梯群处应设置防烟楼梯间，梯段净宽不应小于</w:t>
      </w:r>
      <w:r w:rsidRPr="001A4CF3">
        <w:t>2.4m</w:t>
      </w:r>
      <w:r w:rsidRPr="001A4CF3">
        <w:rPr>
          <w:rFonts w:hint="eastAsia"/>
        </w:rPr>
        <w:t>；</w:t>
      </w:r>
    </w:p>
    <w:p w14:paraId="171BAA5D" w14:textId="77777777" w:rsidR="00881123" w:rsidRPr="001A4CF3" w:rsidRDefault="00881123" w:rsidP="00A926BD">
      <w:pPr>
        <w:pStyle w:val="4"/>
      </w:pPr>
      <w:r w:rsidRPr="001A4CF3">
        <w:rPr>
          <w:rFonts w:hint="eastAsia"/>
        </w:rPr>
        <w:t>在垂直电梯群与车站公共区之间应设置防烟前室；</w:t>
      </w:r>
    </w:p>
    <w:p w14:paraId="1B6366E9" w14:textId="77777777" w:rsidR="00881123" w:rsidRPr="001A4CF3" w:rsidRDefault="00881123" w:rsidP="00A926BD">
      <w:pPr>
        <w:pStyle w:val="4"/>
      </w:pPr>
      <w:r w:rsidRPr="001A4CF3">
        <w:rPr>
          <w:rFonts w:hint="eastAsia"/>
        </w:rPr>
        <w:t>防烟楼梯间与垂直电梯群可共用防烟前室，其面积不应小于</w:t>
      </w:r>
      <w:r w:rsidRPr="001A4CF3">
        <w:t>10</w:t>
      </w:r>
      <w:r w:rsidRPr="001A4CF3">
        <w:rPr>
          <w:rFonts w:hint="eastAsia"/>
        </w:rPr>
        <w:t>㎡。</w:t>
      </w:r>
    </w:p>
    <w:p w14:paraId="4F6FCA2A" w14:textId="7173BB20" w:rsidR="00881123" w:rsidRPr="00FD50F6" w:rsidRDefault="00881123" w:rsidP="00881123">
      <w:pPr>
        <w:pStyle w:val="30"/>
      </w:pPr>
      <w:r w:rsidRPr="001A4CF3">
        <w:rPr>
          <w:rFonts w:hint="eastAsia"/>
        </w:rPr>
        <w:t>车站的出入口防水淹设计应符合本标准第</w:t>
      </w:r>
      <w:r w:rsidRPr="001A4CF3">
        <w:t>30.7</w:t>
      </w:r>
      <w:r w:rsidRPr="001A4CF3">
        <w:rPr>
          <w:rFonts w:hint="eastAsia"/>
        </w:rPr>
        <w:t>节</w:t>
      </w:r>
      <w:r w:rsidR="00140738">
        <w:rPr>
          <w:rFonts w:hint="eastAsia"/>
        </w:rPr>
        <w:t>的</w:t>
      </w:r>
      <w:r w:rsidRPr="001A4CF3">
        <w:rPr>
          <w:rFonts w:hint="eastAsia"/>
        </w:rPr>
        <w:t>规定。</w:t>
      </w:r>
    </w:p>
    <w:p w14:paraId="43D547F1" w14:textId="77777777" w:rsidR="00A048FB" w:rsidRPr="00FD50F6" w:rsidRDefault="00A048FB" w:rsidP="00A65181">
      <w:pPr>
        <w:pStyle w:val="2"/>
      </w:pPr>
      <w:bookmarkStart w:id="404" w:name="_Toc112830694"/>
      <w:bookmarkStart w:id="405" w:name="_Toc112830695"/>
      <w:bookmarkStart w:id="406" w:name="_Toc112830696"/>
      <w:bookmarkStart w:id="407" w:name="_Toc112830697"/>
      <w:bookmarkStart w:id="408" w:name="_Toc112830698"/>
      <w:bookmarkStart w:id="409" w:name="_Toc112830699"/>
      <w:bookmarkEnd w:id="403"/>
      <w:bookmarkEnd w:id="404"/>
      <w:bookmarkEnd w:id="405"/>
      <w:bookmarkEnd w:id="406"/>
      <w:bookmarkEnd w:id="407"/>
      <w:bookmarkEnd w:id="408"/>
      <w:r w:rsidRPr="00FD50F6">
        <w:rPr>
          <w:rFonts w:hint="eastAsia"/>
        </w:rPr>
        <w:t>风亭（井）与冷却塔</w:t>
      </w:r>
      <w:bookmarkEnd w:id="409"/>
    </w:p>
    <w:p w14:paraId="6835BA72" w14:textId="77777777" w:rsidR="00A048FB" w:rsidRPr="00FD50F6" w:rsidRDefault="00A048FB" w:rsidP="00A048FB">
      <w:pPr>
        <w:pStyle w:val="30"/>
        <w:rPr>
          <w:b/>
        </w:rPr>
      </w:pPr>
      <w:r w:rsidRPr="00FD50F6">
        <w:rPr>
          <w:rFonts w:hint="eastAsia"/>
        </w:rPr>
        <w:t>地下车站应按通风、空调工艺要求设置进风亭（井）、排风亭（井）和活塞风亭（井）。在满足功能的前提下，根据地面建筑的现状或规划要求，风亭（井）可采用集中组合式或独立分散式布置，当风亭（井）与地面建筑合建时，被结合建筑应满足地铁风亭（井）的技术要求。</w:t>
      </w:r>
    </w:p>
    <w:p w14:paraId="703E95B5" w14:textId="5FD9E54F" w:rsidR="00A048FB" w:rsidRPr="00FD50F6" w:rsidRDefault="00A048FB" w:rsidP="00A048FB">
      <w:pPr>
        <w:pStyle w:val="30"/>
        <w:rPr>
          <w:b/>
        </w:rPr>
      </w:pPr>
      <w:r w:rsidRPr="00FD50F6">
        <w:rPr>
          <w:rFonts w:hint="eastAsia"/>
        </w:rPr>
        <w:t>地下车站的风亭（井）、冷却塔的位置应避开城市环境敏感区，</w:t>
      </w:r>
      <w:r w:rsidR="002B4508">
        <w:rPr>
          <w:rFonts w:hint="eastAsia"/>
        </w:rPr>
        <w:t>当</w:t>
      </w:r>
      <w:r w:rsidRPr="00FD50F6">
        <w:rPr>
          <w:rFonts w:hint="eastAsia"/>
        </w:rPr>
        <w:t>风亭侧面开口时，风口与建筑物的控制距离应符合本标准第</w:t>
      </w:r>
      <w:r w:rsidR="005B333E" w:rsidRPr="00FD50F6">
        <w:t>14</w:t>
      </w:r>
      <w:r w:rsidRPr="00FD50F6">
        <w:rPr>
          <w:rFonts w:hint="eastAsia"/>
        </w:rPr>
        <w:t>章的规定。</w:t>
      </w:r>
    </w:p>
    <w:p w14:paraId="2C0228FB" w14:textId="77777777" w:rsidR="00A048FB" w:rsidRPr="00FD50F6" w:rsidRDefault="00A048FB" w:rsidP="00A048FB">
      <w:pPr>
        <w:pStyle w:val="30"/>
        <w:rPr>
          <w:b/>
        </w:rPr>
      </w:pPr>
      <w:r w:rsidRPr="00FD50F6">
        <w:rPr>
          <w:rFonts w:hint="eastAsia"/>
        </w:rPr>
        <w:t>当地下车站的风亭（井）风口采用侧面开口时，应符合下列规定：</w:t>
      </w:r>
    </w:p>
    <w:p w14:paraId="69EAF222" w14:textId="1CB1421E" w:rsidR="00A048FB" w:rsidRPr="00FD50F6" w:rsidRDefault="00A048FB" w:rsidP="00A926BD">
      <w:pPr>
        <w:pStyle w:val="4"/>
      </w:pPr>
      <w:r w:rsidRPr="00FD50F6">
        <w:rPr>
          <w:rFonts w:hint="eastAsia"/>
        </w:rPr>
        <w:t>进风、排风、活塞风口之间的水平净距不应小于</w:t>
      </w:r>
      <w:r w:rsidRPr="00FD50F6">
        <w:t>5m</w:t>
      </w:r>
      <w:r w:rsidRPr="00FD50F6">
        <w:rPr>
          <w:rFonts w:hint="eastAsia"/>
        </w:rPr>
        <w:t>，且进风与排风、进风与活塞风口应错开方向布置；风亭风口方向当无法错开时，排风、活塞风口的口部应高于进风口，其垂直距离不应小于</w:t>
      </w:r>
      <w:r w:rsidRPr="00FD50F6">
        <w:t>5m</w:t>
      </w:r>
      <w:r w:rsidR="006E6F89" w:rsidRPr="00FD50F6">
        <w:rPr>
          <w:rFonts w:hint="eastAsia"/>
        </w:rPr>
        <w:t>；</w:t>
      </w:r>
    </w:p>
    <w:p w14:paraId="7557F118" w14:textId="230035C7" w:rsidR="00A048FB" w:rsidRPr="00FD50F6" w:rsidRDefault="00A048FB" w:rsidP="00A926BD">
      <w:pPr>
        <w:pStyle w:val="4"/>
      </w:pPr>
      <w:r w:rsidRPr="00FD50F6">
        <w:rPr>
          <w:rFonts w:hint="eastAsia"/>
        </w:rPr>
        <w:t>风亭</w:t>
      </w:r>
      <w:bookmarkStart w:id="410" w:name="_Hlk42334288"/>
      <w:r w:rsidRPr="00FD50F6">
        <w:rPr>
          <w:rFonts w:hint="eastAsia"/>
        </w:rPr>
        <w:t>（井）</w:t>
      </w:r>
      <w:bookmarkEnd w:id="410"/>
      <w:r w:rsidRPr="00FD50F6">
        <w:rPr>
          <w:rFonts w:hint="eastAsia"/>
        </w:rPr>
        <w:t>风口</w:t>
      </w:r>
      <w:r w:rsidRPr="00FD50F6">
        <w:t>5m</w:t>
      </w:r>
      <w:r w:rsidRPr="00FD50F6">
        <w:rPr>
          <w:rFonts w:hint="eastAsia"/>
        </w:rPr>
        <w:t>范围内不应有阻挡通风气流的障碍物</w:t>
      </w:r>
      <w:r w:rsidR="006E6F89" w:rsidRPr="00FD50F6">
        <w:rPr>
          <w:rFonts w:hint="eastAsia"/>
        </w:rPr>
        <w:t>；</w:t>
      </w:r>
    </w:p>
    <w:p w14:paraId="49C91164" w14:textId="19711ECA" w:rsidR="00A048FB" w:rsidRPr="00FD50F6" w:rsidRDefault="001B2036" w:rsidP="00A926BD">
      <w:pPr>
        <w:pStyle w:val="4"/>
      </w:pPr>
      <w:r w:rsidRPr="00FD50F6">
        <w:rPr>
          <w:rFonts w:hint="eastAsia"/>
        </w:rPr>
        <w:t>当风亭（井）设于人行区域边缘时，其风口底部边缘距地面高度不应小于</w:t>
      </w:r>
      <w:r w:rsidRPr="00FD50F6">
        <w:t>2m</w:t>
      </w:r>
      <w:r w:rsidRPr="00FD50F6">
        <w:rPr>
          <w:rFonts w:hint="eastAsia"/>
        </w:rPr>
        <w:t>，当风亭（井）设于宽度不小于</w:t>
      </w:r>
      <w:r w:rsidRPr="00FD50F6">
        <w:t>3m</w:t>
      </w:r>
      <w:r w:rsidRPr="00FD50F6">
        <w:t>的绿</w:t>
      </w:r>
      <w:r w:rsidR="00F711FF" w:rsidRPr="00FD50F6">
        <w:rPr>
          <w:rFonts w:hint="eastAsia"/>
        </w:rPr>
        <w:t>化隔离带</w:t>
      </w:r>
      <w:r w:rsidRPr="00FD50F6">
        <w:t>内时，风亭（井）风口的底边缘高出室外地坪设计标高不应小于</w:t>
      </w:r>
      <w:r w:rsidRPr="00FD50F6">
        <w:t>1m</w:t>
      </w:r>
      <w:r w:rsidR="00A01836" w:rsidRPr="00FD50F6">
        <w:rPr>
          <w:rFonts w:hint="eastAsia"/>
        </w:rPr>
        <w:t>；</w:t>
      </w:r>
    </w:p>
    <w:p w14:paraId="41AD03EB" w14:textId="3D592403" w:rsidR="00A048FB" w:rsidRPr="00FD50F6" w:rsidRDefault="00A048FB" w:rsidP="00A926BD">
      <w:pPr>
        <w:pStyle w:val="4"/>
      </w:pPr>
      <w:r w:rsidRPr="00FD50F6">
        <w:rPr>
          <w:rFonts w:hint="eastAsia"/>
        </w:rPr>
        <w:t>风亭（井）不应设在道路红线内的转角处，当必须设置时，不应影响交通视线和人行道的最小宽度，且不应影响道路渠化。</w:t>
      </w:r>
    </w:p>
    <w:p w14:paraId="257C1900" w14:textId="77777777" w:rsidR="00A048FB" w:rsidRPr="00FD50F6" w:rsidRDefault="00A048FB" w:rsidP="00A048FB">
      <w:pPr>
        <w:pStyle w:val="30"/>
        <w:rPr>
          <w:b/>
        </w:rPr>
      </w:pPr>
      <w:r w:rsidRPr="00FD50F6">
        <w:rPr>
          <w:rFonts w:hint="eastAsia"/>
        </w:rPr>
        <w:t>当风亭（井）的风口采用顶面开口的敞口低风井时，应符合下列规定：</w:t>
      </w:r>
    </w:p>
    <w:p w14:paraId="24D7EB8B" w14:textId="77777777" w:rsidR="00A048FB" w:rsidRPr="00FD50F6" w:rsidRDefault="00A048FB" w:rsidP="00A926BD">
      <w:pPr>
        <w:pStyle w:val="4"/>
      </w:pPr>
      <w:r w:rsidRPr="00FD50F6">
        <w:rPr>
          <w:rFonts w:hint="eastAsia"/>
        </w:rPr>
        <w:t>进风与排风、进风与活塞风井风口之间的水平净距不应小于</w:t>
      </w:r>
      <w:r w:rsidRPr="00FD50F6">
        <w:t>10m</w:t>
      </w:r>
      <w:r w:rsidRPr="00FD50F6">
        <w:rPr>
          <w:rFonts w:hint="eastAsia"/>
        </w:rPr>
        <w:t>；</w:t>
      </w:r>
    </w:p>
    <w:p w14:paraId="0A740579" w14:textId="77777777" w:rsidR="00A048FB" w:rsidRPr="00FD50F6" w:rsidRDefault="00A048FB" w:rsidP="00A926BD">
      <w:pPr>
        <w:pStyle w:val="4"/>
      </w:pPr>
      <w:r w:rsidRPr="00FD50F6">
        <w:rPr>
          <w:rFonts w:hint="eastAsia"/>
        </w:rPr>
        <w:t>活塞风井风口之间、活塞风井与排风井风口之间的水平净距不应小于</w:t>
      </w:r>
      <w:r w:rsidRPr="00FD50F6">
        <w:t>5m</w:t>
      </w:r>
      <w:r w:rsidRPr="00FD50F6">
        <w:rPr>
          <w:rFonts w:hint="eastAsia"/>
        </w:rPr>
        <w:t>；</w:t>
      </w:r>
    </w:p>
    <w:p w14:paraId="20029B7F" w14:textId="77777777" w:rsidR="00A048FB" w:rsidRPr="00FD50F6" w:rsidRDefault="00A048FB" w:rsidP="00A926BD">
      <w:pPr>
        <w:pStyle w:val="4"/>
      </w:pPr>
      <w:r w:rsidRPr="00FD50F6">
        <w:rPr>
          <w:rFonts w:hint="eastAsia"/>
        </w:rPr>
        <w:t>风井底部应设置排除雨水的设施，当风口位于车站主体上方时，雨水不应通过车站主体内的废水泵房排出；</w:t>
      </w:r>
    </w:p>
    <w:p w14:paraId="1F1414E1" w14:textId="7F8647A8" w:rsidR="00A048FB" w:rsidRPr="00FD50F6" w:rsidRDefault="00A048FB" w:rsidP="00A926BD">
      <w:pPr>
        <w:pStyle w:val="4"/>
      </w:pPr>
      <w:r w:rsidRPr="00FD50F6">
        <w:rPr>
          <w:rFonts w:hint="eastAsia"/>
        </w:rPr>
        <w:lastRenderedPageBreak/>
        <w:t>风井风口底边缘</w:t>
      </w:r>
      <w:r w:rsidR="001C12AF" w:rsidRPr="00FD50F6">
        <w:t>高出室外地坪设计标高不应小于</w:t>
      </w:r>
      <w:r w:rsidRPr="00FD50F6">
        <w:t>1m</w:t>
      </w:r>
      <w:r w:rsidRPr="00FD50F6">
        <w:rPr>
          <w:rFonts w:hint="eastAsia"/>
        </w:rPr>
        <w:t>；</w:t>
      </w:r>
    </w:p>
    <w:p w14:paraId="6071C8FD" w14:textId="5D77EA25" w:rsidR="00A048FB" w:rsidRPr="00FD50F6" w:rsidRDefault="00A048FB" w:rsidP="00A926BD">
      <w:pPr>
        <w:pStyle w:val="4"/>
      </w:pPr>
      <w:r w:rsidRPr="00FD50F6">
        <w:rPr>
          <w:rFonts w:hint="eastAsia"/>
        </w:rPr>
        <w:t>风井四周宜设置宽度不小于</w:t>
      </w:r>
      <w:r w:rsidRPr="00FD50F6">
        <w:t>3m</w:t>
      </w:r>
      <w:r w:rsidRPr="00FD50F6">
        <w:rPr>
          <w:rFonts w:hint="eastAsia"/>
        </w:rPr>
        <w:t>的绿</w:t>
      </w:r>
      <w:r w:rsidR="00F711FF" w:rsidRPr="00FD50F6">
        <w:rPr>
          <w:rFonts w:hint="eastAsia"/>
        </w:rPr>
        <w:t>化隔离带</w:t>
      </w:r>
      <w:r w:rsidRPr="00FD50F6">
        <w:rPr>
          <w:rFonts w:hint="eastAsia"/>
        </w:rPr>
        <w:t>，当无法满足时，最小高度不应小于</w:t>
      </w:r>
      <w:r w:rsidRPr="00FD50F6">
        <w:t>2m</w:t>
      </w:r>
      <w:r w:rsidRPr="00FD50F6">
        <w:rPr>
          <w:rFonts w:hint="eastAsia"/>
        </w:rPr>
        <w:t>；</w:t>
      </w:r>
    </w:p>
    <w:p w14:paraId="0838762B" w14:textId="345C7666" w:rsidR="00A048FB" w:rsidRPr="00FD50F6" w:rsidRDefault="00A048FB" w:rsidP="00A926BD">
      <w:pPr>
        <w:pStyle w:val="4"/>
      </w:pPr>
      <w:r w:rsidRPr="00FD50F6">
        <w:rPr>
          <w:rFonts w:hint="eastAsia"/>
        </w:rPr>
        <w:t>风井风口应采取防盗和防坠落设施。</w:t>
      </w:r>
    </w:p>
    <w:p w14:paraId="0BDA6509" w14:textId="77777777" w:rsidR="00F711FF" w:rsidRPr="001A4CF3" w:rsidRDefault="00F711FF" w:rsidP="00A048FB">
      <w:pPr>
        <w:pStyle w:val="30"/>
        <w:rPr>
          <w:b/>
        </w:rPr>
      </w:pPr>
      <w:r w:rsidRPr="00FD50F6">
        <w:rPr>
          <w:rFonts w:hint="eastAsia"/>
        </w:rPr>
        <w:t>风亭（口）的防水淹设计，应符合本标准第</w:t>
      </w:r>
      <w:r w:rsidRPr="00FD50F6">
        <w:rPr>
          <w:rFonts w:hint="eastAsia"/>
        </w:rPr>
        <w:t>30.7</w:t>
      </w:r>
      <w:r w:rsidRPr="00FD50F6">
        <w:rPr>
          <w:rFonts w:hint="eastAsia"/>
        </w:rPr>
        <w:t>节相关规定。</w:t>
      </w:r>
    </w:p>
    <w:p w14:paraId="791A0471" w14:textId="7E93EC3A" w:rsidR="00A048FB" w:rsidRPr="00FD50F6" w:rsidRDefault="00A048FB" w:rsidP="00A048FB">
      <w:pPr>
        <w:pStyle w:val="30"/>
        <w:rPr>
          <w:b/>
        </w:rPr>
      </w:pPr>
      <w:r w:rsidRPr="00FD50F6">
        <w:rPr>
          <w:rFonts w:hint="eastAsia"/>
        </w:rPr>
        <w:t>冷却塔应符合下列规定：</w:t>
      </w:r>
    </w:p>
    <w:p w14:paraId="7629656C" w14:textId="77777777" w:rsidR="00A048FB" w:rsidRPr="00FD50F6" w:rsidRDefault="00A048FB" w:rsidP="00A926BD">
      <w:pPr>
        <w:pStyle w:val="4"/>
      </w:pPr>
      <w:r w:rsidRPr="00FD50F6">
        <w:rPr>
          <w:rFonts w:hint="eastAsia"/>
        </w:rPr>
        <w:t>冷却塔应设在通风良好的地方，安装在室外的冷却塔周围应设护栏；</w:t>
      </w:r>
    </w:p>
    <w:p w14:paraId="2D24E289" w14:textId="77777777" w:rsidR="00A048FB" w:rsidRPr="00FD50F6" w:rsidRDefault="00A048FB" w:rsidP="00A926BD">
      <w:pPr>
        <w:pStyle w:val="4"/>
      </w:pPr>
      <w:r w:rsidRPr="00FD50F6">
        <w:rPr>
          <w:rFonts w:hint="eastAsia"/>
        </w:rPr>
        <w:t>安装在周边建筑屋顶上的冷却塔周围应有安全检修和维护空间；</w:t>
      </w:r>
    </w:p>
    <w:p w14:paraId="7B1376CF" w14:textId="77777777" w:rsidR="00A048FB" w:rsidRPr="00FD50F6" w:rsidRDefault="00A048FB" w:rsidP="00A926BD">
      <w:pPr>
        <w:pStyle w:val="4"/>
      </w:pPr>
      <w:r w:rsidRPr="00FD50F6">
        <w:rPr>
          <w:rFonts w:hint="eastAsia"/>
        </w:rPr>
        <w:t>有特殊要求的地段，可采用下沉式或全地下式冷却塔等布置方案，但应满足工艺要求。</w:t>
      </w:r>
    </w:p>
    <w:p w14:paraId="34C1E99F" w14:textId="5C5E7FDB" w:rsidR="00A048FB" w:rsidRPr="00FD50F6" w:rsidRDefault="00A048FB" w:rsidP="001A4CF3">
      <w:pPr>
        <w:pStyle w:val="2"/>
        <w:numPr>
          <w:ilvl w:val="1"/>
          <w:numId w:val="6"/>
        </w:numPr>
      </w:pPr>
      <w:bookmarkStart w:id="411" w:name="_Toc112830700"/>
      <w:r w:rsidRPr="00FD50F6">
        <w:rPr>
          <w:rFonts w:hint="eastAsia"/>
        </w:rPr>
        <w:t>车站交通设施</w:t>
      </w:r>
      <w:bookmarkEnd w:id="411"/>
    </w:p>
    <w:p w14:paraId="0E2C4D82" w14:textId="77777777" w:rsidR="00A048FB" w:rsidRPr="00FD50F6" w:rsidRDefault="00A048FB" w:rsidP="00A048FB">
      <w:pPr>
        <w:pStyle w:val="30"/>
        <w:rPr>
          <w:b/>
        </w:rPr>
      </w:pPr>
      <w:r w:rsidRPr="00FD50F6">
        <w:rPr>
          <w:rFonts w:hint="eastAsia"/>
        </w:rPr>
        <w:t>车站公共区内的楼梯应符合下列规定：</w:t>
      </w:r>
    </w:p>
    <w:p w14:paraId="54A63869" w14:textId="77777777" w:rsidR="00A048FB" w:rsidRPr="00FD50F6" w:rsidRDefault="00A048FB" w:rsidP="00A926BD">
      <w:pPr>
        <w:pStyle w:val="4"/>
      </w:pPr>
      <w:r w:rsidRPr="00FD50F6">
        <w:rPr>
          <w:rFonts w:hint="eastAsia"/>
        </w:rPr>
        <w:t>室内楼梯踏步宽度不应小于</w:t>
      </w:r>
      <w:r w:rsidRPr="00FD50F6">
        <w:t>280mm</w:t>
      </w:r>
      <w:r w:rsidRPr="00FD50F6">
        <w:rPr>
          <w:rFonts w:hint="eastAsia"/>
        </w:rPr>
        <w:t>，高度不应大于</w:t>
      </w:r>
      <w:r w:rsidRPr="00FD50F6">
        <w:t>160mm</w:t>
      </w:r>
      <w:r w:rsidRPr="00FD50F6">
        <w:rPr>
          <w:rFonts w:hint="eastAsia"/>
        </w:rPr>
        <w:t>；</w:t>
      </w:r>
    </w:p>
    <w:p w14:paraId="07CEF93A" w14:textId="77777777" w:rsidR="00A048FB" w:rsidRPr="00FD50F6" w:rsidRDefault="00A048FB" w:rsidP="00A926BD">
      <w:pPr>
        <w:pStyle w:val="4"/>
      </w:pPr>
      <w:r w:rsidRPr="00FD50F6">
        <w:rPr>
          <w:rFonts w:hint="eastAsia"/>
        </w:rPr>
        <w:t>楼梯应分段设置，每个梯段踏步不应少于</w:t>
      </w:r>
      <w:r w:rsidRPr="00FD50F6">
        <w:t>3</w:t>
      </w:r>
      <w:r w:rsidRPr="00FD50F6">
        <w:rPr>
          <w:rFonts w:hint="eastAsia"/>
        </w:rPr>
        <w:t>级，并不应大于</w:t>
      </w:r>
      <w:r w:rsidRPr="00FD50F6">
        <w:t>18</w:t>
      </w:r>
      <w:r w:rsidRPr="00FD50F6">
        <w:rPr>
          <w:rFonts w:hint="eastAsia"/>
        </w:rPr>
        <w:t>级，中间休息平台深度不应小于</w:t>
      </w:r>
      <w:r w:rsidRPr="00FD50F6">
        <w:t>1.5m</w:t>
      </w:r>
      <w:r w:rsidRPr="00FD50F6">
        <w:rPr>
          <w:rFonts w:hint="eastAsia"/>
        </w:rPr>
        <w:t>，条件困难时不应小于</w:t>
      </w:r>
      <w:r w:rsidRPr="00FD50F6">
        <w:t>1.2m</w:t>
      </w:r>
      <w:r w:rsidRPr="00FD50F6">
        <w:rPr>
          <w:rFonts w:hint="eastAsia"/>
        </w:rPr>
        <w:t>；</w:t>
      </w:r>
    </w:p>
    <w:p w14:paraId="2A3BDAD2" w14:textId="1ED44284" w:rsidR="00A048FB" w:rsidRPr="00FD50F6" w:rsidRDefault="00A048FB" w:rsidP="00A926BD">
      <w:pPr>
        <w:pStyle w:val="4"/>
      </w:pPr>
      <w:r w:rsidRPr="00FD50F6">
        <w:rPr>
          <w:rFonts w:hint="eastAsia"/>
        </w:rPr>
        <w:t>楼梯宽度应符合人流股数和建筑模数，且净宽不应小于本标准表</w:t>
      </w:r>
      <w:r w:rsidR="00BB1FF9" w:rsidRPr="00FD50F6">
        <w:t>10</w:t>
      </w:r>
      <w:r w:rsidRPr="00FD50F6">
        <w:t>.2.5-1</w:t>
      </w:r>
      <w:r w:rsidRPr="00FD50F6">
        <w:rPr>
          <w:rFonts w:hint="eastAsia"/>
        </w:rPr>
        <w:t>的规定，当宽度大于</w:t>
      </w:r>
      <w:r w:rsidRPr="00FD50F6">
        <w:t>3.6m</w:t>
      </w:r>
      <w:r w:rsidRPr="00FD50F6">
        <w:rPr>
          <w:rFonts w:hint="eastAsia"/>
        </w:rPr>
        <w:t>时，应设置中间扶手。</w:t>
      </w:r>
    </w:p>
    <w:p w14:paraId="55467F55" w14:textId="72902BF8" w:rsidR="00A048FB" w:rsidRPr="00FD50F6" w:rsidRDefault="00A048FB" w:rsidP="00A048FB">
      <w:pPr>
        <w:pStyle w:val="30"/>
        <w:rPr>
          <w:b/>
        </w:rPr>
      </w:pPr>
      <w:r w:rsidRPr="00FD50F6">
        <w:rPr>
          <w:rFonts w:hint="eastAsia"/>
        </w:rPr>
        <w:t>车站公共区站台至站厅的楼梯与自动扶梯设置应符合下列规定：</w:t>
      </w:r>
    </w:p>
    <w:p w14:paraId="0C8FBFF1" w14:textId="67A36D2A" w:rsidR="00A048FB" w:rsidRPr="00FD50F6" w:rsidRDefault="00A048FB" w:rsidP="00A926BD">
      <w:pPr>
        <w:pStyle w:val="4"/>
      </w:pPr>
      <w:r w:rsidRPr="00FD50F6">
        <w:rPr>
          <w:rFonts w:hint="eastAsia"/>
        </w:rPr>
        <w:t>地下二层车站以及站厅设于地下二层的三层车站，站台上的楼梯与自动扶梯组宜按二节车厢对应一组楼梯与自动扶梯均衡布设，站台至站厅的楼梯数量不宜少于两部；</w:t>
      </w:r>
    </w:p>
    <w:p w14:paraId="01C32EC9" w14:textId="2385E8A9" w:rsidR="00A048FB" w:rsidRPr="00FD50F6" w:rsidRDefault="00A048FB" w:rsidP="00A926BD">
      <w:pPr>
        <w:pStyle w:val="4"/>
      </w:pPr>
      <w:r w:rsidRPr="00FD50F6">
        <w:rPr>
          <w:rFonts w:hint="eastAsia"/>
        </w:rPr>
        <w:t>当站台至站厅设置成组上下行自动扶梯时，宜成组布置一部楼梯。当条件困难无法设置时，宜设置在自动扶梯附近可视范围内；</w:t>
      </w:r>
    </w:p>
    <w:p w14:paraId="37E68B45" w14:textId="7575B799" w:rsidR="00A048FB" w:rsidRPr="00FD50F6" w:rsidRDefault="00F41A20" w:rsidP="00A926BD">
      <w:pPr>
        <w:pStyle w:val="4"/>
      </w:pPr>
      <w:r>
        <w:rPr>
          <w:rFonts w:hint="eastAsia"/>
        </w:rPr>
        <w:t>当</w:t>
      </w:r>
      <w:r w:rsidR="00A048FB" w:rsidRPr="00FD50F6">
        <w:rPr>
          <w:rFonts w:hint="eastAsia"/>
        </w:rPr>
        <w:t>站台至站厅提升高度大于或等于两层时，应设置上下行自动扶梯；</w:t>
      </w:r>
    </w:p>
    <w:p w14:paraId="22799D07" w14:textId="55564354" w:rsidR="00A048FB" w:rsidRPr="00FD50F6" w:rsidRDefault="00A048FB" w:rsidP="00A926BD">
      <w:pPr>
        <w:pStyle w:val="4"/>
      </w:pPr>
      <w:r w:rsidRPr="00FD50F6">
        <w:rPr>
          <w:rFonts w:hint="eastAsia"/>
        </w:rPr>
        <w:t>与一部自动扶梯</w:t>
      </w:r>
      <w:r w:rsidR="00343225" w:rsidRPr="00FD50F6">
        <w:rPr>
          <w:rFonts w:hint="eastAsia"/>
        </w:rPr>
        <w:t>成组</w:t>
      </w:r>
      <w:r w:rsidRPr="00FD50F6">
        <w:rPr>
          <w:rFonts w:hint="eastAsia"/>
        </w:rPr>
        <w:t>设置的楼梯，其宽度不宜小于</w:t>
      </w:r>
      <w:r w:rsidRPr="00FD50F6">
        <w:t>2.4m</w:t>
      </w:r>
      <w:r w:rsidRPr="00FD50F6">
        <w:rPr>
          <w:rFonts w:hint="eastAsia"/>
        </w:rPr>
        <w:t>；</w:t>
      </w:r>
    </w:p>
    <w:p w14:paraId="2E89E08C" w14:textId="5F660EB3" w:rsidR="00A048FB" w:rsidRPr="00FD50F6" w:rsidRDefault="00343225" w:rsidP="00A926BD">
      <w:pPr>
        <w:pStyle w:val="4"/>
      </w:pPr>
      <w:r w:rsidRPr="00FD50F6">
        <w:rPr>
          <w:rFonts w:hint="eastAsia"/>
        </w:rPr>
        <w:t>站台位于站厅上方的车站，当公共区站台至站厅的下行自动扶梯提升高度大于</w:t>
      </w:r>
      <w:r w:rsidRPr="00FD50F6">
        <w:t>10m</w:t>
      </w:r>
      <w:r w:rsidRPr="00FD50F6">
        <w:rPr>
          <w:rFonts w:hint="eastAsia"/>
        </w:rPr>
        <w:t>时，不应参与紧急疏散计算，且应符合本标准第</w:t>
      </w:r>
      <w:r w:rsidRPr="00FD50F6">
        <w:rPr>
          <w:rFonts w:hint="eastAsia"/>
        </w:rPr>
        <w:t>30.2.</w:t>
      </w:r>
      <w:r w:rsidRPr="00FD50F6">
        <w:t>8</w:t>
      </w:r>
      <w:r w:rsidRPr="00FD50F6">
        <w:rPr>
          <w:rFonts w:hint="eastAsia"/>
        </w:rPr>
        <w:t>条规定</w:t>
      </w:r>
      <w:r w:rsidR="00A048FB" w:rsidRPr="00FD50F6">
        <w:rPr>
          <w:rFonts w:hint="eastAsia"/>
        </w:rPr>
        <w:t>。</w:t>
      </w:r>
    </w:p>
    <w:p w14:paraId="7A782DE0" w14:textId="5B79B5E6" w:rsidR="00A048FB" w:rsidRPr="00FD50F6" w:rsidRDefault="00A048FB" w:rsidP="00A048FB">
      <w:pPr>
        <w:pStyle w:val="30"/>
        <w:rPr>
          <w:b/>
        </w:rPr>
      </w:pPr>
      <w:r w:rsidRPr="00FD50F6">
        <w:rPr>
          <w:rFonts w:hint="eastAsia"/>
        </w:rPr>
        <w:t>车站公共区自动扶梯之间或自动人行道之间，及</w:t>
      </w:r>
      <w:r w:rsidR="00947A8D">
        <w:rPr>
          <w:rFonts w:hint="eastAsia"/>
        </w:rPr>
        <w:t>其</w:t>
      </w:r>
      <w:r w:rsidRPr="00FD50F6">
        <w:rPr>
          <w:rFonts w:hint="eastAsia"/>
        </w:rPr>
        <w:t>与各类设施之间的间</w:t>
      </w:r>
      <w:r w:rsidRPr="00FD50F6">
        <w:rPr>
          <w:rFonts w:hint="eastAsia"/>
        </w:rPr>
        <w:lastRenderedPageBreak/>
        <w:t>距应符合下列规定：</w:t>
      </w:r>
    </w:p>
    <w:p w14:paraId="6F84F477" w14:textId="615F2625" w:rsidR="00A048FB" w:rsidRPr="00FD50F6" w:rsidRDefault="00A048FB" w:rsidP="00A926BD">
      <w:pPr>
        <w:pStyle w:val="4"/>
      </w:pPr>
      <w:r w:rsidRPr="00FD50F6">
        <w:rPr>
          <w:rFonts w:hint="eastAsia"/>
        </w:rPr>
        <w:t>两台相对布置的自动扶梯和自动人行道的扶手带转向端之间的距离不应小于</w:t>
      </w:r>
      <w:r w:rsidRPr="00FD50F6">
        <w:t>12m</w:t>
      </w:r>
      <w:r w:rsidRPr="00FD50F6">
        <w:rPr>
          <w:rFonts w:hint="eastAsia"/>
        </w:rPr>
        <w:t>；</w:t>
      </w:r>
    </w:p>
    <w:p w14:paraId="5AA37071" w14:textId="40D545C2" w:rsidR="00A048FB" w:rsidRPr="00FD50F6" w:rsidRDefault="00A048FB" w:rsidP="00A926BD">
      <w:pPr>
        <w:pStyle w:val="4"/>
      </w:pPr>
      <w:r w:rsidRPr="00FD50F6">
        <w:rPr>
          <w:rFonts w:hint="eastAsia"/>
        </w:rPr>
        <w:t>两台顺向布置的自动扶梯或自动人行道的扶手带转向端之间的距离不应小于</w:t>
      </w:r>
      <w:r w:rsidRPr="00FD50F6">
        <w:t>10m</w:t>
      </w:r>
      <w:r w:rsidRPr="00FD50F6">
        <w:rPr>
          <w:rFonts w:hint="eastAsia"/>
        </w:rPr>
        <w:t>；</w:t>
      </w:r>
    </w:p>
    <w:p w14:paraId="4B1D7897" w14:textId="50E1FC57" w:rsidR="00A048FB" w:rsidRPr="00FD50F6" w:rsidRDefault="00A048FB" w:rsidP="00A926BD">
      <w:pPr>
        <w:pStyle w:val="4"/>
      </w:pPr>
      <w:r w:rsidRPr="00FD50F6">
        <w:rPr>
          <w:rFonts w:hint="eastAsia"/>
        </w:rPr>
        <w:t>当自动扶梯或自动人行道与楼梯相对布置时，扶梯扶手带转向端与楼梯第一级踏步的最小净距不应小于</w:t>
      </w:r>
      <w:r w:rsidRPr="00FD50F6">
        <w:t>10m</w:t>
      </w:r>
      <w:r w:rsidRPr="00FD50F6">
        <w:rPr>
          <w:rFonts w:hint="eastAsia"/>
        </w:rPr>
        <w:t>；</w:t>
      </w:r>
    </w:p>
    <w:p w14:paraId="44A81504" w14:textId="77777777" w:rsidR="00A048FB" w:rsidRPr="00FD50F6" w:rsidRDefault="00A048FB" w:rsidP="00A926BD">
      <w:pPr>
        <w:pStyle w:val="4"/>
      </w:pPr>
      <w:r w:rsidRPr="00FD50F6">
        <w:rPr>
          <w:rFonts w:hint="eastAsia"/>
        </w:rPr>
        <w:t>当自动扶梯同方向分段设置时，上下两台自动扶梯扶手带转向端的水平净距不应小于</w:t>
      </w:r>
      <w:r w:rsidRPr="00FD50F6">
        <w:t>5m</w:t>
      </w:r>
      <w:r w:rsidRPr="00FD50F6">
        <w:rPr>
          <w:rFonts w:hint="eastAsia"/>
        </w:rPr>
        <w:t>，且水平梯级踏板数及扶梯宽度应相同；</w:t>
      </w:r>
    </w:p>
    <w:p w14:paraId="7F3B2453" w14:textId="77777777" w:rsidR="00A048FB" w:rsidRPr="00FD50F6" w:rsidRDefault="00A048FB" w:rsidP="00A926BD">
      <w:pPr>
        <w:pStyle w:val="4"/>
      </w:pPr>
      <w:r w:rsidRPr="00FD50F6">
        <w:rPr>
          <w:rFonts w:hint="eastAsia"/>
        </w:rPr>
        <w:t>自动扶梯扶手带转向端距前面障碍物的距离不宜小于</w:t>
      </w:r>
      <w:r w:rsidRPr="00FD50F6">
        <w:t>6m</w:t>
      </w:r>
      <w:r w:rsidRPr="00FD50F6">
        <w:rPr>
          <w:rFonts w:hint="eastAsia"/>
        </w:rPr>
        <w:t>。</w:t>
      </w:r>
    </w:p>
    <w:p w14:paraId="1AED773F" w14:textId="45778F36" w:rsidR="00A048FB" w:rsidRPr="00FD50F6" w:rsidRDefault="00A048FB" w:rsidP="00A048FB">
      <w:pPr>
        <w:pStyle w:val="30"/>
        <w:rPr>
          <w:b/>
        </w:rPr>
      </w:pPr>
      <w:bookmarkStart w:id="412" w:name="OLE_LINK8"/>
      <w:bookmarkStart w:id="413" w:name="OLE_LINK19"/>
      <w:r w:rsidRPr="00FD50F6">
        <w:rPr>
          <w:rFonts w:hint="eastAsia"/>
        </w:rPr>
        <w:t>车站公共区的自动扶梯</w:t>
      </w:r>
      <w:bookmarkStart w:id="414" w:name="_Hlk28188674"/>
      <w:r w:rsidRPr="00FD50F6">
        <w:rPr>
          <w:rFonts w:hint="eastAsia"/>
        </w:rPr>
        <w:t>和自动</w:t>
      </w:r>
      <w:bookmarkEnd w:id="412"/>
      <w:bookmarkEnd w:id="413"/>
      <w:bookmarkEnd w:id="414"/>
      <w:r w:rsidRPr="00FD50F6">
        <w:rPr>
          <w:rFonts w:hint="eastAsia"/>
        </w:rPr>
        <w:t>人行道的设置除应符合本标准第</w:t>
      </w:r>
      <w:r w:rsidRPr="00FD50F6">
        <w:rPr>
          <w:rFonts w:hint="eastAsia"/>
        </w:rPr>
        <w:t>2</w:t>
      </w:r>
      <w:r w:rsidR="00A0175C" w:rsidRPr="00FD50F6">
        <w:t>7</w:t>
      </w:r>
      <w:r w:rsidRPr="00FD50F6">
        <w:rPr>
          <w:rFonts w:hint="eastAsia"/>
        </w:rPr>
        <w:t>章的规定外，还应符合下列规定：</w:t>
      </w:r>
    </w:p>
    <w:p w14:paraId="23045F5D" w14:textId="0B5A2C0E" w:rsidR="00A048FB" w:rsidRPr="00FD50F6" w:rsidRDefault="00A048FB" w:rsidP="00A926BD">
      <w:pPr>
        <w:pStyle w:val="4"/>
      </w:pPr>
      <w:r w:rsidRPr="00FD50F6">
        <w:rPr>
          <w:rFonts w:hint="eastAsia"/>
        </w:rPr>
        <w:t>车站出入口自动扶梯、站台至站厅自动扶梯的倾斜角度不应大于</w:t>
      </w:r>
      <w:r w:rsidRPr="00FD50F6">
        <w:t>30°</w:t>
      </w:r>
      <w:r w:rsidRPr="00FD50F6">
        <w:rPr>
          <w:rFonts w:hint="eastAsia"/>
        </w:rPr>
        <w:t>；</w:t>
      </w:r>
    </w:p>
    <w:p w14:paraId="79CB4474" w14:textId="5E448EFA" w:rsidR="00A048FB" w:rsidRPr="00FD50F6" w:rsidRDefault="00A048FB" w:rsidP="00A926BD">
      <w:pPr>
        <w:pStyle w:val="4"/>
      </w:pPr>
      <w:r w:rsidRPr="00FD50F6">
        <w:rPr>
          <w:rFonts w:hint="eastAsia"/>
        </w:rPr>
        <w:t>自动扶梯和自动人行道应满足设备维修作业的空间要求；</w:t>
      </w:r>
    </w:p>
    <w:p w14:paraId="060E15E6" w14:textId="072E01F0" w:rsidR="00A048FB" w:rsidRPr="00FD50F6" w:rsidRDefault="00A048FB" w:rsidP="00A926BD">
      <w:pPr>
        <w:pStyle w:val="4"/>
      </w:pPr>
      <w:r w:rsidRPr="00FD50F6">
        <w:rPr>
          <w:rFonts w:hint="eastAsia"/>
        </w:rPr>
        <w:t>自动扶梯和自动人行道应避开建筑物变形缝设置，当跨越结构诱导缝设置时，应采取相应的构造措施；</w:t>
      </w:r>
    </w:p>
    <w:p w14:paraId="4B67747E" w14:textId="2E0616F9" w:rsidR="00A048FB" w:rsidRPr="00FD50F6" w:rsidRDefault="00A048FB" w:rsidP="00A048FB">
      <w:pPr>
        <w:pStyle w:val="30"/>
        <w:rPr>
          <w:b/>
        </w:rPr>
      </w:pPr>
      <w:r w:rsidRPr="00FD50F6">
        <w:rPr>
          <w:rFonts w:hint="eastAsia"/>
        </w:rPr>
        <w:t>当自动扶梯或自动人行道沿封闭的垂直墙面布置时，其扶手带中心线离墙体装饰面的水平距离不应小于</w:t>
      </w:r>
      <w:r w:rsidRPr="00FD50F6">
        <w:t>200mm</w:t>
      </w:r>
      <w:r w:rsidRPr="00FD50F6">
        <w:rPr>
          <w:rFonts w:hint="eastAsia"/>
        </w:rPr>
        <w:t>。扶手带与其他设施的间距应符合现行国家标准《自动扶梯和自动人行道的制造与安装安全规范》</w:t>
      </w:r>
      <w:r w:rsidRPr="00FD50F6">
        <w:t>GB</w:t>
      </w:r>
      <w:r w:rsidR="00343225" w:rsidRPr="00FD50F6">
        <w:t xml:space="preserve"> </w:t>
      </w:r>
      <w:r w:rsidRPr="00FD50F6">
        <w:t>16899</w:t>
      </w:r>
      <w:r w:rsidRPr="00FD50F6">
        <w:rPr>
          <w:rFonts w:hint="eastAsia"/>
        </w:rPr>
        <w:t>的规定</w:t>
      </w:r>
    </w:p>
    <w:p w14:paraId="5AECF3FE" w14:textId="76060A3E" w:rsidR="00A048FB" w:rsidRPr="00FD50F6" w:rsidRDefault="00A048FB" w:rsidP="00A048FB">
      <w:pPr>
        <w:pStyle w:val="30"/>
        <w:rPr>
          <w:b/>
        </w:rPr>
      </w:pPr>
      <w:r w:rsidRPr="00FD50F6">
        <w:rPr>
          <w:rFonts w:hint="eastAsia"/>
        </w:rPr>
        <w:t>车站出入口设置的楼梯和自动扶梯应符合下列规定：</w:t>
      </w:r>
    </w:p>
    <w:p w14:paraId="207A9993" w14:textId="77777777" w:rsidR="00395A24" w:rsidRPr="00FD50F6" w:rsidRDefault="00395A24" w:rsidP="00A926BD">
      <w:pPr>
        <w:pStyle w:val="4"/>
      </w:pPr>
      <w:r w:rsidRPr="00FD50F6">
        <w:rPr>
          <w:rFonts w:hint="eastAsia"/>
        </w:rPr>
        <w:t>每座车站设上、下行自动扶梯的出入口不应少于</w:t>
      </w:r>
      <w:r w:rsidRPr="00FD50F6">
        <w:t>1</w:t>
      </w:r>
      <w:r w:rsidRPr="00FD50F6">
        <w:rPr>
          <w:rFonts w:hint="eastAsia"/>
        </w:rPr>
        <w:t>个；</w:t>
      </w:r>
    </w:p>
    <w:p w14:paraId="3B501D83" w14:textId="17178B7F" w:rsidR="00395A24" w:rsidRPr="00FD50F6" w:rsidRDefault="00395A24" w:rsidP="00A926BD">
      <w:pPr>
        <w:pStyle w:val="4"/>
      </w:pPr>
      <w:r w:rsidRPr="00FD50F6">
        <w:rPr>
          <w:rFonts w:hint="eastAsia"/>
        </w:rPr>
        <w:t>当出入口通道内上、下行均采用自动扶梯时，</w:t>
      </w:r>
      <w:r w:rsidR="008D6C92" w:rsidRPr="00FD50F6">
        <w:rPr>
          <w:rFonts w:hint="eastAsia"/>
        </w:rPr>
        <w:t>应设置楼梯或备用自动扶梯</w:t>
      </w:r>
      <w:r w:rsidRPr="00FD50F6">
        <w:rPr>
          <w:rFonts w:hint="eastAsia"/>
        </w:rPr>
        <w:t>；</w:t>
      </w:r>
    </w:p>
    <w:p w14:paraId="4375C1EC" w14:textId="6747050A" w:rsidR="00395A24" w:rsidRPr="001A4CF3" w:rsidRDefault="00395A24" w:rsidP="00A926BD">
      <w:pPr>
        <w:pStyle w:val="4"/>
      </w:pPr>
      <w:r w:rsidRPr="00FD50F6">
        <w:rPr>
          <w:rFonts w:hint="eastAsia"/>
        </w:rPr>
        <w:t>当出入口提升高度大于</w:t>
      </w:r>
      <w:r w:rsidRPr="00FD50F6">
        <w:t>10m</w:t>
      </w:r>
      <w:r w:rsidRPr="00FD50F6">
        <w:rPr>
          <w:rFonts w:hint="eastAsia"/>
        </w:rPr>
        <w:t>时，应设上、下行自动扶梯和净宽不小于</w:t>
      </w:r>
      <w:r w:rsidRPr="00FD50F6">
        <w:t>1.8m</w:t>
      </w:r>
      <w:r w:rsidRPr="00FD50F6">
        <w:rPr>
          <w:rFonts w:hint="eastAsia"/>
        </w:rPr>
        <w:t>的楼梯，当条件受限时，可设上行自动扶梯和净宽不小于</w:t>
      </w:r>
      <w:r w:rsidRPr="00FD50F6">
        <w:t>2.4m</w:t>
      </w:r>
      <w:r w:rsidRPr="00FD50F6">
        <w:rPr>
          <w:rFonts w:hint="eastAsia"/>
        </w:rPr>
        <w:t>的楼梯；</w:t>
      </w:r>
    </w:p>
    <w:p w14:paraId="56FC78D1" w14:textId="77777777" w:rsidR="00A048FB" w:rsidRPr="00FD50F6" w:rsidRDefault="00A048FB" w:rsidP="00A926BD">
      <w:pPr>
        <w:pStyle w:val="4"/>
      </w:pPr>
      <w:r w:rsidRPr="001A4CF3">
        <w:rPr>
          <w:rFonts w:hint="eastAsia"/>
        </w:rPr>
        <w:t>受条件限制的地面出</w:t>
      </w:r>
      <w:r w:rsidRPr="00FD50F6">
        <w:rPr>
          <w:rFonts w:hint="eastAsia"/>
        </w:rPr>
        <w:t>入口，当出入口分向客流较小且自动扶梯疏散能力满足高峰时段和事故疏散要求时，可采用梯级宽度</w:t>
      </w:r>
      <w:r w:rsidRPr="00FD50F6">
        <w:t>0.6m</w:t>
      </w:r>
      <w:r w:rsidRPr="00FD50F6">
        <w:rPr>
          <w:rFonts w:hint="eastAsia"/>
        </w:rPr>
        <w:t>或</w:t>
      </w:r>
      <w:r w:rsidRPr="00FD50F6">
        <w:t>0.8m</w:t>
      </w:r>
      <w:r w:rsidRPr="00FD50F6">
        <w:rPr>
          <w:rFonts w:hint="eastAsia"/>
        </w:rPr>
        <w:t>的自动扶梯；</w:t>
      </w:r>
    </w:p>
    <w:p w14:paraId="2EB3DD3E" w14:textId="53BF75F1" w:rsidR="00A048FB" w:rsidRPr="00FD50F6" w:rsidRDefault="00A048FB" w:rsidP="00A926BD">
      <w:pPr>
        <w:pStyle w:val="4"/>
      </w:pPr>
      <w:r w:rsidRPr="00FD50F6">
        <w:rPr>
          <w:rFonts w:hint="eastAsia"/>
        </w:rPr>
        <w:t>受条件限制无法设置两台自动扶梯的出入口，当设置垂直电梯时，可不设下行自动扶梯。</w:t>
      </w:r>
    </w:p>
    <w:p w14:paraId="453B5BE7" w14:textId="731C9216" w:rsidR="00A048FB" w:rsidRPr="001A4CF3" w:rsidRDefault="00A048FB" w:rsidP="00A048FB">
      <w:pPr>
        <w:pStyle w:val="30"/>
        <w:rPr>
          <w:b/>
        </w:rPr>
      </w:pPr>
      <w:r w:rsidRPr="001A4CF3">
        <w:rPr>
          <w:rFonts w:hint="eastAsia"/>
        </w:rPr>
        <w:t>车站</w:t>
      </w:r>
      <w:r w:rsidRPr="00FD50F6">
        <w:rPr>
          <w:rFonts w:hint="eastAsia"/>
        </w:rPr>
        <w:t>公共区站台到站厅、站厅到地面不同层时应设置垂直电梯。</w:t>
      </w:r>
      <w:r w:rsidRPr="001A4CF3">
        <w:rPr>
          <w:rFonts w:hint="eastAsia"/>
        </w:rPr>
        <w:t>垂直电梯的设置应符合本标准第</w:t>
      </w:r>
      <w:r w:rsidR="00A0175C" w:rsidRPr="001A4CF3">
        <w:t>10</w:t>
      </w:r>
      <w:r w:rsidRPr="001A4CF3">
        <w:t>.9</w:t>
      </w:r>
      <w:r w:rsidRPr="001A4CF3">
        <w:rPr>
          <w:rFonts w:hint="eastAsia"/>
        </w:rPr>
        <w:t>节</w:t>
      </w:r>
      <w:r w:rsidR="00355113" w:rsidRPr="001A4CF3">
        <w:rPr>
          <w:rFonts w:hint="eastAsia"/>
        </w:rPr>
        <w:t>和</w:t>
      </w:r>
      <w:r w:rsidR="00355113" w:rsidRPr="00FD50F6">
        <w:rPr>
          <w:rFonts w:hint="eastAsia"/>
        </w:rPr>
        <w:t>第</w:t>
      </w:r>
      <w:r w:rsidR="00355113" w:rsidRPr="00FD50F6">
        <w:t>27</w:t>
      </w:r>
      <w:r w:rsidR="00355113" w:rsidRPr="00FD50F6">
        <w:t>章</w:t>
      </w:r>
      <w:r w:rsidRPr="001A4CF3">
        <w:rPr>
          <w:rFonts w:hint="eastAsia"/>
        </w:rPr>
        <w:t>的规定。</w:t>
      </w:r>
    </w:p>
    <w:p w14:paraId="1894FDA6" w14:textId="77777777" w:rsidR="00A048FB" w:rsidRPr="00FD50F6" w:rsidRDefault="00A048FB" w:rsidP="00A65181">
      <w:pPr>
        <w:pStyle w:val="2"/>
      </w:pPr>
      <w:bookmarkStart w:id="415" w:name="_Toc112830701"/>
      <w:bookmarkStart w:id="416" w:name="_Toc112830702"/>
      <w:bookmarkStart w:id="417" w:name="_Toc112830703"/>
      <w:bookmarkStart w:id="418" w:name="_Toc112830704"/>
      <w:bookmarkEnd w:id="415"/>
      <w:bookmarkEnd w:id="416"/>
      <w:bookmarkEnd w:id="417"/>
      <w:r w:rsidRPr="00FD50F6">
        <w:rPr>
          <w:rFonts w:hint="eastAsia"/>
        </w:rPr>
        <w:lastRenderedPageBreak/>
        <w:t>车站环境设计</w:t>
      </w:r>
      <w:bookmarkEnd w:id="398"/>
      <w:bookmarkEnd w:id="399"/>
      <w:bookmarkEnd w:id="400"/>
      <w:bookmarkEnd w:id="401"/>
      <w:bookmarkEnd w:id="402"/>
      <w:bookmarkEnd w:id="418"/>
    </w:p>
    <w:p w14:paraId="26D39AE7" w14:textId="77777777" w:rsidR="00A048FB" w:rsidRPr="00FD50F6" w:rsidRDefault="00A048FB" w:rsidP="00A048FB">
      <w:pPr>
        <w:pStyle w:val="30"/>
        <w:rPr>
          <w:b/>
        </w:rPr>
      </w:pPr>
      <w:r w:rsidRPr="00FD50F6">
        <w:rPr>
          <w:rFonts w:hint="eastAsia"/>
        </w:rPr>
        <w:t>车站建筑设计应简洁、明快、大方，易于识别，装修适度，宜充分利用原有结构的特点和空间形式，体现现代交通建筑的特点，并兼顾当地的人文环境和地域特色。地面、高架车站设计应与周边环境相协调，并宜减小体量。</w:t>
      </w:r>
    </w:p>
    <w:p w14:paraId="1EEA6257" w14:textId="34FFB970" w:rsidR="00A048FB" w:rsidRPr="00FD50F6" w:rsidRDefault="00A048FB" w:rsidP="00A048FB">
      <w:pPr>
        <w:pStyle w:val="30"/>
        <w:rPr>
          <w:b/>
        </w:rPr>
      </w:pPr>
      <w:r w:rsidRPr="00FD50F6">
        <w:rPr>
          <w:rFonts w:hint="eastAsia"/>
        </w:rPr>
        <w:t>装修应采用防火、防潮、防腐、耐久、易清洁且放射性指标满足国家环保要求的材料，装饰制品宜标准化、模数化和便于清洁维修。地面材料应防滑、耐磨。</w:t>
      </w:r>
    </w:p>
    <w:p w14:paraId="20CB75F4" w14:textId="4B3CCB5E" w:rsidR="00A048FB" w:rsidRPr="00FD50F6" w:rsidRDefault="00A048FB" w:rsidP="00A048FB">
      <w:pPr>
        <w:pStyle w:val="30"/>
      </w:pPr>
      <w:r w:rsidRPr="00FD50F6">
        <w:rPr>
          <w:rFonts w:hint="eastAsia"/>
        </w:rPr>
        <w:t>车站内应设置导向、事故疏散、乘客服务等标志；车站外</w:t>
      </w:r>
      <w:r w:rsidRPr="00FD50F6">
        <w:t>500m</w:t>
      </w:r>
      <w:r w:rsidRPr="00FD50F6">
        <w:rPr>
          <w:rFonts w:hint="eastAsia"/>
        </w:rPr>
        <w:t>范围内应有统一的导向标志、标识。</w:t>
      </w:r>
    </w:p>
    <w:p w14:paraId="3878DD05" w14:textId="5CC25513" w:rsidR="00A048FB" w:rsidRPr="00FD50F6" w:rsidRDefault="00A048FB" w:rsidP="00A048FB">
      <w:pPr>
        <w:pStyle w:val="30"/>
        <w:rPr>
          <w:b/>
        </w:rPr>
      </w:pPr>
      <w:r w:rsidRPr="00FD50F6">
        <w:rPr>
          <w:rFonts w:hint="eastAsia"/>
        </w:rPr>
        <w:t>车站内照度标准应符合本标准第</w:t>
      </w:r>
      <w:r w:rsidR="00A0175C" w:rsidRPr="00FD50F6">
        <w:t>16</w:t>
      </w:r>
      <w:r w:rsidRPr="00FD50F6">
        <w:rPr>
          <w:rFonts w:hint="eastAsia"/>
        </w:rPr>
        <w:t>章的规定；照明器宜采用深罩明露式，并应方便维修、清洁和保养；地上车站应选用防潮、防尘、抗风的灯具。</w:t>
      </w:r>
    </w:p>
    <w:p w14:paraId="0FC3D852" w14:textId="77777777" w:rsidR="00A048FB" w:rsidRPr="00FD50F6" w:rsidRDefault="00A048FB" w:rsidP="00A048FB">
      <w:pPr>
        <w:pStyle w:val="30"/>
        <w:rPr>
          <w:b/>
        </w:rPr>
      </w:pPr>
      <w:r w:rsidRPr="00FD50F6">
        <w:rPr>
          <w:rFonts w:hint="eastAsia"/>
        </w:rPr>
        <w:t>站台设置半高站台屏蔽门的地下车站，车站轨行区应采取吸声处理措施。</w:t>
      </w:r>
    </w:p>
    <w:p w14:paraId="674E6A8C" w14:textId="26468F8C" w:rsidR="00A048FB" w:rsidRPr="00FD50F6" w:rsidRDefault="00A048FB" w:rsidP="00A048FB">
      <w:pPr>
        <w:pStyle w:val="30"/>
        <w:rPr>
          <w:b/>
        </w:rPr>
      </w:pPr>
      <w:r w:rsidRPr="00FD50F6">
        <w:rPr>
          <w:rFonts w:hint="eastAsia"/>
        </w:rPr>
        <w:t>有噪声源的房间应采取隔声、吸声措施。</w:t>
      </w:r>
    </w:p>
    <w:p w14:paraId="465A75DE" w14:textId="77777777" w:rsidR="00A048FB" w:rsidRPr="00FD50F6" w:rsidRDefault="00A048FB" w:rsidP="00A048FB">
      <w:pPr>
        <w:pStyle w:val="30"/>
        <w:rPr>
          <w:b/>
        </w:rPr>
      </w:pPr>
      <w:r w:rsidRPr="00FD50F6">
        <w:rPr>
          <w:rFonts w:hint="eastAsia"/>
        </w:rPr>
        <w:t>地面、高架车站应采取噪声、振动的综合防治措施。当采用声屏障时，宜同时满足功能和城市景观的要求。</w:t>
      </w:r>
    </w:p>
    <w:p w14:paraId="1768ACE7" w14:textId="7BFDB8EF" w:rsidR="00A048FB" w:rsidRPr="00FD50F6" w:rsidRDefault="00A048FB" w:rsidP="00A048FB">
      <w:pPr>
        <w:pStyle w:val="30"/>
        <w:rPr>
          <w:b/>
        </w:rPr>
      </w:pPr>
      <w:r w:rsidRPr="00FD50F6">
        <w:rPr>
          <w:rFonts w:hint="eastAsia"/>
        </w:rPr>
        <w:t>建筑内部的装饰材料应符合现行国家标准《地铁设计防火标准》</w:t>
      </w:r>
      <w:r w:rsidRPr="00FD50F6">
        <w:t>GB 51298</w:t>
      </w:r>
      <w:r w:rsidRPr="00FD50F6">
        <w:rPr>
          <w:rFonts w:hint="eastAsia"/>
        </w:rPr>
        <w:t>的规定。</w:t>
      </w:r>
    </w:p>
    <w:p w14:paraId="25BDD8EF" w14:textId="77777777" w:rsidR="00A048FB" w:rsidRPr="00FD50F6" w:rsidRDefault="00A048FB" w:rsidP="001A4CF3">
      <w:pPr>
        <w:pStyle w:val="2"/>
        <w:numPr>
          <w:ilvl w:val="1"/>
          <w:numId w:val="6"/>
        </w:numPr>
      </w:pPr>
      <w:bookmarkStart w:id="419" w:name="_Toc306203694"/>
      <w:bookmarkStart w:id="420" w:name="_Toc320639577"/>
      <w:bookmarkStart w:id="421" w:name="_Toc236222493"/>
      <w:bookmarkStart w:id="422" w:name="_Toc344218742"/>
      <w:bookmarkStart w:id="423" w:name="_Toc320115666"/>
      <w:bookmarkStart w:id="424" w:name="_Toc112830705"/>
      <w:r w:rsidRPr="00FD50F6">
        <w:rPr>
          <w:rFonts w:hint="eastAsia"/>
        </w:rPr>
        <w:t>车站无障碍设施</w:t>
      </w:r>
      <w:bookmarkEnd w:id="419"/>
      <w:bookmarkEnd w:id="420"/>
      <w:bookmarkEnd w:id="421"/>
      <w:bookmarkEnd w:id="422"/>
      <w:bookmarkEnd w:id="423"/>
      <w:bookmarkEnd w:id="424"/>
    </w:p>
    <w:p w14:paraId="7F381972" w14:textId="1D7AA836" w:rsidR="00A048FB" w:rsidRPr="00FD50F6" w:rsidRDefault="00A048FB" w:rsidP="00A048FB">
      <w:pPr>
        <w:pStyle w:val="30"/>
        <w:rPr>
          <w:b/>
        </w:rPr>
      </w:pPr>
      <w:r w:rsidRPr="00FD50F6">
        <w:rPr>
          <w:rFonts w:hint="eastAsia"/>
        </w:rPr>
        <w:t>车站的站前广场、</w:t>
      </w:r>
      <w:r w:rsidR="00355113" w:rsidRPr="00FD50F6">
        <w:rPr>
          <w:rFonts w:hint="eastAsia"/>
        </w:rPr>
        <w:t>交通接驳</w:t>
      </w:r>
      <w:r w:rsidRPr="00FD50F6">
        <w:rPr>
          <w:rFonts w:hint="eastAsia"/>
        </w:rPr>
        <w:t>设施、出入口和车站公共区</w:t>
      </w:r>
      <w:r w:rsidR="00E26DAD" w:rsidRPr="00FD50F6">
        <w:rPr>
          <w:rFonts w:hint="eastAsia"/>
        </w:rPr>
        <w:t>等</w:t>
      </w:r>
      <w:r w:rsidRPr="00FD50F6">
        <w:rPr>
          <w:rFonts w:hint="eastAsia"/>
        </w:rPr>
        <w:t>为乘客服务的各类设施，均应满足无障碍通行要求，且应与城市无障碍设施衔接；无障碍设施的设置应符合现行国家标准</w:t>
      </w:r>
      <w:r w:rsidR="008D6C92" w:rsidRPr="00FD50F6">
        <w:rPr>
          <w:rFonts w:hint="eastAsia"/>
        </w:rPr>
        <w:t>《无障碍设计规范》</w:t>
      </w:r>
      <w:r w:rsidR="008D6C92" w:rsidRPr="00FD50F6">
        <w:t>GB 50763</w:t>
      </w:r>
      <w:r w:rsidR="008D6C92" w:rsidRPr="00FD50F6">
        <w:t>和</w:t>
      </w:r>
      <w:r w:rsidR="008D6C92" w:rsidRPr="00FD50F6">
        <w:rPr>
          <w:rFonts w:hint="eastAsia"/>
        </w:rPr>
        <w:t>《建筑与市政工程无障碍通用规范》</w:t>
      </w:r>
      <w:r w:rsidR="008D6C92" w:rsidRPr="00FD50F6">
        <w:t>GB 55019</w:t>
      </w:r>
      <w:r w:rsidR="008D6C92" w:rsidRPr="00FD50F6">
        <w:rPr>
          <w:rFonts w:hint="eastAsia"/>
        </w:rPr>
        <w:t>的规定</w:t>
      </w:r>
      <w:r w:rsidRPr="00FD50F6">
        <w:rPr>
          <w:rFonts w:hint="eastAsia"/>
        </w:rPr>
        <w:t>。</w:t>
      </w:r>
    </w:p>
    <w:p w14:paraId="26351557" w14:textId="77777777" w:rsidR="00A048FB" w:rsidRPr="00FD50F6" w:rsidRDefault="00A048FB" w:rsidP="00A048FB">
      <w:pPr>
        <w:pStyle w:val="30"/>
        <w:rPr>
          <w:b/>
        </w:rPr>
      </w:pPr>
      <w:r w:rsidRPr="00FD50F6">
        <w:rPr>
          <w:rFonts w:hint="eastAsia"/>
        </w:rPr>
        <w:t>车站公共区的下列场所地面有高差或台阶时应设轮椅坡道：</w:t>
      </w:r>
    </w:p>
    <w:p w14:paraId="5D8065DF" w14:textId="77777777" w:rsidR="00A048FB" w:rsidRPr="00FD50F6" w:rsidRDefault="00A048FB" w:rsidP="00A926BD">
      <w:pPr>
        <w:pStyle w:val="4"/>
      </w:pPr>
      <w:r w:rsidRPr="00FD50F6">
        <w:rPr>
          <w:rFonts w:hint="eastAsia"/>
        </w:rPr>
        <w:t>车站出入口站前广场与相邻城市道路一侧的人行道接口处；</w:t>
      </w:r>
    </w:p>
    <w:p w14:paraId="21D10FDA" w14:textId="77777777" w:rsidR="00A048FB" w:rsidRPr="00FD50F6" w:rsidRDefault="00A048FB" w:rsidP="00A926BD">
      <w:pPr>
        <w:pStyle w:val="4"/>
      </w:pPr>
      <w:r w:rsidRPr="00FD50F6">
        <w:rPr>
          <w:rFonts w:hint="eastAsia"/>
        </w:rPr>
        <w:t>站厅公共区位于首层的车站出入口台阶处；</w:t>
      </w:r>
    </w:p>
    <w:p w14:paraId="6C59F0FD" w14:textId="77777777" w:rsidR="00A048FB" w:rsidRPr="00FD50F6" w:rsidRDefault="00A048FB" w:rsidP="00A926BD">
      <w:pPr>
        <w:pStyle w:val="4"/>
      </w:pPr>
      <w:r w:rsidRPr="00FD50F6">
        <w:rPr>
          <w:rFonts w:hint="eastAsia"/>
        </w:rPr>
        <w:t>无障碍电梯地面亭的出入口平台处；</w:t>
      </w:r>
    </w:p>
    <w:p w14:paraId="517F0F19" w14:textId="77777777" w:rsidR="00A048FB" w:rsidRPr="00FD50F6" w:rsidRDefault="00A048FB" w:rsidP="00A926BD">
      <w:pPr>
        <w:pStyle w:val="4"/>
      </w:pPr>
      <w:r w:rsidRPr="00FD50F6">
        <w:rPr>
          <w:rFonts w:hint="eastAsia"/>
        </w:rPr>
        <w:t>设置无障碍电梯的出入口通道内台阶处；</w:t>
      </w:r>
    </w:p>
    <w:p w14:paraId="12730F39" w14:textId="77777777" w:rsidR="00A048FB" w:rsidRPr="00FD50F6" w:rsidRDefault="00A048FB" w:rsidP="00A926BD">
      <w:pPr>
        <w:pStyle w:val="4"/>
      </w:pPr>
      <w:r w:rsidRPr="00FD50F6">
        <w:rPr>
          <w:rFonts w:hint="eastAsia"/>
        </w:rPr>
        <w:t>换乘通道内台阶处。</w:t>
      </w:r>
    </w:p>
    <w:p w14:paraId="631BA8B7" w14:textId="280DFFAD" w:rsidR="00A048FB" w:rsidRPr="00FD50F6" w:rsidRDefault="00A048FB" w:rsidP="00A048FB">
      <w:pPr>
        <w:pStyle w:val="30"/>
        <w:rPr>
          <w:b/>
        </w:rPr>
      </w:pPr>
      <w:r w:rsidRPr="00FD50F6">
        <w:rPr>
          <w:rFonts w:hint="eastAsia"/>
        </w:rPr>
        <w:lastRenderedPageBreak/>
        <w:t>起终点车站及重要车站设有停车场时应设置无障碍机动车停车位，其数量和要求应符合现行国家标准</w:t>
      </w:r>
      <w:r w:rsidR="008D6C92" w:rsidRPr="00FD50F6">
        <w:rPr>
          <w:rFonts w:hint="eastAsia"/>
        </w:rPr>
        <w:t>《无障碍设计规范》</w:t>
      </w:r>
      <w:r w:rsidR="008D6C92" w:rsidRPr="00FD50F6">
        <w:t>GB 50763</w:t>
      </w:r>
      <w:r w:rsidR="008D6C92" w:rsidRPr="00FD50F6">
        <w:rPr>
          <w:rFonts w:hint="eastAsia"/>
        </w:rPr>
        <w:t>和《</w:t>
      </w:r>
      <w:r w:rsidR="008D6C92" w:rsidRPr="00FD50F6">
        <w:t>建筑与市政工程无障碍通用规范</w:t>
      </w:r>
      <w:r w:rsidR="008D6C92" w:rsidRPr="00FD50F6">
        <w:rPr>
          <w:rFonts w:hint="eastAsia"/>
        </w:rPr>
        <w:t>》</w:t>
      </w:r>
      <w:r w:rsidR="008D6C92" w:rsidRPr="00FD50F6">
        <w:t>GB 55019</w:t>
      </w:r>
      <w:r w:rsidR="008D6C92" w:rsidRPr="00FD50F6">
        <w:rPr>
          <w:rFonts w:hint="eastAsia"/>
        </w:rPr>
        <w:t>的规定</w:t>
      </w:r>
      <w:r w:rsidRPr="00FD50F6">
        <w:rPr>
          <w:rFonts w:hint="eastAsia"/>
        </w:rPr>
        <w:t>。</w:t>
      </w:r>
    </w:p>
    <w:p w14:paraId="3724585C" w14:textId="77777777" w:rsidR="00A048FB" w:rsidRPr="00FD50F6" w:rsidRDefault="00A048FB" w:rsidP="00A048FB">
      <w:pPr>
        <w:pStyle w:val="30"/>
        <w:rPr>
          <w:b/>
        </w:rPr>
      </w:pPr>
      <w:r w:rsidRPr="00FD50F6">
        <w:rPr>
          <w:rFonts w:hint="eastAsia"/>
        </w:rPr>
        <w:t>站厅通道的换乘车站，当换乘通道两端地面高差较大无法设置轮椅坡道时，应设无障碍电梯。</w:t>
      </w:r>
    </w:p>
    <w:p w14:paraId="085EA023" w14:textId="77777777" w:rsidR="00A048FB" w:rsidRPr="00FD50F6" w:rsidRDefault="00A048FB" w:rsidP="00A048FB">
      <w:pPr>
        <w:pStyle w:val="30"/>
        <w:rPr>
          <w:b/>
        </w:rPr>
      </w:pPr>
      <w:r w:rsidRPr="00FD50F6">
        <w:rPr>
          <w:rFonts w:hint="eastAsia"/>
        </w:rPr>
        <w:t>站厅非付费区内应设低位售票窗口、低位自动售票机等低位服务设施。</w:t>
      </w:r>
    </w:p>
    <w:p w14:paraId="3132029B" w14:textId="4E7E6709" w:rsidR="00A048FB" w:rsidRPr="00FD50F6" w:rsidRDefault="00A048FB" w:rsidP="00A048FB">
      <w:pPr>
        <w:pStyle w:val="30"/>
        <w:rPr>
          <w:b/>
        </w:rPr>
      </w:pPr>
      <w:r w:rsidRPr="00FD50F6">
        <w:rPr>
          <w:rFonts w:hint="eastAsia"/>
        </w:rPr>
        <w:t>新建车站站厅至地面的无障碍电梯应符合下列规定：</w:t>
      </w:r>
    </w:p>
    <w:p w14:paraId="669ACE5F" w14:textId="53AEE393" w:rsidR="00A048FB" w:rsidRPr="00FD50F6" w:rsidRDefault="008D6C92" w:rsidP="00A926BD">
      <w:pPr>
        <w:pStyle w:val="4"/>
      </w:pPr>
      <w:r w:rsidRPr="00FD50F6">
        <w:rPr>
          <w:rFonts w:hint="eastAsia"/>
        </w:rPr>
        <w:t>位于城市快速路、城市主干路上的车站及换乘车站，当车站位于</w:t>
      </w:r>
      <w:r>
        <w:rPr>
          <w:rFonts w:hint="eastAsia"/>
        </w:rPr>
        <w:t>道路</w:t>
      </w:r>
      <w:r w:rsidRPr="00FD50F6">
        <w:rPr>
          <w:rFonts w:hint="eastAsia"/>
        </w:rPr>
        <w:t>十字交叉口一侧时，应在道路两侧设置无障碍电梯；当车站跨</w:t>
      </w:r>
      <w:r>
        <w:rPr>
          <w:rFonts w:hint="eastAsia"/>
        </w:rPr>
        <w:t>道路</w:t>
      </w:r>
      <w:r w:rsidRPr="00FD50F6">
        <w:rPr>
          <w:rFonts w:hint="eastAsia"/>
        </w:rPr>
        <w:t>交叉口设置时，出入口无障碍电梯宜对角布置</w:t>
      </w:r>
      <w:r w:rsidR="00A048FB" w:rsidRPr="00FD50F6">
        <w:rPr>
          <w:rFonts w:hint="eastAsia"/>
        </w:rPr>
        <w:t>。</w:t>
      </w:r>
    </w:p>
    <w:p w14:paraId="5BEBF916" w14:textId="3C846488" w:rsidR="00A048FB" w:rsidRPr="00FD50F6" w:rsidRDefault="00A048FB" w:rsidP="00A926BD">
      <w:pPr>
        <w:pStyle w:val="4"/>
      </w:pPr>
      <w:r w:rsidRPr="00FD50F6">
        <w:rPr>
          <w:rFonts w:hint="eastAsia"/>
        </w:rPr>
        <w:t>其他车站应至少在一个主客流方向设置无障碍电梯。</w:t>
      </w:r>
    </w:p>
    <w:p w14:paraId="06BFB463" w14:textId="3E1179F7" w:rsidR="00A048FB" w:rsidRPr="00FD50F6" w:rsidRDefault="00A048FB" w:rsidP="00A926BD">
      <w:pPr>
        <w:pStyle w:val="4"/>
      </w:pPr>
      <w:r w:rsidRPr="00FD50F6">
        <w:rPr>
          <w:rFonts w:hint="eastAsia"/>
        </w:rPr>
        <w:t>站台、站厅同层的地下侧式站台车站，应在两侧站厅各设一部无障碍电梯直通地面。</w:t>
      </w:r>
    </w:p>
    <w:p w14:paraId="0377E2F4" w14:textId="77777777" w:rsidR="00A048FB" w:rsidRPr="00FD50F6" w:rsidRDefault="00A048FB" w:rsidP="00A926BD">
      <w:pPr>
        <w:pStyle w:val="4"/>
      </w:pPr>
      <w:r w:rsidRPr="00FD50F6">
        <w:rPr>
          <w:rFonts w:hint="eastAsia"/>
        </w:rPr>
        <w:t>设置在出入口通道内的无障碍电梯，应设在人防设防区域以外。</w:t>
      </w:r>
    </w:p>
    <w:p w14:paraId="294A6BD4" w14:textId="3F80DA4A" w:rsidR="00A048FB" w:rsidRPr="00FD50F6" w:rsidRDefault="00A048FB" w:rsidP="00A048FB">
      <w:pPr>
        <w:pStyle w:val="30"/>
        <w:rPr>
          <w:b/>
        </w:rPr>
      </w:pPr>
      <w:r w:rsidRPr="00FD50F6">
        <w:rPr>
          <w:rFonts w:hint="eastAsia"/>
        </w:rPr>
        <w:t>车站公共区站台至站厅、站厅与地面不同层时应设置无障碍电梯，且应符合下列规定：</w:t>
      </w:r>
    </w:p>
    <w:p w14:paraId="27177EE8" w14:textId="20B2463F" w:rsidR="00A048FB" w:rsidRPr="00FD50F6" w:rsidRDefault="00A048FB" w:rsidP="00A926BD">
      <w:pPr>
        <w:pStyle w:val="4"/>
      </w:pPr>
      <w:r w:rsidRPr="00FD50F6">
        <w:rPr>
          <w:rFonts w:hint="eastAsia"/>
        </w:rPr>
        <w:t>站台至站厅的无障碍电梯应设于付费区内，并应配备相应的无障碍售检票设施，受条件所限设在非付费区内的无障碍电梯，宜布置在车站非付费区靠设备用房一侧，并应有检票设施；</w:t>
      </w:r>
    </w:p>
    <w:p w14:paraId="4B6C4A6B" w14:textId="77777777" w:rsidR="00A048FB" w:rsidRPr="00FD50F6" w:rsidRDefault="00A048FB" w:rsidP="00A926BD">
      <w:pPr>
        <w:pStyle w:val="4"/>
      </w:pPr>
      <w:r w:rsidRPr="00FD50F6">
        <w:rPr>
          <w:rFonts w:hint="eastAsia"/>
        </w:rPr>
        <w:t>全线各车站站厅至站台无障碍电梯宜布置在相同位置；</w:t>
      </w:r>
    </w:p>
    <w:p w14:paraId="146FD74C" w14:textId="77777777" w:rsidR="00A048FB" w:rsidRPr="00FD50F6" w:rsidRDefault="00A048FB" w:rsidP="00A926BD">
      <w:pPr>
        <w:pStyle w:val="4"/>
      </w:pPr>
      <w:r w:rsidRPr="00FD50F6">
        <w:rPr>
          <w:rFonts w:hint="eastAsia"/>
        </w:rPr>
        <w:t>侧岛换乘车站以及站厅、站台不同层的侧式站台车站，应在每侧站台各设一部到达站厅的无障碍电梯；</w:t>
      </w:r>
    </w:p>
    <w:p w14:paraId="21A32BB8" w14:textId="77777777" w:rsidR="00A048FB" w:rsidRPr="00FD50F6" w:rsidRDefault="00A048FB" w:rsidP="00A926BD">
      <w:pPr>
        <w:pStyle w:val="4"/>
      </w:pPr>
      <w:r w:rsidRPr="00FD50F6">
        <w:rPr>
          <w:rFonts w:hint="eastAsia"/>
        </w:rPr>
        <w:t>无障碍电梯门前等候区深度不应小于</w:t>
      </w:r>
      <w:r w:rsidRPr="00FD50F6">
        <w:t>2.1m</w:t>
      </w:r>
      <w:r w:rsidRPr="00FD50F6">
        <w:rPr>
          <w:rFonts w:hint="eastAsia"/>
        </w:rPr>
        <w:t>，且不宜小于轿厢深度的</w:t>
      </w:r>
      <w:r w:rsidRPr="00FD50F6">
        <w:t>1.5</w:t>
      </w:r>
      <w:r w:rsidRPr="00FD50F6">
        <w:rPr>
          <w:rFonts w:hint="eastAsia"/>
        </w:rPr>
        <w:t>倍；</w:t>
      </w:r>
    </w:p>
    <w:p w14:paraId="0BD0F2A9" w14:textId="77777777" w:rsidR="00A048FB" w:rsidRPr="00FD50F6" w:rsidRDefault="00A048FB" w:rsidP="00A926BD">
      <w:pPr>
        <w:pStyle w:val="4"/>
      </w:pPr>
      <w:r w:rsidRPr="00FD50F6">
        <w:rPr>
          <w:rFonts w:hint="eastAsia"/>
        </w:rPr>
        <w:t>站厅至站台的无障碍电梯的梯门位置宜朝向设有无障碍电梯的出入口一侧；站台电梯门不宜朝向轨行区布置，确有困难时，朝向轨行区的梯门前的等候区不应侵入侧站台乘降区内。</w:t>
      </w:r>
    </w:p>
    <w:p w14:paraId="69F9F570" w14:textId="77777777" w:rsidR="00A048FB" w:rsidRPr="00FD50F6" w:rsidRDefault="00A048FB" w:rsidP="00A048FB">
      <w:pPr>
        <w:pStyle w:val="30"/>
        <w:rPr>
          <w:b/>
        </w:rPr>
      </w:pPr>
      <w:r w:rsidRPr="00FD50F6">
        <w:rPr>
          <w:rFonts w:hint="eastAsia"/>
        </w:rPr>
        <w:t>车站公共区应至少设置一处净宽不小于</w:t>
      </w:r>
      <w:r w:rsidRPr="00FD50F6">
        <w:t>900mm</w:t>
      </w:r>
      <w:r w:rsidRPr="00FD50F6">
        <w:rPr>
          <w:rFonts w:hint="eastAsia"/>
        </w:rPr>
        <w:t>的无障碍检票通道。</w:t>
      </w:r>
    </w:p>
    <w:p w14:paraId="3549C4CC" w14:textId="4DB74827" w:rsidR="00A048FB" w:rsidRPr="00FD50F6" w:rsidRDefault="00A048FB" w:rsidP="00A048FB">
      <w:pPr>
        <w:pStyle w:val="30"/>
        <w:rPr>
          <w:b/>
        </w:rPr>
      </w:pPr>
      <w:r w:rsidRPr="00FD50F6">
        <w:rPr>
          <w:rFonts w:hint="eastAsia"/>
        </w:rPr>
        <w:t>车站公共区应设置无障碍卫生间，设于站台端部的无障碍卫生间门不应正对侧站台乘降区。</w:t>
      </w:r>
    </w:p>
    <w:p w14:paraId="6A0F8A4B" w14:textId="77777777" w:rsidR="00A048FB" w:rsidRPr="00FD50F6" w:rsidRDefault="00A048FB" w:rsidP="001A4CF3">
      <w:pPr>
        <w:pStyle w:val="2"/>
        <w:numPr>
          <w:ilvl w:val="1"/>
          <w:numId w:val="6"/>
        </w:numPr>
      </w:pPr>
      <w:bookmarkStart w:id="425" w:name="_Toc344218743"/>
      <w:bookmarkStart w:id="426" w:name="_Toc320639578"/>
      <w:bookmarkStart w:id="427" w:name="_Toc236222494"/>
      <w:bookmarkStart w:id="428" w:name="_Toc306203695"/>
      <w:bookmarkStart w:id="429" w:name="_Toc320115667"/>
      <w:bookmarkStart w:id="430" w:name="_Toc112830706"/>
      <w:r w:rsidRPr="00FD50F6">
        <w:rPr>
          <w:rFonts w:hint="eastAsia"/>
        </w:rPr>
        <w:lastRenderedPageBreak/>
        <w:t>换乘车站</w:t>
      </w:r>
      <w:bookmarkEnd w:id="425"/>
      <w:bookmarkEnd w:id="426"/>
      <w:bookmarkEnd w:id="427"/>
      <w:bookmarkEnd w:id="428"/>
      <w:bookmarkEnd w:id="429"/>
      <w:bookmarkEnd w:id="430"/>
    </w:p>
    <w:p w14:paraId="71394452" w14:textId="467577D4" w:rsidR="00A048FB" w:rsidRPr="00FD50F6" w:rsidRDefault="00A048FB" w:rsidP="00A048FB">
      <w:pPr>
        <w:pStyle w:val="30"/>
        <w:rPr>
          <w:b/>
        </w:rPr>
      </w:pPr>
      <w:r w:rsidRPr="00FD50F6">
        <w:rPr>
          <w:rFonts w:hint="eastAsia"/>
        </w:rPr>
        <w:t>换乘车站的换乘形式应根据线网规划、客流特征、换乘线路的建设时序、线路敷设方式和工程实施条件等因素确定，换乘线路属初期建设或近期建设的车站，宜与在建车站同步实施或预留换乘节点，属远期建设的车站，应预留换乘条件和后期施工条件。</w:t>
      </w:r>
    </w:p>
    <w:p w14:paraId="3CFEFF44" w14:textId="6B7F942A" w:rsidR="00A048FB" w:rsidRPr="00FD50F6" w:rsidRDefault="00A048FB" w:rsidP="00A048FB">
      <w:pPr>
        <w:pStyle w:val="30"/>
        <w:rPr>
          <w:b/>
        </w:rPr>
      </w:pPr>
      <w:r w:rsidRPr="00FD50F6">
        <w:rPr>
          <w:rFonts w:hint="eastAsia"/>
        </w:rPr>
        <w:t>换乘车站宜按附录</w:t>
      </w:r>
      <w:r w:rsidRPr="00FD50F6">
        <w:t>H</w:t>
      </w:r>
      <w:r w:rsidRPr="00FD50F6">
        <w:rPr>
          <w:rFonts w:hint="eastAsia"/>
        </w:rPr>
        <w:t>的要求进行车站通行设施能力适应性、站台短时冲击性、换乘便捷性以及运能匹配性功能验算，并应符合下列规定：</w:t>
      </w:r>
    </w:p>
    <w:p w14:paraId="1D93A8C0" w14:textId="77777777" w:rsidR="00A048FB" w:rsidRPr="00FD50F6" w:rsidRDefault="00A048FB" w:rsidP="00A926BD">
      <w:pPr>
        <w:pStyle w:val="4"/>
      </w:pPr>
      <w:r w:rsidRPr="00FD50F6">
        <w:rPr>
          <w:rFonts w:hint="eastAsia"/>
        </w:rPr>
        <w:t>换乘车站宜采用付费区内换乘的形式，公共区交通流线应便捷；</w:t>
      </w:r>
    </w:p>
    <w:p w14:paraId="44BD8772" w14:textId="77777777" w:rsidR="00A048FB" w:rsidRPr="00FD50F6" w:rsidRDefault="00A048FB" w:rsidP="00A926BD">
      <w:pPr>
        <w:pStyle w:val="4"/>
      </w:pPr>
      <w:r w:rsidRPr="00FD50F6">
        <w:rPr>
          <w:rFonts w:hint="eastAsia"/>
        </w:rPr>
        <w:t>换乘全路径上各部位的换乘设施通行能力应匹配，通行设施的布置和组织应相互协调，所有换乘设施的超高峰饱和度不应大于</w:t>
      </w:r>
      <w:r w:rsidRPr="00FD50F6">
        <w:t>1.0</w:t>
      </w:r>
      <w:r w:rsidRPr="00FD50F6">
        <w:rPr>
          <w:rFonts w:hint="eastAsia"/>
        </w:rPr>
        <w:t>，各组换乘设施利用的均衡性指标不应大于</w:t>
      </w:r>
      <w:r w:rsidRPr="00FD50F6">
        <w:t>1.5</w:t>
      </w:r>
      <w:r w:rsidRPr="00FD50F6">
        <w:rPr>
          <w:rFonts w:hint="eastAsia"/>
        </w:rPr>
        <w:t>；</w:t>
      </w:r>
    </w:p>
    <w:p w14:paraId="3601F502" w14:textId="1863F071" w:rsidR="00A048FB" w:rsidRPr="00FD50F6" w:rsidRDefault="00A048FB" w:rsidP="00A926BD">
      <w:pPr>
        <w:pStyle w:val="4"/>
      </w:pPr>
      <w:r w:rsidRPr="00FD50F6">
        <w:rPr>
          <w:rFonts w:hint="eastAsia"/>
        </w:rPr>
        <w:t>换乘路径两端站台中跨区域有效容纳空间内的人流密度不应超过</w:t>
      </w:r>
      <w:r w:rsidRPr="00FD50F6">
        <w:t>1.2</w:t>
      </w:r>
      <w:r w:rsidRPr="00FD50F6">
        <w:rPr>
          <w:rFonts w:hint="eastAsia"/>
        </w:rPr>
        <w:t>人</w:t>
      </w:r>
      <w:r w:rsidRPr="00FD50F6">
        <w:t>/m</w:t>
      </w:r>
      <w:r w:rsidRPr="00FD50F6">
        <w:rPr>
          <w:vertAlign w:val="superscript"/>
        </w:rPr>
        <w:t>2</w:t>
      </w:r>
      <w:r w:rsidRPr="00FD50F6">
        <w:rPr>
          <w:rFonts w:hint="eastAsia"/>
        </w:rPr>
        <w:t>，各组换乘设施端部前的最大拥堵人数不应超过</w:t>
      </w:r>
      <w:r w:rsidRPr="00FD50F6">
        <w:t>200</w:t>
      </w:r>
      <w:r w:rsidRPr="00FD50F6">
        <w:rPr>
          <w:rFonts w:hint="eastAsia"/>
        </w:rPr>
        <w:t>人；</w:t>
      </w:r>
    </w:p>
    <w:p w14:paraId="04212A58" w14:textId="5CFC6FA8" w:rsidR="00A048FB" w:rsidRPr="00FD50F6" w:rsidRDefault="00A048FB" w:rsidP="00A926BD">
      <w:pPr>
        <w:pStyle w:val="4"/>
      </w:pPr>
      <w:r w:rsidRPr="00FD50F6">
        <w:rPr>
          <w:rFonts w:hint="eastAsia"/>
        </w:rPr>
        <w:t>相交线路的运输能力应与换乘客流需求相匹配，远期或客流控制</w:t>
      </w:r>
      <w:r w:rsidRPr="001A4CF3">
        <w:rPr>
          <w:rFonts w:cstheme="minorBidi" w:hint="eastAsia"/>
          <w:szCs w:val="32"/>
        </w:rPr>
        <w:t>期超高</w:t>
      </w:r>
      <w:r w:rsidRPr="00FD50F6">
        <w:rPr>
          <w:rFonts w:hint="eastAsia"/>
        </w:rPr>
        <w:t>峰时段，在站台上的换乘滞留人数不得超过列车超员数和定员数的差值；</w:t>
      </w:r>
    </w:p>
    <w:p w14:paraId="07621291" w14:textId="274DEDBB" w:rsidR="00A048FB" w:rsidRPr="00FD50F6" w:rsidRDefault="00A048FB" w:rsidP="00A926BD">
      <w:pPr>
        <w:pStyle w:val="4"/>
      </w:pPr>
      <w:r w:rsidRPr="00FD50F6">
        <w:rPr>
          <w:rFonts w:hint="eastAsia"/>
        </w:rPr>
        <w:t>换乘车站交通流线应便捷，同站台换乘的行走时间不应超过</w:t>
      </w:r>
      <w:r w:rsidRPr="00FD50F6">
        <w:t>1min</w:t>
      </w:r>
      <w:r w:rsidRPr="00FD50F6">
        <w:rPr>
          <w:rFonts w:hint="eastAsia"/>
        </w:rPr>
        <w:t>，节点换乘的平均行走时间不宜超过</w:t>
      </w:r>
      <w:r w:rsidRPr="00FD50F6">
        <w:t>3min</w:t>
      </w:r>
      <w:r w:rsidRPr="00FD50F6">
        <w:rPr>
          <w:rFonts w:hint="eastAsia"/>
        </w:rPr>
        <w:t>，通道换乘的平均行走时间不宜超过</w:t>
      </w:r>
      <w:r w:rsidRPr="00FD50F6">
        <w:t>5min</w:t>
      </w:r>
      <w:r w:rsidRPr="00FD50F6">
        <w:rPr>
          <w:rFonts w:hint="eastAsia"/>
        </w:rPr>
        <w:t>。</w:t>
      </w:r>
    </w:p>
    <w:p w14:paraId="586EF8AD" w14:textId="77777777" w:rsidR="00A048FB" w:rsidRPr="00FD50F6" w:rsidRDefault="00A048FB" w:rsidP="00A048FB">
      <w:pPr>
        <w:pStyle w:val="30"/>
        <w:rPr>
          <w:b/>
        </w:rPr>
      </w:pPr>
      <w:r w:rsidRPr="00FD50F6">
        <w:rPr>
          <w:rFonts w:hint="eastAsia"/>
        </w:rPr>
        <w:t>换乘车站公共区内的通行、服务设施以及导向标志应符合进出站和换乘客流流线要求。</w:t>
      </w:r>
    </w:p>
    <w:p w14:paraId="3446E0F0" w14:textId="77777777" w:rsidR="00A048FB" w:rsidRPr="00FD50F6" w:rsidRDefault="00A048FB" w:rsidP="00A048FB">
      <w:pPr>
        <w:pStyle w:val="30"/>
        <w:rPr>
          <w:b/>
        </w:rPr>
      </w:pPr>
      <w:r w:rsidRPr="00FD50F6">
        <w:rPr>
          <w:rFonts w:hint="eastAsia"/>
        </w:rPr>
        <w:t>换乘通道的宽度应根据客流控制期超高峰小时换乘客流量计算确定，单向换乘通道装修后的最小净宽不应小于</w:t>
      </w:r>
      <w:r w:rsidRPr="00FD50F6">
        <w:t>4.8m</w:t>
      </w:r>
      <w:r w:rsidRPr="00FD50F6">
        <w:rPr>
          <w:rFonts w:hint="eastAsia"/>
        </w:rPr>
        <w:t>，双向换乘通道装修后的最小净宽不应小于</w:t>
      </w:r>
      <w:r w:rsidRPr="00FD50F6">
        <w:t>8m</w:t>
      </w:r>
      <w:r w:rsidRPr="00FD50F6">
        <w:rPr>
          <w:rFonts w:hint="eastAsia"/>
        </w:rPr>
        <w:t>。</w:t>
      </w:r>
    </w:p>
    <w:p w14:paraId="1E3013BB" w14:textId="77777777" w:rsidR="00A048FB" w:rsidRPr="00FD50F6" w:rsidRDefault="00A048FB" w:rsidP="00A048FB">
      <w:pPr>
        <w:pStyle w:val="30"/>
        <w:rPr>
          <w:b/>
        </w:rPr>
      </w:pPr>
      <w:r w:rsidRPr="00FD50F6">
        <w:rPr>
          <w:rFonts w:hint="eastAsia"/>
        </w:rPr>
        <w:t>同站台平行换乘车站，应对远期超高峰小时或客流控制期发车间隔内两列车同时到达时的客流总量进行站台人流密度和紧急疏散时间验算。当站台两侧线路行车密度不等时，应以行车密度低的线路行车间隔内的换乘客流量以及进、出站客流量之和进行验算。</w:t>
      </w:r>
    </w:p>
    <w:p w14:paraId="3571BDC8" w14:textId="77777777" w:rsidR="00A048FB" w:rsidRPr="00FD50F6" w:rsidRDefault="00A048FB" w:rsidP="00A048FB">
      <w:pPr>
        <w:pStyle w:val="30"/>
        <w:rPr>
          <w:b/>
        </w:rPr>
      </w:pPr>
      <w:r w:rsidRPr="00FD50F6">
        <w:rPr>
          <w:rFonts w:hint="eastAsia"/>
        </w:rPr>
        <w:t>对于同步实施的换乘车站，车站内用房、设备和设施等资源宜共享。</w:t>
      </w:r>
    </w:p>
    <w:p w14:paraId="678A7B1E" w14:textId="73A5F613" w:rsidR="00A048FB" w:rsidRPr="00FD50F6" w:rsidRDefault="00A048FB" w:rsidP="00A048FB">
      <w:pPr>
        <w:pStyle w:val="30"/>
        <w:rPr>
          <w:b/>
        </w:rPr>
      </w:pPr>
      <w:r w:rsidRPr="00FD50F6">
        <w:rPr>
          <w:rFonts w:hint="eastAsia"/>
        </w:rPr>
        <w:t>预留换乘节点的车站应在预留换乘节点两侧留出不小于</w:t>
      </w:r>
      <w:r w:rsidRPr="00FD50F6">
        <w:t>500mm</w:t>
      </w:r>
      <w:r w:rsidRPr="00FD50F6">
        <w:rPr>
          <w:rFonts w:hint="eastAsia"/>
        </w:rPr>
        <w:t>的裕量，近期节点最低层应采取排除积水的措施。</w:t>
      </w:r>
    </w:p>
    <w:p w14:paraId="46A22975" w14:textId="77777777" w:rsidR="00A048FB" w:rsidRPr="00FD50F6" w:rsidRDefault="00A048FB" w:rsidP="001A4CF3">
      <w:pPr>
        <w:pStyle w:val="2"/>
        <w:numPr>
          <w:ilvl w:val="1"/>
          <w:numId w:val="6"/>
        </w:numPr>
      </w:pPr>
      <w:bookmarkStart w:id="431" w:name="_Toc112830707"/>
      <w:r w:rsidRPr="00FD50F6">
        <w:rPr>
          <w:rFonts w:hint="eastAsia"/>
        </w:rPr>
        <w:lastRenderedPageBreak/>
        <w:t>区间附属设施</w:t>
      </w:r>
      <w:bookmarkEnd w:id="431"/>
    </w:p>
    <w:p w14:paraId="561D3522" w14:textId="77777777" w:rsidR="00A048FB" w:rsidRPr="00FD50F6" w:rsidRDefault="00A048FB" w:rsidP="00A048FB">
      <w:pPr>
        <w:pStyle w:val="30"/>
        <w:rPr>
          <w:b/>
        </w:rPr>
      </w:pPr>
      <w:r w:rsidRPr="00FD50F6">
        <w:rPr>
          <w:rFonts w:hint="eastAsia"/>
        </w:rPr>
        <w:t>当区间道床面作为疏散通道时，道床步行区应平整、连续、无障碍物。</w:t>
      </w:r>
    </w:p>
    <w:p w14:paraId="398C4C11" w14:textId="23A22A6C" w:rsidR="00A048FB" w:rsidRPr="00FD50F6" w:rsidRDefault="00A048FB" w:rsidP="00A048FB">
      <w:pPr>
        <w:pStyle w:val="30"/>
        <w:rPr>
          <w:b/>
        </w:rPr>
      </w:pPr>
      <w:r w:rsidRPr="00FD50F6">
        <w:rPr>
          <w:rFonts w:hint="eastAsia"/>
        </w:rPr>
        <w:t>载客运营的地下区间应设置横向</w:t>
      </w:r>
      <w:r w:rsidR="00C1563B" w:rsidRPr="00FD50F6">
        <w:rPr>
          <w:rFonts w:hint="eastAsia"/>
        </w:rPr>
        <w:t>区间联络通道</w:t>
      </w:r>
      <w:r w:rsidRPr="00FD50F6">
        <w:rPr>
          <w:rFonts w:hint="eastAsia"/>
        </w:rPr>
        <w:t>，并应符合下列规定：</w:t>
      </w:r>
    </w:p>
    <w:p w14:paraId="564F0589" w14:textId="165DDCC3" w:rsidR="00A048FB" w:rsidRPr="00FD50F6" w:rsidRDefault="00A048FB" w:rsidP="00A926BD">
      <w:pPr>
        <w:pStyle w:val="4"/>
      </w:pPr>
      <w:r w:rsidRPr="00FD50F6">
        <w:rPr>
          <w:rFonts w:hint="eastAsia"/>
        </w:rPr>
        <w:t>两条单线载客运营地下区间之间应设置</w:t>
      </w:r>
      <w:r w:rsidR="00C1563B" w:rsidRPr="00FD50F6">
        <w:rPr>
          <w:rFonts w:hint="eastAsia"/>
        </w:rPr>
        <w:t>区间联络通道</w:t>
      </w:r>
      <w:r w:rsidRPr="00FD50F6">
        <w:rPr>
          <w:rFonts w:hint="eastAsia"/>
        </w:rPr>
        <w:t>，相邻两个</w:t>
      </w:r>
      <w:r w:rsidR="00C1563B" w:rsidRPr="00FD50F6">
        <w:rPr>
          <w:rFonts w:hint="eastAsia"/>
        </w:rPr>
        <w:t>区间联络通道</w:t>
      </w:r>
      <w:r w:rsidRPr="00FD50F6">
        <w:rPr>
          <w:rFonts w:hint="eastAsia"/>
        </w:rPr>
        <w:t>之间的距离不应大于</w:t>
      </w:r>
      <w:r w:rsidRPr="00FD50F6">
        <w:t>600m</w:t>
      </w:r>
      <w:r w:rsidRPr="00FD50F6">
        <w:rPr>
          <w:rFonts w:hint="eastAsia"/>
        </w:rPr>
        <w:t>。</w:t>
      </w:r>
    </w:p>
    <w:p w14:paraId="30943F0C" w14:textId="737C50B6" w:rsidR="00A048FB" w:rsidRPr="00FD50F6" w:rsidRDefault="00A048FB" w:rsidP="00A926BD">
      <w:pPr>
        <w:pStyle w:val="4"/>
      </w:pPr>
      <w:r w:rsidRPr="00FD50F6">
        <w:rPr>
          <w:rFonts w:hint="eastAsia"/>
        </w:rPr>
        <w:t>单洞双线隧道的上下行线之间应设中隔墙，中隔墙上应设甲级防火门，当相邻防火门之间的距离不大于</w:t>
      </w:r>
      <w:r w:rsidRPr="00FD50F6">
        <w:t>300m</w:t>
      </w:r>
      <w:r w:rsidRPr="00FD50F6">
        <w:rPr>
          <w:rFonts w:hint="eastAsia"/>
        </w:rPr>
        <w:t>时，可视为</w:t>
      </w:r>
      <w:r w:rsidR="00C1563B" w:rsidRPr="00FD50F6">
        <w:rPr>
          <w:rFonts w:hint="eastAsia"/>
        </w:rPr>
        <w:t>区间联络通道</w:t>
      </w:r>
      <w:r w:rsidRPr="00FD50F6">
        <w:rPr>
          <w:rFonts w:hint="eastAsia"/>
        </w:rPr>
        <w:t>；中隔墙的耐火极限不应低于</w:t>
      </w:r>
      <w:r w:rsidRPr="00FD50F6">
        <w:t>3.00h</w:t>
      </w:r>
      <w:r w:rsidR="00272774" w:rsidRPr="00FD50F6">
        <w:rPr>
          <w:rFonts w:hint="eastAsia"/>
        </w:rPr>
        <w:t>，中隔墙上的甲级防火门</w:t>
      </w:r>
      <w:r w:rsidR="00272774" w:rsidRPr="001A4CF3">
        <w:rPr>
          <w:rFonts w:hint="eastAsia"/>
        </w:rPr>
        <w:t>净宽不应小于</w:t>
      </w:r>
      <w:r w:rsidR="00272774" w:rsidRPr="001A4CF3">
        <w:t>0.9m</w:t>
      </w:r>
      <w:r w:rsidR="00283C1E" w:rsidRPr="00FD50F6">
        <w:rPr>
          <w:rFonts w:hint="eastAsia"/>
        </w:rPr>
        <w:t>，且门体和安装应满足抗风压要求</w:t>
      </w:r>
      <w:r w:rsidRPr="00FD50F6">
        <w:rPr>
          <w:rFonts w:hint="eastAsia"/>
        </w:rPr>
        <w:t>。</w:t>
      </w:r>
    </w:p>
    <w:p w14:paraId="424386E0" w14:textId="161CE14C" w:rsidR="00A048FB" w:rsidRPr="00FD50F6" w:rsidRDefault="00A048FB" w:rsidP="00A926BD">
      <w:pPr>
        <w:pStyle w:val="4"/>
      </w:pPr>
      <w:r w:rsidRPr="00FD50F6">
        <w:rPr>
          <w:rFonts w:hint="eastAsia"/>
        </w:rPr>
        <w:t>非载客运营地下区间可不设</w:t>
      </w:r>
      <w:r w:rsidR="00C1563B" w:rsidRPr="00FD50F6">
        <w:rPr>
          <w:rFonts w:hint="eastAsia"/>
        </w:rPr>
        <w:t>区间联络通道</w:t>
      </w:r>
      <w:r w:rsidRPr="00FD50F6">
        <w:rPr>
          <w:rFonts w:hint="eastAsia"/>
        </w:rPr>
        <w:t>。</w:t>
      </w:r>
    </w:p>
    <w:p w14:paraId="339A1F36" w14:textId="31A31401" w:rsidR="00A048FB" w:rsidRPr="00FD50F6" w:rsidRDefault="00A048FB" w:rsidP="00A926BD">
      <w:pPr>
        <w:pStyle w:val="4"/>
      </w:pPr>
      <w:r w:rsidRPr="00FD50F6">
        <w:rPr>
          <w:rFonts w:hint="eastAsia"/>
        </w:rPr>
        <w:t>两线叠合换乘车站的地下区间之间的</w:t>
      </w:r>
      <w:r w:rsidR="00C1563B" w:rsidRPr="00FD50F6">
        <w:rPr>
          <w:rFonts w:hint="eastAsia"/>
        </w:rPr>
        <w:t>区间联络通道</w:t>
      </w:r>
      <w:r w:rsidRPr="00FD50F6">
        <w:rPr>
          <w:rFonts w:hint="eastAsia"/>
        </w:rPr>
        <w:t>应设在同一条线路上下行区间内。</w:t>
      </w:r>
    </w:p>
    <w:p w14:paraId="3AAC1A4F" w14:textId="77777777" w:rsidR="00A048FB" w:rsidRPr="00FD50F6" w:rsidRDefault="00A048FB" w:rsidP="00A048FB">
      <w:pPr>
        <w:pStyle w:val="30"/>
        <w:rPr>
          <w:b/>
        </w:rPr>
      </w:pPr>
      <w:r w:rsidRPr="00FD50F6">
        <w:rPr>
          <w:rFonts w:hint="eastAsia"/>
        </w:rPr>
        <w:t>载客运营地下区间应设纵向疏散平台，纵向疏散平台应符合下列规定：</w:t>
      </w:r>
    </w:p>
    <w:p w14:paraId="777A0B4F" w14:textId="06FF6624" w:rsidR="00A048FB" w:rsidRPr="00FD50F6" w:rsidRDefault="00A048FB" w:rsidP="00A926BD">
      <w:pPr>
        <w:pStyle w:val="4"/>
      </w:pPr>
      <w:r w:rsidRPr="00FD50F6">
        <w:rPr>
          <w:rFonts w:hint="eastAsia"/>
        </w:rPr>
        <w:t>当单侧临空时，平台宽度不宜小于</w:t>
      </w:r>
      <w:r w:rsidRPr="00FD50F6">
        <w:t>0.7m</w:t>
      </w:r>
      <w:r w:rsidRPr="00FD50F6">
        <w:rPr>
          <w:rFonts w:hint="eastAsia"/>
        </w:rPr>
        <w:t>，困难情况下不应小于</w:t>
      </w:r>
      <w:r w:rsidRPr="00FD50F6">
        <w:t>0.6m</w:t>
      </w:r>
      <w:r w:rsidR="007C0586">
        <w:rPr>
          <w:rFonts w:hint="eastAsia"/>
        </w:rPr>
        <w:t>。</w:t>
      </w:r>
    </w:p>
    <w:p w14:paraId="2010C1E6" w14:textId="0EFE164C" w:rsidR="00A048FB" w:rsidRPr="00FD50F6" w:rsidRDefault="00A048FB" w:rsidP="00A926BD">
      <w:pPr>
        <w:pStyle w:val="4"/>
      </w:pPr>
      <w:r w:rsidRPr="00FD50F6">
        <w:rPr>
          <w:rFonts w:hint="eastAsia"/>
        </w:rPr>
        <w:t>双侧临空面时，平台宽度不宜小于</w:t>
      </w:r>
      <w:r w:rsidRPr="00FD50F6">
        <w:t>1.0m</w:t>
      </w:r>
      <w:r w:rsidRPr="00FD50F6">
        <w:rPr>
          <w:rFonts w:hint="eastAsia"/>
        </w:rPr>
        <w:t>，困难情况下不应小于</w:t>
      </w:r>
      <w:r w:rsidRPr="00FD50F6">
        <w:t>0.8m</w:t>
      </w:r>
      <w:r w:rsidR="007C0586">
        <w:rPr>
          <w:rFonts w:hint="eastAsia"/>
        </w:rPr>
        <w:t>。</w:t>
      </w:r>
    </w:p>
    <w:p w14:paraId="3DEB531F" w14:textId="44AA2352" w:rsidR="00A048FB" w:rsidRPr="00FD50F6" w:rsidRDefault="00A048FB" w:rsidP="00A926BD">
      <w:pPr>
        <w:pStyle w:val="4"/>
      </w:pPr>
      <w:r w:rsidRPr="00FD50F6">
        <w:rPr>
          <w:rFonts w:hint="eastAsia"/>
        </w:rPr>
        <w:t>直线段平台的设置高度宜低于车辆地板面</w:t>
      </w:r>
      <w:r w:rsidRPr="00FD50F6">
        <w:t>0.25m</w:t>
      </w:r>
      <w:r w:rsidRPr="00FD50F6">
        <w:rPr>
          <w:rFonts w:hint="eastAsia"/>
        </w:rPr>
        <w:t>，曲线段根据超高可适当调整</w:t>
      </w:r>
      <w:r w:rsidR="007C0586">
        <w:rPr>
          <w:rFonts w:hint="eastAsia"/>
        </w:rPr>
        <w:t>。</w:t>
      </w:r>
    </w:p>
    <w:p w14:paraId="07E09971" w14:textId="4E19E617" w:rsidR="00A048FB" w:rsidRPr="00FD50F6" w:rsidRDefault="00A048FB" w:rsidP="00A926BD">
      <w:pPr>
        <w:pStyle w:val="4"/>
      </w:pPr>
      <w:r w:rsidRPr="00FD50F6">
        <w:rPr>
          <w:rFonts w:hint="eastAsia"/>
        </w:rPr>
        <w:t>当架空接触网立柱设于平台中部时，平台单边宽度不应小于</w:t>
      </w:r>
      <w:r w:rsidRPr="00FD50F6">
        <w:t>0.45m</w:t>
      </w:r>
      <w:r w:rsidR="007C0586">
        <w:rPr>
          <w:rFonts w:hint="eastAsia"/>
        </w:rPr>
        <w:t>。</w:t>
      </w:r>
    </w:p>
    <w:p w14:paraId="4E6B3AF9" w14:textId="529CF05F" w:rsidR="00A048FB" w:rsidRPr="00FD50F6" w:rsidRDefault="00A048FB" w:rsidP="00A926BD">
      <w:pPr>
        <w:pStyle w:val="4"/>
      </w:pPr>
      <w:r w:rsidRPr="00FD50F6">
        <w:rPr>
          <w:rFonts w:hint="eastAsia"/>
        </w:rPr>
        <w:t>当纵向疏散平台与</w:t>
      </w:r>
      <w:r w:rsidR="00C1563B" w:rsidRPr="00FD50F6">
        <w:rPr>
          <w:rFonts w:hint="eastAsia"/>
        </w:rPr>
        <w:t>区间联络通道</w:t>
      </w:r>
      <w:r w:rsidRPr="00FD50F6">
        <w:rPr>
          <w:rFonts w:hint="eastAsia"/>
        </w:rPr>
        <w:t>相交处有高差时，应采用坡道连接</w:t>
      </w:r>
      <w:r w:rsidR="007C0586">
        <w:rPr>
          <w:rFonts w:hint="eastAsia"/>
        </w:rPr>
        <w:t>。</w:t>
      </w:r>
    </w:p>
    <w:p w14:paraId="02C241C5" w14:textId="69BE5B8E" w:rsidR="00A048FB" w:rsidRPr="00FD50F6" w:rsidRDefault="00A048FB" w:rsidP="00A926BD">
      <w:pPr>
        <w:pStyle w:val="4"/>
      </w:pPr>
      <w:r w:rsidRPr="00FD50F6">
        <w:rPr>
          <w:rFonts w:hint="eastAsia"/>
        </w:rPr>
        <w:t>疏散平台的耐火极限不应低于</w:t>
      </w:r>
      <w:r w:rsidRPr="00FD50F6">
        <w:t>1.00h</w:t>
      </w:r>
      <w:r w:rsidR="007C0586">
        <w:rPr>
          <w:rFonts w:hint="eastAsia"/>
        </w:rPr>
        <w:t>。</w:t>
      </w:r>
    </w:p>
    <w:p w14:paraId="7161D7D6" w14:textId="46CB37C5" w:rsidR="00A048FB" w:rsidRPr="00FD50F6" w:rsidRDefault="00A048FB" w:rsidP="00A926BD">
      <w:pPr>
        <w:pStyle w:val="4"/>
      </w:pPr>
      <w:r w:rsidRPr="00FD50F6">
        <w:rPr>
          <w:rFonts w:hint="eastAsia"/>
        </w:rPr>
        <w:t>纵向疏散平台宜平接车站站台面。当遇区间人防（防淹）门时，应在门框外侧的纵向疏散平台端部设置楼梯至道床面，且应满足区间电缆在疏散平台下敷设贯通要求</w:t>
      </w:r>
      <w:r w:rsidR="007C0586">
        <w:rPr>
          <w:rFonts w:hint="eastAsia"/>
        </w:rPr>
        <w:t>。</w:t>
      </w:r>
    </w:p>
    <w:p w14:paraId="51A23291" w14:textId="7D274A98" w:rsidR="00A048FB" w:rsidRPr="00FD50F6" w:rsidRDefault="00A048FB" w:rsidP="00A926BD">
      <w:pPr>
        <w:pStyle w:val="4"/>
      </w:pPr>
      <w:r w:rsidRPr="00FD50F6">
        <w:rPr>
          <w:rFonts w:hint="eastAsia"/>
        </w:rPr>
        <w:t>地上区间纵向疏散平台设置应结合两端车站站台形式，并应满足乘客从疏散平台直接到达邻近车站站台层疏散需求</w:t>
      </w:r>
      <w:r w:rsidR="00F711FF" w:rsidRPr="00FD50F6">
        <w:rPr>
          <w:rFonts w:hint="eastAsia"/>
        </w:rPr>
        <w:t>，</w:t>
      </w:r>
      <w:r w:rsidRPr="00FD50F6">
        <w:rPr>
          <w:rFonts w:hint="eastAsia"/>
        </w:rPr>
        <w:t>当列车头、尾节端部设置疏散门且每节车厢之间贯通时，地上区间可不设纵向疏散平台</w:t>
      </w:r>
      <w:r w:rsidR="007C0586">
        <w:rPr>
          <w:rFonts w:hint="eastAsia"/>
        </w:rPr>
        <w:t>。</w:t>
      </w:r>
    </w:p>
    <w:p w14:paraId="567ABEF7" w14:textId="2ACD092B" w:rsidR="00A048FB" w:rsidRPr="00FD50F6" w:rsidRDefault="00A048FB" w:rsidP="00A926BD">
      <w:pPr>
        <w:pStyle w:val="4"/>
      </w:pPr>
      <w:r w:rsidRPr="00FD50F6">
        <w:rPr>
          <w:rFonts w:hint="eastAsia"/>
        </w:rPr>
        <w:t>纵向疏散平台上的疏散指示标志应设置在疏散平台上方的侧墙上，且不应侵占疏散平台宽度空间，其间距不宜大于</w:t>
      </w:r>
      <w:r w:rsidRPr="00FD50F6">
        <w:t>15m</w:t>
      </w:r>
      <w:r w:rsidRPr="00FD50F6">
        <w:rPr>
          <w:rFonts w:hint="eastAsia"/>
        </w:rPr>
        <w:t>，高度宜设在平台上方</w:t>
      </w:r>
      <w:r w:rsidRPr="00FD50F6">
        <w:t>2m</w:t>
      </w:r>
      <w:r w:rsidRPr="00FD50F6">
        <w:rPr>
          <w:rFonts w:hint="eastAsia"/>
        </w:rPr>
        <w:t>内。</w:t>
      </w:r>
    </w:p>
    <w:p w14:paraId="3DFCDED9" w14:textId="16E58347" w:rsidR="00A048FB" w:rsidRPr="00FD50F6" w:rsidRDefault="00A048FB" w:rsidP="00A048FB">
      <w:pPr>
        <w:pStyle w:val="30"/>
        <w:rPr>
          <w:b/>
        </w:rPr>
      </w:pPr>
      <w:r w:rsidRPr="00FD50F6">
        <w:rPr>
          <w:rFonts w:hint="eastAsia"/>
        </w:rPr>
        <w:t>地下区间联络通道洞口应垂直于门洞设置具有双面标识常开的疏散指示</w:t>
      </w:r>
      <w:r w:rsidRPr="00FD50F6">
        <w:rPr>
          <w:rFonts w:hint="eastAsia"/>
        </w:rPr>
        <w:lastRenderedPageBreak/>
        <w:t>标志，其下边缘不应低于洞口上边缘。</w:t>
      </w:r>
    </w:p>
    <w:p w14:paraId="28FE11DC" w14:textId="77777777" w:rsidR="00A048FB" w:rsidRPr="00FD50F6" w:rsidRDefault="00A048FB" w:rsidP="00A048FB">
      <w:pPr>
        <w:pStyle w:val="30"/>
        <w:rPr>
          <w:b/>
        </w:rPr>
      </w:pPr>
      <w:r w:rsidRPr="00FD50F6">
        <w:rPr>
          <w:rFonts w:hint="eastAsia"/>
        </w:rPr>
        <w:t>地下区间的疏散指示标志宜与区间通风、排风（烟）等系统联动，指示方向应与送风方向相反。</w:t>
      </w:r>
    </w:p>
    <w:p w14:paraId="35FFF565" w14:textId="115B4AC5" w:rsidR="00A048FB" w:rsidRPr="00FD50F6" w:rsidRDefault="00A048FB" w:rsidP="00A048FB">
      <w:pPr>
        <w:pStyle w:val="30"/>
        <w:rPr>
          <w:b/>
        </w:rPr>
      </w:pPr>
      <w:r w:rsidRPr="00FD50F6">
        <w:rPr>
          <w:rFonts w:hint="eastAsia"/>
        </w:rPr>
        <w:t>纵向疏散平台、道床面的照度标准应符合本标准第</w:t>
      </w:r>
      <w:r w:rsidRPr="00FD50F6">
        <w:t>1</w:t>
      </w:r>
      <w:r w:rsidR="00BB1FF9" w:rsidRPr="00FD50F6">
        <w:t>6</w:t>
      </w:r>
      <w:r w:rsidRPr="00FD50F6">
        <w:rPr>
          <w:rFonts w:hint="eastAsia"/>
        </w:rPr>
        <w:t>.</w:t>
      </w:r>
      <w:r w:rsidRPr="00FD50F6">
        <w:t>5</w:t>
      </w:r>
      <w:r w:rsidRPr="00FD50F6">
        <w:rPr>
          <w:rFonts w:hint="eastAsia"/>
        </w:rPr>
        <w:t>节的规定。</w:t>
      </w:r>
    </w:p>
    <w:p w14:paraId="377600AE" w14:textId="64127962" w:rsidR="00A048FB" w:rsidRPr="00FD50F6" w:rsidRDefault="008D6C92" w:rsidP="00A048FB">
      <w:pPr>
        <w:pStyle w:val="30"/>
        <w:rPr>
          <w:b/>
        </w:rPr>
      </w:pPr>
      <w:r w:rsidRPr="00FD50F6">
        <w:rPr>
          <w:rFonts w:hint="eastAsia"/>
        </w:rPr>
        <w:t>地下区间中间风井内应设置直达地面的防烟楼梯间，其</w:t>
      </w:r>
      <w:r>
        <w:rPr>
          <w:rFonts w:hint="eastAsia"/>
        </w:rPr>
        <w:t>楼梯净宽</w:t>
      </w:r>
      <w:r w:rsidRPr="00FD50F6">
        <w:rPr>
          <w:rFonts w:hint="eastAsia"/>
        </w:rPr>
        <w:t>不应小于</w:t>
      </w:r>
      <w:r w:rsidRPr="00FD50F6">
        <w:t>1.8m</w:t>
      </w:r>
      <w:r w:rsidRPr="00FD50F6">
        <w:rPr>
          <w:rFonts w:hint="eastAsia"/>
        </w:rPr>
        <w:t>，且应兼作消防人员进入地下区间的通路</w:t>
      </w:r>
      <w:r w:rsidR="00A048FB" w:rsidRPr="00FD50F6">
        <w:rPr>
          <w:rFonts w:hint="eastAsia"/>
        </w:rPr>
        <w:t>。</w:t>
      </w:r>
    </w:p>
    <w:p w14:paraId="4504D6A5" w14:textId="7A0D87F5" w:rsidR="00A048FB" w:rsidRPr="00FD50F6" w:rsidRDefault="00A048FB" w:rsidP="001658D6">
      <w:pPr>
        <w:pStyle w:val="2"/>
        <w:numPr>
          <w:ilvl w:val="1"/>
          <w:numId w:val="6"/>
        </w:numPr>
      </w:pPr>
      <w:bookmarkStart w:id="432" w:name="_Toc112830708"/>
      <w:bookmarkStart w:id="433" w:name="_Hlk39677994"/>
      <w:r w:rsidRPr="00FD50F6">
        <w:rPr>
          <w:rFonts w:hint="eastAsia"/>
        </w:rPr>
        <w:t>车辆基地、控制中心和主变电所</w:t>
      </w:r>
      <w:bookmarkEnd w:id="432"/>
    </w:p>
    <w:p w14:paraId="65AB6410" w14:textId="7425C49A" w:rsidR="00A048FB" w:rsidRPr="00FD50F6" w:rsidRDefault="00A048FB" w:rsidP="00A048FB">
      <w:pPr>
        <w:pStyle w:val="30"/>
        <w:rPr>
          <w:b/>
        </w:rPr>
      </w:pPr>
      <w:r w:rsidRPr="00FD50F6">
        <w:rPr>
          <w:rFonts w:hint="eastAsia"/>
        </w:rPr>
        <w:t>车辆基地的房屋建筑设计应符合下列规定：</w:t>
      </w:r>
    </w:p>
    <w:p w14:paraId="7B2A97C5" w14:textId="67F438DC" w:rsidR="00A048FB" w:rsidRPr="00FD50F6" w:rsidRDefault="00A048FB" w:rsidP="00A926BD">
      <w:pPr>
        <w:pStyle w:val="4"/>
      </w:pPr>
      <w:r w:rsidRPr="00FD50F6">
        <w:rPr>
          <w:rFonts w:hint="eastAsia"/>
        </w:rPr>
        <w:t>主要建筑的设计使用年限不应低于</w:t>
      </w:r>
      <w:r w:rsidRPr="00FD50F6">
        <w:t>3</w:t>
      </w:r>
      <w:r w:rsidRPr="00FD50F6">
        <w:rPr>
          <w:rFonts w:hint="eastAsia"/>
        </w:rPr>
        <w:t>类、</w:t>
      </w:r>
      <w:r w:rsidRPr="00FD50F6">
        <w:t>50</w:t>
      </w:r>
      <w:r w:rsidRPr="00FD50F6">
        <w:rPr>
          <w:rFonts w:hint="eastAsia"/>
        </w:rPr>
        <w:t>年；</w:t>
      </w:r>
    </w:p>
    <w:p w14:paraId="2C0D583A" w14:textId="77777777" w:rsidR="00A048FB" w:rsidRPr="00FD50F6" w:rsidRDefault="00A048FB" w:rsidP="00A926BD">
      <w:pPr>
        <w:pStyle w:val="4"/>
      </w:pPr>
      <w:r w:rsidRPr="00FD50F6">
        <w:rPr>
          <w:rFonts w:hint="eastAsia"/>
        </w:rPr>
        <w:t>建筑物热工设计应按所在地区气候类型进行设计；</w:t>
      </w:r>
    </w:p>
    <w:p w14:paraId="16FE860F" w14:textId="77777777" w:rsidR="00A048FB" w:rsidRPr="00FD50F6" w:rsidRDefault="00A048FB" w:rsidP="00A926BD">
      <w:pPr>
        <w:pStyle w:val="4"/>
      </w:pPr>
      <w:r w:rsidRPr="00FD50F6">
        <w:rPr>
          <w:rFonts w:hint="eastAsia"/>
        </w:rPr>
        <w:t>建筑物防水等级不应低于二级。</w:t>
      </w:r>
    </w:p>
    <w:p w14:paraId="3D69B0E3" w14:textId="77777777" w:rsidR="00A048FB" w:rsidRPr="00FD50F6" w:rsidRDefault="00A048FB" w:rsidP="00A048FB">
      <w:pPr>
        <w:pStyle w:val="30"/>
        <w:rPr>
          <w:b/>
        </w:rPr>
      </w:pPr>
      <w:r w:rsidRPr="00FD50F6">
        <w:rPr>
          <w:rFonts w:hint="eastAsia"/>
        </w:rPr>
        <w:t>车辆基地的建筑设计应符合下列规定：</w:t>
      </w:r>
    </w:p>
    <w:p w14:paraId="1AB3BA3A" w14:textId="4318D4DE" w:rsidR="00A048FB" w:rsidRPr="00FD50F6" w:rsidRDefault="00A048FB" w:rsidP="00A926BD">
      <w:pPr>
        <w:pStyle w:val="4"/>
      </w:pPr>
      <w:r w:rsidRPr="00FD50F6">
        <w:rPr>
          <w:rFonts w:hint="eastAsia"/>
        </w:rPr>
        <w:t>在符合工艺要求、生产流程、操作规程和使用功能的前提下，建筑物、构筑物等设施宜整合布置。建筑物之间的防火间距应符合现行国家标准《建筑设计防火规范》</w:t>
      </w:r>
      <w:r w:rsidRPr="00FD50F6">
        <w:t xml:space="preserve">GB </w:t>
      </w:r>
      <w:r w:rsidR="00966D7A" w:rsidRPr="00FD50F6">
        <w:t>50016</w:t>
      </w:r>
      <w:r w:rsidRPr="00FD50F6">
        <w:rPr>
          <w:rFonts w:hint="eastAsia"/>
        </w:rPr>
        <w:t>的规定。</w:t>
      </w:r>
    </w:p>
    <w:p w14:paraId="0CCC436C" w14:textId="002BFFEB" w:rsidR="00A048FB" w:rsidRPr="00FD50F6" w:rsidRDefault="00A048FB" w:rsidP="00A926BD">
      <w:pPr>
        <w:pStyle w:val="4"/>
      </w:pPr>
      <w:r w:rsidRPr="00FD50F6">
        <w:rPr>
          <w:rFonts w:hint="eastAsia"/>
        </w:rPr>
        <w:t>仓库与堆场应根据储存物料的性质、货物出入流线、供应对象、储存面积、运输方式等因素，按不同类别集中布置，并应为运输、装卸、管理创造有利条件，其防火间距应符合现行国家标准《建筑设计防火规范》</w:t>
      </w:r>
      <w:r w:rsidRPr="00FD50F6">
        <w:t xml:space="preserve">GB </w:t>
      </w:r>
      <w:r w:rsidR="00966D7A" w:rsidRPr="00FD50F6">
        <w:t>50016</w:t>
      </w:r>
      <w:r w:rsidRPr="00FD50F6">
        <w:rPr>
          <w:rFonts w:hint="eastAsia"/>
        </w:rPr>
        <w:t>的规定。</w:t>
      </w:r>
    </w:p>
    <w:p w14:paraId="13433CDC" w14:textId="77777777" w:rsidR="00A048FB" w:rsidRPr="00FD50F6" w:rsidRDefault="00A048FB" w:rsidP="00A048FB">
      <w:pPr>
        <w:pStyle w:val="30"/>
        <w:rPr>
          <w:b/>
        </w:rPr>
      </w:pPr>
      <w:bookmarkStart w:id="434" w:name="_Hlk20641529"/>
      <w:r w:rsidRPr="00FD50F6">
        <w:rPr>
          <w:rFonts w:hint="eastAsia"/>
        </w:rPr>
        <w:t>上盖开发的车辆基地的建筑设计应符合下列规定：</w:t>
      </w:r>
    </w:p>
    <w:p w14:paraId="1582875C" w14:textId="5F723570" w:rsidR="00A048FB" w:rsidRPr="00FD50F6" w:rsidRDefault="00A048FB" w:rsidP="00A926BD">
      <w:pPr>
        <w:pStyle w:val="4"/>
      </w:pPr>
      <w:r w:rsidRPr="00FD50F6">
        <w:rPr>
          <w:rFonts w:hint="eastAsia"/>
        </w:rPr>
        <w:t>盖下车辆基地厂库房等建筑以及上盖开发建筑部分的防火设计应满足本标准第</w:t>
      </w:r>
      <w:r w:rsidR="00BB1FF9" w:rsidRPr="00FD50F6">
        <w:t>30</w:t>
      </w:r>
      <w:r w:rsidRPr="00FD50F6">
        <w:t>.2</w:t>
      </w:r>
      <w:r w:rsidRPr="00FD50F6">
        <w:rPr>
          <w:rFonts w:hint="eastAsia"/>
        </w:rPr>
        <w:t>节的规定；</w:t>
      </w:r>
    </w:p>
    <w:p w14:paraId="4B8F9A2E" w14:textId="297DEF8B" w:rsidR="00A048FB" w:rsidRPr="00FD50F6" w:rsidRDefault="00A048FB" w:rsidP="00A926BD">
      <w:pPr>
        <w:pStyle w:val="4"/>
      </w:pPr>
      <w:r w:rsidRPr="00FD50F6">
        <w:rPr>
          <w:rFonts w:hint="eastAsia"/>
        </w:rPr>
        <w:t>上盖开发部分的建筑设计不应影响车辆基地厂库房等相关配套设施，且应满足站场的平面布局及工艺要求；</w:t>
      </w:r>
    </w:p>
    <w:p w14:paraId="5F1AB4AB" w14:textId="37F49E7A" w:rsidR="00A048FB" w:rsidRPr="00FD50F6" w:rsidRDefault="00A048FB" w:rsidP="00A926BD">
      <w:pPr>
        <w:pStyle w:val="4"/>
      </w:pPr>
      <w:r w:rsidRPr="00FD50F6">
        <w:rPr>
          <w:rFonts w:hint="eastAsia"/>
        </w:rPr>
        <w:t>上盖开发建筑与车辆基地厂库房宜同步建设，当无法同步时，应预留接口条件并采取相应的施工保护措施；</w:t>
      </w:r>
    </w:p>
    <w:p w14:paraId="7AC356A3" w14:textId="77777777" w:rsidR="00536A65" w:rsidRPr="00FD50F6" w:rsidRDefault="00A048FB" w:rsidP="00A926BD">
      <w:pPr>
        <w:pStyle w:val="4"/>
      </w:pPr>
      <w:r w:rsidRPr="00FD50F6">
        <w:rPr>
          <w:rFonts w:hint="eastAsia"/>
        </w:rPr>
        <w:t>盖下车辆基地厂库房宜设置天然采光和自然通风，其安全出口、设备管井、通风采光井等设施宜结合上盖建筑一体化布置</w:t>
      </w:r>
      <w:bookmarkEnd w:id="434"/>
      <w:r w:rsidR="00536A65" w:rsidRPr="00FD50F6">
        <w:rPr>
          <w:rFonts w:hint="eastAsia"/>
        </w:rPr>
        <w:t>；</w:t>
      </w:r>
    </w:p>
    <w:p w14:paraId="1E91FBC9" w14:textId="3D5DED99" w:rsidR="00A048FB" w:rsidRPr="00FD50F6" w:rsidRDefault="00536A65" w:rsidP="00A926BD">
      <w:pPr>
        <w:pStyle w:val="4"/>
      </w:pPr>
      <w:r w:rsidRPr="00FD50F6">
        <w:rPr>
          <w:rFonts w:hint="eastAsia"/>
        </w:rPr>
        <w:t>停车库、列检库、停车列检库、运用库、检修库等辅跨非生产用房宜靠板</w:t>
      </w:r>
      <w:r w:rsidRPr="00FD50F6">
        <w:rPr>
          <w:rFonts w:hint="eastAsia"/>
        </w:rPr>
        <w:lastRenderedPageBreak/>
        <w:t>地边侧设置</w:t>
      </w:r>
      <w:r w:rsidR="00A048FB" w:rsidRPr="00FD50F6">
        <w:rPr>
          <w:rFonts w:hint="eastAsia"/>
        </w:rPr>
        <w:t>。</w:t>
      </w:r>
      <w:bookmarkEnd w:id="433"/>
    </w:p>
    <w:p w14:paraId="61750491" w14:textId="4C4FA817" w:rsidR="00A048FB" w:rsidRPr="00FD50F6" w:rsidRDefault="00A048FB" w:rsidP="00A048FB">
      <w:pPr>
        <w:pStyle w:val="30"/>
        <w:rPr>
          <w:b/>
        </w:rPr>
      </w:pPr>
      <w:r w:rsidRPr="00FD50F6">
        <w:rPr>
          <w:rFonts w:hint="eastAsia"/>
        </w:rPr>
        <w:t>车辆基地不宜建于地下，当必须建在地下时，应符合下列规定：</w:t>
      </w:r>
    </w:p>
    <w:p w14:paraId="613D1181" w14:textId="4F8EC434" w:rsidR="00A048FB" w:rsidRPr="00FD50F6" w:rsidRDefault="00A048FB" w:rsidP="00A926BD">
      <w:pPr>
        <w:pStyle w:val="4"/>
      </w:pPr>
      <w:r w:rsidRPr="00FD50F6">
        <w:rPr>
          <w:rFonts w:hint="eastAsia"/>
        </w:rPr>
        <w:t>地下车辆基地的防火设计应满足现行国家标准《地铁设计防火标准》</w:t>
      </w:r>
      <w:r w:rsidRPr="00FD50F6">
        <w:t>GB 51298</w:t>
      </w:r>
      <w:r w:rsidRPr="00FD50F6">
        <w:rPr>
          <w:rFonts w:hint="eastAsia"/>
        </w:rPr>
        <w:t>的规定；</w:t>
      </w:r>
    </w:p>
    <w:p w14:paraId="7ED5721A" w14:textId="1D533E05" w:rsidR="00A048FB" w:rsidRPr="00FD50F6" w:rsidRDefault="00A048FB" w:rsidP="00A926BD">
      <w:pPr>
        <w:pStyle w:val="4"/>
      </w:pPr>
      <w:r w:rsidRPr="00FD50F6">
        <w:rPr>
          <w:rFonts w:hint="eastAsia"/>
        </w:rPr>
        <w:t>地下车辆基地地下部分的结构顶板应设不小于</w:t>
      </w:r>
      <w:r w:rsidRPr="00FD50F6">
        <w:t>0.5%</w:t>
      </w:r>
      <w:r w:rsidRPr="00FD50F6">
        <w:rPr>
          <w:rFonts w:hint="eastAsia"/>
        </w:rPr>
        <w:t>的横坡；</w:t>
      </w:r>
    </w:p>
    <w:p w14:paraId="5D875364" w14:textId="43E3E68D" w:rsidR="00A048FB" w:rsidRPr="00FD50F6" w:rsidRDefault="00A048FB" w:rsidP="00A926BD">
      <w:pPr>
        <w:pStyle w:val="4"/>
      </w:pPr>
      <w:r w:rsidRPr="00FD50F6">
        <w:rPr>
          <w:rFonts w:hint="eastAsia"/>
        </w:rPr>
        <w:t>当地下车辆基地进行顶板上盖开发时，应符合本标准</w:t>
      </w:r>
      <w:r w:rsidR="00A0175C" w:rsidRPr="00FD50F6">
        <w:rPr>
          <w:rFonts w:hint="eastAsia"/>
        </w:rPr>
        <w:t>第</w:t>
      </w:r>
      <w:r w:rsidR="00A0175C" w:rsidRPr="00FD50F6">
        <w:t>10</w:t>
      </w:r>
      <w:r w:rsidRPr="00FD50F6">
        <w:t>.12.3</w:t>
      </w:r>
      <w:r w:rsidRPr="00FD50F6">
        <w:rPr>
          <w:rFonts w:hint="eastAsia"/>
        </w:rPr>
        <w:t>条的规定。</w:t>
      </w:r>
    </w:p>
    <w:p w14:paraId="2B971E96" w14:textId="19107968" w:rsidR="00A048FB" w:rsidRPr="00FD50F6" w:rsidRDefault="00A048FB" w:rsidP="00A048FB">
      <w:pPr>
        <w:pStyle w:val="30"/>
        <w:rPr>
          <w:b/>
        </w:rPr>
      </w:pPr>
      <w:r w:rsidRPr="00FD50F6">
        <w:rPr>
          <w:rFonts w:hint="eastAsia"/>
        </w:rPr>
        <w:t>控制中心建筑的功能布局和平面布置应能满足工艺要求，建筑立面的处理宜与周边环境融合，并应符合下列规定：</w:t>
      </w:r>
    </w:p>
    <w:p w14:paraId="5F7D329D" w14:textId="461545A2" w:rsidR="00A048FB" w:rsidRPr="00FD50F6" w:rsidRDefault="00A048FB" w:rsidP="00A926BD">
      <w:pPr>
        <w:pStyle w:val="4"/>
      </w:pPr>
      <w:r w:rsidRPr="00FD50F6">
        <w:rPr>
          <w:rFonts w:hint="eastAsia"/>
        </w:rPr>
        <w:t>建筑分类应为一类公共建筑，建筑工程设计等级、耐火等级及屋面防水等级均应为一级；</w:t>
      </w:r>
    </w:p>
    <w:p w14:paraId="610B8DDF" w14:textId="391D2255" w:rsidR="00A048FB" w:rsidRPr="00FD50F6" w:rsidRDefault="00A048FB" w:rsidP="00A926BD">
      <w:pPr>
        <w:pStyle w:val="4"/>
      </w:pPr>
      <w:r w:rsidRPr="00FD50F6">
        <w:rPr>
          <w:rFonts w:hint="eastAsia"/>
        </w:rPr>
        <w:t>应具有独立性、安全性、可靠性和维修管理方便性，建筑布局宜留有发展余地，当与其他建筑合建时，应设置独立的进出通道及应急通道；</w:t>
      </w:r>
    </w:p>
    <w:p w14:paraId="134E7FE0" w14:textId="77777777" w:rsidR="00A048FB" w:rsidRPr="00FD50F6" w:rsidRDefault="00A048FB" w:rsidP="00A926BD">
      <w:pPr>
        <w:pStyle w:val="4"/>
      </w:pPr>
      <w:r w:rsidRPr="00FD50F6">
        <w:rPr>
          <w:rFonts w:hint="eastAsia"/>
        </w:rPr>
        <w:t>电缆通道、电缆间宜靠近设备用房。</w:t>
      </w:r>
    </w:p>
    <w:p w14:paraId="458C8260" w14:textId="2DBADF7C" w:rsidR="00A048FB" w:rsidRPr="00FD50F6" w:rsidRDefault="00A048FB" w:rsidP="00A048FB">
      <w:pPr>
        <w:pStyle w:val="30"/>
        <w:rPr>
          <w:b/>
        </w:rPr>
      </w:pPr>
      <w:r w:rsidRPr="00FD50F6">
        <w:rPr>
          <w:rFonts w:hint="eastAsia"/>
        </w:rPr>
        <w:t>控制中心中央控制室的建筑设计应符合下列规定：</w:t>
      </w:r>
    </w:p>
    <w:p w14:paraId="3A727A16" w14:textId="77777777" w:rsidR="00A048FB" w:rsidRPr="00FD50F6" w:rsidRDefault="00A048FB" w:rsidP="00A926BD">
      <w:pPr>
        <w:pStyle w:val="4"/>
      </w:pPr>
      <w:r w:rsidRPr="00FD50F6">
        <w:rPr>
          <w:rFonts w:hint="eastAsia"/>
        </w:rPr>
        <w:t>中央控制室的建筑设计、装修与设备布置、安装应满足工艺要求；</w:t>
      </w:r>
    </w:p>
    <w:p w14:paraId="54C27655" w14:textId="77777777" w:rsidR="00A048FB" w:rsidRPr="00FD50F6" w:rsidRDefault="00A048FB" w:rsidP="00A926BD">
      <w:pPr>
        <w:pStyle w:val="4"/>
      </w:pPr>
      <w:r w:rsidRPr="00FD50F6">
        <w:rPr>
          <w:rFonts w:hint="eastAsia"/>
        </w:rPr>
        <w:t>室内净空高度应根据房间面积大小及视线要求进行设计，中央控制室吊顶净高不应小于</w:t>
      </w:r>
      <w:r w:rsidRPr="00FD50F6">
        <w:t>5m</w:t>
      </w:r>
      <w:r w:rsidRPr="00FD50F6">
        <w:rPr>
          <w:rFonts w:hint="eastAsia"/>
        </w:rPr>
        <w:t>；</w:t>
      </w:r>
    </w:p>
    <w:p w14:paraId="43427AA3" w14:textId="77777777" w:rsidR="00A048FB" w:rsidRPr="00FD50F6" w:rsidRDefault="00A048FB" w:rsidP="00A926BD">
      <w:pPr>
        <w:pStyle w:val="4"/>
      </w:pPr>
      <w:r w:rsidRPr="00FD50F6">
        <w:rPr>
          <w:rFonts w:hint="eastAsia"/>
        </w:rPr>
        <w:t>中央控制室应设置不少于两个出入口与外部相连，且应满足消防相关要求，疏散门的净宽应满足设备运输要求，且不应小于</w:t>
      </w:r>
      <w:r w:rsidRPr="00FD50F6">
        <w:t>1.2m</w:t>
      </w:r>
      <w:r w:rsidRPr="00FD50F6">
        <w:rPr>
          <w:rFonts w:hint="eastAsia"/>
        </w:rPr>
        <w:t>；</w:t>
      </w:r>
    </w:p>
    <w:p w14:paraId="68679E4C" w14:textId="0B602DC8" w:rsidR="00A048FB" w:rsidRPr="00FD50F6" w:rsidRDefault="008D6C92" w:rsidP="00A926BD">
      <w:pPr>
        <w:pStyle w:val="4"/>
      </w:pPr>
      <w:r w:rsidRPr="00FD50F6">
        <w:rPr>
          <w:rFonts w:hint="eastAsia"/>
        </w:rPr>
        <w:t>室内应设置固定式双层密封、隔音和隔热窗</w:t>
      </w:r>
      <w:r w:rsidR="00A048FB" w:rsidRPr="00FD50F6">
        <w:rPr>
          <w:rFonts w:hint="eastAsia"/>
        </w:rPr>
        <w:t>；</w:t>
      </w:r>
    </w:p>
    <w:p w14:paraId="6A30B6B4" w14:textId="5F58427D" w:rsidR="00A048FB" w:rsidRPr="00FD50F6" w:rsidRDefault="00A048FB" w:rsidP="00A926BD">
      <w:pPr>
        <w:pStyle w:val="4"/>
      </w:pPr>
      <w:r w:rsidRPr="00FD50F6">
        <w:rPr>
          <w:rFonts w:hint="eastAsia"/>
        </w:rPr>
        <w:t>室内采光和照明不应在模拟屏上产生</w:t>
      </w:r>
      <w:r w:rsidR="00F711FF" w:rsidRPr="00FD50F6">
        <w:rPr>
          <w:rFonts w:hint="eastAsia"/>
        </w:rPr>
        <w:t>眩光</w:t>
      </w:r>
      <w:r w:rsidRPr="00FD50F6">
        <w:rPr>
          <w:rFonts w:hint="eastAsia"/>
        </w:rPr>
        <w:t>；</w:t>
      </w:r>
    </w:p>
    <w:p w14:paraId="69DE0336" w14:textId="57FBA0A2" w:rsidR="00A048FB" w:rsidRPr="00FD50F6" w:rsidRDefault="00A048FB" w:rsidP="00A926BD">
      <w:pPr>
        <w:pStyle w:val="4"/>
      </w:pPr>
      <w:r w:rsidRPr="00FD50F6">
        <w:rPr>
          <w:rFonts w:hint="eastAsia"/>
        </w:rPr>
        <w:t>中央控制室和线路系统设备用房设置宜按现行国家标准《电子信息系统机房设计规范》</w:t>
      </w:r>
      <w:r w:rsidRPr="00FD50F6">
        <w:t>GB 50174</w:t>
      </w:r>
      <w:r w:rsidRPr="00FD50F6">
        <w:rPr>
          <w:rFonts w:hint="eastAsia"/>
        </w:rPr>
        <w:t>的规定执行，不宜有线缆、电管外露及无关管线穿越，设备不应直接安装在架空地板上，风管穿越时应安装防火阀。</w:t>
      </w:r>
    </w:p>
    <w:p w14:paraId="0210A3AF" w14:textId="77777777" w:rsidR="00EF3C11" w:rsidRPr="00FD50F6" w:rsidRDefault="00A048FB" w:rsidP="00A048FB">
      <w:pPr>
        <w:pStyle w:val="30"/>
      </w:pPr>
      <w:r w:rsidRPr="00FD50F6">
        <w:rPr>
          <w:rFonts w:hint="eastAsia"/>
        </w:rPr>
        <w:t>变电所应独立建造，且宜设于地面，其设备布置、安装应满足工艺要求。</w:t>
      </w:r>
    </w:p>
    <w:p w14:paraId="154DC63D" w14:textId="77777777" w:rsidR="008C3354" w:rsidRPr="001A4CF3" w:rsidRDefault="008C3354" w:rsidP="008C3354">
      <w:pPr>
        <w:pStyle w:val="30"/>
      </w:pPr>
      <w:r w:rsidRPr="001A4CF3">
        <w:rPr>
          <w:rFonts w:hint="eastAsia"/>
        </w:rPr>
        <w:t>车辆基地、控制中心和主变电所的防水淹及防雨雪设计，应符合下列规定：</w:t>
      </w:r>
    </w:p>
    <w:p w14:paraId="63BAE195" w14:textId="77777777" w:rsidR="008C3354" w:rsidRPr="00FD50F6" w:rsidRDefault="008C3354" w:rsidP="00A926BD">
      <w:pPr>
        <w:pStyle w:val="4"/>
      </w:pPr>
      <w:r w:rsidRPr="001A4CF3">
        <w:rPr>
          <w:rFonts w:hint="eastAsia"/>
        </w:rPr>
        <w:t>车辆基地的场地防水淹设计，应符合本标准第</w:t>
      </w:r>
      <w:r w:rsidRPr="001A4CF3">
        <w:t>30.7</w:t>
      </w:r>
      <w:r w:rsidRPr="001A4CF3">
        <w:rPr>
          <w:rFonts w:hint="eastAsia"/>
        </w:rPr>
        <w:t>节相关规定；</w:t>
      </w:r>
    </w:p>
    <w:p w14:paraId="136CFFA7" w14:textId="08F54D5B" w:rsidR="008C3354" w:rsidRPr="00FD50F6" w:rsidRDefault="008D6C92" w:rsidP="00A926BD">
      <w:pPr>
        <w:pStyle w:val="4"/>
      </w:pPr>
      <w:r w:rsidRPr="001A4CF3">
        <w:rPr>
          <w:rFonts w:hint="eastAsia"/>
        </w:rPr>
        <w:t>控制中心和主变电所的</w:t>
      </w:r>
      <w:r w:rsidRPr="00FD50F6">
        <w:rPr>
          <w:rFonts w:hint="eastAsia"/>
        </w:rPr>
        <w:t>防水淹设计，应符合现行国家标准《工业企业总平面设计规范》</w:t>
      </w:r>
      <w:r w:rsidRPr="00FD50F6">
        <w:t>GB 50187</w:t>
      </w:r>
      <w:r w:rsidRPr="00FD50F6">
        <w:rPr>
          <w:rFonts w:hint="eastAsia"/>
        </w:rPr>
        <w:t>和《民用建筑设计统一标准》</w:t>
      </w:r>
      <w:r w:rsidRPr="00FD50F6">
        <w:t>GB 50352</w:t>
      </w:r>
      <w:r w:rsidRPr="00FD50F6">
        <w:rPr>
          <w:rFonts w:hint="eastAsia"/>
        </w:rPr>
        <w:t>的规定</w:t>
      </w:r>
      <w:r w:rsidR="008C3354" w:rsidRPr="00FD50F6">
        <w:rPr>
          <w:rFonts w:hint="eastAsia"/>
        </w:rPr>
        <w:t>；</w:t>
      </w:r>
    </w:p>
    <w:p w14:paraId="57985A12" w14:textId="77777777" w:rsidR="008C3354" w:rsidRPr="00FD50F6" w:rsidRDefault="008C3354" w:rsidP="00A926BD">
      <w:pPr>
        <w:pStyle w:val="4"/>
      </w:pPr>
      <w:r w:rsidRPr="00FD50F6">
        <w:rPr>
          <w:rFonts w:hint="eastAsia"/>
        </w:rPr>
        <w:lastRenderedPageBreak/>
        <w:t>建筑物室内地坪应高于室外场地设计标高，且不应小于</w:t>
      </w:r>
      <w:r w:rsidRPr="001A4CF3">
        <w:t>0.15m</w:t>
      </w:r>
      <w:r w:rsidRPr="00FD50F6">
        <w:rPr>
          <w:rFonts w:hint="eastAsia"/>
        </w:rPr>
        <w:t>；</w:t>
      </w:r>
    </w:p>
    <w:p w14:paraId="0AC44B6B" w14:textId="77777777" w:rsidR="008C3354" w:rsidRPr="00FD50F6" w:rsidRDefault="008C3354" w:rsidP="00A926BD">
      <w:pPr>
        <w:pStyle w:val="4"/>
      </w:pPr>
      <w:bookmarkStart w:id="435" w:name="_Hlk102685009"/>
      <w:r w:rsidRPr="00FD50F6">
        <w:rPr>
          <w:rFonts w:hint="eastAsia"/>
        </w:rPr>
        <w:t>建筑物底层出入口处应设截水沟等措施，防止室外地面雨水回流</w:t>
      </w:r>
      <w:bookmarkEnd w:id="435"/>
      <w:r w:rsidRPr="00FD50F6">
        <w:rPr>
          <w:rFonts w:hint="eastAsia"/>
        </w:rPr>
        <w:t>；</w:t>
      </w:r>
    </w:p>
    <w:p w14:paraId="15E01EDB" w14:textId="278E0A69" w:rsidR="004018C0" w:rsidRPr="00FD50F6" w:rsidRDefault="008C3354" w:rsidP="00A926BD">
      <w:pPr>
        <w:pStyle w:val="4"/>
      </w:pPr>
      <w:r w:rsidRPr="00FD50F6">
        <w:t>当</w:t>
      </w:r>
      <w:r w:rsidRPr="00FD50F6">
        <w:rPr>
          <w:rFonts w:hint="eastAsia"/>
        </w:rPr>
        <w:t>车辆基地</w:t>
      </w:r>
      <w:r w:rsidRPr="00FD50F6">
        <w:t>无上盖开发时，</w:t>
      </w:r>
      <w:r w:rsidRPr="00FD50F6">
        <w:rPr>
          <w:rFonts w:hint="eastAsia"/>
        </w:rPr>
        <w:t>建筑物</w:t>
      </w:r>
      <w:r w:rsidRPr="00FD50F6">
        <w:t>门洞上方应设置</w:t>
      </w:r>
      <w:r w:rsidRPr="00FD50F6">
        <w:rPr>
          <w:rFonts w:hint="eastAsia"/>
        </w:rPr>
        <w:t>防雨雪棚</w:t>
      </w:r>
      <w:r w:rsidR="00EF3C11" w:rsidRPr="00FD50F6">
        <w:t>。</w:t>
      </w:r>
    </w:p>
    <w:p w14:paraId="063CFAD5" w14:textId="6C6F6ADC" w:rsidR="00D70A4C" w:rsidRPr="00FD50F6" w:rsidRDefault="00D70A4C">
      <w:pPr>
        <w:widowControl/>
        <w:spacing w:line="240" w:lineRule="auto"/>
        <w:jc w:val="left"/>
      </w:pPr>
      <w:r w:rsidRPr="00FD50F6">
        <w:br w:type="page"/>
      </w:r>
    </w:p>
    <w:p w14:paraId="366B6244" w14:textId="77777777" w:rsidR="0012415A" w:rsidRPr="00FD50F6" w:rsidRDefault="0012415A" w:rsidP="0012415A">
      <w:pPr>
        <w:pStyle w:val="12"/>
      </w:pPr>
      <w:bookmarkStart w:id="436" w:name="_Toc112830709"/>
      <w:r w:rsidRPr="00FD50F6">
        <w:rPr>
          <w:rFonts w:hint="eastAsia"/>
        </w:rPr>
        <w:lastRenderedPageBreak/>
        <w:t>高架</w:t>
      </w:r>
      <w:r w:rsidRPr="00FD50F6">
        <w:t>结构</w:t>
      </w:r>
      <w:bookmarkEnd w:id="436"/>
    </w:p>
    <w:p w14:paraId="50A58CDD" w14:textId="77777777" w:rsidR="0012415A" w:rsidRPr="00FD50F6" w:rsidRDefault="0012415A" w:rsidP="00A65181">
      <w:pPr>
        <w:pStyle w:val="2"/>
        <w:numPr>
          <w:ilvl w:val="1"/>
          <w:numId w:val="18"/>
        </w:numPr>
      </w:pPr>
      <w:bookmarkStart w:id="437" w:name="_Toc344218753"/>
      <w:bookmarkStart w:id="438" w:name="_Toc112830710"/>
      <w:r w:rsidRPr="00FD50F6">
        <w:t>一般规定</w:t>
      </w:r>
      <w:bookmarkEnd w:id="437"/>
      <w:bookmarkEnd w:id="438"/>
    </w:p>
    <w:p w14:paraId="62540A50" w14:textId="2E989DD1" w:rsidR="0012415A" w:rsidRPr="00FD50F6" w:rsidRDefault="0012415A" w:rsidP="005B74A2">
      <w:pPr>
        <w:pStyle w:val="30"/>
      </w:pPr>
      <w:r w:rsidRPr="00FD50F6">
        <w:rPr>
          <w:rFonts w:hint="eastAsia"/>
        </w:rPr>
        <w:t>地铁高架结构应包括</w:t>
      </w:r>
      <w:r w:rsidR="005B74A2" w:rsidRPr="00FD50F6">
        <w:rPr>
          <w:rFonts w:hint="eastAsia"/>
        </w:rPr>
        <w:t>区间桥梁</w:t>
      </w:r>
      <w:r w:rsidR="005B74A2">
        <w:rPr>
          <w:rFonts w:hint="eastAsia"/>
        </w:rPr>
        <w:t>、</w:t>
      </w:r>
      <w:r w:rsidR="005B74A2" w:rsidRPr="00FD50F6">
        <w:rPr>
          <w:rFonts w:hint="eastAsia"/>
        </w:rPr>
        <w:t>高架车站主体结构及顶棚结构、出入口天桥及顶棚结构。</w:t>
      </w:r>
    </w:p>
    <w:p w14:paraId="4D1C9872" w14:textId="7553E9FE" w:rsidR="0012415A" w:rsidRPr="00FD50F6" w:rsidRDefault="0012415A" w:rsidP="0012415A">
      <w:pPr>
        <w:pStyle w:val="30"/>
      </w:pPr>
      <w:r w:rsidRPr="00FD50F6">
        <w:rPr>
          <w:rFonts w:hint="eastAsia"/>
        </w:rPr>
        <w:t>区间桥梁及车站结构应满足列车安全运行和乘客乘车舒适度的要求。结构除应满足规定的强度外，应有足够的竖向刚度、横向刚度和稳定性。</w:t>
      </w:r>
    </w:p>
    <w:p w14:paraId="77972936" w14:textId="2791AE8E" w:rsidR="0012415A" w:rsidRPr="00FD50F6" w:rsidRDefault="0012415A" w:rsidP="001A4CF3">
      <w:pPr>
        <w:pStyle w:val="30"/>
      </w:pPr>
      <w:r w:rsidRPr="00FD50F6">
        <w:rPr>
          <w:rFonts w:hint="eastAsia"/>
        </w:rPr>
        <w:t>区间桥梁、高架车站主体、出入口天桥结构及其顶棚结构及不可更换的构件以及维修和更换困难的二次结构构件</w:t>
      </w:r>
      <w:r w:rsidR="005B74A2">
        <w:rPr>
          <w:rFonts w:hint="eastAsia"/>
        </w:rPr>
        <w:t>的</w:t>
      </w:r>
      <w:r w:rsidRPr="00FD50F6">
        <w:rPr>
          <w:rFonts w:hint="eastAsia"/>
        </w:rPr>
        <w:t>设计使用年限</w:t>
      </w:r>
      <w:r w:rsidR="005B74A2" w:rsidRPr="00FD50F6">
        <w:rPr>
          <w:rFonts w:hint="eastAsia"/>
        </w:rPr>
        <w:t>应</w:t>
      </w:r>
      <w:r w:rsidR="005B74A2">
        <w:rPr>
          <w:rFonts w:hint="eastAsia"/>
        </w:rPr>
        <w:t>为</w:t>
      </w:r>
      <w:r w:rsidRPr="00FD50F6">
        <w:rPr>
          <w:rFonts w:hint="eastAsia"/>
        </w:rPr>
        <w:t>100</w:t>
      </w:r>
      <w:r w:rsidRPr="00FD50F6">
        <w:rPr>
          <w:rFonts w:hint="eastAsia"/>
        </w:rPr>
        <w:t>年。高架车站其它二次结构、声屏障主体结构</w:t>
      </w:r>
      <w:r w:rsidR="005B74A2">
        <w:rPr>
          <w:rFonts w:hint="eastAsia"/>
        </w:rPr>
        <w:t>的</w:t>
      </w:r>
      <w:r w:rsidRPr="00FD50F6">
        <w:rPr>
          <w:rFonts w:hint="eastAsia"/>
        </w:rPr>
        <w:t>设计使用年限</w:t>
      </w:r>
      <w:r w:rsidR="005B74A2" w:rsidRPr="00FD50F6">
        <w:rPr>
          <w:rFonts w:hint="eastAsia"/>
        </w:rPr>
        <w:t>应</w:t>
      </w:r>
      <w:r w:rsidR="005B74A2">
        <w:rPr>
          <w:rFonts w:hint="eastAsia"/>
        </w:rPr>
        <w:t>为</w:t>
      </w:r>
      <w:r w:rsidRPr="00FD50F6">
        <w:rPr>
          <w:rFonts w:hint="eastAsia"/>
        </w:rPr>
        <w:t>50</w:t>
      </w:r>
      <w:r w:rsidRPr="00FD50F6">
        <w:rPr>
          <w:rFonts w:hint="eastAsia"/>
        </w:rPr>
        <w:t>年。兼做接触网立柱或声屏障立柱基础的</w:t>
      </w:r>
      <w:r w:rsidRPr="00A65181">
        <w:rPr>
          <w:rFonts w:hint="eastAsia"/>
        </w:rPr>
        <w:t>钢筋混凝土护栏</w:t>
      </w:r>
      <w:r w:rsidR="005B74A2">
        <w:rPr>
          <w:rFonts w:hint="eastAsia"/>
        </w:rPr>
        <w:t>的</w:t>
      </w:r>
      <w:r w:rsidR="005B74A2" w:rsidRPr="00A65181">
        <w:rPr>
          <w:rFonts w:hint="eastAsia"/>
        </w:rPr>
        <w:t>设计使用年限</w:t>
      </w:r>
      <w:r w:rsidR="005B74A2">
        <w:rPr>
          <w:rFonts w:hint="eastAsia"/>
        </w:rPr>
        <w:t>不</w:t>
      </w:r>
      <w:r w:rsidRPr="00A65181">
        <w:rPr>
          <w:rFonts w:hint="eastAsia"/>
        </w:rPr>
        <w:t>应</w:t>
      </w:r>
      <w:r w:rsidR="005B74A2">
        <w:rPr>
          <w:rFonts w:hint="eastAsia"/>
        </w:rPr>
        <w:t>低于</w:t>
      </w:r>
      <w:r w:rsidRPr="00A65181">
        <w:t>50</w:t>
      </w:r>
      <w:r w:rsidRPr="00A65181">
        <w:rPr>
          <w:rFonts w:hint="eastAsia"/>
        </w:rPr>
        <w:t>年，无接触网立柱或声屏障立柱基础的</w:t>
      </w:r>
      <w:r w:rsidRPr="00AA0E76">
        <w:rPr>
          <w:rFonts w:hint="eastAsia"/>
        </w:rPr>
        <w:t>钢筋混凝土护栏等易更换构件的设计使用年限</w:t>
      </w:r>
      <w:r w:rsidR="005B74A2" w:rsidRPr="00AA0E76">
        <w:rPr>
          <w:rFonts w:hint="eastAsia"/>
        </w:rPr>
        <w:t>不</w:t>
      </w:r>
      <w:r w:rsidRPr="00AA0E76">
        <w:rPr>
          <w:rFonts w:hint="eastAsia"/>
        </w:rPr>
        <w:t>应低于</w:t>
      </w:r>
      <w:r w:rsidRPr="00002060">
        <w:t>30</w:t>
      </w:r>
      <w:r w:rsidRPr="00002060">
        <w:rPr>
          <w:rFonts w:hint="eastAsia"/>
        </w:rPr>
        <w:t>年</w:t>
      </w:r>
      <w:r w:rsidRPr="00FD50F6">
        <w:rPr>
          <w:rFonts w:hint="eastAsia"/>
        </w:rPr>
        <w:t>。</w:t>
      </w:r>
    </w:p>
    <w:p w14:paraId="7D14F579" w14:textId="4BF19B42" w:rsidR="0012415A" w:rsidRPr="00FD50F6" w:rsidRDefault="0012415A" w:rsidP="0012415A">
      <w:pPr>
        <w:pStyle w:val="30"/>
      </w:pPr>
      <w:r w:rsidRPr="00FD50F6">
        <w:rPr>
          <w:rFonts w:hint="eastAsia"/>
        </w:rPr>
        <w:t>区间桥梁及高架车站墩位布置应符合城市规划要求。当区间桥梁及车站跨越铁路、道路时，桥下净空应满足铁路、道路限界要求，并应预留结构可能产生的沉降量、铁路抬道量或公路路面翻修高度等。当区间桥梁跨越排洪河流时，应按</w:t>
      </w:r>
      <w:r w:rsidRPr="00FD50F6">
        <w:t>1/100</w:t>
      </w:r>
      <w:r w:rsidRPr="00FD50F6">
        <w:rPr>
          <w:rFonts w:hint="eastAsia"/>
        </w:rPr>
        <w:t>洪水频率标准进行设计，技术复杂、修复困难的大桥、特大桥应按</w:t>
      </w:r>
      <w:r w:rsidRPr="00FD50F6">
        <w:t>1/300</w:t>
      </w:r>
      <w:r w:rsidRPr="00FD50F6">
        <w:rPr>
          <w:rFonts w:hint="eastAsia"/>
        </w:rPr>
        <w:t>洪水频率标准进行检算；当跨越通航河流时，其桥下净空应满足现行国家标准《内河通航标准》</w:t>
      </w:r>
      <w:r w:rsidRPr="00FD50F6">
        <w:t>GB 50139</w:t>
      </w:r>
      <w:r w:rsidRPr="00FD50F6">
        <w:rPr>
          <w:rFonts w:hint="eastAsia"/>
        </w:rPr>
        <w:t>的规定。</w:t>
      </w:r>
    </w:p>
    <w:p w14:paraId="281A22B6" w14:textId="7725C507" w:rsidR="0012415A" w:rsidRPr="00FD50F6" w:rsidRDefault="0012415A" w:rsidP="0012415A">
      <w:pPr>
        <w:pStyle w:val="30"/>
      </w:pPr>
      <w:r w:rsidRPr="00FD50F6">
        <w:rPr>
          <w:rFonts w:hint="eastAsia"/>
        </w:rPr>
        <w:t>对于铺设无砟道床结构的桥梁及高架车站，应设立沉降观察基准点，其测点布置、观测频次、观测周期应按无砟轨道铺设要求确定。</w:t>
      </w:r>
    </w:p>
    <w:p w14:paraId="0DB26E6C" w14:textId="77777777" w:rsidR="0012415A" w:rsidRPr="00FD50F6" w:rsidRDefault="0012415A" w:rsidP="00A65181">
      <w:pPr>
        <w:pStyle w:val="2"/>
      </w:pPr>
      <w:bookmarkStart w:id="439" w:name="_Toc112830711"/>
      <w:r w:rsidRPr="00FD50F6">
        <w:rPr>
          <w:rFonts w:hint="eastAsia"/>
        </w:rPr>
        <w:t>荷载</w:t>
      </w:r>
      <w:bookmarkEnd w:id="439"/>
    </w:p>
    <w:p w14:paraId="1142D198" w14:textId="7F048A8F" w:rsidR="0012415A" w:rsidRPr="00FD50F6" w:rsidRDefault="0012415A" w:rsidP="0012415A">
      <w:pPr>
        <w:pStyle w:val="30"/>
      </w:pPr>
      <w:r w:rsidRPr="00FD50F6">
        <w:rPr>
          <w:rFonts w:hint="eastAsia"/>
        </w:rPr>
        <w:t>区间桥梁结构设计，应根据结构的特性，按表</w:t>
      </w:r>
      <w:r w:rsidR="00A0175C" w:rsidRPr="00FD50F6">
        <w:t>11</w:t>
      </w:r>
      <w:r w:rsidRPr="00FD50F6">
        <w:t>.2.1</w:t>
      </w:r>
      <w:r w:rsidRPr="00FD50F6">
        <w:rPr>
          <w:rFonts w:hint="eastAsia"/>
        </w:rPr>
        <w:t>所列的荷载，及其可能出现的最不利组合情况进行计算。</w:t>
      </w:r>
    </w:p>
    <w:p w14:paraId="4B6F7C13" w14:textId="6C449B3D" w:rsidR="0012415A" w:rsidRPr="00FD50F6" w:rsidRDefault="0012415A" w:rsidP="0012415A">
      <w:pPr>
        <w:pStyle w:val="6"/>
      </w:pPr>
      <w:r w:rsidRPr="00FD50F6">
        <w:rPr>
          <w:rFonts w:hint="eastAsia"/>
        </w:rPr>
        <w:t>表</w:t>
      </w:r>
      <w:r w:rsidR="00A0175C" w:rsidRPr="00FD50F6">
        <w:t>11</w:t>
      </w:r>
      <w:r w:rsidRPr="00FD50F6">
        <w:t>.2.1</w:t>
      </w:r>
      <w:r w:rsidRPr="00FD50F6">
        <w:rPr>
          <w:rFonts w:hint="eastAsia"/>
        </w:rPr>
        <w:t>区间桥梁荷载分类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671"/>
        <w:gridCol w:w="5320"/>
      </w:tblGrid>
      <w:tr w:rsidR="00FD50F6" w:rsidRPr="00FD50F6" w14:paraId="2928893B" w14:textId="77777777" w:rsidTr="00117F3F">
        <w:trPr>
          <w:trHeight w:hRule="exact" w:val="524"/>
          <w:jc w:val="center"/>
        </w:trPr>
        <w:tc>
          <w:tcPr>
            <w:tcW w:w="1881" w:type="pct"/>
            <w:gridSpan w:val="2"/>
            <w:vAlign w:val="center"/>
          </w:tcPr>
          <w:p w14:paraId="0EF7C62A" w14:textId="77777777" w:rsidR="0012415A" w:rsidRPr="00FD50F6" w:rsidRDefault="0012415A" w:rsidP="000831EC">
            <w:pPr>
              <w:pStyle w:val="7"/>
            </w:pPr>
            <w:r w:rsidRPr="00FD50F6">
              <w:rPr>
                <w:rFonts w:hint="eastAsia"/>
              </w:rPr>
              <w:t>荷载分类</w:t>
            </w:r>
          </w:p>
        </w:tc>
        <w:tc>
          <w:tcPr>
            <w:tcW w:w="3119" w:type="pct"/>
            <w:vAlign w:val="center"/>
          </w:tcPr>
          <w:p w14:paraId="5279E3E4" w14:textId="77777777" w:rsidR="0012415A" w:rsidRPr="00FD50F6" w:rsidRDefault="0012415A" w:rsidP="000831EC">
            <w:pPr>
              <w:pStyle w:val="7"/>
            </w:pPr>
            <w:r w:rsidRPr="00FD50F6">
              <w:rPr>
                <w:rFonts w:hint="eastAsia"/>
              </w:rPr>
              <w:t>荷载名称</w:t>
            </w:r>
          </w:p>
        </w:tc>
      </w:tr>
      <w:tr w:rsidR="00117F3F" w:rsidRPr="00FD50F6" w14:paraId="0D775A17" w14:textId="77777777" w:rsidTr="00117F3F">
        <w:trPr>
          <w:trHeight w:val="1991"/>
          <w:jc w:val="center"/>
        </w:trPr>
        <w:tc>
          <w:tcPr>
            <w:tcW w:w="901" w:type="pct"/>
            <w:vMerge w:val="restart"/>
            <w:vAlign w:val="center"/>
          </w:tcPr>
          <w:p w14:paraId="13256963" w14:textId="77777777" w:rsidR="00117F3F" w:rsidRPr="00FD50F6" w:rsidRDefault="00117F3F" w:rsidP="000831EC">
            <w:pPr>
              <w:pStyle w:val="7"/>
            </w:pPr>
            <w:r w:rsidRPr="00FD50F6">
              <w:rPr>
                <w:rFonts w:hint="eastAsia"/>
              </w:rPr>
              <w:lastRenderedPageBreak/>
              <w:t>主力</w:t>
            </w:r>
          </w:p>
        </w:tc>
        <w:tc>
          <w:tcPr>
            <w:tcW w:w="980" w:type="pct"/>
            <w:vAlign w:val="center"/>
          </w:tcPr>
          <w:p w14:paraId="1D48C359" w14:textId="77777777" w:rsidR="00117F3F" w:rsidRPr="00FD50F6" w:rsidRDefault="00117F3F" w:rsidP="000831EC">
            <w:pPr>
              <w:pStyle w:val="7"/>
            </w:pPr>
            <w:r w:rsidRPr="00FD50F6">
              <w:rPr>
                <w:rFonts w:hint="eastAsia"/>
              </w:rPr>
              <w:t>恒载</w:t>
            </w:r>
          </w:p>
        </w:tc>
        <w:tc>
          <w:tcPr>
            <w:tcW w:w="3119" w:type="pct"/>
            <w:vAlign w:val="center"/>
          </w:tcPr>
          <w:p w14:paraId="0B7AF2A5" w14:textId="77777777" w:rsidR="00117F3F" w:rsidRPr="00FD50F6" w:rsidRDefault="00117F3F" w:rsidP="000831EC">
            <w:pPr>
              <w:pStyle w:val="7"/>
            </w:pPr>
            <w:r w:rsidRPr="00FD50F6">
              <w:rPr>
                <w:rFonts w:hint="eastAsia"/>
              </w:rPr>
              <w:t>结构自重</w:t>
            </w:r>
          </w:p>
          <w:p w14:paraId="06BB5818" w14:textId="77777777" w:rsidR="00117F3F" w:rsidRPr="00FD50F6" w:rsidRDefault="00117F3F" w:rsidP="000831EC">
            <w:pPr>
              <w:pStyle w:val="7"/>
            </w:pPr>
            <w:r w:rsidRPr="00FD50F6">
              <w:rPr>
                <w:rFonts w:hint="eastAsia"/>
              </w:rPr>
              <w:t>附属设备和附属建筑自重</w:t>
            </w:r>
          </w:p>
          <w:p w14:paraId="5C2F5461" w14:textId="77777777" w:rsidR="00117F3F" w:rsidRPr="00FD50F6" w:rsidRDefault="00117F3F" w:rsidP="000831EC">
            <w:pPr>
              <w:pStyle w:val="7"/>
            </w:pPr>
            <w:r w:rsidRPr="00FD50F6">
              <w:rPr>
                <w:rFonts w:hint="eastAsia"/>
              </w:rPr>
              <w:t>预加力</w:t>
            </w:r>
          </w:p>
          <w:p w14:paraId="1EC4E7E7" w14:textId="77777777" w:rsidR="00117F3F" w:rsidRPr="00FD50F6" w:rsidRDefault="00117F3F" w:rsidP="000831EC">
            <w:pPr>
              <w:pStyle w:val="7"/>
            </w:pPr>
            <w:r w:rsidRPr="00FD50F6">
              <w:rPr>
                <w:rFonts w:hint="eastAsia"/>
              </w:rPr>
              <w:t>混凝土收缩及徐变影响</w:t>
            </w:r>
          </w:p>
          <w:p w14:paraId="03015A85" w14:textId="77777777" w:rsidR="00117F3F" w:rsidRPr="00FD50F6" w:rsidRDefault="00117F3F" w:rsidP="000831EC">
            <w:pPr>
              <w:pStyle w:val="7"/>
            </w:pPr>
            <w:r w:rsidRPr="00FD50F6">
              <w:rPr>
                <w:rFonts w:hint="eastAsia"/>
              </w:rPr>
              <w:t>基础变位的影响</w:t>
            </w:r>
          </w:p>
          <w:p w14:paraId="65FA4C5F" w14:textId="77777777" w:rsidR="00117F3F" w:rsidRPr="00FD50F6" w:rsidRDefault="00117F3F" w:rsidP="000831EC">
            <w:pPr>
              <w:pStyle w:val="7"/>
            </w:pPr>
            <w:r w:rsidRPr="00FD50F6">
              <w:rPr>
                <w:rFonts w:hint="eastAsia"/>
              </w:rPr>
              <w:t>土压力</w:t>
            </w:r>
          </w:p>
          <w:p w14:paraId="4E50D139" w14:textId="77777777" w:rsidR="00117F3F" w:rsidRPr="00FD50F6" w:rsidRDefault="00117F3F" w:rsidP="000831EC">
            <w:pPr>
              <w:pStyle w:val="7"/>
            </w:pPr>
            <w:r w:rsidRPr="00FD50F6">
              <w:rPr>
                <w:rFonts w:hint="eastAsia"/>
              </w:rPr>
              <w:t>静水压力及浮力</w:t>
            </w:r>
          </w:p>
        </w:tc>
      </w:tr>
      <w:tr w:rsidR="00117F3F" w:rsidRPr="00FD50F6" w14:paraId="67B1543B" w14:textId="77777777" w:rsidTr="00117F3F">
        <w:trPr>
          <w:trHeight w:val="1580"/>
          <w:jc w:val="center"/>
        </w:trPr>
        <w:tc>
          <w:tcPr>
            <w:tcW w:w="901" w:type="pct"/>
            <w:vMerge/>
            <w:vAlign w:val="center"/>
          </w:tcPr>
          <w:p w14:paraId="36C7EACA" w14:textId="77777777" w:rsidR="00117F3F" w:rsidRPr="00FD50F6" w:rsidRDefault="00117F3F" w:rsidP="000831EC">
            <w:pPr>
              <w:pStyle w:val="7"/>
            </w:pPr>
          </w:p>
        </w:tc>
        <w:tc>
          <w:tcPr>
            <w:tcW w:w="980" w:type="pct"/>
            <w:vAlign w:val="center"/>
          </w:tcPr>
          <w:p w14:paraId="2E871755" w14:textId="77777777" w:rsidR="00117F3F" w:rsidRPr="00FD50F6" w:rsidRDefault="00117F3F" w:rsidP="000831EC">
            <w:pPr>
              <w:pStyle w:val="7"/>
            </w:pPr>
            <w:r w:rsidRPr="00FD50F6">
              <w:rPr>
                <w:rFonts w:hint="eastAsia"/>
              </w:rPr>
              <w:t>活载</w:t>
            </w:r>
          </w:p>
        </w:tc>
        <w:tc>
          <w:tcPr>
            <w:tcW w:w="3119" w:type="pct"/>
            <w:vAlign w:val="center"/>
          </w:tcPr>
          <w:p w14:paraId="0F96EA74" w14:textId="77777777" w:rsidR="00117F3F" w:rsidRPr="00FD50F6" w:rsidRDefault="00117F3F" w:rsidP="000831EC">
            <w:pPr>
              <w:pStyle w:val="7"/>
            </w:pPr>
            <w:r w:rsidRPr="00FD50F6">
              <w:rPr>
                <w:rFonts w:hint="eastAsia"/>
              </w:rPr>
              <w:t>列车竖向静活载</w:t>
            </w:r>
          </w:p>
          <w:p w14:paraId="2BAD1E10" w14:textId="77777777" w:rsidR="00117F3F" w:rsidRPr="00FD50F6" w:rsidRDefault="00117F3F" w:rsidP="000831EC">
            <w:pPr>
              <w:pStyle w:val="7"/>
            </w:pPr>
            <w:r w:rsidRPr="00FD50F6">
              <w:rPr>
                <w:rFonts w:hint="eastAsia"/>
              </w:rPr>
              <w:t>列车竖向动力作用</w:t>
            </w:r>
          </w:p>
          <w:p w14:paraId="2B670EF3" w14:textId="77777777" w:rsidR="00117F3F" w:rsidRPr="00FD50F6" w:rsidRDefault="00117F3F" w:rsidP="000831EC">
            <w:pPr>
              <w:pStyle w:val="7"/>
            </w:pPr>
            <w:r w:rsidRPr="00FD50F6">
              <w:rPr>
                <w:rFonts w:hint="eastAsia"/>
              </w:rPr>
              <w:t>列车离心力</w:t>
            </w:r>
          </w:p>
          <w:p w14:paraId="2BB55087" w14:textId="77777777" w:rsidR="00117F3F" w:rsidRPr="00FD50F6" w:rsidRDefault="00117F3F" w:rsidP="000831EC">
            <w:pPr>
              <w:pStyle w:val="7"/>
            </w:pPr>
            <w:r w:rsidRPr="00FD50F6">
              <w:rPr>
                <w:rFonts w:hint="eastAsia"/>
              </w:rPr>
              <w:t>列车横向摇摆力</w:t>
            </w:r>
          </w:p>
          <w:p w14:paraId="65DF131F" w14:textId="77777777" w:rsidR="00117F3F" w:rsidRPr="00FD50F6" w:rsidRDefault="00117F3F" w:rsidP="000831EC">
            <w:pPr>
              <w:pStyle w:val="7"/>
            </w:pPr>
            <w:r w:rsidRPr="00FD50F6">
              <w:rPr>
                <w:rFonts w:hint="eastAsia"/>
              </w:rPr>
              <w:t>活载土压力</w:t>
            </w:r>
          </w:p>
          <w:p w14:paraId="39ED826D" w14:textId="77777777" w:rsidR="00117F3F" w:rsidRPr="00FD50F6" w:rsidRDefault="00117F3F" w:rsidP="000831EC">
            <w:pPr>
              <w:pStyle w:val="7"/>
            </w:pPr>
            <w:r w:rsidRPr="00FD50F6">
              <w:rPr>
                <w:rFonts w:hint="eastAsia"/>
              </w:rPr>
              <w:t>人群荷载</w:t>
            </w:r>
          </w:p>
        </w:tc>
      </w:tr>
      <w:tr w:rsidR="00117F3F" w:rsidRPr="00FD50F6" w14:paraId="371CDB2C" w14:textId="77777777" w:rsidTr="00117F3F">
        <w:trPr>
          <w:trHeight w:val="699"/>
          <w:jc w:val="center"/>
        </w:trPr>
        <w:tc>
          <w:tcPr>
            <w:tcW w:w="901" w:type="pct"/>
            <w:vMerge/>
            <w:vAlign w:val="center"/>
          </w:tcPr>
          <w:p w14:paraId="18F943F6" w14:textId="77777777" w:rsidR="00117F3F" w:rsidRPr="00FD50F6" w:rsidRDefault="00117F3F" w:rsidP="000831EC">
            <w:pPr>
              <w:pStyle w:val="7"/>
            </w:pPr>
          </w:p>
        </w:tc>
        <w:tc>
          <w:tcPr>
            <w:tcW w:w="980" w:type="pct"/>
            <w:vAlign w:val="center"/>
          </w:tcPr>
          <w:p w14:paraId="2DB0F6C1" w14:textId="1458C479" w:rsidR="00117F3F" w:rsidRPr="00FD50F6" w:rsidRDefault="00117F3F" w:rsidP="000831EC">
            <w:pPr>
              <w:pStyle w:val="7"/>
            </w:pPr>
            <w:r>
              <w:rPr>
                <w:rFonts w:hint="eastAsia"/>
              </w:rPr>
              <w:t>无缝线路</w:t>
            </w:r>
            <w:r w:rsidRPr="00FD50F6">
              <w:rPr>
                <w:rFonts w:hint="eastAsia"/>
              </w:rPr>
              <w:t>纵向作用力</w:t>
            </w:r>
          </w:p>
        </w:tc>
        <w:tc>
          <w:tcPr>
            <w:tcW w:w="3119" w:type="pct"/>
            <w:vAlign w:val="center"/>
          </w:tcPr>
          <w:p w14:paraId="78F72167" w14:textId="77777777" w:rsidR="00117F3F" w:rsidRPr="00FD50F6" w:rsidRDefault="00117F3F" w:rsidP="000831EC">
            <w:pPr>
              <w:pStyle w:val="7"/>
            </w:pPr>
            <w:r w:rsidRPr="00FD50F6">
              <w:rPr>
                <w:rFonts w:hint="eastAsia"/>
              </w:rPr>
              <w:t>伸缩力</w:t>
            </w:r>
          </w:p>
          <w:p w14:paraId="3BC95DB6" w14:textId="77777777" w:rsidR="00117F3F" w:rsidRPr="00FD50F6" w:rsidRDefault="00117F3F" w:rsidP="000831EC">
            <w:pPr>
              <w:pStyle w:val="7"/>
            </w:pPr>
            <w:r w:rsidRPr="00FD50F6">
              <w:rPr>
                <w:rFonts w:hint="eastAsia"/>
              </w:rPr>
              <w:t>挠曲力</w:t>
            </w:r>
          </w:p>
        </w:tc>
      </w:tr>
      <w:tr w:rsidR="00FD50F6" w:rsidRPr="00FD50F6" w14:paraId="302F6D32" w14:textId="77777777" w:rsidTr="00117F3F">
        <w:trPr>
          <w:trHeight w:val="1261"/>
          <w:jc w:val="center"/>
        </w:trPr>
        <w:tc>
          <w:tcPr>
            <w:tcW w:w="1881" w:type="pct"/>
            <w:gridSpan w:val="2"/>
            <w:vAlign w:val="center"/>
          </w:tcPr>
          <w:p w14:paraId="6910E878" w14:textId="77777777" w:rsidR="0012415A" w:rsidRPr="00FD50F6" w:rsidRDefault="0012415A" w:rsidP="000831EC">
            <w:pPr>
              <w:pStyle w:val="7"/>
            </w:pPr>
            <w:r w:rsidRPr="00FD50F6">
              <w:rPr>
                <w:rFonts w:hint="eastAsia"/>
              </w:rPr>
              <w:t>附加力</w:t>
            </w:r>
          </w:p>
        </w:tc>
        <w:tc>
          <w:tcPr>
            <w:tcW w:w="3119" w:type="pct"/>
            <w:vAlign w:val="center"/>
          </w:tcPr>
          <w:p w14:paraId="48B33A5B" w14:textId="77777777" w:rsidR="0012415A" w:rsidRPr="00FD50F6" w:rsidRDefault="0012415A" w:rsidP="000831EC">
            <w:pPr>
              <w:pStyle w:val="7"/>
            </w:pPr>
            <w:r w:rsidRPr="00FD50F6">
              <w:rPr>
                <w:rFonts w:hint="eastAsia"/>
              </w:rPr>
              <w:t>列车制动力或牵引力</w:t>
            </w:r>
          </w:p>
          <w:p w14:paraId="1ED28B14" w14:textId="77777777" w:rsidR="0012415A" w:rsidRPr="00FD50F6" w:rsidRDefault="0012415A" w:rsidP="000831EC">
            <w:pPr>
              <w:pStyle w:val="7"/>
            </w:pPr>
            <w:r w:rsidRPr="00FD50F6">
              <w:rPr>
                <w:rFonts w:hint="eastAsia"/>
              </w:rPr>
              <w:t>支座摩擦阻力</w:t>
            </w:r>
          </w:p>
          <w:p w14:paraId="0E2E45D3" w14:textId="77777777" w:rsidR="0012415A" w:rsidRPr="00FD50F6" w:rsidRDefault="0012415A" w:rsidP="000831EC">
            <w:pPr>
              <w:pStyle w:val="7"/>
            </w:pPr>
            <w:r w:rsidRPr="00FD50F6">
              <w:rPr>
                <w:rFonts w:hint="eastAsia"/>
              </w:rPr>
              <w:t>风力</w:t>
            </w:r>
          </w:p>
          <w:p w14:paraId="2039750A" w14:textId="77777777" w:rsidR="0012415A" w:rsidRPr="00FD50F6" w:rsidRDefault="0012415A" w:rsidP="000831EC">
            <w:pPr>
              <w:pStyle w:val="7"/>
            </w:pPr>
            <w:r w:rsidRPr="00FD50F6">
              <w:rPr>
                <w:rFonts w:hint="eastAsia"/>
              </w:rPr>
              <w:t>温度影响力</w:t>
            </w:r>
          </w:p>
          <w:p w14:paraId="574BBBC0" w14:textId="77777777" w:rsidR="0012415A" w:rsidRPr="00FD50F6" w:rsidRDefault="0012415A" w:rsidP="000831EC">
            <w:pPr>
              <w:pStyle w:val="7"/>
            </w:pPr>
            <w:r w:rsidRPr="00FD50F6">
              <w:rPr>
                <w:rFonts w:hint="eastAsia"/>
              </w:rPr>
              <w:t>流水压力</w:t>
            </w:r>
          </w:p>
          <w:p w14:paraId="0F6E9AA8" w14:textId="77777777" w:rsidR="0012415A" w:rsidRPr="00FD50F6" w:rsidRDefault="0012415A" w:rsidP="000831EC">
            <w:pPr>
              <w:pStyle w:val="7"/>
            </w:pPr>
            <w:r w:rsidRPr="00FD50F6">
              <w:rPr>
                <w:rFonts w:hint="eastAsia"/>
              </w:rPr>
              <w:t>冰压力</w:t>
            </w:r>
          </w:p>
          <w:p w14:paraId="212FD3B5" w14:textId="77777777" w:rsidR="0012415A" w:rsidRPr="00FD50F6" w:rsidRDefault="0012415A" w:rsidP="000831EC">
            <w:pPr>
              <w:pStyle w:val="7"/>
            </w:pPr>
            <w:r w:rsidRPr="00FD50F6">
              <w:rPr>
                <w:rFonts w:hint="eastAsia"/>
              </w:rPr>
              <w:t>冻胀力</w:t>
            </w:r>
          </w:p>
          <w:p w14:paraId="42D994D4" w14:textId="77777777" w:rsidR="0012415A" w:rsidRPr="00FD50F6" w:rsidRDefault="0012415A" w:rsidP="000831EC">
            <w:pPr>
              <w:pStyle w:val="7"/>
            </w:pPr>
            <w:r w:rsidRPr="00FD50F6">
              <w:rPr>
                <w:rFonts w:hint="eastAsia"/>
              </w:rPr>
              <w:t>顶梁荷载</w:t>
            </w:r>
          </w:p>
        </w:tc>
      </w:tr>
      <w:tr w:rsidR="00FD50F6" w:rsidRPr="00FD50F6" w14:paraId="5318DB37" w14:textId="77777777" w:rsidTr="00117F3F">
        <w:trPr>
          <w:trHeight w:val="1406"/>
          <w:jc w:val="center"/>
        </w:trPr>
        <w:tc>
          <w:tcPr>
            <w:tcW w:w="1881" w:type="pct"/>
            <w:gridSpan w:val="2"/>
            <w:tcBorders>
              <w:bottom w:val="single" w:sz="4" w:space="0" w:color="auto"/>
            </w:tcBorders>
            <w:vAlign w:val="center"/>
          </w:tcPr>
          <w:p w14:paraId="267CEB63" w14:textId="77777777" w:rsidR="0012415A" w:rsidRPr="00FD50F6" w:rsidRDefault="0012415A" w:rsidP="000831EC">
            <w:pPr>
              <w:pStyle w:val="7"/>
            </w:pPr>
            <w:r w:rsidRPr="00FD50F6">
              <w:rPr>
                <w:rFonts w:hint="eastAsia"/>
              </w:rPr>
              <w:t>特殊荷载</w:t>
            </w:r>
          </w:p>
        </w:tc>
        <w:tc>
          <w:tcPr>
            <w:tcW w:w="3119" w:type="pct"/>
            <w:tcBorders>
              <w:bottom w:val="single" w:sz="4" w:space="0" w:color="auto"/>
            </w:tcBorders>
            <w:vAlign w:val="center"/>
          </w:tcPr>
          <w:p w14:paraId="215EEEBD" w14:textId="7EA5F16C" w:rsidR="0012415A" w:rsidRPr="00FD50F6" w:rsidRDefault="00602A8D" w:rsidP="000831EC">
            <w:pPr>
              <w:pStyle w:val="7"/>
            </w:pPr>
            <w:r>
              <w:rPr>
                <w:rFonts w:hint="eastAsia"/>
              </w:rPr>
              <w:t>无缝线路</w:t>
            </w:r>
            <w:r w:rsidR="0012415A" w:rsidRPr="00FD50F6">
              <w:rPr>
                <w:rFonts w:hint="eastAsia"/>
              </w:rPr>
              <w:t>断轨力</w:t>
            </w:r>
          </w:p>
          <w:p w14:paraId="51F97DDC" w14:textId="77777777" w:rsidR="0012415A" w:rsidRPr="00FD50F6" w:rsidRDefault="0012415A" w:rsidP="000831EC">
            <w:pPr>
              <w:pStyle w:val="7"/>
            </w:pPr>
            <w:r w:rsidRPr="00FD50F6">
              <w:rPr>
                <w:rFonts w:hint="eastAsia"/>
              </w:rPr>
              <w:t>船只撞击力</w:t>
            </w:r>
          </w:p>
          <w:p w14:paraId="6B5E3969" w14:textId="77777777" w:rsidR="0012415A" w:rsidRPr="00FD50F6" w:rsidRDefault="0012415A" w:rsidP="000831EC">
            <w:pPr>
              <w:pStyle w:val="7"/>
            </w:pPr>
            <w:r w:rsidRPr="00FD50F6">
              <w:rPr>
                <w:rFonts w:hint="eastAsia"/>
              </w:rPr>
              <w:t>汽车撞击力</w:t>
            </w:r>
          </w:p>
          <w:p w14:paraId="18CD5ED8" w14:textId="77777777" w:rsidR="0012415A" w:rsidRPr="00FD50F6" w:rsidRDefault="0012415A" w:rsidP="000831EC">
            <w:pPr>
              <w:pStyle w:val="7"/>
            </w:pPr>
            <w:r w:rsidRPr="00FD50F6">
              <w:rPr>
                <w:rFonts w:hint="eastAsia"/>
              </w:rPr>
              <w:t>地震作用</w:t>
            </w:r>
          </w:p>
          <w:p w14:paraId="19BC34F3" w14:textId="77777777" w:rsidR="0012415A" w:rsidRPr="00FD50F6" w:rsidRDefault="0012415A" w:rsidP="000831EC">
            <w:pPr>
              <w:pStyle w:val="7"/>
            </w:pPr>
            <w:r w:rsidRPr="00FD50F6">
              <w:rPr>
                <w:rFonts w:hint="eastAsia"/>
              </w:rPr>
              <w:t>救援车、工程车荷载</w:t>
            </w:r>
          </w:p>
          <w:p w14:paraId="644815C2" w14:textId="77777777" w:rsidR="0012415A" w:rsidRPr="00FD50F6" w:rsidRDefault="0012415A" w:rsidP="000831EC">
            <w:pPr>
              <w:pStyle w:val="7"/>
            </w:pPr>
            <w:r w:rsidRPr="00FD50F6">
              <w:rPr>
                <w:rFonts w:hint="eastAsia"/>
              </w:rPr>
              <w:t>施工临时荷载</w:t>
            </w:r>
          </w:p>
          <w:p w14:paraId="3C779841" w14:textId="77777777" w:rsidR="0012415A" w:rsidRPr="00FD50F6" w:rsidRDefault="0012415A" w:rsidP="000831EC">
            <w:pPr>
              <w:pStyle w:val="7"/>
            </w:pPr>
            <w:r w:rsidRPr="00FD50F6">
              <w:rPr>
                <w:rFonts w:hint="eastAsia"/>
              </w:rPr>
              <w:t>列车脱轨荷载</w:t>
            </w:r>
          </w:p>
        </w:tc>
      </w:tr>
      <w:tr w:rsidR="00FD50F6" w:rsidRPr="00FD50F6" w14:paraId="4CC89073" w14:textId="77777777" w:rsidTr="00117F3F">
        <w:trPr>
          <w:trHeight w:val="1406"/>
          <w:jc w:val="center"/>
        </w:trPr>
        <w:tc>
          <w:tcPr>
            <w:tcW w:w="5000" w:type="pct"/>
            <w:gridSpan w:val="3"/>
            <w:tcBorders>
              <w:left w:val="nil"/>
              <w:bottom w:val="nil"/>
              <w:right w:val="nil"/>
            </w:tcBorders>
            <w:vAlign w:val="center"/>
          </w:tcPr>
          <w:p w14:paraId="123303CA" w14:textId="69E01B72" w:rsidR="0012415A" w:rsidRPr="00FD50F6" w:rsidRDefault="0012415A" w:rsidP="000831EC">
            <w:pPr>
              <w:pStyle w:val="7"/>
              <w:jc w:val="left"/>
              <w:rPr>
                <w:rFonts w:ascii="宋体" w:hAnsi="宋体" w:cs="Times New Roman"/>
                <w:bCs w:val="0"/>
                <w:kern w:val="0"/>
              </w:rPr>
            </w:pPr>
            <w:r w:rsidRPr="00FD50F6">
              <w:rPr>
                <w:rFonts w:ascii="宋体" w:hAnsi="宋体" w:cs="Times New Roman" w:hint="eastAsia"/>
                <w:bCs w:val="0"/>
                <w:kern w:val="0"/>
              </w:rPr>
              <w:t>注：</w:t>
            </w:r>
            <w:r w:rsidRPr="00FD50F6">
              <w:rPr>
                <w:rFonts w:ascii="宋体" w:hAnsi="宋体" w:cs="Times New Roman"/>
                <w:bCs w:val="0"/>
                <w:kern w:val="0"/>
              </w:rPr>
              <w:t>1</w:t>
            </w:r>
            <w:r w:rsidR="006A75E2">
              <w:rPr>
                <w:rFonts w:ascii="宋体" w:hAnsi="宋体" w:cs="Times New Roman" w:hint="eastAsia"/>
                <w:bCs w:val="0"/>
                <w:kern w:val="0"/>
              </w:rPr>
              <w:t xml:space="preserve"> </w:t>
            </w:r>
            <w:r w:rsidRPr="00FD50F6">
              <w:rPr>
                <w:rFonts w:ascii="宋体" w:hAnsi="宋体" w:cs="Times New Roman" w:hint="eastAsia"/>
                <w:bCs w:val="0"/>
                <w:kern w:val="0"/>
              </w:rPr>
              <w:t>如杆件的主要用途为承受某种附加力，在计算此杆件时，该附加力应按主力计；</w:t>
            </w:r>
          </w:p>
          <w:p w14:paraId="4A2518DA" w14:textId="5589D016" w:rsidR="0012415A" w:rsidRPr="00FD50F6" w:rsidRDefault="0012415A" w:rsidP="005B74A2">
            <w:pPr>
              <w:pStyle w:val="7"/>
              <w:ind w:firstLineChars="200" w:firstLine="420"/>
              <w:jc w:val="left"/>
              <w:rPr>
                <w:rFonts w:ascii="宋体" w:hAnsi="宋体" w:cs="Times New Roman"/>
                <w:bCs w:val="0"/>
                <w:kern w:val="0"/>
              </w:rPr>
            </w:pPr>
            <w:r w:rsidRPr="00FD50F6">
              <w:rPr>
                <w:rFonts w:ascii="宋体" w:hAnsi="宋体" w:cs="Times New Roman"/>
                <w:bCs w:val="0"/>
                <w:kern w:val="0"/>
              </w:rPr>
              <w:t>2</w:t>
            </w:r>
            <w:r w:rsidR="006A75E2">
              <w:rPr>
                <w:rFonts w:ascii="宋体" w:hAnsi="宋体" w:cs="Times New Roman" w:hint="eastAsia"/>
                <w:bCs w:val="0"/>
                <w:kern w:val="0"/>
              </w:rPr>
              <w:t xml:space="preserve"> </w:t>
            </w:r>
            <w:r w:rsidRPr="00FD50F6">
              <w:rPr>
                <w:rFonts w:ascii="宋体" w:hAnsi="宋体" w:cs="Times New Roman" w:hint="eastAsia"/>
                <w:bCs w:val="0"/>
                <w:kern w:val="0"/>
              </w:rPr>
              <w:t>流水压力不与冰压力、制动力或牵引力组合；</w:t>
            </w:r>
          </w:p>
          <w:p w14:paraId="0C372D14" w14:textId="2300B682" w:rsidR="0012415A" w:rsidRPr="00FD50F6" w:rsidRDefault="0012415A" w:rsidP="005B74A2">
            <w:pPr>
              <w:pStyle w:val="7"/>
              <w:ind w:firstLineChars="200" w:firstLine="420"/>
              <w:jc w:val="left"/>
              <w:rPr>
                <w:rFonts w:ascii="宋体" w:hAnsi="宋体" w:cs="Times New Roman"/>
                <w:bCs w:val="0"/>
                <w:kern w:val="0"/>
              </w:rPr>
            </w:pPr>
            <w:r w:rsidRPr="00FD50F6">
              <w:rPr>
                <w:rFonts w:ascii="宋体" w:hAnsi="宋体" w:cs="Times New Roman"/>
                <w:bCs w:val="0"/>
                <w:kern w:val="0"/>
              </w:rPr>
              <w:t>3</w:t>
            </w:r>
            <w:r w:rsidR="006A75E2">
              <w:rPr>
                <w:rFonts w:ascii="宋体" w:hAnsi="宋体" w:cs="Times New Roman" w:hint="eastAsia"/>
                <w:bCs w:val="0"/>
                <w:kern w:val="0"/>
              </w:rPr>
              <w:t xml:space="preserve"> </w:t>
            </w:r>
            <w:r w:rsidRPr="00FD50F6">
              <w:rPr>
                <w:rFonts w:ascii="宋体" w:hAnsi="宋体" w:cs="Times New Roman" w:hint="eastAsia"/>
                <w:bCs w:val="0"/>
                <w:kern w:val="0"/>
              </w:rPr>
              <w:t>船只或汽车撞击力，只计算其中一种荷载与主力相组合，不与其他附加力组合；</w:t>
            </w:r>
          </w:p>
          <w:p w14:paraId="3BC90F7D" w14:textId="0B064B22" w:rsidR="0012415A" w:rsidRPr="00FD50F6" w:rsidRDefault="0012415A" w:rsidP="005B74A2">
            <w:pPr>
              <w:pStyle w:val="7"/>
              <w:ind w:leftChars="179" w:left="640" w:hangingChars="100" w:hanging="210"/>
              <w:jc w:val="left"/>
              <w:rPr>
                <w:rFonts w:ascii="宋体" w:hAnsi="宋体" w:cs="Times New Roman"/>
                <w:bCs w:val="0"/>
                <w:kern w:val="0"/>
              </w:rPr>
            </w:pPr>
            <w:r w:rsidRPr="00FD50F6">
              <w:rPr>
                <w:rFonts w:ascii="宋体" w:hAnsi="宋体" w:cs="Times New Roman"/>
                <w:bCs w:val="0"/>
                <w:kern w:val="0"/>
              </w:rPr>
              <w:t>4</w:t>
            </w:r>
            <w:r w:rsidR="006A75E2">
              <w:rPr>
                <w:rFonts w:ascii="宋体" w:hAnsi="宋体" w:cs="Times New Roman" w:hint="eastAsia"/>
                <w:bCs w:val="0"/>
                <w:kern w:val="0"/>
              </w:rPr>
              <w:t xml:space="preserve"> </w:t>
            </w:r>
            <w:r w:rsidRPr="00FD50F6">
              <w:rPr>
                <w:rFonts w:ascii="宋体" w:hAnsi="宋体" w:cs="Times New Roman" w:hint="eastAsia"/>
                <w:bCs w:val="0"/>
                <w:kern w:val="0"/>
              </w:rPr>
              <w:t>地震力与其他荷载的组合应按现行国家标准《城市轨道交通结构抗震设计规范》</w:t>
            </w:r>
            <w:r w:rsidRPr="00FD50F6">
              <w:rPr>
                <w:rFonts w:ascii="宋体" w:hAnsi="宋体" w:cs="Times New Roman"/>
                <w:bCs w:val="0"/>
                <w:kern w:val="0"/>
              </w:rPr>
              <w:t>GB</w:t>
            </w:r>
            <w:r w:rsidR="00567119">
              <w:rPr>
                <w:rFonts w:ascii="宋体" w:hAnsi="宋体" w:cs="Times New Roman"/>
                <w:bCs w:val="0"/>
                <w:kern w:val="0"/>
              </w:rPr>
              <w:t xml:space="preserve"> </w:t>
            </w:r>
            <w:r w:rsidRPr="00FD50F6">
              <w:rPr>
                <w:rFonts w:ascii="宋体" w:hAnsi="宋体" w:cs="Times New Roman"/>
                <w:bCs w:val="0"/>
                <w:kern w:val="0"/>
              </w:rPr>
              <w:t>50909</w:t>
            </w:r>
            <w:r w:rsidRPr="00FD50F6">
              <w:rPr>
                <w:rFonts w:ascii="宋体" w:hAnsi="宋体" w:cs="Times New Roman" w:hint="eastAsia"/>
                <w:bCs w:val="0"/>
                <w:kern w:val="0"/>
              </w:rPr>
              <w:t>的规定执行；</w:t>
            </w:r>
          </w:p>
          <w:p w14:paraId="2B64033B" w14:textId="0B7D0297" w:rsidR="0012415A" w:rsidRPr="00FD50F6" w:rsidRDefault="0012415A" w:rsidP="005B74A2">
            <w:pPr>
              <w:pStyle w:val="7"/>
              <w:ind w:firstLineChars="200" w:firstLine="420"/>
              <w:jc w:val="left"/>
              <w:rPr>
                <w:rFonts w:ascii="宋体" w:hAnsi="宋体" w:cs="Times New Roman"/>
                <w:bCs w:val="0"/>
                <w:kern w:val="0"/>
              </w:rPr>
            </w:pPr>
            <w:r w:rsidRPr="00FD50F6">
              <w:rPr>
                <w:rFonts w:ascii="宋体" w:hAnsi="宋体" w:cs="Times New Roman" w:hint="eastAsia"/>
                <w:bCs w:val="0"/>
                <w:kern w:val="0"/>
              </w:rPr>
              <w:t>5</w:t>
            </w:r>
            <w:r w:rsidR="006A75E2">
              <w:rPr>
                <w:rFonts w:ascii="宋体" w:hAnsi="宋体" w:cs="Times New Roman" w:hint="eastAsia"/>
                <w:bCs w:val="0"/>
                <w:kern w:val="0"/>
              </w:rPr>
              <w:t xml:space="preserve"> </w:t>
            </w:r>
            <w:r w:rsidRPr="00FD50F6">
              <w:rPr>
                <w:rFonts w:ascii="宋体" w:hAnsi="宋体" w:cs="Times New Roman" w:hint="eastAsia"/>
                <w:bCs w:val="0"/>
                <w:kern w:val="0"/>
              </w:rPr>
              <w:t>当主力加特殊荷载组合时，列车脱轨荷载应仅与主力中恒载组合。</w:t>
            </w:r>
          </w:p>
          <w:p w14:paraId="36DCB996" w14:textId="55D906EA" w:rsidR="0012415A" w:rsidRPr="00FD50F6" w:rsidRDefault="0012415A" w:rsidP="005B74A2">
            <w:pPr>
              <w:pStyle w:val="7"/>
              <w:ind w:leftChars="164" w:left="604" w:hangingChars="100" w:hanging="210"/>
              <w:jc w:val="left"/>
            </w:pPr>
            <w:r w:rsidRPr="00FD50F6">
              <w:rPr>
                <w:rFonts w:ascii="宋体" w:hAnsi="宋体" w:cs="Times New Roman" w:hint="eastAsia"/>
                <w:bCs w:val="0"/>
                <w:kern w:val="0"/>
              </w:rPr>
              <w:t>6</w:t>
            </w:r>
            <w:r w:rsidR="006A75E2">
              <w:rPr>
                <w:rFonts w:ascii="宋体" w:hAnsi="宋体" w:cs="Times New Roman" w:hint="eastAsia"/>
                <w:bCs w:val="0"/>
                <w:kern w:val="0"/>
              </w:rPr>
              <w:t xml:space="preserve"> </w:t>
            </w:r>
            <w:r w:rsidRPr="00FD50F6">
              <w:rPr>
                <w:rFonts w:ascii="宋体" w:hAnsi="宋体" w:cs="Times New Roman" w:hint="eastAsia"/>
                <w:bCs w:val="0"/>
                <w:kern w:val="0"/>
              </w:rPr>
              <w:t>计算中要求计入的其他荷载，可根据其性质，分别列入主力、附加力和特殊荷载三类荷载中。</w:t>
            </w:r>
          </w:p>
        </w:tc>
      </w:tr>
    </w:tbl>
    <w:p w14:paraId="455A6744" w14:textId="77777777" w:rsidR="0012415A" w:rsidRPr="00FD50F6" w:rsidRDefault="0012415A" w:rsidP="0012415A">
      <w:pPr>
        <w:pStyle w:val="30"/>
      </w:pPr>
      <w:r w:rsidRPr="00FD50F6">
        <w:rPr>
          <w:rFonts w:hint="eastAsia"/>
        </w:rPr>
        <w:t>计算结构自重时，一般材料重度应按现行行业标准《铁路桥涵设计规范》</w:t>
      </w:r>
      <w:r w:rsidRPr="00FD50F6">
        <w:t>TB 10002</w:t>
      </w:r>
      <w:r w:rsidRPr="00FD50F6">
        <w:rPr>
          <w:rFonts w:hint="eastAsia"/>
        </w:rPr>
        <w:t>的规定取用；对于结构构件及附属设备的自重或材料重度，可按所属专业的设计值或所属专业国家现行标准中的规定取用。</w:t>
      </w:r>
    </w:p>
    <w:p w14:paraId="38386D3A" w14:textId="77777777" w:rsidR="0012415A" w:rsidRPr="00FD50F6" w:rsidRDefault="0012415A" w:rsidP="0012415A">
      <w:pPr>
        <w:pStyle w:val="30"/>
      </w:pPr>
      <w:r w:rsidRPr="00FD50F6">
        <w:rPr>
          <w:rFonts w:hint="eastAsia"/>
        </w:rPr>
        <w:t>土压力的计算应符合现行《铁路桥涵设计规范》</w:t>
      </w:r>
      <w:r w:rsidRPr="00FD50F6">
        <w:t>TB 10002</w:t>
      </w:r>
      <w:r w:rsidRPr="00FD50F6">
        <w:rPr>
          <w:rFonts w:hint="eastAsia"/>
        </w:rPr>
        <w:t>的规定。</w:t>
      </w:r>
    </w:p>
    <w:p w14:paraId="67C31585" w14:textId="77777777" w:rsidR="0012415A" w:rsidRPr="00FD50F6" w:rsidRDefault="0012415A" w:rsidP="0012415A">
      <w:pPr>
        <w:pStyle w:val="30"/>
      </w:pPr>
      <w:r w:rsidRPr="00FD50F6">
        <w:rPr>
          <w:rFonts w:hint="eastAsia"/>
        </w:rPr>
        <w:t>列车竖向静活载确定应符合下列规定：</w:t>
      </w:r>
    </w:p>
    <w:p w14:paraId="421D8C26" w14:textId="77777777" w:rsidR="0012415A" w:rsidRPr="00FD50F6" w:rsidRDefault="0012415A" w:rsidP="00A926BD">
      <w:pPr>
        <w:pStyle w:val="4"/>
      </w:pPr>
      <w:r w:rsidRPr="00FD50F6">
        <w:rPr>
          <w:rFonts w:hint="eastAsia"/>
        </w:rPr>
        <w:t>列车竖向静活载图式应按本线列车的最大轴重、轴距及近、远期中最长的编组确定；</w:t>
      </w:r>
    </w:p>
    <w:p w14:paraId="029658D0" w14:textId="77777777" w:rsidR="0012415A" w:rsidRPr="00FD50F6" w:rsidRDefault="0012415A" w:rsidP="00A926BD">
      <w:pPr>
        <w:pStyle w:val="4"/>
      </w:pPr>
      <w:r w:rsidRPr="00FD50F6">
        <w:rPr>
          <w:rFonts w:hint="eastAsia"/>
        </w:rPr>
        <w:lastRenderedPageBreak/>
        <w:t>单线或双线高架结构，应按列车活载作用于每一条线路确定；</w:t>
      </w:r>
    </w:p>
    <w:p w14:paraId="5CD9D038" w14:textId="77777777" w:rsidR="0012415A" w:rsidRPr="00FD50F6" w:rsidRDefault="0012415A" w:rsidP="00A926BD">
      <w:pPr>
        <w:pStyle w:val="4"/>
      </w:pPr>
      <w:r w:rsidRPr="00FD50F6">
        <w:rPr>
          <w:rFonts w:hint="eastAsia"/>
        </w:rPr>
        <w:t>对承受局部活载的杆件均按该列车竖向活载的</w:t>
      </w:r>
      <w:r w:rsidRPr="00FD50F6">
        <w:t>100%</w:t>
      </w:r>
      <w:r w:rsidRPr="00FD50F6">
        <w:rPr>
          <w:rFonts w:hint="eastAsia"/>
        </w:rPr>
        <w:t>计算；</w:t>
      </w:r>
    </w:p>
    <w:p w14:paraId="2B15D814" w14:textId="77777777" w:rsidR="0012415A" w:rsidRPr="00FD50F6" w:rsidRDefault="0012415A" w:rsidP="00A926BD">
      <w:pPr>
        <w:pStyle w:val="4"/>
      </w:pPr>
      <w:r w:rsidRPr="00FD50F6">
        <w:rPr>
          <w:rFonts w:hint="eastAsia"/>
        </w:rPr>
        <w:t>多于两线的高架结构，应按下列最不利情况确定：</w:t>
      </w:r>
    </w:p>
    <w:p w14:paraId="000F38AF" w14:textId="77777777" w:rsidR="0012415A" w:rsidRPr="00FD50F6" w:rsidRDefault="0012415A" w:rsidP="0012415A">
      <w:pPr>
        <w:pStyle w:val="5"/>
        <w:ind w:firstLine="480"/>
      </w:pPr>
      <w:r w:rsidRPr="00FD50F6">
        <w:rPr>
          <w:rFonts w:hint="eastAsia"/>
        </w:rPr>
        <w:t>按两条线路在最不利位置承受列车活载，其余线路不承受列车活载；</w:t>
      </w:r>
    </w:p>
    <w:p w14:paraId="62FE34A4" w14:textId="77777777" w:rsidR="0012415A" w:rsidRPr="00FD50F6" w:rsidRDefault="0012415A" w:rsidP="0012415A">
      <w:pPr>
        <w:pStyle w:val="5"/>
        <w:ind w:firstLine="480"/>
      </w:pPr>
      <w:r w:rsidRPr="00FD50F6">
        <w:rPr>
          <w:rFonts w:hint="eastAsia"/>
        </w:rPr>
        <w:t>所有线路在最不利位置承受</w:t>
      </w:r>
      <w:r w:rsidRPr="00FD50F6">
        <w:t>75</w:t>
      </w:r>
      <w:r w:rsidRPr="00FD50F6">
        <w:rPr>
          <w:rFonts w:hint="eastAsia"/>
        </w:rPr>
        <w:t>％的活载。</w:t>
      </w:r>
    </w:p>
    <w:p w14:paraId="4D3651B8" w14:textId="77777777" w:rsidR="0012415A" w:rsidRPr="00FD50F6" w:rsidRDefault="0012415A" w:rsidP="00A926BD">
      <w:pPr>
        <w:pStyle w:val="4"/>
      </w:pPr>
      <w:r w:rsidRPr="00FD50F6">
        <w:rPr>
          <w:rFonts w:hint="eastAsia"/>
        </w:rPr>
        <w:t>影响线加载时，活载图式不得任意截取，但对影响线异符号区段，轴重应按空车重计，还应计及本线初、近、远期中最不利的编组长度。</w:t>
      </w:r>
    </w:p>
    <w:p w14:paraId="37E9D4AA" w14:textId="77777777" w:rsidR="0012415A" w:rsidRPr="00FD50F6" w:rsidRDefault="0012415A" w:rsidP="0012415A">
      <w:pPr>
        <w:pStyle w:val="30"/>
      </w:pPr>
      <w:r w:rsidRPr="00FD50F6">
        <w:rPr>
          <w:rFonts w:hint="eastAsia"/>
        </w:rPr>
        <w:t>列车竖向活载应包括列车竖向静活载及列车动力作用，应为列车竖向静活载乘以动力系数（</w:t>
      </w:r>
      <w:r w:rsidRPr="00FD50F6">
        <w:t>1</w:t>
      </w:r>
      <w:r w:rsidRPr="00FD50F6">
        <w:rPr>
          <w:rFonts w:hint="eastAsia"/>
        </w:rPr>
        <w:t>＋</w:t>
      </w:r>
      <w:r w:rsidRPr="00117F3F">
        <w:rPr>
          <w:i/>
          <w:iCs/>
        </w:rPr>
        <w:t>μ</w:t>
      </w:r>
      <w:r w:rsidRPr="00FD50F6">
        <w:rPr>
          <w:rFonts w:hint="eastAsia"/>
        </w:rPr>
        <w:t>）。</w:t>
      </w:r>
      <w:r w:rsidRPr="00117F3F">
        <w:rPr>
          <w:i/>
          <w:iCs/>
        </w:rPr>
        <w:t>μ</w:t>
      </w:r>
      <w:r w:rsidRPr="00FD50F6">
        <w:t>的取值应符合下列规定</w:t>
      </w:r>
      <w:r w:rsidRPr="00FD50F6">
        <w:rPr>
          <w:rFonts w:hint="eastAsia"/>
        </w:rPr>
        <w:t>：</w:t>
      </w:r>
    </w:p>
    <w:p w14:paraId="209048EA" w14:textId="5C862253" w:rsidR="0012415A" w:rsidRPr="00FD50F6" w:rsidRDefault="0012415A" w:rsidP="00A926BD">
      <w:pPr>
        <w:pStyle w:val="4"/>
      </w:pPr>
      <w:r w:rsidRPr="00FD50F6">
        <w:rPr>
          <w:rFonts w:hint="eastAsia"/>
        </w:rPr>
        <w:t>当列车运行速度</w:t>
      </w:r>
      <w:r w:rsidR="005B74A2">
        <w:t>为</w:t>
      </w:r>
      <w:r w:rsidR="005B74A2" w:rsidRPr="00FD50F6">
        <w:t>120km/h</w:t>
      </w:r>
      <w:r w:rsidRPr="00FD50F6">
        <w:t>时，</w:t>
      </w:r>
      <w:r w:rsidRPr="00117F3F">
        <w:rPr>
          <w:i/>
          <w:iCs/>
        </w:rPr>
        <w:t>μ</w:t>
      </w:r>
      <w:r w:rsidRPr="00FD50F6">
        <w:t>值</w:t>
      </w:r>
      <w:r w:rsidRPr="00FD50F6">
        <w:rPr>
          <w:rFonts w:hint="eastAsia"/>
        </w:rPr>
        <w:t>应按现行行业标准《铁路桥涵设计规范》</w:t>
      </w:r>
      <w:r w:rsidRPr="00FD50F6">
        <w:t>TB 10002</w:t>
      </w:r>
      <w:r w:rsidRPr="00FD50F6">
        <w:rPr>
          <w:rFonts w:hint="eastAsia"/>
        </w:rPr>
        <w:t>中客货共线桥梁相关规定</w:t>
      </w:r>
      <w:r w:rsidRPr="00FD50F6">
        <w:t>取值</w:t>
      </w:r>
      <w:r w:rsidRPr="00FD50F6">
        <w:rPr>
          <w:rFonts w:hint="eastAsia"/>
        </w:rPr>
        <w:t>；</w:t>
      </w:r>
    </w:p>
    <w:p w14:paraId="5A49F39A" w14:textId="5090EED8" w:rsidR="0012415A" w:rsidRPr="00FD50F6" w:rsidRDefault="0012415A" w:rsidP="00A926BD">
      <w:pPr>
        <w:pStyle w:val="4"/>
      </w:pPr>
      <w:r w:rsidRPr="00FD50F6">
        <w:rPr>
          <w:rFonts w:hint="eastAsia"/>
        </w:rPr>
        <w:t>当列车运行速度</w:t>
      </w:r>
      <w:r w:rsidR="005B74A2">
        <w:rPr>
          <w:rFonts w:hint="eastAsia"/>
        </w:rPr>
        <w:t>小于或等于</w:t>
      </w:r>
      <w:bookmarkStart w:id="440" w:name="_Hlk119501809"/>
      <w:r w:rsidRPr="00FD50F6">
        <w:t>80km/h</w:t>
      </w:r>
      <w:bookmarkEnd w:id="440"/>
      <w:r w:rsidRPr="00FD50F6">
        <w:t>时，</w:t>
      </w:r>
      <w:r w:rsidRPr="00117F3F">
        <w:rPr>
          <w:i/>
          <w:iCs/>
        </w:rPr>
        <w:t>μ</w:t>
      </w:r>
      <w:r w:rsidRPr="00FD50F6">
        <w:t>值</w:t>
      </w:r>
      <w:r w:rsidRPr="00FD50F6">
        <w:rPr>
          <w:rFonts w:hint="eastAsia"/>
        </w:rPr>
        <w:t>应按现行行业标准《铁路桥涵设计规范》</w:t>
      </w:r>
      <w:r w:rsidRPr="00FD50F6">
        <w:t>TB 10002</w:t>
      </w:r>
      <w:r w:rsidRPr="00FD50F6">
        <w:rPr>
          <w:rFonts w:hint="eastAsia"/>
        </w:rPr>
        <w:t>中客货共线桥梁相关规定</w:t>
      </w:r>
      <w:r w:rsidRPr="00FD50F6">
        <w:t>取值乘以</w:t>
      </w:r>
      <w:r w:rsidRPr="00FD50F6">
        <w:t>0.8</w:t>
      </w:r>
      <w:r w:rsidRPr="00FD50F6">
        <w:rPr>
          <w:rFonts w:hint="eastAsia"/>
        </w:rPr>
        <w:t>。</w:t>
      </w:r>
    </w:p>
    <w:p w14:paraId="6213366E" w14:textId="6E248E82" w:rsidR="0012415A" w:rsidRPr="00FD50F6" w:rsidRDefault="0012415A" w:rsidP="00A926BD">
      <w:pPr>
        <w:pStyle w:val="4"/>
      </w:pPr>
      <w:r w:rsidRPr="00FD50F6">
        <w:rPr>
          <w:rFonts w:hint="eastAsia"/>
        </w:rPr>
        <w:t>当列车运行速度为</w:t>
      </w:r>
      <w:r w:rsidRPr="00FD50F6">
        <w:t>80km/h</w:t>
      </w:r>
      <w:r w:rsidR="005B74A2">
        <w:rPr>
          <w:rFonts w:hint="eastAsia"/>
        </w:rPr>
        <w:t>~</w:t>
      </w:r>
      <w:r w:rsidRPr="00FD50F6">
        <w:t>120km/h</w:t>
      </w:r>
      <w:r w:rsidRPr="00FD50F6">
        <w:t>时，</w:t>
      </w:r>
      <w:r w:rsidRPr="00117F3F">
        <w:rPr>
          <w:i/>
          <w:iCs/>
        </w:rPr>
        <w:t>μ</w:t>
      </w:r>
      <w:r w:rsidRPr="00FD50F6">
        <w:t>值</w:t>
      </w:r>
      <w:r w:rsidRPr="00FD50F6">
        <w:rPr>
          <w:rFonts w:hint="eastAsia"/>
        </w:rPr>
        <w:t>应按最高运行速度进行线性插值计算。</w:t>
      </w:r>
    </w:p>
    <w:p w14:paraId="161C11D9" w14:textId="4B56525F" w:rsidR="0012415A" w:rsidRPr="00FD50F6" w:rsidRDefault="0012415A" w:rsidP="0012415A">
      <w:pPr>
        <w:pStyle w:val="30"/>
      </w:pPr>
      <w:r w:rsidRPr="00FD50F6">
        <w:rPr>
          <w:rFonts w:hint="eastAsia"/>
        </w:rPr>
        <w:t>位于曲线上的桥梁应计入列车产生的离心力，离心力应作用于轨顶以上车辆</w:t>
      </w:r>
      <w:r w:rsidRPr="00FD50F6">
        <w:t>重心</w:t>
      </w:r>
      <w:r w:rsidRPr="00FD50F6">
        <w:rPr>
          <w:rFonts w:hint="eastAsia"/>
        </w:rPr>
        <w:t>处。离心力的大小应等于列车竖向静活载乘以离心力率。离心力率可按下式计算：</w:t>
      </w:r>
    </w:p>
    <w:p w14:paraId="4DE57D49" w14:textId="1F0466C7" w:rsidR="0012415A" w:rsidRPr="00FD50F6" w:rsidRDefault="0012415A" w:rsidP="0012415A">
      <w:pPr>
        <w:pStyle w:val="8"/>
        <w:ind w:firstLine="480"/>
        <w:jc w:val="center"/>
      </w:pPr>
      <w:r w:rsidRPr="00117F3F">
        <w:rPr>
          <w:i/>
          <w:iCs/>
        </w:rPr>
        <w:t>C</w:t>
      </w:r>
      <w:r w:rsidRPr="00FD50F6">
        <w:t xml:space="preserve">= </w:t>
      </w:r>
      <w:r w:rsidRPr="00117F3F">
        <w:rPr>
          <w:i/>
          <w:iCs/>
        </w:rPr>
        <w:t>V</w:t>
      </w:r>
      <w:r w:rsidRPr="00FD50F6">
        <w:rPr>
          <w:vertAlign w:val="superscript"/>
        </w:rPr>
        <w:t>2</w:t>
      </w:r>
      <w:r w:rsidRPr="00FD50F6">
        <w:rPr>
          <w:rFonts w:hint="eastAsia"/>
        </w:rPr>
        <w:t>／</w:t>
      </w:r>
      <w:r w:rsidRPr="00FD50F6">
        <w:t>127</w:t>
      </w:r>
      <w:r w:rsidRPr="00117F3F">
        <w:rPr>
          <w:i/>
          <w:iCs/>
        </w:rPr>
        <w:t>R</w:t>
      </w:r>
      <w:r w:rsidRPr="00FD50F6">
        <w:t xml:space="preserve">                      </w:t>
      </w:r>
      <w:r w:rsidRPr="00FD50F6">
        <w:rPr>
          <w:rFonts w:hint="eastAsia"/>
        </w:rPr>
        <w:t>（</w:t>
      </w:r>
      <w:r w:rsidR="00A0175C" w:rsidRPr="00FD50F6">
        <w:t>11</w:t>
      </w:r>
      <w:r w:rsidRPr="00FD50F6">
        <w:t>.</w:t>
      </w:r>
      <w:r w:rsidRPr="00FD50F6">
        <w:rPr>
          <w:rFonts w:hint="eastAsia"/>
        </w:rPr>
        <w:t>2</w:t>
      </w:r>
      <w:r w:rsidRPr="00FD50F6">
        <w:t>.</w:t>
      </w:r>
      <w:r w:rsidRPr="00FD50F6">
        <w:rPr>
          <w:rFonts w:hint="eastAsia"/>
        </w:rPr>
        <w:t>6</w:t>
      </w:r>
      <w:r w:rsidRPr="00FD50F6">
        <w:rPr>
          <w:rFonts w:hint="eastAsia"/>
        </w:rPr>
        <w:t>）</w:t>
      </w:r>
    </w:p>
    <w:p w14:paraId="1D43C1AC" w14:textId="67B71931" w:rsidR="001658D6" w:rsidRDefault="0012415A" w:rsidP="001658D6">
      <w:pPr>
        <w:pStyle w:val="8"/>
        <w:ind w:firstLineChars="0" w:firstLine="0"/>
      </w:pPr>
      <w:r w:rsidRPr="00FD50F6">
        <w:rPr>
          <w:rFonts w:hint="eastAsia"/>
        </w:rPr>
        <w:t>式中：</w:t>
      </w:r>
      <w:r w:rsidR="001658D6" w:rsidRPr="00117F3F">
        <w:rPr>
          <w:i/>
          <w:iCs/>
        </w:rPr>
        <w:t>C</w:t>
      </w:r>
      <w:r w:rsidR="001658D6">
        <w:rPr>
          <w:rFonts w:hint="eastAsia"/>
          <w:i/>
          <w:iCs/>
        </w:rPr>
        <w:t>——</w:t>
      </w:r>
      <w:r w:rsidR="005B74A2" w:rsidRPr="00FD50F6">
        <w:rPr>
          <w:rFonts w:hint="eastAsia"/>
        </w:rPr>
        <w:t>离心力率</w:t>
      </w:r>
    </w:p>
    <w:p w14:paraId="78042FFC" w14:textId="1B40DBEF" w:rsidR="0012415A" w:rsidRPr="00FD50F6" w:rsidRDefault="0012415A" w:rsidP="00117F3F">
      <w:pPr>
        <w:pStyle w:val="8"/>
        <w:ind w:firstLineChars="250" w:firstLine="600"/>
      </w:pPr>
      <w:r w:rsidRPr="00117F3F">
        <w:rPr>
          <w:i/>
          <w:iCs/>
        </w:rPr>
        <w:t>V</w:t>
      </w:r>
      <w:r w:rsidR="001658D6">
        <w:rPr>
          <w:rFonts w:hint="eastAsia"/>
        </w:rPr>
        <w:t>——</w:t>
      </w:r>
      <w:r w:rsidRPr="00FD50F6">
        <w:rPr>
          <w:rFonts w:hint="eastAsia"/>
        </w:rPr>
        <w:t>本线设计最高列车速度</w:t>
      </w:r>
      <w:r w:rsidRPr="00FD50F6">
        <w:t>(km</w:t>
      </w:r>
      <w:r w:rsidRPr="00FD50F6">
        <w:rPr>
          <w:rFonts w:hint="eastAsia"/>
        </w:rPr>
        <w:t>／</w:t>
      </w:r>
      <w:r w:rsidRPr="00FD50F6">
        <w:t>h)</w:t>
      </w:r>
      <w:r w:rsidRPr="00FD50F6">
        <w:rPr>
          <w:rFonts w:hint="eastAsia"/>
        </w:rPr>
        <w:t>；</w:t>
      </w:r>
    </w:p>
    <w:p w14:paraId="53B1C7EA" w14:textId="22421DCB" w:rsidR="0012415A" w:rsidRPr="00FD50F6" w:rsidRDefault="0012415A" w:rsidP="0012415A">
      <w:pPr>
        <w:pStyle w:val="8"/>
        <w:ind w:firstLine="480"/>
      </w:pPr>
      <w:r w:rsidRPr="00FD50F6">
        <w:rPr>
          <w:rFonts w:hint="eastAsia"/>
        </w:rPr>
        <w:t xml:space="preserve"> </w:t>
      </w:r>
      <w:r w:rsidR="001658D6" w:rsidRPr="00117F3F">
        <w:rPr>
          <w:i/>
          <w:iCs/>
        </w:rPr>
        <w:t xml:space="preserve"> </w:t>
      </w:r>
      <w:r w:rsidRPr="00117F3F">
        <w:rPr>
          <w:i/>
          <w:iCs/>
        </w:rPr>
        <w:t>R</w:t>
      </w:r>
      <w:r w:rsidR="001658D6">
        <w:rPr>
          <w:rFonts w:hint="eastAsia"/>
        </w:rPr>
        <w:t>——</w:t>
      </w:r>
      <w:r w:rsidRPr="00FD50F6">
        <w:rPr>
          <w:rFonts w:hint="eastAsia"/>
        </w:rPr>
        <w:t>曲线半径</w:t>
      </w:r>
      <w:r w:rsidRPr="00FD50F6">
        <w:t>(m)</w:t>
      </w:r>
      <w:r w:rsidRPr="00FD50F6">
        <w:rPr>
          <w:rFonts w:hint="eastAsia"/>
        </w:rPr>
        <w:t>。</w:t>
      </w:r>
    </w:p>
    <w:p w14:paraId="664F2F1A" w14:textId="77777777" w:rsidR="0012415A" w:rsidRPr="00FD50F6" w:rsidRDefault="0012415A" w:rsidP="0012415A">
      <w:pPr>
        <w:pStyle w:val="30"/>
      </w:pPr>
      <w:r w:rsidRPr="00FD50F6">
        <w:rPr>
          <w:rFonts w:hint="eastAsia"/>
        </w:rPr>
        <w:t>列车的横向摇摆力宜按相邻两个转向架的四个轴轴重的</w:t>
      </w:r>
      <w:r w:rsidRPr="00FD50F6">
        <w:rPr>
          <w:rFonts w:hint="eastAsia"/>
        </w:rPr>
        <w:t>15%</w:t>
      </w:r>
      <w:r w:rsidRPr="00FD50F6">
        <w:rPr>
          <w:rFonts w:hint="eastAsia"/>
        </w:rPr>
        <w:t>计，并应以横桥向集中力形式作用于轨面。多线桥可只计算任意一线上的横向摇摆力。</w:t>
      </w:r>
    </w:p>
    <w:p w14:paraId="06CEE326" w14:textId="77777777" w:rsidR="0012415A" w:rsidRPr="00FD50F6" w:rsidRDefault="0012415A" w:rsidP="0012415A">
      <w:pPr>
        <w:pStyle w:val="30"/>
      </w:pPr>
      <w:r w:rsidRPr="00FD50F6">
        <w:rPr>
          <w:rFonts w:hint="eastAsia"/>
        </w:rPr>
        <w:t>列车制动力或牵引力计算应符合下列规定：</w:t>
      </w:r>
    </w:p>
    <w:p w14:paraId="49ECCF18" w14:textId="77777777" w:rsidR="0012415A" w:rsidRPr="00FD50F6" w:rsidRDefault="0012415A" w:rsidP="00A926BD">
      <w:pPr>
        <w:pStyle w:val="4"/>
      </w:pPr>
      <w:r w:rsidRPr="00FD50F6">
        <w:rPr>
          <w:rFonts w:hint="eastAsia"/>
        </w:rPr>
        <w:t>区间桥梁的制动力或牵引力应按竖向静活载的</w:t>
      </w:r>
      <w:r w:rsidRPr="00FD50F6">
        <w:t>15</w:t>
      </w:r>
      <w:r w:rsidRPr="00FD50F6">
        <w:rPr>
          <w:rFonts w:hint="eastAsia"/>
        </w:rPr>
        <w:t>％计算；当制动力或牵引力与离心力同时计算时，宜按竖向静活载</w:t>
      </w:r>
      <w:r w:rsidRPr="00FD50F6">
        <w:t>10</w:t>
      </w:r>
      <w:r w:rsidRPr="00FD50F6">
        <w:rPr>
          <w:rFonts w:hint="eastAsia"/>
        </w:rPr>
        <w:t>％计算；</w:t>
      </w:r>
    </w:p>
    <w:p w14:paraId="1CD19E98" w14:textId="77777777" w:rsidR="0012415A" w:rsidRPr="00FD50F6" w:rsidRDefault="0012415A" w:rsidP="00A926BD">
      <w:pPr>
        <w:pStyle w:val="4"/>
      </w:pPr>
      <w:r w:rsidRPr="00FD50F6">
        <w:rPr>
          <w:rFonts w:hint="eastAsia"/>
        </w:rPr>
        <w:t>区间双线桥应采用一条线的制动力或牵引力；三线或三线以上的桥应采用两条线的制动力或牵引力；</w:t>
      </w:r>
    </w:p>
    <w:p w14:paraId="30BDDCA6" w14:textId="77777777" w:rsidR="0012415A" w:rsidRPr="00FD50F6" w:rsidRDefault="0012415A" w:rsidP="00A926BD">
      <w:pPr>
        <w:pStyle w:val="4"/>
      </w:pPr>
      <w:r w:rsidRPr="00FD50F6">
        <w:rPr>
          <w:rFonts w:hint="eastAsia"/>
        </w:rPr>
        <w:t>高架车站及与车站相邻两侧</w:t>
      </w:r>
      <w:r w:rsidRPr="00FD50F6">
        <w:t>100m</w:t>
      </w:r>
      <w:r w:rsidRPr="00FD50F6">
        <w:rPr>
          <w:rFonts w:hint="eastAsia"/>
        </w:rPr>
        <w:t>范围内的区间双线桥应按双线制动力或</w:t>
      </w:r>
      <w:r w:rsidRPr="00FD50F6">
        <w:rPr>
          <w:rFonts w:hint="eastAsia"/>
        </w:rPr>
        <w:lastRenderedPageBreak/>
        <w:t>牵引力计，每条线制动力或牵引力值应为竖向静活载的</w:t>
      </w:r>
      <w:r w:rsidRPr="00FD50F6">
        <w:t>10</w:t>
      </w:r>
      <w:r w:rsidRPr="00FD50F6">
        <w:rPr>
          <w:rFonts w:hint="eastAsia"/>
        </w:rPr>
        <w:t>％；</w:t>
      </w:r>
    </w:p>
    <w:p w14:paraId="7EC6A551" w14:textId="77777777" w:rsidR="0012415A" w:rsidRPr="00FD50F6" w:rsidRDefault="0012415A" w:rsidP="00A926BD">
      <w:pPr>
        <w:pStyle w:val="4"/>
      </w:pPr>
      <w:r w:rsidRPr="00FD50F6">
        <w:rPr>
          <w:rFonts w:hint="eastAsia"/>
        </w:rPr>
        <w:t>制动力或牵引力作用于轨顶以上车辆重心处，但计算墩台时应移至支座中心处，计算刚架结构应移至横梁中线处，均不应计移动作用点所产生的力矩。</w:t>
      </w:r>
    </w:p>
    <w:p w14:paraId="25C10C8A" w14:textId="77777777" w:rsidR="0012415A" w:rsidRPr="00FD50F6" w:rsidRDefault="0012415A" w:rsidP="0012415A">
      <w:pPr>
        <w:pStyle w:val="30"/>
      </w:pPr>
      <w:r w:rsidRPr="00FD50F6">
        <w:rPr>
          <w:rFonts w:hint="eastAsia"/>
        </w:rPr>
        <w:t>列车竖向静活载在桥台后破坏棱体上引起的侧向土压力，应将活载换算成当量均布土层厚度计算。</w:t>
      </w:r>
    </w:p>
    <w:p w14:paraId="7A0AC433" w14:textId="706C3802" w:rsidR="0012415A" w:rsidRPr="00FD50F6" w:rsidRDefault="0012415A" w:rsidP="0012415A">
      <w:pPr>
        <w:pStyle w:val="30"/>
      </w:pPr>
      <w:r w:rsidRPr="00FD50F6">
        <w:rPr>
          <w:rFonts w:hint="eastAsia"/>
        </w:rPr>
        <w:t>无缝线路的纵向水平力（伸缩力、挠曲力）和无缝线路的断轨力，应根据轨道结构及梁、轨共同作用的原理计算确定，</w:t>
      </w:r>
      <w:r w:rsidR="00602A8D" w:rsidRPr="00117F3F">
        <w:rPr>
          <w:rFonts w:hint="eastAsia"/>
        </w:rPr>
        <w:t>无缝线路</w:t>
      </w:r>
      <w:r w:rsidRPr="00FD50F6">
        <w:rPr>
          <w:rFonts w:hint="eastAsia"/>
        </w:rPr>
        <w:t>纵向力荷载组合应符合下表规定：</w:t>
      </w:r>
    </w:p>
    <w:p w14:paraId="0A15CFF7" w14:textId="3CACA7E4" w:rsidR="0012415A" w:rsidRPr="00FD50F6" w:rsidRDefault="0012415A" w:rsidP="0012415A">
      <w:pPr>
        <w:pStyle w:val="6"/>
      </w:pPr>
      <w:r w:rsidRPr="00FD50F6">
        <w:rPr>
          <w:rFonts w:hint="eastAsia"/>
        </w:rPr>
        <w:t>表</w:t>
      </w:r>
      <w:r w:rsidR="00A0175C" w:rsidRPr="00FD50F6">
        <w:rPr>
          <w:rFonts w:hint="eastAsia"/>
        </w:rPr>
        <w:t>1</w:t>
      </w:r>
      <w:r w:rsidR="00A0175C" w:rsidRPr="00FD50F6">
        <w:t>1</w:t>
      </w:r>
      <w:r w:rsidRPr="00FD50F6">
        <w:t>.2.10</w:t>
      </w:r>
      <w:r w:rsidR="00602A8D">
        <w:rPr>
          <w:rFonts w:hint="eastAsia"/>
        </w:rPr>
        <w:t>无缝线路</w:t>
      </w:r>
      <w:r w:rsidRPr="00FD50F6">
        <w:rPr>
          <w:rFonts w:hint="eastAsia"/>
        </w:rPr>
        <w:t>纵向力荷载组合</w:t>
      </w:r>
    </w:p>
    <w:tbl>
      <w:tblPr>
        <w:tblStyle w:val="1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654"/>
        <w:gridCol w:w="1525"/>
        <w:gridCol w:w="4295"/>
      </w:tblGrid>
      <w:tr w:rsidR="00FD50F6" w:rsidRPr="00FD50F6" w14:paraId="13F5D2AF" w14:textId="77777777" w:rsidTr="000831EC">
        <w:tc>
          <w:tcPr>
            <w:tcW w:w="802" w:type="dxa"/>
            <w:vAlign w:val="center"/>
          </w:tcPr>
          <w:p w14:paraId="01D7FEE4" w14:textId="77777777" w:rsidR="0012415A" w:rsidRPr="00FD50F6" w:rsidRDefault="0012415A" w:rsidP="000831EC">
            <w:pPr>
              <w:pStyle w:val="7"/>
            </w:pPr>
            <w:r w:rsidRPr="00FD50F6">
              <w:rPr>
                <w:rFonts w:hint="eastAsia"/>
              </w:rPr>
              <w:t>墩台类型</w:t>
            </w:r>
          </w:p>
        </w:tc>
        <w:tc>
          <w:tcPr>
            <w:tcW w:w="1654" w:type="dxa"/>
            <w:vAlign w:val="center"/>
          </w:tcPr>
          <w:p w14:paraId="565A213B" w14:textId="77777777" w:rsidR="0012415A" w:rsidRPr="00FD50F6" w:rsidRDefault="0012415A" w:rsidP="000831EC">
            <w:pPr>
              <w:pStyle w:val="7"/>
            </w:pPr>
            <w:r w:rsidRPr="00FD50F6">
              <w:rPr>
                <w:rFonts w:hint="eastAsia"/>
              </w:rPr>
              <w:t>纵向力</w:t>
            </w:r>
          </w:p>
          <w:p w14:paraId="5AB9BB50" w14:textId="77777777" w:rsidR="0012415A" w:rsidRPr="00FD50F6" w:rsidRDefault="0012415A" w:rsidP="000831EC">
            <w:pPr>
              <w:pStyle w:val="7"/>
            </w:pPr>
            <w:r w:rsidRPr="00FD50F6">
              <w:rPr>
                <w:rFonts w:hint="eastAsia"/>
              </w:rPr>
              <w:t>组合工况</w:t>
            </w:r>
          </w:p>
        </w:tc>
        <w:tc>
          <w:tcPr>
            <w:tcW w:w="1525" w:type="dxa"/>
            <w:vAlign w:val="center"/>
          </w:tcPr>
          <w:p w14:paraId="2253C59B" w14:textId="77777777" w:rsidR="0012415A" w:rsidRPr="00FD50F6" w:rsidRDefault="0012415A" w:rsidP="000831EC">
            <w:pPr>
              <w:pStyle w:val="7"/>
            </w:pPr>
            <w:r w:rsidRPr="00FD50F6">
              <w:rPr>
                <w:rFonts w:hint="eastAsia"/>
              </w:rPr>
              <w:t>有无列车</w:t>
            </w:r>
          </w:p>
        </w:tc>
        <w:tc>
          <w:tcPr>
            <w:tcW w:w="4295" w:type="dxa"/>
            <w:vAlign w:val="center"/>
          </w:tcPr>
          <w:p w14:paraId="02D0811C" w14:textId="77777777" w:rsidR="0012415A" w:rsidRPr="00FD50F6" w:rsidRDefault="0012415A" w:rsidP="000831EC">
            <w:pPr>
              <w:pStyle w:val="7"/>
            </w:pPr>
            <w:r w:rsidRPr="00FD50F6">
              <w:rPr>
                <w:rFonts w:hint="eastAsia"/>
              </w:rPr>
              <w:t>力的组合</w:t>
            </w:r>
          </w:p>
        </w:tc>
      </w:tr>
      <w:tr w:rsidR="00FD50F6" w:rsidRPr="00FD50F6" w14:paraId="4EE728D8" w14:textId="77777777" w:rsidTr="000831EC">
        <w:tc>
          <w:tcPr>
            <w:tcW w:w="802" w:type="dxa"/>
            <w:vMerge w:val="restart"/>
            <w:vAlign w:val="center"/>
          </w:tcPr>
          <w:p w14:paraId="58A0504D" w14:textId="77777777" w:rsidR="0012415A" w:rsidRPr="00FD50F6" w:rsidRDefault="0012415A" w:rsidP="000831EC">
            <w:pPr>
              <w:pStyle w:val="7"/>
            </w:pPr>
            <w:r w:rsidRPr="00FD50F6">
              <w:rPr>
                <w:rFonts w:hint="eastAsia"/>
              </w:rPr>
              <w:t>单线墩台</w:t>
            </w:r>
          </w:p>
        </w:tc>
        <w:tc>
          <w:tcPr>
            <w:tcW w:w="1654" w:type="dxa"/>
            <w:vAlign w:val="center"/>
          </w:tcPr>
          <w:p w14:paraId="19358AD1" w14:textId="77777777" w:rsidR="0012415A" w:rsidRPr="00FD50F6" w:rsidRDefault="0012415A" w:rsidP="000831EC">
            <w:pPr>
              <w:pStyle w:val="7"/>
            </w:pPr>
            <w:r w:rsidRPr="00FD50F6">
              <w:rPr>
                <w:rFonts w:hint="eastAsia"/>
              </w:rPr>
              <w:t>主力</w:t>
            </w:r>
          </w:p>
        </w:tc>
        <w:tc>
          <w:tcPr>
            <w:tcW w:w="1525" w:type="dxa"/>
            <w:vAlign w:val="center"/>
          </w:tcPr>
          <w:p w14:paraId="361B3C88" w14:textId="77777777" w:rsidR="0012415A" w:rsidRPr="00FD50F6" w:rsidRDefault="0012415A" w:rsidP="000831EC">
            <w:pPr>
              <w:pStyle w:val="7"/>
            </w:pPr>
            <w:r w:rsidRPr="00FD50F6">
              <w:rPr>
                <w:rFonts w:hint="eastAsia"/>
              </w:rPr>
              <w:t>无车</w:t>
            </w:r>
          </w:p>
        </w:tc>
        <w:tc>
          <w:tcPr>
            <w:tcW w:w="4295" w:type="dxa"/>
            <w:vAlign w:val="center"/>
          </w:tcPr>
          <w:p w14:paraId="4DEE079F" w14:textId="77777777" w:rsidR="0012415A" w:rsidRPr="00FD50F6" w:rsidRDefault="0012415A" w:rsidP="000831EC">
            <w:pPr>
              <w:pStyle w:val="7"/>
            </w:pPr>
            <w:r w:rsidRPr="00FD50F6">
              <w:rPr>
                <w:rFonts w:ascii="宋体" w:hAnsi="宋体" w:cs="宋体" w:hint="eastAsia"/>
              </w:rPr>
              <w:t>①</w:t>
            </w:r>
            <w:r w:rsidRPr="00FD50F6">
              <w:rPr>
                <w:rFonts w:hint="eastAsia"/>
              </w:rPr>
              <w:t>恒载＋两股钢轨伸缩力</w:t>
            </w:r>
          </w:p>
          <w:p w14:paraId="3FA72CEA" w14:textId="77777777" w:rsidR="0012415A" w:rsidRPr="00FD50F6" w:rsidRDefault="0012415A" w:rsidP="000831EC">
            <w:pPr>
              <w:pStyle w:val="7"/>
            </w:pPr>
            <w:r w:rsidRPr="00FD50F6">
              <w:rPr>
                <w:rFonts w:hint="eastAsia"/>
              </w:rPr>
              <w:t>②恒载＋两股钢轨挠曲力</w:t>
            </w:r>
          </w:p>
          <w:p w14:paraId="0B72D1CC" w14:textId="77777777" w:rsidR="0012415A" w:rsidRPr="00FD50F6" w:rsidRDefault="0012415A" w:rsidP="000831EC">
            <w:pPr>
              <w:pStyle w:val="7"/>
            </w:pPr>
            <w:r w:rsidRPr="00FD50F6">
              <w:rPr>
                <w:rFonts w:hint="eastAsia"/>
              </w:rPr>
              <w:t>①与②比较取较大值</w:t>
            </w:r>
          </w:p>
        </w:tc>
      </w:tr>
      <w:tr w:rsidR="00FD50F6" w:rsidRPr="00FD50F6" w14:paraId="08E544D1" w14:textId="77777777" w:rsidTr="000831EC">
        <w:tc>
          <w:tcPr>
            <w:tcW w:w="802" w:type="dxa"/>
            <w:vMerge/>
            <w:vAlign w:val="center"/>
          </w:tcPr>
          <w:p w14:paraId="1516C6FB" w14:textId="77777777" w:rsidR="0012415A" w:rsidRPr="00FD50F6" w:rsidRDefault="0012415A" w:rsidP="000831EC">
            <w:pPr>
              <w:pStyle w:val="7"/>
            </w:pPr>
          </w:p>
        </w:tc>
        <w:tc>
          <w:tcPr>
            <w:tcW w:w="1654" w:type="dxa"/>
            <w:vAlign w:val="center"/>
          </w:tcPr>
          <w:p w14:paraId="25DC3CDD" w14:textId="77777777" w:rsidR="0012415A" w:rsidRPr="00FD50F6" w:rsidRDefault="0012415A" w:rsidP="000831EC">
            <w:pPr>
              <w:pStyle w:val="7"/>
            </w:pPr>
            <w:r w:rsidRPr="00FD50F6">
              <w:rPr>
                <w:rFonts w:hint="eastAsia"/>
              </w:rPr>
              <w:t>主力</w:t>
            </w:r>
            <w:r w:rsidRPr="00FD50F6">
              <w:rPr>
                <w:rFonts w:hint="eastAsia"/>
              </w:rPr>
              <w:t>+</w:t>
            </w:r>
            <w:r w:rsidRPr="00FD50F6">
              <w:rPr>
                <w:rFonts w:hint="eastAsia"/>
              </w:rPr>
              <w:t>特殊</w:t>
            </w:r>
          </w:p>
          <w:p w14:paraId="0D17AE2C" w14:textId="77777777" w:rsidR="0012415A" w:rsidRPr="00FD50F6" w:rsidRDefault="0012415A" w:rsidP="000831EC">
            <w:pPr>
              <w:pStyle w:val="7"/>
            </w:pPr>
            <w:r w:rsidRPr="00FD50F6">
              <w:rPr>
                <w:rFonts w:hint="eastAsia"/>
              </w:rPr>
              <w:t>荷载</w:t>
            </w:r>
          </w:p>
        </w:tc>
        <w:tc>
          <w:tcPr>
            <w:tcW w:w="1525" w:type="dxa"/>
            <w:vAlign w:val="center"/>
          </w:tcPr>
          <w:p w14:paraId="60819730" w14:textId="77777777" w:rsidR="0012415A" w:rsidRPr="00FD50F6" w:rsidRDefault="0012415A" w:rsidP="000831EC">
            <w:pPr>
              <w:pStyle w:val="7"/>
            </w:pPr>
            <w:r w:rsidRPr="00FD50F6">
              <w:rPr>
                <w:rFonts w:hint="eastAsia"/>
              </w:rPr>
              <w:t>无车</w:t>
            </w:r>
          </w:p>
        </w:tc>
        <w:tc>
          <w:tcPr>
            <w:tcW w:w="4295" w:type="dxa"/>
            <w:vAlign w:val="center"/>
          </w:tcPr>
          <w:p w14:paraId="6691F808" w14:textId="77777777" w:rsidR="0012415A" w:rsidRPr="00FD50F6" w:rsidRDefault="0012415A" w:rsidP="000831EC">
            <w:pPr>
              <w:pStyle w:val="7"/>
            </w:pPr>
            <w:r w:rsidRPr="00FD50F6">
              <w:rPr>
                <w:rFonts w:hint="eastAsia"/>
              </w:rPr>
              <w:t>恒载＋一股钢轨断轨力＋另一股钢轨伸缩力</w:t>
            </w:r>
          </w:p>
        </w:tc>
      </w:tr>
      <w:tr w:rsidR="00FD50F6" w:rsidRPr="00FD50F6" w14:paraId="27DD866F" w14:textId="77777777" w:rsidTr="000831EC">
        <w:tc>
          <w:tcPr>
            <w:tcW w:w="802" w:type="dxa"/>
            <w:vMerge w:val="restart"/>
            <w:vAlign w:val="center"/>
          </w:tcPr>
          <w:p w14:paraId="5E8DCDB5" w14:textId="77777777" w:rsidR="0012415A" w:rsidRPr="00FD50F6" w:rsidRDefault="0012415A" w:rsidP="000831EC">
            <w:pPr>
              <w:pStyle w:val="7"/>
            </w:pPr>
            <w:r w:rsidRPr="00FD50F6">
              <w:rPr>
                <w:rFonts w:hint="eastAsia"/>
              </w:rPr>
              <w:t>双线墩台</w:t>
            </w:r>
          </w:p>
        </w:tc>
        <w:tc>
          <w:tcPr>
            <w:tcW w:w="1654" w:type="dxa"/>
            <w:vAlign w:val="center"/>
          </w:tcPr>
          <w:p w14:paraId="0119730C" w14:textId="77777777" w:rsidR="0012415A" w:rsidRPr="00FD50F6" w:rsidRDefault="0012415A" w:rsidP="000831EC">
            <w:pPr>
              <w:pStyle w:val="7"/>
            </w:pPr>
            <w:r w:rsidRPr="00FD50F6">
              <w:rPr>
                <w:rFonts w:hint="eastAsia"/>
              </w:rPr>
              <w:t>主力</w:t>
            </w:r>
          </w:p>
        </w:tc>
        <w:tc>
          <w:tcPr>
            <w:tcW w:w="1525" w:type="dxa"/>
            <w:vAlign w:val="center"/>
          </w:tcPr>
          <w:p w14:paraId="485F421D" w14:textId="77777777" w:rsidR="0012415A" w:rsidRPr="00FD50F6" w:rsidRDefault="0012415A" w:rsidP="000831EC">
            <w:pPr>
              <w:pStyle w:val="7"/>
            </w:pPr>
            <w:r w:rsidRPr="00FD50F6">
              <w:rPr>
                <w:rFonts w:hint="eastAsia"/>
              </w:rPr>
              <w:t>双线无车</w:t>
            </w:r>
          </w:p>
        </w:tc>
        <w:tc>
          <w:tcPr>
            <w:tcW w:w="4295" w:type="dxa"/>
            <w:vAlign w:val="center"/>
          </w:tcPr>
          <w:p w14:paraId="09783991" w14:textId="77777777" w:rsidR="0012415A" w:rsidRPr="00FD50F6" w:rsidRDefault="0012415A" w:rsidP="000831EC">
            <w:pPr>
              <w:pStyle w:val="7"/>
            </w:pPr>
            <w:r w:rsidRPr="00FD50F6">
              <w:rPr>
                <w:rFonts w:ascii="宋体" w:hAnsi="宋体" w:cs="宋体" w:hint="eastAsia"/>
              </w:rPr>
              <w:t>①</w:t>
            </w:r>
            <w:r w:rsidRPr="00FD50F6">
              <w:rPr>
                <w:rFonts w:hint="eastAsia"/>
              </w:rPr>
              <w:t>恒载＋四股钢轨伸缩力</w:t>
            </w:r>
          </w:p>
          <w:p w14:paraId="6445253F" w14:textId="77777777" w:rsidR="0012415A" w:rsidRPr="00FD50F6" w:rsidRDefault="0012415A" w:rsidP="000831EC">
            <w:pPr>
              <w:pStyle w:val="7"/>
            </w:pPr>
            <w:r w:rsidRPr="00FD50F6">
              <w:rPr>
                <w:rFonts w:hint="eastAsia"/>
              </w:rPr>
              <w:t>②恒载＋四股钢轨挠曲力</w:t>
            </w:r>
          </w:p>
          <w:p w14:paraId="4BB2DD38" w14:textId="77777777" w:rsidR="0012415A" w:rsidRPr="00FD50F6" w:rsidRDefault="0012415A" w:rsidP="000831EC">
            <w:pPr>
              <w:pStyle w:val="7"/>
            </w:pPr>
            <w:r w:rsidRPr="00FD50F6">
              <w:rPr>
                <w:rFonts w:ascii="宋体" w:hAnsi="宋体" w:cs="宋体" w:hint="eastAsia"/>
              </w:rPr>
              <w:t>①</w:t>
            </w:r>
            <w:r w:rsidRPr="00FD50F6">
              <w:rPr>
                <w:rFonts w:hint="eastAsia"/>
              </w:rPr>
              <w:t>与②比较取较大值</w:t>
            </w:r>
          </w:p>
        </w:tc>
      </w:tr>
      <w:tr w:rsidR="00FD50F6" w:rsidRPr="00FD50F6" w14:paraId="325ABB45" w14:textId="77777777" w:rsidTr="000831EC">
        <w:tc>
          <w:tcPr>
            <w:tcW w:w="802" w:type="dxa"/>
            <w:vMerge/>
            <w:vAlign w:val="center"/>
          </w:tcPr>
          <w:p w14:paraId="787B2909" w14:textId="77777777" w:rsidR="0012415A" w:rsidRPr="00FD50F6" w:rsidRDefault="0012415A" w:rsidP="000831EC">
            <w:pPr>
              <w:pStyle w:val="7"/>
            </w:pPr>
          </w:p>
        </w:tc>
        <w:tc>
          <w:tcPr>
            <w:tcW w:w="1654" w:type="dxa"/>
            <w:vAlign w:val="center"/>
          </w:tcPr>
          <w:p w14:paraId="27E240DF" w14:textId="77777777" w:rsidR="0012415A" w:rsidRPr="00FD50F6" w:rsidRDefault="0012415A" w:rsidP="000831EC">
            <w:pPr>
              <w:pStyle w:val="7"/>
            </w:pPr>
            <w:r w:rsidRPr="00FD50F6">
              <w:rPr>
                <w:rFonts w:hint="eastAsia"/>
              </w:rPr>
              <w:t>主力</w:t>
            </w:r>
            <w:r w:rsidRPr="00FD50F6">
              <w:rPr>
                <w:rFonts w:hint="eastAsia"/>
              </w:rPr>
              <w:t>+</w:t>
            </w:r>
            <w:r w:rsidRPr="00FD50F6">
              <w:rPr>
                <w:rFonts w:hint="eastAsia"/>
              </w:rPr>
              <w:t>纵向</w:t>
            </w:r>
          </w:p>
          <w:p w14:paraId="2DDF7591" w14:textId="77777777" w:rsidR="0012415A" w:rsidRPr="00FD50F6" w:rsidRDefault="0012415A" w:rsidP="000831EC">
            <w:pPr>
              <w:pStyle w:val="7"/>
            </w:pPr>
            <w:r w:rsidRPr="00FD50F6">
              <w:rPr>
                <w:rFonts w:hint="eastAsia"/>
              </w:rPr>
              <w:t>附加力</w:t>
            </w:r>
          </w:p>
        </w:tc>
        <w:tc>
          <w:tcPr>
            <w:tcW w:w="1525" w:type="dxa"/>
            <w:vAlign w:val="center"/>
          </w:tcPr>
          <w:p w14:paraId="70AE0B3F" w14:textId="77777777" w:rsidR="0012415A" w:rsidRPr="00FD50F6" w:rsidRDefault="0012415A" w:rsidP="000831EC">
            <w:pPr>
              <w:pStyle w:val="7"/>
            </w:pPr>
            <w:r w:rsidRPr="00FD50F6">
              <w:rPr>
                <w:rFonts w:hint="eastAsia"/>
              </w:rPr>
              <w:t>一线有车、</w:t>
            </w:r>
          </w:p>
          <w:p w14:paraId="5FF26C57" w14:textId="77777777" w:rsidR="0012415A" w:rsidRPr="00FD50F6" w:rsidRDefault="0012415A" w:rsidP="000831EC">
            <w:pPr>
              <w:pStyle w:val="7"/>
            </w:pPr>
            <w:r w:rsidRPr="00FD50F6">
              <w:rPr>
                <w:rFonts w:hint="eastAsia"/>
              </w:rPr>
              <w:t>一线无车</w:t>
            </w:r>
          </w:p>
        </w:tc>
        <w:tc>
          <w:tcPr>
            <w:tcW w:w="4295" w:type="dxa"/>
            <w:vAlign w:val="center"/>
          </w:tcPr>
          <w:p w14:paraId="72333A91" w14:textId="77777777" w:rsidR="0012415A" w:rsidRPr="00FD50F6" w:rsidRDefault="0012415A" w:rsidP="000831EC">
            <w:pPr>
              <w:pStyle w:val="7"/>
            </w:pPr>
            <w:r w:rsidRPr="00FD50F6">
              <w:rPr>
                <w:rFonts w:hint="eastAsia"/>
              </w:rPr>
              <w:t>恒载＋一线活载＋一线列车制动力或牵引力＋另一线两股钢轨的伸缩力或挠曲力的较大值＋其他纵向附加力</w:t>
            </w:r>
          </w:p>
        </w:tc>
      </w:tr>
      <w:tr w:rsidR="00FD50F6" w:rsidRPr="00FD50F6" w14:paraId="0C46DFD1" w14:textId="77777777" w:rsidTr="000831EC">
        <w:tc>
          <w:tcPr>
            <w:tcW w:w="802" w:type="dxa"/>
            <w:vMerge/>
            <w:vAlign w:val="center"/>
          </w:tcPr>
          <w:p w14:paraId="5DCF23CD" w14:textId="77777777" w:rsidR="0012415A" w:rsidRPr="00FD50F6" w:rsidRDefault="0012415A" w:rsidP="000831EC">
            <w:pPr>
              <w:pStyle w:val="7"/>
            </w:pPr>
          </w:p>
        </w:tc>
        <w:tc>
          <w:tcPr>
            <w:tcW w:w="1654" w:type="dxa"/>
            <w:vAlign w:val="center"/>
          </w:tcPr>
          <w:p w14:paraId="6E9D523A" w14:textId="77777777" w:rsidR="0012415A" w:rsidRPr="00FD50F6" w:rsidRDefault="0012415A" w:rsidP="000831EC">
            <w:pPr>
              <w:pStyle w:val="7"/>
            </w:pPr>
            <w:r w:rsidRPr="00FD50F6">
              <w:rPr>
                <w:rFonts w:hint="eastAsia"/>
              </w:rPr>
              <w:t>主力</w:t>
            </w:r>
            <w:r w:rsidRPr="00FD50F6">
              <w:rPr>
                <w:rFonts w:hint="eastAsia"/>
              </w:rPr>
              <w:t>+</w:t>
            </w:r>
            <w:r w:rsidRPr="00FD50F6">
              <w:rPr>
                <w:rFonts w:hint="eastAsia"/>
              </w:rPr>
              <w:t>特殊</w:t>
            </w:r>
          </w:p>
          <w:p w14:paraId="24686459" w14:textId="77777777" w:rsidR="0012415A" w:rsidRPr="00FD50F6" w:rsidRDefault="0012415A" w:rsidP="000831EC">
            <w:pPr>
              <w:pStyle w:val="7"/>
            </w:pPr>
            <w:r w:rsidRPr="00FD50F6">
              <w:rPr>
                <w:rFonts w:hint="eastAsia"/>
              </w:rPr>
              <w:t>荷载</w:t>
            </w:r>
          </w:p>
        </w:tc>
        <w:tc>
          <w:tcPr>
            <w:tcW w:w="1525" w:type="dxa"/>
            <w:vAlign w:val="center"/>
          </w:tcPr>
          <w:p w14:paraId="53DE65C0" w14:textId="77777777" w:rsidR="0012415A" w:rsidRPr="00FD50F6" w:rsidRDefault="0012415A" w:rsidP="000831EC">
            <w:pPr>
              <w:pStyle w:val="7"/>
            </w:pPr>
            <w:r w:rsidRPr="00FD50F6">
              <w:rPr>
                <w:rFonts w:hint="eastAsia"/>
              </w:rPr>
              <w:t>双线无车</w:t>
            </w:r>
          </w:p>
        </w:tc>
        <w:tc>
          <w:tcPr>
            <w:tcW w:w="4295" w:type="dxa"/>
            <w:vAlign w:val="center"/>
          </w:tcPr>
          <w:p w14:paraId="15F2522A" w14:textId="77777777" w:rsidR="0012415A" w:rsidRPr="00FD50F6" w:rsidRDefault="0012415A" w:rsidP="000831EC">
            <w:pPr>
              <w:pStyle w:val="7"/>
            </w:pPr>
            <w:r w:rsidRPr="00FD50F6">
              <w:rPr>
                <w:rFonts w:hint="eastAsia"/>
              </w:rPr>
              <w:t>恒载＋一线一股钢轨断轨力＋另一股钢轨伸缩力＋另一线两股钢轨伸缩力或挠曲力的较大值</w:t>
            </w:r>
          </w:p>
        </w:tc>
      </w:tr>
      <w:tr w:rsidR="00FD50F6" w:rsidRPr="00FD50F6" w14:paraId="7C8CB537" w14:textId="77777777" w:rsidTr="000831EC">
        <w:tc>
          <w:tcPr>
            <w:tcW w:w="802" w:type="dxa"/>
            <w:vMerge/>
            <w:vAlign w:val="center"/>
          </w:tcPr>
          <w:p w14:paraId="1604FE24" w14:textId="77777777" w:rsidR="0012415A" w:rsidRPr="00FD50F6" w:rsidRDefault="0012415A" w:rsidP="000831EC">
            <w:pPr>
              <w:pStyle w:val="7"/>
            </w:pPr>
          </w:p>
        </w:tc>
        <w:tc>
          <w:tcPr>
            <w:tcW w:w="1654" w:type="dxa"/>
            <w:vAlign w:val="center"/>
          </w:tcPr>
          <w:p w14:paraId="58965ACE" w14:textId="77777777" w:rsidR="0012415A" w:rsidRPr="00FD50F6" w:rsidRDefault="0012415A" w:rsidP="000831EC">
            <w:pPr>
              <w:pStyle w:val="7"/>
            </w:pPr>
            <w:r w:rsidRPr="00FD50F6">
              <w:rPr>
                <w:rFonts w:hint="eastAsia"/>
              </w:rPr>
              <w:t>主力</w:t>
            </w:r>
            <w:r w:rsidRPr="00FD50F6">
              <w:rPr>
                <w:rFonts w:hint="eastAsia"/>
              </w:rPr>
              <w:t>+</w:t>
            </w:r>
            <w:r w:rsidRPr="00FD50F6">
              <w:rPr>
                <w:rFonts w:hint="eastAsia"/>
              </w:rPr>
              <w:t>特殊</w:t>
            </w:r>
          </w:p>
          <w:p w14:paraId="1B2685BA" w14:textId="77777777" w:rsidR="0012415A" w:rsidRPr="00FD50F6" w:rsidRDefault="0012415A" w:rsidP="000831EC">
            <w:pPr>
              <w:pStyle w:val="7"/>
            </w:pPr>
            <w:r w:rsidRPr="00FD50F6">
              <w:rPr>
                <w:rFonts w:hint="eastAsia"/>
              </w:rPr>
              <w:t>荷载</w:t>
            </w:r>
          </w:p>
        </w:tc>
        <w:tc>
          <w:tcPr>
            <w:tcW w:w="1525" w:type="dxa"/>
            <w:vAlign w:val="center"/>
          </w:tcPr>
          <w:p w14:paraId="2FE4F1D6" w14:textId="77777777" w:rsidR="0012415A" w:rsidRPr="00FD50F6" w:rsidRDefault="0012415A" w:rsidP="000831EC">
            <w:pPr>
              <w:pStyle w:val="7"/>
            </w:pPr>
            <w:r w:rsidRPr="00FD50F6">
              <w:rPr>
                <w:rFonts w:hint="eastAsia"/>
              </w:rPr>
              <w:t>一线无车、</w:t>
            </w:r>
          </w:p>
          <w:p w14:paraId="7D1E5A3B" w14:textId="77777777" w:rsidR="0012415A" w:rsidRPr="00FD50F6" w:rsidRDefault="0012415A" w:rsidP="000831EC">
            <w:pPr>
              <w:pStyle w:val="7"/>
            </w:pPr>
            <w:r w:rsidRPr="00FD50F6">
              <w:rPr>
                <w:rFonts w:hint="eastAsia"/>
              </w:rPr>
              <w:t>一线有车</w:t>
            </w:r>
          </w:p>
        </w:tc>
        <w:tc>
          <w:tcPr>
            <w:tcW w:w="4295" w:type="dxa"/>
            <w:vAlign w:val="center"/>
          </w:tcPr>
          <w:p w14:paraId="1078922E" w14:textId="77777777" w:rsidR="0012415A" w:rsidRPr="00FD50F6" w:rsidRDefault="0012415A" w:rsidP="000831EC">
            <w:pPr>
              <w:pStyle w:val="7"/>
            </w:pPr>
            <w:r w:rsidRPr="00FD50F6">
              <w:rPr>
                <w:rFonts w:hint="eastAsia"/>
              </w:rPr>
              <w:t>恒载＋一线一股钢轨断轨力＋另一股钢轨伸缩力</w:t>
            </w:r>
            <w:r w:rsidRPr="00FD50F6">
              <w:rPr>
                <w:rFonts w:hint="eastAsia"/>
              </w:rPr>
              <w:t>+</w:t>
            </w:r>
            <w:r w:rsidRPr="00FD50F6">
              <w:rPr>
                <w:rFonts w:hint="eastAsia"/>
              </w:rPr>
              <w:t>另一线活载</w:t>
            </w:r>
          </w:p>
        </w:tc>
      </w:tr>
      <w:tr w:rsidR="00FD50F6" w:rsidRPr="00FD50F6" w14:paraId="4A314543" w14:textId="77777777" w:rsidTr="000831EC">
        <w:tc>
          <w:tcPr>
            <w:tcW w:w="802" w:type="dxa"/>
            <w:vMerge w:val="restart"/>
            <w:vAlign w:val="center"/>
          </w:tcPr>
          <w:p w14:paraId="3D10FC43" w14:textId="77777777" w:rsidR="0012415A" w:rsidRPr="00FD50F6" w:rsidRDefault="0012415A" w:rsidP="000831EC">
            <w:pPr>
              <w:pStyle w:val="7"/>
            </w:pPr>
            <w:r w:rsidRPr="00FD50F6">
              <w:rPr>
                <w:rFonts w:hint="eastAsia"/>
              </w:rPr>
              <w:t>三线及</w:t>
            </w:r>
          </w:p>
          <w:p w14:paraId="4FAA64CA" w14:textId="77777777" w:rsidR="0012415A" w:rsidRPr="00FD50F6" w:rsidRDefault="0012415A" w:rsidP="000831EC">
            <w:pPr>
              <w:pStyle w:val="7"/>
            </w:pPr>
            <w:r w:rsidRPr="00FD50F6">
              <w:rPr>
                <w:rFonts w:hint="eastAsia"/>
              </w:rPr>
              <w:t>以上墩台</w:t>
            </w:r>
          </w:p>
        </w:tc>
        <w:tc>
          <w:tcPr>
            <w:tcW w:w="1654" w:type="dxa"/>
            <w:vAlign w:val="center"/>
          </w:tcPr>
          <w:p w14:paraId="56E97A0A" w14:textId="77777777" w:rsidR="0012415A" w:rsidRPr="00FD50F6" w:rsidRDefault="0012415A" w:rsidP="000831EC">
            <w:pPr>
              <w:pStyle w:val="7"/>
            </w:pPr>
            <w:r w:rsidRPr="00FD50F6">
              <w:rPr>
                <w:rFonts w:hint="eastAsia"/>
              </w:rPr>
              <w:t>主力</w:t>
            </w:r>
          </w:p>
        </w:tc>
        <w:tc>
          <w:tcPr>
            <w:tcW w:w="1525" w:type="dxa"/>
            <w:vAlign w:val="center"/>
          </w:tcPr>
          <w:p w14:paraId="55FBB79C" w14:textId="77777777" w:rsidR="0012415A" w:rsidRPr="00FD50F6" w:rsidRDefault="0012415A" w:rsidP="000831EC">
            <w:pPr>
              <w:pStyle w:val="7"/>
            </w:pPr>
            <w:r w:rsidRPr="00FD50F6">
              <w:rPr>
                <w:rFonts w:hint="eastAsia"/>
              </w:rPr>
              <w:t>多线无车</w:t>
            </w:r>
          </w:p>
        </w:tc>
        <w:tc>
          <w:tcPr>
            <w:tcW w:w="4295" w:type="dxa"/>
            <w:vAlign w:val="center"/>
          </w:tcPr>
          <w:p w14:paraId="34BFBDAE" w14:textId="77777777" w:rsidR="0012415A" w:rsidRPr="00FD50F6" w:rsidRDefault="0012415A" w:rsidP="000831EC">
            <w:pPr>
              <w:pStyle w:val="7"/>
            </w:pPr>
            <w:r w:rsidRPr="00FD50F6">
              <w:rPr>
                <w:rFonts w:hint="eastAsia"/>
              </w:rPr>
              <w:t>①恒载＋</w:t>
            </w:r>
            <w:r w:rsidRPr="00FD50F6">
              <w:t>2</w:t>
            </w:r>
            <w:r w:rsidRPr="00117F3F">
              <w:rPr>
                <w:i/>
              </w:rPr>
              <w:t>n</w:t>
            </w:r>
            <w:r w:rsidRPr="00FD50F6">
              <w:rPr>
                <w:rFonts w:hint="eastAsia"/>
              </w:rPr>
              <w:t>股钢轨伸缩力</w:t>
            </w:r>
          </w:p>
          <w:p w14:paraId="3ADC862A" w14:textId="77777777" w:rsidR="0012415A" w:rsidRPr="00FD50F6" w:rsidRDefault="0012415A" w:rsidP="000831EC">
            <w:pPr>
              <w:pStyle w:val="7"/>
            </w:pPr>
            <w:r w:rsidRPr="00FD50F6">
              <w:rPr>
                <w:rFonts w:hint="eastAsia"/>
              </w:rPr>
              <w:t>②恒载＋</w:t>
            </w:r>
            <w:r w:rsidRPr="00FD50F6">
              <w:t>2</w:t>
            </w:r>
            <w:r w:rsidRPr="00117F3F">
              <w:rPr>
                <w:i/>
              </w:rPr>
              <w:t>n</w:t>
            </w:r>
            <w:r w:rsidRPr="00FD50F6">
              <w:rPr>
                <w:rFonts w:hint="eastAsia"/>
              </w:rPr>
              <w:t>股钢轨挠曲力</w:t>
            </w:r>
          </w:p>
          <w:p w14:paraId="3913DDD0" w14:textId="77777777" w:rsidR="0012415A" w:rsidRPr="00FD50F6" w:rsidRDefault="0012415A" w:rsidP="000831EC">
            <w:pPr>
              <w:pStyle w:val="7"/>
            </w:pPr>
            <w:r w:rsidRPr="00FD50F6">
              <w:rPr>
                <w:rFonts w:cs="宋体" w:hint="eastAsia"/>
              </w:rPr>
              <w:t>①</w:t>
            </w:r>
            <w:r w:rsidRPr="00FD50F6">
              <w:rPr>
                <w:rFonts w:hint="eastAsia"/>
              </w:rPr>
              <w:t>与②比较取较大值</w:t>
            </w:r>
          </w:p>
        </w:tc>
      </w:tr>
      <w:tr w:rsidR="00FD50F6" w:rsidRPr="00FD50F6" w14:paraId="7E83A13D" w14:textId="77777777" w:rsidTr="000831EC">
        <w:tc>
          <w:tcPr>
            <w:tcW w:w="802" w:type="dxa"/>
            <w:vMerge/>
            <w:vAlign w:val="center"/>
          </w:tcPr>
          <w:p w14:paraId="5F3AE6DE" w14:textId="77777777" w:rsidR="0012415A" w:rsidRPr="00FD50F6" w:rsidRDefault="0012415A" w:rsidP="000831EC">
            <w:pPr>
              <w:pStyle w:val="7"/>
            </w:pPr>
          </w:p>
        </w:tc>
        <w:tc>
          <w:tcPr>
            <w:tcW w:w="1654" w:type="dxa"/>
            <w:vAlign w:val="center"/>
          </w:tcPr>
          <w:p w14:paraId="71B7B015" w14:textId="77777777" w:rsidR="0012415A" w:rsidRPr="00FD50F6" w:rsidRDefault="0012415A" w:rsidP="000831EC">
            <w:pPr>
              <w:pStyle w:val="7"/>
            </w:pPr>
            <w:r w:rsidRPr="00FD50F6">
              <w:rPr>
                <w:rFonts w:hint="eastAsia"/>
              </w:rPr>
              <w:t>主力</w:t>
            </w:r>
            <w:r w:rsidRPr="00FD50F6">
              <w:rPr>
                <w:rFonts w:hint="eastAsia"/>
              </w:rPr>
              <w:t>+</w:t>
            </w:r>
            <w:r w:rsidRPr="00FD50F6">
              <w:rPr>
                <w:rFonts w:hint="eastAsia"/>
              </w:rPr>
              <w:t>纵向</w:t>
            </w:r>
          </w:p>
          <w:p w14:paraId="2EEB02E0" w14:textId="77777777" w:rsidR="0012415A" w:rsidRPr="00FD50F6" w:rsidRDefault="0012415A" w:rsidP="000831EC">
            <w:pPr>
              <w:pStyle w:val="7"/>
            </w:pPr>
            <w:r w:rsidRPr="00FD50F6">
              <w:rPr>
                <w:rFonts w:hint="eastAsia"/>
              </w:rPr>
              <w:t>附加力</w:t>
            </w:r>
          </w:p>
        </w:tc>
        <w:tc>
          <w:tcPr>
            <w:tcW w:w="1525" w:type="dxa"/>
            <w:vAlign w:val="center"/>
          </w:tcPr>
          <w:p w14:paraId="08DA1EEC" w14:textId="77777777" w:rsidR="0012415A" w:rsidRPr="00FD50F6" w:rsidRDefault="0012415A" w:rsidP="000831EC">
            <w:pPr>
              <w:pStyle w:val="7"/>
            </w:pPr>
            <w:r w:rsidRPr="00FD50F6">
              <w:rPr>
                <w:rFonts w:hint="eastAsia"/>
              </w:rPr>
              <w:t>两线有车</w:t>
            </w:r>
          </w:p>
        </w:tc>
        <w:tc>
          <w:tcPr>
            <w:tcW w:w="4295" w:type="dxa"/>
            <w:vAlign w:val="center"/>
          </w:tcPr>
          <w:p w14:paraId="32E10B84" w14:textId="77777777" w:rsidR="0012415A" w:rsidRPr="00FD50F6" w:rsidRDefault="0012415A" w:rsidP="000831EC">
            <w:pPr>
              <w:pStyle w:val="7"/>
            </w:pPr>
            <w:r w:rsidRPr="00FD50F6">
              <w:rPr>
                <w:rFonts w:hint="eastAsia"/>
              </w:rPr>
              <w:t>恒载＋两线活载＋两线列车制动力或牵引力＋其他线两股钢轨伸缩力</w:t>
            </w:r>
            <w:r w:rsidRPr="00FD50F6">
              <w:rPr>
                <w:rFonts w:hint="eastAsia"/>
              </w:rPr>
              <w:t>+</w:t>
            </w:r>
            <w:r w:rsidRPr="00FD50F6">
              <w:rPr>
                <w:rFonts w:hint="eastAsia"/>
              </w:rPr>
              <w:t>其他纵向附加力</w:t>
            </w:r>
          </w:p>
        </w:tc>
      </w:tr>
      <w:tr w:rsidR="00FD50F6" w:rsidRPr="00FD50F6" w14:paraId="29462D00" w14:textId="77777777" w:rsidTr="000831EC">
        <w:tc>
          <w:tcPr>
            <w:tcW w:w="802" w:type="dxa"/>
            <w:vMerge/>
            <w:tcBorders>
              <w:bottom w:val="single" w:sz="4" w:space="0" w:color="auto"/>
            </w:tcBorders>
            <w:vAlign w:val="center"/>
          </w:tcPr>
          <w:p w14:paraId="1ACD9CA5" w14:textId="77777777" w:rsidR="0012415A" w:rsidRPr="00FD50F6" w:rsidRDefault="0012415A" w:rsidP="000831EC">
            <w:pPr>
              <w:pStyle w:val="7"/>
            </w:pPr>
          </w:p>
        </w:tc>
        <w:tc>
          <w:tcPr>
            <w:tcW w:w="1654" w:type="dxa"/>
            <w:tcBorders>
              <w:bottom w:val="single" w:sz="4" w:space="0" w:color="auto"/>
            </w:tcBorders>
            <w:vAlign w:val="center"/>
          </w:tcPr>
          <w:p w14:paraId="5CFF269A" w14:textId="77777777" w:rsidR="0012415A" w:rsidRPr="00FD50F6" w:rsidRDefault="0012415A" w:rsidP="000831EC">
            <w:pPr>
              <w:pStyle w:val="7"/>
            </w:pPr>
            <w:r w:rsidRPr="00FD50F6">
              <w:rPr>
                <w:rFonts w:hint="eastAsia"/>
              </w:rPr>
              <w:t>主力</w:t>
            </w:r>
            <w:r w:rsidRPr="00FD50F6">
              <w:rPr>
                <w:rFonts w:hint="eastAsia"/>
              </w:rPr>
              <w:t>+</w:t>
            </w:r>
            <w:r w:rsidRPr="00FD50F6">
              <w:rPr>
                <w:rFonts w:hint="eastAsia"/>
              </w:rPr>
              <w:t>附加力</w:t>
            </w:r>
          </w:p>
          <w:p w14:paraId="4378D8C8" w14:textId="77777777" w:rsidR="0012415A" w:rsidRPr="00FD50F6" w:rsidRDefault="0012415A" w:rsidP="000831EC">
            <w:pPr>
              <w:pStyle w:val="7"/>
            </w:pPr>
            <w:r w:rsidRPr="00FD50F6">
              <w:rPr>
                <w:rFonts w:hint="eastAsia"/>
              </w:rPr>
              <w:t>+</w:t>
            </w:r>
            <w:r w:rsidRPr="00FD50F6">
              <w:rPr>
                <w:rFonts w:hint="eastAsia"/>
              </w:rPr>
              <w:t>特殊荷载</w:t>
            </w:r>
          </w:p>
        </w:tc>
        <w:tc>
          <w:tcPr>
            <w:tcW w:w="1525" w:type="dxa"/>
            <w:tcBorders>
              <w:bottom w:val="single" w:sz="4" w:space="0" w:color="auto"/>
            </w:tcBorders>
            <w:vAlign w:val="center"/>
          </w:tcPr>
          <w:p w14:paraId="0E214DA5" w14:textId="77777777" w:rsidR="0012415A" w:rsidRPr="00FD50F6" w:rsidRDefault="0012415A" w:rsidP="000831EC">
            <w:pPr>
              <w:pStyle w:val="7"/>
            </w:pPr>
            <w:r w:rsidRPr="00FD50F6">
              <w:rPr>
                <w:rFonts w:hint="eastAsia"/>
              </w:rPr>
              <w:t>两线有车</w:t>
            </w:r>
          </w:p>
        </w:tc>
        <w:tc>
          <w:tcPr>
            <w:tcW w:w="4295" w:type="dxa"/>
            <w:tcBorders>
              <w:bottom w:val="single" w:sz="4" w:space="0" w:color="auto"/>
            </w:tcBorders>
            <w:vAlign w:val="center"/>
          </w:tcPr>
          <w:p w14:paraId="2EAC7661" w14:textId="77777777" w:rsidR="0012415A" w:rsidRPr="00FD50F6" w:rsidRDefault="0012415A" w:rsidP="000831EC">
            <w:pPr>
              <w:pStyle w:val="7"/>
            </w:pPr>
            <w:r w:rsidRPr="00FD50F6">
              <w:rPr>
                <w:rFonts w:hint="eastAsia"/>
              </w:rPr>
              <w:t>恒载＋两线活载＋两线列车制动力或牵引力＋其他各线一股钢轨作用断轨力＋其余钢轨作用伸缩力</w:t>
            </w:r>
          </w:p>
        </w:tc>
      </w:tr>
      <w:tr w:rsidR="00FD50F6" w:rsidRPr="00FD50F6" w14:paraId="32FD0523" w14:textId="77777777" w:rsidTr="000831EC">
        <w:tc>
          <w:tcPr>
            <w:tcW w:w="8276" w:type="dxa"/>
            <w:gridSpan w:val="4"/>
            <w:tcBorders>
              <w:left w:val="nil"/>
              <w:bottom w:val="nil"/>
              <w:right w:val="nil"/>
            </w:tcBorders>
            <w:vAlign w:val="center"/>
          </w:tcPr>
          <w:p w14:paraId="1C3E8EE2" w14:textId="500D8ECE" w:rsidR="0012415A" w:rsidRPr="00FD50F6" w:rsidRDefault="0012415A" w:rsidP="000831EC">
            <w:pPr>
              <w:pStyle w:val="7"/>
              <w:jc w:val="left"/>
              <w:rPr>
                <w:rFonts w:ascii="宋体" w:hAnsi="宋体" w:cs="Times New Roman"/>
                <w:bCs w:val="0"/>
              </w:rPr>
            </w:pPr>
            <w:r w:rsidRPr="00FD50F6">
              <w:rPr>
                <w:rFonts w:ascii="宋体" w:hAnsi="宋体" w:cs="Times New Roman" w:hint="eastAsia"/>
                <w:bCs w:val="0"/>
              </w:rPr>
              <w:t>注：1</w:t>
            </w:r>
            <w:r w:rsidR="006A75E2">
              <w:rPr>
                <w:rFonts w:ascii="宋体" w:hAnsi="宋体" w:cs="Times New Roman" w:hint="eastAsia"/>
                <w:bCs w:val="0"/>
              </w:rPr>
              <w:t xml:space="preserve"> </w:t>
            </w:r>
            <w:r w:rsidRPr="00117F3F">
              <w:rPr>
                <w:rFonts w:ascii="宋体" w:hAnsi="宋体" w:cs="Times New Roman" w:hint="eastAsia"/>
                <w:bCs w:val="0"/>
                <w:i/>
              </w:rPr>
              <w:t>n</w:t>
            </w:r>
            <w:r w:rsidRPr="00FD50F6">
              <w:rPr>
                <w:rFonts w:ascii="宋体" w:hAnsi="宋体" w:cs="Times New Roman" w:hint="eastAsia"/>
                <w:bCs w:val="0"/>
              </w:rPr>
              <w:t>为桥上轨道数；</w:t>
            </w:r>
          </w:p>
          <w:p w14:paraId="26FC2AA7" w14:textId="332C4DED" w:rsidR="0012415A" w:rsidRPr="00FD50F6" w:rsidRDefault="0012415A" w:rsidP="00117F3F">
            <w:pPr>
              <w:pStyle w:val="7"/>
              <w:ind w:firstLineChars="200" w:firstLine="420"/>
              <w:jc w:val="left"/>
              <w:rPr>
                <w:rFonts w:ascii="宋体" w:hAnsi="宋体" w:cs="Times New Roman"/>
                <w:bCs w:val="0"/>
              </w:rPr>
            </w:pPr>
            <w:r w:rsidRPr="00FD50F6">
              <w:rPr>
                <w:rFonts w:ascii="宋体" w:hAnsi="宋体" w:cs="Times New Roman" w:hint="eastAsia"/>
                <w:bCs w:val="0"/>
              </w:rPr>
              <w:t>2</w:t>
            </w:r>
            <w:r w:rsidR="006A75E2">
              <w:rPr>
                <w:rFonts w:ascii="宋体" w:hAnsi="宋体" w:cs="Times New Roman" w:hint="eastAsia"/>
                <w:bCs w:val="0"/>
              </w:rPr>
              <w:t xml:space="preserve"> </w:t>
            </w:r>
            <w:r w:rsidRPr="00FD50F6">
              <w:rPr>
                <w:rFonts w:ascii="宋体" w:hAnsi="宋体" w:cs="Times New Roman" w:hint="eastAsia"/>
                <w:bCs w:val="0"/>
              </w:rPr>
              <w:t>纵向力作用点于应为墩台支座铰中心处，检算支座时应为支座顶中心；需要计算对梁的影响时应做专门研究。</w:t>
            </w:r>
          </w:p>
        </w:tc>
      </w:tr>
    </w:tbl>
    <w:p w14:paraId="2FBAD998" w14:textId="77777777" w:rsidR="0012415A" w:rsidRPr="00FD50F6" w:rsidRDefault="0012415A" w:rsidP="0012415A">
      <w:pPr>
        <w:pStyle w:val="9"/>
        <w:ind w:firstLine="480"/>
      </w:pPr>
    </w:p>
    <w:p w14:paraId="2E3A79CE" w14:textId="77777777" w:rsidR="0012415A" w:rsidRPr="00FD50F6" w:rsidRDefault="0012415A" w:rsidP="0012415A">
      <w:pPr>
        <w:pStyle w:val="30"/>
      </w:pPr>
      <w:r w:rsidRPr="00FD50F6">
        <w:rPr>
          <w:rFonts w:hint="eastAsia"/>
        </w:rPr>
        <w:t>风荷载应按现行行业标准《铁路桥涵设计规范》</w:t>
      </w:r>
      <w:r w:rsidRPr="00FD50F6">
        <w:t>TB 10002</w:t>
      </w:r>
      <w:r w:rsidRPr="00FD50F6">
        <w:rPr>
          <w:rFonts w:hint="eastAsia"/>
        </w:rPr>
        <w:t>的有关规定执行。</w:t>
      </w:r>
    </w:p>
    <w:p w14:paraId="145FA8A8" w14:textId="213CEC3F" w:rsidR="0012415A" w:rsidRPr="00FD50F6" w:rsidRDefault="0012415A" w:rsidP="0012415A">
      <w:pPr>
        <w:pStyle w:val="30"/>
      </w:pPr>
      <w:r w:rsidRPr="00FD50F6">
        <w:rPr>
          <w:rFonts w:hint="eastAsia"/>
        </w:rPr>
        <w:t>温度作用及混凝土收缩，可按现行行业标准《铁路桥涵设计规范》</w:t>
      </w:r>
      <w:r w:rsidRPr="00FD50F6">
        <w:t xml:space="preserve">TB </w:t>
      </w:r>
      <w:r w:rsidRPr="00FD50F6">
        <w:lastRenderedPageBreak/>
        <w:t>10002</w:t>
      </w:r>
      <w:r w:rsidRPr="00FD50F6">
        <w:rPr>
          <w:rFonts w:hint="eastAsia"/>
        </w:rPr>
        <w:t>和《铁路桥涵混凝土结构设计规范》</w:t>
      </w:r>
      <w:r w:rsidRPr="00FD50F6">
        <w:t>TB 10092</w:t>
      </w:r>
      <w:r w:rsidRPr="00FD50F6">
        <w:rPr>
          <w:rFonts w:hint="eastAsia"/>
        </w:rPr>
        <w:t>的有关规定执行。</w:t>
      </w:r>
    </w:p>
    <w:p w14:paraId="34D6002F" w14:textId="77777777" w:rsidR="0012415A" w:rsidRPr="00FD50F6" w:rsidRDefault="0012415A" w:rsidP="0012415A">
      <w:pPr>
        <w:pStyle w:val="30"/>
      </w:pPr>
      <w:r w:rsidRPr="00FD50F6">
        <w:rPr>
          <w:rFonts w:hint="eastAsia"/>
        </w:rPr>
        <w:t>混凝土徐变系数及徐变影响可按现行行业标准《公路钢筋混凝土及预应力混凝土桥涵设计规范》</w:t>
      </w:r>
      <w:r w:rsidRPr="00FD50F6">
        <w:t>JTG</w:t>
      </w:r>
      <w:r w:rsidRPr="00FD50F6">
        <w:rPr>
          <w:rFonts w:hint="eastAsia"/>
        </w:rPr>
        <w:t xml:space="preserve"> </w:t>
      </w:r>
      <w:r w:rsidRPr="00FD50F6">
        <w:t>3362</w:t>
      </w:r>
      <w:r w:rsidRPr="00FD50F6">
        <w:rPr>
          <w:rFonts w:hint="eastAsia"/>
        </w:rPr>
        <w:t>的规定执行。</w:t>
      </w:r>
    </w:p>
    <w:p w14:paraId="10D1EC09" w14:textId="77777777" w:rsidR="0012415A" w:rsidRPr="00FD50F6" w:rsidRDefault="0012415A" w:rsidP="0012415A">
      <w:pPr>
        <w:pStyle w:val="30"/>
      </w:pPr>
      <w:r w:rsidRPr="00FD50F6">
        <w:rPr>
          <w:rFonts w:hint="eastAsia"/>
        </w:rPr>
        <w:t>流水压力、静水压力及水浮力、船只或排筏的撞击力等应按现行《铁路桥涵设计规范》</w:t>
      </w:r>
      <w:r w:rsidRPr="00FD50F6">
        <w:t>TB10002</w:t>
      </w:r>
      <w:r w:rsidRPr="00FD50F6">
        <w:rPr>
          <w:rFonts w:hint="eastAsia"/>
        </w:rPr>
        <w:t>的规定执行。</w:t>
      </w:r>
    </w:p>
    <w:p w14:paraId="6058CA64" w14:textId="77777777" w:rsidR="0012415A" w:rsidRPr="00FD50F6" w:rsidRDefault="0012415A" w:rsidP="0012415A">
      <w:pPr>
        <w:pStyle w:val="30"/>
      </w:pPr>
      <w:r w:rsidRPr="00FD50F6">
        <w:rPr>
          <w:rFonts w:hint="eastAsia"/>
        </w:rPr>
        <w:t>桥墩有可能受汽车撞击时，应设防撞保护设施。当无法设置防护设施时，应计入汽车对桥墩的撞击力。撞击力顺行车方向可采用</w:t>
      </w:r>
      <w:r w:rsidRPr="00FD50F6">
        <w:t>1000kN</w:t>
      </w:r>
      <w:r w:rsidRPr="00FD50F6">
        <w:rPr>
          <w:rFonts w:hint="eastAsia"/>
        </w:rPr>
        <w:t>，横行车方向可采用</w:t>
      </w:r>
      <w:r w:rsidRPr="00FD50F6">
        <w:t>500kN</w:t>
      </w:r>
      <w:r w:rsidRPr="00FD50F6">
        <w:rPr>
          <w:rFonts w:hint="eastAsia"/>
        </w:rPr>
        <w:t>，作用在路面以上</w:t>
      </w:r>
      <w:r w:rsidRPr="00FD50F6">
        <w:t>1.20m</w:t>
      </w:r>
      <w:r w:rsidRPr="00FD50F6">
        <w:rPr>
          <w:rFonts w:hint="eastAsia"/>
        </w:rPr>
        <w:t>高度处。</w:t>
      </w:r>
    </w:p>
    <w:p w14:paraId="49595637" w14:textId="393FE2E9" w:rsidR="0012415A" w:rsidRPr="00FD50F6" w:rsidRDefault="0012415A" w:rsidP="0012415A">
      <w:pPr>
        <w:pStyle w:val="30"/>
      </w:pPr>
      <w:r w:rsidRPr="00FD50F6">
        <w:rPr>
          <w:rFonts w:hint="eastAsia"/>
        </w:rPr>
        <w:t>桥面人行道和疏散平台的竖向静活载应采用</w:t>
      </w:r>
      <w:r w:rsidRPr="00FD50F6">
        <w:t>4.0kN/m</w:t>
      </w:r>
      <w:r w:rsidRPr="001A4CF3">
        <w:rPr>
          <w:vertAlign w:val="superscript"/>
        </w:rPr>
        <w:t>2</w:t>
      </w:r>
      <w:r w:rsidRPr="00FD50F6">
        <w:rPr>
          <w:rFonts w:hint="eastAsia"/>
        </w:rPr>
        <w:t>，人行道板还应按竖向集中荷载</w:t>
      </w:r>
      <w:r w:rsidRPr="00FD50F6">
        <w:t>1.5kN</w:t>
      </w:r>
      <w:r w:rsidRPr="00FD50F6">
        <w:rPr>
          <w:rFonts w:hint="eastAsia"/>
        </w:rPr>
        <w:t>检算，主梁设计时此竖向静活载可不与列车荷载同时计算。</w:t>
      </w:r>
    </w:p>
    <w:p w14:paraId="034D4770" w14:textId="77777777" w:rsidR="0012415A" w:rsidRPr="00FD50F6" w:rsidRDefault="0012415A" w:rsidP="0012415A">
      <w:pPr>
        <w:pStyle w:val="30"/>
      </w:pPr>
      <w:r w:rsidRPr="00FD50F6">
        <w:rPr>
          <w:rFonts w:hint="eastAsia"/>
        </w:rPr>
        <w:t>桥梁挡板结构，除应计算其自重及风荷载外，还应计算</w:t>
      </w:r>
      <w:r w:rsidRPr="00FD50F6">
        <w:t>0.75kN/m</w:t>
      </w:r>
      <w:r w:rsidRPr="00FD50F6">
        <w:rPr>
          <w:rFonts w:hint="eastAsia"/>
        </w:rPr>
        <w:t>的水平推力和</w:t>
      </w:r>
      <w:r w:rsidRPr="00FD50F6">
        <w:t>0.36kN/m</w:t>
      </w:r>
      <w:r w:rsidRPr="00FD50F6">
        <w:rPr>
          <w:rFonts w:hint="eastAsia"/>
        </w:rPr>
        <w:t>的竖向压力，该项荷载作为附加力应与风力组合。水平推力作用在栏板顶位置处。</w:t>
      </w:r>
    </w:p>
    <w:p w14:paraId="46BA43CB" w14:textId="4D5D6F2D" w:rsidR="0012415A" w:rsidRPr="00FD50F6" w:rsidRDefault="0012415A" w:rsidP="0012415A">
      <w:pPr>
        <w:pStyle w:val="30"/>
      </w:pPr>
      <w:r w:rsidRPr="00FD50F6">
        <w:rPr>
          <w:rFonts w:hint="eastAsia"/>
        </w:rPr>
        <w:t>地震作用应按现行国家标准《城市轨道交通结构抗震设计规范》</w:t>
      </w:r>
      <w:r w:rsidRPr="00FD50F6">
        <w:t>GB 50909</w:t>
      </w:r>
      <w:r w:rsidRPr="00FD50F6">
        <w:rPr>
          <w:rFonts w:hint="eastAsia"/>
        </w:rPr>
        <w:t>的有关规定计算。</w:t>
      </w:r>
    </w:p>
    <w:p w14:paraId="72C78DC0" w14:textId="77777777" w:rsidR="0012415A" w:rsidRPr="00FD50F6" w:rsidRDefault="0012415A" w:rsidP="0012415A">
      <w:pPr>
        <w:pStyle w:val="30"/>
      </w:pPr>
      <w:r w:rsidRPr="00FD50F6">
        <w:rPr>
          <w:rFonts w:hint="eastAsia"/>
        </w:rPr>
        <w:t>桥梁结构应按不同施工阶段的施工荷载加以检算。</w:t>
      </w:r>
    </w:p>
    <w:p w14:paraId="6C95E8C5" w14:textId="77777777" w:rsidR="0012415A" w:rsidRPr="00FD50F6" w:rsidRDefault="0012415A" w:rsidP="0012415A">
      <w:pPr>
        <w:pStyle w:val="30"/>
      </w:pPr>
      <w:r w:rsidRPr="00FD50F6">
        <w:rPr>
          <w:rFonts w:hint="eastAsia"/>
        </w:rPr>
        <w:t>不设护轮轨或防脱轨装置的区间桥梁应计算列车脱轨荷载作用，可按下列情形进行结构强度和稳定性检算：</w:t>
      </w:r>
    </w:p>
    <w:p w14:paraId="4E0FCEAB" w14:textId="77777777" w:rsidR="0012415A" w:rsidRPr="00FD50F6" w:rsidRDefault="0012415A" w:rsidP="00A926BD">
      <w:pPr>
        <w:pStyle w:val="4"/>
      </w:pPr>
      <w:r w:rsidRPr="00FD50F6">
        <w:rPr>
          <w:rFonts w:hint="eastAsia"/>
        </w:rPr>
        <w:t>车辆集中力直接作用于线路中线两侧</w:t>
      </w:r>
      <w:r w:rsidRPr="00FD50F6">
        <w:t>2.1m</w:t>
      </w:r>
      <w:r w:rsidRPr="00FD50F6">
        <w:rPr>
          <w:rFonts w:hint="eastAsia"/>
        </w:rPr>
        <w:t>以内的桥面板最不利位置处，应检算桥面板强度。检算时，集中力值为本线列车实际轴重的</w:t>
      </w:r>
      <w:r w:rsidRPr="00FD50F6">
        <w:t>1/2</w:t>
      </w:r>
      <w:r w:rsidRPr="00FD50F6">
        <w:rPr>
          <w:rFonts w:hint="eastAsia"/>
        </w:rPr>
        <w:t>，不计列车动力系数，应力提高系数宜采用</w:t>
      </w:r>
      <w:r w:rsidRPr="00FD50F6">
        <w:t>1.4</w:t>
      </w:r>
      <w:r w:rsidRPr="00FD50F6">
        <w:rPr>
          <w:rFonts w:hint="eastAsia"/>
        </w:rPr>
        <w:t>。</w:t>
      </w:r>
    </w:p>
    <w:p w14:paraId="4F784EC3" w14:textId="77777777" w:rsidR="0012415A" w:rsidRPr="00FD50F6" w:rsidRDefault="0012415A" w:rsidP="00A926BD">
      <w:pPr>
        <w:pStyle w:val="4"/>
      </w:pPr>
      <w:r w:rsidRPr="00FD50F6">
        <w:rPr>
          <w:rFonts w:hint="eastAsia"/>
        </w:rPr>
        <w:t>列车位于轨道外侧但未坠落桥下时，应检算结构的横向稳定性。检算时，可采用长度为</w:t>
      </w:r>
      <w:r w:rsidRPr="00FD50F6">
        <w:t>20m</w:t>
      </w:r>
      <w:r w:rsidRPr="00FD50F6">
        <w:rPr>
          <w:rFonts w:hint="eastAsia"/>
        </w:rPr>
        <w:t>、位于线路中线外侧</w:t>
      </w:r>
      <w:r w:rsidRPr="00FD50F6">
        <w:t>1.4m</w:t>
      </w:r>
      <w:r w:rsidRPr="00FD50F6">
        <w:rPr>
          <w:rFonts w:hint="eastAsia"/>
        </w:rPr>
        <w:t>、平行于线路的线荷载，其值应为本线列车一节车轴重之和除以</w:t>
      </w:r>
      <w:r w:rsidRPr="00FD50F6">
        <w:t>20m</w:t>
      </w:r>
      <w:r w:rsidRPr="00FD50F6">
        <w:rPr>
          <w:rFonts w:hint="eastAsia"/>
        </w:rPr>
        <w:t>，不应计列车动力系数、离心力和另一线竖向荷载。倾覆稳定系数不得小于</w:t>
      </w:r>
      <w:r w:rsidRPr="00FD50F6">
        <w:t>1.3</w:t>
      </w:r>
      <w:r w:rsidRPr="00FD50F6">
        <w:rPr>
          <w:rFonts w:hint="eastAsia"/>
        </w:rPr>
        <w:t>。</w:t>
      </w:r>
    </w:p>
    <w:p w14:paraId="5572641B" w14:textId="147EEC50" w:rsidR="0012415A" w:rsidRPr="00FD50F6" w:rsidRDefault="0012415A" w:rsidP="0012415A">
      <w:pPr>
        <w:pStyle w:val="30"/>
      </w:pPr>
      <w:r w:rsidRPr="00FD50F6">
        <w:rPr>
          <w:rFonts w:hint="eastAsia"/>
        </w:rPr>
        <w:t>高架车站主体结构的荷载取值及荷载组合应满足现行国家标准《建筑结构荷载规范》</w:t>
      </w:r>
      <w:r w:rsidRPr="00FD50F6">
        <w:t>GB 50009</w:t>
      </w:r>
      <w:r w:rsidRPr="00FD50F6">
        <w:rPr>
          <w:rFonts w:hint="eastAsia"/>
        </w:rPr>
        <w:t>的要求，并应满足区间高架结构相关规范的要求。</w:t>
      </w:r>
    </w:p>
    <w:p w14:paraId="207754C6" w14:textId="77777777" w:rsidR="0012415A" w:rsidRPr="00FD50F6" w:rsidRDefault="0012415A" w:rsidP="0012415A">
      <w:pPr>
        <w:pStyle w:val="30"/>
      </w:pPr>
      <w:r w:rsidRPr="00FD50F6">
        <w:rPr>
          <w:rFonts w:hint="eastAsia"/>
        </w:rPr>
        <w:t>高架车站站台板活荷载标准值为</w:t>
      </w:r>
      <w:r w:rsidRPr="00FD50F6">
        <w:t>4.0kN/m</w:t>
      </w:r>
      <w:r w:rsidRPr="00FD50F6">
        <w:rPr>
          <w:vertAlign w:val="superscript"/>
        </w:rPr>
        <w:t>2</w:t>
      </w:r>
      <w:r w:rsidRPr="00FD50F6">
        <w:rPr>
          <w:rFonts w:hint="eastAsia"/>
        </w:rPr>
        <w:t>；楼梯活荷载标准值为</w:t>
      </w:r>
      <w:r w:rsidRPr="00FD50F6">
        <w:t>5.0kN/m</w:t>
      </w:r>
      <w:r w:rsidRPr="00FD50F6">
        <w:rPr>
          <w:vertAlign w:val="superscript"/>
        </w:rPr>
        <w:t>2</w:t>
      </w:r>
      <w:r w:rsidRPr="00FD50F6">
        <w:rPr>
          <w:rFonts w:hint="eastAsia"/>
        </w:rPr>
        <w:t>；设备用房及设备运输通道应按实际使用荷载取值，且不应小于</w:t>
      </w:r>
      <w:r w:rsidRPr="00FD50F6">
        <w:t>8kN/m</w:t>
      </w:r>
      <w:r w:rsidRPr="00FD50F6">
        <w:rPr>
          <w:vertAlign w:val="superscript"/>
        </w:rPr>
        <w:t>2</w:t>
      </w:r>
      <w:r w:rsidRPr="00FD50F6">
        <w:rPr>
          <w:rFonts w:hint="eastAsia"/>
        </w:rPr>
        <w:t>。</w:t>
      </w:r>
    </w:p>
    <w:p w14:paraId="1CFBF82A" w14:textId="000DD9ED" w:rsidR="0012415A" w:rsidRPr="00FD50F6" w:rsidRDefault="0012415A" w:rsidP="0012415A">
      <w:pPr>
        <w:pStyle w:val="30"/>
      </w:pPr>
      <w:r w:rsidRPr="00FD50F6">
        <w:rPr>
          <w:rFonts w:hint="eastAsia"/>
        </w:rPr>
        <w:lastRenderedPageBreak/>
        <w:t>高架车站连接地面的出入口天桥，荷载取值宜按现行行业标准《城市人行天桥与人行地道技术规范》</w:t>
      </w:r>
      <w:r w:rsidRPr="00FD50F6">
        <w:t>CJJ 69</w:t>
      </w:r>
      <w:r w:rsidRPr="00FD50F6">
        <w:rPr>
          <w:rFonts w:hint="eastAsia"/>
        </w:rPr>
        <w:t>的规定执行。</w:t>
      </w:r>
    </w:p>
    <w:p w14:paraId="096C1AA2" w14:textId="77777777" w:rsidR="0012415A" w:rsidRPr="00FD50F6" w:rsidRDefault="0012415A" w:rsidP="0012415A">
      <w:pPr>
        <w:pStyle w:val="30"/>
        <w:rPr>
          <w:lang w:bidi="en-US"/>
        </w:rPr>
      </w:pPr>
      <w:r w:rsidRPr="00FD50F6">
        <w:rPr>
          <w:rFonts w:hint="eastAsia"/>
        </w:rPr>
        <w:t>高架车站施工及设备安装中应根据具体情况，验算施工安装荷载对结构的影响。</w:t>
      </w:r>
    </w:p>
    <w:p w14:paraId="1346753F" w14:textId="77777777" w:rsidR="0012415A" w:rsidRPr="00FD50F6" w:rsidRDefault="0012415A" w:rsidP="00A65181">
      <w:pPr>
        <w:pStyle w:val="2"/>
      </w:pPr>
      <w:bookmarkStart w:id="441" w:name="_Toc112830712"/>
      <w:r w:rsidRPr="00FD50F6">
        <w:rPr>
          <w:rFonts w:hint="eastAsia"/>
        </w:rPr>
        <w:t>结构变形、变位的限值</w:t>
      </w:r>
      <w:bookmarkEnd w:id="441"/>
    </w:p>
    <w:p w14:paraId="110CB4CD" w14:textId="77777777" w:rsidR="0012415A" w:rsidRPr="00FD50F6" w:rsidRDefault="0012415A" w:rsidP="0012415A">
      <w:pPr>
        <w:pStyle w:val="30"/>
      </w:pPr>
      <w:r w:rsidRPr="00FD50F6">
        <w:rPr>
          <w:rFonts w:hint="eastAsia"/>
        </w:rPr>
        <w:t>跨度</w:t>
      </w:r>
      <w:r w:rsidRPr="00FD50F6">
        <w:t>12</w:t>
      </w:r>
      <w:r w:rsidRPr="00FD50F6">
        <w:rPr>
          <w:rFonts w:hint="eastAsia"/>
        </w:rPr>
        <w:t>8</w:t>
      </w:r>
      <w:r w:rsidRPr="00FD50F6">
        <w:t>m</w:t>
      </w:r>
      <w:r w:rsidRPr="00FD50F6">
        <w:rPr>
          <w:rFonts w:hint="eastAsia"/>
        </w:rPr>
        <w:t>及以下混凝土桥梁、</w:t>
      </w:r>
      <w:r w:rsidRPr="00FD50F6">
        <w:rPr>
          <w:rFonts w:hint="eastAsia"/>
        </w:rPr>
        <w:t>80m</w:t>
      </w:r>
      <w:r w:rsidRPr="00FD50F6">
        <w:rPr>
          <w:rFonts w:hint="eastAsia"/>
        </w:rPr>
        <w:t>及以下钢梁（钢混结合梁）的梁部及墩台刚度限值应按本节规定设计。</w:t>
      </w:r>
    </w:p>
    <w:p w14:paraId="2F80D7D1" w14:textId="77777777" w:rsidR="0012415A" w:rsidRPr="00FD50F6" w:rsidRDefault="0012415A" w:rsidP="0012415A">
      <w:pPr>
        <w:pStyle w:val="30"/>
      </w:pPr>
      <w:r w:rsidRPr="00FD50F6">
        <w:rPr>
          <w:rFonts w:hint="eastAsia"/>
        </w:rPr>
        <w:t>梁体竖向变形限值应符合下列规定：</w:t>
      </w:r>
    </w:p>
    <w:p w14:paraId="7CE4415E" w14:textId="2E6E0695" w:rsidR="0012415A" w:rsidRPr="00FD50F6" w:rsidRDefault="0012415A" w:rsidP="00A926BD">
      <w:pPr>
        <w:pStyle w:val="4"/>
      </w:pPr>
      <w:r w:rsidRPr="00FD50F6">
        <w:rPr>
          <w:rFonts w:hint="eastAsia"/>
        </w:rPr>
        <w:t>在列车静活载作用下，梁体竖向挠度不应大于表</w:t>
      </w:r>
      <w:r w:rsidR="00A0175C" w:rsidRPr="00FD50F6">
        <w:t>11</w:t>
      </w:r>
      <w:r w:rsidRPr="00FD50F6">
        <w:t>.3.</w:t>
      </w:r>
      <w:r w:rsidRPr="00FD50F6">
        <w:rPr>
          <w:rFonts w:hint="eastAsia"/>
        </w:rPr>
        <w:t>2</w:t>
      </w:r>
      <w:r w:rsidRPr="00FD50F6">
        <w:rPr>
          <w:rFonts w:hint="eastAsia"/>
        </w:rPr>
        <w:t>的限值要求。</w:t>
      </w:r>
    </w:p>
    <w:p w14:paraId="5BACA82F" w14:textId="4DFF3F6C" w:rsidR="0012415A" w:rsidRPr="00FD50F6" w:rsidRDefault="0012415A" w:rsidP="0012415A">
      <w:pPr>
        <w:pStyle w:val="6"/>
      </w:pPr>
      <w:r w:rsidRPr="00FD50F6">
        <w:rPr>
          <w:rFonts w:hint="eastAsia"/>
        </w:rPr>
        <w:t>表</w:t>
      </w:r>
      <w:r w:rsidR="00A0175C" w:rsidRPr="00FD50F6">
        <w:t>11</w:t>
      </w:r>
      <w:r w:rsidRPr="00FD50F6">
        <w:t>.3.</w:t>
      </w:r>
      <w:r w:rsidRPr="00FD50F6">
        <w:rPr>
          <w:rFonts w:hint="eastAsia"/>
        </w:rPr>
        <w:t>2</w:t>
      </w:r>
      <w:r w:rsidRPr="00FD50F6">
        <w:rPr>
          <w:rFonts w:hint="eastAsia"/>
        </w:rPr>
        <w:t>梁体竖向挠度的限值</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6"/>
        <w:gridCol w:w="4176"/>
      </w:tblGrid>
      <w:tr w:rsidR="00FD50F6" w:rsidRPr="00FD50F6" w14:paraId="08FB31EE" w14:textId="77777777" w:rsidTr="000831EC">
        <w:trPr>
          <w:trHeight w:val="500"/>
          <w:jc w:val="center"/>
        </w:trPr>
        <w:tc>
          <w:tcPr>
            <w:tcW w:w="4096" w:type="dxa"/>
            <w:vAlign w:val="center"/>
          </w:tcPr>
          <w:p w14:paraId="09BD08CA" w14:textId="77777777" w:rsidR="0012415A" w:rsidRPr="00FD50F6" w:rsidRDefault="0012415A" w:rsidP="000831EC">
            <w:pPr>
              <w:pStyle w:val="7"/>
            </w:pPr>
            <w:r w:rsidRPr="00FD50F6">
              <w:rPr>
                <w:rFonts w:hint="eastAsia"/>
              </w:rPr>
              <w:t>跨度</w:t>
            </w:r>
            <w:r w:rsidRPr="001A4CF3">
              <w:rPr>
                <w:i/>
              </w:rPr>
              <w:t>L</w:t>
            </w:r>
            <w:r w:rsidRPr="00FD50F6">
              <w:t>(m)</w:t>
            </w:r>
          </w:p>
        </w:tc>
        <w:tc>
          <w:tcPr>
            <w:tcW w:w="4176" w:type="dxa"/>
            <w:vAlign w:val="center"/>
          </w:tcPr>
          <w:p w14:paraId="3406EE92" w14:textId="77777777" w:rsidR="0012415A" w:rsidRPr="00FD50F6" w:rsidRDefault="0012415A" w:rsidP="000831EC">
            <w:pPr>
              <w:pStyle w:val="7"/>
            </w:pPr>
            <w:r w:rsidRPr="00FD50F6">
              <w:rPr>
                <w:rFonts w:hint="eastAsia"/>
              </w:rPr>
              <w:t>竖向挠度的限值</w:t>
            </w:r>
          </w:p>
        </w:tc>
      </w:tr>
      <w:tr w:rsidR="00FD50F6" w:rsidRPr="00FD50F6" w14:paraId="44E45AD5" w14:textId="77777777" w:rsidTr="000831EC">
        <w:trPr>
          <w:trHeight w:val="500"/>
          <w:jc w:val="center"/>
        </w:trPr>
        <w:tc>
          <w:tcPr>
            <w:tcW w:w="4096" w:type="dxa"/>
            <w:vAlign w:val="center"/>
          </w:tcPr>
          <w:p w14:paraId="27B7379A" w14:textId="097F5149" w:rsidR="0012415A" w:rsidRPr="00FD50F6" w:rsidRDefault="00CE0DA1" w:rsidP="000831EC">
            <w:pPr>
              <w:pStyle w:val="7"/>
            </w:pPr>
            <w:r w:rsidRPr="001A4CF3">
              <w:rPr>
                <w:i/>
              </w:rPr>
              <w:t>L</w:t>
            </w:r>
            <w:r w:rsidR="0012415A" w:rsidRPr="00FD50F6">
              <w:t>≤40m</w:t>
            </w:r>
          </w:p>
        </w:tc>
        <w:tc>
          <w:tcPr>
            <w:tcW w:w="4176" w:type="dxa"/>
            <w:vAlign w:val="center"/>
          </w:tcPr>
          <w:p w14:paraId="3ADCD501" w14:textId="77777777" w:rsidR="0012415A" w:rsidRPr="00FD50F6" w:rsidRDefault="00F23B1A" w:rsidP="000831EC">
            <w:pPr>
              <w:pStyle w:val="7"/>
            </w:pPr>
            <w:r w:rsidRPr="00FD50F6">
              <w:rPr>
                <w:noProof/>
              </w:rPr>
              <w:object w:dxaOrig="699" w:dyaOrig="260" w14:anchorId="540C2B76">
                <v:shape id="_x0000_i1038" type="#_x0000_t75" alt="" style="width:35.45pt;height:14.2pt;mso-width-percent:0;mso-height-percent:0;mso-width-percent:0;mso-height-percent:0" o:ole="">
                  <v:imagedata r:id="rId39" o:title=""/>
                </v:shape>
                <o:OLEObject Type="Embed" ProgID="Equation.DSMT4" ShapeID="_x0000_i1038" DrawAspect="Content" ObjectID="_1731840755" r:id="rId40"/>
              </w:object>
            </w:r>
          </w:p>
        </w:tc>
      </w:tr>
      <w:tr w:rsidR="00FD50F6" w:rsidRPr="00FD50F6" w14:paraId="10192062" w14:textId="77777777" w:rsidTr="000831EC">
        <w:trPr>
          <w:trHeight w:val="500"/>
          <w:jc w:val="center"/>
        </w:trPr>
        <w:tc>
          <w:tcPr>
            <w:tcW w:w="4096" w:type="dxa"/>
            <w:vAlign w:val="center"/>
          </w:tcPr>
          <w:p w14:paraId="077D848F" w14:textId="77777777" w:rsidR="0012415A" w:rsidRPr="00FD50F6" w:rsidRDefault="0012415A" w:rsidP="000831EC">
            <w:pPr>
              <w:pStyle w:val="7"/>
            </w:pPr>
            <w:r w:rsidRPr="00FD50F6">
              <w:rPr>
                <w:rFonts w:hint="eastAsia"/>
              </w:rPr>
              <w:t>40m</w:t>
            </w:r>
            <w:r w:rsidRPr="00FD50F6">
              <w:rPr>
                <w:rFonts w:hint="eastAsia"/>
              </w:rPr>
              <w:t>＜</w:t>
            </w:r>
            <w:r w:rsidR="00F23B1A" w:rsidRPr="00FD50F6">
              <w:rPr>
                <w:noProof/>
              </w:rPr>
              <w:object w:dxaOrig="200" w:dyaOrig="220" w14:anchorId="431587DE">
                <v:shape id="_x0000_i1039" type="#_x0000_t75" alt="" style="width:8.2pt;height:8.2pt;mso-width-percent:0;mso-height-percent:0;mso-width-percent:0;mso-height-percent:0" o:ole="">
                  <v:imagedata r:id="rId41" o:title=""/>
                </v:shape>
                <o:OLEObject Type="Embed" ProgID="Equation.DSMT4" ShapeID="_x0000_i1039" DrawAspect="Content" ObjectID="_1731840756" r:id="rId42"/>
              </w:object>
            </w:r>
            <w:r w:rsidRPr="00FD50F6">
              <w:t>≤80m</w:t>
            </w:r>
          </w:p>
        </w:tc>
        <w:tc>
          <w:tcPr>
            <w:tcW w:w="4176" w:type="dxa"/>
            <w:vAlign w:val="center"/>
          </w:tcPr>
          <w:p w14:paraId="755319FE" w14:textId="77777777" w:rsidR="0012415A" w:rsidRPr="00FD50F6" w:rsidRDefault="00F23B1A" w:rsidP="000831EC">
            <w:pPr>
              <w:pStyle w:val="7"/>
            </w:pPr>
            <w:r w:rsidRPr="00FD50F6">
              <w:rPr>
                <w:noProof/>
              </w:rPr>
              <w:object w:dxaOrig="699" w:dyaOrig="260" w14:anchorId="20D8E558">
                <v:shape id="_x0000_i1040" type="#_x0000_t75" alt="" style="width:35.45pt;height:14.2pt;mso-width-percent:0;mso-height-percent:0;mso-width-percent:0;mso-height-percent:0" o:ole="">
                  <v:imagedata r:id="rId43" o:title=""/>
                </v:shape>
                <o:OLEObject Type="Embed" ProgID="Equation.DSMT4" ShapeID="_x0000_i1040" DrawAspect="Content" ObjectID="_1731840757" r:id="rId44"/>
              </w:object>
            </w:r>
          </w:p>
        </w:tc>
      </w:tr>
      <w:tr w:rsidR="00FD50F6" w:rsidRPr="00FD50F6" w14:paraId="75816315" w14:textId="77777777" w:rsidTr="000831EC">
        <w:trPr>
          <w:trHeight w:val="500"/>
          <w:jc w:val="center"/>
        </w:trPr>
        <w:tc>
          <w:tcPr>
            <w:tcW w:w="4096" w:type="dxa"/>
            <w:tcBorders>
              <w:bottom w:val="single" w:sz="4" w:space="0" w:color="auto"/>
            </w:tcBorders>
            <w:vAlign w:val="center"/>
          </w:tcPr>
          <w:p w14:paraId="2EFC13DD" w14:textId="77777777" w:rsidR="0012415A" w:rsidRPr="00FD50F6" w:rsidRDefault="0012415A" w:rsidP="000831EC">
            <w:pPr>
              <w:pStyle w:val="7"/>
            </w:pPr>
            <w:r w:rsidRPr="001A4CF3">
              <w:rPr>
                <w:i/>
              </w:rPr>
              <w:t>L</w:t>
            </w:r>
            <w:r w:rsidRPr="00FD50F6">
              <w:rPr>
                <w:rFonts w:hint="eastAsia"/>
              </w:rPr>
              <w:t>＞</w:t>
            </w:r>
            <w:r w:rsidRPr="00FD50F6">
              <w:t>80</w:t>
            </w:r>
          </w:p>
        </w:tc>
        <w:tc>
          <w:tcPr>
            <w:tcW w:w="4176" w:type="dxa"/>
            <w:tcBorders>
              <w:bottom w:val="single" w:sz="4" w:space="0" w:color="auto"/>
            </w:tcBorders>
            <w:vAlign w:val="center"/>
          </w:tcPr>
          <w:p w14:paraId="1792CAF9" w14:textId="77777777" w:rsidR="0012415A" w:rsidRPr="00FD50F6" w:rsidRDefault="00F23B1A" w:rsidP="000831EC">
            <w:pPr>
              <w:pStyle w:val="7"/>
            </w:pPr>
            <w:r w:rsidRPr="00FD50F6">
              <w:rPr>
                <w:noProof/>
              </w:rPr>
              <w:object w:dxaOrig="699" w:dyaOrig="260" w14:anchorId="53177ED8">
                <v:shape id="_x0000_i1041" type="#_x0000_t75" alt="" style="width:35.45pt;height:14.2pt;mso-width-percent:0;mso-height-percent:0;mso-width-percent:0;mso-height-percent:0" o:ole="">
                  <v:imagedata r:id="rId45" o:title=""/>
                </v:shape>
                <o:OLEObject Type="Embed" ProgID="Equation.DSMT4" ShapeID="_x0000_i1041" DrawAspect="Content" ObjectID="_1731840758" r:id="rId46"/>
              </w:object>
            </w:r>
          </w:p>
        </w:tc>
      </w:tr>
      <w:tr w:rsidR="00FD50F6" w:rsidRPr="00FD50F6" w14:paraId="539032A8" w14:textId="77777777" w:rsidTr="000831EC">
        <w:trPr>
          <w:trHeight w:val="500"/>
          <w:jc w:val="center"/>
        </w:trPr>
        <w:tc>
          <w:tcPr>
            <w:tcW w:w="8272" w:type="dxa"/>
            <w:gridSpan w:val="2"/>
            <w:tcBorders>
              <w:left w:val="nil"/>
              <w:bottom w:val="nil"/>
              <w:right w:val="nil"/>
            </w:tcBorders>
            <w:vAlign w:val="center"/>
          </w:tcPr>
          <w:p w14:paraId="740009A3" w14:textId="0D5818A2" w:rsidR="0012415A" w:rsidRPr="00FD50F6" w:rsidRDefault="0012415A" w:rsidP="00117F3F">
            <w:pPr>
              <w:pStyle w:val="7"/>
              <w:ind w:left="630" w:hangingChars="300" w:hanging="630"/>
              <w:jc w:val="left"/>
              <w:rPr>
                <w:rFonts w:ascii="宋体" w:hAnsi="宋体" w:cs="Times New Roman"/>
                <w:bCs w:val="0"/>
              </w:rPr>
            </w:pPr>
            <w:r w:rsidRPr="00FD50F6">
              <w:rPr>
                <w:rFonts w:ascii="宋体" w:hAnsi="宋体" w:cs="Times New Roman"/>
                <w:bCs w:val="0"/>
              </w:rPr>
              <w:t>注：1</w:t>
            </w:r>
            <w:r w:rsidR="00071866">
              <w:rPr>
                <w:rFonts w:ascii="宋体" w:hAnsi="宋体" w:cs="Times New Roman" w:hint="eastAsia"/>
                <w:bCs w:val="0"/>
              </w:rPr>
              <w:t xml:space="preserve"> </w:t>
            </w:r>
            <w:r w:rsidRPr="00FD50F6">
              <w:rPr>
                <w:rFonts w:ascii="宋体" w:hAnsi="宋体" w:cs="Times New Roman"/>
                <w:bCs w:val="0"/>
              </w:rPr>
              <w:t>表中限值适用于3跨及以上的双线简支梁；对于3跨及以上一联的连续梁，梁体竖向挠度限值应按表中数值的1.1倍取用；对于2跨一联的连续梁、2跨及以下的双线简支梁，梁体竖向挠度限值应按表中数值的1.4倍取用</w:t>
            </w:r>
            <w:r w:rsidRPr="00FD50F6">
              <w:rPr>
                <w:rFonts w:ascii="宋体" w:hAnsi="宋体" w:cs="Times New Roman" w:hint="eastAsia"/>
                <w:bCs w:val="0"/>
              </w:rPr>
              <w:t>；</w:t>
            </w:r>
            <w:r w:rsidRPr="00FD50F6">
              <w:rPr>
                <w:rFonts w:ascii="宋体" w:hAnsi="宋体" w:cs="Times New Roman"/>
                <w:bCs w:val="0"/>
              </w:rPr>
              <w:t>对于单线简支或连续梁，梁体竖向挠度限值应按相应双线桥限值的0.6倍取用</w:t>
            </w:r>
            <w:r w:rsidRPr="00FD50F6">
              <w:rPr>
                <w:rFonts w:ascii="宋体" w:hAnsi="宋体" w:cs="Times New Roman" w:hint="eastAsia"/>
                <w:bCs w:val="0"/>
              </w:rPr>
              <w:t>；</w:t>
            </w:r>
          </w:p>
          <w:p w14:paraId="407E97BE" w14:textId="6130AA8E" w:rsidR="0012415A" w:rsidRPr="00FD50F6" w:rsidRDefault="0012415A" w:rsidP="00117F3F">
            <w:pPr>
              <w:pStyle w:val="7"/>
              <w:ind w:firstLineChars="200" w:firstLine="420"/>
              <w:jc w:val="left"/>
              <w:rPr>
                <w:rFonts w:ascii="宋体" w:hAnsi="宋体" w:cs="Times New Roman"/>
                <w:b/>
              </w:rPr>
            </w:pPr>
            <w:r w:rsidRPr="00FD50F6">
              <w:rPr>
                <w:rFonts w:ascii="宋体" w:hAnsi="宋体" w:cs="Times New Roman" w:hint="eastAsia"/>
                <w:bCs w:val="0"/>
              </w:rPr>
              <w:t>2</w:t>
            </w:r>
            <w:r w:rsidR="00071866">
              <w:rPr>
                <w:rFonts w:ascii="宋体" w:hAnsi="宋体" w:cs="Times New Roman" w:hint="eastAsia"/>
                <w:bCs w:val="0"/>
              </w:rPr>
              <w:t xml:space="preserve"> </w:t>
            </w:r>
            <w:r w:rsidRPr="00FD50F6">
              <w:rPr>
                <w:rFonts w:ascii="宋体" w:hAnsi="宋体" w:cs="Times New Roman" w:hint="eastAsia"/>
                <w:bCs w:val="0"/>
              </w:rPr>
              <w:t>表中的</w:t>
            </w:r>
            <w:r w:rsidR="00CE0DA1" w:rsidRPr="001A4CF3">
              <w:rPr>
                <w:i/>
              </w:rPr>
              <w:t>L</w:t>
            </w:r>
            <w:r w:rsidRPr="00FD50F6">
              <w:rPr>
                <w:rFonts w:ascii="宋体" w:hAnsi="宋体" w:cs="Times New Roman" w:hint="eastAsia"/>
                <w:bCs w:val="0"/>
              </w:rPr>
              <w:t>为</w:t>
            </w:r>
            <w:r w:rsidRPr="00FD50F6">
              <w:rPr>
                <w:rFonts w:ascii="宋体" w:hAnsi="宋体" w:cs="Times New Roman"/>
                <w:bCs w:val="0"/>
              </w:rPr>
              <w:t>简支梁或连续</w:t>
            </w:r>
            <w:r w:rsidRPr="00FD50F6">
              <w:rPr>
                <w:rFonts w:ascii="宋体" w:hAnsi="宋体" w:cs="Times New Roman" w:hint="eastAsia"/>
                <w:bCs w:val="0"/>
              </w:rPr>
              <w:t>梁检算</w:t>
            </w:r>
            <w:r w:rsidRPr="00FD50F6">
              <w:rPr>
                <w:rFonts w:ascii="宋体" w:hAnsi="宋体" w:cs="Times New Roman"/>
                <w:bCs w:val="0"/>
              </w:rPr>
              <w:t>跨的跨度。</w:t>
            </w:r>
          </w:p>
        </w:tc>
      </w:tr>
    </w:tbl>
    <w:p w14:paraId="5DF440AE" w14:textId="43D912E5" w:rsidR="0012415A" w:rsidRPr="00FD50F6" w:rsidRDefault="0012415A" w:rsidP="00A926BD">
      <w:pPr>
        <w:pStyle w:val="4"/>
      </w:pPr>
      <w:r w:rsidRPr="00FD50F6">
        <w:rPr>
          <w:rFonts w:hint="eastAsia"/>
        </w:rPr>
        <w:t>拱桥、刚架及连续梁桥等超静定结构的竖向挠度应计入温度的影响。竖向挠度应按下列最不利情况取值，并应满足表</w:t>
      </w:r>
      <w:r w:rsidR="00A0175C" w:rsidRPr="00FD50F6">
        <w:t>11</w:t>
      </w:r>
      <w:r w:rsidRPr="00FD50F6">
        <w:t>.3.</w:t>
      </w:r>
      <w:r w:rsidRPr="00FD50F6">
        <w:rPr>
          <w:rFonts w:hint="eastAsia"/>
        </w:rPr>
        <w:t>2</w:t>
      </w:r>
      <w:r w:rsidRPr="00FD50F6">
        <w:rPr>
          <w:rFonts w:hint="eastAsia"/>
        </w:rPr>
        <w:t>所列限值要求：</w:t>
      </w:r>
    </w:p>
    <w:p w14:paraId="7E623164" w14:textId="77777777" w:rsidR="0012415A" w:rsidRPr="00FD50F6" w:rsidRDefault="0012415A" w:rsidP="0012415A">
      <w:pPr>
        <w:pStyle w:val="5"/>
        <w:ind w:firstLine="480"/>
      </w:pPr>
      <w:r w:rsidRPr="00FD50F6">
        <w:rPr>
          <w:rFonts w:hint="eastAsia"/>
        </w:rPr>
        <w:t>列车竖向静活载作用下产生的挠度值与</w:t>
      </w:r>
      <w:r w:rsidRPr="00FD50F6">
        <w:t>0.5</w:t>
      </w:r>
      <w:r w:rsidRPr="00FD50F6">
        <w:rPr>
          <w:rFonts w:hint="eastAsia"/>
        </w:rPr>
        <w:t>倍温度引起的挠度值之和；</w:t>
      </w:r>
    </w:p>
    <w:p w14:paraId="180DD5E5" w14:textId="77777777" w:rsidR="0012415A" w:rsidRPr="00FD50F6" w:rsidRDefault="0012415A" w:rsidP="0012415A">
      <w:pPr>
        <w:pStyle w:val="5"/>
        <w:ind w:firstLine="480"/>
      </w:pPr>
      <w:r w:rsidRPr="00FD50F6">
        <w:t>0.63</w:t>
      </w:r>
      <w:r w:rsidRPr="00FD50F6">
        <w:rPr>
          <w:rFonts w:hint="eastAsia"/>
        </w:rPr>
        <w:t>倍列车竖向静活载作用下产生的挠度值与全部温度引起的挠度值</w:t>
      </w:r>
      <w:r w:rsidRPr="00FD50F6">
        <w:rPr>
          <w:rFonts w:hint="eastAsia"/>
        </w:rPr>
        <w:t xml:space="preserve"> </w:t>
      </w:r>
      <w:r w:rsidRPr="00FD50F6">
        <w:t xml:space="preserve"> </w:t>
      </w:r>
      <w:r w:rsidRPr="00FD50F6">
        <w:rPr>
          <w:rFonts w:hint="eastAsia"/>
        </w:rPr>
        <w:t>之和。</w:t>
      </w:r>
    </w:p>
    <w:p w14:paraId="65D382BD" w14:textId="7131E6BD" w:rsidR="0012415A" w:rsidRPr="00FD50F6" w:rsidRDefault="0012415A" w:rsidP="00A926BD">
      <w:pPr>
        <w:pStyle w:val="4"/>
      </w:pPr>
      <w:r w:rsidRPr="00FD50F6">
        <w:rPr>
          <w:rFonts w:hint="eastAsia"/>
        </w:rPr>
        <w:t>桥面附属设施宜在轨道铺设前完成。轨道铺设完成后，无砟桥面预应力混凝土的竖向残余徐变变形应符合下列规定：</w:t>
      </w:r>
    </w:p>
    <w:p w14:paraId="7E4B709C" w14:textId="77777777" w:rsidR="0012415A" w:rsidRPr="00FD50F6" w:rsidRDefault="0012415A" w:rsidP="0012415A">
      <w:pPr>
        <w:pStyle w:val="8"/>
        <w:ind w:firstLine="480"/>
      </w:pPr>
      <w:r w:rsidRPr="00FD50F6">
        <w:t>1</w:t>
      </w:r>
      <w:r w:rsidRPr="00FD50F6">
        <w:rPr>
          <w:rFonts w:hint="eastAsia"/>
        </w:rPr>
        <w:t>）</w:t>
      </w:r>
      <w:r w:rsidRPr="001A4CF3">
        <w:rPr>
          <w:i/>
        </w:rPr>
        <w:t>L</w:t>
      </w:r>
      <w:r w:rsidRPr="00FD50F6">
        <w:rPr>
          <w:rFonts w:hint="eastAsia"/>
        </w:rPr>
        <w:t>≤</w:t>
      </w:r>
      <w:r w:rsidRPr="00FD50F6">
        <w:rPr>
          <w:rFonts w:hint="eastAsia"/>
        </w:rPr>
        <w:t>50m</w:t>
      </w:r>
      <w:r w:rsidRPr="00FD50F6">
        <w:rPr>
          <w:rFonts w:hint="eastAsia"/>
        </w:rPr>
        <w:t>时，竖向残余徐变变形不应大于</w:t>
      </w:r>
      <w:r w:rsidRPr="00FD50F6">
        <w:t>10mm</w:t>
      </w:r>
      <w:r w:rsidRPr="00FD50F6">
        <w:rPr>
          <w:rFonts w:hint="eastAsia"/>
        </w:rPr>
        <w:t>；</w:t>
      </w:r>
    </w:p>
    <w:p w14:paraId="2F2C1CB7" w14:textId="77777777" w:rsidR="0012415A" w:rsidRPr="00FD50F6" w:rsidRDefault="0012415A" w:rsidP="0012415A">
      <w:pPr>
        <w:pStyle w:val="8"/>
        <w:ind w:firstLine="480"/>
      </w:pPr>
      <w:r w:rsidRPr="00FD50F6">
        <w:t>2</w:t>
      </w:r>
      <w:r w:rsidRPr="00FD50F6">
        <w:rPr>
          <w:rFonts w:hint="eastAsia"/>
        </w:rPr>
        <w:t>）</w:t>
      </w:r>
      <w:r w:rsidRPr="001A4CF3">
        <w:rPr>
          <w:i/>
        </w:rPr>
        <w:t>L</w:t>
      </w:r>
      <w:r w:rsidRPr="00FD50F6">
        <w:t>&gt;50m</w:t>
      </w:r>
      <w:r w:rsidRPr="00FD50F6">
        <w:rPr>
          <w:rFonts w:hint="eastAsia"/>
        </w:rPr>
        <w:t>时，竖向残余徐变变形不宜大于</w:t>
      </w:r>
      <w:r w:rsidRPr="001A4CF3">
        <w:rPr>
          <w:i/>
        </w:rPr>
        <w:t>L</w:t>
      </w:r>
      <w:r w:rsidRPr="00FD50F6">
        <w:t>/5000</w:t>
      </w:r>
      <w:r w:rsidRPr="00FD50F6">
        <w:rPr>
          <w:rFonts w:hint="eastAsia"/>
        </w:rPr>
        <w:t>，当超出该限值时，</w:t>
      </w:r>
      <w:r w:rsidRPr="00FD50F6">
        <w:t>应根据轨道专业的要求控制</w:t>
      </w:r>
      <w:r w:rsidRPr="00FD50F6">
        <w:rPr>
          <w:rFonts w:hint="eastAsia"/>
        </w:rPr>
        <w:t>。</w:t>
      </w:r>
    </w:p>
    <w:p w14:paraId="4A565EB0" w14:textId="77777777" w:rsidR="0012415A" w:rsidRPr="00FD50F6" w:rsidRDefault="0012415A" w:rsidP="0012415A">
      <w:pPr>
        <w:pStyle w:val="30"/>
      </w:pPr>
      <w:r w:rsidRPr="00FD50F6">
        <w:rPr>
          <w:rFonts w:hint="eastAsia"/>
        </w:rPr>
        <w:t>列车在横向摇摆力、离心力、风力和温度力作用下，梁体水平挠度应不大于梁体计算跨度的</w:t>
      </w:r>
      <w:r w:rsidRPr="00FD50F6">
        <w:t>1/4000</w:t>
      </w:r>
      <w:r w:rsidRPr="00FD50F6">
        <w:rPr>
          <w:rFonts w:hint="eastAsia"/>
        </w:rPr>
        <w:t>。</w:t>
      </w:r>
    </w:p>
    <w:p w14:paraId="6E7B6757" w14:textId="6C1912E0" w:rsidR="0012415A" w:rsidRPr="00FD50F6" w:rsidRDefault="0012415A" w:rsidP="0012415A">
      <w:pPr>
        <w:pStyle w:val="30"/>
      </w:pPr>
      <w:r w:rsidRPr="00FD50F6">
        <w:rPr>
          <w:rFonts w:hint="eastAsia"/>
        </w:rPr>
        <w:lastRenderedPageBreak/>
        <w:t>在列车活载作用下，桥跨结构梁体同一横断面一条线上两根钢轨的竖向变形差形成的两轨动态不平顺度不应大于</w:t>
      </w:r>
      <w:r w:rsidRPr="00FD50F6">
        <w:t>6mm</w:t>
      </w:r>
      <w:r w:rsidRPr="00FD50F6">
        <w:rPr>
          <w:rFonts w:hint="eastAsia"/>
        </w:rPr>
        <w:t>。在列车静活载作用下，沿梁纵向</w:t>
      </w:r>
      <w:r w:rsidRPr="00FD50F6">
        <w:t>3m</w:t>
      </w:r>
      <w:r w:rsidRPr="00FD50F6">
        <w:rPr>
          <w:rFonts w:hint="eastAsia"/>
        </w:rPr>
        <w:t>长的局部翘曲变形引起的一线两根钢轨的竖向相对变形量不应大于</w:t>
      </w:r>
      <w:r w:rsidRPr="00FD50F6">
        <w:t>4.5mm</w:t>
      </w:r>
      <w:r w:rsidRPr="00FD50F6">
        <w:rPr>
          <w:rFonts w:hint="eastAsia"/>
        </w:rPr>
        <w:t>。</w:t>
      </w:r>
    </w:p>
    <w:p w14:paraId="0F3879E8" w14:textId="360260B5" w:rsidR="0012415A" w:rsidRPr="00FD50F6" w:rsidRDefault="0012415A" w:rsidP="0012415A">
      <w:pPr>
        <w:pStyle w:val="30"/>
      </w:pPr>
      <w:r w:rsidRPr="00FD50F6">
        <w:rPr>
          <w:rFonts w:hint="eastAsia"/>
        </w:rPr>
        <w:t>在列车竖向静活载作用下，桥梁梁端竖向转角</w:t>
      </w:r>
      <w:r w:rsidR="00CE0DA1" w:rsidRPr="00CE0DA1">
        <w:rPr>
          <w:rFonts w:hint="eastAsia"/>
        </w:rPr>
        <w:t>（图</w:t>
      </w:r>
      <w:r w:rsidR="00CE0DA1" w:rsidRPr="00CE0DA1">
        <w:t>11.3.5</w:t>
      </w:r>
      <w:r w:rsidR="00CE0DA1" w:rsidRPr="00CE0DA1">
        <w:t>）</w:t>
      </w:r>
      <w:r w:rsidRPr="00FD50F6">
        <w:rPr>
          <w:rFonts w:hint="eastAsia"/>
        </w:rPr>
        <w:t>限值应满足表</w:t>
      </w:r>
      <w:r w:rsidR="00A0175C" w:rsidRPr="00FD50F6">
        <w:t>11</w:t>
      </w:r>
      <w:r w:rsidRPr="00FD50F6">
        <w:t>.3.</w:t>
      </w:r>
      <w:r w:rsidRPr="00FD50F6">
        <w:rPr>
          <w:rFonts w:hint="eastAsia"/>
        </w:rPr>
        <w:t>5</w:t>
      </w:r>
      <w:r w:rsidRPr="00FD50F6">
        <w:rPr>
          <w:rFonts w:hint="eastAsia"/>
        </w:rPr>
        <w:t>的要求。对于无砟轨道桥梁，当梁端转角不满足表</w:t>
      </w:r>
      <w:r w:rsidRPr="00FD50F6">
        <w:rPr>
          <w:rFonts w:hint="eastAsia"/>
        </w:rPr>
        <w:t>1</w:t>
      </w:r>
      <w:r w:rsidR="00A0175C" w:rsidRPr="00FD50F6">
        <w:t>1</w:t>
      </w:r>
      <w:r w:rsidRPr="00FD50F6">
        <w:rPr>
          <w:rFonts w:hint="eastAsia"/>
        </w:rPr>
        <w:t>.3.5</w:t>
      </w:r>
      <w:r w:rsidRPr="00FD50F6">
        <w:rPr>
          <w:rFonts w:hint="eastAsia"/>
        </w:rPr>
        <w:t>的限值要求时，应对梁端轨道结构和扣件系统受力进行检算。</w:t>
      </w:r>
    </w:p>
    <w:p w14:paraId="04A97228" w14:textId="7093B661" w:rsidR="0012415A" w:rsidRPr="00FD50F6" w:rsidRDefault="0012415A" w:rsidP="0012415A">
      <w:pPr>
        <w:pStyle w:val="6"/>
        <w:rPr>
          <w:kern w:val="0"/>
          <w:sz w:val="20"/>
        </w:rPr>
      </w:pPr>
      <w:r w:rsidRPr="00FD50F6">
        <w:rPr>
          <w:rFonts w:hint="eastAsia"/>
        </w:rPr>
        <w:t>表</w:t>
      </w:r>
      <w:r w:rsidR="00A0175C" w:rsidRPr="00FD50F6">
        <w:t>11</w:t>
      </w:r>
      <w:r w:rsidRPr="00FD50F6">
        <w:t>.3.</w:t>
      </w:r>
      <w:r w:rsidRPr="00FD50F6">
        <w:rPr>
          <w:rFonts w:hint="eastAsia"/>
        </w:rPr>
        <w:t>5</w:t>
      </w:r>
      <w:r w:rsidRPr="00FD50F6">
        <w:rPr>
          <w:rFonts w:hint="eastAsia"/>
        </w:rPr>
        <w:t>梁端竖向转角限值</w:t>
      </w:r>
      <w:r w:rsidRPr="00FD50F6">
        <w:rPr>
          <w:kern w:val="0"/>
          <w:sz w:val="20"/>
        </w:rPr>
        <w:t xml:space="preserve"> </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545"/>
        <w:gridCol w:w="1800"/>
        <w:gridCol w:w="1845"/>
        <w:gridCol w:w="3075"/>
      </w:tblGrid>
      <w:tr w:rsidR="00FD50F6" w:rsidRPr="00FD50F6" w14:paraId="12F957C3" w14:textId="77777777" w:rsidTr="000831EC">
        <w:trPr>
          <w:trHeight w:val="397"/>
          <w:jc w:val="center"/>
        </w:trPr>
        <w:tc>
          <w:tcPr>
            <w:tcW w:w="1545" w:type="dxa"/>
            <w:vAlign w:val="center"/>
          </w:tcPr>
          <w:p w14:paraId="738D16D6" w14:textId="77777777" w:rsidR="0012415A" w:rsidRPr="00FD50F6" w:rsidRDefault="0012415A" w:rsidP="000831EC">
            <w:pPr>
              <w:pStyle w:val="7"/>
            </w:pPr>
            <w:r w:rsidRPr="00FD50F6">
              <w:rPr>
                <w:rFonts w:hint="eastAsia"/>
              </w:rPr>
              <w:t>桥上轨道类型</w:t>
            </w:r>
          </w:p>
        </w:tc>
        <w:tc>
          <w:tcPr>
            <w:tcW w:w="1800" w:type="dxa"/>
            <w:vAlign w:val="center"/>
          </w:tcPr>
          <w:p w14:paraId="06B1F353" w14:textId="77777777" w:rsidR="0012415A" w:rsidRPr="00FD50F6" w:rsidRDefault="0012415A" w:rsidP="000831EC">
            <w:pPr>
              <w:pStyle w:val="7"/>
            </w:pPr>
            <w:r w:rsidRPr="00FD50F6">
              <w:rPr>
                <w:rFonts w:hint="eastAsia"/>
              </w:rPr>
              <w:t>位</w:t>
            </w:r>
            <w:r w:rsidRPr="00FD50F6">
              <w:t xml:space="preserve"> </w:t>
            </w:r>
            <w:r w:rsidRPr="00FD50F6">
              <w:rPr>
                <w:rFonts w:hint="eastAsia"/>
              </w:rPr>
              <w:t>置</w:t>
            </w:r>
          </w:p>
        </w:tc>
        <w:tc>
          <w:tcPr>
            <w:tcW w:w="1845" w:type="dxa"/>
            <w:vAlign w:val="center"/>
          </w:tcPr>
          <w:p w14:paraId="73D07A0F" w14:textId="77777777" w:rsidR="0012415A" w:rsidRPr="00FD50F6" w:rsidRDefault="0012415A" w:rsidP="000831EC">
            <w:pPr>
              <w:pStyle w:val="7"/>
            </w:pPr>
            <w:r w:rsidRPr="00FD50F6">
              <w:rPr>
                <w:rFonts w:hint="eastAsia"/>
              </w:rPr>
              <w:t>限值（</w:t>
            </w:r>
            <w:r w:rsidRPr="00FD50F6">
              <w:t>rad</w:t>
            </w:r>
            <w:r w:rsidRPr="00FD50F6">
              <w:rPr>
                <w:rFonts w:hint="eastAsia"/>
              </w:rPr>
              <w:t>）</w:t>
            </w:r>
          </w:p>
        </w:tc>
        <w:tc>
          <w:tcPr>
            <w:tcW w:w="3075" w:type="dxa"/>
            <w:vAlign w:val="center"/>
          </w:tcPr>
          <w:p w14:paraId="1FE79985" w14:textId="77777777" w:rsidR="0012415A" w:rsidRPr="00FD50F6" w:rsidRDefault="0012415A" w:rsidP="000831EC">
            <w:pPr>
              <w:pStyle w:val="7"/>
            </w:pPr>
            <w:r w:rsidRPr="00FD50F6">
              <w:rPr>
                <w:rFonts w:hint="eastAsia"/>
              </w:rPr>
              <w:t>适用条件</w:t>
            </w:r>
          </w:p>
        </w:tc>
      </w:tr>
      <w:tr w:rsidR="00FD50F6" w:rsidRPr="00FD50F6" w14:paraId="2E803A12" w14:textId="77777777" w:rsidTr="000831EC">
        <w:trPr>
          <w:trHeight w:val="397"/>
          <w:jc w:val="center"/>
        </w:trPr>
        <w:tc>
          <w:tcPr>
            <w:tcW w:w="1545" w:type="dxa"/>
            <w:vMerge w:val="restart"/>
            <w:vAlign w:val="center"/>
          </w:tcPr>
          <w:p w14:paraId="02A8A285" w14:textId="77777777" w:rsidR="0012415A" w:rsidRPr="00FD50F6" w:rsidRDefault="0012415A" w:rsidP="000831EC">
            <w:pPr>
              <w:pStyle w:val="7"/>
            </w:pPr>
            <w:r w:rsidRPr="00FD50F6">
              <w:rPr>
                <w:rFonts w:hint="eastAsia"/>
              </w:rPr>
              <w:t>有砟轨道</w:t>
            </w:r>
          </w:p>
        </w:tc>
        <w:tc>
          <w:tcPr>
            <w:tcW w:w="1800" w:type="dxa"/>
            <w:vAlign w:val="center"/>
          </w:tcPr>
          <w:p w14:paraId="1A6F7128" w14:textId="77777777" w:rsidR="0012415A" w:rsidRPr="00FD50F6" w:rsidRDefault="0012415A" w:rsidP="000831EC">
            <w:pPr>
              <w:pStyle w:val="7"/>
            </w:pPr>
            <w:r w:rsidRPr="00FD50F6">
              <w:rPr>
                <w:rFonts w:hint="eastAsia"/>
              </w:rPr>
              <w:t>桥台与桥梁之间</w:t>
            </w:r>
          </w:p>
        </w:tc>
        <w:tc>
          <w:tcPr>
            <w:tcW w:w="1845" w:type="dxa"/>
            <w:vAlign w:val="center"/>
          </w:tcPr>
          <w:p w14:paraId="4054BEC9" w14:textId="77777777" w:rsidR="0012415A" w:rsidRPr="00FD50F6" w:rsidRDefault="00F23B1A" w:rsidP="000831EC">
            <w:pPr>
              <w:pStyle w:val="7"/>
            </w:pPr>
            <w:r w:rsidRPr="00FD50F6">
              <w:rPr>
                <w:noProof/>
              </w:rPr>
              <w:object w:dxaOrig="180" w:dyaOrig="240" w14:anchorId="00A06B3C">
                <v:shape id="_x0000_i1042" type="#_x0000_t75" alt="" style="width:8.2pt;height:14.2pt;mso-width-percent:0;mso-height-percent:0;mso-width-percent:0;mso-height-percent:0" o:ole="">
                  <v:imagedata r:id="rId47" o:title=""/>
                </v:shape>
                <o:OLEObject Type="Embed" ProgID="Equation.DSMT4" ShapeID="_x0000_i1042" DrawAspect="Content" ObjectID="_1731840759" r:id="rId48"/>
              </w:object>
            </w:r>
            <w:r w:rsidR="0012415A" w:rsidRPr="00FD50F6">
              <w:rPr>
                <w:rFonts w:hint="eastAsia"/>
              </w:rPr>
              <w:t>≤</w:t>
            </w:r>
            <w:r w:rsidR="0012415A" w:rsidRPr="00FD50F6">
              <w:t>3.0</w:t>
            </w:r>
            <w:r w:rsidR="0012415A" w:rsidRPr="00FD50F6">
              <w:rPr>
                <w:rFonts w:hint="eastAsia"/>
              </w:rPr>
              <w:t>‰</w:t>
            </w:r>
          </w:p>
        </w:tc>
        <w:tc>
          <w:tcPr>
            <w:tcW w:w="3075" w:type="dxa"/>
            <w:vAlign w:val="center"/>
          </w:tcPr>
          <w:p w14:paraId="0E27F8CB" w14:textId="77777777" w:rsidR="0012415A" w:rsidRPr="00FD50F6" w:rsidRDefault="0012415A" w:rsidP="000831EC">
            <w:pPr>
              <w:pStyle w:val="7"/>
            </w:pPr>
            <w:r w:rsidRPr="00FD50F6">
              <w:rPr>
                <w:rFonts w:hint="eastAsia"/>
              </w:rPr>
              <w:t>―</w:t>
            </w:r>
          </w:p>
        </w:tc>
      </w:tr>
      <w:tr w:rsidR="00FD50F6" w:rsidRPr="00FD50F6" w14:paraId="5388DF38" w14:textId="77777777" w:rsidTr="000831EC">
        <w:trPr>
          <w:trHeight w:val="397"/>
          <w:jc w:val="center"/>
        </w:trPr>
        <w:tc>
          <w:tcPr>
            <w:tcW w:w="1545" w:type="dxa"/>
            <w:vMerge/>
            <w:vAlign w:val="center"/>
          </w:tcPr>
          <w:p w14:paraId="08409278" w14:textId="77777777" w:rsidR="0012415A" w:rsidRPr="00FD50F6" w:rsidRDefault="0012415A" w:rsidP="000831EC">
            <w:pPr>
              <w:pStyle w:val="7"/>
            </w:pPr>
          </w:p>
        </w:tc>
        <w:tc>
          <w:tcPr>
            <w:tcW w:w="1800" w:type="dxa"/>
            <w:vAlign w:val="center"/>
          </w:tcPr>
          <w:p w14:paraId="303FB579" w14:textId="77777777" w:rsidR="0012415A" w:rsidRPr="00FD50F6" w:rsidRDefault="0012415A" w:rsidP="000831EC">
            <w:pPr>
              <w:pStyle w:val="7"/>
            </w:pPr>
            <w:r w:rsidRPr="00FD50F6">
              <w:rPr>
                <w:rFonts w:hint="eastAsia"/>
              </w:rPr>
              <w:t>相邻两孔梁之间</w:t>
            </w:r>
          </w:p>
        </w:tc>
        <w:tc>
          <w:tcPr>
            <w:tcW w:w="1845" w:type="dxa"/>
            <w:vAlign w:val="center"/>
          </w:tcPr>
          <w:p w14:paraId="1721BF6C" w14:textId="77777777" w:rsidR="0012415A" w:rsidRPr="00FD50F6" w:rsidRDefault="00F23B1A" w:rsidP="000831EC">
            <w:pPr>
              <w:pStyle w:val="7"/>
            </w:pPr>
            <w:r w:rsidRPr="00FD50F6">
              <w:rPr>
                <w:noProof/>
              </w:rPr>
              <w:object w:dxaOrig="580" w:dyaOrig="300" w14:anchorId="015FFBD7">
                <v:shape id="_x0000_i1043" type="#_x0000_t75" alt="" style="width:28.35pt;height:21.8pt;mso-width-percent:0;mso-height-percent:0;mso-width-percent:0;mso-height-percent:0" o:ole="">
                  <v:imagedata r:id="rId49" o:title=""/>
                </v:shape>
                <o:OLEObject Type="Embed" ProgID="Equation.DSMT4" ShapeID="_x0000_i1043" DrawAspect="Content" ObjectID="_1731840760" r:id="rId50"/>
              </w:object>
            </w:r>
            <w:r w:rsidR="0012415A" w:rsidRPr="00FD50F6">
              <w:rPr>
                <w:rFonts w:hint="eastAsia"/>
              </w:rPr>
              <w:t>≤</w:t>
            </w:r>
            <w:r w:rsidR="0012415A" w:rsidRPr="00FD50F6">
              <w:t>6.0</w:t>
            </w:r>
            <w:r w:rsidR="0012415A" w:rsidRPr="00FD50F6">
              <w:rPr>
                <w:rFonts w:hint="eastAsia"/>
              </w:rPr>
              <w:t>‰</w:t>
            </w:r>
          </w:p>
        </w:tc>
        <w:tc>
          <w:tcPr>
            <w:tcW w:w="3075" w:type="dxa"/>
            <w:vAlign w:val="center"/>
          </w:tcPr>
          <w:p w14:paraId="04B94B42" w14:textId="77777777" w:rsidR="0012415A" w:rsidRPr="00FD50F6" w:rsidRDefault="0012415A" w:rsidP="000831EC">
            <w:pPr>
              <w:pStyle w:val="7"/>
            </w:pPr>
            <w:r w:rsidRPr="00FD50F6">
              <w:rPr>
                <w:rFonts w:hint="eastAsia"/>
              </w:rPr>
              <w:t>―</w:t>
            </w:r>
          </w:p>
        </w:tc>
      </w:tr>
      <w:tr w:rsidR="00FD50F6" w:rsidRPr="00FD50F6" w14:paraId="7E1C4272" w14:textId="77777777" w:rsidTr="000831EC">
        <w:trPr>
          <w:trHeight w:val="397"/>
          <w:jc w:val="center"/>
        </w:trPr>
        <w:tc>
          <w:tcPr>
            <w:tcW w:w="1545" w:type="dxa"/>
            <w:vMerge w:val="restart"/>
            <w:vAlign w:val="center"/>
          </w:tcPr>
          <w:p w14:paraId="44E842AE" w14:textId="77777777" w:rsidR="0012415A" w:rsidRPr="00FD50F6" w:rsidRDefault="0012415A" w:rsidP="000831EC">
            <w:pPr>
              <w:pStyle w:val="7"/>
            </w:pPr>
            <w:r w:rsidRPr="00FD50F6">
              <w:rPr>
                <w:rFonts w:hint="eastAsia"/>
              </w:rPr>
              <w:t>无砟轨道</w:t>
            </w:r>
          </w:p>
        </w:tc>
        <w:tc>
          <w:tcPr>
            <w:tcW w:w="1800" w:type="dxa"/>
            <w:vMerge w:val="restart"/>
            <w:vAlign w:val="center"/>
          </w:tcPr>
          <w:p w14:paraId="1D52F729" w14:textId="77777777" w:rsidR="0012415A" w:rsidRPr="00FD50F6" w:rsidRDefault="0012415A" w:rsidP="000831EC">
            <w:pPr>
              <w:pStyle w:val="7"/>
            </w:pPr>
            <w:r w:rsidRPr="00FD50F6">
              <w:rPr>
                <w:rFonts w:hint="eastAsia"/>
              </w:rPr>
              <w:t>桥台与桥梁之间</w:t>
            </w:r>
          </w:p>
        </w:tc>
        <w:tc>
          <w:tcPr>
            <w:tcW w:w="1845" w:type="dxa"/>
            <w:vAlign w:val="center"/>
          </w:tcPr>
          <w:p w14:paraId="12E0B398" w14:textId="77777777" w:rsidR="0012415A" w:rsidRPr="00FD50F6" w:rsidRDefault="00F23B1A" w:rsidP="000831EC">
            <w:pPr>
              <w:pStyle w:val="7"/>
            </w:pPr>
            <w:r w:rsidRPr="00FD50F6">
              <w:rPr>
                <w:noProof/>
              </w:rPr>
              <w:object w:dxaOrig="180" w:dyaOrig="240" w14:anchorId="30F1668E">
                <v:shape id="_x0000_i1044" type="#_x0000_t75" alt="" style="width:8.2pt;height:14.2pt;mso-width-percent:0;mso-height-percent:0;mso-width-percent:0;mso-height-percent:0" o:ole="">
                  <v:imagedata r:id="rId51" o:title=""/>
                </v:shape>
                <o:OLEObject Type="Embed" ProgID="Equation.DSMT4" ShapeID="_x0000_i1044" DrawAspect="Content" ObjectID="_1731840761" r:id="rId52"/>
              </w:object>
            </w:r>
            <w:r w:rsidR="0012415A" w:rsidRPr="00FD50F6">
              <w:rPr>
                <w:rFonts w:hint="eastAsia"/>
              </w:rPr>
              <w:t>≤</w:t>
            </w:r>
            <w:r w:rsidR="0012415A" w:rsidRPr="00FD50F6">
              <w:t>2.1</w:t>
            </w:r>
            <w:r w:rsidR="0012415A" w:rsidRPr="00FD50F6">
              <w:rPr>
                <w:rFonts w:hint="eastAsia"/>
              </w:rPr>
              <w:t>‰</w:t>
            </w:r>
          </w:p>
        </w:tc>
        <w:tc>
          <w:tcPr>
            <w:tcW w:w="3075" w:type="dxa"/>
            <w:vAlign w:val="center"/>
          </w:tcPr>
          <w:p w14:paraId="51567D93" w14:textId="77777777" w:rsidR="0012415A" w:rsidRPr="00FD50F6" w:rsidRDefault="0012415A" w:rsidP="000831EC">
            <w:pPr>
              <w:pStyle w:val="7"/>
            </w:pPr>
            <w:r w:rsidRPr="00FD50F6">
              <w:rPr>
                <w:rFonts w:hint="eastAsia"/>
              </w:rPr>
              <w:t>梁端悬出长度≤</w:t>
            </w:r>
            <w:r w:rsidRPr="00FD50F6">
              <w:t>0.30m</w:t>
            </w:r>
          </w:p>
        </w:tc>
      </w:tr>
      <w:tr w:rsidR="00FD50F6" w:rsidRPr="00FD50F6" w14:paraId="3543AA8A" w14:textId="77777777" w:rsidTr="000831EC">
        <w:trPr>
          <w:trHeight w:val="397"/>
          <w:jc w:val="center"/>
        </w:trPr>
        <w:tc>
          <w:tcPr>
            <w:tcW w:w="1545" w:type="dxa"/>
            <w:vMerge/>
            <w:vAlign w:val="center"/>
          </w:tcPr>
          <w:p w14:paraId="1D2E0BA6" w14:textId="77777777" w:rsidR="0012415A" w:rsidRPr="00FD50F6" w:rsidRDefault="0012415A" w:rsidP="000831EC">
            <w:pPr>
              <w:pStyle w:val="7"/>
            </w:pPr>
          </w:p>
        </w:tc>
        <w:tc>
          <w:tcPr>
            <w:tcW w:w="1800" w:type="dxa"/>
            <w:vMerge/>
            <w:vAlign w:val="center"/>
          </w:tcPr>
          <w:p w14:paraId="0A819914" w14:textId="77777777" w:rsidR="0012415A" w:rsidRPr="00FD50F6" w:rsidRDefault="0012415A" w:rsidP="000831EC">
            <w:pPr>
              <w:pStyle w:val="7"/>
            </w:pPr>
          </w:p>
        </w:tc>
        <w:tc>
          <w:tcPr>
            <w:tcW w:w="1845" w:type="dxa"/>
            <w:vAlign w:val="center"/>
          </w:tcPr>
          <w:p w14:paraId="28DA4977" w14:textId="77777777" w:rsidR="0012415A" w:rsidRPr="00FD50F6" w:rsidRDefault="00F23B1A" w:rsidP="000831EC">
            <w:pPr>
              <w:pStyle w:val="7"/>
            </w:pPr>
            <w:r w:rsidRPr="00FD50F6">
              <w:rPr>
                <w:noProof/>
              </w:rPr>
              <w:object w:dxaOrig="180" w:dyaOrig="240" w14:anchorId="43F30239">
                <v:shape id="_x0000_i1045" type="#_x0000_t75" alt="" style="width:8.2pt;height:14.2pt;mso-width-percent:0;mso-height-percent:0;mso-width-percent:0;mso-height-percent:0" o:ole="">
                  <v:imagedata r:id="rId53" o:title=""/>
                </v:shape>
                <o:OLEObject Type="Embed" ProgID="Equation.DSMT4" ShapeID="_x0000_i1045" DrawAspect="Content" ObjectID="_1731840762" r:id="rId54"/>
              </w:object>
            </w:r>
            <w:r w:rsidR="0012415A" w:rsidRPr="00FD50F6">
              <w:rPr>
                <w:rFonts w:hint="eastAsia"/>
              </w:rPr>
              <w:t>≤</w:t>
            </w:r>
            <w:r w:rsidR="0012415A" w:rsidRPr="00FD50F6">
              <w:t>1.5</w:t>
            </w:r>
            <w:r w:rsidR="0012415A" w:rsidRPr="00FD50F6">
              <w:rPr>
                <w:rFonts w:hint="eastAsia"/>
              </w:rPr>
              <w:t>‰</w:t>
            </w:r>
          </w:p>
        </w:tc>
        <w:tc>
          <w:tcPr>
            <w:tcW w:w="3075" w:type="dxa"/>
            <w:vAlign w:val="center"/>
          </w:tcPr>
          <w:p w14:paraId="594132B8" w14:textId="77777777" w:rsidR="0012415A" w:rsidRPr="00FD50F6" w:rsidRDefault="0012415A" w:rsidP="000831EC">
            <w:pPr>
              <w:pStyle w:val="7"/>
            </w:pPr>
            <w:r w:rsidRPr="00FD50F6">
              <w:t>0.3m</w:t>
            </w:r>
            <w:r w:rsidRPr="00FD50F6">
              <w:rPr>
                <w:rFonts w:hint="eastAsia"/>
              </w:rPr>
              <w:t>＜梁端悬出长度≤</w:t>
            </w:r>
            <w:r w:rsidRPr="00FD50F6">
              <w:t>0.55m</w:t>
            </w:r>
          </w:p>
        </w:tc>
      </w:tr>
      <w:tr w:rsidR="00FD50F6" w:rsidRPr="00FD50F6" w14:paraId="77F10F27" w14:textId="77777777" w:rsidTr="000831EC">
        <w:trPr>
          <w:trHeight w:val="397"/>
          <w:jc w:val="center"/>
        </w:trPr>
        <w:tc>
          <w:tcPr>
            <w:tcW w:w="1545" w:type="dxa"/>
            <w:vMerge/>
            <w:vAlign w:val="center"/>
          </w:tcPr>
          <w:p w14:paraId="7FF246F9" w14:textId="77777777" w:rsidR="0012415A" w:rsidRPr="00FD50F6" w:rsidRDefault="0012415A" w:rsidP="000831EC">
            <w:pPr>
              <w:pStyle w:val="7"/>
            </w:pPr>
          </w:p>
        </w:tc>
        <w:tc>
          <w:tcPr>
            <w:tcW w:w="1800" w:type="dxa"/>
            <w:vMerge/>
            <w:vAlign w:val="center"/>
          </w:tcPr>
          <w:p w14:paraId="0C99AC4E" w14:textId="77777777" w:rsidR="0012415A" w:rsidRPr="00FD50F6" w:rsidRDefault="0012415A" w:rsidP="000831EC">
            <w:pPr>
              <w:pStyle w:val="7"/>
            </w:pPr>
          </w:p>
        </w:tc>
        <w:tc>
          <w:tcPr>
            <w:tcW w:w="1845" w:type="dxa"/>
            <w:vAlign w:val="center"/>
          </w:tcPr>
          <w:p w14:paraId="7E73EAE6" w14:textId="77777777" w:rsidR="0012415A" w:rsidRPr="00FD50F6" w:rsidRDefault="00F23B1A" w:rsidP="000831EC">
            <w:pPr>
              <w:pStyle w:val="7"/>
            </w:pPr>
            <w:r w:rsidRPr="00FD50F6">
              <w:rPr>
                <w:noProof/>
              </w:rPr>
              <w:object w:dxaOrig="180" w:dyaOrig="240" w14:anchorId="3A827EA5">
                <v:shape id="_x0000_i1046" type="#_x0000_t75" alt="" style="width:8.2pt;height:14.2pt;mso-width-percent:0;mso-height-percent:0;mso-width-percent:0;mso-height-percent:0" o:ole="">
                  <v:imagedata r:id="rId55" o:title=""/>
                </v:shape>
                <o:OLEObject Type="Embed" ProgID="Equation.DSMT4" ShapeID="_x0000_i1046" DrawAspect="Content" ObjectID="_1731840763" r:id="rId56"/>
              </w:object>
            </w:r>
            <w:r w:rsidR="0012415A" w:rsidRPr="00FD50F6">
              <w:rPr>
                <w:rFonts w:hint="eastAsia"/>
              </w:rPr>
              <w:t>≤</w:t>
            </w:r>
            <w:r w:rsidR="0012415A" w:rsidRPr="00FD50F6">
              <w:t>1.0</w:t>
            </w:r>
            <w:r w:rsidR="0012415A" w:rsidRPr="00FD50F6">
              <w:rPr>
                <w:rFonts w:hint="eastAsia"/>
              </w:rPr>
              <w:t>‰</w:t>
            </w:r>
          </w:p>
        </w:tc>
        <w:tc>
          <w:tcPr>
            <w:tcW w:w="3075" w:type="dxa"/>
            <w:vAlign w:val="center"/>
          </w:tcPr>
          <w:p w14:paraId="40076D18" w14:textId="77777777" w:rsidR="0012415A" w:rsidRPr="00FD50F6" w:rsidRDefault="0012415A" w:rsidP="000831EC">
            <w:pPr>
              <w:pStyle w:val="7"/>
            </w:pPr>
            <w:r w:rsidRPr="00FD50F6">
              <w:t>0.55m</w:t>
            </w:r>
            <w:r w:rsidRPr="00FD50F6">
              <w:rPr>
                <w:rFonts w:hint="eastAsia"/>
              </w:rPr>
              <w:t>＜梁端悬出长度≤</w:t>
            </w:r>
            <w:r w:rsidRPr="00FD50F6">
              <w:t>0.75m</w:t>
            </w:r>
          </w:p>
        </w:tc>
      </w:tr>
      <w:tr w:rsidR="00FD50F6" w:rsidRPr="00FD50F6" w14:paraId="1E3E4233" w14:textId="77777777" w:rsidTr="000831EC">
        <w:trPr>
          <w:trHeight w:val="397"/>
          <w:jc w:val="center"/>
        </w:trPr>
        <w:tc>
          <w:tcPr>
            <w:tcW w:w="1545" w:type="dxa"/>
            <w:vMerge/>
            <w:vAlign w:val="center"/>
          </w:tcPr>
          <w:p w14:paraId="75DF3869" w14:textId="77777777" w:rsidR="0012415A" w:rsidRPr="00FD50F6" w:rsidRDefault="0012415A" w:rsidP="000831EC">
            <w:pPr>
              <w:pStyle w:val="7"/>
            </w:pPr>
          </w:p>
        </w:tc>
        <w:tc>
          <w:tcPr>
            <w:tcW w:w="1800" w:type="dxa"/>
            <w:vMerge w:val="restart"/>
            <w:vAlign w:val="center"/>
          </w:tcPr>
          <w:p w14:paraId="0F840E0E" w14:textId="77777777" w:rsidR="0012415A" w:rsidRPr="00FD50F6" w:rsidRDefault="0012415A" w:rsidP="000831EC">
            <w:pPr>
              <w:pStyle w:val="7"/>
            </w:pPr>
            <w:r w:rsidRPr="00FD50F6">
              <w:rPr>
                <w:rFonts w:hint="eastAsia"/>
              </w:rPr>
              <w:t>相邻两孔梁之间</w:t>
            </w:r>
          </w:p>
        </w:tc>
        <w:tc>
          <w:tcPr>
            <w:tcW w:w="1845" w:type="dxa"/>
            <w:vAlign w:val="center"/>
          </w:tcPr>
          <w:p w14:paraId="581BF6F1" w14:textId="77777777" w:rsidR="0012415A" w:rsidRPr="00FD50F6" w:rsidRDefault="00F23B1A" w:rsidP="000831EC">
            <w:pPr>
              <w:pStyle w:val="7"/>
            </w:pPr>
            <w:r w:rsidRPr="00FD50F6">
              <w:rPr>
                <w:noProof/>
              </w:rPr>
              <w:object w:dxaOrig="580" w:dyaOrig="300" w14:anchorId="4467290C">
                <v:shape id="_x0000_i1047" type="#_x0000_t75" alt="" style="width:28.35pt;height:15.8pt;mso-width-percent:0;mso-height-percent:0;mso-width-percent:0;mso-height-percent:0" o:ole="">
                  <v:imagedata r:id="rId49" o:title=""/>
                </v:shape>
                <o:OLEObject Type="Embed" ProgID="Equation.DSMT4" ShapeID="_x0000_i1047" DrawAspect="Content" ObjectID="_1731840764" r:id="rId57"/>
              </w:object>
            </w:r>
            <w:r w:rsidR="0012415A" w:rsidRPr="00FD50F6">
              <w:rPr>
                <w:rFonts w:hint="eastAsia"/>
              </w:rPr>
              <w:t>≤</w:t>
            </w:r>
            <w:r w:rsidR="0012415A" w:rsidRPr="00FD50F6">
              <w:t>4.2</w:t>
            </w:r>
            <w:r w:rsidR="0012415A" w:rsidRPr="00FD50F6">
              <w:rPr>
                <w:rFonts w:hint="eastAsia"/>
              </w:rPr>
              <w:t>‰</w:t>
            </w:r>
          </w:p>
        </w:tc>
        <w:tc>
          <w:tcPr>
            <w:tcW w:w="3075" w:type="dxa"/>
            <w:vAlign w:val="center"/>
          </w:tcPr>
          <w:p w14:paraId="43DD5CCF" w14:textId="77777777" w:rsidR="0012415A" w:rsidRPr="00FD50F6" w:rsidRDefault="0012415A" w:rsidP="000831EC">
            <w:pPr>
              <w:pStyle w:val="7"/>
            </w:pPr>
            <w:r w:rsidRPr="00FD50F6">
              <w:rPr>
                <w:rFonts w:hint="eastAsia"/>
              </w:rPr>
              <w:t>梁端悬出长度≤</w:t>
            </w:r>
            <w:r w:rsidRPr="00FD50F6">
              <w:t>0.30m</w:t>
            </w:r>
          </w:p>
        </w:tc>
      </w:tr>
      <w:tr w:rsidR="00FD50F6" w:rsidRPr="00FD50F6" w14:paraId="47D1AE0B" w14:textId="77777777" w:rsidTr="000831EC">
        <w:trPr>
          <w:trHeight w:val="397"/>
          <w:jc w:val="center"/>
        </w:trPr>
        <w:tc>
          <w:tcPr>
            <w:tcW w:w="1545" w:type="dxa"/>
            <w:vMerge/>
            <w:vAlign w:val="center"/>
          </w:tcPr>
          <w:p w14:paraId="557E5F90" w14:textId="77777777" w:rsidR="0012415A" w:rsidRPr="00FD50F6" w:rsidRDefault="0012415A" w:rsidP="000831EC">
            <w:pPr>
              <w:pStyle w:val="7"/>
            </w:pPr>
          </w:p>
        </w:tc>
        <w:tc>
          <w:tcPr>
            <w:tcW w:w="1800" w:type="dxa"/>
            <w:vMerge/>
            <w:vAlign w:val="center"/>
          </w:tcPr>
          <w:p w14:paraId="6C250AA0" w14:textId="77777777" w:rsidR="0012415A" w:rsidRPr="00FD50F6" w:rsidRDefault="0012415A" w:rsidP="000831EC">
            <w:pPr>
              <w:pStyle w:val="7"/>
            </w:pPr>
          </w:p>
        </w:tc>
        <w:tc>
          <w:tcPr>
            <w:tcW w:w="1845" w:type="dxa"/>
            <w:vAlign w:val="center"/>
          </w:tcPr>
          <w:p w14:paraId="64158ADE" w14:textId="77777777" w:rsidR="0012415A" w:rsidRPr="00FD50F6" w:rsidRDefault="00F23B1A" w:rsidP="000831EC">
            <w:pPr>
              <w:pStyle w:val="7"/>
            </w:pPr>
            <w:r w:rsidRPr="00FD50F6">
              <w:rPr>
                <w:noProof/>
              </w:rPr>
              <w:object w:dxaOrig="580" w:dyaOrig="300" w14:anchorId="64940B21">
                <v:shape id="_x0000_i1048" type="#_x0000_t75" alt="" style="width:28.35pt;height:15.8pt;mso-width-percent:0;mso-height-percent:0;mso-width-percent:0;mso-height-percent:0" o:ole="">
                  <v:imagedata r:id="rId49" o:title=""/>
                </v:shape>
                <o:OLEObject Type="Embed" ProgID="Equation.DSMT4" ShapeID="_x0000_i1048" DrawAspect="Content" ObjectID="_1731840765" r:id="rId58"/>
              </w:object>
            </w:r>
            <w:r w:rsidR="0012415A" w:rsidRPr="00FD50F6">
              <w:rPr>
                <w:rFonts w:hint="eastAsia"/>
              </w:rPr>
              <w:t>≤</w:t>
            </w:r>
            <w:r w:rsidR="0012415A" w:rsidRPr="00FD50F6">
              <w:t>3.0</w:t>
            </w:r>
            <w:r w:rsidR="0012415A" w:rsidRPr="00FD50F6">
              <w:rPr>
                <w:rFonts w:hint="eastAsia"/>
              </w:rPr>
              <w:t>‰</w:t>
            </w:r>
          </w:p>
        </w:tc>
        <w:tc>
          <w:tcPr>
            <w:tcW w:w="3075" w:type="dxa"/>
            <w:vAlign w:val="center"/>
          </w:tcPr>
          <w:p w14:paraId="297D5279" w14:textId="77777777" w:rsidR="0012415A" w:rsidRPr="00FD50F6" w:rsidRDefault="0012415A" w:rsidP="000831EC">
            <w:pPr>
              <w:pStyle w:val="7"/>
            </w:pPr>
            <w:r w:rsidRPr="00FD50F6">
              <w:t>0.3m</w:t>
            </w:r>
            <w:r w:rsidRPr="00FD50F6">
              <w:rPr>
                <w:rFonts w:hint="eastAsia"/>
              </w:rPr>
              <w:t>＜梁端悬出长度≤</w:t>
            </w:r>
            <w:r w:rsidRPr="00FD50F6">
              <w:t>0.55m</w:t>
            </w:r>
          </w:p>
        </w:tc>
      </w:tr>
      <w:tr w:rsidR="00FD50F6" w:rsidRPr="00FD50F6" w14:paraId="7DD90985" w14:textId="77777777" w:rsidTr="000831EC">
        <w:trPr>
          <w:trHeight w:val="397"/>
          <w:jc w:val="center"/>
        </w:trPr>
        <w:tc>
          <w:tcPr>
            <w:tcW w:w="1545" w:type="dxa"/>
            <w:vMerge/>
            <w:tcBorders>
              <w:bottom w:val="single" w:sz="4" w:space="0" w:color="auto"/>
            </w:tcBorders>
            <w:vAlign w:val="center"/>
          </w:tcPr>
          <w:p w14:paraId="520EBDC7" w14:textId="77777777" w:rsidR="0012415A" w:rsidRPr="00FD50F6" w:rsidRDefault="0012415A" w:rsidP="000831EC">
            <w:pPr>
              <w:pStyle w:val="7"/>
            </w:pPr>
          </w:p>
        </w:tc>
        <w:tc>
          <w:tcPr>
            <w:tcW w:w="1800" w:type="dxa"/>
            <w:vMerge/>
            <w:tcBorders>
              <w:bottom w:val="single" w:sz="4" w:space="0" w:color="auto"/>
            </w:tcBorders>
            <w:vAlign w:val="center"/>
          </w:tcPr>
          <w:p w14:paraId="1A9356B5" w14:textId="77777777" w:rsidR="0012415A" w:rsidRPr="00FD50F6" w:rsidRDefault="0012415A" w:rsidP="000831EC">
            <w:pPr>
              <w:pStyle w:val="7"/>
            </w:pPr>
          </w:p>
        </w:tc>
        <w:tc>
          <w:tcPr>
            <w:tcW w:w="1845" w:type="dxa"/>
            <w:tcBorders>
              <w:bottom w:val="single" w:sz="4" w:space="0" w:color="auto"/>
            </w:tcBorders>
            <w:vAlign w:val="center"/>
          </w:tcPr>
          <w:p w14:paraId="2172284F" w14:textId="77777777" w:rsidR="0012415A" w:rsidRPr="00FD50F6" w:rsidRDefault="00F23B1A" w:rsidP="000831EC">
            <w:pPr>
              <w:pStyle w:val="7"/>
            </w:pPr>
            <w:r w:rsidRPr="00FD50F6">
              <w:rPr>
                <w:noProof/>
              </w:rPr>
              <w:object w:dxaOrig="580" w:dyaOrig="300" w14:anchorId="2B8C619A">
                <v:shape id="_x0000_i1049" type="#_x0000_t75" alt="" style="width:28.35pt;height:15.8pt;mso-width-percent:0;mso-height-percent:0;mso-width-percent:0;mso-height-percent:0" o:ole="">
                  <v:imagedata r:id="rId49" o:title=""/>
                </v:shape>
                <o:OLEObject Type="Embed" ProgID="Equation.DSMT4" ShapeID="_x0000_i1049" DrawAspect="Content" ObjectID="_1731840766" r:id="rId59"/>
              </w:object>
            </w:r>
            <w:r w:rsidR="0012415A" w:rsidRPr="00FD50F6">
              <w:rPr>
                <w:rFonts w:hint="eastAsia"/>
              </w:rPr>
              <w:t>≤</w:t>
            </w:r>
            <w:r w:rsidR="0012415A" w:rsidRPr="00FD50F6">
              <w:t>2.0</w:t>
            </w:r>
            <w:r w:rsidR="0012415A" w:rsidRPr="00FD50F6">
              <w:rPr>
                <w:rFonts w:hint="eastAsia"/>
              </w:rPr>
              <w:t>‰</w:t>
            </w:r>
          </w:p>
        </w:tc>
        <w:tc>
          <w:tcPr>
            <w:tcW w:w="3075" w:type="dxa"/>
            <w:tcBorders>
              <w:bottom w:val="single" w:sz="4" w:space="0" w:color="auto"/>
            </w:tcBorders>
            <w:vAlign w:val="center"/>
          </w:tcPr>
          <w:p w14:paraId="33812E46" w14:textId="77777777" w:rsidR="0012415A" w:rsidRPr="00FD50F6" w:rsidRDefault="0012415A" w:rsidP="000831EC">
            <w:pPr>
              <w:pStyle w:val="7"/>
            </w:pPr>
            <w:r w:rsidRPr="00FD50F6">
              <w:t>0.55m</w:t>
            </w:r>
            <w:r w:rsidRPr="00FD50F6">
              <w:rPr>
                <w:rFonts w:hint="eastAsia"/>
              </w:rPr>
              <w:t>＜梁端悬出长度≤</w:t>
            </w:r>
            <w:r w:rsidRPr="00FD50F6">
              <w:t>0.75m</w:t>
            </w:r>
          </w:p>
        </w:tc>
      </w:tr>
    </w:tbl>
    <w:p w14:paraId="2A94D695" w14:textId="77777777" w:rsidR="0012415A" w:rsidRPr="00FD50F6" w:rsidRDefault="0012415A" w:rsidP="0012415A">
      <w:pPr>
        <w:autoSpaceDE w:val="0"/>
        <w:autoSpaceDN w:val="0"/>
        <w:adjustRightInd w:val="0"/>
        <w:snapToGrid w:val="0"/>
        <w:jc w:val="center"/>
        <w:rPr>
          <w:rFonts w:ascii="Times New Roman" w:hAnsi="宋体" w:cs="Times New Roman"/>
          <w:b/>
          <w:sz w:val="22"/>
          <w:szCs w:val="24"/>
        </w:rPr>
      </w:pPr>
      <w:r w:rsidRPr="00FD50F6">
        <w:rPr>
          <w:rFonts w:ascii="Times New Roman" w:hAnsi="宋体" w:cs="Times New Roman"/>
          <w:b/>
          <w:noProof/>
          <w:sz w:val="22"/>
          <w:szCs w:val="24"/>
        </w:rPr>
        <w:drawing>
          <wp:inline distT="0" distB="0" distL="0" distR="0" wp14:anchorId="15459952" wp14:editId="2A17ADD7">
            <wp:extent cx="5276850" cy="447675"/>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noChangeArrowheads="1"/>
                    </pic:cNvPicPr>
                  </pic:nvPicPr>
                  <pic:blipFill>
                    <a:blip r:embed="rId60"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14:paraId="2AF8D890" w14:textId="43038BDF" w:rsidR="0012415A" w:rsidRPr="00FD50F6" w:rsidRDefault="0012415A" w:rsidP="0012415A">
      <w:pPr>
        <w:autoSpaceDE w:val="0"/>
        <w:autoSpaceDN w:val="0"/>
        <w:adjustRightInd w:val="0"/>
        <w:spacing w:line="240" w:lineRule="auto"/>
        <w:jc w:val="center"/>
        <w:rPr>
          <w:rFonts w:ascii="Times New Roman" w:eastAsia="黑体" w:hAnsi="Times New Roman" w:cs="Times New Roman"/>
          <w:bCs/>
          <w:sz w:val="22"/>
          <w:szCs w:val="22"/>
        </w:rPr>
      </w:pPr>
      <w:r w:rsidRPr="00FD50F6">
        <w:rPr>
          <w:rFonts w:ascii="Times New Roman" w:eastAsia="黑体" w:hAnsi="Times New Roman" w:cs="Times New Roman"/>
          <w:bCs/>
          <w:sz w:val="22"/>
          <w:szCs w:val="22"/>
        </w:rPr>
        <w:t>图</w:t>
      </w:r>
      <w:r w:rsidR="00A0175C" w:rsidRPr="00FD50F6">
        <w:rPr>
          <w:rFonts w:ascii="Times New Roman" w:eastAsia="黑体" w:hAnsi="Times New Roman" w:cs="Times New Roman"/>
          <w:bCs/>
          <w:sz w:val="22"/>
          <w:szCs w:val="22"/>
        </w:rPr>
        <w:t>11</w:t>
      </w:r>
      <w:r w:rsidRPr="00FD50F6">
        <w:rPr>
          <w:rFonts w:ascii="Times New Roman" w:eastAsia="黑体" w:hAnsi="Times New Roman" w:cs="Times New Roman"/>
          <w:bCs/>
          <w:sz w:val="22"/>
          <w:szCs w:val="22"/>
        </w:rPr>
        <w:t>.3.5</w:t>
      </w:r>
      <w:r w:rsidRPr="00FD50F6">
        <w:rPr>
          <w:rFonts w:ascii="Times New Roman" w:eastAsia="黑体" w:hAnsi="Times New Roman" w:cs="Times New Roman"/>
          <w:bCs/>
          <w:sz w:val="22"/>
          <w:szCs w:val="22"/>
        </w:rPr>
        <w:t>梁端转角示意图</w:t>
      </w:r>
    </w:p>
    <w:p w14:paraId="2798DC43" w14:textId="77777777" w:rsidR="0012415A" w:rsidRPr="00FD50F6" w:rsidRDefault="0012415A" w:rsidP="0012415A">
      <w:pPr>
        <w:adjustRightInd w:val="0"/>
        <w:snapToGrid w:val="0"/>
        <w:rPr>
          <w:rFonts w:ascii="Times New Roman" w:hAnsi="Times New Roman" w:cs="Times New Roman"/>
          <w:sz w:val="21"/>
          <w:szCs w:val="24"/>
        </w:rPr>
      </w:pPr>
    </w:p>
    <w:p w14:paraId="2E46C8EA" w14:textId="40E58FAF" w:rsidR="0012415A" w:rsidRPr="00FD50F6" w:rsidRDefault="0012415A" w:rsidP="0012415A">
      <w:pPr>
        <w:pStyle w:val="30"/>
      </w:pPr>
      <w:r w:rsidRPr="00FD50F6">
        <w:rPr>
          <w:rFonts w:hint="eastAsia"/>
        </w:rPr>
        <w:t>位于无缝线路固定区的混凝土简支梁，墩台顶纵向水平线刚度应由梁</w:t>
      </w:r>
      <w:r w:rsidRPr="00FD50F6">
        <w:t>-</w:t>
      </w:r>
      <w:r w:rsidRPr="00FD50F6">
        <w:rPr>
          <w:rFonts w:hint="eastAsia"/>
        </w:rPr>
        <w:t>轨共同作用分析确定。当不做梁</w:t>
      </w:r>
      <w:r w:rsidRPr="00FD50F6">
        <w:t>-</w:t>
      </w:r>
      <w:r w:rsidRPr="00FD50F6">
        <w:rPr>
          <w:rFonts w:hint="eastAsia"/>
        </w:rPr>
        <w:t>轨共同作用分析时，墩台顶纵向水平线刚度限值不宜小于表</w:t>
      </w:r>
      <w:r w:rsidR="00A0175C" w:rsidRPr="00FD50F6">
        <w:t>11</w:t>
      </w:r>
      <w:r w:rsidRPr="00FD50F6">
        <w:t>.3.</w:t>
      </w:r>
      <w:r w:rsidRPr="00FD50F6">
        <w:rPr>
          <w:rFonts w:hint="eastAsia"/>
        </w:rPr>
        <w:t>6</w:t>
      </w:r>
      <w:r w:rsidRPr="00FD50F6">
        <w:rPr>
          <w:rFonts w:hint="eastAsia"/>
        </w:rPr>
        <w:t>的规定。</w:t>
      </w:r>
    </w:p>
    <w:p w14:paraId="6C9672ED" w14:textId="41C60B22" w:rsidR="0012415A" w:rsidRPr="00FD50F6" w:rsidRDefault="0012415A" w:rsidP="0012415A">
      <w:pPr>
        <w:pStyle w:val="6"/>
      </w:pPr>
      <w:r w:rsidRPr="00FD50F6">
        <w:rPr>
          <w:rFonts w:hint="eastAsia"/>
        </w:rPr>
        <w:t>表</w:t>
      </w:r>
      <w:r w:rsidR="00A0175C" w:rsidRPr="00FD50F6">
        <w:t>11</w:t>
      </w:r>
      <w:r w:rsidRPr="00FD50F6">
        <w:t>.3.</w:t>
      </w:r>
      <w:r w:rsidRPr="00FD50F6">
        <w:rPr>
          <w:rFonts w:hint="eastAsia"/>
        </w:rPr>
        <w:t>6</w:t>
      </w:r>
      <w:r w:rsidRPr="00FD50F6">
        <w:rPr>
          <w:rFonts w:hint="eastAsia"/>
        </w:rPr>
        <w:t>墩台顶纵向水平线刚度限值</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2008"/>
        <w:gridCol w:w="1738"/>
        <w:gridCol w:w="2390"/>
        <w:gridCol w:w="2386"/>
      </w:tblGrid>
      <w:tr w:rsidR="00FD50F6" w:rsidRPr="00FD50F6" w14:paraId="74511DAA" w14:textId="77777777" w:rsidTr="000831EC">
        <w:trPr>
          <w:trHeight w:val="451"/>
          <w:jc w:val="center"/>
        </w:trPr>
        <w:tc>
          <w:tcPr>
            <w:tcW w:w="2008" w:type="dxa"/>
            <w:vMerge w:val="restart"/>
            <w:vAlign w:val="center"/>
          </w:tcPr>
          <w:p w14:paraId="62C3D798" w14:textId="77777777" w:rsidR="0012415A" w:rsidRPr="00FD50F6" w:rsidRDefault="0012415A" w:rsidP="000831EC">
            <w:pPr>
              <w:pStyle w:val="7"/>
            </w:pPr>
            <w:r w:rsidRPr="00FD50F6">
              <w:rPr>
                <w:rFonts w:hint="eastAsia"/>
              </w:rPr>
              <w:t>桥墩</w:t>
            </w:r>
            <w:r w:rsidRPr="00FD50F6">
              <w:t>/</w:t>
            </w:r>
            <w:r w:rsidRPr="00FD50F6">
              <w:rPr>
                <w:rFonts w:hint="eastAsia"/>
              </w:rPr>
              <w:t>桥台</w:t>
            </w:r>
          </w:p>
        </w:tc>
        <w:tc>
          <w:tcPr>
            <w:tcW w:w="1738" w:type="dxa"/>
            <w:vMerge w:val="restart"/>
            <w:vAlign w:val="center"/>
          </w:tcPr>
          <w:p w14:paraId="0E32D8D5" w14:textId="77777777" w:rsidR="0012415A" w:rsidRPr="00FD50F6" w:rsidRDefault="0012415A" w:rsidP="000831EC">
            <w:pPr>
              <w:pStyle w:val="7"/>
            </w:pPr>
            <w:r w:rsidRPr="00FD50F6">
              <w:rPr>
                <w:rFonts w:hint="eastAsia"/>
              </w:rPr>
              <w:t>跨度（</w:t>
            </w:r>
            <w:r w:rsidRPr="00FD50F6">
              <w:t>m</w:t>
            </w:r>
            <w:r w:rsidRPr="00FD50F6">
              <w:rPr>
                <w:rFonts w:hint="eastAsia"/>
              </w:rPr>
              <w:t>）</w:t>
            </w:r>
          </w:p>
        </w:tc>
        <w:tc>
          <w:tcPr>
            <w:tcW w:w="4776" w:type="dxa"/>
            <w:gridSpan w:val="2"/>
            <w:vAlign w:val="center"/>
          </w:tcPr>
          <w:p w14:paraId="4FB52B76" w14:textId="77777777" w:rsidR="0012415A" w:rsidRPr="00FD50F6" w:rsidRDefault="0012415A" w:rsidP="000831EC">
            <w:pPr>
              <w:pStyle w:val="7"/>
            </w:pPr>
            <w:r w:rsidRPr="00FD50F6">
              <w:rPr>
                <w:rFonts w:hint="eastAsia"/>
              </w:rPr>
              <w:t>最小水平线刚度（</w:t>
            </w:r>
            <w:r w:rsidRPr="00FD50F6">
              <w:t>kN/cm</w:t>
            </w:r>
            <w:r w:rsidRPr="00FD50F6">
              <w:rPr>
                <w:rFonts w:hint="eastAsia"/>
              </w:rPr>
              <w:t>）</w:t>
            </w:r>
          </w:p>
        </w:tc>
      </w:tr>
      <w:tr w:rsidR="00FD50F6" w:rsidRPr="00FD50F6" w14:paraId="32259E2F" w14:textId="77777777" w:rsidTr="000831EC">
        <w:trPr>
          <w:trHeight w:val="451"/>
          <w:jc w:val="center"/>
        </w:trPr>
        <w:tc>
          <w:tcPr>
            <w:tcW w:w="2008" w:type="dxa"/>
            <w:vMerge/>
            <w:vAlign w:val="center"/>
          </w:tcPr>
          <w:p w14:paraId="66EBEDC1" w14:textId="77777777" w:rsidR="0012415A" w:rsidRPr="00FD50F6" w:rsidRDefault="0012415A" w:rsidP="000831EC">
            <w:pPr>
              <w:pStyle w:val="7"/>
            </w:pPr>
          </w:p>
        </w:tc>
        <w:tc>
          <w:tcPr>
            <w:tcW w:w="1738" w:type="dxa"/>
            <w:vMerge/>
            <w:vAlign w:val="center"/>
          </w:tcPr>
          <w:p w14:paraId="040CEDA4" w14:textId="77777777" w:rsidR="0012415A" w:rsidRPr="00FD50F6" w:rsidRDefault="0012415A" w:rsidP="000831EC">
            <w:pPr>
              <w:pStyle w:val="7"/>
            </w:pPr>
          </w:p>
        </w:tc>
        <w:tc>
          <w:tcPr>
            <w:tcW w:w="2390" w:type="dxa"/>
            <w:vAlign w:val="center"/>
          </w:tcPr>
          <w:p w14:paraId="7F056EF6" w14:textId="77777777" w:rsidR="0012415A" w:rsidRPr="00FD50F6" w:rsidRDefault="0012415A" w:rsidP="000831EC">
            <w:pPr>
              <w:pStyle w:val="7"/>
            </w:pPr>
            <w:r w:rsidRPr="00FD50F6">
              <w:rPr>
                <w:rFonts w:hint="eastAsia"/>
              </w:rPr>
              <w:t>双线</w:t>
            </w:r>
          </w:p>
        </w:tc>
        <w:tc>
          <w:tcPr>
            <w:tcW w:w="2386" w:type="dxa"/>
            <w:vAlign w:val="center"/>
          </w:tcPr>
          <w:p w14:paraId="0E7ED106" w14:textId="77777777" w:rsidR="0012415A" w:rsidRPr="00FD50F6" w:rsidRDefault="0012415A" w:rsidP="000831EC">
            <w:pPr>
              <w:pStyle w:val="7"/>
            </w:pPr>
            <w:r w:rsidRPr="00FD50F6">
              <w:rPr>
                <w:rFonts w:hint="eastAsia"/>
              </w:rPr>
              <w:t>单线</w:t>
            </w:r>
          </w:p>
        </w:tc>
      </w:tr>
      <w:tr w:rsidR="00FD50F6" w:rsidRPr="00FD50F6" w14:paraId="54A0CEE6" w14:textId="77777777" w:rsidTr="000831EC">
        <w:trPr>
          <w:trHeight w:val="451"/>
          <w:jc w:val="center"/>
        </w:trPr>
        <w:tc>
          <w:tcPr>
            <w:tcW w:w="2008" w:type="dxa"/>
            <w:vMerge w:val="restart"/>
            <w:vAlign w:val="center"/>
          </w:tcPr>
          <w:p w14:paraId="68324418" w14:textId="77777777" w:rsidR="0012415A" w:rsidRPr="00FD50F6" w:rsidRDefault="0012415A" w:rsidP="000831EC">
            <w:pPr>
              <w:pStyle w:val="7"/>
            </w:pPr>
            <w:r w:rsidRPr="00FD50F6">
              <w:rPr>
                <w:rFonts w:hint="eastAsia"/>
              </w:rPr>
              <w:t>桥墩</w:t>
            </w:r>
          </w:p>
        </w:tc>
        <w:tc>
          <w:tcPr>
            <w:tcW w:w="1738" w:type="dxa"/>
            <w:vAlign w:val="center"/>
          </w:tcPr>
          <w:p w14:paraId="6B6B3072" w14:textId="77777777" w:rsidR="0012415A" w:rsidRPr="00FD50F6" w:rsidRDefault="0012415A" w:rsidP="000831EC">
            <w:pPr>
              <w:pStyle w:val="7"/>
            </w:pPr>
            <w:r w:rsidRPr="00FD50F6">
              <w:rPr>
                <w:rFonts w:hint="eastAsia"/>
              </w:rPr>
              <w:t>≤</w:t>
            </w:r>
            <w:r w:rsidRPr="00FD50F6">
              <w:t>12</w:t>
            </w:r>
          </w:p>
        </w:tc>
        <w:tc>
          <w:tcPr>
            <w:tcW w:w="2390" w:type="dxa"/>
            <w:vAlign w:val="center"/>
          </w:tcPr>
          <w:p w14:paraId="0A2E7C8E" w14:textId="77777777" w:rsidR="0012415A" w:rsidRPr="00FD50F6" w:rsidRDefault="0012415A" w:rsidP="000831EC">
            <w:pPr>
              <w:pStyle w:val="7"/>
            </w:pPr>
            <w:r w:rsidRPr="00FD50F6">
              <w:t>75</w:t>
            </w:r>
          </w:p>
        </w:tc>
        <w:tc>
          <w:tcPr>
            <w:tcW w:w="2386" w:type="dxa"/>
            <w:vAlign w:val="center"/>
          </w:tcPr>
          <w:p w14:paraId="346CFFDF" w14:textId="77777777" w:rsidR="0012415A" w:rsidRPr="00FD50F6" w:rsidRDefault="0012415A" w:rsidP="000831EC">
            <w:pPr>
              <w:pStyle w:val="7"/>
            </w:pPr>
            <w:r w:rsidRPr="00FD50F6">
              <w:t>45</w:t>
            </w:r>
          </w:p>
        </w:tc>
      </w:tr>
      <w:tr w:rsidR="00FD50F6" w:rsidRPr="00FD50F6" w14:paraId="23BDA9FB" w14:textId="77777777" w:rsidTr="000831EC">
        <w:trPr>
          <w:trHeight w:val="451"/>
          <w:jc w:val="center"/>
        </w:trPr>
        <w:tc>
          <w:tcPr>
            <w:tcW w:w="2008" w:type="dxa"/>
            <w:vMerge/>
            <w:vAlign w:val="center"/>
          </w:tcPr>
          <w:p w14:paraId="382E32EF" w14:textId="77777777" w:rsidR="0012415A" w:rsidRPr="00FD50F6" w:rsidRDefault="0012415A" w:rsidP="000831EC">
            <w:pPr>
              <w:pStyle w:val="7"/>
            </w:pPr>
          </w:p>
        </w:tc>
        <w:tc>
          <w:tcPr>
            <w:tcW w:w="1738" w:type="dxa"/>
            <w:vAlign w:val="center"/>
          </w:tcPr>
          <w:p w14:paraId="5F64CB72" w14:textId="77777777" w:rsidR="0012415A" w:rsidRPr="00FD50F6" w:rsidRDefault="0012415A" w:rsidP="000831EC">
            <w:pPr>
              <w:pStyle w:val="7"/>
            </w:pPr>
            <w:r w:rsidRPr="00FD50F6">
              <w:t>16</w:t>
            </w:r>
          </w:p>
        </w:tc>
        <w:tc>
          <w:tcPr>
            <w:tcW w:w="2390" w:type="dxa"/>
            <w:vAlign w:val="center"/>
          </w:tcPr>
          <w:p w14:paraId="38DDBF56" w14:textId="77777777" w:rsidR="0012415A" w:rsidRPr="00FD50F6" w:rsidRDefault="0012415A" w:rsidP="000831EC">
            <w:pPr>
              <w:pStyle w:val="7"/>
            </w:pPr>
            <w:r w:rsidRPr="00FD50F6">
              <w:t>120</w:t>
            </w:r>
          </w:p>
        </w:tc>
        <w:tc>
          <w:tcPr>
            <w:tcW w:w="2386" w:type="dxa"/>
            <w:vAlign w:val="center"/>
          </w:tcPr>
          <w:p w14:paraId="2E0227CD" w14:textId="77777777" w:rsidR="0012415A" w:rsidRPr="00FD50F6" w:rsidRDefault="0012415A" w:rsidP="000831EC">
            <w:pPr>
              <w:pStyle w:val="7"/>
            </w:pPr>
            <w:r w:rsidRPr="00FD50F6">
              <w:t>75</w:t>
            </w:r>
          </w:p>
        </w:tc>
      </w:tr>
      <w:tr w:rsidR="00FD50F6" w:rsidRPr="00FD50F6" w14:paraId="505B8A34" w14:textId="77777777" w:rsidTr="000831EC">
        <w:trPr>
          <w:trHeight w:val="451"/>
          <w:jc w:val="center"/>
        </w:trPr>
        <w:tc>
          <w:tcPr>
            <w:tcW w:w="2008" w:type="dxa"/>
            <w:vMerge/>
            <w:vAlign w:val="center"/>
          </w:tcPr>
          <w:p w14:paraId="3E2ED91A" w14:textId="77777777" w:rsidR="0012415A" w:rsidRPr="00FD50F6" w:rsidRDefault="0012415A" w:rsidP="000831EC">
            <w:pPr>
              <w:pStyle w:val="7"/>
            </w:pPr>
          </w:p>
        </w:tc>
        <w:tc>
          <w:tcPr>
            <w:tcW w:w="1738" w:type="dxa"/>
            <w:vAlign w:val="center"/>
          </w:tcPr>
          <w:p w14:paraId="264B88E6" w14:textId="77777777" w:rsidR="0012415A" w:rsidRPr="00FD50F6" w:rsidRDefault="0012415A" w:rsidP="000831EC">
            <w:pPr>
              <w:pStyle w:val="7"/>
            </w:pPr>
            <w:r w:rsidRPr="00FD50F6">
              <w:t>20</w:t>
            </w:r>
          </w:p>
        </w:tc>
        <w:tc>
          <w:tcPr>
            <w:tcW w:w="2390" w:type="dxa"/>
            <w:vAlign w:val="center"/>
          </w:tcPr>
          <w:p w14:paraId="3ACF99D9" w14:textId="77777777" w:rsidR="0012415A" w:rsidRPr="00FD50F6" w:rsidRDefault="0012415A" w:rsidP="000831EC">
            <w:pPr>
              <w:pStyle w:val="7"/>
            </w:pPr>
            <w:r w:rsidRPr="00FD50F6">
              <w:t>145</w:t>
            </w:r>
          </w:p>
        </w:tc>
        <w:tc>
          <w:tcPr>
            <w:tcW w:w="2386" w:type="dxa"/>
            <w:vAlign w:val="center"/>
          </w:tcPr>
          <w:p w14:paraId="494DFFCF" w14:textId="77777777" w:rsidR="0012415A" w:rsidRPr="00FD50F6" w:rsidRDefault="0012415A" w:rsidP="000831EC">
            <w:pPr>
              <w:pStyle w:val="7"/>
            </w:pPr>
            <w:r w:rsidRPr="00FD50F6">
              <w:t>90</w:t>
            </w:r>
          </w:p>
        </w:tc>
      </w:tr>
      <w:tr w:rsidR="00FD50F6" w:rsidRPr="00FD50F6" w14:paraId="35E92D11" w14:textId="77777777" w:rsidTr="000831EC">
        <w:trPr>
          <w:trHeight w:val="451"/>
          <w:jc w:val="center"/>
        </w:trPr>
        <w:tc>
          <w:tcPr>
            <w:tcW w:w="2008" w:type="dxa"/>
            <w:vMerge/>
            <w:vAlign w:val="center"/>
          </w:tcPr>
          <w:p w14:paraId="62D1DD35" w14:textId="77777777" w:rsidR="0012415A" w:rsidRPr="00FD50F6" w:rsidRDefault="0012415A" w:rsidP="000831EC">
            <w:pPr>
              <w:pStyle w:val="7"/>
            </w:pPr>
          </w:p>
        </w:tc>
        <w:tc>
          <w:tcPr>
            <w:tcW w:w="1738" w:type="dxa"/>
            <w:vAlign w:val="center"/>
          </w:tcPr>
          <w:p w14:paraId="28201ECF" w14:textId="77777777" w:rsidR="0012415A" w:rsidRPr="00FD50F6" w:rsidRDefault="0012415A" w:rsidP="000831EC">
            <w:pPr>
              <w:pStyle w:val="7"/>
            </w:pPr>
            <w:r w:rsidRPr="00FD50F6">
              <w:t>24</w:t>
            </w:r>
          </w:p>
        </w:tc>
        <w:tc>
          <w:tcPr>
            <w:tcW w:w="2390" w:type="dxa"/>
            <w:vAlign w:val="center"/>
          </w:tcPr>
          <w:p w14:paraId="734ABBE5" w14:textId="77777777" w:rsidR="0012415A" w:rsidRPr="00FD50F6" w:rsidRDefault="0012415A" w:rsidP="000831EC">
            <w:pPr>
              <w:pStyle w:val="7"/>
            </w:pPr>
            <w:r w:rsidRPr="00FD50F6">
              <w:t>210</w:t>
            </w:r>
          </w:p>
        </w:tc>
        <w:tc>
          <w:tcPr>
            <w:tcW w:w="2386" w:type="dxa"/>
            <w:vAlign w:val="center"/>
          </w:tcPr>
          <w:p w14:paraId="15173216" w14:textId="77777777" w:rsidR="0012415A" w:rsidRPr="00FD50F6" w:rsidRDefault="0012415A" w:rsidP="000831EC">
            <w:pPr>
              <w:pStyle w:val="7"/>
            </w:pPr>
            <w:r w:rsidRPr="00FD50F6">
              <w:t>130</w:t>
            </w:r>
          </w:p>
        </w:tc>
      </w:tr>
      <w:tr w:rsidR="00FD50F6" w:rsidRPr="00FD50F6" w14:paraId="3B6804AF" w14:textId="77777777" w:rsidTr="000831EC">
        <w:trPr>
          <w:trHeight w:val="451"/>
          <w:jc w:val="center"/>
        </w:trPr>
        <w:tc>
          <w:tcPr>
            <w:tcW w:w="2008" w:type="dxa"/>
            <w:vMerge/>
            <w:vAlign w:val="center"/>
          </w:tcPr>
          <w:p w14:paraId="4D72AC0F" w14:textId="77777777" w:rsidR="0012415A" w:rsidRPr="00FD50F6" w:rsidRDefault="0012415A" w:rsidP="000831EC">
            <w:pPr>
              <w:pStyle w:val="7"/>
            </w:pPr>
          </w:p>
        </w:tc>
        <w:tc>
          <w:tcPr>
            <w:tcW w:w="1738" w:type="dxa"/>
            <w:vAlign w:val="center"/>
          </w:tcPr>
          <w:p w14:paraId="433F8ED8" w14:textId="77777777" w:rsidR="0012415A" w:rsidRPr="00FD50F6" w:rsidRDefault="0012415A" w:rsidP="000831EC">
            <w:pPr>
              <w:pStyle w:val="7"/>
            </w:pPr>
            <w:r w:rsidRPr="00FD50F6">
              <w:t>32</w:t>
            </w:r>
          </w:p>
        </w:tc>
        <w:tc>
          <w:tcPr>
            <w:tcW w:w="2390" w:type="dxa"/>
            <w:vAlign w:val="center"/>
          </w:tcPr>
          <w:p w14:paraId="7857D4AC" w14:textId="77777777" w:rsidR="0012415A" w:rsidRPr="00FD50F6" w:rsidRDefault="0012415A" w:rsidP="000831EC">
            <w:pPr>
              <w:pStyle w:val="7"/>
            </w:pPr>
            <w:r w:rsidRPr="00FD50F6">
              <w:t>265</w:t>
            </w:r>
          </w:p>
        </w:tc>
        <w:tc>
          <w:tcPr>
            <w:tcW w:w="2386" w:type="dxa"/>
            <w:vAlign w:val="center"/>
          </w:tcPr>
          <w:p w14:paraId="5C86D360" w14:textId="77777777" w:rsidR="0012415A" w:rsidRPr="00FD50F6" w:rsidRDefault="0012415A" w:rsidP="000831EC">
            <w:pPr>
              <w:pStyle w:val="7"/>
            </w:pPr>
            <w:r w:rsidRPr="00FD50F6">
              <w:t>165</w:t>
            </w:r>
          </w:p>
        </w:tc>
      </w:tr>
      <w:tr w:rsidR="00FD50F6" w:rsidRPr="00FD50F6" w14:paraId="54E92841" w14:textId="77777777" w:rsidTr="000831EC">
        <w:trPr>
          <w:trHeight w:val="451"/>
          <w:jc w:val="center"/>
        </w:trPr>
        <w:tc>
          <w:tcPr>
            <w:tcW w:w="2008" w:type="dxa"/>
            <w:vMerge/>
            <w:vAlign w:val="center"/>
          </w:tcPr>
          <w:p w14:paraId="20887C40" w14:textId="77777777" w:rsidR="0012415A" w:rsidRPr="00FD50F6" w:rsidRDefault="0012415A" w:rsidP="000831EC">
            <w:pPr>
              <w:pStyle w:val="7"/>
            </w:pPr>
          </w:p>
        </w:tc>
        <w:tc>
          <w:tcPr>
            <w:tcW w:w="1738" w:type="dxa"/>
            <w:vAlign w:val="center"/>
          </w:tcPr>
          <w:p w14:paraId="2F137273" w14:textId="77777777" w:rsidR="0012415A" w:rsidRPr="00FD50F6" w:rsidRDefault="0012415A" w:rsidP="000831EC">
            <w:pPr>
              <w:pStyle w:val="7"/>
            </w:pPr>
            <w:r w:rsidRPr="00FD50F6">
              <w:t>40</w:t>
            </w:r>
          </w:p>
        </w:tc>
        <w:tc>
          <w:tcPr>
            <w:tcW w:w="2390" w:type="dxa"/>
            <w:vAlign w:val="center"/>
          </w:tcPr>
          <w:p w14:paraId="181A7F65" w14:textId="77777777" w:rsidR="0012415A" w:rsidRPr="00FD50F6" w:rsidRDefault="0012415A" w:rsidP="000831EC">
            <w:pPr>
              <w:pStyle w:val="7"/>
            </w:pPr>
            <w:r w:rsidRPr="00FD50F6">
              <w:t>415</w:t>
            </w:r>
          </w:p>
        </w:tc>
        <w:tc>
          <w:tcPr>
            <w:tcW w:w="2386" w:type="dxa"/>
            <w:vAlign w:val="center"/>
          </w:tcPr>
          <w:p w14:paraId="4B960275" w14:textId="77777777" w:rsidR="0012415A" w:rsidRPr="00FD50F6" w:rsidRDefault="0012415A" w:rsidP="000831EC">
            <w:pPr>
              <w:pStyle w:val="7"/>
            </w:pPr>
            <w:r w:rsidRPr="00FD50F6">
              <w:t>255</w:t>
            </w:r>
          </w:p>
        </w:tc>
      </w:tr>
      <w:tr w:rsidR="00FD50F6" w:rsidRPr="00FD50F6" w14:paraId="51F19E49" w14:textId="77777777" w:rsidTr="000831EC">
        <w:trPr>
          <w:trHeight w:val="451"/>
          <w:jc w:val="center"/>
        </w:trPr>
        <w:tc>
          <w:tcPr>
            <w:tcW w:w="3746" w:type="dxa"/>
            <w:gridSpan w:val="2"/>
            <w:tcBorders>
              <w:bottom w:val="single" w:sz="4" w:space="0" w:color="auto"/>
            </w:tcBorders>
            <w:vAlign w:val="center"/>
          </w:tcPr>
          <w:p w14:paraId="0FBA3915" w14:textId="77777777" w:rsidR="0012415A" w:rsidRPr="00FD50F6" w:rsidRDefault="0012415A" w:rsidP="000831EC">
            <w:pPr>
              <w:pStyle w:val="7"/>
            </w:pPr>
            <w:r w:rsidRPr="00FD50F6">
              <w:rPr>
                <w:rFonts w:hint="eastAsia"/>
              </w:rPr>
              <w:t>桥台</w:t>
            </w:r>
          </w:p>
        </w:tc>
        <w:tc>
          <w:tcPr>
            <w:tcW w:w="2390" w:type="dxa"/>
            <w:tcBorders>
              <w:bottom w:val="single" w:sz="4" w:space="0" w:color="auto"/>
            </w:tcBorders>
            <w:vAlign w:val="center"/>
          </w:tcPr>
          <w:p w14:paraId="762C8A94" w14:textId="77777777" w:rsidR="0012415A" w:rsidRPr="00FD50F6" w:rsidRDefault="0012415A" w:rsidP="000831EC">
            <w:pPr>
              <w:pStyle w:val="7"/>
            </w:pPr>
            <w:r w:rsidRPr="00FD50F6">
              <w:t>3000</w:t>
            </w:r>
          </w:p>
        </w:tc>
        <w:tc>
          <w:tcPr>
            <w:tcW w:w="2386" w:type="dxa"/>
            <w:tcBorders>
              <w:bottom w:val="single" w:sz="4" w:space="0" w:color="auto"/>
            </w:tcBorders>
            <w:vAlign w:val="center"/>
          </w:tcPr>
          <w:p w14:paraId="25CD5990" w14:textId="77777777" w:rsidR="0012415A" w:rsidRPr="00FD50F6" w:rsidRDefault="0012415A" w:rsidP="000831EC">
            <w:pPr>
              <w:pStyle w:val="7"/>
            </w:pPr>
            <w:r w:rsidRPr="00FD50F6">
              <w:t>1500</w:t>
            </w:r>
          </w:p>
        </w:tc>
      </w:tr>
    </w:tbl>
    <w:p w14:paraId="06607B11" w14:textId="77777777" w:rsidR="0012415A" w:rsidRPr="00FD50F6" w:rsidRDefault="0012415A" w:rsidP="0012415A">
      <w:pPr>
        <w:pStyle w:val="30"/>
      </w:pPr>
      <w:r w:rsidRPr="00FD50F6">
        <w:rPr>
          <w:rFonts w:hint="eastAsia"/>
        </w:rPr>
        <w:t>简支梁桥墩台顶面顺桥方向的弹性水平位移应满足下式要求：</w:t>
      </w:r>
    </w:p>
    <w:p w14:paraId="3E5DE270" w14:textId="65A5FA08" w:rsidR="0012415A" w:rsidRPr="00FD50F6" w:rsidRDefault="0012415A" w:rsidP="0012415A">
      <w:pPr>
        <w:pStyle w:val="8"/>
        <w:ind w:firstLine="480"/>
        <w:jc w:val="center"/>
      </w:pPr>
      <w:r w:rsidRPr="00117F3F">
        <w:rPr>
          <w:rFonts w:hint="eastAsia"/>
          <w:i/>
          <w:iCs/>
        </w:rPr>
        <w:t>△</w:t>
      </w:r>
      <w:r w:rsidRPr="00FD50F6">
        <w:rPr>
          <w:rFonts w:hint="eastAsia"/>
        </w:rPr>
        <w:t>≤</w:t>
      </w:r>
      <w:r w:rsidRPr="00FD50F6">
        <w:rPr>
          <w:rFonts w:hint="eastAsia"/>
        </w:rPr>
        <w:t>5</w:t>
      </w:r>
      <w:r w:rsidR="00214383" w:rsidRPr="00214383">
        <w:rPr>
          <w:noProof/>
          <w:position w:val="-6"/>
        </w:rPr>
        <w:object w:dxaOrig="380" w:dyaOrig="360" w14:anchorId="01C9D74B">
          <v:shape id="_x0000_i1050" type="#_x0000_t75" alt="" style="width:20.2pt;height:22.35pt" o:ole="">
            <v:imagedata r:id="rId61" o:title=""/>
          </v:shape>
          <o:OLEObject Type="Embed" ProgID="Equation.3" ShapeID="_x0000_i1050" DrawAspect="Content" ObjectID="_1731840767" r:id="rId62"/>
        </w:object>
      </w:r>
      <w:r w:rsidRPr="00FD50F6">
        <w:t xml:space="preserve">      </w:t>
      </w:r>
      <w:r w:rsidRPr="00FD50F6">
        <w:rPr>
          <w:rFonts w:hint="eastAsia"/>
        </w:rPr>
        <w:t>（</w:t>
      </w:r>
      <w:r w:rsidR="00A0175C" w:rsidRPr="00FD50F6">
        <w:t>11</w:t>
      </w:r>
      <w:r w:rsidRPr="00FD50F6">
        <w:t>.3.7</w:t>
      </w:r>
      <w:r w:rsidRPr="00FD50F6">
        <w:rPr>
          <w:rFonts w:hint="eastAsia"/>
        </w:rPr>
        <w:t>）</w:t>
      </w:r>
    </w:p>
    <w:p w14:paraId="21DEBF20" w14:textId="77777777" w:rsidR="00CE0DA1" w:rsidRPr="00FD50F6" w:rsidRDefault="0012415A" w:rsidP="00117F3F">
      <w:pPr>
        <w:pStyle w:val="8"/>
        <w:ind w:firstLineChars="0" w:firstLine="0"/>
      </w:pPr>
      <w:r w:rsidRPr="00FD50F6">
        <w:rPr>
          <w:rFonts w:hint="eastAsia"/>
        </w:rPr>
        <w:t>式中：</w:t>
      </w:r>
      <w:r w:rsidR="00CE0DA1" w:rsidRPr="00FD50F6">
        <w:rPr>
          <w:rFonts w:hint="eastAsia"/>
        </w:rPr>
        <w:t>△</w:t>
      </w:r>
      <w:r w:rsidR="00CE0DA1" w:rsidRPr="00FD50F6">
        <w:t>——</w:t>
      </w:r>
      <w:r w:rsidR="00CE0DA1" w:rsidRPr="00FD50F6">
        <w:rPr>
          <w:rFonts w:hint="eastAsia"/>
        </w:rPr>
        <w:t>墩顶顺桥方向水平位移</w:t>
      </w:r>
      <w:r w:rsidR="00CE0DA1" w:rsidRPr="00FD50F6">
        <w:t>(mm)</w:t>
      </w:r>
      <w:r w:rsidR="00CE0DA1" w:rsidRPr="00FD50F6">
        <w:rPr>
          <w:rFonts w:hint="eastAsia"/>
        </w:rPr>
        <w:t>，包括墩身和基础的弹性变形及地基弹性变形的影响。</w:t>
      </w:r>
    </w:p>
    <w:p w14:paraId="32C4C36C" w14:textId="2E71B31A" w:rsidR="0012415A" w:rsidRPr="00FD50F6" w:rsidRDefault="0012415A" w:rsidP="00117F3F">
      <w:pPr>
        <w:pStyle w:val="8"/>
        <w:ind w:firstLineChars="250" w:firstLine="600"/>
      </w:pPr>
      <w:r w:rsidRPr="00117F3F">
        <w:rPr>
          <w:i/>
          <w:iCs/>
        </w:rPr>
        <w:t>L</w:t>
      </w:r>
      <w:r w:rsidRPr="00FD50F6">
        <w:t>——</w:t>
      </w:r>
      <w:r w:rsidRPr="00FD50F6">
        <w:rPr>
          <w:rFonts w:hint="eastAsia"/>
        </w:rPr>
        <w:t>桥梁跨度（</w:t>
      </w:r>
      <w:r w:rsidRPr="00FD50F6">
        <w:t>m</w:t>
      </w:r>
      <w:r w:rsidRPr="00FD50F6">
        <w:rPr>
          <w:rFonts w:hint="eastAsia"/>
        </w:rPr>
        <w:t>），当为不等跨时，采用相邻跨中的较小跨度，当</w:t>
      </w:r>
      <w:r w:rsidRPr="00117F3F">
        <w:rPr>
          <w:i/>
          <w:iCs/>
        </w:rPr>
        <w:t>L</w:t>
      </w:r>
      <w:r w:rsidRPr="00FD50F6">
        <w:rPr>
          <w:rFonts w:hint="eastAsia"/>
        </w:rPr>
        <w:t>＜</w:t>
      </w:r>
      <w:r w:rsidRPr="00FD50F6">
        <w:t>25m</w:t>
      </w:r>
      <w:r w:rsidRPr="00FD50F6">
        <w:rPr>
          <w:rFonts w:hint="eastAsia"/>
        </w:rPr>
        <w:t>时，</w:t>
      </w:r>
      <w:r w:rsidRPr="00117F3F">
        <w:rPr>
          <w:i/>
          <w:iCs/>
        </w:rPr>
        <w:t>L</w:t>
      </w:r>
      <w:r w:rsidRPr="00FD50F6">
        <w:rPr>
          <w:rFonts w:hint="eastAsia"/>
        </w:rPr>
        <w:t>按</w:t>
      </w:r>
      <w:r w:rsidRPr="00FD50F6">
        <w:t>25m</w:t>
      </w:r>
      <w:r w:rsidRPr="00FD50F6">
        <w:rPr>
          <w:rFonts w:hint="eastAsia"/>
        </w:rPr>
        <w:t>计；</w:t>
      </w:r>
    </w:p>
    <w:p w14:paraId="5E834BCF" w14:textId="77777777" w:rsidR="0012415A" w:rsidRPr="00FD50F6" w:rsidRDefault="0012415A" w:rsidP="0012415A">
      <w:pPr>
        <w:pStyle w:val="30"/>
      </w:pPr>
      <w:r w:rsidRPr="00FD50F6">
        <w:rPr>
          <w:rFonts w:hint="eastAsia"/>
        </w:rPr>
        <w:t>墩台横向水平刚度应满足行车条件下列车安全性和乘客乘车舒适度要求，并应对最不利荷载作用下墩台顶横向弹性水平位移进行计算。在列车竖向静活载、横向摇摆力、离心力、风力和温度作用下，墩顶横向水平位移引起的桥面处梁端水平折角应符合下列规定：</w:t>
      </w:r>
    </w:p>
    <w:p w14:paraId="6E0034E4" w14:textId="3107947A" w:rsidR="0012415A" w:rsidRPr="00FD50F6" w:rsidRDefault="0012415A" w:rsidP="00A926BD">
      <w:pPr>
        <w:pStyle w:val="4"/>
      </w:pPr>
      <w:r w:rsidRPr="00FD50F6">
        <w:rPr>
          <w:rFonts w:hint="eastAsia"/>
        </w:rPr>
        <w:t>跨度小于</w:t>
      </w:r>
      <w:r w:rsidRPr="00FD50F6">
        <w:t>40m</w:t>
      </w:r>
      <w:r w:rsidRPr="00FD50F6">
        <w:rPr>
          <w:rFonts w:hint="eastAsia"/>
        </w:rPr>
        <w:t>的梁端水平折角不应大于</w:t>
      </w:r>
      <w:r w:rsidRPr="00FD50F6">
        <w:t>1.5</w:t>
      </w:r>
      <w:r w:rsidRPr="00FD50F6">
        <w:rPr>
          <w:rFonts w:hint="eastAsia"/>
        </w:rPr>
        <w:t>‰</w:t>
      </w:r>
      <w:r w:rsidRPr="00FD50F6">
        <w:t xml:space="preserve"> rad</w:t>
      </w:r>
      <w:r w:rsidRPr="00FD50F6">
        <w:rPr>
          <w:rFonts w:hint="eastAsia"/>
        </w:rPr>
        <w:t>，跨度大于或等于</w:t>
      </w:r>
      <w:r w:rsidRPr="00FD50F6">
        <w:t>40m</w:t>
      </w:r>
      <w:r w:rsidRPr="00FD50F6">
        <w:rPr>
          <w:rFonts w:hint="eastAsia"/>
        </w:rPr>
        <w:t>的梁端水平折角不应大于</w:t>
      </w:r>
      <w:r w:rsidRPr="00FD50F6">
        <w:t>1.0</w:t>
      </w:r>
      <w:r w:rsidRPr="00FD50F6">
        <w:rPr>
          <w:rFonts w:hint="eastAsia"/>
        </w:rPr>
        <w:t>‰</w:t>
      </w:r>
      <w:r w:rsidRPr="00FD50F6">
        <w:t>rad</w:t>
      </w:r>
      <w:r w:rsidR="00CE0DA1">
        <w:rPr>
          <w:rFonts w:hint="eastAsia"/>
        </w:rPr>
        <w:t>。</w:t>
      </w:r>
    </w:p>
    <w:p w14:paraId="18F9EFDD" w14:textId="0304F843" w:rsidR="0012415A" w:rsidRPr="00FD50F6" w:rsidRDefault="0012415A" w:rsidP="00A926BD">
      <w:pPr>
        <w:pStyle w:val="4"/>
      </w:pPr>
      <w:r w:rsidRPr="00FD50F6">
        <w:rPr>
          <w:rFonts w:hint="eastAsia"/>
        </w:rPr>
        <w:t>梁端水平折角计算应计入以下荷载作用：竖向静活载；曲线上列车离心力；列车横向摇摆力；列车、梁及墩身风荷载或</w:t>
      </w:r>
      <w:r w:rsidRPr="00FD50F6">
        <w:t>0.4</w:t>
      </w:r>
      <w:r w:rsidRPr="00FD50F6">
        <w:rPr>
          <w:rFonts w:hint="eastAsia"/>
        </w:rPr>
        <w:t>倍的风荷载与</w:t>
      </w:r>
      <w:r w:rsidRPr="00FD50F6">
        <w:t>0.5</w:t>
      </w:r>
      <w:r w:rsidRPr="00FD50F6">
        <w:rPr>
          <w:rFonts w:hint="eastAsia"/>
        </w:rPr>
        <w:t>倍的桥墩温差组合作用，取较大值；水中墩的水流压力的作用；地基基础弹性变形引起的墩顶水平位移。</w:t>
      </w:r>
    </w:p>
    <w:p w14:paraId="4773AD74" w14:textId="098588B5" w:rsidR="0012415A" w:rsidRPr="00FD50F6" w:rsidRDefault="0012415A" w:rsidP="0012415A">
      <w:pPr>
        <w:pStyle w:val="30"/>
      </w:pPr>
      <w:r w:rsidRPr="00FD50F6">
        <w:rPr>
          <w:rFonts w:hint="eastAsia"/>
        </w:rPr>
        <w:t>墩台基础的沉降应按恒载计算，其工后沉降量不应超出表</w:t>
      </w:r>
      <w:r w:rsidR="00A0175C" w:rsidRPr="00FD50F6">
        <w:t>11</w:t>
      </w:r>
      <w:r w:rsidRPr="00FD50F6">
        <w:t>.3.</w:t>
      </w:r>
      <w:r w:rsidRPr="00FD50F6">
        <w:rPr>
          <w:rFonts w:hint="eastAsia"/>
        </w:rPr>
        <w:t>9</w:t>
      </w:r>
      <w:r w:rsidRPr="00FD50F6">
        <w:rPr>
          <w:rFonts w:hint="eastAsia"/>
        </w:rPr>
        <w:t>规定的限值。超静定结构相邻墩台沉降量之差除应满足表</w:t>
      </w:r>
      <w:r w:rsidRPr="00FD50F6">
        <w:rPr>
          <w:rFonts w:hint="eastAsia"/>
        </w:rPr>
        <w:t>1</w:t>
      </w:r>
      <w:r w:rsidR="00A0175C" w:rsidRPr="00FD50F6">
        <w:t>1</w:t>
      </w:r>
      <w:r w:rsidRPr="00FD50F6">
        <w:rPr>
          <w:rFonts w:hint="eastAsia"/>
        </w:rPr>
        <w:t>.3.9</w:t>
      </w:r>
      <w:r w:rsidRPr="00FD50F6">
        <w:rPr>
          <w:rFonts w:hint="eastAsia"/>
        </w:rPr>
        <w:t>的规定外，尚应根据沉降差对结构产生的附加应力的影响确定。墩台基础沉降计算值不应含区域沉降。</w:t>
      </w:r>
    </w:p>
    <w:p w14:paraId="3BD20F83" w14:textId="68EE3A4D" w:rsidR="0012415A" w:rsidRPr="00FD50F6" w:rsidRDefault="0012415A" w:rsidP="0012415A">
      <w:pPr>
        <w:pStyle w:val="6"/>
      </w:pPr>
      <w:r w:rsidRPr="00FD50F6">
        <w:rPr>
          <w:rFonts w:hint="eastAsia"/>
        </w:rPr>
        <w:t>表</w:t>
      </w:r>
      <w:r w:rsidR="00A0175C" w:rsidRPr="00FD50F6">
        <w:t>11</w:t>
      </w:r>
      <w:r w:rsidRPr="00FD50F6">
        <w:t>.3.</w:t>
      </w:r>
      <w:r w:rsidRPr="00FD50F6">
        <w:rPr>
          <w:rFonts w:hint="eastAsia"/>
        </w:rPr>
        <w:t>9</w:t>
      </w:r>
      <w:r w:rsidRPr="00FD50F6">
        <w:rPr>
          <w:rFonts w:hint="eastAsia"/>
        </w:rPr>
        <w:t>墩台基础工程沉降限值（</w:t>
      </w:r>
      <w:r w:rsidRPr="00FD50F6">
        <w:t>mm</w:t>
      </w:r>
      <w:r w:rsidRPr="00FD50F6">
        <w:rPr>
          <w:rFonts w:hint="eastAsia"/>
        </w:rPr>
        <w:t>）</w:t>
      </w:r>
    </w:p>
    <w:tbl>
      <w:tblPr>
        <w:tblStyle w:val="1b"/>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7"/>
        <w:gridCol w:w="2964"/>
        <w:gridCol w:w="1818"/>
      </w:tblGrid>
      <w:tr w:rsidR="00FD50F6" w:rsidRPr="00FD50F6" w14:paraId="3E4B02AE" w14:textId="77777777" w:rsidTr="000831EC">
        <w:trPr>
          <w:trHeight w:val="430"/>
          <w:jc w:val="center"/>
        </w:trPr>
        <w:tc>
          <w:tcPr>
            <w:tcW w:w="3557" w:type="dxa"/>
            <w:vAlign w:val="center"/>
          </w:tcPr>
          <w:p w14:paraId="04A9DC4D" w14:textId="77777777" w:rsidR="0012415A" w:rsidRPr="00FD50F6" w:rsidRDefault="0012415A" w:rsidP="000831EC">
            <w:pPr>
              <w:pStyle w:val="7"/>
            </w:pPr>
            <w:r w:rsidRPr="00FD50F6">
              <w:rPr>
                <w:rFonts w:hint="eastAsia"/>
              </w:rPr>
              <w:t>轨道类型</w:t>
            </w:r>
          </w:p>
        </w:tc>
        <w:tc>
          <w:tcPr>
            <w:tcW w:w="2964" w:type="dxa"/>
            <w:vAlign w:val="center"/>
          </w:tcPr>
          <w:p w14:paraId="037522EF" w14:textId="77777777" w:rsidR="0012415A" w:rsidRPr="00FD50F6" w:rsidRDefault="0012415A" w:rsidP="000831EC">
            <w:pPr>
              <w:pStyle w:val="7"/>
            </w:pPr>
            <w:r w:rsidRPr="00FD50F6">
              <w:rPr>
                <w:rFonts w:hint="eastAsia"/>
              </w:rPr>
              <w:t>沉降类型</w:t>
            </w:r>
          </w:p>
        </w:tc>
        <w:tc>
          <w:tcPr>
            <w:tcW w:w="1818" w:type="dxa"/>
            <w:vAlign w:val="center"/>
          </w:tcPr>
          <w:p w14:paraId="3FC9DDB3" w14:textId="77777777" w:rsidR="0012415A" w:rsidRPr="00FD50F6" w:rsidRDefault="0012415A" w:rsidP="000831EC">
            <w:pPr>
              <w:pStyle w:val="7"/>
            </w:pPr>
            <w:r w:rsidRPr="00FD50F6">
              <w:rPr>
                <w:rFonts w:hint="eastAsia"/>
              </w:rPr>
              <w:t>限值</w:t>
            </w:r>
          </w:p>
        </w:tc>
      </w:tr>
      <w:tr w:rsidR="00FD50F6" w:rsidRPr="00FD50F6" w14:paraId="0CA3370B" w14:textId="77777777" w:rsidTr="000831EC">
        <w:trPr>
          <w:trHeight w:val="454"/>
          <w:jc w:val="center"/>
        </w:trPr>
        <w:tc>
          <w:tcPr>
            <w:tcW w:w="3557" w:type="dxa"/>
            <w:vMerge w:val="restart"/>
            <w:vAlign w:val="center"/>
          </w:tcPr>
          <w:p w14:paraId="5EB2A134" w14:textId="77777777" w:rsidR="0012415A" w:rsidRPr="00FD50F6" w:rsidRDefault="0012415A" w:rsidP="000831EC">
            <w:pPr>
              <w:pStyle w:val="7"/>
            </w:pPr>
            <w:r w:rsidRPr="00FD50F6">
              <w:rPr>
                <w:rFonts w:hint="eastAsia"/>
              </w:rPr>
              <w:t>有砟轨道</w:t>
            </w:r>
          </w:p>
        </w:tc>
        <w:tc>
          <w:tcPr>
            <w:tcW w:w="2964" w:type="dxa"/>
            <w:vAlign w:val="center"/>
          </w:tcPr>
          <w:p w14:paraId="05DF397C" w14:textId="77777777" w:rsidR="0012415A" w:rsidRPr="00FD50F6" w:rsidRDefault="0012415A" w:rsidP="000831EC">
            <w:pPr>
              <w:pStyle w:val="7"/>
            </w:pPr>
            <w:r w:rsidRPr="00FD50F6">
              <w:rPr>
                <w:rFonts w:hint="eastAsia"/>
              </w:rPr>
              <w:t>墩台均匀沉降</w:t>
            </w:r>
          </w:p>
        </w:tc>
        <w:tc>
          <w:tcPr>
            <w:tcW w:w="1818" w:type="dxa"/>
            <w:vAlign w:val="center"/>
          </w:tcPr>
          <w:p w14:paraId="5FAD0B9C" w14:textId="77777777" w:rsidR="0012415A" w:rsidRPr="00FD50F6" w:rsidRDefault="0012415A" w:rsidP="000831EC">
            <w:pPr>
              <w:pStyle w:val="7"/>
            </w:pPr>
            <w:r w:rsidRPr="00FD50F6">
              <w:t>80</w:t>
            </w:r>
          </w:p>
        </w:tc>
      </w:tr>
      <w:tr w:rsidR="00FD50F6" w:rsidRPr="00FD50F6" w14:paraId="7CDE3477" w14:textId="77777777" w:rsidTr="000831EC">
        <w:trPr>
          <w:trHeight w:val="469"/>
          <w:jc w:val="center"/>
        </w:trPr>
        <w:tc>
          <w:tcPr>
            <w:tcW w:w="3557" w:type="dxa"/>
            <w:vMerge/>
            <w:vAlign w:val="center"/>
          </w:tcPr>
          <w:p w14:paraId="6C834C87" w14:textId="77777777" w:rsidR="0012415A" w:rsidRPr="00FD50F6" w:rsidRDefault="0012415A" w:rsidP="000831EC">
            <w:pPr>
              <w:pStyle w:val="7"/>
            </w:pPr>
          </w:p>
        </w:tc>
        <w:tc>
          <w:tcPr>
            <w:tcW w:w="2964" w:type="dxa"/>
            <w:vAlign w:val="center"/>
          </w:tcPr>
          <w:p w14:paraId="041BC557" w14:textId="77777777" w:rsidR="0012415A" w:rsidRPr="00FD50F6" w:rsidRDefault="0012415A" w:rsidP="000831EC">
            <w:pPr>
              <w:pStyle w:val="7"/>
            </w:pPr>
            <w:r w:rsidRPr="00FD50F6">
              <w:rPr>
                <w:rFonts w:hint="eastAsia"/>
              </w:rPr>
              <w:t>相邻墩台沉降差</w:t>
            </w:r>
          </w:p>
        </w:tc>
        <w:tc>
          <w:tcPr>
            <w:tcW w:w="1818" w:type="dxa"/>
            <w:vAlign w:val="center"/>
          </w:tcPr>
          <w:p w14:paraId="386E5C78" w14:textId="77777777" w:rsidR="0012415A" w:rsidRPr="00FD50F6" w:rsidRDefault="0012415A" w:rsidP="000831EC">
            <w:pPr>
              <w:pStyle w:val="7"/>
            </w:pPr>
            <w:r w:rsidRPr="00FD50F6">
              <w:t>40</w:t>
            </w:r>
          </w:p>
        </w:tc>
      </w:tr>
      <w:tr w:rsidR="00FD50F6" w:rsidRPr="00FD50F6" w14:paraId="3F132252" w14:textId="77777777" w:rsidTr="000831EC">
        <w:trPr>
          <w:trHeight w:val="439"/>
          <w:jc w:val="center"/>
        </w:trPr>
        <w:tc>
          <w:tcPr>
            <w:tcW w:w="3557" w:type="dxa"/>
            <w:vMerge w:val="restart"/>
            <w:vAlign w:val="center"/>
          </w:tcPr>
          <w:p w14:paraId="738FC75E" w14:textId="77777777" w:rsidR="0012415A" w:rsidRPr="00FD50F6" w:rsidRDefault="0012415A" w:rsidP="000831EC">
            <w:pPr>
              <w:pStyle w:val="7"/>
            </w:pPr>
            <w:r w:rsidRPr="00FD50F6">
              <w:rPr>
                <w:rFonts w:hint="eastAsia"/>
              </w:rPr>
              <w:t>无砟轨道</w:t>
            </w:r>
          </w:p>
        </w:tc>
        <w:tc>
          <w:tcPr>
            <w:tcW w:w="2964" w:type="dxa"/>
            <w:vAlign w:val="center"/>
          </w:tcPr>
          <w:p w14:paraId="6DE05104" w14:textId="77777777" w:rsidR="0012415A" w:rsidRPr="00FD50F6" w:rsidRDefault="0012415A" w:rsidP="000831EC">
            <w:pPr>
              <w:pStyle w:val="7"/>
            </w:pPr>
            <w:r w:rsidRPr="00FD50F6">
              <w:rPr>
                <w:rFonts w:hint="eastAsia"/>
              </w:rPr>
              <w:t>墩台均匀沉降</w:t>
            </w:r>
          </w:p>
        </w:tc>
        <w:tc>
          <w:tcPr>
            <w:tcW w:w="1818" w:type="dxa"/>
            <w:vAlign w:val="center"/>
          </w:tcPr>
          <w:p w14:paraId="5190E7A2" w14:textId="77777777" w:rsidR="0012415A" w:rsidRPr="00FD50F6" w:rsidRDefault="0012415A" w:rsidP="000831EC">
            <w:pPr>
              <w:pStyle w:val="7"/>
            </w:pPr>
            <w:r w:rsidRPr="00FD50F6">
              <w:t>20</w:t>
            </w:r>
          </w:p>
        </w:tc>
      </w:tr>
      <w:tr w:rsidR="0012415A" w:rsidRPr="00FD50F6" w14:paraId="00F322A5" w14:textId="77777777" w:rsidTr="000831EC">
        <w:trPr>
          <w:trHeight w:val="469"/>
          <w:jc w:val="center"/>
        </w:trPr>
        <w:tc>
          <w:tcPr>
            <w:tcW w:w="3557" w:type="dxa"/>
            <w:vMerge/>
            <w:vAlign w:val="center"/>
          </w:tcPr>
          <w:p w14:paraId="5C186FEA" w14:textId="77777777" w:rsidR="0012415A" w:rsidRPr="00FD50F6" w:rsidRDefault="0012415A" w:rsidP="000831EC">
            <w:pPr>
              <w:pStyle w:val="7"/>
            </w:pPr>
          </w:p>
        </w:tc>
        <w:tc>
          <w:tcPr>
            <w:tcW w:w="2964" w:type="dxa"/>
            <w:vAlign w:val="center"/>
          </w:tcPr>
          <w:p w14:paraId="308A52D4" w14:textId="77777777" w:rsidR="0012415A" w:rsidRPr="00FD50F6" w:rsidRDefault="0012415A" w:rsidP="000831EC">
            <w:pPr>
              <w:pStyle w:val="7"/>
            </w:pPr>
            <w:r w:rsidRPr="00FD50F6">
              <w:rPr>
                <w:rFonts w:hint="eastAsia"/>
              </w:rPr>
              <w:t>相邻墩台沉降差</w:t>
            </w:r>
          </w:p>
        </w:tc>
        <w:tc>
          <w:tcPr>
            <w:tcW w:w="1818" w:type="dxa"/>
            <w:vAlign w:val="center"/>
          </w:tcPr>
          <w:p w14:paraId="45985B4B" w14:textId="77777777" w:rsidR="0012415A" w:rsidRPr="00FD50F6" w:rsidRDefault="0012415A" w:rsidP="000831EC">
            <w:pPr>
              <w:pStyle w:val="7"/>
            </w:pPr>
            <w:r w:rsidRPr="00FD50F6">
              <w:t>10</w:t>
            </w:r>
          </w:p>
        </w:tc>
      </w:tr>
    </w:tbl>
    <w:p w14:paraId="0A84B19E" w14:textId="77777777" w:rsidR="0012415A" w:rsidRPr="00FD50F6" w:rsidRDefault="0012415A" w:rsidP="0012415A">
      <w:pPr>
        <w:pStyle w:val="9"/>
        <w:ind w:firstLine="480"/>
      </w:pPr>
    </w:p>
    <w:p w14:paraId="1F9EAB2E" w14:textId="4088FE62" w:rsidR="0012415A" w:rsidRPr="00FD50F6" w:rsidRDefault="0012415A" w:rsidP="0012415A">
      <w:pPr>
        <w:pStyle w:val="30"/>
      </w:pPr>
      <w:r w:rsidRPr="00FD50F6">
        <w:rPr>
          <w:rFonts w:hint="eastAsia"/>
        </w:rPr>
        <w:lastRenderedPageBreak/>
        <w:t xml:space="preserve"> </w:t>
      </w:r>
      <w:r w:rsidRPr="00FD50F6">
        <w:rPr>
          <w:rFonts w:hint="eastAsia"/>
        </w:rPr>
        <w:t>在“桥</w:t>
      </w:r>
      <w:r w:rsidRPr="00FD50F6">
        <w:t>-</w:t>
      </w:r>
      <w:r w:rsidRPr="00FD50F6">
        <w:rPr>
          <w:rFonts w:hint="eastAsia"/>
        </w:rPr>
        <w:t>建合一”或“桥</w:t>
      </w:r>
      <w:r w:rsidRPr="00FD50F6">
        <w:t>-</w:t>
      </w:r>
      <w:r w:rsidRPr="00FD50F6">
        <w:rPr>
          <w:rFonts w:hint="eastAsia"/>
        </w:rPr>
        <w:t>建组合”高架车站中，轨道梁所在楼层的弹性水平位移应满足本标准</w:t>
      </w:r>
      <w:r w:rsidR="00BB1FF9" w:rsidRPr="00FD50F6">
        <w:rPr>
          <w:rFonts w:hint="eastAsia"/>
        </w:rPr>
        <w:t>第</w:t>
      </w:r>
      <w:r w:rsidRPr="00FD50F6">
        <w:rPr>
          <w:rFonts w:hint="eastAsia"/>
        </w:rPr>
        <w:t>1</w:t>
      </w:r>
      <w:r w:rsidR="00A0175C" w:rsidRPr="00FD50F6">
        <w:t>1</w:t>
      </w:r>
      <w:r w:rsidRPr="00FD50F6">
        <w:t>.3.8</w:t>
      </w:r>
      <w:r w:rsidRPr="00FD50F6">
        <w:t>条</w:t>
      </w:r>
      <w:r w:rsidRPr="00FD50F6">
        <w:rPr>
          <w:rFonts w:hint="eastAsia"/>
        </w:rPr>
        <w:t>的要求。</w:t>
      </w:r>
    </w:p>
    <w:p w14:paraId="2519CC35" w14:textId="3F08B467" w:rsidR="0012415A" w:rsidRPr="00FD50F6" w:rsidRDefault="0012415A" w:rsidP="0012415A">
      <w:pPr>
        <w:pStyle w:val="30"/>
      </w:pPr>
      <w:r w:rsidRPr="00FD50F6">
        <w:rPr>
          <w:rFonts w:hint="eastAsia"/>
        </w:rPr>
        <w:t xml:space="preserve"> </w:t>
      </w:r>
      <w:r w:rsidRPr="00FD50F6">
        <w:rPr>
          <w:rFonts w:hint="eastAsia"/>
        </w:rPr>
        <w:t>“桥</w:t>
      </w:r>
      <w:r w:rsidRPr="00FD50F6">
        <w:t>-</w:t>
      </w:r>
      <w:r w:rsidRPr="00FD50F6">
        <w:rPr>
          <w:rFonts w:hint="eastAsia"/>
        </w:rPr>
        <w:t>建合一”高架车站主体结构轨道层楼面梁的挠度和耐久性要求以及裂缝控制等级应同时满足建筑结构与区间桥梁的要求。</w:t>
      </w:r>
    </w:p>
    <w:p w14:paraId="69BBC9D5" w14:textId="77777777" w:rsidR="0012415A" w:rsidRPr="00FD50F6" w:rsidRDefault="0012415A" w:rsidP="00A65181">
      <w:pPr>
        <w:pStyle w:val="2"/>
      </w:pPr>
      <w:bookmarkStart w:id="442" w:name="_Toc112830713"/>
      <w:r w:rsidRPr="00FD50F6">
        <w:rPr>
          <w:rFonts w:hint="eastAsia"/>
        </w:rPr>
        <w:t>高架区间结构</w:t>
      </w:r>
      <w:bookmarkEnd w:id="442"/>
    </w:p>
    <w:p w14:paraId="643AD7E4" w14:textId="77777777" w:rsidR="0012415A" w:rsidRPr="00FD50F6" w:rsidRDefault="0012415A" w:rsidP="0012415A">
      <w:pPr>
        <w:pStyle w:val="30"/>
      </w:pPr>
      <w:r w:rsidRPr="00FD50F6">
        <w:rPr>
          <w:rFonts w:hint="eastAsia"/>
        </w:rPr>
        <w:t>区间桥梁的建筑结构形式应满足城市景观和减振、降噪的要求，除大跨度需要外，不宜采用钢结构。</w:t>
      </w:r>
    </w:p>
    <w:p w14:paraId="40793060" w14:textId="77777777" w:rsidR="0012415A" w:rsidRPr="00FD50F6" w:rsidRDefault="0012415A" w:rsidP="0012415A">
      <w:pPr>
        <w:pStyle w:val="30"/>
      </w:pPr>
      <w:r w:rsidRPr="00FD50F6">
        <w:rPr>
          <w:rFonts w:hint="eastAsia"/>
        </w:rPr>
        <w:t>区间一般地段宜采用等跨简支梁式桥跨结构，并宜采用预制架设、预制节段拼装等工厂化施工方法。</w:t>
      </w:r>
    </w:p>
    <w:p w14:paraId="0441B7F5" w14:textId="624660AC" w:rsidR="0012415A" w:rsidRPr="00FD50F6" w:rsidRDefault="0012415A" w:rsidP="0012415A">
      <w:pPr>
        <w:pStyle w:val="30"/>
      </w:pPr>
      <w:r w:rsidRPr="00FD50F6">
        <w:rPr>
          <w:rFonts w:hint="eastAsia"/>
        </w:rPr>
        <w:t>当采用钢结构桥梁时，宜优先采用钢</w:t>
      </w:r>
      <w:r w:rsidRPr="00FD50F6">
        <w:t>-</w:t>
      </w:r>
      <w:r w:rsidRPr="00FD50F6">
        <w:rPr>
          <w:rFonts w:hint="eastAsia"/>
        </w:rPr>
        <w:t>混凝土结合梁，钢</w:t>
      </w:r>
      <w:r w:rsidRPr="00FD50F6">
        <w:t>-</w:t>
      </w:r>
      <w:r w:rsidRPr="00FD50F6">
        <w:rPr>
          <w:rFonts w:hint="eastAsia"/>
        </w:rPr>
        <w:t>混凝土结合梁桥面板宜采用预制结构。当采用全钢结构桥梁时，钢结构桥面板上应设置混凝土铺装层，并应与钢桥面板有效连接。</w:t>
      </w:r>
    </w:p>
    <w:p w14:paraId="683AE6C0" w14:textId="77777777" w:rsidR="0012415A" w:rsidRPr="00FD50F6" w:rsidRDefault="0012415A" w:rsidP="0012415A">
      <w:pPr>
        <w:pStyle w:val="30"/>
      </w:pPr>
      <w:r w:rsidRPr="00FD50F6">
        <w:rPr>
          <w:rFonts w:hint="eastAsia"/>
        </w:rPr>
        <w:t>区间桥梁宜采用钢筋混凝土桥墩。桥墩类型宜分段统一。</w:t>
      </w:r>
    </w:p>
    <w:p w14:paraId="36B34F28" w14:textId="4BFDADEE" w:rsidR="0012415A" w:rsidRPr="00FD50F6" w:rsidRDefault="0012415A" w:rsidP="0012415A">
      <w:pPr>
        <w:pStyle w:val="30"/>
      </w:pPr>
      <w:r w:rsidRPr="00FD50F6">
        <w:rPr>
          <w:rFonts w:hint="eastAsia"/>
        </w:rPr>
        <w:t>道岔全长宜设在连续的桥跨结构上，当不能满足时，梁缝位置应避开道岔转辙器和辙叉范围。</w:t>
      </w:r>
    </w:p>
    <w:p w14:paraId="17F09198" w14:textId="0491FFB8" w:rsidR="0012415A" w:rsidRPr="00FD50F6" w:rsidRDefault="0012415A" w:rsidP="0012415A">
      <w:pPr>
        <w:pStyle w:val="30"/>
      </w:pPr>
      <w:r w:rsidRPr="00FD50F6">
        <w:rPr>
          <w:rFonts w:hint="eastAsia"/>
        </w:rPr>
        <w:t>区间桥梁的钢筋混凝土结构、预应力混凝土结构、钢结构结构设计及构造要求应符合现行行业标准《铁路桥涵混凝土结构设计规范》</w:t>
      </w:r>
      <w:r w:rsidRPr="00FD50F6">
        <w:t>TB 10092</w:t>
      </w:r>
      <w:r w:rsidRPr="00FD50F6">
        <w:rPr>
          <w:rFonts w:hint="eastAsia"/>
        </w:rPr>
        <w:t>和《铁路桥梁钢结构设计规范》</w:t>
      </w:r>
      <w:r w:rsidRPr="00FD50F6">
        <w:t>TB 10091</w:t>
      </w:r>
      <w:r w:rsidRPr="00FD50F6">
        <w:rPr>
          <w:rFonts w:hint="eastAsia"/>
        </w:rPr>
        <w:t>的规定。</w:t>
      </w:r>
    </w:p>
    <w:p w14:paraId="030E2274" w14:textId="12E62D44" w:rsidR="0012415A" w:rsidRPr="00FD50F6" w:rsidRDefault="0012415A" w:rsidP="0012415A">
      <w:pPr>
        <w:pStyle w:val="30"/>
      </w:pPr>
      <w:r w:rsidRPr="00FD50F6">
        <w:rPr>
          <w:rFonts w:hint="eastAsia"/>
        </w:rPr>
        <w:t>区间桥梁基础设计和地基的物理力学指标应符合现行行业标准《铁路桥涵地基和基础设计规范》</w:t>
      </w:r>
      <w:r w:rsidRPr="00FD50F6">
        <w:t>TB 10093</w:t>
      </w:r>
      <w:r w:rsidRPr="00FD50F6">
        <w:rPr>
          <w:rFonts w:hint="eastAsia"/>
        </w:rPr>
        <w:t>的规定。</w:t>
      </w:r>
    </w:p>
    <w:p w14:paraId="504C7263" w14:textId="18DF0253" w:rsidR="0012415A" w:rsidRPr="00FD50F6" w:rsidRDefault="0012415A" w:rsidP="0012415A">
      <w:pPr>
        <w:pStyle w:val="30"/>
      </w:pPr>
      <w:r w:rsidRPr="00FD50F6">
        <w:rPr>
          <w:rFonts w:hint="eastAsia"/>
        </w:rPr>
        <w:t>对于城市道路与轨道交通共建桥梁，桥墩、主梁刚度和轨道层主梁后期徐变量应满足本</w:t>
      </w:r>
      <w:r w:rsidR="000B2FD7" w:rsidRPr="00FD50F6">
        <w:rPr>
          <w:rFonts w:hint="eastAsia"/>
        </w:rPr>
        <w:t>标准</w:t>
      </w:r>
      <w:r w:rsidR="0046366B">
        <w:rPr>
          <w:rFonts w:hint="eastAsia"/>
        </w:rPr>
        <w:t>第</w:t>
      </w:r>
      <w:r w:rsidRPr="00FD50F6">
        <w:t>1</w:t>
      </w:r>
      <w:r w:rsidR="000B2FD7" w:rsidRPr="00FD50F6">
        <w:t>1</w:t>
      </w:r>
      <w:r w:rsidRPr="00FD50F6">
        <w:t>.3</w:t>
      </w:r>
      <w:r w:rsidRPr="00FD50F6">
        <w:rPr>
          <w:rFonts w:hint="eastAsia"/>
        </w:rPr>
        <w:t>节的要求。</w:t>
      </w:r>
    </w:p>
    <w:p w14:paraId="1D4F3AE3" w14:textId="0D5AA066" w:rsidR="0012415A" w:rsidRPr="00FD50F6" w:rsidRDefault="0012415A" w:rsidP="001A4CF3">
      <w:pPr>
        <w:pStyle w:val="30"/>
      </w:pPr>
      <w:r w:rsidRPr="00FD50F6">
        <w:rPr>
          <w:rFonts w:hint="eastAsia"/>
        </w:rPr>
        <w:t>梁拱组合体系桥主梁宜采用连续梁结构，吊杆可采用双吊杆。斜拉桥不应采用全漂浮体系，斜拉索宜采用密索体系。</w:t>
      </w:r>
    </w:p>
    <w:p w14:paraId="0392E97D" w14:textId="77777777" w:rsidR="0012415A" w:rsidRPr="00FD50F6" w:rsidRDefault="0012415A" w:rsidP="0012415A">
      <w:pPr>
        <w:pStyle w:val="30"/>
      </w:pPr>
      <w:r w:rsidRPr="00FD50F6">
        <w:rPr>
          <w:rFonts w:hint="eastAsia"/>
        </w:rPr>
        <w:t>梁拱组合桥梁柔性吊杆、斜拉桥拉索应采用耐久性良好的索体构造。吊杆、斜拉索及其锚固设计应满足检查、维修和和更换的需要。</w:t>
      </w:r>
    </w:p>
    <w:p w14:paraId="36141DC7" w14:textId="5FBC21EC" w:rsidR="0012415A" w:rsidRPr="00FD50F6" w:rsidRDefault="0012415A" w:rsidP="0012415A">
      <w:pPr>
        <w:pStyle w:val="30"/>
      </w:pPr>
      <w:r w:rsidRPr="00FD50F6">
        <w:rPr>
          <w:rFonts w:hint="eastAsia"/>
        </w:rPr>
        <w:t>柔性吊杆梁拱组合桥梁、斜拉桥应进行单根吊杆、斜拉索失效工况的验算，当单根吊杆或斜拉索失效时，应满足双线行车要求。当进行该状态验算时，</w:t>
      </w:r>
      <w:r w:rsidRPr="00FD50F6">
        <w:rPr>
          <w:rFonts w:hint="eastAsia"/>
        </w:rPr>
        <w:lastRenderedPageBreak/>
        <w:t>结构计算不应低于现行行业标准《铁路桥涵混凝土结构设计规范》</w:t>
      </w:r>
      <w:r w:rsidRPr="00FD50F6">
        <w:t>TB 10092</w:t>
      </w:r>
      <w:r w:rsidRPr="00FD50F6">
        <w:rPr>
          <w:rFonts w:hint="eastAsia"/>
        </w:rPr>
        <w:t>和《铁路桥梁钢结构设计规范》</w:t>
      </w:r>
      <w:r w:rsidRPr="00FD50F6">
        <w:t>TB 10091</w:t>
      </w:r>
      <w:r w:rsidRPr="00FD50F6">
        <w:rPr>
          <w:rFonts w:hint="eastAsia"/>
        </w:rPr>
        <w:t>中施工状态下的相关要求。</w:t>
      </w:r>
    </w:p>
    <w:p w14:paraId="3CC72C11" w14:textId="53E925CB" w:rsidR="0012415A" w:rsidRPr="00FD50F6" w:rsidRDefault="0012415A" w:rsidP="0012415A">
      <w:pPr>
        <w:pStyle w:val="30"/>
      </w:pPr>
      <w:r w:rsidRPr="00FD50F6">
        <w:rPr>
          <w:rFonts w:hint="eastAsia"/>
        </w:rPr>
        <w:t>当地震力参与组合时，材料、地基容许应力和单桩轴向容许承载力的提高应按现行国家标准《铁路工程抗震设计规范》</w:t>
      </w:r>
      <w:r w:rsidRPr="00FD50F6">
        <w:t>GB 50111</w:t>
      </w:r>
      <w:r w:rsidRPr="00FD50F6">
        <w:rPr>
          <w:rFonts w:hint="eastAsia"/>
        </w:rPr>
        <w:t>的规定执行。</w:t>
      </w:r>
    </w:p>
    <w:p w14:paraId="4F8D51CC" w14:textId="1D6BCE22" w:rsidR="0012415A" w:rsidRPr="00FD50F6" w:rsidRDefault="0012415A" w:rsidP="001A4CF3">
      <w:pPr>
        <w:pStyle w:val="30"/>
      </w:pPr>
      <w:r w:rsidRPr="00FD50F6">
        <w:rPr>
          <w:rFonts w:hint="eastAsia"/>
        </w:rPr>
        <w:t>桥梁支座梁宜采用盆式橡胶支座或钢支座，沉降控制区段的桥梁可采用可调高措施。当进行支座安装时，应预留由于温度变化、预应力张拉以及混凝土收缩、徐变等因素产生的变形和位移，成桥后的支座状态应符合设计要求。</w:t>
      </w:r>
    </w:p>
    <w:p w14:paraId="7B87ECBA" w14:textId="77777777" w:rsidR="0012415A" w:rsidRPr="00FD50F6" w:rsidRDefault="0012415A" w:rsidP="0012415A">
      <w:pPr>
        <w:pStyle w:val="30"/>
      </w:pPr>
      <w:r w:rsidRPr="00FD50F6">
        <w:rPr>
          <w:rFonts w:hint="eastAsia"/>
        </w:rPr>
        <w:t>同一座桥梁中线路同一侧的支座横向位移约束条件宜相同。</w:t>
      </w:r>
    </w:p>
    <w:p w14:paraId="289191CF" w14:textId="4BCFA041" w:rsidR="0012415A" w:rsidRPr="00FD50F6" w:rsidRDefault="0012415A" w:rsidP="0012415A">
      <w:pPr>
        <w:pStyle w:val="30"/>
      </w:pPr>
      <w:r w:rsidRPr="00FD50F6">
        <w:rPr>
          <w:rFonts w:hint="eastAsia"/>
        </w:rPr>
        <w:t>当大跨桥梁梁端水平位移或转角不满足轨道结构和扣件系统受力要求时，可采用过渡梁、特殊扣件等措施满足轨道受力要求。</w:t>
      </w:r>
    </w:p>
    <w:p w14:paraId="73937DF3" w14:textId="77777777" w:rsidR="0012415A" w:rsidRPr="00FD50F6" w:rsidRDefault="0012415A" w:rsidP="00A65181">
      <w:pPr>
        <w:pStyle w:val="2"/>
      </w:pPr>
      <w:bookmarkStart w:id="443" w:name="_Toc112830714"/>
      <w:r w:rsidRPr="00FD50F6">
        <w:rPr>
          <w:rFonts w:hint="eastAsia"/>
        </w:rPr>
        <w:t>高架车站结构</w:t>
      </w:r>
      <w:bookmarkEnd w:id="443"/>
    </w:p>
    <w:p w14:paraId="7C53C59D" w14:textId="5774141D" w:rsidR="0012415A" w:rsidRPr="00FD50F6" w:rsidRDefault="0012415A" w:rsidP="0012415A">
      <w:pPr>
        <w:pStyle w:val="30"/>
      </w:pPr>
      <w:r w:rsidRPr="00FD50F6">
        <w:rPr>
          <w:rFonts w:hint="eastAsia"/>
        </w:rPr>
        <w:t>高架车站结构可根据车站形式分别采用“桥</w:t>
      </w:r>
      <w:r w:rsidR="00C625C8">
        <w:t>-</w:t>
      </w:r>
      <w:r w:rsidRPr="00FD50F6">
        <w:rPr>
          <w:rFonts w:hint="eastAsia"/>
        </w:rPr>
        <w:t>建分离”、“桥</w:t>
      </w:r>
      <w:r w:rsidRPr="00FD50F6">
        <w:t>-</w:t>
      </w:r>
      <w:r w:rsidRPr="00FD50F6">
        <w:rPr>
          <w:rFonts w:hint="eastAsia"/>
        </w:rPr>
        <w:t>建合一”或“桥</w:t>
      </w:r>
      <w:r w:rsidRPr="00FD50F6">
        <w:t>-</w:t>
      </w:r>
      <w:r w:rsidRPr="00FD50F6">
        <w:rPr>
          <w:rFonts w:hint="eastAsia"/>
        </w:rPr>
        <w:t>建组合”结构。当车站采用“桥</w:t>
      </w:r>
      <w:r w:rsidRPr="00FD50F6">
        <w:t>-</w:t>
      </w:r>
      <w:r w:rsidRPr="00FD50F6">
        <w:rPr>
          <w:rFonts w:hint="eastAsia"/>
        </w:rPr>
        <w:t>建分离”结构时，轨道梁桥应按本</w:t>
      </w:r>
      <w:r w:rsidR="007C3912">
        <w:rPr>
          <w:rFonts w:hint="eastAsia"/>
        </w:rPr>
        <w:t>标</w:t>
      </w:r>
      <w:r w:rsidR="00C625C8">
        <w:t>准第</w:t>
      </w:r>
      <w:r w:rsidR="00C625C8">
        <w:rPr>
          <w:rFonts w:hint="eastAsia"/>
        </w:rPr>
        <w:t>1</w:t>
      </w:r>
      <w:r w:rsidR="00C625C8">
        <w:t>1.4</w:t>
      </w:r>
      <w:r w:rsidR="00C625C8">
        <w:t>节</w:t>
      </w:r>
      <w:r w:rsidRPr="00FD50F6">
        <w:rPr>
          <w:rFonts w:hint="eastAsia"/>
        </w:rPr>
        <w:t>的要求设计，与轨道梁桥分离的车站结构应按建筑结构</w:t>
      </w:r>
      <w:r w:rsidRPr="00FD50F6">
        <w:t>要求</w:t>
      </w:r>
      <w:r w:rsidRPr="00FD50F6">
        <w:rPr>
          <w:rFonts w:hint="eastAsia"/>
        </w:rPr>
        <w:t>设计；当采用“桥</w:t>
      </w:r>
      <w:r w:rsidRPr="00FD50F6">
        <w:t>-</w:t>
      </w:r>
      <w:r w:rsidRPr="00FD50F6">
        <w:rPr>
          <w:rFonts w:hint="eastAsia"/>
        </w:rPr>
        <w:t>建合一”或“桥</w:t>
      </w:r>
      <w:r w:rsidRPr="00FD50F6">
        <w:t>-</w:t>
      </w:r>
      <w:r w:rsidRPr="00FD50F6">
        <w:rPr>
          <w:rFonts w:hint="eastAsia"/>
        </w:rPr>
        <w:t>建组合”结构时，应按本</w:t>
      </w:r>
      <w:r w:rsidR="00C625C8">
        <w:rPr>
          <w:rFonts w:hint="eastAsia"/>
        </w:rPr>
        <w:t>节</w:t>
      </w:r>
      <w:r w:rsidRPr="00FD50F6">
        <w:rPr>
          <w:rFonts w:hint="eastAsia"/>
        </w:rPr>
        <w:t>要求设计。</w:t>
      </w:r>
    </w:p>
    <w:p w14:paraId="34D11F6E" w14:textId="3D83FA2E" w:rsidR="0012415A" w:rsidRPr="00FD50F6" w:rsidRDefault="0012415A" w:rsidP="0012415A">
      <w:pPr>
        <w:pStyle w:val="30"/>
      </w:pPr>
      <w:r w:rsidRPr="00FD50F6">
        <w:rPr>
          <w:rFonts w:hint="eastAsia"/>
        </w:rPr>
        <w:t>高架车站结构应结合场地、道路等环境条件分别采用横向多柱、双柱或独柱结构形式，并应满足使用功能要求，且应与城市景观相协调。</w:t>
      </w:r>
    </w:p>
    <w:p w14:paraId="55AFA17E" w14:textId="19F64D65" w:rsidR="0012415A" w:rsidRPr="00FD50F6" w:rsidRDefault="0012415A" w:rsidP="0012415A">
      <w:pPr>
        <w:pStyle w:val="30"/>
      </w:pPr>
      <w:r w:rsidRPr="00FD50F6">
        <w:rPr>
          <w:rFonts w:hint="eastAsia"/>
        </w:rPr>
        <w:t>当车站采用“桥</w:t>
      </w:r>
      <w:r w:rsidRPr="00FD50F6">
        <w:t>-</w:t>
      </w:r>
      <w:r w:rsidRPr="00FD50F6">
        <w:rPr>
          <w:rFonts w:hint="eastAsia"/>
        </w:rPr>
        <w:t>建合一”或“桥</w:t>
      </w:r>
      <w:r w:rsidRPr="00FD50F6">
        <w:t>-</w:t>
      </w:r>
      <w:r w:rsidRPr="00FD50F6">
        <w:rPr>
          <w:rFonts w:hint="eastAsia"/>
        </w:rPr>
        <w:t>建组合”结构时，位于路侧的高架车站宜采用横向多柱的结构形式</w:t>
      </w:r>
      <w:r w:rsidR="00F97100">
        <w:rPr>
          <w:rFonts w:hint="eastAsia"/>
        </w:rPr>
        <w:t>；</w:t>
      </w:r>
      <w:r w:rsidRPr="00FD50F6">
        <w:rPr>
          <w:rFonts w:hint="eastAsia"/>
        </w:rPr>
        <w:t>位于路中的高架车站宜采用横向双柱结构形式</w:t>
      </w:r>
      <w:r w:rsidR="00F97100">
        <w:rPr>
          <w:rFonts w:hint="eastAsia"/>
        </w:rPr>
        <w:t>；</w:t>
      </w:r>
      <w:r w:rsidRPr="00FD50F6">
        <w:rPr>
          <w:rFonts w:hint="eastAsia"/>
        </w:rPr>
        <w:t>不宜采用横向独柱结构形式，当必须采用时，应进行专门研究。</w:t>
      </w:r>
    </w:p>
    <w:p w14:paraId="4DD33324" w14:textId="77777777" w:rsidR="0012415A" w:rsidRPr="00FD50F6" w:rsidRDefault="0012415A" w:rsidP="0012415A">
      <w:pPr>
        <w:pStyle w:val="30"/>
      </w:pPr>
      <w:r w:rsidRPr="00FD50F6">
        <w:rPr>
          <w:rFonts w:hint="eastAsia"/>
        </w:rPr>
        <w:t>车站结构宜采用钢筋混凝土、预应力钢筋混凝土或型钢混凝土框架结构体系，当有可靠的减振降噪措施时，也可采用钢结构。</w:t>
      </w:r>
    </w:p>
    <w:p w14:paraId="3A5DDA26" w14:textId="7E9F2E57" w:rsidR="0012415A" w:rsidRPr="00FD50F6" w:rsidRDefault="0012415A" w:rsidP="0012415A">
      <w:pPr>
        <w:pStyle w:val="30"/>
      </w:pPr>
      <w:r w:rsidRPr="00FD50F6">
        <w:rPr>
          <w:rFonts w:hint="eastAsia"/>
        </w:rPr>
        <w:t>独柱结构高架车站还应符合下列规定：</w:t>
      </w:r>
    </w:p>
    <w:p w14:paraId="3D86B720" w14:textId="0A2C98DA" w:rsidR="0012415A" w:rsidRPr="00FD50F6" w:rsidRDefault="0012415A" w:rsidP="00A926BD">
      <w:pPr>
        <w:pStyle w:val="4"/>
      </w:pPr>
      <w:r w:rsidRPr="00FD50F6">
        <w:rPr>
          <w:rFonts w:hint="eastAsia"/>
        </w:rPr>
        <w:t>应验算柱顶横桥方向的位移，并应符合本标准第</w:t>
      </w:r>
      <w:r w:rsidR="00A0175C" w:rsidRPr="00FD50F6">
        <w:t>11</w:t>
      </w:r>
      <w:r w:rsidRPr="00FD50F6">
        <w:t>.3.7</w:t>
      </w:r>
      <w:r w:rsidRPr="00FD50F6">
        <w:rPr>
          <w:rFonts w:hint="eastAsia"/>
        </w:rPr>
        <w:t>~</w:t>
      </w:r>
      <w:r w:rsidRPr="00FD50F6">
        <w:t>1</w:t>
      </w:r>
      <w:r w:rsidR="00A0175C" w:rsidRPr="00FD50F6">
        <w:t>1</w:t>
      </w:r>
      <w:r w:rsidRPr="00FD50F6">
        <w:t>.3.8</w:t>
      </w:r>
      <w:r w:rsidRPr="00FD50F6">
        <w:rPr>
          <w:rFonts w:hint="eastAsia"/>
        </w:rPr>
        <w:t>条对高架区间墩顶弹性水平位移的规定；</w:t>
      </w:r>
    </w:p>
    <w:p w14:paraId="742C1FDD" w14:textId="55E76D23" w:rsidR="0012415A" w:rsidRPr="00FD50F6" w:rsidRDefault="0012415A" w:rsidP="00A926BD">
      <w:pPr>
        <w:pStyle w:val="4"/>
      </w:pPr>
      <w:r w:rsidRPr="00FD50F6">
        <w:rPr>
          <w:rFonts w:hint="eastAsia"/>
        </w:rPr>
        <w:t>在恒载、列车荷载、人群荷载及风荷载最不利组合作用下，盖梁悬臂端计算挠度不应大于悬臂构件计算跨度的</w:t>
      </w:r>
      <w:r w:rsidRPr="00FD50F6">
        <w:t>1/600</w:t>
      </w:r>
      <w:r w:rsidRPr="00FD50F6">
        <w:rPr>
          <w:rFonts w:hint="eastAsia"/>
        </w:rPr>
        <w:t>；</w:t>
      </w:r>
    </w:p>
    <w:p w14:paraId="5BCF47F0" w14:textId="4B0C826F" w:rsidR="0012415A" w:rsidRPr="00FD50F6" w:rsidRDefault="0012415A" w:rsidP="00A926BD">
      <w:pPr>
        <w:pStyle w:val="4"/>
      </w:pPr>
      <w:r w:rsidRPr="00FD50F6">
        <w:rPr>
          <w:rFonts w:hint="eastAsia"/>
        </w:rPr>
        <w:t>采用</w:t>
      </w:r>
      <w:r w:rsidRPr="00FD50F6" w:rsidDel="00F6690F">
        <w:rPr>
          <w:rFonts w:hint="eastAsia"/>
        </w:rPr>
        <w:t xml:space="preserve"> </w:t>
      </w:r>
      <w:r w:rsidRPr="00FD50F6">
        <w:rPr>
          <w:rFonts w:hint="eastAsia"/>
        </w:rPr>
        <w:t>“桥</w:t>
      </w:r>
      <w:r w:rsidRPr="00FD50F6">
        <w:t>-</w:t>
      </w:r>
      <w:r w:rsidRPr="00FD50F6">
        <w:rPr>
          <w:rFonts w:hint="eastAsia"/>
        </w:rPr>
        <w:t>建合一”、“桥</w:t>
      </w:r>
      <w:r w:rsidRPr="00FD50F6">
        <w:t>-</w:t>
      </w:r>
      <w:r w:rsidRPr="00FD50F6">
        <w:rPr>
          <w:rFonts w:hint="eastAsia"/>
        </w:rPr>
        <w:t>建组合”结构的车站，结构整体振动竖向质量参</w:t>
      </w:r>
      <w:r w:rsidRPr="00FD50F6">
        <w:rPr>
          <w:rFonts w:hint="eastAsia"/>
        </w:rPr>
        <w:lastRenderedPageBreak/>
        <w:t>与系数最大的自振频率不宜小于</w:t>
      </w:r>
      <w:r w:rsidRPr="00FD50F6">
        <w:t>5Hz</w:t>
      </w:r>
      <w:r w:rsidRPr="00FD50F6">
        <w:rPr>
          <w:rFonts w:hint="eastAsia"/>
        </w:rPr>
        <w:t>，当不能满足时，应调整构件截面尺寸或减小独柱纵向间距，也可采取减振措施。</w:t>
      </w:r>
    </w:p>
    <w:p w14:paraId="3A079655" w14:textId="2BA22713" w:rsidR="0012415A" w:rsidRPr="00FD50F6" w:rsidRDefault="0012415A" w:rsidP="0012415A">
      <w:pPr>
        <w:pStyle w:val="30"/>
      </w:pPr>
      <w:r w:rsidRPr="00FD50F6">
        <w:rPr>
          <w:rFonts w:hint="eastAsia"/>
        </w:rPr>
        <w:t xml:space="preserve"> </w:t>
      </w:r>
      <w:r w:rsidRPr="00FD50F6">
        <w:rPr>
          <w:rFonts w:hint="eastAsia"/>
        </w:rPr>
        <w:t>“桥</w:t>
      </w:r>
      <w:r w:rsidRPr="00FD50F6">
        <w:t>-</w:t>
      </w:r>
      <w:r w:rsidRPr="00FD50F6">
        <w:rPr>
          <w:rFonts w:hint="eastAsia"/>
        </w:rPr>
        <w:t>建组合”结构体系高架车站的轨道梁应按本标准</w:t>
      </w:r>
      <w:r w:rsidRPr="00FD50F6">
        <w:rPr>
          <w:rFonts w:hint="eastAsia"/>
        </w:rPr>
        <w:t>1</w:t>
      </w:r>
      <w:r w:rsidR="00A0175C" w:rsidRPr="00FD50F6">
        <w:t>1</w:t>
      </w:r>
      <w:r w:rsidRPr="00FD50F6">
        <w:t>.3</w:t>
      </w:r>
      <w:r w:rsidRPr="00FD50F6">
        <w:t>节</w:t>
      </w:r>
      <w:r w:rsidRPr="00FD50F6">
        <w:rPr>
          <w:rFonts w:hint="eastAsia"/>
        </w:rPr>
        <w:t>的要求进行设计，并应在车站整体计算中计入轨道梁的影响。</w:t>
      </w:r>
    </w:p>
    <w:p w14:paraId="501F140B" w14:textId="5C146562" w:rsidR="0012415A" w:rsidRPr="00FD50F6" w:rsidRDefault="0012415A" w:rsidP="0012415A">
      <w:pPr>
        <w:pStyle w:val="30"/>
      </w:pPr>
      <w:r w:rsidRPr="00FD50F6">
        <w:rPr>
          <w:rFonts w:hint="eastAsia"/>
        </w:rPr>
        <w:t xml:space="preserve"> </w:t>
      </w:r>
      <w:r w:rsidRPr="00FD50F6">
        <w:rPr>
          <w:rFonts w:hint="eastAsia"/>
        </w:rPr>
        <w:t>对于“桥</w:t>
      </w:r>
      <w:r w:rsidRPr="00FD50F6">
        <w:t>-</w:t>
      </w:r>
      <w:r w:rsidRPr="00FD50F6">
        <w:rPr>
          <w:rFonts w:hint="eastAsia"/>
        </w:rPr>
        <w:t>建合一”结构体系高架车站，当框架梁或楼面梁兼作轨道梁时，应按本</w:t>
      </w:r>
      <w:r w:rsidR="00C625C8">
        <w:rPr>
          <w:rFonts w:hint="eastAsia"/>
        </w:rPr>
        <w:t>标准</w:t>
      </w:r>
      <w:r w:rsidRPr="00FD50F6">
        <w:rPr>
          <w:rFonts w:hint="eastAsia"/>
        </w:rPr>
        <w:t>第</w:t>
      </w:r>
      <w:r w:rsidRPr="00FD50F6">
        <w:rPr>
          <w:rFonts w:hint="eastAsia"/>
        </w:rPr>
        <w:t>1</w:t>
      </w:r>
      <w:r w:rsidR="00A0175C" w:rsidRPr="00FD50F6">
        <w:t>1</w:t>
      </w:r>
      <w:r w:rsidRPr="00FD50F6">
        <w:t>.2.1</w:t>
      </w:r>
      <w:r w:rsidRPr="00FD50F6">
        <w:t>条</w:t>
      </w:r>
      <w:r w:rsidR="00C625C8">
        <w:rPr>
          <w:rFonts w:hint="eastAsia"/>
        </w:rPr>
        <w:t>的</w:t>
      </w:r>
      <w:r w:rsidRPr="00FD50F6">
        <w:rPr>
          <w:rFonts w:hint="eastAsia"/>
        </w:rPr>
        <w:t>荷载最不利组合</w:t>
      </w:r>
      <w:r w:rsidR="00C625C8">
        <w:rPr>
          <w:rFonts w:hint="eastAsia"/>
        </w:rPr>
        <w:t>设计</w:t>
      </w:r>
      <w:r w:rsidRPr="00FD50F6">
        <w:rPr>
          <w:rFonts w:hint="eastAsia"/>
        </w:rPr>
        <w:t>。</w:t>
      </w:r>
    </w:p>
    <w:p w14:paraId="5350C9AE" w14:textId="28013543" w:rsidR="0012415A" w:rsidRPr="00FD50F6" w:rsidRDefault="0012415A" w:rsidP="0012415A">
      <w:pPr>
        <w:pStyle w:val="30"/>
      </w:pPr>
      <w:r w:rsidRPr="00FD50F6">
        <w:rPr>
          <w:rFonts w:hint="eastAsia"/>
        </w:rPr>
        <w:t>高架车站的竖向自振频率应避开列车振动频率。</w:t>
      </w:r>
    </w:p>
    <w:p w14:paraId="5D55F053" w14:textId="4D6B9537" w:rsidR="0012415A" w:rsidRPr="00FD50F6" w:rsidRDefault="0012415A" w:rsidP="0012415A">
      <w:pPr>
        <w:pStyle w:val="30"/>
      </w:pPr>
      <w:r w:rsidRPr="00FD50F6">
        <w:rPr>
          <w:rFonts w:hint="eastAsia"/>
        </w:rPr>
        <w:t>超长现浇混凝土结构高架车站应进行温度应力分析，并</w:t>
      </w:r>
      <w:r w:rsidR="00114D26">
        <w:rPr>
          <w:rFonts w:hint="eastAsia"/>
        </w:rPr>
        <w:t>应</w:t>
      </w:r>
      <w:r w:rsidRPr="00FD50F6">
        <w:rPr>
          <w:rFonts w:hint="eastAsia"/>
        </w:rPr>
        <w:t>采取措施减小温度应力和混凝土收缩徐变的影响。当通过设置变形缝解决结构超长问题时，各结构单元平面长宽比不宜大于</w:t>
      </w:r>
      <w:r w:rsidRPr="00FD50F6">
        <w:t>5</w:t>
      </w:r>
      <w:r w:rsidRPr="00FD50F6">
        <w:rPr>
          <w:rFonts w:hint="eastAsia"/>
        </w:rPr>
        <w:t>。结构缝宽度尚应满足抗震要求。自动扶梯、楼梯结构不应跨缝设置。</w:t>
      </w:r>
    </w:p>
    <w:p w14:paraId="44F1915E" w14:textId="53025E73" w:rsidR="0012415A" w:rsidRPr="00FD50F6" w:rsidRDefault="0012415A" w:rsidP="0012415A">
      <w:pPr>
        <w:pStyle w:val="30"/>
      </w:pPr>
      <w:r w:rsidRPr="00FD50F6">
        <w:rPr>
          <w:rFonts w:hint="eastAsia"/>
        </w:rPr>
        <w:t>“桥</w:t>
      </w:r>
      <w:r w:rsidRPr="00FD50F6">
        <w:t>-</w:t>
      </w:r>
      <w:r w:rsidRPr="00FD50F6">
        <w:rPr>
          <w:rFonts w:hint="eastAsia"/>
        </w:rPr>
        <w:t>建分离”高架车站</w:t>
      </w:r>
      <w:r w:rsidR="00114D26">
        <w:rPr>
          <w:rFonts w:hint="eastAsia"/>
        </w:rPr>
        <w:t>的</w:t>
      </w:r>
      <w:r w:rsidRPr="00FD50F6">
        <w:rPr>
          <w:rFonts w:hint="eastAsia"/>
        </w:rPr>
        <w:t>轨道梁桥和车站结构应分别按现行国家标准《城市轨道交通结构抗震设计规范》</w:t>
      </w:r>
      <w:r w:rsidRPr="00FD50F6">
        <w:t>GB 50909</w:t>
      </w:r>
      <w:r w:rsidRPr="00FD50F6">
        <w:rPr>
          <w:rFonts w:hint="eastAsia"/>
        </w:rPr>
        <w:t>和《建筑抗震设计规范》</w:t>
      </w:r>
      <w:r w:rsidRPr="00FD50F6">
        <w:t>GB 50011</w:t>
      </w:r>
      <w:r w:rsidRPr="00FD50F6">
        <w:rPr>
          <w:rFonts w:hint="eastAsia"/>
        </w:rPr>
        <w:t>进行抗震设计。</w:t>
      </w:r>
    </w:p>
    <w:p w14:paraId="0262AE9A" w14:textId="539A9AE9" w:rsidR="0012415A" w:rsidRPr="00FD50F6" w:rsidRDefault="0012415A" w:rsidP="0012415A">
      <w:pPr>
        <w:pStyle w:val="30"/>
      </w:pPr>
      <w:r w:rsidRPr="00FD50F6">
        <w:rPr>
          <w:rFonts w:hint="eastAsia"/>
        </w:rPr>
        <w:t xml:space="preserve"> </w:t>
      </w:r>
      <w:r w:rsidRPr="00FD50F6">
        <w:rPr>
          <w:rFonts w:hint="eastAsia"/>
        </w:rPr>
        <w:t>横向多柱的“桥</w:t>
      </w:r>
      <w:r w:rsidRPr="00FD50F6">
        <w:t>-</w:t>
      </w:r>
      <w:r w:rsidRPr="00FD50F6">
        <w:rPr>
          <w:rFonts w:hint="eastAsia"/>
        </w:rPr>
        <w:t>建合一”或“桥</w:t>
      </w:r>
      <w:r w:rsidRPr="00FD50F6">
        <w:t>-</w:t>
      </w:r>
      <w:r w:rsidRPr="00FD50F6">
        <w:rPr>
          <w:rFonts w:hint="eastAsia"/>
        </w:rPr>
        <w:t>建组合”高架车站应按现行国家标准《建筑抗震设计规范》</w:t>
      </w:r>
      <w:r w:rsidRPr="00FD50F6">
        <w:t>GB 50011</w:t>
      </w:r>
      <w:r w:rsidRPr="00FD50F6">
        <w:rPr>
          <w:rFonts w:hint="eastAsia"/>
        </w:rPr>
        <w:t>进行抗震设计</w:t>
      </w:r>
      <w:r w:rsidRPr="00FD50F6">
        <w:t>。</w:t>
      </w:r>
      <w:r w:rsidRPr="00FD50F6">
        <w:rPr>
          <w:rFonts w:hint="eastAsia"/>
        </w:rPr>
        <w:t>横向双柱和独柱高架车站应按现行国家标准《城市轨道交通结构抗震设计规范》</w:t>
      </w:r>
      <w:r w:rsidRPr="00FD50F6">
        <w:t>GB 50909</w:t>
      </w:r>
      <w:r w:rsidRPr="00FD50F6">
        <w:rPr>
          <w:rFonts w:hint="eastAsia"/>
        </w:rPr>
        <w:t>的要求进行抗震设计。</w:t>
      </w:r>
    </w:p>
    <w:p w14:paraId="1ED0E931" w14:textId="1F880FF6" w:rsidR="0012415A" w:rsidRPr="00FD50F6" w:rsidRDefault="0012415A" w:rsidP="0012415A">
      <w:pPr>
        <w:pStyle w:val="30"/>
      </w:pPr>
      <w:r w:rsidRPr="00FD50F6">
        <w:rPr>
          <w:rFonts w:hint="eastAsia"/>
        </w:rPr>
        <w:t>钢筋混凝土高架车站主体结构应根据设防类别、设防烈度等采用不同的抗震等级，并应按现行国家标准《建筑抗震设计规范》</w:t>
      </w:r>
      <w:r w:rsidRPr="00FD50F6">
        <w:t>GB 50011</w:t>
      </w:r>
      <w:r w:rsidRPr="00FD50F6">
        <w:rPr>
          <w:rFonts w:hint="eastAsia"/>
        </w:rPr>
        <w:t>的规定采取相应的抗震措施。</w:t>
      </w:r>
    </w:p>
    <w:p w14:paraId="4F8ECCD3" w14:textId="7DEC56F2" w:rsidR="0012415A" w:rsidRPr="00FD50F6" w:rsidRDefault="0012415A" w:rsidP="0012415A">
      <w:pPr>
        <w:pStyle w:val="30"/>
      </w:pPr>
      <w:r w:rsidRPr="00FD50F6">
        <w:rPr>
          <w:rFonts w:hint="eastAsia"/>
        </w:rPr>
        <w:t>高架车站端部与区间高架结构宜设缝分开，当高架区间桥梁直接支承在高架车站结构上时，高架车站结构抗震计算应计入相邻区间结构的影响。</w:t>
      </w:r>
    </w:p>
    <w:p w14:paraId="3454AB32" w14:textId="4306FA89" w:rsidR="0012415A" w:rsidRPr="00FD50F6" w:rsidRDefault="0012415A" w:rsidP="0012415A">
      <w:pPr>
        <w:pStyle w:val="30"/>
      </w:pPr>
      <w:r w:rsidRPr="00FD50F6">
        <w:rPr>
          <w:rFonts w:hint="eastAsia"/>
        </w:rPr>
        <w:t>8</w:t>
      </w:r>
      <w:r w:rsidRPr="00FD50F6">
        <w:rPr>
          <w:rFonts w:hint="eastAsia"/>
        </w:rPr>
        <w:t>、</w:t>
      </w:r>
      <w:r w:rsidRPr="00FD50F6">
        <w:rPr>
          <w:rFonts w:hint="eastAsia"/>
        </w:rPr>
        <w:t>9</w:t>
      </w:r>
      <w:r w:rsidRPr="00FD50F6">
        <w:rPr>
          <w:rFonts w:hint="eastAsia"/>
        </w:rPr>
        <w:t>度时的大跨结构及长悬臂结构应计算竖向地震作用。</w:t>
      </w:r>
    </w:p>
    <w:p w14:paraId="2F387043" w14:textId="372C4BA4" w:rsidR="0012415A" w:rsidRPr="00FD50F6" w:rsidRDefault="0012415A" w:rsidP="0012415A">
      <w:pPr>
        <w:pStyle w:val="30"/>
      </w:pPr>
      <w:r w:rsidRPr="00FD50F6">
        <w:rPr>
          <w:rFonts w:hint="eastAsia"/>
        </w:rPr>
        <w:t>站台板结构可参与主体结构整体分析，但支承站台板的主体结构不应按转换结构设计。</w:t>
      </w:r>
    </w:p>
    <w:p w14:paraId="23377EAD" w14:textId="73BB7539" w:rsidR="0012415A" w:rsidRPr="00FD50F6" w:rsidRDefault="0012415A" w:rsidP="0012415A">
      <w:pPr>
        <w:pStyle w:val="30"/>
      </w:pPr>
      <w:r w:rsidRPr="00FD50F6">
        <w:rPr>
          <w:rFonts w:hint="eastAsia"/>
        </w:rPr>
        <w:t>高架车站主体结构基础设计等级应按甲级。</w:t>
      </w:r>
    </w:p>
    <w:p w14:paraId="23037F80" w14:textId="303A5BFC" w:rsidR="0012415A" w:rsidRPr="00FD50F6" w:rsidRDefault="0012415A" w:rsidP="0012415A">
      <w:pPr>
        <w:pStyle w:val="30"/>
      </w:pPr>
      <w:r w:rsidRPr="00FD50F6">
        <w:rPr>
          <w:rFonts w:hint="eastAsia"/>
        </w:rPr>
        <w:t>高架车站结构构件混凝土最低强度等级及所采用的混凝土材料应符合现行国家标准《混凝土结构设计规范》</w:t>
      </w:r>
      <w:r w:rsidRPr="00FD50F6">
        <w:t>GB 50010</w:t>
      </w:r>
      <w:r w:rsidRPr="00FD50F6">
        <w:rPr>
          <w:rFonts w:hint="eastAsia"/>
        </w:rPr>
        <w:t>或《混凝土结构耐久性设计规范》</w:t>
      </w:r>
      <w:r w:rsidRPr="00FD50F6">
        <w:t>GB/T 50476</w:t>
      </w:r>
      <w:r w:rsidRPr="00FD50F6">
        <w:rPr>
          <w:rFonts w:hint="eastAsia"/>
        </w:rPr>
        <w:t>的规定。</w:t>
      </w:r>
    </w:p>
    <w:p w14:paraId="583F245F" w14:textId="5371D5D0" w:rsidR="0012415A" w:rsidRPr="00FD50F6" w:rsidRDefault="0012415A" w:rsidP="0012415A">
      <w:pPr>
        <w:pStyle w:val="30"/>
      </w:pPr>
      <w:r w:rsidRPr="00FD50F6">
        <w:rPr>
          <w:rFonts w:hint="eastAsia"/>
        </w:rPr>
        <w:lastRenderedPageBreak/>
        <w:t>当高架车站的混凝土框架及斜撑构件纵向钢筋采用普通钢筋时，钢筋的抗拉强度实测值与屈服强度实测值的比值不应小于</w:t>
      </w:r>
      <w:r w:rsidRPr="00FD50F6">
        <w:t>1.25</w:t>
      </w:r>
      <w:r w:rsidRPr="00FD50F6">
        <w:rPr>
          <w:rFonts w:hint="eastAsia"/>
        </w:rPr>
        <w:t>；钢筋的屈服强度实测值与屈服强度标准值的比值不应大于</w:t>
      </w:r>
      <w:r w:rsidRPr="00FD50F6">
        <w:t>1.3</w:t>
      </w:r>
      <w:r w:rsidRPr="00FD50F6">
        <w:rPr>
          <w:rFonts w:hint="eastAsia"/>
        </w:rPr>
        <w:t>，且钢筋在最大拉力下的总伸长率实测值不应小于</w:t>
      </w:r>
      <w:r w:rsidRPr="00FD50F6">
        <w:t>9%</w:t>
      </w:r>
      <w:r w:rsidRPr="00FD50F6">
        <w:rPr>
          <w:rFonts w:hint="eastAsia"/>
        </w:rPr>
        <w:t>。</w:t>
      </w:r>
    </w:p>
    <w:p w14:paraId="0963264F" w14:textId="77777777" w:rsidR="0012415A" w:rsidRPr="00FD50F6" w:rsidRDefault="0012415A" w:rsidP="0012415A">
      <w:pPr>
        <w:pStyle w:val="30"/>
      </w:pPr>
      <w:r w:rsidRPr="00FD50F6">
        <w:rPr>
          <w:rFonts w:hint="eastAsia"/>
        </w:rPr>
        <w:t>高架车站所采用钢材的屈服强度实测值与抗拉强度实测值的比值不应大于</w:t>
      </w:r>
      <w:r w:rsidRPr="00FD50F6">
        <w:t>0.85</w:t>
      </w:r>
      <w:r w:rsidRPr="00FD50F6">
        <w:rPr>
          <w:rFonts w:hint="eastAsia"/>
        </w:rPr>
        <w:t>；钢材应有明显的屈服台阶，且伸长率不应小于</w:t>
      </w:r>
      <w:r w:rsidRPr="00FD50F6">
        <w:t>20%</w:t>
      </w:r>
      <w:r w:rsidRPr="00FD50F6">
        <w:rPr>
          <w:rFonts w:hint="eastAsia"/>
        </w:rPr>
        <w:t>；钢材应有良好的焊接性和合格的冲击韧性。</w:t>
      </w:r>
    </w:p>
    <w:p w14:paraId="3BC1575A" w14:textId="077F2060" w:rsidR="0012415A" w:rsidRPr="00FD50F6" w:rsidRDefault="0012415A" w:rsidP="0012415A">
      <w:pPr>
        <w:pStyle w:val="30"/>
      </w:pPr>
      <w:r w:rsidRPr="00FD50F6">
        <w:rPr>
          <w:rFonts w:hint="eastAsia"/>
        </w:rPr>
        <w:t>高架车站结构上的非承重构件应按现行国家标准《建筑抗震设计规范》</w:t>
      </w:r>
      <w:r w:rsidRPr="00FD50F6">
        <w:t>GB 50011</w:t>
      </w:r>
      <w:r w:rsidRPr="00FD50F6">
        <w:rPr>
          <w:rFonts w:hint="eastAsia"/>
        </w:rPr>
        <w:t>进行抗震设计。非承重构件与车站主体结构应有可靠连接或锚固。</w:t>
      </w:r>
    </w:p>
    <w:p w14:paraId="0340E972" w14:textId="3309AF9C" w:rsidR="0012415A" w:rsidRPr="00FD50F6" w:rsidRDefault="0012415A" w:rsidP="0012415A">
      <w:pPr>
        <w:pStyle w:val="30"/>
      </w:pPr>
      <w:r w:rsidRPr="00FD50F6">
        <w:rPr>
          <w:rFonts w:hint="eastAsia"/>
        </w:rPr>
        <w:t>车站结构中外露的现浇钢筋混凝土女儿墙、挂板、栏板、檐口等构件，应采取结构缝、诱导缝、加强配筋或其他防止开裂的措施。</w:t>
      </w:r>
    </w:p>
    <w:p w14:paraId="6C487468" w14:textId="2870363F" w:rsidR="0012415A" w:rsidRPr="00FD50F6" w:rsidRDefault="0012415A" w:rsidP="0012415A">
      <w:pPr>
        <w:pStyle w:val="30"/>
      </w:pPr>
      <w:r w:rsidRPr="00FD50F6">
        <w:rPr>
          <w:rFonts w:hint="eastAsia"/>
        </w:rPr>
        <w:t>车站顶棚结构结合开敞式、半封闭式和全封闭式等建筑形式，可采用单侧悬挑、门式刚架、排架或框架等结构形式。设计中应结合受力、施工、运营维护及景观等因素进行综合比较选取方案。</w:t>
      </w:r>
    </w:p>
    <w:p w14:paraId="32A6AA41" w14:textId="336A2403" w:rsidR="0012415A" w:rsidRPr="00FD50F6" w:rsidRDefault="0012415A" w:rsidP="0012415A">
      <w:pPr>
        <w:pStyle w:val="30"/>
      </w:pPr>
      <w:r w:rsidRPr="00FD50F6">
        <w:rPr>
          <w:rFonts w:hint="eastAsia"/>
        </w:rPr>
        <w:t>顶棚结构计算应计入接触网、屏蔽门、信号设施、标志标识设施以及各类设备吊挂等传来的荷载，并应满足相关设施对结构变形的要求。</w:t>
      </w:r>
    </w:p>
    <w:p w14:paraId="3EDE3C61" w14:textId="77777777" w:rsidR="0012415A" w:rsidRPr="00FD50F6" w:rsidRDefault="0012415A" w:rsidP="0012415A">
      <w:pPr>
        <w:pStyle w:val="30"/>
      </w:pPr>
      <w:r w:rsidRPr="00FD50F6">
        <w:rPr>
          <w:rFonts w:hint="eastAsia"/>
        </w:rPr>
        <w:t>顶棚维护结构应进行抗风设计，对于开敞的、半封闭的以及体型复杂的顶棚结构，当风荷载取值无可靠依据时，宜进行风洞试验确定风荷载。</w:t>
      </w:r>
    </w:p>
    <w:p w14:paraId="6EBF3AFD" w14:textId="00458FFB" w:rsidR="0012415A" w:rsidRPr="00FD50F6" w:rsidRDefault="0012415A" w:rsidP="0012415A">
      <w:pPr>
        <w:pStyle w:val="30"/>
      </w:pPr>
      <w:r w:rsidRPr="00FD50F6">
        <w:rPr>
          <w:rFonts w:hint="eastAsia"/>
        </w:rPr>
        <w:t>顶棚结构应与车站结构一起进行整体结构受力分析，并应计算温度作用对顶棚结构的影响。</w:t>
      </w:r>
    </w:p>
    <w:p w14:paraId="3946EF60" w14:textId="35DC8350" w:rsidR="0012415A" w:rsidRPr="00FD50F6" w:rsidRDefault="0012415A" w:rsidP="0012415A">
      <w:pPr>
        <w:pStyle w:val="30"/>
      </w:pPr>
      <w:r w:rsidRPr="00FD50F6">
        <w:rPr>
          <w:rFonts w:hint="eastAsia"/>
        </w:rPr>
        <w:t>顶棚结构应与下部主体结构应有可靠的连接，柱脚连接应符合现行国家标准《建筑抗震设计规范》</w:t>
      </w:r>
      <w:r w:rsidRPr="00FD50F6">
        <w:t>GB 50011</w:t>
      </w:r>
      <w:r w:rsidRPr="00FD50F6">
        <w:rPr>
          <w:rFonts w:hint="eastAsia"/>
        </w:rPr>
        <w:t>的规定，顶棚结构不得以框架结构站台板作为柱脚连接结构。</w:t>
      </w:r>
    </w:p>
    <w:p w14:paraId="715A0C44" w14:textId="77777777" w:rsidR="0012415A" w:rsidRPr="00FD50F6" w:rsidRDefault="0012415A" w:rsidP="0012415A">
      <w:pPr>
        <w:pStyle w:val="30"/>
      </w:pPr>
      <w:r w:rsidRPr="00FD50F6">
        <w:rPr>
          <w:rFonts w:hint="eastAsia"/>
        </w:rPr>
        <w:t>顶棚结构分段宜与下部结构一致，不宜跨缝设置顶棚结构，当必须跨缝设置时，应有可靠措施。</w:t>
      </w:r>
    </w:p>
    <w:p w14:paraId="2695771A" w14:textId="7FF298D1" w:rsidR="0012415A" w:rsidRPr="00FD50F6" w:rsidRDefault="0012415A" w:rsidP="0012415A">
      <w:pPr>
        <w:pStyle w:val="30"/>
      </w:pPr>
      <w:r w:rsidRPr="00FD50F6">
        <w:rPr>
          <w:rFonts w:hint="eastAsia"/>
        </w:rPr>
        <w:t>车站出入口高架结构可采用钢筋混凝土结构或钢结构。出入口结构与车站主体结构之间宜相互独立。当出入口结构跨度较大或需要跨越道路时，可采用梁、桁架等结构形式。当出入口结构直接支承在主体结构上时，应在主体结构边梁上设置支座，主体结构计算应计入出入口结构传来的荷载。</w:t>
      </w:r>
    </w:p>
    <w:p w14:paraId="4F06F796" w14:textId="77777777" w:rsidR="0012415A" w:rsidRPr="00FD50F6" w:rsidRDefault="0012415A" w:rsidP="00A65181">
      <w:pPr>
        <w:pStyle w:val="2"/>
      </w:pPr>
      <w:bookmarkStart w:id="444" w:name="_Toc112830715"/>
      <w:r w:rsidRPr="00FD50F6">
        <w:rPr>
          <w:rFonts w:hint="eastAsia"/>
        </w:rPr>
        <w:lastRenderedPageBreak/>
        <w:t>构造要求</w:t>
      </w:r>
      <w:bookmarkEnd w:id="444"/>
    </w:p>
    <w:p w14:paraId="595518D9" w14:textId="065F21DC" w:rsidR="0012415A" w:rsidRPr="00FD50F6" w:rsidRDefault="0012415A" w:rsidP="0012415A">
      <w:pPr>
        <w:pStyle w:val="30"/>
      </w:pPr>
      <w:r w:rsidRPr="00FD50F6">
        <w:rPr>
          <w:rFonts w:hint="eastAsia"/>
        </w:rPr>
        <w:t>桥上轨道宜采用无砟轨道。当采用有砟道床时，轨道下枕底道砟厚度不应小于</w:t>
      </w:r>
      <w:r w:rsidRPr="00FD50F6">
        <w:t>0.25m</w:t>
      </w:r>
      <w:r w:rsidRPr="00FD50F6">
        <w:rPr>
          <w:rFonts w:hint="eastAsia"/>
        </w:rPr>
        <w:t>，当设置砟下胶垫层时，应含胶垫层的厚度。</w:t>
      </w:r>
    </w:p>
    <w:p w14:paraId="1F3C8B78" w14:textId="1CD58639" w:rsidR="00190D31" w:rsidRPr="00FD50F6" w:rsidRDefault="00190D31" w:rsidP="00190D31">
      <w:pPr>
        <w:pStyle w:val="30"/>
      </w:pPr>
      <w:r w:rsidRPr="00FD50F6">
        <w:rPr>
          <w:rFonts w:hint="eastAsia"/>
        </w:rPr>
        <w:t>桥面排水应符合下列规定：</w:t>
      </w:r>
    </w:p>
    <w:p w14:paraId="70BF2B5F" w14:textId="77777777" w:rsidR="00190D31" w:rsidRPr="00FD50F6" w:rsidRDefault="00190D31" w:rsidP="004C6E4C">
      <w:pPr>
        <w:pStyle w:val="30"/>
        <w:numPr>
          <w:ilvl w:val="0"/>
          <w:numId w:val="0"/>
        </w:numPr>
        <w:ind w:firstLineChars="200" w:firstLine="480"/>
      </w:pPr>
      <w:r w:rsidRPr="00FD50F6">
        <w:rPr>
          <w:rFonts w:hint="eastAsia"/>
        </w:rPr>
        <w:t>1</w:t>
      </w:r>
      <w:r w:rsidRPr="00FD50F6">
        <w:rPr>
          <w:rFonts w:hint="eastAsia"/>
        </w:rPr>
        <w:t>排水设施应便于检查、维修与更换。桥面应防止出现积水。双线桥桥面横向宜采用双侧排水坡，单线桥可设单向排水横坡，坡度不应小于</w:t>
      </w:r>
      <w:r w:rsidRPr="00FD50F6">
        <w:t>2</w:t>
      </w:r>
      <w:r w:rsidRPr="00FD50F6">
        <w:rPr>
          <w:rFonts w:hint="eastAsia"/>
        </w:rPr>
        <w:t>％。纵向宜设不小于</w:t>
      </w:r>
      <w:r w:rsidRPr="00FD50F6">
        <w:t>3‰</w:t>
      </w:r>
      <w:r w:rsidRPr="00FD50F6">
        <w:rPr>
          <w:rFonts w:hint="eastAsia"/>
        </w:rPr>
        <w:t>的排水坡。排水管道直径与根数应根据计算确定，且直径不宜小于</w:t>
      </w:r>
      <w:r w:rsidRPr="00FD50F6">
        <w:t>150mm</w:t>
      </w:r>
      <w:r w:rsidRPr="00FD50F6">
        <w:rPr>
          <w:rFonts w:hint="eastAsia"/>
        </w:rPr>
        <w:t>。排水管出水口不得紧贴混凝土构件表面，应设滴水檐防止水从侧面淌入梁、板底面。</w:t>
      </w:r>
    </w:p>
    <w:p w14:paraId="70EFBEDD" w14:textId="2856160A" w:rsidR="00190D31" w:rsidRPr="00FD50F6" w:rsidRDefault="00190D31" w:rsidP="00190D31">
      <w:pPr>
        <w:pStyle w:val="8"/>
        <w:ind w:firstLine="480"/>
      </w:pPr>
      <w:r w:rsidRPr="00FD50F6">
        <w:rPr>
          <w:rFonts w:hint="eastAsia"/>
        </w:rPr>
        <w:t>2</w:t>
      </w:r>
      <w:r w:rsidRPr="00FD50F6">
        <w:rPr>
          <w:rFonts w:hint="eastAsia"/>
        </w:rPr>
        <w:t>主梁端头应设置挡水墙。与车站和地下区间相接的长纵坡段桥梁，在不影响轨道道床铺设的前提下，宜加高挡水墙高度，并宜增加排水管数量，同时可根据计算增加桥跨中间挡水墙及排水管数。</w:t>
      </w:r>
    </w:p>
    <w:p w14:paraId="387A1F18" w14:textId="30168008" w:rsidR="00190D31" w:rsidRPr="00FD50F6" w:rsidRDefault="00190D31" w:rsidP="00190D31">
      <w:pPr>
        <w:pStyle w:val="8"/>
        <w:ind w:firstLine="480"/>
      </w:pPr>
      <w:r w:rsidRPr="00FD50F6">
        <w:rPr>
          <w:rFonts w:hint="eastAsia"/>
        </w:rPr>
        <w:t>3</w:t>
      </w:r>
      <w:r w:rsidRPr="00FD50F6">
        <w:rPr>
          <w:rFonts w:hint="eastAsia"/>
        </w:rPr>
        <w:t>岔区桥梁桥面排水系统应计入轨道道床的影响。</w:t>
      </w:r>
    </w:p>
    <w:p w14:paraId="1EDBDDF5" w14:textId="6358CB81" w:rsidR="0012415A" w:rsidRPr="00FD50F6" w:rsidRDefault="0012415A" w:rsidP="0012415A">
      <w:pPr>
        <w:pStyle w:val="30"/>
      </w:pPr>
      <w:r w:rsidRPr="00FD50F6">
        <w:rPr>
          <w:rFonts w:hint="eastAsia"/>
        </w:rPr>
        <w:t>桥面应设防水层及保护层。梁缝处应设伸缩缝，伸缩缝除应保证梁部能自由伸缩外，还应防止桥面水渗漏。</w:t>
      </w:r>
    </w:p>
    <w:p w14:paraId="73DEC3D0" w14:textId="77777777" w:rsidR="0012415A" w:rsidRPr="00FD50F6" w:rsidRDefault="0012415A" w:rsidP="0012415A">
      <w:pPr>
        <w:pStyle w:val="30"/>
      </w:pPr>
      <w:r w:rsidRPr="00FD50F6">
        <w:rPr>
          <w:rFonts w:hint="eastAsia"/>
        </w:rPr>
        <w:t>桥梁顺桥向固定支座的布置应符合下列规定：</w:t>
      </w:r>
    </w:p>
    <w:p w14:paraId="440AEB2A" w14:textId="77777777" w:rsidR="0012415A" w:rsidRPr="00FD50F6" w:rsidRDefault="0012415A" w:rsidP="00A926BD">
      <w:pPr>
        <w:pStyle w:val="4"/>
      </w:pPr>
      <w:r w:rsidRPr="00FD50F6">
        <w:rPr>
          <w:rFonts w:hint="eastAsia"/>
        </w:rPr>
        <w:t>坡道上宜设在较低一端；</w:t>
      </w:r>
    </w:p>
    <w:p w14:paraId="71EC739C" w14:textId="77777777" w:rsidR="0012415A" w:rsidRPr="00FD50F6" w:rsidRDefault="0012415A" w:rsidP="00A926BD">
      <w:pPr>
        <w:pStyle w:val="4"/>
      </w:pPr>
      <w:r w:rsidRPr="00FD50F6">
        <w:rPr>
          <w:rFonts w:hint="eastAsia"/>
        </w:rPr>
        <w:t>车站附近宜设在靠车站一端；</w:t>
      </w:r>
    </w:p>
    <w:p w14:paraId="171C2135" w14:textId="77777777" w:rsidR="0012415A" w:rsidRPr="00FD50F6" w:rsidRDefault="0012415A" w:rsidP="00A926BD">
      <w:pPr>
        <w:pStyle w:val="4"/>
      </w:pPr>
      <w:r w:rsidRPr="00FD50F6">
        <w:rPr>
          <w:rFonts w:hint="eastAsia"/>
        </w:rPr>
        <w:t>相邻两孔梁的固定支座不宜设在同一桥墩上；</w:t>
      </w:r>
    </w:p>
    <w:p w14:paraId="2D32B9B5" w14:textId="77777777" w:rsidR="0012415A" w:rsidRPr="00FD50F6" w:rsidRDefault="0012415A" w:rsidP="00A926BD">
      <w:pPr>
        <w:pStyle w:val="4"/>
      </w:pPr>
      <w:r w:rsidRPr="00FD50F6">
        <w:rPr>
          <w:rFonts w:hint="eastAsia"/>
        </w:rPr>
        <w:t>当上述条件相互抵触时，应优先满足坡道上的要求。</w:t>
      </w:r>
    </w:p>
    <w:p w14:paraId="0E0B2B39" w14:textId="17AC2810" w:rsidR="0012415A" w:rsidRPr="00FD50F6" w:rsidRDefault="0012415A" w:rsidP="0012415A">
      <w:pPr>
        <w:pStyle w:val="30"/>
      </w:pPr>
      <w:r w:rsidRPr="00FD50F6">
        <w:rPr>
          <w:rFonts w:hint="eastAsia"/>
        </w:rPr>
        <w:t>对于城市道路与轨道交通共建桥梁，当城市道路与轨道交通布置在同一层桥面时，应在城市道路与轨道间设置防撞护栏与防眩装置，护栏上宜加设护网及监测设备。对城市道路靠近轨道交通一侧的防撞护栏，其防撞等级应根据现行行业标准《城市桥梁设计规范》</w:t>
      </w:r>
      <w:r w:rsidRPr="00FD50F6">
        <w:t>CJJ 11</w:t>
      </w:r>
      <w:r w:rsidRPr="00FD50F6">
        <w:rPr>
          <w:rFonts w:hint="eastAsia"/>
        </w:rPr>
        <w:t>的规定，按车辆驶出路外有可能造成二次特大事故确定的防撞等级提高一级采用。</w:t>
      </w:r>
    </w:p>
    <w:p w14:paraId="5D85F4B5" w14:textId="553BA2B2" w:rsidR="0012415A" w:rsidRPr="00FD50F6" w:rsidRDefault="0012415A" w:rsidP="0012415A">
      <w:pPr>
        <w:pStyle w:val="30"/>
      </w:pPr>
      <w:r w:rsidRPr="00FD50F6">
        <w:rPr>
          <w:rFonts w:hint="eastAsia"/>
        </w:rPr>
        <w:t>采用直流电力牵引和走行轨回流的高架结构，应根据现行行业标准《地铁杂散电流腐蚀防护技术</w:t>
      </w:r>
      <w:r w:rsidR="00114D26">
        <w:rPr>
          <w:rFonts w:hint="eastAsia"/>
        </w:rPr>
        <w:t>标准</w:t>
      </w:r>
      <w:r w:rsidRPr="00FD50F6">
        <w:rPr>
          <w:rFonts w:hint="eastAsia"/>
        </w:rPr>
        <w:t>》</w:t>
      </w:r>
      <w:r w:rsidRPr="00FD50F6">
        <w:t>CJJ</w:t>
      </w:r>
      <w:r w:rsidR="00114D26">
        <w:rPr>
          <w:rFonts w:hint="eastAsia"/>
        </w:rPr>
        <w:t>/T</w:t>
      </w:r>
      <w:r w:rsidRPr="00FD50F6">
        <w:t xml:space="preserve"> 49</w:t>
      </w:r>
      <w:r w:rsidRPr="00FD50F6">
        <w:rPr>
          <w:rFonts w:hint="eastAsia"/>
        </w:rPr>
        <w:t>的规定采取防止杂散电流腐蚀的措施。钢结构及钢连接件应进行防锈处理。</w:t>
      </w:r>
    </w:p>
    <w:p w14:paraId="7709BD22" w14:textId="1D68C527" w:rsidR="0012415A" w:rsidRPr="00FD50F6" w:rsidRDefault="0012415A" w:rsidP="0012415A">
      <w:pPr>
        <w:pStyle w:val="30"/>
      </w:pPr>
      <w:r w:rsidRPr="00FD50F6">
        <w:rPr>
          <w:rFonts w:hint="eastAsia"/>
        </w:rPr>
        <w:t>桥下应设养护、维修便道，便道的宽度应满足自行走行升降式桥梁检修</w:t>
      </w:r>
      <w:r w:rsidRPr="00FD50F6">
        <w:rPr>
          <w:rFonts w:hint="eastAsia"/>
        </w:rPr>
        <w:lastRenderedPageBreak/>
        <w:t>车检修作业要求；高度超过</w:t>
      </w:r>
      <w:r w:rsidRPr="00FD50F6">
        <w:t>20m</w:t>
      </w:r>
      <w:r w:rsidRPr="00FD50F6">
        <w:rPr>
          <w:rFonts w:hint="eastAsia"/>
        </w:rPr>
        <w:t>、桥下无条件设置养护维修便道处，宜设置专门检查设备。</w:t>
      </w:r>
    </w:p>
    <w:p w14:paraId="4BA9CB72" w14:textId="21090BA5" w:rsidR="0012415A" w:rsidRPr="00FD50F6" w:rsidRDefault="0012415A" w:rsidP="0012415A">
      <w:pPr>
        <w:pStyle w:val="30"/>
      </w:pPr>
      <w:r w:rsidRPr="00FD50F6">
        <w:rPr>
          <w:rFonts w:hint="eastAsia"/>
        </w:rPr>
        <w:t>箱形结构应有进入箱内检查的孔道。箱梁腹板上应设置直径为</w:t>
      </w:r>
      <w:r w:rsidRPr="00FD50F6">
        <w:t>100mm</w:t>
      </w:r>
      <w:r w:rsidRPr="00FD50F6">
        <w:rPr>
          <w:rFonts w:hint="eastAsia"/>
        </w:rPr>
        <w:t>的通风孔。</w:t>
      </w:r>
    </w:p>
    <w:p w14:paraId="4BEEA543" w14:textId="77777777" w:rsidR="0012415A" w:rsidRPr="00FD50F6" w:rsidRDefault="0012415A" w:rsidP="0012415A">
      <w:pPr>
        <w:pStyle w:val="30"/>
      </w:pPr>
      <w:r w:rsidRPr="00FD50F6">
        <w:rPr>
          <w:rFonts w:hint="eastAsia"/>
        </w:rPr>
        <w:t>墩台构造应满足更换支座的要求，在墩台帽顶面与主梁梁底之间应预留顶升主梁更换支座的空间，并应设置坡度不小于</w:t>
      </w:r>
      <w:r w:rsidRPr="00FD50F6">
        <w:t>3</w:t>
      </w:r>
      <w:r w:rsidRPr="00FD50F6">
        <w:rPr>
          <w:rFonts w:hint="eastAsia"/>
        </w:rPr>
        <w:t>％的排水坡。</w:t>
      </w:r>
    </w:p>
    <w:p w14:paraId="1D46D4CF" w14:textId="77777777" w:rsidR="0012415A" w:rsidRPr="00FD50F6" w:rsidRDefault="0012415A" w:rsidP="0012415A">
      <w:pPr>
        <w:pStyle w:val="30"/>
      </w:pPr>
      <w:r w:rsidRPr="00FD50F6">
        <w:rPr>
          <w:rFonts w:hint="eastAsia"/>
        </w:rPr>
        <w:t>对于梁拱组合体系桥及斜拉桥，当吊杆或拉索位于栏杆内侧时，应设置吊杆或拉索防撞措施。</w:t>
      </w:r>
    </w:p>
    <w:p w14:paraId="415EB808" w14:textId="77777777" w:rsidR="0012415A" w:rsidRPr="00FD50F6" w:rsidRDefault="0012415A" w:rsidP="0012415A">
      <w:pPr>
        <w:pStyle w:val="30"/>
      </w:pPr>
      <w:r w:rsidRPr="00FD50F6">
        <w:rPr>
          <w:rFonts w:hint="eastAsia"/>
        </w:rPr>
        <w:t>当桥梁跨越城市快速路、高速公路、城市轨道交通、铁路干线等重要交通通道时，桥面应加设护网，护网高度不应小于</w:t>
      </w:r>
      <w:r w:rsidRPr="00FD50F6">
        <w:t>2m</w:t>
      </w:r>
      <w:r w:rsidRPr="00FD50F6">
        <w:rPr>
          <w:rFonts w:hint="eastAsia"/>
        </w:rPr>
        <w:t>，护网长度宜为下穿道路的宽度并各向路外延长</w:t>
      </w:r>
      <w:r w:rsidRPr="00FD50F6">
        <w:t>10m</w:t>
      </w:r>
      <w:r w:rsidRPr="00FD50F6">
        <w:rPr>
          <w:rFonts w:hint="eastAsia"/>
        </w:rPr>
        <w:t>。桥面排水应采用集中排水形式，并应引出轨道交通及铁路范围以外。</w:t>
      </w:r>
    </w:p>
    <w:p w14:paraId="69C6D289" w14:textId="7FB3EB66" w:rsidR="0012415A" w:rsidRPr="00FD50F6" w:rsidRDefault="0012415A" w:rsidP="0012415A">
      <w:pPr>
        <w:pStyle w:val="30"/>
      </w:pPr>
      <w:r w:rsidRPr="00FD50F6">
        <w:t>区间桥梁</w:t>
      </w:r>
      <w:r w:rsidRPr="00FD50F6">
        <w:rPr>
          <w:rFonts w:hint="eastAsia"/>
        </w:rPr>
        <w:t>钢筋混凝土和预应力混凝土结构的截面尺寸应</w:t>
      </w:r>
      <w:r w:rsidR="004C6E4C">
        <w:rPr>
          <w:rFonts w:hint="eastAsia"/>
        </w:rPr>
        <w:t>满足</w:t>
      </w:r>
      <w:r w:rsidRPr="00FD50F6">
        <w:rPr>
          <w:rFonts w:hint="eastAsia"/>
        </w:rPr>
        <w:t>混凝土灌注及振捣质量要求。截面最小尺寸应符合现行行业标准《铁路桥涵混凝土结构设计规范》</w:t>
      </w:r>
      <w:r w:rsidRPr="00FD50F6">
        <w:t>TB 10092</w:t>
      </w:r>
      <w:r w:rsidRPr="00FD50F6">
        <w:rPr>
          <w:rFonts w:hint="eastAsia"/>
        </w:rPr>
        <w:t>的规定。</w:t>
      </w:r>
    </w:p>
    <w:p w14:paraId="0B87C47D" w14:textId="5B5681F2" w:rsidR="0012415A" w:rsidRPr="00FD50F6" w:rsidRDefault="0012415A" w:rsidP="0012415A">
      <w:pPr>
        <w:pStyle w:val="30"/>
      </w:pPr>
      <w:r w:rsidRPr="00FD50F6">
        <w:t>区间桥梁钢</w:t>
      </w:r>
      <w:r w:rsidRPr="00FD50F6">
        <w:rPr>
          <w:rFonts w:hint="eastAsia"/>
        </w:rPr>
        <w:t>筋混凝土结构中的钢筋保护层厚度、预应力混凝土结构中的预应力筋或管道间的净距、预应力筋或管道的保护层及钢筋的保护层厚度，除应符合现行行业标准《铁路混凝土结构设计规范》</w:t>
      </w:r>
      <w:r w:rsidRPr="00FD50F6">
        <w:t>TB 10092</w:t>
      </w:r>
      <w:r w:rsidRPr="00FD50F6">
        <w:rPr>
          <w:rFonts w:hint="eastAsia"/>
        </w:rPr>
        <w:t>的规定外，还应根据不同的环境满足《铁路混凝土结构耐久性设计规范》</w:t>
      </w:r>
      <w:r w:rsidRPr="00FD50F6">
        <w:t>TB 10005</w:t>
      </w:r>
      <w:r w:rsidRPr="00FD50F6">
        <w:rPr>
          <w:rFonts w:hint="eastAsia"/>
        </w:rPr>
        <w:t>的规定。</w:t>
      </w:r>
    </w:p>
    <w:p w14:paraId="7289A668" w14:textId="1DFB1BCC" w:rsidR="0012415A" w:rsidRPr="00FD50F6" w:rsidRDefault="0012415A" w:rsidP="0012415A">
      <w:pPr>
        <w:pStyle w:val="30"/>
      </w:pPr>
      <w:r w:rsidRPr="00FD50F6">
        <w:rPr>
          <w:rFonts w:hint="eastAsia"/>
        </w:rPr>
        <w:t>钢桥涂装体系及材料性能要求应满足现行行业标准《铁路钢桥保护涂装及涂料供货技术条件》</w:t>
      </w:r>
      <w:r w:rsidRPr="00FD50F6">
        <w:t xml:space="preserve">TB/T 1527 </w:t>
      </w:r>
      <w:r w:rsidRPr="00FD50F6">
        <w:rPr>
          <w:rFonts w:hint="eastAsia"/>
        </w:rPr>
        <w:t>的规定。面漆颜色应满足景观需求。</w:t>
      </w:r>
    </w:p>
    <w:p w14:paraId="25C1CA0F" w14:textId="45663375" w:rsidR="0012415A" w:rsidRPr="00FD50F6" w:rsidRDefault="0012415A" w:rsidP="0012415A">
      <w:pPr>
        <w:pStyle w:val="30"/>
      </w:pPr>
      <w:r w:rsidRPr="00FD50F6">
        <w:rPr>
          <w:rFonts w:hint="eastAsia"/>
        </w:rPr>
        <w:t>预应力混凝土梁的封锚及接缝处应在构造上采取防水措施。对于结构有可能产生裂缝的部位，应增设普通钢筋防止裂缝的发生。</w:t>
      </w:r>
    </w:p>
    <w:p w14:paraId="1671790B" w14:textId="7CD0DAE1" w:rsidR="0012415A" w:rsidRPr="00FD50F6" w:rsidRDefault="0012415A" w:rsidP="0012415A">
      <w:pPr>
        <w:pStyle w:val="30"/>
      </w:pPr>
      <w:r w:rsidRPr="00FD50F6">
        <w:rPr>
          <w:rFonts w:hint="eastAsia"/>
        </w:rPr>
        <w:t>北方地区设于路边或路中的桥墩应按除冰盐溅射的腐蚀环境设计，遭雨水导致混凝土水饱和的部位应按冻融危害环境设计。酸雨地区的高架结构不应用硅酸盐水泥作为单一的胶凝材料。</w:t>
      </w:r>
    </w:p>
    <w:p w14:paraId="3EE99342" w14:textId="55EFDD13" w:rsidR="0012415A" w:rsidRPr="00FD50F6" w:rsidRDefault="0012415A" w:rsidP="0012415A">
      <w:pPr>
        <w:pStyle w:val="30"/>
      </w:pPr>
      <w:r w:rsidRPr="00FD50F6">
        <w:rPr>
          <w:rFonts w:hint="eastAsia"/>
        </w:rPr>
        <w:t>当独立轨道梁简支于车站结构横梁上时，应按本标准</w:t>
      </w:r>
      <w:r w:rsidR="006A1C6E">
        <w:rPr>
          <w:rFonts w:hint="eastAsia"/>
        </w:rPr>
        <w:t>第</w:t>
      </w:r>
      <w:r w:rsidRPr="00FD50F6">
        <w:rPr>
          <w:rFonts w:hint="eastAsia"/>
        </w:rPr>
        <w:t>1</w:t>
      </w:r>
      <w:r w:rsidR="00A0175C" w:rsidRPr="00FD50F6">
        <w:t>1</w:t>
      </w:r>
      <w:r w:rsidRPr="00FD50F6">
        <w:t>.4</w:t>
      </w:r>
      <w:r w:rsidRPr="00FD50F6">
        <w:t>节的</w:t>
      </w:r>
      <w:r w:rsidRPr="00FD50F6">
        <w:rPr>
          <w:rFonts w:hint="eastAsia"/>
        </w:rPr>
        <w:t>要求设置支座。</w:t>
      </w:r>
    </w:p>
    <w:p w14:paraId="21C30DF7" w14:textId="6E01107E" w:rsidR="0012415A" w:rsidRPr="00FD50F6" w:rsidRDefault="0012415A" w:rsidP="0012415A">
      <w:pPr>
        <w:pStyle w:val="30"/>
      </w:pPr>
      <w:r w:rsidRPr="00FD50F6">
        <w:rPr>
          <w:rFonts w:hint="eastAsia"/>
        </w:rPr>
        <w:t>当高架结构柱（墩）有可能受机动车等撞击时，应设置防撞墩等防护设施。当无法设置防护设施时，可按本标准第</w:t>
      </w:r>
      <w:r w:rsidRPr="00FD50F6">
        <w:rPr>
          <w:rFonts w:hint="eastAsia"/>
        </w:rPr>
        <w:t>1</w:t>
      </w:r>
      <w:r w:rsidR="00A0175C" w:rsidRPr="00FD50F6">
        <w:t>1</w:t>
      </w:r>
      <w:r w:rsidRPr="00FD50F6">
        <w:t>.2.15</w:t>
      </w:r>
      <w:r w:rsidRPr="00FD50F6">
        <w:t>条</w:t>
      </w:r>
      <w:r w:rsidR="006A1C6E">
        <w:rPr>
          <w:rFonts w:hint="eastAsia"/>
        </w:rPr>
        <w:t>的</w:t>
      </w:r>
      <w:r w:rsidRPr="00FD50F6">
        <w:rPr>
          <w:rFonts w:hint="eastAsia"/>
        </w:rPr>
        <w:t>要求进行防撞验算。</w:t>
      </w:r>
    </w:p>
    <w:p w14:paraId="52FB7F0B" w14:textId="049CB220" w:rsidR="0012415A" w:rsidRPr="00FD50F6" w:rsidRDefault="0012415A" w:rsidP="0012415A">
      <w:pPr>
        <w:pStyle w:val="30"/>
      </w:pPr>
      <w:r w:rsidRPr="00FD50F6">
        <w:rPr>
          <w:rFonts w:hint="eastAsia"/>
        </w:rPr>
        <w:lastRenderedPageBreak/>
        <w:t>车站结构及其顶棚结构应预留使用期间维修、保养的条件。</w:t>
      </w:r>
    </w:p>
    <w:p w14:paraId="21B16134" w14:textId="2CEADC7C" w:rsidR="00D70A4C" w:rsidRPr="00FD50F6" w:rsidRDefault="00D70A4C">
      <w:pPr>
        <w:widowControl/>
        <w:spacing w:line="240" w:lineRule="auto"/>
        <w:jc w:val="left"/>
      </w:pPr>
      <w:r w:rsidRPr="00FD50F6">
        <w:br w:type="page"/>
      </w:r>
    </w:p>
    <w:p w14:paraId="7EE1C380" w14:textId="77777777" w:rsidR="00D3119D" w:rsidRPr="00FD50F6" w:rsidRDefault="00D3119D" w:rsidP="00D3119D">
      <w:pPr>
        <w:pStyle w:val="12"/>
      </w:pPr>
      <w:bookmarkStart w:id="445" w:name="_Toc112830716"/>
      <w:r w:rsidRPr="00FD50F6">
        <w:lastRenderedPageBreak/>
        <w:t>地下结构</w:t>
      </w:r>
      <w:bookmarkEnd w:id="445"/>
    </w:p>
    <w:p w14:paraId="361609C0" w14:textId="77777777" w:rsidR="00D3119D" w:rsidRPr="00FD50F6" w:rsidRDefault="00D3119D" w:rsidP="00A65181">
      <w:pPr>
        <w:pStyle w:val="2"/>
        <w:numPr>
          <w:ilvl w:val="1"/>
          <w:numId w:val="19"/>
        </w:numPr>
      </w:pPr>
      <w:bookmarkStart w:id="446" w:name="_Toc112830717"/>
      <w:r w:rsidRPr="00FD50F6">
        <w:t>一般规定</w:t>
      </w:r>
      <w:bookmarkEnd w:id="446"/>
    </w:p>
    <w:p w14:paraId="5CCB4CF4" w14:textId="26340DFC" w:rsidR="00D3119D" w:rsidRPr="00FD50F6" w:rsidRDefault="00D3119D" w:rsidP="001A4CF3">
      <w:pPr>
        <w:pStyle w:val="30"/>
      </w:pPr>
      <w:r w:rsidRPr="00FD50F6">
        <w:t>地下结构的设计应以地质勘察资料为依据，根据现行国家标准《</w:t>
      </w:r>
      <w:r w:rsidRPr="00FD50F6">
        <w:rPr>
          <w:rFonts w:hint="eastAsia"/>
        </w:rPr>
        <w:t>城市轨道</w:t>
      </w:r>
      <w:r w:rsidRPr="00FD50F6">
        <w:t>交通岩土工程勘察规范》</w:t>
      </w:r>
      <w:r w:rsidRPr="00FD50F6">
        <w:t>GB 50307</w:t>
      </w:r>
      <w:r w:rsidRPr="00FD50F6">
        <w:t>的规定按不同设计阶段的任务和目的确定工程勘察的内容和范围，</w:t>
      </w:r>
      <w:r w:rsidRPr="00FD50F6">
        <w:rPr>
          <w:rFonts w:hint="eastAsia"/>
        </w:rPr>
        <w:t>并应</w:t>
      </w:r>
      <w:r w:rsidRPr="00FD50F6">
        <w:t>按不同</w:t>
      </w:r>
      <w:r w:rsidRPr="00FD50F6">
        <w:rPr>
          <w:rFonts w:hint="eastAsia"/>
        </w:rPr>
        <w:t>的</w:t>
      </w:r>
      <w:r w:rsidRPr="00FD50F6">
        <w:t>施工方法对地质勘探</w:t>
      </w:r>
      <w:r w:rsidRPr="00FD50F6">
        <w:rPr>
          <w:rFonts w:hint="eastAsia"/>
        </w:rPr>
        <w:t>提出</w:t>
      </w:r>
      <w:r w:rsidRPr="00FD50F6">
        <w:t>要求，通过施工中对地层的观察和监测反馈进行验证。</w:t>
      </w:r>
      <w:r w:rsidRPr="00FD50F6">
        <w:rPr>
          <w:rFonts w:hint="eastAsia"/>
        </w:rPr>
        <w:t>矿山法隧道结构的围岩分级应按现行行业标准《铁路隧道设计规范》</w:t>
      </w:r>
      <w:r w:rsidRPr="00FD50F6">
        <w:t>TB</w:t>
      </w:r>
      <w:r w:rsidRPr="00A65181">
        <w:t xml:space="preserve"> 10003</w:t>
      </w:r>
      <w:r w:rsidRPr="00FD50F6">
        <w:rPr>
          <w:rFonts w:hint="eastAsia"/>
        </w:rPr>
        <w:t>的</w:t>
      </w:r>
      <w:r w:rsidRPr="00A65181">
        <w:rPr>
          <w:rFonts w:hint="eastAsia"/>
        </w:rPr>
        <w:t>规定执行。</w:t>
      </w:r>
    </w:p>
    <w:p w14:paraId="7E5420C7" w14:textId="4C3FD88C" w:rsidR="00D3119D" w:rsidRPr="00FD50F6" w:rsidRDefault="00D3119D" w:rsidP="00D3119D">
      <w:pPr>
        <w:pStyle w:val="30"/>
      </w:pPr>
      <w:r w:rsidRPr="00FD50F6">
        <w:t>地下结构设计应以</w:t>
      </w:r>
      <w:r w:rsidRPr="00FD50F6">
        <w:rPr>
          <w:rFonts w:hint="eastAsia"/>
        </w:rPr>
        <w:t>“</w:t>
      </w:r>
      <w:r w:rsidRPr="00FD50F6">
        <w:t>结构为功能服务</w:t>
      </w:r>
      <w:r w:rsidRPr="00FD50F6">
        <w:rPr>
          <w:rFonts w:hint="eastAsia"/>
        </w:rPr>
        <w:t>”</w:t>
      </w:r>
      <w:r w:rsidRPr="00FD50F6">
        <w:t>为原则</w:t>
      </w:r>
      <w:r w:rsidRPr="00FD50F6">
        <w:rPr>
          <w:rFonts w:hint="eastAsia"/>
        </w:rPr>
        <w:t>，</w:t>
      </w:r>
      <w:r w:rsidRPr="00FD50F6">
        <w:t>满足城市规划、行车运营、环境保护、抗震、防水、防火、防护、防腐蚀及施工等要求。</w:t>
      </w:r>
    </w:p>
    <w:p w14:paraId="7C7A60F5" w14:textId="234A538C" w:rsidR="00D3119D" w:rsidRPr="00FD50F6" w:rsidRDefault="00D3119D" w:rsidP="00D3119D">
      <w:pPr>
        <w:pStyle w:val="30"/>
      </w:pPr>
      <w:r w:rsidRPr="00FD50F6">
        <w:t>地下结构设计应减少施工中和建成后对环境造成的不利影响，并</w:t>
      </w:r>
      <w:r w:rsidRPr="00FD50F6">
        <w:rPr>
          <w:rFonts w:hint="eastAsia"/>
        </w:rPr>
        <w:t>计入城</w:t>
      </w:r>
      <w:r w:rsidRPr="00FD50F6">
        <w:t>市规划引起周围环境的改变对结构的作用；对分期建设的线路，应根据线网规划确定节点结构型式及是否同步实施或预留远期实施条件。</w:t>
      </w:r>
    </w:p>
    <w:p w14:paraId="7DE6A224" w14:textId="77777777" w:rsidR="00D3119D" w:rsidRPr="00FD50F6" w:rsidRDefault="00D3119D" w:rsidP="00D3119D">
      <w:pPr>
        <w:pStyle w:val="30"/>
      </w:pPr>
      <w:r w:rsidRPr="00FD50F6">
        <w:t>地下结构的耐久性设计宜按现行国家标准《混凝土结构耐久性设计标准》</w:t>
      </w:r>
      <w:r w:rsidRPr="00FD50F6">
        <w:t>GB/T 50476</w:t>
      </w:r>
      <w:r w:rsidRPr="00FD50F6">
        <w:t>的规定执行</w:t>
      </w:r>
      <w:r w:rsidRPr="00FD50F6">
        <w:rPr>
          <w:rFonts w:hint="eastAsia"/>
        </w:rPr>
        <w:t>，并</w:t>
      </w:r>
      <w:r w:rsidRPr="00FD50F6">
        <w:t>应符合下列规定：</w:t>
      </w:r>
    </w:p>
    <w:p w14:paraId="13E74B1F" w14:textId="77777777" w:rsidR="00D3119D" w:rsidRPr="00FD50F6" w:rsidRDefault="00D3119D" w:rsidP="00A926BD">
      <w:pPr>
        <w:pStyle w:val="4"/>
      </w:pPr>
      <w:r w:rsidRPr="00FD50F6">
        <w:rPr>
          <w:rFonts w:hint="eastAsia"/>
        </w:rPr>
        <w:t>主体结构和使用期间不可更换的</w:t>
      </w:r>
      <w:r w:rsidRPr="00FD50F6">
        <w:t>内部</w:t>
      </w:r>
      <w:r w:rsidRPr="00FD50F6">
        <w:rPr>
          <w:rFonts w:hint="eastAsia"/>
        </w:rPr>
        <w:t>构件，应根据使用环境类别，按设计使用年限为</w:t>
      </w:r>
      <w:r w:rsidRPr="00FD50F6">
        <w:t>100</w:t>
      </w:r>
      <w:r w:rsidRPr="00FD50F6">
        <w:t>年的要求进行耐久性设计</w:t>
      </w:r>
      <w:r w:rsidRPr="00FD50F6">
        <w:rPr>
          <w:rFonts w:hint="eastAsia"/>
        </w:rPr>
        <w:t>。</w:t>
      </w:r>
    </w:p>
    <w:p w14:paraId="2B39AA79" w14:textId="77777777" w:rsidR="00D3119D" w:rsidRPr="00FD50F6" w:rsidRDefault="00D3119D" w:rsidP="00A926BD">
      <w:pPr>
        <w:pStyle w:val="4"/>
      </w:pPr>
      <w:r w:rsidRPr="00FD50F6">
        <w:t>使用期间可以更换</w:t>
      </w:r>
      <w:r w:rsidRPr="00FD50F6">
        <w:rPr>
          <w:rFonts w:hint="eastAsia"/>
        </w:rPr>
        <w:t>且</w:t>
      </w:r>
      <w:r w:rsidRPr="00FD50F6">
        <w:t>更换不影响运营的内部构件，可按设计使用年限为</w:t>
      </w:r>
      <w:r w:rsidRPr="00FD50F6">
        <w:t>50</w:t>
      </w:r>
      <w:r w:rsidRPr="00FD50F6">
        <w:t>年的要求进行耐久性设计</w:t>
      </w:r>
      <w:r w:rsidRPr="00FD50F6">
        <w:rPr>
          <w:rFonts w:hint="eastAsia"/>
        </w:rPr>
        <w:t>。</w:t>
      </w:r>
    </w:p>
    <w:p w14:paraId="5E4D9F00" w14:textId="7573F63A" w:rsidR="00D3119D" w:rsidRPr="00FD50F6" w:rsidRDefault="00D3119D" w:rsidP="00A926BD">
      <w:pPr>
        <w:pStyle w:val="4"/>
      </w:pPr>
      <w:r w:rsidRPr="00FD50F6">
        <w:t>参与主体结构抗浮作用的基坑支护结构或抗拔桩结构应满足耐久性规定中对材料和构造的要求</w:t>
      </w:r>
      <w:r w:rsidRPr="00FD50F6">
        <w:rPr>
          <w:rFonts w:hint="eastAsia"/>
        </w:rPr>
        <w:t>。</w:t>
      </w:r>
    </w:p>
    <w:p w14:paraId="62D9A1EF" w14:textId="77777777" w:rsidR="00D3119D" w:rsidRPr="00FD50F6" w:rsidRDefault="00D3119D" w:rsidP="00A926BD">
      <w:pPr>
        <w:pStyle w:val="4"/>
      </w:pPr>
      <w:r w:rsidRPr="00FD50F6">
        <w:t>临时结构宜根据其使用性质和结构特点确定其使用年限</w:t>
      </w:r>
      <w:r w:rsidRPr="00FD50F6">
        <w:rPr>
          <w:rFonts w:hint="eastAsia"/>
        </w:rPr>
        <w:t>，</w:t>
      </w:r>
      <w:r w:rsidRPr="00FD50F6">
        <w:t>不考虑耐久性设计要求</w:t>
      </w:r>
      <w:r w:rsidRPr="00FD50F6">
        <w:rPr>
          <w:rFonts w:hint="eastAsia"/>
        </w:rPr>
        <w:t>。</w:t>
      </w:r>
    </w:p>
    <w:p w14:paraId="1D988D40" w14:textId="3E30A187" w:rsidR="00D3119D" w:rsidRPr="00FD50F6" w:rsidRDefault="00D3119D" w:rsidP="00D3119D">
      <w:pPr>
        <w:pStyle w:val="30"/>
      </w:pPr>
      <w:r w:rsidRPr="00FD50F6">
        <w:t>地下结构的施工方法应结合</w:t>
      </w:r>
      <w:r w:rsidRPr="00FD50F6">
        <w:rPr>
          <w:rFonts w:hint="eastAsia"/>
        </w:rPr>
        <w:t>结构型式和</w:t>
      </w:r>
      <w:r w:rsidRPr="00FD50F6">
        <w:t>埋深</w:t>
      </w:r>
      <w:r w:rsidRPr="00FD50F6">
        <w:rPr>
          <w:rFonts w:hint="eastAsia"/>
        </w:rPr>
        <w:t>，根据</w:t>
      </w:r>
      <w:r w:rsidRPr="00FD50F6">
        <w:t>场地工程地质</w:t>
      </w:r>
      <w:r w:rsidRPr="00FD50F6">
        <w:rPr>
          <w:rFonts w:hint="eastAsia"/>
        </w:rPr>
        <w:t>和</w:t>
      </w:r>
      <w:r w:rsidRPr="00FD50F6">
        <w:t>水文地质</w:t>
      </w:r>
      <w:r w:rsidRPr="00FD50F6">
        <w:rPr>
          <w:rFonts w:hint="eastAsia"/>
        </w:rPr>
        <w:t>条件</w:t>
      </w:r>
      <w:r w:rsidRPr="00FD50F6">
        <w:t>、环境</w:t>
      </w:r>
      <w:r w:rsidRPr="00FD50F6">
        <w:rPr>
          <w:rFonts w:hint="eastAsia"/>
        </w:rPr>
        <w:t>情况，通过对工程</w:t>
      </w:r>
      <w:r w:rsidRPr="00FD50F6">
        <w:t>安全、</w:t>
      </w:r>
      <w:r w:rsidRPr="00FD50F6">
        <w:rPr>
          <w:rFonts w:hint="eastAsia"/>
        </w:rPr>
        <w:t>结构质量</w:t>
      </w:r>
      <w:r w:rsidRPr="00FD50F6">
        <w:t>、</w:t>
      </w:r>
      <w:r w:rsidRPr="00FD50F6">
        <w:rPr>
          <w:rFonts w:hint="eastAsia"/>
        </w:rPr>
        <w:t>环境影响、造价和工期</w:t>
      </w:r>
      <w:r w:rsidRPr="00FD50F6">
        <w:t>等</w:t>
      </w:r>
      <w:r w:rsidRPr="00FD50F6">
        <w:rPr>
          <w:rFonts w:hint="eastAsia"/>
        </w:rPr>
        <w:t>多方面的论证和综合</w:t>
      </w:r>
      <w:r w:rsidRPr="00FD50F6">
        <w:t>比较后确定</w:t>
      </w:r>
      <w:r w:rsidRPr="00FD50F6">
        <w:rPr>
          <w:rFonts w:hint="eastAsia"/>
        </w:rPr>
        <w:t>，并应遵循下列原则：</w:t>
      </w:r>
    </w:p>
    <w:p w14:paraId="006F9197" w14:textId="458D59D8" w:rsidR="00D3119D" w:rsidRPr="00FD50F6" w:rsidRDefault="00D3119D" w:rsidP="00A926BD">
      <w:pPr>
        <w:pStyle w:val="4"/>
      </w:pPr>
      <w:r w:rsidRPr="00FD50F6">
        <w:t>地下车站主体结构施工方法</w:t>
      </w:r>
      <w:r w:rsidRPr="00FD50F6">
        <w:rPr>
          <w:rFonts w:hint="eastAsia"/>
        </w:rPr>
        <w:t>的</w:t>
      </w:r>
      <w:r w:rsidRPr="00FD50F6">
        <w:t>确定</w:t>
      </w:r>
      <w:r w:rsidRPr="00FD50F6">
        <w:rPr>
          <w:rFonts w:hint="eastAsia"/>
        </w:rPr>
        <w:t>应符合</w:t>
      </w:r>
      <w:r w:rsidR="000228CF">
        <w:rPr>
          <w:rFonts w:hint="eastAsia"/>
        </w:rPr>
        <w:t>下列</w:t>
      </w:r>
      <w:r w:rsidRPr="00FD50F6">
        <w:rPr>
          <w:rFonts w:hint="eastAsia"/>
        </w:rPr>
        <w:t>规定：</w:t>
      </w:r>
    </w:p>
    <w:p w14:paraId="53311051" w14:textId="0AC0FE20" w:rsidR="00D3119D" w:rsidRPr="00FD50F6" w:rsidRDefault="00D3119D" w:rsidP="00D3119D">
      <w:pPr>
        <w:pStyle w:val="5"/>
        <w:ind w:firstLine="480"/>
      </w:pPr>
      <w:r w:rsidRPr="00FD50F6">
        <w:rPr>
          <w:rFonts w:hint="eastAsia"/>
        </w:rPr>
        <w:t>浅埋</w:t>
      </w:r>
      <w:r w:rsidRPr="00FD50F6">
        <w:t>车站宜选择明挖</w:t>
      </w:r>
      <w:r w:rsidRPr="00FD50F6">
        <w:rPr>
          <w:rFonts w:hint="eastAsia"/>
        </w:rPr>
        <w:t>顺作</w:t>
      </w:r>
      <w:r w:rsidRPr="00FD50F6">
        <w:t>法施工</w:t>
      </w:r>
      <w:r w:rsidRPr="00FD50F6">
        <w:rPr>
          <w:rFonts w:hint="eastAsia"/>
        </w:rPr>
        <w:t>；当</w:t>
      </w:r>
      <w:r w:rsidRPr="00FD50F6">
        <w:t>需要</w:t>
      </w:r>
      <w:r w:rsidRPr="00FD50F6">
        <w:rPr>
          <w:rFonts w:hint="eastAsia"/>
        </w:rPr>
        <w:t>解决</w:t>
      </w:r>
      <w:r w:rsidRPr="00FD50F6">
        <w:t>施工对地面交通影响时，可铺设临时路面采用盖挖顺作法施工；对环境保护要求高</w:t>
      </w:r>
      <w:r w:rsidRPr="00FD50F6">
        <w:rPr>
          <w:rFonts w:hint="eastAsia"/>
        </w:rPr>
        <w:t>、地面交通导改困难、</w:t>
      </w:r>
      <w:r w:rsidRPr="00FD50F6">
        <w:rPr>
          <w:rFonts w:hint="eastAsia"/>
        </w:rPr>
        <w:lastRenderedPageBreak/>
        <w:t>施工场地紧缺</w:t>
      </w:r>
      <w:r w:rsidRPr="00FD50F6">
        <w:t>或</w:t>
      </w:r>
      <w:r w:rsidRPr="00FD50F6">
        <w:rPr>
          <w:rFonts w:hint="eastAsia"/>
        </w:rPr>
        <w:t>基坑</w:t>
      </w:r>
      <w:r w:rsidRPr="00FD50F6">
        <w:t>平面复杂</w:t>
      </w:r>
      <w:r w:rsidRPr="00FD50F6">
        <w:rPr>
          <w:rFonts w:hint="eastAsia"/>
        </w:rPr>
        <w:t>、尺度</w:t>
      </w:r>
      <w:r w:rsidRPr="00FD50F6">
        <w:t>大或基坑深度超大的</w:t>
      </w:r>
      <w:r w:rsidRPr="00FD50F6">
        <w:rPr>
          <w:rFonts w:hint="eastAsia"/>
        </w:rPr>
        <w:t>车站</w:t>
      </w:r>
      <w:r w:rsidRPr="00FD50F6">
        <w:t>结构，可采用盖挖逆作法施工</w:t>
      </w:r>
      <w:r w:rsidRPr="00FD50F6">
        <w:rPr>
          <w:rFonts w:hint="eastAsia"/>
        </w:rPr>
        <w:t>。</w:t>
      </w:r>
      <w:r w:rsidRPr="00FD50F6" w:rsidDel="009529E3">
        <w:t xml:space="preserve"> </w:t>
      </w:r>
    </w:p>
    <w:p w14:paraId="1C4BD1B0" w14:textId="77777777" w:rsidR="00D3119D" w:rsidRPr="00FD50F6" w:rsidRDefault="00D3119D" w:rsidP="00D3119D">
      <w:pPr>
        <w:pStyle w:val="5"/>
        <w:ind w:firstLine="480"/>
      </w:pPr>
      <w:r w:rsidRPr="00FD50F6">
        <w:t>当围岩稳定性</w:t>
      </w:r>
      <w:r w:rsidRPr="00FD50F6">
        <w:rPr>
          <w:rFonts w:hint="eastAsia"/>
        </w:rPr>
        <w:t>较</w:t>
      </w:r>
      <w:r w:rsidRPr="00FD50F6">
        <w:t>好和覆盖层厚度适宜时，</w:t>
      </w:r>
      <w:r w:rsidRPr="00FD50F6">
        <w:rPr>
          <w:rFonts w:hint="eastAsia"/>
        </w:rPr>
        <w:t>地下车站</w:t>
      </w:r>
      <w:r w:rsidRPr="00FD50F6">
        <w:t>可采用矿山法施工。根据工程地质条件</w:t>
      </w:r>
      <w:r w:rsidRPr="00FD50F6">
        <w:rPr>
          <w:rFonts w:hint="eastAsia"/>
        </w:rPr>
        <w:t>、</w:t>
      </w:r>
      <w:r w:rsidRPr="00FD50F6">
        <w:t>环境情况</w:t>
      </w:r>
      <w:r w:rsidRPr="00FD50F6">
        <w:rPr>
          <w:rFonts w:hint="eastAsia"/>
        </w:rPr>
        <w:t>、</w:t>
      </w:r>
      <w:r w:rsidRPr="00FD50F6">
        <w:t>车站埋深等因素</w:t>
      </w:r>
      <w:r w:rsidRPr="00FD50F6">
        <w:rPr>
          <w:rFonts w:hint="eastAsia"/>
        </w:rPr>
        <w:t>，可选择分部开挖法、洞桩（柱）逆作法、一次扣拱暗挖法等施工方法。</w:t>
      </w:r>
    </w:p>
    <w:p w14:paraId="23B81F36" w14:textId="152FBF03" w:rsidR="00D3119D" w:rsidRPr="00FD50F6" w:rsidRDefault="00D3119D" w:rsidP="00A926BD">
      <w:pPr>
        <w:pStyle w:val="4"/>
      </w:pPr>
      <w:r w:rsidRPr="00FD50F6">
        <w:t>区间隧道施工方法</w:t>
      </w:r>
      <w:r w:rsidRPr="00FD50F6">
        <w:rPr>
          <w:rFonts w:hint="eastAsia"/>
        </w:rPr>
        <w:t>的</w:t>
      </w:r>
      <w:r w:rsidRPr="00FD50F6">
        <w:t>确定</w:t>
      </w:r>
      <w:r w:rsidRPr="00FD50F6">
        <w:rPr>
          <w:rFonts w:hint="eastAsia"/>
        </w:rPr>
        <w:t>应符合</w:t>
      </w:r>
      <w:r w:rsidR="000228CF">
        <w:rPr>
          <w:rFonts w:hint="eastAsia"/>
        </w:rPr>
        <w:t>下列</w:t>
      </w:r>
      <w:r w:rsidRPr="00FD50F6">
        <w:rPr>
          <w:rFonts w:hint="eastAsia"/>
        </w:rPr>
        <w:t>规定：</w:t>
      </w:r>
    </w:p>
    <w:p w14:paraId="69921F06" w14:textId="77777777" w:rsidR="00D3119D" w:rsidRPr="00FD50F6" w:rsidRDefault="00D3119D" w:rsidP="00D3119D">
      <w:pPr>
        <w:pStyle w:val="5"/>
        <w:ind w:firstLine="480"/>
      </w:pPr>
      <w:r w:rsidRPr="00FD50F6">
        <w:rPr>
          <w:rFonts w:hint="eastAsia"/>
        </w:rPr>
        <w:t>区间隧道宜采用暗挖法施工，</w:t>
      </w:r>
      <w:r w:rsidRPr="00FD50F6">
        <w:t>在地面空旷且隧道埋深较浅的地段，</w:t>
      </w:r>
      <w:r w:rsidRPr="00FD50F6">
        <w:rPr>
          <w:rFonts w:hint="eastAsia"/>
        </w:rPr>
        <w:t>或需与其他工程合建时，</w:t>
      </w:r>
      <w:r w:rsidRPr="00FD50F6">
        <w:t>经技术经济比选确有优势时，可采用明挖</w:t>
      </w:r>
      <w:r w:rsidRPr="00FD50F6">
        <w:rPr>
          <w:rFonts w:hint="eastAsia"/>
        </w:rPr>
        <w:t>顺作</w:t>
      </w:r>
      <w:r w:rsidRPr="00FD50F6">
        <w:t>法</w:t>
      </w:r>
      <w:r w:rsidRPr="00FD50F6">
        <w:rPr>
          <w:rFonts w:hint="eastAsia"/>
        </w:rPr>
        <w:t>或盖挖逆作法</w:t>
      </w:r>
      <w:r w:rsidRPr="00FD50F6">
        <w:t>施工</w:t>
      </w:r>
      <w:r w:rsidRPr="00FD50F6">
        <w:rPr>
          <w:rFonts w:hint="eastAsia"/>
        </w:rPr>
        <w:t>；</w:t>
      </w:r>
    </w:p>
    <w:p w14:paraId="25BD232A" w14:textId="77777777" w:rsidR="00D3119D" w:rsidRPr="00FD50F6" w:rsidRDefault="00D3119D" w:rsidP="00D3119D">
      <w:pPr>
        <w:pStyle w:val="5"/>
        <w:ind w:firstLine="480"/>
      </w:pPr>
      <w:r w:rsidRPr="00FD50F6">
        <w:t>当区间隧道位于具备一定自稳能力的第四纪地层和硬岩地层时</w:t>
      </w:r>
      <w:r w:rsidRPr="00FD50F6">
        <w:rPr>
          <w:rFonts w:hint="eastAsia"/>
        </w:rPr>
        <w:t>，</w:t>
      </w:r>
      <w:r w:rsidRPr="00FD50F6">
        <w:t>可采用矿山法施工；</w:t>
      </w:r>
    </w:p>
    <w:p w14:paraId="63FAD101" w14:textId="77777777" w:rsidR="00D3119D" w:rsidRPr="00FD50F6" w:rsidRDefault="00D3119D" w:rsidP="00D3119D">
      <w:pPr>
        <w:pStyle w:val="5"/>
        <w:ind w:firstLine="480"/>
      </w:pPr>
      <w:r w:rsidRPr="00FD50F6">
        <w:t>当区间隧道位于</w:t>
      </w:r>
      <w:r w:rsidRPr="00FD50F6">
        <w:rPr>
          <w:rFonts w:hint="eastAsia"/>
        </w:rPr>
        <w:t>软土</w:t>
      </w:r>
      <w:r w:rsidRPr="00FD50F6">
        <w:t>地层</w:t>
      </w:r>
      <w:r w:rsidRPr="00FD50F6">
        <w:rPr>
          <w:rFonts w:hint="eastAsia"/>
        </w:rPr>
        <w:t>、</w:t>
      </w:r>
      <w:r w:rsidRPr="00FD50F6">
        <w:t>第四纪地层和软岩地层时</w:t>
      </w:r>
      <w:r w:rsidRPr="00FD50F6">
        <w:rPr>
          <w:rFonts w:hint="eastAsia"/>
        </w:rPr>
        <w:t>，</w:t>
      </w:r>
      <w:r w:rsidRPr="00FD50F6">
        <w:t>可采用盾构法施工</w:t>
      </w:r>
      <w:r w:rsidRPr="00FD50F6">
        <w:rPr>
          <w:rFonts w:hint="eastAsia"/>
        </w:rPr>
        <w:t>，硬</w:t>
      </w:r>
      <w:r w:rsidRPr="00FD50F6">
        <w:t>岩</w:t>
      </w:r>
      <w:r w:rsidRPr="00FD50F6">
        <w:rPr>
          <w:rFonts w:hint="eastAsia"/>
        </w:rPr>
        <w:t>地层也可采用</w:t>
      </w:r>
      <w:r w:rsidRPr="00FD50F6">
        <w:t>TBM</w:t>
      </w:r>
      <w:r w:rsidRPr="00FD50F6">
        <w:t>法施工</w:t>
      </w:r>
      <w:r w:rsidRPr="00FD50F6">
        <w:rPr>
          <w:rFonts w:hint="eastAsia"/>
        </w:rPr>
        <w:t>。</w:t>
      </w:r>
    </w:p>
    <w:p w14:paraId="28310FE5" w14:textId="63BF8717" w:rsidR="00D3119D" w:rsidRPr="00FD50F6" w:rsidRDefault="00D3119D" w:rsidP="00A926BD">
      <w:pPr>
        <w:pStyle w:val="4"/>
      </w:pPr>
      <w:r w:rsidRPr="00FD50F6">
        <w:t>特殊结构施工方法的</w:t>
      </w:r>
      <w:r w:rsidRPr="00FD50F6">
        <w:rPr>
          <w:rFonts w:hint="eastAsia"/>
        </w:rPr>
        <w:t>确定应符合</w:t>
      </w:r>
      <w:r w:rsidR="000228CF">
        <w:rPr>
          <w:rFonts w:hint="eastAsia"/>
        </w:rPr>
        <w:t>下列</w:t>
      </w:r>
      <w:r w:rsidRPr="00FD50F6">
        <w:rPr>
          <w:rFonts w:hint="eastAsia"/>
        </w:rPr>
        <w:t>规定：</w:t>
      </w:r>
    </w:p>
    <w:p w14:paraId="7D3B99AE" w14:textId="77777777" w:rsidR="00D3119D" w:rsidRPr="00FD50F6" w:rsidRDefault="00D3119D" w:rsidP="00D3119D">
      <w:pPr>
        <w:pStyle w:val="5"/>
        <w:ind w:firstLine="480"/>
      </w:pPr>
      <w:r w:rsidRPr="00FD50F6">
        <w:t>折返线、渡线和停车线隧道，宜结合相邻车站的施工工法</w:t>
      </w:r>
      <w:r w:rsidRPr="00FD50F6">
        <w:rPr>
          <w:rFonts w:hint="eastAsia"/>
        </w:rPr>
        <w:t>，可选择</w:t>
      </w:r>
      <w:r w:rsidRPr="00FD50F6">
        <w:t>明挖</w:t>
      </w:r>
      <w:r w:rsidRPr="00FD50F6">
        <w:rPr>
          <w:rFonts w:hint="eastAsia"/>
        </w:rPr>
        <w:t>顺作</w:t>
      </w:r>
      <w:r w:rsidRPr="00FD50F6">
        <w:t>法</w:t>
      </w:r>
      <w:r w:rsidRPr="00FD50F6">
        <w:rPr>
          <w:rFonts w:hint="eastAsia"/>
        </w:rPr>
        <w:t>、盖挖逆作法或</w:t>
      </w:r>
      <w:r w:rsidRPr="00FD50F6">
        <w:t>矿山法施工；</w:t>
      </w:r>
    </w:p>
    <w:p w14:paraId="7283B214" w14:textId="0BBA0E95" w:rsidR="00D3119D" w:rsidRPr="00FD50F6" w:rsidRDefault="00D3119D" w:rsidP="00D3119D">
      <w:pPr>
        <w:pStyle w:val="5"/>
        <w:ind w:firstLine="480"/>
      </w:pPr>
      <w:r w:rsidRPr="00FD50F6">
        <w:t>暗挖区间的</w:t>
      </w:r>
      <w:r w:rsidR="00C1563B" w:rsidRPr="00FD50F6">
        <w:t>区间联络通道</w:t>
      </w:r>
      <w:r w:rsidRPr="00FD50F6">
        <w:t>宜采用矿山法施工，根据工程地质和水文地质条件</w:t>
      </w:r>
      <w:r w:rsidRPr="00FD50F6">
        <w:rPr>
          <w:rFonts w:hint="eastAsia"/>
        </w:rPr>
        <w:t>、</w:t>
      </w:r>
      <w:r w:rsidRPr="00FD50F6">
        <w:t>环境情况</w:t>
      </w:r>
      <w:r w:rsidRPr="00FD50F6">
        <w:rPr>
          <w:rFonts w:hint="eastAsia"/>
        </w:rPr>
        <w:t>，</w:t>
      </w:r>
      <w:r w:rsidRPr="00FD50F6">
        <w:t>应</w:t>
      </w:r>
      <w:r w:rsidR="004134FE">
        <w:t>根据需要</w:t>
      </w:r>
      <w:r w:rsidRPr="00FD50F6">
        <w:t>采取降水和地层加固等辅助措施</w:t>
      </w:r>
      <w:r w:rsidRPr="00FD50F6">
        <w:rPr>
          <w:rFonts w:hint="eastAsia"/>
        </w:rPr>
        <w:t>。</w:t>
      </w:r>
    </w:p>
    <w:p w14:paraId="41538B7F" w14:textId="47A11CB5" w:rsidR="00D3119D" w:rsidRPr="00FD50F6" w:rsidRDefault="00D3119D" w:rsidP="00A926BD">
      <w:pPr>
        <w:pStyle w:val="4"/>
      </w:pPr>
      <w:r w:rsidRPr="00FD50F6">
        <w:t>对于近距离穿</w:t>
      </w:r>
      <w:r w:rsidRPr="00FD50F6">
        <w:rPr>
          <w:rFonts w:hint="eastAsia"/>
        </w:rPr>
        <w:t>越</w:t>
      </w:r>
      <w:r w:rsidRPr="00FD50F6">
        <w:t>既有铁路、公路、城市轨道交通以及</w:t>
      </w:r>
      <w:r w:rsidRPr="00FD50F6">
        <w:rPr>
          <w:rFonts w:hint="eastAsia"/>
        </w:rPr>
        <w:t>其他</w:t>
      </w:r>
      <w:r w:rsidRPr="00FD50F6">
        <w:t>重要和敏感性</w:t>
      </w:r>
      <w:r w:rsidR="00B528A1">
        <w:rPr>
          <w:rFonts w:hint="eastAsia"/>
        </w:rPr>
        <w:t>建（构）</w:t>
      </w:r>
      <w:r w:rsidRPr="00FD50F6">
        <w:t>筑物及设施的</w:t>
      </w:r>
      <w:r w:rsidRPr="00FD50F6">
        <w:rPr>
          <w:rFonts w:hint="eastAsia"/>
        </w:rPr>
        <w:t>地下</w:t>
      </w:r>
      <w:r w:rsidRPr="00FD50F6">
        <w:t>结构，应进行矿山法、盾构法或其他工法的比选。</w:t>
      </w:r>
    </w:p>
    <w:p w14:paraId="3D1B6612" w14:textId="340C8E4D" w:rsidR="00D3119D" w:rsidRPr="00FD50F6" w:rsidRDefault="00D3119D" w:rsidP="00D3119D">
      <w:pPr>
        <w:pStyle w:val="30"/>
      </w:pPr>
      <w:r w:rsidRPr="00FD50F6">
        <w:t>地下结构</w:t>
      </w:r>
      <w:r w:rsidRPr="00FD50F6">
        <w:rPr>
          <w:rFonts w:hint="eastAsia"/>
        </w:rPr>
        <w:t>的型</w:t>
      </w:r>
      <w:r w:rsidRPr="00FD50F6">
        <w:t>式应与所采用的施工方法相适应</w:t>
      </w:r>
      <w:r w:rsidRPr="00FD50F6">
        <w:rPr>
          <w:rFonts w:hint="eastAsia"/>
        </w:rPr>
        <w:t>，</w:t>
      </w:r>
      <w:r w:rsidRPr="00FD50F6">
        <w:t>可采用矩形</w:t>
      </w:r>
      <w:r w:rsidRPr="00FD50F6">
        <w:rPr>
          <w:rFonts w:hint="eastAsia"/>
        </w:rPr>
        <w:t>、</w:t>
      </w:r>
      <w:r w:rsidRPr="00FD50F6">
        <w:t>拱形或圆形等各种型式</w:t>
      </w:r>
      <w:r w:rsidRPr="00FD50F6">
        <w:rPr>
          <w:rFonts w:hint="eastAsia"/>
        </w:rPr>
        <w:t>；</w:t>
      </w:r>
      <w:r w:rsidRPr="00FD50F6">
        <w:t>衬砌结构宜设计为闭合式的现浇钢筋混凝土结构或预制装配式</w:t>
      </w:r>
      <w:r w:rsidRPr="00FD50F6">
        <w:rPr>
          <w:rFonts w:hint="eastAsia"/>
        </w:rPr>
        <w:t>钢筋混凝土</w:t>
      </w:r>
      <w:r w:rsidRPr="00FD50F6">
        <w:t>结构</w:t>
      </w:r>
      <w:r w:rsidRPr="00FD50F6">
        <w:rPr>
          <w:rFonts w:hint="eastAsia"/>
        </w:rPr>
        <w:t>，个别构件可采用钢结构或钢—混凝土组合结构。</w:t>
      </w:r>
    </w:p>
    <w:p w14:paraId="5F279FB2" w14:textId="256DDF90" w:rsidR="00D3119D" w:rsidRPr="00FD50F6" w:rsidRDefault="00D3119D" w:rsidP="00D3119D">
      <w:pPr>
        <w:pStyle w:val="30"/>
      </w:pPr>
      <w:r w:rsidRPr="00FD50F6">
        <w:rPr>
          <w:rFonts w:hint="eastAsia"/>
        </w:rPr>
        <w:t>地下结构的净空尺寸应满足建筑使用功能和施工工艺的要求；地铁行车隧道的净空尺寸，应根据施工误差、结构变形及后期沉降等影响因素，在建筑限界外给出必要的裕量。各</w:t>
      </w:r>
      <w:r w:rsidRPr="00FD50F6">
        <w:t>类</w:t>
      </w:r>
      <w:r w:rsidRPr="00FD50F6">
        <w:rPr>
          <w:rFonts w:hint="eastAsia"/>
        </w:rPr>
        <w:t>结构行车隧道建筑限界外的净空裕量可按表</w:t>
      </w:r>
      <w:r w:rsidR="00CD0099" w:rsidRPr="00FD50F6">
        <w:t>12</w:t>
      </w:r>
      <w:r w:rsidRPr="00FD50F6">
        <w:t>.1.</w:t>
      </w:r>
      <w:r w:rsidR="004134FE">
        <w:t>7</w:t>
      </w:r>
      <w:r w:rsidRPr="00FD50F6">
        <w:rPr>
          <w:rFonts w:hint="eastAsia"/>
        </w:rPr>
        <w:t>取值。</w:t>
      </w:r>
    </w:p>
    <w:p w14:paraId="0E2663BB" w14:textId="0326568E" w:rsidR="00D3119D" w:rsidRPr="00FD50F6" w:rsidRDefault="00D3119D" w:rsidP="00D3119D">
      <w:pPr>
        <w:pStyle w:val="6"/>
      </w:pPr>
      <w:r w:rsidRPr="00FD50F6">
        <w:rPr>
          <w:rFonts w:hint="eastAsia"/>
        </w:rPr>
        <w:t>表</w:t>
      </w:r>
      <w:r w:rsidR="00CD0099" w:rsidRPr="00FD50F6">
        <w:t>12</w:t>
      </w:r>
      <w:r w:rsidRPr="00FD50F6">
        <w:t>.1.</w:t>
      </w:r>
      <w:r w:rsidR="004134FE">
        <w:t>7</w:t>
      </w:r>
      <w:r w:rsidRPr="00FD50F6">
        <w:rPr>
          <w:rFonts w:hint="eastAsia"/>
        </w:rPr>
        <w:t>行车隧道建筑限界外的净空裕量取值（</w:t>
      </w:r>
      <w:r w:rsidRPr="00FD50F6">
        <w:t>mm</w:t>
      </w:r>
      <w:r w:rsidRPr="00FD50F6">
        <w:rPr>
          <w:rFonts w:hint="eastAsia"/>
        </w:rPr>
        <w:t>）</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83"/>
        <w:gridCol w:w="1701"/>
        <w:gridCol w:w="1842"/>
        <w:gridCol w:w="1701"/>
        <w:gridCol w:w="993"/>
        <w:gridCol w:w="1308"/>
      </w:tblGrid>
      <w:tr w:rsidR="00FD50F6" w:rsidRPr="00FD50F6" w14:paraId="1227D90B" w14:textId="77777777" w:rsidTr="000831EC">
        <w:trPr>
          <w:trHeight w:val="370"/>
          <w:jc w:val="center"/>
        </w:trPr>
        <w:tc>
          <w:tcPr>
            <w:tcW w:w="983" w:type="dxa"/>
            <w:tcBorders>
              <w:top w:val="single" w:sz="8" w:space="0" w:color="auto"/>
              <w:bottom w:val="single" w:sz="8" w:space="0" w:color="auto"/>
            </w:tcBorders>
            <w:vAlign w:val="center"/>
          </w:tcPr>
          <w:p w14:paraId="71CCBE45" w14:textId="77777777" w:rsidR="00D3119D" w:rsidRPr="00FD50F6" w:rsidRDefault="00D3119D" w:rsidP="000831EC">
            <w:pPr>
              <w:pStyle w:val="7"/>
            </w:pPr>
            <w:r w:rsidRPr="00FD50F6">
              <w:rPr>
                <w:rFonts w:hint="eastAsia"/>
              </w:rPr>
              <w:t>结构</w:t>
            </w:r>
          </w:p>
          <w:p w14:paraId="56AC45E4" w14:textId="77777777" w:rsidR="00D3119D" w:rsidRPr="00FD50F6" w:rsidRDefault="00D3119D" w:rsidP="000831EC">
            <w:pPr>
              <w:pStyle w:val="7"/>
            </w:pPr>
            <w:r w:rsidRPr="00FD50F6">
              <w:rPr>
                <w:rFonts w:hint="eastAsia"/>
              </w:rPr>
              <w:t>类型</w:t>
            </w:r>
          </w:p>
        </w:tc>
        <w:tc>
          <w:tcPr>
            <w:tcW w:w="1701" w:type="dxa"/>
            <w:tcBorders>
              <w:top w:val="single" w:sz="8" w:space="0" w:color="auto"/>
              <w:bottom w:val="single" w:sz="8" w:space="0" w:color="auto"/>
            </w:tcBorders>
            <w:vAlign w:val="center"/>
          </w:tcPr>
          <w:p w14:paraId="2A021A2A" w14:textId="77777777" w:rsidR="00D3119D" w:rsidRPr="00FD50F6" w:rsidRDefault="00D3119D" w:rsidP="000831EC">
            <w:pPr>
              <w:pStyle w:val="7"/>
            </w:pPr>
            <w:r w:rsidRPr="00FD50F6">
              <w:rPr>
                <w:rFonts w:hint="eastAsia"/>
              </w:rPr>
              <w:t>明挖法、逆作法主体结构</w:t>
            </w:r>
          </w:p>
        </w:tc>
        <w:tc>
          <w:tcPr>
            <w:tcW w:w="1842" w:type="dxa"/>
            <w:tcBorders>
              <w:top w:val="single" w:sz="8" w:space="0" w:color="auto"/>
              <w:bottom w:val="single" w:sz="8" w:space="0" w:color="auto"/>
            </w:tcBorders>
            <w:vAlign w:val="center"/>
          </w:tcPr>
          <w:p w14:paraId="2DB28B09" w14:textId="77777777" w:rsidR="00D3119D" w:rsidRPr="00FD50F6" w:rsidRDefault="00D3119D" w:rsidP="000831EC">
            <w:pPr>
              <w:pStyle w:val="7"/>
            </w:pPr>
            <w:r w:rsidRPr="00FD50F6">
              <w:rPr>
                <w:rFonts w:hint="eastAsia"/>
              </w:rPr>
              <w:t>矿山法、盾构法</w:t>
            </w:r>
          </w:p>
          <w:p w14:paraId="358CA094" w14:textId="77777777" w:rsidR="00D3119D" w:rsidRPr="00FD50F6" w:rsidRDefault="00D3119D" w:rsidP="000831EC">
            <w:pPr>
              <w:pStyle w:val="7"/>
            </w:pPr>
            <w:r w:rsidRPr="00FD50F6">
              <w:rPr>
                <w:rFonts w:hint="eastAsia"/>
              </w:rPr>
              <w:t>主体结构</w:t>
            </w:r>
          </w:p>
        </w:tc>
        <w:tc>
          <w:tcPr>
            <w:tcW w:w="1701" w:type="dxa"/>
            <w:tcBorders>
              <w:top w:val="single" w:sz="8" w:space="0" w:color="auto"/>
              <w:bottom w:val="single" w:sz="8" w:space="0" w:color="auto"/>
            </w:tcBorders>
          </w:tcPr>
          <w:p w14:paraId="6EF90C1A" w14:textId="77777777" w:rsidR="00D3119D" w:rsidRPr="00FD50F6" w:rsidRDefault="00D3119D" w:rsidP="000831EC">
            <w:pPr>
              <w:pStyle w:val="7"/>
            </w:pPr>
            <w:r w:rsidRPr="00FD50F6">
              <w:rPr>
                <w:rFonts w:hint="eastAsia"/>
              </w:rPr>
              <w:t>沉管法、顶管法主体结构</w:t>
            </w:r>
          </w:p>
        </w:tc>
        <w:tc>
          <w:tcPr>
            <w:tcW w:w="993" w:type="dxa"/>
            <w:tcBorders>
              <w:top w:val="single" w:sz="8" w:space="0" w:color="auto"/>
              <w:bottom w:val="single" w:sz="8" w:space="0" w:color="auto"/>
            </w:tcBorders>
            <w:vAlign w:val="center"/>
          </w:tcPr>
          <w:p w14:paraId="63524671" w14:textId="77777777" w:rsidR="00D3119D" w:rsidRPr="00FD50F6" w:rsidRDefault="00D3119D" w:rsidP="000831EC">
            <w:pPr>
              <w:pStyle w:val="7"/>
            </w:pPr>
            <w:r w:rsidRPr="00FD50F6">
              <w:rPr>
                <w:rFonts w:hint="eastAsia"/>
              </w:rPr>
              <w:t>站台板</w:t>
            </w:r>
          </w:p>
          <w:p w14:paraId="666546C6" w14:textId="77777777" w:rsidR="00D3119D" w:rsidRPr="00FD50F6" w:rsidRDefault="00D3119D" w:rsidP="000831EC">
            <w:pPr>
              <w:pStyle w:val="7"/>
            </w:pPr>
            <w:r w:rsidRPr="00FD50F6">
              <w:t>结构</w:t>
            </w:r>
          </w:p>
        </w:tc>
        <w:tc>
          <w:tcPr>
            <w:tcW w:w="1308" w:type="dxa"/>
            <w:tcBorders>
              <w:top w:val="single" w:sz="8" w:space="0" w:color="auto"/>
              <w:bottom w:val="single" w:sz="8" w:space="0" w:color="auto"/>
            </w:tcBorders>
            <w:vAlign w:val="center"/>
          </w:tcPr>
          <w:p w14:paraId="5658FF15" w14:textId="77777777" w:rsidR="00D3119D" w:rsidRPr="00FD50F6" w:rsidRDefault="00D3119D" w:rsidP="000831EC">
            <w:pPr>
              <w:pStyle w:val="7"/>
            </w:pPr>
            <w:r w:rsidRPr="00FD50F6">
              <w:rPr>
                <w:rFonts w:hint="eastAsia"/>
              </w:rPr>
              <w:t>其他</w:t>
            </w:r>
          </w:p>
          <w:p w14:paraId="2F3EAAB6" w14:textId="77777777" w:rsidR="00D3119D" w:rsidRPr="00FD50F6" w:rsidRDefault="00D3119D" w:rsidP="000831EC">
            <w:pPr>
              <w:pStyle w:val="7"/>
            </w:pPr>
            <w:r w:rsidRPr="00FD50F6">
              <w:rPr>
                <w:rFonts w:hint="eastAsia"/>
              </w:rPr>
              <w:t>内部</w:t>
            </w:r>
            <w:r w:rsidRPr="00FD50F6">
              <w:t>结构</w:t>
            </w:r>
          </w:p>
        </w:tc>
      </w:tr>
      <w:tr w:rsidR="00FD50F6" w:rsidRPr="00FD50F6" w14:paraId="3E142798" w14:textId="77777777" w:rsidTr="000831EC">
        <w:trPr>
          <w:trHeight w:val="370"/>
          <w:jc w:val="center"/>
        </w:trPr>
        <w:tc>
          <w:tcPr>
            <w:tcW w:w="983" w:type="dxa"/>
            <w:tcBorders>
              <w:top w:val="single" w:sz="8" w:space="0" w:color="auto"/>
              <w:bottom w:val="single" w:sz="8" w:space="0" w:color="auto"/>
            </w:tcBorders>
            <w:vAlign w:val="center"/>
          </w:tcPr>
          <w:p w14:paraId="1DBE3511" w14:textId="77777777" w:rsidR="00D3119D" w:rsidRPr="00FD50F6" w:rsidRDefault="00D3119D" w:rsidP="000831EC">
            <w:pPr>
              <w:pStyle w:val="7"/>
            </w:pPr>
            <w:r w:rsidRPr="00FD50F6">
              <w:rPr>
                <w:rFonts w:hint="eastAsia"/>
              </w:rPr>
              <w:t>净空</w:t>
            </w:r>
          </w:p>
          <w:p w14:paraId="25069E40" w14:textId="77777777" w:rsidR="00D3119D" w:rsidRPr="00FD50F6" w:rsidRDefault="00D3119D" w:rsidP="000831EC">
            <w:pPr>
              <w:pStyle w:val="7"/>
            </w:pPr>
            <w:r w:rsidRPr="00FD50F6">
              <w:rPr>
                <w:rFonts w:hint="eastAsia"/>
              </w:rPr>
              <w:lastRenderedPageBreak/>
              <w:t>裕量</w:t>
            </w:r>
          </w:p>
        </w:tc>
        <w:tc>
          <w:tcPr>
            <w:tcW w:w="1701" w:type="dxa"/>
            <w:tcBorders>
              <w:top w:val="single" w:sz="8" w:space="0" w:color="auto"/>
              <w:bottom w:val="single" w:sz="8" w:space="0" w:color="auto"/>
            </w:tcBorders>
            <w:vAlign w:val="center"/>
          </w:tcPr>
          <w:p w14:paraId="09F1C542" w14:textId="77777777" w:rsidR="00D3119D" w:rsidRPr="00FD50F6" w:rsidRDefault="00D3119D" w:rsidP="000831EC">
            <w:pPr>
              <w:pStyle w:val="7"/>
            </w:pPr>
            <w:r w:rsidRPr="00FD50F6">
              <w:lastRenderedPageBreak/>
              <w:t>顶板</w:t>
            </w:r>
            <w:r w:rsidRPr="00FD50F6">
              <w:rPr>
                <w:rFonts w:hint="eastAsia"/>
              </w:rPr>
              <w:t>、</w:t>
            </w:r>
            <w:r w:rsidRPr="00FD50F6">
              <w:t>底板</w:t>
            </w:r>
            <w:r w:rsidRPr="00FD50F6">
              <w:rPr>
                <w:rFonts w:hint="eastAsia"/>
              </w:rPr>
              <w:t>：</w:t>
            </w:r>
            <w:r w:rsidRPr="00FD50F6">
              <w:rPr>
                <w:rFonts w:hint="eastAsia"/>
              </w:rPr>
              <w:t>5</w:t>
            </w:r>
            <w:r w:rsidRPr="00FD50F6">
              <w:t>0</w:t>
            </w:r>
          </w:p>
          <w:p w14:paraId="1B293DCF" w14:textId="77777777" w:rsidR="00D3119D" w:rsidRPr="00FD50F6" w:rsidRDefault="00D3119D" w:rsidP="000831EC">
            <w:pPr>
              <w:pStyle w:val="7"/>
            </w:pPr>
            <w:r w:rsidRPr="00FD50F6">
              <w:lastRenderedPageBreak/>
              <w:t>侧墙</w:t>
            </w:r>
            <w:r w:rsidRPr="00FD50F6">
              <w:rPr>
                <w:rFonts w:hint="eastAsia"/>
              </w:rPr>
              <w:t>、立柱：</w:t>
            </w:r>
            <w:r w:rsidRPr="00FD50F6">
              <w:t>50</w:t>
            </w:r>
            <w:r w:rsidRPr="00FD50F6">
              <w:t>～</w:t>
            </w:r>
            <w:r w:rsidRPr="00FD50F6">
              <w:rPr>
                <w:rFonts w:hint="eastAsia"/>
              </w:rPr>
              <w:t>1</w:t>
            </w:r>
            <w:r w:rsidRPr="00FD50F6">
              <w:t>00</w:t>
            </w:r>
          </w:p>
        </w:tc>
        <w:tc>
          <w:tcPr>
            <w:tcW w:w="1842" w:type="dxa"/>
            <w:tcBorders>
              <w:top w:val="single" w:sz="8" w:space="0" w:color="auto"/>
              <w:bottom w:val="single" w:sz="8" w:space="0" w:color="auto"/>
            </w:tcBorders>
            <w:vAlign w:val="center"/>
          </w:tcPr>
          <w:p w14:paraId="1834F6F5" w14:textId="77777777" w:rsidR="00D3119D" w:rsidRPr="00FD50F6" w:rsidRDefault="00D3119D" w:rsidP="000831EC">
            <w:pPr>
              <w:pStyle w:val="7"/>
            </w:pPr>
            <w:r w:rsidRPr="00FD50F6">
              <w:lastRenderedPageBreak/>
              <w:t>周边</w:t>
            </w:r>
            <w:r w:rsidRPr="00FD50F6">
              <w:rPr>
                <w:rFonts w:hint="eastAsia"/>
              </w:rPr>
              <w:t>：</w:t>
            </w:r>
            <w:r w:rsidRPr="00FD50F6">
              <w:t>100</w:t>
            </w:r>
            <w:r w:rsidRPr="00FD50F6">
              <w:t>～</w:t>
            </w:r>
            <w:r w:rsidRPr="00FD50F6">
              <w:t>150</w:t>
            </w:r>
          </w:p>
        </w:tc>
        <w:tc>
          <w:tcPr>
            <w:tcW w:w="1701" w:type="dxa"/>
            <w:tcBorders>
              <w:top w:val="single" w:sz="8" w:space="0" w:color="auto"/>
              <w:bottom w:val="single" w:sz="8" w:space="0" w:color="auto"/>
            </w:tcBorders>
          </w:tcPr>
          <w:p w14:paraId="7926EFA7" w14:textId="30966323" w:rsidR="00D3119D" w:rsidRPr="00FD50F6" w:rsidRDefault="00D3119D" w:rsidP="004C6E4C">
            <w:pPr>
              <w:pStyle w:val="7"/>
            </w:pPr>
            <w:r w:rsidRPr="00FD50F6">
              <w:rPr>
                <w:rFonts w:hint="eastAsia"/>
              </w:rPr>
              <w:t>周边：</w:t>
            </w:r>
            <w:r w:rsidRPr="00FD50F6">
              <w:rPr>
                <w:rFonts w:hint="eastAsia"/>
              </w:rPr>
              <w:t>5</w:t>
            </w:r>
            <w:r w:rsidRPr="00FD50F6">
              <w:t>0</w:t>
            </w:r>
          </w:p>
        </w:tc>
        <w:tc>
          <w:tcPr>
            <w:tcW w:w="993" w:type="dxa"/>
            <w:tcBorders>
              <w:top w:val="single" w:sz="8" w:space="0" w:color="auto"/>
              <w:bottom w:val="single" w:sz="8" w:space="0" w:color="auto"/>
            </w:tcBorders>
            <w:vAlign w:val="center"/>
          </w:tcPr>
          <w:p w14:paraId="65C4C590" w14:textId="77777777" w:rsidR="00D3119D" w:rsidRPr="00FD50F6" w:rsidRDefault="00D3119D" w:rsidP="000831EC">
            <w:pPr>
              <w:pStyle w:val="7"/>
            </w:pPr>
            <w:r w:rsidRPr="00FD50F6">
              <w:t>0</w:t>
            </w:r>
          </w:p>
        </w:tc>
        <w:tc>
          <w:tcPr>
            <w:tcW w:w="1308" w:type="dxa"/>
            <w:tcBorders>
              <w:top w:val="single" w:sz="8" w:space="0" w:color="auto"/>
              <w:bottom w:val="single" w:sz="8" w:space="0" w:color="auto"/>
            </w:tcBorders>
            <w:vAlign w:val="center"/>
          </w:tcPr>
          <w:p w14:paraId="48DC14BB" w14:textId="77777777" w:rsidR="00D3119D" w:rsidRPr="00FD50F6" w:rsidRDefault="00D3119D" w:rsidP="000831EC">
            <w:pPr>
              <w:pStyle w:val="7"/>
            </w:pPr>
            <w:r w:rsidRPr="00FD50F6">
              <w:t>50</w:t>
            </w:r>
          </w:p>
        </w:tc>
      </w:tr>
    </w:tbl>
    <w:p w14:paraId="34EA98CF" w14:textId="59FAE150" w:rsidR="00D3119D" w:rsidRPr="004134FE" w:rsidRDefault="004134FE" w:rsidP="004C6E4C">
      <w:pPr>
        <w:pStyle w:val="9"/>
        <w:ind w:firstLineChars="0" w:firstLine="0"/>
        <w:rPr>
          <w:rFonts w:ascii="宋体" w:eastAsia="宋体" w:hAnsi="宋体"/>
          <w:sz w:val="21"/>
        </w:rPr>
      </w:pPr>
      <w:r w:rsidRPr="004134FE">
        <w:rPr>
          <w:rFonts w:ascii="宋体" w:eastAsia="宋体" w:hAnsi="宋体" w:hint="eastAsia"/>
          <w:sz w:val="21"/>
        </w:rPr>
        <w:t>注：站台板</w:t>
      </w:r>
      <w:r w:rsidRPr="004134FE">
        <w:rPr>
          <w:rFonts w:ascii="宋体" w:eastAsia="宋体" w:hAnsi="宋体"/>
          <w:sz w:val="21"/>
        </w:rPr>
        <w:t>结构</w:t>
      </w:r>
      <w:r w:rsidRPr="004134FE">
        <w:rPr>
          <w:rFonts w:ascii="宋体" w:eastAsia="宋体" w:hAnsi="宋体" w:hint="eastAsia"/>
          <w:sz w:val="21"/>
        </w:rPr>
        <w:t>的净空裕量取值为</w:t>
      </w:r>
      <w:r w:rsidRPr="004134FE">
        <w:rPr>
          <w:rFonts w:ascii="宋体" w:eastAsia="宋体" w:hAnsi="宋体"/>
          <w:sz w:val="21"/>
        </w:rPr>
        <w:t>0，仅用于站台计算长度内的站台板结构；其他内部结构指除站台计算长度内的站台板结构外</w:t>
      </w:r>
      <w:r w:rsidRPr="004134FE">
        <w:rPr>
          <w:rFonts w:ascii="宋体" w:eastAsia="宋体" w:hAnsi="宋体" w:hint="eastAsia"/>
          <w:sz w:val="21"/>
        </w:rPr>
        <w:t>，</w:t>
      </w:r>
      <w:r w:rsidRPr="004134FE">
        <w:rPr>
          <w:rFonts w:ascii="宋体" w:eastAsia="宋体" w:hAnsi="宋体"/>
          <w:sz w:val="21"/>
        </w:rPr>
        <w:t>车站和区间行车隧道内的其他立柱、隔墙、梁、板、楼梯等内部结构构件。</w:t>
      </w:r>
    </w:p>
    <w:p w14:paraId="26F5153E" w14:textId="7ED186CE" w:rsidR="00D3119D" w:rsidRPr="00FD50F6" w:rsidRDefault="00D3119D" w:rsidP="00D3119D">
      <w:pPr>
        <w:pStyle w:val="30"/>
      </w:pPr>
      <w:r w:rsidRPr="00FD50F6">
        <w:t>地下结构的设计应根据施工方法、结构或构件类型、使用条件及荷载特性等，选用与其特点相近的结构设计规范和设计方法</w:t>
      </w:r>
      <w:r w:rsidRPr="00FD50F6">
        <w:rPr>
          <w:rFonts w:hint="eastAsia"/>
        </w:rPr>
        <w:t>，并应在工程实施阶段结合施工监测进行信息化设计，同时应符合下列规定：</w:t>
      </w:r>
    </w:p>
    <w:p w14:paraId="233CAF69" w14:textId="36A00BCD" w:rsidR="00D3119D" w:rsidRPr="00FD50F6" w:rsidRDefault="00D3119D" w:rsidP="00A926BD">
      <w:pPr>
        <w:pStyle w:val="4"/>
      </w:pPr>
      <w:r w:rsidRPr="00FD50F6">
        <w:rPr>
          <w:rFonts w:hint="eastAsia"/>
        </w:rPr>
        <w:t>地下结构应按极限状态法设计，当进行稳定性验算时，应采用总安全系数法。</w:t>
      </w:r>
    </w:p>
    <w:p w14:paraId="6A221859" w14:textId="79D3B4AA" w:rsidR="00D3119D" w:rsidRPr="00FD50F6" w:rsidRDefault="00D3119D" w:rsidP="00A926BD">
      <w:pPr>
        <w:pStyle w:val="4"/>
      </w:pPr>
      <w:r w:rsidRPr="00FD50F6">
        <w:t>地下结构应按施工阶段和使用阶段分别进行结构强度、刚度和稳定性计算</w:t>
      </w:r>
      <w:r w:rsidRPr="00FD50F6">
        <w:rPr>
          <w:rFonts w:hint="eastAsia"/>
        </w:rPr>
        <w:t>，</w:t>
      </w:r>
      <w:r w:rsidRPr="00FD50F6">
        <w:t>满足承载能力极限状态和正常使用极限状态的设计要求</w:t>
      </w:r>
      <w:r w:rsidRPr="00FD50F6">
        <w:rPr>
          <w:rFonts w:hint="eastAsia"/>
        </w:rPr>
        <w:t>；对于临时结构，宜按荷载效应的基本组合进行施工阶段的承载能力极限状态计算。</w:t>
      </w:r>
    </w:p>
    <w:p w14:paraId="390CF9EE" w14:textId="34F18A0B" w:rsidR="00D3119D" w:rsidRPr="00FD50F6" w:rsidRDefault="00D3119D" w:rsidP="00A926BD">
      <w:pPr>
        <w:pStyle w:val="4"/>
      </w:pPr>
      <w:r w:rsidRPr="00FD50F6">
        <w:t>地下结构计算分析模型应符合结构的实际工作条件，</w:t>
      </w:r>
      <w:r w:rsidRPr="00FD50F6">
        <w:rPr>
          <w:rFonts w:hint="eastAsia"/>
        </w:rPr>
        <w:t>并</w:t>
      </w:r>
      <w:r w:rsidRPr="00FD50F6">
        <w:t>反映围岩与结构的相互作用，</w:t>
      </w:r>
      <w:r w:rsidRPr="00FD50F6">
        <w:rPr>
          <w:rFonts w:hint="eastAsia"/>
        </w:rPr>
        <w:t>且</w:t>
      </w:r>
      <w:r w:rsidRPr="00FD50F6">
        <w:t>应符合下列规定：</w:t>
      </w:r>
    </w:p>
    <w:p w14:paraId="41DCF302" w14:textId="77777777" w:rsidR="00D3119D" w:rsidRPr="00FD50F6" w:rsidRDefault="00D3119D" w:rsidP="00D3119D">
      <w:pPr>
        <w:pStyle w:val="5"/>
        <w:ind w:firstLine="480"/>
      </w:pPr>
      <w:r w:rsidRPr="00FD50F6">
        <w:t>基坑支护结构与主体结构之间</w:t>
      </w:r>
      <w:r w:rsidRPr="00FD50F6">
        <w:rPr>
          <w:rFonts w:hint="eastAsia"/>
        </w:rPr>
        <w:t>、</w:t>
      </w:r>
      <w:r w:rsidRPr="00FD50F6">
        <w:t>矿山法初期支护与二次衬砌之间等共同</w:t>
      </w:r>
      <w:r w:rsidRPr="00FD50F6">
        <w:rPr>
          <w:rFonts w:hint="eastAsia"/>
        </w:rPr>
        <w:t xml:space="preserve"> </w:t>
      </w:r>
      <w:r w:rsidRPr="00FD50F6">
        <w:t>承载体系，应根据结构构造型式和结合情况，选用与其传力特征相符的计算模型；</w:t>
      </w:r>
    </w:p>
    <w:p w14:paraId="54635B82" w14:textId="77777777" w:rsidR="00D3119D" w:rsidRPr="00FD50F6" w:rsidRDefault="00D3119D" w:rsidP="00D3119D">
      <w:pPr>
        <w:pStyle w:val="5"/>
        <w:ind w:firstLine="480"/>
      </w:pPr>
      <w:r w:rsidRPr="00FD50F6">
        <w:t>当受力过程中结构体系、荷载形式等有变化时，宜根据结构的施作顺序及受力条件，按结构的实际受载过程及结构体系变形的连续性进行结构分析。</w:t>
      </w:r>
    </w:p>
    <w:p w14:paraId="02BA6485" w14:textId="77777777" w:rsidR="00D3119D" w:rsidRPr="00FD50F6" w:rsidRDefault="00D3119D" w:rsidP="00A926BD">
      <w:pPr>
        <w:pStyle w:val="4"/>
      </w:pPr>
      <w:r w:rsidRPr="00FD50F6">
        <w:t>地铁地下结构应进行横断面方向的受力计算，</w:t>
      </w:r>
      <w:r w:rsidRPr="00FD50F6">
        <w:rPr>
          <w:rFonts w:hint="eastAsia"/>
        </w:rPr>
        <w:t>当</w:t>
      </w:r>
      <w:r w:rsidRPr="00FD50F6">
        <w:t>遇下列情况时，尚应进行纵向强度和变形计算：</w:t>
      </w:r>
    </w:p>
    <w:p w14:paraId="43AEF112" w14:textId="6D59C203" w:rsidR="00D3119D" w:rsidRPr="00FD50F6" w:rsidRDefault="00D3119D" w:rsidP="00D3119D">
      <w:pPr>
        <w:pStyle w:val="5"/>
        <w:ind w:firstLine="480"/>
      </w:pPr>
      <w:r w:rsidRPr="00FD50F6">
        <w:t>地下结构设置的温度变形缝间距</w:t>
      </w:r>
      <w:r w:rsidRPr="00FD50F6">
        <w:rPr>
          <w:rFonts w:hint="eastAsia"/>
        </w:rPr>
        <w:t>超出构造要求；</w:t>
      </w:r>
      <w:r w:rsidRPr="00FD50F6" w:rsidDel="00DB551E">
        <w:t xml:space="preserve"> </w:t>
      </w:r>
    </w:p>
    <w:p w14:paraId="29632692" w14:textId="47F493B4" w:rsidR="00D3119D" w:rsidRPr="00FD50F6" w:rsidRDefault="00D3119D" w:rsidP="00D3119D">
      <w:pPr>
        <w:pStyle w:val="5"/>
        <w:ind w:firstLine="480"/>
      </w:pPr>
      <w:r w:rsidRPr="00FD50F6">
        <w:t>覆土荷载沿其纵向有变化；</w:t>
      </w:r>
      <w:r w:rsidRPr="00FD50F6">
        <w:t xml:space="preserve"> </w:t>
      </w:r>
    </w:p>
    <w:p w14:paraId="5BCB7026" w14:textId="44D7018C" w:rsidR="00D3119D" w:rsidRPr="00FD50F6" w:rsidRDefault="00D3119D" w:rsidP="00D3119D">
      <w:pPr>
        <w:pStyle w:val="5"/>
        <w:ind w:firstLine="480"/>
      </w:pPr>
      <w:r w:rsidRPr="00FD50F6">
        <w:t>结构直接承受上部</w:t>
      </w:r>
      <w:r w:rsidR="00B528A1">
        <w:t>建（构）</w:t>
      </w:r>
      <w:r w:rsidRPr="00FD50F6">
        <w:t>筑物</w:t>
      </w:r>
      <w:r w:rsidRPr="00FD50F6">
        <w:rPr>
          <w:rFonts w:hint="eastAsia"/>
        </w:rPr>
        <w:t>，</w:t>
      </w:r>
      <w:r w:rsidRPr="00FD50F6">
        <w:t>有局部荷载作用；</w:t>
      </w:r>
    </w:p>
    <w:p w14:paraId="269A5C17" w14:textId="0675386F" w:rsidR="00D3119D" w:rsidRPr="00FD50F6" w:rsidRDefault="00D3119D" w:rsidP="00D3119D">
      <w:pPr>
        <w:pStyle w:val="5"/>
        <w:ind w:firstLine="480"/>
      </w:pPr>
      <w:r w:rsidRPr="00FD50F6">
        <w:t>地基或基础有显著差异，沿纵向产生不均匀沉降；</w:t>
      </w:r>
    </w:p>
    <w:p w14:paraId="0ACBA29E" w14:textId="77777777" w:rsidR="00D3119D" w:rsidRPr="00FD50F6" w:rsidRDefault="00D3119D" w:rsidP="00D3119D">
      <w:pPr>
        <w:pStyle w:val="5"/>
        <w:ind w:firstLine="480"/>
      </w:pPr>
      <w:r w:rsidRPr="00FD50F6">
        <w:t>地震作用下的小曲线半径隧道、</w:t>
      </w:r>
      <w:r w:rsidRPr="00FD50F6">
        <w:rPr>
          <w:rFonts w:hint="eastAsia"/>
        </w:rPr>
        <w:t>结构和地基</w:t>
      </w:r>
      <w:r w:rsidRPr="00FD50F6">
        <w:t>刚度突变的隧道和液化对稳定有影响的隧道。</w:t>
      </w:r>
    </w:p>
    <w:p w14:paraId="412A4D15" w14:textId="77777777" w:rsidR="00D3119D" w:rsidRPr="00FD50F6" w:rsidRDefault="00D3119D" w:rsidP="00A926BD">
      <w:pPr>
        <w:pStyle w:val="4"/>
      </w:pPr>
      <w:r w:rsidRPr="00FD50F6">
        <w:t>空间受力作用明显的区段，宜按空间结构进行分析</w:t>
      </w:r>
      <w:r w:rsidRPr="00FD50F6">
        <w:rPr>
          <w:rFonts w:hint="eastAsia"/>
        </w:rPr>
        <w:t>。</w:t>
      </w:r>
    </w:p>
    <w:p w14:paraId="0EDBF5A0" w14:textId="77777777" w:rsidR="00D3119D" w:rsidRPr="00FD50F6" w:rsidRDefault="00D3119D" w:rsidP="00A926BD">
      <w:pPr>
        <w:pStyle w:val="4"/>
      </w:pPr>
      <w:r w:rsidRPr="00FD50F6">
        <w:rPr>
          <w:rFonts w:hint="eastAsia"/>
        </w:rPr>
        <w:t>当地下结构与地面建筑合建时，应进行地上、地下结构的整体受力分析。</w:t>
      </w:r>
    </w:p>
    <w:p w14:paraId="276AAA2F" w14:textId="3F8A0282" w:rsidR="00D3119D" w:rsidRPr="00FD50F6" w:rsidRDefault="00D3119D" w:rsidP="00A926BD">
      <w:pPr>
        <w:pStyle w:val="4"/>
      </w:pPr>
      <w:r w:rsidRPr="001A4CF3">
        <w:rPr>
          <w:rFonts w:hint="eastAsia"/>
        </w:rPr>
        <w:t>地下结构设计应控制基</w:t>
      </w:r>
      <w:r w:rsidRPr="00FD50F6">
        <w:t>坑开挖和隧道施工引起的地面沉降量，对由于土体</w:t>
      </w:r>
      <w:r w:rsidRPr="00FD50F6">
        <w:lastRenderedPageBreak/>
        <w:t>位移可能引起的周围</w:t>
      </w:r>
      <w:r w:rsidR="00B528A1">
        <w:t>建（构）</w:t>
      </w:r>
      <w:r w:rsidRPr="00FD50F6">
        <w:t>筑物产生的危害应进行预测，</w:t>
      </w:r>
      <w:r w:rsidRPr="00FD50F6">
        <w:rPr>
          <w:rFonts w:hint="eastAsia"/>
        </w:rPr>
        <w:t>并</w:t>
      </w:r>
      <w:r w:rsidRPr="00FD50F6">
        <w:t>通过计算分析确定其允许产生的沉降量和次应力，提出安全可靠、经济合理的技术措施。地面变形允许值应根据现状评估结果，对照类似工程的实践经验确定</w:t>
      </w:r>
      <w:r w:rsidRPr="00FD50F6">
        <w:rPr>
          <w:rFonts w:hint="eastAsia"/>
        </w:rPr>
        <w:t>。</w:t>
      </w:r>
    </w:p>
    <w:p w14:paraId="420F833F" w14:textId="411BC61A" w:rsidR="00D3119D" w:rsidRPr="00FD50F6" w:rsidRDefault="00D3119D" w:rsidP="00A926BD">
      <w:pPr>
        <w:pStyle w:val="4"/>
      </w:pPr>
      <w:r w:rsidRPr="00FD50F6">
        <w:rPr>
          <w:rFonts w:hint="eastAsia"/>
        </w:rPr>
        <w:t>当</w:t>
      </w:r>
      <w:r w:rsidRPr="00FD50F6">
        <w:t>钢筋混凝土结构</w:t>
      </w:r>
      <w:r w:rsidRPr="00FD50F6">
        <w:rPr>
          <w:rFonts w:hint="eastAsia"/>
        </w:rPr>
        <w:t>进行正常使用极限状态验算时，构件正截面的受力裂缝控制等级应为三级，</w:t>
      </w:r>
      <w:r w:rsidRPr="00FD50F6">
        <w:t>最大裂缝宽度限值应根据结构类型、使用要求、所处环境和防水措施等因素确定</w:t>
      </w:r>
      <w:r w:rsidRPr="00FD50F6">
        <w:rPr>
          <w:rFonts w:hint="eastAsia"/>
        </w:rPr>
        <w:t>。</w:t>
      </w:r>
      <w:r w:rsidRPr="00FD50F6">
        <w:t>处于一般环境中的钢筋混凝土结构最大裂缝宽度限值应按表</w:t>
      </w:r>
      <w:r w:rsidR="00CD0099" w:rsidRPr="00FD50F6">
        <w:t>12</w:t>
      </w:r>
      <w:r w:rsidRPr="00FD50F6">
        <w:t>.1.</w:t>
      </w:r>
      <w:r w:rsidR="004134FE">
        <w:t>8</w:t>
      </w:r>
      <w:r w:rsidRPr="00FD50F6">
        <w:t>中的数值进行控制；处于冻融环境或侵蚀环境等不利条件下的结构，其最大裂缝宽度限值应根据具体情况另行确定。</w:t>
      </w:r>
    </w:p>
    <w:p w14:paraId="682AEE3D" w14:textId="618BA830" w:rsidR="00D3119D" w:rsidRPr="00FD50F6" w:rsidRDefault="00D3119D" w:rsidP="00D3119D">
      <w:pPr>
        <w:pStyle w:val="6"/>
      </w:pPr>
      <w:r w:rsidRPr="00FD50F6">
        <w:t>表</w:t>
      </w:r>
      <w:r w:rsidR="00CD0099" w:rsidRPr="00FD50F6">
        <w:t>12</w:t>
      </w:r>
      <w:r w:rsidRPr="00FD50F6">
        <w:t>.1.</w:t>
      </w:r>
      <w:r w:rsidR="004134FE">
        <w:t>8</w:t>
      </w:r>
      <w:r w:rsidRPr="00FD50F6">
        <w:t>钢筋混凝土结构的最大裂缝宽度限值（</w:t>
      </w:r>
      <w:r w:rsidRPr="00FD50F6">
        <w:t>mm</w:t>
      </w:r>
      <w:r w:rsidRPr="00FD50F6">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5"/>
        <w:gridCol w:w="4627"/>
        <w:gridCol w:w="2236"/>
      </w:tblGrid>
      <w:tr w:rsidR="00FD50F6" w:rsidRPr="00FD50F6" w14:paraId="4A734618" w14:textId="77777777" w:rsidTr="00583EC0">
        <w:trPr>
          <w:trHeight w:val="340"/>
          <w:jc w:val="center"/>
        </w:trPr>
        <w:tc>
          <w:tcPr>
            <w:tcW w:w="3689" w:type="pct"/>
            <w:gridSpan w:val="2"/>
            <w:vAlign w:val="center"/>
          </w:tcPr>
          <w:p w14:paraId="520278A5" w14:textId="77777777" w:rsidR="00D3119D" w:rsidRPr="00FD50F6" w:rsidRDefault="00D3119D" w:rsidP="000831EC">
            <w:pPr>
              <w:pStyle w:val="7"/>
            </w:pPr>
            <w:r w:rsidRPr="00FD50F6">
              <w:t>结构类型</w:t>
            </w:r>
          </w:p>
        </w:tc>
        <w:tc>
          <w:tcPr>
            <w:tcW w:w="1311" w:type="pct"/>
            <w:vAlign w:val="center"/>
          </w:tcPr>
          <w:p w14:paraId="43DB2DA7" w14:textId="39D703E6" w:rsidR="00D3119D" w:rsidRPr="00FD50F6" w:rsidRDefault="00D3119D" w:rsidP="000831EC">
            <w:pPr>
              <w:pStyle w:val="7"/>
            </w:pPr>
            <w:r w:rsidRPr="00FD50F6">
              <w:rPr>
                <w:rFonts w:hint="eastAsia"/>
              </w:rPr>
              <w:t>限</w:t>
            </w:r>
            <w:r w:rsidRPr="00FD50F6">
              <w:t>值</w:t>
            </w:r>
          </w:p>
        </w:tc>
      </w:tr>
      <w:tr w:rsidR="00FD50F6" w:rsidRPr="00FD50F6" w14:paraId="77958D33" w14:textId="77777777" w:rsidTr="00583EC0">
        <w:trPr>
          <w:trHeight w:val="340"/>
          <w:jc w:val="center"/>
        </w:trPr>
        <w:tc>
          <w:tcPr>
            <w:tcW w:w="3689" w:type="pct"/>
            <w:gridSpan w:val="2"/>
            <w:vAlign w:val="center"/>
          </w:tcPr>
          <w:p w14:paraId="4354EC2C" w14:textId="77777777" w:rsidR="00D3119D" w:rsidRPr="00FD50F6" w:rsidRDefault="00D3119D" w:rsidP="000831EC">
            <w:pPr>
              <w:pStyle w:val="7"/>
            </w:pPr>
            <w:r w:rsidRPr="00FD50F6">
              <w:rPr>
                <w:rFonts w:hint="eastAsia"/>
              </w:rPr>
              <w:t>预制装配式结构</w:t>
            </w:r>
          </w:p>
        </w:tc>
        <w:tc>
          <w:tcPr>
            <w:tcW w:w="1311" w:type="pct"/>
            <w:vAlign w:val="center"/>
          </w:tcPr>
          <w:p w14:paraId="2BF52B94" w14:textId="77777777" w:rsidR="00D3119D" w:rsidRPr="00FD50F6" w:rsidRDefault="00D3119D" w:rsidP="000831EC">
            <w:pPr>
              <w:pStyle w:val="7"/>
            </w:pPr>
            <w:r w:rsidRPr="00FD50F6">
              <w:t>0.2</w:t>
            </w:r>
          </w:p>
        </w:tc>
      </w:tr>
      <w:tr w:rsidR="00FD50F6" w:rsidRPr="00FD50F6" w14:paraId="47B2E80B" w14:textId="77777777" w:rsidTr="00583EC0">
        <w:trPr>
          <w:trHeight w:val="340"/>
          <w:jc w:val="center"/>
        </w:trPr>
        <w:tc>
          <w:tcPr>
            <w:tcW w:w="976" w:type="pct"/>
            <w:vMerge w:val="restart"/>
            <w:vAlign w:val="center"/>
          </w:tcPr>
          <w:p w14:paraId="3F56E5D3" w14:textId="77777777" w:rsidR="00D3119D" w:rsidRPr="00FD50F6" w:rsidRDefault="00D3119D" w:rsidP="000831EC">
            <w:pPr>
              <w:pStyle w:val="7"/>
            </w:pPr>
            <w:r w:rsidRPr="00FD50F6">
              <w:rPr>
                <w:rFonts w:hint="eastAsia"/>
              </w:rPr>
              <w:t>现浇</w:t>
            </w:r>
            <w:r w:rsidRPr="00FD50F6">
              <w:t>结构</w:t>
            </w:r>
          </w:p>
        </w:tc>
        <w:tc>
          <w:tcPr>
            <w:tcW w:w="2713" w:type="pct"/>
            <w:vAlign w:val="center"/>
          </w:tcPr>
          <w:p w14:paraId="03BB92B8" w14:textId="77777777" w:rsidR="00D3119D" w:rsidRPr="00FD50F6" w:rsidRDefault="00D3119D" w:rsidP="000831EC">
            <w:pPr>
              <w:pStyle w:val="7"/>
            </w:pPr>
            <w:r w:rsidRPr="00FD50F6">
              <w:t>水中环境、土中缺氧环境</w:t>
            </w:r>
          </w:p>
        </w:tc>
        <w:tc>
          <w:tcPr>
            <w:tcW w:w="1311" w:type="pct"/>
            <w:vAlign w:val="center"/>
          </w:tcPr>
          <w:p w14:paraId="4DF83FC3" w14:textId="77777777" w:rsidR="00D3119D" w:rsidRPr="00FD50F6" w:rsidRDefault="00D3119D" w:rsidP="000831EC">
            <w:pPr>
              <w:pStyle w:val="7"/>
            </w:pPr>
            <w:r w:rsidRPr="00FD50F6">
              <w:t>0.3</w:t>
            </w:r>
          </w:p>
        </w:tc>
      </w:tr>
      <w:tr w:rsidR="00FD50F6" w:rsidRPr="00FD50F6" w14:paraId="50AEC698" w14:textId="77777777" w:rsidTr="00583EC0">
        <w:trPr>
          <w:trHeight w:val="340"/>
          <w:jc w:val="center"/>
        </w:trPr>
        <w:tc>
          <w:tcPr>
            <w:tcW w:w="976" w:type="pct"/>
            <w:vMerge/>
            <w:vAlign w:val="center"/>
          </w:tcPr>
          <w:p w14:paraId="357CBD6C" w14:textId="77777777" w:rsidR="00D3119D" w:rsidRPr="00FD50F6" w:rsidRDefault="00D3119D" w:rsidP="000831EC">
            <w:pPr>
              <w:pStyle w:val="7"/>
            </w:pPr>
          </w:p>
        </w:tc>
        <w:tc>
          <w:tcPr>
            <w:tcW w:w="2713" w:type="pct"/>
            <w:vAlign w:val="center"/>
          </w:tcPr>
          <w:p w14:paraId="0D7BA065" w14:textId="77777777" w:rsidR="00D3119D" w:rsidRPr="00FD50F6" w:rsidRDefault="00D3119D" w:rsidP="000831EC">
            <w:pPr>
              <w:pStyle w:val="7"/>
            </w:pPr>
            <w:r w:rsidRPr="00FD50F6">
              <w:t>洞内干燥环境或洞内潮湿环境</w:t>
            </w:r>
          </w:p>
        </w:tc>
        <w:tc>
          <w:tcPr>
            <w:tcW w:w="1311" w:type="pct"/>
            <w:vAlign w:val="center"/>
          </w:tcPr>
          <w:p w14:paraId="5AC4F318" w14:textId="77777777" w:rsidR="00D3119D" w:rsidRPr="00FD50F6" w:rsidRDefault="00D3119D" w:rsidP="000831EC">
            <w:pPr>
              <w:pStyle w:val="7"/>
            </w:pPr>
            <w:r w:rsidRPr="00FD50F6">
              <w:t>0.3</w:t>
            </w:r>
          </w:p>
        </w:tc>
      </w:tr>
      <w:tr w:rsidR="00FD50F6" w:rsidRPr="00FD50F6" w14:paraId="2E54B7A7" w14:textId="77777777" w:rsidTr="00583EC0">
        <w:trPr>
          <w:trHeight w:val="340"/>
          <w:jc w:val="center"/>
        </w:trPr>
        <w:tc>
          <w:tcPr>
            <w:tcW w:w="976" w:type="pct"/>
            <w:vMerge/>
            <w:vAlign w:val="center"/>
          </w:tcPr>
          <w:p w14:paraId="5C059E1E" w14:textId="77777777" w:rsidR="00D3119D" w:rsidRPr="00FD50F6" w:rsidRDefault="00D3119D" w:rsidP="000831EC">
            <w:pPr>
              <w:pStyle w:val="7"/>
            </w:pPr>
          </w:p>
        </w:tc>
        <w:tc>
          <w:tcPr>
            <w:tcW w:w="2713" w:type="pct"/>
            <w:vAlign w:val="center"/>
          </w:tcPr>
          <w:p w14:paraId="5E8FCA20" w14:textId="77777777" w:rsidR="00D3119D" w:rsidRPr="00FD50F6" w:rsidRDefault="00D3119D" w:rsidP="000831EC">
            <w:pPr>
              <w:pStyle w:val="7"/>
            </w:pPr>
            <w:r w:rsidRPr="00FD50F6">
              <w:t>干湿交替环境</w:t>
            </w:r>
          </w:p>
        </w:tc>
        <w:tc>
          <w:tcPr>
            <w:tcW w:w="1311" w:type="pct"/>
            <w:vAlign w:val="center"/>
          </w:tcPr>
          <w:p w14:paraId="4D4A16AD" w14:textId="77777777" w:rsidR="00D3119D" w:rsidRPr="00FD50F6" w:rsidRDefault="00D3119D" w:rsidP="000831EC">
            <w:pPr>
              <w:pStyle w:val="7"/>
            </w:pPr>
            <w:r w:rsidRPr="00FD50F6">
              <w:t>0.2</w:t>
            </w:r>
          </w:p>
        </w:tc>
      </w:tr>
    </w:tbl>
    <w:p w14:paraId="7048C846" w14:textId="45C023FC" w:rsidR="000B2FD7" w:rsidRPr="00FD50F6" w:rsidRDefault="000B2FD7" w:rsidP="00583EC0">
      <w:pPr>
        <w:pStyle w:val="7"/>
        <w:tabs>
          <w:tab w:val="left" w:pos="426"/>
        </w:tabs>
        <w:jc w:val="left"/>
      </w:pPr>
      <w:r w:rsidRPr="00FD50F6">
        <w:t>注：</w:t>
      </w:r>
      <w:r w:rsidRPr="00FD50F6">
        <w:rPr>
          <w:rFonts w:hint="eastAsia"/>
        </w:rPr>
        <w:t>1</w:t>
      </w:r>
      <w:r w:rsidR="00071866">
        <w:rPr>
          <w:rFonts w:hint="eastAsia"/>
        </w:rPr>
        <w:t xml:space="preserve"> </w:t>
      </w:r>
      <w:r w:rsidRPr="00FD50F6">
        <w:t>当设计采用的最大裂缝宽度计算式中保护层的实际厚度超</w:t>
      </w:r>
      <w:r w:rsidRPr="00FD50F6">
        <w:rPr>
          <w:rFonts w:hint="eastAsia"/>
        </w:rPr>
        <w:t xml:space="preserve"> </w:t>
      </w:r>
      <w:r w:rsidRPr="00FD50F6">
        <w:t xml:space="preserve">  </w:t>
      </w:r>
      <w:r w:rsidRPr="00FD50F6">
        <w:t>过</w:t>
      </w:r>
      <w:r w:rsidRPr="00FD50F6">
        <w:t>30mm</w:t>
      </w:r>
      <w:r w:rsidRPr="00FD50F6">
        <w:t>时，可将保护层厚度的计算值取为</w:t>
      </w:r>
      <w:r w:rsidRPr="00FD50F6">
        <w:t>30mm</w:t>
      </w:r>
      <w:r w:rsidRPr="00FD50F6">
        <w:t>；</w:t>
      </w:r>
    </w:p>
    <w:p w14:paraId="33381D3E" w14:textId="77315F9F" w:rsidR="000B2FD7" w:rsidRPr="00FD50F6" w:rsidRDefault="000B2FD7" w:rsidP="00071866">
      <w:pPr>
        <w:pStyle w:val="7"/>
        <w:ind w:firstLineChars="200" w:firstLine="420"/>
        <w:jc w:val="left"/>
      </w:pPr>
      <w:r w:rsidRPr="00FD50F6">
        <w:rPr>
          <w:rFonts w:hint="eastAsia"/>
        </w:rPr>
        <w:t>2</w:t>
      </w:r>
      <w:r w:rsidRPr="00FD50F6">
        <w:t xml:space="preserve"> </w:t>
      </w:r>
      <w:r w:rsidR="00071866">
        <w:rPr>
          <w:rFonts w:hint="eastAsia"/>
        </w:rPr>
        <w:t xml:space="preserve"> </w:t>
      </w:r>
      <w:r w:rsidRPr="00FD50F6">
        <w:t>厚度不小于</w:t>
      </w:r>
      <w:r w:rsidRPr="00FD50F6">
        <w:t>300mm</w:t>
      </w:r>
      <w:r w:rsidRPr="00FD50F6">
        <w:t>的钢筋混凝土结构可不计干湿交替作用；</w:t>
      </w:r>
    </w:p>
    <w:p w14:paraId="61547C60" w14:textId="3C2E583D" w:rsidR="000B2FD7" w:rsidRPr="00FD50F6" w:rsidRDefault="000B2FD7" w:rsidP="004134FE">
      <w:pPr>
        <w:pStyle w:val="7"/>
        <w:ind w:firstLineChars="200" w:firstLine="420"/>
        <w:jc w:val="left"/>
      </w:pPr>
      <w:r w:rsidRPr="00FD50F6">
        <w:rPr>
          <w:rFonts w:hint="eastAsia"/>
        </w:rPr>
        <w:t>3</w:t>
      </w:r>
      <w:r w:rsidR="00071866">
        <w:rPr>
          <w:rFonts w:hint="eastAsia"/>
        </w:rPr>
        <w:t xml:space="preserve"> </w:t>
      </w:r>
      <w:r w:rsidRPr="00FD50F6">
        <w:t>洞内潮湿环境指环境相对湿度为</w:t>
      </w:r>
      <w:r w:rsidRPr="00FD50F6">
        <w:t>45%</w:t>
      </w:r>
      <w:r w:rsidRPr="00FD50F6">
        <w:t>～</w:t>
      </w:r>
      <w:r w:rsidRPr="00FD50F6">
        <w:t>80%</w:t>
      </w:r>
      <w:r w:rsidRPr="00FD50F6">
        <w:t>。</w:t>
      </w:r>
    </w:p>
    <w:p w14:paraId="09E72DC8" w14:textId="08BD6686" w:rsidR="00D3119D" w:rsidRPr="00FD50F6" w:rsidRDefault="00D3119D" w:rsidP="00A926BD">
      <w:pPr>
        <w:pStyle w:val="4"/>
      </w:pPr>
      <w:r w:rsidRPr="00FD50F6">
        <w:rPr>
          <w:rFonts w:hint="eastAsia"/>
        </w:rPr>
        <w:t>应取地下水抗浮设防水位</w:t>
      </w:r>
      <w:r w:rsidRPr="00FD50F6">
        <w:t>进行地下结构抗浮稳定性验算。当不计地层侧摩阻力时</w:t>
      </w:r>
      <w:r w:rsidRPr="00FD50F6">
        <w:rPr>
          <w:rFonts w:hint="eastAsia"/>
        </w:rPr>
        <w:t>，</w:t>
      </w:r>
      <w:r w:rsidRPr="00FD50F6">
        <w:t>抗浮安全系数不应小于</w:t>
      </w:r>
      <w:r w:rsidRPr="00FD50F6">
        <w:t>1.05</w:t>
      </w:r>
      <w:r w:rsidRPr="00FD50F6">
        <w:rPr>
          <w:rFonts w:hint="eastAsia"/>
        </w:rPr>
        <w:t>；</w:t>
      </w:r>
      <w:r w:rsidRPr="00FD50F6">
        <w:t>当计及地层侧摩阻力时，根据不同地区的工程地质和水文地质条件，可采用</w:t>
      </w:r>
      <w:r w:rsidRPr="00FD50F6">
        <w:t>1.10</w:t>
      </w:r>
      <w:r w:rsidRPr="00FD50F6">
        <w:t>～</w:t>
      </w:r>
      <w:r w:rsidRPr="00FD50F6">
        <w:t>1.15</w:t>
      </w:r>
      <w:r w:rsidRPr="00FD50F6">
        <w:rPr>
          <w:rFonts w:hint="eastAsia"/>
        </w:rPr>
        <w:t>。</w:t>
      </w:r>
    </w:p>
    <w:p w14:paraId="04D3F89F" w14:textId="6512DF98" w:rsidR="00D3119D" w:rsidRPr="00FD50F6" w:rsidRDefault="00D3119D" w:rsidP="00A926BD">
      <w:pPr>
        <w:pStyle w:val="4"/>
      </w:pPr>
      <w:r w:rsidRPr="00FD50F6">
        <w:t>直接承受列车荷载的楼板等构件，其计算及构造应符合现行行业标准</w:t>
      </w:r>
      <w:r w:rsidRPr="00FD50F6">
        <w:rPr>
          <w:rFonts w:hint="eastAsia"/>
        </w:rPr>
        <w:t>《铁路桥涵混凝土结构设计规范》</w:t>
      </w:r>
      <w:r w:rsidRPr="00FD50F6">
        <w:t>TB 10092</w:t>
      </w:r>
      <w:r w:rsidRPr="00FD50F6">
        <w:t>的规定</w:t>
      </w:r>
      <w:r w:rsidRPr="00FD50F6">
        <w:rPr>
          <w:rFonts w:hint="eastAsia"/>
        </w:rPr>
        <w:t>。</w:t>
      </w:r>
    </w:p>
    <w:p w14:paraId="52F5B09F" w14:textId="77777777" w:rsidR="00D3119D" w:rsidRPr="00FD50F6" w:rsidRDefault="00D3119D" w:rsidP="00A926BD">
      <w:pPr>
        <w:pStyle w:val="4"/>
      </w:pPr>
      <w:r w:rsidRPr="00FD50F6">
        <w:rPr>
          <w:rFonts w:hint="eastAsia"/>
        </w:rPr>
        <w:t>地下结构应按场区抗震设防要求进行抗震承载能力验算。</w:t>
      </w:r>
    </w:p>
    <w:p w14:paraId="36859AD4" w14:textId="77777777" w:rsidR="00D3119D" w:rsidRPr="00FD50F6" w:rsidRDefault="00D3119D" w:rsidP="00A926BD">
      <w:pPr>
        <w:pStyle w:val="4"/>
      </w:pPr>
      <w:r w:rsidRPr="00FD50F6">
        <w:rPr>
          <w:rFonts w:hint="eastAsia"/>
        </w:rPr>
        <w:t>有战时防护要求的地下结构应在规定的设防部位根据批准的人防抗力标准按国家现行标准《人民防空工程设计规范》</w:t>
      </w:r>
      <w:r w:rsidRPr="00FD50F6">
        <w:t>GB 50225</w:t>
      </w:r>
      <w:r w:rsidRPr="00FD50F6">
        <w:rPr>
          <w:rFonts w:hint="eastAsia"/>
        </w:rPr>
        <w:t>及《轨道交通工程人民防空设计规范》</w:t>
      </w:r>
      <w:r w:rsidRPr="00FD50F6">
        <w:t>RFJ 02</w:t>
      </w:r>
      <w:r w:rsidRPr="00FD50F6">
        <w:rPr>
          <w:rFonts w:hint="eastAsia"/>
        </w:rPr>
        <w:t>的要求进行结构验算。当上跨、下穿及连通既有线路结构时，不应降低各自结构的防护能力。</w:t>
      </w:r>
    </w:p>
    <w:p w14:paraId="3E919367" w14:textId="096223EF" w:rsidR="00D3119D" w:rsidRPr="00FD50F6" w:rsidRDefault="00D3119D" w:rsidP="00A926BD">
      <w:pPr>
        <w:pStyle w:val="4"/>
      </w:pPr>
      <w:r w:rsidRPr="00FD50F6">
        <w:rPr>
          <w:rFonts w:hint="eastAsia"/>
        </w:rPr>
        <w:t>地下结构防水设计应符合本标准第</w:t>
      </w:r>
      <w:r w:rsidR="00CD0099" w:rsidRPr="00FD50F6">
        <w:rPr>
          <w:rFonts w:hint="eastAsia"/>
        </w:rPr>
        <w:t>1</w:t>
      </w:r>
      <w:r w:rsidR="00CD0099" w:rsidRPr="00FD50F6">
        <w:t>3</w:t>
      </w:r>
      <w:r w:rsidRPr="00FD50F6">
        <w:rPr>
          <w:rFonts w:hint="eastAsia"/>
        </w:rPr>
        <w:t>章的规定。</w:t>
      </w:r>
    </w:p>
    <w:p w14:paraId="71D0AED5" w14:textId="15093E00" w:rsidR="00D3119D" w:rsidRPr="00FD50F6" w:rsidRDefault="00D3119D" w:rsidP="00A926BD">
      <w:pPr>
        <w:pStyle w:val="4"/>
      </w:pPr>
      <w:r w:rsidRPr="00FD50F6">
        <w:rPr>
          <w:rFonts w:hint="eastAsia"/>
        </w:rPr>
        <w:t>地下结构设计应满足现行国家标准《建筑设计防火规范》</w:t>
      </w:r>
      <w:r w:rsidRPr="00FD50F6">
        <w:rPr>
          <w:rFonts w:hint="eastAsia"/>
        </w:rPr>
        <w:t>GB 50016</w:t>
      </w:r>
      <w:r w:rsidRPr="00FD50F6">
        <w:rPr>
          <w:rFonts w:hint="eastAsia"/>
        </w:rPr>
        <w:t>的要求，地下结构中承重构件的耐火等级应为一级。</w:t>
      </w:r>
    </w:p>
    <w:p w14:paraId="6DD0081A" w14:textId="6C35D964" w:rsidR="00D3119D" w:rsidRPr="00FD50F6" w:rsidRDefault="00D3119D" w:rsidP="00A926BD">
      <w:pPr>
        <w:pStyle w:val="4"/>
      </w:pPr>
      <w:r w:rsidRPr="00FD50F6">
        <w:t>地下结构应根据现行行业标准《地铁杂散电流腐蚀防护技术</w:t>
      </w:r>
      <w:r w:rsidRPr="00FD50F6">
        <w:rPr>
          <w:rFonts w:hint="eastAsia"/>
        </w:rPr>
        <w:t>标准</w:t>
      </w:r>
      <w:r w:rsidRPr="00FD50F6">
        <w:t>》</w:t>
      </w:r>
      <w:r w:rsidRPr="00FD50F6">
        <w:t>CJJ/T 49</w:t>
      </w:r>
      <w:r w:rsidRPr="00FD50F6">
        <w:t>的规定采取防止杂散电流腐蚀的措施。钢结构及钢连接件应进行防锈处理。</w:t>
      </w:r>
    </w:p>
    <w:p w14:paraId="60D3CED8" w14:textId="77777777" w:rsidR="00D3119D" w:rsidRPr="00FD50F6" w:rsidRDefault="00D3119D" w:rsidP="00A65181">
      <w:pPr>
        <w:pStyle w:val="2"/>
      </w:pPr>
      <w:bookmarkStart w:id="447" w:name="_Toc344218754"/>
      <w:bookmarkStart w:id="448" w:name="_Toc112830718"/>
      <w:r w:rsidRPr="00FD50F6">
        <w:lastRenderedPageBreak/>
        <w:t>荷载</w:t>
      </w:r>
      <w:bookmarkEnd w:id="447"/>
      <w:bookmarkEnd w:id="448"/>
    </w:p>
    <w:p w14:paraId="38B328FC" w14:textId="203814B3" w:rsidR="00D3119D" w:rsidRPr="00FD50F6" w:rsidRDefault="00D3119D" w:rsidP="004142B4">
      <w:pPr>
        <w:pStyle w:val="30"/>
      </w:pPr>
      <w:r w:rsidRPr="00FD50F6">
        <w:t>作用在地下结构上的荷载可按表</w:t>
      </w:r>
      <w:r w:rsidR="00CD0099" w:rsidRPr="00FD50F6">
        <w:t>12</w:t>
      </w:r>
      <w:r w:rsidRPr="00FD50F6">
        <w:t>.2.1</w:t>
      </w:r>
      <w:r w:rsidRPr="00FD50F6">
        <w:t>进行分类。在确定荷载数值时，应根据现行国家标准《建筑结构荷载规范》</w:t>
      </w:r>
      <w:r w:rsidRPr="00FD50F6">
        <w:t>GB 50009</w:t>
      </w:r>
      <w:r w:rsidRPr="00FD50F6">
        <w:t>的规定，并根据施工阶段和使用年限内可能发生的变化进行荷载组合</w:t>
      </w:r>
      <w:r w:rsidRPr="00FD50F6">
        <w:rPr>
          <w:rFonts w:hint="eastAsia"/>
        </w:rPr>
        <w:t>，</w:t>
      </w:r>
      <w:r w:rsidRPr="00FD50F6">
        <w:t>不同组合工况下的荷载组合系数</w:t>
      </w:r>
      <w:r w:rsidRPr="00FD50F6">
        <w:rPr>
          <w:rFonts w:hint="eastAsia"/>
        </w:rPr>
        <w:t>、</w:t>
      </w:r>
      <w:r w:rsidRPr="00FD50F6">
        <w:t>荷载分项系数应针对结构特性</w:t>
      </w:r>
      <w:r w:rsidRPr="00FD50F6">
        <w:rPr>
          <w:rFonts w:hint="eastAsia"/>
        </w:rPr>
        <w:t>、作用效应，依据</w:t>
      </w:r>
      <w:r w:rsidRPr="00FD50F6">
        <w:t>现行国家标准</w:t>
      </w:r>
      <w:r w:rsidRPr="001A4CF3">
        <w:rPr>
          <w:rFonts w:hint="eastAsia"/>
        </w:rPr>
        <w:t>《建筑结构可靠性设计统一标准》</w:t>
      </w:r>
      <w:r w:rsidRPr="001A4CF3">
        <w:t>GB 50068</w:t>
      </w:r>
      <w:r w:rsidRPr="001A4CF3">
        <w:rPr>
          <w:rFonts w:hint="eastAsia"/>
        </w:rPr>
        <w:t>、</w:t>
      </w:r>
      <w:r w:rsidRPr="00FD50F6">
        <w:t>《建筑结构荷载规范》</w:t>
      </w:r>
      <w:r w:rsidRPr="00FD50F6">
        <w:t>GB 50009</w:t>
      </w:r>
      <w:r w:rsidRPr="00FD50F6">
        <w:t>取值。</w:t>
      </w:r>
    </w:p>
    <w:p w14:paraId="4C381055" w14:textId="50B75892" w:rsidR="00D3119D" w:rsidRPr="00FD50F6" w:rsidRDefault="00D3119D" w:rsidP="00D3119D">
      <w:pPr>
        <w:pStyle w:val="6"/>
      </w:pPr>
      <w:r w:rsidRPr="00FD50F6">
        <w:t>表</w:t>
      </w:r>
      <w:r w:rsidR="00CD0099" w:rsidRPr="00FD50F6">
        <w:t>12</w:t>
      </w:r>
      <w:r w:rsidRPr="00FD50F6">
        <w:t>.2.1</w:t>
      </w:r>
      <w:r w:rsidRPr="00FD50F6">
        <w:t>荷载分类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2066"/>
        <w:gridCol w:w="5016"/>
      </w:tblGrid>
      <w:tr w:rsidR="00FD50F6" w:rsidRPr="00FD50F6" w14:paraId="0650458F" w14:textId="77777777" w:rsidTr="000831EC">
        <w:trPr>
          <w:trHeight w:hRule="exact" w:val="340"/>
          <w:jc w:val="center"/>
        </w:trPr>
        <w:tc>
          <w:tcPr>
            <w:tcW w:w="3142" w:type="dxa"/>
            <w:gridSpan w:val="2"/>
            <w:vAlign w:val="center"/>
          </w:tcPr>
          <w:p w14:paraId="1DD75CFB" w14:textId="77777777" w:rsidR="00D3119D" w:rsidRPr="00FD50F6" w:rsidRDefault="00D3119D" w:rsidP="000831EC">
            <w:pPr>
              <w:pStyle w:val="7"/>
            </w:pPr>
            <w:r w:rsidRPr="00FD50F6">
              <w:t>荷载分类</w:t>
            </w:r>
          </w:p>
        </w:tc>
        <w:tc>
          <w:tcPr>
            <w:tcW w:w="5016" w:type="dxa"/>
            <w:vAlign w:val="center"/>
          </w:tcPr>
          <w:p w14:paraId="6A16C353" w14:textId="77777777" w:rsidR="00D3119D" w:rsidRPr="00FD50F6" w:rsidRDefault="00D3119D" w:rsidP="000831EC">
            <w:pPr>
              <w:pStyle w:val="7"/>
            </w:pPr>
            <w:r w:rsidRPr="00FD50F6">
              <w:t>荷载名称</w:t>
            </w:r>
          </w:p>
        </w:tc>
      </w:tr>
      <w:tr w:rsidR="00FD50F6" w:rsidRPr="00FD50F6" w14:paraId="72573382" w14:textId="77777777" w:rsidTr="000831EC">
        <w:trPr>
          <w:trHeight w:hRule="exact" w:val="340"/>
          <w:jc w:val="center"/>
        </w:trPr>
        <w:tc>
          <w:tcPr>
            <w:tcW w:w="3142" w:type="dxa"/>
            <w:gridSpan w:val="2"/>
            <w:vMerge w:val="restart"/>
            <w:vAlign w:val="center"/>
          </w:tcPr>
          <w:p w14:paraId="508942D5" w14:textId="77777777" w:rsidR="00D3119D" w:rsidRPr="00FD50F6" w:rsidRDefault="00D3119D" w:rsidP="000831EC">
            <w:pPr>
              <w:pStyle w:val="7"/>
            </w:pPr>
            <w:r w:rsidRPr="00FD50F6">
              <w:t>永久荷载</w:t>
            </w:r>
          </w:p>
        </w:tc>
        <w:tc>
          <w:tcPr>
            <w:tcW w:w="5016" w:type="dxa"/>
            <w:vAlign w:val="center"/>
          </w:tcPr>
          <w:p w14:paraId="3CD5D4F3" w14:textId="77777777" w:rsidR="00D3119D" w:rsidRPr="00FD50F6" w:rsidRDefault="00D3119D" w:rsidP="000831EC">
            <w:pPr>
              <w:pStyle w:val="7"/>
            </w:pPr>
            <w:r w:rsidRPr="00FD50F6">
              <w:t>结构自重</w:t>
            </w:r>
          </w:p>
        </w:tc>
      </w:tr>
      <w:tr w:rsidR="00FD50F6" w:rsidRPr="00FD50F6" w14:paraId="0FFBCC4D" w14:textId="77777777" w:rsidTr="000831EC">
        <w:trPr>
          <w:trHeight w:hRule="exact" w:val="340"/>
          <w:jc w:val="center"/>
        </w:trPr>
        <w:tc>
          <w:tcPr>
            <w:tcW w:w="3142" w:type="dxa"/>
            <w:gridSpan w:val="2"/>
            <w:vMerge/>
            <w:vAlign w:val="center"/>
          </w:tcPr>
          <w:p w14:paraId="165FFC23" w14:textId="77777777" w:rsidR="00D3119D" w:rsidRPr="00FD50F6" w:rsidRDefault="00D3119D" w:rsidP="000831EC">
            <w:pPr>
              <w:pStyle w:val="7"/>
            </w:pPr>
          </w:p>
        </w:tc>
        <w:tc>
          <w:tcPr>
            <w:tcW w:w="5016" w:type="dxa"/>
            <w:vAlign w:val="center"/>
          </w:tcPr>
          <w:p w14:paraId="7B589291" w14:textId="77777777" w:rsidR="00D3119D" w:rsidRPr="00FD50F6" w:rsidRDefault="00D3119D" w:rsidP="000831EC">
            <w:pPr>
              <w:pStyle w:val="7"/>
            </w:pPr>
            <w:r w:rsidRPr="00FD50F6">
              <w:t>地层压力</w:t>
            </w:r>
          </w:p>
        </w:tc>
      </w:tr>
      <w:tr w:rsidR="00FD50F6" w:rsidRPr="00FD50F6" w14:paraId="4C6AB3D9" w14:textId="77777777" w:rsidTr="000831EC">
        <w:trPr>
          <w:trHeight w:hRule="exact" w:val="340"/>
          <w:jc w:val="center"/>
        </w:trPr>
        <w:tc>
          <w:tcPr>
            <w:tcW w:w="3142" w:type="dxa"/>
            <w:gridSpan w:val="2"/>
            <w:vMerge/>
            <w:vAlign w:val="center"/>
          </w:tcPr>
          <w:p w14:paraId="49D950C2" w14:textId="77777777" w:rsidR="00D3119D" w:rsidRPr="00FD50F6" w:rsidRDefault="00D3119D" w:rsidP="000831EC">
            <w:pPr>
              <w:pStyle w:val="7"/>
            </w:pPr>
          </w:p>
        </w:tc>
        <w:tc>
          <w:tcPr>
            <w:tcW w:w="5016" w:type="dxa"/>
            <w:vAlign w:val="center"/>
          </w:tcPr>
          <w:p w14:paraId="30FBF174" w14:textId="77777777" w:rsidR="00D3119D" w:rsidRPr="00FD50F6" w:rsidRDefault="00D3119D" w:rsidP="000831EC">
            <w:pPr>
              <w:pStyle w:val="7"/>
            </w:pPr>
            <w:r w:rsidRPr="00FD50F6">
              <w:t>结构上部和破坏棱体范围内的设施及建筑物压力</w:t>
            </w:r>
          </w:p>
        </w:tc>
      </w:tr>
      <w:tr w:rsidR="00FD50F6" w:rsidRPr="00FD50F6" w14:paraId="0A17E753" w14:textId="77777777" w:rsidTr="000831EC">
        <w:trPr>
          <w:trHeight w:hRule="exact" w:val="340"/>
          <w:jc w:val="center"/>
        </w:trPr>
        <w:tc>
          <w:tcPr>
            <w:tcW w:w="3142" w:type="dxa"/>
            <w:gridSpan w:val="2"/>
            <w:vMerge/>
            <w:vAlign w:val="center"/>
          </w:tcPr>
          <w:p w14:paraId="34827B54" w14:textId="77777777" w:rsidR="00D3119D" w:rsidRPr="00FD50F6" w:rsidRDefault="00D3119D" w:rsidP="000831EC">
            <w:pPr>
              <w:pStyle w:val="7"/>
            </w:pPr>
          </w:p>
        </w:tc>
        <w:tc>
          <w:tcPr>
            <w:tcW w:w="5016" w:type="dxa"/>
            <w:vAlign w:val="center"/>
          </w:tcPr>
          <w:p w14:paraId="0CC203C9" w14:textId="77777777" w:rsidR="00D3119D" w:rsidRPr="00FD50F6" w:rsidRDefault="00D3119D" w:rsidP="000831EC">
            <w:pPr>
              <w:pStyle w:val="7"/>
            </w:pPr>
            <w:r w:rsidRPr="00FD50F6">
              <w:t>水压力及浮力</w:t>
            </w:r>
          </w:p>
        </w:tc>
      </w:tr>
      <w:tr w:rsidR="00FD50F6" w:rsidRPr="00FD50F6" w14:paraId="3F17ED33" w14:textId="77777777" w:rsidTr="000831EC">
        <w:trPr>
          <w:trHeight w:hRule="exact" w:val="340"/>
          <w:jc w:val="center"/>
        </w:trPr>
        <w:tc>
          <w:tcPr>
            <w:tcW w:w="3142" w:type="dxa"/>
            <w:gridSpan w:val="2"/>
            <w:vMerge/>
            <w:vAlign w:val="center"/>
          </w:tcPr>
          <w:p w14:paraId="5212228F" w14:textId="77777777" w:rsidR="00D3119D" w:rsidRPr="00FD50F6" w:rsidRDefault="00D3119D" w:rsidP="000831EC">
            <w:pPr>
              <w:pStyle w:val="7"/>
            </w:pPr>
          </w:p>
        </w:tc>
        <w:tc>
          <w:tcPr>
            <w:tcW w:w="5016" w:type="dxa"/>
            <w:vAlign w:val="center"/>
          </w:tcPr>
          <w:p w14:paraId="1CC4A5C3" w14:textId="77777777" w:rsidR="00D3119D" w:rsidRPr="00FD50F6" w:rsidRDefault="00D3119D" w:rsidP="000831EC">
            <w:pPr>
              <w:pStyle w:val="7"/>
            </w:pPr>
            <w:r w:rsidRPr="00FD50F6">
              <w:t>混凝土收缩及徐变影响</w:t>
            </w:r>
          </w:p>
        </w:tc>
      </w:tr>
      <w:tr w:rsidR="00FD50F6" w:rsidRPr="00FD50F6" w14:paraId="2781412C" w14:textId="77777777" w:rsidTr="000831EC">
        <w:trPr>
          <w:trHeight w:hRule="exact" w:val="340"/>
          <w:jc w:val="center"/>
        </w:trPr>
        <w:tc>
          <w:tcPr>
            <w:tcW w:w="3142" w:type="dxa"/>
            <w:gridSpan w:val="2"/>
            <w:vMerge/>
            <w:vAlign w:val="center"/>
          </w:tcPr>
          <w:p w14:paraId="13F3A2AF" w14:textId="77777777" w:rsidR="00D3119D" w:rsidRPr="00FD50F6" w:rsidRDefault="00D3119D" w:rsidP="000831EC">
            <w:pPr>
              <w:pStyle w:val="7"/>
            </w:pPr>
          </w:p>
        </w:tc>
        <w:tc>
          <w:tcPr>
            <w:tcW w:w="5016" w:type="dxa"/>
            <w:vAlign w:val="center"/>
          </w:tcPr>
          <w:p w14:paraId="04B4CF4C" w14:textId="77777777" w:rsidR="00D3119D" w:rsidRPr="00FD50F6" w:rsidRDefault="00D3119D" w:rsidP="000831EC">
            <w:pPr>
              <w:pStyle w:val="7"/>
            </w:pPr>
            <w:r w:rsidRPr="00FD50F6">
              <w:t>预加应力</w:t>
            </w:r>
          </w:p>
        </w:tc>
      </w:tr>
      <w:tr w:rsidR="00FD50F6" w:rsidRPr="00FD50F6" w14:paraId="2D3D95E7" w14:textId="77777777" w:rsidTr="000831EC">
        <w:trPr>
          <w:trHeight w:hRule="exact" w:val="340"/>
          <w:jc w:val="center"/>
        </w:trPr>
        <w:tc>
          <w:tcPr>
            <w:tcW w:w="3142" w:type="dxa"/>
            <w:gridSpan w:val="2"/>
            <w:vMerge/>
            <w:vAlign w:val="center"/>
          </w:tcPr>
          <w:p w14:paraId="24ADEF0E" w14:textId="77777777" w:rsidR="00D3119D" w:rsidRPr="00FD50F6" w:rsidRDefault="00D3119D" w:rsidP="000831EC">
            <w:pPr>
              <w:pStyle w:val="7"/>
            </w:pPr>
          </w:p>
        </w:tc>
        <w:tc>
          <w:tcPr>
            <w:tcW w:w="5016" w:type="dxa"/>
            <w:vAlign w:val="center"/>
          </w:tcPr>
          <w:p w14:paraId="3FB8BD29" w14:textId="77777777" w:rsidR="00D3119D" w:rsidRPr="00FD50F6" w:rsidRDefault="00D3119D" w:rsidP="000831EC">
            <w:pPr>
              <w:pStyle w:val="7"/>
            </w:pPr>
            <w:r w:rsidRPr="00FD50F6">
              <w:t>设备重量</w:t>
            </w:r>
          </w:p>
        </w:tc>
      </w:tr>
      <w:tr w:rsidR="00FD50F6" w:rsidRPr="00FD50F6" w14:paraId="626DD203" w14:textId="77777777" w:rsidTr="000831EC">
        <w:trPr>
          <w:trHeight w:hRule="exact" w:val="340"/>
          <w:jc w:val="center"/>
        </w:trPr>
        <w:tc>
          <w:tcPr>
            <w:tcW w:w="3142" w:type="dxa"/>
            <w:gridSpan w:val="2"/>
            <w:vMerge/>
            <w:vAlign w:val="center"/>
          </w:tcPr>
          <w:p w14:paraId="2EAC87C0" w14:textId="77777777" w:rsidR="00D3119D" w:rsidRPr="00FD50F6" w:rsidRDefault="00D3119D" w:rsidP="000831EC">
            <w:pPr>
              <w:pStyle w:val="7"/>
            </w:pPr>
          </w:p>
        </w:tc>
        <w:tc>
          <w:tcPr>
            <w:tcW w:w="5016" w:type="dxa"/>
            <w:vAlign w:val="center"/>
          </w:tcPr>
          <w:p w14:paraId="2BE09982" w14:textId="77777777" w:rsidR="00D3119D" w:rsidRPr="00FD50F6" w:rsidRDefault="00D3119D" w:rsidP="000831EC">
            <w:pPr>
              <w:pStyle w:val="7"/>
            </w:pPr>
            <w:r w:rsidRPr="00FD50F6">
              <w:t>地基下沉影响</w:t>
            </w:r>
          </w:p>
        </w:tc>
      </w:tr>
      <w:tr w:rsidR="00FD50F6" w:rsidRPr="00FD50F6" w14:paraId="482F3034" w14:textId="77777777" w:rsidTr="000831EC">
        <w:trPr>
          <w:trHeight w:hRule="exact" w:val="340"/>
          <w:jc w:val="center"/>
        </w:trPr>
        <w:tc>
          <w:tcPr>
            <w:tcW w:w="1076" w:type="dxa"/>
            <w:vMerge w:val="restart"/>
            <w:vAlign w:val="center"/>
          </w:tcPr>
          <w:p w14:paraId="2A1EA95D" w14:textId="77777777" w:rsidR="00D3119D" w:rsidRPr="00FD50F6" w:rsidRDefault="00D3119D" w:rsidP="000831EC">
            <w:pPr>
              <w:pStyle w:val="7"/>
            </w:pPr>
            <w:r w:rsidRPr="00FD50F6">
              <w:t>可变荷载</w:t>
            </w:r>
          </w:p>
        </w:tc>
        <w:tc>
          <w:tcPr>
            <w:tcW w:w="2066" w:type="dxa"/>
            <w:vMerge w:val="restart"/>
            <w:vAlign w:val="center"/>
          </w:tcPr>
          <w:p w14:paraId="75541A51" w14:textId="77777777" w:rsidR="00D3119D" w:rsidRPr="00FD50F6" w:rsidRDefault="00D3119D" w:rsidP="000831EC">
            <w:pPr>
              <w:pStyle w:val="7"/>
            </w:pPr>
            <w:r w:rsidRPr="00FD50F6">
              <w:t>基本可变荷载</w:t>
            </w:r>
          </w:p>
        </w:tc>
        <w:tc>
          <w:tcPr>
            <w:tcW w:w="5016" w:type="dxa"/>
            <w:vAlign w:val="center"/>
          </w:tcPr>
          <w:p w14:paraId="368284D8" w14:textId="77777777" w:rsidR="00D3119D" w:rsidRPr="00FD50F6" w:rsidRDefault="00D3119D" w:rsidP="000831EC">
            <w:pPr>
              <w:pStyle w:val="7"/>
            </w:pPr>
            <w:r w:rsidRPr="00FD50F6">
              <w:t>地面车辆荷载及其动力作用</w:t>
            </w:r>
          </w:p>
        </w:tc>
      </w:tr>
      <w:tr w:rsidR="00FD50F6" w:rsidRPr="00FD50F6" w14:paraId="7BB70361" w14:textId="77777777" w:rsidTr="000831EC">
        <w:trPr>
          <w:trHeight w:hRule="exact" w:val="340"/>
          <w:jc w:val="center"/>
        </w:trPr>
        <w:tc>
          <w:tcPr>
            <w:tcW w:w="1076" w:type="dxa"/>
            <w:vMerge/>
            <w:vAlign w:val="center"/>
          </w:tcPr>
          <w:p w14:paraId="55591DA5" w14:textId="77777777" w:rsidR="00D3119D" w:rsidRPr="00FD50F6" w:rsidRDefault="00D3119D" w:rsidP="000831EC">
            <w:pPr>
              <w:pStyle w:val="7"/>
            </w:pPr>
          </w:p>
        </w:tc>
        <w:tc>
          <w:tcPr>
            <w:tcW w:w="2066" w:type="dxa"/>
            <w:vMerge/>
            <w:vAlign w:val="center"/>
          </w:tcPr>
          <w:p w14:paraId="56D32C37" w14:textId="77777777" w:rsidR="00D3119D" w:rsidRPr="00FD50F6" w:rsidRDefault="00D3119D" w:rsidP="000831EC">
            <w:pPr>
              <w:pStyle w:val="7"/>
            </w:pPr>
          </w:p>
        </w:tc>
        <w:tc>
          <w:tcPr>
            <w:tcW w:w="5016" w:type="dxa"/>
            <w:vAlign w:val="center"/>
          </w:tcPr>
          <w:p w14:paraId="7E541BAF" w14:textId="77777777" w:rsidR="00D3119D" w:rsidRPr="00FD50F6" w:rsidRDefault="00D3119D" w:rsidP="000831EC">
            <w:pPr>
              <w:pStyle w:val="7"/>
            </w:pPr>
            <w:r w:rsidRPr="00FD50F6">
              <w:t>地面车辆荷载引起的侧向土压力</w:t>
            </w:r>
          </w:p>
        </w:tc>
      </w:tr>
      <w:tr w:rsidR="00FD50F6" w:rsidRPr="00FD50F6" w14:paraId="7E00B1AF" w14:textId="77777777" w:rsidTr="000831EC">
        <w:trPr>
          <w:trHeight w:hRule="exact" w:val="340"/>
          <w:jc w:val="center"/>
        </w:trPr>
        <w:tc>
          <w:tcPr>
            <w:tcW w:w="1076" w:type="dxa"/>
            <w:vMerge/>
            <w:vAlign w:val="center"/>
          </w:tcPr>
          <w:p w14:paraId="3709955A" w14:textId="77777777" w:rsidR="00D3119D" w:rsidRPr="00FD50F6" w:rsidRDefault="00D3119D" w:rsidP="000831EC">
            <w:pPr>
              <w:pStyle w:val="7"/>
            </w:pPr>
          </w:p>
        </w:tc>
        <w:tc>
          <w:tcPr>
            <w:tcW w:w="2066" w:type="dxa"/>
            <w:vMerge/>
            <w:vAlign w:val="center"/>
          </w:tcPr>
          <w:p w14:paraId="05B373F1" w14:textId="77777777" w:rsidR="00D3119D" w:rsidRPr="00FD50F6" w:rsidRDefault="00D3119D" w:rsidP="000831EC">
            <w:pPr>
              <w:pStyle w:val="7"/>
            </w:pPr>
          </w:p>
        </w:tc>
        <w:tc>
          <w:tcPr>
            <w:tcW w:w="5016" w:type="dxa"/>
            <w:vAlign w:val="center"/>
          </w:tcPr>
          <w:p w14:paraId="50739AA6" w14:textId="77777777" w:rsidR="00D3119D" w:rsidRPr="00FD50F6" w:rsidRDefault="00D3119D" w:rsidP="000831EC">
            <w:pPr>
              <w:pStyle w:val="7"/>
            </w:pPr>
            <w:r w:rsidRPr="00FD50F6">
              <w:t>地铁车辆荷载及其动力作用</w:t>
            </w:r>
          </w:p>
        </w:tc>
      </w:tr>
      <w:tr w:rsidR="00FD50F6" w:rsidRPr="00FD50F6" w14:paraId="3DC4DD15" w14:textId="77777777" w:rsidTr="000831EC">
        <w:trPr>
          <w:trHeight w:hRule="exact" w:val="340"/>
          <w:jc w:val="center"/>
        </w:trPr>
        <w:tc>
          <w:tcPr>
            <w:tcW w:w="1076" w:type="dxa"/>
            <w:vMerge/>
            <w:vAlign w:val="center"/>
          </w:tcPr>
          <w:p w14:paraId="7BAD8F8A" w14:textId="77777777" w:rsidR="00D3119D" w:rsidRPr="00FD50F6" w:rsidRDefault="00D3119D" w:rsidP="000831EC">
            <w:pPr>
              <w:pStyle w:val="7"/>
            </w:pPr>
          </w:p>
        </w:tc>
        <w:tc>
          <w:tcPr>
            <w:tcW w:w="2066" w:type="dxa"/>
            <w:vMerge/>
            <w:vAlign w:val="center"/>
          </w:tcPr>
          <w:p w14:paraId="4C68A2D5" w14:textId="77777777" w:rsidR="00D3119D" w:rsidRPr="00FD50F6" w:rsidRDefault="00D3119D" w:rsidP="000831EC">
            <w:pPr>
              <w:pStyle w:val="7"/>
            </w:pPr>
          </w:p>
        </w:tc>
        <w:tc>
          <w:tcPr>
            <w:tcW w:w="5016" w:type="dxa"/>
            <w:vAlign w:val="center"/>
          </w:tcPr>
          <w:p w14:paraId="653BAF67" w14:textId="77777777" w:rsidR="00D3119D" w:rsidRPr="00FD50F6" w:rsidRDefault="00D3119D" w:rsidP="000831EC">
            <w:pPr>
              <w:pStyle w:val="7"/>
            </w:pPr>
            <w:r w:rsidRPr="00FD50F6">
              <w:rPr>
                <w:rFonts w:hint="eastAsia"/>
              </w:rPr>
              <w:t>特种消防车荷载</w:t>
            </w:r>
          </w:p>
        </w:tc>
      </w:tr>
      <w:tr w:rsidR="00FD50F6" w:rsidRPr="00FD50F6" w14:paraId="64D3EFA3" w14:textId="77777777" w:rsidTr="000831EC">
        <w:trPr>
          <w:trHeight w:hRule="exact" w:val="340"/>
          <w:jc w:val="center"/>
        </w:trPr>
        <w:tc>
          <w:tcPr>
            <w:tcW w:w="1076" w:type="dxa"/>
            <w:vMerge/>
            <w:vAlign w:val="center"/>
          </w:tcPr>
          <w:p w14:paraId="4462403A" w14:textId="77777777" w:rsidR="00D3119D" w:rsidRPr="00FD50F6" w:rsidRDefault="00D3119D" w:rsidP="000831EC">
            <w:pPr>
              <w:pStyle w:val="7"/>
            </w:pPr>
          </w:p>
        </w:tc>
        <w:tc>
          <w:tcPr>
            <w:tcW w:w="2066" w:type="dxa"/>
            <w:vMerge/>
            <w:vAlign w:val="center"/>
          </w:tcPr>
          <w:p w14:paraId="0846C37F" w14:textId="77777777" w:rsidR="00D3119D" w:rsidRPr="00FD50F6" w:rsidRDefault="00D3119D" w:rsidP="000831EC">
            <w:pPr>
              <w:pStyle w:val="7"/>
            </w:pPr>
          </w:p>
        </w:tc>
        <w:tc>
          <w:tcPr>
            <w:tcW w:w="5016" w:type="dxa"/>
            <w:vAlign w:val="center"/>
          </w:tcPr>
          <w:p w14:paraId="1DC68B1F" w14:textId="77777777" w:rsidR="00D3119D" w:rsidRPr="00FD50F6" w:rsidRDefault="00D3119D" w:rsidP="000831EC">
            <w:pPr>
              <w:pStyle w:val="7"/>
            </w:pPr>
            <w:r w:rsidRPr="00FD50F6">
              <w:t>人群荷载</w:t>
            </w:r>
          </w:p>
        </w:tc>
      </w:tr>
      <w:tr w:rsidR="00FD50F6" w:rsidRPr="00FD50F6" w14:paraId="7DA0D9C8" w14:textId="77777777" w:rsidTr="000831EC">
        <w:trPr>
          <w:trHeight w:hRule="exact" w:val="340"/>
          <w:jc w:val="center"/>
        </w:trPr>
        <w:tc>
          <w:tcPr>
            <w:tcW w:w="1076" w:type="dxa"/>
            <w:vMerge/>
            <w:vAlign w:val="center"/>
          </w:tcPr>
          <w:p w14:paraId="319D3614" w14:textId="77777777" w:rsidR="00D3119D" w:rsidRPr="00FD50F6" w:rsidRDefault="00D3119D" w:rsidP="000831EC">
            <w:pPr>
              <w:pStyle w:val="7"/>
            </w:pPr>
          </w:p>
        </w:tc>
        <w:tc>
          <w:tcPr>
            <w:tcW w:w="2066" w:type="dxa"/>
            <w:vMerge w:val="restart"/>
            <w:vAlign w:val="center"/>
          </w:tcPr>
          <w:p w14:paraId="77306C63" w14:textId="77777777" w:rsidR="00D3119D" w:rsidRPr="00FD50F6" w:rsidRDefault="00D3119D" w:rsidP="000831EC">
            <w:pPr>
              <w:pStyle w:val="7"/>
            </w:pPr>
            <w:r w:rsidRPr="00FD50F6">
              <w:t>其他可变荷载</w:t>
            </w:r>
          </w:p>
        </w:tc>
        <w:tc>
          <w:tcPr>
            <w:tcW w:w="5016" w:type="dxa"/>
            <w:vAlign w:val="center"/>
          </w:tcPr>
          <w:p w14:paraId="17BB0AFA" w14:textId="77777777" w:rsidR="00D3119D" w:rsidRPr="00FD50F6" w:rsidRDefault="00D3119D" w:rsidP="000831EC">
            <w:pPr>
              <w:pStyle w:val="7"/>
            </w:pPr>
            <w:r w:rsidRPr="00FD50F6">
              <w:t>温度变化影响</w:t>
            </w:r>
          </w:p>
        </w:tc>
      </w:tr>
      <w:tr w:rsidR="00FD50F6" w:rsidRPr="00FD50F6" w14:paraId="37F1EEF2" w14:textId="77777777" w:rsidTr="000831EC">
        <w:trPr>
          <w:trHeight w:hRule="exact" w:val="340"/>
          <w:jc w:val="center"/>
        </w:trPr>
        <w:tc>
          <w:tcPr>
            <w:tcW w:w="1076" w:type="dxa"/>
            <w:vMerge/>
            <w:vAlign w:val="center"/>
          </w:tcPr>
          <w:p w14:paraId="1ECFBA01" w14:textId="77777777" w:rsidR="00D3119D" w:rsidRPr="00FD50F6" w:rsidRDefault="00D3119D" w:rsidP="000831EC">
            <w:pPr>
              <w:pStyle w:val="7"/>
            </w:pPr>
          </w:p>
        </w:tc>
        <w:tc>
          <w:tcPr>
            <w:tcW w:w="2066" w:type="dxa"/>
            <w:vMerge/>
            <w:vAlign w:val="center"/>
          </w:tcPr>
          <w:p w14:paraId="221F8504" w14:textId="77777777" w:rsidR="00D3119D" w:rsidRPr="00FD50F6" w:rsidRDefault="00D3119D" w:rsidP="000831EC">
            <w:pPr>
              <w:pStyle w:val="7"/>
            </w:pPr>
          </w:p>
        </w:tc>
        <w:tc>
          <w:tcPr>
            <w:tcW w:w="5016" w:type="dxa"/>
            <w:vAlign w:val="center"/>
          </w:tcPr>
          <w:p w14:paraId="2E3EBD53" w14:textId="77777777" w:rsidR="00D3119D" w:rsidRPr="00FD50F6" w:rsidRDefault="00D3119D" w:rsidP="000831EC">
            <w:pPr>
              <w:pStyle w:val="7"/>
            </w:pPr>
            <w:r w:rsidRPr="00FD50F6">
              <w:t>施工荷载</w:t>
            </w:r>
          </w:p>
        </w:tc>
      </w:tr>
      <w:tr w:rsidR="00FD50F6" w:rsidRPr="00FD50F6" w14:paraId="70FE7F9C" w14:textId="77777777" w:rsidTr="000831EC">
        <w:trPr>
          <w:trHeight w:hRule="exact" w:val="340"/>
          <w:jc w:val="center"/>
        </w:trPr>
        <w:tc>
          <w:tcPr>
            <w:tcW w:w="3142" w:type="dxa"/>
            <w:gridSpan w:val="2"/>
            <w:vMerge w:val="restart"/>
            <w:vAlign w:val="center"/>
          </w:tcPr>
          <w:p w14:paraId="576892EE" w14:textId="77777777" w:rsidR="00D3119D" w:rsidRPr="00FD50F6" w:rsidRDefault="00D3119D" w:rsidP="000831EC">
            <w:pPr>
              <w:pStyle w:val="7"/>
            </w:pPr>
            <w:r w:rsidRPr="00FD50F6">
              <w:t>偶然荷载</w:t>
            </w:r>
          </w:p>
        </w:tc>
        <w:tc>
          <w:tcPr>
            <w:tcW w:w="5016" w:type="dxa"/>
            <w:vAlign w:val="center"/>
          </w:tcPr>
          <w:p w14:paraId="61D98635" w14:textId="77777777" w:rsidR="00D3119D" w:rsidRPr="00FD50F6" w:rsidRDefault="00D3119D" w:rsidP="000831EC">
            <w:pPr>
              <w:pStyle w:val="7"/>
            </w:pPr>
            <w:r w:rsidRPr="00FD50F6">
              <w:t>地震作用</w:t>
            </w:r>
          </w:p>
        </w:tc>
      </w:tr>
      <w:tr w:rsidR="00FD50F6" w:rsidRPr="00FD50F6" w14:paraId="677A7AA7" w14:textId="77777777" w:rsidTr="000831EC">
        <w:trPr>
          <w:trHeight w:hRule="exact" w:val="340"/>
          <w:jc w:val="center"/>
        </w:trPr>
        <w:tc>
          <w:tcPr>
            <w:tcW w:w="3142" w:type="dxa"/>
            <w:gridSpan w:val="2"/>
            <w:vMerge/>
            <w:vAlign w:val="center"/>
          </w:tcPr>
          <w:p w14:paraId="6E727423" w14:textId="77777777" w:rsidR="00D3119D" w:rsidRPr="00FD50F6" w:rsidRDefault="00D3119D" w:rsidP="000831EC">
            <w:pPr>
              <w:pStyle w:val="7"/>
            </w:pPr>
          </w:p>
        </w:tc>
        <w:tc>
          <w:tcPr>
            <w:tcW w:w="5016" w:type="dxa"/>
            <w:vAlign w:val="center"/>
          </w:tcPr>
          <w:p w14:paraId="37DE5548" w14:textId="77777777" w:rsidR="00D3119D" w:rsidRPr="00FD50F6" w:rsidRDefault="00D3119D" w:rsidP="000831EC">
            <w:pPr>
              <w:pStyle w:val="7"/>
            </w:pPr>
            <w:r w:rsidRPr="00FD50F6">
              <w:t>沉船、抛锚或河道疏浚产生的撞击力等灾害性荷载</w:t>
            </w:r>
          </w:p>
        </w:tc>
      </w:tr>
      <w:tr w:rsidR="00FD50F6" w:rsidRPr="00FD50F6" w14:paraId="5E82D099" w14:textId="77777777" w:rsidTr="000831EC">
        <w:trPr>
          <w:trHeight w:hRule="exact" w:val="340"/>
          <w:jc w:val="center"/>
        </w:trPr>
        <w:tc>
          <w:tcPr>
            <w:tcW w:w="3142" w:type="dxa"/>
            <w:gridSpan w:val="2"/>
            <w:vMerge/>
          </w:tcPr>
          <w:p w14:paraId="60C04E27" w14:textId="77777777" w:rsidR="00D3119D" w:rsidRPr="00FD50F6" w:rsidRDefault="00D3119D" w:rsidP="000831EC">
            <w:pPr>
              <w:pStyle w:val="7"/>
            </w:pPr>
          </w:p>
        </w:tc>
        <w:tc>
          <w:tcPr>
            <w:tcW w:w="5016" w:type="dxa"/>
            <w:vAlign w:val="center"/>
          </w:tcPr>
          <w:p w14:paraId="4C83272D" w14:textId="77777777" w:rsidR="00D3119D" w:rsidRPr="00FD50F6" w:rsidRDefault="00D3119D" w:rsidP="000831EC">
            <w:pPr>
              <w:pStyle w:val="7"/>
            </w:pPr>
            <w:r w:rsidRPr="00FD50F6">
              <w:t>人防荷载</w:t>
            </w:r>
          </w:p>
        </w:tc>
      </w:tr>
    </w:tbl>
    <w:p w14:paraId="5DE2B0B2" w14:textId="2949B27A" w:rsidR="00D3119D" w:rsidRPr="00FD50F6" w:rsidRDefault="00D3119D" w:rsidP="00D3119D">
      <w:pPr>
        <w:pStyle w:val="7"/>
        <w:jc w:val="left"/>
      </w:pPr>
      <w:r w:rsidRPr="00FD50F6">
        <w:t>注：</w:t>
      </w:r>
      <w:r w:rsidRPr="00FD50F6">
        <w:t>1</w:t>
      </w:r>
      <w:r w:rsidR="00071866">
        <w:rPr>
          <w:rFonts w:hint="eastAsia"/>
        </w:rPr>
        <w:t xml:space="preserve"> </w:t>
      </w:r>
      <w:r w:rsidRPr="00FD50F6">
        <w:t>设计中要求计入的其他荷载，可根据其性质分别列入上述三类荷载中；</w:t>
      </w:r>
    </w:p>
    <w:p w14:paraId="5CA17394" w14:textId="0B50BA8E" w:rsidR="00D3119D" w:rsidRPr="00FD50F6" w:rsidRDefault="00D3119D" w:rsidP="00D3119D">
      <w:pPr>
        <w:pStyle w:val="7"/>
        <w:ind w:firstLineChars="200" w:firstLine="420"/>
        <w:jc w:val="left"/>
      </w:pPr>
      <w:r w:rsidRPr="00FD50F6">
        <w:t>2</w:t>
      </w:r>
      <w:r w:rsidR="00071866">
        <w:rPr>
          <w:rFonts w:hint="eastAsia"/>
        </w:rPr>
        <w:t xml:space="preserve"> </w:t>
      </w:r>
      <w:r w:rsidRPr="00FD50F6">
        <w:t>本表中所列荷载未加说明时，可按国家现行有关标准或根据实际情况确定</w:t>
      </w:r>
      <w:r w:rsidRPr="00FD50F6">
        <w:rPr>
          <w:rFonts w:hint="eastAsia"/>
        </w:rPr>
        <w:t>；</w:t>
      </w:r>
    </w:p>
    <w:p w14:paraId="38DBE994" w14:textId="331190F6" w:rsidR="00D3119D" w:rsidRPr="001A4CF3" w:rsidRDefault="00D3119D" w:rsidP="001A4CF3">
      <w:pPr>
        <w:pStyle w:val="9"/>
        <w:ind w:firstLine="420"/>
        <w:rPr>
          <w:rFonts w:eastAsia="宋体" w:cstheme="minorBidi"/>
          <w:bCs/>
          <w:sz w:val="21"/>
          <w:szCs w:val="24"/>
        </w:rPr>
      </w:pPr>
      <w:r w:rsidRPr="001A4CF3">
        <w:rPr>
          <w:rFonts w:eastAsia="宋体" w:cstheme="minorBidi"/>
          <w:bCs/>
          <w:sz w:val="21"/>
          <w:szCs w:val="24"/>
        </w:rPr>
        <w:t>3</w:t>
      </w:r>
      <w:r w:rsidR="00071866">
        <w:rPr>
          <w:rFonts w:eastAsia="宋体" w:cstheme="minorBidi" w:hint="eastAsia"/>
          <w:bCs/>
          <w:sz w:val="21"/>
          <w:szCs w:val="24"/>
        </w:rPr>
        <w:t xml:space="preserve"> </w:t>
      </w:r>
      <w:r w:rsidRPr="001A4CF3">
        <w:rPr>
          <w:rFonts w:eastAsia="宋体" w:cstheme="minorBidi" w:hint="eastAsia"/>
          <w:bCs/>
          <w:sz w:val="21"/>
          <w:szCs w:val="24"/>
        </w:rPr>
        <w:t>特种消防车荷载取值应根据当地消防要求确定。</w:t>
      </w:r>
    </w:p>
    <w:p w14:paraId="679CB36C" w14:textId="04AA1884" w:rsidR="00D3119D" w:rsidRPr="00FD50F6" w:rsidRDefault="00D3119D" w:rsidP="00D3119D">
      <w:pPr>
        <w:pStyle w:val="30"/>
      </w:pPr>
      <w:r w:rsidRPr="00FD50F6">
        <w:t>地层压力应根据结构所处工程地质和水文地质条件、埋置深度、结构型式及其工作条件、施工方法及相邻隧道</w:t>
      </w:r>
      <w:r w:rsidRPr="00FD50F6">
        <w:rPr>
          <w:rFonts w:hint="eastAsia"/>
        </w:rPr>
        <w:t>地下结构</w:t>
      </w:r>
      <w:r w:rsidRPr="00FD50F6">
        <w:t>间距等因素，结合已有的试验、测试和研究资料确定。土质</w:t>
      </w:r>
      <w:r w:rsidRPr="00FD50F6">
        <w:rPr>
          <w:rFonts w:hint="eastAsia"/>
        </w:rPr>
        <w:t>地层和岩质地层的地层压力</w:t>
      </w:r>
      <w:r w:rsidRPr="00FD50F6">
        <w:t>应</w:t>
      </w:r>
      <w:r w:rsidRPr="00FD50F6">
        <w:rPr>
          <w:rFonts w:hint="eastAsia"/>
        </w:rPr>
        <w:t>符合下列规定</w:t>
      </w:r>
      <w:r w:rsidRPr="00FD50F6">
        <w:t>：</w:t>
      </w:r>
    </w:p>
    <w:p w14:paraId="019C1C37" w14:textId="77777777" w:rsidR="00D3119D" w:rsidRPr="00FD50F6" w:rsidRDefault="00D3119D" w:rsidP="00A926BD">
      <w:pPr>
        <w:pStyle w:val="4"/>
      </w:pPr>
      <w:r w:rsidRPr="00FD50F6">
        <w:rPr>
          <w:rFonts w:hint="eastAsia"/>
        </w:rPr>
        <w:t>土质地层</w:t>
      </w:r>
      <w:r w:rsidRPr="00FD50F6">
        <w:t>竖向压力应按下列规定计算：</w:t>
      </w:r>
    </w:p>
    <w:p w14:paraId="5CF3259F" w14:textId="77777777" w:rsidR="00D3119D" w:rsidRPr="00FD50F6" w:rsidRDefault="00D3119D" w:rsidP="00D3119D">
      <w:pPr>
        <w:pStyle w:val="5"/>
        <w:ind w:firstLine="480"/>
      </w:pPr>
      <w:r w:rsidRPr="00FD50F6">
        <w:rPr>
          <w:rFonts w:hint="eastAsia"/>
        </w:rPr>
        <w:t>采用明挖顺作法、盖挖逆作法和沉管法施工的地下结构，以及采用矿山法、盾构法和顶管法施工的浅埋地下结构，宜按计算截面以上全部土柱重量</w:t>
      </w:r>
      <w:r w:rsidRPr="00FD50F6">
        <w:rPr>
          <w:rFonts w:hint="eastAsia"/>
        </w:rPr>
        <w:lastRenderedPageBreak/>
        <w:t>计算；</w:t>
      </w:r>
    </w:p>
    <w:p w14:paraId="76F73514" w14:textId="368ADC24" w:rsidR="00D3119D" w:rsidRPr="00FD50F6" w:rsidRDefault="00D3119D" w:rsidP="00D3119D">
      <w:pPr>
        <w:pStyle w:val="5"/>
        <w:ind w:firstLine="480"/>
      </w:pPr>
      <w:r w:rsidRPr="00FD50F6">
        <w:rPr>
          <w:rFonts w:hint="eastAsia"/>
        </w:rPr>
        <w:t>采用矿山法、盾构法和顶管法施工的深埋地下结构宜按土体卸载拱作用考虑土柱重量计算。</w:t>
      </w:r>
    </w:p>
    <w:p w14:paraId="04BC304A" w14:textId="77777777" w:rsidR="00D3119D" w:rsidRPr="00FD50F6" w:rsidRDefault="00D3119D" w:rsidP="00A926BD">
      <w:pPr>
        <w:pStyle w:val="4"/>
      </w:pPr>
      <w:r w:rsidRPr="00FD50F6">
        <w:rPr>
          <w:rFonts w:hint="eastAsia"/>
        </w:rPr>
        <w:t>土质地层</w:t>
      </w:r>
      <w:r w:rsidRPr="00FD50F6">
        <w:t>水平压力应按下列规定计算：</w:t>
      </w:r>
    </w:p>
    <w:p w14:paraId="42952946" w14:textId="21045038" w:rsidR="00D3119D" w:rsidRPr="00FD50F6" w:rsidRDefault="00D3119D" w:rsidP="00D3119D">
      <w:pPr>
        <w:pStyle w:val="5"/>
        <w:ind w:firstLine="480"/>
      </w:pPr>
      <w:r w:rsidRPr="00FD50F6">
        <w:rPr>
          <w:rFonts w:hint="eastAsia"/>
        </w:rPr>
        <w:t>施工阶段的明挖顺作法基坑支护、矿山法初期支护，作用在主动区的土压力宜按朗金土压力计算</w:t>
      </w:r>
      <w:r w:rsidRPr="00FD50F6">
        <w:t>，</w:t>
      </w:r>
      <w:r w:rsidRPr="00FD50F6">
        <w:rPr>
          <w:rFonts w:hint="eastAsia"/>
        </w:rPr>
        <w:t>在支护结构的非脱离区或给支护结构施加预应力时，应计及土体抗力的作用；</w:t>
      </w:r>
    </w:p>
    <w:p w14:paraId="6F5D4A94" w14:textId="77777777" w:rsidR="00D3119D" w:rsidRPr="00FD50F6" w:rsidRDefault="00D3119D" w:rsidP="00D3119D">
      <w:pPr>
        <w:pStyle w:val="5"/>
        <w:ind w:firstLine="480"/>
      </w:pPr>
      <w:r w:rsidRPr="00FD50F6">
        <w:rPr>
          <w:rFonts w:hint="eastAsia"/>
        </w:rPr>
        <w:t>施工阶段的盖挖逆作法、分部开挖法、洞桩（柱）暗挖逆作法、一次扣拱浅埋暗挖法，结构承受的水平土压力宜按静止土压力计算；</w:t>
      </w:r>
    </w:p>
    <w:p w14:paraId="6902FC09" w14:textId="77777777" w:rsidR="00D3119D" w:rsidRPr="00FD50F6" w:rsidRDefault="00D3119D" w:rsidP="00D3119D">
      <w:pPr>
        <w:pStyle w:val="5"/>
        <w:ind w:firstLine="480"/>
      </w:pPr>
      <w:r w:rsidRPr="00FD50F6">
        <w:rPr>
          <w:rFonts w:hint="eastAsia"/>
        </w:rPr>
        <w:t>使用阶段地下结构的水平土压力宜按静止土压力计算；</w:t>
      </w:r>
    </w:p>
    <w:p w14:paraId="328BD13E" w14:textId="60562214" w:rsidR="00D3119D" w:rsidRPr="00FD50F6" w:rsidRDefault="00D3119D" w:rsidP="00D3119D">
      <w:pPr>
        <w:pStyle w:val="5"/>
        <w:ind w:firstLine="480"/>
      </w:pPr>
      <w:r w:rsidRPr="00FD50F6">
        <w:rPr>
          <w:rFonts w:hint="eastAsia"/>
        </w:rPr>
        <w:t>主体结构应根据外侧土压力的变化以及与基坑支护或初期支护结构的共同作用而分担的土压力，分别按最大、最小侧压力两种情况，与其他荷载进行不利包络组合；</w:t>
      </w:r>
    </w:p>
    <w:p w14:paraId="38E7078C" w14:textId="77777777" w:rsidR="00D3119D" w:rsidRPr="00FD50F6" w:rsidRDefault="00D3119D" w:rsidP="00D3119D">
      <w:pPr>
        <w:pStyle w:val="5"/>
        <w:ind w:firstLine="480"/>
      </w:pPr>
      <w:r w:rsidRPr="00FD50F6">
        <w:rPr>
          <w:rFonts w:hint="eastAsia"/>
        </w:rPr>
        <w:t>荷载计算中应计及地面荷载和破坏棱体范围的建筑物以及施工机械等引起的附加水平侧压力。</w:t>
      </w:r>
    </w:p>
    <w:p w14:paraId="12195F67" w14:textId="6483D04E" w:rsidR="00D3119D" w:rsidRPr="00FD50F6" w:rsidRDefault="00D3119D" w:rsidP="00A926BD">
      <w:pPr>
        <w:pStyle w:val="4"/>
      </w:pPr>
      <w:r w:rsidRPr="00FD50F6">
        <w:rPr>
          <w:rFonts w:hint="eastAsia"/>
        </w:rPr>
        <w:t>岩质基坑侧向岩石压力的计算可按</w:t>
      </w:r>
      <w:r w:rsidRPr="00FD50F6">
        <w:t>现行</w:t>
      </w:r>
      <w:r w:rsidRPr="00FD50F6">
        <w:rPr>
          <w:rFonts w:hint="eastAsia"/>
        </w:rPr>
        <w:t>国家</w:t>
      </w:r>
      <w:r w:rsidRPr="00FD50F6">
        <w:t>标准《</w:t>
      </w:r>
      <w:r w:rsidRPr="00FD50F6">
        <w:rPr>
          <w:rFonts w:hint="eastAsia"/>
        </w:rPr>
        <w:t>建筑边坡工程技术规范</w:t>
      </w:r>
      <w:r w:rsidRPr="00FD50F6">
        <w:t>》</w:t>
      </w:r>
      <w:r w:rsidRPr="00FD50F6">
        <w:t>GB 50330</w:t>
      </w:r>
      <w:r w:rsidRPr="00FD50F6">
        <w:t>的规定</w:t>
      </w:r>
      <w:r w:rsidRPr="00FD50F6">
        <w:rPr>
          <w:rFonts w:hint="eastAsia"/>
        </w:rPr>
        <w:t>执行。</w:t>
      </w:r>
    </w:p>
    <w:p w14:paraId="726DA837" w14:textId="04DB32C3" w:rsidR="00D3119D" w:rsidRPr="00FD50F6" w:rsidRDefault="00D3119D" w:rsidP="00A926BD">
      <w:pPr>
        <w:pStyle w:val="4"/>
      </w:pPr>
      <w:r w:rsidRPr="00FD50F6">
        <w:t>岩质暗挖隧道的围岩压力可根据围岩分级按现行行业标准《铁路隧道设计规范》</w:t>
      </w:r>
      <w:r w:rsidRPr="00FD50F6">
        <w:t>TB 10003</w:t>
      </w:r>
      <w:r w:rsidRPr="00FD50F6">
        <w:t>的规定确定</w:t>
      </w:r>
      <w:r w:rsidRPr="00FD50F6">
        <w:rPr>
          <w:rFonts w:hint="eastAsia"/>
        </w:rPr>
        <w:t>。</w:t>
      </w:r>
    </w:p>
    <w:p w14:paraId="73DB2FDA" w14:textId="77777777" w:rsidR="00D3119D" w:rsidRPr="00FD50F6" w:rsidRDefault="00D3119D" w:rsidP="00A926BD">
      <w:pPr>
        <w:pStyle w:val="4"/>
        <w:rPr>
          <w:lang w:val="x-none"/>
        </w:rPr>
      </w:pPr>
      <w:r w:rsidRPr="00FD50F6">
        <w:rPr>
          <w:rFonts w:hint="eastAsia"/>
        </w:rPr>
        <w:t>全风化岩质地层可按土质地层进行土压力计算。</w:t>
      </w:r>
    </w:p>
    <w:p w14:paraId="3AC7B15C" w14:textId="77777777" w:rsidR="00D3119D" w:rsidRPr="00FD50F6" w:rsidRDefault="00D3119D" w:rsidP="00D3119D">
      <w:pPr>
        <w:pStyle w:val="30"/>
      </w:pPr>
      <w:r w:rsidRPr="00FD50F6">
        <w:t>作用在地下结构上的水压力，应根据施工阶段和长期使用过程中地下水位的变化，以及不同的围岩条件，分别按下列规定计算：</w:t>
      </w:r>
    </w:p>
    <w:p w14:paraId="19EBF74F" w14:textId="77777777" w:rsidR="00D3119D" w:rsidRPr="00FD50F6" w:rsidRDefault="00D3119D" w:rsidP="00A926BD">
      <w:pPr>
        <w:pStyle w:val="4"/>
      </w:pPr>
      <w:r w:rsidRPr="00FD50F6">
        <w:t>水压力可按静水压力计算，并应根据设防水位以及施工阶段和使用阶段可能发生的地下水</w:t>
      </w:r>
      <w:r w:rsidRPr="00FD50F6">
        <w:rPr>
          <w:rFonts w:hint="eastAsia"/>
        </w:rPr>
        <w:t>位最不利情况</w:t>
      </w:r>
      <w:r w:rsidRPr="00FD50F6">
        <w:t>，计算水压力对结构的作用</w:t>
      </w:r>
      <w:r w:rsidRPr="00FD50F6">
        <w:rPr>
          <w:rFonts w:hint="eastAsia"/>
        </w:rPr>
        <w:t>；</w:t>
      </w:r>
    </w:p>
    <w:p w14:paraId="0C7B3FDC" w14:textId="77777777" w:rsidR="00D3119D" w:rsidRPr="00FD50F6" w:rsidRDefault="00D3119D" w:rsidP="00A926BD">
      <w:pPr>
        <w:pStyle w:val="4"/>
      </w:pPr>
      <w:r w:rsidRPr="00FD50F6">
        <w:t>砂性土地层的侧向水、土压力应采用水土分算</w:t>
      </w:r>
      <w:r w:rsidRPr="00FD50F6">
        <w:rPr>
          <w:rFonts w:hint="eastAsia"/>
        </w:rPr>
        <w:t>；</w:t>
      </w:r>
    </w:p>
    <w:p w14:paraId="6F4D8A33" w14:textId="77777777" w:rsidR="00D3119D" w:rsidRPr="00FD50F6" w:rsidRDefault="00D3119D" w:rsidP="00A926BD">
      <w:pPr>
        <w:pStyle w:val="4"/>
      </w:pPr>
      <w:r w:rsidRPr="00FD50F6">
        <w:t>粘性土地层的侧向水、土压力，在施工阶段应采用水土合算，使用阶段宜采用水土分算</w:t>
      </w:r>
      <w:r w:rsidRPr="00FD50F6">
        <w:rPr>
          <w:rFonts w:hint="eastAsia"/>
        </w:rPr>
        <w:t>；</w:t>
      </w:r>
    </w:p>
    <w:p w14:paraId="0CBBB7F9" w14:textId="6837224D" w:rsidR="00D3119D" w:rsidRPr="00FD50F6" w:rsidRDefault="00D3119D" w:rsidP="00A926BD">
      <w:pPr>
        <w:pStyle w:val="4"/>
      </w:pPr>
      <w:r w:rsidRPr="00FD50F6">
        <w:rPr>
          <w:rFonts w:hint="eastAsia"/>
        </w:rPr>
        <w:t>岩</w:t>
      </w:r>
      <w:r w:rsidRPr="00FD50F6">
        <w:t>质</w:t>
      </w:r>
      <w:r w:rsidRPr="00FD50F6">
        <w:rPr>
          <w:rFonts w:hint="eastAsia"/>
        </w:rPr>
        <w:t>地层的水压力，可按</w:t>
      </w:r>
      <w:r w:rsidRPr="00FD50F6">
        <w:t>现行行业标准《铁路隧道设计规范》</w:t>
      </w:r>
      <w:r w:rsidRPr="00FD50F6">
        <w:t>TB 10003</w:t>
      </w:r>
      <w:r w:rsidRPr="00FD50F6">
        <w:t>的规定确定</w:t>
      </w:r>
      <w:r w:rsidRPr="00FD50F6">
        <w:rPr>
          <w:rFonts w:hint="eastAsia"/>
        </w:rPr>
        <w:t>。</w:t>
      </w:r>
    </w:p>
    <w:p w14:paraId="188D7F3C" w14:textId="262BDE68" w:rsidR="00D3119D" w:rsidRPr="00FD50F6" w:rsidRDefault="00D3119D" w:rsidP="00D3119D">
      <w:pPr>
        <w:pStyle w:val="30"/>
      </w:pPr>
      <w:r w:rsidRPr="00FD50F6">
        <w:t>直接承受地铁车辆荷载的楼板等构件应按地铁车辆的实际轴重和排列</w:t>
      </w:r>
      <w:r w:rsidRPr="00FD50F6">
        <w:rPr>
          <w:rFonts w:hint="eastAsia"/>
        </w:rPr>
        <w:t>，</w:t>
      </w:r>
      <w:r w:rsidRPr="00FD50F6">
        <w:lastRenderedPageBreak/>
        <w:t>计算其产生的竖向荷载作用，并应计入车辆的动力作用，同时尚应按线路通过的重型设备运输车辆的荷载进行验算。</w:t>
      </w:r>
    </w:p>
    <w:p w14:paraId="0756E7FC" w14:textId="77777777" w:rsidR="00D3119D" w:rsidRPr="00FD50F6" w:rsidRDefault="00D3119D" w:rsidP="00D3119D">
      <w:pPr>
        <w:pStyle w:val="30"/>
      </w:pPr>
      <w:r w:rsidRPr="00FD50F6">
        <w:t>车站站台、楼板和楼梯等部位的人群均布荷载的标准值应采用</w:t>
      </w:r>
      <w:r w:rsidRPr="00FD50F6">
        <w:t>4.0kPa</w:t>
      </w:r>
      <w:r w:rsidRPr="00FD50F6">
        <w:t>，并应计及</w:t>
      </w:r>
      <w:r w:rsidRPr="00FD50F6">
        <w:rPr>
          <w:rFonts w:hint="eastAsia"/>
        </w:rPr>
        <w:t>特种</w:t>
      </w:r>
      <w:r w:rsidRPr="00FD50F6">
        <w:t>消防</w:t>
      </w:r>
      <w:r w:rsidRPr="00FD50F6">
        <w:rPr>
          <w:rFonts w:hint="eastAsia"/>
        </w:rPr>
        <w:t>车</w:t>
      </w:r>
      <w:r w:rsidRPr="00FD50F6">
        <w:t>荷载的作用。</w:t>
      </w:r>
    </w:p>
    <w:p w14:paraId="2C0E5117" w14:textId="77777777" w:rsidR="00D3119D" w:rsidRPr="00FD50F6" w:rsidRDefault="00D3119D" w:rsidP="00D3119D">
      <w:pPr>
        <w:pStyle w:val="30"/>
      </w:pPr>
      <w:r w:rsidRPr="00FD50F6">
        <w:t>设备区的计算荷载应根据设备安装、检修和正常使用的实际情况（包括动力效应）确定，可按标准值</w:t>
      </w:r>
      <w:r w:rsidRPr="00FD50F6">
        <w:t>8.0kPa</w:t>
      </w:r>
      <w:r w:rsidRPr="00FD50F6">
        <w:t>进行设计，重型设备尚应依据设备的实际重量、动力影响、安装运输途径等确定其荷载大小与范围。</w:t>
      </w:r>
    </w:p>
    <w:p w14:paraId="3C49AF14" w14:textId="77777777" w:rsidR="00D3119D" w:rsidRPr="00FD50F6" w:rsidRDefault="00D3119D" w:rsidP="00D3119D">
      <w:pPr>
        <w:pStyle w:val="30"/>
      </w:pPr>
      <w:r w:rsidRPr="00FD50F6">
        <w:t>地下结构应按下列施工荷载之一或可能发生的组合设计：</w:t>
      </w:r>
    </w:p>
    <w:p w14:paraId="71CE764B" w14:textId="77777777" w:rsidR="00D3119D" w:rsidRPr="00FD50F6" w:rsidRDefault="00D3119D" w:rsidP="00A926BD">
      <w:pPr>
        <w:pStyle w:val="4"/>
      </w:pPr>
      <w:r w:rsidRPr="00FD50F6">
        <w:t>设备运输及吊装荷载；</w:t>
      </w:r>
    </w:p>
    <w:p w14:paraId="189D07E5" w14:textId="77777777" w:rsidR="00D3119D" w:rsidRPr="00FD50F6" w:rsidRDefault="00D3119D" w:rsidP="00A926BD">
      <w:pPr>
        <w:pStyle w:val="4"/>
      </w:pPr>
      <w:r w:rsidRPr="00FD50F6">
        <w:t>施工机具荷载，不宜超过</w:t>
      </w:r>
      <w:r w:rsidRPr="00FD50F6">
        <w:t>10kPa</w:t>
      </w:r>
      <w:r w:rsidRPr="00FD50F6">
        <w:t>；</w:t>
      </w:r>
    </w:p>
    <w:p w14:paraId="5B449E5A" w14:textId="77777777" w:rsidR="00D3119D" w:rsidRPr="00FD50F6" w:rsidRDefault="00D3119D" w:rsidP="00A926BD">
      <w:pPr>
        <w:pStyle w:val="4"/>
      </w:pPr>
      <w:r w:rsidRPr="00FD50F6">
        <w:rPr>
          <w:rFonts w:hint="eastAsia"/>
        </w:rPr>
        <w:t>地面超载，宜采用</w:t>
      </w:r>
      <w:r w:rsidRPr="00FD50F6">
        <w:t>20kPa</w:t>
      </w:r>
      <w:r w:rsidRPr="00FD50F6">
        <w:rPr>
          <w:rFonts w:hint="eastAsia"/>
        </w:rPr>
        <w:t>，盾构工作井周边地面超载应在盾构施工期间根据盾构机重量、分块吊装方式、起重机布置等因素确定，且不应小于</w:t>
      </w:r>
      <w:r w:rsidRPr="00FD50F6">
        <w:t>30kPa</w:t>
      </w:r>
      <w:r w:rsidRPr="00FD50F6">
        <w:rPr>
          <w:rFonts w:hint="eastAsia"/>
        </w:rPr>
        <w:t>；</w:t>
      </w:r>
    </w:p>
    <w:p w14:paraId="727BCB71" w14:textId="77777777" w:rsidR="00D3119D" w:rsidRPr="00FD50F6" w:rsidRDefault="00D3119D" w:rsidP="00A926BD">
      <w:pPr>
        <w:pStyle w:val="4"/>
      </w:pPr>
      <w:r w:rsidRPr="00FD50F6">
        <w:t>邻近隧道开挖的影响；</w:t>
      </w:r>
    </w:p>
    <w:p w14:paraId="1238ABB5" w14:textId="77777777" w:rsidR="00D3119D" w:rsidRPr="00FD50F6" w:rsidRDefault="00D3119D" w:rsidP="00A926BD">
      <w:pPr>
        <w:pStyle w:val="4"/>
      </w:pPr>
      <w:r w:rsidRPr="00FD50F6">
        <w:t>盾构法施工时千斤顶的推力；</w:t>
      </w:r>
    </w:p>
    <w:p w14:paraId="232009C2" w14:textId="77777777" w:rsidR="00D3119D" w:rsidRPr="00FD50F6" w:rsidRDefault="00D3119D" w:rsidP="00A926BD">
      <w:pPr>
        <w:pStyle w:val="4"/>
      </w:pPr>
      <w:r w:rsidRPr="00FD50F6">
        <w:t>注浆所引起的附加荷载；</w:t>
      </w:r>
    </w:p>
    <w:p w14:paraId="1F232A80" w14:textId="77777777" w:rsidR="00D3119D" w:rsidRPr="00FD50F6" w:rsidRDefault="00D3119D" w:rsidP="00A926BD">
      <w:pPr>
        <w:pStyle w:val="4"/>
      </w:pPr>
      <w:r w:rsidRPr="00FD50F6">
        <w:t>盾构机及其配套设备的重量；</w:t>
      </w:r>
    </w:p>
    <w:p w14:paraId="23222DDE" w14:textId="77777777" w:rsidR="00D3119D" w:rsidRPr="00FD50F6" w:rsidRDefault="00D3119D" w:rsidP="00A926BD">
      <w:pPr>
        <w:pStyle w:val="4"/>
      </w:pPr>
      <w:r w:rsidRPr="00FD50F6">
        <w:t>沉管拖运、沉放和水力压接等荷载</w:t>
      </w:r>
      <w:r w:rsidRPr="00FD50F6">
        <w:rPr>
          <w:rFonts w:hint="eastAsia"/>
        </w:rPr>
        <w:t>；</w:t>
      </w:r>
    </w:p>
    <w:p w14:paraId="71466E6B" w14:textId="77777777" w:rsidR="00D3119D" w:rsidRPr="00FD50F6" w:rsidRDefault="00D3119D" w:rsidP="00A926BD">
      <w:pPr>
        <w:pStyle w:val="4"/>
      </w:pPr>
      <w:r w:rsidRPr="00FD50F6">
        <w:rPr>
          <w:rFonts w:hint="eastAsia"/>
        </w:rPr>
        <w:t>顶管法施工时的顶推力。</w:t>
      </w:r>
    </w:p>
    <w:p w14:paraId="3606F7BB" w14:textId="48B6EB06" w:rsidR="00D3119D" w:rsidRPr="00FD50F6" w:rsidRDefault="00D3119D" w:rsidP="00D3119D">
      <w:pPr>
        <w:pStyle w:val="30"/>
      </w:pPr>
      <w:r w:rsidRPr="00FD50F6">
        <w:rPr>
          <w:rFonts w:hint="eastAsia"/>
        </w:rPr>
        <w:t>道路下方的结构应按现行行业标准《公路桥涵设计通用规范》</w:t>
      </w:r>
      <w:r w:rsidRPr="00FD50F6">
        <w:t>JTG D60</w:t>
      </w:r>
      <w:r w:rsidRPr="00FD50F6">
        <w:rPr>
          <w:rFonts w:hint="eastAsia"/>
        </w:rPr>
        <w:t>的规定确定地面车辆荷载及排列；</w:t>
      </w:r>
      <w:r w:rsidRPr="00FD50F6">
        <w:t>铁路下方</w:t>
      </w:r>
      <w:r w:rsidRPr="00FD50F6">
        <w:rPr>
          <w:rFonts w:hint="eastAsia"/>
        </w:rPr>
        <w:t>结构</w:t>
      </w:r>
      <w:r w:rsidRPr="00FD50F6">
        <w:t>的荷载应按现行行业标准《</w:t>
      </w:r>
      <w:r w:rsidRPr="00FD50F6">
        <w:rPr>
          <w:rFonts w:hint="eastAsia"/>
        </w:rPr>
        <w:t>铁路桥涵设计规范</w:t>
      </w:r>
      <w:r w:rsidRPr="00FD50F6">
        <w:t>》</w:t>
      </w:r>
      <w:r w:rsidRPr="00FD50F6">
        <w:t>TB 10002</w:t>
      </w:r>
      <w:r w:rsidRPr="00FD50F6">
        <w:t>的规定执行。</w:t>
      </w:r>
    </w:p>
    <w:p w14:paraId="445A9A53" w14:textId="77777777" w:rsidR="00D3119D" w:rsidRPr="00FD50F6" w:rsidRDefault="00D3119D" w:rsidP="00D3119D">
      <w:pPr>
        <w:pStyle w:val="30"/>
      </w:pPr>
      <w:r w:rsidRPr="00FD50F6">
        <w:t>混凝土收缩可按降低温度模拟</w:t>
      </w:r>
      <w:r w:rsidRPr="00FD50F6">
        <w:rPr>
          <w:rFonts w:hint="eastAsia"/>
        </w:rPr>
        <w:t>。</w:t>
      </w:r>
    </w:p>
    <w:p w14:paraId="62DF3060" w14:textId="3EBCC505" w:rsidR="00D3119D" w:rsidRPr="00FD50F6" w:rsidRDefault="00D3119D" w:rsidP="00D3119D">
      <w:pPr>
        <w:pStyle w:val="30"/>
      </w:pPr>
      <w:r w:rsidRPr="00FD50F6">
        <w:t>结构温度变化影响应根据所处地区的气温条件、运营环境及施工条件确定。</w:t>
      </w:r>
    </w:p>
    <w:p w14:paraId="274FC4FE" w14:textId="77777777" w:rsidR="00D3119D" w:rsidRPr="00FD50F6" w:rsidRDefault="00D3119D" w:rsidP="00A65181">
      <w:pPr>
        <w:pStyle w:val="2"/>
      </w:pPr>
      <w:bookmarkStart w:id="449" w:name="_Toc344218757"/>
      <w:bookmarkStart w:id="450" w:name="_Toc112830719"/>
      <w:r w:rsidRPr="00FD50F6">
        <w:rPr>
          <w:rFonts w:hint="eastAsia"/>
        </w:rPr>
        <w:t>明挖顺作法结构设计</w:t>
      </w:r>
      <w:bookmarkEnd w:id="449"/>
      <w:bookmarkEnd w:id="450"/>
    </w:p>
    <w:p w14:paraId="3A451040" w14:textId="77777777" w:rsidR="00D3119D" w:rsidRPr="00FD50F6" w:rsidRDefault="00D3119D" w:rsidP="00D3119D">
      <w:pPr>
        <w:pStyle w:val="30"/>
        <w:rPr>
          <w:lang w:val="zh-CN"/>
        </w:rPr>
      </w:pPr>
      <w:r w:rsidRPr="00FD50F6">
        <w:rPr>
          <w:lang w:val="zh-CN"/>
        </w:rPr>
        <w:t>基坑工程设计应符合下列规定：</w:t>
      </w:r>
    </w:p>
    <w:p w14:paraId="068D4823" w14:textId="0C9CD5EA" w:rsidR="00D3119D" w:rsidRPr="00FD50F6" w:rsidRDefault="00D3119D" w:rsidP="00A926BD">
      <w:pPr>
        <w:pStyle w:val="4"/>
      </w:pPr>
      <w:r w:rsidRPr="00FD50F6">
        <w:rPr>
          <w:lang w:val="zh-CN"/>
        </w:rPr>
        <w:t>基坑工程设计</w:t>
      </w:r>
      <w:r w:rsidRPr="00FD50F6">
        <w:t>应根据工程特点</w:t>
      </w:r>
      <w:r w:rsidRPr="00FD50F6">
        <w:rPr>
          <w:rFonts w:hint="eastAsia"/>
        </w:rPr>
        <w:t>、工程地质和水文地质条件、周边环境条件、</w:t>
      </w:r>
      <w:r w:rsidRPr="00FD50F6">
        <w:t>工程环境保护要求等</w:t>
      </w:r>
      <w:r w:rsidRPr="00FD50F6">
        <w:rPr>
          <w:rFonts w:hint="eastAsia"/>
        </w:rPr>
        <w:t>因素</w:t>
      </w:r>
      <w:r w:rsidRPr="00FD50F6">
        <w:t>确定基坑</w:t>
      </w:r>
      <w:r w:rsidRPr="00FD50F6">
        <w:rPr>
          <w:rFonts w:hint="eastAsia"/>
        </w:rPr>
        <w:t>工程</w:t>
      </w:r>
      <w:r w:rsidRPr="00FD50F6">
        <w:t>的安全等级</w:t>
      </w:r>
      <w:r w:rsidRPr="00FD50F6">
        <w:rPr>
          <w:rFonts w:hint="eastAsia"/>
        </w:rPr>
        <w:t>、</w:t>
      </w:r>
      <w:r w:rsidRPr="00FD50F6">
        <w:t>地面允许最大沉降量</w:t>
      </w:r>
      <w:r w:rsidRPr="00FD50F6">
        <w:rPr>
          <w:rFonts w:hint="eastAsia"/>
        </w:rPr>
        <w:t>及基</w:t>
      </w:r>
      <w:r w:rsidRPr="00FD50F6">
        <w:rPr>
          <w:rFonts w:hint="eastAsia"/>
        </w:rPr>
        <w:lastRenderedPageBreak/>
        <w:t>坑支护结构</w:t>
      </w:r>
      <w:r w:rsidRPr="00FD50F6">
        <w:t>的水平位移等控制</w:t>
      </w:r>
      <w:r w:rsidRPr="00FD50F6">
        <w:rPr>
          <w:rFonts w:hint="eastAsia"/>
        </w:rPr>
        <w:t>标准，对同一基坑的不同部位，可采用不同的基坑安全控制标准。</w:t>
      </w:r>
    </w:p>
    <w:p w14:paraId="751514DE" w14:textId="31329545" w:rsidR="00D3119D" w:rsidRPr="00FD50F6" w:rsidRDefault="00D3119D" w:rsidP="00A926BD">
      <w:pPr>
        <w:pStyle w:val="4"/>
      </w:pPr>
      <w:r w:rsidRPr="00FD50F6">
        <w:t>应根据</w:t>
      </w:r>
      <w:r w:rsidRPr="00FD50F6">
        <w:rPr>
          <w:rFonts w:hint="eastAsia"/>
        </w:rPr>
        <w:t>基坑周边环境、工程</w:t>
      </w:r>
      <w:r w:rsidRPr="00FD50F6">
        <w:t>地质及水文地质条件、</w:t>
      </w:r>
      <w:r w:rsidRPr="00FD50F6">
        <w:rPr>
          <w:rFonts w:hint="eastAsia"/>
        </w:rPr>
        <w:t>施工场地情况、</w:t>
      </w:r>
      <w:r w:rsidRPr="00FD50F6">
        <w:t>基坑深度、沉降和变形控制要求</w:t>
      </w:r>
      <w:r w:rsidRPr="00FD50F6">
        <w:rPr>
          <w:rFonts w:hint="eastAsia"/>
        </w:rPr>
        <w:t>等因素，</w:t>
      </w:r>
      <w:r w:rsidRPr="00FD50F6">
        <w:t>通过技术经济比较</w:t>
      </w:r>
      <w:r w:rsidRPr="00FD50F6">
        <w:rPr>
          <w:rFonts w:hint="eastAsia"/>
        </w:rPr>
        <w:t>后</w:t>
      </w:r>
      <w:r w:rsidRPr="00FD50F6">
        <w:t>选择</w:t>
      </w:r>
      <w:r w:rsidRPr="00FD50F6">
        <w:rPr>
          <w:rFonts w:hint="eastAsia"/>
        </w:rPr>
        <w:t>基坑</w:t>
      </w:r>
      <w:r w:rsidRPr="00FD50F6">
        <w:t>支护结构型式</w:t>
      </w:r>
      <w:r w:rsidRPr="00FD50F6">
        <w:rPr>
          <w:rFonts w:hint="eastAsia"/>
        </w:rPr>
        <w:t>。</w:t>
      </w:r>
    </w:p>
    <w:p w14:paraId="44CE84A8" w14:textId="7C955606" w:rsidR="00D3119D" w:rsidRPr="00FD50F6" w:rsidRDefault="00D3119D" w:rsidP="00A926BD">
      <w:pPr>
        <w:pStyle w:val="4"/>
      </w:pPr>
      <w:r w:rsidRPr="00FD50F6">
        <w:t>应根据各类支护结构的作用特点进行整体滑动</w:t>
      </w:r>
      <w:r w:rsidRPr="00FD50F6">
        <w:rPr>
          <w:rFonts w:hint="eastAsia"/>
        </w:rPr>
        <w:t>、</w:t>
      </w:r>
      <w:r w:rsidRPr="00FD50F6">
        <w:t>滑移</w:t>
      </w:r>
      <w:r w:rsidRPr="00FD50F6">
        <w:rPr>
          <w:rFonts w:hint="eastAsia"/>
        </w:rPr>
        <w:t>、</w:t>
      </w:r>
      <w:r w:rsidRPr="00FD50F6">
        <w:t>抗倾覆</w:t>
      </w:r>
      <w:r w:rsidRPr="00FD50F6">
        <w:rPr>
          <w:rFonts w:hint="eastAsia"/>
        </w:rPr>
        <w:t>（嵌固）、墙底圆弧滑动、坑底</w:t>
      </w:r>
      <w:r w:rsidRPr="00FD50F6">
        <w:t>抗隆起</w:t>
      </w:r>
      <w:r w:rsidRPr="00FD50F6">
        <w:rPr>
          <w:rFonts w:hint="eastAsia"/>
        </w:rPr>
        <w:t>、</w:t>
      </w:r>
      <w:r w:rsidRPr="00FD50F6">
        <w:t>抗管涌或渗流</w:t>
      </w:r>
      <w:r w:rsidRPr="00FD50F6">
        <w:rPr>
          <w:rFonts w:hint="eastAsia"/>
        </w:rPr>
        <w:t>、</w:t>
      </w:r>
      <w:r w:rsidRPr="00FD50F6">
        <w:t>抗承压水突涌等稳定性检算</w:t>
      </w:r>
      <w:r w:rsidRPr="00FD50F6">
        <w:rPr>
          <w:rFonts w:hint="eastAsia"/>
        </w:rPr>
        <w:t>；</w:t>
      </w:r>
      <w:r w:rsidRPr="00FD50F6">
        <w:t>稳定性安全系数的取值应根据环境保护要求按地区经验确定。各类基坑支护工程应根据表</w:t>
      </w:r>
      <w:r w:rsidR="00CD0099" w:rsidRPr="00FD50F6">
        <w:t>12</w:t>
      </w:r>
      <w:r w:rsidRPr="00FD50F6">
        <w:t>.</w:t>
      </w:r>
      <w:r w:rsidRPr="00FD50F6">
        <w:rPr>
          <w:rFonts w:hint="eastAsia"/>
        </w:rPr>
        <w:t>3</w:t>
      </w:r>
      <w:r w:rsidRPr="00FD50F6">
        <w:t>.</w:t>
      </w:r>
      <w:r w:rsidRPr="00FD50F6">
        <w:rPr>
          <w:rFonts w:hint="eastAsia"/>
        </w:rPr>
        <w:t>1</w:t>
      </w:r>
      <w:r w:rsidRPr="00FD50F6">
        <w:t>的规定</w:t>
      </w:r>
      <w:r w:rsidRPr="00FD50F6">
        <w:rPr>
          <w:rFonts w:hint="eastAsia"/>
        </w:rPr>
        <w:t>内容</w:t>
      </w:r>
      <w:r w:rsidRPr="00FD50F6">
        <w:t>进行</w:t>
      </w:r>
      <w:r w:rsidRPr="00FD50F6">
        <w:rPr>
          <w:rFonts w:hint="eastAsia"/>
        </w:rPr>
        <w:t>基坑稳定性</w:t>
      </w:r>
      <w:r w:rsidRPr="00FD50F6">
        <w:t>检算</w:t>
      </w:r>
      <w:r w:rsidRPr="00FD50F6">
        <w:rPr>
          <w:rFonts w:hint="eastAsia"/>
        </w:rPr>
        <w:t>。</w:t>
      </w:r>
    </w:p>
    <w:p w14:paraId="41C3EC2F" w14:textId="08121BD8" w:rsidR="00D3119D" w:rsidRPr="00FD50F6" w:rsidRDefault="00D3119D" w:rsidP="00D3119D">
      <w:pPr>
        <w:pStyle w:val="6"/>
      </w:pPr>
      <w:r w:rsidRPr="00FD50F6">
        <w:t>表</w:t>
      </w:r>
      <w:r w:rsidR="00CD0099" w:rsidRPr="00FD50F6">
        <w:t>12</w:t>
      </w:r>
      <w:r w:rsidRPr="00FD50F6">
        <w:t>.3.1</w:t>
      </w:r>
      <w:r w:rsidRPr="00FD50F6">
        <w:t>基坑工程稳定性检算内容</w:t>
      </w:r>
    </w:p>
    <w:tbl>
      <w:tblPr>
        <w:tblW w:w="8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797"/>
        <w:gridCol w:w="797"/>
        <w:gridCol w:w="1036"/>
        <w:gridCol w:w="799"/>
        <w:gridCol w:w="800"/>
        <w:gridCol w:w="799"/>
        <w:gridCol w:w="800"/>
      </w:tblGrid>
      <w:tr w:rsidR="00FD50F6" w:rsidRPr="00FD50F6" w14:paraId="40C7B507" w14:textId="77777777" w:rsidTr="000831EC">
        <w:trPr>
          <w:jc w:val="center"/>
        </w:trPr>
        <w:tc>
          <w:tcPr>
            <w:tcW w:w="2346" w:type="dxa"/>
            <w:vAlign w:val="center"/>
          </w:tcPr>
          <w:p w14:paraId="1448A809" w14:textId="77777777" w:rsidR="00D3119D" w:rsidRPr="00FD50F6" w:rsidRDefault="00D3119D" w:rsidP="000831EC">
            <w:pPr>
              <w:pStyle w:val="7"/>
            </w:pPr>
            <w:r w:rsidRPr="00FD50F6">
              <w:t>支护结构类型</w:t>
            </w:r>
          </w:p>
        </w:tc>
        <w:tc>
          <w:tcPr>
            <w:tcW w:w="797" w:type="dxa"/>
            <w:vAlign w:val="center"/>
          </w:tcPr>
          <w:p w14:paraId="42631665" w14:textId="77777777" w:rsidR="00D3119D" w:rsidRPr="00FD50F6" w:rsidRDefault="00D3119D" w:rsidP="000831EC">
            <w:pPr>
              <w:pStyle w:val="7"/>
            </w:pPr>
            <w:r w:rsidRPr="00FD50F6">
              <w:t>整体</w:t>
            </w:r>
          </w:p>
          <w:p w14:paraId="6E5EF236" w14:textId="77777777" w:rsidR="00D3119D" w:rsidRPr="00FD50F6" w:rsidRDefault="00D3119D" w:rsidP="000831EC">
            <w:pPr>
              <w:pStyle w:val="7"/>
            </w:pPr>
            <w:r w:rsidRPr="00FD50F6">
              <w:rPr>
                <w:rFonts w:hint="eastAsia"/>
              </w:rPr>
              <w:t>滑动</w:t>
            </w:r>
          </w:p>
        </w:tc>
        <w:tc>
          <w:tcPr>
            <w:tcW w:w="797" w:type="dxa"/>
            <w:vAlign w:val="center"/>
          </w:tcPr>
          <w:p w14:paraId="4B7EF36F" w14:textId="77777777" w:rsidR="00D3119D" w:rsidRPr="00FD50F6" w:rsidRDefault="00D3119D" w:rsidP="000831EC">
            <w:pPr>
              <w:pStyle w:val="7"/>
            </w:pPr>
            <w:r w:rsidRPr="00FD50F6">
              <w:t>滑移</w:t>
            </w:r>
          </w:p>
        </w:tc>
        <w:tc>
          <w:tcPr>
            <w:tcW w:w="1036" w:type="dxa"/>
            <w:vAlign w:val="center"/>
          </w:tcPr>
          <w:p w14:paraId="604DBFDD" w14:textId="77777777" w:rsidR="00D3119D" w:rsidRPr="00FD50F6" w:rsidRDefault="00D3119D" w:rsidP="000831EC">
            <w:pPr>
              <w:pStyle w:val="7"/>
            </w:pPr>
            <w:r w:rsidRPr="00FD50F6">
              <w:t>抗倾覆</w:t>
            </w:r>
          </w:p>
          <w:p w14:paraId="21C6799F" w14:textId="77777777" w:rsidR="00D3119D" w:rsidRPr="00FD50F6" w:rsidRDefault="00D3119D" w:rsidP="000831EC">
            <w:pPr>
              <w:pStyle w:val="7"/>
            </w:pPr>
            <w:r w:rsidRPr="00FD50F6">
              <w:rPr>
                <w:rFonts w:hint="eastAsia"/>
              </w:rPr>
              <w:t>（嵌固）</w:t>
            </w:r>
          </w:p>
        </w:tc>
        <w:tc>
          <w:tcPr>
            <w:tcW w:w="799" w:type="dxa"/>
            <w:vAlign w:val="center"/>
          </w:tcPr>
          <w:p w14:paraId="563497A9" w14:textId="77777777" w:rsidR="00D3119D" w:rsidRPr="00FD50F6" w:rsidRDefault="00D3119D" w:rsidP="000831EC">
            <w:pPr>
              <w:pStyle w:val="7"/>
            </w:pPr>
            <w:r w:rsidRPr="00FD50F6">
              <w:rPr>
                <w:rFonts w:hint="eastAsia"/>
              </w:rPr>
              <w:t>墙底</w:t>
            </w:r>
          </w:p>
          <w:p w14:paraId="3AAB1280" w14:textId="77777777" w:rsidR="00D3119D" w:rsidRPr="00FD50F6" w:rsidRDefault="00D3119D" w:rsidP="000831EC">
            <w:pPr>
              <w:pStyle w:val="7"/>
            </w:pPr>
            <w:r w:rsidRPr="00FD50F6">
              <w:rPr>
                <w:rFonts w:hint="eastAsia"/>
              </w:rPr>
              <w:t>圆弧</w:t>
            </w:r>
          </w:p>
          <w:p w14:paraId="4FF185C0" w14:textId="77777777" w:rsidR="00D3119D" w:rsidRPr="00FD50F6" w:rsidRDefault="00D3119D" w:rsidP="000831EC">
            <w:pPr>
              <w:pStyle w:val="7"/>
            </w:pPr>
            <w:r w:rsidRPr="00FD50F6">
              <w:rPr>
                <w:rFonts w:hint="eastAsia"/>
              </w:rPr>
              <w:t>滑动</w:t>
            </w:r>
          </w:p>
        </w:tc>
        <w:tc>
          <w:tcPr>
            <w:tcW w:w="800" w:type="dxa"/>
            <w:vAlign w:val="center"/>
          </w:tcPr>
          <w:p w14:paraId="7FA4FB00" w14:textId="77777777" w:rsidR="00D3119D" w:rsidRPr="00FD50F6" w:rsidRDefault="00D3119D" w:rsidP="000831EC">
            <w:pPr>
              <w:pStyle w:val="7"/>
            </w:pPr>
            <w:r w:rsidRPr="00FD50F6">
              <w:rPr>
                <w:rFonts w:hint="eastAsia"/>
              </w:rPr>
              <w:t>坑底</w:t>
            </w:r>
          </w:p>
          <w:p w14:paraId="773E308C" w14:textId="77777777" w:rsidR="00D3119D" w:rsidRPr="00FD50F6" w:rsidRDefault="00D3119D" w:rsidP="000831EC">
            <w:pPr>
              <w:pStyle w:val="7"/>
            </w:pPr>
            <w:r w:rsidRPr="00FD50F6">
              <w:rPr>
                <w:rFonts w:hint="eastAsia"/>
              </w:rPr>
              <w:t>隆起</w:t>
            </w:r>
          </w:p>
        </w:tc>
        <w:tc>
          <w:tcPr>
            <w:tcW w:w="799" w:type="dxa"/>
            <w:vAlign w:val="center"/>
          </w:tcPr>
          <w:p w14:paraId="27D96D50" w14:textId="77777777" w:rsidR="00D3119D" w:rsidRPr="00FD50F6" w:rsidRDefault="00D3119D" w:rsidP="000831EC">
            <w:pPr>
              <w:pStyle w:val="7"/>
            </w:pPr>
            <w:r w:rsidRPr="00FD50F6">
              <w:t>抗管涌或渗流</w:t>
            </w:r>
          </w:p>
        </w:tc>
        <w:tc>
          <w:tcPr>
            <w:tcW w:w="800" w:type="dxa"/>
            <w:vAlign w:val="center"/>
          </w:tcPr>
          <w:p w14:paraId="5B4352AE" w14:textId="77777777" w:rsidR="00D3119D" w:rsidRPr="00FD50F6" w:rsidRDefault="00D3119D" w:rsidP="000831EC">
            <w:pPr>
              <w:pStyle w:val="7"/>
            </w:pPr>
            <w:r w:rsidRPr="00FD50F6">
              <w:t>抗承压水突涌</w:t>
            </w:r>
          </w:p>
        </w:tc>
      </w:tr>
      <w:tr w:rsidR="00FD50F6" w:rsidRPr="00FD50F6" w14:paraId="2872DD30" w14:textId="77777777" w:rsidTr="000831EC">
        <w:trPr>
          <w:trHeight w:hRule="exact" w:val="340"/>
          <w:jc w:val="center"/>
        </w:trPr>
        <w:tc>
          <w:tcPr>
            <w:tcW w:w="2346" w:type="dxa"/>
            <w:vAlign w:val="center"/>
          </w:tcPr>
          <w:p w14:paraId="4878A2E3" w14:textId="77777777" w:rsidR="00D3119D" w:rsidRPr="00FD50F6" w:rsidRDefault="00D3119D" w:rsidP="000831EC">
            <w:pPr>
              <w:pStyle w:val="7"/>
            </w:pPr>
            <w:r w:rsidRPr="00FD50F6">
              <w:t>放坡</w:t>
            </w:r>
          </w:p>
        </w:tc>
        <w:tc>
          <w:tcPr>
            <w:tcW w:w="797" w:type="dxa"/>
            <w:vAlign w:val="center"/>
          </w:tcPr>
          <w:p w14:paraId="570DB408" w14:textId="77777777" w:rsidR="00D3119D" w:rsidRPr="00FD50F6" w:rsidRDefault="00D3119D" w:rsidP="000831EC">
            <w:pPr>
              <w:pStyle w:val="7"/>
            </w:pPr>
            <w:r w:rsidRPr="00FD50F6">
              <w:rPr>
                <w:rFonts w:ascii="宋体" w:hAnsi="宋体" w:cs="宋体" w:hint="eastAsia"/>
              </w:rPr>
              <w:t>△</w:t>
            </w:r>
          </w:p>
        </w:tc>
        <w:tc>
          <w:tcPr>
            <w:tcW w:w="797" w:type="dxa"/>
            <w:vAlign w:val="center"/>
          </w:tcPr>
          <w:p w14:paraId="43C08161" w14:textId="77777777" w:rsidR="00D3119D" w:rsidRPr="00FD50F6" w:rsidRDefault="00D3119D" w:rsidP="000831EC">
            <w:pPr>
              <w:pStyle w:val="7"/>
            </w:pPr>
            <w:r w:rsidRPr="00FD50F6">
              <w:t>—</w:t>
            </w:r>
          </w:p>
        </w:tc>
        <w:tc>
          <w:tcPr>
            <w:tcW w:w="1036" w:type="dxa"/>
            <w:vAlign w:val="center"/>
          </w:tcPr>
          <w:p w14:paraId="4B304459" w14:textId="77777777" w:rsidR="00D3119D" w:rsidRPr="00FD50F6" w:rsidRDefault="00D3119D" w:rsidP="000831EC">
            <w:pPr>
              <w:pStyle w:val="7"/>
            </w:pPr>
            <w:r w:rsidRPr="00FD50F6">
              <w:t>—</w:t>
            </w:r>
          </w:p>
        </w:tc>
        <w:tc>
          <w:tcPr>
            <w:tcW w:w="799" w:type="dxa"/>
            <w:vAlign w:val="center"/>
          </w:tcPr>
          <w:p w14:paraId="15BAE992" w14:textId="77777777" w:rsidR="00D3119D" w:rsidRPr="00FD50F6" w:rsidRDefault="00D3119D" w:rsidP="000831EC">
            <w:pPr>
              <w:pStyle w:val="7"/>
            </w:pPr>
            <w:r w:rsidRPr="00FD50F6">
              <w:t>—</w:t>
            </w:r>
          </w:p>
        </w:tc>
        <w:tc>
          <w:tcPr>
            <w:tcW w:w="800" w:type="dxa"/>
            <w:vAlign w:val="center"/>
          </w:tcPr>
          <w:p w14:paraId="3E9F3458" w14:textId="77777777" w:rsidR="00D3119D" w:rsidRPr="00FD50F6" w:rsidRDefault="00D3119D" w:rsidP="000831EC">
            <w:pPr>
              <w:pStyle w:val="7"/>
            </w:pPr>
            <w:r w:rsidRPr="00FD50F6">
              <w:t>—</w:t>
            </w:r>
          </w:p>
        </w:tc>
        <w:tc>
          <w:tcPr>
            <w:tcW w:w="799" w:type="dxa"/>
            <w:vAlign w:val="center"/>
          </w:tcPr>
          <w:p w14:paraId="7CA7F78C" w14:textId="77777777" w:rsidR="00D3119D" w:rsidRPr="00FD50F6" w:rsidRDefault="00D3119D" w:rsidP="000831EC">
            <w:pPr>
              <w:pStyle w:val="7"/>
            </w:pPr>
            <w:r w:rsidRPr="00FD50F6">
              <w:t>—</w:t>
            </w:r>
          </w:p>
        </w:tc>
        <w:tc>
          <w:tcPr>
            <w:tcW w:w="800" w:type="dxa"/>
            <w:vAlign w:val="center"/>
          </w:tcPr>
          <w:p w14:paraId="52D09F0F" w14:textId="77777777" w:rsidR="00D3119D" w:rsidRPr="00FD50F6" w:rsidRDefault="00D3119D" w:rsidP="000831EC">
            <w:pPr>
              <w:pStyle w:val="7"/>
            </w:pPr>
            <w:r w:rsidRPr="00FD50F6">
              <w:t>○</w:t>
            </w:r>
          </w:p>
        </w:tc>
      </w:tr>
      <w:tr w:rsidR="00FD50F6" w:rsidRPr="00FD50F6" w14:paraId="77FB6A83" w14:textId="77777777" w:rsidTr="000831EC">
        <w:trPr>
          <w:trHeight w:hRule="exact" w:val="340"/>
          <w:jc w:val="center"/>
        </w:trPr>
        <w:tc>
          <w:tcPr>
            <w:tcW w:w="2346" w:type="dxa"/>
            <w:vAlign w:val="center"/>
          </w:tcPr>
          <w:p w14:paraId="599C5300" w14:textId="77777777" w:rsidR="00D3119D" w:rsidRPr="00FD50F6" w:rsidRDefault="00D3119D" w:rsidP="000831EC">
            <w:pPr>
              <w:pStyle w:val="7"/>
            </w:pPr>
            <w:r w:rsidRPr="00FD50F6">
              <w:t>土钉</w:t>
            </w:r>
            <w:r w:rsidRPr="00FD50F6">
              <w:rPr>
                <w:rFonts w:hint="eastAsia"/>
              </w:rPr>
              <w:t>墙</w:t>
            </w:r>
          </w:p>
        </w:tc>
        <w:tc>
          <w:tcPr>
            <w:tcW w:w="797" w:type="dxa"/>
            <w:vAlign w:val="center"/>
          </w:tcPr>
          <w:p w14:paraId="5D291BA9" w14:textId="77777777" w:rsidR="00D3119D" w:rsidRPr="00FD50F6" w:rsidRDefault="00D3119D" w:rsidP="000831EC">
            <w:pPr>
              <w:pStyle w:val="7"/>
            </w:pPr>
            <w:r w:rsidRPr="00FD50F6">
              <w:rPr>
                <w:rFonts w:ascii="宋体" w:hAnsi="宋体" w:cs="宋体" w:hint="eastAsia"/>
              </w:rPr>
              <w:t>△</w:t>
            </w:r>
          </w:p>
        </w:tc>
        <w:tc>
          <w:tcPr>
            <w:tcW w:w="797" w:type="dxa"/>
            <w:vAlign w:val="center"/>
          </w:tcPr>
          <w:p w14:paraId="0D171B7B" w14:textId="77777777" w:rsidR="00D3119D" w:rsidRPr="00FD50F6" w:rsidRDefault="00D3119D" w:rsidP="000831EC">
            <w:pPr>
              <w:pStyle w:val="7"/>
            </w:pPr>
            <w:r w:rsidRPr="00FD50F6">
              <w:t>—</w:t>
            </w:r>
          </w:p>
        </w:tc>
        <w:tc>
          <w:tcPr>
            <w:tcW w:w="1036" w:type="dxa"/>
            <w:vAlign w:val="center"/>
          </w:tcPr>
          <w:p w14:paraId="4A86058A" w14:textId="77777777" w:rsidR="00D3119D" w:rsidRPr="00FD50F6" w:rsidRDefault="00D3119D" w:rsidP="000831EC">
            <w:pPr>
              <w:pStyle w:val="7"/>
            </w:pPr>
            <w:r w:rsidRPr="00FD50F6">
              <w:t>—</w:t>
            </w:r>
          </w:p>
        </w:tc>
        <w:tc>
          <w:tcPr>
            <w:tcW w:w="799" w:type="dxa"/>
            <w:vAlign w:val="center"/>
          </w:tcPr>
          <w:p w14:paraId="128F6065" w14:textId="77777777" w:rsidR="00D3119D" w:rsidRPr="00FD50F6" w:rsidRDefault="00D3119D" w:rsidP="000831EC">
            <w:pPr>
              <w:pStyle w:val="7"/>
            </w:pPr>
            <w:r w:rsidRPr="00FD50F6">
              <w:t>—</w:t>
            </w:r>
          </w:p>
        </w:tc>
        <w:tc>
          <w:tcPr>
            <w:tcW w:w="800" w:type="dxa"/>
            <w:vAlign w:val="center"/>
          </w:tcPr>
          <w:p w14:paraId="2171AD54" w14:textId="77777777" w:rsidR="00D3119D" w:rsidRPr="00FD50F6" w:rsidRDefault="00D3119D" w:rsidP="000831EC">
            <w:pPr>
              <w:pStyle w:val="7"/>
            </w:pPr>
            <w:r w:rsidRPr="00FD50F6">
              <w:t>○</w:t>
            </w:r>
          </w:p>
        </w:tc>
        <w:tc>
          <w:tcPr>
            <w:tcW w:w="799" w:type="dxa"/>
            <w:vAlign w:val="center"/>
          </w:tcPr>
          <w:p w14:paraId="2113308E" w14:textId="77777777" w:rsidR="00D3119D" w:rsidRPr="00FD50F6" w:rsidRDefault="00D3119D" w:rsidP="000831EC">
            <w:pPr>
              <w:pStyle w:val="7"/>
            </w:pPr>
            <w:r w:rsidRPr="00FD50F6">
              <w:t>○</w:t>
            </w:r>
          </w:p>
        </w:tc>
        <w:tc>
          <w:tcPr>
            <w:tcW w:w="800" w:type="dxa"/>
            <w:vAlign w:val="center"/>
          </w:tcPr>
          <w:p w14:paraId="783A8489" w14:textId="77777777" w:rsidR="00D3119D" w:rsidRPr="00FD50F6" w:rsidRDefault="00D3119D" w:rsidP="000831EC">
            <w:pPr>
              <w:pStyle w:val="7"/>
            </w:pPr>
            <w:r w:rsidRPr="00FD50F6">
              <w:t>○</w:t>
            </w:r>
          </w:p>
        </w:tc>
      </w:tr>
      <w:tr w:rsidR="00FD50F6" w:rsidRPr="00FD50F6" w14:paraId="00574F4A" w14:textId="77777777" w:rsidTr="000831EC">
        <w:trPr>
          <w:trHeight w:hRule="exact" w:val="340"/>
          <w:jc w:val="center"/>
        </w:trPr>
        <w:tc>
          <w:tcPr>
            <w:tcW w:w="2346" w:type="dxa"/>
            <w:vAlign w:val="center"/>
          </w:tcPr>
          <w:p w14:paraId="03320F6A" w14:textId="77777777" w:rsidR="00D3119D" w:rsidRPr="00FD50F6" w:rsidRDefault="00D3119D" w:rsidP="000831EC">
            <w:pPr>
              <w:pStyle w:val="7"/>
            </w:pPr>
            <w:r w:rsidRPr="00FD50F6">
              <w:t>重力式</w:t>
            </w:r>
            <w:r w:rsidRPr="00FD50F6">
              <w:rPr>
                <w:rFonts w:hint="eastAsia"/>
              </w:rPr>
              <w:t>水泥土墙</w:t>
            </w:r>
          </w:p>
        </w:tc>
        <w:tc>
          <w:tcPr>
            <w:tcW w:w="797" w:type="dxa"/>
            <w:vAlign w:val="center"/>
          </w:tcPr>
          <w:p w14:paraId="328617AC" w14:textId="77777777" w:rsidR="00D3119D" w:rsidRPr="00FD50F6" w:rsidRDefault="00D3119D" w:rsidP="000831EC">
            <w:pPr>
              <w:pStyle w:val="7"/>
            </w:pPr>
            <w:r w:rsidRPr="00FD50F6">
              <w:rPr>
                <w:rFonts w:hint="eastAsia"/>
              </w:rPr>
              <w:t>—</w:t>
            </w:r>
          </w:p>
        </w:tc>
        <w:tc>
          <w:tcPr>
            <w:tcW w:w="797" w:type="dxa"/>
            <w:vAlign w:val="center"/>
          </w:tcPr>
          <w:p w14:paraId="5D46E3DF" w14:textId="77777777" w:rsidR="00D3119D" w:rsidRPr="00FD50F6" w:rsidRDefault="00D3119D" w:rsidP="000831EC">
            <w:pPr>
              <w:pStyle w:val="7"/>
            </w:pPr>
            <w:r w:rsidRPr="00FD50F6">
              <w:rPr>
                <w:rFonts w:ascii="宋体" w:hAnsi="宋体" w:cs="宋体" w:hint="eastAsia"/>
              </w:rPr>
              <w:t>△</w:t>
            </w:r>
          </w:p>
        </w:tc>
        <w:tc>
          <w:tcPr>
            <w:tcW w:w="1036" w:type="dxa"/>
            <w:vAlign w:val="center"/>
          </w:tcPr>
          <w:p w14:paraId="03A0D04F" w14:textId="77777777" w:rsidR="00D3119D" w:rsidRPr="00FD50F6" w:rsidRDefault="00D3119D" w:rsidP="000831EC">
            <w:pPr>
              <w:pStyle w:val="7"/>
            </w:pPr>
            <w:r w:rsidRPr="00FD50F6">
              <w:rPr>
                <w:rFonts w:ascii="宋体" w:hAnsi="宋体" w:cs="宋体" w:hint="eastAsia"/>
              </w:rPr>
              <w:t>△</w:t>
            </w:r>
          </w:p>
        </w:tc>
        <w:tc>
          <w:tcPr>
            <w:tcW w:w="799" w:type="dxa"/>
            <w:vAlign w:val="center"/>
          </w:tcPr>
          <w:p w14:paraId="4B642890" w14:textId="77777777" w:rsidR="00D3119D" w:rsidRPr="00FD50F6" w:rsidRDefault="00D3119D" w:rsidP="000831EC">
            <w:pPr>
              <w:pStyle w:val="7"/>
            </w:pPr>
            <w:r w:rsidRPr="00FD50F6">
              <w:rPr>
                <w:rFonts w:ascii="宋体" w:hAnsi="宋体" w:cs="宋体" w:hint="eastAsia"/>
              </w:rPr>
              <w:t>△</w:t>
            </w:r>
          </w:p>
        </w:tc>
        <w:tc>
          <w:tcPr>
            <w:tcW w:w="800" w:type="dxa"/>
            <w:vAlign w:val="center"/>
          </w:tcPr>
          <w:p w14:paraId="5C74E930" w14:textId="77777777" w:rsidR="00D3119D" w:rsidRPr="00FD50F6" w:rsidRDefault="00D3119D" w:rsidP="000831EC">
            <w:pPr>
              <w:pStyle w:val="7"/>
            </w:pPr>
            <w:r w:rsidRPr="00FD50F6">
              <w:rPr>
                <w:rFonts w:ascii="宋体" w:hAnsi="宋体" w:cs="宋体" w:hint="eastAsia"/>
              </w:rPr>
              <w:t>△</w:t>
            </w:r>
          </w:p>
        </w:tc>
        <w:tc>
          <w:tcPr>
            <w:tcW w:w="799" w:type="dxa"/>
            <w:vAlign w:val="center"/>
          </w:tcPr>
          <w:p w14:paraId="0C22BE37" w14:textId="77777777" w:rsidR="00D3119D" w:rsidRPr="00FD50F6" w:rsidRDefault="00D3119D" w:rsidP="000831EC">
            <w:pPr>
              <w:pStyle w:val="7"/>
            </w:pPr>
            <w:r w:rsidRPr="00FD50F6">
              <w:t>○</w:t>
            </w:r>
          </w:p>
        </w:tc>
        <w:tc>
          <w:tcPr>
            <w:tcW w:w="800" w:type="dxa"/>
            <w:vAlign w:val="center"/>
          </w:tcPr>
          <w:p w14:paraId="2BE80D69" w14:textId="77777777" w:rsidR="00D3119D" w:rsidRPr="00FD50F6" w:rsidRDefault="00D3119D" w:rsidP="000831EC">
            <w:pPr>
              <w:pStyle w:val="7"/>
            </w:pPr>
            <w:r w:rsidRPr="00FD50F6">
              <w:t>○</w:t>
            </w:r>
          </w:p>
        </w:tc>
      </w:tr>
      <w:tr w:rsidR="00FD50F6" w:rsidRPr="00FD50F6" w14:paraId="4C78D548" w14:textId="77777777" w:rsidTr="000831EC">
        <w:trPr>
          <w:trHeight w:hRule="exact" w:val="340"/>
          <w:jc w:val="center"/>
        </w:trPr>
        <w:tc>
          <w:tcPr>
            <w:tcW w:w="2346" w:type="dxa"/>
            <w:vAlign w:val="center"/>
          </w:tcPr>
          <w:p w14:paraId="30896AB4" w14:textId="77777777" w:rsidR="00D3119D" w:rsidRPr="00FD50F6" w:rsidRDefault="00D3119D" w:rsidP="000831EC">
            <w:pPr>
              <w:pStyle w:val="7"/>
            </w:pPr>
            <w:r w:rsidRPr="00FD50F6">
              <w:rPr>
                <w:rFonts w:hint="eastAsia"/>
              </w:rPr>
              <w:t>悬臂式桩、墙支护结构</w:t>
            </w:r>
          </w:p>
        </w:tc>
        <w:tc>
          <w:tcPr>
            <w:tcW w:w="797" w:type="dxa"/>
            <w:vAlign w:val="center"/>
          </w:tcPr>
          <w:p w14:paraId="22CF444D" w14:textId="77777777" w:rsidR="00D3119D" w:rsidRPr="00FD50F6" w:rsidRDefault="00D3119D" w:rsidP="000831EC">
            <w:pPr>
              <w:pStyle w:val="7"/>
            </w:pPr>
            <w:r w:rsidRPr="00FD50F6">
              <w:rPr>
                <w:rFonts w:ascii="宋体" w:hAnsi="宋体" w:cs="宋体" w:hint="eastAsia"/>
              </w:rPr>
              <w:t>△</w:t>
            </w:r>
          </w:p>
        </w:tc>
        <w:tc>
          <w:tcPr>
            <w:tcW w:w="797" w:type="dxa"/>
            <w:vAlign w:val="center"/>
          </w:tcPr>
          <w:p w14:paraId="047BF5B9" w14:textId="77777777" w:rsidR="00D3119D" w:rsidRPr="00FD50F6" w:rsidRDefault="00D3119D" w:rsidP="000831EC">
            <w:pPr>
              <w:pStyle w:val="7"/>
            </w:pPr>
            <w:r w:rsidRPr="00FD50F6">
              <w:t>—</w:t>
            </w:r>
          </w:p>
        </w:tc>
        <w:tc>
          <w:tcPr>
            <w:tcW w:w="1036" w:type="dxa"/>
            <w:vAlign w:val="center"/>
          </w:tcPr>
          <w:p w14:paraId="228E7314" w14:textId="77777777" w:rsidR="00D3119D" w:rsidRPr="00FD50F6" w:rsidRDefault="00D3119D" w:rsidP="000831EC">
            <w:pPr>
              <w:pStyle w:val="7"/>
            </w:pPr>
            <w:r w:rsidRPr="00FD50F6">
              <w:rPr>
                <w:rFonts w:ascii="宋体" w:hAnsi="宋体" w:cs="宋体" w:hint="eastAsia"/>
              </w:rPr>
              <w:t>△</w:t>
            </w:r>
          </w:p>
        </w:tc>
        <w:tc>
          <w:tcPr>
            <w:tcW w:w="799" w:type="dxa"/>
            <w:vAlign w:val="center"/>
          </w:tcPr>
          <w:p w14:paraId="4DE19AEF" w14:textId="77777777" w:rsidR="00D3119D" w:rsidRPr="00FD50F6" w:rsidRDefault="00D3119D" w:rsidP="000831EC">
            <w:pPr>
              <w:pStyle w:val="7"/>
            </w:pPr>
            <w:r w:rsidRPr="00FD50F6">
              <w:t>—</w:t>
            </w:r>
          </w:p>
        </w:tc>
        <w:tc>
          <w:tcPr>
            <w:tcW w:w="800" w:type="dxa"/>
            <w:vAlign w:val="center"/>
          </w:tcPr>
          <w:p w14:paraId="6301A667" w14:textId="77777777" w:rsidR="00D3119D" w:rsidRPr="00FD50F6" w:rsidRDefault="00D3119D" w:rsidP="000831EC">
            <w:pPr>
              <w:pStyle w:val="7"/>
            </w:pPr>
            <w:r w:rsidRPr="00FD50F6">
              <w:t>—</w:t>
            </w:r>
          </w:p>
        </w:tc>
        <w:tc>
          <w:tcPr>
            <w:tcW w:w="799" w:type="dxa"/>
            <w:vAlign w:val="center"/>
          </w:tcPr>
          <w:p w14:paraId="5159A69E" w14:textId="77777777" w:rsidR="00D3119D" w:rsidRPr="00FD50F6" w:rsidRDefault="00D3119D" w:rsidP="000831EC">
            <w:pPr>
              <w:pStyle w:val="7"/>
            </w:pPr>
            <w:r w:rsidRPr="00FD50F6">
              <w:t>○</w:t>
            </w:r>
          </w:p>
        </w:tc>
        <w:tc>
          <w:tcPr>
            <w:tcW w:w="800" w:type="dxa"/>
            <w:vAlign w:val="center"/>
          </w:tcPr>
          <w:p w14:paraId="7759D622" w14:textId="77777777" w:rsidR="00D3119D" w:rsidRPr="00FD50F6" w:rsidRDefault="00D3119D" w:rsidP="000831EC">
            <w:pPr>
              <w:pStyle w:val="7"/>
            </w:pPr>
            <w:r w:rsidRPr="00FD50F6">
              <w:t>○</w:t>
            </w:r>
          </w:p>
        </w:tc>
      </w:tr>
      <w:tr w:rsidR="00FD50F6" w:rsidRPr="00FD50F6" w14:paraId="543E9F86" w14:textId="77777777" w:rsidTr="000831EC">
        <w:trPr>
          <w:trHeight w:hRule="exact" w:val="340"/>
          <w:jc w:val="center"/>
        </w:trPr>
        <w:tc>
          <w:tcPr>
            <w:tcW w:w="2346" w:type="dxa"/>
            <w:vAlign w:val="center"/>
          </w:tcPr>
          <w:p w14:paraId="529AF99B" w14:textId="77777777" w:rsidR="00D3119D" w:rsidRPr="00FD50F6" w:rsidRDefault="00D3119D" w:rsidP="000831EC">
            <w:pPr>
              <w:pStyle w:val="7"/>
            </w:pPr>
            <w:r w:rsidRPr="00FD50F6">
              <w:rPr>
                <w:rFonts w:hint="eastAsia"/>
              </w:rPr>
              <w:t>支点式桩、墙支护结构</w:t>
            </w:r>
          </w:p>
        </w:tc>
        <w:tc>
          <w:tcPr>
            <w:tcW w:w="797" w:type="dxa"/>
            <w:vAlign w:val="center"/>
          </w:tcPr>
          <w:p w14:paraId="1E668FF8" w14:textId="77777777" w:rsidR="00D3119D" w:rsidRPr="00FD50F6" w:rsidRDefault="00D3119D" w:rsidP="000831EC">
            <w:pPr>
              <w:pStyle w:val="7"/>
            </w:pPr>
            <w:r w:rsidRPr="00FD50F6">
              <w:rPr>
                <w:rFonts w:ascii="宋体" w:hAnsi="宋体" w:cs="宋体" w:hint="eastAsia"/>
              </w:rPr>
              <w:t>△</w:t>
            </w:r>
          </w:p>
        </w:tc>
        <w:tc>
          <w:tcPr>
            <w:tcW w:w="797" w:type="dxa"/>
            <w:vAlign w:val="center"/>
          </w:tcPr>
          <w:p w14:paraId="5FADDCB5" w14:textId="77777777" w:rsidR="00D3119D" w:rsidRPr="00FD50F6" w:rsidRDefault="00D3119D" w:rsidP="000831EC">
            <w:pPr>
              <w:pStyle w:val="7"/>
            </w:pPr>
            <w:r w:rsidRPr="00FD50F6">
              <w:t>—</w:t>
            </w:r>
          </w:p>
        </w:tc>
        <w:tc>
          <w:tcPr>
            <w:tcW w:w="1036" w:type="dxa"/>
            <w:vAlign w:val="center"/>
          </w:tcPr>
          <w:p w14:paraId="2BF8EDC3" w14:textId="77777777" w:rsidR="00D3119D" w:rsidRPr="00FD50F6" w:rsidRDefault="00D3119D" w:rsidP="000831EC">
            <w:pPr>
              <w:pStyle w:val="7"/>
            </w:pPr>
            <w:r w:rsidRPr="00FD50F6">
              <w:rPr>
                <w:rFonts w:ascii="宋体" w:hAnsi="宋体" w:cs="宋体" w:hint="eastAsia"/>
              </w:rPr>
              <w:t>△</w:t>
            </w:r>
          </w:p>
        </w:tc>
        <w:tc>
          <w:tcPr>
            <w:tcW w:w="799" w:type="dxa"/>
            <w:vAlign w:val="center"/>
          </w:tcPr>
          <w:p w14:paraId="07C61BCC" w14:textId="77777777" w:rsidR="00D3119D" w:rsidRPr="00FD50F6" w:rsidRDefault="00D3119D" w:rsidP="000831EC">
            <w:pPr>
              <w:pStyle w:val="7"/>
            </w:pPr>
            <w:r w:rsidRPr="00FD50F6">
              <w:t>○</w:t>
            </w:r>
          </w:p>
        </w:tc>
        <w:tc>
          <w:tcPr>
            <w:tcW w:w="800" w:type="dxa"/>
            <w:vAlign w:val="center"/>
          </w:tcPr>
          <w:p w14:paraId="56251F4D" w14:textId="77777777" w:rsidR="00D3119D" w:rsidRPr="00FD50F6" w:rsidRDefault="00D3119D" w:rsidP="000831EC">
            <w:pPr>
              <w:pStyle w:val="7"/>
            </w:pPr>
            <w:r w:rsidRPr="00FD50F6">
              <w:rPr>
                <w:rFonts w:ascii="宋体" w:hAnsi="宋体" w:cs="宋体" w:hint="eastAsia"/>
              </w:rPr>
              <w:t>△</w:t>
            </w:r>
          </w:p>
        </w:tc>
        <w:tc>
          <w:tcPr>
            <w:tcW w:w="799" w:type="dxa"/>
            <w:vAlign w:val="center"/>
          </w:tcPr>
          <w:p w14:paraId="692E9DAB" w14:textId="77777777" w:rsidR="00D3119D" w:rsidRPr="00FD50F6" w:rsidRDefault="00D3119D" w:rsidP="000831EC">
            <w:pPr>
              <w:pStyle w:val="7"/>
            </w:pPr>
            <w:r w:rsidRPr="00FD50F6">
              <w:t>○</w:t>
            </w:r>
          </w:p>
        </w:tc>
        <w:tc>
          <w:tcPr>
            <w:tcW w:w="800" w:type="dxa"/>
            <w:vAlign w:val="center"/>
          </w:tcPr>
          <w:p w14:paraId="3C639B03" w14:textId="77777777" w:rsidR="00D3119D" w:rsidRPr="00FD50F6" w:rsidRDefault="00D3119D" w:rsidP="000831EC">
            <w:pPr>
              <w:pStyle w:val="7"/>
            </w:pPr>
            <w:r w:rsidRPr="00FD50F6">
              <w:t>○</w:t>
            </w:r>
          </w:p>
        </w:tc>
      </w:tr>
    </w:tbl>
    <w:p w14:paraId="547D7010" w14:textId="77777777" w:rsidR="00D3119D" w:rsidRPr="00FD50F6" w:rsidRDefault="00D3119D" w:rsidP="00D3119D">
      <w:pPr>
        <w:pStyle w:val="7"/>
        <w:jc w:val="left"/>
      </w:pPr>
      <w:r w:rsidRPr="00FD50F6">
        <w:t>注：</w:t>
      </w:r>
      <w:r w:rsidRPr="00FD50F6">
        <w:t>1</w:t>
      </w:r>
      <w:r w:rsidRPr="00FD50F6">
        <w:rPr>
          <w:rFonts w:hint="eastAsia"/>
        </w:rPr>
        <w:t xml:space="preserve"> </w:t>
      </w:r>
      <w:r w:rsidRPr="00FD50F6">
        <w:rPr>
          <w:rFonts w:ascii="宋体" w:hAnsi="宋体" w:cs="宋体" w:hint="eastAsia"/>
        </w:rPr>
        <w:t>△</w:t>
      </w:r>
      <w:r w:rsidRPr="00FD50F6">
        <w:t>为应检算，</w:t>
      </w:r>
      <w:r w:rsidRPr="00FD50F6">
        <w:t>○</w:t>
      </w:r>
      <w:r w:rsidRPr="00FD50F6">
        <w:t>为</w:t>
      </w:r>
      <w:r w:rsidRPr="00FD50F6">
        <w:rPr>
          <w:rFonts w:hint="eastAsia"/>
        </w:rPr>
        <w:t>宜</w:t>
      </w:r>
      <w:r w:rsidRPr="00FD50F6">
        <w:t>检算</w:t>
      </w:r>
      <w:r w:rsidRPr="00FD50F6">
        <w:rPr>
          <w:rFonts w:hint="eastAsia"/>
        </w:rPr>
        <w:t>；</w:t>
      </w:r>
    </w:p>
    <w:p w14:paraId="6B40F32C" w14:textId="77777777" w:rsidR="00D3119D" w:rsidRPr="00FD50F6" w:rsidRDefault="00D3119D" w:rsidP="00D3119D">
      <w:pPr>
        <w:pStyle w:val="7"/>
        <w:ind w:firstLineChars="200" w:firstLine="420"/>
        <w:jc w:val="left"/>
      </w:pPr>
      <w:r w:rsidRPr="00FD50F6">
        <w:t xml:space="preserve">2 </w:t>
      </w:r>
      <w:r w:rsidRPr="00FD50F6">
        <w:rPr>
          <w:rFonts w:hint="eastAsia"/>
        </w:rPr>
        <w:t>支点式桩、墙支护结构仅锚拉式情况下应进行</w:t>
      </w:r>
      <w:r w:rsidRPr="00FD50F6">
        <w:t>整体</w:t>
      </w:r>
      <w:r w:rsidRPr="00FD50F6">
        <w:rPr>
          <w:rFonts w:hint="eastAsia"/>
        </w:rPr>
        <w:t>滑动检算；</w:t>
      </w:r>
    </w:p>
    <w:p w14:paraId="35BDC543" w14:textId="77777777" w:rsidR="00D3119D" w:rsidRPr="00FD50F6" w:rsidRDefault="00D3119D" w:rsidP="00583EC0">
      <w:pPr>
        <w:pStyle w:val="7"/>
        <w:ind w:firstLineChars="200" w:firstLine="420"/>
        <w:jc w:val="left"/>
      </w:pPr>
      <w:r w:rsidRPr="00FD50F6">
        <w:rPr>
          <w:rFonts w:hint="eastAsia"/>
        </w:rPr>
        <w:t>3</w:t>
      </w:r>
      <w:r w:rsidRPr="00FD50F6">
        <w:t xml:space="preserve"> </w:t>
      </w:r>
      <w:r w:rsidRPr="00FD50F6">
        <w:rPr>
          <w:rFonts w:hint="eastAsia"/>
        </w:rPr>
        <w:t>支点式桩、墙支护结构仅单支点情况下应进行</w:t>
      </w:r>
      <w:r w:rsidRPr="00FD50F6">
        <w:t>抗倾覆</w:t>
      </w:r>
      <w:r w:rsidRPr="00FD50F6">
        <w:rPr>
          <w:rFonts w:hint="eastAsia"/>
        </w:rPr>
        <w:t>（嵌固）检算。</w:t>
      </w:r>
    </w:p>
    <w:p w14:paraId="4C4572EE" w14:textId="77777777" w:rsidR="00D3119D" w:rsidRPr="00FD50F6" w:rsidRDefault="00D3119D" w:rsidP="00A926BD">
      <w:pPr>
        <w:pStyle w:val="4"/>
      </w:pPr>
      <w:r w:rsidRPr="00FD50F6">
        <w:rPr>
          <w:rFonts w:hint="eastAsia"/>
        </w:rPr>
        <w:t>基坑工程地下水处理措施应根据工程地质和水文地质条件、基坑周边环境要求及支护结构型式，进行截水、降水、集水明排、回灌或其组合方案的技术经济比选。</w:t>
      </w:r>
    </w:p>
    <w:p w14:paraId="1F56FB44" w14:textId="47A2EA2D" w:rsidR="00D3119D" w:rsidRPr="00FD50F6" w:rsidRDefault="00D3119D" w:rsidP="00A926BD">
      <w:pPr>
        <w:pStyle w:val="4"/>
      </w:pPr>
      <w:r w:rsidRPr="00FD50F6">
        <w:t>基坑支护结构应按临时结构设计</w:t>
      </w:r>
      <w:r w:rsidRPr="00FD50F6">
        <w:rPr>
          <w:rFonts w:hint="eastAsia"/>
        </w:rPr>
        <w:t>。</w:t>
      </w:r>
      <w:r w:rsidRPr="00FD50F6">
        <w:t>对于桩</w:t>
      </w:r>
      <w:r w:rsidRPr="00FD50F6">
        <w:rPr>
          <w:rFonts w:hint="eastAsia"/>
        </w:rPr>
        <w:t>、</w:t>
      </w:r>
      <w:r w:rsidRPr="00FD50F6">
        <w:t>墙式支护结构</w:t>
      </w:r>
      <w:r w:rsidRPr="00FD50F6">
        <w:rPr>
          <w:rFonts w:hint="eastAsia"/>
        </w:rPr>
        <w:t>，其与主体结构侧墙之间密贴形成复合墙结构时，</w:t>
      </w:r>
      <w:r w:rsidRPr="00FD50F6">
        <w:t>宜</w:t>
      </w:r>
      <w:r w:rsidRPr="00FD50F6">
        <w:rPr>
          <w:rFonts w:hint="eastAsia"/>
        </w:rPr>
        <w:t>按</w:t>
      </w:r>
      <w:r w:rsidRPr="00FD50F6">
        <w:t>使用期间与主体侧墙共同受力</w:t>
      </w:r>
      <w:r w:rsidRPr="00FD50F6">
        <w:rPr>
          <w:rFonts w:hint="eastAsia"/>
        </w:rPr>
        <w:t>，但尚</w:t>
      </w:r>
      <w:r w:rsidRPr="00FD50F6">
        <w:t>应根据支护结构特性并</w:t>
      </w:r>
      <w:r w:rsidRPr="00FD50F6">
        <w:rPr>
          <w:rFonts w:hint="eastAsia"/>
        </w:rPr>
        <w:t>计及</w:t>
      </w:r>
      <w:r w:rsidRPr="00FD50F6">
        <w:t>长期使用后材料劣化</w:t>
      </w:r>
      <w:r w:rsidRPr="00FD50F6">
        <w:rPr>
          <w:rFonts w:hint="eastAsia"/>
        </w:rPr>
        <w:t>、</w:t>
      </w:r>
      <w:r w:rsidRPr="00FD50F6">
        <w:t>内力向主体侧墙转移的影响</w:t>
      </w:r>
      <w:r w:rsidRPr="00FD50F6">
        <w:rPr>
          <w:rFonts w:hint="eastAsia"/>
        </w:rPr>
        <w:t>，</w:t>
      </w:r>
      <w:r w:rsidRPr="00FD50F6">
        <w:t>进行一定的刚度折减</w:t>
      </w:r>
      <w:r w:rsidRPr="00FD50F6">
        <w:rPr>
          <w:rFonts w:hint="eastAsia"/>
        </w:rPr>
        <w:t>。</w:t>
      </w:r>
    </w:p>
    <w:p w14:paraId="66F21B45" w14:textId="05B12A33" w:rsidR="00D3119D" w:rsidRPr="00FD50F6" w:rsidRDefault="00D3119D" w:rsidP="00A926BD">
      <w:pPr>
        <w:pStyle w:val="4"/>
      </w:pPr>
      <w:r w:rsidRPr="00FD50F6">
        <w:rPr>
          <w:rFonts w:hint="eastAsia"/>
        </w:rPr>
        <w:t>当基坑支护结构采用地下连续墙时，其与主体结构侧墙组合也可形成叠合墙结构，叠合面应通过设置拉结筋、抗剪块或表面凿毛等工程措施满足叠合面抗剪能力要求，叠合墙结构宜与主体结构统一设计标准按永久结构设计。</w:t>
      </w:r>
    </w:p>
    <w:p w14:paraId="710D0F6A" w14:textId="77777777" w:rsidR="00D3119D" w:rsidRPr="00FD50F6" w:rsidRDefault="00D3119D" w:rsidP="00A926BD">
      <w:pPr>
        <w:pStyle w:val="4"/>
      </w:pPr>
      <w:r w:rsidRPr="00FD50F6">
        <w:t>桩、墙式</w:t>
      </w:r>
      <w:r w:rsidRPr="00FD50F6">
        <w:rPr>
          <w:rFonts w:hint="eastAsia"/>
        </w:rPr>
        <w:t>支护</w:t>
      </w:r>
      <w:r w:rsidRPr="00FD50F6">
        <w:t>结构的设计应根据设定的开挖工况和施工顺序按竖向弹性地基梁模型逐阶段计算其内力及变形。当计入支撑作用时，应计及每层支撑设置时墙体已有的位移和支撑的弹性变形</w:t>
      </w:r>
      <w:r w:rsidRPr="00FD50F6">
        <w:rPr>
          <w:rFonts w:hint="eastAsia"/>
        </w:rPr>
        <w:t>。</w:t>
      </w:r>
      <w:r w:rsidRPr="00FD50F6">
        <w:t>支撑或锚杆（索）对桩</w:t>
      </w:r>
      <w:r w:rsidRPr="00FD50F6">
        <w:rPr>
          <w:rFonts w:hint="eastAsia"/>
        </w:rPr>
        <w:t>、</w:t>
      </w:r>
      <w:r w:rsidRPr="00FD50F6">
        <w:t>墙施加的预应力值，宜根据支撑类型及所在部位、温度变化对支撑的影响程度等因素确定</w:t>
      </w:r>
      <w:r w:rsidRPr="00FD50F6">
        <w:rPr>
          <w:rFonts w:hint="eastAsia"/>
        </w:rPr>
        <w:t>。</w:t>
      </w:r>
    </w:p>
    <w:p w14:paraId="1D153E2F" w14:textId="77777777" w:rsidR="00D3119D" w:rsidRPr="00FD50F6" w:rsidRDefault="00D3119D" w:rsidP="00A926BD">
      <w:pPr>
        <w:pStyle w:val="4"/>
      </w:pPr>
      <w:r w:rsidRPr="00FD50F6">
        <w:rPr>
          <w:rFonts w:hint="eastAsia"/>
        </w:rPr>
        <w:lastRenderedPageBreak/>
        <w:t>桩、墙式支护结构的</w:t>
      </w:r>
      <w:r w:rsidRPr="00FD50F6">
        <w:t>嵌固</w:t>
      </w:r>
      <w:r w:rsidRPr="00FD50F6">
        <w:rPr>
          <w:rFonts w:hint="eastAsia"/>
        </w:rPr>
        <w:t>深度应根据支护结构的承载力、变形及基坑稳定性计算确定。</w:t>
      </w:r>
      <w:r w:rsidRPr="00FD50F6">
        <w:t>当</w:t>
      </w:r>
      <w:r w:rsidRPr="00FD50F6">
        <w:rPr>
          <w:rFonts w:hint="eastAsia"/>
        </w:rPr>
        <w:t>支护</w:t>
      </w:r>
      <w:r w:rsidRPr="00FD50F6">
        <w:t>结构兼作上部建筑物的基础时，尚应进行垂直承载力、地基变形和稳定性计算</w:t>
      </w:r>
      <w:r w:rsidRPr="00FD50F6">
        <w:rPr>
          <w:rFonts w:hint="eastAsia"/>
        </w:rPr>
        <w:t>。</w:t>
      </w:r>
    </w:p>
    <w:p w14:paraId="52FF6179" w14:textId="397AC89B" w:rsidR="00D3119D" w:rsidRPr="00FD50F6" w:rsidRDefault="00D3119D" w:rsidP="00A926BD">
      <w:pPr>
        <w:pStyle w:val="4"/>
      </w:pPr>
      <w:r w:rsidRPr="00FD50F6">
        <w:t>当桩</w:t>
      </w:r>
      <w:r w:rsidRPr="00FD50F6">
        <w:rPr>
          <w:rFonts w:hint="eastAsia"/>
        </w:rPr>
        <w:t>、</w:t>
      </w:r>
      <w:r w:rsidRPr="00FD50F6">
        <w:t>墙式</w:t>
      </w:r>
      <w:r w:rsidRPr="00FD50F6">
        <w:rPr>
          <w:rFonts w:hint="eastAsia"/>
        </w:rPr>
        <w:t>支护</w:t>
      </w:r>
      <w:r w:rsidRPr="00FD50F6">
        <w:t>结构兼作主体结构的抗浮</w:t>
      </w:r>
      <w:r w:rsidRPr="00FD50F6">
        <w:rPr>
          <w:rFonts w:hint="eastAsia"/>
        </w:rPr>
        <w:t>作用时</w:t>
      </w:r>
      <w:r w:rsidRPr="00FD50F6">
        <w:t>，应进行正截面受拉承载力和裂缝宽度计算</w:t>
      </w:r>
      <w:r w:rsidRPr="00FD50F6">
        <w:rPr>
          <w:rFonts w:hint="eastAsia"/>
        </w:rPr>
        <w:t>；当支护结构顶</w:t>
      </w:r>
      <w:r w:rsidRPr="00FD50F6">
        <w:t>冠梁兼作抗浮压顶梁时</w:t>
      </w:r>
      <w:r w:rsidRPr="00FD50F6">
        <w:rPr>
          <w:rFonts w:hint="eastAsia"/>
        </w:rPr>
        <w:t>，</w:t>
      </w:r>
      <w:r w:rsidRPr="00FD50F6">
        <w:t>应进行承载力和裂缝宽度计算</w:t>
      </w:r>
      <w:r w:rsidRPr="00FD50F6">
        <w:rPr>
          <w:rFonts w:hint="eastAsia"/>
        </w:rPr>
        <w:t>。</w:t>
      </w:r>
      <w:r w:rsidRPr="00FD50F6">
        <w:t>构件最大裂缝宽度限值应按本</w:t>
      </w:r>
      <w:r w:rsidRPr="00FD50F6">
        <w:rPr>
          <w:rFonts w:hint="eastAsia"/>
        </w:rPr>
        <w:t>标准</w:t>
      </w:r>
      <w:r w:rsidRPr="00FD50F6">
        <w:t>第</w:t>
      </w:r>
      <w:r w:rsidR="00CD0099" w:rsidRPr="00FD50F6">
        <w:rPr>
          <w:rFonts w:hint="eastAsia"/>
        </w:rPr>
        <w:t>1</w:t>
      </w:r>
      <w:r w:rsidR="00CD0099" w:rsidRPr="00FD50F6">
        <w:t>2</w:t>
      </w:r>
      <w:r w:rsidRPr="00FD50F6">
        <w:t>.1.9</w:t>
      </w:r>
      <w:r w:rsidRPr="00FD50F6">
        <w:t>条的规定执行</w:t>
      </w:r>
      <w:r w:rsidRPr="00FD50F6">
        <w:rPr>
          <w:rFonts w:hint="eastAsia"/>
        </w:rPr>
        <w:t>，</w:t>
      </w:r>
      <w:r w:rsidRPr="00FD50F6">
        <w:t>并应满足耐久性及相关构造的要求</w:t>
      </w:r>
      <w:r w:rsidRPr="00FD50F6">
        <w:rPr>
          <w:rFonts w:hint="eastAsia"/>
        </w:rPr>
        <w:t>。</w:t>
      </w:r>
    </w:p>
    <w:p w14:paraId="2A4B34FA" w14:textId="50EA12D7" w:rsidR="00D3119D" w:rsidRPr="00FD50F6" w:rsidRDefault="00D3119D" w:rsidP="00A926BD">
      <w:pPr>
        <w:pStyle w:val="4"/>
      </w:pPr>
      <w:r w:rsidRPr="00FD50F6">
        <w:t>桩、墙</w:t>
      </w:r>
      <w:r w:rsidRPr="00FD50F6">
        <w:rPr>
          <w:rFonts w:hint="eastAsia"/>
        </w:rPr>
        <w:t>式</w:t>
      </w:r>
      <w:r w:rsidRPr="00FD50F6">
        <w:t>支护结构内支撑可选择钢支撑、钢筋混凝土支撑或预应力锚杆（索）</w:t>
      </w:r>
      <w:r w:rsidRPr="00FD50F6">
        <w:rPr>
          <w:rFonts w:hint="eastAsia"/>
        </w:rPr>
        <w:t>等</w:t>
      </w:r>
      <w:r w:rsidRPr="00FD50F6">
        <w:t>，支撑系统应采用稳定的结构体系和连接构造，其刚度应满足变形和稳定性要求</w:t>
      </w:r>
      <w:r w:rsidRPr="00FD50F6">
        <w:rPr>
          <w:rFonts w:hint="eastAsia"/>
        </w:rPr>
        <w:t>，并</w:t>
      </w:r>
      <w:r w:rsidRPr="00FD50F6">
        <w:t>应</w:t>
      </w:r>
      <w:r w:rsidRPr="00FD50F6">
        <w:rPr>
          <w:rFonts w:hint="eastAsia"/>
        </w:rPr>
        <w:t>进行</w:t>
      </w:r>
      <w:r w:rsidRPr="00FD50F6">
        <w:t>技术、经济方案论证</w:t>
      </w:r>
      <w:r w:rsidRPr="00FD50F6">
        <w:rPr>
          <w:rFonts w:hint="eastAsia"/>
        </w:rPr>
        <w:t>。</w:t>
      </w:r>
      <w:r w:rsidRPr="00FD50F6" w:rsidDel="00723FDC">
        <w:rPr>
          <w:rFonts w:hint="eastAsia"/>
        </w:rPr>
        <w:t xml:space="preserve"> </w:t>
      </w:r>
    </w:p>
    <w:p w14:paraId="77FFA89E" w14:textId="77777777" w:rsidR="00D3119D" w:rsidRPr="00FD50F6" w:rsidRDefault="00D3119D" w:rsidP="00D3119D">
      <w:pPr>
        <w:pStyle w:val="30"/>
        <w:rPr>
          <w:lang w:val="zh-CN"/>
        </w:rPr>
      </w:pPr>
      <w:r w:rsidRPr="00FD50F6">
        <w:rPr>
          <w:lang w:val="zh-CN"/>
        </w:rPr>
        <w:t>明挖顺作法结构设计应符合下列规定：</w:t>
      </w:r>
    </w:p>
    <w:p w14:paraId="25F4BD3F" w14:textId="754F76A0" w:rsidR="00D3119D" w:rsidRPr="00FD50F6" w:rsidRDefault="00D3119D" w:rsidP="00A926BD">
      <w:pPr>
        <w:pStyle w:val="4"/>
      </w:pPr>
      <w:r w:rsidRPr="00FD50F6">
        <w:t>明挖</w:t>
      </w:r>
      <w:r w:rsidRPr="00FD50F6">
        <w:rPr>
          <w:rFonts w:hint="eastAsia"/>
        </w:rPr>
        <w:t>法</w:t>
      </w:r>
      <w:r w:rsidRPr="00FD50F6">
        <w:t>结构宜按底板支承在弹性地基上的结构</w:t>
      </w:r>
      <w:r w:rsidRPr="00FD50F6">
        <w:rPr>
          <w:rFonts w:hint="eastAsia"/>
        </w:rPr>
        <w:t>物进行</w:t>
      </w:r>
      <w:r w:rsidRPr="00FD50F6">
        <w:t>计算，应根据不同支护</w:t>
      </w:r>
      <w:r w:rsidRPr="00FD50F6">
        <w:rPr>
          <w:rFonts w:hint="eastAsia"/>
        </w:rPr>
        <w:t>型式</w:t>
      </w:r>
      <w:r w:rsidRPr="00FD50F6">
        <w:t>、主体与支护结构的结合情况、底板下设置抗拔桩情况及施工要求确定相应的计算模型，并</w:t>
      </w:r>
      <w:r w:rsidRPr="00FD50F6">
        <w:rPr>
          <w:rFonts w:hint="eastAsia"/>
        </w:rPr>
        <w:t>应计及</w:t>
      </w:r>
      <w:r w:rsidRPr="00FD50F6">
        <w:t>立柱和楼板的压缩变形、斜托和支座宽度的影响</w:t>
      </w:r>
      <w:r w:rsidRPr="00FD50F6">
        <w:rPr>
          <w:rFonts w:hint="eastAsia"/>
        </w:rPr>
        <w:t>。</w:t>
      </w:r>
    </w:p>
    <w:p w14:paraId="390CD980" w14:textId="411D638A" w:rsidR="00D3119D" w:rsidRPr="00FD50F6" w:rsidRDefault="00D3119D" w:rsidP="00A926BD">
      <w:pPr>
        <w:pStyle w:val="4"/>
      </w:pPr>
      <w:r w:rsidRPr="00FD50F6">
        <w:t>抗拔桩设计应根据地层情况、受力大小等进行直桩、扩底桩等多种形式的技术经济比选，并应进行桩身正截面受拉承载力和裂缝宽度计算</w:t>
      </w:r>
      <w:r w:rsidRPr="00FD50F6">
        <w:rPr>
          <w:rFonts w:hint="eastAsia"/>
        </w:rPr>
        <w:t>，</w:t>
      </w:r>
      <w:r w:rsidRPr="00FD50F6">
        <w:t>最大裂缝宽度限值应按本</w:t>
      </w:r>
      <w:r w:rsidRPr="00FD50F6">
        <w:rPr>
          <w:rFonts w:hint="eastAsia"/>
        </w:rPr>
        <w:t>标准</w:t>
      </w:r>
      <w:r w:rsidRPr="00FD50F6">
        <w:t>第</w:t>
      </w:r>
      <w:r w:rsidR="00CD0099" w:rsidRPr="00FD50F6">
        <w:rPr>
          <w:rFonts w:hint="eastAsia"/>
        </w:rPr>
        <w:t>1</w:t>
      </w:r>
      <w:r w:rsidR="00CD0099" w:rsidRPr="00FD50F6">
        <w:t>2</w:t>
      </w:r>
      <w:r w:rsidRPr="00FD50F6">
        <w:t>.1.9</w:t>
      </w:r>
      <w:r w:rsidRPr="00FD50F6">
        <w:t>条的规定执行</w:t>
      </w:r>
      <w:r w:rsidRPr="00FD50F6">
        <w:rPr>
          <w:rFonts w:hint="eastAsia"/>
        </w:rPr>
        <w:t>，</w:t>
      </w:r>
      <w:r w:rsidRPr="00FD50F6">
        <w:t>同时</w:t>
      </w:r>
      <w:r w:rsidRPr="00FD50F6">
        <w:rPr>
          <w:rFonts w:hint="eastAsia"/>
        </w:rPr>
        <w:t>应</w:t>
      </w:r>
      <w:r w:rsidRPr="00FD50F6">
        <w:t>满足结构耐久性设计的要求。应按现行</w:t>
      </w:r>
      <w:r w:rsidRPr="00FD50F6">
        <w:rPr>
          <w:rFonts w:hint="eastAsia"/>
        </w:rPr>
        <w:t>行业标准</w:t>
      </w:r>
      <w:r w:rsidRPr="00FD50F6">
        <w:t>《建筑基桩检测技术规范》</w:t>
      </w:r>
      <w:r w:rsidRPr="00FD50F6">
        <w:t>JGJ 106</w:t>
      </w:r>
      <w:r w:rsidRPr="00FD50F6">
        <w:t>的规定进行现场原位单桩竖向抗拔静载试验及桩身完整性检测。</w:t>
      </w:r>
    </w:p>
    <w:p w14:paraId="3D00E582" w14:textId="77777777" w:rsidR="00D3119D" w:rsidRPr="00FD50F6" w:rsidRDefault="00D3119D" w:rsidP="00D3119D">
      <w:pPr>
        <w:pStyle w:val="30"/>
      </w:pPr>
      <w:r w:rsidRPr="00FD50F6">
        <w:rPr>
          <w:rFonts w:hint="eastAsia"/>
        </w:rPr>
        <w:t>明挖条件下的预制装配式地下结构设计应符合下列规定：</w:t>
      </w:r>
    </w:p>
    <w:p w14:paraId="6671762E" w14:textId="0A43148D" w:rsidR="00D3119D" w:rsidRPr="00FD50F6" w:rsidRDefault="00D3119D" w:rsidP="00A926BD">
      <w:pPr>
        <w:pStyle w:val="4"/>
      </w:pPr>
      <w:r w:rsidRPr="00FD50F6">
        <w:t>根据建造功能需求</w:t>
      </w:r>
      <w:r w:rsidRPr="00FD50F6">
        <w:rPr>
          <w:rFonts w:hint="eastAsia"/>
        </w:rPr>
        <w:t>，明挖条件下的预制装配式地下结构可采用矩形或拱形框架结构型式，并计及地层与结构的相互约束和共同作用影响，结构体系在拼装全过程及使用期间应满足稳定性、承载能力和变形要求。</w:t>
      </w:r>
    </w:p>
    <w:p w14:paraId="29CFA744" w14:textId="77777777" w:rsidR="00D3119D" w:rsidRPr="00FD50F6" w:rsidRDefault="00D3119D" w:rsidP="00A926BD">
      <w:pPr>
        <w:pStyle w:val="4"/>
      </w:pPr>
      <w:r w:rsidRPr="00FD50F6">
        <w:rPr>
          <w:rFonts w:hint="eastAsia"/>
        </w:rPr>
        <w:t>装配式地下结构的分块方式和预制构件大小尺寸的确定应满足结构在拼装过程及使用期间的受力和稳定性要求，同时尚应兼顾构件制作、运输、吊装、拼装和施工安全的需求。</w:t>
      </w:r>
    </w:p>
    <w:p w14:paraId="1E50AC67" w14:textId="77777777" w:rsidR="00D3119D" w:rsidRPr="00FD50F6" w:rsidRDefault="00D3119D" w:rsidP="00A926BD">
      <w:pPr>
        <w:pStyle w:val="4"/>
      </w:pPr>
      <w:r w:rsidRPr="00FD50F6">
        <w:t>预制构件连接接头的设计</w:t>
      </w:r>
      <w:r w:rsidRPr="00FD50F6">
        <w:rPr>
          <w:rFonts w:hint="eastAsia"/>
        </w:rPr>
        <w:t>应满足结构受力、防水和耐久性要求，并</w:t>
      </w:r>
      <w:r w:rsidRPr="00FD50F6">
        <w:t>根据地下</w:t>
      </w:r>
      <w:r w:rsidRPr="00FD50F6">
        <w:rPr>
          <w:rFonts w:hint="eastAsia"/>
        </w:rPr>
        <w:t>结构的受力特性和</w:t>
      </w:r>
      <w:r w:rsidRPr="00FD50F6">
        <w:t>工程施工环境特点</w:t>
      </w:r>
      <w:r w:rsidRPr="00FD50F6">
        <w:rPr>
          <w:rFonts w:hint="eastAsia"/>
        </w:rPr>
        <w:t>，宜选择方便和快速拼装的干式连接接头型式。</w:t>
      </w:r>
    </w:p>
    <w:p w14:paraId="17F2B6F3" w14:textId="77777777" w:rsidR="00D3119D" w:rsidRPr="00FD50F6" w:rsidRDefault="00D3119D" w:rsidP="00A926BD">
      <w:pPr>
        <w:pStyle w:val="4"/>
      </w:pPr>
      <w:r w:rsidRPr="00FD50F6">
        <w:rPr>
          <w:rFonts w:hint="eastAsia"/>
        </w:rPr>
        <w:t>预制装配式结构的受力分析应根据接头结构的力学行为特性，并结合构件</w:t>
      </w:r>
      <w:r w:rsidRPr="00FD50F6">
        <w:rPr>
          <w:rFonts w:hint="eastAsia"/>
        </w:rPr>
        <w:lastRenderedPageBreak/>
        <w:t>生产、吊</w:t>
      </w:r>
      <w:r w:rsidRPr="00FD50F6">
        <w:t>运</w:t>
      </w:r>
      <w:r w:rsidRPr="00FD50F6">
        <w:rPr>
          <w:rFonts w:hint="eastAsia"/>
        </w:rPr>
        <w:t>、拼装、回填等全过程结构体系的转换进行施工和使用期间各工况作用下的承载能力极限状态和正常使用极限状态计算，验算接头和结构体系的承载能力及变形。</w:t>
      </w:r>
    </w:p>
    <w:p w14:paraId="55613F59" w14:textId="77777777" w:rsidR="00D3119D" w:rsidRPr="00FD50F6" w:rsidRDefault="00D3119D" w:rsidP="00A926BD">
      <w:pPr>
        <w:pStyle w:val="4"/>
      </w:pPr>
      <w:r w:rsidRPr="00FD50F6">
        <w:t>结合装配式结构型式及单个预制构件体重</w:t>
      </w:r>
      <w:r w:rsidRPr="00FD50F6">
        <w:rPr>
          <w:rFonts w:hint="eastAsia"/>
        </w:rPr>
        <w:t>，宜进行预制构件的轻量化设计，可选择闭腔薄壁构件、肋板等多种轻量化形式。</w:t>
      </w:r>
    </w:p>
    <w:p w14:paraId="0EC82695" w14:textId="77777777" w:rsidR="00D3119D" w:rsidRPr="00FD50F6" w:rsidRDefault="00D3119D" w:rsidP="00A65181">
      <w:pPr>
        <w:pStyle w:val="2"/>
      </w:pPr>
      <w:bookmarkStart w:id="451" w:name="_Toc344218758"/>
      <w:bookmarkStart w:id="452" w:name="_Toc112830720"/>
      <w:r w:rsidRPr="00FD50F6">
        <w:rPr>
          <w:rFonts w:hint="eastAsia"/>
        </w:rPr>
        <w:t>盖挖逆作法</w:t>
      </w:r>
      <w:r w:rsidRPr="00FD50F6">
        <w:t>结构设计</w:t>
      </w:r>
      <w:bookmarkEnd w:id="451"/>
      <w:bookmarkEnd w:id="452"/>
    </w:p>
    <w:p w14:paraId="2F7CCF2A" w14:textId="188CFA29" w:rsidR="00D3119D" w:rsidRPr="00FD50F6" w:rsidRDefault="00D3119D" w:rsidP="00D3119D">
      <w:pPr>
        <w:pStyle w:val="30"/>
      </w:pPr>
      <w:r w:rsidRPr="00FD50F6">
        <w:rPr>
          <w:rFonts w:hint="eastAsia"/>
          <w:lang w:val="zh-CN"/>
        </w:rPr>
        <w:t>盖挖逆作法</w:t>
      </w:r>
      <w:r w:rsidRPr="00FD50F6">
        <w:rPr>
          <w:lang w:val="zh-CN"/>
        </w:rPr>
        <w:t>基坑工程设计</w:t>
      </w:r>
      <w:r w:rsidRPr="00FD50F6">
        <w:rPr>
          <w:rFonts w:hint="eastAsia"/>
          <w:lang w:val="zh-CN"/>
        </w:rPr>
        <w:t>除应符合本标准</w:t>
      </w:r>
      <w:r w:rsidR="00CD0099" w:rsidRPr="00FD50F6">
        <w:rPr>
          <w:rFonts w:hint="eastAsia"/>
          <w:lang w:val="zh-CN"/>
        </w:rPr>
        <w:t>第</w:t>
      </w:r>
      <w:r w:rsidR="00CD0099" w:rsidRPr="00FD50F6">
        <w:rPr>
          <w:rFonts w:hint="eastAsia"/>
          <w:lang w:val="zh-CN"/>
        </w:rPr>
        <w:t>1</w:t>
      </w:r>
      <w:r w:rsidR="00CD0099" w:rsidRPr="00FD50F6">
        <w:t>2</w:t>
      </w:r>
      <w:r w:rsidRPr="00FD50F6">
        <w:rPr>
          <w:rFonts w:hint="eastAsia"/>
          <w:lang w:val="zh-CN"/>
        </w:rPr>
        <w:t>.3.1</w:t>
      </w:r>
      <w:r w:rsidRPr="00FD50F6">
        <w:rPr>
          <w:rFonts w:hint="eastAsia"/>
          <w:lang w:val="zh-CN"/>
        </w:rPr>
        <w:t>条的规定外，尚应符合下列规定：</w:t>
      </w:r>
    </w:p>
    <w:p w14:paraId="6224381A" w14:textId="2B6262A2" w:rsidR="00D3119D" w:rsidRPr="00FD50F6" w:rsidRDefault="00D3119D" w:rsidP="00A926BD">
      <w:pPr>
        <w:pStyle w:val="4"/>
      </w:pPr>
      <w:r w:rsidRPr="00FD50F6">
        <w:rPr>
          <w:rFonts w:hint="eastAsia"/>
        </w:rPr>
        <w:t>盖挖逆作法工程在设计阶段应根据场地环境情况、工程地质和水文地质条件、交通疏解需求、地下管线状况、工期要求、工程造价等多因素，确定总体工程筹划方案，包括施工场地布置、道路交通组织、地下管线改移、工期安排等内容，并应确定出土进料通道的设置型式、位置和数量。</w:t>
      </w:r>
    </w:p>
    <w:p w14:paraId="22891FFA" w14:textId="46C9DA57" w:rsidR="00D3119D" w:rsidRPr="00FD50F6" w:rsidRDefault="00D3119D" w:rsidP="00A926BD">
      <w:pPr>
        <w:pStyle w:val="4"/>
      </w:pPr>
      <w:r w:rsidRPr="00FD50F6">
        <w:rPr>
          <w:rFonts w:hint="eastAsia"/>
        </w:rPr>
        <w:t>盖挖逆作法基坑支护宜采用桩、墙式结构，顶板以上浅基坑可与下部深基坑支护结构</w:t>
      </w:r>
      <w:r w:rsidRPr="00FD50F6">
        <w:t>统筹</w:t>
      </w:r>
      <w:r w:rsidRPr="00FD50F6">
        <w:rPr>
          <w:rFonts w:hint="eastAsia"/>
        </w:rPr>
        <w:t>设置，亦可单独设置。</w:t>
      </w:r>
    </w:p>
    <w:p w14:paraId="019C8E32" w14:textId="62D7DF65" w:rsidR="00D3119D" w:rsidRPr="00FD50F6" w:rsidRDefault="00D3119D" w:rsidP="00A926BD">
      <w:pPr>
        <w:pStyle w:val="4"/>
      </w:pPr>
      <w:r w:rsidRPr="00FD50F6">
        <w:rPr>
          <w:rFonts w:hint="eastAsia"/>
        </w:rPr>
        <w:t>当场地条件受限或道路交通导改需要</w:t>
      </w:r>
      <w:r w:rsidRPr="00FD50F6">
        <w:t>地下结构</w:t>
      </w:r>
      <w:r w:rsidRPr="00FD50F6">
        <w:rPr>
          <w:rFonts w:hint="eastAsia"/>
        </w:rPr>
        <w:t>顶板结构无法一次完成时，可将顶板结构进行分幅施工，根据需要可分两次或多次，相应的顶板以上浅基坑</w:t>
      </w:r>
      <w:r w:rsidR="00B64634">
        <w:rPr>
          <w:rFonts w:hint="eastAsia"/>
        </w:rPr>
        <w:t>可</w:t>
      </w:r>
      <w:r w:rsidRPr="00FD50F6">
        <w:rPr>
          <w:rFonts w:hint="eastAsia"/>
        </w:rPr>
        <w:t>随顶板分幅情况进行基坑支护和土体开挖。</w:t>
      </w:r>
      <w:r w:rsidRPr="00FD50F6">
        <w:t xml:space="preserve"> </w:t>
      </w:r>
    </w:p>
    <w:p w14:paraId="6E07B581" w14:textId="48CA1BBD" w:rsidR="00D3119D" w:rsidRPr="00FD50F6" w:rsidRDefault="00D3119D" w:rsidP="00A926BD">
      <w:pPr>
        <w:pStyle w:val="4"/>
      </w:pPr>
      <w:r w:rsidRPr="00FD50F6">
        <w:rPr>
          <w:rFonts w:hint="eastAsia"/>
        </w:rPr>
        <w:t>在盖挖逆作法</w:t>
      </w:r>
      <w:r w:rsidRPr="00FD50F6">
        <w:t>基坑开挖</w:t>
      </w:r>
      <w:r w:rsidRPr="00FD50F6">
        <w:rPr>
          <w:rFonts w:hint="eastAsia"/>
        </w:rPr>
        <w:t>过程</w:t>
      </w:r>
      <w:r w:rsidRPr="00FD50F6">
        <w:t>中</w:t>
      </w:r>
      <w:r w:rsidRPr="00FD50F6">
        <w:rPr>
          <w:rFonts w:hint="eastAsia"/>
        </w:rPr>
        <w:t>，用于支撑支护结构的水平支撑体系宜</w:t>
      </w:r>
      <w:r w:rsidRPr="00FD50F6">
        <w:t>由</w:t>
      </w:r>
      <w:r w:rsidRPr="00FD50F6">
        <w:rPr>
          <w:rFonts w:hint="eastAsia"/>
        </w:rPr>
        <w:t>主体结构的各层结构板组成；承受结构底板封闭前的竖向荷载作用的竖向支撑体系应由基坑支护结构和中间立柱及柱下基础组成。</w:t>
      </w:r>
    </w:p>
    <w:p w14:paraId="38CB0F8C" w14:textId="177D4C33" w:rsidR="00D3119D" w:rsidRPr="00FD50F6" w:rsidRDefault="00D3119D" w:rsidP="00A926BD">
      <w:pPr>
        <w:pStyle w:val="4"/>
      </w:pPr>
      <w:r w:rsidRPr="00FD50F6">
        <w:rPr>
          <w:rFonts w:hint="eastAsia"/>
        </w:rPr>
        <w:t>对于全岩体喷锚支护结构基坑，结构顶板可直接搁置于岩肩上，由岩体支撑竖向荷载作用，并应计及顶板竖向荷载对岩体边坡稳定的影响。</w:t>
      </w:r>
    </w:p>
    <w:p w14:paraId="612052A3" w14:textId="5804CD5A" w:rsidR="00D3119D" w:rsidRPr="00FD50F6" w:rsidRDefault="00D3119D" w:rsidP="00D3119D">
      <w:pPr>
        <w:pStyle w:val="30"/>
        <w:rPr>
          <w:lang w:val="zh-CN"/>
        </w:rPr>
      </w:pPr>
      <w:r w:rsidRPr="00FD50F6">
        <w:rPr>
          <w:rFonts w:hint="eastAsia"/>
          <w:lang w:val="zh-CN"/>
        </w:rPr>
        <w:t>盖挖逆作法结构</w:t>
      </w:r>
      <w:r w:rsidRPr="00FD50F6">
        <w:rPr>
          <w:lang w:val="zh-CN"/>
        </w:rPr>
        <w:t>设计</w:t>
      </w:r>
      <w:r w:rsidRPr="00FD50F6">
        <w:rPr>
          <w:rFonts w:hint="eastAsia"/>
          <w:lang w:val="zh-CN"/>
        </w:rPr>
        <w:t>除应符合本标准</w:t>
      </w:r>
      <w:r w:rsidR="00CD0099" w:rsidRPr="00FD50F6">
        <w:rPr>
          <w:rFonts w:hint="eastAsia"/>
          <w:lang w:val="zh-CN"/>
        </w:rPr>
        <w:t>第</w:t>
      </w:r>
      <w:r w:rsidR="00CD0099" w:rsidRPr="00FD50F6">
        <w:rPr>
          <w:rFonts w:hint="eastAsia"/>
          <w:lang w:val="zh-CN"/>
        </w:rPr>
        <w:t>1</w:t>
      </w:r>
      <w:r w:rsidR="00CD0099" w:rsidRPr="00FD50F6">
        <w:t>2</w:t>
      </w:r>
      <w:r w:rsidRPr="00FD50F6">
        <w:rPr>
          <w:rFonts w:hint="eastAsia"/>
          <w:lang w:val="zh-CN"/>
        </w:rPr>
        <w:t>.3.2</w:t>
      </w:r>
      <w:r w:rsidRPr="00FD50F6">
        <w:rPr>
          <w:rFonts w:hint="eastAsia"/>
          <w:lang w:val="zh-CN"/>
        </w:rPr>
        <w:t>条的规定外，尚应符合下列规定：</w:t>
      </w:r>
    </w:p>
    <w:p w14:paraId="300F1CD2" w14:textId="0F25EFC2" w:rsidR="00D3119D" w:rsidRPr="00FD50F6" w:rsidRDefault="00D3119D" w:rsidP="00A926BD">
      <w:pPr>
        <w:pStyle w:val="4"/>
      </w:pPr>
      <w:r w:rsidRPr="00FD50F6">
        <w:t>盖挖逆作法</w:t>
      </w:r>
      <w:r w:rsidRPr="00FD50F6">
        <w:rPr>
          <w:rFonts w:hint="eastAsia"/>
        </w:rPr>
        <w:t>地下结构的受力分析应根据结构的实际受力状况、施工和使用期间荷载与结构的变化情况、结</w:t>
      </w:r>
      <w:r w:rsidRPr="00FD50F6">
        <w:t>构</w:t>
      </w:r>
      <w:r w:rsidRPr="00FD50F6">
        <w:rPr>
          <w:rFonts w:hint="eastAsia"/>
        </w:rPr>
        <w:t>变</w:t>
      </w:r>
      <w:r w:rsidRPr="00FD50F6">
        <w:t>形和</w:t>
      </w:r>
      <w:r w:rsidRPr="00FD50F6">
        <w:rPr>
          <w:rFonts w:hint="eastAsia"/>
        </w:rPr>
        <w:t>应</w:t>
      </w:r>
      <w:r w:rsidRPr="00FD50F6">
        <w:t>力状</w:t>
      </w:r>
      <w:r w:rsidRPr="00FD50F6">
        <w:rPr>
          <w:rFonts w:hint="eastAsia"/>
        </w:rPr>
        <w:t>态</w:t>
      </w:r>
      <w:r w:rsidRPr="00FD50F6">
        <w:t>的</w:t>
      </w:r>
      <w:r w:rsidRPr="00FD50F6">
        <w:rPr>
          <w:rFonts w:hint="eastAsia"/>
        </w:rPr>
        <w:t>继</w:t>
      </w:r>
      <w:r w:rsidRPr="00FD50F6">
        <w:t>承性</w:t>
      </w:r>
      <w:r w:rsidRPr="00FD50F6">
        <w:rPr>
          <w:rFonts w:hint="eastAsia"/>
        </w:rPr>
        <w:t>以及地层与结构的相互作用及土体的非线性特性，将结构受力过程分解成若干个相对独立的工况，并应采用增量法进行计算。</w:t>
      </w:r>
    </w:p>
    <w:p w14:paraId="4ED16374" w14:textId="77777777" w:rsidR="00D3119D" w:rsidRPr="00FD50F6" w:rsidRDefault="00D3119D" w:rsidP="00A926BD">
      <w:pPr>
        <w:pStyle w:val="4"/>
      </w:pPr>
      <w:r w:rsidRPr="00FD50F6">
        <w:lastRenderedPageBreak/>
        <w:t>当楼板和梁等构件作为水平支撑体系时，应满足施工和使用阶段的承载力和刚度要求</w:t>
      </w:r>
      <w:r w:rsidRPr="00FD50F6">
        <w:rPr>
          <w:rFonts w:hint="eastAsia"/>
        </w:rPr>
        <w:t>。</w:t>
      </w:r>
    </w:p>
    <w:p w14:paraId="51E137B3" w14:textId="513897A1" w:rsidR="00D3119D" w:rsidRPr="00FD50F6" w:rsidRDefault="00D3119D" w:rsidP="00A926BD">
      <w:pPr>
        <w:pStyle w:val="4"/>
      </w:pPr>
      <w:r w:rsidRPr="00FD50F6">
        <w:rPr>
          <w:rFonts w:hint="eastAsia"/>
        </w:rPr>
        <w:t>作为竖向</w:t>
      </w:r>
      <w:r w:rsidRPr="00FD50F6">
        <w:t>支撑系统的中间</w:t>
      </w:r>
      <w:r w:rsidRPr="00FD50F6">
        <w:rPr>
          <w:rFonts w:hint="eastAsia"/>
        </w:rPr>
        <w:t>立柱的型式</w:t>
      </w:r>
      <w:r w:rsidRPr="00FD50F6">
        <w:t>和间距应结合建筑、受力、地层条件和工期等要求确定，并宜采用临时支撑柱与永久</w:t>
      </w:r>
      <w:r w:rsidRPr="00FD50F6">
        <w:rPr>
          <w:rFonts w:hint="eastAsia"/>
        </w:rPr>
        <w:t>结构</w:t>
      </w:r>
      <w:r w:rsidRPr="00FD50F6">
        <w:t>柱合一的方案。中间立</w:t>
      </w:r>
      <w:r w:rsidRPr="00FD50F6">
        <w:rPr>
          <w:rFonts w:hint="eastAsia"/>
        </w:rPr>
        <w:t>柱可采用钢管混凝士柱或型钢柱，柱下基础宜采用桩基础，并应为一柱一桩型式。</w:t>
      </w:r>
    </w:p>
    <w:p w14:paraId="4822B0B5" w14:textId="031DD7CE" w:rsidR="00D3119D" w:rsidRPr="00FD50F6" w:rsidRDefault="00D3119D" w:rsidP="00A926BD">
      <w:pPr>
        <w:pStyle w:val="4"/>
      </w:pPr>
      <w:r w:rsidRPr="00FD50F6">
        <w:rPr>
          <w:rFonts w:hint="eastAsia"/>
        </w:rPr>
        <w:t>柱下桩基的形式应根据地层特性、受力大小，进行技术、经济比较后确定，可采用直桩、扩底桩、</w:t>
      </w:r>
      <w:r w:rsidRPr="00FD50F6">
        <w:t>多</w:t>
      </w:r>
      <w:r w:rsidRPr="00FD50F6">
        <w:rPr>
          <w:rFonts w:hint="eastAsia"/>
        </w:rPr>
        <w:t>盘桩等形式。</w:t>
      </w:r>
      <w:r w:rsidRPr="00FD50F6">
        <w:t>桩基的垂直承载能力宜根据计算或现场原位静力试验结果按变形要求进行修正。桩基应按现行行业标准《建筑基桩检测技术规范》</w:t>
      </w:r>
      <w:r w:rsidRPr="00FD50F6">
        <w:t>JGJ 106</w:t>
      </w:r>
      <w:r w:rsidRPr="00FD50F6">
        <w:t>的规定对桩身完整性逐根进行检查</w:t>
      </w:r>
      <w:r w:rsidRPr="00FD50F6">
        <w:rPr>
          <w:rFonts w:hint="eastAsia"/>
        </w:rPr>
        <w:t>。</w:t>
      </w:r>
    </w:p>
    <w:p w14:paraId="75E1F20F" w14:textId="5C9CA9DB" w:rsidR="00D3119D" w:rsidRPr="00FD50F6" w:rsidRDefault="00D3119D" w:rsidP="00A926BD">
      <w:pPr>
        <w:pStyle w:val="4"/>
      </w:pPr>
      <w:r w:rsidRPr="00FD50F6">
        <w:rPr>
          <w:rFonts w:hint="eastAsia"/>
        </w:rPr>
        <w:t>应采取</w:t>
      </w:r>
      <w:r w:rsidRPr="00FD50F6">
        <w:t>措施</w:t>
      </w:r>
      <w:r w:rsidRPr="00FD50F6">
        <w:rPr>
          <w:rFonts w:hint="eastAsia"/>
        </w:rPr>
        <w:t>控制施工过程中基坑支护结构与中间桩基之间的相对升沉</w:t>
      </w:r>
      <w:r w:rsidRPr="00FD50F6">
        <w:t>。结构底板施作前，相对升沉的累计值</w:t>
      </w:r>
      <w:r w:rsidRPr="00FD50F6">
        <w:rPr>
          <w:rFonts w:hint="eastAsia"/>
        </w:rPr>
        <w:t>不应大于支护结构与立柱轴线间距离的千分之三，且不</w:t>
      </w:r>
      <w:r w:rsidRPr="00FD50F6">
        <w:t>宜大于</w:t>
      </w:r>
      <w:r w:rsidRPr="00FD50F6">
        <w:t>20mm</w:t>
      </w:r>
      <w:r w:rsidRPr="00FD50F6">
        <w:t>，并应在结构分析中计入其影响</w:t>
      </w:r>
      <w:r w:rsidRPr="00FD50F6">
        <w:rPr>
          <w:rFonts w:hint="eastAsia"/>
        </w:rPr>
        <w:t>。</w:t>
      </w:r>
    </w:p>
    <w:p w14:paraId="78100F46" w14:textId="012D29CD" w:rsidR="00D3119D" w:rsidRPr="00FD50F6" w:rsidRDefault="00D3119D" w:rsidP="00A926BD">
      <w:pPr>
        <w:pStyle w:val="4"/>
      </w:pPr>
      <w:r w:rsidRPr="00FD50F6">
        <w:t>作为永久结构使用的中间竖向支撑系统应控制中间立柱的就位精度，允许定位偏差不</w:t>
      </w:r>
      <w:r w:rsidRPr="00FD50F6">
        <w:rPr>
          <w:rFonts w:hint="eastAsia"/>
        </w:rPr>
        <w:t>应</w:t>
      </w:r>
      <w:r w:rsidRPr="00FD50F6">
        <w:t>大于</w:t>
      </w:r>
      <w:r w:rsidRPr="00FD50F6">
        <w:t>20mm</w:t>
      </w:r>
      <w:r w:rsidRPr="00FD50F6">
        <w:t>，同时其垂直度偏差也不宜大于</w:t>
      </w:r>
      <w:r w:rsidRPr="00FD50F6">
        <w:t>1/500</w:t>
      </w:r>
      <w:r w:rsidRPr="00FD50F6">
        <w:t>。在柱的设计中应根据施工允许偏差计入偏心对承载能力的影响</w:t>
      </w:r>
      <w:r w:rsidRPr="00FD50F6">
        <w:rPr>
          <w:rFonts w:hint="eastAsia"/>
        </w:rPr>
        <w:t>。中间立柱定位和插入措施应采用技术先进、成熟可靠、施工安全快捷的</w:t>
      </w:r>
      <w:r w:rsidRPr="00FD50F6">
        <w:t>施工工艺</w:t>
      </w:r>
      <w:r w:rsidRPr="00FD50F6">
        <w:rPr>
          <w:rFonts w:hint="eastAsia"/>
        </w:rPr>
        <w:t>。</w:t>
      </w:r>
    </w:p>
    <w:p w14:paraId="1B26EAF1" w14:textId="77777777" w:rsidR="00D3119D" w:rsidRPr="00FD50F6" w:rsidRDefault="00D3119D" w:rsidP="00A926BD">
      <w:pPr>
        <w:pStyle w:val="4"/>
      </w:pPr>
      <w:r w:rsidRPr="00FD50F6">
        <w:rPr>
          <w:rFonts w:hint="eastAsia"/>
        </w:rPr>
        <w:t>中间立柱计算长度应根据施工期间和使用期间各种工况下水平构件对柱子的约束情况</w:t>
      </w:r>
      <w:r w:rsidRPr="00FD50F6">
        <w:t>和</w:t>
      </w:r>
      <w:r w:rsidRPr="00FD50F6">
        <w:rPr>
          <w:rFonts w:hint="eastAsia"/>
        </w:rPr>
        <w:t>柱身的实际工作状态确定，并应按无侧限框架及上、下柱脚的约束条件确定各项长度系数。</w:t>
      </w:r>
    </w:p>
    <w:p w14:paraId="3F0FD26D" w14:textId="01829A97" w:rsidR="00D3119D" w:rsidRPr="00FD50F6" w:rsidRDefault="00D3119D" w:rsidP="00A926BD">
      <w:pPr>
        <w:pStyle w:val="4"/>
      </w:pPr>
      <w:r w:rsidRPr="00FD50F6">
        <w:rPr>
          <w:rFonts w:hint="eastAsia"/>
        </w:rPr>
        <w:t>对于非</w:t>
      </w:r>
      <w:r w:rsidRPr="00FD50F6">
        <w:t>同步施作</w:t>
      </w:r>
      <w:r w:rsidRPr="00FD50F6">
        <w:rPr>
          <w:rFonts w:hint="eastAsia"/>
        </w:rPr>
        <w:t>构件的连接节点应进行专门设计，并应进行相应的承载力验算。</w:t>
      </w:r>
      <w:r w:rsidRPr="00FD50F6">
        <w:t>节点</w:t>
      </w:r>
      <w:r w:rsidRPr="00FD50F6">
        <w:rPr>
          <w:rFonts w:hint="eastAsia"/>
        </w:rPr>
        <w:t>设计</w:t>
      </w:r>
      <w:r w:rsidRPr="00FD50F6">
        <w:t>应</w:t>
      </w:r>
      <w:r w:rsidRPr="00FD50F6">
        <w:rPr>
          <w:rFonts w:hint="eastAsia"/>
        </w:rPr>
        <w:t>反映整体</w:t>
      </w:r>
      <w:r w:rsidRPr="00FD50F6">
        <w:t>结构预期的工作状态，在逆作法特定的施工条件下，非同步施工的构件</w:t>
      </w:r>
      <w:r w:rsidRPr="00FD50F6">
        <w:rPr>
          <w:rFonts w:hint="eastAsia"/>
        </w:rPr>
        <w:t>相交节点在既定的约束条件下应可操作、</w:t>
      </w:r>
      <w:r w:rsidRPr="00FD50F6">
        <w:t>连接简便、传力可靠</w:t>
      </w:r>
      <w:r w:rsidR="005654D5">
        <w:rPr>
          <w:rFonts w:hint="eastAsia"/>
        </w:rPr>
        <w:t>，</w:t>
      </w:r>
      <w:r w:rsidRPr="00FD50F6">
        <w:rPr>
          <w:rFonts w:hint="eastAsia"/>
        </w:rPr>
        <w:t>且</w:t>
      </w:r>
      <w:r w:rsidRPr="00FD50F6">
        <w:t>不应影响后续作业的进行</w:t>
      </w:r>
      <w:r w:rsidRPr="00FD50F6">
        <w:rPr>
          <w:rFonts w:hint="eastAsia"/>
        </w:rPr>
        <w:t>。</w:t>
      </w:r>
    </w:p>
    <w:p w14:paraId="5D08863F" w14:textId="77777777" w:rsidR="00D3119D" w:rsidRPr="00FD50F6" w:rsidRDefault="00D3119D" w:rsidP="00A926BD">
      <w:pPr>
        <w:pStyle w:val="4"/>
      </w:pPr>
      <w:r w:rsidRPr="00FD50F6">
        <w:rPr>
          <w:rFonts w:hint="eastAsia"/>
        </w:rPr>
        <w:t>中间立柱上柱脚与顶板梁的连接宜采用端承式，约束条件应为铰接</w:t>
      </w:r>
      <w:r w:rsidRPr="00FD50F6">
        <w:t>；中间立柱与中楼板梁和底板梁的连接应为贯穿式</w:t>
      </w:r>
      <w:r w:rsidRPr="00FD50F6">
        <w:rPr>
          <w:rFonts w:hint="eastAsia"/>
        </w:rPr>
        <w:t>，约束条件应为刚接；中间立柱下柱脚与桩基础的连接应采用插入式，约束条件应为刚接。</w:t>
      </w:r>
    </w:p>
    <w:p w14:paraId="2B13193F" w14:textId="502CBA46" w:rsidR="00D3119D" w:rsidRPr="00FD50F6" w:rsidRDefault="00D3119D" w:rsidP="00A926BD">
      <w:pPr>
        <w:pStyle w:val="4"/>
      </w:pPr>
      <w:r w:rsidRPr="00FD50F6">
        <w:t>应采取</w:t>
      </w:r>
      <w:r w:rsidRPr="00FD50F6">
        <w:rPr>
          <w:rFonts w:hint="eastAsia"/>
        </w:rPr>
        <w:t>满足下部后浇墙、柱与先期施作的混凝土之间的整体性、水密性和耐久性要求的措施。</w:t>
      </w:r>
    </w:p>
    <w:p w14:paraId="16BC511E" w14:textId="77777777" w:rsidR="00D3119D" w:rsidRPr="00FD50F6" w:rsidRDefault="00D3119D" w:rsidP="00A65181">
      <w:pPr>
        <w:pStyle w:val="2"/>
      </w:pPr>
      <w:bookmarkStart w:id="453" w:name="_Toc112830721"/>
      <w:r w:rsidRPr="00FD50F6">
        <w:rPr>
          <w:rFonts w:hint="eastAsia"/>
        </w:rPr>
        <w:t>矿山法结构设计</w:t>
      </w:r>
      <w:bookmarkEnd w:id="453"/>
    </w:p>
    <w:p w14:paraId="5180AD76" w14:textId="6F098551" w:rsidR="00D3119D" w:rsidRPr="00FD50F6" w:rsidRDefault="00D3119D" w:rsidP="00D3119D">
      <w:pPr>
        <w:pStyle w:val="30"/>
        <w:rPr>
          <w:lang w:val="zh-CN"/>
        </w:rPr>
      </w:pPr>
      <w:r w:rsidRPr="00FD50F6">
        <w:rPr>
          <w:lang w:val="zh-CN"/>
        </w:rPr>
        <w:lastRenderedPageBreak/>
        <w:t>矿山法结构设计应以喷射混凝土、钢拱架（格栅拱架</w:t>
      </w:r>
      <w:r w:rsidRPr="00FD50F6">
        <w:rPr>
          <w:rFonts w:hint="eastAsia"/>
          <w:lang w:val="zh-CN"/>
        </w:rPr>
        <w:t>、</w:t>
      </w:r>
      <w:r w:rsidRPr="00FD50F6">
        <w:rPr>
          <w:lang w:val="zh-CN"/>
        </w:rPr>
        <w:t>型钢拱架）或锚杆为主要支护手段，</w:t>
      </w:r>
      <w:r w:rsidRPr="00FD50F6">
        <w:rPr>
          <w:rFonts w:hint="eastAsia"/>
          <w:lang w:val="zh-CN"/>
        </w:rPr>
        <w:t>并应</w:t>
      </w:r>
      <w:r w:rsidRPr="00FD50F6">
        <w:rPr>
          <w:lang w:val="zh-CN"/>
        </w:rPr>
        <w:t>根据围岩和环境条件、结构埋深和断面尺度等</w:t>
      </w:r>
      <w:r w:rsidRPr="00FD50F6">
        <w:rPr>
          <w:rFonts w:hint="eastAsia"/>
          <w:lang w:val="zh-CN"/>
        </w:rPr>
        <w:t>因素</w:t>
      </w:r>
      <w:r w:rsidRPr="00FD50F6">
        <w:rPr>
          <w:lang w:val="zh-CN"/>
        </w:rPr>
        <w:t>选择适宜的施工方法、辅助措施、支护形式及与之相关的</w:t>
      </w:r>
      <w:r w:rsidRPr="00FD50F6">
        <w:rPr>
          <w:rFonts w:hint="eastAsia"/>
          <w:lang w:val="zh-CN"/>
        </w:rPr>
        <w:t>结构设计</w:t>
      </w:r>
      <w:r w:rsidRPr="00FD50F6">
        <w:rPr>
          <w:lang w:val="zh-CN"/>
        </w:rPr>
        <w:t>参数。施工中，应通过对围岩和支护的动态监测，</w:t>
      </w:r>
      <w:r w:rsidRPr="00FD50F6">
        <w:rPr>
          <w:rFonts w:hint="eastAsia"/>
          <w:lang w:val="zh-CN"/>
        </w:rPr>
        <w:t>动态调整</w:t>
      </w:r>
      <w:r w:rsidRPr="00FD50F6">
        <w:rPr>
          <w:lang w:val="zh-CN"/>
        </w:rPr>
        <w:t>设计和施工参数</w:t>
      </w:r>
      <w:r w:rsidRPr="00FD50F6">
        <w:rPr>
          <w:rFonts w:hint="eastAsia"/>
          <w:lang w:val="zh-CN"/>
        </w:rPr>
        <w:t>。</w:t>
      </w:r>
    </w:p>
    <w:p w14:paraId="508B5F3C" w14:textId="1BD31C50" w:rsidR="00D3119D" w:rsidRPr="00FD50F6" w:rsidRDefault="00D3119D" w:rsidP="00D3119D">
      <w:pPr>
        <w:pStyle w:val="30"/>
      </w:pPr>
      <w:r w:rsidRPr="00FD50F6">
        <w:t>矿山法车站隧道及断面尺度相当的</w:t>
      </w:r>
      <w:r w:rsidRPr="00FD50F6">
        <w:rPr>
          <w:rFonts w:hint="eastAsia"/>
        </w:rPr>
        <w:t>折返线、渡线和停车线隧道，</w:t>
      </w:r>
      <w:r w:rsidRPr="00FD50F6">
        <w:t>最小覆土厚度不宜小于</w:t>
      </w:r>
      <w:r w:rsidRPr="00FD50F6">
        <w:t>6m</w:t>
      </w:r>
      <w:r w:rsidRPr="00FD50F6">
        <w:rPr>
          <w:rFonts w:hint="eastAsia"/>
        </w:rPr>
        <w:t>；</w:t>
      </w:r>
      <w:r w:rsidRPr="00FD50F6">
        <w:t>矿山法区间隧道最小覆土厚度不宜小于隧道开挖宽度的</w:t>
      </w:r>
      <w:r w:rsidRPr="00FD50F6">
        <w:t>1</w:t>
      </w:r>
      <w:r w:rsidRPr="00FD50F6">
        <w:t>倍</w:t>
      </w:r>
      <w:r w:rsidRPr="00FD50F6">
        <w:rPr>
          <w:rFonts w:hint="eastAsia"/>
        </w:rPr>
        <w:t>。</w:t>
      </w:r>
    </w:p>
    <w:p w14:paraId="0DD152B2" w14:textId="77777777" w:rsidR="00D3119D" w:rsidRPr="00FD50F6" w:rsidRDefault="00D3119D" w:rsidP="00D3119D">
      <w:pPr>
        <w:pStyle w:val="30"/>
        <w:rPr>
          <w:lang w:val="zh-CN"/>
        </w:rPr>
      </w:pPr>
      <w:r w:rsidRPr="00FD50F6">
        <w:rPr>
          <w:rFonts w:hint="eastAsia"/>
          <w:lang w:val="zh-CN"/>
        </w:rPr>
        <w:t>矿山法结构选型应符合下列规定：</w:t>
      </w:r>
    </w:p>
    <w:p w14:paraId="325E3E99" w14:textId="0CF1F68B" w:rsidR="00D3119D" w:rsidRPr="00FD50F6" w:rsidRDefault="00D3119D" w:rsidP="00A926BD">
      <w:pPr>
        <w:pStyle w:val="4"/>
      </w:pPr>
      <w:r w:rsidRPr="00FD50F6">
        <w:rPr>
          <w:rFonts w:hint="eastAsia"/>
        </w:rPr>
        <w:t>矿山法</w:t>
      </w:r>
      <w:r w:rsidRPr="00FD50F6">
        <w:t>结构的断面形状和衬砌形式应根据围岩条件、使用要求、施工方法及断面尺度等，从受力、围岩稳定和环境保护等方面综合分析确定</w:t>
      </w:r>
      <w:r w:rsidRPr="00FD50F6">
        <w:rPr>
          <w:rFonts w:hint="eastAsia"/>
        </w:rPr>
        <w:t>。</w:t>
      </w:r>
    </w:p>
    <w:p w14:paraId="64943571" w14:textId="77777777" w:rsidR="00D3119D" w:rsidRPr="00FD50F6" w:rsidRDefault="00D3119D" w:rsidP="00A926BD">
      <w:pPr>
        <w:pStyle w:val="4"/>
      </w:pPr>
      <w:r w:rsidRPr="00FD50F6">
        <w:t>矿山法结构宜采用封闭的圆顺曲线形结构型式，侧墙可采用曲墙或直墙型式，底板可采用平底板或仰拱型式，在无条件起拱等特殊情况下也可采用矩形结构</w:t>
      </w:r>
      <w:r w:rsidRPr="00FD50F6">
        <w:rPr>
          <w:rFonts w:hint="eastAsia"/>
        </w:rPr>
        <w:t>。</w:t>
      </w:r>
    </w:p>
    <w:p w14:paraId="24D3234B" w14:textId="416110A8" w:rsidR="00D3119D" w:rsidRPr="00FD50F6" w:rsidRDefault="00D3119D" w:rsidP="00A926BD">
      <w:pPr>
        <w:pStyle w:val="4"/>
      </w:pPr>
      <w:r w:rsidRPr="00FD50F6">
        <w:t>矿山法结构</w:t>
      </w:r>
      <w:r w:rsidRPr="00FD50F6">
        <w:rPr>
          <w:rFonts w:hint="eastAsia"/>
        </w:rPr>
        <w:t>宜</w:t>
      </w:r>
      <w:r w:rsidRPr="00FD50F6">
        <w:t>采用</w:t>
      </w:r>
      <w:r w:rsidRPr="00FD50F6">
        <w:rPr>
          <w:rFonts w:hint="eastAsia"/>
        </w:rPr>
        <w:t>由</w:t>
      </w:r>
      <w:r w:rsidRPr="00FD50F6">
        <w:t>初期支护</w:t>
      </w:r>
      <w:r w:rsidRPr="00FD50F6">
        <w:rPr>
          <w:rFonts w:hint="eastAsia"/>
        </w:rPr>
        <w:t>和</w:t>
      </w:r>
      <w:r w:rsidRPr="00FD50F6">
        <w:t>二次衬砌</w:t>
      </w:r>
      <w:r w:rsidRPr="00FD50F6">
        <w:rPr>
          <w:rFonts w:hint="eastAsia"/>
        </w:rPr>
        <w:t>组成的</w:t>
      </w:r>
      <w:r w:rsidRPr="00FD50F6">
        <w:t>复合式衬砌</w:t>
      </w:r>
      <w:r w:rsidRPr="00FD50F6">
        <w:rPr>
          <w:rFonts w:hint="eastAsia"/>
        </w:rPr>
        <w:t>；</w:t>
      </w:r>
      <w:r w:rsidRPr="00FD50F6">
        <w:t>初期支护类型和适用条件应符合表</w:t>
      </w:r>
      <w:r w:rsidR="00CD0099" w:rsidRPr="00FD50F6">
        <w:t>12</w:t>
      </w:r>
      <w:r w:rsidRPr="00FD50F6">
        <w:t>.5.</w:t>
      </w:r>
      <w:r w:rsidRPr="00FD50F6">
        <w:rPr>
          <w:rFonts w:hint="eastAsia"/>
        </w:rPr>
        <w:t>3</w:t>
      </w:r>
      <w:r w:rsidRPr="00FD50F6">
        <w:t>的规定</w:t>
      </w:r>
      <w:r w:rsidRPr="00FD50F6">
        <w:rPr>
          <w:rFonts w:hint="eastAsia"/>
        </w:rPr>
        <w:t>；</w:t>
      </w:r>
      <w:r w:rsidRPr="00FD50F6">
        <w:t>二次衬砌宜采用整体现浇钢筋混凝土结构，并应在内外层衬砌之间铺设防水层或隔离层</w:t>
      </w:r>
      <w:r w:rsidRPr="00FD50F6">
        <w:rPr>
          <w:rFonts w:hint="eastAsia"/>
        </w:rPr>
        <w:t>。</w:t>
      </w:r>
    </w:p>
    <w:p w14:paraId="52FDB5A8" w14:textId="09A3294D" w:rsidR="00D3119D" w:rsidRPr="00FD50F6" w:rsidRDefault="00D3119D" w:rsidP="00D3119D">
      <w:pPr>
        <w:pStyle w:val="6"/>
      </w:pPr>
      <w:r w:rsidRPr="00FD50F6">
        <w:t>表</w:t>
      </w:r>
      <w:r w:rsidR="00CD0099" w:rsidRPr="00FD50F6">
        <w:t>12</w:t>
      </w:r>
      <w:r w:rsidRPr="00FD50F6">
        <w:t xml:space="preserve">.5.3 </w:t>
      </w:r>
      <w:r w:rsidRPr="00FD50F6">
        <w:t>初期支护类型和适用条件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3848"/>
      </w:tblGrid>
      <w:tr w:rsidR="00FD50F6" w:rsidRPr="00FD50F6" w14:paraId="6F174FED" w14:textId="77777777" w:rsidTr="00A220C2">
        <w:trPr>
          <w:jc w:val="center"/>
        </w:trPr>
        <w:tc>
          <w:tcPr>
            <w:tcW w:w="2744" w:type="pct"/>
            <w:shd w:val="clear" w:color="auto" w:fill="auto"/>
          </w:tcPr>
          <w:p w14:paraId="6A2EDDD2" w14:textId="77777777" w:rsidR="00D3119D" w:rsidRPr="00FD50F6" w:rsidRDefault="00D3119D" w:rsidP="000831EC">
            <w:pPr>
              <w:pStyle w:val="7"/>
            </w:pPr>
            <w:r w:rsidRPr="00FD50F6">
              <w:t>初期支护类型</w:t>
            </w:r>
          </w:p>
        </w:tc>
        <w:tc>
          <w:tcPr>
            <w:tcW w:w="2256" w:type="pct"/>
            <w:shd w:val="clear" w:color="auto" w:fill="auto"/>
          </w:tcPr>
          <w:p w14:paraId="2300C1CB" w14:textId="77777777" w:rsidR="00D3119D" w:rsidRPr="00FD50F6" w:rsidRDefault="00D3119D" w:rsidP="000831EC">
            <w:pPr>
              <w:pStyle w:val="7"/>
            </w:pPr>
            <w:r w:rsidRPr="00FD50F6">
              <w:t>适用条件</w:t>
            </w:r>
          </w:p>
        </w:tc>
      </w:tr>
      <w:tr w:rsidR="00FD50F6" w:rsidRPr="00FD50F6" w14:paraId="5B1235FC" w14:textId="77777777" w:rsidTr="00A220C2">
        <w:trPr>
          <w:jc w:val="center"/>
        </w:trPr>
        <w:tc>
          <w:tcPr>
            <w:tcW w:w="2744" w:type="pct"/>
            <w:shd w:val="clear" w:color="auto" w:fill="auto"/>
          </w:tcPr>
          <w:p w14:paraId="6C62265D" w14:textId="77777777" w:rsidR="00D3119D" w:rsidRPr="00FD50F6" w:rsidRDefault="00D3119D" w:rsidP="000831EC">
            <w:pPr>
              <w:pStyle w:val="7"/>
            </w:pPr>
            <w:r w:rsidRPr="00FD50F6">
              <w:t>锚杆</w:t>
            </w:r>
            <w:r w:rsidRPr="00FD50F6">
              <w:t>+</w:t>
            </w:r>
            <w:r w:rsidRPr="00FD50F6">
              <w:t>喷射混凝土支护</w:t>
            </w:r>
          </w:p>
        </w:tc>
        <w:tc>
          <w:tcPr>
            <w:tcW w:w="2256" w:type="pct"/>
            <w:shd w:val="clear" w:color="auto" w:fill="auto"/>
          </w:tcPr>
          <w:p w14:paraId="0C66B3F3" w14:textId="53742751" w:rsidR="00D3119D" w:rsidRPr="00FD50F6" w:rsidRDefault="00D3119D" w:rsidP="000831EC">
            <w:pPr>
              <w:pStyle w:val="7"/>
            </w:pPr>
            <w:r w:rsidRPr="00FD50F6">
              <w:t>具有自稳能力的岩</w:t>
            </w:r>
            <w:r w:rsidRPr="00FD50F6">
              <w:rPr>
                <w:rFonts w:hint="eastAsia"/>
              </w:rPr>
              <w:t>质</w:t>
            </w:r>
            <w:r w:rsidRPr="00FD50F6">
              <w:t>地层</w:t>
            </w:r>
          </w:p>
        </w:tc>
      </w:tr>
      <w:tr w:rsidR="00FD50F6" w:rsidRPr="00FD50F6" w14:paraId="17E1CA02" w14:textId="77777777" w:rsidTr="00A220C2">
        <w:trPr>
          <w:jc w:val="center"/>
        </w:trPr>
        <w:tc>
          <w:tcPr>
            <w:tcW w:w="2744" w:type="pct"/>
            <w:shd w:val="clear" w:color="auto" w:fill="auto"/>
          </w:tcPr>
          <w:p w14:paraId="64ADF40A" w14:textId="77777777" w:rsidR="00D3119D" w:rsidRPr="00FD50F6" w:rsidRDefault="00D3119D" w:rsidP="000831EC">
            <w:pPr>
              <w:pStyle w:val="7"/>
            </w:pPr>
            <w:r w:rsidRPr="00FD50F6">
              <w:t>锚杆</w:t>
            </w:r>
            <w:r w:rsidRPr="00FD50F6">
              <w:t>+</w:t>
            </w:r>
            <w:r w:rsidRPr="00FD50F6">
              <w:t>钢拱架</w:t>
            </w:r>
            <w:r w:rsidRPr="00FD50F6">
              <w:t>+</w:t>
            </w:r>
            <w:r w:rsidRPr="00FD50F6">
              <w:t>喷射混凝土支护</w:t>
            </w:r>
          </w:p>
        </w:tc>
        <w:tc>
          <w:tcPr>
            <w:tcW w:w="2256" w:type="pct"/>
            <w:shd w:val="clear" w:color="auto" w:fill="auto"/>
          </w:tcPr>
          <w:p w14:paraId="00780844" w14:textId="2A153F0B" w:rsidR="00D3119D" w:rsidRPr="00FD50F6" w:rsidRDefault="00D3119D" w:rsidP="000831EC">
            <w:pPr>
              <w:pStyle w:val="7"/>
            </w:pPr>
            <w:r w:rsidRPr="00FD50F6">
              <w:t>不能长期自稳的岩</w:t>
            </w:r>
            <w:r w:rsidRPr="00FD50F6">
              <w:rPr>
                <w:rFonts w:hint="eastAsia"/>
              </w:rPr>
              <w:t>质</w:t>
            </w:r>
            <w:r w:rsidRPr="00FD50F6">
              <w:t>地层</w:t>
            </w:r>
          </w:p>
        </w:tc>
      </w:tr>
      <w:tr w:rsidR="00D3119D" w:rsidRPr="00FD50F6" w14:paraId="49184EBB" w14:textId="77777777" w:rsidTr="00A220C2">
        <w:trPr>
          <w:jc w:val="center"/>
        </w:trPr>
        <w:tc>
          <w:tcPr>
            <w:tcW w:w="2744" w:type="pct"/>
            <w:shd w:val="clear" w:color="auto" w:fill="auto"/>
          </w:tcPr>
          <w:p w14:paraId="4C0F7622" w14:textId="77777777" w:rsidR="00D3119D" w:rsidRPr="00FD50F6" w:rsidRDefault="00D3119D" w:rsidP="000831EC">
            <w:pPr>
              <w:pStyle w:val="7"/>
            </w:pPr>
            <w:r w:rsidRPr="00FD50F6">
              <w:t>超前支护</w:t>
            </w:r>
            <w:r w:rsidRPr="00FD50F6">
              <w:t>+</w:t>
            </w:r>
            <w:r w:rsidRPr="00FD50F6">
              <w:t>钢拱架</w:t>
            </w:r>
            <w:r w:rsidRPr="00FD50F6">
              <w:t>+</w:t>
            </w:r>
            <w:r w:rsidRPr="00FD50F6">
              <w:t>喷射混凝土支护</w:t>
            </w:r>
          </w:p>
        </w:tc>
        <w:tc>
          <w:tcPr>
            <w:tcW w:w="2256" w:type="pct"/>
            <w:shd w:val="clear" w:color="auto" w:fill="auto"/>
          </w:tcPr>
          <w:p w14:paraId="0833DFAB" w14:textId="77777777" w:rsidR="00D3119D" w:rsidRPr="00FD50F6" w:rsidRDefault="00D3119D" w:rsidP="000831EC">
            <w:pPr>
              <w:pStyle w:val="7"/>
            </w:pPr>
            <w:r w:rsidRPr="00FD50F6">
              <w:t>土质地层</w:t>
            </w:r>
          </w:p>
        </w:tc>
      </w:tr>
    </w:tbl>
    <w:p w14:paraId="44912AD5" w14:textId="77777777" w:rsidR="00D3119D" w:rsidRPr="00FD50F6" w:rsidRDefault="00D3119D" w:rsidP="00D3119D"/>
    <w:p w14:paraId="1025117D" w14:textId="51851D06" w:rsidR="00D3119D" w:rsidRPr="00FD50F6" w:rsidRDefault="00D3119D" w:rsidP="00A926BD">
      <w:pPr>
        <w:pStyle w:val="4"/>
      </w:pPr>
      <w:r w:rsidRPr="00FD50F6">
        <w:rPr>
          <w:rFonts w:hint="eastAsia"/>
        </w:rPr>
        <w:t>在Ⅰ～Ⅱ级围岩中的单线区间隧道和Ⅰ级围岩中的双线区间隧道，可采用单层钢筋混凝土衬砌；在围岩完整、稳定、无地下水和不受冻害影响地段的非行车及乘客不使用的隧道，也可采用单层喷锚衬砌结构，喷锚衬砌的内部净空应预留后期施作</w:t>
      </w:r>
      <w:r w:rsidRPr="00FD50F6">
        <w:t>二次衬砌</w:t>
      </w:r>
      <w:r w:rsidRPr="00FD50F6">
        <w:rPr>
          <w:rFonts w:hint="eastAsia"/>
        </w:rPr>
        <w:t>的尺度要求。</w:t>
      </w:r>
    </w:p>
    <w:p w14:paraId="791C8F4B" w14:textId="684D4A63" w:rsidR="00D3119D" w:rsidRPr="00FD50F6" w:rsidRDefault="00D3119D" w:rsidP="00D3119D">
      <w:pPr>
        <w:pStyle w:val="30"/>
      </w:pPr>
      <w:r w:rsidRPr="00FD50F6">
        <w:rPr>
          <w:rFonts w:hint="eastAsia"/>
        </w:rPr>
        <w:t>矿山法隧道施工方法的确定应符合下列规定：</w:t>
      </w:r>
    </w:p>
    <w:p w14:paraId="57B23ADD" w14:textId="3C9645B6" w:rsidR="00D3119D" w:rsidRPr="00FD50F6" w:rsidRDefault="00D3119D" w:rsidP="00A926BD">
      <w:pPr>
        <w:pStyle w:val="4"/>
      </w:pPr>
      <w:r w:rsidRPr="00FD50F6">
        <w:rPr>
          <w:rFonts w:hint="eastAsia"/>
        </w:rPr>
        <w:t>应根据工程地质及水文地质条件、断面大小、埋置深度、环境条件等，并计及安全、工期、经济等因素确定隧道施工方法。</w:t>
      </w:r>
    </w:p>
    <w:p w14:paraId="6B890B9F" w14:textId="77777777" w:rsidR="00D3119D" w:rsidRPr="00FD50F6" w:rsidRDefault="00D3119D" w:rsidP="00A926BD">
      <w:pPr>
        <w:pStyle w:val="4"/>
      </w:pPr>
      <w:r w:rsidRPr="00FD50F6">
        <w:rPr>
          <w:rFonts w:hint="eastAsia"/>
        </w:rPr>
        <w:t>单洞隧道可采用全断面法、台阶法、预留核心土法、中隔壁法、交叉中隔壁法、双侧壁导坑法施工；单层多跨或多层多跨结构宜采用中洞法、侧洞法、柱洞法施工，亦可采用洞桩（柱）逆作法或一次扣拱浅埋暗挖法施工。</w:t>
      </w:r>
    </w:p>
    <w:p w14:paraId="038FBCB7" w14:textId="77777777" w:rsidR="00D3119D" w:rsidRPr="00FD50F6" w:rsidRDefault="00D3119D" w:rsidP="00A926BD">
      <w:pPr>
        <w:pStyle w:val="4"/>
      </w:pPr>
      <w:r w:rsidRPr="00FD50F6">
        <w:rPr>
          <w:rFonts w:hint="eastAsia"/>
        </w:rPr>
        <w:lastRenderedPageBreak/>
        <w:t>矿山法隧道施工应在无地下水的条件下进行，根据地下水特性及环境情况，可采用排水、降水或止水等地下水处理措施。</w:t>
      </w:r>
    </w:p>
    <w:p w14:paraId="3C4765F6" w14:textId="77777777" w:rsidR="00D3119D" w:rsidRPr="00FD50F6" w:rsidRDefault="00D3119D" w:rsidP="00A926BD">
      <w:pPr>
        <w:pStyle w:val="4"/>
      </w:pPr>
      <w:r w:rsidRPr="00FD50F6">
        <w:rPr>
          <w:rFonts w:hint="eastAsia"/>
        </w:rPr>
        <w:t>矿山法隧道施工应根据具体情况采用一种或几种施工辅助措施，可选择的辅助措施有超前小导管支护、管棚支护、锁脚锚管、临时仰拱、掌子面喷射混凝土封闭、地层加固等。</w:t>
      </w:r>
    </w:p>
    <w:p w14:paraId="1A1F7206" w14:textId="6C9969AC" w:rsidR="00D3119D" w:rsidRPr="00FD50F6" w:rsidRDefault="00D3119D" w:rsidP="00D3119D">
      <w:pPr>
        <w:pStyle w:val="30"/>
        <w:rPr>
          <w:lang w:val="zh-CN"/>
        </w:rPr>
      </w:pPr>
      <w:r w:rsidRPr="00FD50F6">
        <w:rPr>
          <w:rFonts w:hint="eastAsia"/>
          <w:lang w:val="zh-CN"/>
        </w:rPr>
        <w:t>矿山法结构设计应</w:t>
      </w:r>
      <w:r w:rsidRPr="00FD50F6">
        <w:rPr>
          <w:rFonts w:hint="eastAsia"/>
        </w:rPr>
        <w:t>符合下列规定</w:t>
      </w:r>
      <w:r w:rsidRPr="00FD50F6">
        <w:rPr>
          <w:rFonts w:hint="eastAsia"/>
          <w:lang w:val="zh-CN"/>
        </w:rPr>
        <w:t>：</w:t>
      </w:r>
    </w:p>
    <w:p w14:paraId="436619FC" w14:textId="174D242D" w:rsidR="00D3119D" w:rsidRPr="00FD50F6" w:rsidRDefault="00D3119D" w:rsidP="00A926BD">
      <w:pPr>
        <w:pStyle w:val="4"/>
      </w:pPr>
      <w:r w:rsidRPr="00FD50F6">
        <w:rPr>
          <w:rFonts w:hint="eastAsia"/>
        </w:rPr>
        <w:t>矿山法结构设计应以理论计算为基础，结合工程类比法确定结构预设计参数，并宜根据现场监控量测反馈信息进行信息化设计，经分析后确认或动态调整设计参数。</w:t>
      </w:r>
    </w:p>
    <w:p w14:paraId="3EFFAF2A" w14:textId="05718F45" w:rsidR="00D3119D" w:rsidRPr="00FD50F6" w:rsidRDefault="00D3119D" w:rsidP="00A926BD">
      <w:pPr>
        <w:pStyle w:val="4"/>
      </w:pPr>
      <w:r w:rsidRPr="00FD50F6">
        <w:rPr>
          <w:rFonts w:hint="eastAsia"/>
        </w:rPr>
        <w:t>当初期支护或二次衬砌在施工过程中受力体系、荷载形式等有变化时，应根据构件的施作顺序及受力条件，按结构的实际受载过程进行分析，同时应计及结构体系变形的连续性。</w:t>
      </w:r>
    </w:p>
    <w:p w14:paraId="71EFB732" w14:textId="32CC2D55" w:rsidR="00D3119D" w:rsidRPr="00FD50F6" w:rsidRDefault="00D3119D" w:rsidP="00A926BD">
      <w:pPr>
        <w:pStyle w:val="4"/>
      </w:pPr>
      <w:r w:rsidRPr="00FD50F6">
        <w:rPr>
          <w:rFonts w:hint="eastAsia"/>
        </w:rPr>
        <w:t>初期支护应按承受施工期间全部荷载的承载结构设计；</w:t>
      </w:r>
      <w:r w:rsidRPr="00FD50F6">
        <w:t>土质隧道初期支护刚度</w:t>
      </w:r>
      <w:r w:rsidRPr="00FD50F6">
        <w:rPr>
          <w:rFonts w:hint="eastAsia"/>
        </w:rPr>
        <w:t>应满足结构承载和变形控制要求，</w:t>
      </w:r>
      <w:r w:rsidRPr="00FD50F6">
        <w:t>岩石隧道初期支护应利用围岩的自承载能力</w:t>
      </w:r>
      <w:r w:rsidRPr="00FD50F6">
        <w:rPr>
          <w:rFonts w:hint="eastAsia"/>
        </w:rPr>
        <w:t>；</w:t>
      </w:r>
      <w:r w:rsidRPr="00FD50F6">
        <w:t>初期支护</w:t>
      </w:r>
      <w:r w:rsidRPr="00FD50F6">
        <w:rPr>
          <w:rFonts w:hint="eastAsia"/>
        </w:rPr>
        <w:t>设计参数</w:t>
      </w:r>
      <w:r w:rsidRPr="00FD50F6">
        <w:t>可采用</w:t>
      </w:r>
      <w:r w:rsidRPr="00FD50F6">
        <w:rPr>
          <w:rFonts w:hint="eastAsia"/>
        </w:rPr>
        <w:t>工程类比法确定</w:t>
      </w:r>
      <w:r w:rsidRPr="00FD50F6">
        <w:t>，施工中应通过监控量测进行修正</w:t>
      </w:r>
      <w:r w:rsidRPr="00FD50F6">
        <w:rPr>
          <w:rFonts w:hint="eastAsia"/>
        </w:rPr>
        <w:t>；</w:t>
      </w:r>
      <w:r w:rsidRPr="00FD50F6">
        <w:t>浅埋、大跨度、围岩或环境条件复杂、形式特殊的结构，初期支护应通过理论</w:t>
      </w:r>
      <w:r w:rsidRPr="00FD50F6">
        <w:rPr>
          <w:rFonts w:hint="eastAsia"/>
        </w:rPr>
        <w:t>分析</w:t>
      </w:r>
      <w:r w:rsidRPr="00FD50F6">
        <w:t>进行检算</w:t>
      </w:r>
      <w:r w:rsidRPr="00FD50F6">
        <w:rPr>
          <w:rFonts w:hint="eastAsia"/>
        </w:rPr>
        <w:t>。</w:t>
      </w:r>
    </w:p>
    <w:p w14:paraId="1453EA4F" w14:textId="71B35DDA" w:rsidR="00D3119D" w:rsidRPr="00FD50F6" w:rsidRDefault="00D3119D" w:rsidP="00A926BD">
      <w:pPr>
        <w:pStyle w:val="4"/>
      </w:pPr>
      <w:r w:rsidRPr="00FD50F6">
        <w:t>二次衬砌应根据其施工时间、施工后荷载的变化情况、工程地质和水文地质条件、埋深和耐久性要求等因素，按下列</w:t>
      </w:r>
      <w:r w:rsidRPr="00FD50F6">
        <w:rPr>
          <w:rFonts w:hint="eastAsia"/>
        </w:rPr>
        <w:t>规定</w:t>
      </w:r>
      <w:r w:rsidRPr="00FD50F6">
        <w:t>设计：</w:t>
      </w:r>
    </w:p>
    <w:p w14:paraId="725096F6" w14:textId="4824D2D6" w:rsidR="00D3119D" w:rsidRPr="00FD50F6" w:rsidRDefault="00D3119D" w:rsidP="00D3119D">
      <w:pPr>
        <w:pStyle w:val="5"/>
        <w:ind w:firstLine="480"/>
      </w:pPr>
      <w:r w:rsidRPr="00FD50F6">
        <w:t>土质隧道及通过流变性或膨胀性围岩</w:t>
      </w:r>
      <w:r w:rsidRPr="00FD50F6">
        <w:rPr>
          <w:rFonts w:hint="eastAsia"/>
        </w:rPr>
        <w:t>的</w:t>
      </w:r>
      <w:r w:rsidRPr="00FD50F6">
        <w:t>岩石</w:t>
      </w:r>
      <w:r w:rsidRPr="00FD50F6">
        <w:rPr>
          <w:rFonts w:hint="eastAsia"/>
        </w:rPr>
        <w:t>隧道应及时</w:t>
      </w:r>
      <w:r w:rsidRPr="00FD50F6">
        <w:t>施作二次衬砌</w:t>
      </w:r>
      <w:r w:rsidRPr="00FD50F6">
        <w:rPr>
          <w:rFonts w:hint="eastAsia"/>
        </w:rPr>
        <w:t>，二次衬砌应按使用期间承受全部荷载的承载结构设计，并应按“荷载－结构”模型进行结构内力和变形计算分析；</w:t>
      </w:r>
    </w:p>
    <w:p w14:paraId="18BC5966" w14:textId="47B933EF" w:rsidR="00D3119D" w:rsidRPr="00FD50F6" w:rsidRDefault="00D3119D" w:rsidP="00D3119D">
      <w:pPr>
        <w:pStyle w:val="5"/>
        <w:ind w:firstLine="480"/>
      </w:pPr>
      <w:r w:rsidRPr="00FD50F6">
        <w:t>岩石隧道</w:t>
      </w:r>
      <w:r w:rsidRPr="00FD50F6">
        <w:rPr>
          <w:rFonts w:hint="eastAsia"/>
        </w:rPr>
        <w:t>应</w:t>
      </w:r>
      <w:r w:rsidRPr="00FD50F6">
        <w:t>由初期支护和二次衬砌共同承受外部荷载，</w:t>
      </w:r>
      <w:r w:rsidRPr="00FD50F6">
        <w:rPr>
          <w:rFonts w:hint="eastAsia"/>
        </w:rPr>
        <w:t>并</w:t>
      </w:r>
      <w:r w:rsidRPr="00FD50F6">
        <w:t>应计及在长期使用过程中外部荷载因初期支护材料性能退化和刚度下降向二次衬砌的转移；</w:t>
      </w:r>
    </w:p>
    <w:p w14:paraId="0CBE659D" w14:textId="77777777" w:rsidR="00D3119D" w:rsidRPr="00FD50F6" w:rsidRDefault="00D3119D" w:rsidP="00D3119D">
      <w:pPr>
        <w:pStyle w:val="5"/>
        <w:ind w:firstLine="480"/>
      </w:pPr>
      <w:r w:rsidRPr="00FD50F6">
        <w:t>二次衬砌宜采用钢筋</w:t>
      </w:r>
      <w:r w:rsidRPr="00FD50F6">
        <w:rPr>
          <w:rFonts w:hint="eastAsia"/>
        </w:rPr>
        <w:t>混</w:t>
      </w:r>
      <w:r w:rsidRPr="00FD50F6">
        <w:t>凝土结构</w:t>
      </w:r>
      <w:r w:rsidRPr="00FD50F6">
        <w:rPr>
          <w:rFonts w:hint="eastAsia"/>
        </w:rPr>
        <w:t>，最小配筋率不得小于构造配筋率；</w:t>
      </w:r>
    </w:p>
    <w:p w14:paraId="7F4CFD6A" w14:textId="77777777" w:rsidR="00D3119D" w:rsidRPr="00FD50F6" w:rsidRDefault="00D3119D" w:rsidP="00D3119D">
      <w:pPr>
        <w:pStyle w:val="5"/>
        <w:ind w:firstLine="480"/>
      </w:pPr>
      <w:r w:rsidRPr="00FD50F6">
        <w:t>作用在不排水型结构上的水压力</w:t>
      </w:r>
      <w:r w:rsidRPr="00FD50F6">
        <w:rPr>
          <w:rFonts w:hint="eastAsia"/>
        </w:rPr>
        <w:t>应</w:t>
      </w:r>
      <w:r w:rsidRPr="00FD50F6">
        <w:t>由二次衬砌承担</w:t>
      </w:r>
      <w:r w:rsidRPr="00FD50F6">
        <w:rPr>
          <w:rFonts w:hint="eastAsia"/>
        </w:rPr>
        <w:t>。</w:t>
      </w:r>
    </w:p>
    <w:p w14:paraId="47A2D35A" w14:textId="270A29A6" w:rsidR="00D3119D" w:rsidRPr="00FD50F6" w:rsidRDefault="00D3119D" w:rsidP="00A926BD">
      <w:pPr>
        <w:pStyle w:val="4"/>
      </w:pPr>
      <w:r w:rsidRPr="00FD50F6">
        <w:t>车站、风道和其他大跨度土质隧道，</w:t>
      </w:r>
      <w:r w:rsidRPr="00FD50F6">
        <w:rPr>
          <w:rFonts w:hint="eastAsia"/>
        </w:rPr>
        <w:t>当</w:t>
      </w:r>
      <w:r w:rsidRPr="00FD50F6">
        <w:t>采用矿山法施工时</w:t>
      </w:r>
      <w:r w:rsidRPr="00FD50F6">
        <w:rPr>
          <w:rFonts w:hint="eastAsia"/>
        </w:rPr>
        <w:t>，</w:t>
      </w:r>
      <w:r w:rsidRPr="00FD50F6">
        <w:t>应合理安排开挖分块和开挖步序，应减少分部开挖导洞之间的相互影响</w:t>
      </w:r>
      <w:r w:rsidRPr="00FD50F6">
        <w:rPr>
          <w:rFonts w:hint="eastAsia"/>
        </w:rPr>
        <w:t>，并宜进行数值模拟分析</w:t>
      </w:r>
      <w:r w:rsidRPr="00FD50F6">
        <w:t>。</w:t>
      </w:r>
    </w:p>
    <w:p w14:paraId="4C9309AC" w14:textId="550C08D5" w:rsidR="00D3119D" w:rsidRPr="00FD50F6" w:rsidRDefault="00D3119D" w:rsidP="00D3119D">
      <w:pPr>
        <w:pStyle w:val="30"/>
        <w:rPr>
          <w:lang w:val="zh-CN"/>
        </w:rPr>
      </w:pPr>
      <w:r w:rsidRPr="00FD50F6">
        <w:rPr>
          <w:rFonts w:hint="eastAsia"/>
          <w:lang w:val="zh-CN"/>
        </w:rPr>
        <w:t>洞桩（柱）逆作法结构设计及受力分析、施工技术要求等除应满足本标</w:t>
      </w:r>
      <w:r w:rsidRPr="00FD50F6">
        <w:rPr>
          <w:rFonts w:hint="eastAsia"/>
          <w:lang w:val="zh-CN"/>
        </w:rPr>
        <w:lastRenderedPageBreak/>
        <w:t>准</w:t>
      </w:r>
      <w:r w:rsidR="00CE433A">
        <w:rPr>
          <w:rFonts w:hint="eastAsia"/>
          <w:lang w:val="zh-CN"/>
        </w:rPr>
        <w:t>第</w:t>
      </w:r>
      <w:r w:rsidRPr="00FD50F6">
        <w:rPr>
          <w:rFonts w:hint="eastAsia"/>
          <w:lang w:val="zh-CN"/>
        </w:rPr>
        <w:t>11.4</w:t>
      </w:r>
      <w:r w:rsidRPr="00FD50F6">
        <w:rPr>
          <w:rFonts w:hint="eastAsia"/>
          <w:lang w:val="zh-CN"/>
        </w:rPr>
        <w:t>节关于盖挖逆作法结构设计的基本原则和相关技术要求外，尚应符合下列规定：</w:t>
      </w:r>
    </w:p>
    <w:p w14:paraId="3FE6ED7E" w14:textId="77777777" w:rsidR="00D3119D" w:rsidRPr="00FD50F6" w:rsidRDefault="00D3119D" w:rsidP="00A926BD">
      <w:pPr>
        <w:pStyle w:val="4"/>
      </w:pPr>
      <w:r w:rsidRPr="00FD50F6">
        <w:rPr>
          <w:rFonts w:hint="eastAsia"/>
        </w:rPr>
        <w:t>洞桩（柱）逆作法的边桩宜为钻孔灌注桩或人工挖孔桩，中间立柱宜采用钢管混凝土柱，边桩和中间立柱基础可采用桩基础或条形基础。</w:t>
      </w:r>
    </w:p>
    <w:p w14:paraId="1931C4BB" w14:textId="77777777" w:rsidR="00D3119D" w:rsidRPr="00FD50F6" w:rsidRDefault="00D3119D" w:rsidP="00A926BD">
      <w:pPr>
        <w:pStyle w:val="4"/>
      </w:pPr>
      <w:r w:rsidRPr="00FD50F6">
        <w:rPr>
          <w:rFonts w:hint="eastAsia"/>
        </w:rPr>
        <w:t>上导洞净空尺寸应根据边桩、中间钢管柱和顶纵梁的作业空间要求确定；下导洞的净空尺寸应根据施工期间导洞内条形基础的承载力和竖向变形要求通过计算确定。</w:t>
      </w:r>
    </w:p>
    <w:p w14:paraId="2554F820" w14:textId="77777777" w:rsidR="00D3119D" w:rsidRPr="00FD50F6" w:rsidRDefault="00D3119D" w:rsidP="00A926BD">
      <w:pPr>
        <w:pStyle w:val="4"/>
      </w:pPr>
      <w:r w:rsidRPr="00FD50F6">
        <w:rPr>
          <w:rFonts w:hint="eastAsia"/>
        </w:rPr>
        <w:t>在满足隧道开挖引起的地面沉降要求的情况下，洞桩（柱）逆作法结构宜浅埋。</w:t>
      </w:r>
    </w:p>
    <w:p w14:paraId="47BFB453" w14:textId="290C1659" w:rsidR="00D3119D" w:rsidRPr="00FD50F6" w:rsidRDefault="00D3119D" w:rsidP="00A926BD">
      <w:pPr>
        <w:pStyle w:val="4"/>
      </w:pPr>
      <w:r w:rsidRPr="00FD50F6">
        <w:rPr>
          <w:rFonts w:hint="eastAsia"/>
        </w:rPr>
        <w:t>应采取措施控制边跨拱部初期支护架设过程中的稳定性，在不破坏小导洞初期支护的情况下，导洞内外初期支护的对接应连续且措施可靠，拱部初期支护一端应稳定支承于边桩冠梁上</w:t>
      </w:r>
      <w:r w:rsidR="00CE433A">
        <w:rPr>
          <w:rFonts w:hint="eastAsia"/>
        </w:rPr>
        <w:t>，</w:t>
      </w:r>
      <w:r w:rsidRPr="00FD50F6">
        <w:rPr>
          <w:rFonts w:hint="eastAsia"/>
        </w:rPr>
        <w:t>另一端应稳定支承于中柱顶纵梁上。</w:t>
      </w:r>
    </w:p>
    <w:p w14:paraId="20759FAF" w14:textId="77777777" w:rsidR="00D3119D" w:rsidRPr="00FD50F6" w:rsidRDefault="00D3119D" w:rsidP="00D3119D">
      <w:pPr>
        <w:pStyle w:val="30"/>
        <w:rPr>
          <w:lang w:val="zh-CN"/>
        </w:rPr>
      </w:pPr>
      <w:r w:rsidRPr="00FD50F6">
        <w:rPr>
          <w:rFonts w:hint="eastAsia"/>
          <w:lang w:val="zh-CN"/>
        </w:rPr>
        <w:t>一次扣拱</w:t>
      </w:r>
      <w:r w:rsidRPr="00FD50F6">
        <w:rPr>
          <w:rFonts w:hint="eastAsia"/>
        </w:rPr>
        <w:t>浅埋暗挖</w:t>
      </w:r>
      <w:r w:rsidRPr="00FD50F6">
        <w:rPr>
          <w:rFonts w:hint="eastAsia"/>
          <w:lang w:val="zh-CN"/>
        </w:rPr>
        <w:t>法结构设计应符合下列规定：</w:t>
      </w:r>
    </w:p>
    <w:p w14:paraId="5B7BB3A5" w14:textId="16657E3A" w:rsidR="00D3119D" w:rsidRPr="00FD50F6" w:rsidRDefault="00D3119D" w:rsidP="00A926BD">
      <w:pPr>
        <w:pStyle w:val="4"/>
      </w:pPr>
      <w:r w:rsidRPr="00FD50F6">
        <w:rPr>
          <w:rFonts w:hint="eastAsia"/>
        </w:rPr>
        <w:t>应根据框架结构边跨的形式和跨度确定上下导洞的形式和大小，上导洞的拱部应与边跨结构的拱部相拟合，下导洞的底部应与边跨结构的底部相拟合，导洞高度应满足洞内施工作业的要求。</w:t>
      </w:r>
    </w:p>
    <w:p w14:paraId="33A7AE30" w14:textId="4EA83C01" w:rsidR="00D3119D" w:rsidRPr="00FD50F6" w:rsidRDefault="00D3119D" w:rsidP="00A926BD">
      <w:pPr>
        <w:pStyle w:val="4"/>
      </w:pPr>
      <w:r w:rsidRPr="00FD50F6">
        <w:rPr>
          <w:rFonts w:hint="eastAsia"/>
        </w:rPr>
        <w:t>上下导洞应根据地层条件、埋深、断面</w:t>
      </w:r>
      <w:r w:rsidRPr="00FD50F6">
        <w:t>尺度</w:t>
      </w:r>
      <w:r w:rsidRPr="00FD50F6">
        <w:rPr>
          <w:rFonts w:hint="eastAsia"/>
        </w:rPr>
        <w:t>及地面沉降要求，结合一次扣拱法施工工艺等因素确定施工方法，宜采用中隔壁法或双侧壁导坑法施工。</w:t>
      </w:r>
    </w:p>
    <w:p w14:paraId="42D23AD5" w14:textId="77777777" w:rsidR="00D3119D" w:rsidRPr="00FD50F6" w:rsidRDefault="00D3119D" w:rsidP="00A926BD">
      <w:pPr>
        <w:pStyle w:val="4"/>
      </w:pPr>
      <w:r w:rsidRPr="00FD50F6">
        <w:rPr>
          <w:rFonts w:hint="eastAsia"/>
        </w:rPr>
        <w:t>边桩宜为钻孔灌注桩或人工挖孔桩，应按临时构件设计，并应满足施工过程的极限承载力要求。</w:t>
      </w:r>
    </w:p>
    <w:p w14:paraId="1627DD97" w14:textId="77777777" w:rsidR="00D3119D" w:rsidRPr="00FD50F6" w:rsidRDefault="00D3119D" w:rsidP="00A926BD">
      <w:pPr>
        <w:pStyle w:val="4"/>
      </w:pPr>
      <w:r w:rsidRPr="00FD50F6">
        <w:rPr>
          <w:rFonts w:hint="eastAsia"/>
        </w:rPr>
        <w:t>边桩与顶拱和底板结构之间的连接宜采用铰接型式。</w:t>
      </w:r>
    </w:p>
    <w:p w14:paraId="126CA607" w14:textId="77777777" w:rsidR="00D3119D" w:rsidRPr="00FD50F6" w:rsidRDefault="00D3119D" w:rsidP="00A65181">
      <w:pPr>
        <w:pStyle w:val="2"/>
      </w:pPr>
      <w:bookmarkStart w:id="454" w:name="_Toc112830722"/>
      <w:r w:rsidRPr="00FD50F6">
        <w:rPr>
          <w:rFonts w:hint="eastAsia"/>
        </w:rPr>
        <w:t>盾构法结构设计</w:t>
      </w:r>
      <w:bookmarkEnd w:id="454"/>
    </w:p>
    <w:p w14:paraId="6D2A088C" w14:textId="2712D066" w:rsidR="00D3119D" w:rsidRPr="00FD50F6" w:rsidRDefault="00D3119D" w:rsidP="00D3119D">
      <w:pPr>
        <w:pStyle w:val="30"/>
      </w:pPr>
      <w:r w:rsidRPr="00FD50F6">
        <w:rPr>
          <w:rFonts w:hint="eastAsia"/>
        </w:rPr>
        <w:t>盾构隧道平面、纵断面设计</w:t>
      </w:r>
      <w:r w:rsidRPr="00FD50F6">
        <w:t>应结合</w:t>
      </w:r>
      <w:r w:rsidRPr="00FD50F6">
        <w:rPr>
          <w:rFonts w:hint="eastAsia"/>
        </w:rPr>
        <w:t>隧道</w:t>
      </w:r>
      <w:r w:rsidRPr="00FD50F6">
        <w:t>断面尺度、工程地质</w:t>
      </w:r>
      <w:r w:rsidRPr="00FD50F6">
        <w:rPr>
          <w:rFonts w:hint="eastAsia"/>
        </w:rPr>
        <w:t>和</w:t>
      </w:r>
      <w:r w:rsidRPr="00FD50F6">
        <w:t>水文地质</w:t>
      </w:r>
      <w:r w:rsidRPr="00FD50F6">
        <w:rPr>
          <w:rFonts w:hint="eastAsia"/>
        </w:rPr>
        <w:t>条件</w:t>
      </w:r>
      <w:r w:rsidRPr="00FD50F6">
        <w:t>及环境</w:t>
      </w:r>
      <w:r w:rsidRPr="00FD50F6">
        <w:rPr>
          <w:rFonts w:hint="eastAsia"/>
        </w:rPr>
        <w:t>情况</w:t>
      </w:r>
      <w:r w:rsidRPr="00FD50F6">
        <w:t>等因素，确定其埋置深度及与相邻隧道的距离，并应符合下列规定：</w:t>
      </w:r>
    </w:p>
    <w:p w14:paraId="0096D0EF" w14:textId="77777777" w:rsidR="00D3119D" w:rsidRPr="00FD50F6" w:rsidRDefault="00D3119D" w:rsidP="00A926BD">
      <w:pPr>
        <w:pStyle w:val="4"/>
      </w:pPr>
      <w:r w:rsidRPr="00FD50F6">
        <w:rPr>
          <w:rFonts w:hint="eastAsia"/>
        </w:rPr>
        <w:t>盾构隧道覆土厚度不宜小于隧道外轮廓直径。</w:t>
      </w:r>
    </w:p>
    <w:p w14:paraId="34DA0DDB" w14:textId="77777777" w:rsidR="00D3119D" w:rsidRPr="00FD50F6" w:rsidRDefault="00D3119D" w:rsidP="00A926BD">
      <w:pPr>
        <w:pStyle w:val="4"/>
      </w:pPr>
      <w:r w:rsidRPr="00FD50F6">
        <w:rPr>
          <w:rFonts w:hint="eastAsia"/>
        </w:rPr>
        <w:t>当盾构隧道穿越江、河时，最小</w:t>
      </w:r>
      <w:r w:rsidRPr="00FD50F6">
        <w:t>覆土厚度</w:t>
      </w:r>
      <w:r w:rsidRPr="00FD50F6">
        <w:rPr>
          <w:rFonts w:hint="eastAsia"/>
        </w:rPr>
        <w:t>还应满足河床冲刷和船舶锚击深度要求。</w:t>
      </w:r>
    </w:p>
    <w:p w14:paraId="2C526AC5" w14:textId="17D1B153" w:rsidR="00D3119D" w:rsidRPr="00FD50F6" w:rsidRDefault="00D3119D" w:rsidP="00A926BD">
      <w:pPr>
        <w:pStyle w:val="4"/>
      </w:pPr>
      <w:r w:rsidRPr="00FD50F6">
        <w:lastRenderedPageBreak/>
        <w:t>盾构法施工的并行隧道间的净距不宜小于隧道外轮廓直径。</w:t>
      </w:r>
    </w:p>
    <w:p w14:paraId="70D6CF3C" w14:textId="77777777" w:rsidR="00D3119D" w:rsidRPr="00FD50F6" w:rsidRDefault="00D3119D" w:rsidP="00D3119D">
      <w:pPr>
        <w:pStyle w:val="30"/>
      </w:pPr>
      <w:r w:rsidRPr="00FD50F6">
        <w:rPr>
          <w:rFonts w:hint="eastAsia"/>
        </w:rPr>
        <w:t>盾构隧道结构型式应符合下列规定：</w:t>
      </w:r>
    </w:p>
    <w:p w14:paraId="7BD913D0" w14:textId="77777777" w:rsidR="00D3119D" w:rsidRPr="00FD50F6" w:rsidRDefault="00D3119D" w:rsidP="00A926BD">
      <w:pPr>
        <w:pStyle w:val="4"/>
      </w:pPr>
      <w:r w:rsidRPr="00FD50F6">
        <w:rPr>
          <w:rFonts w:hint="eastAsia"/>
        </w:rPr>
        <w:t>在满足工程使用、结构承载力和防水要求的前提下，宜采用单层预制装配式钢筋混凝土衬砌或钢筋钢纤维混凝土衬砌。</w:t>
      </w:r>
    </w:p>
    <w:p w14:paraId="51DA0115" w14:textId="628C6F94" w:rsidR="00D3119D" w:rsidRPr="00FD50F6" w:rsidRDefault="00D3119D" w:rsidP="00A926BD">
      <w:pPr>
        <w:pStyle w:val="4"/>
      </w:pPr>
      <w:r w:rsidRPr="00FD50F6">
        <w:rPr>
          <w:rFonts w:hint="eastAsia"/>
        </w:rPr>
        <w:t>在</w:t>
      </w:r>
      <w:r w:rsidR="00C1563B" w:rsidRPr="00FD50F6">
        <w:rPr>
          <w:rFonts w:hint="eastAsia"/>
        </w:rPr>
        <w:t>区间联络通道</w:t>
      </w:r>
      <w:r w:rsidRPr="00FD50F6">
        <w:rPr>
          <w:rFonts w:hint="eastAsia"/>
        </w:rPr>
        <w:t>结构开孔、穿越重大风险源等特殊区段，可采用钢管片、铸铁管片、钢与钢筋混凝土复合管片或型钢复合钢筋混凝土管片。</w:t>
      </w:r>
    </w:p>
    <w:p w14:paraId="33685979" w14:textId="77777777" w:rsidR="00D3119D" w:rsidRPr="00FD50F6" w:rsidRDefault="00D3119D" w:rsidP="00A926BD">
      <w:pPr>
        <w:pStyle w:val="4"/>
      </w:pPr>
      <w:r w:rsidRPr="00FD50F6">
        <w:rPr>
          <w:rFonts w:hint="eastAsia"/>
        </w:rPr>
        <w:t>区间隧道可采用双洞单线或单洞双线带中隔墙的圆形结构，特殊情况下可采用带中柱的双圆形结构或类矩形等结构型式。</w:t>
      </w:r>
    </w:p>
    <w:p w14:paraId="453D3E70" w14:textId="77777777" w:rsidR="00D3119D" w:rsidRPr="00FD50F6" w:rsidRDefault="00D3119D" w:rsidP="00D3119D">
      <w:pPr>
        <w:pStyle w:val="30"/>
      </w:pPr>
      <w:r w:rsidRPr="00FD50F6">
        <w:rPr>
          <w:rFonts w:hint="eastAsia"/>
        </w:rPr>
        <w:t>盾构隧道结构设计应符合下列规定：</w:t>
      </w:r>
    </w:p>
    <w:p w14:paraId="59913377" w14:textId="77777777" w:rsidR="00D3119D" w:rsidRPr="00FD50F6" w:rsidRDefault="00D3119D" w:rsidP="00A926BD">
      <w:pPr>
        <w:pStyle w:val="4"/>
      </w:pPr>
      <w:r w:rsidRPr="00FD50F6">
        <w:rPr>
          <w:rFonts w:hint="eastAsia"/>
        </w:rPr>
        <w:t>盾构隧道结构计算应计及隧道</w:t>
      </w:r>
      <w:r w:rsidRPr="00FD50F6">
        <w:t>施工和建成以后对环境的影响</w:t>
      </w:r>
      <w:r w:rsidRPr="00FD50F6">
        <w:rPr>
          <w:rFonts w:hint="eastAsia"/>
        </w:rPr>
        <w:t>，以及</w:t>
      </w:r>
      <w:r w:rsidRPr="00FD50F6">
        <w:t>环境的改变对</w:t>
      </w:r>
      <w:r w:rsidRPr="00FD50F6">
        <w:rPr>
          <w:rFonts w:hint="eastAsia"/>
        </w:rPr>
        <w:t>隧道</w:t>
      </w:r>
      <w:r w:rsidRPr="00FD50F6">
        <w:t>结构的作用</w:t>
      </w:r>
      <w:r w:rsidRPr="00FD50F6">
        <w:rPr>
          <w:rFonts w:hint="eastAsia"/>
        </w:rPr>
        <w:t>。</w:t>
      </w:r>
    </w:p>
    <w:p w14:paraId="327041D6" w14:textId="77777777" w:rsidR="00D3119D" w:rsidRPr="00FD50F6" w:rsidRDefault="00D3119D" w:rsidP="00A926BD">
      <w:pPr>
        <w:pStyle w:val="4"/>
      </w:pPr>
      <w:r w:rsidRPr="00FD50F6">
        <w:rPr>
          <w:rFonts w:hint="eastAsia"/>
        </w:rPr>
        <w:t>计算模型应根据衬砌构造特点、施工工艺、衬砌与地层相互作用及装配式管片衬砌接头形式等确定。</w:t>
      </w:r>
    </w:p>
    <w:p w14:paraId="179A6DE9" w14:textId="40A163F9" w:rsidR="00D3119D" w:rsidRPr="00FD50F6" w:rsidRDefault="00D3119D" w:rsidP="00A926BD">
      <w:pPr>
        <w:pStyle w:val="4"/>
      </w:pPr>
      <w:r w:rsidRPr="00FD50F6">
        <w:rPr>
          <w:rFonts w:hint="eastAsia"/>
        </w:rPr>
        <w:t>结构横向内力计算模型宜采用匀质圆环模型、弹性铰模型或梁—弹簧模型。</w:t>
      </w:r>
    </w:p>
    <w:p w14:paraId="1A773BD8" w14:textId="362141F9" w:rsidR="00D3119D" w:rsidRPr="00FD50F6" w:rsidRDefault="00D3119D" w:rsidP="00A926BD">
      <w:pPr>
        <w:pStyle w:val="4"/>
      </w:pPr>
      <w:r w:rsidRPr="00FD50F6">
        <w:rPr>
          <w:rFonts w:hint="eastAsia"/>
        </w:rPr>
        <w:t>错缝拼装的衬砌结构应计及衬砌环间剪力传递的影响；空间受力明显的</w:t>
      </w:r>
      <w:r w:rsidR="00C1563B" w:rsidRPr="00FD50F6">
        <w:rPr>
          <w:rFonts w:hint="eastAsia"/>
        </w:rPr>
        <w:t>区间联络通道</w:t>
      </w:r>
      <w:r w:rsidRPr="00FD50F6">
        <w:rPr>
          <w:rFonts w:hint="eastAsia"/>
        </w:rPr>
        <w:t>区段宜按空间结构进行计算。</w:t>
      </w:r>
    </w:p>
    <w:p w14:paraId="6B3F89C9" w14:textId="77777777" w:rsidR="00D3119D" w:rsidRPr="00FD50F6" w:rsidRDefault="00D3119D" w:rsidP="00A926BD">
      <w:pPr>
        <w:pStyle w:val="4"/>
      </w:pPr>
      <w:r w:rsidRPr="00FD50F6">
        <w:rPr>
          <w:rFonts w:hint="eastAsia"/>
        </w:rPr>
        <w:t>当遇下列情况时，应对隧道纵向强度和变形进行计算：</w:t>
      </w:r>
    </w:p>
    <w:p w14:paraId="7F95C652" w14:textId="44DBA4B1" w:rsidR="00D3119D" w:rsidRPr="00FD50F6" w:rsidRDefault="00D3119D" w:rsidP="00D3119D">
      <w:pPr>
        <w:pStyle w:val="5"/>
        <w:ind w:firstLine="480"/>
      </w:pPr>
      <w:r w:rsidRPr="00FD50F6">
        <w:rPr>
          <w:rFonts w:hint="eastAsia"/>
        </w:rPr>
        <w:t>覆盖层厚度或地层沿隧道纵向存在突变；</w:t>
      </w:r>
    </w:p>
    <w:p w14:paraId="2FE643FB" w14:textId="536F170E" w:rsidR="00D3119D" w:rsidRPr="00FD50F6" w:rsidRDefault="00D3119D" w:rsidP="00D3119D">
      <w:pPr>
        <w:pStyle w:val="5"/>
        <w:ind w:firstLine="480"/>
      </w:pPr>
      <w:r w:rsidRPr="00FD50F6">
        <w:rPr>
          <w:rFonts w:hint="eastAsia"/>
        </w:rPr>
        <w:t>穿越重要</w:t>
      </w:r>
      <w:r w:rsidR="00B528A1">
        <w:rPr>
          <w:rFonts w:hint="eastAsia"/>
        </w:rPr>
        <w:t>建（构）</w:t>
      </w:r>
      <w:r w:rsidRPr="00FD50F6">
        <w:rPr>
          <w:rFonts w:hint="eastAsia"/>
        </w:rPr>
        <w:t>筑物或直接承受局部荷载；</w:t>
      </w:r>
    </w:p>
    <w:p w14:paraId="2FCAC854" w14:textId="4B85AB95" w:rsidR="00D3119D" w:rsidRPr="00FD50F6" w:rsidRDefault="00D3119D" w:rsidP="00D3119D">
      <w:pPr>
        <w:pStyle w:val="5"/>
        <w:ind w:firstLine="480"/>
      </w:pPr>
      <w:r w:rsidRPr="00FD50F6">
        <w:rPr>
          <w:rFonts w:hint="eastAsia"/>
        </w:rPr>
        <w:t>沿纵向结构刚度存在突变；</w:t>
      </w:r>
      <w:r w:rsidRPr="00FD50F6">
        <w:t xml:space="preserve"> </w:t>
      </w:r>
    </w:p>
    <w:p w14:paraId="117417AF" w14:textId="42B976A9" w:rsidR="00D3119D" w:rsidRPr="00FD50F6" w:rsidRDefault="00D3119D" w:rsidP="00D3119D">
      <w:pPr>
        <w:pStyle w:val="5"/>
        <w:ind w:firstLine="480"/>
      </w:pPr>
      <w:r w:rsidRPr="00FD50F6">
        <w:rPr>
          <w:rFonts w:hint="eastAsia"/>
        </w:rPr>
        <w:t>水位或者冲刷幅度发生变化。</w:t>
      </w:r>
    </w:p>
    <w:p w14:paraId="2DBD4DE5" w14:textId="5B4E5BF4" w:rsidR="00D3119D" w:rsidRPr="00FD50F6" w:rsidRDefault="00D3119D" w:rsidP="00A926BD">
      <w:pPr>
        <w:pStyle w:val="4"/>
      </w:pPr>
      <w:r w:rsidRPr="00FD50F6">
        <w:rPr>
          <w:rFonts w:hint="eastAsia"/>
        </w:rPr>
        <w:t>装配式衬砌的接头宜采用具有可变化刚度的柔性结构，并应满足结构受力和防水要求。</w:t>
      </w:r>
      <w:r w:rsidRPr="00FD50F6">
        <w:t>盾构隧道</w:t>
      </w:r>
      <w:r w:rsidRPr="00FD50F6">
        <w:rPr>
          <w:rFonts w:hint="eastAsia"/>
        </w:rPr>
        <w:t>收敛</w:t>
      </w:r>
      <w:r w:rsidRPr="00FD50F6">
        <w:t>变形和接缝</w:t>
      </w:r>
      <w:r w:rsidRPr="00FD50F6">
        <w:rPr>
          <w:rFonts w:hint="eastAsia"/>
        </w:rPr>
        <w:t>张开量限值</w:t>
      </w:r>
      <w:r w:rsidRPr="00FD50F6">
        <w:t>应符合</w:t>
      </w:r>
      <w:r w:rsidR="00CD0099" w:rsidRPr="00FD50F6">
        <w:rPr>
          <w:rFonts w:hint="eastAsia"/>
        </w:rPr>
        <w:t>1</w:t>
      </w:r>
      <w:r w:rsidR="00CD0099" w:rsidRPr="00FD50F6">
        <w:t>2</w:t>
      </w:r>
      <w:r w:rsidRPr="00FD50F6">
        <w:rPr>
          <w:rFonts w:hint="eastAsia"/>
        </w:rPr>
        <w:t>.6.</w:t>
      </w:r>
      <w:r w:rsidRPr="00FD50F6">
        <w:t>3</w:t>
      </w:r>
      <w:r w:rsidRPr="00FD50F6">
        <w:rPr>
          <w:rFonts w:hint="eastAsia"/>
        </w:rPr>
        <w:t>的规定</w:t>
      </w:r>
      <w:r w:rsidRPr="00FD50F6">
        <w:t>。</w:t>
      </w:r>
    </w:p>
    <w:p w14:paraId="5262224E" w14:textId="682A88EA" w:rsidR="00D3119D" w:rsidRPr="00FD50F6" w:rsidRDefault="00D3119D" w:rsidP="00D3119D">
      <w:pPr>
        <w:pStyle w:val="6"/>
      </w:pPr>
      <w:r w:rsidRPr="00FD50F6">
        <w:t>表</w:t>
      </w:r>
      <w:r w:rsidR="00CD0099" w:rsidRPr="00FD50F6">
        <w:rPr>
          <w:rFonts w:hint="eastAsia"/>
        </w:rPr>
        <w:t>1</w:t>
      </w:r>
      <w:r w:rsidR="00CD0099" w:rsidRPr="00FD50F6">
        <w:t>2</w:t>
      </w:r>
      <w:r w:rsidRPr="00FD50F6">
        <w:rPr>
          <w:rFonts w:hint="eastAsia"/>
        </w:rPr>
        <w:t>.6.</w:t>
      </w:r>
      <w:r w:rsidRPr="00FD50F6">
        <w:t>3</w:t>
      </w:r>
      <w:r w:rsidRPr="00FD50F6">
        <w:t>盾构隧道</w:t>
      </w:r>
      <w:r w:rsidRPr="00FD50F6">
        <w:rPr>
          <w:rFonts w:hint="eastAsia"/>
        </w:rPr>
        <w:t>收敛</w:t>
      </w:r>
      <w:r w:rsidRPr="00FD50F6">
        <w:t>变形</w:t>
      </w:r>
      <w:r w:rsidRPr="00FD50F6">
        <w:rPr>
          <w:rFonts w:hint="eastAsia"/>
        </w:rPr>
        <w:t>和</w:t>
      </w:r>
      <w:r w:rsidRPr="00FD50F6">
        <w:t>接缝</w:t>
      </w:r>
      <w:r w:rsidRPr="00FD50F6">
        <w:rPr>
          <w:rFonts w:hint="eastAsia"/>
        </w:rPr>
        <w:t>张开量</w:t>
      </w:r>
      <w:r w:rsidRPr="00FD50F6">
        <w:t>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6611"/>
      </w:tblGrid>
      <w:tr w:rsidR="00FD50F6" w:rsidRPr="00FD50F6" w14:paraId="64FAFB17" w14:textId="77777777" w:rsidTr="00A220C2">
        <w:trPr>
          <w:cantSplit/>
          <w:jc w:val="center"/>
        </w:trPr>
        <w:tc>
          <w:tcPr>
            <w:tcW w:w="1124" w:type="pct"/>
            <w:vAlign w:val="center"/>
          </w:tcPr>
          <w:p w14:paraId="19CAFB8E" w14:textId="77777777" w:rsidR="00D3119D" w:rsidRPr="00FD50F6" w:rsidRDefault="00D3119D" w:rsidP="000831EC">
            <w:pPr>
              <w:pStyle w:val="7"/>
            </w:pPr>
            <w:r w:rsidRPr="00FD50F6">
              <w:t>类别</w:t>
            </w:r>
          </w:p>
        </w:tc>
        <w:tc>
          <w:tcPr>
            <w:tcW w:w="3876" w:type="pct"/>
            <w:vAlign w:val="center"/>
          </w:tcPr>
          <w:p w14:paraId="1B213BAC" w14:textId="77777777" w:rsidR="00D3119D" w:rsidRPr="00FD50F6" w:rsidRDefault="00D3119D" w:rsidP="000831EC">
            <w:pPr>
              <w:pStyle w:val="7"/>
            </w:pPr>
            <w:r w:rsidRPr="00FD50F6">
              <w:t>限值</w:t>
            </w:r>
          </w:p>
        </w:tc>
      </w:tr>
      <w:tr w:rsidR="00FD50F6" w:rsidRPr="00FD50F6" w14:paraId="7DF9C979" w14:textId="77777777" w:rsidTr="00A220C2">
        <w:trPr>
          <w:cantSplit/>
          <w:jc w:val="center"/>
        </w:trPr>
        <w:tc>
          <w:tcPr>
            <w:tcW w:w="1124" w:type="pct"/>
            <w:vAlign w:val="center"/>
          </w:tcPr>
          <w:p w14:paraId="0B7F97BF" w14:textId="77777777" w:rsidR="00D3119D" w:rsidRPr="00FD50F6" w:rsidRDefault="00D3119D" w:rsidP="000831EC">
            <w:pPr>
              <w:pStyle w:val="7"/>
            </w:pPr>
            <w:r w:rsidRPr="00FD50F6">
              <w:rPr>
                <w:rFonts w:hint="eastAsia"/>
              </w:rPr>
              <w:t>收敛</w:t>
            </w:r>
            <w:r w:rsidRPr="00FD50F6">
              <w:t>变形</w:t>
            </w:r>
          </w:p>
        </w:tc>
        <w:tc>
          <w:tcPr>
            <w:tcW w:w="3876" w:type="pct"/>
            <w:vAlign w:val="center"/>
          </w:tcPr>
          <w:p w14:paraId="38ED2D90" w14:textId="19B33CC6" w:rsidR="00D3119D" w:rsidRPr="00FD50F6" w:rsidRDefault="00D3119D" w:rsidP="000831EC">
            <w:pPr>
              <w:pStyle w:val="7"/>
            </w:pPr>
            <w:r w:rsidRPr="00FD50F6">
              <w:rPr>
                <w:rFonts w:hint="eastAsia"/>
              </w:rPr>
              <w:t>≤</w:t>
            </w:r>
            <w:r w:rsidRPr="00FD50F6">
              <w:rPr>
                <w:rFonts w:hint="eastAsia"/>
              </w:rPr>
              <w:t>2</w:t>
            </w:r>
            <w:r w:rsidRPr="00FD50F6">
              <w:t>‰</w:t>
            </w:r>
            <w:r w:rsidRPr="001A4CF3">
              <w:rPr>
                <w:i/>
              </w:rPr>
              <w:t>D</w:t>
            </w:r>
            <w:r w:rsidRPr="00FD50F6">
              <w:rPr>
                <w:rFonts w:hint="eastAsia"/>
              </w:rPr>
              <w:t>（错缝拼装）或</w:t>
            </w:r>
            <w:r w:rsidRPr="00FD50F6">
              <w:rPr>
                <w:rFonts w:hint="eastAsia"/>
              </w:rPr>
              <w:t>3</w:t>
            </w:r>
            <w:r w:rsidRPr="00FD50F6">
              <w:t>‰</w:t>
            </w:r>
            <w:r w:rsidRPr="001A4CF3">
              <w:rPr>
                <w:i/>
              </w:rPr>
              <w:t>D</w:t>
            </w:r>
            <w:r w:rsidRPr="001A4CF3">
              <w:rPr>
                <w:rFonts w:hint="eastAsia"/>
              </w:rPr>
              <w:t>（通</w:t>
            </w:r>
            <w:r w:rsidRPr="00FD50F6">
              <w:rPr>
                <w:rFonts w:hint="eastAsia"/>
              </w:rPr>
              <w:t>缝拼装）</w:t>
            </w:r>
          </w:p>
        </w:tc>
      </w:tr>
      <w:tr w:rsidR="00FD50F6" w:rsidRPr="00FD50F6" w14:paraId="67BA9769" w14:textId="77777777" w:rsidTr="00A220C2">
        <w:trPr>
          <w:cantSplit/>
          <w:jc w:val="center"/>
        </w:trPr>
        <w:tc>
          <w:tcPr>
            <w:tcW w:w="1124" w:type="pct"/>
            <w:vAlign w:val="center"/>
          </w:tcPr>
          <w:p w14:paraId="72B310D4" w14:textId="77777777" w:rsidR="00D3119D" w:rsidRPr="00FD50F6" w:rsidRDefault="00D3119D" w:rsidP="000831EC">
            <w:pPr>
              <w:pStyle w:val="7"/>
            </w:pPr>
            <w:r w:rsidRPr="00FD50F6">
              <w:t>接缝</w:t>
            </w:r>
            <w:r w:rsidRPr="00FD50F6">
              <w:rPr>
                <w:rFonts w:hint="eastAsia"/>
              </w:rPr>
              <w:t>张开量</w:t>
            </w:r>
          </w:p>
        </w:tc>
        <w:tc>
          <w:tcPr>
            <w:tcW w:w="3876" w:type="pct"/>
            <w:vAlign w:val="center"/>
          </w:tcPr>
          <w:p w14:paraId="5A99882E" w14:textId="77777777" w:rsidR="00D3119D" w:rsidRPr="00FD50F6" w:rsidRDefault="00D3119D" w:rsidP="000831EC">
            <w:pPr>
              <w:pStyle w:val="affffff8"/>
              <w:rPr>
                <w:color w:val="auto"/>
              </w:rPr>
            </w:pPr>
            <w:r w:rsidRPr="00FD50F6">
              <w:rPr>
                <w:rFonts w:hint="eastAsia"/>
                <w:color w:val="auto"/>
              </w:rPr>
              <w:t>≤</w:t>
            </w:r>
            <w:r w:rsidRPr="00FD50F6">
              <w:rPr>
                <w:rFonts w:hint="eastAsia"/>
                <w:color w:val="auto"/>
              </w:rPr>
              <w:t xml:space="preserve"> </w:t>
            </w:r>
            <w:r w:rsidRPr="00FD50F6">
              <w:rPr>
                <w:color w:val="auto"/>
              </w:rPr>
              <w:t>2 mm</w:t>
            </w:r>
            <w:r w:rsidRPr="00FD50F6">
              <w:rPr>
                <w:rFonts w:hint="eastAsia"/>
                <w:color w:val="auto"/>
              </w:rPr>
              <w:t>（岩质地层或周边存在重要建构筑物），</w:t>
            </w:r>
          </w:p>
          <w:p w14:paraId="4F0A2D98" w14:textId="77777777" w:rsidR="00D3119D" w:rsidRPr="00FD50F6" w:rsidRDefault="00D3119D" w:rsidP="000831EC">
            <w:pPr>
              <w:pStyle w:val="affffff8"/>
              <w:rPr>
                <w:color w:val="auto"/>
              </w:rPr>
            </w:pPr>
            <w:r w:rsidRPr="00FD50F6">
              <w:rPr>
                <w:rFonts w:hint="eastAsia"/>
                <w:color w:val="auto"/>
              </w:rPr>
              <w:t>或</w:t>
            </w:r>
            <w:r w:rsidRPr="00FD50F6">
              <w:rPr>
                <w:color w:val="auto"/>
              </w:rPr>
              <w:t>4mm</w:t>
            </w:r>
            <w:r w:rsidRPr="00FD50F6">
              <w:rPr>
                <w:rFonts w:hint="eastAsia"/>
                <w:color w:val="auto"/>
              </w:rPr>
              <w:t>（大断面盾构隧道或位于软土地层），</w:t>
            </w:r>
          </w:p>
          <w:p w14:paraId="6550CC4D" w14:textId="40DBD97D" w:rsidR="00D3119D" w:rsidRPr="00FD50F6" w:rsidRDefault="00D3119D" w:rsidP="000831EC">
            <w:pPr>
              <w:pStyle w:val="7"/>
            </w:pPr>
            <w:r w:rsidRPr="00FD50F6">
              <w:rPr>
                <w:rFonts w:hint="eastAsia"/>
              </w:rPr>
              <w:t>且小于弹性密封垫的允许张开量</w:t>
            </w:r>
          </w:p>
        </w:tc>
      </w:tr>
    </w:tbl>
    <w:p w14:paraId="62EC58BE" w14:textId="55F87ACE" w:rsidR="00D3119D" w:rsidRPr="00FD50F6" w:rsidRDefault="00D3119D" w:rsidP="00D3119D">
      <w:pPr>
        <w:pStyle w:val="7"/>
        <w:jc w:val="left"/>
      </w:pPr>
      <w:r w:rsidRPr="00FD50F6">
        <w:t>注：</w:t>
      </w:r>
      <w:r w:rsidRPr="00FD50F6">
        <w:rPr>
          <w:rFonts w:hint="eastAsia"/>
        </w:rPr>
        <w:t>1</w:t>
      </w:r>
      <w:r w:rsidR="00071866">
        <w:rPr>
          <w:rFonts w:hint="eastAsia"/>
        </w:rPr>
        <w:t xml:space="preserve"> </w:t>
      </w:r>
      <w:r w:rsidRPr="00FD50F6">
        <w:rPr>
          <w:rFonts w:hint="eastAsia"/>
        </w:rPr>
        <w:t>表中</w:t>
      </w:r>
      <w:r w:rsidRPr="001A4CF3">
        <w:rPr>
          <w:i/>
        </w:rPr>
        <w:t>D</w:t>
      </w:r>
      <w:r w:rsidRPr="00FD50F6">
        <w:rPr>
          <w:rFonts w:hint="eastAsia"/>
        </w:rPr>
        <w:t>指</w:t>
      </w:r>
      <w:r w:rsidRPr="00FD50F6">
        <w:t>隧道外径；</w:t>
      </w:r>
    </w:p>
    <w:p w14:paraId="20155C19" w14:textId="388C24D3" w:rsidR="00D3119D" w:rsidRPr="00A220C2" w:rsidRDefault="00D3119D" w:rsidP="00D3119D">
      <w:pPr>
        <w:rPr>
          <w:rFonts w:ascii="Times New Roman" w:hAnsi="Times New Roman"/>
          <w:bCs/>
          <w:sz w:val="21"/>
          <w:szCs w:val="24"/>
        </w:rPr>
      </w:pPr>
      <w:r w:rsidRPr="00A220C2">
        <w:rPr>
          <w:rFonts w:ascii="Times New Roman" w:hAnsi="Times New Roman"/>
          <w:bCs/>
          <w:sz w:val="21"/>
          <w:szCs w:val="24"/>
        </w:rPr>
        <w:t xml:space="preserve">   </w:t>
      </w:r>
      <w:r w:rsidR="00EB68D5">
        <w:rPr>
          <w:rFonts w:ascii="Times New Roman" w:hAnsi="Times New Roman"/>
          <w:bCs/>
          <w:sz w:val="21"/>
          <w:szCs w:val="24"/>
        </w:rPr>
        <w:t xml:space="preserve">    </w:t>
      </w:r>
      <w:r w:rsidRPr="00A220C2">
        <w:rPr>
          <w:rFonts w:ascii="Times New Roman" w:hAnsi="Times New Roman"/>
          <w:bCs/>
          <w:sz w:val="21"/>
          <w:szCs w:val="24"/>
        </w:rPr>
        <w:t xml:space="preserve"> 2</w:t>
      </w:r>
      <w:r w:rsidR="00071866">
        <w:rPr>
          <w:rFonts w:ascii="Times New Roman" w:hAnsi="Times New Roman" w:hint="eastAsia"/>
          <w:bCs/>
          <w:sz w:val="21"/>
          <w:szCs w:val="24"/>
        </w:rPr>
        <w:t xml:space="preserve"> </w:t>
      </w:r>
      <w:r w:rsidRPr="00A220C2">
        <w:rPr>
          <w:rFonts w:ascii="Times New Roman" w:hAnsi="Times New Roman" w:hint="eastAsia"/>
          <w:bCs/>
          <w:sz w:val="21"/>
          <w:szCs w:val="24"/>
        </w:rPr>
        <w:t>表中收敛</w:t>
      </w:r>
      <w:r w:rsidRPr="00A220C2">
        <w:rPr>
          <w:rFonts w:ascii="Times New Roman" w:hAnsi="Times New Roman"/>
          <w:bCs/>
          <w:sz w:val="21"/>
          <w:szCs w:val="24"/>
        </w:rPr>
        <w:t>变形</w:t>
      </w:r>
      <w:r w:rsidRPr="00A220C2">
        <w:rPr>
          <w:rFonts w:ascii="Times New Roman" w:hAnsi="Times New Roman" w:hint="eastAsia"/>
          <w:bCs/>
          <w:sz w:val="21"/>
          <w:szCs w:val="24"/>
        </w:rPr>
        <w:t>和</w:t>
      </w:r>
      <w:r w:rsidRPr="00A220C2">
        <w:rPr>
          <w:rFonts w:ascii="Times New Roman" w:hAnsi="Times New Roman"/>
          <w:bCs/>
          <w:sz w:val="21"/>
          <w:szCs w:val="24"/>
        </w:rPr>
        <w:t>接缝</w:t>
      </w:r>
      <w:r w:rsidRPr="00A220C2">
        <w:rPr>
          <w:rFonts w:ascii="Times New Roman" w:hAnsi="Times New Roman" w:hint="eastAsia"/>
          <w:bCs/>
          <w:sz w:val="21"/>
          <w:szCs w:val="24"/>
        </w:rPr>
        <w:t>张开量限值不含管片拼装误差造成的变形量。</w:t>
      </w:r>
    </w:p>
    <w:p w14:paraId="6E7AF436" w14:textId="4882D642" w:rsidR="00D3119D" w:rsidRPr="00FD50F6" w:rsidRDefault="00D3119D" w:rsidP="00D3119D">
      <w:pPr>
        <w:pStyle w:val="30"/>
      </w:pPr>
      <w:r w:rsidRPr="00FD50F6">
        <w:rPr>
          <w:rFonts w:hint="eastAsia"/>
        </w:rPr>
        <w:t>盾构隧道衬砌构造应符合下列规定：</w:t>
      </w:r>
    </w:p>
    <w:p w14:paraId="7DF7A03E" w14:textId="77777777" w:rsidR="00D3119D" w:rsidRPr="00FD50F6" w:rsidRDefault="00D3119D" w:rsidP="00A926BD">
      <w:pPr>
        <w:pStyle w:val="4"/>
      </w:pPr>
      <w:r w:rsidRPr="00FD50F6">
        <w:rPr>
          <w:rFonts w:hint="eastAsia"/>
        </w:rPr>
        <w:t>衬砌环可采用“直线环</w:t>
      </w:r>
      <w:r w:rsidRPr="00FD50F6">
        <w:rPr>
          <w:rFonts w:hint="eastAsia"/>
        </w:rPr>
        <w:t>+</w:t>
      </w:r>
      <w:r w:rsidRPr="00FD50F6">
        <w:rPr>
          <w:rFonts w:hint="eastAsia"/>
        </w:rPr>
        <w:t>楔形环”或“通用楔形环”形式、通缝或错缝拼</w:t>
      </w:r>
      <w:r w:rsidRPr="00FD50F6">
        <w:rPr>
          <w:rFonts w:hint="eastAsia"/>
        </w:rPr>
        <w:lastRenderedPageBreak/>
        <w:t>装方式。</w:t>
      </w:r>
    </w:p>
    <w:p w14:paraId="1FCB68A1" w14:textId="77777777" w:rsidR="00D3119D" w:rsidRPr="00FD50F6" w:rsidRDefault="00D3119D" w:rsidP="00A926BD">
      <w:pPr>
        <w:pStyle w:val="4"/>
      </w:pPr>
      <w:r w:rsidRPr="00FD50F6">
        <w:rPr>
          <w:rFonts w:hint="eastAsia"/>
        </w:rPr>
        <w:t>衬砌环管片块与块、环与环间宜采用螺栓连接。</w:t>
      </w:r>
    </w:p>
    <w:p w14:paraId="5979B6F0" w14:textId="3E4A9357" w:rsidR="00D3119D" w:rsidRPr="00FD50F6" w:rsidRDefault="00D3119D" w:rsidP="00A926BD">
      <w:pPr>
        <w:pStyle w:val="4"/>
      </w:pPr>
      <w:r w:rsidRPr="00FD50F6">
        <w:rPr>
          <w:rFonts w:hint="eastAsia"/>
        </w:rPr>
        <w:t>衬砌环管片块数应根据管片制作、运输、盾构推进千斤顶布置、拼装方式、结构受力与变形、防水等因素综合确定。圆形隧道外径小于</w:t>
      </w:r>
      <w:r w:rsidRPr="00FD50F6">
        <w:rPr>
          <w:rFonts w:hint="eastAsia"/>
        </w:rPr>
        <w:t>7000mm</w:t>
      </w:r>
      <w:r w:rsidRPr="00FD50F6">
        <w:rPr>
          <w:rFonts w:hint="eastAsia"/>
        </w:rPr>
        <w:t>的衬砌环管片块数宜为</w:t>
      </w:r>
      <w:r w:rsidRPr="00FD50F6">
        <w:rPr>
          <w:rFonts w:hint="eastAsia"/>
        </w:rPr>
        <w:t>6</w:t>
      </w:r>
      <w:r w:rsidRPr="00FD50F6">
        <w:rPr>
          <w:rFonts w:hint="eastAsia"/>
        </w:rPr>
        <w:t>块，外径大于</w:t>
      </w:r>
      <w:r w:rsidRPr="00FD50F6">
        <w:rPr>
          <w:rFonts w:hint="eastAsia"/>
        </w:rPr>
        <w:t>7000mm</w:t>
      </w:r>
      <w:r w:rsidRPr="00FD50F6">
        <w:rPr>
          <w:rFonts w:hint="eastAsia"/>
        </w:rPr>
        <w:t>的衬砌环管片块数宜为</w:t>
      </w:r>
      <w:r w:rsidRPr="00FD50F6">
        <w:rPr>
          <w:rFonts w:hint="eastAsia"/>
        </w:rPr>
        <w:t>6</w:t>
      </w:r>
      <w:r w:rsidRPr="00FD50F6">
        <w:rPr>
          <w:rFonts w:hint="eastAsia"/>
        </w:rPr>
        <w:t>～</w:t>
      </w:r>
      <w:r w:rsidRPr="00FD50F6">
        <w:rPr>
          <w:rFonts w:hint="eastAsia"/>
        </w:rPr>
        <w:t>10</w:t>
      </w:r>
      <w:r w:rsidRPr="00FD50F6">
        <w:rPr>
          <w:rFonts w:hint="eastAsia"/>
        </w:rPr>
        <w:t>块。</w:t>
      </w:r>
    </w:p>
    <w:p w14:paraId="2D6BF5D9" w14:textId="4B929004" w:rsidR="00D3119D" w:rsidRPr="00FD50F6" w:rsidRDefault="00D3119D" w:rsidP="00A926BD">
      <w:pPr>
        <w:pStyle w:val="4"/>
      </w:pPr>
      <w:r w:rsidRPr="00FD50F6">
        <w:rPr>
          <w:rFonts w:hint="eastAsia"/>
        </w:rPr>
        <w:t>衬砌环宽度应根据隧道最小曲线半径、隧道直径、管片制作、运输、管片拼装工艺以及盾构千斤顶行程等因素综合确定。衬砌环环宽宜为</w:t>
      </w:r>
      <w:r w:rsidRPr="00FD50F6">
        <w:rPr>
          <w:rFonts w:hint="eastAsia"/>
        </w:rPr>
        <w:t>1000mm</w:t>
      </w:r>
      <w:r w:rsidRPr="00FD50F6">
        <w:rPr>
          <w:rFonts w:hint="eastAsia"/>
        </w:rPr>
        <w:t>～</w:t>
      </w:r>
      <w:r w:rsidRPr="00FD50F6">
        <w:rPr>
          <w:rFonts w:hint="eastAsia"/>
        </w:rPr>
        <w:t>1500mm</w:t>
      </w:r>
      <w:r w:rsidRPr="00FD50F6">
        <w:rPr>
          <w:rFonts w:hint="eastAsia"/>
        </w:rPr>
        <w:t>。</w:t>
      </w:r>
    </w:p>
    <w:p w14:paraId="21C34573" w14:textId="77777777" w:rsidR="00D3119D" w:rsidRPr="00FD50F6" w:rsidRDefault="00D3119D" w:rsidP="00A926BD">
      <w:pPr>
        <w:pStyle w:val="4"/>
      </w:pPr>
      <w:r w:rsidRPr="00FD50F6">
        <w:rPr>
          <w:rFonts w:hint="eastAsia"/>
        </w:rPr>
        <w:t>楔形环环面锥度应根据衬砌环形式、楔形环中心环宽及线路曲线半径等因素综合确定，环面锥度不宜大于</w:t>
      </w:r>
      <w:r w:rsidRPr="00FD50F6">
        <w:rPr>
          <w:rFonts w:hint="eastAsia"/>
        </w:rPr>
        <w:t>1:100</w:t>
      </w:r>
      <w:r w:rsidRPr="00FD50F6">
        <w:rPr>
          <w:rFonts w:hint="eastAsia"/>
        </w:rPr>
        <w:t>。</w:t>
      </w:r>
    </w:p>
    <w:p w14:paraId="5B4C086B" w14:textId="77777777" w:rsidR="00D3119D" w:rsidRPr="00FD50F6" w:rsidRDefault="00D3119D" w:rsidP="00A926BD">
      <w:pPr>
        <w:pStyle w:val="4"/>
      </w:pPr>
      <w:r w:rsidRPr="00FD50F6">
        <w:rPr>
          <w:rFonts w:hint="eastAsia"/>
        </w:rPr>
        <w:t>衬砌厚度应根据隧道直径、埋深、工程地质及水文地质条件，施工阶段及使用阶段荷载情况等综合确定，宜为隧道外轮廓直径的</w:t>
      </w:r>
      <w:r w:rsidRPr="00FD50F6">
        <w:rPr>
          <w:rFonts w:hint="eastAsia"/>
        </w:rPr>
        <w:t>0.05</w:t>
      </w:r>
      <w:r w:rsidRPr="00FD50F6">
        <w:rPr>
          <w:rFonts w:hint="eastAsia"/>
        </w:rPr>
        <w:t>～</w:t>
      </w:r>
      <w:r w:rsidRPr="00FD50F6">
        <w:rPr>
          <w:rFonts w:hint="eastAsia"/>
        </w:rPr>
        <w:t>0.06</w:t>
      </w:r>
      <w:r w:rsidRPr="00FD50F6">
        <w:rPr>
          <w:rFonts w:hint="eastAsia"/>
        </w:rPr>
        <w:t>倍。</w:t>
      </w:r>
    </w:p>
    <w:p w14:paraId="0EEBE131" w14:textId="6A171F0D" w:rsidR="00D3119D" w:rsidRPr="00FD50F6" w:rsidRDefault="00D3119D" w:rsidP="00A926BD">
      <w:pPr>
        <w:pStyle w:val="4"/>
      </w:pPr>
      <w:r w:rsidRPr="00FD50F6">
        <w:rPr>
          <w:rFonts w:hint="eastAsia"/>
        </w:rPr>
        <w:t>管片上宜预埋壁后注浆预埋件，注浆预埋件应根据注浆孔内外水压力差作用采取有效的封堵及防水措施。钢筋混凝土管片注浆预埋件迎土面应保留不小于</w:t>
      </w:r>
      <w:r w:rsidRPr="00FD50F6">
        <w:t>40mm</w:t>
      </w:r>
      <w:r w:rsidRPr="00FD50F6">
        <w:rPr>
          <w:rFonts w:hint="eastAsia"/>
        </w:rPr>
        <w:t>的素混凝土。当采用抓举头吊装时，吊装孔宜与注浆孔合并设置。</w:t>
      </w:r>
    </w:p>
    <w:p w14:paraId="0A2AD2FF" w14:textId="16967E5A" w:rsidR="00D3119D" w:rsidRPr="00FD50F6" w:rsidRDefault="00D3119D" w:rsidP="00A926BD">
      <w:pPr>
        <w:pStyle w:val="4"/>
      </w:pPr>
      <w:r w:rsidRPr="00FD50F6">
        <w:rPr>
          <w:rFonts w:hint="eastAsia"/>
        </w:rPr>
        <w:t>管片上全部的金属预埋件及连接件均应作防腐蚀处理，注浆、支架等预埋件宜选用强度高、耐久性好的非金属材料。</w:t>
      </w:r>
    </w:p>
    <w:p w14:paraId="27ED2AF9" w14:textId="77777777" w:rsidR="00D3119D" w:rsidRPr="00FD50F6" w:rsidRDefault="00D3119D" w:rsidP="00A926BD">
      <w:pPr>
        <w:pStyle w:val="4"/>
      </w:pPr>
      <w:r w:rsidRPr="00FD50F6">
        <w:rPr>
          <w:rFonts w:hint="eastAsia"/>
        </w:rPr>
        <w:t>根据盾构隧道结构抗渗、抗裂、抗振动、防火等要求，可采用添加钢纤维、聚丙烯纤维等材料的复合纤维钢筋混凝土管片。</w:t>
      </w:r>
    </w:p>
    <w:p w14:paraId="50965DFC" w14:textId="77777777" w:rsidR="00D3119D" w:rsidRPr="00FD50F6" w:rsidRDefault="00D3119D" w:rsidP="00A926BD">
      <w:pPr>
        <w:pStyle w:val="4"/>
      </w:pPr>
      <w:r w:rsidRPr="00FD50F6">
        <w:rPr>
          <w:rFonts w:hint="eastAsia"/>
        </w:rPr>
        <w:t>管片制作和拼装应达到下列精度：</w:t>
      </w:r>
      <w:r w:rsidRPr="00FD50F6">
        <w:t xml:space="preserve"> </w:t>
      </w:r>
    </w:p>
    <w:p w14:paraId="33A069FC" w14:textId="5795006F" w:rsidR="00D3119D" w:rsidRPr="00FD50F6" w:rsidRDefault="00D3119D" w:rsidP="00D3119D">
      <w:pPr>
        <w:pStyle w:val="5"/>
        <w:ind w:firstLine="480"/>
      </w:pPr>
      <w:r w:rsidRPr="00FD50F6">
        <w:rPr>
          <w:rFonts w:hint="eastAsia"/>
        </w:rPr>
        <w:t>单块管片制作允许误差，宽度为±</w:t>
      </w:r>
      <w:r w:rsidRPr="00FD50F6">
        <w:rPr>
          <w:rFonts w:hint="eastAsia"/>
        </w:rPr>
        <w:t>0.5</w:t>
      </w:r>
      <w:r w:rsidRPr="00FD50F6">
        <w:t>mm</w:t>
      </w:r>
      <w:r w:rsidRPr="00FD50F6">
        <w:rPr>
          <w:rFonts w:hint="eastAsia"/>
        </w:rPr>
        <w:t>，弧弦长为</w:t>
      </w:r>
      <w:r w:rsidRPr="00FD50F6">
        <w:rPr>
          <w:rFonts w:hint="eastAsia"/>
        </w:rPr>
        <w:t>1.0mm</w:t>
      </w:r>
      <w:r w:rsidRPr="00FD50F6">
        <w:rPr>
          <w:rFonts w:hint="eastAsia"/>
        </w:rPr>
        <w:t>，环向螺栓孔径及孔位为</w:t>
      </w:r>
      <w:r w:rsidRPr="00FD50F6">
        <w:rPr>
          <w:rFonts w:hint="eastAsia"/>
        </w:rPr>
        <w:t>1.0mm</w:t>
      </w:r>
      <w:r w:rsidRPr="00FD50F6">
        <w:rPr>
          <w:rFonts w:hint="eastAsia"/>
        </w:rPr>
        <w:t>，厚度为</w:t>
      </w:r>
      <w:r w:rsidRPr="00FD50F6">
        <w:rPr>
          <w:rFonts w:hint="eastAsia"/>
        </w:rPr>
        <w:t>-1</w:t>
      </w:r>
      <w:r w:rsidRPr="00FD50F6">
        <w:t>mm</w:t>
      </w:r>
      <w:r w:rsidRPr="00FD50F6">
        <w:rPr>
          <w:rFonts w:hint="eastAsia"/>
        </w:rPr>
        <w:t>～</w:t>
      </w:r>
      <w:r w:rsidRPr="00FD50F6">
        <w:rPr>
          <w:rFonts w:hint="eastAsia"/>
        </w:rPr>
        <w:t>3mm</w:t>
      </w:r>
      <w:r w:rsidRPr="00FD50F6">
        <w:rPr>
          <w:rFonts w:hint="eastAsia"/>
        </w:rPr>
        <w:t>；</w:t>
      </w:r>
    </w:p>
    <w:p w14:paraId="2C0EAF6E" w14:textId="2F17CF5A" w:rsidR="00D3119D" w:rsidRPr="00FD50F6" w:rsidRDefault="00D3119D" w:rsidP="00D3119D">
      <w:pPr>
        <w:pStyle w:val="5"/>
        <w:ind w:firstLine="480"/>
      </w:pPr>
      <w:r w:rsidRPr="00FD50F6">
        <w:rPr>
          <w:rFonts w:hint="eastAsia"/>
        </w:rPr>
        <w:t>整环拼装允许误差，相邻环的环面间隙为</w:t>
      </w:r>
      <w:r w:rsidRPr="00FD50F6">
        <w:rPr>
          <w:rFonts w:hint="eastAsia"/>
        </w:rPr>
        <w:t>1.0</w:t>
      </w:r>
      <w:r w:rsidRPr="00FD50F6">
        <w:t>mm</w:t>
      </w:r>
      <w:r w:rsidRPr="00FD50F6">
        <w:rPr>
          <w:rFonts w:hint="eastAsia"/>
        </w:rPr>
        <w:t>～</w:t>
      </w:r>
      <w:r w:rsidRPr="00FD50F6">
        <w:rPr>
          <w:rFonts w:hint="eastAsia"/>
        </w:rPr>
        <w:t>1.5mm</w:t>
      </w:r>
      <w:r w:rsidRPr="00FD50F6">
        <w:rPr>
          <w:rFonts w:hint="eastAsia"/>
        </w:rPr>
        <w:t>，纵缝相邻块间间隙为</w:t>
      </w:r>
      <w:r w:rsidRPr="00FD50F6">
        <w:rPr>
          <w:rFonts w:hint="eastAsia"/>
        </w:rPr>
        <w:t>1.5</w:t>
      </w:r>
      <w:r w:rsidRPr="00FD50F6">
        <w:t>mm</w:t>
      </w:r>
      <w:r w:rsidRPr="00FD50F6">
        <w:rPr>
          <w:rFonts w:hint="eastAsia"/>
        </w:rPr>
        <w:t>～</w:t>
      </w:r>
      <w:r w:rsidRPr="00FD50F6">
        <w:rPr>
          <w:rFonts w:hint="eastAsia"/>
        </w:rPr>
        <w:t>2.5</w:t>
      </w:r>
      <w:r w:rsidRPr="00FD50F6">
        <w:t>mm</w:t>
      </w:r>
      <w:r w:rsidRPr="00FD50F6">
        <w:rPr>
          <w:rFonts w:hint="eastAsia"/>
        </w:rPr>
        <w:t>，纵向螺栓孔孔径和孔位为±</w:t>
      </w:r>
      <w:r w:rsidRPr="00FD50F6">
        <w:rPr>
          <w:rFonts w:hint="eastAsia"/>
        </w:rPr>
        <w:t>1</w:t>
      </w:r>
      <w:r w:rsidRPr="00FD50F6">
        <w:t>mm</w:t>
      </w:r>
      <w:r w:rsidRPr="00FD50F6">
        <w:rPr>
          <w:rFonts w:hint="eastAsia"/>
        </w:rPr>
        <w:t>，衬砌环外径为±</w:t>
      </w:r>
      <w:r w:rsidRPr="00FD50F6">
        <w:rPr>
          <w:rFonts w:hint="eastAsia"/>
        </w:rPr>
        <w:t>3</w:t>
      </w:r>
      <w:r w:rsidRPr="00FD50F6">
        <w:t>mm</w:t>
      </w:r>
      <w:r w:rsidRPr="00FD50F6">
        <w:rPr>
          <w:rFonts w:hint="eastAsia"/>
        </w:rPr>
        <w:t>；</w:t>
      </w:r>
    </w:p>
    <w:p w14:paraId="4A6CE25B" w14:textId="1C2E55F9" w:rsidR="00D3119D" w:rsidRPr="00FD50F6" w:rsidRDefault="00D3119D" w:rsidP="00D3119D">
      <w:pPr>
        <w:pStyle w:val="5"/>
        <w:ind w:firstLine="480"/>
      </w:pPr>
      <w:r w:rsidRPr="00FD50F6">
        <w:rPr>
          <w:rFonts w:hint="eastAsia"/>
        </w:rPr>
        <w:t>当采用错缝拼装时，单块管片制作允许误差，宽度为±</w:t>
      </w:r>
      <w:r w:rsidRPr="00FD50F6">
        <w:rPr>
          <w:rFonts w:hint="eastAsia"/>
        </w:rPr>
        <w:t>0.4</w:t>
      </w:r>
      <w:r w:rsidRPr="00FD50F6">
        <w:t>mm</w:t>
      </w:r>
      <w:r w:rsidRPr="00FD50F6">
        <w:rPr>
          <w:rFonts w:hint="eastAsia"/>
        </w:rPr>
        <w:t>，整环拼装相邻环的环面间隙为</w:t>
      </w:r>
      <w:r w:rsidRPr="00FD50F6">
        <w:rPr>
          <w:rFonts w:hint="eastAsia"/>
        </w:rPr>
        <w:t>0.6</w:t>
      </w:r>
      <w:r w:rsidRPr="00FD50F6">
        <w:t>mm</w:t>
      </w:r>
      <w:r w:rsidRPr="00FD50F6">
        <w:rPr>
          <w:rFonts w:hint="eastAsia"/>
        </w:rPr>
        <w:t>～</w:t>
      </w:r>
      <w:r w:rsidRPr="00FD50F6">
        <w:rPr>
          <w:rFonts w:hint="eastAsia"/>
        </w:rPr>
        <w:t>0.8mm</w:t>
      </w:r>
      <w:r w:rsidRPr="00FD50F6">
        <w:rPr>
          <w:rFonts w:hint="eastAsia"/>
        </w:rPr>
        <w:t>，其余标准应符合本款第</w:t>
      </w:r>
      <w:r w:rsidRPr="00FD50F6">
        <w:rPr>
          <w:rFonts w:hint="eastAsia"/>
        </w:rPr>
        <w:t>1</w:t>
      </w:r>
      <w:r w:rsidRPr="00FD50F6">
        <w:rPr>
          <w:rFonts w:hint="eastAsia"/>
        </w:rPr>
        <w:t>）、</w:t>
      </w:r>
      <w:r w:rsidRPr="00FD50F6">
        <w:rPr>
          <w:rFonts w:hint="eastAsia"/>
        </w:rPr>
        <w:t>2</w:t>
      </w:r>
      <w:r w:rsidRPr="00FD50F6">
        <w:rPr>
          <w:rFonts w:hint="eastAsia"/>
        </w:rPr>
        <w:t>）项的规定。</w:t>
      </w:r>
    </w:p>
    <w:p w14:paraId="4E349D44" w14:textId="77777777" w:rsidR="00D3119D" w:rsidRPr="00FD50F6" w:rsidRDefault="00D3119D" w:rsidP="00D3119D">
      <w:pPr>
        <w:pStyle w:val="30"/>
      </w:pPr>
      <w:r w:rsidRPr="00FD50F6">
        <w:rPr>
          <w:rFonts w:hint="eastAsia"/>
        </w:rPr>
        <w:t>盾构始发、接收设计应满足下列要求：</w:t>
      </w:r>
    </w:p>
    <w:p w14:paraId="53821C3C" w14:textId="2B791945" w:rsidR="00D3119D" w:rsidRPr="00FD50F6" w:rsidRDefault="00D3119D" w:rsidP="00A926BD">
      <w:pPr>
        <w:pStyle w:val="4"/>
      </w:pPr>
      <w:r w:rsidRPr="00FD50F6">
        <w:t>盾构隧道宜利用车站端部作为</w:t>
      </w:r>
      <w:r w:rsidRPr="00FD50F6">
        <w:rPr>
          <w:rFonts w:hint="eastAsia"/>
        </w:rPr>
        <w:t>工作井，车站结构设计应满足盾构始发、接</w:t>
      </w:r>
      <w:r w:rsidRPr="00FD50F6">
        <w:rPr>
          <w:rFonts w:hint="eastAsia"/>
        </w:rPr>
        <w:lastRenderedPageBreak/>
        <w:t>收或调头的净空和受力要求，盾构始发、接收工作</w:t>
      </w:r>
      <w:r w:rsidRPr="00FD50F6">
        <w:t>井也可在区间</w:t>
      </w:r>
      <w:r w:rsidRPr="00FD50F6">
        <w:rPr>
          <w:rFonts w:hint="eastAsia"/>
        </w:rPr>
        <w:t>范围内设置。</w:t>
      </w:r>
    </w:p>
    <w:p w14:paraId="4181FE2B" w14:textId="77777777" w:rsidR="00D3119D" w:rsidRPr="00FD50F6" w:rsidRDefault="00D3119D" w:rsidP="00A926BD">
      <w:pPr>
        <w:pStyle w:val="4"/>
      </w:pPr>
      <w:r w:rsidRPr="00FD50F6">
        <w:t>盾构工作井</w:t>
      </w:r>
      <w:r w:rsidRPr="00FD50F6">
        <w:rPr>
          <w:rFonts w:hint="eastAsia"/>
        </w:rPr>
        <w:t>结构设计应计及吊装盾构机的附加荷载，</w:t>
      </w:r>
      <w:r w:rsidRPr="00FD50F6">
        <w:t>以及盾构出发时的反力对工作井内部构件或</w:t>
      </w:r>
      <w:r w:rsidRPr="00FD50F6">
        <w:rPr>
          <w:rFonts w:hint="eastAsia"/>
        </w:rPr>
        <w:t>井壁的影响。</w:t>
      </w:r>
    </w:p>
    <w:p w14:paraId="33007F54" w14:textId="5FCB3AD0" w:rsidR="00D3119D" w:rsidRPr="00FD50F6" w:rsidRDefault="00D3119D" w:rsidP="00A926BD">
      <w:pPr>
        <w:pStyle w:val="4"/>
      </w:pPr>
      <w:r w:rsidRPr="00FD50F6">
        <w:rPr>
          <w:rFonts w:hint="eastAsia"/>
        </w:rPr>
        <w:t>盾构</w:t>
      </w:r>
      <w:r w:rsidRPr="00FD50F6">
        <w:t>工作井的进出洞口处应设置洞口密封止水环，在管片与工作井井壁间应设置现浇钢筋混凝土环梁，在工作</w:t>
      </w:r>
      <w:r w:rsidRPr="00FD50F6">
        <w:rPr>
          <w:rFonts w:hint="eastAsia"/>
        </w:rPr>
        <w:t>井井壁应预埋与后浇环梁连接的钢筋或钢板。</w:t>
      </w:r>
    </w:p>
    <w:p w14:paraId="35218CD6" w14:textId="01C7009A" w:rsidR="00D3119D" w:rsidRPr="00FD50F6" w:rsidRDefault="00D3119D" w:rsidP="00A926BD">
      <w:pPr>
        <w:pStyle w:val="4"/>
      </w:pPr>
      <w:r w:rsidRPr="00FD50F6">
        <w:t>盾构工作井</w:t>
      </w:r>
      <w:r w:rsidRPr="00FD50F6">
        <w:rPr>
          <w:rFonts w:hint="eastAsia"/>
        </w:rPr>
        <w:t>始发和接收端头的土体应进行加固，加固方法和加固参数应根据工程地质和水文地质、盾构类型、覆土厚度、周围环境等条件确定，加固后的土体抗压强度和抗渗性应符合设计要求。含水粉土、粉砂和饱和软土地层应加强土体加固和洞门止水措施。</w:t>
      </w:r>
    </w:p>
    <w:p w14:paraId="6324C6FB" w14:textId="77777777" w:rsidR="00D3119D" w:rsidRPr="00FD50F6" w:rsidRDefault="00D3119D" w:rsidP="00A65181">
      <w:pPr>
        <w:pStyle w:val="2"/>
      </w:pPr>
      <w:bookmarkStart w:id="455" w:name="_Toc112830723"/>
      <w:r w:rsidRPr="00FD50F6">
        <w:rPr>
          <w:rFonts w:hint="eastAsia"/>
        </w:rPr>
        <w:t>沉管法结构设计</w:t>
      </w:r>
      <w:bookmarkEnd w:id="455"/>
    </w:p>
    <w:p w14:paraId="14F271D7" w14:textId="6A5E7D5C" w:rsidR="00D3119D" w:rsidRPr="00FD50F6" w:rsidRDefault="00D3119D" w:rsidP="00D3119D">
      <w:pPr>
        <w:pStyle w:val="30"/>
      </w:pPr>
      <w:r w:rsidRPr="00FD50F6">
        <w:t>沉管</w:t>
      </w:r>
      <w:r w:rsidRPr="00FD50F6">
        <w:rPr>
          <w:rFonts w:hint="eastAsia"/>
        </w:rPr>
        <w:t>隧道处的</w:t>
      </w:r>
      <w:r w:rsidRPr="00FD50F6">
        <w:t>河床</w:t>
      </w:r>
      <w:r w:rsidRPr="00FD50F6">
        <w:rPr>
          <w:rFonts w:hint="eastAsia"/>
        </w:rPr>
        <w:t>和水体流速应</w:t>
      </w:r>
      <w:r w:rsidRPr="00FD50F6">
        <w:t>稳定。</w:t>
      </w:r>
    </w:p>
    <w:p w14:paraId="3405F2BD" w14:textId="77777777" w:rsidR="00D3119D" w:rsidRPr="00FD50F6" w:rsidRDefault="00D3119D" w:rsidP="00D3119D">
      <w:pPr>
        <w:pStyle w:val="30"/>
      </w:pPr>
      <w:r w:rsidRPr="00FD50F6">
        <w:t>沉管</w:t>
      </w:r>
      <w:r w:rsidRPr="00FD50F6">
        <w:rPr>
          <w:rFonts w:hint="eastAsia"/>
        </w:rPr>
        <w:t>法结构型式</w:t>
      </w:r>
      <w:r w:rsidRPr="00FD50F6">
        <w:t>应符合下列规定：</w:t>
      </w:r>
    </w:p>
    <w:p w14:paraId="633E07E3" w14:textId="36FABEEE" w:rsidR="00D3119D" w:rsidRPr="00FD50F6" w:rsidRDefault="00D3119D" w:rsidP="00A926BD">
      <w:pPr>
        <w:pStyle w:val="4"/>
      </w:pPr>
      <w:r w:rsidRPr="00FD50F6">
        <w:t>沉管</w:t>
      </w:r>
      <w:r w:rsidRPr="00FD50F6">
        <w:rPr>
          <w:rFonts w:hint="eastAsia"/>
        </w:rPr>
        <w:t>法</w:t>
      </w:r>
      <w:r w:rsidRPr="00FD50F6">
        <w:t>结构</w:t>
      </w:r>
      <w:r w:rsidRPr="00FD50F6">
        <w:rPr>
          <w:rFonts w:hint="eastAsia"/>
        </w:rPr>
        <w:t>型式</w:t>
      </w:r>
      <w:r w:rsidRPr="00FD50F6">
        <w:t>应根据隧道使用</w:t>
      </w:r>
      <w:r w:rsidRPr="00FD50F6">
        <w:rPr>
          <w:rFonts w:hint="eastAsia"/>
        </w:rPr>
        <w:t>情况</w:t>
      </w:r>
      <w:r w:rsidRPr="00FD50F6">
        <w:t>和工程条件等因素确定。水深小于</w:t>
      </w:r>
      <w:r w:rsidRPr="00FD50F6">
        <w:t>35m</w:t>
      </w:r>
      <w:r w:rsidRPr="00FD50F6">
        <w:t>的单、双线隧道宜采用普通钢筋混凝土或纵向施加预应力的钢筋混凝土矩形框架结构；水深大于</w:t>
      </w:r>
      <w:r w:rsidRPr="00FD50F6">
        <w:t>45m</w:t>
      </w:r>
      <w:r w:rsidRPr="00FD50F6">
        <w:t>的单、双线隧道宜采用圆形单层或双层钢壳混凝土结构；</w:t>
      </w:r>
      <w:r w:rsidRPr="00FD50F6">
        <w:rPr>
          <w:rFonts w:hint="eastAsia"/>
        </w:rPr>
        <w:t>当</w:t>
      </w:r>
      <w:r w:rsidRPr="00FD50F6">
        <w:t>水深介于</w:t>
      </w:r>
      <w:r w:rsidRPr="00FD50F6">
        <w:t>35m</w:t>
      </w:r>
      <w:r w:rsidRPr="00FD50F6">
        <w:t>～</w:t>
      </w:r>
      <w:r w:rsidRPr="00FD50F6">
        <w:t>45m</w:t>
      </w:r>
      <w:r w:rsidRPr="00FD50F6">
        <w:t>之间时，应通过综合研究确定</w:t>
      </w:r>
      <w:r w:rsidRPr="00FD50F6">
        <w:rPr>
          <w:rFonts w:hint="eastAsia"/>
        </w:rPr>
        <w:t>结构型式</w:t>
      </w:r>
      <w:r w:rsidRPr="00FD50F6">
        <w:t>。</w:t>
      </w:r>
    </w:p>
    <w:p w14:paraId="5DC17764" w14:textId="1A4E1173" w:rsidR="00D3119D" w:rsidRPr="00FD50F6" w:rsidRDefault="00D3119D" w:rsidP="00A926BD">
      <w:pPr>
        <w:pStyle w:val="4"/>
      </w:pPr>
      <w:r w:rsidRPr="00FD50F6">
        <w:t>管节长度应根据沉埋段的长度与管节制作、沉埋设备及航道等条件和工期等因素确定，并宜</w:t>
      </w:r>
      <w:r w:rsidRPr="00FD50F6">
        <w:rPr>
          <w:rFonts w:hint="eastAsia"/>
        </w:rPr>
        <w:t>为</w:t>
      </w:r>
      <w:r w:rsidRPr="00FD50F6">
        <w:t>100m</w:t>
      </w:r>
      <w:r w:rsidRPr="00FD50F6">
        <w:t>～</w:t>
      </w:r>
      <w:r w:rsidRPr="00FD50F6">
        <w:t>130m</w:t>
      </w:r>
      <w:r w:rsidRPr="00FD50F6">
        <w:t>。</w:t>
      </w:r>
    </w:p>
    <w:p w14:paraId="620E0EB1" w14:textId="77777777" w:rsidR="00D3119D" w:rsidRPr="00FD50F6" w:rsidRDefault="00D3119D" w:rsidP="00D3119D">
      <w:pPr>
        <w:pStyle w:val="30"/>
      </w:pPr>
      <w:r w:rsidRPr="00FD50F6">
        <w:t>沉管法结构设计应符合下列规定：</w:t>
      </w:r>
    </w:p>
    <w:p w14:paraId="5056948F" w14:textId="37BEC08A" w:rsidR="00D3119D" w:rsidRPr="00FD50F6" w:rsidRDefault="00D3119D" w:rsidP="00A926BD">
      <w:pPr>
        <w:pStyle w:val="4"/>
      </w:pPr>
      <w:r w:rsidRPr="00FD50F6">
        <w:rPr>
          <w:rFonts w:hint="eastAsia"/>
        </w:rPr>
        <w:t>应根据沉管隧道</w:t>
      </w:r>
      <w:r w:rsidRPr="00FD50F6">
        <w:t>在预制、系泊、浮运、沉放、对接、基础处理等不同施工阶段和</w:t>
      </w:r>
      <w:r w:rsidRPr="00FD50F6">
        <w:rPr>
          <w:rFonts w:hint="eastAsia"/>
        </w:rPr>
        <w:t>使用期间</w:t>
      </w:r>
      <w:r w:rsidRPr="00FD50F6">
        <w:t>可能出现的最不利荷载组合，并计及地基的不均匀性和基础处理的质量，对</w:t>
      </w:r>
      <w:r w:rsidRPr="00FD50F6">
        <w:rPr>
          <w:rFonts w:hint="eastAsia"/>
        </w:rPr>
        <w:t>结构</w:t>
      </w:r>
      <w:r w:rsidRPr="00FD50F6">
        <w:t>的横断面和纵向进行受力分析</w:t>
      </w:r>
      <w:r w:rsidRPr="00FD50F6">
        <w:rPr>
          <w:rFonts w:hint="eastAsia"/>
        </w:rPr>
        <w:t>，且纵向受力分析</w:t>
      </w:r>
      <w:r w:rsidRPr="00FD50F6">
        <w:t>应计及接头刚度的影响</w:t>
      </w:r>
      <w:r w:rsidRPr="00FD50F6">
        <w:rPr>
          <w:rFonts w:hint="eastAsia"/>
        </w:rPr>
        <w:t>。</w:t>
      </w:r>
    </w:p>
    <w:p w14:paraId="248E203F" w14:textId="0F5B4D3D" w:rsidR="00D3119D" w:rsidRPr="00FD50F6" w:rsidRDefault="00D3119D" w:rsidP="00A926BD">
      <w:pPr>
        <w:pStyle w:val="4"/>
      </w:pPr>
      <w:r w:rsidRPr="00FD50F6">
        <w:t>水压力应分别按正常情况下的高水位和低水位两种工况计算，并应取历史最高水位进行受力检算，高含泥砂量的河</w:t>
      </w:r>
      <w:r w:rsidRPr="00FD50F6">
        <w:rPr>
          <w:rFonts w:hint="eastAsia"/>
        </w:rPr>
        <w:t>水</w:t>
      </w:r>
      <w:r w:rsidRPr="00FD50F6">
        <w:t>应计入水重度的增高</w:t>
      </w:r>
      <w:r w:rsidRPr="00FD50F6">
        <w:rPr>
          <w:rFonts w:hint="eastAsia"/>
        </w:rPr>
        <w:t>。</w:t>
      </w:r>
    </w:p>
    <w:p w14:paraId="7B77D2BF" w14:textId="18AF3897" w:rsidR="00D3119D" w:rsidRPr="00FD50F6" w:rsidRDefault="00D3119D" w:rsidP="00A926BD">
      <w:pPr>
        <w:pStyle w:val="4"/>
      </w:pPr>
      <w:r w:rsidRPr="00FD50F6">
        <w:t>沉管</w:t>
      </w:r>
      <w:r w:rsidRPr="00FD50F6">
        <w:rPr>
          <w:rFonts w:hint="eastAsia"/>
        </w:rPr>
        <w:t>隧道</w:t>
      </w:r>
      <w:r w:rsidRPr="00FD50F6">
        <w:t>抗浮稳定性应</w:t>
      </w:r>
      <w:r w:rsidRPr="00FD50F6">
        <w:rPr>
          <w:rFonts w:hint="eastAsia"/>
        </w:rPr>
        <w:t>符合</w:t>
      </w:r>
      <w:r w:rsidRPr="00FD50F6">
        <w:t>下列</w:t>
      </w:r>
      <w:r w:rsidRPr="00FD50F6">
        <w:rPr>
          <w:rFonts w:hint="eastAsia"/>
        </w:rPr>
        <w:t>规定</w:t>
      </w:r>
      <w:r w:rsidRPr="00FD50F6">
        <w:t>：</w:t>
      </w:r>
    </w:p>
    <w:p w14:paraId="3EDCDCA0" w14:textId="2C3AADF4" w:rsidR="00D3119D" w:rsidRPr="00FD50F6" w:rsidRDefault="00D3119D" w:rsidP="00D3119D">
      <w:pPr>
        <w:pStyle w:val="5"/>
        <w:ind w:firstLine="480"/>
      </w:pPr>
      <w:r w:rsidRPr="00FD50F6">
        <w:t>管节完成舾装后的干弦高度</w:t>
      </w:r>
      <w:r w:rsidRPr="00FD50F6">
        <w:rPr>
          <w:rFonts w:hint="eastAsia"/>
        </w:rPr>
        <w:t>应</w:t>
      </w:r>
      <w:r w:rsidRPr="00FD50F6">
        <w:t>控制在</w:t>
      </w:r>
      <w:r w:rsidRPr="00FD50F6">
        <w:t>100mm</w:t>
      </w:r>
      <w:r w:rsidRPr="00FD50F6">
        <w:t>～</w:t>
      </w:r>
      <w:r w:rsidRPr="00FD50F6">
        <w:t>250mm</w:t>
      </w:r>
      <w:r w:rsidRPr="00FD50F6">
        <w:t>；</w:t>
      </w:r>
    </w:p>
    <w:p w14:paraId="3A08CE0D" w14:textId="77777777" w:rsidR="00D3119D" w:rsidRPr="00FD50F6" w:rsidRDefault="00D3119D" w:rsidP="00D3119D">
      <w:pPr>
        <w:pStyle w:val="5"/>
        <w:ind w:firstLine="480"/>
      </w:pPr>
      <w:r w:rsidRPr="00FD50F6">
        <w:lastRenderedPageBreak/>
        <w:t>在沉放、对接、基础处理等施工阶段的抗浮安全系数不应小于</w:t>
      </w:r>
      <w:r w:rsidRPr="00FD50F6">
        <w:t>1.05</w:t>
      </w:r>
      <w:r w:rsidRPr="00FD50F6">
        <w:t>；</w:t>
      </w:r>
    </w:p>
    <w:p w14:paraId="7ED5A016" w14:textId="77777777" w:rsidR="00D3119D" w:rsidRPr="00FD50F6" w:rsidRDefault="00D3119D" w:rsidP="00D3119D">
      <w:pPr>
        <w:pStyle w:val="5"/>
        <w:ind w:firstLine="480"/>
      </w:pPr>
      <w:r w:rsidRPr="00FD50F6">
        <w:rPr>
          <w:rFonts w:hint="eastAsia"/>
        </w:rPr>
        <w:t>使用</w:t>
      </w:r>
      <w:r w:rsidRPr="00FD50F6">
        <w:t>阶段的抗浮安全系数不应小于</w:t>
      </w:r>
      <w:r w:rsidRPr="00FD50F6">
        <w:t>1.10</w:t>
      </w:r>
      <w:r w:rsidRPr="00FD50F6">
        <w:t>。</w:t>
      </w:r>
    </w:p>
    <w:p w14:paraId="646B6440" w14:textId="77777777" w:rsidR="00D3119D" w:rsidRPr="00FD50F6" w:rsidRDefault="00D3119D" w:rsidP="00A926BD">
      <w:pPr>
        <w:pStyle w:val="4"/>
      </w:pPr>
      <w:r w:rsidRPr="00FD50F6">
        <w:t>沉管</w:t>
      </w:r>
      <w:r w:rsidRPr="00FD50F6">
        <w:rPr>
          <w:rFonts w:hint="eastAsia"/>
        </w:rPr>
        <w:t>隧道</w:t>
      </w:r>
      <w:r w:rsidRPr="00FD50F6">
        <w:t>的沉降量应通过理论计算和基础沉降模拟试验的结果综合确定</w:t>
      </w:r>
      <w:r w:rsidRPr="00FD50F6">
        <w:rPr>
          <w:rFonts w:hint="eastAsia"/>
        </w:rPr>
        <w:t>。</w:t>
      </w:r>
    </w:p>
    <w:p w14:paraId="06F1D9A0" w14:textId="77777777" w:rsidR="00D3119D" w:rsidRPr="00FD50F6" w:rsidRDefault="00D3119D" w:rsidP="00A926BD">
      <w:pPr>
        <w:pStyle w:val="4"/>
      </w:pPr>
      <w:r w:rsidRPr="00FD50F6">
        <w:t>管节可采用柔性接头或刚性接头</w:t>
      </w:r>
      <w:r w:rsidRPr="00FD50F6">
        <w:rPr>
          <w:rFonts w:hint="eastAsia"/>
        </w:rPr>
        <w:t>。</w:t>
      </w:r>
      <w:r w:rsidRPr="00FD50F6">
        <w:t>接头应具备抵抗地基沉降及地震等作用产生的应力和变形的能力，刚性接头尚应计及混凝土干燥收缩和温度变化的影响</w:t>
      </w:r>
      <w:r w:rsidRPr="00FD50F6">
        <w:rPr>
          <w:rFonts w:hint="eastAsia"/>
        </w:rPr>
        <w:t>；</w:t>
      </w:r>
      <w:r w:rsidRPr="00FD50F6">
        <w:t>管节接头应满足水密性、可施工性和经济性等要求。</w:t>
      </w:r>
    </w:p>
    <w:p w14:paraId="07367199" w14:textId="3B942794" w:rsidR="00D3119D" w:rsidRPr="00FD50F6" w:rsidRDefault="00D3119D" w:rsidP="00A926BD">
      <w:pPr>
        <w:pStyle w:val="4"/>
      </w:pPr>
      <w:r w:rsidRPr="00FD50F6">
        <w:t>基槽横断面应</w:t>
      </w:r>
      <w:r w:rsidRPr="00FD50F6">
        <w:rPr>
          <w:rFonts w:hint="eastAsia"/>
        </w:rPr>
        <w:t>符合</w:t>
      </w:r>
      <w:r w:rsidRPr="00FD50F6">
        <w:t>下列</w:t>
      </w:r>
      <w:r w:rsidRPr="00FD50F6">
        <w:rPr>
          <w:rFonts w:hint="eastAsia"/>
        </w:rPr>
        <w:t>规定</w:t>
      </w:r>
      <w:r w:rsidRPr="00FD50F6">
        <w:t>：</w:t>
      </w:r>
    </w:p>
    <w:p w14:paraId="4EB09CF9" w14:textId="3DBF2019" w:rsidR="00D3119D" w:rsidRPr="00FD50F6" w:rsidRDefault="00D3119D" w:rsidP="00D3119D">
      <w:pPr>
        <w:pStyle w:val="5"/>
        <w:ind w:firstLine="480"/>
      </w:pPr>
      <w:r w:rsidRPr="00FD50F6">
        <w:t>基槽宽度宜在管节最大外侧宽度的基础上，每侧预留</w:t>
      </w:r>
      <w:r w:rsidRPr="00FD50F6">
        <w:t>1.0m</w:t>
      </w:r>
      <w:r w:rsidRPr="00FD50F6">
        <w:t>～</w:t>
      </w:r>
      <w:r w:rsidRPr="00FD50F6">
        <w:t>2.0m</w:t>
      </w:r>
      <w:r w:rsidRPr="00FD50F6">
        <w:t>，</w:t>
      </w:r>
      <w:r w:rsidRPr="00FD50F6">
        <w:rPr>
          <w:rFonts w:hint="eastAsia"/>
        </w:rPr>
        <w:t>当</w:t>
      </w:r>
      <w:r w:rsidRPr="00FD50F6">
        <w:t>采用水下喷砂基础处理方法时，</w:t>
      </w:r>
      <w:r w:rsidRPr="00FD50F6">
        <w:rPr>
          <w:rFonts w:hint="eastAsia"/>
        </w:rPr>
        <w:t>宜</w:t>
      </w:r>
      <w:r w:rsidRPr="00FD50F6">
        <w:t>适当加大预留宽度；</w:t>
      </w:r>
    </w:p>
    <w:p w14:paraId="6882E49B" w14:textId="77777777" w:rsidR="00D3119D" w:rsidRPr="00FD50F6" w:rsidRDefault="00D3119D" w:rsidP="00D3119D">
      <w:pPr>
        <w:pStyle w:val="5"/>
        <w:ind w:firstLine="480"/>
      </w:pPr>
      <w:r w:rsidRPr="00FD50F6">
        <w:t>基槽的深度应为沉管段的底面埋深加上基础处理所需的高度</w:t>
      </w:r>
      <w:r w:rsidRPr="00FD50F6">
        <w:rPr>
          <w:rFonts w:hint="eastAsia"/>
        </w:rPr>
        <w:t>，</w:t>
      </w:r>
      <w:r w:rsidRPr="00FD50F6">
        <w:t>基槽开挖的允许误差宜为</w:t>
      </w:r>
      <w:r w:rsidRPr="00FD50F6">
        <w:t>±300mm</w:t>
      </w:r>
      <w:r w:rsidRPr="00FD50F6">
        <w:t>；</w:t>
      </w:r>
    </w:p>
    <w:p w14:paraId="0088FA96" w14:textId="77777777" w:rsidR="00D3119D" w:rsidRPr="00FD50F6" w:rsidRDefault="00D3119D" w:rsidP="00D3119D">
      <w:pPr>
        <w:pStyle w:val="5"/>
        <w:ind w:firstLine="480"/>
      </w:pPr>
      <w:r w:rsidRPr="00FD50F6">
        <w:t>基槽边坡率应通过稳定性计算确定，并应根据沉管隧道所处位置的潮汐、淤积和冲刷等水力因素进行修正</w:t>
      </w:r>
      <w:r w:rsidRPr="00FD50F6">
        <w:rPr>
          <w:rFonts w:hint="eastAsia"/>
        </w:rPr>
        <w:t>。</w:t>
      </w:r>
    </w:p>
    <w:p w14:paraId="2201EBAA" w14:textId="0E407316" w:rsidR="00D3119D" w:rsidRPr="00FD50F6" w:rsidRDefault="00D3119D" w:rsidP="00A926BD">
      <w:pPr>
        <w:pStyle w:val="4"/>
      </w:pPr>
      <w:r w:rsidRPr="00FD50F6">
        <w:t>沉管隧道应进行</w:t>
      </w:r>
      <w:r w:rsidRPr="00FD50F6">
        <w:rPr>
          <w:rFonts w:hint="eastAsia"/>
        </w:rPr>
        <w:t>地</w:t>
      </w:r>
      <w:r w:rsidRPr="00FD50F6">
        <w:t>基处理，并应根据场地的地质、水文情况、断面形式、基槽开挖方法、施工设备和施工条件等选择适宜的</w:t>
      </w:r>
      <w:r w:rsidR="00B528A1">
        <w:t>地</w:t>
      </w:r>
      <w:r w:rsidRPr="00FD50F6">
        <w:rPr>
          <w:rFonts w:hint="eastAsia"/>
        </w:rPr>
        <w:t>基处理</w:t>
      </w:r>
      <w:r w:rsidRPr="00FD50F6">
        <w:t>方法。地基处理</w:t>
      </w:r>
      <w:r w:rsidRPr="00FD50F6">
        <w:rPr>
          <w:rFonts w:hint="eastAsia"/>
        </w:rPr>
        <w:t>宜</w:t>
      </w:r>
      <w:r w:rsidRPr="00FD50F6">
        <w:t>采用先铺法或后填法；可能产生震陷的特别软弱地基上的沉管隧道宜采用桩基础</w:t>
      </w:r>
      <w:r w:rsidRPr="00FD50F6">
        <w:rPr>
          <w:rFonts w:hint="eastAsia"/>
        </w:rPr>
        <w:t>。</w:t>
      </w:r>
    </w:p>
    <w:p w14:paraId="3EBAA1D1" w14:textId="77777777" w:rsidR="00D3119D" w:rsidRPr="00FD50F6" w:rsidRDefault="00D3119D" w:rsidP="00A926BD">
      <w:pPr>
        <w:pStyle w:val="4"/>
      </w:pPr>
      <w:r w:rsidRPr="00FD50F6">
        <w:t>沉管</w:t>
      </w:r>
      <w:r w:rsidRPr="00FD50F6">
        <w:rPr>
          <w:rFonts w:hint="eastAsia"/>
        </w:rPr>
        <w:t>隧道</w:t>
      </w:r>
      <w:r w:rsidRPr="00FD50F6">
        <w:t>的顶部应设防锚层，并</w:t>
      </w:r>
      <w:r w:rsidRPr="00FD50F6">
        <w:rPr>
          <w:rFonts w:hint="eastAsia"/>
        </w:rPr>
        <w:t>应采</w:t>
      </w:r>
      <w:r w:rsidRPr="00FD50F6">
        <w:t>用粗颗粒的不易液化和透水性好的材料进行回填。</w:t>
      </w:r>
    </w:p>
    <w:p w14:paraId="18DE91BA" w14:textId="77777777" w:rsidR="00D3119D" w:rsidRPr="00FD50F6" w:rsidRDefault="00D3119D" w:rsidP="00A65181">
      <w:pPr>
        <w:pStyle w:val="2"/>
      </w:pPr>
      <w:bookmarkStart w:id="456" w:name="_Toc112830724"/>
      <w:r w:rsidRPr="00FD50F6">
        <w:rPr>
          <w:rFonts w:hint="eastAsia"/>
        </w:rPr>
        <w:t>顶管法结构设计</w:t>
      </w:r>
      <w:bookmarkEnd w:id="456"/>
    </w:p>
    <w:p w14:paraId="2D89509B" w14:textId="77777777" w:rsidR="00D3119D" w:rsidRPr="00FD50F6" w:rsidRDefault="00D3119D" w:rsidP="00D3119D">
      <w:pPr>
        <w:pStyle w:val="30"/>
      </w:pPr>
      <w:r w:rsidRPr="00FD50F6">
        <w:rPr>
          <w:rFonts w:hint="eastAsia"/>
        </w:rPr>
        <w:t>顶管法结构的选用应符合下列规定：</w:t>
      </w:r>
    </w:p>
    <w:p w14:paraId="07E62174" w14:textId="77777777" w:rsidR="00D3119D" w:rsidRPr="00FD50F6" w:rsidRDefault="00D3119D" w:rsidP="00A926BD">
      <w:pPr>
        <w:pStyle w:val="4"/>
      </w:pPr>
      <w:r w:rsidRPr="00FD50F6">
        <w:rPr>
          <w:rFonts w:hint="eastAsia"/>
        </w:rPr>
        <w:t>顶管法结构宜用于出入口通道、换乘通道、地下管线通道等车站和区间的附属结构工程及区间隧道穿越工程。</w:t>
      </w:r>
    </w:p>
    <w:p w14:paraId="229E1C22" w14:textId="77777777" w:rsidR="00D3119D" w:rsidRPr="00FD50F6" w:rsidRDefault="00D3119D" w:rsidP="00A926BD">
      <w:pPr>
        <w:pStyle w:val="4"/>
      </w:pPr>
      <w:r w:rsidRPr="00FD50F6">
        <w:rPr>
          <w:rFonts w:hint="eastAsia"/>
        </w:rPr>
        <w:t>淤泥质土、粘土、粉土及砂土地层可采用顶管法施工，下列地层不宜采用顶管法施工：</w:t>
      </w:r>
    </w:p>
    <w:p w14:paraId="26AA18A6" w14:textId="77777777" w:rsidR="00D3119D" w:rsidRPr="00FD50F6" w:rsidRDefault="00D3119D" w:rsidP="00D3119D">
      <w:pPr>
        <w:pStyle w:val="5"/>
        <w:ind w:firstLine="480"/>
      </w:pPr>
      <w:r w:rsidRPr="00FD50F6">
        <w:rPr>
          <w:rFonts w:hint="eastAsia"/>
        </w:rPr>
        <w:t>岩石强度大于</w:t>
      </w:r>
      <w:r w:rsidRPr="00FD50F6">
        <w:rPr>
          <w:rFonts w:hint="eastAsia"/>
        </w:rPr>
        <w:t>10MPa</w:t>
      </w:r>
      <w:r w:rsidRPr="00FD50F6">
        <w:rPr>
          <w:rFonts w:hint="eastAsia"/>
        </w:rPr>
        <w:t>的地层；</w:t>
      </w:r>
    </w:p>
    <w:p w14:paraId="6680590A" w14:textId="77777777" w:rsidR="00D3119D" w:rsidRPr="00FD50F6" w:rsidRDefault="00D3119D" w:rsidP="00D3119D">
      <w:pPr>
        <w:pStyle w:val="5"/>
        <w:ind w:firstLine="480"/>
      </w:pPr>
      <w:r w:rsidRPr="00FD50F6">
        <w:rPr>
          <w:rFonts w:hint="eastAsia"/>
        </w:rPr>
        <w:t>砾石含量大于</w:t>
      </w:r>
      <w:r w:rsidRPr="00FD50F6">
        <w:rPr>
          <w:rFonts w:hint="eastAsia"/>
        </w:rPr>
        <w:t>30%</w:t>
      </w:r>
      <w:r w:rsidRPr="00FD50F6">
        <w:rPr>
          <w:rFonts w:hint="eastAsia"/>
        </w:rPr>
        <w:t>的地层，或粒径大于</w:t>
      </w:r>
      <w:r w:rsidRPr="00FD50F6">
        <w:rPr>
          <w:rFonts w:hint="eastAsia"/>
        </w:rPr>
        <w:t>200mm</w:t>
      </w:r>
      <w:r w:rsidRPr="00FD50F6">
        <w:rPr>
          <w:rFonts w:hint="eastAsia"/>
        </w:rPr>
        <w:t>、砾石含量大于</w:t>
      </w:r>
      <w:r w:rsidRPr="00FD50F6">
        <w:rPr>
          <w:rFonts w:hint="eastAsia"/>
        </w:rPr>
        <w:t>5%</w:t>
      </w:r>
      <w:r w:rsidRPr="00FD50F6">
        <w:rPr>
          <w:rFonts w:hint="eastAsia"/>
        </w:rPr>
        <w:t>的地层。</w:t>
      </w:r>
    </w:p>
    <w:p w14:paraId="64E4D26F" w14:textId="77777777" w:rsidR="00D3119D" w:rsidRPr="00FD50F6" w:rsidRDefault="00D3119D" w:rsidP="00D3119D">
      <w:pPr>
        <w:pStyle w:val="30"/>
      </w:pPr>
      <w:r w:rsidRPr="00FD50F6">
        <w:rPr>
          <w:rFonts w:hint="eastAsia"/>
        </w:rPr>
        <w:lastRenderedPageBreak/>
        <w:t>顶管法结构型式应符合下列规定：</w:t>
      </w:r>
    </w:p>
    <w:p w14:paraId="3969EB8E" w14:textId="77777777" w:rsidR="00D3119D" w:rsidRPr="00FD50F6" w:rsidRDefault="00D3119D" w:rsidP="00A926BD">
      <w:pPr>
        <w:pStyle w:val="4"/>
      </w:pPr>
      <w:r w:rsidRPr="00FD50F6">
        <w:rPr>
          <w:rFonts w:hint="eastAsia"/>
        </w:rPr>
        <w:t>顶管法结构应采用整体预制的钢筋混凝土单层衬砌，结构断面型式可为矩形或圆形。</w:t>
      </w:r>
    </w:p>
    <w:p w14:paraId="2F7E6A66" w14:textId="3A793019" w:rsidR="00D3119D" w:rsidRPr="00FD50F6" w:rsidRDefault="00D3119D" w:rsidP="00A926BD">
      <w:pPr>
        <w:pStyle w:val="4"/>
      </w:pPr>
      <w:r w:rsidRPr="00FD50F6">
        <w:rPr>
          <w:rFonts w:hint="eastAsia"/>
        </w:rPr>
        <w:t>顶管法结构衬砌应分节顶进，分节长度应根据地基土质、结构断面尺度、控制顶进方向的要求及设备起吊能力等因素确定，中间节长度宜控制在</w:t>
      </w:r>
      <w:r w:rsidRPr="00FD50F6">
        <w:rPr>
          <w:rFonts w:hint="eastAsia"/>
        </w:rPr>
        <w:t>1</w:t>
      </w:r>
      <w:r w:rsidRPr="00FD50F6">
        <w:t>.</w:t>
      </w:r>
      <w:r w:rsidRPr="00FD50F6">
        <w:rPr>
          <w:rFonts w:hint="eastAsia"/>
        </w:rPr>
        <w:t>0m</w:t>
      </w:r>
      <w:r w:rsidRPr="00FD50F6">
        <w:rPr>
          <w:rFonts w:hint="eastAsia"/>
        </w:rPr>
        <w:t>～</w:t>
      </w:r>
      <w:r w:rsidRPr="00FD50F6">
        <w:rPr>
          <w:rFonts w:hint="eastAsia"/>
        </w:rPr>
        <w:t>2</w:t>
      </w:r>
      <w:r w:rsidRPr="00FD50F6">
        <w:t>.</w:t>
      </w:r>
      <w:r w:rsidRPr="00FD50F6">
        <w:rPr>
          <w:rFonts w:hint="eastAsia"/>
        </w:rPr>
        <w:t>0m</w:t>
      </w:r>
      <w:r w:rsidRPr="00FD50F6">
        <w:rPr>
          <w:rFonts w:hint="eastAsia"/>
        </w:rPr>
        <w:t>，首节长度宜为中间节长度的</w:t>
      </w:r>
      <w:r w:rsidRPr="00FD50F6">
        <w:t>1/2</w:t>
      </w:r>
      <w:r w:rsidRPr="00FD50F6">
        <w:rPr>
          <w:rFonts w:hint="eastAsia"/>
        </w:rPr>
        <w:t>。</w:t>
      </w:r>
    </w:p>
    <w:p w14:paraId="1FC48D4B" w14:textId="77777777" w:rsidR="00D3119D" w:rsidRPr="00FD50F6" w:rsidRDefault="00D3119D" w:rsidP="00D3119D">
      <w:pPr>
        <w:pStyle w:val="30"/>
      </w:pPr>
      <w:r w:rsidRPr="00FD50F6">
        <w:rPr>
          <w:rFonts w:hint="eastAsia"/>
        </w:rPr>
        <w:t>顶管法结构设计应符合下列规定：</w:t>
      </w:r>
    </w:p>
    <w:p w14:paraId="526D3F9A" w14:textId="77777777" w:rsidR="00D3119D" w:rsidRPr="00FD50F6" w:rsidRDefault="00D3119D" w:rsidP="00A926BD">
      <w:pPr>
        <w:pStyle w:val="4"/>
      </w:pPr>
      <w:r w:rsidRPr="00FD50F6">
        <w:rPr>
          <w:rFonts w:hint="eastAsia"/>
        </w:rPr>
        <w:t>顶管法结构覆土厚度不宜小于</w:t>
      </w:r>
      <w:r w:rsidRPr="00FD50F6">
        <w:rPr>
          <w:rFonts w:hint="eastAsia"/>
        </w:rPr>
        <w:t>1</w:t>
      </w:r>
      <w:r w:rsidRPr="00FD50F6">
        <w:rPr>
          <w:rFonts w:hint="eastAsia"/>
        </w:rPr>
        <w:t>倍结构外轮廓高度尺寸，并应满足结构受力和抗浮要求。</w:t>
      </w:r>
    </w:p>
    <w:p w14:paraId="442DCA1E" w14:textId="77777777" w:rsidR="00D3119D" w:rsidRPr="00FD50F6" w:rsidRDefault="00D3119D" w:rsidP="00A926BD">
      <w:pPr>
        <w:pStyle w:val="4"/>
      </w:pPr>
      <w:r w:rsidRPr="00FD50F6">
        <w:rPr>
          <w:rFonts w:hint="eastAsia"/>
        </w:rPr>
        <w:t>顶管法结构外壁与既有地下管线等地下建（构）筑物的净距不宜小于</w:t>
      </w:r>
      <w:r w:rsidRPr="00FD50F6">
        <w:rPr>
          <w:rFonts w:hint="eastAsia"/>
        </w:rPr>
        <w:t>1.0m</w:t>
      </w:r>
      <w:r w:rsidRPr="00FD50F6">
        <w:rPr>
          <w:rFonts w:hint="eastAsia"/>
        </w:rPr>
        <w:t>，并宜避让地下管线的</w:t>
      </w:r>
      <w:bookmarkStart w:id="457" w:name="OLE_LINK41"/>
      <w:r w:rsidRPr="00FD50F6">
        <w:rPr>
          <w:rFonts w:hint="eastAsia"/>
        </w:rPr>
        <w:t>窨井</w:t>
      </w:r>
      <w:bookmarkEnd w:id="457"/>
      <w:r w:rsidRPr="00FD50F6">
        <w:rPr>
          <w:rFonts w:hint="eastAsia"/>
        </w:rPr>
        <w:t>、接头等位置。</w:t>
      </w:r>
    </w:p>
    <w:p w14:paraId="2BAFAC34" w14:textId="5637149C" w:rsidR="00D3119D" w:rsidRPr="00FD50F6" w:rsidRDefault="00D3119D" w:rsidP="00A926BD">
      <w:pPr>
        <w:pStyle w:val="4"/>
      </w:pPr>
      <w:r w:rsidRPr="00FD50F6">
        <w:rPr>
          <w:rFonts w:hint="eastAsia"/>
        </w:rPr>
        <w:t>互相平行的顶管法结构水平净距应根据土层性质、结构尺寸和结构埋深等因素确定，且不宜小于</w:t>
      </w:r>
      <w:r w:rsidRPr="00FD50F6">
        <w:rPr>
          <w:rFonts w:hint="eastAsia"/>
        </w:rPr>
        <w:t>1</w:t>
      </w:r>
      <w:r w:rsidRPr="00FD50F6">
        <w:rPr>
          <w:rFonts w:hint="eastAsia"/>
        </w:rPr>
        <w:t>倍结构外轮廓宽度尺寸。</w:t>
      </w:r>
    </w:p>
    <w:p w14:paraId="0D6E0F6D" w14:textId="77777777" w:rsidR="00D3119D" w:rsidRPr="00FD50F6" w:rsidRDefault="00D3119D" w:rsidP="00A926BD">
      <w:pPr>
        <w:pStyle w:val="4"/>
      </w:pPr>
      <w:r w:rsidRPr="00FD50F6">
        <w:rPr>
          <w:rFonts w:hint="eastAsia"/>
        </w:rPr>
        <w:t>顶管法结构计算应符合下列规定：</w:t>
      </w:r>
    </w:p>
    <w:p w14:paraId="5252757B" w14:textId="1A1E833C" w:rsidR="00D3119D" w:rsidRPr="00FD50F6" w:rsidRDefault="00D3119D" w:rsidP="00D3119D">
      <w:pPr>
        <w:pStyle w:val="5"/>
        <w:ind w:firstLine="480"/>
      </w:pPr>
      <w:r w:rsidRPr="00FD50F6">
        <w:rPr>
          <w:rFonts w:hint="eastAsia"/>
        </w:rPr>
        <w:t>应根据结构所处工程地质和水文地质、埋深和环境等条件，对结构管节横断面进行承载力计算和裂缝宽度验算；</w:t>
      </w:r>
    </w:p>
    <w:p w14:paraId="4071C1F5" w14:textId="77777777" w:rsidR="00D3119D" w:rsidRPr="00FD50F6" w:rsidRDefault="00D3119D" w:rsidP="00D3119D">
      <w:pPr>
        <w:pStyle w:val="5"/>
        <w:ind w:firstLine="480"/>
      </w:pPr>
      <w:r w:rsidRPr="00FD50F6">
        <w:rPr>
          <w:rFonts w:hint="eastAsia"/>
        </w:rPr>
        <w:t>应根据工程地质和水文地质、埋深和顶进长度等条件计算顶力，应对顶管传力面最大允许顶力进行验算，并应满足结构纵向承载力和稳定性要求；</w:t>
      </w:r>
    </w:p>
    <w:p w14:paraId="672A9869" w14:textId="77777777" w:rsidR="00D3119D" w:rsidRPr="00FD50F6" w:rsidRDefault="00D3119D" w:rsidP="00D3119D">
      <w:pPr>
        <w:pStyle w:val="5"/>
        <w:ind w:firstLine="480"/>
      </w:pPr>
      <w:r w:rsidRPr="00FD50F6">
        <w:rPr>
          <w:rFonts w:hint="eastAsia"/>
        </w:rPr>
        <w:t>应根据顶管施工阶段最大顶力要求，对顶管工作井后靠结构的承载力和土体稳定进行分析计算。</w:t>
      </w:r>
    </w:p>
    <w:p w14:paraId="6825EE20" w14:textId="713DA7D7" w:rsidR="00D3119D" w:rsidRPr="00FD50F6" w:rsidRDefault="00D3119D" w:rsidP="00D3119D">
      <w:pPr>
        <w:pStyle w:val="30"/>
      </w:pPr>
      <w:r w:rsidRPr="00FD50F6">
        <w:rPr>
          <w:rFonts w:hint="eastAsia"/>
        </w:rPr>
        <w:t>顶管法结构衬砌构造应符合下列规定：</w:t>
      </w:r>
    </w:p>
    <w:p w14:paraId="122D36BE" w14:textId="655CC8EE" w:rsidR="00D3119D" w:rsidRPr="00FD50F6" w:rsidRDefault="00D3119D" w:rsidP="00A926BD">
      <w:pPr>
        <w:pStyle w:val="4"/>
      </w:pPr>
      <w:r w:rsidRPr="00FD50F6">
        <w:rPr>
          <w:rFonts w:hint="eastAsia"/>
        </w:rPr>
        <w:t>管节间应采用柔性接头，并应满足接缝防水和端面纵向力的传递要求。</w:t>
      </w:r>
    </w:p>
    <w:p w14:paraId="6B99C6D3" w14:textId="77777777" w:rsidR="00D3119D" w:rsidRPr="00FD50F6" w:rsidRDefault="00D3119D" w:rsidP="00A926BD">
      <w:pPr>
        <w:pStyle w:val="4"/>
      </w:pPr>
      <w:r w:rsidRPr="00FD50F6">
        <w:rPr>
          <w:rFonts w:hint="eastAsia"/>
        </w:rPr>
        <w:t>管节接缝接头设计应符合下列规定：</w:t>
      </w:r>
    </w:p>
    <w:p w14:paraId="056D8883" w14:textId="77777777" w:rsidR="00D3119D" w:rsidRPr="00FD50F6" w:rsidRDefault="00D3119D" w:rsidP="00D3119D">
      <w:pPr>
        <w:pStyle w:val="5"/>
        <w:ind w:firstLine="480"/>
      </w:pPr>
      <w:r w:rsidRPr="00FD50F6">
        <w:rPr>
          <w:rFonts w:hint="eastAsia"/>
        </w:rPr>
        <w:t>宜优先选用钢承插口接头；</w:t>
      </w:r>
    </w:p>
    <w:p w14:paraId="561AC6CE" w14:textId="01B69F43" w:rsidR="00D3119D" w:rsidRPr="00FD50F6" w:rsidRDefault="00D3119D" w:rsidP="00D3119D">
      <w:pPr>
        <w:pStyle w:val="5"/>
        <w:ind w:firstLine="480"/>
      </w:pPr>
      <w:r w:rsidRPr="00FD50F6">
        <w:rPr>
          <w:rFonts w:hint="eastAsia"/>
        </w:rPr>
        <w:t>接头允许偏转角度应大于</w:t>
      </w:r>
      <w:r w:rsidRPr="00FD50F6">
        <w:rPr>
          <w:rFonts w:hint="eastAsia"/>
        </w:rPr>
        <w:t>0.5</w:t>
      </w:r>
      <w:r w:rsidRPr="00FD50F6">
        <w:rPr>
          <w:rFonts w:ascii="宋体" w:hAnsi="宋体" w:hint="eastAsia"/>
        </w:rPr>
        <w:t>゜</w:t>
      </w:r>
      <w:r w:rsidRPr="00FD50F6">
        <w:rPr>
          <w:rFonts w:hint="eastAsia"/>
        </w:rPr>
        <w:t>；</w:t>
      </w:r>
    </w:p>
    <w:p w14:paraId="5C49B609" w14:textId="77777777" w:rsidR="00D3119D" w:rsidRPr="00FD50F6" w:rsidRDefault="00D3119D" w:rsidP="00D3119D">
      <w:pPr>
        <w:pStyle w:val="5"/>
        <w:ind w:firstLine="480"/>
      </w:pPr>
      <w:r w:rsidRPr="00FD50F6">
        <w:rPr>
          <w:rFonts w:hint="eastAsia"/>
        </w:rPr>
        <w:t>管节端面应安装可靠的传力衬垫；</w:t>
      </w:r>
    </w:p>
    <w:p w14:paraId="12D95203" w14:textId="77777777" w:rsidR="00D3119D" w:rsidRPr="00FD50F6" w:rsidRDefault="00D3119D" w:rsidP="00D3119D">
      <w:pPr>
        <w:pStyle w:val="5"/>
        <w:ind w:firstLine="480"/>
      </w:pPr>
      <w:r w:rsidRPr="00FD50F6">
        <w:rPr>
          <w:rFonts w:hint="eastAsia"/>
        </w:rPr>
        <w:t>钢承插口接头的钢套管与混凝土接缝应采用弹性密封垫嵌缝；</w:t>
      </w:r>
    </w:p>
    <w:p w14:paraId="362BEF4B" w14:textId="77777777" w:rsidR="00D3119D" w:rsidRPr="00FD50F6" w:rsidRDefault="00D3119D" w:rsidP="00D3119D">
      <w:pPr>
        <w:pStyle w:val="5"/>
        <w:ind w:firstLine="480"/>
      </w:pPr>
      <w:r w:rsidRPr="00FD50F6">
        <w:rPr>
          <w:rFonts w:hint="eastAsia"/>
        </w:rPr>
        <w:t>接头钢套管应采用防腐措施。</w:t>
      </w:r>
    </w:p>
    <w:p w14:paraId="4E87DE8C" w14:textId="77777777" w:rsidR="00D3119D" w:rsidRPr="00FD50F6" w:rsidRDefault="00D3119D" w:rsidP="00A926BD">
      <w:pPr>
        <w:pStyle w:val="4"/>
      </w:pPr>
      <w:r w:rsidRPr="00FD50F6">
        <w:rPr>
          <w:rFonts w:hint="eastAsia"/>
        </w:rPr>
        <w:t>管节上应根据施工工艺和沉降控制要求预留注浆孔和吊装孔。</w:t>
      </w:r>
    </w:p>
    <w:p w14:paraId="4D717394" w14:textId="77777777" w:rsidR="00D3119D" w:rsidRPr="00FD50F6" w:rsidRDefault="00D3119D" w:rsidP="00A926BD">
      <w:pPr>
        <w:pStyle w:val="4"/>
      </w:pPr>
      <w:r w:rsidRPr="00FD50F6">
        <w:rPr>
          <w:rFonts w:hint="eastAsia"/>
        </w:rPr>
        <w:t>顶进施工期间结构外壁应注入减阻泥浆，顶进结束后应置换减阻泥浆，置</w:t>
      </w:r>
      <w:r w:rsidRPr="00FD50F6">
        <w:rPr>
          <w:rFonts w:hint="eastAsia"/>
        </w:rPr>
        <w:lastRenderedPageBreak/>
        <w:t>换泥浆可选用水泥单液浆或双液浆。</w:t>
      </w:r>
    </w:p>
    <w:p w14:paraId="146BE2FD" w14:textId="1563A2F8" w:rsidR="00D3119D" w:rsidRPr="00FD50F6" w:rsidRDefault="00D3119D" w:rsidP="00D3119D">
      <w:pPr>
        <w:pStyle w:val="30"/>
      </w:pPr>
      <w:r w:rsidRPr="00FD50F6">
        <w:rPr>
          <w:rFonts w:hint="eastAsia"/>
        </w:rPr>
        <w:t>应根据施工工艺设置顶管始发和接收工作井，并应根据工程地质和水文地质条件及周边环境情况分析工作井始发和接收开挖面土体的稳定性，当土体稳定性不满足要求时</w:t>
      </w:r>
      <w:r w:rsidR="00755E71">
        <w:rPr>
          <w:rFonts w:hint="eastAsia"/>
        </w:rPr>
        <w:t>，</w:t>
      </w:r>
      <w:r w:rsidRPr="00FD50F6">
        <w:rPr>
          <w:rFonts w:hint="eastAsia"/>
        </w:rPr>
        <w:t>应进行相应的土体加固。</w:t>
      </w:r>
    </w:p>
    <w:p w14:paraId="09EFBECF" w14:textId="77777777" w:rsidR="00D3119D" w:rsidRPr="00FD50F6" w:rsidRDefault="00D3119D" w:rsidP="00A65181">
      <w:pPr>
        <w:pStyle w:val="2"/>
      </w:pPr>
      <w:bookmarkStart w:id="458" w:name="_Toc112830725"/>
      <w:bookmarkStart w:id="459" w:name="_Toc344218759"/>
      <w:r w:rsidRPr="00FD50F6">
        <w:rPr>
          <w:rFonts w:hint="eastAsia"/>
        </w:rPr>
        <w:t>地下结构抗震设计</w:t>
      </w:r>
      <w:bookmarkEnd w:id="458"/>
    </w:p>
    <w:p w14:paraId="4D77B5D5" w14:textId="77777777" w:rsidR="00D3119D" w:rsidRPr="00FD50F6" w:rsidRDefault="00D3119D" w:rsidP="00D3119D">
      <w:pPr>
        <w:pStyle w:val="30"/>
        <w:rPr>
          <w:lang w:val="zh-CN"/>
        </w:rPr>
      </w:pPr>
      <w:r w:rsidRPr="00FD50F6">
        <w:rPr>
          <w:rFonts w:hint="eastAsia"/>
          <w:lang w:val="zh-CN"/>
        </w:rPr>
        <w:t>地铁工程地下结构应进行抗震设计。</w:t>
      </w:r>
    </w:p>
    <w:p w14:paraId="048793C9" w14:textId="025D0CCC" w:rsidR="00D3119D" w:rsidRPr="00FD50F6" w:rsidRDefault="00D3119D" w:rsidP="00D3119D">
      <w:pPr>
        <w:pStyle w:val="30"/>
      </w:pPr>
      <w:r w:rsidRPr="00FD50F6">
        <w:t>抗震设防烈度为</w:t>
      </w:r>
      <w:r w:rsidRPr="00FD50F6">
        <w:t>6</w:t>
      </w:r>
      <w:r w:rsidRPr="00FD50F6">
        <w:t>、</w:t>
      </w:r>
      <w:r w:rsidRPr="00FD50F6">
        <w:t>7</w:t>
      </w:r>
      <w:r w:rsidRPr="00FD50F6">
        <w:t>、</w:t>
      </w:r>
      <w:r w:rsidRPr="00FD50F6">
        <w:t>8</w:t>
      </w:r>
      <w:r w:rsidRPr="00FD50F6">
        <w:t>和</w:t>
      </w:r>
      <w:r w:rsidRPr="00FD50F6">
        <w:t>9</w:t>
      </w:r>
      <w:r w:rsidRPr="00FD50F6">
        <w:t>度地区的</w:t>
      </w:r>
      <w:r w:rsidRPr="00FD50F6">
        <w:rPr>
          <w:rFonts w:hint="eastAsia"/>
        </w:rPr>
        <w:t>地铁</w:t>
      </w:r>
      <w:r w:rsidRPr="00FD50F6">
        <w:t>地下结构</w:t>
      </w:r>
      <w:r w:rsidRPr="00FD50F6">
        <w:rPr>
          <w:rFonts w:hint="eastAsia"/>
        </w:rPr>
        <w:t>应进行</w:t>
      </w:r>
      <w:r w:rsidRPr="00FD50F6">
        <w:t>抗震设计</w:t>
      </w:r>
      <w:r w:rsidRPr="00FD50F6">
        <w:rPr>
          <w:rFonts w:hint="eastAsia"/>
        </w:rPr>
        <w:t>。</w:t>
      </w:r>
    </w:p>
    <w:p w14:paraId="603D2C9B" w14:textId="64922350" w:rsidR="00D3119D" w:rsidRPr="00FD50F6" w:rsidRDefault="00D3119D" w:rsidP="00D3119D">
      <w:pPr>
        <w:pStyle w:val="30"/>
        <w:rPr>
          <w:lang w:val="zh-CN"/>
        </w:rPr>
      </w:pPr>
      <w:r w:rsidRPr="00FD50F6">
        <w:rPr>
          <w:rFonts w:hint="eastAsia"/>
          <w:lang w:val="zh-CN"/>
        </w:rPr>
        <w:t>地下结构抗震设计应符合下列规定：</w:t>
      </w:r>
    </w:p>
    <w:p w14:paraId="25E5250E" w14:textId="1E987A09" w:rsidR="00D3119D" w:rsidRPr="00FD50F6" w:rsidRDefault="00D3119D" w:rsidP="00A926BD">
      <w:pPr>
        <w:pStyle w:val="4"/>
      </w:pPr>
      <w:r w:rsidRPr="00FD50F6">
        <w:t>地下结构所在地区的抗震设防烈度</w:t>
      </w:r>
      <w:r w:rsidRPr="00FD50F6">
        <w:rPr>
          <w:rFonts w:hint="eastAsia"/>
        </w:rPr>
        <w:t>及地震动参数</w:t>
      </w:r>
      <w:r w:rsidRPr="00FD50F6">
        <w:t>应</w:t>
      </w:r>
      <w:r w:rsidRPr="00FD50F6">
        <w:rPr>
          <w:rFonts w:hint="eastAsia"/>
        </w:rPr>
        <w:t>按</w:t>
      </w:r>
      <w:r w:rsidRPr="00FD50F6">
        <w:t>现行国家标准《中国地震动参数区划图》</w:t>
      </w:r>
      <w:r w:rsidRPr="00FD50F6">
        <w:t>GB 18306</w:t>
      </w:r>
      <w:r w:rsidRPr="00FD50F6">
        <w:rPr>
          <w:rFonts w:hint="eastAsia"/>
        </w:rPr>
        <w:t>的规定执行；对进行过工程场地地震安全性评价的</w:t>
      </w:r>
      <w:r w:rsidRPr="00FD50F6">
        <w:t>，抗震设防烈度</w:t>
      </w:r>
      <w:r w:rsidRPr="00FD50F6">
        <w:rPr>
          <w:rFonts w:hint="eastAsia"/>
        </w:rPr>
        <w:t>及地震动参数应</w:t>
      </w:r>
      <w:r w:rsidRPr="00FD50F6">
        <w:t>按</w:t>
      </w:r>
      <w:r w:rsidRPr="00FD50F6">
        <w:rPr>
          <w:rFonts w:hint="eastAsia"/>
        </w:rPr>
        <w:t>场地地震安全性评价报告确定</w:t>
      </w:r>
      <w:r w:rsidRPr="00FD50F6">
        <w:t>，但不应低于现行国家标准《中国地震动参数区划图》</w:t>
      </w:r>
      <w:r w:rsidRPr="00FD50F6">
        <w:t>GB 18306</w:t>
      </w:r>
      <w:r w:rsidRPr="00FD50F6">
        <w:t>的要求</w:t>
      </w:r>
      <w:r w:rsidRPr="00FD50F6">
        <w:rPr>
          <w:rFonts w:hint="eastAsia"/>
        </w:rPr>
        <w:t>。</w:t>
      </w:r>
    </w:p>
    <w:p w14:paraId="62CB4F65" w14:textId="5A8E6AE2" w:rsidR="00D3119D" w:rsidRPr="00FD50F6" w:rsidRDefault="00D3119D" w:rsidP="00A926BD">
      <w:pPr>
        <w:pStyle w:val="4"/>
      </w:pPr>
      <w:r w:rsidRPr="00FD50F6">
        <w:rPr>
          <w:rFonts w:hint="eastAsia"/>
        </w:rPr>
        <w:t>抗震设防类别的划分应符合现行国家标准《建筑工程抗震设防分类标准》</w:t>
      </w:r>
      <w:r w:rsidRPr="00FD50F6">
        <w:t>GB 50223</w:t>
      </w:r>
      <w:r w:rsidRPr="00FD50F6">
        <w:rPr>
          <w:rFonts w:hint="eastAsia"/>
        </w:rPr>
        <w:t>的规定，除个别重要工程外，地铁工程应划为重点设防类（乙类）。</w:t>
      </w:r>
    </w:p>
    <w:p w14:paraId="2CB1B035" w14:textId="24A7421C" w:rsidR="00D3119D" w:rsidRPr="00FD50F6" w:rsidRDefault="00D3119D" w:rsidP="00A926BD">
      <w:pPr>
        <w:pStyle w:val="4"/>
      </w:pPr>
      <w:r w:rsidRPr="00FD50F6">
        <w:rPr>
          <w:rFonts w:hint="eastAsia"/>
        </w:rPr>
        <w:t>地下结构抗震设计应达到下列抗震设防目标：</w:t>
      </w:r>
    </w:p>
    <w:p w14:paraId="37C1A4EA" w14:textId="77777777" w:rsidR="00D3119D" w:rsidRPr="00FD50F6" w:rsidRDefault="00D3119D" w:rsidP="00D3119D">
      <w:pPr>
        <w:pStyle w:val="5"/>
        <w:ind w:firstLine="480"/>
      </w:pPr>
      <w:r w:rsidRPr="00FD50F6">
        <w:rPr>
          <w:rFonts w:hint="eastAsia"/>
        </w:rPr>
        <w:t>当遭受低于本工程抗震设防烈度的多遇地震（</w:t>
      </w:r>
      <w:r w:rsidRPr="00FD50F6">
        <w:rPr>
          <w:rFonts w:hint="eastAsia"/>
        </w:rPr>
        <w:t>E1</w:t>
      </w:r>
      <w:r w:rsidRPr="00FD50F6">
        <w:rPr>
          <w:rFonts w:hint="eastAsia"/>
        </w:rPr>
        <w:t>地震作用）影响时，地下结构不损坏，对周围环境和地铁运营无影响；</w:t>
      </w:r>
    </w:p>
    <w:p w14:paraId="1AE07FAC" w14:textId="77777777" w:rsidR="00D3119D" w:rsidRPr="00FD50F6" w:rsidRDefault="00D3119D" w:rsidP="00D3119D">
      <w:pPr>
        <w:pStyle w:val="5"/>
        <w:ind w:firstLine="480"/>
      </w:pPr>
      <w:r w:rsidRPr="00FD50F6">
        <w:rPr>
          <w:rFonts w:hint="eastAsia"/>
        </w:rPr>
        <w:t>当遭受相当于本工程抗震设防烈度的设计地震（</w:t>
      </w:r>
      <w:r w:rsidRPr="00FD50F6">
        <w:rPr>
          <w:rFonts w:hint="eastAsia"/>
        </w:rPr>
        <w:t>E2</w:t>
      </w:r>
      <w:r w:rsidRPr="00FD50F6">
        <w:rPr>
          <w:rFonts w:hint="eastAsia"/>
        </w:rPr>
        <w:t>地震作用）影响时，地下结构不损坏或仅需对非重要结构部位进行一般修理，对周围环境影响轻微，不影响正常运营；</w:t>
      </w:r>
    </w:p>
    <w:p w14:paraId="318EBB15" w14:textId="77777777" w:rsidR="00D3119D" w:rsidRPr="00FD50F6" w:rsidRDefault="00D3119D" w:rsidP="00D3119D">
      <w:pPr>
        <w:pStyle w:val="5"/>
        <w:ind w:firstLine="480"/>
      </w:pPr>
      <w:r w:rsidRPr="00FD50F6">
        <w:rPr>
          <w:rFonts w:hint="eastAsia"/>
        </w:rPr>
        <w:t>当遭受高于本工程抗震设防烈度的罕遇地震（高于设防烈度</w:t>
      </w:r>
      <w:r w:rsidRPr="00FD50F6">
        <w:rPr>
          <w:rFonts w:hint="eastAsia"/>
        </w:rPr>
        <w:t>1</w:t>
      </w:r>
      <w:r w:rsidRPr="00FD50F6">
        <w:rPr>
          <w:rFonts w:hint="eastAsia"/>
        </w:rPr>
        <w:t>度，</w:t>
      </w:r>
      <w:r w:rsidRPr="00FD50F6">
        <w:rPr>
          <w:rFonts w:hint="eastAsia"/>
        </w:rPr>
        <w:t>E3</w:t>
      </w:r>
      <w:r w:rsidRPr="00FD50F6">
        <w:rPr>
          <w:rFonts w:hint="eastAsia"/>
        </w:rPr>
        <w:t>地震作用）影响时，地下结构主要结构体系不发生严重破坏且便于修复，无重大人员伤亡，对周围环境不产生严重影响，修复后可正常运营。</w:t>
      </w:r>
    </w:p>
    <w:p w14:paraId="4BABE70D" w14:textId="2247E5F7" w:rsidR="00D3119D" w:rsidRPr="00FD50F6" w:rsidRDefault="00D3119D" w:rsidP="00A926BD">
      <w:pPr>
        <w:pStyle w:val="4"/>
      </w:pPr>
      <w:r w:rsidRPr="00FD50F6">
        <w:t>应根据结构</w:t>
      </w:r>
      <w:r w:rsidRPr="00FD50F6">
        <w:rPr>
          <w:rFonts w:hint="eastAsia"/>
        </w:rPr>
        <w:t>类别</w:t>
      </w:r>
      <w:r w:rsidRPr="00FD50F6">
        <w:t>、使用条件和重要性程度确定</w:t>
      </w:r>
      <w:r w:rsidRPr="00FD50F6">
        <w:rPr>
          <w:rFonts w:hint="eastAsia"/>
        </w:rPr>
        <w:t>地下</w:t>
      </w:r>
      <w:r w:rsidRPr="00FD50F6">
        <w:t>结构的抗震等级。</w:t>
      </w:r>
      <w:r w:rsidRPr="00FD50F6">
        <w:rPr>
          <w:rFonts w:hint="eastAsia"/>
        </w:rPr>
        <w:t>重点设防类</w:t>
      </w:r>
      <w:r w:rsidRPr="00FD50F6">
        <w:t>地下结构抗震等级应符合表</w:t>
      </w:r>
      <w:r w:rsidR="00CD0099" w:rsidRPr="00FD50F6">
        <w:t>12</w:t>
      </w:r>
      <w:r w:rsidRPr="00FD50F6">
        <w:t>.9.3</w:t>
      </w:r>
      <w:r w:rsidRPr="00FD50F6">
        <w:t>的规定</w:t>
      </w:r>
      <w:r w:rsidRPr="00FD50F6">
        <w:rPr>
          <w:rFonts w:hint="eastAsia"/>
        </w:rPr>
        <w:t>。</w:t>
      </w:r>
    </w:p>
    <w:p w14:paraId="1CCBB012" w14:textId="6A0DA5E0" w:rsidR="00D3119D" w:rsidRPr="00FD50F6" w:rsidRDefault="00D3119D" w:rsidP="00D3119D">
      <w:pPr>
        <w:pStyle w:val="6"/>
      </w:pPr>
      <w:r w:rsidRPr="00FD50F6">
        <w:t>表</w:t>
      </w:r>
      <w:r w:rsidR="00CD0099" w:rsidRPr="00FD50F6">
        <w:t>12</w:t>
      </w:r>
      <w:r w:rsidRPr="00FD50F6">
        <w:t>.</w:t>
      </w:r>
      <w:r w:rsidRPr="00FD50F6">
        <w:rPr>
          <w:rFonts w:hint="eastAsia"/>
        </w:rPr>
        <w:t>9</w:t>
      </w:r>
      <w:r w:rsidRPr="00FD50F6">
        <w:t>.</w:t>
      </w:r>
      <w:r w:rsidRPr="00FD50F6">
        <w:rPr>
          <w:rFonts w:hint="eastAsia"/>
        </w:rPr>
        <w:t xml:space="preserve">3 </w:t>
      </w:r>
      <w:r w:rsidRPr="00FD50F6">
        <w:rPr>
          <w:rFonts w:hint="eastAsia"/>
        </w:rPr>
        <w:t>重点设防类</w:t>
      </w:r>
      <w:r w:rsidRPr="00FD50F6">
        <w:t>地下结构抗震等级</w:t>
      </w:r>
    </w:p>
    <w:tbl>
      <w:tblPr>
        <w:tblW w:w="5000" w:type="pct"/>
        <w:jc w:val="center"/>
        <w:tblLook w:val="04A0" w:firstRow="1" w:lastRow="0" w:firstColumn="1" w:lastColumn="0" w:noHBand="0" w:noVBand="1"/>
      </w:tblPr>
      <w:tblGrid>
        <w:gridCol w:w="3868"/>
        <w:gridCol w:w="1167"/>
        <w:gridCol w:w="1165"/>
        <w:gridCol w:w="1165"/>
        <w:gridCol w:w="1163"/>
      </w:tblGrid>
      <w:tr w:rsidR="00B528A1" w:rsidRPr="00FD50F6" w14:paraId="1A2C1FE9" w14:textId="77777777" w:rsidTr="001F65D6">
        <w:trPr>
          <w:trHeight w:val="298"/>
          <w:jc w:val="center"/>
        </w:trPr>
        <w:tc>
          <w:tcPr>
            <w:tcW w:w="2268" w:type="pct"/>
            <w:vMerge w:val="restart"/>
            <w:tcBorders>
              <w:top w:val="single" w:sz="4" w:space="0" w:color="auto"/>
              <w:left w:val="single" w:sz="4" w:space="0" w:color="auto"/>
              <w:right w:val="single" w:sz="4" w:space="0" w:color="auto"/>
            </w:tcBorders>
            <w:vAlign w:val="center"/>
          </w:tcPr>
          <w:p w14:paraId="093B9FE0" w14:textId="77777777" w:rsidR="00B528A1" w:rsidRPr="00FD50F6" w:rsidRDefault="00B528A1" w:rsidP="001F65D6">
            <w:pPr>
              <w:pStyle w:val="7"/>
            </w:pPr>
            <w:r w:rsidRPr="00FD50F6">
              <w:rPr>
                <w:rFonts w:hint="eastAsia"/>
              </w:rPr>
              <w:t>结构类别</w:t>
            </w:r>
          </w:p>
        </w:tc>
        <w:tc>
          <w:tcPr>
            <w:tcW w:w="2732" w:type="pct"/>
            <w:gridSpan w:val="4"/>
            <w:tcBorders>
              <w:top w:val="single" w:sz="4" w:space="0" w:color="auto"/>
              <w:left w:val="single" w:sz="4" w:space="0" w:color="auto"/>
              <w:bottom w:val="single" w:sz="4" w:space="0" w:color="auto"/>
              <w:right w:val="single" w:sz="4" w:space="0" w:color="auto"/>
            </w:tcBorders>
            <w:vAlign w:val="center"/>
          </w:tcPr>
          <w:p w14:paraId="0A91E5DE" w14:textId="3098D291" w:rsidR="00B528A1" w:rsidRPr="00FD50F6" w:rsidRDefault="00B528A1" w:rsidP="00B528A1">
            <w:pPr>
              <w:pStyle w:val="7"/>
            </w:pPr>
            <w:r w:rsidRPr="00FD50F6">
              <w:rPr>
                <w:rFonts w:hint="eastAsia"/>
              </w:rPr>
              <w:t>设防烈度</w:t>
            </w:r>
          </w:p>
        </w:tc>
      </w:tr>
      <w:tr w:rsidR="00B528A1" w:rsidRPr="00FD50F6" w14:paraId="7016A796" w14:textId="77777777" w:rsidTr="00563044">
        <w:trPr>
          <w:trHeight w:val="298"/>
          <w:jc w:val="center"/>
        </w:trPr>
        <w:tc>
          <w:tcPr>
            <w:tcW w:w="2268" w:type="pct"/>
            <w:vMerge/>
            <w:tcBorders>
              <w:left w:val="single" w:sz="4" w:space="0" w:color="auto"/>
              <w:bottom w:val="single" w:sz="4" w:space="0" w:color="auto"/>
              <w:right w:val="single" w:sz="4" w:space="0" w:color="auto"/>
            </w:tcBorders>
          </w:tcPr>
          <w:p w14:paraId="54FD0E5A" w14:textId="77777777" w:rsidR="00B528A1" w:rsidRPr="00FD50F6" w:rsidRDefault="00B528A1" w:rsidP="00B528A1">
            <w:pPr>
              <w:pStyle w:val="7"/>
            </w:pPr>
          </w:p>
        </w:tc>
        <w:tc>
          <w:tcPr>
            <w:tcW w:w="684" w:type="pct"/>
            <w:tcBorders>
              <w:top w:val="single" w:sz="4" w:space="0" w:color="auto"/>
              <w:left w:val="single" w:sz="4" w:space="0" w:color="auto"/>
              <w:bottom w:val="single" w:sz="4" w:space="0" w:color="auto"/>
              <w:right w:val="single" w:sz="4" w:space="0" w:color="auto"/>
            </w:tcBorders>
            <w:vAlign w:val="center"/>
          </w:tcPr>
          <w:p w14:paraId="0B1C6439" w14:textId="7F225365" w:rsidR="00B528A1" w:rsidRPr="00FD50F6" w:rsidRDefault="00B528A1" w:rsidP="00B528A1">
            <w:pPr>
              <w:pStyle w:val="7"/>
            </w:pPr>
            <w:r w:rsidRPr="00FD50F6">
              <w:t>6</w:t>
            </w:r>
            <w:r w:rsidRPr="00FD50F6">
              <w:t>度</w:t>
            </w:r>
          </w:p>
        </w:tc>
        <w:tc>
          <w:tcPr>
            <w:tcW w:w="683" w:type="pct"/>
            <w:tcBorders>
              <w:top w:val="single" w:sz="4" w:space="0" w:color="auto"/>
              <w:left w:val="single" w:sz="4" w:space="0" w:color="auto"/>
              <w:bottom w:val="single" w:sz="4" w:space="0" w:color="auto"/>
              <w:right w:val="single" w:sz="4" w:space="0" w:color="auto"/>
            </w:tcBorders>
            <w:vAlign w:val="center"/>
          </w:tcPr>
          <w:p w14:paraId="5B3D83CC" w14:textId="62E637C2" w:rsidR="00B528A1" w:rsidRPr="00FD50F6" w:rsidRDefault="00B528A1" w:rsidP="00B528A1">
            <w:pPr>
              <w:pStyle w:val="7"/>
            </w:pPr>
            <w:r w:rsidRPr="00FD50F6">
              <w:t>7</w:t>
            </w:r>
            <w:r w:rsidRPr="00FD50F6">
              <w:t>度</w:t>
            </w:r>
          </w:p>
        </w:tc>
        <w:tc>
          <w:tcPr>
            <w:tcW w:w="683" w:type="pct"/>
            <w:tcBorders>
              <w:top w:val="single" w:sz="4" w:space="0" w:color="auto"/>
              <w:left w:val="single" w:sz="4" w:space="0" w:color="auto"/>
              <w:bottom w:val="single" w:sz="4" w:space="0" w:color="auto"/>
              <w:right w:val="single" w:sz="4" w:space="0" w:color="auto"/>
            </w:tcBorders>
            <w:vAlign w:val="center"/>
          </w:tcPr>
          <w:p w14:paraId="61F5FF93" w14:textId="34F6073C" w:rsidR="00B528A1" w:rsidRPr="00FD50F6" w:rsidRDefault="00B528A1" w:rsidP="00B528A1">
            <w:pPr>
              <w:pStyle w:val="7"/>
            </w:pPr>
            <w:r w:rsidRPr="00FD50F6">
              <w:t>8</w:t>
            </w:r>
            <w:r w:rsidRPr="00FD50F6">
              <w:t>度</w:t>
            </w:r>
          </w:p>
        </w:tc>
        <w:tc>
          <w:tcPr>
            <w:tcW w:w="682" w:type="pct"/>
            <w:tcBorders>
              <w:top w:val="single" w:sz="4" w:space="0" w:color="auto"/>
              <w:left w:val="single" w:sz="4" w:space="0" w:color="auto"/>
              <w:bottom w:val="single" w:sz="4" w:space="0" w:color="auto"/>
              <w:right w:val="single" w:sz="4" w:space="0" w:color="auto"/>
            </w:tcBorders>
            <w:vAlign w:val="center"/>
          </w:tcPr>
          <w:p w14:paraId="355A9BC5" w14:textId="5D806901" w:rsidR="00B528A1" w:rsidRPr="00FD50F6" w:rsidRDefault="00B528A1" w:rsidP="00B528A1">
            <w:pPr>
              <w:pStyle w:val="7"/>
            </w:pPr>
            <w:r w:rsidRPr="00FD50F6">
              <w:t>9</w:t>
            </w:r>
            <w:r w:rsidRPr="00FD50F6">
              <w:t>度</w:t>
            </w:r>
          </w:p>
        </w:tc>
      </w:tr>
      <w:tr w:rsidR="00B528A1" w:rsidRPr="00FD50F6" w14:paraId="5634B95F" w14:textId="77777777" w:rsidTr="001F65D6">
        <w:trPr>
          <w:jc w:val="center"/>
        </w:trPr>
        <w:tc>
          <w:tcPr>
            <w:tcW w:w="2268" w:type="pct"/>
            <w:tcBorders>
              <w:top w:val="single" w:sz="4" w:space="0" w:color="auto"/>
              <w:left w:val="single" w:sz="4" w:space="0" w:color="auto"/>
              <w:bottom w:val="single" w:sz="4" w:space="0" w:color="auto"/>
              <w:right w:val="single" w:sz="4" w:space="0" w:color="auto"/>
            </w:tcBorders>
            <w:vAlign w:val="center"/>
          </w:tcPr>
          <w:p w14:paraId="29D0F235" w14:textId="77777777" w:rsidR="00B528A1" w:rsidRPr="00FD50F6" w:rsidRDefault="00B528A1" w:rsidP="00B528A1">
            <w:pPr>
              <w:pStyle w:val="7"/>
            </w:pPr>
            <w:r w:rsidRPr="00FD50F6">
              <w:rPr>
                <w:rFonts w:hint="eastAsia"/>
              </w:rPr>
              <w:t>地下</w:t>
            </w:r>
            <w:r w:rsidRPr="00FD50F6">
              <w:t>车站结构</w:t>
            </w:r>
          </w:p>
        </w:tc>
        <w:tc>
          <w:tcPr>
            <w:tcW w:w="684" w:type="pct"/>
            <w:tcBorders>
              <w:top w:val="single" w:sz="4" w:space="0" w:color="auto"/>
              <w:left w:val="single" w:sz="4" w:space="0" w:color="auto"/>
              <w:bottom w:val="single" w:sz="4" w:space="0" w:color="auto"/>
              <w:right w:val="single" w:sz="4" w:space="0" w:color="auto"/>
            </w:tcBorders>
            <w:vAlign w:val="center"/>
          </w:tcPr>
          <w:p w14:paraId="4FE89672" w14:textId="77777777" w:rsidR="00B528A1" w:rsidRPr="00FD50F6" w:rsidRDefault="00B528A1" w:rsidP="00B528A1">
            <w:pPr>
              <w:pStyle w:val="7"/>
            </w:pPr>
            <w:r w:rsidRPr="00FD50F6">
              <w:t>三级</w:t>
            </w:r>
          </w:p>
        </w:tc>
        <w:tc>
          <w:tcPr>
            <w:tcW w:w="683" w:type="pct"/>
            <w:tcBorders>
              <w:top w:val="single" w:sz="4" w:space="0" w:color="auto"/>
              <w:left w:val="single" w:sz="4" w:space="0" w:color="auto"/>
              <w:bottom w:val="single" w:sz="4" w:space="0" w:color="auto"/>
              <w:right w:val="single" w:sz="4" w:space="0" w:color="auto"/>
            </w:tcBorders>
            <w:vAlign w:val="center"/>
          </w:tcPr>
          <w:p w14:paraId="28E08049" w14:textId="77777777" w:rsidR="00B528A1" w:rsidRPr="00FD50F6" w:rsidRDefault="00B528A1" w:rsidP="00B528A1">
            <w:pPr>
              <w:pStyle w:val="7"/>
            </w:pPr>
            <w:r w:rsidRPr="00FD50F6">
              <w:t>三级</w:t>
            </w:r>
          </w:p>
        </w:tc>
        <w:tc>
          <w:tcPr>
            <w:tcW w:w="683" w:type="pct"/>
            <w:tcBorders>
              <w:top w:val="single" w:sz="4" w:space="0" w:color="auto"/>
              <w:left w:val="single" w:sz="4" w:space="0" w:color="auto"/>
              <w:bottom w:val="single" w:sz="4" w:space="0" w:color="auto"/>
              <w:right w:val="single" w:sz="4" w:space="0" w:color="auto"/>
            </w:tcBorders>
            <w:vAlign w:val="center"/>
          </w:tcPr>
          <w:p w14:paraId="47A64770" w14:textId="77777777" w:rsidR="00B528A1" w:rsidRPr="00FD50F6" w:rsidRDefault="00B528A1" w:rsidP="00B528A1">
            <w:pPr>
              <w:pStyle w:val="7"/>
            </w:pPr>
            <w:r w:rsidRPr="00FD50F6">
              <w:t>二级</w:t>
            </w:r>
          </w:p>
        </w:tc>
        <w:tc>
          <w:tcPr>
            <w:tcW w:w="682" w:type="pct"/>
            <w:tcBorders>
              <w:top w:val="single" w:sz="4" w:space="0" w:color="auto"/>
              <w:left w:val="single" w:sz="4" w:space="0" w:color="auto"/>
              <w:bottom w:val="single" w:sz="4" w:space="0" w:color="auto"/>
              <w:right w:val="single" w:sz="4" w:space="0" w:color="auto"/>
            </w:tcBorders>
            <w:vAlign w:val="center"/>
          </w:tcPr>
          <w:p w14:paraId="510F6223" w14:textId="77777777" w:rsidR="00B528A1" w:rsidRPr="00FD50F6" w:rsidRDefault="00B528A1" w:rsidP="00B528A1">
            <w:pPr>
              <w:pStyle w:val="7"/>
            </w:pPr>
            <w:r w:rsidRPr="00FD50F6">
              <w:t>一级</w:t>
            </w:r>
          </w:p>
        </w:tc>
      </w:tr>
      <w:tr w:rsidR="00B528A1" w:rsidRPr="00FD50F6" w14:paraId="1432263F" w14:textId="77777777" w:rsidTr="001F65D6">
        <w:trPr>
          <w:jc w:val="center"/>
        </w:trPr>
        <w:tc>
          <w:tcPr>
            <w:tcW w:w="2268" w:type="pct"/>
            <w:tcBorders>
              <w:top w:val="single" w:sz="4" w:space="0" w:color="auto"/>
              <w:left w:val="single" w:sz="4" w:space="0" w:color="auto"/>
              <w:bottom w:val="single" w:sz="4" w:space="0" w:color="auto"/>
              <w:right w:val="single" w:sz="4" w:space="0" w:color="auto"/>
            </w:tcBorders>
            <w:vAlign w:val="center"/>
          </w:tcPr>
          <w:p w14:paraId="3FB8577D" w14:textId="77777777" w:rsidR="00B528A1" w:rsidRPr="00FD50F6" w:rsidRDefault="00B528A1" w:rsidP="00B528A1">
            <w:pPr>
              <w:pStyle w:val="7"/>
            </w:pPr>
            <w:r w:rsidRPr="00FD50F6">
              <w:t>区间</w:t>
            </w:r>
            <w:r w:rsidRPr="00FD50F6">
              <w:rPr>
                <w:rFonts w:hint="eastAsia"/>
              </w:rPr>
              <w:t>隧道、</w:t>
            </w:r>
            <w:r w:rsidRPr="00FD50F6">
              <w:t>附属</w:t>
            </w:r>
            <w:r w:rsidRPr="00FD50F6">
              <w:rPr>
                <w:rFonts w:hint="eastAsia"/>
              </w:rPr>
              <w:t>建筑</w:t>
            </w:r>
            <w:r w:rsidRPr="00FD50F6">
              <w:t>结构</w:t>
            </w:r>
          </w:p>
        </w:tc>
        <w:tc>
          <w:tcPr>
            <w:tcW w:w="684" w:type="pct"/>
            <w:tcBorders>
              <w:top w:val="single" w:sz="4" w:space="0" w:color="auto"/>
              <w:left w:val="single" w:sz="4" w:space="0" w:color="auto"/>
              <w:bottom w:val="single" w:sz="4" w:space="0" w:color="auto"/>
              <w:right w:val="single" w:sz="4" w:space="0" w:color="auto"/>
            </w:tcBorders>
            <w:vAlign w:val="center"/>
          </w:tcPr>
          <w:p w14:paraId="1E01386B" w14:textId="77777777" w:rsidR="00B528A1" w:rsidRPr="00FD50F6" w:rsidRDefault="00B528A1" w:rsidP="00B528A1">
            <w:pPr>
              <w:pStyle w:val="7"/>
            </w:pPr>
            <w:r w:rsidRPr="00FD50F6">
              <w:t>四级</w:t>
            </w:r>
          </w:p>
        </w:tc>
        <w:tc>
          <w:tcPr>
            <w:tcW w:w="683" w:type="pct"/>
            <w:tcBorders>
              <w:top w:val="single" w:sz="4" w:space="0" w:color="auto"/>
              <w:left w:val="single" w:sz="4" w:space="0" w:color="auto"/>
              <w:bottom w:val="single" w:sz="4" w:space="0" w:color="auto"/>
              <w:right w:val="single" w:sz="4" w:space="0" w:color="auto"/>
            </w:tcBorders>
            <w:vAlign w:val="center"/>
          </w:tcPr>
          <w:p w14:paraId="2FDE2AD4" w14:textId="77777777" w:rsidR="00B528A1" w:rsidRPr="00FD50F6" w:rsidRDefault="00B528A1" w:rsidP="00B528A1">
            <w:pPr>
              <w:pStyle w:val="7"/>
            </w:pPr>
            <w:r w:rsidRPr="00FD50F6">
              <w:t>三级</w:t>
            </w:r>
          </w:p>
        </w:tc>
        <w:tc>
          <w:tcPr>
            <w:tcW w:w="683" w:type="pct"/>
            <w:tcBorders>
              <w:top w:val="single" w:sz="4" w:space="0" w:color="auto"/>
              <w:left w:val="single" w:sz="4" w:space="0" w:color="auto"/>
              <w:bottom w:val="single" w:sz="4" w:space="0" w:color="auto"/>
              <w:right w:val="single" w:sz="4" w:space="0" w:color="auto"/>
            </w:tcBorders>
            <w:vAlign w:val="center"/>
          </w:tcPr>
          <w:p w14:paraId="791DC534" w14:textId="77777777" w:rsidR="00B528A1" w:rsidRPr="00FD50F6" w:rsidRDefault="00B528A1" w:rsidP="00B528A1">
            <w:pPr>
              <w:pStyle w:val="7"/>
            </w:pPr>
            <w:r w:rsidRPr="00FD50F6">
              <w:t>三级</w:t>
            </w:r>
          </w:p>
        </w:tc>
        <w:tc>
          <w:tcPr>
            <w:tcW w:w="682" w:type="pct"/>
            <w:tcBorders>
              <w:top w:val="single" w:sz="4" w:space="0" w:color="auto"/>
              <w:left w:val="single" w:sz="4" w:space="0" w:color="auto"/>
              <w:bottom w:val="single" w:sz="4" w:space="0" w:color="auto"/>
              <w:right w:val="single" w:sz="4" w:space="0" w:color="auto"/>
            </w:tcBorders>
            <w:vAlign w:val="center"/>
          </w:tcPr>
          <w:p w14:paraId="062352F5" w14:textId="77777777" w:rsidR="00B528A1" w:rsidRPr="00FD50F6" w:rsidRDefault="00B528A1" w:rsidP="00B528A1">
            <w:pPr>
              <w:pStyle w:val="7"/>
            </w:pPr>
            <w:r w:rsidRPr="00FD50F6">
              <w:t>二级</w:t>
            </w:r>
          </w:p>
        </w:tc>
      </w:tr>
    </w:tbl>
    <w:p w14:paraId="39EECC28" w14:textId="71D2C0FE" w:rsidR="00D3119D" w:rsidRPr="00FD50F6" w:rsidRDefault="00D3119D" w:rsidP="00D3119D">
      <w:pPr>
        <w:pStyle w:val="7"/>
        <w:jc w:val="left"/>
      </w:pPr>
      <w:r w:rsidRPr="00FD50F6">
        <w:lastRenderedPageBreak/>
        <w:t>注：</w:t>
      </w:r>
      <w:r w:rsidRPr="00FD50F6">
        <w:t>1</w:t>
      </w:r>
      <w:r w:rsidR="00071866">
        <w:rPr>
          <w:rFonts w:hint="eastAsia"/>
        </w:rPr>
        <w:t xml:space="preserve"> </w:t>
      </w:r>
      <w:r w:rsidRPr="00FD50F6">
        <w:t>断面大小接近车站的地下结构应按车站结构的抗震等级设计；</w:t>
      </w:r>
    </w:p>
    <w:p w14:paraId="191AF665" w14:textId="3D42B294" w:rsidR="00D3119D" w:rsidRPr="00FD50F6" w:rsidRDefault="00D3119D" w:rsidP="001F65D6">
      <w:pPr>
        <w:ind w:left="480" w:hangingChars="200" w:hanging="480"/>
      </w:pPr>
      <w:r w:rsidRPr="00FD50F6">
        <w:rPr>
          <w:rFonts w:hint="eastAsia"/>
        </w:rPr>
        <w:t xml:space="preserve"> </w:t>
      </w:r>
      <w:r w:rsidRPr="001F65D6">
        <w:rPr>
          <w:rFonts w:ascii="Times New Roman" w:hAnsi="Times New Roman"/>
          <w:bCs/>
          <w:sz w:val="21"/>
          <w:szCs w:val="24"/>
        </w:rPr>
        <w:t xml:space="preserve"> </w:t>
      </w:r>
      <w:r w:rsidR="00071866">
        <w:rPr>
          <w:rFonts w:ascii="Times New Roman" w:hAnsi="Times New Roman"/>
          <w:bCs/>
          <w:sz w:val="21"/>
          <w:szCs w:val="24"/>
        </w:rPr>
        <w:t xml:space="preserve">    </w:t>
      </w:r>
      <w:r w:rsidRPr="001F65D6">
        <w:rPr>
          <w:rFonts w:ascii="Times New Roman" w:hAnsi="Times New Roman"/>
          <w:bCs/>
          <w:sz w:val="21"/>
          <w:szCs w:val="24"/>
        </w:rPr>
        <w:t xml:space="preserve"> 2</w:t>
      </w:r>
      <w:r w:rsidR="00071866">
        <w:rPr>
          <w:rFonts w:ascii="Times New Roman" w:hAnsi="Times New Roman" w:hint="eastAsia"/>
          <w:bCs/>
          <w:sz w:val="21"/>
          <w:szCs w:val="24"/>
        </w:rPr>
        <w:t xml:space="preserve"> </w:t>
      </w:r>
      <w:r w:rsidRPr="001F65D6">
        <w:rPr>
          <w:rFonts w:ascii="Times New Roman" w:hAnsi="Times New Roman" w:hint="eastAsia"/>
          <w:bCs/>
          <w:sz w:val="21"/>
          <w:szCs w:val="24"/>
        </w:rPr>
        <w:t>当</w:t>
      </w:r>
      <w:r w:rsidRPr="001F65D6">
        <w:rPr>
          <w:rFonts w:ascii="Times New Roman" w:hAnsi="Times New Roman"/>
          <w:bCs/>
          <w:sz w:val="21"/>
          <w:szCs w:val="24"/>
        </w:rPr>
        <w:t>在地下结构上部有整建的地面结构时，</w:t>
      </w:r>
      <w:r w:rsidRPr="001F65D6">
        <w:rPr>
          <w:rFonts w:ascii="Times New Roman" w:hAnsi="Times New Roman" w:hint="eastAsia"/>
          <w:bCs/>
          <w:sz w:val="21"/>
          <w:szCs w:val="24"/>
        </w:rPr>
        <w:t>其抗震等级应与上部建筑物的抗震等级一致，</w:t>
      </w:r>
      <w:r w:rsidR="000C7C0A">
        <w:rPr>
          <w:rFonts w:ascii="Times New Roman" w:hAnsi="Times New Roman" w:hint="eastAsia"/>
          <w:bCs/>
          <w:sz w:val="21"/>
          <w:szCs w:val="24"/>
        </w:rPr>
        <w:t xml:space="preserve"> </w:t>
      </w:r>
      <w:r w:rsidRPr="001F65D6">
        <w:rPr>
          <w:rFonts w:ascii="Times New Roman" w:hAnsi="Times New Roman" w:hint="eastAsia"/>
          <w:bCs/>
          <w:sz w:val="21"/>
          <w:szCs w:val="24"/>
        </w:rPr>
        <w:t>且不应低于上表的要求</w:t>
      </w:r>
      <w:r w:rsidRPr="001F65D6">
        <w:rPr>
          <w:rFonts w:ascii="Times New Roman" w:hAnsi="Times New Roman"/>
          <w:bCs/>
          <w:sz w:val="21"/>
          <w:szCs w:val="24"/>
        </w:rPr>
        <w:t>。</w:t>
      </w:r>
    </w:p>
    <w:p w14:paraId="3A6B4EB1" w14:textId="77777777" w:rsidR="00D3119D" w:rsidRPr="00FD50F6" w:rsidRDefault="00D3119D" w:rsidP="00A926BD">
      <w:pPr>
        <w:pStyle w:val="4"/>
      </w:pPr>
      <w:r w:rsidRPr="00FD50F6">
        <w:t>地下结构应根据设防要求、场地条件、结构类型和埋深等因素选用能反映其地震工作性状的计算分析方法，并应采取提高结构和接头处的整体抗震能力的构造措施</w:t>
      </w:r>
      <w:r w:rsidRPr="00FD50F6">
        <w:rPr>
          <w:rFonts w:hint="eastAsia"/>
        </w:rPr>
        <w:t>。</w:t>
      </w:r>
    </w:p>
    <w:p w14:paraId="41B6B983" w14:textId="77777777" w:rsidR="00D3119D" w:rsidRPr="00FD50F6" w:rsidRDefault="00D3119D" w:rsidP="00A926BD">
      <w:pPr>
        <w:pStyle w:val="4"/>
      </w:pPr>
      <w:r w:rsidRPr="00FD50F6">
        <w:t>地下结构施工阶段可不计地震作用的影响</w:t>
      </w:r>
      <w:r w:rsidRPr="00FD50F6">
        <w:rPr>
          <w:rFonts w:hint="eastAsia"/>
        </w:rPr>
        <w:t>。</w:t>
      </w:r>
    </w:p>
    <w:p w14:paraId="19F7AEEF" w14:textId="28A18354" w:rsidR="00D3119D" w:rsidRPr="00FD50F6" w:rsidRDefault="00D3119D" w:rsidP="00D3119D">
      <w:pPr>
        <w:pStyle w:val="30"/>
        <w:rPr>
          <w:lang w:val="zh-CN"/>
        </w:rPr>
      </w:pPr>
      <w:r w:rsidRPr="00FD50F6">
        <w:rPr>
          <w:rFonts w:hint="eastAsia"/>
          <w:lang w:val="zh-CN"/>
        </w:rPr>
        <w:t>地下结构的场地和地基应符合下列规定：</w:t>
      </w:r>
    </w:p>
    <w:p w14:paraId="4DFEC038" w14:textId="5737F825" w:rsidR="00D3119D" w:rsidRPr="00FD50F6" w:rsidRDefault="00D3119D" w:rsidP="00A926BD">
      <w:pPr>
        <w:pStyle w:val="4"/>
      </w:pPr>
      <w:r w:rsidRPr="00FD50F6">
        <w:rPr>
          <w:rFonts w:hint="eastAsia"/>
        </w:rPr>
        <w:t>线位、站位的选择应避开抗震不利地段，当无法避开时，应采取抗震措施。</w:t>
      </w:r>
    </w:p>
    <w:p w14:paraId="4121036E" w14:textId="77777777" w:rsidR="00D3119D" w:rsidRPr="00FD50F6" w:rsidRDefault="00D3119D" w:rsidP="00A926BD">
      <w:pPr>
        <w:pStyle w:val="4"/>
      </w:pPr>
      <w:r w:rsidRPr="00FD50F6">
        <w:rPr>
          <w:rFonts w:hint="eastAsia"/>
        </w:rPr>
        <w:t>同一单元结构的基础不宜设置在性质截然不同或差异显著的地基上。</w:t>
      </w:r>
    </w:p>
    <w:p w14:paraId="2A8D59B2" w14:textId="192B9E79" w:rsidR="00D3119D" w:rsidRPr="00FD50F6" w:rsidRDefault="00D3119D" w:rsidP="00A926BD">
      <w:pPr>
        <w:pStyle w:val="4"/>
      </w:pPr>
      <w:r w:rsidRPr="00FD50F6">
        <w:rPr>
          <w:rFonts w:hint="eastAsia"/>
        </w:rPr>
        <w:t>当地基为</w:t>
      </w:r>
      <w:r w:rsidRPr="00FD50F6">
        <w:t>震陷软粘土</w:t>
      </w:r>
      <w:r w:rsidRPr="00FD50F6">
        <w:rPr>
          <w:rFonts w:hint="eastAsia"/>
        </w:rPr>
        <w:t>、液化土、新近填土或严重不均匀土时，应对地震时地基不均匀变形对结构的不利影响采取相应的措施。</w:t>
      </w:r>
    </w:p>
    <w:p w14:paraId="0BB6C720" w14:textId="270336A7" w:rsidR="00D3119D" w:rsidRPr="00FD50F6" w:rsidRDefault="00D3119D" w:rsidP="00D3119D">
      <w:pPr>
        <w:pStyle w:val="30"/>
        <w:rPr>
          <w:lang w:val="zh-CN"/>
        </w:rPr>
      </w:pPr>
      <w:r w:rsidRPr="00FD50F6">
        <w:rPr>
          <w:rFonts w:hint="eastAsia"/>
          <w:lang w:val="zh-CN"/>
        </w:rPr>
        <w:t>地下结构的结构体系应符合下列规定：</w:t>
      </w:r>
    </w:p>
    <w:p w14:paraId="7E01D8B5" w14:textId="77777777" w:rsidR="00D3119D" w:rsidRPr="00FD50F6" w:rsidRDefault="00D3119D" w:rsidP="00A926BD">
      <w:pPr>
        <w:pStyle w:val="4"/>
      </w:pPr>
      <w:r w:rsidRPr="00FD50F6">
        <w:rPr>
          <w:rFonts w:hint="eastAsia"/>
        </w:rPr>
        <w:t>地下结构的体形及结构布置宜规则、对称，结构质量及刚度宜均匀分布、避免突变；</w:t>
      </w:r>
      <w:r w:rsidRPr="00FD50F6">
        <w:t>下层</w:t>
      </w:r>
      <w:r w:rsidRPr="00FD50F6">
        <w:rPr>
          <w:rFonts w:hint="eastAsia"/>
        </w:rPr>
        <w:t>结构</w:t>
      </w:r>
      <w:r w:rsidRPr="00FD50F6">
        <w:t>的</w:t>
      </w:r>
      <w:r w:rsidRPr="00FD50F6">
        <w:rPr>
          <w:rFonts w:hint="eastAsia"/>
        </w:rPr>
        <w:t>竖向</w:t>
      </w:r>
      <w:r w:rsidRPr="00FD50F6">
        <w:t>承载刚度不宜低于上层</w:t>
      </w:r>
      <w:r w:rsidRPr="00FD50F6">
        <w:rPr>
          <w:rFonts w:hint="eastAsia"/>
        </w:rPr>
        <w:t>。</w:t>
      </w:r>
    </w:p>
    <w:p w14:paraId="27E39FE7" w14:textId="3053D792" w:rsidR="00D3119D" w:rsidRPr="00FD50F6" w:rsidRDefault="00D3119D" w:rsidP="00A926BD">
      <w:pPr>
        <w:pStyle w:val="4"/>
      </w:pPr>
      <w:r w:rsidRPr="00FD50F6">
        <w:rPr>
          <w:rFonts w:hint="eastAsia"/>
        </w:rPr>
        <w:t>体形不规则的地下结构宜结合使用功能要求设置变形缝，设置变形缝后的地下结构宜由体形较规则的结构单元组成。</w:t>
      </w:r>
    </w:p>
    <w:p w14:paraId="627A160A" w14:textId="77777777" w:rsidR="00D3119D" w:rsidRPr="00FD50F6" w:rsidRDefault="00D3119D" w:rsidP="00A926BD">
      <w:pPr>
        <w:pStyle w:val="4"/>
      </w:pPr>
      <w:r w:rsidRPr="00FD50F6">
        <w:rPr>
          <w:rFonts w:hint="eastAsia"/>
        </w:rPr>
        <w:t>结构体系及结构构件应具备良好的延性和变形能力。</w:t>
      </w:r>
    </w:p>
    <w:p w14:paraId="00AC7586" w14:textId="219E5CB8" w:rsidR="00D3119D" w:rsidRPr="00FD50F6" w:rsidRDefault="00D3119D" w:rsidP="00A926BD">
      <w:pPr>
        <w:pStyle w:val="4"/>
      </w:pPr>
      <w:r w:rsidRPr="00FD50F6">
        <w:rPr>
          <w:rFonts w:hint="eastAsia"/>
        </w:rPr>
        <w:t>对可能出现的薄弱部位应采取提高其抗震能力的措施。</w:t>
      </w:r>
    </w:p>
    <w:p w14:paraId="73253AC4" w14:textId="692105C6" w:rsidR="00D3119D" w:rsidRPr="00FD50F6" w:rsidRDefault="00D3119D" w:rsidP="00A926BD">
      <w:pPr>
        <w:pStyle w:val="4"/>
      </w:pPr>
      <w:r w:rsidRPr="00FD50F6">
        <w:t>地下结构各构件之间的连接应符合下列</w:t>
      </w:r>
      <w:r w:rsidRPr="00FD50F6">
        <w:rPr>
          <w:rFonts w:hint="eastAsia"/>
        </w:rPr>
        <w:t>规定</w:t>
      </w:r>
      <w:r w:rsidRPr="00FD50F6">
        <w:t>：</w:t>
      </w:r>
    </w:p>
    <w:p w14:paraId="764C6E08" w14:textId="6ED9FF0B" w:rsidR="00D3119D" w:rsidRPr="00FD50F6" w:rsidRDefault="00D3119D" w:rsidP="00D3119D">
      <w:pPr>
        <w:pStyle w:val="5"/>
        <w:ind w:firstLine="480"/>
      </w:pPr>
      <w:r w:rsidRPr="00FD50F6">
        <w:t>连接节点的破坏不应先于构件；</w:t>
      </w:r>
    </w:p>
    <w:p w14:paraId="6D2625CF" w14:textId="612C7A29" w:rsidR="00D3119D" w:rsidRPr="00FD50F6" w:rsidRDefault="00D3119D" w:rsidP="00D3119D">
      <w:pPr>
        <w:pStyle w:val="5"/>
        <w:ind w:firstLine="480"/>
      </w:pPr>
      <w:r w:rsidRPr="00FD50F6">
        <w:t>预埋件的锚固破坏不应先于连接节点；</w:t>
      </w:r>
    </w:p>
    <w:p w14:paraId="6B856E9B" w14:textId="6F7E1764" w:rsidR="00D3119D" w:rsidRPr="00FD50F6" w:rsidRDefault="00D3119D" w:rsidP="00D3119D">
      <w:pPr>
        <w:pStyle w:val="5"/>
        <w:ind w:firstLine="480"/>
      </w:pPr>
      <w:r w:rsidRPr="00FD50F6">
        <w:t>装配式结构构件的连接</w:t>
      </w:r>
      <w:r w:rsidRPr="00FD50F6">
        <w:rPr>
          <w:rFonts w:hint="eastAsia"/>
        </w:rPr>
        <w:t>应满足结构的整体稳定性要求</w:t>
      </w:r>
      <w:r w:rsidRPr="00FD50F6">
        <w:t>。</w:t>
      </w:r>
    </w:p>
    <w:p w14:paraId="78F12C9D" w14:textId="77777777" w:rsidR="00D3119D" w:rsidRPr="00FD50F6" w:rsidRDefault="00D3119D" w:rsidP="00D3119D">
      <w:pPr>
        <w:pStyle w:val="30"/>
        <w:rPr>
          <w:lang w:val="zh-CN"/>
        </w:rPr>
      </w:pPr>
      <w:r w:rsidRPr="00FD50F6">
        <w:rPr>
          <w:rFonts w:hint="eastAsia"/>
          <w:lang w:val="zh-CN"/>
        </w:rPr>
        <w:t>地下结构的抗震计算分析应符合下列规定：</w:t>
      </w:r>
    </w:p>
    <w:p w14:paraId="57496A0F" w14:textId="63B4FBD7" w:rsidR="00D3119D" w:rsidRPr="00FD50F6" w:rsidRDefault="00D3119D" w:rsidP="00A926BD">
      <w:pPr>
        <w:pStyle w:val="4"/>
      </w:pPr>
      <w:r w:rsidRPr="00FD50F6">
        <w:rPr>
          <w:rFonts w:hint="eastAsia"/>
        </w:rPr>
        <w:t>地下结构应进行</w:t>
      </w:r>
      <w:r w:rsidRPr="00FD50F6">
        <w:rPr>
          <w:rFonts w:hint="eastAsia"/>
        </w:rPr>
        <w:t>E2</w:t>
      </w:r>
      <w:r w:rsidRPr="00FD50F6">
        <w:rPr>
          <w:rFonts w:hint="eastAsia"/>
        </w:rPr>
        <w:t>地震作用下的内力和变形分析，且应假定结构与构件处于弹性工作状态。</w:t>
      </w:r>
    </w:p>
    <w:p w14:paraId="3676B85C" w14:textId="72579A08" w:rsidR="00D3119D" w:rsidRPr="00FD50F6" w:rsidRDefault="00D3119D" w:rsidP="00A926BD">
      <w:pPr>
        <w:pStyle w:val="4"/>
      </w:pPr>
      <w:r w:rsidRPr="00FD50F6">
        <w:rPr>
          <w:rFonts w:hint="eastAsia"/>
        </w:rPr>
        <w:t>位于地层软硬显著变化区域、体形不规则或有明显薄弱部位的地下结构应进行</w:t>
      </w:r>
      <w:r w:rsidRPr="00FD50F6">
        <w:rPr>
          <w:rFonts w:hint="eastAsia"/>
        </w:rPr>
        <w:t>E3</w:t>
      </w:r>
      <w:r w:rsidRPr="00FD50F6">
        <w:rPr>
          <w:rFonts w:hint="eastAsia"/>
        </w:rPr>
        <w:t>地震作用下的变形分析，且应假定结构与构件处于弹塑性工作状态。</w:t>
      </w:r>
    </w:p>
    <w:p w14:paraId="038B8561" w14:textId="186D5DD3" w:rsidR="00D3119D" w:rsidRPr="00FD50F6" w:rsidRDefault="00D3119D" w:rsidP="00A926BD">
      <w:pPr>
        <w:pStyle w:val="4"/>
      </w:pPr>
      <w:r w:rsidRPr="00FD50F6">
        <w:rPr>
          <w:rFonts w:hint="eastAsia"/>
        </w:rPr>
        <w:t>地下结构的抗震计算模型应反映结构的实际受力状况以及结构与周边地层的相互作用，抗震计算方法应根据地下结构的型式、体量和特点确定。</w:t>
      </w:r>
    </w:p>
    <w:p w14:paraId="1A88998E" w14:textId="53EC2E4B" w:rsidR="00D3119D" w:rsidRPr="00FD50F6" w:rsidRDefault="00D3119D" w:rsidP="00A926BD">
      <w:pPr>
        <w:pStyle w:val="4"/>
      </w:pPr>
      <w:r w:rsidRPr="00FD50F6">
        <w:rPr>
          <w:rFonts w:hint="eastAsia"/>
        </w:rPr>
        <w:lastRenderedPageBreak/>
        <w:t>沿纵向结构型式连续且横断面构造规则的地下结构宜进行横断面方向水平地震反应计算，地震内力和变形分析可采用横向反应位移法、惯性力法或二维时程分析法。当采用惯性力法计算地下结构地震反应时，应符合现行国家标准《铁路工程抗震设计规范》</w:t>
      </w:r>
      <w:r w:rsidRPr="00FD50F6">
        <w:t>GB 50111</w:t>
      </w:r>
      <w:r w:rsidRPr="00FD50F6">
        <w:rPr>
          <w:rFonts w:hint="eastAsia"/>
        </w:rPr>
        <w:t>对静力法的规定。</w:t>
      </w:r>
    </w:p>
    <w:p w14:paraId="0577A2B9" w14:textId="77777777" w:rsidR="00D3119D" w:rsidRPr="00FD50F6" w:rsidRDefault="00D3119D" w:rsidP="00A926BD">
      <w:pPr>
        <w:pStyle w:val="4"/>
      </w:pPr>
      <w:r w:rsidRPr="00FD50F6">
        <w:rPr>
          <w:rFonts w:hint="eastAsia"/>
        </w:rPr>
        <w:t>当存在下列情况时，地下结构宜采用空间模型进行不同方向的水平地震反应计算，计算方法应采用三维时程分析法：</w:t>
      </w:r>
    </w:p>
    <w:p w14:paraId="59AA4748" w14:textId="7E3A8A29" w:rsidR="00D3119D" w:rsidRPr="00FD50F6" w:rsidRDefault="00D3119D" w:rsidP="00D3119D">
      <w:pPr>
        <w:pStyle w:val="5"/>
        <w:ind w:firstLine="480"/>
      </w:pPr>
      <w:r w:rsidRPr="00FD50F6">
        <w:rPr>
          <w:rFonts w:hint="eastAsia"/>
        </w:rPr>
        <w:t>结构体系复杂、体形或结构横断面沿纵向变化不规则；</w:t>
      </w:r>
    </w:p>
    <w:p w14:paraId="747D7835" w14:textId="111F2A0F" w:rsidR="00D3119D" w:rsidRPr="00FD50F6" w:rsidRDefault="00D3119D" w:rsidP="00D3119D">
      <w:pPr>
        <w:pStyle w:val="5"/>
        <w:ind w:firstLine="480"/>
      </w:pPr>
      <w:r w:rsidRPr="00FD50F6">
        <w:rPr>
          <w:rFonts w:hint="eastAsia"/>
        </w:rPr>
        <w:t>地质条件沿结构纵向变化不规则，软硬不均；</w:t>
      </w:r>
    </w:p>
    <w:p w14:paraId="0C798E68" w14:textId="77777777" w:rsidR="00D3119D" w:rsidRPr="00FD50F6" w:rsidRDefault="00D3119D" w:rsidP="00D3119D">
      <w:pPr>
        <w:pStyle w:val="5"/>
        <w:ind w:firstLine="480"/>
      </w:pPr>
      <w:r w:rsidRPr="00FD50F6">
        <w:rPr>
          <w:rFonts w:hint="eastAsia"/>
        </w:rPr>
        <w:t>地下结构与地面建（构）筑物合建或结构上部局部有</w:t>
      </w:r>
      <w:r w:rsidRPr="001A4CF3">
        <w:rPr>
          <w:rFonts w:hint="eastAsia"/>
        </w:rPr>
        <w:t>建（构）筑物</w:t>
      </w:r>
      <w:r w:rsidRPr="00FD50F6">
        <w:rPr>
          <w:rFonts w:hint="eastAsia"/>
        </w:rPr>
        <w:t>；</w:t>
      </w:r>
    </w:p>
    <w:p w14:paraId="2E58D6B7" w14:textId="0DDC1AC2" w:rsidR="00D3119D" w:rsidRPr="00FD50F6" w:rsidRDefault="00D3119D" w:rsidP="00D3119D">
      <w:pPr>
        <w:pStyle w:val="5"/>
        <w:ind w:firstLine="480"/>
      </w:pPr>
      <w:r w:rsidRPr="00FD50F6">
        <w:rPr>
          <w:rFonts w:hint="eastAsia"/>
        </w:rPr>
        <w:t>地下结构紧邻或穿越既有轨道交通或重要</w:t>
      </w:r>
      <w:r w:rsidRPr="001A4CF3">
        <w:rPr>
          <w:rFonts w:hint="eastAsia"/>
        </w:rPr>
        <w:t>建（构）筑物</w:t>
      </w:r>
      <w:r w:rsidRPr="00FD50F6">
        <w:rPr>
          <w:rFonts w:hint="eastAsia"/>
        </w:rPr>
        <w:t>；</w:t>
      </w:r>
    </w:p>
    <w:p w14:paraId="21320765" w14:textId="77777777" w:rsidR="00D3119D" w:rsidRPr="00FD50F6" w:rsidRDefault="00D3119D" w:rsidP="00D3119D">
      <w:pPr>
        <w:pStyle w:val="5"/>
        <w:ind w:firstLine="480"/>
      </w:pPr>
      <w:r w:rsidRPr="00FD50F6">
        <w:t>隧道线路存在小半径曲线</w:t>
      </w:r>
      <w:r w:rsidRPr="00FD50F6">
        <w:rPr>
          <w:rFonts w:hint="eastAsia"/>
        </w:rPr>
        <w:t>。</w:t>
      </w:r>
    </w:p>
    <w:p w14:paraId="17526A29" w14:textId="77777777" w:rsidR="00D3119D" w:rsidRPr="00FD50F6" w:rsidRDefault="00D3119D" w:rsidP="00A926BD">
      <w:pPr>
        <w:pStyle w:val="4"/>
      </w:pPr>
      <w:r w:rsidRPr="00FD50F6">
        <w:rPr>
          <w:rFonts w:hint="eastAsia"/>
        </w:rPr>
        <w:t>地下结构除应进行水平地震作用计算外，当设防烈度为</w:t>
      </w:r>
      <w:r w:rsidRPr="00FD50F6">
        <w:rPr>
          <w:rFonts w:hint="eastAsia"/>
        </w:rPr>
        <w:t>8</w:t>
      </w:r>
      <w:r w:rsidRPr="00FD50F6">
        <w:rPr>
          <w:rFonts w:hint="eastAsia"/>
        </w:rPr>
        <w:t>度及以上且存在以下情形时，尚宜计及竖向地震作用：</w:t>
      </w:r>
    </w:p>
    <w:p w14:paraId="4FBF70C6" w14:textId="77777777" w:rsidR="00D3119D" w:rsidRPr="00FD50F6" w:rsidRDefault="00D3119D" w:rsidP="00D3119D">
      <w:pPr>
        <w:pStyle w:val="5"/>
        <w:ind w:firstLine="480"/>
      </w:pPr>
      <w:r w:rsidRPr="00FD50F6">
        <w:rPr>
          <w:rFonts w:hint="eastAsia"/>
        </w:rPr>
        <w:t>大跨度地下结构；</w:t>
      </w:r>
    </w:p>
    <w:p w14:paraId="7E563983" w14:textId="064407AA" w:rsidR="00D3119D" w:rsidRPr="00FD50F6" w:rsidRDefault="00D3119D" w:rsidP="00D3119D">
      <w:pPr>
        <w:pStyle w:val="5"/>
        <w:ind w:firstLine="480"/>
      </w:pPr>
      <w:r w:rsidRPr="00FD50F6">
        <w:rPr>
          <w:rFonts w:hint="eastAsia"/>
        </w:rPr>
        <w:t>地下结构顶板或楼板开孔洞后形成大跨悬臂构件；</w:t>
      </w:r>
    </w:p>
    <w:p w14:paraId="2DF2E416" w14:textId="77777777" w:rsidR="00D3119D" w:rsidRPr="00FD50F6" w:rsidRDefault="00D3119D" w:rsidP="00D3119D">
      <w:pPr>
        <w:pStyle w:val="30"/>
      </w:pPr>
      <w:r w:rsidRPr="00FD50F6">
        <w:rPr>
          <w:rFonts w:hint="eastAsia"/>
          <w:lang w:val="zh-CN"/>
        </w:rPr>
        <w:t>地震作用效应与其他荷载效应的组合以及结构构件抗震承载力调整应按现行国家标准《建筑抗震设计规范》</w:t>
      </w:r>
      <w:r w:rsidRPr="00FD50F6">
        <w:rPr>
          <w:lang w:val="zh-CN"/>
        </w:rPr>
        <w:t>GB 50011</w:t>
      </w:r>
      <w:r w:rsidRPr="00FD50F6">
        <w:rPr>
          <w:rFonts w:hint="eastAsia"/>
          <w:lang w:val="zh-CN"/>
        </w:rPr>
        <w:t>的规定执行。</w:t>
      </w:r>
    </w:p>
    <w:p w14:paraId="5A24DA96" w14:textId="77777777" w:rsidR="00D3119D" w:rsidRPr="00FD50F6" w:rsidRDefault="00D3119D" w:rsidP="00D3119D">
      <w:pPr>
        <w:pStyle w:val="30"/>
        <w:rPr>
          <w:lang w:val="zh-CN"/>
        </w:rPr>
      </w:pPr>
      <w:r w:rsidRPr="00FD50F6">
        <w:rPr>
          <w:rFonts w:hint="eastAsia"/>
          <w:lang w:val="zh-CN"/>
        </w:rPr>
        <w:t>地下结构在</w:t>
      </w:r>
      <w:r w:rsidRPr="00FD50F6">
        <w:rPr>
          <w:lang w:val="zh-CN"/>
        </w:rPr>
        <w:t>E2</w:t>
      </w:r>
      <w:r w:rsidRPr="00FD50F6">
        <w:rPr>
          <w:lang w:val="zh-CN"/>
        </w:rPr>
        <w:t>地震作用下的弹性</w:t>
      </w:r>
      <w:r w:rsidRPr="00FD50F6">
        <w:rPr>
          <w:rFonts w:hint="eastAsia"/>
          <w:lang w:val="zh-CN"/>
        </w:rPr>
        <w:t>变形验算和在</w:t>
      </w:r>
      <w:r w:rsidRPr="00FD50F6">
        <w:rPr>
          <w:lang w:val="zh-CN"/>
        </w:rPr>
        <w:t>E3</w:t>
      </w:r>
      <w:r w:rsidRPr="00FD50F6">
        <w:rPr>
          <w:lang w:val="zh-CN"/>
        </w:rPr>
        <w:t>地震作用下的弹</w:t>
      </w:r>
      <w:r w:rsidRPr="00FD50F6">
        <w:rPr>
          <w:rFonts w:hint="eastAsia"/>
          <w:lang w:val="zh-CN"/>
        </w:rPr>
        <w:t>塑</w:t>
      </w:r>
      <w:r w:rsidRPr="00FD50F6">
        <w:rPr>
          <w:lang w:val="zh-CN"/>
        </w:rPr>
        <w:t>性</w:t>
      </w:r>
      <w:r w:rsidRPr="00FD50F6">
        <w:rPr>
          <w:rFonts w:hint="eastAsia"/>
          <w:lang w:val="zh-CN"/>
        </w:rPr>
        <w:t>变形验算宜按现行国家标准《地下结构抗震设计标准》</w:t>
      </w:r>
      <w:r w:rsidRPr="00FD50F6">
        <w:rPr>
          <w:lang w:val="zh-CN"/>
        </w:rPr>
        <w:t>GB/T 51336</w:t>
      </w:r>
      <w:r w:rsidRPr="00FD50F6">
        <w:rPr>
          <w:rFonts w:hint="eastAsia"/>
          <w:lang w:val="zh-CN"/>
        </w:rPr>
        <w:t>的规定执行。</w:t>
      </w:r>
    </w:p>
    <w:p w14:paraId="52E287FB" w14:textId="77777777" w:rsidR="00D3119D" w:rsidRPr="00FD50F6" w:rsidRDefault="00D3119D" w:rsidP="00D3119D">
      <w:pPr>
        <w:pStyle w:val="30"/>
        <w:rPr>
          <w:lang w:val="zh-CN"/>
        </w:rPr>
      </w:pPr>
      <w:r w:rsidRPr="00FD50F6">
        <w:rPr>
          <w:rFonts w:hint="eastAsia"/>
          <w:lang w:val="zh-CN"/>
        </w:rPr>
        <w:t>地下结构的抗震构造应符合下列规定：</w:t>
      </w:r>
    </w:p>
    <w:p w14:paraId="578779B4" w14:textId="79C8D987" w:rsidR="00D3119D" w:rsidRPr="00FD50F6" w:rsidRDefault="00D3119D" w:rsidP="00A926BD">
      <w:pPr>
        <w:pStyle w:val="4"/>
      </w:pPr>
      <w:r w:rsidRPr="00FD50F6">
        <w:t>框架梁、框架柱应根据抗震等级的不同按现行国家标准《建筑抗震设计规范》</w:t>
      </w:r>
      <w:r w:rsidRPr="00FD50F6">
        <w:t>GB 50011</w:t>
      </w:r>
      <w:r w:rsidRPr="00FD50F6">
        <w:rPr>
          <w:rFonts w:hint="eastAsia"/>
        </w:rPr>
        <w:t>的规定采取抗震构造措施。</w:t>
      </w:r>
    </w:p>
    <w:p w14:paraId="0354E036" w14:textId="2F330C61" w:rsidR="00D3119D" w:rsidRPr="00FD50F6" w:rsidRDefault="00D3119D" w:rsidP="00A926BD">
      <w:pPr>
        <w:pStyle w:val="4"/>
      </w:pPr>
      <w:r w:rsidRPr="00FD50F6">
        <w:rPr>
          <w:rFonts w:hint="eastAsia"/>
        </w:rPr>
        <w:t>钢筋混凝土框架柱设计应符合下列规定：</w:t>
      </w:r>
    </w:p>
    <w:p w14:paraId="6A2A27B8" w14:textId="77777777" w:rsidR="00D3119D" w:rsidRPr="00FD50F6" w:rsidRDefault="00D3119D" w:rsidP="00D3119D">
      <w:pPr>
        <w:pStyle w:val="5"/>
        <w:ind w:firstLine="480"/>
      </w:pPr>
      <w:r w:rsidRPr="00FD50F6">
        <w:rPr>
          <w:rFonts w:hint="eastAsia"/>
        </w:rPr>
        <w:t>框架柱截面宜采用对称配筋型式，框架柱主筋间距不宜大于</w:t>
      </w:r>
      <w:r w:rsidRPr="00FD50F6">
        <w:rPr>
          <w:rFonts w:hint="eastAsia"/>
        </w:rPr>
        <w:t>200mm</w:t>
      </w:r>
      <w:r w:rsidRPr="00FD50F6">
        <w:rPr>
          <w:rFonts w:hint="eastAsia"/>
        </w:rPr>
        <w:t>；</w:t>
      </w:r>
    </w:p>
    <w:p w14:paraId="6E42AF36" w14:textId="77777777" w:rsidR="00D3119D" w:rsidRPr="00FD50F6" w:rsidRDefault="00D3119D" w:rsidP="00D3119D">
      <w:pPr>
        <w:pStyle w:val="5"/>
        <w:ind w:firstLine="480"/>
      </w:pPr>
      <w:r w:rsidRPr="00FD50F6">
        <w:rPr>
          <w:rFonts w:hint="eastAsia"/>
        </w:rPr>
        <w:t>框架柱截面最小总配筋率，在抗震等级为一级时不宜小于</w:t>
      </w:r>
      <w:r w:rsidRPr="00FD50F6">
        <w:rPr>
          <w:rFonts w:hint="eastAsia"/>
        </w:rPr>
        <w:t>1.2%</w:t>
      </w:r>
      <w:r w:rsidRPr="00FD50F6">
        <w:rPr>
          <w:rFonts w:hint="eastAsia"/>
        </w:rPr>
        <w:t>，二级时不宜小于</w:t>
      </w:r>
      <w:r w:rsidRPr="00FD50F6">
        <w:rPr>
          <w:rFonts w:hint="eastAsia"/>
        </w:rPr>
        <w:t>1.0%</w:t>
      </w:r>
      <w:r w:rsidRPr="00FD50F6">
        <w:rPr>
          <w:rFonts w:hint="eastAsia"/>
        </w:rPr>
        <w:t>，三级时不宜小于</w:t>
      </w:r>
      <w:r w:rsidRPr="00FD50F6">
        <w:rPr>
          <w:rFonts w:hint="eastAsia"/>
        </w:rPr>
        <w:t>0.8%</w:t>
      </w:r>
      <w:r w:rsidRPr="00FD50F6">
        <w:rPr>
          <w:rFonts w:hint="eastAsia"/>
        </w:rPr>
        <w:t>；</w:t>
      </w:r>
    </w:p>
    <w:p w14:paraId="0F4894A5" w14:textId="546EBB68" w:rsidR="00D3119D" w:rsidRPr="00FD50F6" w:rsidRDefault="00D3119D" w:rsidP="00D3119D">
      <w:pPr>
        <w:pStyle w:val="5"/>
        <w:ind w:firstLine="480"/>
      </w:pPr>
      <w:r w:rsidRPr="00FD50F6">
        <w:rPr>
          <w:rFonts w:hint="eastAsia"/>
        </w:rPr>
        <w:t>框架柱轴压比不宜超过表</w:t>
      </w:r>
      <w:r w:rsidR="00CD0099" w:rsidRPr="00FD50F6">
        <w:t>12</w:t>
      </w:r>
      <w:r w:rsidRPr="00FD50F6">
        <w:t>.9.9</w:t>
      </w:r>
      <w:r w:rsidRPr="00FD50F6">
        <w:t>的限值</w:t>
      </w:r>
      <w:r w:rsidRPr="00FD50F6">
        <w:rPr>
          <w:rFonts w:hint="eastAsia"/>
        </w:rPr>
        <w:t>；</w:t>
      </w:r>
    </w:p>
    <w:p w14:paraId="6E7B3250" w14:textId="37185A46" w:rsidR="00D3119D" w:rsidRPr="00FD50F6" w:rsidRDefault="00D3119D" w:rsidP="00D3119D">
      <w:pPr>
        <w:pStyle w:val="6"/>
      </w:pPr>
      <w:r w:rsidRPr="00FD50F6">
        <w:rPr>
          <w:rFonts w:hint="eastAsia"/>
        </w:rPr>
        <w:t>表</w:t>
      </w:r>
      <w:r w:rsidR="00CD0099" w:rsidRPr="00FD50F6">
        <w:t>12</w:t>
      </w:r>
      <w:r w:rsidRPr="00FD50F6">
        <w:t>.9.9</w:t>
      </w:r>
      <w:r w:rsidRPr="00FD50F6">
        <w:rPr>
          <w:rFonts w:hint="eastAsia"/>
        </w:rPr>
        <w:t>框架柱轴压比</w:t>
      </w:r>
      <w:r w:rsidRPr="00FD50F6">
        <w:t>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030"/>
        <w:gridCol w:w="1306"/>
        <w:gridCol w:w="1363"/>
        <w:gridCol w:w="1172"/>
      </w:tblGrid>
      <w:tr w:rsidR="00FD50F6" w:rsidRPr="00FD50F6" w14:paraId="7AC0A042" w14:textId="77777777" w:rsidTr="00CA6052">
        <w:trPr>
          <w:jc w:val="center"/>
        </w:trPr>
        <w:tc>
          <w:tcPr>
            <w:tcW w:w="2144" w:type="pct"/>
            <w:vMerge w:val="restart"/>
            <w:vAlign w:val="center"/>
          </w:tcPr>
          <w:p w14:paraId="292C4FBA" w14:textId="77777777" w:rsidR="00D3119D" w:rsidRPr="00FD50F6" w:rsidRDefault="00D3119D" w:rsidP="000831EC">
            <w:pPr>
              <w:pStyle w:val="7"/>
            </w:pPr>
            <w:r w:rsidRPr="00FD50F6">
              <w:rPr>
                <w:rFonts w:hint="eastAsia"/>
              </w:rPr>
              <w:t>结构型式</w:t>
            </w:r>
          </w:p>
        </w:tc>
        <w:tc>
          <w:tcPr>
            <w:tcW w:w="2856" w:type="pct"/>
            <w:gridSpan w:val="4"/>
          </w:tcPr>
          <w:p w14:paraId="23FB4CDE" w14:textId="77777777" w:rsidR="00D3119D" w:rsidRPr="00FD50F6" w:rsidRDefault="00D3119D" w:rsidP="000831EC">
            <w:pPr>
              <w:pStyle w:val="7"/>
            </w:pPr>
            <w:r w:rsidRPr="00FD50F6">
              <w:rPr>
                <w:rFonts w:hint="eastAsia"/>
              </w:rPr>
              <w:t>抗震等级</w:t>
            </w:r>
          </w:p>
        </w:tc>
      </w:tr>
      <w:tr w:rsidR="00FD50F6" w:rsidRPr="00FD50F6" w14:paraId="78BD1864" w14:textId="77777777" w:rsidTr="00CA6052">
        <w:trPr>
          <w:jc w:val="center"/>
        </w:trPr>
        <w:tc>
          <w:tcPr>
            <w:tcW w:w="2144" w:type="pct"/>
            <w:vMerge/>
          </w:tcPr>
          <w:p w14:paraId="4AD10C59" w14:textId="77777777" w:rsidR="00D3119D" w:rsidRPr="00FD50F6" w:rsidRDefault="00D3119D" w:rsidP="000831EC">
            <w:pPr>
              <w:pStyle w:val="7"/>
            </w:pPr>
          </w:p>
        </w:tc>
        <w:tc>
          <w:tcPr>
            <w:tcW w:w="604" w:type="pct"/>
          </w:tcPr>
          <w:p w14:paraId="50D37C49" w14:textId="77777777" w:rsidR="00D3119D" w:rsidRPr="00FD50F6" w:rsidRDefault="00D3119D" w:rsidP="000831EC">
            <w:pPr>
              <w:pStyle w:val="7"/>
            </w:pPr>
            <w:r w:rsidRPr="00FD50F6">
              <w:rPr>
                <w:rFonts w:hint="eastAsia"/>
              </w:rPr>
              <w:t>一级</w:t>
            </w:r>
          </w:p>
        </w:tc>
        <w:tc>
          <w:tcPr>
            <w:tcW w:w="766" w:type="pct"/>
          </w:tcPr>
          <w:p w14:paraId="5C53E112" w14:textId="77777777" w:rsidR="00D3119D" w:rsidRPr="00FD50F6" w:rsidRDefault="00D3119D" w:rsidP="000831EC">
            <w:pPr>
              <w:pStyle w:val="7"/>
            </w:pPr>
            <w:r w:rsidRPr="00FD50F6">
              <w:rPr>
                <w:rFonts w:hint="eastAsia"/>
              </w:rPr>
              <w:t>二级</w:t>
            </w:r>
          </w:p>
        </w:tc>
        <w:tc>
          <w:tcPr>
            <w:tcW w:w="799" w:type="pct"/>
          </w:tcPr>
          <w:p w14:paraId="18EE669A" w14:textId="77777777" w:rsidR="00D3119D" w:rsidRPr="00FD50F6" w:rsidRDefault="00D3119D" w:rsidP="000831EC">
            <w:pPr>
              <w:pStyle w:val="7"/>
            </w:pPr>
            <w:r w:rsidRPr="00FD50F6">
              <w:rPr>
                <w:rFonts w:hint="eastAsia"/>
              </w:rPr>
              <w:t>三级</w:t>
            </w:r>
          </w:p>
        </w:tc>
        <w:tc>
          <w:tcPr>
            <w:tcW w:w="686" w:type="pct"/>
          </w:tcPr>
          <w:p w14:paraId="0CE2ED7A" w14:textId="77777777" w:rsidR="00D3119D" w:rsidRPr="00FD50F6" w:rsidRDefault="00D3119D" w:rsidP="000831EC">
            <w:pPr>
              <w:pStyle w:val="7"/>
            </w:pPr>
            <w:r w:rsidRPr="00FD50F6">
              <w:rPr>
                <w:rFonts w:hint="eastAsia"/>
              </w:rPr>
              <w:t>四级</w:t>
            </w:r>
          </w:p>
        </w:tc>
      </w:tr>
      <w:tr w:rsidR="00FD50F6" w:rsidRPr="00FD50F6" w14:paraId="16518653" w14:textId="77777777" w:rsidTr="00CA6052">
        <w:trPr>
          <w:jc w:val="center"/>
        </w:trPr>
        <w:tc>
          <w:tcPr>
            <w:tcW w:w="2144" w:type="pct"/>
          </w:tcPr>
          <w:p w14:paraId="095DA194" w14:textId="3C4C12EF" w:rsidR="00D3119D" w:rsidRPr="00FD50F6" w:rsidRDefault="00D3119D" w:rsidP="000831EC">
            <w:pPr>
              <w:pStyle w:val="7"/>
            </w:pPr>
            <w:r w:rsidRPr="00FD50F6">
              <w:rPr>
                <w:rFonts w:hint="eastAsia"/>
              </w:rPr>
              <w:t>单排框架柱</w:t>
            </w:r>
          </w:p>
        </w:tc>
        <w:tc>
          <w:tcPr>
            <w:tcW w:w="604" w:type="pct"/>
          </w:tcPr>
          <w:p w14:paraId="680C57F2" w14:textId="77777777" w:rsidR="00D3119D" w:rsidRPr="00FD50F6" w:rsidRDefault="00D3119D" w:rsidP="000831EC">
            <w:pPr>
              <w:pStyle w:val="7"/>
            </w:pPr>
            <w:r w:rsidRPr="00FD50F6">
              <w:t>0.6</w:t>
            </w:r>
          </w:p>
        </w:tc>
        <w:tc>
          <w:tcPr>
            <w:tcW w:w="766" w:type="pct"/>
          </w:tcPr>
          <w:p w14:paraId="3C96CD0F" w14:textId="77777777" w:rsidR="00D3119D" w:rsidRPr="00FD50F6" w:rsidRDefault="00D3119D" w:rsidP="000831EC">
            <w:pPr>
              <w:pStyle w:val="7"/>
            </w:pPr>
            <w:r w:rsidRPr="00FD50F6">
              <w:t>0.7</w:t>
            </w:r>
          </w:p>
        </w:tc>
        <w:tc>
          <w:tcPr>
            <w:tcW w:w="799" w:type="pct"/>
          </w:tcPr>
          <w:p w14:paraId="004592BE" w14:textId="77777777" w:rsidR="00D3119D" w:rsidRPr="00FD50F6" w:rsidRDefault="00D3119D" w:rsidP="000831EC">
            <w:pPr>
              <w:pStyle w:val="7"/>
            </w:pPr>
            <w:r w:rsidRPr="00FD50F6">
              <w:t>0.8</w:t>
            </w:r>
          </w:p>
        </w:tc>
        <w:tc>
          <w:tcPr>
            <w:tcW w:w="686" w:type="pct"/>
          </w:tcPr>
          <w:p w14:paraId="081B31C8" w14:textId="77777777" w:rsidR="00D3119D" w:rsidRPr="00FD50F6" w:rsidRDefault="00D3119D" w:rsidP="000831EC">
            <w:pPr>
              <w:pStyle w:val="7"/>
            </w:pPr>
            <w:r w:rsidRPr="00FD50F6">
              <w:t>0.85</w:t>
            </w:r>
          </w:p>
        </w:tc>
      </w:tr>
      <w:tr w:rsidR="00FD50F6" w:rsidRPr="00FD50F6" w14:paraId="73F4F03E" w14:textId="77777777" w:rsidTr="00CA6052">
        <w:trPr>
          <w:jc w:val="center"/>
        </w:trPr>
        <w:tc>
          <w:tcPr>
            <w:tcW w:w="2144" w:type="pct"/>
          </w:tcPr>
          <w:p w14:paraId="509AD6A3" w14:textId="4D7F3D0E" w:rsidR="00D3119D" w:rsidRPr="00FD50F6" w:rsidRDefault="00D3119D" w:rsidP="000831EC">
            <w:pPr>
              <w:pStyle w:val="7"/>
            </w:pPr>
            <w:r w:rsidRPr="00FD50F6">
              <w:rPr>
                <w:rFonts w:hint="eastAsia"/>
              </w:rPr>
              <w:lastRenderedPageBreak/>
              <w:t>双排及以上框架柱</w:t>
            </w:r>
          </w:p>
        </w:tc>
        <w:tc>
          <w:tcPr>
            <w:tcW w:w="604" w:type="pct"/>
          </w:tcPr>
          <w:p w14:paraId="5F291A85" w14:textId="77777777" w:rsidR="00D3119D" w:rsidRPr="00FD50F6" w:rsidRDefault="00D3119D" w:rsidP="000831EC">
            <w:pPr>
              <w:pStyle w:val="7"/>
            </w:pPr>
            <w:r w:rsidRPr="00FD50F6">
              <w:t>0.65</w:t>
            </w:r>
          </w:p>
        </w:tc>
        <w:tc>
          <w:tcPr>
            <w:tcW w:w="766" w:type="pct"/>
          </w:tcPr>
          <w:p w14:paraId="46EB46AB" w14:textId="77777777" w:rsidR="00D3119D" w:rsidRPr="00FD50F6" w:rsidRDefault="00D3119D" w:rsidP="000831EC">
            <w:pPr>
              <w:pStyle w:val="7"/>
            </w:pPr>
            <w:r w:rsidRPr="00FD50F6">
              <w:t>0.75</w:t>
            </w:r>
          </w:p>
        </w:tc>
        <w:tc>
          <w:tcPr>
            <w:tcW w:w="799" w:type="pct"/>
          </w:tcPr>
          <w:p w14:paraId="4B02EC9B" w14:textId="77777777" w:rsidR="00D3119D" w:rsidRPr="00FD50F6" w:rsidRDefault="00D3119D" w:rsidP="000831EC">
            <w:pPr>
              <w:pStyle w:val="7"/>
            </w:pPr>
            <w:r w:rsidRPr="00FD50F6">
              <w:t>0.85</w:t>
            </w:r>
          </w:p>
        </w:tc>
        <w:tc>
          <w:tcPr>
            <w:tcW w:w="686" w:type="pct"/>
          </w:tcPr>
          <w:p w14:paraId="4A3BD205" w14:textId="77777777" w:rsidR="00D3119D" w:rsidRPr="00FD50F6" w:rsidRDefault="00D3119D" w:rsidP="000831EC">
            <w:pPr>
              <w:pStyle w:val="7"/>
            </w:pPr>
            <w:r w:rsidRPr="00FD50F6">
              <w:t>0.9</w:t>
            </w:r>
          </w:p>
        </w:tc>
      </w:tr>
    </w:tbl>
    <w:p w14:paraId="16B15FFB" w14:textId="255620F2" w:rsidR="00D3119D" w:rsidRPr="00FD50F6" w:rsidRDefault="00D3119D" w:rsidP="00D3119D">
      <w:pPr>
        <w:pStyle w:val="5"/>
        <w:ind w:firstLine="480"/>
      </w:pPr>
      <w:r w:rsidRPr="00FD50F6">
        <w:rPr>
          <w:rFonts w:hint="eastAsia"/>
        </w:rPr>
        <w:t>对于净高与截面短边长度（或直径）之比不大于</w:t>
      </w:r>
      <w:r w:rsidRPr="00FD50F6">
        <w:rPr>
          <w:rFonts w:hint="eastAsia"/>
        </w:rPr>
        <w:t>4</w:t>
      </w:r>
      <w:r w:rsidRPr="00FD50F6">
        <w:rPr>
          <w:rFonts w:hint="eastAsia"/>
        </w:rPr>
        <w:t>的框架柱，框架柱全高范围内均应加密箍筋，且箍筋间距不应大于</w:t>
      </w:r>
      <w:r w:rsidRPr="00FD50F6">
        <w:rPr>
          <w:rFonts w:hint="eastAsia"/>
        </w:rPr>
        <w:t>100mm</w:t>
      </w:r>
      <w:r w:rsidRPr="00FD50F6">
        <w:rPr>
          <w:rFonts w:hint="eastAsia"/>
        </w:rPr>
        <w:t>；</w:t>
      </w:r>
    </w:p>
    <w:p w14:paraId="2DBBD190" w14:textId="53FCECD0" w:rsidR="00D3119D" w:rsidRPr="00FD50F6" w:rsidRDefault="00D3119D" w:rsidP="00D3119D">
      <w:pPr>
        <w:pStyle w:val="5"/>
        <w:ind w:firstLine="480"/>
      </w:pPr>
      <w:r w:rsidRPr="00FD50F6">
        <w:rPr>
          <w:rFonts w:hint="eastAsia"/>
        </w:rPr>
        <w:t>当框架柱混凝土强度等级高于框架梁两级以上且梁柱节点区混凝土强度等级与框架梁相同时，应对节点区承载力进行验算，验算不通过时应设芯柱加强。</w:t>
      </w:r>
    </w:p>
    <w:p w14:paraId="19634FB1" w14:textId="77777777" w:rsidR="00D3119D" w:rsidRPr="00FD50F6" w:rsidRDefault="00D3119D" w:rsidP="00A926BD">
      <w:pPr>
        <w:pStyle w:val="4"/>
      </w:pPr>
      <w:r w:rsidRPr="00FD50F6">
        <w:rPr>
          <w:rFonts w:hint="eastAsia"/>
        </w:rPr>
        <w:t>当框架梁宽度大于框架柱宽度时，梁柱节点区柱宽以外部分应设梁箍筋。</w:t>
      </w:r>
    </w:p>
    <w:p w14:paraId="11F4ECA1" w14:textId="77777777" w:rsidR="00D3119D" w:rsidRPr="00FD50F6" w:rsidRDefault="00D3119D" w:rsidP="00A926BD">
      <w:pPr>
        <w:pStyle w:val="4"/>
      </w:pPr>
      <w:r w:rsidRPr="00FD50F6">
        <w:rPr>
          <w:rFonts w:hint="eastAsia"/>
        </w:rPr>
        <w:t>当地下结构采用纵梁体系时，结构板及侧墙端部应设箍筋加密区。</w:t>
      </w:r>
    </w:p>
    <w:p w14:paraId="7C26A038" w14:textId="0D38DCB3" w:rsidR="00D3119D" w:rsidRPr="00FD50F6" w:rsidRDefault="00D3119D" w:rsidP="00A926BD">
      <w:pPr>
        <w:pStyle w:val="4"/>
      </w:pPr>
      <w:r w:rsidRPr="00FD50F6">
        <w:rPr>
          <w:rFonts w:hint="eastAsia"/>
        </w:rPr>
        <w:t>车站楼板洞口的布置宜使结构质量和刚度的分布均匀、对称，宜避免局部突变；边长或直径大于</w:t>
      </w:r>
      <w:r w:rsidRPr="00FD50F6">
        <w:rPr>
          <w:rFonts w:hint="eastAsia"/>
        </w:rPr>
        <w:t>1000mm</w:t>
      </w:r>
      <w:r w:rsidRPr="00FD50F6">
        <w:rPr>
          <w:rFonts w:hint="eastAsia"/>
        </w:rPr>
        <w:t>的洞口周围应设置满足构造要求的边梁或暗梁。</w:t>
      </w:r>
    </w:p>
    <w:p w14:paraId="70DD8C56" w14:textId="597770EE" w:rsidR="00D3119D" w:rsidRPr="00FD50F6" w:rsidRDefault="00D3119D" w:rsidP="00A926BD">
      <w:pPr>
        <w:pStyle w:val="4"/>
      </w:pPr>
      <w:r w:rsidRPr="00FD50F6">
        <w:rPr>
          <w:rFonts w:hint="eastAsia"/>
        </w:rPr>
        <w:t>内部结构的抗震构造可按现行国家标准《建筑抗震设计规范》</w:t>
      </w:r>
      <w:r w:rsidRPr="00FD50F6">
        <w:t>GB 50011</w:t>
      </w:r>
      <w:r w:rsidRPr="00FD50F6">
        <w:rPr>
          <w:rFonts w:hint="eastAsia"/>
        </w:rPr>
        <w:t>的规定执行。</w:t>
      </w:r>
    </w:p>
    <w:p w14:paraId="7E5DB327" w14:textId="77777777" w:rsidR="00D3119D" w:rsidRPr="00FD50F6" w:rsidRDefault="00D3119D" w:rsidP="00A65181">
      <w:pPr>
        <w:pStyle w:val="2"/>
      </w:pPr>
      <w:bookmarkStart w:id="460" w:name="_Toc112830726"/>
      <w:r w:rsidRPr="00FD50F6">
        <w:t>构造要求</w:t>
      </w:r>
      <w:bookmarkEnd w:id="459"/>
      <w:bookmarkEnd w:id="460"/>
    </w:p>
    <w:p w14:paraId="6BAEDF5E" w14:textId="77777777" w:rsidR="00D3119D" w:rsidRPr="00FD50F6" w:rsidRDefault="00D3119D" w:rsidP="00D3119D">
      <w:pPr>
        <w:pStyle w:val="30"/>
        <w:rPr>
          <w:lang w:val="zh-CN"/>
        </w:rPr>
      </w:pPr>
      <w:r w:rsidRPr="00FD50F6">
        <w:rPr>
          <w:rFonts w:hint="eastAsia"/>
          <w:lang w:val="zh-CN"/>
        </w:rPr>
        <w:t>地下结构</w:t>
      </w:r>
      <w:r w:rsidRPr="00FD50F6">
        <w:rPr>
          <w:lang w:val="zh-CN"/>
        </w:rPr>
        <w:t>变形缝的设置应符合下列规定：</w:t>
      </w:r>
    </w:p>
    <w:p w14:paraId="2EBC1143" w14:textId="6CB3679E" w:rsidR="00D3119D" w:rsidRPr="00FD50F6" w:rsidRDefault="00D3119D" w:rsidP="00A926BD">
      <w:pPr>
        <w:pStyle w:val="4"/>
      </w:pPr>
      <w:r w:rsidRPr="00FD50F6">
        <w:rPr>
          <w:rFonts w:hint="eastAsia"/>
        </w:rPr>
        <w:t>不同施工工法、结构型式、地基基础或荷载突变的结构单元之间宜设变形缝。</w:t>
      </w:r>
    </w:p>
    <w:p w14:paraId="7FEEF168" w14:textId="77777777" w:rsidR="00D3119D" w:rsidRPr="00FD50F6" w:rsidRDefault="00D3119D" w:rsidP="00A926BD">
      <w:pPr>
        <w:pStyle w:val="4"/>
      </w:pPr>
      <w:r w:rsidRPr="00FD50F6">
        <w:rPr>
          <w:rFonts w:hint="eastAsia"/>
        </w:rPr>
        <w:t>在区间隧道、出入口通道、风道等结构与车站主体结构的结合部位宜设变形缝。</w:t>
      </w:r>
    </w:p>
    <w:p w14:paraId="0CB01A38" w14:textId="77777777" w:rsidR="00D3119D" w:rsidRPr="00FD50F6" w:rsidRDefault="00D3119D" w:rsidP="00A926BD">
      <w:pPr>
        <w:pStyle w:val="4"/>
      </w:pPr>
      <w:r w:rsidRPr="00FD50F6">
        <w:t>变形缝的形式和间距</w:t>
      </w:r>
      <w:r w:rsidRPr="00FD50F6">
        <w:rPr>
          <w:rFonts w:hint="eastAsia"/>
        </w:rPr>
        <w:t>可</w:t>
      </w:r>
      <w:r w:rsidRPr="00FD50F6">
        <w:t>根据围岩条件、结构型式</w:t>
      </w:r>
      <w:r w:rsidRPr="00FD50F6">
        <w:rPr>
          <w:rFonts w:hint="eastAsia"/>
        </w:rPr>
        <w:t>、</w:t>
      </w:r>
      <w:r w:rsidRPr="00FD50F6">
        <w:t>施工工艺、使用要求以及运营期间地铁内部温度相对于结构施工时的变化等</w:t>
      </w:r>
      <w:r w:rsidRPr="00FD50F6">
        <w:rPr>
          <w:rFonts w:hint="eastAsia"/>
        </w:rPr>
        <w:t>，并结合当地</w:t>
      </w:r>
      <w:r w:rsidRPr="00FD50F6">
        <w:t>类似工程的经验确定</w:t>
      </w:r>
      <w:r w:rsidRPr="00FD50F6">
        <w:rPr>
          <w:rFonts w:hint="eastAsia"/>
        </w:rPr>
        <w:t>。</w:t>
      </w:r>
    </w:p>
    <w:p w14:paraId="5AEA9E80" w14:textId="5FF3A07C" w:rsidR="00D3119D" w:rsidRPr="00FD50F6" w:rsidRDefault="00D3119D" w:rsidP="00A926BD">
      <w:pPr>
        <w:pStyle w:val="4"/>
      </w:pPr>
      <w:r w:rsidRPr="00FD50F6">
        <w:rPr>
          <w:rFonts w:hint="eastAsia"/>
        </w:rPr>
        <w:t>应根据结构体量和结构型式，在分析混凝土收缩及温度变化对结构纵向应力的影响，并采取结构和工程措施后，同一结构单元范围内可不设变形缝。</w:t>
      </w:r>
    </w:p>
    <w:p w14:paraId="75CF6B44" w14:textId="703B7CC3" w:rsidR="00D3119D" w:rsidRPr="00FD50F6" w:rsidRDefault="00D3119D" w:rsidP="00A926BD">
      <w:pPr>
        <w:pStyle w:val="4"/>
      </w:pPr>
      <w:r w:rsidRPr="00FD50F6">
        <w:t>当因结构、地基、基础或荷载发生变化，结构变形缝可能产生</w:t>
      </w:r>
      <w:r w:rsidRPr="00FD50F6">
        <w:rPr>
          <w:rFonts w:hint="eastAsia"/>
        </w:rPr>
        <w:t>影响行车安全和正常使用</w:t>
      </w:r>
      <w:r w:rsidRPr="00FD50F6">
        <w:t>差异沉降时，</w:t>
      </w:r>
      <w:r w:rsidRPr="00FD50F6">
        <w:rPr>
          <w:rFonts w:hint="eastAsia"/>
        </w:rPr>
        <w:t>应</w:t>
      </w:r>
      <w:r w:rsidRPr="00FD50F6">
        <w:t>通过地基处理和结构措施将结构的纵向沉降曲率和沉降差控制在行车道床和地下结构的允许变形范围内</w:t>
      </w:r>
      <w:r w:rsidRPr="00FD50F6">
        <w:rPr>
          <w:rFonts w:hint="eastAsia"/>
        </w:rPr>
        <w:t>。</w:t>
      </w:r>
    </w:p>
    <w:p w14:paraId="3152F695" w14:textId="77777777" w:rsidR="00D3119D" w:rsidRPr="00FD50F6" w:rsidRDefault="00D3119D" w:rsidP="00A926BD">
      <w:pPr>
        <w:pStyle w:val="4"/>
      </w:pPr>
      <w:r w:rsidRPr="00FD50F6">
        <w:rPr>
          <w:rFonts w:hint="eastAsia"/>
        </w:rPr>
        <w:t>变形缝处结构钢筋的处理应满足变形缝防水设施的设置要求。</w:t>
      </w:r>
    </w:p>
    <w:p w14:paraId="56CA74BD" w14:textId="77777777" w:rsidR="00D3119D" w:rsidRPr="00FD50F6" w:rsidRDefault="00D3119D" w:rsidP="00D3119D">
      <w:pPr>
        <w:pStyle w:val="30"/>
        <w:rPr>
          <w:lang w:val="zh-CN"/>
        </w:rPr>
      </w:pPr>
      <w:r w:rsidRPr="00FD50F6">
        <w:rPr>
          <w:rFonts w:hint="eastAsia"/>
          <w:lang w:val="zh-CN"/>
        </w:rPr>
        <w:t>施工缝或后浇带的设置应符合下列</w:t>
      </w:r>
      <w:r w:rsidRPr="00FD50F6">
        <w:rPr>
          <w:lang w:val="zh-CN"/>
        </w:rPr>
        <w:t>规定</w:t>
      </w:r>
      <w:r w:rsidRPr="00FD50F6">
        <w:rPr>
          <w:rFonts w:hint="eastAsia"/>
          <w:lang w:val="zh-CN"/>
        </w:rPr>
        <w:t>：</w:t>
      </w:r>
    </w:p>
    <w:p w14:paraId="2FED62DC" w14:textId="352E45DE" w:rsidR="00D3119D" w:rsidRPr="00FD50F6" w:rsidRDefault="00D3119D" w:rsidP="00A926BD">
      <w:pPr>
        <w:pStyle w:val="4"/>
      </w:pPr>
      <w:r w:rsidRPr="00FD50F6">
        <w:rPr>
          <w:rFonts w:hint="eastAsia"/>
        </w:rPr>
        <w:t>现浇钢筋混凝土结构分段浇筑的施工缝的位置及间距或预留后浇带的位置</w:t>
      </w:r>
      <w:r w:rsidRPr="00FD50F6">
        <w:rPr>
          <w:rFonts w:hint="eastAsia"/>
        </w:rPr>
        <w:lastRenderedPageBreak/>
        <w:t>和间距，应结合结构型式、受力要求、施工方法、气象条件及变形缝的间距等因素按当地类似工程的经验确定。</w:t>
      </w:r>
    </w:p>
    <w:p w14:paraId="40F6507D" w14:textId="37632E0D" w:rsidR="00D3119D" w:rsidRPr="00FD50F6" w:rsidRDefault="00D3119D" w:rsidP="00A926BD">
      <w:pPr>
        <w:pStyle w:val="4"/>
      </w:pPr>
      <w:r w:rsidRPr="00FD50F6">
        <w:rPr>
          <w:rFonts w:hint="eastAsia"/>
        </w:rPr>
        <w:t>施工缝或后浇带宜沿横向贯通设置在纵向跨度的近</w:t>
      </w:r>
      <w:r w:rsidRPr="00FD50F6">
        <w:rPr>
          <w:rFonts w:hint="eastAsia"/>
        </w:rPr>
        <w:t>1/3</w:t>
      </w:r>
      <w:r w:rsidRPr="00FD50F6">
        <w:rPr>
          <w:rFonts w:hint="eastAsia"/>
        </w:rPr>
        <w:t>处，且后浇带宜避开结构孔洞、出入口、风道等部位。</w:t>
      </w:r>
    </w:p>
    <w:p w14:paraId="447A9896" w14:textId="77777777" w:rsidR="00D3119D" w:rsidRPr="00FD50F6" w:rsidRDefault="00D3119D" w:rsidP="00A926BD">
      <w:pPr>
        <w:pStyle w:val="4"/>
      </w:pPr>
      <w:r w:rsidRPr="00FD50F6">
        <w:rPr>
          <w:rFonts w:hint="eastAsia"/>
        </w:rPr>
        <w:t>后浇带应在两侧结构混凝土浇筑时间不短于</w:t>
      </w:r>
      <w:r w:rsidRPr="00FD50F6">
        <w:rPr>
          <w:rFonts w:hint="eastAsia"/>
        </w:rPr>
        <w:t>1</w:t>
      </w:r>
      <w:r w:rsidRPr="00FD50F6">
        <w:rPr>
          <w:rFonts w:hint="eastAsia"/>
        </w:rPr>
        <w:t>个月后、采用高于两侧结构混凝土强度等级一级的微膨胀混凝土浇筑。</w:t>
      </w:r>
    </w:p>
    <w:p w14:paraId="2E3C8FC8" w14:textId="72D87DD4" w:rsidR="00D3119D" w:rsidRPr="00FD50F6" w:rsidRDefault="00D3119D" w:rsidP="00D3119D">
      <w:pPr>
        <w:pStyle w:val="30"/>
        <w:rPr>
          <w:lang w:val="zh-CN"/>
        </w:rPr>
      </w:pPr>
      <w:r w:rsidRPr="00FD50F6">
        <w:rPr>
          <w:rFonts w:hint="eastAsia"/>
          <w:lang w:val="zh-CN"/>
        </w:rPr>
        <w:t>现浇钢筋混凝土</w:t>
      </w:r>
      <w:r w:rsidRPr="00FD50F6">
        <w:rPr>
          <w:lang w:val="zh-CN"/>
        </w:rPr>
        <w:t>框架主体</w:t>
      </w:r>
      <w:r w:rsidRPr="00FD50F6">
        <w:rPr>
          <w:rFonts w:hint="eastAsia"/>
          <w:lang w:val="zh-CN"/>
        </w:rPr>
        <w:t>结构顶板（顶拱）、中楼板、底板及侧墙横向受力主筋间距不应小于</w:t>
      </w:r>
      <w:r w:rsidRPr="00FD50F6">
        <w:rPr>
          <w:lang w:val="zh-CN"/>
        </w:rPr>
        <w:t>100mm</w:t>
      </w:r>
      <w:r w:rsidRPr="00FD50F6">
        <w:rPr>
          <w:lang w:val="zh-CN"/>
        </w:rPr>
        <w:t>，</w:t>
      </w:r>
      <w:r w:rsidRPr="00FD50F6">
        <w:rPr>
          <w:rFonts w:hint="eastAsia"/>
          <w:lang w:val="zh-CN"/>
        </w:rPr>
        <w:t>且</w:t>
      </w:r>
      <w:r w:rsidRPr="00FD50F6">
        <w:rPr>
          <w:lang w:val="zh-CN"/>
        </w:rPr>
        <w:t>不应大于</w:t>
      </w:r>
      <w:r w:rsidRPr="00FD50F6">
        <w:rPr>
          <w:lang w:val="zh-CN"/>
        </w:rPr>
        <w:t>200mm</w:t>
      </w:r>
      <w:r w:rsidRPr="00FD50F6">
        <w:rPr>
          <w:rFonts w:hint="eastAsia"/>
          <w:lang w:val="zh-CN"/>
        </w:rPr>
        <w:t>；</w:t>
      </w:r>
      <w:r w:rsidRPr="00FD50F6">
        <w:rPr>
          <w:lang w:val="zh-CN"/>
        </w:rPr>
        <w:t>纵向</w:t>
      </w:r>
      <w:r w:rsidRPr="00FD50F6">
        <w:rPr>
          <w:rFonts w:hint="eastAsia"/>
          <w:lang w:val="zh-CN"/>
        </w:rPr>
        <w:t>分布钢筋的配筋率</w:t>
      </w:r>
      <w:r w:rsidRPr="00FD50F6">
        <w:rPr>
          <w:lang w:val="zh-CN"/>
        </w:rPr>
        <w:t>不宜低于</w:t>
      </w:r>
      <w:r w:rsidRPr="00FD50F6">
        <w:rPr>
          <w:lang w:val="zh-CN"/>
        </w:rPr>
        <w:t>0.2%</w:t>
      </w:r>
      <w:r w:rsidRPr="00FD50F6">
        <w:rPr>
          <w:rFonts w:hint="eastAsia"/>
          <w:lang w:val="zh-CN"/>
        </w:rPr>
        <w:t>、</w:t>
      </w:r>
      <w:r w:rsidRPr="00FD50F6">
        <w:rPr>
          <w:lang w:val="zh-CN"/>
        </w:rPr>
        <w:t>间距不宜大于</w:t>
      </w:r>
      <w:r w:rsidRPr="00FD50F6">
        <w:rPr>
          <w:lang w:val="zh-CN"/>
        </w:rPr>
        <w:t>150mm</w:t>
      </w:r>
      <w:r w:rsidRPr="00FD50F6">
        <w:rPr>
          <w:lang w:val="zh-CN"/>
        </w:rPr>
        <w:t>。</w:t>
      </w:r>
    </w:p>
    <w:p w14:paraId="6464A49A" w14:textId="77777777" w:rsidR="00D3119D" w:rsidRPr="00FD50F6" w:rsidRDefault="00D3119D" w:rsidP="00D3119D">
      <w:pPr>
        <w:pStyle w:val="30"/>
        <w:rPr>
          <w:lang w:val="zh-CN"/>
        </w:rPr>
      </w:pPr>
      <w:r w:rsidRPr="00FD50F6">
        <w:rPr>
          <w:lang w:val="zh-CN"/>
        </w:rPr>
        <w:t>后砌的内部承重墙和隔墙等应与主体结构可靠拉结，轻质隔墙应与主体结构连结。</w:t>
      </w:r>
    </w:p>
    <w:p w14:paraId="040B8396" w14:textId="76602AEB" w:rsidR="00D3119D" w:rsidRPr="00FD50F6" w:rsidRDefault="00D3119D" w:rsidP="00D3119D">
      <w:pPr>
        <w:pStyle w:val="30"/>
        <w:rPr>
          <w:lang w:val="zh-CN"/>
        </w:rPr>
      </w:pPr>
      <w:r w:rsidRPr="00FD50F6">
        <w:rPr>
          <w:lang w:val="zh-CN"/>
        </w:rPr>
        <w:t>钢筋的混凝土保护层厚度应根据结构类别、环境条件和耐久性要求等确定，一般环境作用下混凝土结构构件</w:t>
      </w:r>
      <w:r w:rsidRPr="00FD50F6">
        <w:rPr>
          <w:rFonts w:hint="eastAsia"/>
          <w:lang w:val="zh-CN"/>
        </w:rPr>
        <w:t>最外层</w:t>
      </w:r>
      <w:r w:rsidRPr="00FD50F6">
        <w:rPr>
          <w:lang w:val="zh-CN"/>
        </w:rPr>
        <w:t>钢筋最小净保护层厚度应符合表</w:t>
      </w:r>
      <w:r w:rsidR="00CD0099" w:rsidRPr="00FD50F6">
        <w:rPr>
          <w:lang w:val="zh-CN"/>
        </w:rPr>
        <w:t>1</w:t>
      </w:r>
      <w:r w:rsidR="00CD0099" w:rsidRPr="00FD50F6">
        <w:t>2</w:t>
      </w:r>
      <w:r w:rsidRPr="00FD50F6">
        <w:rPr>
          <w:lang w:val="zh-CN"/>
        </w:rPr>
        <w:t>.</w:t>
      </w:r>
      <w:r w:rsidRPr="00FD50F6">
        <w:rPr>
          <w:rFonts w:hint="eastAsia"/>
          <w:lang w:val="zh-CN"/>
        </w:rPr>
        <w:t>1</w:t>
      </w:r>
      <w:r w:rsidRPr="00FD50F6">
        <w:rPr>
          <w:lang w:val="zh-CN"/>
        </w:rPr>
        <w:t>0.5</w:t>
      </w:r>
      <w:r w:rsidRPr="00FD50F6">
        <w:rPr>
          <w:lang w:val="zh-CN"/>
        </w:rPr>
        <w:t>的规定。</w:t>
      </w:r>
    </w:p>
    <w:p w14:paraId="48C3CA96" w14:textId="625B71C7" w:rsidR="00D3119D" w:rsidRPr="00FD50F6" w:rsidRDefault="00D3119D" w:rsidP="00D3119D">
      <w:pPr>
        <w:pStyle w:val="6"/>
      </w:pPr>
      <w:r w:rsidRPr="00FD50F6">
        <w:t>表</w:t>
      </w:r>
      <w:r w:rsidR="00CD0099" w:rsidRPr="00FD50F6">
        <w:t>12</w:t>
      </w:r>
      <w:r w:rsidRPr="00FD50F6">
        <w:t>.</w:t>
      </w:r>
      <w:r w:rsidRPr="00FD50F6">
        <w:rPr>
          <w:rFonts w:hint="eastAsia"/>
        </w:rPr>
        <w:t>1</w:t>
      </w:r>
      <w:r w:rsidRPr="00FD50F6">
        <w:t xml:space="preserve">0.5 </w:t>
      </w:r>
      <w:r w:rsidRPr="00FD50F6">
        <w:t>一般环境作用下混凝土结构构件</w:t>
      </w:r>
      <w:r w:rsidRPr="00FD50F6">
        <w:rPr>
          <w:rFonts w:hint="eastAsia"/>
        </w:rPr>
        <w:t>最外层</w:t>
      </w:r>
      <w:r w:rsidRPr="00FD50F6">
        <w:t>钢筋最小净保护层厚度</w:t>
      </w:r>
      <w:r w:rsidRPr="00FD50F6">
        <w:rPr>
          <w:rFonts w:hint="eastAsia"/>
        </w:rPr>
        <w:t>（</w:t>
      </w:r>
      <w:r w:rsidRPr="00FD50F6">
        <w:t>mm</w:t>
      </w:r>
      <w:r w:rsidRPr="00FD50F6">
        <w:rPr>
          <w:rFonts w:hint="eastAsia"/>
        </w:rPr>
        <w:t>）</w:t>
      </w:r>
    </w:p>
    <w:tbl>
      <w:tblPr>
        <w:tblW w:w="8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453"/>
        <w:gridCol w:w="425"/>
        <w:gridCol w:w="432"/>
        <w:gridCol w:w="418"/>
        <w:gridCol w:w="470"/>
        <w:gridCol w:w="459"/>
        <w:gridCol w:w="392"/>
        <w:gridCol w:w="401"/>
        <w:gridCol w:w="830"/>
        <w:gridCol w:w="709"/>
        <w:gridCol w:w="708"/>
        <w:gridCol w:w="1439"/>
        <w:gridCol w:w="425"/>
        <w:gridCol w:w="425"/>
      </w:tblGrid>
      <w:tr w:rsidR="00FD50F6" w:rsidRPr="00FD50F6" w14:paraId="5AE7100C" w14:textId="77777777" w:rsidTr="000831EC">
        <w:trPr>
          <w:jc w:val="center"/>
        </w:trPr>
        <w:tc>
          <w:tcPr>
            <w:tcW w:w="754" w:type="dxa"/>
            <w:vMerge w:val="restart"/>
            <w:tcMar>
              <w:top w:w="57" w:type="dxa"/>
              <w:left w:w="57" w:type="dxa"/>
              <w:bottom w:w="57" w:type="dxa"/>
              <w:right w:w="57" w:type="dxa"/>
            </w:tcMar>
            <w:vAlign w:val="center"/>
          </w:tcPr>
          <w:p w14:paraId="1A3FC612" w14:textId="77777777" w:rsidR="00D3119D" w:rsidRPr="00FD50F6" w:rsidRDefault="00D3119D" w:rsidP="000831EC">
            <w:pPr>
              <w:pStyle w:val="7"/>
            </w:pPr>
            <w:r w:rsidRPr="00FD50F6">
              <w:t>结构</w:t>
            </w:r>
          </w:p>
          <w:p w14:paraId="1B9E5165" w14:textId="77777777" w:rsidR="00D3119D" w:rsidRPr="00FD50F6" w:rsidRDefault="00D3119D" w:rsidP="000831EC">
            <w:pPr>
              <w:pStyle w:val="7"/>
            </w:pPr>
            <w:r w:rsidRPr="00FD50F6">
              <w:t>类别</w:t>
            </w:r>
          </w:p>
        </w:tc>
        <w:tc>
          <w:tcPr>
            <w:tcW w:w="2657" w:type="dxa"/>
            <w:gridSpan w:val="6"/>
            <w:tcMar>
              <w:top w:w="57" w:type="dxa"/>
              <w:left w:w="57" w:type="dxa"/>
              <w:bottom w:w="57" w:type="dxa"/>
              <w:right w:w="57" w:type="dxa"/>
            </w:tcMar>
            <w:vAlign w:val="center"/>
          </w:tcPr>
          <w:p w14:paraId="23A553A7" w14:textId="77777777" w:rsidR="00D3119D" w:rsidRPr="00FD50F6" w:rsidRDefault="00D3119D" w:rsidP="000831EC">
            <w:pPr>
              <w:pStyle w:val="7"/>
            </w:pPr>
            <w:r w:rsidRPr="00FD50F6">
              <w:t>基坑支护及初期支护</w:t>
            </w:r>
          </w:p>
        </w:tc>
        <w:tc>
          <w:tcPr>
            <w:tcW w:w="4479" w:type="dxa"/>
            <w:gridSpan w:val="6"/>
            <w:vAlign w:val="center"/>
          </w:tcPr>
          <w:p w14:paraId="1886FDD8" w14:textId="77777777" w:rsidR="00D3119D" w:rsidRPr="00FD50F6" w:rsidRDefault="00D3119D" w:rsidP="000831EC">
            <w:pPr>
              <w:pStyle w:val="7"/>
            </w:pPr>
            <w:r w:rsidRPr="00FD50F6">
              <w:rPr>
                <w:rFonts w:hint="eastAsia"/>
              </w:rPr>
              <w:t>现浇钢筋混凝土结构</w:t>
            </w:r>
          </w:p>
        </w:tc>
        <w:tc>
          <w:tcPr>
            <w:tcW w:w="850" w:type="dxa"/>
            <w:gridSpan w:val="2"/>
            <w:vMerge w:val="restart"/>
            <w:tcMar>
              <w:top w:w="57" w:type="dxa"/>
              <w:left w:w="57" w:type="dxa"/>
              <w:bottom w:w="57" w:type="dxa"/>
              <w:right w:w="57" w:type="dxa"/>
            </w:tcMar>
            <w:vAlign w:val="center"/>
          </w:tcPr>
          <w:p w14:paraId="0DC50896" w14:textId="77777777" w:rsidR="00D3119D" w:rsidRPr="00FD50F6" w:rsidRDefault="00D3119D" w:rsidP="000831EC">
            <w:pPr>
              <w:pStyle w:val="7"/>
            </w:pPr>
            <w:r w:rsidRPr="00FD50F6">
              <w:rPr>
                <w:rFonts w:hint="eastAsia"/>
              </w:rPr>
              <w:t>预制装配式钢筋混凝土结构</w:t>
            </w:r>
          </w:p>
        </w:tc>
      </w:tr>
      <w:tr w:rsidR="00FD50F6" w:rsidRPr="00FD50F6" w14:paraId="73DBD5E0" w14:textId="77777777" w:rsidTr="000831EC">
        <w:trPr>
          <w:trHeight w:val="602"/>
          <w:jc w:val="center"/>
        </w:trPr>
        <w:tc>
          <w:tcPr>
            <w:tcW w:w="754" w:type="dxa"/>
            <w:vMerge/>
            <w:tcMar>
              <w:top w:w="57" w:type="dxa"/>
              <w:left w:w="57" w:type="dxa"/>
              <w:bottom w:w="57" w:type="dxa"/>
              <w:right w:w="57" w:type="dxa"/>
            </w:tcMar>
            <w:vAlign w:val="center"/>
          </w:tcPr>
          <w:p w14:paraId="6D5F86FB" w14:textId="77777777" w:rsidR="00D3119D" w:rsidRPr="00FD50F6" w:rsidRDefault="00D3119D" w:rsidP="000831EC">
            <w:pPr>
              <w:pStyle w:val="7"/>
            </w:pPr>
          </w:p>
        </w:tc>
        <w:tc>
          <w:tcPr>
            <w:tcW w:w="878" w:type="dxa"/>
            <w:gridSpan w:val="2"/>
            <w:tcMar>
              <w:top w:w="57" w:type="dxa"/>
              <w:left w:w="57" w:type="dxa"/>
              <w:bottom w:w="57" w:type="dxa"/>
              <w:right w:w="57" w:type="dxa"/>
            </w:tcMar>
            <w:vAlign w:val="center"/>
          </w:tcPr>
          <w:p w14:paraId="5CB5A993" w14:textId="6928DB99" w:rsidR="00D3119D" w:rsidRPr="00FD50F6" w:rsidRDefault="00D3119D" w:rsidP="000831EC">
            <w:pPr>
              <w:pStyle w:val="7"/>
            </w:pPr>
            <w:r w:rsidRPr="00FD50F6">
              <w:rPr>
                <w:rFonts w:hint="eastAsia"/>
              </w:rPr>
              <w:t>地</w:t>
            </w:r>
            <w:r w:rsidRPr="00FD50F6">
              <w:t>下连续墙</w:t>
            </w:r>
          </w:p>
        </w:tc>
        <w:tc>
          <w:tcPr>
            <w:tcW w:w="850" w:type="dxa"/>
            <w:gridSpan w:val="2"/>
            <w:vAlign w:val="center"/>
          </w:tcPr>
          <w:p w14:paraId="40374FC2" w14:textId="77777777" w:rsidR="00D3119D" w:rsidRPr="00FD50F6" w:rsidRDefault="00D3119D" w:rsidP="000831EC">
            <w:pPr>
              <w:pStyle w:val="7"/>
            </w:pPr>
            <w:r w:rsidRPr="00FD50F6">
              <w:rPr>
                <w:rFonts w:hint="eastAsia"/>
              </w:rPr>
              <w:t>钻孔</w:t>
            </w:r>
            <w:r w:rsidRPr="00FD50F6">
              <w:t>灌注桩和咬合桩</w:t>
            </w:r>
          </w:p>
        </w:tc>
        <w:tc>
          <w:tcPr>
            <w:tcW w:w="929" w:type="dxa"/>
            <w:gridSpan w:val="2"/>
            <w:vAlign w:val="center"/>
          </w:tcPr>
          <w:p w14:paraId="634701AA" w14:textId="5F7D6388" w:rsidR="00D3119D" w:rsidRPr="00FD50F6" w:rsidRDefault="00D3119D" w:rsidP="000831EC">
            <w:pPr>
              <w:pStyle w:val="7"/>
            </w:pPr>
            <w:r w:rsidRPr="00FD50F6">
              <w:t>矿山法</w:t>
            </w:r>
            <w:r w:rsidRPr="00FD50F6">
              <w:rPr>
                <w:rFonts w:hint="eastAsia"/>
              </w:rPr>
              <w:t>初期支护</w:t>
            </w:r>
          </w:p>
        </w:tc>
        <w:tc>
          <w:tcPr>
            <w:tcW w:w="793" w:type="dxa"/>
            <w:gridSpan w:val="2"/>
            <w:tcMar>
              <w:top w:w="57" w:type="dxa"/>
              <w:left w:w="57" w:type="dxa"/>
              <w:bottom w:w="57" w:type="dxa"/>
              <w:right w:w="57" w:type="dxa"/>
            </w:tcMar>
            <w:vAlign w:val="center"/>
          </w:tcPr>
          <w:p w14:paraId="3617D490" w14:textId="2B531F32" w:rsidR="00D3119D" w:rsidRPr="00FD50F6" w:rsidRDefault="00D3119D" w:rsidP="000831EC">
            <w:pPr>
              <w:pStyle w:val="7"/>
            </w:pPr>
            <w:r w:rsidRPr="00FD50F6">
              <w:t>主体结构顶</w:t>
            </w:r>
            <w:r w:rsidRPr="00FD50F6">
              <w:rPr>
                <w:rFonts w:hint="eastAsia"/>
              </w:rPr>
              <w:t>、底板及外墙</w:t>
            </w:r>
          </w:p>
        </w:tc>
        <w:tc>
          <w:tcPr>
            <w:tcW w:w="830" w:type="dxa"/>
            <w:vAlign w:val="center"/>
          </w:tcPr>
          <w:p w14:paraId="4EFCB585" w14:textId="77777777" w:rsidR="00D3119D" w:rsidRPr="00FD50F6" w:rsidRDefault="00D3119D" w:rsidP="000831EC">
            <w:pPr>
              <w:pStyle w:val="7"/>
            </w:pPr>
            <w:r w:rsidRPr="00FD50F6">
              <w:rPr>
                <w:rFonts w:hint="eastAsia"/>
              </w:rPr>
              <w:t>其他</w:t>
            </w:r>
            <w:r w:rsidRPr="00FD50F6">
              <w:t>主体结构</w:t>
            </w:r>
          </w:p>
        </w:tc>
        <w:tc>
          <w:tcPr>
            <w:tcW w:w="1417" w:type="dxa"/>
            <w:gridSpan w:val="2"/>
            <w:tcMar>
              <w:top w:w="57" w:type="dxa"/>
              <w:left w:w="57" w:type="dxa"/>
              <w:bottom w:w="57" w:type="dxa"/>
              <w:right w:w="57" w:type="dxa"/>
            </w:tcMar>
            <w:vAlign w:val="center"/>
          </w:tcPr>
          <w:p w14:paraId="4FCC97EA" w14:textId="77777777" w:rsidR="00D3119D" w:rsidRPr="00FD50F6" w:rsidRDefault="00D3119D" w:rsidP="000831EC">
            <w:pPr>
              <w:pStyle w:val="7"/>
            </w:pPr>
            <w:r w:rsidRPr="00FD50F6">
              <w:t>矿山法</w:t>
            </w:r>
          </w:p>
          <w:p w14:paraId="76ECDBB9" w14:textId="77777777" w:rsidR="00D3119D" w:rsidRPr="00FD50F6" w:rsidRDefault="00D3119D" w:rsidP="000831EC">
            <w:pPr>
              <w:pStyle w:val="7"/>
            </w:pPr>
            <w:r w:rsidRPr="00FD50F6">
              <w:t>二次衬砌</w:t>
            </w:r>
          </w:p>
        </w:tc>
        <w:tc>
          <w:tcPr>
            <w:tcW w:w="1439" w:type="dxa"/>
            <w:vAlign w:val="center"/>
          </w:tcPr>
          <w:p w14:paraId="244ADBDD" w14:textId="77777777" w:rsidR="00D3119D" w:rsidRPr="00FD50F6" w:rsidRDefault="00D3119D" w:rsidP="000831EC">
            <w:pPr>
              <w:pStyle w:val="7"/>
            </w:pPr>
            <w:r w:rsidRPr="00FD50F6">
              <w:rPr>
                <w:rFonts w:hint="eastAsia"/>
              </w:rPr>
              <w:t>内部结构</w:t>
            </w:r>
          </w:p>
        </w:tc>
        <w:tc>
          <w:tcPr>
            <w:tcW w:w="850" w:type="dxa"/>
            <w:gridSpan w:val="2"/>
            <w:vMerge/>
            <w:tcMar>
              <w:top w:w="57" w:type="dxa"/>
              <w:left w:w="57" w:type="dxa"/>
              <w:bottom w:w="57" w:type="dxa"/>
              <w:right w:w="57" w:type="dxa"/>
            </w:tcMar>
            <w:vAlign w:val="center"/>
          </w:tcPr>
          <w:p w14:paraId="66E17F41" w14:textId="77777777" w:rsidR="00D3119D" w:rsidRPr="00FD50F6" w:rsidRDefault="00D3119D" w:rsidP="000831EC">
            <w:pPr>
              <w:pStyle w:val="7"/>
            </w:pPr>
          </w:p>
        </w:tc>
      </w:tr>
      <w:tr w:rsidR="00FD50F6" w:rsidRPr="00FD50F6" w14:paraId="47DFB7AE" w14:textId="77777777" w:rsidTr="000831EC">
        <w:trPr>
          <w:jc w:val="center"/>
        </w:trPr>
        <w:tc>
          <w:tcPr>
            <w:tcW w:w="754" w:type="dxa"/>
            <w:vMerge/>
            <w:tcMar>
              <w:top w:w="57" w:type="dxa"/>
              <w:left w:w="57" w:type="dxa"/>
              <w:bottom w:w="57" w:type="dxa"/>
              <w:right w:w="57" w:type="dxa"/>
            </w:tcMar>
            <w:vAlign w:val="center"/>
          </w:tcPr>
          <w:p w14:paraId="53A8D67A" w14:textId="77777777" w:rsidR="00D3119D" w:rsidRPr="00FD50F6" w:rsidRDefault="00D3119D" w:rsidP="000831EC">
            <w:pPr>
              <w:pStyle w:val="7"/>
            </w:pPr>
          </w:p>
        </w:tc>
        <w:tc>
          <w:tcPr>
            <w:tcW w:w="453" w:type="dxa"/>
            <w:tcMar>
              <w:top w:w="57" w:type="dxa"/>
              <w:left w:w="57" w:type="dxa"/>
              <w:bottom w:w="57" w:type="dxa"/>
              <w:right w:w="57" w:type="dxa"/>
            </w:tcMar>
            <w:vAlign w:val="center"/>
          </w:tcPr>
          <w:p w14:paraId="0F38F9F0" w14:textId="77777777" w:rsidR="00D3119D" w:rsidRPr="00FD50F6" w:rsidRDefault="00D3119D" w:rsidP="000831EC">
            <w:pPr>
              <w:pStyle w:val="7"/>
            </w:pPr>
            <w:r w:rsidRPr="00FD50F6">
              <w:t>外</w:t>
            </w:r>
          </w:p>
          <w:p w14:paraId="17D92A15" w14:textId="77777777" w:rsidR="00D3119D" w:rsidRPr="00FD50F6" w:rsidRDefault="00D3119D" w:rsidP="000831EC">
            <w:pPr>
              <w:pStyle w:val="7"/>
            </w:pPr>
            <w:r w:rsidRPr="00FD50F6">
              <w:t>侧</w:t>
            </w:r>
          </w:p>
        </w:tc>
        <w:tc>
          <w:tcPr>
            <w:tcW w:w="425" w:type="dxa"/>
            <w:tcMar>
              <w:top w:w="57" w:type="dxa"/>
              <w:left w:w="57" w:type="dxa"/>
              <w:bottom w:w="57" w:type="dxa"/>
              <w:right w:w="57" w:type="dxa"/>
            </w:tcMar>
            <w:vAlign w:val="center"/>
          </w:tcPr>
          <w:p w14:paraId="01301C75" w14:textId="77777777" w:rsidR="00D3119D" w:rsidRPr="00FD50F6" w:rsidRDefault="00D3119D" w:rsidP="000831EC">
            <w:pPr>
              <w:pStyle w:val="7"/>
            </w:pPr>
            <w:r w:rsidRPr="00FD50F6">
              <w:t>内</w:t>
            </w:r>
          </w:p>
          <w:p w14:paraId="2DC06A27" w14:textId="77777777" w:rsidR="00D3119D" w:rsidRPr="00FD50F6" w:rsidRDefault="00D3119D" w:rsidP="000831EC">
            <w:pPr>
              <w:pStyle w:val="7"/>
            </w:pPr>
            <w:r w:rsidRPr="00FD50F6">
              <w:t>侧</w:t>
            </w:r>
          </w:p>
        </w:tc>
        <w:tc>
          <w:tcPr>
            <w:tcW w:w="432" w:type="dxa"/>
            <w:vAlign w:val="center"/>
          </w:tcPr>
          <w:p w14:paraId="49B5361B" w14:textId="77777777" w:rsidR="00D3119D" w:rsidRPr="00FD50F6" w:rsidRDefault="00D3119D" w:rsidP="000831EC">
            <w:pPr>
              <w:pStyle w:val="7"/>
            </w:pPr>
            <w:r w:rsidRPr="00FD50F6">
              <w:rPr>
                <w:rFonts w:hint="eastAsia"/>
              </w:rPr>
              <w:t>永久构件</w:t>
            </w:r>
          </w:p>
        </w:tc>
        <w:tc>
          <w:tcPr>
            <w:tcW w:w="418" w:type="dxa"/>
            <w:tcMar>
              <w:top w:w="57" w:type="dxa"/>
              <w:left w:w="57" w:type="dxa"/>
              <w:bottom w:w="57" w:type="dxa"/>
              <w:right w:w="57" w:type="dxa"/>
            </w:tcMar>
            <w:vAlign w:val="center"/>
          </w:tcPr>
          <w:p w14:paraId="47E98A47" w14:textId="77777777" w:rsidR="00D3119D" w:rsidRPr="00FD50F6" w:rsidRDefault="00D3119D" w:rsidP="000831EC">
            <w:pPr>
              <w:pStyle w:val="7"/>
            </w:pPr>
            <w:r w:rsidRPr="00FD50F6">
              <w:rPr>
                <w:rFonts w:hint="eastAsia"/>
              </w:rPr>
              <w:t>临时构件</w:t>
            </w:r>
          </w:p>
        </w:tc>
        <w:tc>
          <w:tcPr>
            <w:tcW w:w="470" w:type="dxa"/>
            <w:vAlign w:val="center"/>
          </w:tcPr>
          <w:p w14:paraId="656AAD7E" w14:textId="77777777" w:rsidR="00D3119D" w:rsidRPr="00FD50F6" w:rsidRDefault="00D3119D" w:rsidP="000831EC">
            <w:pPr>
              <w:pStyle w:val="7"/>
            </w:pPr>
            <w:r w:rsidRPr="00FD50F6">
              <w:t>外</w:t>
            </w:r>
          </w:p>
          <w:p w14:paraId="488EA399" w14:textId="77777777" w:rsidR="00D3119D" w:rsidRPr="00FD50F6" w:rsidRDefault="00D3119D" w:rsidP="000831EC">
            <w:pPr>
              <w:pStyle w:val="7"/>
            </w:pPr>
            <w:r w:rsidRPr="00FD50F6">
              <w:t>侧</w:t>
            </w:r>
          </w:p>
        </w:tc>
        <w:tc>
          <w:tcPr>
            <w:tcW w:w="459" w:type="dxa"/>
            <w:vAlign w:val="center"/>
          </w:tcPr>
          <w:p w14:paraId="232702D8" w14:textId="77777777" w:rsidR="00D3119D" w:rsidRPr="00FD50F6" w:rsidRDefault="00D3119D" w:rsidP="000831EC">
            <w:pPr>
              <w:pStyle w:val="7"/>
            </w:pPr>
            <w:r w:rsidRPr="00FD50F6">
              <w:t>内</w:t>
            </w:r>
          </w:p>
          <w:p w14:paraId="2AA4DF47" w14:textId="77777777" w:rsidR="00D3119D" w:rsidRPr="00FD50F6" w:rsidRDefault="00D3119D" w:rsidP="000831EC">
            <w:pPr>
              <w:pStyle w:val="7"/>
            </w:pPr>
            <w:r w:rsidRPr="00FD50F6">
              <w:t>侧</w:t>
            </w:r>
          </w:p>
        </w:tc>
        <w:tc>
          <w:tcPr>
            <w:tcW w:w="392" w:type="dxa"/>
            <w:tcMar>
              <w:top w:w="57" w:type="dxa"/>
              <w:left w:w="57" w:type="dxa"/>
              <w:bottom w:w="57" w:type="dxa"/>
              <w:right w:w="57" w:type="dxa"/>
            </w:tcMar>
            <w:vAlign w:val="center"/>
          </w:tcPr>
          <w:p w14:paraId="12167339" w14:textId="77777777" w:rsidR="00D3119D" w:rsidRPr="00FD50F6" w:rsidRDefault="00D3119D" w:rsidP="000831EC">
            <w:pPr>
              <w:pStyle w:val="7"/>
            </w:pPr>
            <w:r w:rsidRPr="00FD50F6">
              <w:t>外侧</w:t>
            </w:r>
          </w:p>
        </w:tc>
        <w:tc>
          <w:tcPr>
            <w:tcW w:w="401" w:type="dxa"/>
            <w:tcMar>
              <w:top w:w="57" w:type="dxa"/>
              <w:left w:w="57" w:type="dxa"/>
              <w:bottom w:w="57" w:type="dxa"/>
              <w:right w:w="57" w:type="dxa"/>
            </w:tcMar>
            <w:vAlign w:val="center"/>
          </w:tcPr>
          <w:p w14:paraId="024F0FAD" w14:textId="77777777" w:rsidR="00D3119D" w:rsidRPr="00FD50F6" w:rsidRDefault="00D3119D" w:rsidP="000831EC">
            <w:pPr>
              <w:pStyle w:val="7"/>
            </w:pPr>
            <w:r w:rsidRPr="00FD50F6">
              <w:t>内侧</w:t>
            </w:r>
          </w:p>
        </w:tc>
        <w:tc>
          <w:tcPr>
            <w:tcW w:w="830" w:type="dxa"/>
          </w:tcPr>
          <w:p w14:paraId="2E191BA4" w14:textId="77777777" w:rsidR="00D3119D" w:rsidRPr="00FD50F6" w:rsidRDefault="00D3119D" w:rsidP="000831EC">
            <w:pPr>
              <w:pStyle w:val="7"/>
            </w:pPr>
            <w:r w:rsidRPr="00FD50F6">
              <w:t>中楼板</w:t>
            </w:r>
            <w:r w:rsidRPr="00FD50F6">
              <w:rPr>
                <w:rFonts w:hint="eastAsia"/>
              </w:rPr>
              <w:t>、</w:t>
            </w:r>
            <w:r w:rsidRPr="00FD50F6">
              <w:t>梁</w:t>
            </w:r>
            <w:r w:rsidRPr="00FD50F6">
              <w:rPr>
                <w:rFonts w:hint="eastAsia"/>
              </w:rPr>
              <w:t>及</w:t>
            </w:r>
            <w:r w:rsidRPr="00FD50F6">
              <w:t>柱</w:t>
            </w:r>
          </w:p>
        </w:tc>
        <w:tc>
          <w:tcPr>
            <w:tcW w:w="709" w:type="dxa"/>
            <w:tcMar>
              <w:top w:w="57" w:type="dxa"/>
              <w:left w:w="57" w:type="dxa"/>
              <w:bottom w:w="57" w:type="dxa"/>
              <w:right w:w="57" w:type="dxa"/>
            </w:tcMar>
            <w:vAlign w:val="center"/>
          </w:tcPr>
          <w:p w14:paraId="14463A79" w14:textId="77777777" w:rsidR="00D3119D" w:rsidRPr="00FD50F6" w:rsidRDefault="00D3119D" w:rsidP="000831EC">
            <w:pPr>
              <w:pStyle w:val="7"/>
            </w:pPr>
            <w:r w:rsidRPr="00FD50F6">
              <w:rPr>
                <w:rFonts w:hint="eastAsia"/>
              </w:rPr>
              <w:t>厚度</w:t>
            </w:r>
          </w:p>
          <w:p w14:paraId="653E00E8" w14:textId="77777777" w:rsidR="00D3119D" w:rsidRPr="00FD50F6" w:rsidRDefault="00D3119D" w:rsidP="000831EC">
            <w:pPr>
              <w:pStyle w:val="7"/>
            </w:pPr>
            <w:r w:rsidRPr="00FD50F6">
              <w:rPr>
                <w:rFonts w:hint="eastAsia"/>
              </w:rPr>
              <w:t>≤</w:t>
            </w:r>
            <w:r w:rsidRPr="00FD50F6">
              <w:rPr>
                <w:rFonts w:hint="eastAsia"/>
              </w:rPr>
              <w:t>500</w:t>
            </w:r>
          </w:p>
        </w:tc>
        <w:tc>
          <w:tcPr>
            <w:tcW w:w="708" w:type="dxa"/>
            <w:tcMar>
              <w:top w:w="57" w:type="dxa"/>
              <w:left w:w="57" w:type="dxa"/>
              <w:bottom w:w="57" w:type="dxa"/>
              <w:right w:w="57" w:type="dxa"/>
            </w:tcMar>
            <w:vAlign w:val="center"/>
          </w:tcPr>
          <w:p w14:paraId="16B5B307" w14:textId="77777777" w:rsidR="00D3119D" w:rsidRPr="00FD50F6" w:rsidRDefault="00D3119D" w:rsidP="000831EC">
            <w:pPr>
              <w:pStyle w:val="7"/>
            </w:pPr>
            <w:r w:rsidRPr="00FD50F6">
              <w:rPr>
                <w:rFonts w:hint="eastAsia"/>
              </w:rPr>
              <w:t>厚度</w:t>
            </w:r>
          </w:p>
          <w:p w14:paraId="53A1D8DA" w14:textId="77777777" w:rsidR="00D3119D" w:rsidRPr="00FD50F6" w:rsidRDefault="00D3119D" w:rsidP="000831EC">
            <w:pPr>
              <w:pStyle w:val="7"/>
            </w:pPr>
            <w:r w:rsidRPr="00FD50F6">
              <w:rPr>
                <w:rFonts w:hint="eastAsia"/>
              </w:rPr>
              <w:t>＞</w:t>
            </w:r>
            <w:r w:rsidRPr="00FD50F6">
              <w:rPr>
                <w:rFonts w:hint="eastAsia"/>
              </w:rPr>
              <w:t>500</w:t>
            </w:r>
          </w:p>
        </w:tc>
        <w:tc>
          <w:tcPr>
            <w:tcW w:w="1439" w:type="dxa"/>
          </w:tcPr>
          <w:p w14:paraId="0308FDB6" w14:textId="2EE08A72" w:rsidR="00D3119D" w:rsidRPr="001A4CF3" w:rsidRDefault="00D3119D" w:rsidP="000831EC">
            <w:pPr>
              <w:pStyle w:val="7"/>
            </w:pPr>
            <w:r w:rsidRPr="00FD50F6">
              <w:rPr>
                <w:rFonts w:hint="eastAsia"/>
              </w:rPr>
              <w:t>站台板、楼梯及其它内部墙体、柱子、楼板、梁</w:t>
            </w:r>
          </w:p>
        </w:tc>
        <w:tc>
          <w:tcPr>
            <w:tcW w:w="425" w:type="dxa"/>
            <w:tcMar>
              <w:top w:w="57" w:type="dxa"/>
              <w:left w:w="57" w:type="dxa"/>
              <w:bottom w:w="57" w:type="dxa"/>
              <w:right w:w="57" w:type="dxa"/>
            </w:tcMar>
            <w:vAlign w:val="center"/>
          </w:tcPr>
          <w:p w14:paraId="0AF9F2C8" w14:textId="77777777" w:rsidR="00D3119D" w:rsidRPr="00FD50F6" w:rsidRDefault="00D3119D" w:rsidP="000831EC">
            <w:pPr>
              <w:pStyle w:val="7"/>
            </w:pPr>
            <w:r w:rsidRPr="00FD50F6">
              <w:t>外</w:t>
            </w:r>
          </w:p>
          <w:p w14:paraId="31E396F6" w14:textId="77777777" w:rsidR="00D3119D" w:rsidRPr="00FD50F6" w:rsidRDefault="00D3119D" w:rsidP="000831EC">
            <w:pPr>
              <w:pStyle w:val="7"/>
            </w:pPr>
            <w:r w:rsidRPr="00FD50F6">
              <w:t>侧</w:t>
            </w:r>
          </w:p>
        </w:tc>
        <w:tc>
          <w:tcPr>
            <w:tcW w:w="425" w:type="dxa"/>
            <w:tcMar>
              <w:top w:w="57" w:type="dxa"/>
              <w:left w:w="57" w:type="dxa"/>
              <w:bottom w:w="57" w:type="dxa"/>
              <w:right w:w="57" w:type="dxa"/>
            </w:tcMar>
            <w:vAlign w:val="center"/>
          </w:tcPr>
          <w:p w14:paraId="03231D99" w14:textId="77777777" w:rsidR="00D3119D" w:rsidRPr="00FD50F6" w:rsidRDefault="00D3119D" w:rsidP="000831EC">
            <w:pPr>
              <w:pStyle w:val="7"/>
            </w:pPr>
            <w:r w:rsidRPr="00FD50F6">
              <w:t>内</w:t>
            </w:r>
          </w:p>
          <w:p w14:paraId="753330B0" w14:textId="77777777" w:rsidR="00D3119D" w:rsidRPr="00FD50F6" w:rsidRDefault="00D3119D" w:rsidP="000831EC">
            <w:pPr>
              <w:pStyle w:val="7"/>
            </w:pPr>
            <w:r w:rsidRPr="00FD50F6">
              <w:t>侧</w:t>
            </w:r>
          </w:p>
        </w:tc>
      </w:tr>
      <w:tr w:rsidR="00FD50F6" w:rsidRPr="00FD50F6" w14:paraId="322731E6" w14:textId="77777777" w:rsidTr="000831EC">
        <w:trPr>
          <w:jc w:val="center"/>
        </w:trPr>
        <w:tc>
          <w:tcPr>
            <w:tcW w:w="754" w:type="dxa"/>
            <w:tcMar>
              <w:top w:w="57" w:type="dxa"/>
              <w:left w:w="57" w:type="dxa"/>
              <w:bottom w:w="57" w:type="dxa"/>
              <w:right w:w="57" w:type="dxa"/>
            </w:tcMar>
            <w:vAlign w:val="center"/>
          </w:tcPr>
          <w:p w14:paraId="6C965803" w14:textId="77777777" w:rsidR="00D3119D" w:rsidRPr="00FD50F6" w:rsidRDefault="00D3119D" w:rsidP="000831EC">
            <w:pPr>
              <w:pStyle w:val="7"/>
            </w:pPr>
            <w:r w:rsidRPr="00FD50F6">
              <w:t>保护层厚度</w:t>
            </w:r>
          </w:p>
        </w:tc>
        <w:tc>
          <w:tcPr>
            <w:tcW w:w="453" w:type="dxa"/>
            <w:tcMar>
              <w:top w:w="57" w:type="dxa"/>
              <w:left w:w="57" w:type="dxa"/>
              <w:bottom w:w="57" w:type="dxa"/>
              <w:right w:w="57" w:type="dxa"/>
            </w:tcMar>
            <w:vAlign w:val="center"/>
          </w:tcPr>
          <w:p w14:paraId="5EBB6812" w14:textId="77777777" w:rsidR="00D3119D" w:rsidRPr="00FD50F6" w:rsidRDefault="00D3119D" w:rsidP="000831EC">
            <w:pPr>
              <w:pStyle w:val="7"/>
            </w:pPr>
            <w:r w:rsidRPr="00FD50F6">
              <w:t>70</w:t>
            </w:r>
          </w:p>
        </w:tc>
        <w:tc>
          <w:tcPr>
            <w:tcW w:w="425" w:type="dxa"/>
            <w:tcMar>
              <w:top w:w="57" w:type="dxa"/>
              <w:left w:w="57" w:type="dxa"/>
              <w:bottom w:w="57" w:type="dxa"/>
              <w:right w:w="57" w:type="dxa"/>
            </w:tcMar>
            <w:vAlign w:val="center"/>
          </w:tcPr>
          <w:p w14:paraId="5694537A" w14:textId="77777777" w:rsidR="00D3119D" w:rsidRPr="00FD50F6" w:rsidRDefault="00D3119D" w:rsidP="000831EC">
            <w:pPr>
              <w:pStyle w:val="7"/>
            </w:pPr>
            <w:r w:rsidRPr="00FD50F6">
              <w:t>70</w:t>
            </w:r>
          </w:p>
        </w:tc>
        <w:tc>
          <w:tcPr>
            <w:tcW w:w="432" w:type="dxa"/>
            <w:vAlign w:val="center"/>
          </w:tcPr>
          <w:p w14:paraId="13536077" w14:textId="77777777" w:rsidR="00D3119D" w:rsidRPr="00FD50F6" w:rsidRDefault="00D3119D" w:rsidP="000831EC">
            <w:pPr>
              <w:pStyle w:val="7"/>
            </w:pPr>
            <w:r w:rsidRPr="00FD50F6">
              <w:t>70</w:t>
            </w:r>
          </w:p>
        </w:tc>
        <w:tc>
          <w:tcPr>
            <w:tcW w:w="418" w:type="dxa"/>
            <w:tcMar>
              <w:top w:w="57" w:type="dxa"/>
              <w:left w:w="57" w:type="dxa"/>
              <w:bottom w:w="57" w:type="dxa"/>
              <w:right w:w="57" w:type="dxa"/>
            </w:tcMar>
            <w:vAlign w:val="center"/>
          </w:tcPr>
          <w:p w14:paraId="00A8735A" w14:textId="77777777" w:rsidR="00D3119D" w:rsidRPr="00FD50F6" w:rsidRDefault="00D3119D" w:rsidP="000831EC">
            <w:pPr>
              <w:pStyle w:val="7"/>
            </w:pPr>
            <w:r w:rsidRPr="00FD50F6">
              <w:rPr>
                <w:rFonts w:hint="eastAsia"/>
              </w:rPr>
              <w:t>5</w:t>
            </w:r>
            <w:r w:rsidRPr="00FD50F6">
              <w:t>0</w:t>
            </w:r>
          </w:p>
        </w:tc>
        <w:tc>
          <w:tcPr>
            <w:tcW w:w="470" w:type="dxa"/>
            <w:vAlign w:val="center"/>
          </w:tcPr>
          <w:p w14:paraId="595DE70F" w14:textId="77777777" w:rsidR="00D3119D" w:rsidRPr="00FD50F6" w:rsidRDefault="00D3119D" w:rsidP="000831EC">
            <w:pPr>
              <w:pStyle w:val="7"/>
            </w:pPr>
            <w:r w:rsidRPr="00FD50F6">
              <w:rPr>
                <w:rFonts w:hint="eastAsia"/>
              </w:rPr>
              <w:t>30</w:t>
            </w:r>
          </w:p>
        </w:tc>
        <w:tc>
          <w:tcPr>
            <w:tcW w:w="459" w:type="dxa"/>
            <w:vAlign w:val="center"/>
          </w:tcPr>
          <w:p w14:paraId="02762077" w14:textId="77777777" w:rsidR="00D3119D" w:rsidRPr="00FD50F6" w:rsidRDefault="00D3119D" w:rsidP="000831EC">
            <w:pPr>
              <w:pStyle w:val="7"/>
            </w:pPr>
            <w:r w:rsidRPr="00FD50F6">
              <w:rPr>
                <w:rFonts w:hint="eastAsia"/>
              </w:rPr>
              <w:t>30</w:t>
            </w:r>
          </w:p>
        </w:tc>
        <w:tc>
          <w:tcPr>
            <w:tcW w:w="392" w:type="dxa"/>
            <w:tcMar>
              <w:top w:w="57" w:type="dxa"/>
              <w:left w:w="57" w:type="dxa"/>
              <w:bottom w:w="57" w:type="dxa"/>
              <w:right w:w="57" w:type="dxa"/>
            </w:tcMar>
            <w:vAlign w:val="center"/>
          </w:tcPr>
          <w:p w14:paraId="08C83765" w14:textId="77777777" w:rsidR="00D3119D" w:rsidRPr="00FD50F6" w:rsidRDefault="00D3119D" w:rsidP="000831EC">
            <w:pPr>
              <w:pStyle w:val="7"/>
            </w:pPr>
            <w:r w:rsidRPr="00FD50F6">
              <w:t>45</w:t>
            </w:r>
          </w:p>
        </w:tc>
        <w:tc>
          <w:tcPr>
            <w:tcW w:w="401" w:type="dxa"/>
            <w:tcMar>
              <w:top w:w="57" w:type="dxa"/>
              <w:left w:w="57" w:type="dxa"/>
              <w:bottom w:w="57" w:type="dxa"/>
              <w:right w:w="57" w:type="dxa"/>
            </w:tcMar>
            <w:vAlign w:val="center"/>
          </w:tcPr>
          <w:p w14:paraId="0401E016" w14:textId="77777777" w:rsidR="00D3119D" w:rsidRPr="00FD50F6" w:rsidRDefault="00D3119D" w:rsidP="000831EC">
            <w:pPr>
              <w:pStyle w:val="7"/>
            </w:pPr>
            <w:r w:rsidRPr="00FD50F6">
              <w:t>35</w:t>
            </w:r>
          </w:p>
        </w:tc>
        <w:tc>
          <w:tcPr>
            <w:tcW w:w="830" w:type="dxa"/>
            <w:vAlign w:val="center"/>
          </w:tcPr>
          <w:p w14:paraId="56FE4D8D" w14:textId="77777777" w:rsidR="00D3119D" w:rsidRPr="00FD50F6" w:rsidRDefault="00D3119D" w:rsidP="000831EC">
            <w:pPr>
              <w:pStyle w:val="7"/>
            </w:pPr>
            <w:r w:rsidRPr="00FD50F6">
              <w:rPr>
                <w:rFonts w:hint="eastAsia"/>
              </w:rPr>
              <w:t>30</w:t>
            </w:r>
          </w:p>
        </w:tc>
        <w:tc>
          <w:tcPr>
            <w:tcW w:w="709" w:type="dxa"/>
            <w:tcMar>
              <w:top w:w="57" w:type="dxa"/>
              <w:left w:w="57" w:type="dxa"/>
              <w:bottom w:w="57" w:type="dxa"/>
              <w:right w:w="57" w:type="dxa"/>
            </w:tcMar>
            <w:vAlign w:val="center"/>
          </w:tcPr>
          <w:p w14:paraId="74F1F330" w14:textId="77777777" w:rsidR="00D3119D" w:rsidRPr="00FD50F6" w:rsidRDefault="00D3119D" w:rsidP="000831EC">
            <w:pPr>
              <w:pStyle w:val="7"/>
            </w:pPr>
            <w:r w:rsidRPr="00FD50F6">
              <w:t>3</w:t>
            </w:r>
            <w:r w:rsidRPr="00FD50F6">
              <w:rPr>
                <w:rFonts w:hint="eastAsia"/>
              </w:rPr>
              <w:t>5</w:t>
            </w:r>
          </w:p>
        </w:tc>
        <w:tc>
          <w:tcPr>
            <w:tcW w:w="708" w:type="dxa"/>
            <w:tcMar>
              <w:top w:w="57" w:type="dxa"/>
              <w:left w:w="57" w:type="dxa"/>
              <w:bottom w:w="57" w:type="dxa"/>
              <w:right w:w="57" w:type="dxa"/>
            </w:tcMar>
            <w:vAlign w:val="center"/>
          </w:tcPr>
          <w:p w14:paraId="010B7100" w14:textId="77777777" w:rsidR="00D3119D" w:rsidRPr="00FD50F6" w:rsidRDefault="00D3119D" w:rsidP="000831EC">
            <w:pPr>
              <w:pStyle w:val="7"/>
            </w:pPr>
            <w:r w:rsidRPr="00FD50F6">
              <w:rPr>
                <w:rFonts w:hint="eastAsia"/>
              </w:rPr>
              <w:t>40</w:t>
            </w:r>
          </w:p>
        </w:tc>
        <w:tc>
          <w:tcPr>
            <w:tcW w:w="1439" w:type="dxa"/>
            <w:vAlign w:val="center"/>
          </w:tcPr>
          <w:p w14:paraId="663808A9" w14:textId="77777777" w:rsidR="00D3119D" w:rsidRPr="00FD50F6" w:rsidRDefault="00D3119D" w:rsidP="000831EC">
            <w:pPr>
              <w:pStyle w:val="7"/>
            </w:pPr>
            <w:r w:rsidRPr="00FD50F6">
              <w:rPr>
                <w:rFonts w:hint="eastAsia"/>
              </w:rPr>
              <w:t>2</w:t>
            </w:r>
            <w:r w:rsidRPr="00FD50F6">
              <w:t>5</w:t>
            </w:r>
          </w:p>
        </w:tc>
        <w:tc>
          <w:tcPr>
            <w:tcW w:w="425" w:type="dxa"/>
            <w:tcMar>
              <w:top w:w="57" w:type="dxa"/>
              <w:left w:w="57" w:type="dxa"/>
              <w:bottom w:w="57" w:type="dxa"/>
              <w:right w:w="57" w:type="dxa"/>
            </w:tcMar>
            <w:vAlign w:val="center"/>
          </w:tcPr>
          <w:p w14:paraId="0EB13784" w14:textId="77777777" w:rsidR="00D3119D" w:rsidRPr="00FD50F6" w:rsidRDefault="00D3119D" w:rsidP="000831EC">
            <w:pPr>
              <w:pStyle w:val="7"/>
            </w:pPr>
            <w:r w:rsidRPr="00FD50F6">
              <w:t>35</w:t>
            </w:r>
          </w:p>
        </w:tc>
        <w:tc>
          <w:tcPr>
            <w:tcW w:w="425" w:type="dxa"/>
            <w:tcMar>
              <w:top w:w="57" w:type="dxa"/>
              <w:left w:w="57" w:type="dxa"/>
              <w:bottom w:w="57" w:type="dxa"/>
              <w:right w:w="57" w:type="dxa"/>
            </w:tcMar>
            <w:vAlign w:val="center"/>
          </w:tcPr>
          <w:p w14:paraId="3FAB8557" w14:textId="77777777" w:rsidR="00D3119D" w:rsidRPr="00FD50F6" w:rsidRDefault="00D3119D" w:rsidP="000831EC">
            <w:pPr>
              <w:pStyle w:val="7"/>
            </w:pPr>
            <w:r w:rsidRPr="00FD50F6">
              <w:t>25</w:t>
            </w:r>
          </w:p>
        </w:tc>
      </w:tr>
    </w:tbl>
    <w:p w14:paraId="101257BA" w14:textId="77777777" w:rsidR="00D3119D" w:rsidRPr="00FD50F6" w:rsidRDefault="00D3119D" w:rsidP="00D3119D">
      <w:pPr>
        <w:pStyle w:val="7"/>
        <w:jc w:val="left"/>
      </w:pPr>
      <w:bookmarkStart w:id="461" w:name="_Toc344218760"/>
      <w:r w:rsidRPr="00FD50F6">
        <w:t>注：</w:t>
      </w:r>
      <w:r w:rsidRPr="00FD50F6">
        <w:t>1</w:t>
      </w:r>
      <w:r w:rsidRPr="00FD50F6">
        <w:rPr>
          <w:rFonts w:hint="eastAsia"/>
        </w:rPr>
        <w:t xml:space="preserve"> </w:t>
      </w:r>
      <w:r w:rsidRPr="00FD50F6">
        <w:t>受力钢筋的保护层厚度不应小于钢筋的公称直径</w:t>
      </w:r>
      <w:r w:rsidRPr="00FD50F6">
        <w:rPr>
          <w:rFonts w:hint="eastAsia"/>
        </w:rPr>
        <w:t>；</w:t>
      </w:r>
    </w:p>
    <w:p w14:paraId="2ABC4221" w14:textId="77777777" w:rsidR="00D3119D" w:rsidRPr="00FD50F6" w:rsidRDefault="00D3119D" w:rsidP="00D3119D">
      <w:pPr>
        <w:pStyle w:val="7"/>
        <w:ind w:firstLineChars="200" w:firstLine="420"/>
        <w:jc w:val="left"/>
      </w:pPr>
      <w:r w:rsidRPr="00FD50F6">
        <w:rPr>
          <w:rFonts w:hint="eastAsia"/>
        </w:rPr>
        <w:t xml:space="preserve">2 </w:t>
      </w:r>
      <w:r w:rsidRPr="00FD50F6">
        <w:t>当地下连续墙与内衬组成叠合墙时，其内侧钢筋的保护层厚度可采用</w:t>
      </w:r>
      <w:r w:rsidRPr="00FD50F6">
        <w:t>50mm</w:t>
      </w:r>
      <w:r w:rsidRPr="00FD50F6">
        <w:rPr>
          <w:rFonts w:hint="eastAsia"/>
        </w:rPr>
        <w:t>；</w:t>
      </w:r>
    </w:p>
    <w:p w14:paraId="1341B160" w14:textId="77777777" w:rsidR="00D3119D" w:rsidRPr="00FD50F6" w:rsidRDefault="00D3119D" w:rsidP="001A4CF3">
      <w:pPr>
        <w:pStyle w:val="7"/>
        <w:jc w:val="left"/>
      </w:pPr>
      <w:r w:rsidRPr="00FD50F6">
        <w:rPr>
          <w:rFonts w:hint="eastAsia"/>
        </w:rPr>
        <w:t xml:space="preserve">3 </w:t>
      </w:r>
      <w:r w:rsidRPr="00FD50F6">
        <w:rPr>
          <w:rFonts w:hint="eastAsia"/>
        </w:rPr>
        <w:t>当基坑支护采用人工挖孔灌注桩时，其钢筋保护层厚度可采用</w:t>
      </w:r>
      <w:r w:rsidRPr="00FD50F6">
        <w:rPr>
          <w:rFonts w:hint="eastAsia"/>
        </w:rPr>
        <w:t>50mm</w:t>
      </w:r>
      <w:r w:rsidRPr="00FD50F6">
        <w:rPr>
          <w:rFonts w:hint="eastAsia"/>
        </w:rPr>
        <w:t>。</w:t>
      </w:r>
    </w:p>
    <w:p w14:paraId="5A3E6AFE" w14:textId="77777777" w:rsidR="00D3119D" w:rsidRPr="00FD50F6" w:rsidRDefault="00D3119D" w:rsidP="00A65181">
      <w:pPr>
        <w:pStyle w:val="2"/>
      </w:pPr>
      <w:bookmarkStart w:id="462" w:name="_Toc112830727"/>
      <w:r w:rsidRPr="00FD50F6">
        <w:rPr>
          <w:rFonts w:hint="eastAsia"/>
        </w:rPr>
        <w:t>工程材料</w:t>
      </w:r>
      <w:bookmarkEnd w:id="462"/>
    </w:p>
    <w:p w14:paraId="279B782D" w14:textId="6CDC8E1A" w:rsidR="00D3119D" w:rsidRPr="00FD50F6" w:rsidRDefault="00D3119D" w:rsidP="00D3119D">
      <w:pPr>
        <w:pStyle w:val="30"/>
      </w:pPr>
      <w:r w:rsidRPr="00FD50F6">
        <w:rPr>
          <w:rFonts w:hint="eastAsia"/>
        </w:rPr>
        <w:t>地下结构的工程材料应根据结构类型、受力条件、使用要求和所处环境条件并综合可靠性、耐久性和经济性进行选用。主要受力结构宜采用钢筋混凝土结构，也可采用钢管混凝土结构、钢骨混凝土结构、型钢混凝土组合结构、</w:t>
      </w:r>
      <w:r w:rsidRPr="00FD50F6">
        <w:rPr>
          <w:rFonts w:hint="eastAsia"/>
        </w:rPr>
        <w:lastRenderedPageBreak/>
        <w:t>钢纤维混凝土和金属结构等。</w:t>
      </w:r>
    </w:p>
    <w:p w14:paraId="125E3163" w14:textId="77777777" w:rsidR="00D3119D" w:rsidRPr="00FD50F6" w:rsidRDefault="00D3119D" w:rsidP="00D3119D">
      <w:pPr>
        <w:pStyle w:val="30"/>
        <w:rPr>
          <w:lang w:val="zh-CN"/>
        </w:rPr>
      </w:pPr>
      <w:r w:rsidRPr="00FD50F6">
        <w:rPr>
          <w:rFonts w:hint="eastAsia"/>
          <w:lang w:val="zh-CN"/>
        </w:rPr>
        <w:t>混凝土材料应符合下列规定：</w:t>
      </w:r>
    </w:p>
    <w:p w14:paraId="4299710A" w14:textId="4AC9BED9" w:rsidR="00D3119D" w:rsidRPr="00FD50F6" w:rsidRDefault="00D3119D" w:rsidP="00A926BD">
      <w:pPr>
        <w:pStyle w:val="4"/>
      </w:pPr>
      <w:r w:rsidRPr="00FD50F6">
        <w:rPr>
          <w:rFonts w:hint="eastAsia"/>
        </w:rPr>
        <w:t>混凝土的原材料和配比、最低强度等级、最大水胶比和单方混凝土的胶凝材料最小用量等应符合结构耐久性的规定，并应满足抗裂、抗渗、抗冻和抗侵蚀的要求。一般环境条件下地下结构混凝土设计强度等级不应低于表</w:t>
      </w:r>
      <w:r w:rsidR="00CD0099" w:rsidRPr="00FD50F6">
        <w:rPr>
          <w:rFonts w:hint="eastAsia"/>
        </w:rPr>
        <w:t>1</w:t>
      </w:r>
      <w:r w:rsidR="00CD0099" w:rsidRPr="00FD50F6">
        <w:t>2</w:t>
      </w:r>
      <w:r w:rsidRPr="00FD50F6">
        <w:rPr>
          <w:rFonts w:hint="eastAsia"/>
        </w:rPr>
        <w:t>.1</w:t>
      </w:r>
      <w:r w:rsidRPr="00FD50F6">
        <w:t>1</w:t>
      </w:r>
      <w:r w:rsidRPr="00FD50F6">
        <w:rPr>
          <w:rFonts w:hint="eastAsia"/>
        </w:rPr>
        <w:t>.2</w:t>
      </w:r>
      <w:r w:rsidRPr="00FD50F6">
        <w:rPr>
          <w:rFonts w:hint="eastAsia"/>
        </w:rPr>
        <w:t>的规定。</w:t>
      </w:r>
    </w:p>
    <w:p w14:paraId="139270D1" w14:textId="2D3DBB32" w:rsidR="00D3119D" w:rsidRPr="00FD50F6" w:rsidRDefault="00D3119D" w:rsidP="00D3119D">
      <w:pPr>
        <w:pStyle w:val="6"/>
      </w:pPr>
      <w:r w:rsidRPr="00FD50F6">
        <w:t>表</w:t>
      </w:r>
      <w:r w:rsidR="00CD0099" w:rsidRPr="00FD50F6">
        <w:t>12</w:t>
      </w:r>
      <w:r w:rsidRPr="00FD50F6">
        <w:t>.</w:t>
      </w:r>
      <w:r w:rsidRPr="00FD50F6">
        <w:rPr>
          <w:rFonts w:hint="eastAsia"/>
        </w:rPr>
        <w:t>1</w:t>
      </w:r>
      <w:r w:rsidRPr="00FD50F6">
        <w:t xml:space="preserve">1.2 </w:t>
      </w:r>
      <w:r w:rsidRPr="00FD50F6">
        <w:t>一般环境条件下</w:t>
      </w:r>
      <w:r w:rsidRPr="00FD50F6">
        <w:rPr>
          <w:rFonts w:hint="eastAsia"/>
        </w:rPr>
        <w:t>地下结构</w:t>
      </w:r>
      <w:r w:rsidRPr="00FD50F6">
        <w:t>混凝土的最低设计强度等级</w:t>
      </w:r>
    </w:p>
    <w:tbl>
      <w:tblPr>
        <w:tblW w:w="70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596"/>
        <w:gridCol w:w="2479"/>
      </w:tblGrid>
      <w:tr w:rsidR="00FD50F6" w:rsidRPr="00FD50F6" w14:paraId="00F60006" w14:textId="77777777" w:rsidTr="000831EC">
        <w:trPr>
          <w:trHeight w:hRule="exact" w:val="369"/>
          <w:jc w:val="center"/>
        </w:trPr>
        <w:tc>
          <w:tcPr>
            <w:tcW w:w="4596" w:type="dxa"/>
            <w:vAlign w:val="center"/>
          </w:tcPr>
          <w:p w14:paraId="73FEAFC7" w14:textId="3443370B" w:rsidR="00D3119D" w:rsidRPr="00FD50F6" w:rsidRDefault="00D3119D" w:rsidP="000831EC">
            <w:pPr>
              <w:pStyle w:val="7"/>
            </w:pPr>
            <w:r w:rsidRPr="00FD50F6">
              <w:rPr>
                <w:rFonts w:hint="eastAsia"/>
              </w:rPr>
              <w:t>地下结构类型</w:t>
            </w:r>
          </w:p>
        </w:tc>
        <w:tc>
          <w:tcPr>
            <w:tcW w:w="2479" w:type="dxa"/>
            <w:vAlign w:val="center"/>
          </w:tcPr>
          <w:p w14:paraId="0CAA6BCB" w14:textId="11A37E96" w:rsidR="00D3119D" w:rsidRPr="00FD50F6" w:rsidRDefault="00D3119D" w:rsidP="000831EC">
            <w:pPr>
              <w:pStyle w:val="7"/>
            </w:pPr>
            <w:r w:rsidRPr="00FD50F6">
              <w:rPr>
                <w:rFonts w:hint="eastAsia"/>
              </w:rPr>
              <w:t>最低设计强度等级</w:t>
            </w:r>
          </w:p>
        </w:tc>
      </w:tr>
      <w:tr w:rsidR="00FD50F6" w:rsidRPr="00FD50F6" w14:paraId="0DBA4B32" w14:textId="77777777" w:rsidTr="000831EC">
        <w:trPr>
          <w:trHeight w:hRule="exact" w:val="369"/>
          <w:jc w:val="center"/>
        </w:trPr>
        <w:tc>
          <w:tcPr>
            <w:tcW w:w="4596" w:type="dxa"/>
            <w:vAlign w:val="center"/>
          </w:tcPr>
          <w:p w14:paraId="786B9F46" w14:textId="77777777" w:rsidR="00D3119D" w:rsidRPr="00FD50F6" w:rsidRDefault="00D3119D" w:rsidP="000831EC">
            <w:pPr>
              <w:pStyle w:val="7"/>
            </w:pPr>
            <w:r w:rsidRPr="00FD50F6">
              <w:rPr>
                <w:rFonts w:hint="eastAsia"/>
              </w:rPr>
              <w:t>作为永久构件的钢筋混凝土结构</w:t>
            </w:r>
          </w:p>
        </w:tc>
        <w:tc>
          <w:tcPr>
            <w:tcW w:w="2479" w:type="dxa"/>
            <w:vAlign w:val="center"/>
          </w:tcPr>
          <w:p w14:paraId="53CA2A01" w14:textId="77777777" w:rsidR="00D3119D" w:rsidRPr="00FD50F6" w:rsidRDefault="00D3119D" w:rsidP="000831EC">
            <w:pPr>
              <w:pStyle w:val="7"/>
            </w:pPr>
            <w:r w:rsidRPr="00FD50F6">
              <w:t>C35</w:t>
            </w:r>
          </w:p>
        </w:tc>
      </w:tr>
      <w:tr w:rsidR="00FD50F6" w:rsidRPr="00FD50F6" w14:paraId="2B2ABEF3" w14:textId="77777777" w:rsidTr="000831EC">
        <w:trPr>
          <w:trHeight w:hRule="exact" w:val="369"/>
          <w:jc w:val="center"/>
        </w:trPr>
        <w:tc>
          <w:tcPr>
            <w:tcW w:w="4596" w:type="dxa"/>
            <w:vAlign w:val="center"/>
          </w:tcPr>
          <w:p w14:paraId="3EE3870B" w14:textId="77777777" w:rsidR="00D3119D" w:rsidRPr="00FD50F6" w:rsidRDefault="00D3119D" w:rsidP="000831EC">
            <w:pPr>
              <w:pStyle w:val="7"/>
            </w:pPr>
            <w:r w:rsidRPr="00FD50F6">
              <w:rPr>
                <w:rFonts w:hint="eastAsia"/>
              </w:rPr>
              <w:t>作为永久构件的预应力钢筋混凝土结构</w:t>
            </w:r>
          </w:p>
        </w:tc>
        <w:tc>
          <w:tcPr>
            <w:tcW w:w="2479" w:type="dxa"/>
            <w:vAlign w:val="center"/>
          </w:tcPr>
          <w:p w14:paraId="39C08E95" w14:textId="77777777" w:rsidR="00D3119D" w:rsidRPr="00FD50F6" w:rsidRDefault="00D3119D" w:rsidP="000831EC">
            <w:pPr>
              <w:pStyle w:val="7"/>
            </w:pPr>
            <w:r w:rsidRPr="00FD50F6">
              <w:rPr>
                <w:rFonts w:hint="eastAsia"/>
              </w:rPr>
              <w:t>C40</w:t>
            </w:r>
          </w:p>
        </w:tc>
      </w:tr>
      <w:tr w:rsidR="00FD50F6" w:rsidRPr="00FD50F6" w14:paraId="5F8BD1DB" w14:textId="77777777" w:rsidTr="000831EC">
        <w:trPr>
          <w:trHeight w:hRule="exact" w:val="369"/>
          <w:jc w:val="center"/>
        </w:trPr>
        <w:tc>
          <w:tcPr>
            <w:tcW w:w="4596" w:type="dxa"/>
            <w:vAlign w:val="center"/>
          </w:tcPr>
          <w:p w14:paraId="21EC3B6F" w14:textId="77777777" w:rsidR="00D3119D" w:rsidRPr="00FD50F6" w:rsidRDefault="00D3119D" w:rsidP="000831EC">
            <w:pPr>
              <w:pStyle w:val="7"/>
            </w:pPr>
            <w:r w:rsidRPr="00FD50F6">
              <w:rPr>
                <w:rFonts w:hint="eastAsia"/>
              </w:rPr>
              <w:t>作为临时构件的钢筋混凝土结构</w:t>
            </w:r>
          </w:p>
        </w:tc>
        <w:tc>
          <w:tcPr>
            <w:tcW w:w="2479" w:type="dxa"/>
            <w:vAlign w:val="center"/>
          </w:tcPr>
          <w:p w14:paraId="7EB0CBEA" w14:textId="77777777" w:rsidR="00D3119D" w:rsidRPr="00FD50F6" w:rsidRDefault="00D3119D" w:rsidP="000831EC">
            <w:pPr>
              <w:pStyle w:val="7"/>
            </w:pPr>
            <w:r w:rsidRPr="00FD50F6">
              <w:t>C25</w:t>
            </w:r>
          </w:p>
        </w:tc>
      </w:tr>
      <w:tr w:rsidR="00FD50F6" w:rsidRPr="00FD50F6" w14:paraId="49E9CB02" w14:textId="77777777" w:rsidTr="000831EC">
        <w:trPr>
          <w:trHeight w:hRule="exact" w:val="369"/>
          <w:jc w:val="center"/>
        </w:trPr>
        <w:tc>
          <w:tcPr>
            <w:tcW w:w="4596" w:type="dxa"/>
            <w:vAlign w:val="center"/>
          </w:tcPr>
          <w:p w14:paraId="11FEB686" w14:textId="77777777" w:rsidR="00D3119D" w:rsidRPr="00FD50F6" w:rsidRDefault="00D3119D" w:rsidP="000831EC">
            <w:pPr>
              <w:pStyle w:val="7"/>
            </w:pPr>
            <w:r w:rsidRPr="00FD50F6">
              <w:t>预制装配式钢筋混凝土</w:t>
            </w:r>
            <w:r w:rsidRPr="00FD50F6">
              <w:rPr>
                <w:rFonts w:hint="eastAsia"/>
              </w:rPr>
              <w:t>结构</w:t>
            </w:r>
          </w:p>
        </w:tc>
        <w:tc>
          <w:tcPr>
            <w:tcW w:w="2479" w:type="dxa"/>
            <w:vAlign w:val="center"/>
          </w:tcPr>
          <w:p w14:paraId="73ACDEBC" w14:textId="77777777" w:rsidR="00D3119D" w:rsidRPr="00FD50F6" w:rsidRDefault="00D3119D" w:rsidP="000831EC">
            <w:pPr>
              <w:pStyle w:val="7"/>
            </w:pPr>
            <w:r w:rsidRPr="00FD50F6">
              <w:t>C50</w:t>
            </w:r>
          </w:p>
        </w:tc>
      </w:tr>
      <w:tr w:rsidR="00FD50F6" w:rsidRPr="00FD50F6" w14:paraId="18296DB8" w14:textId="77777777" w:rsidTr="000831EC">
        <w:trPr>
          <w:trHeight w:hRule="exact" w:val="369"/>
          <w:jc w:val="center"/>
        </w:trPr>
        <w:tc>
          <w:tcPr>
            <w:tcW w:w="4596" w:type="dxa"/>
            <w:vAlign w:val="center"/>
          </w:tcPr>
          <w:p w14:paraId="291DD72E" w14:textId="77777777" w:rsidR="00D3119D" w:rsidRPr="00FD50F6" w:rsidRDefault="00D3119D" w:rsidP="000831EC">
            <w:pPr>
              <w:pStyle w:val="7"/>
            </w:pPr>
            <w:r w:rsidRPr="00FD50F6">
              <w:rPr>
                <w:rFonts w:hint="eastAsia"/>
              </w:rPr>
              <w:t>喷射</w:t>
            </w:r>
            <w:r w:rsidRPr="00FD50F6">
              <w:t>混凝土结构</w:t>
            </w:r>
          </w:p>
        </w:tc>
        <w:tc>
          <w:tcPr>
            <w:tcW w:w="2479" w:type="dxa"/>
            <w:vAlign w:val="center"/>
          </w:tcPr>
          <w:p w14:paraId="78D4D62D" w14:textId="77777777" w:rsidR="00D3119D" w:rsidRPr="00FD50F6" w:rsidRDefault="00D3119D" w:rsidP="000831EC">
            <w:pPr>
              <w:pStyle w:val="7"/>
            </w:pPr>
            <w:r w:rsidRPr="00FD50F6">
              <w:rPr>
                <w:rFonts w:hint="eastAsia"/>
              </w:rPr>
              <w:t>C25</w:t>
            </w:r>
          </w:p>
        </w:tc>
      </w:tr>
    </w:tbl>
    <w:p w14:paraId="0862D894" w14:textId="560A76E7" w:rsidR="00D3119D" w:rsidRPr="00FD50F6" w:rsidRDefault="00D3119D" w:rsidP="00A926BD">
      <w:pPr>
        <w:pStyle w:val="4"/>
      </w:pPr>
      <w:r w:rsidRPr="00FD50F6">
        <w:rPr>
          <w:rFonts w:hint="eastAsia"/>
        </w:rPr>
        <w:t>大体积浇筑的混凝土不应采用高水化热水泥，并应掺入高效减水剂、优质粉煤灰或磨细矿渣等，应控制水泥用量、限制水胶比，且混凝土入模温度不宜高于</w:t>
      </w:r>
      <w:r w:rsidRPr="00FD50F6">
        <w:rPr>
          <w:rFonts w:hint="eastAsia"/>
        </w:rPr>
        <w:t>28</w:t>
      </w:r>
      <w:r w:rsidRPr="00FD50F6">
        <w:rPr>
          <w:rFonts w:hint="eastAsia"/>
        </w:rPr>
        <w:t>°。</w:t>
      </w:r>
    </w:p>
    <w:p w14:paraId="531B6A19" w14:textId="77777777" w:rsidR="00D3119D" w:rsidRPr="00FD50F6" w:rsidRDefault="00D3119D" w:rsidP="00A926BD">
      <w:pPr>
        <w:pStyle w:val="4"/>
      </w:pPr>
      <w:r w:rsidRPr="00FD50F6">
        <w:rPr>
          <w:rFonts w:hint="eastAsia"/>
        </w:rPr>
        <w:t>喷射混凝土应采用湿喷混凝土。</w:t>
      </w:r>
    </w:p>
    <w:p w14:paraId="5DC23418" w14:textId="77777777" w:rsidR="00D3119D" w:rsidRPr="00FD50F6" w:rsidRDefault="00D3119D" w:rsidP="00A926BD">
      <w:pPr>
        <w:pStyle w:val="4"/>
      </w:pPr>
      <w:r w:rsidRPr="00FD50F6">
        <w:rPr>
          <w:rFonts w:hint="eastAsia"/>
        </w:rPr>
        <w:t>钢管混凝土应采用无收缩混凝土。</w:t>
      </w:r>
    </w:p>
    <w:p w14:paraId="7E5575F3" w14:textId="77777777" w:rsidR="00D3119D" w:rsidRPr="00FD50F6" w:rsidRDefault="00D3119D" w:rsidP="00D3119D">
      <w:pPr>
        <w:pStyle w:val="30"/>
        <w:rPr>
          <w:lang w:val="zh-CN"/>
        </w:rPr>
      </w:pPr>
      <w:r w:rsidRPr="00FD50F6">
        <w:rPr>
          <w:rFonts w:hint="eastAsia"/>
          <w:lang w:val="zh-CN"/>
        </w:rPr>
        <w:t>钢纤维应符合下列规定：</w:t>
      </w:r>
    </w:p>
    <w:p w14:paraId="2F9AE76F" w14:textId="2C420C3D" w:rsidR="00D3119D" w:rsidRPr="00FD50F6" w:rsidRDefault="00D3119D" w:rsidP="00A926BD">
      <w:pPr>
        <w:pStyle w:val="4"/>
      </w:pPr>
      <w:r w:rsidRPr="00FD50F6">
        <w:rPr>
          <w:rFonts w:hint="eastAsia"/>
        </w:rPr>
        <w:t>当计及钢纤维对混凝土结构承载力的提高作用时，钢纤维类型应选用高强钢丝切断型钢纤维，钢纤维材料参数应符合现行</w:t>
      </w:r>
      <w:r w:rsidR="003222C7">
        <w:rPr>
          <w:rFonts w:hint="eastAsia"/>
        </w:rPr>
        <w:t>国家</w:t>
      </w:r>
      <w:r w:rsidRPr="00FD50F6">
        <w:rPr>
          <w:rFonts w:hint="eastAsia"/>
        </w:rPr>
        <w:t>标准《混凝土用钢纤维》</w:t>
      </w:r>
      <w:r w:rsidRPr="001A4CF3">
        <w:t>GB/T 39147</w:t>
      </w:r>
      <w:r w:rsidRPr="00FD50F6">
        <w:rPr>
          <w:rFonts w:hint="eastAsia"/>
        </w:rPr>
        <w:t>的规定。</w:t>
      </w:r>
    </w:p>
    <w:p w14:paraId="64AD6669" w14:textId="77777777" w:rsidR="00D3119D" w:rsidRPr="00FD50F6" w:rsidRDefault="00D3119D" w:rsidP="00A926BD">
      <w:pPr>
        <w:pStyle w:val="4"/>
      </w:pPr>
      <w:r w:rsidRPr="00FD50F6">
        <w:rPr>
          <w:rFonts w:hint="eastAsia"/>
        </w:rPr>
        <w:t>钢纤维掺量不应小于</w:t>
      </w:r>
      <w:r w:rsidRPr="00FD50F6">
        <w:rPr>
          <w:rFonts w:hint="eastAsia"/>
        </w:rPr>
        <w:t>25kg/m</w:t>
      </w:r>
      <w:r w:rsidRPr="00FD50F6">
        <w:rPr>
          <w:rFonts w:hint="eastAsia"/>
          <w:vertAlign w:val="superscript"/>
        </w:rPr>
        <w:t>3</w:t>
      </w:r>
      <w:r w:rsidRPr="00FD50F6">
        <w:rPr>
          <w:rFonts w:hint="eastAsia"/>
        </w:rPr>
        <w:t>。</w:t>
      </w:r>
    </w:p>
    <w:p w14:paraId="6B3EC938" w14:textId="77777777" w:rsidR="00D3119D" w:rsidRPr="00FD50F6" w:rsidRDefault="00D3119D" w:rsidP="00D3119D">
      <w:pPr>
        <w:pStyle w:val="30"/>
        <w:rPr>
          <w:lang w:val="zh-CN"/>
        </w:rPr>
      </w:pPr>
      <w:r w:rsidRPr="00FD50F6">
        <w:rPr>
          <w:rFonts w:hint="eastAsia"/>
          <w:lang w:val="zh-CN"/>
        </w:rPr>
        <w:t>玻璃纤维增强筋应符合下列规定：</w:t>
      </w:r>
    </w:p>
    <w:p w14:paraId="62BA6BF1" w14:textId="23AED181" w:rsidR="00D3119D" w:rsidRPr="00FD50F6" w:rsidRDefault="00D3119D" w:rsidP="00A926BD">
      <w:pPr>
        <w:pStyle w:val="4"/>
      </w:pPr>
      <w:r w:rsidRPr="00FD50F6">
        <w:rPr>
          <w:rFonts w:hint="eastAsia"/>
        </w:rPr>
        <w:t>玻璃纤维增强筋形状宜为螺纹形式，杆体外观不应有影响强度的缺陷，螺纹牙型、牙距应整齐且无损失。</w:t>
      </w:r>
    </w:p>
    <w:p w14:paraId="24CBED78" w14:textId="77777777" w:rsidR="00D3119D" w:rsidRPr="00FD50F6" w:rsidRDefault="00D3119D" w:rsidP="00A926BD">
      <w:pPr>
        <w:pStyle w:val="4"/>
      </w:pPr>
      <w:r w:rsidRPr="00FD50F6">
        <w:rPr>
          <w:rFonts w:hint="eastAsia"/>
        </w:rPr>
        <w:t>玻璃纤维增强筋规格、尺寸和力学性能指标等应符合现行行业标准《土木工程用玻璃纤维增强筋》</w:t>
      </w:r>
      <w:r w:rsidRPr="00FD50F6">
        <w:t>JG/T 406</w:t>
      </w:r>
      <w:r w:rsidRPr="00FD50F6">
        <w:rPr>
          <w:rFonts w:hint="eastAsia"/>
        </w:rPr>
        <w:t>的规定。</w:t>
      </w:r>
    </w:p>
    <w:p w14:paraId="3E61E42B" w14:textId="77777777" w:rsidR="00D3119D" w:rsidRPr="00FD50F6" w:rsidRDefault="00D3119D" w:rsidP="00D3119D">
      <w:pPr>
        <w:pStyle w:val="30"/>
        <w:rPr>
          <w:lang w:val="zh-CN"/>
        </w:rPr>
      </w:pPr>
      <w:r w:rsidRPr="00FD50F6">
        <w:rPr>
          <w:rFonts w:hint="eastAsia"/>
          <w:lang w:val="zh-CN"/>
        </w:rPr>
        <w:t>钢筋、钢材及连接应符合下列规定：</w:t>
      </w:r>
    </w:p>
    <w:p w14:paraId="4C7B1BB7" w14:textId="3D72BA23" w:rsidR="00D3119D" w:rsidRPr="00FD50F6" w:rsidRDefault="00D3119D" w:rsidP="00A926BD">
      <w:pPr>
        <w:pStyle w:val="4"/>
      </w:pPr>
      <w:r w:rsidRPr="00FD50F6">
        <w:rPr>
          <w:rFonts w:hint="eastAsia"/>
        </w:rPr>
        <w:t>混凝土结构构件的纵横向受力钢筋应采用不低于</w:t>
      </w:r>
      <w:r w:rsidRPr="00FD50F6">
        <w:rPr>
          <w:rFonts w:hint="eastAsia"/>
        </w:rPr>
        <w:t>HRB400</w:t>
      </w:r>
      <w:r w:rsidRPr="00FD50F6">
        <w:rPr>
          <w:rFonts w:hint="eastAsia"/>
        </w:rPr>
        <w:t>钢筋；分布钢筋宜采用不低于</w:t>
      </w:r>
      <w:r w:rsidRPr="00FD50F6">
        <w:rPr>
          <w:rFonts w:hint="eastAsia"/>
        </w:rPr>
        <w:t>HRB400</w:t>
      </w:r>
      <w:r w:rsidRPr="00FD50F6">
        <w:rPr>
          <w:rFonts w:hint="eastAsia"/>
        </w:rPr>
        <w:t>钢筋；箍筋宜采用</w:t>
      </w:r>
      <w:r w:rsidRPr="00FD50F6">
        <w:rPr>
          <w:rFonts w:hint="eastAsia"/>
        </w:rPr>
        <w:t>HRB400</w:t>
      </w:r>
      <w:r w:rsidRPr="00FD50F6">
        <w:rPr>
          <w:rFonts w:hint="eastAsia"/>
        </w:rPr>
        <w:t>或</w:t>
      </w:r>
      <w:r w:rsidRPr="00FD50F6">
        <w:rPr>
          <w:rFonts w:hint="eastAsia"/>
        </w:rPr>
        <w:t>HPB300</w:t>
      </w:r>
      <w:r w:rsidRPr="00FD50F6">
        <w:rPr>
          <w:rFonts w:hint="eastAsia"/>
        </w:rPr>
        <w:t>钢筋。</w:t>
      </w:r>
    </w:p>
    <w:p w14:paraId="29E30A02" w14:textId="77777777" w:rsidR="00D3119D" w:rsidRPr="00FD50F6" w:rsidRDefault="00D3119D" w:rsidP="00A926BD">
      <w:pPr>
        <w:pStyle w:val="4"/>
      </w:pPr>
      <w:r w:rsidRPr="00FD50F6">
        <w:rPr>
          <w:rFonts w:hint="eastAsia"/>
        </w:rPr>
        <w:lastRenderedPageBreak/>
        <w:t>土层锚杆可采用钢绞线或</w:t>
      </w:r>
      <w:r w:rsidRPr="00FD50F6">
        <w:rPr>
          <w:rFonts w:hint="eastAsia"/>
        </w:rPr>
        <w:t>HRB400</w:t>
      </w:r>
      <w:r w:rsidRPr="00FD50F6">
        <w:rPr>
          <w:rFonts w:hint="eastAsia"/>
        </w:rPr>
        <w:t>钢筋。</w:t>
      </w:r>
    </w:p>
    <w:p w14:paraId="0603AFFE" w14:textId="77777777" w:rsidR="00D3119D" w:rsidRPr="00FD50F6" w:rsidRDefault="00D3119D" w:rsidP="00A926BD">
      <w:pPr>
        <w:pStyle w:val="4"/>
      </w:pPr>
      <w:r w:rsidRPr="00FD50F6">
        <w:rPr>
          <w:rFonts w:hint="eastAsia"/>
        </w:rPr>
        <w:t>土钉宜采用</w:t>
      </w:r>
      <w:r w:rsidRPr="00FD50F6">
        <w:rPr>
          <w:rFonts w:hint="eastAsia"/>
        </w:rPr>
        <w:t>HRB400</w:t>
      </w:r>
      <w:r w:rsidRPr="00FD50F6">
        <w:rPr>
          <w:rFonts w:hint="eastAsia"/>
        </w:rPr>
        <w:t>钢筋。</w:t>
      </w:r>
    </w:p>
    <w:p w14:paraId="56835EC4" w14:textId="755B9C51" w:rsidR="00D3119D" w:rsidRPr="00FD50F6" w:rsidRDefault="00D3119D" w:rsidP="00A926BD">
      <w:pPr>
        <w:pStyle w:val="4"/>
      </w:pPr>
      <w:r w:rsidRPr="00FD50F6">
        <w:rPr>
          <w:rFonts w:hint="eastAsia"/>
        </w:rPr>
        <w:t>钢筋接驳器的连接和性能要求应符合现行行业标准《钢筋机械连接技术规程》</w:t>
      </w:r>
      <w:r w:rsidRPr="00FD50F6">
        <w:t>JGJ 107</w:t>
      </w:r>
      <w:r w:rsidRPr="00FD50F6">
        <w:rPr>
          <w:rFonts w:hint="eastAsia"/>
        </w:rPr>
        <w:t>的规定。</w:t>
      </w:r>
    </w:p>
    <w:p w14:paraId="08D76796" w14:textId="77777777" w:rsidR="00D3119D" w:rsidRPr="00FD50F6" w:rsidRDefault="00D3119D" w:rsidP="00A926BD">
      <w:pPr>
        <w:pStyle w:val="4"/>
      </w:pPr>
      <w:r w:rsidRPr="00FD50F6">
        <w:t>钢结构宜采用</w:t>
      </w:r>
      <w:r w:rsidRPr="00FD50F6">
        <w:t>Q235</w:t>
      </w:r>
      <w:r w:rsidRPr="00FD50F6">
        <w:rPr>
          <w:rFonts w:hint="eastAsia"/>
        </w:rPr>
        <w:t>钢、</w:t>
      </w:r>
      <w:r w:rsidRPr="00FD50F6">
        <w:t>Q355</w:t>
      </w:r>
      <w:r w:rsidRPr="00FD50F6">
        <w:t>钢</w:t>
      </w:r>
      <w:r w:rsidRPr="00FD50F6">
        <w:rPr>
          <w:rFonts w:hint="eastAsia"/>
        </w:rPr>
        <w:t>或</w:t>
      </w:r>
      <w:r w:rsidRPr="00FD50F6">
        <w:t>Q390</w:t>
      </w:r>
      <w:r w:rsidRPr="00FD50F6">
        <w:t>钢</w:t>
      </w:r>
      <w:r w:rsidRPr="00FD50F6">
        <w:rPr>
          <w:rFonts w:hint="eastAsia"/>
        </w:rPr>
        <w:t>，其质量等级不应低于</w:t>
      </w:r>
      <w:r w:rsidRPr="00FD50F6">
        <w:t>B</w:t>
      </w:r>
      <w:r w:rsidRPr="00FD50F6">
        <w:t>级</w:t>
      </w:r>
      <w:r w:rsidRPr="00FD50F6">
        <w:rPr>
          <w:rFonts w:hint="eastAsia"/>
        </w:rPr>
        <w:t>。</w:t>
      </w:r>
    </w:p>
    <w:p w14:paraId="4AADABED" w14:textId="5567B524" w:rsidR="00D3119D" w:rsidRPr="00FD50F6" w:rsidRDefault="00D3119D" w:rsidP="00A926BD">
      <w:pPr>
        <w:pStyle w:val="4"/>
      </w:pPr>
      <w:r w:rsidRPr="00FD50F6">
        <w:t>永久结构钢筋和</w:t>
      </w:r>
      <w:r w:rsidRPr="00FD50F6">
        <w:rPr>
          <w:rFonts w:hint="eastAsia"/>
        </w:rPr>
        <w:t>钢材应符合现行国家标准《建筑抗震设计规范》</w:t>
      </w:r>
      <w:r w:rsidRPr="00FD50F6">
        <w:t>GB 50011</w:t>
      </w:r>
      <w:r w:rsidRPr="00FD50F6">
        <w:rPr>
          <w:rFonts w:hint="eastAsia"/>
        </w:rPr>
        <w:t>的规定。</w:t>
      </w:r>
    </w:p>
    <w:p w14:paraId="03A9730D" w14:textId="77777777" w:rsidR="00D3119D" w:rsidRPr="00FD50F6" w:rsidRDefault="00D3119D" w:rsidP="00D3119D">
      <w:pPr>
        <w:pStyle w:val="30"/>
        <w:rPr>
          <w:lang w:val="zh-CN"/>
        </w:rPr>
      </w:pPr>
      <w:r w:rsidRPr="00FD50F6">
        <w:rPr>
          <w:lang w:val="zh-CN"/>
        </w:rPr>
        <w:t>预制装配式结构构件间的连接紧固件</w:t>
      </w:r>
      <w:r w:rsidRPr="00FD50F6">
        <w:rPr>
          <w:rFonts w:hint="eastAsia"/>
          <w:lang w:val="zh-CN"/>
        </w:rPr>
        <w:t>材料</w:t>
      </w:r>
      <w:r w:rsidRPr="00FD50F6">
        <w:rPr>
          <w:lang w:val="zh-CN"/>
        </w:rPr>
        <w:t>及其机械性能等级应满足构造和结构受力要求，</w:t>
      </w:r>
      <w:r w:rsidRPr="00FD50F6">
        <w:rPr>
          <w:rFonts w:hint="eastAsia"/>
          <w:lang w:val="zh-CN"/>
        </w:rPr>
        <w:t>金属</w:t>
      </w:r>
      <w:r w:rsidRPr="00FD50F6">
        <w:rPr>
          <w:lang w:val="zh-CN"/>
        </w:rPr>
        <w:t>紧固件表面应进行防腐蚀处理</w:t>
      </w:r>
      <w:r w:rsidRPr="00FD50F6">
        <w:rPr>
          <w:rFonts w:hint="eastAsia"/>
          <w:lang w:val="zh-CN"/>
        </w:rPr>
        <w:t>。</w:t>
      </w:r>
    </w:p>
    <w:p w14:paraId="16AF65EF" w14:textId="4F29D685" w:rsidR="00D3119D" w:rsidRPr="00FD50F6" w:rsidRDefault="00D3119D" w:rsidP="00D3119D">
      <w:pPr>
        <w:pStyle w:val="30"/>
        <w:rPr>
          <w:lang w:val="zh-CN"/>
        </w:rPr>
      </w:pPr>
      <w:r w:rsidRPr="00FD50F6">
        <w:rPr>
          <w:rFonts w:hint="eastAsia"/>
          <w:lang w:val="zh-CN"/>
        </w:rPr>
        <w:t>地层加固注浆材料宜根据工程地质和水文地质条件、施工工艺要求选择，并宜采用对地下环境无污染的无机材料。</w:t>
      </w:r>
    </w:p>
    <w:p w14:paraId="61E63BBE" w14:textId="77777777" w:rsidR="00D3119D" w:rsidRPr="00FD50F6" w:rsidRDefault="00D3119D" w:rsidP="00A65181">
      <w:pPr>
        <w:pStyle w:val="2"/>
      </w:pPr>
      <w:bookmarkStart w:id="463" w:name="_Toc112830728"/>
      <w:bookmarkStart w:id="464" w:name="_Toc344218761"/>
      <w:bookmarkEnd w:id="461"/>
      <w:r w:rsidRPr="00FD50F6">
        <w:t>安全风险工程设计</w:t>
      </w:r>
      <w:bookmarkEnd w:id="463"/>
    </w:p>
    <w:p w14:paraId="588ED185" w14:textId="13177A3F" w:rsidR="00D3119D" w:rsidRPr="00FD50F6" w:rsidRDefault="00D3119D" w:rsidP="00D3119D">
      <w:pPr>
        <w:pStyle w:val="30"/>
        <w:rPr>
          <w:lang w:val="zh-CN"/>
        </w:rPr>
      </w:pPr>
      <w:r w:rsidRPr="00FD50F6">
        <w:rPr>
          <w:rFonts w:hint="eastAsia"/>
          <w:lang w:val="zh-CN"/>
        </w:rPr>
        <w:t>地铁地下工程安全风险工程设计应符合下列规定：</w:t>
      </w:r>
    </w:p>
    <w:p w14:paraId="7A08D1ED" w14:textId="289D29AF" w:rsidR="00D3119D" w:rsidRPr="00FD50F6" w:rsidRDefault="00D3119D" w:rsidP="00A926BD">
      <w:pPr>
        <w:pStyle w:val="4"/>
        <w:rPr>
          <w:lang w:val="zh-CN"/>
        </w:rPr>
      </w:pPr>
      <w:r w:rsidRPr="00FD50F6">
        <w:rPr>
          <w:rFonts w:hint="eastAsia"/>
          <w:lang w:val="zh-CN"/>
        </w:rPr>
        <w:t>各设计阶段均应开展分等级、分对象的安全风险工程设计工作。</w:t>
      </w:r>
    </w:p>
    <w:p w14:paraId="3F6A5F8B" w14:textId="47044998" w:rsidR="00D3119D" w:rsidRPr="00FD50F6" w:rsidRDefault="00D3119D" w:rsidP="00A926BD">
      <w:pPr>
        <w:pStyle w:val="4"/>
        <w:rPr>
          <w:lang w:val="zh-CN"/>
        </w:rPr>
      </w:pPr>
      <w:r w:rsidRPr="00FD50F6">
        <w:rPr>
          <w:rFonts w:hint="eastAsia"/>
          <w:lang w:val="zh-CN"/>
        </w:rPr>
        <w:t>安全风险工程设计应对新建地铁工程自身及受新建地铁工程影响的环境进行风险识别、风险分析、风险控制，并应通过分析提出控制指标和具体技术措施。</w:t>
      </w:r>
    </w:p>
    <w:p w14:paraId="6EE02771" w14:textId="6C7D0144" w:rsidR="00D3119D" w:rsidRPr="00FD50F6" w:rsidRDefault="00D3119D" w:rsidP="00A926BD">
      <w:pPr>
        <w:pStyle w:val="4"/>
        <w:rPr>
          <w:lang w:val="zh-CN"/>
        </w:rPr>
      </w:pPr>
      <w:r w:rsidRPr="00FD50F6">
        <w:rPr>
          <w:rFonts w:hint="eastAsia"/>
          <w:lang w:val="zh-CN"/>
        </w:rPr>
        <w:t>设计阶段除应计及地铁工程建设期间的安全风险因素外，还应计及工程建成投入使用后可能面临的各种风险。</w:t>
      </w:r>
    </w:p>
    <w:p w14:paraId="25A7C742" w14:textId="7C9A23B8" w:rsidR="00D3119D" w:rsidRPr="00E65C54" w:rsidRDefault="00D3119D" w:rsidP="00E65C54">
      <w:pPr>
        <w:pStyle w:val="30"/>
        <w:rPr>
          <w:lang w:val="zh-CN"/>
        </w:rPr>
      </w:pPr>
      <w:r w:rsidRPr="00FD50F6">
        <w:rPr>
          <w:rFonts w:hint="eastAsia"/>
          <w:lang w:val="zh-CN"/>
        </w:rPr>
        <w:t>地铁地下工程的安全风险应包括工程自身风险和环境影响风险两大类</w:t>
      </w:r>
      <w:r w:rsidRPr="00E65C54">
        <w:rPr>
          <w:rFonts w:hint="eastAsia"/>
          <w:lang w:val="zh-CN"/>
        </w:rPr>
        <w:t>。</w:t>
      </w:r>
    </w:p>
    <w:p w14:paraId="3093F6FC" w14:textId="038C8592" w:rsidR="00D3119D" w:rsidRPr="00FD50F6" w:rsidRDefault="00D3119D" w:rsidP="00D3119D">
      <w:pPr>
        <w:pStyle w:val="30"/>
        <w:rPr>
          <w:lang w:val="zh-CN"/>
        </w:rPr>
      </w:pPr>
      <w:r w:rsidRPr="00FD50F6">
        <w:rPr>
          <w:rFonts w:hint="eastAsia"/>
        </w:rPr>
        <w:t>各类风险分级应按现行国家标准《城市轨道交通地下工程建设风险管理规范》</w:t>
      </w:r>
      <w:r w:rsidRPr="00FD50F6">
        <w:t>GB 50652</w:t>
      </w:r>
      <w:r w:rsidRPr="00FD50F6">
        <w:t>的规定</w:t>
      </w:r>
      <w:r w:rsidRPr="00FD50F6">
        <w:rPr>
          <w:rFonts w:hint="eastAsia"/>
        </w:rPr>
        <w:t>执行，且</w:t>
      </w:r>
      <w:r w:rsidRPr="00FD50F6">
        <w:rPr>
          <w:rFonts w:hint="eastAsia"/>
          <w:lang w:val="zh-CN"/>
        </w:rPr>
        <w:t>应符合下列规定：</w:t>
      </w:r>
    </w:p>
    <w:p w14:paraId="3776EA61" w14:textId="77777777" w:rsidR="00D3119D" w:rsidRPr="00FD50F6" w:rsidRDefault="00D3119D" w:rsidP="00A926BD">
      <w:pPr>
        <w:pStyle w:val="4"/>
        <w:rPr>
          <w:lang w:val="zh-CN"/>
        </w:rPr>
      </w:pPr>
      <w:r w:rsidRPr="00FD50F6">
        <w:rPr>
          <w:rFonts w:hint="eastAsia"/>
          <w:lang w:val="zh-CN"/>
        </w:rPr>
        <w:t>自身风险工程应根据工程地质和水文地质条件，基坑开挖深度，矿山法结构的层数、跨度、断面形式、覆土厚度、开挖方法等进行分级。</w:t>
      </w:r>
    </w:p>
    <w:p w14:paraId="680A53FE" w14:textId="77777777" w:rsidR="00D3119D" w:rsidRPr="00FD50F6" w:rsidRDefault="00D3119D" w:rsidP="00A926BD">
      <w:pPr>
        <w:pStyle w:val="4"/>
        <w:rPr>
          <w:lang w:val="zh-CN"/>
        </w:rPr>
      </w:pPr>
      <w:r w:rsidRPr="00FD50F6">
        <w:rPr>
          <w:rFonts w:hint="eastAsia"/>
          <w:lang w:val="zh-CN"/>
        </w:rPr>
        <w:t>环境影响风险工程应根据环境设施的重要性、环境设施状况、环境设施与地铁工程的接近程度等因素，并依据地铁建设对环境设施的影响程度进行分级。</w:t>
      </w:r>
    </w:p>
    <w:p w14:paraId="6F451F6C" w14:textId="7F779954" w:rsidR="00D3119D" w:rsidRPr="00FD50F6" w:rsidRDefault="00D3119D" w:rsidP="00A926BD">
      <w:pPr>
        <w:pStyle w:val="4"/>
        <w:rPr>
          <w:lang w:val="zh-CN"/>
        </w:rPr>
      </w:pPr>
      <w:r w:rsidRPr="00FD50F6">
        <w:rPr>
          <w:rFonts w:hint="eastAsia"/>
          <w:lang w:val="zh-CN"/>
        </w:rPr>
        <w:t>设计阶段宜对工程的自身风险和环境影响风险进行独立分级、分别评价。</w:t>
      </w:r>
    </w:p>
    <w:p w14:paraId="49D35E81" w14:textId="4469680F" w:rsidR="00D3119D" w:rsidRPr="00FD50F6" w:rsidRDefault="00D3119D" w:rsidP="00D3119D">
      <w:pPr>
        <w:pStyle w:val="30"/>
        <w:rPr>
          <w:lang w:val="zh-CN"/>
        </w:rPr>
      </w:pPr>
      <w:r w:rsidRPr="00FD50F6">
        <w:rPr>
          <w:rFonts w:hint="eastAsia"/>
          <w:lang w:val="zh-CN"/>
        </w:rPr>
        <w:t>风险控制应符合下列规定：</w:t>
      </w:r>
    </w:p>
    <w:p w14:paraId="4CDD66D6" w14:textId="09101A11" w:rsidR="00D3119D" w:rsidRPr="00FD50F6" w:rsidRDefault="00D3119D" w:rsidP="00A926BD">
      <w:pPr>
        <w:pStyle w:val="4"/>
        <w:rPr>
          <w:lang w:val="zh-CN"/>
        </w:rPr>
      </w:pPr>
      <w:r w:rsidRPr="00FD50F6">
        <w:rPr>
          <w:rFonts w:hint="eastAsia"/>
          <w:lang w:val="zh-CN"/>
        </w:rPr>
        <w:lastRenderedPageBreak/>
        <w:t>对Ⅰ级、Ⅱ级环境影响风险工程应对车站站位、线路走向的布置方案进行分析比较，重要环境风险源应处在新建地铁工程显著影响区外；对工程自身，在工法选择、结构型式、基坑深度等方面应规避风险大、控制难的设计方案。</w:t>
      </w:r>
    </w:p>
    <w:p w14:paraId="64BEEFC4" w14:textId="19F16491" w:rsidR="00D3119D" w:rsidRPr="00FD50F6" w:rsidRDefault="00D3119D" w:rsidP="00A926BD">
      <w:pPr>
        <w:pStyle w:val="4"/>
        <w:rPr>
          <w:lang w:val="zh-CN"/>
        </w:rPr>
      </w:pPr>
      <w:r w:rsidRPr="00FD50F6">
        <w:rPr>
          <w:rFonts w:hint="eastAsia"/>
          <w:lang w:val="zh-CN"/>
        </w:rPr>
        <w:t>对于处在新建地铁工程强烈影响区内的环境风险源，应采取改移、拆除、补强等方式将风险降至最低；对工程自身，应针对工程的具体特点及所处的地质条件选择施工工法。</w:t>
      </w:r>
    </w:p>
    <w:p w14:paraId="0C010BBF" w14:textId="6EC356B7" w:rsidR="00D3119D" w:rsidRPr="00FD50F6" w:rsidRDefault="00D3119D" w:rsidP="00A926BD">
      <w:pPr>
        <w:pStyle w:val="4"/>
        <w:rPr>
          <w:lang w:val="zh-CN"/>
        </w:rPr>
      </w:pPr>
      <w:r w:rsidRPr="00FD50F6">
        <w:rPr>
          <w:rFonts w:hint="eastAsia"/>
          <w:lang w:val="zh-CN"/>
        </w:rPr>
        <w:t>对于处在新建地铁工程影响区内无法规避的环境风险源或者无法降低风险等级的Ⅰ级、Ⅱ级环境影响风险工程，应对新建地铁工程的施工方法及施工参数进行分析比较后选择对周边环境影响较小的设计方案，并应制定安全、经济、合理的周边环境保护措施和自身风险控制措施。</w:t>
      </w:r>
    </w:p>
    <w:p w14:paraId="1F2C5430" w14:textId="77777777" w:rsidR="00D3119D" w:rsidRPr="00FD50F6" w:rsidRDefault="00D3119D" w:rsidP="00D3119D">
      <w:pPr>
        <w:pStyle w:val="30"/>
        <w:rPr>
          <w:lang w:val="zh-CN"/>
        </w:rPr>
      </w:pPr>
      <w:r w:rsidRPr="00FD50F6">
        <w:rPr>
          <w:rFonts w:hint="eastAsia"/>
          <w:lang w:val="zh-CN"/>
        </w:rPr>
        <w:t>各不同设计阶段风险源设计工作应符合下列规定：</w:t>
      </w:r>
    </w:p>
    <w:p w14:paraId="02A678F4" w14:textId="4579440B" w:rsidR="00D3119D" w:rsidRPr="00FD50F6" w:rsidRDefault="00D3119D" w:rsidP="00A926BD">
      <w:pPr>
        <w:pStyle w:val="4"/>
        <w:rPr>
          <w:lang w:val="zh-CN"/>
        </w:rPr>
      </w:pPr>
      <w:r w:rsidRPr="00FD50F6">
        <w:rPr>
          <w:rFonts w:hint="eastAsia"/>
          <w:lang w:val="zh-CN"/>
        </w:rPr>
        <w:t>规划阶段应从工程沿线周边情况和城市</w:t>
      </w:r>
      <w:r w:rsidR="001035D1" w:rsidRPr="00FD50F6">
        <w:rPr>
          <w:rFonts w:hint="eastAsia"/>
          <w:lang w:val="zh-CN"/>
        </w:rPr>
        <w:t>总体</w:t>
      </w:r>
      <w:r w:rsidRPr="00FD50F6">
        <w:rPr>
          <w:rFonts w:hint="eastAsia"/>
          <w:lang w:val="zh-CN"/>
        </w:rPr>
        <w:t>规划的角度，确定建设项目的建设位置及与周边环境的相互关系，应规避已知的和预期将要出现的工程风险；应根据地铁沿线的控制因素明确规划控制和保护要求，不得因规划控制不力导致地铁工程实施风险的增加。</w:t>
      </w:r>
    </w:p>
    <w:p w14:paraId="180D3A91" w14:textId="3B92A152" w:rsidR="00D3119D" w:rsidRPr="00FD50F6" w:rsidRDefault="00D3119D" w:rsidP="00A926BD">
      <w:pPr>
        <w:pStyle w:val="4"/>
        <w:rPr>
          <w:lang w:val="zh-CN"/>
        </w:rPr>
      </w:pPr>
      <w:r w:rsidRPr="00FD50F6">
        <w:rPr>
          <w:rFonts w:hint="eastAsia"/>
          <w:lang w:val="zh-CN"/>
        </w:rPr>
        <w:t>可行性研究阶段应从工程实施角度出发，结合线路选线，研究确定与地质和环境条件相适应的地铁地下结构主要施工工法和结构型式，确定合理埋深，合理安排地铁地下结构与邻近环境设施的关系，并估计相互影响程度，识别和评价工程实施的风险；应对地铁全线地下结构工程自身风险和环境影响风险进行定性分析，并应从方案的角度提出下一步工作建议和工程设计优化方向。对可行性研究阶段建议的风险控制方案和措施，应计及其对工程造价的影响，并应计入工程投资估算。</w:t>
      </w:r>
    </w:p>
    <w:p w14:paraId="00DC84AE" w14:textId="32E2A026" w:rsidR="00D3119D" w:rsidRPr="00FD50F6" w:rsidRDefault="00D3119D" w:rsidP="00A926BD">
      <w:pPr>
        <w:pStyle w:val="4"/>
        <w:rPr>
          <w:lang w:val="zh-CN"/>
        </w:rPr>
      </w:pPr>
      <w:r w:rsidRPr="00FD50F6">
        <w:rPr>
          <w:rFonts w:hint="eastAsia"/>
          <w:lang w:val="zh-CN"/>
        </w:rPr>
        <w:t>初步设计阶段应分析和识别地下结构工程的自身风险和环境风险，进行安全风险分级，提出安全风险清单，并应给出初步的工程实施方案和风险控制措施。Ⅰ级、Ⅱ级环境影响风险应进行安全性专题设计，内容应包括初步的安全风险分析评价、工程环境监测控制标准、工程技术和环境安全保护措施、监控量测设计方案等，并应通过各种理论分析手段进一步验证其影响程度和范围，给出断面设计和措施设计图。施工图设计阶段应在查明环境风险源结构特征和使用现状的基础上进行，并应落实工程风险处置措施。Ⅰ级、Ⅱ级环境影响风险应进行安全性专项设计和评审，安全性专项设计应满足施工设计文件的要求。</w:t>
      </w:r>
      <w:r w:rsidRPr="00FD50F6">
        <w:rPr>
          <w:rFonts w:hint="eastAsia"/>
          <w:lang w:val="zh-CN"/>
        </w:rPr>
        <w:lastRenderedPageBreak/>
        <w:t>安全性专项设计应进行施工附加影响分析，分析和预测工程实施可能对周围环境带来的相关影响，并</w:t>
      </w:r>
      <w:r w:rsidRPr="00FD50F6">
        <w:rPr>
          <w:rStyle w:val="afff2"/>
          <w:rFonts w:asciiTheme="minorHAnsi" w:hAnsiTheme="minorHAnsi" w:cstheme="minorBidi" w:hint="eastAsia"/>
          <w:bCs w:val="0"/>
          <w:sz w:val="24"/>
          <w:szCs w:val="24"/>
        </w:rPr>
        <w:t>应</w:t>
      </w:r>
      <w:r w:rsidRPr="00FD50F6">
        <w:rPr>
          <w:rFonts w:hint="eastAsia"/>
          <w:lang w:val="zh-CN"/>
        </w:rPr>
        <w:t>提出初步的环境控制指标。</w:t>
      </w:r>
    </w:p>
    <w:p w14:paraId="26DABBF6" w14:textId="77777777" w:rsidR="00D3119D" w:rsidRPr="00FD50F6" w:rsidRDefault="00D3119D" w:rsidP="00A65181">
      <w:pPr>
        <w:pStyle w:val="2"/>
      </w:pPr>
      <w:bookmarkStart w:id="465" w:name="_Toc112830729"/>
      <w:r w:rsidRPr="00FD50F6">
        <w:rPr>
          <w:rFonts w:hint="eastAsia"/>
        </w:rPr>
        <w:t>监控量测</w:t>
      </w:r>
      <w:bookmarkEnd w:id="464"/>
      <w:bookmarkEnd w:id="465"/>
    </w:p>
    <w:p w14:paraId="3069A16A" w14:textId="5F4BBD80" w:rsidR="00D3119D" w:rsidRPr="00FD50F6" w:rsidRDefault="00D3119D" w:rsidP="00D3119D">
      <w:pPr>
        <w:pStyle w:val="30"/>
      </w:pPr>
      <w:r w:rsidRPr="00FD50F6">
        <w:t>地铁</w:t>
      </w:r>
      <w:r w:rsidRPr="00FD50F6">
        <w:rPr>
          <w:rFonts w:hint="eastAsia"/>
        </w:rPr>
        <w:t>工程在土建施工阶段应开展工程监控量测工作。初步设计阶段监控量测设计应提出初步的监控量测项目和控制值指标；施工设计阶段应包含下列监控量测设计内容：</w:t>
      </w:r>
    </w:p>
    <w:p w14:paraId="5F6224B4" w14:textId="4F4D9588" w:rsidR="00D3119D" w:rsidRPr="00FD50F6" w:rsidRDefault="00D3119D" w:rsidP="00A926BD">
      <w:pPr>
        <w:pStyle w:val="4"/>
      </w:pPr>
      <w:r w:rsidRPr="00FD50F6">
        <w:rPr>
          <w:rFonts w:hint="eastAsia"/>
        </w:rPr>
        <w:t>监控量测的范围、对象及项目。</w:t>
      </w:r>
    </w:p>
    <w:p w14:paraId="5326F0A2" w14:textId="448C00A5" w:rsidR="00D3119D" w:rsidRPr="00FD50F6" w:rsidRDefault="00D3119D" w:rsidP="00A926BD">
      <w:pPr>
        <w:pStyle w:val="4"/>
      </w:pPr>
      <w:r w:rsidRPr="00FD50F6">
        <w:rPr>
          <w:rFonts w:hint="eastAsia"/>
        </w:rPr>
        <w:t>监控量测项目的测点布置、精度、周期和频率及仪器。</w:t>
      </w:r>
    </w:p>
    <w:p w14:paraId="17EA53EA" w14:textId="4A01A384" w:rsidR="00D3119D" w:rsidRPr="00FD50F6" w:rsidRDefault="00D3119D" w:rsidP="00A926BD">
      <w:pPr>
        <w:pStyle w:val="4"/>
      </w:pPr>
      <w:r w:rsidRPr="00FD50F6">
        <w:rPr>
          <w:rFonts w:hint="eastAsia"/>
        </w:rPr>
        <w:t>监控量测控制值指标及预警值、报警值。</w:t>
      </w:r>
    </w:p>
    <w:p w14:paraId="13A2026A" w14:textId="3BEAD62C" w:rsidR="00D3119D" w:rsidRPr="00FD50F6" w:rsidRDefault="00D3119D" w:rsidP="00A926BD">
      <w:pPr>
        <w:pStyle w:val="4"/>
      </w:pPr>
      <w:r w:rsidRPr="00FD50F6">
        <w:rPr>
          <w:rFonts w:hint="eastAsia"/>
        </w:rPr>
        <w:t>监控量测项目测点布置平面图和剖面图。</w:t>
      </w:r>
    </w:p>
    <w:p w14:paraId="49435E25" w14:textId="77777777" w:rsidR="00D3119D" w:rsidRPr="00FD50F6" w:rsidRDefault="00D3119D" w:rsidP="00A926BD">
      <w:pPr>
        <w:pStyle w:val="4"/>
      </w:pPr>
      <w:r w:rsidRPr="00FD50F6">
        <w:rPr>
          <w:rFonts w:hint="eastAsia"/>
        </w:rPr>
        <w:t>监控量测注意事项及其他要求。</w:t>
      </w:r>
    </w:p>
    <w:p w14:paraId="387F8FC7" w14:textId="272B8784" w:rsidR="00D3119D" w:rsidRPr="00FD50F6" w:rsidRDefault="00D3119D" w:rsidP="00D3119D">
      <w:pPr>
        <w:pStyle w:val="30"/>
      </w:pPr>
      <w:r w:rsidRPr="00FD50F6">
        <w:rPr>
          <w:rFonts w:hint="eastAsia"/>
        </w:rPr>
        <w:t>监控量测应根据工程地质和水文地质条件、场地周边环境、重要建（构）筑物调查报告、风险源专项评估以及工程的施工方法和结构型式等情况，并综合监控量测工作的可实施性、经济性及新技术的应用进行设计。</w:t>
      </w:r>
    </w:p>
    <w:p w14:paraId="10BB9312" w14:textId="6275F6BF" w:rsidR="00D3119D" w:rsidRPr="00FD50F6" w:rsidRDefault="00D3119D" w:rsidP="00D3119D">
      <w:pPr>
        <w:pStyle w:val="30"/>
      </w:pPr>
      <w:r w:rsidRPr="00FD50F6">
        <w:rPr>
          <w:rFonts w:hint="eastAsia"/>
        </w:rPr>
        <w:t>监控量测范围应根据工程施工影响区域、影响强度及工程安全风险等级等因素确定。当在施工影响范围存在环境风险源时，应根据监控量测对象的实际情况确定监控量测范围。</w:t>
      </w:r>
    </w:p>
    <w:p w14:paraId="0705E1D9" w14:textId="7126EC19" w:rsidR="00D3119D" w:rsidRPr="00FD50F6" w:rsidRDefault="00D3119D" w:rsidP="00D3119D">
      <w:pPr>
        <w:pStyle w:val="30"/>
      </w:pPr>
      <w:r w:rsidRPr="00FD50F6">
        <w:rPr>
          <w:rFonts w:hint="eastAsia"/>
        </w:rPr>
        <w:t>监控量测对象应包括结构受力体系及周边环境两大部分，其中周边环境监控量测对象应为</w:t>
      </w:r>
      <w:r w:rsidRPr="00FD50F6">
        <w:rPr>
          <w:rFonts w:hint="eastAsia"/>
          <w:lang w:val="zh-CN"/>
        </w:rPr>
        <w:t>城市道路、桥梁、建（构）筑物、市政管线、</w:t>
      </w:r>
      <w:r w:rsidR="00524DFB">
        <w:rPr>
          <w:rFonts w:hint="eastAsia"/>
          <w:lang w:val="zh-CN"/>
        </w:rPr>
        <w:t>铁路、城市</w:t>
      </w:r>
      <w:r w:rsidRPr="00FD50F6">
        <w:rPr>
          <w:rFonts w:hint="eastAsia"/>
          <w:lang w:val="zh-CN"/>
        </w:rPr>
        <w:t>轨道交通等可能的环境安全风险源。</w:t>
      </w:r>
    </w:p>
    <w:p w14:paraId="07B6002D" w14:textId="57BB6302" w:rsidR="00D3119D" w:rsidRPr="00FD50F6" w:rsidRDefault="00D3119D" w:rsidP="00D3119D">
      <w:pPr>
        <w:pStyle w:val="30"/>
      </w:pPr>
      <w:r w:rsidRPr="00FD50F6">
        <w:rPr>
          <w:rFonts w:hint="eastAsia"/>
        </w:rPr>
        <w:t>监控量测项目应分为应测项目和选测项目，地下结构各种施工方法的监控量测项目及要求、测点布置、方法及要求、频率等应符合现行国家标准《城市轨</w:t>
      </w:r>
      <w:r w:rsidRPr="00FD50F6">
        <w:t>道交通工程</w:t>
      </w:r>
      <w:r w:rsidRPr="00FD50F6">
        <w:rPr>
          <w:rFonts w:hint="eastAsia"/>
        </w:rPr>
        <w:t>监测</w:t>
      </w:r>
      <w:r w:rsidRPr="00FD50F6">
        <w:t>技</w:t>
      </w:r>
      <w:r w:rsidRPr="00FD50F6">
        <w:rPr>
          <w:rFonts w:hint="eastAsia"/>
        </w:rPr>
        <w:t>术规</w:t>
      </w:r>
      <w:r w:rsidRPr="00FD50F6">
        <w:t>范</w:t>
      </w:r>
      <w:r w:rsidRPr="00FD50F6">
        <w:rPr>
          <w:rFonts w:hint="eastAsia"/>
        </w:rPr>
        <w:t>》</w:t>
      </w:r>
      <w:r w:rsidRPr="00FD50F6">
        <w:t>GB 50911</w:t>
      </w:r>
      <w:r w:rsidRPr="00FD50F6">
        <w:rPr>
          <w:rFonts w:hint="eastAsia"/>
        </w:rPr>
        <w:t>的规定。</w:t>
      </w:r>
    </w:p>
    <w:p w14:paraId="6C31769E" w14:textId="77777777" w:rsidR="00D3119D" w:rsidRPr="00FD50F6" w:rsidRDefault="00D3119D" w:rsidP="00D3119D">
      <w:pPr>
        <w:pStyle w:val="30"/>
      </w:pPr>
      <w:r w:rsidRPr="00FD50F6">
        <w:rPr>
          <w:rFonts w:hint="eastAsia"/>
        </w:rPr>
        <w:t>监控量测控制值的确定应符合下列规定：</w:t>
      </w:r>
    </w:p>
    <w:p w14:paraId="40A0750C" w14:textId="4AD229DA" w:rsidR="00D3119D" w:rsidRPr="00FD50F6" w:rsidRDefault="00D3119D" w:rsidP="00A926BD">
      <w:pPr>
        <w:pStyle w:val="4"/>
      </w:pPr>
      <w:r w:rsidRPr="00FD50F6">
        <w:rPr>
          <w:rFonts w:hint="eastAsia"/>
        </w:rPr>
        <w:t>地下结构设计应确定监控量测项目的控制值，控制值应满足地下结构自身安全及周边环境保护的要求。</w:t>
      </w:r>
      <w:r w:rsidRPr="00FD50F6">
        <w:t xml:space="preserve"> </w:t>
      </w:r>
    </w:p>
    <w:p w14:paraId="66B72BB1" w14:textId="3AC778C3" w:rsidR="00D3119D" w:rsidRPr="00FD50F6" w:rsidRDefault="00D3119D" w:rsidP="00A926BD">
      <w:pPr>
        <w:pStyle w:val="4"/>
      </w:pPr>
      <w:r w:rsidRPr="00FD50F6">
        <w:rPr>
          <w:rFonts w:hint="eastAsia"/>
        </w:rPr>
        <w:t>变形监控量测控制值应分为累计变化量和变化速率，结构内力控制值应为内力设计值；宜根据施工工序制定阶段控制值，总控制值应为各个阶段控制值</w:t>
      </w:r>
      <w:r w:rsidRPr="00FD50F6">
        <w:rPr>
          <w:rFonts w:hint="eastAsia"/>
        </w:rPr>
        <w:lastRenderedPageBreak/>
        <w:t>之和。</w:t>
      </w:r>
    </w:p>
    <w:p w14:paraId="1C141971" w14:textId="27267A8C" w:rsidR="00D3119D" w:rsidRPr="00FD50F6" w:rsidRDefault="00D3119D" w:rsidP="00A926BD">
      <w:pPr>
        <w:pStyle w:val="4"/>
      </w:pPr>
      <w:r w:rsidRPr="00FD50F6">
        <w:rPr>
          <w:rFonts w:hint="eastAsia"/>
        </w:rPr>
        <w:t>结构受力体系监控量测项目的控制值应依据现行国家标准《城市轨</w:t>
      </w:r>
      <w:r w:rsidRPr="00FD50F6">
        <w:t>道交通工程</w:t>
      </w:r>
      <w:r w:rsidRPr="00FD50F6">
        <w:rPr>
          <w:rFonts w:hint="eastAsia"/>
        </w:rPr>
        <w:t>监测</w:t>
      </w:r>
      <w:r w:rsidRPr="00FD50F6">
        <w:t>技</w:t>
      </w:r>
      <w:r w:rsidRPr="00FD50F6">
        <w:rPr>
          <w:rFonts w:hint="eastAsia"/>
        </w:rPr>
        <w:t>术规</w:t>
      </w:r>
      <w:r w:rsidRPr="00FD50F6">
        <w:t>范</w:t>
      </w:r>
      <w:r w:rsidRPr="00FD50F6">
        <w:rPr>
          <w:rFonts w:hint="eastAsia"/>
        </w:rPr>
        <w:t>》</w:t>
      </w:r>
      <w:r w:rsidRPr="00FD50F6">
        <w:t>GB 50911</w:t>
      </w:r>
      <w:r w:rsidRPr="00FD50F6">
        <w:rPr>
          <w:rFonts w:hint="eastAsia"/>
        </w:rPr>
        <w:t>和工程安全等级，</w:t>
      </w:r>
      <w:r w:rsidRPr="00FD50F6">
        <w:t>并</w:t>
      </w:r>
      <w:r w:rsidRPr="00FD50F6">
        <w:rPr>
          <w:rFonts w:hint="eastAsia"/>
        </w:rPr>
        <w:t>在满足结构和周边环境安全要求的条件下，根据施工工法、周围岩土体特征、结构特点及设计计算结果，结合当地的工程经验综合确定。</w:t>
      </w:r>
    </w:p>
    <w:p w14:paraId="4A20CC5B" w14:textId="5A5B62F4" w:rsidR="00D3119D" w:rsidRPr="00FD50F6" w:rsidRDefault="00D3119D" w:rsidP="00A926BD">
      <w:pPr>
        <w:pStyle w:val="4"/>
      </w:pPr>
      <w:r w:rsidRPr="00FD50F6">
        <w:rPr>
          <w:rFonts w:hint="eastAsia"/>
        </w:rPr>
        <w:t>周边环境监控量测项目的控制值应在现状普查的基础上，根据环境监控量测对象的具体情况和特点，依据现行国家标准《城市轨</w:t>
      </w:r>
      <w:r w:rsidRPr="00FD50F6">
        <w:t>道交通工程</w:t>
      </w:r>
      <w:r w:rsidRPr="00FD50F6">
        <w:rPr>
          <w:rFonts w:hint="eastAsia"/>
        </w:rPr>
        <w:t>监测</w:t>
      </w:r>
      <w:r w:rsidRPr="00FD50F6">
        <w:t>技</w:t>
      </w:r>
      <w:r w:rsidRPr="00FD50F6">
        <w:rPr>
          <w:rFonts w:hint="eastAsia"/>
        </w:rPr>
        <w:t>术规</w:t>
      </w:r>
      <w:r w:rsidRPr="00FD50F6">
        <w:t>范</w:t>
      </w:r>
      <w:r w:rsidRPr="00FD50F6">
        <w:rPr>
          <w:rFonts w:hint="eastAsia"/>
        </w:rPr>
        <w:t>》</w:t>
      </w:r>
      <w:r w:rsidRPr="00FD50F6">
        <w:t>GB 50911</w:t>
      </w:r>
      <w:r w:rsidRPr="00FD50F6">
        <w:rPr>
          <w:rFonts w:hint="eastAsia"/>
        </w:rPr>
        <w:t>，通过计算分析综合确定，也可通过环境安全分析评估予以确定。</w:t>
      </w:r>
    </w:p>
    <w:p w14:paraId="674CA3C3" w14:textId="7EF0114A" w:rsidR="00D3119D" w:rsidRPr="00FD50F6" w:rsidRDefault="00D3119D" w:rsidP="00A926BD">
      <w:pPr>
        <w:pStyle w:val="4"/>
      </w:pPr>
      <w:r w:rsidRPr="00FD50F6">
        <w:rPr>
          <w:rFonts w:hint="eastAsia"/>
        </w:rPr>
        <w:t>地面沉降控制指标除根据结构自身的安全控制标准确定外，还应与环境安全控制标准相协调，应取两者的低值作为工程的地面沉降控制标准。</w:t>
      </w:r>
    </w:p>
    <w:p w14:paraId="02334E7A" w14:textId="7DBADC8B" w:rsidR="00D3119D" w:rsidRPr="00FD50F6" w:rsidRDefault="00D3119D" w:rsidP="00A926BD">
      <w:pPr>
        <w:pStyle w:val="4"/>
      </w:pPr>
      <w:r w:rsidRPr="00FD50F6">
        <w:rPr>
          <w:rFonts w:hint="eastAsia"/>
        </w:rPr>
        <w:t>城市轨</w:t>
      </w:r>
      <w:r w:rsidRPr="00FD50F6">
        <w:t>道交通工程</w:t>
      </w:r>
      <w:r w:rsidRPr="00FD50F6">
        <w:rPr>
          <w:rFonts w:hint="eastAsia"/>
        </w:rPr>
        <w:t>监控量测应</w:t>
      </w:r>
      <w:r w:rsidRPr="00FD50F6">
        <w:t>根据工程特点、</w:t>
      </w:r>
      <w:r w:rsidRPr="00FD50F6">
        <w:rPr>
          <w:rFonts w:hint="eastAsia"/>
        </w:rPr>
        <w:t>项</w:t>
      </w:r>
      <w:r w:rsidRPr="00FD50F6">
        <w:t>目控制</w:t>
      </w:r>
      <w:r w:rsidRPr="00FD50F6">
        <w:rPr>
          <w:rFonts w:hint="eastAsia"/>
        </w:rPr>
        <w:t>值</w:t>
      </w:r>
      <w:r w:rsidRPr="00FD50F6">
        <w:t>、当地施工</w:t>
      </w:r>
      <w:r w:rsidRPr="00FD50F6">
        <w:rPr>
          <w:rFonts w:hint="eastAsia"/>
        </w:rPr>
        <w:t>经验</w:t>
      </w:r>
      <w:r w:rsidRPr="00FD50F6">
        <w:t>等制定</w:t>
      </w:r>
      <w:r w:rsidRPr="00FD50F6">
        <w:rPr>
          <w:rFonts w:hint="eastAsia"/>
        </w:rPr>
        <w:t>监控量测预</w:t>
      </w:r>
      <w:r w:rsidRPr="00FD50F6">
        <w:t>警等</w:t>
      </w:r>
      <w:r w:rsidRPr="00FD50F6">
        <w:rPr>
          <w:rFonts w:hint="eastAsia"/>
        </w:rPr>
        <w:t>级</w:t>
      </w:r>
      <w:r w:rsidRPr="00FD50F6">
        <w:t>和</w:t>
      </w:r>
      <w:r w:rsidRPr="00FD50F6">
        <w:rPr>
          <w:rFonts w:hint="eastAsia"/>
        </w:rPr>
        <w:t>预</w:t>
      </w:r>
      <w:r w:rsidRPr="00FD50F6">
        <w:t>警</w:t>
      </w:r>
      <w:r w:rsidRPr="00FD50F6">
        <w:rPr>
          <w:rFonts w:hint="eastAsia"/>
        </w:rPr>
        <w:t>标</w:t>
      </w:r>
      <w:r w:rsidRPr="00FD50F6">
        <w:t>准</w:t>
      </w:r>
      <w:r w:rsidRPr="00FD50F6">
        <w:rPr>
          <w:rFonts w:hint="eastAsia"/>
        </w:rPr>
        <w:t>。</w:t>
      </w:r>
    </w:p>
    <w:p w14:paraId="0556619C" w14:textId="2A4E79E9" w:rsidR="00D3119D" w:rsidRPr="00FD50F6" w:rsidRDefault="00D3119D" w:rsidP="00D3119D">
      <w:pPr>
        <w:pStyle w:val="30"/>
      </w:pPr>
      <w:r w:rsidRPr="00FD50F6">
        <w:rPr>
          <w:rFonts w:hint="eastAsia"/>
        </w:rPr>
        <w:t>当地下结构处于</w:t>
      </w:r>
      <w:r w:rsidRPr="00FD50F6">
        <w:rPr>
          <w:rFonts w:hint="eastAsia"/>
          <w:lang w:val="zh-CN"/>
        </w:rPr>
        <w:t>Ⅰ级、Ⅱ级</w:t>
      </w:r>
      <w:r w:rsidRPr="00FD50F6">
        <w:rPr>
          <w:rFonts w:hint="eastAsia"/>
        </w:rPr>
        <w:t>风险源地区时，尚应根据具体情况进行专项监控量测设计。</w:t>
      </w:r>
    </w:p>
    <w:p w14:paraId="5DEB557F" w14:textId="676D7F1D" w:rsidR="00D3119D" w:rsidRPr="00FD50F6" w:rsidRDefault="00D3119D" w:rsidP="00D3119D">
      <w:pPr>
        <w:pStyle w:val="30"/>
      </w:pPr>
      <w:r w:rsidRPr="00FD50F6">
        <w:rPr>
          <w:rFonts w:hint="eastAsia"/>
        </w:rPr>
        <w:t>设计应跟踪和掌握监控量测成果，进行数据反馈分析，判断是否发生突变和预测可能出现的异常情况，对现状施工进行评价，还应提出优化设计和施工措施的建议。</w:t>
      </w:r>
    </w:p>
    <w:p w14:paraId="2160CE10" w14:textId="19CDF1B0" w:rsidR="00D70A4C" w:rsidRPr="00FD50F6" w:rsidRDefault="00D70A4C">
      <w:pPr>
        <w:widowControl/>
        <w:spacing w:line="240" w:lineRule="auto"/>
        <w:jc w:val="left"/>
      </w:pPr>
      <w:r w:rsidRPr="00FD50F6">
        <w:br w:type="page"/>
      </w:r>
    </w:p>
    <w:p w14:paraId="5ED1DC5D" w14:textId="77777777" w:rsidR="00E62694" w:rsidRPr="00FD50F6" w:rsidRDefault="00E62694" w:rsidP="00E62694">
      <w:pPr>
        <w:widowControl/>
        <w:spacing w:line="240" w:lineRule="auto"/>
        <w:jc w:val="left"/>
      </w:pPr>
    </w:p>
    <w:p w14:paraId="33FFC369" w14:textId="77777777" w:rsidR="00E62694" w:rsidRPr="00FD50F6" w:rsidRDefault="00E62694" w:rsidP="00E62694">
      <w:pPr>
        <w:pStyle w:val="12"/>
      </w:pPr>
      <w:bookmarkStart w:id="466" w:name="_Toc306206724"/>
      <w:bookmarkStart w:id="467" w:name="_Toc320196009"/>
      <w:bookmarkStart w:id="468" w:name="_Toc320643399"/>
      <w:bookmarkStart w:id="469" w:name="_Toc344218762"/>
      <w:bookmarkStart w:id="470" w:name="_Toc112830730"/>
      <w:bookmarkStart w:id="471" w:name="_Toc306207338"/>
      <w:bookmarkStart w:id="472" w:name="_Toc236495293"/>
      <w:bookmarkStart w:id="473" w:name="_Toc236755145"/>
      <w:r w:rsidRPr="00FD50F6">
        <w:t>工程防水</w:t>
      </w:r>
      <w:bookmarkEnd w:id="466"/>
      <w:bookmarkEnd w:id="467"/>
      <w:bookmarkEnd w:id="468"/>
      <w:bookmarkEnd w:id="469"/>
      <w:bookmarkEnd w:id="470"/>
    </w:p>
    <w:p w14:paraId="75F874FF" w14:textId="77777777" w:rsidR="00E62694" w:rsidRPr="00FD50F6" w:rsidRDefault="00E62694" w:rsidP="00010C49">
      <w:pPr>
        <w:pStyle w:val="2"/>
        <w:numPr>
          <w:ilvl w:val="1"/>
          <w:numId w:val="44"/>
        </w:numPr>
      </w:pPr>
      <w:bookmarkStart w:id="474" w:name="_Toc320196010"/>
      <w:bookmarkStart w:id="475" w:name="_Toc320643400"/>
      <w:bookmarkStart w:id="476" w:name="_Toc344218763"/>
      <w:bookmarkStart w:id="477" w:name="_Toc112830731"/>
      <w:r w:rsidRPr="00FD50F6">
        <w:t>一般规定</w:t>
      </w:r>
      <w:bookmarkEnd w:id="474"/>
      <w:bookmarkEnd w:id="475"/>
      <w:bookmarkEnd w:id="476"/>
      <w:bookmarkEnd w:id="477"/>
    </w:p>
    <w:p w14:paraId="31CA6D1C" w14:textId="77777777" w:rsidR="00E62694" w:rsidRPr="00FD50F6" w:rsidRDefault="00E62694" w:rsidP="00E62694">
      <w:pPr>
        <w:pStyle w:val="30"/>
      </w:pPr>
      <w:r w:rsidRPr="00FD50F6">
        <w:t>地下工程防水应遵循</w:t>
      </w:r>
      <w:r w:rsidRPr="001A4CF3">
        <w:rPr>
          <w:rFonts w:ascii="宋体" w:hAnsi="宋体"/>
        </w:rPr>
        <w:t>“</w:t>
      </w:r>
      <w:r w:rsidRPr="00FD50F6">
        <w:t>以防为主，</w:t>
      </w:r>
      <w:r w:rsidRPr="00FD50F6">
        <w:rPr>
          <w:rFonts w:hint="eastAsia"/>
        </w:rPr>
        <w:t>以排为辅、刚柔结合、</w:t>
      </w:r>
      <w:r w:rsidRPr="00FD50F6">
        <w:t>多道设防，因地制宜，综合治理</w:t>
      </w:r>
      <w:r w:rsidRPr="001A4CF3">
        <w:rPr>
          <w:rFonts w:ascii="宋体" w:hAnsi="宋体"/>
        </w:rPr>
        <w:t>”</w:t>
      </w:r>
      <w:r w:rsidRPr="00FD50F6">
        <w:t>的原则，采取与其相适应的防水措施。防水设计应定级准确、方案可靠、施工简便、经济合理。</w:t>
      </w:r>
    </w:p>
    <w:p w14:paraId="3DC8A217" w14:textId="77777777" w:rsidR="00E62694" w:rsidRPr="00FD50F6" w:rsidRDefault="00E62694" w:rsidP="00E62694">
      <w:pPr>
        <w:pStyle w:val="30"/>
      </w:pPr>
      <w:r w:rsidRPr="00FD50F6">
        <w:t>地下工程的防水设计应符合下列规定：</w:t>
      </w:r>
    </w:p>
    <w:p w14:paraId="54FF1ACE" w14:textId="77777777" w:rsidR="00E62694" w:rsidRPr="00FD50F6" w:rsidRDefault="00E62694" w:rsidP="00A926BD">
      <w:pPr>
        <w:pStyle w:val="4"/>
      </w:pPr>
      <w:r w:rsidRPr="00FD50F6">
        <w:t>应根据气候条件、工程地质和水文地质状况、环保要求、结构特点、施工方法、使用要求等因素进行；</w:t>
      </w:r>
    </w:p>
    <w:p w14:paraId="59B4317E" w14:textId="77777777" w:rsidR="00E62694" w:rsidRPr="00FD50F6" w:rsidRDefault="00E62694" w:rsidP="00A926BD">
      <w:pPr>
        <w:pStyle w:val="4"/>
      </w:pPr>
      <w:r w:rsidRPr="00FD50F6">
        <w:t>应分析地表水、地下水、毛细管水等的作用，或人为因素引起的附近水文地质改变的影响，特别是市政上下水管线渗漏对防水工程的影响。</w:t>
      </w:r>
    </w:p>
    <w:p w14:paraId="70DB94C0" w14:textId="4D48159A" w:rsidR="00E62694" w:rsidRPr="00FD50F6" w:rsidRDefault="00E62694" w:rsidP="00E62694">
      <w:pPr>
        <w:pStyle w:val="30"/>
      </w:pPr>
      <w:r w:rsidRPr="00FD50F6">
        <w:rPr>
          <w:rFonts w:hint="eastAsia"/>
        </w:rPr>
        <w:t>地下工程</w:t>
      </w:r>
      <w:r w:rsidRPr="00AC35F6">
        <w:rPr>
          <w:rFonts w:hint="eastAsia"/>
        </w:rPr>
        <w:t>防排水设计应符合下列规定：</w:t>
      </w:r>
    </w:p>
    <w:p w14:paraId="32E66BC2" w14:textId="67CFC1D2" w:rsidR="00E62694" w:rsidRPr="00FD50F6" w:rsidRDefault="00E62694" w:rsidP="001A4CF3">
      <w:pPr>
        <w:pStyle w:val="30"/>
        <w:numPr>
          <w:ilvl w:val="0"/>
          <w:numId w:val="0"/>
        </w:numPr>
      </w:pPr>
      <w:r w:rsidRPr="00AC35F6">
        <w:t xml:space="preserve">  </w:t>
      </w:r>
      <w:r w:rsidR="0008713C">
        <w:t xml:space="preserve"> </w:t>
      </w:r>
      <w:r w:rsidRPr="00AC35F6">
        <w:t xml:space="preserve">  </w:t>
      </w:r>
      <w:r w:rsidR="0008713C">
        <w:t xml:space="preserve"> </w:t>
      </w:r>
      <w:r w:rsidRPr="00AC35F6">
        <w:t xml:space="preserve">1 </w:t>
      </w:r>
      <w:r w:rsidRPr="00AC35F6">
        <w:rPr>
          <w:rFonts w:hint="eastAsia"/>
        </w:rPr>
        <w:t>结构</w:t>
      </w:r>
      <w:r w:rsidRPr="00FD50F6">
        <w:t>处于贫水稳定地层或位于地下潜水位以上，在</w:t>
      </w:r>
      <w:r w:rsidRPr="00FD50F6">
        <w:rPr>
          <w:rFonts w:hint="eastAsia"/>
        </w:rPr>
        <w:t>满足</w:t>
      </w:r>
      <w:r w:rsidRPr="00FD50F6">
        <w:t>结构和环境安全的条件下</w:t>
      </w:r>
      <w:r w:rsidRPr="00FD50F6">
        <w:rPr>
          <w:rFonts w:hint="eastAsia"/>
        </w:rPr>
        <w:t>，</w:t>
      </w:r>
      <w:r w:rsidRPr="00FD50F6">
        <w:t>可</w:t>
      </w:r>
      <w:r w:rsidRPr="00FD50F6">
        <w:rPr>
          <w:rFonts w:hint="eastAsia"/>
        </w:rPr>
        <w:t>设置排水系统</w:t>
      </w:r>
      <w:r w:rsidRPr="00FD50F6">
        <w:t>采</w:t>
      </w:r>
      <w:r w:rsidRPr="00FD50F6">
        <w:rPr>
          <w:rFonts w:hint="eastAsia"/>
        </w:rPr>
        <w:t>取</w:t>
      </w:r>
      <w:r w:rsidRPr="00FD50F6">
        <w:t>限</w:t>
      </w:r>
      <w:r w:rsidRPr="00FD50F6">
        <w:rPr>
          <w:rFonts w:hint="eastAsia"/>
        </w:rPr>
        <w:t>量</w:t>
      </w:r>
      <w:r w:rsidRPr="00FD50F6">
        <w:t>排</w:t>
      </w:r>
      <w:r w:rsidRPr="00FD50F6">
        <w:rPr>
          <w:rFonts w:hint="eastAsia"/>
        </w:rPr>
        <w:t>水措施。</w:t>
      </w:r>
    </w:p>
    <w:p w14:paraId="4CC0BB6E" w14:textId="5C0C43E4" w:rsidR="00E62694" w:rsidRPr="00FD50F6" w:rsidRDefault="00E62694" w:rsidP="00A926BD">
      <w:pPr>
        <w:pStyle w:val="4"/>
        <w:numPr>
          <w:ilvl w:val="0"/>
          <w:numId w:val="0"/>
        </w:numPr>
        <w:ind w:left="360"/>
      </w:pPr>
      <w:r w:rsidRPr="00FD50F6">
        <w:rPr>
          <w:rFonts w:hint="eastAsia"/>
        </w:rPr>
        <w:t xml:space="preserve">2 </w:t>
      </w:r>
      <w:r w:rsidRPr="00FD50F6">
        <w:rPr>
          <w:rFonts w:hint="eastAsia"/>
        </w:rPr>
        <w:t>排水不得造成水土流失、危及地面建筑物、影响居民生活和其它水利设施；</w:t>
      </w:r>
    </w:p>
    <w:p w14:paraId="18E34F84" w14:textId="5D956DA6" w:rsidR="00E62694" w:rsidRPr="00FD50F6" w:rsidRDefault="00E62694" w:rsidP="00A926BD">
      <w:pPr>
        <w:pStyle w:val="4"/>
        <w:numPr>
          <w:ilvl w:val="0"/>
          <w:numId w:val="0"/>
        </w:numPr>
        <w:ind w:left="360"/>
      </w:pPr>
      <w:r w:rsidRPr="00FD50F6">
        <w:rPr>
          <w:rFonts w:hint="eastAsia"/>
        </w:rPr>
        <w:t xml:space="preserve">3 </w:t>
      </w:r>
      <w:r w:rsidRPr="00FD50F6">
        <w:rPr>
          <w:rFonts w:hint="eastAsia"/>
        </w:rPr>
        <w:t>地下工程所处地层具有中等及以上腐蚀性地质时，不得将衬砌以外的水引</w:t>
      </w:r>
    </w:p>
    <w:p w14:paraId="636E4BA6" w14:textId="77777777" w:rsidR="00E62694" w:rsidRPr="00FD50F6" w:rsidRDefault="00E62694" w:rsidP="00A926BD">
      <w:pPr>
        <w:pStyle w:val="4"/>
        <w:numPr>
          <w:ilvl w:val="0"/>
          <w:numId w:val="0"/>
        </w:numPr>
      </w:pPr>
      <w:r w:rsidRPr="00FD50F6">
        <w:rPr>
          <w:rFonts w:hint="eastAsia"/>
        </w:rPr>
        <w:t>至衬砌内排放。</w:t>
      </w:r>
    </w:p>
    <w:p w14:paraId="19591133" w14:textId="77777777" w:rsidR="00E62694" w:rsidRPr="00FD50F6" w:rsidRDefault="00E62694" w:rsidP="00E62694">
      <w:pPr>
        <w:pStyle w:val="30"/>
      </w:pPr>
      <w:r w:rsidRPr="00FD50F6">
        <w:t>地下工程应以混凝土结构自防水为主，以接缝防水为重点，并辅以</w:t>
      </w:r>
      <w:r w:rsidRPr="00FD50F6">
        <w:rPr>
          <w:rFonts w:hint="eastAsia"/>
        </w:rPr>
        <w:t>结构外设</w:t>
      </w:r>
      <w:r w:rsidRPr="00FD50F6">
        <w:t>防水层加强防水</w:t>
      </w:r>
      <w:r w:rsidRPr="00FD50F6">
        <w:rPr>
          <w:rFonts w:hint="eastAsia"/>
        </w:rPr>
        <w:t>，同时应满足结构使用要求。</w:t>
      </w:r>
    </w:p>
    <w:p w14:paraId="08F5889A" w14:textId="77777777" w:rsidR="00E62694" w:rsidRPr="00FD50F6" w:rsidRDefault="00E62694" w:rsidP="00E62694">
      <w:pPr>
        <w:pStyle w:val="30"/>
      </w:pPr>
      <w:r w:rsidRPr="00FD50F6">
        <w:t>地下工程防水等级应符合下列规定：</w:t>
      </w:r>
    </w:p>
    <w:p w14:paraId="4E8642D4" w14:textId="489C61C1" w:rsidR="00E62694" w:rsidRPr="00FD50F6" w:rsidRDefault="00E62694" w:rsidP="00A926BD">
      <w:pPr>
        <w:pStyle w:val="4"/>
      </w:pPr>
      <w:r w:rsidRPr="00FD50F6">
        <w:t>地下车站、人</w:t>
      </w:r>
      <w:r w:rsidRPr="00FD50F6">
        <w:rPr>
          <w:rFonts w:hint="eastAsia"/>
        </w:rPr>
        <w:t>行</w:t>
      </w:r>
      <w:r w:rsidRPr="00FD50F6">
        <w:t>通道和机电设备集中区段的防水等级应为一级，不得渗水，结构表面应无湿渍；</w:t>
      </w:r>
    </w:p>
    <w:p w14:paraId="0FBE926A" w14:textId="77777777" w:rsidR="00E62694" w:rsidRPr="00FD50F6" w:rsidRDefault="00E62694" w:rsidP="00A926BD">
      <w:pPr>
        <w:pStyle w:val="4"/>
      </w:pPr>
      <w:r w:rsidRPr="00FD50F6">
        <w:t>区间隧道及连接通道等附属的隧道结构防水等级应为二级，顶部不得滴漏，其他部位不得漏水；结构表面可有少量湿渍，总湿渍面积不应大于总防水面积的</w:t>
      </w:r>
      <w:r w:rsidRPr="00FD50F6">
        <w:t>2/1000</w:t>
      </w:r>
      <w:r w:rsidRPr="00FD50F6">
        <w:t>，任意</w:t>
      </w:r>
      <w:r w:rsidRPr="00FD50F6">
        <w:t>100m</w:t>
      </w:r>
      <w:r w:rsidRPr="00FD50F6">
        <w:rPr>
          <w:vertAlign w:val="superscript"/>
        </w:rPr>
        <w:t>2</w:t>
      </w:r>
      <w:r w:rsidRPr="00FD50F6">
        <w:t>防水面积上的湿渍不应超过</w:t>
      </w:r>
      <w:r w:rsidRPr="00FD50F6">
        <w:t>3</w:t>
      </w:r>
      <w:r w:rsidRPr="00FD50F6">
        <w:t>处，单个湿渍的最大面积不应大于</w:t>
      </w:r>
      <w:r w:rsidRPr="00FD50F6">
        <w:t>0.2m</w:t>
      </w:r>
      <w:r w:rsidRPr="00FD50F6">
        <w:rPr>
          <w:vertAlign w:val="superscript"/>
        </w:rPr>
        <w:t>2</w:t>
      </w:r>
      <w:r w:rsidRPr="00FD50F6">
        <w:t>；</w:t>
      </w:r>
    </w:p>
    <w:p w14:paraId="1D03A65B" w14:textId="77777777" w:rsidR="00E62694" w:rsidRPr="00FD50F6" w:rsidRDefault="00E62694" w:rsidP="00A926BD">
      <w:pPr>
        <w:pStyle w:val="4"/>
      </w:pPr>
      <w:r w:rsidRPr="00FD50F6">
        <w:t>隧道工程中漏水的平均渗漏量不应大于</w:t>
      </w:r>
      <w:r w:rsidRPr="00FD50F6">
        <w:t>0.05L/m</w:t>
      </w:r>
      <w:r w:rsidRPr="00FD50F6">
        <w:rPr>
          <w:vertAlign w:val="superscript"/>
        </w:rPr>
        <w:t>2</w:t>
      </w:r>
      <w:r w:rsidRPr="00FD50F6">
        <w:t>·d</w:t>
      </w:r>
      <w:r w:rsidRPr="00FD50F6">
        <w:t>，任意</w:t>
      </w:r>
      <w:r w:rsidRPr="00FD50F6">
        <w:t>100m</w:t>
      </w:r>
      <w:r w:rsidRPr="00FD50F6">
        <w:rPr>
          <w:vertAlign w:val="superscript"/>
        </w:rPr>
        <w:t>2</w:t>
      </w:r>
      <w:r w:rsidRPr="00FD50F6">
        <w:t>防水面积渗漏量不应大于</w:t>
      </w:r>
      <w:r w:rsidRPr="00FD50F6">
        <w:t>0.15L/m</w:t>
      </w:r>
      <w:r w:rsidRPr="00FD50F6">
        <w:rPr>
          <w:vertAlign w:val="superscript"/>
        </w:rPr>
        <w:t>2</w:t>
      </w:r>
      <w:r w:rsidRPr="00FD50F6">
        <w:t>·d</w:t>
      </w:r>
      <w:r w:rsidRPr="00FD50F6">
        <w:t>。</w:t>
      </w:r>
    </w:p>
    <w:p w14:paraId="3011AD3A" w14:textId="77777777" w:rsidR="00E62694" w:rsidRPr="00FD50F6" w:rsidRDefault="00E62694" w:rsidP="00E62694">
      <w:pPr>
        <w:pStyle w:val="30"/>
      </w:pPr>
      <w:r w:rsidRPr="00FD50F6">
        <w:lastRenderedPageBreak/>
        <w:t>高架结构防水应遵循</w:t>
      </w:r>
      <w:r w:rsidRPr="001A4CF3">
        <w:rPr>
          <w:rFonts w:ascii="宋体" w:hAnsi="宋体"/>
        </w:rPr>
        <w:t>“</w:t>
      </w:r>
      <w:r w:rsidRPr="00FD50F6">
        <w:t>以防为主，防排结合</w:t>
      </w:r>
      <w:r w:rsidRPr="001A4CF3">
        <w:rPr>
          <w:rFonts w:ascii="宋体" w:hAnsi="宋体"/>
        </w:rPr>
        <w:t>”</w:t>
      </w:r>
      <w:r w:rsidRPr="00FD50F6">
        <w:t>的原则，桥面应设</w:t>
      </w:r>
      <w:r w:rsidRPr="00FD50F6">
        <w:rPr>
          <w:rFonts w:hint="eastAsia"/>
        </w:rPr>
        <w:t>置</w:t>
      </w:r>
      <w:r w:rsidRPr="00FD50F6">
        <w:t>柔性防水层，并应设置顺畅的排水系统。</w:t>
      </w:r>
    </w:p>
    <w:p w14:paraId="312F5E71" w14:textId="0331CE9C" w:rsidR="00E62694" w:rsidRPr="00FD50F6" w:rsidRDefault="00E62694" w:rsidP="00E62694">
      <w:pPr>
        <w:pStyle w:val="30"/>
      </w:pPr>
      <w:r w:rsidRPr="00FD50F6">
        <w:t>车辆基地的建筑屋面、车辆段上盖物业平台的结构防水应符合现行国家标准《屋面工程技术规范》</w:t>
      </w:r>
      <w:r w:rsidRPr="00FD50F6">
        <w:t>GB 50345</w:t>
      </w:r>
      <w:r w:rsidRPr="00FD50F6">
        <w:t>的规定。</w:t>
      </w:r>
    </w:p>
    <w:p w14:paraId="0146DCC3" w14:textId="77777777" w:rsidR="00E62694" w:rsidRPr="00FD50F6" w:rsidRDefault="00E62694" w:rsidP="00E62694">
      <w:pPr>
        <w:pStyle w:val="30"/>
      </w:pPr>
      <w:r w:rsidRPr="00FD50F6">
        <w:rPr>
          <w:rFonts w:hint="eastAsia"/>
        </w:rPr>
        <w:t>地下工程主体结构迎水面设置的附加防水层应与结构型式和施工方法相匹配。</w:t>
      </w:r>
    </w:p>
    <w:p w14:paraId="168FD1CD" w14:textId="77777777" w:rsidR="00E62694" w:rsidRPr="00FD50F6" w:rsidRDefault="00E62694" w:rsidP="00E62694">
      <w:pPr>
        <w:pStyle w:val="30"/>
      </w:pPr>
      <w:r w:rsidRPr="00FD50F6">
        <w:rPr>
          <w:rFonts w:hint="eastAsia"/>
        </w:rPr>
        <w:t>当地下工程处于腐蚀性介质环境时，应采用相应的耐腐蚀混凝土，并宜增加外设防水层道数或厚度。</w:t>
      </w:r>
    </w:p>
    <w:p w14:paraId="2670585A" w14:textId="712F2804" w:rsidR="00E62694" w:rsidRPr="00FD50F6" w:rsidRDefault="00E62694" w:rsidP="003D5CA6">
      <w:pPr>
        <w:pStyle w:val="30"/>
        <w:ind w:leftChars="-1" w:left="-2"/>
      </w:pPr>
      <w:r w:rsidRPr="00FD50F6">
        <w:rPr>
          <w:rFonts w:hint="eastAsia"/>
        </w:rPr>
        <w:t>基面平整度、含水率应满足防水层施作要求。</w:t>
      </w:r>
    </w:p>
    <w:p w14:paraId="2188B7B1" w14:textId="77777777" w:rsidR="00E62694" w:rsidRPr="00FD50F6" w:rsidRDefault="00E62694" w:rsidP="00A65181">
      <w:pPr>
        <w:pStyle w:val="2"/>
      </w:pPr>
      <w:bookmarkStart w:id="478" w:name="_Toc112830732"/>
      <w:bookmarkStart w:id="479" w:name="_Toc344218764"/>
      <w:bookmarkStart w:id="480" w:name="_Toc320196011"/>
      <w:bookmarkStart w:id="481" w:name="_Toc320643401"/>
      <w:bookmarkStart w:id="482" w:name="_Toc112830733"/>
      <w:bookmarkEnd w:id="478"/>
      <w:r w:rsidRPr="00FD50F6">
        <w:t>混凝土结构自防水</w:t>
      </w:r>
      <w:bookmarkEnd w:id="479"/>
      <w:bookmarkEnd w:id="480"/>
      <w:bookmarkEnd w:id="481"/>
      <w:bookmarkEnd w:id="482"/>
    </w:p>
    <w:p w14:paraId="14FBCCFB" w14:textId="64A95F63" w:rsidR="00E62694" w:rsidRPr="00FD50F6" w:rsidRDefault="00E62694" w:rsidP="00E62694">
      <w:pPr>
        <w:pStyle w:val="30"/>
      </w:pPr>
      <w:r w:rsidRPr="00FD50F6">
        <w:t>地下工程防水混凝土的设计抗渗等级应符合表</w:t>
      </w:r>
      <w:r w:rsidRPr="00FD50F6">
        <w:t>1</w:t>
      </w:r>
      <w:r w:rsidR="00A370DD" w:rsidRPr="00FD50F6">
        <w:t>3</w:t>
      </w:r>
      <w:r w:rsidRPr="00FD50F6">
        <w:t>.</w:t>
      </w:r>
      <w:r w:rsidRPr="00FD50F6">
        <w:rPr>
          <w:rFonts w:hint="eastAsia"/>
        </w:rPr>
        <w:t>2</w:t>
      </w:r>
      <w:r w:rsidRPr="00FD50F6">
        <w:t>.1</w:t>
      </w:r>
      <w:r w:rsidRPr="00FD50F6">
        <w:t>的规定。</w:t>
      </w:r>
    </w:p>
    <w:p w14:paraId="1AF37E32" w14:textId="50BD56C5" w:rsidR="00E62694" w:rsidRPr="00FD50F6" w:rsidRDefault="00E62694" w:rsidP="00E62694">
      <w:pPr>
        <w:pStyle w:val="6"/>
      </w:pPr>
      <w:r w:rsidRPr="00FD50F6">
        <w:t>表</w:t>
      </w:r>
      <w:r w:rsidR="00B840B6" w:rsidRPr="00FD50F6">
        <w:t>13</w:t>
      </w:r>
      <w:r w:rsidRPr="00FD50F6">
        <w:t>.</w:t>
      </w:r>
      <w:r w:rsidRPr="00FD50F6">
        <w:rPr>
          <w:rFonts w:hint="eastAsia"/>
        </w:rPr>
        <w:t>2</w:t>
      </w:r>
      <w:r w:rsidRPr="00FD50F6">
        <w:t>.1</w:t>
      </w:r>
      <w:r w:rsidRPr="00FD50F6">
        <w:t>防水混凝土的设计抗渗等级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4"/>
        <w:gridCol w:w="2785"/>
        <w:gridCol w:w="3099"/>
      </w:tblGrid>
      <w:tr w:rsidR="00FD50F6" w:rsidRPr="00FD50F6" w14:paraId="08DEB25A" w14:textId="77777777" w:rsidTr="00805449">
        <w:trPr>
          <w:trHeight w:val="251"/>
          <w:jc w:val="center"/>
        </w:trPr>
        <w:tc>
          <w:tcPr>
            <w:tcW w:w="1550" w:type="pct"/>
            <w:vMerge w:val="restart"/>
            <w:vAlign w:val="center"/>
          </w:tcPr>
          <w:p w14:paraId="0A3D02CF" w14:textId="77777777" w:rsidR="00E62694" w:rsidRPr="00FD50F6" w:rsidRDefault="00E62694" w:rsidP="000831EC">
            <w:pPr>
              <w:pStyle w:val="7"/>
            </w:pPr>
            <w:r w:rsidRPr="00FD50F6">
              <w:t>结构埋置深度</w:t>
            </w:r>
            <w:r w:rsidRPr="001A4CF3">
              <w:rPr>
                <w:i/>
                <w:iCs/>
              </w:rPr>
              <w:t>h</w:t>
            </w:r>
            <w:r w:rsidRPr="00FD50F6">
              <w:t>（</w:t>
            </w:r>
            <w:r w:rsidRPr="00FD50F6">
              <w:t>m</w:t>
            </w:r>
            <w:r w:rsidRPr="00FD50F6">
              <w:t>）</w:t>
            </w:r>
          </w:p>
        </w:tc>
        <w:tc>
          <w:tcPr>
            <w:tcW w:w="3450" w:type="pct"/>
            <w:gridSpan w:val="2"/>
            <w:vAlign w:val="center"/>
          </w:tcPr>
          <w:p w14:paraId="61A16CFB" w14:textId="77777777" w:rsidR="00E62694" w:rsidRPr="00FD50F6" w:rsidRDefault="00E62694" w:rsidP="000831EC">
            <w:pPr>
              <w:pStyle w:val="7"/>
            </w:pPr>
            <w:r w:rsidRPr="00FD50F6">
              <w:t>设计抗渗等级</w:t>
            </w:r>
          </w:p>
        </w:tc>
      </w:tr>
      <w:tr w:rsidR="00FD50F6" w:rsidRPr="00FD50F6" w14:paraId="30444E47" w14:textId="77777777" w:rsidTr="00805449">
        <w:trPr>
          <w:trHeight w:val="321"/>
          <w:jc w:val="center"/>
        </w:trPr>
        <w:tc>
          <w:tcPr>
            <w:tcW w:w="1550" w:type="pct"/>
            <w:vMerge/>
            <w:vAlign w:val="center"/>
          </w:tcPr>
          <w:p w14:paraId="626CE004" w14:textId="77777777" w:rsidR="00E62694" w:rsidRPr="00FD50F6" w:rsidRDefault="00E62694" w:rsidP="000831EC">
            <w:pPr>
              <w:pStyle w:val="7"/>
              <w:rPr>
                <w:b/>
              </w:rPr>
            </w:pPr>
          </w:p>
        </w:tc>
        <w:tc>
          <w:tcPr>
            <w:tcW w:w="1633" w:type="pct"/>
            <w:vAlign w:val="center"/>
          </w:tcPr>
          <w:p w14:paraId="05DAD193" w14:textId="77777777" w:rsidR="00E62694" w:rsidRPr="00FD50F6" w:rsidRDefault="00E62694" w:rsidP="000831EC">
            <w:pPr>
              <w:pStyle w:val="7"/>
            </w:pPr>
            <w:r w:rsidRPr="00FD50F6">
              <w:t>现浇混凝土结构</w:t>
            </w:r>
          </w:p>
        </w:tc>
        <w:tc>
          <w:tcPr>
            <w:tcW w:w="1817" w:type="pct"/>
            <w:vAlign w:val="center"/>
          </w:tcPr>
          <w:p w14:paraId="36A698E5" w14:textId="77777777" w:rsidR="00E62694" w:rsidRPr="00FD50F6" w:rsidRDefault="00E62694" w:rsidP="000831EC">
            <w:pPr>
              <w:pStyle w:val="7"/>
            </w:pPr>
            <w:r w:rsidRPr="00FD50F6">
              <w:t>装配式钢筋混凝土结构</w:t>
            </w:r>
          </w:p>
        </w:tc>
      </w:tr>
      <w:tr w:rsidR="00FD50F6" w:rsidRPr="00FD50F6" w14:paraId="04F85719" w14:textId="77777777" w:rsidTr="00805449">
        <w:trPr>
          <w:trHeight w:val="199"/>
          <w:jc w:val="center"/>
        </w:trPr>
        <w:tc>
          <w:tcPr>
            <w:tcW w:w="1550" w:type="pct"/>
            <w:vAlign w:val="center"/>
          </w:tcPr>
          <w:p w14:paraId="477BBF67" w14:textId="77777777" w:rsidR="00E62694" w:rsidRPr="00FD50F6" w:rsidRDefault="00E62694" w:rsidP="000831EC">
            <w:pPr>
              <w:pStyle w:val="7"/>
            </w:pPr>
            <w:r w:rsidRPr="001A4CF3">
              <w:rPr>
                <w:i/>
                <w:iCs/>
              </w:rPr>
              <w:t>h</w:t>
            </w:r>
            <w:r w:rsidRPr="00FD50F6">
              <w:t>＜</w:t>
            </w:r>
            <w:r w:rsidRPr="00FD50F6">
              <w:t>20</w:t>
            </w:r>
          </w:p>
        </w:tc>
        <w:tc>
          <w:tcPr>
            <w:tcW w:w="1633" w:type="pct"/>
            <w:vAlign w:val="center"/>
          </w:tcPr>
          <w:p w14:paraId="716AA270" w14:textId="77777777" w:rsidR="00E62694" w:rsidRPr="00FD50F6" w:rsidRDefault="00E62694" w:rsidP="000831EC">
            <w:pPr>
              <w:pStyle w:val="7"/>
            </w:pPr>
            <w:r w:rsidRPr="00FD50F6">
              <w:t>P8</w:t>
            </w:r>
          </w:p>
        </w:tc>
        <w:tc>
          <w:tcPr>
            <w:tcW w:w="1817" w:type="pct"/>
            <w:vAlign w:val="center"/>
          </w:tcPr>
          <w:p w14:paraId="22E6A298" w14:textId="77777777" w:rsidR="00E62694" w:rsidRPr="00FD50F6" w:rsidRDefault="00E62694" w:rsidP="000831EC">
            <w:pPr>
              <w:pStyle w:val="7"/>
            </w:pPr>
            <w:r w:rsidRPr="00FD50F6">
              <w:t>P10</w:t>
            </w:r>
          </w:p>
        </w:tc>
      </w:tr>
      <w:tr w:rsidR="00FD50F6" w:rsidRPr="00FD50F6" w14:paraId="0C7FFDD4" w14:textId="77777777" w:rsidTr="00805449">
        <w:trPr>
          <w:trHeight w:val="70"/>
          <w:jc w:val="center"/>
        </w:trPr>
        <w:tc>
          <w:tcPr>
            <w:tcW w:w="1550" w:type="pct"/>
            <w:vAlign w:val="center"/>
          </w:tcPr>
          <w:p w14:paraId="4631FE33" w14:textId="77777777" w:rsidR="00E62694" w:rsidRPr="00FD50F6" w:rsidRDefault="00E62694" w:rsidP="000831EC">
            <w:pPr>
              <w:pStyle w:val="7"/>
            </w:pPr>
            <w:r w:rsidRPr="00FD50F6">
              <w:t>20≤</w:t>
            </w:r>
            <w:r w:rsidRPr="001A4CF3">
              <w:rPr>
                <w:i/>
                <w:iCs/>
              </w:rPr>
              <w:t>h</w:t>
            </w:r>
            <w:r w:rsidRPr="00FD50F6">
              <w:t>＜</w:t>
            </w:r>
            <w:r w:rsidRPr="00FD50F6">
              <w:t>30</w:t>
            </w:r>
          </w:p>
        </w:tc>
        <w:tc>
          <w:tcPr>
            <w:tcW w:w="1633" w:type="pct"/>
            <w:vAlign w:val="center"/>
          </w:tcPr>
          <w:p w14:paraId="06F1B323" w14:textId="77777777" w:rsidR="00E62694" w:rsidRPr="00FD50F6" w:rsidRDefault="00E62694" w:rsidP="000831EC">
            <w:pPr>
              <w:pStyle w:val="7"/>
            </w:pPr>
            <w:r w:rsidRPr="00FD50F6">
              <w:t>P10</w:t>
            </w:r>
          </w:p>
        </w:tc>
        <w:tc>
          <w:tcPr>
            <w:tcW w:w="1817" w:type="pct"/>
            <w:vAlign w:val="center"/>
          </w:tcPr>
          <w:p w14:paraId="0171F992" w14:textId="77777777" w:rsidR="00E62694" w:rsidRPr="00FD50F6" w:rsidRDefault="00E62694" w:rsidP="000831EC">
            <w:pPr>
              <w:pStyle w:val="7"/>
            </w:pPr>
            <w:r w:rsidRPr="00FD50F6">
              <w:t>P10</w:t>
            </w:r>
          </w:p>
        </w:tc>
      </w:tr>
      <w:tr w:rsidR="00FD50F6" w:rsidRPr="00FD50F6" w14:paraId="4065701E" w14:textId="77777777" w:rsidTr="00805449">
        <w:trPr>
          <w:jc w:val="center"/>
        </w:trPr>
        <w:tc>
          <w:tcPr>
            <w:tcW w:w="1550" w:type="pct"/>
            <w:vAlign w:val="center"/>
          </w:tcPr>
          <w:p w14:paraId="253972CE" w14:textId="77777777" w:rsidR="00E62694" w:rsidRPr="00FD50F6" w:rsidRDefault="00E62694" w:rsidP="000831EC">
            <w:pPr>
              <w:pStyle w:val="7"/>
            </w:pPr>
            <w:r w:rsidRPr="00FD50F6">
              <w:t>40</w:t>
            </w:r>
            <w:r w:rsidRPr="00FD50F6">
              <w:t>＞</w:t>
            </w:r>
            <w:r w:rsidRPr="001A4CF3">
              <w:rPr>
                <w:i/>
                <w:iCs/>
              </w:rPr>
              <w:t>h</w:t>
            </w:r>
            <w:r w:rsidRPr="00FD50F6">
              <w:t>≥30</w:t>
            </w:r>
          </w:p>
        </w:tc>
        <w:tc>
          <w:tcPr>
            <w:tcW w:w="1633" w:type="pct"/>
            <w:vAlign w:val="center"/>
          </w:tcPr>
          <w:p w14:paraId="27F5FE13" w14:textId="77777777" w:rsidR="00E62694" w:rsidRPr="00FD50F6" w:rsidRDefault="00E62694" w:rsidP="000831EC">
            <w:pPr>
              <w:pStyle w:val="7"/>
            </w:pPr>
            <w:r w:rsidRPr="00FD50F6">
              <w:t>P12</w:t>
            </w:r>
          </w:p>
        </w:tc>
        <w:tc>
          <w:tcPr>
            <w:tcW w:w="1817" w:type="pct"/>
            <w:vAlign w:val="center"/>
          </w:tcPr>
          <w:p w14:paraId="2320E7B3" w14:textId="77777777" w:rsidR="00E62694" w:rsidRPr="00FD50F6" w:rsidRDefault="00E62694" w:rsidP="000831EC">
            <w:pPr>
              <w:pStyle w:val="7"/>
            </w:pPr>
            <w:r w:rsidRPr="00FD50F6">
              <w:t>P12</w:t>
            </w:r>
          </w:p>
        </w:tc>
      </w:tr>
    </w:tbl>
    <w:p w14:paraId="7522FF6E" w14:textId="77777777" w:rsidR="00E62694" w:rsidRPr="00805449" w:rsidRDefault="00E62694" w:rsidP="00805449">
      <w:pPr>
        <w:pStyle w:val="9"/>
        <w:ind w:left="420" w:hangingChars="200" w:hanging="420"/>
        <w:rPr>
          <w:rFonts w:ascii="宋体" w:eastAsia="宋体" w:hAnsi="宋体"/>
          <w:sz w:val="21"/>
        </w:rPr>
      </w:pPr>
      <w:r w:rsidRPr="00805449">
        <w:rPr>
          <w:rFonts w:ascii="宋体" w:eastAsia="宋体" w:hAnsi="宋体" w:cs="Times New Roman" w:hint="eastAsia"/>
          <w:sz w:val="21"/>
        </w:rPr>
        <w:t>注：埋深大于</w:t>
      </w:r>
      <w:r w:rsidRPr="00805449">
        <w:rPr>
          <w:rFonts w:ascii="宋体" w:eastAsia="宋体" w:hAnsi="宋体" w:cs="Times New Roman"/>
          <w:sz w:val="21"/>
        </w:rPr>
        <w:t>40m</w:t>
      </w:r>
      <w:r w:rsidRPr="00805449">
        <w:rPr>
          <w:rFonts w:ascii="宋体" w:eastAsia="宋体" w:hAnsi="宋体" w:cs="Times New Roman" w:hint="eastAsia"/>
          <w:sz w:val="21"/>
        </w:rPr>
        <w:t>的地下工程结构，防水混凝土的抗渗等级应根据工程具体情况以及结构强度等级和结构耐久性设计要求确定。</w:t>
      </w:r>
    </w:p>
    <w:p w14:paraId="5AAE1ABE" w14:textId="77777777" w:rsidR="00E62694" w:rsidRPr="00FD50F6" w:rsidRDefault="00E62694" w:rsidP="00E62694">
      <w:pPr>
        <w:pStyle w:val="30"/>
      </w:pPr>
      <w:r w:rsidRPr="00FD50F6">
        <w:t>防水混凝土的施工配合比应通过试验确定，试配混凝土的抗渗等级应比设计要求提高一级。</w:t>
      </w:r>
    </w:p>
    <w:p w14:paraId="6444C78F" w14:textId="77777777" w:rsidR="00E62694" w:rsidRPr="00FD50F6" w:rsidRDefault="00E62694" w:rsidP="00E62694">
      <w:pPr>
        <w:pStyle w:val="30"/>
      </w:pPr>
      <w:r w:rsidRPr="00FD50F6">
        <w:t>防水混凝土应满足抗渗等级要求，并应根据地下工程所处的环境和工作条件，满足抗压、抗裂、抗冻和抗侵蚀性等耐久性要求。</w:t>
      </w:r>
    </w:p>
    <w:p w14:paraId="3DA89F4D" w14:textId="77777777" w:rsidR="00E62694" w:rsidRPr="00FD50F6" w:rsidRDefault="00E62694" w:rsidP="00E62694">
      <w:pPr>
        <w:pStyle w:val="30"/>
      </w:pPr>
      <w:r w:rsidRPr="00FD50F6">
        <w:t>防水混凝土的环境温度不得高于</w:t>
      </w:r>
      <w:r w:rsidRPr="00FD50F6">
        <w:t>80</w:t>
      </w:r>
      <w:r w:rsidRPr="00FD50F6">
        <w:rPr>
          <w:rFonts w:ascii="宋体" w:hAnsi="宋体" w:cs="宋体" w:hint="eastAsia"/>
        </w:rPr>
        <w:t>℃</w:t>
      </w:r>
      <w:r w:rsidRPr="00FD50F6">
        <w:t>；当结构处于侵蚀性地层中时，防水混凝土的氯离子扩散系数不宜大于</w:t>
      </w:r>
      <w:r w:rsidRPr="00FD50F6">
        <w:t>4×10</w:t>
      </w:r>
      <w:r w:rsidRPr="00FD50F6">
        <w:rPr>
          <w:vertAlign w:val="superscript"/>
        </w:rPr>
        <w:t>－</w:t>
      </w:r>
      <w:r w:rsidRPr="00FD50F6">
        <w:rPr>
          <w:vertAlign w:val="superscript"/>
        </w:rPr>
        <w:t>12</w:t>
      </w:r>
      <w:r w:rsidRPr="00FD50F6">
        <w:t>m</w:t>
      </w:r>
      <w:r w:rsidRPr="00FD50F6">
        <w:rPr>
          <w:vertAlign w:val="superscript"/>
        </w:rPr>
        <w:t>2</w:t>
      </w:r>
      <w:r w:rsidRPr="00FD50F6">
        <w:t>/s</w:t>
      </w:r>
      <w:r w:rsidRPr="00FD50F6">
        <w:t>，装配式钢筋混凝土结构的氯离子扩散系数不宜大于</w:t>
      </w:r>
      <w:r w:rsidRPr="00FD50F6">
        <w:t>3×10</w:t>
      </w:r>
      <w:r w:rsidRPr="00FD50F6">
        <w:rPr>
          <w:vertAlign w:val="superscript"/>
        </w:rPr>
        <w:t>－</w:t>
      </w:r>
      <w:r w:rsidRPr="00FD50F6">
        <w:rPr>
          <w:vertAlign w:val="superscript"/>
        </w:rPr>
        <w:t>12</w:t>
      </w:r>
      <w:r w:rsidRPr="00FD50F6">
        <w:t>m</w:t>
      </w:r>
      <w:r w:rsidRPr="00FD50F6">
        <w:rPr>
          <w:vertAlign w:val="superscript"/>
        </w:rPr>
        <w:t>2</w:t>
      </w:r>
      <w:r w:rsidRPr="00FD50F6">
        <w:t>/s</w:t>
      </w:r>
      <w:r w:rsidRPr="00FD50F6">
        <w:t>。</w:t>
      </w:r>
    </w:p>
    <w:p w14:paraId="08F42B76" w14:textId="0AB69C6F" w:rsidR="00E62694" w:rsidRPr="00FD50F6" w:rsidRDefault="00E62694" w:rsidP="00E62694">
      <w:pPr>
        <w:pStyle w:val="30"/>
      </w:pPr>
      <w:r w:rsidRPr="00FD50F6">
        <w:t>防水混凝土结构底板的混凝土垫层强度等级不应小于</w:t>
      </w:r>
      <w:r w:rsidRPr="00FD50F6">
        <w:t>C15</w:t>
      </w:r>
      <w:r w:rsidRPr="00FD50F6">
        <w:t>，厚度不应小于</w:t>
      </w:r>
      <w:r w:rsidRPr="00FD50F6">
        <w:t>100mm</w:t>
      </w:r>
      <w:r w:rsidRPr="00FD50F6">
        <w:t>，在软弱土层中不应小于</w:t>
      </w:r>
      <w:r w:rsidRPr="00FD50F6">
        <w:t>150mm</w:t>
      </w:r>
      <w:r w:rsidRPr="00FD50F6">
        <w:t>。</w:t>
      </w:r>
    </w:p>
    <w:p w14:paraId="1A340338" w14:textId="1A9C1223" w:rsidR="00E62694" w:rsidRPr="00FD50F6" w:rsidRDefault="00E62694" w:rsidP="00E62694">
      <w:pPr>
        <w:pStyle w:val="30"/>
      </w:pPr>
      <w:r w:rsidRPr="00FD50F6">
        <w:t>防水混凝土结构应符合下列规定：</w:t>
      </w:r>
    </w:p>
    <w:p w14:paraId="586C3B68" w14:textId="77777777" w:rsidR="00E62694" w:rsidRPr="00FD50F6" w:rsidRDefault="00E62694" w:rsidP="00A926BD">
      <w:pPr>
        <w:pStyle w:val="4"/>
      </w:pPr>
      <w:r w:rsidRPr="00FD50F6">
        <w:t>结构厚度不应小于</w:t>
      </w:r>
      <w:r w:rsidRPr="00FD50F6">
        <w:t>250mm</w:t>
      </w:r>
      <w:r w:rsidRPr="00FD50F6">
        <w:t>；</w:t>
      </w:r>
    </w:p>
    <w:p w14:paraId="4B2FEA3C" w14:textId="7CFC5F2B" w:rsidR="00E62694" w:rsidRPr="00FD50F6" w:rsidRDefault="00E62694" w:rsidP="00A926BD">
      <w:pPr>
        <w:pStyle w:val="4"/>
      </w:pPr>
      <w:r w:rsidRPr="00FD50F6">
        <w:t>裂缝宽度应符合</w:t>
      </w:r>
      <w:r w:rsidRPr="00FD50F6">
        <w:rPr>
          <w:rFonts w:hint="eastAsia"/>
        </w:rPr>
        <w:t>本标准</w:t>
      </w:r>
      <w:r w:rsidRPr="00FD50F6">
        <w:t>表</w:t>
      </w:r>
      <w:r w:rsidRPr="00FD50F6">
        <w:t>1</w:t>
      </w:r>
      <w:r w:rsidR="00CD74AA" w:rsidRPr="00FD50F6">
        <w:t>2</w:t>
      </w:r>
      <w:r w:rsidRPr="00FD50F6">
        <w:t>.</w:t>
      </w:r>
      <w:r w:rsidRPr="00FD50F6">
        <w:rPr>
          <w:rFonts w:hint="eastAsia"/>
        </w:rPr>
        <w:t>1</w:t>
      </w:r>
      <w:r w:rsidRPr="00FD50F6">
        <w:t>.</w:t>
      </w:r>
      <w:r w:rsidR="00563044">
        <w:t>8</w:t>
      </w:r>
      <w:r w:rsidRPr="00FD50F6">
        <w:t>的规定，并不得出现贯通裂缝</w:t>
      </w:r>
      <w:r w:rsidRPr="00FD50F6">
        <w:rPr>
          <w:rFonts w:hint="eastAsia"/>
        </w:rPr>
        <w:t>。</w:t>
      </w:r>
    </w:p>
    <w:p w14:paraId="0839D764" w14:textId="77777777" w:rsidR="00E62694" w:rsidRPr="00FD50F6" w:rsidRDefault="00E62694" w:rsidP="00A65181">
      <w:pPr>
        <w:pStyle w:val="2"/>
      </w:pPr>
      <w:bookmarkStart w:id="483" w:name="_Toc320643402"/>
      <w:bookmarkStart w:id="484" w:name="_Toc320196012"/>
      <w:bookmarkStart w:id="485" w:name="_Toc344218765"/>
      <w:bookmarkStart w:id="486" w:name="_Toc112830734"/>
      <w:r w:rsidRPr="00FD50F6">
        <w:lastRenderedPageBreak/>
        <w:t>防水层</w:t>
      </w:r>
      <w:bookmarkEnd w:id="483"/>
      <w:bookmarkEnd w:id="484"/>
      <w:bookmarkEnd w:id="485"/>
      <w:bookmarkEnd w:id="486"/>
    </w:p>
    <w:p w14:paraId="2E08D7C5" w14:textId="288F7BFF" w:rsidR="00E62694" w:rsidRPr="00FD50F6" w:rsidRDefault="00E62694" w:rsidP="00E62694">
      <w:pPr>
        <w:pStyle w:val="30"/>
      </w:pPr>
      <w:r w:rsidRPr="00FD50F6">
        <w:rPr>
          <w:rFonts w:hint="eastAsia"/>
        </w:rPr>
        <w:t>现浇混凝土</w:t>
      </w:r>
      <w:r w:rsidRPr="00FD50F6">
        <w:t>结构的</w:t>
      </w:r>
      <w:r w:rsidRPr="00FD50F6">
        <w:rPr>
          <w:rFonts w:hint="eastAsia"/>
        </w:rPr>
        <w:t>外设</w:t>
      </w:r>
      <w:r w:rsidRPr="00FD50F6">
        <w:t>防水</w:t>
      </w:r>
      <w:r w:rsidRPr="00FD50F6">
        <w:rPr>
          <w:rFonts w:hint="eastAsia"/>
        </w:rPr>
        <w:t>层</w:t>
      </w:r>
      <w:r w:rsidRPr="00FD50F6">
        <w:t>应根据施工环境条件、结构型式、防水等级要求，选用卷材防水层、涂料防水层、塑料防水板、膨润土防水</w:t>
      </w:r>
      <w:r w:rsidRPr="00FD50F6">
        <w:rPr>
          <w:rFonts w:hint="eastAsia"/>
        </w:rPr>
        <w:t>毯</w:t>
      </w:r>
      <w:r w:rsidRPr="00FD50F6">
        <w:t>等。防水层应设置在结构迎水面或复合式衬砌之间。</w:t>
      </w:r>
    </w:p>
    <w:p w14:paraId="244A5C23" w14:textId="6CCD8F48" w:rsidR="00E62694" w:rsidRPr="00FD50F6" w:rsidRDefault="00E62694" w:rsidP="00E62694">
      <w:pPr>
        <w:pStyle w:val="30"/>
      </w:pPr>
      <w:r w:rsidRPr="00FD50F6">
        <w:rPr>
          <w:rFonts w:hint="eastAsia"/>
        </w:rPr>
        <w:t>防水层设置应符合下列规定：</w:t>
      </w:r>
    </w:p>
    <w:p w14:paraId="53BD6DB3" w14:textId="0B355986" w:rsidR="00E62694" w:rsidRPr="00FD50F6" w:rsidRDefault="007E5C48" w:rsidP="00A926BD">
      <w:pPr>
        <w:pStyle w:val="4"/>
      </w:pPr>
      <w:r>
        <w:rPr>
          <w:rFonts w:hint="eastAsia"/>
        </w:rPr>
        <w:t>当</w:t>
      </w:r>
      <w:r w:rsidR="00E62694" w:rsidRPr="00FD50F6">
        <w:rPr>
          <w:rFonts w:hint="eastAsia"/>
        </w:rPr>
        <w:t>不同种类的防水材料复合使用时，应具备相容性；</w:t>
      </w:r>
    </w:p>
    <w:p w14:paraId="252654B4" w14:textId="6CD59B96" w:rsidR="00E62694" w:rsidRPr="00FD50F6" w:rsidRDefault="00E62694" w:rsidP="00E62694">
      <w:r w:rsidRPr="00FD50F6">
        <w:rPr>
          <w:rFonts w:hint="eastAsia"/>
        </w:rPr>
        <w:t xml:space="preserve">   </w:t>
      </w:r>
      <w:r w:rsidR="007E5C48">
        <w:t xml:space="preserve">  </w:t>
      </w:r>
      <w:r w:rsidRPr="00FD50F6">
        <w:rPr>
          <w:rFonts w:hint="eastAsia"/>
        </w:rPr>
        <w:t xml:space="preserve">2 </w:t>
      </w:r>
      <w:r w:rsidRPr="00FD50F6">
        <w:rPr>
          <w:rFonts w:hint="eastAsia"/>
        </w:rPr>
        <w:t>同一部位不同防水材料的施工工艺应具备相容性；</w:t>
      </w:r>
    </w:p>
    <w:p w14:paraId="4A8C4DB7" w14:textId="642CCD91" w:rsidR="00E62694" w:rsidRPr="00FD50F6" w:rsidRDefault="00E62694" w:rsidP="00A926BD">
      <w:pPr>
        <w:pStyle w:val="4"/>
        <w:numPr>
          <w:ilvl w:val="0"/>
          <w:numId w:val="0"/>
        </w:numPr>
        <w:ind w:left="360"/>
      </w:pPr>
      <w:r w:rsidRPr="00FD50F6">
        <w:rPr>
          <w:rFonts w:hint="eastAsia"/>
        </w:rPr>
        <w:t xml:space="preserve">3 </w:t>
      </w:r>
      <w:r w:rsidRPr="00FD50F6">
        <w:rPr>
          <w:rFonts w:hint="eastAsia"/>
        </w:rPr>
        <w:t>直接施作于主体结构基面的防水卷材和防水涂料应与结构满粘密实。</w:t>
      </w:r>
    </w:p>
    <w:p w14:paraId="038E3489" w14:textId="25D7172F" w:rsidR="00E62694" w:rsidRPr="00FD50F6" w:rsidRDefault="00E62694" w:rsidP="001A4CF3">
      <w:pPr>
        <w:pStyle w:val="30"/>
      </w:pPr>
      <w:r w:rsidRPr="00FD50F6">
        <w:rPr>
          <w:rFonts w:hint="eastAsia"/>
        </w:rPr>
        <w:t>卷材</w:t>
      </w:r>
      <w:r w:rsidRPr="00FD50F6">
        <w:t>防水层的设置方式应符合下列</w:t>
      </w:r>
      <w:r w:rsidRPr="00FD50F6">
        <w:rPr>
          <w:rFonts w:hint="eastAsia"/>
        </w:rPr>
        <w:t>规定</w:t>
      </w:r>
      <w:r w:rsidRPr="00FD50F6">
        <w:t>：</w:t>
      </w:r>
    </w:p>
    <w:p w14:paraId="01821117" w14:textId="77777777" w:rsidR="00E62694" w:rsidRPr="00FD50F6" w:rsidRDefault="00E62694" w:rsidP="00A926BD">
      <w:pPr>
        <w:pStyle w:val="4"/>
      </w:pPr>
      <w:r w:rsidRPr="00FD50F6">
        <w:t>卷材防水层宜为</w:t>
      </w:r>
      <w:r w:rsidRPr="00FD50F6">
        <w:t>1</w:t>
      </w:r>
      <w:r w:rsidRPr="00FD50F6">
        <w:t>层或</w:t>
      </w:r>
      <w:r w:rsidRPr="00FD50F6">
        <w:t>2</w:t>
      </w:r>
      <w:r w:rsidRPr="00FD50F6">
        <w:t>层；</w:t>
      </w:r>
      <w:r w:rsidRPr="00FD50F6">
        <w:rPr>
          <w:rFonts w:hint="eastAsia"/>
        </w:rPr>
        <w:t>当防水等级为一级时，单层卷材应与涂料防水层或水泥基防水材料复合使用，且最小厚度应符合相关规范要求。</w:t>
      </w:r>
    </w:p>
    <w:p w14:paraId="75D63E00" w14:textId="47A121F1" w:rsidR="00E62694" w:rsidRPr="00FD50F6" w:rsidRDefault="00E62694" w:rsidP="00A926BD">
      <w:pPr>
        <w:pStyle w:val="4"/>
      </w:pPr>
      <w:r w:rsidRPr="00FD50F6">
        <w:rPr>
          <w:rFonts w:hint="eastAsia"/>
        </w:rPr>
        <w:t>热熔法</w:t>
      </w:r>
      <w:r w:rsidRPr="00FD50F6">
        <w:t>高聚物改性沥青防水卷材应双层</w:t>
      </w:r>
      <w:r w:rsidRPr="00FD50F6">
        <w:rPr>
          <w:rFonts w:hint="eastAsia"/>
        </w:rPr>
        <w:t>设置</w:t>
      </w:r>
      <w:r w:rsidRPr="00FD50F6">
        <w:t>，总厚度不</w:t>
      </w:r>
      <w:r w:rsidRPr="00FD50F6">
        <w:rPr>
          <w:rFonts w:hint="eastAsia"/>
        </w:rPr>
        <w:t>应</w:t>
      </w:r>
      <w:r w:rsidRPr="00FD50F6">
        <w:t>小于</w:t>
      </w:r>
      <w:r w:rsidRPr="00FD50F6">
        <w:t>7mm</w:t>
      </w:r>
      <w:r w:rsidRPr="00FD50F6">
        <w:t>；</w:t>
      </w:r>
    </w:p>
    <w:p w14:paraId="37156B01" w14:textId="0B9FF96A" w:rsidR="00E62694" w:rsidRPr="00FD50F6" w:rsidRDefault="00E62694" w:rsidP="00A926BD">
      <w:pPr>
        <w:pStyle w:val="4"/>
      </w:pPr>
      <w:r w:rsidRPr="00FD50F6">
        <w:t>自粘聚合物改性沥青防水卷材双层</w:t>
      </w:r>
      <w:r w:rsidRPr="00FD50F6">
        <w:rPr>
          <w:rFonts w:hint="eastAsia"/>
        </w:rPr>
        <w:t>设置时</w:t>
      </w:r>
      <w:r w:rsidRPr="00FD50F6">
        <w:t>，无胎基卷材的各层厚度不宜小于</w:t>
      </w:r>
      <w:r w:rsidRPr="00FD50F6">
        <w:t>1.5mm</w:t>
      </w:r>
      <w:r w:rsidRPr="00FD50F6">
        <w:t>，聚酯胎基卷材的各层厚度不宜小于</w:t>
      </w:r>
      <w:r w:rsidRPr="00FD50F6">
        <w:t>3.0mm</w:t>
      </w:r>
      <w:r w:rsidRPr="00FD50F6">
        <w:t>；</w:t>
      </w:r>
    </w:p>
    <w:p w14:paraId="4BB6E50C" w14:textId="02A01F25" w:rsidR="00E62694" w:rsidRPr="00FD50F6" w:rsidRDefault="00E62694" w:rsidP="00A926BD">
      <w:pPr>
        <w:pStyle w:val="4"/>
      </w:pPr>
      <w:r w:rsidRPr="00FD50F6">
        <w:t>合成高分子防水卷材单层使用时，厚度不宜小于</w:t>
      </w:r>
      <w:r w:rsidRPr="00FD50F6">
        <w:t>1.5mm</w:t>
      </w:r>
      <w:r w:rsidRPr="00FD50F6">
        <w:t>；双层使用时，总厚度不</w:t>
      </w:r>
      <w:r w:rsidRPr="00FD50F6">
        <w:rPr>
          <w:rFonts w:hint="eastAsia"/>
        </w:rPr>
        <w:t>应</w:t>
      </w:r>
      <w:r w:rsidRPr="00FD50F6">
        <w:t>小于</w:t>
      </w:r>
      <w:r w:rsidRPr="00FD50F6">
        <w:t>2.4mm</w:t>
      </w:r>
      <w:r w:rsidRPr="00FD50F6">
        <w:t>；</w:t>
      </w:r>
    </w:p>
    <w:p w14:paraId="427DD57A" w14:textId="77777777" w:rsidR="00E62694" w:rsidRPr="00FD50F6" w:rsidRDefault="00E62694" w:rsidP="00A926BD">
      <w:pPr>
        <w:pStyle w:val="4"/>
      </w:pPr>
      <w:r w:rsidRPr="00FD50F6">
        <w:t>膨润土防水毯的天然钠基膨润土颗粒净含量不应小于</w:t>
      </w:r>
      <w:r w:rsidRPr="00FD50F6">
        <w:t>5.5kg/m</w:t>
      </w:r>
      <w:r w:rsidRPr="00FD50F6">
        <w:rPr>
          <w:vertAlign w:val="superscript"/>
        </w:rPr>
        <w:t>2</w:t>
      </w:r>
      <w:r w:rsidRPr="00FD50F6">
        <w:t>；</w:t>
      </w:r>
    </w:p>
    <w:p w14:paraId="7073742C" w14:textId="0AA62852" w:rsidR="00E62694" w:rsidRPr="00FD50F6" w:rsidRDefault="00E62694" w:rsidP="00A926BD">
      <w:pPr>
        <w:pStyle w:val="4"/>
      </w:pPr>
      <w:r w:rsidRPr="00FD50F6">
        <w:t>预铺高分子防水卷材的厚度不宜小于</w:t>
      </w:r>
      <w:r w:rsidRPr="00FD50F6">
        <w:t>1.5mm</w:t>
      </w:r>
      <w:r w:rsidRPr="00FD50F6">
        <w:rPr>
          <w:rFonts w:hint="eastAsia"/>
        </w:rPr>
        <w:t>，</w:t>
      </w:r>
      <w:r w:rsidRPr="00FD50F6">
        <w:t>预铺沥青基聚酯胎防水卷材的厚度不宜小于</w:t>
      </w:r>
      <w:r w:rsidRPr="00FD50F6">
        <w:t>4mm</w:t>
      </w:r>
      <w:r w:rsidRPr="00FD50F6">
        <w:t>；</w:t>
      </w:r>
    </w:p>
    <w:p w14:paraId="183CA76F" w14:textId="77777777" w:rsidR="00E62694" w:rsidRPr="00FD50F6" w:rsidRDefault="00E62694" w:rsidP="00A926BD">
      <w:pPr>
        <w:pStyle w:val="4"/>
      </w:pPr>
      <w:r w:rsidRPr="00FD50F6">
        <w:t>塑料防水板的厚度不宜小于</w:t>
      </w:r>
      <w:r w:rsidRPr="00FD50F6">
        <w:t>1.5mm</w:t>
      </w:r>
      <w:r w:rsidRPr="00FD50F6">
        <w:t>；</w:t>
      </w:r>
    </w:p>
    <w:p w14:paraId="69F01315" w14:textId="655CF833" w:rsidR="00E62694" w:rsidRPr="00FD50F6" w:rsidRDefault="00E62694" w:rsidP="00A926BD">
      <w:pPr>
        <w:pStyle w:val="4"/>
      </w:pPr>
      <w:r w:rsidRPr="00FD50F6">
        <w:t>聚乙烯丙纶复合防水卷材应双层</w:t>
      </w:r>
      <w:r w:rsidRPr="00FD50F6">
        <w:rPr>
          <w:rFonts w:hint="eastAsia"/>
        </w:rPr>
        <w:t>使用</w:t>
      </w:r>
      <w:r w:rsidRPr="00FD50F6">
        <w:t>，</w:t>
      </w:r>
      <w:r w:rsidRPr="00FD50F6">
        <w:rPr>
          <w:rFonts w:hint="eastAsia"/>
        </w:rPr>
        <w:t>且视为一道防水层。单</w:t>
      </w:r>
      <w:r w:rsidRPr="00FD50F6">
        <w:t>层</w:t>
      </w:r>
      <w:r w:rsidRPr="00FD50F6">
        <w:rPr>
          <w:rFonts w:hint="eastAsia"/>
        </w:rPr>
        <w:t>卷材</w:t>
      </w:r>
      <w:r w:rsidRPr="00FD50F6">
        <w:t>的芯材厚度不得小于</w:t>
      </w:r>
      <w:r w:rsidRPr="00FD50F6">
        <w:t>0.5mm</w:t>
      </w:r>
      <w:r w:rsidRPr="00FD50F6">
        <w:t>；</w:t>
      </w:r>
    </w:p>
    <w:p w14:paraId="3A18EA97" w14:textId="75763374" w:rsidR="00E62694" w:rsidRPr="00FD50F6" w:rsidRDefault="00E62694" w:rsidP="00A926BD">
      <w:pPr>
        <w:pStyle w:val="4"/>
      </w:pPr>
      <w:r w:rsidRPr="00FD50F6">
        <w:t>卷材</w:t>
      </w:r>
      <w:r w:rsidRPr="00FD50F6">
        <w:rPr>
          <w:rFonts w:hint="eastAsia"/>
        </w:rPr>
        <w:t>的胶粘层、</w:t>
      </w:r>
      <w:r w:rsidRPr="00FD50F6">
        <w:t>胶粘剂应具有良好的耐水性、耐久</w:t>
      </w:r>
      <w:r w:rsidRPr="00FD50F6">
        <w:rPr>
          <w:rFonts w:hint="eastAsia"/>
        </w:rPr>
        <w:t>性</w:t>
      </w:r>
      <w:r w:rsidRPr="00FD50F6">
        <w:t>、耐侵蚀性和耐菌性，其粘结质量应</w:t>
      </w:r>
      <w:r w:rsidRPr="00FD50F6">
        <w:rPr>
          <w:rFonts w:hint="eastAsia"/>
        </w:rPr>
        <w:t>符合工程要求。</w:t>
      </w:r>
    </w:p>
    <w:p w14:paraId="68EC7427" w14:textId="52A0D556" w:rsidR="00E62694" w:rsidRPr="00FD50F6" w:rsidRDefault="00E62694" w:rsidP="00E62694">
      <w:pPr>
        <w:pStyle w:val="30"/>
      </w:pPr>
      <w:r w:rsidRPr="00FD50F6">
        <w:t>涂料防水层的</w:t>
      </w:r>
      <w:r w:rsidRPr="00FD50F6">
        <w:rPr>
          <w:rFonts w:hint="eastAsia"/>
        </w:rPr>
        <w:t>设计</w:t>
      </w:r>
      <w:r w:rsidRPr="00FD50F6">
        <w:t>应符合下列</w:t>
      </w:r>
      <w:r w:rsidRPr="00FD50F6">
        <w:rPr>
          <w:rFonts w:hint="eastAsia"/>
        </w:rPr>
        <w:t>规定：</w:t>
      </w:r>
    </w:p>
    <w:p w14:paraId="5230D914" w14:textId="7F25292B" w:rsidR="00E62694" w:rsidRPr="00FD50F6" w:rsidRDefault="00E62694" w:rsidP="00A926BD">
      <w:pPr>
        <w:pStyle w:val="4"/>
      </w:pPr>
      <w:r w:rsidRPr="00FD50F6">
        <w:t>应根据工程环境、气候条件、施工方法、工程防水等级</w:t>
      </w:r>
      <w:r w:rsidRPr="00FD50F6">
        <w:rPr>
          <w:rFonts w:hint="eastAsia"/>
        </w:rPr>
        <w:t>、工程特点</w:t>
      </w:r>
      <w:r w:rsidRPr="00FD50F6">
        <w:t>选择防水涂料品种</w:t>
      </w:r>
      <w:r w:rsidRPr="00FD50F6">
        <w:rPr>
          <w:rFonts w:hint="eastAsia"/>
        </w:rPr>
        <w:t>。</w:t>
      </w:r>
    </w:p>
    <w:p w14:paraId="3704B719" w14:textId="4FA94A29" w:rsidR="00E62694" w:rsidRPr="00FD50F6" w:rsidRDefault="00E62694" w:rsidP="00A926BD">
      <w:pPr>
        <w:pStyle w:val="4"/>
      </w:pPr>
      <w:r w:rsidRPr="00FD50F6">
        <w:rPr>
          <w:rFonts w:hint="eastAsia"/>
        </w:rPr>
        <w:t>防水涂料应满足环保性要求，有害物质限量应符合现行行业标准《建筑防水涂料中有害物质限量》</w:t>
      </w:r>
      <w:r w:rsidRPr="00FD50F6">
        <w:rPr>
          <w:rFonts w:hint="eastAsia"/>
        </w:rPr>
        <w:t>JC1066</w:t>
      </w:r>
      <w:r w:rsidRPr="00FD50F6">
        <w:rPr>
          <w:rFonts w:hint="eastAsia"/>
        </w:rPr>
        <w:t>的规定。</w:t>
      </w:r>
    </w:p>
    <w:p w14:paraId="4AF103F6" w14:textId="2C8EE455" w:rsidR="00E62694" w:rsidRPr="00FD50F6" w:rsidRDefault="00E62694" w:rsidP="00A926BD">
      <w:pPr>
        <w:pStyle w:val="4"/>
      </w:pPr>
      <w:r w:rsidRPr="00FD50F6">
        <w:lastRenderedPageBreak/>
        <w:t>潮湿基层</w:t>
      </w:r>
      <w:r w:rsidRPr="00FD50F6">
        <w:rPr>
          <w:rFonts w:hint="eastAsia"/>
        </w:rPr>
        <w:t>施工</w:t>
      </w:r>
      <w:r w:rsidRPr="00FD50F6">
        <w:t>宜选用</w:t>
      </w:r>
      <w:r w:rsidRPr="00FD50F6">
        <w:rPr>
          <w:rFonts w:hint="eastAsia"/>
        </w:rPr>
        <w:t>疏水性防水涂料；斥水性防水涂料施工前应涂刷潮湿基面处理剂。</w:t>
      </w:r>
    </w:p>
    <w:p w14:paraId="1B31D1F5" w14:textId="00DA57C4" w:rsidR="00E62694" w:rsidRPr="00FD50F6" w:rsidRDefault="00E62694" w:rsidP="00A926BD">
      <w:pPr>
        <w:pStyle w:val="4"/>
      </w:pPr>
      <w:r w:rsidRPr="00FD50F6">
        <w:t>腐蚀性的地下环境宜选用耐腐蚀性好的反应型涂料，涂料防水层的保护层应根据结构具体部位确定</w:t>
      </w:r>
      <w:r w:rsidRPr="00FD50F6">
        <w:rPr>
          <w:rFonts w:hint="eastAsia"/>
        </w:rPr>
        <w:t>。</w:t>
      </w:r>
    </w:p>
    <w:p w14:paraId="61505275" w14:textId="7DCD8901" w:rsidR="00E62694" w:rsidRPr="00FD50F6" w:rsidRDefault="00E62694" w:rsidP="00A926BD">
      <w:pPr>
        <w:pStyle w:val="4"/>
      </w:pPr>
      <w:r w:rsidRPr="00FD50F6">
        <w:t>选用的涂料品种应具有良好的耐水性、耐久性、耐腐蚀性及耐菌性，且无毒或低毒、难燃、低污染；无机防水涂料应具有良好的湿</w:t>
      </w:r>
      <w:r w:rsidRPr="00FD50F6">
        <w:rPr>
          <w:rFonts w:hint="eastAsia"/>
        </w:rPr>
        <w:t>、</w:t>
      </w:r>
      <w:r w:rsidRPr="00FD50F6">
        <w:t>干粘结性</w:t>
      </w:r>
      <w:r w:rsidRPr="00FD50F6">
        <w:rPr>
          <w:rStyle w:val="afff2"/>
          <w:rFonts w:ascii="等线" w:hAnsi="等线" w:hint="eastAsia"/>
          <w:bCs w:val="0"/>
        </w:rPr>
        <w:t>，</w:t>
      </w:r>
      <w:r w:rsidRPr="00FD50F6">
        <w:t>耐磨性，有机防水涂料应具有较好的延伸性及</w:t>
      </w:r>
      <w:r w:rsidRPr="00FD50F6">
        <w:rPr>
          <w:rFonts w:hint="eastAsia"/>
        </w:rPr>
        <w:t>较大</w:t>
      </w:r>
      <w:r w:rsidRPr="00FD50F6">
        <w:t>适应基层变形的能力</w:t>
      </w:r>
      <w:r w:rsidRPr="00FD50F6">
        <w:rPr>
          <w:rFonts w:hint="eastAsia"/>
        </w:rPr>
        <w:t>。</w:t>
      </w:r>
    </w:p>
    <w:p w14:paraId="61784405" w14:textId="3C0B123A" w:rsidR="00E62694" w:rsidRPr="00FD50F6" w:rsidRDefault="00E62694" w:rsidP="00A926BD">
      <w:pPr>
        <w:pStyle w:val="4"/>
      </w:pPr>
      <w:r w:rsidRPr="00FD50F6">
        <w:rPr>
          <w:rFonts w:hint="eastAsia"/>
        </w:rPr>
        <w:t>一般有机防水涂料的厚度不应小于</w:t>
      </w:r>
      <w:r w:rsidRPr="00FD50F6">
        <w:rPr>
          <w:rFonts w:hint="eastAsia"/>
        </w:rPr>
        <w:t>1.5mm</w:t>
      </w:r>
      <w:r w:rsidRPr="00FD50F6">
        <w:rPr>
          <w:rFonts w:hint="eastAsia"/>
        </w:rPr>
        <w:t>；改性环氧树脂防水涂料用量不宜小于</w:t>
      </w:r>
      <w:r w:rsidRPr="00FD50F6">
        <w:rPr>
          <w:rFonts w:hint="eastAsia"/>
        </w:rPr>
        <w:t>0.35kg/m</w:t>
      </w:r>
      <w:r w:rsidRPr="00FD50F6">
        <w:rPr>
          <w:rFonts w:hint="eastAsia"/>
          <w:vertAlign w:val="superscript"/>
        </w:rPr>
        <w:t>2</w:t>
      </w:r>
      <w:r w:rsidRPr="00FD50F6">
        <w:rPr>
          <w:rFonts w:hint="eastAsia"/>
        </w:rPr>
        <w:t>；水泥基渗透结晶</w:t>
      </w:r>
      <w:r w:rsidRPr="00FD50F6">
        <w:t>防水涂料厚度</w:t>
      </w:r>
      <w:r w:rsidRPr="00FD50F6">
        <w:rPr>
          <w:rFonts w:hint="eastAsia"/>
        </w:rPr>
        <w:t>不</w:t>
      </w:r>
      <w:r w:rsidRPr="00FD50F6">
        <w:t>宜</w:t>
      </w:r>
      <w:r w:rsidRPr="00FD50F6">
        <w:rPr>
          <w:rFonts w:hint="eastAsia"/>
        </w:rPr>
        <w:t>小于</w:t>
      </w:r>
      <w:r w:rsidRPr="00FD50F6">
        <w:t>1.</w:t>
      </w:r>
      <w:r w:rsidRPr="00FD50F6">
        <w:rPr>
          <w:rFonts w:hint="eastAsia"/>
        </w:rPr>
        <w:t>0</w:t>
      </w:r>
      <w:r w:rsidRPr="00FD50F6">
        <w:t>mm</w:t>
      </w:r>
      <w:r w:rsidRPr="00FD50F6">
        <w:rPr>
          <w:rFonts w:hint="eastAsia"/>
        </w:rPr>
        <w:t>，且用量不应少于</w:t>
      </w:r>
      <w:r w:rsidRPr="00FD50F6">
        <w:rPr>
          <w:rFonts w:hint="eastAsia"/>
        </w:rPr>
        <w:t>1.5kg/m</w:t>
      </w:r>
      <w:r w:rsidRPr="00FD50F6">
        <w:rPr>
          <w:rFonts w:hint="eastAsia"/>
          <w:vertAlign w:val="superscript"/>
        </w:rPr>
        <w:t>2</w:t>
      </w:r>
      <w:r w:rsidRPr="001A4CF3">
        <w:rPr>
          <w:rFonts w:hint="eastAsia"/>
        </w:rPr>
        <w:t>；</w:t>
      </w:r>
      <w:r w:rsidRPr="00FD50F6">
        <w:rPr>
          <w:rFonts w:hint="eastAsia"/>
        </w:rPr>
        <w:t>采用喷涂工艺施工的有机防水涂料，总厚度不小于</w:t>
      </w:r>
      <w:r w:rsidRPr="00FD50F6">
        <w:rPr>
          <w:rFonts w:hint="eastAsia"/>
        </w:rPr>
        <w:t>2.0mm</w:t>
      </w:r>
      <w:r w:rsidRPr="00FD50F6">
        <w:rPr>
          <w:rFonts w:hint="eastAsia"/>
        </w:rPr>
        <w:t>；当防水等级为一级且仅采用涂料防水层时，厚度不小于</w:t>
      </w:r>
      <w:r w:rsidRPr="00FD50F6">
        <w:rPr>
          <w:rFonts w:hint="eastAsia"/>
        </w:rPr>
        <w:t>2.5mm</w:t>
      </w:r>
      <w:r w:rsidRPr="00FD50F6">
        <w:rPr>
          <w:rFonts w:hint="eastAsia"/>
        </w:rPr>
        <w:t>。</w:t>
      </w:r>
    </w:p>
    <w:p w14:paraId="5DD654C6" w14:textId="621E2FF7" w:rsidR="00E62694" w:rsidRPr="00FD50F6" w:rsidRDefault="00E62694" w:rsidP="00E62694">
      <w:pPr>
        <w:pStyle w:val="30"/>
      </w:pPr>
      <w:r w:rsidRPr="00FD50F6">
        <w:t>新材料、新技术、新工艺应经过试验、检测和鉴定，并应具有</w:t>
      </w:r>
      <w:r w:rsidRPr="00FD50F6">
        <w:rPr>
          <w:rFonts w:hint="eastAsia"/>
        </w:rPr>
        <w:t>类似</w:t>
      </w:r>
      <w:r w:rsidRPr="00FD50F6">
        <w:t>工程应用实际效果</w:t>
      </w:r>
      <w:r w:rsidRPr="00FD50F6">
        <w:rPr>
          <w:rFonts w:hint="eastAsia"/>
        </w:rPr>
        <w:t>验证后</w:t>
      </w:r>
      <w:r w:rsidRPr="00FD50F6">
        <w:t>再采用</w:t>
      </w:r>
      <w:r w:rsidRPr="00FD50F6">
        <w:rPr>
          <w:rFonts w:hint="eastAsia"/>
        </w:rPr>
        <w:t>。</w:t>
      </w:r>
    </w:p>
    <w:p w14:paraId="027F0B6C" w14:textId="5FD00FD2" w:rsidR="00E62694" w:rsidRPr="00FD50F6" w:rsidRDefault="00E62694" w:rsidP="001A4CF3">
      <w:pPr>
        <w:pStyle w:val="30"/>
        <w:numPr>
          <w:ilvl w:val="0"/>
          <w:numId w:val="0"/>
        </w:numPr>
      </w:pPr>
    </w:p>
    <w:p w14:paraId="5EE5D964" w14:textId="77777777" w:rsidR="00E62694" w:rsidRPr="00FD50F6" w:rsidRDefault="00E62694" w:rsidP="00A65181">
      <w:pPr>
        <w:pStyle w:val="2"/>
      </w:pPr>
      <w:bookmarkStart w:id="487" w:name="_Toc320643235"/>
      <w:bookmarkStart w:id="488" w:name="_Toc320643403"/>
      <w:bookmarkStart w:id="489" w:name="_Toc320641882"/>
      <w:bookmarkStart w:id="490" w:name="_Toc320196013"/>
      <w:bookmarkStart w:id="491" w:name="_Toc344218766"/>
      <w:bookmarkStart w:id="492" w:name="_Toc320643404"/>
      <w:bookmarkStart w:id="493" w:name="_Toc320196014"/>
      <w:bookmarkStart w:id="494" w:name="_Toc112830735"/>
      <w:bookmarkEnd w:id="487"/>
      <w:bookmarkEnd w:id="488"/>
      <w:bookmarkEnd w:id="489"/>
      <w:bookmarkEnd w:id="490"/>
      <w:r w:rsidRPr="00A65181">
        <w:rPr>
          <w:rFonts w:hint="eastAsia"/>
        </w:rPr>
        <w:t>高架结构</w:t>
      </w:r>
      <w:r w:rsidRPr="00FD50F6">
        <w:t>防水</w:t>
      </w:r>
      <w:bookmarkEnd w:id="491"/>
      <w:bookmarkEnd w:id="492"/>
      <w:bookmarkEnd w:id="493"/>
      <w:bookmarkEnd w:id="494"/>
    </w:p>
    <w:p w14:paraId="32D1C326" w14:textId="77777777" w:rsidR="00E62694" w:rsidRPr="00FD50F6" w:rsidRDefault="00E62694" w:rsidP="00E62694">
      <w:pPr>
        <w:pStyle w:val="30"/>
      </w:pPr>
      <w:r w:rsidRPr="00FD50F6">
        <w:t>高架桥面应设置连续、整体密封、耐久的防水层。防水层材料可根据环境条件和不同的工程部位选定。</w:t>
      </w:r>
    </w:p>
    <w:p w14:paraId="34384FEA" w14:textId="77777777" w:rsidR="00E62694" w:rsidRPr="00FD50F6" w:rsidRDefault="00E62694" w:rsidP="00E62694">
      <w:pPr>
        <w:pStyle w:val="30"/>
      </w:pPr>
      <w:r w:rsidRPr="00FD50F6">
        <w:t>桥面应设置畅通的排水系统，排水设施应便于检查、维修。</w:t>
      </w:r>
    </w:p>
    <w:p w14:paraId="6F5E85F1" w14:textId="77777777" w:rsidR="00E62694" w:rsidRPr="00FD50F6" w:rsidRDefault="00E62694" w:rsidP="00E62694">
      <w:pPr>
        <w:pStyle w:val="30"/>
      </w:pPr>
      <w:r w:rsidRPr="00FD50F6">
        <w:t>伸缩缝应根据构造型式设置桥梁专用变形缝止水带及其金属固定装置，并宜嵌填密封材料形成多道防线。</w:t>
      </w:r>
    </w:p>
    <w:p w14:paraId="184568C3" w14:textId="77777777" w:rsidR="00E62694" w:rsidRPr="00FD50F6" w:rsidRDefault="00E62694" w:rsidP="00E62694">
      <w:pPr>
        <w:pStyle w:val="30"/>
      </w:pPr>
      <w:r w:rsidRPr="00FD50F6">
        <w:t>地漏、落水管等疏排水装置与桥面混凝土结构的接口应加强密封防水，并应便于检查、修复。</w:t>
      </w:r>
    </w:p>
    <w:p w14:paraId="39D0BE35" w14:textId="77777777" w:rsidR="00E62694" w:rsidRPr="00FD50F6" w:rsidRDefault="00E62694" w:rsidP="00A65181">
      <w:pPr>
        <w:pStyle w:val="2"/>
      </w:pPr>
      <w:bookmarkStart w:id="495" w:name="_Toc344218767"/>
      <w:bookmarkStart w:id="496" w:name="_Toc320196015"/>
      <w:bookmarkStart w:id="497" w:name="_Toc320643405"/>
      <w:bookmarkStart w:id="498" w:name="_Toc112830736"/>
      <w:r w:rsidRPr="00FD50F6">
        <w:t>明挖</w:t>
      </w:r>
      <w:r w:rsidRPr="00FD50F6">
        <w:rPr>
          <w:rFonts w:hint="eastAsia"/>
        </w:rPr>
        <w:t>顺作</w:t>
      </w:r>
      <w:r w:rsidRPr="00FD50F6">
        <w:t>法结构防水</w:t>
      </w:r>
      <w:bookmarkEnd w:id="495"/>
      <w:bookmarkEnd w:id="496"/>
      <w:bookmarkEnd w:id="497"/>
      <w:bookmarkEnd w:id="498"/>
    </w:p>
    <w:p w14:paraId="181DC808" w14:textId="4036F7A9" w:rsidR="00E62694" w:rsidRPr="00FD50F6" w:rsidRDefault="00E62694" w:rsidP="00E62694">
      <w:pPr>
        <w:pStyle w:val="30"/>
      </w:pPr>
      <w:r w:rsidRPr="00FD50F6">
        <w:t>明挖法施工的地下结构防水应采用钢筋混凝土结构自防水，并应根据结构型式</w:t>
      </w:r>
      <w:r w:rsidRPr="00FD50F6">
        <w:rPr>
          <w:rFonts w:hint="eastAsia"/>
        </w:rPr>
        <w:t>和防水等级在迎水面设置外设</w:t>
      </w:r>
      <w:r w:rsidRPr="00FD50F6">
        <w:t>防水层</w:t>
      </w:r>
      <w:r w:rsidRPr="00FD50F6">
        <w:rPr>
          <w:rFonts w:hint="eastAsia"/>
        </w:rPr>
        <w:t>。</w:t>
      </w:r>
    </w:p>
    <w:p w14:paraId="498F870A" w14:textId="5BCE553B" w:rsidR="00E62694" w:rsidRPr="00FD50F6" w:rsidRDefault="00E62694" w:rsidP="00E62694">
      <w:pPr>
        <w:pStyle w:val="30"/>
      </w:pPr>
      <w:r w:rsidRPr="00FD50F6">
        <w:t>明挖法施工的</w:t>
      </w:r>
      <w:r w:rsidRPr="00FD50F6">
        <w:rPr>
          <w:rFonts w:hint="eastAsia"/>
        </w:rPr>
        <w:t>现浇混凝土</w:t>
      </w:r>
      <w:r w:rsidRPr="00FD50F6">
        <w:t>结构防水措施应符合表</w:t>
      </w:r>
      <w:r w:rsidRPr="00FD50F6">
        <w:t>1</w:t>
      </w:r>
      <w:r w:rsidR="00CD74AA" w:rsidRPr="00FD50F6">
        <w:t>3</w:t>
      </w:r>
      <w:r w:rsidRPr="00FD50F6">
        <w:t>.</w:t>
      </w:r>
      <w:r w:rsidRPr="00FD50F6">
        <w:rPr>
          <w:rFonts w:hint="eastAsia"/>
        </w:rPr>
        <w:t>5</w:t>
      </w:r>
      <w:r w:rsidRPr="00FD50F6">
        <w:t>.2</w:t>
      </w:r>
      <w:r w:rsidRPr="00FD50F6">
        <w:t>的规定。</w:t>
      </w:r>
    </w:p>
    <w:p w14:paraId="223C63F3" w14:textId="15A89B0B" w:rsidR="00E62694" w:rsidRPr="00FD50F6" w:rsidRDefault="00E62694" w:rsidP="00E62694">
      <w:pPr>
        <w:pStyle w:val="6"/>
      </w:pPr>
      <w:r w:rsidRPr="00FD50F6">
        <w:t>表</w:t>
      </w:r>
      <w:r w:rsidRPr="00FD50F6">
        <w:t>1</w:t>
      </w:r>
      <w:r w:rsidR="00CD74AA" w:rsidRPr="00FD50F6">
        <w:t>3</w:t>
      </w:r>
      <w:r w:rsidRPr="00FD50F6">
        <w:t>.5.2</w:t>
      </w:r>
      <w:r w:rsidRPr="00FD50F6">
        <w:t>明挖法施工的</w:t>
      </w:r>
      <w:r w:rsidRPr="00FD50F6">
        <w:rPr>
          <w:rFonts w:hint="eastAsia"/>
        </w:rPr>
        <w:t>现浇混凝土</w:t>
      </w:r>
      <w:r w:rsidRPr="00FD50F6">
        <w:t>结构防水措施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
        <w:gridCol w:w="346"/>
        <w:gridCol w:w="346"/>
        <w:gridCol w:w="346"/>
        <w:gridCol w:w="346"/>
        <w:gridCol w:w="346"/>
        <w:gridCol w:w="346"/>
        <w:gridCol w:w="606"/>
        <w:gridCol w:w="346"/>
        <w:gridCol w:w="346"/>
        <w:gridCol w:w="346"/>
        <w:gridCol w:w="303"/>
        <w:gridCol w:w="266"/>
        <w:gridCol w:w="316"/>
        <w:gridCol w:w="251"/>
        <w:gridCol w:w="283"/>
        <w:gridCol w:w="709"/>
        <w:gridCol w:w="284"/>
        <w:gridCol w:w="313"/>
        <w:gridCol w:w="346"/>
        <w:gridCol w:w="346"/>
        <w:gridCol w:w="346"/>
        <w:gridCol w:w="692"/>
        <w:gridCol w:w="346"/>
      </w:tblGrid>
      <w:tr w:rsidR="00FD50F6" w:rsidRPr="00FD50F6" w14:paraId="507C3632" w14:textId="77777777" w:rsidTr="000831EC">
        <w:trPr>
          <w:trHeight w:val="320"/>
          <w:jc w:val="center"/>
        </w:trPr>
        <w:tc>
          <w:tcPr>
            <w:tcW w:w="692" w:type="dxa"/>
            <w:gridSpan w:val="2"/>
            <w:vAlign w:val="center"/>
          </w:tcPr>
          <w:p w14:paraId="01D3288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工程</w:t>
            </w:r>
          </w:p>
          <w:p w14:paraId="1CC6DFA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部位</w:t>
            </w:r>
          </w:p>
        </w:tc>
        <w:tc>
          <w:tcPr>
            <w:tcW w:w="1730" w:type="dxa"/>
            <w:gridSpan w:val="5"/>
            <w:vAlign w:val="center"/>
          </w:tcPr>
          <w:p w14:paraId="147E888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主体</w:t>
            </w:r>
          </w:p>
        </w:tc>
        <w:tc>
          <w:tcPr>
            <w:tcW w:w="1947" w:type="dxa"/>
            <w:gridSpan w:val="5"/>
            <w:vAlign w:val="center"/>
          </w:tcPr>
          <w:p w14:paraId="554937E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施工缝</w:t>
            </w:r>
          </w:p>
        </w:tc>
        <w:tc>
          <w:tcPr>
            <w:tcW w:w="2109" w:type="dxa"/>
            <w:gridSpan w:val="6"/>
            <w:vAlign w:val="center"/>
          </w:tcPr>
          <w:p w14:paraId="74F278F9"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后浇带</w:t>
            </w:r>
          </w:p>
        </w:tc>
        <w:tc>
          <w:tcPr>
            <w:tcW w:w="2389" w:type="dxa"/>
            <w:gridSpan w:val="6"/>
            <w:vAlign w:val="center"/>
          </w:tcPr>
          <w:p w14:paraId="1517E36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变形缝</w:t>
            </w:r>
          </w:p>
        </w:tc>
      </w:tr>
      <w:tr w:rsidR="00FD50F6" w:rsidRPr="00FD50F6" w14:paraId="47B6DB9A" w14:textId="77777777" w:rsidTr="000831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8"/>
          <w:jc w:val="center"/>
        </w:trPr>
        <w:tc>
          <w:tcPr>
            <w:tcW w:w="692" w:type="dxa"/>
            <w:gridSpan w:val="2"/>
            <w:tcBorders>
              <w:top w:val="single" w:sz="4" w:space="0" w:color="auto"/>
              <w:left w:val="single" w:sz="4" w:space="0" w:color="auto"/>
              <w:bottom w:val="single" w:sz="4" w:space="0" w:color="auto"/>
              <w:right w:val="single" w:sz="4" w:space="0" w:color="auto"/>
            </w:tcBorders>
            <w:vAlign w:val="center"/>
          </w:tcPr>
          <w:p w14:paraId="4837EA1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lastRenderedPageBreak/>
              <w:t>防</w:t>
            </w:r>
          </w:p>
          <w:p w14:paraId="241C4A9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6C66AC0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措</w:t>
            </w:r>
          </w:p>
          <w:p w14:paraId="39E30161"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施</w:t>
            </w:r>
          </w:p>
        </w:tc>
        <w:tc>
          <w:tcPr>
            <w:tcW w:w="346" w:type="dxa"/>
            <w:tcBorders>
              <w:top w:val="single" w:sz="4" w:space="0" w:color="auto"/>
              <w:left w:val="single" w:sz="4" w:space="0" w:color="auto"/>
              <w:bottom w:val="single" w:sz="4" w:space="0" w:color="auto"/>
              <w:right w:val="single" w:sz="4" w:space="0" w:color="auto"/>
            </w:tcBorders>
            <w:vAlign w:val="center"/>
          </w:tcPr>
          <w:p w14:paraId="54B8C8E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w:t>
            </w:r>
          </w:p>
          <w:p w14:paraId="5000C1A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4812EFA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混</w:t>
            </w:r>
          </w:p>
          <w:p w14:paraId="198193E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凝</w:t>
            </w:r>
          </w:p>
          <w:p w14:paraId="1B147092"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土</w:t>
            </w:r>
          </w:p>
        </w:tc>
        <w:tc>
          <w:tcPr>
            <w:tcW w:w="346" w:type="dxa"/>
            <w:tcBorders>
              <w:top w:val="single" w:sz="4" w:space="0" w:color="auto"/>
              <w:left w:val="single" w:sz="4" w:space="0" w:color="auto"/>
              <w:bottom w:val="single" w:sz="4" w:space="0" w:color="auto"/>
              <w:right w:val="single" w:sz="4" w:space="0" w:color="auto"/>
            </w:tcBorders>
            <w:vAlign w:val="center"/>
          </w:tcPr>
          <w:p w14:paraId="7A2F4E7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w:t>
            </w:r>
          </w:p>
          <w:p w14:paraId="03E29C6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2797D00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砂</w:t>
            </w:r>
          </w:p>
          <w:p w14:paraId="06153D0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浆</w:t>
            </w:r>
          </w:p>
        </w:tc>
        <w:tc>
          <w:tcPr>
            <w:tcW w:w="346" w:type="dxa"/>
            <w:tcBorders>
              <w:top w:val="single" w:sz="4" w:space="0" w:color="auto"/>
              <w:left w:val="single" w:sz="4" w:space="0" w:color="auto"/>
              <w:bottom w:val="single" w:sz="4" w:space="0" w:color="auto"/>
              <w:right w:val="single" w:sz="4" w:space="0" w:color="auto"/>
            </w:tcBorders>
            <w:vAlign w:val="center"/>
          </w:tcPr>
          <w:p w14:paraId="77D2A86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防水卷材</w:t>
            </w:r>
          </w:p>
        </w:tc>
        <w:tc>
          <w:tcPr>
            <w:tcW w:w="346" w:type="dxa"/>
            <w:tcBorders>
              <w:top w:val="single" w:sz="4" w:space="0" w:color="auto"/>
              <w:left w:val="single" w:sz="4" w:space="0" w:color="auto"/>
              <w:bottom w:val="single" w:sz="4" w:space="0" w:color="auto"/>
              <w:right w:val="single" w:sz="4" w:space="0" w:color="auto"/>
            </w:tcBorders>
            <w:vAlign w:val="center"/>
          </w:tcPr>
          <w:p w14:paraId="679465F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防水涂料</w:t>
            </w:r>
          </w:p>
        </w:tc>
        <w:tc>
          <w:tcPr>
            <w:tcW w:w="346" w:type="dxa"/>
            <w:tcBorders>
              <w:top w:val="single" w:sz="4" w:space="0" w:color="auto"/>
              <w:left w:val="single" w:sz="4" w:space="0" w:color="auto"/>
              <w:bottom w:val="single" w:sz="4" w:space="0" w:color="auto"/>
              <w:right w:val="single" w:sz="4" w:space="0" w:color="auto"/>
            </w:tcBorders>
            <w:vAlign w:val="center"/>
          </w:tcPr>
          <w:p w14:paraId="4318A50C"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膨</w:t>
            </w:r>
          </w:p>
          <w:p w14:paraId="2380A1E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润</w:t>
            </w:r>
          </w:p>
          <w:p w14:paraId="18D05EB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土</w:t>
            </w:r>
          </w:p>
          <w:p w14:paraId="0CCE1149"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w:t>
            </w:r>
          </w:p>
          <w:p w14:paraId="5879D49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54DD921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材</w:t>
            </w:r>
          </w:p>
          <w:p w14:paraId="533AC2D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料</w:t>
            </w:r>
          </w:p>
        </w:tc>
        <w:tc>
          <w:tcPr>
            <w:tcW w:w="606" w:type="dxa"/>
            <w:tcBorders>
              <w:top w:val="single" w:sz="4" w:space="0" w:color="auto"/>
              <w:left w:val="single" w:sz="4" w:space="0" w:color="auto"/>
              <w:bottom w:val="single" w:sz="4" w:space="0" w:color="auto"/>
              <w:right w:val="single" w:sz="4" w:space="0" w:color="auto"/>
            </w:tcBorders>
            <w:vAlign w:val="center"/>
          </w:tcPr>
          <w:p w14:paraId="10519251"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遇</w:t>
            </w:r>
          </w:p>
          <w:p w14:paraId="2466E99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1B1C409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膨</w:t>
            </w:r>
          </w:p>
          <w:p w14:paraId="25E6A890"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胀</w:t>
            </w:r>
          </w:p>
          <w:p w14:paraId="1CDD6FA3"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7610731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701C2001"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条</w:t>
            </w:r>
          </w:p>
          <w:p w14:paraId="0204C0E0"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（胶）</w:t>
            </w:r>
          </w:p>
        </w:tc>
        <w:tc>
          <w:tcPr>
            <w:tcW w:w="346" w:type="dxa"/>
            <w:tcBorders>
              <w:top w:val="single" w:sz="4" w:space="0" w:color="auto"/>
              <w:left w:val="single" w:sz="4" w:space="0" w:color="auto"/>
              <w:bottom w:val="single" w:sz="4" w:space="0" w:color="auto"/>
              <w:right w:val="single" w:sz="4" w:space="0" w:color="auto"/>
            </w:tcBorders>
            <w:vAlign w:val="center"/>
          </w:tcPr>
          <w:p w14:paraId="0B680441"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外</w:t>
            </w:r>
          </w:p>
          <w:p w14:paraId="3077F1E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贴</w:t>
            </w:r>
          </w:p>
          <w:p w14:paraId="048815E9"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式</w:t>
            </w:r>
          </w:p>
          <w:p w14:paraId="73BD3E8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3E15CAE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6515E52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带</w:t>
            </w:r>
          </w:p>
        </w:tc>
        <w:tc>
          <w:tcPr>
            <w:tcW w:w="346" w:type="dxa"/>
            <w:tcBorders>
              <w:top w:val="single" w:sz="4" w:space="0" w:color="auto"/>
              <w:left w:val="single" w:sz="4" w:space="0" w:color="auto"/>
              <w:bottom w:val="single" w:sz="4" w:space="0" w:color="auto"/>
              <w:right w:val="single" w:sz="4" w:space="0" w:color="auto"/>
            </w:tcBorders>
            <w:vAlign w:val="center"/>
          </w:tcPr>
          <w:p w14:paraId="1404A57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中埋式止水带</w:t>
            </w:r>
          </w:p>
        </w:tc>
        <w:tc>
          <w:tcPr>
            <w:tcW w:w="346" w:type="dxa"/>
            <w:tcBorders>
              <w:top w:val="single" w:sz="4" w:space="0" w:color="auto"/>
              <w:left w:val="single" w:sz="4" w:space="0" w:color="auto"/>
              <w:bottom w:val="single" w:sz="4" w:space="0" w:color="auto"/>
              <w:right w:val="single" w:sz="4" w:space="0" w:color="auto"/>
            </w:tcBorders>
            <w:vAlign w:val="center"/>
          </w:tcPr>
          <w:p w14:paraId="5D4BD7D6" w14:textId="57A7DD92" w:rsidR="00E62694" w:rsidRPr="00FD50F6" w:rsidRDefault="00E62694" w:rsidP="00E62694">
            <w:pPr>
              <w:adjustRightInd w:val="0"/>
              <w:snapToGrid w:val="0"/>
              <w:spacing w:line="240" w:lineRule="auto"/>
              <w:jc w:val="center"/>
              <w:rPr>
                <w:rFonts w:ascii="Times New Roman" w:hAnsi="Times New Roman"/>
                <w:sz w:val="13"/>
                <w:szCs w:val="13"/>
              </w:rPr>
            </w:pPr>
            <w:r w:rsidRPr="00FD50F6">
              <w:rPr>
                <w:rFonts w:ascii="Times New Roman" w:hAnsi="Times New Roman" w:hint="eastAsia"/>
                <w:sz w:val="13"/>
                <w:szCs w:val="13"/>
              </w:rPr>
              <w:t>混凝土界面剂</w:t>
            </w:r>
          </w:p>
        </w:tc>
        <w:tc>
          <w:tcPr>
            <w:tcW w:w="303" w:type="dxa"/>
            <w:tcBorders>
              <w:top w:val="single" w:sz="4" w:space="0" w:color="auto"/>
              <w:left w:val="single" w:sz="4" w:space="0" w:color="auto"/>
              <w:bottom w:val="single" w:sz="4" w:space="0" w:color="auto"/>
              <w:right w:val="single" w:sz="4" w:space="0" w:color="auto"/>
            </w:tcBorders>
            <w:vAlign w:val="center"/>
          </w:tcPr>
          <w:p w14:paraId="41A414D1" w14:textId="77777777" w:rsidR="00E62694" w:rsidRPr="00FD50F6" w:rsidRDefault="00E62694" w:rsidP="000831EC">
            <w:pPr>
              <w:adjustRightInd w:val="0"/>
              <w:snapToGrid w:val="0"/>
              <w:spacing w:line="240" w:lineRule="auto"/>
              <w:jc w:val="center"/>
              <w:rPr>
                <w:rFonts w:ascii="Times New Roman" w:hAnsi="Times New Roman"/>
                <w:sz w:val="13"/>
                <w:szCs w:val="13"/>
              </w:rPr>
            </w:pPr>
          </w:p>
          <w:p w14:paraId="4EBF7B3A" w14:textId="77777777" w:rsidR="00E62694" w:rsidRPr="00FD50F6" w:rsidRDefault="00E62694" w:rsidP="000831EC">
            <w:pPr>
              <w:adjustRightInd w:val="0"/>
              <w:snapToGrid w:val="0"/>
              <w:spacing w:line="240" w:lineRule="auto"/>
              <w:ind w:leftChars="-2398" w:left="-5755" w:firstLineChars="3357" w:firstLine="4364"/>
              <w:jc w:val="center"/>
              <w:rPr>
                <w:rFonts w:ascii="Times New Roman" w:hAnsi="Times New Roman"/>
                <w:sz w:val="13"/>
                <w:szCs w:val="13"/>
              </w:rPr>
            </w:pPr>
          </w:p>
          <w:p w14:paraId="22E7501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预</w:t>
            </w:r>
          </w:p>
          <w:p w14:paraId="1EF84B0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埋</w:t>
            </w:r>
          </w:p>
          <w:p w14:paraId="36637974"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注</w:t>
            </w:r>
          </w:p>
          <w:p w14:paraId="2137212C"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浆</w:t>
            </w:r>
          </w:p>
          <w:p w14:paraId="5B005A24"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管</w:t>
            </w:r>
          </w:p>
        </w:tc>
        <w:tc>
          <w:tcPr>
            <w:tcW w:w="266" w:type="dxa"/>
            <w:tcBorders>
              <w:top w:val="single" w:sz="4" w:space="0" w:color="auto"/>
              <w:left w:val="single" w:sz="4" w:space="0" w:color="auto"/>
              <w:bottom w:val="single" w:sz="4" w:space="0" w:color="auto"/>
              <w:right w:val="single" w:sz="4" w:space="0" w:color="auto"/>
            </w:tcBorders>
            <w:vAlign w:val="center"/>
          </w:tcPr>
          <w:p w14:paraId="378F0A0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补偿收缩</w:t>
            </w:r>
          </w:p>
          <w:p w14:paraId="05802DB9"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w:t>
            </w:r>
          </w:p>
          <w:p w14:paraId="2166C5C3"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7EBD7C1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混</w:t>
            </w:r>
          </w:p>
          <w:p w14:paraId="464F602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凝</w:t>
            </w:r>
          </w:p>
          <w:p w14:paraId="6E29205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土</w:t>
            </w:r>
          </w:p>
        </w:tc>
        <w:tc>
          <w:tcPr>
            <w:tcW w:w="316" w:type="dxa"/>
            <w:tcBorders>
              <w:top w:val="single" w:sz="4" w:space="0" w:color="auto"/>
              <w:left w:val="single" w:sz="4" w:space="0" w:color="auto"/>
              <w:bottom w:val="single" w:sz="4" w:space="0" w:color="auto"/>
              <w:right w:val="single" w:sz="4" w:space="0" w:color="auto"/>
            </w:tcBorders>
            <w:vAlign w:val="center"/>
          </w:tcPr>
          <w:p w14:paraId="3ACBB2A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外</w:t>
            </w:r>
          </w:p>
          <w:p w14:paraId="339292D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贴</w:t>
            </w:r>
          </w:p>
          <w:p w14:paraId="1918A6A4"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式</w:t>
            </w:r>
          </w:p>
          <w:p w14:paraId="61BD9534"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4111CB80"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62B8BEA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带</w:t>
            </w:r>
          </w:p>
        </w:tc>
        <w:tc>
          <w:tcPr>
            <w:tcW w:w="251" w:type="dxa"/>
            <w:tcBorders>
              <w:top w:val="single" w:sz="4" w:space="0" w:color="auto"/>
              <w:left w:val="single" w:sz="4" w:space="0" w:color="auto"/>
              <w:bottom w:val="single" w:sz="4" w:space="0" w:color="auto"/>
              <w:right w:val="single" w:sz="4" w:space="0" w:color="auto"/>
            </w:tcBorders>
            <w:vAlign w:val="center"/>
          </w:tcPr>
          <w:p w14:paraId="6476B54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预</w:t>
            </w:r>
          </w:p>
          <w:p w14:paraId="39154FD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埋</w:t>
            </w:r>
          </w:p>
          <w:p w14:paraId="01A5C0C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注</w:t>
            </w:r>
          </w:p>
          <w:p w14:paraId="4EE176EC"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浆管</w:t>
            </w:r>
          </w:p>
        </w:tc>
        <w:tc>
          <w:tcPr>
            <w:tcW w:w="283" w:type="dxa"/>
            <w:tcBorders>
              <w:top w:val="single" w:sz="4" w:space="0" w:color="auto"/>
              <w:left w:val="single" w:sz="4" w:space="0" w:color="auto"/>
              <w:bottom w:val="single" w:sz="4" w:space="0" w:color="auto"/>
              <w:right w:val="single" w:sz="4" w:space="0" w:color="auto"/>
            </w:tcBorders>
            <w:vAlign w:val="center"/>
          </w:tcPr>
          <w:p w14:paraId="3A9C1367" w14:textId="5DEC0586" w:rsidR="00E62694" w:rsidRPr="00FD50F6" w:rsidRDefault="00E62694" w:rsidP="001A4CF3">
            <w:pPr>
              <w:adjustRightInd w:val="0"/>
              <w:snapToGrid w:val="0"/>
              <w:spacing w:line="240" w:lineRule="auto"/>
              <w:rPr>
                <w:rFonts w:ascii="Times New Roman" w:hAnsi="Times New Roman"/>
                <w:sz w:val="13"/>
                <w:szCs w:val="13"/>
              </w:rPr>
            </w:pPr>
            <w:r w:rsidRPr="00FD50F6">
              <w:rPr>
                <w:rFonts w:ascii="Times New Roman" w:hAnsi="Times New Roman" w:hint="eastAsia"/>
                <w:sz w:val="13"/>
                <w:szCs w:val="13"/>
              </w:rPr>
              <w:t>防水加强层</w:t>
            </w:r>
          </w:p>
        </w:tc>
        <w:tc>
          <w:tcPr>
            <w:tcW w:w="709" w:type="dxa"/>
            <w:tcBorders>
              <w:top w:val="single" w:sz="4" w:space="0" w:color="auto"/>
              <w:left w:val="single" w:sz="4" w:space="0" w:color="auto"/>
              <w:bottom w:val="single" w:sz="4" w:space="0" w:color="auto"/>
              <w:right w:val="single" w:sz="4" w:space="0" w:color="auto"/>
            </w:tcBorders>
            <w:vAlign w:val="center"/>
          </w:tcPr>
          <w:p w14:paraId="10A1294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遇</w:t>
            </w:r>
          </w:p>
          <w:p w14:paraId="11B9D1A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20ADB2D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膨</w:t>
            </w:r>
          </w:p>
          <w:p w14:paraId="42B39A0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胀</w:t>
            </w:r>
          </w:p>
          <w:p w14:paraId="7F290543"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63BBCBC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3686906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条</w:t>
            </w:r>
          </w:p>
          <w:p w14:paraId="635E8ED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（胶）</w:t>
            </w:r>
          </w:p>
        </w:tc>
        <w:tc>
          <w:tcPr>
            <w:tcW w:w="284" w:type="dxa"/>
            <w:tcBorders>
              <w:top w:val="single" w:sz="4" w:space="0" w:color="auto"/>
              <w:left w:val="single" w:sz="4" w:space="0" w:color="auto"/>
              <w:bottom w:val="single" w:sz="4" w:space="0" w:color="auto"/>
              <w:right w:val="single" w:sz="4" w:space="0" w:color="auto"/>
            </w:tcBorders>
            <w:vAlign w:val="center"/>
          </w:tcPr>
          <w:p w14:paraId="0DE1B41E" w14:textId="30B82355" w:rsidR="00E62694" w:rsidRPr="00FD50F6" w:rsidRDefault="00E62694" w:rsidP="00E62694">
            <w:pPr>
              <w:adjustRightInd w:val="0"/>
              <w:snapToGrid w:val="0"/>
              <w:spacing w:line="240" w:lineRule="auto"/>
              <w:jc w:val="center"/>
              <w:rPr>
                <w:rFonts w:ascii="Times New Roman" w:hAnsi="Times New Roman"/>
                <w:sz w:val="13"/>
                <w:szCs w:val="13"/>
              </w:rPr>
            </w:pPr>
            <w:r w:rsidRPr="00FD50F6">
              <w:rPr>
                <w:rFonts w:ascii="Times New Roman" w:hAnsi="Times New Roman" w:hint="eastAsia"/>
                <w:sz w:val="13"/>
                <w:szCs w:val="13"/>
              </w:rPr>
              <w:t>混凝土界面剂</w:t>
            </w:r>
          </w:p>
        </w:tc>
        <w:tc>
          <w:tcPr>
            <w:tcW w:w="313" w:type="dxa"/>
            <w:tcBorders>
              <w:top w:val="single" w:sz="4" w:space="0" w:color="auto"/>
              <w:left w:val="single" w:sz="4" w:space="0" w:color="auto"/>
              <w:bottom w:val="single" w:sz="4" w:space="0" w:color="auto"/>
              <w:right w:val="single" w:sz="4" w:space="0" w:color="auto"/>
            </w:tcBorders>
            <w:vAlign w:val="center"/>
          </w:tcPr>
          <w:p w14:paraId="26C789CA"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中</w:t>
            </w:r>
          </w:p>
          <w:p w14:paraId="4FFDC846"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埋</w:t>
            </w:r>
          </w:p>
          <w:p w14:paraId="55F9009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式</w:t>
            </w:r>
          </w:p>
          <w:p w14:paraId="4C998969"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39395D15"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68B4C39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带</w:t>
            </w:r>
          </w:p>
        </w:tc>
        <w:tc>
          <w:tcPr>
            <w:tcW w:w="346" w:type="dxa"/>
            <w:tcBorders>
              <w:top w:val="single" w:sz="4" w:space="0" w:color="auto"/>
              <w:left w:val="single" w:sz="4" w:space="0" w:color="auto"/>
              <w:bottom w:val="single" w:sz="4" w:space="0" w:color="auto"/>
              <w:right w:val="single" w:sz="4" w:space="0" w:color="auto"/>
            </w:tcBorders>
            <w:vAlign w:val="center"/>
          </w:tcPr>
          <w:p w14:paraId="79C09DAB"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外</w:t>
            </w:r>
          </w:p>
          <w:p w14:paraId="6D6DA832"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贴</w:t>
            </w:r>
          </w:p>
          <w:p w14:paraId="22DA88C4"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式</w:t>
            </w:r>
          </w:p>
          <w:p w14:paraId="34BD91C2"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678D8F0C"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3CB5BBD1"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带</w:t>
            </w:r>
          </w:p>
        </w:tc>
        <w:tc>
          <w:tcPr>
            <w:tcW w:w="346" w:type="dxa"/>
            <w:tcBorders>
              <w:top w:val="single" w:sz="4" w:space="0" w:color="auto"/>
              <w:left w:val="single" w:sz="4" w:space="0" w:color="auto"/>
              <w:bottom w:val="single" w:sz="4" w:space="0" w:color="auto"/>
              <w:right w:val="single" w:sz="4" w:space="0" w:color="auto"/>
            </w:tcBorders>
            <w:vAlign w:val="center"/>
          </w:tcPr>
          <w:p w14:paraId="22F30F74"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可</w:t>
            </w:r>
          </w:p>
          <w:p w14:paraId="61A4966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卸</w:t>
            </w:r>
          </w:p>
          <w:p w14:paraId="022ACF4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式</w:t>
            </w:r>
          </w:p>
          <w:p w14:paraId="3F5E92D0"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止</w:t>
            </w:r>
          </w:p>
          <w:p w14:paraId="2A32FC00"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水</w:t>
            </w:r>
          </w:p>
          <w:p w14:paraId="00FA4C9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带</w:t>
            </w:r>
          </w:p>
        </w:tc>
        <w:tc>
          <w:tcPr>
            <w:tcW w:w="346" w:type="dxa"/>
            <w:tcBorders>
              <w:top w:val="single" w:sz="4" w:space="0" w:color="auto"/>
              <w:left w:val="single" w:sz="4" w:space="0" w:color="auto"/>
              <w:bottom w:val="single" w:sz="4" w:space="0" w:color="auto"/>
              <w:right w:val="single" w:sz="4" w:space="0" w:color="auto"/>
            </w:tcBorders>
            <w:vAlign w:val="center"/>
          </w:tcPr>
          <w:p w14:paraId="1D59065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防水密封材料</w:t>
            </w:r>
          </w:p>
        </w:tc>
        <w:tc>
          <w:tcPr>
            <w:tcW w:w="692" w:type="dxa"/>
            <w:tcBorders>
              <w:top w:val="single" w:sz="4" w:space="0" w:color="auto"/>
              <w:left w:val="single" w:sz="4" w:space="0" w:color="auto"/>
              <w:bottom w:val="single" w:sz="4" w:space="0" w:color="auto"/>
              <w:right w:val="single" w:sz="4" w:space="0" w:color="auto"/>
            </w:tcBorders>
            <w:vAlign w:val="center"/>
          </w:tcPr>
          <w:p w14:paraId="7B55D88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外贴防水卷材</w:t>
            </w:r>
            <w:r w:rsidRPr="00FD50F6">
              <w:rPr>
                <w:rFonts w:ascii="Times New Roman" w:hAnsi="Times New Roman" w:hint="eastAsia"/>
                <w:sz w:val="13"/>
                <w:szCs w:val="13"/>
              </w:rPr>
              <w:t>或</w:t>
            </w:r>
          </w:p>
          <w:p w14:paraId="2760A7F8"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外涂防水涂料</w:t>
            </w:r>
            <w:r w:rsidRPr="00FD50F6">
              <w:rPr>
                <w:rFonts w:ascii="Times New Roman" w:hAnsi="Times New Roman" w:hint="eastAsia"/>
                <w:sz w:val="13"/>
                <w:szCs w:val="13"/>
              </w:rPr>
              <w:t>加强层</w:t>
            </w:r>
          </w:p>
        </w:tc>
        <w:tc>
          <w:tcPr>
            <w:tcW w:w="346" w:type="dxa"/>
            <w:tcBorders>
              <w:top w:val="single" w:sz="4" w:space="0" w:color="auto"/>
              <w:left w:val="single" w:sz="4" w:space="0" w:color="auto"/>
              <w:bottom w:val="single" w:sz="4" w:space="0" w:color="auto"/>
              <w:right w:val="single" w:sz="4" w:space="0" w:color="auto"/>
            </w:tcBorders>
            <w:vAlign w:val="center"/>
          </w:tcPr>
          <w:p w14:paraId="4218AD22" w14:textId="0CFD5638" w:rsidR="00E62694" w:rsidRPr="00FD50F6" w:rsidRDefault="00E62694" w:rsidP="001A4CF3">
            <w:pPr>
              <w:adjustRightInd w:val="0"/>
              <w:snapToGrid w:val="0"/>
              <w:spacing w:line="240" w:lineRule="auto"/>
              <w:rPr>
                <w:rFonts w:ascii="Times New Roman" w:hAnsi="Times New Roman"/>
                <w:sz w:val="13"/>
                <w:szCs w:val="13"/>
              </w:rPr>
            </w:pPr>
          </w:p>
        </w:tc>
      </w:tr>
      <w:tr w:rsidR="00FD50F6" w:rsidRPr="00FD50F6" w14:paraId="0A240861" w14:textId="77777777" w:rsidTr="000831EC">
        <w:trPr>
          <w:trHeight w:val="350"/>
          <w:jc w:val="center"/>
        </w:trPr>
        <w:tc>
          <w:tcPr>
            <w:tcW w:w="346" w:type="dxa"/>
            <w:vMerge w:val="restart"/>
            <w:vAlign w:val="center"/>
          </w:tcPr>
          <w:p w14:paraId="4D136C26"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防水等级</w:t>
            </w:r>
          </w:p>
        </w:tc>
        <w:tc>
          <w:tcPr>
            <w:tcW w:w="346" w:type="dxa"/>
            <w:vAlign w:val="center"/>
          </w:tcPr>
          <w:p w14:paraId="7D28D966"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一级</w:t>
            </w:r>
          </w:p>
        </w:tc>
        <w:tc>
          <w:tcPr>
            <w:tcW w:w="346" w:type="dxa"/>
            <w:vAlign w:val="center"/>
          </w:tcPr>
          <w:p w14:paraId="232917F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必选</w:t>
            </w:r>
          </w:p>
        </w:tc>
        <w:tc>
          <w:tcPr>
            <w:tcW w:w="1384" w:type="dxa"/>
            <w:gridSpan w:val="4"/>
            <w:vAlign w:val="center"/>
          </w:tcPr>
          <w:p w14:paraId="7A892695" w14:textId="4013EE9F"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选一至二种</w:t>
            </w:r>
          </w:p>
        </w:tc>
        <w:tc>
          <w:tcPr>
            <w:tcW w:w="1947" w:type="dxa"/>
            <w:gridSpan w:val="5"/>
            <w:vAlign w:val="center"/>
          </w:tcPr>
          <w:p w14:paraId="7A9A29BF" w14:textId="57B6141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选二种</w:t>
            </w:r>
          </w:p>
        </w:tc>
        <w:tc>
          <w:tcPr>
            <w:tcW w:w="266" w:type="dxa"/>
            <w:vAlign w:val="center"/>
          </w:tcPr>
          <w:p w14:paraId="07407BE7"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必选</w:t>
            </w:r>
          </w:p>
        </w:tc>
        <w:tc>
          <w:tcPr>
            <w:tcW w:w="1843" w:type="dxa"/>
            <w:gridSpan w:val="5"/>
            <w:vAlign w:val="center"/>
          </w:tcPr>
          <w:p w14:paraId="4FDDF59A" w14:textId="7F2D9762"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选二种</w:t>
            </w:r>
          </w:p>
        </w:tc>
        <w:tc>
          <w:tcPr>
            <w:tcW w:w="313" w:type="dxa"/>
            <w:vAlign w:val="center"/>
          </w:tcPr>
          <w:p w14:paraId="112406FD"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必选</w:t>
            </w:r>
          </w:p>
        </w:tc>
        <w:tc>
          <w:tcPr>
            <w:tcW w:w="2076" w:type="dxa"/>
            <w:gridSpan w:val="5"/>
            <w:vAlign w:val="center"/>
          </w:tcPr>
          <w:p w14:paraId="2E2CDCEC" w14:textId="1315936C"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选二至三种</w:t>
            </w:r>
          </w:p>
        </w:tc>
      </w:tr>
      <w:tr w:rsidR="00FD50F6" w:rsidRPr="00FD50F6" w14:paraId="71B335F9" w14:textId="77777777" w:rsidTr="000831EC">
        <w:trPr>
          <w:trHeight w:val="345"/>
          <w:jc w:val="center"/>
        </w:trPr>
        <w:tc>
          <w:tcPr>
            <w:tcW w:w="346" w:type="dxa"/>
            <w:vMerge/>
            <w:vAlign w:val="center"/>
          </w:tcPr>
          <w:p w14:paraId="23621F06" w14:textId="77777777" w:rsidR="00E62694" w:rsidRPr="00FD50F6" w:rsidRDefault="00E62694" w:rsidP="000831EC">
            <w:pPr>
              <w:adjustRightInd w:val="0"/>
              <w:snapToGrid w:val="0"/>
              <w:spacing w:before="120" w:after="120" w:line="240" w:lineRule="auto"/>
              <w:jc w:val="center"/>
              <w:rPr>
                <w:rFonts w:ascii="Times New Roman" w:hAnsi="Times New Roman"/>
                <w:sz w:val="13"/>
                <w:szCs w:val="13"/>
              </w:rPr>
            </w:pPr>
          </w:p>
        </w:tc>
        <w:tc>
          <w:tcPr>
            <w:tcW w:w="346" w:type="dxa"/>
            <w:vAlign w:val="center"/>
          </w:tcPr>
          <w:p w14:paraId="064CDBFC"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二级</w:t>
            </w:r>
          </w:p>
        </w:tc>
        <w:tc>
          <w:tcPr>
            <w:tcW w:w="346" w:type="dxa"/>
            <w:vAlign w:val="center"/>
          </w:tcPr>
          <w:p w14:paraId="4DA00BDE"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必选</w:t>
            </w:r>
          </w:p>
        </w:tc>
        <w:tc>
          <w:tcPr>
            <w:tcW w:w="1384" w:type="dxa"/>
            <w:gridSpan w:val="4"/>
            <w:vAlign w:val="center"/>
          </w:tcPr>
          <w:p w14:paraId="0FF41BC4" w14:textId="3DC563A3"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选一种</w:t>
            </w:r>
          </w:p>
        </w:tc>
        <w:tc>
          <w:tcPr>
            <w:tcW w:w="1947" w:type="dxa"/>
            <w:gridSpan w:val="5"/>
            <w:vAlign w:val="center"/>
          </w:tcPr>
          <w:p w14:paraId="22D9F90F" w14:textId="588C300B"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选一至二种</w:t>
            </w:r>
          </w:p>
        </w:tc>
        <w:tc>
          <w:tcPr>
            <w:tcW w:w="266" w:type="dxa"/>
            <w:vAlign w:val="center"/>
          </w:tcPr>
          <w:p w14:paraId="1F347989"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必选</w:t>
            </w:r>
          </w:p>
        </w:tc>
        <w:tc>
          <w:tcPr>
            <w:tcW w:w="1843" w:type="dxa"/>
            <w:gridSpan w:val="5"/>
            <w:vAlign w:val="center"/>
          </w:tcPr>
          <w:p w14:paraId="3B274261" w14:textId="151BE8F2"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选一至二种</w:t>
            </w:r>
          </w:p>
        </w:tc>
        <w:tc>
          <w:tcPr>
            <w:tcW w:w="313" w:type="dxa"/>
            <w:vAlign w:val="center"/>
          </w:tcPr>
          <w:p w14:paraId="6C2A5342" w14:textId="77777777"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必选</w:t>
            </w:r>
          </w:p>
        </w:tc>
        <w:tc>
          <w:tcPr>
            <w:tcW w:w="2076" w:type="dxa"/>
            <w:gridSpan w:val="5"/>
            <w:vAlign w:val="center"/>
          </w:tcPr>
          <w:p w14:paraId="2EC90AE1" w14:textId="6AC4424F" w:rsidR="00E62694" w:rsidRPr="00FD50F6" w:rsidRDefault="00E62694" w:rsidP="000831EC">
            <w:pPr>
              <w:adjustRightInd w:val="0"/>
              <w:snapToGrid w:val="0"/>
              <w:spacing w:line="240" w:lineRule="auto"/>
              <w:jc w:val="center"/>
              <w:rPr>
                <w:rFonts w:ascii="Times New Roman" w:hAnsi="Times New Roman"/>
                <w:sz w:val="13"/>
                <w:szCs w:val="13"/>
              </w:rPr>
            </w:pPr>
            <w:r w:rsidRPr="00FD50F6">
              <w:rPr>
                <w:rFonts w:ascii="Times New Roman" w:hAnsi="Times New Roman"/>
                <w:sz w:val="13"/>
                <w:szCs w:val="13"/>
              </w:rPr>
              <w:t>选一至二种</w:t>
            </w:r>
          </w:p>
        </w:tc>
      </w:tr>
    </w:tbl>
    <w:p w14:paraId="032A824E" w14:textId="77777777" w:rsidR="00E62694" w:rsidRPr="00805449" w:rsidRDefault="00E62694" w:rsidP="00805449">
      <w:pPr>
        <w:widowControl/>
        <w:spacing w:line="0" w:lineRule="atLeast"/>
        <w:ind w:left="420" w:hangingChars="200" w:hanging="420"/>
        <w:jc w:val="left"/>
        <w:rPr>
          <w:rFonts w:ascii="Times New Roman" w:hAnsi="Times New Roman" w:cs="黑体"/>
          <w:kern w:val="0"/>
          <w:sz w:val="21"/>
        </w:rPr>
      </w:pPr>
      <w:r w:rsidRPr="00805449">
        <w:rPr>
          <w:rFonts w:ascii="Times New Roman" w:hAnsi="Times New Roman" w:cs="黑体" w:hint="eastAsia"/>
          <w:kern w:val="0"/>
          <w:sz w:val="21"/>
        </w:rPr>
        <w:t>注：一级防水的外设防水层须双道设置，其中必须有一道卷材防水层或涂料防水层。</w:t>
      </w:r>
    </w:p>
    <w:p w14:paraId="10D58CBB" w14:textId="77777777" w:rsidR="00E62694" w:rsidRPr="00FD50F6" w:rsidRDefault="00E62694" w:rsidP="00E62694">
      <w:pPr>
        <w:pStyle w:val="30"/>
      </w:pPr>
      <w:r w:rsidRPr="00FD50F6">
        <w:t>明挖敞口放坡施工的地下结构和侧墙为复合墙的地下结构，应采用防水混凝土和全包防水层组成双道防线。</w:t>
      </w:r>
    </w:p>
    <w:p w14:paraId="6B84A3B8" w14:textId="6DE16939" w:rsidR="00E62694" w:rsidRPr="00FD50F6" w:rsidRDefault="00E62694" w:rsidP="00E62694">
      <w:pPr>
        <w:pStyle w:val="30"/>
      </w:pPr>
      <w:r w:rsidRPr="00FD50F6">
        <w:t>地下连续墙作为单层墙主体结构时，应符合下列规定：</w:t>
      </w:r>
    </w:p>
    <w:p w14:paraId="5A89CD1E" w14:textId="77777777" w:rsidR="00E62694" w:rsidRPr="00FD50F6" w:rsidRDefault="00E62694" w:rsidP="00A926BD">
      <w:pPr>
        <w:pStyle w:val="4"/>
      </w:pPr>
      <w:r w:rsidRPr="00FD50F6">
        <w:rPr>
          <w:rFonts w:hint="eastAsia"/>
        </w:rPr>
        <w:t>连续墙墙体本身应增强结构自防水措施；</w:t>
      </w:r>
    </w:p>
    <w:p w14:paraId="738EDABA" w14:textId="77777777" w:rsidR="00E62694" w:rsidRPr="00FD50F6" w:rsidRDefault="00E62694" w:rsidP="00A926BD">
      <w:pPr>
        <w:pStyle w:val="4"/>
      </w:pPr>
      <w:r w:rsidRPr="00FD50F6">
        <w:t>连续墙墙体幅间接缝应采用经实践检验行之有效的防水接头；</w:t>
      </w:r>
    </w:p>
    <w:p w14:paraId="4A6A01D0" w14:textId="31CDF2DD" w:rsidR="00E62694" w:rsidRPr="00FD50F6" w:rsidRDefault="00E62694" w:rsidP="00A926BD">
      <w:pPr>
        <w:pStyle w:val="4"/>
      </w:pPr>
      <w:r w:rsidRPr="00FD50F6">
        <w:t>车站顶板迎水面应设置柔性防水层</w:t>
      </w:r>
      <w:r w:rsidRPr="00FD50F6">
        <w:rPr>
          <w:rFonts w:hint="eastAsia"/>
        </w:rPr>
        <w:t>，并应处理好刚柔连接过渡区的密封。墙体内侧时设置离壁沟或离壁墙</w:t>
      </w:r>
      <w:r w:rsidRPr="00FD50F6">
        <w:rPr>
          <w:rStyle w:val="afff2"/>
          <w:rFonts w:ascii="等线" w:hAnsi="等线" w:hint="eastAsia"/>
          <w:bCs w:val="0"/>
        </w:rPr>
        <w:t>，沟内须做防水层。</w:t>
      </w:r>
    </w:p>
    <w:p w14:paraId="5FD4664C" w14:textId="279C1932" w:rsidR="00E62694" w:rsidRPr="00FD50F6" w:rsidRDefault="00E62694" w:rsidP="00A926BD">
      <w:pPr>
        <w:pStyle w:val="4"/>
      </w:pPr>
      <w:r w:rsidRPr="00FD50F6">
        <w:rPr>
          <w:rFonts w:hint="eastAsia"/>
        </w:rPr>
        <w:t>连续墙墙体内表面可</w:t>
      </w:r>
      <w:r w:rsidRPr="00FD50F6">
        <w:t>采用水泥基渗透结晶型防水涂料、高渗透性改性环氧涂料或聚合物水泥防水</w:t>
      </w:r>
      <w:r w:rsidRPr="00FD50F6">
        <w:rPr>
          <w:rFonts w:hint="eastAsia"/>
        </w:rPr>
        <w:t>砂浆</w:t>
      </w:r>
      <w:r w:rsidRPr="00FD50F6">
        <w:t>等</w:t>
      </w:r>
      <w:r w:rsidRPr="00FD50F6">
        <w:rPr>
          <w:rFonts w:hint="eastAsia"/>
        </w:rPr>
        <w:t>。连续墙墙板接缝的施工缝处应加强防水密封。</w:t>
      </w:r>
    </w:p>
    <w:p w14:paraId="7265545D" w14:textId="3AA181E9" w:rsidR="00E62694" w:rsidRPr="00FD50F6" w:rsidRDefault="007E5C48" w:rsidP="00A926BD">
      <w:pPr>
        <w:pStyle w:val="4"/>
      </w:pPr>
      <w:r>
        <w:rPr>
          <w:rFonts w:hint="eastAsia"/>
        </w:rPr>
        <w:t>当</w:t>
      </w:r>
      <w:r w:rsidR="00E62694" w:rsidRPr="00FD50F6">
        <w:rPr>
          <w:rFonts w:hint="eastAsia"/>
        </w:rPr>
        <w:t>连续墙</w:t>
      </w:r>
      <w:r w:rsidR="00E62694" w:rsidRPr="00FD50F6">
        <w:t>墙体幅间接缝</w:t>
      </w:r>
      <w:r w:rsidR="00E62694" w:rsidRPr="00FD50F6">
        <w:rPr>
          <w:rFonts w:hint="eastAsia"/>
        </w:rPr>
        <w:t>出现</w:t>
      </w:r>
      <w:r w:rsidR="00E62694" w:rsidRPr="00FD50F6">
        <w:t>渗漏时，应采用注浆、嵌填弹性密封材料等进行堵漏；</w:t>
      </w:r>
    </w:p>
    <w:p w14:paraId="34625D0F" w14:textId="71835F34" w:rsidR="00E62694" w:rsidRPr="00FD50F6" w:rsidRDefault="00E62694" w:rsidP="00A926BD">
      <w:pPr>
        <w:pStyle w:val="4"/>
      </w:pPr>
      <w:r w:rsidRPr="00FD50F6">
        <w:t>连续墙施工时宜采用高分子泥浆护壁和水下抗分散混凝土浇筑。</w:t>
      </w:r>
    </w:p>
    <w:p w14:paraId="3C98EA3B" w14:textId="77777777" w:rsidR="00E62694" w:rsidRPr="00FD50F6" w:rsidRDefault="00E62694" w:rsidP="00E62694">
      <w:pPr>
        <w:pStyle w:val="30"/>
      </w:pPr>
      <w:r w:rsidRPr="00FD50F6">
        <w:t>叠合墙结构防水应符合下列规定：</w:t>
      </w:r>
    </w:p>
    <w:p w14:paraId="515EB4D8" w14:textId="741BFC75" w:rsidR="00E62694" w:rsidRPr="00FD50F6" w:rsidRDefault="00E62694" w:rsidP="00A926BD">
      <w:pPr>
        <w:pStyle w:val="4"/>
      </w:pPr>
      <w:r w:rsidRPr="00FD50F6">
        <w:rPr>
          <w:rFonts w:hint="eastAsia"/>
        </w:rPr>
        <w:t>支护结构</w:t>
      </w:r>
      <w:r w:rsidRPr="00FD50F6">
        <w:t>为地下连续墙时，其支撑部位及墙体的裂缝、空洞等缺陷应采用防水砂浆或细石混凝土进行修补。墙体幅间接缝</w:t>
      </w:r>
      <w:r w:rsidRPr="00FD50F6">
        <w:rPr>
          <w:rFonts w:hint="eastAsia"/>
        </w:rPr>
        <w:t>出现</w:t>
      </w:r>
      <w:r w:rsidRPr="00FD50F6">
        <w:t>的渗漏应采用注浆、嵌填防水砂浆等进行防水处理</w:t>
      </w:r>
      <w:r w:rsidRPr="00FD50F6">
        <w:rPr>
          <w:rFonts w:hint="eastAsia"/>
        </w:rPr>
        <w:t>。</w:t>
      </w:r>
    </w:p>
    <w:p w14:paraId="394CB363" w14:textId="246A9D35" w:rsidR="00E62694" w:rsidRPr="00FD50F6" w:rsidRDefault="00E62694" w:rsidP="00A926BD">
      <w:pPr>
        <w:pStyle w:val="4"/>
      </w:pPr>
      <w:r w:rsidRPr="00FD50F6">
        <w:t>车站顶板迎水面应设置柔性防水层，并应处理好刚、柔连接过渡区的密封</w:t>
      </w:r>
      <w:r w:rsidRPr="00FD50F6">
        <w:rPr>
          <w:rFonts w:hint="eastAsia"/>
        </w:rPr>
        <w:t>。</w:t>
      </w:r>
    </w:p>
    <w:p w14:paraId="4E8AAC8A" w14:textId="77777777" w:rsidR="00E62694" w:rsidRPr="00FD50F6" w:rsidRDefault="00E62694" w:rsidP="00A926BD">
      <w:pPr>
        <w:pStyle w:val="4"/>
      </w:pPr>
      <w:r w:rsidRPr="00FD50F6">
        <w:t>连续墙墙面应清洗干净并进行防水处理，</w:t>
      </w:r>
      <w:r w:rsidRPr="00FD50F6">
        <w:rPr>
          <w:rFonts w:hint="eastAsia"/>
        </w:rPr>
        <w:t>可采用全部或墙幅接头局部范围涂刷水泥基渗透结晶防水材料，</w:t>
      </w:r>
      <w:r w:rsidRPr="00FD50F6">
        <w:t>再浇筑内衬混凝土。</w:t>
      </w:r>
    </w:p>
    <w:p w14:paraId="390A003A" w14:textId="77777777" w:rsidR="00E62694" w:rsidRPr="00FD50F6" w:rsidRDefault="00E62694" w:rsidP="00E62694">
      <w:pPr>
        <w:pStyle w:val="30"/>
      </w:pPr>
      <w:r w:rsidRPr="00FD50F6">
        <w:t>复合墙结构防水应符合下列规定：</w:t>
      </w:r>
    </w:p>
    <w:p w14:paraId="4FB77F98" w14:textId="77777777" w:rsidR="00E62694" w:rsidRPr="00FD50F6" w:rsidRDefault="00E62694" w:rsidP="00A926BD">
      <w:pPr>
        <w:pStyle w:val="4"/>
      </w:pPr>
      <w:r w:rsidRPr="00FD50F6">
        <w:t>结构顶、底板迎水面防水层与侧墙防水层宜形成整体密封防水层，并应根据不同部位设置与其相适应的保护层；</w:t>
      </w:r>
    </w:p>
    <w:p w14:paraId="4DA6D1D8" w14:textId="77777777" w:rsidR="00E62694" w:rsidRPr="00FD50F6" w:rsidRDefault="00E62694" w:rsidP="00A926BD">
      <w:pPr>
        <w:pStyle w:val="4"/>
      </w:pPr>
      <w:r w:rsidRPr="00FD50F6">
        <w:t>车站主体结构与人行通道、通风道以及区间隧道等结合部位，应根据结构</w:t>
      </w:r>
      <w:r w:rsidRPr="00FD50F6">
        <w:lastRenderedPageBreak/>
        <w:t>构造型式选择相匹配的防水措施；</w:t>
      </w:r>
    </w:p>
    <w:p w14:paraId="13CD2D54" w14:textId="7564B0A9" w:rsidR="00E62694" w:rsidRPr="00FD50F6" w:rsidRDefault="00E62694" w:rsidP="00A926BD">
      <w:pPr>
        <w:pStyle w:val="4"/>
      </w:pPr>
      <w:r w:rsidRPr="00FD50F6">
        <w:t>车站与区间隧道所选用的不同防水层应能相互过渡粘结或焊接，形成连续整体密封的防水体系</w:t>
      </w:r>
      <w:r w:rsidRPr="00FD50F6">
        <w:rPr>
          <w:rFonts w:hint="eastAsia"/>
        </w:rPr>
        <w:t>；</w:t>
      </w:r>
    </w:p>
    <w:p w14:paraId="4150AB89" w14:textId="77777777" w:rsidR="00E62694" w:rsidRPr="00FD50F6" w:rsidRDefault="00E62694" w:rsidP="00A926BD">
      <w:pPr>
        <w:pStyle w:val="4"/>
      </w:pPr>
      <w:r w:rsidRPr="00FD50F6">
        <w:t>防水层宜选用不易窜水的防水材料或防水系统。</w:t>
      </w:r>
    </w:p>
    <w:p w14:paraId="535733D7" w14:textId="54131566" w:rsidR="00E62694" w:rsidRPr="00FD50F6" w:rsidRDefault="00E62694" w:rsidP="001A4CF3">
      <w:pPr>
        <w:pStyle w:val="30"/>
      </w:pPr>
      <w:r w:rsidRPr="00FD50F6">
        <w:rPr>
          <w:rFonts w:hint="eastAsia"/>
        </w:rPr>
        <w:t>预制装配式结构防水应符合下列规定：</w:t>
      </w:r>
    </w:p>
    <w:p w14:paraId="536C91AD" w14:textId="1D1773DE" w:rsidR="00E62694" w:rsidRPr="00FD50F6" w:rsidRDefault="00E62694" w:rsidP="00A926BD">
      <w:pPr>
        <w:pStyle w:val="4"/>
      </w:pPr>
      <w:r w:rsidRPr="00FD50F6">
        <w:rPr>
          <w:rFonts w:hint="eastAsia"/>
        </w:rPr>
        <w:t>预制构件应采用防水混凝土，抗渗等级不宜小于</w:t>
      </w:r>
      <w:r w:rsidRPr="00FD50F6">
        <w:rPr>
          <w:rFonts w:hint="eastAsia"/>
        </w:rPr>
        <w:t>P10</w:t>
      </w:r>
      <w:r w:rsidRPr="00FD50F6">
        <w:rPr>
          <w:rFonts w:hint="eastAsia"/>
        </w:rPr>
        <w:t>；</w:t>
      </w:r>
    </w:p>
    <w:p w14:paraId="071D7A22" w14:textId="77777777" w:rsidR="00E62694" w:rsidRPr="00FD50F6" w:rsidRDefault="00E62694" w:rsidP="00A926BD">
      <w:pPr>
        <w:pStyle w:val="4"/>
      </w:pPr>
      <w:r w:rsidRPr="00FD50F6">
        <w:rPr>
          <w:rFonts w:hint="eastAsia"/>
        </w:rPr>
        <w:t>预制构件接缝应采用双道三元乙丙橡胶密封垫防水；</w:t>
      </w:r>
    </w:p>
    <w:p w14:paraId="10E32D7E" w14:textId="7DFD718C" w:rsidR="00E62694" w:rsidRPr="00FD50F6" w:rsidRDefault="00E62694" w:rsidP="00805449">
      <w:pPr>
        <w:pStyle w:val="4"/>
      </w:pPr>
      <w:r w:rsidRPr="00FD50F6">
        <w:rPr>
          <w:rFonts w:hint="eastAsia"/>
        </w:rPr>
        <w:t>双道密封垫之间应采取环氧砂浆注浆措施；</w:t>
      </w:r>
    </w:p>
    <w:p w14:paraId="7654E4A8" w14:textId="7EF9FCF8" w:rsidR="00E62694" w:rsidRPr="00FD50F6" w:rsidRDefault="00E62694" w:rsidP="00805449">
      <w:pPr>
        <w:pStyle w:val="4"/>
      </w:pPr>
      <w:r w:rsidRPr="00FD50F6">
        <w:rPr>
          <w:rFonts w:hint="eastAsia"/>
        </w:rPr>
        <w:t>预制构件沟槽内侧应采取密封胶嵌缝措施；</w:t>
      </w:r>
    </w:p>
    <w:p w14:paraId="31D4EF7A" w14:textId="27C4D634" w:rsidR="00E62694" w:rsidRPr="00FD50F6" w:rsidRDefault="00E62694" w:rsidP="00A926BD">
      <w:pPr>
        <w:pStyle w:val="4"/>
        <w:numPr>
          <w:ilvl w:val="0"/>
          <w:numId w:val="0"/>
        </w:numPr>
        <w:ind w:left="360"/>
      </w:pPr>
      <w:r w:rsidRPr="00FD50F6">
        <w:rPr>
          <w:rFonts w:hint="eastAsia"/>
        </w:rPr>
        <w:t xml:space="preserve">5 </w:t>
      </w:r>
      <w:r w:rsidRPr="00FD50F6">
        <w:rPr>
          <w:rFonts w:hint="eastAsia"/>
        </w:rPr>
        <w:t>预制构件与现浇混凝土段相接处应设置注浆管、止水胶等防水加强措施。</w:t>
      </w:r>
    </w:p>
    <w:p w14:paraId="50F3EB45" w14:textId="455A5877" w:rsidR="00E62694" w:rsidRPr="00FD50F6" w:rsidRDefault="00E62694" w:rsidP="00E62694">
      <w:pPr>
        <w:pStyle w:val="30"/>
        <w:rPr>
          <w:rFonts w:ascii="楷体" w:eastAsia="楷体" w:hAnsi="楷体"/>
          <w:kern w:val="0"/>
        </w:rPr>
      </w:pPr>
      <w:r w:rsidRPr="00FD50F6">
        <w:rPr>
          <w:rFonts w:hint="eastAsia"/>
        </w:rPr>
        <w:t>地下工程基坑底部及顶板以上不小于</w:t>
      </w:r>
      <w:r w:rsidRPr="00FD50F6">
        <w:rPr>
          <w:rFonts w:hint="eastAsia"/>
        </w:rPr>
        <w:t>0.5 m</w:t>
      </w:r>
      <w:r w:rsidRPr="00FD50F6">
        <w:rPr>
          <w:rFonts w:hint="eastAsia"/>
        </w:rPr>
        <w:t>范围内回填层压实系数不应小于</w:t>
      </w:r>
      <w:r w:rsidRPr="00FD50F6">
        <w:rPr>
          <w:rFonts w:hint="eastAsia"/>
        </w:rPr>
        <w:t>0.95</w:t>
      </w:r>
      <w:r w:rsidRPr="00FD50F6">
        <w:rPr>
          <w:rFonts w:hint="eastAsia"/>
        </w:rPr>
        <w:t>。</w:t>
      </w:r>
    </w:p>
    <w:p w14:paraId="389588A3" w14:textId="77777777" w:rsidR="00E62694" w:rsidRPr="00FD50F6" w:rsidRDefault="00E62694" w:rsidP="00A65181">
      <w:pPr>
        <w:pStyle w:val="2"/>
      </w:pPr>
      <w:bookmarkStart w:id="499" w:name="_Toc112830737"/>
      <w:r w:rsidRPr="00FD50F6">
        <w:rPr>
          <w:rFonts w:hint="eastAsia"/>
        </w:rPr>
        <w:t>盖挖逆作法结构防水</w:t>
      </w:r>
      <w:bookmarkEnd w:id="499"/>
    </w:p>
    <w:p w14:paraId="5BA7B57F" w14:textId="49EAE1F1" w:rsidR="00E62694" w:rsidRPr="00FD50F6" w:rsidRDefault="00E62694" w:rsidP="00E62694">
      <w:pPr>
        <w:pStyle w:val="30"/>
        <w:rPr>
          <w:b/>
        </w:rPr>
      </w:pPr>
      <w:r w:rsidRPr="00FD50F6">
        <w:rPr>
          <w:rFonts w:hint="eastAsia"/>
        </w:rPr>
        <w:t>盖挖逆作法结构的防水设计，</w:t>
      </w:r>
      <w:r w:rsidRPr="00773820">
        <w:rPr>
          <w:rFonts w:hint="eastAsia"/>
        </w:rPr>
        <w:t>主体</w:t>
      </w:r>
      <w:r w:rsidRPr="00FD50F6">
        <w:rPr>
          <w:rFonts w:hint="eastAsia"/>
        </w:rPr>
        <w:t>结构应采用防水混凝土，外设防水层应符合本标准第</w:t>
      </w:r>
      <w:r w:rsidRPr="00FD50F6">
        <w:rPr>
          <w:rFonts w:hint="eastAsia"/>
        </w:rPr>
        <w:t>1</w:t>
      </w:r>
      <w:r w:rsidR="00CD74AA" w:rsidRPr="00FD50F6">
        <w:rPr>
          <w:rFonts w:hint="eastAsia"/>
        </w:rPr>
        <w:t>3</w:t>
      </w:r>
      <w:r w:rsidRPr="00FD50F6">
        <w:rPr>
          <w:rFonts w:hint="eastAsia"/>
        </w:rPr>
        <w:t>.3</w:t>
      </w:r>
      <w:r w:rsidRPr="00FD50F6">
        <w:rPr>
          <w:rFonts w:hint="eastAsia"/>
        </w:rPr>
        <w:t>节的规定。</w:t>
      </w:r>
    </w:p>
    <w:p w14:paraId="4BEAB2A3" w14:textId="77777777" w:rsidR="00E62694" w:rsidRPr="00FD50F6" w:rsidRDefault="00E62694" w:rsidP="00E62694">
      <w:pPr>
        <w:pStyle w:val="30"/>
        <w:rPr>
          <w:b/>
        </w:rPr>
      </w:pPr>
      <w:r w:rsidRPr="00FD50F6">
        <w:rPr>
          <w:rFonts w:hint="eastAsia"/>
        </w:rPr>
        <w:t>盖挖逆作结构的防水措施应符合下列规定：</w:t>
      </w:r>
    </w:p>
    <w:p w14:paraId="05D3E778" w14:textId="48A544FD" w:rsidR="00E62694" w:rsidRPr="00FD50F6" w:rsidRDefault="00E62694" w:rsidP="00A926BD">
      <w:pPr>
        <w:pStyle w:val="4"/>
      </w:pPr>
      <w:r w:rsidRPr="001A4CF3">
        <w:rPr>
          <w:rFonts w:hint="eastAsia"/>
        </w:rPr>
        <w:t>叠合墙结构</w:t>
      </w:r>
      <w:r w:rsidRPr="00FD50F6">
        <w:rPr>
          <w:rFonts w:hint="eastAsia"/>
        </w:rPr>
        <w:t>宜采取“防、排”相结合的方式达到防水设计等级要求。顶板应设置柔性防水层，</w:t>
      </w:r>
      <w:r w:rsidRPr="00FD50F6">
        <w:rPr>
          <w:rStyle w:val="afff2"/>
          <w:rFonts w:ascii="等线" w:hAnsi="等线" w:hint="eastAsia"/>
          <w:bCs w:val="0"/>
        </w:rPr>
        <w:t>墙</w:t>
      </w:r>
      <w:r w:rsidRPr="00FD50F6">
        <w:rPr>
          <w:rFonts w:hint="eastAsia"/>
        </w:rPr>
        <w:t>体内侧宜设置离壁沟或离壁墙，且应加强结构自防水措施。</w:t>
      </w:r>
    </w:p>
    <w:p w14:paraId="2D638850" w14:textId="4EDECE48" w:rsidR="00E62694" w:rsidRPr="00FD50F6" w:rsidRDefault="00E62694" w:rsidP="00A926BD">
      <w:pPr>
        <w:pStyle w:val="4"/>
      </w:pPr>
      <w:r w:rsidRPr="001A4CF3">
        <w:rPr>
          <w:rFonts w:hint="eastAsia"/>
        </w:rPr>
        <w:t>复合墙结构</w:t>
      </w:r>
      <w:r w:rsidRPr="00FD50F6">
        <w:rPr>
          <w:rFonts w:hint="eastAsia"/>
        </w:rPr>
        <w:t>应设置全包防水层。主体结构顶板与侧墙的防水层应连续，并</w:t>
      </w:r>
      <w:r w:rsidRPr="00805449">
        <w:rPr>
          <w:rFonts w:hint="eastAsia"/>
        </w:rPr>
        <w:t>应</w:t>
      </w:r>
      <w:r w:rsidRPr="00FD50F6">
        <w:rPr>
          <w:rFonts w:hint="eastAsia"/>
        </w:rPr>
        <w:t>根据支护结构的刚接或铰接形式确定过渡段防水做法。</w:t>
      </w:r>
    </w:p>
    <w:p w14:paraId="5E7134DC" w14:textId="4FC5461D" w:rsidR="00E62694" w:rsidRPr="00FD50F6" w:rsidRDefault="004645B2" w:rsidP="00A926BD">
      <w:pPr>
        <w:pStyle w:val="4"/>
      </w:pPr>
      <w:r>
        <w:rPr>
          <w:rFonts w:hint="eastAsia"/>
        </w:rPr>
        <w:t>当</w:t>
      </w:r>
      <w:r w:rsidR="00E62694" w:rsidRPr="00FD50F6">
        <w:rPr>
          <w:rFonts w:hint="eastAsia"/>
        </w:rPr>
        <w:t>复合墙结构侧墙外设防水层分段施作</w:t>
      </w:r>
      <w:r w:rsidR="00E62694" w:rsidRPr="00805449">
        <w:rPr>
          <w:rFonts w:hint="eastAsia"/>
        </w:rPr>
        <w:t>时</w:t>
      </w:r>
      <w:r w:rsidR="00E62694" w:rsidRPr="00FD50F6">
        <w:rPr>
          <w:rFonts w:hint="eastAsia"/>
        </w:rPr>
        <w:t>，防水层留槎部位可施作刚性保护层，防水层有效搭接宽度不应小于</w:t>
      </w:r>
      <w:r w:rsidR="00E62694" w:rsidRPr="00FD50F6">
        <w:rPr>
          <w:rFonts w:hint="eastAsia"/>
        </w:rPr>
        <w:t>150mm</w:t>
      </w:r>
      <w:r w:rsidR="00E62694" w:rsidRPr="00FD50F6">
        <w:rPr>
          <w:rFonts w:hint="eastAsia"/>
        </w:rPr>
        <w:t>。</w:t>
      </w:r>
    </w:p>
    <w:p w14:paraId="50AD0DE5" w14:textId="1A305CA4" w:rsidR="00E62694" w:rsidRDefault="00E62694" w:rsidP="00A926BD">
      <w:pPr>
        <w:pStyle w:val="4"/>
        <w:rPr>
          <w:szCs w:val="24"/>
        </w:rPr>
      </w:pPr>
      <w:r w:rsidRPr="00FD50F6">
        <w:rPr>
          <w:rFonts w:hint="eastAsia"/>
        </w:rPr>
        <w:t>盖挖逆作的板下纵向水平施工缝可采用双道遇水膨胀止水胶和一道注浆</w:t>
      </w:r>
      <w:r w:rsidRPr="00FD50F6">
        <w:rPr>
          <w:rFonts w:hint="eastAsia"/>
          <w:szCs w:val="24"/>
        </w:rPr>
        <w:t>管防水。</w:t>
      </w:r>
    </w:p>
    <w:p w14:paraId="572873C9" w14:textId="77777777" w:rsidR="00CA6052" w:rsidRPr="00CA6052" w:rsidRDefault="00CA6052" w:rsidP="00CA6052"/>
    <w:p w14:paraId="19FAF2F2" w14:textId="77777777" w:rsidR="00E62694" w:rsidRPr="00FD50F6" w:rsidRDefault="00E62694" w:rsidP="00A65181">
      <w:pPr>
        <w:pStyle w:val="2"/>
      </w:pPr>
      <w:bookmarkStart w:id="500" w:name="_Toc320196016"/>
      <w:bookmarkStart w:id="501" w:name="_Toc320643406"/>
      <w:bookmarkStart w:id="502" w:name="_Toc344218768"/>
      <w:bookmarkStart w:id="503" w:name="_Toc112830738"/>
      <w:r w:rsidRPr="00FD50F6">
        <w:t>矿山法</w:t>
      </w:r>
      <w:r w:rsidRPr="00FD50F6">
        <w:rPr>
          <w:rFonts w:hint="eastAsia"/>
        </w:rPr>
        <w:t>结构</w:t>
      </w:r>
      <w:r w:rsidRPr="00FD50F6">
        <w:t>防水</w:t>
      </w:r>
      <w:bookmarkEnd w:id="500"/>
      <w:bookmarkEnd w:id="501"/>
      <w:bookmarkEnd w:id="502"/>
      <w:bookmarkEnd w:id="503"/>
    </w:p>
    <w:p w14:paraId="4B46DED8" w14:textId="4C5EC8C8" w:rsidR="00E62694" w:rsidRPr="00FD50F6" w:rsidRDefault="00E62694" w:rsidP="00E62694">
      <w:pPr>
        <w:pStyle w:val="30"/>
      </w:pPr>
      <w:r w:rsidRPr="00FD50F6">
        <w:lastRenderedPageBreak/>
        <w:t>矿山法</w:t>
      </w:r>
      <w:r w:rsidRPr="00FD50F6">
        <w:rPr>
          <w:rFonts w:hint="eastAsia"/>
        </w:rPr>
        <w:t>结构</w:t>
      </w:r>
      <w:r w:rsidRPr="00FD50F6">
        <w:t>防水</w:t>
      </w:r>
      <w:r w:rsidRPr="00FD50F6">
        <w:rPr>
          <w:rFonts w:hint="eastAsia"/>
        </w:rPr>
        <w:t>设计</w:t>
      </w:r>
      <w:r w:rsidRPr="00FD50F6">
        <w:t>应符合表</w:t>
      </w:r>
      <w:r w:rsidRPr="00FD50F6">
        <w:t>1</w:t>
      </w:r>
      <w:r w:rsidR="00CD74AA" w:rsidRPr="00FD50F6">
        <w:t>3</w:t>
      </w:r>
      <w:r w:rsidRPr="00FD50F6">
        <w:t>.7.1</w:t>
      </w:r>
      <w:r w:rsidRPr="00FD50F6">
        <w:t>的规定。</w:t>
      </w:r>
    </w:p>
    <w:p w14:paraId="78DFCF65" w14:textId="6B498C40" w:rsidR="00E62694" w:rsidRPr="00FD50F6" w:rsidRDefault="00E62694" w:rsidP="00E62694">
      <w:pPr>
        <w:pStyle w:val="6"/>
      </w:pPr>
      <w:r w:rsidRPr="00FD50F6">
        <w:t>表</w:t>
      </w:r>
      <w:r w:rsidRPr="00FD50F6">
        <w:t>1</w:t>
      </w:r>
      <w:r w:rsidR="00CD74AA" w:rsidRPr="00FD50F6">
        <w:t>3</w:t>
      </w:r>
      <w:r w:rsidRPr="00FD50F6">
        <w:t xml:space="preserve">.7.1 </w:t>
      </w:r>
      <w:r w:rsidRPr="00FD50F6">
        <w:t>矿山法</w:t>
      </w:r>
      <w:r w:rsidRPr="00FD50F6">
        <w:rPr>
          <w:rFonts w:hint="eastAsia"/>
        </w:rPr>
        <w:t>结构</w:t>
      </w:r>
      <w:r w:rsidRPr="00FD50F6">
        <w:t>防水措施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669"/>
        <w:gridCol w:w="541"/>
        <w:gridCol w:w="440"/>
        <w:gridCol w:w="575"/>
        <w:gridCol w:w="430"/>
        <w:gridCol w:w="846"/>
        <w:gridCol w:w="461"/>
        <w:gridCol w:w="431"/>
        <w:gridCol w:w="462"/>
        <w:gridCol w:w="493"/>
        <w:gridCol w:w="542"/>
        <w:gridCol w:w="426"/>
        <w:gridCol w:w="426"/>
        <w:gridCol w:w="803"/>
      </w:tblGrid>
      <w:tr w:rsidR="00FD50F6" w:rsidRPr="00FD50F6" w14:paraId="2ADD4678" w14:textId="77777777" w:rsidTr="00805449">
        <w:trPr>
          <w:trHeight w:val="315"/>
          <w:jc w:val="center"/>
        </w:trPr>
        <w:tc>
          <w:tcPr>
            <w:tcW w:w="1000" w:type="pct"/>
            <w:gridSpan w:val="2"/>
          </w:tcPr>
          <w:p w14:paraId="3D24481B" w14:textId="77777777" w:rsidR="00E62694" w:rsidRPr="00FD50F6" w:rsidRDefault="00E62694" w:rsidP="000831EC">
            <w:pPr>
              <w:pStyle w:val="7"/>
            </w:pPr>
            <w:r w:rsidRPr="00FD50F6">
              <w:t>工程</w:t>
            </w:r>
          </w:p>
          <w:p w14:paraId="33EF1BBC" w14:textId="77777777" w:rsidR="00E62694" w:rsidRPr="00FD50F6" w:rsidRDefault="00E62694" w:rsidP="000831EC">
            <w:pPr>
              <w:pStyle w:val="7"/>
            </w:pPr>
            <w:r w:rsidRPr="00FD50F6">
              <w:t>部位</w:t>
            </w:r>
          </w:p>
        </w:tc>
        <w:tc>
          <w:tcPr>
            <w:tcW w:w="1228" w:type="pct"/>
            <w:gridSpan w:val="4"/>
            <w:vAlign w:val="center"/>
          </w:tcPr>
          <w:p w14:paraId="7707D2A9" w14:textId="77777777" w:rsidR="00E62694" w:rsidRPr="00FD50F6" w:rsidRDefault="00E62694" w:rsidP="000831EC">
            <w:pPr>
              <w:pStyle w:val="7"/>
            </w:pPr>
            <w:r w:rsidRPr="00FD50F6">
              <w:t>主体</w:t>
            </w:r>
          </w:p>
        </w:tc>
        <w:tc>
          <w:tcPr>
            <w:tcW w:w="1469" w:type="pct"/>
            <w:gridSpan w:val="5"/>
            <w:vAlign w:val="center"/>
          </w:tcPr>
          <w:p w14:paraId="022995A9" w14:textId="77777777" w:rsidR="00E62694" w:rsidRPr="00FD50F6" w:rsidRDefault="00E62694" w:rsidP="000831EC">
            <w:pPr>
              <w:pStyle w:val="7"/>
            </w:pPr>
            <w:r w:rsidRPr="00FD50F6">
              <w:t>内衬砌施工缝</w:t>
            </w:r>
          </w:p>
        </w:tc>
        <w:tc>
          <w:tcPr>
            <w:tcW w:w="1303" w:type="pct"/>
            <w:gridSpan w:val="4"/>
            <w:vAlign w:val="center"/>
          </w:tcPr>
          <w:p w14:paraId="105F160A" w14:textId="77777777" w:rsidR="00E62694" w:rsidRPr="00FD50F6" w:rsidRDefault="00E62694" w:rsidP="000831EC">
            <w:pPr>
              <w:pStyle w:val="7"/>
            </w:pPr>
            <w:r w:rsidRPr="00FD50F6">
              <w:t>内衬变形缝</w:t>
            </w:r>
          </w:p>
        </w:tc>
      </w:tr>
      <w:tr w:rsidR="00FD50F6" w:rsidRPr="00FD50F6" w14:paraId="5115784E" w14:textId="77777777" w:rsidTr="00805449">
        <w:trPr>
          <w:trHeight w:val="2087"/>
          <w:jc w:val="center"/>
        </w:trPr>
        <w:tc>
          <w:tcPr>
            <w:tcW w:w="1000" w:type="pct"/>
            <w:gridSpan w:val="2"/>
            <w:tcBorders>
              <w:top w:val="single" w:sz="4" w:space="0" w:color="auto"/>
              <w:left w:val="single" w:sz="4" w:space="0" w:color="auto"/>
              <w:bottom w:val="single" w:sz="4" w:space="0" w:color="auto"/>
              <w:right w:val="single" w:sz="4" w:space="0" w:color="auto"/>
            </w:tcBorders>
            <w:vAlign w:val="center"/>
          </w:tcPr>
          <w:p w14:paraId="05E522FE" w14:textId="77777777" w:rsidR="00E62694" w:rsidRPr="00FD50F6" w:rsidRDefault="00E62694" w:rsidP="000831EC">
            <w:pPr>
              <w:pStyle w:val="7"/>
            </w:pPr>
            <w:r w:rsidRPr="00FD50F6">
              <w:t>防</w:t>
            </w:r>
          </w:p>
          <w:p w14:paraId="427C22FF" w14:textId="77777777" w:rsidR="00E62694" w:rsidRPr="00FD50F6" w:rsidRDefault="00E62694" w:rsidP="000831EC">
            <w:pPr>
              <w:pStyle w:val="7"/>
            </w:pPr>
            <w:r w:rsidRPr="00FD50F6">
              <w:t>水</w:t>
            </w:r>
          </w:p>
          <w:p w14:paraId="2F57575F" w14:textId="77777777" w:rsidR="00E62694" w:rsidRPr="00FD50F6" w:rsidRDefault="00E62694" w:rsidP="000831EC">
            <w:pPr>
              <w:pStyle w:val="7"/>
            </w:pPr>
            <w:r w:rsidRPr="00FD50F6">
              <w:t>措</w:t>
            </w:r>
          </w:p>
          <w:p w14:paraId="44BF9CF8" w14:textId="77777777" w:rsidR="00E62694" w:rsidRPr="00FD50F6" w:rsidRDefault="00E62694" w:rsidP="000831EC">
            <w:pPr>
              <w:pStyle w:val="7"/>
            </w:pPr>
            <w:r w:rsidRPr="00FD50F6">
              <w:t>施</w:t>
            </w:r>
          </w:p>
        </w:tc>
        <w:tc>
          <w:tcPr>
            <w:tcW w:w="333" w:type="pct"/>
            <w:tcBorders>
              <w:top w:val="single" w:sz="4" w:space="0" w:color="auto"/>
              <w:left w:val="single" w:sz="4" w:space="0" w:color="auto"/>
              <w:bottom w:val="single" w:sz="4" w:space="0" w:color="auto"/>
              <w:right w:val="single" w:sz="4" w:space="0" w:color="auto"/>
            </w:tcBorders>
            <w:vAlign w:val="center"/>
          </w:tcPr>
          <w:p w14:paraId="05F5BE8C" w14:textId="77777777" w:rsidR="00E62694" w:rsidRPr="00FD50F6" w:rsidRDefault="00E62694" w:rsidP="000831EC">
            <w:pPr>
              <w:pStyle w:val="7"/>
            </w:pPr>
            <w:r w:rsidRPr="00FD50F6">
              <w:t>防</w:t>
            </w:r>
          </w:p>
          <w:p w14:paraId="3F9BBC47" w14:textId="77777777" w:rsidR="00E62694" w:rsidRPr="00FD50F6" w:rsidRDefault="00E62694" w:rsidP="000831EC">
            <w:pPr>
              <w:pStyle w:val="7"/>
            </w:pPr>
            <w:r w:rsidRPr="00FD50F6">
              <w:t>水</w:t>
            </w:r>
          </w:p>
          <w:p w14:paraId="5492CB34" w14:textId="77777777" w:rsidR="00E62694" w:rsidRPr="00FD50F6" w:rsidRDefault="00E62694" w:rsidP="000831EC">
            <w:pPr>
              <w:pStyle w:val="7"/>
            </w:pPr>
            <w:r w:rsidRPr="00FD50F6">
              <w:t>混</w:t>
            </w:r>
          </w:p>
          <w:p w14:paraId="1E8A7ACF" w14:textId="77777777" w:rsidR="00E62694" w:rsidRPr="00FD50F6" w:rsidRDefault="00E62694" w:rsidP="000831EC">
            <w:pPr>
              <w:pStyle w:val="7"/>
            </w:pPr>
            <w:r w:rsidRPr="00FD50F6">
              <w:t>凝</w:t>
            </w:r>
          </w:p>
          <w:p w14:paraId="419626C6" w14:textId="77777777" w:rsidR="00E62694" w:rsidRPr="00FD50F6" w:rsidRDefault="00E62694" w:rsidP="000831EC">
            <w:pPr>
              <w:pStyle w:val="7"/>
            </w:pPr>
            <w:r w:rsidRPr="00FD50F6">
              <w:t>土</w:t>
            </w:r>
          </w:p>
        </w:tc>
        <w:tc>
          <w:tcPr>
            <w:tcW w:w="274" w:type="pct"/>
            <w:tcBorders>
              <w:top w:val="single" w:sz="4" w:space="0" w:color="auto"/>
              <w:left w:val="single" w:sz="4" w:space="0" w:color="auto"/>
              <w:bottom w:val="single" w:sz="4" w:space="0" w:color="auto"/>
              <w:right w:val="single" w:sz="4" w:space="0" w:color="auto"/>
            </w:tcBorders>
            <w:vAlign w:val="center"/>
          </w:tcPr>
          <w:p w14:paraId="385A5006" w14:textId="77777777" w:rsidR="00E62694" w:rsidRPr="00FD50F6" w:rsidRDefault="00E62694" w:rsidP="000831EC">
            <w:pPr>
              <w:pStyle w:val="7"/>
            </w:pPr>
            <w:r w:rsidRPr="00FD50F6">
              <w:t>塑</w:t>
            </w:r>
          </w:p>
          <w:p w14:paraId="7BBCC4B4" w14:textId="77777777" w:rsidR="00E62694" w:rsidRPr="00FD50F6" w:rsidRDefault="00E62694" w:rsidP="000831EC">
            <w:pPr>
              <w:pStyle w:val="7"/>
            </w:pPr>
            <w:r w:rsidRPr="00FD50F6">
              <w:t>料</w:t>
            </w:r>
          </w:p>
          <w:p w14:paraId="13D31505" w14:textId="77777777" w:rsidR="00E62694" w:rsidRPr="00FD50F6" w:rsidRDefault="00E62694" w:rsidP="000831EC">
            <w:pPr>
              <w:pStyle w:val="7"/>
            </w:pPr>
            <w:r w:rsidRPr="00FD50F6">
              <w:t>防</w:t>
            </w:r>
          </w:p>
          <w:p w14:paraId="23DA1C63" w14:textId="77777777" w:rsidR="00E62694" w:rsidRPr="00FD50F6" w:rsidRDefault="00E62694" w:rsidP="000831EC">
            <w:pPr>
              <w:pStyle w:val="7"/>
            </w:pPr>
            <w:r w:rsidRPr="00FD50F6">
              <w:t>水</w:t>
            </w:r>
          </w:p>
          <w:p w14:paraId="017FC4F4" w14:textId="77777777" w:rsidR="00E62694" w:rsidRPr="00FD50F6" w:rsidRDefault="00E62694" w:rsidP="000831EC">
            <w:pPr>
              <w:pStyle w:val="7"/>
            </w:pPr>
            <w:r w:rsidRPr="00FD50F6">
              <w:t>板</w:t>
            </w:r>
          </w:p>
        </w:tc>
        <w:tc>
          <w:tcPr>
            <w:tcW w:w="353" w:type="pct"/>
            <w:tcBorders>
              <w:top w:val="single" w:sz="4" w:space="0" w:color="auto"/>
              <w:left w:val="single" w:sz="4" w:space="0" w:color="auto"/>
              <w:bottom w:val="single" w:sz="4" w:space="0" w:color="auto"/>
              <w:right w:val="single" w:sz="4" w:space="0" w:color="auto"/>
            </w:tcBorders>
            <w:vAlign w:val="center"/>
          </w:tcPr>
          <w:p w14:paraId="1DB386F4" w14:textId="77777777" w:rsidR="00E62694" w:rsidRPr="00FD50F6" w:rsidRDefault="00E62694" w:rsidP="000831EC">
            <w:pPr>
              <w:pStyle w:val="7"/>
            </w:pPr>
            <w:r w:rsidRPr="00FD50F6">
              <w:rPr>
                <w:rFonts w:hint="eastAsia"/>
              </w:rPr>
              <w:t>预</w:t>
            </w:r>
          </w:p>
          <w:p w14:paraId="0B4D0EF8" w14:textId="77777777" w:rsidR="00E62694" w:rsidRPr="00FD50F6" w:rsidRDefault="00E62694" w:rsidP="000831EC">
            <w:pPr>
              <w:pStyle w:val="7"/>
            </w:pPr>
            <w:r w:rsidRPr="00FD50F6">
              <w:rPr>
                <w:rFonts w:hint="eastAsia"/>
              </w:rPr>
              <w:t>铺</w:t>
            </w:r>
          </w:p>
          <w:p w14:paraId="2643F449" w14:textId="77777777" w:rsidR="00E62694" w:rsidRPr="00FD50F6" w:rsidRDefault="00E62694" w:rsidP="000831EC">
            <w:pPr>
              <w:pStyle w:val="7"/>
            </w:pPr>
            <w:r w:rsidRPr="00FD50F6">
              <w:rPr>
                <w:rFonts w:hint="eastAsia"/>
              </w:rPr>
              <w:t>高</w:t>
            </w:r>
          </w:p>
          <w:p w14:paraId="17FF487C" w14:textId="77777777" w:rsidR="00E62694" w:rsidRPr="00FD50F6" w:rsidRDefault="00E62694" w:rsidP="000831EC">
            <w:pPr>
              <w:pStyle w:val="7"/>
            </w:pPr>
            <w:r w:rsidRPr="00FD50F6">
              <w:rPr>
                <w:rFonts w:hint="eastAsia"/>
              </w:rPr>
              <w:t>分子防水卷材</w:t>
            </w:r>
          </w:p>
        </w:tc>
        <w:tc>
          <w:tcPr>
            <w:tcW w:w="268" w:type="pct"/>
            <w:tcBorders>
              <w:top w:val="single" w:sz="4" w:space="0" w:color="auto"/>
              <w:left w:val="single" w:sz="4" w:space="0" w:color="auto"/>
              <w:bottom w:val="single" w:sz="4" w:space="0" w:color="auto"/>
              <w:right w:val="single" w:sz="4" w:space="0" w:color="auto"/>
            </w:tcBorders>
            <w:vAlign w:val="center"/>
          </w:tcPr>
          <w:p w14:paraId="378C8278" w14:textId="77777777" w:rsidR="00E62694" w:rsidRPr="00FD50F6" w:rsidRDefault="00E62694" w:rsidP="000831EC">
            <w:pPr>
              <w:pStyle w:val="7"/>
            </w:pPr>
            <w:r w:rsidRPr="00FD50F6">
              <w:rPr>
                <w:rFonts w:hint="eastAsia"/>
              </w:rPr>
              <w:t xml:space="preserve">    </w:t>
            </w:r>
            <w:r w:rsidRPr="00FD50F6">
              <w:rPr>
                <w:rFonts w:hint="eastAsia"/>
              </w:rPr>
              <w:t>其</w:t>
            </w:r>
            <w:r w:rsidRPr="00FD50F6">
              <w:rPr>
                <w:rFonts w:hint="eastAsia"/>
              </w:rPr>
              <w:t xml:space="preserve">    </w:t>
            </w:r>
            <w:r w:rsidRPr="00FD50F6">
              <w:rPr>
                <w:rFonts w:hint="eastAsia"/>
              </w:rPr>
              <w:t>它</w:t>
            </w:r>
            <w:r w:rsidRPr="00FD50F6">
              <w:rPr>
                <w:rFonts w:hint="eastAsia"/>
              </w:rPr>
              <w:t xml:space="preserve">    </w:t>
            </w:r>
            <w:r w:rsidRPr="00FD50F6">
              <w:rPr>
                <w:rFonts w:hint="eastAsia"/>
              </w:rPr>
              <w:t>防</w:t>
            </w:r>
            <w:r w:rsidRPr="00FD50F6">
              <w:rPr>
                <w:rFonts w:hint="eastAsia"/>
              </w:rPr>
              <w:t xml:space="preserve">     </w:t>
            </w:r>
            <w:r w:rsidRPr="00FD50F6">
              <w:rPr>
                <w:rFonts w:hint="eastAsia"/>
              </w:rPr>
              <w:t>水</w:t>
            </w:r>
            <w:r w:rsidRPr="00FD50F6">
              <w:rPr>
                <w:rFonts w:hint="eastAsia"/>
              </w:rPr>
              <w:t xml:space="preserve"> </w:t>
            </w:r>
            <w:r w:rsidRPr="00FD50F6">
              <w:rPr>
                <w:rFonts w:hint="eastAsia"/>
              </w:rPr>
              <w:t>材</w:t>
            </w:r>
          </w:p>
          <w:p w14:paraId="24760761" w14:textId="77777777" w:rsidR="00E62694" w:rsidRPr="00FD50F6" w:rsidRDefault="00E62694" w:rsidP="000831EC">
            <w:pPr>
              <w:pStyle w:val="7"/>
            </w:pPr>
            <w:r w:rsidRPr="00FD50F6">
              <w:rPr>
                <w:rFonts w:hint="eastAsia"/>
              </w:rPr>
              <w:t>料</w:t>
            </w:r>
          </w:p>
          <w:p w14:paraId="5F05E4DC" w14:textId="77777777" w:rsidR="00E62694" w:rsidRPr="00FD50F6" w:rsidRDefault="00E62694" w:rsidP="000831EC">
            <w:pPr>
              <w:pStyle w:val="7"/>
            </w:pPr>
          </w:p>
        </w:tc>
        <w:tc>
          <w:tcPr>
            <w:tcW w:w="325" w:type="pct"/>
            <w:tcBorders>
              <w:top w:val="single" w:sz="4" w:space="0" w:color="auto"/>
              <w:left w:val="single" w:sz="4" w:space="0" w:color="auto"/>
              <w:bottom w:val="single" w:sz="4" w:space="0" w:color="auto"/>
              <w:right w:val="single" w:sz="4" w:space="0" w:color="auto"/>
            </w:tcBorders>
            <w:vAlign w:val="center"/>
          </w:tcPr>
          <w:p w14:paraId="0029B6D9" w14:textId="77777777" w:rsidR="00E62694" w:rsidRPr="00FD50F6" w:rsidRDefault="00E62694" w:rsidP="000831EC">
            <w:pPr>
              <w:pStyle w:val="7"/>
            </w:pPr>
            <w:r w:rsidRPr="00FD50F6">
              <w:t>遇</w:t>
            </w:r>
          </w:p>
          <w:p w14:paraId="5B585E06" w14:textId="77777777" w:rsidR="00E62694" w:rsidRPr="00FD50F6" w:rsidRDefault="00E62694" w:rsidP="000831EC">
            <w:pPr>
              <w:pStyle w:val="7"/>
            </w:pPr>
            <w:r w:rsidRPr="00FD50F6">
              <w:t>水</w:t>
            </w:r>
          </w:p>
          <w:p w14:paraId="681BF90D" w14:textId="77777777" w:rsidR="00E62694" w:rsidRPr="00FD50F6" w:rsidRDefault="00E62694" w:rsidP="000831EC">
            <w:pPr>
              <w:pStyle w:val="7"/>
            </w:pPr>
            <w:r w:rsidRPr="00FD50F6">
              <w:t>膨</w:t>
            </w:r>
          </w:p>
          <w:p w14:paraId="142E4D07" w14:textId="77777777" w:rsidR="00E62694" w:rsidRPr="00FD50F6" w:rsidRDefault="00E62694" w:rsidP="000831EC">
            <w:pPr>
              <w:pStyle w:val="7"/>
            </w:pPr>
            <w:r w:rsidRPr="00FD50F6">
              <w:t>胀</w:t>
            </w:r>
          </w:p>
          <w:p w14:paraId="4F4DCF32" w14:textId="77777777" w:rsidR="00E62694" w:rsidRPr="00FD50F6" w:rsidRDefault="00E62694" w:rsidP="000831EC">
            <w:pPr>
              <w:pStyle w:val="7"/>
            </w:pPr>
            <w:r w:rsidRPr="00FD50F6">
              <w:t>止</w:t>
            </w:r>
          </w:p>
          <w:p w14:paraId="7712A034" w14:textId="77777777" w:rsidR="00E62694" w:rsidRPr="00FD50F6" w:rsidRDefault="00E62694" w:rsidP="000831EC">
            <w:pPr>
              <w:pStyle w:val="7"/>
            </w:pPr>
            <w:r w:rsidRPr="00FD50F6">
              <w:t>水</w:t>
            </w:r>
          </w:p>
          <w:p w14:paraId="2098F270" w14:textId="77777777" w:rsidR="00E62694" w:rsidRPr="00FD50F6" w:rsidRDefault="00E62694" w:rsidP="000831EC">
            <w:pPr>
              <w:pStyle w:val="7"/>
            </w:pPr>
            <w:r w:rsidRPr="00FD50F6">
              <w:t>条</w:t>
            </w:r>
          </w:p>
          <w:p w14:paraId="26997CCB" w14:textId="77777777" w:rsidR="00E62694" w:rsidRPr="00FD50F6" w:rsidRDefault="00E62694" w:rsidP="000831EC">
            <w:pPr>
              <w:pStyle w:val="7"/>
            </w:pPr>
            <w:r w:rsidRPr="00FD50F6">
              <w:t>（胶）</w:t>
            </w:r>
          </w:p>
        </w:tc>
        <w:tc>
          <w:tcPr>
            <w:tcW w:w="286" w:type="pct"/>
            <w:tcBorders>
              <w:top w:val="single" w:sz="4" w:space="0" w:color="auto"/>
              <w:left w:val="single" w:sz="4" w:space="0" w:color="auto"/>
              <w:bottom w:val="single" w:sz="4" w:space="0" w:color="auto"/>
              <w:right w:val="single" w:sz="4" w:space="0" w:color="auto"/>
            </w:tcBorders>
            <w:vAlign w:val="center"/>
          </w:tcPr>
          <w:p w14:paraId="695543DF" w14:textId="77777777" w:rsidR="00E62694" w:rsidRPr="00FD50F6" w:rsidRDefault="00E62694" w:rsidP="000831EC">
            <w:pPr>
              <w:pStyle w:val="7"/>
            </w:pPr>
            <w:r w:rsidRPr="00FD50F6">
              <w:t>外</w:t>
            </w:r>
          </w:p>
          <w:p w14:paraId="0719B0D6" w14:textId="77777777" w:rsidR="00E62694" w:rsidRPr="00FD50F6" w:rsidRDefault="00E62694" w:rsidP="000831EC">
            <w:pPr>
              <w:pStyle w:val="7"/>
            </w:pPr>
            <w:r w:rsidRPr="00FD50F6">
              <w:t>贴</w:t>
            </w:r>
          </w:p>
          <w:p w14:paraId="7FA1A7A7" w14:textId="77777777" w:rsidR="00E62694" w:rsidRPr="00FD50F6" w:rsidRDefault="00E62694" w:rsidP="000831EC">
            <w:pPr>
              <w:pStyle w:val="7"/>
            </w:pPr>
            <w:r w:rsidRPr="00FD50F6">
              <w:t>式</w:t>
            </w:r>
          </w:p>
          <w:p w14:paraId="77A9AE6C" w14:textId="77777777" w:rsidR="00E62694" w:rsidRPr="00FD50F6" w:rsidRDefault="00E62694" w:rsidP="000831EC">
            <w:pPr>
              <w:pStyle w:val="7"/>
            </w:pPr>
            <w:r w:rsidRPr="00FD50F6">
              <w:t>止</w:t>
            </w:r>
          </w:p>
          <w:p w14:paraId="43954FB5" w14:textId="77777777" w:rsidR="00E62694" w:rsidRPr="00FD50F6" w:rsidRDefault="00E62694" w:rsidP="000831EC">
            <w:pPr>
              <w:pStyle w:val="7"/>
            </w:pPr>
            <w:r w:rsidRPr="00FD50F6">
              <w:t>水</w:t>
            </w:r>
          </w:p>
          <w:p w14:paraId="521FB0F0" w14:textId="77777777" w:rsidR="00E62694" w:rsidRPr="00FD50F6" w:rsidRDefault="00E62694" w:rsidP="000831EC">
            <w:pPr>
              <w:pStyle w:val="7"/>
            </w:pPr>
            <w:r w:rsidRPr="00FD50F6">
              <w:t>带</w:t>
            </w:r>
          </w:p>
        </w:tc>
        <w:tc>
          <w:tcPr>
            <w:tcW w:w="268" w:type="pct"/>
            <w:tcBorders>
              <w:top w:val="single" w:sz="4" w:space="0" w:color="auto"/>
              <w:left w:val="single" w:sz="4" w:space="0" w:color="auto"/>
              <w:bottom w:val="single" w:sz="4" w:space="0" w:color="auto"/>
              <w:right w:val="single" w:sz="4" w:space="0" w:color="auto"/>
            </w:tcBorders>
            <w:vAlign w:val="center"/>
          </w:tcPr>
          <w:p w14:paraId="24D3CD64" w14:textId="77777777" w:rsidR="00E62694" w:rsidRPr="00FD50F6" w:rsidRDefault="00E62694" w:rsidP="000831EC">
            <w:pPr>
              <w:pStyle w:val="7"/>
            </w:pPr>
            <w:r w:rsidRPr="00FD50F6">
              <w:t>中</w:t>
            </w:r>
          </w:p>
          <w:p w14:paraId="6C7B45E0" w14:textId="77777777" w:rsidR="00E62694" w:rsidRPr="00FD50F6" w:rsidRDefault="00E62694" w:rsidP="000831EC">
            <w:pPr>
              <w:pStyle w:val="7"/>
            </w:pPr>
            <w:r w:rsidRPr="00FD50F6">
              <w:t>埋</w:t>
            </w:r>
          </w:p>
          <w:p w14:paraId="50348654" w14:textId="77777777" w:rsidR="00E62694" w:rsidRPr="00FD50F6" w:rsidRDefault="00E62694" w:rsidP="000831EC">
            <w:pPr>
              <w:pStyle w:val="7"/>
            </w:pPr>
            <w:r w:rsidRPr="00FD50F6">
              <w:t>式</w:t>
            </w:r>
          </w:p>
          <w:p w14:paraId="0A122A59" w14:textId="77777777" w:rsidR="00E62694" w:rsidRPr="00FD50F6" w:rsidRDefault="00E62694" w:rsidP="000831EC">
            <w:pPr>
              <w:pStyle w:val="7"/>
            </w:pPr>
            <w:r w:rsidRPr="00FD50F6">
              <w:t>止</w:t>
            </w:r>
          </w:p>
          <w:p w14:paraId="75EF4609" w14:textId="77777777" w:rsidR="00E62694" w:rsidRPr="00FD50F6" w:rsidRDefault="00E62694" w:rsidP="000831EC">
            <w:pPr>
              <w:pStyle w:val="7"/>
            </w:pPr>
            <w:r w:rsidRPr="00FD50F6">
              <w:t>水</w:t>
            </w:r>
          </w:p>
          <w:p w14:paraId="775EBFD3" w14:textId="77777777" w:rsidR="00E62694" w:rsidRPr="00FD50F6" w:rsidRDefault="00E62694" w:rsidP="000831EC">
            <w:pPr>
              <w:pStyle w:val="7"/>
            </w:pPr>
            <w:r w:rsidRPr="00FD50F6">
              <w:rPr>
                <w:rFonts w:hint="eastAsia"/>
              </w:rPr>
              <w:t>构件</w:t>
            </w:r>
          </w:p>
        </w:tc>
        <w:tc>
          <w:tcPr>
            <w:tcW w:w="286" w:type="pct"/>
            <w:tcBorders>
              <w:top w:val="single" w:sz="4" w:space="0" w:color="auto"/>
              <w:left w:val="single" w:sz="4" w:space="0" w:color="auto"/>
              <w:bottom w:val="single" w:sz="4" w:space="0" w:color="auto"/>
              <w:right w:val="single" w:sz="4" w:space="0" w:color="auto"/>
            </w:tcBorders>
            <w:vAlign w:val="center"/>
          </w:tcPr>
          <w:p w14:paraId="3854556E" w14:textId="35705583" w:rsidR="00E62694" w:rsidRPr="00FD50F6" w:rsidRDefault="00E62694" w:rsidP="00E62694">
            <w:pPr>
              <w:pStyle w:val="7"/>
            </w:pPr>
            <w:r w:rsidRPr="00FD50F6">
              <w:rPr>
                <w:rFonts w:hint="eastAsia"/>
              </w:rPr>
              <w:t>混凝土界面剂</w:t>
            </w:r>
          </w:p>
        </w:tc>
        <w:tc>
          <w:tcPr>
            <w:tcW w:w="303" w:type="pct"/>
            <w:tcBorders>
              <w:top w:val="single" w:sz="4" w:space="0" w:color="auto"/>
              <w:left w:val="single" w:sz="4" w:space="0" w:color="auto"/>
              <w:bottom w:val="single" w:sz="4" w:space="0" w:color="auto"/>
              <w:right w:val="single" w:sz="4" w:space="0" w:color="auto"/>
            </w:tcBorders>
            <w:vAlign w:val="center"/>
          </w:tcPr>
          <w:p w14:paraId="165E359B" w14:textId="77777777" w:rsidR="00E62694" w:rsidRPr="00FD50F6" w:rsidRDefault="00E62694" w:rsidP="000831EC">
            <w:pPr>
              <w:pStyle w:val="7"/>
            </w:pPr>
            <w:r w:rsidRPr="00FD50F6">
              <w:t>预</w:t>
            </w:r>
          </w:p>
          <w:p w14:paraId="373B2A37" w14:textId="77777777" w:rsidR="00E62694" w:rsidRPr="00FD50F6" w:rsidRDefault="00E62694" w:rsidP="000831EC">
            <w:pPr>
              <w:pStyle w:val="7"/>
            </w:pPr>
            <w:r w:rsidRPr="00FD50F6">
              <w:t>埋</w:t>
            </w:r>
          </w:p>
          <w:p w14:paraId="73CF4E94" w14:textId="77777777" w:rsidR="00E62694" w:rsidRPr="00FD50F6" w:rsidRDefault="00E62694" w:rsidP="000831EC">
            <w:pPr>
              <w:pStyle w:val="7"/>
            </w:pPr>
            <w:r w:rsidRPr="00FD50F6">
              <w:t>注</w:t>
            </w:r>
          </w:p>
          <w:p w14:paraId="7306725B" w14:textId="77777777" w:rsidR="00E62694" w:rsidRPr="00FD50F6" w:rsidRDefault="00E62694" w:rsidP="000831EC">
            <w:pPr>
              <w:pStyle w:val="7"/>
            </w:pPr>
            <w:r w:rsidRPr="00FD50F6">
              <w:t>浆</w:t>
            </w:r>
          </w:p>
          <w:p w14:paraId="595E1128" w14:textId="77777777" w:rsidR="00E62694" w:rsidRPr="00FD50F6" w:rsidRDefault="00E62694" w:rsidP="000831EC">
            <w:pPr>
              <w:pStyle w:val="7"/>
            </w:pPr>
            <w:r w:rsidRPr="00FD50F6">
              <w:t>管</w:t>
            </w:r>
          </w:p>
          <w:p w14:paraId="08C50E5E" w14:textId="77777777" w:rsidR="00E62694" w:rsidRPr="00FD50F6" w:rsidRDefault="00E62694" w:rsidP="000831EC">
            <w:pPr>
              <w:pStyle w:val="7"/>
            </w:pPr>
            <w:r w:rsidRPr="00FD50F6">
              <w:t>浆管</w:t>
            </w:r>
          </w:p>
        </w:tc>
        <w:tc>
          <w:tcPr>
            <w:tcW w:w="333" w:type="pct"/>
            <w:tcBorders>
              <w:top w:val="single" w:sz="4" w:space="0" w:color="auto"/>
              <w:bottom w:val="single" w:sz="4" w:space="0" w:color="auto"/>
              <w:right w:val="single" w:sz="4" w:space="0" w:color="auto"/>
            </w:tcBorders>
            <w:vAlign w:val="center"/>
          </w:tcPr>
          <w:p w14:paraId="0AC4CFAB" w14:textId="77777777" w:rsidR="00E62694" w:rsidRPr="00FD50F6" w:rsidRDefault="00E62694" w:rsidP="000831EC">
            <w:pPr>
              <w:pStyle w:val="7"/>
            </w:pPr>
            <w:r w:rsidRPr="00FD50F6">
              <w:t>中</w:t>
            </w:r>
          </w:p>
          <w:p w14:paraId="3B5F8A58" w14:textId="77777777" w:rsidR="00E62694" w:rsidRPr="00FD50F6" w:rsidRDefault="00E62694" w:rsidP="000831EC">
            <w:pPr>
              <w:pStyle w:val="7"/>
            </w:pPr>
            <w:r w:rsidRPr="00FD50F6">
              <w:t>埋</w:t>
            </w:r>
          </w:p>
          <w:p w14:paraId="5B4B26C9" w14:textId="77777777" w:rsidR="00E62694" w:rsidRPr="00FD50F6" w:rsidRDefault="00E62694" w:rsidP="000831EC">
            <w:pPr>
              <w:pStyle w:val="7"/>
            </w:pPr>
            <w:r w:rsidRPr="00FD50F6">
              <w:t>式</w:t>
            </w:r>
          </w:p>
          <w:p w14:paraId="6D1BDE89" w14:textId="77777777" w:rsidR="00E62694" w:rsidRPr="00FD50F6" w:rsidRDefault="00E62694" w:rsidP="000831EC">
            <w:pPr>
              <w:pStyle w:val="7"/>
            </w:pPr>
            <w:r w:rsidRPr="00FD50F6">
              <w:t>止</w:t>
            </w:r>
          </w:p>
          <w:p w14:paraId="61350EBA" w14:textId="77777777" w:rsidR="00E62694" w:rsidRPr="00FD50F6" w:rsidRDefault="00E62694" w:rsidP="000831EC">
            <w:pPr>
              <w:pStyle w:val="7"/>
            </w:pPr>
            <w:r w:rsidRPr="00FD50F6">
              <w:t>水</w:t>
            </w:r>
          </w:p>
          <w:p w14:paraId="4B82D135" w14:textId="77777777" w:rsidR="00E62694" w:rsidRPr="00FD50F6" w:rsidRDefault="00E62694" w:rsidP="000831EC">
            <w:pPr>
              <w:pStyle w:val="7"/>
            </w:pPr>
            <w:r w:rsidRPr="00FD50F6">
              <w:t>带</w:t>
            </w:r>
          </w:p>
        </w:tc>
        <w:tc>
          <w:tcPr>
            <w:tcW w:w="242" w:type="pct"/>
            <w:tcBorders>
              <w:top w:val="single" w:sz="4" w:space="0" w:color="auto"/>
              <w:left w:val="single" w:sz="4" w:space="0" w:color="auto"/>
              <w:bottom w:val="single" w:sz="4" w:space="0" w:color="auto"/>
            </w:tcBorders>
            <w:vAlign w:val="center"/>
          </w:tcPr>
          <w:p w14:paraId="74A0BDB6" w14:textId="77777777" w:rsidR="00E62694" w:rsidRPr="00FD50F6" w:rsidRDefault="00E62694" w:rsidP="000831EC">
            <w:pPr>
              <w:pStyle w:val="7"/>
            </w:pPr>
            <w:r w:rsidRPr="00FD50F6">
              <w:t>外</w:t>
            </w:r>
          </w:p>
          <w:p w14:paraId="559AD8B1" w14:textId="77777777" w:rsidR="00E62694" w:rsidRPr="00FD50F6" w:rsidRDefault="00E62694" w:rsidP="000831EC">
            <w:pPr>
              <w:pStyle w:val="7"/>
            </w:pPr>
            <w:r w:rsidRPr="00FD50F6">
              <w:t>贴</w:t>
            </w:r>
          </w:p>
          <w:p w14:paraId="3077D598" w14:textId="77777777" w:rsidR="00E62694" w:rsidRPr="00FD50F6" w:rsidRDefault="00E62694" w:rsidP="000831EC">
            <w:pPr>
              <w:pStyle w:val="7"/>
            </w:pPr>
            <w:r w:rsidRPr="00FD50F6">
              <w:t>式</w:t>
            </w:r>
          </w:p>
          <w:p w14:paraId="0049F327" w14:textId="77777777" w:rsidR="00E62694" w:rsidRPr="00FD50F6" w:rsidRDefault="00E62694" w:rsidP="000831EC">
            <w:pPr>
              <w:pStyle w:val="7"/>
            </w:pPr>
            <w:r w:rsidRPr="00FD50F6">
              <w:t>止</w:t>
            </w:r>
          </w:p>
          <w:p w14:paraId="3001C4DC" w14:textId="77777777" w:rsidR="00E62694" w:rsidRPr="00FD50F6" w:rsidRDefault="00E62694" w:rsidP="000831EC">
            <w:pPr>
              <w:pStyle w:val="7"/>
            </w:pPr>
            <w:r w:rsidRPr="00FD50F6">
              <w:t>水</w:t>
            </w:r>
          </w:p>
          <w:p w14:paraId="4EE9ED69" w14:textId="77777777" w:rsidR="00E62694" w:rsidRPr="00FD50F6" w:rsidRDefault="00E62694" w:rsidP="000831EC">
            <w:pPr>
              <w:pStyle w:val="7"/>
            </w:pPr>
            <w:r w:rsidRPr="00FD50F6">
              <w:t>带</w:t>
            </w:r>
          </w:p>
        </w:tc>
        <w:tc>
          <w:tcPr>
            <w:tcW w:w="242" w:type="pct"/>
            <w:tcBorders>
              <w:top w:val="single" w:sz="4" w:space="0" w:color="auto"/>
              <w:left w:val="single" w:sz="4" w:space="0" w:color="auto"/>
              <w:bottom w:val="single" w:sz="4" w:space="0" w:color="auto"/>
            </w:tcBorders>
            <w:vAlign w:val="center"/>
          </w:tcPr>
          <w:p w14:paraId="7F45B3ED" w14:textId="77777777" w:rsidR="00E62694" w:rsidRPr="00FD50F6" w:rsidRDefault="00E62694" w:rsidP="000831EC">
            <w:pPr>
              <w:pStyle w:val="7"/>
            </w:pPr>
            <w:r w:rsidRPr="00FD50F6">
              <w:t>可</w:t>
            </w:r>
          </w:p>
          <w:p w14:paraId="301482AF" w14:textId="77777777" w:rsidR="00E62694" w:rsidRPr="00FD50F6" w:rsidRDefault="00E62694" w:rsidP="000831EC">
            <w:pPr>
              <w:pStyle w:val="7"/>
            </w:pPr>
            <w:r w:rsidRPr="00FD50F6">
              <w:t>卸</w:t>
            </w:r>
          </w:p>
          <w:p w14:paraId="1DE64985" w14:textId="77777777" w:rsidR="00E62694" w:rsidRPr="00FD50F6" w:rsidRDefault="00E62694" w:rsidP="000831EC">
            <w:pPr>
              <w:pStyle w:val="7"/>
            </w:pPr>
            <w:r w:rsidRPr="00FD50F6">
              <w:t>式</w:t>
            </w:r>
          </w:p>
          <w:p w14:paraId="269F33E8" w14:textId="77777777" w:rsidR="00E62694" w:rsidRPr="00FD50F6" w:rsidRDefault="00E62694" w:rsidP="000831EC">
            <w:pPr>
              <w:pStyle w:val="7"/>
            </w:pPr>
            <w:r w:rsidRPr="00FD50F6">
              <w:t>止</w:t>
            </w:r>
          </w:p>
          <w:p w14:paraId="449714C9" w14:textId="77777777" w:rsidR="00E62694" w:rsidRPr="00FD50F6" w:rsidRDefault="00E62694" w:rsidP="000831EC">
            <w:pPr>
              <w:pStyle w:val="7"/>
            </w:pPr>
            <w:r w:rsidRPr="00FD50F6">
              <w:t>水</w:t>
            </w:r>
          </w:p>
          <w:p w14:paraId="73054420" w14:textId="77777777" w:rsidR="00E62694" w:rsidRPr="00FD50F6" w:rsidRDefault="00E62694" w:rsidP="000831EC">
            <w:pPr>
              <w:pStyle w:val="7"/>
            </w:pPr>
            <w:r w:rsidRPr="00FD50F6">
              <w:t>带</w:t>
            </w:r>
          </w:p>
        </w:tc>
        <w:tc>
          <w:tcPr>
            <w:tcW w:w="485" w:type="pct"/>
            <w:tcBorders>
              <w:top w:val="single" w:sz="4" w:space="0" w:color="auto"/>
              <w:left w:val="single" w:sz="4" w:space="0" w:color="auto"/>
              <w:bottom w:val="single" w:sz="4" w:space="0" w:color="auto"/>
            </w:tcBorders>
            <w:vAlign w:val="center"/>
          </w:tcPr>
          <w:p w14:paraId="2C13690D" w14:textId="77777777" w:rsidR="00E62694" w:rsidRPr="00FD50F6" w:rsidRDefault="00E62694" w:rsidP="000831EC">
            <w:pPr>
              <w:pStyle w:val="7"/>
            </w:pPr>
            <w:r w:rsidRPr="00FD50F6">
              <w:t>防</w:t>
            </w:r>
          </w:p>
          <w:p w14:paraId="7FB1E113" w14:textId="77777777" w:rsidR="00E62694" w:rsidRPr="00FD50F6" w:rsidRDefault="00E62694" w:rsidP="000831EC">
            <w:pPr>
              <w:pStyle w:val="7"/>
            </w:pPr>
            <w:r w:rsidRPr="00FD50F6">
              <w:t>水</w:t>
            </w:r>
          </w:p>
          <w:p w14:paraId="66148F6F" w14:textId="77777777" w:rsidR="00E62694" w:rsidRPr="00FD50F6" w:rsidRDefault="00E62694" w:rsidP="000831EC">
            <w:pPr>
              <w:pStyle w:val="7"/>
            </w:pPr>
            <w:r w:rsidRPr="00FD50F6">
              <w:t>嵌</w:t>
            </w:r>
          </w:p>
          <w:p w14:paraId="3DCF8724" w14:textId="77777777" w:rsidR="00E62694" w:rsidRPr="00FD50F6" w:rsidRDefault="00E62694" w:rsidP="000831EC">
            <w:pPr>
              <w:pStyle w:val="7"/>
            </w:pPr>
            <w:r w:rsidRPr="00FD50F6">
              <w:t>缝</w:t>
            </w:r>
          </w:p>
          <w:p w14:paraId="5D80468B" w14:textId="77777777" w:rsidR="00E62694" w:rsidRPr="00FD50F6" w:rsidRDefault="00E62694" w:rsidP="000831EC">
            <w:pPr>
              <w:pStyle w:val="7"/>
            </w:pPr>
            <w:r w:rsidRPr="00FD50F6">
              <w:t>材</w:t>
            </w:r>
          </w:p>
          <w:p w14:paraId="1D1F33DD" w14:textId="77777777" w:rsidR="00E62694" w:rsidRPr="00FD50F6" w:rsidRDefault="00E62694" w:rsidP="000831EC">
            <w:pPr>
              <w:pStyle w:val="7"/>
            </w:pPr>
            <w:r w:rsidRPr="00FD50F6">
              <w:t>料</w:t>
            </w:r>
          </w:p>
        </w:tc>
      </w:tr>
      <w:tr w:rsidR="00FD50F6" w:rsidRPr="00FD50F6" w14:paraId="3BC93056" w14:textId="77777777" w:rsidTr="00805449">
        <w:trPr>
          <w:trHeight w:val="344"/>
          <w:jc w:val="center"/>
        </w:trPr>
        <w:tc>
          <w:tcPr>
            <w:tcW w:w="592" w:type="pct"/>
            <w:vMerge w:val="restart"/>
            <w:vAlign w:val="center"/>
          </w:tcPr>
          <w:p w14:paraId="3FB52C11" w14:textId="77777777" w:rsidR="00E62694" w:rsidRPr="00FD50F6" w:rsidRDefault="00E62694" w:rsidP="000831EC">
            <w:pPr>
              <w:pStyle w:val="7"/>
            </w:pPr>
            <w:r w:rsidRPr="00FD50F6">
              <w:t>防水</w:t>
            </w:r>
          </w:p>
          <w:p w14:paraId="246858F3" w14:textId="77777777" w:rsidR="00E62694" w:rsidRPr="00FD50F6" w:rsidRDefault="00E62694" w:rsidP="000831EC">
            <w:pPr>
              <w:pStyle w:val="7"/>
            </w:pPr>
            <w:r w:rsidRPr="00FD50F6">
              <w:t>等级</w:t>
            </w:r>
          </w:p>
        </w:tc>
        <w:tc>
          <w:tcPr>
            <w:tcW w:w="408" w:type="pct"/>
            <w:vAlign w:val="center"/>
          </w:tcPr>
          <w:p w14:paraId="522934C6" w14:textId="77777777" w:rsidR="00E62694" w:rsidRPr="00FD50F6" w:rsidRDefault="00E62694" w:rsidP="000831EC">
            <w:pPr>
              <w:pStyle w:val="7"/>
            </w:pPr>
            <w:r w:rsidRPr="00FD50F6">
              <w:t>一级</w:t>
            </w:r>
          </w:p>
        </w:tc>
        <w:tc>
          <w:tcPr>
            <w:tcW w:w="333" w:type="pct"/>
            <w:vAlign w:val="center"/>
          </w:tcPr>
          <w:p w14:paraId="11DA693F" w14:textId="77777777" w:rsidR="00E62694" w:rsidRPr="00FD50F6" w:rsidRDefault="00E62694" w:rsidP="000831EC">
            <w:pPr>
              <w:pStyle w:val="7"/>
            </w:pPr>
            <w:r w:rsidRPr="00FD50F6">
              <w:t>必选</w:t>
            </w:r>
          </w:p>
        </w:tc>
        <w:tc>
          <w:tcPr>
            <w:tcW w:w="895" w:type="pct"/>
            <w:gridSpan w:val="3"/>
            <w:vAlign w:val="center"/>
          </w:tcPr>
          <w:p w14:paraId="03045D26" w14:textId="01D575CF" w:rsidR="00E62694" w:rsidRPr="00FD50F6" w:rsidRDefault="00E62694" w:rsidP="000831EC">
            <w:pPr>
              <w:pStyle w:val="7"/>
            </w:pPr>
            <w:r w:rsidRPr="00FD50F6">
              <w:rPr>
                <w:rFonts w:hint="eastAsia"/>
              </w:rPr>
              <w:t>不应少于一种</w:t>
            </w:r>
          </w:p>
        </w:tc>
        <w:tc>
          <w:tcPr>
            <w:tcW w:w="1469" w:type="pct"/>
            <w:gridSpan w:val="5"/>
            <w:vAlign w:val="center"/>
          </w:tcPr>
          <w:p w14:paraId="59762450" w14:textId="77777777" w:rsidR="00E62694" w:rsidRPr="00FD50F6" w:rsidRDefault="00E62694" w:rsidP="000831EC">
            <w:pPr>
              <w:pStyle w:val="7"/>
            </w:pPr>
            <w:r w:rsidRPr="00FD50F6">
              <w:t>应选二种</w:t>
            </w:r>
          </w:p>
        </w:tc>
        <w:tc>
          <w:tcPr>
            <w:tcW w:w="333" w:type="pct"/>
            <w:vAlign w:val="center"/>
          </w:tcPr>
          <w:p w14:paraId="245C0308" w14:textId="77777777" w:rsidR="00E62694" w:rsidRPr="00FD50F6" w:rsidRDefault="00E62694" w:rsidP="000831EC">
            <w:pPr>
              <w:pStyle w:val="7"/>
            </w:pPr>
            <w:r w:rsidRPr="00FD50F6">
              <w:t>必选</w:t>
            </w:r>
          </w:p>
        </w:tc>
        <w:tc>
          <w:tcPr>
            <w:tcW w:w="969" w:type="pct"/>
            <w:gridSpan w:val="3"/>
            <w:vAlign w:val="center"/>
          </w:tcPr>
          <w:p w14:paraId="78ED1EF2" w14:textId="77777777" w:rsidR="00E62694" w:rsidRPr="00FD50F6" w:rsidRDefault="00E62694" w:rsidP="000831EC">
            <w:pPr>
              <w:pStyle w:val="7"/>
            </w:pPr>
            <w:r w:rsidRPr="00FD50F6">
              <w:t>应选二种</w:t>
            </w:r>
          </w:p>
        </w:tc>
      </w:tr>
      <w:tr w:rsidR="00E62694" w:rsidRPr="00FD50F6" w14:paraId="05C36C5D" w14:textId="77777777" w:rsidTr="00805449">
        <w:trPr>
          <w:trHeight w:val="213"/>
          <w:jc w:val="center"/>
        </w:trPr>
        <w:tc>
          <w:tcPr>
            <w:tcW w:w="592" w:type="pct"/>
            <w:vMerge/>
            <w:vAlign w:val="center"/>
          </w:tcPr>
          <w:p w14:paraId="305027FD" w14:textId="77777777" w:rsidR="00E62694" w:rsidRPr="00FD50F6" w:rsidRDefault="00E62694" w:rsidP="000831EC">
            <w:pPr>
              <w:pStyle w:val="7"/>
            </w:pPr>
          </w:p>
        </w:tc>
        <w:tc>
          <w:tcPr>
            <w:tcW w:w="408" w:type="pct"/>
            <w:vAlign w:val="center"/>
          </w:tcPr>
          <w:p w14:paraId="0E1AD919" w14:textId="77777777" w:rsidR="00E62694" w:rsidRPr="00FD50F6" w:rsidRDefault="00E62694" w:rsidP="000831EC">
            <w:pPr>
              <w:pStyle w:val="7"/>
            </w:pPr>
            <w:r w:rsidRPr="00FD50F6">
              <w:t>二级</w:t>
            </w:r>
          </w:p>
        </w:tc>
        <w:tc>
          <w:tcPr>
            <w:tcW w:w="333" w:type="pct"/>
            <w:vAlign w:val="center"/>
          </w:tcPr>
          <w:p w14:paraId="370752CC" w14:textId="77777777" w:rsidR="00E62694" w:rsidRPr="00FD50F6" w:rsidRDefault="00E62694" w:rsidP="000831EC">
            <w:pPr>
              <w:pStyle w:val="7"/>
            </w:pPr>
            <w:r w:rsidRPr="00FD50F6">
              <w:t>必选</w:t>
            </w:r>
          </w:p>
        </w:tc>
        <w:tc>
          <w:tcPr>
            <w:tcW w:w="895" w:type="pct"/>
            <w:gridSpan w:val="3"/>
            <w:vAlign w:val="center"/>
          </w:tcPr>
          <w:p w14:paraId="2F003739" w14:textId="77777777" w:rsidR="00E62694" w:rsidRPr="00FD50F6" w:rsidRDefault="00E62694" w:rsidP="000831EC">
            <w:pPr>
              <w:pStyle w:val="7"/>
            </w:pPr>
            <w:r w:rsidRPr="00FD50F6">
              <w:t>应选一种</w:t>
            </w:r>
          </w:p>
        </w:tc>
        <w:tc>
          <w:tcPr>
            <w:tcW w:w="1469" w:type="pct"/>
            <w:gridSpan w:val="5"/>
            <w:vAlign w:val="center"/>
          </w:tcPr>
          <w:p w14:paraId="36535AC0" w14:textId="77777777" w:rsidR="00E62694" w:rsidRPr="00FD50F6" w:rsidRDefault="00E62694" w:rsidP="000831EC">
            <w:pPr>
              <w:pStyle w:val="7"/>
            </w:pPr>
            <w:r w:rsidRPr="00FD50F6">
              <w:t>应选一至二种</w:t>
            </w:r>
          </w:p>
        </w:tc>
        <w:tc>
          <w:tcPr>
            <w:tcW w:w="333" w:type="pct"/>
            <w:vAlign w:val="center"/>
          </w:tcPr>
          <w:p w14:paraId="36CD57CF" w14:textId="77777777" w:rsidR="00E62694" w:rsidRPr="00FD50F6" w:rsidRDefault="00E62694" w:rsidP="000831EC">
            <w:pPr>
              <w:pStyle w:val="7"/>
            </w:pPr>
            <w:r w:rsidRPr="00FD50F6">
              <w:t>必选</w:t>
            </w:r>
          </w:p>
        </w:tc>
        <w:tc>
          <w:tcPr>
            <w:tcW w:w="969" w:type="pct"/>
            <w:gridSpan w:val="3"/>
            <w:vAlign w:val="center"/>
          </w:tcPr>
          <w:p w14:paraId="7EAE74CA" w14:textId="77777777" w:rsidR="00E62694" w:rsidRPr="00FD50F6" w:rsidRDefault="00E62694" w:rsidP="000831EC">
            <w:pPr>
              <w:pStyle w:val="7"/>
            </w:pPr>
            <w:r w:rsidRPr="00FD50F6">
              <w:t>应选一至二种</w:t>
            </w:r>
          </w:p>
        </w:tc>
      </w:tr>
    </w:tbl>
    <w:p w14:paraId="3520CC61" w14:textId="77777777" w:rsidR="00E62694" w:rsidRPr="00FD50F6" w:rsidRDefault="00E62694" w:rsidP="00E62694">
      <w:pPr>
        <w:pStyle w:val="9"/>
        <w:ind w:firstLine="480"/>
      </w:pPr>
      <w:bookmarkStart w:id="504" w:name="_Toc320641900"/>
      <w:bookmarkEnd w:id="504"/>
    </w:p>
    <w:p w14:paraId="464D7F9A" w14:textId="3F5DEE1B" w:rsidR="00E62694" w:rsidRPr="00FD50F6" w:rsidRDefault="00E62694" w:rsidP="00E62694">
      <w:pPr>
        <w:pStyle w:val="30"/>
      </w:pPr>
      <w:r w:rsidRPr="00FD50F6">
        <w:rPr>
          <w:rFonts w:hint="eastAsia"/>
        </w:rPr>
        <w:t>矿山法结构防水应根据含水地层的特性、围岩稳定情况和结构支护型式确定。防水层应设置在初衬与二衬之间。地下水丰富</w:t>
      </w:r>
      <w:r w:rsidRPr="00FD50F6">
        <w:rPr>
          <w:rStyle w:val="afff2"/>
          <w:rFonts w:ascii="等线" w:hAnsi="等线" w:hint="eastAsia"/>
          <w:bCs w:val="0"/>
        </w:rPr>
        <w:t>、</w:t>
      </w:r>
      <w:r w:rsidRPr="00FD50F6">
        <w:rPr>
          <w:rFonts w:hint="eastAsia"/>
        </w:rPr>
        <w:t>软弱围岩地段应采用全封闭式复合式衬砌夹层防水做法。</w:t>
      </w:r>
    </w:p>
    <w:p w14:paraId="26251309" w14:textId="0047DC8A" w:rsidR="00E62694" w:rsidRPr="00FD50F6" w:rsidRDefault="00E62694" w:rsidP="00E62694">
      <w:pPr>
        <w:pStyle w:val="30"/>
      </w:pPr>
      <w:r w:rsidRPr="00FD50F6">
        <w:rPr>
          <w:rFonts w:hint="eastAsia"/>
        </w:rPr>
        <w:t>矿山法结构</w:t>
      </w:r>
      <w:r w:rsidRPr="00A65181">
        <w:rPr>
          <w:rStyle w:val="afff2"/>
          <w:rFonts w:ascii="等线" w:hAnsi="等线" w:hint="eastAsia"/>
          <w:bCs w:val="0"/>
        </w:rPr>
        <w:t>处于</w:t>
      </w:r>
      <w:r w:rsidRPr="00FD50F6">
        <w:rPr>
          <w:rFonts w:hint="eastAsia"/>
        </w:rPr>
        <w:t>无侵蚀性介质的硬质岩层中、且具备重力自排水条件时，可设置为排水型隧道。排水型隧道应符合下列规定：</w:t>
      </w:r>
    </w:p>
    <w:p w14:paraId="7757FCCF" w14:textId="30C44EE9" w:rsidR="00E62694" w:rsidRPr="00FD50F6" w:rsidRDefault="00E62694" w:rsidP="00A926BD">
      <w:pPr>
        <w:pStyle w:val="4"/>
      </w:pPr>
      <w:r w:rsidRPr="00FD50F6">
        <w:rPr>
          <w:rFonts w:hint="eastAsia"/>
        </w:rPr>
        <w:t>结构埋深宜超过</w:t>
      </w:r>
      <w:r w:rsidRPr="00FD50F6">
        <w:rPr>
          <w:rFonts w:hint="eastAsia"/>
        </w:rPr>
        <w:t>40</w:t>
      </w:r>
      <w:r w:rsidR="004645B2">
        <w:t xml:space="preserve"> </w:t>
      </w:r>
      <w:r w:rsidR="004645B2">
        <w:rPr>
          <w:rFonts w:hint="eastAsia"/>
        </w:rPr>
        <w:t>m</w:t>
      </w:r>
      <w:r w:rsidRPr="00FD50F6">
        <w:rPr>
          <w:rFonts w:hint="eastAsia"/>
        </w:rPr>
        <w:t>且处于贫水的稳定围岩地层</w:t>
      </w:r>
      <w:r w:rsidR="001F39A4">
        <w:rPr>
          <w:rFonts w:hint="eastAsia"/>
        </w:rPr>
        <w:t>。</w:t>
      </w:r>
    </w:p>
    <w:p w14:paraId="058A886A" w14:textId="761401AE" w:rsidR="00E62694" w:rsidRPr="00FD50F6" w:rsidRDefault="00E62694" w:rsidP="00A926BD">
      <w:pPr>
        <w:pStyle w:val="4"/>
      </w:pPr>
      <w:r w:rsidRPr="00FD50F6">
        <w:rPr>
          <w:rFonts w:hint="eastAsia"/>
        </w:rPr>
        <w:t>排水系统宜设置在初衬与防水层之间。排水量应满足结构安全和运营安全要求，限量排放</w:t>
      </w:r>
      <w:r w:rsidR="001F39A4">
        <w:rPr>
          <w:rFonts w:hint="eastAsia"/>
        </w:rPr>
        <w:t>。</w:t>
      </w:r>
    </w:p>
    <w:p w14:paraId="2E9FFDAF" w14:textId="273C8F18" w:rsidR="00E62694" w:rsidRPr="00FD50F6" w:rsidRDefault="00E62694" w:rsidP="00A926BD">
      <w:pPr>
        <w:pStyle w:val="4"/>
      </w:pPr>
      <w:r w:rsidRPr="00FD50F6">
        <w:rPr>
          <w:rFonts w:hint="eastAsia"/>
        </w:rPr>
        <w:t>排水量应根据单洞单线、单洞双线以及地勘提供的岩层裂隙水量确定；限量排放应结合初衬的注浆措施完成。</w:t>
      </w:r>
    </w:p>
    <w:p w14:paraId="4AD3FEBC" w14:textId="15460B25" w:rsidR="00E62694" w:rsidRPr="00FD50F6" w:rsidRDefault="004645B2" w:rsidP="00A926BD">
      <w:pPr>
        <w:pStyle w:val="4"/>
      </w:pPr>
      <w:r>
        <w:rPr>
          <w:rFonts w:hint="eastAsia"/>
        </w:rPr>
        <w:t>当</w:t>
      </w:r>
      <w:r w:rsidR="00E62694" w:rsidRPr="00FD50F6">
        <w:rPr>
          <w:rFonts w:hint="eastAsia"/>
        </w:rPr>
        <w:t>排水系统收集并引至车站或区间泵房排放时，排水量应满足给排水泵房容量设置要求</w:t>
      </w:r>
      <w:r w:rsidR="001F39A4">
        <w:rPr>
          <w:rFonts w:hint="eastAsia"/>
        </w:rPr>
        <w:t>。</w:t>
      </w:r>
    </w:p>
    <w:p w14:paraId="41E05C2C" w14:textId="3B263959" w:rsidR="00E62694" w:rsidRPr="00FD50F6" w:rsidRDefault="00773820" w:rsidP="00805449">
      <w:pPr>
        <w:pStyle w:val="4"/>
      </w:pPr>
      <w:r>
        <w:rPr>
          <w:rFonts w:hint="eastAsia"/>
        </w:rPr>
        <w:t>应</w:t>
      </w:r>
      <w:r w:rsidR="00E62694" w:rsidRPr="001A4CF3">
        <w:rPr>
          <w:rFonts w:hint="eastAsia"/>
        </w:rPr>
        <w:t>设置全包或半包防水层。煤层采空区</w:t>
      </w:r>
      <w:r w:rsidR="00E62694" w:rsidRPr="00FD50F6">
        <w:rPr>
          <w:rFonts w:hint="eastAsia"/>
        </w:rPr>
        <w:t>应为</w:t>
      </w:r>
      <w:r w:rsidR="00E62694" w:rsidRPr="001A4CF3">
        <w:rPr>
          <w:rFonts w:hint="eastAsia"/>
        </w:rPr>
        <w:t>封闭</w:t>
      </w:r>
      <w:r w:rsidR="00E62694" w:rsidRPr="00FD50F6">
        <w:rPr>
          <w:rFonts w:hint="eastAsia"/>
        </w:rPr>
        <w:t>式结构防水</w:t>
      </w:r>
      <w:r w:rsidR="00E62694" w:rsidRPr="001A4CF3">
        <w:rPr>
          <w:rFonts w:hint="eastAsia"/>
        </w:rPr>
        <w:t>设</w:t>
      </w:r>
      <w:r w:rsidR="00E62694" w:rsidRPr="00FD50F6">
        <w:rPr>
          <w:rFonts w:hint="eastAsia"/>
        </w:rPr>
        <w:t>计</w:t>
      </w:r>
      <w:r w:rsidR="00E62694" w:rsidRPr="001A4CF3">
        <w:rPr>
          <w:rFonts w:hint="eastAsia"/>
        </w:rPr>
        <w:t>。</w:t>
      </w:r>
    </w:p>
    <w:p w14:paraId="573CD0B6" w14:textId="051F6E0F" w:rsidR="00E62694" w:rsidRPr="00FD50F6" w:rsidRDefault="00E62694" w:rsidP="00A926BD">
      <w:pPr>
        <w:pStyle w:val="4"/>
      </w:pPr>
      <w:r w:rsidRPr="00FD50F6">
        <w:rPr>
          <w:rFonts w:hint="eastAsia"/>
        </w:rPr>
        <w:t>排水系统应具备可维护性。</w:t>
      </w:r>
    </w:p>
    <w:p w14:paraId="531FAFF5" w14:textId="77777777" w:rsidR="00E62694" w:rsidRPr="00FD50F6" w:rsidRDefault="00E62694" w:rsidP="00E62694">
      <w:pPr>
        <w:pStyle w:val="30"/>
      </w:pPr>
      <w:r w:rsidRPr="00FD50F6">
        <w:t>当复合式衬砌夹层防水层选用塑料防水板时，其厚度不宜小于</w:t>
      </w:r>
      <w:r w:rsidRPr="00FD50F6">
        <w:t>1.5mm</w:t>
      </w:r>
      <w:r w:rsidRPr="00FD50F6">
        <w:t>，并应在防水板表面设置注浆系统，变形缝部位宜设置分区系统。</w:t>
      </w:r>
    </w:p>
    <w:p w14:paraId="01AE1BAE" w14:textId="77777777" w:rsidR="00E62694" w:rsidRPr="00FD50F6" w:rsidRDefault="00E62694" w:rsidP="00E62694">
      <w:pPr>
        <w:pStyle w:val="30"/>
      </w:pPr>
      <w:r w:rsidRPr="00FD50F6">
        <w:t>防水板与</w:t>
      </w:r>
      <w:r w:rsidRPr="00FD50F6">
        <w:rPr>
          <w:rFonts w:hint="eastAsia"/>
        </w:rPr>
        <w:t>初衬</w:t>
      </w:r>
      <w:r w:rsidRPr="00FD50F6">
        <w:t>喷射混凝土基层之间应设置缓冲层；平面铺设的防水板上表面应设置刚性或柔性永久保护层。</w:t>
      </w:r>
    </w:p>
    <w:p w14:paraId="0F68953E" w14:textId="77777777" w:rsidR="00E62694" w:rsidRPr="00FD50F6" w:rsidRDefault="00E62694" w:rsidP="00E62694">
      <w:pPr>
        <w:pStyle w:val="30"/>
      </w:pPr>
      <w:r w:rsidRPr="00FD50F6">
        <w:lastRenderedPageBreak/>
        <w:t>防水板注浆系统的设置应符合下列规定：</w:t>
      </w:r>
    </w:p>
    <w:p w14:paraId="3A321363" w14:textId="35F80133" w:rsidR="00E62694" w:rsidRPr="00FD50F6" w:rsidRDefault="00E62694" w:rsidP="00A926BD">
      <w:pPr>
        <w:pStyle w:val="4"/>
      </w:pPr>
      <w:r w:rsidRPr="00FD50F6">
        <w:t>注浆系统的环、纵向设置间距，一级设防要求时宜为</w:t>
      </w:r>
      <w:r w:rsidRPr="00FD50F6">
        <w:t>3m</w:t>
      </w:r>
      <w:r w:rsidRPr="00FD50F6">
        <w:t>～</w:t>
      </w:r>
      <w:r w:rsidRPr="00FD50F6">
        <w:t>4m</w:t>
      </w:r>
      <w:r w:rsidRPr="00FD50F6">
        <w:t>，二级设防要求时宜为</w:t>
      </w:r>
      <w:r w:rsidRPr="00FD50F6">
        <w:t>4m~5m</w:t>
      </w:r>
      <w:r w:rsidRPr="00FD50F6">
        <w:t>，顶部</w:t>
      </w:r>
      <w:r w:rsidRPr="00FD50F6">
        <w:rPr>
          <w:rFonts w:hint="eastAsia"/>
        </w:rPr>
        <w:t>可</w:t>
      </w:r>
      <w:r w:rsidRPr="00FD50F6">
        <w:t>加密；</w:t>
      </w:r>
    </w:p>
    <w:p w14:paraId="2E1E9FB9" w14:textId="77777777" w:rsidR="00E62694" w:rsidRPr="00FD50F6" w:rsidRDefault="00E62694" w:rsidP="00A926BD">
      <w:pPr>
        <w:pStyle w:val="4"/>
      </w:pPr>
      <w:r w:rsidRPr="00FD50F6">
        <w:t>注浆系统宜靠近施工缝和变形缝等特殊部位设置；</w:t>
      </w:r>
    </w:p>
    <w:p w14:paraId="67E23F1E" w14:textId="77777777" w:rsidR="00E62694" w:rsidRPr="00FD50F6" w:rsidRDefault="00E62694" w:rsidP="00A926BD">
      <w:pPr>
        <w:pStyle w:val="4"/>
      </w:pPr>
      <w:r w:rsidRPr="00FD50F6">
        <w:t>注浆材料</w:t>
      </w:r>
      <w:r w:rsidRPr="00FD50F6">
        <w:rPr>
          <w:rFonts w:hint="eastAsia"/>
        </w:rPr>
        <w:t>可</w:t>
      </w:r>
      <w:r w:rsidRPr="00FD50F6">
        <w:t>采用</w:t>
      </w:r>
      <w:r w:rsidRPr="00FD50F6">
        <w:rPr>
          <w:rFonts w:hint="eastAsia"/>
        </w:rPr>
        <w:t>掺</w:t>
      </w:r>
      <w:r w:rsidRPr="00FD50F6">
        <w:t>加膨胀剂的水泥浆。</w:t>
      </w:r>
    </w:p>
    <w:p w14:paraId="6D9C439A" w14:textId="77777777" w:rsidR="00E62694" w:rsidRPr="00FD50F6" w:rsidRDefault="00E62694" w:rsidP="00E62694">
      <w:pPr>
        <w:pStyle w:val="30"/>
      </w:pPr>
      <w:r w:rsidRPr="00FD50F6">
        <w:rPr>
          <w:rFonts w:hint="eastAsia"/>
        </w:rPr>
        <w:t>连拱和多连拱暗挖车站，</w:t>
      </w:r>
      <w:r w:rsidRPr="00FD50F6">
        <w:t>两拱相交节点处应采取防、截、堵等多道防水措施。</w:t>
      </w:r>
      <w:bookmarkStart w:id="505" w:name="_Toc320641906"/>
      <w:bookmarkEnd w:id="505"/>
    </w:p>
    <w:p w14:paraId="1EDA65C1" w14:textId="77777777" w:rsidR="00E62694" w:rsidRPr="00FD50F6" w:rsidRDefault="00E62694" w:rsidP="00A65181">
      <w:pPr>
        <w:pStyle w:val="2"/>
      </w:pPr>
      <w:bookmarkStart w:id="506" w:name="_Toc344218770"/>
      <w:bookmarkStart w:id="507" w:name="_Toc320196018"/>
      <w:bookmarkStart w:id="508" w:name="_Toc320643408"/>
      <w:bookmarkStart w:id="509" w:name="_Toc112830739"/>
      <w:r w:rsidRPr="00FD50F6">
        <w:t>盾构法</w:t>
      </w:r>
      <w:r w:rsidRPr="00FD50F6">
        <w:rPr>
          <w:rFonts w:hint="eastAsia"/>
        </w:rPr>
        <w:t>结构</w:t>
      </w:r>
      <w:r w:rsidRPr="00FD50F6">
        <w:t>防水</w:t>
      </w:r>
      <w:bookmarkStart w:id="510" w:name="_Toc320196019"/>
      <w:bookmarkStart w:id="511" w:name="_Toc320643409"/>
      <w:bookmarkEnd w:id="506"/>
      <w:bookmarkEnd w:id="507"/>
      <w:bookmarkEnd w:id="508"/>
      <w:bookmarkEnd w:id="509"/>
      <w:bookmarkEnd w:id="510"/>
      <w:bookmarkEnd w:id="511"/>
    </w:p>
    <w:p w14:paraId="3B7E6BDD" w14:textId="0652DD9E" w:rsidR="00E62694" w:rsidRPr="00FD50F6" w:rsidRDefault="00E62694" w:rsidP="00E62694">
      <w:pPr>
        <w:pStyle w:val="30"/>
      </w:pPr>
      <w:r w:rsidRPr="00FD50F6">
        <w:t>盾构法</w:t>
      </w:r>
      <w:r w:rsidRPr="00FD50F6">
        <w:rPr>
          <w:rFonts w:hint="eastAsia"/>
        </w:rPr>
        <w:t>和管片拼装的</w:t>
      </w:r>
      <w:r w:rsidRPr="00FD50F6">
        <w:rPr>
          <w:rFonts w:hint="eastAsia"/>
        </w:rPr>
        <w:t>TBM</w:t>
      </w:r>
      <w:r w:rsidRPr="00FD50F6">
        <w:rPr>
          <w:rFonts w:hint="eastAsia"/>
        </w:rPr>
        <w:t>法</w:t>
      </w:r>
      <w:r w:rsidRPr="00FD50F6">
        <w:t>隧道宜采用钢筋混凝土管片、复合管片等装配式衬砌或现浇混凝土衬砌。衬砌管片应采用防水混凝土制作，其抗渗等级不得小于</w:t>
      </w:r>
      <w:r w:rsidRPr="00FD50F6">
        <w:t>P</w:t>
      </w:r>
      <w:r w:rsidRPr="00FD50F6">
        <w:rPr>
          <w:vertAlign w:val="subscript"/>
        </w:rPr>
        <w:t>10</w:t>
      </w:r>
      <w:r w:rsidRPr="00FD50F6">
        <w:t>，氯离子扩散系数不宜大于</w:t>
      </w:r>
      <w:r w:rsidRPr="00FD50F6">
        <w:t>3×10</w:t>
      </w:r>
      <w:r w:rsidRPr="00FD50F6">
        <w:rPr>
          <w:vertAlign w:val="superscript"/>
        </w:rPr>
        <w:t>－</w:t>
      </w:r>
      <w:r w:rsidRPr="00FD50F6">
        <w:rPr>
          <w:vertAlign w:val="superscript"/>
        </w:rPr>
        <w:t>12</w:t>
      </w:r>
      <w:r w:rsidRPr="00FD50F6">
        <w:t>m</w:t>
      </w:r>
      <w:r w:rsidRPr="00FD50F6">
        <w:rPr>
          <w:vertAlign w:val="superscript"/>
        </w:rPr>
        <w:t>2</w:t>
      </w:r>
      <w:r w:rsidRPr="00FD50F6">
        <w:t>/s</w:t>
      </w:r>
      <w:r w:rsidRPr="00FD50F6">
        <w:t>。当隧道处于侵蚀性介质的地层时，应采用耐侵蚀混凝土或在衬砌结构外表面涂刷耐侵蚀的防水涂层。</w:t>
      </w:r>
    </w:p>
    <w:p w14:paraId="7BFCD373" w14:textId="340CB2F1" w:rsidR="00E62694" w:rsidRPr="00FD50F6" w:rsidRDefault="00E62694" w:rsidP="00E62694">
      <w:pPr>
        <w:pStyle w:val="30"/>
      </w:pPr>
      <w:r w:rsidRPr="00FD50F6">
        <w:rPr>
          <w:rFonts w:hint="eastAsia"/>
        </w:rPr>
        <w:t>盾构法结构</w:t>
      </w:r>
      <w:r w:rsidRPr="00FD50F6">
        <w:t>防水措施应符合表</w:t>
      </w:r>
      <w:r w:rsidRPr="00FD50F6">
        <w:t>1</w:t>
      </w:r>
      <w:r w:rsidR="00CD74AA" w:rsidRPr="00FD50F6">
        <w:t>3</w:t>
      </w:r>
      <w:r w:rsidRPr="00FD50F6">
        <w:t>.8.2</w:t>
      </w:r>
      <w:r w:rsidRPr="00FD50F6">
        <w:t>的规定。</w:t>
      </w:r>
    </w:p>
    <w:p w14:paraId="2D48DEA3" w14:textId="66399865" w:rsidR="00E62694" w:rsidRPr="00FD50F6" w:rsidRDefault="00E62694" w:rsidP="00E62694">
      <w:pPr>
        <w:pStyle w:val="6"/>
      </w:pPr>
      <w:r w:rsidRPr="00FD50F6">
        <w:t>表</w:t>
      </w:r>
      <w:r w:rsidRPr="00FD50F6">
        <w:t>1</w:t>
      </w:r>
      <w:r w:rsidR="00CD74AA" w:rsidRPr="00FD50F6">
        <w:t>3</w:t>
      </w:r>
      <w:r w:rsidRPr="00FD50F6">
        <w:t>.8.2</w:t>
      </w:r>
      <w:r w:rsidRPr="00FD50F6">
        <w:rPr>
          <w:rFonts w:hint="eastAsia"/>
        </w:rPr>
        <w:t>盾构法</w:t>
      </w:r>
      <w:r w:rsidRPr="00FD50F6">
        <w:t>结构防水措施</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3"/>
        <w:gridCol w:w="684"/>
        <w:gridCol w:w="774"/>
        <w:gridCol w:w="1205"/>
        <w:gridCol w:w="753"/>
        <w:gridCol w:w="753"/>
        <w:gridCol w:w="997"/>
        <w:gridCol w:w="1559"/>
      </w:tblGrid>
      <w:tr w:rsidR="00773820" w:rsidRPr="00CA6052" w14:paraId="77C69515" w14:textId="77777777" w:rsidTr="00295860">
        <w:trPr>
          <w:cantSplit/>
          <w:trHeight w:val="698"/>
        </w:trPr>
        <w:tc>
          <w:tcPr>
            <w:tcW w:w="1463" w:type="dxa"/>
            <w:vMerge w:val="restart"/>
            <w:tcBorders>
              <w:top w:val="single" w:sz="4" w:space="0" w:color="auto"/>
              <w:left w:val="single" w:sz="4" w:space="0" w:color="auto"/>
              <w:right w:val="single" w:sz="6" w:space="0" w:color="auto"/>
            </w:tcBorders>
            <w:vAlign w:val="center"/>
          </w:tcPr>
          <w:p w14:paraId="5D26C1D8" w14:textId="08F95E62" w:rsidR="00773820" w:rsidRPr="00CA6052" w:rsidRDefault="00773820" w:rsidP="00805449">
            <w:pPr>
              <w:adjustRightInd w:val="0"/>
              <w:snapToGrid w:val="0"/>
              <w:spacing w:line="160" w:lineRule="atLeast"/>
              <w:jc w:val="center"/>
              <w:rPr>
                <w:noProof/>
                <w:sz w:val="21"/>
              </w:rPr>
            </w:pPr>
            <w:r w:rsidRPr="00CA6052">
              <w:rPr>
                <w:rFonts w:ascii="Times New Roman" w:hAnsi="Times New Roman"/>
                <w:sz w:val="21"/>
              </w:rPr>
              <w:t>防水等级</w:t>
            </w:r>
            <w:r w:rsidRPr="00CA6052">
              <w:rPr>
                <w:rFonts w:ascii="Times New Roman" w:hAnsi="Times New Roman"/>
                <w:sz w:val="21"/>
              </w:rPr>
              <w:t xml:space="preserve">                </w:t>
            </w:r>
          </w:p>
        </w:tc>
        <w:tc>
          <w:tcPr>
            <w:tcW w:w="6725" w:type="dxa"/>
            <w:gridSpan w:val="7"/>
            <w:tcBorders>
              <w:top w:val="single" w:sz="4" w:space="0" w:color="auto"/>
              <w:left w:val="single" w:sz="6" w:space="0" w:color="auto"/>
              <w:bottom w:val="single" w:sz="6" w:space="0" w:color="auto"/>
              <w:right w:val="single" w:sz="4" w:space="0" w:color="auto"/>
            </w:tcBorders>
            <w:vAlign w:val="center"/>
          </w:tcPr>
          <w:p w14:paraId="10C885ED" w14:textId="76543410" w:rsidR="00773820" w:rsidRPr="00CA6052" w:rsidRDefault="00773820" w:rsidP="00773820">
            <w:pPr>
              <w:adjustRightInd w:val="0"/>
              <w:snapToGrid w:val="0"/>
              <w:jc w:val="center"/>
              <w:rPr>
                <w:rFonts w:ascii="Times New Roman" w:hAnsi="Times New Roman"/>
                <w:sz w:val="21"/>
              </w:rPr>
            </w:pPr>
            <w:r w:rsidRPr="00CA6052">
              <w:rPr>
                <w:rFonts w:ascii="Times New Roman" w:hAnsi="Times New Roman"/>
                <w:sz w:val="21"/>
              </w:rPr>
              <w:t>防水措施</w:t>
            </w:r>
          </w:p>
        </w:tc>
      </w:tr>
      <w:tr w:rsidR="00773820" w:rsidRPr="00CA6052" w14:paraId="3EAC0A2E" w14:textId="77777777" w:rsidTr="00295860">
        <w:trPr>
          <w:cantSplit/>
          <w:trHeight w:val="698"/>
        </w:trPr>
        <w:tc>
          <w:tcPr>
            <w:tcW w:w="1463" w:type="dxa"/>
            <w:vMerge/>
            <w:tcBorders>
              <w:left w:val="single" w:sz="4" w:space="0" w:color="auto"/>
              <w:right w:val="single" w:sz="6" w:space="0" w:color="auto"/>
            </w:tcBorders>
            <w:vAlign w:val="center"/>
          </w:tcPr>
          <w:p w14:paraId="14BD4699" w14:textId="4E35E4A0" w:rsidR="00773820" w:rsidRPr="00CA6052" w:rsidRDefault="00773820" w:rsidP="000831EC">
            <w:pPr>
              <w:tabs>
                <w:tab w:val="left" w:pos="420"/>
                <w:tab w:val="center" w:pos="4153"/>
                <w:tab w:val="right" w:pos="8306"/>
              </w:tabs>
              <w:adjustRightInd w:val="0"/>
              <w:spacing w:line="160" w:lineRule="atLeast"/>
              <w:jc w:val="left"/>
              <w:rPr>
                <w:rFonts w:ascii="Times New Roman" w:hAnsi="Times New Roman"/>
                <w:sz w:val="21"/>
              </w:rPr>
            </w:pPr>
          </w:p>
        </w:tc>
        <w:tc>
          <w:tcPr>
            <w:tcW w:w="684" w:type="dxa"/>
            <w:vMerge w:val="restart"/>
            <w:tcBorders>
              <w:top w:val="single" w:sz="4" w:space="0" w:color="auto"/>
              <w:left w:val="single" w:sz="6" w:space="0" w:color="auto"/>
              <w:bottom w:val="single" w:sz="6" w:space="0" w:color="auto"/>
              <w:right w:val="single" w:sz="6" w:space="0" w:color="auto"/>
            </w:tcBorders>
            <w:vAlign w:val="center"/>
          </w:tcPr>
          <w:p w14:paraId="3C4A23E3" w14:textId="77777777" w:rsidR="00773820" w:rsidRPr="00CA6052" w:rsidRDefault="00773820" w:rsidP="000831EC">
            <w:pPr>
              <w:tabs>
                <w:tab w:val="left" w:pos="420"/>
                <w:tab w:val="center" w:pos="4153"/>
                <w:tab w:val="right" w:pos="8306"/>
              </w:tabs>
              <w:adjustRightInd w:val="0"/>
              <w:spacing w:line="360" w:lineRule="atLeast"/>
              <w:jc w:val="center"/>
              <w:rPr>
                <w:rFonts w:ascii="Times New Roman" w:hAnsi="Times New Roman"/>
                <w:sz w:val="21"/>
              </w:rPr>
            </w:pPr>
            <w:r w:rsidRPr="00CA6052">
              <w:rPr>
                <w:rFonts w:ascii="Times New Roman" w:hAnsi="Times New Roman"/>
                <w:sz w:val="21"/>
              </w:rPr>
              <w:t>高精度管片</w:t>
            </w:r>
          </w:p>
        </w:tc>
        <w:tc>
          <w:tcPr>
            <w:tcW w:w="3485" w:type="dxa"/>
            <w:gridSpan w:val="4"/>
            <w:tcBorders>
              <w:top w:val="single" w:sz="4" w:space="0" w:color="auto"/>
              <w:left w:val="single" w:sz="6" w:space="0" w:color="auto"/>
              <w:bottom w:val="single" w:sz="6" w:space="0" w:color="auto"/>
              <w:right w:val="single" w:sz="6" w:space="0" w:color="auto"/>
            </w:tcBorders>
            <w:vAlign w:val="center"/>
          </w:tcPr>
          <w:p w14:paraId="034FA02C" w14:textId="77777777" w:rsidR="00773820" w:rsidRPr="00CA6052" w:rsidRDefault="00773820" w:rsidP="000831EC">
            <w:pPr>
              <w:tabs>
                <w:tab w:val="left" w:pos="420"/>
                <w:tab w:val="center" w:pos="4153"/>
                <w:tab w:val="right" w:pos="8306"/>
              </w:tabs>
              <w:adjustRightInd w:val="0"/>
              <w:spacing w:line="360" w:lineRule="atLeast"/>
              <w:jc w:val="center"/>
              <w:rPr>
                <w:rFonts w:ascii="Times New Roman" w:hAnsi="Times New Roman"/>
                <w:sz w:val="21"/>
              </w:rPr>
            </w:pPr>
            <w:r w:rsidRPr="00CA6052">
              <w:rPr>
                <w:rFonts w:ascii="Times New Roman" w:hAnsi="Times New Roman"/>
                <w:sz w:val="21"/>
              </w:rPr>
              <w:t>接</w:t>
            </w:r>
            <w:r w:rsidRPr="00CA6052">
              <w:rPr>
                <w:rFonts w:ascii="Times New Roman" w:hAnsi="Times New Roman"/>
                <w:sz w:val="21"/>
              </w:rPr>
              <w:t xml:space="preserve">  </w:t>
            </w:r>
            <w:r w:rsidRPr="00CA6052">
              <w:rPr>
                <w:rFonts w:ascii="Times New Roman" w:hAnsi="Times New Roman"/>
                <w:sz w:val="21"/>
              </w:rPr>
              <w:t>缝</w:t>
            </w:r>
            <w:r w:rsidRPr="00CA6052">
              <w:rPr>
                <w:rFonts w:ascii="Times New Roman" w:hAnsi="Times New Roman"/>
                <w:sz w:val="21"/>
              </w:rPr>
              <w:t xml:space="preserve">  </w:t>
            </w:r>
            <w:r w:rsidRPr="00CA6052">
              <w:rPr>
                <w:rFonts w:ascii="Times New Roman" w:hAnsi="Times New Roman"/>
                <w:sz w:val="21"/>
              </w:rPr>
              <w:t>防</w:t>
            </w:r>
            <w:r w:rsidRPr="00CA6052">
              <w:rPr>
                <w:rFonts w:ascii="Times New Roman" w:hAnsi="Times New Roman"/>
                <w:sz w:val="21"/>
              </w:rPr>
              <w:t xml:space="preserve">  </w:t>
            </w:r>
            <w:r w:rsidRPr="00CA6052">
              <w:rPr>
                <w:rFonts w:ascii="Times New Roman" w:hAnsi="Times New Roman"/>
                <w:sz w:val="21"/>
              </w:rPr>
              <w:t>水</w:t>
            </w:r>
          </w:p>
        </w:tc>
        <w:tc>
          <w:tcPr>
            <w:tcW w:w="997" w:type="dxa"/>
            <w:vMerge w:val="restart"/>
            <w:tcBorders>
              <w:top w:val="single" w:sz="4" w:space="0" w:color="auto"/>
              <w:left w:val="single" w:sz="6" w:space="0" w:color="auto"/>
              <w:bottom w:val="single" w:sz="6" w:space="0" w:color="auto"/>
              <w:right w:val="single" w:sz="6" w:space="0" w:color="auto"/>
            </w:tcBorders>
            <w:vAlign w:val="center"/>
          </w:tcPr>
          <w:p w14:paraId="20C07042" w14:textId="77777777" w:rsidR="00773820" w:rsidRPr="00CA6052" w:rsidRDefault="00773820" w:rsidP="000831EC">
            <w:pPr>
              <w:adjustRightInd w:val="0"/>
              <w:snapToGrid w:val="0"/>
              <w:jc w:val="center"/>
              <w:rPr>
                <w:rFonts w:ascii="Times New Roman" w:hAnsi="Times New Roman"/>
                <w:sz w:val="21"/>
              </w:rPr>
            </w:pPr>
            <w:r w:rsidRPr="00CA6052">
              <w:rPr>
                <w:rFonts w:ascii="Times New Roman" w:hAnsi="Times New Roman"/>
                <w:sz w:val="21"/>
              </w:rPr>
              <w:t>混凝土内衬</w:t>
            </w:r>
          </w:p>
          <w:p w14:paraId="119F5745" w14:textId="77777777" w:rsidR="00773820" w:rsidRPr="00CA6052" w:rsidRDefault="00773820" w:rsidP="000831EC">
            <w:pPr>
              <w:adjustRightInd w:val="0"/>
              <w:snapToGrid w:val="0"/>
              <w:jc w:val="center"/>
              <w:rPr>
                <w:rFonts w:ascii="Times New Roman" w:hAnsi="Times New Roman"/>
                <w:sz w:val="21"/>
              </w:rPr>
            </w:pPr>
          </w:p>
        </w:tc>
        <w:tc>
          <w:tcPr>
            <w:tcW w:w="1559" w:type="dxa"/>
            <w:vMerge w:val="restart"/>
            <w:tcBorders>
              <w:top w:val="single" w:sz="4" w:space="0" w:color="auto"/>
              <w:left w:val="single" w:sz="6" w:space="0" w:color="auto"/>
              <w:bottom w:val="single" w:sz="6" w:space="0" w:color="auto"/>
              <w:right w:val="single" w:sz="4" w:space="0" w:color="auto"/>
            </w:tcBorders>
            <w:vAlign w:val="center"/>
          </w:tcPr>
          <w:p w14:paraId="28E39A88" w14:textId="77777777" w:rsidR="00773820" w:rsidRPr="00CA6052" w:rsidRDefault="00773820" w:rsidP="000831EC">
            <w:pPr>
              <w:adjustRightInd w:val="0"/>
              <w:snapToGrid w:val="0"/>
              <w:jc w:val="center"/>
              <w:rPr>
                <w:rFonts w:ascii="Times New Roman" w:hAnsi="Times New Roman"/>
                <w:sz w:val="21"/>
              </w:rPr>
            </w:pPr>
            <w:r w:rsidRPr="00CA6052">
              <w:rPr>
                <w:rFonts w:ascii="Times New Roman" w:hAnsi="Times New Roman"/>
                <w:sz w:val="21"/>
              </w:rPr>
              <w:t>外防水涂料</w:t>
            </w:r>
          </w:p>
        </w:tc>
      </w:tr>
      <w:tr w:rsidR="00773820" w:rsidRPr="00CA6052" w14:paraId="5D3105F2" w14:textId="77777777" w:rsidTr="00295860">
        <w:trPr>
          <w:cantSplit/>
          <w:trHeight w:val="794"/>
        </w:trPr>
        <w:tc>
          <w:tcPr>
            <w:tcW w:w="1463" w:type="dxa"/>
            <w:vMerge/>
            <w:tcBorders>
              <w:left w:val="single" w:sz="4" w:space="0" w:color="auto"/>
              <w:bottom w:val="single" w:sz="6" w:space="0" w:color="auto"/>
              <w:right w:val="single" w:sz="6" w:space="0" w:color="auto"/>
            </w:tcBorders>
            <w:vAlign w:val="center"/>
          </w:tcPr>
          <w:p w14:paraId="690F5815" w14:textId="77777777" w:rsidR="00773820" w:rsidRPr="00CA6052" w:rsidRDefault="00773820" w:rsidP="000831EC">
            <w:pPr>
              <w:adjustRightInd w:val="0"/>
              <w:snapToGrid w:val="0"/>
              <w:rPr>
                <w:rFonts w:ascii="Times New Roman" w:hAnsi="Times New Roman"/>
                <w:sz w:val="21"/>
              </w:rPr>
            </w:pPr>
          </w:p>
        </w:tc>
        <w:tc>
          <w:tcPr>
            <w:tcW w:w="684" w:type="dxa"/>
            <w:vMerge/>
            <w:tcBorders>
              <w:top w:val="single" w:sz="4" w:space="0" w:color="auto"/>
              <w:left w:val="single" w:sz="6" w:space="0" w:color="auto"/>
              <w:bottom w:val="single" w:sz="6" w:space="0" w:color="auto"/>
              <w:right w:val="single" w:sz="6" w:space="0" w:color="auto"/>
            </w:tcBorders>
            <w:vAlign w:val="center"/>
          </w:tcPr>
          <w:p w14:paraId="0CB30183" w14:textId="77777777" w:rsidR="00773820" w:rsidRPr="00CA6052" w:rsidRDefault="00773820" w:rsidP="000831EC">
            <w:pPr>
              <w:adjustRightInd w:val="0"/>
              <w:snapToGrid w:val="0"/>
              <w:rPr>
                <w:rFonts w:ascii="Times New Roman" w:hAnsi="Times New Roman"/>
                <w:sz w:val="21"/>
              </w:rPr>
            </w:pPr>
          </w:p>
        </w:tc>
        <w:tc>
          <w:tcPr>
            <w:tcW w:w="774" w:type="dxa"/>
            <w:tcBorders>
              <w:top w:val="single" w:sz="6" w:space="0" w:color="auto"/>
              <w:left w:val="single" w:sz="6" w:space="0" w:color="auto"/>
              <w:bottom w:val="single" w:sz="6" w:space="0" w:color="auto"/>
              <w:right w:val="single" w:sz="6" w:space="0" w:color="auto"/>
            </w:tcBorders>
            <w:vAlign w:val="center"/>
          </w:tcPr>
          <w:p w14:paraId="4A4DB6F0" w14:textId="77777777" w:rsidR="00773820" w:rsidRPr="00CA6052" w:rsidRDefault="00773820" w:rsidP="000831EC">
            <w:pPr>
              <w:adjustRightInd w:val="0"/>
              <w:snapToGrid w:val="0"/>
              <w:jc w:val="center"/>
              <w:rPr>
                <w:rFonts w:ascii="Times New Roman" w:hAnsi="Times New Roman"/>
                <w:sz w:val="21"/>
              </w:rPr>
            </w:pPr>
            <w:r w:rsidRPr="00CA6052">
              <w:rPr>
                <w:rFonts w:ascii="Times New Roman" w:hAnsi="Times New Roman"/>
                <w:sz w:val="21"/>
              </w:rPr>
              <w:t>密封垫</w:t>
            </w:r>
          </w:p>
        </w:tc>
        <w:tc>
          <w:tcPr>
            <w:tcW w:w="1205" w:type="dxa"/>
            <w:tcBorders>
              <w:top w:val="single" w:sz="6" w:space="0" w:color="auto"/>
              <w:left w:val="single" w:sz="6" w:space="0" w:color="auto"/>
              <w:bottom w:val="single" w:sz="6" w:space="0" w:color="auto"/>
              <w:right w:val="single" w:sz="6" w:space="0" w:color="auto"/>
            </w:tcBorders>
            <w:vAlign w:val="center"/>
          </w:tcPr>
          <w:p w14:paraId="226FDF72" w14:textId="77777777" w:rsidR="00773820" w:rsidRPr="00CA6052" w:rsidRDefault="00773820" w:rsidP="000831EC">
            <w:pPr>
              <w:adjustRightInd w:val="0"/>
              <w:snapToGrid w:val="0"/>
              <w:jc w:val="center"/>
              <w:rPr>
                <w:rFonts w:ascii="Times New Roman" w:hAnsi="Times New Roman"/>
                <w:sz w:val="21"/>
              </w:rPr>
            </w:pPr>
            <w:r w:rsidRPr="00CA6052">
              <w:rPr>
                <w:rFonts w:ascii="Times New Roman" w:hAnsi="Times New Roman"/>
                <w:sz w:val="21"/>
              </w:rPr>
              <w:t>嵌</w:t>
            </w:r>
            <w:r w:rsidRPr="00CA6052">
              <w:rPr>
                <w:rFonts w:ascii="Times New Roman" w:hAnsi="Times New Roman"/>
                <w:sz w:val="21"/>
              </w:rPr>
              <w:t xml:space="preserve"> </w:t>
            </w:r>
            <w:r w:rsidRPr="00CA6052">
              <w:rPr>
                <w:rFonts w:ascii="Times New Roman" w:hAnsi="Times New Roman"/>
                <w:sz w:val="21"/>
              </w:rPr>
              <w:t>缝</w:t>
            </w:r>
          </w:p>
        </w:tc>
        <w:tc>
          <w:tcPr>
            <w:tcW w:w="753" w:type="dxa"/>
            <w:tcBorders>
              <w:top w:val="single" w:sz="6" w:space="0" w:color="auto"/>
              <w:left w:val="single" w:sz="6" w:space="0" w:color="auto"/>
              <w:bottom w:val="single" w:sz="6" w:space="0" w:color="auto"/>
              <w:right w:val="single" w:sz="6" w:space="0" w:color="auto"/>
            </w:tcBorders>
            <w:vAlign w:val="center"/>
          </w:tcPr>
          <w:p w14:paraId="38DBCC1E" w14:textId="77777777" w:rsidR="00773820" w:rsidRPr="00CA6052" w:rsidRDefault="00773820" w:rsidP="000831EC">
            <w:pPr>
              <w:adjustRightInd w:val="0"/>
              <w:snapToGrid w:val="0"/>
              <w:jc w:val="center"/>
              <w:rPr>
                <w:rFonts w:ascii="Times New Roman" w:hAnsi="Times New Roman"/>
                <w:sz w:val="21"/>
              </w:rPr>
            </w:pPr>
            <w:r w:rsidRPr="00CA6052">
              <w:rPr>
                <w:rFonts w:ascii="Times New Roman" w:hAnsi="Times New Roman"/>
                <w:sz w:val="21"/>
              </w:rPr>
              <w:t>注入密封</w:t>
            </w:r>
            <w:r w:rsidRPr="00CA6052">
              <w:rPr>
                <w:rFonts w:ascii="Times New Roman" w:hAnsi="Times New Roman"/>
                <w:sz w:val="21"/>
              </w:rPr>
              <w:t xml:space="preserve"> </w:t>
            </w:r>
            <w:r w:rsidRPr="00CA6052">
              <w:rPr>
                <w:rFonts w:ascii="Times New Roman" w:hAnsi="Times New Roman"/>
                <w:sz w:val="21"/>
              </w:rPr>
              <w:t>剂</w:t>
            </w:r>
          </w:p>
        </w:tc>
        <w:tc>
          <w:tcPr>
            <w:tcW w:w="753" w:type="dxa"/>
            <w:tcBorders>
              <w:top w:val="single" w:sz="6" w:space="0" w:color="auto"/>
              <w:left w:val="single" w:sz="6" w:space="0" w:color="auto"/>
              <w:bottom w:val="single" w:sz="6" w:space="0" w:color="auto"/>
              <w:right w:val="single" w:sz="6" w:space="0" w:color="auto"/>
            </w:tcBorders>
            <w:vAlign w:val="center"/>
          </w:tcPr>
          <w:p w14:paraId="63325B1C" w14:textId="77777777" w:rsidR="00773820" w:rsidRPr="00CA6052" w:rsidRDefault="00773820" w:rsidP="000831EC">
            <w:pPr>
              <w:adjustRightInd w:val="0"/>
              <w:snapToGrid w:val="0"/>
              <w:jc w:val="center"/>
              <w:rPr>
                <w:rFonts w:ascii="Times New Roman" w:hAnsi="Times New Roman"/>
                <w:sz w:val="21"/>
              </w:rPr>
            </w:pPr>
            <w:r w:rsidRPr="00CA6052">
              <w:rPr>
                <w:rFonts w:ascii="Times New Roman" w:hAnsi="Times New Roman"/>
                <w:sz w:val="21"/>
              </w:rPr>
              <w:t>螺孔密封</w:t>
            </w:r>
            <w:r w:rsidRPr="00CA6052">
              <w:rPr>
                <w:rFonts w:ascii="Times New Roman" w:hAnsi="Times New Roman"/>
                <w:sz w:val="21"/>
              </w:rPr>
              <w:t xml:space="preserve"> </w:t>
            </w:r>
            <w:r w:rsidRPr="00CA6052">
              <w:rPr>
                <w:rFonts w:ascii="Times New Roman" w:hAnsi="Times New Roman"/>
                <w:sz w:val="21"/>
              </w:rPr>
              <w:t>圈</w:t>
            </w:r>
          </w:p>
        </w:tc>
        <w:tc>
          <w:tcPr>
            <w:tcW w:w="997" w:type="dxa"/>
            <w:vMerge/>
            <w:tcBorders>
              <w:top w:val="single" w:sz="4" w:space="0" w:color="auto"/>
              <w:left w:val="single" w:sz="6" w:space="0" w:color="auto"/>
              <w:bottom w:val="single" w:sz="6" w:space="0" w:color="auto"/>
              <w:right w:val="single" w:sz="6" w:space="0" w:color="auto"/>
            </w:tcBorders>
            <w:vAlign w:val="center"/>
          </w:tcPr>
          <w:p w14:paraId="1DDE3490" w14:textId="77777777" w:rsidR="00773820" w:rsidRPr="00CA6052" w:rsidRDefault="00773820" w:rsidP="000831EC">
            <w:pPr>
              <w:adjustRightInd w:val="0"/>
              <w:snapToGrid w:val="0"/>
              <w:rPr>
                <w:rFonts w:ascii="Times New Roman" w:hAnsi="Times New Roman"/>
                <w:sz w:val="21"/>
              </w:rPr>
            </w:pPr>
          </w:p>
        </w:tc>
        <w:tc>
          <w:tcPr>
            <w:tcW w:w="1559" w:type="dxa"/>
            <w:vMerge/>
            <w:tcBorders>
              <w:top w:val="single" w:sz="4" w:space="0" w:color="auto"/>
              <w:left w:val="single" w:sz="6" w:space="0" w:color="auto"/>
              <w:bottom w:val="single" w:sz="6" w:space="0" w:color="auto"/>
              <w:right w:val="single" w:sz="4" w:space="0" w:color="auto"/>
            </w:tcBorders>
            <w:vAlign w:val="center"/>
          </w:tcPr>
          <w:p w14:paraId="709347A9" w14:textId="77777777" w:rsidR="00773820" w:rsidRPr="00CA6052" w:rsidRDefault="00773820" w:rsidP="000831EC">
            <w:pPr>
              <w:adjustRightInd w:val="0"/>
              <w:snapToGrid w:val="0"/>
              <w:rPr>
                <w:rFonts w:ascii="Times New Roman" w:hAnsi="Times New Roman"/>
                <w:sz w:val="21"/>
              </w:rPr>
            </w:pPr>
          </w:p>
        </w:tc>
      </w:tr>
      <w:tr w:rsidR="00FD50F6" w:rsidRPr="00CA6052" w14:paraId="2D09FFC3" w14:textId="77777777" w:rsidTr="000831EC">
        <w:trPr>
          <w:trHeight w:val="454"/>
        </w:trPr>
        <w:tc>
          <w:tcPr>
            <w:tcW w:w="1463" w:type="dxa"/>
            <w:tcBorders>
              <w:top w:val="single" w:sz="6" w:space="0" w:color="auto"/>
              <w:left w:val="single" w:sz="4" w:space="0" w:color="auto"/>
              <w:bottom w:val="single" w:sz="6" w:space="0" w:color="auto"/>
              <w:right w:val="single" w:sz="6" w:space="0" w:color="auto"/>
            </w:tcBorders>
            <w:vAlign w:val="center"/>
          </w:tcPr>
          <w:p w14:paraId="3CBDEFF4"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一</w:t>
            </w:r>
            <w:r w:rsidRPr="00CA6052">
              <w:rPr>
                <w:rFonts w:ascii="Times New Roman" w:hAnsi="Times New Roman"/>
                <w:sz w:val="21"/>
              </w:rPr>
              <w:t xml:space="preserve">    </w:t>
            </w:r>
            <w:r w:rsidRPr="00CA6052">
              <w:rPr>
                <w:rFonts w:ascii="Times New Roman" w:hAnsi="Times New Roman"/>
                <w:sz w:val="21"/>
              </w:rPr>
              <w:t>级</w:t>
            </w:r>
          </w:p>
        </w:tc>
        <w:tc>
          <w:tcPr>
            <w:tcW w:w="684" w:type="dxa"/>
            <w:tcBorders>
              <w:top w:val="single" w:sz="6" w:space="0" w:color="auto"/>
              <w:left w:val="single" w:sz="6" w:space="0" w:color="auto"/>
              <w:bottom w:val="single" w:sz="6" w:space="0" w:color="auto"/>
              <w:right w:val="single" w:sz="6" w:space="0" w:color="auto"/>
            </w:tcBorders>
            <w:vAlign w:val="center"/>
          </w:tcPr>
          <w:p w14:paraId="5DAB31B7"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必选</w:t>
            </w:r>
          </w:p>
        </w:tc>
        <w:tc>
          <w:tcPr>
            <w:tcW w:w="774" w:type="dxa"/>
            <w:tcBorders>
              <w:top w:val="single" w:sz="6" w:space="0" w:color="auto"/>
              <w:left w:val="single" w:sz="6" w:space="0" w:color="auto"/>
              <w:bottom w:val="single" w:sz="6" w:space="0" w:color="auto"/>
              <w:right w:val="single" w:sz="6" w:space="0" w:color="auto"/>
            </w:tcBorders>
            <w:vAlign w:val="center"/>
          </w:tcPr>
          <w:p w14:paraId="0B9F1DAA"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必选</w:t>
            </w:r>
          </w:p>
        </w:tc>
        <w:tc>
          <w:tcPr>
            <w:tcW w:w="1205" w:type="dxa"/>
            <w:tcBorders>
              <w:top w:val="single" w:sz="6" w:space="0" w:color="auto"/>
              <w:left w:val="single" w:sz="6" w:space="0" w:color="auto"/>
              <w:bottom w:val="single" w:sz="6" w:space="0" w:color="auto"/>
              <w:right w:val="single" w:sz="6" w:space="0" w:color="auto"/>
            </w:tcBorders>
            <w:vAlign w:val="center"/>
          </w:tcPr>
          <w:p w14:paraId="7241B09C"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hint="eastAsia"/>
                <w:sz w:val="21"/>
              </w:rPr>
              <w:t>局部可选</w:t>
            </w:r>
          </w:p>
        </w:tc>
        <w:tc>
          <w:tcPr>
            <w:tcW w:w="753" w:type="dxa"/>
            <w:tcBorders>
              <w:top w:val="single" w:sz="6" w:space="0" w:color="auto"/>
              <w:left w:val="single" w:sz="6" w:space="0" w:color="auto"/>
              <w:bottom w:val="single" w:sz="6" w:space="0" w:color="auto"/>
              <w:right w:val="single" w:sz="6" w:space="0" w:color="auto"/>
            </w:tcBorders>
            <w:vAlign w:val="center"/>
          </w:tcPr>
          <w:p w14:paraId="5D21572B"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可选</w:t>
            </w:r>
          </w:p>
        </w:tc>
        <w:tc>
          <w:tcPr>
            <w:tcW w:w="753" w:type="dxa"/>
            <w:tcBorders>
              <w:top w:val="single" w:sz="6" w:space="0" w:color="auto"/>
              <w:left w:val="single" w:sz="6" w:space="0" w:color="auto"/>
              <w:bottom w:val="single" w:sz="6" w:space="0" w:color="auto"/>
              <w:right w:val="single" w:sz="6" w:space="0" w:color="auto"/>
            </w:tcBorders>
            <w:vAlign w:val="center"/>
          </w:tcPr>
          <w:p w14:paraId="6319E842"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必选</w:t>
            </w:r>
          </w:p>
        </w:tc>
        <w:tc>
          <w:tcPr>
            <w:tcW w:w="997" w:type="dxa"/>
            <w:tcBorders>
              <w:top w:val="single" w:sz="6" w:space="0" w:color="auto"/>
              <w:left w:val="single" w:sz="6" w:space="0" w:color="auto"/>
              <w:bottom w:val="single" w:sz="6" w:space="0" w:color="auto"/>
              <w:right w:val="single" w:sz="6" w:space="0" w:color="auto"/>
            </w:tcBorders>
            <w:vAlign w:val="center"/>
          </w:tcPr>
          <w:p w14:paraId="73F00B6F"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hint="eastAsia"/>
                <w:sz w:val="21"/>
              </w:rPr>
              <w:t>可</w:t>
            </w:r>
            <w:r w:rsidRPr="00CA6052">
              <w:rPr>
                <w:rFonts w:ascii="Times New Roman" w:hAnsi="Times New Roman"/>
                <w:sz w:val="21"/>
              </w:rPr>
              <w:t>选</w:t>
            </w:r>
          </w:p>
        </w:tc>
        <w:tc>
          <w:tcPr>
            <w:tcW w:w="1559" w:type="dxa"/>
            <w:vMerge w:val="restart"/>
            <w:tcBorders>
              <w:top w:val="single" w:sz="6" w:space="0" w:color="auto"/>
              <w:left w:val="single" w:sz="6" w:space="0" w:color="auto"/>
              <w:right w:val="single" w:sz="4" w:space="0" w:color="auto"/>
            </w:tcBorders>
            <w:vAlign w:val="center"/>
          </w:tcPr>
          <w:p w14:paraId="5AF38AE6" w14:textId="77777777" w:rsidR="00E62694" w:rsidRPr="00CA6052" w:rsidRDefault="00E62694" w:rsidP="000831EC">
            <w:pPr>
              <w:adjustRightInd w:val="0"/>
              <w:snapToGrid w:val="0"/>
              <w:spacing w:line="240" w:lineRule="auto"/>
              <w:jc w:val="center"/>
              <w:rPr>
                <w:rFonts w:ascii="Times New Roman" w:hAnsi="Times New Roman"/>
                <w:sz w:val="21"/>
              </w:rPr>
            </w:pPr>
          </w:p>
          <w:p w14:paraId="4C2470D9" w14:textId="4A985A85"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对混凝土有中等</w:t>
            </w:r>
            <w:r w:rsidRPr="00CA6052">
              <w:rPr>
                <w:rFonts w:ascii="Times New Roman" w:hAnsi="Times New Roman" w:hint="eastAsia"/>
                <w:sz w:val="21"/>
              </w:rPr>
              <w:t>及</w:t>
            </w:r>
            <w:r w:rsidRPr="00CA6052">
              <w:rPr>
                <w:rFonts w:ascii="Times New Roman" w:hAnsi="Times New Roman"/>
                <w:sz w:val="21"/>
              </w:rPr>
              <w:t>以上腐蚀的地层</w:t>
            </w:r>
            <w:r w:rsidRPr="00CA6052">
              <w:rPr>
                <w:rFonts w:ascii="Times New Roman" w:hAnsi="Times New Roman" w:hint="eastAsia"/>
                <w:sz w:val="21"/>
              </w:rPr>
              <w:t>可</w:t>
            </w:r>
            <w:r w:rsidRPr="00CA6052">
              <w:rPr>
                <w:rFonts w:ascii="Times New Roman" w:hAnsi="Times New Roman"/>
                <w:sz w:val="21"/>
              </w:rPr>
              <w:t>选</w:t>
            </w:r>
          </w:p>
        </w:tc>
      </w:tr>
      <w:tr w:rsidR="00E62694" w:rsidRPr="00CA6052" w14:paraId="296F2C5D" w14:textId="77777777" w:rsidTr="000831EC">
        <w:trPr>
          <w:trHeight w:val="454"/>
        </w:trPr>
        <w:tc>
          <w:tcPr>
            <w:tcW w:w="1463" w:type="dxa"/>
            <w:tcBorders>
              <w:top w:val="single" w:sz="6" w:space="0" w:color="auto"/>
              <w:left w:val="single" w:sz="4" w:space="0" w:color="auto"/>
              <w:bottom w:val="single" w:sz="6" w:space="0" w:color="auto"/>
              <w:right w:val="single" w:sz="6" w:space="0" w:color="auto"/>
            </w:tcBorders>
            <w:vAlign w:val="center"/>
          </w:tcPr>
          <w:p w14:paraId="73A5A7E4"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二</w:t>
            </w:r>
            <w:r w:rsidRPr="00CA6052">
              <w:rPr>
                <w:rFonts w:ascii="Times New Roman" w:hAnsi="Times New Roman"/>
                <w:sz w:val="21"/>
              </w:rPr>
              <w:t xml:space="preserve">    </w:t>
            </w:r>
            <w:r w:rsidRPr="00CA6052">
              <w:rPr>
                <w:rFonts w:ascii="Times New Roman" w:hAnsi="Times New Roman"/>
                <w:sz w:val="21"/>
              </w:rPr>
              <w:t>级</w:t>
            </w:r>
          </w:p>
        </w:tc>
        <w:tc>
          <w:tcPr>
            <w:tcW w:w="684" w:type="dxa"/>
            <w:tcBorders>
              <w:top w:val="single" w:sz="6" w:space="0" w:color="auto"/>
              <w:left w:val="single" w:sz="6" w:space="0" w:color="auto"/>
              <w:bottom w:val="single" w:sz="6" w:space="0" w:color="auto"/>
              <w:right w:val="single" w:sz="6" w:space="0" w:color="auto"/>
            </w:tcBorders>
            <w:vAlign w:val="center"/>
          </w:tcPr>
          <w:p w14:paraId="3526BDAE"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必选</w:t>
            </w:r>
          </w:p>
        </w:tc>
        <w:tc>
          <w:tcPr>
            <w:tcW w:w="774" w:type="dxa"/>
            <w:tcBorders>
              <w:top w:val="single" w:sz="6" w:space="0" w:color="auto"/>
              <w:left w:val="single" w:sz="6" w:space="0" w:color="auto"/>
              <w:bottom w:val="single" w:sz="6" w:space="0" w:color="auto"/>
              <w:right w:val="single" w:sz="6" w:space="0" w:color="auto"/>
            </w:tcBorders>
            <w:vAlign w:val="center"/>
          </w:tcPr>
          <w:p w14:paraId="2A478CC3"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必选</w:t>
            </w:r>
          </w:p>
        </w:tc>
        <w:tc>
          <w:tcPr>
            <w:tcW w:w="1205" w:type="dxa"/>
            <w:tcBorders>
              <w:top w:val="single" w:sz="6" w:space="0" w:color="auto"/>
              <w:left w:val="single" w:sz="6" w:space="0" w:color="auto"/>
              <w:bottom w:val="single" w:sz="6" w:space="0" w:color="auto"/>
              <w:right w:val="single" w:sz="6" w:space="0" w:color="auto"/>
            </w:tcBorders>
            <w:vAlign w:val="center"/>
          </w:tcPr>
          <w:p w14:paraId="15EFD26F"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hint="eastAsia"/>
                <w:sz w:val="21"/>
              </w:rPr>
              <w:t>局部可选</w:t>
            </w:r>
          </w:p>
        </w:tc>
        <w:tc>
          <w:tcPr>
            <w:tcW w:w="753" w:type="dxa"/>
            <w:tcBorders>
              <w:top w:val="single" w:sz="6" w:space="0" w:color="auto"/>
              <w:left w:val="single" w:sz="6" w:space="0" w:color="auto"/>
              <w:bottom w:val="single" w:sz="6" w:space="0" w:color="auto"/>
              <w:right w:val="single" w:sz="6" w:space="0" w:color="auto"/>
            </w:tcBorders>
            <w:vAlign w:val="center"/>
          </w:tcPr>
          <w:p w14:paraId="2C68ABA4"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可选</w:t>
            </w:r>
          </w:p>
        </w:tc>
        <w:tc>
          <w:tcPr>
            <w:tcW w:w="753" w:type="dxa"/>
            <w:tcBorders>
              <w:top w:val="single" w:sz="6" w:space="0" w:color="auto"/>
              <w:left w:val="single" w:sz="6" w:space="0" w:color="auto"/>
              <w:bottom w:val="single" w:sz="6" w:space="0" w:color="auto"/>
              <w:right w:val="single" w:sz="6" w:space="0" w:color="auto"/>
            </w:tcBorders>
            <w:vAlign w:val="center"/>
          </w:tcPr>
          <w:p w14:paraId="468D78B6"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sz w:val="21"/>
              </w:rPr>
              <w:t>必选</w:t>
            </w:r>
          </w:p>
        </w:tc>
        <w:tc>
          <w:tcPr>
            <w:tcW w:w="997" w:type="dxa"/>
            <w:tcBorders>
              <w:top w:val="single" w:sz="6" w:space="0" w:color="auto"/>
              <w:left w:val="single" w:sz="6" w:space="0" w:color="auto"/>
              <w:bottom w:val="single" w:sz="6" w:space="0" w:color="auto"/>
              <w:right w:val="single" w:sz="6" w:space="0" w:color="auto"/>
            </w:tcBorders>
            <w:vAlign w:val="center"/>
          </w:tcPr>
          <w:p w14:paraId="3C5CB88E" w14:textId="77777777" w:rsidR="00E62694" w:rsidRPr="00CA6052" w:rsidRDefault="00E62694" w:rsidP="000831EC">
            <w:pPr>
              <w:adjustRightInd w:val="0"/>
              <w:snapToGrid w:val="0"/>
              <w:spacing w:line="240" w:lineRule="auto"/>
              <w:jc w:val="center"/>
              <w:rPr>
                <w:rFonts w:ascii="Times New Roman" w:hAnsi="Times New Roman"/>
                <w:sz w:val="21"/>
              </w:rPr>
            </w:pPr>
            <w:r w:rsidRPr="00CA6052">
              <w:rPr>
                <w:rFonts w:ascii="Times New Roman" w:hAnsi="Times New Roman" w:hint="eastAsia"/>
                <w:sz w:val="21"/>
              </w:rPr>
              <w:t>—</w:t>
            </w:r>
          </w:p>
        </w:tc>
        <w:tc>
          <w:tcPr>
            <w:tcW w:w="1559" w:type="dxa"/>
            <w:vMerge/>
            <w:tcBorders>
              <w:left w:val="single" w:sz="6" w:space="0" w:color="auto"/>
              <w:bottom w:val="single" w:sz="6" w:space="0" w:color="auto"/>
              <w:right w:val="single" w:sz="4" w:space="0" w:color="auto"/>
            </w:tcBorders>
            <w:vAlign w:val="center"/>
          </w:tcPr>
          <w:p w14:paraId="4C2102A4" w14:textId="77777777" w:rsidR="00E62694" w:rsidRPr="00CA6052" w:rsidRDefault="00E62694" w:rsidP="000831EC">
            <w:pPr>
              <w:adjustRightInd w:val="0"/>
              <w:snapToGrid w:val="0"/>
              <w:spacing w:line="240" w:lineRule="auto"/>
              <w:jc w:val="center"/>
              <w:rPr>
                <w:rFonts w:ascii="Times New Roman" w:hAnsi="Times New Roman"/>
                <w:sz w:val="21"/>
              </w:rPr>
            </w:pPr>
          </w:p>
        </w:tc>
      </w:tr>
    </w:tbl>
    <w:p w14:paraId="2905BD02" w14:textId="77777777" w:rsidR="00E62694" w:rsidRPr="00FD50F6" w:rsidRDefault="00E62694" w:rsidP="00E62694">
      <w:pPr>
        <w:pStyle w:val="9"/>
        <w:ind w:firstLine="480"/>
      </w:pPr>
      <w:bookmarkStart w:id="512" w:name="_Toc320641917"/>
      <w:bookmarkEnd w:id="512"/>
    </w:p>
    <w:p w14:paraId="5C30CBAB" w14:textId="77777777" w:rsidR="00E62694" w:rsidRPr="00FD50F6" w:rsidRDefault="00E62694" w:rsidP="00E62694">
      <w:pPr>
        <w:pStyle w:val="30"/>
      </w:pPr>
      <w:r w:rsidRPr="00FD50F6">
        <w:t>管片宜进行混凝土氯离子扩散系数检测及单块抗渗检漏，并宜满足设计要求后再使用。</w:t>
      </w:r>
    </w:p>
    <w:p w14:paraId="57024612" w14:textId="51D57582" w:rsidR="00E62694" w:rsidRPr="00FD50F6" w:rsidRDefault="00E62694" w:rsidP="00E62694">
      <w:pPr>
        <w:pStyle w:val="30"/>
      </w:pPr>
      <w:r w:rsidRPr="00FD50F6">
        <w:t>管片</w:t>
      </w:r>
      <w:r w:rsidRPr="00FD50F6">
        <w:rPr>
          <w:rFonts w:hint="eastAsia"/>
        </w:rPr>
        <w:t>应</w:t>
      </w:r>
      <w:r w:rsidRPr="00FD50F6">
        <w:t>至少设置一道密封垫沟槽。接缝密封垫宜选择具有良好弹性或遇水膨胀性、耐久性、耐水性的橡胶类材料，其外形应与沟槽相匹配。</w:t>
      </w:r>
    </w:p>
    <w:p w14:paraId="0D471069" w14:textId="77777777" w:rsidR="00E62694" w:rsidRPr="00FD50F6" w:rsidRDefault="00E62694" w:rsidP="00E62694">
      <w:pPr>
        <w:pStyle w:val="30"/>
      </w:pPr>
      <w:r w:rsidRPr="00FD50F6">
        <w:t>管片接缝密封垫应能被完全压入密封垫沟槽内，密封垫沟槽的截面积应为密封垫截面积的</w:t>
      </w:r>
      <w:r w:rsidRPr="00FD50F6">
        <w:t>1</w:t>
      </w:r>
      <w:r w:rsidRPr="00FD50F6">
        <w:t>倍～</w:t>
      </w:r>
      <w:r w:rsidRPr="00FD50F6">
        <w:t>1.15</w:t>
      </w:r>
      <w:r w:rsidRPr="00FD50F6">
        <w:t>倍。</w:t>
      </w:r>
    </w:p>
    <w:p w14:paraId="7A4D46E3" w14:textId="3609F29E" w:rsidR="00E62694" w:rsidRPr="00FD50F6" w:rsidRDefault="00E62694" w:rsidP="00E62694">
      <w:pPr>
        <w:pStyle w:val="30"/>
      </w:pPr>
      <w:r w:rsidRPr="00FD50F6">
        <w:lastRenderedPageBreak/>
        <w:t>管片接缝密封垫应满足</w:t>
      </w:r>
      <w:r w:rsidRPr="00FD50F6">
        <w:rPr>
          <w:rFonts w:hint="eastAsia"/>
        </w:rPr>
        <w:t>在允许</w:t>
      </w:r>
      <w:r w:rsidRPr="00FD50F6">
        <w:t>的接缝最大张开量和错位量下、埋深水头</w:t>
      </w:r>
      <w:r w:rsidRPr="00FD50F6">
        <w:rPr>
          <w:rFonts w:hint="eastAsia"/>
        </w:rPr>
        <w:t>2~</w:t>
      </w:r>
      <w:r w:rsidRPr="00FD50F6">
        <w:t>3</w:t>
      </w:r>
      <w:r w:rsidRPr="00FD50F6">
        <w:t>倍水压下不渗漏的技术要求；选用的接缝密封垫应进行一字缝或</w:t>
      </w:r>
      <w:r w:rsidRPr="00FD50F6">
        <w:t>T</w:t>
      </w:r>
      <w:r w:rsidRPr="00FD50F6">
        <w:t>字缝耐水压检测。</w:t>
      </w:r>
    </w:p>
    <w:p w14:paraId="01A55BE5" w14:textId="77777777" w:rsidR="00E62694" w:rsidRPr="00FD50F6" w:rsidRDefault="00E62694" w:rsidP="00E62694">
      <w:pPr>
        <w:pStyle w:val="30"/>
      </w:pPr>
      <w:r w:rsidRPr="00FD50F6">
        <w:t>螺孔防水应符合下列规定：</w:t>
      </w:r>
    </w:p>
    <w:p w14:paraId="3FC3032F" w14:textId="77777777" w:rsidR="00E62694" w:rsidRPr="00FD50F6" w:rsidRDefault="00E62694" w:rsidP="00A926BD">
      <w:pPr>
        <w:pStyle w:val="4"/>
      </w:pPr>
      <w:r w:rsidRPr="00FD50F6">
        <w:t>管片肋腔的螺孔口应设置锥形倒角的螺孔密封圈沟槽；</w:t>
      </w:r>
    </w:p>
    <w:p w14:paraId="375DF53F" w14:textId="51CEF87A" w:rsidR="00E62694" w:rsidRPr="00FD50F6" w:rsidRDefault="00E62694" w:rsidP="00A926BD">
      <w:pPr>
        <w:pStyle w:val="4"/>
      </w:pPr>
      <w:r w:rsidRPr="00FD50F6">
        <w:t>螺孔密封圈的外形应与沟槽相匹配，并有利于压密止水或膨胀止水；</w:t>
      </w:r>
    </w:p>
    <w:p w14:paraId="2A9648A8" w14:textId="77777777" w:rsidR="00E62694" w:rsidRPr="00FD50F6" w:rsidRDefault="00E62694" w:rsidP="00A926BD">
      <w:pPr>
        <w:pStyle w:val="4"/>
      </w:pPr>
      <w:r w:rsidRPr="00FD50F6">
        <w:t>螺孔密封圈应为合成橡胶、遇水膨胀橡胶制品。</w:t>
      </w:r>
    </w:p>
    <w:p w14:paraId="626E158B" w14:textId="77777777" w:rsidR="00E62694" w:rsidRPr="00FD50F6" w:rsidRDefault="00E62694" w:rsidP="00E62694">
      <w:pPr>
        <w:pStyle w:val="30"/>
      </w:pPr>
      <w:r w:rsidRPr="00FD50F6">
        <w:t>嵌缝防水应符合下列规定：</w:t>
      </w:r>
    </w:p>
    <w:p w14:paraId="343D5E66" w14:textId="0C1F37EA" w:rsidR="00E62694" w:rsidRPr="00FD50F6" w:rsidRDefault="00E62694" w:rsidP="00A926BD">
      <w:pPr>
        <w:pStyle w:val="4"/>
      </w:pPr>
      <w:r w:rsidRPr="00FD50F6">
        <w:rPr>
          <w:rFonts w:hint="eastAsia"/>
        </w:rPr>
        <w:t>盾构进、出洞口的</w:t>
      </w:r>
      <w:r w:rsidRPr="00FD50F6">
        <w:rPr>
          <w:rFonts w:hint="eastAsia"/>
        </w:rPr>
        <w:t>3~5</w:t>
      </w:r>
      <w:r w:rsidRPr="00FD50F6">
        <w:rPr>
          <w:rFonts w:hint="eastAsia"/>
        </w:rPr>
        <w:t>环管片间可采用建筑密封胶整环嵌缝，密封胶应与基面粘贴牢固，不得脱落。</w:t>
      </w:r>
    </w:p>
    <w:p w14:paraId="315B2DEC" w14:textId="77777777" w:rsidR="00E62694" w:rsidRPr="00FD50F6" w:rsidRDefault="00E62694" w:rsidP="00A926BD">
      <w:pPr>
        <w:pStyle w:val="4"/>
      </w:pPr>
      <w:r w:rsidRPr="00FD50F6">
        <w:t>嵌缝材料应具有良好的不透水性、潮湿基面粘结性、耐久性、弹性和抗下</w:t>
      </w:r>
    </w:p>
    <w:p w14:paraId="11FD796C" w14:textId="24B0CC73" w:rsidR="00E62694" w:rsidRPr="00FD50F6" w:rsidRDefault="00E62694" w:rsidP="00E62694">
      <w:pPr>
        <w:outlineLvl w:val="3"/>
        <w:rPr>
          <w:rFonts w:ascii="Times New Roman" w:hAnsi="Times New Roman"/>
          <w:szCs w:val="24"/>
        </w:rPr>
      </w:pPr>
      <w:r w:rsidRPr="00FD50F6">
        <w:rPr>
          <w:rFonts w:ascii="Times New Roman" w:hAnsi="Times New Roman"/>
          <w:szCs w:val="24"/>
        </w:rPr>
        <w:t>坠性</w:t>
      </w:r>
      <w:r w:rsidRPr="00FD50F6">
        <w:rPr>
          <w:rFonts w:ascii="Times New Roman" w:hAnsi="Times New Roman" w:hint="eastAsia"/>
          <w:szCs w:val="24"/>
        </w:rPr>
        <w:t>。</w:t>
      </w:r>
    </w:p>
    <w:p w14:paraId="4427F109" w14:textId="71130051" w:rsidR="00E62694" w:rsidRPr="00FD50F6" w:rsidRDefault="00E62694" w:rsidP="00A926BD">
      <w:pPr>
        <w:pStyle w:val="4"/>
      </w:pPr>
      <w:r w:rsidRPr="00FD50F6">
        <w:t>嵌缝防水施工应在盾构千斤顶顶力影响范围外进行</w:t>
      </w:r>
      <w:r w:rsidRPr="00FD50F6">
        <w:rPr>
          <w:rFonts w:hint="eastAsia"/>
        </w:rPr>
        <w:t>，</w:t>
      </w:r>
      <w:r w:rsidRPr="00FD50F6">
        <w:t>同时，应根据盾构施工方法、隧道的稳定性确定嵌缝作业开始的时间</w:t>
      </w:r>
      <w:r w:rsidRPr="00FD50F6">
        <w:rPr>
          <w:rFonts w:hint="eastAsia"/>
        </w:rPr>
        <w:t>。</w:t>
      </w:r>
    </w:p>
    <w:p w14:paraId="4B56C714" w14:textId="79DD11D7" w:rsidR="00E62694" w:rsidRPr="00FD50F6" w:rsidRDefault="00E62694" w:rsidP="00A926BD">
      <w:pPr>
        <w:pStyle w:val="4"/>
      </w:pPr>
      <w:r w:rsidRPr="00FD50F6">
        <w:t>嵌缝作业应在接缝堵漏和无明显渗水后进行，嵌缝槽表面混凝土有缺损时，应采用聚合物水泥砂浆或特种水泥修补，强度应达到或超过混凝土本体的强度。嵌缝材料嵌填时，应先刷涂基层处理剂</w:t>
      </w:r>
      <w:r w:rsidRPr="00FD50F6">
        <w:rPr>
          <w:rFonts w:hint="eastAsia"/>
        </w:rPr>
        <w:t>，</w:t>
      </w:r>
      <w:r w:rsidRPr="00FD50F6">
        <w:t>嵌填应密实、平整。</w:t>
      </w:r>
    </w:p>
    <w:p w14:paraId="5B2017D1" w14:textId="6C6FE305" w:rsidR="00E62694" w:rsidRPr="00FD50F6" w:rsidRDefault="00E62694" w:rsidP="00E62694">
      <w:pPr>
        <w:pStyle w:val="30"/>
      </w:pPr>
      <w:r w:rsidRPr="00FD50F6">
        <w:rPr>
          <w:rFonts w:hint="eastAsia"/>
        </w:rPr>
        <w:t>有内衬的复合式盾构法隧道，在</w:t>
      </w:r>
      <w:r w:rsidRPr="00FD50F6">
        <w:t>内层衬砌混凝土浇筑前，应将外层管片的渗漏水引排或封堵。复合式衬砌夹层防水层，应根据隧道排水情况选</w:t>
      </w:r>
      <w:r w:rsidRPr="00FD50F6">
        <w:rPr>
          <w:rFonts w:hint="eastAsia"/>
        </w:rPr>
        <w:t>择</w:t>
      </w:r>
      <w:r w:rsidRPr="00FD50F6">
        <w:t>。</w:t>
      </w:r>
    </w:p>
    <w:p w14:paraId="793E86B0" w14:textId="77777777" w:rsidR="00E62694" w:rsidRPr="00FD50F6" w:rsidRDefault="00E62694" w:rsidP="00E62694">
      <w:pPr>
        <w:pStyle w:val="30"/>
      </w:pPr>
      <w:r w:rsidRPr="00FD50F6">
        <w:t>管片外防水涂层应符合下列规定：</w:t>
      </w:r>
    </w:p>
    <w:p w14:paraId="6EC1FF00" w14:textId="13645EEE" w:rsidR="00E62694" w:rsidRPr="00FD50F6" w:rsidRDefault="00E62694" w:rsidP="00A926BD">
      <w:pPr>
        <w:pStyle w:val="4"/>
      </w:pPr>
      <w:r w:rsidRPr="00FD50F6">
        <w:t>涂层应具有良好的耐化学腐蚀性、抗微生物侵蚀性和耐水性，并应无毒或低毒；</w:t>
      </w:r>
    </w:p>
    <w:p w14:paraId="2360A6F3" w14:textId="77777777" w:rsidR="00E62694" w:rsidRPr="00FD50F6" w:rsidRDefault="00E62694" w:rsidP="00A926BD">
      <w:pPr>
        <w:pStyle w:val="4"/>
      </w:pPr>
      <w:r w:rsidRPr="00FD50F6">
        <w:t>涂层应能在盾构密封用钢丝刷与钢板挤压条件下不损伤、不渗水；</w:t>
      </w:r>
    </w:p>
    <w:p w14:paraId="4DF18D2C" w14:textId="77777777" w:rsidR="00E62694" w:rsidRPr="00FD50F6" w:rsidRDefault="00E62694" w:rsidP="00A926BD">
      <w:pPr>
        <w:pStyle w:val="4"/>
      </w:pPr>
      <w:r w:rsidRPr="00FD50F6">
        <w:t>在管片外弧面混凝土裂缝宽度达到</w:t>
      </w:r>
      <w:r w:rsidRPr="00FD50F6">
        <w:t>0.2mm</w:t>
      </w:r>
      <w:r w:rsidRPr="00FD50F6">
        <w:t>时，涂层应能在最大埋深处水压或</w:t>
      </w:r>
      <w:r w:rsidRPr="00FD50F6">
        <w:t>0.8MPa</w:t>
      </w:r>
      <w:r w:rsidRPr="00FD50F6">
        <w:t>水压下不渗漏；</w:t>
      </w:r>
    </w:p>
    <w:p w14:paraId="46C1A31B" w14:textId="77777777" w:rsidR="00E62694" w:rsidRPr="00FD50F6" w:rsidRDefault="00E62694" w:rsidP="00A926BD">
      <w:pPr>
        <w:pStyle w:val="4"/>
      </w:pPr>
      <w:r w:rsidRPr="00FD50F6">
        <w:t>涂层应涂刷在衬砌背面和环、纵缝橡胶密封垫外侧的混凝土上。</w:t>
      </w:r>
    </w:p>
    <w:p w14:paraId="0D9B1FA6" w14:textId="199DA48F" w:rsidR="00E62694" w:rsidRPr="00FD50F6" w:rsidRDefault="00E62694" w:rsidP="00E62694">
      <w:pPr>
        <w:pStyle w:val="30"/>
      </w:pPr>
      <w:r w:rsidRPr="00FD50F6">
        <w:t>竖井与隧道结合处可采用刚性接头，但接缝宜采用柔性材料密封处理，并宜加固竖井洞圈周围土体。在软土地层距竖井结合处的衬砌段，</w:t>
      </w:r>
      <w:r w:rsidRPr="00FD50F6">
        <w:rPr>
          <w:rFonts w:hint="eastAsia"/>
        </w:rPr>
        <w:t>可</w:t>
      </w:r>
      <w:r w:rsidRPr="00FD50F6">
        <w:t>增设变形缝。变形缝环面应粘贴垫片，采用</w:t>
      </w:r>
      <w:r w:rsidRPr="00FD50F6">
        <w:rPr>
          <w:rFonts w:hint="eastAsia"/>
        </w:rPr>
        <w:t>的</w:t>
      </w:r>
      <w:r w:rsidRPr="00FD50F6">
        <w:t>弹性密封垫</w:t>
      </w:r>
      <w:r w:rsidRPr="00FD50F6">
        <w:rPr>
          <w:rFonts w:hint="eastAsia"/>
        </w:rPr>
        <w:t>应满足结构变形量要求</w:t>
      </w:r>
      <w:r w:rsidRPr="00FD50F6">
        <w:t>。</w:t>
      </w:r>
    </w:p>
    <w:p w14:paraId="18313389" w14:textId="32CABD9D" w:rsidR="009B2966" w:rsidRDefault="009B2966" w:rsidP="00E62694">
      <w:pPr>
        <w:pStyle w:val="30"/>
      </w:pPr>
      <w:r w:rsidRPr="00FD50F6">
        <w:rPr>
          <w:rFonts w:hint="eastAsia"/>
        </w:rPr>
        <w:t>应进行</w:t>
      </w:r>
      <w:r w:rsidRPr="00A65181">
        <w:rPr>
          <w:rFonts w:hint="eastAsia"/>
        </w:rPr>
        <w:t>盾构法隧道二次填充注浆</w:t>
      </w:r>
      <w:r w:rsidRPr="00FD50F6">
        <w:rPr>
          <w:rFonts w:hint="eastAsia"/>
        </w:rPr>
        <w:t>。</w:t>
      </w:r>
    </w:p>
    <w:p w14:paraId="1319D8CE" w14:textId="3292C2C5" w:rsidR="00E62694" w:rsidRPr="00FD50F6" w:rsidRDefault="00E62694" w:rsidP="00E62694">
      <w:pPr>
        <w:pStyle w:val="30"/>
      </w:pPr>
      <w:r w:rsidRPr="00FD50F6">
        <w:rPr>
          <w:rFonts w:hint="eastAsia"/>
        </w:rPr>
        <w:lastRenderedPageBreak/>
        <w:t>盾构法隧道的矿山法</w:t>
      </w:r>
      <w:r w:rsidR="00C1563B" w:rsidRPr="00FD50F6">
        <w:rPr>
          <w:rFonts w:hint="eastAsia"/>
        </w:rPr>
        <w:t>区间联络通道</w:t>
      </w:r>
      <w:r w:rsidRPr="00FD50F6">
        <w:rPr>
          <w:rFonts w:hint="eastAsia"/>
        </w:rPr>
        <w:t>防水应满足本标准第</w:t>
      </w:r>
      <w:r w:rsidRPr="00FD50F6">
        <w:rPr>
          <w:rFonts w:hint="eastAsia"/>
        </w:rPr>
        <w:t>1</w:t>
      </w:r>
      <w:r w:rsidR="00CD74AA" w:rsidRPr="00FD50F6">
        <w:rPr>
          <w:rFonts w:hint="eastAsia"/>
        </w:rPr>
        <w:t>3</w:t>
      </w:r>
      <w:r w:rsidRPr="00FD50F6">
        <w:rPr>
          <w:rFonts w:hint="eastAsia"/>
        </w:rPr>
        <w:t>.7</w:t>
      </w:r>
      <w:r w:rsidRPr="00FD50F6">
        <w:rPr>
          <w:rFonts w:hint="eastAsia"/>
        </w:rPr>
        <w:t>节的规定。</w:t>
      </w:r>
    </w:p>
    <w:p w14:paraId="619F24D6" w14:textId="64D9A318" w:rsidR="00E62694" w:rsidRPr="00FD50F6" w:rsidRDefault="00E62694" w:rsidP="00805449">
      <w:pPr>
        <w:pStyle w:val="30"/>
        <w:numPr>
          <w:ilvl w:val="0"/>
          <w:numId w:val="0"/>
        </w:numPr>
      </w:pPr>
    </w:p>
    <w:p w14:paraId="315502F4" w14:textId="77777777" w:rsidR="00E62694" w:rsidRPr="00FD50F6" w:rsidRDefault="00E62694" w:rsidP="00A65181">
      <w:pPr>
        <w:pStyle w:val="2"/>
      </w:pPr>
      <w:bookmarkStart w:id="513" w:name="_Toc320196020"/>
      <w:bookmarkStart w:id="514" w:name="_Toc320643410"/>
      <w:bookmarkStart w:id="515" w:name="_Toc344218771"/>
      <w:bookmarkStart w:id="516" w:name="_Toc112830740"/>
      <w:r w:rsidRPr="00FD50F6">
        <w:t>沉管法</w:t>
      </w:r>
      <w:r w:rsidRPr="00FD50F6">
        <w:rPr>
          <w:rFonts w:hint="eastAsia"/>
        </w:rPr>
        <w:t>及顶管法结构</w:t>
      </w:r>
      <w:r w:rsidRPr="00FD50F6">
        <w:t>防水</w:t>
      </w:r>
      <w:bookmarkEnd w:id="513"/>
      <w:bookmarkEnd w:id="514"/>
      <w:bookmarkEnd w:id="515"/>
      <w:bookmarkEnd w:id="516"/>
    </w:p>
    <w:p w14:paraId="255F22FC" w14:textId="77777777" w:rsidR="00E62694" w:rsidRPr="00FD50F6" w:rsidRDefault="00E62694" w:rsidP="00E62694">
      <w:pPr>
        <w:pStyle w:val="30"/>
      </w:pPr>
      <w:r w:rsidRPr="00FD50F6">
        <w:t>沉管法施工的隧道应采用抗裂性和耐久性好的防水混凝土，并宜设置外防水层及相适应的保护层。外防水层应具有与基面混凝土结合力强、耐久、抗腐蚀等性能。防水混凝土的抗渗等级不得小于</w:t>
      </w:r>
      <w:r w:rsidRPr="00FD50F6">
        <w:t>P</w:t>
      </w:r>
      <w:r w:rsidRPr="00FD50F6">
        <w:rPr>
          <w:vertAlign w:val="subscript"/>
        </w:rPr>
        <w:t>10</w:t>
      </w:r>
      <w:r w:rsidRPr="00FD50F6">
        <w:t>，氯离子扩散系数不宜大于</w:t>
      </w:r>
      <w:r w:rsidRPr="00FD50F6">
        <w:t>3×10</w:t>
      </w:r>
      <w:r w:rsidRPr="00FD50F6">
        <w:rPr>
          <w:vertAlign w:val="superscript"/>
        </w:rPr>
        <w:t>－</w:t>
      </w:r>
      <w:r w:rsidRPr="00FD50F6">
        <w:rPr>
          <w:vertAlign w:val="superscript"/>
        </w:rPr>
        <w:t>12</w:t>
      </w:r>
      <w:r w:rsidRPr="00FD50F6">
        <w:t>m</w:t>
      </w:r>
      <w:r w:rsidRPr="00FD50F6">
        <w:rPr>
          <w:vertAlign w:val="superscript"/>
        </w:rPr>
        <w:t>2</w:t>
      </w:r>
      <w:r w:rsidRPr="00FD50F6">
        <w:t>/s</w:t>
      </w:r>
      <w:r w:rsidRPr="00FD50F6">
        <w:t>。当结构处于侵蚀性介质中时，应采取相适应的防腐措施。</w:t>
      </w:r>
    </w:p>
    <w:bookmarkEnd w:id="471"/>
    <w:bookmarkEnd w:id="472"/>
    <w:bookmarkEnd w:id="473"/>
    <w:p w14:paraId="4DCDD6F1" w14:textId="77777777" w:rsidR="00E62694" w:rsidRPr="00FD50F6" w:rsidRDefault="00E62694" w:rsidP="00E62694">
      <w:pPr>
        <w:pStyle w:val="30"/>
      </w:pPr>
      <w:r w:rsidRPr="00FD50F6">
        <w:rPr>
          <w:rFonts w:hint="eastAsia"/>
        </w:rPr>
        <w:t>沉管法结构防水应符合下列规定：</w:t>
      </w:r>
    </w:p>
    <w:p w14:paraId="6CBBBAA2" w14:textId="77777777" w:rsidR="00E62694" w:rsidRPr="00FD50F6" w:rsidRDefault="00E62694" w:rsidP="00A926BD">
      <w:pPr>
        <w:pStyle w:val="4"/>
      </w:pPr>
      <w:r w:rsidRPr="00FD50F6">
        <w:rPr>
          <w:rFonts w:hint="eastAsia"/>
        </w:rPr>
        <w:t>管节接头应采用</w:t>
      </w:r>
      <w:r w:rsidRPr="00FD50F6">
        <w:rPr>
          <w:rFonts w:hint="eastAsia"/>
        </w:rPr>
        <w:t>GINA</w:t>
      </w:r>
      <w:r w:rsidRPr="00FD50F6">
        <w:rPr>
          <w:rFonts w:hint="eastAsia"/>
        </w:rPr>
        <w:t>橡胶止水带和</w:t>
      </w:r>
      <w:r w:rsidRPr="00FD50F6">
        <w:rPr>
          <w:rFonts w:hint="eastAsia"/>
        </w:rPr>
        <w:t>OMEGA</w:t>
      </w:r>
      <w:r w:rsidRPr="00FD50F6">
        <w:rPr>
          <w:rFonts w:hint="eastAsia"/>
        </w:rPr>
        <w:t>橡胶止水带双道防水；</w:t>
      </w:r>
    </w:p>
    <w:p w14:paraId="78F3C5F2" w14:textId="77777777" w:rsidR="00E62694" w:rsidRPr="00FD50F6" w:rsidRDefault="00E62694" w:rsidP="00A926BD">
      <w:pPr>
        <w:pStyle w:val="4"/>
      </w:pPr>
      <w:r w:rsidRPr="00FD50F6">
        <w:rPr>
          <w:rFonts w:hint="eastAsia"/>
        </w:rPr>
        <w:t>管节止水带应满足在埋深水压及各类接头张开量共同作用下的密封防水</w:t>
      </w:r>
      <w:bookmarkStart w:id="517" w:name="_Hlk18058693"/>
      <w:r w:rsidRPr="00FD50F6">
        <w:rPr>
          <w:rFonts w:hint="eastAsia"/>
        </w:rPr>
        <w:t>要求</w:t>
      </w:r>
      <w:bookmarkEnd w:id="517"/>
      <w:r w:rsidRPr="00FD50F6">
        <w:rPr>
          <w:rFonts w:hint="eastAsia"/>
        </w:rPr>
        <w:t>。</w:t>
      </w:r>
    </w:p>
    <w:p w14:paraId="3AFDC0BD" w14:textId="77777777" w:rsidR="00E62694" w:rsidRPr="00FD50F6" w:rsidRDefault="00E62694" w:rsidP="00E62694">
      <w:pPr>
        <w:pStyle w:val="30"/>
      </w:pPr>
      <w:r w:rsidRPr="00FD50F6">
        <w:rPr>
          <w:rFonts w:hint="eastAsia"/>
        </w:rPr>
        <w:t>顶管法结构防水应符合下列规定：</w:t>
      </w:r>
    </w:p>
    <w:p w14:paraId="33D7D4D3" w14:textId="77777777" w:rsidR="00E62694" w:rsidRPr="00FD50F6" w:rsidRDefault="00E62694" w:rsidP="00A926BD">
      <w:pPr>
        <w:pStyle w:val="4"/>
      </w:pPr>
      <w:r w:rsidRPr="00FD50F6">
        <w:rPr>
          <w:rFonts w:hint="eastAsia"/>
        </w:rPr>
        <w:t>管节接头应设置密封圈；</w:t>
      </w:r>
    </w:p>
    <w:p w14:paraId="7A0C6509" w14:textId="77777777" w:rsidR="00E62694" w:rsidRPr="00FD50F6" w:rsidRDefault="00E62694" w:rsidP="00A926BD">
      <w:pPr>
        <w:pStyle w:val="4"/>
      </w:pPr>
      <w:r w:rsidRPr="00FD50F6">
        <w:rPr>
          <w:rFonts w:hint="eastAsia"/>
        </w:rPr>
        <w:t>管节接头应满足结构的最大允许变形要求；</w:t>
      </w:r>
    </w:p>
    <w:p w14:paraId="488D07ED" w14:textId="77777777" w:rsidR="00E62694" w:rsidRPr="00FD50F6" w:rsidRDefault="00E62694" w:rsidP="00A926BD">
      <w:pPr>
        <w:pStyle w:val="4"/>
      </w:pPr>
      <w:r w:rsidRPr="00FD50F6">
        <w:rPr>
          <w:rFonts w:hint="eastAsia"/>
        </w:rPr>
        <w:t>接头部位钢承口应采取防腐措施。</w:t>
      </w:r>
    </w:p>
    <w:p w14:paraId="6575DA19" w14:textId="77777777" w:rsidR="00E62694" w:rsidRPr="00FD50F6" w:rsidRDefault="00E62694" w:rsidP="00A65181">
      <w:pPr>
        <w:pStyle w:val="2"/>
      </w:pPr>
      <w:bookmarkStart w:id="518" w:name="_Toc112830741"/>
      <w:r w:rsidRPr="00FD50F6">
        <w:t>细部构造防水</w:t>
      </w:r>
      <w:bookmarkEnd w:id="518"/>
    </w:p>
    <w:p w14:paraId="753CEA77" w14:textId="77777777" w:rsidR="00E62694" w:rsidRPr="00FD50F6" w:rsidRDefault="00E62694" w:rsidP="00E62694">
      <w:pPr>
        <w:pStyle w:val="30"/>
      </w:pPr>
      <w:r w:rsidRPr="00FD50F6">
        <w:t>施工缝防水应符合下列规定：</w:t>
      </w:r>
    </w:p>
    <w:p w14:paraId="3CFBBAF6" w14:textId="77777777" w:rsidR="00E62694" w:rsidRPr="00FD50F6" w:rsidRDefault="00E62694" w:rsidP="00A926BD">
      <w:pPr>
        <w:pStyle w:val="4"/>
      </w:pPr>
      <w:r w:rsidRPr="00FD50F6">
        <w:t>复合墙结构的环向施工缝设置间距不宜大于</w:t>
      </w:r>
      <w:r w:rsidRPr="00FD50F6">
        <w:t>24m</w:t>
      </w:r>
      <w:r w:rsidRPr="00FD50F6">
        <w:t>，叠合墙结构的环向施工缝设置间距不宜大于</w:t>
      </w:r>
      <w:r w:rsidRPr="00FD50F6">
        <w:t>12m</w:t>
      </w:r>
      <w:r w:rsidRPr="00FD50F6">
        <w:t>；</w:t>
      </w:r>
    </w:p>
    <w:p w14:paraId="20404038" w14:textId="77777777" w:rsidR="00E62694" w:rsidRPr="00FD50F6" w:rsidRDefault="00E62694" w:rsidP="00A926BD">
      <w:pPr>
        <w:pStyle w:val="4"/>
      </w:pPr>
      <w:r w:rsidRPr="00FD50F6">
        <w:t>墙体水平施工缝应留在高出底板表面不小于</w:t>
      </w:r>
      <w:r w:rsidRPr="00FD50F6">
        <w:t>300mm</w:t>
      </w:r>
      <w:r w:rsidRPr="00FD50F6">
        <w:t>的墙体上。拱（板）墙结合的水平施工缝宜留在拱（板）墙接缝线以下</w:t>
      </w:r>
      <w:r w:rsidRPr="00FD50F6">
        <w:t>150mm</w:t>
      </w:r>
      <w:r w:rsidRPr="00FD50F6">
        <w:t>～</w:t>
      </w:r>
      <w:r w:rsidRPr="00FD50F6">
        <w:t>300mm</w:t>
      </w:r>
      <w:r w:rsidRPr="00FD50F6">
        <w:t>处。施工缝距孔洞边缘不应小于</w:t>
      </w:r>
      <w:r w:rsidRPr="00FD50F6">
        <w:t>300mm</w:t>
      </w:r>
      <w:r w:rsidRPr="00FD50F6">
        <w:t>；</w:t>
      </w:r>
    </w:p>
    <w:p w14:paraId="5BEC5772" w14:textId="4163131F" w:rsidR="00E62694" w:rsidRPr="00FD50F6" w:rsidRDefault="00E62694" w:rsidP="00A926BD">
      <w:pPr>
        <w:pStyle w:val="4"/>
      </w:pPr>
      <w:r w:rsidRPr="00FD50F6">
        <w:t>水平施工缝浇灌混凝土前，应先将其表面浮浆和杂物清除，先铺净浆或涂刷界面处理剂、水泥基渗透结晶型防水涂料，再铺</w:t>
      </w:r>
      <w:r w:rsidRPr="00FD50F6">
        <w:t>30mm</w:t>
      </w:r>
      <w:r w:rsidRPr="00FD50F6">
        <w:t>～</w:t>
      </w:r>
      <w:r w:rsidRPr="00FD50F6">
        <w:t>50mm</w:t>
      </w:r>
      <w:r w:rsidRPr="00FD50F6">
        <w:t>厚的</w:t>
      </w:r>
      <w:r w:rsidRPr="00FD50F6">
        <w:t>1:1</w:t>
      </w:r>
      <w:r w:rsidRPr="00FD50F6">
        <w:t>水泥砂浆</w:t>
      </w:r>
      <w:r w:rsidRPr="00FD50F6">
        <w:rPr>
          <w:rFonts w:hint="eastAsia"/>
        </w:rPr>
        <w:t>后</w:t>
      </w:r>
      <w:r w:rsidRPr="00FD50F6">
        <w:t>浇注混凝土；垂直施工缝浇筑混凝土前，应将其表面凿毛并清理干净，并涂刷混凝土界面剂或水泥基渗透结晶型防水涂料</w:t>
      </w:r>
      <w:r w:rsidRPr="00FD50F6">
        <w:rPr>
          <w:rFonts w:hint="eastAsia"/>
        </w:rPr>
        <w:t>。</w:t>
      </w:r>
    </w:p>
    <w:p w14:paraId="14E3859C" w14:textId="77777777" w:rsidR="00E62694" w:rsidRPr="00FD50F6" w:rsidRDefault="00E62694" w:rsidP="00E62694">
      <w:pPr>
        <w:pStyle w:val="30"/>
      </w:pPr>
      <w:r w:rsidRPr="00FD50F6">
        <w:t>变形缝防水应符合下列规定：</w:t>
      </w:r>
    </w:p>
    <w:p w14:paraId="7789794D" w14:textId="77777777" w:rsidR="00E62694" w:rsidRPr="00FD50F6" w:rsidRDefault="00E62694" w:rsidP="00A926BD">
      <w:pPr>
        <w:pStyle w:val="4"/>
      </w:pPr>
      <w:r w:rsidRPr="00FD50F6">
        <w:lastRenderedPageBreak/>
        <w:t>变形缝处的混凝土厚度不应小于</w:t>
      </w:r>
      <w:r w:rsidRPr="00FD50F6">
        <w:t>300mm</w:t>
      </w:r>
      <w:r w:rsidRPr="00FD50F6">
        <w:t>，当遇有变截面时，接缝两侧各</w:t>
      </w:r>
      <w:r w:rsidRPr="00FD50F6">
        <w:t>500mm</w:t>
      </w:r>
      <w:r w:rsidRPr="00FD50F6">
        <w:t>范围内的结构应进行等厚等强处理；</w:t>
      </w:r>
    </w:p>
    <w:p w14:paraId="6FFF71AF" w14:textId="77777777" w:rsidR="00E62694" w:rsidRPr="00FD50F6" w:rsidRDefault="00E62694" w:rsidP="00A926BD">
      <w:pPr>
        <w:pStyle w:val="4"/>
      </w:pPr>
      <w:r w:rsidRPr="00FD50F6">
        <w:t>变形缝处采取的防水措施应能满足接缝两端结构产生的差异沉降及纵向伸缩时的密封防水要求；</w:t>
      </w:r>
    </w:p>
    <w:p w14:paraId="35B94A60" w14:textId="77777777" w:rsidR="00E62694" w:rsidRPr="00FD50F6" w:rsidRDefault="00E62694" w:rsidP="00A926BD">
      <w:pPr>
        <w:pStyle w:val="4"/>
      </w:pPr>
      <w:r w:rsidRPr="00FD50F6">
        <w:t>变形缝部位设置的止水带应为中孔型或</w:t>
      </w:r>
      <w:r w:rsidRPr="00FD50F6">
        <w:t>Ω</w:t>
      </w:r>
      <w:r w:rsidRPr="00FD50F6">
        <w:t>型，宽度不宜小于</w:t>
      </w:r>
      <w:r w:rsidRPr="00FD50F6">
        <w:t>300mm</w:t>
      </w:r>
      <w:r w:rsidRPr="00FD50F6">
        <w:t>；</w:t>
      </w:r>
    </w:p>
    <w:p w14:paraId="20670BD6" w14:textId="77777777" w:rsidR="00E62694" w:rsidRPr="00FD50F6" w:rsidRDefault="00E62694" w:rsidP="00A926BD">
      <w:pPr>
        <w:pStyle w:val="4"/>
      </w:pPr>
      <w:r w:rsidRPr="00FD50F6">
        <w:rPr>
          <w:rFonts w:hint="eastAsia"/>
        </w:rPr>
        <w:t>车站</w:t>
      </w:r>
      <w:r w:rsidRPr="00FD50F6">
        <w:t>顶板与侧墙</w:t>
      </w:r>
      <w:r w:rsidRPr="00FD50F6">
        <w:rPr>
          <w:rFonts w:hint="eastAsia"/>
        </w:rPr>
        <w:t>变形缝结构内侧宜设置接水盒，并</w:t>
      </w:r>
      <w:r w:rsidRPr="00805449">
        <w:rPr>
          <w:rFonts w:hint="eastAsia"/>
        </w:rPr>
        <w:t>应</w:t>
      </w:r>
      <w:r w:rsidRPr="00FD50F6">
        <w:rPr>
          <w:rFonts w:hint="eastAsia"/>
        </w:rPr>
        <w:t>与站内排水管网连通。</w:t>
      </w:r>
    </w:p>
    <w:p w14:paraId="2C3DC4BE" w14:textId="77777777" w:rsidR="00E62694" w:rsidRPr="00FD50F6" w:rsidRDefault="00E62694" w:rsidP="00E62694">
      <w:pPr>
        <w:pStyle w:val="30"/>
      </w:pPr>
      <w:r w:rsidRPr="00FD50F6">
        <w:t>后浇带防水应符合下列规定：</w:t>
      </w:r>
    </w:p>
    <w:p w14:paraId="58B1891C" w14:textId="77777777" w:rsidR="00E62694" w:rsidRPr="00FD50F6" w:rsidRDefault="00E62694" w:rsidP="00A926BD">
      <w:pPr>
        <w:pStyle w:val="4"/>
      </w:pPr>
      <w:r w:rsidRPr="00FD50F6">
        <w:t>后浇带应设在受力和变形较小的部位，间距宜为</w:t>
      </w:r>
      <w:r w:rsidRPr="00FD50F6">
        <w:t>30m</w:t>
      </w:r>
      <w:r w:rsidRPr="00FD50F6">
        <w:t>～</w:t>
      </w:r>
      <w:r w:rsidRPr="00FD50F6">
        <w:t>60m</w:t>
      </w:r>
      <w:r w:rsidRPr="00FD50F6">
        <w:t>，宽度宜为</w:t>
      </w:r>
      <w:r w:rsidRPr="00FD50F6">
        <w:t>700mm</w:t>
      </w:r>
      <w:r w:rsidRPr="00FD50F6">
        <w:t>～</w:t>
      </w:r>
      <w:r w:rsidRPr="00FD50F6">
        <w:t>1000mm</w:t>
      </w:r>
      <w:r w:rsidRPr="00FD50F6">
        <w:t>；</w:t>
      </w:r>
    </w:p>
    <w:p w14:paraId="2DE5DA14" w14:textId="77777777" w:rsidR="00E62694" w:rsidRPr="00FD50F6" w:rsidRDefault="00E62694" w:rsidP="00A926BD">
      <w:pPr>
        <w:pStyle w:val="4"/>
      </w:pPr>
      <w:r w:rsidRPr="00FD50F6">
        <w:t>后浇带可做成平直缝、阶梯型或楔形缝；</w:t>
      </w:r>
    </w:p>
    <w:p w14:paraId="65EC021C" w14:textId="458AFCFE" w:rsidR="00E62694" w:rsidRPr="00FD50F6" w:rsidRDefault="00E62694" w:rsidP="00A926BD">
      <w:pPr>
        <w:pStyle w:val="4"/>
      </w:pPr>
      <w:r w:rsidRPr="00FD50F6">
        <w:t>后浇带两侧的接缝</w:t>
      </w:r>
      <w:r w:rsidRPr="00FD50F6">
        <w:rPr>
          <w:rFonts w:hint="eastAsia"/>
        </w:rPr>
        <w:t>部位应</w:t>
      </w:r>
      <w:r w:rsidR="00AC1333">
        <w:rPr>
          <w:rFonts w:hint="eastAsia"/>
        </w:rPr>
        <w:t>采取</w:t>
      </w:r>
      <w:r w:rsidR="00AC1333" w:rsidRPr="00FD50F6">
        <w:rPr>
          <w:rFonts w:hint="eastAsia"/>
        </w:rPr>
        <w:t>防水措施</w:t>
      </w:r>
      <w:r w:rsidRPr="00FD50F6">
        <w:rPr>
          <w:rFonts w:hint="eastAsia"/>
        </w:rPr>
        <w:t>；</w:t>
      </w:r>
    </w:p>
    <w:p w14:paraId="2A19EC00" w14:textId="77777777" w:rsidR="00E62694" w:rsidRPr="00FD50F6" w:rsidRDefault="00E62694" w:rsidP="00A926BD">
      <w:pPr>
        <w:pStyle w:val="4"/>
      </w:pPr>
      <w:r w:rsidRPr="00FD50F6">
        <w:t>后浇带应采用补偿收缩防水混凝土浇筑，其强度等级不应低于两侧混凝土；</w:t>
      </w:r>
    </w:p>
    <w:p w14:paraId="3F7F9132" w14:textId="10E1522C" w:rsidR="00E62694" w:rsidRPr="00FD50F6" w:rsidRDefault="00E62694" w:rsidP="00A926BD">
      <w:pPr>
        <w:pStyle w:val="4"/>
      </w:pPr>
      <w:r w:rsidRPr="00FD50F6">
        <w:t>后浇带应在两侧混凝土龄期达到</w:t>
      </w:r>
      <w:r w:rsidRPr="00FD50F6">
        <w:t>42d</w:t>
      </w:r>
      <w:r w:rsidRPr="00FD50F6">
        <w:t>后再施工</w:t>
      </w:r>
      <w:r w:rsidRPr="00FD50F6">
        <w:rPr>
          <w:rFonts w:hint="eastAsia"/>
        </w:rPr>
        <w:t>，预留期间表面应有防止杂</w:t>
      </w:r>
      <w:r w:rsidRPr="00FD50F6">
        <w:rPr>
          <w:rFonts w:hint="eastAsia"/>
          <w:szCs w:val="24"/>
        </w:rPr>
        <w:t>物落入的措施。</w:t>
      </w:r>
    </w:p>
    <w:p w14:paraId="1BF1F2CC" w14:textId="77777777" w:rsidR="00E62694" w:rsidRPr="00FD50F6" w:rsidRDefault="00E62694" w:rsidP="00E62694">
      <w:pPr>
        <w:pStyle w:val="30"/>
      </w:pPr>
      <w:r w:rsidRPr="00FD50F6">
        <w:t>桩头防水应符合下列规定：</w:t>
      </w:r>
    </w:p>
    <w:p w14:paraId="2BFC4876" w14:textId="77777777" w:rsidR="00E62694" w:rsidRPr="00FD50F6" w:rsidRDefault="00E62694" w:rsidP="00A926BD">
      <w:pPr>
        <w:pStyle w:val="4"/>
      </w:pPr>
      <w:r w:rsidRPr="00FD50F6">
        <w:t>桩头选用的防水材料</w:t>
      </w:r>
      <w:r w:rsidRPr="00FD50F6">
        <w:rPr>
          <w:rFonts w:hint="eastAsia"/>
        </w:rPr>
        <w:t>不</w:t>
      </w:r>
      <w:r w:rsidRPr="00FD50F6">
        <w:t>应</w:t>
      </w:r>
      <w:r w:rsidRPr="00FD50F6">
        <w:rPr>
          <w:rFonts w:hint="eastAsia"/>
        </w:rPr>
        <w:t>影响结构受力，应</w:t>
      </w:r>
      <w:r w:rsidRPr="00FD50F6">
        <w:t>具</w:t>
      </w:r>
      <w:r w:rsidRPr="00FD50F6">
        <w:rPr>
          <w:rFonts w:hint="eastAsia"/>
        </w:rPr>
        <w:t>备</w:t>
      </w:r>
      <w:r w:rsidRPr="00FD50F6">
        <w:t>增</w:t>
      </w:r>
      <w:r w:rsidRPr="00FD50F6">
        <w:rPr>
          <w:rFonts w:hint="eastAsia"/>
        </w:rPr>
        <w:t>强</w:t>
      </w:r>
      <w:r w:rsidRPr="00FD50F6">
        <w:t>混凝土的密实性、与桩</w:t>
      </w:r>
      <w:r w:rsidRPr="00FD50F6">
        <w:rPr>
          <w:rFonts w:hint="eastAsia"/>
        </w:rPr>
        <w:t>柱混凝土结合密实的特性；</w:t>
      </w:r>
    </w:p>
    <w:p w14:paraId="0874B43B" w14:textId="77777777" w:rsidR="00E62694" w:rsidRPr="00FD50F6" w:rsidRDefault="00E62694" w:rsidP="00A926BD">
      <w:pPr>
        <w:pStyle w:val="4"/>
      </w:pPr>
      <w:r w:rsidRPr="00FD50F6">
        <w:t>桩头刚性防水层与底板柔性防水层应形成连续、封闭的防水体系</w:t>
      </w:r>
      <w:r w:rsidRPr="00FD50F6">
        <w:rPr>
          <w:rFonts w:hint="eastAsia"/>
        </w:rPr>
        <w:t>；</w:t>
      </w:r>
    </w:p>
    <w:p w14:paraId="77D13184" w14:textId="0032FB5A" w:rsidR="00D70A4C" w:rsidRPr="00FD50F6" w:rsidRDefault="00E62694" w:rsidP="00A926BD">
      <w:pPr>
        <w:pStyle w:val="4"/>
      </w:pPr>
      <w:r w:rsidRPr="00FD50F6">
        <w:rPr>
          <w:rFonts w:hint="eastAsia"/>
        </w:rPr>
        <w:t>底板防水层在桩头部位应做密封收头处理。</w:t>
      </w:r>
      <w:r w:rsidR="00D70A4C" w:rsidRPr="00FD50F6">
        <w:br w:type="page"/>
      </w:r>
    </w:p>
    <w:p w14:paraId="316AA7A9" w14:textId="77777777" w:rsidR="00E70BF7" w:rsidRPr="00FD50F6" w:rsidRDefault="00E70BF7" w:rsidP="00E70BF7">
      <w:pPr>
        <w:pStyle w:val="12"/>
      </w:pPr>
      <w:bookmarkStart w:id="519" w:name="_Toc236493445"/>
      <w:bookmarkStart w:id="520" w:name="_Toc236671828"/>
      <w:bookmarkStart w:id="521" w:name="_Toc306206725"/>
      <w:bookmarkStart w:id="522" w:name="_Toc320196021"/>
      <w:bookmarkStart w:id="523" w:name="_Toc320643411"/>
      <w:bookmarkStart w:id="524" w:name="_Toc344218772"/>
      <w:bookmarkStart w:id="525" w:name="_Toc112830742"/>
      <w:r w:rsidRPr="00FD50F6">
        <w:lastRenderedPageBreak/>
        <w:t>通风、空调与</w:t>
      </w:r>
      <w:bookmarkEnd w:id="519"/>
      <w:bookmarkEnd w:id="520"/>
      <w:bookmarkEnd w:id="521"/>
      <w:bookmarkEnd w:id="522"/>
      <w:bookmarkEnd w:id="523"/>
      <w:r w:rsidRPr="00FD50F6">
        <w:t>供暖</w:t>
      </w:r>
      <w:bookmarkEnd w:id="524"/>
      <w:bookmarkEnd w:id="525"/>
    </w:p>
    <w:p w14:paraId="63AEBED5" w14:textId="77777777" w:rsidR="00E70BF7" w:rsidRPr="00FD50F6" w:rsidRDefault="00E70BF7" w:rsidP="00010C49">
      <w:pPr>
        <w:pStyle w:val="2"/>
        <w:numPr>
          <w:ilvl w:val="1"/>
          <w:numId w:val="21"/>
        </w:numPr>
      </w:pPr>
      <w:bookmarkStart w:id="526" w:name="_Toc236493446"/>
      <w:bookmarkStart w:id="527" w:name="_Toc236671829"/>
      <w:bookmarkStart w:id="528" w:name="_Toc306206726"/>
      <w:bookmarkStart w:id="529" w:name="_Toc320196022"/>
      <w:bookmarkStart w:id="530" w:name="_Toc320643412"/>
      <w:bookmarkStart w:id="531" w:name="_Toc344218773"/>
      <w:bookmarkStart w:id="532" w:name="_Toc112830743"/>
      <w:r w:rsidRPr="00FD50F6">
        <w:t>一般规定</w:t>
      </w:r>
      <w:bookmarkEnd w:id="526"/>
      <w:bookmarkEnd w:id="527"/>
      <w:bookmarkEnd w:id="528"/>
      <w:bookmarkEnd w:id="529"/>
      <w:bookmarkEnd w:id="530"/>
      <w:bookmarkEnd w:id="531"/>
      <w:bookmarkEnd w:id="532"/>
    </w:p>
    <w:p w14:paraId="41DBD34F" w14:textId="7DA13311" w:rsidR="00E70BF7" w:rsidRPr="00FD50F6" w:rsidRDefault="00E70BF7" w:rsidP="00634619">
      <w:pPr>
        <w:pStyle w:val="30"/>
      </w:pPr>
      <w:r w:rsidRPr="00FD50F6">
        <w:rPr>
          <w:rFonts w:hint="eastAsia"/>
        </w:rPr>
        <w:t>地下车站、区间隧道、地面及高架车站、封闭声屏障区间、车辆基地等地铁内部空气环境应采用通风、空调与供暖进行控制。</w:t>
      </w:r>
    </w:p>
    <w:p w14:paraId="2946670D" w14:textId="2C310DE9" w:rsidR="00E70BF7" w:rsidRPr="00FD50F6" w:rsidRDefault="00E70BF7" w:rsidP="00634619">
      <w:pPr>
        <w:pStyle w:val="30"/>
      </w:pPr>
      <w:r w:rsidRPr="00FD50F6">
        <w:rPr>
          <w:rFonts w:hint="eastAsia"/>
        </w:rPr>
        <w:t>通风、空调与供暖应使地铁内部空气环境的温度、湿度、气流速度、空气质量、压力变化、系统运行噪声等满足人员舒适度和设备正常运转要求。</w:t>
      </w:r>
    </w:p>
    <w:p w14:paraId="534B14B2" w14:textId="70EF6B80" w:rsidR="00E70BF7" w:rsidRPr="00FD50F6" w:rsidRDefault="00E70BF7" w:rsidP="00634619">
      <w:pPr>
        <w:pStyle w:val="30"/>
      </w:pPr>
      <w:r w:rsidRPr="00FD50F6">
        <w:t>通风、空调与供暖系统功能</w:t>
      </w:r>
      <w:r w:rsidRPr="00FD50F6">
        <w:rPr>
          <w:rFonts w:hint="eastAsia"/>
        </w:rPr>
        <w:t>应符合下列规定：</w:t>
      </w:r>
    </w:p>
    <w:p w14:paraId="0265C4D0" w14:textId="77777777" w:rsidR="00E70BF7" w:rsidRPr="00FD50F6" w:rsidRDefault="00E70BF7" w:rsidP="00A926BD">
      <w:pPr>
        <w:pStyle w:val="4"/>
      </w:pPr>
      <w:r w:rsidRPr="00FD50F6">
        <w:rPr>
          <w:rFonts w:hint="eastAsia"/>
        </w:rPr>
        <w:t>当正常运行时，应将地铁内部空气环境控制在规定标准范围内；</w:t>
      </w:r>
    </w:p>
    <w:p w14:paraId="153C125E" w14:textId="77777777" w:rsidR="00E70BF7" w:rsidRPr="00FD50F6" w:rsidRDefault="00E70BF7" w:rsidP="00A926BD">
      <w:pPr>
        <w:pStyle w:val="4"/>
      </w:pPr>
      <w:r w:rsidRPr="00FD50F6">
        <w:rPr>
          <w:rFonts w:hint="eastAsia"/>
        </w:rPr>
        <w:t>当发生火灾时，应满足地铁防烟、排烟功能要求；</w:t>
      </w:r>
    </w:p>
    <w:p w14:paraId="3C995979" w14:textId="77777777" w:rsidR="00E70BF7" w:rsidRPr="00FD50F6" w:rsidRDefault="00E70BF7" w:rsidP="00A926BD">
      <w:pPr>
        <w:pStyle w:val="4"/>
      </w:pPr>
      <w:r w:rsidRPr="00FD50F6">
        <w:rPr>
          <w:rFonts w:hint="eastAsia"/>
        </w:rPr>
        <w:t>当发生列车阻塞时，应对地铁阻塞区间进行有效通风；</w:t>
      </w:r>
    </w:p>
    <w:p w14:paraId="620A3FB6" w14:textId="77777777" w:rsidR="00E70BF7" w:rsidRPr="00FD50F6" w:rsidRDefault="00E70BF7" w:rsidP="00A926BD">
      <w:pPr>
        <w:pStyle w:val="4"/>
      </w:pPr>
      <w:r w:rsidRPr="00FD50F6">
        <w:rPr>
          <w:rFonts w:hint="eastAsia"/>
        </w:rPr>
        <w:t>当地铁兼具人防功能时，通风系统宜兼顾人防通风功能。</w:t>
      </w:r>
    </w:p>
    <w:p w14:paraId="0BFB88F4" w14:textId="2BFBEEC2" w:rsidR="00E70BF7" w:rsidRPr="00FD50F6" w:rsidRDefault="00E70BF7" w:rsidP="00634619">
      <w:pPr>
        <w:pStyle w:val="30"/>
        <w:rPr>
          <w:b/>
        </w:rPr>
      </w:pPr>
      <w:r w:rsidRPr="00FD50F6">
        <w:rPr>
          <w:rFonts w:hint="eastAsia"/>
        </w:rPr>
        <w:t>隧道与地下车站公共区</w:t>
      </w:r>
      <w:r w:rsidRPr="00FD50F6">
        <w:t>通风空调系统应符合下列规定：</w:t>
      </w:r>
    </w:p>
    <w:p w14:paraId="4BC1BFBF" w14:textId="77777777" w:rsidR="00E70BF7" w:rsidRPr="00FD50F6" w:rsidRDefault="00E70BF7" w:rsidP="00A926BD">
      <w:pPr>
        <w:pStyle w:val="4"/>
      </w:pPr>
      <w:r w:rsidRPr="00FD50F6">
        <w:rPr>
          <w:rFonts w:hint="eastAsia"/>
        </w:rPr>
        <w:t>应设置列车活塞通风、自然通风或机械通风系统</w:t>
      </w:r>
      <w:r w:rsidRPr="00FD50F6">
        <w:t>；</w:t>
      </w:r>
    </w:p>
    <w:p w14:paraId="62E5EAAF" w14:textId="77777777" w:rsidR="00E70BF7" w:rsidRPr="00FD50F6" w:rsidRDefault="00E70BF7" w:rsidP="00A926BD">
      <w:pPr>
        <w:pStyle w:val="4"/>
      </w:pPr>
      <w:r w:rsidRPr="00FD50F6">
        <w:rPr>
          <w:rFonts w:hint="eastAsia"/>
        </w:rPr>
        <w:t>当</w:t>
      </w:r>
      <w:r w:rsidRPr="00FD50F6">
        <w:t>夏季最热月的平均温度超过</w:t>
      </w:r>
      <w:r w:rsidRPr="00FD50F6">
        <w:t>25</w:t>
      </w:r>
      <w:r w:rsidRPr="00FD50F6">
        <w:rPr>
          <w:rFonts w:ascii="宋体" w:hAnsi="宋体" w:cs="宋体" w:hint="eastAsia"/>
        </w:rPr>
        <w:t>℃</w:t>
      </w:r>
      <w:r w:rsidRPr="00FD50F6">
        <w:t>时，</w:t>
      </w:r>
      <w:r w:rsidRPr="00FD50F6">
        <w:rPr>
          <w:rFonts w:hint="eastAsia"/>
        </w:rPr>
        <w:t>车站公共区宜设置</w:t>
      </w:r>
      <w:r w:rsidRPr="00FD50F6">
        <w:t>空调系统</w:t>
      </w:r>
      <w:r w:rsidRPr="00FD50F6">
        <w:rPr>
          <w:rFonts w:hint="eastAsia"/>
        </w:rPr>
        <w:t>。</w:t>
      </w:r>
    </w:p>
    <w:p w14:paraId="03FB87CC" w14:textId="347B342C" w:rsidR="00E70BF7" w:rsidRPr="00FD50F6" w:rsidRDefault="00E70BF7" w:rsidP="00634619">
      <w:pPr>
        <w:pStyle w:val="30"/>
      </w:pPr>
      <w:r w:rsidRPr="00FD50F6">
        <w:t>通风与空调系统</w:t>
      </w:r>
      <w:r w:rsidRPr="00FD50F6">
        <w:rPr>
          <w:rFonts w:hint="eastAsia"/>
        </w:rPr>
        <w:t>形式的选择</w:t>
      </w:r>
      <w:r w:rsidRPr="00FD50F6">
        <w:t>应结合</w:t>
      </w:r>
      <w:r w:rsidRPr="00FD50F6">
        <w:rPr>
          <w:rFonts w:hint="eastAsia"/>
        </w:rPr>
        <w:t>地铁</w:t>
      </w:r>
      <w:r w:rsidRPr="00FD50F6">
        <w:t>运力、当地气候条件、人员舒适</w:t>
      </w:r>
      <w:r w:rsidR="0068601E" w:rsidRPr="00FD50F6">
        <w:rPr>
          <w:rFonts w:hint="eastAsia"/>
        </w:rPr>
        <w:t>度</w:t>
      </w:r>
      <w:r w:rsidRPr="00FD50F6">
        <w:t>要求和运行</w:t>
      </w:r>
      <w:r w:rsidRPr="00FD50F6">
        <w:rPr>
          <w:rFonts w:hint="eastAsia"/>
        </w:rPr>
        <w:t>与</w:t>
      </w:r>
      <w:r w:rsidRPr="00FD50F6">
        <w:t>维护费用等因素综合技术经济比较确定。</w:t>
      </w:r>
    </w:p>
    <w:p w14:paraId="63956231" w14:textId="4A921E19" w:rsidR="00E70BF7" w:rsidRPr="00FD50F6" w:rsidRDefault="00E70BF7" w:rsidP="00634619">
      <w:pPr>
        <w:pStyle w:val="30"/>
      </w:pPr>
      <w:r w:rsidRPr="00FD50F6">
        <w:t>通风、空调与供暖系统应按</w:t>
      </w:r>
      <w:r w:rsidRPr="00FD50F6">
        <w:rPr>
          <w:rFonts w:hint="eastAsia"/>
        </w:rPr>
        <w:t>地铁最大高峰小时客流量和行车密度设计。当具备分期实施条件时，系统设备应按近期和远期配置、分期实施。</w:t>
      </w:r>
    </w:p>
    <w:p w14:paraId="0B1CC4F5" w14:textId="6299904D" w:rsidR="00E70BF7" w:rsidRPr="00FD50F6" w:rsidRDefault="00E70BF7" w:rsidP="00634619">
      <w:pPr>
        <w:pStyle w:val="30"/>
      </w:pPr>
      <w:r w:rsidRPr="00FD50F6">
        <w:rPr>
          <w:rFonts w:hint="eastAsia"/>
        </w:rPr>
        <w:t>通风与空调系统</w:t>
      </w:r>
      <w:r w:rsidRPr="00FD50F6">
        <w:t>的进风应直接采自大气，排风应直接排出地面。</w:t>
      </w:r>
    </w:p>
    <w:p w14:paraId="040D26E0" w14:textId="50F166CE" w:rsidR="00E70BF7" w:rsidRPr="00FD50F6" w:rsidRDefault="00E70BF7" w:rsidP="00634619">
      <w:pPr>
        <w:pStyle w:val="30"/>
      </w:pPr>
      <w:r w:rsidRPr="00FD50F6">
        <w:rPr>
          <w:rFonts w:hint="eastAsia"/>
        </w:rPr>
        <w:t>重要设备用房的通风与空调系统应满足地铁运营设备</w:t>
      </w:r>
      <w:r w:rsidRPr="00FD50F6">
        <w:rPr>
          <w:rFonts w:hint="eastAsia"/>
        </w:rPr>
        <w:t>24h</w:t>
      </w:r>
      <w:r w:rsidRPr="00FD50F6">
        <w:rPr>
          <w:rFonts w:hint="eastAsia"/>
        </w:rPr>
        <w:t>运转的功能需求。</w:t>
      </w:r>
    </w:p>
    <w:p w14:paraId="18DC2B32" w14:textId="5801C540" w:rsidR="00E70BF7" w:rsidRPr="00FD50F6" w:rsidRDefault="00E70BF7" w:rsidP="00634619">
      <w:pPr>
        <w:pStyle w:val="30"/>
      </w:pPr>
      <w:r w:rsidRPr="00FD50F6">
        <w:rPr>
          <w:rFonts w:hint="eastAsia"/>
        </w:rPr>
        <w:t>通风、空调与供暖设计应预留系统设备、管道及配件安装、操作、测量、调试和维修的空间，并应在土建设计中预留系统大型设备的运输条件。</w:t>
      </w:r>
    </w:p>
    <w:p w14:paraId="165DF541" w14:textId="56F90EFA" w:rsidR="00E70BF7" w:rsidRPr="00FD50F6" w:rsidRDefault="00E70BF7" w:rsidP="00634619">
      <w:pPr>
        <w:pStyle w:val="30"/>
      </w:pPr>
      <w:r w:rsidRPr="00FD50F6">
        <w:t>通风、空调与供暖系统应选用可靠性高、节能性好、低噪声、运转平稳</w:t>
      </w:r>
      <w:r w:rsidRPr="00FD50F6">
        <w:rPr>
          <w:rFonts w:hint="eastAsia"/>
        </w:rPr>
        <w:t>的设备，并宜选用</w:t>
      </w:r>
      <w:r w:rsidRPr="00FD50F6">
        <w:t>便于安装、维护</w:t>
      </w:r>
      <w:r w:rsidRPr="00FD50F6">
        <w:rPr>
          <w:rFonts w:hint="eastAsia"/>
        </w:rPr>
        <w:t>与</w:t>
      </w:r>
      <w:r w:rsidRPr="00FD50F6">
        <w:t>维修</w:t>
      </w:r>
      <w:r w:rsidRPr="00FD50F6">
        <w:rPr>
          <w:rFonts w:hint="eastAsia"/>
        </w:rPr>
        <w:t>的</w:t>
      </w:r>
      <w:r w:rsidRPr="00FD50F6">
        <w:t>模块化、小型化、紧凑型设备。</w:t>
      </w:r>
    </w:p>
    <w:p w14:paraId="2D9671A4" w14:textId="2BC067C9" w:rsidR="00E70BF7" w:rsidRPr="00FD50F6" w:rsidRDefault="00E70BF7" w:rsidP="00634619">
      <w:pPr>
        <w:pStyle w:val="30"/>
      </w:pPr>
      <w:r w:rsidRPr="00FD50F6">
        <w:rPr>
          <w:rFonts w:hint="eastAsia"/>
        </w:rPr>
        <w:t>地下线路的</w:t>
      </w:r>
      <w:r w:rsidRPr="00FD50F6">
        <w:t>通风、空调与供暖系统</w:t>
      </w:r>
      <w:r w:rsidRPr="00FD50F6">
        <w:rPr>
          <w:rFonts w:hint="eastAsia"/>
        </w:rPr>
        <w:t>管道、保温及消声材料应采用</w:t>
      </w:r>
      <w:r w:rsidRPr="00FD50F6">
        <w:t>A</w:t>
      </w:r>
      <w:r w:rsidRPr="00FD50F6">
        <w:rPr>
          <w:rFonts w:hint="eastAsia"/>
        </w:rPr>
        <w:t>级不燃材料，当局部部位采用</w:t>
      </w:r>
      <w:r w:rsidRPr="00FD50F6">
        <w:t>A</w:t>
      </w:r>
      <w:r w:rsidRPr="00FD50F6">
        <w:rPr>
          <w:rFonts w:hint="eastAsia"/>
        </w:rPr>
        <w:t>级不燃材料有困难时，保温材料可采用</w:t>
      </w:r>
      <w:r w:rsidRPr="00FD50F6">
        <w:t>B1</w:t>
      </w:r>
      <w:r w:rsidRPr="00FD50F6">
        <w:rPr>
          <w:rFonts w:hint="eastAsia"/>
        </w:rPr>
        <w:t>级难燃材料。管道、保温及消声材料应具有防潮、防腐、防蛀、耐老化和无毒的性能。</w:t>
      </w:r>
    </w:p>
    <w:p w14:paraId="4C6A8CE8" w14:textId="758D57C5" w:rsidR="00E70BF7" w:rsidRPr="00FD50F6" w:rsidRDefault="00E70BF7" w:rsidP="00634619">
      <w:pPr>
        <w:pStyle w:val="30"/>
      </w:pPr>
      <w:r w:rsidRPr="00FD50F6">
        <w:rPr>
          <w:rFonts w:hint="eastAsia"/>
        </w:rPr>
        <w:lastRenderedPageBreak/>
        <w:t>除本标准规定外，</w:t>
      </w:r>
      <w:r w:rsidRPr="00FD50F6">
        <w:rPr>
          <w:rFonts w:ascii="宋体" w:hAnsi="宋体"/>
        </w:rPr>
        <w:t>通风、空调与供暖</w:t>
      </w:r>
      <w:r w:rsidRPr="00FD50F6">
        <w:rPr>
          <w:rFonts w:ascii="宋体" w:hAnsi="宋体" w:hint="eastAsia"/>
        </w:rPr>
        <w:t>计</w:t>
      </w:r>
      <w:r w:rsidRPr="00FD50F6">
        <w:rPr>
          <w:rFonts w:hint="eastAsia"/>
        </w:rPr>
        <w:t>应符合现行国家标准《城市轨道交通通风空气调节与供暖设计标准》</w:t>
      </w:r>
      <w:r w:rsidRPr="00FD50F6">
        <w:rPr>
          <w:rFonts w:hint="eastAsia"/>
        </w:rPr>
        <w:t>GB/T 51357</w:t>
      </w:r>
      <w:r w:rsidRPr="00FD50F6">
        <w:rPr>
          <w:rFonts w:hint="eastAsia"/>
        </w:rPr>
        <w:t>的规定。</w:t>
      </w:r>
    </w:p>
    <w:p w14:paraId="2BEF50C0" w14:textId="77777777" w:rsidR="00E70BF7" w:rsidRPr="00FD50F6" w:rsidRDefault="00E70BF7" w:rsidP="00A65181">
      <w:pPr>
        <w:pStyle w:val="2"/>
      </w:pPr>
      <w:bookmarkStart w:id="533" w:name="_Toc112830744"/>
      <w:r w:rsidRPr="00FD50F6">
        <w:rPr>
          <w:rFonts w:hint="eastAsia"/>
        </w:rPr>
        <w:t>地下线路</w:t>
      </w:r>
      <w:bookmarkEnd w:id="533"/>
    </w:p>
    <w:p w14:paraId="16F9ABC5" w14:textId="782A36B5" w:rsidR="00E70BF7" w:rsidRPr="00FD50F6" w:rsidRDefault="00E70BF7" w:rsidP="00E70BF7">
      <w:pPr>
        <w:adjustRightInd w:val="0"/>
        <w:snapToGrid w:val="0"/>
        <w:spacing w:afterLines="50" w:after="120"/>
        <w:jc w:val="center"/>
        <w:outlineLvl w:val="2"/>
        <w:rPr>
          <w:rFonts w:ascii="Times New Roman" w:hAnsi="Times New Roman" w:cs="Times New Roman"/>
          <w:b/>
          <w:szCs w:val="24"/>
        </w:rPr>
      </w:pPr>
      <w:bookmarkStart w:id="534" w:name="_Toc236493448"/>
      <w:bookmarkStart w:id="535" w:name="_Toc236671831"/>
      <w:bookmarkStart w:id="536" w:name="_Toc306206728"/>
      <w:r w:rsidRPr="00FD50F6">
        <w:rPr>
          <w:rFonts w:ascii="宋体" w:hAnsi="宋体" w:cs="宋体" w:hint="eastAsia"/>
          <w:b/>
          <w:szCs w:val="24"/>
        </w:rPr>
        <w:t>Ⅰ</w:t>
      </w:r>
      <w:r w:rsidR="00535D7C" w:rsidRPr="00FD50F6">
        <w:rPr>
          <w:rFonts w:ascii="Times New Roman" w:hAnsi="Times New Roman" w:cs="Times New Roman"/>
          <w:b/>
          <w:szCs w:val="24"/>
        </w:rPr>
        <w:t xml:space="preserve"> </w:t>
      </w:r>
      <w:r w:rsidRPr="00FD50F6">
        <w:rPr>
          <w:rFonts w:ascii="Times New Roman" w:hAnsi="Times New Roman" w:cs="Times New Roman" w:hint="eastAsia"/>
          <w:b/>
          <w:szCs w:val="24"/>
        </w:rPr>
        <w:t>区间</w:t>
      </w:r>
      <w:r w:rsidRPr="00FD50F6">
        <w:rPr>
          <w:rFonts w:ascii="Times New Roman" w:hAnsi="Times New Roman" w:cs="Times New Roman"/>
          <w:b/>
          <w:szCs w:val="24"/>
        </w:rPr>
        <w:t>隧道</w:t>
      </w:r>
      <w:bookmarkEnd w:id="534"/>
      <w:bookmarkEnd w:id="535"/>
      <w:bookmarkEnd w:id="536"/>
      <w:r w:rsidRPr="00FD50F6">
        <w:rPr>
          <w:rFonts w:ascii="Times New Roman" w:hAnsi="Times New Roman" w:cs="Times New Roman" w:hint="eastAsia"/>
          <w:b/>
          <w:szCs w:val="24"/>
        </w:rPr>
        <w:t>通风系统</w:t>
      </w:r>
    </w:p>
    <w:p w14:paraId="033F6C21" w14:textId="16E720EE" w:rsidR="00E70BF7" w:rsidRPr="00FD50F6" w:rsidRDefault="00E70BF7" w:rsidP="00634619">
      <w:pPr>
        <w:pStyle w:val="30"/>
      </w:pPr>
      <w:r w:rsidRPr="00FD50F6">
        <w:t>区间隧道正常通风应采用活塞通风，当布置活塞通风道有困难</w:t>
      </w:r>
      <w:r w:rsidRPr="00FD50F6">
        <w:rPr>
          <w:rFonts w:hint="eastAsia"/>
        </w:rPr>
        <w:t>或</w:t>
      </w:r>
      <w:r w:rsidRPr="00FD50F6">
        <w:t>活塞通风</w:t>
      </w:r>
      <w:r w:rsidRPr="00FD50F6">
        <w:rPr>
          <w:rFonts w:hint="eastAsia"/>
        </w:rPr>
        <w:t>和自然通风</w:t>
      </w:r>
      <w:r w:rsidRPr="00FD50F6">
        <w:t>不能满足排除余热要求时，应设置机械通风系统。</w:t>
      </w:r>
    </w:p>
    <w:p w14:paraId="3323CD02" w14:textId="3BE6F7F1" w:rsidR="00E70BF7" w:rsidRPr="00FD50F6" w:rsidRDefault="00E70BF7" w:rsidP="00634619">
      <w:pPr>
        <w:pStyle w:val="30"/>
      </w:pPr>
      <w:r w:rsidRPr="00FD50F6">
        <w:rPr>
          <w:rFonts w:hint="eastAsia"/>
        </w:rPr>
        <w:t>区间隧道内夏季最高日平均空气温度应符合下列规定</w:t>
      </w:r>
      <w:r w:rsidRPr="00FD50F6">
        <w:t>：</w:t>
      </w:r>
    </w:p>
    <w:p w14:paraId="7F7CA735" w14:textId="77777777" w:rsidR="00E70BF7" w:rsidRPr="00FD50F6" w:rsidRDefault="00E70BF7" w:rsidP="00A926BD">
      <w:pPr>
        <w:pStyle w:val="4"/>
      </w:pPr>
      <w:r w:rsidRPr="00FD50F6">
        <w:rPr>
          <w:rFonts w:hint="eastAsia"/>
        </w:rPr>
        <w:t>当</w:t>
      </w:r>
      <w:r w:rsidRPr="00FD50F6">
        <w:t>车站设置</w:t>
      </w:r>
      <w:r w:rsidRPr="00FD50F6">
        <w:rPr>
          <w:rFonts w:hint="eastAsia"/>
        </w:rPr>
        <w:t>非密闭屏蔽门</w:t>
      </w:r>
      <w:r w:rsidRPr="00FD50F6">
        <w:t>时，不</w:t>
      </w:r>
      <w:r w:rsidRPr="00FD50F6">
        <w:rPr>
          <w:rFonts w:hint="eastAsia"/>
        </w:rPr>
        <w:t>应</w:t>
      </w:r>
      <w:r w:rsidRPr="00FD50F6">
        <w:t>高于</w:t>
      </w:r>
      <w:r w:rsidRPr="00FD50F6">
        <w:t>35</w:t>
      </w:r>
      <w:r w:rsidRPr="00FD50F6">
        <w:rPr>
          <w:rFonts w:hint="eastAsia"/>
        </w:rPr>
        <w:t>℃；</w:t>
      </w:r>
    </w:p>
    <w:p w14:paraId="6C279928" w14:textId="77777777" w:rsidR="00E70BF7" w:rsidRPr="00FD50F6" w:rsidRDefault="00E70BF7" w:rsidP="00A926BD">
      <w:pPr>
        <w:pStyle w:val="4"/>
      </w:pPr>
      <w:r w:rsidRPr="00FD50F6">
        <w:rPr>
          <w:rFonts w:hint="eastAsia"/>
        </w:rPr>
        <w:t>当</w:t>
      </w:r>
      <w:r w:rsidRPr="00FD50F6">
        <w:t>车站设置</w:t>
      </w:r>
      <w:r w:rsidRPr="00FD50F6">
        <w:rPr>
          <w:rFonts w:hint="eastAsia"/>
        </w:rPr>
        <w:t>密闭屏蔽门</w:t>
      </w:r>
      <w:r w:rsidRPr="00FD50F6">
        <w:t>时，不</w:t>
      </w:r>
      <w:r w:rsidRPr="00FD50F6">
        <w:rPr>
          <w:rFonts w:hint="eastAsia"/>
        </w:rPr>
        <w:t>应</w:t>
      </w:r>
      <w:r w:rsidRPr="00FD50F6">
        <w:t>高于</w:t>
      </w:r>
      <w:r w:rsidRPr="00FD50F6">
        <w:t>40</w:t>
      </w:r>
      <w:r w:rsidRPr="00FD50F6">
        <w:rPr>
          <w:rFonts w:hint="eastAsia"/>
        </w:rPr>
        <w:t>℃。</w:t>
      </w:r>
    </w:p>
    <w:p w14:paraId="39CD6103" w14:textId="26C2BC35" w:rsidR="00E70BF7" w:rsidRPr="00FD50F6" w:rsidRDefault="00E70BF7" w:rsidP="00634619">
      <w:pPr>
        <w:pStyle w:val="30"/>
      </w:pPr>
      <w:r w:rsidRPr="00FD50F6">
        <w:rPr>
          <w:rFonts w:hint="eastAsia"/>
          <w:szCs w:val="24"/>
        </w:rPr>
        <w:t>区间隧道内</w:t>
      </w:r>
      <w:r w:rsidRPr="00FD50F6">
        <w:t>冬季平均</w:t>
      </w:r>
      <w:r w:rsidRPr="00FD50F6">
        <w:rPr>
          <w:rFonts w:hint="eastAsia"/>
        </w:rPr>
        <w:t>空气</w:t>
      </w:r>
      <w:r w:rsidRPr="00FD50F6">
        <w:t>温度不应高于当地地层的自然温度</w:t>
      </w:r>
      <w:r w:rsidRPr="00FD50F6">
        <w:rPr>
          <w:rFonts w:hint="eastAsia"/>
        </w:rPr>
        <w:t>，但</w:t>
      </w:r>
      <w:r w:rsidRPr="00FD50F6">
        <w:t>最低</w:t>
      </w:r>
      <w:r w:rsidRPr="00FD50F6">
        <w:rPr>
          <w:rFonts w:hint="eastAsia"/>
        </w:rPr>
        <w:t>空气</w:t>
      </w:r>
      <w:r w:rsidRPr="00FD50F6">
        <w:t>温度不应低于</w:t>
      </w:r>
      <w:r w:rsidRPr="00FD50F6">
        <w:t>5℃</w:t>
      </w:r>
      <w:r w:rsidRPr="00FD50F6">
        <w:t>。</w:t>
      </w:r>
    </w:p>
    <w:p w14:paraId="46C16873" w14:textId="17BB0710" w:rsidR="00E70BF7" w:rsidRPr="00FD50F6" w:rsidRDefault="00E70BF7" w:rsidP="00634619">
      <w:pPr>
        <w:pStyle w:val="30"/>
      </w:pPr>
      <w:r w:rsidRPr="00FD50F6">
        <w:rPr>
          <w:rFonts w:hint="eastAsia"/>
        </w:rPr>
        <w:t>区间隧道通风室外空气计算温度应符合下列规定：</w:t>
      </w:r>
    </w:p>
    <w:p w14:paraId="04D0CFFC" w14:textId="77777777" w:rsidR="00E70BF7" w:rsidRPr="00FD50F6" w:rsidRDefault="00E70BF7" w:rsidP="00A926BD">
      <w:pPr>
        <w:pStyle w:val="4"/>
      </w:pPr>
      <w:r w:rsidRPr="00FD50F6">
        <w:rPr>
          <w:rFonts w:hint="eastAsia"/>
        </w:rPr>
        <w:t>夏季应采用近</w:t>
      </w:r>
      <w:r w:rsidRPr="00FD50F6">
        <w:rPr>
          <w:rFonts w:hint="eastAsia"/>
        </w:rPr>
        <w:t>30</w:t>
      </w:r>
      <w:r w:rsidRPr="00FD50F6">
        <w:rPr>
          <w:rFonts w:hint="eastAsia"/>
        </w:rPr>
        <w:t>年最热月月平均温度的平均值；</w:t>
      </w:r>
    </w:p>
    <w:p w14:paraId="59C79F9B" w14:textId="77777777" w:rsidR="00E70BF7" w:rsidRPr="00FD50F6" w:rsidRDefault="00E70BF7" w:rsidP="00A926BD">
      <w:pPr>
        <w:pStyle w:val="4"/>
      </w:pPr>
      <w:r w:rsidRPr="00FD50F6">
        <w:rPr>
          <w:rFonts w:hint="eastAsia"/>
        </w:rPr>
        <w:t>冬季应采用近</w:t>
      </w:r>
      <w:r w:rsidRPr="00FD50F6">
        <w:rPr>
          <w:rFonts w:hint="eastAsia"/>
        </w:rPr>
        <w:t>30</w:t>
      </w:r>
      <w:r w:rsidRPr="00FD50F6">
        <w:rPr>
          <w:rFonts w:hint="eastAsia"/>
        </w:rPr>
        <w:t>年最冷月月平均温度的平均值。</w:t>
      </w:r>
    </w:p>
    <w:p w14:paraId="7C29974D" w14:textId="7D0AA110" w:rsidR="00E70BF7" w:rsidRPr="00FD50F6" w:rsidRDefault="00E70BF7" w:rsidP="00634619">
      <w:pPr>
        <w:pStyle w:val="30"/>
      </w:pPr>
      <w:r w:rsidRPr="00FD50F6">
        <w:rPr>
          <w:rFonts w:hint="eastAsia"/>
        </w:rPr>
        <w:t>区间隧道内每个乘客的新风量不应少于</w:t>
      </w:r>
      <w:r w:rsidRPr="00FD50F6">
        <w:rPr>
          <w:rFonts w:hint="eastAsia"/>
        </w:rPr>
        <w:t>20</w:t>
      </w:r>
      <w:r w:rsidRPr="00FD50F6">
        <w:t>m</w:t>
      </w:r>
      <w:r w:rsidRPr="00FD50F6">
        <w:rPr>
          <w:vertAlign w:val="superscript"/>
        </w:rPr>
        <w:t>3</w:t>
      </w:r>
      <w:r w:rsidRPr="00FD50F6">
        <w:t>/h</w:t>
      </w:r>
      <w:r w:rsidRPr="00FD50F6">
        <w:rPr>
          <w:rFonts w:hint="eastAsia"/>
        </w:rPr>
        <w:t>，且空气中二氧化碳（</w:t>
      </w:r>
      <w:r w:rsidRPr="00FD50F6">
        <w:rPr>
          <w:rFonts w:hint="eastAsia"/>
        </w:rPr>
        <w:t>CO</w:t>
      </w:r>
      <w:r w:rsidRPr="00FD50F6">
        <w:rPr>
          <w:rFonts w:hint="eastAsia"/>
          <w:vertAlign w:val="subscript"/>
        </w:rPr>
        <w:t>2</w:t>
      </w:r>
      <w:r w:rsidRPr="00FD50F6">
        <w:rPr>
          <w:rFonts w:hint="eastAsia"/>
        </w:rPr>
        <w:t>）的日平均浓度应小于</w:t>
      </w:r>
      <w:r w:rsidRPr="00FD50F6">
        <w:rPr>
          <w:rFonts w:hint="eastAsia"/>
        </w:rPr>
        <w:t>0.15%</w:t>
      </w:r>
      <w:r w:rsidRPr="00FD50F6">
        <w:t>。</w:t>
      </w:r>
    </w:p>
    <w:p w14:paraId="73512D6F" w14:textId="54BD77B3" w:rsidR="00E70BF7" w:rsidRPr="00FD50F6" w:rsidRDefault="00E70BF7" w:rsidP="00634619">
      <w:pPr>
        <w:pStyle w:val="30"/>
      </w:pPr>
      <w:r w:rsidRPr="00FD50F6">
        <w:rPr>
          <w:rFonts w:hint="eastAsia"/>
        </w:rPr>
        <w:t>当列车最高运行速度大于</w:t>
      </w:r>
      <w:r w:rsidRPr="00FD50F6">
        <w:rPr>
          <w:rFonts w:hint="eastAsia"/>
        </w:rPr>
        <w:t>100km/h</w:t>
      </w:r>
      <w:r w:rsidRPr="00FD50F6">
        <w:rPr>
          <w:rFonts w:hint="eastAsia"/>
        </w:rPr>
        <w:t>时，宜在隧道洞口、断面变化及中间风井处采取措施控制列车内的空气压力变化速率不大于</w:t>
      </w:r>
      <w:r w:rsidRPr="00FD50F6">
        <w:rPr>
          <w:rFonts w:hint="eastAsia"/>
        </w:rPr>
        <w:t>415Pa/s</w:t>
      </w:r>
      <w:r w:rsidRPr="00FD50F6">
        <w:rPr>
          <w:rFonts w:hint="eastAsia"/>
        </w:rPr>
        <w:t>。</w:t>
      </w:r>
    </w:p>
    <w:p w14:paraId="65FD6657" w14:textId="5DDC63C0" w:rsidR="00E70BF7" w:rsidRPr="00FD50F6" w:rsidRDefault="00E70BF7" w:rsidP="00634619">
      <w:pPr>
        <w:pStyle w:val="30"/>
      </w:pPr>
      <w:r w:rsidRPr="00FD50F6">
        <w:t>当计算排除余热所需的风量时，应计算隧道内的散热量和传至地层周围土壤的传热量。</w:t>
      </w:r>
    </w:p>
    <w:p w14:paraId="0DC81099" w14:textId="1D9BF8F0" w:rsidR="00E70BF7" w:rsidRPr="00FD50F6" w:rsidRDefault="00E70BF7" w:rsidP="00634619">
      <w:pPr>
        <w:pStyle w:val="30"/>
      </w:pPr>
      <w:r w:rsidRPr="00FD50F6">
        <w:rPr>
          <w:rFonts w:hint="eastAsia"/>
        </w:rPr>
        <w:t>仅用于正常通风的中间风井</w:t>
      </w:r>
      <w:r w:rsidRPr="00FD50F6">
        <w:t>距车站站台端部的距离不宜小于</w:t>
      </w:r>
      <w:r w:rsidRPr="00FD50F6">
        <w:t>400m</w:t>
      </w:r>
      <w:r w:rsidRPr="00FD50F6">
        <w:t>。</w:t>
      </w:r>
    </w:p>
    <w:p w14:paraId="374C784D" w14:textId="377E7310"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bookmarkStart w:id="537" w:name="_Toc236493449"/>
      <w:bookmarkStart w:id="538" w:name="_Toc236671832"/>
      <w:bookmarkStart w:id="539" w:name="_Toc306206729"/>
      <w:r w:rsidRPr="00FD50F6">
        <w:rPr>
          <w:rFonts w:ascii="宋体" w:hAnsi="宋体" w:cs="宋体" w:hint="eastAsia"/>
          <w:b/>
          <w:szCs w:val="24"/>
        </w:rPr>
        <w:t>Ⅱ</w:t>
      </w:r>
      <w:r w:rsidR="00535D7C" w:rsidRPr="00FD50F6">
        <w:rPr>
          <w:rFonts w:ascii="Times New Roman" w:hAnsi="Times New Roman" w:cs="Times New Roman"/>
          <w:b/>
          <w:szCs w:val="24"/>
        </w:rPr>
        <w:t xml:space="preserve"> </w:t>
      </w:r>
      <w:r w:rsidRPr="00FD50F6">
        <w:rPr>
          <w:rFonts w:ascii="Times New Roman" w:hAnsi="Times New Roman" w:cs="Times New Roman" w:hint="eastAsia"/>
          <w:b/>
          <w:szCs w:val="24"/>
        </w:rPr>
        <w:t>车站</w:t>
      </w:r>
      <w:r w:rsidRPr="00FD50F6">
        <w:rPr>
          <w:rFonts w:ascii="Times New Roman" w:hAnsi="Times New Roman" w:cs="Times New Roman"/>
          <w:b/>
          <w:szCs w:val="24"/>
        </w:rPr>
        <w:t>公共区</w:t>
      </w:r>
      <w:bookmarkEnd w:id="537"/>
      <w:bookmarkEnd w:id="538"/>
      <w:bookmarkEnd w:id="539"/>
      <w:r w:rsidRPr="00FD50F6">
        <w:rPr>
          <w:rFonts w:ascii="Times New Roman" w:hAnsi="Times New Roman" w:cs="Times New Roman" w:hint="eastAsia"/>
          <w:b/>
          <w:szCs w:val="24"/>
        </w:rPr>
        <w:t>通风与空调系统</w:t>
      </w:r>
    </w:p>
    <w:p w14:paraId="0BB001BC" w14:textId="37165DDE" w:rsidR="00E70BF7" w:rsidRPr="00FD50F6" w:rsidRDefault="00E70BF7" w:rsidP="00634619">
      <w:pPr>
        <w:pStyle w:val="30"/>
      </w:pPr>
      <w:r w:rsidRPr="00FD50F6">
        <w:t>车站公共区应设置通风系统，当符合本</w:t>
      </w:r>
      <w:r w:rsidR="0043018D" w:rsidRPr="00FD50F6">
        <w:rPr>
          <w:rFonts w:hint="eastAsia"/>
        </w:rPr>
        <w:t>标准</w:t>
      </w:r>
      <w:r w:rsidRPr="00FD50F6">
        <w:t>第</w:t>
      </w:r>
      <w:r w:rsidRPr="00FD50F6">
        <w:t>1</w:t>
      </w:r>
      <w:r w:rsidR="00CD74AA" w:rsidRPr="00FD50F6">
        <w:t>4</w:t>
      </w:r>
      <w:r w:rsidRPr="00FD50F6">
        <w:t>.1.</w:t>
      </w:r>
      <w:r w:rsidRPr="00FD50F6">
        <w:rPr>
          <w:rFonts w:hint="eastAsia"/>
        </w:rPr>
        <w:t>4</w:t>
      </w:r>
      <w:r w:rsidRPr="00FD50F6">
        <w:t>条第</w:t>
      </w:r>
      <w:r w:rsidRPr="00FD50F6">
        <w:rPr>
          <w:rFonts w:hint="eastAsia"/>
        </w:rPr>
        <w:t>2</w:t>
      </w:r>
      <w:r w:rsidRPr="00FD50F6">
        <w:t>款</w:t>
      </w:r>
      <w:r w:rsidRPr="00FD50F6">
        <w:rPr>
          <w:rFonts w:hint="eastAsia"/>
        </w:rPr>
        <w:t>的</w:t>
      </w:r>
      <w:r w:rsidRPr="00FD50F6">
        <w:t>规定时，</w:t>
      </w:r>
      <w:r w:rsidRPr="00FD50F6">
        <w:rPr>
          <w:rFonts w:hint="eastAsia"/>
        </w:rPr>
        <w:t>宜设置</w:t>
      </w:r>
      <w:r w:rsidRPr="00FD50F6">
        <w:t>空调系统。</w:t>
      </w:r>
    </w:p>
    <w:p w14:paraId="7A3F4204" w14:textId="5FED8E48" w:rsidR="00E70BF7" w:rsidRPr="00FD50F6" w:rsidRDefault="00E70BF7" w:rsidP="00634619">
      <w:pPr>
        <w:pStyle w:val="30"/>
      </w:pPr>
      <w:r w:rsidRPr="00FD50F6">
        <w:rPr>
          <w:rFonts w:hint="eastAsia"/>
        </w:rPr>
        <w:t>车站</w:t>
      </w:r>
      <w:r w:rsidRPr="00FD50F6">
        <w:t>地下</w:t>
      </w:r>
      <w:r w:rsidRPr="00FD50F6">
        <w:rPr>
          <w:rFonts w:hint="eastAsia"/>
        </w:rPr>
        <w:t>换乘通道、连接通道和</w:t>
      </w:r>
      <w:r w:rsidRPr="00FD50F6">
        <w:t>连续长度大于</w:t>
      </w:r>
      <w:r w:rsidRPr="00FD50F6">
        <w:t>60m</w:t>
      </w:r>
      <w:r w:rsidRPr="00FD50F6">
        <w:rPr>
          <w:rFonts w:hint="eastAsia"/>
        </w:rPr>
        <w:t>的</w:t>
      </w:r>
      <w:r w:rsidRPr="00FD50F6">
        <w:t>出入口通道</w:t>
      </w:r>
      <w:r w:rsidRPr="00FD50F6">
        <w:rPr>
          <w:rFonts w:hint="eastAsia"/>
        </w:rPr>
        <w:t>应设置通风或空调降温措施。</w:t>
      </w:r>
    </w:p>
    <w:p w14:paraId="3B237A2D" w14:textId="37783DD1" w:rsidR="00E70BF7" w:rsidRPr="00FD50F6" w:rsidRDefault="00E70BF7" w:rsidP="00634619">
      <w:pPr>
        <w:pStyle w:val="30"/>
      </w:pPr>
      <w:r w:rsidRPr="00FD50F6">
        <w:t>地下车站宜在列车停靠在车站时的发热部位设置排风系统。</w:t>
      </w:r>
    </w:p>
    <w:p w14:paraId="7FEB6264" w14:textId="1AE856B7" w:rsidR="00E70BF7" w:rsidRPr="00FD50F6" w:rsidRDefault="00E70BF7" w:rsidP="00634619">
      <w:pPr>
        <w:pStyle w:val="30"/>
      </w:pPr>
      <w:r w:rsidRPr="00FD50F6">
        <w:rPr>
          <w:rFonts w:hint="eastAsia"/>
        </w:rPr>
        <w:t>车站公共区夏季室内空气设计温度和相对湿度应符合下列规定：</w:t>
      </w:r>
      <w:r w:rsidRPr="00FD50F6">
        <w:t xml:space="preserve"> </w:t>
      </w:r>
    </w:p>
    <w:p w14:paraId="042A8C45" w14:textId="701BE4B6" w:rsidR="00E70BF7" w:rsidRPr="00FD50F6" w:rsidRDefault="00E70BF7" w:rsidP="00A926BD">
      <w:pPr>
        <w:pStyle w:val="4"/>
      </w:pPr>
      <w:r w:rsidRPr="00FD50F6">
        <w:lastRenderedPageBreak/>
        <w:t>当采用通风</w:t>
      </w:r>
      <w:r w:rsidRPr="00FD50F6">
        <w:rPr>
          <w:rFonts w:hint="eastAsia"/>
        </w:rPr>
        <w:t>系统</w:t>
      </w:r>
      <w:r w:rsidRPr="00FD50F6">
        <w:t>时，</w:t>
      </w:r>
      <w:r w:rsidRPr="00FD50F6">
        <w:rPr>
          <w:rFonts w:hint="eastAsia"/>
        </w:rPr>
        <w:t>公共区室内</w:t>
      </w:r>
      <w:r w:rsidRPr="00FD50F6">
        <w:t>空气</w:t>
      </w:r>
      <w:r w:rsidRPr="00FD50F6">
        <w:rPr>
          <w:rFonts w:hint="eastAsia"/>
        </w:rPr>
        <w:t>设计</w:t>
      </w:r>
      <w:r w:rsidRPr="00FD50F6">
        <w:t>温度不应超过</w:t>
      </w:r>
      <w:r w:rsidRPr="00FD50F6">
        <w:t>30</w:t>
      </w:r>
      <w:r w:rsidRPr="00FD50F6">
        <w:rPr>
          <w:rFonts w:hint="eastAsia"/>
        </w:rPr>
        <w:t>℃</w:t>
      </w:r>
      <w:r w:rsidRPr="00FD50F6">
        <w:t>，且不</w:t>
      </w:r>
      <w:r w:rsidRPr="00FD50F6">
        <w:rPr>
          <w:rFonts w:hint="eastAsia"/>
        </w:rPr>
        <w:t>宜</w:t>
      </w:r>
      <w:r w:rsidRPr="00FD50F6">
        <w:t>高于</w:t>
      </w:r>
      <w:r w:rsidRPr="00FD50F6">
        <w:rPr>
          <w:rFonts w:hint="eastAsia"/>
        </w:rPr>
        <w:t>通风</w:t>
      </w:r>
      <w:r w:rsidRPr="00FD50F6">
        <w:t>室外空气计算温度</w:t>
      </w:r>
      <w:r w:rsidRPr="00FD50F6">
        <w:t>5</w:t>
      </w:r>
      <w:r w:rsidRPr="00FD50F6">
        <w:rPr>
          <w:rFonts w:hint="eastAsia"/>
        </w:rPr>
        <w:t>℃</w:t>
      </w:r>
      <w:r w:rsidR="00135ED6" w:rsidRPr="00FD50F6">
        <w:rPr>
          <w:rFonts w:hint="eastAsia"/>
        </w:rPr>
        <w:t>。</w:t>
      </w:r>
    </w:p>
    <w:p w14:paraId="6F53E2F1" w14:textId="77777777" w:rsidR="00E70BF7" w:rsidRPr="00FD50F6" w:rsidRDefault="00E70BF7" w:rsidP="00A926BD">
      <w:pPr>
        <w:pStyle w:val="4"/>
      </w:pPr>
      <w:r w:rsidRPr="00FD50F6">
        <w:t>当采用空调</w:t>
      </w:r>
      <w:r w:rsidRPr="00FD50F6">
        <w:rPr>
          <w:rFonts w:hint="eastAsia"/>
        </w:rPr>
        <w:t>系统</w:t>
      </w:r>
      <w:r w:rsidRPr="00FD50F6">
        <w:t>时，站厅</w:t>
      </w:r>
      <w:r w:rsidRPr="00FD50F6">
        <w:rPr>
          <w:rFonts w:hint="eastAsia"/>
        </w:rPr>
        <w:t>公共区室内</w:t>
      </w:r>
      <w:r w:rsidRPr="00FD50F6">
        <w:t>空气</w:t>
      </w:r>
      <w:r w:rsidRPr="00FD50F6">
        <w:rPr>
          <w:rFonts w:hint="eastAsia"/>
        </w:rPr>
        <w:t>设计</w:t>
      </w:r>
      <w:r w:rsidRPr="00FD50F6">
        <w:t>温度不应超过</w:t>
      </w:r>
      <w:r w:rsidRPr="00FD50F6">
        <w:t>30</w:t>
      </w:r>
      <w:r w:rsidRPr="00FD50F6">
        <w:rPr>
          <w:rFonts w:hint="eastAsia"/>
        </w:rPr>
        <w:t>℃</w:t>
      </w:r>
      <w:r w:rsidRPr="00FD50F6">
        <w:t>，且</w:t>
      </w:r>
      <w:r w:rsidRPr="00FD50F6">
        <w:rPr>
          <w:rFonts w:hint="eastAsia"/>
        </w:rPr>
        <w:t>应低于</w:t>
      </w:r>
      <w:r w:rsidRPr="00FD50F6">
        <w:t>空调室外计算干球温度</w:t>
      </w:r>
      <w:r w:rsidRPr="00FD50F6">
        <w:t>2</w:t>
      </w:r>
      <w:r w:rsidRPr="00FD50F6">
        <w:rPr>
          <w:rFonts w:hint="eastAsia"/>
        </w:rPr>
        <w:t>℃</w:t>
      </w:r>
      <w:r w:rsidRPr="00FD50F6">
        <w:t>～</w:t>
      </w:r>
      <w:r w:rsidRPr="00FD50F6">
        <w:t>3</w:t>
      </w:r>
      <w:r w:rsidRPr="00FD50F6">
        <w:rPr>
          <w:rFonts w:hint="eastAsia"/>
        </w:rPr>
        <w:t>℃</w:t>
      </w:r>
      <w:r w:rsidRPr="00FD50F6">
        <w:t>；站台</w:t>
      </w:r>
      <w:r w:rsidRPr="00FD50F6">
        <w:rPr>
          <w:rFonts w:hint="eastAsia"/>
        </w:rPr>
        <w:t>公共区室内</w:t>
      </w:r>
      <w:r w:rsidRPr="00FD50F6">
        <w:t>空气</w:t>
      </w:r>
      <w:r w:rsidRPr="00FD50F6">
        <w:rPr>
          <w:rFonts w:hint="eastAsia"/>
        </w:rPr>
        <w:t>设计</w:t>
      </w:r>
      <w:r w:rsidRPr="00FD50F6">
        <w:t>温度</w:t>
      </w:r>
      <w:r w:rsidRPr="00FD50F6">
        <w:rPr>
          <w:rFonts w:hint="eastAsia"/>
        </w:rPr>
        <w:t>应低于</w:t>
      </w:r>
      <w:r w:rsidRPr="00FD50F6">
        <w:t>站厅</w:t>
      </w:r>
      <w:r w:rsidRPr="00FD50F6">
        <w:rPr>
          <w:rFonts w:hint="eastAsia"/>
        </w:rPr>
        <w:t>公共区</w:t>
      </w:r>
      <w:r w:rsidRPr="00FD50F6">
        <w:t>空气</w:t>
      </w:r>
      <w:r w:rsidRPr="00FD50F6">
        <w:rPr>
          <w:rFonts w:hint="eastAsia"/>
        </w:rPr>
        <w:t>设计</w:t>
      </w:r>
      <w:r w:rsidRPr="00FD50F6">
        <w:t>温度</w:t>
      </w:r>
      <w:r w:rsidRPr="00FD50F6">
        <w:t>1</w:t>
      </w:r>
      <w:r w:rsidRPr="00FD50F6">
        <w:rPr>
          <w:rFonts w:hint="eastAsia"/>
        </w:rPr>
        <w:t>℃</w:t>
      </w:r>
      <w:r w:rsidRPr="00FD50F6">
        <w:t>～</w:t>
      </w:r>
      <w:r w:rsidRPr="00FD50F6">
        <w:t>2</w:t>
      </w:r>
      <w:r w:rsidRPr="00FD50F6">
        <w:rPr>
          <w:rFonts w:hint="eastAsia"/>
        </w:rPr>
        <w:t>℃</w:t>
      </w:r>
      <w:r w:rsidRPr="00FD50F6">
        <w:t>；</w:t>
      </w:r>
      <w:r w:rsidRPr="00FD50F6">
        <w:rPr>
          <w:rFonts w:hint="eastAsia"/>
        </w:rPr>
        <w:t>公共区空气</w:t>
      </w:r>
      <w:r w:rsidRPr="00FD50F6">
        <w:t>相对湿度</w:t>
      </w:r>
      <w:r w:rsidRPr="00FD50F6">
        <w:rPr>
          <w:rFonts w:hint="eastAsia"/>
        </w:rPr>
        <w:t>应为</w:t>
      </w:r>
      <w:r w:rsidRPr="00FD50F6">
        <w:t>40</w:t>
      </w:r>
      <w:r w:rsidRPr="00FD50F6">
        <w:t>％～</w:t>
      </w:r>
      <w:r w:rsidRPr="00FD50F6">
        <w:rPr>
          <w:rFonts w:hint="eastAsia"/>
        </w:rPr>
        <w:t>70</w:t>
      </w:r>
      <w:r w:rsidRPr="00FD50F6">
        <w:t>％</w:t>
      </w:r>
      <w:r w:rsidRPr="00FD50F6">
        <w:rPr>
          <w:rFonts w:hint="eastAsia"/>
        </w:rPr>
        <w:t>。</w:t>
      </w:r>
    </w:p>
    <w:p w14:paraId="7E6473D3" w14:textId="5E537183" w:rsidR="00E70BF7" w:rsidRPr="00FD50F6" w:rsidRDefault="00E70BF7" w:rsidP="00634619">
      <w:pPr>
        <w:pStyle w:val="30"/>
      </w:pPr>
      <w:r w:rsidRPr="00FD50F6">
        <w:t>车站</w:t>
      </w:r>
      <w:r w:rsidRPr="00FD50F6">
        <w:rPr>
          <w:rFonts w:hint="eastAsia"/>
        </w:rPr>
        <w:t>公共区</w:t>
      </w:r>
      <w:r w:rsidRPr="00FD50F6">
        <w:t>冬季</w:t>
      </w:r>
      <w:r w:rsidRPr="00FD50F6">
        <w:rPr>
          <w:rFonts w:hint="eastAsia"/>
        </w:rPr>
        <w:t>室内空气设计温度应低</w:t>
      </w:r>
      <w:r w:rsidRPr="00FD50F6">
        <w:t>于当地地层的自然温度</w:t>
      </w:r>
      <w:r w:rsidRPr="00FD50F6">
        <w:rPr>
          <w:rFonts w:hint="eastAsia"/>
        </w:rPr>
        <w:t>，但室内</w:t>
      </w:r>
      <w:r w:rsidRPr="00FD50F6">
        <w:t>空气</w:t>
      </w:r>
      <w:r w:rsidRPr="00FD50F6">
        <w:rPr>
          <w:rFonts w:hint="eastAsia"/>
        </w:rPr>
        <w:t>最低</w:t>
      </w:r>
      <w:r w:rsidRPr="00FD50F6">
        <w:t>温度不</w:t>
      </w:r>
      <w:r w:rsidRPr="00FD50F6">
        <w:rPr>
          <w:rFonts w:hint="eastAsia"/>
        </w:rPr>
        <w:t>宜</w:t>
      </w:r>
      <w:r w:rsidRPr="00FD50F6">
        <w:t>低于</w:t>
      </w:r>
      <w:r w:rsidRPr="00FD50F6">
        <w:t>12</w:t>
      </w:r>
      <w:r w:rsidRPr="00FD50F6">
        <w:rPr>
          <w:rFonts w:hint="eastAsia"/>
        </w:rPr>
        <w:t>℃。</w:t>
      </w:r>
    </w:p>
    <w:p w14:paraId="4DD5BD36" w14:textId="42368FEC" w:rsidR="00E70BF7" w:rsidRPr="00FD50F6" w:rsidRDefault="00E70BF7" w:rsidP="00634619">
      <w:pPr>
        <w:pStyle w:val="30"/>
      </w:pPr>
      <w:r w:rsidRPr="00FD50F6">
        <w:rPr>
          <w:rFonts w:hint="eastAsia"/>
        </w:rPr>
        <w:t>只与站厅衔接的</w:t>
      </w:r>
      <w:r w:rsidRPr="00FD50F6">
        <w:t>地下</w:t>
      </w:r>
      <w:r w:rsidRPr="00FD50F6">
        <w:rPr>
          <w:rFonts w:hint="eastAsia"/>
        </w:rPr>
        <w:t>换乘通道、连接通道内部空气设计参数宜与站厅相同，与站台衔接的通道内部空气设计参数宜与站台相同。</w:t>
      </w:r>
    </w:p>
    <w:p w14:paraId="7B27BD2C" w14:textId="423C28B3" w:rsidR="00E70BF7" w:rsidRPr="00FD50F6" w:rsidRDefault="00E70BF7" w:rsidP="00634619">
      <w:pPr>
        <w:pStyle w:val="30"/>
      </w:pPr>
      <w:r w:rsidRPr="00FD50F6">
        <w:rPr>
          <w:rFonts w:hint="eastAsia"/>
        </w:rPr>
        <w:t>当设置通风或空调降温措施时，车站出入口通道内部空气设计温度可高于站厅空气设计温度</w:t>
      </w:r>
      <w:r w:rsidRPr="00FD50F6">
        <w:t>2</w:t>
      </w:r>
      <w:r w:rsidRPr="00FD50F6">
        <w:rPr>
          <w:rFonts w:hint="eastAsia"/>
        </w:rPr>
        <w:t>℃。</w:t>
      </w:r>
    </w:p>
    <w:p w14:paraId="62C6FF7B" w14:textId="18F23E4F" w:rsidR="00E70BF7" w:rsidRPr="00FD50F6" w:rsidRDefault="00E70BF7" w:rsidP="00634619">
      <w:pPr>
        <w:pStyle w:val="30"/>
      </w:pPr>
      <w:r w:rsidRPr="00FD50F6">
        <w:rPr>
          <w:rFonts w:hint="eastAsia"/>
        </w:rPr>
        <w:t>车站公共区通风室外空气计算温度应符合下列规定：</w:t>
      </w:r>
    </w:p>
    <w:p w14:paraId="0743F1E5" w14:textId="77777777" w:rsidR="00E70BF7" w:rsidRPr="00FD50F6" w:rsidRDefault="00E70BF7" w:rsidP="00A926BD">
      <w:pPr>
        <w:pStyle w:val="4"/>
      </w:pPr>
      <w:r w:rsidRPr="00FD50F6">
        <w:rPr>
          <w:rFonts w:hint="eastAsia"/>
        </w:rPr>
        <w:t>夏季应采用近</w:t>
      </w:r>
      <w:r w:rsidRPr="00FD50F6">
        <w:rPr>
          <w:rFonts w:hint="eastAsia"/>
        </w:rPr>
        <w:t>30</w:t>
      </w:r>
      <w:r w:rsidRPr="00FD50F6">
        <w:rPr>
          <w:rFonts w:hint="eastAsia"/>
        </w:rPr>
        <w:t>年最热月月平均温度的平均值；</w:t>
      </w:r>
    </w:p>
    <w:p w14:paraId="54A39A5C" w14:textId="77777777" w:rsidR="00E70BF7" w:rsidRPr="00FD50F6" w:rsidRDefault="00E70BF7" w:rsidP="00A926BD">
      <w:pPr>
        <w:pStyle w:val="4"/>
      </w:pPr>
      <w:r w:rsidRPr="00FD50F6">
        <w:rPr>
          <w:rFonts w:hint="eastAsia"/>
        </w:rPr>
        <w:t>冬季应采用近</w:t>
      </w:r>
      <w:r w:rsidRPr="00FD50F6">
        <w:rPr>
          <w:rFonts w:hint="eastAsia"/>
        </w:rPr>
        <w:t>30</w:t>
      </w:r>
      <w:r w:rsidRPr="00FD50F6">
        <w:rPr>
          <w:rFonts w:hint="eastAsia"/>
        </w:rPr>
        <w:t>年最冷月月平均温度的平均值。</w:t>
      </w:r>
    </w:p>
    <w:p w14:paraId="0A4A2675" w14:textId="204D2A07" w:rsidR="00E70BF7" w:rsidRPr="00FD50F6" w:rsidRDefault="00E70BF7" w:rsidP="00634619">
      <w:pPr>
        <w:pStyle w:val="30"/>
      </w:pPr>
      <w:r w:rsidRPr="00FD50F6">
        <w:rPr>
          <w:rFonts w:hint="eastAsia"/>
        </w:rPr>
        <w:t>车站公共区夏季空调室外空气计算参数应符合下列规定：</w:t>
      </w:r>
    </w:p>
    <w:p w14:paraId="59B20376" w14:textId="77777777" w:rsidR="00E70BF7" w:rsidRPr="00FD50F6" w:rsidRDefault="00E70BF7" w:rsidP="00A926BD">
      <w:pPr>
        <w:pStyle w:val="4"/>
      </w:pPr>
      <w:r w:rsidRPr="00FD50F6">
        <w:rPr>
          <w:rFonts w:hint="eastAsia"/>
        </w:rPr>
        <w:t>干球温度应按近</w:t>
      </w:r>
      <w:r w:rsidRPr="00FD50F6">
        <w:rPr>
          <w:rFonts w:hint="eastAsia"/>
        </w:rPr>
        <w:t>30</w:t>
      </w:r>
      <w:r w:rsidRPr="00FD50F6">
        <w:rPr>
          <w:rFonts w:hint="eastAsia"/>
        </w:rPr>
        <w:t>年夏季运营高峰时刻历年平均不保证</w:t>
      </w:r>
      <w:r w:rsidRPr="00FD50F6">
        <w:rPr>
          <w:rFonts w:hint="eastAsia"/>
        </w:rPr>
        <w:t>10h</w:t>
      </w:r>
      <w:r w:rsidRPr="00FD50F6">
        <w:rPr>
          <w:rFonts w:hint="eastAsia"/>
        </w:rPr>
        <w:t>确定；</w:t>
      </w:r>
    </w:p>
    <w:p w14:paraId="1D3B9F1C" w14:textId="77777777" w:rsidR="00E70BF7" w:rsidRPr="00FD50F6" w:rsidRDefault="00E70BF7" w:rsidP="00A926BD">
      <w:pPr>
        <w:pStyle w:val="4"/>
      </w:pPr>
      <w:r w:rsidRPr="00FD50F6">
        <w:rPr>
          <w:rFonts w:hint="eastAsia"/>
        </w:rPr>
        <w:t>湿球温度应按近</w:t>
      </w:r>
      <w:r w:rsidRPr="00FD50F6">
        <w:rPr>
          <w:rFonts w:hint="eastAsia"/>
        </w:rPr>
        <w:t>30</w:t>
      </w:r>
      <w:r w:rsidRPr="00FD50F6">
        <w:rPr>
          <w:rFonts w:hint="eastAsia"/>
        </w:rPr>
        <w:t>年夏季运营高峰时刻历年平均不保证</w:t>
      </w:r>
      <w:r w:rsidRPr="00FD50F6">
        <w:rPr>
          <w:rFonts w:hint="eastAsia"/>
        </w:rPr>
        <w:t>10h</w:t>
      </w:r>
      <w:r w:rsidRPr="00FD50F6">
        <w:rPr>
          <w:rFonts w:hint="eastAsia"/>
        </w:rPr>
        <w:t>确定。</w:t>
      </w:r>
    </w:p>
    <w:p w14:paraId="75ABA451" w14:textId="4B521367" w:rsidR="00E70BF7" w:rsidRPr="00FD50F6" w:rsidRDefault="00E70BF7" w:rsidP="00634619">
      <w:pPr>
        <w:pStyle w:val="30"/>
      </w:pPr>
      <w:r w:rsidRPr="00FD50F6">
        <w:rPr>
          <w:rFonts w:hint="eastAsia"/>
        </w:rPr>
        <w:t>车站公共区通风与空调系统的新风量应符合下列规定：</w:t>
      </w:r>
    </w:p>
    <w:p w14:paraId="54CBBB30" w14:textId="77777777" w:rsidR="00E70BF7" w:rsidRPr="00FD50F6" w:rsidRDefault="00E70BF7" w:rsidP="00A926BD">
      <w:pPr>
        <w:pStyle w:val="4"/>
      </w:pPr>
      <w:r w:rsidRPr="00FD50F6">
        <w:rPr>
          <w:rFonts w:hint="eastAsia"/>
        </w:rPr>
        <w:t>当采用通风系统开式运行时，每个乘客的新风量不应少于</w:t>
      </w:r>
      <w:r w:rsidRPr="00FD50F6">
        <w:rPr>
          <w:rFonts w:hint="eastAsia"/>
        </w:rPr>
        <w:t>30m</w:t>
      </w:r>
      <w:r w:rsidRPr="00FD50F6">
        <w:rPr>
          <w:rFonts w:hint="eastAsia"/>
          <w:vertAlign w:val="superscript"/>
        </w:rPr>
        <w:t>3</w:t>
      </w:r>
      <w:r w:rsidRPr="00FD50F6">
        <w:t>/h</w:t>
      </w:r>
      <w:r w:rsidRPr="00FD50F6">
        <w:rPr>
          <w:rFonts w:hint="eastAsia"/>
        </w:rPr>
        <w:t>；</w:t>
      </w:r>
    </w:p>
    <w:p w14:paraId="26D8F722" w14:textId="77777777" w:rsidR="00E70BF7" w:rsidRPr="00FD50F6" w:rsidRDefault="00E70BF7" w:rsidP="00A926BD">
      <w:pPr>
        <w:pStyle w:val="4"/>
      </w:pPr>
      <w:r w:rsidRPr="00FD50F6">
        <w:rPr>
          <w:rFonts w:hint="eastAsia"/>
        </w:rPr>
        <w:t>当采用通风系统闭式运行或采用空调系统时，每个乘客的新风量不应少于</w:t>
      </w:r>
      <w:r w:rsidRPr="00FD50F6">
        <w:rPr>
          <w:rFonts w:hint="eastAsia"/>
        </w:rPr>
        <w:t>20m</w:t>
      </w:r>
      <w:r w:rsidRPr="00FD50F6">
        <w:rPr>
          <w:rFonts w:hint="eastAsia"/>
          <w:vertAlign w:val="superscript"/>
        </w:rPr>
        <w:t>3</w:t>
      </w:r>
      <w:r w:rsidRPr="00FD50F6">
        <w:t>/h</w:t>
      </w:r>
      <w:r w:rsidRPr="00FD50F6">
        <w:rPr>
          <w:rFonts w:hint="eastAsia"/>
        </w:rPr>
        <w:t>；</w:t>
      </w:r>
    </w:p>
    <w:p w14:paraId="6C8D8CE5" w14:textId="77777777" w:rsidR="00E70BF7" w:rsidRPr="00FD50F6" w:rsidRDefault="00E70BF7" w:rsidP="00A926BD">
      <w:pPr>
        <w:pStyle w:val="4"/>
      </w:pPr>
      <w:r w:rsidRPr="00FD50F6">
        <w:rPr>
          <w:rFonts w:hint="eastAsia"/>
        </w:rPr>
        <w:t>通风与空调系统的防疫新风供给能力不应小于</w:t>
      </w:r>
      <w:r w:rsidRPr="00FD50F6">
        <w:rPr>
          <w:rFonts w:hint="eastAsia"/>
        </w:rPr>
        <w:t>6</w:t>
      </w:r>
      <w:r w:rsidRPr="00FD50F6">
        <w:rPr>
          <w:rFonts w:hint="eastAsia"/>
        </w:rPr>
        <w:t>次</w:t>
      </w:r>
      <w:r w:rsidRPr="00FD50F6">
        <w:rPr>
          <w:rFonts w:hint="eastAsia"/>
        </w:rPr>
        <w:t>/h</w:t>
      </w:r>
      <w:r w:rsidRPr="00FD50F6">
        <w:rPr>
          <w:rFonts w:hint="eastAsia"/>
        </w:rPr>
        <w:t>。</w:t>
      </w:r>
    </w:p>
    <w:p w14:paraId="378716D4" w14:textId="26BF2D7D" w:rsidR="00E70BF7" w:rsidRPr="00FD50F6" w:rsidRDefault="00E70BF7" w:rsidP="00634619">
      <w:pPr>
        <w:pStyle w:val="30"/>
      </w:pPr>
      <w:r w:rsidRPr="00FD50F6">
        <w:t>车站公共区</w:t>
      </w:r>
      <w:r w:rsidRPr="00FD50F6">
        <w:rPr>
          <w:rFonts w:hint="eastAsia"/>
        </w:rPr>
        <w:t>空气中二氧化碳（</w:t>
      </w:r>
      <w:r w:rsidRPr="00FD50F6">
        <w:rPr>
          <w:rFonts w:hint="eastAsia"/>
        </w:rPr>
        <w:t>CO</w:t>
      </w:r>
      <w:r w:rsidRPr="00FD50F6">
        <w:rPr>
          <w:rFonts w:hint="eastAsia"/>
          <w:vertAlign w:val="subscript"/>
        </w:rPr>
        <w:t>2</w:t>
      </w:r>
      <w:r w:rsidRPr="00FD50F6">
        <w:rPr>
          <w:rFonts w:hint="eastAsia"/>
        </w:rPr>
        <w:t>）的日平均浓度应小于</w:t>
      </w:r>
      <w:r w:rsidRPr="00FD50F6">
        <w:rPr>
          <w:rFonts w:hint="eastAsia"/>
        </w:rPr>
        <w:t>0.15%</w:t>
      </w:r>
      <w:r w:rsidRPr="00FD50F6">
        <w:t>。</w:t>
      </w:r>
    </w:p>
    <w:p w14:paraId="5483A279" w14:textId="4B66A49C" w:rsidR="00E70BF7" w:rsidRPr="00FD50F6" w:rsidRDefault="00E70BF7" w:rsidP="00634619">
      <w:pPr>
        <w:pStyle w:val="30"/>
      </w:pPr>
      <w:r w:rsidRPr="00FD50F6">
        <w:rPr>
          <w:rFonts w:hint="eastAsia"/>
        </w:rPr>
        <w:t>车站公共区空气中粒径小于</w:t>
      </w:r>
      <w:r w:rsidR="007773D4" w:rsidRPr="00FD50F6">
        <w:rPr>
          <w:rFonts w:hint="eastAsia"/>
        </w:rPr>
        <w:t>或</w:t>
      </w:r>
      <w:r w:rsidRPr="00FD50F6">
        <w:rPr>
          <w:rFonts w:hint="eastAsia"/>
        </w:rPr>
        <w:t>等于</w:t>
      </w:r>
      <w:r w:rsidRPr="00FD50F6">
        <w:rPr>
          <w:rFonts w:hint="eastAsia"/>
        </w:rPr>
        <w:t>10</w:t>
      </w:r>
      <w:r w:rsidRPr="00FD50F6">
        <w:rPr>
          <w:rFonts w:hint="eastAsia"/>
        </w:rPr>
        <w:t>μ</w:t>
      </w:r>
      <w:r w:rsidRPr="00FD50F6">
        <w:rPr>
          <w:rFonts w:hint="eastAsia"/>
        </w:rPr>
        <w:t>m</w:t>
      </w:r>
      <w:r w:rsidRPr="00FD50F6">
        <w:rPr>
          <w:rFonts w:hint="eastAsia"/>
        </w:rPr>
        <w:t>颗粒物（</w:t>
      </w:r>
      <w:r w:rsidRPr="00FD50F6">
        <w:rPr>
          <w:rFonts w:hint="eastAsia"/>
        </w:rPr>
        <w:t>PM</w:t>
      </w:r>
      <w:r w:rsidRPr="00FD50F6">
        <w:rPr>
          <w:rFonts w:hint="eastAsia"/>
          <w:vertAlign w:val="subscript"/>
        </w:rPr>
        <w:t>10</w:t>
      </w:r>
      <w:r w:rsidRPr="00FD50F6">
        <w:rPr>
          <w:rFonts w:hint="eastAsia"/>
        </w:rPr>
        <w:t>）的日平均浓度应小于</w:t>
      </w:r>
      <w:r w:rsidRPr="00FD50F6">
        <w:rPr>
          <w:rFonts w:hint="eastAsia"/>
        </w:rPr>
        <w:t>0.25</w:t>
      </w:r>
      <w:r w:rsidRPr="00FD50F6">
        <w:t>mg/m</w:t>
      </w:r>
      <w:r w:rsidRPr="00FD50F6">
        <w:rPr>
          <w:vertAlign w:val="superscript"/>
        </w:rPr>
        <w:t>3</w:t>
      </w:r>
      <w:r w:rsidRPr="00FD50F6">
        <w:rPr>
          <w:rFonts w:hint="eastAsia"/>
        </w:rPr>
        <w:t>。</w:t>
      </w:r>
    </w:p>
    <w:p w14:paraId="58FCE588" w14:textId="43A2DCBD" w:rsidR="00E70BF7" w:rsidRPr="00FD50F6" w:rsidRDefault="00E70BF7" w:rsidP="00634619">
      <w:pPr>
        <w:pStyle w:val="30"/>
      </w:pPr>
      <w:r w:rsidRPr="00FD50F6">
        <w:t>站厅</w:t>
      </w:r>
      <w:r w:rsidRPr="00FD50F6">
        <w:rPr>
          <w:rFonts w:hint="eastAsia"/>
        </w:rPr>
        <w:t>和</w:t>
      </w:r>
      <w:r w:rsidRPr="00FD50F6">
        <w:t>站台</w:t>
      </w:r>
      <w:r w:rsidRPr="00FD50F6">
        <w:rPr>
          <w:rFonts w:hint="eastAsia"/>
        </w:rPr>
        <w:t>公共区</w:t>
      </w:r>
      <w:bookmarkStart w:id="540" w:name="OLE_LINK3"/>
      <w:bookmarkStart w:id="541" w:name="OLE_LINK4"/>
      <w:r w:rsidRPr="00FD50F6">
        <w:rPr>
          <w:rFonts w:hint="eastAsia"/>
        </w:rPr>
        <w:t>的</w:t>
      </w:r>
      <w:r w:rsidRPr="00FD50F6">
        <w:t>瞬时</w:t>
      </w:r>
      <w:r w:rsidRPr="00FD50F6">
        <w:rPr>
          <w:rFonts w:hint="eastAsia"/>
        </w:rPr>
        <w:t>最大</w:t>
      </w:r>
      <w:r w:rsidRPr="00FD50F6">
        <w:t>风速</w:t>
      </w:r>
      <w:bookmarkEnd w:id="540"/>
      <w:bookmarkEnd w:id="541"/>
      <w:r w:rsidRPr="00FD50F6">
        <w:t>不宜大于</w:t>
      </w:r>
      <w:r w:rsidRPr="00FD50F6">
        <w:t>5m</w:t>
      </w:r>
      <w:r w:rsidRPr="00FD50F6">
        <w:rPr>
          <w:rFonts w:hint="eastAsia"/>
        </w:rPr>
        <w:t>/</w:t>
      </w:r>
      <w:r w:rsidRPr="00FD50F6">
        <w:t>s</w:t>
      </w:r>
      <w:r w:rsidRPr="00FD50F6">
        <w:t>。</w:t>
      </w:r>
    </w:p>
    <w:p w14:paraId="5326E316" w14:textId="59FB2563" w:rsidR="00E70BF7" w:rsidRPr="00FD50F6" w:rsidRDefault="00E70BF7" w:rsidP="00634619">
      <w:pPr>
        <w:pStyle w:val="30"/>
      </w:pPr>
      <w:r w:rsidRPr="00FD50F6">
        <w:t>通风与空调系统设备运转传至站厅、站台的噪声不</w:t>
      </w:r>
      <w:r w:rsidRPr="00FD50F6">
        <w:rPr>
          <w:rFonts w:hint="eastAsia"/>
        </w:rPr>
        <w:t>应</w:t>
      </w:r>
      <w:r w:rsidRPr="00FD50F6">
        <w:t>超过</w:t>
      </w:r>
      <w:r w:rsidRPr="00FD50F6">
        <w:t>70dB(A)</w:t>
      </w:r>
      <w:r w:rsidRPr="00FD50F6">
        <w:t>。</w:t>
      </w:r>
    </w:p>
    <w:p w14:paraId="3037799B" w14:textId="12D621EE" w:rsidR="00E70BF7" w:rsidRPr="00FD50F6" w:rsidRDefault="00E70BF7" w:rsidP="00634619">
      <w:pPr>
        <w:pStyle w:val="30"/>
      </w:pPr>
      <w:r w:rsidRPr="00FD50F6">
        <w:t>当计算排除余热所需的风量时，应计算车站传至地层周围土壤的传热量。</w:t>
      </w:r>
    </w:p>
    <w:p w14:paraId="678799CE" w14:textId="3BE06E92" w:rsidR="00E70BF7" w:rsidRPr="00FD50F6" w:rsidRDefault="00E70BF7" w:rsidP="00634619">
      <w:pPr>
        <w:pStyle w:val="30"/>
      </w:pPr>
      <w:r w:rsidRPr="00FD50F6">
        <w:t>当活塞风对车站有明显影响时，应在车站的两端设置活塞风泄流风井或活塞风迂回风道。</w:t>
      </w:r>
    </w:p>
    <w:p w14:paraId="58245C5C" w14:textId="2BFE98FA" w:rsidR="00E70BF7" w:rsidRPr="00FD50F6" w:rsidRDefault="00E70BF7" w:rsidP="00634619">
      <w:pPr>
        <w:pStyle w:val="30"/>
      </w:pPr>
      <w:r w:rsidRPr="00FD50F6">
        <w:lastRenderedPageBreak/>
        <w:t>当地下车站公共区通风机或车站排热风机与区间隧道风机合用时，在正常工况下风机应实现节能运行，并应满足区间隧道各种工况下对风机的风量和风压的要求。</w:t>
      </w:r>
    </w:p>
    <w:p w14:paraId="1AAA5547" w14:textId="613F82AA" w:rsidR="00E70BF7" w:rsidRPr="00FD50F6" w:rsidRDefault="00E70BF7" w:rsidP="00634619">
      <w:pPr>
        <w:pStyle w:val="30"/>
      </w:pPr>
      <w:r w:rsidRPr="00FD50F6">
        <w:rPr>
          <w:rFonts w:hint="eastAsia"/>
        </w:rPr>
        <w:t>当车站公共区通风与空调系统任一设备失效时，系统能力损失不应超过</w:t>
      </w:r>
      <w:r w:rsidRPr="00FD50F6">
        <w:rPr>
          <w:rFonts w:hint="eastAsia"/>
        </w:rPr>
        <w:t>50%</w:t>
      </w:r>
      <w:r w:rsidRPr="00FD50F6">
        <w:rPr>
          <w:rFonts w:hint="eastAsia"/>
        </w:rPr>
        <w:t>。</w:t>
      </w:r>
    </w:p>
    <w:p w14:paraId="46E423D4" w14:textId="77777777"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bookmarkStart w:id="542" w:name="_Toc236493450"/>
      <w:bookmarkStart w:id="543" w:name="_Toc236671833"/>
      <w:bookmarkStart w:id="544" w:name="_Toc306206730"/>
      <w:r w:rsidRPr="00FD50F6">
        <w:rPr>
          <w:rFonts w:ascii="宋体" w:hAnsi="宋体" w:cs="宋体" w:hint="eastAsia"/>
          <w:b/>
          <w:szCs w:val="24"/>
        </w:rPr>
        <w:t>Ⅲ</w:t>
      </w:r>
      <w:r w:rsidRPr="00FD50F6">
        <w:rPr>
          <w:rFonts w:ascii="Times New Roman" w:hAnsi="Times New Roman" w:cs="Times New Roman"/>
          <w:b/>
          <w:szCs w:val="24"/>
        </w:rPr>
        <w:t xml:space="preserve">  </w:t>
      </w:r>
      <w:r w:rsidRPr="00FD50F6">
        <w:rPr>
          <w:rFonts w:ascii="Times New Roman" w:hAnsi="Times New Roman" w:cs="Times New Roman"/>
          <w:b/>
          <w:szCs w:val="24"/>
        </w:rPr>
        <w:t>设备与管理用房</w:t>
      </w:r>
      <w:bookmarkEnd w:id="542"/>
      <w:bookmarkEnd w:id="543"/>
      <w:bookmarkEnd w:id="544"/>
      <w:r w:rsidRPr="00FD50F6">
        <w:rPr>
          <w:rFonts w:ascii="Times New Roman" w:hAnsi="Times New Roman" w:cs="Times New Roman" w:hint="eastAsia"/>
          <w:b/>
          <w:szCs w:val="24"/>
        </w:rPr>
        <w:t>通风与空调系统</w:t>
      </w:r>
    </w:p>
    <w:p w14:paraId="393F4C6A" w14:textId="5C849769" w:rsidR="00E70BF7" w:rsidRPr="00FD50F6" w:rsidRDefault="00E70BF7" w:rsidP="00634619">
      <w:pPr>
        <w:pStyle w:val="30"/>
      </w:pPr>
      <w:r w:rsidRPr="00FD50F6">
        <w:rPr>
          <w:rFonts w:hint="eastAsia"/>
        </w:rPr>
        <w:t>设备与管理用房应根据其使用要求设置通风系统；当通风系统无法满足要求时，应设置空调系统。</w:t>
      </w:r>
    </w:p>
    <w:p w14:paraId="19AE869A" w14:textId="65B1874F" w:rsidR="00E70BF7" w:rsidRPr="00FD50F6" w:rsidRDefault="00E70BF7" w:rsidP="00634619">
      <w:pPr>
        <w:pStyle w:val="30"/>
      </w:pPr>
      <w:r w:rsidRPr="00FD50F6">
        <w:rPr>
          <w:rFonts w:hint="eastAsia"/>
        </w:rPr>
        <w:t>地下变电所应按排除余热量设置机械通风系统；当余热量大、采用机械通风系统技术经济性不合理时，可设置冷风系统。</w:t>
      </w:r>
    </w:p>
    <w:p w14:paraId="464A82FF" w14:textId="66A0DEAD" w:rsidR="00E70BF7" w:rsidRPr="00FD50F6" w:rsidRDefault="00E70BF7" w:rsidP="00634619">
      <w:pPr>
        <w:pStyle w:val="30"/>
      </w:pPr>
      <w:r w:rsidRPr="00FD50F6">
        <w:rPr>
          <w:rFonts w:hint="eastAsia"/>
        </w:rPr>
        <w:t>厕所与污水泵房应设置独立的机械排风、自然进风系统，排出的气体应直接排出地面。</w:t>
      </w:r>
    </w:p>
    <w:p w14:paraId="4354C72C" w14:textId="2CBA4924" w:rsidR="00E70BF7" w:rsidRPr="00FD50F6" w:rsidRDefault="00E70BF7" w:rsidP="00634619">
      <w:pPr>
        <w:pStyle w:val="30"/>
      </w:pPr>
      <w:r w:rsidRPr="00FD50F6">
        <w:rPr>
          <w:rFonts w:hint="eastAsia"/>
        </w:rPr>
        <w:t>设置气体灭火的房间应设置机械通风系统，灭火后所排除的气体应直接排出地面。设置在隧道中的气体灭火房间灭火后所排除的气体可在确保安全的前提下先排至隧道，再通过隧道通风系统排出地面。</w:t>
      </w:r>
    </w:p>
    <w:p w14:paraId="3FBA70A1" w14:textId="4069BFDB" w:rsidR="00E70BF7" w:rsidRPr="00FD50F6" w:rsidRDefault="00E70BF7" w:rsidP="00634619">
      <w:pPr>
        <w:pStyle w:val="30"/>
      </w:pPr>
      <w:r w:rsidRPr="00FD50F6">
        <w:rPr>
          <w:rFonts w:hint="eastAsia"/>
        </w:rPr>
        <w:t>设在尽端线、折返线内的设备与管理用房应设置机械排风、自然进风系统；当直接向室外排风有困难时，可向隧道内排风；自然进风口应设置滤尘装置。</w:t>
      </w:r>
    </w:p>
    <w:p w14:paraId="42DC471A" w14:textId="6A80A0C5" w:rsidR="00E70BF7" w:rsidRPr="00FD50F6" w:rsidRDefault="00E70BF7" w:rsidP="00634619">
      <w:pPr>
        <w:pStyle w:val="30"/>
      </w:pPr>
      <w:r w:rsidRPr="00FD50F6">
        <w:rPr>
          <w:rFonts w:hint="eastAsia"/>
        </w:rPr>
        <w:t>车站设备与管理用房内每个工作人员的新风量不应少于</w:t>
      </w:r>
      <w:r w:rsidRPr="00FD50F6">
        <w:rPr>
          <w:rFonts w:hint="eastAsia"/>
        </w:rPr>
        <w:t xml:space="preserve"> 30m</w:t>
      </w:r>
      <w:r w:rsidRPr="00FD50F6">
        <w:rPr>
          <w:rFonts w:hint="eastAsia"/>
          <w:vertAlign w:val="superscript"/>
        </w:rPr>
        <w:t>3</w:t>
      </w:r>
      <w:r w:rsidRPr="00FD50F6">
        <w:t>/h</w:t>
      </w:r>
      <w:r w:rsidRPr="00FD50F6">
        <w:rPr>
          <w:rFonts w:hint="eastAsia"/>
        </w:rPr>
        <w:t>，房间的防疫新风供给能力应满足本</w:t>
      </w:r>
      <w:r w:rsidR="00724E97" w:rsidRPr="00FD50F6">
        <w:rPr>
          <w:rFonts w:hint="eastAsia"/>
        </w:rPr>
        <w:t>标准第</w:t>
      </w:r>
      <w:r w:rsidR="00962B68" w:rsidRPr="00FD50F6">
        <w:rPr>
          <w:rFonts w:hint="eastAsia"/>
        </w:rPr>
        <w:t>1</w:t>
      </w:r>
      <w:r w:rsidR="00CD74AA" w:rsidRPr="00FD50F6">
        <w:rPr>
          <w:rFonts w:hint="eastAsia"/>
        </w:rPr>
        <w:t>4.2.35</w:t>
      </w:r>
      <w:r w:rsidRPr="00FD50F6">
        <w:rPr>
          <w:rFonts w:hint="eastAsia"/>
        </w:rPr>
        <w:t>条规定的通风工况进风最小换气次数要求；空气中二氧化碳（</w:t>
      </w:r>
      <w:r w:rsidRPr="00FD50F6">
        <w:rPr>
          <w:rFonts w:hint="eastAsia"/>
        </w:rPr>
        <w:t>CO</w:t>
      </w:r>
      <w:r w:rsidRPr="00FD50F6">
        <w:rPr>
          <w:rFonts w:hint="eastAsia"/>
          <w:vertAlign w:val="subscript"/>
        </w:rPr>
        <w:t>2</w:t>
      </w:r>
      <w:r w:rsidRPr="00FD50F6">
        <w:rPr>
          <w:rFonts w:hint="eastAsia"/>
        </w:rPr>
        <w:t>）的日平均浓度应小于</w:t>
      </w:r>
      <w:r w:rsidRPr="00FD50F6">
        <w:rPr>
          <w:rFonts w:hint="eastAsia"/>
        </w:rPr>
        <w:t>0.10%</w:t>
      </w:r>
      <w:r w:rsidRPr="00FD50F6">
        <w:rPr>
          <w:rFonts w:hint="eastAsia"/>
        </w:rPr>
        <w:t>。</w:t>
      </w:r>
    </w:p>
    <w:p w14:paraId="51110AFD" w14:textId="0F077EE3" w:rsidR="00E70BF7" w:rsidRPr="00FD50F6" w:rsidRDefault="00E70BF7" w:rsidP="00634619">
      <w:pPr>
        <w:pStyle w:val="30"/>
      </w:pPr>
      <w:r w:rsidRPr="00FD50F6">
        <w:rPr>
          <w:rFonts w:hint="eastAsia"/>
        </w:rPr>
        <w:t>设备与管理用房空气中粒径小于等于</w:t>
      </w:r>
      <w:r w:rsidRPr="00FD50F6">
        <w:rPr>
          <w:rFonts w:hint="eastAsia"/>
        </w:rPr>
        <w:t xml:space="preserve"> 10</w:t>
      </w:r>
      <w:r w:rsidRPr="00FD50F6">
        <w:rPr>
          <w:rFonts w:hint="eastAsia"/>
        </w:rPr>
        <w:t>μ</w:t>
      </w:r>
      <w:r w:rsidRPr="00FD50F6">
        <w:rPr>
          <w:rFonts w:hint="eastAsia"/>
        </w:rPr>
        <w:t>m</w:t>
      </w:r>
      <w:r w:rsidRPr="00FD50F6">
        <w:rPr>
          <w:rFonts w:hint="eastAsia"/>
        </w:rPr>
        <w:t>颗粒物（</w:t>
      </w:r>
      <w:r w:rsidRPr="00FD50F6">
        <w:rPr>
          <w:rFonts w:hint="eastAsia"/>
        </w:rPr>
        <w:t>PM</w:t>
      </w:r>
      <w:r w:rsidRPr="00FD50F6">
        <w:rPr>
          <w:rFonts w:hint="eastAsia"/>
          <w:vertAlign w:val="subscript"/>
        </w:rPr>
        <w:t>10</w:t>
      </w:r>
      <w:r w:rsidRPr="00FD50F6">
        <w:rPr>
          <w:rFonts w:hint="eastAsia"/>
        </w:rPr>
        <w:t>）的日平均浓度应小于</w:t>
      </w:r>
      <w:r w:rsidRPr="00FD50F6">
        <w:rPr>
          <w:rFonts w:hint="eastAsia"/>
        </w:rPr>
        <w:t>0.15</w:t>
      </w:r>
      <w:r w:rsidRPr="00FD50F6">
        <w:t>mg/m</w:t>
      </w:r>
      <w:r w:rsidRPr="00FD50F6">
        <w:rPr>
          <w:vertAlign w:val="superscript"/>
        </w:rPr>
        <w:t>3</w:t>
      </w:r>
      <w:r w:rsidRPr="00FD50F6">
        <w:rPr>
          <w:rFonts w:hint="eastAsia"/>
        </w:rPr>
        <w:t>。</w:t>
      </w:r>
    </w:p>
    <w:p w14:paraId="38C7ABF9" w14:textId="2D9B812A" w:rsidR="00E70BF7" w:rsidRPr="00FD50F6" w:rsidRDefault="00E70BF7" w:rsidP="00634619">
      <w:pPr>
        <w:pStyle w:val="30"/>
      </w:pPr>
      <w:r w:rsidRPr="00FD50F6">
        <w:t>通风</w:t>
      </w:r>
      <w:r w:rsidRPr="00FD50F6">
        <w:rPr>
          <w:rFonts w:hint="eastAsia"/>
        </w:rPr>
        <w:t>与</w:t>
      </w:r>
      <w:r w:rsidRPr="00FD50F6">
        <w:t>空调设备运转传至各</w:t>
      </w:r>
      <w:r w:rsidRPr="00FD50F6">
        <w:rPr>
          <w:rFonts w:hint="eastAsia"/>
        </w:rPr>
        <w:t>管理用房</w:t>
      </w:r>
      <w:r w:rsidRPr="00FD50F6">
        <w:t>的噪声不</w:t>
      </w:r>
      <w:r w:rsidRPr="00FD50F6">
        <w:rPr>
          <w:rFonts w:hint="eastAsia"/>
        </w:rPr>
        <w:t>应</w:t>
      </w:r>
      <w:r w:rsidRPr="00FD50F6">
        <w:t>超过</w:t>
      </w:r>
      <w:r w:rsidRPr="00FD50F6">
        <w:t>60dB(A)</w:t>
      </w:r>
      <w:r w:rsidRPr="00FD50F6">
        <w:rPr>
          <w:rFonts w:hint="eastAsia"/>
        </w:rPr>
        <w:t>；</w:t>
      </w:r>
      <w:r w:rsidRPr="00FD50F6">
        <w:t>通风与空调机房内的噪声不</w:t>
      </w:r>
      <w:r w:rsidRPr="00FD50F6">
        <w:rPr>
          <w:rFonts w:hint="eastAsia"/>
        </w:rPr>
        <w:t>应</w:t>
      </w:r>
      <w:r w:rsidRPr="00FD50F6">
        <w:t>超过</w:t>
      </w:r>
      <w:r w:rsidRPr="00FD50F6">
        <w:t>90dB(A)</w:t>
      </w:r>
      <w:r w:rsidRPr="00FD50F6">
        <w:t>。</w:t>
      </w:r>
    </w:p>
    <w:p w14:paraId="7DDD24F5" w14:textId="63A4A5FE" w:rsidR="00E70BF7" w:rsidRPr="00FD50F6" w:rsidRDefault="00E70BF7" w:rsidP="00634619">
      <w:pPr>
        <w:pStyle w:val="30"/>
      </w:pPr>
      <w:r w:rsidRPr="00FD50F6">
        <w:t>设备与管理用房室内</w:t>
      </w:r>
      <w:r w:rsidRPr="00FD50F6">
        <w:rPr>
          <w:rFonts w:hint="eastAsia"/>
        </w:rPr>
        <w:t>设计</w:t>
      </w:r>
      <w:r w:rsidRPr="00FD50F6">
        <w:t>温度、相对湿度和换气次数应符合表</w:t>
      </w:r>
      <w:r w:rsidRPr="00FD50F6">
        <w:t>1</w:t>
      </w:r>
      <w:r w:rsidR="00CD74AA" w:rsidRPr="00FD50F6">
        <w:t>4</w:t>
      </w:r>
      <w:r w:rsidRPr="00FD50F6">
        <w:t>.2.</w:t>
      </w:r>
      <w:r w:rsidRPr="00FD50F6">
        <w:rPr>
          <w:rFonts w:hint="eastAsia"/>
        </w:rPr>
        <w:t>35</w:t>
      </w:r>
      <w:r w:rsidRPr="00FD50F6">
        <w:t>的规定。</w:t>
      </w:r>
    </w:p>
    <w:p w14:paraId="27DFB5A1" w14:textId="3E80E7DA" w:rsidR="00E70BF7" w:rsidRPr="00FD50F6" w:rsidRDefault="00E70BF7" w:rsidP="00E777AE">
      <w:pPr>
        <w:pStyle w:val="6"/>
      </w:pPr>
      <w:bookmarkStart w:id="545" w:name="_Toc236493451"/>
      <w:bookmarkStart w:id="546" w:name="_Toc236671834"/>
      <w:bookmarkStart w:id="547" w:name="_Toc306206731"/>
      <w:r w:rsidRPr="00FD50F6">
        <w:rPr>
          <w:rFonts w:hint="eastAsia"/>
        </w:rPr>
        <w:t>表</w:t>
      </w:r>
      <w:r w:rsidRPr="00FD50F6">
        <w:rPr>
          <w:rFonts w:hint="eastAsia"/>
        </w:rPr>
        <w:t>1</w:t>
      </w:r>
      <w:r w:rsidR="00CD74AA" w:rsidRPr="00FD50F6">
        <w:rPr>
          <w:rFonts w:hint="eastAsia"/>
        </w:rPr>
        <w:t>4</w:t>
      </w:r>
      <w:r w:rsidRPr="00FD50F6">
        <w:rPr>
          <w:rFonts w:hint="eastAsia"/>
        </w:rPr>
        <w:t xml:space="preserve">.2.35 </w:t>
      </w:r>
      <w:r w:rsidRPr="00FD50F6">
        <w:rPr>
          <w:rFonts w:hint="eastAsia"/>
        </w:rPr>
        <w:t>设备与管理用房室内设计温度、相对湿度和换气次数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6"/>
        <w:gridCol w:w="1281"/>
        <w:gridCol w:w="1281"/>
        <w:gridCol w:w="1281"/>
        <w:gridCol w:w="1279"/>
      </w:tblGrid>
      <w:tr w:rsidR="00FD50F6" w:rsidRPr="00FD50F6" w14:paraId="47647341" w14:textId="77777777" w:rsidTr="00805449">
        <w:trPr>
          <w:cantSplit/>
          <w:tblHeader/>
          <w:jc w:val="center"/>
        </w:trPr>
        <w:tc>
          <w:tcPr>
            <w:tcW w:w="1997" w:type="pct"/>
            <w:vMerge w:val="restart"/>
            <w:tcMar>
              <w:top w:w="57" w:type="dxa"/>
              <w:bottom w:w="57" w:type="dxa"/>
            </w:tcMar>
            <w:vAlign w:val="center"/>
          </w:tcPr>
          <w:p w14:paraId="4C47A73F" w14:textId="77777777" w:rsidR="00E70BF7" w:rsidRPr="00FD50F6" w:rsidRDefault="00E70BF7" w:rsidP="00E777AE">
            <w:pPr>
              <w:pStyle w:val="7"/>
            </w:pPr>
            <w:r w:rsidRPr="00FD50F6">
              <w:rPr>
                <w:rFonts w:hint="eastAsia"/>
              </w:rPr>
              <w:t>房间名称</w:t>
            </w:r>
          </w:p>
        </w:tc>
        <w:tc>
          <w:tcPr>
            <w:tcW w:w="751" w:type="pct"/>
            <w:tcMar>
              <w:top w:w="57" w:type="dxa"/>
              <w:bottom w:w="57" w:type="dxa"/>
            </w:tcMar>
            <w:vAlign w:val="center"/>
          </w:tcPr>
          <w:p w14:paraId="73E7F9D8" w14:textId="77777777" w:rsidR="00E70BF7" w:rsidRPr="00FD50F6" w:rsidRDefault="00E70BF7" w:rsidP="00E777AE">
            <w:pPr>
              <w:pStyle w:val="7"/>
            </w:pPr>
            <w:r w:rsidRPr="00FD50F6">
              <w:rPr>
                <w:rFonts w:hint="eastAsia"/>
              </w:rPr>
              <w:t>冬季</w:t>
            </w:r>
          </w:p>
        </w:tc>
        <w:tc>
          <w:tcPr>
            <w:tcW w:w="1502" w:type="pct"/>
            <w:gridSpan w:val="2"/>
            <w:tcMar>
              <w:top w:w="57" w:type="dxa"/>
              <w:bottom w:w="57" w:type="dxa"/>
            </w:tcMar>
            <w:vAlign w:val="center"/>
          </w:tcPr>
          <w:p w14:paraId="2568CB22" w14:textId="77777777" w:rsidR="00E70BF7" w:rsidRPr="00FD50F6" w:rsidRDefault="00E70BF7" w:rsidP="00E777AE">
            <w:pPr>
              <w:pStyle w:val="7"/>
            </w:pPr>
            <w:r w:rsidRPr="00FD50F6">
              <w:rPr>
                <w:rFonts w:hint="eastAsia"/>
              </w:rPr>
              <w:t>夏季</w:t>
            </w:r>
          </w:p>
        </w:tc>
        <w:tc>
          <w:tcPr>
            <w:tcW w:w="751" w:type="pct"/>
            <w:tcMar>
              <w:top w:w="57" w:type="dxa"/>
              <w:bottom w:w="57" w:type="dxa"/>
            </w:tcMar>
            <w:vAlign w:val="center"/>
          </w:tcPr>
          <w:p w14:paraId="40458DF9" w14:textId="77777777" w:rsidR="00E70BF7" w:rsidRPr="00FD50F6" w:rsidRDefault="00E70BF7" w:rsidP="00E777AE">
            <w:pPr>
              <w:pStyle w:val="7"/>
            </w:pPr>
            <w:r w:rsidRPr="00FD50F6">
              <w:rPr>
                <w:rFonts w:hint="eastAsia"/>
              </w:rPr>
              <w:t>换气次数</w:t>
            </w:r>
          </w:p>
        </w:tc>
      </w:tr>
      <w:tr w:rsidR="00FD50F6" w:rsidRPr="00FD50F6" w14:paraId="39A08083" w14:textId="77777777" w:rsidTr="00805449">
        <w:trPr>
          <w:cantSplit/>
          <w:trHeight w:val="325"/>
          <w:tblHeader/>
          <w:jc w:val="center"/>
        </w:trPr>
        <w:tc>
          <w:tcPr>
            <w:tcW w:w="1997" w:type="pct"/>
            <w:vMerge/>
            <w:tcMar>
              <w:top w:w="57" w:type="dxa"/>
              <w:bottom w:w="57" w:type="dxa"/>
            </w:tcMar>
            <w:vAlign w:val="center"/>
          </w:tcPr>
          <w:p w14:paraId="73A670BB" w14:textId="77777777" w:rsidR="00E70BF7" w:rsidRPr="00FD50F6" w:rsidRDefault="00E70BF7" w:rsidP="00E777AE">
            <w:pPr>
              <w:pStyle w:val="7"/>
            </w:pPr>
          </w:p>
        </w:tc>
        <w:tc>
          <w:tcPr>
            <w:tcW w:w="751" w:type="pct"/>
            <w:tcMar>
              <w:top w:w="57" w:type="dxa"/>
              <w:bottom w:w="57" w:type="dxa"/>
            </w:tcMar>
            <w:vAlign w:val="center"/>
          </w:tcPr>
          <w:p w14:paraId="533FBA42" w14:textId="77777777" w:rsidR="00E70BF7" w:rsidRPr="00FD50F6" w:rsidRDefault="00E70BF7" w:rsidP="00E777AE">
            <w:pPr>
              <w:pStyle w:val="7"/>
            </w:pPr>
            <w:r w:rsidRPr="00FD50F6">
              <w:rPr>
                <w:rFonts w:hint="eastAsia"/>
              </w:rPr>
              <w:t>设计温度</w:t>
            </w:r>
          </w:p>
          <w:p w14:paraId="4ED9476C"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0095E516" w14:textId="77777777" w:rsidR="00E70BF7" w:rsidRPr="00FD50F6" w:rsidRDefault="00E70BF7" w:rsidP="00E777AE">
            <w:pPr>
              <w:pStyle w:val="7"/>
            </w:pPr>
            <w:r w:rsidRPr="00FD50F6">
              <w:rPr>
                <w:rFonts w:hint="eastAsia"/>
              </w:rPr>
              <w:t>设计温度</w:t>
            </w:r>
          </w:p>
          <w:p w14:paraId="11823138"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4AA6FBF9" w14:textId="77777777" w:rsidR="00E70BF7" w:rsidRPr="00FD50F6" w:rsidRDefault="00E70BF7" w:rsidP="00E777AE">
            <w:pPr>
              <w:pStyle w:val="7"/>
            </w:pPr>
            <w:r w:rsidRPr="00FD50F6">
              <w:rPr>
                <w:rFonts w:hint="eastAsia"/>
              </w:rPr>
              <w:t>相对湿度</w:t>
            </w:r>
          </w:p>
          <w:p w14:paraId="031D6181" w14:textId="77777777" w:rsidR="00E70BF7" w:rsidRPr="00FD50F6" w:rsidRDefault="00E70BF7" w:rsidP="00E777AE">
            <w:pPr>
              <w:pStyle w:val="7"/>
            </w:pPr>
            <w:r w:rsidRPr="00FD50F6">
              <w:rPr>
                <w:rFonts w:hint="eastAsia"/>
              </w:rPr>
              <w:t>（</w:t>
            </w:r>
            <w:r w:rsidRPr="00FD50F6">
              <w:rPr>
                <w:rFonts w:hint="eastAsia"/>
              </w:rPr>
              <w:t>%</w:t>
            </w:r>
            <w:r w:rsidRPr="00FD50F6">
              <w:rPr>
                <w:rFonts w:hint="eastAsia"/>
              </w:rPr>
              <w:t>）</w:t>
            </w:r>
          </w:p>
        </w:tc>
        <w:tc>
          <w:tcPr>
            <w:tcW w:w="751" w:type="pct"/>
            <w:tcMar>
              <w:top w:w="57" w:type="dxa"/>
              <w:bottom w:w="57" w:type="dxa"/>
            </w:tcMar>
            <w:vAlign w:val="center"/>
          </w:tcPr>
          <w:p w14:paraId="19324C29" w14:textId="77777777" w:rsidR="00E70BF7" w:rsidRPr="00FD50F6" w:rsidRDefault="00E70BF7" w:rsidP="00E777AE">
            <w:pPr>
              <w:pStyle w:val="7"/>
            </w:pPr>
            <w:r w:rsidRPr="00FD50F6">
              <w:rPr>
                <w:rFonts w:hint="eastAsia"/>
              </w:rPr>
              <w:t>（次</w:t>
            </w:r>
            <w:r w:rsidRPr="00FD50F6">
              <w:rPr>
                <w:rFonts w:hint="eastAsia"/>
              </w:rPr>
              <w:t>/h</w:t>
            </w:r>
            <w:r w:rsidRPr="00FD50F6">
              <w:rPr>
                <w:rFonts w:hint="eastAsia"/>
              </w:rPr>
              <w:t>）</w:t>
            </w:r>
          </w:p>
        </w:tc>
      </w:tr>
      <w:tr w:rsidR="00FD50F6" w:rsidRPr="00FD50F6" w14:paraId="0A2A6AD3" w14:textId="77777777" w:rsidTr="00805449">
        <w:trPr>
          <w:cantSplit/>
          <w:trHeight w:val="227"/>
          <w:jc w:val="center"/>
        </w:trPr>
        <w:tc>
          <w:tcPr>
            <w:tcW w:w="1997" w:type="pct"/>
            <w:tcMar>
              <w:top w:w="57" w:type="dxa"/>
              <w:bottom w:w="57" w:type="dxa"/>
            </w:tcMar>
          </w:tcPr>
          <w:p w14:paraId="5D6EF43C" w14:textId="77777777" w:rsidR="00E70BF7" w:rsidRPr="00FD50F6" w:rsidRDefault="00E70BF7" w:rsidP="00E777AE">
            <w:pPr>
              <w:pStyle w:val="7"/>
            </w:pPr>
            <w:r w:rsidRPr="00FD50F6">
              <w:rPr>
                <w:rFonts w:hint="eastAsia"/>
              </w:rPr>
              <w:t>站长室、站务室、值班室、休息室、更衣室、修理间、清扫员室、公共安全室、会议交接班室</w:t>
            </w:r>
          </w:p>
        </w:tc>
        <w:tc>
          <w:tcPr>
            <w:tcW w:w="751" w:type="pct"/>
            <w:tcMar>
              <w:top w:w="57" w:type="dxa"/>
              <w:bottom w:w="57" w:type="dxa"/>
            </w:tcMar>
            <w:vAlign w:val="center"/>
          </w:tcPr>
          <w:p w14:paraId="049C890D" w14:textId="77777777" w:rsidR="00E70BF7" w:rsidRPr="00FD50F6" w:rsidRDefault="00E70BF7" w:rsidP="00E777AE">
            <w:pPr>
              <w:pStyle w:val="7"/>
            </w:pPr>
            <w:r w:rsidRPr="00FD50F6">
              <w:rPr>
                <w:rFonts w:hint="eastAsia"/>
              </w:rPr>
              <w:t>18</w:t>
            </w:r>
          </w:p>
        </w:tc>
        <w:tc>
          <w:tcPr>
            <w:tcW w:w="751" w:type="pct"/>
            <w:tcMar>
              <w:top w:w="57" w:type="dxa"/>
              <w:bottom w:w="57" w:type="dxa"/>
            </w:tcMar>
            <w:vAlign w:val="center"/>
          </w:tcPr>
          <w:p w14:paraId="044276BE" w14:textId="77777777" w:rsidR="00E70BF7" w:rsidRPr="00FD50F6" w:rsidRDefault="00E70BF7" w:rsidP="00E777AE">
            <w:pPr>
              <w:pStyle w:val="7"/>
            </w:pPr>
            <w:r w:rsidRPr="00FD50F6">
              <w:rPr>
                <w:rFonts w:hint="eastAsia"/>
              </w:rPr>
              <w:t>26</w:t>
            </w:r>
          </w:p>
        </w:tc>
        <w:tc>
          <w:tcPr>
            <w:tcW w:w="751" w:type="pct"/>
            <w:tcMar>
              <w:top w:w="57" w:type="dxa"/>
              <w:bottom w:w="57" w:type="dxa"/>
            </w:tcMar>
            <w:vAlign w:val="center"/>
          </w:tcPr>
          <w:p w14:paraId="04D20149" w14:textId="77777777" w:rsidR="00E70BF7" w:rsidRPr="00FD50F6" w:rsidRDefault="00E70BF7" w:rsidP="00E777AE">
            <w:pPr>
              <w:pStyle w:val="7"/>
            </w:pPr>
            <w:r w:rsidRPr="00FD50F6">
              <w:rPr>
                <w:rFonts w:hint="eastAsia"/>
              </w:rPr>
              <w:t>﹤</w:t>
            </w:r>
            <w:r w:rsidRPr="00FD50F6">
              <w:rPr>
                <w:rFonts w:hint="eastAsia"/>
              </w:rPr>
              <w:t>65</w:t>
            </w:r>
          </w:p>
        </w:tc>
        <w:tc>
          <w:tcPr>
            <w:tcW w:w="751" w:type="pct"/>
            <w:tcMar>
              <w:top w:w="57" w:type="dxa"/>
              <w:bottom w:w="57" w:type="dxa"/>
            </w:tcMar>
            <w:vAlign w:val="center"/>
          </w:tcPr>
          <w:p w14:paraId="07881215" w14:textId="77777777" w:rsidR="00E70BF7" w:rsidRPr="00FD50F6" w:rsidRDefault="00E70BF7" w:rsidP="00E777AE">
            <w:pPr>
              <w:pStyle w:val="7"/>
            </w:pPr>
            <w:r w:rsidRPr="00FD50F6">
              <w:rPr>
                <w:rFonts w:hint="eastAsia"/>
              </w:rPr>
              <w:t>6</w:t>
            </w:r>
          </w:p>
        </w:tc>
      </w:tr>
      <w:tr w:rsidR="00FD50F6" w:rsidRPr="00FD50F6" w14:paraId="0F263F8E" w14:textId="77777777" w:rsidTr="00805449">
        <w:trPr>
          <w:cantSplit/>
          <w:trHeight w:val="227"/>
          <w:jc w:val="center"/>
        </w:trPr>
        <w:tc>
          <w:tcPr>
            <w:tcW w:w="1997" w:type="pct"/>
            <w:tcMar>
              <w:top w:w="57" w:type="dxa"/>
              <w:bottom w:w="57" w:type="dxa"/>
            </w:tcMar>
          </w:tcPr>
          <w:p w14:paraId="1850E72A" w14:textId="2246ABF5" w:rsidR="00E70BF7" w:rsidRPr="00FD50F6" w:rsidRDefault="00AC1333" w:rsidP="00E777AE">
            <w:pPr>
              <w:pStyle w:val="7"/>
            </w:pPr>
            <w:r>
              <w:rPr>
                <w:rFonts w:hint="eastAsia"/>
              </w:rPr>
              <w:t>车站控制室</w:t>
            </w:r>
            <w:r w:rsidR="00E70BF7" w:rsidRPr="00FD50F6">
              <w:rPr>
                <w:rFonts w:hint="eastAsia"/>
              </w:rPr>
              <w:t>、广播室、变电所控制室、人防控制室、售票室、票务室</w:t>
            </w:r>
          </w:p>
        </w:tc>
        <w:tc>
          <w:tcPr>
            <w:tcW w:w="751" w:type="pct"/>
            <w:tcMar>
              <w:top w:w="57" w:type="dxa"/>
              <w:bottom w:w="57" w:type="dxa"/>
            </w:tcMar>
            <w:vAlign w:val="center"/>
          </w:tcPr>
          <w:p w14:paraId="72C0E6CF" w14:textId="77777777" w:rsidR="00E70BF7" w:rsidRPr="00FD50F6" w:rsidRDefault="00E70BF7" w:rsidP="00E777AE">
            <w:pPr>
              <w:pStyle w:val="7"/>
            </w:pPr>
            <w:r w:rsidRPr="00FD50F6">
              <w:rPr>
                <w:rFonts w:hint="eastAsia"/>
              </w:rPr>
              <w:t>18</w:t>
            </w:r>
          </w:p>
        </w:tc>
        <w:tc>
          <w:tcPr>
            <w:tcW w:w="751" w:type="pct"/>
            <w:tcMar>
              <w:top w:w="57" w:type="dxa"/>
              <w:bottom w:w="57" w:type="dxa"/>
            </w:tcMar>
            <w:vAlign w:val="center"/>
          </w:tcPr>
          <w:p w14:paraId="6D638803" w14:textId="77777777" w:rsidR="00E70BF7" w:rsidRPr="00FD50F6" w:rsidRDefault="00E70BF7" w:rsidP="00E777AE">
            <w:pPr>
              <w:pStyle w:val="7"/>
            </w:pPr>
            <w:r w:rsidRPr="00FD50F6">
              <w:rPr>
                <w:rFonts w:hint="eastAsia"/>
              </w:rPr>
              <w:t>26</w:t>
            </w:r>
          </w:p>
        </w:tc>
        <w:tc>
          <w:tcPr>
            <w:tcW w:w="751" w:type="pct"/>
            <w:tcMar>
              <w:top w:w="57" w:type="dxa"/>
              <w:bottom w:w="57" w:type="dxa"/>
            </w:tcMar>
            <w:vAlign w:val="center"/>
          </w:tcPr>
          <w:p w14:paraId="1E65BBD3" w14:textId="77777777" w:rsidR="00E70BF7" w:rsidRPr="00FD50F6" w:rsidRDefault="00E70BF7" w:rsidP="00E777AE">
            <w:pPr>
              <w:pStyle w:val="7"/>
            </w:pPr>
            <w:r w:rsidRPr="00FD50F6">
              <w:rPr>
                <w:rFonts w:hint="eastAsia"/>
              </w:rPr>
              <w:t>40</w:t>
            </w:r>
            <w:r w:rsidRPr="00FD50F6">
              <w:rPr>
                <w:rFonts w:hint="eastAsia"/>
              </w:rPr>
              <w:t>～</w:t>
            </w:r>
            <w:r w:rsidRPr="00FD50F6">
              <w:rPr>
                <w:rFonts w:hint="eastAsia"/>
              </w:rPr>
              <w:t>60</w:t>
            </w:r>
          </w:p>
        </w:tc>
        <w:tc>
          <w:tcPr>
            <w:tcW w:w="751" w:type="pct"/>
            <w:tcMar>
              <w:top w:w="57" w:type="dxa"/>
              <w:bottom w:w="57" w:type="dxa"/>
            </w:tcMar>
            <w:vAlign w:val="center"/>
          </w:tcPr>
          <w:p w14:paraId="3FE3544F" w14:textId="77777777" w:rsidR="00E70BF7" w:rsidRPr="00FD50F6" w:rsidRDefault="00E70BF7" w:rsidP="00E777AE">
            <w:pPr>
              <w:pStyle w:val="7"/>
            </w:pPr>
            <w:r w:rsidRPr="00FD50F6">
              <w:rPr>
                <w:rFonts w:hint="eastAsia"/>
              </w:rPr>
              <w:t>6</w:t>
            </w:r>
          </w:p>
        </w:tc>
      </w:tr>
      <w:tr w:rsidR="00FD50F6" w:rsidRPr="00FD50F6" w14:paraId="21DAA081" w14:textId="77777777" w:rsidTr="00805449">
        <w:trPr>
          <w:cantSplit/>
          <w:trHeight w:val="227"/>
          <w:jc w:val="center"/>
        </w:trPr>
        <w:tc>
          <w:tcPr>
            <w:tcW w:w="1997" w:type="pct"/>
            <w:tcMar>
              <w:top w:w="57" w:type="dxa"/>
              <w:bottom w:w="57" w:type="dxa"/>
            </w:tcMar>
          </w:tcPr>
          <w:p w14:paraId="4960F0CB" w14:textId="77777777" w:rsidR="00E70BF7" w:rsidRPr="00FD50F6" w:rsidRDefault="00E70BF7" w:rsidP="00E777AE">
            <w:pPr>
              <w:pStyle w:val="7"/>
            </w:pPr>
            <w:r w:rsidRPr="00FD50F6">
              <w:rPr>
                <w:rFonts w:hint="eastAsia"/>
              </w:rPr>
              <w:t>通信设备室、通信电源室、信号设备室、信号电源室</w:t>
            </w:r>
            <w:r w:rsidRPr="00FD50F6">
              <w:rPr>
                <w:rFonts w:hint="eastAsia"/>
              </w:rPr>
              <w:t xml:space="preserve"> </w:t>
            </w:r>
            <w:r w:rsidRPr="00FD50F6">
              <w:rPr>
                <w:rFonts w:hint="eastAsia"/>
              </w:rPr>
              <w:t>、公安通信设备室、民用通信设备室、屏蔽门设备室、综合监控设备室、车票分类</w:t>
            </w:r>
            <w:r w:rsidRPr="00FD50F6">
              <w:rPr>
                <w:rFonts w:hint="eastAsia"/>
              </w:rPr>
              <w:t>/</w:t>
            </w:r>
            <w:r w:rsidRPr="00FD50F6">
              <w:rPr>
                <w:rFonts w:hint="eastAsia"/>
              </w:rPr>
              <w:t>编码室、自动售检票设备室、配电室（内设蓄电池）、通风空调（环控）电控室</w:t>
            </w:r>
          </w:p>
        </w:tc>
        <w:tc>
          <w:tcPr>
            <w:tcW w:w="751" w:type="pct"/>
            <w:tcMar>
              <w:top w:w="57" w:type="dxa"/>
              <w:bottom w:w="57" w:type="dxa"/>
            </w:tcMar>
            <w:vAlign w:val="center"/>
          </w:tcPr>
          <w:p w14:paraId="27027D28" w14:textId="77777777" w:rsidR="00E70BF7" w:rsidRPr="00FD50F6" w:rsidRDefault="00E70BF7" w:rsidP="00E777AE">
            <w:pPr>
              <w:pStyle w:val="7"/>
            </w:pPr>
            <w:r w:rsidRPr="00FD50F6">
              <w:rPr>
                <w:rFonts w:hint="eastAsia"/>
              </w:rPr>
              <w:t>16</w:t>
            </w:r>
          </w:p>
        </w:tc>
        <w:tc>
          <w:tcPr>
            <w:tcW w:w="751" w:type="pct"/>
            <w:tcMar>
              <w:top w:w="57" w:type="dxa"/>
              <w:bottom w:w="57" w:type="dxa"/>
            </w:tcMar>
            <w:vAlign w:val="center"/>
          </w:tcPr>
          <w:p w14:paraId="2588201B" w14:textId="77777777" w:rsidR="00E70BF7" w:rsidRPr="00FD50F6" w:rsidRDefault="00E70BF7" w:rsidP="00E777AE">
            <w:pPr>
              <w:pStyle w:val="7"/>
            </w:pPr>
            <w:r w:rsidRPr="00FD50F6">
              <w:rPr>
                <w:rFonts w:hint="eastAsia"/>
              </w:rPr>
              <w:t>27</w:t>
            </w:r>
          </w:p>
        </w:tc>
        <w:tc>
          <w:tcPr>
            <w:tcW w:w="751" w:type="pct"/>
            <w:tcMar>
              <w:top w:w="57" w:type="dxa"/>
              <w:bottom w:w="57" w:type="dxa"/>
            </w:tcMar>
            <w:vAlign w:val="center"/>
          </w:tcPr>
          <w:p w14:paraId="7244649A" w14:textId="77777777" w:rsidR="00E70BF7" w:rsidRPr="00FD50F6" w:rsidRDefault="00E70BF7" w:rsidP="00E777AE">
            <w:pPr>
              <w:pStyle w:val="7"/>
            </w:pPr>
            <w:r w:rsidRPr="00FD50F6">
              <w:rPr>
                <w:rFonts w:hint="eastAsia"/>
              </w:rPr>
              <w:t>40</w:t>
            </w:r>
            <w:r w:rsidRPr="00FD50F6">
              <w:rPr>
                <w:rFonts w:hint="eastAsia"/>
              </w:rPr>
              <w:t>～</w:t>
            </w:r>
            <w:r w:rsidRPr="00FD50F6">
              <w:rPr>
                <w:rFonts w:hint="eastAsia"/>
              </w:rPr>
              <w:t>60</w:t>
            </w:r>
          </w:p>
        </w:tc>
        <w:tc>
          <w:tcPr>
            <w:tcW w:w="751" w:type="pct"/>
            <w:tcMar>
              <w:top w:w="57" w:type="dxa"/>
              <w:bottom w:w="57" w:type="dxa"/>
            </w:tcMar>
            <w:vAlign w:val="center"/>
          </w:tcPr>
          <w:p w14:paraId="44D45C02" w14:textId="77777777" w:rsidR="00E70BF7" w:rsidRPr="00FD50F6" w:rsidRDefault="00E70BF7" w:rsidP="00E777AE">
            <w:pPr>
              <w:pStyle w:val="7"/>
            </w:pPr>
            <w:r w:rsidRPr="00FD50F6">
              <w:rPr>
                <w:rFonts w:hint="eastAsia"/>
              </w:rPr>
              <w:t>6</w:t>
            </w:r>
          </w:p>
        </w:tc>
      </w:tr>
      <w:tr w:rsidR="00FD50F6" w:rsidRPr="00FD50F6" w14:paraId="2FA9C523" w14:textId="77777777" w:rsidTr="00805449">
        <w:trPr>
          <w:cantSplit/>
          <w:trHeight w:val="227"/>
          <w:jc w:val="center"/>
        </w:trPr>
        <w:tc>
          <w:tcPr>
            <w:tcW w:w="1997" w:type="pct"/>
            <w:tcMar>
              <w:top w:w="57" w:type="dxa"/>
              <w:bottom w:w="57" w:type="dxa"/>
            </w:tcMar>
          </w:tcPr>
          <w:p w14:paraId="5B4C3E4B" w14:textId="77777777" w:rsidR="00E70BF7" w:rsidRPr="00FD50F6" w:rsidRDefault="00E70BF7" w:rsidP="00E777AE">
            <w:pPr>
              <w:pStyle w:val="7"/>
            </w:pPr>
            <w:r w:rsidRPr="00FD50F6">
              <w:rPr>
                <w:rFonts w:hint="eastAsia"/>
              </w:rPr>
              <w:t>蓄电池室、</w:t>
            </w:r>
            <w:r w:rsidRPr="00FD50F6">
              <w:rPr>
                <w:rFonts w:hint="eastAsia"/>
              </w:rPr>
              <w:t>UPS</w:t>
            </w:r>
            <w:r w:rsidRPr="00FD50F6">
              <w:rPr>
                <w:rFonts w:hint="eastAsia"/>
              </w:rPr>
              <w:t>设备室</w:t>
            </w:r>
          </w:p>
        </w:tc>
        <w:tc>
          <w:tcPr>
            <w:tcW w:w="751" w:type="pct"/>
            <w:tcMar>
              <w:top w:w="57" w:type="dxa"/>
              <w:bottom w:w="57" w:type="dxa"/>
            </w:tcMar>
          </w:tcPr>
          <w:p w14:paraId="16FE9D63" w14:textId="77777777" w:rsidR="00E70BF7" w:rsidRPr="00FD50F6" w:rsidRDefault="00E70BF7" w:rsidP="00E777AE">
            <w:pPr>
              <w:pStyle w:val="7"/>
            </w:pPr>
            <w:r w:rsidRPr="00FD50F6">
              <w:rPr>
                <w:rFonts w:hint="eastAsia"/>
              </w:rPr>
              <w:t>16</w:t>
            </w:r>
          </w:p>
        </w:tc>
        <w:tc>
          <w:tcPr>
            <w:tcW w:w="751" w:type="pct"/>
            <w:tcMar>
              <w:top w:w="57" w:type="dxa"/>
              <w:bottom w:w="57" w:type="dxa"/>
            </w:tcMar>
          </w:tcPr>
          <w:p w14:paraId="40E8A626" w14:textId="77777777" w:rsidR="00E70BF7" w:rsidRPr="00FD50F6" w:rsidRDefault="00E70BF7" w:rsidP="00E777AE">
            <w:pPr>
              <w:pStyle w:val="7"/>
            </w:pPr>
            <w:r w:rsidRPr="00FD50F6">
              <w:rPr>
                <w:rFonts w:hint="eastAsia"/>
              </w:rPr>
              <w:t>27</w:t>
            </w:r>
          </w:p>
        </w:tc>
        <w:tc>
          <w:tcPr>
            <w:tcW w:w="751" w:type="pct"/>
            <w:tcMar>
              <w:top w:w="57" w:type="dxa"/>
              <w:bottom w:w="57" w:type="dxa"/>
            </w:tcMar>
          </w:tcPr>
          <w:p w14:paraId="383AC8B6"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4232BDD7" w14:textId="77777777" w:rsidR="00E70BF7" w:rsidRPr="00FD50F6" w:rsidRDefault="00E70BF7" w:rsidP="00E777AE">
            <w:pPr>
              <w:pStyle w:val="7"/>
            </w:pPr>
            <w:r w:rsidRPr="00FD50F6">
              <w:rPr>
                <w:rFonts w:hint="eastAsia"/>
              </w:rPr>
              <w:t>12</w:t>
            </w:r>
          </w:p>
        </w:tc>
      </w:tr>
      <w:tr w:rsidR="00FD50F6" w:rsidRPr="00FD50F6" w14:paraId="160AFEE3" w14:textId="77777777" w:rsidTr="00805449">
        <w:trPr>
          <w:cantSplit/>
          <w:trHeight w:val="227"/>
          <w:jc w:val="center"/>
        </w:trPr>
        <w:tc>
          <w:tcPr>
            <w:tcW w:w="1997" w:type="pct"/>
            <w:tcMar>
              <w:top w:w="57" w:type="dxa"/>
              <w:bottom w:w="57" w:type="dxa"/>
            </w:tcMar>
          </w:tcPr>
          <w:p w14:paraId="1EFC9600" w14:textId="77777777" w:rsidR="00E70BF7" w:rsidRPr="00FD50F6" w:rsidRDefault="00E70BF7" w:rsidP="00E777AE">
            <w:pPr>
              <w:pStyle w:val="7"/>
            </w:pPr>
            <w:r w:rsidRPr="00FD50F6">
              <w:rPr>
                <w:rFonts w:hint="eastAsia"/>
              </w:rPr>
              <w:t>机械室、配电室（内无蓄电池）</w:t>
            </w:r>
          </w:p>
        </w:tc>
        <w:tc>
          <w:tcPr>
            <w:tcW w:w="751" w:type="pct"/>
            <w:tcMar>
              <w:top w:w="57" w:type="dxa"/>
              <w:bottom w:w="57" w:type="dxa"/>
            </w:tcMar>
          </w:tcPr>
          <w:p w14:paraId="5B134003" w14:textId="77777777" w:rsidR="00E70BF7" w:rsidRPr="00FD50F6" w:rsidRDefault="00E70BF7" w:rsidP="00E777AE">
            <w:pPr>
              <w:pStyle w:val="7"/>
            </w:pPr>
            <w:r w:rsidRPr="00FD50F6">
              <w:rPr>
                <w:rFonts w:hint="eastAsia"/>
              </w:rPr>
              <w:t>16</w:t>
            </w:r>
          </w:p>
        </w:tc>
        <w:tc>
          <w:tcPr>
            <w:tcW w:w="751" w:type="pct"/>
            <w:tcMar>
              <w:top w:w="57" w:type="dxa"/>
              <w:bottom w:w="57" w:type="dxa"/>
            </w:tcMar>
          </w:tcPr>
          <w:p w14:paraId="0C8B8DE8" w14:textId="77777777" w:rsidR="00E70BF7" w:rsidRPr="00FD50F6" w:rsidRDefault="00E70BF7" w:rsidP="00E777AE">
            <w:pPr>
              <w:pStyle w:val="7"/>
            </w:pPr>
            <w:r w:rsidRPr="00FD50F6">
              <w:rPr>
                <w:rFonts w:hint="eastAsia"/>
              </w:rPr>
              <w:t>36</w:t>
            </w:r>
          </w:p>
        </w:tc>
        <w:tc>
          <w:tcPr>
            <w:tcW w:w="751" w:type="pct"/>
            <w:tcMar>
              <w:top w:w="57" w:type="dxa"/>
              <w:bottom w:w="57" w:type="dxa"/>
            </w:tcMar>
          </w:tcPr>
          <w:p w14:paraId="60CFB673"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1B974A52" w14:textId="77777777" w:rsidR="00E70BF7" w:rsidRPr="00FD50F6" w:rsidRDefault="00E70BF7" w:rsidP="00E777AE">
            <w:pPr>
              <w:pStyle w:val="7"/>
            </w:pPr>
            <w:r w:rsidRPr="00FD50F6">
              <w:rPr>
                <w:rFonts w:hint="eastAsia"/>
              </w:rPr>
              <w:t>6</w:t>
            </w:r>
          </w:p>
        </w:tc>
      </w:tr>
      <w:tr w:rsidR="00FD50F6" w:rsidRPr="00FD50F6" w14:paraId="45918789" w14:textId="77777777" w:rsidTr="00805449">
        <w:trPr>
          <w:cantSplit/>
          <w:trHeight w:val="478"/>
          <w:jc w:val="center"/>
        </w:trPr>
        <w:tc>
          <w:tcPr>
            <w:tcW w:w="1997" w:type="pct"/>
            <w:tcMar>
              <w:top w:w="57" w:type="dxa"/>
              <w:bottom w:w="57" w:type="dxa"/>
            </w:tcMar>
            <w:vAlign w:val="center"/>
          </w:tcPr>
          <w:p w14:paraId="3EE10ECD" w14:textId="77777777" w:rsidR="00E70BF7" w:rsidRPr="00FD50F6" w:rsidRDefault="00E70BF7" w:rsidP="00E777AE">
            <w:pPr>
              <w:pStyle w:val="7"/>
            </w:pPr>
            <w:r w:rsidRPr="00FD50F6">
              <w:rPr>
                <w:rFonts w:hint="eastAsia"/>
              </w:rPr>
              <w:t>降压变电所、牵引降压混合变电所</w:t>
            </w:r>
          </w:p>
        </w:tc>
        <w:tc>
          <w:tcPr>
            <w:tcW w:w="751" w:type="pct"/>
            <w:tcMar>
              <w:top w:w="57" w:type="dxa"/>
              <w:bottom w:w="57" w:type="dxa"/>
            </w:tcMar>
            <w:vAlign w:val="center"/>
          </w:tcPr>
          <w:p w14:paraId="5B019B1F"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67A8ED7E" w14:textId="77777777" w:rsidR="00E70BF7" w:rsidRPr="00FD50F6" w:rsidRDefault="00E70BF7" w:rsidP="00E777AE">
            <w:pPr>
              <w:pStyle w:val="7"/>
            </w:pPr>
            <w:r w:rsidRPr="00FD50F6">
              <w:rPr>
                <w:rFonts w:hint="eastAsia"/>
              </w:rPr>
              <w:t>36</w:t>
            </w:r>
          </w:p>
        </w:tc>
        <w:tc>
          <w:tcPr>
            <w:tcW w:w="751" w:type="pct"/>
            <w:tcMar>
              <w:top w:w="57" w:type="dxa"/>
              <w:bottom w:w="57" w:type="dxa"/>
            </w:tcMar>
            <w:vAlign w:val="center"/>
          </w:tcPr>
          <w:p w14:paraId="56ABF6EE"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3AD2D711" w14:textId="724B6338" w:rsidR="00E70BF7" w:rsidRPr="00FD50F6" w:rsidRDefault="00E70BF7" w:rsidP="00A8470C">
            <w:pPr>
              <w:pStyle w:val="7"/>
            </w:pPr>
            <w:r w:rsidRPr="00FD50F6">
              <w:rPr>
                <w:rFonts w:hint="eastAsia"/>
              </w:rPr>
              <w:t>按排除余热计算风量</w:t>
            </w:r>
          </w:p>
        </w:tc>
      </w:tr>
      <w:tr w:rsidR="00FD50F6" w:rsidRPr="00FD50F6" w14:paraId="3AFD2F13" w14:textId="77777777" w:rsidTr="00805449">
        <w:trPr>
          <w:cantSplit/>
          <w:trHeight w:val="227"/>
          <w:jc w:val="center"/>
        </w:trPr>
        <w:tc>
          <w:tcPr>
            <w:tcW w:w="1997" w:type="pct"/>
            <w:tcMar>
              <w:top w:w="57" w:type="dxa"/>
              <w:bottom w:w="57" w:type="dxa"/>
            </w:tcMar>
          </w:tcPr>
          <w:p w14:paraId="7B095CDF" w14:textId="77777777" w:rsidR="00E70BF7" w:rsidRPr="00FD50F6" w:rsidRDefault="00E70BF7" w:rsidP="00E777AE">
            <w:pPr>
              <w:pStyle w:val="7"/>
            </w:pPr>
            <w:r w:rsidRPr="00FD50F6">
              <w:rPr>
                <w:rFonts w:hint="eastAsia"/>
              </w:rPr>
              <w:t>厕所</w:t>
            </w:r>
          </w:p>
        </w:tc>
        <w:tc>
          <w:tcPr>
            <w:tcW w:w="751" w:type="pct"/>
            <w:tcMar>
              <w:top w:w="57" w:type="dxa"/>
              <w:bottom w:w="57" w:type="dxa"/>
            </w:tcMar>
          </w:tcPr>
          <w:p w14:paraId="313CC981" w14:textId="77777777" w:rsidR="00E70BF7" w:rsidRPr="00FD50F6" w:rsidRDefault="00E70BF7" w:rsidP="00E777AE">
            <w:pPr>
              <w:pStyle w:val="7"/>
            </w:pPr>
            <w:r w:rsidRPr="00FD50F6">
              <w:rPr>
                <w:rFonts w:hint="eastAsia"/>
              </w:rPr>
              <w:t>12</w:t>
            </w:r>
          </w:p>
        </w:tc>
        <w:tc>
          <w:tcPr>
            <w:tcW w:w="751" w:type="pct"/>
            <w:tcMar>
              <w:top w:w="57" w:type="dxa"/>
              <w:bottom w:w="57" w:type="dxa"/>
            </w:tcMar>
          </w:tcPr>
          <w:p w14:paraId="040B2253" w14:textId="77777777" w:rsidR="00E70BF7" w:rsidRPr="00FD50F6" w:rsidRDefault="00E70BF7" w:rsidP="00E777AE">
            <w:pPr>
              <w:pStyle w:val="7"/>
            </w:pPr>
            <w:r w:rsidRPr="00FD50F6">
              <w:rPr>
                <w:rFonts w:hint="eastAsia"/>
              </w:rPr>
              <w:t>27</w:t>
            </w:r>
          </w:p>
        </w:tc>
        <w:tc>
          <w:tcPr>
            <w:tcW w:w="751" w:type="pct"/>
            <w:tcMar>
              <w:top w:w="57" w:type="dxa"/>
              <w:bottom w:w="57" w:type="dxa"/>
            </w:tcMar>
          </w:tcPr>
          <w:p w14:paraId="3A307011"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6F481291" w14:textId="77777777" w:rsidR="00E70BF7" w:rsidRPr="00FD50F6" w:rsidRDefault="00E70BF7" w:rsidP="00E777AE">
            <w:pPr>
              <w:pStyle w:val="7"/>
            </w:pPr>
            <w:r w:rsidRPr="00FD50F6">
              <w:rPr>
                <w:rFonts w:hint="eastAsia"/>
              </w:rPr>
              <w:t>排风</w:t>
            </w:r>
          </w:p>
        </w:tc>
      </w:tr>
      <w:tr w:rsidR="00FD50F6" w:rsidRPr="00FD50F6" w14:paraId="62D42545" w14:textId="77777777" w:rsidTr="00805449">
        <w:trPr>
          <w:cantSplit/>
          <w:trHeight w:val="227"/>
          <w:jc w:val="center"/>
        </w:trPr>
        <w:tc>
          <w:tcPr>
            <w:tcW w:w="1997" w:type="pct"/>
            <w:tcMar>
              <w:top w:w="57" w:type="dxa"/>
              <w:bottom w:w="57" w:type="dxa"/>
            </w:tcMar>
          </w:tcPr>
          <w:p w14:paraId="1E03C30C" w14:textId="77777777" w:rsidR="00E70BF7" w:rsidRPr="00FD50F6" w:rsidRDefault="00E70BF7" w:rsidP="00E777AE">
            <w:pPr>
              <w:pStyle w:val="7"/>
            </w:pPr>
            <w:r w:rsidRPr="00FD50F6">
              <w:rPr>
                <w:rFonts w:hint="eastAsia"/>
              </w:rPr>
              <w:t>盥洗室</w:t>
            </w:r>
          </w:p>
        </w:tc>
        <w:tc>
          <w:tcPr>
            <w:tcW w:w="751" w:type="pct"/>
            <w:tcMar>
              <w:top w:w="57" w:type="dxa"/>
              <w:bottom w:w="57" w:type="dxa"/>
            </w:tcMar>
          </w:tcPr>
          <w:p w14:paraId="115E605B" w14:textId="77777777" w:rsidR="00E70BF7" w:rsidRPr="00FD50F6" w:rsidRDefault="00E70BF7" w:rsidP="00E777AE">
            <w:pPr>
              <w:pStyle w:val="7"/>
            </w:pPr>
            <w:r w:rsidRPr="00FD50F6">
              <w:rPr>
                <w:rFonts w:hint="eastAsia"/>
              </w:rPr>
              <w:t>12</w:t>
            </w:r>
          </w:p>
        </w:tc>
        <w:tc>
          <w:tcPr>
            <w:tcW w:w="751" w:type="pct"/>
            <w:tcMar>
              <w:top w:w="57" w:type="dxa"/>
              <w:bottom w:w="57" w:type="dxa"/>
            </w:tcMar>
          </w:tcPr>
          <w:p w14:paraId="6CA330FD"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4B9B4103"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1E19E789" w14:textId="77777777" w:rsidR="00E70BF7" w:rsidRPr="00FD50F6" w:rsidRDefault="00E70BF7" w:rsidP="00E777AE">
            <w:pPr>
              <w:pStyle w:val="7"/>
            </w:pPr>
            <w:r w:rsidRPr="00FD50F6">
              <w:rPr>
                <w:rFonts w:hint="eastAsia"/>
              </w:rPr>
              <w:t>4</w:t>
            </w:r>
            <w:r w:rsidRPr="00FD50F6">
              <w:rPr>
                <w:rFonts w:hint="eastAsia"/>
              </w:rPr>
              <w:t>（排风）</w:t>
            </w:r>
          </w:p>
        </w:tc>
      </w:tr>
      <w:tr w:rsidR="00FD50F6" w:rsidRPr="00FD50F6" w14:paraId="044B3265" w14:textId="77777777" w:rsidTr="00805449">
        <w:trPr>
          <w:cantSplit/>
          <w:trHeight w:val="227"/>
          <w:jc w:val="center"/>
        </w:trPr>
        <w:tc>
          <w:tcPr>
            <w:tcW w:w="1997" w:type="pct"/>
            <w:tcMar>
              <w:top w:w="57" w:type="dxa"/>
              <w:bottom w:w="57" w:type="dxa"/>
            </w:tcMar>
          </w:tcPr>
          <w:p w14:paraId="7FA6B23C" w14:textId="77777777" w:rsidR="00E70BF7" w:rsidRPr="00FD50F6" w:rsidRDefault="00E70BF7" w:rsidP="00E777AE">
            <w:pPr>
              <w:pStyle w:val="7"/>
            </w:pPr>
            <w:r w:rsidRPr="00FD50F6">
              <w:rPr>
                <w:rFonts w:hint="eastAsia"/>
              </w:rPr>
              <w:t>污水泵房</w:t>
            </w:r>
          </w:p>
        </w:tc>
        <w:tc>
          <w:tcPr>
            <w:tcW w:w="751" w:type="pct"/>
            <w:tcMar>
              <w:top w:w="57" w:type="dxa"/>
              <w:bottom w:w="57" w:type="dxa"/>
            </w:tcMar>
          </w:tcPr>
          <w:p w14:paraId="3910B6C3" w14:textId="77777777" w:rsidR="00E70BF7" w:rsidRPr="00FD50F6" w:rsidRDefault="00E70BF7" w:rsidP="00E777AE">
            <w:pPr>
              <w:pStyle w:val="7"/>
            </w:pPr>
            <w:r w:rsidRPr="00FD50F6">
              <w:t>&gt;</w:t>
            </w:r>
            <w:r w:rsidRPr="00FD50F6">
              <w:rPr>
                <w:rFonts w:hint="eastAsia"/>
              </w:rPr>
              <w:t>5</w:t>
            </w:r>
          </w:p>
        </w:tc>
        <w:tc>
          <w:tcPr>
            <w:tcW w:w="751" w:type="pct"/>
            <w:tcMar>
              <w:top w:w="57" w:type="dxa"/>
              <w:bottom w:w="57" w:type="dxa"/>
            </w:tcMar>
          </w:tcPr>
          <w:p w14:paraId="51402032"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241FF156"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787A3B8B" w14:textId="77777777" w:rsidR="00E70BF7" w:rsidRPr="00FD50F6" w:rsidRDefault="00E70BF7" w:rsidP="00E777AE">
            <w:pPr>
              <w:pStyle w:val="7"/>
            </w:pPr>
            <w:r w:rsidRPr="00FD50F6">
              <w:rPr>
                <w:rFonts w:hint="eastAsia"/>
              </w:rPr>
              <w:t>12</w:t>
            </w:r>
            <w:r w:rsidRPr="00FD50F6">
              <w:rPr>
                <w:rFonts w:hint="eastAsia"/>
              </w:rPr>
              <w:t>（排风）</w:t>
            </w:r>
          </w:p>
        </w:tc>
      </w:tr>
      <w:tr w:rsidR="00FD50F6" w:rsidRPr="00FD50F6" w14:paraId="7E73B10B" w14:textId="77777777" w:rsidTr="00805449">
        <w:trPr>
          <w:cantSplit/>
          <w:trHeight w:val="227"/>
          <w:jc w:val="center"/>
        </w:trPr>
        <w:tc>
          <w:tcPr>
            <w:tcW w:w="1997" w:type="pct"/>
            <w:tcMar>
              <w:top w:w="57" w:type="dxa"/>
              <w:bottom w:w="57" w:type="dxa"/>
            </w:tcMar>
          </w:tcPr>
          <w:p w14:paraId="53D8F993" w14:textId="77777777" w:rsidR="00E70BF7" w:rsidRPr="00FD50F6" w:rsidRDefault="00E70BF7" w:rsidP="00E777AE">
            <w:pPr>
              <w:pStyle w:val="7"/>
            </w:pPr>
            <w:r w:rsidRPr="00FD50F6">
              <w:rPr>
                <w:rFonts w:hint="eastAsia"/>
              </w:rPr>
              <w:t>制冷机房</w:t>
            </w:r>
          </w:p>
        </w:tc>
        <w:tc>
          <w:tcPr>
            <w:tcW w:w="751" w:type="pct"/>
            <w:tcMar>
              <w:top w:w="57" w:type="dxa"/>
              <w:bottom w:w="57" w:type="dxa"/>
            </w:tcMar>
            <w:vAlign w:val="center"/>
          </w:tcPr>
          <w:p w14:paraId="45EB4EAC" w14:textId="77777777" w:rsidR="00E70BF7" w:rsidRPr="00FD50F6" w:rsidRDefault="00E70BF7" w:rsidP="00E777AE">
            <w:pPr>
              <w:pStyle w:val="7"/>
            </w:pPr>
            <w:r w:rsidRPr="00FD50F6">
              <w:t>&gt;</w:t>
            </w:r>
            <w:r w:rsidRPr="00FD50F6">
              <w:rPr>
                <w:rFonts w:hint="eastAsia"/>
              </w:rPr>
              <w:t>5</w:t>
            </w:r>
          </w:p>
        </w:tc>
        <w:tc>
          <w:tcPr>
            <w:tcW w:w="751" w:type="pct"/>
            <w:tcMar>
              <w:top w:w="57" w:type="dxa"/>
              <w:bottom w:w="57" w:type="dxa"/>
            </w:tcMar>
            <w:vAlign w:val="center"/>
          </w:tcPr>
          <w:p w14:paraId="6F360741"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06C1429A"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3F24B655" w14:textId="77777777" w:rsidR="00E70BF7" w:rsidRPr="00FD50F6" w:rsidRDefault="00E70BF7" w:rsidP="00E777AE">
            <w:pPr>
              <w:pStyle w:val="7"/>
            </w:pPr>
            <w:r w:rsidRPr="00FD50F6">
              <w:rPr>
                <w:rFonts w:hint="eastAsia"/>
              </w:rPr>
              <w:t>6</w:t>
            </w:r>
          </w:p>
        </w:tc>
      </w:tr>
      <w:tr w:rsidR="00FD50F6" w:rsidRPr="00FD50F6" w14:paraId="03353E05" w14:textId="77777777" w:rsidTr="00805449">
        <w:trPr>
          <w:cantSplit/>
          <w:trHeight w:val="227"/>
          <w:jc w:val="center"/>
        </w:trPr>
        <w:tc>
          <w:tcPr>
            <w:tcW w:w="1997" w:type="pct"/>
            <w:tcMar>
              <w:top w:w="57" w:type="dxa"/>
              <w:bottom w:w="57" w:type="dxa"/>
            </w:tcMar>
          </w:tcPr>
          <w:p w14:paraId="375BEEDA" w14:textId="77777777" w:rsidR="00E70BF7" w:rsidRPr="00FD50F6" w:rsidRDefault="00E70BF7" w:rsidP="00E777AE">
            <w:pPr>
              <w:pStyle w:val="7"/>
            </w:pPr>
            <w:r w:rsidRPr="00FD50F6">
              <w:rPr>
                <w:rFonts w:hint="eastAsia"/>
              </w:rPr>
              <w:t>消防泵房、废水泵房</w:t>
            </w:r>
          </w:p>
        </w:tc>
        <w:tc>
          <w:tcPr>
            <w:tcW w:w="751" w:type="pct"/>
            <w:tcMar>
              <w:top w:w="57" w:type="dxa"/>
              <w:bottom w:w="57" w:type="dxa"/>
            </w:tcMar>
            <w:vAlign w:val="center"/>
          </w:tcPr>
          <w:p w14:paraId="5CE704C6" w14:textId="77777777" w:rsidR="00E70BF7" w:rsidRPr="00FD50F6" w:rsidRDefault="00E70BF7" w:rsidP="00E777AE">
            <w:pPr>
              <w:pStyle w:val="7"/>
            </w:pPr>
            <w:r w:rsidRPr="00FD50F6">
              <w:t>&gt;</w:t>
            </w:r>
            <w:r w:rsidRPr="00FD50F6">
              <w:rPr>
                <w:rFonts w:hint="eastAsia"/>
              </w:rPr>
              <w:t>5</w:t>
            </w:r>
          </w:p>
        </w:tc>
        <w:tc>
          <w:tcPr>
            <w:tcW w:w="751" w:type="pct"/>
            <w:tcMar>
              <w:top w:w="57" w:type="dxa"/>
              <w:bottom w:w="57" w:type="dxa"/>
            </w:tcMar>
            <w:vAlign w:val="center"/>
          </w:tcPr>
          <w:p w14:paraId="25AF0922"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46FE11BA"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1BFAE523" w14:textId="77777777" w:rsidR="00E70BF7" w:rsidRPr="00FD50F6" w:rsidRDefault="00E70BF7" w:rsidP="00E777AE">
            <w:pPr>
              <w:pStyle w:val="7"/>
            </w:pPr>
            <w:r w:rsidRPr="00FD50F6">
              <w:rPr>
                <w:rFonts w:hint="eastAsia"/>
              </w:rPr>
              <w:t>6</w:t>
            </w:r>
            <w:r w:rsidRPr="00FD50F6">
              <w:rPr>
                <w:rFonts w:hint="eastAsia"/>
              </w:rPr>
              <w:t>（排风）</w:t>
            </w:r>
          </w:p>
        </w:tc>
      </w:tr>
      <w:tr w:rsidR="00FD50F6" w:rsidRPr="00FD50F6" w14:paraId="140BA607" w14:textId="77777777" w:rsidTr="00805449">
        <w:trPr>
          <w:cantSplit/>
          <w:trHeight w:val="227"/>
          <w:jc w:val="center"/>
        </w:trPr>
        <w:tc>
          <w:tcPr>
            <w:tcW w:w="1997" w:type="pct"/>
            <w:tcMar>
              <w:top w:w="57" w:type="dxa"/>
              <w:bottom w:w="57" w:type="dxa"/>
            </w:tcMar>
          </w:tcPr>
          <w:p w14:paraId="2C98F22D" w14:textId="77777777" w:rsidR="00E70BF7" w:rsidRPr="00FD50F6" w:rsidRDefault="00E70BF7" w:rsidP="00E777AE">
            <w:pPr>
              <w:pStyle w:val="7"/>
            </w:pPr>
            <w:r w:rsidRPr="00FD50F6">
              <w:rPr>
                <w:rFonts w:hint="eastAsia"/>
              </w:rPr>
              <w:t>通风空调机房</w:t>
            </w:r>
          </w:p>
        </w:tc>
        <w:tc>
          <w:tcPr>
            <w:tcW w:w="751" w:type="pct"/>
            <w:tcMar>
              <w:top w:w="57" w:type="dxa"/>
              <w:bottom w:w="57" w:type="dxa"/>
            </w:tcMar>
          </w:tcPr>
          <w:p w14:paraId="028F7036"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53D07326"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7EDE6719"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35262950" w14:textId="77777777" w:rsidR="00E70BF7" w:rsidRPr="00FD50F6" w:rsidRDefault="00E70BF7" w:rsidP="00E777AE">
            <w:pPr>
              <w:pStyle w:val="7"/>
            </w:pPr>
            <w:r w:rsidRPr="00FD50F6">
              <w:rPr>
                <w:rFonts w:hint="eastAsia"/>
              </w:rPr>
              <w:t>6</w:t>
            </w:r>
          </w:p>
        </w:tc>
      </w:tr>
      <w:tr w:rsidR="00FD50F6" w:rsidRPr="00FD50F6" w14:paraId="78FBE4B3" w14:textId="77777777" w:rsidTr="00805449">
        <w:trPr>
          <w:cantSplit/>
          <w:trHeight w:val="227"/>
          <w:jc w:val="center"/>
        </w:trPr>
        <w:tc>
          <w:tcPr>
            <w:tcW w:w="1997" w:type="pct"/>
            <w:tcMar>
              <w:top w:w="57" w:type="dxa"/>
              <w:bottom w:w="57" w:type="dxa"/>
            </w:tcMar>
          </w:tcPr>
          <w:p w14:paraId="1DED045B" w14:textId="77777777" w:rsidR="00E70BF7" w:rsidRPr="00FD50F6" w:rsidRDefault="00E70BF7" w:rsidP="00E777AE">
            <w:pPr>
              <w:pStyle w:val="7"/>
            </w:pPr>
            <w:r w:rsidRPr="00FD50F6">
              <w:rPr>
                <w:rFonts w:hint="eastAsia"/>
              </w:rPr>
              <w:t>气瓶室</w:t>
            </w:r>
          </w:p>
        </w:tc>
        <w:tc>
          <w:tcPr>
            <w:tcW w:w="751" w:type="pct"/>
            <w:tcMar>
              <w:top w:w="57" w:type="dxa"/>
              <w:bottom w:w="57" w:type="dxa"/>
            </w:tcMar>
          </w:tcPr>
          <w:p w14:paraId="28CCD82C"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558DE3E7"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3F6CFF8B" w14:textId="77777777" w:rsidR="00E70BF7" w:rsidRPr="00FD50F6" w:rsidRDefault="00E70BF7" w:rsidP="00E777AE">
            <w:pPr>
              <w:pStyle w:val="7"/>
            </w:pPr>
            <w:r w:rsidRPr="00FD50F6">
              <w:rPr>
                <w:rFonts w:hint="eastAsia"/>
              </w:rPr>
              <w:t>—</w:t>
            </w:r>
          </w:p>
        </w:tc>
        <w:tc>
          <w:tcPr>
            <w:tcW w:w="751" w:type="pct"/>
            <w:tcMar>
              <w:top w:w="57" w:type="dxa"/>
              <w:bottom w:w="57" w:type="dxa"/>
            </w:tcMar>
          </w:tcPr>
          <w:p w14:paraId="53943D2E" w14:textId="77777777" w:rsidR="00E70BF7" w:rsidRPr="00FD50F6" w:rsidRDefault="00E70BF7" w:rsidP="00E777AE">
            <w:pPr>
              <w:pStyle w:val="7"/>
            </w:pPr>
            <w:r w:rsidRPr="00FD50F6">
              <w:rPr>
                <w:rFonts w:hint="eastAsia"/>
              </w:rPr>
              <w:t>6</w:t>
            </w:r>
            <w:r w:rsidRPr="00FD50F6">
              <w:rPr>
                <w:rFonts w:hint="eastAsia"/>
              </w:rPr>
              <w:t>（排风）</w:t>
            </w:r>
          </w:p>
        </w:tc>
      </w:tr>
      <w:tr w:rsidR="00FD50F6" w:rsidRPr="00FD50F6" w14:paraId="7D51491B" w14:textId="77777777" w:rsidTr="00805449">
        <w:trPr>
          <w:cantSplit/>
          <w:trHeight w:val="227"/>
          <w:jc w:val="center"/>
        </w:trPr>
        <w:tc>
          <w:tcPr>
            <w:tcW w:w="1997" w:type="pct"/>
            <w:tcMar>
              <w:top w:w="57" w:type="dxa"/>
              <w:bottom w:w="57" w:type="dxa"/>
            </w:tcMar>
          </w:tcPr>
          <w:p w14:paraId="7281A2CE" w14:textId="77777777" w:rsidR="00E70BF7" w:rsidRPr="00FD50F6" w:rsidRDefault="00E70BF7" w:rsidP="00E777AE">
            <w:pPr>
              <w:pStyle w:val="7"/>
            </w:pPr>
            <w:r w:rsidRPr="00FD50F6">
              <w:rPr>
                <w:rFonts w:hint="eastAsia"/>
              </w:rPr>
              <w:t>清扫工具间、储藏室、车站用品间</w:t>
            </w:r>
          </w:p>
        </w:tc>
        <w:tc>
          <w:tcPr>
            <w:tcW w:w="751" w:type="pct"/>
            <w:tcMar>
              <w:top w:w="57" w:type="dxa"/>
              <w:bottom w:w="57" w:type="dxa"/>
            </w:tcMar>
            <w:vAlign w:val="center"/>
          </w:tcPr>
          <w:p w14:paraId="724FBBBC"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77E201B9"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3468FBBC" w14:textId="77777777" w:rsidR="00E70BF7" w:rsidRPr="00FD50F6" w:rsidRDefault="00E70BF7" w:rsidP="00E777AE">
            <w:pPr>
              <w:pStyle w:val="7"/>
            </w:pPr>
            <w:r w:rsidRPr="00FD50F6">
              <w:rPr>
                <w:rFonts w:hint="eastAsia"/>
              </w:rPr>
              <w:t>—</w:t>
            </w:r>
          </w:p>
        </w:tc>
        <w:tc>
          <w:tcPr>
            <w:tcW w:w="751" w:type="pct"/>
            <w:tcMar>
              <w:top w:w="57" w:type="dxa"/>
              <w:bottom w:w="57" w:type="dxa"/>
            </w:tcMar>
            <w:vAlign w:val="center"/>
          </w:tcPr>
          <w:p w14:paraId="3A8E39EF" w14:textId="77777777" w:rsidR="00E70BF7" w:rsidRPr="00FD50F6" w:rsidRDefault="00E70BF7" w:rsidP="00E777AE">
            <w:pPr>
              <w:pStyle w:val="7"/>
            </w:pPr>
            <w:r w:rsidRPr="00FD50F6">
              <w:rPr>
                <w:rFonts w:hint="eastAsia"/>
              </w:rPr>
              <w:t>4</w:t>
            </w:r>
            <w:r w:rsidRPr="00FD50F6">
              <w:rPr>
                <w:rFonts w:hint="eastAsia"/>
              </w:rPr>
              <w:t>（排风）</w:t>
            </w:r>
          </w:p>
        </w:tc>
      </w:tr>
    </w:tbl>
    <w:p w14:paraId="390E9467" w14:textId="05EBA876" w:rsidR="00DF1358" w:rsidRPr="00FD50F6" w:rsidRDefault="00DF1358" w:rsidP="00DF1358">
      <w:pPr>
        <w:adjustRightInd w:val="0"/>
        <w:snapToGrid w:val="0"/>
        <w:spacing w:beforeLines="25" w:before="60" w:afterLines="25" w:after="60" w:line="240" w:lineRule="atLeast"/>
        <w:ind w:leftChars="110" w:left="890" w:hangingChars="298" w:hanging="626"/>
        <w:rPr>
          <w:rFonts w:ascii="Times New Roman" w:hAnsi="Times New Roman" w:cs="Times New Roman"/>
          <w:sz w:val="21"/>
        </w:rPr>
      </w:pPr>
      <w:r w:rsidRPr="00FD50F6">
        <w:rPr>
          <w:rFonts w:ascii="Times New Roman" w:hAnsi="Times New Roman" w:cs="Times New Roman" w:hint="eastAsia"/>
          <w:sz w:val="21"/>
        </w:rPr>
        <w:t>注：</w:t>
      </w:r>
      <w:r w:rsidRPr="00FD50F6">
        <w:rPr>
          <w:rFonts w:ascii="Times New Roman" w:hAnsi="Times New Roman" w:cs="Times New Roman" w:hint="eastAsia"/>
          <w:sz w:val="21"/>
        </w:rPr>
        <w:t xml:space="preserve">1 </w:t>
      </w:r>
      <w:r w:rsidRPr="00FD50F6">
        <w:rPr>
          <w:rFonts w:ascii="Times New Roman" w:hAnsi="Times New Roman" w:cs="Times New Roman" w:hint="eastAsia"/>
          <w:sz w:val="21"/>
        </w:rPr>
        <w:t>厕所排风量每坑位</w:t>
      </w:r>
      <w:r w:rsidR="00AC7393" w:rsidRPr="00FD50F6">
        <w:rPr>
          <w:rFonts w:ascii="Times New Roman" w:hAnsi="Times New Roman" w:cs="Times New Roman" w:hint="eastAsia"/>
          <w:sz w:val="21"/>
        </w:rPr>
        <w:t>应</w:t>
      </w:r>
      <w:r w:rsidRPr="00FD50F6">
        <w:rPr>
          <w:rFonts w:ascii="Times New Roman" w:hAnsi="Times New Roman" w:cs="Times New Roman" w:hint="eastAsia"/>
          <w:sz w:val="21"/>
        </w:rPr>
        <w:t>按</w:t>
      </w:r>
      <w:r w:rsidRPr="00FD50F6">
        <w:rPr>
          <w:rFonts w:ascii="Times New Roman" w:hAnsi="Times New Roman" w:cs="Times New Roman" w:hint="eastAsia"/>
          <w:sz w:val="21"/>
        </w:rPr>
        <w:t>100</w:t>
      </w:r>
      <w:r w:rsidRPr="00FD50F6">
        <w:rPr>
          <w:rFonts w:ascii="Times New Roman" w:hAnsi="Times New Roman" w:cs="Times New Roman"/>
          <w:sz w:val="21"/>
        </w:rPr>
        <w:t>m</w:t>
      </w:r>
      <w:r w:rsidRPr="00FD50F6">
        <w:rPr>
          <w:rFonts w:ascii="Times New Roman" w:hAnsi="Times New Roman" w:cs="Times New Roman" w:hint="eastAsia"/>
          <w:sz w:val="21"/>
          <w:vertAlign w:val="superscript"/>
        </w:rPr>
        <w:t>3</w:t>
      </w:r>
      <w:r w:rsidRPr="00FD50F6">
        <w:rPr>
          <w:rFonts w:ascii="Times New Roman" w:hAnsi="Times New Roman" w:cs="Times New Roman"/>
          <w:sz w:val="21"/>
        </w:rPr>
        <w:t>/h</w:t>
      </w:r>
      <w:r w:rsidRPr="00FD50F6">
        <w:rPr>
          <w:rFonts w:ascii="Times New Roman" w:hAnsi="Times New Roman" w:cs="Times New Roman" w:hint="eastAsia"/>
          <w:sz w:val="21"/>
        </w:rPr>
        <w:t>计算，且换气次数不</w:t>
      </w:r>
      <w:r w:rsidR="00AC7393" w:rsidRPr="00FD50F6">
        <w:rPr>
          <w:rFonts w:ascii="Times New Roman" w:hAnsi="Times New Roman" w:cs="Times New Roman" w:hint="eastAsia"/>
          <w:sz w:val="21"/>
        </w:rPr>
        <w:t>应</w:t>
      </w:r>
      <w:r w:rsidRPr="00FD50F6">
        <w:rPr>
          <w:rFonts w:ascii="Times New Roman" w:hAnsi="Times New Roman" w:cs="Times New Roman" w:hint="eastAsia"/>
          <w:sz w:val="21"/>
        </w:rPr>
        <w:t>少于</w:t>
      </w:r>
      <w:r w:rsidRPr="00FD50F6">
        <w:rPr>
          <w:rFonts w:ascii="Times New Roman" w:hAnsi="Times New Roman" w:cs="Times New Roman" w:hint="eastAsia"/>
          <w:sz w:val="21"/>
        </w:rPr>
        <w:t>15</w:t>
      </w:r>
      <w:r w:rsidRPr="00FD50F6">
        <w:rPr>
          <w:rFonts w:ascii="Times New Roman" w:hAnsi="Times New Roman" w:cs="Times New Roman" w:hint="eastAsia"/>
          <w:sz w:val="21"/>
        </w:rPr>
        <w:t>次</w:t>
      </w:r>
      <w:r w:rsidRPr="00FD50F6">
        <w:rPr>
          <w:rFonts w:ascii="Times New Roman" w:hAnsi="Times New Roman" w:cs="Times New Roman" w:hint="eastAsia"/>
          <w:sz w:val="21"/>
        </w:rPr>
        <w:t>/h</w:t>
      </w:r>
      <w:r w:rsidRPr="00FD50F6">
        <w:rPr>
          <w:rFonts w:ascii="Times New Roman" w:hAnsi="Times New Roman" w:cs="Times New Roman" w:hint="eastAsia"/>
          <w:sz w:val="21"/>
        </w:rPr>
        <w:t>；必要时，厕所</w:t>
      </w:r>
      <w:r w:rsidR="00AC7393" w:rsidRPr="00FD50F6">
        <w:rPr>
          <w:rFonts w:ascii="Times New Roman" w:hAnsi="Times New Roman" w:cs="Times New Roman" w:hint="eastAsia"/>
          <w:sz w:val="21"/>
        </w:rPr>
        <w:t>宜</w:t>
      </w:r>
      <w:r w:rsidRPr="00FD50F6">
        <w:rPr>
          <w:rFonts w:ascii="Times New Roman" w:hAnsi="Times New Roman" w:cs="Times New Roman" w:hint="eastAsia"/>
          <w:sz w:val="21"/>
        </w:rPr>
        <w:t>设置空调系统。</w:t>
      </w:r>
    </w:p>
    <w:p w14:paraId="52D843CB" w14:textId="7F60151F" w:rsidR="00DB1A8B" w:rsidRPr="001A4CF3" w:rsidRDefault="00DF1358" w:rsidP="001A4CF3">
      <w:pPr>
        <w:adjustRightInd w:val="0"/>
        <w:snapToGrid w:val="0"/>
        <w:spacing w:beforeLines="25" w:before="60" w:afterLines="25" w:after="60" w:line="240" w:lineRule="atLeast"/>
        <w:ind w:leftChars="285" w:left="879" w:hangingChars="93" w:hanging="195"/>
        <w:rPr>
          <w:rFonts w:cs="Times New Roman"/>
          <w:sz w:val="21"/>
        </w:rPr>
      </w:pPr>
      <w:r w:rsidRPr="00FD50F6">
        <w:rPr>
          <w:rFonts w:ascii="Times New Roman" w:hAnsi="Times New Roman" w:cs="Times New Roman" w:hint="eastAsia"/>
          <w:sz w:val="21"/>
        </w:rPr>
        <w:t xml:space="preserve">2 </w:t>
      </w:r>
      <w:r w:rsidRPr="00FD50F6">
        <w:rPr>
          <w:rFonts w:ascii="Times New Roman" w:hAnsi="Times New Roman" w:cs="Times New Roman" w:hint="eastAsia"/>
          <w:sz w:val="21"/>
        </w:rPr>
        <w:t>换气次数指通风工况下的房间最小换气次数，设计通风量还应按排除余热进行核算。</w:t>
      </w:r>
    </w:p>
    <w:p w14:paraId="1A3742D4" w14:textId="77777777" w:rsidR="00DB1A8B" w:rsidRPr="00FD50F6" w:rsidRDefault="00DB1A8B" w:rsidP="00E70BF7">
      <w:pPr>
        <w:adjustRightInd w:val="0"/>
        <w:snapToGrid w:val="0"/>
        <w:spacing w:beforeLines="50" w:before="120" w:afterLines="50" w:after="120"/>
        <w:jc w:val="center"/>
        <w:outlineLvl w:val="2"/>
        <w:rPr>
          <w:rFonts w:ascii="宋体" w:hAnsi="宋体" w:cs="宋体"/>
          <w:b/>
          <w:szCs w:val="24"/>
        </w:rPr>
      </w:pPr>
    </w:p>
    <w:p w14:paraId="541A6D67" w14:textId="4DADA8F3"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r w:rsidRPr="00FD50F6">
        <w:rPr>
          <w:rFonts w:ascii="宋体" w:hAnsi="宋体" w:cs="宋体" w:hint="eastAsia"/>
          <w:b/>
          <w:szCs w:val="24"/>
        </w:rPr>
        <w:t>Ⅳ</w:t>
      </w:r>
      <w:r w:rsidRPr="00FD50F6">
        <w:rPr>
          <w:rFonts w:ascii="Times New Roman" w:hAnsi="Times New Roman" w:cs="Times New Roman"/>
          <w:b/>
          <w:szCs w:val="24"/>
        </w:rPr>
        <w:t xml:space="preserve">  </w:t>
      </w:r>
      <w:r w:rsidRPr="00FD50F6">
        <w:rPr>
          <w:rFonts w:ascii="Times New Roman" w:hAnsi="Times New Roman" w:cs="Times New Roman"/>
          <w:b/>
          <w:szCs w:val="24"/>
        </w:rPr>
        <w:t>空调冷源及水系统</w:t>
      </w:r>
      <w:bookmarkEnd w:id="545"/>
      <w:bookmarkEnd w:id="546"/>
      <w:bookmarkEnd w:id="547"/>
    </w:p>
    <w:p w14:paraId="14E3ED5A" w14:textId="550B7C9B" w:rsidR="00E70BF7" w:rsidRPr="00FD50F6" w:rsidRDefault="00E70BF7" w:rsidP="00634619">
      <w:pPr>
        <w:pStyle w:val="30"/>
      </w:pPr>
      <w:r w:rsidRPr="00FD50F6">
        <w:t>空调冷源设计应符合下列规定：</w:t>
      </w:r>
    </w:p>
    <w:p w14:paraId="071547FA" w14:textId="352C12D0" w:rsidR="00E70BF7" w:rsidRPr="00FD50F6" w:rsidRDefault="00E70BF7" w:rsidP="00A926BD">
      <w:pPr>
        <w:pStyle w:val="4"/>
      </w:pPr>
      <w:r w:rsidRPr="00FD50F6">
        <w:t>空调冷源宜采用自然冷源</w:t>
      </w:r>
      <w:r w:rsidR="00514092" w:rsidRPr="00FD50F6">
        <w:rPr>
          <w:rFonts w:hint="eastAsia"/>
        </w:rPr>
        <w:t>，</w:t>
      </w:r>
      <w:r w:rsidRPr="00FD50F6">
        <w:rPr>
          <w:rFonts w:hint="eastAsia"/>
        </w:rPr>
        <w:t>当</w:t>
      </w:r>
      <w:r w:rsidRPr="00FD50F6">
        <w:t>无条件采用自然冷源时，可采用人工</w:t>
      </w:r>
      <w:r w:rsidR="004B70E0" w:rsidRPr="00FD50F6">
        <w:rPr>
          <w:rFonts w:hint="eastAsia"/>
        </w:rPr>
        <w:t>冷源</w:t>
      </w:r>
      <w:r w:rsidR="00251252" w:rsidRPr="00FD50F6">
        <w:rPr>
          <w:rFonts w:hint="eastAsia"/>
        </w:rPr>
        <w:t>；</w:t>
      </w:r>
    </w:p>
    <w:p w14:paraId="5676F0B9" w14:textId="187C4F0C" w:rsidR="00E70BF7" w:rsidRPr="00FD50F6" w:rsidRDefault="00E70BF7" w:rsidP="00A926BD">
      <w:pPr>
        <w:pStyle w:val="4"/>
      </w:pPr>
      <w:r w:rsidRPr="00FD50F6">
        <w:rPr>
          <w:rFonts w:hint="eastAsia"/>
        </w:rPr>
        <w:t>设于</w:t>
      </w:r>
      <w:r w:rsidRPr="00FD50F6">
        <w:t>地下线路内的空调冷源</w:t>
      </w:r>
      <w:r w:rsidRPr="00FD50F6">
        <w:rPr>
          <w:rFonts w:hint="eastAsia"/>
        </w:rPr>
        <w:t>应采用电动压缩式制冷或蒸发冷却空调</w:t>
      </w:r>
      <w:r w:rsidRPr="00FD50F6">
        <w:t>，不应采用直接燃烧型吸收式</w:t>
      </w:r>
      <w:r w:rsidRPr="00FD50F6">
        <w:rPr>
          <w:rFonts w:hint="eastAsia"/>
        </w:rPr>
        <w:t>制冷</w:t>
      </w:r>
      <w:r w:rsidR="00251252" w:rsidRPr="00FD50F6">
        <w:rPr>
          <w:rFonts w:hint="eastAsia"/>
        </w:rPr>
        <w:t>；</w:t>
      </w:r>
    </w:p>
    <w:p w14:paraId="2BFDDE2C" w14:textId="074F0C62" w:rsidR="00E70BF7" w:rsidRPr="00FD50F6" w:rsidRDefault="00E70BF7" w:rsidP="00A926BD">
      <w:pPr>
        <w:pStyle w:val="4"/>
      </w:pPr>
      <w:r w:rsidRPr="00FD50F6">
        <w:t>在执行分时电价的地区，</w:t>
      </w:r>
      <w:r w:rsidRPr="00FD50F6">
        <w:rPr>
          <w:rFonts w:hint="eastAsia"/>
        </w:rPr>
        <w:t>当</w:t>
      </w:r>
      <w:r w:rsidRPr="00FD50F6">
        <w:t>峰谷电价差较大</w:t>
      </w:r>
      <w:r w:rsidRPr="00FD50F6">
        <w:rPr>
          <w:rFonts w:hint="eastAsia"/>
        </w:rPr>
        <w:t>、</w:t>
      </w:r>
      <w:r w:rsidRPr="00FD50F6">
        <w:t>技术经济</w:t>
      </w:r>
      <w:r w:rsidRPr="00FD50F6">
        <w:rPr>
          <w:rFonts w:hint="eastAsia"/>
        </w:rPr>
        <w:t>分析合理时</w:t>
      </w:r>
      <w:r w:rsidRPr="00FD50F6">
        <w:t>，可采</w:t>
      </w:r>
      <w:r w:rsidRPr="00FD50F6">
        <w:lastRenderedPageBreak/>
        <w:t>用蓄冷系统</w:t>
      </w:r>
      <w:r w:rsidR="00251252" w:rsidRPr="00FD50F6">
        <w:rPr>
          <w:rFonts w:hint="eastAsia"/>
        </w:rPr>
        <w:t>；</w:t>
      </w:r>
    </w:p>
    <w:p w14:paraId="45410637" w14:textId="76DA78B2" w:rsidR="00E70BF7" w:rsidRPr="00FD50F6" w:rsidRDefault="00E70BF7" w:rsidP="00A926BD">
      <w:pPr>
        <w:pStyle w:val="4"/>
      </w:pPr>
      <w:r w:rsidRPr="00FD50F6">
        <w:rPr>
          <w:rFonts w:hint="eastAsia"/>
        </w:rPr>
        <w:t>地下线路宜分站设置空调冷源</w:t>
      </w:r>
      <w:r w:rsidR="00514092" w:rsidRPr="00FD50F6">
        <w:rPr>
          <w:rFonts w:hint="eastAsia"/>
        </w:rPr>
        <w:t>，</w:t>
      </w:r>
      <w:r w:rsidRPr="00FD50F6">
        <w:rPr>
          <w:rFonts w:hint="eastAsia"/>
        </w:rPr>
        <w:t>当设置集中空调冷源时，供冷半径不宜超过</w:t>
      </w:r>
      <w:r w:rsidRPr="00FD50F6">
        <w:rPr>
          <w:rFonts w:hint="eastAsia"/>
        </w:rPr>
        <w:t>2km</w:t>
      </w:r>
      <w:r w:rsidRPr="00FD50F6">
        <w:rPr>
          <w:rFonts w:hint="eastAsia"/>
        </w:rPr>
        <w:t>。</w:t>
      </w:r>
    </w:p>
    <w:p w14:paraId="4962D172" w14:textId="7ECFDAF2" w:rsidR="00E70BF7" w:rsidRPr="00FD50F6" w:rsidRDefault="00E70BF7" w:rsidP="00634619">
      <w:pPr>
        <w:pStyle w:val="30"/>
      </w:pPr>
      <w:r w:rsidRPr="00FD50F6">
        <w:rPr>
          <w:rFonts w:hint="eastAsia"/>
        </w:rPr>
        <w:t>空调冷源的制冷机组不宜少于</w:t>
      </w:r>
      <w:r w:rsidRPr="00FD50F6">
        <w:rPr>
          <w:rFonts w:hint="eastAsia"/>
        </w:rPr>
        <w:t>2</w:t>
      </w:r>
      <w:r w:rsidRPr="00FD50F6">
        <w:rPr>
          <w:rFonts w:hint="eastAsia"/>
        </w:rPr>
        <w:t>台，可不设置备用机组；制冷机组宜选用多机头联控型机组。</w:t>
      </w:r>
    </w:p>
    <w:p w14:paraId="66C9AD00" w14:textId="3B06784B" w:rsidR="00E70BF7" w:rsidRPr="00FD50F6" w:rsidRDefault="00E70BF7" w:rsidP="00634619">
      <w:pPr>
        <w:pStyle w:val="30"/>
      </w:pPr>
      <w:r w:rsidRPr="00FD50F6">
        <w:rPr>
          <w:rFonts w:hint="eastAsia"/>
        </w:rPr>
        <w:t>当采用冷水机组供冷时，冷水和冷却水循环泵应与冷水机组匹配设置，可不设置备用泵。</w:t>
      </w:r>
    </w:p>
    <w:p w14:paraId="073044F7" w14:textId="0241A486" w:rsidR="00E70BF7" w:rsidRPr="00FD50F6" w:rsidRDefault="00E70BF7" w:rsidP="00634619">
      <w:pPr>
        <w:pStyle w:val="30"/>
      </w:pPr>
      <w:r w:rsidRPr="00FD50F6">
        <w:rPr>
          <w:rFonts w:hint="eastAsia"/>
        </w:rPr>
        <w:t>当冷却水温度低于冷水机组的允许温度时，应采取水温控制措施。</w:t>
      </w:r>
    </w:p>
    <w:p w14:paraId="61D26F1A" w14:textId="2B5162E7" w:rsidR="00E70BF7" w:rsidRPr="00FD50F6" w:rsidRDefault="00E70BF7" w:rsidP="00634619">
      <w:pPr>
        <w:pStyle w:val="30"/>
      </w:pPr>
      <w:r w:rsidRPr="00FD50F6">
        <w:rPr>
          <w:rFonts w:hint="eastAsia"/>
        </w:rPr>
        <w:t>冷水循环水及其补水、冷却循环水及其补水的水质应符合现行国家标准《采暖空调系统水质》</w:t>
      </w:r>
      <w:r w:rsidRPr="00FD50F6">
        <w:rPr>
          <w:rFonts w:hint="eastAsia"/>
        </w:rPr>
        <w:t>GB/T 29044</w:t>
      </w:r>
      <w:r w:rsidRPr="00FD50F6">
        <w:rPr>
          <w:rFonts w:hint="eastAsia"/>
        </w:rPr>
        <w:t>的规定。</w:t>
      </w:r>
    </w:p>
    <w:p w14:paraId="60FD1B33" w14:textId="6C4BF090" w:rsidR="00E70BF7" w:rsidRPr="00FD50F6" w:rsidRDefault="00E70BF7" w:rsidP="00634619">
      <w:pPr>
        <w:pStyle w:val="30"/>
      </w:pPr>
      <w:r w:rsidRPr="00FD50F6">
        <w:t>冷却塔的设置应符合下列规定：</w:t>
      </w:r>
    </w:p>
    <w:p w14:paraId="69095CCD" w14:textId="3312359B" w:rsidR="00E70BF7" w:rsidRPr="00FD50F6" w:rsidRDefault="00E70BF7" w:rsidP="00A926BD">
      <w:pPr>
        <w:pStyle w:val="4"/>
      </w:pPr>
      <w:r w:rsidRPr="00FD50F6">
        <w:t>冷却塔应设置在通风良好的地方，并应与周围环境相协调，其噪声应符合现行国家标准《声环境质量标准》</w:t>
      </w:r>
      <w:r w:rsidRPr="00FD50F6">
        <w:t>GB</w:t>
      </w:r>
      <w:r w:rsidR="00F52637" w:rsidRPr="00FD50F6">
        <w:t xml:space="preserve"> </w:t>
      </w:r>
      <w:r w:rsidRPr="00FD50F6">
        <w:t>3096</w:t>
      </w:r>
      <w:r w:rsidRPr="00FD50F6">
        <w:t>的规定；</w:t>
      </w:r>
    </w:p>
    <w:p w14:paraId="273A062E" w14:textId="4001F314" w:rsidR="00E70BF7" w:rsidRPr="00FD50F6" w:rsidRDefault="00E70BF7" w:rsidP="00A926BD">
      <w:pPr>
        <w:pStyle w:val="4"/>
      </w:pPr>
      <w:r w:rsidRPr="00FD50F6">
        <w:rPr>
          <w:rFonts w:hint="eastAsia"/>
        </w:rPr>
        <w:t>冷却塔的塔体和填料应采用燃烧性能达到</w:t>
      </w:r>
      <w:r w:rsidRPr="00FD50F6">
        <w:t>B1</w:t>
      </w:r>
      <w:r w:rsidRPr="00FD50F6">
        <w:rPr>
          <w:rFonts w:hint="eastAsia"/>
        </w:rPr>
        <w:t>级或氧指数不低于</w:t>
      </w:r>
      <w:r w:rsidRPr="00FD50F6">
        <w:rPr>
          <w:rFonts w:hint="eastAsia"/>
        </w:rPr>
        <w:t>32%</w:t>
      </w:r>
      <w:r w:rsidRPr="00FD50F6">
        <w:rPr>
          <w:rFonts w:hint="eastAsia"/>
        </w:rPr>
        <w:t>的材料</w:t>
      </w:r>
      <w:r w:rsidRPr="00FD50F6">
        <w:t>。</w:t>
      </w:r>
    </w:p>
    <w:p w14:paraId="7BAFB834" w14:textId="25D716BE" w:rsidR="00E70BF7" w:rsidRPr="00FD50F6" w:rsidRDefault="00E70BF7" w:rsidP="00634619">
      <w:pPr>
        <w:pStyle w:val="30"/>
      </w:pPr>
      <w:r w:rsidRPr="00FD50F6">
        <w:rPr>
          <w:rFonts w:hint="eastAsia"/>
        </w:rPr>
        <w:t>当有冻结危险时，空调水系统管路与设备应采取防冻措施。</w:t>
      </w:r>
    </w:p>
    <w:p w14:paraId="1F3A989B" w14:textId="09110515"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bookmarkStart w:id="548" w:name="_Toc236493452"/>
      <w:bookmarkStart w:id="549" w:name="_Toc236671835"/>
      <w:bookmarkStart w:id="550" w:name="_Toc306206732"/>
      <w:r w:rsidRPr="00FD50F6">
        <w:rPr>
          <w:rFonts w:ascii="宋体" w:hAnsi="宋体" w:cs="宋体" w:hint="eastAsia"/>
          <w:b/>
          <w:szCs w:val="24"/>
        </w:rPr>
        <w:t>Ⅴ</w:t>
      </w:r>
      <w:r w:rsidRPr="00FD50F6">
        <w:rPr>
          <w:rFonts w:ascii="Times New Roman" w:hAnsi="Times New Roman" w:cs="Times New Roman"/>
          <w:b/>
          <w:szCs w:val="24"/>
        </w:rPr>
        <w:t xml:space="preserve"> </w:t>
      </w:r>
      <w:r w:rsidRPr="00FD50F6">
        <w:rPr>
          <w:rFonts w:ascii="Times New Roman" w:hAnsi="Times New Roman" w:cs="Times New Roman"/>
          <w:b/>
          <w:szCs w:val="24"/>
        </w:rPr>
        <w:t>风亭</w:t>
      </w:r>
      <w:r w:rsidRPr="00FD50F6">
        <w:rPr>
          <w:rFonts w:ascii="Times New Roman" w:hAnsi="Times New Roman" w:cs="Times New Roman" w:hint="eastAsia"/>
          <w:b/>
          <w:szCs w:val="24"/>
        </w:rPr>
        <w:t>、</w:t>
      </w:r>
      <w:r w:rsidRPr="00FD50F6">
        <w:rPr>
          <w:rFonts w:ascii="Times New Roman" w:hAnsi="Times New Roman" w:cs="Times New Roman"/>
          <w:b/>
          <w:szCs w:val="24"/>
        </w:rPr>
        <w:t>风道</w:t>
      </w:r>
      <w:bookmarkEnd w:id="548"/>
      <w:bookmarkEnd w:id="549"/>
      <w:bookmarkEnd w:id="550"/>
      <w:r w:rsidRPr="00FD50F6">
        <w:rPr>
          <w:rFonts w:ascii="Times New Roman" w:hAnsi="Times New Roman" w:cs="Times New Roman" w:hint="eastAsia"/>
          <w:b/>
          <w:szCs w:val="24"/>
        </w:rPr>
        <w:t>与风井</w:t>
      </w:r>
    </w:p>
    <w:p w14:paraId="25FD3393" w14:textId="76BD5405" w:rsidR="00E70BF7" w:rsidRPr="00FD50F6" w:rsidRDefault="00E70BF7" w:rsidP="00634619">
      <w:pPr>
        <w:pStyle w:val="30"/>
      </w:pPr>
      <w:r w:rsidRPr="00FD50F6">
        <w:t>地面风亭</w:t>
      </w:r>
      <w:r w:rsidRPr="00FD50F6">
        <w:rPr>
          <w:rFonts w:hint="eastAsia"/>
        </w:rPr>
        <w:t>设计应符合本</w:t>
      </w:r>
      <w:r w:rsidR="00F52637" w:rsidRPr="00FD50F6">
        <w:rPr>
          <w:rFonts w:hint="eastAsia"/>
        </w:rPr>
        <w:t>标准</w:t>
      </w:r>
      <w:r w:rsidRPr="00FD50F6">
        <w:rPr>
          <w:rFonts w:hint="eastAsia"/>
        </w:rPr>
        <w:t>第</w:t>
      </w:r>
      <w:r w:rsidR="00CD74AA" w:rsidRPr="00FD50F6">
        <w:rPr>
          <w:rFonts w:hint="eastAsia"/>
        </w:rPr>
        <w:t>10</w:t>
      </w:r>
      <w:r w:rsidRPr="00FD50F6">
        <w:rPr>
          <w:rFonts w:hint="eastAsia"/>
        </w:rPr>
        <w:t>章的规定。</w:t>
      </w:r>
    </w:p>
    <w:p w14:paraId="7DB049E4" w14:textId="0133FCBF" w:rsidR="00E70BF7" w:rsidRPr="00FD50F6" w:rsidRDefault="00E70BF7" w:rsidP="00634619">
      <w:pPr>
        <w:pStyle w:val="30"/>
      </w:pPr>
      <w:r w:rsidRPr="00FD50F6">
        <w:rPr>
          <w:rFonts w:hint="eastAsia"/>
        </w:rPr>
        <w:t>风亭口部的噪声应符合现行国家标准《声环境质量标准》</w:t>
      </w:r>
      <w:r w:rsidRPr="00FD50F6">
        <w:t>GB 3096</w:t>
      </w:r>
      <w:r w:rsidRPr="00FD50F6">
        <w:rPr>
          <w:rFonts w:hint="eastAsia"/>
        </w:rPr>
        <w:t>的规定。</w:t>
      </w:r>
    </w:p>
    <w:p w14:paraId="6F0FB892" w14:textId="4273CAC8" w:rsidR="00E70BF7" w:rsidRPr="00FD50F6" w:rsidRDefault="00E70BF7" w:rsidP="00634619">
      <w:pPr>
        <w:pStyle w:val="30"/>
      </w:pPr>
      <w:r w:rsidRPr="00FD50F6">
        <w:rPr>
          <w:rFonts w:hint="eastAsia"/>
        </w:rPr>
        <w:t>站台板下和列车顶部土建排风道的风速不宜大于</w:t>
      </w:r>
      <w:r w:rsidRPr="00FD50F6">
        <w:rPr>
          <w:rFonts w:hint="eastAsia"/>
        </w:rPr>
        <w:t>12</w:t>
      </w:r>
      <w:r w:rsidRPr="00FD50F6">
        <w:t xml:space="preserve"> m/s</w:t>
      </w:r>
      <w:r w:rsidRPr="00FD50F6">
        <w:rPr>
          <w:rFonts w:hint="eastAsia"/>
        </w:rPr>
        <w:t>，其他土建风道和风井的风速不宜大于</w:t>
      </w:r>
      <w:r w:rsidRPr="00FD50F6">
        <w:rPr>
          <w:rFonts w:hint="eastAsia"/>
        </w:rPr>
        <w:t>8</w:t>
      </w:r>
      <w:r w:rsidRPr="00FD50F6">
        <w:t>m/s</w:t>
      </w:r>
      <w:r w:rsidRPr="00FD50F6">
        <w:rPr>
          <w:rFonts w:hint="eastAsia"/>
        </w:rPr>
        <w:t>；风亭侧面的百叶风口风速不宜大于</w:t>
      </w:r>
      <w:r w:rsidRPr="00FD50F6">
        <w:t>4m/s</w:t>
      </w:r>
      <w:r w:rsidRPr="00FD50F6">
        <w:rPr>
          <w:rFonts w:hint="eastAsia"/>
        </w:rPr>
        <w:t>，风亭顶面的网状格栅风口风速不宜大于</w:t>
      </w:r>
      <w:r w:rsidRPr="00FD50F6">
        <w:t>6 m/s</w:t>
      </w:r>
      <w:r w:rsidRPr="00FD50F6">
        <w:rPr>
          <w:rFonts w:hint="eastAsia"/>
        </w:rPr>
        <w:t>。</w:t>
      </w:r>
    </w:p>
    <w:p w14:paraId="1FDEECA3" w14:textId="6F37389D" w:rsidR="00E70BF7" w:rsidRPr="00FD50F6" w:rsidRDefault="00E70BF7" w:rsidP="00634619">
      <w:pPr>
        <w:pStyle w:val="30"/>
      </w:pPr>
      <w:r w:rsidRPr="00FD50F6">
        <w:rPr>
          <w:rFonts w:hint="eastAsia"/>
        </w:rPr>
        <w:t>土建风道应采取防漏风措施，空调系统的土建送风道应采取保温措施。</w:t>
      </w:r>
    </w:p>
    <w:p w14:paraId="290EBF52" w14:textId="3483E229" w:rsidR="00E70BF7" w:rsidRPr="00FD50F6" w:rsidRDefault="00E70BF7" w:rsidP="00634619">
      <w:pPr>
        <w:pStyle w:val="30"/>
      </w:pPr>
      <w:r w:rsidRPr="00FD50F6">
        <w:rPr>
          <w:rFonts w:hint="eastAsia"/>
        </w:rPr>
        <w:t>严寒地区的风井口部或风井与土建风道连接处宜设置密闭保温措施。</w:t>
      </w:r>
    </w:p>
    <w:p w14:paraId="4A021A5B" w14:textId="77777777"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bookmarkStart w:id="551" w:name="_Toc236493454"/>
      <w:bookmarkStart w:id="552" w:name="_Toc236671837"/>
      <w:bookmarkStart w:id="553" w:name="_Toc306206734"/>
      <w:r w:rsidRPr="00FD50F6">
        <w:rPr>
          <w:rFonts w:ascii="宋体" w:hAnsi="宋体" w:cs="宋体" w:hint="eastAsia"/>
          <w:b/>
          <w:szCs w:val="24"/>
        </w:rPr>
        <w:t>Ⅵ</w:t>
      </w:r>
      <w:r w:rsidRPr="00FD50F6">
        <w:rPr>
          <w:rFonts w:ascii="Times New Roman" w:hAnsi="Times New Roman" w:cs="Times New Roman"/>
          <w:b/>
          <w:szCs w:val="24"/>
        </w:rPr>
        <w:t xml:space="preserve">  </w:t>
      </w:r>
      <w:bookmarkEnd w:id="551"/>
      <w:bookmarkEnd w:id="552"/>
      <w:bookmarkEnd w:id="553"/>
      <w:r w:rsidRPr="00FD50F6">
        <w:rPr>
          <w:rFonts w:ascii="Times New Roman" w:hAnsi="Times New Roman" w:cs="Times New Roman"/>
          <w:b/>
          <w:szCs w:val="24"/>
        </w:rPr>
        <w:t>供暖</w:t>
      </w:r>
    </w:p>
    <w:p w14:paraId="4DB9FB7C" w14:textId="428813F0" w:rsidR="00E70BF7" w:rsidRPr="00FD50F6" w:rsidRDefault="00E70BF7" w:rsidP="00634619">
      <w:pPr>
        <w:pStyle w:val="30"/>
      </w:pPr>
      <w:r w:rsidRPr="00FD50F6">
        <w:rPr>
          <w:rFonts w:hint="eastAsia"/>
        </w:rPr>
        <w:t>车站公共区及区间隧道可不设供暖；设备与管理用房应根据当地气象条件和房间使用要求设置供暖。</w:t>
      </w:r>
    </w:p>
    <w:p w14:paraId="3C006B17" w14:textId="7971BE3E" w:rsidR="00E70BF7" w:rsidRPr="00FD50F6" w:rsidRDefault="00E70BF7" w:rsidP="00634619">
      <w:pPr>
        <w:pStyle w:val="30"/>
      </w:pPr>
      <w:r w:rsidRPr="00FD50F6">
        <w:rPr>
          <w:rFonts w:hint="eastAsia"/>
        </w:rPr>
        <w:t>供暖宜利用热泵提供热源；当无法利用热泵时，可采用局部电加热供暖。</w:t>
      </w:r>
    </w:p>
    <w:p w14:paraId="1D8F1856" w14:textId="1B9C4B7C" w:rsidR="00E70BF7" w:rsidRPr="00FD50F6" w:rsidRDefault="00E70BF7" w:rsidP="00634619">
      <w:pPr>
        <w:pStyle w:val="30"/>
      </w:pPr>
      <w:r w:rsidRPr="00FD50F6">
        <w:rPr>
          <w:rFonts w:hint="eastAsia"/>
        </w:rPr>
        <w:lastRenderedPageBreak/>
        <w:t>严寒地区的车站出入口宜采取阻挡冷风侵入的措施。</w:t>
      </w:r>
    </w:p>
    <w:p w14:paraId="037EA6DD" w14:textId="77777777" w:rsidR="00E70BF7" w:rsidRPr="00FD50F6" w:rsidRDefault="00E70BF7" w:rsidP="00A65181">
      <w:pPr>
        <w:pStyle w:val="2"/>
      </w:pPr>
      <w:bookmarkStart w:id="554" w:name="_Toc112830745"/>
      <w:r w:rsidRPr="00FD50F6">
        <w:rPr>
          <w:rFonts w:hint="eastAsia"/>
        </w:rPr>
        <w:t>地上线路与地上建筑</w:t>
      </w:r>
      <w:bookmarkEnd w:id="554"/>
    </w:p>
    <w:p w14:paraId="2CD412BA" w14:textId="77777777"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bookmarkStart w:id="555" w:name="_Toc236493456"/>
      <w:bookmarkStart w:id="556" w:name="_Toc236671839"/>
      <w:bookmarkStart w:id="557" w:name="_Toc306206736"/>
      <w:r w:rsidRPr="00FD50F6">
        <w:rPr>
          <w:rFonts w:ascii="宋体" w:hAnsi="宋体" w:cs="宋体" w:hint="eastAsia"/>
          <w:b/>
          <w:szCs w:val="24"/>
        </w:rPr>
        <w:t>Ⅰ</w:t>
      </w:r>
      <w:r w:rsidRPr="00FD50F6">
        <w:rPr>
          <w:rFonts w:ascii="Times New Roman" w:hAnsi="Times New Roman" w:cs="Times New Roman"/>
          <w:b/>
          <w:szCs w:val="24"/>
        </w:rPr>
        <w:t xml:space="preserve">  </w:t>
      </w:r>
      <w:r w:rsidRPr="00FD50F6">
        <w:rPr>
          <w:rFonts w:ascii="Times New Roman" w:hAnsi="Times New Roman" w:cs="Times New Roman"/>
          <w:b/>
          <w:szCs w:val="24"/>
        </w:rPr>
        <w:t>通风与空调</w:t>
      </w:r>
      <w:bookmarkEnd w:id="555"/>
      <w:bookmarkEnd w:id="556"/>
      <w:bookmarkEnd w:id="557"/>
    </w:p>
    <w:p w14:paraId="5EDF2403" w14:textId="584D3AA7" w:rsidR="00E70BF7" w:rsidRPr="00FD50F6" w:rsidRDefault="00E70BF7" w:rsidP="00634619">
      <w:pPr>
        <w:pStyle w:val="30"/>
      </w:pPr>
      <w:r w:rsidRPr="00FD50F6">
        <w:t>车站公共区应采用自然通风</w:t>
      </w:r>
      <w:r w:rsidR="00695620" w:rsidRPr="00FD50F6">
        <w:rPr>
          <w:rFonts w:hint="eastAsia"/>
        </w:rPr>
        <w:t>，</w:t>
      </w:r>
      <w:r w:rsidRPr="00FD50F6">
        <w:rPr>
          <w:rFonts w:hint="eastAsia"/>
        </w:rPr>
        <w:t>当自然通风不能满足要求时</w:t>
      </w:r>
      <w:r w:rsidRPr="00FD50F6">
        <w:t>，站厅公共区可设置机械通风或空调系统。</w:t>
      </w:r>
    </w:p>
    <w:p w14:paraId="02FCAF22" w14:textId="20B12C70" w:rsidR="00E70BF7" w:rsidRPr="00FD50F6" w:rsidRDefault="00E70BF7" w:rsidP="00634619">
      <w:pPr>
        <w:pStyle w:val="30"/>
      </w:pPr>
      <w:r w:rsidRPr="00FD50F6">
        <w:t>区间应采用自然通风</w:t>
      </w:r>
      <w:r w:rsidRPr="00FD50F6">
        <w:rPr>
          <w:rFonts w:hint="eastAsia"/>
        </w:rPr>
        <w:t>，连续长度小于</w:t>
      </w:r>
      <w:r w:rsidRPr="00FD50F6">
        <w:rPr>
          <w:rFonts w:hint="eastAsia"/>
        </w:rPr>
        <w:t>300m</w:t>
      </w:r>
      <w:r w:rsidRPr="00FD50F6">
        <w:rPr>
          <w:rFonts w:hint="eastAsia"/>
        </w:rPr>
        <w:t>的独立封闭声屏障区间可仅利用两端开口</w:t>
      </w:r>
      <w:r w:rsidRPr="00FD50F6">
        <w:t>自然</w:t>
      </w:r>
      <w:r w:rsidRPr="00FD50F6">
        <w:rPr>
          <w:rFonts w:hint="eastAsia"/>
        </w:rPr>
        <w:t>通风。</w:t>
      </w:r>
    </w:p>
    <w:p w14:paraId="091916D1" w14:textId="31212C2B" w:rsidR="00E70BF7" w:rsidRPr="00FD50F6" w:rsidRDefault="00E70BF7" w:rsidP="00634619">
      <w:pPr>
        <w:pStyle w:val="30"/>
      </w:pPr>
      <w:r w:rsidRPr="00FD50F6">
        <w:rPr>
          <w:rFonts w:hint="eastAsia"/>
        </w:rPr>
        <w:t>当采用通风系统时，车站站厅公共区的夏季空气设计温度不应超过</w:t>
      </w:r>
      <w:r w:rsidRPr="00FD50F6">
        <w:rPr>
          <w:rFonts w:hint="eastAsia"/>
        </w:rPr>
        <w:t>35</w:t>
      </w:r>
      <w:r w:rsidRPr="00FD50F6">
        <w:rPr>
          <w:rFonts w:hint="eastAsia"/>
        </w:rPr>
        <w:t>℃，且不应超过室外空气计算温度</w:t>
      </w:r>
      <w:r w:rsidRPr="00FD50F6">
        <w:rPr>
          <w:rFonts w:hint="eastAsia"/>
        </w:rPr>
        <w:t>3</w:t>
      </w:r>
      <w:r w:rsidRPr="00FD50F6">
        <w:rPr>
          <w:rFonts w:hint="eastAsia"/>
        </w:rPr>
        <w:t>℃。</w:t>
      </w:r>
    </w:p>
    <w:p w14:paraId="186EE515" w14:textId="60A82AE9" w:rsidR="00E70BF7" w:rsidRPr="00FD50F6" w:rsidRDefault="00E70BF7" w:rsidP="00634619">
      <w:pPr>
        <w:pStyle w:val="30"/>
      </w:pPr>
      <w:r w:rsidRPr="00FD50F6">
        <w:rPr>
          <w:rFonts w:hint="eastAsia"/>
        </w:rPr>
        <w:t>当车站站厅公共区设置空调系统时，</w:t>
      </w:r>
      <w:r w:rsidRPr="00FD50F6">
        <w:t>应符合下列规定：</w:t>
      </w:r>
    </w:p>
    <w:p w14:paraId="715711AB" w14:textId="2E831CD0" w:rsidR="00E70BF7" w:rsidRPr="00FD50F6" w:rsidRDefault="00E70BF7" w:rsidP="00A926BD">
      <w:pPr>
        <w:pStyle w:val="4"/>
      </w:pPr>
      <w:r w:rsidRPr="00FD50F6">
        <w:rPr>
          <w:rFonts w:hint="eastAsia"/>
        </w:rPr>
        <w:t>空调区域的夏季空气设计温度不应超过</w:t>
      </w:r>
      <w:r w:rsidRPr="00FD50F6">
        <w:rPr>
          <w:rFonts w:hint="eastAsia"/>
        </w:rPr>
        <w:t>30</w:t>
      </w:r>
      <w:r w:rsidRPr="00FD50F6">
        <w:rPr>
          <w:rFonts w:hint="eastAsia"/>
        </w:rPr>
        <w:t>℃，相对湿度不应大于</w:t>
      </w:r>
      <w:r w:rsidRPr="00FD50F6">
        <w:rPr>
          <w:rFonts w:hint="eastAsia"/>
        </w:rPr>
        <w:t>70</w:t>
      </w:r>
      <w:r w:rsidRPr="00FD50F6">
        <w:rPr>
          <w:rFonts w:hint="eastAsia"/>
        </w:rPr>
        <w:t>％；</w:t>
      </w:r>
    </w:p>
    <w:p w14:paraId="344DD26B" w14:textId="76F52E2D" w:rsidR="00E70BF7" w:rsidRPr="00FD50F6" w:rsidRDefault="00E70BF7" w:rsidP="00A926BD">
      <w:pPr>
        <w:pStyle w:val="4"/>
      </w:pPr>
      <w:r w:rsidRPr="00FD50F6">
        <w:t>站厅通向站台的楼梯口、扶梯口以及出入口等处宜设置风幕。</w:t>
      </w:r>
    </w:p>
    <w:p w14:paraId="72250A7A" w14:textId="17537063" w:rsidR="00E70BF7" w:rsidRPr="00FD50F6" w:rsidRDefault="00E70BF7" w:rsidP="00634619">
      <w:pPr>
        <w:pStyle w:val="30"/>
      </w:pPr>
      <w:r w:rsidRPr="00FD50F6">
        <w:rPr>
          <w:rFonts w:hint="eastAsia"/>
        </w:rPr>
        <w:t>车站</w:t>
      </w:r>
      <w:r w:rsidRPr="00FD50F6">
        <w:t>设备与管理用房</w:t>
      </w:r>
      <w:r w:rsidRPr="00FD50F6">
        <w:rPr>
          <w:rFonts w:hint="eastAsia"/>
        </w:rPr>
        <w:t>通风空调</w:t>
      </w:r>
      <w:r w:rsidRPr="00FD50F6">
        <w:t>温湿度</w:t>
      </w:r>
      <w:r w:rsidRPr="00FD50F6">
        <w:rPr>
          <w:rFonts w:hint="eastAsia"/>
        </w:rPr>
        <w:t>设计参数</w:t>
      </w:r>
      <w:r w:rsidRPr="00FD50F6">
        <w:t>应按</w:t>
      </w:r>
      <w:r w:rsidR="00783902" w:rsidRPr="00FD50F6">
        <w:rPr>
          <w:rFonts w:hint="eastAsia"/>
        </w:rPr>
        <w:t>本标准</w:t>
      </w:r>
      <w:r w:rsidRPr="00FD50F6">
        <w:t>表</w:t>
      </w:r>
      <w:r w:rsidRPr="00FD50F6">
        <w:t>1</w:t>
      </w:r>
      <w:r w:rsidR="00CD74AA" w:rsidRPr="00FD50F6">
        <w:t>4</w:t>
      </w:r>
      <w:r w:rsidRPr="00FD50F6">
        <w:t>.2.</w:t>
      </w:r>
      <w:r w:rsidRPr="00FD50F6">
        <w:rPr>
          <w:rFonts w:hint="eastAsia"/>
        </w:rPr>
        <w:t>35</w:t>
      </w:r>
      <w:r w:rsidRPr="00FD50F6">
        <w:t>的规定执行。</w:t>
      </w:r>
    </w:p>
    <w:p w14:paraId="120FCDE7" w14:textId="35A611C4" w:rsidR="00E70BF7" w:rsidRPr="00FD50F6" w:rsidRDefault="00E70BF7" w:rsidP="00634619">
      <w:pPr>
        <w:pStyle w:val="30"/>
      </w:pPr>
      <w:r w:rsidRPr="00FD50F6">
        <w:rPr>
          <w:rFonts w:hint="eastAsia"/>
        </w:rPr>
        <w:t>当采用机械通风时，车辆基地的运用库和检修库的换气次数不宜小于</w:t>
      </w:r>
      <w:r w:rsidRPr="00FD50F6">
        <w:rPr>
          <w:rFonts w:hint="eastAsia"/>
        </w:rPr>
        <w:t>1</w:t>
      </w:r>
      <w:r w:rsidRPr="00FD50F6">
        <w:rPr>
          <w:rFonts w:hint="eastAsia"/>
        </w:rPr>
        <w:t>次</w:t>
      </w:r>
      <w:r w:rsidRPr="00FD50F6">
        <w:rPr>
          <w:rFonts w:hint="eastAsia"/>
        </w:rPr>
        <w:t>/h</w:t>
      </w:r>
      <w:r w:rsidRPr="00FD50F6">
        <w:rPr>
          <w:rFonts w:hint="eastAsia"/>
        </w:rPr>
        <w:t>；当房间高度大于</w:t>
      </w:r>
      <w:r w:rsidRPr="00FD50F6">
        <w:rPr>
          <w:rFonts w:hint="eastAsia"/>
        </w:rPr>
        <w:t>6m</w:t>
      </w:r>
      <w:r w:rsidRPr="00FD50F6">
        <w:rPr>
          <w:rFonts w:hint="eastAsia"/>
        </w:rPr>
        <w:t>时，机械通风量可按</w:t>
      </w:r>
      <w:r w:rsidRPr="00FD50F6">
        <w:rPr>
          <w:rFonts w:hint="eastAsia"/>
        </w:rPr>
        <w:t>6m</w:t>
      </w:r>
      <w:r w:rsidRPr="00FD50F6">
        <w:rPr>
          <w:rFonts w:hint="eastAsia"/>
          <w:vertAlign w:val="superscript"/>
        </w:rPr>
        <w:t>3</w:t>
      </w:r>
      <w:r w:rsidRPr="00FD50F6">
        <w:rPr>
          <w:rFonts w:hint="eastAsia"/>
        </w:rPr>
        <w:t>/</w:t>
      </w:r>
      <w:r w:rsidRPr="00FD50F6">
        <w:rPr>
          <w:rFonts w:hint="eastAsia"/>
        </w:rPr>
        <w:t>（</w:t>
      </w:r>
      <w:r w:rsidRPr="00FD50F6">
        <w:rPr>
          <w:rFonts w:hint="eastAsia"/>
        </w:rPr>
        <w:t>m</w:t>
      </w:r>
      <w:r w:rsidRPr="00FD50F6">
        <w:rPr>
          <w:rFonts w:hint="eastAsia"/>
          <w:vertAlign w:val="superscript"/>
        </w:rPr>
        <w:t>2</w:t>
      </w:r>
      <w:r w:rsidRPr="00FD50F6">
        <w:rPr>
          <w:rFonts w:hint="eastAsia"/>
        </w:rPr>
        <w:t>·</w:t>
      </w:r>
      <w:r w:rsidRPr="00FD50F6">
        <w:rPr>
          <w:rFonts w:hint="eastAsia"/>
        </w:rPr>
        <w:t>h</w:t>
      </w:r>
      <w:r w:rsidRPr="00FD50F6">
        <w:rPr>
          <w:rFonts w:hint="eastAsia"/>
        </w:rPr>
        <w:t>）计算。</w:t>
      </w:r>
    </w:p>
    <w:p w14:paraId="4F637BB9" w14:textId="77777777" w:rsidR="00E70BF7" w:rsidRPr="00FD50F6" w:rsidRDefault="00E70BF7" w:rsidP="00E70BF7">
      <w:pPr>
        <w:adjustRightInd w:val="0"/>
        <w:snapToGrid w:val="0"/>
        <w:spacing w:beforeLines="50" w:before="120" w:afterLines="50" w:after="120"/>
        <w:jc w:val="center"/>
        <w:outlineLvl w:val="2"/>
        <w:rPr>
          <w:rFonts w:ascii="Times New Roman" w:hAnsi="Times New Roman" w:cs="Times New Roman"/>
          <w:b/>
          <w:szCs w:val="24"/>
        </w:rPr>
      </w:pPr>
      <w:bookmarkStart w:id="558" w:name="_Toc236493457"/>
      <w:bookmarkStart w:id="559" w:name="_Toc236671840"/>
      <w:bookmarkStart w:id="560" w:name="_Toc306206737"/>
      <w:r w:rsidRPr="00FD50F6">
        <w:rPr>
          <w:rFonts w:ascii="宋体" w:hAnsi="宋体" w:cs="宋体" w:hint="eastAsia"/>
          <w:b/>
          <w:szCs w:val="24"/>
        </w:rPr>
        <w:t>Ⅱ</w:t>
      </w:r>
      <w:r w:rsidRPr="00FD50F6">
        <w:rPr>
          <w:rFonts w:ascii="Times New Roman" w:hAnsi="Times New Roman" w:cs="Times New Roman"/>
          <w:b/>
          <w:szCs w:val="24"/>
        </w:rPr>
        <w:t xml:space="preserve">  </w:t>
      </w:r>
      <w:r w:rsidRPr="00FD50F6">
        <w:rPr>
          <w:rFonts w:ascii="Times New Roman" w:hAnsi="Times New Roman" w:cs="Times New Roman" w:hint="eastAsia"/>
          <w:b/>
          <w:szCs w:val="24"/>
        </w:rPr>
        <w:t>供</w:t>
      </w:r>
      <w:r w:rsidRPr="00FD50F6">
        <w:rPr>
          <w:rFonts w:ascii="Times New Roman" w:hAnsi="Times New Roman" w:cs="Times New Roman"/>
          <w:b/>
          <w:szCs w:val="24"/>
        </w:rPr>
        <w:t>暖</w:t>
      </w:r>
      <w:bookmarkEnd w:id="558"/>
      <w:bookmarkEnd w:id="559"/>
      <w:bookmarkEnd w:id="560"/>
    </w:p>
    <w:p w14:paraId="368E3CA7" w14:textId="3F0451D0" w:rsidR="00E70BF7" w:rsidRPr="00FD50F6" w:rsidRDefault="00E70BF7" w:rsidP="00634619">
      <w:pPr>
        <w:pStyle w:val="30"/>
      </w:pPr>
      <w:r w:rsidRPr="00FD50F6">
        <w:rPr>
          <w:rFonts w:hint="eastAsia"/>
        </w:rPr>
        <w:t>严寒地区的车站封闭式站厅公共区应设置供暖，站台可不设置供暖。</w:t>
      </w:r>
    </w:p>
    <w:p w14:paraId="09B9A159" w14:textId="23C36897" w:rsidR="00E70BF7" w:rsidRPr="00FD50F6" w:rsidRDefault="00E70BF7" w:rsidP="00634619">
      <w:pPr>
        <w:pStyle w:val="30"/>
      </w:pPr>
      <w:r w:rsidRPr="00FD50F6">
        <w:rPr>
          <w:rFonts w:hint="eastAsia"/>
        </w:rPr>
        <w:t>当车站站厅公共区设置供暖时，</w:t>
      </w:r>
      <w:r w:rsidRPr="00FD50F6">
        <w:t>应符合下列规定：</w:t>
      </w:r>
    </w:p>
    <w:p w14:paraId="316F7C2B" w14:textId="77777777" w:rsidR="00E70BF7" w:rsidRPr="00FD50F6" w:rsidRDefault="00E70BF7" w:rsidP="00A926BD">
      <w:pPr>
        <w:pStyle w:val="4"/>
      </w:pPr>
      <w:r w:rsidRPr="00FD50F6">
        <w:rPr>
          <w:rFonts w:hint="eastAsia"/>
        </w:rPr>
        <w:t>供暖区域的空气设计温度不应低于</w:t>
      </w:r>
      <w:r w:rsidRPr="00FD50F6">
        <w:rPr>
          <w:rFonts w:hint="eastAsia"/>
        </w:rPr>
        <w:t>12</w:t>
      </w:r>
      <w:r w:rsidRPr="00FD50F6">
        <w:rPr>
          <w:rFonts w:hint="eastAsia"/>
        </w:rPr>
        <w:t>℃；</w:t>
      </w:r>
    </w:p>
    <w:p w14:paraId="1CFB573D" w14:textId="77777777" w:rsidR="00E70BF7" w:rsidRPr="00FD50F6" w:rsidRDefault="00E70BF7" w:rsidP="00A926BD">
      <w:pPr>
        <w:pStyle w:val="4"/>
      </w:pPr>
      <w:r w:rsidRPr="00FD50F6">
        <w:t>站厅的出入口和站厅通向</w:t>
      </w:r>
      <w:r w:rsidRPr="00FD50F6">
        <w:rPr>
          <w:rFonts w:hint="eastAsia"/>
        </w:rPr>
        <w:t>不供暖</w:t>
      </w:r>
      <w:r w:rsidRPr="00FD50F6">
        <w:t>站台的楼梯口、扶梯口应设热风幕。</w:t>
      </w:r>
    </w:p>
    <w:p w14:paraId="714E7BED" w14:textId="3615B136" w:rsidR="00E70BF7" w:rsidRPr="00FD50F6" w:rsidRDefault="00E70BF7" w:rsidP="00634619">
      <w:pPr>
        <w:pStyle w:val="30"/>
      </w:pPr>
      <w:r w:rsidRPr="00FD50F6">
        <w:rPr>
          <w:rFonts w:hint="eastAsia"/>
        </w:rPr>
        <w:t>车站设备与管理用房应根据当地气象条件和房间使用要求设置供暖，供暖室内设计温度</w:t>
      </w:r>
      <w:r w:rsidRPr="00FD50F6">
        <w:t>应按</w:t>
      </w:r>
      <w:r w:rsidR="00F64C4E" w:rsidRPr="00FD50F6">
        <w:rPr>
          <w:rFonts w:hint="eastAsia"/>
        </w:rPr>
        <w:t>本标准</w:t>
      </w:r>
      <w:r w:rsidRPr="00FD50F6">
        <w:t>表</w:t>
      </w:r>
      <w:r w:rsidRPr="00FD50F6">
        <w:t>1</w:t>
      </w:r>
      <w:r w:rsidR="00CD74AA" w:rsidRPr="00FD50F6">
        <w:t>4</w:t>
      </w:r>
      <w:r w:rsidRPr="00FD50F6">
        <w:t>.2.</w:t>
      </w:r>
      <w:r w:rsidRPr="00FD50F6">
        <w:rPr>
          <w:rFonts w:hint="eastAsia"/>
        </w:rPr>
        <w:t>35</w:t>
      </w:r>
      <w:r w:rsidRPr="00FD50F6">
        <w:t>的规定执行。</w:t>
      </w:r>
    </w:p>
    <w:p w14:paraId="6AF518D9" w14:textId="25903B12" w:rsidR="00E70BF7" w:rsidRPr="00FD50F6" w:rsidRDefault="00E70BF7" w:rsidP="00634619">
      <w:pPr>
        <w:pStyle w:val="30"/>
      </w:pPr>
      <w:r w:rsidRPr="00FD50F6">
        <w:rPr>
          <w:rFonts w:hint="eastAsia"/>
        </w:rPr>
        <w:t>车辆基地的运用库和检修库供暖室内空气设计温度应为</w:t>
      </w:r>
      <w:r w:rsidRPr="00FD50F6">
        <w:rPr>
          <w:rFonts w:hint="eastAsia"/>
        </w:rPr>
        <w:t>12</w:t>
      </w:r>
      <w:r w:rsidRPr="00FD50F6">
        <w:rPr>
          <w:rFonts w:hint="eastAsia"/>
        </w:rPr>
        <w:t>℃，值班供暖室内空气设计温度应为</w:t>
      </w:r>
      <w:r w:rsidRPr="00FD50F6">
        <w:rPr>
          <w:rFonts w:hint="eastAsia"/>
        </w:rPr>
        <w:t>5</w:t>
      </w:r>
      <w:r w:rsidRPr="00FD50F6">
        <w:rPr>
          <w:rFonts w:hint="eastAsia"/>
        </w:rPr>
        <w:t>℃。</w:t>
      </w:r>
    </w:p>
    <w:p w14:paraId="0F9A69BF" w14:textId="2936E50D" w:rsidR="00E70BF7" w:rsidRPr="00FD50F6" w:rsidRDefault="00E70BF7" w:rsidP="00634619">
      <w:pPr>
        <w:pStyle w:val="30"/>
      </w:pPr>
      <w:r w:rsidRPr="00FD50F6">
        <w:rPr>
          <w:rFonts w:hint="eastAsia"/>
        </w:rPr>
        <w:t>供暖热源宜采用城市或区域热力网；当无条件采用时，宜通过经济技术分析确定</w:t>
      </w:r>
      <w:r w:rsidRPr="00FD50F6">
        <w:t>热源</w:t>
      </w:r>
      <w:r w:rsidRPr="00FD50F6">
        <w:rPr>
          <w:rFonts w:hint="eastAsia"/>
        </w:rPr>
        <w:t>方式。</w:t>
      </w:r>
    </w:p>
    <w:p w14:paraId="31D7802E" w14:textId="77777777" w:rsidR="00E70BF7" w:rsidRPr="00FD50F6" w:rsidRDefault="00E70BF7" w:rsidP="00A65181">
      <w:pPr>
        <w:pStyle w:val="2"/>
      </w:pPr>
      <w:bookmarkStart w:id="561" w:name="_Toc112830746"/>
      <w:r w:rsidRPr="00FD50F6">
        <w:rPr>
          <w:rFonts w:hint="eastAsia"/>
        </w:rPr>
        <w:lastRenderedPageBreak/>
        <w:t>监测与</w:t>
      </w:r>
      <w:r w:rsidRPr="00FD50F6">
        <w:t>控制</w:t>
      </w:r>
      <w:bookmarkEnd w:id="561"/>
    </w:p>
    <w:p w14:paraId="335D3C9A" w14:textId="39FDF073" w:rsidR="00E70BF7" w:rsidRPr="00FD50F6" w:rsidRDefault="00E70BF7" w:rsidP="00634619">
      <w:pPr>
        <w:pStyle w:val="30"/>
      </w:pPr>
      <w:r w:rsidRPr="00FD50F6">
        <w:rPr>
          <w:rFonts w:hint="eastAsia"/>
        </w:rPr>
        <w:t>通风空调系统的监测与控制分级应符合下列规定：</w:t>
      </w:r>
    </w:p>
    <w:p w14:paraId="1AEABC42" w14:textId="5DFE459D" w:rsidR="00E70BF7" w:rsidRPr="00FD50F6" w:rsidRDefault="00E70BF7" w:rsidP="00A926BD">
      <w:pPr>
        <w:pStyle w:val="4"/>
      </w:pPr>
      <w:r w:rsidRPr="00FD50F6">
        <w:rPr>
          <w:rFonts w:hint="eastAsia"/>
        </w:rPr>
        <w:t>隧道通风系统、地下车站公共区通风与空调系统宜设现场级、车站级、中央级三级监控；</w:t>
      </w:r>
    </w:p>
    <w:p w14:paraId="3A45016D" w14:textId="7EC19011" w:rsidR="00E70BF7" w:rsidRPr="00FD50F6" w:rsidRDefault="00E70BF7" w:rsidP="00A926BD">
      <w:pPr>
        <w:pStyle w:val="4"/>
      </w:pPr>
      <w:r w:rsidRPr="00FD50F6">
        <w:rPr>
          <w:rFonts w:hint="eastAsia"/>
        </w:rPr>
        <w:t>地下车站设备与管理用房通风与空调系统、地上车站通风与空调系统宜设现场级、车站级两级监控。</w:t>
      </w:r>
    </w:p>
    <w:p w14:paraId="04547716" w14:textId="62C0DBED" w:rsidR="00E70BF7" w:rsidRPr="00FD50F6" w:rsidRDefault="00E70BF7" w:rsidP="00634619">
      <w:pPr>
        <w:pStyle w:val="30"/>
      </w:pPr>
      <w:r w:rsidRPr="00FD50F6">
        <w:rPr>
          <w:rFonts w:hint="eastAsia"/>
        </w:rPr>
        <w:t>通风空调系统监测与控制应实现系统的参数检测、参数与设备状态显示、自动调节与控制、工况自动转换、设备连锁与自动保护、能量计量及中央监控与管理等功能。</w:t>
      </w:r>
    </w:p>
    <w:p w14:paraId="37693B38" w14:textId="1BC207C3" w:rsidR="00E70BF7" w:rsidRPr="00FD50F6" w:rsidRDefault="00E70BF7" w:rsidP="00634619">
      <w:pPr>
        <w:pStyle w:val="30"/>
      </w:pPr>
      <w:r w:rsidRPr="00FD50F6">
        <w:rPr>
          <w:rFonts w:hint="eastAsia"/>
        </w:rPr>
        <w:t>通风与空调系统的运行工况模式应包含正常运行、阻塞运行、火灾运行及人防运行模式。</w:t>
      </w:r>
    </w:p>
    <w:p w14:paraId="23D34892" w14:textId="7B93C7FA" w:rsidR="00D70A4C" w:rsidRPr="00FD50F6" w:rsidRDefault="00D70A4C">
      <w:pPr>
        <w:widowControl/>
        <w:spacing w:line="240" w:lineRule="auto"/>
        <w:jc w:val="left"/>
      </w:pPr>
      <w:r w:rsidRPr="00FD50F6">
        <w:br w:type="page"/>
      </w:r>
    </w:p>
    <w:p w14:paraId="70D38F3C" w14:textId="77777777" w:rsidR="00DC2C74" w:rsidRPr="00FD50F6" w:rsidRDefault="00DC2C74" w:rsidP="00DC2C74">
      <w:pPr>
        <w:pStyle w:val="12"/>
      </w:pPr>
      <w:bookmarkStart w:id="562" w:name="_Toc306206739"/>
      <w:bookmarkStart w:id="563" w:name="_Toc320196026"/>
      <w:bookmarkStart w:id="564" w:name="_Toc320643416"/>
      <w:bookmarkStart w:id="565" w:name="_Toc344218777"/>
      <w:bookmarkStart w:id="566" w:name="_Toc112830747"/>
      <w:bookmarkStart w:id="567" w:name="_Toc236494098"/>
      <w:bookmarkStart w:id="568" w:name="_Toc236717294"/>
      <w:bookmarkStart w:id="569" w:name="_Toc306206747"/>
      <w:bookmarkStart w:id="570" w:name="_Toc320196032"/>
      <w:bookmarkStart w:id="571" w:name="_Toc320643422"/>
      <w:bookmarkStart w:id="572" w:name="_Toc344218783"/>
      <w:r w:rsidRPr="00FD50F6">
        <w:lastRenderedPageBreak/>
        <w:t>给水与排水</w:t>
      </w:r>
      <w:bookmarkEnd w:id="562"/>
      <w:bookmarkEnd w:id="563"/>
      <w:bookmarkEnd w:id="564"/>
      <w:bookmarkEnd w:id="565"/>
      <w:bookmarkEnd w:id="566"/>
    </w:p>
    <w:p w14:paraId="7F2AD1C0" w14:textId="77777777" w:rsidR="00DC2C74" w:rsidRPr="00FD50F6" w:rsidRDefault="00DC2C74" w:rsidP="00010C49">
      <w:pPr>
        <w:pStyle w:val="2"/>
        <w:numPr>
          <w:ilvl w:val="1"/>
          <w:numId w:val="22"/>
        </w:numPr>
      </w:pPr>
      <w:bookmarkStart w:id="573" w:name="_Toc306206740"/>
      <w:bookmarkStart w:id="574" w:name="_Toc320196027"/>
      <w:bookmarkStart w:id="575" w:name="_Toc320643417"/>
      <w:bookmarkStart w:id="576" w:name="_Toc344218778"/>
      <w:bookmarkStart w:id="577" w:name="_Toc112830748"/>
      <w:r w:rsidRPr="00FD50F6">
        <w:t>一般规定</w:t>
      </w:r>
      <w:bookmarkEnd w:id="573"/>
      <w:bookmarkEnd w:id="574"/>
      <w:bookmarkEnd w:id="575"/>
      <w:bookmarkEnd w:id="576"/>
      <w:bookmarkEnd w:id="577"/>
    </w:p>
    <w:p w14:paraId="28BDB4C1" w14:textId="77777777" w:rsidR="00DC2C74" w:rsidRPr="00FD50F6" w:rsidRDefault="00DC2C74" w:rsidP="00AC1333">
      <w:pPr>
        <w:pStyle w:val="30"/>
      </w:pPr>
      <w:r w:rsidRPr="00FD50F6">
        <w:t>地铁给水系统设计应满足生产、生活和消防用水对水量、水压和水质的要求，并应坚持综合利用、节约用水的原则。</w:t>
      </w:r>
    </w:p>
    <w:p w14:paraId="10CC0949" w14:textId="77777777" w:rsidR="00DC2C74" w:rsidRPr="00AC1333" w:rsidRDefault="00DC2C74" w:rsidP="00AC1333">
      <w:pPr>
        <w:pStyle w:val="30"/>
      </w:pPr>
      <w:r w:rsidRPr="00AC1333">
        <w:t>地铁给水水源应采用城市自来水，当沿线无城市自来水时，应采取其他可靠的给水水源。</w:t>
      </w:r>
      <w:r w:rsidRPr="00AC1333">
        <w:softHyphen/>
      </w:r>
      <w:r w:rsidRPr="00AC1333">
        <w:softHyphen/>
      </w:r>
      <w:r w:rsidRPr="00AC1333">
        <w:softHyphen/>
      </w:r>
    </w:p>
    <w:p w14:paraId="7E8CFFB2" w14:textId="0E909D12" w:rsidR="00DC2C74" w:rsidRPr="00AC1333" w:rsidRDefault="00DC2C74" w:rsidP="00AC1333">
      <w:pPr>
        <w:pStyle w:val="30"/>
      </w:pPr>
      <w:r w:rsidRPr="00AC1333">
        <w:t>地铁工程各类污</w:t>
      </w:r>
      <w:r w:rsidRPr="00AC1333">
        <w:rPr>
          <w:rFonts w:hint="eastAsia"/>
        </w:rPr>
        <w:t>水</w:t>
      </w:r>
      <w:r w:rsidRPr="00AC1333">
        <w:t>、废水及雨水的排放应符合</w:t>
      </w:r>
      <w:r w:rsidRPr="00AC1333">
        <w:rPr>
          <w:rFonts w:hint="eastAsia"/>
        </w:rPr>
        <w:t>当地市政</w:t>
      </w:r>
      <w:r w:rsidRPr="00AC1333">
        <w:t>排水体制的规定。</w:t>
      </w:r>
    </w:p>
    <w:p w14:paraId="023A4920" w14:textId="5CE66F3D" w:rsidR="00DC2C74" w:rsidRPr="00AC1333" w:rsidRDefault="00DC2C74" w:rsidP="00AC1333">
      <w:pPr>
        <w:pStyle w:val="30"/>
      </w:pPr>
      <w:r w:rsidRPr="00AC1333">
        <w:t>给水与排水设计应按现行国家标准《民用建筑节水设计标准》</w:t>
      </w:r>
      <w:r w:rsidRPr="00AC1333">
        <w:t>GB 50</w:t>
      </w:r>
      <w:r w:rsidRPr="00AC1333">
        <w:rPr>
          <w:rFonts w:hint="eastAsia"/>
        </w:rPr>
        <w:t>55</w:t>
      </w:r>
      <w:r w:rsidRPr="00AC1333">
        <w:t>5</w:t>
      </w:r>
      <w:r w:rsidRPr="00AC1333">
        <w:t>的规定采取节水、节能措施。</w:t>
      </w:r>
    </w:p>
    <w:p w14:paraId="1114150A" w14:textId="1986E8B0" w:rsidR="00DC2C74" w:rsidRPr="00AC1333" w:rsidRDefault="00DC2C74" w:rsidP="00AC1333">
      <w:pPr>
        <w:pStyle w:val="30"/>
      </w:pPr>
      <w:r w:rsidRPr="00AC1333">
        <w:t>给水设计应按现行国家标准《建筑给水排水设计</w:t>
      </w:r>
      <w:r w:rsidRPr="00AC1333">
        <w:rPr>
          <w:rFonts w:hint="eastAsia"/>
        </w:rPr>
        <w:t>标准</w:t>
      </w:r>
      <w:r w:rsidRPr="00AC1333">
        <w:t>》</w:t>
      </w:r>
      <w:r w:rsidRPr="00AC1333">
        <w:t>GB 50015</w:t>
      </w:r>
      <w:r w:rsidRPr="00AC1333">
        <w:t>的规定采取防水质污染措施。</w:t>
      </w:r>
    </w:p>
    <w:p w14:paraId="4A77CDE4" w14:textId="77777777" w:rsidR="00DC2C74" w:rsidRPr="00AC1333" w:rsidRDefault="00DC2C74" w:rsidP="00AC1333">
      <w:pPr>
        <w:pStyle w:val="30"/>
      </w:pPr>
      <w:r w:rsidRPr="00AC1333">
        <w:t>给水与排水系统宜按自动化管理设计。</w:t>
      </w:r>
    </w:p>
    <w:p w14:paraId="71228994" w14:textId="77777777" w:rsidR="00DC2C74" w:rsidRPr="00AC1333" w:rsidRDefault="00DC2C74" w:rsidP="00AC1333">
      <w:pPr>
        <w:pStyle w:val="30"/>
      </w:pPr>
      <w:r w:rsidRPr="00AC1333">
        <w:t>给水与排水金属管道应采取防止杂散电流腐蚀的措施。</w:t>
      </w:r>
    </w:p>
    <w:p w14:paraId="5504E63B" w14:textId="77777777" w:rsidR="00DC2C74" w:rsidRPr="00AC1333" w:rsidRDefault="00DC2C74" w:rsidP="00AC1333">
      <w:pPr>
        <w:pStyle w:val="30"/>
      </w:pPr>
      <w:r w:rsidRPr="00AC1333">
        <w:rPr>
          <w:rFonts w:hint="eastAsia"/>
        </w:rPr>
        <w:t>给水与排水</w:t>
      </w:r>
      <w:r w:rsidRPr="00AC1333">
        <w:t>管道穿越地下结构外墙、屋面或钢筋混凝土水池（箱）的壁板或底板时，应设防水套管。</w:t>
      </w:r>
    </w:p>
    <w:p w14:paraId="38013BD4" w14:textId="77777777" w:rsidR="00DC2C74" w:rsidRPr="00AC1333" w:rsidRDefault="00DC2C74" w:rsidP="00AC1333">
      <w:pPr>
        <w:pStyle w:val="30"/>
      </w:pPr>
      <w:r w:rsidRPr="00AC1333">
        <w:rPr>
          <w:rFonts w:hint="eastAsia"/>
        </w:rPr>
        <w:t>当给排水管道结露会影响地铁环境，引起装修或其他物品等受损害时，给排水管道应采取防结露措施；当严寒和寒冷地区的给排水管道、水龙头、排水泵等有可能结冻时，应采取防冻保护措施。</w:t>
      </w:r>
    </w:p>
    <w:p w14:paraId="2260F80D" w14:textId="77777777" w:rsidR="00DC2C74" w:rsidRPr="00AC1333" w:rsidRDefault="00DC2C74" w:rsidP="00AC1333">
      <w:pPr>
        <w:pStyle w:val="30"/>
      </w:pPr>
      <w:r w:rsidRPr="00AC1333">
        <w:rPr>
          <w:rFonts w:hint="eastAsia"/>
        </w:rPr>
        <w:t>给排水管道穿越结构变形缝时，应符合现行国家标准《建筑给水排水设计标准》</w:t>
      </w:r>
      <w:r w:rsidRPr="00AC1333">
        <w:rPr>
          <w:rFonts w:hint="eastAsia"/>
        </w:rPr>
        <w:t>GB 50015</w:t>
      </w:r>
      <w:r w:rsidRPr="00AC1333">
        <w:rPr>
          <w:rFonts w:hint="eastAsia"/>
        </w:rPr>
        <w:t>的规定。</w:t>
      </w:r>
    </w:p>
    <w:p w14:paraId="7D18E1DC" w14:textId="1C488B81" w:rsidR="00DC2C74" w:rsidRPr="00FD50F6" w:rsidRDefault="00DC2C74" w:rsidP="00AC1333">
      <w:pPr>
        <w:pStyle w:val="30"/>
      </w:pPr>
      <w:r w:rsidRPr="00AC1333">
        <w:t>给水与排水管道保温材料应符合本</w:t>
      </w:r>
      <w:r w:rsidRPr="00AC1333">
        <w:rPr>
          <w:rFonts w:hint="eastAsia"/>
        </w:rPr>
        <w:t>标准</w:t>
      </w:r>
      <w:r w:rsidRPr="00AC1333">
        <w:t>第</w:t>
      </w:r>
      <w:r w:rsidRPr="00AC1333">
        <w:t>1</w:t>
      </w:r>
      <w:r w:rsidR="00CD74AA" w:rsidRPr="00AC1333">
        <w:t>4</w:t>
      </w:r>
      <w:r w:rsidRPr="00AC1333">
        <w:t>.1.1</w:t>
      </w:r>
      <w:r w:rsidRPr="00AC1333">
        <w:rPr>
          <w:rFonts w:hint="eastAsia"/>
        </w:rPr>
        <w:t>1</w:t>
      </w:r>
      <w:r w:rsidRPr="00AC1333">
        <w:t>条的规定。</w:t>
      </w:r>
    </w:p>
    <w:p w14:paraId="3E9DBEA4" w14:textId="77777777" w:rsidR="00DC2C74" w:rsidRPr="001A4CF3" w:rsidRDefault="00DC2C74" w:rsidP="00A65181">
      <w:pPr>
        <w:pStyle w:val="2"/>
      </w:pPr>
      <w:bookmarkStart w:id="578" w:name="_Toc320643418"/>
      <w:bookmarkStart w:id="579" w:name="_Toc344218779"/>
      <w:bookmarkStart w:id="580" w:name="_Toc320196028"/>
      <w:bookmarkStart w:id="581" w:name="_Toc112830749"/>
      <w:r w:rsidRPr="00FD50F6">
        <w:t>给水</w:t>
      </w:r>
      <w:bookmarkEnd w:id="578"/>
      <w:bookmarkEnd w:id="579"/>
      <w:bookmarkEnd w:id="580"/>
      <w:bookmarkEnd w:id="581"/>
    </w:p>
    <w:p w14:paraId="6634AADA" w14:textId="77777777" w:rsidR="00DC2C74" w:rsidRPr="00AC1333" w:rsidRDefault="00DC2C74" w:rsidP="00AC1333">
      <w:pPr>
        <w:pStyle w:val="30"/>
      </w:pPr>
      <w:r w:rsidRPr="00AC1333">
        <w:t>给水系统用水量定额应符合下列规定：</w:t>
      </w:r>
    </w:p>
    <w:p w14:paraId="0D8B62C3" w14:textId="344C4F0E" w:rsidR="00DC2C74" w:rsidRPr="00FD50F6" w:rsidRDefault="00DC2C74" w:rsidP="00A926BD">
      <w:pPr>
        <w:pStyle w:val="4"/>
      </w:pPr>
      <w:r w:rsidRPr="00FD50F6">
        <w:t>工作人员生活用水量应</w:t>
      </w:r>
      <w:r w:rsidRPr="00FD50F6">
        <w:rPr>
          <w:rFonts w:hint="eastAsia"/>
        </w:rPr>
        <w:t>取</w:t>
      </w:r>
      <w:r w:rsidRPr="00FD50F6">
        <w:t>30L/</w:t>
      </w:r>
      <w:r w:rsidRPr="00FD50F6">
        <w:t>人</w:t>
      </w:r>
      <w:r w:rsidRPr="00FD50F6">
        <w:rPr>
          <w:position w:val="6"/>
        </w:rPr>
        <w:t>.</w:t>
      </w:r>
      <w:r w:rsidRPr="00FD50F6">
        <w:t>班～</w:t>
      </w:r>
      <w:r w:rsidRPr="00FD50F6">
        <w:t>60L/</w:t>
      </w:r>
      <w:r w:rsidRPr="00FD50F6">
        <w:t>人</w:t>
      </w:r>
      <w:r w:rsidRPr="00FD50F6">
        <w:rPr>
          <w:position w:val="6"/>
        </w:rPr>
        <w:t>.</w:t>
      </w:r>
      <w:r w:rsidRPr="00FD50F6">
        <w:t>班，小时变化系数应</w:t>
      </w:r>
      <w:r w:rsidRPr="00FD50F6">
        <w:rPr>
          <w:rFonts w:hint="eastAsia"/>
        </w:rPr>
        <w:t>取</w:t>
      </w:r>
      <w:r w:rsidRPr="00FD50F6">
        <w:t>2.5</w:t>
      </w:r>
      <w:r w:rsidRPr="00FD50F6">
        <w:t>～</w:t>
      </w:r>
      <w:r w:rsidRPr="00FD50F6">
        <w:t>2.0</w:t>
      </w:r>
      <w:r w:rsidRPr="00FD50F6">
        <w:t>；</w:t>
      </w:r>
    </w:p>
    <w:p w14:paraId="37588617" w14:textId="6E81AA7E" w:rsidR="00DC2C74" w:rsidRPr="00FD50F6" w:rsidRDefault="00DC2C74" w:rsidP="00A926BD">
      <w:pPr>
        <w:pStyle w:val="4"/>
      </w:pPr>
      <w:r w:rsidRPr="00FD50F6">
        <w:t>空调冷却水系统的补充水量应</w:t>
      </w:r>
      <w:r w:rsidRPr="00FD50F6">
        <w:rPr>
          <w:rFonts w:hint="eastAsia"/>
        </w:rPr>
        <w:t>取</w:t>
      </w:r>
      <w:r w:rsidRPr="00FD50F6">
        <w:t>冷却水循环水量的</w:t>
      </w:r>
      <w:r w:rsidRPr="00FD50F6">
        <w:t>1%</w:t>
      </w:r>
      <w:r w:rsidRPr="00FD50F6">
        <w:t>～</w:t>
      </w:r>
      <w:r w:rsidRPr="00FD50F6">
        <w:t>2%</w:t>
      </w:r>
      <w:r w:rsidRPr="00FD50F6">
        <w:t>；</w:t>
      </w:r>
    </w:p>
    <w:p w14:paraId="5A1D037C" w14:textId="7F769EE1" w:rsidR="00DC2C74" w:rsidRPr="00FD50F6" w:rsidRDefault="00DC2C74" w:rsidP="00A926BD">
      <w:pPr>
        <w:pStyle w:val="4"/>
      </w:pPr>
      <w:r w:rsidRPr="00FD50F6">
        <w:t>车站公共区及出入口通道冲洗用水量应</w:t>
      </w:r>
      <w:r w:rsidRPr="00FD50F6">
        <w:rPr>
          <w:rFonts w:hint="eastAsia"/>
        </w:rPr>
        <w:t>取</w:t>
      </w:r>
      <w:r w:rsidRPr="00FD50F6">
        <w:t>1L/m</w:t>
      </w:r>
      <w:r w:rsidRPr="00FD50F6">
        <w:rPr>
          <w:vertAlign w:val="superscript"/>
        </w:rPr>
        <w:t>2</w:t>
      </w:r>
      <w:r w:rsidRPr="00FD50F6">
        <w:rPr>
          <w:position w:val="6"/>
        </w:rPr>
        <w:t>.</w:t>
      </w:r>
      <w:r w:rsidRPr="00FD50F6">
        <w:t>次～</w:t>
      </w:r>
      <w:r w:rsidRPr="00FD50F6">
        <w:t>2L/m</w:t>
      </w:r>
      <w:r w:rsidRPr="00FD50F6">
        <w:rPr>
          <w:vertAlign w:val="superscript"/>
        </w:rPr>
        <w:t>2</w:t>
      </w:r>
      <w:r w:rsidRPr="00FD50F6">
        <w:rPr>
          <w:position w:val="6"/>
        </w:rPr>
        <w:t>.</w:t>
      </w:r>
      <w:r w:rsidRPr="00FD50F6">
        <w:t>次，并应每天</w:t>
      </w:r>
      <w:r w:rsidRPr="00FD50F6">
        <w:lastRenderedPageBreak/>
        <w:t>按冲洗</w:t>
      </w:r>
      <w:r w:rsidRPr="00FD50F6">
        <w:t>1</w:t>
      </w:r>
      <w:r w:rsidRPr="00FD50F6">
        <w:t>次、每次用水量按冲洗</w:t>
      </w:r>
      <w:r w:rsidRPr="00FD50F6">
        <w:t>1h</w:t>
      </w:r>
      <w:r w:rsidRPr="00FD50F6">
        <w:t>计算</w:t>
      </w:r>
      <w:r w:rsidRPr="00FD50F6">
        <w:rPr>
          <w:rFonts w:hint="eastAsia"/>
        </w:rPr>
        <w:t>；</w:t>
      </w:r>
    </w:p>
    <w:p w14:paraId="261B91CD" w14:textId="77777777" w:rsidR="00DC2C74" w:rsidRPr="00FD50F6" w:rsidRDefault="00DC2C74" w:rsidP="00A926BD">
      <w:pPr>
        <w:pStyle w:val="4"/>
      </w:pPr>
      <w:r w:rsidRPr="00FD50F6">
        <w:t>生产用水量应按工艺要求确定。</w:t>
      </w:r>
    </w:p>
    <w:p w14:paraId="0AB53294" w14:textId="77777777" w:rsidR="00DC2C74" w:rsidRPr="00FD50F6" w:rsidRDefault="00DC2C74" w:rsidP="00AC1333">
      <w:pPr>
        <w:pStyle w:val="30"/>
      </w:pPr>
      <w:r w:rsidRPr="00FD50F6">
        <w:t>给水系统的水质应符合下列规定：</w:t>
      </w:r>
    </w:p>
    <w:p w14:paraId="646207B8" w14:textId="70ABBB74" w:rsidR="00DC2C74" w:rsidRPr="00FD50F6" w:rsidRDefault="00DC2C74" w:rsidP="00A926BD">
      <w:pPr>
        <w:pStyle w:val="4"/>
      </w:pPr>
      <w:r w:rsidRPr="00FD50F6">
        <w:t>生活给水的水质应符合现行国家标准《生活饮用水卫生标准》</w:t>
      </w:r>
      <w:r w:rsidRPr="00FD50F6">
        <w:t>GB 5749</w:t>
      </w:r>
      <w:r w:rsidRPr="00FD50F6">
        <w:t>的规定；</w:t>
      </w:r>
    </w:p>
    <w:p w14:paraId="6370B5B1" w14:textId="77777777" w:rsidR="00DC2C74" w:rsidRPr="00FD50F6" w:rsidRDefault="00DC2C74" w:rsidP="00A926BD">
      <w:pPr>
        <w:pStyle w:val="4"/>
      </w:pPr>
      <w:r w:rsidRPr="00FD50F6">
        <w:t>生产用水的水质应满足工艺要求</w:t>
      </w:r>
      <w:r w:rsidRPr="00FD50F6">
        <w:rPr>
          <w:rFonts w:hint="eastAsia"/>
        </w:rPr>
        <w:t>；</w:t>
      </w:r>
    </w:p>
    <w:p w14:paraId="75F72A47" w14:textId="01129578" w:rsidR="00DC2C74" w:rsidRPr="00FD50F6" w:rsidRDefault="00DC2C74" w:rsidP="00A926BD">
      <w:pPr>
        <w:pStyle w:val="4"/>
      </w:pPr>
      <w:r w:rsidRPr="00FD50F6">
        <w:rPr>
          <w:rFonts w:hint="eastAsia"/>
        </w:rPr>
        <w:t>生产及</w:t>
      </w:r>
      <w:r w:rsidRPr="00FD50F6">
        <w:t>生活杂用水的水质应符合</w:t>
      </w:r>
      <w:r w:rsidR="00EB0D95">
        <w:rPr>
          <w:rFonts w:hint="eastAsia"/>
        </w:rPr>
        <w:t>现行</w:t>
      </w:r>
      <w:r w:rsidRPr="00FD50F6">
        <w:rPr>
          <w:rFonts w:hint="eastAsia"/>
        </w:rPr>
        <w:t>国家标准</w:t>
      </w:r>
      <w:r w:rsidRPr="001A4CF3">
        <w:rPr>
          <w:rFonts w:asciiTheme="minorHAnsi" w:hAnsiTheme="minorHAnsi" w:cstheme="minorBidi" w:hint="eastAsia"/>
          <w:szCs w:val="21"/>
          <w:lang w:bidi="ar"/>
        </w:rPr>
        <w:t>《城市污水再生利用</w:t>
      </w:r>
      <w:r w:rsidRPr="001A4CF3">
        <w:rPr>
          <w:rFonts w:asciiTheme="minorHAnsi" w:hAnsiTheme="minorHAnsi" w:cstheme="minorBidi"/>
          <w:szCs w:val="21"/>
          <w:lang w:bidi="ar"/>
        </w:rPr>
        <w:t xml:space="preserve"> </w:t>
      </w:r>
      <w:r w:rsidRPr="001A4CF3">
        <w:rPr>
          <w:rFonts w:asciiTheme="minorHAnsi" w:hAnsiTheme="minorHAnsi" w:cstheme="minorBidi" w:hint="eastAsia"/>
          <w:szCs w:val="21"/>
          <w:lang w:bidi="ar"/>
        </w:rPr>
        <w:t>城市杂用水水质》</w:t>
      </w:r>
      <w:r w:rsidR="00295860" w:rsidRPr="00805449">
        <w:rPr>
          <w:lang w:bidi="ar"/>
        </w:rPr>
        <w:t>GB/T 18920</w:t>
      </w:r>
      <w:r w:rsidRPr="00FD50F6">
        <w:rPr>
          <w:rFonts w:cstheme="minorBidi" w:hint="eastAsia"/>
          <w:szCs w:val="21"/>
          <w:lang w:bidi="ar"/>
        </w:rPr>
        <w:t>及</w:t>
      </w:r>
      <w:r w:rsidRPr="00FD50F6">
        <w:rPr>
          <w:rFonts w:hint="eastAsia"/>
          <w:lang w:bidi="ar"/>
        </w:rPr>
        <w:t>《城市污水再生利用</w:t>
      </w:r>
      <w:r w:rsidRPr="00FD50F6">
        <w:rPr>
          <w:lang w:bidi="ar"/>
        </w:rPr>
        <w:t xml:space="preserve"> </w:t>
      </w:r>
      <w:r w:rsidRPr="00FD50F6">
        <w:rPr>
          <w:rFonts w:hint="eastAsia"/>
          <w:lang w:bidi="ar"/>
        </w:rPr>
        <w:t>工业用水水质》</w:t>
      </w:r>
      <w:r w:rsidR="00295860" w:rsidRPr="00295860">
        <w:t xml:space="preserve"> </w:t>
      </w:r>
      <w:r w:rsidR="00295860" w:rsidRPr="00295860">
        <w:rPr>
          <w:lang w:bidi="ar"/>
        </w:rPr>
        <w:t>GB/T 19923</w:t>
      </w:r>
      <w:r w:rsidRPr="00FD50F6">
        <w:rPr>
          <w:rFonts w:hint="eastAsia"/>
        </w:rPr>
        <w:t>的</w:t>
      </w:r>
      <w:r w:rsidRPr="00FD50F6">
        <w:t>规定</w:t>
      </w:r>
      <w:r w:rsidRPr="00FD50F6">
        <w:rPr>
          <w:rFonts w:hint="eastAsia"/>
        </w:rPr>
        <w:t>。</w:t>
      </w:r>
    </w:p>
    <w:p w14:paraId="63BF9CCC" w14:textId="77777777" w:rsidR="00DC2C74" w:rsidRPr="00FD50F6" w:rsidRDefault="00DC2C74" w:rsidP="00AC1333">
      <w:pPr>
        <w:pStyle w:val="30"/>
      </w:pPr>
      <w:r w:rsidRPr="00FD50F6">
        <w:t>给水系统的水压应符合下列规定：</w:t>
      </w:r>
    </w:p>
    <w:p w14:paraId="48EF3A0A" w14:textId="6587AB72" w:rsidR="00DC2C74" w:rsidRPr="00FD50F6" w:rsidRDefault="00DC2C74" w:rsidP="00A926BD">
      <w:pPr>
        <w:pStyle w:val="4"/>
      </w:pPr>
      <w:r w:rsidRPr="00FD50F6">
        <w:t>生活用水</w:t>
      </w:r>
      <w:r w:rsidRPr="00FD50F6">
        <w:rPr>
          <w:rFonts w:hint="eastAsia"/>
        </w:rPr>
        <w:t>设备和</w:t>
      </w:r>
      <w:r w:rsidRPr="00FD50F6">
        <w:t>卫生器具的水压应符合现行国家标准</w:t>
      </w:r>
      <w:r w:rsidR="00AA0E76">
        <w:rPr>
          <w:color w:val="000000" w:themeColor="text1"/>
        </w:rPr>
        <w:t>《建筑给水排水设计</w:t>
      </w:r>
      <w:r w:rsidR="00AA0E76">
        <w:rPr>
          <w:rFonts w:hint="eastAsia"/>
          <w:color w:val="000000" w:themeColor="text1"/>
        </w:rPr>
        <w:t>标准</w:t>
      </w:r>
      <w:r w:rsidR="00AA0E76">
        <w:rPr>
          <w:color w:val="000000" w:themeColor="text1"/>
        </w:rPr>
        <w:t>》</w:t>
      </w:r>
      <w:r w:rsidRPr="00FD50F6">
        <w:t>GB 50015</w:t>
      </w:r>
      <w:r w:rsidRPr="00FD50F6">
        <w:t>的规定；</w:t>
      </w:r>
    </w:p>
    <w:p w14:paraId="1C927C1C" w14:textId="77777777" w:rsidR="00DC2C74" w:rsidRPr="00FD50F6" w:rsidRDefault="00DC2C74" w:rsidP="00A926BD">
      <w:pPr>
        <w:pStyle w:val="4"/>
      </w:pPr>
      <w:r w:rsidRPr="00FD50F6">
        <w:t>生产用水的水压</w:t>
      </w:r>
      <w:r w:rsidRPr="00FD50F6">
        <w:rPr>
          <w:rFonts w:hint="eastAsia"/>
        </w:rPr>
        <w:t>应</w:t>
      </w:r>
      <w:r w:rsidRPr="00FD50F6">
        <w:t>按工艺要求确定。</w:t>
      </w:r>
    </w:p>
    <w:p w14:paraId="3AAFF5EB" w14:textId="20C91A65" w:rsidR="00DC2C74" w:rsidRPr="00FD50F6" w:rsidRDefault="00DC2C74" w:rsidP="00AC1333">
      <w:pPr>
        <w:pStyle w:val="30"/>
      </w:pPr>
      <w:r w:rsidRPr="00FD50F6">
        <w:t>给水系统的选择，应根据生产、生活和消防等各项用水对水质、水压和水量的要求，结合给水水源等因素确定，并应按下列</w:t>
      </w:r>
      <w:r w:rsidRPr="00FD50F6">
        <w:rPr>
          <w:rFonts w:hint="eastAsia"/>
        </w:rPr>
        <w:t>规定</w:t>
      </w:r>
      <w:r w:rsidRPr="00FD50F6">
        <w:t>选择给水系统：</w:t>
      </w:r>
    </w:p>
    <w:p w14:paraId="0B7A179C" w14:textId="77777777" w:rsidR="00DC2C74" w:rsidRPr="00FD50F6" w:rsidRDefault="00DC2C74" w:rsidP="00A926BD">
      <w:pPr>
        <w:pStyle w:val="4"/>
      </w:pPr>
      <w:r w:rsidRPr="00FD50F6">
        <w:t>车站室内生产、生活给水系统应与消防给水系统分开设置，并应根据当地自来水公司的要求设置计量设施；</w:t>
      </w:r>
    </w:p>
    <w:p w14:paraId="65E869FA" w14:textId="5E066756" w:rsidR="00DC2C74" w:rsidRPr="00FD50F6" w:rsidRDefault="00DC2C74" w:rsidP="00A926BD">
      <w:pPr>
        <w:pStyle w:val="4"/>
      </w:pPr>
      <w:r w:rsidRPr="00FD50F6">
        <w:t>当车站周围有城市杂用水系统且水质满足</w:t>
      </w:r>
      <w:r w:rsidRPr="00FD50F6">
        <w:rPr>
          <w:rFonts w:hint="eastAsia"/>
        </w:rPr>
        <w:t>空调</w:t>
      </w:r>
      <w:r w:rsidRPr="00FD50F6">
        <w:t>冷却水</w:t>
      </w:r>
      <w:r w:rsidRPr="00FD50F6">
        <w:rPr>
          <w:rFonts w:hint="eastAsia"/>
        </w:rPr>
        <w:t>、</w:t>
      </w:r>
      <w:r w:rsidRPr="00FD50F6">
        <w:t>冲厕</w:t>
      </w:r>
      <w:r w:rsidRPr="00FD50F6">
        <w:rPr>
          <w:rFonts w:hint="eastAsia"/>
        </w:rPr>
        <w:t>及绿化</w:t>
      </w:r>
      <w:r w:rsidRPr="00FD50F6">
        <w:t>用水的使用要求时，宜采用分质给水系统，车站杂用水系统应与其他给水系统分设，并应采取防止误饮误用措施；</w:t>
      </w:r>
    </w:p>
    <w:p w14:paraId="20367F67" w14:textId="36B7357F" w:rsidR="00DC2C74" w:rsidRPr="00FD50F6" w:rsidRDefault="00DC2C74" w:rsidP="00A926BD">
      <w:pPr>
        <w:pStyle w:val="4"/>
      </w:pPr>
      <w:r w:rsidRPr="00FD50F6">
        <w:t>车站内不同使用性质和计费的给水系统应采用各自独立的给水系统并单独计量；</w:t>
      </w:r>
    </w:p>
    <w:p w14:paraId="6B4D7959" w14:textId="77777777" w:rsidR="00DC2C74" w:rsidRPr="00FD50F6" w:rsidRDefault="00DC2C74" w:rsidP="00A926BD">
      <w:pPr>
        <w:pStyle w:val="4"/>
      </w:pPr>
      <w:r w:rsidRPr="00FD50F6">
        <w:t>车站生产、生活给水系统应利用市政水压直接供水，当水压或水量不满足要求时，应设置加压装置或贮水调节。</w:t>
      </w:r>
    </w:p>
    <w:p w14:paraId="16354A43" w14:textId="77777777" w:rsidR="00DC2C74" w:rsidRPr="00FD50F6" w:rsidRDefault="00DC2C74" w:rsidP="00AC1333">
      <w:pPr>
        <w:pStyle w:val="30"/>
      </w:pPr>
      <w:r w:rsidRPr="00FD50F6">
        <w:t>管道布置和敷设应符合下列规定：</w:t>
      </w:r>
    </w:p>
    <w:p w14:paraId="156EBACB" w14:textId="702190CA" w:rsidR="00DC2C74" w:rsidRPr="00FD50F6" w:rsidRDefault="00DC2C74" w:rsidP="00A926BD">
      <w:pPr>
        <w:pStyle w:val="4"/>
      </w:pPr>
      <w:r w:rsidRPr="00FD50F6">
        <w:t>车站生产、生活给水系统宜设计为枝状管网，并应由车站给水引入总管上引出一根给水管和车站内生产、生活给水管连接</w:t>
      </w:r>
      <w:r w:rsidRPr="00FD50F6">
        <w:rPr>
          <w:rFonts w:hint="eastAsia"/>
        </w:rPr>
        <w:t>。</w:t>
      </w:r>
    </w:p>
    <w:p w14:paraId="5400B80A" w14:textId="249311F8" w:rsidR="00DC2C74" w:rsidRPr="00FD50F6" w:rsidRDefault="00DC2C74" w:rsidP="00A926BD">
      <w:pPr>
        <w:pStyle w:val="4"/>
      </w:pPr>
      <w:r w:rsidRPr="00FD50F6">
        <w:t>地下车站的给水引入管宜通过风道</w:t>
      </w:r>
      <w:r w:rsidRPr="00FD50F6">
        <w:rPr>
          <w:rFonts w:hint="eastAsia"/>
        </w:rPr>
        <w:t>、</w:t>
      </w:r>
      <w:r w:rsidRPr="00FD50F6">
        <w:t>人行通道</w:t>
      </w:r>
      <w:r w:rsidRPr="00FD50F6">
        <w:rPr>
          <w:rFonts w:hint="eastAsia"/>
        </w:rPr>
        <w:t>或车站主体侧墙</w:t>
      </w:r>
      <w:r w:rsidRPr="00FD50F6">
        <w:t>和车站给水系统相接</w:t>
      </w:r>
      <w:r w:rsidRPr="00FD50F6">
        <w:rPr>
          <w:rFonts w:hint="eastAsia"/>
        </w:rPr>
        <w:t>。</w:t>
      </w:r>
    </w:p>
    <w:p w14:paraId="3AA13D9C" w14:textId="39252492" w:rsidR="00DC2C74" w:rsidRPr="00FD50F6" w:rsidRDefault="00DC2C74" w:rsidP="00A926BD">
      <w:pPr>
        <w:pStyle w:val="4"/>
      </w:pPr>
      <w:r w:rsidRPr="00FD50F6">
        <w:t>给水引入管上应设置绝缘短管或采取其他绝缘措施</w:t>
      </w:r>
      <w:r w:rsidRPr="00FD50F6">
        <w:rPr>
          <w:rFonts w:hint="eastAsia"/>
        </w:rPr>
        <w:t>。</w:t>
      </w:r>
    </w:p>
    <w:p w14:paraId="56C56BAD" w14:textId="43172B91" w:rsidR="00DC2C74" w:rsidRPr="00FD50F6" w:rsidRDefault="00DC2C74" w:rsidP="00A926BD">
      <w:pPr>
        <w:pStyle w:val="4"/>
        <w:rPr>
          <w:rFonts w:ascii="黑体" w:eastAsia="黑体"/>
        </w:rPr>
      </w:pPr>
      <w:r w:rsidRPr="00FD50F6">
        <w:rPr>
          <w:rFonts w:hint="eastAsia"/>
        </w:rPr>
        <w:lastRenderedPageBreak/>
        <w:t>给水管不应穿过变电所、通信信号机房、控制室、配电室等电气房间。</w:t>
      </w:r>
    </w:p>
    <w:p w14:paraId="2EE5B4AF" w14:textId="746C42F4" w:rsidR="00DC2C74" w:rsidRPr="00FD50F6" w:rsidRDefault="00DC2C74" w:rsidP="00A926BD">
      <w:pPr>
        <w:pStyle w:val="4"/>
      </w:pPr>
      <w:r w:rsidRPr="00FD50F6">
        <w:t>给水干管应固定在主体结构或道床上</w:t>
      </w:r>
      <w:r w:rsidRPr="00FD50F6">
        <w:rPr>
          <w:rFonts w:hint="eastAsia"/>
        </w:rPr>
        <w:t>。</w:t>
      </w:r>
    </w:p>
    <w:p w14:paraId="3D5179BD" w14:textId="78517A0E" w:rsidR="00DC2C74" w:rsidRPr="00FD50F6" w:rsidRDefault="00DC2C74" w:rsidP="00A926BD">
      <w:pPr>
        <w:pStyle w:val="4"/>
      </w:pPr>
      <w:r w:rsidRPr="00FD50F6">
        <w:t>车站站厅、站台公共区宜设置冲洗栓</w:t>
      </w:r>
      <w:r w:rsidRPr="00FD50F6">
        <w:rPr>
          <w:rFonts w:hint="eastAsia"/>
        </w:rPr>
        <w:t>。</w:t>
      </w:r>
    </w:p>
    <w:p w14:paraId="79B80B2B" w14:textId="77777777" w:rsidR="00DC2C74" w:rsidRPr="00FD50F6" w:rsidRDefault="00DC2C74" w:rsidP="00A926BD">
      <w:pPr>
        <w:pStyle w:val="4"/>
      </w:pPr>
      <w:r w:rsidRPr="00FD50F6">
        <w:rPr>
          <w:rFonts w:hint="eastAsia"/>
        </w:rPr>
        <w:t>车站生产、生活给水引入管、消防给水引入管、冷冻及冷却水补水管、卫生间给水管上宜设置远传水表。</w:t>
      </w:r>
    </w:p>
    <w:p w14:paraId="249163B7" w14:textId="68C46F2F" w:rsidR="00DC2C74" w:rsidRPr="00FD50F6" w:rsidRDefault="00DC2C74" w:rsidP="00A926BD">
      <w:pPr>
        <w:pStyle w:val="4"/>
      </w:pPr>
      <w:r w:rsidRPr="00FD50F6">
        <w:t>地铁工程卫生器具及配件应符合现行</w:t>
      </w:r>
      <w:r w:rsidRPr="00FD50F6">
        <w:rPr>
          <w:rFonts w:hint="eastAsia"/>
        </w:rPr>
        <w:t>国家</w:t>
      </w:r>
      <w:r w:rsidRPr="00FD50F6">
        <w:t>标准</w:t>
      </w:r>
      <w:r w:rsidRPr="00FD50F6">
        <w:rPr>
          <w:rFonts w:hint="eastAsia"/>
        </w:rPr>
        <w:t>《节水型卫生洁具》</w:t>
      </w:r>
      <w:r w:rsidRPr="00FD50F6">
        <w:rPr>
          <w:rFonts w:hint="eastAsia"/>
        </w:rPr>
        <w:t>GB</w:t>
      </w:r>
      <w:r w:rsidRPr="00FD50F6">
        <w:t>/</w:t>
      </w:r>
      <w:r w:rsidRPr="00FD50F6">
        <w:rPr>
          <w:rFonts w:hint="eastAsia"/>
        </w:rPr>
        <w:t>T</w:t>
      </w:r>
      <w:r w:rsidRPr="00FD50F6">
        <w:t xml:space="preserve"> </w:t>
      </w:r>
      <w:r w:rsidRPr="00FD50F6">
        <w:rPr>
          <w:rFonts w:hint="eastAsia"/>
        </w:rPr>
        <w:t>31436</w:t>
      </w:r>
      <w:r w:rsidRPr="00FD50F6">
        <w:t>的规定，公共厕所应采用感应式或非接触式龙头和冲洗装置。</w:t>
      </w:r>
    </w:p>
    <w:p w14:paraId="78AB16F4" w14:textId="77777777" w:rsidR="00DC2C74" w:rsidRPr="00FD50F6" w:rsidRDefault="00DC2C74" w:rsidP="00AC1333">
      <w:pPr>
        <w:pStyle w:val="30"/>
      </w:pPr>
      <w:r w:rsidRPr="00FD50F6">
        <w:t>管材及附件的设置应符合下列规定：</w:t>
      </w:r>
    </w:p>
    <w:p w14:paraId="569C86AD" w14:textId="284B6CE3" w:rsidR="00DC2C74" w:rsidRPr="00FD50F6" w:rsidRDefault="00DC2C74" w:rsidP="00A926BD">
      <w:pPr>
        <w:pStyle w:val="4"/>
      </w:pPr>
      <w:r w:rsidRPr="00FD50F6">
        <w:t>室内生产、生活给水宜采用钢塑复合管、铜管或薄壁不锈钢管等符合生活饮用水卫生标准的管材；</w:t>
      </w:r>
    </w:p>
    <w:p w14:paraId="4DE77463" w14:textId="5599D87B" w:rsidR="00DC2C74" w:rsidRPr="00FD50F6" w:rsidRDefault="00DC2C74" w:rsidP="00A926BD">
      <w:pPr>
        <w:pStyle w:val="4"/>
        <w:rPr>
          <w:b/>
          <w:sz w:val="28"/>
          <w:lang w:bidi="en-US"/>
        </w:rPr>
      </w:pPr>
      <w:r w:rsidRPr="00FD50F6">
        <w:t>给水管网上的阀门设置应符合现行国家标准《建筑给水排水设计</w:t>
      </w:r>
      <w:r w:rsidRPr="00FD50F6">
        <w:rPr>
          <w:rFonts w:hint="eastAsia"/>
        </w:rPr>
        <w:t>标准</w:t>
      </w:r>
      <w:r w:rsidRPr="00FD50F6">
        <w:t>》</w:t>
      </w:r>
      <w:r w:rsidRPr="00FD50F6">
        <w:t>GB 50015</w:t>
      </w:r>
      <w:r w:rsidRPr="00FD50F6">
        <w:t>的规定。</w:t>
      </w:r>
    </w:p>
    <w:p w14:paraId="4368D620" w14:textId="77777777" w:rsidR="00DC2C74" w:rsidRPr="001A4CF3" w:rsidRDefault="00DC2C74" w:rsidP="00A65181">
      <w:pPr>
        <w:pStyle w:val="2"/>
      </w:pPr>
      <w:bookmarkStart w:id="582" w:name="_Toc320196029"/>
      <w:bookmarkStart w:id="583" w:name="_Toc320643419"/>
      <w:bookmarkStart w:id="584" w:name="_Toc344218780"/>
      <w:bookmarkStart w:id="585" w:name="_Toc112830750"/>
      <w:r w:rsidRPr="00FD50F6">
        <w:t>排水</w:t>
      </w:r>
      <w:bookmarkEnd w:id="582"/>
      <w:bookmarkEnd w:id="583"/>
      <w:bookmarkEnd w:id="584"/>
      <w:bookmarkEnd w:id="585"/>
    </w:p>
    <w:p w14:paraId="0EBAC23B" w14:textId="77777777" w:rsidR="00DC2C74" w:rsidRPr="00FD50F6" w:rsidRDefault="00DC2C74" w:rsidP="00AC1333">
      <w:pPr>
        <w:pStyle w:val="30"/>
      </w:pPr>
      <w:r w:rsidRPr="00FD50F6">
        <w:t>地铁排水量定额应符合下列规定：</w:t>
      </w:r>
    </w:p>
    <w:p w14:paraId="2DBA04E9" w14:textId="0BB2EEE4" w:rsidR="00DC2C74" w:rsidRPr="00FD50F6" w:rsidRDefault="00DC2C74" w:rsidP="00A926BD">
      <w:pPr>
        <w:pStyle w:val="4"/>
      </w:pPr>
      <w:r w:rsidRPr="00FD50F6">
        <w:t>生活排水系统定额应按生活用水量的</w:t>
      </w:r>
      <w:r w:rsidRPr="00FD50F6">
        <w:t>95%</w:t>
      </w:r>
      <w:r w:rsidRPr="00FD50F6">
        <w:t>计算，小时变化系数应</w:t>
      </w:r>
      <w:r w:rsidRPr="00FD50F6">
        <w:rPr>
          <w:rFonts w:hint="eastAsia"/>
        </w:rPr>
        <w:t>取</w:t>
      </w:r>
      <w:r w:rsidRPr="00FD50F6">
        <w:t>2.5</w:t>
      </w:r>
      <w:r w:rsidRPr="00FD50F6">
        <w:t>～</w:t>
      </w:r>
      <w:r w:rsidRPr="00FD50F6">
        <w:t>2.0</w:t>
      </w:r>
      <w:r w:rsidRPr="00FD50F6">
        <w:rPr>
          <w:rFonts w:hint="eastAsia"/>
        </w:rPr>
        <w:t>。</w:t>
      </w:r>
    </w:p>
    <w:p w14:paraId="545B3051" w14:textId="6A83574C" w:rsidR="00DC2C74" w:rsidRPr="00FD50F6" w:rsidRDefault="00DC2C74" w:rsidP="00A926BD">
      <w:pPr>
        <w:pStyle w:val="4"/>
      </w:pPr>
      <w:r w:rsidRPr="00FD50F6">
        <w:t>生产排水量应按工艺要求确定</w:t>
      </w:r>
      <w:r w:rsidRPr="00FD50F6">
        <w:rPr>
          <w:rFonts w:hint="eastAsia"/>
        </w:rPr>
        <w:t>。</w:t>
      </w:r>
    </w:p>
    <w:p w14:paraId="49596CD1" w14:textId="4BB900D6" w:rsidR="00DC2C74" w:rsidRPr="00FD50F6" w:rsidRDefault="00DC2C74" w:rsidP="00A926BD">
      <w:pPr>
        <w:pStyle w:val="4"/>
      </w:pPr>
      <w:r w:rsidRPr="00FD50F6">
        <w:t>冲洗和消防废水量和用水量应相同</w:t>
      </w:r>
      <w:r w:rsidRPr="00FD50F6">
        <w:rPr>
          <w:rFonts w:hint="eastAsia"/>
        </w:rPr>
        <w:t>。</w:t>
      </w:r>
    </w:p>
    <w:p w14:paraId="06B05C28" w14:textId="2CD1593C" w:rsidR="00DC2C74" w:rsidRPr="00FD50F6" w:rsidRDefault="00DC2C74" w:rsidP="00A926BD">
      <w:pPr>
        <w:pStyle w:val="4"/>
      </w:pPr>
      <w:r w:rsidRPr="00FD50F6">
        <w:rPr>
          <w:rFonts w:hint="eastAsia"/>
        </w:rPr>
        <w:t>地面车站、高架车站屋面排水管道的排水设计重现期应按当地</w:t>
      </w:r>
      <w:r w:rsidRPr="00FD50F6">
        <w:rPr>
          <w:rFonts w:hint="eastAsia"/>
        </w:rPr>
        <w:t>10</w:t>
      </w:r>
      <w:r w:rsidRPr="00FD50F6">
        <w:rPr>
          <w:rFonts w:hint="eastAsia"/>
        </w:rPr>
        <w:t>年一遇的暴雨强度计算，设计降雨历时应按</w:t>
      </w:r>
      <w:r w:rsidRPr="00FD50F6">
        <w:rPr>
          <w:rFonts w:hint="eastAsia"/>
        </w:rPr>
        <w:t>5min</w:t>
      </w:r>
      <w:r w:rsidRPr="00FD50F6">
        <w:rPr>
          <w:rFonts w:hint="eastAsia"/>
        </w:rPr>
        <w:t>计算；屋面雨水工程与溢流设施的总排水能力不应小于</w:t>
      </w:r>
      <w:r w:rsidRPr="00FD50F6">
        <w:rPr>
          <w:rFonts w:hint="eastAsia"/>
        </w:rPr>
        <w:t>50</w:t>
      </w:r>
      <w:r w:rsidRPr="00FD50F6">
        <w:rPr>
          <w:rFonts w:hint="eastAsia"/>
        </w:rPr>
        <w:t>年重现期的雨水量，当屋面无外檐天沟或无直接散水条件且采用溢流管道系统时，屋面雨水工程与溢流设施总排水能力不应小于</w:t>
      </w:r>
      <w:r w:rsidRPr="00FD50F6">
        <w:t>100</w:t>
      </w:r>
      <w:r w:rsidRPr="00FD50F6">
        <w:rPr>
          <w:rFonts w:hint="eastAsia"/>
        </w:rPr>
        <w:t>年重现期的雨水量。</w:t>
      </w:r>
    </w:p>
    <w:p w14:paraId="36CC0FEC" w14:textId="76592B22" w:rsidR="00DC2C74" w:rsidRPr="00FD50F6" w:rsidRDefault="00DC2C74" w:rsidP="00A926BD">
      <w:pPr>
        <w:pStyle w:val="4"/>
      </w:pPr>
      <w:r w:rsidRPr="00FD50F6">
        <w:rPr>
          <w:rFonts w:hint="eastAsia"/>
        </w:rPr>
        <w:t>高架区间、敞开出入口、敞开风井及隧道洞口，与地铁地下车站相连通的下沉广场、地下过街通道等其他建筑的雨水泵站、排水沟及排水管渠的排水能力应按当地</w:t>
      </w:r>
      <w:r w:rsidRPr="00FD50F6">
        <w:t>10</w:t>
      </w:r>
      <w:r w:rsidRPr="00FD50F6">
        <w:rPr>
          <w:rFonts w:hint="eastAsia"/>
        </w:rPr>
        <w:t>0</w:t>
      </w:r>
      <w:r w:rsidRPr="00FD50F6">
        <w:rPr>
          <w:rFonts w:hint="eastAsia"/>
        </w:rPr>
        <w:t>年一遇的暴雨强度计算，设计降雨历时应按计算确定。</w:t>
      </w:r>
    </w:p>
    <w:p w14:paraId="4D8B9CB6" w14:textId="77777777" w:rsidR="00DC2C74" w:rsidRPr="00AC1333" w:rsidRDefault="00DC2C74" w:rsidP="00AC1333">
      <w:pPr>
        <w:pStyle w:val="30"/>
      </w:pPr>
      <w:r w:rsidRPr="00FD50F6">
        <w:t>地铁车站除生活及粪便污水</w:t>
      </w:r>
      <w:r w:rsidRPr="00AC1333">
        <w:t>应单独排放外，生产废水、结构渗漏水、冲洗及消防废水和口部雨水可集中并就近排放。</w:t>
      </w:r>
    </w:p>
    <w:p w14:paraId="0007D301" w14:textId="77777777" w:rsidR="00DC2C74" w:rsidRPr="00AC1333" w:rsidRDefault="00DC2C74" w:rsidP="00AC1333">
      <w:pPr>
        <w:pStyle w:val="30"/>
      </w:pPr>
      <w:r w:rsidRPr="00AC1333">
        <w:lastRenderedPageBreak/>
        <w:t>地面或高架车站的污水及废水、桥面雨水应按重力流排水方式设计，屋面雨水可按重力流或</w:t>
      </w:r>
      <w:r w:rsidRPr="00AC1333">
        <w:rPr>
          <w:rFonts w:hint="eastAsia"/>
        </w:rPr>
        <w:t>满管</w:t>
      </w:r>
      <w:r w:rsidRPr="00AC1333">
        <w:t>压力流设计；</w:t>
      </w:r>
      <w:r w:rsidRPr="00AC1333">
        <w:rPr>
          <w:rFonts w:hint="eastAsia"/>
        </w:rPr>
        <w:t>当</w:t>
      </w:r>
      <w:r w:rsidRPr="00AC1333">
        <w:t>地下车站和区间的污水、废水和雨水不能按重力流排放时，应设排水泵提升排入城市排水系统。</w:t>
      </w:r>
    </w:p>
    <w:p w14:paraId="47367B85" w14:textId="77777777" w:rsidR="00DC2C74" w:rsidRPr="00FD50F6" w:rsidRDefault="00DC2C74" w:rsidP="00AC1333">
      <w:pPr>
        <w:pStyle w:val="30"/>
      </w:pPr>
      <w:r w:rsidRPr="00AC1333">
        <w:t>地下车站和区间排水泵站（房）的设</w:t>
      </w:r>
      <w:r w:rsidRPr="00FD50F6">
        <w:t>置，应符合下列规定：</w:t>
      </w:r>
    </w:p>
    <w:p w14:paraId="102D72F7" w14:textId="77777777" w:rsidR="00DC2C74" w:rsidRPr="00FD50F6" w:rsidRDefault="00DC2C74" w:rsidP="00A926BD">
      <w:pPr>
        <w:pStyle w:val="4"/>
      </w:pPr>
      <w:r w:rsidRPr="00FD50F6">
        <w:t>区间隧道主排水泵站应设在线路实际坡度最低点；</w:t>
      </w:r>
    </w:p>
    <w:p w14:paraId="3AA02015" w14:textId="77777777" w:rsidR="00DC2C74" w:rsidRPr="00FD50F6" w:rsidRDefault="00DC2C74" w:rsidP="00A926BD">
      <w:pPr>
        <w:pStyle w:val="4"/>
      </w:pPr>
      <w:r w:rsidRPr="00FD50F6">
        <w:t>当区间排水沟的排水能力不能满足区间排水的要求时，应设辅助排水泵站；</w:t>
      </w:r>
    </w:p>
    <w:p w14:paraId="2BFBA1DE" w14:textId="77777777" w:rsidR="00DC2C74" w:rsidRPr="00FD50F6" w:rsidRDefault="00DC2C74" w:rsidP="00A926BD">
      <w:pPr>
        <w:pStyle w:val="4"/>
      </w:pPr>
      <w:r w:rsidRPr="00FD50F6">
        <w:t>地下车站排水泵房应设在车站线路下坡方向；</w:t>
      </w:r>
    </w:p>
    <w:p w14:paraId="6F7D8C20" w14:textId="77777777" w:rsidR="00DC2C74" w:rsidRPr="00FD50F6" w:rsidRDefault="00DC2C74" w:rsidP="00A926BD">
      <w:pPr>
        <w:pStyle w:val="4"/>
      </w:pPr>
      <w:r w:rsidRPr="00FD50F6">
        <w:t>地下车站污水泵房宜设在厕所附近；</w:t>
      </w:r>
    </w:p>
    <w:p w14:paraId="3E759698" w14:textId="77777777" w:rsidR="00DC2C74" w:rsidRPr="00FD50F6" w:rsidRDefault="00DC2C74" w:rsidP="00A926BD">
      <w:pPr>
        <w:pStyle w:val="4"/>
      </w:pPr>
      <w:r w:rsidRPr="00FD50F6">
        <w:t>地下车站局部排水泵房宜设在地面至站厅层的自动扶梯基坑附近、站台板下、电梯井、风亭、折返线车辆检修坑端部及有砟道床区段等不能自流排水而又有可能集水的低洼处；</w:t>
      </w:r>
    </w:p>
    <w:p w14:paraId="401F1F82" w14:textId="77777777" w:rsidR="00DC2C74" w:rsidRPr="00FD50F6" w:rsidRDefault="00DC2C74" w:rsidP="00A926BD">
      <w:pPr>
        <w:pStyle w:val="4"/>
      </w:pPr>
      <w:r w:rsidRPr="00FD50F6">
        <w:rPr>
          <w:rFonts w:hint="eastAsia"/>
        </w:rPr>
        <w:t>当</w:t>
      </w:r>
      <w:r w:rsidRPr="00FD50F6">
        <w:t>洞口的雨水不能自流排放到洞口外时，应在洞口适当位置设排水泵站，并应在洞口道床的适当位置设横向截水沟；</w:t>
      </w:r>
    </w:p>
    <w:p w14:paraId="05089359" w14:textId="0FAE3378" w:rsidR="00DC2C74" w:rsidRPr="00FD50F6" w:rsidRDefault="00DC2C74" w:rsidP="00A926BD">
      <w:pPr>
        <w:pStyle w:val="4"/>
      </w:pPr>
      <w:r w:rsidRPr="00FD50F6">
        <w:t>车站排水泵房的压力排水管宜通过风道或人行通道接入城市排水系统，区间排水泵站压力排水管宜通过</w:t>
      </w:r>
      <w:r w:rsidRPr="00FD50F6">
        <w:rPr>
          <w:rFonts w:hint="eastAsia"/>
        </w:rPr>
        <w:t>区间</w:t>
      </w:r>
      <w:r w:rsidRPr="00FD50F6">
        <w:t>风井</w:t>
      </w:r>
      <w:r w:rsidRPr="00FD50F6">
        <w:rPr>
          <w:rFonts w:hint="eastAsia"/>
        </w:rPr>
        <w:t>或</w:t>
      </w:r>
      <w:r w:rsidRPr="00FD50F6">
        <w:t>车站接入城市排水系统；</w:t>
      </w:r>
    </w:p>
    <w:p w14:paraId="35097DFF" w14:textId="77777777" w:rsidR="00DC2C74" w:rsidRPr="00FD50F6" w:rsidRDefault="00DC2C74" w:rsidP="00A926BD">
      <w:pPr>
        <w:pStyle w:val="4"/>
      </w:pPr>
      <w:r w:rsidRPr="00FD50F6">
        <w:rPr>
          <w:rFonts w:hint="eastAsia"/>
        </w:rPr>
        <w:t>洞口雨水泵站排</w:t>
      </w:r>
      <w:r w:rsidRPr="00FD50F6">
        <w:t>水泵的出水管末端宜设防倒流装置</w:t>
      </w:r>
      <w:r w:rsidRPr="00FD50F6">
        <w:rPr>
          <w:rFonts w:hint="eastAsia"/>
        </w:rPr>
        <w:t>；</w:t>
      </w:r>
    </w:p>
    <w:p w14:paraId="4833701C" w14:textId="02A0C9E9" w:rsidR="00DC2C74" w:rsidRPr="00FD50F6" w:rsidRDefault="00DC2C74" w:rsidP="00A926BD">
      <w:pPr>
        <w:pStyle w:val="4"/>
      </w:pPr>
      <w:r w:rsidRPr="00FD50F6">
        <w:t>区间排水泵站有条件时应与区间联络通道或中间风井合建，泵站地面标高宜与走行轨面齐平；</w:t>
      </w:r>
    </w:p>
    <w:p w14:paraId="7860BF28" w14:textId="7E3E1E14" w:rsidR="00DC2C74" w:rsidRPr="00FD50F6" w:rsidRDefault="00DC2C74" w:rsidP="00A926BD">
      <w:pPr>
        <w:pStyle w:val="4"/>
      </w:pPr>
      <w:r w:rsidRPr="00FD50F6">
        <w:t>排水泵站（房）的布置应按现行国家标准《室外排水设计</w:t>
      </w:r>
      <w:r w:rsidRPr="00FD50F6">
        <w:rPr>
          <w:rFonts w:hint="eastAsia"/>
        </w:rPr>
        <w:t>标准</w:t>
      </w:r>
      <w:r w:rsidRPr="00FD50F6">
        <w:t>》</w:t>
      </w:r>
      <w:r w:rsidRPr="00FD50F6">
        <w:t>GB 50014</w:t>
      </w:r>
      <w:r w:rsidRPr="00FD50F6">
        <w:t>的规定执行。</w:t>
      </w:r>
    </w:p>
    <w:p w14:paraId="32924B55" w14:textId="77777777" w:rsidR="00DC2C74" w:rsidRPr="00FD50F6" w:rsidRDefault="00DC2C74" w:rsidP="00AC1333">
      <w:pPr>
        <w:pStyle w:val="30"/>
      </w:pPr>
      <w:r w:rsidRPr="00FD50F6">
        <w:t>排水泵站（房）的排水泵的设置应符合下列规定：</w:t>
      </w:r>
    </w:p>
    <w:p w14:paraId="3160C1A3" w14:textId="68B20167" w:rsidR="00DC2C74" w:rsidRPr="00FD50F6" w:rsidRDefault="00DC2C74" w:rsidP="00A926BD">
      <w:pPr>
        <w:pStyle w:val="4"/>
      </w:pPr>
      <w:r w:rsidRPr="00FD50F6">
        <w:t>区间主排水泵站、辅助排水泵站及车站排水泵房应设两台排水泵，平时应一台工作，</w:t>
      </w:r>
      <w:r w:rsidRPr="00FD50F6">
        <w:rPr>
          <w:rFonts w:hint="eastAsia"/>
        </w:rPr>
        <w:t>消防或事故</w:t>
      </w:r>
      <w:r w:rsidRPr="00FD50F6">
        <w:t>时应两台同时工作；排水泵的总排水能力应按消防时的排水量和结构渗漏水量之和确定</w:t>
      </w:r>
      <w:r w:rsidRPr="00FD50F6">
        <w:rPr>
          <w:rFonts w:hint="eastAsia"/>
        </w:rPr>
        <w:t>。</w:t>
      </w:r>
    </w:p>
    <w:p w14:paraId="67F1682C" w14:textId="05B5B803" w:rsidR="00DC2C74" w:rsidRPr="00FD50F6" w:rsidRDefault="00DC2C74" w:rsidP="00A926BD">
      <w:pPr>
        <w:pStyle w:val="4"/>
      </w:pPr>
      <w:r w:rsidRPr="00FD50F6">
        <w:t>车站出入口及敞开风井雨水泵房应设两台排水泵，平时应一台工作，</w:t>
      </w:r>
      <w:r w:rsidRPr="00FD50F6">
        <w:rPr>
          <w:rFonts w:hint="eastAsia"/>
        </w:rPr>
        <w:t>消防或事故</w:t>
      </w:r>
      <w:r w:rsidRPr="00FD50F6">
        <w:t>时应两台泵同时工作；每台排水泵的排水能力，应大于最大小时排水量的</w:t>
      </w:r>
      <w:r w:rsidRPr="00FD50F6">
        <w:t>1/2</w:t>
      </w:r>
      <w:r w:rsidRPr="00FD50F6">
        <w:rPr>
          <w:rFonts w:hint="eastAsia"/>
        </w:rPr>
        <w:t>。</w:t>
      </w:r>
    </w:p>
    <w:p w14:paraId="333657A5" w14:textId="27610ADB" w:rsidR="00DC2C74" w:rsidRPr="00FD50F6" w:rsidRDefault="00DC2C74" w:rsidP="00A926BD">
      <w:pPr>
        <w:pStyle w:val="4"/>
      </w:pPr>
      <w:r w:rsidRPr="00FD50F6">
        <w:t>洞口雨水泵站宜设三台排水泵，最大水量时三台泵应同时工作，每台泵的排水能力应大于最大小时排水量的</w:t>
      </w:r>
      <w:r w:rsidRPr="00FD50F6">
        <w:t>1/3</w:t>
      </w:r>
      <w:r w:rsidRPr="00FD50F6">
        <w:rPr>
          <w:rFonts w:hint="eastAsia"/>
        </w:rPr>
        <w:t>。</w:t>
      </w:r>
    </w:p>
    <w:p w14:paraId="46CD31DA" w14:textId="45384FCA" w:rsidR="00DC2C74" w:rsidRPr="00FD50F6" w:rsidRDefault="00DC2C74" w:rsidP="00A926BD">
      <w:pPr>
        <w:pStyle w:val="4"/>
      </w:pPr>
      <w:r w:rsidRPr="00FD50F6">
        <w:t>车站污水泵房应设两台污水泵，一台应工作，一台应备用，每台排水泵的</w:t>
      </w:r>
      <w:r w:rsidRPr="00FD50F6">
        <w:lastRenderedPageBreak/>
        <w:t>排水能力不应小于生活排水设计秒流量</w:t>
      </w:r>
      <w:r w:rsidRPr="00FD50F6">
        <w:rPr>
          <w:rFonts w:hint="eastAsia"/>
        </w:rPr>
        <w:t>。</w:t>
      </w:r>
    </w:p>
    <w:p w14:paraId="48FE5B07" w14:textId="1C59DDB0" w:rsidR="00DC2C74" w:rsidRPr="00FD50F6" w:rsidRDefault="00DC2C74" w:rsidP="00A926BD">
      <w:pPr>
        <w:pStyle w:val="4"/>
      </w:pPr>
      <w:r w:rsidRPr="00FD50F6">
        <w:t>车站局部排水泵房应设两台排水泵，一台应工作，一台应备用，每台排水泵的排水能力，不应小于最大小时的污水量</w:t>
      </w:r>
      <w:r w:rsidRPr="00FD50F6">
        <w:rPr>
          <w:rFonts w:hint="eastAsia"/>
        </w:rPr>
        <w:t>。</w:t>
      </w:r>
    </w:p>
    <w:p w14:paraId="60F6E56C" w14:textId="3E9A7298" w:rsidR="00DC2C74" w:rsidRPr="00FD50F6" w:rsidRDefault="00DC2C74" w:rsidP="00A926BD">
      <w:pPr>
        <w:pStyle w:val="4"/>
      </w:pPr>
      <w:r w:rsidRPr="00FD50F6">
        <w:t>排水泵站（房）的排水泵应设计为自灌式</w:t>
      </w:r>
      <w:r w:rsidRPr="00FD50F6">
        <w:rPr>
          <w:rFonts w:hint="eastAsia"/>
        </w:rPr>
        <w:t>。</w:t>
      </w:r>
    </w:p>
    <w:p w14:paraId="086C761D" w14:textId="183E6958" w:rsidR="00DC2C74" w:rsidRPr="00FD50F6" w:rsidRDefault="00DC2C74" w:rsidP="00A926BD">
      <w:pPr>
        <w:pStyle w:val="4"/>
      </w:pPr>
      <w:r w:rsidRPr="00FD50F6">
        <w:t>污水提升装置应采用节能、环保型设备，并应便于维修</w:t>
      </w:r>
      <w:r w:rsidRPr="00FD50F6">
        <w:rPr>
          <w:rFonts w:hint="eastAsia"/>
        </w:rPr>
        <w:t>。</w:t>
      </w:r>
    </w:p>
    <w:p w14:paraId="43FBDB53" w14:textId="77777777" w:rsidR="00DC2C74" w:rsidRPr="00FD50F6" w:rsidRDefault="00DC2C74" w:rsidP="00A926BD">
      <w:pPr>
        <w:pStyle w:val="4"/>
      </w:pPr>
      <w:r w:rsidRPr="00FD50F6">
        <w:t>与区间联络通道合建的区间</w:t>
      </w:r>
      <w:r w:rsidRPr="00FD50F6">
        <w:rPr>
          <w:rFonts w:hint="eastAsia"/>
        </w:rPr>
        <w:t>排水</w:t>
      </w:r>
      <w:r w:rsidRPr="00FD50F6">
        <w:t>泵站应采用潜污泵。</w:t>
      </w:r>
    </w:p>
    <w:p w14:paraId="3019E01C" w14:textId="3E8ED128" w:rsidR="00DC2C74" w:rsidRPr="00FD50F6" w:rsidRDefault="00DC2C74" w:rsidP="00AC1333">
      <w:pPr>
        <w:pStyle w:val="30"/>
      </w:pPr>
      <w:r w:rsidRPr="00FD50F6">
        <w:t>排水泵站（房）的集水池有效容积的确定应符合下列</w:t>
      </w:r>
      <w:r w:rsidRPr="00FD50F6">
        <w:rPr>
          <w:rFonts w:hint="eastAsia"/>
        </w:rPr>
        <w:t>规定</w:t>
      </w:r>
      <w:r w:rsidRPr="00FD50F6">
        <w:t>：</w:t>
      </w:r>
    </w:p>
    <w:p w14:paraId="6BB76DA8" w14:textId="07FABA23" w:rsidR="00DC2C74" w:rsidRPr="00FD50F6" w:rsidRDefault="00DC2C74" w:rsidP="00A926BD">
      <w:pPr>
        <w:pStyle w:val="4"/>
      </w:pPr>
      <w:r w:rsidRPr="00FD50F6">
        <w:t>雨水泵站（房）的集水池有效容积不应小于最大一台水泵</w:t>
      </w:r>
      <w:r w:rsidRPr="00FD50F6">
        <w:t>5min</w:t>
      </w:r>
      <w:r w:rsidRPr="00FD50F6">
        <w:t>～</w:t>
      </w:r>
      <w:r w:rsidRPr="00FD50F6">
        <w:t>10min</w:t>
      </w:r>
      <w:r w:rsidRPr="00FD50F6">
        <w:t>的出水量；</w:t>
      </w:r>
    </w:p>
    <w:p w14:paraId="76F6BDEA" w14:textId="4D2944E1" w:rsidR="00DC2C74" w:rsidRPr="00FD50F6" w:rsidRDefault="00DC2C74" w:rsidP="00A926BD">
      <w:pPr>
        <w:pStyle w:val="4"/>
      </w:pPr>
      <w:r w:rsidRPr="00FD50F6">
        <w:t>厕所污水泵房的集水池有效容积不宜小于最大一台污水泵</w:t>
      </w:r>
      <w:r w:rsidRPr="00FD50F6">
        <w:t>5min</w:t>
      </w:r>
      <w:r w:rsidRPr="00FD50F6">
        <w:t>的出水量；</w:t>
      </w:r>
    </w:p>
    <w:p w14:paraId="72E0ABD2" w14:textId="4344517E" w:rsidR="00DC2C74" w:rsidRPr="00FD50F6" w:rsidRDefault="00DC2C74" w:rsidP="00A926BD">
      <w:pPr>
        <w:pStyle w:val="4"/>
      </w:pPr>
      <w:r w:rsidRPr="00FD50F6">
        <w:t>其他各类排水泵站（房）的集水池有效容积不应小于最大一台排水泵</w:t>
      </w:r>
      <w:r w:rsidRPr="00FD50F6">
        <w:t>15min</w:t>
      </w:r>
      <w:r w:rsidRPr="00FD50F6">
        <w:t>～</w:t>
      </w:r>
      <w:r w:rsidRPr="00FD50F6">
        <w:t>20min</w:t>
      </w:r>
      <w:r w:rsidRPr="00FD50F6">
        <w:t>的出水量。</w:t>
      </w:r>
    </w:p>
    <w:p w14:paraId="302C9432" w14:textId="77777777" w:rsidR="00DC2C74" w:rsidRPr="00FD50F6" w:rsidRDefault="00DC2C74" w:rsidP="00AC1333">
      <w:pPr>
        <w:pStyle w:val="30"/>
      </w:pPr>
      <w:r w:rsidRPr="00FD50F6">
        <w:t>其他排水设施应符合下列规定：</w:t>
      </w:r>
    </w:p>
    <w:p w14:paraId="393E1436" w14:textId="2EF71BE0" w:rsidR="00DC2C74" w:rsidRPr="00FD50F6" w:rsidRDefault="00DC2C74" w:rsidP="00A926BD">
      <w:pPr>
        <w:pStyle w:val="4"/>
      </w:pPr>
      <w:r w:rsidRPr="00FD50F6">
        <w:t>屋面排水天沟及排水明沟的纵向坡度不宜小于</w:t>
      </w:r>
      <w:r w:rsidRPr="00FD50F6">
        <w:t>3‰</w:t>
      </w:r>
      <w:r w:rsidRPr="00FD50F6">
        <w:rPr>
          <w:rFonts w:hint="eastAsia"/>
        </w:rPr>
        <w:t>。</w:t>
      </w:r>
    </w:p>
    <w:p w14:paraId="1D9A317D" w14:textId="7D756C31" w:rsidR="00DC2C74" w:rsidRPr="00FD50F6" w:rsidRDefault="00DC2C74" w:rsidP="00A926BD">
      <w:pPr>
        <w:pStyle w:val="4"/>
      </w:pPr>
      <w:r w:rsidRPr="00FD50F6">
        <w:t>沿地下车站站厅、设备用房边墙每隔</w:t>
      </w:r>
      <w:r w:rsidRPr="00FD50F6">
        <w:t>30m</w:t>
      </w:r>
      <w:r w:rsidRPr="00FD50F6">
        <w:t>～</w:t>
      </w:r>
      <w:r w:rsidRPr="00FD50F6">
        <w:t>50m</w:t>
      </w:r>
      <w:r w:rsidRPr="00FD50F6">
        <w:t>宜设一个</w:t>
      </w:r>
      <w:r w:rsidRPr="00FD50F6">
        <w:t>DN50</w:t>
      </w:r>
      <w:r w:rsidRPr="00FD50F6">
        <w:t>～</w:t>
      </w:r>
      <w:r w:rsidRPr="00FD50F6">
        <w:t>DN100</w:t>
      </w:r>
      <w:r w:rsidRPr="00FD50F6">
        <w:t>的地漏，排水立管应接入线路排水沟。在地面进入站厅的人行通道和站厅层相接部位应设横截沟并在沟内设排水立管，排水立管应接入站台层线路排水沟</w:t>
      </w:r>
      <w:r w:rsidRPr="00FD50F6">
        <w:rPr>
          <w:rFonts w:hint="eastAsia"/>
        </w:rPr>
        <w:t>。</w:t>
      </w:r>
    </w:p>
    <w:p w14:paraId="3F694208" w14:textId="0CC1D532" w:rsidR="00DC2C74" w:rsidRPr="00FD50F6" w:rsidRDefault="00DC2C74" w:rsidP="00A926BD">
      <w:pPr>
        <w:pStyle w:val="4"/>
      </w:pPr>
      <w:r w:rsidRPr="001A4CF3">
        <w:rPr>
          <w:rFonts w:hint="eastAsia"/>
        </w:rPr>
        <w:t>当车站站台设有</w:t>
      </w:r>
      <w:r w:rsidR="007E64D2" w:rsidRPr="00FD50F6">
        <w:rPr>
          <w:rFonts w:hint="eastAsia"/>
        </w:rPr>
        <w:t>站台屏蔽门</w:t>
      </w:r>
      <w:r w:rsidRPr="001A4CF3">
        <w:rPr>
          <w:rFonts w:hint="eastAsia"/>
        </w:rPr>
        <w:t>且</w:t>
      </w:r>
      <w:r w:rsidR="007E64D2" w:rsidRPr="00FD50F6">
        <w:rPr>
          <w:rFonts w:hint="eastAsia"/>
        </w:rPr>
        <w:t>站台屏蔽门</w:t>
      </w:r>
      <w:r w:rsidRPr="001A4CF3">
        <w:rPr>
          <w:rFonts w:hint="eastAsia"/>
        </w:rPr>
        <w:t>与站台板之间无缝隙时，</w:t>
      </w:r>
      <w:r w:rsidRPr="00FD50F6">
        <w:t>站台每隔</w:t>
      </w:r>
      <w:r w:rsidRPr="00FD50F6">
        <w:t>50m</w:t>
      </w:r>
      <w:r w:rsidRPr="00FD50F6">
        <w:t>宜设一个</w:t>
      </w:r>
      <w:r w:rsidRPr="00FD50F6">
        <w:t>DN50</w:t>
      </w:r>
      <w:r w:rsidRPr="00FD50F6">
        <w:t>～</w:t>
      </w:r>
      <w:r w:rsidRPr="00FD50F6">
        <w:t>DN100</w:t>
      </w:r>
      <w:r w:rsidRPr="00FD50F6">
        <w:t>的地漏，排水立管应接入线路排水沟</w:t>
      </w:r>
      <w:r w:rsidRPr="00FD50F6">
        <w:rPr>
          <w:rFonts w:hint="eastAsia"/>
        </w:rPr>
        <w:t>。</w:t>
      </w:r>
    </w:p>
    <w:p w14:paraId="4416FA88" w14:textId="78F07DBB" w:rsidR="00DC2C74" w:rsidRPr="00FD50F6" w:rsidRDefault="00DC2C74" w:rsidP="00A926BD">
      <w:pPr>
        <w:pStyle w:val="4"/>
      </w:pPr>
      <w:r w:rsidRPr="00FD50F6">
        <w:t>地下车站各类用房的生活废水应通过管道排入污水泵房的集水池</w:t>
      </w:r>
      <w:r w:rsidRPr="00FD50F6">
        <w:rPr>
          <w:rFonts w:hint="eastAsia"/>
        </w:rPr>
        <w:t>。</w:t>
      </w:r>
    </w:p>
    <w:p w14:paraId="40961424" w14:textId="3D146FE3" w:rsidR="00DC2C74" w:rsidRPr="00FD50F6" w:rsidRDefault="00DC2C74" w:rsidP="00A926BD">
      <w:pPr>
        <w:pStyle w:val="4"/>
      </w:pPr>
      <w:r w:rsidRPr="00FD50F6">
        <w:t>地下车站厕所污水泵房的污水池应设透气管，透气管应接至排风井处</w:t>
      </w:r>
      <w:r w:rsidRPr="00FD50F6">
        <w:rPr>
          <w:rFonts w:hint="eastAsia"/>
        </w:rPr>
        <w:t>。</w:t>
      </w:r>
    </w:p>
    <w:p w14:paraId="588F6FA9" w14:textId="54153918" w:rsidR="00DC2C74" w:rsidRPr="00FD50F6" w:rsidRDefault="00DC2C74" w:rsidP="00A926BD">
      <w:pPr>
        <w:pStyle w:val="4"/>
      </w:pPr>
      <w:r w:rsidRPr="00FD50F6">
        <w:rPr>
          <w:rFonts w:hint="eastAsia"/>
        </w:rPr>
        <w:t>当</w:t>
      </w:r>
      <w:r w:rsidRPr="00FD50F6">
        <w:t>硬聚氯乙稀排水管道穿越楼板及不同的防火分区时</w:t>
      </w:r>
      <w:r w:rsidRPr="00FD50F6">
        <w:rPr>
          <w:rFonts w:hint="eastAsia"/>
        </w:rPr>
        <w:t>，</w:t>
      </w:r>
      <w:r w:rsidRPr="00FD50F6">
        <w:t>应设阻火圈</w:t>
      </w:r>
      <w:r w:rsidRPr="00FD50F6">
        <w:rPr>
          <w:rFonts w:hint="eastAsia"/>
        </w:rPr>
        <w:t>。</w:t>
      </w:r>
    </w:p>
    <w:p w14:paraId="11BB8448" w14:textId="4D3C418F" w:rsidR="00DC2C74" w:rsidRPr="00FD50F6" w:rsidRDefault="00DC2C74" w:rsidP="00A926BD">
      <w:pPr>
        <w:pStyle w:val="4"/>
      </w:pPr>
      <w:r w:rsidRPr="00FD50F6">
        <w:rPr>
          <w:rFonts w:hint="eastAsia"/>
        </w:rPr>
        <w:t>当</w:t>
      </w:r>
      <w:r w:rsidRPr="00FD50F6">
        <w:t>车站污水泵房、局部排水泵房的压力排水管和地面城市排水管道连接时，可设一般检查井；</w:t>
      </w:r>
      <w:r w:rsidRPr="00FD50F6">
        <w:rPr>
          <w:rFonts w:hint="eastAsia"/>
        </w:rPr>
        <w:t>当</w:t>
      </w:r>
      <w:r w:rsidRPr="00FD50F6">
        <w:t>车站排水泵房、区间排水泵站及洞口雨水泵站的压力排水管和地面城市排水管连接时，应设压力检查井</w:t>
      </w:r>
      <w:r w:rsidRPr="00FD50F6">
        <w:rPr>
          <w:rFonts w:hint="eastAsia"/>
        </w:rPr>
        <w:t>。</w:t>
      </w:r>
    </w:p>
    <w:p w14:paraId="61CE887C" w14:textId="1BABDDBF" w:rsidR="00DC2C74" w:rsidRPr="00FD50F6" w:rsidRDefault="00DC2C74" w:rsidP="00A926BD">
      <w:pPr>
        <w:pStyle w:val="4"/>
      </w:pPr>
      <w:r w:rsidRPr="00FD50F6">
        <w:t>车站和区间主排水泵站（房）、污水泵房、洞口雨水泵站的集水池应设冲洗管、人孔和爬梯，集水池底应设集水坑，坡向集水坑的坡度不宜小于</w:t>
      </w:r>
      <w:r w:rsidRPr="00FD50F6">
        <w:t>10%</w:t>
      </w:r>
      <w:r w:rsidRPr="00FD50F6">
        <w:rPr>
          <w:rFonts w:hint="eastAsia"/>
        </w:rPr>
        <w:t>。</w:t>
      </w:r>
    </w:p>
    <w:p w14:paraId="4B56DE14" w14:textId="2B66B736" w:rsidR="00DC2C74" w:rsidRPr="00FD50F6" w:rsidRDefault="00DC2C74" w:rsidP="00A926BD">
      <w:pPr>
        <w:pStyle w:val="4"/>
      </w:pPr>
      <w:r w:rsidRPr="00FD50F6">
        <w:t>车站污水泵房污水池的人孔、检修孔应采用密闭井盖</w:t>
      </w:r>
      <w:r w:rsidRPr="00FD50F6">
        <w:rPr>
          <w:rFonts w:hint="eastAsia"/>
        </w:rPr>
        <w:t>。</w:t>
      </w:r>
    </w:p>
    <w:p w14:paraId="5E9287B8" w14:textId="77777777" w:rsidR="00DC2C74" w:rsidRPr="00FD50F6" w:rsidRDefault="00DC2C74" w:rsidP="00A926BD">
      <w:pPr>
        <w:pStyle w:val="4"/>
      </w:pPr>
      <w:r w:rsidRPr="00FD50F6">
        <w:t>地铁排水检查井应有地铁标志。</w:t>
      </w:r>
    </w:p>
    <w:p w14:paraId="366D919C" w14:textId="77777777" w:rsidR="00DC2C74" w:rsidRPr="00FD50F6" w:rsidRDefault="00DC2C74" w:rsidP="00AC1333">
      <w:pPr>
        <w:pStyle w:val="30"/>
      </w:pPr>
      <w:r w:rsidRPr="00FD50F6">
        <w:t>局部污水处理设施应符合下列规定：</w:t>
      </w:r>
    </w:p>
    <w:p w14:paraId="2477D980" w14:textId="77777777" w:rsidR="00DC2C74" w:rsidRPr="00FD50F6" w:rsidRDefault="00DC2C74" w:rsidP="00A926BD">
      <w:pPr>
        <w:pStyle w:val="4"/>
      </w:pPr>
      <w:r w:rsidRPr="00FD50F6">
        <w:lastRenderedPageBreak/>
        <w:t>当城市有污水排水系统而无污水处理厂时，车站厕所的污水应经过化粪池处理达到标准后排入城市污水排水系统；</w:t>
      </w:r>
    </w:p>
    <w:p w14:paraId="24DFD673" w14:textId="2CD6D153" w:rsidR="00DC2C74" w:rsidRPr="00FD50F6" w:rsidRDefault="00DC2C74" w:rsidP="00A926BD">
      <w:pPr>
        <w:pStyle w:val="4"/>
      </w:pPr>
      <w:r w:rsidRPr="00FD50F6">
        <w:t>当城市有污水排水系统又有污水处理厂时，车站厕所的污水</w:t>
      </w:r>
      <w:r w:rsidRPr="00FD50F6">
        <w:rPr>
          <w:rFonts w:hint="eastAsia"/>
        </w:rPr>
        <w:t>不应设置</w:t>
      </w:r>
      <w:r w:rsidRPr="00FD50F6">
        <w:t>化粪池；</w:t>
      </w:r>
    </w:p>
    <w:p w14:paraId="3A32B02D" w14:textId="350559AA" w:rsidR="00DC2C74" w:rsidRPr="00FD50F6" w:rsidRDefault="00DC2C74" w:rsidP="00A926BD">
      <w:pPr>
        <w:pStyle w:val="4"/>
      </w:pPr>
      <w:r w:rsidRPr="00FD50F6">
        <w:t>当城市无污水排水系统时</w:t>
      </w:r>
      <w:r w:rsidRPr="00FD50F6">
        <w:rPr>
          <w:rFonts w:hint="eastAsia"/>
        </w:rPr>
        <w:t>，</w:t>
      </w:r>
      <w:r w:rsidRPr="00FD50F6">
        <w:t>地铁车站</w:t>
      </w:r>
      <w:r w:rsidRPr="00FD50F6">
        <w:rPr>
          <w:rFonts w:hint="eastAsia"/>
        </w:rPr>
        <w:t>生活污废水应</w:t>
      </w:r>
      <w:r w:rsidRPr="00FD50F6">
        <w:t>处理达到</w:t>
      </w:r>
      <w:r w:rsidRPr="00FD50F6">
        <w:rPr>
          <w:rFonts w:hint="eastAsia"/>
        </w:rPr>
        <w:t>排放</w:t>
      </w:r>
      <w:r w:rsidRPr="001A4CF3">
        <w:rPr>
          <w:rFonts w:hint="eastAsia"/>
        </w:rPr>
        <w:t>标准后</w:t>
      </w:r>
      <w:r w:rsidRPr="00FD50F6">
        <w:t>再排入城市雨水管网或车站附近的河流；</w:t>
      </w:r>
    </w:p>
    <w:p w14:paraId="459D833E" w14:textId="77777777" w:rsidR="00DC2C74" w:rsidRPr="00FD50F6" w:rsidRDefault="00DC2C74" w:rsidP="00A926BD">
      <w:pPr>
        <w:pStyle w:val="4"/>
      </w:pPr>
      <w:r w:rsidRPr="00FD50F6">
        <w:t>地面化粪池或生活污水处理设施宜为埋地式，并宜设在人行道或绿地内，与建筑物的距离不宜小于</w:t>
      </w:r>
      <w:r w:rsidRPr="00FD50F6">
        <w:t>5m</w:t>
      </w:r>
      <w:r w:rsidRPr="00FD50F6">
        <w:t>；</w:t>
      </w:r>
    </w:p>
    <w:p w14:paraId="46C0B3A5" w14:textId="4F30C052" w:rsidR="00DC2C74" w:rsidRPr="00FD50F6" w:rsidRDefault="00DC2C74" w:rsidP="00A926BD">
      <w:pPr>
        <w:pStyle w:val="4"/>
      </w:pPr>
      <w:r w:rsidRPr="00FD50F6">
        <w:t>地面化粪池的设计应符合现行国家标准《建筑给水排水设计</w:t>
      </w:r>
      <w:r w:rsidRPr="00FD50F6">
        <w:rPr>
          <w:rFonts w:hint="eastAsia"/>
        </w:rPr>
        <w:t>标准</w:t>
      </w:r>
      <w:r w:rsidRPr="00FD50F6">
        <w:t>》</w:t>
      </w:r>
      <w:r w:rsidRPr="00FD50F6">
        <w:t>GB 50015</w:t>
      </w:r>
      <w:r w:rsidRPr="00FD50F6">
        <w:t>的规定</w:t>
      </w:r>
      <w:r w:rsidRPr="00FD50F6">
        <w:rPr>
          <w:rFonts w:hint="eastAsia"/>
        </w:rPr>
        <w:t>。</w:t>
      </w:r>
    </w:p>
    <w:p w14:paraId="6A89B727" w14:textId="77777777" w:rsidR="00DC2C74" w:rsidRPr="00FD50F6" w:rsidRDefault="00DC2C74" w:rsidP="00AC1333">
      <w:pPr>
        <w:pStyle w:val="30"/>
      </w:pPr>
      <w:r w:rsidRPr="00FD50F6">
        <w:t>管材的选型应符合下列规定：</w:t>
      </w:r>
    </w:p>
    <w:p w14:paraId="40444788" w14:textId="77777777" w:rsidR="00DC2C74" w:rsidRPr="00FD50F6" w:rsidRDefault="00DC2C74" w:rsidP="00A926BD">
      <w:pPr>
        <w:pStyle w:val="4"/>
      </w:pPr>
      <w:r w:rsidRPr="00FD50F6">
        <w:t>重力流排水管宜采用柔性接口机制排水铸铁管或阻燃型硬聚氯乙稀排水管及管件；</w:t>
      </w:r>
    </w:p>
    <w:p w14:paraId="1679099F" w14:textId="77777777" w:rsidR="00DC2C74" w:rsidRPr="00FD50F6" w:rsidRDefault="00DC2C74" w:rsidP="00A926BD">
      <w:pPr>
        <w:pStyle w:val="4"/>
      </w:pPr>
      <w:r w:rsidRPr="00FD50F6">
        <w:t>压力排水管宜采用热镀锌钢管或钢塑复合管；</w:t>
      </w:r>
    </w:p>
    <w:p w14:paraId="3C72CABD" w14:textId="6C576702" w:rsidR="00DC2C74" w:rsidRPr="00FD50F6" w:rsidRDefault="00DC2C74" w:rsidP="00A926BD">
      <w:pPr>
        <w:pStyle w:val="4"/>
      </w:pPr>
      <w:r w:rsidRPr="00FD50F6">
        <w:rPr>
          <w:rFonts w:hint="eastAsia"/>
        </w:rPr>
        <w:t>满管</w:t>
      </w:r>
      <w:r w:rsidRPr="00FD50F6">
        <w:t>压力流排水管宜采用承压塑料管或不锈钢管；</w:t>
      </w:r>
    </w:p>
    <w:p w14:paraId="1AD8946C" w14:textId="77777777" w:rsidR="00DC2C74" w:rsidRPr="00FD50F6" w:rsidRDefault="00DC2C74" w:rsidP="00A926BD">
      <w:pPr>
        <w:pStyle w:val="4"/>
        <w:rPr>
          <w:u w:val="single"/>
        </w:rPr>
      </w:pPr>
      <w:r w:rsidRPr="00FD50F6">
        <w:t>室外埋地排水管宜采用埋地塑料管。</w:t>
      </w:r>
    </w:p>
    <w:p w14:paraId="01C2ABF6" w14:textId="77777777" w:rsidR="00DC2C74" w:rsidRPr="001A4CF3" w:rsidRDefault="00DC2C74" w:rsidP="00295860">
      <w:pPr>
        <w:pStyle w:val="2"/>
      </w:pPr>
      <w:bookmarkStart w:id="586" w:name="_Toc320196030"/>
      <w:bookmarkStart w:id="587" w:name="_Toc320643420"/>
      <w:bookmarkStart w:id="588" w:name="_Toc344218781"/>
      <w:bookmarkStart w:id="589" w:name="_Toc112830751"/>
      <w:r w:rsidRPr="00FD50F6">
        <w:t>车辆基地给水与排水</w:t>
      </w:r>
      <w:bookmarkEnd w:id="586"/>
      <w:bookmarkEnd w:id="587"/>
      <w:bookmarkEnd w:id="588"/>
      <w:bookmarkEnd w:id="589"/>
    </w:p>
    <w:p w14:paraId="03C8C420" w14:textId="77777777" w:rsidR="00DC2C74" w:rsidRPr="00FD50F6" w:rsidRDefault="00DC2C74" w:rsidP="00DC2C74">
      <w:pPr>
        <w:adjustRightInd w:val="0"/>
        <w:snapToGrid w:val="0"/>
        <w:spacing w:beforeLines="50" w:before="120" w:afterLines="50" w:after="120"/>
        <w:jc w:val="center"/>
        <w:outlineLvl w:val="2"/>
        <w:rPr>
          <w:rFonts w:ascii="Times New Roman" w:hAnsi="Times New Roman" w:cs="Times New Roman"/>
          <w:b/>
          <w:szCs w:val="24"/>
        </w:rPr>
      </w:pPr>
      <w:bookmarkStart w:id="590" w:name="_Toc306206744"/>
      <w:r w:rsidRPr="00FD50F6">
        <w:rPr>
          <w:rFonts w:ascii="宋体" w:hAnsi="宋体" w:cs="宋体" w:hint="eastAsia"/>
          <w:b/>
          <w:szCs w:val="24"/>
        </w:rPr>
        <w:t>Ⅰ</w:t>
      </w:r>
      <w:r w:rsidRPr="00FD50F6">
        <w:rPr>
          <w:rFonts w:ascii="Times New Roman" w:hAnsi="Times New Roman" w:cs="Times New Roman"/>
          <w:b/>
          <w:szCs w:val="24"/>
        </w:rPr>
        <w:t>给水</w:t>
      </w:r>
      <w:bookmarkEnd w:id="590"/>
    </w:p>
    <w:p w14:paraId="4818B25A" w14:textId="77777777" w:rsidR="00DC2C74" w:rsidRPr="00FD50F6" w:rsidRDefault="00DC2C74" w:rsidP="00DC2C74">
      <w:pPr>
        <w:tabs>
          <w:tab w:val="left" w:pos="1080"/>
        </w:tabs>
        <w:rPr>
          <w:rFonts w:ascii="Times New Roman" w:hAnsi="Times New Roman" w:cs="Times New Roman"/>
          <w:vanish/>
          <w:sz w:val="21"/>
          <w:szCs w:val="24"/>
        </w:rPr>
      </w:pPr>
    </w:p>
    <w:p w14:paraId="767EFF68" w14:textId="77777777" w:rsidR="00DC2C74" w:rsidRPr="00FD50F6" w:rsidRDefault="00DC2C74" w:rsidP="00AC1333">
      <w:pPr>
        <w:pStyle w:val="30"/>
      </w:pPr>
      <w:r w:rsidRPr="00FD50F6">
        <w:t>车辆基地给水用水量定额应按下列规定确定：</w:t>
      </w:r>
    </w:p>
    <w:p w14:paraId="01193B63" w14:textId="556BA013" w:rsidR="00DC2C74" w:rsidRPr="00FD50F6" w:rsidRDefault="00DC2C74" w:rsidP="00A926BD">
      <w:pPr>
        <w:pStyle w:val="4"/>
      </w:pPr>
      <w:r w:rsidRPr="00FD50F6">
        <w:t>办公人员生活用水应</w:t>
      </w:r>
      <w:r w:rsidRPr="00FD50F6">
        <w:rPr>
          <w:rFonts w:hint="eastAsia"/>
        </w:rPr>
        <w:t>取</w:t>
      </w:r>
      <w:r w:rsidRPr="00FD50F6">
        <w:t>30L/</w:t>
      </w:r>
      <w:r w:rsidRPr="00FD50F6">
        <w:t>班</w:t>
      </w:r>
      <w:r w:rsidRPr="00FD50F6">
        <w:rPr>
          <w:position w:val="6"/>
        </w:rPr>
        <w:t>.</w:t>
      </w:r>
      <w:r w:rsidRPr="00FD50F6">
        <w:t>人～</w:t>
      </w:r>
      <w:r w:rsidRPr="00FD50F6">
        <w:t>50L/</w:t>
      </w:r>
      <w:r w:rsidRPr="00FD50F6">
        <w:t>班</w:t>
      </w:r>
      <w:r w:rsidRPr="00FD50F6">
        <w:rPr>
          <w:position w:val="6"/>
        </w:rPr>
        <w:t>.</w:t>
      </w:r>
      <w:r w:rsidRPr="00FD50F6">
        <w:t>人，小时变化系数应</w:t>
      </w:r>
      <w:r w:rsidRPr="00FD50F6">
        <w:rPr>
          <w:rFonts w:hint="eastAsia"/>
        </w:rPr>
        <w:t>取</w:t>
      </w:r>
      <w:r w:rsidRPr="00FD50F6">
        <w:t>2.0</w:t>
      </w:r>
      <w:r w:rsidRPr="00FD50F6">
        <w:t>；</w:t>
      </w:r>
    </w:p>
    <w:p w14:paraId="4007E928" w14:textId="1CE8D73D" w:rsidR="00DC2C74" w:rsidRPr="00FD50F6" w:rsidRDefault="00DC2C74" w:rsidP="00A926BD">
      <w:pPr>
        <w:pStyle w:val="4"/>
      </w:pPr>
      <w:r w:rsidRPr="00FD50F6">
        <w:t>职工淋浴用水定额应取</w:t>
      </w:r>
      <w:r w:rsidRPr="00FD50F6">
        <w:t>40L/</w:t>
      </w:r>
      <w:r w:rsidRPr="00FD50F6">
        <w:t>人</w:t>
      </w:r>
      <w:r w:rsidRPr="00FD50F6">
        <w:rPr>
          <w:position w:val="6"/>
        </w:rPr>
        <w:t>.</w:t>
      </w:r>
      <w:r w:rsidRPr="00FD50F6">
        <w:t>次，每次延续时间应</w:t>
      </w:r>
      <w:r w:rsidRPr="00FD50F6">
        <w:rPr>
          <w:rFonts w:hint="eastAsia"/>
        </w:rPr>
        <w:t>取</w:t>
      </w:r>
      <w:r w:rsidRPr="00FD50F6">
        <w:t>1h</w:t>
      </w:r>
      <w:r w:rsidRPr="00FD50F6">
        <w:t>；</w:t>
      </w:r>
    </w:p>
    <w:p w14:paraId="0A88731C" w14:textId="77777777" w:rsidR="00DC2C74" w:rsidRPr="00FD50F6" w:rsidRDefault="00DC2C74" w:rsidP="00A926BD">
      <w:pPr>
        <w:pStyle w:val="4"/>
      </w:pPr>
      <w:r w:rsidRPr="00FD50F6">
        <w:t>生产工艺用水应按工艺要求确定；</w:t>
      </w:r>
    </w:p>
    <w:p w14:paraId="2FB4B45E" w14:textId="7BA547F4" w:rsidR="00DC2C74" w:rsidRPr="00FD50F6" w:rsidRDefault="00DC2C74" w:rsidP="00A926BD">
      <w:pPr>
        <w:pStyle w:val="4"/>
      </w:pPr>
      <w:r w:rsidRPr="00FD50F6">
        <w:t>路面洒水、绿化及草地用水、汽车冲洗用水应符合现行国家标准《建筑给水排水设计</w:t>
      </w:r>
      <w:r w:rsidRPr="00FD50F6">
        <w:rPr>
          <w:rFonts w:hint="eastAsia"/>
        </w:rPr>
        <w:t>标准</w:t>
      </w:r>
      <w:r w:rsidRPr="00FD50F6">
        <w:t>》</w:t>
      </w:r>
      <w:r w:rsidRPr="00FD50F6">
        <w:t>GB 50015</w:t>
      </w:r>
      <w:r w:rsidRPr="00FD50F6">
        <w:t>的规定；</w:t>
      </w:r>
    </w:p>
    <w:p w14:paraId="427840A8" w14:textId="6C084715" w:rsidR="00DC2C74" w:rsidRPr="00FD50F6" w:rsidRDefault="00DC2C74" w:rsidP="00A926BD">
      <w:pPr>
        <w:pStyle w:val="4"/>
      </w:pPr>
      <w:r w:rsidRPr="00FD50F6">
        <w:t>不可预见水量和管网漏水量之和应按车辆基地内生产、生活最高日用水量的</w:t>
      </w:r>
      <w:r w:rsidRPr="00FD50F6">
        <w:rPr>
          <w:rFonts w:hint="eastAsia"/>
        </w:rPr>
        <w:t>8%</w:t>
      </w:r>
      <w:r w:rsidR="007B18FB">
        <w:t>~</w:t>
      </w:r>
      <w:r w:rsidRPr="00FD50F6">
        <w:rPr>
          <w:rFonts w:hint="eastAsia"/>
        </w:rPr>
        <w:t>12</w:t>
      </w:r>
      <w:r w:rsidRPr="00FD50F6">
        <w:t>%</w:t>
      </w:r>
      <w:r w:rsidRPr="00FD50F6">
        <w:t>计算。</w:t>
      </w:r>
    </w:p>
    <w:p w14:paraId="1A5543F3" w14:textId="77777777" w:rsidR="00DC2C74" w:rsidRPr="00FD50F6" w:rsidRDefault="00DC2C74" w:rsidP="00295860">
      <w:pPr>
        <w:pStyle w:val="30"/>
      </w:pPr>
      <w:r w:rsidRPr="00FD50F6">
        <w:t>给水水源应采用城市自来水。当城市自来水提供两根给水引入管时，生产、生活系统宜与室外消防给水系统共用且布置成环状；当城市自来水提供一</w:t>
      </w:r>
      <w:r w:rsidRPr="00FD50F6">
        <w:lastRenderedPageBreak/>
        <w:t>根给水引入管时，生产、生活和室外消防给水系统应分开布置。</w:t>
      </w:r>
    </w:p>
    <w:p w14:paraId="541C8FBA" w14:textId="77777777" w:rsidR="00DC2C74" w:rsidRPr="00FD50F6" w:rsidRDefault="00DC2C74" w:rsidP="00295860">
      <w:pPr>
        <w:pStyle w:val="30"/>
      </w:pPr>
      <w:r w:rsidRPr="00FD50F6">
        <w:t>当城市自来水的供水量和供水压力不能满足车辆基地生产、生活给水系统的要求时，应设给水泵房和蓄水池，给水加压设备宜采用变频调速或叠压供水装置。</w:t>
      </w:r>
    </w:p>
    <w:p w14:paraId="66C2B33A" w14:textId="675D0637" w:rsidR="00DC2C74" w:rsidRPr="00FD50F6" w:rsidRDefault="00DC2C74" w:rsidP="00295860">
      <w:pPr>
        <w:pStyle w:val="30"/>
      </w:pPr>
      <w:r w:rsidRPr="00FD50F6">
        <w:t>当车辆基地周围有城市杂用水系统且水质满足使用要求时，其内部冲厕、绿化及地面冲洗水</w:t>
      </w:r>
      <w:r w:rsidRPr="00FD50F6">
        <w:rPr>
          <w:rFonts w:hint="eastAsia"/>
        </w:rPr>
        <w:t>应</w:t>
      </w:r>
      <w:r w:rsidRPr="00FD50F6">
        <w:t>利用城市杂用水系统供水。</w:t>
      </w:r>
    </w:p>
    <w:p w14:paraId="56629E0C" w14:textId="77777777" w:rsidR="00DC2C74" w:rsidRPr="00FD50F6" w:rsidRDefault="00DC2C74" w:rsidP="00295860">
      <w:pPr>
        <w:pStyle w:val="30"/>
      </w:pPr>
      <w:r w:rsidRPr="00FD50F6">
        <w:t>车辆基地内公共浴室、食堂、司机公寓等热水系统宜采用太阳能热水系统</w:t>
      </w:r>
      <w:r w:rsidRPr="00FD50F6">
        <w:rPr>
          <w:rFonts w:hint="eastAsia"/>
        </w:rPr>
        <w:t>或</w:t>
      </w:r>
      <w:r w:rsidRPr="00FD50F6">
        <w:t>空气能热泵</w:t>
      </w:r>
      <w:r w:rsidRPr="00FD50F6">
        <w:rPr>
          <w:rFonts w:hint="eastAsia"/>
        </w:rPr>
        <w:t>等可再生能源</w:t>
      </w:r>
      <w:r w:rsidRPr="00FD50F6">
        <w:t>系统。</w:t>
      </w:r>
    </w:p>
    <w:p w14:paraId="2056145E" w14:textId="77777777" w:rsidR="00DC2C74" w:rsidRPr="00295860" w:rsidRDefault="00DC2C74" w:rsidP="00295860">
      <w:pPr>
        <w:pStyle w:val="30"/>
      </w:pPr>
      <w:r w:rsidRPr="00FD50F6">
        <w:t>车辆基地洒水栓的</w:t>
      </w:r>
      <w:r w:rsidRPr="00295860">
        <w:t>间距不应大于</w:t>
      </w:r>
      <w:r w:rsidRPr="00295860">
        <w:t>80m</w:t>
      </w:r>
      <w:r w:rsidRPr="00295860">
        <w:t>。</w:t>
      </w:r>
    </w:p>
    <w:p w14:paraId="2158241B" w14:textId="76C4601E" w:rsidR="00DC2C74" w:rsidRPr="00295860" w:rsidRDefault="00DC2C74" w:rsidP="00295860">
      <w:pPr>
        <w:pStyle w:val="30"/>
      </w:pPr>
      <w:r w:rsidRPr="00295860">
        <w:t>室外给水管变坡最高点应设排气阀，最低点应设泄水阀。</w:t>
      </w:r>
    </w:p>
    <w:p w14:paraId="4D6DDE00" w14:textId="77777777" w:rsidR="00DC2C74" w:rsidRPr="00295860" w:rsidRDefault="00DC2C74" w:rsidP="00295860">
      <w:pPr>
        <w:pStyle w:val="30"/>
      </w:pPr>
      <w:r w:rsidRPr="00295860">
        <w:rPr>
          <w:rFonts w:hint="eastAsia"/>
        </w:rPr>
        <w:t>当</w:t>
      </w:r>
      <w:r w:rsidRPr="00295860">
        <w:t>室外给排水及消防管道穿越车辆基地内轨道时，应设防护套管或综合管沟。</w:t>
      </w:r>
    </w:p>
    <w:p w14:paraId="0AEA76B4" w14:textId="77777777" w:rsidR="00DC2C74" w:rsidRPr="00FD50F6" w:rsidRDefault="00DC2C74" w:rsidP="00DC2C74">
      <w:pPr>
        <w:adjustRightInd w:val="0"/>
        <w:snapToGrid w:val="0"/>
        <w:spacing w:beforeLines="50" w:before="120" w:afterLines="50" w:after="120"/>
        <w:jc w:val="center"/>
        <w:outlineLvl w:val="2"/>
        <w:rPr>
          <w:rFonts w:ascii="Times New Roman" w:hAnsi="Times New Roman" w:cs="Times New Roman"/>
          <w:b/>
          <w:szCs w:val="24"/>
        </w:rPr>
      </w:pPr>
      <w:bookmarkStart w:id="591" w:name="_Toc306206745"/>
      <w:r w:rsidRPr="00FD50F6">
        <w:rPr>
          <w:rFonts w:ascii="宋体" w:hAnsi="宋体" w:cs="宋体" w:hint="eastAsia"/>
          <w:b/>
          <w:szCs w:val="24"/>
        </w:rPr>
        <w:t>Ⅱ</w:t>
      </w:r>
      <w:r w:rsidRPr="00FD50F6">
        <w:rPr>
          <w:rFonts w:ascii="Times New Roman" w:hAnsi="Times New Roman" w:cs="Times New Roman"/>
          <w:b/>
          <w:szCs w:val="24"/>
        </w:rPr>
        <w:t>排水</w:t>
      </w:r>
      <w:bookmarkEnd w:id="591"/>
    </w:p>
    <w:p w14:paraId="5FD87C8E" w14:textId="77777777" w:rsidR="00DC2C74" w:rsidRPr="00FD50F6" w:rsidRDefault="00DC2C74" w:rsidP="00295860">
      <w:pPr>
        <w:pStyle w:val="30"/>
      </w:pPr>
      <w:r w:rsidRPr="00FD50F6">
        <w:t>排水量定额应符合下列规定：</w:t>
      </w:r>
    </w:p>
    <w:p w14:paraId="0F2F3106" w14:textId="66A84D91" w:rsidR="00DC2C74" w:rsidRPr="00295860" w:rsidRDefault="00DC2C74" w:rsidP="00A926BD">
      <w:pPr>
        <w:pStyle w:val="4"/>
      </w:pPr>
      <w:r w:rsidRPr="00FD50F6">
        <w:t>生活排水</w:t>
      </w:r>
      <w:r w:rsidRPr="00295860">
        <w:t>量标准应按用水量的</w:t>
      </w:r>
      <w:r w:rsidRPr="00295860">
        <w:t>90%</w:t>
      </w:r>
      <w:r w:rsidRPr="00295860">
        <w:t>～</w:t>
      </w:r>
      <w:r w:rsidRPr="00295860">
        <w:t>95%</w:t>
      </w:r>
      <w:r w:rsidRPr="00295860">
        <w:t>确定</w:t>
      </w:r>
      <w:r w:rsidRPr="00295860">
        <w:rPr>
          <w:rFonts w:hint="eastAsia"/>
        </w:rPr>
        <w:t>。</w:t>
      </w:r>
    </w:p>
    <w:p w14:paraId="20787A10" w14:textId="61B49874" w:rsidR="00DC2C74" w:rsidRPr="00295860" w:rsidRDefault="00DC2C74" w:rsidP="00A926BD">
      <w:pPr>
        <w:pStyle w:val="4"/>
      </w:pPr>
      <w:r w:rsidRPr="00295860">
        <w:t>生产用水排水量应按工艺要求确定</w:t>
      </w:r>
      <w:r w:rsidRPr="00295860">
        <w:rPr>
          <w:rFonts w:hint="eastAsia"/>
        </w:rPr>
        <w:t>。</w:t>
      </w:r>
    </w:p>
    <w:p w14:paraId="48EF8B35" w14:textId="68497FBE" w:rsidR="00DC2C74" w:rsidRPr="00295860" w:rsidRDefault="00DC2C74" w:rsidP="00A926BD">
      <w:pPr>
        <w:pStyle w:val="4"/>
      </w:pPr>
      <w:r w:rsidRPr="00295860">
        <w:t>冲洗和消防废水排水量和用水量应相同</w:t>
      </w:r>
      <w:r w:rsidRPr="00295860">
        <w:rPr>
          <w:rFonts w:hint="eastAsia"/>
        </w:rPr>
        <w:t>。</w:t>
      </w:r>
    </w:p>
    <w:p w14:paraId="28BC5077" w14:textId="77777777" w:rsidR="00DC2C74" w:rsidRPr="00FD50F6" w:rsidRDefault="00DC2C74" w:rsidP="00A926BD">
      <w:pPr>
        <w:pStyle w:val="4"/>
      </w:pPr>
      <w:r w:rsidRPr="00295860">
        <w:rPr>
          <w:rFonts w:hint="eastAsia"/>
        </w:rPr>
        <w:t>车辆基地运用库、检修库、高层建筑、带上盖开发车辆基地屋面雨水应按</w:t>
      </w:r>
      <w:r w:rsidRPr="00295860">
        <w:t>10</w:t>
      </w:r>
      <w:r w:rsidRPr="00295860">
        <w:rPr>
          <w:rFonts w:hint="eastAsia"/>
        </w:rPr>
        <w:t>年一遇暴雨强度进行计算，排水工程与溢流设施的总排水能力不应小于</w:t>
      </w:r>
      <w:r w:rsidRPr="00295860">
        <w:t>50</w:t>
      </w:r>
      <w:r w:rsidRPr="00295860">
        <w:rPr>
          <w:rFonts w:hint="eastAsia"/>
        </w:rPr>
        <w:t>年暴雨重现期的雨水量；其他建筑屋面雨水应按</w:t>
      </w:r>
      <w:r w:rsidRPr="00295860">
        <w:t>2</w:t>
      </w:r>
      <w:r w:rsidRPr="00295860">
        <w:rPr>
          <w:rFonts w:hint="eastAsia"/>
        </w:rPr>
        <w:t>年～</w:t>
      </w:r>
      <w:r w:rsidRPr="00295860">
        <w:t>5</w:t>
      </w:r>
      <w:r w:rsidRPr="00295860">
        <w:rPr>
          <w:rFonts w:hint="eastAsia"/>
        </w:rPr>
        <w:t>年一遇暴雨强度进行计算，排水工程与溢流设施的总排水能力不应小于</w:t>
      </w:r>
      <w:r w:rsidRPr="00295860">
        <w:t>10</w:t>
      </w:r>
      <w:r w:rsidRPr="00295860">
        <w:rPr>
          <w:rFonts w:hint="eastAsia"/>
        </w:rPr>
        <w:t>年暴雨重现期的雨水量。当屋面无外檐天沟或无直接散水条</w:t>
      </w:r>
      <w:r w:rsidRPr="00FD50F6">
        <w:rPr>
          <w:rFonts w:hint="eastAsia"/>
        </w:rPr>
        <w:t>件且采用溢流管道系统时，屋面雨水工程与溢流设施总排水能力不应小于</w:t>
      </w:r>
      <w:r w:rsidRPr="00FD50F6">
        <w:rPr>
          <w:rFonts w:hint="eastAsia"/>
        </w:rPr>
        <w:t>100</w:t>
      </w:r>
      <w:r w:rsidRPr="00FD50F6">
        <w:rPr>
          <w:rFonts w:hint="eastAsia"/>
        </w:rPr>
        <w:t>年重现期的雨水量。</w:t>
      </w:r>
    </w:p>
    <w:p w14:paraId="31A79A6D" w14:textId="77777777" w:rsidR="00DC2C74" w:rsidRPr="00FD50F6" w:rsidRDefault="00DC2C74" w:rsidP="00295860">
      <w:pPr>
        <w:pStyle w:val="30"/>
      </w:pPr>
      <w:r w:rsidRPr="00FD50F6">
        <w:t>洗车库的废水应经过处理后重复利用；其他含油废水，</w:t>
      </w:r>
      <w:r w:rsidRPr="00FD50F6">
        <w:rPr>
          <w:rFonts w:hint="eastAsia"/>
        </w:rPr>
        <w:t>当</w:t>
      </w:r>
      <w:r w:rsidRPr="00FD50F6">
        <w:t>不符合国家规定的排放标准时，应经过处理达到标准后排放。</w:t>
      </w:r>
    </w:p>
    <w:p w14:paraId="05DC0F4F" w14:textId="23E6C757" w:rsidR="00DC2C74" w:rsidRPr="00FD50F6" w:rsidRDefault="00DC2C74" w:rsidP="00295860">
      <w:pPr>
        <w:pStyle w:val="30"/>
      </w:pPr>
      <w:r w:rsidRPr="00FD50F6">
        <w:rPr>
          <w:rFonts w:hint="eastAsia"/>
        </w:rPr>
        <w:t>当</w:t>
      </w:r>
      <w:r w:rsidRPr="00FD50F6">
        <w:t>车辆基地附近无城市污水排水系统时，其内部的生产废水、生活污水应经过处理达到排放标准后排放。</w:t>
      </w:r>
    </w:p>
    <w:p w14:paraId="6643F6A7" w14:textId="677A108C" w:rsidR="00DC2C74" w:rsidRPr="00FD50F6" w:rsidRDefault="00DC2C74" w:rsidP="00295860">
      <w:pPr>
        <w:pStyle w:val="30"/>
      </w:pPr>
      <w:r w:rsidRPr="00FD50F6">
        <w:t>车辆基地的生产废水、生活污水宜集中后按重力流方式接入城市排水系统，</w:t>
      </w:r>
      <w:r w:rsidRPr="00FD50F6">
        <w:rPr>
          <w:rFonts w:hint="eastAsia"/>
        </w:rPr>
        <w:t>当</w:t>
      </w:r>
      <w:r w:rsidRPr="00FD50F6">
        <w:t>不能按重力流方式排放时，应设污水泵站提升并排入城市污水排水系统。</w:t>
      </w:r>
    </w:p>
    <w:p w14:paraId="585A6445" w14:textId="50D9C7B0" w:rsidR="00DC2C74" w:rsidRPr="00295860" w:rsidRDefault="00DC2C74" w:rsidP="00295860">
      <w:pPr>
        <w:pStyle w:val="30"/>
      </w:pPr>
      <w:r w:rsidRPr="00FD50F6">
        <w:lastRenderedPageBreak/>
        <w:t>车辆</w:t>
      </w:r>
      <w:r w:rsidRPr="00295860">
        <w:t>基地应经过技术经济比较采用渗透地面、屋顶绿化以及设置雨水集蓄设施等技术措施对雨水进行重复利用</w:t>
      </w:r>
      <w:r w:rsidRPr="00295860">
        <w:rPr>
          <w:rFonts w:hint="eastAsia"/>
        </w:rPr>
        <w:t>，雨水</w:t>
      </w:r>
      <w:r w:rsidRPr="00295860">
        <w:t>排放应满足当地海绵城市及雨水综合利用的要求。</w:t>
      </w:r>
    </w:p>
    <w:p w14:paraId="1EC591B8" w14:textId="77777777" w:rsidR="00DC2C74" w:rsidRPr="00295860" w:rsidRDefault="00DC2C74" w:rsidP="00295860">
      <w:pPr>
        <w:pStyle w:val="30"/>
      </w:pPr>
      <w:r w:rsidRPr="00295860">
        <w:t>车辆基地停车列检库、定修库、试车线、电缆沟</w:t>
      </w:r>
      <w:r w:rsidRPr="00295860">
        <w:rPr>
          <w:rFonts w:hint="eastAsia"/>
        </w:rPr>
        <w:t>、</w:t>
      </w:r>
      <w:r w:rsidRPr="00295860">
        <w:t>综合管沟等局部低洼处应设排水设施。</w:t>
      </w:r>
    </w:p>
    <w:p w14:paraId="2C29EA56" w14:textId="77777777" w:rsidR="00DC2C74" w:rsidRPr="001A4CF3" w:rsidRDefault="00DC2C74" w:rsidP="00A65181">
      <w:pPr>
        <w:pStyle w:val="2"/>
      </w:pPr>
      <w:bookmarkStart w:id="592" w:name="_Toc112830752"/>
      <w:bookmarkStart w:id="593" w:name="_Toc320643421"/>
      <w:bookmarkStart w:id="594" w:name="_Toc344218782"/>
      <w:bookmarkStart w:id="595" w:name="_Toc320196031"/>
      <w:bookmarkStart w:id="596" w:name="_Toc112830753"/>
      <w:bookmarkEnd w:id="592"/>
      <w:r w:rsidRPr="00FD50F6">
        <w:t>给排水设备监控</w:t>
      </w:r>
      <w:bookmarkEnd w:id="593"/>
      <w:bookmarkEnd w:id="594"/>
      <w:bookmarkEnd w:id="595"/>
      <w:bookmarkEnd w:id="596"/>
    </w:p>
    <w:p w14:paraId="767F0433" w14:textId="77777777" w:rsidR="00DC2C74" w:rsidRPr="00295860" w:rsidRDefault="00DC2C74" w:rsidP="00295860">
      <w:pPr>
        <w:pStyle w:val="30"/>
      </w:pPr>
      <w:r w:rsidRPr="00FD50F6">
        <w:t>生产、生活给</w:t>
      </w:r>
      <w:r w:rsidRPr="00295860">
        <w:t>水设备应在车站控制室显示运行、手</w:t>
      </w:r>
      <w:r w:rsidRPr="00295860">
        <w:t>/</w:t>
      </w:r>
      <w:r w:rsidRPr="00295860">
        <w:t>自动及故障等状态信息。</w:t>
      </w:r>
    </w:p>
    <w:p w14:paraId="1FFB21FD" w14:textId="0290AB29" w:rsidR="00D70A4C" w:rsidRPr="00FD50F6" w:rsidRDefault="00DC2C74" w:rsidP="00295860">
      <w:pPr>
        <w:pStyle w:val="30"/>
      </w:pPr>
      <w:r w:rsidRPr="00295860">
        <w:t>排水泵应采用液位自动控制、就地控制方式，车站和区间主排水泵</w:t>
      </w:r>
      <w:r w:rsidRPr="00295860">
        <w:rPr>
          <w:rFonts w:hint="eastAsia"/>
        </w:rPr>
        <w:t>，敞口出入口、风亭及隧道</w:t>
      </w:r>
      <w:r w:rsidRPr="00295860">
        <w:t>洞口</w:t>
      </w:r>
      <w:r w:rsidRPr="00295860">
        <w:rPr>
          <w:rFonts w:hint="eastAsia"/>
        </w:rPr>
        <w:t>的</w:t>
      </w:r>
      <w:r w:rsidRPr="00295860">
        <w:t>雨水泵应在车站控制室远程控制。排水设备应在车站控制室显示设备运行、手</w:t>
      </w:r>
      <w:r w:rsidRPr="00295860">
        <w:t>/</w:t>
      </w:r>
      <w:r w:rsidRPr="00295860">
        <w:t>自动、故障</w:t>
      </w:r>
      <w:r w:rsidRPr="00FD50F6">
        <w:t>等状态及液位信息。</w:t>
      </w:r>
      <w:r w:rsidR="00D70A4C" w:rsidRPr="00FD50F6">
        <w:br w:type="page"/>
      </w:r>
    </w:p>
    <w:p w14:paraId="373C2385" w14:textId="77777777" w:rsidR="002D2246" w:rsidRPr="00FD50F6" w:rsidRDefault="002D2246" w:rsidP="002D2246">
      <w:pPr>
        <w:pStyle w:val="12"/>
        <w:rPr>
          <w:kern w:val="2"/>
          <w:sz w:val="24"/>
          <w:szCs w:val="32"/>
        </w:rPr>
      </w:pPr>
      <w:bookmarkStart w:id="597" w:name="_Toc112830754"/>
      <w:bookmarkStart w:id="598" w:name="_Toc27244604"/>
      <w:bookmarkEnd w:id="567"/>
      <w:bookmarkEnd w:id="568"/>
      <w:bookmarkEnd w:id="569"/>
      <w:bookmarkEnd w:id="570"/>
      <w:bookmarkEnd w:id="571"/>
      <w:bookmarkEnd w:id="572"/>
      <w:r w:rsidRPr="00FD50F6">
        <w:lastRenderedPageBreak/>
        <w:t>供电</w:t>
      </w:r>
      <w:bookmarkEnd w:id="597"/>
    </w:p>
    <w:p w14:paraId="192B8108" w14:textId="77777777" w:rsidR="002D2246" w:rsidRPr="00FD50F6" w:rsidRDefault="002D2246" w:rsidP="00010C49">
      <w:pPr>
        <w:pStyle w:val="2"/>
        <w:numPr>
          <w:ilvl w:val="1"/>
          <w:numId w:val="23"/>
        </w:numPr>
      </w:pPr>
      <w:bookmarkStart w:id="599" w:name="_Toc236494099"/>
      <w:bookmarkStart w:id="600" w:name="_Toc236717295"/>
      <w:bookmarkStart w:id="601" w:name="_Toc306206748"/>
      <w:bookmarkStart w:id="602" w:name="_Toc320196033"/>
      <w:bookmarkStart w:id="603" w:name="_Toc320643423"/>
      <w:bookmarkStart w:id="604" w:name="_Toc344218784"/>
      <w:bookmarkStart w:id="605" w:name="_Toc112830755"/>
      <w:r w:rsidRPr="00FD50F6">
        <w:t>一般规定</w:t>
      </w:r>
      <w:bookmarkEnd w:id="599"/>
      <w:bookmarkEnd w:id="600"/>
      <w:bookmarkEnd w:id="601"/>
      <w:bookmarkEnd w:id="602"/>
      <w:bookmarkEnd w:id="603"/>
      <w:bookmarkEnd w:id="604"/>
      <w:bookmarkEnd w:id="605"/>
    </w:p>
    <w:p w14:paraId="3501CFF9" w14:textId="77777777" w:rsidR="002D2246" w:rsidRPr="00FD50F6" w:rsidRDefault="002D2246" w:rsidP="002D2246">
      <w:pPr>
        <w:pStyle w:val="30"/>
      </w:pPr>
      <w:r w:rsidRPr="00FD50F6">
        <w:t>供电应安全、可靠、节能、环保和经济适用。</w:t>
      </w:r>
    </w:p>
    <w:p w14:paraId="2194428D" w14:textId="77777777" w:rsidR="002D2246" w:rsidRPr="00FD50F6" w:rsidRDefault="002D2246" w:rsidP="002D2246">
      <w:pPr>
        <w:pStyle w:val="30"/>
      </w:pPr>
      <w:r w:rsidRPr="00FD50F6">
        <w:t>供电应包括外部电源、主变电所</w:t>
      </w:r>
      <w:r w:rsidRPr="00FD50F6">
        <w:t>(</w:t>
      </w:r>
      <w:r w:rsidRPr="00FD50F6">
        <w:t>或电源开闭所</w:t>
      </w:r>
      <w:r w:rsidRPr="00FD50F6">
        <w:t>)</w:t>
      </w:r>
      <w:r w:rsidRPr="00FD50F6">
        <w:t>、牵引供电系统、动力照明供电系统、电力监控系统。牵引供电系统应包括牵引变电所与牵引网；动力照明供电系统应包括降压变电所与动力照明配电系统。</w:t>
      </w:r>
    </w:p>
    <w:p w14:paraId="4FC9CC73" w14:textId="77777777" w:rsidR="002D2246" w:rsidRPr="00FD50F6" w:rsidRDefault="002D2246" w:rsidP="002D2246">
      <w:pPr>
        <w:pStyle w:val="30"/>
      </w:pPr>
      <w:r w:rsidRPr="00FD50F6">
        <w:t>外部电源方案应根据城市轨道交通线网规划、城市电网现状及规划、城市规划进行设计，可采用集中式供电、分散式供电或混合式供电。</w:t>
      </w:r>
    </w:p>
    <w:p w14:paraId="0BB53E95" w14:textId="77777777" w:rsidR="002D2246" w:rsidRPr="00FD50F6" w:rsidRDefault="002D2246" w:rsidP="002D2246">
      <w:pPr>
        <w:pStyle w:val="30"/>
      </w:pPr>
      <w:r w:rsidRPr="00FD50F6">
        <w:t>供电设计应根据建设程序，从可行性研究阶段开始会同城市电力部门协商确定下列内容：</w:t>
      </w:r>
    </w:p>
    <w:p w14:paraId="432E95B2" w14:textId="77777777" w:rsidR="002D2246" w:rsidRPr="00FD50F6" w:rsidRDefault="002D2246" w:rsidP="00A926BD">
      <w:pPr>
        <w:pStyle w:val="4"/>
      </w:pPr>
      <w:r w:rsidRPr="00FD50F6">
        <w:t>外部电源方案及主变电所</w:t>
      </w:r>
      <w:r w:rsidRPr="00FD50F6">
        <w:rPr>
          <w:rFonts w:hint="eastAsia"/>
        </w:rPr>
        <w:t>、电源开闭所</w:t>
      </w:r>
      <w:r w:rsidRPr="00FD50F6">
        <w:t>设置；</w:t>
      </w:r>
    </w:p>
    <w:p w14:paraId="6D31B703" w14:textId="77777777" w:rsidR="002D2246" w:rsidRPr="00FD50F6" w:rsidRDefault="002D2246" w:rsidP="00A926BD">
      <w:pPr>
        <w:pStyle w:val="4"/>
      </w:pPr>
      <w:r w:rsidRPr="00FD50F6">
        <w:t>供电系统的一次接线方案；</w:t>
      </w:r>
    </w:p>
    <w:p w14:paraId="2746D6C4" w14:textId="0302F008" w:rsidR="002D2246" w:rsidRPr="00FD50F6" w:rsidRDefault="002D2246" w:rsidP="00A926BD">
      <w:pPr>
        <w:pStyle w:val="4"/>
      </w:pPr>
      <w:r w:rsidRPr="00FD50F6">
        <w:t>近远期外部电源容量及电压偏差范围；</w:t>
      </w:r>
    </w:p>
    <w:p w14:paraId="63A9ED99" w14:textId="77777777" w:rsidR="002D2246" w:rsidRPr="00FD50F6" w:rsidRDefault="002D2246" w:rsidP="00A926BD">
      <w:pPr>
        <w:pStyle w:val="4"/>
      </w:pPr>
      <w:r w:rsidRPr="00FD50F6">
        <w:t>电能计量要求；</w:t>
      </w:r>
    </w:p>
    <w:p w14:paraId="090D02F7" w14:textId="22BF15DD" w:rsidR="002D2246" w:rsidRPr="00FD50F6" w:rsidRDefault="002D2246" w:rsidP="00A926BD">
      <w:pPr>
        <w:pStyle w:val="4"/>
      </w:pPr>
      <w:r w:rsidRPr="00FD50F6">
        <w:t>城市电网近远期的规划资料及系统参数；</w:t>
      </w:r>
    </w:p>
    <w:p w14:paraId="53378549" w14:textId="77777777" w:rsidR="002D2246" w:rsidRPr="00FD50F6" w:rsidRDefault="002D2246" w:rsidP="00A926BD">
      <w:pPr>
        <w:pStyle w:val="4"/>
      </w:pPr>
      <w:r w:rsidRPr="00FD50F6">
        <w:t>城市电网变电所馈出线继电保护与地铁供电系统进线继电保护的设置和时限配合；</w:t>
      </w:r>
    </w:p>
    <w:p w14:paraId="14012D45" w14:textId="77777777" w:rsidR="002D2246" w:rsidRPr="00FD50F6" w:rsidRDefault="002D2246" w:rsidP="00A926BD">
      <w:pPr>
        <w:pStyle w:val="4"/>
      </w:pPr>
      <w:r w:rsidRPr="00FD50F6">
        <w:rPr>
          <w:rFonts w:hint="eastAsia"/>
        </w:rPr>
        <w:t>电力</w:t>
      </w:r>
      <w:r w:rsidRPr="00FD50F6">
        <w:t>调度的要求及管理分工。</w:t>
      </w:r>
    </w:p>
    <w:p w14:paraId="0C326B30" w14:textId="77777777" w:rsidR="002D2246" w:rsidRPr="00FD50F6" w:rsidRDefault="002D2246" w:rsidP="002D2246">
      <w:pPr>
        <w:pStyle w:val="30"/>
      </w:pPr>
      <w:r w:rsidRPr="00FD50F6">
        <w:t>牵引用电负荷应为一级负荷。</w:t>
      </w:r>
    </w:p>
    <w:p w14:paraId="0546CFFB" w14:textId="77777777" w:rsidR="002D2246" w:rsidRPr="00FD50F6" w:rsidRDefault="002D2246" w:rsidP="002D2246">
      <w:pPr>
        <w:pStyle w:val="30"/>
      </w:pPr>
      <w:r w:rsidRPr="00FD50F6">
        <w:t>一级负荷必须采用双电源双回线路供电。</w:t>
      </w:r>
    </w:p>
    <w:p w14:paraId="08A584DD" w14:textId="17B6772E" w:rsidR="002D2246" w:rsidRPr="00FD50F6" w:rsidRDefault="002D2246" w:rsidP="002D2246">
      <w:pPr>
        <w:pStyle w:val="30"/>
      </w:pPr>
      <w:r w:rsidRPr="00FD50F6">
        <w:t>一级负荷中特别重要的负荷应增设应急电源，并严禁其他</w:t>
      </w:r>
      <w:r w:rsidRPr="00FD50F6">
        <w:rPr>
          <w:rFonts w:hint="eastAsia"/>
        </w:rPr>
        <w:t>用电</w:t>
      </w:r>
      <w:r w:rsidRPr="00FD50F6">
        <w:t>负荷接入。</w:t>
      </w:r>
    </w:p>
    <w:p w14:paraId="50E6B9FF" w14:textId="77777777" w:rsidR="002D2246" w:rsidRPr="00FD50F6" w:rsidRDefault="002D2246" w:rsidP="002D2246">
      <w:pPr>
        <w:pStyle w:val="30"/>
      </w:pPr>
      <w:r w:rsidRPr="00FD50F6">
        <w:t>二级负荷宜采用双电源单回线路专线供电。</w:t>
      </w:r>
    </w:p>
    <w:p w14:paraId="3E7A4FD1" w14:textId="77777777" w:rsidR="002D2246" w:rsidRPr="00FD50F6" w:rsidRDefault="002D2246" w:rsidP="002D2246">
      <w:pPr>
        <w:pStyle w:val="30"/>
      </w:pPr>
      <w:r w:rsidRPr="00FD50F6">
        <w:t>三级负荷可采用单电源单回线路供电。当系统中只有一个电源工作时</w:t>
      </w:r>
      <w:r w:rsidRPr="00FD50F6">
        <w:rPr>
          <w:rFonts w:hint="eastAsia"/>
        </w:rPr>
        <w:t>，</w:t>
      </w:r>
      <w:r w:rsidRPr="00FD50F6">
        <w:t>可切除三级负荷。</w:t>
      </w:r>
    </w:p>
    <w:p w14:paraId="7554D924" w14:textId="77777777" w:rsidR="002D2246" w:rsidRPr="00FD50F6" w:rsidRDefault="002D2246" w:rsidP="002D2246">
      <w:pPr>
        <w:pStyle w:val="30"/>
      </w:pPr>
      <w:r w:rsidRPr="00FD50F6">
        <w:t>下列电源可作为应急电源：</w:t>
      </w:r>
      <w:r w:rsidRPr="00FD50F6">
        <w:t xml:space="preserve"> </w:t>
      </w:r>
    </w:p>
    <w:p w14:paraId="531B4093" w14:textId="77777777" w:rsidR="002D2246" w:rsidRPr="00FD50F6" w:rsidRDefault="002D2246" w:rsidP="00A926BD">
      <w:pPr>
        <w:pStyle w:val="4"/>
      </w:pPr>
      <w:r w:rsidRPr="00FD50F6">
        <w:t>独立于正常电源的发电机组；</w:t>
      </w:r>
    </w:p>
    <w:p w14:paraId="5789230A" w14:textId="77777777" w:rsidR="002D2246" w:rsidRPr="00FD50F6" w:rsidRDefault="002D2246" w:rsidP="00A926BD">
      <w:pPr>
        <w:pStyle w:val="4"/>
      </w:pPr>
      <w:r w:rsidRPr="00FD50F6">
        <w:t>供电网络中独立于正常电源的专用馈电线路；</w:t>
      </w:r>
    </w:p>
    <w:p w14:paraId="43121617" w14:textId="77777777" w:rsidR="002D2246" w:rsidRPr="00FD50F6" w:rsidRDefault="002D2246" w:rsidP="00A926BD">
      <w:pPr>
        <w:pStyle w:val="4"/>
      </w:pPr>
      <w:r w:rsidRPr="00FD50F6">
        <w:t>蓄电池。</w:t>
      </w:r>
    </w:p>
    <w:p w14:paraId="27E659EE" w14:textId="78A115EE" w:rsidR="002D2246" w:rsidRPr="00FD50F6" w:rsidRDefault="002D2246" w:rsidP="002D2246">
      <w:pPr>
        <w:pStyle w:val="30"/>
      </w:pPr>
      <w:r w:rsidRPr="00FD50F6">
        <w:rPr>
          <w:rFonts w:hint="eastAsia"/>
        </w:rPr>
        <w:lastRenderedPageBreak/>
        <w:t>供电系统中的各类变电所应有</w:t>
      </w:r>
      <w:r w:rsidRPr="00FD50F6">
        <w:t>双重</w:t>
      </w:r>
      <w:r w:rsidRPr="00FD50F6">
        <w:rPr>
          <w:rFonts w:hint="eastAsia"/>
        </w:rPr>
        <w:t>电源。每个进线电源的容量应满足变电所供电范围内一、二级负荷用电的要求。</w:t>
      </w:r>
    </w:p>
    <w:p w14:paraId="4B14D6AD" w14:textId="77777777" w:rsidR="002D2246" w:rsidRPr="00FD50F6" w:rsidRDefault="002D2246" w:rsidP="002D2246">
      <w:pPr>
        <w:pStyle w:val="30"/>
      </w:pPr>
      <w:r w:rsidRPr="00FD50F6">
        <w:rPr>
          <w:rFonts w:hint="eastAsia"/>
        </w:rPr>
        <w:t>每个主变电所、电源开闭所的进线电源应至少有一个为专线电源。</w:t>
      </w:r>
    </w:p>
    <w:p w14:paraId="797C952B" w14:textId="77777777" w:rsidR="002D2246" w:rsidRPr="00FD50F6" w:rsidRDefault="002D2246" w:rsidP="002D2246">
      <w:pPr>
        <w:pStyle w:val="30"/>
      </w:pPr>
      <w:r w:rsidRPr="00FD50F6">
        <w:t>为变电所供电的两个电源可来自上级不同的变电所，也可来自上级同一变电所的不同母线。</w:t>
      </w:r>
    </w:p>
    <w:p w14:paraId="3B738929" w14:textId="045DBB40" w:rsidR="002D2246" w:rsidRPr="00FD50F6" w:rsidRDefault="002D2246" w:rsidP="002D2246">
      <w:pPr>
        <w:pStyle w:val="30"/>
      </w:pPr>
      <w:r w:rsidRPr="00FD50F6">
        <w:t>中压</w:t>
      </w:r>
      <w:r w:rsidRPr="00FD50F6">
        <w:rPr>
          <w:rFonts w:hint="eastAsia"/>
        </w:rPr>
        <w:t>供电</w:t>
      </w:r>
      <w:r w:rsidRPr="00FD50F6">
        <w:t>网络的电压等级可采用</w:t>
      </w:r>
      <w:r w:rsidRPr="00FD50F6">
        <w:t>35kV</w:t>
      </w:r>
      <w:r w:rsidRPr="00FD50F6">
        <w:t>、</w:t>
      </w:r>
      <w:r w:rsidRPr="00FD50F6">
        <w:t>20kV</w:t>
      </w:r>
      <w:r w:rsidRPr="00FD50F6">
        <w:t>、</w:t>
      </w:r>
      <w:r w:rsidRPr="00FD50F6">
        <w:t>10kV</w:t>
      </w:r>
      <w:r w:rsidRPr="00FD50F6">
        <w:t>。对于分散式供电方案，中压</w:t>
      </w:r>
      <w:r w:rsidRPr="00FD50F6">
        <w:rPr>
          <w:rFonts w:hint="eastAsia"/>
        </w:rPr>
        <w:t>供电</w:t>
      </w:r>
      <w:r w:rsidRPr="00FD50F6">
        <w:t>网络的电压等级应与城市电网一致；对于集中式供电方案，中压</w:t>
      </w:r>
      <w:r w:rsidRPr="00FD50F6">
        <w:rPr>
          <w:rFonts w:hint="eastAsia"/>
        </w:rPr>
        <w:t>供电</w:t>
      </w:r>
      <w:r w:rsidRPr="00FD50F6">
        <w:t>网络的电压等级应根据用电容量、供电距离、城市电网现状及规划等因素，经技术经济综合比较确定；对于延伸线，中压</w:t>
      </w:r>
      <w:r w:rsidRPr="00FD50F6">
        <w:rPr>
          <w:rFonts w:hint="eastAsia"/>
        </w:rPr>
        <w:t>供电</w:t>
      </w:r>
      <w:r w:rsidRPr="00FD50F6">
        <w:t>网络的电压等级宜与原线路一致。</w:t>
      </w:r>
    </w:p>
    <w:p w14:paraId="5A61AB28" w14:textId="77777777" w:rsidR="002D2246" w:rsidRPr="00FD50F6" w:rsidRDefault="002D2246" w:rsidP="002D2246">
      <w:pPr>
        <w:pStyle w:val="30"/>
      </w:pPr>
      <w:r w:rsidRPr="00FD50F6">
        <w:t>中压</w:t>
      </w:r>
      <w:r w:rsidRPr="00FD50F6">
        <w:rPr>
          <w:rFonts w:hint="eastAsia"/>
        </w:rPr>
        <w:t>供电</w:t>
      </w:r>
      <w:r w:rsidRPr="00FD50F6">
        <w:t>网络宜采用牵引动力照明混合</w:t>
      </w:r>
      <w:r w:rsidRPr="00FD50F6">
        <w:rPr>
          <w:rFonts w:hint="eastAsia"/>
        </w:rPr>
        <w:t>供电</w:t>
      </w:r>
      <w:r w:rsidRPr="00FD50F6">
        <w:t>网络形式。</w:t>
      </w:r>
    </w:p>
    <w:p w14:paraId="6FEFFF63" w14:textId="77777777" w:rsidR="002D2246" w:rsidRPr="00FD50F6" w:rsidRDefault="002D2246" w:rsidP="002D2246">
      <w:pPr>
        <w:pStyle w:val="30"/>
      </w:pPr>
      <w:r w:rsidRPr="00FD50F6">
        <w:t>中压</w:t>
      </w:r>
      <w:r w:rsidRPr="00FD50F6">
        <w:rPr>
          <w:rFonts w:hint="eastAsia"/>
        </w:rPr>
        <w:t>供电</w:t>
      </w:r>
      <w:r w:rsidRPr="00FD50F6">
        <w:t>网络应按列车运行的远期通过能力设计，对互为备用线路，</w:t>
      </w:r>
      <w:r w:rsidRPr="00FD50F6">
        <w:rPr>
          <w:rFonts w:hint="eastAsia"/>
        </w:rPr>
        <w:t>当</w:t>
      </w:r>
      <w:r w:rsidRPr="00FD50F6">
        <w:t>一路退出运行</w:t>
      </w:r>
      <w:r w:rsidRPr="00FD50F6">
        <w:rPr>
          <w:rFonts w:hint="eastAsia"/>
        </w:rPr>
        <w:t>时，</w:t>
      </w:r>
      <w:r w:rsidRPr="00FD50F6">
        <w:t>另一路应承担</w:t>
      </w:r>
      <w:r w:rsidRPr="00FD50F6">
        <w:rPr>
          <w:rFonts w:hint="eastAsia"/>
        </w:rPr>
        <w:t>供电范围内的</w:t>
      </w:r>
      <w:r w:rsidRPr="00FD50F6">
        <w:t>一、二级负荷的供电，线路末端电压损失不宜超过</w:t>
      </w:r>
      <w:r w:rsidRPr="00FD50F6">
        <w:t>5</w:t>
      </w:r>
      <w:r w:rsidRPr="00FD50F6">
        <w:t>％。</w:t>
      </w:r>
    </w:p>
    <w:p w14:paraId="65255B58" w14:textId="77777777" w:rsidR="002D2246" w:rsidRPr="00FD50F6" w:rsidRDefault="002D2246" w:rsidP="002D2246">
      <w:pPr>
        <w:pStyle w:val="30"/>
      </w:pPr>
      <w:r w:rsidRPr="00FD50F6">
        <w:t>牵引网应采用直流双导线制，正极、负极均不应接地。</w:t>
      </w:r>
    </w:p>
    <w:p w14:paraId="652E2BD6" w14:textId="77777777" w:rsidR="002D2246" w:rsidRPr="00FD50F6" w:rsidRDefault="002D2246" w:rsidP="002D2246">
      <w:pPr>
        <w:pStyle w:val="30"/>
      </w:pPr>
      <w:r w:rsidRPr="00FD50F6">
        <w:t>牵引网电压等级可分为直流</w:t>
      </w:r>
      <w:r w:rsidRPr="00FD50F6">
        <w:t>750V</w:t>
      </w:r>
      <w:r w:rsidRPr="00FD50F6">
        <w:t>和直流</w:t>
      </w:r>
      <w:r w:rsidRPr="00FD50F6">
        <w:t>1500V</w:t>
      </w:r>
      <w:r w:rsidRPr="00FD50F6">
        <w:t>，牵引网馈电形式可分为接触轨和架空接触网。牵引网制式应结合车辆受电要求、牵引负荷容量、列车运行最高速度、线网及城市特点等因素综合分析确定。</w:t>
      </w:r>
    </w:p>
    <w:p w14:paraId="3754AE06" w14:textId="1AE52652" w:rsidR="002D2246" w:rsidRPr="00FD50F6" w:rsidRDefault="002D2246" w:rsidP="002D2246">
      <w:pPr>
        <w:pStyle w:val="30"/>
      </w:pPr>
      <w:r w:rsidRPr="00FD50F6">
        <w:t>直流牵引供电系统的电压及其波动范围应符合表</w:t>
      </w:r>
      <w:r w:rsidR="00232AC3" w:rsidRPr="00FD50F6">
        <w:t>16</w:t>
      </w:r>
      <w:r w:rsidRPr="00FD50F6">
        <w:t>.1.19</w:t>
      </w:r>
      <w:r w:rsidRPr="00FD50F6">
        <w:t>的规定。</w:t>
      </w:r>
    </w:p>
    <w:p w14:paraId="46A4EAA1" w14:textId="63FBE7BC" w:rsidR="002D2246" w:rsidRPr="00FD50F6" w:rsidRDefault="002D2246" w:rsidP="002D2246">
      <w:pPr>
        <w:pStyle w:val="6"/>
      </w:pPr>
      <w:r w:rsidRPr="00FD50F6">
        <w:t>表</w:t>
      </w:r>
      <w:r w:rsidR="00232AC3" w:rsidRPr="00FD50F6">
        <w:t>16</w:t>
      </w:r>
      <w:r w:rsidRPr="00FD50F6">
        <w:t xml:space="preserve">.1.19  </w:t>
      </w:r>
      <w:r w:rsidRPr="00FD50F6">
        <w:t>直流牵引供电系统电压及其波动范围</w:t>
      </w:r>
      <w:r w:rsidRPr="00FD50F6">
        <w:t xml:space="preserve">(V)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2386"/>
        <w:gridCol w:w="2386"/>
        <w:gridCol w:w="2386"/>
      </w:tblGrid>
      <w:tr w:rsidR="00FD50F6" w:rsidRPr="00FD50F6" w14:paraId="686DA9DA" w14:textId="77777777" w:rsidTr="000831EC">
        <w:trPr>
          <w:trHeight w:hRule="exact" w:val="397"/>
          <w:jc w:val="center"/>
        </w:trPr>
        <w:tc>
          <w:tcPr>
            <w:tcW w:w="1114" w:type="dxa"/>
            <w:vAlign w:val="center"/>
          </w:tcPr>
          <w:p w14:paraId="3FCA0325" w14:textId="77777777" w:rsidR="002D2246" w:rsidRPr="00FD50F6" w:rsidRDefault="002D2246" w:rsidP="000831EC">
            <w:pPr>
              <w:pStyle w:val="7"/>
            </w:pPr>
            <w:r w:rsidRPr="00FD50F6">
              <w:t>标称值</w:t>
            </w:r>
          </w:p>
        </w:tc>
        <w:tc>
          <w:tcPr>
            <w:tcW w:w="2386" w:type="dxa"/>
            <w:vAlign w:val="center"/>
          </w:tcPr>
          <w:p w14:paraId="43E7886B" w14:textId="77777777" w:rsidR="002D2246" w:rsidRPr="00FD50F6" w:rsidRDefault="002D2246" w:rsidP="000831EC">
            <w:pPr>
              <w:pStyle w:val="7"/>
            </w:pPr>
            <w:r w:rsidRPr="00FD50F6">
              <w:t>最高值</w:t>
            </w:r>
            <w:r w:rsidRPr="00FD50F6">
              <w:rPr>
                <w:rFonts w:hint="eastAsia"/>
              </w:rPr>
              <w:t>（长期）</w:t>
            </w:r>
          </w:p>
        </w:tc>
        <w:tc>
          <w:tcPr>
            <w:tcW w:w="2386" w:type="dxa"/>
            <w:vAlign w:val="center"/>
          </w:tcPr>
          <w:p w14:paraId="246952E1" w14:textId="77777777" w:rsidR="002D2246" w:rsidRPr="00FD50F6" w:rsidRDefault="002D2246" w:rsidP="000831EC">
            <w:pPr>
              <w:pStyle w:val="7"/>
            </w:pPr>
            <w:r w:rsidRPr="00FD50F6">
              <w:t>最高值</w:t>
            </w:r>
            <w:r w:rsidRPr="00FD50F6">
              <w:rPr>
                <w:rFonts w:hint="eastAsia"/>
              </w:rPr>
              <w:t>（短时）</w:t>
            </w:r>
          </w:p>
        </w:tc>
        <w:tc>
          <w:tcPr>
            <w:tcW w:w="2386" w:type="dxa"/>
            <w:vAlign w:val="center"/>
          </w:tcPr>
          <w:p w14:paraId="779D4BB0" w14:textId="77777777" w:rsidR="002D2246" w:rsidRPr="00FD50F6" w:rsidRDefault="002D2246" w:rsidP="000831EC">
            <w:pPr>
              <w:pStyle w:val="7"/>
            </w:pPr>
            <w:r w:rsidRPr="00FD50F6">
              <w:t>最低值</w:t>
            </w:r>
          </w:p>
        </w:tc>
      </w:tr>
      <w:tr w:rsidR="00FD50F6" w:rsidRPr="00FD50F6" w14:paraId="588FC7B1" w14:textId="77777777" w:rsidTr="000831EC">
        <w:trPr>
          <w:trHeight w:hRule="exact" w:val="397"/>
          <w:jc w:val="center"/>
        </w:trPr>
        <w:tc>
          <w:tcPr>
            <w:tcW w:w="1114" w:type="dxa"/>
            <w:vAlign w:val="center"/>
          </w:tcPr>
          <w:p w14:paraId="521A0768" w14:textId="77777777" w:rsidR="002D2246" w:rsidRPr="00FD50F6" w:rsidRDefault="002D2246" w:rsidP="000831EC">
            <w:pPr>
              <w:pStyle w:val="7"/>
            </w:pPr>
            <w:r w:rsidRPr="00FD50F6">
              <w:t>750</w:t>
            </w:r>
          </w:p>
        </w:tc>
        <w:tc>
          <w:tcPr>
            <w:tcW w:w="2386" w:type="dxa"/>
            <w:vAlign w:val="center"/>
          </w:tcPr>
          <w:p w14:paraId="4B9AFA3F" w14:textId="77777777" w:rsidR="002D2246" w:rsidRPr="00FD50F6" w:rsidRDefault="002D2246" w:rsidP="000831EC">
            <w:pPr>
              <w:pStyle w:val="7"/>
            </w:pPr>
            <w:r w:rsidRPr="00FD50F6">
              <w:t>900</w:t>
            </w:r>
          </w:p>
        </w:tc>
        <w:tc>
          <w:tcPr>
            <w:tcW w:w="2386" w:type="dxa"/>
            <w:vAlign w:val="center"/>
          </w:tcPr>
          <w:p w14:paraId="137F1815" w14:textId="77777777" w:rsidR="002D2246" w:rsidRPr="00FD50F6" w:rsidRDefault="002D2246" w:rsidP="000831EC">
            <w:pPr>
              <w:pStyle w:val="7"/>
            </w:pPr>
            <w:r w:rsidRPr="00FD50F6">
              <w:rPr>
                <w:rFonts w:hint="eastAsia"/>
              </w:rPr>
              <w:t>1000</w:t>
            </w:r>
          </w:p>
        </w:tc>
        <w:tc>
          <w:tcPr>
            <w:tcW w:w="2386" w:type="dxa"/>
            <w:vAlign w:val="center"/>
          </w:tcPr>
          <w:p w14:paraId="0DCBA544" w14:textId="77777777" w:rsidR="002D2246" w:rsidRPr="00FD50F6" w:rsidRDefault="002D2246" w:rsidP="000831EC">
            <w:pPr>
              <w:pStyle w:val="7"/>
            </w:pPr>
            <w:r w:rsidRPr="00FD50F6">
              <w:t>500</w:t>
            </w:r>
          </w:p>
        </w:tc>
      </w:tr>
      <w:tr w:rsidR="002D2246" w:rsidRPr="00FD50F6" w14:paraId="266F0D82" w14:textId="77777777" w:rsidTr="000831EC">
        <w:trPr>
          <w:trHeight w:hRule="exact" w:val="397"/>
          <w:jc w:val="center"/>
        </w:trPr>
        <w:tc>
          <w:tcPr>
            <w:tcW w:w="1114" w:type="dxa"/>
            <w:vAlign w:val="center"/>
          </w:tcPr>
          <w:p w14:paraId="1EECAEAA" w14:textId="77777777" w:rsidR="002D2246" w:rsidRPr="00FD50F6" w:rsidRDefault="002D2246" w:rsidP="000831EC">
            <w:pPr>
              <w:pStyle w:val="7"/>
            </w:pPr>
            <w:r w:rsidRPr="00FD50F6">
              <w:t>1500</w:t>
            </w:r>
          </w:p>
        </w:tc>
        <w:tc>
          <w:tcPr>
            <w:tcW w:w="2386" w:type="dxa"/>
            <w:vAlign w:val="center"/>
          </w:tcPr>
          <w:p w14:paraId="78F56FAB" w14:textId="77777777" w:rsidR="002D2246" w:rsidRPr="00FD50F6" w:rsidRDefault="002D2246" w:rsidP="000831EC">
            <w:pPr>
              <w:pStyle w:val="7"/>
            </w:pPr>
            <w:r w:rsidRPr="00FD50F6">
              <w:t>1800</w:t>
            </w:r>
          </w:p>
        </w:tc>
        <w:tc>
          <w:tcPr>
            <w:tcW w:w="2386" w:type="dxa"/>
            <w:vAlign w:val="center"/>
          </w:tcPr>
          <w:p w14:paraId="7AC9F0FF" w14:textId="77777777" w:rsidR="002D2246" w:rsidRPr="00FD50F6" w:rsidRDefault="002D2246" w:rsidP="000831EC">
            <w:pPr>
              <w:pStyle w:val="7"/>
            </w:pPr>
            <w:r w:rsidRPr="00FD50F6">
              <w:rPr>
                <w:rFonts w:hint="eastAsia"/>
              </w:rPr>
              <w:t>1950</w:t>
            </w:r>
          </w:p>
        </w:tc>
        <w:tc>
          <w:tcPr>
            <w:tcW w:w="2386" w:type="dxa"/>
            <w:vAlign w:val="center"/>
          </w:tcPr>
          <w:p w14:paraId="302F6CD6" w14:textId="77777777" w:rsidR="002D2246" w:rsidRPr="00FD50F6" w:rsidRDefault="002D2246" w:rsidP="000831EC">
            <w:pPr>
              <w:pStyle w:val="7"/>
            </w:pPr>
            <w:r w:rsidRPr="00FD50F6">
              <w:t>1000</w:t>
            </w:r>
          </w:p>
        </w:tc>
      </w:tr>
    </w:tbl>
    <w:p w14:paraId="0D65FDCF" w14:textId="77777777" w:rsidR="002D2246" w:rsidRPr="00FD50F6" w:rsidRDefault="002D2246" w:rsidP="002D2246">
      <w:pPr>
        <w:adjustRightInd w:val="0"/>
        <w:snapToGrid w:val="0"/>
        <w:spacing w:line="0" w:lineRule="atLeast"/>
        <w:rPr>
          <w:rFonts w:ascii="Times New Roman" w:hAnsi="Times New Roman" w:cs="Times New Roman"/>
          <w:sz w:val="21"/>
          <w:szCs w:val="24"/>
        </w:rPr>
      </w:pPr>
    </w:p>
    <w:p w14:paraId="1CC6AFEA" w14:textId="77777777" w:rsidR="002D2246" w:rsidRPr="00FD50F6" w:rsidRDefault="002D2246" w:rsidP="002D2246">
      <w:pPr>
        <w:pStyle w:val="30"/>
      </w:pPr>
      <w:r w:rsidRPr="00FD50F6">
        <w:t>变电所一次接线应安全、可靠、简单。</w:t>
      </w:r>
    </w:p>
    <w:p w14:paraId="0D5762F3" w14:textId="51F6103B" w:rsidR="002D2246" w:rsidRPr="00FD50F6" w:rsidRDefault="002D2246" w:rsidP="002D2246">
      <w:pPr>
        <w:pStyle w:val="30"/>
        <w:rPr>
          <w:spacing w:val="-4"/>
        </w:rPr>
      </w:pPr>
      <w:r w:rsidRPr="00FD50F6">
        <w:t>直流牵引系统及非线性用电设备所产生的谐波应符合现行国家标准《电能质量</w:t>
      </w:r>
      <w:r w:rsidRPr="00FD50F6">
        <w:t xml:space="preserve"> </w:t>
      </w:r>
      <w:r w:rsidRPr="00FD50F6">
        <w:t>公用电网</w:t>
      </w:r>
      <w:r w:rsidRPr="00FD50F6">
        <w:rPr>
          <w:spacing w:val="-4"/>
        </w:rPr>
        <w:t>谐波》</w:t>
      </w:r>
      <w:r w:rsidRPr="00FD50F6">
        <w:rPr>
          <w:spacing w:val="-4"/>
        </w:rPr>
        <w:t>GB/T 14549</w:t>
      </w:r>
      <w:r w:rsidRPr="00FD50F6">
        <w:rPr>
          <w:spacing w:val="-4"/>
        </w:rPr>
        <w:t>的规定。低压配电系统宜采取治理谐波的措施。</w:t>
      </w:r>
    </w:p>
    <w:p w14:paraId="6C7BCDEE" w14:textId="77777777" w:rsidR="002D2246" w:rsidRPr="00FD50F6" w:rsidRDefault="002D2246" w:rsidP="002D2246">
      <w:pPr>
        <w:pStyle w:val="30"/>
      </w:pPr>
      <w:r w:rsidRPr="00FD50F6">
        <w:t>供电设计宜利用车辆再生制动能量，设计方案应通过经济技术综合比较确定。</w:t>
      </w:r>
    </w:p>
    <w:p w14:paraId="64981281" w14:textId="67D987B7" w:rsidR="002D2246" w:rsidRPr="00FD50F6" w:rsidRDefault="002D2246" w:rsidP="002D2246">
      <w:pPr>
        <w:pStyle w:val="30"/>
      </w:pPr>
      <w:r w:rsidRPr="00FD50F6">
        <w:t>在地下使用的主要</w:t>
      </w:r>
      <w:r w:rsidRPr="00FD50F6">
        <w:rPr>
          <w:rFonts w:hint="eastAsia"/>
        </w:rPr>
        <w:t>供电设备及</w:t>
      </w:r>
      <w:r w:rsidRPr="00FD50F6">
        <w:t>材料应选用低烟、无卤、低毒的阻燃或耐</w:t>
      </w:r>
      <w:r w:rsidRPr="00FD50F6">
        <w:lastRenderedPageBreak/>
        <w:t>火产品。</w:t>
      </w:r>
    </w:p>
    <w:p w14:paraId="390AC032" w14:textId="3AC06368" w:rsidR="002D2246" w:rsidRPr="00FD50F6" w:rsidRDefault="002D2246" w:rsidP="002D2246">
      <w:pPr>
        <w:pStyle w:val="30"/>
      </w:pPr>
      <w:r w:rsidRPr="00FD50F6">
        <w:t>电气设备应具有</w:t>
      </w:r>
      <w:r w:rsidRPr="00FD50F6">
        <w:rPr>
          <w:rFonts w:hint="eastAsia"/>
        </w:rPr>
        <w:t>无油、</w:t>
      </w:r>
      <w:r w:rsidRPr="00FD50F6">
        <w:t>无自爆</w:t>
      </w:r>
      <w:r w:rsidRPr="00FD50F6">
        <w:rPr>
          <w:b/>
        </w:rPr>
        <w:t>、</w:t>
      </w:r>
      <w:r w:rsidRPr="00FD50F6">
        <w:t>低损耗、低噪声等特点</w:t>
      </w:r>
      <w:r w:rsidRPr="00FD50F6">
        <w:rPr>
          <w:rFonts w:hint="eastAsia"/>
        </w:rPr>
        <w:t>，并应满足工程所在地的环境条件，</w:t>
      </w:r>
      <w:r w:rsidRPr="00FD50F6">
        <w:t>在地下使用时还应满足防潮要求。</w:t>
      </w:r>
    </w:p>
    <w:p w14:paraId="6C7C1621" w14:textId="77777777" w:rsidR="002D2246" w:rsidRPr="00FD50F6" w:rsidRDefault="002D2246" w:rsidP="002D2246">
      <w:pPr>
        <w:pStyle w:val="30"/>
      </w:pPr>
      <w:r w:rsidRPr="00FD50F6">
        <w:t>供电系统及其设备的功能性接地、保护性接地与防雷接地应采用综合接地系统。</w:t>
      </w:r>
    </w:p>
    <w:p w14:paraId="6F69D344" w14:textId="77777777" w:rsidR="002D2246" w:rsidRPr="00FD50F6" w:rsidRDefault="002D2246" w:rsidP="002D2246">
      <w:pPr>
        <w:pStyle w:val="30"/>
      </w:pPr>
      <w:r w:rsidRPr="00FD50F6">
        <w:t>低压配电电压应采用</w:t>
      </w:r>
      <w:r w:rsidRPr="00FD50F6">
        <w:t>220V/380V</w:t>
      </w:r>
      <w:r w:rsidRPr="00FD50F6">
        <w:t>。</w:t>
      </w:r>
    </w:p>
    <w:p w14:paraId="49DACB78" w14:textId="77777777" w:rsidR="002D2246" w:rsidRPr="00FD50F6" w:rsidRDefault="002D2246" w:rsidP="002D2246">
      <w:pPr>
        <w:pStyle w:val="30"/>
      </w:pPr>
      <w:r w:rsidRPr="00FD50F6">
        <w:t>在车辆基地内应设置供电车间，在正线</w:t>
      </w:r>
      <w:r w:rsidRPr="00FD50F6">
        <w:rPr>
          <w:rFonts w:hint="eastAsia"/>
        </w:rPr>
        <w:t>应</w:t>
      </w:r>
      <w:r w:rsidRPr="00FD50F6">
        <w:t>设置供电工区。</w:t>
      </w:r>
    </w:p>
    <w:p w14:paraId="69BC867E" w14:textId="329684C4" w:rsidR="002D2246" w:rsidRPr="00FD50F6" w:rsidRDefault="002D2246" w:rsidP="002D2246">
      <w:pPr>
        <w:pStyle w:val="30"/>
      </w:pPr>
      <w:r w:rsidRPr="00FD50F6">
        <w:t>可采用光伏发电等绿色能源作为补充电源。</w:t>
      </w:r>
    </w:p>
    <w:p w14:paraId="0080900E" w14:textId="77777777" w:rsidR="002D2246" w:rsidRPr="00FD50F6" w:rsidRDefault="002D2246" w:rsidP="00A65181">
      <w:pPr>
        <w:pStyle w:val="2"/>
      </w:pPr>
      <w:bookmarkStart w:id="606" w:name="_Toc236494100"/>
      <w:bookmarkStart w:id="607" w:name="_Toc236717296"/>
      <w:bookmarkStart w:id="608" w:name="_Toc306206749"/>
      <w:bookmarkStart w:id="609" w:name="_Toc320196034"/>
      <w:bookmarkStart w:id="610" w:name="_Toc320643424"/>
      <w:bookmarkStart w:id="611" w:name="_Toc344218785"/>
      <w:bookmarkStart w:id="612" w:name="_Toc112830756"/>
      <w:r w:rsidRPr="00FD50F6">
        <w:t>变电所</w:t>
      </w:r>
      <w:bookmarkEnd w:id="606"/>
      <w:bookmarkEnd w:id="607"/>
      <w:bookmarkEnd w:id="608"/>
      <w:bookmarkEnd w:id="609"/>
      <w:bookmarkEnd w:id="610"/>
      <w:bookmarkEnd w:id="611"/>
      <w:bookmarkEnd w:id="612"/>
    </w:p>
    <w:p w14:paraId="5F231B5C" w14:textId="77777777" w:rsidR="002D2246" w:rsidRPr="00FD50F6" w:rsidRDefault="002D2246" w:rsidP="002D2246">
      <w:pPr>
        <w:pStyle w:val="30"/>
      </w:pPr>
      <w:r w:rsidRPr="00FD50F6">
        <w:t>变电所应分为主变电所、电源开闭所、牵引变电所、降压变电所。</w:t>
      </w:r>
      <w:r w:rsidRPr="00FD50F6">
        <w:rPr>
          <w:rFonts w:hint="eastAsia"/>
        </w:rPr>
        <w:t>电源开闭所、</w:t>
      </w:r>
      <w:r w:rsidRPr="00FD50F6">
        <w:t>牵引变电所</w:t>
      </w:r>
      <w:r w:rsidRPr="00FD50F6">
        <w:rPr>
          <w:rFonts w:hint="eastAsia"/>
        </w:rPr>
        <w:t>、</w:t>
      </w:r>
      <w:r w:rsidRPr="00FD50F6">
        <w:t>降压变电所可</w:t>
      </w:r>
      <w:r w:rsidRPr="00FD50F6">
        <w:rPr>
          <w:rFonts w:hint="eastAsia"/>
        </w:rPr>
        <w:t>分别</w:t>
      </w:r>
      <w:r w:rsidRPr="00FD50F6">
        <w:t>合建成混合变电所。</w:t>
      </w:r>
    </w:p>
    <w:p w14:paraId="60DD940E" w14:textId="77777777" w:rsidR="002D2246" w:rsidRPr="00FD50F6" w:rsidRDefault="002D2246" w:rsidP="002D2246">
      <w:pPr>
        <w:pStyle w:val="30"/>
      </w:pPr>
      <w:r w:rsidRPr="00FD50F6">
        <w:t>牵引变电所的数量、容量及其在线路上的分布应经计算分析比选后确定。牵引变电所的分布应与</w:t>
      </w:r>
      <w:r w:rsidRPr="00FD50F6">
        <w:rPr>
          <w:rFonts w:hint="eastAsia"/>
        </w:rPr>
        <w:t>运营组织</w:t>
      </w:r>
      <w:r w:rsidRPr="00FD50F6">
        <w:t>系统能力相匹配</w:t>
      </w:r>
      <w:r w:rsidRPr="00FD50F6">
        <w:rPr>
          <w:rFonts w:hint="eastAsia"/>
        </w:rPr>
        <w:t>。</w:t>
      </w:r>
      <w:r w:rsidRPr="00FD50F6">
        <w:t>车辆基地应设牵引变电所。</w:t>
      </w:r>
    </w:p>
    <w:p w14:paraId="2F85B727" w14:textId="5370155E" w:rsidR="002D2246" w:rsidRPr="00FD50F6" w:rsidRDefault="002D2246" w:rsidP="002D2246">
      <w:pPr>
        <w:pStyle w:val="30"/>
      </w:pPr>
      <w:r w:rsidRPr="00FD50F6">
        <w:t>变电所选址应符合下列</w:t>
      </w:r>
      <w:r w:rsidRPr="00FD50F6">
        <w:rPr>
          <w:rFonts w:hint="eastAsia"/>
        </w:rPr>
        <w:t>规定</w:t>
      </w:r>
      <w:r w:rsidRPr="00FD50F6">
        <w:t>：</w:t>
      </w:r>
    </w:p>
    <w:p w14:paraId="37D01362" w14:textId="77777777" w:rsidR="002D2246" w:rsidRPr="00FD50F6" w:rsidRDefault="002D2246" w:rsidP="00A926BD">
      <w:pPr>
        <w:pStyle w:val="4"/>
      </w:pPr>
      <w:r w:rsidRPr="00FD50F6">
        <w:t>应靠近</w:t>
      </w:r>
      <w:r w:rsidRPr="00FD50F6">
        <w:rPr>
          <w:rFonts w:hint="eastAsia"/>
        </w:rPr>
        <w:t>用电</w:t>
      </w:r>
      <w:r w:rsidRPr="00FD50F6">
        <w:t>负荷中心；</w:t>
      </w:r>
    </w:p>
    <w:p w14:paraId="448463A1" w14:textId="77777777" w:rsidR="002D2246" w:rsidRPr="00FD50F6" w:rsidRDefault="002D2246" w:rsidP="00A926BD">
      <w:pPr>
        <w:pStyle w:val="4"/>
      </w:pPr>
      <w:r w:rsidRPr="00FD50F6">
        <w:t>应便于电缆线路引入、引出；</w:t>
      </w:r>
    </w:p>
    <w:p w14:paraId="25EEE6D7" w14:textId="77777777" w:rsidR="002D2246" w:rsidRPr="00FD50F6" w:rsidRDefault="002D2246" w:rsidP="00A926BD">
      <w:pPr>
        <w:pStyle w:val="4"/>
      </w:pPr>
      <w:r w:rsidRPr="00FD50F6">
        <w:t>应便于设备运输；</w:t>
      </w:r>
    </w:p>
    <w:p w14:paraId="591A874B" w14:textId="77777777" w:rsidR="002D2246" w:rsidRPr="00FD50F6" w:rsidRDefault="002D2246" w:rsidP="00A926BD">
      <w:pPr>
        <w:pStyle w:val="4"/>
      </w:pPr>
      <w:r w:rsidRPr="00FD50F6">
        <w:t>不应设在冷冻机房等场所的经常积水区的正下方，且不宜与厕所、泵房等场所相贴邻；</w:t>
      </w:r>
    </w:p>
    <w:p w14:paraId="69C52322" w14:textId="0DF0908B" w:rsidR="002D2246" w:rsidRPr="00FD50F6" w:rsidRDefault="002D2246" w:rsidP="00A926BD">
      <w:pPr>
        <w:pStyle w:val="4"/>
      </w:pPr>
      <w:r w:rsidRPr="00FD50F6">
        <w:rPr>
          <w:rFonts w:hint="eastAsia"/>
        </w:rPr>
        <w:t>正线</w:t>
      </w:r>
      <w:r w:rsidRPr="00FD50F6">
        <w:t>独立设置的</w:t>
      </w:r>
      <w:r w:rsidRPr="00FD50F6">
        <w:rPr>
          <w:rFonts w:hint="eastAsia"/>
        </w:rPr>
        <w:t>地面</w:t>
      </w:r>
      <w:r w:rsidRPr="00FD50F6">
        <w:t>变电所</w:t>
      </w:r>
      <w:r w:rsidRPr="00FD50F6">
        <w:rPr>
          <w:rFonts w:hint="eastAsia"/>
        </w:rPr>
        <w:t>应</w:t>
      </w:r>
      <w:r w:rsidRPr="00FD50F6">
        <w:t>靠近地铁线路，与地铁线路间应设置专用电缆通道</w:t>
      </w:r>
      <w:r w:rsidRPr="00FD50F6">
        <w:rPr>
          <w:rFonts w:hint="eastAsia"/>
        </w:rPr>
        <w:t>。</w:t>
      </w:r>
    </w:p>
    <w:p w14:paraId="4AE1B5DA" w14:textId="529560F0" w:rsidR="002D2246" w:rsidRPr="00FD50F6" w:rsidRDefault="002D2246" w:rsidP="00A926BD">
      <w:pPr>
        <w:pStyle w:val="4"/>
      </w:pPr>
      <w:r w:rsidRPr="00FD50F6">
        <w:rPr>
          <w:rFonts w:hint="eastAsia"/>
        </w:rPr>
        <w:t>变电所</w:t>
      </w:r>
      <w:r w:rsidR="007B18FB" w:rsidRPr="00FD50F6">
        <w:t>应</w:t>
      </w:r>
      <w:r w:rsidR="007B18FB">
        <w:rPr>
          <w:rFonts w:hint="eastAsia"/>
        </w:rPr>
        <w:t>与</w:t>
      </w:r>
      <w:r w:rsidRPr="00FD50F6">
        <w:t>城市规划</w:t>
      </w:r>
      <w:r w:rsidRPr="00FD50F6">
        <w:rPr>
          <w:rFonts w:hint="eastAsia"/>
        </w:rPr>
        <w:t>及周边环境</w:t>
      </w:r>
      <w:r w:rsidRPr="00FD50F6">
        <w:t>相协调</w:t>
      </w:r>
      <w:r w:rsidRPr="00FD50F6">
        <w:rPr>
          <w:rFonts w:hint="eastAsia"/>
        </w:rPr>
        <w:t>，</w:t>
      </w:r>
      <w:r w:rsidR="00455853">
        <w:rPr>
          <w:rFonts w:hint="eastAsia"/>
        </w:rPr>
        <w:t>且</w:t>
      </w:r>
      <w:r w:rsidRPr="00FD50F6">
        <w:rPr>
          <w:rFonts w:hint="eastAsia"/>
        </w:rPr>
        <w:t>不应设在周边环境中的最低处</w:t>
      </w:r>
      <w:r w:rsidRPr="00FD50F6">
        <w:t>。</w:t>
      </w:r>
    </w:p>
    <w:p w14:paraId="500A589E" w14:textId="60E5CC5B" w:rsidR="002D2246" w:rsidRPr="00FD50F6" w:rsidRDefault="002D2246" w:rsidP="002D2246">
      <w:pPr>
        <w:pStyle w:val="30"/>
      </w:pPr>
      <w:r w:rsidRPr="00FD50F6">
        <w:t>主变压器的数量与容量应根据近远期负荷计算确定，并宜分期实施。当一台主变压器退出运行时，其余主变压器应能负担供电范围内的一、二级负荷。</w:t>
      </w:r>
    </w:p>
    <w:p w14:paraId="37F678DF" w14:textId="77777777" w:rsidR="002D2246" w:rsidRPr="00FD50F6" w:rsidRDefault="002D2246" w:rsidP="002D2246">
      <w:pPr>
        <w:pStyle w:val="30"/>
      </w:pPr>
      <w:r w:rsidRPr="00FD50F6">
        <w:t>牵引负荷应根据运营高峰小时行车密度、车辆编组、车辆类型及特性、线路资料等计算确定。牵引整流机组容量宜按远期负荷确定。</w:t>
      </w:r>
    </w:p>
    <w:p w14:paraId="0587C3D4" w14:textId="6ADDB12C" w:rsidR="002D2246" w:rsidRPr="00FD50F6" w:rsidRDefault="002D2246" w:rsidP="002D2246">
      <w:pPr>
        <w:pStyle w:val="30"/>
      </w:pPr>
      <w:r w:rsidRPr="00FD50F6">
        <w:t>牵引变电所应设置两套牵引整流机组，当一套牵引整流机组退出运行</w:t>
      </w:r>
      <w:r w:rsidRPr="00FD50F6">
        <w:rPr>
          <w:rFonts w:hint="eastAsia"/>
        </w:rPr>
        <w:t>、</w:t>
      </w:r>
      <w:r w:rsidRPr="00FD50F6">
        <w:t>另一套牵引整流机组具备运行条件时</w:t>
      </w:r>
      <w:r w:rsidRPr="00FD50F6">
        <w:rPr>
          <w:rFonts w:hint="eastAsia"/>
        </w:rPr>
        <w:t>，应</w:t>
      </w:r>
      <w:r w:rsidRPr="00FD50F6">
        <w:t>继续运行。</w:t>
      </w:r>
    </w:p>
    <w:p w14:paraId="44705410" w14:textId="77777777" w:rsidR="002D2246" w:rsidRPr="00FD50F6" w:rsidRDefault="002D2246" w:rsidP="002D2246">
      <w:pPr>
        <w:pStyle w:val="30"/>
      </w:pPr>
      <w:r w:rsidRPr="00FD50F6">
        <w:lastRenderedPageBreak/>
        <w:t>正常运行方式下，两相邻牵引变电所应对其同一供电分区采用双边供电方式。</w:t>
      </w:r>
    </w:p>
    <w:p w14:paraId="2455BE8F" w14:textId="77777777" w:rsidR="002D2246" w:rsidRPr="00FD50F6" w:rsidRDefault="002D2246" w:rsidP="002D2246">
      <w:pPr>
        <w:pStyle w:val="30"/>
      </w:pPr>
      <w:r w:rsidRPr="00FD50F6">
        <w:t>当正线的中间牵引变电所退出运行时，应由相邻的两座牵引变电所依靠其两套牵引整流机组的过负荷能力实施大双边供电。</w:t>
      </w:r>
    </w:p>
    <w:p w14:paraId="087C3823" w14:textId="7A6B6C2E" w:rsidR="002D2246" w:rsidRPr="00FD50F6" w:rsidRDefault="002D2246" w:rsidP="002D2246">
      <w:pPr>
        <w:pStyle w:val="30"/>
      </w:pPr>
      <w:r w:rsidRPr="00FD50F6">
        <w:t>牵引整流机组的负荷特性应符合表</w:t>
      </w:r>
      <w:r w:rsidR="00232AC3" w:rsidRPr="00FD50F6">
        <w:t>16</w:t>
      </w:r>
      <w:r w:rsidRPr="00FD50F6">
        <w:t>.2.9</w:t>
      </w:r>
      <w:r w:rsidRPr="00FD50F6">
        <w:t>的</w:t>
      </w:r>
      <w:r w:rsidRPr="00FD50F6">
        <w:rPr>
          <w:rFonts w:hint="eastAsia"/>
        </w:rPr>
        <w:t>规定</w:t>
      </w:r>
      <w:r w:rsidRPr="00FD50F6">
        <w:t>。</w:t>
      </w:r>
    </w:p>
    <w:p w14:paraId="2082556F" w14:textId="06222989" w:rsidR="002D2246" w:rsidRPr="00FD50F6" w:rsidRDefault="002D2246" w:rsidP="002D2246">
      <w:pPr>
        <w:pStyle w:val="6"/>
      </w:pPr>
      <w:r w:rsidRPr="00FD50F6">
        <w:t>表</w:t>
      </w:r>
      <w:r w:rsidR="00232AC3" w:rsidRPr="00FD50F6">
        <w:t>16</w:t>
      </w:r>
      <w:r w:rsidRPr="00FD50F6">
        <w:t xml:space="preserve">.2.9  </w:t>
      </w:r>
      <w:r w:rsidRPr="00FD50F6">
        <w:t>牵引整流机组的负荷特性</w:t>
      </w:r>
      <w:r w:rsidRPr="00FD50F6">
        <w:t xml:space="preserve">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2068"/>
        <w:gridCol w:w="2068"/>
        <w:gridCol w:w="2068"/>
      </w:tblGrid>
      <w:tr w:rsidR="00FD50F6" w:rsidRPr="00FD50F6" w14:paraId="6EB59413" w14:textId="77777777" w:rsidTr="000831EC">
        <w:trPr>
          <w:trHeight w:hRule="exact" w:val="397"/>
          <w:jc w:val="center"/>
        </w:trPr>
        <w:tc>
          <w:tcPr>
            <w:tcW w:w="2068" w:type="dxa"/>
            <w:vAlign w:val="center"/>
          </w:tcPr>
          <w:p w14:paraId="43143813" w14:textId="77777777" w:rsidR="002D2246" w:rsidRPr="00FD50F6" w:rsidRDefault="002D2246" w:rsidP="000831EC">
            <w:pPr>
              <w:pStyle w:val="7"/>
            </w:pPr>
            <w:r w:rsidRPr="00FD50F6">
              <w:t>负荷</w:t>
            </w:r>
          </w:p>
        </w:tc>
        <w:tc>
          <w:tcPr>
            <w:tcW w:w="2068" w:type="dxa"/>
            <w:vAlign w:val="center"/>
          </w:tcPr>
          <w:p w14:paraId="79B805F1" w14:textId="77777777" w:rsidR="002D2246" w:rsidRPr="00FD50F6" w:rsidRDefault="002D2246" w:rsidP="000831EC">
            <w:pPr>
              <w:pStyle w:val="7"/>
            </w:pPr>
            <w:r w:rsidRPr="00FD50F6">
              <w:t>100%</w:t>
            </w:r>
            <w:r w:rsidRPr="00FD50F6">
              <w:t>额定电流</w:t>
            </w:r>
          </w:p>
        </w:tc>
        <w:tc>
          <w:tcPr>
            <w:tcW w:w="2068" w:type="dxa"/>
            <w:vAlign w:val="center"/>
          </w:tcPr>
          <w:p w14:paraId="23C8F4F9" w14:textId="77777777" w:rsidR="002D2246" w:rsidRPr="00FD50F6" w:rsidRDefault="002D2246" w:rsidP="000831EC">
            <w:pPr>
              <w:pStyle w:val="7"/>
            </w:pPr>
            <w:r w:rsidRPr="00FD50F6">
              <w:t>150%</w:t>
            </w:r>
            <w:r w:rsidRPr="00FD50F6">
              <w:t>额定电流</w:t>
            </w:r>
          </w:p>
        </w:tc>
        <w:tc>
          <w:tcPr>
            <w:tcW w:w="2068" w:type="dxa"/>
            <w:vAlign w:val="center"/>
          </w:tcPr>
          <w:p w14:paraId="6F6AC933" w14:textId="77777777" w:rsidR="002D2246" w:rsidRPr="00FD50F6" w:rsidRDefault="002D2246" w:rsidP="000831EC">
            <w:pPr>
              <w:pStyle w:val="7"/>
            </w:pPr>
            <w:r w:rsidRPr="00FD50F6">
              <w:t>300%</w:t>
            </w:r>
            <w:r w:rsidRPr="00FD50F6">
              <w:t>额定电流</w:t>
            </w:r>
          </w:p>
        </w:tc>
      </w:tr>
      <w:tr w:rsidR="002D2246" w:rsidRPr="00FD50F6" w14:paraId="7165E21A" w14:textId="77777777" w:rsidTr="000831EC">
        <w:trPr>
          <w:trHeight w:hRule="exact" w:val="397"/>
          <w:jc w:val="center"/>
        </w:trPr>
        <w:tc>
          <w:tcPr>
            <w:tcW w:w="2068" w:type="dxa"/>
            <w:vAlign w:val="center"/>
          </w:tcPr>
          <w:p w14:paraId="46FE8221" w14:textId="77777777" w:rsidR="002D2246" w:rsidRPr="00FD50F6" w:rsidRDefault="002D2246" w:rsidP="000831EC">
            <w:pPr>
              <w:pStyle w:val="7"/>
            </w:pPr>
            <w:r w:rsidRPr="00FD50F6">
              <w:t>持续时间</w:t>
            </w:r>
          </w:p>
        </w:tc>
        <w:tc>
          <w:tcPr>
            <w:tcW w:w="2068" w:type="dxa"/>
            <w:vAlign w:val="center"/>
          </w:tcPr>
          <w:p w14:paraId="2CD3151D" w14:textId="77777777" w:rsidR="002D2246" w:rsidRPr="00FD50F6" w:rsidRDefault="002D2246" w:rsidP="000831EC">
            <w:pPr>
              <w:pStyle w:val="7"/>
            </w:pPr>
            <w:r w:rsidRPr="00FD50F6">
              <w:t>连续</w:t>
            </w:r>
          </w:p>
        </w:tc>
        <w:tc>
          <w:tcPr>
            <w:tcW w:w="2068" w:type="dxa"/>
            <w:vAlign w:val="center"/>
          </w:tcPr>
          <w:p w14:paraId="38DDCD4E" w14:textId="77777777" w:rsidR="002D2246" w:rsidRPr="00FD50F6" w:rsidRDefault="002D2246" w:rsidP="000831EC">
            <w:pPr>
              <w:pStyle w:val="7"/>
            </w:pPr>
            <w:r w:rsidRPr="00FD50F6">
              <w:t>2h</w:t>
            </w:r>
          </w:p>
        </w:tc>
        <w:tc>
          <w:tcPr>
            <w:tcW w:w="2068" w:type="dxa"/>
            <w:vAlign w:val="center"/>
          </w:tcPr>
          <w:p w14:paraId="301A0606" w14:textId="77777777" w:rsidR="002D2246" w:rsidRPr="00FD50F6" w:rsidRDefault="002D2246" w:rsidP="000831EC">
            <w:pPr>
              <w:pStyle w:val="7"/>
            </w:pPr>
            <w:r w:rsidRPr="00FD50F6">
              <w:t>1min</w:t>
            </w:r>
          </w:p>
        </w:tc>
      </w:tr>
    </w:tbl>
    <w:p w14:paraId="6C9FFC0C" w14:textId="77777777" w:rsidR="002D2246" w:rsidRPr="00FD50F6" w:rsidRDefault="002D2246" w:rsidP="002D2246">
      <w:pPr>
        <w:adjustRightInd w:val="0"/>
        <w:snapToGrid w:val="0"/>
        <w:spacing w:line="0" w:lineRule="atLeast"/>
        <w:rPr>
          <w:rFonts w:ascii="Times New Roman" w:hAnsi="Times New Roman" w:cs="Times New Roman"/>
          <w:b/>
          <w:sz w:val="21"/>
          <w:szCs w:val="24"/>
        </w:rPr>
      </w:pPr>
    </w:p>
    <w:p w14:paraId="50955B42" w14:textId="77777777" w:rsidR="002D2246" w:rsidRPr="00FD50F6" w:rsidRDefault="002D2246" w:rsidP="002D2246">
      <w:pPr>
        <w:pStyle w:val="30"/>
      </w:pPr>
      <w:r w:rsidRPr="00FD50F6">
        <w:rPr>
          <w:rFonts w:hint="eastAsia"/>
        </w:rPr>
        <w:t>车站变电所应设置两台配电变压器。配电变压器的容量选择应满足一台配电变压器退出运行时另一台配电变压器能负担供电范围内的远期一、二级负荷。</w:t>
      </w:r>
    </w:p>
    <w:p w14:paraId="0CDAD968" w14:textId="77777777" w:rsidR="002D2246" w:rsidRPr="00FD50F6" w:rsidRDefault="002D2246" w:rsidP="002D2246">
      <w:pPr>
        <w:pStyle w:val="30"/>
      </w:pPr>
      <w:r w:rsidRPr="00FD50F6">
        <w:t>牵引变电所应设在车站内。当不具备条件时，牵引变电所可设在车站附近或区间。车站降压变电所应设在重负荷端，可分层布置；当技术经济合理时</w:t>
      </w:r>
      <w:r w:rsidRPr="00FD50F6">
        <w:rPr>
          <w:rFonts w:hint="eastAsia"/>
        </w:rPr>
        <w:t>，</w:t>
      </w:r>
      <w:r w:rsidRPr="00FD50F6">
        <w:t>可设置跟随式的降压变电所。</w:t>
      </w:r>
    </w:p>
    <w:p w14:paraId="42D329DF" w14:textId="0D20471D" w:rsidR="002D2246" w:rsidRPr="00FD50F6" w:rsidRDefault="002D2246" w:rsidP="002D2246">
      <w:pPr>
        <w:pStyle w:val="30"/>
      </w:pPr>
      <w:r w:rsidRPr="00FD50F6">
        <w:t>变电所的</w:t>
      </w:r>
      <w:r w:rsidRPr="00FD50F6">
        <w:rPr>
          <w:rFonts w:hint="eastAsia"/>
        </w:rPr>
        <w:t>交流</w:t>
      </w:r>
      <w:r w:rsidRPr="00FD50F6">
        <w:t>中压侧、低压侧应采用分段单母线接线</w:t>
      </w:r>
      <w:r w:rsidRPr="00FD50F6">
        <w:rPr>
          <w:rFonts w:hint="eastAsia"/>
        </w:rPr>
        <w:t>。低压母线分段处宜设置母线提升柜，</w:t>
      </w:r>
      <w:r w:rsidR="00455853">
        <w:rPr>
          <w:rFonts w:hint="eastAsia"/>
        </w:rPr>
        <w:t>且</w:t>
      </w:r>
      <w:r w:rsidRPr="00FD50F6">
        <w:rPr>
          <w:rFonts w:hint="eastAsia"/>
        </w:rPr>
        <w:t>在提升柜内应设置负荷开关或隔离开关。</w:t>
      </w:r>
      <w:r w:rsidRPr="00FD50F6">
        <w:t>两套牵引整流机组应接在同一段中压母线上</w:t>
      </w:r>
      <w:r w:rsidRPr="00FD50F6">
        <w:rPr>
          <w:rFonts w:hint="eastAsia"/>
        </w:rPr>
        <w:t>。</w:t>
      </w:r>
      <w:r w:rsidRPr="00FD50F6">
        <w:t>直流牵引母线宜采用单母线接线。</w:t>
      </w:r>
    </w:p>
    <w:p w14:paraId="39FA279B" w14:textId="77777777" w:rsidR="002D2246" w:rsidRPr="00FD50F6" w:rsidRDefault="002D2246" w:rsidP="002D2246">
      <w:pPr>
        <w:pStyle w:val="30"/>
      </w:pPr>
      <w:r w:rsidRPr="00FD50F6">
        <w:t>直流牵引配电装置的馈线回路，应设置能分断最大短路电流和感性小电流的直流快速断路器。</w:t>
      </w:r>
    </w:p>
    <w:p w14:paraId="4CCE25BF" w14:textId="77777777" w:rsidR="002D2246" w:rsidRPr="00FD50F6" w:rsidRDefault="002D2246" w:rsidP="002D2246">
      <w:pPr>
        <w:pStyle w:val="30"/>
      </w:pPr>
      <w:r w:rsidRPr="00FD50F6">
        <w:t>主变电所宜采用有载调压主变压器。</w:t>
      </w:r>
    </w:p>
    <w:p w14:paraId="1B8AF252" w14:textId="154D8E73" w:rsidR="002D2246" w:rsidRPr="00FD50F6" w:rsidRDefault="002D2246" w:rsidP="002D2246">
      <w:pPr>
        <w:pStyle w:val="30"/>
      </w:pPr>
      <w:r w:rsidRPr="00FD50F6">
        <w:t>变电所</w:t>
      </w:r>
      <w:r w:rsidRPr="00FD50F6">
        <w:rPr>
          <w:rFonts w:hint="eastAsia"/>
        </w:rPr>
        <w:t>开关设备各种通道最小距离要求</w:t>
      </w:r>
      <w:r w:rsidRPr="00FD50F6">
        <w:t>应符合</w:t>
      </w:r>
      <w:r w:rsidRPr="00FD50F6">
        <w:rPr>
          <w:rFonts w:hint="eastAsia"/>
        </w:rPr>
        <w:t>表</w:t>
      </w:r>
      <w:r w:rsidR="00232AC3" w:rsidRPr="00FD50F6">
        <w:rPr>
          <w:rFonts w:hint="eastAsia"/>
        </w:rPr>
        <w:t>1</w:t>
      </w:r>
      <w:r w:rsidR="00232AC3" w:rsidRPr="00FD50F6">
        <w:t>6</w:t>
      </w:r>
      <w:r w:rsidRPr="00FD50F6">
        <w:rPr>
          <w:rFonts w:hint="eastAsia"/>
        </w:rPr>
        <w:t>.2.15</w:t>
      </w:r>
      <w:r w:rsidRPr="00FD50F6">
        <w:rPr>
          <w:rFonts w:hint="eastAsia"/>
        </w:rPr>
        <w:t>的规定。</w:t>
      </w:r>
      <w:r w:rsidRPr="00FD50F6">
        <w:t>低压开关设备应符合</w:t>
      </w:r>
      <w:r w:rsidRPr="00FD50F6">
        <w:rPr>
          <w:rFonts w:hint="eastAsia"/>
        </w:rPr>
        <w:t>现行国家标准</w:t>
      </w:r>
      <w:r w:rsidRPr="00FD50F6">
        <w:t>《</w:t>
      </w:r>
      <w:r w:rsidRPr="00FD50F6">
        <w:t>20kV</w:t>
      </w:r>
      <w:r w:rsidRPr="00FD50F6">
        <w:t>及以下变电所设计规范》</w:t>
      </w:r>
      <w:r w:rsidRPr="00FD50F6">
        <w:t>GB 50053</w:t>
      </w:r>
      <w:r w:rsidRPr="00FD50F6">
        <w:t>的规定。</w:t>
      </w:r>
    </w:p>
    <w:p w14:paraId="3C7EF6C7" w14:textId="113EE3AA" w:rsidR="002D2246" w:rsidRPr="00FD50F6" w:rsidRDefault="002D2246" w:rsidP="002D2246">
      <w:pPr>
        <w:pStyle w:val="6"/>
      </w:pPr>
      <w:r w:rsidRPr="00FD50F6">
        <w:rPr>
          <w:rFonts w:hint="eastAsia"/>
        </w:rPr>
        <w:t>表</w:t>
      </w:r>
      <w:r w:rsidR="00232AC3" w:rsidRPr="00FD50F6">
        <w:rPr>
          <w:rFonts w:hint="eastAsia"/>
        </w:rPr>
        <w:t>1</w:t>
      </w:r>
      <w:r w:rsidR="00232AC3" w:rsidRPr="00FD50F6">
        <w:t>6</w:t>
      </w:r>
      <w:r w:rsidRPr="00FD50F6">
        <w:rPr>
          <w:rFonts w:hint="eastAsia"/>
        </w:rPr>
        <w:t>.2.15</w:t>
      </w:r>
      <w:r w:rsidRPr="00FD50F6">
        <w:t xml:space="preserve">  </w:t>
      </w:r>
      <w:r w:rsidRPr="00FD50F6">
        <w:rPr>
          <w:rFonts w:hint="eastAsia"/>
        </w:rPr>
        <w:t>变电所开关设备各种通道最小距离（</w:t>
      </w:r>
      <w:r w:rsidRPr="00FD50F6">
        <w:t>mm</w:t>
      </w:r>
      <w:r w:rsidRPr="00FD50F6">
        <w:rPr>
          <w:rFonts w:hint="eastAs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309"/>
        <w:gridCol w:w="2131"/>
        <w:gridCol w:w="2131"/>
      </w:tblGrid>
      <w:tr w:rsidR="00FD50F6" w:rsidRPr="00FD50F6" w14:paraId="59899E98" w14:textId="77777777" w:rsidTr="000831EC">
        <w:tc>
          <w:tcPr>
            <w:tcW w:w="1951" w:type="dxa"/>
            <w:vMerge w:val="restart"/>
            <w:vAlign w:val="center"/>
          </w:tcPr>
          <w:p w14:paraId="6DCDF29A" w14:textId="77777777" w:rsidR="002D2246" w:rsidRPr="00FD50F6" w:rsidRDefault="002D2246" w:rsidP="000831EC">
            <w:pPr>
              <w:pStyle w:val="7"/>
            </w:pPr>
            <w:r w:rsidRPr="00FD50F6">
              <w:rPr>
                <w:rFonts w:hint="eastAsia"/>
              </w:rPr>
              <w:t>开关柜布置方式</w:t>
            </w:r>
          </w:p>
        </w:tc>
        <w:tc>
          <w:tcPr>
            <w:tcW w:w="2309" w:type="dxa"/>
            <w:vMerge w:val="restart"/>
            <w:vAlign w:val="center"/>
          </w:tcPr>
          <w:p w14:paraId="10E0F4A3" w14:textId="77777777" w:rsidR="002D2246" w:rsidRPr="00FD50F6" w:rsidRDefault="002D2246" w:rsidP="000831EC">
            <w:pPr>
              <w:pStyle w:val="7"/>
            </w:pPr>
            <w:r w:rsidRPr="00FD50F6">
              <w:rPr>
                <w:rFonts w:hint="eastAsia"/>
              </w:rPr>
              <w:t>柜后维护通道</w:t>
            </w:r>
          </w:p>
        </w:tc>
        <w:tc>
          <w:tcPr>
            <w:tcW w:w="4262" w:type="dxa"/>
            <w:gridSpan w:val="2"/>
          </w:tcPr>
          <w:p w14:paraId="2115B9E7" w14:textId="77777777" w:rsidR="002D2246" w:rsidRPr="00FD50F6" w:rsidRDefault="002D2246" w:rsidP="000831EC">
            <w:pPr>
              <w:pStyle w:val="7"/>
            </w:pPr>
            <w:r w:rsidRPr="00FD50F6">
              <w:rPr>
                <w:rFonts w:hint="eastAsia"/>
              </w:rPr>
              <w:t>柜前操作通道</w:t>
            </w:r>
          </w:p>
        </w:tc>
      </w:tr>
      <w:tr w:rsidR="00FD50F6" w:rsidRPr="00FD50F6" w14:paraId="170BF74B" w14:textId="77777777" w:rsidTr="000831EC">
        <w:tc>
          <w:tcPr>
            <w:tcW w:w="1951" w:type="dxa"/>
            <w:vMerge/>
          </w:tcPr>
          <w:p w14:paraId="0F961898" w14:textId="77777777" w:rsidR="002D2246" w:rsidRPr="00FD50F6" w:rsidRDefault="002D2246" w:rsidP="000831EC">
            <w:pPr>
              <w:pStyle w:val="7"/>
            </w:pPr>
          </w:p>
        </w:tc>
        <w:tc>
          <w:tcPr>
            <w:tcW w:w="2309" w:type="dxa"/>
            <w:vMerge/>
          </w:tcPr>
          <w:p w14:paraId="0C3A3DDD" w14:textId="77777777" w:rsidR="002D2246" w:rsidRPr="00FD50F6" w:rsidRDefault="002D2246" w:rsidP="000831EC">
            <w:pPr>
              <w:pStyle w:val="7"/>
            </w:pPr>
          </w:p>
        </w:tc>
        <w:tc>
          <w:tcPr>
            <w:tcW w:w="2131" w:type="dxa"/>
          </w:tcPr>
          <w:p w14:paraId="3163F511" w14:textId="77777777" w:rsidR="002D2246" w:rsidRPr="00FD50F6" w:rsidRDefault="002D2246" w:rsidP="000831EC">
            <w:pPr>
              <w:pStyle w:val="7"/>
            </w:pPr>
            <w:r w:rsidRPr="00FD50F6">
              <w:rPr>
                <w:rFonts w:hint="eastAsia"/>
              </w:rPr>
              <w:t>固定式开关柜</w:t>
            </w:r>
          </w:p>
        </w:tc>
        <w:tc>
          <w:tcPr>
            <w:tcW w:w="2131" w:type="dxa"/>
          </w:tcPr>
          <w:p w14:paraId="62BD6657" w14:textId="77777777" w:rsidR="002D2246" w:rsidRPr="00FD50F6" w:rsidRDefault="002D2246" w:rsidP="000831EC">
            <w:pPr>
              <w:pStyle w:val="7"/>
            </w:pPr>
            <w:r w:rsidRPr="00FD50F6">
              <w:rPr>
                <w:rFonts w:hint="eastAsia"/>
              </w:rPr>
              <w:t>移开式开关柜</w:t>
            </w:r>
          </w:p>
        </w:tc>
      </w:tr>
      <w:tr w:rsidR="00FD50F6" w:rsidRPr="00FD50F6" w14:paraId="155E9653" w14:textId="77777777" w:rsidTr="000831EC">
        <w:trPr>
          <w:trHeight w:val="134"/>
        </w:trPr>
        <w:tc>
          <w:tcPr>
            <w:tcW w:w="1951" w:type="dxa"/>
          </w:tcPr>
          <w:p w14:paraId="411AAA00" w14:textId="77777777" w:rsidR="002D2246" w:rsidRPr="00FD50F6" w:rsidRDefault="002D2246" w:rsidP="000831EC">
            <w:pPr>
              <w:pStyle w:val="7"/>
            </w:pPr>
            <w:r w:rsidRPr="00FD50F6">
              <w:rPr>
                <w:rFonts w:hint="eastAsia"/>
              </w:rPr>
              <w:t>单排布置</w:t>
            </w:r>
          </w:p>
        </w:tc>
        <w:tc>
          <w:tcPr>
            <w:tcW w:w="2309" w:type="dxa"/>
            <w:tcBorders>
              <w:bottom w:val="single" w:sz="4" w:space="0" w:color="auto"/>
            </w:tcBorders>
          </w:tcPr>
          <w:p w14:paraId="36F88CDB" w14:textId="77777777" w:rsidR="002D2246" w:rsidRPr="00FD50F6" w:rsidRDefault="002D2246" w:rsidP="000831EC">
            <w:pPr>
              <w:pStyle w:val="7"/>
            </w:pPr>
            <w:r w:rsidRPr="00FD50F6">
              <w:t>1000</w:t>
            </w:r>
          </w:p>
        </w:tc>
        <w:tc>
          <w:tcPr>
            <w:tcW w:w="2131" w:type="dxa"/>
            <w:tcBorders>
              <w:bottom w:val="single" w:sz="4" w:space="0" w:color="auto"/>
            </w:tcBorders>
          </w:tcPr>
          <w:p w14:paraId="784072A4" w14:textId="77777777" w:rsidR="002D2246" w:rsidRPr="00FD50F6" w:rsidRDefault="002D2246" w:rsidP="000831EC">
            <w:pPr>
              <w:pStyle w:val="7"/>
            </w:pPr>
            <w:r w:rsidRPr="00FD50F6">
              <w:t>1500</w:t>
            </w:r>
          </w:p>
        </w:tc>
        <w:tc>
          <w:tcPr>
            <w:tcW w:w="2131" w:type="dxa"/>
            <w:tcBorders>
              <w:bottom w:val="single" w:sz="4" w:space="0" w:color="auto"/>
            </w:tcBorders>
          </w:tcPr>
          <w:p w14:paraId="5B7AE98C" w14:textId="77777777" w:rsidR="002D2246" w:rsidRPr="00FD50F6" w:rsidRDefault="002D2246" w:rsidP="000831EC">
            <w:pPr>
              <w:pStyle w:val="7"/>
            </w:pPr>
            <w:r w:rsidRPr="00FD50F6">
              <w:rPr>
                <w:rFonts w:hint="eastAsia"/>
              </w:rPr>
              <w:t>单手车长度</w:t>
            </w:r>
            <w:r w:rsidRPr="00FD50F6">
              <w:t>+1200</w:t>
            </w:r>
          </w:p>
        </w:tc>
      </w:tr>
      <w:tr w:rsidR="00FD50F6" w:rsidRPr="00FD50F6" w14:paraId="3A73E9FB" w14:textId="77777777" w:rsidTr="000831EC">
        <w:trPr>
          <w:trHeight w:val="452"/>
        </w:trPr>
        <w:tc>
          <w:tcPr>
            <w:tcW w:w="1951" w:type="dxa"/>
          </w:tcPr>
          <w:p w14:paraId="68B9A84B" w14:textId="77777777" w:rsidR="002D2246" w:rsidRPr="00FD50F6" w:rsidRDefault="002D2246" w:rsidP="000831EC">
            <w:pPr>
              <w:pStyle w:val="7"/>
            </w:pPr>
            <w:r w:rsidRPr="00FD50F6">
              <w:rPr>
                <w:rFonts w:hint="eastAsia"/>
              </w:rPr>
              <w:t>双排面对面布置</w:t>
            </w:r>
          </w:p>
        </w:tc>
        <w:tc>
          <w:tcPr>
            <w:tcW w:w="2309" w:type="dxa"/>
            <w:tcBorders>
              <w:bottom w:val="single" w:sz="4" w:space="0" w:color="auto"/>
            </w:tcBorders>
          </w:tcPr>
          <w:p w14:paraId="357A43A7" w14:textId="77777777" w:rsidR="002D2246" w:rsidRPr="00FD50F6" w:rsidRDefault="002D2246" w:rsidP="000831EC">
            <w:pPr>
              <w:pStyle w:val="7"/>
            </w:pPr>
            <w:r w:rsidRPr="00FD50F6">
              <w:t>1000</w:t>
            </w:r>
          </w:p>
        </w:tc>
        <w:tc>
          <w:tcPr>
            <w:tcW w:w="2131" w:type="dxa"/>
            <w:tcBorders>
              <w:bottom w:val="single" w:sz="4" w:space="0" w:color="auto"/>
            </w:tcBorders>
          </w:tcPr>
          <w:p w14:paraId="2E82218E" w14:textId="77777777" w:rsidR="002D2246" w:rsidRPr="00FD50F6" w:rsidRDefault="002D2246" w:rsidP="000831EC">
            <w:pPr>
              <w:pStyle w:val="7"/>
            </w:pPr>
            <w:r w:rsidRPr="00FD50F6">
              <w:t>2000</w:t>
            </w:r>
          </w:p>
        </w:tc>
        <w:tc>
          <w:tcPr>
            <w:tcW w:w="2131" w:type="dxa"/>
            <w:tcBorders>
              <w:bottom w:val="single" w:sz="4" w:space="0" w:color="auto"/>
            </w:tcBorders>
          </w:tcPr>
          <w:p w14:paraId="514E0DCA" w14:textId="77777777" w:rsidR="002D2246" w:rsidRPr="00FD50F6" w:rsidRDefault="002D2246" w:rsidP="000831EC">
            <w:pPr>
              <w:pStyle w:val="7"/>
            </w:pPr>
            <w:r w:rsidRPr="00FD50F6">
              <w:rPr>
                <w:rFonts w:hint="eastAsia"/>
              </w:rPr>
              <w:t>双手车长度</w:t>
            </w:r>
            <w:r w:rsidRPr="00FD50F6">
              <w:t>+900</w:t>
            </w:r>
          </w:p>
        </w:tc>
      </w:tr>
      <w:tr w:rsidR="002D2246" w:rsidRPr="00FD50F6" w14:paraId="03CEEE9B" w14:textId="77777777" w:rsidTr="000831EC">
        <w:trPr>
          <w:trHeight w:val="402"/>
        </w:trPr>
        <w:tc>
          <w:tcPr>
            <w:tcW w:w="1951" w:type="dxa"/>
          </w:tcPr>
          <w:p w14:paraId="0BE415BB" w14:textId="77777777" w:rsidR="002D2246" w:rsidRPr="00FD50F6" w:rsidRDefault="002D2246" w:rsidP="000831EC">
            <w:pPr>
              <w:pStyle w:val="7"/>
            </w:pPr>
            <w:r w:rsidRPr="00FD50F6">
              <w:rPr>
                <w:rFonts w:hint="eastAsia"/>
              </w:rPr>
              <w:t>双排背对背布置</w:t>
            </w:r>
          </w:p>
        </w:tc>
        <w:tc>
          <w:tcPr>
            <w:tcW w:w="2309" w:type="dxa"/>
            <w:tcBorders>
              <w:bottom w:val="single" w:sz="4" w:space="0" w:color="auto"/>
            </w:tcBorders>
          </w:tcPr>
          <w:p w14:paraId="48226EB7" w14:textId="77777777" w:rsidR="002D2246" w:rsidRPr="00FD50F6" w:rsidRDefault="002D2246" w:rsidP="000831EC">
            <w:pPr>
              <w:pStyle w:val="7"/>
            </w:pPr>
            <w:r w:rsidRPr="00FD50F6">
              <w:t>1000</w:t>
            </w:r>
          </w:p>
        </w:tc>
        <w:tc>
          <w:tcPr>
            <w:tcW w:w="2131" w:type="dxa"/>
            <w:tcBorders>
              <w:bottom w:val="single" w:sz="4" w:space="0" w:color="auto"/>
            </w:tcBorders>
          </w:tcPr>
          <w:p w14:paraId="6BFE3CC4" w14:textId="77777777" w:rsidR="002D2246" w:rsidRPr="00FD50F6" w:rsidRDefault="002D2246" w:rsidP="000831EC">
            <w:pPr>
              <w:pStyle w:val="7"/>
            </w:pPr>
            <w:r w:rsidRPr="00FD50F6">
              <w:t>1500</w:t>
            </w:r>
          </w:p>
        </w:tc>
        <w:tc>
          <w:tcPr>
            <w:tcW w:w="2131" w:type="dxa"/>
            <w:tcBorders>
              <w:bottom w:val="single" w:sz="4" w:space="0" w:color="auto"/>
            </w:tcBorders>
          </w:tcPr>
          <w:p w14:paraId="136E26B0" w14:textId="77777777" w:rsidR="002D2246" w:rsidRPr="00FD50F6" w:rsidRDefault="002D2246" w:rsidP="000831EC">
            <w:pPr>
              <w:pStyle w:val="7"/>
            </w:pPr>
            <w:r w:rsidRPr="00FD50F6">
              <w:rPr>
                <w:rFonts w:hint="eastAsia"/>
              </w:rPr>
              <w:t>单手车长度</w:t>
            </w:r>
            <w:r w:rsidRPr="00FD50F6">
              <w:t>+1200</w:t>
            </w:r>
          </w:p>
        </w:tc>
      </w:tr>
    </w:tbl>
    <w:p w14:paraId="34A45A6B" w14:textId="77777777" w:rsidR="002D2246" w:rsidRPr="00FD50F6" w:rsidRDefault="002D2246" w:rsidP="002D2246">
      <w:pPr>
        <w:adjustRightInd w:val="0"/>
        <w:snapToGrid w:val="0"/>
        <w:rPr>
          <w:rFonts w:ascii="Times New Roman" w:hAnsi="Times New Roman" w:cs="Times New Roman"/>
          <w:sz w:val="21"/>
          <w:szCs w:val="24"/>
          <w:lang w:val="x-none"/>
        </w:rPr>
      </w:pPr>
    </w:p>
    <w:p w14:paraId="202D97DC" w14:textId="23C60CBE" w:rsidR="002D2246" w:rsidRPr="00FD50F6" w:rsidRDefault="002D2246" w:rsidP="002D2246">
      <w:pPr>
        <w:pStyle w:val="30"/>
        <w:rPr>
          <w:lang w:eastAsia="x-none"/>
        </w:rPr>
      </w:pPr>
      <w:r w:rsidRPr="00FD50F6">
        <w:rPr>
          <w:lang w:eastAsia="x-none"/>
        </w:rPr>
        <w:t>非封闭</w:t>
      </w:r>
      <w:r w:rsidRPr="00FD50F6">
        <w:rPr>
          <w:rFonts w:hint="eastAsia"/>
        </w:rPr>
        <w:t>牵引</w:t>
      </w:r>
      <w:r w:rsidRPr="00FD50F6">
        <w:rPr>
          <w:lang w:eastAsia="x-none"/>
        </w:rPr>
        <w:t>变压器应设于独立房间</w:t>
      </w:r>
      <w:r w:rsidRPr="00FD50F6">
        <w:rPr>
          <w:rFonts w:hint="eastAsia"/>
        </w:rPr>
        <w:t>，并应</w:t>
      </w:r>
      <w:r w:rsidRPr="00FD50F6">
        <w:rPr>
          <w:rFonts w:hint="eastAsia"/>
          <w:lang w:eastAsia="x-none"/>
        </w:rPr>
        <w:t>装设高度不低于</w:t>
      </w:r>
      <w:r w:rsidRPr="00FD50F6">
        <w:rPr>
          <w:lang w:eastAsia="x-none"/>
        </w:rPr>
        <w:t>1.8m</w:t>
      </w:r>
      <w:r w:rsidRPr="00FD50F6">
        <w:rPr>
          <w:rFonts w:hint="eastAsia"/>
          <w:lang w:eastAsia="x-none"/>
        </w:rPr>
        <w:t>的固定围栏，</w:t>
      </w:r>
      <w:r w:rsidRPr="00FD50F6">
        <w:rPr>
          <w:rFonts w:hint="eastAsia"/>
        </w:rPr>
        <w:t>围栏防护等级</w:t>
      </w:r>
      <w:r w:rsidR="00455853">
        <w:rPr>
          <w:rFonts w:hint="eastAsia"/>
        </w:rPr>
        <w:t>应</w:t>
      </w:r>
      <w:r w:rsidRPr="00FD50F6">
        <w:rPr>
          <w:rFonts w:hint="eastAsia"/>
        </w:rPr>
        <w:t>为</w:t>
      </w:r>
      <w:r w:rsidRPr="00FD50F6">
        <w:rPr>
          <w:rFonts w:hint="eastAsia"/>
        </w:rPr>
        <w:t>IP2X</w:t>
      </w:r>
      <w:r w:rsidRPr="00FD50F6">
        <w:rPr>
          <w:lang w:eastAsia="x-none"/>
        </w:rPr>
        <w:t>。</w:t>
      </w:r>
      <w:r w:rsidRPr="00FD50F6">
        <w:rPr>
          <w:rFonts w:hint="eastAsia"/>
        </w:rPr>
        <w:t>当</w:t>
      </w:r>
      <w:r w:rsidRPr="00FD50F6">
        <w:rPr>
          <w:rFonts w:hint="eastAsia"/>
        </w:rPr>
        <w:t>2</w:t>
      </w:r>
      <w:r w:rsidRPr="00FD50F6">
        <w:rPr>
          <w:rFonts w:hint="eastAsia"/>
        </w:rPr>
        <w:t>台非封闭牵引变压器设于同一房间时，牵</w:t>
      </w:r>
      <w:r w:rsidRPr="00FD50F6">
        <w:rPr>
          <w:rFonts w:hint="eastAsia"/>
        </w:rPr>
        <w:lastRenderedPageBreak/>
        <w:t>引变压器间应设固定围栏隔开。围栏门应设置电磁锁。</w:t>
      </w:r>
      <w:r w:rsidRPr="00FD50F6">
        <w:rPr>
          <w:rFonts w:hint="eastAsia"/>
          <w:lang w:eastAsia="x-none"/>
        </w:rPr>
        <w:t>变压器、整流器</w:t>
      </w:r>
      <w:r w:rsidRPr="00FD50F6">
        <w:rPr>
          <w:rFonts w:hint="eastAsia"/>
        </w:rPr>
        <w:t>与墙壁和门的最小净距</w:t>
      </w:r>
      <w:r w:rsidRPr="00FD50F6">
        <w:rPr>
          <w:rFonts w:hint="eastAsia"/>
          <w:lang w:eastAsia="x-none"/>
        </w:rPr>
        <w:t>应符合表</w:t>
      </w:r>
      <w:r w:rsidR="00232AC3" w:rsidRPr="00FD50F6">
        <w:rPr>
          <w:rFonts w:hint="eastAsia"/>
          <w:lang w:eastAsia="x-none"/>
        </w:rPr>
        <w:t>1</w:t>
      </w:r>
      <w:r w:rsidR="00232AC3" w:rsidRPr="00FD50F6">
        <w:rPr>
          <w:lang w:eastAsia="x-none"/>
        </w:rPr>
        <w:t>6</w:t>
      </w:r>
      <w:r w:rsidRPr="00FD50F6">
        <w:rPr>
          <w:rFonts w:hint="eastAsia"/>
          <w:lang w:eastAsia="x-none"/>
        </w:rPr>
        <w:t>.2.16</w:t>
      </w:r>
      <w:r w:rsidRPr="00FD50F6">
        <w:rPr>
          <w:rFonts w:hint="eastAsia"/>
          <w:lang w:eastAsia="x-none"/>
        </w:rPr>
        <w:t>的规定。</w:t>
      </w:r>
    </w:p>
    <w:p w14:paraId="1027965C" w14:textId="7905181B" w:rsidR="002D2246" w:rsidRPr="00FD50F6" w:rsidRDefault="002D2246" w:rsidP="002D2246">
      <w:pPr>
        <w:pStyle w:val="6"/>
      </w:pPr>
      <w:r w:rsidRPr="00FD50F6">
        <w:rPr>
          <w:rFonts w:hint="eastAsia"/>
        </w:rPr>
        <w:t>表</w:t>
      </w:r>
      <w:r w:rsidR="00232AC3" w:rsidRPr="00FD50F6">
        <w:rPr>
          <w:rFonts w:hint="eastAsia"/>
        </w:rPr>
        <w:t>1</w:t>
      </w:r>
      <w:r w:rsidR="00232AC3" w:rsidRPr="00FD50F6">
        <w:t>6</w:t>
      </w:r>
      <w:r w:rsidRPr="00FD50F6">
        <w:t>.2.</w:t>
      </w:r>
      <w:r w:rsidRPr="00FD50F6">
        <w:rPr>
          <w:rFonts w:hint="eastAsia"/>
        </w:rPr>
        <w:t>16</w:t>
      </w:r>
      <w:r w:rsidRPr="00FD50F6">
        <w:t xml:space="preserve">  </w:t>
      </w:r>
      <w:r w:rsidRPr="00FD50F6">
        <w:rPr>
          <w:rFonts w:hint="eastAsia"/>
        </w:rPr>
        <w:t>变压器、整流器与墙壁和门的最小净距（</w:t>
      </w:r>
      <w:r w:rsidRPr="00FD50F6">
        <w:t>mm</w:t>
      </w:r>
      <w:r w:rsidRPr="00FD50F6">
        <w:rPr>
          <w:rFonts w:hint="eastAsia"/>
        </w:rPr>
        <w:t>）</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2620"/>
        <w:gridCol w:w="2533"/>
      </w:tblGrid>
      <w:tr w:rsidR="00455853" w:rsidRPr="00FD50F6" w14:paraId="44ED9970" w14:textId="77777777" w:rsidTr="00455853">
        <w:tc>
          <w:tcPr>
            <w:tcW w:w="3369" w:type="dxa"/>
          </w:tcPr>
          <w:p w14:paraId="4E2150DE" w14:textId="14389C97" w:rsidR="00455853" w:rsidRPr="00FD50F6" w:rsidRDefault="00455853" w:rsidP="00455853">
            <w:pPr>
              <w:pStyle w:val="7"/>
            </w:pPr>
            <w:r>
              <w:rPr>
                <w:rFonts w:hint="eastAsia"/>
              </w:rPr>
              <w:t>部位</w:t>
            </w:r>
          </w:p>
        </w:tc>
        <w:tc>
          <w:tcPr>
            <w:tcW w:w="2620" w:type="dxa"/>
          </w:tcPr>
          <w:p w14:paraId="6F2844D0" w14:textId="4CCB00F9" w:rsidR="00455853" w:rsidRPr="00FD50F6" w:rsidRDefault="00455853" w:rsidP="00DB6B0C">
            <w:pPr>
              <w:pStyle w:val="7"/>
              <w:ind w:leftChars="-33" w:left="-79" w:rightChars="-28" w:right="-67"/>
            </w:pPr>
            <w:r w:rsidRPr="00FD50F6">
              <w:rPr>
                <w:rFonts w:hint="eastAsia"/>
              </w:rPr>
              <w:t>设备容量</w:t>
            </w:r>
            <w:r w:rsidR="00DB6B0C">
              <w:rPr>
                <w:rFonts w:hint="eastAsia"/>
              </w:rPr>
              <w:t>（</w:t>
            </w:r>
            <w:r w:rsidRPr="00FD50F6">
              <w:t>100~1000</w:t>
            </w:r>
            <w:r w:rsidR="00DB6B0C">
              <w:rPr>
                <w:rFonts w:hint="eastAsia"/>
              </w:rPr>
              <w:t>）</w:t>
            </w:r>
            <w:r w:rsidRPr="00FD50F6">
              <w:t>kVA</w:t>
            </w:r>
          </w:p>
        </w:tc>
        <w:tc>
          <w:tcPr>
            <w:tcW w:w="2533" w:type="dxa"/>
          </w:tcPr>
          <w:p w14:paraId="76E4DC8A" w14:textId="6483021E" w:rsidR="00455853" w:rsidRPr="00FD50F6" w:rsidRDefault="00455853" w:rsidP="00455853">
            <w:pPr>
              <w:pStyle w:val="7"/>
              <w:ind w:leftChars="-61" w:left="-146"/>
            </w:pPr>
            <w:r w:rsidRPr="00FD50F6">
              <w:rPr>
                <w:rFonts w:hint="eastAsia"/>
              </w:rPr>
              <w:t>设备容量</w:t>
            </w:r>
            <w:r w:rsidRPr="00FD50F6">
              <w:t>1250 kVA</w:t>
            </w:r>
            <w:r w:rsidRPr="00FD50F6">
              <w:rPr>
                <w:rFonts w:hint="eastAsia"/>
              </w:rPr>
              <w:t>及以上</w:t>
            </w:r>
          </w:p>
        </w:tc>
      </w:tr>
      <w:tr w:rsidR="00455853" w:rsidRPr="00FD50F6" w14:paraId="490D8D83" w14:textId="77777777" w:rsidTr="00455853">
        <w:tc>
          <w:tcPr>
            <w:tcW w:w="3369" w:type="dxa"/>
          </w:tcPr>
          <w:p w14:paraId="550FF481" w14:textId="77777777" w:rsidR="00455853" w:rsidRPr="00FD50F6" w:rsidRDefault="00455853" w:rsidP="00455853">
            <w:pPr>
              <w:pStyle w:val="7"/>
            </w:pPr>
            <w:r w:rsidRPr="00FD50F6">
              <w:rPr>
                <w:rFonts w:hint="eastAsia"/>
              </w:rPr>
              <w:t>变压器外廓与后壁、侧壁</w:t>
            </w:r>
          </w:p>
        </w:tc>
        <w:tc>
          <w:tcPr>
            <w:tcW w:w="2620" w:type="dxa"/>
            <w:vAlign w:val="center"/>
          </w:tcPr>
          <w:p w14:paraId="6023E91B" w14:textId="77777777" w:rsidR="00455853" w:rsidRPr="00FD50F6" w:rsidRDefault="00455853" w:rsidP="00455853">
            <w:pPr>
              <w:pStyle w:val="7"/>
            </w:pPr>
            <w:r w:rsidRPr="00FD50F6">
              <w:t>600</w:t>
            </w:r>
          </w:p>
        </w:tc>
        <w:tc>
          <w:tcPr>
            <w:tcW w:w="2533" w:type="dxa"/>
            <w:vAlign w:val="center"/>
          </w:tcPr>
          <w:p w14:paraId="5CB28E65" w14:textId="77777777" w:rsidR="00455853" w:rsidRPr="00FD50F6" w:rsidRDefault="00455853" w:rsidP="00455853">
            <w:pPr>
              <w:pStyle w:val="7"/>
            </w:pPr>
            <w:r w:rsidRPr="00FD50F6">
              <w:t>800</w:t>
            </w:r>
          </w:p>
        </w:tc>
      </w:tr>
      <w:tr w:rsidR="00455853" w:rsidRPr="00FD50F6" w14:paraId="53454A01" w14:textId="77777777" w:rsidTr="00455853">
        <w:tc>
          <w:tcPr>
            <w:tcW w:w="3369" w:type="dxa"/>
          </w:tcPr>
          <w:p w14:paraId="27FAA5BF" w14:textId="77777777" w:rsidR="00455853" w:rsidRPr="00FD50F6" w:rsidRDefault="00455853" w:rsidP="00455853">
            <w:pPr>
              <w:pStyle w:val="7"/>
            </w:pPr>
            <w:r w:rsidRPr="00FD50F6">
              <w:rPr>
                <w:rFonts w:hint="eastAsia"/>
              </w:rPr>
              <w:t>变压器外廓与门（围栏）</w:t>
            </w:r>
          </w:p>
        </w:tc>
        <w:tc>
          <w:tcPr>
            <w:tcW w:w="2620" w:type="dxa"/>
            <w:vAlign w:val="center"/>
          </w:tcPr>
          <w:p w14:paraId="55B54AFB" w14:textId="77777777" w:rsidR="00455853" w:rsidRPr="00FD50F6" w:rsidRDefault="00455853" w:rsidP="00455853">
            <w:pPr>
              <w:pStyle w:val="7"/>
            </w:pPr>
            <w:r w:rsidRPr="00FD50F6">
              <w:t>800</w:t>
            </w:r>
          </w:p>
        </w:tc>
        <w:tc>
          <w:tcPr>
            <w:tcW w:w="2533" w:type="dxa"/>
            <w:vAlign w:val="center"/>
          </w:tcPr>
          <w:p w14:paraId="270A5AAC" w14:textId="77777777" w:rsidR="00455853" w:rsidRPr="00FD50F6" w:rsidRDefault="00455853" w:rsidP="00455853">
            <w:pPr>
              <w:pStyle w:val="7"/>
            </w:pPr>
            <w:r w:rsidRPr="00FD50F6">
              <w:t>1000</w:t>
            </w:r>
          </w:p>
        </w:tc>
      </w:tr>
      <w:tr w:rsidR="00455853" w:rsidRPr="00FD50F6" w14:paraId="5C2E8780" w14:textId="77777777" w:rsidTr="00455853">
        <w:tc>
          <w:tcPr>
            <w:tcW w:w="3369" w:type="dxa"/>
          </w:tcPr>
          <w:p w14:paraId="2434FA2E" w14:textId="77777777" w:rsidR="00455853" w:rsidRPr="00FD50F6" w:rsidRDefault="00455853" w:rsidP="00455853">
            <w:pPr>
              <w:pStyle w:val="7"/>
            </w:pPr>
            <w:r w:rsidRPr="00FD50F6">
              <w:rPr>
                <w:rFonts w:hint="eastAsia"/>
              </w:rPr>
              <w:t>变压器带</w:t>
            </w:r>
            <w:r w:rsidRPr="00FD50F6">
              <w:rPr>
                <w:rFonts w:hint="eastAsia"/>
              </w:rPr>
              <w:t>IP2X</w:t>
            </w:r>
            <w:r w:rsidRPr="00FD50F6">
              <w:rPr>
                <w:rFonts w:hint="eastAsia"/>
              </w:rPr>
              <w:t>及以上防护等级外壳与后壁、侧壁</w:t>
            </w:r>
          </w:p>
        </w:tc>
        <w:tc>
          <w:tcPr>
            <w:tcW w:w="2620" w:type="dxa"/>
            <w:vAlign w:val="center"/>
          </w:tcPr>
          <w:p w14:paraId="1F6E8D2E" w14:textId="77777777" w:rsidR="00455853" w:rsidRPr="00FD50F6" w:rsidRDefault="00455853" w:rsidP="00455853">
            <w:pPr>
              <w:pStyle w:val="7"/>
            </w:pPr>
            <w:r w:rsidRPr="00FD50F6">
              <w:rPr>
                <w:rFonts w:hint="eastAsia"/>
              </w:rPr>
              <w:t>600</w:t>
            </w:r>
          </w:p>
        </w:tc>
        <w:tc>
          <w:tcPr>
            <w:tcW w:w="2533" w:type="dxa"/>
            <w:vAlign w:val="center"/>
          </w:tcPr>
          <w:p w14:paraId="6F2AE8B6" w14:textId="77777777" w:rsidR="00455853" w:rsidRPr="00FD50F6" w:rsidRDefault="00455853" w:rsidP="00455853">
            <w:pPr>
              <w:pStyle w:val="7"/>
            </w:pPr>
            <w:r w:rsidRPr="00FD50F6">
              <w:rPr>
                <w:rFonts w:hint="eastAsia"/>
              </w:rPr>
              <w:t>800</w:t>
            </w:r>
          </w:p>
        </w:tc>
      </w:tr>
      <w:tr w:rsidR="00455853" w:rsidRPr="00FD50F6" w14:paraId="65ACFCB3" w14:textId="77777777" w:rsidTr="00455853">
        <w:tc>
          <w:tcPr>
            <w:tcW w:w="3369" w:type="dxa"/>
          </w:tcPr>
          <w:p w14:paraId="00111D3C" w14:textId="77777777" w:rsidR="00455853" w:rsidRPr="00FD50F6" w:rsidRDefault="00455853" w:rsidP="00455853">
            <w:pPr>
              <w:pStyle w:val="7"/>
            </w:pPr>
            <w:r w:rsidRPr="00FD50F6">
              <w:rPr>
                <w:rFonts w:hint="eastAsia"/>
              </w:rPr>
              <w:t>变压器带</w:t>
            </w:r>
            <w:r w:rsidRPr="00FD50F6">
              <w:rPr>
                <w:rFonts w:hint="eastAsia"/>
              </w:rPr>
              <w:t>IP2X</w:t>
            </w:r>
            <w:r w:rsidRPr="00FD50F6">
              <w:rPr>
                <w:rFonts w:hint="eastAsia"/>
              </w:rPr>
              <w:t>及以上防护等级外壳与门</w:t>
            </w:r>
          </w:p>
        </w:tc>
        <w:tc>
          <w:tcPr>
            <w:tcW w:w="2620" w:type="dxa"/>
            <w:vAlign w:val="center"/>
          </w:tcPr>
          <w:p w14:paraId="2B9B3135" w14:textId="77777777" w:rsidR="00455853" w:rsidRPr="00FD50F6" w:rsidRDefault="00455853" w:rsidP="00455853">
            <w:pPr>
              <w:pStyle w:val="7"/>
            </w:pPr>
            <w:r w:rsidRPr="00FD50F6">
              <w:rPr>
                <w:rFonts w:hint="eastAsia"/>
              </w:rPr>
              <w:t>800</w:t>
            </w:r>
          </w:p>
        </w:tc>
        <w:tc>
          <w:tcPr>
            <w:tcW w:w="2533" w:type="dxa"/>
            <w:vAlign w:val="center"/>
          </w:tcPr>
          <w:p w14:paraId="7BBB90BF" w14:textId="77777777" w:rsidR="00455853" w:rsidRPr="00FD50F6" w:rsidRDefault="00455853" w:rsidP="00455853">
            <w:pPr>
              <w:pStyle w:val="7"/>
            </w:pPr>
            <w:r w:rsidRPr="00FD50F6">
              <w:rPr>
                <w:rFonts w:hint="eastAsia"/>
              </w:rPr>
              <w:t>1000</w:t>
            </w:r>
          </w:p>
        </w:tc>
      </w:tr>
      <w:tr w:rsidR="00455853" w:rsidRPr="00FD50F6" w14:paraId="2BD58408" w14:textId="77777777" w:rsidTr="00455853">
        <w:tc>
          <w:tcPr>
            <w:tcW w:w="3369" w:type="dxa"/>
          </w:tcPr>
          <w:p w14:paraId="38674F0C" w14:textId="77777777" w:rsidR="00455853" w:rsidRPr="00FD50F6" w:rsidRDefault="00455853" w:rsidP="00455853">
            <w:pPr>
              <w:pStyle w:val="7"/>
            </w:pPr>
            <w:r w:rsidRPr="00FD50F6">
              <w:rPr>
                <w:rFonts w:hint="eastAsia"/>
              </w:rPr>
              <w:t>整流器带</w:t>
            </w:r>
            <w:r w:rsidRPr="00FD50F6">
              <w:rPr>
                <w:rFonts w:hint="eastAsia"/>
              </w:rPr>
              <w:t>IP2X</w:t>
            </w:r>
            <w:r w:rsidRPr="00FD50F6">
              <w:rPr>
                <w:rFonts w:hint="eastAsia"/>
              </w:rPr>
              <w:t>及以上防护等级外壳与后壁、侧壁</w:t>
            </w:r>
          </w:p>
        </w:tc>
        <w:tc>
          <w:tcPr>
            <w:tcW w:w="2620" w:type="dxa"/>
            <w:vAlign w:val="center"/>
          </w:tcPr>
          <w:p w14:paraId="6E50480A" w14:textId="474A3969" w:rsidR="00455853" w:rsidRPr="00FD50F6" w:rsidRDefault="00455853" w:rsidP="00455853">
            <w:pPr>
              <w:pStyle w:val="7"/>
            </w:pPr>
            <w:r>
              <w:rPr>
                <w:rFonts w:hint="eastAsia"/>
              </w:rPr>
              <w:t>—</w:t>
            </w:r>
          </w:p>
        </w:tc>
        <w:tc>
          <w:tcPr>
            <w:tcW w:w="2533" w:type="dxa"/>
            <w:vAlign w:val="center"/>
          </w:tcPr>
          <w:p w14:paraId="18E888D1" w14:textId="77777777" w:rsidR="00455853" w:rsidRPr="00FD50F6" w:rsidRDefault="00455853" w:rsidP="00455853">
            <w:pPr>
              <w:pStyle w:val="7"/>
            </w:pPr>
            <w:r w:rsidRPr="00FD50F6">
              <w:rPr>
                <w:rFonts w:hint="eastAsia"/>
              </w:rPr>
              <w:t>800</w:t>
            </w:r>
          </w:p>
        </w:tc>
      </w:tr>
      <w:tr w:rsidR="00455853" w:rsidRPr="00FD50F6" w14:paraId="22B5223A" w14:textId="77777777" w:rsidTr="00455853">
        <w:tc>
          <w:tcPr>
            <w:tcW w:w="3369" w:type="dxa"/>
          </w:tcPr>
          <w:p w14:paraId="3936F309" w14:textId="77777777" w:rsidR="00455853" w:rsidRPr="00FD50F6" w:rsidRDefault="00455853" w:rsidP="00455853">
            <w:pPr>
              <w:pStyle w:val="7"/>
            </w:pPr>
            <w:r w:rsidRPr="00FD50F6">
              <w:rPr>
                <w:rFonts w:hint="eastAsia"/>
              </w:rPr>
              <w:t>整流器带</w:t>
            </w:r>
            <w:r w:rsidRPr="00FD50F6">
              <w:rPr>
                <w:rFonts w:hint="eastAsia"/>
              </w:rPr>
              <w:t>IP2X</w:t>
            </w:r>
            <w:r w:rsidRPr="00FD50F6">
              <w:rPr>
                <w:rFonts w:hint="eastAsia"/>
              </w:rPr>
              <w:t>及以上防护等级外壳与门</w:t>
            </w:r>
          </w:p>
        </w:tc>
        <w:tc>
          <w:tcPr>
            <w:tcW w:w="2620" w:type="dxa"/>
            <w:vAlign w:val="center"/>
          </w:tcPr>
          <w:p w14:paraId="0C1668BB" w14:textId="01673C32" w:rsidR="00455853" w:rsidRPr="00FD50F6" w:rsidRDefault="00455853" w:rsidP="00455853">
            <w:pPr>
              <w:pStyle w:val="7"/>
            </w:pPr>
            <w:r>
              <w:rPr>
                <w:rFonts w:hint="eastAsia"/>
              </w:rPr>
              <w:t>—</w:t>
            </w:r>
          </w:p>
        </w:tc>
        <w:tc>
          <w:tcPr>
            <w:tcW w:w="2533" w:type="dxa"/>
            <w:vAlign w:val="center"/>
          </w:tcPr>
          <w:p w14:paraId="52BC73D9" w14:textId="77777777" w:rsidR="00455853" w:rsidRPr="00FD50F6" w:rsidRDefault="00455853" w:rsidP="00455853">
            <w:pPr>
              <w:pStyle w:val="7"/>
            </w:pPr>
            <w:r w:rsidRPr="00FD50F6">
              <w:rPr>
                <w:rFonts w:hint="eastAsia"/>
              </w:rPr>
              <w:t>1000</w:t>
            </w:r>
          </w:p>
        </w:tc>
      </w:tr>
    </w:tbl>
    <w:p w14:paraId="19EECF1C" w14:textId="77777777" w:rsidR="002D2246" w:rsidRPr="00FD50F6" w:rsidRDefault="002D2246" w:rsidP="002D2246">
      <w:pPr>
        <w:pStyle w:val="9"/>
        <w:ind w:firstLine="480"/>
        <w:rPr>
          <w:rFonts w:cs="Times New Roman"/>
        </w:rPr>
      </w:pPr>
    </w:p>
    <w:p w14:paraId="798C15F2" w14:textId="27D29802" w:rsidR="002D2246" w:rsidRPr="00FD50F6" w:rsidRDefault="002D2246" w:rsidP="002D2246">
      <w:pPr>
        <w:pStyle w:val="30"/>
      </w:pPr>
      <w:r w:rsidRPr="00FD50F6">
        <w:t>控制室各屏间及通道最小距离宜符合表</w:t>
      </w:r>
      <w:r w:rsidR="00232AC3" w:rsidRPr="00FD50F6">
        <w:t>16</w:t>
      </w:r>
      <w:r w:rsidRPr="00FD50F6">
        <w:t>.2.17</w:t>
      </w:r>
      <w:r w:rsidRPr="00FD50F6">
        <w:t>的规定。</w:t>
      </w:r>
    </w:p>
    <w:p w14:paraId="0E32EEA3" w14:textId="551E4F34" w:rsidR="002D2246" w:rsidRPr="00FD50F6" w:rsidRDefault="002D2246" w:rsidP="002D2246">
      <w:pPr>
        <w:pStyle w:val="6"/>
      </w:pPr>
      <w:r w:rsidRPr="00FD50F6">
        <w:t>表</w:t>
      </w:r>
      <w:r w:rsidR="00232AC3" w:rsidRPr="00FD50F6">
        <w:t>16</w:t>
      </w:r>
      <w:r w:rsidRPr="00FD50F6">
        <w:t>.2.1</w:t>
      </w:r>
      <w:r w:rsidRPr="00FD50F6">
        <w:rPr>
          <w:rFonts w:hint="eastAsia"/>
        </w:rPr>
        <w:t>7</w:t>
      </w:r>
      <w:r w:rsidRPr="00FD50F6">
        <w:t xml:space="preserve">  </w:t>
      </w:r>
      <w:r w:rsidRPr="00FD50F6">
        <w:t>控制室各屏间及通道最小距离</w:t>
      </w:r>
      <w:r w:rsidRPr="00FD50F6">
        <w:t xml:space="preserve">(mm)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1895"/>
        <w:gridCol w:w="2067"/>
        <w:gridCol w:w="2067"/>
      </w:tblGrid>
      <w:tr w:rsidR="00FD50F6" w:rsidRPr="00FD50F6" w14:paraId="331CF9A3" w14:textId="77777777" w:rsidTr="000831EC">
        <w:trPr>
          <w:trHeight w:hRule="exact" w:val="397"/>
          <w:jc w:val="center"/>
        </w:trPr>
        <w:tc>
          <w:tcPr>
            <w:tcW w:w="2243" w:type="dxa"/>
            <w:vAlign w:val="center"/>
          </w:tcPr>
          <w:p w14:paraId="52F9914B" w14:textId="77777777" w:rsidR="002D2246" w:rsidRPr="00FD50F6" w:rsidRDefault="002D2246" w:rsidP="000831EC">
            <w:pPr>
              <w:pStyle w:val="7"/>
            </w:pPr>
            <w:r w:rsidRPr="00FD50F6">
              <w:t>屏正面－屏背面</w:t>
            </w:r>
          </w:p>
        </w:tc>
        <w:tc>
          <w:tcPr>
            <w:tcW w:w="1895" w:type="dxa"/>
            <w:vAlign w:val="center"/>
          </w:tcPr>
          <w:p w14:paraId="4B47DF49" w14:textId="77777777" w:rsidR="002D2246" w:rsidRPr="00FD50F6" w:rsidRDefault="002D2246" w:rsidP="000831EC">
            <w:pPr>
              <w:pStyle w:val="7"/>
            </w:pPr>
            <w:r w:rsidRPr="00FD50F6">
              <w:t>屏背面－墙</w:t>
            </w:r>
          </w:p>
        </w:tc>
        <w:tc>
          <w:tcPr>
            <w:tcW w:w="2067" w:type="dxa"/>
            <w:vAlign w:val="center"/>
          </w:tcPr>
          <w:p w14:paraId="1F4DC2B9" w14:textId="77777777" w:rsidR="002D2246" w:rsidRPr="00FD50F6" w:rsidRDefault="002D2246" w:rsidP="000831EC">
            <w:pPr>
              <w:pStyle w:val="7"/>
            </w:pPr>
            <w:r w:rsidRPr="00FD50F6">
              <w:t>屏边－墙</w:t>
            </w:r>
          </w:p>
        </w:tc>
        <w:tc>
          <w:tcPr>
            <w:tcW w:w="2067" w:type="dxa"/>
            <w:vAlign w:val="center"/>
          </w:tcPr>
          <w:p w14:paraId="0533E676" w14:textId="77777777" w:rsidR="002D2246" w:rsidRPr="00FD50F6" w:rsidRDefault="002D2246" w:rsidP="000831EC">
            <w:pPr>
              <w:pStyle w:val="7"/>
            </w:pPr>
            <w:r w:rsidRPr="00FD50F6">
              <w:t>屏正面－墙</w:t>
            </w:r>
          </w:p>
        </w:tc>
      </w:tr>
      <w:tr w:rsidR="00FD50F6" w:rsidRPr="00FD50F6" w14:paraId="2345E8C4" w14:textId="77777777" w:rsidTr="000831EC">
        <w:trPr>
          <w:trHeight w:hRule="exact" w:val="397"/>
          <w:jc w:val="center"/>
        </w:trPr>
        <w:tc>
          <w:tcPr>
            <w:tcW w:w="2243" w:type="dxa"/>
            <w:vAlign w:val="center"/>
          </w:tcPr>
          <w:p w14:paraId="79A1A19A" w14:textId="77777777" w:rsidR="002D2246" w:rsidRPr="00FD50F6" w:rsidRDefault="002D2246" w:rsidP="000831EC">
            <w:pPr>
              <w:pStyle w:val="7"/>
            </w:pPr>
            <w:r w:rsidRPr="00FD50F6">
              <w:t>1500</w:t>
            </w:r>
          </w:p>
        </w:tc>
        <w:tc>
          <w:tcPr>
            <w:tcW w:w="1895" w:type="dxa"/>
            <w:vAlign w:val="center"/>
          </w:tcPr>
          <w:p w14:paraId="48C18469" w14:textId="77777777" w:rsidR="002D2246" w:rsidRPr="00FD50F6" w:rsidRDefault="002D2246" w:rsidP="000831EC">
            <w:pPr>
              <w:pStyle w:val="7"/>
            </w:pPr>
            <w:r w:rsidRPr="00FD50F6">
              <w:rPr>
                <w:rFonts w:hint="eastAsia"/>
              </w:rPr>
              <w:t>1000</w:t>
            </w:r>
          </w:p>
        </w:tc>
        <w:tc>
          <w:tcPr>
            <w:tcW w:w="2067" w:type="dxa"/>
            <w:vAlign w:val="center"/>
          </w:tcPr>
          <w:p w14:paraId="43018689" w14:textId="77777777" w:rsidR="002D2246" w:rsidRPr="00FD50F6" w:rsidRDefault="002D2246" w:rsidP="000831EC">
            <w:pPr>
              <w:pStyle w:val="7"/>
            </w:pPr>
            <w:r w:rsidRPr="00FD50F6">
              <w:t>800</w:t>
            </w:r>
          </w:p>
        </w:tc>
        <w:tc>
          <w:tcPr>
            <w:tcW w:w="2067" w:type="dxa"/>
            <w:vAlign w:val="center"/>
          </w:tcPr>
          <w:p w14:paraId="2C93202B" w14:textId="77777777" w:rsidR="002D2246" w:rsidRPr="00FD50F6" w:rsidRDefault="002D2246" w:rsidP="000831EC">
            <w:pPr>
              <w:pStyle w:val="7"/>
            </w:pPr>
            <w:r w:rsidRPr="00FD50F6">
              <w:t>1500</w:t>
            </w:r>
            <w:r w:rsidRPr="00FD50F6">
              <w:t>（</w:t>
            </w:r>
            <w:r w:rsidRPr="00FD50F6">
              <w:t>3000</w:t>
            </w:r>
            <w:r w:rsidRPr="00FD50F6">
              <w:t>）</w:t>
            </w:r>
          </w:p>
        </w:tc>
      </w:tr>
    </w:tbl>
    <w:p w14:paraId="4A05BD9B" w14:textId="77777777" w:rsidR="002D2246" w:rsidRPr="00FF3ED8" w:rsidRDefault="002D2246" w:rsidP="002D2246">
      <w:pPr>
        <w:adjustRightInd w:val="0"/>
        <w:snapToGrid w:val="0"/>
        <w:spacing w:line="0" w:lineRule="atLeast"/>
        <w:rPr>
          <w:rFonts w:ascii="Times New Roman" w:hAnsi="Times New Roman" w:cs="Times New Roman"/>
          <w:sz w:val="21"/>
        </w:rPr>
      </w:pPr>
      <w:r w:rsidRPr="00674CD1">
        <w:rPr>
          <w:rFonts w:cs="Times New Roman"/>
          <w:sz w:val="21"/>
        </w:rPr>
        <w:t>注：括号内数值适用于有人值守情况。</w:t>
      </w:r>
    </w:p>
    <w:p w14:paraId="5947BAC0" w14:textId="2B4A0E23" w:rsidR="002D2246" w:rsidRPr="00FD50F6" w:rsidRDefault="002D2246" w:rsidP="002D2246">
      <w:pPr>
        <w:pStyle w:val="30"/>
      </w:pPr>
      <w:r w:rsidRPr="00FD50F6">
        <w:t>变电所交直流电源屏的电源应接自变电所的两段低压母线。</w:t>
      </w:r>
    </w:p>
    <w:p w14:paraId="2FD4309E" w14:textId="77777777" w:rsidR="002D2246" w:rsidRPr="00FD50F6" w:rsidRDefault="002D2246" w:rsidP="002D2246">
      <w:pPr>
        <w:pStyle w:val="30"/>
      </w:pPr>
      <w:r w:rsidRPr="00FD50F6">
        <w:t>变电所直流操作电源宜采用成套装置，正常运行时蓄电池应处于浮充状态。蓄电池容量应满足交流停电情况下连续供电</w:t>
      </w:r>
      <w:r w:rsidRPr="00FD50F6">
        <w:t>2h</w:t>
      </w:r>
      <w:r w:rsidRPr="00FD50F6">
        <w:t>的要求。</w:t>
      </w:r>
    </w:p>
    <w:p w14:paraId="7A59E135" w14:textId="39FF636F" w:rsidR="002D2246" w:rsidRPr="00FD50F6" w:rsidRDefault="002D2246" w:rsidP="002D2246">
      <w:pPr>
        <w:pStyle w:val="30"/>
      </w:pPr>
      <w:r w:rsidRPr="00FD50F6">
        <w:t>变电所的中压继电保护设置应符合现行国家标准《电力</w:t>
      </w:r>
      <w:r w:rsidRPr="00FD50F6">
        <w:rPr>
          <w:rFonts w:hint="eastAsia"/>
        </w:rPr>
        <w:t>装置的</w:t>
      </w:r>
      <w:r w:rsidRPr="00FD50F6">
        <w:t>继电保护</w:t>
      </w:r>
      <w:r w:rsidRPr="00FD50F6">
        <w:rPr>
          <w:rFonts w:hint="eastAsia"/>
        </w:rPr>
        <w:t>和</w:t>
      </w:r>
      <w:r w:rsidRPr="00FD50F6">
        <w:t>自动装置设计规范》</w:t>
      </w:r>
      <w:r w:rsidRPr="00FD50F6">
        <w:t>GB/T 50062</w:t>
      </w:r>
      <w:r w:rsidRPr="00FD50F6">
        <w:t>的规定。</w:t>
      </w:r>
    </w:p>
    <w:p w14:paraId="652196DA" w14:textId="1596696D" w:rsidR="002D2246" w:rsidRPr="00FD50F6" w:rsidRDefault="002D2246" w:rsidP="002D2246">
      <w:pPr>
        <w:pStyle w:val="30"/>
      </w:pPr>
      <w:r w:rsidRPr="00FD50F6">
        <w:t>对牵引整流机组的下列故障及异常运行应设相应的保护装置：</w:t>
      </w:r>
    </w:p>
    <w:p w14:paraId="54A518EA" w14:textId="77777777" w:rsidR="002D2246" w:rsidRPr="00FD50F6" w:rsidRDefault="002D2246" w:rsidP="00A926BD">
      <w:pPr>
        <w:pStyle w:val="4"/>
      </w:pPr>
      <w:r w:rsidRPr="00FD50F6">
        <w:t>内部短路；</w:t>
      </w:r>
    </w:p>
    <w:p w14:paraId="5CB99C2D" w14:textId="77777777" w:rsidR="002D2246" w:rsidRPr="00FD50F6" w:rsidRDefault="002D2246" w:rsidP="00A926BD">
      <w:pPr>
        <w:pStyle w:val="4"/>
      </w:pPr>
      <w:r w:rsidRPr="00FD50F6">
        <w:t>元件故障；</w:t>
      </w:r>
    </w:p>
    <w:p w14:paraId="57A95C03" w14:textId="77777777" w:rsidR="002D2246" w:rsidRPr="00FD50F6" w:rsidRDefault="002D2246" w:rsidP="00A926BD">
      <w:pPr>
        <w:pStyle w:val="4"/>
      </w:pPr>
      <w:r w:rsidRPr="00FD50F6">
        <w:t>元件温升超过限定值；</w:t>
      </w:r>
    </w:p>
    <w:p w14:paraId="173BCDFD" w14:textId="77777777" w:rsidR="002D2246" w:rsidRPr="00FD50F6" w:rsidRDefault="002D2246" w:rsidP="00A926BD">
      <w:pPr>
        <w:pStyle w:val="4"/>
      </w:pPr>
      <w:r w:rsidRPr="00FD50F6">
        <w:t>外部短路。</w:t>
      </w:r>
    </w:p>
    <w:p w14:paraId="6C5A0FCA" w14:textId="1A8F3511" w:rsidR="002D2246" w:rsidRPr="00FD50F6" w:rsidRDefault="002D2246" w:rsidP="002D2246">
      <w:pPr>
        <w:pStyle w:val="30"/>
      </w:pPr>
      <w:r w:rsidRPr="00FD50F6">
        <w:t>对直流牵引馈线的短路故障及异常运行应设置下列基本保护</w:t>
      </w:r>
      <w:r w:rsidRPr="00FD50F6">
        <w:rPr>
          <w:rFonts w:hint="eastAsia"/>
        </w:rPr>
        <w:t>：</w:t>
      </w:r>
    </w:p>
    <w:p w14:paraId="561CB104" w14:textId="77777777" w:rsidR="002D2246" w:rsidRPr="00FD50F6" w:rsidRDefault="002D2246" w:rsidP="00A926BD">
      <w:pPr>
        <w:pStyle w:val="4"/>
      </w:pPr>
      <w:r w:rsidRPr="00FD50F6">
        <w:t>大电流短路断路器直接跳闸；</w:t>
      </w:r>
    </w:p>
    <w:p w14:paraId="25BFD161" w14:textId="77777777" w:rsidR="002D2246" w:rsidRPr="00FD50F6" w:rsidRDefault="002D2246" w:rsidP="00A926BD">
      <w:pPr>
        <w:pStyle w:val="4"/>
      </w:pPr>
      <w:r w:rsidRPr="00FD50F6">
        <w:t>过电流保护；</w:t>
      </w:r>
    </w:p>
    <w:p w14:paraId="4AD0316E" w14:textId="77777777" w:rsidR="002D2246" w:rsidRPr="00FD50F6" w:rsidRDefault="002D2246" w:rsidP="00A926BD">
      <w:pPr>
        <w:pStyle w:val="4"/>
      </w:pPr>
      <w:r w:rsidRPr="00FD50F6">
        <w:t>电流变化率及其增量保护；</w:t>
      </w:r>
    </w:p>
    <w:p w14:paraId="300535D5" w14:textId="77777777" w:rsidR="002D2246" w:rsidRPr="00FD50F6" w:rsidRDefault="002D2246" w:rsidP="00A926BD">
      <w:pPr>
        <w:pStyle w:val="4"/>
      </w:pPr>
      <w:r w:rsidRPr="00FD50F6">
        <w:t>双边联跳保护。</w:t>
      </w:r>
    </w:p>
    <w:p w14:paraId="52EF034B" w14:textId="77777777" w:rsidR="002D2246" w:rsidRPr="00FD50F6" w:rsidRDefault="002D2246" w:rsidP="002D2246">
      <w:pPr>
        <w:pStyle w:val="30"/>
      </w:pPr>
      <w:r w:rsidRPr="00FD50F6">
        <w:rPr>
          <w:lang w:eastAsia="x-none"/>
        </w:rPr>
        <w:t>直流牵引供电设备应设置框架保护</w:t>
      </w:r>
      <w:r w:rsidRPr="00FD50F6">
        <w:rPr>
          <w:rFonts w:hint="eastAsia"/>
        </w:rPr>
        <w:t>，框架保护的电流元件应动作于跳闸，</w:t>
      </w:r>
      <w:r w:rsidRPr="00FD50F6">
        <w:rPr>
          <w:rFonts w:hint="eastAsia"/>
        </w:rPr>
        <w:lastRenderedPageBreak/>
        <w:t>电压元件应动作于报警</w:t>
      </w:r>
      <w:r w:rsidRPr="00FD50F6">
        <w:rPr>
          <w:lang w:eastAsia="x-none"/>
        </w:rPr>
        <w:t>。</w:t>
      </w:r>
    </w:p>
    <w:p w14:paraId="365E490F" w14:textId="77777777" w:rsidR="002D2246" w:rsidRPr="00FD50F6" w:rsidRDefault="002D2246" w:rsidP="002D2246">
      <w:pPr>
        <w:pStyle w:val="30"/>
      </w:pPr>
      <w:r w:rsidRPr="00FD50F6">
        <w:t>直流牵引馈线开关应具有在线检测的自动重合闸功能。</w:t>
      </w:r>
    </w:p>
    <w:p w14:paraId="5A25A51B" w14:textId="77777777" w:rsidR="002D2246" w:rsidRPr="00FD50F6" w:rsidRDefault="002D2246" w:rsidP="002D2246">
      <w:pPr>
        <w:pStyle w:val="30"/>
      </w:pPr>
      <w:r w:rsidRPr="00FD50F6">
        <w:t>变压器的中压配电回路宜设置操作过电压吸收装置。</w:t>
      </w:r>
    </w:p>
    <w:p w14:paraId="713BE2C9" w14:textId="77777777" w:rsidR="002D2246" w:rsidRPr="00FD50F6" w:rsidRDefault="002D2246" w:rsidP="002D2246">
      <w:pPr>
        <w:pStyle w:val="30"/>
      </w:pPr>
      <w:r w:rsidRPr="00FD50F6">
        <w:t>地上牵引变电所及与地上相邻的地下牵引变电所，每路直流馈线及负母线应设置雷电过电压吸收装置。</w:t>
      </w:r>
    </w:p>
    <w:p w14:paraId="21781B07" w14:textId="02F39111" w:rsidR="002D2246" w:rsidRPr="00FD50F6" w:rsidRDefault="002D2246" w:rsidP="002D2246">
      <w:pPr>
        <w:pStyle w:val="30"/>
      </w:pPr>
      <w:r w:rsidRPr="00FD50F6">
        <w:t>地上变电所配电变压器的高低压侧应设置避雷器或浪涌保护器。</w:t>
      </w:r>
    </w:p>
    <w:p w14:paraId="17B1A580" w14:textId="5510DC04" w:rsidR="002D2246" w:rsidRPr="00FD50F6" w:rsidRDefault="002D2246" w:rsidP="002D2246">
      <w:pPr>
        <w:pStyle w:val="30"/>
      </w:pPr>
      <w:r w:rsidRPr="00FD50F6">
        <w:t>过电压保护应符合现行</w:t>
      </w:r>
      <w:r w:rsidRPr="00FD50F6">
        <w:rPr>
          <w:rFonts w:hint="eastAsia"/>
        </w:rPr>
        <w:t>国家</w:t>
      </w:r>
      <w:r w:rsidRPr="00FD50F6">
        <w:t>标准《交流电气装置的过电压保护和绝缘配合</w:t>
      </w:r>
      <w:r w:rsidRPr="00FD50F6">
        <w:rPr>
          <w:rFonts w:hint="eastAsia"/>
        </w:rPr>
        <w:t>设计规范</w:t>
      </w:r>
      <w:r w:rsidRPr="00FD50F6">
        <w:t>》</w:t>
      </w:r>
      <w:r w:rsidRPr="00FD50F6">
        <w:rPr>
          <w:rFonts w:hint="eastAsia"/>
        </w:rPr>
        <w:t>GB/T</w:t>
      </w:r>
      <w:r w:rsidRPr="00FD50F6">
        <w:t xml:space="preserve"> </w:t>
      </w:r>
      <w:r w:rsidRPr="00FD50F6">
        <w:rPr>
          <w:rFonts w:hint="eastAsia"/>
        </w:rPr>
        <w:t>50064</w:t>
      </w:r>
      <w:r w:rsidRPr="00FD50F6">
        <w:t>的规定。</w:t>
      </w:r>
    </w:p>
    <w:p w14:paraId="1526DDB2" w14:textId="77777777" w:rsidR="002D2246" w:rsidRPr="00FD50F6" w:rsidRDefault="002D2246" w:rsidP="002D2246">
      <w:pPr>
        <w:pStyle w:val="30"/>
      </w:pPr>
      <w:r w:rsidRPr="00FD50F6">
        <w:t>变电所设计应满足电力监控系统的要求。</w:t>
      </w:r>
    </w:p>
    <w:p w14:paraId="0F13A000" w14:textId="77777777" w:rsidR="002D2246" w:rsidRPr="00FD50F6" w:rsidRDefault="002D2246" w:rsidP="002D2246">
      <w:pPr>
        <w:pStyle w:val="30"/>
      </w:pPr>
      <w:r w:rsidRPr="00FD50F6">
        <w:t>变电所综合自动化装置应具备下列基本功能：</w:t>
      </w:r>
    </w:p>
    <w:p w14:paraId="7EEDEB86" w14:textId="77777777" w:rsidR="002D2246" w:rsidRPr="00FD50F6" w:rsidRDefault="002D2246" w:rsidP="00A926BD">
      <w:pPr>
        <w:pStyle w:val="4"/>
      </w:pPr>
      <w:r w:rsidRPr="00FD50F6">
        <w:t>保护、控制、信号、测量；</w:t>
      </w:r>
    </w:p>
    <w:p w14:paraId="0871777B" w14:textId="77777777" w:rsidR="002D2246" w:rsidRPr="00FD50F6" w:rsidRDefault="002D2246" w:rsidP="00A926BD">
      <w:pPr>
        <w:pStyle w:val="4"/>
      </w:pPr>
      <w:r w:rsidRPr="00FD50F6">
        <w:t>电源自动转接；</w:t>
      </w:r>
    </w:p>
    <w:p w14:paraId="040170A5" w14:textId="71B3038E" w:rsidR="002D2246" w:rsidRPr="00FD50F6" w:rsidRDefault="002D2246" w:rsidP="00A926BD">
      <w:pPr>
        <w:pStyle w:val="4"/>
      </w:pPr>
      <w:r w:rsidRPr="00FD50F6">
        <w:t>安全联锁；</w:t>
      </w:r>
    </w:p>
    <w:p w14:paraId="464B1DF1" w14:textId="77777777" w:rsidR="002D2246" w:rsidRPr="00FD50F6" w:rsidRDefault="002D2246" w:rsidP="00A926BD">
      <w:pPr>
        <w:pStyle w:val="4"/>
      </w:pPr>
      <w:r w:rsidRPr="00FD50F6">
        <w:t>程序操作；</w:t>
      </w:r>
    </w:p>
    <w:p w14:paraId="4AC882A3" w14:textId="77777777" w:rsidR="002D2246" w:rsidRPr="00FD50F6" w:rsidRDefault="002D2246" w:rsidP="00A926BD">
      <w:pPr>
        <w:pStyle w:val="4"/>
      </w:pPr>
      <w:r w:rsidRPr="00FD50F6">
        <w:t>装置故障自检；</w:t>
      </w:r>
    </w:p>
    <w:p w14:paraId="09488A20" w14:textId="77777777" w:rsidR="002D2246" w:rsidRPr="00FD50F6" w:rsidRDefault="002D2246" w:rsidP="00A926BD">
      <w:pPr>
        <w:pStyle w:val="4"/>
      </w:pPr>
      <w:r w:rsidRPr="00FD50F6">
        <w:t>开放的通信协议及接口。</w:t>
      </w:r>
    </w:p>
    <w:p w14:paraId="3EE7981C" w14:textId="7B9C50EC" w:rsidR="002D2246" w:rsidRPr="00FD50F6" w:rsidRDefault="002D2246" w:rsidP="002D2246">
      <w:pPr>
        <w:pStyle w:val="30"/>
      </w:pPr>
      <w:r w:rsidRPr="00FD50F6">
        <w:rPr>
          <w:rFonts w:hint="eastAsia"/>
        </w:rPr>
        <w:t>当变电所设备分层布置、变压器与中压开关设备不同层时，应设置变压器检修用中压负荷开关或隔离开关。</w:t>
      </w:r>
    </w:p>
    <w:p w14:paraId="55C343A3" w14:textId="4F6F5585" w:rsidR="002D2246" w:rsidRPr="00FD50F6" w:rsidRDefault="002D2246" w:rsidP="002D2246">
      <w:pPr>
        <w:pStyle w:val="30"/>
      </w:pPr>
      <w:r w:rsidRPr="00FD50F6">
        <w:rPr>
          <w:rFonts w:hint="eastAsia"/>
        </w:rPr>
        <w:t>变压器、整流器防护外壳及非封闭变压器的围栏门应与相关断路器联锁。</w:t>
      </w:r>
    </w:p>
    <w:p w14:paraId="3F069969" w14:textId="77777777" w:rsidR="002D2246" w:rsidRPr="00FD50F6" w:rsidRDefault="002D2246" w:rsidP="002D2246">
      <w:pPr>
        <w:pStyle w:val="30"/>
      </w:pPr>
      <w:r w:rsidRPr="00FD50F6">
        <w:rPr>
          <w:rFonts w:hint="eastAsia"/>
        </w:rPr>
        <w:t>与变电所无关的管线不应进入变电所，</w:t>
      </w:r>
      <w:r w:rsidRPr="00FD50F6">
        <w:rPr>
          <w:rFonts w:hint="eastAsia"/>
          <w:lang w:eastAsia="x-none"/>
        </w:rPr>
        <w:t>变电所</w:t>
      </w:r>
      <w:r w:rsidRPr="00FD50F6">
        <w:rPr>
          <w:rFonts w:hint="eastAsia"/>
        </w:rPr>
        <w:t>内</w:t>
      </w:r>
      <w:r w:rsidRPr="00FD50F6">
        <w:rPr>
          <w:rFonts w:hint="eastAsia"/>
          <w:lang w:eastAsia="x-none"/>
        </w:rPr>
        <w:t>通风管道</w:t>
      </w:r>
      <w:r w:rsidRPr="00FD50F6">
        <w:rPr>
          <w:rFonts w:hint="eastAsia"/>
        </w:rPr>
        <w:t>等管线</w:t>
      </w:r>
      <w:r w:rsidRPr="00FD50F6">
        <w:rPr>
          <w:rFonts w:hint="eastAsia"/>
          <w:lang w:eastAsia="x-none"/>
        </w:rPr>
        <w:t>不应设在供电设备正上方。</w:t>
      </w:r>
    </w:p>
    <w:p w14:paraId="7B3818C6" w14:textId="18AFB357" w:rsidR="002D2246" w:rsidRPr="00FD50F6" w:rsidRDefault="002D2246" w:rsidP="002D2246">
      <w:pPr>
        <w:pStyle w:val="30"/>
      </w:pPr>
      <w:r w:rsidRPr="00FD50F6">
        <w:rPr>
          <w:rFonts w:hint="eastAsia"/>
        </w:rPr>
        <w:t>当低压配电系统的配电线路绝缘损坏发生接地故障，且接地故障产生的接地电弧将引起火灾危险时，应设置剩余电流火灾监测系统，并应动作于报警</w:t>
      </w:r>
    </w:p>
    <w:p w14:paraId="321B56A5" w14:textId="77777777" w:rsidR="002D2246" w:rsidRPr="00FD50F6" w:rsidRDefault="002D2246" w:rsidP="00A65181">
      <w:pPr>
        <w:pStyle w:val="2"/>
      </w:pPr>
      <w:bookmarkStart w:id="613" w:name="_Toc236494101"/>
      <w:bookmarkStart w:id="614" w:name="_Toc236717297"/>
      <w:bookmarkStart w:id="615" w:name="_Toc306206750"/>
      <w:bookmarkStart w:id="616" w:name="_Toc320196035"/>
      <w:bookmarkStart w:id="617" w:name="_Toc320643425"/>
      <w:bookmarkStart w:id="618" w:name="_Toc344218786"/>
      <w:bookmarkStart w:id="619" w:name="_Toc112830757"/>
      <w:r w:rsidRPr="00FD50F6">
        <w:t>牵引网</w:t>
      </w:r>
      <w:bookmarkEnd w:id="613"/>
      <w:bookmarkEnd w:id="614"/>
      <w:bookmarkEnd w:id="615"/>
      <w:bookmarkEnd w:id="616"/>
      <w:bookmarkEnd w:id="617"/>
      <w:bookmarkEnd w:id="618"/>
      <w:bookmarkEnd w:id="619"/>
    </w:p>
    <w:p w14:paraId="5DD7D560" w14:textId="77777777" w:rsidR="002D2246" w:rsidRPr="00FD50F6" w:rsidRDefault="002D2246" w:rsidP="002D2246">
      <w:pPr>
        <w:pStyle w:val="30"/>
      </w:pPr>
      <w:r w:rsidRPr="00FD50F6">
        <w:t>牵引网应由接触网与回流网构成。</w:t>
      </w:r>
    </w:p>
    <w:p w14:paraId="3C21B11F" w14:textId="1E821966" w:rsidR="002D2246" w:rsidRPr="00FD50F6" w:rsidRDefault="002D2246" w:rsidP="002D2246">
      <w:pPr>
        <w:pStyle w:val="30"/>
      </w:pPr>
      <w:r w:rsidRPr="00FD50F6">
        <w:t>接触轨和架空接触网应符合下列规定：</w:t>
      </w:r>
    </w:p>
    <w:p w14:paraId="7394C5A7" w14:textId="444A15B9" w:rsidR="002D2246" w:rsidRPr="00FD50F6" w:rsidRDefault="002D2246" w:rsidP="00A926BD">
      <w:pPr>
        <w:pStyle w:val="4"/>
      </w:pPr>
      <w:r w:rsidRPr="00FD50F6">
        <w:t>接触轨可按接触授流位置分为上部授流方式、下部授流方式和侧部授流方式。接触轨应采用钢铝复合材料等低电阻率产品</w:t>
      </w:r>
      <w:r w:rsidRPr="00FD50F6">
        <w:rPr>
          <w:rFonts w:hint="eastAsia"/>
        </w:rPr>
        <w:t>。</w:t>
      </w:r>
    </w:p>
    <w:p w14:paraId="2D6F9E3E" w14:textId="0A2E7AA9" w:rsidR="002D2246" w:rsidRPr="00FD50F6" w:rsidRDefault="002D2246" w:rsidP="00A926BD">
      <w:pPr>
        <w:pStyle w:val="4"/>
      </w:pPr>
      <w:r w:rsidRPr="00FD50F6">
        <w:lastRenderedPageBreak/>
        <w:t>架空接触网可按接触悬挂方式分为柔性架空接触网和刚性架空接触网。接触线应采用铜或铜合金接触线</w:t>
      </w:r>
      <w:r w:rsidRPr="00FD50F6">
        <w:rPr>
          <w:rFonts w:hint="eastAsia"/>
        </w:rPr>
        <w:t>。</w:t>
      </w:r>
    </w:p>
    <w:p w14:paraId="2E166CB1" w14:textId="708C3F07" w:rsidR="002D2246" w:rsidRPr="00FD50F6" w:rsidRDefault="002D2246" w:rsidP="00A926BD">
      <w:pPr>
        <w:pStyle w:val="4"/>
      </w:pPr>
      <w:r w:rsidRPr="00FD50F6">
        <w:rPr>
          <w:rFonts w:hint="eastAsia"/>
        </w:rPr>
        <w:t>接触网零部件的选用应符合其运行特点和环境要求，当采用不同金属材质的零部件实施安装配合时，应有防止电化学腐蚀的措施。</w:t>
      </w:r>
    </w:p>
    <w:p w14:paraId="2D5496AC" w14:textId="32E2281C" w:rsidR="002D2246" w:rsidRPr="00FD50F6" w:rsidRDefault="002D2246" w:rsidP="002D2246">
      <w:pPr>
        <w:pStyle w:val="30"/>
      </w:pPr>
      <w:r w:rsidRPr="00FD50F6">
        <w:rPr>
          <w:rFonts w:hint="eastAsia"/>
        </w:rPr>
        <w:t>接触网带电部分和混凝土结构体、轨旁设备、车体之间的最小净距应符合表</w:t>
      </w:r>
      <w:r w:rsidR="00232AC3" w:rsidRPr="00FD50F6">
        <w:t>16</w:t>
      </w:r>
      <w:r w:rsidRPr="00FD50F6">
        <w:t>.3.3</w:t>
      </w:r>
      <w:r w:rsidRPr="00FD50F6">
        <w:rPr>
          <w:rFonts w:hint="eastAsia"/>
        </w:rPr>
        <w:t>的规定。</w:t>
      </w:r>
    </w:p>
    <w:p w14:paraId="21250C31" w14:textId="292980D5" w:rsidR="002D2246" w:rsidRPr="00FD50F6" w:rsidRDefault="002D2246" w:rsidP="002D2246">
      <w:pPr>
        <w:pStyle w:val="6"/>
      </w:pPr>
      <w:r w:rsidRPr="00FD50F6">
        <w:rPr>
          <w:rFonts w:hint="eastAsia"/>
        </w:rPr>
        <w:t>表</w:t>
      </w:r>
      <w:r w:rsidR="00232AC3" w:rsidRPr="00FD50F6">
        <w:t>16</w:t>
      </w:r>
      <w:r w:rsidRPr="00FD50F6">
        <w:t xml:space="preserve">.3.3-1  </w:t>
      </w:r>
      <w:r w:rsidRPr="00FD50F6">
        <w:rPr>
          <w:rFonts w:hint="eastAsia"/>
        </w:rPr>
        <w:t>接触轨带电部分和混凝土结构体、轨旁设备、车体之间的最小净距</w:t>
      </w:r>
      <w:r w:rsidRPr="00FD50F6">
        <w:t xml:space="preserve">(mm)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3102"/>
        <w:gridCol w:w="3102"/>
      </w:tblGrid>
      <w:tr w:rsidR="00FD50F6" w:rsidRPr="00FD50F6" w14:paraId="16A9DE2A" w14:textId="77777777" w:rsidTr="000831EC">
        <w:trPr>
          <w:trHeight w:hRule="exact" w:val="397"/>
          <w:jc w:val="center"/>
        </w:trPr>
        <w:tc>
          <w:tcPr>
            <w:tcW w:w="2068" w:type="dxa"/>
            <w:vAlign w:val="center"/>
          </w:tcPr>
          <w:p w14:paraId="2551871F" w14:textId="77777777" w:rsidR="002D2246" w:rsidRPr="00FD50F6" w:rsidRDefault="002D2246" w:rsidP="000831EC">
            <w:pPr>
              <w:pStyle w:val="7"/>
            </w:pPr>
            <w:r w:rsidRPr="00FD50F6">
              <w:rPr>
                <w:rFonts w:hint="eastAsia"/>
              </w:rPr>
              <w:t>标称电压</w:t>
            </w:r>
          </w:p>
        </w:tc>
        <w:tc>
          <w:tcPr>
            <w:tcW w:w="3102" w:type="dxa"/>
            <w:vAlign w:val="center"/>
          </w:tcPr>
          <w:p w14:paraId="43B98980" w14:textId="77777777" w:rsidR="002D2246" w:rsidRPr="00FD50F6" w:rsidRDefault="002D2246" w:rsidP="000831EC">
            <w:pPr>
              <w:pStyle w:val="7"/>
            </w:pPr>
            <w:r w:rsidRPr="00FD50F6">
              <w:rPr>
                <w:rFonts w:hint="eastAsia"/>
              </w:rPr>
              <w:t>静态</w:t>
            </w:r>
          </w:p>
        </w:tc>
        <w:tc>
          <w:tcPr>
            <w:tcW w:w="3102" w:type="dxa"/>
            <w:vAlign w:val="center"/>
          </w:tcPr>
          <w:p w14:paraId="3FDCDA27" w14:textId="77777777" w:rsidR="002D2246" w:rsidRPr="00FD50F6" w:rsidRDefault="002D2246" w:rsidP="000831EC">
            <w:pPr>
              <w:pStyle w:val="7"/>
            </w:pPr>
            <w:r w:rsidRPr="00FD50F6">
              <w:rPr>
                <w:rFonts w:hint="eastAsia"/>
              </w:rPr>
              <w:t>动态</w:t>
            </w:r>
          </w:p>
        </w:tc>
      </w:tr>
      <w:tr w:rsidR="00FD50F6" w:rsidRPr="00FD50F6" w14:paraId="2802A38D" w14:textId="77777777" w:rsidTr="000831EC">
        <w:trPr>
          <w:trHeight w:hRule="exact" w:val="397"/>
          <w:jc w:val="center"/>
        </w:trPr>
        <w:tc>
          <w:tcPr>
            <w:tcW w:w="2068" w:type="dxa"/>
            <w:vAlign w:val="center"/>
          </w:tcPr>
          <w:p w14:paraId="0DBCBC7D" w14:textId="77777777" w:rsidR="002D2246" w:rsidRPr="00FD50F6" w:rsidRDefault="002D2246" w:rsidP="000831EC">
            <w:pPr>
              <w:pStyle w:val="7"/>
            </w:pPr>
            <w:r w:rsidRPr="00FD50F6">
              <w:rPr>
                <w:rFonts w:hint="eastAsia"/>
              </w:rPr>
              <w:t>直流</w:t>
            </w:r>
            <w:r w:rsidRPr="00FD50F6">
              <w:t>750V</w:t>
            </w:r>
          </w:p>
        </w:tc>
        <w:tc>
          <w:tcPr>
            <w:tcW w:w="3102" w:type="dxa"/>
            <w:vAlign w:val="center"/>
          </w:tcPr>
          <w:p w14:paraId="1C97C8FA" w14:textId="77777777" w:rsidR="002D2246" w:rsidRPr="00FD50F6" w:rsidRDefault="002D2246" w:rsidP="000831EC">
            <w:pPr>
              <w:pStyle w:val="7"/>
            </w:pPr>
            <w:r w:rsidRPr="00FD50F6">
              <w:rPr>
                <w:rFonts w:hint="eastAsia"/>
              </w:rPr>
              <w:t>25</w:t>
            </w:r>
          </w:p>
        </w:tc>
        <w:tc>
          <w:tcPr>
            <w:tcW w:w="3102" w:type="dxa"/>
            <w:vAlign w:val="center"/>
          </w:tcPr>
          <w:p w14:paraId="0605CFD4" w14:textId="77777777" w:rsidR="002D2246" w:rsidRPr="00FD50F6" w:rsidRDefault="002D2246" w:rsidP="000831EC">
            <w:pPr>
              <w:pStyle w:val="7"/>
            </w:pPr>
            <w:r w:rsidRPr="00FD50F6">
              <w:rPr>
                <w:rFonts w:hint="eastAsia"/>
              </w:rPr>
              <w:t>25</w:t>
            </w:r>
          </w:p>
        </w:tc>
      </w:tr>
      <w:tr w:rsidR="002D2246" w:rsidRPr="00FD50F6" w14:paraId="1DA8D59B" w14:textId="77777777" w:rsidTr="000831EC">
        <w:trPr>
          <w:trHeight w:hRule="exact" w:val="397"/>
          <w:jc w:val="center"/>
        </w:trPr>
        <w:tc>
          <w:tcPr>
            <w:tcW w:w="2068" w:type="dxa"/>
            <w:vAlign w:val="center"/>
          </w:tcPr>
          <w:p w14:paraId="08492028" w14:textId="77777777" w:rsidR="002D2246" w:rsidRPr="00FD50F6" w:rsidRDefault="002D2246" w:rsidP="000831EC">
            <w:pPr>
              <w:pStyle w:val="7"/>
            </w:pPr>
            <w:r w:rsidRPr="00FD50F6">
              <w:rPr>
                <w:rFonts w:hint="eastAsia"/>
              </w:rPr>
              <w:t>直流</w:t>
            </w:r>
            <w:r w:rsidRPr="00FD50F6">
              <w:t>1500V</w:t>
            </w:r>
          </w:p>
        </w:tc>
        <w:tc>
          <w:tcPr>
            <w:tcW w:w="3102" w:type="dxa"/>
            <w:vAlign w:val="center"/>
          </w:tcPr>
          <w:p w14:paraId="78636064" w14:textId="77777777" w:rsidR="002D2246" w:rsidRPr="00FD50F6" w:rsidRDefault="002D2246" w:rsidP="000831EC">
            <w:pPr>
              <w:pStyle w:val="7"/>
            </w:pPr>
            <w:r w:rsidRPr="00FD50F6">
              <w:rPr>
                <w:rFonts w:hint="eastAsia"/>
              </w:rPr>
              <w:t>50</w:t>
            </w:r>
          </w:p>
        </w:tc>
        <w:tc>
          <w:tcPr>
            <w:tcW w:w="3102" w:type="dxa"/>
            <w:vAlign w:val="center"/>
          </w:tcPr>
          <w:p w14:paraId="1775CF92" w14:textId="77777777" w:rsidR="002D2246" w:rsidRPr="00FD50F6" w:rsidRDefault="002D2246" w:rsidP="000831EC">
            <w:pPr>
              <w:pStyle w:val="7"/>
            </w:pPr>
            <w:r w:rsidRPr="00FD50F6">
              <w:t>50</w:t>
            </w:r>
          </w:p>
        </w:tc>
      </w:tr>
    </w:tbl>
    <w:p w14:paraId="71174C4F" w14:textId="77777777" w:rsidR="002D2246" w:rsidRPr="00FD50F6" w:rsidRDefault="002D2246" w:rsidP="002D2246">
      <w:pPr>
        <w:pStyle w:val="6"/>
      </w:pPr>
    </w:p>
    <w:p w14:paraId="25D76AF6" w14:textId="384029DF" w:rsidR="002D2246" w:rsidRPr="00FD50F6" w:rsidRDefault="002D2246" w:rsidP="002D2246">
      <w:pPr>
        <w:pStyle w:val="6"/>
      </w:pPr>
      <w:r w:rsidRPr="00FD50F6">
        <w:rPr>
          <w:rFonts w:hint="eastAsia"/>
        </w:rPr>
        <w:t>表</w:t>
      </w:r>
      <w:r w:rsidR="00232AC3" w:rsidRPr="00FD50F6">
        <w:t>16</w:t>
      </w:r>
      <w:r w:rsidRPr="00FD50F6">
        <w:t xml:space="preserve">.3.3-2  </w:t>
      </w:r>
      <w:r w:rsidRPr="00FD50F6">
        <w:t>架空</w:t>
      </w:r>
      <w:r w:rsidRPr="00FD50F6">
        <w:rPr>
          <w:rFonts w:hint="eastAsia"/>
        </w:rPr>
        <w:t>接触网带电部分和混凝土结构体、轨旁设备、车体之间的最小净距</w:t>
      </w:r>
      <w:r w:rsidRPr="00FD50F6">
        <w:t>(mm)</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07"/>
        <w:gridCol w:w="3102"/>
      </w:tblGrid>
      <w:tr w:rsidR="00FD50F6" w:rsidRPr="00FD50F6" w14:paraId="71873160" w14:textId="77777777" w:rsidTr="00DB6B0C">
        <w:trPr>
          <w:trHeight w:hRule="exact" w:val="397"/>
          <w:jc w:val="center"/>
        </w:trPr>
        <w:tc>
          <w:tcPr>
            <w:tcW w:w="2263" w:type="dxa"/>
            <w:vAlign w:val="center"/>
          </w:tcPr>
          <w:p w14:paraId="542F275F" w14:textId="77777777" w:rsidR="002D2246" w:rsidRPr="00FD50F6" w:rsidRDefault="002D2246" w:rsidP="000831EC">
            <w:pPr>
              <w:pStyle w:val="7"/>
            </w:pPr>
            <w:r w:rsidRPr="00FD50F6">
              <w:rPr>
                <w:rFonts w:hint="eastAsia"/>
              </w:rPr>
              <w:t>标称电压</w:t>
            </w:r>
          </w:p>
        </w:tc>
        <w:tc>
          <w:tcPr>
            <w:tcW w:w="2907" w:type="dxa"/>
            <w:vAlign w:val="center"/>
          </w:tcPr>
          <w:p w14:paraId="300656B5" w14:textId="77777777" w:rsidR="002D2246" w:rsidRPr="00FD50F6" w:rsidRDefault="002D2246" w:rsidP="000831EC">
            <w:pPr>
              <w:pStyle w:val="7"/>
            </w:pPr>
            <w:r w:rsidRPr="00FD50F6">
              <w:rPr>
                <w:rFonts w:hint="eastAsia"/>
              </w:rPr>
              <w:t>静态</w:t>
            </w:r>
          </w:p>
        </w:tc>
        <w:tc>
          <w:tcPr>
            <w:tcW w:w="3102" w:type="dxa"/>
            <w:vAlign w:val="center"/>
          </w:tcPr>
          <w:p w14:paraId="7E392681" w14:textId="77777777" w:rsidR="002D2246" w:rsidRPr="00FD50F6" w:rsidRDefault="002D2246" w:rsidP="000831EC">
            <w:pPr>
              <w:pStyle w:val="7"/>
            </w:pPr>
            <w:r w:rsidRPr="00FD50F6">
              <w:rPr>
                <w:rFonts w:hint="eastAsia"/>
              </w:rPr>
              <w:t>动态</w:t>
            </w:r>
          </w:p>
        </w:tc>
      </w:tr>
      <w:tr w:rsidR="00FD50F6" w:rsidRPr="00FD50F6" w14:paraId="1843805B" w14:textId="77777777" w:rsidTr="00DB6B0C">
        <w:trPr>
          <w:trHeight w:hRule="exact" w:val="397"/>
          <w:jc w:val="center"/>
        </w:trPr>
        <w:tc>
          <w:tcPr>
            <w:tcW w:w="2263" w:type="dxa"/>
            <w:vAlign w:val="center"/>
          </w:tcPr>
          <w:p w14:paraId="6A7E1C4B" w14:textId="77777777" w:rsidR="002D2246" w:rsidRPr="00FD50F6" w:rsidRDefault="002D2246" w:rsidP="000831EC">
            <w:pPr>
              <w:pStyle w:val="7"/>
            </w:pPr>
            <w:r w:rsidRPr="00FD50F6">
              <w:rPr>
                <w:rFonts w:hint="eastAsia"/>
              </w:rPr>
              <w:t>直流</w:t>
            </w:r>
            <w:r w:rsidRPr="00FD50F6">
              <w:rPr>
                <w:rFonts w:hint="eastAsia"/>
              </w:rPr>
              <w:t>750V</w:t>
            </w:r>
          </w:p>
        </w:tc>
        <w:tc>
          <w:tcPr>
            <w:tcW w:w="2907" w:type="dxa"/>
            <w:vAlign w:val="center"/>
          </w:tcPr>
          <w:p w14:paraId="03106329" w14:textId="77777777" w:rsidR="002D2246" w:rsidRPr="00FD50F6" w:rsidRDefault="002D2246" w:rsidP="000831EC">
            <w:pPr>
              <w:pStyle w:val="7"/>
            </w:pPr>
            <w:r w:rsidRPr="00FD50F6">
              <w:rPr>
                <w:rFonts w:hint="eastAsia"/>
              </w:rPr>
              <w:t>100</w:t>
            </w:r>
          </w:p>
        </w:tc>
        <w:tc>
          <w:tcPr>
            <w:tcW w:w="3102" w:type="dxa"/>
            <w:vAlign w:val="center"/>
          </w:tcPr>
          <w:p w14:paraId="26B8BD50" w14:textId="77777777" w:rsidR="002D2246" w:rsidRPr="00FD50F6" w:rsidRDefault="002D2246" w:rsidP="000831EC">
            <w:pPr>
              <w:pStyle w:val="7"/>
            </w:pPr>
            <w:r w:rsidRPr="00FD50F6">
              <w:rPr>
                <w:rFonts w:hint="eastAsia"/>
              </w:rPr>
              <w:t>50</w:t>
            </w:r>
          </w:p>
        </w:tc>
      </w:tr>
      <w:tr w:rsidR="00FD50F6" w:rsidRPr="00FD50F6" w14:paraId="4C94A57E" w14:textId="77777777" w:rsidTr="00DB6B0C">
        <w:trPr>
          <w:trHeight w:hRule="exact" w:val="393"/>
          <w:jc w:val="center"/>
        </w:trPr>
        <w:tc>
          <w:tcPr>
            <w:tcW w:w="2263" w:type="dxa"/>
            <w:vAlign w:val="center"/>
          </w:tcPr>
          <w:p w14:paraId="709FE8D0" w14:textId="77777777" w:rsidR="002D2246" w:rsidRPr="00FD50F6" w:rsidRDefault="002D2246" w:rsidP="001A4CF3">
            <w:pPr>
              <w:pStyle w:val="7"/>
              <w:jc w:val="both"/>
            </w:pPr>
            <w:r w:rsidRPr="00FD50F6">
              <w:rPr>
                <w:rFonts w:hint="eastAsia"/>
              </w:rPr>
              <w:t>直流</w:t>
            </w:r>
            <w:r w:rsidRPr="00FD50F6">
              <w:rPr>
                <w:rFonts w:hint="eastAsia"/>
              </w:rPr>
              <w:t>1</w:t>
            </w:r>
            <w:r w:rsidRPr="00FD50F6">
              <w:t>50</w:t>
            </w:r>
            <w:r w:rsidRPr="00FD50F6">
              <w:rPr>
                <w:rFonts w:hint="eastAsia"/>
              </w:rPr>
              <w:t>0</w:t>
            </w:r>
            <w:r w:rsidRPr="00FD50F6">
              <w:t>V</w:t>
            </w:r>
            <w:r w:rsidRPr="00FD50F6">
              <w:rPr>
                <w:rFonts w:hint="eastAsia"/>
              </w:rPr>
              <w:t>（刚性）</w:t>
            </w:r>
          </w:p>
        </w:tc>
        <w:tc>
          <w:tcPr>
            <w:tcW w:w="2907" w:type="dxa"/>
            <w:vAlign w:val="center"/>
          </w:tcPr>
          <w:p w14:paraId="41B377E3" w14:textId="77777777" w:rsidR="002D2246" w:rsidRPr="00FD50F6" w:rsidRDefault="002D2246" w:rsidP="000831EC">
            <w:pPr>
              <w:pStyle w:val="7"/>
            </w:pPr>
            <w:r w:rsidRPr="00FD50F6">
              <w:rPr>
                <w:rFonts w:hint="eastAsia"/>
              </w:rPr>
              <w:t>100</w:t>
            </w:r>
          </w:p>
        </w:tc>
        <w:tc>
          <w:tcPr>
            <w:tcW w:w="3102" w:type="dxa"/>
            <w:vAlign w:val="center"/>
          </w:tcPr>
          <w:p w14:paraId="1D0B10EA" w14:textId="77777777" w:rsidR="002D2246" w:rsidRPr="00FD50F6" w:rsidRDefault="002D2246" w:rsidP="000831EC">
            <w:pPr>
              <w:pStyle w:val="7"/>
            </w:pPr>
            <w:r w:rsidRPr="00FD50F6">
              <w:rPr>
                <w:rFonts w:hint="eastAsia"/>
              </w:rPr>
              <w:t>50</w:t>
            </w:r>
          </w:p>
        </w:tc>
      </w:tr>
      <w:tr w:rsidR="00FD50F6" w:rsidRPr="00FD50F6" w14:paraId="3B7E64B2" w14:textId="77777777" w:rsidTr="00DB6B0C">
        <w:trPr>
          <w:trHeight w:hRule="exact" w:val="427"/>
          <w:jc w:val="center"/>
        </w:trPr>
        <w:tc>
          <w:tcPr>
            <w:tcW w:w="2263" w:type="dxa"/>
            <w:vAlign w:val="center"/>
          </w:tcPr>
          <w:p w14:paraId="7D9DAD5C" w14:textId="77777777" w:rsidR="002D2246" w:rsidRPr="00FD50F6" w:rsidRDefault="002D2246" w:rsidP="001A4CF3">
            <w:pPr>
              <w:pStyle w:val="7"/>
              <w:jc w:val="both"/>
            </w:pPr>
            <w:r w:rsidRPr="00FD50F6">
              <w:rPr>
                <w:rFonts w:hint="eastAsia"/>
              </w:rPr>
              <w:t>直流</w:t>
            </w:r>
            <w:r w:rsidRPr="00FD50F6">
              <w:t>1500V</w:t>
            </w:r>
            <w:r w:rsidRPr="00FD50F6">
              <w:rPr>
                <w:rFonts w:hint="eastAsia"/>
              </w:rPr>
              <w:t>（柔性）</w:t>
            </w:r>
          </w:p>
        </w:tc>
        <w:tc>
          <w:tcPr>
            <w:tcW w:w="2907" w:type="dxa"/>
            <w:vAlign w:val="center"/>
          </w:tcPr>
          <w:p w14:paraId="2510936A" w14:textId="77777777" w:rsidR="002D2246" w:rsidRPr="00FD50F6" w:rsidRDefault="002D2246" w:rsidP="000831EC">
            <w:pPr>
              <w:pStyle w:val="7"/>
            </w:pPr>
            <w:r w:rsidRPr="00FD50F6">
              <w:t>150</w:t>
            </w:r>
          </w:p>
        </w:tc>
        <w:tc>
          <w:tcPr>
            <w:tcW w:w="3102" w:type="dxa"/>
            <w:vAlign w:val="center"/>
          </w:tcPr>
          <w:p w14:paraId="07F4200E" w14:textId="77777777" w:rsidR="002D2246" w:rsidRPr="00FD50F6" w:rsidRDefault="002D2246" w:rsidP="000831EC">
            <w:pPr>
              <w:pStyle w:val="7"/>
            </w:pPr>
            <w:r w:rsidRPr="00FD50F6">
              <w:t>100</w:t>
            </w:r>
          </w:p>
        </w:tc>
      </w:tr>
    </w:tbl>
    <w:p w14:paraId="7AE9CF8F" w14:textId="77777777" w:rsidR="002D2246" w:rsidRPr="00FD50F6" w:rsidRDefault="002D2246" w:rsidP="002D2246">
      <w:pPr>
        <w:adjustRightInd w:val="0"/>
        <w:snapToGrid w:val="0"/>
        <w:rPr>
          <w:rFonts w:ascii="Times New Roman" w:hAnsi="Times New Roman" w:cs="Times New Roman"/>
          <w:sz w:val="21"/>
          <w:szCs w:val="24"/>
        </w:rPr>
      </w:pPr>
    </w:p>
    <w:p w14:paraId="76CCAB6A" w14:textId="77777777" w:rsidR="002D2246" w:rsidRPr="00FD50F6" w:rsidRDefault="002D2246" w:rsidP="002D2246">
      <w:pPr>
        <w:pStyle w:val="30"/>
      </w:pPr>
      <w:r w:rsidRPr="00FD50F6">
        <w:t>接触网的电分段</w:t>
      </w:r>
      <w:r w:rsidRPr="00FD50F6">
        <w:rPr>
          <w:rFonts w:hint="eastAsia"/>
        </w:rPr>
        <w:t>设置应符合运营管理需求，并</w:t>
      </w:r>
      <w:r w:rsidRPr="00FD50F6">
        <w:t>应设在下列位置：</w:t>
      </w:r>
    </w:p>
    <w:p w14:paraId="24D8F520" w14:textId="77777777" w:rsidR="002D2246" w:rsidRPr="00FD50F6" w:rsidRDefault="002D2246" w:rsidP="00A926BD">
      <w:pPr>
        <w:pStyle w:val="4"/>
      </w:pPr>
      <w:r w:rsidRPr="00FD50F6">
        <w:t>对车站牵引变电所，设在</w:t>
      </w:r>
      <w:r w:rsidRPr="00FD50F6">
        <w:rPr>
          <w:rFonts w:hint="eastAsia"/>
        </w:rPr>
        <w:t>牵引变电所</w:t>
      </w:r>
      <w:r w:rsidRPr="00FD50F6">
        <w:t>端；</w:t>
      </w:r>
    </w:p>
    <w:p w14:paraId="32408A98" w14:textId="77777777" w:rsidR="002D2246" w:rsidRPr="00FD50F6" w:rsidRDefault="002D2246" w:rsidP="00A926BD">
      <w:pPr>
        <w:pStyle w:val="4"/>
      </w:pPr>
      <w:r w:rsidRPr="00FD50F6">
        <w:t>对区间牵引变电所，设在变电所直流电缆出口处；</w:t>
      </w:r>
    </w:p>
    <w:p w14:paraId="7111A502" w14:textId="77777777" w:rsidR="002D2246" w:rsidRPr="00FD50F6" w:rsidRDefault="002D2246" w:rsidP="00A926BD">
      <w:pPr>
        <w:pStyle w:val="4"/>
      </w:pPr>
      <w:r w:rsidRPr="00FD50F6">
        <w:t>配线与正线的衔接处；</w:t>
      </w:r>
    </w:p>
    <w:p w14:paraId="4CF43BFB" w14:textId="77777777" w:rsidR="002D2246" w:rsidRPr="00FD50F6" w:rsidRDefault="002D2246" w:rsidP="00A926BD">
      <w:pPr>
        <w:pStyle w:val="4"/>
      </w:pPr>
      <w:r w:rsidRPr="00FD50F6">
        <w:rPr>
          <w:rFonts w:hint="eastAsia"/>
        </w:rPr>
        <w:t>不同线路的联络线处；</w:t>
      </w:r>
    </w:p>
    <w:p w14:paraId="50ADE892" w14:textId="77777777" w:rsidR="002D2246" w:rsidRPr="00FD50F6" w:rsidRDefault="002D2246" w:rsidP="00A926BD">
      <w:pPr>
        <w:pStyle w:val="4"/>
      </w:pPr>
      <w:r w:rsidRPr="00FD50F6">
        <w:t>车辆基地各电化库入口处</w:t>
      </w:r>
      <w:r w:rsidRPr="00FD50F6">
        <w:rPr>
          <w:rFonts w:hint="eastAsia"/>
        </w:rPr>
        <w:t>；</w:t>
      </w:r>
    </w:p>
    <w:p w14:paraId="3AC00175" w14:textId="77777777" w:rsidR="002D2246" w:rsidRPr="00FD50F6" w:rsidRDefault="002D2246" w:rsidP="00A926BD">
      <w:pPr>
        <w:pStyle w:val="4"/>
      </w:pPr>
      <w:r w:rsidRPr="00FD50F6">
        <w:rPr>
          <w:rFonts w:hint="eastAsia"/>
        </w:rPr>
        <w:t>车辆基地电化库内同股道各检修列位之间；</w:t>
      </w:r>
    </w:p>
    <w:p w14:paraId="7304A5DD" w14:textId="77777777" w:rsidR="002D2246" w:rsidRPr="00FD50F6" w:rsidRDefault="002D2246" w:rsidP="00A926BD">
      <w:pPr>
        <w:pStyle w:val="4"/>
      </w:pPr>
      <w:r w:rsidRPr="00FD50F6">
        <w:rPr>
          <w:rFonts w:hint="eastAsia"/>
        </w:rPr>
        <w:t>车辆基地场区线各供电分区之间。</w:t>
      </w:r>
    </w:p>
    <w:p w14:paraId="145C109D" w14:textId="77777777" w:rsidR="002D2246" w:rsidRPr="00FD50F6" w:rsidRDefault="002D2246" w:rsidP="002D2246">
      <w:pPr>
        <w:pStyle w:val="30"/>
      </w:pPr>
      <w:r w:rsidRPr="00FD50F6">
        <w:t>牵引变电所直流快速断路器至接触网间应设置</w:t>
      </w:r>
      <w:r w:rsidRPr="00FD50F6">
        <w:rPr>
          <w:rFonts w:hint="eastAsia"/>
        </w:rPr>
        <w:t>上网用</w:t>
      </w:r>
      <w:r w:rsidRPr="00FD50F6">
        <w:t>电动隔离开关。</w:t>
      </w:r>
    </w:p>
    <w:p w14:paraId="2AF61E4B" w14:textId="77777777" w:rsidR="002D2246" w:rsidRPr="00FD50F6" w:rsidRDefault="002D2246" w:rsidP="002D2246">
      <w:pPr>
        <w:pStyle w:val="30"/>
      </w:pPr>
      <w:r w:rsidRPr="00FD50F6">
        <w:t>当终端车站后面的折返线有停车检修作业时，其相应部分的接触网宜单独分段，并应设置</w:t>
      </w:r>
      <w:r w:rsidRPr="00FD50F6">
        <w:rPr>
          <w:rFonts w:hint="eastAsia"/>
        </w:rPr>
        <w:t>检修用</w:t>
      </w:r>
      <w:r w:rsidRPr="00FD50F6">
        <w:t>手动隔离开关。</w:t>
      </w:r>
    </w:p>
    <w:p w14:paraId="3EF4F31F" w14:textId="77777777" w:rsidR="002D2246" w:rsidRPr="00FD50F6" w:rsidRDefault="002D2246" w:rsidP="002D2246">
      <w:pPr>
        <w:pStyle w:val="30"/>
      </w:pPr>
      <w:r w:rsidRPr="00FD50F6">
        <w:t>设车辆检查坑并有夜间检修作业的折返线，其接触网应通过就地</w:t>
      </w:r>
      <w:r w:rsidRPr="00FD50F6">
        <w:rPr>
          <w:rFonts w:hint="eastAsia"/>
        </w:rPr>
        <w:t>检修用</w:t>
      </w:r>
      <w:r w:rsidRPr="00FD50F6">
        <w:t>的手动隔离开关供电。接触网应有主备两路电源，主电源应直接来自邻近牵引变电所，备用电源应来自一条正线接触网。</w:t>
      </w:r>
    </w:p>
    <w:p w14:paraId="561FB7DD" w14:textId="77777777" w:rsidR="002D2246" w:rsidRPr="00FD50F6" w:rsidRDefault="002D2246" w:rsidP="002D2246">
      <w:pPr>
        <w:pStyle w:val="30"/>
      </w:pPr>
      <w:r w:rsidRPr="00FD50F6">
        <w:t>不设车辆检查坑的折返线，其接触网供电应有主备两路电源，主备两路</w:t>
      </w:r>
      <w:r w:rsidRPr="00FD50F6">
        <w:lastRenderedPageBreak/>
        <w:t>电源分别通过</w:t>
      </w:r>
      <w:r w:rsidRPr="00FD50F6">
        <w:rPr>
          <w:rFonts w:hint="eastAsia"/>
        </w:rPr>
        <w:t>就地联络用</w:t>
      </w:r>
      <w:r w:rsidRPr="00FD50F6">
        <w:t>电动隔离开关接自上、下行的正线接触网。</w:t>
      </w:r>
    </w:p>
    <w:p w14:paraId="19DD7DB1" w14:textId="10931639" w:rsidR="002D2246" w:rsidRPr="00FD50F6" w:rsidRDefault="002D2246" w:rsidP="002D2246">
      <w:pPr>
        <w:pStyle w:val="30"/>
      </w:pPr>
      <w:r w:rsidRPr="00FD50F6">
        <w:t>车辆基地中的接触网应有来自</w:t>
      </w:r>
      <w:r w:rsidRPr="00FD50F6">
        <w:rPr>
          <w:rFonts w:hint="eastAsia"/>
        </w:rPr>
        <w:t>车辆基地</w:t>
      </w:r>
      <w:r w:rsidRPr="00FD50F6">
        <w:t>牵引变电所的主电源及来自正线</w:t>
      </w:r>
      <w:r w:rsidRPr="00FD50F6">
        <w:rPr>
          <w:rFonts w:hint="eastAsia"/>
        </w:rPr>
        <w:t>接触网</w:t>
      </w:r>
      <w:r w:rsidRPr="00FD50F6">
        <w:t>的备用电源。</w:t>
      </w:r>
    </w:p>
    <w:p w14:paraId="612BB20F" w14:textId="75C843BF" w:rsidR="002D2246" w:rsidRPr="00FD50F6" w:rsidRDefault="002D2246" w:rsidP="002D2246">
      <w:pPr>
        <w:pStyle w:val="30"/>
      </w:pPr>
      <w:r w:rsidRPr="00FD50F6">
        <w:t>停车列检库、静调库、试车线的接触网宜由牵引变电所直接馈电。每条库线</w:t>
      </w:r>
      <w:r w:rsidRPr="00FD50F6">
        <w:rPr>
          <w:rFonts w:hint="eastAsia"/>
        </w:rPr>
        <w:t>及不同检修列位</w:t>
      </w:r>
      <w:r w:rsidRPr="00FD50F6">
        <w:t>的接触网应设置</w:t>
      </w:r>
      <w:r w:rsidRPr="00FD50F6">
        <w:rPr>
          <w:rFonts w:hint="eastAsia"/>
        </w:rPr>
        <w:t>检修用</w:t>
      </w:r>
      <w:r w:rsidRPr="00FD50F6">
        <w:t>带接地刀闸的手动隔离开关</w:t>
      </w:r>
      <w:r w:rsidRPr="00FD50F6">
        <w:rPr>
          <w:rFonts w:hint="eastAsia"/>
        </w:rPr>
        <w:t>，接地刀闸应接走行轨</w:t>
      </w:r>
      <w:r w:rsidRPr="00FD50F6">
        <w:t>。</w:t>
      </w:r>
    </w:p>
    <w:p w14:paraId="645AE395" w14:textId="77777777" w:rsidR="002D2246" w:rsidRPr="00FD50F6" w:rsidRDefault="002D2246" w:rsidP="002D2246">
      <w:pPr>
        <w:pStyle w:val="30"/>
      </w:pPr>
      <w:r w:rsidRPr="00FD50F6">
        <w:t>兼做回流的走行轨应在正线与车辆基地的衔接处</w:t>
      </w:r>
      <w:r w:rsidRPr="00FD50F6">
        <w:rPr>
          <w:rFonts w:hint="eastAsia"/>
        </w:rPr>
        <w:t>、各</w:t>
      </w:r>
      <w:r w:rsidRPr="00FD50F6">
        <w:t>电气化库入口处</w:t>
      </w:r>
      <w:r w:rsidRPr="00FD50F6">
        <w:rPr>
          <w:rFonts w:hint="eastAsia"/>
        </w:rPr>
        <w:t>以及正线各线路联络线处</w:t>
      </w:r>
      <w:r w:rsidRPr="00FD50F6">
        <w:t>设置绝缘结。</w:t>
      </w:r>
    </w:p>
    <w:p w14:paraId="0DD9A7D2" w14:textId="1EDBFBB0" w:rsidR="002D2246" w:rsidRPr="00FD50F6" w:rsidRDefault="002D2246" w:rsidP="002D2246">
      <w:pPr>
        <w:pStyle w:val="30"/>
      </w:pPr>
      <w:r w:rsidRPr="00FD50F6">
        <w:t>上网电缆、回流电缆的根数及截面应根据大双边供电等方式下的远期负荷计算确定，每个回路的电缆根数不得少于两根。</w:t>
      </w:r>
    </w:p>
    <w:p w14:paraId="7207CAD9" w14:textId="785347CE" w:rsidR="002D2246" w:rsidRPr="00FD50F6" w:rsidRDefault="002D2246" w:rsidP="002D2246">
      <w:pPr>
        <w:pStyle w:val="30"/>
      </w:pPr>
      <w:r w:rsidRPr="00FD50F6">
        <w:t>接触轨的安装位置及其安装误差应根据车辆受流器与接触轨在相对运动中能可靠接触确定。</w:t>
      </w:r>
    </w:p>
    <w:p w14:paraId="2FFDE370" w14:textId="77777777" w:rsidR="002D2246" w:rsidRPr="00FD50F6" w:rsidRDefault="002D2246" w:rsidP="002D2246">
      <w:pPr>
        <w:pStyle w:val="30"/>
      </w:pPr>
      <w:r w:rsidRPr="00FD50F6">
        <w:t>接触轨断轨处应设端部弯头。</w:t>
      </w:r>
    </w:p>
    <w:p w14:paraId="3A0B1C3A" w14:textId="77777777" w:rsidR="002D2246" w:rsidRPr="00FD50F6" w:rsidRDefault="002D2246" w:rsidP="002D2246">
      <w:pPr>
        <w:pStyle w:val="30"/>
      </w:pPr>
      <w:r w:rsidRPr="00FD50F6">
        <w:t>接触轨应设防护罩，其电气性能与物理性能应满足</w:t>
      </w:r>
      <w:r w:rsidRPr="00FD50F6">
        <w:rPr>
          <w:rFonts w:hint="eastAsia"/>
        </w:rPr>
        <w:t>环境条件及</w:t>
      </w:r>
      <w:r w:rsidRPr="00FD50F6">
        <w:t>技术要求。</w:t>
      </w:r>
    </w:p>
    <w:p w14:paraId="57469D0F" w14:textId="77777777" w:rsidR="002D2246" w:rsidRPr="00FD50F6" w:rsidRDefault="002D2246" w:rsidP="002D2246">
      <w:pPr>
        <w:pStyle w:val="30"/>
      </w:pPr>
      <w:r w:rsidRPr="00FD50F6">
        <w:t>对于柔性架空接触网，在车站、区间、车辆基地出入线及试车线处，宜采用全补偿简单链型悬挂；在车辆基地内的其他线路处，宜采用补偿简单悬挂。</w:t>
      </w:r>
    </w:p>
    <w:p w14:paraId="4B0426EF" w14:textId="77777777" w:rsidR="002D2246" w:rsidRPr="00FD50F6" w:rsidRDefault="002D2246" w:rsidP="002D2246">
      <w:pPr>
        <w:pStyle w:val="30"/>
      </w:pPr>
      <w:r w:rsidRPr="00FD50F6">
        <w:t>对于刚性架空接触网，可采用</w:t>
      </w:r>
      <w:r w:rsidRPr="001A4CF3">
        <w:rPr>
          <w:rFonts w:ascii="宋体" w:hAnsi="宋体"/>
        </w:rPr>
        <w:t>“</w:t>
      </w:r>
      <w:r w:rsidRPr="00FD50F6">
        <w:t>Π</w:t>
      </w:r>
      <w:r w:rsidRPr="001A4CF3">
        <w:rPr>
          <w:rFonts w:ascii="宋体" w:hAnsi="宋体"/>
        </w:rPr>
        <w:t>”</w:t>
      </w:r>
      <w:r w:rsidRPr="00FD50F6">
        <w:t>型或</w:t>
      </w:r>
      <w:r w:rsidRPr="001A4CF3">
        <w:rPr>
          <w:rFonts w:ascii="宋体" w:hAnsi="宋体"/>
        </w:rPr>
        <w:t>“</w:t>
      </w:r>
      <w:r w:rsidRPr="00FD50F6">
        <w:t>T</w:t>
      </w:r>
      <w:r w:rsidRPr="001A4CF3">
        <w:rPr>
          <w:rFonts w:ascii="宋体" w:hAnsi="宋体"/>
        </w:rPr>
        <w:t>”</w:t>
      </w:r>
      <w:r w:rsidRPr="00FD50F6">
        <w:t>型铝合金汇流排。</w:t>
      </w:r>
    </w:p>
    <w:p w14:paraId="79567A89" w14:textId="6A1FBC60" w:rsidR="002D2246" w:rsidRPr="00FD50F6" w:rsidRDefault="002D2246" w:rsidP="002D2246">
      <w:pPr>
        <w:pStyle w:val="30"/>
      </w:pPr>
      <w:r w:rsidRPr="00FD50F6">
        <w:t>柔性架空接触网的支柱跨距应根据悬挂类型、曲线半径、导线最大受风偏移值和运营条件确定。刚性架空接触网的悬挂点间距应满足</w:t>
      </w:r>
      <w:r w:rsidRPr="00FD50F6">
        <w:rPr>
          <w:rFonts w:hint="eastAsia"/>
        </w:rPr>
        <w:t>列车运行速度和</w:t>
      </w:r>
      <w:r w:rsidRPr="00FD50F6">
        <w:t>汇流排的弛度要求。接触轨的支架间距应根据</w:t>
      </w:r>
      <w:r w:rsidRPr="00FD50F6">
        <w:rPr>
          <w:rFonts w:hint="eastAsia"/>
        </w:rPr>
        <w:t>列车运行速度和</w:t>
      </w:r>
      <w:r w:rsidRPr="00FD50F6">
        <w:t>支架结构型式、道床型式、轨枕间距、短路电动力确定。</w:t>
      </w:r>
    </w:p>
    <w:p w14:paraId="05A7C033" w14:textId="77777777" w:rsidR="002D2246" w:rsidRPr="00FD50F6" w:rsidRDefault="002D2246" w:rsidP="002D2246">
      <w:pPr>
        <w:pStyle w:val="30"/>
      </w:pPr>
      <w:r w:rsidRPr="00FD50F6">
        <w:t>地上线路接触线</w:t>
      </w:r>
      <w:r w:rsidRPr="00FD50F6">
        <w:rPr>
          <w:rFonts w:hint="eastAsia"/>
        </w:rPr>
        <w:t>最低点</w:t>
      </w:r>
      <w:r w:rsidRPr="00FD50F6">
        <w:t>距轨面的高度宜为</w:t>
      </w:r>
      <w:r w:rsidRPr="00FD50F6">
        <w:t>4600mm</w:t>
      </w:r>
      <w:r w:rsidRPr="00FD50F6">
        <w:t>，困难地段不应低于</w:t>
      </w:r>
      <w:r w:rsidRPr="00FD50F6">
        <w:t>4400mm</w:t>
      </w:r>
      <w:r w:rsidRPr="00FD50F6">
        <w:t>；车辆基地的地上线路接触线</w:t>
      </w:r>
      <w:r w:rsidRPr="00FD50F6">
        <w:rPr>
          <w:rFonts w:hint="eastAsia"/>
        </w:rPr>
        <w:t>最低点</w:t>
      </w:r>
      <w:r w:rsidRPr="00FD50F6">
        <w:t>距轨面高度宜为</w:t>
      </w:r>
      <w:r w:rsidRPr="00FD50F6">
        <w:t>5000mm</w:t>
      </w:r>
      <w:r w:rsidRPr="00FD50F6">
        <w:t>。隧道内接触线</w:t>
      </w:r>
      <w:r w:rsidRPr="00FD50F6">
        <w:rPr>
          <w:rFonts w:hint="eastAsia"/>
        </w:rPr>
        <w:t>最低点</w:t>
      </w:r>
      <w:r w:rsidRPr="00FD50F6">
        <w:t>距轨面的高度不应小于</w:t>
      </w:r>
      <w:r w:rsidRPr="00FD50F6">
        <w:t>4040mm</w:t>
      </w:r>
      <w:r w:rsidRPr="00FD50F6">
        <w:t>。</w:t>
      </w:r>
    </w:p>
    <w:p w14:paraId="0F8523B2" w14:textId="5E8AA602" w:rsidR="002D2246" w:rsidRPr="00FD50F6" w:rsidRDefault="002D2246" w:rsidP="002D2246">
      <w:pPr>
        <w:pStyle w:val="30"/>
      </w:pPr>
      <w:r w:rsidRPr="00FD50F6">
        <w:rPr>
          <w:rFonts w:hint="eastAsia"/>
        </w:rPr>
        <w:t>当柔性接触线高度变化时，其最大坡度及变化率应符合表</w:t>
      </w:r>
      <w:r w:rsidR="00232AC3" w:rsidRPr="00FD50F6">
        <w:t>16</w:t>
      </w:r>
      <w:r w:rsidRPr="00FD50F6">
        <w:t>.3.2</w:t>
      </w:r>
      <w:r w:rsidRPr="00FD50F6">
        <w:rPr>
          <w:rFonts w:hint="eastAsia"/>
        </w:rPr>
        <w:t>0</w:t>
      </w:r>
      <w:r w:rsidRPr="00FD50F6">
        <w:rPr>
          <w:rFonts w:hint="eastAsia"/>
        </w:rPr>
        <w:t>的规定。</w:t>
      </w:r>
    </w:p>
    <w:p w14:paraId="01B71BDD" w14:textId="589DBACE" w:rsidR="002D2246" w:rsidRPr="00FD50F6" w:rsidRDefault="002D2246" w:rsidP="002D2246">
      <w:pPr>
        <w:pStyle w:val="6"/>
      </w:pPr>
      <w:r w:rsidRPr="00FD50F6">
        <w:rPr>
          <w:rFonts w:hint="eastAsia"/>
        </w:rPr>
        <w:t>表</w:t>
      </w:r>
      <w:r w:rsidR="00232AC3" w:rsidRPr="00FD50F6">
        <w:t>16</w:t>
      </w:r>
      <w:r w:rsidRPr="00FD50F6">
        <w:t>.3.2</w:t>
      </w:r>
      <w:r w:rsidRPr="00FD50F6">
        <w:rPr>
          <w:rFonts w:hint="eastAsia"/>
        </w:rPr>
        <w:t>0</w:t>
      </w:r>
      <w:r w:rsidRPr="00FD50F6">
        <w:t xml:space="preserve">  </w:t>
      </w:r>
      <w:r w:rsidRPr="00FD50F6">
        <w:rPr>
          <w:rFonts w:hint="eastAsia"/>
        </w:rPr>
        <w:t>柔性接触线最大坡度及变化率</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6"/>
        <w:gridCol w:w="2738"/>
        <w:gridCol w:w="3349"/>
      </w:tblGrid>
      <w:tr w:rsidR="00FD50F6" w:rsidRPr="00FD50F6" w14:paraId="2CA527C9" w14:textId="77777777" w:rsidTr="000831EC">
        <w:trPr>
          <w:trHeight w:hRule="exact" w:val="397"/>
          <w:jc w:val="center"/>
        </w:trPr>
        <w:tc>
          <w:tcPr>
            <w:tcW w:w="2736" w:type="dxa"/>
            <w:vAlign w:val="center"/>
          </w:tcPr>
          <w:p w14:paraId="68B4A99A" w14:textId="77777777" w:rsidR="002D2246" w:rsidRPr="00FD50F6" w:rsidRDefault="002D2246" w:rsidP="000831EC">
            <w:pPr>
              <w:pStyle w:val="7"/>
            </w:pPr>
            <w:r w:rsidRPr="00FD50F6">
              <w:rPr>
                <w:rFonts w:hint="eastAsia"/>
              </w:rPr>
              <w:t>列车速度</w:t>
            </w:r>
            <w:r w:rsidRPr="00FD50F6">
              <w:t>(km/h)</w:t>
            </w:r>
          </w:p>
        </w:tc>
        <w:tc>
          <w:tcPr>
            <w:tcW w:w="2738" w:type="dxa"/>
            <w:vAlign w:val="center"/>
          </w:tcPr>
          <w:p w14:paraId="75DB5B40" w14:textId="77777777" w:rsidR="002D2246" w:rsidRPr="00FD50F6" w:rsidRDefault="002D2246" w:rsidP="000831EC">
            <w:pPr>
              <w:pStyle w:val="7"/>
            </w:pPr>
            <w:r w:rsidRPr="00FD50F6">
              <w:rPr>
                <w:rFonts w:hint="eastAsia"/>
              </w:rPr>
              <w:t>接触线最大坡度</w:t>
            </w:r>
            <w:r w:rsidRPr="00FD50F6">
              <w:t>(</w:t>
            </w:r>
            <w:r w:rsidRPr="00FD50F6">
              <w:rPr>
                <w:rFonts w:hint="eastAsia"/>
              </w:rPr>
              <w:t>‰</w:t>
            </w:r>
            <w:r w:rsidRPr="00FD50F6">
              <w:rPr>
                <w:rFonts w:hint="eastAsia"/>
              </w:rPr>
              <w:t>)</w:t>
            </w:r>
          </w:p>
        </w:tc>
        <w:tc>
          <w:tcPr>
            <w:tcW w:w="3349" w:type="dxa"/>
            <w:vAlign w:val="center"/>
          </w:tcPr>
          <w:p w14:paraId="7B48A314" w14:textId="77777777" w:rsidR="002D2246" w:rsidRPr="00FD50F6" w:rsidRDefault="002D2246" w:rsidP="000831EC">
            <w:pPr>
              <w:pStyle w:val="7"/>
            </w:pPr>
            <w:r w:rsidRPr="00FD50F6">
              <w:rPr>
                <w:rFonts w:hint="eastAsia"/>
              </w:rPr>
              <w:t>接触线最大坡度变化率</w:t>
            </w:r>
            <w:r w:rsidRPr="00FD50F6">
              <w:t>(</w:t>
            </w:r>
            <w:r w:rsidRPr="00FD50F6">
              <w:rPr>
                <w:rFonts w:hint="eastAsia"/>
              </w:rPr>
              <w:t>‰</w:t>
            </w:r>
            <w:r w:rsidRPr="00FD50F6">
              <w:rPr>
                <w:rFonts w:hint="eastAsia"/>
              </w:rPr>
              <w:t>)</w:t>
            </w:r>
          </w:p>
        </w:tc>
      </w:tr>
      <w:tr w:rsidR="00FD50F6" w:rsidRPr="00FD50F6" w14:paraId="47477A8C" w14:textId="77777777" w:rsidTr="000831EC">
        <w:trPr>
          <w:trHeight w:hRule="exact" w:val="397"/>
          <w:jc w:val="center"/>
        </w:trPr>
        <w:tc>
          <w:tcPr>
            <w:tcW w:w="2736" w:type="dxa"/>
            <w:vAlign w:val="center"/>
          </w:tcPr>
          <w:p w14:paraId="56F404B0" w14:textId="77777777" w:rsidR="002D2246" w:rsidRPr="00FD50F6" w:rsidRDefault="002D2246" w:rsidP="000831EC">
            <w:pPr>
              <w:pStyle w:val="7"/>
            </w:pPr>
            <w:r w:rsidRPr="00FD50F6">
              <w:t>10</w:t>
            </w:r>
          </w:p>
        </w:tc>
        <w:tc>
          <w:tcPr>
            <w:tcW w:w="2738" w:type="dxa"/>
            <w:vAlign w:val="center"/>
          </w:tcPr>
          <w:p w14:paraId="6A64B664" w14:textId="77777777" w:rsidR="002D2246" w:rsidRPr="00FD50F6" w:rsidRDefault="002D2246" w:rsidP="000831EC">
            <w:pPr>
              <w:pStyle w:val="7"/>
            </w:pPr>
            <w:r w:rsidRPr="00FD50F6">
              <w:t>40</w:t>
            </w:r>
          </w:p>
        </w:tc>
        <w:tc>
          <w:tcPr>
            <w:tcW w:w="3349" w:type="dxa"/>
            <w:vAlign w:val="center"/>
          </w:tcPr>
          <w:p w14:paraId="34B60E18" w14:textId="77777777" w:rsidR="002D2246" w:rsidRPr="00FD50F6" w:rsidRDefault="002D2246" w:rsidP="000831EC">
            <w:pPr>
              <w:pStyle w:val="7"/>
            </w:pPr>
            <w:r w:rsidRPr="00FD50F6">
              <w:t>20</w:t>
            </w:r>
          </w:p>
        </w:tc>
      </w:tr>
      <w:tr w:rsidR="00FD50F6" w:rsidRPr="00FD50F6" w14:paraId="038F0272" w14:textId="77777777" w:rsidTr="000831EC">
        <w:trPr>
          <w:trHeight w:hRule="exact" w:val="397"/>
          <w:jc w:val="center"/>
        </w:trPr>
        <w:tc>
          <w:tcPr>
            <w:tcW w:w="2736" w:type="dxa"/>
            <w:vAlign w:val="center"/>
          </w:tcPr>
          <w:p w14:paraId="1C351FCF" w14:textId="77777777" w:rsidR="002D2246" w:rsidRPr="00FD50F6" w:rsidRDefault="002D2246" w:rsidP="000831EC">
            <w:pPr>
              <w:pStyle w:val="7"/>
            </w:pPr>
            <w:r w:rsidRPr="00FD50F6">
              <w:t>30</w:t>
            </w:r>
          </w:p>
        </w:tc>
        <w:tc>
          <w:tcPr>
            <w:tcW w:w="2738" w:type="dxa"/>
            <w:vAlign w:val="center"/>
          </w:tcPr>
          <w:p w14:paraId="3D11FE99" w14:textId="77777777" w:rsidR="002D2246" w:rsidRPr="00FD50F6" w:rsidRDefault="002D2246" w:rsidP="000831EC">
            <w:pPr>
              <w:pStyle w:val="7"/>
            </w:pPr>
            <w:r w:rsidRPr="00FD50F6">
              <w:t>20</w:t>
            </w:r>
          </w:p>
        </w:tc>
        <w:tc>
          <w:tcPr>
            <w:tcW w:w="3349" w:type="dxa"/>
            <w:vAlign w:val="center"/>
          </w:tcPr>
          <w:p w14:paraId="76610879" w14:textId="77777777" w:rsidR="002D2246" w:rsidRPr="00FD50F6" w:rsidRDefault="002D2246" w:rsidP="000831EC">
            <w:pPr>
              <w:pStyle w:val="7"/>
            </w:pPr>
            <w:r w:rsidRPr="00FD50F6">
              <w:t>10</w:t>
            </w:r>
          </w:p>
        </w:tc>
      </w:tr>
      <w:tr w:rsidR="00FD50F6" w:rsidRPr="00FD50F6" w14:paraId="1C1B722B" w14:textId="77777777" w:rsidTr="000831EC">
        <w:trPr>
          <w:trHeight w:hRule="exact" w:val="397"/>
          <w:jc w:val="center"/>
        </w:trPr>
        <w:tc>
          <w:tcPr>
            <w:tcW w:w="2736" w:type="dxa"/>
            <w:vAlign w:val="center"/>
          </w:tcPr>
          <w:p w14:paraId="205D85E4" w14:textId="77777777" w:rsidR="002D2246" w:rsidRPr="00FD50F6" w:rsidRDefault="002D2246" w:rsidP="000831EC">
            <w:pPr>
              <w:pStyle w:val="7"/>
            </w:pPr>
            <w:r w:rsidRPr="00FD50F6">
              <w:lastRenderedPageBreak/>
              <w:t>60</w:t>
            </w:r>
          </w:p>
        </w:tc>
        <w:tc>
          <w:tcPr>
            <w:tcW w:w="2738" w:type="dxa"/>
            <w:vAlign w:val="center"/>
          </w:tcPr>
          <w:p w14:paraId="3EE63154" w14:textId="77777777" w:rsidR="002D2246" w:rsidRPr="00FD50F6" w:rsidRDefault="002D2246" w:rsidP="000831EC">
            <w:pPr>
              <w:pStyle w:val="7"/>
            </w:pPr>
            <w:r w:rsidRPr="00FD50F6">
              <w:t>10</w:t>
            </w:r>
          </w:p>
        </w:tc>
        <w:tc>
          <w:tcPr>
            <w:tcW w:w="3349" w:type="dxa"/>
            <w:vAlign w:val="center"/>
          </w:tcPr>
          <w:p w14:paraId="1FFF3185" w14:textId="77777777" w:rsidR="002D2246" w:rsidRPr="00FD50F6" w:rsidRDefault="002D2246" w:rsidP="000831EC">
            <w:pPr>
              <w:pStyle w:val="7"/>
            </w:pPr>
            <w:r w:rsidRPr="00FD50F6">
              <w:t>5</w:t>
            </w:r>
          </w:p>
        </w:tc>
      </w:tr>
      <w:tr w:rsidR="00FD50F6" w:rsidRPr="00FD50F6" w14:paraId="0D734B09" w14:textId="77777777" w:rsidTr="000831EC">
        <w:trPr>
          <w:trHeight w:hRule="exact" w:val="397"/>
          <w:jc w:val="center"/>
        </w:trPr>
        <w:tc>
          <w:tcPr>
            <w:tcW w:w="2736" w:type="dxa"/>
            <w:vAlign w:val="center"/>
          </w:tcPr>
          <w:p w14:paraId="63F78D99" w14:textId="77777777" w:rsidR="002D2246" w:rsidRPr="00FD50F6" w:rsidRDefault="002D2246" w:rsidP="000831EC">
            <w:pPr>
              <w:pStyle w:val="7"/>
            </w:pPr>
            <w:r w:rsidRPr="00FD50F6">
              <w:t>90</w:t>
            </w:r>
          </w:p>
        </w:tc>
        <w:tc>
          <w:tcPr>
            <w:tcW w:w="2738" w:type="dxa"/>
            <w:vAlign w:val="center"/>
          </w:tcPr>
          <w:p w14:paraId="2B000658" w14:textId="77777777" w:rsidR="002D2246" w:rsidRPr="00FD50F6" w:rsidRDefault="002D2246" w:rsidP="000831EC">
            <w:pPr>
              <w:pStyle w:val="7"/>
            </w:pPr>
            <w:r w:rsidRPr="00FD50F6">
              <w:t>6</w:t>
            </w:r>
          </w:p>
        </w:tc>
        <w:tc>
          <w:tcPr>
            <w:tcW w:w="3349" w:type="dxa"/>
            <w:vAlign w:val="center"/>
          </w:tcPr>
          <w:p w14:paraId="3B0016B1" w14:textId="77777777" w:rsidR="002D2246" w:rsidRPr="00FD50F6" w:rsidRDefault="002D2246" w:rsidP="000831EC">
            <w:pPr>
              <w:pStyle w:val="7"/>
            </w:pPr>
            <w:r w:rsidRPr="00FD50F6">
              <w:t>3</w:t>
            </w:r>
          </w:p>
        </w:tc>
      </w:tr>
      <w:tr w:rsidR="00FD50F6" w:rsidRPr="00FD50F6" w14:paraId="22AE1EFF" w14:textId="77777777" w:rsidTr="000831EC">
        <w:trPr>
          <w:trHeight w:hRule="exact" w:val="397"/>
          <w:jc w:val="center"/>
        </w:trPr>
        <w:tc>
          <w:tcPr>
            <w:tcW w:w="2736" w:type="dxa"/>
            <w:vAlign w:val="center"/>
          </w:tcPr>
          <w:p w14:paraId="1B125DBB" w14:textId="77777777" w:rsidR="002D2246" w:rsidRPr="00FD50F6" w:rsidRDefault="002D2246" w:rsidP="000831EC">
            <w:pPr>
              <w:pStyle w:val="7"/>
            </w:pPr>
            <w:r w:rsidRPr="00FD50F6">
              <w:t>100</w:t>
            </w:r>
          </w:p>
        </w:tc>
        <w:tc>
          <w:tcPr>
            <w:tcW w:w="2738" w:type="dxa"/>
            <w:vAlign w:val="center"/>
          </w:tcPr>
          <w:p w14:paraId="2AA29106" w14:textId="77777777" w:rsidR="002D2246" w:rsidRPr="00FD50F6" w:rsidRDefault="002D2246" w:rsidP="000831EC">
            <w:pPr>
              <w:pStyle w:val="7"/>
            </w:pPr>
            <w:r w:rsidRPr="00FD50F6">
              <w:t>5</w:t>
            </w:r>
          </w:p>
        </w:tc>
        <w:tc>
          <w:tcPr>
            <w:tcW w:w="3349" w:type="dxa"/>
            <w:vAlign w:val="center"/>
          </w:tcPr>
          <w:p w14:paraId="39A24E99" w14:textId="77777777" w:rsidR="002D2246" w:rsidRPr="00FD50F6" w:rsidRDefault="002D2246" w:rsidP="000831EC">
            <w:pPr>
              <w:pStyle w:val="7"/>
            </w:pPr>
            <w:r w:rsidRPr="00FD50F6">
              <w:t>2</w:t>
            </w:r>
          </w:p>
        </w:tc>
      </w:tr>
      <w:tr w:rsidR="002D2246" w:rsidRPr="00FD50F6" w14:paraId="0D02729F" w14:textId="77777777" w:rsidTr="000831EC">
        <w:trPr>
          <w:trHeight w:hRule="exact" w:val="397"/>
          <w:jc w:val="center"/>
        </w:trPr>
        <w:tc>
          <w:tcPr>
            <w:tcW w:w="2736" w:type="dxa"/>
            <w:vAlign w:val="center"/>
          </w:tcPr>
          <w:p w14:paraId="0CE7E732" w14:textId="77777777" w:rsidR="002D2246" w:rsidRPr="00FD50F6" w:rsidRDefault="002D2246" w:rsidP="000831EC">
            <w:pPr>
              <w:pStyle w:val="7"/>
            </w:pPr>
            <w:r w:rsidRPr="00FD50F6">
              <w:rPr>
                <w:rFonts w:hint="eastAsia"/>
              </w:rPr>
              <w:t>120</w:t>
            </w:r>
          </w:p>
        </w:tc>
        <w:tc>
          <w:tcPr>
            <w:tcW w:w="2738" w:type="dxa"/>
            <w:vAlign w:val="center"/>
          </w:tcPr>
          <w:p w14:paraId="379D1260" w14:textId="77777777" w:rsidR="002D2246" w:rsidRPr="00FD50F6" w:rsidRDefault="002D2246" w:rsidP="000831EC">
            <w:pPr>
              <w:pStyle w:val="7"/>
            </w:pPr>
            <w:r w:rsidRPr="00FD50F6">
              <w:rPr>
                <w:rFonts w:hint="eastAsia"/>
              </w:rPr>
              <w:t>4</w:t>
            </w:r>
          </w:p>
        </w:tc>
        <w:tc>
          <w:tcPr>
            <w:tcW w:w="3349" w:type="dxa"/>
            <w:vAlign w:val="center"/>
          </w:tcPr>
          <w:p w14:paraId="1FD6C2F8" w14:textId="77777777" w:rsidR="002D2246" w:rsidRPr="00FD50F6" w:rsidRDefault="002D2246" w:rsidP="000831EC">
            <w:pPr>
              <w:pStyle w:val="7"/>
            </w:pPr>
            <w:r w:rsidRPr="00FD50F6">
              <w:rPr>
                <w:rFonts w:hint="eastAsia"/>
              </w:rPr>
              <w:t>2</w:t>
            </w:r>
          </w:p>
        </w:tc>
      </w:tr>
    </w:tbl>
    <w:p w14:paraId="31F3FF07" w14:textId="77777777" w:rsidR="002D2246" w:rsidRPr="00FD50F6" w:rsidRDefault="002D2246" w:rsidP="002D2246">
      <w:pPr>
        <w:pStyle w:val="9"/>
        <w:ind w:firstLine="480"/>
      </w:pPr>
    </w:p>
    <w:p w14:paraId="788B6B08" w14:textId="4E338E82" w:rsidR="002D2246" w:rsidRPr="00FD50F6" w:rsidRDefault="002D2246" w:rsidP="002D2246">
      <w:pPr>
        <w:pStyle w:val="30"/>
      </w:pPr>
      <w:r w:rsidRPr="00FD50F6">
        <w:t>架空接触线的布置应</w:t>
      </w:r>
      <w:r w:rsidRPr="00FD50F6">
        <w:rPr>
          <w:rFonts w:hint="eastAsia"/>
        </w:rPr>
        <w:t>使</w:t>
      </w:r>
      <w:r w:rsidRPr="00FD50F6">
        <w:t>受电弓磨耗均匀，并应符合下列</w:t>
      </w:r>
      <w:r w:rsidRPr="00FD50F6">
        <w:rPr>
          <w:rFonts w:hint="eastAsia"/>
        </w:rPr>
        <w:t>规定</w:t>
      </w:r>
      <w:r w:rsidRPr="00FD50F6">
        <w:t>：</w:t>
      </w:r>
    </w:p>
    <w:p w14:paraId="17961AA7" w14:textId="2AEEFA5A" w:rsidR="002D2246" w:rsidRPr="00FD50F6" w:rsidRDefault="002D2246" w:rsidP="00A926BD">
      <w:pPr>
        <w:pStyle w:val="4"/>
      </w:pPr>
      <w:r w:rsidRPr="00FD50F6">
        <w:t>在直线区段沿受电弓中心两侧，柔性架空接触网接触线应呈</w:t>
      </w:r>
      <w:r w:rsidRPr="001A4CF3">
        <w:rPr>
          <w:rFonts w:ascii="宋体" w:hAnsi="宋体"/>
        </w:rPr>
        <w:t>“</w:t>
      </w:r>
      <w:r w:rsidRPr="00FD50F6">
        <w:t>之</w:t>
      </w:r>
      <w:r w:rsidRPr="001A4CF3">
        <w:rPr>
          <w:rFonts w:ascii="宋体" w:hAnsi="宋体"/>
        </w:rPr>
        <w:t>”</w:t>
      </w:r>
      <w:r w:rsidRPr="00FD50F6">
        <w:t>字形布置；刚性架空接触网一个锚段范围内的布置宜</w:t>
      </w:r>
      <w:r w:rsidRPr="00FD50F6">
        <w:rPr>
          <w:rFonts w:hint="eastAsia"/>
        </w:rPr>
        <w:t>采用等斜率折线布置</w:t>
      </w:r>
      <w:r w:rsidRPr="00FD50F6">
        <w:t>，</w:t>
      </w:r>
      <w:r w:rsidRPr="00FD50F6">
        <w:rPr>
          <w:rFonts w:hint="eastAsia"/>
        </w:rPr>
        <w:t>最大</w:t>
      </w:r>
      <w:r w:rsidRPr="00FD50F6">
        <w:t>拉出值宜</w:t>
      </w:r>
      <w:r w:rsidRPr="00FD50F6">
        <w:rPr>
          <w:rFonts w:hint="eastAsia"/>
        </w:rPr>
        <w:t>布置在中心锚结处</w:t>
      </w:r>
      <w:r w:rsidRPr="00FD50F6">
        <w:t>。接触线相对受电弓中心线的最大偏移量应小于受电弓工作宽度的</w:t>
      </w:r>
      <w:r w:rsidRPr="00FD50F6">
        <w:t>1/2</w:t>
      </w:r>
      <w:r w:rsidRPr="00FD50F6">
        <w:rPr>
          <w:rFonts w:hint="eastAsia"/>
        </w:rPr>
        <w:t>。</w:t>
      </w:r>
    </w:p>
    <w:p w14:paraId="74893F2C" w14:textId="77777777" w:rsidR="002D2246" w:rsidRPr="00FD50F6" w:rsidRDefault="002D2246" w:rsidP="00A926BD">
      <w:pPr>
        <w:pStyle w:val="4"/>
      </w:pPr>
      <w:r w:rsidRPr="00FD50F6">
        <w:t>在曲线区段，柔性架空接触网应根据曲线半径、超高值、风偏量、接触悬挂跨距等选取拉出值，拉出值方向宜向曲线外布置。</w:t>
      </w:r>
    </w:p>
    <w:p w14:paraId="50497844" w14:textId="2D072277" w:rsidR="002D2246" w:rsidRPr="00FD50F6" w:rsidRDefault="002D2246" w:rsidP="002D2246">
      <w:pPr>
        <w:pStyle w:val="30"/>
      </w:pPr>
      <w:r w:rsidRPr="00FD50F6">
        <w:t>柔性架空接触网锚段长度应根据补偿的接触线和承力索的张力差确定</w:t>
      </w:r>
      <w:r w:rsidRPr="00FD50F6">
        <w:rPr>
          <w:rFonts w:hint="eastAsia"/>
        </w:rPr>
        <w:t>，锚段长度不宜大于</w:t>
      </w:r>
      <w:r w:rsidRPr="00FD50F6">
        <w:rPr>
          <w:rFonts w:hint="eastAsia"/>
        </w:rPr>
        <w:t>1500m</w:t>
      </w:r>
      <w:r w:rsidRPr="00FD50F6">
        <w:t>。刚性架空接触网和接触轨的锚段长度应根据环境温度、载流温升、材料线胀系数、伸缩要求确定</w:t>
      </w:r>
      <w:r w:rsidRPr="00FD50F6">
        <w:rPr>
          <w:rFonts w:hint="eastAsia"/>
        </w:rPr>
        <w:t>，锚段长度不宜大于</w:t>
      </w:r>
      <w:r w:rsidRPr="00FD50F6">
        <w:rPr>
          <w:rFonts w:hint="eastAsia"/>
        </w:rPr>
        <w:t>250m</w:t>
      </w:r>
      <w:r w:rsidRPr="00FD50F6">
        <w:t>。</w:t>
      </w:r>
    </w:p>
    <w:p w14:paraId="2D979728" w14:textId="05C20BEC" w:rsidR="002D2246" w:rsidRPr="00FD50F6" w:rsidRDefault="002D2246" w:rsidP="002D2246">
      <w:pPr>
        <w:pStyle w:val="30"/>
      </w:pPr>
      <w:r w:rsidRPr="00FD50F6">
        <w:t>在柔性架空接触网与刚性架空接触网的衔接处应设置刚柔过渡</w:t>
      </w:r>
      <w:r w:rsidRPr="00FD50F6">
        <w:rPr>
          <w:rFonts w:hint="eastAsia"/>
        </w:rPr>
        <w:t>措施</w:t>
      </w:r>
      <w:r w:rsidRPr="00FD50F6">
        <w:t>。</w:t>
      </w:r>
      <w:r w:rsidRPr="00FD50F6">
        <w:rPr>
          <w:rFonts w:hint="eastAsia"/>
        </w:rPr>
        <w:t>刚柔过渡区段不宜设置在曲线段和变坡点。</w:t>
      </w:r>
    </w:p>
    <w:p w14:paraId="2B8E93D4" w14:textId="77777777" w:rsidR="002D2246" w:rsidRPr="00FD50F6" w:rsidRDefault="002D2246" w:rsidP="002D2246">
      <w:pPr>
        <w:pStyle w:val="30"/>
      </w:pPr>
      <w:r w:rsidRPr="00FD50F6">
        <w:rPr>
          <w:rFonts w:hint="eastAsia"/>
        </w:rPr>
        <w:t>分段绝缘器应满足列车受电弓双向正常通行，且不宜布置在曲线段。</w:t>
      </w:r>
    </w:p>
    <w:p w14:paraId="17C9EBA2" w14:textId="77777777" w:rsidR="002D2246" w:rsidRPr="00FD50F6" w:rsidRDefault="002D2246" w:rsidP="002D2246">
      <w:pPr>
        <w:pStyle w:val="30"/>
      </w:pPr>
      <w:r w:rsidRPr="00FD50F6">
        <w:rPr>
          <w:rFonts w:hint="eastAsia"/>
        </w:rPr>
        <w:t>高架区间柔性架空接触网的下锚支柱与对应的下锚拉线应设于同一高架区段，下锚拉线不应跨越桥梁变形缝。</w:t>
      </w:r>
    </w:p>
    <w:p w14:paraId="3861617F" w14:textId="77777777" w:rsidR="002D2246" w:rsidRPr="00FD50F6" w:rsidRDefault="002D2246" w:rsidP="002D2246">
      <w:pPr>
        <w:pStyle w:val="30"/>
      </w:pPr>
      <w:r w:rsidRPr="00FD50F6">
        <w:t>接触网应满足限界要求。车辆基地内架空接触网应设置限界门。</w:t>
      </w:r>
    </w:p>
    <w:p w14:paraId="0AE60F18" w14:textId="77777777" w:rsidR="002D2246" w:rsidRPr="00FD50F6" w:rsidRDefault="002D2246" w:rsidP="002D2246">
      <w:pPr>
        <w:pStyle w:val="30"/>
      </w:pPr>
      <w:r w:rsidRPr="00FD50F6">
        <w:t>地上</w:t>
      </w:r>
      <w:r w:rsidRPr="00FD50F6">
        <w:rPr>
          <w:rFonts w:hint="eastAsia"/>
        </w:rPr>
        <w:t>线路、车辆基地</w:t>
      </w:r>
      <w:r w:rsidRPr="00FD50F6">
        <w:t>架空接触网应设置避雷器，其间距不应大于</w:t>
      </w:r>
      <w:r w:rsidRPr="00FD50F6">
        <w:t>300m</w:t>
      </w:r>
      <w:r w:rsidRPr="00FD50F6">
        <w:t>。在</w:t>
      </w:r>
      <w:r w:rsidRPr="00FD50F6">
        <w:rPr>
          <w:rFonts w:hint="eastAsia"/>
        </w:rPr>
        <w:t>地下线路的</w:t>
      </w:r>
      <w:r w:rsidRPr="00FD50F6">
        <w:t>隧道入口和为地上线</w:t>
      </w:r>
      <w:r w:rsidRPr="00FD50F6">
        <w:rPr>
          <w:rFonts w:hint="eastAsia"/>
        </w:rPr>
        <w:t>路架空</w:t>
      </w:r>
      <w:r w:rsidRPr="00FD50F6">
        <w:t>接触网供电的隔离开关处应设置避雷器。</w:t>
      </w:r>
    </w:p>
    <w:p w14:paraId="36DDC9E9" w14:textId="0050044D" w:rsidR="002D2246" w:rsidRPr="00FD50F6" w:rsidRDefault="002D2246" w:rsidP="002D2246">
      <w:pPr>
        <w:pStyle w:val="30"/>
        <w:rPr>
          <w:lang w:eastAsia="x-none"/>
        </w:rPr>
      </w:pPr>
      <w:r w:rsidRPr="00FD50F6">
        <w:rPr>
          <w:lang w:eastAsia="x-none"/>
        </w:rPr>
        <w:t>地上</w:t>
      </w:r>
      <w:r w:rsidRPr="00FD50F6">
        <w:rPr>
          <w:rFonts w:hint="eastAsia"/>
        </w:rPr>
        <w:t>线路</w:t>
      </w:r>
      <w:r w:rsidRPr="00FD50F6">
        <w:rPr>
          <w:lang w:eastAsia="x-none"/>
        </w:rPr>
        <w:t>架空接触网的架空地线应</w:t>
      </w:r>
      <w:r w:rsidRPr="00FD50F6">
        <w:rPr>
          <w:rFonts w:hint="eastAsia"/>
        </w:rPr>
        <w:t>兼做避雷线。高架线路架空接触网的架空地线应设置电压均衡器，其间距不应大于</w:t>
      </w:r>
      <w:r w:rsidRPr="00FD50F6">
        <w:rPr>
          <w:lang w:eastAsia="x-none"/>
        </w:rPr>
        <w:t>200m</w:t>
      </w:r>
      <w:r w:rsidRPr="00FD50F6">
        <w:rPr>
          <w:rFonts w:hint="eastAsia"/>
        </w:rPr>
        <w:t>。</w:t>
      </w:r>
    </w:p>
    <w:p w14:paraId="7597C057" w14:textId="77777777" w:rsidR="002D2246" w:rsidRPr="00FD50F6" w:rsidRDefault="002D2246" w:rsidP="002D2246">
      <w:pPr>
        <w:pStyle w:val="30"/>
      </w:pPr>
      <w:r w:rsidRPr="00FD50F6">
        <w:t>避雷器与</w:t>
      </w:r>
      <w:r w:rsidRPr="00FD50F6">
        <w:rPr>
          <w:rFonts w:hint="eastAsia"/>
        </w:rPr>
        <w:t>电压均衡器</w:t>
      </w:r>
      <w:r w:rsidRPr="00FD50F6">
        <w:t>的冲击接地电阻不应大于</w:t>
      </w:r>
      <w:r w:rsidRPr="00FD50F6">
        <w:t>10Ω</w:t>
      </w:r>
      <w:r w:rsidRPr="00FD50F6">
        <w:t>。</w:t>
      </w:r>
    </w:p>
    <w:p w14:paraId="59BABB7F" w14:textId="77777777" w:rsidR="002D2246" w:rsidRPr="00FD50F6" w:rsidRDefault="002D2246" w:rsidP="002D2246">
      <w:pPr>
        <w:pStyle w:val="30"/>
      </w:pPr>
      <w:r w:rsidRPr="00FD50F6">
        <w:rPr>
          <w:rFonts w:hint="eastAsia"/>
        </w:rPr>
        <w:t>架空地线应与</w:t>
      </w:r>
      <w:r w:rsidRPr="00FD50F6">
        <w:rPr>
          <w:lang w:eastAsia="x-none"/>
        </w:rPr>
        <w:t>固定支持架空接触网的非带电金属体</w:t>
      </w:r>
      <w:r w:rsidRPr="00FD50F6">
        <w:rPr>
          <w:rFonts w:hint="eastAsia"/>
        </w:rPr>
        <w:t>相连接，并应通过单向导通装置与负母线连接，单向导通的电流方向应由架空地线至负母线</w:t>
      </w:r>
      <w:r w:rsidRPr="00FD50F6">
        <w:rPr>
          <w:lang w:eastAsia="x-none"/>
        </w:rPr>
        <w:t>。</w:t>
      </w:r>
      <w:r w:rsidRPr="00FD50F6">
        <w:rPr>
          <w:rFonts w:hint="eastAsia"/>
        </w:rPr>
        <w:t>地上线路架空地线引入牵引变电所处应设置避雷器。</w:t>
      </w:r>
    </w:p>
    <w:p w14:paraId="6BB7D492" w14:textId="18C1ADDB" w:rsidR="002D2246" w:rsidRPr="00FD50F6" w:rsidRDefault="002D2246" w:rsidP="002D2246">
      <w:pPr>
        <w:pStyle w:val="30"/>
      </w:pPr>
      <w:r w:rsidRPr="00FD50F6">
        <w:lastRenderedPageBreak/>
        <w:t>对易受其他机动车辆损伤的支柱应采取防护措施。</w:t>
      </w:r>
    </w:p>
    <w:p w14:paraId="0662D24A" w14:textId="77777777" w:rsidR="002D2246" w:rsidRPr="00FD50F6" w:rsidRDefault="002D2246" w:rsidP="002D2246">
      <w:pPr>
        <w:pStyle w:val="30"/>
      </w:pPr>
      <w:r w:rsidRPr="00FD50F6">
        <w:t>接触网安装形式应满足人防门、防淹门等使用要求。</w:t>
      </w:r>
    </w:p>
    <w:p w14:paraId="182A0E11" w14:textId="3C83FAC8" w:rsidR="002D2246" w:rsidRPr="00FD50F6" w:rsidRDefault="002D2246" w:rsidP="002D2246">
      <w:pPr>
        <w:pStyle w:val="30"/>
      </w:pPr>
      <w:r w:rsidRPr="00FD50F6">
        <w:rPr>
          <w:rFonts w:hint="eastAsia"/>
        </w:rPr>
        <w:t>架空接触网的其他设计要求应符合现行国家标准《轨道交通</w:t>
      </w:r>
      <w:r w:rsidRPr="00FD50F6">
        <w:rPr>
          <w:rFonts w:hint="eastAsia"/>
        </w:rPr>
        <w:t xml:space="preserve"> </w:t>
      </w:r>
      <w:r w:rsidRPr="00FD50F6">
        <w:rPr>
          <w:rFonts w:hint="eastAsia"/>
        </w:rPr>
        <w:t>地面装置</w:t>
      </w:r>
      <w:r w:rsidRPr="00FD50F6">
        <w:rPr>
          <w:rFonts w:hint="eastAsia"/>
        </w:rPr>
        <w:t xml:space="preserve"> </w:t>
      </w:r>
      <w:r w:rsidRPr="00FD50F6">
        <w:rPr>
          <w:rFonts w:hint="eastAsia"/>
        </w:rPr>
        <w:t>电力牵引架空接触网》</w:t>
      </w:r>
      <w:r w:rsidRPr="00FD50F6">
        <w:rPr>
          <w:rFonts w:hint="eastAsia"/>
        </w:rPr>
        <w:t>GB/T 32578</w:t>
      </w:r>
      <w:r w:rsidRPr="00FD50F6">
        <w:rPr>
          <w:rFonts w:hint="eastAsia"/>
        </w:rPr>
        <w:t>的规定。</w:t>
      </w:r>
    </w:p>
    <w:p w14:paraId="206A69F6" w14:textId="4FD19960" w:rsidR="002D2246" w:rsidRPr="00FD50F6" w:rsidRDefault="002D2246" w:rsidP="002D2246">
      <w:pPr>
        <w:pStyle w:val="30"/>
      </w:pPr>
      <w:r w:rsidRPr="00FD50F6">
        <w:rPr>
          <w:rFonts w:hint="eastAsia"/>
        </w:rPr>
        <w:t>接触轨的其他设计要求应符合现行行业标准《城市轨道交通接触轨供电系统技术规范》</w:t>
      </w:r>
      <w:r w:rsidRPr="00FD50F6">
        <w:rPr>
          <w:rFonts w:hint="eastAsia"/>
        </w:rPr>
        <w:t>CJJ/T 198</w:t>
      </w:r>
      <w:r w:rsidRPr="00FD50F6">
        <w:rPr>
          <w:rFonts w:hint="eastAsia"/>
        </w:rPr>
        <w:t>的规定。</w:t>
      </w:r>
    </w:p>
    <w:p w14:paraId="2D6FB64B" w14:textId="77777777" w:rsidR="002D2246" w:rsidRPr="00FD50F6" w:rsidRDefault="002D2246" w:rsidP="00A65181">
      <w:pPr>
        <w:pStyle w:val="2"/>
      </w:pPr>
      <w:bookmarkStart w:id="620" w:name="_Toc236494102"/>
      <w:bookmarkStart w:id="621" w:name="_Toc236717298"/>
      <w:bookmarkStart w:id="622" w:name="_Toc306206751"/>
      <w:bookmarkStart w:id="623" w:name="_Toc320196036"/>
      <w:bookmarkStart w:id="624" w:name="_Toc320643426"/>
      <w:bookmarkStart w:id="625" w:name="_Toc344218787"/>
      <w:bookmarkStart w:id="626" w:name="_Toc112830758"/>
      <w:r w:rsidRPr="00FD50F6">
        <w:t>电缆</w:t>
      </w:r>
      <w:bookmarkEnd w:id="620"/>
      <w:bookmarkEnd w:id="621"/>
      <w:bookmarkEnd w:id="622"/>
      <w:bookmarkEnd w:id="623"/>
      <w:bookmarkEnd w:id="624"/>
      <w:bookmarkEnd w:id="625"/>
      <w:bookmarkEnd w:id="626"/>
    </w:p>
    <w:p w14:paraId="31B1305E" w14:textId="3067ECDD" w:rsidR="002D2246" w:rsidRPr="00FD50F6" w:rsidRDefault="002D2246" w:rsidP="002D2246">
      <w:pPr>
        <w:pStyle w:val="30"/>
      </w:pPr>
      <w:r w:rsidRPr="00FD50F6">
        <w:rPr>
          <w:rFonts w:hint="eastAsia"/>
        </w:rPr>
        <w:t>阻燃电力电线电缆的选用</w:t>
      </w:r>
      <w:r w:rsidR="00674CD1">
        <w:rPr>
          <w:rFonts w:hint="eastAsia"/>
        </w:rPr>
        <w:t>除</w:t>
      </w:r>
      <w:r w:rsidR="00674CD1" w:rsidRPr="00FD50F6">
        <w:rPr>
          <w:rFonts w:hint="eastAsia"/>
        </w:rPr>
        <w:t>应符合现行国家标准《电力工程电缆设计标准》</w:t>
      </w:r>
      <w:r w:rsidR="00674CD1" w:rsidRPr="00FD50F6">
        <w:rPr>
          <w:rFonts w:hint="eastAsia"/>
        </w:rPr>
        <w:t>GB 50217</w:t>
      </w:r>
      <w:r w:rsidR="00674CD1" w:rsidRPr="00FD50F6">
        <w:rPr>
          <w:rFonts w:hint="eastAsia"/>
        </w:rPr>
        <w:t>的规定</w:t>
      </w:r>
      <w:r w:rsidR="00674CD1">
        <w:rPr>
          <w:rFonts w:hint="eastAsia"/>
        </w:rPr>
        <w:t>外，还</w:t>
      </w:r>
      <w:r w:rsidRPr="00FD50F6">
        <w:rPr>
          <w:rFonts w:hint="eastAsia"/>
        </w:rPr>
        <w:t>应符合下列规定：</w:t>
      </w:r>
    </w:p>
    <w:p w14:paraId="759946CF" w14:textId="03A8521A" w:rsidR="002D2246" w:rsidRPr="00FD50F6" w:rsidRDefault="002D2246" w:rsidP="00A926BD">
      <w:pPr>
        <w:pStyle w:val="4"/>
      </w:pPr>
      <w:r w:rsidRPr="00FD50F6">
        <w:rPr>
          <w:rFonts w:hint="eastAsia"/>
        </w:rPr>
        <w:t>应采用铜芯阻燃电线电缆</w:t>
      </w:r>
      <w:r w:rsidR="00674CD1">
        <w:rPr>
          <w:rFonts w:hint="eastAsia"/>
        </w:rPr>
        <w:t>；</w:t>
      </w:r>
    </w:p>
    <w:p w14:paraId="143E6A0A" w14:textId="0F922A1F" w:rsidR="002D2246" w:rsidRPr="00FD50F6" w:rsidRDefault="002D2246" w:rsidP="00A926BD">
      <w:pPr>
        <w:pStyle w:val="4"/>
        <w:rPr>
          <w:rFonts w:ascii="黑体" w:eastAsia="黑体" w:hAnsi="黑体"/>
        </w:rPr>
      </w:pPr>
      <w:r w:rsidRPr="00FD50F6">
        <w:t>地下线路的阻燃电线电缆的阻燃级别不应低于</w:t>
      </w:r>
      <w:r w:rsidRPr="00FD50F6">
        <w:t>IIA</w:t>
      </w:r>
      <w:r w:rsidRPr="00FD50F6">
        <w:t>级</w:t>
      </w:r>
      <w:r w:rsidRPr="00FD50F6">
        <w:rPr>
          <w:rFonts w:hint="eastAsia"/>
        </w:rPr>
        <w:t>；</w:t>
      </w:r>
    </w:p>
    <w:p w14:paraId="3976B868" w14:textId="75669FAE" w:rsidR="002D2246" w:rsidRPr="00FD50F6" w:rsidRDefault="002D2246" w:rsidP="00A926BD">
      <w:pPr>
        <w:pStyle w:val="4"/>
      </w:pPr>
      <w:r w:rsidRPr="00FD50F6">
        <w:rPr>
          <w:rFonts w:hint="eastAsia"/>
        </w:rPr>
        <w:t>地上线路的阻燃电线电缆的阻燃级别不应低于</w:t>
      </w:r>
      <w:r w:rsidRPr="00FD50F6">
        <w:rPr>
          <w:rFonts w:hint="eastAsia"/>
        </w:rPr>
        <w:t>IIIA</w:t>
      </w:r>
      <w:r w:rsidRPr="00FD50F6">
        <w:rPr>
          <w:rFonts w:hint="eastAsia"/>
        </w:rPr>
        <w:t>级；</w:t>
      </w:r>
    </w:p>
    <w:p w14:paraId="1A8D3F28" w14:textId="55CBE10D" w:rsidR="002D2246" w:rsidRPr="00FD50F6" w:rsidRDefault="002D2246" w:rsidP="00A926BD">
      <w:pPr>
        <w:pStyle w:val="4"/>
      </w:pPr>
      <w:r w:rsidRPr="00FD50F6">
        <w:rPr>
          <w:rFonts w:hint="eastAsia"/>
        </w:rPr>
        <w:t>上盖车辆基地的阻燃电线电缆的阻燃级别不应低于</w:t>
      </w:r>
      <w:r w:rsidRPr="00FD50F6">
        <w:rPr>
          <w:rFonts w:hint="eastAsia"/>
        </w:rPr>
        <w:t>IIA</w:t>
      </w:r>
      <w:r w:rsidRPr="00FD50F6">
        <w:rPr>
          <w:rFonts w:hint="eastAsia"/>
        </w:rPr>
        <w:t>级，无上盖车辆基地的阻燃级别不应低于</w:t>
      </w:r>
      <w:r w:rsidRPr="00FD50F6">
        <w:rPr>
          <w:rFonts w:hint="eastAsia"/>
        </w:rPr>
        <w:t>IIIA</w:t>
      </w:r>
      <w:r w:rsidRPr="00FD50F6">
        <w:rPr>
          <w:rFonts w:hint="eastAsia"/>
        </w:rPr>
        <w:t>级；</w:t>
      </w:r>
    </w:p>
    <w:p w14:paraId="37BC9F0C" w14:textId="098596C1" w:rsidR="002D2246" w:rsidRPr="00FD50F6" w:rsidRDefault="002D2246" w:rsidP="00A926BD">
      <w:pPr>
        <w:pStyle w:val="4"/>
        <w:rPr>
          <w:sz w:val="21"/>
        </w:rPr>
      </w:pPr>
      <w:r w:rsidRPr="00FD50F6">
        <w:rPr>
          <w:rFonts w:hint="eastAsia"/>
        </w:rPr>
        <w:t>控制中心的阻燃电线电缆的阻燃级别不应低于</w:t>
      </w:r>
      <w:r w:rsidRPr="00FD50F6">
        <w:rPr>
          <w:rFonts w:hint="eastAsia"/>
        </w:rPr>
        <w:t>IIA</w:t>
      </w:r>
      <w:r w:rsidRPr="00FD50F6">
        <w:rPr>
          <w:rFonts w:hint="eastAsia"/>
        </w:rPr>
        <w:t>级。</w:t>
      </w:r>
    </w:p>
    <w:p w14:paraId="5A2E6E11" w14:textId="77777777" w:rsidR="002D2246" w:rsidRPr="00FD50F6" w:rsidRDefault="002D2246" w:rsidP="002D2246">
      <w:pPr>
        <w:pStyle w:val="30"/>
      </w:pPr>
      <w:r w:rsidRPr="00FD50F6">
        <w:t>火灾时需要保证供电的</w:t>
      </w:r>
      <w:r w:rsidRPr="00FD50F6">
        <w:rPr>
          <w:rFonts w:hint="eastAsia"/>
        </w:rPr>
        <w:t>低压</w:t>
      </w:r>
      <w:r w:rsidRPr="00FD50F6">
        <w:t>配电线路应采用铜芯耐火电缆或矿物绝缘铜芯</w:t>
      </w:r>
      <w:r w:rsidRPr="00FD50F6">
        <w:rPr>
          <w:rFonts w:hint="eastAsia"/>
        </w:rPr>
        <w:t>不燃性</w:t>
      </w:r>
      <w:r w:rsidRPr="00FD50F6">
        <w:t>电缆。</w:t>
      </w:r>
    </w:p>
    <w:p w14:paraId="424172CB" w14:textId="77777777" w:rsidR="002D2246" w:rsidRPr="00FD50F6" w:rsidRDefault="002D2246" w:rsidP="002D2246">
      <w:pPr>
        <w:pStyle w:val="30"/>
      </w:pPr>
      <w:r w:rsidRPr="00FD50F6">
        <w:rPr>
          <w:rFonts w:hint="eastAsia"/>
        </w:rPr>
        <w:t>除矿物绝缘不燃性电缆外，耐火电缆的选用应符合下列规定：</w:t>
      </w:r>
    </w:p>
    <w:p w14:paraId="63DDAFCF" w14:textId="64F51439" w:rsidR="002D2246" w:rsidRPr="00FD50F6" w:rsidRDefault="002D2246" w:rsidP="00A926BD">
      <w:pPr>
        <w:pStyle w:val="4"/>
      </w:pPr>
      <w:r w:rsidRPr="00FD50F6">
        <w:rPr>
          <w:rFonts w:hint="eastAsia"/>
        </w:rPr>
        <w:t>应采用铜芯耐火电线电缆，并应符合现行国家标准《电力工程电缆设计标准》</w:t>
      </w:r>
      <w:r w:rsidRPr="00FD50F6">
        <w:rPr>
          <w:rFonts w:hint="eastAsia"/>
        </w:rPr>
        <w:t>GB</w:t>
      </w:r>
      <w:r w:rsidRPr="00FD50F6">
        <w:t xml:space="preserve"> </w:t>
      </w:r>
      <w:r w:rsidRPr="00FD50F6">
        <w:rPr>
          <w:rFonts w:hint="eastAsia"/>
        </w:rPr>
        <w:t>50217</w:t>
      </w:r>
      <w:r w:rsidRPr="00FD50F6">
        <w:rPr>
          <w:rFonts w:hint="eastAsia"/>
        </w:rPr>
        <w:t>的规定；</w:t>
      </w:r>
    </w:p>
    <w:p w14:paraId="4AAE7EC7" w14:textId="77777777" w:rsidR="002D2246" w:rsidRPr="00FD50F6" w:rsidRDefault="002D2246" w:rsidP="00A926BD">
      <w:pPr>
        <w:pStyle w:val="4"/>
      </w:pPr>
      <w:r w:rsidRPr="00FD50F6">
        <w:rPr>
          <w:rFonts w:hint="eastAsia"/>
        </w:rPr>
        <w:t>地下线路的耐火电缆耐火级别不应低于</w:t>
      </w:r>
      <w:r w:rsidRPr="00FD50F6">
        <w:rPr>
          <w:rFonts w:hint="eastAsia"/>
        </w:rPr>
        <w:t>IIA</w:t>
      </w:r>
      <w:r w:rsidRPr="00FD50F6">
        <w:rPr>
          <w:rFonts w:hint="eastAsia"/>
        </w:rPr>
        <w:t>级；</w:t>
      </w:r>
    </w:p>
    <w:p w14:paraId="23426552" w14:textId="77777777" w:rsidR="002D2246" w:rsidRPr="00FD50F6" w:rsidRDefault="002D2246" w:rsidP="00A926BD">
      <w:pPr>
        <w:pStyle w:val="4"/>
      </w:pPr>
      <w:r w:rsidRPr="00FD50F6">
        <w:rPr>
          <w:rFonts w:hint="eastAsia"/>
        </w:rPr>
        <w:t>地上线路的耐火电缆耐火级别不应低于</w:t>
      </w:r>
      <w:r w:rsidRPr="00FD50F6">
        <w:rPr>
          <w:rFonts w:hint="eastAsia"/>
        </w:rPr>
        <w:t>IIIA</w:t>
      </w:r>
      <w:r w:rsidRPr="00FD50F6">
        <w:rPr>
          <w:rFonts w:hint="eastAsia"/>
        </w:rPr>
        <w:t>级；</w:t>
      </w:r>
    </w:p>
    <w:p w14:paraId="4535CA23" w14:textId="77777777" w:rsidR="002D2246" w:rsidRPr="00FD50F6" w:rsidRDefault="002D2246" w:rsidP="00A926BD">
      <w:pPr>
        <w:pStyle w:val="4"/>
      </w:pPr>
      <w:r w:rsidRPr="00FD50F6">
        <w:rPr>
          <w:rFonts w:hint="eastAsia"/>
        </w:rPr>
        <w:t>上盖车辆基地的耐火电缆耐火级别不应低于</w:t>
      </w:r>
      <w:r w:rsidRPr="00FD50F6">
        <w:rPr>
          <w:rFonts w:hint="eastAsia"/>
        </w:rPr>
        <w:t>IIA</w:t>
      </w:r>
      <w:r w:rsidRPr="00FD50F6">
        <w:rPr>
          <w:rFonts w:hint="eastAsia"/>
        </w:rPr>
        <w:t>级，无上盖车辆基地的耐火电缆耐火级别不应低于</w:t>
      </w:r>
      <w:r w:rsidRPr="00FD50F6">
        <w:rPr>
          <w:rFonts w:hint="eastAsia"/>
        </w:rPr>
        <w:t>IIIA</w:t>
      </w:r>
      <w:r w:rsidRPr="00FD50F6">
        <w:rPr>
          <w:rFonts w:hint="eastAsia"/>
        </w:rPr>
        <w:t>级；</w:t>
      </w:r>
    </w:p>
    <w:p w14:paraId="3B988844" w14:textId="77777777" w:rsidR="002D2246" w:rsidRPr="00FD50F6" w:rsidRDefault="002D2246" w:rsidP="00A926BD">
      <w:pPr>
        <w:pStyle w:val="4"/>
      </w:pPr>
      <w:r w:rsidRPr="00FD50F6">
        <w:rPr>
          <w:rFonts w:hint="eastAsia"/>
        </w:rPr>
        <w:t>控制中心的耐火电缆的耐火级别不应低于</w:t>
      </w:r>
      <w:r w:rsidRPr="00FD50F6">
        <w:rPr>
          <w:rFonts w:hint="eastAsia"/>
        </w:rPr>
        <w:t>IIA</w:t>
      </w:r>
      <w:r w:rsidRPr="00FD50F6">
        <w:rPr>
          <w:rFonts w:hint="eastAsia"/>
        </w:rPr>
        <w:t>级。</w:t>
      </w:r>
    </w:p>
    <w:p w14:paraId="65B07397" w14:textId="2915ABB2" w:rsidR="002D2246" w:rsidRPr="00FD50F6" w:rsidRDefault="002D2246" w:rsidP="002D2246">
      <w:pPr>
        <w:pStyle w:val="30"/>
      </w:pPr>
      <w:r w:rsidRPr="00FD50F6">
        <w:rPr>
          <w:rFonts w:hint="eastAsia"/>
        </w:rPr>
        <w:t>供电用光缆的选用应符合现行国家标准《电缆及光缆燃烧性能分级》</w:t>
      </w:r>
      <w:r w:rsidRPr="00FD50F6">
        <w:rPr>
          <w:rFonts w:hint="eastAsia"/>
        </w:rPr>
        <w:t>GB</w:t>
      </w:r>
      <w:r w:rsidRPr="00FD50F6">
        <w:t xml:space="preserve"> </w:t>
      </w:r>
      <w:r w:rsidRPr="00FD50F6">
        <w:rPr>
          <w:rFonts w:hint="eastAsia"/>
        </w:rPr>
        <w:t>31247</w:t>
      </w:r>
      <w:r w:rsidRPr="00FD50F6">
        <w:rPr>
          <w:rFonts w:hint="eastAsia"/>
        </w:rPr>
        <w:t>的规定，燃烧性能等级应为</w:t>
      </w:r>
      <w:r w:rsidRPr="00FD50F6">
        <w:rPr>
          <w:rFonts w:hint="eastAsia"/>
        </w:rPr>
        <w:t>B</w:t>
      </w:r>
      <w:r w:rsidRPr="00DB6B0C">
        <w:rPr>
          <w:vertAlign w:val="subscript"/>
        </w:rPr>
        <w:t>1</w:t>
      </w:r>
      <w:r w:rsidRPr="00FD50F6">
        <w:rPr>
          <w:rFonts w:hint="eastAsia"/>
        </w:rPr>
        <w:t>级，烟气毒性等级应为</w:t>
      </w:r>
      <w:r w:rsidRPr="00FD50F6">
        <w:rPr>
          <w:rFonts w:hint="eastAsia"/>
        </w:rPr>
        <w:t>t</w:t>
      </w:r>
      <w:r w:rsidRPr="00DB6B0C">
        <w:rPr>
          <w:vertAlign w:val="subscript"/>
        </w:rPr>
        <w:t>0</w:t>
      </w:r>
      <w:r w:rsidRPr="00FD50F6">
        <w:rPr>
          <w:rFonts w:hint="eastAsia"/>
        </w:rPr>
        <w:t>级，腐蚀性等级不应低于</w:t>
      </w:r>
      <w:r w:rsidRPr="00FD50F6">
        <w:rPr>
          <w:rFonts w:hint="eastAsia"/>
        </w:rPr>
        <w:t>a</w:t>
      </w:r>
      <w:r w:rsidRPr="00DB6B0C">
        <w:rPr>
          <w:vertAlign w:val="subscript"/>
        </w:rPr>
        <w:t>2</w:t>
      </w:r>
      <w:r w:rsidRPr="00FD50F6">
        <w:rPr>
          <w:rFonts w:hint="eastAsia"/>
        </w:rPr>
        <w:t>级。</w:t>
      </w:r>
    </w:p>
    <w:p w14:paraId="3D4F4E5C" w14:textId="2F596A30" w:rsidR="002D2246" w:rsidRPr="00FD50F6" w:rsidRDefault="002D2246" w:rsidP="002D2246">
      <w:pPr>
        <w:pStyle w:val="30"/>
      </w:pPr>
      <w:r w:rsidRPr="00FD50F6">
        <w:rPr>
          <w:rFonts w:hint="eastAsia"/>
        </w:rPr>
        <w:lastRenderedPageBreak/>
        <w:t>变电所应根据工程条件设置电缆夹层或电缆沟。</w:t>
      </w:r>
      <w:r w:rsidRPr="00FD50F6">
        <w:t>电缆敷设应便于检修维护。电缆敷设</w:t>
      </w:r>
      <w:r w:rsidR="00674CD1">
        <w:t>的</w:t>
      </w:r>
      <w:r w:rsidRPr="00FD50F6">
        <w:t>各相关尺寸及距离</w:t>
      </w:r>
      <w:r w:rsidRPr="00FD50F6">
        <w:rPr>
          <w:rFonts w:hint="eastAsia"/>
        </w:rPr>
        <w:t>宜</w:t>
      </w:r>
      <w:r w:rsidRPr="00FD50F6">
        <w:t>符合表</w:t>
      </w:r>
      <w:r w:rsidR="00232AC3" w:rsidRPr="00FD50F6">
        <w:t>16</w:t>
      </w:r>
      <w:r w:rsidRPr="00FD50F6">
        <w:t>.4.5</w:t>
      </w:r>
      <w:r w:rsidRPr="00FD50F6">
        <w:t>的规定。</w:t>
      </w:r>
      <w:r w:rsidRPr="00FD50F6">
        <w:t xml:space="preserve"> </w:t>
      </w:r>
    </w:p>
    <w:p w14:paraId="267DE57B" w14:textId="29469E35" w:rsidR="002D2246" w:rsidRPr="00FD50F6" w:rsidRDefault="002D2246" w:rsidP="002D2246">
      <w:pPr>
        <w:pStyle w:val="6"/>
      </w:pPr>
      <w:r w:rsidRPr="00FD50F6">
        <w:t>表</w:t>
      </w:r>
      <w:r w:rsidR="00232AC3" w:rsidRPr="00FD50F6">
        <w:t>16</w:t>
      </w:r>
      <w:r w:rsidRPr="00FD50F6">
        <w:t xml:space="preserve">.4.5  </w:t>
      </w:r>
      <w:r w:rsidRPr="00FD50F6">
        <w:t>电缆敷设的各相关尺寸及距离</w:t>
      </w:r>
      <w:r w:rsidRPr="00FD50F6">
        <w:t>(mm)</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22"/>
        <w:gridCol w:w="1107"/>
        <w:gridCol w:w="1342"/>
        <w:gridCol w:w="1068"/>
        <w:gridCol w:w="1331"/>
      </w:tblGrid>
      <w:tr w:rsidR="00FD50F6" w:rsidRPr="00FD50F6" w14:paraId="7878A9FB" w14:textId="77777777" w:rsidTr="000831EC">
        <w:trPr>
          <w:cantSplit/>
          <w:jc w:val="center"/>
        </w:trPr>
        <w:tc>
          <w:tcPr>
            <w:tcW w:w="3424" w:type="dxa"/>
            <w:gridSpan w:val="2"/>
            <w:vMerge w:val="restart"/>
            <w:vAlign w:val="center"/>
          </w:tcPr>
          <w:p w14:paraId="46D97327" w14:textId="77777777" w:rsidR="002D2246" w:rsidRPr="00FD50F6" w:rsidRDefault="002D2246" w:rsidP="000831EC">
            <w:pPr>
              <w:pStyle w:val="7"/>
            </w:pPr>
            <w:r w:rsidRPr="00FD50F6">
              <w:t>名</w:t>
            </w:r>
            <w:r w:rsidRPr="00FD50F6">
              <w:t xml:space="preserve">        </w:t>
            </w:r>
            <w:r w:rsidRPr="00FD50F6">
              <w:t>称</w:t>
            </w:r>
          </w:p>
        </w:tc>
        <w:tc>
          <w:tcPr>
            <w:tcW w:w="2449" w:type="dxa"/>
            <w:gridSpan w:val="2"/>
            <w:vAlign w:val="center"/>
          </w:tcPr>
          <w:p w14:paraId="1F238659" w14:textId="77777777" w:rsidR="002D2246" w:rsidRPr="00FD50F6" w:rsidRDefault="002D2246" w:rsidP="000831EC">
            <w:pPr>
              <w:pStyle w:val="7"/>
            </w:pPr>
            <w:r w:rsidRPr="00FD50F6">
              <w:t>电缆通道</w:t>
            </w:r>
          </w:p>
        </w:tc>
        <w:tc>
          <w:tcPr>
            <w:tcW w:w="2399" w:type="dxa"/>
            <w:gridSpan w:val="2"/>
            <w:vAlign w:val="center"/>
          </w:tcPr>
          <w:p w14:paraId="30E5BC61" w14:textId="77777777" w:rsidR="002D2246" w:rsidRPr="00FD50F6" w:rsidRDefault="002D2246" w:rsidP="000831EC">
            <w:pPr>
              <w:pStyle w:val="7"/>
            </w:pPr>
            <w:r w:rsidRPr="00FD50F6">
              <w:t>电缆沟</w:t>
            </w:r>
          </w:p>
        </w:tc>
      </w:tr>
      <w:tr w:rsidR="00FD50F6" w:rsidRPr="00FD50F6" w14:paraId="3EFF056F" w14:textId="77777777" w:rsidTr="00674CD1">
        <w:trPr>
          <w:cantSplit/>
          <w:jc w:val="center"/>
        </w:trPr>
        <w:tc>
          <w:tcPr>
            <w:tcW w:w="3424" w:type="dxa"/>
            <w:gridSpan w:val="2"/>
            <w:vMerge/>
            <w:vAlign w:val="center"/>
          </w:tcPr>
          <w:p w14:paraId="481DECBB" w14:textId="77777777" w:rsidR="002D2246" w:rsidRPr="00FD50F6" w:rsidRDefault="002D2246" w:rsidP="000831EC">
            <w:pPr>
              <w:pStyle w:val="7"/>
            </w:pPr>
          </w:p>
        </w:tc>
        <w:tc>
          <w:tcPr>
            <w:tcW w:w="1107" w:type="dxa"/>
            <w:vAlign w:val="center"/>
          </w:tcPr>
          <w:p w14:paraId="3F0FA729" w14:textId="77777777" w:rsidR="002D2246" w:rsidRPr="00FD50F6" w:rsidRDefault="002D2246" w:rsidP="000831EC">
            <w:pPr>
              <w:pStyle w:val="7"/>
            </w:pPr>
            <w:r w:rsidRPr="00FD50F6">
              <w:t>水平</w:t>
            </w:r>
          </w:p>
        </w:tc>
        <w:tc>
          <w:tcPr>
            <w:tcW w:w="1342" w:type="dxa"/>
            <w:vAlign w:val="center"/>
          </w:tcPr>
          <w:p w14:paraId="568CB8F1" w14:textId="77777777" w:rsidR="002D2246" w:rsidRPr="00FD50F6" w:rsidRDefault="002D2246" w:rsidP="000831EC">
            <w:pPr>
              <w:pStyle w:val="7"/>
            </w:pPr>
            <w:r w:rsidRPr="00FD50F6">
              <w:t>垂直</w:t>
            </w:r>
          </w:p>
        </w:tc>
        <w:tc>
          <w:tcPr>
            <w:tcW w:w="1068" w:type="dxa"/>
            <w:vAlign w:val="center"/>
          </w:tcPr>
          <w:p w14:paraId="6F9FE8B7" w14:textId="77777777" w:rsidR="002D2246" w:rsidRPr="00FD50F6" w:rsidRDefault="002D2246" w:rsidP="000831EC">
            <w:pPr>
              <w:pStyle w:val="7"/>
            </w:pPr>
            <w:r w:rsidRPr="00FD50F6">
              <w:t>水平</w:t>
            </w:r>
          </w:p>
        </w:tc>
        <w:tc>
          <w:tcPr>
            <w:tcW w:w="1331" w:type="dxa"/>
            <w:vAlign w:val="center"/>
          </w:tcPr>
          <w:p w14:paraId="64AF9549" w14:textId="77777777" w:rsidR="002D2246" w:rsidRPr="00FD50F6" w:rsidRDefault="002D2246" w:rsidP="000831EC">
            <w:pPr>
              <w:pStyle w:val="7"/>
            </w:pPr>
            <w:r w:rsidRPr="00FD50F6">
              <w:t>垂直</w:t>
            </w:r>
          </w:p>
        </w:tc>
      </w:tr>
      <w:tr w:rsidR="00FD50F6" w:rsidRPr="00FD50F6" w14:paraId="58F40572" w14:textId="77777777" w:rsidTr="00674CD1">
        <w:trPr>
          <w:cantSplit/>
          <w:jc w:val="center"/>
        </w:trPr>
        <w:tc>
          <w:tcPr>
            <w:tcW w:w="3424" w:type="dxa"/>
            <w:gridSpan w:val="2"/>
            <w:vAlign w:val="center"/>
          </w:tcPr>
          <w:p w14:paraId="58804D16" w14:textId="77777777" w:rsidR="002D2246" w:rsidRPr="00FD50F6" w:rsidRDefault="002D2246" w:rsidP="000831EC">
            <w:pPr>
              <w:pStyle w:val="7"/>
            </w:pPr>
            <w:r w:rsidRPr="00FD50F6">
              <w:t>两侧设电缆支架的通道净宽</w:t>
            </w:r>
          </w:p>
        </w:tc>
        <w:tc>
          <w:tcPr>
            <w:tcW w:w="1107" w:type="dxa"/>
            <w:vAlign w:val="center"/>
          </w:tcPr>
          <w:p w14:paraId="4D1A360F" w14:textId="77777777" w:rsidR="002D2246" w:rsidRPr="00FD50F6" w:rsidRDefault="002D2246" w:rsidP="000831EC">
            <w:pPr>
              <w:pStyle w:val="7"/>
            </w:pPr>
            <w:r w:rsidRPr="00FD50F6">
              <w:rPr>
                <w:rFonts w:ascii="宋体" w:hAnsi="宋体" w:hint="eastAsia"/>
              </w:rPr>
              <w:t>≥</w:t>
            </w:r>
            <w:r w:rsidRPr="00FD50F6">
              <w:t>1000</w:t>
            </w:r>
          </w:p>
        </w:tc>
        <w:tc>
          <w:tcPr>
            <w:tcW w:w="1342" w:type="dxa"/>
            <w:vAlign w:val="center"/>
          </w:tcPr>
          <w:p w14:paraId="0198BAF7" w14:textId="7B422F33" w:rsidR="002D2246" w:rsidRPr="00FD50F6" w:rsidRDefault="00674CD1" w:rsidP="000831EC">
            <w:pPr>
              <w:pStyle w:val="7"/>
            </w:pPr>
            <w:r>
              <w:t>—</w:t>
            </w:r>
          </w:p>
        </w:tc>
        <w:tc>
          <w:tcPr>
            <w:tcW w:w="1068" w:type="dxa"/>
            <w:vAlign w:val="center"/>
          </w:tcPr>
          <w:p w14:paraId="5B493D37" w14:textId="77777777" w:rsidR="002D2246" w:rsidRPr="00FD50F6" w:rsidRDefault="002D2246" w:rsidP="000831EC">
            <w:pPr>
              <w:pStyle w:val="7"/>
            </w:pPr>
            <w:r w:rsidRPr="00FD50F6">
              <w:rPr>
                <w:rFonts w:ascii="宋体" w:hAnsi="宋体" w:hint="eastAsia"/>
              </w:rPr>
              <w:t>≥</w:t>
            </w:r>
            <w:r w:rsidRPr="00FD50F6">
              <w:t>300</w:t>
            </w:r>
          </w:p>
        </w:tc>
        <w:tc>
          <w:tcPr>
            <w:tcW w:w="1331" w:type="dxa"/>
            <w:vAlign w:val="center"/>
          </w:tcPr>
          <w:p w14:paraId="23BE5C9F" w14:textId="3519B4CF" w:rsidR="002D2246" w:rsidRPr="00FD50F6" w:rsidRDefault="00674CD1" w:rsidP="000831EC">
            <w:pPr>
              <w:pStyle w:val="7"/>
            </w:pPr>
            <w:r>
              <w:t>—</w:t>
            </w:r>
          </w:p>
        </w:tc>
      </w:tr>
      <w:tr w:rsidR="00FD50F6" w:rsidRPr="00FD50F6" w14:paraId="60AABECF" w14:textId="77777777" w:rsidTr="00674CD1">
        <w:trPr>
          <w:cantSplit/>
          <w:jc w:val="center"/>
        </w:trPr>
        <w:tc>
          <w:tcPr>
            <w:tcW w:w="3424" w:type="dxa"/>
            <w:gridSpan w:val="2"/>
            <w:vAlign w:val="center"/>
          </w:tcPr>
          <w:p w14:paraId="2481BD68" w14:textId="77777777" w:rsidR="002D2246" w:rsidRPr="00FD50F6" w:rsidRDefault="002D2246" w:rsidP="000831EC">
            <w:pPr>
              <w:pStyle w:val="7"/>
            </w:pPr>
            <w:r w:rsidRPr="00FD50F6">
              <w:t>一侧设电缆支架的通道净宽</w:t>
            </w:r>
          </w:p>
        </w:tc>
        <w:tc>
          <w:tcPr>
            <w:tcW w:w="1107" w:type="dxa"/>
            <w:vAlign w:val="center"/>
          </w:tcPr>
          <w:p w14:paraId="204C1434" w14:textId="77777777" w:rsidR="002D2246" w:rsidRPr="00FD50F6" w:rsidRDefault="002D2246" w:rsidP="000831EC">
            <w:pPr>
              <w:pStyle w:val="7"/>
            </w:pPr>
            <w:r w:rsidRPr="00FD50F6">
              <w:rPr>
                <w:rFonts w:ascii="宋体" w:hAnsi="宋体" w:hint="eastAsia"/>
              </w:rPr>
              <w:t>≥</w:t>
            </w:r>
            <w:r w:rsidRPr="00FD50F6">
              <w:t>900</w:t>
            </w:r>
          </w:p>
        </w:tc>
        <w:tc>
          <w:tcPr>
            <w:tcW w:w="1342" w:type="dxa"/>
            <w:vAlign w:val="center"/>
          </w:tcPr>
          <w:p w14:paraId="21AFC511" w14:textId="7C2AB40A" w:rsidR="002D2246" w:rsidRPr="00FD50F6" w:rsidRDefault="00674CD1" w:rsidP="000831EC">
            <w:pPr>
              <w:pStyle w:val="7"/>
            </w:pPr>
            <w:r>
              <w:t>—</w:t>
            </w:r>
          </w:p>
        </w:tc>
        <w:tc>
          <w:tcPr>
            <w:tcW w:w="1068" w:type="dxa"/>
            <w:vAlign w:val="center"/>
          </w:tcPr>
          <w:p w14:paraId="6F27DD29" w14:textId="77777777" w:rsidR="002D2246" w:rsidRPr="00FD50F6" w:rsidRDefault="002D2246" w:rsidP="000831EC">
            <w:pPr>
              <w:pStyle w:val="7"/>
            </w:pPr>
            <w:r w:rsidRPr="00FD50F6">
              <w:rPr>
                <w:rFonts w:ascii="宋体" w:hAnsi="宋体" w:hint="eastAsia"/>
              </w:rPr>
              <w:t>≥</w:t>
            </w:r>
            <w:r w:rsidRPr="00FD50F6">
              <w:t>300</w:t>
            </w:r>
          </w:p>
        </w:tc>
        <w:tc>
          <w:tcPr>
            <w:tcW w:w="1331" w:type="dxa"/>
            <w:vAlign w:val="center"/>
          </w:tcPr>
          <w:p w14:paraId="675C72BE" w14:textId="6F7521B5" w:rsidR="002D2246" w:rsidRPr="00FD50F6" w:rsidRDefault="00674CD1" w:rsidP="000831EC">
            <w:pPr>
              <w:pStyle w:val="7"/>
            </w:pPr>
            <w:r>
              <w:t>—</w:t>
            </w:r>
          </w:p>
        </w:tc>
      </w:tr>
      <w:tr w:rsidR="00FD50F6" w:rsidRPr="00FD50F6" w14:paraId="3156AA5C" w14:textId="77777777" w:rsidTr="00674CD1">
        <w:trPr>
          <w:cantSplit/>
          <w:jc w:val="center"/>
        </w:trPr>
        <w:tc>
          <w:tcPr>
            <w:tcW w:w="1702" w:type="dxa"/>
            <w:vMerge w:val="restart"/>
            <w:vAlign w:val="center"/>
          </w:tcPr>
          <w:p w14:paraId="365BC08D" w14:textId="15300EDB" w:rsidR="002D2246" w:rsidRPr="00FD50F6" w:rsidRDefault="002D2246" w:rsidP="000831EC">
            <w:pPr>
              <w:pStyle w:val="7"/>
            </w:pPr>
            <w:r w:rsidRPr="00FD50F6">
              <w:t>电缆支架层间距离</w:t>
            </w:r>
          </w:p>
        </w:tc>
        <w:tc>
          <w:tcPr>
            <w:tcW w:w="1722" w:type="dxa"/>
            <w:vAlign w:val="center"/>
          </w:tcPr>
          <w:p w14:paraId="78F6B92F" w14:textId="77777777" w:rsidR="002D2246" w:rsidRPr="00FD50F6" w:rsidRDefault="002D2246" w:rsidP="000831EC">
            <w:pPr>
              <w:pStyle w:val="7"/>
            </w:pPr>
            <w:r w:rsidRPr="00FD50F6">
              <w:t>电力电缆</w:t>
            </w:r>
          </w:p>
        </w:tc>
        <w:tc>
          <w:tcPr>
            <w:tcW w:w="1107" w:type="dxa"/>
            <w:vAlign w:val="center"/>
          </w:tcPr>
          <w:p w14:paraId="2C2B49B8" w14:textId="01C60884" w:rsidR="002D2246" w:rsidRPr="00FD50F6" w:rsidRDefault="00674CD1" w:rsidP="000831EC">
            <w:pPr>
              <w:pStyle w:val="7"/>
            </w:pPr>
            <w:r>
              <w:t>—</w:t>
            </w:r>
          </w:p>
        </w:tc>
        <w:tc>
          <w:tcPr>
            <w:tcW w:w="1342" w:type="dxa"/>
            <w:vAlign w:val="center"/>
          </w:tcPr>
          <w:p w14:paraId="13B7E53F" w14:textId="77777777" w:rsidR="002D2246" w:rsidRPr="00FD50F6" w:rsidRDefault="002D2246" w:rsidP="000831EC">
            <w:pPr>
              <w:pStyle w:val="7"/>
            </w:pPr>
            <w:r w:rsidRPr="00FD50F6">
              <w:rPr>
                <w:rFonts w:ascii="宋体" w:hAnsi="宋体" w:hint="eastAsia"/>
              </w:rPr>
              <w:t>≥</w:t>
            </w:r>
            <w:r w:rsidRPr="00FD50F6">
              <w:t>200</w:t>
            </w:r>
            <w:r w:rsidRPr="00FD50F6">
              <w:t>（</w:t>
            </w:r>
            <w:r w:rsidRPr="00FD50F6">
              <w:t>250</w:t>
            </w:r>
            <w:r w:rsidRPr="00FD50F6">
              <w:t>）</w:t>
            </w:r>
          </w:p>
        </w:tc>
        <w:tc>
          <w:tcPr>
            <w:tcW w:w="1068" w:type="dxa"/>
            <w:vAlign w:val="center"/>
          </w:tcPr>
          <w:p w14:paraId="10E26DB8" w14:textId="296F13A2" w:rsidR="002D2246" w:rsidRPr="00FD50F6" w:rsidRDefault="00674CD1" w:rsidP="000831EC">
            <w:pPr>
              <w:pStyle w:val="7"/>
            </w:pPr>
            <w:r>
              <w:t>—</w:t>
            </w:r>
          </w:p>
        </w:tc>
        <w:tc>
          <w:tcPr>
            <w:tcW w:w="1331" w:type="dxa"/>
            <w:vAlign w:val="center"/>
          </w:tcPr>
          <w:p w14:paraId="5997D86D" w14:textId="77777777" w:rsidR="002D2246" w:rsidRPr="00FD50F6" w:rsidRDefault="002D2246" w:rsidP="000831EC">
            <w:pPr>
              <w:pStyle w:val="7"/>
            </w:pPr>
            <w:r w:rsidRPr="00FD50F6">
              <w:rPr>
                <w:rFonts w:ascii="宋体" w:hAnsi="宋体" w:hint="eastAsia"/>
              </w:rPr>
              <w:t>≥</w:t>
            </w:r>
            <w:r w:rsidRPr="00FD50F6">
              <w:t>200</w:t>
            </w:r>
            <w:r w:rsidRPr="00FD50F6">
              <w:t>（</w:t>
            </w:r>
            <w:r w:rsidRPr="00FD50F6">
              <w:t>250</w:t>
            </w:r>
            <w:r w:rsidRPr="00FD50F6">
              <w:t>）</w:t>
            </w:r>
          </w:p>
        </w:tc>
      </w:tr>
      <w:tr w:rsidR="00FD50F6" w:rsidRPr="00FD50F6" w14:paraId="3E6CE19D" w14:textId="77777777" w:rsidTr="00674CD1">
        <w:trPr>
          <w:cantSplit/>
          <w:jc w:val="center"/>
        </w:trPr>
        <w:tc>
          <w:tcPr>
            <w:tcW w:w="1702" w:type="dxa"/>
            <w:vMerge/>
            <w:vAlign w:val="center"/>
          </w:tcPr>
          <w:p w14:paraId="64D26050" w14:textId="77777777" w:rsidR="002D2246" w:rsidRPr="00FD50F6" w:rsidRDefault="002D2246" w:rsidP="000831EC">
            <w:pPr>
              <w:pStyle w:val="7"/>
            </w:pPr>
          </w:p>
        </w:tc>
        <w:tc>
          <w:tcPr>
            <w:tcW w:w="1722" w:type="dxa"/>
            <w:vAlign w:val="center"/>
          </w:tcPr>
          <w:p w14:paraId="75C5D58B" w14:textId="77777777" w:rsidR="002D2246" w:rsidRPr="00FD50F6" w:rsidRDefault="002D2246" w:rsidP="000831EC">
            <w:pPr>
              <w:pStyle w:val="7"/>
            </w:pPr>
            <w:r w:rsidRPr="00FD50F6">
              <w:t>控制电缆</w:t>
            </w:r>
          </w:p>
        </w:tc>
        <w:tc>
          <w:tcPr>
            <w:tcW w:w="1107" w:type="dxa"/>
            <w:vAlign w:val="center"/>
          </w:tcPr>
          <w:p w14:paraId="419E38B2" w14:textId="5EE88DF4" w:rsidR="002D2246" w:rsidRPr="00FD50F6" w:rsidRDefault="00674CD1" w:rsidP="000831EC">
            <w:pPr>
              <w:pStyle w:val="7"/>
            </w:pPr>
            <w:r>
              <w:t>—</w:t>
            </w:r>
          </w:p>
        </w:tc>
        <w:tc>
          <w:tcPr>
            <w:tcW w:w="1342" w:type="dxa"/>
            <w:vAlign w:val="center"/>
          </w:tcPr>
          <w:p w14:paraId="6DF1E099" w14:textId="77777777" w:rsidR="002D2246" w:rsidRPr="00FD50F6" w:rsidRDefault="002D2246" w:rsidP="000831EC">
            <w:pPr>
              <w:pStyle w:val="7"/>
            </w:pPr>
            <w:r w:rsidRPr="00FD50F6">
              <w:rPr>
                <w:rFonts w:ascii="宋体" w:hAnsi="宋体" w:hint="eastAsia"/>
              </w:rPr>
              <w:t>≥</w:t>
            </w:r>
            <w:r w:rsidRPr="00FD50F6">
              <w:rPr>
                <w:rFonts w:hint="eastAsia"/>
              </w:rPr>
              <w:t>120</w:t>
            </w:r>
          </w:p>
        </w:tc>
        <w:tc>
          <w:tcPr>
            <w:tcW w:w="1068" w:type="dxa"/>
            <w:vAlign w:val="center"/>
          </w:tcPr>
          <w:p w14:paraId="734248E9" w14:textId="03FD3B40" w:rsidR="002D2246" w:rsidRPr="00FD50F6" w:rsidRDefault="00674CD1" w:rsidP="000831EC">
            <w:pPr>
              <w:pStyle w:val="7"/>
            </w:pPr>
            <w:r>
              <w:t>—</w:t>
            </w:r>
          </w:p>
        </w:tc>
        <w:tc>
          <w:tcPr>
            <w:tcW w:w="1331" w:type="dxa"/>
            <w:vAlign w:val="center"/>
          </w:tcPr>
          <w:p w14:paraId="50F4123F" w14:textId="77777777" w:rsidR="002D2246" w:rsidRPr="00FD50F6" w:rsidRDefault="002D2246" w:rsidP="000831EC">
            <w:pPr>
              <w:pStyle w:val="7"/>
            </w:pPr>
            <w:r w:rsidRPr="00FD50F6">
              <w:rPr>
                <w:rFonts w:ascii="宋体" w:hAnsi="宋体" w:hint="eastAsia"/>
              </w:rPr>
              <w:t>≥</w:t>
            </w:r>
            <w:r w:rsidRPr="00FD50F6">
              <w:t>120</w:t>
            </w:r>
          </w:p>
        </w:tc>
      </w:tr>
      <w:tr w:rsidR="00FD50F6" w:rsidRPr="00FD50F6" w14:paraId="505D9934" w14:textId="77777777" w:rsidTr="00674CD1">
        <w:trPr>
          <w:cantSplit/>
          <w:jc w:val="center"/>
        </w:trPr>
        <w:tc>
          <w:tcPr>
            <w:tcW w:w="1702" w:type="dxa"/>
            <w:vMerge w:val="restart"/>
            <w:vAlign w:val="center"/>
          </w:tcPr>
          <w:p w14:paraId="72181EFF" w14:textId="77777777" w:rsidR="002D2246" w:rsidRPr="00FD50F6" w:rsidRDefault="002D2246" w:rsidP="000831EC">
            <w:pPr>
              <w:pStyle w:val="7"/>
            </w:pPr>
            <w:r w:rsidRPr="00FD50F6">
              <w:t>电缆支架之间的距离</w:t>
            </w:r>
          </w:p>
        </w:tc>
        <w:tc>
          <w:tcPr>
            <w:tcW w:w="1722" w:type="dxa"/>
            <w:vAlign w:val="center"/>
          </w:tcPr>
          <w:p w14:paraId="226A0A1C" w14:textId="77777777" w:rsidR="002D2246" w:rsidRPr="00FD50F6" w:rsidRDefault="002D2246" w:rsidP="000831EC">
            <w:pPr>
              <w:pStyle w:val="7"/>
            </w:pPr>
            <w:r w:rsidRPr="00FD50F6">
              <w:t>电力电缆</w:t>
            </w:r>
          </w:p>
        </w:tc>
        <w:tc>
          <w:tcPr>
            <w:tcW w:w="1107" w:type="dxa"/>
            <w:vAlign w:val="center"/>
          </w:tcPr>
          <w:p w14:paraId="5912962F" w14:textId="77777777" w:rsidR="002D2246" w:rsidRPr="00FD50F6" w:rsidRDefault="002D2246" w:rsidP="000831EC">
            <w:pPr>
              <w:pStyle w:val="7"/>
            </w:pPr>
            <w:r w:rsidRPr="00FD50F6">
              <w:rPr>
                <w:rFonts w:ascii="宋体" w:hAnsi="宋体" w:hint="eastAsia"/>
              </w:rPr>
              <w:t>≤</w:t>
            </w:r>
            <w:r w:rsidRPr="00FD50F6">
              <w:t>1000</w:t>
            </w:r>
            <w:r w:rsidRPr="00FD50F6">
              <w:t>（</w:t>
            </w:r>
            <w:r w:rsidRPr="00FD50F6">
              <w:t>1500</w:t>
            </w:r>
            <w:r w:rsidRPr="00FD50F6">
              <w:t>）</w:t>
            </w:r>
          </w:p>
        </w:tc>
        <w:tc>
          <w:tcPr>
            <w:tcW w:w="1342" w:type="dxa"/>
            <w:vAlign w:val="center"/>
          </w:tcPr>
          <w:p w14:paraId="77BCDAFF" w14:textId="6FB6927D" w:rsidR="002D2246" w:rsidRPr="00FD50F6" w:rsidRDefault="002D2246" w:rsidP="000831EC">
            <w:pPr>
              <w:pStyle w:val="7"/>
            </w:pPr>
            <w:r w:rsidRPr="00FD50F6">
              <w:rPr>
                <w:rFonts w:ascii="宋体" w:hAnsi="宋体" w:hint="eastAsia"/>
              </w:rPr>
              <w:t>≤</w:t>
            </w:r>
            <w:r w:rsidRPr="00FD50F6">
              <w:t>1500</w:t>
            </w:r>
            <w:r w:rsidRPr="00FD50F6">
              <w:rPr>
                <w:rFonts w:hint="eastAsia"/>
              </w:rPr>
              <w:t>（</w:t>
            </w:r>
            <w:r w:rsidRPr="00FD50F6">
              <w:rPr>
                <w:rFonts w:hint="eastAsia"/>
              </w:rPr>
              <w:t>3000</w:t>
            </w:r>
            <w:r w:rsidRPr="00FD50F6">
              <w:rPr>
                <w:rFonts w:hint="eastAsia"/>
              </w:rPr>
              <w:t>）</w:t>
            </w:r>
          </w:p>
        </w:tc>
        <w:tc>
          <w:tcPr>
            <w:tcW w:w="1068" w:type="dxa"/>
            <w:vAlign w:val="center"/>
          </w:tcPr>
          <w:p w14:paraId="2AAC0CF5" w14:textId="4A1EC8AF" w:rsidR="002D2246" w:rsidRPr="00FD50F6" w:rsidRDefault="002D2246" w:rsidP="000831EC">
            <w:pPr>
              <w:pStyle w:val="7"/>
            </w:pPr>
            <w:r w:rsidRPr="00FD50F6">
              <w:rPr>
                <w:rFonts w:ascii="宋体" w:hAnsi="宋体" w:hint="eastAsia"/>
              </w:rPr>
              <w:t>≤</w:t>
            </w:r>
            <w:r w:rsidRPr="00FD50F6">
              <w:t>1000</w:t>
            </w:r>
            <w:r w:rsidRPr="00FD50F6">
              <w:rPr>
                <w:rFonts w:hint="eastAsia"/>
              </w:rPr>
              <w:t>（</w:t>
            </w:r>
            <w:r w:rsidRPr="00FD50F6">
              <w:rPr>
                <w:rFonts w:hint="eastAsia"/>
              </w:rPr>
              <w:t>1500</w:t>
            </w:r>
            <w:r w:rsidRPr="00FD50F6">
              <w:rPr>
                <w:rFonts w:hint="eastAsia"/>
              </w:rPr>
              <w:t>）</w:t>
            </w:r>
          </w:p>
        </w:tc>
        <w:tc>
          <w:tcPr>
            <w:tcW w:w="1331" w:type="dxa"/>
            <w:vAlign w:val="center"/>
          </w:tcPr>
          <w:p w14:paraId="2579E547" w14:textId="37EE3041" w:rsidR="002D2246" w:rsidRPr="00FD50F6" w:rsidRDefault="00674CD1" w:rsidP="000831EC">
            <w:pPr>
              <w:pStyle w:val="7"/>
            </w:pPr>
            <w:r>
              <w:t>—</w:t>
            </w:r>
          </w:p>
        </w:tc>
      </w:tr>
      <w:tr w:rsidR="00FD50F6" w:rsidRPr="00FD50F6" w14:paraId="3046B895" w14:textId="77777777" w:rsidTr="00674CD1">
        <w:trPr>
          <w:cantSplit/>
          <w:jc w:val="center"/>
        </w:trPr>
        <w:tc>
          <w:tcPr>
            <w:tcW w:w="1702" w:type="dxa"/>
            <w:vMerge/>
            <w:vAlign w:val="center"/>
          </w:tcPr>
          <w:p w14:paraId="31CB3383" w14:textId="77777777" w:rsidR="002D2246" w:rsidRPr="00FD50F6" w:rsidRDefault="002D2246" w:rsidP="000831EC">
            <w:pPr>
              <w:pStyle w:val="7"/>
            </w:pPr>
          </w:p>
        </w:tc>
        <w:tc>
          <w:tcPr>
            <w:tcW w:w="1722" w:type="dxa"/>
            <w:vAlign w:val="center"/>
          </w:tcPr>
          <w:p w14:paraId="5B83F757" w14:textId="77777777" w:rsidR="002D2246" w:rsidRPr="00FD50F6" w:rsidRDefault="002D2246" w:rsidP="000831EC">
            <w:pPr>
              <w:pStyle w:val="7"/>
            </w:pPr>
            <w:r w:rsidRPr="00FD50F6">
              <w:t>控制电缆</w:t>
            </w:r>
          </w:p>
        </w:tc>
        <w:tc>
          <w:tcPr>
            <w:tcW w:w="1107" w:type="dxa"/>
            <w:vAlign w:val="center"/>
          </w:tcPr>
          <w:p w14:paraId="70B49AC5" w14:textId="77777777" w:rsidR="002D2246" w:rsidRPr="00FD50F6" w:rsidRDefault="002D2246" w:rsidP="000831EC">
            <w:pPr>
              <w:pStyle w:val="7"/>
            </w:pPr>
            <w:r w:rsidRPr="00FD50F6">
              <w:rPr>
                <w:rFonts w:ascii="宋体" w:hAnsi="宋体" w:hint="eastAsia"/>
              </w:rPr>
              <w:t>≤</w:t>
            </w:r>
            <w:r w:rsidRPr="00FD50F6">
              <w:t>800</w:t>
            </w:r>
          </w:p>
        </w:tc>
        <w:tc>
          <w:tcPr>
            <w:tcW w:w="1342" w:type="dxa"/>
            <w:vAlign w:val="center"/>
          </w:tcPr>
          <w:p w14:paraId="5BA2736C" w14:textId="77777777" w:rsidR="002D2246" w:rsidRPr="00FD50F6" w:rsidRDefault="002D2246" w:rsidP="000831EC">
            <w:pPr>
              <w:pStyle w:val="7"/>
            </w:pPr>
            <w:r w:rsidRPr="00FD50F6">
              <w:rPr>
                <w:rFonts w:ascii="宋体" w:hAnsi="宋体" w:hint="eastAsia"/>
              </w:rPr>
              <w:t>≤</w:t>
            </w:r>
            <w:r w:rsidRPr="00FD50F6">
              <w:t>1000</w:t>
            </w:r>
          </w:p>
        </w:tc>
        <w:tc>
          <w:tcPr>
            <w:tcW w:w="1068" w:type="dxa"/>
            <w:vAlign w:val="center"/>
          </w:tcPr>
          <w:p w14:paraId="0232D9D1" w14:textId="77777777" w:rsidR="002D2246" w:rsidRPr="00FD50F6" w:rsidRDefault="002D2246" w:rsidP="000831EC">
            <w:pPr>
              <w:pStyle w:val="7"/>
            </w:pPr>
            <w:r w:rsidRPr="00FD50F6">
              <w:rPr>
                <w:rFonts w:ascii="宋体" w:hAnsi="宋体" w:hint="eastAsia"/>
              </w:rPr>
              <w:t>≤</w:t>
            </w:r>
            <w:r w:rsidRPr="00FD50F6">
              <w:t>800</w:t>
            </w:r>
          </w:p>
        </w:tc>
        <w:tc>
          <w:tcPr>
            <w:tcW w:w="1331" w:type="dxa"/>
            <w:vAlign w:val="center"/>
          </w:tcPr>
          <w:p w14:paraId="73DAE9C2" w14:textId="72D84CD8" w:rsidR="002D2246" w:rsidRPr="00FD50F6" w:rsidRDefault="00674CD1" w:rsidP="000831EC">
            <w:pPr>
              <w:pStyle w:val="7"/>
            </w:pPr>
            <w:r>
              <w:t>—</w:t>
            </w:r>
          </w:p>
        </w:tc>
      </w:tr>
      <w:tr w:rsidR="00FD50F6" w:rsidRPr="00FD50F6" w14:paraId="11BCDE3B" w14:textId="77777777" w:rsidTr="00674CD1">
        <w:trPr>
          <w:cantSplit/>
          <w:jc w:val="center"/>
        </w:trPr>
        <w:tc>
          <w:tcPr>
            <w:tcW w:w="1702" w:type="dxa"/>
            <w:vMerge w:val="restart"/>
            <w:vAlign w:val="center"/>
          </w:tcPr>
          <w:p w14:paraId="1287A97B" w14:textId="1A05C468" w:rsidR="002D2246" w:rsidRPr="00FD50F6" w:rsidRDefault="002D2246" w:rsidP="000831EC">
            <w:pPr>
              <w:pStyle w:val="7"/>
            </w:pPr>
            <w:r w:rsidRPr="00FD50F6">
              <w:t>车站站台板下电缆通道净高</w:t>
            </w:r>
          </w:p>
        </w:tc>
        <w:tc>
          <w:tcPr>
            <w:tcW w:w="1722" w:type="dxa"/>
            <w:vAlign w:val="center"/>
          </w:tcPr>
          <w:p w14:paraId="797D80DD" w14:textId="77777777" w:rsidR="002D2246" w:rsidRPr="00FD50F6" w:rsidRDefault="002D2246" w:rsidP="000831EC">
            <w:pPr>
              <w:pStyle w:val="7"/>
            </w:pPr>
            <w:r w:rsidRPr="00FD50F6">
              <w:t>地上车站</w:t>
            </w:r>
          </w:p>
        </w:tc>
        <w:tc>
          <w:tcPr>
            <w:tcW w:w="1107" w:type="dxa"/>
            <w:vAlign w:val="center"/>
          </w:tcPr>
          <w:p w14:paraId="5EC58C6E" w14:textId="2C540A44" w:rsidR="002D2246" w:rsidRPr="00FD50F6" w:rsidRDefault="00674CD1" w:rsidP="000831EC">
            <w:pPr>
              <w:pStyle w:val="7"/>
            </w:pPr>
            <w:r>
              <w:t>—</w:t>
            </w:r>
          </w:p>
        </w:tc>
        <w:tc>
          <w:tcPr>
            <w:tcW w:w="1342" w:type="dxa"/>
            <w:vAlign w:val="center"/>
          </w:tcPr>
          <w:p w14:paraId="5BA93266" w14:textId="77777777" w:rsidR="002D2246" w:rsidRPr="00FD50F6" w:rsidRDefault="002D2246" w:rsidP="000831EC">
            <w:pPr>
              <w:pStyle w:val="7"/>
            </w:pPr>
            <w:r w:rsidRPr="00FD50F6">
              <w:rPr>
                <w:rFonts w:ascii="宋体" w:hAnsi="宋体" w:hint="eastAsia"/>
              </w:rPr>
              <w:t>≥</w:t>
            </w:r>
            <w:r w:rsidRPr="00FD50F6">
              <w:t>1900</w:t>
            </w:r>
          </w:p>
        </w:tc>
        <w:tc>
          <w:tcPr>
            <w:tcW w:w="1068" w:type="dxa"/>
            <w:vAlign w:val="center"/>
          </w:tcPr>
          <w:p w14:paraId="04FF561D" w14:textId="5331A11D" w:rsidR="002D2246" w:rsidRPr="00FD50F6" w:rsidRDefault="00674CD1" w:rsidP="000831EC">
            <w:pPr>
              <w:pStyle w:val="7"/>
            </w:pPr>
            <w:r>
              <w:t>—</w:t>
            </w:r>
          </w:p>
        </w:tc>
        <w:tc>
          <w:tcPr>
            <w:tcW w:w="1331" w:type="dxa"/>
            <w:vAlign w:val="center"/>
          </w:tcPr>
          <w:p w14:paraId="52974EF5" w14:textId="0A41DCEC" w:rsidR="002D2246" w:rsidRPr="00FD50F6" w:rsidRDefault="00674CD1" w:rsidP="000831EC">
            <w:pPr>
              <w:pStyle w:val="7"/>
            </w:pPr>
            <w:r>
              <w:t>—</w:t>
            </w:r>
          </w:p>
        </w:tc>
      </w:tr>
      <w:tr w:rsidR="00FD50F6" w:rsidRPr="00FD50F6" w14:paraId="65A116F7" w14:textId="77777777" w:rsidTr="00674CD1">
        <w:trPr>
          <w:cantSplit/>
          <w:jc w:val="center"/>
        </w:trPr>
        <w:tc>
          <w:tcPr>
            <w:tcW w:w="1702" w:type="dxa"/>
            <w:vMerge/>
            <w:vAlign w:val="center"/>
          </w:tcPr>
          <w:p w14:paraId="15A62D04" w14:textId="77777777" w:rsidR="002D2246" w:rsidRPr="00FD50F6" w:rsidRDefault="002D2246" w:rsidP="000831EC">
            <w:pPr>
              <w:pStyle w:val="7"/>
            </w:pPr>
          </w:p>
        </w:tc>
        <w:tc>
          <w:tcPr>
            <w:tcW w:w="1722" w:type="dxa"/>
            <w:vAlign w:val="center"/>
          </w:tcPr>
          <w:p w14:paraId="2319B30B" w14:textId="77777777" w:rsidR="002D2246" w:rsidRPr="00FD50F6" w:rsidRDefault="002D2246" w:rsidP="000831EC">
            <w:pPr>
              <w:pStyle w:val="7"/>
            </w:pPr>
            <w:r w:rsidRPr="00FD50F6">
              <w:t>地下车站</w:t>
            </w:r>
          </w:p>
        </w:tc>
        <w:tc>
          <w:tcPr>
            <w:tcW w:w="1107" w:type="dxa"/>
            <w:vAlign w:val="center"/>
          </w:tcPr>
          <w:p w14:paraId="2BF67681" w14:textId="62BE1564" w:rsidR="002D2246" w:rsidRPr="00FD50F6" w:rsidRDefault="00674CD1" w:rsidP="000831EC">
            <w:pPr>
              <w:pStyle w:val="7"/>
            </w:pPr>
            <w:r>
              <w:t>—</w:t>
            </w:r>
          </w:p>
        </w:tc>
        <w:tc>
          <w:tcPr>
            <w:tcW w:w="1342" w:type="dxa"/>
            <w:vAlign w:val="center"/>
          </w:tcPr>
          <w:p w14:paraId="292CED9C" w14:textId="77777777" w:rsidR="002D2246" w:rsidRPr="00FD50F6" w:rsidRDefault="002D2246" w:rsidP="000831EC">
            <w:pPr>
              <w:pStyle w:val="7"/>
            </w:pPr>
            <w:r w:rsidRPr="00FD50F6">
              <w:rPr>
                <w:rFonts w:ascii="宋体" w:hAnsi="宋体" w:hint="eastAsia"/>
              </w:rPr>
              <w:t>≥</w:t>
            </w:r>
            <w:r w:rsidRPr="00FD50F6">
              <w:t>1300</w:t>
            </w:r>
          </w:p>
        </w:tc>
        <w:tc>
          <w:tcPr>
            <w:tcW w:w="1068" w:type="dxa"/>
            <w:vAlign w:val="center"/>
          </w:tcPr>
          <w:p w14:paraId="3BA43CBC" w14:textId="12AE6D68" w:rsidR="002D2246" w:rsidRPr="00FD50F6" w:rsidRDefault="00674CD1" w:rsidP="000831EC">
            <w:pPr>
              <w:pStyle w:val="7"/>
            </w:pPr>
            <w:r>
              <w:t>—</w:t>
            </w:r>
          </w:p>
        </w:tc>
        <w:tc>
          <w:tcPr>
            <w:tcW w:w="1331" w:type="dxa"/>
            <w:vAlign w:val="center"/>
          </w:tcPr>
          <w:p w14:paraId="26BAC194" w14:textId="5C34D220" w:rsidR="002D2246" w:rsidRPr="00FD50F6" w:rsidRDefault="00674CD1" w:rsidP="000831EC">
            <w:pPr>
              <w:pStyle w:val="7"/>
            </w:pPr>
            <w:r>
              <w:t>—</w:t>
            </w:r>
          </w:p>
        </w:tc>
      </w:tr>
      <w:tr w:rsidR="00FD50F6" w:rsidRPr="00FD50F6" w14:paraId="11603F7A" w14:textId="77777777" w:rsidTr="00674CD1">
        <w:trPr>
          <w:cantSplit/>
          <w:jc w:val="center"/>
        </w:trPr>
        <w:tc>
          <w:tcPr>
            <w:tcW w:w="3424" w:type="dxa"/>
            <w:gridSpan w:val="2"/>
            <w:vAlign w:val="center"/>
          </w:tcPr>
          <w:p w14:paraId="6FFAF784" w14:textId="77777777" w:rsidR="002D2246" w:rsidRPr="00FD50F6" w:rsidRDefault="002D2246" w:rsidP="000831EC">
            <w:pPr>
              <w:pStyle w:val="7"/>
            </w:pPr>
            <w:r w:rsidRPr="00FD50F6">
              <w:rPr>
                <w:rFonts w:hint="eastAsia"/>
              </w:rPr>
              <w:t>地下车站</w:t>
            </w:r>
            <w:r w:rsidRPr="00FD50F6">
              <w:t>变电所内电缆夹层净高</w:t>
            </w:r>
          </w:p>
        </w:tc>
        <w:tc>
          <w:tcPr>
            <w:tcW w:w="1107" w:type="dxa"/>
            <w:vAlign w:val="center"/>
          </w:tcPr>
          <w:p w14:paraId="09F6717A" w14:textId="2C8A3316" w:rsidR="002D2246" w:rsidRPr="00FD50F6" w:rsidRDefault="00674CD1" w:rsidP="000831EC">
            <w:pPr>
              <w:pStyle w:val="7"/>
            </w:pPr>
            <w:r>
              <w:t>—</w:t>
            </w:r>
          </w:p>
        </w:tc>
        <w:tc>
          <w:tcPr>
            <w:tcW w:w="1342" w:type="dxa"/>
            <w:vAlign w:val="center"/>
          </w:tcPr>
          <w:p w14:paraId="4E6C05CC" w14:textId="77777777" w:rsidR="002D2246" w:rsidRPr="00FD50F6" w:rsidRDefault="002D2246" w:rsidP="000831EC">
            <w:pPr>
              <w:pStyle w:val="7"/>
            </w:pPr>
            <w:r w:rsidRPr="00FD50F6">
              <w:rPr>
                <w:rFonts w:ascii="宋体" w:hAnsi="宋体" w:hint="eastAsia"/>
              </w:rPr>
              <w:t>≥</w:t>
            </w:r>
            <w:r w:rsidRPr="00FD50F6">
              <w:t>1900</w:t>
            </w:r>
          </w:p>
        </w:tc>
        <w:tc>
          <w:tcPr>
            <w:tcW w:w="1068" w:type="dxa"/>
            <w:vAlign w:val="center"/>
          </w:tcPr>
          <w:p w14:paraId="212750F5" w14:textId="1A171F12" w:rsidR="002D2246" w:rsidRPr="00FD50F6" w:rsidRDefault="00674CD1" w:rsidP="000831EC">
            <w:pPr>
              <w:pStyle w:val="7"/>
            </w:pPr>
            <w:r>
              <w:t>—</w:t>
            </w:r>
          </w:p>
        </w:tc>
        <w:tc>
          <w:tcPr>
            <w:tcW w:w="1331" w:type="dxa"/>
            <w:vAlign w:val="center"/>
          </w:tcPr>
          <w:p w14:paraId="7C59856A" w14:textId="2A94BDB3" w:rsidR="002D2246" w:rsidRPr="00FD50F6" w:rsidRDefault="00674CD1" w:rsidP="000831EC">
            <w:pPr>
              <w:pStyle w:val="7"/>
            </w:pPr>
            <w:r>
              <w:t>—</w:t>
            </w:r>
          </w:p>
        </w:tc>
      </w:tr>
      <w:tr w:rsidR="00FD50F6" w:rsidRPr="00FD50F6" w14:paraId="6983E445" w14:textId="77777777" w:rsidTr="00674CD1">
        <w:trPr>
          <w:cantSplit/>
          <w:trHeight w:val="375"/>
          <w:jc w:val="center"/>
        </w:trPr>
        <w:tc>
          <w:tcPr>
            <w:tcW w:w="3424" w:type="dxa"/>
            <w:gridSpan w:val="2"/>
            <w:vAlign w:val="center"/>
          </w:tcPr>
          <w:p w14:paraId="346FEA7C" w14:textId="77777777" w:rsidR="002D2246" w:rsidRPr="00FD50F6" w:rsidRDefault="002D2246" w:rsidP="000831EC">
            <w:pPr>
              <w:pStyle w:val="7"/>
            </w:pPr>
            <w:r w:rsidRPr="00FD50F6">
              <w:t>电力电缆之间的净距</w:t>
            </w:r>
          </w:p>
        </w:tc>
        <w:tc>
          <w:tcPr>
            <w:tcW w:w="1107" w:type="dxa"/>
            <w:vAlign w:val="center"/>
          </w:tcPr>
          <w:p w14:paraId="4483759B" w14:textId="77777777" w:rsidR="002D2246" w:rsidRPr="00FD50F6" w:rsidRDefault="002D2246" w:rsidP="000831EC">
            <w:pPr>
              <w:pStyle w:val="7"/>
            </w:pPr>
            <w:r w:rsidRPr="00FD50F6">
              <w:rPr>
                <w:rFonts w:ascii="宋体" w:hAnsi="宋体" w:hint="eastAsia"/>
              </w:rPr>
              <w:t>≥</w:t>
            </w:r>
            <w:r w:rsidRPr="00FD50F6">
              <w:t>35</w:t>
            </w:r>
          </w:p>
        </w:tc>
        <w:tc>
          <w:tcPr>
            <w:tcW w:w="1342" w:type="dxa"/>
            <w:vAlign w:val="center"/>
          </w:tcPr>
          <w:p w14:paraId="02439DFE" w14:textId="7A87E657" w:rsidR="002D2246" w:rsidRPr="00FD50F6" w:rsidRDefault="00674CD1" w:rsidP="000831EC">
            <w:pPr>
              <w:pStyle w:val="7"/>
            </w:pPr>
            <w:r>
              <w:t>—</w:t>
            </w:r>
          </w:p>
        </w:tc>
        <w:tc>
          <w:tcPr>
            <w:tcW w:w="1068" w:type="dxa"/>
            <w:vAlign w:val="center"/>
          </w:tcPr>
          <w:p w14:paraId="7710D537" w14:textId="77777777" w:rsidR="002D2246" w:rsidRPr="00FD50F6" w:rsidRDefault="002D2246" w:rsidP="000831EC">
            <w:pPr>
              <w:pStyle w:val="7"/>
            </w:pPr>
            <w:r w:rsidRPr="00FD50F6">
              <w:rPr>
                <w:rFonts w:ascii="宋体" w:hAnsi="宋体" w:hint="eastAsia"/>
              </w:rPr>
              <w:t>≥</w:t>
            </w:r>
            <w:r w:rsidRPr="00FD50F6">
              <w:t>35</w:t>
            </w:r>
          </w:p>
        </w:tc>
        <w:tc>
          <w:tcPr>
            <w:tcW w:w="1331" w:type="dxa"/>
            <w:vAlign w:val="center"/>
          </w:tcPr>
          <w:p w14:paraId="5BD084CF" w14:textId="6A9B6C0E" w:rsidR="002D2246" w:rsidRPr="00FD50F6" w:rsidRDefault="00674CD1" w:rsidP="000831EC">
            <w:pPr>
              <w:pStyle w:val="7"/>
            </w:pPr>
            <w:r>
              <w:t>—</w:t>
            </w:r>
          </w:p>
        </w:tc>
      </w:tr>
    </w:tbl>
    <w:p w14:paraId="620DC9BE" w14:textId="77777777" w:rsidR="002D2246" w:rsidRPr="00FD50F6" w:rsidRDefault="002D2246" w:rsidP="002D2246">
      <w:pPr>
        <w:pStyle w:val="7"/>
        <w:jc w:val="left"/>
        <w:rPr>
          <w:rFonts w:cs="Times New Roman"/>
        </w:rPr>
      </w:pPr>
      <w:r w:rsidRPr="00FD50F6">
        <w:rPr>
          <w:rFonts w:cs="Times New Roman"/>
        </w:rPr>
        <w:t>注</w:t>
      </w:r>
      <w:r w:rsidRPr="00FD50F6">
        <w:rPr>
          <w:rFonts w:cs="Times New Roman" w:hint="eastAsia"/>
        </w:rPr>
        <w:t>：</w:t>
      </w:r>
      <w:r w:rsidRPr="00FD50F6">
        <w:rPr>
          <w:rFonts w:cs="Times New Roman"/>
        </w:rPr>
        <w:t>1</w:t>
      </w:r>
      <w:r w:rsidRPr="00FD50F6">
        <w:rPr>
          <w:rFonts w:cs="Times New Roman" w:hint="eastAsia"/>
        </w:rPr>
        <w:t xml:space="preserve"> </w:t>
      </w:r>
      <w:r w:rsidRPr="00FD50F6">
        <w:rPr>
          <w:rFonts w:cs="Times New Roman" w:hint="eastAsia"/>
        </w:rPr>
        <w:t>当</w:t>
      </w:r>
      <w:r w:rsidRPr="00FD50F6">
        <w:rPr>
          <w:rFonts w:cs="Times New Roman"/>
        </w:rPr>
        <w:t>电力电缆与控制电缆混敷时</w:t>
      </w:r>
      <w:r w:rsidRPr="00FD50F6">
        <w:rPr>
          <w:rFonts w:cs="Times New Roman" w:hint="eastAsia"/>
        </w:rPr>
        <w:t>，</w:t>
      </w:r>
      <w:r w:rsidRPr="00FD50F6">
        <w:rPr>
          <w:rFonts w:cs="Times New Roman"/>
        </w:rPr>
        <w:t>电缆支架之间的距离宜采用控制电缆标准</w:t>
      </w:r>
      <w:r w:rsidRPr="00FD50F6">
        <w:rPr>
          <w:rFonts w:cs="Times New Roman" w:hint="eastAsia"/>
        </w:rPr>
        <w:t>；</w:t>
      </w:r>
    </w:p>
    <w:p w14:paraId="460167BF" w14:textId="77777777" w:rsidR="002D2246" w:rsidRPr="00FD50F6" w:rsidRDefault="002D2246" w:rsidP="002D2246">
      <w:pPr>
        <w:pStyle w:val="7"/>
        <w:ind w:firstLineChars="200" w:firstLine="420"/>
        <w:jc w:val="left"/>
        <w:rPr>
          <w:rFonts w:cs="Times New Roman"/>
        </w:rPr>
      </w:pPr>
      <w:r w:rsidRPr="00FD50F6">
        <w:rPr>
          <w:rFonts w:cs="Times New Roman"/>
        </w:rPr>
        <w:t>2</w:t>
      </w:r>
      <w:r w:rsidRPr="00FD50F6">
        <w:rPr>
          <w:rFonts w:cs="Times New Roman" w:hint="eastAsia"/>
        </w:rPr>
        <w:t xml:space="preserve"> </w:t>
      </w:r>
      <w:r w:rsidRPr="00FD50F6">
        <w:rPr>
          <w:rFonts w:cs="Times New Roman"/>
        </w:rPr>
        <w:t>当控制电缆采用托盘敷设</w:t>
      </w:r>
      <w:r w:rsidRPr="00FD50F6">
        <w:rPr>
          <w:rFonts w:cs="Times New Roman" w:hint="eastAsia"/>
        </w:rPr>
        <w:t>时</w:t>
      </w:r>
      <w:r w:rsidRPr="00FD50F6">
        <w:rPr>
          <w:rFonts w:cs="Times New Roman"/>
        </w:rPr>
        <w:t>，电缆支架层间距离不应小于</w:t>
      </w:r>
      <w:r w:rsidRPr="00FD50F6">
        <w:rPr>
          <w:rFonts w:cs="Times New Roman"/>
        </w:rPr>
        <w:t>200</w:t>
      </w:r>
      <w:r w:rsidRPr="00FD50F6">
        <w:rPr>
          <w:rFonts w:cs="Times New Roman" w:hint="eastAsia"/>
        </w:rPr>
        <w:t>mm</w:t>
      </w:r>
      <w:r w:rsidRPr="00FD50F6">
        <w:rPr>
          <w:rFonts w:cs="Times New Roman" w:hint="eastAsia"/>
        </w:rPr>
        <w:t>；</w:t>
      </w:r>
    </w:p>
    <w:p w14:paraId="3EF5EF8A" w14:textId="77777777" w:rsidR="002D2246" w:rsidRPr="00FD50F6" w:rsidRDefault="002D2246" w:rsidP="002D2246">
      <w:pPr>
        <w:pStyle w:val="7"/>
        <w:ind w:firstLineChars="200" w:firstLine="420"/>
        <w:jc w:val="left"/>
        <w:rPr>
          <w:rFonts w:cs="Times New Roman"/>
        </w:rPr>
      </w:pPr>
      <w:r w:rsidRPr="00FD50F6">
        <w:rPr>
          <w:rFonts w:cs="Times New Roman"/>
        </w:rPr>
        <w:t>3</w:t>
      </w:r>
      <w:r w:rsidRPr="00FD50F6">
        <w:rPr>
          <w:rFonts w:cs="Times New Roman"/>
        </w:rPr>
        <w:t>当</w:t>
      </w:r>
      <w:r w:rsidRPr="00FD50F6">
        <w:rPr>
          <w:rFonts w:cs="Times New Roman" w:hint="eastAsia"/>
        </w:rPr>
        <w:t>电缆支架上只</w:t>
      </w:r>
      <w:r w:rsidRPr="00FD50F6">
        <w:rPr>
          <w:rFonts w:cs="Times New Roman"/>
        </w:rPr>
        <w:t>敷设</w:t>
      </w:r>
      <w:r w:rsidRPr="00FD50F6">
        <w:rPr>
          <w:rFonts w:cs="Times New Roman"/>
        </w:rPr>
        <w:t>35</w:t>
      </w:r>
      <w:r w:rsidRPr="00FD50F6">
        <w:rPr>
          <w:rFonts w:cs="Times New Roman" w:hint="eastAsia"/>
        </w:rPr>
        <w:t>kV</w:t>
      </w:r>
      <w:r w:rsidRPr="00FD50F6">
        <w:rPr>
          <w:rFonts w:cs="Times New Roman" w:hint="eastAsia"/>
        </w:rPr>
        <w:t>电力电缆时，电缆支架间距可采用括号中的数值。</w:t>
      </w:r>
    </w:p>
    <w:p w14:paraId="7BF36336" w14:textId="6A4C93A9" w:rsidR="002D2246" w:rsidRPr="00FD50F6" w:rsidRDefault="002D2246" w:rsidP="002D2246">
      <w:pPr>
        <w:pStyle w:val="30"/>
      </w:pPr>
      <w:r w:rsidRPr="00FD50F6">
        <w:rPr>
          <w:lang w:eastAsia="x-none"/>
        </w:rPr>
        <w:t>电缆的中间接头不应设在车站站台板下。</w:t>
      </w:r>
      <w:r w:rsidRPr="00FD50F6">
        <w:rPr>
          <w:rFonts w:hint="eastAsia"/>
        </w:rPr>
        <w:t>电缆中间接头处应设置电缆支架，在中间接头两侧应预留再次制作中间接头的电缆裕量。</w:t>
      </w:r>
    </w:p>
    <w:p w14:paraId="433205E7" w14:textId="77777777" w:rsidR="002D2246" w:rsidRPr="00FD50F6" w:rsidRDefault="002D2246" w:rsidP="002D2246">
      <w:pPr>
        <w:pStyle w:val="30"/>
      </w:pPr>
      <w:r w:rsidRPr="00FD50F6">
        <w:rPr>
          <w:rFonts w:hint="eastAsia"/>
        </w:rPr>
        <w:t>当</w:t>
      </w:r>
      <w:r w:rsidRPr="00FD50F6">
        <w:t>电缆在同一通道中位于同侧的多层支架上敷设时，排列顺序全线应统一</w:t>
      </w:r>
      <w:r w:rsidRPr="00FD50F6">
        <w:rPr>
          <w:rFonts w:hint="eastAsia"/>
        </w:rPr>
        <w:t>。在满足电缆弯曲要求的情况下，</w:t>
      </w:r>
      <w:r w:rsidRPr="00FD50F6">
        <w:t>宜按电压等级由高至低的电力电缆、强电至弱电的控制电缆由上而下顺序排列。当条件受限时，</w:t>
      </w:r>
      <w:r w:rsidRPr="00FD50F6">
        <w:t>1kV</w:t>
      </w:r>
      <w:r w:rsidRPr="00FD50F6">
        <w:t>及以下电力电缆可与控制电缆敷设在同一层电缆支架上。</w:t>
      </w:r>
    </w:p>
    <w:p w14:paraId="71194F59" w14:textId="16C997FC" w:rsidR="002D2246" w:rsidRPr="00FD50F6" w:rsidRDefault="002D2246" w:rsidP="002D2246">
      <w:pPr>
        <w:pStyle w:val="30"/>
      </w:pPr>
      <w:r w:rsidRPr="00FD50F6">
        <w:t>一级负荷及以上回路的工作与备用电缆应配置在不同侧的支架上。当却有困难时，应配置在不同层的支架上，并应实施防火分隔。</w:t>
      </w:r>
    </w:p>
    <w:p w14:paraId="730600C4" w14:textId="5B0EEA84" w:rsidR="002D2246" w:rsidRPr="00FD50F6" w:rsidRDefault="002D2246" w:rsidP="002D2246">
      <w:pPr>
        <w:pStyle w:val="30"/>
      </w:pPr>
      <w:r w:rsidRPr="00FD50F6">
        <w:t>单洞单线隧道内的电力电缆宜布置在沿行车方向的左侧。单洞双线隧道内的电力电缆</w:t>
      </w:r>
      <w:r w:rsidRPr="00FD50F6">
        <w:rPr>
          <w:rFonts w:hint="eastAsia"/>
        </w:rPr>
        <w:t>应</w:t>
      </w:r>
      <w:r w:rsidRPr="00FD50F6">
        <w:t>布置在隧道两侧。</w:t>
      </w:r>
    </w:p>
    <w:p w14:paraId="48584DB9" w14:textId="77777777" w:rsidR="002D2246" w:rsidRPr="00FD50F6" w:rsidRDefault="002D2246" w:rsidP="002D2246">
      <w:pPr>
        <w:pStyle w:val="30"/>
      </w:pPr>
      <w:r w:rsidRPr="00FD50F6">
        <w:rPr>
          <w:rFonts w:hint="eastAsia"/>
        </w:rPr>
        <w:t>当</w:t>
      </w:r>
      <w:r w:rsidRPr="00FD50F6">
        <w:t>电力电缆与控制电缆沿线路敷设时，应敷设在电缆支架上或电缆沟槽内。</w:t>
      </w:r>
    </w:p>
    <w:p w14:paraId="7EAA890C" w14:textId="77777777" w:rsidR="002D2246" w:rsidRPr="00FD50F6" w:rsidRDefault="002D2246" w:rsidP="002D2246">
      <w:pPr>
        <w:pStyle w:val="30"/>
      </w:pPr>
      <w:r w:rsidRPr="00FD50F6">
        <w:rPr>
          <w:rFonts w:hint="eastAsia"/>
        </w:rPr>
        <w:t>当</w:t>
      </w:r>
      <w:r w:rsidRPr="00FD50F6">
        <w:t>电缆在地上线路采用电缆支架明敷时，</w:t>
      </w:r>
      <w:r w:rsidRPr="00FD50F6">
        <w:rPr>
          <w:rFonts w:hint="eastAsia"/>
        </w:rPr>
        <w:t>应</w:t>
      </w:r>
      <w:r w:rsidRPr="00FD50F6">
        <w:t>采取罩、盖等遮阳措施。</w:t>
      </w:r>
    </w:p>
    <w:p w14:paraId="42704CD3" w14:textId="6647AAE9" w:rsidR="00A55EBF" w:rsidRPr="00FD50F6" w:rsidRDefault="00A55EBF" w:rsidP="00A55EBF">
      <w:pPr>
        <w:pStyle w:val="30"/>
      </w:pPr>
      <w:r w:rsidRPr="00FD50F6">
        <w:t>电力电缆与通信、信号电缆并行明敷时的间距不应小于</w:t>
      </w:r>
      <w:r w:rsidRPr="00FD50F6">
        <w:t>200mm</w:t>
      </w:r>
      <w:r w:rsidRPr="00FD50F6">
        <w:t>；电力电缆与通信、信号电缆垂直交叉的间距不应小于</w:t>
      </w:r>
      <w:r w:rsidRPr="00FD50F6">
        <w:t>50mm</w:t>
      </w:r>
      <w:r w:rsidRPr="00FD50F6">
        <w:t>。</w:t>
      </w:r>
    </w:p>
    <w:p w14:paraId="3114D2D2" w14:textId="77777777" w:rsidR="002D2246" w:rsidRPr="00FD50F6" w:rsidRDefault="002D2246" w:rsidP="002D2246">
      <w:pPr>
        <w:pStyle w:val="30"/>
      </w:pPr>
      <w:r w:rsidRPr="00FD50F6">
        <w:rPr>
          <w:rFonts w:hint="eastAsia"/>
        </w:rPr>
        <w:t>当</w:t>
      </w:r>
      <w:r w:rsidRPr="00FD50F6">
        <w:t>电缆穿越轨道时，可采用轨道下穿硬质非金属管材敷设，</w:t>
      </w:r>
      <w:r w:rsidRPr="00FD50F6">
        <w:rPr>
          <w:rFonts w:hint="eastAsia"/>
        </w:rPr>
        <w:t>地下线路</w:t>
      </w:r>
      <w:r w:rsidRPr="00FD50F6">
        <w:t>也可采用刚性固定方式沿隧道顶部敷设。</w:t>
      </w:r>
    </w:p>
    <w:p w14:paraId="06E88F8B" w14:textId="77777777" w:rsidR="002D2246" w:rsidRPr="00FD50F6" w:rsidRDefault="002D2246" w:rsidP="002D2246">
      <w:pPr>
        <w:pStyle w:val="30"/>
      </w:pPr>
      <w:r w:rsidRPr="00FD50F6">
        <w:rPr>
          <w:rFonts w:hint="eastAsia"/>
        </w:rPr>
        <w:lastRenderedPageBreak/>
        <w:t>当</w:t>
      </w:r>
      <w:r w:rsidRPr="00FD50F6">
        <w:t>直埋电缆进入地铁隧道时，应在隧道外适当位置设置电缆检查井。</w:t>
      </w:r>
    </w:p>
    <w:p w14:paraId="22D78564" w14:textId="77777777" w:rsidR="002D2246" w:rsidRPr="00FD50F6" w:rsidRDefault="002D2246" w:rsidP="002D2246">
      <w:pPr>
        <w:pStyle w:val="30"/>
      </w:pPr>
      <w:r w:rsidRPr="00FD50F6">
        <w:t>金属电缆支架应进行防腐处理，并应接地。</w:t>
      </w:r>
    </w:p>
    <w:p w14:paraId="41250227" w14:textId="1F9751E0" w:rsidR="002D2246" w:rsidRPr="00FD50F6" w:rsidRDefault="002D2246" w:rsidP="002D2246">
      <w:pPr>
        <w:pStyle w:val="30"/>
      </w:pPr>
      <w:r w:rsidRPr="00FD50F6">
        <w:t>中压交流电力电缆金属层的接地方式及其要求应符合现行国家标准《电力工程电缆设计</w:t>
      </w:r>
      <w:r w:rsidRPr="00FD50F6">
        <w:rPr>
          <w:rFonts w:hint="eastAsia"/>
        </w:rPr>
        <w:t>标准</w:t>
      </w:r>
      <w:r w:rsidRPr="00FD50F6">
        <w:t>》</w:t>
      </w:r>
      <w:r w:rsidRPr="00FD50F6">
        <w:t>GB 50217</w:t>
      </w:r>
      <w:r w:rsidRPr="00FD50F6">
        <w:t>的规定。</w:t>
      </w:r>
    </w:p>
    <w:p w14:paraId="43D06E2E" w14:textId="77777777" w:rsidR="002D2246" w:rsidRPr="00FD50F6" w:rsidRDefault="002D2246" w:rsidP="002D2246">
      <w:pPr>
        <w:pStyle w:val="30"/>
      </w:pPr>
      <w:r w:rsidRPr="00FD50F6">
        <w:rPr>
          <w:rFonts w:hint="eastAsia"/>
        </w:rPr>
        <w:t>电缆引入电缆构筑物及</w:t>
      </w:r>
      <w:r w:rsidRPr="00FD50F6">
        <w:t>电缆构筑物中电缆引至电气柜、盘或控制屏的开孔部位，电缆贯穿隔墙、楼板的孔洞处，</w:t>
      </w:r>
      <w:r w:rsidRPr="00FD50F6">
        <w:rPr>
          <w:rFonts w:hint="eastAsia"/>
        </w:rPr>
        <w:t>工作井中电缆管孔等</w:t>
      </w:r>
      <w:r w:rsidRPr="00FD50F6">
        <w:t>均应实施阻火封堵。</w:t>
      </w:r>
      <w:bookmarkStart w:id="627" w:name="_Toc236494103"/>
      <w:bookmarkStart w:id="628" w:name="_Toc236717299"/>
    </w:p>
    <w:p w14:paraId="2E1FB6A6" w14:textId="0BE3B7F7" w:rsidR="002D2246" w:rsidRPr="00FD50F6" w:rsidRDefault="002D2246" w:rsidP="002D2246">
      <w:pPr>
        <w:pStyle w:val="30"/>
      </w:pPr>
      <w:r w:rsidRPr="00FD50F6">
        <w:t>电缆</w:t>
      </w:r>
      <w:r w:rsidRPr="00FD50F6">
        <w:rPr>
          <w:rFonts w:hint="eastAsia"/>
        </w:rPr>
        <w:t>的其他设计要求</w:t>
      </w:r>
      <w:r w:rsidRPr="00FD50F6">
        <w:t>应符合现行国家标准《电力工程电缆设计</w:t>
      </w:r>
      <w:r w:rsidRPr="00FD50F6">
        <w:rPr>
          <w:rFonts w:hint="eastAsia"/>
        </w:rPr>
        <w:t>标准</w:t>
      </w:r>
      <w:r w:rsidRPr="00FD50F6">
        <w:t>》</w:t>
      </w:r>
      <w:r w:rsidRPr="00FD50F6">
        <w:t>GB 50217</w:t>
      </w:r>
      <w:r w:rsidRPr="00FD50F6">
        <w:rPr>
          <w:rFonts w:hint="eastAsia"/>
        </w:rPr>
        <w:t>和《民用建筑电气设计标准》</w:t>
      </w:r>
      <w:r w:rsidRPr="00FD50F6">
        <w:rPr>
          <w:rFonts w:hint="eastAsia"/>
        </w:rPr>
        <w:t>GB</w:t>
      </w:r>
      <w:r w:rsidRPr="00FD50F6">
        <w:t xml:space="preserve"> 51348</w:t>
      </w:r>
      <w:r w:rsidRPr="00FD50F6">
        <w:t>的规定。</w:t>
      </w:r>
    </w:p>
    <w:p w14:paraId="11AED347" w14:textId="77777777" w:rsidR="002D2246" w:rsidRPr="00FD50F6" w:rsidRDefault="002D2246" w:rsidP="00A65181">
      <w:pPr>
        <w:pStyle w:val="2"/>
      </w:pPr>
      <w:bookmarkStart w:id="629" w:name="_Toc306206752"/>
      <w:bookmarkStart w:id="630" w:name="_Toc320196037"/>
      <w:bookmarkStart w:id="631" w:name="_Toc320643427"/>
      <w:bookmarkStart w:id="632" w:name="_Toc344218788"/>
      <w:bookmarkStart w:id="633" w:name="_Toc112830759"/>
      <w:r w:rsidRPr="00FD50F6">
        <w:t>动力与照明</w:t>
      </w:r>
      <w:bookmarkEnd w:id="627"/>
      <w:bookmarkEnd w:id="628"/>
      <w:bookmarkEnd w:id="629"/>
      <w:bookmarkEnd w:id="630"/>
      <w:bookmarkEnd w:id="631"/>
      <w:bookmarkEnd w:id="632"/>
      <w:bookmarkEnd w:id="633"/>
    </w:p>
    <w:p w14:paraId="7AEBFD84" w14:textId="77777777" w:rsidR="002D2246" w:rsidRPr="00FD50F6" w:rsidRDefault="002D2246" w:rsidP="002D2246">
      <w:pPr>
        <w:pStyle w:val="30"/>
      </w:pPr>
      <w:r w:rsidRPr="00FD50F6">
        <w:t>地铁用电设备的负荷分级应符合下列规定：</w:t>
      </w:r>
    </w:p>
    <w:p w14:paraId="4A69B008" w14:textId="77777777" w:rsidR="002D2246" w:rsidRPr="00FD50F6" w:rsidRDefault="002D2246" w:rsidP="00A926BD">
      <w:pPr>
        <w:pStyle w:val="4"/>
      </w:pPr>
      <w:r w:rsidRPr="00FD50F6">
        <w:t>下列负荷应为一级负荷：</w:t>
      </w:r>
    </w:p>
    <w:p w14:paraId="5392FF24" w14:textId="77777777" w:rsidR="002D2246" w:rsidRPr="00FD50F6" w:rsidRDefault="002D2246" w:rsidP="002D2246">
      <w:pPr>
        <w:pStyle w:val="5"/>
        <w:ind w:firstLine="480"/>
      </w:pPr>
      <w:r w:rsidRPr="00FD50F6">
        <w:t>火灾或其他灾害仍需使用的用电设备</w:t>
      </w:r>
      <w:r w:rsidRPr="00FD50F6">
        <w:rPr>
          <w:rFonts w:hint="eastAsia"/>
        </w:rPr>
        <w:t>：</w:t>
      </w:r>
      <w:r w:rsidRPr="00FD50F6">
        <w:t>火灾自动报警系统设备、消防水</w:t>
      </w:r>
      <w:r w:rsidRPr="00FD50F6">
        <w:rPr>
          <w:rFonts w:hint="eastAsia"/>
        </w:rPr>
        <w:t xml:space="preserve"> </w:t>
      </w:r>
      <w:r w:rsidRPr="00FD50F6">
        <w:t xml:space="preserve"> </w:t>
      </w:r>
      <w:r w:rsidRPr="00FD50F6">
        <w:t>泵及消防水管电保温设备、防排烟风机及各类防火排烟阀、防火（卷帘）门、消防疏散用自动扶梯、消防电梯、应急照明、主排水泵、雨水泵、防淹门</w:t>
      </w:r>
      <w:r w:rsidRPr="00FD50F6">
        <w:rPr>
          <w:rFonts w:hint="eastAsia"/>
        </w:rPr>
        <w:t>等</w:t>
      </w:r>
      <w:r w:rsidRPr="00FD50F6">
        <w:t>；</w:t>
      </w:r>
    </w:p>
    <w:p w14:paraId="4952F8EB" w14:textId="77777777" w:rsidR="002D2246" w:rsidRPr="00FD50F6" w:rsidRDefault="002D2246" w:rsidP="002D2246">
      <w:pPr>
        <w:pStyle w:val="5"/>
        <w:ind w:firstLine="480"/>
      </w:pPr>
      <w:r w:rsidRPr="00FD50F6">
        <w:rPr>
          <w:rFonts w:hint="eastAsia"/>
        </w:rPr>
        <w:t>保障地铁正常运行的用电设备：</w:t>
      </w:r>
      <w:r w:rsidRPr="00FD50F6">
        <w:t>通信系统设备、信号系统设备、综合监控系统设备、电力监控系统设备、环境与设备监控系统设备、门禁系统设备、安防设施</w:t>
      </w:r>
      <w:r w:rsidRPr="00FD50F6">
        <w:rPr>
          <w:rFonts w:hint="eastAsia"/>
        </w:rPr>
        <w:t>、</w:t>
      </w:r>
      <w:r w:rsidRPr="00FD50F6">
        <w:t>自动售检票设备、站台</w:t>
      </w:r>
      <w:r w:rsidRPr="00FD50F6">
        <w:rPr>
          <w:rFonts w:hint="eastAsia"/>
        </w:rPr>
        <w:t>屏蔽</w:t>
      </w:r>
      <w:r w:rsidRPr="00FD50F6">
        <w:t>门设备、变电所</w:t>
      </w:r>
      <w:r w:rsidRPr="00FD50F6">
        <w:rPr>
          <w:rFonts w:hint="eastAsia"/>
        </w:rPr>
        <w:t>和牵引网交直流自用电设备</w:t>
      </w:r>
      <w:r w:rsidRPr="00FD50F6">
        <w:t>、地下站厅站台等公共区照明、地下区间照明、供暖区的锅炉房设备</w:t>
      </w:r>
      <w:r w:rsidRPr="00FD50F6">
        <w:rPr>
          <w:rFonts w:hint="eastAsia"/>
        </w:rPr>
        <w:t>、寒冷地区的道岔融雪用电设备</w:t>
      </w:r>
      <w:r w:rsidRPr="00FD50F6">
        <w:t>等；</w:t>
      </w:r>
    </w:p>
    <w:p w14:paraId="0F243E58" w14:textId="77777777" w:rsidR="002D2246" w:rsidRPr="00FD50F6" w:rsidRDefault="002D2246" w:rsidP="002D2246">
      <w:pPr>
        <w:pStyle w:val="5"/>
        <w:ind w:firstLine="480"/>
        <w:rPr>
          <w:lang w:eastAsia="x-none"/>
        </w:rPr>
      </w:pPr>
      <w:r w:rsidRPr="00FD50F6">
        <w:rPr>
          <w:rFonts w:hint="eastAsia"/>
        </w:rPr>
        <w:t>保障一级负荷中特别重要负荷正常运行的配套设备；</w:t>
      </w:r>
    </w:p>
    <w:p w14:paraId="7C7869D1" w14:textId="59918279" w:rsidR="002D2246" w:rsidRPr="00FD50F6" w:rsidRDefault="002D2246" w:rsidP="00A926BD">
      <w:pPr>
        <w:pStyle w:val="4"/>
      </w:pPr>
      <w:r w:rsidRPr="00FD50F6">
        <w:t>火灾自动报警系统设备、环境与设备监控系统设备、专用通信系统设备、信号系统设备、</w:t>
      </w:r>
      <w:r w:rsidRPr="00FD50F6">
        <w:rPr>
          <w:rFonts w:hint="eastAsia"/>
        </w:rPr>
        <w:t>综合监控系统设备</w:t>
      </w:r>
      <w:r w:rsidR="00674CD1">
        <w:rPr>
          <w:rFonts w:hint="eastAsia"/>
        </w:rPr>
        <w:t>、</w:t>
      </w:r>
      <w:r w:rsidRPr="00FD50F6">
        <w:t>地下车站及区间的应急照明</w:t>
      </w:r>
      <w:r w:rsidR="00674CD1">
        <w:t>应</w:t>
      </w:r>
      <w:r w:rsidRPr="00FD50F6">
        <w:t>为一级负荷中特别重要负荷。</w:t>
      </w:r>
    </w:p>
    <w:p w14:paraId="32806B71" w14:textId="35D4D43E" w:rsidR="002D2246" w:rsidRPr="00FD50F6" w:rsidRDefault="002D2246" w:rsidP="00A926BD">
      <w:pPr>
        <w:pStyle w:val="4"/>
      </w:pPr>
      <w:r w:rsidRPr="00FD50F6">
        <w:t>乘客信息系统、</w:t>
      </w:r>
      <w:r w:rsidRPr="00FD50F6">
        <w:rPr>
          <w:rFonts w:hint="eastAsia"/>
        </w:rPr>
        <w:t>系统设备的</w:t>
      </w:r>
      <w:r w:rsidRPr="00FD50F6">
        <w:t>检修电源、地上站厅站台等公共区照明</w:t>
      </w:r>
      <w:r w:rsidRPr="00FD50F6">
        <w:rPr>
          <w:rFonts w:hint="eastAsia"/>
        </w:rPr>
        <w:t>及区间照明</w:t>
      </w:r>
      <w:r w:rsidRPr="00FD50F6">
        <w:t>、附属房间照明、普通风机、排污泵、电梯、非消防疏散用自动扶梯和自动人行道</w:t>
      </w:r>
      <w:r w:rsidR="00674CD1">
        <w:t>及</w:t>
      </w:r>
      <w:r w:rsidR="00674CD1" w:rsidRPr="00FD50F6">
        <w:rPr>
          <w:rFonts w:hint="eastAsia"/>
        </w:rPr>
        <w:t>保障</w:t>
      </w:r>
      <w:r w:rsidRPr="00FD50F6">
        <w:rPr>
          <w:rFonts w:hint="eastAsia"/>
        </w:rPr>
        <w:t>一级负荷正常工作的配套设备等</w:t>
      </w:r>
      <w:r w:rsidRPr="00FD50F6">
        <w:t>应为二级负荷</w:t>
      </w:r>
      <w:r w:rsidRPr="00FD50F6">
        <w:rPr>
          <w:rFonts w:hint="eastAsia"/>
        </w:rPr>
        <w:t>。</w:t>
      </w:r>
    </w:p>
    <w:p w14:paraId="03A692EA" w14:textId="11283441" w:rsidR="002D2246" w:rsidRPr="00FD50F6" w:rsidRDefault="002D2246" w:rsidP="00A926BD">
      <w:pPr>
        <w:pStyle w:val="4"/>
      </w:pPr>
      <w:r w:rsidRPr="00FD50F6">
        <w:t>区间检修设备、附属房间电源插座、车站空调制冷及水系统设备、广告照</w:t>
      </w:r>
      <w:r w:rsidRPr="00FD50F6">
        <w:lastRenderedPageBreak/>
        <w:t>明、清洁设备、电热设备、培训及模拟系统设备</w:t>
      </w:r>
      <w:r w:rsidRPr="00FD50F6">
        <w:rPr>
          <w:rFonts w:hint="eastAsia"/>
        </w:rPr>
        <w:t>等</w:t>
      </w:r>
      <w:r w:rsidRPr="00FD50F6">
        <w:t>应为三级负荷</w:t>
      </w:r>
      <w:r w:rsidRPr="00FD50F6">
        <w:rPr>
          <w:rFonts w:hint="eastAsia"/>
        </w:rPr>
        <w:t>。</w:t>
      </w:r>
    </w:p>
    <w:p w14:paraId="285ECBB7" w14:textId="424BB93A" w:rsidR="002D2246" w:rsidRPr="00FD50F6" w:rsidRDefault="002D2246" w:rsidP="00A926BD">
      <w:pPr>
        <w:pStyle w:val="4"/>
      </w:pPr>
      <w:r w:rsidRPr="00FD50F6">
        <w:t>车辆基地、控制中心大楼内建筑电气设备的负荷分级应符合现行</w:t>
      </w:r>
      <w:r w:rsidRPr="00FD50F6">
        <w:rPr>
          <w:rFonts w:hint="eastAsia"/>
        </w:rPr>
        <w:t>国家</w:t>
      </w:r>
      <w:r w:rsidRPr="00FD50F6">
        <w:t>标准</w:t>
      </w:r>
      <w:r w:rsidRPr="00FD50F6">
        <w:rPr>
          <w:rFonts w:hint="eastAsia"/>
        </w:rPr>
        <w:t>《民用建筑电气设计标准》</w:t>
      </w:r>
      <w:r w:rsidRPr="00FD50F6">
        <w:rPr>
          <w:rFonts w:hint="eastAsia"/>
        </w:rPr>
        <w:t>GB</w:t>
      </w:r>
      <w:r w:rsidRPr="00FD50F6">
        <w:t xml:space="preserve"> 51348</w:t>
      </w:r>
      <w:r w:rsidRPr="00FD50F6">
        <w:t>的规定</w:t>
      </w:r>
      <w:r w:rsidRPr="00FD50F6">
        <w:rPr>
          <w:rFonts w:hint="eastAsia"/>
        </w:rPr>
        <w:t>，控制中心的机房用电设备的负荷分级应符合现行国家标准《数据中心设计规范》</w:t>
      </w:r>
      <w:r w:rsidRPr="00FD50F6">
        <w:rPr>
          <w:rFonts w:hint="eastAsia"/>
        </w:rPr>
        <w:t>GB</w:t>
      </w:r>
      <w:r w:rsidRPr="00FD50F6">
        <w:t xml:space="preserve"> </w:t>
      </w:r>
      <w:r w:rsidRPr="00FD50F6">
        <w:rPr>
          <w:rFonts w:hint="eastAsia"/>
        </w:rPr>
        <w:t>50174</w:t>
      </w:r>
      <w:r w:rsidRPr="00FD50F6">
        <w:rPr>
          <w:rFonts w:hint="eastAsia"/>
        </w:rPr>
        <w:t>的规定</w:t>
      </w:r>
      <w:r w:rsidRPr="00FD50F6">
        <w:t>。</w:t>
      </w:r>
    </w:p>
    <w:p w14:paraId="57B9E181" w14:textId="6E0DC288" w:rsidR="002D2246" w:rsidRPr="00FD50F6" w:rsidRDefault="002D2246" w:rsidP="00A926BD">
      <w:pPr>
        <w:pStyle w:val="4"/>
      </w:pPr>
      <w:r w:rsidRPr="00FD50F6">
        <w:rPr>
          <w:rFonts w:hint="eastAsia"/>
        </w:rPr>
        <w:t>其他用电设备的负荷等级的确定应符合现行国家标准《供配电设计规范》</w:t>
      </w:r>
      <w:r w:rsidRPr="00FD50F6">
        <w:rPr>
          <w:rFonts w:hint="eastAsia"/>
        </w:rPr>
        <w:t>GB 50052</w:t>
      </w:r>
      <w:r w:rsidRPr="00FD50F6">
        <w:rPr>
          <w:rFonts w:hint="eastAsia"/>
        </w:rPr>
        <w:t>的规定。</w:t>
      </w:r>
    </w:p>
    <w:p w14:paraId="110CEA48" w14:textId="77777777" w:rsidR="002D2246" w:rsidRPr="00FD50F6" w:rsidRDefault="002D2246" w:rsidP="002D2246">
      <w:pPr>
        <w:pStyle w:val="30"/>
      </w:pPr>
      <w:r w:rsidRPr="00FD50F6">
        <w:t>动力照明配电应符合下列规定：</w:t>
      </w:r>
    </w:p>
    <w:p w14:paraId="37848C85" w14:textId="20ECBACB" w:rsidR="002D2246" w:rsidRPr="00FD50F6" w:rsidRDefault="002D2246" w:rsidP="00A926BD">
      <w:pPr>
        <w:pStyle w:val="4"/>
      </w:pPr>
      <w:r w:rsidRPr="00FD50F6">
        <w:rPr>
          <w:rFonts w:hint="eastAsia"/>
        </w:rPr>
        <w:t>消防及其他防灾用电设备应采用专用的供电回路，消防配电设备应采用红色文字标识。</w:t>
      </w:r>
    </w:p>
    <w:p w14:paraId="730FA547" w14:textId="34C6BA10" w:rsidR="002D2246" w:rsidRPr="00FD50F6" w:rsidRDefault="002D2246" w:rsidP="00A926BD">
      <w:pPr>
        <w:pStyle w:val="4"/>
      </w:pPr>
      <w:bookmarkStart w:id="634" w:name="OLE_LINK42"/>
      <w:r w:rsidRPr="00FD50F6">
        <w:t>配电变压器二次侧</w:t>
      </w:r>
      <w:bookmarkEnd w:id="634"/>
      <w:r w:rsidRPr="00FD50F6">
        <w:t>至用电设备之间的低压配电级数不宜超过三级</w:t>
      </w:r>
      <w:r w:rsidRPr="00FD50F6">
        <w:rPr>
          <w:rFonts w:hint="eastAsia"/>
        </w:rPr>
        <w:t>。</w:t>
      </w:r>
    </w:p>
    <w:p w14:paraId="3A448244" w14:textId="46DCDA1E" w:rsidR="002D2246" w:rsidRPr="00FD50F6" w:rsidRDefault="002D2246" w:rsidP="00A926BD">
      <w:pPr>
        <w:pStyle w:val="4"/>
      </w:pPr>
      <w:r w:rsidRPr="00FD50F6">
        <w:t>各级配电开关设备宜预留备用回路</w:t>
      </w:r>
      <w:r w:rsidRPr="00FD50F6">
        <w:rPr>
          <w:rFonts w:hint="eastAsia"/>
        </w:rPr>
        <w:t>。</w:t>
      </w:r>
    </w:p>
    <w:p w14:paraId="71462CB6" w14:textId="448E9D2B" w:rsidR="002D2246" w:rsidRPr="00FD50F6" w:rsidRDefault="002D2246" w:rsidP="00A926BD">
      <w:pPr>
        <w:pStyle w:val="4"/>
      </w:pPr>
      <w:r w:rsidRPr="00FD50F6">
        <w:t>动力照明配电设备宜集中布置。车站应设动力照明配电室，在通风设备容量较大且设备较集中场所及冷冻机房处等，宜设配电室。</w:t>
      </w:r>
      <w:r w:rsidRPr="00FD50F6">
        <w:rPr>
          <w:rFonts w:hint="eastAsia"/>
        </w:rPr>
        <w:t>当</w:t>
      </w:r>
      <w:r w:rsidRPr="00FD50F6">
        <w:t>车辆基地的单体建筑物内用电设备容量较大且在该建筑物内没有降压变电所时，应设配电室</w:t>
      </w:r>
      <w:r w:rsidRPr="00FD50F6">
        <w:rPr>
          <w:rFonts w:hint="eastAsia"/>
        </w:rPr>
        <w:t>。</w:t>
      </w:r>
    </w:p>
    <w:p w14:paraId="2C2E434C" w14:textId="5BAB31A3" w:rsidR="002D2246" w:rsidRPr="00FD50F6" w:rsidRDefault="002D2246" w:rsidP="00A926BD">
      <w:pPr>
        <w:pStyle w:val="4"/>
      </w:pPr>
      <w:r w:rsidRPr="00FD50F6">
        <w:t>负荷性质重要或用电负荷容量较大的集中设备应采用放射式配电</w:t>
      </w:r>
      <w:r w:rsidRPr="00FD50F6">
        <w:rPr>
          <w:rFonts w:hint="eastAsia"/>
        </w:rPr>
        <w:t>。</w:t>
      </w:r>
    </w:p>
    <w:p w14:paraId="05D873C9" w14:textId="519C32C6" w:rsidR="002D2246" w:rsidRPr="00FD50F6" w:rsidRDefault="002D2246" w:rsidP="00A926BD">
      <w:pPr>
        <w:pStyle w:val="4"/>
      </w:pPr>
      <w:r w:rsidRPr="00FD50F6">
        <w:t>中小容量动力设备宜采用树干式配电。用电点集中且容量较小的次要用电设备可采用链式配电，链接的设备不宜超过</w:t>
      </w:r>
      <w:r w:rsidRPr="00FD50F6">
        <w:t>5</w:t>
      </w:r>
      <w:r w:rsidRPr="00FD50F6">
        <w:t>台，其总容量不</w:t>
      </w:r>
      <w:r w:rsidRPr="00FD50F6">
        <w:rPr>
          <w:rFonts w:hint="eastAsia"/>
        </w:rPr>
        <w:t>宜</w:t>
      </w:r>
      <w:r w:rsidRPr="00FD50F6">
        <w:t>超过</w:t>
      </w:r>
      <w:r w:rsidRPr="00FD50F6">
        <w:t>10kW</w:t>
      </w:r>
      <w:r w:rsidRPr="00FD50F6">
        <w:rPr>
          <w:rFonts w:hint="eastAsia"/>
        </w:rPr>
        <w:t>。</w:t>
      </w:r>
    </w:p>
    <w:p w14:paraId="5BDE89D5" w14:textId="7D663909" w:rsidR="002D2246" w:rsidRPr="00FD50F6" w:rsidRDefault="002D2246" w:rsidP="00A926BD">
      <w:pPr>
        <w:pStyle w:val="4"/>
      </w:pPr>
      <w:r w:rsidRPr="00FD50F6">
        <w:t>区间照明电压偏差允许值应为＋</w:t>
      </w:r>
      <w:r w:rsidRPr="00FD50F6">
        <w:t>5</w:t>
      </w:r>
      <w:r w:rsidRPr="00FD50F6">
        <w:t>％～－</w:t>
      </w:r>
      <w:r w:rsidRPr="00FD50F6">
        <w:t>10</w:t>
      </w:r>
      <w:r w:rsidRPr="00FD50F6">
        <w:t>％，其他用电设备端子处电压偏差允许值应符合现行国家标准《供配电系统设计规范》</w:t>
      </w:r>
      <w:r w:rsidRPr="00FD50F6">
        <w:t xml:space="preserve"> GB 50052</w:t>
      </w:r>
      <w:r w:rsidRPr="00FD50F6">
        <w:t>的规定</w:t>
      </w:r>
      <w:r w:rsidRPr="00FD50F6">
        <w:rPr>
          <w:rFonts w:hint="eastAsia"/>
        </w:rPr>
        <w:t>。</w:t>
      </w:r>
    </w:p>
    <w:p w14:paraId="035AA9D7" w14:textId="55A70315" w:rsidR="002D2246" w:rsidRPr="00FD50F6" w:rsidRDefault="002D2246" w:rsidP="00A926BD">
      <w:pPr>
        <w:pStyle w:val="4"/>
      </w:pPr>
      <w:r w:rsidRPr="00FD50F6">
        <w:rPr>
          <w:rFonts w:hint="eastAsia"/>
        </w:rPr>
        <w:t>电缆夹层、站台板下</w:t>
      </w:r>
      <w:r w:rsidRPr="00FD50F6">
        <w:t>电缆通道</w:t>
      </w:r>
      <w:r w:rsidRPr="00FD50F6">
        <w:rPr>
          <w:rFonts w:hint="eastAsia"/>
        </w:rPr>
        <w:t>和电缆隧道</w:t>
      </w:r>
      <w:r w:rsidRPr="00FD50F6">
        <w:t>应设照明，其电压不应超过</w:t>
      </w:r>
      <w:r w:rsidRPr="00FD50F6">
        <w:t>36V</w:t>
      </w:r>
      <w:r w:rsidRPr="00FD50F6">
        <w:rPr>
          <w:rFonts w:hint="eastAsia"/>
        </w:rPr>
        <w:t>。</w:t>
      </w:r>
    </w:p>
    <w:p w14:paraId="48326171" w14:textId="032E1D5E" w:rsidR="002D2246" w:rsidRPr="00FD50F6" w:rsidRDefault="002D2246" w:rsidP="00A926BD">
      <w:pPr>
        <w:pStyle w:val="4"/>
      </w:pPr>
      <w:r w:rsidRPr="00FD50F6">
        <w:t>容量较大、负荷平稳且经常使用的用电设备，宜单独就地设置无功功率补偿装置</w:t>
      </w:r>
      <w:r w:rsidRPr="00FD50F6">
        <w:rPr>
          <w:rFonts w:hint="eastAsia"/>
        </w:rPr>
        <w:t>。</w:t>
      </w:r>
    </w:p>
    <w:p w14:paraId="4FD0F8B4" w14:textId="1B293F5F" w:rsidR="002D2246" w:rsidRPr="00FD50F6" w:rsidRDefault="002D2246" w:rsidP="00A926BD">
      <w:pPr>
        <w:pStyle w:val="4"/>
      </w:pPr>
      <w:r w:rsidRPr="00FD50F6">
        <w:t>动力设备及照明的控制可采用就地控制和远方控制</w:t>
      </w:r>
      <w:r w:rsidRPr="00FD50F6">
        <w:rPr>
          <w:rFonts w:hint="eastAsia"/>
        </w:rPr>
        <w:t>。</w:t>
      </w:r>
    </w:p>
    <w:p w14:paraId="1EE1E443" w14:textId="1870D70A" w:rsidR="002D2246" w:rsidRPr="00FD50F6" w:rsidRDefault="002D2246" w:rsidP="00A926BD">
      <w:pPr>
        <w:pStyle w:val="4"/>
      </w:pPr>
      <w:r w:rsidRPr="00FD50F6">
        <w:t>区间和道岔附近应设置维修用移动电器的电源设施；车站站厅和站台宜设置清扫用移动电器的安全型电源插座</w:t>
      </w:r>
      <w:r w:rsidRPr="00FD50F6">
        <w:rPr>
          <w:rFonts w:hint="eastAsia"/>
        </w:rPr>
        <w:t>。</w:t>
      </w:r>
    </w:p>
    <w:p w14:paraId="5AFEB422" w14:textId="3BF6559A" w:rsidR="002D2246" w:rsidRPr="00FD50F6" w:rsidRDefault="002D2246" w:rsidP="00A926BD">
      <w:pPr>
        <w:pStyle w:val="4"/>
      </w:pPr>
      <w:r w:rsidRPr="00FD50F6">
        <w:t>插座回路应具有漏电保护功能</w:t>
      </w:r>
      <w:r w:rsidRPr="00FD50F6">
        <w:rPr>
          <w:rFonts w:hint="eastAsia"/>
        </w:rPr>
        <w:t>。</w:t>
      </w:r>
    </w:p>
    <w:p w14:paraId="7851555D" w14:textId="77777777" w:rsidR="002D2246" w:rsidRPr="00FD50F6" w:rsidRDefault="002D2246" w:rsidP="00A926BD">
      <w:pPr>
        <w:pStyle w:val="4"/>
      </w:pPr>
      <w:r w:rsidRPr="00FD50F6">
        <w:rPr>
          <w:rFonts w:hint="eastAsia"/>
        </w:rPr>
        <w:t>一级负荷的双电源切换装置应采用</w:t>
      </w:r>
      <w:r w:rsidRPr="00FD50F6">
        <w:rPr>
          <w:rFonts w:hint="eastAsia"/>
        </w:rPr>
        <w:t>4P</w:t>
      </w:r>
      <w:r w:rsidRPr="00FD50F6">
        <w:rPr>
          <w:rFonts w:hint="eastAsia"/>
        </w:rPr>
        <w:t>开关电器。</w:t>
      </w:r>
    </w:p>
    <w:p w14:paraId="6344C8E5" w14:textId="77777777" w:rsidR="002D2246" w:rsidRPr="00FD50F6" w:rsidRDefault="002D2246" w:rsidP="002D2246">
      <w:pPr>
        <w:pStyle w:val="30"/>
      </w:pPr>
      <w:r w:rsidRPr="00FD50F6">
        <w:rPr>
          <w:lang w:eastAsia="x-none"/>
        </w:rPr>
        <w:t>照明种类可分为正常照明、应急照明、值班照明和过渡照明。</w:t>
      </w:r>
      <w:r w:rsidRPr="00FD50F6">
        <w:rPr>
          <w:rFonts w:hint="eastAsia"/>
        </w:rPr>
        <w:t>照明应采用高效、节能、环保光源，区间照明灯具应采用防水型，防护等级不应低于</w:t>
      </w:r>
      <w:r w:rsidRPr="00FD50F6">
        <w:rPr>
          <w:rFonts w:hint="eastAsia"/>
        </w:rPr>
        <w:t>IP65</w:t>
      </w:r>
      <w:r w:rsidRPr="00FD50F6">
        <w:rPr>
          <w:rFonts w:hint="eastAsia"/>
        </w:rPr>
        <w:t>。</w:t>
      </w:r>
    </w:p>
    <w:p w14:paraId="60DBD99F" w14:textId="77777777" w:rsidR="002D2246" w:rsidRPr="00FD50F6" w:rsidRDefault="002D2246" w:rsidP="002D2246">
      <w:pPr>
        <w:pStyle w:val="30"/>
      </w:pPr>
      <w:r w:rsidRPr="00FD50F6">
        <w:lastRenderedPageBreak/>
        <w:t>地下车站公共区的照明负荷应交叉配电、分组控制。</w:t>
      </w:r>
    </w:p>
    <w:p w14:paraId="6D38A032" w14:textId="743ECCE9" w:rsidR="002D2246" w:rsidRPr="00FD50F6" w:rsidRDefault="002D2246" w:rsidP="002D2246">
      <w:pPr>
        <w:pStyle w:val="30"/>
      </w:pPr>
      <w:r w:rsidRPr="00FD50F6">
        <w:t>照明照度标准应符合现行国家标准《城市轨道交通照明》</w:t>
      </w:r>
      <w:r w:rsidRPr="00FD50F6">
        <w:t>GB/T 16275</w:t>
      </w:r>
      <w:r w:rsidRPr="00FD50F6">
        <w:t>的规定。</w:t>
      </w:r>
    </w:p>
    <w:p w14:paraId="30668C89" w14:textId="77777777" w:rsidR="002D2246" w:rsidRPr="00FD50F6" w:rsidRDefault="002D2246" w:rsidP="002D2246">
      <w:pPr>
        <w:pStyle w:val="30"/>
      </w:pPr>
      <w:r w:rsidRPr="00FD50F6">
        <w:rPr>
          <w:rFonts w:hint="eastAsia"/>
        </w:rPr>
        <w:t>照明灯具安装位置应便于维修和维护。</w:t>
      </w:r>
    </w:p>
    <w:p w14:paraId="692A2CAC" w14:textId="77777777" w:rsidR="002D2246" w:rsidRPr="00FD50F6" w:rsidRDefault="002D2246" w:rsidP="002D2246">
      <w:pPr>
        <w:pStyle w:val="30"/>
      </w:pPr>
      <w:r w:rsidRPr="00FD50F6">
        <w:rPr>
          <w:rFonts w:hint="eastAsia"/>
        </w:rPr>
        <w:t>车辆基地场区宜设置高杆照明。</w:t>
      </w:r>
    </w:p>
    <w:p w14:paraId="1200B893" w14:textId="77777777" w:rsidR="002D2246" w:rsidRPr="00FD50F6" w:rsidRDefault="002D2246" w:rsidP="002D2246">
      <w:pPr>
        <w:pStyle w:val="30"/>
      </w:pPr>
      <w:r w:rsidRPr="00FD50F6">
        <w:t>车站、区间、控制中心、车辆基地内的单体建筑等应设置包括建筑物或构筑物结构钢筋在内的总等电位联结。</w:t>
      </w:r>
    </w:p>
    <w:p w14:paraId="40B59D12" w14:textId="77777777" w:rsidR="002D2246" w:rsidRPr="00FD50F6" w:rsidRDefault="002D2246" w:rsidP="002D2246">
      <w:pPr>
        <w:pStyle w:val="30"/>
        <w:rPr>
          <w:rFonts w:ascii="宋体" w:hAnsi="宋体"/>
        </w:rPr>
      </w:pPr>
      <w:r w:rsidRPr="00FD50F6">
        <w:rPr>
          <w:rFonts w:hint="eastAsia"/>
        </w:rPr>
        <w:t>车辆基地的场区和高架桥应采取防雷措施。车辆基地场区的防雷宜利用高杆照明的金属灯杆；高架桥宜利用架空接触网架空地线或照明灯杆、栏杆、声屏障等金属设施作为接闪器，桥墩结构钢筋应作为防雷引下线，桥墩基础结构钢筋应作为接地装置，防雷引下线间距不宜大于</w:t>
      </w:r>
      <w:r w:rsidRPr="00FD50F6">
        <w:rPr>
          <w:rFonts w:hint="eastAsia"/>
        </w:rPr>
        <w:t>200m</w:t>
      </w:r>
      <w:r w:rsidRPr="00FD50F6">
        <w:rPr>
          <w:rFonts w:hint="eastAsia"/>
        </w:rPr>
        <w:t>。冲击接地电阻不应大于</w:t>
      </w:r>
      <w:r w:rsidRPr="00FD50F6">
        <w:rPr>
          <w:rFonts w:hint="eastAsia"/>
        </w:rPr>
        <w:t>10</w:t>
      </w:r>
      <w:r w:rsidRPr="00FD50F6">
        <w:rPr>
          <w:rFonts w:ascii="宋体" w:hAnsi="宋体" w:hint="eastAsia"/>
        </w:rPr>
        <w:t>Ω。</w:t>
      </w:r>
    </w:p>
    <w:p w14:paraId="125781D3" w14:textId="2847E9ED" w:rsidR="002D2246" w:rsidRPr="00FD50F6" w:rsidRDefault="002D2246" w:rsidP="002D2246">
      <w:pPr>
        <w:pStyle w:val="30"/>
      </w:pPr>
      <w:r w:rsidRPr="00FD50F6">
        <w:t>防雷设计</w:t>
      </w:r>
      <w:r w:rsidRPr="00FD50F6">
        <w:rPr>
          <w:rFonts w:hint="eastAsia"/>
        </w:rPr>
        <w:t>其他设计要求</w:t>
      </w:r>
      <w:r w:rsidRPr="00FD50F6">
        <w:t>应符合现行国家标准《建筑物防雷设计规范》</w:t>
      </w:r>
      <w:r w:rsidRPr="00FD50F6">
        <w:t>GB 50057</w:t>
      </w:r>
      <w:r w:rsidRPr="00FD50F6">
        <w:t>和《建筑物电子信息系统防雷技术规范》</w:t>
      </w:r>
      <w:r w:rsidRPr="00FD50F6">
        <w:t>GB 50343</w:t>
      </w:r>
      <w:r w:rsidRPr="00FD50F6">
        <w:t>的规定。</w:t>
      </w:r>
    </w:p>
    <w:p w14:paraId="421C3DAA" w14:textId="29FF9D62" w:rsidR="002D2246" w:rsidRPr="00FD50F6" w:rsidRDefault="002D2246" w:rsidP="002D2246">
      <w:pPr>
        <w:pStyle w:val="30"/>
      </w:pPr>
      <w:r w:rsidRPr="00FD50F6">
        <w:t>动力照明的其他设计要求应符合国家现行标准《低压配电设计规范》</w:t>
      </w:r>
      <w:r w:rsidRPr="00FD50F6">
        <w:t xml:space="preserve"> GB 50054</w:t>
      </w:r>
      <w:r w:rsidRPr="00FD50F6">
        <w:t>、《通用用电设备配电设计规范》</w:t>
      </w:r>
      <w:r w:rsidRPr="00FD50F6">
        <w:t xml:space="preserve"> GB 50055</w:t>
      </w:r>
      <w:r w:rsidRPr="00FD50F6">
        <w:t>和</w:t>
      </w:r>
      <w:r w:rsidRPr="00FD50F6">
        <w:rPr>
          <w:rFonts w:hint="eastAsia"/>
        </w:rPr>
        <w:t>《民用建筑电气设计标准》</w:t>
      </w:r>
      <w:r w:rsidRPr="00FD50F6">
        <w:rPr>
          <w:rFonts w:hint="eastAsia"/>
        </w:rPr>
        <w:t>GB</w:t>
      </w:r>
      <w:r w:rsidRPr="00FD50F6">
        <w:t xml:space="preserve"> 51348</w:t>
      </w:r>
      <w:r w:rsidRPr="00FD50F6">
        <w:t>的规定。</w:t>
      </w:r>
    </w:p>
    <w:p w14:paraId="50767D92" w14:textId="77777777" w:rsidR="002D2246" w:rsidRPr="00FD50F6" w:rsidRDefault="002D2246" w:rsidP="00A65181">
      <w:pPr>
        <w:pStyle w:val="2"/>
      </w:pPr>
      <w:bookmarkStart w:id="635" w:name="_Toc236494104"/>
      <w:bookmarkStart w:id="636" w:name="_Toc236717300"/>
      <w:bookmarkStart w:id="637" w:name="_Toc306206753"/>
      <w:bookmarkStart w:id="638" w:name="_Toc320196038"/>
      <w:bookmarkStart w:id="639" w:name="_Toc320643428"/>
      <w:bookmarkStart w:id="640" w:name="_Toc344218789"/>
      <w:bookmarkStart w:id="641" w:name="_Toc112830760"/>
      <w:r w:rsidRPr="00FD50F6">
        <w:t>电力监控</w:t>
      </w:r>
      <w:bookmarkEnd w:id="635"/>
      <w:bookmarkEnd w:id="636"/>
      <w:bookmarkEnd w:id="637"/>
      <w:bookmarkEnd w:id="638"/>
      <w:bookmarkEnd w:id="639"/>
      <w:bookmarkEnd w:id="640"/>
      <w:bookmarkEnd w:id="641"/>
    </w:p>
    <w:p w14:paraId="6CBC2992" w14:textId="5CE7B80B" w:rsidR="002D2246" w:rsidRPr="00FD50F6" w:rsidRDefault="002D2246" w:rsidP="002D2246">
      <w:pPr>
        <w:pStyle w:val="30"/>
      </w:pPr>
      <w:r w:rsidRPr="00FD50F6">
        <w:t>地铁供电系统应设置电力监控系统</w:t>
      </w:r>
      <w:r w:rsidRPr="00FD50F6">
        <w:rPr>
          <w:rFonts w:hint="eastAsia"/>
        </w:rPr>
        <w:t>，</w:t>
      </w:r>
      <w:r w:rsidRPr="00FD50F6">
        <w:t>其系统构成、监控对象、功能要求应根据供电系统的特点、运营要求、通道条件确定。</w:t>
      </w:r>
    </w:p>
    <w:p w14:paraId="0993B696" w14:textId="77777777" w:rsidR="002D2246" w:rsidRPr="00FD50F6" w:rsidRDefault="002D2246" w:rsidP="002D2246">
      <w:pPr>
        <w:pStyle w:val="30"/>
      </w:pPr>
      <w:r w:rsidRPr="00FD50F6">
        <w:t>电力监控系统应包括电力调度系统（主站）、变电所综合自动化系统（子站）及联系主站和子站的专用数据传输通道。</w:t>
      </w:r>
    </w:p>
    <w:p w14:paraId="02D04561" w14:textId="408C59DC" w:rsidR="002D2246" w:rsidRPr="00FD50F6" w:rsidRDefault="002D2246" w:rsidP="002D2246">
      <w:pPr>
        <w:pStyle w:val="30"/>
      </w:pPr>
      <w:r w:rsidRPr="00FD50F6">
        <w:t>电力监控系统的设备选型、系统容量和功能配置应满足系统稳定与发展的需要。</w:t>
      </w:r>
    </w:p>
    <w:p w14:paraId="0B024626" w14:textId="77777777" w:rsidR="002D2246" w:rsidRPr="00FD50F6" w:rsidRDefault="002D2246" w:rsidP="002D2246">
      <w:pPr>
        <w:pStyle w:val="30"/>
      </w:pPr>
      <w:r w:rsidRPr="00FD50F6">
        <w:t>当设有综合监控系统时，电力调度系统</w:t>
      </w:r>
      <w:r w:rsidRPr="00FD50F6">
        <w:rPr>
          <w:rFonts w:hint="eastAsia"/>
        </w:rPr>
        <w:t>宜</w:t>
      </w:r>
      <w:r w:rsidRPr="00FD50F6">
        <w:t>集成到综合监控系统中。</w:t>
      </w:r>
    </w:p>
    <w:p w14:paraId="7149E437" w14:textId="63601AEC" w:rsidR="002D2246" w:rsidRPr="00FD50F6" w:rsidRDefault="002D2246" w:rsidP="002D2246">
      <w:pPr>
        <w:pStyle w:val="30"/>
      </w:pPr>
      <w:r w:rsidRPr="00FD50F6">
        <w:t>电力监控系统的传输通道设计要求应包括通道的结构形式、主</w:t>
      </w:r>
      <w:r w:rsidRPr="00FD50F6">
        <w:t>/</w:t>
      </w:r>
      <w:r w:rsidRPr="00FD50F6">
        <w:t>备通道的配置方式、远动信息传输通道的接口形式和通道的性能要求等。</w:t>
      </w:r>
    </w:p>
    <w:p w14:paraId="3AC4FC98" w14:textId="77777777" w:rsidR="002D2246" w:rsidRPr="00FD50F6" w:rsidRDefault="002D2246" w:rsidP="002D2246">
      <w:pPr>
        <w:pStyle w:val="30"/>
      </w:pPr>
      <w:r w:rsidRPr="00FD50F6">
        <w:t>电力监控系统的功能应满足变电所无人值守的运行要求。</w:t>
      </w:r>
    </w:p>
    <w:p w14:paraId="321B300E" w14:textId="77777777" w:rsidR="002D2246" w:rsidRPr="00FD50F6" w:rsidRDefault="002D2246" w:rsidP="002D2246">
      <w:pPr>
        <w:pStyle w:val="30"/>
      </w:pPr>
      <w:r w:rsidRPr="00FD50F6">
        <w:lastRenderedPageBreak/>
        <w:t>电力监控系统宜采用通信系统的标准时钟信号。</w:t>
      </w:r>
    </w:p>
    <w:p w14:paraId="580F64F2" w14:textId="77777777" w:rsidR="002D2246" w:rsidRPr="00FD50F6" w:rsidRDefault="002D2246" w:rsidP="002D2246">
      <w:pPr>
        <w:pStyle w:val="30"/>
      </w:pPr>
      <w:r w:rsidRPr="00FD50F6">
        <w:t>系统功能应包括遥控、遥信、遥测、遥调，并应具备数据传输及处理、</w:t>
      </w:r>
      <w:r w:rsidRPr="00FD50F6">
        <w:rPr>
          <w:rFonts w:hint="eastAsia"/>
        </w:rPr>
        <w:t>故障信息</w:t>
      </w:r>
      <w:r w:rsidRPr="00FD50F6">
        <w:t>处理及统计报表、用户画面、自检、维护和扩展、信息查询、安全管理、系统组态、在线检测、时钟同步、培训等功能。</w:t>
      </w:r>
    </w:p>
    <w:p w14:paraId="61A08C47" w14:textId="77777777" w:rsidR="002D2246" w:rsidRPr="00FD50F6" w:rsidRDefault="002D2246" w:rsidP="002D2246">
      <w:pPr>
        <w:pStyle w:val="30"/>
      </w:pPr>
      <w:r w:rsidRPr="00FD50F6">
        <w:t>遥控对象应包括下列基本内容：</w:t>
      </w:r>
    </w:p>
    <w:p w14:paraId="67325D00" w14:textId="77777777" w:rsidR="002D2246" w:rsidRPr="00FD50F6" w:rsidRDefault="002D2246" w:rsidP="00A926BD">
      <w:pPr>
        <w:pStyle w:val="4"/>
      </w:pPr>
      <w:r w:rsidRPr="00FD50F6">
        <w:t>中压及以上电压等级的断路器、电动负荷开关及系统用电动隔离开关；</w:t>
      </w:r>
    </w:p>
    <w:p w14:paraId="1226C7B5" w14:textId="77777777" w:rsidR="002D2246" w:rsidRPr="00FD50F6" w:rsidRDefault="002D2246" w:rsidP="00A926BD">
      <w:pPr>
        <w:pStyle w:val="4"/>
      </w:pPr>
      <w:r w:rsidRPr="00FD50F6">
        <w:t>直流快速断路器、电动隔离开关；</w:t>
      </w:r>
    </w:p>
    <w:p w14:paraId="74C82425" w14:textId="77777777" w:rsidR="002D2246" w:rsidRPr="00FD50F6" w:rsidRDefault="002D2246" w:rsidP="00A926BD">
      <w:pPr>
        <w:pStyle w:val="4"/>
      </w:pPr>
      <w:r w:rsidRPr="00FD50F6">
        <w:t>低压配电系统需要远方控制的断路器；</w:t>
      </w:r>
    </w:p>
    <w:p w14:paraId="3D1FA4E4" w14:textId="77777777" w:rsidR="002D2246" w:rsidRPr="00FD50F6" w:rsidRDefault="002D2246" w:rsidP="00A926BD">
      <w:pPr>
        <w:pStyle w:val="4"/>
      </w:pPr>
      <w:r w:rsidRPr="00FD50F6">
        <w:t>跳闸等动作的远动复归、保护及自动装置的投</w:t>
      </w:r>
      <w:r w:rsidRPr="00FD50F6">
        <w:t>/</w:t>
      </w:r>
      <w:r w:rsidRPr="00FD50F6">
        <w:t>退。</w:t>
      </w:r>
    </w:p>
    <w:p w14:paraId="020585A4" w14:textId="77777777" w:rsidR="002D2246" w:rsidRPr="00FD50F6" w:rsidRDefault="002D2246" w:rsidP="002D2246">
      <w:pPr>
        <w:pStyle w:val="30"/>
      </w:pPr>
      <w:r w:rsidRPr="00FD50F6">
        <w:t>遥信对象应包括下列基本内容：</w:t>
      </w:r>
    </w:p>
    <w:p w14:paraId="28E48AA5" w14:textId="77777777" w:rsidR="002D2246" w:rsidRPr="00FD50F6" w:rsidRDefault="002D2246" w:rsidP="00A926BD">
      <w:pPr>
        <w:pStyle w:val="4"/>
      </w:pPr>
      <w:r w:rsidRPr="00FD50F6">
        <w:t>遥控对象的位置信号；</w:t>
      </w:r>
    </w:p>
    <w:p w14:paraId="62A799E8" w14:textId="77777777" w:rsidR="002D2246" w:rsidRPr="00FD50F6" w:rsidRDefault="002D2246" w:rsidP="00A926BD">
      <w:pPr>
        <w:pStyle w:val="4"/>
      </w:pPr>
      <w:r w:rsidRPr="00FD50F6">
        <w:rPr>
          <w:rFonts w:hint="eastAsia"/>
        </w:rPr>
        <w:t>中压、低压和直流保护装置及回路</w:t>
      </w:r>
      <w:r w:rsidRPr="00FD50F6">
        <w:t>故障报警及断路器跳闸信号；</w:t>
      </w:r>
    </w:p>
    <w:p w14:paraId="52C85271" w14:textId="77777777" w:rsidR="002D2246" w:rsidRPr="00FD50F6" w:rsidRDefault="002D2246" w:rsidP="00A926BD">
      <w:pPr>
        <w:pStyle w:val="4"/>
      </w:pPr>
      <w:r w:rsidRPr="00FD50F6">
        <w:t>中压</w:t>
      </w:r>
      <w:r w:rsidRPr="00FD50F6">
        <w:rPr>
          <w:rFonts w:hint="eastAsia"/>
        </w:rPr>
        <w:t>网络</w:t>
      </w:r>
      <w:r w:rsidRPr="00FD50F6">
        <w:t>进</w:t>
      </w:r>
      <w:r w:rsidRPr="00FD50F6">
        <w:rPr>
          <w:rFonts w:hint="eastAsia"/>
        </w:rPr>
        <w:t>、出</w:t>
      </w:r>
      <w:r w:rsidRPr="00FD50F6">
        <w:t>线</w:t>
      </w:r>
      <w:r w:rsidRPr="00FD50F6">
        <w:rPr>
          <w:rFonts w:hint="eastAsia"/>
        </w:rPr>
        <w:t>的</w:t>
      </w:r>
      <w:r w:rsidRPr="00FD50F6">
        <w:t>带电显示信号；</w:t>
      </w:r>
    </w:p>
    <w:p w14:paraId="6A0F87E0" w14:textId="77777777" w:rsidR="002D2246" w:rsidRPr="00FD50F6" w:rsidRDefault="002D2246" w:rsidP="00A926BD">
      <w:pPr>
        <w:pStyle w:val="4"/>
      </w:pPr>
      <w:r w:rsidRPr="00FD50F6">
        <w:t>所用交、直流设备的电源故障信号；</w:t>
      </w:r>
    </w:p>
    <w:p w14:paraId="70DC7982" w14:textId="77777777" w:rsidR="002D2246" w:rsidRPr="00FD50F6" w:rsidRDefault="002D2246" w:rsidP="00A926BD">
      <w:pPr>
        <w:pStyle w:val="4"/>
      </w:pPr>
      <w:r w:rsidRPr="00FD50F6">
        <w:rPr>
          <w:rFonts w:hint="eastAsia"/>
        </w:rPr>
        <w:t>所用直流电源屏蓄电池异常及故障报警信号；</w:t>
      </w:r>
    </w:p>
    <w:p w14:paraId="552E67F6" w14:textId="77777777" w:rsidR="002D2246" w:rsidRPr="00FD50F6" w:rsidRDefault="002D2246" w:rsidP="00A926BD">
      <w:pPr>
        <w:pStyle w:val="4"/>
      </w:pPr>
      <w:r w:rsidRPr="00FD50F6">
        <w:t>钢轨电位限制装置的动作及自动恢复信号；</w:t>
      </w:r>
    </w:p>
    <w:p w14:paraId="70572C65" w14:textId="77777777" w:rsidR="002D2246" w:rsidRPr="00FD50F6" w:rsidRDefault="002D2246" w:rsidP="00A926BD">
      <w:pPr>
        <w:pStyle w:val="4"/>
      </w:pPr>
      <w:r w:rsidRPr="00FD50F6">
        <w:rPr>
          <w:rFonts w:hint="eastAsia"/>
        </w:rPr>
        <w:t>中压、直流</w:t>
      </w:r>
      <w:r w:rsidRPr="00FD50F6">
        <w:t>断路器手车信号；</w:t>
      </w:r>
    </w:p>
    <w:p w14:paraId="5B4F0B56" w14:textId="77777777" w:rsidR="002D2246" w:rsidRPr="00FD50F6" w:rsidRDefault="002D2246" w:rsidP="00A926BD">
      <w:pPr>
        <w:pStyle w:val="4"/>
      </w:pPr>
      <w:r w:rsidRPr="00FD50F6">
        <w:t>控制</w:t>
      </w:r>
      <w:r w:rsidRPr="00FD50F6">
        <w:rPr>
          <w:rFonts w:hint="eastAsia"/>
        </w:rPr>
        <w:t>、</w:t>
      </w:r>
      <w:r w:rsidRPr="00FD50F6">
        <w:t>转换开关位置信号。</w:t>
      </w:r>
    </w:p>
    <w:p w14:paraId="0272CAC5" w14:textId="77777777" w:rsidR="002D2246" w:rsidRPr="00FD50F6" w:rsidRDefault="002D2246" w:rsidP="002D2246">
      <w:pPr>
        <w:pStyle w:val="30"/>
      </w:pPr>
      <w:r w:rsidRPr="00FD50F6">
        <w:t>遥测对象应包括下列基本内容：</w:t>
      </w:r>
    </w:p>
    <w:p w14:paraId="08D9A9F5" w14:textId="77777777" w:rsidR="002D2246" w:rsidRPr="00FD50F6" w:rsidRDefault="002D2246" w:rsidP="00A926BD">
      <w:pPr>
        <w:pStyle w:val="4"/>
      </w:pPr>
      <w:r w:rsidRPr="00FD50F6">
        <w:rPr>
          <w:rFonts w:hint="eastAsia"/>
        </w:rPr>
        <w:t>中压、低压</w:t>
      </w:r>
      <w:r w:rsidRPr="00FD50F6">
        <w:t>进线的电流、功率、电能</w:t>
      </w:r>
      <w:r w:rsidRPr="00FD50F6">
        <w:rPr>
          <w:rFonts w:hint="eastAsia"/>
        </w:rPr>
        <w:t>、功率因数、谐波</w:t>
      </w:r>
      <w:r w:rsidRPr="00FD50F6">
        <w:t>；</w:t>
      </w:r>
    </w:p>
    <w:p w14:paraId="2159CCF0" w14:textId="77777777" w:rsidR="002D2246" w:rsidRPr="00FD50F6" w:rsidRDefault="002D2246" w:rsidP="00A926BD">
      <w:pPr>
        <w:pStyle w:val="4"/>
      </w:pPr>
      <w:r w:rsidRPr="00FD50F6">
        <w:rPr>
          <w:rFonts w:hint="eastAsia"/>
        </w:rPr>
        <w:t>直流进线的电流；</w:t>
      </w:r>
    </w:p>
    <w:p w14:paraId="0D17CEC0" w14:textId="77777777" w:rsidR="002D2246" w:rsidRPr="00FD50F6" w:rsidRDefault="002D2246" w:rsidP="00A926BD">
      <w:pPr>
        <w:pStyle w:val="4"/>
      </w:pPr>
      <w:r w:rsidRPr="00FD50F6">
        <w:rPr>
          <w:rFonts w:hint="eastAsia"/>
        </w:rPr>
        <w:t>中压和低压分段开关电流；</w:t>
      </w:r>
    </w:p>
    <w:p w14:paraId="65634F7C" w14:textId="77777777" w:rsidR="002D2246" w:rsidRPr="00FD50F6" w:rsidRDefault="002D2246" w:rsidP="00A926BD">
      <w:pPr>
        <w:pStyle w:val="4"/>
      </w:pPr>
      <w:r w:rsidRPr="00FD50F6">
        <w:t>中压母线电压；</w:t>
      </w:r>
    </w:p>
    <w:p w14:paraId="2DED454A" w14:textId="77777777" w:rsidR="002D2246" w:rsidRPr="00FD50F6" w:rsidRDefault="002D2246" w:rsidP="00A926BD">
      <w:pPr>
        <w:pStyle w:val="4"/>
      </w:pPr>
      <w:r w:rsidRPr="00FD50F6">
        <w:t>牵引直流母线电压；</w:t>
      </w:r>
    </w:p>
    <w:p w14:paraId="028805FF" w14:textId="77777777" w:rsidR="002D2246" w:rsidRPr="00FD50F6" w:rsidRDefault="002D2246" w:rsidP="00A926BD">
      <w:pPr>
        <w:pStyle w:val="4"/>
      </w:pPr>
      <w:r w:rsidRPr="00FD50F6">
        <w:rPr>
          <w:rFonts w:hint="eastAsia"/>
        </w:rPr>
        <w:t>低压母线侧电压；</w:t>
      </w:r>
    </w:p>
    <w:p w14:paraId="375AC082" w14:textId="77777777" w:rsidR="002D2246" w:rsidRPr="00FD50F6" w:rsidRDefault="002D2246" w:rsidP="00A926BD">
      <w:pPr>
        <w:pStyle w:val="4"/>
      </w:pPr>
      <w:r w:rsidRPr="00FD50F6">
        <w:t>牵引整流机组电流</w:t>
      </w:r>
      <w:r w:rsidRPr="00FD50F6">
        <w:rPr>
          <w:rFonts w:hint="eastAsia"/>
        </w:rPr>
        <w:t>、</w:t>
      </w:r>
      <w:r w:rsidRPr="00FD50F6">
        <w:t>电能</w:t>
      </w:r>
      <w:r w:rsidRPr="00FD50F6">
        <w:rPr>
          <w:rFonts w:hint="eastAsia"/>
        </w:rPr>
        <w:t>、谐波</w:t>
      </w:r>
      <w:r w:rsidRPr="00FD50F6">
        <w:t>、</w:t>
      </w:r>
      <w:r w:rsidRPr="00FD50F6">
        <w:rPr>
          <w:rFonts w:hint="eastAsia"/>
        </w:rPr>
        <w:t>温度</w:t>
      </w:r>
      <w:r w:rsidRPr="00FD50F6">
        <w:t>；</w:t>
      </w:r>
    </w:p>
    <w:p w14:paraId="2F980FE6" w14:textId="77777777" w:rsidR="002D2246" w:rsidRPr="00FD50F6" w:rsidRDefault="002D2246" w:rsidP="00A926BD">
      <w:pPr>
        <w:pStyle w:val="4"/>
      </w:pPr>
      <w:r w:rsidRPr="00FD50F6">
        <w:rPr>
          <w:rFonts w:hint="eastAsia"/>
        </w:rPr>
        <w:t>直流馈线电流；</w:t>
      </w:r>
    </w:p>
    <w:p w14:paraId="77A6BEC5" w14:textId="77777777" w:rsidR="002D2246" w:rsidRPr="00FD50F6" w:rsidRDefault="002D2246" w:rsidP="00A926BD">
      <w:pPr>
        <w:pStyle w:val="4"/>
      </w:pPr>
      <w:r w:rsidRPr="00FD50F6">
        <w:rPr>
          <w:rFonts w:hint="eastAsia"/>
        </w:rPr>
        <w:t>列车再生能量利用装置电流与电能；</w:t>
      </w:r>
    </w:p>
    <w:p w14:paraId="52F19210" w14:textId="77777777" w:rsidR="002D2246" w:rsidRPr="00FD50F6" w:rsidRDefault="002D2246" w:rsidP="00A926BD">
      <w:pPr>
        <w:pStyle w:val="4"/>
      </w:pPr>
      <w:r w:rsidRPr="00FD50F6">
        <w:t>配电变压器电流</w:t>
      </w:r>
      <w:r w:rsidRPr="00FD50F6">
        <w:rPr>
          <w:rFonts w:hint="eastAsia"/>
        </w:rPr>
        <w:t>、</w:t>
      </w:r>
      <w:r w:rsidRPr="00FD50F6">
        <w:t>电能</w:t>
      </w:r>
      <w:r w:rsidRPr="00FD50F6">
        <w:rPr>
          <w:rFonts w:hint="eastAsia"/>
        </w:rPr>
        <w:t>、温度</w:t>
      </w:r>
      <w:r w:rsidRPr="00FD50F6">
        <w:t>；</w:t>
      </w:r>
    </w:p>
    <w:p w14:paraId="187D4B74" w14:textId="77777777" w:rsidR="002D2246" w:rsidRPr="00FD50F6" w:rsidRDefault="002D2246" w:rsidP="00A926BD">
      <w:pPr>
        <w:pStyle w:val="4"/>
      </w:pPr>
      <w:r w:rsidRPr="00FD50F6">
        <w:t>所用直流操作电源的母线电压；</w:t>
      </w:r>
    </w:p>
    <w:p w14:paraId="19C45A3D" w14:textId="77777777" w:rsidR="002D2246" w:rsidRPr="00FD50F6" w:rsidRDefault="002D2246" w:rsidP="00A926BD">
      <w:pPr>
        <w:pStyle w:val="4"/>
      </w:pPr>
      <w:r w:rsidRPr="00FD50F6">
        <w:rPr>
          <w:rFonts w:hint="eastAsia"/>
        </w:rPr>
        <w:lastRenderedPageBreak/>
        <w:t>中压、直流</w:t>
      </w:r>
      <w:r w:rsidRPr="00FD50F6">
        <w:t>保护动作值；</w:t>
      </w:r>
    </w:p>
    <w:p w14:paraId="1CC69960" w14:textId="77777777" w:rsidR="002D2246" w:rsidRPr="00FD50F6" w:rsidRDefault="002D2246" w:rsidP="00A926BD">
      <w:pPr>
        <w:pStyle w:val="4"/>
      </w:pPr>
      <w:r w:rsidRPr="00FD50F6">
        <w:rPr>
          <w:rFonts w:hint="eastAsia"/>
        </w:rPr>
        <w:t>低压进线、分段开关保护动作值；</w:t>
      </w:r>
    </w:p>
    <w:p w14:paraId="09F6A8BB" w14:textId="77777777" w:rsidR="002D2246" w:rsidRPr="00FD50F6" w:rsidRDefault="002D2246" w:rsidP="00A926BD">
      <w:pPr>
        <w:pStyle w:val="4"/>
      </w:pPr>
      <w:r w:rsidRPr="00FD50F6">
        <w:t>排流时</w:t>
      </w:r>
      <w:r w:rsidRPr="00FD50F6">
        <w:rPr>
          <w:rFonts w:hint="eastAsia"/>
        </w:rPr>
        <w:t>结构主体钢筋的</w:t>
      </w:r>
      <w:r w:rsidRPr="00FD50F6">
        <w:t>极化电位及最大排流电流；</w:t>
      </w:r>
    </w:p>
    <w:p w14:paraId="56B3D1E4" w14:textId="77777777" w:rsidR="002D2246" w:rsidRPr="00FD50F6" w:rsidRDefault="002D2246" w:rsidP="00A926BD">
      <w:pPr>
        <w:pStyle w:val="4"/>
      </w:pPr>
      <w:r w:rsidRPr="00FD50F6">
        <w:t>钢轨电位限制装置动作电压及通过的最大电流。</w:t>
      </w:r>
    </w:p>
    <w:p w14:paraId="4B880E5D" w14:textId="77777777" w:rsidR="002D2246" w:rsidRPr="00FD50F6" w:rsidRDefault="002D2246" w:rsidP="002D2246">
      <w:pPr>
        <w:pStyle w:val="30"/>
      </w:pPr>
      <w:r w:rsidRPr="00FD50F6">
        <w:t>遥调对象宜包括下列基本内容：</w:t>
      </w:r>
    </w:p>
    <w:p w14:paraId="3D9BED43" w14:textId="77777777" w:rsidR="002D2246" w:rsidRPr="00FD50F6" w:rsidRDefault="002D2246" w:rsidP="00A926BD">
      <w:pPr>
        <w:pStyle w:val="4"/>
      </w:pPr>
      <w:r w:rsidRPr="00FD50F6">
        <w:t>有载调压变压器的调压开关；</w:t>
      </w:r>
    </w:p>
    <w:p w14:paraId="21E9F743" w14:textId="77777777" w:rsidR="002D2246" w:rsidRPr="00FD50F6" w:rsidRDefault="002D2246" w:rsidP="00A926BD">
      <w:pPr>
        <w:pStyle w:val="4"/>
      </w:pPr>
      <w:r w:rsidRPr="00FD50F6">
        <w:t>中压和直流继电保护整定值组。</w:t>
      </w:r>
    </w:p>
    <w:p w14:paraId="27BF899A" w14:textId="77777777" w:rsidR="002D2246" w:rsidRPr="00FD50F6" w:rsidRDefault="002D2246" w:rsidP="002D2246">
      <w:pPr>
        <w:pStyle w:val="30"/>
      </w:pPr>
      <w:r w:rsidRPr="00FD50F6">
        <w:t>电力监控系统应具备下列基本功能：</w:t>
      </w:r>
    </w:p>
    <w:p w14:paraId="7A0E9EA0" w14:textId="77777777" w:rsidR="002D2246" w:rsidRPr="00FD50F6" w:rsidRDefault="002D2246" w:rsidP="00A926BD">
      <w:pPr>
        <w:pStyle w:val="4"/>
      </w:pPr>
      <w:r w:rsidRPr="00FD50F6">
        <w:t>遥控可分为选点式、选站式、选线式控制；</w:t>
      </w:r>
    </w:p>
    <w:p w14:paraId="1DE85D7C" w14:textId="77777777" w:rsidR="002D2246" w:rsidRPr="00FD50F6" w:rsidRDefault="002D2246" w:rsidP="00A926BD">
      <w:pPr>
        <w:pStyle w:val="4"/>
      </w:pPr>
      <w:r w:rsidRPr="00FD50F6">
        <w:t>对供电系统设备运行状态的实时监视和故障报警；</w:t>
      </w:r>
    </w:p>
    <w:p w14:paraId="76570D2C" w14:textId="77777777" w:rsidR="002D2246" w:rsidRPr="00FD50F6" w:rsidRDefault="002D2246" w:rsidP="00A926BD">
      <w:pPr>
        <w:pStyle w:val="4"/>
      </w:pPr>
      <w:r w:rsidRPr="00FD50F6">
        <w:t>对供电系统中主要运行参数的遥测；</w:t>
      </w:r>
    </w:p>
    <w:p w14:paraId="04A15ADB" w14:textId="77777777" w:rsidR="002D2246" w:rsidRPr="00FD50F6" w:rsidRDefault="002D2246" w:rsidP="00A926BD">
      <w:pPr>
        <w:pStyle w:val="4"/>
      </w:pPr>
      <w:r w:rsidRPr="00FD50F6">
        <w:t>采用中文的屏幕画面显示、模拟盘显示或其他方式显示；</w:t>
      </w:r>
    </w:p>
    <w:p w14:paraId="3D273F6D" w14:textId="77777777" w:rsidR="002D2246" w:rsidRPr="00FD50F6" w:rsidRDefault="002D2246" w:rsidP="00A926BD">
      <w:pPr>
        <w:pStyle w:val="4"/>
      </w:pPr>
      <w:r w:rsidRPr="00FD50F6">
        <w:t>对供电系统故障记录、电能统计等的日报月报制表打印；</w:t>
      </w:r>
    </w:p>
    <w:p w14:paraId="25B91775" w14:textId="77777777" w:rsidR="002D2246" w:rsidRPr="00FD50F6" w:rsidRDefault="002D2246" w:rsidP="00A926BD">
      <w:pPr>
        <w:pStyle w:val="4"/>
      </w:pPr>
      <w:r w:rsidRPr="00FD50F6">
        <w:t>系统自检及自动维护功能；</w:t>
      </w:r>
    </w:p>
    <w:p w14:paraId="48C5BBB2" w14:textId="77777777" w:rsidR="002D2246" w:rsidRPr="00FD50F6" w:rsidRDefault="002D2246" w:rsidP="00A926BD">
      <w:pPr>
        <w:pStyle w:val="4"/>
      </w:pPr>
      <w:r w:rsidRPr="00FD50F6">
        <w:t>主</w:t>
      </w:r>
      <w:r w:rsidRPr="00FD50F6">
        <w:t>/</w:t>
      </w:r>
      <w:r w:rsidRPr="00FD50F6">
        <w:t>备通道的切换功能。</w:t>
      </w:r>
    </w:p>
    <w:p w14:paraId="64BE6D7C" w14:textId="77777777" w:rsidR="002D2246" w:rsidRPr="00FD50F6" w:rsidRDefault="002D2246" w:rsidP="002D2246">
      <w:pPr>
        <w:pStyle w:val="30"/>
      </w:pPr>
      <w:r w:rsidRPr="00FD50F6">
        <w:t>主站设备应按双冗余系统的原则进行配置。</w:t>
      </w:r>
    </w:p>
    <w:p w14:paraId="787B155F" w14:textId="77777777" w:rsidR="002D2246" w:rsidRPr="00FD50F6" w:rsidRDefault="002D2246" w:rsidP="002D2246">
      <w:pPr>
        <w:pStyle w:val="30"/>
      </w:pPr>
      <w:r w:rsidRPr="00FD50F6">
        <w:t>子站设备应具备下列基本功能：</w:t>
      </w:r>
    </w:p>
    <w:p w14:paraId="24EFC9DC" w14:textId="77777777" w:rsidR="002D2246" w:rsidRPr="00FD50F6" w:rsidRDefault="002D2246" w:rsidP="00A926BD">
      <w:pPr>
        <w:pStyle w:val="4"/>
      </w:pPr>
      <w:r w:rsidRPr="00FD50F6">
        <w:t>远动控制输出；</w:t>
      </w:r>
    </w:p>
    <w:p w14:paraId="1E1FC993" w14:textId="03F89842" w:rsidR="002D2246" w:rsidRPr="00FD50F6" w:rsidRDefault="002D2246" w:rsidP="00A926BD">
      <w:pPr>
        <w:pStyle w:val="4"/>
      </w:pPr>
      <w:r w:rsidRPr="00FD50F6">
        <w:t>数字量、模拟量、脉冲量等现场数据采集量；</w:t>
      </w:r>
    </w:p>
    <w:p w14:paraId="4484DF46" w14:textId="77777777" w:rsidR="002D2246" w:rsidRPr="00FD50F6" w:rsidRDefault="002D2246" w:rsidP="00A926BD">
      <w:pPr>
        <w:pStyle w:val="4"/>
      </w:pPr>
      <w:r w:rsidRPr="00FD50F6">
        <w:t>远动数据传输；</w:t>
      </w:r>
    </w:p>
    <w:p w14:paraId="38765639" w14:textId="77777777" w:rsidR="002D2246" w:rsidRPr="00FD50F6" w:rsidRDefault="002D2246" w:rsidP="00A926BD">
      <w:pPr>
        <w:pStyle w:val="4"/>
      </w:pPr>
      <w:r w:rsidRPr="00FD50F6">
        <w:t>可脱离主站独立运行。</w:t>
      </w:r>
    </w:p>
    <w:p w14:paraId="2ED6A1B9" w14:textId="77777777" w:rsidR="002D2246" w:rsidRPr="00FD50F6" w:rsidRDefault="002D2246" w:rsidP="002D2246">
      <w:pPr>
        <w:pStyle w:val="30"/>
      </w:pPr>
      <w:r w:rsidRPr="00FD50F6">
        <w:t>子站设备的通信规约应对用户完全开放。</w:t>
      </w:r>
    </w:p>
    <w:p w14:paraId="7B0707F3" w14:textId="77777777" w:rsidR="002D2246" w:rsidRPr="00FD50F6" w:rsidRDefault="002D2246" w:rsidP="002D2246">
      <w:pPr>
        <w:pStyle w:val="30"/>
      </w:pPr>
      <w:r w:rsidRPr="00FD50F6">
        <w:t>远动数据通道宜采用通信系统的数据通道。</w:t>
      </w:r>
    </w:p>
    <w:p w14:paraId="57C8FBFF" w14:textId="77777777" w:rsidR="002D2246" w:rsidRPr="00FD50F6" w:rsidRDefault="002D2246" w:rsidP="002D2246">
      <w:pPr>
        <w:pStyle w:val="30"/>
      </w:pPr>
      <w:r w:rsidRPr="00FD50F6">
        <w:t>电力监控系统的主要技术指标应符合下列规定：</w:t>
      </w:r>
    </w:p>
    <w:p w14:paraId="54785641" w14:textId="77777777" w:rsidR="002D2246" w:rsidRPr="00FD50F6" w:rsidRDefault="002D2246" w:rsidP="00A926BD">
      <w:pPr>
        <w:pStyle w:val="4"/>
      </w:pPr>
      <w:r w:rsidRPr="00FD50F6">
        <w:t>遥控命令传送时间不应大于</w:t>
      </w:r>
      <w:r w:rsidRPr="00FD50F6">
        <w:t>3s</w:t>
      </w:r>
      <w:r w:rsidRPr="00FD50F6">
        <w:t>；</w:t>
      </w:r>
    </w:p>
    <w:p w14:paraId="2791D5AE" w14:textId="77777777" w:rsidR="002D2246" w:rsidRPr="00FD50F6" w:rsidRDefault="002D2246" w:rsidP="00A926BD">
      <w:pPr>
        <w:pStyle w:val="4"/>
      </w:pPr>
      <w:r w:rsidRPr="00FD50F6">
        <w:t>遥信变位传送时间不应大于</w:t>
      </w:r>
      <w:r w:rsidRPr="00FD50F6">
        <w:t>3s</w:t>
      </w:r>
      <w:r w:rsidRPr="00FD50F6">
        <w:t>；</w:t>
      </w:r>
    </w:p>
    <w:p w14:paraId="20BF346D" w14:textId="77777777" w:rsidR="002D2246" w:rsidRPr="00FD50F6" w:rsidRDefault="002D2246" w:rsidP="00A926BD">
      <w:pPr>
        <w:pStyle w:val="4"/>
      </w:pPr>
      <w:r w:rsidRPr="00FD50F6">
        <w:rPr>
          <w:rFonts w:hint="eastAsia"/>
        </w:rPr>
        <w:t>遥控正确率不应低于</w:t>
      </w:r>
      <w:r w:rsidRPr="00FD50F6">
        <w:rPr>
          <w:rFonts w:hint="eastAsia"/>
        </w:rPr>
        <w:t>100%</w:t>
      </w:r>
    </w:p>
    <w:p w14:paraId="624B069F" w14:textId="77777777" w:rsidR="002D2246" w:rsidRPr="00FD50F6" w:rsidRDefault="002D2246" w:rsidP="00A926BD">
      <w:pPr>
        <w:pStyle w:val="4"/>
      </w:pPr>
      <w:r w:rsidRPr="00FD50F6">
        <w:t>遥控</w:t>
      </w:r>
      <w:r w:rsidRPr="00FD50F6">
        <w:rPr>
          <w:rFonts w:hint="eastAsia"/>
        </w:rPr>
        <w:t>成功</w:t>
      </w:r>
      <w:r w:rsidRPr="00FD50F6">
        <w:t>率不应低于</w:t>
      </w:r>
      <w:r w:rsidRPr="00FD50F6">
        <w:t>99.9%</w:t>
      </w:r>
      <w:r w:rsidRPr="00FD50F6">
        <w:t>；</w:t>
      </w:r>
    </w:p>
    <w:p w14:paraId="7349F779" w14:textId="77777777" w:rsidR="002D2246" w:rsidRPr="00FD50F6" w:rsidRDefault="002D2246" w:rsidP="00A926BD">
      <w:pPr>
        <w:pStyle w:val="4"/>
      </w:pPr>
      <w:r w:rsidRPr="00FD50F6">
        <w:t>遥信正确率不应低于</w:t>
      </w:r>
      <w:r w:rsidRPr="00FD50F6">
        <w:t>99.9%</w:t>
      </w:r>
      <w:r w:rsidRPr="00FD50F6">
        <w:t>；</w:t>
      </w:r>
    </w:p>
    <w:p w14:paraId="77A7C481" w14:textId="58CA79B3" w:rsidR="002D2246" w:rsidRPr="00FD50F6" w:rsidRDefault="002D2246" w:rsidP="00A926BD">
      <w:pPr>
        <w:pStyle w:val="4"/>
      </w:pPr>
      <w:r w:rsidRPr="00FD50F6">
        <w:rPr>
          <w:rFonts w:hint="eastAsia"/>
        </w:rPr>
        <w:t>子站</w:t>
      </w:r>
      <w:r w:rsidRPr="00FD50F6">
        <w:t>遥信分辨率</w:t>
      </w:r>
      <w:r w:rsidRPr="00FD50F6">
        <w:rPr>
          <w:rFonts w:hint="eastAsia"/>
        </w:rPr>
        <w:t>不</w:t>
      </w:r>
      <w:r w:rsidRPr="00FD50F6">
        <w:t>应大于</w:t>
      </w:r>
      <w:r w:rsidRPr="00FD50F6">
        <w:t>10ms</w:t>
      </w:r>
      <w:r w:rsidRPr="00FD50F6">
        <w:t>；</w:t>
      </w:r>
    </w:p>
    <w:p w14:paraId="7A2A8A43" w14:textId="77777777" w:rsidR="002D2246" w:rsidRPr="00FD50F6" w:rsidRDefault="002D2246" w:rsidP="00A926BD">
      <w:pPr>
        <w:pStyle w:val="4"/>
      </w:pPr>
      <w:r w:rsidRPr="00FD50F6">
        <w:lastRenderedPageBreak/>
        <w:t>遥测综合误差不应大于</w:t>
      </w:r>
      <w:r w:rsidRPr="00FD50F6">
        <w:t>1.5%</w:t>
      </w:r>
      <w:r w:rsidRPr="00FD50F6">
        <w:t>；</w:t>
      </w:r>
    </w:p>
    <w:p w14:paraId="4D0720DA" w14:textId="77777777" w:rsidR="002D2246" w:rsidRPr="00FD50F6" w:rsidRDefault="002D2246" w:rsidP="00A926BD">
      <w:pPr>
        <w:pStyle w:val="4"/>
      </w:pPr>
      <w:r w:rsidRPr="00FD50F6">
        <w:t>站间</w:t>
      </w:r>
      <w:r w:rsidRPr="00FD50F6">
        <w:t>SOE</w:t>
      </w:r>
      <w:r w:rsidRPr="00FD50F6">
        <w:t>分辨率不应大于</w:t>
      </w:r>
      <w:r w:rsidRPr="00FD50F6">
        <w:t>15ms</w:t>
      </w:r>
      <w:r w:rsidRPr="00FD50F6">
        <w:t>；</w:t>
      </w:r>
    </w:p>
    <w:p w14:paraId="2584366B" w14:textId="77777777" w:rsidR="002D2246" w:rsidRPr="00FD50F6" w:rsidRDefault="002D2246" w:rsidP="00A926BD">
      <w:pPr>
        <w:pStyle w:val="4"/>
      </w:pPr>
      <w:r w:rsidRPr="00FD50F6">
        <w:t>双机自动切换时间不应大于</w:t>
      </w:r>
      <w:r w:rsidRPr="00FD50F6">
        <w:t>30s</w:t>
      </w:r>
      <w:r w:rsidRPr="00FD50F6">
        <w:t>；</w:t>
      </w:r>
    </w:p>
    <w:p w14:paraId="5C287DF0" w14:textId="77777777" w:rsidR="002D2246" w:rsidRPr="00FD50F6" w:rsidRDefault="002D2246" w:rsidP="00A926BD">
      <w:pPr>
        <w:pStyle w:val="4"/>
      </w:pPr>
      <w:r w:rsidRPr="00FD50F6">
        <w:t>画面调用响应时间不应大于</w:t>
      </w:r>
      <w:r w:rsidRPr="00FD50F6">
        <w:t>3s</w:t>
      </w:r>
      <w:r w:rsidRPr="00FD50F6">
        <w:t>；</w:t>
      </w:r>
    </w:p>
    <w:p w14:paraId="18743C94" w14:textId="77777777" w:rsidR="002D2246" w:rsidRPr="00FD50F6" w:rsidRDefault="002D2246" w:rsidP="00A926BD">
      <w:pPr>
        <w:pStyle w:val="4"/>
      </w:pPr>
      <w:r w:rsidRPr="00FD50F6">
        <w:t>数据传输通道通信传输速率不应低于</w:t>
      </w:r>
      <w:r w:rsidRPr="00FD50F6">
        <w:t>100Mbps</w:t>
      </w:r>
      <w:r w:rsidRPr="00FD50F6">
        <w:t>；</w:t>
      </w:r>
    </w:p>
    <w:p w14:paraId="3E44ABD1" w14:textId="77777777" w:rsidR="002D2246" w:rsidRPr="00FD50F6" w:rsidRDefault="002D2246" w:rsidP="00A926BD">
      <w:pPr>
        <w:pStyle w:val="4"/>
      </w:pPr>
      <w:r w:rsidRPr="00FD50F6">
        <w:t>设备平均无故障工作时间不应低于</w:t>
      </w:r>
      <w:r w:rsidRPr="00FD50F6">
        <w:t>20000h</w:t>
      </w:r>
      <w:r w:rsidRPr="00FD50F6">
        <w:t>；</w:t>
      </w:r>
    </w:p>
    <w:p w14:paraId="6B8057A6" w14:textId="77777777" w:rsidR="002D2246" w:rsidRPr="00FD50F6" w:rsidRDefault="002D2246" w:rsidP="00A926BD">
      <w:pPr>
        <w:pStyle w:val="4"/>
      </w:pPr>
      <w:r w:rsidRPr="00FD50F6">
        <w:t>设备平均修复时间不应</w:t>
      </w:r>
      <w:r w:rsidRPr="00FD50F6">
        <w:rPr>
          <w:rFonts w:hint="eastAsia"/>
        </w:rPr>
        <w:t>多</w:t>
      </w:r>
      <w:r w:rsidRPr="00FD50F6">
        <w:t>于</w:t>
      </w:r>
      <w:r w:rsidRPr="00FD50F6">
        <w:t>1h</w:t>
      </w:r>
      <w:r w:rsidRPr="00FD50F6">
        <w:t>。</w:t>
      </w:r>
    </w:p>
    <w:p w14:paraId="35AF7CA2" w14:textId="77777777" w:rsidR="002D2246" w:rsidRPr="00FD50F6" w:rsidRDefault="002D2246" w:rsidP="00A65181">
      <w:pPr>
        <w:pStyle w:val="2"/>
      </w:pPr>
      <w:bookmarkStart w:id="642" w:name="_Toc236494105"/>
      <w:bookmarkStart w:id="643" w:name="_Toc236717301"/>
      <w:bookmarkStart w:id="644" w:name="_Toc306206754"/>
      <w:bookmarkStart w:id="645" w:name="_Toc320196039"/>
      <w:bookmarkStart w:id="646" w:name="_Toc320643429"/>
      <w:bookmarkStart w:id="647" w:name="_Toc344218790"/>
      <w:bookmarkStart w:id="648" w:name="_Toc112830761"/>
      <w:r w:rsidRPr="00FD50F6">
        <w:t>杂散电流</w:t>
      </w:r>
      <w:r w:rsidRPr="00FD50F6">
        <w:rPr>
          <w:rFonts w:hint="eastAsia"/>
        </w:rPr>
        <w:t>腐蚀</w:t>
      </w:r>
      <w:r w:rsidRPr="00FD50F6">
        <w:t>防护与接地</w:t>
      </w:r>
      <w:bookmarkEnd w:id="642"/>
      <w:bookmarkEnd w:id="643"/>
      <w:bookmarkEnd w:id="644"/>
      <w:bookmarkEnd w:id="645"/>
      <w:bookmarkEnd w:id="646"/>
      <w:bookmarkEnd w:id="647"/>
      <w:bookmarkEnd w:id="648"/>
    </w:p>
    <w:p w14:paraId="284D1A1C" w14:textId="77777777" w:rsidR="002D2246" w:rsidRPr="00FD50F6" w:rsidRDefault="002D2246" w:rsidP="002D2246">
      <w:pPr>
        <w:pStyle w:val="30"/>
      </w:pPr>
      <w:r w:rsidRPr="00FD50F6">
        <w:t>杂散电流腐蚀防护的原则应为抑制杂散电流产生，并应减少杂散电流向地铁外部扩散。</w:t>
      </w:r>
    </w:p>
    <w:p w14:paraId="30EF740C" w14:textId="77777777" w:rsidR="002D2246" w:rsidRPr="00FD50F6" w:rsidRDefault="002D2246" w:rsidP="002D2246">
      <w:pPr>
        <w:pStyle w:val="30"/>
      </w:pPr>
      <w:r w:rsidRPr="00FD50F6">
        <w:t>对杂散电流幅值及道床钢筋、结构主体钢筋的极化电位应进行自动监测。</w:t>
      </w:r>
    </w:p>
    <w:p w14:paraId="6D43BBF6" w14:textId="77777777" w:rsidR="002D2246" w:rsidRPr="00FD50F6" w:rsidRDefault="002D2246" w:rsidP="002D2246">
      <w:pPr>
        <w:pStyle w:val="30"/>
      </w:pPr>
      <w:r w:rsidRPr="00FD50F6">
        <w:t>无砟道床中应设置</w:t>
      </w:r>
      <w:r w:rsidRPr="00FD50F6">
        <w:rPr>
          <w:rFonts w:hint="eastAsia"/>
        </w:rPr>
        <w:t>道床</w:t>
      </w:r>
      <w:r w:rsidRPr="00FD50F6">
        <w:t>排流钢筋网，并应与其他结构钢筋、金属管线、接地装置</w:t>
      </w:r>
      <w:r w:rsidRPr="00FD50F6">
        <w:rPr>
          <w:rFonts w:hint="eastAsia"/>
        </w:rPr>
        <w:t>绝缘</w:t>
      </w:r>
      <w:r w:rsidRPr="00FD50F6">
        <w:t>。</w:t>
      </w:r>
      <w:r w:rsidRPr="00FD50F6">
        <w:rPr>
          <w:rFonts w:hint="eastAsia"/>
        </w:rPr>
        <w:t>除道床排流钢筋网外，</w:t>
      </w:r>
      <w:r w:rsidRPr="00FD50F6">
        <w:t>不应利用结构钢筋作为排流网。</w:t>
      </w:r>
    </w:p>
    <w:p w14:paraId="5A8EB0C5" w14:textId="77777777" w:rsidR="002D2246" w:rsidRPr="00FD50F6" w:rsidRDefault="002D2246" w:rsidP="002D2246">
      <w:pPr>
        <w:pStyle w:val="30"/>
      </w:pPr>
      <w:r w:rsidRPr="00FD50F6">
        <w:t>对有砟道床应采取加强杂散电流腐蚀防护的措施。</w:t>
      </w:r>
    </w:p>
    <w:p w14:paraId="2F205EB1" w14:textId="77777777" w:rsidR="002D2246" w:rsidRPr="00FD50F6" w:rsidRDefault="002D2246" w:rsidP="002D2246">
      <w:pPr>
        <w:pStyle w:val="30"/>
      </w:pPr>
      <w:r w:rsidRPr="00FD50F6">
        <w:t>牵引变电所应设置杂散电流监测及排流设施，应根据杂散电流的监测情况，决定是否将排流设施投入使用。</w:t>
      </w:r>
    </w:p>
    <w:p w14:paraId="07DD8013" w14:textId="77777777" w:rsidR="002D2246" w:rsidRPr="00FD50F6" w:rsidRDefault="002D2246" w:rsidP="002D2246">
      <w:pPr>
        <w:pStyle w:val="30"/>
      </w:pPr>
      <w:r w:rsidRPr="00FD50F6">
        <w:t>上、下行轨道间应设置均流线，均流线间距不宜大于</w:t>
      </w:r>
      <w:r w:rsidRPr="00FD50F6">
        <w:t>600m</w:t>
      </w:r>
      <w:r w:rsidRPr="00FD50F6">
        <w:t>。</w:t>
      </w:r>
    </w:p>
    <w:p w14:paraId="57870F39" w14:textId="77777777" w:rsidR="002D2246" w:rsidRPr="00FD50F6" w:rsidRDefault="002D2246" w:rsidP="002D2246">
      <w:pPr>
        <w:pStyle w:val="30"/>
      </w:pPr>
      <w:r w:rsidRPr="00FD50F6">
        <w:t>均流线具体位置应与信号、轨道专业共同确定，且每处不应少于</w:t>
      </w:r>
      <w:r w:rsidRPr="00FD50F6">
        <w:t>2</w:t>
      </w:r>
      <w:r w:rsidRPr="00FD50F6">
        <w:t>根电缆。</w:t>
      </w:r>
    </w:p>
    <w:p w14:paraId="735FF1FE" w14:textId="76D18D94" w:rsidR="002D2246" w:rsidRPr="00FD50F6" w:rsidRDefault="002D2246" w:rsidP="002D2246">
      <w:pPr>
        <w:pStyle w:val="30"/>
      </w:pPr>
      <w:r w:rsidRPr="00FD50F6">
        <w:t>兼做回流的走行轨与隧洞主体结构或大地之间的过渡电阻值</w:t>
      </w:r>
      <w:r w:rsidRPr="00FD50F6">
        <w:rPr>
          <w:rFonts w:hint="eastAsia"/>
        </w:rPr>
        <w:t>不应小于</w:t>
      </w:r>
      <w:r w:rsidRPr="00FD50F6">
        <w:rPr>
          <w:rFonts w:hint="eastAsia"/>
        </w:rPr>
        <w:t>15</w:t>
      </w:r>
      <w:r w:rsidRPr="00FD50F6">
        <w:rPr>
          <w:rFonts w:ascii="宋体" w:hAnsi="宋体" w:hint="eastAsia"/>
        </w:rPr>
        <w:t>Ω</w:t>
      </w:r>
      <w:r w:rsidRPr="00FD50F6">
        <w:rPr>
          <w:rFonts w:hint="eastAsia"/>
        </w:rPr>
        <w:t>.km</w:t>
      </w:r>
      <w:r w:rsidRPr="00FD50F6">
        <w:rPr>
          <w:rFonts w:hint="eastAsia"/>
        </w:rPr>
        <w:t>。</w:t>
      </w:r>
    </w:p>
    <w:p w14:paraId="42D399E1" w14:textId="60316C83" w:rsidR="002D2246" w:rsidRPr="00FD50F6" w:rsidRDefault="002D2246" w:rsidP="002D2246">
      <w:pPr>
        <w:pStyle w:val="30"/>
      </w:pPr>
      <w:r w:rsidRPr="00FD50F6">
        <w:t>杂散电流腐蚀防护的其他要求，应符合现行</w:t>
      </w:r>
      <w:r w:rsidRPr="00FD50F6">
        <w:rPr>
          <w:rFonts w:hint="eastAsia"/>
        </w:rPr>
        <w:t>国家</w:t>
      </w:r>
      <w:r w:rsidRPr="00FD50F6">
        <w:t>标准《</w:t>
      </w:r>
      <w:r w:rsidRPr="00FD50F6">
        <w:rPr>
          <w:rFonts w:hint="eastAsia"/>
        </w:rPr>
        <w:t>轨道交通</w:t>
      </w:r>
      <w:r w:rsidRPr="00FD50F6">
        <w:rPr>
          <w:rFonts w:hint="eastAsia"/>
        </w:rPr>
        <w:t xml:space="preserve"> </w:t>
      </w:r>
      <w:r w:rsidRPr="00FD50F6">
        <w:rPr>
          <w:rFonts w:hint="eastAsia"/>
        </w:rPr>
        <w:t>地面装置</w:t>
      </w:r>
      <w:r w:rsidRPr="00FD50F6">
        <w:rPr>
          <w:rFonts w:hint="eastAsia"/>
        </w:rPr>
        <w:t xml:space="preserve"> </w:t>
      </w:r>
      <w:r w:rsidRPr="00FD50F6">
        <w:rPr>
          <w:rFonts w:hint="eastAsia"/>
        </w:rPr>
        <w:t>电气安全、接地和回流</w:t>
      </w:r>
      <w:r w:rsidRPr="00FD50F6">
        <w:rPr>
          <w:rFonts w:hint="eastAsia"/>
        </w:rPr>
        <w:t xml:space="preserve"> </w:t>
      </w:r>
      <w:r w:rsidRPr="00FD50F6">
        <w:rPr>
          <w:rFonts w:hint="eastAsia"/>
        </w:rPr>
        <w:t>第</w:t>
      </w:r>
      <w:r w:rsidRPr="00FD50F6">
        <w:rPr>
          <w:rFonts w:hint="eastAsia"/>
        </w:rPr>
        <w:t>2</w:t>
      </w:r>
      <w:r w:rsidRPr="00FD50F6">
        <w:rPr>
          <w:rFonts w:hint="eastAsia"/>
        </w:rPr>
        <w:t>部分：直流牵引供电系统杂散电流的防护措施</w:t>
      </w:r>
      <w:r w:rsidRPr="00FD50F6">
        <w:t>》</w:t>
      </w:r>
      <w:r w:rsidRPr="00FD50F6">
        <w:rPr>
          <w:rFonts w:hint="eastAsia"/>
        </w:rPr>
        <w:t>GB/T 28026.2</w:t>
      </w:r>
      <w:r w:rsidRPr="00FD50F6">
        <w:t>的规定。</w:t>
      </w:r>
    </w:p>
    <w:p w14:paraId="4AC32946" w14:textId="77777777" w:rsidR="002D2246" w:rsidRPr="00FD50F6" w:rsidRDefault="002D2246" w:rsidP="002D2246">
      <w:pPr>
        <w:pStyle w:val="30"/>
      </w:pPr>
      <w:r w:rsidRPr="00FD50F6">
        <w:t>电气装置与设施的外露可导电部分除有特殊规定外均应接地。</w:t>
      </w:r>
    </w:p>
    <w:p w14:paraId="3C1348C8" w14:textId="77777777" w:rsidR="002D2246" w:rsidRPr="00FD50F6" w:rsidRDefault="002D2246" w:rsidP="002D2246">
      <w:pPr>
        <w:pStyle w:val="30"/>
      </w:pPr>
      <w:r w:rsidRPr="00FD50F6">
        <w:t>当供电系统与其他系统共用接地装置时，其接地电阻不应大于接入设备中要求的最小值。</w:t>
      </w:r>
    </w:p>
    <w:p w14:paraId="4ADBFF24" w14:textId="6108F95F" w:rsidR="002D2246" w:rsidRPr="00FD50F6" w:rsidRDefault="002D2246" w:rsidP="002D2246">
      <w:pPr>
        <w:pStyle w:val="30"/>
      </w:pPr>
      <w:r w:rsidRPr="00FD50F6">
        <w:t>除利用结构主体钢筋作为自然接地体外，变</w:t>
      </w:r>
      <w:r w:rsidRPr="00FD50F6">
        <w:rPr>
          <w:spacing w:val="-2"/>
        </w:rPr>
        <w:t>电所应</w:t>
      </w:r>
      <w:r w:rsidRPr="00FD50F6">
        <w:rPr>
          <w:rFonts w:hint="eastAsia"/>
          <w:spacing w:val="-2"/>
        </w:rPr>
        <w:t>设置人工接地网，人</w:t>
      </w:r>
      <w:r w:rsidRPr="00FD50F6">
        <w:rPr>
          <w:rFonts w:hint="eastAsia"/>
          <w:spacing w:val="-2"/>
        </w:rPr>
        <w:lastRenderedPageBreak/>
        <w:t>工接地网的使用年限与变电所土建结构的使用年限应相同。</w:t>
      </w:r>
      <w:r w:rsidRPr="00FD50F6">
        <w:rPr>
          <w:rFonts w:hint="eastAsia"/>
        </w:rPr>
        <w:t>人工接地网的水平接地极宜埋设在结构底板下的垫层内，接地引入线应有防水措施并绝缘引入。人工接地网还应符合下列规定：</w:t>
      </w:r>
    </w:p>
    <w:p w14:paraId="74D7E3CA" w14:textId="77777777" w:rsidR="002D2246" w:rsidRPr="00FD50F6" w:rsidRDefault="002D2246" w:rsidP="00A926BD">
      <w:pPr>
        <w:pStyle w:val="4"/>
      </w:pPr>
      <w:r w:rsidRPr="00FD50F6">
        <w:rPr>
          <w:rFonts w:hint="eastAsia"/>
        </w:rPr>
        <w:t>地下车站变电所的人工接地网应以水平接地极为主，接地引入线应穿结构底板引入车站站台板下、变电所夹层；</w:t>
      </w:r>
    </w:p>
    <w:p w14:paraId="194AA2D0" w14:textId="77777777" w:rsidR="002D2246" w:rsidRPr="00FD50F6" w:rsidRDefault="002D2246" w:rsidP="00A926BD">
      <w:pPr>
        <w:pStyle w:val="4"/>
      </w:pPr>
      <w:r w:rsidRPr="00FD50F6">
        <w:rPr>
          <w:rFonts w:hint="eastAsia"/>
        </w:rPr>
        <w:t>地上车站变电所和独立变电所的人工接地网应与雷电保护接地共用，在防雷引下线处应设集中接地装置，接地引入线宜由结构侧墙引入车站变电所；</w:t>
      </w:r>
    </w:p>
    <w:p w14:paraId="5F54C4BA" w14:textId="77777777" w:rsidR="002D2246" w:rsidRPr="00FD50F6" w:rsidRDefault="002D2246" w:rsidP="00A926BD">
      <w:pPr>
        <w:pStyle w:val="4"/>
      </w:pPr>
      <w:r w:rsidRPr="00FD50F6">
        <w:rPr>
          <w:rFonts w:hint="eastAsia"/>
        </w:rPr>
        <w:t>预制装配式车站的接地引入线应预制在构件中。</w:t>
      </w:r>
    </w:p>
    <w:p w14:paraId="520BF221" w14:textId="1B76970C" w:rsidR="002D2246" w:rsidRPr="00FD50F6" w:rsidRDefault="002D2246" w:rsidP="002D2246">
      <w:pPr>
        <w:pStyle w:val="30"/>
      </w:pPr>
      <w:r w:rsidRPr="00FD50F6">
        <w:t>接地装置至变电所接地线的截面不应小于系统中保护地线截面的最大值。</w:t>
      </w:r>
    </w:p>
    <w:p w14:paraId="2F54BEAC" w14:textId="77777777" w:rsidR="002D2246" w:rsidRPr="00FD50F6" w:rsidRDefault="002D2246" w:rsidP="002D2246">
      <w:pPr>
        <w:pStyle w:val="30"/>
      </w:pPr>
      <w:r w:rsidRPr="00FD50F6">
        <w:rPr>
          <w:rFonts w:hint="eastAsia"/>
        </w:rPr>
        <w:t>两台</w:t>
      </w:r>
      <w:r w:rsidRPr="00FD50F6">
        <w:t>配电变压器低压侧中性点</w:t>
      </w:r>
      <w:r w:rsidRPr="00FD50F6">
        <w:rPr>
          <w:rFonts w:hint="eastAsia"/>
        </w:rPr>
        <w:t>不宜</w:t>
      </w:r>
      <w:r w:rsidRPr="00FD50F6">
        <w:t>直接接地</w:t>
      </w:r>
      <w:r w:rsidRPr="00FD50F6">
        <w:rPr>
          <w:rFonts w:hint="eastAsia"/>
        </w:rPr>
        <w:t>，低压开关柜内</w:t>
      </w:r>
      <w:r w:rsidRPr="00FD50F6">
        <w:rPr>
          <w:rFonts w:hint="eastAsia"/>
        </w:rPr>
        <w:t>NPE</w:t>
      </w:r>
      <w:r w:rsidRPr="00FD50F6">
        <w:rPr>
          <w:rFonts w:hint="eastAsia"/>
        </w:rPr>
        <w:t>与</w:t>
      </w:r>
      <w:r w:rsidRPr="00FD50F6">
        <w:rPr>
          <w:rFonts w:hint="eastAsia"/>
        </w:rPr>
        <w:t>PE</w:t>
      </w:r>
      <w:r w:rsidRPr="00FD50F6">
        <w:rPr>
          <w:rFonts w:hint="eastAsia"/>
        </w:rPr>
        <w:t>母排应一点连接，</w:t>
      </w:r>
      <w:r w:rsidRPr="00FD50F6">
        <w:rPr>
          <w:rFonts w:hint="eastAsia"/>
        </w:rPr>
        <w:t>PE</w:t>
      </w:r>
      <w:r w:rsidRPr="00FD50F6">
        <w:rPr>
          <w:rFonts w:hint="eastAsia"/>
        </w:rPr>
        <w:t>母排应接地，低压开关柜后</w:t>
      </w:r>
      <w:r w:rsidRPr="00FD50F6">
        <w:rPr>
          <w:rFonts w:hint="eastAsia"/>
        </w:rPr>
        <w:t>N</w:t>
      </w:r>
      <w:r w:rsidRPr="00FD50F6">
        <w:rPr>
          <w:rFonts w:hint="eastAsia"/>
        </w:rPr>
        <w:t>线不应进行接地</w:t>
      </w:r>
      <w:r w:rsidRPr="00FD50F6">
        <w:t>。</w:t>
      </w:r>
    </w:p>
    <w:p w14:paraId="6123886D" w14:textId="2F8D64CD" w:rsidR="002D2246" w:rsidRPr="00FD50F6" w:rsidRDefault="002D2246" w:rsidP="002D2246">
      <w:pPr>
        <w:pStyle w:val="30"/>
        <w:rPr>
          <w:lang w:eastAsia="x-none"/>
        </w:rPr>
      </w:pPr>
      <w:r w:rsidRPr="00FD50F6">
        <w:rPr>
          <w:rFonts w:hint="eastAsia"/>
        </w:rPr>
        <w:t>交流接地的其他设计要求应符合现行国家标准《交流电气装置的接地设计规范》</w:t>
      </w:r>
      <w:r w:rsidRPr="00FD50F6">
        <w:rPr>
          <w:rFonts w:hint="eastAsia"/>
        </w:rPr>
        <w:t>GB/T 50065</w:t>
      </w:r>
      <w:r w:rsidRPr="00FD50F6">
        <w:rPr>
          <w:rFonts w:hint="eastAsia"/>
        </w:rPr>
        <w:t>的规定。</w:t>
      </w:r>
    </w:p>
    <w:p w14:paraId="2B35A36D" w14:textId="77777777" w:rsidR="002D2246" w:rsidRPr="00FD50F6" w:rsidRDefault="002D2246" w:rsidP="002D2246">
      <w:pPr>
        <w:pStyle w:val="30"/>
      </w:pPr>
      <w:r w:rsidRPr="00FD50F6">
        <w:t>直流牵引供电系统应为不接地系统，牵引变电所中的直流牵引供电设备必须绝缘安装</w:t>
      </w:r>
      <w:r w:rsidRPr="00FD50F6">
        <w:rPr>
          <w:rFonts w:hint="eastAsia"/>
        </w:rPr>
        <w:t>，绝缘电阻应不小于</w:t>
      </w:r>
      <w:r w:rsidRPr="00FD50F6">
        <w:rPr>
          <w:rFonts w:hint="eastAsia"/>
        </w:rPr>
        <w:t>0.5M</w:t>
      </w:r>
      <w:r w:rsidRPr="00FD50F6">
        <w:rPr>
          <w:rFonts w:ascii="黑体" w:hAnsi="黑体" w:hint="eastAsia"/>
        </w:rPr>
        <w:t>Ω</w:t>
      </w:r>
      <w:r w:rsidRPr="00FD50F6">
        <w:t>。</w:t>
      </w:r>
    </w:p>
    <w:p w14:paraId="43CB60AB" w14:textId="77777777" w:rsidR="002D2246" w:rsidRPr="00FD50F6" w:rsidRDefault="002D2246" w:rsidP="002D2246">
      <w:pPr>
        <w:pStyle w:val="30"/>
      </w:pPr>
      <w:r w:rsidRPr="00FD50F6">
        <w:rPr>
          <w:rFonts w:hint="eastAsia"/>
        </w:rPr>
        <w:t>变电所直流牵引供电设备的金属外壳应通过框架保护的电流元件一点接地。</w:t>
      </w:r>
    </w:p>
    <w:p w14:paraId="6C485251" w14:textId="5E60E436" w:rsidR="002D2246" w:rsidRPr="00FD50F6" w:rsidRDefault="002D2246" w:rsidP="002D2246">
      <w:pPr>
        <w:pStyle w:val="30"/>
      </w:pPr>
      <w:r w:rsidRPr="00FD50F6">
        <w:rPr>
          <w:rFonts w:hint="eastAsia"/>
        </w:rPr>
        <w:t>在牵引网为</w:t>
      </w:r>
      <w:r w:rsidRPr="00FD50F6">
        <w:t>正常双边供电运行</w:t>
      </w:r>
      <w:r w:rsidRPr="00FD50F6">
        <w:rPr>
          <w:rFonts w:hint="eastAsia"/>
        </w:rPr>
        <w:t>情况下</w:t>
      </w:r>
      <w:r w:rsidRPr="00FD50F6">
        <w:t>，</w:t>
      </w:r>
      <w:r w:rsidRPr="00FD50F6">
        <w:rPr>
          <w:rFonts w:hint="eastAsia"/>
        </w:rPr>
        <w:t>当乘客在车站上下车时，</w:t>
      </w:r>
      <w:r w:rsidRPr="00FD50F6">
        <w:t>站台处走行轨对地电位不应大于</w:t>
      </w:r>
      <w:r w:rsidRPr="00FD50F6">
        <w:t>120V</w:t>
      </w:r>
      <w:r w:rsidRPr="00FD50F6">
        <w:rPr>
          <w:rFonts w:hint="eastAsia"/>
        </w:rPr>
        <w:t>；</w:t>
      </w:r>
      <w:r w:rsidRPr="00FD50F6">
        <w:t>车辆基地库线走行轨对地电位不应大于</w:t>
      </w:r>
      <w:r w:rsidRPr="00FD50F6">
        <w:t>60V</w:t>
      </w:r>
      <w:r w:rsidRPr="00FD50F6">
        <w:t>。当走行轨对地电</w:t>
      </w:r>
      <w:r w:rsidRPr="00FD50F6">
        <w:rPr>
          <w:rFonts w:hint="eastAsia"/>
        </w:rPr>
        <w:t>位</w:t>
      </w:r>
      <w:r w:rsidRPr="00FD50F6">
        <w:t>超标时，应采取短时接地措施。</w:t>
      </w:r>
    </w:p>
    <w:p w14:paraId="2D8AD13B" w14:textId="461FE05B" w:rsidR="002D2246" w:rsidRPr="00FD50F6" w:rsidRDefault="002D2246" w:rsidP="002D2246">
      <w:pPr>
        <w:pStyle w:val="30"/>
      </w:pPr>
      <w:r w:rsidRPr="00FD50F6">
        <w:rPr>
          <w:rFonts w:hint="eastAsia"/>
        </w:rPr>
        <w:t>直流牵引供电系统接地的其他设计要求应符合现行国家标准《轨道交通</w:t>
      </w:r>
      <w:r w:rsidRPr="00FD50F6">
        <w:rPr>
          <w:rFonts w:hint="eastAsia"/>
        </w:rPr>
        <w:t xml:space="preserve"> </w:t>
      </w:r>
      <w:r w:rsidRPr="00FD50F6">
        <w:rPr>
          <w:rFonts w:hint="eastAsia"/>
        </w:rPr>
        <w:t>地面装置</w:t>
      </w:r>
      <w:r w:rsidRPr="00FD50F6">
        <w:rPr>
          <w:rFonts w:hint="eastAsia"/>
        </w:rPr>
        <w:t xml:space="preserve"> </w:t>
      </w:r>
      <w:r w:rsidRPr="00FD50F6">
        <w:rPr>
          <w:rFonts w:hint="eastAsia"/>
        </w:rPr>
        <w:t>电气安全、接地和回流</w:t>
      </w:r>
      <w:r w:rsidRPr="00FD50F6">
        <w:rPr>
          <w:rFonts w:hint="eastAsia"/>
        </w:rPr>
        <w:t xml:space="preserve"> </w:t>
      </w:r>
      <w:r w:rsidRPr="00FD50F6">
        <w:rPr>
          <w:rFonts w:hint="eastAsia"/>
        </w:rPr>
        <w:t>第</w:t>
      </w:r>
      <w:r w:rsidRPr="00FD50F6">
        <w:rPr>
          <w:rFonts w:hint="eastAsia"/>
        </w:rPr>
        <w:t>1</w:t>
      </w:r>
      <w:r w:rsidRPr="00FD50F6">
        <w:rPr>
          <w:rFonts w:hint="eastAsia"/>
        </w:rPr>
        <w:t>部分：电击防护措施》</w:t>
      </w:r>
      <w:r w:rsidRPr="00FD50F6">
        <w:rPr>
          <w:rFonts w:hint="eastAsia"/>
        </w:rPr>
        <w:t>GB/T 28026.1</w:t>
      </w:r>
      <w:r w:rsidRPr="00FD50F6">
        <w:rPr>
          <w:rFonts w:hint="eastAsia"/>
        </w:rPr>
        <w:t>的规定。</w:t>
      </w:r>
    </w:p>
    <w:p w14:paraId="59FE769A" w14:textId="77777777" w:rsidR="002D2246" w:rsidRPr="00FD50F6" w:rsidRDefault="002D2246" w:rsidP="002D2246">
      <w:pPr>
        <w:sectPr w:rsidR="002D2246" w:rsidRPr="00FD50F6" w:rsidSect="00B84F8E">
          <w:pgSz w:w="11906" w:h="16838"/>
          <w:pgMar w:top="1440" w:right="1797" w:bottom="1440" w:left="1797" w:header="851" w:footer="992" w:gutter="0"/>
          <w:cols w:space="720"/>
          <w:docGrid w:linePitch="312"/>
        </w:sectPr>
      </w:pPr>
    </w:p>
    <w:p w14:paraId="4C63DCD6" w14:textId="77777777" w:rsidR="00337748" w:rsidRPr="00FD50F6" w:rsidRDefault="00337748" w:rsidP="00337748">
      <w:pPr>
        <w:pStyle w:val="12"/>
      </w:pPr>
      <w:bookmarkStart w:id="649" w:name="_Toc112830762"/>
      <w:bookmarkStart w:id="650" w:name="_Hlk21711114"/>
      <w:bookmarkEnd w:id="598"/>
      <w:r w:rsidRPr="00FD50F6">
        <w:lastRenderedPageBreak/>
        <w:t>通信</w:t>
      </w:r>
      <w:bookmarkEnd w:id="649"/>
    </w:p>
    <w:p w14:paraId="2E1BCFA4" w14:textId="77777777" w:rsidR="00337748" w:rsidRPr="00A65181" w:rsidRDefault="00337748" w:rsidP="00010C49">
      <w:pPr>
        <w:pStyle w:val="2"/>
        <w:numPr>
          <w:ilvl w:val="1"/>
          <w:numId w:val="24"/>
        </w:numPr>
        <w:rPr>
          <w:szCs w:val="28"/>
        </w:rPr>
      </w:pPr>
      <w:bookmarkStart w:id="651" w:name="_Toc236494388"/>
      <w:bookmarkStart w:id="652" w:name="_Toc236726635"/>
      <w:bookmarkStart w:id="653" w:name="_Toc306206756"/>
      <w:bookmarkStart w:id="654" w:name="_Toc320196041"/>
      <w:bookmarkStart w:id="655" w:name="_Toc320643431"/>
      <w:bookmarkStart w:id="656" w:name="_Toc27244605"/>
      <w:bookmarkStart w:id="657" w:name="_Toc112830763"/>
      <w:r w:rsidRPr="00FD50F6">
        <w:t>一般规定</w:t>
      </w:r>
      <w:bookmarkEnd w:id="651"/>
      <w:bookmarkEnd w:id="652"/>
      <w:bookmarkEnd w:id="653"/>
      <w:bookmarkEnd w:id="654"/>
      <w:bookmarkEnd w:id="655"/>
      <w:bookmarkEnd w:id="656"/>
      <w:bookmarkEnd w:id="657"/>
    </w:p>
    <w:p w14:paraId="7BF98E82" w14:textId="77777777" w:rsidR="00337748" w:rsidRPr="00FD50F6" w:rsidRDefault="00337748" w:rsidP="00337748">
      <w:pPr>
        <w:pStyle w:val="30"/>
      </w:pPr>
      <w:r w:rsidRPr="00FD50F6">
        <w:t>地铁通信系统应适应运输效率、保证行车安全、提高现代化管理水平和传递语音、数据、图像等各种信息的需要，并应做到系统可靠、功能合理、设备成熟、技术先进、经济实用。</w:t>
      </w:r>
    </w:p>
    <w:p w14:paraId="2FDCF974" w14:textId="1997757D" w:rsidR="00337748" w:rsidRPr="00FD50F6" w:rsidRDefault="00337748" w:rsidP="00337748">
      <w:pPr>
        <w:pStyle w:val="30"/>
      </w:pPr>
      <w:r w:rsidRPr="00FD50F6">
        <w:t>地铁通信系统不仅应满足新建线路运营和管理的要求，还应与已建线路通信系统实现必要的互联互通，并应为</w:t>
      </w:r>
      <w:r w:rsidRPr="00FD50F6">
        <w:rPr>
          <w:rFonts w:hint="eastAsia"/>
        </w:rPr>
        <w:t>后续</w:t>
      </w:r>
      <w:r w:rsidRPr="00FD50F6">
        <w:t>其他线路的接入预留条件。</w:t>
      </w:r>
    </w:p>
    <w:p w14:paraId="4B5AA417" w14:textId="77777777" w:rsidR="00337748" w:rsidRPr="00FD50F6" w:rsidRDefault="00337748" w:rsidP="00337748">
      <w:pPr>
        <w:pStyle w:val="30"/>
      </w:pPr>
      <w:r w:rsidRPr="00FD50F6">
        <w:rPr>
          <w:rFonts w:hint="eastAsia"/>
        </w:rPr>
        <w:t>在</w:t>
      </w:r>
      <w:r w:rsidRPr="00FD50F6">
        <w:t>确定地铁通信系统总体方案及系统容量时，应将近期建设规模和远期发展规划相结合。</w:t>
      </w:r>
    </w:p>
    <w:p w14:paraId="6F55F519" w14:textId="77777777" w:rsidR="00337748" w:rsidRPr="00FD50F6" w:rsidRDefault="00337748" w:rsidP="00337748">
      <w:pPr>
        <w:pStyle w:val="30"/>
      </w:pPr>
      <w:r w:rsidRPr="00FD50F6">
        <w:t>地铁通信系统宜由专用通信系统、民用通信引入系统、公安通信系统组成。</w:t>
      </w:r>
    </w:p>
    <w:p w14:paraId="4FA8ABC1" w14:textId="77777777" w:rsidR="00337748" w:rsidRPr="00FD50F6" w:rsidRDefault="00337748" w:rsidP="00337748">
      <w:pPr>
        <w:pStyle w:val="30"/>
      </w:pPr>
      <w:r w:rsidRPr="00FD50F6">
        <w:rPr>
          <w:rFonts w:hint="eastAsia"/>
        </w:rPr>
        <w:t>专用</w:t>
      </w:r>
      <w:r w:rsidRPr="00FD50F6">
        <w:t>通信系统宜由传输系统、</w:t>
      </w:r>
      <w:r w:rsidRPr="00FD50F6">
        <w:rPr>
          <w:rFonts w:hint="eastAsia"/>
        </w:rPr>
        <w:t>专用</w:t>
      </w:r>
      <w:r w:rsidRPr="00FD50F6">
        <w:t>无线通信系统、公务电话系统、专用电话系统、视频监视系统、广播系统、时钟系统、办公自动化系统、电源系统及接地、集中告警系统等子系统组成。</w:t>
      </w:r>
    </w:p>
    <w:p w14:paraId="14D1E5B4" w14:textId="0FB581BD" w:rsidR="00337748" w:rsidRPr="00FD50F6" w:rsidRDefault="00337748" w:rsidP="00337748">
      <w:pPr>
        <w:pStyle w:val="30"/>
      </w:pPr>
      <w:r w:rsidRPr="00FD50F6">
        <w:t>专用通信系统应满足正常运营方式和灾害运营方式的通信需求。在正常运营方式时，应为运营管理提供信息；在灾害运行方式时，应</w:t>
      </w:r>
      <w:r w:rsidRPr="00FD50F6">
        <w:rPr>
          <w:rFonts w:hint="eastAsia"/>
        </w:rPr>
        <w:t>满足</w:t>
      </w:r>
      <w:r w:rsidRPr="00FD50F6">
        <w:t>防灾、救援和事故处理的指挥</w:t>
      </w:r>
      <w:r w:rsidRPr="00FD50F6">
        <w:rPr>
          <w:rFonts w:hint="eastAsia"/>
        </w:rPr>
        <w:t>需求</w:t>
      </w:r>
      <w:r w:rsidRPr="00FD50F6">
        <w:t>。</w:t>
      </w:r>
    </w:p>
    <w:p w14:paraId="5365F505" w14:textId="77777777" w:rsidR="00337748" w:rsidRPr="00FD50F6" w:rsidRDefault="00337748" w:rsidP="00337748">
      <w:pPr>
        <w:pStyle w:val="30"/>
      </w:pPr>
      <w:r w:rsidRPr="00FD50F6">
        <w:rPr>
          <w:rFonts w:hint="eastAsia"/>
        </w:rPr>
        <w:t>在线路有互联互通需求时，应实现通信系统必要的互联互通和资源共享。</w:t>
      </w:r>
    </w:p>
    <w:p w14:paraId="0975975D" w14:textId="0F1E145E" w:rsidR="00337748" w:rsidRPr="00FD50F6" w:rsidRDefault="00337748" w:rsidP="00337748">
      <w:pPr>
        <w:pStyle w:val="30"/>
      </w:pPr>
      <w:r w:rsidRPr="00FD50F6">
        <w:rPr>
          <w:rFonts w:hint="eastAsia"/>
        </w:rPr>
        <w:t>在全自动运行模式下，通信设备宜冗余设置，可在备用中心设置与主用中心互为热备的中心系统设备及控制终端。</w:t>
      </w:r>
    </w:p>
    <w:p w14:paraId="7F3C7664" w14:textId="77777777" w:rsidR="00337748" w:rsidRPr="00FD50F6" w:rsidRDefault="00337748" w:rsidP="00337748">
      <w:pPr>
        <w:pStyle w:val="30"/>
      </w:pPr>
      <w:r w:rsidRPr="00FD50F6">
        <w:t>民用通信引入系统应满足地铁公众通信服务</w:t>
      </w:r>
      <w:r w:rsidRPr="00FD50F6">
        <w:rPr>
          <w:rFonts w:hint="eastAsia"/>
        </w:rPr>
        <w:t>需求</w:t>
      </w:r>
      <w:r w:rsidRPr="00FD50F6">
        <w:t>，可将电信运营商移动通信系统覆盖至地铁地下空间，也可引入公用电话。</w:t>
      </w:r>
    </w:p>
    <w:p w14:paraId="4D96CF97" w14:textId="32E1F57A" w:rsidR="00337748" w:rsidRPr="00FD50F6" w:rsidRDefault="00337748" w:rsidP="00337748">
      <w:pPr>
        <w:pStyle w:val="30"/>
      </w:pPr>
      <w:r w:rsidRPr="00FD50F6">
        <w:t>公安通信系统应满足公安部门在地铁范围内的通信需求，并应在突发事件发生时，</w:t>
      </w:r>
      <w:r w:rsidRPr="00FD50F6">
        <w:rPr>
          <w:rFonts w:hint="eastAsia"/>
        </w:rPr>
        <w:t>满足</w:t>
      </w:r>
      <w:r w:rsidRPr="00FD50F6">
        <w:t>公安部门在地铁内的应急调度指挥</w:t>
      </w:r>
      <w:r w:rsidRPr="00FD50F6">
        <w:rPr>
          <w:rFonts w:hint="eastAsia"/>
        </w:rPr>
        <w:t>需求</w:t>
      </w:r>
      <w:r w:rsidRPr="00FD50F6">
        <w:t>。</w:t>
      </w:r>
    </w:p>
    <w:p w14:paraId="2DA6B809" w14:textId="21932808" w:rsidR="00337748" w:rsidRPr="00FD50F6" w:rsidRDefault="00337748" w:rsidP="00337748">
      <w:pPr>
        <w:pStyle w:val="30"/>
      </w:pPr>
      <w:r w:rsidRPr="00FD50F6">
        <w:t>地铁建设应结合通信技术发展、运营需要，设置不同水平的通信系统，在满足可靠性、可用性、可维护性及安全性的条件下，专用通信系统、民用通信引入系统和公安通信系统宜实现资源共享。</w:t>
      </w:r>
    </w:p>
    <w:p w14:paraId="6FEF057D" w14:textId="77777777" w:rsidR="00337748" w:rsidRPr="00FD50F6" w:rsidRDefault="00337748" w:rsidP="00337748">
      <w:pPr>
        <w:pStyle w:val="30"/>
      </w:pPr>
      <w:r w:rsidRPr="00FD50F6">
        <w:lastRenderedPageBreak/>
        <w:t>通信系统设备应符合电磁兼容性的要求，并应具有抗电气干扰性能。</w:t>
      </w:r>
    </w:p>
    <w:p w14:paraId="3FB26C8B" w14:textId="77777777" w:rsidR="00337748" w:rsidRPr="00FD50F6" w:rsidRDefault="00337748" w:rsidP="00337748">
      <w:pPr>
        <w:pStyle w:val="30"/>
        <w:rPr>
          <w:b/>
        </w:rPr>
      </w:pPr>
      <w:r w:rsidRPr="00FD50F6">
        <w:t>通信系统各子系统均应具有网络管理功能。主要通信设备和模块应具有自检和报警功能，中心网管设备可采集和监测系统设备运行状态和故障信息。</w:t>
      </w:r>
    </w:p>
    <w:p w14:paraId="3AFAEC22" w14:textId="77777777" w:rsidR="00337748" w:rsidRPr="00FD50F6" w:rsidRDefault="00337748" w:rsidP="00337748">
      <w:pPr>
        <w:pStyle w:val="30"/>
      </w:pPr>
      <w:r w:rsidRPr="00FD50F6">
        <w:rPr>
          <w:rFonts w:hint="eastAsia"/>
        </w:rPr>
        <w:t>专用</w:t>
      </w:r>
      <w:r w:rsidRPr="00FD50F6">
        <w:t>通信系统应对有线及无线调度、中心广播等重要语音录音</w:t>
      </w:r>
      <w:r w:rsidRPr="00FD50F6">
        <w:rPr>
          <w:rFonts w:hint="eastAsia"/>
        </w:rPr>
        <w:t>，</w:t>
      </w:r>
      <w:r w:rsidRPr="00FD50F6">
        <w:t>录音设备宜集中设置</w:t>
      </w:r>
      <w:r w:rsidRPr="00FD50F6">
        <w:rPr>
          <w:rFonts w:hint="eastAsia"/>
        </w:rPr>
        <w:t>，对专用无线通信系统的调度视频应进行录像</w:t>
      </w:r>
      <w:r w:rsidRPr="00FD50F6">
        <w:t>。</w:t>
      </w:r>
    </w:p>
    <w:p w14:paraId="4741B3CF" w14:textId="2EB05095" w:rsidR="00337748" w:rsidRPr="00FD50F6" w:rsidRDefault="00337748" w:rsidP="00337748">
      <w:pPr>
        <w:pStyle w:val="30"/>
      </w:pPr>
      <w:r w:rsidRPr="00FD50F6">
        <w:rPr>
          <w:rFonts w:hint="eastAsia"/>
        </w:rPr>
        <w:t>专用通信系统的子系统可根据系统架构部署在云平台上。</w:t>
      </w:r>
    </w:p>
    <w:p w14:paraId="3E9BF5C6" w14:textId="77777777" w:rsidR="00337748" w:rsidRPr="00FD50F6" w:rsidRDefault="00337748" w:rsidP="00337748">
      <w:pPr>
        <w:pStyle w:val="30"/>
      </w:pPr>
      <w:r w:rsidRPr="00FD50F6">
        <w:t>隧道内托板托架、线缆的设置严禁侵入设备限界；车载台无线天线的设置严禁超出车辆限界。</w:t>
      </w:r>
    </w:p>
    <w:p w14:paraId="00308427" w14:textId="31386916" w:rsidR="00337748" w:rsidRPr="00FD50F6" w:rsidRDefault="00337748" w:rsidP="00337748">
      <w:pPr>
        <w:pStyle w:val="30"/>
      </w:pPr>
      <w:r w:rsidRPr="00FD50F6">
        <w:t>通信系统工程设计选用的电气装置、电子设备应满足</w:t>
      </w:r>
      <w:r w:rsidR="00000DA3">
        <w:rPr>
          <w:rFonts w:hint="eastAsia"/>
        </w:rPr>
        <w:t>现行国家标准</w:t>
      </w:r>
      <w:r w:rsidRPr="00FD50F6">
        <w:rPr>
          <w:rFonts w:hint="eastAsia"/>
        </w:rPr>
        <w:t>《通信设备过电压过电流保护导则》</w:t>
      </w:r>
      <w:r w:rsidR="00000DA3" w:rsidRPr="00000DA3">
        <w:t xml:space="preserve"> </w:t>
      </w:r>
      <w:r w:rsidR="00000DA3" w:rsidRPr="00FD50F6">
        <w:t>GB/T</w:t>
      </w:r>
      <w:r w:rsidR="00000DA3">
        <w:t xml:space="preserve"> </w:t>
      </w:r>
      <w:r w:rsidR="00000DA3" w:rsidRPr="00FD50F6">
        <w:t>21545</w:t>
      </w:r>
      <w:r w:rsidRPr="00FD50F6">
        <w:t>有关过电压、过电流</w:t>
      </w:r>
      <w:r w:rsidRPr="00FD50F6">
        <w:rPr>
          <w:rFonts w:hint="eastAsia"/>
        </w:rPr>
        <w:t>的规定，且应满足</w:t>
      </w:r>
      <w:r w:rsidR="00000DA3">
        <w:rPr>
          <w:rFonts w:hint="eastAsia"/>
        </w:rPr>
        <w:t>现行国家标准</w:t>
      </w:r>
      <w:r w:rsidRPr="00FD50F6">
        <w:rPr>
          <w:rFonts w:hint="eastAsia"/>
        </w:rPr>
        <w:t>《信息技术设备</w:t>
      </w:r>
      <w:r w:rsidRPr="00FD50F6">
        <w:rPr>
          <w:rFonts w:hint="eastAsia"/>
        </w:rPr>
        <w:t xml:space="preserve"> </w:t>
      </w:r>
      <w:r w:rsidRPr="00FD50F6">
        <w:rPr>
          <w:rFonts w:hint="eastAsia"/>
        </w:rPr>
        <w:t>抗扰度限值和测量办法》</w:t>
      </w:r>
      <w:r w:rsidR="00000DA3" w:rsidRPr="00000DA3">
        <w:rPr>
          <w:rFonts w:hint="eastAsia"/>
        </w:rPr>
        <w:t xml:space="preserve"> </w:t>
      </w:r>
      <w:r w:rsidR="00000DA3" w:rsidRPr="00FD50F6">
        <w:rPr>
          <w:rFonts w:hint="eastAsia"/>
        </w:rPr>
        <w:t>G</w:t>
      </w:r>
      <w:r w:rsidR="00000DA3" w:rsidRPr="00FD50F6">
        <w:t>B/T</w:t>
      </w:r>
      <w:r w:rsidR="00000DA3">
        <w:t xml:space="preserve"> </w:t>
      </w:r>
      <w:r w:rsidR="00000DA3" w:rsidRPr="00FD50F6">
        <w:t>17618</w:t>
      </w:r>
      <w:r w:rsidRPr="00FD50F6">
        <w:rPr>
          <w:rFonts w:hint="eastAsia"/>
        </w:rPr>
        <w:t>有关</w:t>
      </w:r>
      <w:r w:rsidRPr="00FD50F6">
        <w:t>抗扰度试验标准的规定。通信系统设备应采取防雷措施。</w:t>
      </w:r>
    </w:p>
    <w:p w14:paraId="604A69C3" w14:textId="29048249" w:rsidR="00337748" w:rsidRPr="00FD50F6" w:rsidRDefault="00337748" w:rsidP="00337748">
      <w:pPr>
        <w:pStyle w:val="30"/>
      </w:pPr>
      <w:r w:rsidRPr="00FD50F6">
        <w:rPr>
          <w:rFonts w:hint="eastAsia"/>
        </w:rPr>
        <w:t>通信系统应按需求及特点确定网络</w:t>
      </w:r>
      <w:r w:rsidR="0073633F">
        <w:rPr>
          <w:rFonts w:hint="eastAsia"/>
        </w:rPr>
        <w:t>安全保护等级</w:t>
      </w:r>
      <w:r w:rsidRPr="00FD50F6">
        <w:rPr>
          <w:rFonts w:hint="eastAsia"/>
        </w:rPr>
        <w:t>，并应按网络安全分级的规定进行设计。</w:t>
      </w:r>
    </w:p>
    <w:p w14:paraId="21C85461" w14:textId="77777777" w:rsidR="00337748" w:rsidRPr="00FD50F6" w:rsidRDefault="00337748" w:rsidP="00A65181">
      <w:pPr>
        <w:pStyle w:val="2"/>
      </w:pPr>
      <w:bookmarkStart w:id="658" w:name="_Toc321985554"/>
      <w:bookmarkStart w:id="659" w:name="_Toc324853650"/>
      <w:bookmarkStart w:id="660" w:name="_Toc236494389"/>
      <w:bookmarkStart w:id="661" w:name="_Toc236726636"/>
      <w:bookmarkStart w:id="662" w:name="_Toc306206757"/>
      <w:bookmarkStart w:id="663" w:name="_Toc320196042"/>
      <w:bookmarkStart w:id="664" w:name="_Toc320643432"/>
      <w:bookmarkStart w:id="665" w:name="_Toc27244606"/>
      <w:bookmarkStart w:id="666" w:name="_Toc112830764"/>
      <w:bookmarkEnd w:id="658"/>
      <w:bookmarkEnd w:id="659"/>
      <w:r w:rsidRPr="00FD50F6">
        <w:t>传输系统</w:t>
      </w:r>
      <w:bookmarkEnd w:id="660"/>
      <w:bookmarkEnd w:id="661"/>
      <w:bookmarkEnd w:id="662"/>
      <w:bookmarkEnd w:id="663"/>
      <w:bookmarkEnd w:id="664"/>
      <w:bookmarkEnd w:id="665"/>
      <w:bookmarkEnd w:id="666"/>
      <w:r w:rsidRPr="00FD50F6">
        <w:t xml:space="preserve"> </w:t>
      </w:r>
    </w:p>
    <w:p w14:paraId="1D59DCBD" w14:textId="6FEC48E5" w:rsidR="00337748" w:rsidRPr="00FD50F6" w:rsidRDefault="00337748" w:rsidP="00337748">
      <w:pPr>
        <w:pStyle w:val="30"/>
      </w:pPr>
      <w:r w:rsidRPr="00FD50F6">
        <w:rPr>
          <w:rFonts w:hint="eastAsia"/>
        </w:rPr>
        <w:t>地铁应根据线网规划和建设需求，统筹规划专用传输系统建设，宜按线路业务需求和线网业务需求分层组网。专用传输系统应满足地铁各线路专用通信各子系统和信号、综合监控、电力监控、防灾、环境与设备监控和自动售检票等系统信息传输的要求，并应满足云平台、线网业务等传输要求。</w:t>
      </w:r>
    </w:p>
    <w:p w14:paraId="1B760DC9" w14:textId="77777777" w:rsidR="00337748" w:rsidRPr="00FD50F6" w:rsidRDefault="00337748" w:rsidP="00337748">
      <w:pPr>
        <w:pStyle w:val="30"/>
      </w:pPr>
      <w:r w:rsidRPr="00FD50F6">
        <w:t>传输系统</w:t>
      </w:r>
      <w:r w:rsidRPr="00FD50F6">
        <w:rPr>
          <w:rFonts w:hint="eastAsia"/>
        </w:rPr>
        <w:t>应</w:t>
      </w:r>
      <w:r w:rsidRPr="00FD50F6">
        <w:t>采用基于光同步数字传输制式或其他宽带光数字传输制式，并应满足各系统接口的需求。传输系统容量应根据各系统</w:t>
      </w:r>
      <w:r w:rsidRPr="00FD50F6">
        <w:rPr>
          <w:rFonts w:hint="eastAsia"/>
        </w:rPr>
        <w:t>和业务</w:t>
      </w:r>
      <w:r w:rsidRPr="00FD50F6">
        <w:t>对传输通道的需求确定，并应留有余量。</w:t>
      </w:r>
    </w:p>
    <w:p w14:paraId="1AFBAAAB" w14:textId="77777777" w:rsidR="00337748" w:rsidRPr="00FD50F6" w:rsidRDefault="00337748" w:rsidP="00337748">
      <w:pPr>
        <w:pStyle w:val="30"/>
      </w:pPr>
      <w:r w:rsidRPr="00FD50F6">
        <w:rPr>
          <w:rFonts w:hint="eastAsia"/>
        </w:rPr>
        <w:t>当</w:t>
      </w:r>
      <w:r w:rsidRPr="00FD50F6">
        <w:t>采用基于光同步数字传输制式的专用通信传输系统</w:t>
      </w:r>
      <w:r w:rsidRPr="00FD50F6">
        <w:rPr>
          <w:rFonts w:hint="eastAsia"/>
        </w:rPr>
        <w:t>时，</w:t>
      </w:r>
      <w:r w:rsidRPr="00FD50F6">
        <w:t>宜利用网同步设备作为外同步时钟源，并应采用主从同步方式实现系统同步。</w:t>
      </w:r>
    </w:p>
    <w:p w14:paraId="43CF2302" w14:textId="77777777" w:rsidR="00337748" w:rsidRPr="00FD50F6" w:rsidRDefault="00337748" w:rsidP="00337748">
      <w:pPr>
        <w:pStyle w:val="30"/>
      </w:pPr>
      <w:r w:rsidRPr="00FD50F6">
        <w:rPr>
          <w:rFonts w:hint="eastAsia"/>
        </w:rPr>
        <w:t>传输系统应利用不同径路的光缆构成自愈保护环或其他路由保护方式。</w:t>
      </w:r>
    </w:p>
    <w:p w14:paraId="7C7EE91A" w14:textId="77777777" w:rsidR="00337748" w:rsidRPr="00FD50F6" w:rsidRDefault="00337748" w:rsidP="00337748">
      <w:pPr>
        <w:pStyle w:val="30"/>
      </w:pPr>
      <w:r w:rsidRPr="00FD50F6">
        <w:t>干线光缆容量应满足地铁通信、信号、综合监控等系统对光纤容量的需求，并应结合远期发展预留余量。</w:t>
      </w:r>
    </w:p>
    <w:p w14:paraId="2BC1816F" w14:textId="77777777" w:rsidR="00337748" w:rsidRPr="00FD50F6" w:rsidRDefault="00337748" w:rsidP="00337748">
      <w:pPr>
        <w:pStyle w:val="30"/>
      </w:pPr>
      <w:r w:rsidRPr="00FD50F6">
        <w:t>地铁光缆网的建设宜根据线网规划和建设需求，统筹规划光缆数量、容</w:t>
      </w:r>
      <w:r w:rsidRPr="00FD50F6">
        <w:lastRenderedPageBreak/>
        <w:t>量和光缆径路。</w:t>
      </w:r>
    </w:p>
    <w:p w14:paraId="398F43E2" w14:textId="77777777" w:rsidR="00337748" w:rsidRPr="00FD50F6" w:rsidRDefault="00337748" w:rsidP="00337748">
      <w:pPr>
        <w:pStyle w:val="30"/>
      </w:pPr>
      <w:r w:rsidRPr="00FD50F6">
        <w:t>通信电缆、光缆在区间隧道内宜采用沿隧道壁架设方式，进入车站宜采用隐蔽敷设方式；高架区段电缆、光缆宜敷设在高架区间通信槽道内或托板托架上；地面电缆、光缆的敷设宜采用管道或槽道敷设方式。</w:t>
      </w:r>
    </w:p>
    <w:p w14:paraId="482C16A8" w14:textId="77777777" w:rsidR="00337748" w:rsidRPr="00FD50F6" w:rsidRDefault="00337748" w:rsidP="00337748">
      <w:pPr>
        <w:pStyle w:val="30"/>
      </w:pPr>
      <w:r w:rsidRPr="00FD50F6">
        <w:t>通信电缆、光缆应与强电电缆分开敷设。</w:t>
      </w:r>
      <w:r w:rsidRPr="00FD50F6">
        <w:rPr>
          <w:rFonts w:hint="eastAsia"/>
        </w:rPr>
        <w:t>当</w:t>
      </w:r>
      <w:r w:rsidRPr="00FD50F6">
        <w:t>光缆与电力电缆同径路敷设时，宜采用非金属加强芯。</w:t>
      </w:r>
    </w:p>
    <w:p w14:paraId="5E6E17E7" w14:textId="6A75475F" w:rsidR="00337748" w:rsidRPr="00FD50F6" w:rsidRDefault="00337748" w:rsidP="00337748">
      <w:pPr>
        <w:pStyle w:val="30"/>
      </w:pPr>
      <w:r w:rsidRPr="00FD50F6">
        <w:t>通信光</w:t>
      </w:r>
      <w:r w:rsidRPr="00FD50F6">
        <w:rPr>
          <w:rFonts w:hint="eastAsia"/>
        </w:rPr>
        <w:t>缆</w:t>
      </w:r>
      <w:r w:rsidRPr="00FD50F6">
        <w:t>、电缆管道顶部至路面</w:t>
      </w:r>
      <w:r w:rsidR="00000DA3">
        <w:rPr>
          <w:rFonts w:hint="eastAsia"/>
        </w:rPr>
        <w:t>的</w:t>
      </w:r>
      <w:r w:rsidRPr="00FD50F6">
        <w:t>埋深不宜小于</w:t>
      </w:r>
      <w:r w:rsidRPr="00FD50F6">
        <w:t>0.8m</w:t>
      </w:r>
      <w:r w:rsidRPr="00FD50F6">
        <w:t>，特殊地段不应小于表</w:t>
      </w:r>
      <w:r w:rsidR="00232AC3" w:rsidRPr="00FD50F6">
        <w:t>17</w:t>
      </w:r>
      <w:r w:rsidRPr="00FD50F6">
        <w:t>.2.9</w:t>
      </w:r>
      <w:r w:rsidRPr="00FD50F6">
        <w:t>的规定。</w:t>
      </w:r>
    </w:p>
    <w:p w14:paraId="4097CFD6" w14:textId="255BF345" w:rsidR="00337748" w:rsidRPr="00FD50F6" w:rsidRDefault="00337748" w:rsidP="00337748">
      <w:pPr>
        <w:pStyle w:val="6"/>
      </w:pPr>
      <w:r w:rsidRPr="00FD50F6">
        <w:t>表</w:t>
      </w:r>
      <w:r w:rsidR="00232AC3" w:rsidRPr="00FD50F6">
        <w:t>17</w:t>
      </w:r>
      <w:r w:rsidRPr="00FD50F6">
        <w:t xml:space="preserve">.2.9  </w:t>
      </w:r>
      <w:r w:rsidRPr="00FD50F6">
        <w:t>特殊地段管道顶部至路面的埋深（</w:t>
      </w:r>
      <w:r w:rsidRPr="00FD50F6">
        <w:t>m</w:t>
      </w:r>
      <w:r w:rsidRPr="00FD50F6">
        <w:t>）</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625"/>
        <w:gridCol w:w="1625"/>
        <w:gridCol w:w="1874"/>
        <w:gridCol w:w="1735"/>
      </w:tblGrid>
      <w:tr w:rsidR="00FD50F6" w:rsidRPr="00FD50F6" w14:paraId="58D29DB0" w14:textId="77777777" w:rsidTr="00353026">
        <w:trPr>
          <w:jc w:val="center"/>
        </w:trPr>
        <w:tc>
          <w:tcPr>
            <w:tcW w:w="1626" w:type="dxa"/>
            <w:vMerge w:val="restart"/>
            <w:vAlign w:val="center"/>
          </w:tcPr>
          <w:p w14:paraId="1B0D1332" w14:textId="77777777" w:rsidR="00337748" w:rsidRPr="00FD50F6" w:rsidRDefault="00337748" w:rsidP="00353026">
            <w:pPr>
              <w:pStyle w:val="7"/>
            </w:pPr>
            <w:r w:rsidRPr="00FD50F6">
              <w:t>管道种类</w:t>
            </w:r>
          </w:p>
        </w:tc>
        <w:tc>
          <w:tcPr>
            <w:tcW w:w="3250" w:type="dxa"/>
            <w:gridSpan w:val="2"/>
            <w:vAlign w:val="center"/>
          </w:tcPr>
          <w:p w14:paraId="5FA61F75" w14:textId="77777777" w:rsidR="00337748" w:rsidRPr="00FD50F6" w:rsidRDefault="00337748" w:rsidP="00353026">
            <w:pPr>
              <w:pStyle w:val="7"/>
            </w:pPr>
            <w:r w:rsidRPr="00FD50F6">
              <w:t>路面至管顶的最小深度</w:t>
            </w:r>
          </w:p>
        </w:tc>
        <w:tc>
          <w:tcPr>
            <w:tcW w:w="3609" w:type="dxa"/>
            <w:gridSpan w:val="2"/>
            <w:vAlign w:val="center"/>
          </w:tcPr>
          <w:p w14:paraId="0311B17C" w14:textId="77777777" w:rsidR="00337748" w:rsidRPr="00FD50F6" w:rsidRDefault="00337748" w:rsidP="00353026">
            <w:pPr>
              <w:pStyle w:val="7"/>
            </w:pPr>
            <w:r w:rsidRPr="00FD50F6">
              <w:t>路面（或基面）至管顶的最小深度</w:t>
            </w:r>
          </w:p>
        </w:tc>
      </w:tr>
      <w:tr w:rsidR="00FD50F6" w:rsidRPr="00FD50F6" w14:paraId="43369999" w14:textId="77777777" w:rsidTr="00353026">
        <w:trPr>
          <w:jc w:val="center"/>
        </w:trPr>
        <w:tc>
          <w:tcPr>
            <w:tcW w:w="1626" w:type="dxa"/>
            <w:vMerge/>
            <w:vAlign w:val="center"/>
          </w:tcPr>
          <w:p w14:paraId="22F85942" w14:textId="77777777" w:rsidR="00337748" w:rsidRPr="00FD50F6" w:rsidRDefault="00337748" w:rsidP="00353026">
            <w:pPr>
              <w:pStyle w:val="7"/>
              <w:rPr>
                <w:b/>
                <w:sz w:val="28"/>
              </w:rPr>
            </w:pPr>
          </w:p>
        </w:tc>
        <w:tc>
          <w:tcPr>
            <w:tcW w:w="1625" w:type="dxa"/>
            <w:vAlign w:val="center"/>
          </w:tcPr>
          <w:p w14:paraId="2C850E2C" w14:textId="77777777" w:rsidR="00337748" w:rsidRPr="00FD50F6" w:rsidRDefault="00337748" w:rsidP="00353026">
            <w:pPr>
              <w:pStyle w:val="7"/>
            </w:pPr>
            <w:r w:rsidRPr="00FD50F6">
              <w:t>人行道下</w:t>
            </w:r>
          </w:p>
        </w:tc>
        <w:tc>
          <w:tcPr>
            <w:tcW w:w="1625" w:type="dxa"/>
            <w:vAlign w:val="center"/>
          </w:tcPr>
          <w:p w14:paraId="077D759F" w14:textId="77777777" w:rsidR="00337748" w:rsidRPr="00FD50F6" w:rsidRDefault="00337748" w:rsidP="00353026">
            <w:pPr>
              <w:pStyle w:val="7"/>
            </w:pPr>
            <w:r w:rsidRPr="00FD50F6">
              <w:t>车行道下</w:t>
            </w:r>
          </w:p>
        </w:tc>
        <w:tc>
          <w:tcPr>
            <w:tcW w:w="1874" w:type="dxa"/>
            <w:vAlign w:val="center"/>
          </w:tcPr>
          <w:p w14:paraId="7315FABF" w14:textId="77777777" w:rsidR="00337748" w:rsidRPr="00FD50F6" w:rsidRDefault="00337748" w:rsidP="00353026">
            <w:pPr>
              <w:pStyle w:val="7"/>
            </w:pPr>
            <w:r w:rsidRPr="00FD50F6">
              <w:t>电车轨道下</w:t>
            </w:r>
          </w:p>
        </w:tc>
        <w:tc>
          <w:tcPr>
            <w:tcW w:w="1735" w:type="dxa"/>
            <w:vAlign w:val="center"/>
          </w:tcPr>
          <w:p w14:paraId="2D41751D" w14:textId="77777777" w:rsidR="00337748" w:rsidRPr="00FD50F6" w:rsidRDefault="00337748" w:rsidP="00353026">
            <w:pPr>
              <w:pStyle w:val="7"/>
            </w:pPr>
            <w:r w:rsidRPr="00FD50F6">
              <w:t>铁路下</w:t>
            </w:r>
          </w:p>
        </w:tc>
      </w:tr>
      <w:tr w:rsidR="00FD50F6" w:rsidRPr="00FD50F6" w14:paraId="71B726BB" w14:textId="77777777" w:rsidTr="00353026">
        <w:trPr>
          <w:jc w:val="center"/>
        </w:trPr>
        <w:tc>
          <w:tcPr>
            <w:tcW w:w="1626" w:type="dxa"/>
            <w:vAlign w:val="center"/>
          </w:tcPr>
          <w:p w14:paraId="20AF680A" w14:textId="77777777" w:rsidR="00337748" w:rsidRPr="00FD50F6" w:rsidRDefault="00337748" w:rsidP="00353026">
            <w:pPr>
              <w:pStyle w:val="7"/>
            </w:pPr>
            <w:r w:rsidRPr="00FD50F6">
              <w:t>混凝土管</w:t>
            </w:r>
          </w:p>
          <w:p w14:paraId="0436F8DD" w14:textId="77777777" w:rsidR="00337748" w:rsidRPr="00FD50F6" w:rsidRDefault="00337748" w:rsidP="00353026">
            <w:pPr>
              <w:pStyle w:val="7"/>
            </w:pPr>
            <w:r w:rsidRPr="00FD50F6">
              <w:t>或塑料管</w:t>
            </w:r>
          </w:p>
        </w:tc>
        <w:tc>
          <w:tcPr>
            <w:tcW w:w="1625" w:type="dxa"/>
            <w:vAlign w:val="center"/>
          </w:tcPr>
          <w:p w14:paraId="4BF5F6B9" w14:textId="77777777" w:rsidR="00337748" w:rsidRPr="00FD50F6" w:rsidRDefault="00337748" w:rsidP="00353026">
            <w:pPr>
              <w:pStyle w:val="7"/>
            </w:pPr>
            <w:r w:rsidRPr="00FD50F6">
              <w:t>0.5</w:t>
            </w:r>
          </w:p>
        </w:tc>
        <w:tc>
          <w:tcPr>
            <w:tcW w:w="1625" w:type="dxa"/>
            <w:vAlign w:val="center"/>
          </w:tcPr>
          <w:p w14:paraId="3606F924" w14:textId="77777777" w:rsidR="00337748" w:rsidRPr="00FD50F6" w:rsidRDefault="00337748" w:rsidP="00353026">
            <w:pPr>
              <w:pStyle w:val="7"/>
            </w:pPr>
            <w:r w:rsidRPr="00FD50F6">
              <w:t>0.7</w:t>
            </w:r>
          </w:p>
        </w:tc>
        <w:tc>
          <w:tcPr>
            <w:tcW w:w="1874" w:type="dxa"/>
            <w:vAlign w:val="center"/>
          </w:tcPr>
          <w:p w14:paraId="44909D10" w14:textId="77777777" w:rsidR="00337748" w:rsidRPr="00FD50F6" w:rsidRDefault="00337748" w:rsidP="00353026">
            <w:pPr>
              <w:pStyle w:val="7"/>
            </w:pPr>
            <w:r w:rsidRPr="00FD50F6">
              <w:t>1.0</w:t>
            </w:r>
          </w:p>
        </w:tc>
        <w:tc>
          <w:tcPr>
            <w:tcW w:w="1735" w:type="dxa"/>
            <w:vAlign w:val="center"/>
          </w:tcPr>
          <w:p w14:paraId="7AE6577C" w14:textId="77777777" w:rsidR="00337748" w:rsidRPr="00FD50F6" w:rsidRDefault="00337748" w:rsidP="00353026">
            <w:pPr>
              <w:pStyle w:val="7"/>
            </w:pPr>
            <w:r w:rsidRPr="00FD50F6">
              <w:t>1.3</w:t>
            </w:r>
          </w:p>
        </w:tc>
      </w:tr>
      <w:tr w:rsidR="00FD50F6" w:rsidRPr="00FD50F6" w14:paraId="26804240" w14:textId="77777777" w:rsidTr="00353026">
        <w:trPr>
          <w:jc w:val="center"/>
        </w:trPr>
        <w:tc>
          <w:tcPr>
            <w:tcW w:w="1626" w:type="dxa"/>
            <w:vAlign w:val="center"/>
          </w:tcPr>
          <w:p w14:paraId="1A55C959" w14:textId="77777777" w:rsidR="00337748" w:rsidRPr="00FD50F6" w:rsidRDefault="00337748" w:rsidP="00353026">
            <w:pPr>
              <w:pStyle w:val="7"/>
            </w:pPr>
            <w:r w:rsidRPr="00FD50F6">
              <w:t>钢</w:t>
            </w:r>
            <w:r w:rsidRPr="00FD50F6">
              <w:t xml:space="preserve">  </w:t>
            </w:r>
            <w:r w:rsidRPr="00FD50F6">
              <w:t>管</w:t>
            </w:r>
          </w:p>
        </w:tc>
        <w:tc>
          <w:tcPr>
            <w:tcW w:w="1625" w:type="dxa"/>
            <w:vAlign w:val="center"/>
          </w:tcPr>
          <w:p w14:paraId="681A2715" w14:textId="77777777" w:rsidR="00337748" w:rsidRPr="00FD50F6" w:rsidRDefault="00337748" w:rsidP="00353026">
            <w:pPr>
              <w:pStyle w:val="7"/>
            </w:pPr>
            <w:r w:rsidRPr="00FD50F6">
              <w:t>0.2</w:t>
            </w:r>
          </w:p>
        </w:tc>
        <w:tc>
          <w:tcPr>
            <w:tcW w:w="1625" w:type="dxa"/>
            <w:vAlign w:val="center"/>
          </w:tcPr>
          <w:p w14:paraId="4E5A42F8" w14:textId="77777777" w:rsidR="00337748" w:rsidRPr="00FD50F6" w:rsidRDefault="00337748" w:rsidP="00353026">
            <w:pPr>
              <w:pStyle w:val="7"/>
            </w:pPr>
            <w:r w:rsidRPr="00FD50F6">
              <w:t>0.4</w:t>
            </w:r>
          </w:p>
        </w:tc>
        <w:tc>
          <w:tcPr>
            <w:tcW w:w="1874" w:type="dxa"/>
            <w:vAlign w:val="center"/>
          </w:tcPr>
          <w:p w14:paraId="77C804F9" w14:textId="77777777" w:rsidR="00337748" w:rsidRPr="00FD50F6" w:rsidRDefault="00337748" w:rsidP="00353026">
            <w:pPr>
              <w:pStyle w:val="7"/>
            </w:pPr>
            <w:r w:rsidRPr="00FD50F6">
              <w:t>0.7</w:t>
            </w:r>
            <w:r w:rsidRPr="00FD50F6">
              <w:t>（加绝缘层）</w:t>
            </w:r>
          </w:p>
        </w:tc>
        <w:tc>
          <w:tcPr>
            <w:tcW w:w="1735" w:type="dxa"/>
            <w:vAlign w:val="center"/>
          </w:tcPr>
          <w:p w14:paraId="4F73BF57" w14:textId="77777777" w:rsidR="00337748" w:rsidRPr="00FD50F6" w:rsidRDefault="00337748" w:rsidP="00353026">
            <w:pPr>
              <w:pStyle w:val="7"/>
            </w:pPr>
            <w:r w:rsidRPr="00FD50F6">
              <w:t>0.8</w:t>
            </w:r>
          </w:p>
        </w:tc>
      </w:tr>
    </w:tbl>
    <w:p w14:paraId="217A5C55" w14:textId="1F8E8F14" w:rsidR="00337748" w:rsidRPr="00FD50F6" w:rsidRDefault="00337748" w:rsidP="00337748">
      <w:pPr>
        <w:pStyle w:val="30"/>
      </w:pPr>
      <w:bookmarkStart w:id="667" w:name="_Toc320642279"/>
      <w:bookmarkEnd w:id="667"/>
      <w:r w:rsidRPr="00FD50F6">
        <w:t>通信光</w:t>
      </w:r>
      <w:r w:rsidRPr="00FD50F6">
        <w:rPr>
          <w:rFonts w:hint="eastAsia"/>
        </w:rPr>
        <w:t>缆</w:t>
      </w:r>
      <w:r w:rsidRPr="00FD50F6">
        <w:t>、电缆管道和其他地下管线及建筑物间的最小净距应符合表</w:t>
      </w:r>
      <w:r w:rsidR="00232AC3" w:rsidRPr="00FD50F6">
        <w:t>17</w:t>
      </w:r>
      <w:r w:rsidRPr="00FD50F6">
        <w:t>.2.10-1</w:t>
      </w:r>
      <w:r w:rsidRPr="00FD50F6">
        <w:t>的规定。沿墙架设电缆、光缆与其他管线的最小净距应符合表</w:t>
      </w:r>
      <w:r w:rsidR="00232AC3" w:rsidRPr="00FD50F6">
        <w:t>17</w:t>
      </w:r>
      <w:r w:rsidRPr="00FD50F6">
        <w:t>.2.10-2</w:t>
      </w:r>
      <w:r w:rsidRPr="00FD50F6">
        <w:t>的规定。</w:t>
      </w:r>
    </w:p>
    <w:p w14:paraId="6E34DC81" w14:textId="3B13BF98" w:rsidR="00337748" w:rsidRPr="00FD50F6" w:rsidRDefault="00337748" w:rsidP="00337748">
      <w:pPr>
        <w:pStyle w:val="6"/>
      </w:pPr>
      <w:r w:rsidRPr="00FD50F6">
        <w:t>表</w:t>
      </w:r>
      <w:r w:rsidR="00232AC3" w:rsidRPr="00FD50F6">
        <w:t>17</w:t>
      </w:r>
      <w:r w:rsidRPr="00FD50F6">
        <w:t xml:space="preserve">.2.10-1 </w:t>
      </w:r>
      <w:r w:rsidRPr="00FD50F6">
        <w:t>管道和其他地下管线及建筑物间的最小净距</w:t>
      </w:r>
      <w:r w:rsidRPr="00FD50F6">
        <w:t>(m)</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3541"/>
        <w:gridCol w:w="1654"/>
        <w:gridCol w:w="1544"/>
      </w:tblGrid>
      <w:tr w:rsidR="00FD50F6" w:rsidRPr="00FD50F6" w14:paraId="32F641DC" w14:textId="77777777" w:rsidTr="00353026">
        <w:trPr>
          <w:jc w:val="center"/>
        </w:trPr>
        <w:tc>
          <w:tcPr>
            <w:tcW w:w="5074" w:type="dxa"/>
            <w:gridSpan w:val="2"/>
            <w:vMerge w:val="restart"/>
            <w:vAlign w:val="center"/>
          </w:tcPr>
          <w:p w14:paraId="7CFC2078" w14:textId="77777777" w:rsidR="00337748" w:rsidRPr="00FD50F6" w:rsidRDefault="00337748" w:rsidP="00353026">
            <w:pPr>
              <w:pStyle w:val="7"/>
            </w:pPr>
            <w:r w:rsidRPr="00FD50F6">
              <w:t>设</w:t>
            </w:r>
            <w:r w:rsidRPr="00FD50F6">
              <w:t xml:space="preserve">  </w:t>
            </w:r>
            <w:r w:rsidRPr="00FD50F6">
              <w:t>施</w:t>
            </w:r>
            <w:r w:rsidRPr="00FD50F6">
              <w:t xml:space="preserve">  </w:t>
            </w:r>
            <w:r w:rsidRPr="00FD50F6">
              <w:t>名</w:t>
            </w:r>
            <w:r w:rsidRPr="00FD50F6">
              <w:t xml:space="preserve">  </w:t>
            </w:r>
            <w:r w:rsidRPr="00FD50F6">
              <w:t>称</w:t>
            </w:r>
          </w:p>
        </w:tc>
        <w:tc>
          <w:tcPr>
            <w:tcW w:w="3198" w:type="dxa"/>
            <w:gridSpan w:val="2"/>
            <w:vAlign w:val="center"/>
          </w:tcPr>
          <w:p w14:paraId="6F76931A" w14:textId="77777777" w:rsidR="00337748" w:rsidRPr="00FD50F6" w:rsidRDefault="00337748" w:rsidP="00353026">
            <w:pPr>
              <w:pStyle w:val="7"/>
            </w:pPr>
            <w:r w:rsidRPr="00FD50F6">
              <w:t>最小净距</w:t>
            </w:r>
          </w:p>
        </w:tc>
      </w:tr>
      <w:tr w:rsidR="00FD50F6" w:rsidRPr="00FD50F6" w14:paraId="14D2D74B" w14:textId="77777777" w:rsidTr="00353026">
        <w:trPr>
          <w:jc w:val="center"/>
        </w:trPr>
        <w:tc>
          <w:tcPr>
            <w:tcW w:w="5074" w:type="dxa"/>
            <w:gridSpan w:val="2"/>
            <w:vMerge/>
            <w:vAlign w:val="center"/>
          </w:tcPr>
          <w:p w14:paraId="2C4960AD" w14:textId="77777777" w:rsidR="00337748" w:rsidRPr="00FD50F6" w:rsidRDefault="00337748" w:rsidP="00353026">
            <w:pPr>
              <w:pStyle w:val="7"/>
              <w:rPr>
                <w:b/>
                <w:sz w:val="28"/>
              </w:rPr>
            </w:pPr>
          </w:p>
        </w:tc>
        <w:tc>
          <w:tcPr>
            <w:tcW w:w="1654" w:type="dxa"/>
            <w:vAlign w:val="center"/>
          </w:tcPr>
          <w:p w14:paraId="160E98D4" w14:textId="77777777" w:rsidR="00337748" w:rsidRPr="00FD50F6" w:rsidRDefault="00337748" w:rsidP="00353026">
            <w:pPr>
              <w:pStyle w:val="7"/>
            </w:pPr>
            <w:r w:rsidRPr="00FD50F6">
              <w:t>平行时</w:t>
            </w:r>
          </w:p>
        </w:tc>
        <w:tc>
          <w:tcPr>
            <w:tcW w:w="1544" w:type="dxa"/>
            <w:vAlign w:val="center"/>
          </w:tcPr>
          <w:p w14:paraId="4909B789" w14:textId="77777777" w:rsidR="00337748" w:rsidRPr="00FD50F6" w:rsidRDefault="00337748" w:rsidP="00353026">
            <w:pPr>
              <w:pStyle w:val="7"/>
            </w:pPr>
            <w:r w:rsidRPr="00FD50F6">
              <w:t>交叉时</w:t>
            </w:r>
          </w:p>
        </w:tc>
      </w:tr>
      <w:tr w:rsidR="00FD50F6" w:rsidRPr="00FD50F6" w14:paraId="54CFE6B8" w14:textId="77777777" w:rsidTr="00353026">
        <w:trPr>
          <w:jc w:val="center"/>
        </w:trPr>
        <w:tc>
          <w:tcPr>
            <w:tcW w:w="1533" w:type="dxa"/>
            <w:vMerge w:val="restart"/>
            <w:vAlign w:val="center"/>
          </w:tcPr>
          <w:p w14:paraId="779A0786" w14:textId="77777777" w:rsidR="00337748" w:rsidRPr="00FD50F6" w:rsidRDefault="00337748" w:rsidP="00353026">
            <w:pPr>
              <w:pStyle w:val="7"/>
            </w:pPr>
            <w:r w:rsidRPr="00FD50F6">
              <w:t>电力电缆</w:t>
            </w:r>
          </w:p>
        </w:tc>
        <w:tc>
          <w:tcPr>
            <w:tcW w:w="3541" w:type="dxa"/>
            <w:vAlign w:val="center"/>
          </w:tcPr>
          <w:p w14:paraId="6B1F911E" w14:textId="77777777" w:rsidR="00337748" w:rsidRPr="00FD50F6" w:rsidRDefault="00337748" w:rsidP="00353026">
            <w:pPr>
              <w:pStyle w:val="7"/>
            </w:pPr>
            <w:r w:rsidRPr="00FD50F6">
              <w:t>电压</w:t>
            </w:r>
            <w:r w:rsidRPr="00FD50F6">
              <w:t>&lt;35kV</w:t>
            </w:r>
          </w:p>
        </w:tc>
        <w:tc>
          <w:tcPr>
            <w:tcW w:w="1654" w:type="dxa"/>
            <w:vAlign w:val="center"/>
          </w:tcPr>
          <w:p w14:paraId="350F2C67" w14:textId="77777777" w:rsidR="00337748" w:rsidRPr="00FD50F6" w:rsidRDefault="00337748" w:rsidP="00353026">
            <w:pPr>
              <w:pStyle w:val="7"/>
            </w:pPr>
            <w:r w:rsidRPr="00FD50F6">
              <w:t>0.5</w:t>
            </w:r>
          </w:p>
        </w:tc>
        <w:tc>
          <w:tcPr>
            <w:tcW w:w="1544" w:type="dxa"/>
            <w:vAlign w:val="center"/>
          </w:tcPr>
          <w:p w14:paraId="222732AD" w14:textId="77777777" w:rsidR="00337748" w:rsidRPr="00FD50F6" w:rsidRDefault="00337748" w:rsidP="00353026">
            <w:pPr>
              <w:pStyle w:val="7"/>
            </w:pPr>
            <w:r w:rsidRPr="00FD50F6">
              <w:t>0.5</w:t>
            </w:r>
          </w:p>
        </w:tc>
      </w:tr>
      <w:tr w:rsidR="00FD50F6" w:rsidRPr="00FD50F6" w14:paraId="411E4563" w14:textId="77777777" w:rsidTr="00353026">
        <w:trPr>
          <w:jc w:val="center"/>
        </w:trPr>
        <w:tc>
          <w:tcPr>
            <w:tcW w:w="1533" w:type="dxa"/>
            <w:vMerge/>
            <w:vAlign w:val="center"/>
          </w:tcPr>
          <w:p w14:paraId="46D312CF" w14:textId="77777777" w:rsidR="00337748" w:rsidRPr="00FD50F6" w:rsidRDefault="00337748" w:rsidP="00353026">
            <w:pPr>
              <w:pStyle w:val="7"/>
              <w:rPr>
                <w:b/>
                <w:sz w:val="28"/>
              </w:rPr>
            </w:pPr>
          </w:p>
        </w:tc>
        <w:tc>
          <w:tcPr>
            <w:tcW w:w="3541" w:type="dxa"/>
            <w:vAlign w:val="center"/>
          </w:tcPr>
          <w:p w14:paraId="2A85739B" w14:textId="77777777" w:rsidR="00337748" w:rsidRPr="00FD50F6" w:rsidRDefault="00337748" w:rsidP="00353026">
            <w:pPr>
              <w:pStyle w:val="7"/>
            </w:pPr>
            <w:r w:rsidRPr="00FD50F6">
              <w:t>电压</w:t>
            </w:r>
            <w:r w:rsidRPr="00FD50F6">
              <w:t>≥35kV</w:t>
            </w:r>
          </w:p>
        </w:tc>
        <w:tc>
          <w:tcPr>
            <w:tcW w:w="1654" w:type="dxa"/>
            <w:vAlign w:val="center"/>
          </w:tcPr>
          <w:p w14:paraId="5CB0C411" w14:textId="77777777" w:rsidR="00337748" w:rsidRPr="00FD50F6" w:rsidRDefault="00337748" w:rsidP="00353026">
            <w:pPr>
              <w:pStyle w:val="7"/>
            </w:pPr>
            <w:r w:rsidRPr="00FD50F6">
              <w:t>2.0</w:t>
            </w:r>
          </w:p>
        </w:tc>
        <w:tc>
          <w:tcPr>
            <w:tcW w:w="1544" w:type="dxa"/>
            <w:vAlign w:val="center"/>
          </w:tcPr>
          <w:p w14:paraId="045EBA50" w14:textId="77777777" w:rsidR="00337748" w:rsidRPr="00FD50F6" w:rsidRDefault="00337748" w:rsidP="00353026">
            <w:pPr>
              <w:pStyle w:val="7"/>
            </w:pPr>
            <w:r w:rsidRPr="00FD50F6">
              <w:t>0.5</w:t>
            </w:r>
          </w:p>
        </w:tc>
      </w:tr>
      <w:tr w:rsidR="00FD50F6" w:rsidRPr="00FD50F6" w14:paraId="78EE1F62" w14:textId="77777777" w:rsidTr="00353026">
        <w:trPr>
          <w:jc w:val="center"/>
        </w:trPr>
        <w:tc>
          <w:tcPr>
            <w:tcW w:w="5074" w:type="dxa"/>
            <w:gridSpan w:val="2"/>
            <w:vAlign w:val="center"/>
          </w:tcPr>
          <w:p w14:paraId="4158B4E4" w14:textId="77777777" w:rsidR="00337748" w:rsidRPr="00FD50F6" w:rsidRDefault="00337748" w:rsidP="00353026">
            <w:pPr>
              <w:pStyle w:val="7"/>
            </w:pPr>
            <w:r w:rsidRPr="00FD50F6">
              <w:t>其他通信电缆</w:t>
            </w:r>
          </w:p>
        </w:tc>
        <w:tc>
          <w:tcPr>
            <w:tcW w:w="1654" w:type="dxa"/>
            <w:vAlign w:val="center"/>
          </w:tcPr>
          <w:p w14:paraId="03206513" w14:textId="77777777" w:rsidR="00337748" w:rsidRPr="00FD50F6" w:rsidRDefault="00337748" w:rsidP="00353026">
            <w:pPr>
              <w:pStyle w:val="7"/>
            </w:pPr>
            <w:r w:rsidRPr="00FD50F6">
              <w:t>0.75</w:t>
            </w:r>
          </w:p>
        </w:tc>
        <w:tc>
          <w:tcPr>
            <w:tcW w:w="1544" w:type="dxa"/>
            <w:vAlign w:val="center"/>
          </w:tcPr>
          <w:p w14:paraId="0CD24001" w14:textId="77777777" w:rsidR="00337748" w:rsidRPr="00FD50F6" w:rsidRDefault="00337748" w:rsidP="00353026">
            <w:pPr>
              <w:pStyle w:val="7"/>
            </w:pPr>
            <w:r w:rsidRPr="00FD50F6">
              <w:t>0.25</w:t>
            </w:r>
          </w:p>
        </w:tc>
      </w:tr>
      <w:tr w:rsidR="00FD50F6" w:rsidRPr="00FD50F6" w14:paraId="15C8EA4B" w14:textId="77777777" w:rsidTr="00353026">
        <w:trPr>
          <w:jc w:val="center"/>
        </w:trPr>
        <w:tc>
          <w:tcPr>
            <w:tcW w:w="1533" w:type="dxa"/>
            <w:vAlign w:val="center"/>
          </w:tcPr>
          <w:p w14:paraId="6236EC33" w14:textId="77777777" w:rsidR="00337748" w:rsidRPr="00FD50F6" w:rsidRDefault="00337748" w:rsidP="00353026">
            <w:pPr>
              <w:pStyle w:val="7"/>
            </w:pPr>
            <w:r w:rsidRPr="00FD50F6">
              <w:t>给水管</w:t>
            </w:r>
          </w:p>
        </w:tc>
        <w:tc>
          <w:tcPr>
            <w:tcW w:w="3541" w:type="dxa"/>
            <w:vAlign w:val="center"/>
          </w:tcPr>
          <w:p w14:paraId="701049F3" w14:textId="77777777" w:rsidR="00337748" w:rsidRPr="00FD50F6" w:rsidRDefault="00337748" w:rsidP="00353026">
            <w:pPr>
              <w:pStyle w:val="7"/>
            </w:pPr>
            <w:r w:rsidRPr="00FD50F6">
              <w:t>管径</w:t>
            </w:r>
            <w:r w:rsidRPr="00FD50F6">
              <w:t>&lt;0.3m</w:t>
            </w:r>
          </w:p>
          <w:p w14:paraId="3BF1DEEC" w14:textId="77777777" w:rsidR="00337748" w:rsidRPr="00FD50F6" w:rsidRDefault="00337748" w:rsidP="00353026">
            <w:pPr>
              <w:pStyle w:val="7"/>
            </w:pPr>
            <w:r w:rsidRPr="00FD50F6">
              <w:t>管径</w:t>
            </w:r>
            <w:r w:rsidRPr="00FD50F6">
              <w:t>≥0.3m</w:t>
            </w:r>
          </w:p>
        </w:tc>
        <w:tc>
          <w:tcPr>
            <w:tcW w:w="1654" w:type="dxa"/>
            <w:vAlign w:val="center"/>
          </w:tcPr>
          <w:p w14:paraId="4901D016" w14:textId="77777777" w:rsidR="00337748" w:rsidRPr="00FD50F6" w:rsidRDefault="00337748" w:rsidP="00353026">
            <w:pPr>
              <w:pStyle w:val="7"/>
            </w:pPr>
            <w:r w:rsidRPr="00FD50F6">
              <w:t>0.5</w:t>
            </w:r>
          </w:p>
          <w:p w14:paraId="6598B95A" w14:textId="77777777" w:rsidR="00337748" w:rsidRPr="00FD50F6" w:rsidRDefault="00337748" w:rsidP="00353026">
            <w:pPr>
              <w:pStyle w:val="7"/>
            </w:pPr>
            <w:r w:rsidRPr="00FD50F6">
              <w:t>1.0</w:t>
            </w:r>
          </w:p>
        </w:tc>
        <w:tc>
          <w:tcPr>
            <w:tcW w:w="1544" w:type="dxa"/>
            <w:vAlign w:val="center"/>
          </w:tcPr>
          <w:p w14:paraId="2F0B97F9" w14:textId="77777777" w:rsidR="00337748" w:rsidRPr="00FD50F6" w:rsidRDefault="00337748" w:rsidP="00353026">
            <w:pPr>
              <w:pStyle w:val="7"/>
            </w:pPr>
            <w:r w:rsidRPr="00FD50F6">
              <w:t>0.15</w:t>
            </w:r>
          </w:p>
          <w:p w14:paraId="6AD202F9" w14:textId="77777777" w:rsidR="00337748" w:rsidRPr="00FD50F6" w:rsidRDefault="00337748" w:rsidP="00353026">
            <w:pPr>
              <w:pStyle w:val="7"/>
            </w:pPr>
            <w:r w:rsidRPr="00FD50F6">
              <w:t>0.15</w:t>
            </w:r>
          </w:p>
        </w:tc>
      </w:tr>
      <w:tr w:rsidR="00FD50F6" w:rsidRPr="00FD50F6" w14:paraId="2E3CDF40" w14:textId="77777777" w:rsidTr="00353026">
        <w:trPr>
          <w:jc w:val="center"/>
        </w:trPr>
        <w:tc>
          <w:tcPr>
            <w:tcW w:w="1533" w:type="dxa"/>
            <w:vMerge w:val="restart"/>
            <w:vAlign w:val="center"/>
          </w:tcPr>
          <w:p w14:paraId="57D0FF02" w14:textId="77777777" w:rsidR="00337748" w:rsidRPr="00FD50F6" w:rsidRDefault="00337748" w:rsidP="00353026">
            <w:pPr>
              <w:pStyle w:val="7"/>
            </w:pPr>
            <w:r w:rsidRPr="00FD50F6">
              <w:t>煤气管</w:t>
            </w:r>
          </w:p>
        </w:tc>
        <w:tc>
          <w:tcPr>
            <w:tcW w:w="3541" w:type="dxa"/>
            <w:vAlign w:val="center"/>
          </w:tcPr>
          <w:p w14:paraId="07D3DFAC" w14:textId="77777777" w:rsidR="00337748" w:rsidRPr="00FD50F6" w:rsidRDefault="00337748" w:rsidP="00353026">
            <w:pPr>
              <w:pStyle w:val="7"/>
            </w:pPr>
            <w:r w:rsidRPr="00FD50F6">
              <w:t>压力</w:t>
            </w:r>
            <w:r w:rsidRPr="00FD50F6">
              <w:t>≤300kpa</w:t>
            </w:r>
          </w:p>
        </w:tc>
        <w:tc>
          <w:tcPr>
            <w:tcW w:w="1654" w:type="dxa"/>
            <w:vAlign w:val="center"/>
          </w:tcPr>
          <w:p w14:paraId="66388B32" w14:textId="77777777" w:rsidR="00337748" w:rsidRPr="00FD50F6" w:rsidRDefault="00337748" w:rsidP="00353026">
            <w:pPr>
              <w:pStyle w:val="7"/>
            </w:pPr>
            <w:r w:rsidRPr="00FD50F6">
              <w:t>1.0</w:t>
            </w:r>
          </w:p>
        </w:tc>
        <w:tc>
          <w:tcPr>
            <w:tcW w:w="1544" w:type="dxa"/>
            <w:vAlign w:val="center"/>
          </w:tcPr>
          <w:p w14:paraId="2240E278" w14:textId="77777777" w:rsidR="00337748" w:rsidRPr="00FD50F6" w:rsidRDefault="00337748" w:rsidP="00353026">
            <w:pPr>
              <w:pStyle w:val="7"/>
            </w:pPr>
            <w:r w:rsidRPr="00FD50F6">
              <w:t>0.3</w:t>
            </w:r>
          </w:p>
        </w:tc>
      </w:tr>
      <w:tr w:rsidR="00FD50F6" w:rsidRPr="00FD50F6" w14:paraId="300B18DE" w14:textId="77777777" w:rsidTr="00353026">
        <w:trPr>
          <w:jc w:val="center"/>
        </w:trPr>
        <w:tc>
          <w:tcPr>
            <w:tcW w:w="1533" w:type="dxa"/>
            <w:vMerge/>
            <w:vAlign w:val="center"/>
          </w:tcPr>
          <w:p w14:paraId="704D62EE" w14:textId="77777777" w:rsidR="00337748" w:rsidRPr="00FD50F6" w:rsidRDefault="00337748" w:rsidP="00353026">
            <w:pPr>
              <w:pStyle w:val="7"/>
              <w:rPr>
                <w:b/>
                <w:sz w:val="28"/>
              </w:rPr>
            </w:pPr>
          </w:p>
        </w:tc>
        <w:tc>
          <w:tcPr>
            <w:tcW w:w="3541" w:type="dxa"/>
            <w:vAlign w:val="center"/>
          </w:tcPr>
          <w:p w14:paraId="63D925A4" w14:textId="77777777" w:rsidR="00337748" w:rsidRPr="00FD50F6" w:rsidRDefault="00337748" w:rsidP="00353026">
            <w:pPr>
              <w:pStyle w:val="7"/>
            </w:pPr>
            <w:r w:rsidRPr="00FD50F6">
              <w:t>300kpa&lt;</w:t>
            </w:r>
            <w:r w:rsidRPr="00FD50F6">
              <w:t>压力</w:t>
            </w:r>
            <w:r w:rsidRPr="00FD50F6">
              <w:t>≤800kpa</w:t>
            </w:r>
          </w:p>
        </w:tc>
        <w:tc>
          <w:tcPr>
            <w:tcW w:w="1654" w:type="dxa"/>
            <w:vAlign w:val="center"/>
          </w:tcPr>
          <w:p w14:paraId="1C85F50C" w14:textId="77777777" w:rsidR="00337748" w:rsidRPr="00FD50F6" w:rsidRDefault="00337748" w:rsidP="00353026">
            <w:pPr>
              <w:pStyle w:val="7"/>
            </w:pPr>
            <w:r w:rsidRPr="00FD50F6">
              <w:t>2.0</w:t>
            </w:r>
          </w:p>
        </w:tc>
        <w:tc>
          <w:tcPr>
            <w:tcW w:w="1544" w:type="dxa"/>
            <w:vAlign w:val="center"/>
          </w:tcPr>
          <w:p w14:paraId="5A16997C" w14:textId="77777777" w:rsidR="00337748" w:rsidRPr="00FD50F6" w:rsidRDefault="00337748" w:rsidP="00353026">
            <w:pPr>
              <w:pStyle w:val="7"/>
            </w:pPr>
            <w:r w:rsidRPr="00FD50F6">
              <w:t>0.3</w:t>
            </w:r>
          </w:p>
        </w:tc>
      </w:tr>
      <w:tr w:rsidR="00FD50F6" w:rsidRPr="00FD50F6" w14:paraId="3DAE5F57" w14:textId="77777777" w:rsidTr="00353026">
        <w:trPr>
          <w:jc w:val="center"/>
        </w:trPr>
        <w:tc>
          <w:tcPr>
            <w:tcW w:w="5074" w:type="dxa"/>
            <w:gridSpan w:val="2"/>
            <w:vAlign w:val="center"/>
          </w:tcPr>
          <w:p w14:paraId="34C5C8ED" w14:textId="77777777" w:rsidR="00337748" w:rsidRPr="00FD50F6" w:rsidRDefault="00337748" w:rsidP="00353026">
            <w:pPr>
              <w:pStyle w:val="7"/>
            </w:pPr>
            <w:r w:rsidRPr="00FD50F6">
              <w:t xml:space="preserve">                 </w:t>
            </w:r>
            <w:r w:rsidRPr="00FD50F6">
              <w:t>市外大树</w:t>
            </w:r>
          </w:p>
        </w:tc>
        <w:tc>
          <w:tcPr>
            <w:tcW w:w="1654" w:type="dxa"/>
            <w:vAlign w:val="center"/>
          </w:tcPr>
          <w:p w14:paraId="22BA027E" w14:textId="77777777" w:rsidR="00337748" w:rsidRPr="00FD50F6" w:rsidRDefault="00337748" w:rsidP="00353026">
            <w:pPr>
              <w:pStyle w:val="7"/>
            </w:pPr>
            <w:r w:rsidRPr="00FD50F6">
              <w:t>2.0</w:t>
            </w:r>
          </w:p>
        </w:tc>
        <w:tc>
          <w:tcPr>
            <w:tcW w:w="1544" w:type="dxa"/>
            <w:vAlign w:val="center"/>
          </w:tcPr>
          <w:p w14:paraId="54FE5FCF" w14:textId="3545A955" w:rsidR="00337748" w:rsidRPr="00FD50F6" w:rsidRDefault="00337748" w:rsidP="00353026">
            <w:pPr>
              <w:pStyle w:val="7"/>
            </w:pPr>
            <w:r w:rsidRPr="00FD50F6">
              <w:rPr>
                <w:rFonts w:ascii="宋体" w:hAnsi="宋体" w:hint="eastAsia"/>
              </w:rPr>
              <w:t>─</w:t>
            </w:r>
          </w:p>
        </w:tc>
      </w:tr>
      <w:tr w:rsidR="00FD50F6" w:rsidRPr="00FD50F6" w14:paraId="6CC61593" w14:textId="77777777" w:rsidTr="00353026">
        <w:trPr>
          <w:jc w:val="center"/>
        </w:trPr>
        <w:tc>
          <w:tcPr>
            <w:tcW w:w="5074" w:type="dxa"/>
            <w:gridSpan w:val="2"/>
            <w:vAlign w:val="center"/>
          </w:tcPr>
          <w:p w14:paraId="658C6FF5" w14:textId="77777777" w:rsidR="00337748" w:rsidRPr="00FD50F6" w:rsidRDefault="00337748" w:rsidP="00353026">
            <w:pPr>
              <w:pStyle w:val="7"/>
            </w:pPr>
            <w:r w:rsidRPr="00FD50F6">
              <w:t xml:space="preserve">                 </w:t>
            </w:r>
            <w:r w:rsidRPr="00FD50F6">
              <w:t>市内大树</w:t>
            </w:r>
          </w:p>
        </w:tc>
        <w:tc>
          <w:tcPr>
            <w:tcW w:w="1654" w:type="dxa"/>
            <w:vAlign w:val="center"/>
          </w:tcPr>
          <w:p w14:paraId="57B004A9" w14:textId="77777777" w:rsidR="00337748" w:rsidRPr="00FD50F6" w:rsidRDefault="00337748" w:rsidP="00353026">
            <w:pPr>
              <w:pStyle w:val="7"/>
            </w:pPr>
            <w:r w:rsidRPr="00FD50F6">
              <w:t>0.75</w:t>
            </w:r>
          </w:p>
        </w:tc>
        <w:tc>
          <w:tcPr>
            <w:tcW w:w="1544" w:type="dxa"/>
            <w:vAlign w:val="center"/>
          </w:tcPr>
          <w:p w14:paraId="16AFAE80" w14:textId="4C7DFE6A" w:rsidR="00337748" w:rsidRPr="00FD50F6" w:rsidRDefault="00337748" w:rsidP="00353026">
            <w:pPr>
              <w:pStyle w:val="7"/>
            </w:pPr>
            <w:r w:rsidRPr="00FD50F6">
              <w:rPr>
                <w:rFonts w:ascii="宋体" w:hAnsi="宋体" w:hint="eastAsia"/>
              </w:rPr>
              <w:t>─</w:t>
            </w:r>
          </w:p>
        </w:tc>
      </w:tr>
      <w:tr w:rsidR="00FD50F6" w:rsidRPr="00FD50F6" w14:paraId="16655FED" w14:textId="77777777" w:rsidTr="00353026">
        <w:trPr>
          <w:jc w:val="center"/>
        </w:trPr>
        <w:tc>
          <w:tcPr>
            <w:tcW w:w="5074" w:type="dxa"/>
            <w:gridSpan w:val="2"/>
            <w:vAlign w:val="center"/>
          </w:tcPr>
          <w:p w14:paraId="0636A7A2" w14:textId="77777777" w:rsidR="00337748" w:rsidRPr="00FD50F6" w:rsidRDefault="00337748" w:rsidP="00353026">
            <w:pPr>
              <w:pStyle w:val="7"/>
            </w:pPr>
            <w:r w:rsidRPr="00FD50F6">
              <w:t>热力管、排水管</w:t>
            </w:r>
          </w:p>
        </w:tc>
        <w:tc>
          <w:tcPr>
            <w:tcW w:w="1654" w:type="dxa"/>
            <w:vAlign w:val="center"/>
          </w:tcPr>
          <w:p w14:paraId="79C9B5CF" w14:textId="77777777" w:rsidR="00337748" w:rsidRPr="00FD50F6" w:rsidRDefault="00337748" w:rsidP="00353026">
            <w:pPr>
              <w:pStyle w:val="7"/>
            </w:pPr>
            <w:r w:rsidRPr="00FD50F6">
              <w:t>1.0</w:t>
            </w:r>
          </w:p>
        </w:tc>
        <w:tc>
          <w:tcPr>
            <w:tcW w:w="1544" w:type="dxa"/>
            <w:vAlign w:val="center"/>
          </w:tcPr>
          <w:p w14:paraId="4A50BCBC" w14:textId="77777777" w:rsidR="00337748" w:rsidRPr="00FD50F6" w:rsidRDefault="00337748" w:rsidP="00353026">
            <w:pPr>
              <w:pStyle w:val="7"/>
            </w:pPr>
            <w:r w:rsidRPr="00FD50F6">
              <w:t>0.15</w:t>
            </w:r>
          </w:p>
        </w:tc>
      </w:tr>
      <w:tr w:rsidR="00FD50F6" w:rsidRPr="00FD50F6" w14:paraId="0E933E2C" w14:textId="77777777" w:rsidTr="00353026">
        <w:trPr>
          <w:jc w:val="center"/>
        </w:trPr>
        <w:tc>
          <w:tcPr>
            <w:tcW w:w="5074" w:type="dxa"/>
            <w:gridSpan w:val="2"/>
            <w:vAlign w:val="center"/>
          </w:tcPr>
          <w:p w14:paraId="4A1DC297" w14:textId="4FC4EC68" w:rsidR="00337748" w:rsidRPr="00FD50F6" w:rsidRDefault="00337748" w:rsidP="00353026">
            <w:pPr>
              <w:pStyle w:val="7"/>
            </w:pPr>
            <w:r w:rsidRPr="00FD50F6">
              <w:t>排水沟</w:t>
            </w:r>
          </w:p>
        </w:tc>
        <w:tc>
          <w:tcPr>
            <w:tcW w:w="1654" w:type="dxa"/>
            <w:vAlign w:val="center"/>
          </w:tcPr>
          <w:p w14:paraId="72BEFD3C" w14:textId="77777777" w:rsidR="00337748" w:rsidRPr="00FD50F6" w:rsidRDefault="00337748" w:rsidP="00353026">
            <w:pPr>
              <w:pStyle w:val="7"/>
            </w:pPr>
            <w:r w:rsidRPr="00FD50F6">
              <w:t>0.8</w:t>
            </w:r>
          </w:p>
        </w:tc>
        <w:tc>
          <w:tcPr>
            <w:tcW w:w="1544" w:type="dxa"/>
            <w:vAlign w:val="center"/>
          </w:tcPr>
          <w:p w14:paraId="2405D398" w14:textId="77777777" w:rsidR="00337748" w:rsidRPr="00FD50F6" w:rsidRDefault="00337748" w:rsidP="00353026">
            <w:pPr>
              <w:pStyle w:val="7"/>
            </w:pPr>
            <w:r w:rsidRPr="00FD50F6">
              <w:t>0.5</w:t>
            </w:r>
          </w:p>
        </w:tc>
      </w:tr>
      <w:tr w:rsidR="00337748" w:rsidRPr="00FD50F6" w14:paraId="4F011F3C" w14:textId="77777777" w:rsidTr="00353026">
        <w:trPr>
          <w:jc w:val="center"/>
        </w:trPr>
        <w:tc>
          <w:tcPr>
            <w:tcW w:w="5074" w:type="dxa"/>
            <w:gridSpan w:val="2"/>
            <w:vAlign w:val="center"/>
          </w:tcPr>
          <w:p w14:paraId="41C4CA31" w14:textId="77777777" w:rsidR="00337748" w:rsidRPr="00FD50F6" w:rsidRDefault="00337748" w:rsidP="00353026">
            <w:pPr>
              <w:pStyle w:val="7"/>
            </w:pPr>
            <w:r w:rsidRPr="00FD50F6">
              <w:t>房屋建筑红线（或基础）</w:t>
            </w:r>
          </w:p>
        </w:tc>
        <w:tc>
          <w:tcPr>
            <w:tcW w:w="1654" w:type="dxa"/>
            <w:vAlign w:val="center"/>
          </w:tcPr>
          <w:p w14:paraId="358D9A16" w14:textId="77777777" w:rsidR="00337748" w:rsidRPr="00FD50F6" w:rsidRDefault="00337748" w:rsidP="00353026">
            <w:pPr>
              <w:pStyle w:val="7"/>
            </w:pPr>
            <w:r w:rsidRPr="00FD50F6">
              <w:t>1.0</w:t>
            </w:r>
          </w:p>
        </w:tc>
        <w:tc>
          <w:tcPr>
            <w:tcW w:w="1544" w:type="dxa"/>
            <w:vAlign w:val="center"/>
          </w:tcPr>
          <w:p w14:paraId="145D0122" w14:textId="77777777" w:rsidR="00337748" w:rsidRPr="00FD50F6" w:rsidRDefault="00337748" w:rsidP="00353026">
            <w:pPr>
              <w:pStyle w:val="7"/>
            </w:pPr>
            <w:r w:rsidRPr="00FD50F6">
              <w:t>-</w:t>
            </w:r>
          </w:p>
        </w:tc>
      </w:tr>
    </w:tbl>
    <w:p w14:paraId="79182F3D" w14:textId="77777777" w:rsidR="00337748" w:rsidRPr="00FD50F6" w:rsidRDefault="00337748" w:rsidP="00337748">
      <w:pPr>
        <w:adjustRightInd w:val="0"/>
        <w:snapToGrid w:val="0"/>
        <w:spacing w:line="240" w:lineRule="auto"/>
        <w:ind w:firstLineChars="200" w:firstLine="480"/>
        <w:rPr>
          <w:rFonts w:ascii="Times New Roman" w:hAnsi="Times New Roman" w:cs="Times New Roman"/>
          <w:szCs w:val="24"/>
        </w:rPr>
      </w:pPr>
    </w:p>
    <w:p w14:paraId="2FD92D53" w14:textId="494576BE" w:rsidR="00337748" w:rsidRPr="00FD50F6" w:rsidRDefault="00337748" w:rsidP="00337748">
      <w:pPr>
        <w:pStyle w:val="6"/>
      </w:pPr>
      <w:r w:rsidRPr="00FD50F6">
        <w:t>表</w:t>
      </w:r>
      <w:r w:rsidR="00232AC3" w:rsidRPr="00FD50F6">
        <w:t>17</w:t>
      </w:r>
      <w:r w:rsidRPr="00FD50F6">
        <w:t xml:space="preserve">.2.10-2 </w:t>
      </w:r>
      <w:r w:rsidRPr="00FD50F6">
        <w:t>沿墙架设</w:t>
      </w:r>
      <w:r w:rsidR="0073633F">
        <w:t>电缆</w:t>
      </w:r>
      <w:r w:rsidR="009B2966" w:rsidRPr="00FD50F6">
        <w:t>、光缆</w:t>
      </w:r>
      <w:r w:rsidRPr="00FD50F6">
        <w:t>与其他管线的最小净距（</w:t>
      </w:r>
      <w:r w:rsidRPr="00FD50F6">
        <w:t>m</w:t>
      </w:r>
      <w:r w:rsidRPr="00FD50F6">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096"/>
        <w:gridCol w:w="2096"/>
        <w:gridCol w:w="1985"/>
      </w:tblGrid>
      <w:tr w:rsidR="00FD50F6" w:rsidRPr="00FD50F6" w14:paraId="2AA76723" w14:textId="77777777" w:rsidTr="00353026">
        <w:trPr>
          <w:cantSplit/>
          <w:jc w:val="center"/>
        </w:trPr>
        <w:tc>
          <w:tcPr>
            <w:tcW w:w="4191" w:type="dxa"/>
            <w:gridSpan w:val="2"/>
            <w:vMerge w:val="restart"/>
            <w:vAlign w:val="center"/>
          </w:tcPr>
          <w:p w14:paraId="39AC8DDD" w14:textId="77777777" w:rsidR="00337748" w:rsidRPr="00FD50F6" w:rsidRDefault="00337748" w:rsidP="00353026">
            <w:pPr>
              <w:pStyle w:val="7"/>
            </w:pPr>
            <w:r w:rsidRPr="00FD50F6">
              <w:t>管</w:t>
            </w:r>
            <w:r w:rsidRPr="00FD50F6">
              <w:t xml:space="preserve"> </w:t>
            </w:r>
            <w:r w:rsidRPr="00FD50F6">
              <w:t>线</w:t>
            </w:r>
            <w:r w:rsidRPr="00FD50F6">
              <w:t xml:space="preserve"> </w:t>
            </w:r>
            <w:r w:rsidRPr="00FD50F6">
              <w:t>种</w:t>
            </w:r>
            <w:r w:rsidRPr="00FD50F6">
              <w:t xml:space="preserve"> </w:t>
            </w:r>
            <w:r w:rsidRPr="00FD50F6">
              <w:t>类</w:t>
            </w:r>
          </w:p>
        </w:tc>
        <w:tc>
          <w:tcPr>
            <w:tcW w:w="4081" w:type="dxa"/>
            <w:gridSpan w:val="2"/>
            <w:vAlign w:val="center"/>
          </w:tcPr>
          <w:p w14:paraId="2BCB206B" w14:textId="77777777" w:rsidR="00337748" w:rsidRPr="00FD50F6" w:rsidRDefault="00337748" w:rsidP="00353026">
            <w:pPr>
              <w:pStyle w:val="7"/>
            </w:pPr>
            <w:r w:rsidRPr="00FD50F6">
              <w:t>最小净距</w:t>
            </w:r>
          </w:p>
        </w:tc>
      </w:tr>
      <w:tr w:rsidR="00FD50F6" w:rsidRPr="00FD50F6" w14:paraId="133A875E" w14:textId="77777777" w:rsidTr="00353026">
        <w:trPr>
          <w:cantSplit/>
          <w:jc w:val="center"/>
        </w:trPr>
        <w:tc>
          <w:tcPr>
            <w:tcW w:w="4191" w:type="dxa"/>
            <w:gridSpan w:val="2"/>
            <w:vMerge/>
            <w:vAlign w:val="center"/>
          </w:tcPr>
          <w:p w14:paraId="732C8161" w14:textId="77777777" w:rsidR="00337748" w:rsidRPr="00FD50F6" w:rsidRDefault="00337748" w:rsidP="00353026">
            <w:pPr>
              <w:pStyle w:val="7"/>
              <w:rPr>
                <w:b/>
                <w:sz w:val="28"/>
              </w:rPr>
            </w:pPr>
          </w:p>
        </w:tc>
        <w:tc>
          <w:tcPr>
            <w:tcW w:w="2096" w:type="dxa"/>
            <w:vAlign w:val="center"/>
          </w:tcPr>
          <w:p w14:paraId="0D6C5403" w14:textId="77777777" w:rsidR="00337748" w:rsidRPr="00FD50F6" w:rsidRDefault="00337748" w:rsidP="00353026">
            <w:pPr>
              <w:pStyle w:val="7"/>
            </w:pPr>
            <w:r w:rsidRPr="00FD50F6">
              <w:t>平行</w:t>
            </w:r>
          </w:p>
        </w:tc>
        <w:tc>
          <w:tcPr>
            <w:tcW w:w="1985" w:type="dxa"/>
            <w:vAlign w:val="center"/>
          </w:tcPr>
          <w:p w14:paraId="0FDFAE9D" w14:textId="77777777" w:rsidR="00337748" w:rsidRPr="00FD50F6" w:rsidRDefault="00337748" w:rsidP="00353026">
            <w:pPr>
              <w:pStyle w:val="7"/>
            </w:pPr>
            <w:r w:rsidRPr="00FD50F6">
              <w:t>垂直交叉</w:t>
            </w:r>
          </w:p>
        </w:tc>
      </w:tr>
      <w:tr w:rsidR="00FD50F6" w:rsidRPr="00FD50F6" w14:paraId="55CF7644" w14:textId="77777777" w:rsidTr="00353026">
        <w:trPr>
          <w:cantSplit/>
          <w:jc w:val="center"/>
        </w:trPr>
        <w:tc>
          <w:tcPr>
            <w:tcW w:w="4191" w:type="dxa"/>
            <w:gridSpan w:val="2"/>
            <w:vAlign w:val="center"/>
          </w:tcPr>
          <w:p w14:paraId="4767DBD1" w14:textId="77777777" w:rsidR="00337748" w:rsidRPr="00FD50F6" w:rsidRDefault="00337748" w:rsidP="00353026">
            <w:pPr>
              <w:pStyle w:val="7"/>
            </w:pPr>
            <w:r w:rsidRPr="00FD50F6">
              <w:rPr>
                <w:rFonts w:hint="eastAsia"/>
              </w:rPr>
              <w:t>电力线</w:t>
            </w:r>
          </w:p>
        </w:tc>
        <w:tc>
          <w:tcPr>
            <w:tcW w:w="2096" w:type="dxa"/>
            <w:vAlign w:val="center"/>
          </w:tcPr>
          <w:p w14:paraId="7668C361" w14:textId="77777777" w:rsidR="00337748" w:rsidRPr="00FD50F6" w:rsidRDefault="00337748" w:rsidP="00353026">
            <w:pPr>
              <w:pStyle w:val="7"/>
            </w:pPr>
            <w:r w:rsidRPr="00FD50F6">
              <w:t>0.15</w:t>
            </w:r>
          </w:p>
        </w:tc>
        <w:tc>
          <w:tcPr>
            <w:tcW w:w="1985" w:type="dxa"/>
            <w:vAlign w:val="center"/>
          </w:tcPr>
          <w:p w14:paraId="2C1C5401" w14:textId="77777777" w:rsidR="00337748" w:rsidRPr="00FD50F6" w:rsidRDefault="00337748" w:rsidP="00353026">
            <w:pPr>
              <w:pStyle w:val="7"/>
            </w:pPr>
            <w:r w:rsidRPr="00FD50F6">
              <w:t>0.05</w:t>
            </w:r>
          </w:p>
        </w:tc>
      </w:tr>
      <w:tr w:rsidR="00FD50F6" w:rsidRPr="00FD50F6" w14:paraId="28A0AC4A" w14:textId="77777777" w:rsidTr="00353026">
        <w:trPr>
          <w:cantSplit/>
          <w:trHeight w:val="135"/>
          <w:jc w:val="center"/>
        </w:trPr>
        <w:tc>
          <w:tcPr>
            <w:tcW w:w="2095" w:type="dxa"/>
            <w:vMerge w:val="restart"/>
            <w:vAlign w:val="center"/>
          </w:tcPr>
          <w:p w14:paraId="12F8E89F" w14:textId="77777777" w:rsidR="00337748" w:rsidRPr="00FD50F6" w:rsidRDefault="00337748" w:rsidP="00353026">
            <w:pPr>
              <w:pStyle w:val="7"/>
            </w:pPr>
            <w:r w:rsidRPr="00FD50F6">
              <w:rPr>
                <w:rFonts w:hint="eastAsia"/>
              </w:rPr>
              <w:t>电力电缆</w:t>
            </w:r>
          </w:p>
        </w:tc>
        <w:tc>
          <w:tcPr>
            <w:tcW w:w="2096" w:type="dxa"/>
            <w:vAlign w:val="center"/>
          </w:tcPr>
          <w:p w14:paraId="7200CE09" w14:textId="77777777" w:rsidR="00337748" w:rsidRPr="00FD50F6" w:rsidRDefault="00337748" w:rsidP="00353026">
            <w:pPr>
              <w:pStyle w:val="7"/>
            </w:pPr>
            <w:r w:rsidRPr="00FD50F6">
              <w:rPr>
                <w:rFonts w:hint="eastAsia"/>
              </w:rPr>
              <w:t>电压</w:t>
            </w:r>
            <w:r w:rsidRPr="00FD50F6">
              <w:rPr>
                <w:rFonts w:hint="eastAsia"/>
              </w:rPr>
              <w:t>&lt;35kV</w:t>
            </w:r>
          </w:p>
        </w:tc>
        <w:tc>
          <w:tcPr>
            <w:tcW w:w="2096" w:type="dxa"/>
            <w:vAlign w:val="center"/>
          </w:tcPr>
          <w:p w14:paraId="23ED2AE7" w14:textId="77777777" w:rsidR="00337748" w:rsidRPr="00FD50F6" w:rsidRDefault="00337748" w:rsidP="00353026">
            <w:pPr>
              <w:pStyle w:val="7"/>
            </w:pPr>
            <w:r w:rsidRPr="00FD50F6">
              <w:rPr>
                <w:rFonts w:hint="eastAsia"/>
              </w:rPr>
              <w:t>0.</w:t>
            </w:r>
            <w:r w:rsidRPr="00FD50F6">
              <w:t>5</w:t>
            </w:r>
          </w:p>
        </w:tc>
        <w:tc>
          <w:tcPr>
            <w:tcW w:w="1985" w:type="dxa"/>
            <w:vAlign w:val="center"/>
          </w:tcPr>
          <w:p w14:paraId="5C93AEAB" w14:textId="77777777" w:rsidR="00337748" w:rsidRPr="00FD50F6" w:rsidRDefault="00337748" w:rsidP="00353026">
            <w:pPr>
              <w:pStyle w:val="7"/>
            </w:pPr>
            <w:r w:rsidRPr="00FD50F6">
              <w:rPr>
                <w:rFonts w:hint="eastAsia"/>
              </w:rPr>
              <w:t>0.</w:t>
            </w:r>
            <w:r w:rsidRPr="00FD50F6">
              <w:t>5</w:t>
            </w:r>
          </w:p>
        </w:tc>
      </w:tr>
      <w:tr w:rsidR="00FD50F6" w:rsidRPr="00FD50F6" w14:paraId="2EF8B555" w14:textId="77777777" w:rsidTr="00353026">
        <w:trPr>
          <w:cantSplit/>
          <w:trHeight w:val="135"/>
          <w:jc w:val="center"/>
        </w:trPr>
        <w:tc>
          <w:tcPr>
            <w:tcW w:w="2095" w:type="dxa"/>
            <w:vMerge/>
            <w:vAlign w:val="center"/>
          </w:tcPr>
          <w:p w14:paraId="36FE6860" w14:textId="77777777" w:rsidR="00337748" w:rsidRPr="00FD50F6" w:rsidRDefault="00337748" w:rsidP="00353026">
            <w:pPr>
              <w:pStyle w:val="7"/>
            </w:pPr>
          </w:p>
        </w:tc>
        <w:tc>
          <w:tcPr>
            <w:tcW w:w="2096" w:type="dxa"/>
            <w:vAlign w:val="center"/>
          </w:tcPr>
          <w:p w14:paraId="58F70E61" w14:textId="77777777" w:rsidR="00337748" w:rsidRPr="00FD50F6" w:rsidRDefault="00337748" w:rsidP="00353026">
            <w:pPr>
              <w:pStyle w:val="7"/>
            </w:pPr>
            <w:r w:rsidRPr="00FD50F6">
              <w:rPr>
                <w:rFonts w:hint="eastAsia"/>
              </w:rPr>
              <w:t>电压≥</w:t>
            </w:r>
            <w:r w:rsidRPr="00FD50F6">
              <w:rPr>
                <w:rFonts w:hint="eastAsia"/>
              </w:rPr>
              <w:t>35kV</w:t>
            </w:r>
            <w:r w:rsidRPr="00FD50F6">
              <w:rPr>
                <w:rFonts w:hint="eastAsia"/>
              </w:rPr>
              <w:tab/>
            </w:r>
            <w:r w:rsidRPr="00FD50F6">
              <w:rPr>
                <w:rFonts w:hint="eastAsia"/>
              </w:rPr>
              <w:tab/>
            </w:r>
          </w:p>
        </w:tc>
        <w:tc>
          <w:tcPr>
            <w:tcW w:w="2096" w:type="dxa"/>
            <w:vAlign w:val="center"/>
          </w:tcPr>
          <w:p w14:paraId="18EF8179" w14:textId="77777777" w:rsidR="00337748" w:rsidRPr="00FD50F6" w:rsidRDefault="00337748" w:rsidP="00353026">
            <w:pPr>
              <w:pStyle w:val="7"/>
            </w:pPr>
            <w:r w:rsidRPr="00FD50F6">
              <w:rPr>
                <w:rFonts w:hint="eastAsia"/>
              </w:rPr>
              <w:t>2.</w:t>
            </w:r>
            <w:r w:rsidRPr="00FD50F6">
              <w:t>0</w:t>
            </w:r>
          </w:p>
        </w:tc>
        <w:tc>
          <w:tcPr>
            <w:tcW w:w="1985" w:type="dxa"/>
            <w:vAlign w:val="center"/>
          </w:tcPr>
          <w:p w14:paraId="3746B774" w14:textId="77777777" w:rsidR="00337748" w:rsidRPr="00FD50F6" w:rsidRDefault="00337748" w:rsidP="00353026">
            <w:pPr>
              <w:pStyle w:val="7"/>
            </w:pPr>
            <w:r w:rsidRPr="00FD50F6">
              <w:rPr>
                <w:rFonts w:hint="eastAsia"/>
              </w:rPr>
              <w:t>2.</w:t>
            </w:r>
            <w:r w:rsidRPr="00FD50F6">
              <w:t>0</w:t>
            </w:r>
          </w:p>
        </w:tc>
      </w:tr>
      <w:tr w:rsidR="00FD50F6" w:rsidRPr="00FD50F6" w14:paraId="5E0E2C7F" w14:textId="77777777" w:rsidTr="00353026">
        <w:trPr>
          <w:cantSplit/>
          <w:jc w:val="center"/>
        </w:trPr>
        <w:tc>
          <w:tcPr>
            <w:tcW w:w="4191" w:type="dxa"/>
            <w:gridSpan w:val="2"/>
            <w:vAlign w:val="center"/>
          </w:tcPr>
          <w:p w14:paraId="16514FB4" w14:textId="77777777" w:rsidR="00337748" w:rsidRPr="00FD50F6" w:rsidRDefault="00337748" w:rsidP="00353026">
            <w:pPr>
              <w:pStyle w:val="7"/>
            </w:pPr>
            <w:r w:rsidRPr="00FD50F6">
              <w:t xml:space="preserve">         </w:t>
            </w:r>
            <w:r w:rsidRPr="00FD50F6">
              <w:rPr>
                <w:rFonts w:hint="eastAsia"/>
              </w:rPr>
              <w:t>避雷引入线</w:t>
            </w:r>
          </w:p>
        </w:tc>
        <w:tc>
          <w:tcPr>
            <w:tcW w:w="2096" w:type="dxa"/>
            <w:vAlign w:val="center"/>
          </w:tcPr>
          <w:p w14:paraId="486B6D5A" w14:textId="77777777" w:rsidR="00337748" w:rsidRPr="00FD50F6" w:rsidRDefault="00337748" w:rsidP="00353026">
            <w:pPr>
              <w:pStyle w:val="7"/>
            </w:pPr>
            <w:r w:rsidRPr="00FD50F6">
              <w:t>1.00</w:t>
            </w:r>
          </w:p>
        </w:tc>
        <w:tc>
          <w:tcPr>
            <w:tcW w:w="1985" w:type="dxa"/>
            <w:vAlign w:val="center"/>
          </w:tcPr>
          <w:p w14:paraId="5C4F020A" w14:textId="77777777" w:rsidR="00337748" w:rsidRPr="00FD50F6" w:rsidRDefault="00337748" w:rsidP="00353026">
            <w:pPr>
              <w:pStyle w:val="7"/>
            </w:pPr>
            <w:r w:rsidRPr="00FD50F6">
              <w:t>0.30</w:t>
            </w:r>
          </w:p>
        </w:tc>
      </w:tr>
      <w:tr w:rsidR="00FD50F6" w:rsidRPr="00FD50F6" w14:paraId="3D20E0BA" w14:textId="77777777" w:rsidTr="00353026">
        <w:trPr>
          <w:cantSplit/>
          <w:jc w:val="center"/>
        </w:trPr>
        <w:tc>
          <w:tcPr>
            <w:tcW w:w="4191" w:type="dxa"/>
            <w:gridSpan w:val="2"/>
            <w:vAlign w:val="center"/>
          </w:tcPr>
          <w:p w14:paraId="60CDEF6F" w14:textId="77777777" w:rsidR="00337748" w:rsidRPr="00FD50F6" w:rsidRDefault="00337748" w:rsidP="00353026">
            <w:pPr>
              <w:pStyle w:val="7"/>
            </w:pPr>
            <w:r w:rsidRPr="00FD50F6">
              <w:t xml:space="preserve">         </w:t>
            </w:r>
            <w:r w:rsidRPr="00FD50F6">
              <w:t>保护地线</w:t>
            </w:r>
          </w:p>
        </w:tc>
        <w:tc>
          <w:tcPr>
            <w:tcW w:w="2096" w:type="dxa"/>
            <w:vAlign w:val="center"/>
          </w:tcPr>
          <w:p w14:paraId="5767535C" w14:textId="77777777" w:rsidR="00337748" w:rsidRPr="00FD50F6" w:rsidRDefault="00337748" w:rsidP="00353026">
            <w:pPr>
              <w:pStyle w:val="7"/>
            </w:pPr>
            <w:r w:rsidRPr="00FD50F6">
              <w:t>0.05</w:t>
            </w:r>
          </w:p>
        </w:tc>
        <w:tc>
          <w:tcPr>
            <w:tcW w:w="1985" w:type="dxa"/>
            <w:vAlign w:val="center"/>
          </w:tcPr>
          <w:p w14:paraId="31F5C8B0" w14:textId="77777777" w:rsidR="00337748" w:rsidRPr="00FD50F6" w:rsidRDefault="00337748" w:rsidP="00353026">
            <w:pPr>
              <w:pStyle w:val="7"/>
            </w:pPr>
            <w:r w:rsidRPr="00FD50F6">
              <w:t>0.02</w:t>
            </w:r>
          </w:p>
        </w:tc>
      </w:tr>
      <w:tr w:rsidR="00FD50F6" w:rsidRPr="00FD50F6" w14:paraId="2A97EC00" w14:textId="77777777" w:rsidTr="00353026">
        <w:trPr>
          <w:cantSplit/>
          <w:jc w:val="center"/>
        </w:trPr>
        <w:tc>
          <w:tcPr>
            <w:tcW w:w="4191" w:type="dxa"/>
            <w:gridSpan w:val="2"/>
            <w:vAlign w:val="center"/>
          </w:tcPr>
          <w:p w14:paraId="315A22C7" w14:textId="77777777" w:rsidR="00337748" w:rsidRPr="00FD50F6" w:rsidRDefault="00337748" w:rsidP="00353026">
            <w:pPr>
              <w:pStyle w:val="7"/>
            </w:pPr>
            <w:r w:rsidRPr="00FD50F6">
              <w:t xml:space="preserve">         </w:t>
            </w:r>
            <w:r w:rsidRPr="00FD50F6">
              <w:t>热力管</w:t>
            </w:r>
            <w:r w:rsidRPr="00FD50F6">
              <w:t>(</w:t>
            </w:r>
            <w:r w:rsidRPr="00FD50F6">
              <w:t>不包封</w:t>
            </w:r>
            <w:r w:rsidRPr="00FD50F6">
              <w:t>)</w:t>
            </w:r>
          </w:p>
        </w:tc>
        <w:tc>
          <w:tcPr>
            <w:tcW w:w="2096" w:type="dxa"/>
            <w:vAlign w:val="center"/>
          </w:tcPr>
          <w:p w14:paraId="69F4F2A6" w14:textId="77777777" w:rsidR="00337748" w:rsidRPr="00FD50F6" w:rsidRDefault="00337748" w:rsidP="00353026">
            <w:pPr>
              <w:pStyle w:val="7"/>
            </w:pPr>
            <w:r w:rsidRPr="00FD50F6">
              <w:t>0.50</w:t>
            </w:r>
          </w:p>
        </w:tc>
        <w:tc>
          <w:tcPr>
            <w:tcW w:w="1985" w:type="dxa"/>
            <w:vAlign w:val="center"/>
          </w:tcPr>
          <w:p w14:paraId="750DB9A5" w14:textId="77777777" w:rsidR="00337748" w:rsidRPr="00FD50F6" w:rsidRDefault="00337748" w:rsidP="00353026">
            <w:pPr>
              <w:pStyle w:val="7"/>
            </w:pPr>
            <w:r w:rsidRPr="00FD50F6">
              <w:t>0.50</w:t>
            </w:r>
          </w:p>
        </w:tc>
      </w:tr>
      <w:tr w:rsidR="00FD50F6" w:rsidRPr="00FD50F6" w14:paraId="639F699C" w14:textId="77777777" w:rsidTr="00353026">
        <w:trPr>
          <w:cantSplit/>
          <w:jc w:val="center"/>
        </w:trPr>
        <w:tc>
          <w:tcPr>
            <w:tcW w:w="4191" w:type="dxa"/>
            <w:gridSpan w:val="2"/>
            <w:vAlign w:val="center"/>
          </w:tcPr>
          <w:p w14:paraId="2145759F" w14:textId="77777777" w:rsidR="00337748" w:rsidRPr="00FD50F6" w:rsidRDefault="00337748" w:rsidP="00353026">
            <w:pPr>
              <w:pStyle w:val="7"/>
            </w:pPr>
            <w:r w:rsidRPr="00FD50F6">
              <w:lastRenderedPageBreak/>
              <w:t xml:space="preserve">         </w:t>
            </w:r>
            <w:r w:rsidRPr="00FD50F6">
              <w:t>热力管</w:t>
            </w:r>
            <w:r w:rsidRPr="00FD50F6">
              <w:t>(</w:t>
            </w:r>
            <w:r w:rsidRPr="00FD50F6">
              <w:t>包封</w:t>
            </w:r>
            <w:r w:rsidRPr="00FD50F6">
              <w:t>)</w:t>
            </w:r>
          </w:p>
        </w:tc>
        <w:tc>
          <w:tcPr>
            <w:tcW w:w="2096" w:type="dxa"/>
            <w:vAlign w:val="center"/>
          </w:tcPr>
          <w:p w14:paraId="00BE2264" w14:textId="77777777" w:rsidR="00337748" w:rsidRPr="00FD50F6" w:rsidRDefault="00337748" w:rsidP="00353026">
            <w:pPr>
              <w:pStyle w:val="7"/>
            </w:pPr>
            <w:r w:rsidRPr="00FD50F6">
              <w:t>0.30</w:t>
            </w:r>
          </w:p>
        </w:tc>
        <w:tc>
          <w:tcPr>
            <w:tcW w:w="1985" w:type="dxa"/>
            <w:vAlign w:val="center"/>
          </w:tcPr>
          <w:p w14:paraId="193A10B3" w14:textId="77777777" w:rsidR="00337748" w:rsidRPr="00FD50F6" w:rsidRDefault="00337748" w:rsidP="00353026">
            <w:pPr>
              <w:pStyle w:val="7"/>
            </w:pPr>
            <w:r w:rsidRPr="00FD50F6">
              <w:t>0.30</w:t>
            </w:r>
          </w:p>
        </w:tc>
      </w:tr>
      <w:tr w:rsidR="00FD50F6" w:rsidRPr="00FD50F6" w14:paraId="4573A82E" w14:textId="77777777" w:rsidTr="00353026">
        <w:trPr>
          <w:cantSplit/>
          <w:jc w:val="center"/>
        </w:trPr>
        <w:tc>
          <w:tcPr>
            <w:tcW w:w="4191" w:type="dxa"/>
            <w:gridSpan w:val="2"/>
            <w:vAlign w:val="center"/>
          </w:tcPr>
          <w:p w14:paraId="75A36F0E" w14:textId="77777777" w:rsidR="00337748" w:rsidRPr="00FD50F6" w:rsidRDefault="00337748" w:rsidP="00353026">
            <w:pPr>
              <w:pStyle w:val="7"/>
            </w:pPr>
            <w:r w:rsidRPr="00FD50F6">
              <w:t xml:space="preserve">         </w:t>
            </w:r>
            <w:r w:rsidRPr="00FD50F6">
              <w:t>给水管</w:t>
            </w:r>
          </w:p>
        </w:tc>
        <w:tc>
          <w:tcPr>
            <w:tcW w:w="2096" w:type="dxa"/>
            <w:vAlign w:val="center"/>
          </w:tcPr>
          <w:p w14:paraId="19E86B77" w14:textId="77777777" w:rsidR="00337748" w:rsidRPr="00FD50F6" w:rsidRDefault="00337748" w:rsidP="00353026">
            <w:pPr>
              <w:pStyle w:val="7"/>
            </w:pPr>
            <w:r w:rsidRPr="00FD50F6">
              <w:t>0.15</w:t>
            </w:r>
          </w:p>
        </w:tc>
        <w:tc>
          <w:tcPr>
            <w:tcW w:w="1985" w:type="dxa"/>
            <w:vAlign w:val="center"/>
          </w:tcPr>
          <w:p w14:paraId="046F85FB" w14:textId="77777777" w:rsidR="00337748" w:rsidRPr="00FD50F6" w:rsidRDefault="00337748" w:rsidP="00353026">
            <w:pPr>
              <w:pStyle w:val="7"/>
            </w:pPr>
            <w:r w:rsidRPr="00FD50F6">
              <w:t>0.02</w:t>
            </w:r>
          </w:p>
        </w:tc>
      </w:tr>
      <w:tr w:rsidR="00FD50F6" w:rsidRPr="00FD50F6" w14:paraId="7C0F8545" w14:textId="77777777" w:rsidTr="00353026">
        <w:trPr>
          <w:cantSplit/>
          <w:jc w:val="center"/>
        </w:trPr>
        <w:tc>
          <w:tcPr>
            <w:tcW w:w="4191" w:type="dxa"/>
            <w:gridSpan w:val="2"/>
            <w:vAlign w:val="center"/>
          </w:tcPr>
          <w:p w14:paraId="0107B6D2" w14:textId="77777777" w:rsidR="00337748" w:rsidRPr="00FD50F6" w:rsidRDefault="00337748" w:rsidP="00353026">
            <w:pPr>
              <w:pStyle w:val="7"/>
            </w:pPr>
            <w:r w:rsidRPr="00FD50F6">
              <w:t xml:space="preserve">         </w:t>
            </w:r>
            <w:r w:rsidRPr="00FD50F6">
              <w:t>煤气管</w:t>
            </w:r>
          </w:p>
        </w:tc>
        <w:tc>
          <w:tcPr>
            <w:tcW w:w="2096" w:type="dxa"/>
            <w:vAlign w:val="center"/>
          </w:tcPr>
          <w:p w14:paraId="1FFD3C0E" w14:textId="77777777" w:rsidR="00337748" w:rsidRPr="00FD50F6" w:rsidRDefault="00337748" w:rsidP="00353026">
            <w:pPr>
              <w:pStyle w:val="7"/>
            </w:pPr>
            <w:r w:rsidRPr="00FD50F6">
              <w:t>0.30</w:t>
            </w:r>
          </w:p>
        </w:tc>
        <w:tc>
          <w:tcPr>
            <w:tcW w:w="1985" w:type="dxa"/>
            <w:vAlign w:val="center"/>
          </w:tcPr>
          <w:p w14:paraId="50F5AD8B" w14:textId="77777777" w:rsidR="00337748" w:rsidRPr="00FD50F6" w:rsidRDefault="00337748" w:rsidP="00353026">
            <w:pPr>
              <w:pStyle w:val="7"/>
            </w:pPr>
            <w:r w:rsidRPr="00FD50F6">
              <w:t>0.02</w:t>
            </w:r>
          </w:p>
        </w:tc>
      </w:tr>
    </w:tbl>
    <w:p w14:paraId="7A78B36E" w14:textId="45142133" w:rsidR="00337748" w:rsidRPr="00FD50F6" w:rsidRDefault="00337748" w:rsidP="00337748">
      <w:pPr>
        <w:pStyle w:val="30"/>
      </w:pPr>
      <w:r w:rsidRPr="00FD50F6">
        <w:rPr>
          <w:rFonts w:hint="eastAsia"/>
        </w:rPr>
        <w:t>地下线路车站及区间的通信电缆、光缆应采用无卤、低烟的阻燃材料，并应具有抗电气化干扰的防护层。</w:t>
      </w:r>
    </w:p>
    <w:p w14:paraId="03887D79" w14:textId="304A86FB" w:rsidR="00337748" w:rsidRPr="00FD50F6" w:rsidRDefault="00337748" w:rsidP="00337748">
      <w:pPr>
        <w:pStyle w:val="30"/>
      </w:pPr>
      <w:r w:rsidRPr="00FD50F6">
        <w:rPr>
          <w:rFonts w:hint="eastAsia"/>
        </w:rPr>
        <w:t>地上线路车站及区间宜采用无卤、低烟的阻燃电线和电缆；地上区间的通信主干电缆、光缆还应具有防雨淋和抗阳光辐射能力。</w:t>
      </w:r>
    </w:p>
    <w:p w14:paraId="26423DD6" w14:textId="362922C7" w:rsidR="00337748" w:rsidRPr="00FD50F6" w:rsidRDefault="00337748" w:rsidP="00337748">
      <w:pPr>
        <w:pStyle w:val="30"/>
      </w:pPr>
      <w:r w:rsidRPr="00FD50F6">
        <w:t>在地铁沿线敷设的光缆、电缆等管线结构应选择符合杂散电流腐蚀防护的材质、结构设计和施工方法。</w:t>
      </w:r>
    </w:p>
    <w:p w14:paraId="564AFB08" w14:textId="77777777" w:rsidR="00337748" w:rsidRPr="00FD50F6" w:rsidRDefault="00337748" w:rsidP="00337748">
      <w:pPr>
        <w:pStyle w:val="30"/>
      </w:pPr>
      <w:r w:rsidRPr="00FD50F6">
        <w:t>地铁敷设光缆不宜设屏蔽地线，但接头两侧的金属护套及金属加强件应相互绝缘，光缆引入室内应做绝缘处理，并应做光缆终端。</w:t>
      </w:r>
    </w:p>
    <w:p w14:paraId="158D35E7" w14:textId="77777777" w:rsidR="00337748" w:rsidRPr="00FD50F6" w:rsidRDefault="00337748" w:rsidP="00337748">
      <w:pPr>
        <w:pStyle w:val="30"/>
      </w:pPr>
      <w:r w:rsidRPr="00FD50F6">
        <w:t>干线光缆的光纤应采用单模光纤。</w:t>
      </w:r>
    </w:p>
    <w:p w14:paraId="6559AA25" w14:textId="77777777" w:rsidR="00337748" w:rsidRPr="00FD50F6" w:rsidRDefault="00337748" w:rsidP="00A65181">
      <w:pPr>
        <w:pStyle w:val="2"/>
      </w:pPr>
      <w:bookmarkStart w:id="668" w:name="_Toc236494390"/>
      <w:bookmarkStart w:id="669" w:name="_Toc236726637"/>
      <w:bookmarkStart w:id="670" w:name="_Toc306206758"/>
      <w:bookmarkStart w:id="671" w:name="_Toc320196043"/>
      <w:bookmarkStart w:id="672" w:name="_Toc320643433"/>
      <w:bookmarkStart w:id="673" w:name="_Toc27244607"/>
      <w:bookmarkStart w:id="674" w:name="_Toc112830765"/>
      <w:r w:rsidRPr="00FD50F6">
        <w:rPr>
          <w:rFonts w:hint="eastAsia"/>
        </w:rPr>
        <w:t>专用</w:t>
      </w:r>
      <w:r w:rsidRPr="00FD50F6">
        <w:t>无线通信系统</w:t>
      </w:r>
      <w:bookmarkEnd w:id="668"/>
      <w:bookmarkEnd w:id="669"/>
      <w:bookmarkEnd w:id="670"/>
      <w:bookmarkEnd w:id="671"/>
      <w:bookmarkEnd w:id="672"/>
      <w:bookmarkEnd w:id="673"/>
      <w:bookmarkEnd w:id="674"/>
    </w:p>
    <w:p w14:paraId="3BE1355E" w14:textId="77777777" w:rsidR="00337748" w:rsidRPr="00FD50F6" w:rsidRDefault="00337748" w:rsidP="00337748">
      <w:pPr>
        <w:pStyle w:val="30"/>
        <w:rPr>
          <w:rFonts w:eastAsia="黑体"/>
        </w:rPr>
      </w:pPr>
      <w:r w:rsidRPr="00FD50F6">
        <w:rPr>
          <w:rFonts w:hint="eastAsia"/>
        </w:rPr>
        <w:t>专用</w:t>
      </w:r>
      <w:r w:rsidRPr="00FD50F6">
        <w:t>无线</w:t>
      </w:r>
      <w:r w:rsidRPr="00FD50F6">
        <w:rPr>
          <w:rFonts w:hint="eastAsia"/>
        </w:rPr>
        <w:t>通信系统</w:t>
      </w:r>
      <w:r w:rsidRPr="00FD50F6">
        <w:t>应提供地铁控制中心调度员、车辆基地调度员、车站值班员等固定用户与列车司机、防灾、维修等移动用户之间的通信手段</w:t>
      </w:r>
      <w:r w:rsidRPr="00FD50F6">
        <w:rPr>
          <w:rFonts w:eastAsia="黑体" w:hint="eastAsia"/>
        </w:rPr>
        <w:t>。</w:t>
      </w:r>
    </w:p>
    <w:p w14:paraId="49C92E84" w14:textId="4C5A6EDF" w:rsidR="00337748" w:rsidRPr="00FD50F6" w:rsidRDefault="00337748" w:rsidP="00337748">
      <w:pPr>
        <w:pStyle w:val="30"/>
      </w:pPr>
      <w:r w:rsidRPr="00FD50F6">
        <w:t>地铁线网</w:t>
      </w:r>
      <w:r w:rsidRPr="00FD50F6">
        <w:rPr>
          <w:rFonts w:hint="eastAsia"/>
        </w:rPr>
        <w:t>专用</w:t>
      </w:r>
      <w:r w:rsidRPr="00FD50F6">
        <w:t>无线通信系统应统一规划、分期实施，宜实现网络互联互通及资源共享。</w:t>
      </w:r>
    </w:p>
    <w:p w14:paraId="460A4FDA" w14:textId="77777777" w:rsidR="00337748" w:rsidRPr="00FD50F6" w:rsidRDefault="00337748" w:rsidP="00337748">
      <w:pPr>
        <w:pStyle w:val="30"/>
      </w:pPr>
      <w:r w:rsidRPr="00FD50F6">
        <w:rPr>
          <w:rFonts w:hint="eastAsia"/>
        </w:rPr>
        <w:t>专用</w:t>
      </w:r>
      <w:r w:rsidRPr="00FD50F6">
        <w:t>无线通信系统采用的工作频段及频点应由当地无线电管理部门批准。无线通信系统宜采用数字集群移动通信系统。</w:t>
      </w:r>
    </w:p>
    <w:p w14:paraId="14A62621" w14:textId="77777777" w:rsidR="00337748" w:rsidRPr="00FD50F6" w:rsidRDefault="00337748" w:rsidP="00337748">
      <w:pPr>
        <w:pStyle w:val="30"/>
      </w:pPr>
      <w:r w:rsidRPr="00FD50F6">
        <w:rPr>
          <w:rFonts w:hint="eastAsia"/>
        </w:rPr>
        <w:t>专用</w:t>
      </w:r>
      <w:r w:rsidRPr="00FD50F6">
        <w:t>无线通信系统应采用有线、无线相结合的传输方式。中心无线设备应通过光数字传输系统或光纤与车站、车辆基地的无线基站连接，各基站应通过天线空间波传播或经漏缆的辐射构成与移动台的通信。</w:t>
      </w:r>
    </w:p>
    <w:p w14:paraId="451181DA" w14:textId="77777777" w:rsidR="00337748" w:rsidRPr="00FD50F6" w:rsidRDefault="00337748" w:rsidP="00337748">
      <w:pPr>
        <w:pStyle w:val="30"/>
      </w:pPr>
      <w:r w:rsidRPr="00FD50F6">
        <w:rPr>
          <w:rFonts w:hint="eastAsia"/>
        </w:rPr>
        <w:t>专用</w:t>
      </w:r>
      <w:r w:rsidRPr="00FD50F6">
        <w:t>无线通信系统可设置行车调度、防灾环控调度、综合维修调度、车辆基地调度</w:t>
      </w:r>
      <w:r w:rsidRPr="00FD50F6">
        <w:rPr>
          <w:rFonts w:hint="eastAsia"/>
        </w:rPr>
        <w:t>、全自动驾驶相关调度等用户群。</w:t>
      </w:r>
    </w:p>
    <w:p w14:paraId="4BAF5512" w14:textId="77777777" w:rsidR="00337748" w:rsidRPr="00FD50F6" w:rsidRDefault="00337748" w:rsidP="00337748">
      <w:pPr>
        <w:pStyle w:val="30"/>
      </w:pPr>
      <w:r w:rsidRPr="00FD50F6">
        <w:rPr>
          <w:rFonts w:hint="eastAsia"/>
        </w:rPr>
        <w:t>专用</w:t>
      </w:r>
      <w:r w:rsidRPr="00FD50F6">
        <w:t>无线通信系统应具有选呼、组呼、全呼、紧急呼叫、呼叫优先级权限等调度通信功能</w:t>
      </w:r>
      <w:r w:rsidRPr="00FD50F6">
        <w:rPr>
          <w:rFonts w:hint="eastAsia"/>
        </w:rPr>
        <w:t>，应具有语音存储、监测功能等；宜具有多媒体调度、视频存储功能等；在全自动驾驶模式下，可提供乘客紧急对讲功能。</w:t>
      </w:r>
    </w:p>
    <w:p w14:paraId="205F7B51" w14:textId="77777777" w:rsidR="00337748" w:rsidRPr="00FD50F6" w:rsidRDefault="00337748" w:rsidP="00337748">
      <w:pPr>
        <w:pStyle w:val="30"/>
      </w:pPr>
      <w:r w:rsidRPr="00FD50F6">
        <w:rPr>
          <w:rFonts w:hint="eastAsia"/>
        </w:rPr>
        <w:t>专用无线通信系统场强应覆盖区间线路、站台、站厅、办公区、轨行区、设备区通道及机房、出入口及相关通道、换乘通道、车辆基地区域及主变电所区域等，可覆盖控制中心调度大厅等。</w:t>
      </w:r>
    </w:p>
    <w:p w14:paraId="0A0A9BDC" w14:textId="77777777" w:rsidR="00337748" w:rsidRPr="00FD50F6" w:rsidRDefault="00337748" w:rsidP="00337748">
      <w:pPr>
        <w:pStyle w:val="30"/>
      </w:pPr>
      <w:r w:rsidRPr="00FD50F6">
        <w:rPr>
          <w:rFonts w:hint="eastAsia"/>
        </w:rPr>
        <w:lastRenderedPageBreak/>
        <w:t>专用</w:t>
      </w:r>
      <w:r w:rsidRPr="00FD50F6">
        <w:t>无线通信系统空间波覆盖的时间地点概率不应小于</w:t>
      </w:r>
      <w:r w:rsidRPr="00FD50F6">
        <w:t>90</w:t>
      </w:r>
      <w:r w:rsidRPr="00FD50F6">
        <w:t>％，漏泄同轴电缆辐射电波的时间地点概率不应小于</w:t>
      </w:r>
      <w:r w:rsidRPr="00FD50F6">
        <w:t>95</w:t>
      </w:r>
      <w:r w:rsidRPr="00FD50F6">
        <w:t>％。</w:t>
      </w:r>
    </w:p>
    <w:p w14:paraId="5409FAB2" w14:textId="77777777" w:rsidR="00337748" w:rsidRPr="00FD50F6" w:rsidRDefault="00337748" w:rsidP="00337748">
      <w:pPr>
        <w:pStyle w:val="30"/>
      </w:pPr>
      <w:r w:rsidRPr="00FD50F6">
        <w:rPr>
          <w:rFonts w:hint="eastAsia"/>
        </w:rPr>
        <w:t>专用</w:t>
      </w:r>
      <w:r w:rsidRPr="00FD50F6">
        <w:t>无线通信系统车载台应防撞击、耐震动，并应在司机室进行合理布置。</w:t>
      </w:r>
    </w:p>
    <w:p w14:paraId="1DE36C36" w14:textId="56DECB6A" w:rsidR="00337748" w:rsidRPr="00FD50F6" w:rsidRDefault="00337748" w:rsidP="00337748">
      <w:pPr>
        <w:pStyle w:val="30"/>
      </w:pPr>
      <w:r w:rsidRPr="00FD50F6">
        <w:rPr>
          <w:rFonts w:hint="eastAsia"/>
        </w:rPr>
        <w:t>区间应采用漏泄同轴电缆进行无线场强覆盖，漏泄同轴电缆与其他系统漏泄同轴电缆间距</w:t>
      </w:r>
      <w:bookmarkStart w:id="675" w:name="_Hlk120272677"/>
      <w:r w:rsidR="0073633F">
        <w:rPr>
          <w:rFonts w:hint="eastAsia"/>
        </w:rPr>
        <w:t>应</w:t>
      </w:r>
      <w:bookmarkEnd w:id="675"/>
      <w:r w:rsidR="0073633F">
        <w:rPr>
          <w:rFonts w:hint="eastAsia"/>
        </w:rPr>
        <w:t>大</w:t>
      </w:r>
      <w:r w:rsidRPr="00FD50F6">
        <w:rPr>
          <w:rFonts w:hint="eastAsia"/>
        </w:rPr>
        <w:t>于</w:t>
      </w:r>
      <w:r w:rsidRPr="00FD50F6">
        <w:t>300mm</w:t>
      </w:r>
      <w:r w:rsidRPr="00FD50F6">
        <w:rPr>
          <w:rFonts w:hint="eastAsia"/>
        </w:rPr>
        <w:t>，并应满足系统性能需求，</w:t>
      </w:r>
      <w:r w:rsidR="004420F3">
        <w:rPr>
          <w:rFonts w:hint="eastAsia"/>
        </w:rPr>
        <w:t>且</w:t>
      </w:r>
      <w:r w:rsidRPr="00FD50F6">
        <w:rPr>
          <w:rFonts w:hint="eastAsia"/>
        </w:rPr>
        <w:t>不应相互干扰。</w:t>
      </w:r>
    </w:p>
    <w:p w14:paraId="38BB1C86" w14:textId="77777777" w:rsidR="00337748" w:rsidRPr="00FD50F6" w:rsidRDefault="00337748" w:rsidP="00A65181">
      <w:pPr>
        <w:pStyle w:val="2"/>
      </w:pPr>
      <w:bookmarkStart w:id="676" w:name="_Toc27244608"/>
      <w:bookmarkStart w:id="677" w:name="_Toc112830766"/>
      <w:bookmarkStart w:id="678" w:name="_Toc236494391"/>
      <w:bookmarkStart w:id="679" w:name="_Toc236726638"/>
      <w:bookmarkStart w:id="680" w:name="_Toc306206759"/>
      <w:bookmarkStart w:id="681" w:name="_Toc320196044"/>
      <w:bookmarkStart w:id="682" w:name="_Toc320643434"/>
      <w:r w:rsidRPr="00FD50F6">
        <w:rPr>
          <w:rFonts w:hint="eastAsia"/>
        </w:rPr>
        <w:t>车地宽带无线通信系统</w:t>
      </w:r>
      <w:bookmarkEnd w:id="676"/>
      <w:bookmarkEnd w:id="677"/>
    </w:p>
    <w:p w14:paraId="7D421066" w14:textId="52B7B587" w:rsidR="00337748" w:rsidRPr="00FD50F6" w:rsidRDefault="00337748" w:rsidP="00337748">
      <w:pPr>
        <w:pStyle w:val="30"/>
      </w:pPr>
      <w:r w:rsidRPr="00FD50F6">
        <w:rPr>
          <w:rFonts w:hint="eastAsia"/>
        </w:rPr>
        <w:t>地铁应设置车地宽带无线通信系统，承载地铁车与地之间宽带无线通信业务。承载业务应包括列车</w:t>
      </w:r>
      <w:r w:rsidRPr="00FD50F6">
        <w:t>PIS</w:t>
      </w:r>
      <w:r w:rsidRPr="00FD50F6">
        <w:rPr>
          <w:rFonts w:hint="eastAsia"/>
        </w:rPr>
        <w:t>视频业务信息、列车视频监控业务信息等，可包括列车运行控制信息、列车运行状态监测信息等。</w:t>
      </w:r>
    </w:p>
    <w:p w14:paraId="6A7C2372" w14:textId="76A77F8A" w:rsidR="00337748" w:rsidRPr="00FD50F6" w:rsidRDefault="00337748" w:rsidP="00337748">
      <w:pPr>
        <w:pStyle w:val="30"/>
      </w:pPr>
      <w:r w:rsidRPr="00FD50F6">
        <w:rPr>
          <w:rFonts w:hint="eastAsia"/>
        </w:rPr>
        <w:t>车地宽带通信系统频率使用应符合当地无线电管理部门的有关规定。共线、同站换乘线路、车辆基地等环境下的无线覆盖和频率配置应统一规划。</w:t>
      </w:r>
    </w:p>
    <w:p w14:paraId="3768B923" w14:textId="12D4B996" w:rsidR="00337748" w:rsidRPr="00FD50F6" w:rsidRDefault="00337748" w:rsidP="00337748">
      <w:pPr>
        <w:pStyle w:val="30"/>
      </w:pPr>
      <w:r w:rsidRPr="00FD50F6">
        <w:rPr>
          <w:rFonts w:hint="eastAsia"/>
        </w:rPr>
        <w:t>当车地宽带无线通信系统承载列车运行控制信息时，应采用城市轨道交通专用频点，并应与列车控制系统组网方案统一设计，应设置两个独立运行的网络，分别与列车控制系统的双网连接，满足列车运行控制系统冗余覆盖组网要求。</w:t>
      </w:r>
    </w:p>
    <w:p w14:paraId="47933CB2" w14:textId="77777777" w:rsidR="00337748" w:rsidRPr="00FD50F6" w:rsidRDefault="00337748" w:rsidP="00337748">
      <w:pPr>
        <w:pStyle w:val="30"/>
      </w:pPr>
      <w:r w:rsidRPr="00FD50F6">
        <w:rPr>
          <w:rFonts w:hint="eastAsia"/>
        </w:rPr>
        <w:t>当车地宽带无线通信系统采用宽带集群系统制式时，车地宽带无线通信系统可作为专用无线通信系统，并应满足专用无线通信系统的要求。</w:t>
      </w:r>
    </w:p>
    <w:p w14:paraId="768C4F5A" w14:textId="77777777" w:rsidR="00337748" w:rsidRPr="00FD50F6" w:rsidRDefault="00337748" w:rsidP="00A65181">
      <w:pPr>
        <w:pStyle w:val="2"/>
      </w:pPr>
      <w:bookmarkStart w:id="683" w:name="_Toc27244609"/>
      <w:bookmarkStart w:id="684" w:name="_Toc112830767"/>
      <w:r w:rsidRPr="00FD50F6">
        <w:t>公务电话系统</w:t>
      </w:r>
      <w:bookmarkEnd w:id="678"/>
      <w:bookmarkEnd w:id="679"/>
      <w:bookmarkEnd w:id="680"/>
      <w:bookmarkEnd w:id="681"/>
      <w:bookmarkEnd w:id="682"/>
      <w:bookmarkEnd w:id="683"/>
      <w:bookmarkEnd w:id="684"/>
    </w:p>
    <w:p w14:paraId="7FCD35F7" w14:textId="77777777" w:rsidR="00337748" w:rsidRPr="00FD50F6" w:rsidRDefault="00337748" w:rsidP="00337748">
      <w:pPr>
        <w:pStyle w:val="30"/>
      </w:pPr>
      <w:r w:rsidRPr="00FD50F6">
        <w:t>公务电话系统应由公务电话交换设备、</w:t>
      </w:r>
      <w:r w:rsidRPr="00FD50F6">
        <w:rPr>
          <w:rFonts w:hint="eastAsia"/>
        </w:rPr>
        <w:t>电话终端</w:t>
      </w:r>
      <w:r w:rsidRPr="00FD50F6">
        <w:t>及其附属设备组成。公务电话交换设备宜设置在负荷集中、便于管理的地点。公务电话交换设备间</w:t>
      </w:r>
      <w:r w:rsidRPr="00FD50F6">
        <w:rPr>
          <w:rFonts w:hint="eastAsia"/>
        </w:rPr>
        <w:t>宜</w:t>
      </w:r>
      <w:r w:rsidRPr="00FD50F6">
        <w:t>通过</w:t>
      </w:r>
      <w:r w:rsidRPr="00FD50F6">
        <w:t>IP</w:t>
      </w:r>
      <w:r w:rsidRPr="00FD50F6">
        <w:t>网络相连。</w:t>
      </w:r>
    </w:p>
    <w:p w14:paraId="7E9C31BF" w14:textId="05E06B10" w:rsidR="00337748" w:rsidRPr="00FD50F6" w:rsidRDefault="00337748" w:rsidP="00337748">
      <w:pPr>
        <w:pStyle w:val="30"/>
      </w:pPr>
      <w:r w:rsidRPr="00FD50F6">
        <w:t>地铁公务电话交换网应统一规划、分期实施。</w:t>
      </w:r>
    </w:p>
    <w:p w14:paraId="492D77AE" w14:textId="50D005C9" w:rsidR="00337748" w:rsidRPr="00FD50F6" w:rsidRDefault="00337748" w:rsidP="00337748">
      <w:pPr>
        <w:pStyle w:val="30"/>
      </w:pPr>
      <w:r w:rsidRPr="00FD50F6">
        <w:t>公务电话交换网与公用网本地电话局的连接方式宜采用全自动呼出、呼入中继方式，并应纳入本地公用网的统一编号。中继线的数量应根据话务量大小和国家有关规定确定。</w:t>
      </w:r>
    </w:p>
    <w:p w14:paraId="70551B76" w14:textId="77777777" w:rsidR="00337748" w:rsidRPr="00FD50F6" w:rsidRDefault="00337748" w:rsidP="00337748">
      <w:pPr>
        <w:pStyle w:val="30"/>
      </w:pPr>
      <w:r w:rsidRPr="00FD50F6">
        <w:t>公务电话系统应</w:t>
      </w:r>
      <w:r w:rsidRPr="00FD50F6">
        <w:rPr>
          <w:rFonts w:hint="eastAsia"/>
        </w:rPr>
        <w:t>具备多媒体业务处理和控制、网管及计费等功能</w:t>
      </w:r>
      <w:r w:rsidRPr="00FD50F6">
        <w:t>。</w:t>
      </w:r>
    </w:p>
    <w:p w14:paraId="0C0B6220" w14:textId="77777777" w:rsidR="00337748" w:rsidRPr="00FD50F6" w:rsidRDefault="00337748" w:rsidP="00337748">
      <w:pPr>
        <w:pStyle w:val="30"/>
      </w:pPr>
      <w:r w:rsidRPr="00FD50F6">
        <w:lastRenderedPageBreak/>
        <w:t>公务电话交换设备的容量应根据机构设置、新增定员、通信业务等因素确定，并应为发展预留余量。</w:t>
      </w:r>
    </w:p>
    <w:p w14:paraId="2BC01A9A" w14:textId="77777777" w:rsidR="00337748" w:rsidRPr="00FD50F6" w:rsidRDefault="00337748" w:rsidP="00337748">
      <w:pPr>
        <w:pStyle w:val="30"/>
      </w:pPr>
      <w:r w:rsidRPr="00FD50F6">
        <w:t>公务电话应采用统一用户编号，在交换网中宜采用下列方式：</w:t>
      </w:r>
    </w:p>
    <w:p w14:paraId="03C94989" w14:textId="77777777" w:rsidR="00337748" w:rsidRPr="00FD50F6" w:rsidRDefault="00337748" w:rsidP="00A926BD">
      <w:pPr>
        <w:pStyle w:val="4"/>
      </w:pPr>
      <w:r w:rsidRPr="001A4CF3">
        <w:rPr>
          <w:rFonts w:ascii="宋体" w:hAnsi="宋体"/>
        </w:rPr>
        <w:t xml:space="preserve"> “</w:t>
      </w:r>
      <w:r w:rsidRPr="00FD50F6">
        <w:t>0</w:t>
      </w:r>
      <w:r w:rsidRPr="001A4CF3">
        <w:rPr>
          <w:rFonts w:ascii="宋体" w:hAnsi="宋体"/>
        </w:rPr>
        <w:t>”</w:t>
      </w:r>
      <w:r w:rsidRPr="00FD50F6">
        <w:t xml:space="preserve"> </w:t>
      </w:r>
      <w:r w:rsidRPr="00FD50F6">
        <w:t>或</w:t>
      </w:r>
      <w:r w:rsidRPr="001A4CF3">
        <w:rPr>
          <w:rFonts w:ascii="宋体" w:hAnsi="宋体"/>
        </w:rPr>
        <w:t>“</w:t>
      </w:r>
      <w:r w:rsidRPr="00FD50F6">
        <w:t>9</w:t>
      </w:r>
      <w:r w:rsidRPr="001A4CF3">
        <w:rPr>
          <w:rFonts w:ascii="宋体" w:hAnsi="宋体"/>
        </w:rPr>
        <w:t>”</w:t>
      </w:r>
      <w:r w:rsidRPr="00FD50F6">
        <w:t>为呼叫公用网的首位号码；</w:t>
      </w:r>
    </w:p>
    <w:p w14:paraId="5C16BA1A" w14:textId="77777777" w:rsidR="00337748" w:rsidRPr="00FD50F6" w:rsidRDefault="00337748" w:rsidP="00A926BD">
      <w:pPr>
        <w:pStyle w:val="4"/>
      </w:pPr>
      <w:r w:rsidRPr="00FD50F6">
        <w:t xml:space="preserve"> </w:t>
      </w:r>
      <w:r w:rsidRPr="001A4CF3">
        <w:rPr>
          <w:rFonts w:ascii="宋体" w:hAnsi="宋体"/>
        </w:rPr>
        <w:t>“</w:t>
      </w:r>
      <w:r w:rsidRPr="00FD50F6">
        <w:t>1</w:t>
      </w:r>
      <w:r w:rsidRPr="001A4CF3">
        <w:rPr>
          <w:rFonts w:ascii="宋体" w:hAnsi="宋体"/>
        </w:rPr>
        <w:t>”</w:t>
      </w:r>
      <w:r w:rsidRPr="00FD50F6">
        <w:t>为特种业务、新业务首位号码；</w:t>
      </w:r>
    </w:p>
    <w:p w14:paraId="6EEE4D29" w14:textId="77777777" w:rsidR="00337748" w:rsidRPr="00FD50F6" w:rsidRDefault="00337748" w:rsidP="00A926BD">
      <w:pPr>
        <w:pStyle w:val="4"/>
      </w:pPr>
      <w:r w:rsidRPr="001A4CF3">
        <w:rPr>
          <w:rFonts w:ascii="宋体" w:hAnsi="宋体"/>
        </w:rPr>
        <w:t>“</w:t>
      </w:r>
      <w:r w:rsidRPr="00FD50F6">
        <w:t>2</w:t>
      </w:r>
      <w:r w:rsidRPr="00FD50F6">
        <w:t>～</w:t>
      </w:r>
      <w:r w:rsidRPr="00FD50F6">
        <w:t>8</w:t>
      </w:r>
      <w:r w:rsidRPr="001A4CF3">
        <w:rPr>
          <w:rFonts w:ascii="宋体" w:hAnsi="宋体"/>
        </w:rPr>
        <w:t>”</w:t>
      </w:r>
      <w:r w:rsidRPr="00FD50F6">
        <w:t>为地铁用户的首位号码。</w:t>
      </w:r>
    </w:p>
    <w:p w14:paraId="4713164E" w14:textId="77777777" w:rsidR="00337748" w:rsidRPr="00FD50F6" w:rsidRDefault="00337748" w:rsidP="00A65181">
      <w:pPr>
        <w:pStyle w:val="2"/>
      </w:pPr>
      <w:bookmarkStart w:id="685" w:name="_Toc236494392"/>
      <w:bookmarkStart w:id="686" w:name="_Toc236726639"/>
      <w:bookmarkStart w:id="687" w:name="_Toc306206760"/>
      <w:bookmarkStart w:id="688" w:name="_Toc320196045"/>
      <w:bookmarkStart w:id="689" w:name="_Toc320643435"/>
      <w:bookmarkStart w:id="690" w:name="_Toc27244610"/>
      <w:bookmarkStart w:id="691" w:name="_Toc112830768"/>
      <w:r w:rsidRPr="00FD50F6">
        <w:t>专用电话系统</w:t>
      </w:r>
      <w:bookmarkEnd w:id="685"/>
      <w:bookmarkEnd w:id="686"/>
      <w:bookmarkEnd w:id="687"/>
      <w:bookmarkEnd w:id="688"/>
      <w:bookmarkEnd w:id="689"/>
      <w:bookmarkEnd w:id="690"/>
      <w:bookmarkEnd w:id="691"/>
    </w:p>
    <w:p w14:paraId="661E7EBE" w14:textId="77777777" w:rsidR="00337748" w:rsidRPr="00FD50F6" w:rsidRDefault="00337748" w:rsidP="00337748">
      <w:pPr>
        <w:pStyle w:val="30"/>
      </w:pPr>
      <w:r w:rsidRPr="00FD50F6">
        <w:t>专用电话系统应包括调度电话、站间行车电话、车站、车辆基地专用直通电话。</w:t>
      </w:r>
    </w:p>
    <w:p w14:paraId="3AF12EE4" w14:textId="77777777" w:rsidR="00337748" w:rsidRPr="00FD50F6" w:rsidRDefault="00337748" w:rsidP="00337748">
      <w:pPr>
        <w:pStyle w:val="30"/>
      </w:pPr>
      <w:r w:rsidRPr="00FD50F6">
        <w:t>专用电话系统应由中心交换设备、车站</w:t>
      </w:r>
      <w:r w:rsidRPr="00FD50F6">
        <w:rPr>
          <w:rFonts w:hint="eastAsia"/>
        </w:rPr>
        <w:t>交换设备、车辆基地</w:t>
      </w:r>
      <w:r w:rsidRPr="00FD50F6">
        <w:t>交换设备、终端设备、</w:t>
      </w:r>
      <w:r w:rsidRPr="00FD50F6">
        <w:rPr>
          <w:rFonts w:hint="eastAsia"/>
        </w:rPr>
        <w:t>集中</w:t>
      </w:r>
      <w:r w:rsidRPr="00FD50F6">
        <w:t>录音装置及网管设备等组成。</w:t>
      </w:r>
    </w:p>
    <w:p w14:paraId="51A0C1EF" w14:textId="77777777" w:rsidR="00337748" w:rsidRPr="00FD50F6" w:rsidRDefault="00337748" w:rsidP="00337748">
      <w:pPr>
        <w:pStyle w:val="30"/>
      </w:pPr>
      <w:r w:rsidRPr="00FD50F6">
        <w:t>调度电话应为控制中心调度员与各</w:t>
      </w:r>
      <w:r w:rsidRPr="00FD50F6">
        <w:rPr>
          <w:rFonts w:hint="eastAsia"/>
        </w:rPr>
        <w:t>车站值班员</w:t>
      </w:r>
      <w:r w:rsidRPr="00FD50F6">
        <w:t>、</w:t>
      </w:r>
      <w:r w:rsidRPr="00FD50F6">
        <w:rPr>
          <w:rFonts w:hint="eastAsia"/>
        </w:rPr>
        <w:t>车辆基地</w:t>
      </w:r>
      <w:r w:rsidRPr="00FD50F6">
        <w:t>值班员，以及与办理行车业务直接有关的工作人员提供调度通信，主要应包括行车、电力、防灾环控、维修等调度电话组。</w:t>
      </w:r>
    </w:p>
    <w:p w14:paraId="1F3CD740" w14:textId="77777777" w:rsidR="00337748" w:rsidRPr="00FD50F6" w:rsidRDefault="00337748" w:rsidP="00337748">
      <w:pPr>
        <w:pStyle w:val="30"/>
      </w:pPr>
      <w:r w:rsidRPr="00FD50F6">
        <w:t>控制中心调度台宜设置在控制中心调度大厅内。行车调度电话分机应设置在各车站行车值班员、车辆基地行车值班员等处所。</w:t>
      </w:r>
    </w:p>
    <w:p w14:paraId="7C1A7B87" w14:textId="77777777" w:rsidR="00337748" w:rsidRPr="00FD50F6" w:rsidRDefault="00337748" w:rsidP="00337748">
      <w:pPr>
        <w:pStyle w:val="30"/>
      </w:pPr>
      <w:r w:rsidRPr="00FD50F6">
        <w:t>电力调度电话分机应设置</w:t>
      </w:r>
      <w:r w:rsidRPr="00FD50F6">
        <w:rPr>
          <w:rFonts w:hint="eastAsia"/>
        </w:rPr>
        <w:t>在</w:t>
      </w:r>
      <w:r w:rsidRPr="00FD50F6">
        <w:t>电力值班人员所在的处所。</w:t>
      </w:r>
    </w:p>
    <w:p w14:paraId="1F01DC9C" w14:textId="77777777" w:rsidR="00337748" w:rsidRPr="00FD50F6" w:rsidRDefault="00337748" w:rsidP="00337748">
      <w:pPr>
        <w:pStyle w:val="30"/>
      </w:pPr>
      <w:r w:rsidRPr="00FD50F6">
        <w:t>防灾环控调度电话分机应设置</w:t>
      </w:r>
      <w:r w:rsidRPr="00FD50F6">
        <w:rPr>
          <w:rFonts w:hint="eastAsia"/>
        </w:rPr>
        <w:t>在</w:t>
      </w:r>
      <w:r w:rsidRPr="00FD50F6">
        <w:t>防灾环控值班人员所在的处所。</w:t>
      </w:r>
    </w:p>
    <w:p w14:paraId="25791C2C" w14:textId="5E79EE7E" w:rsidR="00337748" w:rsidRPr="00FD50F6" w:rsidRDefault="00337748" w:rsidP="00337748">
      <w:pPr>
        <w:pStyle w:val="30"/>
      </w:pPr>
      <w:r w:rsidRPr="00FD50F6">
        <w:t>调度电话应符合下列</w:t>
      </w:r>
      <w:r w:rsidRPr="00FD50F6">
        <w:rPr>
          <w:rFonts w:hint="eastAsia"/>
        </w:rPr>
        <w:t>规定</w:t>
      </w:r>
      <w:r w:rsidRPr="00FD50F6">
        <w:t>：</w:t>
      </w:r>
    </w:p>
    <w:p w14:paraId="323A931C" w14:textId="77777777" w:rsidR="00337748" w:rsidRPr="00FD50F6" w:rsidRDefault="00337748" w:rsidP="00A926BD">
      <w:pPr>
        <w:pStyle w:val="4"/>
      </w:pPr>
      <w:r w:rsidRPr="00FD50F6">
        <w:t>调度电话终端可选呼、组呼和全呼分机，任何情况下均不应发生阻塞；</w:t>
      </w:r>
    </w:p>
    <w:p w14:paraId="0C2A6BD2" w14:textId="06BF4326" w:rsidR="00337748" w:rsidRPr="00FD50F6" w:rsidRDefault="00337748" w:rsidP="00A926BD">
      <w:pPr>
        <w:pStyle w:val="4"/>
      </w:pPr>
      <w:r w:rsidRPr="00FD50F6">
        <w:t>调度电话分机对调度值班台应</w:t>
      </w:r>
      <w:r w:rsidRPr="00FD50F6">
        <w:rPr>
          <w:rFonts w:hint="eastAsia"/>
        </w:rPr>
        <w:t>能</w:t>
      </w:r>
      <w:r w:rsidRPr="00FD50F6">
        <w:t>实现一般呼叫和紧急呼叫；</w:t>
      </w:r>
    </w:p>
    <w:p w14:paraId="5277182D" w14:textId="77777777" w:rsidR="00337748" w:rsidRPr="00FD50F6" w:rsidRDefault="00337748" w:rsidP="00A926BD">
      <w:pPr>
        <w:pStyle w:val="4"/>
      </w:pPr>
      <w:r w:rsidRPr="00FD50F6">
        <w:t>控制中心调度电话终端之间应有台间联络等功能；</w:t>
      </w:r>
    </w:p>
    <w:p w14:paraId="3DE75BBA" w14:textId="727FC771" w:rsidR="00337748" w:rsidRPr="00FD50F6" w:rsidRDefault="00337748" w:rsidP="00A926BD">
      <w:pPr>
        <w:pStyle w:val="4"/>
      </w:pPr>
      <w:r w:rsidRPr="00FD50F6">
        <w:t>应具有召集固定成员电话会议和实时召集不同成员临时</w:t>
      </w:r>
      <w:r w:rsidRPr="00FD50F6">
        <w:rPr>
          <w:rFonts w:hint="eastAsia"/>
        </w:rPr>
        <w:t>电话</w:t>
      </w:r>
      <w:r w:rsidRPr="00FD50F6">
        <w:t>会议的能力。</w:t>
      </w:r>
    </w:p>
    <w:p w14:paraId="6FB6BF31" w14:textId="77777777" w:rsidR="00337748" w:rsidRPr="00FD50F6" w:rsidRDefault="00337748" w:rsidP="00337748">
      <w:pPr>
        <w:pStyle w:val="30"/>
      </w:pPr>
      <w:r w:rsidRPr="00FD50F6">
        <w:t>站间行车电话应提供相邻车站值班员间办理有关行车业务联系。站间行车电话终端应设在车站值班员所在的处所。</w:t>
      </w:r>
    </w:p>
    <w:p w14:paraId="50D1A5B9" w14:textId="77777777" w:rsidR="00337748" w:rsidRPr="00FD50F6" w:rsidRDefault="00337748" w:rsidP="00337748">
      <w:pPr>
        <w:pStyle w:val="30"/>
      </w:pPr>
      <w:r w:rsidRPr="00FD50F6">
        <w:t>车站专用直通电话应提供行车值班员或站长与本站内运营业务有关人员进行通话联系。站区管辖内的道岔处可设置与车站值班员间的直通电话。车辆基地专用直通电话可根据作业性质设置行车指挥电话、乘务运转电话、段内调</w:t>
      </w:r>
      <w:r w:rsidRPr="00FD50F6">
        <w:lastRenderedPageBreak/>
        <w:t>度指挥电话、车辆检修电话等。</w:t>
      </w:r>
    </w:p>
    <w:p w14:paraId="15CF8BD7" w14:textId="2B13348F" w:rsidR="00337748" w:rsidRPr="00FD50F6" w:rsidRDefault="00337748" w:rsidP="00337748">
      <w:pPr>
        <w:pStyle w:val="30"/>
      </w:pPr>
      <w:r w:rsidRPr="00FD50F6">
        <w:t>地铁通信系统可根据运营需求设置区间电话供司机和区间维修人员与邻站值班员及相关部门联系。区间电话在一般区间宜每隔</w:t>
      </w:r>
      <w:r w:rsidRPr="00FD50F6">
        <w:t>150m</w:t>
      </w:r>
      <w:r w:rsidRPr="00FD50F6">
        <w:t>～</w:t>
      </w:r>
      <w:r w:rsidRPr="00FD50F6">
        <w:t>200m</w:t>
      </w:r>
      <w:r w:rsidRPr="00FD50F6">
        <w:t>设置一处。区间电话可纳入公务电话系统。</w:t>
      </w:r>
    </w:p>
    <w:p w14:paraId="56348495" w14:textId="5889B717" w:rsidR="00337748" w:rsidRPr="00FD50F6" w:rsidRDefault="00337748" w:rsidP="00337748">
      <w:pPr>
        <w:pStyle w:val="30"/>
      </w:pPr>
      <w:r w:rsidRPr="00FD50F6">
        <w:t>公务电话系统和专用电话系统可采用合设方式，但应</w:t>
      </w:r>
      <w:r w:rsidRPr="00FD50F6">
        <w:rPr>
          <w:rFonts w:hint="eastAsia"/>
        </w:rPr>
        <w:t>满足</w:t>
      </w:r>
      <w:r w:rsidRPr="00FD50F6">
        <w:t>调度专用功能。</w:t>
      </w:r>
    </w:p>
    <w:p w14:paraId="37CF1AED" w14:textId="3641C15A" w:rsidR="00337748" w:rsidRPr="00FD50F6" w:rsidRDefault="00337748" w:rsidP="00337748">
      <w:pPr>
        <w:pStyle w:val="30"/>
      </w:pPr>
      <w:r w:rsidRPr="00FD50F6">
        <w:rPr>
          <w:rFonts w:hint="eastAsia"/>
        </w:rPr>
        <w:t>集中</w:t>
      </w:r>
      <w:r w:rsidRPr="00FD50F6">
        <w:t>录音系统应符合下列</w:t>
      </w:r>
      <w:r w:rsidRPr="00FD50F6">
        <w:rPr>
          <w:rFonts w:hint="eastAsia"/>
        </w:rPr>
        <w:t>规定</w:t>
      </w:r>
      <w:r w:rsidRPr="00FD50F6">
        <w:t>：</w:t>
      </w:r>
    </w:p>
    <w:p w14:paraId="1F48C4ED" w14:textId="77777777" w:rsidR="00337748" w:rsidRPr="00FD50F6" w:rsidRDefault="00337748" w:rsidP="00A926BD">
      <w:pPr>
        <w:pStyle w:val="4"/>
      </w:pPr>
      <w:r w:rsidRPr="00FD50F6">
        <w:rPr>
          <w:rFonts w:hint="eastAsia"/>
        </w:rPr>
        <w:t>集中录音</w:t>
      </w:r>
      <w:r w:rsidRPr="00FD50F6">
        <w:t>系统</w:t>
      </w:r>
      <w:r w:rsidRPr="00FD50F6">
        <w:rPr>
          <w:rFonts w:hint="eastAsia"/>
        </w:rPr>
        <w:t>应对公务</w:t>
      </w:r>
      <w:r w:rsidRPr="00FD50F6">
        <w:t>电话、</w:t>
      </w:r>
      <w:r w:rsidRPr="00FD50F6">
        <w:rPr>
          <w:rFonts w:hint="eastAsia"/>
        </w:rPr>
        <w:t>专用电话、广播等重要语音</w:t>
      </w:r>
      <w:r w:rsidRPr="00FD50F6">
        <w:t>进行</w:t>
      </w:r>
      <w:r w:rsidRPr="00FD50F6">
        <w:rPr>
          <w:rFonts w:hint="eastAsia"/>
        </w:rPr>
        <w:t>集中录音，</w:t>
      </w:r>
      <w:r w:rsidRPr="00FD50F6">
        <w:t>可对</w:t>
      </w:r>
      <w:r w:rsidRPr="00FD50F6">
        <w:rPr>
          <w:rFonts w:hint="eastAsia"/>
        </w:rPr>
        <w:t>专用</w:t>
      </w:r>
      <w:r w:rsidRPr="00FD50F6">
        <w:t>无线通信</w:t>
      </w:r>
      <w:r w:rsidRPr="00FD50F6">
        <w:rPr>
          <w:rFonts w:hint="eastAsia"/>
        </w:rPr>
        <w:t>进行集中</w:t>
      </w:r>
      <w:r w:rsidRPr="00FD50F6">
        <w:t>录音</w:t>
      </w:r>
      <w:r w:rsidRPr="00FD50F6">
        <w:rPr>
          <w:rFonts w:hint="eastAsia"/>
        </w:rPr>
        <w:t>；</w:t>
      </w:r>
    </w:p>
    <w:p w14:paraId="45B76EDF" w14:textId="7E6399A8" w:rsidR="00337748" w:rsidRPr="00FD50F6" w:rsidRDefault="00337748" w:rsidP="00A926BD">
      <w:pPr>
        <w:pStyle w:val="4"/>
      </w:pPr>
      <w:r w:rsidRPr="00FD50F6">
        <w:rPr>
          <w:rFonts w:hint="eastAsia"/>
        </w:rPr>
        <w:t>集中</w:t>
      </w:r>
      <w:r w:rsidRPr="00FD50F6">
        <w:t>录音系统</w:t>
      </w:r>
      <w:r w:rsidRPr="00FD50F6">
        <w:rPr>
          <w:rFonts w:hint="eastAsia"/>
        </w:rPr>
        <w:t>宜设置</w:t>
      </w:r>
      <w:r w:rsidRPr="00FD50F6">
        <w:t>于控制中心、车辆</w:t>
      </w:r>
      <w:r w:rsidRPr="00FD50F6">
        <w:rPr>
          <w:rFonts w:hint="eastAsia"/>
        </w:rPr>
        <w:t>基地</w:t>
      </w:r>
      <w:r w:rsidRPr="00FD50F6">
        <w:t>，</w:t>
      </w:r>
      <w:r w:rsidRPr="00FD50F6">
        <w:rPr>
          <w:rFonts w:hint="eastAsia"/>
        </w:rPr>
        <w:t>在各</w:t>
      </w:r>
      <w:r w:rsidRPr="00FD50F6">
        <w:t>车站可根据需要</w:t>
      </w:r>
      <w:r w:rsidRPr="00FD50F6">
        <w:rPr>
          <w:rFonts w:hint="eastAsia"/>
        </w:rPr>
        <w:t>设置；</w:t>
      </w:r>
    </w:p>
    <w:p w14:paraId="29253263" w14:textId="77777777" w:rsidR="00337748" w:rsidRPr="00FD50F6" w:rsidRDefault="00337748" w:rsidP="00A926BD">
      <w:pPr>
        <w:pStyle w:val="4"/>
      </w:pPr>
      <w:r w:rsidRPr="00FD50F6">
        <w:t>控制中心、车辆基地的</w:t>
      </w:r>
      <w:r w:rsidRPr="00FD50F6">
        <w:rPr>
          <w:rFonts w:hint="eastAsia"/>
        </w:rPr>
        <w:t>集中</w:t>
      </w:r>
      <w:r w:rsidRPr="00FD50F6">
        <w:t>录音</w:t>
      </w:r>
      <w:r w:rsidRPr="00FD50F6">
        <w:rPr>
          <w:rFonts w:hint="eastAsia"/>
        </w:rPr>
        <w:t>系统</w:t>
      </w:r>
      <w:r w:rsidRPr="00FD50F6">
        <w:t>应</w:t>
      </w:r>
      <w:r w:rsidRPr="00FD50F6">
        <w:rPr>
          <w:rFonts w:hint="eastAsia"/>
        </w:rPr>
        <w:t>采用双机</w:t>
      </w:r>
      <w:r w:rsidRPr="00FD50F6">
        <w:t>热备配置。</w:t>
      </w:r>
    </w:p>
    <w:p w14:paraId="130ABD7C" w14:textId="77777777" w:rsidR="00337748" w:rsidRPr="00FD50F6" w:rsidRDefault="00337748" w:rsidP="00A65181">
      <w:pPr>
        <w:pStyle w:val="2"/>
      </w:pPr>
      <w:bookmarkStart w:id="692" w:name="_Toc236494393"/>
      <w:bookmarkStart w:id="693" w:name="_Toc236726640"/>
      <w:bookmarkStart w:id="694" w:name="_Toc306206761"/>
      <w:bookmarkStart w:id="695" w:name="_Toc320196046"/>
      <w:bookmarkStart w:id="696" w:name="_Toc320643436"/>
      <w:bookmarkStart w:id="697" w:name="_Toc27244611"/>
      <w:bookmarkStart w:id="698" w:name="_Toc112830769"/>
      <w:r w:rsidRPr="00FD50F6">
        <w:t>视频监视系统</w:t>
      </w:r>
      <w:bookmarkEnd w:id="692"/>
      <w:bookmarkEnd w:id="693"/>
      <w:bookmarkEnd w:id="694"/>
      <w:bookmarkEnd w:id="695"/>
      <w:bookmarkEnd w:id="696"/>
      <w:bookmarkEnd w:id="697"/>
      <w:bookmarkEnd w:id="698"/>
    </w:p>
    <w:p w14:paraId="1E13F665" w14:textId="77777777" w:rsidR="00337748" w:rsidRPr="00FD50F6" w:rsidRDefault="00337748" w:rsidP="00337748">
      <w:pPr>
        <w:pStyle w:val="30"/>
      </w:pPr>
      <w:r w:rsidRPr="00FD50F6">
        <w:t>视频监视系统应为控制中心调度员、车站</w:t>
      </w:r>
      <w:r w:rsidRPr="00FD50F6">
        <w:rPr>
          <w:rFonts w:hint="eastAsia"/>
        </w:rPr>
        <w:t>值班员、车辆基地</w:t>
      </w:r>
      <w:r w:rsidRPr="00FD50F6">
        <w:t>值班员、列车司机等提供有关列车运行、防灾、救灾及乘客疏导等方面的视觉信息。</w:t>
      </w:r>
    </w:p>
    <w:p w14:paraId="7EE04AF1" w14:textId="77777777" w:rsidR="00337748" w:rsidRPr="00FD50F6" w:rsidRDefault="00337748" w:rsidP="00337748">
      <w:pPr>
        <w:pStyle w:val="30"/>
      </w:pPr>
      <w:r w:rsidRPr="00FD50F6">
        <w:t>视频监视系统应由中心控制设备、车站</w:t>
      </w:r>
      <w:r w:rsidRPr="00FD50F6">
        <w:rPr>
          <w:rFonts w:hint="eastAsia"/>
        </w:rPr>
        <w:t>控制设备、车辆基地</w:t>
      </w:r>
      <w:r w:rsidRPr="00FD50F6">
        <w:t>控制设备、图像摄取、图像显示、录像及视频信号传输等设备组成。</w:t>
      </w:r>
    </w:p>
    <w:p w14:paraId="7DA7FFF9" w14:textId="77777777" w:rsidR="00337748" w:rsidRPr="00FD50F6" w:rsidRDefault="00337748" w:rsidP="00337748">
      <w:pPr>
        <w:pStyle w:val="30"/>
      </w:pPr>
      <w:r w:rsidRPr="00FD50F6">
        <w:t>视频监视系统可按运营需求分为中心级和车站</w:t>
      </w:r>
      <w:r w:rsidRPr="00FD50F6">
        <w:rPr>
          <w:rFonts w:hint="eastAsia"/>
        </w:rPr>
        <w:t>、车辆基地</w:t>
      </w:r>
      <w:r w:rsidRPr="00FD50F6">
        <w:t>两级监视，并应符合下列规定：</w:t>
      </w:r>
    </w:p>
    <w:p w14:paraId="3114008C" w14:textId="4E0ABFC3" w:rsidR="00337748" w:rsidRPr="00FD50F6" w:rsidRDefault="00337748" w:rsidP="00A926BD">
      <w:pPr>
        <w:pStyle w:val="4"/>
      </w:pPr>
      <w:r w:rsidRPr="00FD50F6">
        <w:t>中心级监视应在控制中心行车调度员、电力调度员、防灾环控调度员等处所设置控制、监视装置。各调度员应能任意地选择全线摄像机的图像，并应</w:t>
      </w:r>
      <w:r w:rsidRPr="00FD50F6">
        <w:rPr>
          <w:rFonts w:hint="eastAsia"/>
        </w:rPr>
        <w:t>能</w:t>
      </w:r>
      <w:r w:rsidRPr="00FD50F6">
        <w:t>切换至相应的监视终端上</w:t>
      </w:r>
      <w:r w:rsidRPr="00FD50F6">
        <w:rPr>
          <w:rFonts w:hint="eastAsia"/>
        </w:rPr>
        <w:t>。</w:t>
      </w:r>
    </w:p>
    <w:p w14:paraId="6765D5E5" w14:textId="0D6B6DE4" w:rsidR="00337748" w:rsidRPr="00FD50F6" w:rsidRDefault="00337748" w:rsidP="00A926BD">
      <w:pPr>
        <w:pStyle w:val="4"/>
      </w:pPr>
      <w:r w:rsidRPr="00FD50F6">
        <w:t>车站级监视应在车站行车值班员、防灾环控值班员等处所设置控制、监视装置。车站值班员应能任意地选择本车站任一组或任一个摄像机的图像，并应</w:t>
      </w:r>
      <w:r w:rsidRPr="00FD50F6">
        <w:rPr>
          <w:rFonts w:hint="eastAsia"/>
        </w:rPr>
        <w:t>能</w:t>
      </w:r>
      <w:r w:rsidRPr="00FD50F6">
        <w:t>切换至相应的监视终端</w:t>
      </w:r>
      <w:r w:rsidRPr="00FD50F6">
        <w:rPr>
          <w:rFonts w:hint="eastAsia"/>
        </w:rPr>
        <w:t>。</w:t>
      </w:r>
    </w:p>
    <w:p w14:paraId="48CBA6A1" w14:textId="6D637355" w:rsidR="00337748" w:rsidRPr="00FD50F6" w:rsidRDefault="00337748" w:rsidP="00A926BD">
      <w:pPr>
        <w:pStyle w:val="4"/>
      </w:pPr>
      <w:r w:rsidRPr="00FD50F6">
        <w:t>司机可利用站台或驾驶室内的监视终端监视乘客上下车</w:t>
      </w:r>
      <w:r w:rsidRPr="00FD50F6">
        <w:rPr>
          <w:rFonts w:hint="eastAsia"/>
        </w:rPr>
        <w:t>。</w:t>
      </w:r>
    </w:p>
    <w:p w14:paraId="47C452AB" w14:textId="77777777" w:rsidR="00337748" w:rsidRPr="00FD50F6" w:rsidRDefault="00337748" w:rsidP="00A926BD">
      <w:pPr>
        <w:pStyle w:val="4"/>
      </w:pPr>
      <w:r w:rsidRPr="00FD50F6">
        <w:rPr>
          <w:rFonts w:hint="eastAsia"/>
        </w:rPr>
        <w:t>车辆基地</w:t>
      </w:r>
      <w:r w:rsidRPr="00FD50F6">
        <w:t>级监视应在</w:t>
      </w:r>
      <w:r w:rsidRPr="00FD50F6">
        <w:rPr>
          <w:rFonts w:hint="eastAsia"/>
        </w:rPr>
        <w:t>车辆基地值班员</w:t>
      </w:r>
      <w:r w:rsidRPr="00FD50F6">
        <w:t>等处所设置控制、监视装置。值班员应能任意地选择</w:t>
      </w:r>
      <w:r w:rsidRPr="00FD50F6">
        <w:rPr>
          <w:rFonts w:hint="eastAsia"/>
        </w:rPr>
        <w:t>车辆基地</w:t>
      </w:r>
      <w:r w:rsidRPr="00FD50F6">
        <w:t>任一组或任一个摄像机的图像，并应切换至相应的监视终端。</w:t>
      </w:r>
    </w:p>
    <w:p w14:paraId="51A43E57" w14:textId="1B4C63DD" w:rsidR="00337748" w:rsidRPr="00FD50F6" w:rsidRDefault="00337748" w:rsidP="00337748">
      <w:pPr>
        <w:pStyle w:val="30"/>
      </w:pPr>
      <w:r w:rsidRPr="00FD50F6">
        <w:t>视频监视系统</w:t>
      </w:r>
      <w:r w:rsidRPr="00FD50F6">
        <w:rPr>
          <w:rFonts w:hint="eastAsia"/>
        </w:rPr>
        <w:t>覆盖</w:t>
      </w:r>
      <w:r w:rsidRPr="00FD50F6">
        <w:t>范围</w:t>
      </w:r>
      <w:r w:rsidRPr="00FD50F6">
        <w:rPr>
          <w:rFonts w:hint="eastAsia"/>
        </w:rPr>
        <w:t>应符合下列规定：</w:t>
      </w:r>
    </w:p>
    <w:p w14:paraId="24F86FBE" w14:textId="7CD3C53F" w:rsidR="00337748" w:rsidRPr="00FD50F6" w:rsidRDefault="00337748" w:rsidP="00A926BD">
      <w:pPr>
        <w:pStyle w:val="4"/>
      </w:pPr>
      <w:r w:rsidRPr="00FD50F6">
        <w:lastRenderedPageBreak/>
        <w:t>应在售检票大厅、乘客集散厅、上下行站台、自动扶梯、</w:t>
      </w:r>
      <w:r w:rsidRPr="00FD50F6">
        <w:rPr>
          <w:rFonts w:hint="eastAsia"/>
        </w:rPr>
        <w:t>垂直电梯、售票设施、乘客服务中心、票务室、设备区及办公区出入口及主要通道、闸机、车站出入口</w:t>
      </w:r>
      <w:r w:rsidRPr="00FD50F6">
        <w:t>及换乘通道等公共场所设置</w:t>
      </w:r>
      <w:r w:rsidRPr="00FD50F6">
        <w:rPr>
          <w:rFonts w:hint="eastAsia"/>
        </w:rPr>
        <w:t>摄像机，</w:t>
      </w:r>
      <w:r w:rsidRPr="00FD50F6">
        <w:t>在设备用房等场所可设置</w:t>
      </w:r>
      <w:r w:rsidRPr="00FD50F6">
        <w:rPr>
          <w:rFonts w:hint="eastAsia"/>
        </w:rPr>
        <w:t>摄像机；</w:t>
      </w:r>
    </w:p>
    <w:p w14:paraId="69E38138" w14:textId="77777777" w:rsidR="00337748" w:rsidRPr="00FD50F6" w:rsidRDefault="00337748" w:rsidP="00A926BD">
      <w:pPr>
        <w:pStyle w:val="4"/>
      </w:pPr>
      <w:r w:rsidRPr="00FD50F6">
        <w:rPr>
          <w:rFonts w:hint="eastAsia"/>
        </w:rPr>
        <w:t>车站公共</w:t>
      </w:r>
      <w:r w:rsidRPr="00FD50F6">
        <w:t>区域</w:t>
      </w:r>
      <w:r w:rsidRPr="00FD50F6">
        <w:rPr>
          <w:rFonts w:hint="eastAsia"/>
        </w:rPr>
        <w:t>摄像机</w:t>
      </w:r>
      <w:r w:rsidRPr="00FD50F6">
        <w:t>附近</w:t>
      </w:r>
      <w:r w:rsidRPr="00FD50F6">
        <w:rPr>
          <w:rFonts w:hint="eastAsia"/>
        </w:rPr>
        <w:t>可</w:t>
      </w:r>
      <w:r w:rsidRPr="00FD50F6">
        <w:t>设置拾音</w:t>
      </w:r>
      <w:r w:rsidRPr="00FD50F6">
        <w:rPr>
          <w:rFonts w:hint="eastAsia"/>
        </w:rPr>
        <w:t>装置；</w:t>
      </w:r>
    </w:p>
    <w:p w14:paraId="57E14032" w14:textId="19332674" w:rsidR="00337748" w:rsidRPr="00FD50F6" w:rsidRDefault="00337748" w:rsidP="00A926BD">
      <w:pPr>
        <w:pStyle w:val="4"/>
      </w:pPr>
      <w:r w:rsidRPr="00FD50F6">
        <w:rPr>
          <w:rFonts w:hint="eastAsia"/>
        </w:rPr>
        <w:t>在</w:t>
      </w:r>
      <w:r w:rsidRPr="00FD50F6">
        <w:t>车辆基地</w:t>
      </w:r>
      <w:r w:rsidRPr="00FD50F6">
        <w:rPr>
          <w:rFonts w:hint="eastAsia"/>
        </w:rPr>
        <w:t>的停车</w:t>
      </w:r>
      <w:r w:rsidRPr="00FD50F6">
        <w:t>、检修等区域</w:t>
      </w:r>
      <w:r w:rsidRPr="00FD50F6">
        <w:rPr>
          <w:rFonts w:hint="eastAsia"/>
        </w:rPr>
        <w:t>可设置摄像机；</w:t>
      </w:r>
    </w:p>
    <w:p w14:paraId="7768ABDB" w14:textId="77777777" w:rsidR="00337748" w:rsidRPr="00FD50F6" w:rsidRDefault="00337748" w:rsidP="00A926BD">
      <w:pPr>
        <w:pStyle w:val="4"/>
      </w:pPr>
      <w:r w:rsidRPr="00FD50F6">
        <w:rPr>
          <w:rFonts w:hint="eastAsia"/>
        </w:rPr>
        <w:t>在</w:t>
      </w:r>
      <w:r w:rsidRPr="00FD50F6">
        <w:t>列车</w:t>
      </w:r>
      <w:r w:rsidRPr="00FD50F6">
        <w:rPr>
          <w:rFonts w:hint="eastAsia"/>
        </w:rPr>
        <w:t>客室应设置摄像机，司机室可设置</w:t>
      </w:r>
      <w:r w:rsidRPr="00FD50F6">
        <w:t>摄像机</w:t>
      </w:r>
      <w:r w:rsidRPr="00FD50F6">
        <w:rPr>
          <w:rFonts w:hint="eastAsia"/>
        </w:rPr>
        <w:t>；</w:t>
      </w:r>
    </w:p>
    <w:p w14:paraId="0595EDC5" w14:textId="77777777" w:rsidR="00337748" w:rsidRPr="00FD50F6" w:rsidRDefault="00337748" w:rsidP="00A926BD">
      <w:pPr>
        <w:pStyle w:val="4"/>
      </w:pPr>
      <w:r w:rsidRPr="00FD50F6">
        <w:rPr>
          <w:rFonts w:hint="eastAsia"/>
        </w:rPr>
        <w:t>在</w:t>
      </w:r>
      <w:r w:rsidRPr="00FD50F6">
        <w:t>全自动驾驶</w:t>
      </w:r>
      <w:r w:rsidRPr="00FD50F6">
        <w:rPr>
          <w:rFonts w:hint="eastAsia"/>
        </w:rPr>
        <w:t>模式下</w:t>
      </w:r>
      <w:r w:rsidRPr="00FD50F6">
        <w:t>，</w:t>
      </w:r>
      <w:r w:rsidRPr="00FD50F6">
        <w:rPr>
          <w:rFonts w:hint="eastAsia"/>
        </w:rPr>
        <w:t>可在高架线路区间设置摄像机。</w:t>
      </w:r>
    </w:p>
    <w:p w14:paraId="63CF3FC2" w14:textId="77777777" w:rsidR="00337748" w:rsidRPr="00FD50F6" w:rsidRDefault="00337748" w:rsidP="00337748">
      <w:pPr>
        <w:pStyle w:val="30"/>
      </w:pPr>
      <w:r w:rsidRPr="00FD50F6">
        <w:t>视频监视系统的摄像机</w:t>
      </w:r>
      <w:r w:rsidRPr="00FD50F6">
        <w:rPr>
          <w:rFonts w:hint="eastAsia"/>
        </w:rPr>
        <w:t>宜采用</w:t>
      </w:r>
      <w:r w:rsidRPr="00FD50F6">
        <w:t>高清制式。</w:t>
      </w:r>
      <w:r w:rsidRPr="00FD50F6">
        <w:rPr>
          <w:rFonts w:hint="eastAsia"/>
        </w:rPr>
        <w:t>摄像机应适应现场环境最低照度或应急照度的要求，</w:t>
      </w:r>
      <w:r w:rsidRPr="00FD50F6">
        <w:t>室外摄像机应设全天候防护罩。</w:t>
      </w:r>
    </w:p>
    <w:p w14:paraId="20CDE13A" w14:textId="5657E8AD" w:rsidR="00337748" w:rsidRPr="00FD50F6" w:rsidRDefault="00337748" w:rsidP="00337748">
      <w:pPr>
        <w:pStyle w:val="30"/>
      </w:pPr>
      <w:r w:rsidRPr="00FD50F6">
        <w:t>视频监视系统应具备监视、控制优先级、循环显示、任意定格与锁闭、图像选择、不间断实时录像、摄像范围控制、字符叠加、远程电源控制等功能</w:t>
      </w:r>
      <w:r w:rsidRPr="00FD50F6">
        <w:rPr>
          <w:rFonts w:hint="eastAsia"/>
        </w:rPr>
        <w:t>，并可具备视频分析功能</w:t>
      </w:r>
      <w:r w:rsidRPr="00FD50F6">
        <w:t>。</w:t>
      </w:r>
    </w:p>
    <w:p w14:paraId="15462931" w14:textId="77777777" w:rsidR="00337748" w:rsidRPr="00FD50F6" w:rsidRDefault="00337748" w:rsidP="00337748">
      <w:pPr>
        <w:pStyle w:val="30"/>
      </w:pPr>
      <w:r w:rsidRPr="00FD50F6">
        <w:t>图像数字化编解码技术应采用标准通用的数字编码格式。</w:t>
      </w:r>
    </w:p>
    <w:p w14:paraId="3FA6FC57" w14:textId="0586198E" w:rsidR="00337748" w:rsidRPr="00FD50F6" w:rsidRDefault="00337748" w:rsidP="00337748">
      <w:pPr>
        <w:pStyle w:val="30"/>
      </w:pPr>
      <w:r w:rsidRPr="00FD50F6">
        <w:rPr>
          <w:rFonts w:hint="eastAsia"/>
        </w:rPr>
        <w:t>视频监视系统应满足公安反恐对视频监视的需要，视频录像保存时间不得少于</w:t>
      </w:r>
      <w:r w:rsidRPr="00FD50F6">
        <w:rPr>
          <w:rFonts w:hint="eastAsia"/>
        </w:rPr>
        <w:t>90d</w:t>
      </w:r>
      <w:r w:rsidRPr="00FD50F6">
        <w:rPr>
          <w:rFonts w:hint="eastAsia"/>
        </w:rPr>
        <w:t>。</w:t>
      </w:r>
    </w:p>
    <w:p w14:paraId="042B70A6" w14:textId="77777777" w:rsidR="00337748" w:rsidRPr="00FD50F6" w:rsidRDefault="00337748" w:rsidP="00A65181">
      <w:pPr>
        <w:pStyle w:val="2"/>
      </w:pPr>
      <w:bookmarkStart w:id="699" w:name="_Toc236494394"/>
      <w:bookmarkStart w:id="700" w:name="_Toc236726641"/>
      <w:bookmarkStart w:id="701" w:name="_Toc306206762"/>
      <w:bookmarkStart w:id="702" w:name="_Toc320196047"/>
      <w:bookmarkStart w:id="703" w:name="_Toc320643437"/>
      <w:bookmarkStart w:id="704" w:name="_Toc27244612"/>
      <w:bookmarkStart w:id="705" w:name="_Toc112830770"/>
      <w:r w:rsidRPr="00FD50F6">
        <w:t>广播系统</w:t>
      </w:r>
      <w:bookmarkEnd w:id="699"/>
      <w:bookmarkEnd w:id="700"/>
      <w:bookmarkEnd w:id="701"/>
      <w:bookmarkEnd w:id="702"/>
      <w:bookmarkEnd w:id="703"/>
      <w:bookmarkEnd w:id="704"/>
      <w:bookmarkEnd w:id="705"/>
    </w:p>
    <w:p w14:paraId="118D3805" w14:textId="001FFF36" w:rsidR="00337748" w:rsidRPr="00FD50F6" w:rsidRDefault="00337748" w:rsidP="00337748">
      <w:pPr>
        <w:pStyle w:val="30"/>
      </w:pPr>
      <w:r w:rsidRPr="00FD50F6">
        <w:t>广播系统应</w:t>
      </w:r>
      <w:r w:rsidRPr="00FD50F6">
        <w:rPr>
          <w:rFonts w:hint="eastAsia"/>
        </w:rPr>
        <w:t>满足</w:t>
      </w:r>
      <w:r w:rsidRPr="00FD50F6">
        <w:t>控制中心调度员和车站值班员向乘客通告列车运行及安全、向导、防灾等服务信息</w:t>
      </w:r>
      <w:r w:rsidRPr="00FD50F6">
        <w:rPr>
          <w:rFonts w:hint="eastAsia"/>
        </w:rPr>
        <w:t>需求</w:t>
      </w:r>
      <w:r w:rsidRPr="00FD50F6">
        <w:t>，并应</w:t>
      </w:r>
      <w:r w:rsidRPr="00FD50F6">
        <w:rPr>
          <w:rFonts w:hint="eastAsia"/>
        </w:rPr>
        <w:t>能</w:t>
      </w:r>
      <w:r w:rsidRPr="00FD50F6">
        <w:t>向工作人员发布作业命令和通知，发生灾害时可兼做</w:t>
      </w:r>
      <w:r w:rsidRPr="00FD50F6">
        <w:rPr>
          <w:rFonts w:hint="eastAsia"/>
        </w:rPr>
        <w:t>救灾</w:t>
      </w:r>
      <w:r w:rsidRPr="00FD50F6">
        <w:t>广播。</w:t>
      </w:r>
    </w:p>
    <w:p w14:paraId="71AAD5A1" w14:textId="77777777" w:rsidR="00337748" w:rsidRPr="00FD50F6" w:rsidRDefault="00337748" w:rsidP="00337748">
      <w:pPr>
        <w:pStyle w:val="30"/>
      </w:pPr>
      <w:r w:rsidRPr="00FD50F6">
        <w:t>广播系统应由正线运营广播系统、车辆基地广播系统组成。</w:t>
      </w:r>
    </w:p>
    <w:p w14:paraId="41D27C12" w14:textId="668E7270" w:rsidR="00337748" w:rsidRPr="00FD50F6" w:rsidRDefault="00337748" w:rsidP="00337748">
      <w:pPr>
        <w:pStyle w:val="30"/>
      </w:pPr>
      <w:r w:rsidRPr="00FD50F6">
        <w:rPr>
          <w:rFonts w:hint="eastAsia"/>
        </w:rPr>
        <w:t>正线运营广播系统宜与防灾广播系统宜统一设置。当统一设置时，系统应具有优先级处理功能，防灾广播应具有最高优先级。防灾广播的功能应符合现行国家标准《地铁设计防火标准》</w:t>
      </w:r>
      <w:r w:rsidRPr="00FD50F6">
        <w:t>GB 51298</w:t>
      </w:r>
      <w:r w:rsidRPr="00FD50F6">
        <w:t>的规定。</w:t>
      </w:r>
    </w:p>
    <w:p w14:paraId="42EE9EAC" w14:textId="77777777" w:rsidR="00337748" w:rsidRPr="00FD50F6" w:rsidRDefault="00337748" w:rsidP="00337748">
      <w:pPr>
        <w:pStyle w:val="30"/>
      </w:pPr>
      <w:r w:rsidRPr="00FD50F6">
        <w:t>正线运营广播系统在控制中心和车站均应设置行车广播控制台，</w:t>
      </w:r>
      <w:r w:rsidRPr="00FD50F6">
        <w:rPr>
          <w:rFonts w:hint="eastAsia"/>
        </w:rPr>
        <w:t>在和防灾广播系统统一设置时，还应设置防灾广播控制台；</w:t>
      </w:r>
      <w:r w:rsidRPr="00FD50F6">
        <w:t>控制中心广播控制台可对全线选站、选路广播，车站广播控制台可对本站管区内选路广播。</w:t>
      </w:r>
    </w:p>
    <w:p w14:paraId="574A080C" w14:textId="77777777" w:rsidR="00337748" w:rsidRPr="00FD50F6" w:rsidRDefault="00337748" w:rsidP="00337748">
      <w:pPr>
        <w:pStyle w:val="30"/>
      </w:pPr>
      <w:r w:rsidRPr="00FD50F6">
        <w:t>列车进站时车站可自动广播乘客导乘信息，列车进站信息宜由信号系统提供。</w:t>
      </w:r>
    </w:p>
    <w:p w14:paraId="4E238CD9" w14:textId="77777777" w:rsidR="00337748" w:rsidRPr="00FD50F6" w:rsidRDefault="00337748" w:rsidP="00337748">
      <w:pPr>
        <w:pStyle w:val="30"/>
      </w:pPr>
      <w:r w:rsidRPr="00FD50F6">
        <w:lastRenderedPageBreak/>
        <w:t>正线运营广播系统在车站站台宜设置供客运服务人员随时加入本站广播系统作定向广播的装置。</w:t>
      </w:r>
    </w:p>
    <w:p w14:paraId="44DF4E87" w14:textId="3C323500" w:rsidR="00337748" w:rsidRPr="00FD50F6" w:rsidRDefault="00337748" w:rsidP="00337748">
      <w:pPr>
        <w:pStyle w:val="30"/>
      </w:pPr>
      <w:r w:rsidRPr="00FD50F6">
        <w:rPr>
          <w:rFonts w:hint="eastAsia"/>
        </w:rPr>
        <w:t>当正线运营广播系统和防灾广播系统统一设置时，应统筹考虑负荷区的划分，</w:t>
      </w:r>
      <w:r w:rsidRPr="00FD50F6">
        <w:t>宜按站台层、站厅层、出入口通道、</w:t>
      </w:r>
      <w:r w:rsidRPr="00FD50F6">
        <w:rPr>
          <w:rFonts w:hint="eastAsia"/>
        </w:rPr>
        <w:t>换乘通道、</w:t>
      </w:r>
      <w:r w:rsidRPr="00FD50F6">
        <w:t>与行车直接有关的办公区域、区间等进行</w:t>
      </w:r>
      <w:r w:rsidRPr="00FD50F6">
        <w:rPr>
          <w:rFonts w:hint="eastAsia"/>
        </w:rPr>
        <w:t>负荷区</w:t>
      </w:r>
      <w:r w:rsidRPr="00FD50F6">
        <w:t>划分。负荷区各点的声场均匀度及混响指标应</w:t>
      </w:r>
      <w:r w:rsidRPr="00FD50F6">
        <w:rPr>
          <w:rFonts w:hint="eastAsia"/>
        </w:rPr>
        <w:t>满足</w:t>
      </w:r>
      <w:r w:rsidRPr="00FD50F6">
        <w:t>广播声音清晰、稳定</w:t>
      </w:r>
      <w:r w:rsidRPr="00FD50F6">
        <w:rPr>
          <w:rFonts w:hint="eastAsia"/>
        </w:rPr>
        <w:t>的需求</w:t>
      </w:r>
      <w:r w:rsidRPr="00FD50F6">
        <w:t>。</w:t>
      </w:r>
    </w:p>
    <w:p w14:paraId="45D467E3" w14:textId="77777777" w:rsidR="00337748" w:rsidRPr="00FD50F6" w:rsidRDefault="00337748" w:rsidP="00337748">
      <w:pPr>
        <w:pStyle w:val="30"/>
      </w:pPr>
      <w:r w:rsidRPr="00FD50F6">
        <w:t>车辆基地广播系统应能提供车辆基地内行车调度指挥人员向与行车直接有关的生产人员发布作业命令及有关安全信息等。车辆基地广播系统可接入运营广播系统。</w:t>
      </w:r>
    </w:p>
    <w:p w14:paraId="00A236F3" w14:textId="77777777" w:rsidR="00337748" w:rsidRPr="00FD50F6" w:rsidRDefault="00337748" w:rsidP="00337748">
      <w:pPr>
        <w:pStyle w:val="30"/>
      </w:pPr>
      <w:r w:rsidRPr="00FD50F6">
        <w:t>广播系统功放设备总容量应按所有广播负荷区额定功率总和及线路的衰耗确定。功率放大器应按</w:t>
      </w:r>
      <w:r w:rsidRPr="00FD50F6">
        <w:t>N</w:t>
      </w:r>
      <w:r w:rsidRPr="00FD50F6">
        <w:t>＋</w:t>
      </w:r>
      <w:r w:rsidRPr="00FD50F6">
        <w:t>1</w:t>
      </w:r>
      <w:r w:rsidRPr="00FD50F6">
        <w:t>的方式热备用，系统应有功放自动检测倒换功能。</w:t>
      </w:r>
    </w:p>
    <w:p w14:paraId="6A22C6B1" w14:textId="77777777" w:rsidR="00337748" w:rsidRPr="00FD50F6" w:rsidRDefault="00337748" w:rsidP="00337748">
      <w:pPr>
        <w:pStyle w:val="30"/>
      </w:pPr>
      <w:r w:rsidRPr="00FD50F6">
        <w:t>列车广播设备应与车辆配套设置。列车广播设备应兼有自动和人工播音方式，同时可接受控制中心调度员对运行列车中乘客的语音广播。</w:t>
      </w:r>
    </w:p>
    <w:p w14:paraId="532D59E7" w14:textId="77777777" w:rsidR="00337748" w:rsidRPr="00FD50F6" w:rsidRDefault="00337748" w:rsidP="00337748">
      <w:pPr>
        <w:pStyle w:val="30"/>
      </w:pPr>
      <w:r w:rsidRPr="00FD50F6">
        <w:rPr>
          <w:rFonts w:hint="eastAsia"/>
        </w:rPr>
        <w:t>防灾广播的功率传输线路不应与通信线缆或数据线缆共管或共槽。</w:t>
      </w:r>
    </w:p>
    <w:p w14:paraId="0DDEE3EA" w14:textId="77777777" w:rsidR="00337748" w:rsidRPr="00FD50F6" w:rsidRDefault="00337748" w:rsidP="00A65181">
      <w:pPr>
        <w:pStyle w:val="2"/>
      </w:pPr>
      <w:bookmarkStart w:id="706" w:name="_Toc236494395"/>
      <w:bookmarkStart w:id="707" w:name="_Toc236726642"/>
      <w:bookmarkStart w:id="708" w:name="_Toc306206763"/>
      <w:bookmarkStart w:id="709" w:name="_Toc320196048"/>
      <w:bookmarkStart w:id="710" w:name="_Toc320643438"/>
      <w:bookmarkStart w:id="711" w:name="_Toc27244613"/>
      <w:bookmarkStart w:id="712" w:name="_Toc112830771"/>
      <w:r w:rsidRPr="00FD50F6">
        <w:t>时钟系统</w:t>
      </w:r>
      <w:bookmarkEnd w:id="706"/>
      <w:bookmarkEnd w:id="707"/>
      <w:bookmarkEnd w:id="708"/>
      <w:bookmarkEnd w:id="709"/>
      <w:bookmarkEnd w:id="710"/>
      <w:bookmarkEnd w:id="711"/>
      <w:bookmarkEnd w:id="712"/>
    </w:p>
    <w:p w14:paraId="3ADA3830" w14:textId="77777777" w:rsidR="00337748" w:rsidRPr="00FD50F6" w:rsidRDefault="00337748" w:rsidP="00337748">
      <w:pPr>
        <w:pStyle w:val="30"/>
      </w:pPr>
      <w:r w:rsidRPr="00FD50F6">
        <w:t>时钟系统应为地铁运营提供统一的标准时间信息，并应为其他各系统提供统一的时间信号。时钟系统应由中心母钟（一级母钟）、车站和车辆基地母钟（二级母钟）、时间显示单元（子钟）组成。</w:t>
      </w:r>
    </w:p>
    <w:p w14:paraId="60AA5B68" w14:textId="04BD0EA7" w:rsidR="00337748" w:rsidRPr="00FD50F6" w:rsidRDefault="00337748" w:rsidP="00337748">
      <w:pPr>
        <w:pStyle w:val="30"/>
      </w:pPr>
      <w:r w:rsidRPr="00FD50F6">
        <w:t>控制中心宜设置一级母钟，一级母钟的设置宜满足多条线路的共享。各车站、车辆基地应设置二级母钟；中心调度室、</w:t>
      </w:r>
      <w:r w:rsidR="00AC1333">
        <w:t>车站控制室</w:t>
      </w:r>
      <w:r w:rsidRPr="00FD50F6">
        <w:t>、牵引变电所值班室、站厅</w:t>
      </w:r>
      <w:r w:rsidRPr="00FD50F6">
        <w:rPr>
          <w:rFonts w:hint="eastAsia"/>
        </w:rPr>
        <w:t>层</w:t>
      </w:r>
      <w:r w:rsidRPr="00FD50F6">
        <w:t>、站台层及其他与行车直接有关的办公室等处所应设置子钟。</w:t>
      </w:r>
    </w:p>
    <w:p w14:paraId="02819A0C" w14:textId="77777777" w:rsidR="00337748" w:rsidRPr="00FD50F6" w:rsidRDefault="00337748" w:rsidP="00337748">
      <w:pPr>
        <w:pStyle w:val="30"/>
      </w:pPr>
      <w:r w:rsidRPr="00FD50F6">
        <w:t>一级母钟应能接收外部全球卫星定位系统</w:t>
      </w:r>
      <w:r w:rsidRPr="00FD50F6">
        <w:rPr>
          <w:rFonts w:hint="eastAsia"/>
        </w:rPr>
        <w:t>（</w:t>
      </w:r>
      <w:r w:rsidRPr="00FD50F6">
        <w:t>GNSS</w:t>
      </w:r>
      <w:r w:rsidRPr="00FD50F6">
        <w:rPr>
          <w:rFonts w:hint="eastAsia"/>
        </w:rPr>
        <w:t>）</w:t>
      </w:r>
      <w:r w:rsidRPr="00FD50F6">
        <w:t>基准信号和同步系统提供的标准时间信号；一级母钟应定时向二级母钟发送时间编码信号用以校准；</w:t>
      </w:r>
      <w:r w:rsidRPr="00FD50F6">
        <w:rPr>
          <w:rFonts w:hint="eastAsia"/>
        </w:rPr>
        <w:t>一级母钟、</w:t>
      </w:r>
      <w:r w:rsidRPr="00FD50F6">
        <w:t>二级母钟产生</w:t>
      </w:r>
      <w:r w:rsidRPr="00FD50F6">
        <w:rPr>
          <w:rFonts w:hint="eastAsia"/>
        </w:rPr>
        <w:t>的</w:t>
      </w:r>
      <w:r w:rsidRPr="00FD50F6">
        <w:t>时间信号应提供给本站的子钟</w:t>
      </w:r>
      <w:r w:rsidRPr="00FD50F6">
        <w:rPr>
          <w:rFonts w:hint="eastAsia"/>
        </w:rPr>
        <w:t>；当一级母钟或传输通道发生故障时，二级母钟应仍可驱动子钟并告警。</w:t>
      </w:r>
    </w:p>
    <w:p w14:paraId="40FF7C1A" w14:textId="77777777" w:rsidR="00337748" w:rsidRPr="00FD50F6" w:rsidRDefault="00337748" w:rsidP="00337748">
      <w:pPr>
        <w:pStyle w:val="30"/>
      </w:pPr>
      <w:r w:rsidRPr="00FD50F6">
        <w:t>一级母钟自走时精度应在</w:t>
      </w:r>
      <w:r w:rsidRPr="00FD50F6">
        <w:t>10</w:t>
      </w:r>
      <w:r w:rsidRPr="00FD50F6">
        <w:rPr>
          <w:vertAlign w:val="superscript"/>
        </w:rPr>
        <w:t>-7</w:t>
      </w:r>
      <w:r w:rsidRPr="00FD50F6">
        <w:t>以上，二级母钟自走时精度应在</w:t>
      </w:r>
      <w:r w:rsidRPr="00FD50F6">
        <w:t>10</w:t>
      </w:r>
      <w:r w:rsidRPr="00FD50F6">
        <w:rPr>
          <w:vertAlign w:val="superscript"/>
        </w:rPr>
        <w:t>-6</w:t>
      </w:r>
      <w:r w:rsidRPr="00FD50F6">
        <w:t>以上。</w:t>
      </w:r>
    </w:p>
    <w:p w14:paraId="2448BEB3" w14:textId="77777777" w:rsidR="00337748" w:rsidRPr="00FD50F6" w:rsidRDefault="00337748" w:rsidP="00337748">
      <w:pPr>
        <w:pStyle w:val="30"/>
      </w:pPr>
      <w:r w:rsidRPr="00FD50F6">
        <w:t>一级母钟、二级母钟应配置多路输出接口，一级母钟应配置数据接口。</w:t>
      </w:r>
    </w:p>
    <w:p w14:paraId="15C8ADED" w14:textId="77777777" w:rsidR="00337748" w:rsidRPr="00FD50F6" w:rsidRDefault="00337748" w:rsidP="00337748">
      <w:pPr>
        <w:pStyle w:val="30"/>
      </w:pPr>
      <w:r w:rsidRPr="00FD50F6">
        <w:lastRenderedPageBreak/>
        <w:t>子钟可采用数字式和指针式及采用双面或单面显示。在设置乘客信息系统显示终端的站台、站厅等处，宜由乘客信息系统显示终端的时钟代替子钟功能。</w:t>
      </w:r>
    </w:p>
    <w:p w14:paraId="4EC508DB" w14:textId="77777777" w:rsidR="00337748" w:rsidRPr="00FD50F6" w:rsidRDefault="00337748" w:rsidP="00A65181">
      <w:pPr>
        <w:pStyle w:val="2"/>
      </w:pPr>
      <w:bookmarkStart w:id="713" w:name="_Toc236494396"/>
      <w:bookmarkStart w:id="714" w:name="_Toc236726643"/>
      <w:bookmarkStart w:id="715" w:name="_Toc306206764"/>
      <w:bookmarkStart w:id="716" w:name="_Toc320196049"/>
      <w:bookmarkStart w:id="717" w:name="_Toc320643439"/>
      <w:bookmarkStart w:id="718" w:name="_Toc27244614"/>
      <w:bookmarkStart w:id="719" w:name="_Toc112830772"/>
      <w:r w:rsidRPr="00FD50F6">
        <w:t>办公自动化系统</w:t>
      </w:r>
      <w:bookmarkEnd w:id="713"/>
      <w:bookmarkEnd w:id="714"/>
      <w:bookmarkEnd w:id="715"/>
      <w:bookmarkEnd w:id="716"/>
      <w:bookmarkEnd w:id="717"/>
      <w:bookmarkEnd w:id="718"/>
      <w:bookmarkEnd w:id="719"/>
    </w:p>
    <w:p w14:paraId="77F19664" w14:textId="77777777" w:rsidR="00337748" w:rsidRPr="00FD50F6" w:rsidRDefault="00337748" w:rsidP="00337748">
      <w:pPr>
        <w:pStyle w:val="30"/>
      </w:pPr>
      <w:r w:rsidRPr="00FD50F6">
        <w:t>办公自动化系统应为地铁运营和管理提供电子办公、信息发布、日常运作和管理、资源管理、人员交流的信息平台。</w:t>
      </w:r>
    </w:p>
    <w:p w14:paraId="0A237C8F" w14:textId="77777777" w:rsidR="00337748" w:rsidRPr="00FD50F6" w:rsidRDefault="00337748" w:rsidP="00337748">
      <w:pPr>
        <w:pStyle w:val="30"/>
      </w:pPr>
      <w:r w:rsidRPr="00FD50F6">
        <w:t>办公自动化软件平台建设宜根据运营单位的需求，统一规划和实施。</w:t>
      </w:r>
    </w:p>
    <w:p w14:paraId="0E6E21BD" w14:textId="77777777" w:rsidR="00337748" w:rsidRPr="00FD50F6" w:rsidRDefault="00337748" w:rsidP="00337748">
      <w:pPr>
        <w:pStyle w:val="30"/>
      </w:pPr>
      <w:r w:rsidRPr="00FD50F6">
        <w:t>办公自动化系统可在各线路控制中心、车站、车辆基地设置数据网络设备，在与地铁运营相关办公场所应设置用户终端设备。</w:t>
      </w:r>
    </w:p>
    <w:p w14:paraId="32111472" w14:textId="383B4907" w:rsidR="00337748" w:rsidRPr="00FD50F6" w:rsidRDefault="00337748" w:rsidP="00337748">
      <w:pPr>
        <w:pStyle w:val="30"/>
      </w:pPr>
      <w:r w:rsidRPr="00FD50F6">
        <w:t>办公自动化系统宜利用传输系统</w:t>
      </w:r>
      <w:r w:rsidRPr="00FD50F6">
        <w:rPr>
          <w:rFonts w:hint="eastAsia"/>
        </w:rPr>
        <w:t>提供的通道或光纤组网</w:t>
      </w:r>
      <w:r w:rsidRPr="00FD50F6">
        <w:t>，用户终端设备可</w:t>
      </w:r>
      <w:r w:rsidRPr="00FD50F6">
        <w:rPr>
          <w:rFonts w:hint="eastAsia"/>
        </w:rPr>
        <w:t>采用有线、无线或混合方式连接。</w:t>
      </w:r>
    </w:p>
    <w:p w14:paraId="544A2983" w14:textId="77777777" w:rsidR="00337748" w:rsidRPr="00FD50F6" w:rsidRDefault="00337748" w:rsidP="00337748">
      <w:pPr>
        <w:pStyle w:val="30"/>
      </w:pPr>
      <w:r w:rsidRPr="00FD50F6">
        <w:t>办公自动化系统应设置完善的网络安全措施。</w:t>
      </w:r>
    </w:p>
    <w:p w14:paraId="3C276719" w14:textId="77777777" w:rsidR="00337748" w:rsidRPr="00FD50F6" w:rsidRDefault="00337748" w:rsidP="00A65181">
      <w:pPr>
        <w:pStyle w:val="2"/>
      </w:pPr>
      <w:bookmarkStart w:id="720" w:name="_Toc236494397"/>
      <w:bookmarkStart w:id="721" w:name="_Toc236726644"/>
      <w:bookmarkStart w:id="722" w:name="_Toc306206765"/>
      <w:bookmarkStart w:id="723" w:name="_Toc320196050"/>
      <w:bookmarkStart w:id="724" w:name="_Toc320643440"/>
      <w:bookmarkStart w:id="725" w:name="_Toc27244615"/>
      <w:bookmarkStart w:id="726" w:name="_Toc112830773"/>
      <w:r w:rsidRPr="00FD50F6">
        <w:t>电源系统及接地</w:t>
      </w:r>
      <w:bookmarkEnd w:id="720"/>
      <w:bookmarkEnd w:id="721"/>
      <w:bookmarkEnd w:id="722"/>
      <w:bookmarkEnd w:id="723"/>
      <w:bookmarkEnd w:id="724"/>
      <w:bookmarkEnd w:id="725"/>
      <w:bookmarkEnd w:id="726"/>
    </w:p>
    <w:p w14:paraId="4EAB021F" w14:textId="5E5F0712" w:rsidR="00337748" w:rsidRPr="00FD50F6" w:rsidRDefault="00337748" w:rsidP="00337748">
      <w:pPr>
        <w:pStyle w:val="30"/>
      </w:pPr>
      <w:r w:rsidRPr="00FD50F6">
        <w:t>电源系统应</w:t>
      </w:r>
      <w:r w:rsidRPr="00FD50F6">
        <w:rPr>
          <w:rFonts w:hint="eastAsia"/>
        </w:rPr>
        <w:t>能</w:t>
      </w:r>
      <w:r w:rsidRPr="00FD50F6">
        <w:t>对通信设备不间断、无瞬变地供电。通信电源设备应满足通信设备对电源的要求。</w:t>
      </w:r>
    </w:p>
    <w:p w14:paraId="117D4983" w14:textId="7E9F1F9E" w:rsidR="00337748" w:rsidRPr="00FD50F6" w:rsidRDefault="00337748" w:rsidP="00337748">
      <w:pPr>
        <w:pStyle w:val="30"/>
      </w:pPr>
      <w:r w:rsidRPr="00FD50F6">
        <w:t>通信电源系统可按独立的电源设备设置</w:t>
      </w:r>
      <w:r w:rsidRPr="001A4CF3">
        <w:rPr>
          <w:rFonts w:ascii="宋体" w:hAnsi="宋体"/>
        </w:rPr>
        <w:t>,</w:t>
      </w:r>
      <w:r w:rsidRPr="00FD50F6">
        <w:t>也可纳入综合电源系统。通信电源系统应具有集中监控管理功能。</w:t>
      </w:r>
    </w:p>
    <w:p w14:paraId="0E79EFCC" w14:textId="77777777" w:rsidR="00337748" w:rsidRPr="00FD50F6" w:rsidRDefault="00337748" w:rsidP="00337748">
      <w:pPr>
        <w:pStyle w:val="30"/>
      </w:pPr>
      <w:r w:rsidRPr="00FD50F6">
        <w:rPr>
          <w:rFonts w:hint="eastAsia"/>
        </w:rPr>
        <w:t>通信设备应按一级负荷供电，两路电的切换宜由通信电源设备完成，切换信息应纳入集中监控。</w:t>
      </w:r>
    </w:p>
    <w:p w14:paraId="76F12A57" w14:textId="105AF6A2" w:rsidR="00337748" w:rsidRPr="00FD50F6" w:rsidRDefault="00337748" w:rsidP="00337748">
      <w:pPr>
        <w:pStyle w:val="30"/>
      </w:pPr>
      <w:r w:rsidRPr="00FD50F6">
        <w:rPr>
          <w:rFonts w:hint="eastAsia"/>
        </w:rPr>
        <w:t>在抗震设防烈度</w:t>
      </w:r>
      <w:r w:rsidRPr="00FD50F6">
        <w:rPr>
          <w:rFonts w:hint="eastAsia"/>
        </w:rPr>
        <w:t>7</w:t>
      </w:r>
      <w:r w:rsidRPr="00FD50F6">
        <w:rPr>
          <w:rFonts w:hint="eastAsia"/>
        </w:rPr>
        <w:t>度及以上地区，通信系统的电源设备必须满足抗震设防要求。</w:t>
      </w:r>
    </w:p>
    <w:p w14:paraId="1CF24584" w14:textId="0CB45542" w:rsidR="00337748" w:rsidRPr="00FD50F6" w:rsidRDefault="00337748" w:rsidP="00337748">
      <w:pPr>
        <w:pStyle w:val="30"/>
      </w:pPr>
      <w:r w:rsidRPr="00FD50F6">
        <w:t>直流供电的通信设备宜采用高频开关电源方式集中供电。直流电源基础电压应为</w:t>
      </w:r>
      <w:r w:rsidRPr="00FD50F6">
        <w:t>-48V</w:t>
      </w:r>
      <w:r w:rsidRPr="00FD50F6">
        <w:t>，其他种类的直流电源电压可通过直流变换器供电。</w:t>
      </w:r>
    </w:p>
    <w:p w14:paraId="1561A0D0" w14:textId="7D37857D" w:rsidR="00337748" w:rsidRPr="00FD50F6" w:rsidRDefault="00337748" w:rsidP="00337748">
      <w:pPr>
        <w:pStyle w:val="30"/>
      </w:pPr>
      <w:r w:rsidRPr="00FD50F6">
        <w:t>交流供电的通信设备宜采用交流不间断电源方式集中供电。</w:t>
      </w:r>
    </w:p>
    <w:p w14:paraId="5D630674" w14:textId="5608F54F" w:rsidR="00337748" w:rsidRPr="00FD50F6" w:rsidRDefault="00337748" w:rsidP="00337748">
      <w:pPr>
        <w:pStyle w:val="30"/>
      </w:pPr>
      <w:r w:rsidRPr="00FD50F6">
        <w:t>电源设备容量配置应符合下列</w:t>
      </w:r>
      <w:r w:rsidRPr="00FD50F6">
        <w:rPr>
          <w:rFonts w:hint="eastAsia"/>
        </w:rPr>
        <w:t>规定</w:t>
      </w:r>
      <w:r w:rsidRPr="00FD50F6">
        <w:t>：</w:t>
      </w:r>
    </w:p>
    <w:p w14:paraId="3AFB8781" w14:textId="30B7BCEE" w:rsidR="00337748" w:rsidRPr="00FD50F6" w:rsidRDefault="00337748" w:rsidP="00A926BD">
      <w:pPr>
        <w:pStyle w:val="4"/>
      </w:pPr>
      <w:r w:rsidRPr="00FD50F6">
        <w:t>直流、交流配电设备的容量应按远期负荷配置</w:t>
      </w:r>
      <w:r w:rsidRPr="00FD50F6">
        <w:rPr>
          <w:rFonts w:hint="eastAsia"/>
        </w:rPr>
        <w:t>。</w:t>
      </w:r>
    </w:p>
    <w:p w14:paraId="5E8A20E6" w14:textId="13D7B926" w:rsidR="00337748" w:rsidRPr="00FD50F6" w:rsidRDefault="00337748" w:rsidP="00A926BD">
      <w:pPr>
        <w:pStyle w:val="4"/>
      </w:pPr>
      <w:r w:rsidRPr="00FD50F6">
        <w:t>高频开关电源、不间断电源的容量应按近期配置</w:t>
      </w:r>
      <w:r w:rsidRPr="00FD50F6">
        <w:rPr>
          <w:rFonts w:hint="eastAsia"/>
        </w:rPr>
        <w:t>。</w:t>
      </w:r>
    </w:p>
    <w:p w14:paraId="741D0ADE" w14:textId="1050638B" w:rsidR="00337748" w:rsidRPr="00FD50F6" w:rsidRDefault="00337748" w:rsidP="00A926BD">
      <w:pPr>
        <w:pStyle w:val="4"/>
      </w:pPr>
      <w:r w:rsidRPr="00FD50F6">
        <w:lastRenderedPageBreak/>
        <w:t>蓄电池组的容量应按近期负荷配置，</w:t>
      </w:r>
      <w:r w:rsidRPr="00FD50F6">
        <w:rPr>
          <w:rFonts w:hint="eastAsia"/>
        </w:rPr>
        <w:t>且</w:t>
      </w:r>
      <w:r w:rsidRPr="00FD50F6">
        <w:t>连续供电</w:t>
      </w:r>
      <w:r w:rsidRPr="00FD50F6">
        <w:rPr>
          <w:rFonts w:hint="eastAsia"/>
        </w:rPr>
        <w:t>不应</w:t>
      </w:r>
      <w:r w:rsidRPr="00FD50F6">
        <w:t>少于</w:t>
      </w:r>
      <w:r w:rsidRPr="00FD50F6">
        <w:t>2h</w:t>
      </w:r>
      <w:r w:rsidRPr="00FD50F6">
        <w:rPr>
          <w:rFonts w:hint="eastAsia"/>
        </w:rPr>
        <w:t>。</w:t>
      </w:r>
    </w:p>
    <w:p w14:paraId="1936D565" w14:textId="75804D7B" w:rsidR="00337748" w:rsidRPr="00FD50F6" w:rsidRDefault="00337748" w:rsidP="00A926BD">
      <w:pPr>
        <w:pStyle w:val="4"/>
      </w:pPr>
      <w:r w:rsidRPr="00FD50F6">
        <w:t>直流供电设备蓄电池宜设置两组并联，每组容量应为总容量的</w:t>
      </w:r>
      <w:r w:rsidRPr="00FD50F6">
        <w:t>1/2</w:t>
      </w:r>
      <w:r w:rsidRPr="00FD50F6">
        <w:t>。交流不间断电源设备的蓄电池宜设一组</w:t>
      </w:r>
      <w:r w:rsidRPr="00FD50F6">
        <w:rPr>
          <w:rFonts w:hint="eastAsia"/>
        </w:rPr>
        <w:t>，当容量不足时可并联，蓄电池组的并联组数不应超过四组。</w:t>
      </w:r>
    </w:p>
    <w:p w14:paraId="67A54926" w14:textId="0BF0D352" w:rsidR="00337748" w:rsidRPr="00FD50F6" w:rsidRDefault="00337748" w:rsidP="00A926BD">
      <w:pPr>
        <w:pStyle w:val="4"/>
      </w:pPr>
      <w:r w:rsidRPr="00FD50F6">
        <w:rPr>
          <w:rFonts w:hint="eastAsia"/>
        </w:rPr>
        <w:t>当蓄电池组并联使用时，并联蓄电池组的型号、容量应相同，生产时期应相近。</w:t>
      </w:r>
    </w:p>
    <w:p w14:paraId="4AF41F41" w14:textId="42C9288A" w:rsidR="00337748" w:rsidRPr="00FD50F6" w:rsidRDefault="00337748" w:rsidP="00337748">
      <w:pPr>
        <w:pStyle w:val="30"/>
      </w:pPr>
      <w:r w:rsidRPr="00FD50F6">
        <w:t>通信设备的接地系统设计应满足人身安全和通信设备的正常运行要求。</w:t>
      </w:r>
    </w:p>
    <w:p w14:paraId="125FE266" w14:textId="77777777" w:rsidR="00337748" w:rsidRPr="00FD50F6" w:rsidRDefault="00337748" w:rsidP="00337748">
      <w:pPr>
        <w:pStyle w:val="30"/>
      </w:pPr>
      <w:r w:rsidRPr="00FD50F6">
        <w:t>地铁车站、控制中心与车辆基地宜采用综合接地方式，车辆基地也可采用分设接地方式。</w:t>
      </w:r>
    </w:p>
    <w:p w14:paraId="037D181C" w14:textId="77777777" w:rsidR="00337748" w:rsidRPr="00FD50F6" w:rsidRDefault="00337748" w:rsidP="00337748">
      <w:pPr>
        <w:pStyle w:val="30"/>
      </w:pPr>
      <w:r w:rsidRPr="00FD50F6">
        <w:t>室外综合接地体电阻值不应大于</w:t>
      </w:r>
      <w:r w:rsidRPr="00FD50F6">
        <w:t>1Ω</w:t>
      </w:r>
      <w:r w:rsidRPr="00FD50F6">
        <w:t>。</w:t>
      </w:r>
      <w:r w:rsidRPr="00FD50F6">
        <w:rPr>
          <w:rFonts w:hint="eastAsia"/>
        </w:rPr>
        <w:t>当通信设备独立设置接地装置时，接地电阻值不应大于</w:t>
      </w:r>
      <w:r w:rsidRPr="00FD50F6">
        <w:t>4Ω</w:t>
      </w:r>
      <w:r w:rsidRPr="00FD50F6">
        <w:t>，困难时不应大于</w:t>
      </w:r>
      <w:r w:rsidRPr="00FD50F6">
        <w:t>10Ω</w:t>
      </w:r>
      <w:r w:rsidRPr="00FD50F6">
        <w:rPr>
          <w:rFonts w:hint="eastAsia"/>
        </w:rPr>
        <w:t>。</w:t>
      </w:r>
    </w:p>
    <w:p w14:paraId="71128E5C" w14:textId="77777777" w:rsidR="00337748" w:rsidRPr="00FD50F6" w:rsidRDefault="00337748" w:rsidP="00A65181">
      <w:pPr>
        <w:pStyle w:val="2"/>
      </w:pPr>
      <w:bookmarkStart w:id="727" w:name="_Toc236494398"/>
      <w:bookmarkStart w:id="728" w:name="_Toc236726645"/>
      <w:bookmarkStart w:id="729" w:name="_Toc306206766"/>
      <w:bookmarkStart w:id="730" w:name="_Toc320196051"/>
      <w:bookmarkStart w:id="731" w:name="_Toc320643441"/>
      <w:bookmarkStart w:id="732" w:name="_Toc27244616"/>
      <w:bookmarkStart w:id="733" w:name="_Toc112830774"/>
      <w:r w:rsidRPr="00FD50F6">
        <w:t>集中告警系统</w:t>
      </w:r>
      <w:bookmarkEnd w:id="727"/>
      <w:bookmarkEnd w:id="728"/>
      <w:bookmarkEnd w:id="729"/>
      <w:bookmarkEnd w:id="730"/>
      <w:bookmarkEnd w:id="731"/>
      <w:bookmarkEnd w:id="732"/>
      <w:bookmarkEnd w:id="733"/>
    </w:p>
    <w:p w14:paraId="6FEC555B" w14:textId="77777777" w:rsidR="00337748" w:rsidRPr="00FD50F6" w:rsidRDefault="00337748" w:rsidP="00337748">
      <w:pPr>
        <w:pStyle w:val="30"/>
      </w:pPr>
      <w:r w:rsidRPr="00FD50F6">
        <w:t>专用通信系统宜设置集中告警系统。</w:t>
      </w:r>
    </w:p>
    <w:p w14:paraId="589380AA" w14:textId="77777777" w:rsidR="00337748" w:rsidRPr="00FD50F6" w:rsidRDefault="00337748" w:rsidP="00337748">
      <w:pPr>
        <w:pStyle w:val="30"/>
      </w:pPr>
      <w:r w:rsidRPr="00FD50F6">
        <w:t>集中告警系统设备宜设置于控制中心或维护中心，并可实现故障监测、安全管理等功能。</w:t>
      </w:r>
    </w:p>
    <w:p w14:paraId="2DBBD64C" w14:textId="77777777" w:rsidR="00337748" w:rsidRPr="00FD50F6" w:rsidRDefault="00337748" w:rsidP="00337748">
      <w:pPr>
        <w:pStyle w:val="30"/>
      </w:pPr>
      <w:r w:rsidRPr="00FD50F6">
        <w:t>集中告警系统与通信各子系统的网络管理系统间应采用标准、通用的硬件接口和通信协议。</w:t>
      </w:r>
    </w:p>
    <w:p w14:paraId="1A18E19A" w14:textId="3A24FC91" w:rsidR="00337748" w:rsidRPr="00FD50F6" w:rsidRDefault="00337748" w:rsidP="00337748">
      <w:pPr>
        <w:pStyle w:val="30"/>
      </w:pPr>
      <w:r w:rsidRPr="00FD50F6">
        <w:t>集中告警系统应利用通信各子系统具有的自诊断功能采集通信各子系统的设备故障信息，并应进行记录和告警。</w:t>
      </w:r>
    </w:p>
    <w:p w14:paraId="47938911" w14:textId="77777777" w:rsidR="00337748" w:rsidRPr="00FD50F6" w:rsidRDefault="00337748" w:rsidP="00A65181">
      <w:pPr>
        <w:pStyle w:val="2"/>
      </w:pPr>
      <w:bookmarkStart w:id="734" w:name="_Toc236494399"/>
      <w:bookmarkStart w:id="735" w:name="_Toc236726646"/>
      <w:bookmarkStart w:id="736" w:name="_Toc306206767"/>
      <w:bookmarkStart w:id="737" w:name="_Toc320196052"/>
      <w:bookmarkStart w:id="738" w:name="_Toc320643442"/>
      <w:bookmarkStart w:id="739" w:name="_Toc27244617"/>
      <w:bookmarkStart w:id="740" w:name="_Toc112830775"/>
      <w:r w:rsidRPr="00FD50F6">
        <w:t>民用通信引入系统</w:t>
      </w:r>
      <w:bookmarkEnd w:id="734"/>
      <w:bookmarkEnd w:id="735"/>
      <w:bookmarkEnd w:id="736"/>
      <w:bookmarkEnd w:id="737"/>
      <w:bookmarkEnd w:id="738"/>
      <w:bookmarkEnd w:id="739"/>
      <w:bookmarkEnd w:id="740"/>
    </w:p>
    <w:p w14:paraId="01FE2CE4" w14:textId="77777777" w:rsidR="00337748" w:rsidRPr="00FD50F6" w:rsidRDefault="00337748" w:rsidP="00337748">
      <w:pPr>
        <w:pStyle w:val="30"/>
      </w:pPr>
      <w:r w:rsidRPr="00FD50F6">
        <w:t>地铁民用通信引入系统宜由民用传输系统、移动通信引入系统、民用电源系统等组成。</w:t>
      </w:r>
    </w:p>
    <w:p w14:paraId="0F0CE6E5" w14:textId="77777777" w:rsidR="00337748" w:rsidRPr="00FD50F6" w:rsidRDefault="00337748" w:rsidP="00337748">
      <w:pPr>
        <w:pStyle w:val="30"/>
      </w:pPr>
      <w:r w:rsidRPr="00FD50F6">
        <w:rPr>
          <w:rFonts w:hint="eastAsia"/>
        </w:rPr>
        <w:t>民用</w:t>
      </w:r>
      <w:r w:rsidRPr="00FD50F6">
        <w:t>传输系统</w:t>
      </w:r>
      <w:r w:rsidRPr="00FD50F6">
        <w:rPr>
          <w:rFonts w:hint="eastAsia"/>
        </w:rPr>
        <w:t>宜</w:t>
      </w:r>
      <w:r w:rsidRPr="00FD50F6">
        <w:t>为移动通信引入</w:t>
      </w:r>
      <w:r w:rsidRPr="00FD50F6">
        <w:rPr>
          <w:rFonts w:hint="eastAsia"/>
        </w:rPr>
        <w:t>等</w:t>
      </w:r>
      <w:r w:rsidRPr="00FD50F6">
        <w:t>提供传输通道。</w:t>
      </w:r>
    </w:p>
    <w:p w14:paraId="7D029E48" w14:textId="77777777" w:rsidR="00337748" w:rsidRPr="00FD50F6" w:rsidRDefault="00337748" w:rsidP="00337748">
      <w:pPr>
        <w:pStyle w:val="30"/>
      </w:pPr>
      <w:r w:rsidRPr="00FD50F6">
        <w:t>移动通信引入系统</w:t>
      </w:r>
      <w:r w:rsidRPr="00FD50F6">
        <w:rPr>
          <w:rFonts w:hint="eastAsia"/>
        </w:rPr>
        <w:t>可</w:t>
      </w:r>
      <w:r w:rsidRPr="00FD50F6">
        <w:t>为多种民用无线信号合路及分配网络，可提供和预留不同制式的射频信号合路，并</w:t>
      </w:r>
      <w:r w:rsidRPr="00FD50F6">
        <w:rPr>
          <w:rFonts w:hint="eastAsia"/>
        </w:rPr>
        <w:t>可</w:t>
      </w:r>
      <w:r w:rsidRPr="00FD50F6">
        <w:t>通过天馈方式和漏缆方式将信号覆盖于地下车站和隧道空间。</w:t>
      </w:r>
    </w:p>
    <w:p w14:paraId="687F1EC0" w14:textId="77777777" w:rsidR="00337748" w:rsidRPr="00FD50F6" w:rsidRDefault="00337748" w:rsidP="00337748">
      <w:pPr>
        <w:pStyle w:val="30"/>
      </w:pPr>
      <w:r w:rsidRPr="00FD50F6">
        <w:rPr>
          <w:rFonts w:hint="eastAsia"/>
        </w:rPr>
        <w:t>移动通信引入系统应采用频率隔离等方式避免对专用通信系统的干扰。</w:t>
      </w:r>
    </w:p>
    <w:p w14:paraId="6FCB897C" w14:textId="37FA16A0" w:rsidR="00337748" w:rsidRPr="00FD50F6" w:rsidRDefault="00337748" w:rsidP="00337748">
      <w:pPr>
        <w:pStyle w:val="30"/>
      </w:pPr>
      <w:r w:rsidRPr="00FD50F6">
        <w:lastRenderedPageBreak/>
        <w:t>民用电源系统应满足民用传输系统、移动通信引入系统等设备的供电需求。</w:t>
      </w:r>
    </w:p>
    <w:p w14:paraId="6E663CCD" w14:textId="1042CAB3" w:rsidR="00337748" w:rsidRPr="00FD50F6" w:rsidRDefault="00337748" w:rsidP="00337748">
      <w:pPr>
        <w:pStyle w:val="30"/>
      </w:pPr>
      <w:r w:rsidRPr="00FD50F6">
        <w:t>地铁应为民用通信系统预留站外光电缆引入到站内机房的条件，并应预留站内线缆和设备的布设条件</w:t>
      </w:r>
      <w:r w:rsidRPr="00FD50F6">
        <w:rPr>
          <w:rFonts w:hint="eastAsia"/>
        </w:rPr>
        <w:t>及供电条件</w:t>
      </w:r>
      <w:r w:rsidRPr="00FD50F6">
        <w:t>。</w:t>
      </w:r>
    </w:p>
    <w:p w14:paraId="63376DE5" w14:textId="32F0ED97" w:rsidR="00337748" w:rsidRPr="00FD50F6" w:rsidRDefault="00337748" w:rsidP="00337748">
      <w:pPr>
        <w:pStyle w:val="30"/>
      </w:pPr>
      <w:r w:rsidRPr="00FD50F6">
        <w:rPr>
          <w:rFonts w:hint="eastAsia"/>
        </w:rPr>
        <w:t>民用通信系统采用的光缆、电缆应符合</w:t>
      </w:r>
      <w:r w:rsidR="009E1A4A">
        <w:rPr>
          <w:rFonts w:hint="eastAsia"/>
        </w:rPr>
        <w:t>本标准第</w:t>
      </w:r>
      <w:r w:rsidR="00232AC3" w:rsidRPr="00FD50F6">
        <w:rPr>
          <w:rFonts w:hint="eastAsia"/>
        </w:rPr>
        <w:t>1</w:t>
      </w:r>
      <w:r w:rsidR="00232AC3" w:rsidRPr="00FD50F6">
        <w:t>7</w:t>
      </w:r>
      <w:r w:rsidRPr="00FD50F6">
        <w:t>.2.11</w:t>
      </w:r>
      <w:r w:rsidR="009E1A4A">
        <w:rPr>
          <w:rFonts w:hint="eastAsia"/>
        </w:rPr>
        <w:t>~</w:t>
      </w:r>
      <w:r w:rsidR="00232AC3" w:rsidRPr="00FD50F6">
        <w:rPr>
          <w:rFonts w:hint="eastAsia"/>
        </w:rPr>
        <w:t>1</w:t>
      </w:r>
      <w:r w:rsidR="00232AC3" w:rsidRPr="00FD50F6">
        <w:t>7</w:t>
      </w:r>
      <w:r w:rsidRPr="00FD50F6">
        <w:rPr>
          <w:rFonts w:hint="eastAsia"/>
        </w:rPr>
        <w:t>.</w:t>
      </w:r>
      <w:r w:rsidRPr="00FD50F6">
        <w:t>2</w:t>
      </w:r>
      <w:r w:rsidRPr="00FD50F6">
        <w:rPr>
          <w:rFonts w:hint="eastAsia"/>
        </w:rPr>
        <w:t>.12</w:t>
      </w:r>
      <w:r w:rsidRPr="00FD50F6">
        <w:rPr>
          <w:rFonts w:hint="eastAsia"/>
        </w:rPr>
        <w:t>的规定。</w:t>
      </w:r>
    </w:p>
    <w:p w14:paraId="607FD9E8" w14:textId="77777777" w:rsidR="00337748" w:rsidRPr="00FD50F6" w:rsidRDefault="00337748" w:rsidP="00A65181">
      <w:pPr>
        <w:pStyle w:val="2"/>
      </w:pPr>
      <w:bookmarkStart w:id="741" w:name="_Toc236494400"/>
      <w:bookmarkStart w:id="742" w:name="_Toc236726647"/>
      <w:bookmarkStart w:id="743" w:name="_Toc306206768"/>
      <w:bookmarkStart w:id="744" w:name="_Toc320196053"/>
      <w:bookmarkStart w:id="745" w:name="_Toc320643443"/>
      <w:bookmarkStart w:id="746" w:name="_Toc27244618"/>
      <w:bookmarkStart w:id="747" w:name="_Toc112830776"/>
      <w:r w:rsidRPr="00FD50F6">
        <w:t>公安通信系统</w:t>
      </w:r>
      <w:bookmarkEnd w:id="741"/>
      <w:bookmarkEnd w:id="742"/>
      <w:bookmarkEnd w:id="743"/>
      <w:bookmarkEnd w:id="744"/>
      <w:bookmarkEnd w:id="745"/>
      <w:bookmarkEnd w:id="746"/>
      <w:bookmarkEnd w:id="747"/>
    </w:p>
    <w:p w14:paraId="23D792D1" w14:textId="77777777" w:rsidR="00337748" w:rsidRPr="00FD50F6" w:rsidRDefault="00337748" w:rsidP="00337748">
      <w:pPr>
        <w:pStyle w:val="30"/>
      </w:pPr>
      <w:r w:rsidRPr="00FD50F6">
        <w:t>地铁公安通信系统宜由公安视频监视系统、公安无线通信引入系统、公安数据网络、</w:t>
      </w:r>
      <w:r w:rsidRPr="00FD50F6">
        <w:rPr>
          <w:rFonts w:hint="eastAsia"/>
        </w:rPr>
        <w:t>公安传输系统及</w:t>
      </w:r>
      <w:r w:rsidRPr="00FD50F6">
        <w:t>公安电源系统等组成。</w:t>
      </w:r>
    </w:p>
    <w:p w14:paraId="2028273B" w14:textId="77777777" w:rsidR="00337748" w:rsidRPr="00FD50F6" w:rsidRDefault="00337748" w:rsidP="00337748">
      <w:pPr>
        <w:pStyle w:val="30"/>
      </w:pPr>
      <w:r w:rsidRPr="00FD50F6">
        <w:t>公安视频监视系统应满足公安部门对车站范围监视的需要，可在地铁公安分局、地铁派出所及车站公安值班室进行监视。当有条件时，公安视频监视系统可与专用通信视频监视系统合设。</w:t>
      </w:r>
    </w:p>
    <w:p w14:paraId="3F75CAF7" w14:textId="77777777" w:rsidR="00337748" w:rsidRPr="00FD50F6" w:rsidRDefault="00337748" w:rsidP="00337748">
      <w:pPr>
        <w:pStyle w:val="30"/>
      </w:pPr>
      <w:r w:rsidRPr="00FD50F6">
        <w:t>公安无线通信引入系统应覆盖地铁范围内地下车站及隧道空间。</w:t>
      </w:r>
    </w:p>
    <w:p w14:paraId="24F838FA" w14:textId="53686A62" w:rsidR="00337748" w:rsidRPr="00FD50F6" w:rsidRDefault="00337748" w:rsidP="00337748">
      <w:pPr>
        <w:pStyle w:val="30"/>
      </w:pPr>
      <w:r w:rsidRPr="00FD50F6">
        <w:t>公安无线通信引入系统应实现与既有城市公安无线通信系统的兼容及互</w:t>
      </w:r>
      <w:r w:rsidRPr="00FD50F6">
        <w:rPr>
          <w:rFonts w:hint="eastAsia"/>
        </w:rPr>
        <w:t>联</w:t>
      </w:r>
      <w:r w:rsidRPr="00FD50F6">
        <w:t>互通。</w:t>
      </w:r>
    </w:p>
    <w:p w14:paraId="61AEA117" w14:textId="77777777" w:rsidR="00337748" w:rsidRPr="00FD50F6" w:rsidRDefault="00337748" w:rsidP="00337748">
      <w:pPr>
        <w:pStyle w:val="30"/>
      </w:pPr>
      <w:r w:rsidRPr="00FD50F6">
        <w:t>公安数据网络应能满足地铁公安分局、地铁派出所及车站公安值班室间的数据传输需求，并可接入城市公安数据网络。</w:t>
      </w:r>
    </w:p>
    <w:p w14:paraId="0366DA22" w14:textId="77777777" w:rsidR="00337748" w:rsidRPr="00FD50F6" w:rsidRDefault="00337748" w:rsidP="00337748">
      <w:pPr>
        <w:pStyle w:val="30"/>
      </w:pPr>
      <w:r w:rsidRPr="00FD50F6">
        <w:rPr>
          <w:rFonts w:hint="eastAsia"/>
        </w:rPr>
        <w:t>公安传输系统应满足地铁公安分局、地铁派出所及车站公安值班室间的传输需求。</w:t>
      </w:r>
    </w:p>
    <w:p w14:paraId="1BCAF79C" w14:textId="77777777" w:rsidR="00337748" w:rsidRPr="00FD50F6" w:rsidRDefault="00337748" w:rsidP="00337748">
      <w:pPr>
        <w:pStyle w:val="30"/>
      </w:pPr>
      <w:r w:rsidRPr="00FD50F6">
        <w:t>公安电源系统应满足公安视频监视系统、公安无线通信引入系统、公安数据网络等设备的供电需求。</w:t>
      </w:r>
    </w:p>
    <w:p w14:paraId="5489EA6C" w14:textId="67C61A20" w:rsidR="00337748" w:rsidRPr="00FD50F6" w:rsidRDefault="00337748" w:rsidP="00337748">
      <w:pPr>
        <w:pStyle w:val="30"/>
      </w:pPr>
      <w:r w:rsidRPr="00FD50F6">
        <w:rPr>
          <w:rFonts w:hint="eastAsia"/>
        </w:rPr>
        <w:t>公安无线通信引入系统可与专用无线通信系统共用漏泄电缆。</w:t>
      </w:r>
    </w:p>
    <w:p w14:paraId="49F30767" w14:textId="77777777" w:rsidR="00337748" w:rsidRPr="00FD50F6" w:rsidRDefault="00337748" w:rsidP="00A65181">
      <w:pPr>
        <w:pStyle w:val="2"/>
      </w:pPr>
      <w:bookmarkStart w:id="748" w:name="_Toc236494401"/>
      <w:bookmarkStart w:id="749" w:name="_Toc236726648"/>
      <w:bookmarkStart w:id="750" w:name="_Toc306206769"/>
      <w:bookmarkStart w:id="751" w:name="_Toc320196054"/>
      <w:bookmarkStart w:id="752" w:name="_Toc320643444"/>
      <w:bookmarkStart w:id="753" w:name="_Toc27244619"/>
      <w:bookmarkStart w:id="754" w:name="_Toc112830777"/>
      <w:r w:rsidRPr="00FD50F6">
        <w:t>通信用房要求</w:t>
      </w:r>
      <w:bookmarkEnd w:id="748"/>
      <w:bookmarkEnd w:id="749"/>
      <w:bookmarkEnd w:id="750"/>
      <w:bookmarkEnd w:id="751"/>
      <w:bookmarkEnd w:id="752"/>
      <w:bookmarkEnd w:id="753"/>
      <w:bookmarkEnd w:id="754"/>
    </w:p>
    <w:p w14:paraId="0B6FCFEA" w14:textId="35E52660" w:rsidR="00337748" w:rsidRPr="00FD50F6" w:rsidRDefault="00337748" w:rsidP="00337748">
      <w:pPr>
        <w:pStyle w:val="30"/>
      </w:pPr>
      <w:r w:rsidRPr="00FD50F6">
        <w:t>地铁通信设备用房应根据设备合理布置的原则确定机房及生产辅助用房的面积。</w:t>
      </w:r>
    </w:p>
    <w:p w14:paraId="5B880126" w14:textId="32FE082B" w:rsidR="00337748" w:rsidRPr="00FD50F6" w:rsidRDefault="00337748" w:rsidP="00337748">
      <w:pPr>
        <w:pStyle w:val="30"/>
      </w:pPr>
      <w:r w:rsidRPr="00FD50F6">
        <w:t>地铁通信设备用房的面积应按远期容量确定，并应根据需要提供民用通信引入系统、公安通信系统的</w:t>
      </w:r>
      <w:r w:rsidRPr="00FD50F6">
        <w:rPr>
          <w:rFonts w:hint="eastAsia"/>
        </w:rPr>
        <w:t>设备</w:t>
      </w:r>
      <w:r w:rsidRPr="00FD50F6">
        <w:t>用房。</w:t>
      </w:r>
    </w:p>
    <w:p w14:paraId="0BA0F10A" w14:textId="4634C248" w:rsidR="00337748" w:rsidRPr="00FD50F6" w:rsidRDefault="00337748" w:rsidP="00337748">
      <w:pPr>
        <w:pStyle w:val="30"/>
      </w:pPr>
      <w:r w:rsidRPr="00FD50F6">
        <w:t>地铁通信设备用房的位置安排，除应做到经济合理、运转安全外，尚应</w:t>
      </w:r>
      <w:r w:rsidRPr="00FD50F6">
        <w:lastRenderedPageBreak/>
        <w:t>做到缆线引入方便、配线最短和便于维修等。</w:t>
      </w:r>
      <w:r w:rsidRPr="00FD50F6">
        <w:rPr>
          <w:rFonts w:hint="eastAsia"/>
        </w:rPr>
        <w:t>通信设备用房内设备布置间距宜符合现行国家标准《数据中心设计规范》</w:t>
      </w:r>
      <w:r w:rsidRPr="00FD50F6">
        <w:rPr>
          <w:rFonts w:hint="eastAsia"/>
        </w:rPr>
        <w:t>G</w:t>
      </w:r>
      <w:r w:rsidRPr="00FD50F6">
        <w:t>B 50174</w:t>
      </w:r>
      <w:r w:rsidRPr="00FD50F6">
        <w:rPr>
          <w:rFonts w:hint="eastAsia"/>
        </w:rPr>
        <w:t>的规定。</w:t>
      </w:r>
    </w:p>
    <w:p w14:paraId="384BC521" w14:textId="4437619B" w:rsidR="00337748" w:rsidRPr="00FD50F6" w:rsidRDefault="00337748" w:rsidP="00337748">
      <w:pPr>
        <w:pStyle w:val="30"/>
      </w:pPr>
      <w:r w:rsidRPr="00FD50F6">
        <w:t>地铁通信设备机房不</w:t>
      </w:r>
      <w:r w:rsidRPr="00FD50F6">
        <w:rPr>
          <w:rFonts w:hint="eastAsia"/>
        </w:rPr>
        <w:t>宜</w:t>
      </w:r>
      <w:r w:rsidRPr="00FD50F6">
        <w:t>与电力变电所相邻</w:t>
      </w:r>
      <w:r w:rsidRPr="00FD50F6">
        <w:rPr>
          <w:rFonts w:hint="eastAsia"/>
        </w:rPr>
        <w:t>，当与变电所相邻时，应采取电磁屏蔽措施。</w:t>
      </w:r>
    </w:p>
    <w:p w14:paraId="4DD65B2E" w14:textId="20809009" w:rsidR="00337748" w:rsidRPr="00FD50F6" w:rsidRDefault="00337748" w:rsidP="00337748">
      <w:pPr>
        <w:pStyle w:val="30"/>
      </w:pPr>
      <w:r w:rsidRPr="00FD50F6">
        <w:t>地铁通信设备机房的</w:t>
      </w:r>
      <w:r w:rsidRPr="00FD50F6">
        <w:rPr>
          <w:rFonts w:hint="eastAsia"/>
        </w:rPr>
        <w:t>环境、室</w:t>
      </w:r>
      <w:r w:rsidRPr="00FD50F6">
        <w:t>内装修</w:t>
      </w:r>
      <w:r w:rsidRPr="00FD50F6">
        <w:rPr>
          <w:rFonts w:hint="eastAsia"/>
        </w:rPr>
        <w:t>、静电防护、给水排水</w:t>
      </w:r>
      <w:r w:rsidRPr="00FD50F6">
        <w:t>应满足通信设备</w:t>
      </w:r>
      <w:r w:rsidRPr="00FD50F6">
        <w:rPr>
          <w:rFonts w:hint="eastAsia"/>
        </w:rPr>
        <w:t>运用</w:t>
      </w:r>
      <w:r w:rsidRPr="00FD50F6">
        <w:t>的要求</w:t>
      </w:r>
      <w:r w:rsidRPr="00FD50F6">
        <w:rPr>
          <w:rFonts w:hint="eastAsia"/>
        </w:rPr>
        <w:t>，</w:t>
      </w:r>
      <w:r w:rsidRPr="00FD50F6">
        <w:t>并应</w:t>
      </w:r>
      <w:r w:rsidRPr="00FD50F6">
        <w:rPr>
          <w:rFonts w:hint="eastAsia"/>
        </w:rPr>
        <w:t>符合现行国家标准《数据中心设计规范》</w:t>
      </w:r>
      <w:r w:rsidRPr="00FD50F6">
        <w:rPr>
          <w:rFonts w:hint="eastAsia"/>
        </w:rPr>
        <w:t>G</w:t>
      </w:r>
      <w:r w:rsidRPr="00FD50F6">
        <w:t>B 50174</w:t>
      </w:r>
      <w:r w:rsidRPr="00FD50F6">
        <w:rPr>
          <w:rFonts w:hint="eastAsia"/>
        </w:rPr>
        <w:t>的规定。</w:t>
      </w:r>
    </w:p>
    <w:p w14:paraId="3374C589" w14:textId="65720FDE" w:rsidR="00337748" w:rsidRPr="00FD50F6" w:rsidRDefault="00337748" w:rsidP="00337748">
      <w:pPr>
        <w:pStyle w:val="30"/>
      </w:pPr>
      <w:r w:rsidRPr="00FD50F6">
        <w:t>地铁通信设备用房的设计应根据通信设备及布线的要求预留沟、槽、管、孔</w:t>
      </w:r>
      <w:r w:rsidRPr="00FD50F6">
        <w:rPr>
          <w:rFonts w:hint="eastAsia"/>
        </w:rPr>
        <w:t>，强弱电电缆应分槽或分腔敷设。</w:t>
      </w:r>
    </w:p>
    <w:p w14:paraId="21CAD9BC" w14:textId="77777777" w:rsidR="00337748" w:rsidRPr="00FD50F6" w:rsidRDefault="00337748" w:rsidP="00337748">
      <w:pPr>
        <w:pStyle w:val="30"/>
      </w:pPr>
      <w:r w:rsidRPr="00FD50F6">
        <w:rPr>
          <w:rFonts w:hint="eastAsia"/>
        </w:rPr>
        <w:t>地铁通信设备用房宜采取防鼠害措施。</w:t>
      </w:r>
    </w:p>
    <w:p w14:paraId="7E0FC747" w14:textId="63D792AF" w:rsidR="00337748" w:rsidRPr="00FD50F6" w:rsidRDefault="00337748" w:rsidP="00337748">
      <w:pPr>
        <w:pStyle w:val="30"/>
      </w:pPr>
      <w:r w:rsidRPr="00FD50F6">
        <w:t>地铁通信设备机房的工艺要求应符合表</w:t>
      </w:r>
      <w:r w:rsidR="00232AC3" w:rsidRPr="00FD50F6">
        <w:t>17</w:t>
      </w:r>
      <w:r w:rsidRPr="00FD50F6">
        <w:t>.15.</w:t>
      </w:r>
      <w:r w:rsidRPr="00FD50F6" w:rsidDel="00D17008">
        <w:rPr>
          <w:rFonts w:hint="eastAsia"/>
        </w:rPr>
        <w:t xml:space="preserve"> </w:t>
      </w:r>
      <w:r w:rsidRPr="00FD50F6">
        <w:rPr>
          <w:rFonts w:hint="eastAsia"/>
        </w:rPr>
        <w:t>8</w:t>
      </w:r>
      <w:r w:rsidRPr="00FD50F6">
        <w:t>的规定，其他辅助用房应按一般办公用房工艺要求设计。</w:t>
      </w:r>
    </w:p>
    <w:p w14:paraId="3E5CE1A9" w14:textId="60233803" w:rsidR="00337748" w:rsidRPr="00FD50F6" w:rsidRDefault="00337748" w:rsidP="00337748">
      <w:pPr>
        <w:pStyle w:val="6"/>
      </w:pPr>
      <w:r w:rsidRPr="00FD50F6">
        <w:t>表</w:t>
      </w:r>
      <w:r w:rsidR="00232AC3" w:rsidRPr="00FD50F6">
        <w:t>17</w:t>
      </w:r>
      <w:r w:rsidRPr="00FD50F6">
        <w:t>.15.</w:t>
      </w:r>
      <w:r w:rsidRPr="00FD50F6">
        <w:rPr>
          <w:rFonts w:hint="eastAsia"/>
        </w:rPr>
        <w:t>8</w:t>
      </w:r>
      <w:r w:rsidRPr="00FD50F6">
        <w:t xml:space="preserve">  </w:t>
      </w:r>
      <w:r w:rsidRPr="00FD50F6">
        <w:t>通信设备机房工艺要求</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4619"/>
      </w:tblGrid>
      <w:tr w:rsidR="00FD50F6" w:rsidRPr="00FD50F6" w14:paraId="3C18C461" w14:textId="77777777" w:rsidTr="00CA6052">
        <w:trPr>
          <w:trHeight w:hRule="exact" w:val="397"/>
          <w:jc w:val="center"/>
        </w:trPr>
        <w:tc>
          <w:tcPr>
            <w:tcW w:w="3653" w:type="dxa"/>
            <w:vAlign w:val="center"/>
          </w:tcPr>
          <w:p w14:paraId="0C49D568" w14:textId="77777777" w:rsidR="00337748" w:rsidRPr="00FD50F6" w:rsidRDefault="00337748" w:rsidP="00353026">
            <w:pPr>
              <w:pStyle w:val="7"/>
            </w:pPr>
            <w:r w:rsidRPr="00FD50F6">
              <w:rPr>
                <w:rFonts w:hint="eastAsia"/>
              </w:rPr>
              <w:t>内</w:t>
            </w:r>
            <w:r w:rsidRPr="00FD50F6">
              <w:t xml:space="preserve">        </w:t>
            </w:r>
            <w:r w:rsidRPr="00FD50F6">
              <w:rPr>
                <w:rFonts w:hint="eastAsia"/>
              </w:rPr>
              <w:t>容</w:t>
            </w:r>
          </w:p>
        </w:tc>
        <w:tc>
          <w:tcPr>
            <w:tcW w:w="4619" w:type="dxa"/>
            <w:vAlign w:val="center"/>
          </w:tcPr>
          <w:p w14:paraId="078CB56D" w14:textId="77777777" w:rsidR="00337748" w:rsidRPr="00FD50F6" w:rsidRDefault="00337748" w:rsidP="00353026">
            <w:pPr>
              <w:pStyle w:val="7"/>
            </w:pPr>
            <w:r w:rsidRPr="00FD50F6">
              <w:rPr>
                <w:rFonts w:hint="eastAsia"/>
              </w:rPr>
              <w:t>要</w:t>
            </w:r>
            <w:r w:rsidRPr="00FD50F6">
              <w:t xml:space="preserve">        </w:t>
            </w:r>
            <w:r w:rsidRPr="00FD50F6">
              <w:rPr>
                <w:rFonts w:hint="eastAsia"/>
              </w:rPr>
              <w:t>求</w:t>
            </w:r>
          </w:p>
        </w:tc>
      </w:tr>
      <w:tr w:rsidR="00FD50F6" w:rsidRPr="00FD50F6" w14:paraId="5789368F" w14:textId="77777777" w:rsidTr="00CA6052">
        <w:trPr>
          <w:trHeight w:hRule="exact" w:val="650"/>
          <w:jc w:val="center"/>
        </w:trPr>
        <w:tc>
          <w:tcPr>
            <w:tcW w:w="3653" w:type="dxa"/>
            <w:vAlign w:val="center"/>
          </w:tcPr>
          <w:p w14:paraId="1D329668" w14:textId="77777777" w:rsidR="00337748" w:rsidRPr="00FD50F6" w:rsidRDefault="00337748" w:rsidP="00353026">
            <w:pPr>
              <w:pStyle w:val="7"/>
            </w:pPr>
            <w:r w:rsidRPr="00FD50F6">
              <w:rPr>
                <w:rFonts w:hint="eastAsia"/>
              </w:rPr>
              <w:t>下走线方式时</w:t>
            </w:r>
            <w:r w:rsidRPr="00DB6B0C">
              <w:rPr>
                <w:rFonts w:hint="eastAsia"/>
              </w:rPr>
              <w:t>，</w:t>
            </w:r>
            <w:r w:rsidRPr="00DB6B0C">
              <w:t>室内最小净高（</w:t>
            </w:r>
            <w:r w:rsidRPr="00DB6B0C">
              <w:t>m</w:t>
            </w:r>
            <w:r w:rsidRPr="00DB6B0C">
              <w:t>）</w:t>
            </w:r>
          </w:p>
        </w:tc>
        <w:tc>
          <w:tcPr>
            <w:tcW w:w="4619" w:type="dxa"/>
            <w:vAlign w:val="center"/>
          </w:tcPr>
          <w:p w14:paraId="38C0CD1A" w14:textId="6AC06E15" w:rsidR="00337748" w:rsidRPr="00FD50F6" w:rsidRDefault="00337748" w:rsidP="00353026">
            <w:pPr>
              <w:pStyle w:val="7"/>
            </w:pPr>
            <w:r w:rsidRPr="00FD50F6">
              <w:rPr>
                <w:rFonts w:hint="eastAsia"/>
              </w:rPr>
              <w:t>3</w:t>
            </w:r>
            <w:r w:rsidRPr="00FD50F6">
              <w:t>.</w:t>
            </w:r>
            <w:r w:rsidRPr="00FD50F6">
              <w:rPr>
                <w:rFonts w:hint="eastAsia"/>
              </w:rPr>
              <w:t>0</w:t>
            </w:r>
            <w:r w:rsidRPr="00FD50F6">
              <w:t>（</w:t>
            </w:r>
            <w:r w:rsidRPr="00FD50F6">
              <w:rPr>
                <w:rFonts w:hint="eastAsia"/>
              </w:rPr>
              <w:t>防静电</w:t>
            </w:r>
            <w:r w:rsidR="0073633F">
              <w:rPr>
                <w:rFonts w:hint="eastAsia"/>
              </w:rPr>
              <w:t>地板</w:t>
            </w:r>
            <w:r w:rsidRPr="00FD50F6">
              <w:rPr>
                <w:rFonts w:hint="eastAsia"/>
              </w:rPr>
              <w:t>上表面至机柜上方最低点）</w:t>
            </w:r>
          </w:p>
        </w:tc>
      </w:tr>
      <w:tr w:rsidR="00FD50F6" w:rsidRPr="00FD50F6" w14:paraId="4424285D" w14:textId="77777777" w:rsidTr="00CA6052">
        <w:trPr>
          <w:trHeight w:hRule="exact" w:val="397"/>
          <w:jc w:val="center"/>
        </w:trPr>
        <w:tc>
          <w:tcPr>
            <w:tcW w:w="3653" w:type="dxa"/>
            <w:vAlign w:val="center"/>
          </w:tcPr>
          <w:p w14:paraId="45FEFD2A" w14:textId="77777777" w:rsidR="00337748" w:rsidRPr="00FD50F6" w:rsidRDefault="00337748" w:rsidP="00353026">
            <w:pPr>
              <w:pStyle w:val="7"/>
            </w:pPr>
            <w:r w:rsidRPr="00FD50F6">
              <w:rPr>
                <w:rFonts w:hint="eastAsia"/>
              </w:rPr>
              <w:t>上走线方式时，室内最小净高（</w:t>
            </w:r>
            <w:r w:rsidRPr="00FD50F6">
              <w:rPr>
                <w:rFonts w:hint="eastAsia"/>
              </w:rPr>
              <w:t>m</w:t>
            </w:r>
            <w:r w:rsidRPr="00FD50F6">
              <w:rPr>
                <w:rFonts w:hint="eastAsia"/>
              </w:rPr>
              <w:t>）</w:t>
            </w:r>
          </w:p>
        </w:tc>
        <w:tc>
          <w:tcPr>
            <w:tcW w:w="4619" w:type="dxa"/>
            <w:vAlign w:val="center"/>
          </w:tcPr>
          <w:p w14:paraId="62431FB4" w14:textId="453B246B" w:rsidR="00337748" w:rsidRPr="00FD50F6" w:rsidDel="0080290B" w:rsidRDefault="00337748" w:rsidP="00353026">
            <w:pPr>
              <w:pStyle w:val="7"/>
            </w:pPr>
            <w:r w:rsidRPr="00FD50F6">
              <w:rPr>
                <w:rFonts w:hint="eastAsia"/>
              </w:rPr>
              <w:t>3.4</w:t>
            </w:r>
            <w:r w:rsidRPr="00FD50F6">
              <w:rPr>
                <w:rFonts w:hint="eastAsia"/>
              </w:rPr>
              <w:t>（防静电</w:t>
            </w:r>
            <w:r w:rsidR="0073633F">
              <w:rPr>
                <w:rFonts w:hint="eastAsia"/>
              </w:rPr>
              <w:t>地板</w:t>
            </w:r>
            <w:r w:rsidRPr="00FD50F6">
              <w:rPr>
                <w:rFonts w:hint="eastAsia"/>
              </w:rPr>
              <w:t>上表面至机柜上方最低点）</w:t>
            </w:r>
          </w:p>
        </w:tc>
      </w:tr>
      <w:tr w:rsidR="00337748" w:rsidRPr="00FD50F6" w14:paraId="110493D3" w14:textId="77777777" w:rsidTr="00CA6052">
        <w:trPr>
          <w:trHeight w:hRule="exact" w:val="680"/>
          <w:jc w:val="center"/>
        </w:trPr>
        <w:tc>
          <w:tcPr>
            <w:tcW w:w="3653" w:type="dxa"/>
            <w:vAlign w:val="center"/>
          </w:tcPr>
          <w:p w14:paraId="3A2D47CF" w14:textId="77777777" w:rsidR="00337748" w:rsidRPr="00FD50F6" w:rsidRDefault="00337748" w:rsidP="00353026">
            <w:pPr>
              <w:pStyle w:val="7"/>
            </w:pPr>
            <w:r w:rsidRPr="00FD50F6">
              <w:t>地面均布荷载（</w:t>
            </w:r>
            <w:r w:rsidRPr="00FD50F6">
              <w:t>kg/m</w:t>
            </w:r>
            <w:r w:rsidRPr="00FD50F6">
              <w:rPr>
                <w:vertAlign w:val="superscript"/>
              </w:rPr>
              <w:t>2</w:t>
            </w:r>
            <w:r w:rsidRPr="00FD50F6">
              <w:t>）</w:t>
            </w:r>
          </w:p>
        </w:tc>
        <w:tc>
          <w:tcPr>
            <w:tcW w:w="4619" w:type="dxa"/>
            <w:vAlign w:val="center"/>
          </w:tcPr>
          <w:p w14:paraId="7628A9BC" w14:textId="77777777" w:rsidR="00337748" w:rsidRPr="00FD50F6" w:rsidRDefault="00337748" w:rsidP="00353026">
            <w:pPr>
              <w:pStyle w:val="7"/>
            </w:pPr>
            <w:r w:rsidRPr="00FD50F6">
              <w:t>通信专业提供机架重量和平面布置，建筑和结构专业计算荷载值</w:t>
            </w:r>
          </w:p>
        </w:tc>
      </w:tr>
    </w:tbl>
    <w:p w14:paraId="77A7C94F" w14:textId="77777777" w:rsidR="00337748" w:rsidRPr="00FD50F6" w:rsidRDefault="00337748" w:rsidP="00337748">
      <w:pPr>
        <w:pStyle w:val="8"/>
        <w:ind w:firstLine="480"/>
      </w:pPr>
    </w:p>
    <w:p w14:paraId="1EBB9EEA" w14:textId="0EA9C749" w:rsidR="00D70A4C" w:rsidRPr="00FD50F6" w:rsidRDefault="00D70A4C">
      <w:pPr>
        <w:widowControl/>
        <w:spacing w:line="240" w:lineRule="auto"/>
        <w:jc w:val="left"/>
        <w:rPr>
          <w:rFonts w:ascii="Times New Roman" w:hAnsi="Times New Roman"/>
          <w:b/>
          <w:bCs/>
          <w:kern w:val="44"/>
          <w:sz w:val="30"/>
          <w:szCs w:val="44"/>
        </w:rPr>
      </w:pPr>
      <w:r w:rsidRPr="00FD50F6">
        <w:br w:type="page"/>
      </w:r>
    </w:p>
    <w:p w14:paraId="687B8FD6" w14:textId="77777777" w:rsidR="00717F96" w:rsidRPr="00FD50F6" w:rsidRDefault="00717F96" w:rsidP="00717F96">
      <w:pPr>
        <w:pStyle w:val="12"/>
      </w:pPr>
      <w:bookmarkStart w:id="755" w:name="_Toc515022173"/>
      <w:bookmarkStart w:id="756" w:name="_Toc321985595"/>
      <w:bookmarkStart w:id="757" w:name="_Toc16466754"/>
      <w:bookmarkStart w:id="758" w:name="_Toc16466756"/>
      <w:bookmarkStart w:id="759" w:name="_Toc324853691"/>
      <w:bookmarkStart w:id="760" w:name="_Toc112830778"/>
      <w:bookmarkStart w:id="761" w:name="_Toc457937900"/>
      <w:bookmarkStart w:id="762" w:name="_Toc458462927"/>
      <w:bookmarkStart w:id="763" w:name="_Toc458463317"/>
      <w:bookmarkEnd w:id="650"/>
      <w:bookmarkEnd w:id="755"/>
      <w:bookmarkEnd w:id="756"/>
      <w:bookmarkEnd w:id="757"/>
      <w:bookmarkEnd w:id="758"/>
      <w:bookmarkEnd w:id="759"/>
      <w:r w:rsidRPr="00FD50F6">
        <w:rPr>
          <w:rFonts w:hint="eastAsia"/>
        </w:rPr>
        <w:lastRenderedPageBreak/>
        <w:t>信号</w:t>
      </w:r>
      <w:bookmarkEnd w:id="760"/>
    </w:p>
    <w:p w14:paraId="6749F984" w14:textId="77777777" w:rsidR="00717F96" w:rsidRPr="00FD50F6" w:rsidRDefault="00717F96" w:rsidP="00010C49">
      <w:pPr>
        <w:pStyle w:val="2"/>
        <w:numPr>
          <w:ilvl w:val="1"/>
          <w:numId w:val="27"/>
        </w:numPr>
      </w:pPr>
      <w:bookmarkStart w:id="764" w:name="_Toc112830779"/>
      <w:bookmarkStart w:id="765" w:name="_Toc320196080"/>
      <w:bookmarkStart w:id="766" w:name="_Toc344218831"/>
      <w:bookmarkStart w:id="767" w:name="_Toc320643469"/>
      <w:r w:rsidRPr="00FD50F6">
        <w:t>一般规定</w:t>
      </w:r>
      <w:bookmarkEnd w:id="764"/>
    </w:p>
    <w:p w14:paraId="1BF62D59"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Ⅰ</w:t>
      </w:r>
      <w:r w:rsidRPr="00FD50F6">
        <w:rPr>
          <w:rFonts w:ascii="Times New Roman" w:hAnsi="Times New Roman" w:hint="eastAsia"/>
          <w:b/>
          <w:bCs/>
          <w:szCs w:val="24"/>
        </w:rPr>
        <w:t xml:space="preserve"> </w:t>
      </w:r>
      <w:r w:rsidRPr="00FD50F6">
        <w:rPr>
          <w:rFonts w:ascii="Times New Roman" w:hAnsi="Times New Roman" w:hint="eastAsia"/>
          <w:b/>
          <w:bCs/>
          <w:szCs w:val="24"/>
        </w:rPr>
        <w:t>基本要求</w:t>
      </w:r>
    </w:p>
    <w:p w14:paraId="4E36747E" w14:textId="643CBE76" w:rsidR="00717F96" w:rsidRPr="00FD50F6" w:rsidRDefault="00717F96" w:rsidP="00717F96">
      <w:pPr>
        <w:pStyle w:val="30"/>
      </w:pPr>
      <w:r w:rsidRPr="00FD50F6">
        <w:t>地铁信号系统应由行车指挥和列车运行控制设备组成</w:t>
      </w:r>
      <w:bookmarkStart w:id="768" w:name="_Hlk38069878"/>
      <w:r w:rsidRPr="00FD50F6">
        <w:rPr>
          <w:rFonts w:hint="eastAsia"/>
        </w:rPr>
        <w:t>完整的列车自动控制系统</w:t>
      </w:r>
      <w:bookmarkEnd w:id="768"/>
      <w:r w:rsidRPr="00FD50F6">
        <w:rPr>
          <w:rFonts w:hint="eastAsia"/>
        </w:rPr>
        <w:t>，并应具备故障监测和报警功能。</w:t>
      </w:r>
    </w:p>
    <w:p w14:paraId="1A1FD25A" w14:textId="77777777" w:rsidR="00717F96" w:rsidRPr="00FD50F6" w:rsidRDefault="00717F96" w:rsidP="00717F96">
      <w:pPr>
        <w:pStyle w:val="30"/>
      </w:pPr>
      <w:r w:rsidRPr="00FD50F6">
        <w:rPr>
          <w:rFonts w:hint="eastAsia"/>
        </w:rPr>
        <w:t>信号系统应具有高可靠性、高可用性和高安全性。</w:t>
      </w:r>
    </w:p>
    <w:p w14:paraId="51D59299" w14:textId="77777777" w:rsidR="00717F96" w:rsidRPr="00FD50F6" w:rsidRDefault="00717F96" w:rsidP="00717F96">
      <w:pPr>
        <w:pStyle w:val="30"/>
      </w:pPr>
      <w:r w:rsidRPr="00FD50F6">
        <w:rPr>
          <w:rFonts w:hint="eastAsia"/>
        </w:rPr>
        <w:t>信号系统应满足地铁行车组织和运营管理的需要。</w:t>
      </w:r>
    </w:p>
    <w:p w14:paraId="0965D180" w14:textId="77777777" w:rsidR="00717F96" w:rsidRPr="00FD50F6" w:rsidRDefault="00717F96" w:rsidP="00717F96">
      <w:pPr>
        <w:pStyle w:val="30"/>
      </w:pPr>
      <w:r w:rsidRPr="00FD50F6">
        <w:rPr>
          <w:rFonts w:hint="eastAsia"/>
        </w:rPr>
        <w:t>双线区段宜按双方向运行设计，单线区段应按双方向运行设计。</w:t>
      </w:r>
    </w:p>
    <w:p w14:paraId="2222CDC7" w14:textId="77777777" w:rsidR="00717F96" w:rsidRPr="00FD50F6" w:rsidRDefault="00717F96" w:rsidP="00717F96">
      <w:pPr>
        <w:pStyle w:val="30"/>
      </w:pPr>
      <w:r w:rsidRPr="00FD50F6">
        <w:rPr>
          <w:rFonts w:hint="eastAsia"/>
        </w:rPr>
        <w:t>信号系统应具有电磁兼容性。</w:t>
      </w:r>
    </w:p>
    <w:p w14:paraId="2C3D2090" w14:textId="77777777" w:rsidR="00717F96" w:rsidRPr="00FD50F6" w:rsidRDefault="00717F96" w:rsidP="00717F96">
      <w:pPr>
        <w:pStyle w:val="30"/>
      </w:pPr>
      <w:r w:rsidRPr="00FD50F6">
        <w:rPr>
          <w:rFonts w:hint="eastAsia"/>
        </w:rPr>
        <w:t>信号系统应满足智能化维护管理的需求</w:t>
      </w:r>
      <w:bookmarkStart w:id="769" w:name="_Hlk38412769"/>
      <w:r w:rsidRPr="00FD50F6">
        <w:rPr>
          <w:rFonts w:hint="eastAsia"/>
        </w:rPr>
        <w:t>。信号设备应便于维修</w:t>
      </w:r>
      <w:bookmarkEnd w:id="769"/>
      <w:r w:rsidRPr="00FD50F6">
        <w:rPr>
          <w:rFonts w:hint="eastAsia"/>
        </w:rPr>
        <w:t>并减少维修频度，并应便于测试、更换。</w:t>
      </w:r>
    </w:p>
    <w:p w14:paraId="401702EA" w14:textId="77777777" w:rsidR="00717F96" w:rsidRPr="00FD50F6" w:rsidRDefault="00717F96" w:rsidP="00717F96">
      <w:pPr>
        <w:pStyle w:val="30"/>
      </w:pPr>
      <w:r w:rsidRPr="00FD50F6">
        <w:rPr>
          <w:rFonts w:hint="eastAsia"/>
        </w:rPr>
        <w:t>信号系统宜适应城市轨道交通新技术发展的要求。</w:t>
      </w:r>
    </w:p>
    <w:p w14:paraId="4DD7933D" w14:textId="77777777" w:rsidR="00717F96" w:rsidRPr="00FD50F6" w:rsidRDefault="00717F96" w:rsidP="00717F96">
      <w:pPr>
        <w:pStyle w:val="30"/>
      </w:pPr>
      <w:r w:rsidRPr="00FD50F6">
        <w:rPr>
          <w:rFonts w:hint="eastAsia"/>
        </w:rPr>
        <w:t>信号系统的设计速度应与线路、车辆的设计速度相匹配。</w:t>
      </w:r>
    </w:p>
    <w:p w14:paraId="623868E5"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Ⅱ</w:t>
      </w:r>
      <w:r w:rsidRPr="00FD50F6">
        <w:rPr>
          <w:rFonts w:ascii="Times New Roman" w:hAnsi="Times New Roman" w:hint="eastAsia"/>
          <w:b/>
          <w:bCs/>
          <w:szCs w:val="24"/>
        </w:rPr>
        <w:t xml:space="preserve"> </w:t>
      </w:r>
      <w:r w:rsidRPr="00FD50F6">
        <w:rPr>
          <w:rFonts w:ascii="Times New Roman" w:hAnsi="Times New Roman" w:hint="eastAsia"/>
          <w:b/>
          <w:bCs/>
          <w:szCs w:val="24"/>
        </w:rPr>
        <w:t>安全性要求</w:t>
      </w:r>
    </w:p>
    <w:p w14:paraId="291CFBF3" w14:textId="0963B0BA" w:rsidR="00717F96" w:rsidRPr="00FD50F6" w:rsidRDefault="00717F96" w:rsidP="00717F96">
      <w:pPr>
        <w:pStyle w:val="30"/>
      </w:pPr>
      <w:r w:rsidRPr="00FD50F6">
        <w:rPr>
          <w:rFonts w:hint="eastAsia"/>
        </w:rPr>
        <w:t>涉及行车安全的系统、设备及电路应符合故障</w:t>
      </w:r>
      <w:r w:rsidRPr="00FD50F6">
        <w:rPr>
          <w:rFonts w:ascii="楷体" w:eastAsia="楷体" w:hAnsi="楷体"/>
        </w:rPr>
        <w:t>--</w:t>
      </w:r>
      <w:r w:rsidRPr="00FD50F6">
        <w:rPr>
          <w:rFonts w:hint="eastAsia"/>
        </w:rPr>
        <w:t>安全原则。采用的安全系统、设备应经过安全认证。</w:t>
      </w:r>
    </w:p>
    <w:p w14:paraId="57FA5C30" w14:textId="5FE82939" w:rsidR="00717F96" w:rsidRPr="00FD50F6" w:rsidRDefault="00717F96" w:rsidP="00717F96">
      <w:pPr>
        <w:pStyle w:val="30"/>
      </w:pPr>
      <w:r w:rsidRPr="00FD50F6">
        <w:rPr>
          <w:rFonts w:hint="eastAsia"/>
        </w:rPr>
        <w:t>信号系统应符合国家安全部门对信号信息系统等级保护要求，安全等级保护</w:t>
      </w:r>
      <w:r w:rsidR="007E4536" w:rsidRPr="00FD50F6">
        <w:rPr>
          <w:rFonts w:hint="eastAsia"/>
        </w:rPr>
        <w:t>应满足</w:t>
      </w:r>
      <w:r w:rsidR="007E4536">
        <w:rPr>
          <w:rFonts w:hint="eastAsia"/>
        </w:rPr>
        <w:t>三</w:t>
      </w:r>
      <w:r w:rsidR="007E4536" w:rsidRPr="00FD50F6">
        <w:rPr>
          <w:rFonts w:hint="eastAsia"/>
        </w:rPr>
        <w:t>级要求</w:t>
      </w:r>
      <w:r w:rsidRPr="00FD50F6">
        <w:rPr>
          <w:rFonts w:hint="eastAsia"/>
        </w:rPr>
        <w:t>。</w:t>
      </w:r>
      <w:r w:rsidRPr="00FD50F6">
        <w:t xml:space="preserve"> </w:t>
      </w:r>
    </w:p>
    <w:p w14:paraId="3AAF7F25"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Ⅲ</w:t>
      </w:r>
      <w:r w:rsidRPr="00FD50F6">
        <w:rPr>
          <w:rFonts w:ascii="Times New Roman" w:hAnsi="Times New Roman"/>
          <w:b/>
          <w:bCs/>
          <w:szCs w:val="24"/>
        </w:rPr>
        <w:t xml:space="preserve"> </w:t>
      </w:r>
      <w:r w:rsidRPr="00FD50F6">
        <w:rPr>
          <w:rFonts w:ascii="Times New Roman" w:hAnsi="Times New Roman"/>
          <w:b/>
          <w:bCs/>
          <w:szCs w:val="24"/>
        </w:rPr>
        <w:t>系统设计</w:t>
      </w:r>
      <w:r w:rsidRPr="00FD50F6">
        <w:rPr>
          <w:rFonts w:ascii="Times New Roman" w:hAnsi="Times New Roman" w:hint="eastAsia"/>
          <w:b/>
          <w:bCs/>
          <w:szCs w:val="24"/>
        </w:rPr>
        <w:t>能力要求</w:t>
      </w:r>
    </w:p>
    <w:p w14:paraId="79AD82E2" w14:textId="48460459" w:rsidR="00717F96" w:rsidRPr="00FD50F6" w:rsidRDefault="00717F96" w:rsidP="00717F96">
      <w:pPr>
        <w:pStyle w:val="30"/>
      </w:pPr>
      <w:bookmarkStart w:id="770" w:name="_Hlk38068487"/>
      <w:r w:rsidRPr="001A4CF3">
        <w:rPr>
          <w:rFonts w:hint="eastAsia"/>
          <w:bCs w:val="0"/>
        </w:rPr>
        <w:t>信号系统应按最大行车能力要求设计</w:t>
      </w:r>
      <w:r w:rsidRPr="00FD50F6">
        <w:rPr>
          <w:rFonts w:hint="eastAsia"/>
          <w:bCs w:val="0"/>
        </w:rPr>
        <w:t>，应</w:t>
      </w:r>
      <w:r w:rsidRPr="00FD50F6">
        <w:rPr>
          <w:rFonts w:hint="eastAsia"/>
        </w:rPr>
        <w:t>满足大运量、高密度行车、不同列车编组和行车交路的运营要求。</w:t>
      </w:r>
      <w:bookmarkEnd w:id="770"/>
    </w:p>
    <w:p w14:paraId="10830D25" w14:textId="77777777" w:rsidR="00717F96" w:rsidRPr="00FD50F6" w:rsidRDefault="00717F96" w:rsidP="00717F96">
      <w:pPr>
        <w:pStyle w:val="30"/>
      </w:pPr>
      <w:r w:rsidRPr="00FD50F6">
        <w:rPr>
          <w:rFonts w:hint="eastAsia"/>
        </w:rPr>
        <w:t>ATC</w:t>
      </w:r>
      <w:r w:rsidRPr="00FD50F6">
        <w:t>系统的监控范围应结合线路和站场</w:t>
      </w:r>
      <w:r w:rsidRPr="00FD50F6">
        <w:rPr>
          <w:rFonts w:hint="eastAsia"/>
        </w:rPr>
        <w:t>规模</w:t>
      </w:r>
      <w:r w:rsidRPr="00FD50F6">
        <w:t>设计</w:t>
      </w:r>
      <w:r w:rsidRPr="00FD50F6">
        <w:rPr>
          <w:rFonts w:hint="eastAsia"/>
        </w:rPr>
        <w:t>。</w:t>
      </w:r>
      <w:r w:rsidRPr="00FD50F6">
        <w:t>系统能力应与线路规模、运行能力相适应</w:t>
      </w:r>
      <w:r w:rsidRPr="00FD50F6">
        <w:rPr>
          <w:rFonts w:hint="eastAsia"/>
        </w:rPr>
        <w:t>。</w:t>
      </w:r>
    </w:p>
    <w:p w14:paraId="0E9BED6E" w14:textId="77777777" w:rsidR="00717F96" w:rsidRPr="00FD50F6" w:rsidRDefault="00717F96" w:rsidP="00717F96">
      <w:pPr>
        <w:pStyle w:val="30"/>
      </w:pPr>
      <w:r w:rsidRPr="00FD50F6">
        <w:t>信号专业应与行车等专业配合，</w:t>
      </w:r>
      <w:r w:rsidRPr="00FD50F6">
        <w:rPr>
          <w:rFonts w:hint="eastAsia"/>
        </w:rPr>
        <w:t>并应</w:t>
      </w:r>
      <w:r w:rsidRPr="00FD50F6">
        <w:t>通过列车运行仿真</w:t>
      </w:r>
      <w:r w:rsidRPr="00FD50F6">
        <w:rPr>
          <w:rFonts w:hint="eastAsia"/>
        </w:rPr>
        <w:t>分析</w:t>
      </w:r>
      <w:r w:rsidRPr="00FD50F6">
        <w:t>计算通过能力、折返能力及出入车辆基地的能力</w:t>
      </w:r>
      <w:r w:rsidRPr="00FD50F6">
        <w:rPr>
          <w:rFonts w:hint="eastAsia"/>
        </w:rPr>
        <w:t>。</w:t>
      </w:r>
    </w:p>
    <w:p w14:paraId="0EF05627" w14:textId="436494FE" w:rsidR="00717F96" w:rsidRPr="00FD50F6" w:rsidRDefault="00717F96" w:rsidP="00717F96">
      <w:pPr>
        <w:pStyle w:val="30"/>
      </w:pPr>
      <w:r w:rsidRPr="00FD50F6">
        <w:rPr>
          <w:rFonts w:hint="eastAsia"/>
        </w:rPr>
        <w:t>交路折返站的折返能力、</w:t>
      </w:r>
      <w:r w:rsidRPr="00FD50F6">
        <w:t>出入车辆</w:t>
      </w:r>
      <w:r w:rsidRPr="00FD50F6">
        <w:rPr>
          <w:rFonts w:hint="eastAsia"/>
        </w:rPr>
        <w:t>基地能力应与最小行车间隔相适应，并应留有余量。</w:t>
      </w:r>
    </w:p>
    <w:p w14:paraId="3525CAB2" w14:textId="04B4A619" w:rsidR="00717F96" w:rsidRPr="00FD50F6" w:rsidRDefault="00717F96" w:rsidP="00717F96">
      <w:pPr>
        <w:pStyle w:val="30"/>
      </w:pPr>
      <w:r w:rsidRPr="00FD50F6">
        <w:rPr>
          <w:rFonts w:hint="eastAsia"/>
        </w:rPr>
        <w:lastRenderedPageBreak/>
        <w:t>信号</w:t>
      </w:r>
      <w:r w:rsidRPr="00FD50F6">
        <w:t>系统监控和管理的列车数量应按最小追踪间隔能力所需列车数量设计，并应留有不小于</w:t>
      </w:r>
      <w:r w:rsidRPr="00FD50F6">
        <w:t>30%</w:t>
      </w:r>
      <w:r w:rsidRPr="00FD50F6">
        <w:t>的余量</w:t>
      </w:r>
      <w:r w:rsidRPr="00FD50F6">
        <w:rPr>
          <w:rFonts w:hint="eastAsia"/>
        </w:rPr>
        <w:t>。</w:t>
      </w:r>
    </w:p>
    <w:p w14:paraId="05DDCECE"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Ⅳ</w:t>
      </w:r>
      <w:r w:rsidRPr="00FD50F6">
        <w:rPr>
          <w:rFonts w:ascii="Times New Roman" w:hAnsi="Times New Roman" w:hint="eastAsia"/>
          <w:b/>
          <w:bCs/>
          <w:szCs w:val="24"/>
        </w:rPr>
        <w:t xml:space="preserve"> </w:t>
      </w:r>
      <w:r w:rsidRPr="00FD50F6">
        <w:rPr>
          <w:rFonts w:ascii="Times New Roman" w:hAnsi="Times New Roman" w:hint="eastAsia"/>
          <w:b/>
          <w:bCs/>
          <w:szCs w:val="24"/>
        </w:rPr>
        <w:t>控制模式要求</w:t>
      </w:r>
    </w:p>
    <w:p w14:paraId="3A2A7774" w14:textId="6C89A0F1" w:rsidR="00717F96" w:rsidRPr="00FD50F6" w:rsidRDefault="00717F96" w:rsidP="00DB6B0C">
      <w:pPr>
        <w:pStyle w:val="30"/>
      </w:pPr>
      <w:r w:rsidRPr="00FD50F6">
        <w:t>信号系统按闭塞方式可包括移动闭塞</w:t>
      </w:r>
      <w:r w:rsidR="00A04029">
        <w:t>、</w:t>
      </w:r>
      <w:r w:rsidRPr="00FD50F6">
        <w:t>准移动闭塞</w:t>
      </w:r>
      <w:r w:rsidR="00A04029">
        <w:t>和</w:t>
      </w:r>
      <w:r w:rsidRPr="00FD50F6">
        <w:t>固定闭塞。</w:t>
      </w:r>
    </w:p>
    <w:p w14:paraId="0A356287" w14:textId="77777777" w:rsidR="00717F96" w:rsidRPr="00FD50F6" w:rsidRDefault="00717F96" w:rsidP="00717F96">
      <w:pPr>
        <w:pStyle w:val="30"/>
      </w:pPr>
      <w:r w:rsidRPr="00FD50F6">
        <w:t>ATC</w:t>
      </w:r>
      <w:r w:rsidRPr="00FD50F6">
        <w:t>系统应采用连续式列车控制方式，</w:t>
      </w:r>
      <w:r w:rsidRPr="00FD50F6">
        <w:rPr>
          <w:rFonts w:hint="eastAsia"/>
        </w:rPr>
        <w:t>列车运行间隔控制应采用</w:t>
      </w:r>
      <w:r w:rsidRPr="00FD50F6">
        <w:t>移动闭塞或准移动闭塞制式。</w:t>
      </w:r>
    </w:p>
    <w:p w14:paraId="3D119029" w14:textId="211C1A30" w:rsidR="00717F96" w:rsidRPr="00FD50F6" w:rsidRDefault="00717F96" w:rsidP="00717F96">
      <w:pPr>
        <w:pStyle w:val="30"/>
      </w:pPr>
      <w:r w:rsidRPr="00FD50F6">
        <w:rPr>
          <w:rFonts w:hint="eastAsia"/>
        </w:rPr>
        <w:t>ATC</w:t>
      </w:r>
      <w:r w:rsidRPr="00FD50F6">
        <w:rPr>
          <w:rFonts w:hint="eastAsia"/>
        </w:rPr>
        <w:t>系统应以工程确定的系统最高配置水平等级作为正常运营状态的控制模式。</w:t>
      </w:r>
    </w:p>
    <w:p w14:paraId="65D45ACC" w14:textId="77777777" w:rsidR="00717F96" w:rsidRPr="00FD50F6" w:rsidRDefault="00717F96" w:rsidP="00717F96">
      <w:pPr>
        <w:pStyle w:val="30"/>
      </w:pPr>
      <w:r w:rsidRPr="00FD50F6">
        <w:rPr>
          <w:rFonts w:hint="eastAsia"/>
        </w:rPr>
        <w:t>非全自动运行线路</w:t>
      </w:r>
      <w:r w:rsidRPr="00FD50F6">
        <w:t>ATC</w:t>
      </w:r>
      <w:r w:rsidRPr="00FD50F6">
        <w:rPr>
          <w:rFonts w:hint="eastAsia"/>
        </w:rPr>
        <w:t>系统控制模式宜采用控制中心、车站两级控制模式，</w:t>
      </w:r>
      <w:r w:rsidRPr="00FD50F6">
        <w:t>包括控制中心自动控制</w:t>
      </w:r>
      <w:r w:rsidRPr="00FD50F6">
        <w:rPr>
          <w:rFonts w:hint="eastAsia"/>
        </w:rPr>
        <w:t>及人工控制、</w:t>
      </w:r>
      <w:r w:rsidRPr="00FD50F6">
        <w:t>车站自动控</w:t>
      </w:r>
      <w:r w:rsidRPr="00FD50F6">
        <w:rPr>
          <w:rFonts w:hint="eastAsia"/>
        </w:rPr>
        <w:t>制</w:t>
      </w:r>
      <w:r w:rsidRPr="00FD50F6">
        <w:t>及人工控制。其控制等级应遵循车站人工控制优先于控制中心人工控制，控制中心人工控制优先于控制中心的自动控制或车站自动控制。</w:t>
      </w:r>
    </w:p>
    <w:p w14:paraId="1EAC1F26" w14:textId="0C66DF72" w:rsidR="00717F96" w:rsidRPr="00FD50F6" w:rsidRDefault="00717F96" w:rsidP="00717F96">
      <w:pPr>
        <w:pStyle w:val="30"/>
      </w:pPr>
      <w:r w:rsidRPr="00FD50F6">
        <w:rPr>
          <w:rFonts w:hint="eastAsia"/>
        </w:rPr>
        <w:t>全自动运行线路</w:t>
      </w:r>
      <w:r w:rsidRPr="00FD50F6">
        <w:rPr>
          <w:rFonts w:hint="eastAsia"/>
        </w:rPr>
        <w:t>ATC</w:t>
      </w:r>
      <w:r w:rsidRPr="00FD50F6">
        <w:rPr>
          <w:rFonts w:hint="eastAsia"/>
        </w:rPr>
        <w:t>系统控制模式可采用控制中心集中控制模式，可按需设置就地控制设备。</w:t>
      </w:r>
      <w:r w:rsidRPr="00FD50F6">
        <w:t>其控制等级应遵循人工控制优先于自动控制</w:t>
      </w:r>
      <w:r w:rsidRPr="00FD50F6">
        <w:rPr>
          <w:rFonts w:hint="eastAsia"/>
        </w:rPr>
        <w:t>，中心控制优先于就地控制。</w:t>
      </w:r>
    </w:p>
    <w:p w14:paraId="4C33C2E1" w14:textId="6196DA80" w:rsidR="00717F96" w:rsidRPr="00FD50F6" w:rsidRDefault="00717F96" w:rsidP="00717F96">
      <w:pPr>
        <w:pStyle w:val="30"/>
      </w:pPr>
      <w:r w:rsidRPr="00FD50F6">
        <w:rPr>
          <w:rFonts w:hint="eastAsia"/>
        </w:rPr>
        <w:t>全自动运行线路中，系统宜具备线路任意点的反向运行控制模式。</w:t>
      </w:r>
    </w:p>
    <w:p w14:paraId="2EFDAC98"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Ⅴ</w:t>
      </w:r>
      <w:r w:rsidRPr="00FD50F6">
        <w:rPr>
          <w:rFonts w:ascii="Times New Roman" w:hAnsi="Times New Roman" w:hint="eastAsia"/>
          <w:b/>
          <w:bCs/>
          <w:szCs w:val="24"/>
        </w:rPr>
        <w:t xml:space="preserve"> </w:t>
      </w:r>
      <w:r w:rsidRPr="00FD50F6">
        <w:rPr>
          <w:rFonts w:ascii="Times New Roman" w:hAnsi="Times New Roman" w:hint="eastAsia"/>
          <w:b/>
          <w:bCs/>
          <w:szCs w:val="24"/>
        </w:rPr>
        <w:t>驾驶模式要求</w:t>
      </w:r>
    </w:p>
    <w:p w14:paraId="4226CC9A" w14:textId="2971A86A" w:rsidR="00717F96" w:rsidRPr="00FD50F6" w:rsidRDefault="00555C99" w:rsidP="002534CF">
      <w:pPr>
        <w:pStyle w:val="30"/>
      </w:pPr>
      <w:r w:rsidRPr="00555C99">
        <w:t>列车驾驶模式可包括：全自动运行模式（</w:t>
      </w:r>
      <w:r w:rsidRPr="00555C99">
        <w:t>Fully Automatic Train Operating Mode</w:t>
      </w:r>
      <w:r w:rsidRPr="00555C99">
        <w:t>，</w:t>
      </w:r>
      <w:r w:rsidRPr="00555C99">
        <w:t>FAM</w:t>
      </w:r>
      <w:r w:rsidRPr="00555C99">
        <w:t>）、</w:t>
      </w:r>
      <w:r w:rsidRPr="00555C99">
        <w:t xml:space="preserve"> </w:t>
      </w:r>
      <w:r w:rsidRPr="00555C99">
        <w:t>蠕动模式（</w:t>
      </w:r>
      <w:r w:rsidRPr="00555C99">
        <w:t>Creep Automatic Mode</w:t>
      </w:r>
      <w:r w:rsidRPr="00555C99">
        <w:t>，</w:t>
      </w:r>
      <w:r w:rsidRPr="00555C99">
        <w:t>CAM</w:t>
      </w:r>
      <w:r w:rsidRPr="00555C99">
        <w:t>）模式、自动驾驶模式（</w:t>
      </w:r>
      <w:r w:rsidRPr="00555C99">
        <w:t>Automatic Train Operating Mode</w:t>
      </w:r>
      <w:r w:rsidRPr="00555C99">
        <w:t>，</w:t>
      </w:r>
      <w:r w:rsidRPr="00555C99">
        <w:t>AM</w:t>
      </w:r>
      <w:r w:rsidRPr="00555C99">
        <w:t>）、自动防护下的人工驾驶模式（</w:t>
      </w:r>
      <w:r w:rsidRPr="00555C99">
        <w:t>Coded Train Operating Mode</w:t>
      </w:r>
      <w:r w:rsidRPr="00555C99">
        <w:t>，</w:t>
      </w:r>
      <w:r w:rsidRPr="00555C99">
        <w:t>CM</w:t>
      </w:r>
      <w:r w:rsidRPr="00555C99">
        <w:t>）、</w:t>
      </w:r>
      <w:r w:rsidRPr="00555C99">
        <w:t xml:space="preserve"> </w:t>
      </w:r>
      <w:r w:rsidRPr="00555C99">
        <w:t>限制人工驾驶模式（</w:t>
      </w:r>
      <w:r w:rsidRPr="00555C99">
        <w:t>Restricted Train Operating Mode</w:t>
      </w:r>
      <w:r w:rsidRPr="00555C99">
        <w:t>，</w:t>
      </w:r>
      <w:r w:rsidRPr="00555C99">
        <w:t>RM</w:t>
      </w:r>
      <w:r w:rsidRPr="00555C99">
        <w:t>）和非限制人工驾驶模式（</w:t>
      </w:r>
      <w:r w:rsidRPr="00555C99">
        <w:t>Emergency Unrestricted Train Operating Mode</w:t>
      </w:r>
      <w:r w:rsidRPr="00555C99">
        <w:t>，</w:t>
      </w:r>
      <w:r w:rsidRPr="00555C99">
        <w:t>EUM</w:t>
      </w:r>
      <w:r w:rsidRPr="00555C99">
        <w:t>）</w:t>
      </w:r>
      <w:r w:rsidR="00717F96" w:rsidRPr="00FD50F6">
        <w:rPr>
          <w:rFonts w:hint="eastAsia"/>
        </w:rPr>
        <w:t>。</w:t>
      </w:r>
    </w:p>
    <w:p w14:paraId="6584159F" w14:textId="16F06965" w:rsidR="00717F96" w:rsidRPr="00FD50F6" w:rsidRDefault="00717F96" w:rsidP="00717F96">
      <w:pPr>
        <w:pStyle w:val="30"/>
      </w:pPr>
      <w:r w:rsidRPr="00FD50F6">
        <w:t>列车驾驶模式转换应符合下列</w:t>
      </w:r>
      <w:r w:rsidRPr="00FD50F6">
        <w:rPr>
          <w:rFonts w:hint="eastAsia"/>
        </w:rPr>
        <w:t>规定</w:t>
      </w:r>
      <w:r w:rsidRPr="00FD50F6">
        <w:t>：</w:t>
      </w:r>
      <w:r w:rsidRPr="00FD50F6">
        <w:t xml:space="preserve"> </w:t>
      </w:r>
    </w:p>
    <w:p w14:paraId="173E6143" w14:textId="5C8E6154" w:rsidR="00717F96" w:rsidRPr="00FD50F6" w:rsidRDefault="00717F96" w:rsidP="00A926BD">
      <w:pPr>
        <w:pStyle w:val="4"/>
      </w:pPr>
      <w:r w:rsidRPr="00FD50F6">
        <w:t>驾驶模式转换区</w:t>
      </w:r>
      <w:r w:rsidRPr="00FD50F6">
        <w:rPr>
          <w:rFonts w:hint="eastAsia"/>
        </w:rPr>
        <w:t>段的设置及设备配置应满足驾驶模式转换的要求；</w:t>
      </w:r>
    </w:p>
    <w:p w14:paraId="4F25FB6A" w14:textId="77777777" w:rsidR="00717F96" w:rsidRPr="00FD50F6" w:rsidRDefault="00717F96" w:rsidP="00A926BD">
      <w:pPr>
        <w:pStyle w:val="4"/>
      </w:pPr>
      <w:r w:rsidRPr="00FD50F6">
        <w:t>驾驶模式转换可采用人工方式或自动方式，并应予以记录</w:t>
      </w:r>
      <w:r w:rsidRPr="00FD50F6">
        <w:rPr>
          <w:rFonts w:hint="eastAsia"/>
        </w:rPr>
        <w:t>；</w:t>
      </w:r>
    </w:p>
    <w:p w14:paraId="7F2AF48F" w14:textId="3C81D7B7" w:rsidR="00717F96" w:rsidRPr="00FD50F6" w:rsidRDefault="00717F96" w:rsidP="00A926BD">
      <w:pPr>
        <w:pStyle w:val="4"/>
      </w:pPr>
      <w:r w:rsidRPr="00FD50F6">
        <w:rPr>
          <w:rFonts w:hint="eastAsia"/>
        </w:rPr>
        <w:t>驾驶模式</w:t>
      </w:r>
      <w:r w:rsidRPr="00FD50F6">
        <w:t>转换区</w:t>
      </w:r>
      <w:r w:rsidRPr="00FD50F6">
        <w:rPr>
          <w:rFonts w:hint="eastAsia"/>
        </w:rPr>
        <w:t>段设置在</w:t>
      </w:r>
      <w:r w:rsidRPr="00FD50F6">
        <w:t>ATC</w:t>
      </w:r>
      <w:r w:rsidRPr="00FD50F6">
        <w:t>系统控制区域与非</w:t>
      </w:r>
      <w:r w:rsidRPr="00FD50F6">
        <w:t xml:space="preserve"> ATC </w:t>
      </w:r>
      <w:r w:rsidRPr="00FD50F6">
        <w:t>系统控制区域的分界处</w:t>
      </w:r>
      <w:r w:rsidRPr="00FD50F6">
        <w:rPr>
          <w:rFonts w:hint="eastAsia"/>
        </w:rPr>
        <w:t>，其</w:t>
      </w:r>
      <w:r w:rsidRPr="00FD50F6">
        <w:t>长度宜大于最大编组列车的长度</w:t>
      </w:r>
      <w:r w:rsidRPr="00FD50F6">
        <w:rPr>
          <w:rFonts w:hint="eastAsia"/>
        </w:rPr>
        <w:t>；</w:t>
      </w:r>
    </w:p>
    <w:p w14:paraId="2DF51719" w14:textId="77777777" w:rsidR="00717F96" w:rsidRPr="00FD50F6" w:rsidRDefault="00717F96" w:rsidP="00A926BD">
      <w:pPr>
        <w:pStyle w:val="4"/>
      </w:pPr>
      <w:r w:rsidRPr="00FD50F6">
        <w:rPr>
          <w:rFonts w:hint="eastAsia"/>
        </w:rPr>
        <w:t>在</w:t>
      </w:r>
      <w:r w:rsidRPr="00FD50F6">
        <w:rPr>
          <w:rFonts w:hint="eastAsia"/>
        </w:rPr>
        <w:t>ATC</w:t>
      </w:r>
      <w:r w:rsidRPr="00FD50F6">
        <w:rPr>
          <w:rFonts w:hint="eastAsia"/>
        </w:rPr>
        <w:t>控制区域内使用非限制人工驾驶模式应有破铅封、记录或授权指令</w:t>
      </w:r>
      <w:r w:rsidRPr="00FD50F6">
        <w:rPr>
          <w:rFonts w:hint="eastAsia"/>
        </w:rPr>
        <w:lastRenderedPageBreak/>
        <w:t>等技术措施。</w:t>
      </w:r>
    </w:p>
    <w:p w14:paraId="78D9A817" w14:textId="4A3DA09B" w:rsidR="00717F96" w:rsidRPr="00FD50F6" w:rsidRDefault="00717F96" w:rsidP="00DB6B0C">
      <w:pPr>
        <w:pStyle w:val="30"/>
      </w:pPr>
      <w:r w:rsidRPr="00FD50F6">
        <w:rPr>
          <w:rFonts w:hint="eastAsia"/>
        </w:rPr>
        <w:t>列车正常折返模式</w:t>
      </w:r>
      <w:r w:rsidR="00A04029">
        <w:rPr>
          <w:rFonts w:hint="eastAsia"/>
        </w:rPr>
        <w:t>可</w:t>
      </w:r>
      <w:r w:rsidRPr="00FD50F6">
        <w:rPr>
          <w:rFonts w:hint="eastAsia"/>
        </w:rPr>
        <w:t>包括</w:t>
      </w:r>
      <w:r w:rsidRPr="00FD50F6">
        <w:t>FAM</w:t>
      </w:r>
      <w:r w:rsidRPr="00FD50F6">
        <w:rPr>
          <w:rFonts w:hint="eastAsia"/>
        </w:rPr>
        <w:t>模式下的无人驾驶折返模式</w:t>
      </w:r>
      <w:r w:rsidR="00A04029">
        <w:rPr>
          <w:rFonts w:hint="eastAsia"/>
        </w:rPr>
        <w:t>、</w:t>
      </w:r>
      <w:r w:rsidRPr="00FD50F6">
        <w:t>AM</w:t>
      </w:r>
      <w:r w:rsidRPr="00FD50F6">
        <w:rPr>
          <w:rFonts w:hint="eastAsia"/>
        </w:rPr>
        <w:t>模式下的有人或无人驾驶折返模式</w:t>
      </w:r>
      <w:r w:rsidR="00A04029">
        <w:rPr>
          <w:rFonts w:hint="eastAsia"/>
        </w:rPr>
        <w:t>和</w:t>
      </w:r>
      <w:r w:rsidRPr="00FD50F6">
        <w:t>CM</w:t>
      </w:r>
      <w:r w:rsidRPr="00FD50F6">
        <w:rPr>
          <w:rFonts w:hint="eastAsia"/>
        </w:rPr>
        <w:t>模式下的有人驾驶折返模式。</w:t>
      </w:r>
    </w:p>
    <w:p w14:paraId="51127E4E"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Ⅵ</w:t>
      </w:r>
      <w:r w:rsidRPr="00FD50F6">
        <w:rPr>
          <w:rFonts w:ascii="Times New Roman" w:hAnsi="Times New Roman" w:hint="eastAsia"/>
          <w:b/>
          <w:bCs/>
          <w:szCs w:val="24"/>
        </w:rPr>
        <w:t xml:space="preserve"> </w:t>
      </w:r>
      <w:r w:rsidRPr="00FD50F6">
        <w:rPr>
          <w:rFonts w:ascii="Times New Roman" w:hAnsi="Times New Roman" w:hint="eastAsia"/>
          <w:b/>
          <w:bCs/>
          <w:szCs w:val="24"/>
        </w:rPr>
        <w:t>设备安装要求</w:t>
      </w:r>
    </w:p>
    <w:p w14:paraId="4D844B3B" w14:textId="77777777" w:rsidR="00717F96" w:rsidRPr="00FD50F6" w:rsidRDefault="00717F96" w:rsidP="00717F96">
      <w:pPr>
        <w:pStyle w:val="30"/>
      </w:pPr>
      <w:r w:rsidRPr="00FD50F6">
        <w:rPr>
          <w:rFonts w:hint="eastAsia"/>
        </w:rPr>
        <w:t>信号系统的车载设备严禁超出车辆限界，信号系统的地面设备严禁侵入设备限界。</w:t>
      </w:r>
    </w:p>
    <w:p w14:paraId="6746E88E" w14:textId="5C3D4F30" w:rsidR="00717F96" w:rsidRPr="00FD50F6" w:rsidRDefault="00717F96" w:rsidP="00717F96">
      <w:pPr>
        <w:pStyle w:val="30"/>
      </w:pPr>
      <w:r w:rsidRPr="00FD50F6">
        <w:t>信号</w:t>
      </w:r>
      <w:r w:rsidRPr="00FD50F6">
        <w:rPr>
          <w:rFonts w:hint="eastAsia"/>
        </w:rPr>
        <w:t>室外</w:t>
      </w:r>
      <w:r w:rsidRPr="00FD50F6">
        <w:t>设备</w:t>
      </w:r>
      <w:r w:rsidRPr="00FD50F6">
        <w:rPr>
          <w:rFonts w:hint="eastAsia"/>
        </w:rPr>
        <w:t>的</w:t>
      </w:r>
      <w:r w:rsidRPr="00FD50F6">
        <w:t>安装应符合下列</w:t>
      </w:r>
      <w:r w:rsidRPr="00FD50F6">
        <w:rPr>
          <w:rFonts w:hint="eastAsia"/>
        </w:rPr>
        <w:t>规定</w:t>
      </w:r>
      <w:r w:rsidRPr="00FD50F6">
        <w:t>：</w:t>
      </w:r>
      <w:r w:rsidRPr="00FD50F6">
        <w:t xml:space="preserve"> </w:t>
      </w:r>
    </w:p>
    <w:p w14:paraId="26546C6D" w14:textId="77777777" w:rsidR="00717F96" w:rsidRPr="00FD50F6" w:rsidRDefault="00717F96" w:rsidP="00A926BD">
      <w:pPr>
        <w:pStyle w:val="4"/>
      </w:pPr>
      <w:r w:rsidRPr="00FD50F6">
        <w:t>设置于</w:t>
      </w:r>
      <w:r w:rsidRPr="00FD50F6">
        <w:rPr>
          <w:rFonts w:hint="eastAsia"/>
        </w:rPr>
        <w:t>地面和路基段碎石道床范围内</w:t>
      </w:r>
      <w:r w:rsidRPr="00FD50F6">
        <w:t>的</w:t>
      </w:r>
      <w:r w:rsidRPr="00FD50F6">
        <w:rPr>
          <w:rFonts w:hint="eastAsia"/>
        </w:rPr>
        <w:t>信号</w:t>
      </w:r>
      <w:r w:rsidRPr="00FD50F6">
        <w:t>设备基础应设硬化地面</w:t>
      </w:r>
      <w:r w:rsidRPr="00FD50F6">
        <w:rPr>
          <w:rFonts w:hint="eastAsia"/>
        </w:rPr>
        <w:t>；</w:t>
      </w:r>
    </w:p>
    <w:p w14:paraId="0FD0471A" w14:textId="77777777" w:rsidR="00717F96" w:rsidRPr="00FD50F6" w:rsidRDefault="00717F96" w:rsidP="00A926BD">
      <w:pPr>
        <w:pStyle w:val="4"/>
      </w:pPr>
      <w:r w:rsidRPr="00FD50F6">
        <w:t>高架区段设备的安装应与</w:t>
      </w:r>
      <w:r w:rsidRPr="00FD50F6">
        <w:rPr>
          <w:rFonts w:hint="eastAsia"/>
        </w:rPr>
        <w:t>轨道、桥梁、接触网、</w:t>
      </w:r>
      <w:r w:rsidRPr="00FD50F6">
        <w:t>声屏障等专业配合</w:t>
      </w:r>
      <w:r w:rsidRPr="00FD50F6">
        <w:rPr>
          <w:rFonts w:hint="eastAsia"/>
        </w:rPr>
        <w:t>；</w:t>
      </w:r>
    </w:p>
    <w:p w14:paraId="44445815" w14:textId="3713C339" w:rsidR="00717F96" w:rsidRPr="00FD50F6" w:rsidRDefault="00717F96" w:rsidP="00A926BD">
      <w:pPr>
        <w:pStyle w:val="4"/>
      </w:pPr>
      <w:r w:rsidRPr="00FD50F6">
        <w:t>转辙机</w:t>
      </w:r>
      <w:r w:rsidRPr="00FD50F6">
        <w:rPr>
          <w:rFonts w:hint="eastAsia"/>
        </w:rPr>
        <w:t>外缘</w:t>
      </w:r>
      <w:r w:rsidRPr="00FD50F6">
        <w:t>与</w:t>
      </w:r>
      <w:r w:rsidRPr="00FD50F6">
        <w:rPr>
          <w:rFonts w:hint="eastAsia"/>
        </w:rPr>
        <w:t>第三轨</w:t>
      </w:r>
      <w:r w:rsidRPr="00FD50F6">
        <w:t>的安全距离应大于</w:t>
      </w:r>
      <w:r w:rsidRPr="00FD50F6">
        <w:rPr>
          <w:rFonts w:hint="eastAsia"/>
        </w:rPr>
        <w:t>1.2</w:t>
      </w:r>
      <w:r w:rsidRPr="00FD50F6">
        <w:t>m</w:t>
      </w:r>
      <w:r w:rsidRPr="00FD50F6">
        <w:t>。</w:t>
      </w:r>
    </w:p>
    <w:p w14:paraId="0CF3FAD8"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Ⅶ</w:t>
      </w:r>
      <w:r w:rsidRPr="00FD50F6">
        <w:rPr>
          <w:rFonts w:ascii="Times New Roman" w:hAnsi="Times New Roman" w:hint="eastAsia"/>
          <w:b/>
          <w:bCs/>
          <w:szCs w:val="24"/>
        </w:rPr>
        <w:t xml:space="preserve"> </w:t>
      </w:r>
      <w:r w:rsidRPr="00FD50F6">
        <w:rPr>
          <w:rFonts w:ascii="Times New Roman" w:hAnsi="Times New Roman" w:hint="eastAsia"/>
          <w:b/>
          <w:bCs/>
          <w:szCs w:val="24"/>
        </w:rPr>
        <w:t>降级要求</w:t>
      </w:r>
    </w:p>
    <w:p w14:paraId="06EAE273" w14:textId="6FEFAA67" w:rsidR="00717F96" w:rsidRPr="00FD50F6" w:rsidRDefault="00717F96" w:rsidP="00717F96">
      <w:pPr>
        <w:pStyle w:val="30"/>
      </w:pPr>
      <w:bookmarkStart w:id="771" w:name="_Hlk15253116"/>
      <w:r w:rsidRPr="00FD50F6">
        <w:rPr>
          <w:spacing w:val="-19"/>
        </w:rPr>
        <w:t>A</w:t>
      </w:r>
      <w:r w:rsidRPr="00FD50F6">
        <w:t>TC</w:t>
      </w:r>
      <w:r w:rsidRPr="00FD50F6">
        <w:rPr>
          <w:rFonts w:hint="eastAsia"/>
        </w:rPr>
        <w:t>系统应在自身系统设备及通信</w:t>
      </w:r>
      <w:r w:rsidRPr="00FD50F6">
        <w:rPr>
          <w:rFonts w:hint="eastAsia"/>
          <w:spacing w:val="-31"/>
        </w:rPr>
        <w:t>、</w:t>
      </w:r>
      <w:r w:rsidRPr="00FD50F6">
        <w:rPr>
          <w:rFonts w:hint="eastAsia"/>
        </w:rPr>
        <w:t>供电等相关系统设备局部故障条件下实现降级运用，满足行车安全的需要。</w:t>
      </w:r>
      <w:r w:rsidRPr="00FD50F6">
        <w:rPr>
          <w:spacing w:val="-19"/>
        </w:rPr>
        <w:t>A</w:t>
      </w:r>
      <w:r w:rsidRPr="00FD50F6">
        <w:t xml:space="preserve">TC </w:t>
      </w:r>
      <w:r w:rsidRPr="00FD50F6">
        <w:rPr>
          <w:rFonts w:hint="eastAsia"/>
        </w:rPr>
        <w:t>系统的降级运用应实现故障弱化处理，同时应满足故障复原的需要。</w:t>
      </w:r>
      <w:bookmarkEnd w:id="771"/>
    </w:p>
    <w:p w14:paraId="7BFE0F2B" w14:textId="77777777" w:rsidR="00717F96" w:rsidRPr="00FD50F6" w:rsidRDefault="00717F96" w:rsidP="00717F96">
      <w:pPr>
        <w:pStyle w:val="30"/>
      </w:pPr>
      <w:r w:rsidRPr="00FD50F6">
        <w:t>降级运行模式的建立或退出应能自动或由人工操作完成，并应向行车管理人员提示操作结果，同时应具有明确表示</w:t>
      </w:r>
      <w:r w:rsidRPr="00FD50F6">
        <w:rPr>
          <w:rFonts w:hint="eastAsia"/>
        </w:rPr>
        <w:t>。</w:t>
      </w:r>
    </w:p>
    <w:p w14:paraId="5C98EA11" w14:textId="5969E78F" w:rsidR="00717F96" w:rsidRPr="00FD50F6" w:rsidRDefault="00717F96" w:rsidP="00717F96">
      <w:pPr>
        <w:pStyle w:val="30"/>
      </w:pPr>
      <w:r w:rsidRPr="00FD50F6">
        <w:rPr>
          <w:rFonts w:hint="eastAsia"/>
        </w:rPr>
        <w:t>当全自动运行线路设置主、备用控制中心时，若主控制中心设备异常或故障，应降级至备用控制中心设备控制，主、备中心控制权应实现自动无缝切换。</w:t>
      </w:r>
    </w:p>
    <w:p w14:paraId="71587B58" w14:textId="4F2CF966" w:rsidR="00717F96" w:rsidRPr="00FD50F6" w:rsidRDefault="00717F96" w:rsidP="00717F96">
      <w:pPr>
        <w:pStyle w:val="30"/>
      </w:pPr>
      <w:r w:rsidRPr="00FD50F6">
        <w:rPr>
          <w:rFonts w:hint="eastAsia"/>
        </w:rPr>
        <w:t>当</w:t>
      </w:r>
      <w:r w:rsidRPr="00FD50F6">
        <w:t>ATP</w:t>
      </w:r>
      <w:r w:rsidRPr="00FD50F6">
        <w:rPr>
          <w:rFonts w:hint="eastAsia"/>
        </w:rPr>
        <w:t>系统故障时，系统降级应具备联锁级控制功能，应满足站间闭塞的行车要求。</w:t>
      </w:r>
    </w:p>
    <w:p w14:paraId="6A80D1C2"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Ⅷ</w:t>
      </w:r>
      <w:r w:rsidRPr="00FD50F6">
        <w:rPr>
          <w:rFonts w:ascii="Times New Roman" w:hAnsi="Times New Roman" w:hint="eastAsia"/>
          <w:b/>
          <w:bCs/>
          <w:szCs w:val="24"/>
        </w:rPr>
        <w:t xml:space="preserve"> </w:t>
      </w:r>
      <w:r w:rsidRPr="00FD50F6">
        <w:rPr>
          <w:rFonts w:ascii="Times New Roman" w:hAnsi="Times New Roman" w:hint="eastAsia"/>
          <w:b/>
          <w:bCs/>
          <w:szCs w:val="24"/>
        </w:rPr>
        <w:t>互联互通要求</w:t>
      </w:r>
    </w:p>
    <w:p w14:paraId="6AFBE3CE" w14:textId="0B6896B3" w:rsidR="00717F96" w:rsidRPr="00FD50F6" w:rsidRDefault="00717F96" w:rsidP="00717F96">
      <w:pPr>
        <w:pStyle w:val="30"/>
      </w:pPr>
      <w:r w:rsidRPr="00FD50F6">
        <w:rPr>
          <w:rFonts w:hint="eastAsia"/>
        </w:rPr>
        <w:t>互联互通的线路应采用统一的系统架构、功能分配、轨旁设备布置原则、车地间和线路间通信接口协议、电子地图设计及数据配置原则。</w:t>
      </w:r>
    </w:p>
    <w:p w14:paraId="5C5F37FE" w14:textId="7923CB02" w:rsidR="00717F96" w:rsidRPr="00FD50F6" w:rsidRDefault="00717F96" w:rsidP="00717F96">
      <w:pPr>
        <w:pStyle w:val="30"/>
      </w:pPr>
      <w:r w:rsidRPr="00FD50F6">
        <w:rPr>
          <w:rFonts w:hint="eastAsia"/>
        </w:rPr>
        <w:t>互联互通系统应支持不同线路列车在本线路具备列车自动控制的功能。</w:t>
      </w:r>
    </w:p>
    <w:p w14:paraId="4BF3E350" w14:textId="6D300050" w:rsidR="00717F96" w:rsidRDefault="00717F96" w:rsidP="00717F96">
      <w:pPr>
        <w:pStyle w:val="30"/>
      </w:pPr>
      <w:r w:rsidRPr="00FD50F6">
        <w:rPr>
          <w:rFonts w:hint="eastAsia"/>
        </w:rPr>
        <w:t>具备互联互通条件的列车应能在各种控制模式下实现跨线运行。</w:t>
      </w:r>
    </w:p>
    <w:p w14:paraId="5684CE45" w14:textId="77777777" w:rsidR="00CA6052" w:rsidRPr="00CA6052" w:rsidRDefault="00CA6052" w:rsidP="00CA6052"/>
    <w:p w14:paraId="66645E4F" w14:textId="77777777" w:rsidR="00717F96" w:rsidRPr="00FD50F6" w:rsidRDefault="00717F96" w:rsidP="00A65181">
      <w:pPr>
        <w:pStyle w:val="2"/>
      </w:pPr>
      <w:bookmarkStart w:id="772" w:name="_Toc16466753"/>
      <w:bookmarkStart w:id="773" w:name="_Toc112830780"/>
      <w:r w:rsidRPr="00FD50F6">
        <w:rPr>
          <w:rFonts w:hint="eastAsia"/>
        </w:rPr>
        <w:lastRenderedPageBreak/>
        <w:t>系统构成</w:t>
      </w:r>
      <w:bookmarkEnd w:id="772"/>
      <w:bookmarkEnd w:id="773"/>
    </w:p>
    <w:p w14:paraId="3382EC45"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Ⅰ</w:t>
      </w:r>
      <w:r w:rsidRPr="00FD50F6">
        <w:rPr>
          <w:rFonts w:ascii="Times New Roman" w:hAnsi="Times New Roman"/>
          <w:b/>
          <w:bCs/>
          <w:szCs w:val="24"/>
        </w:rPr>
        <w:t xml:space="preserve"> </w:t>
      </w:r>
      <w:r w:rsidRPr="00FD50F6">
        <w:rPr>
          <w:rFonts w:ascii="Times New Roman" w:hAnsi="Times New Roman" w:hint="eastAsia"/>
          <w:b/>
          <w:bCs/>
          <w:szCs w:val="24"/>
        </w:rPr>
        <w:t>基本要求</w:t>
      </w:r>
    </w:p>
    <w:p w14:paraId="5D1DC883" w14:textId="6BD9F554" w:rsidR="00717F96" w:rsidRPr="00FD50F6" w:rsidRDefault="00717F96" w:rsidP="00A04029">
      <w:pPr>
        <w:pStyle w:val="30"/>
      </w:pPr>
      <w:r w:rsidRPr="00FD50F6">
        <w:rPr>
          <w:rFonts w:hint="eastAsia"/>
        </w:rPr>
        <w:t>信号系统按功能划分应包括</w:t>
      </w:r>
      <w:r w:rsidRPr="00FD50F6">
        <w:t>ATS</w:t>
      </w:r>
      <w:r w:rsidRPr="00FD50F6">
        <w:t>系统</w:t>
      </w:r>
      <w:r w:rsidR="00A04029">
        <w:t>、</w:t>
      </w:r>
      <w:r w:rsidRPr="00FD50F6">
        <w:t>ATP</w:t>
      </w:r>
      <w:r w:rsidRPr="00FD50F6">
        <w:t>系统</w:t>
      </w:r>
      <w:r w:rsidR="00A04029">
        <w:t>、</w:t>
      </w:r>
      <w:r w:rsidRPr="00FD50F6">
        <w:t>ATO</w:t>
      </w:r>
      <w:r w:rsidRPr="00FD50F6">
        <w:t>系统</w:t>
      </w:r>
      <w:r w:rsidR="00A04029">
        <w:rPr>
          <w:rFonts w:hint="eastAsia"/>
        </w:rPr>
        <w:t>、</w:t>
      </w:r>
      <w:r w:rsidRPr="00FD50F6">
        <w:rPr>
          <w:rFonts w:hint="eastAsia"/>
        </w:rPr>
        <w:t>数据通信系统</w:t>
      </w:r>
      <w:r w:rsidR="00A04029">
        <w:rPr>
          <w:rFonts w:hint="eastAsia"/>
        </w:rPr>
        <w:t>和</w:t>
      </w:r>
      <w:r w:rsidRPr="00FD50F6">
        <w:rPr>
          <w:rFonts w:hint="eastAsia"/>
        </w:rPr>
        <w:t>维护监测系统。</w:t>
      </w:r>
    </w:p>
    <w:p w14:paraId="495E3F8E" w14:textId="512F2298" w:rsidR="00717F96" w:rsidRPr="00FD50F6" w:rsidRDefault="00717F96" w:rsidP="00DB6B0C">
      <w:pPr>
        <w:pStyle w:val="30"/>
      </w:pPr>
      <w:r w:rsidRPr="00FD50F6">
        <w:t>信号系统按地域划分可包括控制中心</w:t>
      </w:r>
      <w:r w:rsidRPr="00FD50F6">
        <w:rPr>
          <w:rFonts w:hint="eastAsia"/>
        </w:rPr>
        <w:t>设备系统</w:t>
      </w:r>
      <w:r w:rsidR="00A04029">
        <w:t>、</w:t>
      </w:r>
      <w:r w:rsidRPr="00FD50F6">
        <w:rPr>
          <w:rFonts w:hint="eastAsia"/>
        </w:rPr>
        <w:t>正线设备系统</w:t>
      </w:r>
      <w:r w:rsidR="00A04029">
        <w:rPr>
          <w:rFonts w:hint="eastAsia"/>
        </w:rPr>
        <w:t>、</w:t>
      </w:r>
      <w:r w:rsidRPr="00FD50F6">
        <w:t>车载</w:t>
      </w:r>
      <w:r w:rsidRPr="00FD50F6">
        <w:rPr>
          <w:rFonts w:hint="eastAsia"/>
        </w:rPr>
        <w:t>设备系统</w:t>
      </w:r>
      <w:r w:rsidR="00A04029">
        <w:t>和</w:t>
      </w:r>
      <w:r w:rsidRPr="00FD50F6">
        <w:t>车辆基地</w:t>
      </w:r>
      <w:r w:rsidRPr="00FD50F6">
        <w:rPr>
          <w:rFonts w:hint="eastAsia"/>
        </w:rPr>
        <w:t>设备系统</w:t>
      </w:r>
      <w:r w:rsidRPr="00FD50F6">
        <w:t>。</w:t>
      </w:r>
    </w:p>
    <w:p w14:paraId="3FB9034D" w14:textId="77777777" w:rsidR="00717F96" w:rsidRPr="00FD50F6" w:rsidRDefault="00717F96" w:rsidP="00717F96">
      <w:pPr>
        <w:pStyle w:val="30"/>
      </w:pPr>
      <w:r w:rsidRPr="00FD50F6">
        <w:rPr>
          <w:rFonts w:hint="eastAsia"/>
        </w:rPr>
        <w:t>当信号系统采用区域控制方式时，控制区域的划分应根据车站配线、区域范围内线路长度、系统设备控制能力、系统性能指标、故障影响范围及自动化等级等因素确定。</w:t>
      </w:r>
    </w:p>
    <w:p w14:paraId="37C07D36" w14:textId="6588EF2D" w:rsidR="00717F96" w:rsidRPr="00FD50F6" w:rsidRDefault="00717F96" w:rsidP="00717F96">
      <w:pPr>
        <w:pStyle w:val="30"/>
      </w:pPr>
      <w:r w:rsidRPr="00FD50F6">
        <w:rPr>
          <w:rFonts w:hint="eastAsia"/>
        </w:rPr>
        <w:t>信号系统按控制区域划分可包括区域控制站和非区域控制站，并应符合下列规定：</w:t>
      </w:r>
    </w:p>
    <w:p w14:paraId="6E904B18" w14:textId="77777777" w:rsidR="00717F96" w:rsidRPr="00FD50F6" w:rsidRDefault="00717F96" w:rsidP="00A926BD">
      <w:pPr>
        <w:pStyle w:val="4"/>
      </w:pPr>
      <w:r w:rsidRPr="00FD50F6">
        <w:rPr>
          <w:rFonts w:hint="eastAsia"/>
        </w:rPr>
        <w:t>非全自动运行线路的折返站、</w:t>
      </w:r>
      <w:r w:rsidRPr="00FD50F6">
        <w:t>与车辆基地的衔接站</w:t>
      </w:r>
      <w:r w:rsidRPr="00FD50F6">
        <w:rPr>
          <w:rFonts w:hint="eastAsia"/>
        </w:rPr>
        <w:t>宜设置为区域控制站；</w:t>
      </w:r>
    </w:p>
    <w:p w14:paraId="309DC6B0" w14:textId="77777777" w:rsidR="00717F96" w:rsidRPr="00FD50F6" w:rsidRDefault="00717F96" w:rsidP="00A926BD">
      <w:pPr>
        <w:pStyle w:val="4"/>
      </w:pPr>
      <w:r w:rsidRPr="00FD50F6">
        <w:rPr>
          <w:rFonts w:hint="eastAsia"/>
        </w:rPr>
        <w:t>全自动运行线路的控制中心、车辆基地可设置为区域控制站。</w:t>
      </w:r>
    </w:p>
    <w:p w14:paraId="2FDC283A" w14:textId="77777777" w:rsidR="00717F96" w:rsidRPr="00FD50F6" w:rsidRDefault="00717F96" w:rsidP="00717F96">
      <w:pPr>
        <w:pStyle w:val="30"/>
      </w:pPr>
      <w:r w:rsidRPr="00FD50F6">
        <w:t>AT</w:t>
      </w:r>
      <w:r w:rsidRPr="00FD50F6">
        <w:rPr>
          <w:rFonts w:hint="eastAsia"/>
        </w:rPr>
        <w:t>S</w:t>
      </w:r>
      <w:r w:rsidRPr="00FD50F6">
        <w:t>系统</w:t>
      </w:r>
      <w:r w:rsidRPr="00FD50F6">
        <w:rPr>
          <w:rFonts w:hint="eastAsia"/>
        </w:rPr>
        <w:t>配置应包括控制中心设备、车站和车辆基地设备，主要服务器应采用双机热备方式；当主机故障时，主备机切换应确保系统功能完整、各种显示连续、正确。</w:t>
      </w:r>
    </w:p>
    <w:p w14:paraId="2C000E31" w14:textId="77777777" w:rsidR="00717F96" w:rsidRPr="00FD50F6" w:rsidRDefault="00717F96" w:rsidP="00717F96">
      <w:pPr>
        <w:pStyle w:val="30"/>
        <w:rPr>
          <w:rFonts w:eastAsia="等线"/>
        </w:rPr>
      </w:pPr>
      <w:r w:rsidRPr="00FD50F6">
        <w:rPr>
          <w:rFonts w:hint="eastAsia"/>
        </w:rPr>
        <w:t>地铁必须配置</w:t>
      </w:r>
      <w:r w:rsidRPr="00FD50F6">
        <w:t>ATP</w:t>
      </w:r>
      <w:r w:rsidRPr="00FD50F6">
        <w:rPr>
          <w:rFonts w:hint="eastAsia"/>
        </w:rPr>
        <w:t>系统，其系统安全完善度等级应满足安全完整性等级（</w:t>
      </w:r>
      <w:r w:rsidRPr="00FD50F6">
        <w:t>SIL</w:t>
      </w:r>
      <w:r w:rsidRPr="00FD50F6">
        <w:rPr>
          <w:rFonts w:hint="eastAsia"/>
        </w:rPr>
        <w:t>）</w:t>
      </w:r>
      <w:r w:rsidRPr="00FD50F6">
        <w:t>4</w:t>
      </w:r>
      <w:r w:rsidRPr="00FD50F6">
        <w:rPr>
          <w:rFonts w:hint="eastAsia"/>
        </w:rPr>
        <w:t>级标准。</w:t>
      </w:r>
    </w:p>
    <w:p w14:paraId="192D2E77" w14:textId="77777777" w:rsidR="00717F96" w:rsidRPr="00FD50F6" w:rsidRDefault="00717F96" w:rsidP="00717F96">
      <w:pPr>
        <w:pStyle w:val="30"/>
        <w:rPr>
          <w:rFonts w:eastAsia="等线"/>
        </w:rPr>
      </w:pPr>
      <w:r w:rsidRPr="00FD50F6">
        <w:t>ATP</w:t>
      </w:r>
      <w:r w:rsidRPr="00FD50F6">
        <w:rPr>
          <w:rFonts w:hint="eastAsia"/>
        </w:rPr>
        <w:t>系统在安全防护预定停车地点的外方应设安全防护距离或防护区段，安全防护距离应通过计算确定。</w:t>
      </w:r>
    </w:p>
    <w:p w14:paraId="755C5BB3" w14:textId="77777777" w:rsidR="00717F96" w:rsidRPr="00FD50F6" w:rsidRDefault="00717F96" w:rsidP="00717F96">
      <w:pPr>
        <w:pStyle w:val="30"/>
        <w:rPr>
          <w:rFonts w:eastAsia="等线"/>
        </w:rPr>
      </w:pPr>
      <w:r w:rsidRPr="00FD50F6">
        <w:rPr>
          <w:rFonts w:hint="eastAsia"/>
        </w:rPr>
        <w:t>ATP</w:t>
      </w:r>
      <w:r w:rsidRPr="00FD50F6">
        <w:rPr>
          <w:rFonts w:hint="eastAsia"/>
        </w:rPr>
        <w:t>系统配置应包括地面设备和车载设备，主体逻辑计算机应采用三取二或二乘二取二的安全冗余结构。</w:t>
      </w:r>
    </w:p>
    <w:p w14:paraId="7336E560" w14:textId="77777777" w:rsidR="00717F96" w:rsidRPr="00FD50F6" w:rsidRDefault="00717F96" w:rsidP="00717F96">
      <w:pPr>
        <w:pStyle w:val="30"/>
      </w:pPr>
      <w:r w:rsidRPr="00FD50F6">
        <w:t>ATO</w:t>
      </w:r>
      <w:r w:rsidRPr="00FD50F6">
        <w:t>系统</w:t>
      </w:r>
      <w:r w:rsidRPr="00FD50F6">
        <w:rPr>
          <w:rFonts w:hint="eastAsia"/>
        </w:rPr>
        <w:t>配置应包括地面设备和车载设备。</w:t>
      </w:r>
    </w:p>
    <w:p w14:paraId="1C0A7DC0" w14:textId="77777777" w:rsidR="00717F96" w:rsidRPr="00FD50F6" w:rsidRDefault="00717F96" w:rsidP="00717F96">
      <w:pPr>
        <w:pStyle w:val="30"/>
      </w:pPr>
      <w:r w:rsidRPr="00FD50F6">
        <w:rPr>
          <w:rFonts w:hint="eastAsia"/>
        </w:rPr>
        <w:t>全自动运行线路车载</w:t>
      </w:r>
      <w:r w:rsidRPr="00FD50F6">
        <w:rPr>
          <w:rFonts w:hint="eastAsia"/>
        </w:rPr>
        <w:t>ATO</w:t>
      </w:r>
      <w:r w:rsidRPr="00FD50F6">
        <w:rPr>
          <w:rFonts w:hint="eastAsia"/>
        </w:rPr>
        <w:t>设备应采用冗余结构，且与相关系统间的通信通道也应采用冗余配置。</w:t>
      </w:r>
    </w:p>
    <w:p w14:paraId="39FECD75" w14:textId="77777777" w:rsidR="00717F96" w:rsidRPr="00FD50F6" w:rsidRDefault="00717F96" w:rsidP="00717F96">
      <w:pPr>
        <w:pStyle w:val="30"/>
      </w:pPr>
      <w:r w:rsidRPr="00FD50F6">
        <w:rPr>
          <w:rFonts w:hint="eastAsia"/>
        </w:rPr>
        <w:t>当计算机联锁设备与</w:t>
      </w:r>
      <w:r w:rsidRPr="00FD50F6">
        <w:rPr>
          <w:rFonts w:hint="eastAsia"/>
        </w:rPr>
        <w:t>ATP</w:t>
      </w:r>
      <w:r w:rsidRPr="00FD50F6">
        <w:rPr>
          <w:rFonts w:hint="eastAsia"/>
        </w:rPr>
        <w:t>计算机独立设置时，计算机联锁设备应采用三取二或二乘二取二的安全冗余结构，安全完善度等级应满足安全完整性等级（</w:t>
      </w:r>
      <w:r w:rsidRPr="00FD50F6">
        <w:t>SIL</w:t>
      </w:r>
      <w:r w:rsidRPr="00FD50F6">
        <w:t>）</w:t>
      </w:r>
      <w:r w:rsidRPr="00FD50F6">
        <w:t>4</w:t>
      </w:r>
      <w:r w:rsidRPr="00FD50F6">
        <w:t>级标准</w:t>
      </w:r>
      <w:r w:rsidRPr="00FD50F6">
        <w:rPr>
          <w:rFonts w:hint="eastAsia"/>
        </w:rPr>
        <w:t>。</w:t>
      </w:r>
    </w:p>
    <w:p w14:paraId="7F1CDB44" w14:textId="77777777" w:rsidR="00717F96" w:rsidRPr="00FD50F6" w:rsidRDefault="00717F96" w:rsidP="00717F96">
      <w:pPr>
        <w:pStyle w:val="30"/>
      </w:pPr>
      <w:r w:rsidRPr="00FD50F6">
        <w:t>ATO</w:t>
      </w:r>
      <w:r w:rsidRPr="00FD50F6">
        <w:t>系统可具有司机监控下的</w:t>
      </w:r>
      <w:r w:rsidRPr="00FD50F6">
        <w:rPr>
          <w:rFonts w:hint="eastAsia"/>
        </w:rPr>
        <w:t>A</w:t>
      </w:r>
      <w:r w:rsidRPr="00FD50F6">
        <w:t>TO</w:t>
      </w:r>
      <w:r w:rsidRPr="00FD50F6">
        <w:t>、</w:t>
      </w:r>
      <w:r w:rsidRPr="00FD50F6">
        <w:rPr>
          <w:rFonts w:hint="eastAsia"/>
        </w:rPr>
        <w:t>无人驾驶等</w:t>
      </w:r>
      <w:r w:rsidRPr="00FD50F6">
        <w:t>水平等级</w:t>
      </w:r>
      <w:r w:rsidRPr="00FD50F6">
        <w:rPr>
          <w:rFonts w:hint="eastAsia"/>
        </w:rPr>
        <w:t>。</w:t>
      </w:r>
    </w:p>
    <w:p w14:paraId="1114B0C6" w14:textId="77777777" w:rsidR="00717F96" w:rsidRPr="00FD50F6" w:rsidRDefault="00717F96" w:rsidP="00717F96">
      <w:pPr>
        <w:pStyle w:val="30"/>
      </w:pPr>
      <w:r w:rsidRPr="00FD50F6">
        <w:rPr>
          <w:rFonts w:hint="eastAsia"/>
        </w:rPr>
        <w:lastRenderedPageBreak/>
        <w:t>涉及安全的非由联锁设备驱动的关键继电器，</w:t>
      </w:r>
      <w:r w:rsidRPr="00FD50F6">
        <w:rPr>
          <w:rFonts w:ascii="宋体" w:hAnsi="宋体" w:hint="eastAsia"/>
        </w:rPr>
        <w:t>计算机联锁设备的每一系均</w:t>
      </w:r>
      <w:r w:rsidRPr="00FD50F6">
        <w:rPr>
          <w:rFonts w:hint="eastAsia"/>
        </w:rPr>
        <w:t>应采用冗余接点校核方式。</w:t>
      </w:r>
    </w:p>
    <w:p w14:paraId="61CE5326" w14:textId="77777777" w:rsidR="00717F96" w:rsidRPr="00FD50F6" w:rsidRDefault="00717F96" w:rsidP="00717F96">
      <w:pPr>
        <w:pStyle w:val="30"/>
      </w:pPr>
      <w:r w:rsidRPr="00FD50F6">
        <w:rPr>
          <w:rFonts w:hint="eastAsia"/>
        </w:rPr>
        <w:t>数据通信</w:t>
      </w:r>
      <w:r w:rsidRPr="00FD50F6">
        <w:t>系统</w:t>
      </w:r>
      <w:r w:rsidRPr="00FD50F6">
        <w:rPr>
          <w:rFonts w:hint="eastAsia"/>
        </w:rPr>
        <w:t>配置应包括有线骨干网络、无线网络和网管设备。</w:t>
      </w:r>
    </w:p>
    <w:p w14:paraId="4358D3FD" w14:textId="77777777" w:rsidR="00717F96" w:rsidRPr="00FD50F6" w:rsidRDefault="00717F96" w:rsidP="00717F96">
      <w:pPr>
        <w:pStyle w:val="30"/>
      </w:pPr>
      <w:r w:rsidRPr="00FD50F6">
        <w:rPr>
          <w:rFonts w:hint="eastAsia"/>
        </w:rPr>
        <w:t>数据通信系统有线骨干网络应采用冗余通道。</w:t>
      </w:r>
      <w:r w:rsidRPr="00FD50F6">
        <w:rPr>
          <w:rFonts w:hint="eastAsia"/>
        </w:rPr>
        <w:t>ATP/ATO</w:t>
      </w:r>
      <w:r w:rsidRPr="00FD50F6">
        <w:rPr>
          <w:rFonts w:hint="eastAsia"/>
        </w:rPr>
        <w:t>系统通道应采用自建传输通道，独立组网方式；</w:t>
      </w:r>
      <w:r w:rsidRPr="00FD50F6">
        <w:rPr>
          <w:rFonts w:hint="eastAsia"/>
        </w:rPr>
        <w:t>ATS</w:t>
      </w:r>
      <w:r w:rsidRPr="00FD50F6">
        <w:rPr>
          <w:rFonts w:hint="eastAsia"/>
        </w:rPr>
        <w:t>系统及维护监测系统可利用通信传输通道。</w:t>
      </w:r>
    </w:p>
    <w:p w14:paraId="41C95C10" w14:textId="77777777" w:rsidR="00717F96" w:rsidRPr="00FD50F6" w:rsidRDefault="00717F96" w:rsidP="00717F96">
      <w:pPr>
        <w:pStyle w:val="30"/>
        <w:rPr>
          <w:rFonts w:ascii="楷体" w:eastAsia="楷体" w:hAnsi="楷体"/>
        </w:rPr>
      </w:pPr>
      <w:r w:rsidRPr="00FD50F6">
        <w:t>信号系统应设置</w:t>
      </w:r>
      <w:r w:rsidRPr="00FD50F6">
        <w:rPr>
          <w:rFonts w:hint="eastAsia"/>
        </w:rPr>
        <w:t>维护监测设备</w:t>
      </w:r>
      <w:r w:rsidRPr="00FD50F6">
        <w:t>，</w:t>
      </w:r>
      <w:r w:rsidRPr="00FD50F6">
        <w:rPr>
          <w:rFonts w:hint="eastAsia"/>
        </w:rPr>
        <w:t>并应</w:t>
      </w:r>
      <w:r w:rsidRPr="00FD50F6">
        <w:t>实时远程监测信号系统</w:t>
      </w:r>
      <w:r w:rsidRPr="00FD50F6">
        <w:t>/</w:t>
      </w:r>
      <w:r w:rsidRPr="00FD50F6">
        <w:t>设备的运行状态</w:t>
      </w:r>
      <w:r w:rsidRPr="00FD50F6">
        <w:rPr>
          <w:rFonts w:hint="eastAsia"/>
        </w:rPr>
        <w:t>。</w:t>
      </w:r>
    </w:p>
    <w:p w14:paraId="28200B0E" w14:textId="1FF8EFC3" w:rsidR="00717F96" w:rsidRPr="00FD50F6" w:rsidRDefault="00717F96" w:rsidP="00717F96">
      <w:pPr>
        <w:pStyle w:val="30"/>
      </w:pPr>
      <w:r w:rsidRPr="00FD50F6">
        <w:rPr>
          <w:rFonts w:hint="eastAsia"/>
        </w:rPr>
        <w:t>信号系统应配备专用维修器具、测试工具及仪器仪表。</w:t>
      </w:r>
    </w:p>
    <w:p w14:paraId="7054E99B"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Ⅱ</w:t>
      </w:r>
      <w:r w:rsidRPr="00FD50F6">
        <w:rPr>
          <w:rFonts w:ascii="Times New Roman" w:hAnsi="Times New Roman" w:hint="eastAsia"/>
          <w:b/>
          <w:bCs/>
          <w:szCs w:val="24"/>
        </w:rPr>
        <w:t xml:space="preserve"> </w:t>
      </w:r>
      <w:r w:rsidRPr="00FD50F6">
        <w:rPr>
          <w:rFonts w:ascii="Times New Roman" w:hAnsi="Times New Roman" w:hint="eastAsia"/>
          <w:b/>
          <w:bCs/>
          <w:szCs w:val="24"/>
        </w:rPr>
        <w:t>控制中心设备系统</w:t>
      </w:r>
    </w:p>
    <w:p w14:paraId="0492D121" w14:textId="5D5956C6" w:rsidR="00717F96" w:rsidRPr="00FD50F6" w:rsidRDefault="00717F96" w:rsidP="00717F96">
      <w:pPr>
        <w:pStyle w:val="30"/>
      </w:pPr>
      <w:r w:rsidRPr="00FD50F6">
        <w:rPr>
          <w:rFonts w:hint="eastAsia"/>
        </w:rPr>
        <w:t>控制中心设备系统应包括</w:t>
      </w:r>
      <w:r w:rsidRPr="00FD50F6">
        <w:t>服务器、工作站、</w:t>
      </w:r>
      <w:r w:rsidRPr="00FD50F6">
        <w:rPr>
          <w:rFonts w:hint="eastAsia"/>
        </w:rPr>
        <w:t>数据通信</w:t>
      </w:r>
      <w:r w:rsidRPr="00FD50F6">
        <w:t>网络设备</w:t>
      </w:r>
      <w:r w:rsidRPr="00FD50F6">
        <w:rPr>
          <w:rFonts w:hint="eastAsia"/>
        </w:rPr>
        <w:t>、接口设备</w:t>
      </w:r>
      <w:r w:rsidRPr="00FD50F6">
        <w:t>等。</w:t>
      </w:r>
      <w:bookmarkStart w:id="774" w:name="_Hlk26541694"/>
      <w:r w:rsidRPr="00FD50F6">
        <w:t>工作站应包括</w:t>
      </w:r>
      <w:r w:rsidRPr="00FD50F6">
        <w:rPr>
          <w:rFonts w:hint="eastAsia"/>
        </w:rPr>
        <w:t>行车调度</w:t>
      </w:r>
      <w:r w:rsidRPr="00FD50F6">
        <w:t>工作站、时刻表编辑工作站、维护工作站和培训工作站等</w:t>
      </w:r>
      <w:r w:rsidRPr="00FD50F6">
        <w:rPr>
          <w:rFonts w:hint="eastAsia"/>
        </w:rPr>
        <w:t>。</w:t>
      </w:r>
      <w:bookmarkEnd w:id="774"/>
    </w:p>
    <w:p w14:paraId="0F6D8F2C" w14:textId="3F0A1BF8" w:rsidR="00717F96" w:rsidRPr="00FD50F6" w:rsidRDefault="00717F96" w:rsidP="00717F96">
      <w:pPr>
        <w:pStyle w:val="30"/>
      </w:pPr>
      <w:r w:rsidRPr="00FD50F6">
        <w:rPr>
          <w:rFonts w:hint="eastAsia"/>
        </w:rPr>
        <w:t>控制中心</w:t>
      </w:r>
      <w:r w:rsidRPr="00FD50F6">
        <w:t>调度员工作站的数量</w:t>
      </w:r>
      <w:r w:rsidRPr="00FD50F6">
        <w:rPr>
          <w:rFonts w:hint="eastAsia"/>
        </w:rPr>
        <w:t>应</w:t>
      </w:r>
      <w:r w:rsidRPr="00FD50F6">
        <w:t>根据在线列车对数、线路长度和车站数量等因素合理配置；各调度工作站应互为备用，调度工作站的多个显示器输出控制应相对独立</w:t>
      </w:r>
      <w:r w:rsidRPr="00FD50F6">
        <w:rPr>
          <w:rFonts w:hint="eastAsia"/>
        </w:rPr>
        <w:t>。</w:t>
      </w:r>
    </w:p>
    <w:p w14:paraId="791A3697" w14:textId="2C12DE1D" w:rsidR="00717F96" w:rsidRPr="00FD50F6" w:rsidRDefault="00717F96" w:rsidP="00717F96">
      <w:pPr>
        <w:pStyle w:val="30"/>
      </w:pPr>
      <w:r w:rsidRPr="00FD50F6">
        <w:rPr>
          <w:rFonts w:hint="eastAsia"/>
        </w:rPr>
        <w:t>全自动运行线路宜配置备用控制中心设备。</w:t>
      </w:r>
    </w:p>
    <w:p w14:paraId="7DAD341D"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Ⅲ</w:t>
      </w:r>
      <w:r w:rsidRPr="00FD50F6">
        <w:rPr>
          <w:rFonts w:ascii="Times New Roman" w:hAnsi="Times New Roman" w:hint="eastAsia"/>
          <w:b/>
          <w:bCs/>
          <w:szCs w:val="24"/>
        </w:rPr>
        <w:t xml:space="preserve"> </w:t>
      </w:r>
      <w:r w:rsidRPr="00FD50F6">
        <w:rPr>
          <w:rFonts w:ascii="Times New Roman" w:hAnsi="Times New Roman" w:hint="eastAsia"/>
          <w:b/>
          <w:bCs/>
          <w:szCs w:val="24"/>
        </w:rPr>
        <w:t>正线设备系统</w:t>
      </w:r>
    </w:p>
    <w:p w14:paraId="78B54713" w14:textId="77777777" w:rsidR="00717F96" w:rsidRPr="00FD50F6" w:rsidRDefault="00717F96" w:rsidP="00717F96">
      <w:pPr>
        <w:pStyle w:val="30"/>
      </w:pPr>
      <w:bookmarkStart w:id="775" w:name="OLE_LINK5"/>
      <w:r w:rsidRPr="00FD50F6">
        <w:rPr>
          <w:rFonts w:hint="eastAsia"/>
        </w:rPr>
        <w:t>正线设备系统应包括车站设备和轨旁设备。</w:t>
      </w:r>
    </w:p>
    <w:bookmarkEnd w:id="775"/>
    <w:p w14:paraId="5D749E8F" w14:textId="662CF599" w:rsidR="00717F96" w:rsidRPr="00FD50F6" w:rsidRDefault="00717F96" w:rsidP="00717F96">
      <w:pPr>
        <w:pStyle w:val="30"/>
      </w:pPr>
      <w:r w:rsidRPr="00FD50F6">
        <w:rPr>
          <w:rFonts w:hint="eastAsia"/>
        </w:rPr>
        <w:t>车站设备</w:t>
      </w:r>
      <w:r w:rsidR="00A04029">
        <w:rPr>
          <w:rFonts w:hint="eastAsia"/>
        </w:rPr>
        <w:t>宜</w:t>
      </w:r>
      <w:r w:rsidRPr="00FD50F6">
        <w:rPr>
          <w:rFonts w:hint="eastAsia"/>
        </w:rPr>
        <w:t>包括服务器</w:t>
      </w:r>
      <w:r w:rsidRPr="00FD50F6">
        <w:rPr>
          <w:rFonts w:hint="eastAsia"/>
        </w:rPr>
        <w:t>/</w:t>
      </w:r>
      <w:r w:rsidRPr="00FD50F6">
        <w:rPr>
          <w:rFonts w:hint="eastAsia"/>
        </w:rPr>
        <w:t>工作站、主体逻辑计算机、监视终端、</w:t>
      </w:r>
      <w:r w:rsidRPr="00FD50F6">
        <w:t>信息传输</w:t>
      </w:r>
      <w:r w:rsidRPr="00FD50F6">
        <w:rPr>
          <w:rFonts w:hint="eastAsia"/>
        </w:rPr>
        <w:t>网络、发车计时器</w:t>
      </w:r>
      <w:r w:rsidRPr="00FD50F6">
        <w:t>、</w:t>
      </w:r>
      <w:r w:rsidRPr="00FD50F6">
        <w:rPr>
          <w:rFonts w:hint="eastAsia"/>
        </w:rPr>
        <w:t>站台紧急关闭按钮等设备。</w:t>
      </w:r>
    </w:p>
    <w:p w14:paraId="5DF3BB20" w14:textId="7D5A9751" w:rsidR="00717F96" w:rsidRPr="00FD50F6" w:rsidRDefault="00717F96" w:rsidP="00717F96">
      <w:pPr>
        <w:pStyle w:val="30"/>
      </w:pPr>
      <w:r w:rsidRPr="00FD50F6">
        <w:rPr>
          <w:rFonts w:hint="eastAsia"/>
        </w:rPr>
        <w:t>轨旁设备</w:t>
      </w:r>
      <w:r w:rsidR="00A04029">
        <w:rPr>
          <w:rFonts w:hint="eastAsia"/>
        </w:rPr>
        <w:t>宜</w:t>
      </w:r>
      <w:r w:rsidR="00A04029" w:rsidRPr="00FD50F6">
        <w:rPr>
          <w:rFonts w:hint="eastAsia"/>
        </w:rPr>
        <w:t>包括</w:t>
      </w:r>
      <w:r w:rsidRPr="00FD50F6">
        <w:rPr>
          <w:rFonts w:hint="eastAsia"/>
        </w:rPr>
        <w:t>列车</w:t>
      </w:r>
      <w:r w:rsidRPr="00FD50F6">
        <w:t>定位</w:t>
      </w:r>
      <w:r w:rsidRPr="00FD50F6">
        <w:rPr>
          <w:rFonts w:hint="eastAsia"/>
        </w:rPr>
        <w:t>、</w:t>
      </w:r>
      <w:r w:rsidRPr="00FD50F6">
        <w:t>列车位置检测</w:t>
      </w:r>
      <w:r w:rsidRPr="00FD50F6">
        <w:rPr>
          <w:rFonts w:hint="eastAsia"/>
        </w:rPr>
        <w:t>、</w:t>
      </w:r>
      <w:r w:rsidRPr="00FD50F6">
        <w:t>车地通信无线</w:t>
      </w:r>
      <w:r w:rsidRPr="00FD50F6">
        <w:rPr>
          <w:rFonts w:hint="eastAsia"/>
        </w:rPr>
        <w:t>终端、转辙机、信号机等</w:t>
      </w:r>
      <w:r w:rsidRPr="00FD50F6">
        <w:t>设备</w:t>
      </w:r>
      <w:r w:rsidRPr="00FD50F6">
        <w:rPr>
          <w:rFonts w:hint="eastAsia"/>
        </w:rPr>
        <w:t>。</w:t>
      </w:r>
    </w:p>
    <w:p w14:paraId="6A5E9908" w14:textId="77777777" w:rsidR="00717F96" w:rsidRPr="00FD50F6" w:rsidRDefault="00717F96" w:rsidP="00717F96">
      <w:pPr>
        <w:pStyle w:val="30"/>
      </w:pPr>
      <w:r w:rsidRPr="00FD50F6">
        <w:t>列车定位及</w:t>
      </w:r>
      <w:r w:rsidRPr="00FD50F6">
        <w:rPr>
          <w:rFonts w:hint="eastAsia"/>
        </w:rPr>
        <w:t>车地</w:t>
      </w:r>
      <w:r w:rsidRPr="00FD50F6">
        <w:t>信息</w:t>
      </w:r>
      <w:r w:rsidRPr="00FD50F6">
        <w:rPr>
          <w:rFonts w:hint="eastAsia"/>
        </w:rPr>
        <w:t>传输</w:t>
      </w:r>
      <w:r w:rsidRPr="00FD50F6">
        <w:t>应符合下列规定：</w:t>
      </w:r>
      <w:r w:rsidRPr="00FD50F6">
        <w:t xml:space="preserve"> </w:t>
      </w:r>
    </w:p>
    <w:p w14:paraId="4A21C303" w14:textId="77777777" w:rsidR="00717F96" w:rsidRPr="00FD50F6" w:rsidRDefault="00717F96" w:rsidP="00A926BD">
      <w:pPr>
        <w:pStyle w:val="4"/>
      </w:pPr>
      <w:r w:rsidRPr="00FD50F6">
        <w:t>列车定位技术可采用轨道电路、计轴、轨旁电缆环线、应答器和</w:t>
      </w:r>
      <w:r w:rsidRPr="00FD50F6">
        <w:t>/</w:t>
      </w:r>
      <w:r w:rsidRPr="00FD50F6">
        <w:t>或辅以速度传感器</w:t>
      </w:r>
      <w:r w:rsidRPr="00FD50F6">
        <w:rPr>
          <w:rFonts w:hint="eastAsia"/>
        </w:rPr>
        <w:t>、多普勒雷达、加速度计</w:t>
      </w:r>
      <w:r w:rsidRPr="00FD50F6">
        <w:t>等设备；</w:t>
      </w:r>
      <w:r w:rsidRPr="00FD50F6">
        <w:t xml:space="preserve"> </w:t>
      </w:r>
    </w:p>
    <w:p w14:paraId="0C4334A4" w14:textId="77777777" w:rsidR="00717F96" w:rsidRPr="00FD50F6" w:rsidRDefault="00717F96" w:rsidP="00A926BD">
      <w:pPr>
        <w:pStyle w:val="4"/>
      </w:pPr>
      <w:r w:rsidRPr="00FD50F6">
        <w:t>车地信息传</w:t>
      </w:r>
      <w:r w:rsidRPr="00FD50F6">
        <w:rPr>
          <w:rFonts w:hint="eastAsia"/>
        </w:rPr>
        <w:t>输</w:t>
      </w:r>
      <w:r w:rsidRPr="00FD50F6">
        <w:t>可采用轨道电路、轨旁电缆环线、应答器、无线通信等传输方式</w:t>
      </w:r>
      <w:r w:rsidRPr="00FD50F6">
        <w:rPr>
          <w:rFonts w:hint="eastAsia"/>
        </w:rPr>
        <w:t>。</w:t>
      </w:r>
    </w:p>
    <w:p w14:paraId="0947364C" w14:textId="1F4A0386" w:rsidR="00717F96" w:rsidRPr="00FD50F6" w:rsidRDefault="00717F96" w:rsidP="00717F96">
      <w:pPr>
        <w:pStyle w:val="30"/>
      </w:pPr>
      <w:r w:rsidRPr="00FD50F6">
        <w:t>基于无线通信方式的车地通信系统应符合下列</w:t>
      </w:r>
      <w:r w:rsidRPr="00FD50F6">
        <w:rPr>
          <w:rFonts w:hint="eastAsia"/>
        </w:rPr>
        <w:t>规定。</w:t>
      </w:r>
    </w:p>
    <w:p w14:paraId="0BFAB65D" w14:textId="77777777" w:rsidR="00717F96" w:rsidRPr="00FD50F6" w:rsidRDefault="00717F96" w:rsidP="00A926BD">
      <w:pPr>
        <w:pStyle w:val="4"/>
      </w:pPr>
      <w:r w:rsidRPr="00FD50F6">
        <w:t>车地无线通信系统宜采用标准的通信设备，其无线场强覆盖可采用天线、</w:t>
      </w:r>
      <w:r w:rsidRPr="00FD50F6">
        <w:lastRenderedPageBreak/>
        <w:t>漏</w:t>
      </w:r>
      <w:r w:rsidRPr="00FD50F6">
        <w:rPr>
          <w:rFonts w:hint="eastAsia"/>
        </w:rPr>
        <w:t>泄电</w:t>
      </w:r>
      <w:r w:rsidRPr="00FD50F6">
        <w:t>缆和裂缝波导管等方式，也可根据现场条件混合使用</w:t>
      </w:r>
      <w:r w:rsidRPr="00FD50F6">
        <w:rPr>
          <w:rFonts w:hint="eastAsia"/>
        </w:rPr>
        <w:t>；</w:t>
      </w:r>
    </w:p>
    <w:p w14:paraId="2C32BC78" w14:textId="7575DB7B" w:rsidR="00717F96" w:rsidRPr="00FD50F6" w:rsidRDefault="00717F96" w:rsidP="00A926BD">
      <w:pPr>
        <w:pStyle w:val="4"/>
      </w:pPr>
      <w:r w:rsidRPr="00FD50F6">
        <w:rPr>
          <w:rFonts w:hint="eastAsia"/>
        </w:rPr>
        <w:t>车地无线通信</w:t>
      </w:r>
      <w:r w:rsidRPr="00FD50F6">
        <w:t>应采用冗余场强覆盖设计</w:t>
      </w:r>
      <w:r w:rsidRPr="00FD50F6">
        <w:rPr>
          <w:rFonts w:hint="eastAsia"/>
        </w:rPr>
        <w:t>，</w:t>
      </w:r>
      <w:r w:rsidRPr="00FD50F6">
        <w:t>当一套网络故障时，应确保信号系统车地信息传输的连续性</w:t>
      </w:r>
      <w:r w:rsidRPr="00FD50F6">
        <w:rPr>
          <w:rFonts w:hint="eastAsia"/>
        </w:rPr>
        <w:t>；</w:t>
      </w:r>
    </w:p>
    <w:p w14:paraId="3175014A" w14:textId="77777777" w:rsidR="00717F96" w:rsidRPr="00FD50F6" w:rsidRDefault="00717F96" w:rsidP="00A926BD">
      <w:pPr>
        <w:pStyle w:val="4"/>
      </w:pPr>
      <w:r w:rsidRPr="00FD50F6">
        <w:rPr>
          <w:rFonts w:hint="eastAsia"/>
        </w:rPr>
        <w:t>车地无线通信网络宜采用专用频段组网；</w:t>
      </w:r>
    </w:p>
    <w:p w14:paraId="70BF4879" w14:textId="77777777" w:rsidR="00717F96" w:rsidRPr="00FD50F6" w:rsidRDefault="00717F96" w:rsidP="00A926BD">
      <w:pPr>
        <w:pStyle w:val="4"/>
      </w:pPr>
      <w:r w:rsidRPr="00FD50F6">
        <w:t>信号系统的车地无线通信应与其他系统、其他相关线路所用无线通信统一规划无线频点</w:t>
      </w:r>
      <w:r w:rsidRPr="00FD50F6">
        <w:rPr>
          <w:rFonts w:hint="eastAsia"/>
        </w:rPr>
        <w:t>；</w:t>
      </w:r>
    </w:p>
    <w:p w14:paraId="754C4CEE" w14:textId="77777777" w:rsidR="00717F96" w:rsidRPr="00FD50F6" w:rsidRDefault="00717F96" w:rsidP="00A926BD">
      <w:pPr>
        <w:pStyle w:val="4"/>
      </w:pPr>
      <w:r w:rsidRPr="00FD50F6">
        <w:t>车地无线通信设备的安装设计和测试应便于运营维护和检修。</w:t>
      </w:r>
    </w:p>
    <w:p w14:paraId="0B3033C9" w14:textId="4571F98A" w:rsidR="00717F96" w:rsidRPr="00FD50F6" w:rsidRDefault="00717F96" w:rsidP="00717F96">
      <w:pPr>
        <w:pStyle w:val="30"/>
      </w:pPr>
      <w:r w:rsidRPr="00FD50F6">
        <w:t>基于轨旁电缆环线方式的车地通信系统应符合下列</w:t>
      </w:r>
      <w:r w:rsidRPr="00FD50F6">
        <w:rPr>
          <w:rFonts w:hint="eastAsia"/>
        </w:rPr>
        <w:t>规定</w:t>
      </w:r>
      <w:r w:rsidRPr="00FD50F6">
        <w:t>：</w:t>
      </w:r>
      <w:r w:rsidRPr="00FD50F6">
        <w:t xml:space="preserve"> </w:t>
      </w:r>
    </w:p>
    <w:p w14:paraId="533F5A18" w14:textId="77777777" w:rsidR="00717F96" w:rsidRPr="00FD50F6" w:rsidRDefault="00717F96" w:rsidP="00A926BD">
      <w:pPr>
        <w:pStyle w:val="4"/>
      </w:pPr>
      <w:r w:rsidRPr="00FD50F6">
        <w:t>轨旁电缆环线的安装不应影响工务维护，不应影响乘客的紧急疏散</w:t>
      </w:r>
      <w:r w:rsidRPr="00FD50F6">
        <w:rPr>
          <w:rFonts w:hint="eastAsia"/>
        </w:rPr>
        <w:t>；</w:t>
      </w:r>
    </w:p>
    <w:p w14:paraId="40702DC6" w14:textId="77777777" w:rsidR="00717F96" w:rsidRPr="00FD50F6" w:rsidRDefault="00717F96" w:rsidP="00A926BD">
      <w:pPr>
        <w:pStyle w:val="4"/>
      </w:pPr>
      <w:r w:rsidRPr="00FD50F6">
        <w:t>系统应能实现电缆环线完整性检测和断线报警功能，并</w:t>
      </w:r>
      <w:r w:rsidRPr="00FD50F6">
        <w:rPr>
          <w:rFonts w:hint="eastAsia"/>
        </w:rPr>
        <w:t>应</w:t>
      </w:r>
      <w:r w:rsidRPr="00FD50F6">
        <w:t>提供相关的安全防护措施。</w:t>
      </w:r>
      <w:r w:rsidRPr="00FD50F6">
        <w:t xml:space="preserve"> </w:t>
      </w:r>
    </w:p>
    <w:p w14:paraId="2A98E3B7" w14:textId="407F06B6" w:rsidR="00717F96" w:rsidRPr="00FD50F6" w:rsidRDefault="00717F96" w:rsidP="00717F96">
      <w:pPr>
        <w:pStyle w:val="30"/>
      </w:pPr>
      <w:r w:rsidRPr="00FD50F6">
        <w:t>基于轨道电路的车地通信系统应符合下列</w:t>
      </w:r>
      <w:r w:rsidRPr="00FD50F6">
        <w:rPr>
          <w:rFonts w:hint="eastAsia"/>
        </w:rPr>
        <w:t>规定</w:t>
      </w:r>
      <w:r w:rsidRPr="00FD50F6">
        <w:t>：</w:t>
      </w:r>
    </w:p>
    <w:p w14:paraId="4664B4B4" w14:textId="77777777" w:rsidR="00717F96" w:rsidRPr="00FD50F6" w:rsidRDefault="00717F96" w:rsidP="00A926BD">
      <w:pPr>
        <w:pStyle w:val="4"/>
      </w:pPr>
      <w:r w:rsidRPr="00FD50F6">
        <w:t>地面设备宜采用报文式无绝缘轨道电路；</w:t>
      </w:r>
    </w:p>
    <w:p w14:paraId="20753356" w14:textId="64315D51" w:rsidR="00717F96" w:rsidRPr="00FD50F6" w:rsidRDefault="00717F96" w:rsidP="00A926BD">
      <w:pPr>
        <w:pStyle w:val="4"/>
      </w:pPr>
      <w:r w:rsidRPr="00FD50F6">
        <w:t>区间轨道电路应为双轨条回流方式</w:t>
      </w:r>
      <w:r w:rsidRPr="00FD50F6">
        <w:rPr>
          <w:rFonts w:hint="eastAsia"/>
        </w:rPr>
        <w:t>，</w:t>
      </w:r>
      <w:r w:rsidRPr="00FD50F6">
        <w:t>道岔区段、车辆基地轨道电路可采用单轨条回流方式；</w:t>
      </w:r>
    </w:p>
    <w:p w14:paraId="4B3F2AD4" w14:textId="77777777" w:rsidR="00717F96" w:rsidRPr="00FD50F6" w:rsidRDefault="00717F96" w:rsidP="00A926BD">
      <w:pPr>
        <w:pStyle w:val="4"/>
      </w:pPr>
      <w:r w:rsidRPr="00FD50F6">
        <w:t>相邻轨道电路应采取干扰防护措施；</w:t>
      </w:r>
    </w:p>
    <w:p w14:paraId="515AF6E2" w14:textId="77777777" w:rsidR="00717F96" w:rsidRPr="00FD50F6" w:rsidRDefault="00717F96" w:rsidP="00A926BD">
      <w:pPr>
        <w:pStyle w:val="4"/>
      </w:pPr>
      <w:r w:rsidRPr="00FD50F6">
        <w:t>轨道电路的参数可采用下列数据：</w:t>
      </w:r>
    </w:p>
    <w:p w14:paraId="29BE1D36" w14:textId="77777777" w:rsidR="00717F96" w:rsidRPr="00FD50F6" w:rsidRDefault="00717F96" w:rsidP="00717F96">
      <w:pPr>
        <w:pStyle w:val="5"/>
        <w:ind w:firstLine="480"/>
      </w:pPr>
      <w:r w:rsidRPr="00FD50F6">
        <w:t>无砟道床电阻可采用</w:t>
      </w:r>
      <w:r w:rsidRPr="00FD50F6">
        <w:t>2Ω· km</w:t>
      </w:r>
      <w:r w:rsidRPr="00FD50F6">
        <w:t>；有砟道床电阻可采用</w:t>
      </w:r>
      <w:r w:rsidRPr="00FD50F6">
        <w:t>1Ω· km</w:t>
      </w:r>
      <w:r w:rsidRPr="00FD50F6">
        <w:t>；</w:t>
      </w:r>
      <w:r w:rsidRPr="00FD50F6">
        <w:t xml:space="preserve"> </w:t>
      </w:r>
    </w:p>
    <w:p w14:paraId="7D7363AD" w14:textId="77777777" w:rsidR="00717F96" w:rsidRPr="00FD50F6" w:rsidRDefault="00717F96" w:rsidP="00717F96">
      <w:pPr>
        <w:pStyle w:val="5"/>
        <w:ind w:firstLine="480"/>
      </w:pPr>
      <w:r w:rsidRPr="00FD50F6">
        <w:t>分路电阻可采用</w:t>
      </w:r>
      <w:r w:rsidRPr="00FD50F6">
        <w:t xml:space="preserve"> 0.15Ω</w:t>
      </w:r>
      <w:r w:rsidRPr="00FD50F6">
        <w:t>。</w:t>
      </w:r>
    </w:p>
    <w:p w14:paraId="4EC3D37E" w14:textId="54D5C72A" w:rsidR="00717F96" w:rsidRPr="00FD50F6" w:rsidRDefault="00717F96" w:rsidP="00A926BD">
      <w:pPr>
        <w:pStyle w:val="4"/>
      </w:pPr>
      <w:r w:rsidRPr="00FD50F6">
        <w:rPr>
          <w:rFonts w:hint="eastAsia"/>
        </w:rPr>
        <w:t>当</w:t>
      </w:r>
      <w:r w:rsidRPr="00FD50F6">
        <w:t>轨道电路利用兼作牵引回流的走行</w:t>
      </w:r>
      <w:r w:rsidRPr="00FD50F6">
        <w:rPr>
          <w:rFonts w:hint="eastAsia"/>
        </w:rPr>
        <w:t>轨</w:t>
      </w:r>
      <w:r w:rsidRPr="00FD50F6">
        <w:t>时，装设的牵引均流线和回流线、站台</w:t>
      </w:r>
      <w:r w:rsidRPr="00FD50F6">
        <w:rPr>
          <w:rFonts w:hint="eastAsia"/>
        </w:rPr>
        <w:t>屏蔽</w:t>
      </w:r>
      <w:r w:rsidRPr="00FD50F6">
        <w:t>门的等电位连接线等不应影响轨道电路的正常工作。</w:t>
      </w:r>
    </w:p>
    <w:p w14:paraId="49955520" w14:textId="28466ED3" w:rsidR="00717F96" w:rsidRPr="00FD50F6" w:rsidRDefault="00717F96" w:rsidP="00717F96">
      <w:pPr>
        <w:pStyle w:val="30"/>
      </w:pPr>
      <w:r w:rsidRPr="00FD50F6">
        <w:rPr>
          <w:rFonts w:hint="eastAsia"/>
        </w:rPr>
        <w:t>全自动运行线路车站通向轨行区处应设置人员防护开关。</w:t>
      </w:r>
    </w:p>
    <w:p w14:paraId="00EF89FD" w14:textId="77777777" w:rsidR="00717F96" w:rsidRPr="00FD50F6" w:rsidRDefault="00717F96" w:rsidP="00717F96">
      <w:pPr>
        <w:pStyle w:val="30"/>
      </w:pPr>
      <w:r w:rsidRPr="00FD50F6">
        <w:rPr>
          <w:rFonts w:hint="eastAsia"/>
        </w:rPr>
        <w:t>全自动运行线路正线停车线、终端折返线及停车列检库库线可根据需要设置用于实现休眠、唤醒功能的应答器设备。</w:t>
      </w:r>
    </w:p>
    <w:p w14:paraId="008D6ED4" w14:textId="311662F4" w:rsidR="00717F96" w:rsidRPr="00FD50F6" w:rsidRDefault="00717F96" w:rsidP="00717F96">
      <w:pPr>
        <w:pStyle w:val="30"/>
      </w:pPr>
      <w:r w:rsidRPr="00FD50F6">
        <w:rPr>
          <w:rFonts w:hint="eastAsia"/>
        </w:rPr>
        <w:t>正线道岔</w:t>
      </w:r>
      <w:r w:rsidRPr="00FD50F6">
        <w:t>宜采用交流转辙机，车辆基地</w:t>
      </w:r>
      <w:r w:rsidRPr="00FD50F6">
        <w:rPr>
          <w:rFonts w:hint="eastAsia"/>
        </w:rPr>
        <w:t>与正线道岔转辙设备宜保持一致。</w:t>
      </w:r>
      <w:r w:rsidRPr="00FD50F6">
        <w:t>采用三相交流电源控制的电动转辙机或电液转辙机应设置断相保护装置。</w:t>
      </w:r>
    </w:p>
    <w:p w14:paraId="4CE16C2B" w14:textId="7FAAA0A3" w:rsidR="00717F96" w:rsidRPr="00FD50F6" w:rsidRDefault="00717F96" w:rsidP="00717F96">
      <w:pPr>
        <w:pStyle w:val="30"/>
        <w:rPr>
          <w:rFonts w:ascii="微软雅黑 Light" w:eastAsia="微软雅黑 Light" w:hAnsi="微软雅黑 Light"/>
          <w:sz w:val="21"/>
        </w:rPr>
      </w:pPr>
      <w:r w:rsidRPr="00FD50F6">
        <w:rPr>
          <w:rFonts w:hint="eastAsia"/>
        </w:rPr>
        <w:t>最高运行速度</w:t>
      </w:r>
      <w:r w:rsidRPr="00FD50F6">
        <w:t>120 km/h</w:t>
      </w:r>
      <w:r w:rsidRPr="00FD50F6">
        <w:t>以上线路</w:t>
      </w:r>
      <w:r w:rsidRPr="00FD50F6">
        <w:rPr>
          <w:rFonts w:hint="eastAsia"/>
        </w:rPr>
        <w:t>的</w:t>
      </w:r>
      <w:r w:rsidRPr="00FD50F6">
        <w:t>交流转辙机应</w:t>
      </w:r>
      <w:r w:rsidRPr="00FD50F6">
        <w:rPr>
          <w:rFonts w:hint="eastAsia"/>
        </w:rPr>
        <w:t>配置</w:t>
      </w:r>
      <w:r w:rsidRPr="00FD50F6">
        <w:t>外锁闭装置</w:t>
      </w:r>
      <w:r w:rsidRPr="00FD50F6">
        <w:rPr>
          <w:rFonts w:hint="eastAsia"/>
        </w:rPr>
        <w:t>。</w:t>
      </w:r>
    </w:p>
    <w:p w14:paraId="7EFF98F3" w14:textId="4FE194D6" w:rsidR="00717F96" w:rsidRPr="00FD50F6" w:rsidRDefault="00717F96" w:rsidP="00717F96">
      <w:pPr>
        <w:pStyle w:val="30"/>
      </w:pPr>
      <w:r w:rsidRPr="00FD50F6">
        <w:t>正线信号机的设置</w:t>
      </w:r>
      <w:r w:rsidRPr="00FD50F6">
        <w:rPr>
          <w:rFonts w:hint="eastAsia"/>
        </w:rPr>
        <w:t>应</w:t>
      </w:r>
      <w:r w:rsidRPr="00FD50F6">
        <w:t>符合下列</w:t>
      </w:r>
      <w:r w:rsidRPr="00FD50F6">
        <w:rPr>
          <w:rFonts w:hint="eastAsia"/>
        </w:rPr>
        <w:t>规定</w:t>
      </w:r>
      <w:r w:rsidRPr="00FD50F6">
        <w:t>：</w:t>
      </w:r>
      <w:r w:rsidRPr="00FD50F6">
        <w:t xml:space="preserve"> </w:t>
      </w:r>
    </w:p>
    <w:p w14:paraId="2E9BA661" w14:textId="77777777" w:rsidR="00717F96" w:rsidRPr="00FD50F6" w:rsidRDefault="00717F96" w:rsidP="00A926BD">
      <w:pPr>
        <w:pStyle w:val="4"/>
      </w:pPr>
      <w:r w:rsidRPr="00FD50F6">
        <w:t>可根据</w:t>
      </w:r>
      <w:r w:rsidRPr="00FD50F6">
        <w:rPr>
          <w:rFonts w:hint="eastAsia"/>
        </w:rPr>
        <w:t>作业性质</w:t>
      </w:r>
      <w:r w:rsidRPr="00FD50F6">
        <w:t>设置出站信号机、</w:t>
      </w:r>
      <w:r w:rsidRPr="00FD50F6">
        <w:rPr>
          <w:rFonts w:hint="eastAsia"/>
        </w:rPr>
        <w:t>折返</w:t>
      </w:r>
      <w:r w:rsidRPr="00FD50F6">
        <w:t>信号机</w:t>
      </w:r>
      <w:r w:rsidRPr="00FD50F6">
        <w:rPr>
          <w:rFonts w:hint="eastAsia"/>
        </w:rPr>
        <w:t>、</w:t>
      </w:r>
      <w:r w:rsidRPr="00FD50F6">
        <w:t>通过信号机</w:t>
      </w:r>
      <w:r w:rsidRPr="00FD50F6">
        <w:rPr>
          <w:rFonts w:hint="eastAsia"/>
        </w:rPr>
        <w:t>和阻挡信号机等。</w:t>
      </w:r>
    </w:p>
    <w:p w14:paraId="244A93B5" w14:textId="77777777" w:rsidR="00717F96" w:rsidRPr="00FD50F6" w:rsidRDefault="00717F96" w:rsidP="00A926BD">
      <w:pPr>
        <w:pStyle w:val="4"/>
      </w:pPr>
      <w:r w:rsidRPr="00FD50F6">
        <w:lastRenderedPageBreak/>
        <w:t>信号机应设在列车运行方向的右侧</w:t>
      </w:r>
      <w:r w:rsidRPr="00FD50F6">
        <w:rPr>
          <w:rFonts w:hint="eastAsia"/>
        </w:rPr>
        <w:t>，</w:t>
      </w:r>
      <w:r w:rsidRPr="00FD50F6">
        <w:rPr>
          <w:rFonts w:hint="eastAsia"/>
          <w:kern w:val="0"/>
        </w:rPr>
        <w:t>设置站台屏蔽门的车站，信号机宜设置于站台对侧</w:t>
      </w:r>
      <w:r w:rsidRPr="00FD50F6">
        <w:rPr>
          <w:rFonts w:hint="eastAsia"/>
        </w:rPr>
        <w:t>。当</w:t>
      </w:r>
      <w:r w:rsidRPr="00FD50F6">
        <w:t>遇条件限制应设于其他位置时，应经运营主管部门</w:t>
      </w:r>
      <w:r w:rsidRPr="00FD50F6">
        <w:rPr>
          <w:rFonts w:hint="eastAsia"/>
        </w:rPr>
        <w:t>同意</w:t>
      </w:r>
      <w:r w:rsidRPr="00FD50F6">
        <w:t>后再实施</w:t>
      </w:r>
      <w:r w:rsidRPr="00FD50F6">
        <w:rPr>
          <w:rFonts w:hint="eastAsia"/>
        </w:rPr>
        <w:t>。</w:t>
      </w:r>
    </w:p>
    <w:p w14:paraId="5C1150A2" w14:textId="77777777" w:rsidR="00717F96" w:rsidRPr="00FD50F6" w:rsidRDefault="00717F96" w:rsidP="00A926BD">
      <w:pPr>
        <w:pStyle w:val="4"/>
      </w:pPr>
      <w:r w:rsidRPr="00FD50F6">
        <w:t>信号机</w:t>
      </w:r>
      <w:r w:rsidRPr="00FD50F6">
        <w:rPr>
          <w:rFonts w:hint="eastAsia"/>
        </w:rPr>
        <w:t>应</w:t>
      </w:r>
      <w:r w:rsidRPr="00FD50F6">
        <w:t>采用</w:t>
      </w:r>
      <w:r w:rsidRPr="00FD50F6">
        <w:t>LED</w:t>
      </w:r>
      <w:r w:rsidRPr="00FD50F6">
        <w:rPr>
          <w:rFonts w:hint="eastAsia"/>
        </w:rPr>
        <w:t>或</w:t>
      </w:r>
      <w:r w:rsidRPr="00FD50F6">
        <w:t>其他光源构成的</w:t>
      </w:r>
      <w:r w:rsidRPr="00FD50F6">
        <w:rPr>
          <w:rFonts w:hint="eastAsia"/>
        </w:rPr>
        <w:t>色灯信号机</w:t>
      </w:r>
      <w:r w:rsidRPr="00FD50F6">
        <w:t>。</w:t>
      </w:r>
    </w:p>
    <w:p w14:paraId="1F4F3470" w14:textId="1C17A6E4" w:rsidR="00717F96" w:rsidRPr="00FD50F6" w:rsidRDefault="00717F96" w:rsidP="00717F96">
      <w:pPr>
        <w:pStyle w:val="30"/>
      </w:pPr>
      <w:r w:rsidRPr="00FD50F6">
        <w:rPr>
          <w:rFonts w:hint="eastAsia"/>
        </w:rPr>
        <w:t>当</w:t>
      </w:r>
      <w:r w:rsidRPr="00FD50F6">
        <w:t>按地面信号显示行车时，</w:t>
      </w:r>
      <w:r w:rsidRPr="00FD50F6">
        <w:rPr>
          <w:rFonts w:hint="eastAsia"/>
        </w:rPr>
        <w:t>信号机</w:t>
      </w:r>
      <w:r w:rsidRPr="00FD50F6">
        <w:t>显示距离</w:t>
      </w:r>
      <w:r w:rsidRPr="00FD50F6">
        <w:rPr>
          <w:rFonts w:hint="eastAsia"/>
        </w:rPr>
        <w:t>应根据该信号机外方线路条件、列车性能等要素进行计算，使司机瞭望到该信号机显示禁止灯时，控制列车应能以常用制动在该信号机外方停车。</w:t>
      </w:r>
    </w:p>
    <w:p w14:paraId="34C42361" w14:textId="57CE2BE1" w:rsidR="00717F96" w:rsidRPr="00FD50F6" w:rsidRDefault="00717F96" w:rsidP="00717F96">
      <w:pPr>
        <w:pStyle w:val="30"/>
      </w:pPr>
      <w:r w:rsidRPr="00FD50F6">
        <w:rPr>
          <w:rFonts w:hint="eastAsia"/>
        </w:rPr>
        <w:t>车站站台应设站台紧急关闭按钮。站台紧急关闭按钮电路应符合故障—安全原则。</w:t>
      </w:r>
      <w:r w:rsidRPr="00FD50F6">
        <w:rPr>
          <w:rFonts w:hint="eastAsia"/>
        </w:rPr>
        <w:t xml:space="preserve"> </w:t>
      </w:r>
    </w:p>
    <w:p w14:paraId="638E2132" w14:textId="1B76348D" w:rsidR="00717F96" w:rsidRPr="00FD50F6" w:rsidRDefault="00717F96" w:rsidP="00717F96">
      <w:pPr>
        <w:pStyle w:val="30"/>
      </w:pPr>
      <w:r w:rsidRPr="00FD50F6">
        <w:rPr>
          <w:rFonts w:hint="eastAsia"/>
        </w:rPr>
        <w:t>全自动运行线路车站应设人员防护开关及表示灯，人员防护开关电路应符合故障—安全原则。</w:t>
      </w:r>
    </w:p>
    <w:p w14:paraId="5E9C56A6" w14:textId="77777777" w:rsidR="00717F96" w:rsidRPr="00FD50F6" w:rsidRDefault="00717F96" w:rsidP="00717F96">
      <w:pPr>
        <w:pStyle w:val="30"/>
      </w:pPr>
      <w:bookmarkStart w:id="776" w:name="OLE_LINK2"/>
      <w:r w:rsidRPr="00FD50F6">
        <w:rPr>
          <w:rFonts w:hint="eastAsia"/>
        </w:rPr>
        <w:t>计轴设备可作为无线通信列车控制系统的列车位置检测的辅助设备。在连续通信系统正常且</w:t>
      </w:r>
      <w:r w:rsidRPr="00FD50F6">
        <w:rPr>
          <w:rFonts w:hint="eastAsia"/>
        </w:rPr>
        <w:t>ATC</w:t>
      </w:r>
      <w:r w:rsidRPr="00FD50F6">
        <w:rPr>
          <w:rFonts w:hint="eastAsia"/>
        </w:rPr>
        <w:t>区域内无非通信列车时，计轴故障不应干扰列车运行控制系统正常工作。</w:t>
      </w:r>
    </w:p>
    <w:p w14:paraId="2EB51631" w14:textId="159F0955" w:rsidR="00717F96" w:rsidRPr="00FD50F6" w:rsidRDefault="00717F96" w:rsidP="00717F96">
      <w:pPr>
        <w:pStyle w:val="30"/>
      </w:pPr>
      <w:r w:rsidRPr="00FD50F6">
        <w:rPr>
          <w:rFonts w:hint="eastAsia"/>
        </w:rPr>
        <w:t>计轴系统宜在线路重点区域采用冗余或容错等技术手段提高计轴设备的抗扰度。</w:t>
      </w:r>
    </w:p>
    <w:bookmarkEnd w:id="776"/>
    <w:p w14:paraId="74212140"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Ⅳ</w:t>
      </w:r>
      <w:r w:rsidRPr="00FD50F6">
        <w:rPr>
          <w:rFonts w:ascii="Times New Roman" w:hAnsi="Times New Roman" w:hint="eastAsia"/>
          <w:b/>
          <w:bCs/>
          <w:szCs w:val="24"/>
        </w:rPr>
        <w:t xml:space="preserve"> </w:t>
      </w:r>
      <w:r w:rsidRPr="00FD50F6">
        <w:rPr>
          <w:rFonts w:ascii="Times New Roman" w:hAnsi="Times New Roman" w:hint="eastAsia"/>
          <w:b/>
          <w:bCs/>
          <w:szCs w:val="24"/>
        </w:rPr>
        <w:t>车载设备系统</w:t>
      </w:r>
    </w:p>
    <w:p w14:paraId="36059115" w14:textId="34C627BD" w:rsidR="00717F96" w:rsidRPr="00FD50F6" w:rsidRDefault="00717F96" w:rsidP="00717F96">
      <w:pPr>
        <w:pStyle w:val="30"/>
      </w:pPr>
      <w:r w:rsidRPr="00FD50F6">
        <w:t>车载设备</w:t>
      </w:r>
      <w:r w:rsidRPr="00FD50F6">
        <w:rPr>
          <w:rFonts w:hint="eastAsia"/>
        </w:rPr>
        <w:t>系统应</w:t>
      </w:r>
      <w:r w:rsidRPr="00FD50F6">
        <w:t>包括车载计算机设备、测速设备、人机显示设备、车地通信设备及相关接口等设备。</w:t>
      </w:r>
    </w:p>
    <w:p w14:paraId="0E9B9DC9" w14:textId="352A1A15" w:rsidR="00717F96" w:rsidRPr="00FD50F6" w:rsidRDefault="00717F96" w:rsidP="00717F96">
      <w:pPr>
        <w:pStyle w:val="30"/>
      </w:pPr>
      <w:r w:rsidRPr="00FD50F6">
        <w:t>车载</w:t>
      </w:r>
      <w:r w:rsidRPr="00FD50F6">
        <w:rPr>
          <w:rFonts w:hint="eastAsia"/>
        </w:rPr>
        <w:t>设备系统应符合下列规定</w:t>
      </w:r>
      <w:r w:rsidRPr="00FD50F6">
        <w:t>：</w:t>
      </w:r>
      <w:r w:rsidRPr="00FD50F6">
        <w:t xml:space="preserve"> </w:t>
      </w:r>
    </w:p>
    <w:p w14:paraId="0300E29E" w14:textId="0A05CEE3" w:rsidR="00717F96" w:rsidRPr="00FD50F6" w:rsidRDefault="00717F96" w:rsidP="00A926BD">
      <w:pPr>
        <w:pStyle w:val="4"/>
        <w:rPr>
          <w:kern w:val="0"/>
        </w:rPr>
      </w:pPr>
      <w:bookmarkStart w:id="777" w:name="_Hlk16121090"/>
      <w:r w:rsidRPr="00FD50F6">
        <w:t>运营列车首尾两端宜各设一套</w:t>
      </w:r>
      <w:r w:rsidRPr="00FD50F6">
        <w:rPr>
          <w:rFonts w:hint="eastAsia"/>
        </w:rPr>
        <w:t>二取二安全结构</w:t>
      </w:r>
      <w:r w:rsidRPr="00FD50F6">
        <w:t>ATP</w:t>
      </w:r>
      <w:r w:rsidRPr="00FD50F6">
        <w:t>车载</w:t>
      </w:r>
      <w:r w:rsidRPr="00FD50F6">
        <w:rPr>
          <w:rFonts w:hint="eastAsia"/>
        </w:rPr>
        <w:t>计算机</w:t>
      </w:r>
      <w:r w:rsidRPr="00FD50F6">
        <w:t>设备，</w:t>
      </w:r>
      <w:r w:rsidRPr="00FD50F6">
        <w:rPr>
          <w:rFonts w:hint="eastAsia"/>
        </w:rPr>
        <w:t>其两端设备应</w:t>
      </w:r>
      <w:r w:rsidRPr="00FD50F6">
        <w:t>采用热备冗余结构。</w:t>
      </w:r>
      <w:bookmarkEnd w:id="777"/>
      <w:r w:rsidRPr="00FD50F6">
        <w:rPr>
          <w:rFonts w:hint="eastAsia"/>
        </w:rPr>
        <w:t>当采用三取二或二乘二取二</w:t>
      </w:r>
      <w:r w:rsidRPr="00FD50F6">
        <w:t>ATP</w:t>
      </w:r>
      <w:r w:rsidRPr="00FD50F6">
        <w:rPr>
          <w:rFonts w:hint="eastAsia"/>
        </w:rPr>
        <w:t>车载设备时，运营列车可设置一套</w:t>
      </w:r>
      <w:r w:rsidRPr="00FD50F6">
        <w:t>ATP</w:t>
      </w:r>
      <w:r w:rsidRPr="00FD50F6">
        <w:rPr>
          <w:rFonts w:hint="eastAsia"/>
        </w:rPr>
        <w:t>车载计算机设备。</w:t>
      </w:r>
    </w:p>
    <w:p w14:paraId="54027C86" w14:textId="1BDEA279" w:rsidR="00717F96" w:rsidRPr="00FD50F6" w:rsidRDefault="00717F96" w:rsidP="00A926BD">
      <w:pPr>
        <w:pStyle w:val="4"/>
      </w:pPr>
      <w:r w:rsidRPr="00FD50F6">
        <w:rPr>
          <w:rFonts w:hint="eastAsia"/>
        </w:rPr>
        <w:t>全自动运行线路的车载设备其头尾两端测速装置、应答器查询设备等传感器应实现冗余配置，</w:t>
      </w:r>
      <w:r w:rsidRPr="001A4CF3">
        <w:rPr>
          <w:rFonts w:hint="eastAsia"/>
        </w:rPr>
        <w:t>宜实现头尾互为备用</w:t>
      </w:r>
      <w:r w:rsidRPr="00FD50F6">
        <w:rPr>
          <w:rFonts w:hint="eastAsia"/>
        </w:rPr>
        <w:t>。</w:t>
      </w:r>
    </w:p>
    <w:p w14:paraId="7E6FF233" w14:textId="52E8AA8E" w:rsidR="00717F96" w:rsidRPr="00FD50F6" w:rsidRDefault="00717F96" w:rsidP="00A926BD">
      <w:pPr>
        <w:pStyle w:val="4"/>
      </w:pPr>
      <w:r w:rsidRPr="00FD50F6">
        <w:rPr>
          <w:rFonts w:hint="eastAsia"/>
        </w:rPr>
        <w:t>车载设备</w:t>
      </w:r>
      <w:r w:rsidRPr="00FD50F6">
        <w:t>应装设速度显示、报警等装置</w:t>
      </w:r>
      <w:r w:rsidRPr="00FD50F6">
        <w:rPr>
          <w:rFonts w:hint="eastAsia"/>
        </w:rPr>
        <w:t>，</w:t>
      </w:r>
      <w:r w:rsidRPr="00FD50F6">
        <w:t>车</w:t>
      </w:r>
      <w:r w:rsidRPr="00FD50F6">
        <w:rPr>
          <w:rFonts w:hint="eastAsia"/>
        </w:rPr>
        <w:t>内</w:t>
      </w:r>
      <w:r w:rsidRPr="00FD50F6">
        <w:t>信号应包括列车允许速度、列车实际运行速度、列车运行前方的目标速度</w:t>
      </w:r>
      <w:r w:rsidRPr="00FD50F6">
        <w:rPr>
          <w:rFonts w:hint="eastAsia"/>
        </w:rPr>
        <w:t>及</w:t>
      </w:r>
      <w:r w:rsidRPr="00FD50F6">
        <w:t>目标距离</w:t>
      </w:r>
      <w:r w:rsidRPr="00FD50F6">
        <w:rPr>
          <w:rFonts w:hint="eastAsia"/>
        </w:rPr>
        <w:t>。</w:t>
      </w:r>
    </w:p>
    <w:p w14:paraId="27AB9759" w14:textId="42E3F57C" w:rsidR="00717F96" w:rsidRPr="00FD50F6" w:rsidRDefault="00717F96" w:rsidP="00A926BD">
      <w:pPr>
        <w:pStyle w:val="4"/>
      </w:pPr>
      <w:r w:rsidRPr="00FD50F6">
        <w:rPr>
          <w:rFonts w:hint="eastAsia"/>
        </w:rPr>
        <w:t>当地面和车载设备系统</w:t>
      </w:r>
      <w:r w:rsidRPr="00FD50F6">
        <w:t>ATP</w:t>
      </w:r>
      <w:r w:rsidRPr="00FD50F6">
        <w:rPr>
          <w:rFonts w:hint="eastAsia"/>
        </w:rPr>
        <w:t>功能正常时，车载信号应为行车的主体信号。</w:t>
      </w:r>
    </w:p>
    <w:p w14:paraId="7CD9FEE1" w14:textId="3E4D5F1A" w:rsidR="00717F96" w:rsidRPr="00FD50F6" w:rsidRDefault="00717F96" w:rsidP="00A926BD">
      <w:pPr>
        <w:pStyle w:val="4"/>
      </w:pPr>
      <w:r w:rsidRPr="00FD50F6">
        <w:t>车载信号设备与车辆接口电路的布线应与其主回路等环节的高压布线分开</w:t>
      </w:r>
      <w:r w:rsidRPr="00FD50F6">
        <w:lastRenderedPageBreak/>
        <w:t>敷设并实施防护</w:t>
      </w:r>
      <w:r w:rsidRPr="00FD50F6">
        <w:rPr>
          <w:rFonts w:hint="eastAsia"/>
        </w:rPr>
        <w:t>，</w:t>
      </w:r>
      <w:r w:rsidRPr="00FD50F6">
        <w:t>与车辆电器的接口应有隔离措施</w:t>
      </w:r>
      <w:r w:rsidRPr="00FD50F6">
        <w:rPr>
          <w:rFonts w:hint="eastAsia"/>
        </w:rPr>
        <w:t>。</w:t>
      </w:r>
    </w:p>
    <w:p w14:paraId="5213FDDD"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Ⅴ</w:t>
      </w:r>
      <w:r w:rsidRPr="00FD50F6">
        <w:rPr>
          <w:rFonts w:ascii="Times New Roman" w:hAnsi="Times New Roman" w:hint="eastAsia"/>
          <w:b/>
          <w:bCs/>
          <w:szCs w:val="24"/>
        </w:rPr>
        <w:t xml:space="preserve"> </w:t>
      </w:r>
      <w:r w:rsidRPr="00FD50F6">
        <w:rPr>
          <w:rFonts w:ascii="Times New Roman" w:hAnsi="Times New Roman" w:hint="eastAsia"/>
          <w:b/>
          <w:bCs/>
          <w:szCs w:val="24"/>
        </w:rPr>
        <w:t>车辆基地设备系统</w:t>
      </w:r>
    </w:p>
    <w:p w14:paraId="63FEF880" w14:textId="3946461B" w:rsidR="00717F96" w:rsidRPr="00FD50F6" w:rsidRDefault="00717F96" w:rsidP="00717F96">
      <w:pPr>
        <w:pStyle w:val="30"/>
      </w:pPr>
      <w:r w:rsidRPr="00FD50F6">
        <w:t>车辆基地信号系统</w:t>
      </w:r>
      <w:r w:rsidRPr="00FD50F6">
        <w:rPr>
          <w:rFonts w:hint="eastAsia"/>
        </w:rPr>
        <w:t>应</w:t>
      </w:r>
      <w:r w:rsidRPr="00FD50F6">
        <w:t>包括车辆段和停车场的信号系统</w:t>
      </w:r>
      <w:r w:rsidRPr="00FD50F6">
        <w:rPr>
          <w:rFonts w:hint="eastAsia"/>
        </w:rPr>
        <w:t>，</w:t>
      </w:r>
      <w:r w:rsidRPr="00FD50F6">
        <w:t>应设置</w:t>
      </w:r>
      <w:r w:rsidRPr="00FD50F6">
        <w:t>ATS</w:t>
      </w:r>
      <w:r w:rsidRPr="00FD50F6">
        <w:t>设备、计算机联锁设备、</w:t>
      </w:r>
      <w:r w:rsidRPr="00FD50F6">
        <w:rPr>
          <w:rFonts w:hint="eastAsia"/>
        </w:rPr>
        <w:t>维护</w:t>
      </w:r>
      <w:r w:rsidRPr="00FD50F6">
        <w:t>监测设备、试车线设备、培训设备、日常维修和检测设备等设备</w:t>
      </w:r>
      <w:r w:rsidRPr="00FD50F6">
        <w:rPr>
          <w:rFonts w:hint="eastAsia"/>
        </w:rPr>
        <w:t>。</w:t>
      </w:r>
      <w:r w:rsidRPr="00FD50F6">
        <w:t xml:space="preserve">  </w:t>
      </w:r>
    </w:p>
    <w:p w14:paraId="479031F2" w14:textId="57FC5598" w:rsidR="00717F96" w:rsidRPr="00FD50F6" w:rsidRDefault="00717F96" w:rsidP="00717F96">
      <w:pPr>
        <w:pStyle w:val="30"/>
      </w:pPr>
      <w:r w:rsidRPr="00FD50F6">
        <w:rPr>
          <w:rFonts w:hint="eastAsia"/>
        </w:rPr>
        <w:t>当</w:t>
      </w:r>
      <w:r w:rsidRPr="00FD50F6">
        <w:t>车辆基地信号系统采用人工控制方式时，应符合下列</w:t>
      </w:r>
      <w:r w:rsidRPr="00FD50F6">
        <w:rPr>
          <w:rFonts w:hint="eastAsia"/>
        </w:rPr>
        <w:t>规定</w:t>
      </w:r>
      <w:r w:rsidRPr="00FD50F6">
        <w:t>：</w:t>
      </w:r>
      <w:r w:rsidRPr="00FD50F6">
        <w:t xml:space="preserve"> </w:t>
      </w:r>
    </w:p>
    <w:p w14:paraId="01D8FCE4" w14:textId="77777777" w:rsidR="00717F96" w:rsidRPr="00FD50F6" w:rsidRDefault="00717F96" w:rsidP="00A926BD">
      <w:pPr>
        <w:pStyle w:val="4"/>
      </w:pPr>
      <w:r w:rsidRPr="00FD50F6">
        <w:t>列车在段内宜按</w:t>
      </w:r>
      <w:r w:rsidRPr="00FD50F6">
        <w:rPr>
          <w:rFonts w:hint="eastAsia"/>
        </w:rPr>
        <w:t>作业特点分列车进路和</w:t>
      </w:r>
      <w:r w:rsidRPr="00FD50F6">
        <w:t>调车进路控制</w:t>
      </w:r>
      <w:r w:rsidRPr="00FD50F6">
        <w:rPr>
          <w:rFonts w:hint="eastAsia"/>
        </w:rPr>
        <w:t>；</w:t>
      </w:r>
      <w:r w:rsidRPr="00FD50F6">
        <w:t xml:space="preserve"> </w:t>
      </w:r>
    </w:p>
    <w:p w14:paraId="7C6A607C" w14:textId="77777777" w:rsidR="00717F96" w:rsidRPr="00FD50F6" w:rsidRDefault="00717F96" w:rsidP="00A926BD">
      <w:pPr>
        <w:pStyle w:val="4"/>
      </w:pPr>
      <w:r w:rsidRPr="00FD50F6">
        <w:t>车辆段不宜全部纳入</w:t>
      </w:r>
      <w:r w:rsidRPr="00FD50F6">
        <w:t>ATS</w:t>
      </w:r>
      <w:r w:rsidRPr="00FD50F6">
        <w:t>监控</w:t>
      </w:r>
      <w:r w:rsidRPr="00FD50F6">
        <w:rPr>
          <w:rFonts w:hint="eastAsia"/>
        </w:rPr>
        <w:t>；</w:t>
      </w:r>
      <w:r w:rsidRPr="00FD50F6">
        <w:t xml:space="preserve"> </w:t>
      </w:r>
    </w:p>
    <w:p w14:paraId="180474F4" w14:textId="0EB4895F" w:rsidR="00717F96" w:rsidRPr="00FD50F6" w:rsidRDefault="00717F96" w:rsidP="00A926BD">
      <w:pPr>
        <w:pStyle w:val="4"/>
      </w:pPr>
      <w:r w:rsidRPr="00FD50F6">
        <w:t>停车场可部分或全部纳入</w:t>
      </w:r>
      <w:r w:rsidRPr="00FD50F6">
        <w:t>ATC</w:t>
      </w:r>
      <w:r w:rsidRPr="00FD50F6">
        <w:t>控制范围</w:t>
      </w:r>
      <w:r w:rsidRPr="00FD50F6">
        <w:rPr>
          <w:rFonts w:hint="eastAsia"/>
        </w:rPr>
        <w:t>，</w:t>
      </w:r>
      <w:r w:rsidRPr="00FD50F6">
        <w:t>其各种信号机的设置应根据运营要求和控制方式等确定</w:t>
      </w:r>
      <w:r w:rsidRPr="00FD50F6">
        <w:rPr>
          <w:rFonts w:hint="eastAsia"/>
        </w:rPr>
        <w:t>；</w:t>
      </w:r>
    </w:p>
    <w:p w14:paraId="7E078170" w14:textId="77777777" w:rsidR="00717F96" w:rsidRPr="00FD50F6" w:rsidRDefault="00717F96" w:rsidP="00A926BD">
      <w:pPr>
        <w:pStyle w:val="4"/>
      </w:pPr>
      <w:r w:rsidRPr="00FD50F6">
        <w:t>列车投入运营前</w:t>
      </w:r>
      <w:r w:rsidRPr="00FD50F6">
        <w:rPr>
          <w:rFonts w:hint="eastAsia"/>
        </w:rPr>
        <w:t>应在</w:t>
      </w:r>
      <w:r w:rsidRPr="00FD50F6">
        <w:t>停车列检库实现自检</w:t>
      </w:r>
      <w:r w:rsidRPr="00FD50F6">
        <w:rPr>
          <w:rFonts w:hint="eastAsia"/>
        </w:rPr>
        <w:t>。</w:t>
      </w:r>
      <w:r w:rsidRPr="00FD50F6">
        <w:t xml:space="preserve"> </w:t>
      </w:r>
    </w:p>
    <w:p w14:paraId="00FDACDD" w14:textId="3F06B31D" w:rsidR="00717F96" w:rsidRPr="00FD50F6" w:rsidRDefault="00717F96" w:rsidP="00717F96">
      <w:pPr>
        <w:pStyle w:val="30"/>
      </w:pPr>
      <w:r w:rsidRPr="00FD50F6">
        <w:rPr>
          <w:rFonts w:hint="eastAsia"/>
        </w:rPr>
        <w:t>全自动运行线路的</w:t>
      </w:r>
      <w:r w:rsidRPr="00FD50F6">
        <w:t>车辆基地</w:t>
      </w:r>
      <w:r w:rsidRPr="00FD50F6">
        <w:rPr>
          <w:rFonts w:hint="eastAsia"/>
        </w:rPr>
        <w:t>应</w:t>
      </w:r>
      <w:r w:rsidRPr="00FD50F6">
        <w:t>符合下列</w:t>
      </w:r>
      <w:r w:rsidRPr="00FD50F6">
        <w:rPr>
          <w:rFonts w:hint="eastAsia"/>
        </w:rPr>
        <w:t>规定</w:t>
      </w:r>
      <w:r w:rsidRPr="00FD50F6">
        <w:t>：</w:t>
      </w:r>
      <w:r w:rsidRPr="00FD50F6">
        <w:t xml:space="preserve"> </w:t>
      </w:r>
    </w:p>
    <w:p w14:paraId="1EDD417A" w14:textId="780AD418" w:rsidR="00717F96" w:rsidRPr="00FD50F6" w:rsidRDefault="00717F96" w:rsidP="00A926BD">
      <w:pPr>
        <w:pStyle w:val="4"/>
      </w:pPr>
      <w:r w:rsidRPr="00FD50F6">
        <w:t>车辆段内</w:t>
      </w:r>
      <w:r w:rsidRPr="00FD50F6">
        <w:rPr>
          <w:rFonts w:hint="eastAsia"/>
        </w:rPr>
        <w:t>应</w:t>
      </w:r>
      <w:r w:rsidRPr="00FD50F6">
        <w:t>分为</w:t>
      </w:r>
      <w:r w:rsidRPr="00FD50F6">
        <w:rPr>
          <w:rFonts w:hint="eastAsia"/>
        </w:rPr>
        <w:t>自动运行区和非自动运行区；</w:t>
      </w:r>
    </w:p>
    <w:p w14:paraId="292598B9" w14:textId="5338EB21" w:rsidR="00717F96" w:rsidRPr="00FD50F6" w:rsidRDefault="00717F96" w:rsidP="00A926BD">
      <w:pPr>
        <w:pStyle w:val="4"/>
      </w:pPr>
      <w:r w:rsidRPr="00FD50F6">
        <w:t>停车场可全部设定为</w:t>
      </w:r>
      <w:r w:rsidRPr="00FD50F6">
        <w:rPr>
          <w:rFonts w:hint="eastAsia"/>
        </w:rPr>
        <w:t>自动运行区；</w:t>
      </w:r>
    </w:p>
    <w:p w14:paraId="2260C76A" w14:textId="77777777" w:rsidR="00717F96" w:rsidRPr="00FD50F6" w:rsidRDefault="00717F96" w:rsidP="00A926BD">
      <w:pPr>
        <w:pStyle w:val="4"/>
      </w:pPr>
      <w:r w:rsidRPr="00FD50F6">
        <w:rPr>
          <w:rFonts w:hint="eastAsia"/>
        </w:rPr>
        <w:t>车辆基地应配置实现列车自动作业功能的设备。</w:t>
      </w:r>
    </w:p>
    <w:p w14:paraId="75CEF34D" w14:textId="4B0849BE" w:rsidR="00717F96" w:rsidRPr="00FD50F6" w:rsidRDefault="00717F96" w:rsidP="00717F96">
      <w:pPr>
        <w:pStyle w:val="30"/>
      </w:pPr>
      <w:r w:rsidRPr="00FD50F6">
        <w:rPr>
          <w:rFonts w:hint="eastAsia"/>
        </w:rPr>
        <w:t>车辆段（停车场）设置进</w:t>
      </w:r>
      <w:r w:rsidRPr="00FD50F6">
        <w:rPr>
          <w:rFonts w:hint="eastAsia"/>
        </w:rPr>
        <w:t>/</w:t>
      </w:r>
      <w:r w:rsidRPr="00FD50F6">
        <w:rPr>
          <w:rFonts w:hint="eastAsia"/>
        </w:rPr>
        <w:t>出段（场）信号机、出库信号机、调车信号机。</w:t>
      </w:r>
    </w:p>
    <w:p w14:paraId="1F58C59A" w14:textId="1801D7A4" w:rsidR="00717F96" w:rsidRPr="00FD50F6" w:rsidRDefault="00717F96" w:rsidP="00717F96">
      <w:pPr>
        <w:pStyle w:val="30"/>
      </w:pPr>
      <w:r w:rsidRPr="00FD50F6">
        <w:t>试车线信号系统应符合下列</w:t>
      </w:r>
      <w:r w:rsidRPr="00FD50F6">
        <w:rPr>
          <w:rFonts w:hint="eastAsia"/>
        </w:rPr>
        <w:t>规定</w:t>
      </w:r>
      <w:r w:rsidRPr="00FD50F6">
        <w:t>：</w:t>
      </w:r>
      <w:r w:rsidRPr="00FD50F6">
        <w:t xml:space="preserve"> </w:t>
      </w:r>
    </w:p>
    <w:p w14:paraId="2BA1611D" w14:textId="1FB4F4B9" w:rsidR="00717F96" w:rsidRPr="00FD50F6" w:rsidRDefault="00717F96" w:rsidP="00A926BD">
      <w:pPr>
        <w:pStyle w:val="4"/>
      </w:pPr>
      <w:r w:rsidRPr="00FD50F6">
        <w:rPr>
          <w:rFonts w:hint="eastAsia"/>
        </w:rPr>
        <w:t>当进行</w:t>
      </w:r>
      <w:r w:rsidRPr="00FD50F6">
        <w:t>试车作业时，试车线操作员应与车辆基地值班员交接控制权。车辆基地与试车线的接口设计应</w:t>
      </w:r>
      <w:r w:rsidRPr="00FD50F6">
        <w:rPr>
          <w:rFonts w:hint="eastAsia"/>
        </w:rPr>
        <w:t>满足</w:t>
      </w:r>
      <w:r w:rsidRPr="00FD50F6">
        <w:t>试车作业与车辆基地作业互不影响</w:t>
      </w:r>
      <w:r w:rsidRPr="00FD50F6">
        <w:rPr>
          <w:rFonts w:hint="eastAsia"/>
        </w:rPr>
        <w:t>的要求。</w:t>
      </w:r>
    </w:p>
    <w:p w14:paraId="691769E7" w14:textId="05ECEF05" w:rsidR="00717F96" w:rsidRPr="00FD50F6" w:rsidRDefault="00717F96" w:rsidP="00A926BD">
      <w:pPr>
        <w:pStyle w:val="4"/>
      </w:pPr>
      <w:r w:rsidRPr="00FD50F6">
        <w:t>试车线信号地面设备的配置应能完成信号系统车载设备功能的动态测试和双向试车的需要</w:t>
      </w:r>
      <w:r w:rsidRPr="00FD50F6">
        <w:rPr>
          <w:rFonts w:hint="eastAsia"/>
        </w:rPr>
        <w:t>。</w:t>
      </w:r>
    </w:p>
    <w:p w14:paraId="4246B0FD" w14:textId="6D9A4FE1" w:rsidR="00717F96" w:rsidRPr="00FD50F6" w:rsidRDefault="00717F96" w:rsidP="00A926BD">
      <w:pPr>
        <w:pStyle w:val="4"/>
      </w:pPr>
      <w:r w:rsidRPr="00FD50F6">
        <w:t>试车线的车地无线通信设备不应干扰正线</w:t>
      </w:r>
      <w:r w:rsidRPr="00FD50F6">
        <w:rPr>
          <w:rFonts w:hint="eastAsia"/>
        </w:rPr>
        <w:t>、车辆基地、出入段</w:t>
      </w:r>
      <w:r w:rsidRPr="00FD50F6">
        <w:rPr>
          <w:rFonts w:hint="eastAsia"/>
        </w:rPr>
        <w:t>/</w:t>
      </w:r>
      <w:r w:rsidRPr="00FD50F6">
        <w:rPr>
          <w:rFonts w:hint="eastAsia"/>
        </w:rPr>
        <w:t>场线上</w:t>
      </w:r>
      <w:r w:rsidRPr="00FD50F6">
        <w:t>列车的运行</w:t>
      </w:r>
      <w:r w:rsidRPr="00FD50F6">
        <w:rPr>
          <w:rFonts w:hint="eastAsia"/>
        </w:rPr>
        <w:t>。</w:t>
      </w:r>
    </w:p>
    <w:p w14:paraId="2D00AD3B" w14:textId="1B1A0CC3" w:rsidR="00717F96" w:rsidRPr="00FD50F6" w:rsidRDefault="00717F96" w:rsidP="00A926BD">
      <w:pPr>
        <w:pStyle w:val="4"/>
      </w:pPr>
      <w:r w:rsidRPr="00FD50F6">
        <w:rPr>
          <w:rFonts w:hint="eastAsia"/>
        </w:rPr>
        <w:t>试车线上调车信号机的显示应区分试车和调车两种不同性质的作业。</w:t>
      </w:r>
    </w:p>
    <w:p w14:paraId="12687224" w14:textId="2C8230DF" w:rsidR="00717F96" w:rsidRPr="00FD50F6" w:rsidRDefault="00717F96" w:rsidP="00717F96">
      <w:pPr>
        <w:pStyle w:val="30"/>
      </w:pPr>
      <w:r w:rsidRPr="00FD50F6">
        <w:t>培训设备</w:t>
      </w:r>
      <w:r w:rsidRPr="00FD50F6">
        <w:rPr>
          <w:rFonts w:hint="eastAsia"/>
        </w:rPr>
        <w:t>应</w:t>
      </w:r>
      <w:r w:rsidRPr="00FD50F6">
        <w:t>符合下列</w:t>
      </w:r>
      <w:r w:rsidRPr="00FD50F6">
        <w:rPr>
          <w:rFonts w:hint="eastAsia"/>
        </w:rPr>
        <w:t>规定</w:t>
      </w:r>
      <w:r w:rsidRPr="00FD50F6">
        <w:t>：</w:t>
      </w:r>
      <w:r w:rsidRPr="00FD50F6">
        <w:rPr>
          <w:rFonts w:hint="eastAsia"/>
        </w:rPr>
        <w:t xml:space="preserve"> </w:t>
      </w:r>
    </w:p>
    <w:p w14:paraId="4BEF7CB6" w14:textId="77777777" w:rsidR="00717F96" w:rsidRPr="00FD50F6" w:rsidRDefault="00717F96" w:rsidP="00A926BD">
      <w:pPr>
        <w:pStyle w:val="4"/>
      </w:pPr>
      <w:r w:rsidRPr="00FD50F6">
        <w:rPr>
          <w:rFonts w:hint="eastAsia"/>
        </w:rPr>
        <w:t>培训设备应分为调度模拟培训和运维实操培训设备。</w:t>
      </w:r>
    </w:p>
    <w:p w14:paraId="3D901D58" w14:textId="77777777" w:rsidR="00717F96" w:rsidRPr="00FD50F6" w:rsidRDefault="00717F96" w:rsidP="00A926BD">
      <w:pPr>
        <w:pStyle w:val="4"/>
      </w:pPr>
      <w:r w:rsidRPr="00FD50F6">
        <w:rPr>
          <w:rFonts w:hint="eastAsia"/>
        </w:rPr>
        <w:t>运维实操培训的</w:t>
      </w:r>
      <w:r w:rsidRPr="00FD50F6">
        <w:t>主要设备应与实际运用的信号设备一致，可设置信号机、转辙机等室外设备</w:t>
      </w:r>
      <w:r w:rsidRPr="00FD50F6">
        <w:rPr>
          <w:rFonts w:hint="eastAsia"/>
        </w:rPr>
        <w:t>。</w:t>
      </w:r>
    </w:p>
    <w:p w14:paraId="5CC2A0E5" w14:textId="77777777" w:rsidR="00717F96" w:rsidRPr="00FD50F6" w:rsidRDefault="00717F96" w:rsidP="00A926BD">
      <w:pPr>
        <w:pStyle w:val="4"/>
      </w:pPr>
      <w:r w:rsidRPr="00FD50F6">
        <w:t>培训设备应能提供运行环境模拟、故障设定及仿真功能</w:t>
      </w:r>
      <w:r w:rsidRPr="00FD50F6">
        <w:rPr>
          <w:rFonts w:hint="eastAsia"/>
        </w:rPr>
        <w:t>。</w:t>
      </w:r>
      <w:r w:rsidRPr="00FD50F6">
        <w:t xml:space="preserve"> </w:t>
      </w:r>
    </w:p>
    <w:p w14:paraId="31A3488F" w14:textId="77777777" w:rsidR="00717F96" w:rsidRPr="00FD50F6" w:rsidRDefault="00717F96" w:rsidP="00A926BD">
      <w:pPr>
        <w:pStyle w:val="4"/>
      </w:pPr>
      <w:r w:rsidRPr="00FD50F6">
        <w:lastRenderedPageBreak/>
        <w:t>配置的车地无线通信设备不应干扰或影响运营设备的运行</w:t>
      </w:r>
      <w:r w:rsidRPr="00FD50F6">
        <w:rPr>
          <w:rFonts w:hint="eastAsia"/>
        </w:rPr>
        <w:t>。</w:t>
      </w:r>
    </w:p>
    <w:p w14:paraId="602367D8" w14:textId="77777777" w:rsidR="00717F96" w:rsidRPr="00FD50F6" w:rsidRDefault="00717F96" w:rsidP="00A926BD">
      <w:pPr>
        <w:pStyle w:val="4"/>
      </w:pPr>
      <w:r w:rsidRPr="00FD50F6">
        <w:t>培训设备的配置应基于线网范围内资源共享的原则</w:t>
      </w:r>
      <w:r w:rsidRPr="00FD50F6">
        <w:rPr>
          <w:rFonts w:hint="eastAsia"/>
        </w:rPr>
        <w:t>。</w:t>
      </w:r>
    </w:p>
    <w:p w14:paraId="4953B7C3" w14:textId="77777777" w:rsidR="00717F96" w:rsidRPr="00FD50F6" w:rsidRDefault="00717F96" w:rsidP="00A65181">
      <w:pPr>
        <w:pStyle w:val="2"/>
      </w:pPr>
      <w:bookmarkStart w:id="778" w:name="_Toc16466755"/>
      <w:bookmarkStart w:id="779" w:name="_Toc112830781"/>
      <w:r w:rsidRPr="00FD50F6">
        <w:rPr>
          <w:rFonts w:hint="eastAsia"/>
        </w:rPr>
        <w:t>系统功能</w:t>
      </w:r>
      <w:bookmarkEnd w:id="778"/>
      <w:bookmarkEnd w:id="779"/>
    </w:p>
    <w:p w14:paraId="2BBD9C11" w14:textId="1E401EC1"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Ⅰ</w:t>
      </w:r>
      <w:r w:rsidRPr="00FD50F6">
        <w:rPr>
          <w:rFonts w:ascii="Times New Roman" w:hAnsi="Times New Roman"/>
          <w:b/>
          <w:bCs/>
          <w:szCs w:val="24"/>
        </w:rPr>
        <w:t xml:space="preserve"> </w:t>
      </w:r>
      <w:r w:rsidRPr="00FD50F6">
        <w:rPr>
          <w:rFonts w:ascii="Times New Roman" w:hAnsi="Times New Roman"/>
          <w:b/>
          <w:bCs/>
          <w:szCs w:val="24"/>
        </w:rPr>
        <w:t>列车自动监控</w:t>
      </w:r>
      <w:r w:rsidRPr="00FD50F6">
        <w:rPr>
          <w:rFonts w:ascii="Times New Roman" w:hAnsi="Times New Roman" w:hint="eastAsia"/>
          <w:b/>
          <w:bCs/>
          <w:szCs w:val="24"/>
        </w:rPr>
        <w:t>系统</w:t>
      </w:r>
    </w:p>
    <w:p w14:paraId="2419050E" w14:textId="537C33DB" w:rsidR="00717F96" w:rsidRPr="00FD50F6" w:rsidRDefault="00717F96" w:rsidP="00717F96">
      <w:pPr>
        <w:pStyle w:val="30"/>
      </w:pPr>
      <w:r w:rsidRPr="00FD50F6">
        <w:t>ATS</w:t>
      </w:r>
      <w:r w:rsidRPr="00FD50F6">
        <w:t>系统应具有下列功能</w:t>
      </w:r>
    </w:p>
    <w:p w14:paraId="6EE3AB7F" w14:textId="77777777" w:rsidR="00717F96" w:rsidRPr="00FD50F6" w:rsidRDefault="00717F96" w:rsidP="00A926BD">
      <w:pPr>
        <w:pStyle w:val="4"/>
      </w:pPr>
      <w:r w:rsidRPr="00FD50F6">
        <w:rPr>
          <w:rFonts w:hint="eastAsia"/>
        </w:rPr>
        <w:t>列车自动识别、追踪、车次号显示；</w:t>
      </w:r>
    </w:p>
    <w:p w14:paraId="2F3716EE" w14:textId="77777777" w:rsidR="00717F96" w:rsidRPr="00FD50F6" w:rsidRDefault="00717F96" w:rsidP="00A926BD">
      <w:pPr>
        <w:pStyle w:val="4"/>
      </w:pPr>
      <w:r w:rsidRPr="00FD50F6">
        <w:t>时刻表编制及管理</w:t>
      </w:r>
      <w:r w:rsidRPr="00FD50F6">
        <w:rPr>
          <w:rFonts w:hint="eastAsia"/>
        </w:rPr>
        <w:t>；</w:t>
      </w:r>
    </w:p>
    <w:p w14:paraId="6F778299" w14:textId="77777777" w:rsidR="00717F96" w:rsidRPr="00FD50F6" w:rsidRDefault="00717F96" w:rsidP="00A926BD">
      <w:pPr>
        <w:pStyle w:val="4"/>
      </w:pPr>
      <w:r w:rsidRPr="00FD50F6">
        <w:t>进路自动</w:t>
      </w:r>
      <w:r w:rsidRPr="00FD50F6">
        <w:t>/</w:t>
      </w:r>
      <w:r w:rsidRPr="00FD50F6">
        <w:t>人工控制</w:t>
      </w:r>
      <w:r w:rsidRPr="00FD50F6">
        <w:rPr>
          <w:rFonts w:hint="eastAsia"/>
        </w:rPr>
        <w:t>；</w:t>
      </w:r>
    </w:p>
    <w:p w14:paraId="56DA1520" w14:textId="77777777" w:rsidR="00717F96" w:rsidRPr="00FD50F6" w:rsidRDefault="00717F96" w:rsidP="00A926BD">
      <w:pPr>
        <w:pStyle w:val="4"/>
      </w:pPr>
      <w:r w:rsidRPr="00FD50F6">
        <w:t>列车运行调整</w:t>
      </w:r>
      <w:r w:rsidRPr="00FD50F6">
        <w:rPr>
          <w:rFonts w:hint="eastAsia"/>
        </w:rPr>
        <w:t>；</w:t>
      </w:r>
    </w:p>
    <w:p w14:paraId="07695C0C" w14:textId="77777777" w:rsidR="00717F96" w:rsidRPr="00FD50F6" w:rsidRDefault="00717F96" w:rsidP="00A926BD">
      <w:pPr>
        <w:pStyle w:val="4"/>
      </w:pPr>
      <w:r w:rsidRPr="00FD50F6">
        <w:t>列车运行和设备状态自动</w:t>
      </w:r>
      <w:r w:rsidRPr="00FD50F6">
        <w:rPr>
          <w:rFonts w:hint="eastAsia"/>
        </w:rPr>
        <w:t>监测；</w:t>
      </w:r>
    </w:p>
    <w:p w14:paraId="6FFCEFA7" w14:textId="77777777" w:rsidR="00717F96" w:rsidRPr="00FD50F6" w:rsidRDefault="00717F96" w:rsidP="00A926BD">
      <w:pPr>
        <w:pStyle w:val="4"/>
      </w:pPr>
      <w:r w:rsidRPr="00FD50F6">
        <w:rPr>
          <w:rFonts w:hint="eastAsia"/>
        </w:rPr>
        <w:t>临时限速指令处理；</w:t>
      </w:r>
    </w:p>
    <w:p w14:paraId="5582DBD1" w14:textId="77777777" w:rsidR="00717F96" w:rsidRPr="00FD50F6" w:rsidRDefault="00717F96" w:rsidP="00A926BD">
      <w:pPr>
        <w:pStyle w:val="4"/>
      </w:pPr>
      <w:r w:rsidRPr="00FD50F6">
        <w:rPr>
          <w:rFonts w:hint="eastAsia"/>
        </w:rPr>
        <w:t>操作与数据记录、回放、输出及统计处理；</w:t>
      </w:r>
    </w:p>
    <w:p w14:paraId="1837CE66" w14:textId="77777777" w:rsidR="00717F96" w:rsidRPr="00FD50F6" w:rsidRDefault="00717F96" w:rsidP="00A926BD">
      <w:pPr>
        <w:pStyle w:val="4"/>
      </w:pPr>
      <w:r w:rsidRPr="00FD50F6">
        <w:t>系统故障复原处理</w:t>
      </w:r>
      <w:r w:rsidRPr="00FD50F6">
        <w:rPr>
          <w:rFonts w:hint="eastAsia"/>
        </w:rPr>
        <w:t>；</w:t>
      </w:r>
    </w:p>
    <w:p w14:paraId="2FF5E0FE" w14:textId="77777777" w:rsidR="00717F96" w:rsidRPr="00FD50F6" w:rsidRDefault="00717F96" w:rsidP="00A926BD">
      <w:pPr>
        <w:pStyle w:val="4"/>
      </w:pPr>
      <w:r w:rsidRPr="00FD50F6">
        <w:t>车辆修程及乘务员管理</w:t>
      </w:r>
      <w:r w:rsidRPr="00FD50F6">
        <w:rPr>
          <w:rFonts w:hint="eastAsia"/>
        </w:rPr>
        <w:t>；</w:t>
      </w:r>
    </w:p>
    <w:p w14:paraId="06C5441F" w14:textId="77777777" w:rsidR="00717F96" w:rsidRPr="00FD50F6" w:rsidRDefault="00717F96" w:rsidP="00A926BD">
      <w:pPr>
        <w:pStyle w:val="4"/>
      </w:pPr>
      <w:r w:rsidRPr="00FD50F6">
        <w:t>列车运行模拟及培训</w:t>
      </w:r>
      <w:r w:rsidRPr="00FD50F6">
        <w:rPr>
          <w:rFonts w:hint="eastAsia"/>
        </w:rPr>
        <w:t>。</w:t>
      </w:r>
    </w:p>
    <w:p w14:paraId="58D3168D" w14:textId="1CE8963A" w:rsidR="00717F96" w:rsidRPr="00FD50F6" w:rsidRDefault="00717F96" w:rsidP="00717F96">
      <w:pPr>
        <w:pStyle w:val="30"/>
      </w:pPr>
      <w:r w:rsidRPr="00FD50F6">
        <w:rPr>
          <w:rFonts w:hint="eastAsia"/>
        </w:rPr>
        <w:t>同一</w:t>
      </w:r>
      <w:r w:rsidRPr="00FD50F6">
        <w:rPr>
          <w:rFonts w:hint="eastAsia"/>
        </w:rPr>
        <w:t>ATS</w:t>
      </w:r>
      <w:r w:rsidRPr="00FD50F6">
        <w:rPr>
          <w:rFonts w:hint="eastAsia"/>
        </w:rPr>
        <w:t>系统可监控一条或多条运营线路。当监控多条运营线路时，应使各条线路具有独立运营或混合运营的能力。</w:t>
      </w:r>
    </w:p>
    <w:p w14:paraId="35150F64" w14:textId="77777777" w:rsidR="00717F96" w:rsidRPr="00FD50F6" w:rsidRDefault="00717F96" w:rsidP="00717F96">
      <w:pPr>
        <w:pStyle w:val="30"/>
        <w:rPr>
          <w:rFonts w:eastAsia="等线"/>
        </w:rPr>
      </w:pPr>
      <w:bookmarkStart w:id="780" w:name="OLE_LINK15"/>
      <w:r w:rsidRPr="00FD50F6">
        <w:rPr>
          <w:rFonts w:hint="eastAsia"/>
        </w:rPr>
        <w:t>运营线路上的车站、站间、折返线等应全部纳入正线</w:t>
      </w:r>
      <w:r w:rsidRPr="00FD50F6">
        <w:rPr>
          <w:rFonts w:hint="eastAsia"/>
        </w:rPr>
        <w:t>ATS</w:t>
      </w:r>
      <w:r w:rsidRPr="00FD50F6">
        <w:rPr>
          <w:rFonts w:hint="eastAsia"/>
        </w:rPr>
        <w:t>系统监控范围</w:t>
      </w:r>
      <w:bookmarkEnd w:id="780"/>
      <w:r w:rsidRPr="00FD50F6">
        <w:rPr>
          <w:rFonts w:hint="eastAsia"/>
        </w:rPr>
        <w:t>。</w:t>
      </w:r>
    </w:p>
    <w:p w14:paraId="03FC45F3" w14:textId="77777777" w:rsidR="00717F96" w:rsidRPr="00FD50F6" w:rsidRDefault="00717F96" w:rsidP="00717F96">
      <w:pPr>
        <w:pStyle w:val="30"/>
        <w:rPr>
          <w:rFonts w:eastAsia="等线"/>
        </w:rPr>
      </w:pPr>
      <w:bookmarkStart w:id="781" w:name="OLE_LINK16"/>
      <w:r w:rsidRPr="00FD50F6">
        <w:t xml:space="preserve">ATS </w:t>
      </w:r>
      <w:r w:rsidRPr="00FD50F6">
        <w:t>系统应满足列车运行交路的需要</w:t>
      </w:r>
      <w:r w:rsidRPr="00FD50F6">
        <w:rPr>
          <w:rFonts w:hint="eastAsia"/>
        </w:rPr>
        <w:t>，</w:t>
      </w:r>
      <w:r w:rsidRPr="00FD50F6">
        <w:t>凡具有折返条件的车站均应</w:t>
      </w:r>
      <w:r w:rsidRPr="00FD50F6">
        <w:rPr>
          <w:rFonts w:hint="eastAsia"/>
        </w:rPr>
        <w:t>实现</w:t>
      </w:r>
      <w:r w:rsidRPr="00FD50F6">
        <w:t>折返作业</w:t>
      </w:r>
      <w:r w:rsidRPr="00FD50F6">
        <w:rPr>
          <w:rFonts w:hint="eastAsia"/>
        </w:rPr>
        <w:t>功能</w:t>
      </w:r>
      <w:bookmarkEnd w:id="781"/>
      <w:r w:rsidRPr="00FD50F6">
        <w:rPr>
          <w:rFonts w:hint="eastAsia"/>
        </w:rPr>
        <w:t>。</w:t>
      </w:r>
    </w:p>
    <w:p w14:paraId="00142DDC" w14:textId="77777777" w:rsidR="00717F96" w:rsidRPr="00FD50F6" w:rsidRDefault="00717F96" w:rsidP="00717F96">
      <w:pPr>
        <w:pStyle w:val="30"/>
      </w:pPr>
      <w:r w:rsidRPr="00FD50F6">
        <w:rPr>
          <w:rFonts w:hint="eastAsia"/>
        </w:rPr>
        <w:t>当控制中心设备</w:t>
      </w:r>
      <w:r w:rsidRPr="00FD50F6">
        <w:t>故障或车站作业需要时，经控制中心调度员与车站值班员办理手续后，可实现站控与遥控转换；车站值班员可强行办理站控作业；</w:t>
      </w:r>
      <w:r w:rsidRPr="00FD50F6">
        <w:rPr>
          <w:rFonts w:hint="eastAsia"/>
        </w:rPr>
        <w:t>在</w:t>
      </w:r>
      <w:r w:rsidRPr="00FD50F6">
        <w:t>站控与遥控转换过程中，不应影响列车运行</w:t>
      </w:r>
      <w:r w:rsidRPr="00FD50F6">
        <w:rPr>
          <w:rFonts w:hint="eastAsia"/>
        </w:rPr>
        <w:t>。</w:t>
      </w:r>
    </w:p>
    <w:p w14:paraId="212FF557" w14:textId="77777777" w:rsidR="00717F96" w:rsidRPr="00FD50F6" w:rsidRDefault="00717F96" w:rsidP="00717F96">
      <w:pPr>
        <w:pStyle w:val="30"/>
      </w:pPr>
      <w:r w:rsidRPr="00FD50F6">
        <w:t>列车进路控制应以联锁表为依据，并应根据运行时刻表和列车识别号等条件实现控制。</w:t>
      </w:r>
      <w:r w:rsidRPr="00FD50F6">
        <w:t xml:space="preserve"> </w:t>
      </w:r>
    </w:p>
    <w:p w14:paraId="47E3C8B9" w14:textId="77777777" w:rsidR="00717F96" w:rsidRPr="00FD50F6" w:rsidRDefault="00717F96" w:rsidP="00717F96">
      <w:pPr>
        <w:pStyle w:val="30"/>
      </w:pPr>
      <w:r w:rsidRPr="00FD50F6">
        <w:rPr>
          <w:rFonts w:hint="eastAsia"/>
        </w:rPr>
        <w:t>全自动运行线路</w:t>
      </w:r>
      <w:r w:rsidRPr="00FD50F6">
        <w:rPr>
          <w:rFonts w:hint="eastAsia"/>
        </w:rPr>
        <w:t>ATS</w:t>
      </w:r>
      <w:r w:rsidRPr="00FD50F6">
        <w:rPr>
          <w:rFonts w:hint="eastAsia"/>
        </w:rPr>
        <w:t>系统应增加下列功能：</w:t>
      </w:r>
      <w:r w:rsidRPr="00FD50F6">
        <w:rPr>
          <w:rFonts w:hint="eastAsia"/>
        </w:rPr>
        <w:t xml:space="preserve"> </w:t>
      </w:r>
    </w:p>
    <w:p w14:paraId="08983894" w14:textId="77777777" w:rsidR="00717F96" w:rsidRPr="00FD50F6" w:rsidRDefault="00717F96" w:rsidP="00A926BD">
      <w:pPr>
        <w:pStyle w:val="4"/>
      </w:pPr>
      <w:r w:rsidRPr="00FD50F6">
        <w:rPr>
          <w:rFonts w:hint="eastAsia"/>
        </w:rPr>
        <w:t>休眠、唤醒、待命、清扫、清客确认、自动洗车、正线服务、退出运营等列车的自动监控；</w:t>
      </w:r>
    </w:p>
    <w:p w14:paraId="52BF314C" w14:textId="77777777" w:rsidR="00717F96" w:rsidRPr="00FD50F6" w:rsidRDefault="00717F96" w:rsidP="00A926BD">
      <w:pPr>
        <w:pStyle w:val="4"/>
      </w:pPr>
      <w:r w:rsidRPr="00FD50F6">
        <w:rPr>
          <w:rFonts w:hint="eastAsia"/>
        </w:rPr>
        <w:lastRenderedPageBreak/>
        <w:t>车载换端、开关车门、全自动模式运行授权、部分紧急制动状态缓解等远程控制；</w:t>
      </w:r>
    </w:p>
    <w:p w14:paraId="0BD31EE8" w14:textId="77777777" w:rsidR="00717F96" w:rsidRPr="00FD50F6" w:rsidRDefault="00717F96" w:rsidP="00A926BD">
      <w:pPr>
        <w:pStyle w:val="4"/>
      </w:pPr>
      <w:r w:rsidRPr="00FD50F6">
        <w:rPr>
          <w:rFonts w:hint="eastAsia"/>
        </w:rPr>
        <w:t>清客远程确认、车载设备远程重启；</w:t>
      </w:r>
    </w:p>
    <w:p w14:paraId="3D556C25" w14:textId="77777777" w:rsidR="00717F96" w:rsidRPr="00FD50F6" w:rsidRDefault="00717F96" w:rsidP="00A926BD">
      <w:pPr>
        <w:pStyle w:val="4"/>
      </w:pPr>
      <w:r w:rsidRPr="00FD50F6">
        <w:rPr>
          <w:rFonts w:hint="eastAsia"/>
        </w:rPr>
        <w:t>列车出段</w:t>
      </w:r>
      <w:r w:rsidRPr="00FD50F6">
        <w:rPr>
          <w:rFonts w:hint="eastAsia"/>
        </w:rPr>
        <w:t>/</w:t>
      </w:r>
      <w:r w:rsidRPr="00FD50F6">
        <w:rPr>
          <w:rFonts w:hint="eastAsia"/>
        </w:rPr>
        <w:t>场前车次号与运行图计划的自动匹配；</w:t>
      </w:r>
    </w:p>
    <w:p w14:paraId="11229452" w14:textId="77777777" w:rsidR="00717F96" w:rsidRPr="00FD50F6" w:rsidRDefault="00717F96" w:rsidP="00A926BD">
      <w:pPr>
        <w:pStyle w:val="4"/>
      </w:pPr>
      <w:r w:rsidRPr="00FD50F6">
        <w:rPr>
          <w:rFonts w:hint="eastAsia"/>
        </w:rPr>
        <w:t>车辆基地具有作业计划与时刻表的自动匹配。</w:t>
      </w:r>
    </w:p>
    <w:p w14:paraId="76A0CF33" w14:textId="3F113A10" w:rsidR="00717F96" w:rsidRPr="00FD50F6" w:rsidRDefault="00717F96" w:rsidP="00717F96">
      <w:pPr>
        <w:spacing w:beforeLines="50" w:before="120" w:afterLines="50" w:after="120"/>
        <w:ind w:leftChars="100" w:left="240"/>
        <w:jc w:val="center"/>
        <w:outlineLvl w:val="1"/>
        <w:rPr>
          <w:rFonts w:ascii="楷体" w:eastAsia="楷体" w:hAnsi="楷体"/>
          <w:b/>
          <w:bCs/>
          <w:szCs w:val="24"/>
        </w:rPr>
      </w:pPr>
      <w:r w:rsidRPr="00FD50F6">
        <w:rPr>
          <w:rFonts w:ascii="Times New Roman" w:hAnsi="Times New Roman" w:hint="eastAsia"/>
          <w:b/>
          <w:bCs/>
          <w:szCs w:val="24"/>
        </w:rPr>
        <w:t>Ⅱ</w:t>
      </w:r>
      <w:r w:rsidRPr="00FD50F6">
        <w:rPr>
          <w:rFonts w:ascii="Times New Roman" w:hAnsi="Times New Roman"/>
          <w:b/>
          <w:bCs/>
          <w:szCs w:val="24"/>
        </w:rPr>
        <w:t xml:space="preserve"> </w:t>
      </w:r>
      <w:r w:rsidRPr="00FD50F6">
        <w:rPr>
          <w:rFonts w:ascii="Times New Roman" w:hAnsi="Times New Roman"/>
          <w:b/>
          <w:bCs/>
          <w:szCs w:val="24"/>
        </w:rPr>
        <w:t>列车自动</w:t>
      </w:r>
      <w:r w:rsidRPr="00FD50F6">
        <w:rPr>
          <w:rFonts w:ascii="Times New Roman" w:hAnsi="Times New Roman" w:hint="eastAsia"/>
          <w:b/>
          <w:bCs/>
          <w:szCs w:val="24"/>
        </w:rPr>
        <w:t>防护</w:t>
      </w:r>
      <w:r w:rsidRPr="00FD50F6">
        <w:rPr>
          <w:rFonts w:ascii="Times New Roman" w:hAnsi="Times New Roman"/>
          <w:b/>
          <w:bCs/>
          <w:szCs w:val="24"/>
        </w:rPr>
        <w:t>系统</w:t>
      </w:r>
    </w:p>
    <w:p w14:paraId="1239C753" w14:textId="77777777" w:rsidR="00717F96" w:rsidRPr="00FD50F6" w:rsidRDefault="00717F96" w:rsidP="00717F96">
      <w:pPr>
        <w:pStyle w:val="30"/>
      </w:pPr>
      <w:r w:rsidRPr="00FD50F6">
        <w:t>ATP</w:t>
      </w:r>
      <w:r w:rsidRPr="00FD50F6">
        <w:rPr>
          <w:rFonts w:hint="eastAsia"/>
        </w:rPr>
        <w:t>系统导致列车停车应为最高安全准则。车地连续通信中断、列车完整性电路断路、列车超速、列车的非预期移动、车载设备重要故障等均应导致列车强迫制动。</w:t>
      </w:r>
    </w:p>
    <w:p w14:paraId="4DA06EED" w14:textId="12ED5121" w:rsidR="00717F96" w:rsidRPr="00FD50F6" w:rsidRDefault="00717F96" w:rsidP="00717F96">
      <w:pPr>
        <w:pStyle w:val="30"/>
      </w:pPr>
      <w:r w:rsidRPr="00FD50F6">
        <w:t>ATP</w:t>
      </w:r>
      <w:r w:rsidRPr="00FD50F6">
        <w:t>系统应采用连续式控制方式，宜采用一次性速度</w:t>
      </w:r>
      <w:r w:rsidRPr="00FD50F6">
        <w:t>—</w:t>
      </w:r>
      <w:r w:rsidRPr="00FD50F6">
        <w:t>距离控制模式</w:t>
      </w:r>
      <w:r w:rsidRPr="00FD50F6">
        <w:rPr>
          <w:rFonts w:hint="eastAsia"/>
        </w:rPr>
        <w:t>。</w:t>
      </w:r>
    </w:p>
    <w:p w14:paraId="1ECC67A5" w14:textId="77777777" w:rsidR="00717F96" w:rsidRPr="00FD50F6" w:rsidRDefault="00717F96" w:rsidP="00717F96">
      <w:pPr>
        <w:pStyle w:val="30"/>
      </w:pPr>
      <w:r w:rsidRPr="00FD50F6">
        <w:t>ATP</w:t>
      </w:r>
      <w:r w:rsidRPr="00FD50F6">
        <w:t>地面设备向</w:t>
      </w:r>
      <w:r w:rsidRPr="00FD50F6">
        <w:t>ATP</w:t>
      </w:r>
      <w:r w:rsidRPr="00FD50F6">
        <w:t>车载设备传送的允许速度指令或线路状态、目标速度、目标距离、站台</w:t>
      </w:r>
      <w:r w:rsidRPr="00FD50F6">
        <w:rPr>
          <w:rFonts w:hint="eastAsia"/>
        </w:rPr>
        <w:t>屏蔽</w:t>
      </w:r>
      <w:r w:rsidRPr="00FD50F6">
        <w:t>门状态等信息，应满足</w:t>
      </w:r>
      <w:r w:rsidRPr="00FD50F6">
        <w:t>ATP</w:t>
      </w:r>
      <w:r w:rsidRPr="00FD50F6">
        <w:t>车载设备控制方式和控制精度的需要</w:t>
      </w:r>
      <w:r w:rsidRPr="00FD50F6">
        <w:rPr>
          <w:rFonts w:hint="eastAsia"/>
        </w:rPr>
        <w:t>。</w:t>
      </w:r>
    </w:p>
    <w:p w14:paraId="22B0EDD9" w14:textId="77777777" w:rsidR="00717F96" w:rsidRPr="00FD50F6" w:rsidRDefault="00717F96" w:rsidP="00717F96">
      <w:pPr>
        <w:pStyle w:val="30"/>
      </w:pPr>
      <w:r w:rsidRPr="00FD50F6">
        <w:t>ATP</w:t>
      </w:r>
      <w:r w:rsidRPr="00FD50F6">
        <w:t>执行</w:t>
      </w:r>
      <w:r w:rsidRPr="00FD50F6">
        <w:rPr>
          <w:rFonts w:hint="eastAsia"/>
        </w:rPr>
        <w:t>强迫</w:t>
      </w:r>
      <w:r w:rsidRPr="00FD50F6">
        <w:t>制动控制时应切断列车牵引，</w:t>
      </w:r>
      <w:r w:rsidRPr="00FD50F6">
        <w:rPr>
          <w:rFonts w:hint="eastAsia"/>
        </w:rPr>
        <w:t>列车停车过程不得中途缓解。</w:t>
      </w:r>
      <w:r w:rsidRPr="00FD50F6">
        <w:rPr>
          <w:rFonts w:ascii="楷体" w:eastAsia="楷体" w:hAnsi="楷体" w:hint="eastAsia"/>
        </w:rPr>
        <w:t xml:space="preserve"> </w:t>
      </w:r>
    </w:p>
    <w:p w14:paraId="78A16D8D" w14:textId="77777777" w:rsidR="00717F96" w:rsidRPr="00FD50F6" w:rsidRDefault="00717F96" w:rsidP="00717F96">
      <w:pPr>
        <w:pStyle w:val="30"/>
      </w:pPr>
      <w:r w:rsidRPr="00FD50F6">
        <w:t>ATP</w:t>
      </w:r>
      <w:r w:rsidRPr="00FD50F6">
        <w:t>系统应具有下列主要功能</w:t>
      </w:r>
      <w:r w:rsidRPr="00FD50F6">
        <w:rPr>
          <w:rFonts w:hint="eastAsia"/>
        </w:rPr>
        <w:t>：</w:t>
      </w:r>
    </w:p>
    <w:p w14:paraId="63F4C49D" w14:textId="77777777" w:rsidR="00717F96" w:rsidRPr="00FD50F6" w:rsidRDefault="00717F96" w:rsidP="00A926BD">
      <w:pPr>
        <w:pStyle w:val="4"/>
      </w:pPr>
      <w:r w:rsidRPr="00FD50F6">
        <w:t>检测列车位置，实现列车间隔控制和进路控制</w:t>
      </w:r>
      <w:r w:rsidRPr="00FD50F6">
        <w:rPr>
          <w:rFonts w:hint="eastAsia"/>
        </w:rPr>
        <w:t>；</w:t>
      </w:r>
    </w:p>
    <w:p w14:paraId="4027A7C2" w14:textId="77777777" w:rsidR="00717F96" w:rsidRPr="00FD50F6" w:rsidRDefault="00717F96" w:rsidP="00A926BD">
      <w:pPr>
        <w:pStyle w:val="4"/>
      </w:pPr>
      <w:r w:rsidRPr="00FD50F6">
        <w:t>监督列车运行速度，实现列车超速防护控制</w:t>
      </w:r>
      <w:r w:rsidRPr="00FD50F6">
        <w:rPr>
          <w:rFonts w:hint="eastAsia"/>
        </w:rPr>
        <w:t>；</w:t>
      </w:r>
    </w:p>
    <w:p w14:paraId="4C5B8675" w14:textId="77777777" w:rsidR="00717F96" w:rsidRPr="00FD50F6" w:rsidRDefault="00717F96" w:rsidP="00A926BD">
      <w:pPr>
        <w:pStyle w:val="4"/>
      </w:pPr>
      <w:r w:rsidRPr="00FD50F6">
        <w:t>防止列车误退行等非预期移动</w:t>
      </w:r>
      <w:r w:rsidRPr="00FD50F6">
        <w:rPr>
          <w:rFonts w:hint="eastAsia"/>
        </w:rPr>
        <w:t>；</w:t>
      </w:r>
    </w:p>
    <w:p w14:paraId="6E420D32" w14:textId="77777777" w:rsidR="00717F96" w:rsidRPr="00FD50F6" w:rsidRDefault="00717F96" w:rsidP="00A926BD">
      <w:pPr>
        <w:pStyle w:val="4"/>
      </w:pPr>
      <w:r w:rsidRPr="00FD50F6">
        <w:t>为列车车门、</w:t>
      </w:r>
      <w:r w:rsidRPr="00FD50F6">
        <w:rPr>
          <w:rFonts w:hint="eastAsia"/>
        </w:rPr>
        <w:t>站台屏蔽门</w:t>
      </w:r>
      <w:r w:rsidRPr="00FD50F6">
        <w:t>的开闭提供安全监督信息</w:t>
      </w:r>
      <w:r w:rsidRPr="00FD50F6">
        <w:rPr>
          <w:rFonts w:hint="eastAsia"/>
        </w:rPr>
        <w:t>；</w:t>
      </w:r>
    </w:p>
    <w:p w14:paraId="77011712" w14:textId="77777777" w:rsidR="00717F96" w:rsidRPr="00FD50F6" w:rsidRDefault="00717F96" w:rsidP="00A926BD">
      <w:pPr>
        <w:pStyle w:val="4"/>
      </w:pPr>
      <w:r w:rsidRPr="00FD50F6">
        <w:t>实现车载信号设备的日检</w:t>
      </w:r>
      <w:r w:rsidRPr="00FD50F6">
        <w:rPr>
          <w:rFonts w:hint="eastAsia"/>
        </w:rPr>
        <w:t>，宜通过上电自检完成；</w:t>
      </w:r>
    </w:p>
    <w:p w14:paraId="7FDEFA8E" w14:textId="77777777" w:rsidR="00717F96" w:rsidRPr="00FD50F6" w:rsidRDefault="00717F96" w:rsidP="00A926BD">
      <w:pPr>
        <w:pStyle w:val="4"/>
      </w:pPr>
      <w:r w:rsidRPr="00FD50F6">
        <w:t>记录司机操作</w:t>
      </w:r>
      <w:r w:rsidRPr="00FD50F6">
        <w:rPr>
          <w:rFonts w:hint="eastAsia"/>
        </w:rPr>
        <w:t>及设备状态。</w:t>
      </w:r>
    </w:p>
    <w:p w14:paraId="283F24E1" w14:textId="77777777" w:rsidR="00717F96" w:rsidRPr="00FD50F6" w:rsidRDefault="00717F96" w:rsidP="00717F96">
      <w:pPr>
        <w:pStyle w:val="30"/>
      </w:pPr>
      <w:r w:rsidRPr="00FD50F6">
        <w:t>ATP</w:t>
      </w:r>
      <w:r w:rsidRPr="00FD50F6">
        <w:rPr>
          <w:rFonts w:hint="eastAsia"/>
        </w:rPr>
        <w:t>系统应具备在</w:t>
      </w:r>
      <w:r w:rsidRPr="00FD50F6">
        <w:rPr>
          <w:rFonts w:hint="eastAsia"/>
        </w:rPr>
        <w:t>CBTC</w:t>
      </w:r>
      <w:r w:rsidRPr="00FD50F6">
        <w:rPr>
          <w:rFonts w:hint="eastAsia"/>
        </w:rPr>
        <w:t>模式下自动判断并旁路辅助列车占用检测设备故障的功能。</w:t>
      </w:r>
    </w:p>
    <w:p w14:paraId="197698FE" w14:textId="77777777" w:rsidR="00717F96" w:rsidRPr="00FD50F6" w:rsidRDefault="00717F96" w:rsidP="00717F96">
      <w:pPr>
        <w:pStyle w:val="30"/>
      </w:pPr>
      <w:r w:rsidRPr="00FD50F6">
        <w:rPr>
          <w:rFonts w:hint="eastAsia"/>
        </w:rPr>
        <w:t>ATP</w:t>
      </w:r>
      <w:r w:rsidRPr="00FD50F6">
        <w:rPr>
          <w:rFonts w:hint="eastAsia"/>
        </w:rPr>
        <w:t>系统上电或故障重启后必须具有临时限速命令的记忆保持功能或自动执行最严格限速功能。</w:t>
      </w:r>
    </w:p>
    <w:p w14:paraId="75D80629" w14:textId="77777777" w:rsidR="00717F96" w:rsidRPr="00FD50F6" w:rsidRDefault="00717F96" w:rsidP="00717F96">
      <w:pPr>
        <w:pStyle w:val="30"/>
      </w:pPr>
      <w:r w:rsidRPr="00FD50F6">
        <w:rPr>
          <w:rFonts w:hint="eastAsia"/>
        </w:rPr>
        <w:t>当</w:t>
      </w:r>
      <w:r w:rsidRPr="00FD50F6">
        <w:t>列车处于停车且开门的状态下，</w:t>
      </w:r>
      <w:r w:rsidRPr="00FD50F6">
        <w:t>ATP</w:t>
      </w:r>
      <w:r w:rsidRPr="00FD50F6">
        <w:t>车载设备应防止列车错误启动和非预期的移动</w:t>
      </w:r>
      <w:r w:rsidRPr="00FD50F6">
        <w:rPr>
          <w:rFonts w:hint="eastAsia"/>
        </w:rPr>
        <w:t>。</w:t>
      </w:r>
    </w:p>
    <w:p w14:paraId="7B715471" w14:textId="77777777" w:rsidR="00717F96" w:rsidRPr="00FD50F6" w:rsidRDefault="00717F96" w:rsidP="00717F96">
      <w:pPr>
        <w:pStyle w:val="30"/>
      </w:pPr>
      <w:r w:rsidRPr="00FD50F6">
        <w:t>列车在站间运行过程中如车门错误开启，</w:t>
      </w:r>
      <w:r w:rsidRPr="00FD50F6">
        <w:t>ATP</w:t>
      </w:r>
      <w:r w:rsidRPr="00FD50F6">
        <w:t>车载设备应报警</w:t>
      </w:r>
      <w:r w:rsidRPr="00FD50F6">
        <w:rPr>
          <w:rFonts w:hint="eastAsia"/>
        </w:rPr>
        <w:t>，并可提供切除牵引、紧急制动等防护措施。</w:t>
      </w:r>
    </w:p>
    <w:p w14:paraId="29C5927B" w14:textId="28ACAEA5" w:rsidR="00717F96" w:rsidRPr="00FD50F6" w:rsidRDefault="00717F96" w:rsidP="00717F96">
      <w:pPr>
        <w:pStyle w:val="30"/>
      </w:pPr>
      <w:r w:rsidRPr="00FD50F6">
        <w:rPr>
          <w:rFonts w:hint="eastAsia"/>
        </w:rPr>
        <w:lastRenderedPageBreak/>
        <w:t>ATP</w:t>
      </w:r>
      <w:r w:rsidRPr="00FD50F6">
        <w:rPr>
          <w:rFonts w:hint="eastAsia"/>
        </w:rPr>
        <w:t>系统的联锁功能可由计算机联锁设备实现。计算机联锁设备应实现进路上的道岔、信号机、轨道区段、站台屏蔽门、站台紧急关闭按钮、人员防护开关的联锁功能。当联锁条件不符时，严禁进路开通。敌对进路应相互照查，不得同时开通。</w:t>
      </w:r>
    </w:p>
    <w:p w14:paraId="1B915081" w14:textId="77777777" w:rsidR="00717F96" w:rsidRPr="00FD50F6" w:rsidRDefault="00717F96" w:rsidP="00717F96">
      <w:pPr>
        <w:pStyle w:val="30"/>
      </w:pPr>
      <w:r w:rsidRPr="00FD50F6">
        <w:rPr>
          <w:rFonts w:hint="eastAsia"/>
        </w:rPr>
        <w:t>计算机联锁设备应具有下列主要功能：</w:t>
      </w:r>
    </w:p>
    <w:p w14:paraId="30CA13D8" w14:textId="77777777" w:rsidR="00717F96" w:rsidRPr="00FD50F6" w:rsidRDefault="00717F96" w:rsidP="00A926BD">
      <w:pPr>
        <w:pStyle w:val="4"/>
      </w:pPr>
      <w:r w:rsidRPr="00FD50F6">
        <w:rPr>
          <w:rFonts w:hint="eastAsia"/>
        </w:rPr>
        <w:t>应能办理列车和调车进路，应根据需要设置相应的防护进路；</w:t>
      </w:r>
    </w:p>
    <w:p w14:paraId="53681B09" w14:textId="77777777" w:rsidR="00717F96" w:rsidRPr="00FD50F6" w:rsidRDefault="00717F96" w:rsidP="00A926BD">
      <w:pPr>
        <w:pStyle w:val="4"/>
      </w:pPr>
      <w:r w:rsidRPr="00FD50F6">
        <w:rPr>
          <w:rFonts w:hint="eastAsia"/>
        </w:rPr>
        <w:t>应根据需要实现有关进路、端站折返进路的自动排列；</w:t>
      </w:r>
    </w:p>
    <w:p w14:paraId="5BE212BE" w14:textId="47E7A3C3" w:rsidR="00717F96" w:rsidRPr="00FD50F6" w:rsidRDefault="00717F96" w:rsidP="00A926BD">
      <w:pPr>
        <w:pStyle w:val="4"/>
      </w:pPr>
      <w:r w:rsidRPr="00FD50F6">
        <w:rPr>
          <w:rFonts w:hint="eastAsia"/>
        </w:rPr>
        <w:t>联锁道岔应能实现单独操纵和进路选动，影响行车效率的联动道岔宜采用同时启动方式；</w:t>
      </w:r>
    </w:p>
    <w:p w14:paraId="0AF5E123" w14:textId="1C82482F" w:rsidR="00717F96" w:rsidRPr="00FD50F6" w:rsidRDefault="00717F96" w:rsidP="00A926BD">
      <w:pPr>
        <w:pStyle w:val="4"/>
      </w:pPr>
      <w:r w:rsidRPr="00FD50F6">
        <w:rPr>
          <w:rFonts w:hint="eastAsia"/>
        </w:rPr>
        <w:t>应根据需要自动选出带保护区段的进路并锁闭；</w:t>
      </w:r>
    </w:p>
    <w:p w14:paraId="15CAB497" w14:textId="77777777" w:rsidR="00717F96" w:rsidRPr="00FD50F6" w:rsidRDefault="00717F96" w:rsidP="00A926BD">
      <w:pPr>
        <w:pStyle w:val="4"/>
      </w:pPr>
      <w:r w:rsidRPr="00FD50F6">
        <w:rPr>
          <w:rFonts w:hint="eastAsia"/>
        </w:rPr>
        <w:t>应能实现列车引导作业；</w:t>
      </w:r>
    </w:p>
    <w:p w14:paraId="1C7EB32A" w14:textId="77777777" w:rsidR="00717F96" w:rsidRPr="00FD50F6" w:rsidRDefault="00717F96" w:rsidP="00A926BD">
      <w:pPr>
        <w:pStyle w:val="4"/>
      </w:pPr>
      <w:r w:rsidRPr="00FD50F6">
        <w:rPr>
          <w:rFonts w:hint="eastAsia"/>
        </w:rPr>
        <w:t>可实现自动站间闭塞等行车方式。</w:t>
      </w:r>
    </w:p>
    <w:p w14:paraId="43AC0F79" w14:textId="77777777" w:rsidR="00717F96" w:rsidRPr="00FD50F6" w:rsidRDefault="00717F96" w:rsidP="00717F96">
      <w:pPr>
        <w:pStyle w:val="30"/>
        <w:rPr>
          <w:kern w:val="0"/>
        </w:rPr>
      </w:pPr>
      <w:r w:rsidRPr="00FD50F6">
        <w:rPr>
          <w:rFonts w:hint="eastAsia"/>
        </w:rPr>
        <w:t>联锁控制应主要包括进路建立和取消、进路锁闭和解锁、信号机关闭和开放、道岔操纵及锁闭、区段临时限速、扣车和取消、遥控和站控、站台紧急关闭和取消、人员防护开关开启和关闭等功能。</w:t>
      </w:r>
    </w:p>
    <w:p w14:paraId="3ADA7E28" w14:textId="77777777" w:rsidR="00717F96" w:rsidRPr="00FD50F6" w:rsidRDefault="00717F96" w:rsidP="00717F96">
      <w:pPr>
        <w:pStyle w:val="30"/>
        <w:rPr>
          <w:kern w:val="0"/>
        </w:rPr>
      </w:pPr>
      <w:r w:rsidRPr="00FD50F6">
        <w:rPr>
          <w:rFonts w:hint="eastAsia"/>
        </w:rPr>
        <w:t>联锁进路解锁宜采用分段解锁方式。锁闭的进路应能随列车运行自动解锁、人工办理取消进路和延时解锁，并应防止错误解锁。延时解锁时间应确保行车安全。</w:t>
      </w:r>
    </w:p>
    <w:p w14:paraId="6B269F44" w14:textId="77777777" w:rsidR="00717F96" w:rsidRPr="00FD50F6" w:rsidRDefault="00717F96" w:rsidP="00717F96">
      <w:pPr>
        <w:pStyle w:val="30"/>
        <w:rPr>
          <w:rFonts w:ascii="楷体" w:eastAsia="楷体" w:hAnsi="楷体"/>
        </w:rPr>
      </w:pPr>
      <w:r w:rsidRPr="00FD50F6">
        <w:rPr>
          <w:rFonts w:hint="eastAsia"/>
        </w:rPr>
        <w:t>计算机联锁设备的操纵宜选用显示器和鼠标控制方式。显示器上应设有意义明确的各种表示，并应监督线路及道岔区段占用、进路锁闭及开通、信号开放和挤岔、遥控和站控等状态。</w:t>
      </w:r>
    </w:p>
    <w:p w14:paraId="43B8F2A2" w14:textId="77777777" w:rsidR="00717F96" w:rsidRPr="00FD50F6" w:rsidRDefault="00717F96" w:rsidP="00717F96">
      <w:pPr>
        <w:pStyle w:val="30"/>
      </w:pPr>
      <w:r w:rsidRPr="00FD50F6">
        <w:rPr>
          <w:rFonts w:hint="eastAsia"/>
        </w:rPr>
        <w:t>全自动运行线路</w:t>
      </w:r>
      <w:r w:rsidRPr="00FD50F6">
        <w:t>ATP</w:t>
      </w:r>
      <w:r w:rsidRPr="00FD50F6">
        <w:rPr>
          <w:rFonts w:hint="eastAsia"/>
        </w:rPr>
        <w:t>系统应增加下列功能：</w:t>
      </w:r>
    </w:p>
    <w:p w14:paraId="2940FF4E" w14:textId="4EBC57F1" w:rsidR="00717F96" w:rsidRPr="00FD50F6" w:rsidRDefault="00717F96" w:rsidP="00A926BD">
      <w:pPr>
        <w:pStyle w:val="4"/>
      </w:pPr>
      <w:r w:rsidRPr="00FD50F6">
        <w:rPr>
          <w:rFonts w:hint="eastAsia"/>
        </w:rPr>
        <w:t>自动运行区的人员防护；</w:t>
      </w:r>
    </w:p>
    <w:p w14:paraId="3D8F0DA1" w14:textId="22309727" w:rsidR="00717F96" w:rsidRPr="00FD50F6" w:rsidRDefault="00717F96" w:rsidP="00A926BD">
      <w:pPr>
        <w:pStyle w:val="4"/>
      </w:pPr>
      <w:r w:rsidRPr="00FD50F6">
        <w:rPr>
          <w:rFonts w:hint="eastAsia"/>
        </w:rPr>
        <w:t>库门监督及防护；</w:t>
      </w:r>
    </w:p>
    <w:p w14:paraId="1B601A3D" w14:textId="582BCDD6" w:rsidR="00717F96" w:rsidRPr="00FD50F6" w:rsidRDefault="00717F96" w:rsidP="00A926BD">
      <w:pPr>
        <w:pStyle w:val="4"/>
      </w:pPr>
      <w:r w:rsidRPr="00FD50F6">
        <w:rPr>
          <w:rFonts w:hint="eastAsia"/>
        </w:rPr>
        <w:t>车载设备响应执行并反馈远程控制命令。</w:t>
      </w:r>
    </w:p>
    <w:p w14:paraId="50DB601D" w14:textId="0CDB1DEE"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Ⅲ</w:t>
      </w:r>
      <w:r w:rsidRPr="00FD50F6">
        <w:rPr>
          <w:rFonts w:ascii="Times New Roman" w:hAnsi="Times New Roman"/>
          <w:b/>
          <w:bCs/>
          <w:szCs w:val="24"/>
        </w:rPr>
        <w:t xml:space="preserve"> </w:t>
      </w:r>
      <w:r w:rsidRPr="00FD50F6">
        <w:rPr>
          <w:rFonts w:ascii="Times New Roman" w:hAnsi="Times New Roman"/>
          <w:b/>
          <w:bCs/>
          <w:szCs w:val="24"/>
        </w:rPr>
        <w:t>列车自动</w:t>
      </w:r>
      <w:r w:rsidRPr="00FD50F6">
        <w:rPr>
          <w:rFonts w:ascii="Times New Roman" w:hAnsi="Times New Roman" w:hint="eastAsia"/>
          <w:b/>
          <w:bCs/>
          <w:szCs w:val="24"/>
        </w:rPr>
        <w:t>运行</w:t>
      </w:r>
      <w:r w:rsidRPr="00FD50F6">
        <w:rPr>
          <w:rFonts w:ascii="Times New Roman" w:hAnsi="Times New Roman"/>
          <w:b/>
          <w:bCs/>
          <w:szCs w:val="24"/>
        </w:rPr>
        <w:t>系统</w:t>
      </w:r>
    </w:p>
    <w:p w14:paraId="0B031D18" w14:textId="77777777" w:rsidR="00717F96" w:rsidRPr="00FD50F6" w:rsidRDefault="00717F96" w:rsidP="00717F96">
      <w:pPr>
        <w:pStyle w:val="30"/>
      </w:pPr>
      <w:r w:rsidRPr="00FD50F6">
        <w:t xml:space="preserve">ATO </w:t>
      </w:r>
      <w:r w:rsidRPr="00FD50F6">
        <w:t>系统应具有下列主要功能</w:t>
      </w:r>
      <w:r w:rsidRPr="00FD50F6">
        <w:rPr>
          <w:rFonts w:hint="eastAsia"/>
        </w:rPr>
        <w:t>：</w:t>
      </w:r>
    </w:p>
    <w:p w14:paraId="117FCC0E" w14:textId="7E316C76" w:rsidR="00717F96" w:rsidRPr="00FD50F6" w:rsidRDefault="00717F96" w:rsidP="00A926BD">
      <w:pPr>
        <w:pStyle w:val="4"/>
      </w:pPr>
      <w:r w:rsidRPr="00FD50F6">
        <w:t>站间自动运行</w:t>
      </w:r>
      <w:r w:rsidRPr="00FD50F6">
        <w:rPr>
          <w:rFonts w:hint="eastAsia"/>
        </w:rPr>
        <w:t>；</w:t>
      </w:r>
    </w:p>
    <w:p w14:paraId="6EC4009C" w14:textId="05C6940A" w:rsidR="00717F96" w:rsidRPr="00FD50F6" w:rsidRDefault="00717F96" w:rsidP="00A926BD">
      <w:pPr>
        <w:pStyle w:val="4"/>
      </w:pPr>
      <w:r w:rsidRPr="00FD50F6">
        <w:rPr>
          <w:rFonts w:hint="eastAsia"/>
        </w:rPr>
        <w:t>列车运行自动调整；</w:t>
      </w:r>
    </w:p>
    <w:p w14:paraId="70586478" w14:textId="5EC01652" w:rsidR="00717F96" w:rsidRPr="00FD50F6" w:rsidRDefault="00717F96" w:rsidP="00A926BD">
      <w:pPr>
        <w:pStyle w:val="4"/>
      </w:pPr>
      <w:r w:rsidRPr="00FD50F6">
        <w:rPr>
          <w:rFonts w:hint="eastAsia"/>
        </w:rPr>
        <w:lastRenderedPageBreak/>
        <w:t>站台精确停车；</w:t>
      </w:r>
    </w:p>
    <w:p w14:paraId="0A133CEB" w14:textId="29015860" w:rsidR="00717F96" w:rsidRPr="00FD50F6" w:rsidRDefault="00717F96" w:rsidP="00A926BD">
      <w:pPr>
        <w:pStyle w:val="4"/>
      </w:pPr>
      <w:r w:rsidRPr="00FD50F6">
        <w:rPr>
          <w:rFonts w:hint="eastAsia"/>
        </w:rPr>
        <w:t>有人或无人驾驶自动折返；</w:t>
      </w:r>
    </w:p>
    <w:p w14:paraId="1F14B773" w14:textId="33A81578" w:rsidR="00717F96" w:rsidRPr="00FD50F6" w:rsidRDefault="00717F96" w:rsidP="00A926BD">
      <w:pPr>
        <w:pStyle w:val="4"/>
      </w:pPr>
      <w:r w:rsidRPr="00FD50F6">
        <w:t>列车车门、</w:t>
      </w:r>
      <w:r w:rsidRPr="00FD50F6">
        <w:rPr>
          <w:rFonts w:hint="eastAsia"/>
        </w:rPr>
        <w:t>站台屏蔽门</w:t>
      </w:r>
      <w:r w:rsidRPr="00FD50F6">
        <w:t>控制</w:t>
      </w:r>
      <w:r w:rsidRPr="00FD50F6">
        <w:rPr>
          <w:rFonts w:hint="eastAsia"/>
        </w:rPr>
        <w:t>；</w:t>
      </w:r>
    </w:p>
    <w:p w14:paraId="78CE7377" w14:textId="77777777" w:rsidR="00717F96" w:rsidRPr="00FD50F6" w:rsidRDefault="00717F96" w:rsidP="00A926BD">
      <w:pPr>
        <w:pStyle w:val="4"/>
      </w:pPr>
      <w:r w:rsidRPr="00FD50F6">
        <w:t>列车节能控制</w:t>
      </w:r>
      <w:r w:rsidRPr="00FD50F6">
        <w:rPr>
          <w:rFonts w:hint="eastAsia"/>
        </w:rPr>
        <w:t>。</w:t>
      </w:r>
    </w:p>
    <w:p w14:paraId="1BABD78A" w14:textId="77777777" w:rsidR="00717F96" w:rsidRPr="00FD50F6" w:rsidRDefault="00717F96" w:rsidP="00717F96">
      <w:pPr>
        <w:pStyle w:val="30"/>
      </w:pPr>
      <w:r w:rsidRPr="00FD50F6">
        <w:t>ATO</w:t>
      </w:r>
      <w:r w:rsidRPr="00FD50F6">
        <w:rPr>
          <w:rFonts w:hint="eastAsia"/>
        </w:rPr>
        <w:t>系统</w:t>
      </w:r>
      <w:r w:rsidRPr="00FD50F6">
        <w:t>应满足舒适度、快捷及正点的要求</w:t>
      </w:r>
      <w:r w:rsidRPr="00FD50F6">
        <w:rPr>
          <w:rFonts w:hint="eastAsia"/>
        </w:rPr>
        <w:t>。</w:t>
      </w:r>
    </w:p>
    <w:p w14:paraId="2A787FAF" w14:textId="77777777" w:rsidR="00717F96" w:rsidRPr="00FD50F6" w:rsidRDefault="00717F96" w:rsidP="00717F96">
      <w:pPr>
        <w:pStyle w:val="30"/>
      </w:pPr>
      <w:r w:rsidRPr="00FD50F6">
        <w:t>ATO</w:t>
      </w:r>
      <w:r w:rsidRPr="00FD50F6">
        <w:t>系统应根据</w:t>
      </w:r>
      <w:r w:rsidRPr="00FD50F6">
        <w:t>ATP</w:t>
      </w:r>
      <w:r w:rsidRPr="00FD50F6">
        <w:t>、</w:t>
      </w:r>
      <w:r w:rsidRPr="00FD50F6">
        <w:t>ATS</w:t>
      </w:r>
      <w:r w:rsidRPr="00FD50F6">
        <w:t>等系统提供的线路条件、道岔状态、列车位置等信息及速度调整指令，实现列车的速度控制</w:t>
      </w:r>
      <w:r w:rsidRPr="00FD50F6">
        <w:rPr>
          <w:rFonts w:hint="eastAsia"/>
        </w:rPr>
        <w:t>。</w:t>
      </w:r>
    </w:p>
    <w:p w14:paraId="6BC7190A" w14:textId="524C7815" w:rsidR="00717F96" w:rsidRPr="00FD50F6" w:rsidRDefault="00717F96" w:rsidP="00717F96">
      <w:pPr>
        <w:pStyle w:val="30"/>
      </w:pPr>
      <w:r w:rsidRPr="00FD50F6">
        <w:t>ATO</w:t>
      </w:r>
      <w:r w:rsidRPr="001A4CF3">
        <w:rPr>
          <w:rFonts w:hint="eastAsia"/>
        </w:rPr>
        <w:t>系统</w:t>
      </w:r>
      <w:r w:rsidRPr="00FD50F6">
        <w:t>应能控制列车实现车站通过作业</w:t>
      </w:r>
      <w:r w:rsidRPr="00FD50F6">
        <w:rPr>
          <w:rFonts w:hint="eastAsia"/>
        </w:rPr>
        <w:t>。</w:t>
      </w:r>
    </w:p>
    <w:p w14:paraId="501884E0" w14:textId="1C5ADDB6" w:rsidR="00717F96" w:rsidRPr="00FD50F6" w:rsidRDefault="00717F96" w:rsidP="00717F96">
      <w:pPr>
        <w:pStyle w:val="30"/>
      </w:pPr>
      <w:r w:rsidRPr="00FD50F6">
        <w:t>列车在区间停车应接近前方目的地。区间停车后，在允许信号的条件下列车应自动启动。</w:t>
      </w:r>
    </w:p>
    <w:p w14:paraId="57AE631C" w14:textId="77777777" w:rsidR="00717F96" w:rsidRPr="00FD50F6" w:rsidRDefault="00717F96" w:rsidP="00717F96">
      <w:pPr>
        <w:pStyle w:val="30"/>
      </w:pPr>
      <w:r w:rsidRPr="00FD50F6">
        <w:rPr>
          <w:rFonts w:hint="eastAsia"/>
        </w:rPr>
        <w:t>全自动运行线路</w:t>
      </w:r>
      <w:r w:rsidRPr="00FD50F6">
        <w:t>ATO</w:t>
      </w:r>
      <w:r w:rsidRPr="00FD50F6">
        <w:rPr>
          <w:rFonts w:hint="eastAsia"/>
        </w:rPr>
        <w:t>系统应增加下列功能：</w:t>
      </w:r>
    </w:p>
    <w:p w14:paraId="6D5F6C5F" w14:textId="6DDAFD59" w:rsidR="00717F96" w:rsidRPr="00FD50F6" w:rsidRDefault="00717F96" w:rsidP="00A926BD">
      <w:pPr>
        <w:pStyle w:val="4"/>
      </w:pPr>
      <w:r w:rsidRPr="00FD50F6">
        <w:rPr>
          <w:rFonts w:hint="eastAsia"/>
        </w:rPr>
        <w:t>控制中心远程控制车载设备；</w:t>
      </w:r>
    </w:p>
    <w:p w14:paraId="610AEAC9" w14:textId="4CE2575A" w:rsidR="00717F96" w:rsidRPr="00FD50F6" w:rsidRDefault="00717F96" w:rsidP="00A926BD">
      <w:pPr>
        <w:pStyle w:val="4"/>
      </w:pPr>
      <w:r w:rsidRPr="001A4CF3">
        <w:rPr>
          <w:rFonts w:hint="eastAsia"/>
        </w:rPr>
        <w:t>列车</w:t>
      </w:r>
      <w:r w:rsidRPr="00FD50F6">
        <w:rPr>
          <w:rFonts w:hint="eastAsia"/>
        </w:rPr>
        <w:t>休眠、唤醒、站台停准自动调整、自动清客及洗车；</w:t>
      </w:r>
    </w:p>
    <w:p w14:paraId="7ADE160E" w14:textId="77777777" w:rsidR="00717F96" w:rsidRPr="00FD50F6" w:rsidRDefault="00717F96" w:rsidP="00A926BD">
      <w:pPr>
        <w:pStyle w:val="4"/>
      </w:pPr>
      <w:r w:rsidRPr="00FD50F6">
        <w:rPr>
          <w:rFonts w:hint="eastAsia"/>
        </w:rPr>
        <w:t>车载</w:t>
      </w:r>
      <w:r w:rsidRPr="00FD50F6">
        <w:t>故障诊断与报警信息实时</w:t>
      </w:r>
      <w:r w:rsidRPr="00FD50F6">
        <w:rPr>
          <w:rFonts w:hint="eastAsia"/>
        </w:rPr>
        <w:t>上传控制中心；</w:t>
      </w:r>
    </w:p>
    <w:p w14:paraId="3501181D" w14:textId="30EBEB0D" w:rsidR="00717F96" w:rsidRPr="00FD50F6" w:rsidRDefault="00717F96" w:rsidP="00A926BD">
      <w:pPr>
        <w:pStyle w:val="4"/>
      </w:pPr>
      <w:r w:rsidRPr="00FD50F6">
        <w:rPr>
          <w:rFonts w:hint="eastAsia"/>
        </w:rPr>
        <w:t>列车工况管理。</w:t>
      </w:r>
    </w:p>
    <w:p w14:paraId="5123C483"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Ⅴ</w:t>
      </w:r>
      <w:r w:rsidRPr="00FD50F6">
        <w:rPr>
          <w:rFonts w:ascii="Times New Roman" w:hAnsi="Times New Roman" w:hint="eastAsia"/>
          <w:b/>
          <w:bCs/>
          <w:szCs w:val="24"/>
        </w:rPr>
        <w:t xml:space="preserve"> </w:t>
      </w:r>
      <w:r w:rsidRPr="00FD50F6">
        <w:rPr>
          <w:rFonts w:ascii="Times New Roman" w:hAnsi="Times New Roman" w:hint="eastAsia"/>
          <w:b/>
          <w:bCs/>
          <w:szCs w:val="24"/>
        </w:rPr>
        <w:t>数据通信系统</w:t>
      </w:r>
    </w:p>
    <w:p w14:paraId="27FD35FC" w14:textId="159ED27F" w:rsidR="00717F96" w:rsidRPr="00FD50F6" w:rsidRDefault="00717F96" w:rsidP="001A4CF3">
      <w:pPr>
        <w:pStyle w:val="30"/>
      </w:pPr>
      <w:r w:rsidRPr="00FD50F6">
        <w:rPr>
          <w:rFonts w:hint="eastAsia"/>
        </w:rPr>
        <w:t>数据通信</w:t>
      </w:r>
      <w:r w:rsidRPr="00FD50F6">
        <w:t>系统主要应具有</w:t>
      </w:r>
      <w:r w:rsidRPr="00FD50F6">
        <w:rPr>
          <w:rFonts w:hint="eastAsia"/>
        </w:rPr>
        <w:t>自愈、自诊断、网管</w:t>
      </w:r>
      <w:r w:rsidRPr="00FD50F6">
        <w:t>功能</w:t>
      </w:r>
      <w:r w:rsidRPr="00FD50F6">
        <w:rPr>
          <w:rFonts w:hint="eastAsia"/>
        </w:rPr>
        <w:t>。</w:t>
      </w:r>
    </w:p>
    <w:p w14:paraId="380CDAF1" w14:textId="03E85CB0" w:rsidR="00717F96" w:rsidRPr="00FD50F6" w:rsidRDefault="00717F96" w:rsidP="00717F96">
      <w:pPr>
        <w:pStyle w:val="30"/>
      </w:pPr>
      <w:r w:rsidRPr="001A4CF3">
        <w:rPr>
          <w:rFonts w:hint="eastAsia"/>
        </w:rPr>
        <w:t>数据</w:t>
      </w:r>
      <w:r w:rsidRPr="00FD50F6">
        <w:t>通信系统应</w:t>
      </w:r>
      <w:r w:rsidRPr="00FD50F6">
        <w:rPr>
          <w:rFonts w:hint="eastAsia"/>
        </w:rPr>
        <w:t>满足</w:t>
      </w:r>
      <w:r w:rsidRPr="00FD50F6">
        <w:t>列车高速移动时的漫游切换，</w:t>
      </w:r>
      <w:r w:rsidRPr="00FD50F6">
        <w:rPr>
          <w:rFonts w:hint="eastAsia"/>
        </w:rPr>
        <w:t>不应影响</w:t>
      </w:r>
      <w:r w:rsidRPr="00FD50F6">
        <w:t>列车控制的连续性</w:t>
      </w:r>
      <w:r w:rsidRPr="00FD50F6">
        <w:rPr>
          <w:rFonts w:hint="eastAsia"/>
        </w:rPr>
        <w:t>。</w:t>
      </w:r>
    </w:p>
    <w:p w14:paraId="60381396" w14:textId="04388FF0" w:rsidR="00717F96" w:rsidRPr="00FD50F6" w:rsidRDefault="00717F96" w:rsidP="00717F96">
      <w:pPr>
        <w:pStyle w:val="30"/>
      </w:pPr>
      <w:r w:rsidRPr="00FD50F6">
        <w:rPr>
          <w:rFonts w:hint="eastAsia"/>
        </w:rPr>
        <w:t>数据通信系统应具备网络动态密钥、认证、识别和防火墙等信息的安全防护功能。</w:t>
      </w:r>
    </w:p>
    <w:p w14:paraId="625438A2" w14:textId="77777777" w:rsidR="00717F96" w:rsidRPr="00FD50F6" w:rsidRDefault="00717F96" w:rsidP="00717F96">
      <w:pPr>
        <w:spacing w:beforeLines="50" w:before="120" w:afterLines="50" w:after="120"/>
        <w:jc w:val="center"/>
        <w:outlineLvl w:val="1"/>
        <w:rPr>
          <w:rFonts w:ascii="Times New Roman" w:hAnsi="Times New Roman"/>
          <w:b/>
          <w:bCs/>
          <w:szCs w:val="24"/>
        </w:rPr>
      </w:pPr>
      <w:r w:rsidRPr="00FD50F6">
        <w:rPr>
          <w:rFonts w:ascii="Times New Roman" w:hAnsi="Times New Roman" w:hint="eastAsia"/>
          <w:b/>
          <w:bCs/>
          <w:szCs w:val="24"/>
        </w:rPr>
        <w:t>Ⅵ</w:t>
      </w:r>
      <w:r w:rsidRPr="00FD50F6">
        <w:rPr>
          <w:rFonts w:ascii="Times New Roman" w:hAnsi="Times New Roman" w:hint="eastAsia"/>
          <w:b/>
          <w:bCs/>
          <w:szCs w:val="24"/>
        </w:rPr>
        <w:t xml:space="preserve"> </w:t>
      </w:r>
      <w:r w:rsidRPr="00FD50F6">
        <w:rPr>
          <w:rFonts w:ascii="Times New Roman" w:hAnsi="Times New Roman" w:hint="eastAsia"/>
          <w:b/>
          <w:bCs/>
          <w:szCs w:val="24"/>
        </w:rPr>
        <w:t>维护监测系统</w:t>
      </w:r>
    </w:p>
    <w:p w14:paraId="540D8235" w14:textId="77777777" w:rsidR="00717F96" w:rsidRPr="00FD50F6" w:rsidRDefault="00717F96" w:rsidP="00717F96">
      <w:pPr>
        <w:pStyle w:val="30"/>
      </w:pPr>
      <w:r w:rsidRPr="00FD50F6">
        <w:rPr>
          <w:rFonts w:hint="eastAsia"/>
        </w:rPr>
        <w:t>维护监测</w:t>
      </w:r>
      <w:r w:rsidRPr="00FD50F6">
        <w:t>系统应具有下列主要功能</w:t>
      </w:r>
      <w:r w:rsidRPr="00FD50F6">
        <w:rPr>
          <w:rFonts w:hint="eastAsia"/>
        </w:rPr>
        <w:t>：</w:t>
      </w:r>
    </w:p>
    <w:p w14:paraId="2548FF8D" w14:textId="79FE0DFD" w:rsidR="00717F96" w:rsidRPr="00FD50F6" w:rsidRDefault="00717F96" w:rsidP="00A926BD">
      <w:pPr>
        <w:pStyle w:val="4"/>
      </w:pPr>
      <w:r w:rsidRPr="00FD50F6">
        <w:rPr>
          <w:rFonts w:hint="eastAsia"/>
        </w:rPr>
        <w:t>对信号系统</w:t>
      </w:r>
      <w:r w:rsidRPr="00FD50F6">
        <w:rPr>
          <w:rFonts w:hint="eastAsia"/>
        </w:rPr>
        <w:t>/</w:t>
      </w:r>
      <w:r w:rsidRPr="00FD50F6">
        <w:rPr>
          <w:rFonts w:hint="eastAsia"/>
        </w:rPr>
        <w:t>设备状态进行实时监督、记录、故障预警和报警，并应能准确报警到板级；</w:t>
      </w:r>
    </w:p>
    <w:p w14:paraId="7C8084F5" w14:textId="77777777" w:rsidR="00717F96" w:rsidRPr="00FD50F6" w:rsidRDefault="00717F96" w:rsidP="00A926BD">
      <w:pPr>
        <w:pStyle w:val="4"/>
      </w:pPr>
      <w:r w:rsidRPr="00FD50F6">
        <w:rPr>
          <w:rFonts w:hint="eastAsia"/>
        </w:rPr>
        <w:t>对数据传输设备的监测功能，包括监测网络节点、交换机、核心网</w:t>
      </w:r>
      <w:r w:rsidRPr="00FD50F6">
        <w:rPr>
          <w:rFonts w:hint="eastAsia"/>
        </w:rPr>
        <w:t>/</w:t>
      </w:r>
      <w:r w:rsidRPr="00FD50F6">
        <w:rPr>
          <w:rFonts w:hint="eastAsia"/>
        </w:rPr>
        <w:t>无线控制器、远程拉远单元、车载无线通信设备等；</w:t>
      </w:r>
    </w:p>
    <w:p w14:paraId="6979A8CE" w14:textId="77777777" w:rsidR="00717F96" w:rsidRPr="00FD50F6" w:rsidRDefault="00717F96" w:rsidP="00A926BD">
      <w:pPr>
        <w:pStyle w:val="4"/>
      </w:pPr>
      <w:r w:rsidRPr="00FD50F6">
        <w:rPr>
          <w:rFonts w:hint="eastAsia"/>
        </w:rPr>
        <w:t>对所有维护信息具备自动存储、回放、分析和打印功能，并可将信息组建为数据库；</w:t>
      </w:r>
    </w:p>
    <w:p w14:paraId="7B4DE623" w14:textId="77777777" w:rsidR="00717F96" w:rsidRPr="00FD50F6" w:rsidRDefault="00717F96" w:rsidP="00A926BD">
      <w:pPr>
        <w:pStyle w:val="4"/>
      </w:pPr>
      <w:r w:rsidRPr="00FD50F6">
        <w:rPr>
          <w:rFonts w:hint="eastAsia"/>
        </w:rPr>
        <w:lastRenderedPageBreak/>
        <w:t>根据设备故障性质分类报警。</w:t>
      </w:r>
    </w:p>
    <w:p w14:paraId="7682BDDB" w14:textId="226B9D62" w:rsidR="00717F96" w:rsidRPr="00FD50F6" w:rsidRDefault="00717F96" w:rsidP="00717F96">
      <w:pPr>
        <w:pStyle w:val="30"/>
      </w:pPr>
      <w:r w:rsidRPr="00FD50F6">
        <w:rPr>
          <w:rFonts w:hint="eastAsia"/>
        </w:rPr>
        <w:t>维护监测</w:t>
      </w:r>
      <w:r w:rsidRPr="00FD50F6">
        <w:t>系统应符合下列</w:t>
      </w:r>
      <w:r w:rsidRPr="00FD50F6">
        <w:rPr>
          <w:rFonts w:hint="eastAsia"/>
        </w:rPr>
        <w:t>规定</w:t>
      </w:r>
      <w:r w:rsidRPr="00FD50F6">
        <w:t>：</w:t>
      </w:r>
      <w:r w:rsidRPr="00FD50F6">
        <w:t xml:space="preserve"> </w:t>
      </w:r>
    </w:p>
    <w:p w14:paraId="10BA5F31" w14:textId="77777777" w:rsidR="00717F96" w:rsidRPr="00FD50F6" w:rsidRDefault="00717F96" w:rsidP="00A926BD">
      <w:pPr>
        <w:pStyle w:val="4"/>
      </w:pPr>
      <w:r w:rsidRPr="00FD50F6">
        <w:t>应实现信号机状态、主灯丝断丝报警</w:t>
      </w:r>
      <w:r w:rsidRPr="00FD50F6">
        <w:rPr>
          <w:rFonts w:hint="eastAsia"/>
        </w:rPr>
        <w:t>、点灯回路电流</w:t>
      </w:r>
      <w:r w:rsidRPr="00FD50F6">
        <w:t>等</w:t>
      </w:r>
      <w:r w:rsidRPr="00FD50F6">
        <w:rPr>
          <w:rFonts w:hint="eastAsia"/>
        </w:rPr>
        <w:t>的</w:t>
      </w:r>
      <w:r w:rsidRPr="00FD50F6">
        <w:t>监测；</w:t>
      </w:r>
      <w:r w:rsidRPr="00FD50F6">
        <w:t xml:space="preserve"> </w:t>
      </w:r>
    </w:p>
    <w:p w14:paraId="58E28C2D" w14:textId="77777777" w:rsidR="00717F96" w:rsidRPr="00FD50F6" w:rsidRDefault="00717F96" w:rsidP="00A926BD">
      <w:pPr>
        <w:pStyle w:val="4"/>
      </w:pPr>
      <w:r w:rsidRPr="00FD50F6">
        <w:t>应实现转辙机动作电流</w:t>
      </w:r>
      <w:r w:rsidRPr="00FD50F6">
        <w:rPr>
          <w:rFonts w:hint="eastAsia"/>
        </w:rPr>
        <w:t>、</w:t>
      </w:r>
      <w:r w:rsidRPr="00FD50F6">
        <w:t>表示</w:t>
      </w:r>
      <w:r w:rsidRPr="00FD50F6">
        <w:rPr>
          <w:rFonts w:hint="eastAsia"/>
        </w:rPr>
        <w:t>电压、转辙机功率、道岔缺口等的</w:t>
      </w:r>
      <w:r w:rsidRPr="00FD50F6">
        <w:t>监测；</w:t>
      </w:r>
      <w:r w:rsidRPr="00FD50F6">
        <w:t xml:space="preserve"> </w:t>
      </w:r>
    </w:p>
    <w:p w14:paraId="06288F17" w14:textId="77777777" w:rsidR="00717F96" w:rsidRPr="00FD50F6" w:rsidRDefault="00717F96" w:rsidP="00A926BD">
      <w:pPr>
        <w:pStyle w:val="4"/>
      </w:pPr>
      <w:r w:rsidRPr="00FD50F6">
        <w:t>应实现轨道区段状态监测；</w:t>
      </w:r>
      <w:r w:rsidRPr="00FD50F6">
        <w:t xml:space="preserve"> </w:t>
      </w:r>
    </w:p>
    <w:p w14:paraId="5D0618AE" w14:textId="77777777" w:rsidR="00717F96" w:rsidRPr="00FD50F6" w:rsidRDefault="00717F96" w:rsidP="00A926BD">
      <w:pPr>
        <w:pStyle w:val="4"/>
      </w:pPr>
      <w:r w:rsidRPr="00FD50F6">
        <w:rPr>
          <w:rFonts w:hint="eastAsia"/>
        </w:rPr>
        <w:t>应实现按钮状态、关键继电器状态监测；</w:t>
      </w:r>
    </w:p>
    <w:p w14:paraId="4DEDB54F" w14:textId="77777777" w:rsidR="00717F96" w:rsidRPr="00FD50F6" w:rsidRDefault="00717F96" w:rsidP="00A926BD">
      <w:pPr>
        <w:pStyle w:val="4"/>
      </w:pPr>
      <w:r w:rsidRPr="00FD50F6">
        <w:t>应实现电缆绝缘状态监测；</w:t>
      </w:r>
      <w:r w:rsidRPr="00FD50F6">
        <w:t xml:space="preserve"> </w:t>
      </w:r>
    </w:p>
    <w:p w14:paraId="33517955" w14:textId="77777777" w:rsidR="00717F96" w:rsidRPr="00FD50F6" w:rsidRDefault="00717F96" w:rsidP="00A926BD">
      <w:pPr>
        <w:pStyle w:val="4"/>
      </w:pPr>
      <w:r w:rsidRPr="00FD50F6">
        <w:t>应实现电源漏流检测；</w:t>
      </w:r>
    </w:p>
    <w:p w14:paraId="57A87F5B" w14:textId="77777777" w:rsidR="00717F96" w:rsidRPr="00FD50F6" w:rsidRDefault="00717F96" w:rsidP="00A926BD">
      <w:pPr>
        <w:pStyle w:val="4"/>
      </w:pPr>
      <w:r w:rsidRPr="00FD50F6">
        <w:rPr>
          <w:rFonts w:hint="eastAsia"/>
        </w:rPr>
        <w:t>应实现电源屏输入状态、输出电压监测。</w:t>
      </w:r>
    </w:p>
    <w:p w14:paraId="762A98DA" w14:textId="2360B2D1" w:rsidR="00717F96" w:rsidRPr="00FD50F6" w:rsidRDefault="00717F96" w:rsidP="00717F96">
      <w:pPr>
        <w:pStyle w:val="30"/>
      </w:pPr>
      <w:r w:rsidRPr="00FD50F6">
        <w:rPr>
          <w:rFonts w:hint="eastAsia"/>
        </w:rPr>
        <w:t>维护监测系统宜具备设备健康诊断及维护策略分析功能。</w:t>
      </w:r>
    </w:p>
    <w:p w14:paraId="5B36D862" w14:textId="77777777" w:rsidR="00717F96" w:rsidRPr="00FD50F6" w:rsidRDefault="00717F96" w:rsidP="00A65181">
      <w:pPr>
        <w:pStyle w:val="2"/>
      </w:pPr>
      <w:bookmarkStart w:id="782" w:name="_Toc16466758"/>
      <w:bookmarkStart w:id="783" w:name="_Toc112830782"/>
      <w:r w:rsidRPr="00FD50F6">
        <w:rPr>
          <w:rFonts w:hint="eastAsia"/>
        </w:rPr>
        <w:t>系统性能</w:t>
      </w:r>
      <w:bookmarkEnd w:id="782"/>
      <w:bookmarkEnd w:id="783"/>
    </w:p>
    <w:p w14:paraId="63D25E66" w14:textId="77777777" w:rsidR="009D0495" w:rsidRDefault="00717F96" w:rsidP="009D0495">
      <w:pPr>
        <w:pStyle w:val="30"/>
      </w:pPr>
      <w:r w:rsidRPr="00FD50F6">
        <w:rPr>
          <w:rFonts w:hint="eastAsia"/>
        </w:rPr>
        <w:t>系统安全性指标</w:t>
      </w:r>
      <w:r w:rsidRPr="00FD50F6">
        <w:t>应符合下列</w:t>
      </w:r>
      <w:r w:rsidRPr="00FD50F6">
        <w:rPr>
          <w:rFonts w:hint="eastAsia"/>
        </w:rPr>
        <w:t>规定</w:t>
      </w:r>
      <w:r w:rsidRPr="00FD50F6">
        <w:t>：</w:t>
      </w:r>
    </w:p>
    <w:p w14:paraId="3241D66D" w14:textId="791BEDB4" w:rsidR="009D0495" w:rsidRDefault="009D0495" w:rsidP="009D0495">
      <w:pPr>
        <w:pStyle w:val="30"/>
        <w:numPr>
          <w:ilvl w:val="0"/>
          <w:numId w:val="0"/>
        </w:numPr>
        <w:ind w:firstLineChars="200" w:firstLine="480"/>
      </w:pPr>
      <w:r>
        <w:t>1</w:t>
      </w:r>
      <w:r w:rsidR="00717F96" w:rsidRPr="00FD50F6">
        <w:rPr>
          <w:rFonts w:hint="eastAsia"/>
        </w:rPr>
        <w:t>信号系统中涉及安全的设备的安全完整性等级（</w:t>
      </w:r>
      <w:r w:rsidR="00717F96" w:rsidRPr="00FD50F6">
        <w:rPr>
          <w:rFonts w:hint="eastAsia"/>
        </w:rPr>
        <w:t>SIL</w:t>
      </w:r>
      <w:r w:rsidR="00717F96" w:rsidRPr="00FD50F6">
        <w:rPr>
          <w:rFonts w:hint="eastAsia"/>
        </w:rPr>
        <w:t>）应达到</w:t>
      </w:r>
      <w:r w:rsidR="00717F96" w:rsidRPr="00FD50F6">
        <w:rPr>
          <w:rFonts w:hint="eastAsia"/>
        </w:rPr>
        <w:t>4</w:t>
      </w:r>
      <w:r w:rsidR="00717F96" w:rsidRPr="00FD50F6">
        <w:rPr>
          <w:rFonts w:hint="eastAsia"/>
        </w:rPr>
        <w:t>级</w:t>
      </w:r>
      <w:r>
        <w:rPr>
          <w:rFonts w:hint="eastAsia"/>
        </w:rPr>
        <w:t>；</w:t>
      </w:r>
    </w:p>
    <w:p w14:paraId="5806858D" w14:textId="41E02672" w:rsidR="00717F96" w:rsidRPr="00FD50F6" w:rsidRDefault="009D0495" w:rsidP="00A04029">
      <w:pPr>
        <w:pStyle w:val="30"/>
        <w:numPr>
          <w:ilvl w:val="0"/>
          <w:numId w:val="0"/>
        </w:numPr>
        <w:ind w:firstLineChars="200" w:firstLine="480"/>
      </w:pPr>
      <w:r>
        <w:t xml:space="preserve">2 </w:t>
      </w:r>
      <w:r w:rsidR="00717F96" w:rsidRPr="00FD50F6">
        <w:rPr>
          <w:rFonts w:hint="eastAsia"/>
        </w:rPr>
        <w:t>各子系统</w:t>
      </w:r>
      <w:r w:rsidR="00555C99" w:rsidRPr="00FD50F6">
        <w:t>/</w:t>
      </w:r>
      <w:r w:rsidR="00555C99" w:rsidRPr="00FD50F6">
        <w:rPr>
          <w:rFonts w:hint="eastAsia"/>
        </w:rPr>
        <w:t>设备安全完整性等级</w:t>
      </w:r>
      <w:r w:rsidR="00717F96" w:rsidRPr="00FD50F6">
        <w:rPr>
          <w:rFonts w:hint="eastAsia"/>
        </w:rPr>
        <w:t>应符合表</w:t>
      </w:r>
      <w:r w:rsidR="00717F96" w:rsidRPr="00FD50F6">
        <w:t>1</w:t>
      </w:r>
      <w:r w:rsidR="00232AC3" w:rsidRPr="00FD50F6">
        <w:t>8</w:t>
      </w:r>
      <w:r w:rsidR="00717F96" w:rsidRPr="00FD50F6">
        <w:t>.4.</w:t>
      </w:r>
      <w:r w:rsidR="00717F96" w:rsidRPr="00FD50F6">
        <w:rPr>
          <w:rFonts w:hint="eastAsia"/>
        </w:rPr>
        <w:t>1</w:t>
      </w:r>
      <w:r w:rsidR="00717F96" w:rsidRPr="00FD50F6">
        <w:rPr>
          <w:rFonts w:hint="eastAsia"/>
        </w:rPr>
        <w:t>的规定。</w:t>
      </w:r>
    </w:p>
    <w:p w14:paraId="0D3E48FE" w14:textId="508A1F65" w:rsidR="00717F96" w:rsidRPr="00FD50F6" w:rsidRDefault="00717F96" w:rsidP="00717F96">
      <w:pPr>
        <w:pStyle w:val="6"/>
        <w:rPr>
          <w:b/>
        </w:rPr>
      </w:pPr>
      <w:r w:rsidRPr="00FD50F6">
        <w:rPr>
          <w:rFonts w:hint="eastAsia"/>
        </w:rPr>
        <w:t>表</w:t>
      </w:r>
      <w:r w:rsidRPr="00FD50F6">
        <w:t>1</w:t>
      </w:r>
      <w:r w:rsidR="00232AC3" w:rsidRPr="00FD50F6">
        <w:t>8</w:t>
      </w:r>
      <w:r w:rsidRPr="00FD50F6">
        <w:t>.4.</w:t>
      </w:r>
      <w:r w:rsidRPr="00FD50F6">
        <w:rPr>
          <w:rFonts w:hint="eastAsia"/>
        </w:rPr>
        <w:t>1</w:t>
      </w:r>
      <w:r w:rsidRPr="00FD50F6">
        <w:t xml:space="preserve"> </w:t>
      </w:r>
      <w:r w:rsidRPr="00FD50F6">
        <w:rPr>
          <w:rFonts w:hint="eastAsia"/>
        </w:rPr>
        <w:t>各子系统</w:t>
      </w:r>
      <w:r w:rsidRPr="00FD50F6">
        <w:t>/</w:t>
      </w:r>
      <w:r w:rsidRPr="00FD50F6">
        <w:rPr>
          <w:rFonts w:hint="eastAsia"/>
        </w:rPr>
        <w:t>设备安全完整性等级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3995"/>
      </w:tblGrid>
      <w:tr w:rsidR="00FD50F6" w:rsidRPr="00FD50F6" w14:paraId="2DC85F9A" w14:textId="77777777" w:rsidTr="00A04029">
        <w:trPr>
          <w:jc w:val="center"/>
        </w:trPr>
        <w:tc>
          <w:tcPr>
            <w:tcW w:w="2658" w:type="pct"/>
            <w:vAlign w:val="center"/>
          </w:tcPr>
          <w:p w14:paraId="2982F8CA" w14:textId="77777777" w:rsidR="00717F96" w:rsidRPr="00FD50F6" w:rsidRDefault="00717F96" w:rsidP="00353026">
            <w:pPr>
              <w:pStyle w:val="7"/>
            </w:pPr>
            <w:r w:rsidRPr="00FD50F6">
              <w:rPr>
                <w:rFonts w:hint="eastAsia"/>
              </w:rPr>
              <w:t>子系统</w:t>
            </w:r>
            <w:r w:rsidRPr="00FD50F6">
              <w:rPr>
                <w:rFonts w:hint="eastAsia"/>
              </w:rPr>
              <w:t>/</w:t>
            </w:r>
            <w:r w:rsidRPr="00FD50F6">
              <w:rPr>
                <w:rFonts w:hint="eastAsia"/>
              </w:rPr>
              <w:t>设备</w:t>
            </w:r>
          </w:p>
        </w:tc>
        <w:tc>
          <w:tcPr>
            <w:tcW w:w="2342" w:type="pct"/>
            <w:vAlign w:val="center"/>
          </w:tcPr>
          <w:p w14:paraId="208F1FEC" w14:textId="77777777" w:rsidR="00717F96" w:rsidRPr="00FD50F6" w:rsidRDefault="00717F96" w:rsidP="00353026">
            <w:pPr>
              <w:pStyle w:val="7"/>
            </w:pPr>
            <w:r w:rsidRPr="00FD50F6">
              <w:rPr>
                <w:rFonts w:hint="eastAsia"/>
              </w:rPr>
              <w:t>安全完整性等级</w:t>
            </w:r>
          </w:p>
        </w:tc>
      </w:tr>
      <w:tr w:rsidR="00FD50F6" w:rsidRPr="00FD50F6" w14:paraId="22B2AF8D" w14:textId="77777777" w:rsidTr="00A04029">
        <w:trPr>
          <w:jc w:val="center"/>
        </w:trPr>
        <w:tc>
          <w:tcPr>
            <w:tcW w:w="2658" w:type="pct"/>
            <w:vAlign w:val="center"/>
          </w:tcPr>
          <w:p w14:paraId="7B0859A1" w14:textId="77777777" w:rsidR="00717F96" w:rsidRPr="00FD50F6" w:rsidRDefault="00717F96" w:rsidP="00353026">
            <w:pPr>
              <w:pStyle w:val="7"/>
            </w:pPr>
            <w:r w:rsidRPr="00FD50F6">
              <w:rPr>
                <w:rFonts w:hint="eastAsia"/>
              </w:rPr>
              <w:t>列车自动防护系统（</w:t>
            </w:r>
            <w:r w:rsidRPr="00FD50F6">
              <w:rPr>
                <w:rFonts w:hint="eastAsia"/>
              </w:rPr>
              <w:t>ATP</w:t>
            </w:r>
            <w:r w:rsidRPr="00FD50F6">
              <w:rPr>
                <w:rFonts w:hint="eastAsia"/>
              </w:rPr>
              <w:t>）</w:t>
            </w:r>
          </w:p>
        </w:tc>
        <w:tc>
          <w:tcPr>
            <w:tcW w:w="2342" w:type="pct"/>
            <w:vAlign w:val="center"/>
          </w:tcPr>
          <w:p w14:paraId="0A6368A8" w14:textId="77777777" w:rsidR="00717F96" w:rsidRPr="00FD50F6" w:rsidRDefault="00717F96" w:rsidP="00353026">
            <w:pPr>
              <w:pStyle w:val="7"/>
            </w:pPr>
            <w:r w:rsidRPr="00FD50F6">
              <w:rPr>
                <w:rFonts w:hint="eastAsia"/>
              </w:rPr>
              <w:t>4</w:t>
            </w:r>
            <w:r w:rsidRPr="00FD50F6">
              <w:rPr>
                <w:rFonts w:hint="eastAsia"/>
              </w:rPr>
              <w:t>级</w:t>
            </w:r>
          </w:p>
        </w:tc>
      </w:tr>
      <w:tr w:rsidR="00FD50F6" w:rsidRPr="00FD50F6" w14:paraId="487B8933" w14:textId="77777777" w:rsidTr="00A04029">
        <w:trPr>
          <w:jc w:val="center"/>
        </w:trPr>
        <w:tc>
          <w:tcPr>
            <w:tcW w:w="2658" w:type="pct"/>
            <w:vAlign w:val="center"/>
          </w:tcPr>
          <w:p w14:paraId="3C0588BE" w14:textId="77777777" w:rsidR="00717F96" w:rsidRPr="00FD50F6" w:rsidRDefault="00717F96" w:rsidP="00353026">
            <w:pPr>
              <w:pStyle w:val="7"/>
            </w:pPr>
            <w:r w:rsidRPr="00FD50F6">
              <w:rPr>
                <w:rFonts w:hint="eastAsia"/>
              </w:rPr>
              <w:t>计算机联锁设备（</w:t>
            </w:r>
            <w:r w:rsidRPr="00FD50F6">
              <w:rPr>
                <w:rFonts w:hint="eastAsia"/>
              </w:rPr>
              <w:t>CI</w:t>
            </w:r>
            <w:r w:rsidRPr="00FD50F6">
              <w:rPr>
                <w:rFonts w:hint="eastAsia"/>
              </w:rPr>
              <w:t>）</w:t>
            </w:r>
          </w:p>
        </w:tc>
        <w:tc>
          <w:tcPr>
            <w:tcW w:w="2342" w:type="pct"/>
            <w:vAlign w:val="center"/>
          </w:tcPr>
          <w:p w14:paraId="3B5BB6AB" w14:textId="77777777" w:rsidR="00717F96" w:rsidRPr="00FD50F6" w:rsidRDefault="00717F96" w:rsidP="00353026">
            <w:pPr>
              <w:pStyle w:val="7"/>
            </w:pPr>
            <w:r w:rsidRPr="00FD50F6">
              <w:rPr>
                <w:rFonts w:hint="eastAsia"/>
              </w:rPr>
              <w:t>4</w:t>
            </w:r>
            <w:r w:rsidRPr="00FD50F6">
              <w:rPr>
                <w:rFonts w:hint="eastAsia"/>
              </w:rPr>
              <w:t>级</w:t>
            </w:r>
          </w:p>
        </w:tc>
      </w:tr>
      <w:tr w:rsidR="00FD50F6" w:rsidRPr="00FD50F6" w14:paraId="0D57AB77" w14:textId="77777777" w:rsidTr="00A04029">
        <w:trPr>
          <w:jc w:val="center"/>
        </w:trPr>
        <w:tc>
          <w:tcPr>
            <w:tcW w:w="2658" w:type="pct"/>
            <w:vAlign w:val="center"/>
          </w:tcPr>
          <w:p w14:paraId="464B4384" w14:textId="77777777" w:rsidR="00717F96" w:rsidRPr="00FD50F6" w:rsidRDefault="00717F96" w:rsidP="00353026">
            <w:pPr>
              <w:pStyle w:val="7"/>
            </w:pPr>
            <w:r w:rsidRPr="00FD50F6">
              <w:rPr>
                <w:rFonts w:hint="eastAsia"/>
              </w:rPr>
              <w:t>计轴设备</w:t>
            </w:r>
          </w:p>
        </w:tc>
        <w:tc>
          <w:tcPr>
            <w:tcW w:w="2342" w:type="pct"/>
            <w:vAlign w:val="center"/>
          </w:tcPr>
          <w:p w14:paraId="5069FE90" w14:textId="77777777" w:rsidR="00717F96" w:rsidRPr="00FD50F6" w:rsidRDefault="00717F96" w:rsidP="00353026">
            <w:pPr>
              <w:pStyle w:val="7"/>
            </w:pPr>
            <w:r w:rsidRPr="00FD50F6">
              <w:rPr>
                <w:rFonts w:hint="eastAsia"/>
              </w:rPr>
              <w:t>4</w:t>
            </w:r>
            <w:r w:rsidRPr="00FD50F6">
              <w:rPr>
                <w:rFonts w:hint="eastAsia"/>
              </w:rPr>
              <w:t>级</w:t>
            </w:r>
          </w:p>
        </w:tc>
      </w:tr>
      <w:tr w:rsidR="00FD50F6" w:rsidRPr="00FD50F6" w14:paraId="6F32E0EA" w14:textId="77777777" w:rsidTr="00A04029">
        <w:trPr>
          <w:jc w:val="center"/>
        </w:trPr>
        <w:tc>
          <w:tcPr>
            <w:tcW w:w="2658" w:type="pct"/>
            <w:vAlign w:val="center"/>
          </w:tcPr>
          <w:p w14:paraId="77599CD7" w14:textId="77777777" w:rsidR="00717F96" w:rsidRPr="00FD50F6" w:rsidRDefault="00717F96" w:rsidP="00353026">
            <w:pPr>
              <w:pStyle w:val="7"/>
            </w:pPr>
            <w:r w:rsidRPr="00FD50F6">
              <w:rPr>
                <w:rFonts w:hint="eastAsia"/>
              </w:rPr>
              <w:t>列车自动监控系统（</w:t>
            </w:r>
            <w:r w:rsidRPr="00FD50F6">
              <w:rPr>
                <w:rFonts w:hint="eastAsia"/>
              </w:rPr>
              <w:t>ATS</w:t>
            </w:r>
            <w:r w:rsidRPr="00FD50F6">
              <w:rPr>
                <w:rFonts w:hint="eastAsia"/>
              </w:rPr>
              <w:t>）</w:t>
            </w:r>
          </w:p>
        </w:tc>
        <w:tc>
          <w:tcPr>
            <w:tcW w:w="2342" w:type="pct"/>
            <w:vAlign w:val="center"/>
          </w:tcPr>
          <w:p w14:paraId="43E2CF2E" w14:textId="77777777" w:rsidR="00717F96" w:rsidRPr="00FD50F6" w:rsidRDefault="00717F96" w:rsidP="00353026">
            <w:pPr>
              <w:pStyle w:val="7"/>
            </w:pPr>
            <w:r w:rsidRPr="00FD50F6">
              <w:rPr>
                <w:rFonts w:hint="eastAsia"/>
              </w:rPr>
              <w:t>2</w:t>
            </w:r>
            <w:r w:rsidRPr="00FD50F6">
              <w:rPr>
                <w:rFonts w:hint="eastAsia"/>
              </w:rPr>
              <w:t>级</w:t>
            </w:r>
          </w:p>
        </w:tc>
      </w:tr>
      <w:tr w:rsidR="00FD50F6" w:rsidRPr="00FD50F6" w14:paraId="25EB8E58" w14:textId="77777777" w:rsidTr="00A04029">
        <w:trPr>
          <w:jc w:val="center"/>
        </w:trPr>
        <w:tc>
          <w:tcPr>
            <w:tcW w:w="2658" w:type="pct"/>
            <w:vAlign w:val="center"/>
          </w:tcPr>
          <w:p w14:paraId="0DEB5C9C" w14:textId="77777777" w:rsidR="00717F96" w:rsidRPr="00FD50F6" w:rsidRDefault="00717F96" w:rsidP="00353026">
            <w:pPr>
              <w:pStyle w:val="7"/>
            </w:pPr>
            <w:r w:rsidRPr="00FD50F6">
              <w:rPr>
                <w:rFonts w:hint="eastAsia"/>
              </w:rPr>
              <w:t>列车自动运行系统（</w:t>
            </w:r>
            <w:r w:rsidRPr="00FD50F6">
              <w:rPr>
                <w:rFonts w:hint="eastAsia"/>
              </w:rPr>
              <w:t>ATO</w:t>
            </w:r>
            <w:r w:rsidRPr="00FD50F6">
              <w:rPr>
                <w:rFonts w:hint="eastAsia"/>
              </w:rPr>
              <w:t>）</w:t>
            </w:r>
          </w:p>
        </w:tc>
        <w:tc>
          <w:tcPr>
            <w:tcW w:w="2342" w:type="pct"/>
            <w:vAlign w:val="center"/>
          </w:tcPr>
          <w:p w14:paraId="194C79DB" w14:textId="77777777" w:rsidR="00717F96" w:rsidRPr="00FD50F6" w:rsidRDefault="00717F96" w:rsidP="00353026">
            <w:pPr>
              <w:pStyle w:val="7"/>
            </w:pPr>
            <w:r w:rsidRPr="00FD50F6">
              <w:rPr>
                <w:rFonts w:hint="eastAsia"/>
              </w:rPr>
              <w:t>2</w:t>
            </w:r>
            <w:r w:rsidRPr="00FD50F6">
              <w:rPr>
                <w:rFonts w:hint="eastAsia"/>
              </w:rPr>
              <w:t>级</w:t>
            </w:r>
          </w:p>
        </w:tc>
      </w:tr>
    </w:tbl>
    <w:p w14:paraId="6B111B4F" w14:textId="46753A86" w:rsidR="00717F96" w:rsidRPr="00FD50F6" w:rsidRDefault="00717F96" w:rsidP="00717F96">
      <w:pPr>
        <w:pStyle w:val="30"/>
      </w:pPr>
      <w:r w:rsidRPr="00FD50F6">
        <w:t>ATO</w:t>
      </w:r>
      <w:r w:rsidRPr="00FD50F6">
        <w:rPr>
          <w:rFonts w:hint="eastAsia"/>
        </w:rPr>
        <w:t>系统</w:t>
      </w:r>
      <w:r w:rsidRPr="00FD50F6">
        <w:t>定点停车精度应根据站台</w:t>
      </w:r>
      <w:r w:rsidRPr="00FD50F6">
        <w:rPr>
          <w:rFonts w:hint="eastAsia"/>
        </w:rPr>
        <w:t>有效</w:t>
      </w:r>
      <w:r w:rsidRPr="00FD50F6">
        <w:t>长度、列车性能和站台</w:t>
      </w:r>
      <w:r w:rsidRPr="00FD50F6">
        <w:rPr>
          <w:rFonts w:hint="eastAsia"/>
        </w:rPr>
        <w:t>屏蔽</w:t>
      </w:r>
      <w:r w:rsidRPr="00FD50F6">
        <w:t>门的设置等因素选定</w:t>
      </w:r>
    </w:p>
    <w:p w14:paraId="0A518CBB" w14:textId="77777777" w:rsidR="00717F96" w:rsidRPr="00FD50F6" w:rsidRDefault="00717F96" w:rsidP="00717F96">
      <w:pPr>
        <w:pStyle w:val="30"/>
      </w:pPr>
      <w:r w:rsidRPr="00FD50F6">
        <w:rPr>
          <w:rFonts w:hint="eastAsia"/>
        </w:rPr>
        <w:t>信号系统设计使用寿命不</w:t>
      </w:r>
      <w:r w:rsidRPr="001A4CF3">
        <w:rPr>
          <w:rFonts w:hint="eastAsia"/>
        </w:rPr>
        <w:t>应</w:t>
      </w:r>
      <w:r w:rsidRPr="00FD50F6">
        <w:rPr>
          <w:rFonts w:hint="eastAsia"/>
        </w:rPr>
        <w:t>小于</w:t>
      </w:r>
      <w:r w:rsidRPr="00FD50F6">
        <w:rPr>
          <w:rFonts w:hint="eastAsia"/>
        </w:rPr>
        <w:t>20</w:t>
      </w:r>
      <w:r w:rsidRPr="00FD50F6">
        <w:rPr>
          <w:rFonts w:hint="eastAsia"/>
        </w:rPr>
        <w:t>年。</w:t>
      </w:r>
    </w:p>
    <w:p w14:paraId="75908C1E" w14:textId="77777777" w:rsidR="00717F96" w:rsidRPr="00FD50F6" w:rsidRDefault="00717F96" w:rsidP="00A65181">
      <w:pPr>
        <w:pStyle w:val="2"/>
      </w:pPr>
      <w:bookmarkStart w:id="784" w:name="_Toc16466759"/>
      <w:bookmarkStart w:id="785" w:name="_Toc112830783"/>
      <w:r w:rsidRPr="00FD50F6">
        <w:rPr>
          <w:rFonts w:hint="eastAsia"/>
        </w:rPr>
        <w:t>其他</w:t>
      </w:r>
      <w:bookmarkEnd w:id="784"/>
      <w:bookmarkEnd w:id="785"/>
    </w:p>
    <w:p w14:paraId="455C3EDA" w14:textId="1A5310DB" w:rsidR="00717F96" w:rsidRPr="00FD50F6" w:rsidRDefault="00717F96" w:rsidP="00717F96">
      <w:pPr>
        <w:pStyle w:val="30"/>
      </w:pPr>
      <w:r w:rsidRPr="00FD50F6">
        <w:t>信号系统供电应符合下列</w:t>
      </w:r>
      <w:r w:rsidRPr="00FD50F6">
        <w:rPr>
          <w:rFonts w:hint="eastAsia"/>
        </w:rPr>
        <w:t>规定</w:t>
      </w:r>
      <w:r w:rsidRPr="00FD50F6">
        <w:t>：</w:t>
      </w:r>
      <w:r w:rsidRPr="00FD50F6">
        <w:t xml:space="preserve"> </w:t>
      </w:r>
    </w:p>
    <w:p w14:paraId="7EE41705" w14:textId="2ACF727A" w:rsidR="00717F96" w:rsidRPr="00FD50F6" w:rsidRDefault="00717F96" w:rsidP="00A926BD">
      <w:pPr>
        <w:pStyle w:val="4"/>
      </w:pPr>
      <w:r w:rsidRPr="00FD50F6">
        <w:t>供电负荷等级应为一级负荷，</w:t>
      </w:r>
      <w:r w:rsidRPr="00FD50F6">
        <w:rPr>
          <w:rFonts w:hint="eastAsia"/>
        </w:rPr>
        <w:t>应</w:t>
      </w:r>
      <w:r w:rsidRPr="00FD50F6">
        <w:t>设两路独立电源。其供电品质应符合本</w:t>
      </w:r>
      <w:r w:rsidRPr="00FD50F6">
        <w:rPr>
          <w:rFonts w:hint="eastAsia"/>
        </w:rPr>
        <w:t>标准</w:t>
      </w:r>
      <w:r w:rsidRPr="00FD50F6">
        <w:t>第</w:t>
      </w:r>
      <w:r w:rsidRPr="00FD50F6">
        <w:t>15</w:t>
      </w:r>
      <w:r w:rsidRPr="00FD50F6">
        <w:t>章的规定。</w:t>
      </w:r>
      <w:r w:rsidRPr="00FD50F6">
        <w:rPr>
          <w:rFonts w:hint="eastAsia"/>
        </w:rPr>
        <w:t>当</w:t>
      </w:r>
      <w:r w:rsidRPr="00FD50F6">
        <w:t>交流电源电压的波动超过交流用电设备正常工作范围时，应设稳压设备</w:t>
      </w:r>
      <w:r w:rsidRPr="00FD50F6">
        <w:rPr>
          <w:rFonts w:hint="eastAsia"/>
        </w:rPr>
        <w:t>。</w:t>
      </w:r>
    </w:p>
    <w:p w14:paraId="0F541541" w14:textId="73678497" w:rsidR="00717F96" w:rsidRPr="00FD50F6" w:rsidRDefault="00717F96" w:rsidP="00A926BD">
      <w:pPr>
        <w:pStyle w:val="4"/>
      </w:pPr>
      <w:r w:rsidRPr="00FD50F6">
        <w:t>车载设备应由车辆专业提供直流电源或经变流设备供电</w:t>
      </w:r>
      <w:r w:rsidRPr="00FD50F6">
        <w:rPr>
          <w:rFonts w:hint="eastAsia"/>
        </w:rPr>
        <w:t>。</w:t>
      </w:r>
      <w:r w:rsidRPr="00FD50F6">
        <w:t xml:space="preserve"> </w:t>
      </w:r>
    </w:p>
    <w:p w14:paraId="27C00A99" w14:textId="5EF8BD9D" w:rsidR="00717F96" w:rsidRPr="00FD50F6" w:rsidRDefault="00717F96" w:rsidP="00A926BD">
      <w:pPr>
        <w:pStyle w:val="4"/>
      </w:pPr>
      <w:r w:rsidRPr="00FD50F6">
        <w:lastRenderedPageBreak/>
        <w:t>信号设备可由专用</w:t>
      </w:r>
      <w:r w:rsidRPr="00FD50F6">
        <w:rPr>
          <w:rFonts w:hint="eastAsia"/>
        </w:rPr>
        <w:t>智能</w:t>
      </w:r>
      <w:r w:rsidRPr="00FD50F6">
        <w:t>电源屏供电，宜</w:t>
      </w:r>
      <w:r w:rsidRPr="00FD50F6">
        <w:rPr>
          <w:rFonts w:hint="eastAsia"/>
        </w:rPr>
        <w:t>配置</w:t>
      </w:r>
      <w:r w:rsidRPr="00FD50F6">
        <w:t>不间断电源（</w:t>
      </w:r>
      <w:r w:rsidRPr="00FD50F6">
        <w:t>UPS</w:t>
      </w:r>
      <w:r w:rsidRPr="00FD50F6">
        <w:t>）设备和免维护蓄电池设备。</w:t>
      </w:r>
      <w:r w:rsidRPr="00FD50F6">
        <w:rPr>
          <w:rFonts w:hint="eastAsia"/>
        </w:rPr>
        <w:t>UPS</w:t>
      </w:r>
      <w:r w:rsidRPr="00FD50F6">
        <w:rPr>
          <w:rFonts w:hint="eastAsia"/>
        </w:rPr>
        <w:t>应</w:t>
      </w:r>
      <w:r w:rsidRPr="001A4CF3">
        <w:rPr>
          <w:rFonts w:hint="eastAsia"/>
        </w:rPr>
        <w:t>满足</w:t>
      </w:r>
      <w:r w:rsidRPr="00FD50F6">
        <w:rPr>
          <w:rFonts w:hint="eastAsia"/>
        </w:rPr>
        <w:t>自动旁路切换时间小于或等于两路外电源切换时间。</w:t>
      </w:r>
    </w:p>
    <w:p w14:paraId="0D635AF7" w14:textId="4C8494A9" w:rsidR="00717F96" w:rsidRPr="00FD50F6" w:rsidRDefault="00717F96" w:rsidP="00A926BD">
      <w:pPr>
        <w:pStyle w:val="4"/>
      </w:pPr>
      <w:r w:rsidRPr="00FD50F6">
        <w:t>控制中心、车站</w:t>
      </w:r>
      <w:r w:rsidRPr="00FD50F6">
        <w:rPr>
          <w:rFonts w:hint="eastAsia"/>
        </w:rPr>
        <w:t>、车辆基地</w:t>
      </w:r>
      <w:r w:rsidRPr="00FD50F6">
        <w:t>信号设备的</w:t>
      </w:r>
      <w:r w:rsidRPr="00FD50F6">
        <w:t>UPS</w:t>
      </w:r>
      <w:r w:rsidRPr="00FD50F6">
        <w:t>电池后备时间应相同，其供电时间不宜小于</w:t>
      </w:r>
      <w:r w:rsidRPr="00FD50F6">
        <w:t xml:space="preserve"> 30min</w:t>
      </w:r>
      <w:r w:rsidRPr="00FD50F6">
        <w:t>。</w:t>
      </w:r>
    </w:p>
    <w:p w14:paraId="37A55EDE" w14:textId="15480338" w:rsidR="00717F96" w:rsidRPr="00FD50F6" w:rsidRDefault="00717F96" w:rsidP="00A926BD">
      <w:pPr>
        <w:pStyle w:val="4"/>
      </w:pPr>
      <w:r w:rsidRPr="00FD50F6">
        <w:t>信号设备专用交、直流电源应对地绝缘</w:t>
      </w:r>
      <w:r w:rsidRPr="00FD50F6">
        <w:rPr>
          <w:rFonts w:hint="eastAsia"/>
        </w:rPr>
        <w:t>。</w:t>
      </w:r>
      <w:r w:rsidRPr="00FD50F6">
        <w:t xml:space="preserve"> </w:t>
      </w:r>
    </w:p>
    <w:p w14:paraId="5E3539C5" w14:textId="06B03D6F" w:rsidR="00717F96" w:rsidRPr="00FD50F6" w:rsidRDefault="00717F96" w:rsidP="00A926BD">
      <w:pPr>
        <w:pStyle w:val="4"/>
      </w:pPr>
      <w:r w:rsidRPr="00FD50F6">
        <w:t>输出至室外的设备供电回路应采用隔离供电方式</w:t>
      </w:r>
      <w:r w:rsidRPr="00FD50F6">
        <w:rPr>
          <w:rFonts w:hint="eastAsia"/>
        </w:rPr>
        <w:t>。</w:t>
      </w:r>
      <w:r w:rsidRPr="00FD50F6">
        <w:t xml:space="preserve"> </w:t>
      </w:r>
    </w:p>
    <w:p w14:paraId="3AF63394" w14:textId="77777777" w:rsidR="00717F96" w:rsidRPr="00FD50F6" w:rsidRDefault="00717F96" w:rsidP="00A926BD">
      <w:pPr>
        <w:pStyle w:val="4"/>
      </w:pPr>
      <w:r w:rsidRPr="00FD50F6">
        <w:t>电源屏</w:t>
      </w:r>
      <w:r w:rsidRPr="00FD50F6">
        <w:rPr>
          <w:rFonts w:hint="eastAsia"/>
        </w:rPr>
        <w:t>应</w:t>
      </w:r>
      <w:r w:rsidRPr="00FD50F6">
        <w:t>具有远程监测功能</w:t>
      </w:r>
      <w:r w:rsidRPr="00FD50F6">
        <w:rPr>
          <w:rFonts w:hint="eastAsia"/>
        </w:rPr>
        <w:t>，并</w:t>
      </w:r>
      <w:r w:rsidRPr="001A4CF3">
        <w:rPr>
          <w:rFonts w:hint="eastAsia"/>
        </w:rPr>
        <w:t>应</w:t>
      </w:r>
      <w:r w:rsidRPr="00FD50F6">
        <w:t>纳入</w:t>
      </w:r>
      <w:r w:rsidRPr="00FD50F6">
        <w:rPr>
          <w:rFonts w:hint="eastAsia"/>
        </w:rPr>
        <w:t>维护监测系统或</w:t>
      </w:r>
      <w:r w:rsidRPr="00FD50F6">
        <w:t>ATS</w:t>
      </w:r>
      <w:r w:rsidRPr="00FD50F6">
        <w:rPr>
          <w:rFonts w:hint="eastAsia"/>
        </w:rPr>
        <w:t>系统</w:t>
      </w:r>
      <w:r w:rsidRPr="00FD50F6">
        <w:t>监测。</w:t>
      </w:r>
      <w:r w:rsidRPr="00FD50F6">
        <w:t xml:space="preserve"> </w:t>
      </w:r>
    </w:p>
    <w:p w14:paraId="122575A8" w14:textId="323186BE" w:rsidR="00717F96" w:rsidRPr="00FD50F6" w:rsidRDefault="00717F96" w:rsidP="00717F96">
      <w:pPr>
        <w:pStyle w:val="30"/>
      </w:pPr>
      <w:r w:rsidRPr="00FD50F6">
        <w:rPr>
          <w:rFonts w:hint="eastAsia"/>
        </w:rPr>
        <w:t>信号系统部分设备的防水、防尘等级应满足下列规定：</w:t>
      </w:r>
    </w:p>
    <w:p w14:paraId="421F6D0C" w14:textId="6E284895" w:rsidR="00717F96" w:rsidRPr="00FD50F6" w:rsidRDefault="00717F96" w:rsidP="00A926BD">
      <w:pPr>
        <w:pStyle w:val="4"/>
      </w:pPr>
      <w:r w:rsidRPr="00FD50F6">
        <w:rPr>
          <w:rFonts w:hint="eastAsia"/>
        </w:rPr>
        <w:t>信号机构应满足现行国家标准《外壳防护等级（</w:t>
      </w:r>
      <w:r w:rsidRPr="00FD50F6">
        <w:rPr>
          <w:rFonts w:hint="eastAsia"/>
        </w:rPr>
        <w:t>IP</w:t>
      </w:r>
      <w:r w:rsidRPr="00FD50F6">
        <w:rPr>
          <w:rFonts w:hint="eastAsia"/>
        </w:rPr>
        <w:t>代码）》</w:t>
      </w:r>
      <w:r w:rsidRPr="00FD50F6">
        <w:t>GB/T 4208</w:t>
      </w:r>
      <w:r w:rsidRPr="00FD50F6">
        <w:rPr>
          <w:rFonts w:hint="eastAsia"/>
        </w:rPr>
        <w:t>中</w:t>
      </w:r>
      <w:r w:rsidRPr="00FD50F6">
        <w:t>IP53</w:t>
      </w:r>
      <w:r w:rsidRPr="00FD50F6">
        <w:t>的规定</w:t>
      </w:r>
      <w:r w:rsidRPr="00FD50F6">
        <w:rPr>
          <w:rFonts w:hint="eastAsia"/>
        </w:rPr>
        <w:t>；</w:t>
      </w:r>
    </w:p>
    <w:p w14:paraId="4AA735FB" w14:textId="2E7911FE" w:rsidR="00717F96" w:rsidRPr="00FD50F6" w:rsidRDefault="00717F96" w:rsidP="00A926BD">
      <w:pPr>
        <w:pStyle w:val="4"/>
      </w:pPr>
      <w:r w:rsidRPr="00FD50F6">
        <w:rPr>
          <w:rFonts w:hint="eastAsia"/>
        </w:rPr>
        <w:t>转辙机应能防水、防尘，并</w:t>
      </w:r>
      <w:r w:rsidRPr="00FD50F6">
        <w:rPr>
          <w:rStyle w:val="afff2"/>
          <w:rFonts w:ascii="等线" w:hAnsi="等线" w:hint="eastAsia"/>
          <w:bCs w:val="0"/>
        </w:rPr>
        <w:t>应</w:t>
      </w:r>
      <w:r w:rsidRPr="00FD50F6">
        <w:rPr>
          <w:rFonts w:hint="eastAsia"/>
        </w:rPr>
        <w:t>满足现行国家标准《低压电器外壳防护等级》</w:t>
      </w:r>
      <w:r w:rsidRPr="00FD50F6">
        <w:t>GB 4942.2</w:t>
      </w:r>
      <w:r w:rsidRPr="00FD50F6">
        <w:rPr>
          <w:rFonts w:hint="eastAsia"/>
        </w:rPr>
        <w:t>中</w:t>
      </w:r>
      <w:r w:rsidRPr="00FD50F6">
        <w:t>IP54</w:t>
      </w:r>
      <w:r w:rsidRPr="00FD50F6">
        <w:t>的规定</w:t>
      </w:r>
      <w:r w:rsidRPr="00FD50F6">
        <w:rPr>
          <w:rFonts w:hint="eastAsia"/>
        </w:rPr>
        <w:t>；</w:t>
      </w:r>
    </w:p>
    <w:p w14:paraId="0BCEC91C" w14:textId="1C137E06" w:rsidR="00717F96" w:rsidRPr="00FD50F6" w:rsidRDefault="00717F96" w:rsidP="00A926BD">
      <w:pPr>
        <w:pStyle w:val="4"/>
      </w:pPr>
      <w:r w:rsidRPr="00FD50F6">
        <w:rPr>
          <w:rFonts w:hint="eastAsia"/>
        </w:rPr>
        <w:t>车载各种天线应满足现行国家标准《外壳防护等级（</w:t>
      </w:r>
      <w:r w:rsidRPr="00FD50F6">
        <w:rPr>
          <w:rFonts w:hint="eastAsia"/>
        </w:rPr>
        <w:t>IP</w:t>
      </w:r>
      <w:r w:rsidRPr="00FD50F6">
        <w:rPr>
          <w:rFonts w:hint="eastAsia"/>
        </w:rPr>
        <w:t>代码）》</w:t>
      </w:r>
      <w:r w:rsidRPr="00FD50F6">
        <w:t>GB/T 4208</w:t>
      </w:r>
      <w:r w:rsidRPr="00FD50F6">
        <w:rPr>
          <w:rFonts w:hint="eastAsia"/>
        </w:rPr>
        <w:t>中</w:t>
      </w:r>
      <w:r w:rsidRPr="00FD50F6">
        <w:t>IP66</w:t>
      </w:r>
      <w:r w:rsidRPr="00FD50F6">
        <w:t>的规定</w:t>
      </w:r>
      <w:r w:rsidRPr="00FD50F6">
        <w:rPr>
          <w:rFonts w:hint="eastAsia"/>
        </w:rPr>
        <w:t>；</w:t>
      </w:r>
      <w:r w:rsidRPr="00FD50F6">
        <w:t xml:space="preserve"> </w:t>
      </w:r>
    </w:p>
    <w:p w14:paraId="1705F25E" w14:textId="64070B1E" w:rsidR="00717F96" w:rsidRPr="00FD50F6" w:rsidRDefault="00717F96" w:rsidP="00A926BD">
      <w:pPr>
        <w:pStyle w:val="4"/>
      </w:pPr>
      <w:r w:rsidRPr="00FD50F6">
        <w:rPr>
          <w:rFonts w:hint="eastAsia"/>
        </w:rPr>
        <w:t>轨旁无线设备箱体应满足现行国家标准《外壳防护等级（</w:t>
      </w:r>
      <w:r w:rsidRPr="00FD50F6">
        <w:rPr>
          <w:rFonts w:hint="eastAsia"/>
        </w:rPr>
        <w:t>IP</w:t>
      </w:r>
      <w:r w:rsidRPr="00FD50F6">
        <w:rPr>
          <w:rFonts w:hint="eastAsia"/>
        </w:rPr>
        <w:t>代码）》</w:t>
      </w:r>
      <w:r w:rsidRPr="00FD50F6">
        <w:t>GB/T 4208</w:t>
      </w:r>
      <w:r w:rsidRPr="00FD50F6">
        <w:rPr>
          <w:rFonts w:hint="eastAsia"/>
        </w:rPr>
        <w:t>中</w:t>
      </w:r>
      <w:r w:rsidRPr="00FD50F6">
        <w:t>IP65</w:t>
      </w:r>
      <w:r w:rsidRPr="00FD50F6">
        <w:t>的规定</w:t>
      </w:r>
      <w:r w:rsidRPr="00FD50F6">
        <w:rPr>
          <w:rFonts w:hint="eastAsia"/>
        </w:rPr>
        <w:t>；</w:t>
      </w:r>
    </w:p>
    <w:p w14:paraId="5A2FC6A8" w14:textId="7AB95EEF" w:rsidR="00717F96" w:rsidRPr="00FD50F6" w:rsidRDefault="00717F96" w:rsidP="00A926BD">
      <w:pPr>
        <w:pStyle w:val="4"/>
      </w:pPr>
      <w:r w:rsidRPr="00FD50F6">
        <w:rPr>
          <w:rFonts w:hint="eastAsia"/>
        </w:rPr>
        <w:t>安装在车体外部的车载设备防护等级应满足现行国家标准《外壳防护等级（</w:t>
      </w:r>
      <w:r w:rsidRPr="00FD50F6">
        <w:rPr>
          <w:rFonts w:hint="eastAsia"/>
        </w:rPr>
        <w:t>IP</w:t>
      </w:r>
      <w:r w:rsidRPr="00FD50F6">
        <w:rPr>
          <w:rFonts w:hint="eastAsia"/>
        </w:rPr>
        <w:t>代码）》</w:t>
      </w:r>
      <w:r w:rsidRPr="00FD50F6">
        <w:t>GB/T 4208</w:t>
      </w:r>
      <w:r w:rsidRPr="00FD50F6">
        <w:rPr>
          <w:rFonts w:hint="eastAsia"/>
        </w:rPr>
        <w:t>中</w:t>
      </w:r>
      <w:r w:rsidRPr="00FD50F6">
        <w:t>IP65</w:t>
      </w:r>
      <w:r w:rsidRPr="00FD50F6">
        <w:t>的规定</w:t>
      </w:r>
      <w:r w:rsidRPr="00FD50F6">
        <w:rPr>
          <w:rFonts w:hint="eastAsia"/>
        </w:rPr>
        <w:t>；</w:t>
      </w:r>
    </w:p>
    <w:p w14:paraId="75E4F1F2" w14:textId="4430F233" w:rsidR="00717F96" w:rsidRPr="00FD50F6" w:rsidRDefault="00717F96" w:rsidP="00A926BD">
      <w:pPr>
        <w:pStyle w:val="4"/>
      </w:pPr>
      <w:r w:rsidRPr="00FD50F6">
        <w:rPr>
          <w:rFonts w:hint="eastAsia"/>
        </w:rPr>
        <w:t>计轴传感器、应答器均应满足现行国家标准《外壳防护等级（</w:t>
      </w:r>
      <w:r w:rsidRPr="00FD50F6">
        <w:rPr>
          <w:rFonts w:hint="eastAsia"/>
        </w:rPr>
        <w:t>IP</w:t>
      </w:r>
      <w:r w:rsidRPr="00FD50F6">
        <w:rPr>
          <w:rFonts w:hint="eastAsia"/>
        </w:rPr>
        <w:t>代码）》</w:t>
      </w:r>
      <w:r w:rsidRPr="00FD50F6">
        <w:t>GB/T 4208</w:t>
      </w:r>
      <w:r w:rsidRPr="00FD50F6">
        <w:rPr>
          <w:rFonts w:hint="eastAsia"/>
        </w:rPr>
        <w:t>中</w:t>
      </w:r>
      <w:r w:rsidRPr="00FD50F6">
        <w:t>IP67</w:t>
      </w:r>
      <w:r w:rsidRPr="00FD50F6">
        <w:rPr>
          <w:rFonts w:hint="eastAsia"/>
        </w:rPr>
        <w:t>的规定。</w:t>
      </w:r>
    </w:p>
    <w:p w14:paraId="6B22C5BA" w14:textId="34F74B3D" w:rsidR="00717F96" w:rsidRPr="00FD50F6" w:rsidRDefault="00717F96" w:rsidP="00717F96">
      <w:pPr>
        <w:pStyle w:val="30"/>
      </w:pPr>
      <w:r w:rsidRPr="00FD50F6">
        <w:rPr>
          <w:rFonts w:hint="eastAsia"/>
        </w:rPr>
        <w:t>信号系统光电缆线路应符合下列规定：</w:t>
      </w:r>
    </w:p>
    <w:p w14:paraId="3008514E" w14:textId="4BD878AE" w:rsidR="00717F96" w:rsidRPr="00FD50F6" w:rsidRDefault="00717F96" w:rsidP="00A926BD">
      <w:pPr>
        <w:pStyle w:val="4"/>
      </w:pPr>
      <w:r w:rsidRPr="00FD50F6">
        <w:rPr>
          <w:rFonts w:hint="eastAsia"/>
        </w:rPr>
        <w:t>地下区段电缆应采用低烟、无卤、阻燃、防腐蚀综合护套电缆；地面及高架区段宜采用低烟、低卤、阻燃、防腐蚀、抗老化综合护套电缆。</w:t>
      </w:r>
    </w:p>
    <w:p w14:paraId="4A23E3FE" w14:textId="1B992AA5" w:rsidR="00717F96" w:rsidRPr="00FD50F6" w:rsidRDefault="00717F96" w:rsidP="00A926BD">
      <w:pPr>
        <w:pStyle w:val="4"/>
      </w:pPr>
      <w:r w:rsidRPr="00FD50F6">
        <w:t>地面电缆</w:t>
      </w:r>
      <w:r w:rsidRPr="00FD50F6">
        <w:rPr>
          <w:rFonts w:hint="eastAsia"/>
        </w:rPr>
        <w:t>宜采用直埋、电缆槽或管道方式。</w:t>
      </w:r>
    </w:p>
    <w:p w14:paraId="5DEE6C20" w14:textId="5E05B1AA" w:rsidR="00717F96" w:rsidRPr="00FD50F6" w:rsidRDefault="00717F96" w:rsidP="00A926BD">
      <w:pPr>
        <w:pStyle w:val="4"/>
      </w:pPr>
      <w:r w:rsidRPr="00FD50F6">
        <w:rPr>
          <w:rFonts w:hint="eastAsia"/>
        </w:rPr>
        <w:t>区间隧道内电缆宜采用托架明敷方式，车站宜采用隐蔽方式敷设。</w:t>
      </w:r>
    </w:p>
    <w:p w14:paraId="1EB6F433" w14:textId="1B7DA9AA" w:rsidR="00717F96" w:rsidRPr="00FD50F6" w:rsidRDefault="00717F96" w:rsidP="00A926BD">
      <w:pPr>
        <w:pStyle w:val="4"/>
      </w:pPr>
      <w:r w:rsidRPr="00FD50F6">
        <w:t>高架线路的电缆宜</w:t>
      </w:r>
      <w:r w:rsidRPr="00FD50F6">
        <w:rPr>
          <w:rFonts w:hint="eastAsia"/>
        </w:rPr>
        <w:t>采</w:t>
      </w:r>
      <w:r w:rsidRPr="00FD50F6">
        <w:t>用隐蔽方式敷设</w:t>
      </w:r>
      <w:r w:rsidRPr="00FD50F6">
        <w:rPr>
          <w:rFonts w:hint="eastAsia"/>
        </w:rPr>
        <w:t>。</w:t>
      </w:r>
    </w:p>
    <w:p w14:paraId="6BC30392" w14:textId="3EE2AF9B" w:rsidR="00717F96" w:rsidRPr="00FD50F6" w:rsidRDefault="00717F96" w:rsidP="00A926BD">
      <w:pPr>
        <w:pStyle w:val="4"/>
      </w:pPr>
      <w:r w:rsidRPr="00FD50F6">
        <w:rPr>
          <w:rFonts w:hint="eastAsia"/>
        </w:rPr>
        <w:t>电缆接续宜采用免维护接续方式。</w:t>
      </w:r>
    </w:p>
    <w:p w14:paraId="336CD6F9" w14:textId="5C115696" w:rsidR="00717F96" w:rsidRPr="00FD50F6" w:rsidRDefault="00717F96" w:rsidP="00A926BD">
      <w:pPr>
        <w:pStyle w:val="4"/>
      </w:pPr>
      <w:r w:rsidRPr="00FD50F6">
        <w:t>信号电线路应与电力线路分开敷设</w:t>
      </w:r>
      <w:r w:rsidR="00A128DD">
        <w:rPr>
          <w:rFonts w:hint="eastAsia"/>
        </w:rPr>
        <w:t>，</w:t>
      </w:r>
      <w:r w:rsidR="00A128DD" w:rsidRPr="00FD50F6">
        <w:t>敷设间距应按本</w:t>
      </w:r>
      <w:r w:rsidR="00A128DD" w:rsidRPr="00FD50F6">
        <w:rPr>
          <w:rFonts w:hint="eastAsia"/>
        </w:rPr>
        <w:t>标准</w:t>
      </w:r>
      <w:r w:rsidR="00A128DD" w:rsidRPr="00FD50F6">
        <w:t>第</w:t>
      </w:r>
      <w:r w:rsidR="00A128DD" w:rsidRPr="00FD50F6">
        <w:t>17</w:t>
      </w:r>
      <w:r w:rsidR="00A128DD" w:rsidRPr="00FD50F6">
        <w:rPr>
          <w:rFonts w:hint="eastAsia"/>
        </w:rPr>
        <w:t>.2</w:t>
      </w:r>
      <w:r w:rsidR="00A128DD" w:rsidRPr="00FD50F6">
        <w:rPr>
          <w:rFonts w:hint="eastAsia"/>
        </w:rPr>
        <w:t>节</w:t>
      </w:r>
      <w:r w:rsidR="00A128DD" w:rsidRPr="00FD50F6">
        <w:t>的规定执行</w:t>
      </w:r>
      <w:r w:rsidR="00DB6B0C">
        <w:rPr>
          <w:rFonts w:hint="eastAsia"/>
        </w:rPr>
        <w:t>；</w:t>
      </w:r>
      <w:r w:rsidR="00A128DD" w:rsidRPr="00A91C66">
        <w:t>当不满足敷设间距时，</w:t>
      </w:r>
      <w:r w:rsidRPr="00FD50F6">
        <w:rPr>
          <w:rFonts w:hint="eastAsia"/>
        </w:rPr>
        <w:t>信号系统的电线路应采取抗电磁干扰防护措施。</w:t>
      </w:r>
    </w:p>
    <w:p w14:paraId="717FEDB0" w14:textId="1C7954B4" w:rsidR="00717F96" w:rsidRPr="00FD50F6" w:rsidRDefault="00717F96" w:rsidP="00A926BD">
      <w:pPr>
        <w:pStyle w:val="4"/>
      </w:pPr>
      <w:r w:rsidRPr="00FD50F6">
        <w:lastRenderedPageBreak/>
        <w:t>电缆芯线或芯对应有备用量，</w:t>
      </w:r>
      <w:r w:rsidRPr="00FD50F6">
        <w:rPr>
          <w:rFonts w:hint="eastAsia"/>
        </w:rPr>
        <w:t>备用芯线数应按电缆类型确定，且应符合下列规定：</w:t>
      </w:r>
    </w:p>
    <w:p w14:paraId="53CE73F8" w14:textId="459F672A" w:rsidR="00717F96" w:rsidRPr="00FD50F6" w:rsidRDefault="00717F96" w:rsidP="00717F96">
      <w:pPr>
        <w:pStyle w:val="5"/>
        <w:ind w:firstLine="480"/>
      </w:pPr>
      <w:r w:rsidRPr="00FD50F6">
        <w:rPr>
          <w:rFonts w:hint="eastAsia"/>
        </w:rPr>
        <w:t>综合扭绞信号电缆的芯线备用量应符合表</w:t>
      </w:r>
      <w:r w:rsidRPr="00FD50F6">
        <w:t>1</w:t>
      </w:r>
      <w:r w:rsidR="00232AC3" w:rsidRPr="00FD50F6">
        <w:t>8</w:t>
      </w:r>
      <w:r w:rsidRPr="00FD50F6">
        <w:t>.5.3-1</w:t>
      </w:r>
      <w:r w:rsidRPr="00FD50F6">
        <w:rPr>
          <w:rFonts w:hint="eastAsia"/>
        </w:rPr>
        <w:t>的规定：</w:t>
      </w:r>
    </w:p>
    <w:p w14:paraId="3243D4D3" w14:textId="3DCF1F6C" w:rsidR="00717F96" w:rsidRPr="00FD50F6" w:rsidRDefault="00717F96" w:rsidP="00717F96">
      <w:pPr>
        <w:pStyle w:val="6"/>
      </w:pPr>
      <w:r w:rsidRPr="00FD50F6">
        <w:rPr>
          <w:rFonts w:hint="eastAsia"/>
        </w:rPr>
        <w:t>表</w:t>
      </w:r>
      <w:r w:rsidRPr="00FD50F6">
        <w:t>1</w:t>
      </w:r>
      <w:r w:rsidR="00232AC3" w:rsidRPr="00FD50F6">
        <w:t>8</w:t>
      </w:r>
      <w:r w:rsidRPr="00FD50F6">
        <w:t>.5.3-1</w:t>
      </w:r>
      <w:r w:rsidRPr="00FD50F6">
        <w:rPr>
          <w:rFonts w:hint="eastAsia"/>
        </w:rPr>
        <w:t>综合扭绞信号电缆</w:t>
      </w:r>
      <w:r w:rsidR="0031116A">
        <w:rPr>
          <w:rFonts w:hint="eastAsia"/>
        </w:rPr>
        <w:t>的</w:t>
      </w:r>
      <w:r w:rsidRPr="00FD50F6">
        <w:rPr>
          <w:rFonts w:hint="eastAsia"/>
        </w:rPr>
        <w:t>芯线备用表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3"/>
        <w:gridCol w:w="3215"/>
      </w:tblGrid>
      <w:tr w:rsidR="00FD50F6" w:rsidRPr="00FD50F6" w14:paraId="7261451B" w14:textId="77777777" w:rsidTr="0031116A">
        <w:trPr>
          <w:jc w:val="center"/>
        </w:trPr>
        <w:tc>
          <w:tcPr>
            <w:tcW w:w="3115" w:type="pct"/>
            <w:vAlign w:val="center"/>
          </w:tcPr>
          <w:p w14:paraId="6F48736C" w14:textId="77777777" w:rsidR="00717F96" w:rsidRPr="00FD50F6" w:rsidRDefault="00717F96" w:rsidP="00353026">
            <w:pPr>
              <w:pStyle w:val="7"/>
            </w:pPr>
            <w:r w:rsidRPr="00FD50F6">
              <w:rPr>
                <w:rFonts w:hint="eastAsia"/>
              </w:rPr>
              <w:t>芯</w:t>
            </w:r>
            <w:r w:rsidRPr="00FD50F6">
              <w:t xml:space="preserve">    </w:t>
            </w:r>
            <w:r w:rsidRPr="00FD50F6">
              <w:rPr>
                <w:rFonts w:hint="eastAsia"/>
              </w:rPr>
              <w:t>数</w:t>
            </w:r>
          </w:p>
        </w:tc>
        <w:tc>
          <w:tcPr>
            <w:tcW w:w="1885" w:type="pct"/>
            <w:vAlign w:val="center"/>
          </w:tcPr>
          <w:p w14:paraId="4980EF18" w14:textId="77777777" w:rsidR="00717F96" w:rsidRPr="00FD50F6" w:rsidRDefault="00717F96" w:rsidP="00353026">
            <w:pPr>
              <w:pStyle w:val="7"/>
            </w:pPr>
            <w:r w:rsidRPr="00FD50F6">
              <w:rPr>
                <w:rFonts w:hint="eastAsia"/>
              </w:rPr>
              <w:t>最少备用芯线</w:t>
            </w:r>
          </w:p>
        </w:tc>
      </w:tr>
      <w:tr w:rsidR="00FD50F6" w:rsidRPr="00FD50F6" w14:paraId="057E6E2E" w14:textId="77777777" w:rsidTr="0031116A">
        <w:trPr>
          <w:jc w:val="center"/>
        </w:trPr>
        <w:tc>
          <w:tcPr>
            <w:tcW w:w="3115" w:type="pct"/>
            <w:vAlign w:val="center"/>
          </w:tcPr>
          <w:p w14:paraId="18A51166" w14:textId="77777777" w:rsidR="00717F96" w:rsidRPr="00FD50F6" w:rsidRDefault="00717F96" w:rsidP="00353026">
            <w:pPr>
              <w:pStyle w:val="7"/>
            </w:pPr>
            <w:r w:rsidRPr="00FD50F6">
              <w:t>4</w:t>
            </w:r>
            <w:r w:rsidRPr="00FD50F6">
              <w:rPr>
                <w:rFonts w:hint="eastAsia"/>
              </w:rPr>
              <w:t>芯～</w:t>
            </w:r>
            <w:r w:rsidRPr="00FD50F6">
              <w:t>16</w:t>
            </w:r>
            <w:r w:rsidRPr="00FD50F6">
              <w:rPr>
                <w:rFonts w:hint="eastAsia"/>
              </w:rPr>
              <w:t>芯</w:t>
            </w:r>
          </w:p>
        </w:tc>
        <w:tc>
          <w:tcPr>
            <w:tcW w:w="1885" w:type="pct"/>
            <w:vAlign w:val="center"/>
          </w:tcPr>
          <w:p w14:paraId="0F9941CF" w14:textId="77777777" w:rsidR="00717F96" w:rsidRPr="00FD50F6" w:rsidRDefault="00717F96" w:rsidP="00353026">
            <w:pPr>
              <w:pStyle w:val="7"/>
            </w:pPr>
            <w:r w:rsidRPr="00FD50F6">
              <w:t>1</w:t>
            </w:r>
            <w:r w:rsidRPr="00FD50F6">
              <w:rPr>
                <w:rFonts w:hint="eastAsia"/>
              </w:rPr>
              <w:t>对</w:t>
            </w:r>
          </w:p>
        </w:tc>
      </w:tr>
      <w:tr w:rsidR="00FD50F6" w:rsidRPr="00FD50F6" w14:paraId="14A58249" w14:textId="77777777" w:rsidTr="0031116A">
        <w:trPr>
          <w:jc w:val="center"/>
        </w:trPr>
        <w:tc>
          <w:tcPr>
            <w:tcW w:w="3115" w:type="pct"/>
            <w:vAlign w:val="center"/>
          </w:tcPr>
          <w:p w14:paraId="5E55953A" w14:textId="77777777" w:rsidR="00717F96" w:rsidRPr="00FD50F6" w:rsidRDefault="00717F96" w:rsidP="00353026">
            <w:pPr>
              <w:pStyle w:val="7"/>
            </w:pPr>
            <w:r w:rsidRPr="00FD50F6">
              <w:t>19</w:t>
            </w:r>
            <w:r w:rsidRPr="00FD50F6">
              <w:rPr>
                <w:rFonts w:hint="eastAsia"/>
              </w:rPr>
              <w:t>芯～</w:t>
            </w:r>
            <w:r w:rsidRPr="00FD50F6">
              <w:t>44</w:t>
            </w:r>
            <w:r w:rsidRPr="00FD50F6">
              <w:rPr>
                <w:rFonts w:hint="eastAsia"/>
              </w:rPr>
              <w:t>芯</w:t>
            </w:r>
          </w:p>
        </w:tc>
        <w:tc>
          <w:tcPr>
            <w:tcW w:w="1885" w:type="pct"/>
            <w:vAlign w:val="center"/>
          </w:tcPr>
          <w:p w14:paraId="144ACCF5" w14:textId="77777777" w:rsidR="00717F96" w:rsidRPr="00FD50F6" w:rsidRDefault="00717F96" w:rsidP="00353026">
            <w:pPr>
              <w:pStyle w:val="7"/>
            </w:pPr>
            <w:r w:rsidRPr="00FD50F6">
              <w:t>2</w:t>
            </w:r>
            <w:r w:rsidRPr="00FD50F6">
              <w:rPr>
                <w:rFonts w:hint="eastAsia"/>
              </w:rPr>
              <w:t>对</w:t>
            </w:r>
          </w:p>
        </w:tc>
      </w:tr>
      <w:tr w:rsidR="00FD50F6" w:rsidRPr="00FD50F6" w14:paraId="712868A5" w14:textId="77777777" w:rsidTr="0031116A">
        <w:trPr>
          <w:jc w:val="center"/>
        </w:trPr>
        <w:tc>
          <w:tcPr>
            <w:tcW w:w="3115" w:type="pct"/>
            <w:vAlign w:val="center"/>
          </w:tcPr>
          <w:p w14:paraId="2C83F599" w14:textId="77777777" w:rsidR="00717F96" w:rsidRPr="00FD50F6" w:rsidRDefault="00717F96" w:rsidP="00353026">
            <w:pPr>
              <w:pStyle w:val="7"/>
            </w:pPr>
            <w:r w:rsidRPr="00FD50F6">
              <w:t>48</w:t>
            </w:r>
            <w:r w:rsidRPr="00FD50F6">
              <w:rPr>
                <w:rFonts w:hint="eastAsia"/>
              </w:rPr>
              <w:t>芯～</w:t>
            </w:r>
            <w:r w:rsidRPr="00FD50F6">
              <w:t>56</w:t>
            </w:r>
            <w:r w:rsidRPr="00FD50F6">
              <w:rPr>
                <w:rFonts w:hint="eastAsia"/>
              </w:rPr>
              <w:t>芯</w:t>
            </w:r>
          </w:p>
        </w:tc>
        <w:tc>
          <w:tcPr>
            <w:tcW w:w="1885" w:type="pct"/>
            <w:vAlign w:val="center"/>
          </w:tcPr>
          <w:p w14:paraId="5D71C892" w14:textId="77777777" w:rsidR="00717F96" w:rsidRPr="00FD50F6" w:rsidRDefault="00717F96" w:rsidP="00353026">
            <w:pPr>
              <w:pStyle w:val="7"/>
            </w:pPr>
            <w:r w:rsidRPr="00FD50F6">
              <w:t>3</w:t>
            </w:r>
            <w:r w:rsidRPr="00FD50F6">
              <w:rPr>
                <w:rFonts w:hint="eastAsia"/>
              </w:rPr>
              <w:t>对</w:t>
            </w:r>
          </w:p>
        </w:tc>
      </w:tr>
      <w:tr w:rsidR="00FD50F6" w:rsidRPr="00FD50F6" w14:paraId="22A0F17B" w14:textId="77777777" w:rsidTr="0031116A">
        <w:trPr>
          <w:jc w:val="center"/>
        </w:trPr>
        <w:tc>
          <w:tcPr>
            <w:tcW w:w="3115" w:type="pct"/>
            <w:vAlign w:val="center"/>
          </w:tcPr>
          <w:p w14:paraId="36437974" w14:textId="77777777" w:rsidR="00717F96" w:rsidRPr="00FD50F6" w:rsidRDefault="00717F96" w:rsidP="00353026">
            <w:pPr>
              <w:pStyle w:val="7"/>
            </w:pPr>
            <w:r w:rsidRPr="00FD50F6">
              <w:t>61</w:t>
            </w:r>
            <w:r w:rsidRPr="00FD50F6">
              <w:rPr>
                <w:rFonts w:hint="eastAsia"/>
              </w:rPr>
              <w:t>芯</w:t>
            </w:r>
          </w:p>
        </w:tc>
        <w:tc>
          <w:tcPr>
            <w:tcW w:w="1885" w:type="pct"/>
            <w:vAlign w:val="center"/>
          </w:tcPr>
          <w:p w14:paraId="55972630" w14:textId="77777777" w:rsidR="00717F96" w:rsidRPr="00FD50F6" w:rsidRDefault="00717F96" w:rsidP="00353026">
            <w:pPr>
              <w:pStyle w:val="7"/>
            </w:pPr>
            <w:r w:rsidRPr="00FD50F6">
              <w:t>3</w:t>
            </w:r>
            <w:r w:rsidRPr="00FD50F6">
              <w:rPr>
                <w:rFonts w:hint="eastAsia"/>
              </w:rPr>
              <w:t>对</w:t>
            </w:r>
            <w:r w:rsidRPr="00FD50F6">
              <w:t>+2</w:t>
            </w:r>
            <w:r w:rsidRPr="00FD50F6">
              <w:rPr>
                <w:rFonts w:hint="eastAsia"/>
              </w:rPr>
              <w:t>芯</w:t>
            </w:r>
          </w:p>
        </w:tc>
      </w:tr>
    </w:tbl>
    <w:p w14:paraId="3FDF237B" w14:textId="77777777" w:rsidR="00717F96" w:rsidRPr="00FD50F6" w:rsidRDefault="00717F96" w:rsidP="00DB6B0C">
      <w:pPr>
        <w:outlineLvl w:val="3"/>
        <w:rPr>
          <w:rFonts w:ascii="Times New Roman" w:hAnsi="Times New Roman"/>
          <w:szCs w:val="24"/>
        </w:rPr>
      </w:pPr>
      <w:r w:rsidRPr="001A4CF3">
        <w:rPr>
          <w:rFonts w:ascii="Times New Roman" w:hAnsi="Times New Roman" w:hint="eastAsia"/>
          <w:bCs/>
          <w:sz w:val="18"/>
          <w:szCs w:val="18"/>
        </w:rPr>
        <w:t>注：应备用星绞组线对，当电缆无星绞组线对时，应备用对绞组线对。</w:t>
      </w:r>
    </w:p>
    <w:p w14:paraId="6E60FED9" w14:textId="77777777" w:rsidR="00717F96" w:rsidRPr="00FD50F6" w:rsidRDefault="00717F96" w:rsidP="001A4CF3">
      <w:pPr>
        <w:pStyle w:val="5"/>
        <w:numPr>
          <w:ilvl w:val="0"/>
          <w:numId w:val="0"/>
        </w:numPr>
        <w:ind w:left="480"/>
      </w:pPr>
    </w:p>
    <w:p w14:paraId="1A1DAA85" w14:textId="302EB7DA" w:rsidR="00717F96" w:rsidRPr="00FD50F6" w:rsidRDefault="00717F96" w:rsidP="00717F96">
      <w:pPr>
        <w:pStyle w:val="5"/>
        <w:ind w:firstLine="480"/>
      </w:pPr>
      <w:r w:rsidRPr="00FD50F6">
        <w:rPr>
          <w:rFonts w:hint="eastAsia"/>
        </w:rPr>
        <w:t>普通信号电缆的芯线备用量</w:t>
      </w:r>
      <w:r w:rsidRPr="00FD50F6">
        <w:t>应符合</w:t>
      </w:r>
      <w:r w:rsidRPr="00FD50F6">
        <w:rPr>
          <w:rFonts w:hint="eastAsia"/>
        </w:rPr>
        <w:t>表</w:t>
      </w:r>
      <w:r w:rsidRPr="00FD50F6">
        <w:t>1</w:t>
      </w:r>
      <w:r w:rsidR="00232AC3" w:rsidRPr="00FD50F6">
        <w:t>8</w:t>
      </w:r>
      <w:r w:rsidRPr="00FD50F6">
        <w:t>.5.</w:t>
      </w:r>
      <w:r w:rsidRPr="00FD50F6">
        <w:rPr>
          <w:rFonts w:hint="eastAsia"/>
        </w:rPr>
        <w:t>3</w:t>
      </w:r>
      <w:r w:rsidRPr="00FD50F6">
        <w:t>-</w:t>
      </w:r>
      <w:r w:rsidRPr="00FD50F6">
        <w:rPr>
          <w:rFonts w:hint="eastAsia"/>
        </w:rPr>
        <w:t>2</w:t>
      </w:r>
      <w:r w:rsidRPr="00FD50F6">
        <w:rPr>
          <w:rFonts w:hint="eastAsia"/>
        </w:rPr>
        <w:t>的</w:t>
      </w:r>
      <w:r w:rsidRPr="00FD50F6">
        <w:t>规定：</w:t>
      </w:r>
    </w:p>
    <w:p w14:paraId="7F236224" w14:textId="49DBE61B" w:rsidR="00717F96" w:rsidRPr="00FD50F6" w:rsidRDefault="00717F96" w:rsidP="00717F96">
      <w:pPr>
        <w:pStyle w:val="6"/>
      </w:pPr>
      <w:r w:rsidRPr="00FD50F6">
        <w:rPr>
          <w:rFonts w:hint="eastAsia"/>
        </w:rPr>
        <w:t>表</w:t>
      </w:r>
      <w:r w:rsidRPr="00FD50F6">
        <w:t>1</w:t>
      </w:r>
      <w:r w:rsidR="00232AC3" w:rsidRPr="00FD50F6">
        <w:t>8</w:t>
      </w:r>
      <w:r w:rsidRPr="00FD50F6">
        <w:t>.5.3-</w:t>
      </w:r>
      <w:r w:rsidRPr="00FD50F6">
        <w:rPr>
          <w:rFonts w:hint="eastAsia"/>
        </w:rPr>
        <w:t>2</w:t>
      </w:r>
      <w:r w:rsidRPr="00FD50F6">
        <w:t xml:space="preserve"> </w:t>
      </w:r>
      <w:r w:rsidRPr="00FD50F6">
        <w:rPr>
          <w:rFonts w:hint="eastAsia"/>
        </w:rPr>
        <w:t>普通信号电缆</w:t>
      </w:r>
      <w:r w:rsidR="0031116A">
        <w:rPr>
          <w:rFonts w:hint="eastAsia"/>
        </w:rPr>
        <w:t>的</w:t>
      </w:r>
      <w:r w:rsidRPr="00FD50F6">
        <w:rPr>
          <w:rFonts w:hint="eastAsia"/>
        </w:rPr>
        <w:t>芯线备用量表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3"/>
        <w:gridCol w:w="3215"/>
      </w:tblGrid>
      <w:tr w:rsidR="00FD50F6" w:rsidRPr="00FD50F6" w14:paraId="7396E21A" w14:textId="77777777" w:rsidTr="00DB6B0C">
        <w:trPr>
          <w:jc w:val="center"/>
        </w:trPr>
        <w:tc>
          <w:tcPr>
            <w:tcW w:w="3115" w:type="pct"/>
            <w:vAlign w:val="center"/>
          </w:tcPr>
          <w:p w14:paraId="0B78F744" w14:textId="77777777" w:rsidR="00717F96" w:rsidRPr="00FD50F6" w:rsidRDefault="00717F96" w:rsidP="00353026">
            <w:pPr>
              <w:pStyle w:val="7"/>
            </w:pPr>
            <w:r w:rsidRPr="00FD50F6">
              <w:rPr>
                <w:rFonts w:hint="eastAsia"/>
              </w:rPr>
              <w:t>芯</w:t>
            </w:r>
            <w:r w:rsidRPr="00FD50F6">
              <w:t xml:space="preserve">    </w:t>
            </w:r>
            <w:r w:rsidRPr="00FD50F6">
              <w:rPr>
                <w:rFonts w:hint="eastAsia"/>
              </w:rPr>
              <w:t>数</w:t>
            </w:r>
          </w:p>
        </w:tc>
        <w:tc>
          <w:tcPr>
            <w:tcW w:w="1885" w:type="pct"/>
            <w:vAlign w:val="center"/>
          </w:tcPr>
          <w:p w14:paraId="3AB2ACAB" w14:textId="77777777" w:rsidR="00717F96" w:rsidRPr="00FD50F6" w:rsidRDefault="00717F96" w:rsidP="00353026">
            <w:pPr>
              <w:pStyle w:val="7"/>
            </w:pPr>
            <w:r w:rsidRPr="00FD50F6">
              <w:rPr>
                <w:rFonts w:hint="eastAsia"/>
              </w:rPr>
              <w:t>最少备用芯线</w:t>
            </w:r>
          </w:p>
        </w:tc>
      </w:tr>
      <w:tr w:rsidR="00FD50F6" w:rsidRPr="00FD50F6" w14:paraId="600E139E" w14:textId="77777777" w:rsidTr="00DB6B0C">
        <w:trPr>
          <w:jc w:val="center"/>
        </w:trPr>
        <w:tc>
          <w:tcPr>
            <w:tcW w:w="3115" w:type="pct"/>
            <w:vAlign w:val="center"/>
          </w:tcPr>
          <w:p w14:paraId="7E6CF24F" w14:textId="77777777" w:rsidR="00717F96" w:rsidRPr="00FD50F6" w:rsidRDefault="00717F96" w:rsidP="00353026">
            <w:pPr>
              <w:pStyle w:val="7"/>
            </w:pPr>
            <w:r w:rsidRPr="00FD50F6">
              <w:t>9</w:t>
            </w:r>
            <w:r w:rsidRPr="00FD50F6">
              <w:rPr>
                <w:rFonts w:hint="eastAsia"/>
              </w:rPr>
              <w:t>芯以下</w:t>
            </w:r>
          </w:p>
        </w:tc>
        <w:tc>
          <w:tcPr>
            <w:tcW w:w="1885" w:type="pct"/>
            <w:vAlign w:val="center"/>
          </w:tcPr>
          <w:p w14:paraId="3498AC13" w14:textId="77777777" w:rsidR="00717F96" w:rsidRPr="00FD50F6" w:rsidRDefault="00717F96" w:rsidP="00353026">
            <w:pPr>
              <w:pStyle w:val="7"/>
            </w:pPr>
            <w:r w:rsidRPr="00FD50F6">
              <w:t>1</w:t>
            </w:r>
            <w:r w:rsidRPr="00FD50F6">
              <w:rPr>
                <w:rFonts w:hint="eastAsia"/>
              </w:rPr>
              <w:t>芯</w:t>
            </w:r>
          </w:p>
        </w:tc>
      </w:tr>
      <w:tr w:rsidR="00FD50F6" w:rsidRPr="00FD50F6" w14:paraId="0FA92BEA" w14:textId="77777777" w:rsidTr="00DB6B0C">
        <w:trPr>
          <w:jc w:val="center"/>
        </w:trPr>
        <w:tc>
          <w:tcPr>
            <w:tcW w:w="3115" w:type="pct"/>
            <w:vAlign w:val="center"/>
          </w:tcPr>
          <w:p w14:paraId="17136F84" w14:textId="77777777" w:rsidR="00717F96" w:rsidRPr="00FD50F6" w:rsidRDefault="00717F96" w:rsidP="00353026">
            <w:pPr>
              <w:pStyle w:val="7"/>
            </w:pPr>
            <w:r w:rsidRPr="00FD50F6">
              <w:t>12</w:t>
            </w:r>
            <w:r w:rsidRPr="00FD50F6">
              <w:rPr>
                <w:rFonts w:hint="eastAsia"/>
              </w:rPr>
              <w:t>芯～</w:t>
            </w:r>
            <w:r w:rsidRPr="00FD50F6">
              <w:t>21</w:t>
            </w:r>
            <w:r w:rsidRPr="00FD50F6">
              <w:rPr>
                <w:rFonts w:hint="eastAsia"/>
              </w:rPr>
              <w:t>芯</w:t>
            </w:r>
          </w:p>
        </w:tc>
        <w:tc>
          <w:tcPr>
            <w:tcW w:w="1885" w:type="pct"/>
            <w:vAlign w:val="center"/>
          </w:tcPr>
          <w:p w14:paraId="5FA9C9A2" w14:textId="77777777" w:rsidR="00717F96" w:rsidRPr="00FD50F6" w:rsidRDefault="00717F96" w:rsidP="00353026">
            <w:pPr>
              <w:pStyle w:val="7"/>
            </w:pPr>
            <w:r w:rsidRPr="00FD50F6">
              <w:t>2</w:t>
            </w:r>
            <w:r w:rsidRPr="00FD50F6">
              <w:rPr>
                <w:rFonts w:hint="eastAsia"/>
              </w:rPr>
              <w:t>芯</w:t>
            </w:r>
          </w:p>
        </w:tc>
      </w:tr>
      <w:tr w:rsidR="00FD50F6" w:rsidRPr="00FD50F6" w14:paraId="388E40E3" w14:textId="77777777" w:rsidTr="00DB6B0C">
        <w:trPr>
          <w:jc w:val="center"/>
        </w:trPr>
        <w:tc>
          <w:tcPr>
            <w:tcW w:w="3115" w:type="pct"/>
            <w:vAlign w:val="center"/>
          </w:tcPr>
          <w:p w14:paraId="68065E3D" w14:textId="77777777" w:rsidR="00717F96" w:rsidRPr="00FD50F6" w:rsidRDefault="00717F96" w:rsidP="00353026">
            <w:pPr>
              <w:pStyle w:val="7"/>
            </w:pPr>
            <w:r w:rsidRPr="00FD50F6">
              <w:t>24</w:t>
            </w:r>
            <w:r w:rsidRPr="00FD50F6">
              <w:rPr>
                <w:rFonts w:hint="eastAsia"/>
              </w:rPr>
              <w:t>芯～</w:t>
            </w:r>
            <w:r w:rsidRPr="00FD50F6">
              <w:t>30</w:t>
            </w:r>
            <w:r w:rsidRPr="00FD50F6">
              <w:rPr>
                <w:rFonts w:hint="eastAsia"/>
              </w:rPr>
              <w:t>芯</w:t>
            </w:r>
          </w:p>
        </w:tc>
        <w:tc>
          <w:tcPr>
            <w:tcW w:w="1885" w:type="pct"/>
            <w:vAlign w:val="center"/>
          </w:tcPr>
          <w:p w14:paraId="575A26C5" w14:textId="77777777" w:rsidR="00717F96" w:rsidRPr="00FD50F6" w:rsidRDefault="00717F96" w:rsidP="00353026">
            <w:pPr>
              <w:pStyle w:val="7"/>
            </w:pPr>
            <w:r w:rsidRPr="00FD50F6">
              <w:t>3</w:t>
            </w:r>
            <w:r w:rsidRPr="00FD50F6">
              <w:rPr>
                <w:rFonts w:hint="eastAsia"/>
              </w:rPr>
              <w:t>芯</w:t>
            </w:r>
          </w:p>
        </w:tc>
      </w:tr>
      <w:tr w:rsidR="00FD50F6" w:rsidRPr="00FD50F6" w14:paraId="2AA6D35A" w14:textId="77777777" w:rsidTr="00A16B07">
        <w:trPr>
          <w:jc w:val="center"/>
        </w:trPr>
        <w:tc>
          <w:tcPr>
            <w:tcW w:w="3115" w:type="pct"/>
            <w:vAlign w:val="center"/>
          </w:tcPr>
          <w:p w14:paraId="445C1ED4" w14:textId="77777777" w:rsidR="00717F96" w:rsidRPr="00FD50F6" w:rsidRDefault="00717F96" w:rsidP="00353026">
            <w:pPr>
              <w:pStyle w:val="7"/>
            </w:pPr>
            <w:r w:rsidRPr="00FD50F6">
              <w:t>33</w:t>
            </w:r>
            <w:r w:rsidRPr="00FD50F6">
              <w:rPr>
                <w:rFonts w:hint="eastAsia"/>
              </w:rPr>
              <w:t>芯～</w:t>
            </w:r>
            <w:r w:rsidRPr="00FD50F6">
              <w:t>48</w:t>
            </w:r>
            <w:r w:rsidRPr="00FD50F6">
              <w:rPr>
                <w:rFonts w:hint="eastAsia"/>
              </w:rPr>
              <w:t>芯</w:t>
            </w:r>
          </w:p>
        </w:tc>
        <w:tc>
          <w:tcPr>
            <w:tcW w:w="1885" w:type="pct"/>
            <w:vAlign w:val="center"/>
          </w:tcPr>
          <w:p w14:paraId="1D17871B" w14:textId="77777777" w:rsidR="00717F96" w:rsidRPr="00FD50F6" w:rsidRDefault="00717F96" w:rsidP="00353026">
            <w:pPr>
              <w:pStyle w:val="7"/>
            </w:pPr>
            <w:r w:rsidRPr="00FD50F6">
              <w:t>4</w:t>
            </w:r>
            <w:r w:rsidRPr="00FD50F6">
              <w:rPr>
                <w:rFonts w:hint="eastAsia"/>
              </w:rPr>
              <w:t>芯</w:t>
            </w:r>
          </w:p>
        </w:tc>
      </w:tr>
      <w:tr w:rsidR="00717F96" w:rsidRPr="00FD50F6" w14:paraId="2EB51F90" w14:textId="77777777" w:rsidTr="00A16B07">
        <w:trPr>
          <w:jc w:val="center"/>
        </w:trPr>
        <w:tc>
          <w:tcPr>
            <w:tcW w:w="3115" w:type="pct"/>
            <w:vAlign w:val="center"/>
          </w:tcPr>
          <w:p w14:paraId="5D06F48B" w14:textId="77777777" w:rsidR="00717F96" w:rsidRPr="00FD50F6" w:rsidRDefault="00717F96" w:rsidP="00353026">
            <w:pPr>
              <w:pStyle w:val="7"/>
            </w:pPr>
            <w:r w:rsidRPr="00FD50F6">
              <w:t>52</w:t>
            </w:r>
            <w:r w:rsidRPr="00FD50F6">
              <w:rPr>
                <w:rFonts w:hint="eastAsia"/>
              </w:rPr>
              <w:t>芯～</w:t>
            </w:r>
            <w:r w:rsidRPr="00FD50F6">
              <w:t>61</w:t>
            </w:r>
            <w:r w:rsidRPr="00FD50F6">
              <w:rPr>
                <w:rFonts w:hint="eastAsia"/>
              </w:rPr>
              <w:t>芯</w:t>
            </w:r>
          </w:p>
        </w:tc>
        <w:tc>
          <w:tcPr>
            <w:tcW w:w="1885" w:type="pct"/>
            <w:vAlign w:val="center"/>
          </w:tcPr>
          <w:p w14:paraId="6EE051F5" w14:textId="77777777" w:rsidR="00717F96" w:rsidRPr="00FD50F6" w:rsidRDefault="00717F96" w:rsidP="00353026">
            <w:pPr>
              <w:pStyle w:val="7"/>
            </w:pPr>
            <w:r w:rsidRPr="00FD50F6">
              <w:t>5</w:t>
            </w:r>
            <w:r w:rsidRPr="00FD50F6">
              <w:rPr>
                <w:rFonts w:hint="eastAsia"/>
              </w:rPr>
              <w:t>芯</w:t>
            </w:r>
          </w:p>
        </w:tc>
      </w:tr>
    </w:tbl>
    <w:p w14:paraId="75889F04" w14:textId="77777777" w:rsidR="00717F96" w:rsidRPr="00FD50F6" w:rsidRDefault="00717F96" w:rsidP="00717F96">
      <w:pPr>
        <w:numPr>
          <w:ilvl w:val="4"/>
          <w:numId w:val="0"/>
        </w:numPr>
        <w:adjustRightInd w:val="0"/>
        <w:spacing w:line="240" w:lineRule="auto"/>
        <w:outlineLvl w:val="3"/>
        <w:rPr>
          <w:rFonts w:ascii="宋体" w:hAnsi="宋体"/>
          <w:sz w:val="21"/>
        </w:rPr>
      </w:pPr>
    </w:p>
    <w:p w14:paraId="15495624" w14:textId="07863FF8" w:rsidR="00717F96" w:rsidRPr="00FD50F6" w:rsidRDefault="00717F96" w:rsidP="00717F96">
      <w:pPr>
        <w:pStyle w:val="30"/>
      </w:pPr>
      <w:r w:rsidRPr="00FD50F6">
        <w:rPr>
          <w:rFonts w:hint="eastAsia"/>
        </w:rPr>
        <w:t>信号系统设备用房应符合下列规定：</w:t>
      </w:r>
    </w:p>
    <w:p w14:paraId="397A55F5" w14:textId="77777777" w:rsidR="00717F96" w:rsidRPr="00FD50F6" w:rsidRDefault="00717F96" w:rsidP="00A926BD">
      <w:pPr>
        <w:pStyle w:val="4"/>
      </w:pPr>
      <w:r w:rsidRPr="00FD50F6">
        <w:t>信号</w:t>
      </w:r>
      <w:r w:rsidRPr="00FD50F6">
        <w:rPr>
          <w:rFonts w:hint="eastAsia"/>
        </w:rPr>
        <w:t>设备室</w:t>
      </w:r>
      <w:r w:rsidRPr="00FD50F6">
        <w:t>面积应留有适当余量</w:t>
      </w:r>
      <w:r w:rsidRPr="00FD50F6">
        <w:rPr>
          <w:rFonts w:hint="eastAsia"/>
        </w:rPr>
        <w:t>。</w:t>
      </w:r>
    </w:p>
    <w:p w14:paraId="2540584B" w14:textId="4450C07F" w:rsidR="00717F96" w:rsidRPr="00FD50F6" w:rsidRDefault="00717F96" w:rsidP="00A926BD">
      <w:pPr>
        <w:pStyle w:val="4"/>
      </w:pPr>
      <w:r w:rsidRPr="00FD50F6">
        <w:t>信号</w:t>
      </w:r>
      <w:r w:rsidRPr="00FD50F6">
        <w:rPr>
          <w:rFonts w:hint="eastAsia"/>
        </w:rPr>
        <w:t>设备室</w:t>
      </w:r>
      <w:r w:rsidRPr="00FD50F6">
        <w:t>环境应满足设备运用的要求，并应符合现行国家标准</w:t>
      </w:r>
      <w:r w:rsidRPr="00FD50F6">
        <w:rPr>
          <w:rFonts w:hint="eastAsia"/>
        </w:rPr>
        <w:t>《数据中心设计规范》</w:t>
      </w:r>
      <w:r w:rsidRPr="00FD50F6">
        <w:t>GB 50174</w:t>
      </w:r>
      <w:r w:rsidRPr="00FD50F6">
        <w:t>的规定</w:t>
      </w:r>
      <w:r w:rsidRPr="00FD50F6">
        <w:rPr>
          <w:rFonts w:hint="eastAsia"/>
        </w:rPr>
        <w:t>；</w:t>
      </w:r>
    </w:p>
    <w:p w14:paraId="3088093E" w14:textId="68F592D7" w:rsidR="00717F96" w:rsidRPr="00FD50F6" w:rsidRDefault="00717F96" w:rsidP="00A926BD">
      <w:pPr>
        <w:pStyle w:val="4"/>
      </w:pPr>
      <w:r w:rsidRPr="00FD50F6">
        <w:t>信号设备室内布置间距宜符合表</w:t>
      </w:r>
      <w:r w:rsidRPr="00FD50F6">
        <w:t>1</w:t>
      </w:r>
      <w:r w:rsidR="00232AC3" w:rsidRPr="00FD50F6">
        <w:t>8</w:t>
      </w:r>
      <w:r w:rsidRPr="00FD50F6">
        <w:t>.5.4</w:t>
      </w:r>
      <w:r w:rsidRPr="00FD50F6">
        <w:t>规定</w:t>
      </w:r>
      <w:r w:rsidRPr="00FD50F6">
        <w:rPr>
          <w:rFonts w:hint="eastAsia"/>
        </w:rPr>
        <w:t>；</w:t>
      </w:r>
    </w:p>
    <w:p w14:paraId="6DD75AC0" w14:textId="300F1F9E" w:rsidR="00717F96" w:rsidRPr="00FD50F6" w:rsidRDefault="00717F96" w:rsidP="00717F96">
      <w:pPr>
        <w:pStyle w:val="6"/>
        <w:rPr>
          <w:b/>
        </w:rPr>
      </w:pPr>
      <w:r w:rsidRPr="00FD50F6">
        <w:rPr>
          <w:rFonts w:hint="eastAsia"/>
        </w:rPr>
        <w:t>表</w:t>
      </w:r>
      <w:r w:rsidRPr="00FD50F6">
        <w:t>1</w:t>
      </w:r>
      <w:r w:rsidR="00232AC3" w:rsidRPr="00FD50F6">
        <w:t>8</w:t>
      </w:r>
      <w:r w:rsidRPr="00FD50F6">
        <w:t xml:space="preserve">.5.4 </w:t>
      </w:r>
      <w:r w:rsidRPr="00FD50F6">
        <w:rPr>
          <w:rFonts w:hint="eastAsia"/>
        </w:rPr>
        <w:t>信号设备室内布置间距（</w:t>
      </w:r>
      <w:r w:rsidRPr="00FD50F6">
        <w:t>m</w:t>
      </w:r>
      <w:r w:rsidRPr="00FD50F6">
        <w:rPr>
          <w:rFonts w:hint="eastAsia"/>
        </w:rPr>
        <w:t>）</w:t>
      </w:r>
      <w:r w:rsidRPr="00FD50F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2403"/>
        <w:gridCol w:w="2905"/>
      </w:tblGrid>
      <w:tr w:rsidR="00FD50F6" w:rsidRPr="00FD50F6" w14:paraId="6C7AFB6E" w14:textId="77777777" w:rsidTr="00DB6B0C">
        <w:trPr>
          <w:jc w:val="center"/>
        </w:trPr>
        <w:tc>
          <w:tcPr>
            <w:tcW w:w="1888" w:type="pct"/>
            <w:vAlign w:val="center"/>
          </w:tcPr>
          <w:p w14:paraId="79C15FAC" w14:textId="77777777" w:rsidR="00717F96" w:rsidRPr="00FD50F6" w:rsidRDefault="00717F96" w:rsidP="00353026">
            <w:pPr>
              <w:pStyle w:val="7"/>
            </w:pPr>
            <w:r w:rsidRPr="00FD50F6">
              <w:t>名</w:t>
            </w:r>
            <w:r w:rsidRPr="00FD50F6">
              <w:t xml:space="preserve">     </w:t>
            </w:r>
            <w:r w:rsidRPr="00FD50F6">
              <w:t>称</w:t>
            </w:r>
          </w:p>
        </w:tc>
        <w:tc>
          <w:tcPr>
            <w:tcW w:w="1409" w:type="pct"/>
            <w:vAlign w:val="center"/>
          </w:tcPr>
          <w:p w14:paraId="0A80474B" w14:textId="77777777" w:rsidR="00717F96" w:rsidRPr="00FD50F6" w:rsidRDefault="00717F96" w:rsidP="00353026">
            <w:pPr>
              <w:pStyle w:val="7"/>
            </w:pPr>
            <w:r w:rsidRPr="00FD50F6">
              <w:t>设备间隔对象</w:t>
            </w:r>
          </w:p>
        </w:tc>
        <w:tc>
          <w:tcPr>
            <w:tcW w:w="1703" w:type="pct"/>
            <w:vAlign w:val="center"/>
          </w:tcPr>
          <w:p w14:paraId="763BBAD2" w14:textId="77777777" w:rsidR="00717F96" w:rsidRPr="00FD50F6" w:rsidRDefault="00717F96" w:rsidP="00353026">
            <w:pPr>
              <w:pStyle w:val="7"/>
            </w:pPr>
            <w:r w:rsidRPr="00FD50F6">
              <w:t>净距离要求</w:t>
            </w:r>
          </w:p>
        </w:tc>
      </w:tr>
      <w:tr w:rsidR="00FD50F6" w:rsidRPr="00FD50F6" w14:paraId="515682B1" w14:textId="77777777" w:rsidTr="00DB6B0C">
        <w:trPr>
          <w:jc w:val="center"/>
        </w:trPr>
        <w:tc>
          <w:tcPr>
            <w:tcW w:w="1888" w:type="pct"/>
            <w:vAlign w:val="center"/>
          </w:tcPr>
          <w:p w14:paraId="450C8F97" w14:textId="77777777" w:rsidR="00717F96" w:rsidRPr="00FD50F6" w:rsidRDefault="00717F96" w:rsidP="00353026">
            <w:pPr>
              <w:pStyle w:val="7"/>
            </w:pPr>
            <w:r w:rsidRPr="00FD50F6">
              <w:t>机</w:t>
            </w:r>
            <w:r w:rsidRPr="00FD50F6">
              <w:t xml:space="preserve"> </w:t>
            </w:r>
            <w:r w:rsidRPr="00FD50F6">
              <w:t>柜</w:t>
            </w:r>
            <w:r w:rsidRPr="00FD50F6">
              <w:t xml:space="preserve"> </w:t>
            </w:r>
            <w:r w:rsidRPr="00FD50F6">
              <w:t>间</w:t>
            </w:r>
          </w:p>
        </w:tc>
        <w:tc>
          <w:tcPr>
            <w:tcW w:w="1409" w:type="pct"/>
            <w:vAlign w:val="center"/>
          </w:tcPr>
          <w:p w14:paraId="0DED6B9A" w14:textId="77777777" w:rsidR="00717F96" w:rsidRPr="00FD50F6" w:rsidRDefault="00717F96" w:rsidP="00353026">
            <w:pPr>
              <w:pStyle w:val="7"/>
            </w:pPr>
            <w:r w:rsidRPr="00FD50F6">
              <w:t>走道</w:t>
            </w:r>
          </w:p>
        </w:tc>
        <w:tc>
          <w:tcPr>
            <w:tcW w:w="1703" w:type="pct"/>
            <w:vAlign w:val="center"/>
          </w:tcPr>
          <w:p w14:paraId="68459AF4" w14:textId="77777777" w:rsidR="00717F96" w:rsidRPr="00FD50F6" w:rsidRDefault="00717F96" w:rsidP="00353026">
            <w:pPr>
              <w:pStyle w:val="7"/>
            </w:pPr>
            <w:r w:rsidRPr="00FD50F6">
              <w:t>≥1.0</w:t>
            </w:r>
          </w:p>
        </w:tc>
      </w:tr>
      <w:tr w:rsidR="00FD50F6" w:rsidRPr="00FD50F6" w14:paraId="505B3A2C" w14:textId="77777777" w:rsidTr="00DB6B0C">
        <w:trPr>
          <w:trHeight w:val="465"/>
          <w:jc w:val="center"/>
        </w:trPr>
        <w:tc>
          <w:tcPr>
            <w:tcW w:w="1888" w:type="pct"/>
            <w:vMerge w:val="restart"/>
            <w:vAlign w:val="center"/>
          </w:tcPr>
          <w:p w14:paraId="7EE0AA65" w14:textId="77777777" w:rsidR="00717F96" w:rsidRPr="00FD50F6" w:rsidRDefault="00717F96" w:rsidP="00353026">
            <w:pPr>
              <w:pStyle w:val="7"/>
            </w:pPr>
            <w:r w:rsidRPr="00FD50F6">
              <w:t>控制台、机柜与墙</w:t>
            </w:r>
          </w:p>
        </w:tc>
        <w:tc>
          <w:tcPr>
            <w:tcW w:w="1409" w:type="pct"/>
            <w:vAlign w:val="center"/>
          </w:tcPr>
          <w:p w14:paraId="0BF5ECB1" w14:textId="77777777" w:rsidR="00717F96" w:rsidRPr="00FD50F6" w:rsidRDefault="00717F96" w:rsidP="00353026">
            <w:pPr>
              <w:pStyle w:val="7"/>
            </w:pPr>
            <w:r w:rsidRPr="00FD50F6">
              <w:t>主走道</w:t>
            </w:r>
          </w:p>
        </w:tc>
        <w:tc>
          <w:tcPr>
            <w:tcW w:w="1703" w:type="pct"/>
            <w:vAlign w:val="center"/>
          </w:tcPr>
          <w:p w14:paraId="7485E97C" w14:textId="77777777" w:rsidR="00717F96" w:rsidRPr="00FD50F6" w:rsidRDefault="00717F96" w:rsidP="00353026">
            <w:pPr>
              <w:pStyle w:val="7"/>
            </w:pPr>
            <w:r w:rsidRPr="00FD50F6">
              <w:t>≥1.2</w:t>
            </w:r>
          </w:p>
        </w:tc>
      </w:tr>
      <w:tr w:rsidR="00FD50F6" w:rsidRPr="00FD50F6" w14:paraId="573665FC" w14:textId="77777777" w:rsidTr="00DB6B0C">
        <w:trPr>
          <w:trHeight w:val="465"/>
          <w:jc w:val="center"/>
        </w:trPr>
        <w:tc>
          <w:tcPr>
            <w:tcW w:w="1888" w:type="pct"/>
            <w:vMerge/>
            <w:vAlign w:val="center"/>
          </w:tcPr>
          <w:p w14:paraId="56D39B33" w14:textId="77777777" w:rsidR="00717F96" w:rsidRPr="00FD50F6" w:rsidRDefault="00717F96" w:rsidP="00353026">
            <w:pPr>
              <w:pStyle w:val="7"/>
            </w:pPr>
          </w:p>
        </w:tc>
        <w:tc>
          <w:tcPr>
            <w:tcW w:w="1409" w:type="pct"/>
            <w:vAlign w:val="center"/>
          </w:tcPr>
          <w:p w14:paraId="0EF5DEFA" w14:textId="77777777" w:rsidR="00717F96" w:rsidRPr="00FD50F6" w:rsidRDefault="00717F96" w:rsidP="00353026">
            <w:pPr>
              <w:pStyle w:val="7"/>
            </w:pPr>
            <w:r w:rsidRPr="00FD50F6">
              <w:t>次走道</w:t>
            </w:r>
          </w:p>
        </w:tc>
        <w:tc>
          <w:tcPr>
            <w:tcW w:w="1703" w:type="pct"/>
            <w:vAlign w:val="center"/>
          </w:tcPr>
          <w:p w14:paraId="0977E26F" w14:textId="77777777" w:rsidR="00717F96" w:rsidRPr="00FD50F6" w:rsidRDefault="00717F96" w:rsidP="00353026">
            <w:pPr>
              <w:pStyle w:val="7"/>
            </w:pPr>
            <w:r w:rsidRPr="00FD50F6">
              <w:t>≥1.0</w:t>
            </w:r>
          </w:p>
        </w:tc>
      </w:tr>
      <w:tr w:rsidR="00FD50F6" w:rsidRPr="00FD50F6" w14:paraId="6E92DACC" w14:textId="77777777" w:rsidTr="00DB6B0C">
        <w:trPr>
          <w:trHeight w:val="465"/>
          <w:jc w:val="center"/>
        </w:trPr>
        <w:tc>
          <w:tcPr>
            <w:tcW w:w="1888" w:type="pct"/>
            <w:vMerge/>
            <w:vAlign w:val="center"/>
          </w:tcPr>
          <w:p w14:paraId="5CF34E16" w14:textId="77777777" w:rsidR="00717F96" w:rsidRPr="00FD50F6" w:rsidRDefault="00717F96" w:rsidP="00353026">
            <w:pPr>
              <w:pStyle w:val="7"/>
            </w:pPr>
          </w:p>
        </w:tc>
        <w:tc>
          <w:tcPr>
            <w:tcW w:w="1409" w:type="pct"/>
            <w:vAlign w:val="center"/>
          </w:tcPr>
          <w:p w14:paraId="7D077E27" w14:textId="77777777" w:rsidR="00717F96" w:rsidRPr="00FD50F6" w:rsidRDefault="00717F96" w:rsidP="00353026">
            <w:pPr>
              <w:pStyle w:val="7"/>
            </w:pPr>
            <w:r w:rsidRPr="00FD50F6">
              <w:t>尽端架</w:t>
            </w:r>
          </w:p>
        </w:tc>
        <w:tc>
          <w:tcPr>
            <w:tcW w:w="1703" w:type="pct"/>
            <w:vAlign w:val="center"/>
          </w:tcPr>
          <w:p w14:paraId="237F880B" w14:textId="77777777" w:rsidR="00717F96" w:rsidRPr="00FD50F6" w:rsidRDefault="00717F96" w:rsidP="00353026">
            <w:pPr>
              <w:pStyle w:val="7"/>
            </w:pPr>
            <w:r w:rsidRPr="00FD50F6">
              <w:t>≥0.8</w:t>
            </w:r>
          </w:p>
        </w:tc>
      </w:tr>
      <w:tr w:rsidR="00FD50F6" w:rsidRPr="00FD50F6" w14:paraId="75F84C33" w14:textId="77777777" w:rsidTr="00DB6B0C">
        <w:trPr>
          <w:jc w:val="center"/>
        </w:trPr>
        <w:tc>
          <w:tcPr>
            <w:tcW w:w="1888" w:type="pct"/>
            <w:vAlign w:val="center"/>
          </w:tcPr>
          <w:p w14:paraId="12E0A4EB" w14:textId="77777777" w:rsidR="00717F96" w:rsidRPr="00FD50F6" w:rsidRDefault="00717F96" w:rsidP="00353026">
            <w:pPr>
              <w:pStyle w:val="7"/>
            </w:pPr>
            <w:r w:rsidRPr="00FD50F6">
              <w:t>电源屏与其他机柜</w:t>
            </w:r>
          </w:p>
        </w:tc>
        <w:tc>
          <w:tcPr>
            <w:tcW w:w="1409" w:type="pct"/>
            <w:vAlign w:val="center"/>
          </w:tcPr>
          <w:p w14:paraId="4F2398EC" w14:textId="71309AAF" w:rsidR="00717F96" w:rsidRPr="00FD50F6" w:rsidRDefault="00717F96" w:rsidP="00353026">
            <w:pPr>
              <w:pStyle w:val="7"/>
            </w:pPr>
            <w:r w:rsidRPr="00FD50F6">
              <w:rPr>
                <w:rStyle w:val="afff2"/>
                <w:rFonts w:ascii="等线" w:hAnsi="等线" w:hint="eastAsia"/>
                <w:bCs w:val="0"/>
              </w:rPr>
              <w:t>—</w:t>
            </w:r>
          </w:p>
        </w:tc>
        <w:tc>
          <w:tcPr>
            <w:tcW w:w="1703" w:type="pct"/>
            <w:vAlign w:val="center"/>
          </w:tcPr>
          <w:p w14:paraId="23AE6F80" w14:textId="77777777" w:rsidR="00717F96" w:rsidRPr="00FD50F6" w:rsidRDefault="00717F96" w:rsidP="00353026">
            <w:pPr>
              <w:pStyle w:val="7"/>
            </w:pPr>
            <w:r w:rsidRPr="00FD50F6">
              <w:t>≥1.5</w:t>
            </w:r>
          </w:p>
        </w:tc>
      </w:tr>
      <w:tr w:rsidR="00717F96" w:rsidRPr="00FD50F6" w14:paraId="604CF130" w14:textId="77777777" w:rsidTr="00DB6B0C">
        <w:trPr>
          <w:jc w:val="center"/>
        </w:trPr>
        <w:tc>
          <w:tcPr>
            <w:tcW w:w="1888" w:type="pct"/>
            <w:vAlign w:val="center"/>
          </w:tcPr>
          <w:p w14:paraId="51904466" w14:textId="77777777" w:rsidR="00717F96" w:rsidRPr="00FD50F6" w:rsidRDefault="00717F96" w:rsidP="00353026">
            <w:pPr>
              <w:pStyle w:val="7"/>
            </w:pPr>
            <w:r w:rsidRPr="00FD50F6">
              <w:t>电源屏与墙</w:t>
            </w:r>
          </w:p>
        </w:tc>
        <w:tc>
          <w:tcPr>
            <w:tcW w:w="1409" w:type="pct"/>
            <w:vAlign w:val="center"/>
          </w:tcPr>
          <w:p w14:paraId="269CF145" w14:textId="6D20B810" w:rsidR="00717F96" w:rsidRPr="00FD50F6" w:rsidRDefault="00717F96" w:rsidP="00353026">
            <w:pPr>
              <w:pStyle w:val="7"/>
            </w:pPr>
            <w:r w:rsidRPr="00FD50F6">
              <w:rPr>
                <w:rStyle w:val="afff2"/>
                <w:rFonts w:ascii="等线" w:hAnsi="等线" w:hint="eastAsia"/>
                <w:bCs w:val="0"/>
              </w:rPr>
              <w:t>—</w:t>
            </w:r>
          </w:p>
        </w:tc>
        <w:tc>
          <w:tcPr>
            <w:tcW w:w="1703" w:type="pct"/>
            <w:vAlign w:val="center"/>
          </w:tcPr>
          <w:p w14:paraId="6DE0B357" w14:textId="77777777" w:rsidR="00717F96" w:rsidRPr="00FD50F6" w:rsidRDefault="00717F96" w:rsidP="00353026">
            <w:pPr>
              <w:pStyle w:val="7"/>
            </w:pPr>
            <w:r w:rsidRPr="00FD50F6">
              <w:t>≥1.2</w:t>
            </w:r>
          </w:p>
        </w:tc>
      </w:tr>
    </w:tbl>
    <w:p w14:paraId="02CD9D87" w14:textId="77777777" w:rsidR="00717F96" w:rsidRPr="00FD50F6" w:rsidRDefault="00717F96" w:rsidP="00717F96">
      <w:pPr>
        <w:spacing w:line="240" w:lineRule="auto"/>
        <w:rPr>
          <w:rFonts w:eastAsia="等线"/>
          <w:sz w:val="21"/>
          <w:szCs w:val="22"/>
        </w:rPr>
      </w:pPr>
    </w:p>
    <w:p w14:paraId="2520E46A" w14:textId="4F3CBE40" w:rsidR="00717F96" w:rsidRPr="00FD50F6" w:rsidRDefault="00717F96" w:rsidP="00A926BD">
      <w:pPr>
        <w:pStyle w:val="4"/>
      </w:pPr>
      <w:r w:rsidRPr="00FD50F6">
        <w:rPr>
          <w:rFonts w:hint="eastAsia"/>
        </w:rPr>
        <w:t>信号设备室架空地板与吊顶间最小净高不应小于</w:t>
      </w:r>
      <w:r w:rsidRPr="00FD50F6">
        <w:rPr>
          <w:rFonts w:hint="eastAsia"/>
        </w:rPr>
        <w:t>2.8m</w:t>
      </w:r>
      <w:r w:rsidRPr="00FD50F6">
        <w:rPr>
          <w:rFonts w:hint="eastAsia"/>
        </w:rPr>
        <w:t>。</w:t>
      </w:r>
    </w:p>
    <w:p w14:paraId="79E77BF7" w14:textId="77777777" w:rsidR="00717F96" w:rsidRPr="00FD50F6" w:rsidRDefault="00717F96" w:rsidP="00717F96">
      <w:pPr>
        <w:pStyle w:val="30"/>
      </w:pPr>
      <w:r w:rsidRPr="00FD50F6">
        <w:rPr>
          <w:rFonts w:hint="eastAsia"/>
        </w:rPr>
        <w:t>涉及行车安全的信号设备受雷电干扰时不得产生非安全输出。</w:t>
      </w:r>
    </w:p>
    <w:p w14:paraId="408BB22F" w14:textId="685B6C86" w:rsidR="00717F96" w:rsidRPr="00FD50F6" w:rsidRDefault="00717F96" w:rsidP="00717F96">
      <w:pPr>
        <w:pStyle w:val="30"/>
      </w:pPr>
      <w:r w:rsidRPr="00FD50F6">
        <w:rPr>
          <w:rFonts w:hint="eastAsia"/>
        </w:rPr>
        <w:t>信号设备的防雷设施应符合下列规定：</w:t>
      </w:r>
    </w:p>
    <w:p w14:paraId="4A3F8DDD" w14:textId="77777777" w:rsidR="00717F96" w:rsidRPr="00FD50F6" w:rsidRDefault="00717F96" w:rsidP="00A926BD">
      <w:pPr>
        <w:pStyle w:val="4"/>
      </w:pPr>
      <w:r w:rsidRPr="00FD50F6">
        <w:rPr>
          <w:rFonts w:hint="eastAsia"/>
        </w:rPr>
        <w:t>高架和地面线的室外信号设备及与隧道以外信号设备连接的室内信号设备</w:t>
      </w:r>
      <w:r w:rsidRPr="00FD50F6">
        <w:rPr>
          <w:rFonts w:hint="eastAsia"/>
        </w:rPr>
        <w:lastRenderedPageBreak/>
        <w:t>应采取防雷措施。</w:t>
      </w:r>
    </w:p>
    <w:p w14:paraId="03323A7F" w14:textId="3FED5A76" w:rsidR="00717F96" w:rsidRPr="00FD50F6" w:rsidRDefault="00717F96" w:rsidP="00A926BD">
      <w:pPr>
        <w:pStyle w:val="4"/>
      </w:pPr>
      <w:r w:rsidRPr="00FD50F6">
        <w:rPr>
          <w:rFonts w:hint="eastAsia"/>
        </w:rPr>
        <w:t>当电力线引入端未提供雷电防护时，</w:t>
      </w:r>
      <w:r w:rsidRPr="00FD50F6">
        <w:t>信号设备室</w:t>
      </w:r>
      <w:r w:rsidRPr="00FD50F6">
        <w:rPr>
          <w:rFonts w:hint="eastAsia"/>
        </w:rPr>
        <w:t>应单独设置电源防雷箱。</w:t>
      </w:r>
    </w:p>
    <w:p w14:paraId="38FABA22" w14:textId="77777777" w:rsidR="00717F96" w:rsidRPr="00FD50F6" w:rsidRDefault="00717F96" w:rsidP="00A926BD">
      <w:pPr>
        <w:pStyle w:val="4"/>
      </w:pPr>
      <w:r w:rsidRPr="00FD50F6">
        <w:rPr>
          <w:rFonts w:hint="eastAsia"/>
        </w:rPr>
        <w:t>防雷元器件的选择应将雷电感应过电压抑制在被防护设备的冲击耐压水平之下。</w:t>
      </w:r>
    </w:p>
    <w:p w14:paraId="05C37357" w14:textId="6BCD3620" w:rsidR="00717F96" w:rsidRPr="00FD50F6" w:rsidRDefault="00717F96" w:rsidP="00A926BD">
      <w:pPr>
        <w:pStyle w:val="4"/>
      </w:pPr>
      <w:r w:rsidRPr="00FD50F6">
        <w:rPr>
          <w:rFonts w:hint="eastAsia"/>
        </w:rPr>
        <w:t>防雷元器件不应影响被防护设备的正常工作</w:t>
      </w:r>
      <w:r w:rsidR="0031116A">
        <w:rPr>
          <w:rFonts w:hint="eastAsia"/>
        </w:rPr>
        <w:t>，且</w:t>
      </w:r>
      <w:r w:rsidRPr="00FD50F6">
        <w:rPr>
          <w:rFonts w:hint="eastAsia"/>
        </w:rPr>
        <w:t>应防护信号设备受雷电电磁脉冲干扰时不</w:t>
      </w:r>
      <w:r w:rsidR="0031116A">
        <w:rPr>
          <w:rFonts w:hint="eastAsia"/>
        </w:rPr>
        <w:t>出现</w:t>
      </w:r>
      <w:r w:rsidRPr="00FD50F6">
        <w:rPr>
          <w:rFonts w:hint="eastAsia"/>
        </w:rPr>
        <w:t>危险状态。</w:t>
      </w:r>
    </w:p>
    <w:p w14:paraId="362C7193" w14:textId="77777777" w:rsidR="00717F96" w:rsidRPr="00FD50F6" w:rsidRDefault="00717F96" w:rsidP="00A926BD">
      <w:pPr>
        <w:pStyle w:val="4"/>
      </w:pPr>
      <w:r w:rsidRPr="00FD50F6">
        <w:rPr>
          <w:rFonts w:hint="eastAsia"/>
        </w:rPr>
        <w:t>防雷元器件与被防护设备之间的连接线应最短，防护电路的配线应与其他配线分开，其他设备不应借用防雷元器件的端子。</w:t>
      </w:r>
    </w:p>
    <w:p w14:paraId="620DEB3E" w14:textId="0DCD3F7E" w:rsidR="00717F96" w:rsidRPr="00FD50F6" w:rsidRDefault="00717F96" w:rsidP="00717F96">
      <w:pPr>
        <w:pStyle w:val="30"/>
      </w:pPr>
      <w:r w:rsidRPr="00FD50F6">
        <w:rPr>
          <w:rFonts w:hint="eastAsia"/>
        </w:rPr>
        <w:t>信号设备的接地应符合下列规定：</w:t>
      </w:r>
    </w:p>
    <w:p w14:paraId="56E9D5ED" w14:textId="3FAA83E0" w:rsidR="00717F96" w:rsidRPr="00FD50F6" w:rsidRDefault="00717F96" w:rsidP="00A926BD">
      <w:pPr>
        <w:pStyle w:val="4"/>
      </w:pPr>
      <w:r w:rsidRPr="00FD50F6">
        <w:rPr>
          <w:rFonts w:hint="eastAsia"/>
        </w:rPr>
        <w:t>信号设备室内</w:t>
      </w:r>
      <w:r w:rsidRPr="00FD50F6">
        <w:t>应设综合接地箱；</w:t>
      </w:r>
      <w:r w:rsidRPr="00FD50F6">
        <w:rPr>
          <w:rFonts w:hint="eastAsia"/>
        </w:rPr>
        <w:t>当采用综合接地时，应独立接入综合接地系统的弱电接地母排，接地电阻值应小于</w:t>
      </w:r>
      <w:r w:rsidRPr="00FD50F6">
        <w:rPr>
          <w:rFonts w:hint="eastAsia"/>
        </w:rPr>
        <w:t>1</w:t>
      </w:r>
      <w:r w:rsidRPr="00FD50F6">
        <w:rPr>
          <w:rFonts w:hint="eastAsia"/>
        </w:rPr>
        <w:t>Ω。</w:t>
      </w:r>
    </w:p>
    <w:p w14:paraId="63C0CAB3" w14:textId="0B91F269" w:rsidR="00717F96" w:rsidRPr="00FD50F6" w:rsidRDefault="00717F96" w:rsidP="00A926BD">
      <w:pPr>
        <w:pStyle w:val="4"/>
      </w:pPr>
      <w:r w:rsidRPr="00FD50F6">
        <w:t>出入信号设备室的电缆应采用屏蔽电缆，应在室内</w:t>
      </w:r>
      <w:r w:rsidRPr="00FD50F6">
        <w:rPr>
          <w:rFonts w:hint="eastAsia"/>
        </w:rPr>
        <w:t>分线柜</w:t>
      </w:r>
      <w:r w:rsidRPr="00FD50F6">
        <w:t>/</w:t>
      </w:r>
      <w:r w:rsidRPr="00FD50F6">
        <w:rPr>
          <w:rFonts w:hint="eastAsia"/>
        </w:rPr>
        <w:t>综合柜处</w:t>
      </w:r>
      <w:r w:rsidRPr="00FD50F6">
        <w:t>对电缆屏蔽层</w:t>
      </w:r>
      <w:r w:rsidRPr="00FD50F6">
        <w:rPr>
          <w:rFonts w:hint="eastAsia"/>
        </w:rPr>
        <w:t>（含钢带铠装）</w:t>
      </w:r>
      <w:r w:rsidRPr="00FD50F6">
        <w:t>一端接地</w:t>
      </w:r>
      <w:r w:rsidRPr="00FD50F6">
        <w:rPr>
          <w:rFonts w:hint="eastAsia"/>
        </w:rPr>
        <w:t>，</w:t>
      </w:r>
      <w:r w:rsidRPr="00FD50F6">
        <w:t>并应在引入口设金属护套</w:t>
      </w:r>
      <w:r w:rsidRPr="00FD50F6">
        <w:rPr>
          <w:rFonts w:hint="eastAsia"/>
        </w:rPr>
        <w:t>。</w:t>
      </w:r>
    </w:p>
    <w:p w14:paraId="762D1A8D" w14:textId="77777777" w:rsidR="00717F96" w:rsidRPr="00FD50F6" w:rsidRDefault="00717F96" w:rsidP="00A926BD">
      <w:pPr>
        <w:pStyle w:val="4"/>
      </w:pPr>
      <w:r w:rsidRPr="00FD50F6">
        <w:rPr>
          <w:rFonts w:hint="eastAsia"/>
        </w:rPr>
        <w:t>正线区间应设置贯通接地扁钢，其应与车站设置的弱电综合接地母排连接，接地电阻值应小于</w:t>
      </w:r>
      <w:r w:rsidRPr="00FD50F6">
        <w:rPr>
          <w:rFonts w:hint="eastAsia"/>
        </w:rPr>
        <w:t>1</w:t>
      </w:r>
      <w:r w:rsidRPr="00FD50F6">
        <w:rPr>
          <w:rFonts w:hint="eastAsia"/>
        </w:rPr>
        <w:t>Ω。</w:t>
      </w:r>
    </w:p>
    <w:p w14:paraId="3B609825" w14:textId="39466D3D" w:rsidR="00717F96" w:rsidRPr="00FD50F6" w:rsidRDefault="00717F96" w:rsidP="00A926BD">
      <w:pPr>
        <w:pStyle w:val="4"/>
      </w:pPr>
      <w:r w:rsidRPr="00FD50F6">
        <w:rPr>
          <w:rFonts w:hint="eastAsia"/>
        </w:rPr>
        <w:t>轨旁信号设备除转辙机外的金属壳体、箱盒应接地。</w:t>
      </w:r>
    </w:p>
    <w:p w14:paraId="03B9A647" w14:textId="77777777" w:rsidR="00717F96" w:rsidRPr="00FD50F6" w:rsidRDefault="00717F96" w:rsidP="00A926BD">
      <w:pPr>
        <w:pStyle w:val="4"/>
      </w:pPr>
      <w:r w:rsidRPr="00FD50F6">
        <w:t>金属线槽、走线架</w:t>
      </w:r>
      <w:r w:rsidRPr="00FD50F6">
        <w:rPr>
          <w:rFonts w:hint="eastAsia"/>
        </w:rPr>
        <w:t>不得布置成环形，已构成闭合回路的应加装绝缘进行隔断。</w:t>
      </w:r>
    </w:p>
    <w:p w14:paraId="042C9550" w14:textId="1B4293FC" w:rsidR="00717F96" w:rsidRPr="00FD50F6" w:rsidRDefault="00717F96" w:rsidP="00A926BD">
      <w:pPr>
        <w:pStyle w:val="4"/>
      </w:pPr>
      <w:r w:rsidRPr="00FD50F6">
        <w:rPr>
          <w:rFonts w:hint="eastAsia"/>
        </w:rPr>
        <w:t>车辆基地内若未设综合接地系统或局部未设时，信号设备可分散接地，分散接地电阻值不应大于</w:t>
      </w:r>
      <w:r w:rsidRPr="00FD50F6">
        <w:rPr>
          <w:rFonts w:hint="eastAsia"/>
        </w:rPr>
        <w:t>4</w:t>
      </w:r>
      <w:r w:rsidRPr="00FD50F6">
        <w:rPr>
          <w:rFonts w:hint="eastAsia"/>
        </w:rPr>
        <w:t>Ω。</w:t>
      </w:r>
    </w:p>
    <w:p w14:paraId="3D68D549" w14:textId="77777777" w:rsidR="00717F96" w:rsidRPr="00FD50F6" w:rsidRDefault="00717F96" w:rsidP="00A926BD">
      <w:pPr>
        <w:pStyle w:val="4"/>
      </w:pPr>
      <w:r w:rsidRPr="00FD50F6">
        <w:t>车载信号设备的地线应经车辆接地装置接地</w:t>
      </w:r>
      <w:r w:rsidRPr="00FD50F6">
        <w:rPr>
          <w:rFonts w:hint="eastAsia"/>
        </w:rPr>
        <w:t>。</w:t>
      </w:r>
    </w:p>
    <w:p w14:paraId="79CB2656" w14:textId="59FE8BD1" w:rsidR="00717F96" w:rsidRPr="00FD50F6" w:rsidRDefault="00717F96" w:rsidP="00717F96">
      <w:pPr>
        <w:pStyle w:val="30"/>
      </w:pPr>
      <w:r w:rsidRPr="00FD50F6">
        <w:rPr>
          <w:rFonts w:hint="eastAsia"/>
        </w:rPr>
        <w:t>信号</w:t>
      </w:r>
      <w:r w:rsidR="0031116A">
        <w:rPr>
          <w:rFonts w:hint="eastAsia"/>
        </w:rPr>
        <w:t>系统</w:t>
      </w:r>
      <w:r w:rsidRPr="00FD50F6">
        <w:rPr>
          <w:rFonts w:hint="eastAsia"/>
        </w:rPr>
        <w:t>的</w:t>
      </w:r>
      <w:r w:rsidRPr="00FD50F6">
        <w:t>防雷与接地应按现行国家标准《建筑物电子信息系统防雷技术规范》</w:t>
      </w:r>
      <w:r w:rsidRPr="00FD50F6">
        <w:t>GB 50343</w:t>
      </w:r>
      <w:r w:rsidRPr="00FD50F6">
        <w:t>的规定执行。</w:t>
      </w:r>
      <w:bookmarkEnd w:id="765"/>
      <w:bookmarkEnd w:id="766"/>
      <w:bookmarkEnd w:id="767"/>
    </w:p>
    <w:p w14:paraId="018AA2C3" w14:textId="77777777" w:rsidR="00717F96" w:rsidRPr="00FD50F6" w:rsidRDefault="00717F96" w:rsidP="00717F96">
      <w:pPr>
        <w:pStyle w:val="30"/>
      </w:pPr>
      <w:r w:rsidRPr="00FD50F6">
        <w:rPr>
          <w:rFonts w:hint="eastAsia"/>
        </w:rPr>
        <w:t>信号机显示应符合下列规定：</w:t>
      </w:r>
    </w:p>
    <w:p w14:paraId="0C67132D" w14:textId="77777777" w:rsidR="00A128DD" w:rsidRPr="00002060" w:rsidRDefault="00A128DD" w:rsidP="00A128DD">
      <w:pPr>
        <w:pStyle w:val="4"/>
      </w:pPr>
      <w:r w:rsidRPr="00AA0E76">
        <w:rPr>
          <w:rFonts w:hint="eastAsia"/>
        </w:rPr>
        <w:t>正线信号机</w:t>
      </w:r>
      <w:r>
        <w:rPr>
          <w:rFonts w:hint="eastAsia"/>
        </w:rPr>
        <w:t>应符合下列规定</w:t>
      </w:r>
      <w:r w:rsidRPr="00AA0E76">
        <w:rPr>
          <w:rFonts w:hint="eastAsia"/>
        </w:rPr>
        <w:t>：</w:t>
      </w:r>
    </w:p>
    <w:p w14:paraId="695750BB" w14:textId="269E5CE9" w:rsidR="00A128DD" w:rsidRPr="00FD50F6" w:rsidRDefault="00A128DD" w:rsidP="00010C49">
      <w:pPr>
        <w:pStyle w:val="5"/>
        <w:numPr>
          <w:ilvl w:val="0"/>
          <w:numId w:val="45"/>
        </w:numPr>
        <w:ind w:firstLine="480"/>
      </w:pPr>
      <w:r w:rsidRPr="00FD50F6">
        <w:rPr>
          <w:rFonts w:hint="eastAsia"/>
        </w:rPr>
        <w:t>红色灯光表示</w:t>
      </w:r>
      <w:r>
        <w:rPr>
          <w:rFonts w:hint="eastAsia"/>
        </w:rPr>
        <w:t>列车不得</w:t>
      </w:r>
      <w:r w:rsidRPr="00FD50F6">
        <w:rPr>
          <w:rFonts w:hint="eastAsia"/>
        </w:rPr>
        <w:t>越过该信号机。</w:t>
      </w:r>
    </w:p>
    <w:p w14:paraId="55C0F64A" w14:textId="245F1A15" w:rsidR="00A128DD" w:rsidRPr="00FD50F6" w:rsidRDefault="00A128DD" w:rsidP="00010C49">
      <w:pPr>
        <w:pStyle w:val="5"/>
        <w:numPr>
          <w:ilvl w:val="0"/>
          <w:numId w:val="45"/>
        </w:numPr>
        <w:ind w:firstLine="480"/>
      </w:pPr>
      <w:r w:rsidRPr="00FD50F6">
        <w:rPr>
          <w:rFonts w:hint="eastAsia"/>
        </w:rPr>
        <w:t>黄色灯光表示进路开通侧向，列车</w:t>
      </w:r>
      <w:r>
        <w:rPr>
          <w:rFonts w:hint="eastAsia"/>
        </w:rPr>
        <w:t>应</w:t>
      </w:r>
      <w:r w:rsidRPr="00FD50F6">
        <w:rPr>
          <w:rFonts w:hint="eastAsia"/>
        </w:rPr>
        <w:t>按规定的限制速度运行。</w:t>
      </w:r>
    </w:p>
    <w:p w14:paraId="66B56559" w14:textId="6F785D62" w:rsidR="00A128DD" w:rsidRPr="00FD50F6" w:rsidRDefault="00A128DD" w:rsidP="00010C49">
      <w:pPr>
        <w:pStyle w:val="5"/>
        <w:numPr>
          <w:ilvl w:val="0"/>
          <w:numId w:val="45"/>
        </w:numPr>
        <w:ind w:firstLine="480"/>
      </w:pPr>
      <w:r w:rsidRPr="00FD50F6">
        <w:rPr>
          <w:rFonts w:hint="eastAsia"/>
        </w:rPr>
        <w:t>绿色灯光表示进路开通直向，列车</w:t>
      </w:r>
      <w:r>
        <w:rPr>
          <w:rFonts w:hint="eastAsia"/>
        </w:rPr>
        <w:t>应</w:t>
      </w:r>
      <w:r w:rsidRPr="00FD50F6">
        <w:rPr>
          <w:rFonts w:hint="eastAsia"/>
        </w:rPr>
        <w:t>按规定速度运行。</w:t>
      </w:r>
    </w:p>
    <w:p w14:paraId="57FDF9D2" w14:textId="77A37CEC" w:rsidR="00A128DD" w:rsidRPr="00FD50F6" w:rsidRDefault="00A128DD" w:rsidP="00010C49">
      <w:pPr>
        <w:pStyle w:val="5"/>
        <w:numPr>
          <w:ilvl w:val="0"/>
          <w:numId w:val="45"/>
        </w:numPr>
        <w:ind w:firstLine="480"/>
      </w:pPr>
      <w:r w:rsidRPr="00FD50F6">
        <w:rPr>
          <w:rFonts w:hint="eastAsia"/>
        </w:rPr>
        <w:t>黄色灯光</w:t>
      </w:r>
      <w:r w:rsidRPr="00FD50F6">
        <w:t>+</w:t>
      </w:r>
      <w:r w:rsidRPr="00FD50F6">
        <w:rPr>
          <w:rFonts w:hint="eastAsia"/>
        </w:rPr>
        <w:t>红色灯光表示开放引导信号，列车</w:t>
      </w:r>
      <w:r>
        <w:rPr>
          <w:rFonts w:hint="eastAsia"/>
        </w:rPr>
        <w:t>应</w:t>
      </w:r>
      <w:r w:rsidRPr="00FD50F6">
        <w:rPr>
          <w:rFonts w:hint="eastAsia"/>
        </w:rPr>
        <w:t>以不大于一个规定的速度越过该信号机并随时准备停车。</w:t>
      </w:r>
    </w:p>
    <w:p w14:paraId="4565DC1C" w14:textId="4E313CAD" w:rsidR="00A128DD" w:rsidRPr="00FD50F6" w:rsidRDefault="00A128DD" w:rsidP="00010C49">
      <w:pPr>
        <w:pStyle w:val="5"/>
        <w:numPr>
          <w:ilvl w:val="0"/>
          <w:numId w:val="45"/>
        </w:numPr>
        <w:ind w:firstLine="480"/>
      </w:pPr>
      <w:r>
        <w:rPr>
          <w:rFonts w:hint="eastAsia"/>
        </w:rPr>
        <w:lastRenderedPageBreak/>
        <w:t>当</w:t>
      </w:r>
      <w:r w:rsidRPr="00FD50F6">
        <w:t>地面信号机为主体信号时，</w:t>
      </w:r>
      <w:r>
        <w:rPr>
          <w:rFonts w:hint="eastAsia"/>
        </w:rPr>
        <w:t>应</w:t>
      </w:r>
      <w:r w:rsidRPr="00FD50F6">
        <w:t>以红灯显示为定位。</w:t>
      </w:r>
    </w:p>
    <w:p w14:paraId="6FB9EA72" w14:textId="77777777" w:rsidR="00A128DD" w:rsidRPr="00FD50F6" w:rsidRDefault="00A128DD" w:rsidP="00A128DD">
      <w:pPr>
        <w:pStyle w:val="4"/>
      </w:pPr>
      <w:r w:rsidRPr="00FD50F6">
        <w:t>车辆基地信号机</w:t>
      </w:r>
      <w:r>
        <w:rPr>
          <w:rFonts w:hint="eastAsia"/>
        </w:rPr>
        <w:t>应符合下列规定</w:t>
      </w:r>
      <w:r w:rsidRPr="00FD50F6">
        <w:t>：</w:t>
      </w:r>
    </w:p>
    <w:p w14:paraId="4A64142B" w14:textId="51F1A2A5" w:rsidR="00A128DD" w:rsidRPr="00FD50F6" w:rsidRDefault="00A128DD" w:rsidP="00010C49">
      <w:pPr>
        <w:pStyle w:val="5"/>
        <w:numPr>
          <w:ilvl w:val="0"/>
          <w:numId w:val="46"/>
        </w:numPr>
        <w:ind w:firstLine="480"/>
      </w:pPr>
      <w:r w:rsidRPr="00FD50F6">
        <w:rPr>
          <w:rFonts w:hint="eastAsia"/>
        </w:rPr>
        <w:t>红色灯光表示列车</w:t>
      </w:r>
      <w:r>
        <w:rPr>
          <w:rFonts w:hint="eastAsia"/>
        </w:rPr>
        <w:t>不得</w:t>
      </w:r>
      <w:r w:rsidRPr="00FD50F6">
        <w:rPr>
          <w:rFonts w:hint="eastAsia"/>
        </w:rPr>
        <w:t>越过该信号机。</w:t>
      </w:r>
    </w:p>
    <w:p w14:paraId="7C66A017" w14:textId="3DF98010" w:rsidR="00A128DD" w:rsidRPr="00FD50F6" w:rsidRDefault="00A128DD" w:rsidP="00010C49">
      <w:pPr>
        <w:pStyle w:val="5"/>
        <w:numPr>
          <w:ilvl w:val="0"/>
          <w:numId w:val="46"/>
        </w:numPr>
        <w:ind w:firstLine="480"/>
      </w:pPr>
      <w:r w:rsidRPr="00FD50F6">
        <w:rPr>
          <w:rFonts w:hint="eastAsia"/>
        </w:rPr>
        <w:t>黄色灯光表示列车接、发车进路已建立，列车</w:t>
      </w:r>
      <w:r>
        <w:rPr>
          <w:rFonts w:hint="eastAsia"/>
        </w:rPr>
        <w:t>应</w:t>
      </w:r>
      <w:r w:rsidRPr="00FD50F6">
        <w:rPr>
          <w:rFonts w:hint="eastAsia"/>
        </w:rPr>
        <w:t>按规定的限制速度运行。</w:t>
      </w:r>
    </w:p>
    <w:p w14:paraId="081896D5" w14:textId="27B2C3C6" w:rsidR="00A128DD" w:rsidRPr="00FD50F6" w:rsidRDefault="00A128DD" w:rsidP="00010C49">
      <w:pPr>
        <w:pStyle w:val="5"/>
        <w:numPr>
          <w:ilvl w:val="0"/>
          <w:numId w:val="46"/>
        </w:numPr>
        <w:ind w:firstLine="480"/>
      </w:pPr>
      <w:r w:rsidRPr="00FD50F6">
        <w:rPr>
          <w:rFonts w:hint="eastAsia"/>
        </w:rPr>
        <w:t>黄色灯光</w:t>
      </w:r>
      <w:r w:rsidRPr="00FD50F6">
        <w:t>+</w:t>
      </w:r>
      <w:r w:rsidRPr="00FD50F6">
        <w:rPr>
          <w:rFonts w:hint="eastAsia"/>
        </w:rPr>
        <w:t>红色灯光表示开放引导信号，列车</w:t>
      </w:r>
      <w:r>
        <w:rPr>
          <w:rFonts w:hint="eastAsia"/>
        </w:rPr>
        <w:t>应</w:t>
      </w:r>
      <w:r w:rsidRPr="00FD50F6">
        <w:rPr>
          <w:rFonts w:hint="eastAsia"/>
        </w:rPr>
        <w:t>以不大于一个规定的速度越过该信号机并随时准备停车。</w:t>
      </w:r>
    </w:p>
    <w:p w14:paraId="325F2240" w14:textId="100D543B" w:rsidR="00A128DD" w:rsidRPr="00FD50F6" w:rsidRDefault="00A128DD" w:rsidP="00010C49">
      <w:pPr>
        <w:pStyle w:val="5"/>
        <w:numPr>
          <w:ilvl w:val="0"/>
          <w:numId w:val="46"/>
        </w:numPr>
        <w:ind w:firstLine="480"/>
      </w:pPr>
      <w:r w:rsidRPr="00FD50F6">
        <w:rPr>
          <w:rFonts w:hint="eastAsia"/>
        </w:rPr>
        <w:t>月白色灯光表示列车</w:t>
      </w:r>
      <w:r>
        <w:rPr>
          <w:rFonts w:hint="eastAsia"/>
        </w:rPr>
        <w:t>应</w:t>
      </w:r>
      <w:r w:rsidRPr="00FD50F6">
        <w:rPr>
          <w:rFonts w:hint="eastAsia"/>
        </w:rPr>
        <w:t>按规定的速度越过该信号机进行调车作业。</w:t>
      </w:r>
    </w:p>
    <w:p w14:paraId="06B1C5EC" w14:textId="426FAD04" w:rsidR="00A128DD" w:rsidRPr="00FD50F6" w:rsidRDefault="00A128DD" w:rsidP="00010C49">
      <w:pPr>
        <w:pStyle w:val="5"/>
        <w:numPr>
          <w:ilvl w:val="0"/>
          <w:numId w:val="46"/>
        </w:numPr>
        <w:ind w:firstLine="480"/>
      </w:pPr>
      <w:r w:rsidRPr="00FD50F6">
        <w:rPr>
          <w:rFonts w:hint="eastAsia"/>
        </w:rPr>
        <w:t>蓝色灯光表示</w:t>
      </w:r>
      <w:r>
        <w:rPr>
          <w:rFonts w:hint="eastAsia"/>
        </w:rPr>
        <w:t>列车不得</w:t>
      </w:r>
      <w:r w:rsidRPr="00FD50F6">
        <w:rPr>
          <w:rFonts w:hint="eastAsia"/>
        </w:rPr>
        <w:t>越过该信号机进行调车作业。</w:t>
      </w:r>
    </w:p>
    <w:p w14:paraId="2A92FF6A" w14:textId="5F720AD2" w:rsidR="001A1CE1" w:rsidRPr="00FD50F6" w:rsidRDefault="00A128DD" w:rsidP="00010C49">
      <w:pPr>
        <w:pStyle w:val="5"/>
        <w:numPr>
          <w:ilvl w:val="0"/>
          <w:numId w:val="46"/>
        </w:numPr>
        <w:ind w:firstLine="480"/>
      </w:pPr>
      <w:r w:rsidRPr="00FD50F6">
        <w:t>信号机</w:t>
      </w:r>
      <w:r>
        <w:rPr>
          <w:rFonts w:hint="eastAsia"/>
        </w:rPr>
        <w:t>应</w:t>
      </w:r>
      <w:r w:rsidRPr="00FD50F6">
        <w:t>以红灯或蓝灯显示为定位。</w:t>
      </w:r>
    </w:p>
    <w:p w14:paraId="31E92B98" w14:textId="028B5205" w:rsidR="00D70A4C" w:rsidRPr="00FD50F6" w:rsidRDefault="00D70A4C">
      <w:pPr>
        <w:widowControl/>
        <w:spacing w:line="240" w:lineRule="auto"/>
        <w:jc w:val="left"/>
      </w:pPr>
      <w:r w:rsidRPr="00FD50F6">
        <w:br w:type="page"/>
      </w:r>
    </w:p>
    <w:p w14:paraId="076720A5" w14:textId="77777777" w:rsidR="0037103A" w:rsidRPr="00FD50F6" w:rsidRDefault="0037103A" w:rsidP="0037103A">
      <w:pPr>
        <w:pStyle w:val="12"/>
      </w:pPr>
      <w:bookmarkStart w:id="786" w:name="_Toc112830784"/>
      <w:bookmarkEnd w:id="761"/>
      <w:bookmarkEnd w:id="762"/>
      <w:bookmarkEnd w:id="763"/>
      <w:r w:rsidRPr="00FD50F6">
        <w:rPr>
          <w:rFonts w:hint="eastAsia"/>
        </w:rPr>
        <w:lastRenderedPageBreak/>
        <w:t>自动售检票系统</w:t>
      </w:r>
      <w:bookmarkEnd w:id="786"/>
    </w:p>
    <w:p w14:paraId="1A5BFC90" w14:textId="77777777" w:rsidR="0037103A" w:rsidRPr="00FD50F6" w:rsidRDefault="0037103A" w:rsidP="00010C49">
      <w:pPr>
        <w:pStyle w:val="2"/>
        <w:numPr>
          <w:ilvl w:val="1"/>
          <w:numId w:val="28"/>
        </w:numPr>
      </w:pPr>
      <w:bookmarkStart w:id="787" w:name="_Toc457937902"/>
      <w:bookmarkStart w:id="788" w:name="_Toc458462929"/>
      <w:bookmarkStart w:id="789" w:name="_Toc458463319"/>
      <w:bookmarkStart w:id="790" w:name="_Toc112830785"/>
      <w:r w:rsidRPr="00FD50F6">
        <w:rPr>
          <w:rFonts w:hint="eastAsia"/>
        </w:rPr>
        <w:t>一般规定</w:t>
      </w:r>
      <w:bookmarkEnd w:id="787"/>
      <w:bookmarkEnd w:id="788"/>
      <w:bookmarkEnd w:id="789"/>
      <w:bookmarkEnd w:id="790"/>
    </w:p>
    <w:p w14:paraId="55F4D0A4" w14:textId="75E5A764" w:rsidR="0037103A" w:rsidRPr="00FD50F6" w:rsidRDefault="0037103A" w:rsidP="0037103A">
      <w:pPr>
        <w:pStyle w:val="30"/>
        <w:rPr>
          <w:lang w:val="zh-CN"/>
        </w:rPr>
      </w:pPr>
      <w:r w:rsidRPr="00FD50F6">
        <w:rPr>
          <w:rFonts w:hint="eastAsia"/>
          <w:lang w:val="zh-CN"/>
        </w:rPr>
        <w:t>地铁应设置自动售检票系统，应实现自动和半自动售票，自动检票、计费、收费、统计和结算。</w:t>
      </w:r>
    </w:p>
    <w:p w14:paraId="2BF5037D" w14:textId="38532496" w:rsidR="0037103A" w:rsidRPr="00FD50F6" w:rsidRDefault="0037103A" w:rsidP="0037103A">
      <w:pPr>
        <w:pStyle w:val="30"/>
        <w:rPr>
          <w:lang w:val="zh-CN"/>
        </w:rPr>
      </w:pPr>
      <w:r w:rsidRPr="00FD50F6">
        <w:rPr>
          <w:rFonts w:hint="eastAsia"/>
          <w:lang w:val="zh-CN"/>
        </w:rPr>
        <w:t>自动售检票系统应根据城市地铁线网建设规模、建设规划及运营组织架构设置不同的架构体系。</w:t>
      </w:r>
    </w:p>
    <w:p w14:paraId="71939911" w14:textId="5D8B9073" w:rsidR="0037103A" w:rsidRPr="00FD50F6" w:rsidRDefault="0037103A" w:rsidP="0037103A">
      <w:pPr>
        <w:pStyle w:val="30"/>
        <w:rPr>
          <w:lang w:val="zh-CN"/>
        </w:rPr>
      </w:pPr>
      <w:r w:rsidRPr="00FD50F6">
        <w:rPr>
          <w:rFonts w:hint="eastAsia"/>
          <w:lang w:val="zh-CN"/>
        </w:rPr>
        <w:t>地铁和城市</w:t>
      </w:r>
      <w:r w:rsidR="006F70EE">
        <w:rPr>
          <w:rFonts w:hint="eastAsia"/>
          <w:lang w:val="zh-CN"/>
        </w:rPr>
        <w:t>其他</w:t>
      </w:r>
      <w:r w:rsidRPr="00FD50F6">
        <w:rPr>
          <w:rFonts w:hint="eastAsia"/>
          <w:lang w:val="zh-CN"/>
        </w:rPr>
        <w:t>轨道交通应联网运行，宜实现乘客在线网内无障碍一票换乘，应满足一卡通在线网内各线路中的应用，应实现不同线路间的互联互通。</w:t>
      </w:r>
    </w:p>
    <w:p w14:paraId="46640607" w14:textId="29E3D1D7" w:rsidR="0037103A" w:rsidRPr="00FD50F6" w:rsidRDefault="0037103A" w:rsidP="0037103A">
      <w:pPr>
        <w:pStyle w:val="30"/>
        <w:rPr>
          <w:lang w:val="zh-CN"/>
        </w:rPr>
      </w:pPr>
      <w:r w:rsidRPr="00FD50F6">
        <w:rPr>
          <w:rFonts w:hint="eastAsia"/>
          <w:lang w:val="zh-CN"/>
        </w:rPr>
        <w:t>自动售检票系统线路中心宜采用合设方式。</w:t>
      </w:r>
    </w:p>
    <w:p w14:paraId="191724B0" w14:textId="7757A335" w:rsidR="0037103A" w:rsidRPr="00FD50F6" w:rsidRDefault="0037103A" w:rsidP="0037103A">
      <w:pPr>
        <w:pStyle w:val="30"/>
      </w:pPr>
      <w:r w:rsidRPr="00FD50F6">
        <w:rPr>
          <w:rFonts w:hint="eastAsia"/>
        </w:rPr>
        <w:t>自动售检票</w:t>
      </w:r>
      <w:r w:rsidRPr="00FD50F6">
        <w:t>系统</w:t>
      </w:r>
      <w:r w:rsidRPr="00FD50F6">
        <w:rPr>
          <w:rFonts w:hint="eastAsia"/>
        </w:rPr>
        <w:t>应结合运营需求及技术发展采用多元化支付手段，应充分利用既有系统资源。</w:t>
      </w:r>
    </w:p>
    <w:p w14:paraId="27E72445" w14:textId="4F108B64" w:rsidR="0037103A" w:rsidRPr="00FD50F6" w:rsidRDefault="0037103A" w:rsidP="0037103A">
      <w:pPr>
        <w:pStyle w:val="30"/>
        <w:rPr>
          <w:lang w:val="zh-CN"/>
        </w:rPr>
      </w:pPr>
      <w:r w:rsidRPr="00FD50F6">
        <w:rPr>
          <w:rFonts w:hint="eastAsia"/>
          <w:lang w:val="zh-CN"/>
        </w:rPr>
        <w:t>自动售检票系统宜按地铁清分系统、线路中心和车站三级管理，应按线路中心、车站和设备三级进行控制。</w:t>
      </w:r>
    </w:p>
    <w:p w14:paraId="6967249C" w14:textId="19309A86" w:rsidR="0037103A" w:rsidRPr="00FD50F6" w:rsidRDefault="0037103A" w:rsidP="0037103A">
      <w:pPr>
        <w:pStyle w:val="30"/>
        <w:rPr>
          <w:lang w:val="zh-CN"/>
        </w:rPr>
      </w:pPr>
      <w:r w:rsidRPr="00FD50F6">
        <w:rPr>
          <w:rFonts w:hint="eastAsia"/>
          <w:lang w:val="zh-CN"/>
        </w:rPr>
        <w:t>自动售检票系统设计能力应满足地铁超高峰小时客流量需要。系统设备应按近期超高峰小时客流量进行配置，并应按远期超高峰小时客流量预留位置和安装条件。</w:t>
      </w:r>
    </w:p>
    <w:p w14:paraId="34F461B2" w14:textId="77777777" w:rsidR="0037103A" w:rsidRPr="00FD50F6" w:rsidRDefault="0037103A" w:rsidP="0037103A">
      <w:pPr>
        <w:pStyle w:val="30"/>
        <w:rPr>
          <w:lang w:val="zh-CN"/>
        </w:rPr>
      </w:pPr>
      <w:r w:rsidRPr="00FD50F6">
        <w:rPr>
          <w:lang w:val="zh-CN"/>
        </w:rPr>
        <w:t>车站控制室应设置紧急控制按钮，并应与火灾自动报警系统实现联动</w:t>
      </w:r>
      <w:r w:rsidRPr="00FD50F6">
        <w:rPr>
          <w:rFonts w:hint="eastAsia"/>
          <w:lang w:val="zh-CN"/>
        </w:rPr>
        <w:t>；</w:t>
      </w:r>
      <w:r w:rsidRPr="00FD50F6">
        <w:rPr>
          <w:lang w:val="zh-CN"/>
        </w:rPr>
        <w:t>当车站处于紧急状态或设备失电时，自动检票机阻挡装置应处于释放状态。</w:t>
      </w:r>
      <w:bookmarkStart w:id="791" w:name="_Hlk15893775"/>
    </w:p>
    <w:bookmarkEnd w:id="791"/>
    <w:p w14:paraId="1E54A828" w14:textId="77777777" w:rsidR="0037103A" w:rsidRPr="00FD50F6" w:rsidRDefault="0037103A" w:rsidP="0037103A">
      <w:pPr>
        <w:pStyle w:val="30"/>
        <w:rPr>
          <w:lang w:val="zh-CN"/>
        </w:rPr>
      </w:pPr>
      <w:r w:rsidRPr="00FD50F6">
        <w:rPr>
          <w:rFonts w:hint="eastAsia"/>
          <w:lang w:val="zh-CN"/>
        </w:rPr>
        <w:t>自动售检票系统设计应满足安全性、可靠性、可扩展性和可维护性的设计原则。</w:t>
      </w:r>
    </w:p>
    <w:p w14:paraId="30C3CCBE" w14:textId="032A5FDC" w:rsidR="0037103A" w:rsidRPr="00FD50F6" w:rsidRDefault="0037103A" w:rsidP="0037103A">
      <w:pPr>
        <w:pStyle w:val="30"/>
        <w:rPr>
          <w:lang w:val="zh-CN"/>
        </w:rPr>
      </w:pPr>
      <w:r w:rsidRPr="00FD50F6">
        <w:rPr>
          <w:rFonts w:hint="eastAsia"/>
          <w:lang w:val="zh-CN"/>
        </w:rPr>
        <w:t>自动售检票系统设备应</w:t>
      </w:r>
      <w:r w:rsidR="00341908">
        <w:rPr>
          <w:rFonts w:hint="eastAsia"/>
          <w:lang w:val="zh-CN"/>
        </w:rPr>
        <w:t>具有</w:t>
      </w:r>
      <w:r w:rsidRPr="00FD50F6">
        <w:rPr>
          <w:rFonts w:hint="eastAsia"/>
          <w:lang w:val="zh-CN"/>
        </w:rPr>
        <w:t>连续</w:t>
      </w:r>
      <w:r w:rsidRPr="00FD50F6">
        <w:rPr>
          <w:lang w:val="zh-CN"/>
        </w:rPr>
        <w:t>24</w:t>
      </w:r>
      <w:r w:rsidRPr="00FD50F6">
        <w:rPr>
          <w:rFonts w:hint="eastAsia"/>
          <w:lang w:val="zh-CN"/>
        </w:rPr>
        <w:t>h</w:t>
      </w:r>
      <w:r w:rsidRPr="00FD50F6">
        <w:rPr>
          <w:rFonts w:hint="eastAsia"/>
          <w:lang w:val="zh-CN"/>
        </w:rPr>
        <w:t>不间断运行和处理</w:t>
      </w:r>
      <w:r w:rsidR="00341908">
        <w:rPr>
          <w:rFonts w:hint="eastAsia"/>
          <w:lang w:val="zh-CN"/>
        </w:rPr>
        <w:t>的</w:t>
      </w:r>
      <w:r w:rsidRPr="00FD50F6">
        <w:rPr>
          <w:rFonts w:hint="eastAsia"/>
          <w:lang w:val="zh-CN"/>
        </w:rPr>
        <w:t>能力。</w:t>
      </w:r>
    </w:p>
    <w:p w14:paraId="62925011" w14:textId="77777777" w:rsidR="0037103A" w:rsidRPr="00FD50F6" w:rsidRDefault="0037103A" w:rsidP="0037103A">
      <w:pPr>
        <w:pStyle w:val="30"/>
        <w:rPr>
          <w:lang w:val="zh-CN"/>
        </w:rPr>
      </w:pPr>
      <w:r w:rsidRPr="00FD50F6">
        <w:rPr>
          <w:lang w:val="zh-CN"/>
        </w:rPr>
        <w:t>自动售检票系统</w:t>
      </w:r>
      <w:r w:rsidRPr="00FD50F6">
        <w:rPr>
          <w:rFonts w:hint="eastAsia"/>
          <w:lang w:val="zh-CN"/>
        </w:rPr>
        <w:t>设备</w:t>
      </w:r>
      <w:r w:rsidRPr="00FD50F6">
        <w:rPr>
          <w:lang w:val="zh-CN"/>
        </w:rPr>
        <w:t>应适应</w:t>
      </w:r>
      <w:r w:rsidRPr="00FD50F6">
        <w:rPr>
          <w:rFonts w:hint="eastAsia"/>
          <w:lang w:val="zh-CN"/>
        </w:rPr>
        <w:t>运行</w:t>
      </w:r>
      <w:r w:rsidRPr="00FD50F6">
        <w:rPr>
          <w:lang w:val="zh-CN"/>
        </w:rPr>
        <w:t>环境的要求</w:t>
      </w:r>
      <w:r w:rsidRPr="00FD50F6">
        <w:rPr>
          <w:rFonts w:hint="eastAsia"/>
          <w:lang w:val="zh-CN"/>
        </w:rPr>
        <w:t>，应具备耐高低温特性，应具备耐阳光直射和空气粉尘影响。</w:t>
      </w:r>
    </w:p>
    <w:p w14:paraId="22167B1D" w14:textId="076DE011" w:rsidR="0037103A" w:rsidRPr="00FD50F6" w:rsidRDefault="0037103A" w:rsidP="0037103A">
      <w:pPr>
        <w:pStyle w:val="30"/>
        <w:rPr>
          <w:lang w:val="zh-CN"/>
        </w:rPr>
      </w:pPr>
      <w:r w:rsidRPr="00FD50F6">
        <w:rPr>
          <w:rFonts w:hint="eastAsia"/>
          <w:lang w:val="zh-CN"/>
        </w:rPr>
        <w:t>自动售票机、半自动售票机及自动检票机等车站终端设备应按工业级标准设计</w:t>
      </w:r>
      <w:r w:rsidRPr="00FD50F6">
        <w:rPr>
          <w:lang w:val="zh-CN"/>
        </w:rPr>
        <w:t>。</w:t>
      </w:r>
    </w:p>
    <w:p w14:paraId="537DC054" w14:textId="77777777" w:rsidR="0037103A" w:rsidRPr="00FD50F6" w:rsidRDefault="0037103A" w:rsidP="0037103A">
      <w:pPr>
        <w:pStyle w:val="30"/>
        <w:rPr>
          <w:lang w:val="zh-CN"/>
        </w:rPr>
      </w:pPr>
      <w:r w:rsidRPr="00FD50F6">
        <w:rPr>
          <w:rFonts w:hint="eastAsia"/>
          <w:lang w:val="zh-CN"/>
        </w:rPr>
        <w:t>自动售检票线网级系统、线路中心级系统计算机信息技术安全的网络安全等级保护应按三级进行设计，线路车站级系统计算机信息技术安全的网络安全等级保护应按二级进行设计。</w:t>
      </w:r>
    </w:p>
    <w:p w14:paraId="1A484A95" w14:textId="79CECC9C" w:rsidR="0037103A" w:rsidRPr="00FD50F6" w:rsidRDefault="0037103A" w:rsidP="0037103A">
      <w:pPr>
        <w:pStyle w:val="30"/>
        <w:rPr>
          <w:lang w:val="zh-CN"/>
        </w:rPr>
      </w:pPr>
      <w:r w:rsidRPr="00FD50F6">
        <w:rPr>
          <w:rFonts w:hint="eastAsia"/>
          <w:lang w:val="zh-CN"/>
        </w:rPr>
        <w:lastRenderedPageBreak/>
        <w:t>自动售检票系统宜能满足智慧地铁的运营需求，可具备智慧客服、智慧运营、智慧运维等功能。</w:t>
      </w:r>
    </w:p>
    <w:p w14:paraId="6261F777" w14:textId="77777777" w:rsidR="0037103A" w:rsidRPr="00FD50F6" w:rsidRDefault="0037103A" w:rsidP="00A65181">
      <w:pPr>
        <w:pStyle w:val="2"/>
      </w:pPr>
      <w:bookmarkStart w:id="792" w:name="_Toc457937903"/>
      <w:bookmarkStart w:id="793" w:name="_Toc458462930"/>
      <w:bookmarkStart w:id="794" w:name="_Toc458463320"/>
      <w:bookmarkStart w:id="795" w:name="_Toc112830786"/>
      <w:r w:rsidRPr="00FD50F6">
        <w:rPr>
          <w:rFonts w:hint="eastAsia"/>
        </w:rPr>
        <w:t>票务管理、运营模式</w:t>
      </w:r>
      <w:bookmarkEnd w:id="792"/>
      <w:bookmarkEnd w:id="793"/>
      <w:bookmarkEnd w:id="794"/>
      <w:r w:rsidRPr="00FD50F6">
        <w:rPr>
          <w:rFonts w:hint="eastAsia"/>
        </w:rPr>
        <w:t>管理</w:t>
      </w:r>
      <w:bookmarkEnd w:id="795"/>
    </w:p>
    <w:p w14:paraId="635F790E" w14:textId="7976F34F" w:rsidR="0037103A" w:rsidRPr="00FD50F6" w:rsidRDefault="0037103A" w:rsidP="0037103A">
      <w:pPr>
        <w:pStyle w:val="30"/>
        <w:rPr>
          <w:lang w:val="zh-CN"/>
        </w:rPr>
      </w:pPr>
      <w:r w:rsidRPr="00FD50F6">
        <w:rPr>
          <w:rFonts w:hint="eastAsia"/>
          <w:lang w:val="zh-CN"/>
        </w:rPr>
        <w:t>地铁自动售检票系统应满足下列票务管理模式：</w:t>
      </w:r>
    </w:p>
    <w:p w14:paraId="60B3EC58" w14:textId="636117AE" w:rsidR="0037103A" w:rsidRPr="00FD50F6" w:rsidRDefault="0037103A" w:rsidP="00A926BD">
      <w:pPr>
        <w:pStyle w:val="4"/>
      </w:pPr>
      <w:r w:rsidRPr="00FD50F6">
        <w:rPr>
          <w:rFonts w:hint="eastAsia"/>
        </w:rPr>
        <w:t>地铁票制可采用计程制、计次制和计时制，应采用全封闭式的票务收费管理模式。</w:t>
      </w:r>
    </w:p>
    <w:p w14:paraId="2A5D0682" w14:textId="55D2C2A8" w:rsidR="0037103A" w:rsidRPr="00FD50F6" w:rsidRDefault="0037103A" w:rsidP="00A926BD">
      <w:pPr>
        <w:pStyle w:val="4"/>
      </w:pPr>
      <w:r w:rsidRPr="00FD50F6">
        <w:rPr>
          <w:rFonts w:hint="eastAsia"/>
        </w:rPr>
        <w:t>地铁自动售检票系统应能接受地铁专用实体车票、城市一卡通实体车票和多元化支付电子车票。</w:t>
      </w:r>
    </w:p>
    <w:p w14:paraId="4DCF6731" w14:textId="7DE356FB" w:rsidR="0037103A" w:rsidRPr="00FD50F6" w:rsidRDefault="0037103A" w:rsidP="00A926BD">
      <w:pPr>
        <w:pStyle w:val="4"/>
      </w:pPr>
      <w:r w:rsidRPr="00FD50F6">
        <w:rPr>
          <w:rFonts w:hint="eastAsia"/>
        </w:rPr>
        <w:t>售票宜采用自动为主、半自动为辅的方式，检票应采用自动方式。</w:t>
      </w:r>
    </w:p>
    <w:p w14:paraId="28B6A4F5" w14:textId="5789F98E" w:rsidR="0037103A" w:rsidRPr="00FD50F6" w:rsidRDefault="0037103A" w:rsidP="00A926BD">
      <w:pPr>
        <w:pStyle w:val="4"/>
      </w:pPr>
      <w:r w:rsidRPr="00FD50F6">
        <w:rPr>
          <w:rFonts w:hint="eastAsia"/>
        </w:rPr>
        <w:t>车票均应进行车票初始化并赋值后才能在系统中流通使用。</w:t>
      </w:r>
    </w:p>
    <w:p w14:paraId="01E322E6" w14:textId="6337AAE1" w:rsidR="0037103A" w:rsidRPr="00FD50F6" w:rsidRDefault="0037103A" w:rsidP="00A926BD">
      <w:pPr>
        <w:pStyle w:val="4"/>
      </w:pPr>
      <w:r w:rsidRPr="00FD50F6">
        <w:rPr>
          <w:rFonts w:hint="eastAsia"/>
        </w:rPr>
        <w:t>地铁专用实体车票应由清分系统发行，城市一卡通实体车票应由一卡通系统发行，多元化支付电子车票应由多元化支付系统发行。</w:t>
      </w:r>
    </w:p>
    <w:p w14:paraId="01BE8782" w14:textId="5AA18E20" w:rsidR="0037103A" w:rsidRPr="00FD50F6" w:rsidRDefault="0037103A" w:rsidP="00A926BD">
      <w:pPr>
        <w:pStyle w:val="4"/>
      </w:pPr>
      <w:r w:rsidRPr="00FD50F6">
        <w:rPr>
          <w:rFonts w:hint="eastAsia"/>
        </w:rPr>
        <w:t>地铁专用实体单程类车票应在自动售票机或半自动售票机上出售，</w:t>
      </w:r>
      <w:r w:rsidR="006F70EE">
        <w:rPr>
          <w:rFonts w:hint="eastAsia"/>
        </w:rPr>
        <w:t>其他</w:t>
      </w:r>
      <w:r w:rsidRPr="00FD50F6">
        <w:rPr>
          <w:rFonts w:hint="eastAsia"/>
        </w:rPr>
        <w:t>实体车票可在半自动售票机或</w:t>
      </w:r>
      <w:r w:rsidR="006F70EE">
        <w:rPr>
          <w:rFonts w:hint="eastAsia"/>
        </w:rPr>
        <w:t>其他</w:t>
      </w:r>
      <w:r w:rsidRPr="00FD50F6">
        <w:rPr>
          <w:rFonts w:hint="eastAsia"/>
        </w:rPr>
        <w:t>售票点发售，实体储值类车票应在半自动售票机或自动售票机上进行充值；电子车票应在多元化支付系统发售及充值。</w:t>
      </w:r>
    </w:p>
    <w:p w14:paraId="05613151" w14:textId="77777777" w:rsidR="0037103A" w:rsidRPr="00FD50F6" w:rsidRDefault="0037103A" w:rsidP="00A926BD">
      <w:pPr>
        <w:pStyle w:val="4"/>
      </w:pPr>
      <w:r w:rsidRPr="00FD50F6">
        <w:rPr>
          <w:rFonts w:hint="eastAsia"/>
        </w:rPr>
        <w:t>单程类车票应由出站检票机回收，回收的车票应在车站内循环使用。</w:t>
      </w:r>
    </w:p>
    <w:p w14:paraId="7CADA58B" w14:textId="4BE1A46C" w:rsidR="0037103A" w:rsidRPr="00FD50F6" w:rsidRDefault="0037103A" w:rsidP="0037103A">
      <w:pPr>
        <w:pStyle w:val="30"/>
        <w:rPr>
          <w:lang w:val="zh-CN"/>
        </w:rPr>
      </w:pPr>
      <w:r w:rsidRPr="00FD50F6">
        <w:rPr>
          <w:rFonts w:hint="eastAsia"/>
          <w:lang w:val="zh-CN"/>
        </w:rPr>
        <w:t>地铁自动售检票系统应实现下列运营模式：</w:t>
      </w:r>
    </w:p>
    <w:p w14:paraId="2CB4B5C1" w14:textId="5BB35F38" w:rsidR="0037103A" w:rsidRPr="00FD50F6" w:rsidRDefault="0037103A" w:rsidP="00A926BD">
      <w:pPr>
        <w:pStyle w:val="4"/>
      </w:pPr>
      <w:r w:rsidRPr="00FD50F6">
        <w:rPr>
          <w:rFonts w:hint="eastAsia"/>
        </w:rPr>
        <w:t>自动售检票</w:t>
      </w:r>
      <w:r w:rsidRPr="00FD50F6">
        <w:t>系统运营模式</w:t>
      </w:r>
      <w:r w:rsidRPr="00FD50F6">
        <w:rPr>
          <w:rFonts w:hint="eastAsia"/>
        </w:rPr>
        <w:t>应</w:t>
      </w:r>
      <w:r w:rsidRPr="00FD50F6">
        <w:t>包括正常运营模式、降级</w:t>
      </w:r>
      <w:r w:rsidRPr="00FD50F6">
        <w:rPr>
          <w:rFonts w:hint="eastAsia"/>
        </w:rPr>
        <w:t>运营</w:t>
      </w:r>
      <w:r w:rsidRPr="00FD50F6">
        <w:t>模式和紧急</w:t>
      </w:r>
      <w:r w:rsidRPr="00FD50F6">
        <w:rPr>
          <w:rFonts w:hint="eastAsia"/>
        </w:rPr>
        <w:t>运营</w:t>
      </w:r>
      <w:r w:rsidRPr="00FD50F6">
        <w:t>模式。</w:t>
      </w:r>
    </w:p>
    <w:p w14:paraId="2BAD7B44" w14:textId="13A24978" w:rsidR="0037103A" w:rsidRPr="00FD50F6" w:rsidRDefault="0037103A" w:rsidP="00A926BD">
      <w:pPr>
        <w:pStyle w:val="4"/>
      </w:pPr>
      <w:r w:rsidRPr="00FD50F6">
        <w:rPr>
          <w:rFonts w:hint="eastAsia"/>
        </w:rPr>
        <w:t>自动售检票系统的构成以及启用、解除、联动规则和流程应符合地铁自动售检票系统运营模式。</w:t>
      </w:r>
    </w:p>
    <w:p w14:paraId="395EA47D" w14:textId="77777777" w:rsidR="0037103A" w:rsidRPr="00FD50F6" w:rsidRDefault="0037103A" w:rsidP="00A65181">
      <w:pPr>
        <w:pStyle w:val="2"/>
      </w:pPr>
      <w:bookmarkStart w:id="796" w:name="_Toc457937904"/>
      <w:bookmarkStart w:id="797" w:name="_Toc458462931"/>
      <w:bookmarkStart w:id="798" w:name="_Toc458463321"/>
      <w:bookmarkStart w:id="799" w:name="_Toc112830787"/>
      <w:r w:rsidRPr="00FD50F6">
        <w:rPr>
          <w:rFonts w:hint="eastAsia"/>
        </w:rPr>
        <w:t>系统构成</w:t>
      </w:r>
      <w:bookmarkEnd w:id="796"/>
      <w:bookmarkEnd w:id="797"/>
      <w:bookmarkEnd w:id="798"/>
      <w:bookmarkEnd w:id="799"/>
    </w:p>
    <w:p w14:paraId="7ED91F81" w14:textId="3864DB56" w:rsidR="0037103A" w:rsidRPr="00FD50F6" w:rsidRDefault="0037103A" w:rsidP="0037103A">
      <w:pPr>
        <w:pStyle w:val="30"/>
        <w:rPr>
          <w:lang w:val="zh-CN"/>
        </w:rPr>
      </w:pPr>
      <w:r w:rsidRPr="00FD50F6">
        <w:rPr>
          <w:rFonts w:hint="eastAsia"/>
          <w:lang w:val="zh-CN"/>
        </w:rPr>
        <w:t>自动售检票系统宜由</w:t>
      </w:r>
      <w:r w:rsidR="002C00FF" w:rsidRPr="00FD50F6">
        <w:rPr>
          <w:rFonts w:hint="eastAsia"/>
        </w:rPr>
        <w:t>自动售检票</w:t>
      </w:r>
      <w:r w:rsidRPr="00FD50F6">
        <w:rPr>
          <w:rFonts w:hint="eastAsia"/>
          <w:lang w:val="zh-CN"/>
        </w:rPr>
        <w:t>清分系统、多元化支付系统、线路中心系统、车站计算系统、车站售检票终端设备、车票和维修中心系统、培训及模拟测试中心系统等构成。</w:t>
      </w:r>
    </w:p>
    <w:p w14:paraId="6A9A9EBB" w14:textId="67571234" w:rsidR="0037103A" w:rsidRPr="00FD50F6" w:rsidRDefault="002C00FF" w:rsidP="0037103A">
      <w:pPr>
        <w:pStyle w:val="30"/>
        <w:rPr>
          <w:lang w:val="zh-CN"/>
        </w:rPr>
      </w:pPr>
      <w:r w:rsidRPr="00FD50F6">
        <w:rPr>
          <w:rFonts w:hint="eastAsia"/>
        </w:rPr>
        <w:t>自动售检票</w:t>
      </w:r>
      <w:r w:rsidR="0037103A" w:rsidRPr="00FD50F6">
        <w:rPr>
          <w:rFonts w:hint="eastAsia"/>
          <w:lang w:val="zh-CN"/>
        </w:rPr>
        <w:t>清分系统宜设置于线网控制中心，应</w:t>
      </w:r>
      <w:r w:rsidR="0037103A" w:rsidRPr="00FD50F6">
        <w:rPr>
          <w:lang w:val="zh-CN"/>
        </w:rPr>
        <w:t>由服务器、存储设备、网络设备</w:t>
      </w:r>
      <w:r w:rsidR="0037103A" w:rsidRPr="00FD50F6">
        <w:rPr>
          <w:rFonts w:hint="eastAsia"/>
          <w:lang w:val="zh-CN"/>
        </w:rPr>
        <w:t>、</w:t>
      </w:r>
      <w:r w:rsidR="0037103A" w:rsidRPr="00FD50F6">
        <w:rPr>
          <w:lang w:val="zh-CN"/>
        </w:rPr>
        <w:t>工作站、编码分拣</w:t>
      </w:r>
      <w:r w:rsidR="0037103A" w:rsidRPr="00FD50F6">
        <w:rPr>
          <w:rFonts w:hint="eastAsia"/>
          <w:lang w:val="zh-CN"/>
        </w:rPr>
        <w:t>机</w:t>
      </w:r>
      <w:r w:rsidR="0037103A" w:rsidRPr="00FD50F6">
        <w:rPr>
          <w:lang w:val="zh-CN"/>
        </w:rPr>
        <w:t>、</w:t>
      </w:r>
      <w:r w:rsidR="0037103A" w:rsidRPr="00FD50F6">
        <w:rPr>
          <w:rFonts w:hint="eastAsia"/>
          <w:lang w:val="zh-CN"/>
        </w:rPr>
        <w:t>个性化车票发行设备、车票清点打包设备、</w:t>
      </w:r>
      <w:r w:rsidR="0037103A" w:rsidRPr="00FD50F6">
        <w:rPr>
          <w:lang w:val="zh-CN"/>
        </w:rPr>
        <w:lastRenderedPageBreak/>
        <w:t>打印机、不间断电源等构成，同时宜根据</w:t>
      </w:r>
      <w:r w:rsidR="0037103A" w:rsidRPr="00FD50F6">
        <w:rPr>
          <w:rFonts w:hint="eastAsia"/>
          <w:lang w:val="zh-CN"/>
        </w:rPr>
        <w:t>需求</w:t>
      </w:r>
      <w:r w:rsidR="0037103A" w:rsidRPr="00FD50F6">
        <w:rPr>
          <w:lang w:val="zh-CN"/>
        </w:rPr>
        <w:t>设置灾备系统。</w:t>
      </w:r>
    </w:p>
    <w:p w14:paraId="48C86A56" w14:textId="051B9A70" w:rsidR="0037103A" w:rsidRPr="00FD50F6" w:rsidRDefault="0037103A" w:rsidP="0037103A">
      <w:pPr>
        <w:pStyle w:val="30"/>
        <w:rPr>
          <w:lang w:val="zh-CN"/>
        </w:rPr>
      </w:pPr>
      <w:r w:rsidRPr="00FD50F6">
        <w:rPr>
          <w:rFonts w:hint="eastAsia"/>
          <w:lang w:val="zh-CN"/>
        </w:rPr>
        <w:t>多元化支付系统宜设置于线网控制中心，应</w:t>
      </w:r>
      <w:r w:rsidRPr="00FD50F6">
        <w:rPr>
          <w:lang w:val="zh-CN"/>
        </w:rPr>
        <w:t>由服务器、存储设备、网络设备</w:t>
      </w:r>
      <w:r w:rsidRPr="00FD50F6">
        <w:rPr>
          <w:rFonts w:hint="eastAsia"/>
          <w:lang w:val="zh-CN"/>
        </w:rPr>
        <w:t>、</w:t>
      </w:r>
      <w:r w:rsidRPr="00FD50F6">
        <w:rPr>
          <w:lang w:val="zh-CN"/>
        </w:rPr>
        <w:t>工作站、打印机、不间断电源等构成，同时宜根据</w:t>
      </w:r>
      <w:r w:rsidRPr="00FD50F6">
        <w:rPr>
          <w:rFonts w:hint="eastAsia"/>
          <w:lang w:val="zh-CN"/>
        </w:rPr>
        <w:t>需求</w:t>
      </w:r>
      <w:r w:rsidRPr="00FD50F6">
        <w:rPr>
          <w:lang w:val="zh-CN"/>
        </w:rPr>
        <w:t>设置灾备系统。</w:t>
      </w:r>
    </w:p>
    <w:p w14:paraId="4BA44F7D" w14:textId="1CA3890C" w:rsidR="0037103A" w:rsidRPr="00FD50F6" w:rsidRDefault="0037103A" w:rsidP="0037103A">
      <w:pPr>
        <w:pStyle w:val="30"/>
        <w:rPr>
          <w:lang w:val="zh-CN"/>
        </w:rPr>
      </w:pPr>
      <w:r w:rsidRPr="00FD50F6">
        <w:rPr>
          <w:rFonts w:hint="eastAsia"/>
          <w:lang w:val="zh-CN"/>
        </w:rPr>
        <w:t>线路中心系统宜设置于控制中心，应</w:t>
      </w:r>
      <w:r w:rsidRPr="00FD50F6">
        <w:rPr>
          <w:lang w:val="zh-CN"/>
        </w:rPr>
        <w:t>由服务器、存储设备、网络设备</w:t>
      </w:r>
      <w:r w:rsidRPr="00FD50F6">
        <w:rPr>
          <w:rFonts w:hint="eastAsia"/>
          <w:lang w:val="zh-CN"/>
        </w:rPr>
        <w:t>、</w:t>
      </w:r>
      <w:r w:rsidRPr="00FD50F6">
        <w:rPr>
          <w:lang w:val="zh-CN"/>
        </w:rPr>
        <w:t>工作站、打印机和</w:t>
      </w:r>
      <w:r w:rsidRPr="00FD50F6">
        <w:rPr>
          <w:rFonts w:hint="eastAsia"/>
          <w:lang w:val="zh-CN"/>
        </w:rPr>
        <w:t>配电设备</w:t>
      </w:r>
      <w:r w:rsidRPr="00FD50F6">
        <w:rPr>
          <w:lang w:val="zh-CN"/>
        </w:rPr>
        <w:t>等构成。</w:t>
      </w:r>
    </w:p>
    <w:p w14:paraId="798A5DFA" w14:textId="07E49FC0" w:rsidR="0037103A" w:rsidRPr="00FD50F6" w:rsidRDefault="0037103A" w:rsidP="0037103A">
      <w:pPr>
        <w:pStyle w:val="30"/>
        <w:rPr>
          <w:lang w:val="zh-CN"/>
        </w:rPr>
      </w:pPr>
      <w:r w:rsidRPr="00FD50F6">
        <w:rPr>
          <w:rFonts w:hint="eastAsia"/>
          <w:lang w:val="zh-CN"/>
        </w:rPr>
        <w:t>维修中心系统应包括维修中心系统和维修工区系统，应由服务器、工作站、打印设备、维修工具和仪器仪表等构成。</w:t>
      </w:r>
    </w:p>
    <w:p w14:paraId="4C442B6B" w14:textId="3FE618E3" w:rsidR="0037103A" w:rsidRPr="00FD50F6" w:rsidRDefault="0037103A" w:rsidP="0037103A">
      <w:pPr>
        <w:pStyle w:val="30"/>
        <w:rPr>
          <w:lang w:val="zh-CN"/>
        </w:rPr>
      </w:pPr>
      <w:r w:rsidRPr="00FD50F6">
        <w:rPr>
          <w:rFonts w:hint="eastAsia"/>
          <w:lang w:val="zh-CN"/>
        </w:rPr>
        <w:t>培训及模拟测试中心系统应包括培训系统和模拟测试系统，应由模拟</w:t>
      </w:r>
      <w:r w:rsidR="002C00FF" w:rsidRPr="00FD50F6">
        <w:rPr>
          <w:rFonts w:hint="eastAsia"/>
        </w:rPr>
        <w:t>自动售检票</w:t>
      </w:r>
      <w:r w:rsidRPr="00FD50F6">
        <w:rPr>
          <w:rFonts w:hint="eastAsia"/>
          <w:lang w:val="zh-CN"/>
        </w:rPr>
        <w:t>清分系统、模拟多元化支付系统、模拟线路中心系统、模拟车站计算机系统、车站售检票终端设备、工作站和打印机设备等构成。</w:t>
      </w:r>
    </w:p>
    <w:p w14:paraId="6E427B6A" w14:textId="627FAB00" w:rsidR="0037103A" w:rsidRPr="00FD50F6" w:rsidRDefault="0037103A" w:rsidP="0037103A">
      <w:pPr>
        <w:pStyle w:val="30"/>
        <w:rPr>
          <w:lang w:val="zh-CN"/>
        </w:rPr>
      </w:pPr>
      <w:r w:rsidRPr="00FD50F6">
        <w:rPr>
          <w:rFonts w:hint="eastAsia"/>
          <w:lang w:val="zh-CN"/>
        </w:rPr>
        <w:t>车站计算系统应包括车站运营系统和车站票务系统，应由服务器、工作站、车票清点设备、钱币清点设备、紧急按钮控制装置、网络设备和打印设备等构成。</w:t>
      </w:r>
    </w:p>
    <w:p w14:paraId="07857FA8" w14:textId="77777777" w:rsidR="0037103A" w:rsidRPr="00FD50F6" w:rsidRDefault="0037103A" w:rsidP="0037103A">
      <w:pPr>
        <w:pStyle w:val="30"/>
        <w:rPr>
          <w:lang w:val="zh-CN"/>
        </w:rPr>
      </w:pPr>
      <w:r w:rsidRPr="00FD50F6">
        <w:rPr>
          <w:rFonts w:hint="eastAsia"/>
          <w:lang w:val="zh-CN"/>
        </w:rPr>
        <w:t>车站售检票终端设备宜由自动售票机、半自动售票机、自动检票机、自动充值机、自动验票机和便携式检验票机等构成。</w:t>
      </w:r>
    </w:p>
    <w:p w14:paraId="277F041C" w14:textId="77777777" w:rsidR="0037103A" w:rsidRPr="00FD50F6" w:rsidRDefault="0037103A" w:rsidP="0037103A">
      <w:pPr>
        <w:pStyle w:val="30"/>
        <w:rPr>
          <w:lang w:val="zh-CN"/>
        </w:rPr>
      </w:pPr>
      <w:r w:rsidRPr="00FD50F6">
        <w:rPr>
          <w:rFonts w:hint="eastAsia"/>
          <w:lang w:val="zh-CN"/>
        </w:rPr>
        <w:t>车票处理单元应包括读写器、二维码扫描模块、生物特征</w:t>
      </w:r>
      <w:r w:rsidRPr="00FD50F6">
        <w:rPr>
          <w:lang w:val="zh-CN"/>
        </w:rPr>
        <w:t>识别模块</w:t>
      </w:r>
      <w:r w:rsidRPr="00FD50F6">
        <w:rPr>
          <w:rFonts w:hint="eastAsia"/>
          <w:lang w:val="zh-CN"/>
        </w:rPr>
        <w:t>和车票交易处理软件。</w:t>
      </w:r>
    </w:p>
    <w:p w14:paraId="4ECD62DD" w14:textId="77777777" w:rsidR="0037103A" w:rsidRPr="00FD50F6" w:rsidRDefault="0037103A" w:rsidP="0037103A">
      <w:pPr>
        <w:pStyle w:val="30"/>
        <w:rPr>
          <w:lang w:val="zh-CN"/>
        </w:rPr>
      </w:pPr>
      <w:r w:rsidRPr="00FD50F6">
        <w:rPr>
          <w:rFonts w:hint="eastAsia"/>
          <w:lang w:val="zh-CN"/>
        </w:rPr>
        <w:t>车票应包括非回收类实体车票、回收类实体车票和电子车票等。</w:t>
      </w:r>
    </w:p>
    <w:p w14:paraId="38569712" w14:textId="77777777" w:rsidR="0037103A" w:rsidRPr="00FD50F6" w:rsidRDefault="0037103A" w:rsidP="00A65181">
      <w:pPr>
        <w:pStyle w:val="2"/>
      </w:pPr>
      <w:bookmarkStart w:id="800" w:name="_Toc457937905"/>
      <w:bookmarkStart w:id="801" w:name="_Toc458462932"/>
      <w:bookmarkStart w:id="802" w:name="_Toc458463322"/>
      <w:bookmarkStart w:id="803" w:name="_Toc112830788"/>
      <w:r w:rsidRPr="00FD50F6">
        <w:rPr>
          <w:rFonts w:hint="eastAsia"/>
        </w:rPr>
        <w:t>系统功能</w:t>
      </w:r>
      <w:bookmarkEnd w:id="800"/>
      <w:bookmarkEnd w:id="801"/>
      <w:bookmarkEnd w:id="802"/>
      <w:bookmarkEnd w:id="803"/>
    </w:p>
    <w:p w14:paraId="6CEE5EC2" w14:textId="3184F505" w:rsidR="0037103A" w:rsidRPr="00FD50F6" w:rsidRDefault="002C00FF" w:rsidP="0037103A">
      <w:pPr>
        <w:pStyle w:val="30"/>
        <w:rPr>
          <w:lang w:val="zh-CN"/>
        </w:rPr>
      </w:pPr>
      <w:r w:rsidRPr="00FD50F6">
        <w:rPr>
          <w:rFonts w:hint="eastAsia"/>
        </w:rPr>
        <w:t>自动售检票</w:t>
      </w:r>
      <w:r w:rsidR="0037103A" w:rsidRPr="00FD50F6">
        <w:rPr>
          <w:rFonts w:hint="eastAsia"/>
          <w:lang w:val="zh-CN"/>
        </w:rPr>
        <w:t>清分</w:t>
      </w:r>
      <w:r w:rsidR="0037103A" w:rsidRPr="00FD50F6">
        <w:rPr>
          <w:lang w:val="zh-CN"/>
        </w:rPr>
        <w:t>系统应具备下列主要功能：</w:t>
      </w:r>
    </w:p>
    <w:p w14:paraId="0FB634C9" w14:textId="77777777" w:rsidR="0037103A" w:rsidRPr="00FD50F6" w:rsidRDefault="0037103A" w:rsidP="00A926BD">
      <w:pPr>
        <w:pStyle w:val="4"/>
      </w:pPr>
      <w:bookmarkStart w:id="804" w:name="_Toc306206782"/>
      <w:r w:rsidRPr="00FD50F6">
        <w:rPr>
          <w:rFonts w:hint="eastAsia"/>
        </w:rPr>
        <w:t>负责地铁一票通、一卡通的运行管理；</w:t>
      </w:r>
    </w:p>
    <w:p w14:paraId="5C13C3AE" w14:textId="77777777" w:rsidR="0037103A" w:rsidRPr="00FD50F6" w:rsidRDefault="0037103A" w:rsidP="00A926BD">
      <w:pPr>
        <w:pStyle w:val="4"/>
      </w:pPr>
      <w:r w:rsidRPr="00FD50F6">
        <w:rPr>
          <w:rFonts w:hint="eastAsia"/>
        </w:rPr>
        <w:t>负责地铁与城市一卡通系统、多元化支付系统的清算对帐及地铁各线路间的清分对帐；</w:t>
      </w:r>
    </w:p>
    <w:p w14:paraId="7D46E10B" w14:textId="77777777" w:rsidR="0037103A" w:rsidRPr="00FD50F6" w:rsidRDefault="0037103A" w:rsidP="00A926BD">
      <w:pPr>
        <w:pStyle w:val="4"/>
      </w:pPr>
      <w:r w:rsidRPr="00FD50F6">
        <w:rPr>
          <w:rFonts w:hint="eastAsia"/>
        </w:rPr>
        <w:t>票务中心负责地铁各线路统一的车票处理、票务管理、车票调配及车票跟踪；</w:t>
      </w:r>
    </w:p>
    <w:p w14:paraId="23346659" w14:textId="77777777" w:rsidR="0037103A" w:rsidRPr="00FD50F6" w:rsidRDefault="0037103A" w:rsidP="00A926BD">
      <w:pPr>
        <w:pStyle w:val="4"/>
      </w:pPr>
      <w:r w:rsidRPr="00FD50F6">
        <w:rPr>
          <w:rFonts w:hint="eastAsia"/>
        </w:rPr>
        <w:t>设置并下载票价表、费率表、车票种类、运营模式、联乘优惠率等参数；</w:t>
      </w:r>
    </w:p>
    <w:p w14:paraId="2C4727D8" w14:textId="54B880F4" w:rsidR="0037103A" w:rsidRPr="00FD50F6" w:rsidRDefault="0037103A" w:rsidP="00A926BD">
      <w:pPr>
        <w:pStyle w:val="4"/>
      </w:pPr>
      <w:r w:rsidRPr="00FD50F6">
        <w:rPr>
          <w:rFonts w:hint="eastAsia"/>
        </w:rPr>
        <w:t>实现</w:t>
      </w:r>
      <w:r w:rsidR="002C00FF" w:rsidRPr="00FD50F6">
        <w:rPr>
          <w:rFonts w:hint="eastAsia"/>
        </w:rPr>
        <w:t>自动售检票</w:t>
      </w:r>
      <w:r w:rsidRPr="00FD50F6">
        <w:rPr>
          <w:rFonts w:hint="eastAsia"/>
        </w:rPr>
        <w:t>清分系统内部及接入系统间的网络管理；</w:t>
      </w:r>
    </w:p>
    <w:p w14:paraId="40D05632" w14:textId="342CE5EA" w:rsidR="0037103A" w:rsidRPr="00FD50F6" w:rsidRDefault="0037103A" w:rsidP="00A926BD">
      <w:pPr>
        <w:pStyle w:val="4"/>
      </w:pPr>
      <w:r w:rsidRPr="00FD50F6">
        <w:rPr>
          <w:rFonts w:hint="eastAsia"/>
        </w:rPr>
        <w:t>提供与多元化支付系统、线路中心系统、城市一卡通系统及</w:t>
      </w:r>
      <w:r w:rsidR="006F70EE">
        <w:rPr>
          <w:rFonts w:hint="eastAsia"/>
        </w:rPr>
        <w:t>其他</w:t>
      </w:r>
      <w:r w:rsidRPr="00FD50F6">
        <w:rPr>
          <w:rFonts w:hint="eastAsia"/>
        </w:rPr>
        <w:t>系统相连</w:t>
      </w:r>
      <w:r w:rsidRPr="00FD50F6">
        <w:rPr>
          <w:rFonts w:hint="eastAsia"/>
        </w:rPr>
        <w:lastRenderedPageBreak/>
        <w:t>的接口；</w:t>
      </w:r>
    </w:p>
    <w:p w14:paraId="13879602" w14:textId="77777777" w:rsidR="0037103A" w:rsidRPr="00FD50F6" w:rsidRDefault="0037103A" w:rsidP="00A926BD">
      <w:pPr>
        <w:pStyle w:val="4"/>
      </w:pPr>
      <w:r w:rsidRPr="00FD50F6">
        <w:rPr>
          <w:rFonts w:hint="eastAsia"/>
        </w:rPr>
        <w:t>提供系统标准时钟；</w:t>
      </w:r>
    </w:p>
    <w:p w14:paraId="53927609" w14:textId="77777777" w:rsidR="0037103A" w:rsidRPr="00FD50F6" w:rsidRDefault="0037103A" w:rsidP="00A926BD">
      <w:pPr>
        <w:pStyle w:val="4"/>
      </w:pPr>
      <w:r w:rsidRPr="00FD50F6">
        <w:rPr>
          <w:rFonts w:hint="eastAsia"/>
        </w:rPr>
        <w:t>接收、生成、上传、下载黑名单；</w:t>
      </w:r>
    </w:p>
    <w:p w14:paraId="34C710A9" w14:textId="043C59C3" w:rsidR="0037103A" w:rsidRPr="00FD50F6" w:rsidRDefault="0037103A" w:rsidP="00A926BD">
      <w:pPr>
        <w:pStyle w:val="4"/>
      </w:pPr>
      <w:r w:rsidRPr="00FD50F6">
        <w:rPr>
          <w:rFonts w:hint="eastAsia"/>
        </w:rPr>
        <w:t>建立安全密钥体系，产生系统密钥，进行密钥管理；</w:t>
      </w:r>
    </w:p>
    <w:p w14:paraId="53D6F19E" w14:textId="77777777" w:rsidR="0037103A" w:rsidRPr="00FD50F6" w:rsidRDefault="0037103A" w:rsidP="00A926BD">
      <w:pPr>
        <w:pStyle w:val="4"/>
      </w:pPr>
      <w:r w:rsidRPr="00FD50F6">
        <w:rPr>
          <w:rFonts w:hint="eastAsia"/>
        </w:rPr>
        <w:t>发行系统内使用的</w:t>
      </w:r>
      <w:r w:rsidRPr="00FD50F6">
        <w:rPr>
          <w:rFonts w:hint="eastAsia"/>
        </w:rPr>
        <w:t>SAM</w:t>
      </w:r>
      <w:r w:rsidRPr="00FD50F6">
        <w:rPr>
          <w:rFonts w:hint="eastAsia"/>
        </w:rPr>
        <w:t>卡，完成交易数据</w:t>
      </w:r>
      <w:r w:rsidRPr="00FD50F6">
        <w:rPr>
          <w:rFonts w:hint="eastAsia"/>
        </w:rPr>
        <w:t>TAC</w:t>
      </w:r>
      <w:r w:rsidRPr="00FD50F6">
        <w:rPr>
          <w:rFonts w:hint="eastAsia"/>
        </w:rPr>
        <w:t>码认证；</w:t>
      </w:r>
    </w:p>
    <w:p w14:paraId="78002C83" w14:textId="77777777" w:rsidR="0037103A" w:rsidRPr="00FD50F6" w:rsidRDefault="0037103A" w:rsidP="00A926BD">
      <w:pPr>
        <w:pStyle w:val="4"/>
      </w:pPr>
      <w:r w:rsidRPr="00FD50F6">
        <w:rPr>
          <w:rFonts w:hint="eastAsia"/>
        </w:rPr>
        <w:t>入网设备注册、认证及授权；</w:t>
      </w:r>
    </w:p>
    <w:p w14:paraId="39B88FEE" w14:textId="4537FD10" w:rsidR="0037103A" w:rsidRPr="00FD50F6" w:rsidRDefault="0037103A" w:rsidP="00A926BD">
      <w:pPr>
        <w:pStyle w:val="4"/>
      </w:pPr>
      <w:r w:rsidRPr="00FD50F6">
        <w:rPr>
          <w:rFonts w:hint="eastAsia"/>
        </w:rPr>
        <w:t>对外信息服务，实现地铁多元化支付系统、各线路中心系统有效接入</w:t>
      </w:r>
      <w:r w:rsidR="002C00FF" w:rsidRPr="00FD50F6">
        <w:rPr>
          <w:rFonts w:hint="eastAsia"/>
        </w:rPr>
        <w:t>自动售检票</w:t>
      </w:r>
      <w:r w:rsidRPr="00FD50F6">
        <w:rPr>
          <w:rFonts w:hint="eastAsia"/>
        </w:rPr>
        <w:t>清分系统；</w:t>
      </w:r>
    </w:p>
    <w:p w14:paraId="78767E7D" w14:textId="77777777" w:rsidR="0037103A" w:rsidRPr="00FD50F6" w:rsidRDefault="0037103A" w:rsidP="00A926BD">
      <w:pPr>
        <w:pStyle w:val="4"/>
      </w:pPr>
      <w:bookmarkStart w:id="805" w:name="_Toc306206790"/>
      <w:bookmarkEnd w:id="804"/>
      <w:r w:rsidRPr="00FD50F6">
        <w:rPr>
          <w:rFonts w:hint="eastAsia"/>
        </w:rPr>
        <w:t>设置</w:t>
      </w:r>
      <w:r w:rsidRPr="00FD50F6">
        <w:t>灾备系统</w:t>
      </w:r>
      <w:r w:rsidRPr="00FD50F6">
        <w:rPr>
          <w:rFonts w:hint="eastAsia"/>
        </w:rPr>
        <w:t>，</w:t>
      </w:r>
      <w:r w:rsidRPr="00FD50F6">
        <w:t>具备异地备份功能。</w:t>
      </w:r>
      <w:bookmarkEnd w:id="805"/>
    </w:p>
    <w:p w14:paraId="74DF8A3A" w14:textId="77777777" w:rsidR="0037103A" w:rsidRPr="00FD50F6" w:rsidRDefault="0037103A" w:rsidP="0037103A">
      <w:pPr>
        <w:pStyle w:val="30"/>
        <w:rPr>
          <w:lang w:val="zh-CN"/>
        </w:rPr>
      </w:pPr>
      <w:r w:rsidRPr="00FD50F6">
        <w:rPr>
          <w:rFonts w:hint="eastAsia"/>
          <w:lang w:val="zh-CN"/>
        </w:rPr>
        <w:t>多元化支付系统</w:t>
      </w:r>
      <w:r w:rsidRPr="00FD50F6">
        <w:rPr>
          <w:lang w:val="zh-CN"/>
        </w:rPr>
        <w:t>应具备下列主要功能：</w:t>
      </w:r>
    </w:p>
    <w:p w14:paraId="3EC6C6FC" w14:textId="77777777" w:rsidR="0037103A" w:rsidRPr="00FD50F6" w:rsidRDefault="0037103A" w:rsidP="00A926BD">
      <w:pPr>
        <w:pStyle w:val="4"/>
      </w:pPr>
      <w:r w:rsidRPr="00FD50F6">
        <w:rPr>
          <w:rFonts w:hint="eastAsia"/>
        </w:rPr>
        <w:t>进行</w:t>
      </w:r>
      <w:r w:rsidRPr="00FD50F6">
        <w:t>互联网票务业务的处理</w:t>
      </w:r>
      <w:r w:rsidRPr="00FD50F6">
        <w:rPr>
          <w:rFonts w:hint="eastAsia"/>
        </w:rPr>
        <w:t>；</w:t>
      </w:r>
    </w:p>
    <w:p w14:paraId="6ACC8B62" w14:textId="77777777" w:rsidR="0037103A" w:rsidRPr="00FD50F6" w:rsidRDefault="0037103A" w:rsidP="00A926BD">
      <w:pPr>
        <w:pStyle w:val="4"/>
      </w:pPr>
      <w:r w:rsidRPr="00FD50F6">
        <w:t>管理支付订单和支付相关的业务；</w:t>
      </w:r>
    </w:p>
    <w:p w14:paraId="440C26A3" w14:textId="77777777" w:rsidR="0037103A" w:rsidRPr="00FD50F6" w:rsidRDefault="0037103A" w:rsidP="00A926BD">
      <w:pPr>
        <w:pStyle w:val="4"/>
      </w:pPr>
      <w:r w:rsidRPr="00FD50F6">
        <w:rPr>
          <w:rFonts w:hint="eastAsia"/>
        </w:rPr>
        <w:t>实现</w:t>
      </w:r>
      <w:r w:rsidRPr="00FD50F6">
        <w:t>与</w:t>
      </w:r>
      <w:r w:rsidRPr="00FD50F6">
        <w:t>ACC</w:t>
      </w:r>
      <w:r w:rsidRPr="00FD50F6">
        <w:t>、与第三方支付</w:t>
      </w:r>
      <w:r w:rsidRPr="00FD50F6">
        <w:rPr>
          <w:rFonts w:hint="eastAsia"/>
        </w:rPr>
        <w:t>系统</w:t>
      </w:r>
      <w:r w:rsidRPr="00FD50F6">
        <w:t>清算和对账</w:t>
      </w:r>
      <w:r w:rsidRPr="00FD50F6">
        <w:rPr>
          <w:rFonts w:hint="eastAsia"/>
        </w:rPr>
        <w:t>；</w:t>
      </w:r>
    </w:p>
    <w:p w14:paraId="213314C2" w14:textId="77777777" w:rsidR="0037103A" w:rsidRPr="00FD50F6" w:rsidRDefault="0037103A" w:rsidP="00A926BD">
      <w:pPr>
        <w:pStyle w:val="4"/>
      </w:pPr>
      <w:r w:rsidRPr="00FD50F6">
        <w:t>管理</w:t>
      </w:r>
      <w:r w:rsidRPr="00FD50F6">
        <w:rPr>
          <w:rFonts w:hint="eastAsia"/>
        </w:rPr>
        <w:t>支付</w:t>
      </w:r>
      <w:r w:rsidRPr="00FD50F6">
        <w:t>平台互联网用户</w:t>
      </w:r>
      <w:r w:rsidRPr="00FD50F6">
        <w:rPr>
          <w:rFonts w:hint="eastAsia"/>
        </w:rPr>
        <w:t>；</w:t>
      </w:r>
    </w:p>
    <w:p w14:paraId="3FB00C47" w14:textId="77777777" w:rsidR="0037103A" w:rsidRPr="00FD50F6" w:rsidRDefault="0037103A" w:rsidP="00A926BD">
      <w:pPr>
        <w:pStyle w:val="4"/>
      </w:pPr>
      <w:r w:rsidRPr="00FD50F6">
        <w:rPr>
          <w:rFonts w:hint="eastAsia"/>
        </w:rPr>
        <w:t>实现数据审核、数据备份及恢复功能；</w:t>
      </w:r>
    </w:p>
    <w:p w14:paraId="5FD3C34D" w14:textId="77777777" w:rsidR="0037103A" w:rsidRPr="00FD50F6" w:rsidRDefault="0037103A" w:rsidP="00A926BD">
      <w:pPr>
        <w:pStyle w:val="4"/>
      </w:pPr>
      <w:r w:rsidRPr="00FD50F6">
        <w:rPr>
          <w:rFonts w:hint="eastAsia"/>
        </w:rPr>
        <w:t>接收时钟信号完成时钟同步；</w:t>
      </w:r>
    </w:p>
    <w:p w14:paraId="59F85410" w14:textId="77777777" w:rsidR="0037103A" w:rsidRPr="00FD50F6" w:rsidRDefault="0037103A" w:rsidP="00A926BD">
      <w:pPr>
        <w:pStyle w:val="4"/>
      </w:pPr>
      <w:r w:rsidRPr="00FD50F6">
        <w:rPr>
          <w:rFonts w:hint="eastAsia"/>
        </w:rPr>
        <w:t>接收、生成、上传、下载黑名单；</w:t>
      </w:r>
    </w:p>
    <w:p w14:paraId="26BDC3A7" w14:textId="1F4318AE" w:rsidR="0037103A" w:rsidRPr="00FD50F6" w:rsidRDefault="0037103A" w:rsidP="00A926BD">
      <w:pPr>
        <w:pStyle w:val="4"/>
      </w:pPr>
      <w:r w:rsidRPr="00FD50F6">
        <w:rPr>
          <w:rFonts w:hint="eastAsia"/>
        </w:rPr>
        <w:t>建立安全密钥体系，生成系统密钥，进行密钥管理；</w:t>
      </w:r>
    </w:p>
    <w:p w14:paraId="5907AF57" w14:textId="77777777" w:rsidR="0037103A" w:rsidRPr="00FD50F6" w:rsidRDefault="0037103A" w:rsidP="00A926BD">
      <w:pPr>
        <w:pStyle w:val="4"/>
      </w:pPr>
      <w:r w:rsidRPr="00FD50F6">
        <w:rPr>
          <w:rFonts w:hint="eastAsia"/>
        </w:rPr>
        <w:t>入网设备注册、认证及授权管理；</w:t>
      </w:r>
    </w:p>
    <w:p w14:paraId="16DE75FF" w14:textId="77777777" w:rsidR="0037103A" w:rsidRPr="00FD50F6" w:rsidRDefault="0037103A" w:rsidP="00A926BD">
      <w:pPr>
        <w:pStyle w:val="4"/>
      </w:pPr>
      <w:r w:rsidRPr="00FD50F6">
        <w:rPr>
          <w:rFonts w:hint="eastAsia"/>
        </w:rPr>
        <w:t>设置</w:t>
      </w:r>
      <w:r w:rsidRPr="00FD50F6">
        <w:t>灾备系统</w:t>
      </w:r>
      <w:r w:rsidRPr="00FD50F6">
        <w:rPr>
          <w:rFonts w:hint="eastAsia"/>
        </w:rPr>
        <w:t>，</w:t>
      </w:r>
      <w:r w:rsidRPr="00FD50F6">
        <w:t>具备异地备份功能。</w:t>
      </w:r>
    </w:p>
    <w:p w14:paraId="6F6185DC" w14:textId="77777777" w:rsidR="0037103A" w:rsidRPr="00FD50F6" w:rsidRDefault="0037103A" w:rsidP="0037103A">
      <w:pPr>
        <w:pStyle w:val="30"/>
        <w:rPr>
          <w:lang w:val="zh-CN"/>
        </w:rPr>
      </w:pPr>
      <w:r w:rsidRPr="00FD50F6">
        <w:rPr>
          <w:rFonts w:hint="eastAsia"/>
          <w:lang w:val="zh-CN"/>
        </w:rPr>
        <w:t>线路中心</w:t>
      </w:r>
      <w:r w:rsidRPr="00FD50F6">
        <w:rPr>
          <w:lang w:val="zh-CN"/>
        </w:rPr>
        <w:t>系统应具备下列主要功能：</w:t>
      </w:r>
    </w:p>
    <w:p w14:paraId="0B593B0B" w14:textId="77777777" w:rsidR="0037103A" w:rsidRPr="00FD50F6" w:rsidRDefault="0037103A" w:rsidP="00A926BD">
      <w:pPr>
        <w:pStyle w:val="4"/>
      </w:pPr>
      <w:r w:rsidRPr="00FD50F6">
        <w:rPr>
          <w:rFonts w:hint="eastAsia"/>
        </w:rPr>
        <w:t>当通信故障等必须由线路独立运行时，线路中心系统应具备独立管理所辖线路自动售检票系统运行的功能；</w:t>
      </w:r>
    </w:p>
    <w:p w14:paraId="793ABAAF" w14:textId="0FF42249" w:rsidR="0037103A" w:rsidRPr="00FD50F6" w:rsidRDefault="0037103A" w:rsidP="00A926BD">
      <w:pPr>
        <w:pStyle w:val="4"/>
      </w:pPr>
      <w:r w:rsidRPr="00FD50F6">
        <w:rPr>
          <w:rFonts w:hint="eastAsia"/>
        </w:rPr>
        <w:t>实现与地铁</w:t>
      </w:r>
      <w:r w:rsidR="002C00FF" w:rsidRPr="00FD50F6">
        <w:rPr>
          <w:rFonts w:hint="eastAsia"/>
        </w:rPr>
        <w:t>自动售检票</w:t>
      </w:r>
      <w:r w:rsidRPr="00FD50F6">
        <w:rPr>
          <w:rFonts w:hint="eastAsia"/>
        </w:rPr>
        <w:t>清分系统清算、对帐；</w:t>
      </w:r>
    </w:p>
    <w:p w14:paraId="5D18B36C" w14:textId="77777777" w:rsidR="0037103A" w:rsidRPr="00FD50F6" w:rsidRDefault="0037103A" w:rsidP="00A926BD">
      <w:pPr>
        <w:pStyle w:val="4"/>
      </w:pPr>
      <w:r w:rsidRPr="00FD50F6">
        <w:rPr>
          <w:rFonts w:hint="eastAsia"/>
        </w:rPr>
        <w:t>监视线路系统运行状态，包括设备、网络、数据传输，收集、统计、分析、查询运营数据，实现线路内运营、票务、收益和维修的管理；</w:t>
      </w:r>
    </w:p>
    <w:p w14:paraId="17A82D26" w14:textId="77777777" w:rsidR="0037103A" w:rsidRPr="00FD50F6" w:rsidRDefault="0037103A" w:rsidP="00A926BD">
      <w:pPr>
        <w:pStyle w:val="4"/>
      </w:pPr>
      <w:r w:rsidRPr="00FD50F6">
        <w:rPr>
          <w:rFonts w:hint="eastAsia"/>
        </w:rPr>
        <w:t>对</w:t>
      </w:r>
      <w:r w:rsidRPr="00FD50F6">
        <w:t xml:space="preserve">SAM </w:t>
      </w:r>
      <w:r w:rsidRPr="00FD50F6">
        <w:rPr>
          <w:rFonts w:hint="eastAsia"/>
        </w:rPr>
        <w:t>卡进行监控、管理；</w:t>
      </w:r>
    </w:p>
    <w:p w14:paraId="29D8C866" w14:textId="23D40B56" w:rsidR="0037103A" w:rsidRPr="00FD50F6" w:rsidRDefault="0037103A" w:rsidP="00A926BD">
      <w:pPr>
        <w:pStyle w:val="4"/>
      </w:pPr>
      <w:r w:rsidRPr="00FD50F6">
        <w:rPr>
          <w:rFonts w:hint="eastAsia"/>
        </w:rPr>
        <w:t>接受地铁</w:t>
      </w:r>
      <w:r w:rsidR="002C00FF" w:rsidRPr="00FD50F6">
        <w:rPr>
          <w:rFonts w:hint="eastAsia"/>
        </w:rPr>
        <w:t>自动售检票</w:t>
      </w:r>
      <w:r w:rsidRPr="00FD50F6">
        <w:rPr>
          <w:rFonts w:hint="eastAsia"/>
        </w:rPr>
        <w:t>清分系统的车票调配指令，完成所辖线路流通的车票调配；</w:t>
      </w:r>
    </w:p>
    <w:p w14:paraId="7C8CB05E" w14:textId="24B090F9" w:rsidR="0037103A" w:rsidRPr="00FD50F6" w:rsidRDefault="0037103A" w:rsidP="00A926BD">
      <w:pPr>
        <w:pStyle w:val="4"/>
      </w:pPr>
      <w:r w:rsidRPr="00FD50F6">
        <w:rPr>
          <w:rFonts w:hint="eastAsia"/>
        </w:rPr>
        <w:t>跟踪检查系统车票，接受地铁</w:t>
      </w:r>
      <w:r w:rsidR="002C00FF" w:rsidRPr="00FD50F6">
        <w:rPr>
          <w:rFonts w:hint="eastAsia"/>
        </w:rPr>
        <w:t>自动售检票</w:t>
      </w:r>
      <w:r w:rsidRPr="00FD50F6">
        <w:rPr>
          <w:rFonts w:hint="eastAsia"/>
        </w:rPr>
        <w:t>清分系统下载的“黑名单”，黑</w:t>
      </w:r>
      <w:r w:rsidRPr="00FD50F6">
        <w:rPr>
          <w:rFonts w:hint="eastAsia"/>
        </w:rPr>
        <w:lastRenderedPageBreak/>
        <w:t>名单下载到车站计算机系统；</w:t>
      </w:r>
    </w:p>
    <w:p w14:paraId="3C56F2A5" w14:textId="0428CDB2" w:rsidR="0037103A" w:rsidRPr="00FD50F6" w:rsidRDefault="0037103A" w:rsidP="00A926BD">
      <w:pPr>
        <w:pStyle w:val="4"/>
      </w:pPr>
      <w:r w:rsidRPr="00FD50F6">
        <w:rPr>
          <w:rFonts w:hint="eastAsia"/>
        </w:rPr>
        <w:t>收集、处理线路系统的数据，并将数据上传地铁</w:t>
      </w:r>
      <w:r w:rsidR="002C00FF" w:rsidRPr="00FD50F6">
        <w:rPr>
          <w:rFonts w:hint="eastAsia"/>
        </w:rPr>
        <w:t>自动售检票</w:t>
      </w:r>
      <w:r w:rsidRPr="00FD50F6">
        <w:rPr>
          <w:rFonts w:hint="eastAsia"/>
        </w:rPr>
        <w:t>清分系统；</w:t>
      </w:r>
    </w:p>
    <w:p w14:paraId="6EA77E61" w14:textId="3FFD2DAC" w:rsidR="0037103A" w:rsidRPr="00FD50F6" w:rsidRDefault="0037103A" w:rsidP="00A926BD">
      <w:pPr>
        <w:pStyle w:val="4"/>
      </w:pPr>
      <w:r w:rsidRPr="00FD50F6">
        <w:rPr>
          <w:rFonts w:hint="eastAsia"/>
        </w:rPr>
        <w:t>制定、维护线路系统的参数，并接收地铁</w:t>
      </w:r>
      <w:r w:rsidR="002C00FF" w:rsidRPr="00FD50F6">
        <w:rPr>
          <w:rFonts w:hint="eastAsia"/>
        </w:rPr>
        <w:t>自动售检票</w:t>
      </w:r>
      <w:r w:rsidRPr="00FD50F6">
        <w:rPr>
          <w:rFonts w:hint="eastAsia"/>
        </w:rPr>
        <w:t>清分系统下传的车票种类、票价表、费率表等路网全局性参数和系统运营模式，并通过车站计算机系统下载到终端设备；</w:t>
      </w:r>
    </w:p>
    <w:p w14:paraId="2AA8324C" w14:textId="6ECE048F" w:rsidR="0037103A" w:rsidRPr="00FD50F6" w:rsidRDefault="0037103A" w:rsidP="00A926BD">
      <w:pPr>
        <w:pStyle w:val="4"/>
      </w:pPr>
      <w:r w:rsidRPr="00FD50F6">
        <w:rPr>
          <w:rFonts w:hint="eastAsia"/>
        </w:rPr>
        <w:t>下达线路系统指令，并接受地铁</w:t>
      </w:r>
      <w:r w:rsidR="002C00FF" w:rsidRPr="00FD50F6">
        <w:rPr>
          <w:rFonts w:hint="eastAsia"/>
        </w:rPr>
        <w:t>自动售检票</w:t>
      </w:r>
      <w:r w:rsidRPr="00FD50F6">
        <w:rPr>
          <w:rFonts w:hint="eastAsia"/>
        </w:rPr>
        <w:t>清分系统下达的运营模式；</w:t>
      </w:r>
    </w:p>
    <w:p w14:paraId="119E462F" w14:textId="77777777" w:rsidR="0037103A" w:rsidRPr="00FD50F6" w:rsidRDefault="0037103A" w:rsidP="00A926BD">
      <w:pPr>
        <w:pStyle w:val="4"/>
      </w:pPr>
      <w:r w:rsidRPr="00FD50F6">
        <w:rPr>
          <w:rFonts w:hint="eastAsia"/>
        </w:rPr>
        <w:t>实现系统内安全访问控制、系统内权限管理、设备入网注册、系统间安全访问控制等；</w:t>
      </w:r>
    </w:p>
    <w:p w14:paraId="7FF731DE" w14:textId="77777777" w:rsidR="0037103A" w:rsidRPr="00FD50F6" w:rsidRDefault="0037103A" w:rsidP="00A926BD">
      <w:pPr>
        <w:pStyle w:val="4"/>
      </w:pPr>
      <w:r w:rsidRPr="00FD50F6">
        <w:rPr>
          <w:rFonts w:hint="eastAsia"/>
        </w:rPr>
        <w:t>实现数据审核、数据备份及恢复功能；</w:t>
      </w:r>
    </w:p>
    <w:p w14:paraId="494105B6" w14:textId="77777777" w:rsidR="0037103A" w:rsidRPr="00FD50F6" w:rsidRDefault="0037103A" w:rsidP="00A926BD">
      <w:pPr>
        <w:pStyle w:val="4"/>
      </w:pPr>
      <w:r w:rsidRPr="00FD50F6">
        <w:rPr>
          <w:rFonts w:hint="eastAsia"/>
        </w:rPr>
        <w:t>接收时钟信号完成时钟同步；</w:t>
      </w:r>
    </w:p>
    <w:p w14:paraId="2F33609F" w14:textId="77777777" w:rsidR="0037103A" w:rsidRPr="00FD50F6" w:rsidRDefault="0037103A" w:rsidP="00A926BD">
      <w:pPr>
        <w:pStyle w:val="4"/>
        <w:rPr>
          <w:lang w:val="zh-CN"/>
        </w:rPr>
      </w:pPr>
      <w:r w:rsidRPr="00FD50F6">
        <w:rPr>
          <w:rFonts w:hint="eastAsia"/>
        </w:rPr>
        <w:t>实现本地集群后备功能。</w:t>
      </w:r>
    </w:p>
    <w:p w14:paraId="610E8DE6" w14:textId="77777777" w:rsidR="0037103A" w:rsidRPr="00FD50F6" w:rsidRDefault="0037103A" w:rsidP="0037103A">
      <w:pPr>
        <w:pStyle w:val="30"/>
        <w:rPr>
          <w:lang w:val="zh-CN"/>
        </w:rPr>
      </w:pPr>
      <w:r w:rsidRPr="00FD50F6">
        <w:rPr>
          <w:rFonts w:hint="eastAsia"/>
          <w:lang w:val="zh-CN"/>
        </w:rPr>
        <w:t>维修中心</w:t>
      </w:r>
      <w:r w:rsidRPr="00FD50F6">
        <w:rPr>
          <w:lang w:val="zh-CN"/>
        </w:rPr>
        <w:t>系统应具备下列主要功能：</w:t>
      </w:r>
    </w:p>
    <w:p w14:paraId="06669E1B" w14:textId="77777777" w:rsidR="0037103A" w:rsidRPr="00FD50F6" w:rsidRDefault="0037103A" w:rsidP="00A926BD">
      <w:pPr>
        <w:pStyle w:val="4"/>
      </w:pPr>
      <w:r w:rsidRPr="00FD50F6">
        <w:rPr>
          <w:rFonts w:hint="eastAsia"/>
        </w:rPr>
        <w:t>对系统设备的故障及运行状态进行监控；</w:t>
      </w:r>
    </w:p>
    <w:p w14:paraId="29CC145A" w14:textId="536BCBCB" w:rsidR="0037103A" w:rsidRPr="00FD50F6" w:rsidRDefault="0037103A" w:rsidP="00A926BD">
      <w:pPr>
        <w:pStyle w:val="4"/>
      </w:pPr>
      <w:r w:rsidRPr="00FD50F6">
        <w:rPr>
          <w:rFonts w:hint="eastAsia"/>
        </w:rPr>
        <w:t>跟踪设备内具有电子编号部件的安装情况，跟踪设备部件的添加及替换等记录，跟踪设备关键部件的使用情况及安装位置；</w:t>
      </w:r>
    </w:p>
    <w:p w14:paraId="1535906C" w14:textId="77777777" w:rsidR="0037103A" w:rsidRPr="00FD50F6" w:rsidRDefault="0037103A" w:rsidP="00A926BD">
      <w:pPr>
        <w:pStyle w:val="4"/>
      </w:pPr>
      <w:r w:rsidRPr="00FD50F6">
        <w:rPr>
          <w:rFonts w:hint="eastAsia"/>
        </w:rPr>
        <w:t>根据所收集的设备状态、故障记录及维修记录等信息，生成相应的维修报告、报表；</w:t>
      </w:r>
    </w:p>
    <w:p w14:paraId="42F23CE7" w14:textId="77777777" w:rsidR="0037103A" w:rsidRPr="00FD50F6" w:rsidRDefault="0037103A" w:rsidP="00A926BD">
      <w:pPr>
        <w:pStyle w:val="4"/>
      </w:pPr>
      <w:r w:rsidRPr="00FD50F6">
        <w:rPr>
          <w:rFonts w:hint="eastAsia"/>
        </w:rPr>
        <w:t>对库内的所有设备、部件、配件、损耗件、报废品等进行管理；</w:t>
      </w:r>
    </w:p>
    <w:p w14:paraId="62173033" w14:textId="77777777" w:rsidR="0037103A" w:rsidRPr="00FD50F6" w:rsidRDefault="0037103A" w:rsidP="00A926BD">
      <w:pPr>
        <w:pStyle w:val="4"/>
      </w:pPr>
      <w:r w:rsidRPr="00FD50F6">
        <w:rPr>
          <w:rFonts w:hint="eastAsia"/>
        </w:rPr>
        <w:t>制定及执行设备保养及维修计划；</w:t>
      </w:r>
    </w:p>
    <w:p w14:paraId="2EA0FCE7" w14:textId="77777777" w:rsidR="0037103A" w:rsidRPr="00FD50F6" w:rsidRDefault="0037103A" w:rsidP="00A926BD">
      <w:pPr>
        <w:pStyle w:val="4"/>
      </w:pPr>
      <w:r w:rsidRPr="00FD50F6">
        <w:rPr>
          <w:rFonts w:hint="eastAsia"/>
        </w:rPr>
        <w:t>处理设备故障；</w:t>
      </w:r>
    </w:p>
    <w:p w14:paraId="711304BA" w14:textId="77777777" w:rsidR="0037103A" w:rsidRPr="00FD50F6" w:rsidRDefault="0037103A" w:rsidP="00A926BD">
      <w:pPr>
        <w:pStyle w:val="4"/>
      </w:pPr>
      <w:r w:rsidRPr="00FD50F6">
        <w:rPr>
          <w:rFonts w:hint="eastAsia"/>
        </w:rPr>
        <w:t>进行维修调度。</w:t>
      </w:r>
    </w:p>
    <w:p w14:paraId="01A95979" w14:textId="77777777" w:rsidR="0037103A" w:rsidRPr="00FD50F6" w:rsidRDefault="0037103A" w:rsidP="0037103A">
      <w:pPr>
        <w:pStyle w:val="30"/>
        <w:rPr>
          <w:lang w:val="zh-CN"/>
        </w:rPr>
      </w:pPr>
      <w:r w:rsidRPr="00FD50F6">
        <w:rPr>
          <w:rFonts w:hint="eastAsia"/>
          <w:lang w:val="zh-CN"/>
        </w:rPr>
        <w:t>培训及模拟测试中心系统</w:t>
      </w:r>
      <w:r w:rsidRPr="00FD50F6">
        <w:rPr>
          <w:lang w:val="zh-CN"/>
        </w:rPr>
        <w:t>应具备下列主要功能：</w:t>
      </w:r>
    </w:p>
    <w:p w14:paraId="58DA1AD9" w14:textId="77777777" w:rsidR="0037103A" w:rsidRPr="00FD50F6" w:rsidRDefault="0037103A" w:rsidP="00A926BD">
      <w:pPr>
        <w:pStyle w:val="4"/>
      </w:pPr>
      <w:r w:rsidRPr="00FD50F6">
        <w:rPr>
          <w:rFonts w:hint="eastAsia"/>
        </w:rPr>
        <w:t>用于对系统管理人员、操作人员及维修人员进行业务培训；</w:t>
      </w:r>
    </w:p>
    <w:p w14:paraId="4244D0E6" w14:textId="77777777" w:rsidR="0037103A" w:rsidRPr="00FD50F6" w:rsidRDefault="0037103A" w:rsidP="00A926BD">
      <w:pPr>
        <w:pStyle w:val="4"/>
      </w:pPr>
      <w:r w:rsidRPr="00FD50F6">
        <w:rPr>
          <w:rFonts w:hint="eastAsia"/>
        </w:rPr>
        <w:t>对系统对接、软件更新、重要系统参数的修改、新增设备的模拟测试和维修后设备的模拟测试。</w:t>
      </w:r>
    </w:p>
    <w:p w14:paraId="650ED33B" w14:textId="77777777" w:rsidR="0037103A" w:rsidRPr="00FD50F6" w:rsidRDefault="0037103A" w:rsidP="0037103A">
      <w:pPr>
        <w:pStyle w:val="30"/>
        <w:rPr>
          <w:lang w:val="zh-CN"/>
        </w:rPr>
      </w:pPr>
      <w:r w:rsidRPr="00FD50F6">
        <w:rPr>
          <w:rFonts w:hint="eastAsia"/>
          <w:lang w:val="zh-CN"/>
        </w:rPr>
        <w:t>车站计算机系统应具备下列主要功能：</w:t>
      </w:r>
    </w:p>
    <w:p w14:paraId="04CA69CF" w14:textId="69760B7A" w:rsidR="0037103A" w:rsidRPr="00FD50F6" w:rsidRDefault="0037103A" w:rsidP="00A926BD">
      <w:pPr>
        <w:pStyle w:val="4"/>
      </w:pPr>
      <w:r w:rsidRPr="00FD50F6">
        <w:rPr>
          <w:rFonts w:hint="eastAsia"/>
        </w:rPr>
        <w:t>实时监控车站设备、网络状态、数据传输情况，实现车站系统运营、票务、收益及维修的管理功能。</w:t>
      </w:r>
    </w:p>
    <w:p w14:paraId="6449E8D6" w14:textId="70A33443" w:rsidR="0037103A" w:rsidRPr="00FD50F6" w:rsidRDefault="0037103A" w:rsidP="00A926BD">
      <w:pPr>
        <w:pStyle w:val="4"/>
      </w:pPr>
      <w:r w:rsidRPr="00FD50F6">
        <w:rPr>
          <w:rFonts w:hint="eastAsia"/>
        </w:rPr>
        <w:t>对</w:t>
      </w:r>
      <w:r w:rsidRPr="00FD50F6">
        <w:rPr>
          <w:rFonts w:hint="eastAsia"/>
        </w:rPr>
        <w:t>SAM</w:t>
      </w:r>
      <w:r w:rsidRPr="00FD50F6">
        <w:rPr>
          <w:rFonts w:hint="eastAsia"/>
        </w:rPr>
        <w:t>卡进行监控、管理。</w:t>
      </w:r>
    </w:p>
    <w:p w14:paraId="02765441" w14:textId="4018F297" w:rsidR="0037103A" w:rsidRPr="00FD50F6" w:rsidRDefault="0037103A" w:rsidP="00A926BD">
      <w:pPr>
        <w:pStyle w:val="4"/>
      </w:pPr>
      <w:r w:rsidRPr="00FD50F6">
        <w:rPr>
          <w:rFonts w:hint="eastAsia"/>
        </w:rPr>
        <w:t>接受线路中心系统车票调配指令，管理车站内车票流通。</w:t>
      </w:r>
    </w:p>
    <w:p w14:paraId="108AF46B" w14:textId="181F5543" w:rsidR="0037103A" w:rsidRPr="00FD50F6" w:rsidRDefault="0037103A" w:rsidP="00A926BD">
      <w:pPr>
        <w:pStyle w:val="4"/>
      </w:pPr>
      <w:r w:rsidRPr="00FD50F6">
        <w:rPr>
          <w:rFonts w:hint="eastAsia"/>
        </w:rPr>
        <w:lastRenderedPageBreak/>
        <w:t>采集、处理车站内各类数据，并上传线路中心系统；接收线路中心系统下传的各类系统参数和系统运营模式，并下传至车站售检票终端设备；接受线路中心下达的系统指令，并下传至车站售检票终端设备。</w:t>
      </w:r>
    </w:p>
    <w:p w14:paraId="3DCF6632" w14:textId="0516ACFB" w:rsidR="0037103A" w:rsidRPr="00FD50F6" w:rsidRDefault="0037103A" w:rsidP="00A926BD">
      <w:pPr>
        <w:pStyle w:val="4"/>
      </w:pPr>
      <w:r w:rsidRPr="00FD50F6">
        <w:rPr>
          <w:rFonts w:hint="eastAsia"/>
        </w:rPr>
        <w:t>接收时钟信号完成时钟同步。</w:t>
      </w:r>
    </w:p>
    <w:p w14:paraId="589054EB" w14:textId="33474756" w:rsidR="0037103A" w:rsidRPr="00FD50F6" w:rsidRDefault="0037103A" w:rsidP="00A926BD">
      <w:pPr>
        <w:pStyle w:val="4"/>
      </w:pPr>
      <w:r w:rsidRPr="00FD50F6">
        <w:rPr>
          <w:rFonts w:hint="eastAsia"/>
        </w:rPr>
        <w:t>应能保留至少</w:t>
      </w:r>
      <w:r w:rsidRPr="00FD50F6">
        <w:rPr>
          <w:rFonts w:hint="eastAsia"/>
        </w:rPr>
        <w:t>30</w:t>
      </w:r>
      <w:r w:rsidR="006F70EE">
        <w:t xml:space="preserve"> </w:t>
      </w:r>
      <w:r w:rsidR="006F70EE">
        <w:rPr>
          <w:rFonts w:hint="eastAsia"/>
        </w:rPr>
        <w:t>d</w:t>
      </w:r>
      <w:r w:rsidRPr="00FD50F6">
        <w:rPr>
          <w:rFonts w:hint="eastAsia"/>
        </w:rPr>
        <w:t>的运营数据。应具备数据恢复功能，在恢复通信后上传或转发相应的数据。</w:t>
      </w:r>
    </w:p>
    <w:p w14:paraId="3416A386" w14:textId="04C2B950" w:rsidR="0037103A" w:rsidRPr="00FD50F6" w:rsidRDefault="0037103A" w:rsidP="00A926BD">
      <w:pPr>
        <w:pStyle w:val="4"/>
      </w:pPr>
      <w:r w:rsidRPr="00FD50F6">
        <w:rPr>
          <w:rFonts w:hint="eastAsia"/>
        </w:rPr>
        <w:t>向车站售检票终端设备下达紧急模式等控制命令，并将操作信息上传线路中心系统；紧急模式的触发应采取抗干扰设计。</w:t>
      </w:r>
    </w:p>
    <w:p w14:paraId="638C1196" w14:textId="418B395B" w:rsidR="0037103A" w:rsidRPr="00FD50F6" w:rsidRDefault="0037103A" w:rsidP="00A926BD">
      <w:pPr>
        <w:pStyle w:val="4"/>
      </w:pPr>
      <w:r w:rsidRPr="00FD50F6">
        <w:rPr>
          <w:rFonts w:hint="eastAsia"/>
        </w:rPr>
        <w:t>当车站为站区站时，可监视所辖车站的客流、票务等与运营相关的数据，并应根据统计生成相关报表；可接受线路中心系统的车票调配指令，并应对站区内的车票做调配管理。</w:t>
      </w:r>
    </w:p>
    <w:p w14:paraId="0F8B9364" w14:textId="3D4BD401" w:rsidR="0037103A" w:rsidRPr="00FD50F6" w:rsidRDefault="0037103A" w:rsidP="0037103A">
      <w:pPr>
        <w:pStyle w:val="30"/>
        <w:rPr>
          <w:lang w:val="zh-CN"/>
        </w:rPr>
      </w:pPr>
      <w:r w:rsidRPr="00FD50F6">
        <w:rPr>
          <w:rFonts w:hint="eastAsia"/>
          <w:lang w:val="zh-CN"/>
        </w:rPr>
        <w:t>车站售检票终端设备应具备下列主要功能：</w:t>
      </w:r>
    </w:p>
    <w:p w14:paraId="78A22C61" w14:textId="21110F12" w:rsidR="0037103A" w:rsidRPr="00FD50F6" w:rsidRDefault="0037103A" w:rsidP="00A926BD">
      <w:pPr>
        <w:pStyle w:val="4"/>
      </w:pPr>
      <w:r w:rsidRPr="00FD50F6">
        <w:rPr>
          <w:rFonts w:hint="eastAsia"/>
        </w:rPr>
        <w:t>应接受系统参数及指令，完成规定操作及信息提示，生成并上传全部交易数据、状态数据、审计数据，生成中文日志数据。</w:t>
      </w:r>
    </w:p>
    <w:p w14:paraId="008D8944" w14:textId="267BDDD0" w:rsidR="0037103A" w:rsidRPr="00FD50F6" w:rsidRDefault="0037103A" w:rsidP="00A926BD">
      <w:pPr>
        <w:pStyle w:val="4"/>
      </w:pPr>
      <w:r w:rsidRPr="00FD50F6">
        <w:rPr>
          <w:rFonts w:hint="eastAsia"/>
        </w:rPr>
        <w:t>应采用冗余存储介质，按要求存储数据；数据可导出及恢复。</w:t>
      </w:r>
    </w:p>
    <w:p w14:paraId="50D7AB47" w14:textId="78F937D8" w:rsidR="0037103A" w:rsidRPr="00FD50F6" w:rsidRDefault="0037103A" w:rsidP="00A926BD">
      <w:pPr>
        <w:pStyle w:val="4"/>
      </w:pPr>
      <w:r w:rsidRPr="00FD50F6">
        <w:rPr>
          <w:rFonts w:hint="eastAsia"/>
        </w:rPr>
        <w:t>可实现设备故障自诊断，设备故障提示。</w:t>
      </w:r>
    </w:p>
    <w:p w14:paraId="7CD297C2" w14:textId="0BE05E05" w:rsidR="0037103A" w:rsidRPr="00FD50F6" w:rsidRDefault="0037103A" w:rsidP="00A926BD">
      <w:pPr>
        <w:pStyle w:val="4"/>
      </w:pPr>
      <w:r w:rsidRPr="00FD50F6">
        <w:rPr>
          <w:rFonts w:hint="eastAsia"/>
        </w:rPr>
        <w:t>可实现远程开关机功能。</w:t>
      </w:r>
    </w:p>
    <w:p w14:paraId="3614F865" w14:textId="3983A5BB" w:rsidR="0037103A" w:rsidRPr="00FD50F6" w:rsidRDefault="0037103A" w:rsidP="00A926BD">
      <w:pPr>
        <w:pStyle w:val="4"/>
      </w:pPr>
      <w:r w:rsidRPr="00FD50F6">
        <w:rPr>
          <w:rFonts w:hint="eastAsia"/>
        </w:rPr>
        <w:t>应具备智能语音购票功能。</w:t>
      </w:r>
    </w:p>
    <w:p w14:paraId="5D8A0B8A" w14:textId="77777777" w:rsidR="0037103A" w:rsidRPr="00FD50F6" w:rsidRDefault="0037103A" w:rsidP="00A926BD">
      <w:pPr>
        <w:pStyle w:val="4"/>
      </w:pPr>
      <w:r w:rsidRPr="00FD50F6">
        <w:rPr>
          <w:rFonts w:hint="eastAsia"/>
        </w:rPr>
        <w:t>自动售票机宜设置</w:t>
      </w:r>
      <w:r w:rsidRPr="00FD50F6">
        <w:rPr>
          <w:rFonts w:hint="eastAsia"/>
        </w:rPr>
        <w:t>1</w:t>
      </w:r>
      <w:r w:rsidRPr="00FD50F6">
        <w:rPr>
          <w:rFonts w:hint="eastAsia"/>
        </w:rPr>
        <w:t>个票箱，半自动售票机可不设置票箱，带回收车票功能的自动检票机宜设置</w:t>
      </w:r>
      <w:r w:rsidRPr="00FD50F6">
        <w:rPr>
          <w:rFonts w:hint="eastAsia"/>
        </w:rPr>
        <w:t>1</w:t>
      </w:r>
      <w:r w:rsidRPr="00FD50F6">
        <w:rPr>
          <w:rFonts w:hint="eastAsia"/>
        </w:rPr>
        <w:t>个回收票箱和</w:t>
      </w:r>
      <w:r w:rsidRPr="00FD50F6">
        <w:rPr>
          <w:rFonts w:hint="eastAsia"/>
        </w:rPr>
        <w:t>1</w:t>
      </w:r>
      <w:r w:rsidRPr="00FD50F6">
        <w:rPr>
          <w:rFonts w:hint="eastAsia"/>
        </w:rPr>
        <w:t>个废票箱。</w:t>
      </w:r>
    </w:p>
    <w:p w14:paraId="13E9869A" w14:textId="0A79CE74" w:rsidR="0037103A" w:rsidRPr="00FD50F6" w:rsidRDefault="0037103A" w:rsidP="00A926BD">
      <w:pPr>
        <w:pStyle w:val="4"/>
      </w:pPr>
      <w:r w:rsidRPr="00FD50F6">
        <w:rPr>
          <w:rFonts w:hint="eastAsia"/>
        </w:rPr>
        <w:t>应具备漏电和防雷保护措施。</w:t>
      </w:r>
    </w:p>
    <w:p w14:paraId="00DD70C8" w14:textId="75B53751" w:rsidR="0037103A" w:rsidRPr="00FD50F6" w:rsidRDefault="0037103A" w:rsidP="00A926BD">
      <w:pPr>
        <w:pStyle w:val="4"/>
      </w:pPr>
      <w:r w:rsidRPr="00FD50F6">
        <w:rPr>
          <w:rFonts w:hint="eastAsia"/>
        </w:rPr>
        <w:t>票箱、钱箱应具备电子标识；具备特殊锁具，操作员登陆并锁闭票箱、钱箱后才可移出设备；</w:t>
      </w:r>
      <w:r w:rsidRPr="00A16B07">
        <w:rPr>
          <w:rFonts w:hint="eastAsia"/>
        </w:rPr>
        <w:t>钱箱应设置于隔离的</w:t>
      </w:r>
      <w:r w:rsidR="00A16B07" w:rsidRPr="00A16B07">
        <w:rPr>
          <w:rFonts w:hint="eastAsia"/>
        </w:rPr>
        <w:t>、</w:t>
      </w:r>
      <w:r w:rsidRPr="00A16B07">
        <w:rPr>
          <w:rFonts w:hint="eastAsia"/>
        </w:rPr>
        <w:t>需使用钥匙开启的安全区域内；</w:t>
      </w:r>
      <w:r w:rsidRPr="00FD50F6">
        <w:rPr>
          <w:rFonts w:hint="eastAsia"/>
        </w:rPr>
        <w:t>对钱箱的操作应在设备进行登录方可进行操作，并对操作进行记录。</w:t>
      </w:r>
    </w:p>
    <w:p w14:paraId="4A3C49ED" w14:textId="126DACDD" w:rsidR="0037103A" w:rsidRPr="00FD50F6" w:rsidRDefault="006F70EE" w:rsidP="00A926BD">
      <w:pPr>
        <w:pStyle w:val="4"/>
      </w:pPr>
      <w:r>
        <w:rPr>
          <w:rFonts w:hint="eastAsia"/>
        </w:rPr>
        <w:t>当在</w:t>
      </w:r>
      <w:r w:rsidR="0037103A" w:rsidRPr="00FD50F6">
        <w:rPr>
          <w:rFonts w:hint="eastAsia"/>
        </w:rPr>
        <w:t>通信故障条件下独立运行时，可保存</w:t>
      </w:r>
      <w:r w:rsidR="0037103A" w:rsidRPr="00FD50F6">
        <w:rPr>
          <w:rFonts w:hint="eastAsia"/>
        </w:rPr>
        <w:t>30</w:t>
      </w:r>
      <w:r w:rsidR="0037103A" w:rsidRPr="00FD50F6">
        <w:t xml:space="preserve"> </w:t>
      </w:r>
      <w:r>
        <w:rPr>
          <w:rFonts w:hint="eastAsia"/>
        </w:rPr>
        <w:t>d</w:t>
      </w:r>
      <w:r w:rsidR="0037103A" w:rsidRPr="00FD50F6">
        <w:rPr>
          <w:rFonts w:hint="eastAsia"/>
        </w:rPr>
        <w:t>的运营数据，数据可通过外部数据载体导出，故障恢复后数据自动上传。</w:t>
      </w:r>
    </w:p>
    <w:p w14:paraId="05ECD574" w14:textId="77777777" w:rsidR="0037103A" w:rsidRPr="00FD50F6" w:rsidRDefault="0037103A" w:rsidP="0037103A">
      <w:pPr>
        <w:pStyle w:val="30"/>
        <w:rPr>
          <w:lang w:val="zh-CN"/>
        </w:rPr>
      </w:pPr>
      <w:bookmarkStart w:id="806" w:name="_Toc306206816"/>
      <w:r w:rsidRPr="00FD50F6">
        <w:rPr>
          <w:lang w:val="zh-CN"/>
        </w:rPr>
        <w:t>自动售票机应具备下列主要功能：</w:t>
      </w:r>
      <w:bookmarkEnd w:id="806"/>
    </w:p>
    <w:p w14:paraId="69C5859A" w14:textId="77777777" w:rsidR="0037103A" w:rsidRPr="00FD50F6" w:rsidRDefault="0037103A" w:rsidP="00A926BD">
      <w:pPr>
        <w:pStyle w:val="4"/>
      </w:pPr>
      <w:bookmarkStart w:id="807" w:name="_Toc306206817"/>
      <w:r w:rsidRPr="00FD50F6">
        <w:rPr>
          <w:rFonts w:hint="eastAsia"/>
        </w:rPr>
        <w:t>应</w:t>
      </w:r>
      <w:r w:rsidRPr="00FD50F6">
        <w:t>根据乘客所选到站地点或票价自动计费、收费、发售车票；</w:t>
      </w:r>
      <w:bookmarkEnd w:id="807"/>
    </w:p>
    <w:p w14:paraId="59A34334" w14:textId="77777777" w:rsidR="0037103A" w:rsidRPr="00FD50F6" w:rsidRDefault="0037103A" w:rsidP="00A926BD">
      <w:pPr>
        <w:pStyle w:val="4"/>
      </w:pPr>
      <w:bookmarkStart w:id="808" w:name="_Toc306206818"/>
      <w:r w:rsidRPr="00FD50F6">
        <w:rPr>
          <w:rFonts w:hint="eastAsia"/>
        </w:rPr>
        <w:t>应</w:t>
      </w:r>
      <w:r w:rsidRPr="00FD50F6">
        <w:t>控制设备置于正常运行、故障停用、测试、检修、停止服务及特殊运行模式；</w:t>
      </w:r>
      <w:bookmarkEnd w:id="808"/>
    </w:p>
    <w:p w14:paraId="67560F0F" w14:textId="77777777" w:rsidR="0037103A" w:rsidRPr="00FD50F6" w:rsidRDefault="0037103A" w:rsidP="00A926BD">
      <w:pPr>
        <w:pStyle w:val="4"/>
      </w:pPr>
      <w:bookmarkStart w:id="809" w:name="_Toc306206819"/>
      <w:r w:rsidRPr="00FD50F6">
        <w:rPr>
          <w:rFonts w:hint="eastAsia"/>
        </w:rPr>
        <w:lastRenderedPageBreak/>
        <w:t>应</w:t>
      </w:r>
      <w:r w:rsidRPr="00FD50F6">
        <w:t>接受车站计算机系统的数据和指令，向车站计算机系统发送设备状态和交易数据；</w:t>
      </w:r>
      <w:bookmarkEnd w:id="809"/>
    </w:p>
    <w:p w14:paraId="6B8CA53D" w14:textId="77777777" w:rsidR="0037103A" w:rsidRPr="00FD50F6" w:rsidRDefault="0037103A" w:rsidP="00A926BD">
      <w:pPr>
        <w:pStyle w:val="4"/>
      </w:pPr>
      <w:bookmarkStart w:id="810" w:name="_Toc306206820"/>
      <w:r w:rsidRPr="00FD50F6">
        <w:rPr>
          <w:rFonts w:hint="eastAsia"/>
        </w:rPr>
        <w:t>应</w:t>
      </w:r>
      <w:r w:rsidRPr="00FD50F6">
        <w:t>具备相应的安全防范措施和非法使用报警装置。</w:t>
      </w:r>
      <w:bookmarkEnd w:id="810"/>
    </w:p>
    <w:p w14:paraId="0DABF97E" w14:textId="77777777" w:rsidR="0037103A" w:rsidRPr="00FD50F6" w:rsidRDefault="0037103A" w:rsidP="0037103A">
      <w:pPr>
        <w:pStyle w:val="30"/>
        <w:rPr>
          <w:lang w:val="zh-CN"/>
        </w:rPr>
      </w:pPr>
      <w:bookmarkStart w:id="811" w:name="_Toc306206812"/>
      <w:r w:rsidRPr="00FD50F6">
        <w:rPr>
          <w:lang w:val="zh-CN"/>
        </w:rPr>
        <w:t>半自动售票机应具备下列主要功能：</w:t>
      </w:r>
      <w:bookmarkEnd w:id="811"/>
    </w:p>
    <w:p w14:paraId="198F12A5" w14:textId="77777777" w:rsidR="0037103A" w:rsidRPr="00FD50F6" w:rsidRDefault="0037103A" w:rsidP="00A926BD">
      <w:pPr>
        <w:pStyle w:val="4"/>
      </w:pPr>
      <w:bookmarkStart w:id="812" w:name="_Toc306206813"/>
      <w:r w:rsidRPr="00FD50F6">
        <w:rPr>
          <w:rFonts w:hint="eastAsia"/>
        </w:rPr>
        <w:t>应</w:t>
      </w:r>
      <w:r w:rsidRPr="00FD50F6">
        <w:t>通过人工收费和操作设备出售车票，以及为乘客办理退票、补票、充值、验票和更换车票等手续；</w:t>
      </w:r>
      <w:bookmarkEnd w:id="812"/>
    </w:p>
    <w:p w14:paraId="20CAFC71" w14:textId="77777777" w:rsidR="0037103A" w:rsidRPr="00FD50F6" w:rsidRDefault="0037103A" w:rsidP="00A926BD">
      <w:pPr>
        <w:pStyle w:val="4"/>
      </w:pPr>
      <w:bookmarkStart w:id="813" w:name="_Toc306206814"/>
      <w:r w:rsidRPr="00FD50F6">
        <w:rPr>
          <w:rFonts w:hint="eastAsia"/>
        </w:rPr>
        <w:t>应</w:t>
      </w:r>
      <w:r w:rsidRPr="00FD50F6">
        <w:t>控制设备置于正常运行、故障停用、测试、检修、停止服务及特殊运行模式；</w:t>
      </w:r>
      <w:bookmarkEnd w:id="813"/>
    </w:p>
    <w:p w14:paraId="26432CE1" w14:textId="77777777" w:rsidR="0037103A" w:rsidRPr="00FD50F6" w:rsidRDefault="0037103A" w:rsidP="00A926BD">
      <w:pPr>
        <w:pStyle w:val="4"/>
      </w:pPr>
      <w:bookmarkStart w:id="814" w:name="_Toc306206815"/>
      <w:r w:rsidRPr="00FD50F6">
        <w:rPr>
          <w:rFonts w:hint="eastAsia"/>
        </w:rPr>
        <w:t>应</w:t>
      </w:r>
      <w:r w:rsidRPr="00FD50F6">
        <w:t>接受车站计算机系统的数据和指令，向车站计算机系统发送设备状态和交易数据。</w:t>
      </w:r>
      <w:bookmarkEnd w:id="814"/>
    </w:p>
    <w:p w14:paraId="7A1D858F" w14:textId="77777777" w:rsidR="0037103A" w:rsidRPr="00FD50F6" w:rsidRDefault="0037103A" w:rsidP="0037103A">
      <w:pPr>
        <w:pStyle w:val="30"/>
        <w:rPr>
          <w:lang w:val="zh-CN"/>
        </w:rPr>
      </w:pPr>
      <w:bookmarkStart w:id="815" w:name="_Toc306206808"/>
      <w:r w:rsidRPr="00FD50F6">
        <w:rPr>
          <w:lang w:val="zh-CN"/>
        </w:rPr>
        <w:t>自动检票机应具备下列主要功能：</w:t>
      </w:r>
      <w:bookmarkEnd w:id="815"/>
    </w:p>
    <w:p w14:paraId="5999A646" w14:textId="77777777" w:rsidR="0037103A" w:rsidRPr="00FD50F6" w:rsidRDefault="0037103A" w:rsidP="00A926BD">
      <w:pPr>
        <w:pStyle w:val="4"/>
      </w:pPr>
      <w:bookmarkStart w:id="816" w:name="_Toc306206809"/>
      <w:r w:rsidRPr="00FD50F6">
        <w:rPr>
          <w:rFonts w:hint="eastAsia"/>
        </w:rPr>
        <w:t>应</w:t>
      </w:r>
      <w:r w:rsidRPr="00FD50F6">
        <w:t>检验车票的有效性，控制阻挡装置的动作，引导乘客进出站；</w:t>
      </w:r>
      <w:bookmarkEnd w:id="816"/>
    </w:p>
    <w:p w14:paraId="768CB7D9" w14:textId="77777777" w:rsidR="0037103A" w:rsidRPr="00FD50F6" w:rsidRDefault="0037103A" w:rsidP="00A926BD">
      <w:pPr>
        <w:pStyle w:val="4"/>
      </w:pPr>
      <w:bookmarkStart w:id="817" w:name="_Toc306206810"/>
      <w:r w:rsidRPr="00FD50F6">
        <w:rPr>
          <w:rFonts w:hint="eastAsia"/>
        </w:rPr>
        <w:t>应</w:t>
      </w:r>
      <w:r w:rsidRPr="00FD50F6">
        <w:t>控制设备置于正常运行、故障停用、测试、检修、停止服务及特殊运行模式；</w:t>
      </w:r>
      <w:bookmarkEnd w:id="817"/>
    </w:p>
    <w:p w14:paraId="0F75F9AB" w14:textId="77777777" w:rsidR="0037103A" w:rsidRPr="00FD50F6" w:rsidRDefault="0037103A" w:rsidP="00A926BD">
      <w:pPr>
        <w:pStyle w:val="4"/>
      </w:pPr>
      <w:bookmarkStart w:id="818" w:name="_Toc306206811"/>
      <w:r w:rsidRPr="00FD50F6">
        <w:rPr>
          <w:rFonts w:hint="eastAsia"/>
        </w:rPr>
        <w:t>应</w:t>
      </w:r>
      <w:r w:rsidRPr="00FD50F6">
        <w:t>接受车站计算机系统的数据和控制指令，向车站计算机系统发送设备状态和交易数据。</w:t>
      </w:r>
      <w:bookmarkEnd w:id="818"/>
    </w:p>
    <w:p w14:paraId="3BF7D616" w14:textId="6B21CE8D" w:rsidR="0037103A" w:rsidRPr="00FD50F6" w:rsidRDefault="0037103A" w:rsidP="0037103A">
      <w:pPr>
        <w:pStyle w:val="30"/>
        <w:rPr>
          <w:lang w:val="zh-CN"/>
        </w:rPr>
      </w:pPr>
      <w:bookmarkStart w:id="819" w:name="_Toc306206821"/>
      <w:r w:rsidRPr="00FD50F6">
        <w:rPr>
          <w:lang w:val="zh-CN"/>
        </w:rPr>
        <w:t>自动充值机应能根据乘客所选定的充值金额为乘客的储值票充值。</w:t>
      </w:r>
      <w:bookmarkEnd w:id="819"/>
    </w:p>
    <w:p w14:paraId="2DDCCFFA" w14:textId="77777777" w:rsidR="0037103A" w:rsidRPr="00FD50F6" w:rsidRDefault="0037103A" w:rsidP="0037103A">
      <w:pPr>
        <w:pStyle w:val="30"/>
        <w:rPr>
          <w:lang w:val="zh-CN"/>
        </w:rPr>
      </w:pPr>
      <w:bookmarkStart w:id="820" w:name="_Toc306206822"/>
      <w:r w:rsidRPr="00FD50F6">
        <w:rPr>
          <w:lang w:val="zh-CN"/>
        </w:rPr>
        <w:t>自动验票机和便携式验票机应能对车票的相关信息进行查验。</w:t>
      </w:r>
      <w:bookmarkEnd w:id="820"/>
    </w:p>
    <w:p w14:paraId="0B237653" w14:textId="7EDAB123" w:rsidR="0037103A" w:rsidRPr="00FD50F6" w:rsidRDefault="0037103A" w:rsidP="0037103A">
      <w:pPr>
        <w:pStyle w:val="30"/>
        <w:rPr>
          <w:lang w:val="zh-CN"/>
        </w:rPr>
      </w:pPr>
      <w:r w:rsidRPr="00FD50F6">
        <w:rPr>
          <w:rFonts w:hint="eastAsia"/>
          <w:lang w:val="zh-CN"/>
        </w:rPr>
        <w:t>车票处理单元应对车票进行读写、处理车票交易；应支持多安全存取模块（</w:t>
      </w:r>
      <w:r w:rsidRPr="00FD50F6">
        <w:rPr>
          <w:lang w:val="zh-CN"/>
        </w:rPr>
        <w:t>SAM</w:t>
      </w:r>
      <w:r w:rsidRPr="00FD50F6">
        <w:rPr>
          <w:rFonts w:hint="eastAsia"/>
          <w:lang w:val="zh-CN"/>
        </w:rPr>
        <w:t>）同时工作，安全存取模块（</w:t>
      </w:r>
      <w:r w:rsidRPr="00FD50F6">
        <w:rPr>
          <w:lang w:val="zh-CN"/>
        </w:rPr>
        <w:t>SAM</w:t>
      </w:r>
      <w:r w:rsidRPr="00FD50F6">
        <w:rPr>
          <w:rFonts w:hint="eastAsia"/>
          <w:lang w:val="zh-CN"/>
        </w:rPr>
        <w:t>）插槽应</w:t>
      </w:r>
      <w:r w:rsidRPr="00FD50F6">
        <w:rPr>
          <w:rFonts w:ascii="宋体" w:hAnsi="宋体" w:hint="eastAsia"/>
          <w:lang w:val="zh-CN"/>
        </w:rPr>
        <w:t>≥</w:t>
      </w:r>
      <w:r w:rsidRPr="00FD50F6">
        <w:rPr>
          <w:rFonts w:hint="eastAsia"/>
          <w:lang w:val="zh-CN"/>
        </w:rPr>
        <w:t>8</w:t>
      </w:r>
      <w:r w:rsidRPr="00FD50F6">
        <w:rPr>
          <w:rFonts w:hint="eastAsia"/>
          <w:lang w:val="zh-CN"/>
        </w:rPr>
        <w:t>个；应满足互联互通要求。</w:t>
      </w:r>
    </w:p>
    <w:p w14:paraId="6A7F1316" w14:textId="42E24E11" w:rsidR="0037103A" w:rsidRPr="00FD50F6" w:rsidRDefault="0037103A" w:rsidP="0037103A">
      <w:pPr>
        <w:pStyle w:val="30"/>
        <w:rPr>
          <w:lang w:val="zh-CN"/>
        </w:rPr>
      </w:pPr>
      <w:r w:rsidRPr="00FD50F6">
        <w:rPr>
          <w:rFonts w:hint="eastAsia"/>
          <w:lang w:val="zh-CN"/>
        </w:rPr>
        <w:t>系统宜配置顶棚导向标志，且应设置于自动检票机上方，并宜为双面显示。显示内容应与自动检票机两端方向指示器同步。</w:t>
      </w:r>
    </w:p>
    <w:p w14:paraId="280C1107" w14:textId="77777777" w:rsidR="0037103A" w:rsidRPr="00FD50F6" w:rsidRDefault="0037103A" w:rsidP="00A65181">
      <w:pPr>
        <w:pStyle w:val="2"/>
      </w:pPr>
      <w:bookmarkStart w:id="821" w:name="_Toc457937906"/>
      <w:bookmarkStart w:id="822" w:name="_Toc458462933"/>
      <w:bookmarkStart w:id="823" w:name="_Toc458463323"/>
      <w:bookmarkStart w:id="824" w:name="_Toc112830789"/>
      <w:r w:rsidRPr="00FD50F6">
        <w:rPr>
          <w:rFonts w:hint="eastAsia"/>
        </w:rPr>
        <w:t>系统网络</w:t>
      </w:r>
      <w:bookmarkEnd w:id="821"/>
      <w:bookmarkEnd w:id="822"/>
      <w:bookmarkEnd w:id="823"/>
      <w:r w:rsidRPr="00FD50F6">
        <w:rPr>
          <w:rFonts w:hint="eastAsia"/>
        </w:rPr>
        <w:t>、软件及时钟</w:t>
      </w:r>
      <w:bookmarkEnd w:id="824"/>
    </w:p>
    <w:p w14:paraId="71F611CE" w14:textId="7091E36C" w:rsidR="0037103A" w:rsidRPr="00FD50F6" w:rsidRDefault="0037103A" w:rsidP="0037103A">
      <w:pPr>
        <w:pStyle w:val="30"/>
        <w:rPr>
          <w:lang w:val="zh-CN"/>
        </w:rPr>
      </w:pPr>
      <w:r w:rsidRPr="00FD50F6">
        <w:rPr>
          <w:rFonts w:hint="eastAsia"/>
          <w:lang w:val="zh-CN"/>
        </w:rPr>
        <w:t>网络宜采用</w:t>
      </w:r>
      <w:r w:rsidR="002C00FF" w:rsidRPr="00FD50F6">
        <w:rPr>
          <w:rFonts w:hint="eastAsia"/>
        </w:rPr>
        <w:t>自动售检票</w:t>
      </w:r>
      <w:r w:rsidRPr="00FD50F6">
        <w:rPr>
          <w:rFonts w:hint="eastAsia"/>
          <w:lang w:val="zh-CN"/>
        </w:rPr>
        <w:t>清分系统（含多元化支付系统）、线路中心、车站（含综合维修基地）三级组网。</w:t>
      </w:r>
    </w:p>
    <w:p w14:paraId="08160AFE" w14:textId="27CEA1A5" w:rsidR="0037103A" w:rsidRPr="00FD50F6" w:rsidRDefault="002C00FF" w:rsidP="0037103A">
      <w:pPr>
        <w:pStyle w:val="30"/>
        <w:rPr>
          <w:lang w:val="zh-CN"/>
        </w:rPr>
      </w:pPr>
      <w:r w:rsidRPr="00FD50F6">
        <w:rPr>
          <w:rFonts w:hint="eastAsia"/>
        </w:rPr>
        <w:t>自动售检票</w:t>
      </w:r>
      <w:r w:rsidR="0037103A" w:rsidRPr="00FD50F6">
        <w:rPr>
          <w:rFonts w:hint="eastAsia"/>
          <w:lang w:val="zh-CN"/>
        </w:rPr>
        <w:t>清分系统与多元化支付系统之间网络、清分系统与线路中心之间网络、线路中心与车站（含综合维修基地）之间网络的互联应采用通信传</w:t>
      </w:r>
      <w:r w:rsidR="0037103A" w:rsidRPr="00FD50F6">
        <w:rPr>
          <w:rFonts w:hint="eastAsia"/>
          <w:lang w:val="zh-CN"/>
        </w:rPr>
        <w:lastRenderedPageBreak/>
        <w:t>输网，应为主备传输通道。车站网络宜采用工业以太网。</w:t>
      </w:r>
    </w:p>
    <w:p w14:paraId="50B06F30" w14:textId="77777777" w:rsidR="0037103A" w:rsidRPr="00FD50F6" w:rsidRDefault="0037103A" w:rsidP="0037103A">
      <w:pPr>
        <w:pStyle w:val="30"/>
        <w:rPr>
          <w:lang w:val="zh-CN"/>
        </w:rPr>
      </w:pPr>
      <w:r w:rsidRPr="00FD50F6">
        <w:rPr>
          <w:rFonts w:hint="eastAsia"/>
          <w:lang w:val="zh-CN"/>
        </w:rPr>
        <w:t>关键网络应采用冗余设计。</w:t>
      </w:r>
    </w:p>
    <w:p w14:paraId="1BA67821" w14:textId="77777777" w:rsidR="0037103A" w:rsidRPr="00FD50F6" w:rsidRDefault="0037103A" w:rsidP="0037103A">
      <w:pPr>
        <w:pStyle w:val="30"/>
        <w:rPr>
          <w:lang w:val="zh-CN"/>
        </w:rPr>
      </w:pPr>
      <w:r w:rsidRPr="00FD50F6">
        <w:rPr>
          <w:rFonts w:hint="eastAsia"/>
          <w:lang w:val="zh-CN"/>
        </w:rPr>
        <w:t>各独立网络系统间应设置安全防护系统，应建立网络管理平台实现统一监控及管理。</w:t>
      </w:r>
    </w:p>
    <w:p w14:paraId="5C5B4ED9" w14:textId="77777777" w:rsidR="0037103A" w:rsidRPr="00FD50F6" w:rsidRDefault="0037103A" w:rsidP="0037103A">
      <w:pPr>
        <w:pStyle w:val="30"/>
        <w:rPr>
          <w:lang w:val="zh-CN"/>
        </w:rPr>
      </w:pPr>
      <w:r w:rsidRPr="00FD50F6">
        <w:rPr>
          <w:rFonts w:hint="eastAsia"/>
          <w:lang w:val="zh-CN"/>
        </w:rPr>
        <w:t>软件应包括操作系统、数据库系统、网络管理软件、防病毒软件和系统应用软件等。</w:t>
      </w:r>
    </w:p>
    <w:p w14:paraId="35ECB1E6" w14:textId="1D6BCDC4" w:rsidR="0037103A" w:rsidRPr="00FD50F6" w:rsidRDefault="0037103A" w:rsidP="0037103A">
      <w:pPr>
        <w:pStyle w:val="30"/>
        <w:rPr>
          <w:lang w:val="zh-CN"/>
        </w:rPr>
      </w:pPr>
      <w:r w:rsidRPr="00FD50F6">
        <w:rPr>
          <w:rFonts w:hint="eastAsia"/>
          <w:lang w:val="zh-CN"/>
        </w:rPr>
        <w:t>系统的信息安全等级</w:t>
      </w:r>
      <w:r w:rsidR="007E4536">
        <w:rPr>
          <w:rFonts w:hint="eastAsia"/>
          <w:lang w:val="zh-CN"/>
        </w:rPr>
        <w:t>保护</w:t>
      </w:r>
      <w:r w:rsidRPr="00FD50F6">
        <w:rPr>
          <w:rFonts w:hint="eastAsia"/>
          <w:lang w:val="zh-CN"/>
        </w:rPr>
        <w:t>应符合现行国家标准《信息安全技术</w:t>
      </w:r>
      <w:r w:rsidRPr="00FD50F6">
        <w:rPr>
          <w:rFonts w:hint="eastAsia"/>
          <w:lang w:val="zh-CN"/>
        </w:rPr>
        <w:t xml:space="preserve"> </w:t>
      </w:r>
      <w:r w:rsidRPr="00FD50F6">
        <w:rPr>
          <w:rFonts w:hint="eastAsia"/>
          <w:lang w:val="zh-CN"/>
        </w:rPr>
        <w:t>网络安全等级保护基本要求》</w:t>
      </w:r>
      <w:r w:rsidRPr="00FD50F6">
        <w:rPr>
          <w:lang w:val="zh-CN"/>
        </w:rPr>
        <w:t>GB</w:t>
      </w:r>
      <w:r w:rsidRPr="00FD50F6">
        <w:rPr>
          <w:rFonts w:hint="eastAsia"/>
          <w:lang w:val="zh-CN"/>
        </w:rPr>
        <w:t>/T</w:t>
      </w:r>
      <w:r w:rsidRPr="00FD50F6">
        <w:rPr>
          <w:lang w:val="zh-CN"/>
        </w:rPr>
        <w:t xml:space="preserve"> </w:t>
      </w:r>
      <w:r w:rsidRPr="00FD50F6">
        <w:rPr>
          <w:rFonts w:hint="eastAsia"/>
          <w:lang w:val="zh-CN"/>
        </w:rPr>
        <w:t>2223</w:t>
      </w:r>
      <w:r w:rsidRPr="00FD50F6">
        <w:rPr>
          <w:lang w:val="zh-CN"/>
        </w:rPr>
        <w:t>9</w:t>
      </w:r>
      <w:r w:rsidRPr="00FD50F6">
        <w:rPr>
          <w:rFonts w:hint="eastAsia"/>
          <w:lang w:val="zh-CN"/>
        </w:rPr>
        <w:t>的规定。</w:t>
      </w:r>
    </w:p>
    <w:p w14:paraId="5471A0F1" w14:textId="3D1BF0B6" w:rsidR="0037103A" w:rsidRPr="00FD50F6" w:rsidRDefault="002C00FF" w:rsidP="0037103A">
      <w:pPr>
        <w:pStyle w:val="30"/>
        <w:rPr>
          <w:lang w:val="zh-CN"/>
        </w:rPr>
      </w:pPr>
      <w:r w:rsidRPr="00FD50F6">
        <w:rPr>
          <w:rFonts w:hint="eastAsia"/>
        </w:rPr>
        <w:t>自动售检票</w:t>
      </w:r>
      <w:r w:rsidR="0037103A" w:rsidRPr="00FD50F6">
        <w:rPr>
          <w:rFonts w:hint="eastAsia"/>
          <w:lang w:val="zh-CN"/>
        </w:rPr>
        <w:t>清分系统时钟应以通信系统提供的标准时钟信号进行同步。</w:t>
      </w:r>
    </w:p>
    <w:p w14:paraId="263815F8" w14:textId="73EE51AD" w:rsidR="0037103A" w:rsidRPr="00FD50F6" w:rsidRDefault="0037103A" w:rsidP="0037103A">
      <w:pPr>
        <w:pStyle w:val="30"/>
        <w:rPr>
          <w:lang w:val="zh-CN"/>
        </w:rPr>
      </w:pPr>
      <w:r w:rsidRPr="00FD50F6">
        <w:rPr>
          <w:rFonts w:hint="eastAsia"/>
          <w:lang w:val="zh-CN"/>
        </w:rPr>
        <w:t>多元化支付系统时钟应以</w:t>
      </w:r>
      <w:r w:rsidR="002C00FF" w:rsidRPr="00FD50F6">
        <w:rPr>
          <w:rFonts w:hint="eastAsia"/>
        </w:rPr>
        <w:t>自动售检票</w:t>
      </w:r>
      <w:r w:rsidRPr="00FD50F6">
        <w:rPr>
          <w:rFonts w:hint="eastAsia"/>
          <w:lang w:val="zh-CN"/>
        </w:rPr>
        <w:t>清分系统的时钟信号为标准进行同步。</w:t>
      </w:r>
    </w:p>
    <w:p w14:paraId="50AF8B75" w14:textId="18C058B4" w:rsidR="0037103A" w:rsidRPr="00FD50F6" w:rsidRDefault="0037103A" w:rsidP="0037103A">
      <w:pPr>
        <w:pStyle w:val="30"/>
        <w:rPr>
          <w:lang w:val="zh-CN"/>
        </w:rPr>
      </w:pPr>
      <w:r w:rsidRPr="00FD50F6">
        <w:rPr>
          <w:rFonts w:hint="eastAsia"/>
          <w:lang w:val="zh-CN"/>
        </w:rPr>
        <w:t>线路中心系统时钟应以</w:t>
      </w:r>
      <w:r w:rsidR="002C00FF" w:rsidRPr="00FD50F6">
        <w:rPr>
          <w:rFonts w:hint="eastAsia"/>
        </w:rPr>
        <w:t>自动售检票</w:t>
      </w:r>
      <w:r w:rsidRPr="00FD50F6">
        <w:rPr>
          <w:rFonts w:hint="eastAsia"/>
          <w:lang w:val="zh-CN"/>
        </w:rPr>
        <w:t>清分系统的时钟信号为标准进行同步。</w:t>
      </w:r>
    </w:p>
    <w:p w14:paraId="7985E277" w14:textId="77777777" w:rsidR="0037103A" w:rsidRPr="00FD50F6" w:rsidRDefault="0037103A" w:rsidP="0037103A">
      <w:pPr>
        <w:pStyle w:val="30"/>
        <w:rPr>
          <w:lang w:val="zh-CN"/>
        </w:rPr>
      </w:pPr>
      <w:r w:rsidRPr="00FD50F6">
        <w:rPr>
          <w:rFonts w:hint="eastAsia"/>
          <w:lang w:val="zh-CN"/>
        </w:rPr>
        <w:t>车站计算机系统时钟应以线路中心系统的时钟信号为标准进行同步。</w:t>
      </w:r>
    </w:p>
    <w:p w14:paraId="204DDCB4" w14:textId="77777777" w:rsidR="0037103A" w:rsidRPr="00FD50F6" w:rsidRDefault="0037103A" w:rsidP="0037103A">
      <w:pPr>
        <w:pStyle w:val="30"/>
        <w:rPr>
          <w:lang w:val="zh-CN"/>
        </w:rPr>
      </w:pPr>
      <w:r w:rsidRPr="00FD50F6">
        <w:rPr>
          <w:rFonts w:hint="eastAsia"/>
          <w:lang w:val="zh-CN"/>
        </w:rPr>
        <w:t>车站终端设备的时钟应以车站计算机系统的时钟信号为标准进行同步。</w:t>
      </w:r>
    </w:p>
    <w:p w14:paraId="6618A767" w14:textId="77777777" w:rsidR="0037103A" w:rsidRPr="00FD50F6" w:rsidRDefault="0037103A" w:rsidP="00A65181">
      <w:pPr>
        <w:pStyle w:val="2"/>
      </w:pPr>
      <w:bookmarkStart w:id="825" w:name="_Toc457937907"/>
      <w:bookmarkStart w:id="826" w:name="_Toc458462934"/>
      <w:bookmarkStart w:id="827" w:name="_Toc458463324"/>
      <w:bookmarkStart w:id="828" w:name="_Toc112830790"/>
      <w:r w:rsidRPr="00FD50F6">
        <w:rPr>
          <w:rFonts w:hint="eastAsia"/>
        </w:rPr>
        <w:t>电源、接地及防雷</w:t>
      </w:r>
      <w:bookmarkEnd w:id="825"/>
      <w:bookmarkEnd w:id="826"/>
      <w:bookmarkEnd w:id="827"/>
      <w:bookmarkEnd w:id="828"/>
    </w:p>
    <w:p w14:paraId="5ADAF53B" w14:textId="2617B8CD" w:rsidR="0037103A" w:rsidRPr="00FD50F6" w:rsidRDefault="002C00FF" w:rsidP="0037103A">
      <w:pPr>
        <w:pStyle w:val="30"/>
        <w:rPr>
          <w:lang w:val="zh-CN"/>
        </w:rPr>
      </w:pPr>
      <w:r w:rsidRPr="00FD50F6">
        <w:rPr>
          <w:rFonts w:hint="eastAsia"/>
        </w:rPr>
        <w:t>自动售检票</w:t>
      </w:r>
      <w:r w:rsidR="0037103A" w:rsidRPr="00FD50F6">
        <w:rPr>
          <w:lang w:val="zh-CN"/>
        </w:rPr>
        <w:t>清分系统、</w:t>
      </w:r>
      <w:r w:rsidR="0037103A" w:rsidRPr="00FD50F6">
        <w:rPr>
          <w:rFonts w:hint="eastAsia"/>
          <w:lang w:val="zh-CN"/>
        </w:rPr>
        <w:t>多元化支付系统</w:t>
      </w:r>
      <w:r w:rsidR="0037103A" w:rsidRPr="00FD50F6">
        <w:rPr>
          <w:lang w:val="zh-CN"/>
        </w:rPr>
        <w:t>、线路</w:t>
      </w:r>
      <w:r w:rsidR="0037103A" w:rsidRPr="00FD50F6">
        <w:rPr>
          <w:rFonts w:hint="eastAsia"/>
          <w:lang w:val="zh-CN"/>
        </w:rPr>
        <w:t>中心</w:t>
      </w:r>
      <w:r w:rsidR="0037103A" w:rsidRPr="00FD50F6">
        <w:rPr>
          <w:lang w:val="zh-CN"/>
        </w:rPr>
        <w:t>系统、车站计算机系统、车站终端设备的</w:t>
      </w:r>
      <w:r w:rsidR="0037103A" w:rsidRPr="00FD50F6">
        <w:rPr>
          <w:rFonts w:hint="eastAsia"/>
          <w:lang w:val="zh-CN"/>
        </w:rPr>
        <w:t>负荷用电等级</w:t>
      </w:r>
      <w:r w:rsidR="0037103A" w:rsidRPr="00FD50F6">
        <w:rPr>
          <w:lang w:val="zh-CN"/>
        </w:rPr>
        <w:t>应为一级，维修测试系统的</w:t>
      </w:r>
      <w:r w:rsidR="0037103A" w:rsidRPr="00FD50F6">
        <w:rPr>
          <w:rFonts w:hint="eastAsia"/>
          <w:lang w:val="zh-CN"/>
        </w:rPr>
        <w:t>负荷用电等级可</w:t>
      </w:r>
      <w:r w:rsidR="0037103A" w:rsidRPr="00FD50F6">
        <w:rPr>
          <w:lang w:val="zh-CN"/>
        </w:rPr>
        <w:t>为</w:t>
      </w:r>
      <w:r w:rsidR="0037103A" w:rsidRPr="00FD50F6">
        <w:rPr>
          <w:rFonts w:hint="eastAsia"/>
          <w:lang w:val="zh-CN"/>
        </w:rPr>
        <w:t>二</w:t>
      </w:r>
      <w:r w:rsidR="0037103A" w:rsidRPr="00FD50F6">
        <w:rPr>
          <w:lang w:val="zh-CN"/>
        </w:rPr>
        <w:t>级。</w:t>
      </w:r>
    </w:p>
    <w:p w14:paraId="1CFEB7F8" w14:textId="4E9DC31C" w:rsidR="0037103A" w:rsidRPr="00FD50F6" w:rsidRDefault="0037103A" w:rsidP="0037103A">
      <w:pPr>
        <w:pStyle w:val="30"/>
        <w:rPr>
          <w:lang w:val="zh-CN"/>
        </w:rPr>
      </w:pPr>
      <w:r w:rsidRPr="00FD50F6">
        <w:rPr>
          <w:rFonts w:hint="eastAsia"/>
          <w:lang w:val="zh-CN"/>
        </w:rPr>
        <w:t>配电设计应符合现行国家标准《低压配电设计规范》</w:t>
      </w:r>
      <w:r w:rsidRPr="00FD50F6">
        <w:rPr>
          <w:lang w:val="zh-CN"/>
        </w:rPr>
        <w:t xml:space="preserve">GB 50054 </w:t>
      </w:r>
      <w:r w:rsidRPr="00FD50F6">
        <w:rPr>
          <w:rFonts w:hint="eastAsia"/>
          <w:lang w:val="zh-CN"/>
        </w:rPr>
        <w:t>的规定。</w:t>
      </w:r>
    </w:p>
    <w:p w14:paraId="72E46F45" w14:textId="0C39C783" w:rsidR="0037103A" w:rsidRPr="00FD50F6" w:rsidRDefault="0037103A" w:rsidP="0037103A">
      <w:pPr>
        <w:pStyle w:val="30"/>
        <w:rPr>
          <w:lang w:val="zh-CN"/>
        </w:rPr>
      </w:pPr>
      <w:r w:rsidRPr="00FD50F6">
        <w:rPr>
          <w:rFonts w:hint="eastAsia"/>
          <w:lang w:val="zh-CN"/>
        </w:rPr>
        <w:t>配电设计时各相负载应均衡，设备在开机、关机时并应避免对电源的冲击；应方便维修。</w:t>
      </w:r>
    </w:p>
    <w:p w14:paraId="408DA387" w14:textId="77777777" w:rsidR="0037103A" w:rsidRPr="00FD50F6" w:rsidRDefault="0037103A" w:rsidP="0037103A">
      <w:pPr>
        <w:pStyle w:val="30"/>
        <w:rPr>
          <w:lang w:val="zh-CN"/>
        </w:rPr>
      </w:pPr>
      <w:r w:rsidRPr="00FD50F6">
        <w:rPr>
          <w:rFonts w:hint="eastAsia"/>
          <w:lang w:val="zh-CN"/>
        </w:rPr>
        <w:t>自动售检票系统配电箱宜单独设置，地上车站配电箱应设置防雷保护模块。</w:t>
      </w:r>
    </w:p>
    <w:p w14:paraId="14C73675" w14:textId="7AE009EB" w:rsidR="0037103A" w:rsidRPr="00FD50F6" w:rsidRDefault="0037103A" w:rsidP="0037103A">
      <w:pPr>
        <w:pStyle w:val="30"/>
        <w:rPr>
          <w:lang w:val="zh-CN"/>
        </w:rPr>
      </w:pPr>
      <w:r w:rsidRPr="00FD50F6">
        <w:rPr>
          <w:rFonts w:hint="eastAsia"/>
          <w:lang w:val="zh-CN"/>
        </w:rPr>
        <w:t>车站设备宜根据环境温度设置加热回路。</w:t>
      </w:r>
    </w:p>
    <w:p w14:paraId="3980D3C3" w14:textId="77777777" w:rsidR="0037103A" w:rsidRPr="00FD50F6" w:rsidRDefault="0037103A" w:rsidP="0037103A">
      <w:pPr>
        <w:pStyle w:val="30"/>
        <w:rPr>
          <w:lang w:val="zh-CN"/>
        </w:rPr>
      </w:pPr>
      <w:r w:rsidRPr="00FD50F6">
        <w:rPr>
          <w:rFonts w:hint="eastAsia"/>
          <w:lang w:val="zh-CN"/>
        </w:rPr>
        <w:t>单独配置的不间断电源应具备电源网络管理功能。</w:t>
      </w:r>
    </w:p>
    <w:p w14:paraId="1E48AE98" w14:textId="77777777" w:rsidR="0037103A" w:rsidRPr="00FD50F6" w:rsidRDefault="0037103A" w:rsidP="0037103A">
      <w:pPr>
        <w:pStyle w:val="30"/>
        <w:rPr>
          <w:lang w:val="zh-CN"/>
        </w:rPr>
      </w:pPr>
      <w:r w:rsidRPr="00FD50F6">
        <w:rPr>
          <w:rFonts w:hint="eastAsia"/>
          <w:lang w:val="zh-CN"/>
        </w:rPr>
        <w:t>系统应与其他系统共用接地装置，接地电阻不应大于</w:t>
      </w:r>
      <w:r w:rsidRPr="00FD50F6">
        <w:rPr>
          <w:lang w:val="zh-CN"/>
        </w:rPr>
        <w:t>1</w:t>
      </w:r>
      <w:r w:rsidRPr="00FD50F6">
        <w:rPr>
          <w:rFonts w:hint="eastAsia"/>
          <w:lang w:val="zh-CN"/>
        </w:rPr>
        <w:t>Ω。</w:t>
      </w:r>
    </w:p>
    <w:p w14:paraId="655EAD05" w14:textId="77777777" w:rsidR="0037103A" w:rsidRPr="00FD50F6" w:rsidRDefault="0037103A" w:rsidP="0037103A">
      <w:pPr>
        <w:pStyle w:val="30"/>
        <w:rPr>
          <w:lang w:val="zh-CN"/>
        </w:rPr>
      </w:pPr>
      <w:r w:rsidRPr="00FD50F6">
        <w:rPr>
          <w:rFonts w:hint="eastAsia"/>
          <w:lang w:val="zh-CN"/>
        </w:rPr>
        <w:t>车站终端设备、金属管、槽、盒等应进行电气连接，并应可靠接地。</w:t>
      </w:r>
    </w:p>
    <w:p w14:paraId="7C2094AB" w14:textId="7FE9775D" w:rsidR="0037103A" w:rsidRPr="00FD50F6" w:rsidRDefault="0037103A" w:rsidP="0037103A">
      <w:pPr>
        <w:pStyle w:val="30"/>
        <w:rPr>
          <w:lang w:val="zh-CN"/>
        </w:rPr>
      </w:pPr>
      <w:r w:rsidRPr="00FD50F6">
        <w:rPr>
          <w:rFonts w:hint="eastAsia"/>
          <w:lang w:val="zh-CN"/>
        </w:rPr>
        <w:t>系统设备防雷接地和建筑防雷接地与保护接地应合用一组接地体，并</w:t>
      </w:r>
      <w:r w:rsidRPr="00FD50F6">
        <w:rPr>
          <w:rFonts w:hint="eastAsia"/>
        </w:rPr>
        <w:t>应</w:t>
      </w:r>
      <w:r w:rsidRPr="00FD50F6">
        <w:rPr>
          <w:rFonts w:hint="eastAsia"/>
          <w:lang w:val="zh-CN"/>
        </w:rPr>
        <w:lastRenderedPageBreak/>
        <w:t>在系统配电箱进线侧设置防浪涌设备。</w:t>
      </w:r>
    </w:p>
    <w:p w14:paraId="08F46DFE" w14:textId="77777777" w:rsidR="0037103A" w:rsidRPr="00FD50F6" w:rsidRDefault="0037103A" w:rsidP="00A65181">
      <w:pPr>
        <w:pStyle w:val="2"/>
      </w:pPr>
      <w:bookmarkStart w:id="829" w:name="_Toc457937908"/>
      <w:bookmarkStart w:id="830" w:name="_Toc458462935"/>
      <w:bookmarkStart w:id="831" w:name="_Toc458463325"/>
      <w:bookmarkStart w:id="832" w:name="_Toc112830791"/>
      <w:r w:rsidRPr="00FD50F6">
        <w:rPr>
          <w:rFonts w:hint="eastAsia"/>
        </w:rPr>
        <w:t>系统布线</w:t>
      </w:r>
      <w:bookmarkEnd w:id="829"/>
      <w:bookmarkEnd w:id="830"/>
      <w:bookmarkEnd w:id="831"/>
      <w:bookmarkEnd w:id="832"/>
    </w:p>
    <w:p w14:paraId="242C6525" w14:textId="3A951E1A" w:rsidR="0037103A" w:rsidRPr="00FD50F6" w:rsidRDefault="0037103A" w:rsidP="0037103A">
      <w:pPr>
        <w:pStyle w:val="30"/>
        <w:rPr>
          <w:lang w:val="zh-CN"/>
        </w:rPr>
      </w:pPr>
      <w:r w:rsidRPr="00FD50F6">
        <w:rPr>
          <w:rFonts w:hint="eastAsia"/>
          <w:lang w:val="zh-CN"/>
        </w:rPr>
        <w:t>电力电缆、电线和网络电缆、光缆的敷设应分别符合现行国家标准《低压配电设计规范》</w:t>
      </w:r>
      <w:r w:rsidRPr="00FD50F6">
        <w:rPr>
          <w:lang w:val="zh-CN"/>
        </w:rPr>
        <w:t xml:space="preserve">GB 50054 </w:t>
      </w:r>
      <w:r w:rsidRPr="00FD50F6">
        <w:rPr>
          <w:rFonts w:hint="eastAsia"/>
          <w:lang w:val="zh-CN"/>
        </w:rPr>
        <w:t>和《综合布线系统工程设计规范》</w:t>
      </w:r>
      <w:r w:rsidRPr="00FD50F6">
        <w:rPr>
          <w:lang w:val="zh-CN"/>
        </w:rPr>
        <w:t>GB 50311</w:t>
      </w:r>
      <w:r w:rsidRPr="00FD50F6">
        <w:rPr>
          <w:rFonts w:hint="eastAsia"/>
          <w:lang w:val="zh-CN"/>
        </w:rPr>
        <w:t>的规定。</w:t>
      </w:r>
    </w:p>
    <w:p w14:paraId="5630F4F0" w14:textId="77777777" w:rsidR="0037103A" w:rsidRPr="00FD50F6" w:rsidRDefault="0037103A" w:rsidP="0037103A">
      <w:pPr>
        <w:pStyle w:val="30"/>
        <w:rPr>
          <w:lang w:val="zh-CN"/>
        </w:rPr>
      </w:pPr>
      <w:r w:rsidRPr="00FD50F6">
        <w:rPr>
          <w:rFonts w:hint="eastAsia"/>
          <w:lang w:val="zh-CN"/>
        </w:rPr>
        <w:t>电力电缆、电线和网络电缆、光缆应采用低烟、无卤、阻燃材料。</w:t>
      </w:r>
    </w:p>
    <w:p w14:paraId="2F317361" w14:textId="77777777" w:rsidR="0037103A" w:rsidRPr="00FD50F6" w:rsidRDefault="0037103A" w:rsidP="0037103A">
      <w:pPr>
        <w:pStyle w:val="30"/>
        <w:rPr>
          <w:lang w:val="zh-CN"/>
        </w:rPr>
      </w:pPr>
      <w:r w:rsidRPr="00FD50F6">
        <w:rPr>
          <w:rFonts w:hint="eastAsia"/>
          <w:lang w:val="zh-CN"/>
        </w:rPr>
        <w:t>车站网络的铜芯电缆应采用屏蔽型。</w:t>
      </w:r>
    </w:p>
    <w:p w14:paraId="17242210" w14:textId="77777777" w:rsidR="0037103A" w:rsidRPr="00FD50F6" w:rsidRDefault="0037103A" w:rsidP="0037103A">
      <w:pPr>
        <w:pStyle w:val="30"/>
        <w:rPr>
          <w:lang w:val="zh-CN"/>
        </w:rPr>
      </w:pPr>
      <w:r w:rsidRPr="00FD50F6">
        <w:rPr>
          <w:rFonts w:hint="eastAsia"/>
          <w:lang w:val="zh-CN"/>
        </w:rPr>
        <w:t>电力电缆、电线和网络电缆、光缆应分管或分槽敷设，预埋管、槽、盒应防腐、防水。</w:t>
      </w:r>
    </w:p>
    <w:p w14:paraId="603B80C6" w14:textId="77777777" w:rsidR="0037103A" w:rsidRPr="00FD50F6" w:rsidRDefault="0037103A" w:rsidP="0037103A">
      <w:pPr>
        <w:pStyle w:val="30"/>
        <w:rPr>
          <w:lang w:val="zh-CN"/>
        </w:rPr>
      </w:pPr>
      <w:r w:rsidRPr="00FD50F6">
        <w:rPr>
          <w:rFonts w:hint="eastAsia"/>
          <w:lang w:val="zh-CN"/>
        </w:rPr>
        <w:t>埋设于地面装修层内的线槽尺寸应结合所敷电力电缆、电线或网络电缆、光缆截面积、占空比、装修层厚度、结构正误差等数据计算确定。</w:t>
      </w:r>
    </w:p>
    <w:p w14:paraId="65C81846" w14:textId="77777777" w:rsidR="0037103A" w:rsidRPr="00FD50F6" w:rsidRDefault="0037103A" w:rsidP="00A65181">
      <w:pPr>
        <w:pStyle w:val="2"/>
      </w:pPr>
      <w:bookmarkStart w:id="833" w:name="_Toc112830792"/>
      <w:bookmarkStart w:id="834" w:name="_Toc457937911"/>
      <w:bookmarkStart w:id="835" w:name="_Toc458462938"/>
      <w:bookmarkStart w:id="836" w:name="_Toc458463328"/>
      <w:r w:rsidRPr="00FD50F6">
        <w:rPr>
          <w:rFonts w:hint="eastAsia"/>
        </w:rPr>
        <w:t>设备选型、配置及布置</w:t>
      </w:r>
      <w:bookmarkEnd w:id="833"/>
    </w:p>
    <w:p w14:paraId="4858284B" w14:textId="7BE870AF" w:rsidR="0037103A" w:rsidRPr="00FD50F6" w:rsidRDefault="0037103A" w:rsidP="0037103A">
      <w:pPr>
        <w:pStyle w:val="30"/>
        <w:rPr>
          <w:lang w:val="zh-CN"/>
        </w:rPr>
      </w:pPr>
      <w:r w:rsidRPr="00FD50F6">
        <w:rPr>
          <w:rFonts w:hint="eastAsia"/>
          <w:lang w:val="zh-CN"/>
        </w:rPr>
        <w:t>车站终端设备所配置的模块应整合设置，每组宜不少于</w:t>
      </w:r>
      <w:r w:rsidRPr="00FD50F6">
        <w:rPr>
          <w:rFonts w:hint="eastAsia"/>
          <w:lang w:val="zh-CN"/>
        </w:rPr>
        <w:t>2</w:t>
      </w:r>
      <w:r w:rsidRPr="00FD50F6">
        <w:rPr>
          <w:rFonts w:hint="eastAsia"/>
          <w:lang w:val="zh-CN"/>
        </w:rPr>
        <w:t>台。</w:t>
      </w:r>
    </w:p>
    <w:p w14:paraId="790EB08A" w14:textId="1F37F34B" w:rsidR="0037103A" w:rsidRPr="00FD50F6" w:rsidRDefault="0037103A" w:rsidP="0037103A">
      <w:pPr>
        <w:pStyle w:val="30"/>
        <w:rPr>
          <w:lang w:val="zh-CN"/>
        </w:rPr>
      </w:pPr>
      <w:r w:rsidRPr="00FD50F6">
        <w:rPr>
          <w:rFonts w:hint="eastAsia"/>
          <w:lang w:val="zh-CN"/>
        </w:rPr>
        <w:t>自动售票机的设置每组宜不少于</w:t>
      </w:r>
      <w:r w:rsidRPr="00FD50F6">
        <w:rPr>
          <w:rFonts w:hint="eastAsia"/>
          <w:lang w:val="zh-CN"/>
        </w:rPr>
        <w:t>2</w:t>
      </w:r>
      <w:r w:rsidRPr="00FD50F6">
        <w:rPr>
          <w:rFonts w:hint="eastAsia"/>
          <w:lang w:val="zh-CN"/>
        </w:rPr>
        <w:t>台。</w:t>
      </w:r>
    </w:p>
    <w:p w14:paraId="4397A288" w14:textId="23C04CFA" w:rsidR="0037103A" w:rsidRPr="00FD50F6" w:rsidRDefault="0037103A" w:rsidP="0037103A">
      <w:pPr>
        <w:pStyle w:val="30"/>
        <w:rPr>
          <w:lang w:val="zh-CN"/>
        </w:rPr>
      </w:pPr>
      <w:r w:rsidRPr="00FD50F6">
        <w:rPr>
          <w:rFonts w:hint="eastAsia"/>
          <w:lang w:val="zh-CN"/>
        </w:rPr>
        <w:t>半自动售票机的设置应结合客流数据、车站售补票区域的分布和运营需求综合确定。</w:t>
      </w:r>
    </w:p>
    <w:p w14:paraId="2B4313C0" w14:textId="30CCB36F" w:rsidR="0037103A" w:rsidRPr="00FD50F6" w:rsidRDefault="0037103A" w:rsidP="0037103A">
      <w:pPr>
        <w:pStyle w:val="30"/>
        <w:rPr>
          <w:lang w:val="zh-CN"/>
        </w:rPr>
      </w:pPr>
      <w:r w:rsidRPr="00FD50F6">
        <w:rPr>
          <w:rFonts w:hint="eastAsia"/>
          <w:lang w:val="zh-CN"/>
        </w:rPr>
        <w:t>在付费区与非付费区交界处应设置</w:t>
      </w:r>
      <w:r w:rsidRPr="00FD50F6">
        <w:rPr>
          <w:lang w:val="zh-CN"/>
        </w:rPr>
        <w:t xml:space="preserve">1 </w:t>
      </w:r>
      <w:r w:rsidRPr="00FD50F6">
        <w:rPr>
          <w:rFonts w:hint="eastAsia"/>
          <w:lang w:val="zh-CN"/>
        </w:rPr>
        <w:t>台半自动售票机用于补票。</w:t>
      </w:r>
    </w:p>
    <w:p w14:paraId="47596625" w14:textId="259D74AC" w:rsidR="0037103A" w:rsidRPr="00FD50F6" w:rsidRDefault="0037103A" w:rsidP="0037103A">
      <w:pPr>
        <w:pStyle w:val="30"/>
        <w:rPr>
          <w:lang w:val="zh-CN"/>
        </w:rPr>
      </w:pPr>
      <w:r w:rsidRPr="00FD50F6">
        <w:rPr>
          <w:lang w:val="zh-CN"/>
        </w:rPr>
        <w:t>每组</w:t>
      </w:r>
      <w:r w:rsidRPr="00FD50F6">
        <w:rPr>
          <w:rFonts w:hint="eastAsia"/>
          <w:lang w:val="zh-CN"/>
        </w:rPr>
        <w:t>同功能的</w:t>
      </w:r>
      <w:r w:rsidR="000B6613" w:rsidRPr="00FD50F6">
        <w:rPr>
          <w:lang w:val="zh-CN"/>
        </w:rPr>
        <w:t>自动检票机的设置</w:t>
      </w:r>
      <w:r w:rsidRPr="00FD50F6">
        <w:rPr>
          <w:lang w:val="zh-CN"/>
        </w:rPr>
        <w:t>不</w:t>
      </w:r>
      <w:r w:rsidRPr="00FD50F6">
        <w:rPr>
          <w:rFonts w:hint="eastAsia"/>
          <w:lang w:val="zh-CN"/>
        </w:rPr>
        <w:t>宜</w:t>
      </w:r>
      <w:r w:rsidRPr="00FD50F6">
        <w:rPr>
          <w:lang w:val="zh-CN"/>
        </w:rPr>
        <w:t>少于</w:t>
      </w:r>
      <w:r w:rsidRPr="00FD50F6">
        <w:rPr>
          <w:lang w:val="zh-CN"/>
        </w:rPr>
        <w:t>3</w:t>
      </w:r>
      <w:r w:rsidRPr="00FD50F6">
        <w:rPr>
          <w:lang w:val="zh-CN"/>
        </w:rPr>
        <w:t>通道。</w:t>
      </w:r>
    </w:p>
    <w:p w14:paraId="4BB07886" w14:textId="7F626847" w:rsidR="0037103A" w:rsidRPr="00FD50F6" w:rsidRDefault="0037103A" w:rsidP="0037103A">
      <w:pPr>
        <w:pStyle w:val="30"/>
        <w:rPr>
          <w:lang w:val="zh-CN"/>
        </w:rPr>
      </w:pPr>
      <w:r w:rsidRPr="00FD50F6">
        <w:rPr>
          <w:rFonts w:hint="eastAsia"/>
          <w:lang w:val="zh-CN"/>
        </w:rPr>
        <w:t>自动检票机宜根据车站早晚高峰分向客流特点及运营管理需求，提高双向检票机配置数量。</w:t>
      </w:r>
    </w:p>
    <w:p w14:paraId="4C0C99C6" w14:textId="63EB0D18" w:rsidR="0037103A" w:rsidRPr="00FD50F6" w:rsidRDefault="0037103A" w:rsidP="0037103A">
      <w:pPr>
        <w:pStyle w:val="30"/>
        <w:rPr>
          <w:lang w:val="zh-CN"/>
        </w:rPr>
      </w:pPr>
      <w:bookmarkStart w:id="837" w:name="_Toc306206830"/>
      <w:r w:rsidRPr="00FD50F6">
        <w:rPr>
          <w:lang w:val="zh-CN"/>
        </w:rPr>
        <w:t>每个独立的付费区</w:t>
      </w:r>
      <w:r w:rsidRPr="00FD50F6">
        <w:rPr>
          <w:rFonts w:hint="eastAsia"/>
          <w:lang w:val="zh-CN"/>
        </w:rPr>
        <w:t>设置的宽通道</w:t>
      </w:r>
      <w:r w:rsidRPr="00FD50F6">
        <w:rPr>
          <w:lang w:val="zh-CN"/>
        </w:rPr>
        <w:t>双向自动检票机</w:t>
      </w:r>
      <w:r w:rsidRPr="00FD50F6">
        <w:rPr>
          <w:rFonts w:hint="eastAsia"/>
          <w:lang w:val="zh-CN"/>
        </w:rPr>
        <w:t>数量应</w:t>
      </w:r>
      <w:r w:rsidRPr="00FD50F6">
        <w:rPr>
          <w:rFonts w:ascii="宋体" w:hAnsi="宋体" w:hint="eastAsia"/>
          <w:lang w:val="zh-CN"/>
        </w:rPr>
        <w:t>不少于</w:t>
      </w:r>
      <w:r w:rsidRPr="00FD50F6">
        <w:rPr>
          <w:rFonts w:hint="eastAsia"/>
          <w:lang w:val="zh-CN"/>
        </w:rPr>
        <w:t>1</w:t>
      </w:r>
      <w:r w:rsidRPr="00FD50F6">
        <w:rPr>
          <w:rFonts w:hint="eastAsia"/>
          <w:lang w:val="zh-CN"/>
        </w:rPr>
        <w:t>个通道；当车站周边与交通枢纽、大型场馆、大型商业区邻近时，应结合客流特点及车站建筑布局确定宽通道自动检票机的配置数量。</w:t>
      </w:r>
      <w:r w:rsidRPr="00FD50F6">
        <w:rPr>
          <w:lang w:val="zh-CN"/>
        </w:rPr>
        <w:t>宽通道自动检票机通道净距</w:t>
      </w:r>
      <w:r w:rsidRPr="00FD50F6">
        <w:rPr>
          <w:rFonts w:hint="eastAsia"/>
          <w:lang w:val="zh-CN"/>
        </w:rPr>
        <w:t>不应小于</w:t>
      </w:r>
      <w:r w:rsidRPr="00FD50F6">
        <w:rPr>
          <w:lang w:val="zh-CN"/>
        </w:rPr>
        <w:t>900mm</w:t>
      </w:r>
      <w:r w:rsidRPr="00FD50F6">
        <w:rPr>
          <w:lang w:val="zh-CN"/>
        </w:rPr>
        <w:t>。</w:t>
      </w:r>
      <w:bookmarkEnd w:id="837"/>
    </w:p>
    <w:p w14:paraId="1A742CC1" w14:textId="77777777" w:rsidR="0037103A" w:rsidRPr="00FD50F6" w:rsidRDefault="0037103A" w:rsidP="0037103A">
      <w:pPr>
        <w:pStyle w:val="30"/>
        <w:rPr>
          <w:lang w:val="zh-CN"/>
        </w:rPr>
      </w:pPr>
      <w:r w:rsidRPr="00FD50F6">
        <w:rPr>
          <w:rFonts w:hint="eastAsia"/>
          <w:lang w:val="zh-CN"/>
        </w:rPr>
        <w:t>便携式检验票机宜按每站不少于</w:t>
      </w:r>
      <w:r w:rsidRPr="00FD50F6">
        <w:rPr>
          <w:rFonts w:hint="eastAsia"/>
          <w:lang w:val="zh-CN"/>
        </w:rPr>
        <w:t>2</w:t>
      </w:r>
      <w:r w:rsidRPr="00FD50F6">
        <w:rPr>
          <w:lang w:val="zh-CN"/>
        </w:rPr>
        <w:t xml:space="preserve"> </w:t>
      </w:r>
      <w:r w:rsidRPr="00FD50F6">
        <w:rPr>
          <w:rFonts w:hint="eastAsia"/>
          <w:lang w:val="zh-CN"/>
        </w:rPr>
        <w:t>台设置。</w:t>
      </w:r>
    </w:p>
    <w:p w14:paraId="75E5AA32" w14:textId="7D6BE974" w:rsidR="0037103A" w:rsidRPr="00FD50F6" w:rsidRDefault="0037103A" w:rsidP="0037103A">
      <w:pPr>
        <w:pStyle w:val="30"/>
        <w:rPr>
          <w:lang w:val="zh-CN"/>
        </w:rPr>
      </w:pPr>
      <w:r w:rsidRPr="00FD50F6">
        <w:rPr>
          <w:rFonts w:hint="eastAsia"/>
          <w:lang w:val="zh-CN"/>
        </w:rPr>
        <w:t>设备布置应符合本标准第</w:t>
      </w:r>
      <w:r w:rsidR="004467FE" w:rsidRPr="00FD50F6">
        <w:rPr>
          <w:rFonts w:hint="eastAsia"/>
          <w:lang w:val="zh-CN"/>
        </w:rPr>
        <w:t>10</w:t>
      </w:r>
      <w:r w:rsidRPr="00FD50F6">
        <w:rPr>
          <w:rFonts w:hint="eastAsia"/>
          <w:lang w:val="zh-CN"/>
        </w:rPr>
        <w:t>.</w:t>
      </w:r>
      <w:r w:rsidR="004467FE" w:rsidRPr="00FD50F6">
        <w:rPr>
          <w:rFonts w:hint="eastAsia"/>
          <w:lang w:val="zh-CN"/>
        </w:rPr>
        <w:t>4</w:t>
      </w:r>
      <w:r w:rsidRPr="00FD50F6">
        <w:rPr>
          <w:lang w:val="zh-CN"/>
        </w:rPr>
        <w:t xml:space="preserve"> </w:t>
      </w:r>
      <w:r w:rsidRPr="00FD50F6">
        <w:rPr>
          <w:rFonts w:hint="eastAsia"/>
          <w:lang w:val="zh-CN"/>
        </w:rPr>
        <w:t>节的规定，并应避免阳光直射。</w:t>
      </w:r>
    </w:p>
    <w:p w14:paraId="06BF4850" w14:textId="718BA271" w:rsidR="0037103A" w:rsidRPr="00FD50F6" w:rsidRDefault="0037103A" w:rsidP="0037103A">
      <w:pPr>
        <w:pStyle w:val="30"/>
      </w:pPr>
      <w:r w:rsidRPr="00FD50F6">
        <w:rPr>
          <w:rFonts w:hint="eastAsia"/>
          <w:lang w:val="zh-CN"/>
        </w:rPr>
        <w:t>设备与周边墙、柱的距离应满足设备使用要求、维修要求和土建施工误</w:t>
      </w:r>
      <w:r w:rsidRPr="00FD50F6">
        <w:rPr>
          <w:rFonts w:hint="eastAsia"/>
          <w:lang w:val="zh-CN"/>
        </w:rPr>
        <w:lastRenderedPageBreak/>
        <w:t>差。</w:t>
      </w:r>
    </w:p>
    <w:p w14:paraId="7345DA2F" w14:textId="77777777" w:rsidR="0037103A" w:rsidRPr="00FD50F6" w:rsidRDefault="0037103A" w:rsidP="00A65181">
      <w:pPr>
        <w:pStyle w:val="2"/>
      </w:pPr>
      <w:bookmarkStart w:id="838" w:name="_Toc457937912"/>
      <w:bookmarkStart w:id="839" w:name="_Toc458462939"/>
      <w:bookmarkStart w:id="840" w:name="_Toc458463329"/>
      <w:bookmarkStart w:id="841" w:name="_Toc112830793"/>
      <w:bookmarkEnd w:id="834"/>
      <w:bookmarkEnd w:id="835"/>
      <w:bookmarkEnd w:id="836"/>
      <w:r w:rsidRPr="00FD50F6">
        <w:rPr>
          <w:rFonts w:hint="eastAsia"/>
        </w:rPr>
        <w:t>设备用房</w:t>
      </w:r>
      <w:bookmarkEnd w:id="838"/>
      <w:bookmarkEnd w:id="839"/>
      <w:bookmarkEnd w:id="840"/>
      <w:bookmarkEnd w:id="841"/>
    </w:p>
    <w:p w14:paraId="59D034F5" w14:textId="771947EB" w:rsidR="0037103A" w:rsidRPr="00FD50F6" w:rsidRDefault="0037103A" w:rsidP="0037103A">
      <w:pPr>
        <w:pStyle w:val="30"/>
        <w:rPr>
          <w:lang w:val="zh-CN"/>
        </w:rPr>
      </w:pPr>
      <w:r w:rsidRPr="00FD50F6">
        <w:rPr>
          <w:rFonts w:hint="eastAsia"/>
          <w:lang w:val="zh-CN"/>
        </w:rPr>
        <w:t>地铁自动售检票系统设备用房宜包括</w:t>
      </w:r>
      <w:r w:rsidR="002C00FF" w:rsidRPr="00FD50F6">
        <w:rPr>
          <w:rFonts w:hint="eastAsia"/>
        </w:rPr>
        <w:t>自动售检票</w:t>
      </w:r>
      <w:r w:rsidRPr="00FD50F6">
        <w:rPr>
          <w:rFonts w:hint="eastAsia"/>
          <w:lang w:val="zh-CN"/>
        </w:rPr>
        <w:t>清分系统、多元化支付系统、线路中心、综合维修基地和车站用房等。</w:t>
      </w:r>
    </w:p>
    <w:p w14:paraId="238C8CD2" w14:textId="1FE8EC19" w:rsidR="0037103A" w:rsidRPr="00FD50F6" w:rsidRDefault="002C00FF" w:rsidP="0037103A">
      <w:pPr>
        <w:pStyle w:val="30"/>
        <w:rPr>
          <w:lang w:val="zh-CN"/>
        </w:rPr>
      </w:pPr>
      <w:r w:rsidRPr="00FD50F6">
        <w:rPr>
          <w:rFonts w:hint="eastAsia"/>
        </w:rPr>
        <w:t>自动售检票</w:t>
      </w:r>
      <w:r w:rsidR="0037103A" w:rsidRPr="00FD50F6">
        <w:rPr>
          <w:rFonts w:hint="eastAsia"/>
          <w:lang w:val="zh-CN"/>
        </w:rPr>
        <w:t>清分系统用房宜包括机房、电源室、业务处理室、票务管理室、车票编码室、密钥及软件管理室、记名票及印刷制作车间、储票库房、车票分发室、车票回收及修复室、票务及财务纠纷洽谈接待室、车票清洗消毒室、车票清洗消毒液存放室、备品备件库房、行政办公室、值班室、资料室及相关办公用房等。</w:t>
      </w:r>
    </w:p>
    <w:p w14:paraId="62032AC1" w14:textId="77777777" w:rsidR="0037103A" w:rsidRPr="00FD50F6" w:rsidRDefault="0037103A" w:rsidP="0037103A">
      <w:pPr>
        <w:pStyle w:val="30"/>
        <w:rPr>
          <w:lang w:val="zh-CN"/>
        </w:rPr>
      </w:pPr>
      <w:r w:rsidRPr="00FD50F6">
        <w:rPr>
          <w:rFonts w:hint="eastAsia"/>
          <w:lang w:val="zh-CN"/>
        </w:rPr>
        <w:t>多元化支付系统用房宜包括机房、电源室、业务处理室、密钥及软件管理室、行政办公室、值班室、资料室及相关办公用房等。</w:t>
      </w:r>
    </w:p>
    <w:p w14:paraId="2E8C1F7B" w14:textId="77777777" w:rsidR="0037103A" w:rsidRPr="00FD50F6" w:rsidRDefault="0037103A" w:rsidP="0037103A">
      <w:pPr>
        <w:pStyle w:val="30"/>
        <w:rPr>
          <w:lang w:val="zh-CN"/>
        </w:rPr>
      </w:pPr>
      <w:r w:rsidRPr="00FD50F6">
        <w:rPr>
          <w:rFonts w:hint="eastAsia"/>
          <w:lang w:val="zh-CN"/>
        </w:rPr>
        <w:t>线路中心用房宜包括机房、电源室、网管室、运行控制室、票务管理室、清算对账室、资料室及相关办公用房等，其中机房、电源室、网管室可由控制中心工艺专业统一设置。</w:t>
      </w:r>
    </w:p>
    <w:p w14:paraId="50A084B4" w14:textId="77777777" w:rsidR="0037103A" w:rsidRPr="00FD50F6" w:rsidRDefault="0037103A" w:rsidP="0037103A">
      <w:pPr>
        <w:pStyle w:val="30"/>
        <w:rPr>
          <w:lang w:val="zh-CN"/>
        </w:rPr>
      </w:pPr>
      <w:r w:rsidRPr="00FD50F6">
        <w:rPr>
          <w:rFonts w:hint="eastAsia"/>
          <w:lang w:val="zh-CN"/>
        </w:rPr>
        <w:t>综合维修基地用房宜包括机房、电源室、维修管理室、电子维修间、机械维修间、仪器仪表间、备品备件间、技术室、班组用房、资料室、模拟测试室、培训室、配线间等，其中电子维修间、机械维修间、备品间宜设置在首层。</w:t>
      </w:r>
    </w:p>
    <w:p w14:paraId="390FD11F" w14:textId="171C191C" w:rsidR="0037103A" w:rsidRPr="00FD50F6" w:rsidRDefault="0037103A" w:rsidP="0037103A">
      <w:pPr>
        <w:pStyle w:val="30"/>
        <w:rPr>
          <w:lang w:val="zh-CN"/>
        </w:rPr>
      </w:pPr>
      <w:r w:rsidRPr="00FD50F6">
        <w:rPr>
          <w:rFonts w:hint="eastAsia"/>
          <w:lang w:val="zh-CN"/>
        </w:rPr>
        <w:t>车站用房宜包括自动售检票系统的设备室、票务室、配线间、维修工区、车票分拣室和售票亭等，其中设备室、维修工区可与相关弱电专业统一设置。设备室和配线间的用房面积应满足系统升级改造期间的新旧设备同时运行所需的安装空间。</w:t>
      </w:r>
    </w:p>
    <w:p w14:paraId="2ED66309" w14:textId="60E3FE39" w:rsidR="0037103A" w:rsidRPr="00FD50F6" w:rsidRDefault="0037103A" w:rsidP="0037103A">
      <w:pPr>
        <w:pStyle w:val="30"/>
        <w:rPr>
          <w:lang w:val="zh-CN"/>
        </w:rPr>
      </w:pPr>
      <w:r w:rsidRPr="00FD50F6">
        <w:rPr>
          <w:rFonts w:hint="eastAsia"/>
          <w:lang w:val="zh-CN"/>
        </w:rPr>
        <w:t>自动售检票系统设备室应设置在站厅，并应靠近公共区。自动售检票系统票务室应与</w:t>
      </w:r>
      <w:r w:rsidR="00AC1333">
        <w:rPr>
          <w:rFonts w:hint="eastAsia"/>
          <w:lang w:val="zh-CN"/>
        </w:rPr>
        <w:t>车站控制室</w:t>
      </w:r>
      <w:r w:rsidRPr="00FD50F6">
        <w:rPr>
          <w:rFonts w:hint="eastAsia"/>
          <w:lang w:val="zh-CN"/>
        </w:rPr>
        <w:t>相邻近，并宜位于同一走廊。自动售检票系统配线间应设置在站厅非</w:t>
      </w:r>
      <w:r w:rsidR="00AC1333">
        <w:rPr>
          <w:rFonts w:hint="eastAsia"/>
          <w:lang w:val="zh-CN"/>
        </w:rPr>
        <w:t>车站控制室</w:t>
      </w:r>
      <w:r w:rsidRPr="00FD50F6">
        <w:rPr>
          <w:rFonts w:hint="eastAsia"/>
          <w:lang w:val="zh-CN"/>
        </w:rPr>
        <w:t>端，并应靠近公共区。</w:t>
      </w:r>
    </w:p>
    <w:p w14:paraId="71A222C3" w14:textId="77777777" w:rsidR="0037103A" w:rsidRPr="00FD50F6" w:rsidRDefault="0037103A" w:rsidP="0037103A">
      <w:pPr>
        <w:pStyle w:val="30"/>
        <w:rPr>
          <w:lang w:val="zh-CN"/>
        </w:rPr>
      </w:pPr>
      <w:r w:rsidRPr="00FD50F6">
        <w:rPr>
          <w:rFonts w:hint="eastAsia"/>
          <w:lang w:val="zh-CN"/>
        </w:rPr>
        <w:t>自动售检票系统车票分拣室应根据全线车站数量和车票调配量在</w:t>
      </w:r>
      <w:r w:rsidRPr="00FD50F6">
        <w:rPr>
          <w:lang w:val="zh-CN"/>
        </w:rPr>
        <w:t>1</w:t>
      </w:r>
      <w:r w:rsidRPr="00FD50F6">
        <w:rPr>
          <w:rFonts w:hint="eastAsia"/>
          <w:lang w:val="zh-CN"/>
        </w:rPr>
        <w:t>～</w:t>
      </w:r>
      <w:r w:rsidRPr="00FD50F6">
        <w:rPr>
          <w:lang w:val="zh-CN"/>
        </w:rPr>
        <w:t xml:space="preserve">2 </w:t>
      </w:r>
      <w:r w:rsidRPr="00FD50F6">
        <w:rPr>
          <w:rFonts w:hint="eastAsia"/>
          <w:lang w:val="zh-CN"/>
        </w:rPr>
        <w:t>座车站设置。自动售检票系统维修工区宜每</w:t>
      </w:r>
      <w:r w:rsidRPr="00FD50F6">
        <w:rPr>
          <w:rFonts w:hint="eastAsia"/>
          <w:lang w:val="zh-CN"/>
        </w:rPr>
        <w:t>4</w:t>
      </w:r>
      <w:r w:rsidRPr="00FD50F6">
        <w:rPr>
          <w:rFonts w:hint="eastAsia"/>
          <w:lang w:val="zh-CN"/>
        </w:rPr>
        <w:t>～</w:t>
      </w:r>
      <w:r w:rsidRPr="00FD50F6">
        <w:rPr>
          <w:rFonts w:hint="eastAsia"/>
          <w:lang w:val="zh-CN"/>
        </w:rPr>
        <w:t>6</w:t>
      </w:r>
      <w:r w:rsidRPr="00FD50F6">
        <w:rPr>
          <w:rFonts w:hint="eastAsia"/>
          <w:lang w:val="zh-CN"/>
        </w:rPr>
        <w:t>座车站设置</w:t>
      </w:r>
      <w:r w:rsidRPr="00FD50F6">
        <w:rPr>
          <w:lang w:val="zh-CN"/>
        </w:rPr>
        <w:t>1</w:t>
      </w:r>
      <w:r w:rsidRPr="00FD50F6">
        <w:rPr>
          <w:rFonts w:hint="eastAsia"/>
          <w:lang w:val="zh-CN"/>
        </w:rPr>
        <w:t>处。</w:t>
      </w:r>
    </w:p>
    <w:p w14:paraId="741C9284" w14:textId="00607ABA" w:rsidR="0037103A" w:rsidRPr="00FD50F6" w:rsidRDefault="0037103A" w:rsidP="0037103A">
      <w:pPr>
        <w:pStyle w:val="30"/>
        <w:rPr>
          <w:lang w:val="zh-CN"/>
        </w:rPr>
      </w:pPr>
      <w:r w:rsidRPr="00FD50F6">
        <w:rPr>
          <w:rFonts w:hint="eastAsia"/>
          <w:lang w:val="zh-CN"/>
        </w:rPr>
        <w:t>售票亭应兼顾售票和补票。售票亭的净深不宜小于</w:t>
      </w:r>
      <w:r w:rsidRPr="00FD50F6">
        <w:rPr>
          <w:lang w:val="zh-CN"/>
        </w:rPr>
        <w:t>1800mm</w:t>
      </w:r>
      <w:r w:rsidRPr="00FD50F6">
        <w:rPr>
          <w:rFonts w:hint="eastAsia"/>
          <w:lang w:val="zh-CN"/>
        </w:rPr>
        <w:t>，操作面宽不宜小于</w:t>
      </w:r>
      <w:r w:rsidRPr="00FD50F6">
        <w:rPr>
          <w:lang w:val="zh-CN"/>
        </w:rPr>
        <w:t>2000mm/</w:t>
      </w:r>
      <w:r w:rsidRPr="00FD50F6">
        <w:rPr>
          <w:rFonts w:hint="eastAsia"/>
          <w:lang w:val="zh-CN"/>
        </w:rPr>
        <w:t>售票工位，售票窗台高度不宜高于</w:t>
      </w:r>
      <w:r w:rsidRPr="00FD50F6">
        <w:rPr>
          <w:lang w:val="zh-CN"/>
        </w:rPr>
        <w:t>1100mm</w:t>
      </w:r>
      <w:r w:rsidRPr="00FD50F6">
        <w:rPr>
          <w:rFonts w:hint="eastAsia"/>
          <w:lang w:val="zh-CN"/>
        </w:rPr>
        <w:t>，低位售票窗台高</w:t>
      </w:r>
      <w:r w:rsidRPr="00FD50F6">
        <w:rPr>
          <w:rFonts w:hint="eastAsia"/>
          <w:lang w:val="zh-CN"/>
        </w:rPr>
        <w:lastRenderedPageBreak/>
        <w:t>度不宜高于</w:t>
      </w:r>
      <w:r w:rsidRPr="00FD50F6">
        <w:rPr>
          <w:lang w:val="zh-CN"/>
        </w:rPr>
        <w:t>800mm</w:t>
      </w:r>
      <w:r w:rsidRPr="00FD50F6">
        <w:rPr>
          <w:rFonts w:hint="eastAsia"/>
          <w:lang w:val="zh-CN"/>
        </w:rPr>
        <w:t>。售票亭每个售票窗口宜设置语音对讲设施。</w:t>
      </w:r>
    </w:p>
    <w:p w14:paraId="072DBF94" w14:textId="77777777" w:rsidR="0037103A" w:rsidRPr="00FD50F6" w:rsidRDefault="0037103A" w:rsidP="0037103A">
      <w:pPr>
        <w:pStyle w:val="30"/>
        <w:rPr>
          <w:lang w:val="zh-CN"/>
        </w:rPr>
      </w:pPr>
      <w:r w:rsidRPr="00FD50F6">
        <w:rPr>
          <w:rFonts w:hint="eastAsia"/>
          <w:lang w:val="zh-CN"/>
        </w:rPr>
        <w:t>同站台换乘站设备用房宜合设，同站厅换乘站自动售检票系统票务室应根据具体车站类型确定。通道换乘站设备用房应分设。</w:t>
      </w:r>
    </w:p>
    <w:p w14:paraId="19924DFD" w14:textId="77777777" w:rsidR="0037103A" w:rsidRPr="00FD50F6" w:rsidRDefault="0037103A" w:rsidP="00A65181">
      <w:pPr>
        <w:pStyle w:val="2"/>
      </w:pPr>
      <w:bookmarkStart w:id="842" w:name="_Toc112830794"/>
      <w:bookmarkStart w:id="843" w:name="_Toc112830795"/>
      <w:bookmarkStart w:id="844" w:name="_Toc457937913"/>
      <w:bookmarkStart w:id="845" w:name="_Toc458462940"/>
      <w:bookmarkStart w:id="846" w:name="_Toc458463330"/>
      <w:bookmarkStart w:id="847" w:name="_Toc112830796"/>
      <w:bookmarkEnd w:id="842"/>
      <w:bookmarkEnd w:id="843"/>
      <w:r w:rsidRPr="00FD50F6">
        <w:rPr>
          <w:rFonts w:hint="eastAsia"/>
        </w:rPr>
        <w:t>系统接口</w:t>
      </w:r>
      <w:bookmarkEnd w:id="844"/>
      <w:bookmarkEnd w:id="845"/>
      <w:bookmarkEnd w:id="846"/>
      <w:bookmarkEnd w:id="847"/>
    </w:p>
    <w:p w14:paraId="1CC6B18D" w14:textId="537358B8" w:rsidR="0037103A" w:rsidRPr="00FD50F6" w:rsidRDefault="0037103A" w:rsidP="0037103A">
      <w:pPr>
        <w:pStyle w:val="30"/>
        <w:rPr>
          <w:lang w:val="zh-CN"/>
        </w:rPr>
      </w:pPr>
      <w:r w:rsidRPr="00FD50F6">
        <w:rPr>
          <w:rFonts w:hint="eastAsia"/>
          <w:lang w:val="zh-CN"/>
        </w:rPr>
        <w:t>自动售检票系统接口应包括多元化支付系统与第三方支付系统的接口，</w:t>
      </w:r>
      <w:r w:rsidR="0020368E" w:rsidRPr="00FD50F6">
        <w:rPr>
          <w:rFonts w:hint="eastAsia"/>
        </w:rPr>
        <w:t>自动售检票</w:t>
      </w:r>
      <w:r w:rsidRPr="00FD50F6">
        <w:rPr>
          <w:rFonts w:hint="eastAsia"/>
          <w:lang w:val="zh-CN"/>
        </w:rPr>
        <w:t>清分系统与城市一卡通的接口，</w:t>
      </w:r>
      <w:r w:rsidR="0020368E" w:rsidRPr="00FD50F6">
        <w:rPr>
          <w:rFonts w:hint="eastAsia"/>
        </w:rPr>
        <w:t>自动售检票</w:t>
      </w:r>
      <w:r w:rsidRPr="00FD50F6">
        <w:rPr>
          <w:rFonts w:hint="eastAsia"/>
          <w:lang w:val="zh-CN"/>
        </w:rPr>
        <w:t>清分系统与多元化支付系统的接口，</w:t>
      </w:r>
      <w:r w:rsidR="0020368E" w:rsidRPr="00FD50F6">
        <w:rPr>
          <w:rFonts w:hint="eastAsia"/>
        </w:rPr>
        <w:t>自动售检票</w:t>
      </w:r>
      <w:r w:rsidRPr="00FD50F6">
        <w:rPr>
          <w:rFonts w:hint="eastAsia"/>
          <w:lang w:val="zh-CN"/>
        </w:rPr>
        <w:t>清分系统与线路中心系统的接口，线路中心系统内部各层级间接口，以及地铁与</w:t>
      </w:r>
      <w:r w:rsidR="006F70EE">
        <w:rPr>
          <w:rFonts w:hint="eastAsia"/>
          <w:lang w:val="zh-CN"/>
        </w:rPr>
        <w:t>其他</w:t>
      </w:r>
      <w:r w:rsidRPr="00FD50F6">
        <w:rPr>
          <w:rFonts w:hint="eastAsia"/>
          <w:lang w:val="zh-CN"/>
        </w:rPr>
        <w:t>收费系统的接口。</w:t>
      </w:r>
    </w:p>
    <w:p w14:paraId="0D9626C2" w14:textId="0B1F75FF" w:rsidR="0037103A" w:rsidRPr="00FD50F6" w:rsidRDefault="0037103A" w:rsidP="0037103A">
      <w:pPr>
        <w:pStyle w:val="30"/>
        <w:rPr>
          <w:lang w:val="zh-CN"/>
        </w:rPr>
      </w:pPr>
      <w:r w:rsidRPr="00FD50F6">
        <w:rPr>
          <w:rFonts w:hint="eastAsia"/>
          <w:lang w:val="zh-CN"/>
        </w:rPr>
        <w:t>自动售检票工程接口应包括与建筑、装修、通信系统、供电系统、动力照明系统、综合监控系统、火灾自动报警系统、通风空调系统等的接口。</w:t>
      </w:r>
    </w:p>
    <w:p w14:paraId="4FCBBFEE" w14:textId="63B08EE7" w:rsidR="001A1CE1" w:rsidRPr="00FD50F6" w:rsidRDefault="001A1CE1" w:rsidP="0037103A">
      <w:pPr>
        <w:pStyle w:val="30"/>
        <w:numPr>
          <w:ilvl w:val="0"/>
          <w:numId w:val="0"/>
        </w:numPr>
        <w:ind w:left="284"/>
        <w:rPr>
          <w:lang w:val="zh-CN"/>
        </w:rPr>
      </w:pPr>
    </w:p>
    <w:p w14:paraId="42D52639" w14:textId="06282969" w:rsidR="00D70A4C" w:rsidRPr="00FD50F6" w:rsidRDefault="00D70A4C">
      <w:pPr>
        <w:widowControl/>
        <w:spacing w:line="240" w:lineRule="auto"/>
        <w:jc w:val="left"/>
        <w:rPr>
          <w:lang w:val="zh-CN"/>
        </w:rPr>
      </w:pPr>
      <w:r w:rsidRPr="00FD50F6">
        <w:rPr>
          <w:lang w:val="zh-CN"/>
        </w:rPr>
        <w:br w:type="page"/>
      </w:r>
    </w:p>
    <w:p w14:paraId="7A0CA73E" w14:textId="75FB75DF" w:rsidR="003D4B2A" w:rsidRPr="00FD50F6" w:rsidRDefault="003D4B2A" w:rsidP="003D4B2A">
      <w:pPr>
        <w:pStyle w:val="12"/>
      </w:pPr>
      <w:bookmarkStart w:id="848" w:name="_Toc471293429"/>
      <w:bookmarkStart w:id="849" w:name="_Toc477185315"/>
      <w:bookmarkStart w:id="850" w:name="_Toc477248817"/>
      <w:bookmarkStart w:id="851" w:name="_Toc483217426"/>
      <w:bookmarkStart w:id="852" w:name="_Toc112830797"/>
      <w:r w:rsidRPr="00FD50F6">
        <w:rPr>
          <w:rFonts w:hint="eastAsia"/>
        </w:rPr>
        <w:lastRenderedPageBreak/>
        <w:t>火灾自动报警</w:t>
      </w:r>
      <w:bookmarkEnd w:id="848"/>
      <w:bookmarkEnd w:id="849"/>
      <w:bookmarkEnd w:id="850"/>
      <w:bookmarkEnd w:id="851"/>
      <w:r w:rsidR="00F4075F" w:rsidRPr="00FD50F6">
        <w:rPr>
          <w:rFonts w:hint="eastAsia"/>
        </w:rPr>
        <w:t>系统</w:t>
      </w:r>
      <w:bookmarkEnd w:id="852"/>
    </w:p>
    <w:p w14:paraId="5278F427" w14:textId="777C2B65" w:rsidR="003D4B2A" w:rsidRPr="00FD50F6" w:rsidRDefault="003D4B2A" w:rsidP="00010C49">
      <w:pPr>
        <w:pStyle w:val="2"/>
        <w:numPr>
          <w:ilvl w:val="1"/>
          <w:numId w:val="50"/>
        </w:numPr>
      </w:pPr>
      <w:bookmarkStart w:id="853" w:name="_Toc313611278"/>
      <w:bookmarkStart w:id="854" w:name="_Toc239158150"/>
      <w:bookmarkStart w:id="855" w:name="_Toc471293430"/>
      <w:bookmarkStart w:id="856" w:name="_Toc477185316"/>
      <w:bookmarkStart w:id="857" w:name="_Toc477248818"/>
      <w:bookmarkStart w:id="858" w:name="_Toc483217427"/>
      <w:bookmarkStart w:id="859" w:name="_Toc112830798"/>
      <w:r w:rsidRPr="00FD50F6">
        <w:rPr>
          <w:rFonts w:hint="eastAsia"/>
        </w:rPr>
        <w:t>一般规定</w:t>
      </w:r>
      <w:bookmarkEnd w:id="853"/>
      <w:bookmarkEnd w:id="854"/>
      <w:bookmarkEnd w:id="855"/>
      <w:bookmarkEnd w:id="856"/>
      <w:bookmarkEnd w:id="857"/>
      <w:bookmarkEnd w:id="858"/>
      <w:bookmarkEnd w:id="859"/>
    </w:p>
    <w:p w14:paraId="389EBB5E" w14:textId="77777777" w:rsidR="0001294E" w:rsidRPr="00FD50F6" w:rsidRDefault="0001294E" w:rsidP="0001294E">
      <w:pPr>
        <w:pStyle w:val="30"/>
      </w:pPr>
      <w:r w:rsidRPr="00FD50F6">
        <w:rPr>
          <w:rFonts w:hint="eastAsia"/>
        </w:rPr>
        <w:t>地铁车站、区间隧道、区间变电所及系统设备用房、控制中心、车辆基地、主变电所、集中冷站等场所应设置火灾自动报警系统。</w:t>
      </w:r>
    </w:p>
    <w:p w14:paraId="3C86C79C" w14:textId="6FFD9A01" w:rsidR="0001294E" w:rsidRPr="001A4CF3" w:rsidRDefault="0090483B" w:rsidP="0001294E">
      <w:pPr>
        <w:pStyle w:val="30"/>
      </w:pPr>
      <w:r w:rsidRPr="00FD50F6">
        <w:rPr>
          <w:rFonts w:hint="eastAsia"/>
        </w:rPr>
        <w:t>地铁应与</w:t>
      </w:r>
      <w:r w:rsidRPr="001A4CF3">
        <w:rPr>
          <w:rFonts w:hint="eastAsia"/>
        </w:rPr>
        <w:t>地铁工程毗邻的商业等非地铁功能场所</w:t>
      </w:r>
      <w:r w:rsidR="0001294E" w:rsidRPr="001A4CF3">
        <w:rPr>
          <w:rFonts w:hint="eastAsia"/>
        </w:rPr>
        <w:t>，实现火灾自动报警信息交互。</w:t>
      </w:r>
    </w:p>
    <w:p w14:paraId="7197A38F" w14:textId="77777777" w:rsidR="004142B4" w:rsidRPr="00FD50F6" w:rsidRDefault="004142B4" w:rsidP="00A65181">
      <w:pPr>
        <w:pStyle w:val="2"/>
      </w:pPr>
      <w:bookmarkStart w:id="860" w:name="_Toc112830799"/>
      <w:r w:rsidRPr="00FD50F6">
        <w:rPr>
          <w:rFonts w:hint="eastAsia"/>
        </w:rPr>
        <w:t>系统构成</w:t>
      </w:r>
      <w:bookmarkEnd w:id="860"/>
    </w:p>
    <w:p w14:paraId="616A975D" w14:textId="6F0A163E" w:rsidR="004142B4" w:rsidRPr="00FD50F6" w:rsidRDefault="004142B4" w:rsidP="004142B4">
      <w:pPr>
        <w:pStyle w:val="30"/>
      </w:pPr>
      <w:r w:rsidRPr="00FD50F6">
        <w:rPr>
          <w:rFonts w:hint="eastAsia"/>
        </w:rPr>
        <w:t>火灾自动报警系统宜采用中心级、车站级和就地级三级网络架构。</w:t>
      </w:r>
    </w:p>
    <w:p w14:paraId="513DB2B6" w14:textId="478D1130" w:rsidR="004142B4" w:rsidRPr="00FD50F6" w:rsidRDefault="004142B4" w:rsidP="004142B4">
      <w:pPr>
        <w:pStyle w:val="30"/>
      </w:pPr>
      <w:r w:rsidRPr="00FD50F6">
        <w:rPr>
          <w:rFonts w:hint="eastAsia"/>
        </w:rPr>
        <w:t>线路火灾自动报警系统的信息传输网络宜采用独立的组网方式，当采用公共传输网络时应采用专用信道。</w:t>
      </w:r>
    </w:p>
    <w:p w14:paraId="46FDC77C" w14:textId="77777777" w:rsidR="004142B4" w:rsidRPr="00FD50F6" w:rsidRDefault="004142B4" w:rsidP="004142B4">
      <w:pPr>
        <w:pStyle w:val="30"/>
      </w:pPr>
      <w:r w:rsidRPr="00FD50F6">
        <w:rPr>
          <w:rFonts w:hint="eastAsia"/>
        </w:rPr>
        <w:t>区间变电所、区间设备用房等处设置的区域火灾报警控制器，应就近接入车站消防控制室的集中火灾报警控制器。</w:t>
      </w:r>
    </w:p>
    <w:p w14:paraId="10DAB1F2" w14:textId="77777777" w:rsidR="004142B4" w:rsidRPr="00FD50F6" w:rsidRDefault="004142B4" w:rsidP="004142B4">
      <w:pPr>
        <w:pStyle w:val="30"/>
      </w:pPr>
      <w:r w:rsidRPr="00FD50F6">
        <w:rPr>
          <w:rFonts w:hint="eastAsia"/>
        </w:rPr>
        <w:t>车辆基地设置的区域火灾报警控制器，应接入车辆基地消防控制室的集中火灾报警控制器。</w:t>
      </w:r>
    </w:p>
    <w:p w14:paraId="30E958D9" w14:textId="09D92818" w:rsidR="004142B4" w:rsidRPr="00FD50F6" w:rsidRDefault="004142B4" w:rsidP="004142B4">
      <w:pPr>
        <w:pStyle w:val="30"/>
      </w:pPr>
      <w:r w:rsidRPr="00FD50F6">
        <w:rPr>
          <w:rFonts w:hint="eastAsia"/>
        </w:rPr>
        <w:t>火灾自动报警系统就地级网络应独立配置。</w:t>
      </w:r>
    </w:p>
    <w:p w14:paraId="34EB62E4" w14:textId="2B544623" w:rsidR="004142B4" w:rsidRPr="00FD50F6" w:rsidRDefault="004142B4" w:rsidP="00A65181">
      <w:pPr>
        <w:pStyle w:val="2"/>
      </w:pPr>
      <w:bookmarkStart w:id="861" w:name="_Toc236495295"/>
      <w:bookmarkStart w:id="862" w:name="_Toc236755147"/>
      <w:bookmarkStart w:id="863" w:name="_Toc306207343"/>
      <w:bookmarkStart w:id="864" w:name="_Toc320196073"/>
      <w:bookmarkStart w:id="865" w:name="_Toc320643462"/>
      <w:bookmarkStart w:id="866" w:name="_Toc324853682"/>
      <w:bookmarkStart w:id="867" w:name="_Toc112830800"/>
      <w:bookmarkStart w:id="868" w:name="_Toc306207199"/>
      <w:bookmarkStart w:id="869" w:name="_Toc306207390"/>
      <w:bookmarkStart w:id="870" w:name="_Toc320196079"/>
      <w:bookmarkStart w:id="871" w:name="_Toc320643468"/>
      <w:bookmarkStart w:id="872" w:name="_Toc344218830"/>
      <w:r w:rsidRPr="00FD50F6">
        <w:rPr>
          <w:rFonts w:hint="eastAsia"/>
        </w:rPr>
        <w:t>监控管理功能</w:t>
      </w:r>
      <w:bookmarkEnd w:id="861"/>
      <w:bookmarkEnd w:id="862"/>
      <w:bookmarkEnd w:id="863"/>
      <w:bookmarkEnd w:id="864"/>
      <w:bookmarkEnd w:id="865"/>
      <w:bookmarkEnd w:id="866"/>
      <w:bookmarkEnd w:id="867"/>
    </w:p>
    <w:p w14:paraId="15B93C86" w14:textId="77777777" w:rsidR="004142B4" w:rsidRPr="00FD50F6" w:rsidRDefault="004142B4" w:rsidP="004142B4">
      <w:pPr>
        <w:pStyle w:val="30"/>
      </w:pPr>
      <w:bookmarkStart w:id="873" w:name="_Toc306207155"/>
      <w:bookmarkStart w:id="874" w:name="_Toc306207346"/>
      <w:r w:rsidRPr="00FD50F6">
        <w:rPr>
          <w:rFonts w:hint="eastAsia"/>
        </w:rPr>
        <w:t>中心级火灾自动报警系统应具备下列功能：</w:t>
      </w:r>
      <w:bookmarkEnd w:id="873"/>
      <w:bookmarkEnd w:id="874"/>
    </w:p>
    <w:p w14:paraId="7E53A8FB" w14:textId="447DCF3D" w:rsidR="004142B4" w:rsidRPr="00FD50F6" w:rsidRDefault="004142B4" w:rsidP="00A926BD">
      <w:pPr>
        <w:pStyle w:val="4"/>
      </w:pPr>
      <w:r w:rsidRPr="00FD50F6">
        <w:rPr>
          <w:rFonts w:hint="eastAsia"/>
        </w:rPr>
        <w:t>与上一级系统实现信息交互。</w:t>
      </w:r>
    </w:p>
    <w:p w14:paraId="6A86B040" w14:textId="29842144" w:rsidR="004142B4" w:rsidRPr="00FD50F6" w:rsidRDefault="004142B4" w:rsidP="00A926BD">
      <w:pPr>
        <w:pStyle w:val="4"/>
      </w:pPr>
      <w:r w:rsidRPr="00FD50F6">
        <w:rPr>
          <w:rFonts w:hint="eastAsia"/>
        </w:rPr>
        <w:t>与车站级火灾自动报警系统进行通信联络。</w:t>
      </w:r>
    </w:p>
    <w:p w14:paraId="4C2465E2" w14:textId="4CFCF9D4" w:rsidR="004142B4" w:rsidRPr="001A4CF3" w:rsidRDefault="004142B4" w:rsidP="00A926BD">
      <w:pPr>
        <w:pStyle w:val="4"/>
      </w:pPr>
      <w:r w:rsidRPr="001A4CF3">
        <w:rPr>
          <w:rFonts w:hint="eastAsia"/>
        </w:rPr>
        <w:t>发布火灾报警信息</w:t>
      </w:r>
      <w:r w:rsidRPr="00FD50F6">
        <w:rPr>
          <w:rFonts w:hint="eastAsia"/>
        </w:rPr>
        <w:t>。</w:t>
      </w:r>
    </w:p>
    <w:p w14:paraId="2B6578C1" w14:textId="200928D6" w:rsidR="004142B4" w:rsidRPr="00FD50F6" w:rsidRDefault="004142B4" w:rsidP="00A926BD">
      <w:pPr>
        <w:pStyle w:val="4"/>
      </w:pPr>
      <w:r w:rsidRPr="00FD50F6">
        <w:rPr>
          <w:rFonts w:hint="eastAsia"/>
        </w:rPr>
        <w:t>显示全线火灾报警信息、消防设备设施的工作状态信息等。</w:t>
      </w:r>
    </w:p>
    <w:p w14:paraId="6673BB74" w14:textId="4AD66FA7" w:rsidR="00417F18" w:rsidRPr="00FD50F6" w:rsidRDefault="004142B4" w:rsidP="00A926BD">
      <w:pPr>
        <w:pStyle w:val="4"/>
      </w:pPr>
      <w:r w:rsidRPr="00FD50F6">
        <w:rPr>
          <w:rFonts w:hint="eastAsia"/>
        </w:rPr>
        <w:t>系统信息、状态的存储、查询、打印等。</w:t>
      </w:r>
    </w:p>
    <w:p w14:paraId="182BE5CB" w14:textId="77777777" w:rsidR="00417F18" w:rsidRPr="00FD50F6" w:rsidRDefault="00417F18" w:rsidP="00417F18">
      <w:pPr>
        <w:pStyle w:val="30"/>
      </w:pPr>
      <w:bookmarkStart w:id="875" w:name="_Toc306207156"/>
      <w:bookmarkStart w:id="876" w:name="_Toc306207347"/>
      <w:r w:rsidRPr="00FD50F6">
        <w:rPr>
          <w:rFonts w:hint="eastAsia"/>
        </w:rPr>
        <w:t>车站级火灾自动报警系统应具备下列功能：</w:t>
      </w:r>
    </w:p>
    <w:p w14:paraId="671B6B1E" w14:textId="1F8630D0" w:rsidR="00417F18" w:rsidRPr="00FD50F6" w:rsidRDefault="00417F18" w:rsidP="00010C49">
      <w:pPr>
        <w:pStyle w:val="4"/>
        <w:numPr>
          <w:ilvl w:val="4"/>
          <w:numId w:val="49"/>
        </w:numPr>
      </w:pPr>
      <w:r w:rsidRPr="00FD50F6">
        <w:rPr>
          <w:rFonts w:hint="eastAsia"/>
        </w:rPr>
        <w:t>与中心级火灾自动报警系统进行通信联络。</w:t>
      </w:r>
    </w:p>
    <w:p w14:paraId="21E95DF4" w14:textId="617485EA" w:rsidR="00417F18" w:rsidRPr="00FD50F6" w:rsidRDefault="00417F18" w:rsidP="00010C49">
      <w:pPr>
        <w:pStyle w:val="4"/>
        <w:numPr>
          <w:ilvl w:val="4"/>
          <w:numId w:val="49"/>
        </w:numPr>
      </w:pPr>
      <w:r w:rsidRPr="00FD50F6">
        <w:rPr>
          <w:rFonts w:hint="eastAsia"/>
        </w:rPr>
        <w:t>与就地级自动报警系统进行通信联络。</w:t>
      </w:r>
    </w:p>
    <w:p w14:paraId="10C61D61" w14:textId="5EAE1D9D" w:rsidR="00417F18" w:rsidRPr="00FD50F6" w:rsidRDefault="00417F18" w:rsidP="00010C49">
      <w:pPr>
        <w:pStyle w:val="4"/>
        <w:numPr>
          <w:ilvl w:val="4"/>
          <w:numId w:val="49"/>
        </w:numPr>
      </w:pPr>
      <w:r w:rsidRPr="00FD50F6">
        <w:rPr>
          <w:rFonts w:hint="eastAsia"/>
        </w:rPr>
        <w:lastRenderedPageBreak/>
        <w:t>发布消防控制指令，控制消防设备的启、停。</w:t>
      </w:r>
    </w:p>
    <w:p w14:paraId="1B61CD82" w14:textId="65440B35" w:rsidR="00417F18" w:rsidRPr="00FD50F6" w:rsidRDefault="00417F18" w:rsidP="00010C49">
      <w:pPr>
        <w:pStyle w:val="4"/>
        <w:numPr>
          <w:ilvl w:val="4"/>
          <w:numId w:val="49"/>
        </w:numPr>
      </w:pPr>
      <w:r w:rsidRPr="00FD50F6">
        <w:rPr>
          <w:rFonts w:hint="eastAsia"/>
        </w:rPr>
        <w:t>显示火灾报警信息、消防设备设施的工作状态信息等。</w:t>
      </w:r>
    </w:p>
    <w:p w14:paraId="1215C1B5" w14:textId="7B7CAA30" w:rsidR="00417F18" w:rsidRPr="00FD50F6" w:rsidRDefault="00417F18" w:rsidP="00010C49">
      <w:pPr>
        <w:pStyle w:val="4"/>
        <w:numPr>
          <w:ilvl w:val="4"/>
          <w:numId w:val="49"/>
        </w:numPr>
      </w:pPr>
      <w:r w:rsidRPr="00FD50F6">
        <w:rPr>
          <w:rFonts w:hint="eastAsia"/>
        </w:rPr>
        <w:t>系统信息、状态的存储、查询、打印等。</w:t>
      </w:r>
    </w:p>
    <w:bookmarkEnd w:id="875"/>
    <w:bookmarkEnd w:id="876"/>
    <w:p w14:paraId="67B4E92F" w14:textId="7899F9EE" w:rsidR="00417F18" w:rsidRPr="00FD50F6" w:rsidRDefault="00417F18" w:rsidP="00417F18">
      <w:pPr>
        <w:pStyle w:val="30"/>
      </w:pPr>
      <w:r w:rsidRPr="00FD50F6">
        <w:rPr>
          <w:rFonts w:hint="eastAsia"/>
        </w:rPr>
        <w:t>就地级火灾自动报警系统应具备下列功能：</w:t>
      </w:r>
    </w:p>
    <w:p w14:paraId="2262A544" w14:textId="46162176" w:rsidR="00417F18" w:rsidRPr="00FD50F6" w:rsidRDefault="00417F18" w:rsidP="00A926BD">
      <w:pPr>
        <w:pStyle w:val="4"/>
      </w:pPr>
      <w:r w:rsidRPr="00FD50F6">
        <w:rPr>
          <w:rFonts w:hint="eastAsia"/>
        </w:rPr>
        <w:t>采集火灾信息，上传车站级火灾自动报警系统。</w:t>
      </w:r>
    </w:p>
    <w:p w14:paraId="3D6AD87A" w14:textId="77777777" w:rsidR="00417F18" w:rsidRPr="00FD50F6" w:rsidRDefault="00417F18" w:rsidP="00A926BD">
      <w:pPr>
        <w:pStyle w:val="4"/>
      </w:pPr>
      <w:r w:rsidRPr="00FD50F6">
        <w:rPr>
          <w:rFonts w:hint="eastAsia"/>
        </w:rPr>
        <w:t>监视消防设备的工作状态。</w:t>
      </w:r>
    </w:p>
    <w:p w14:paraId="00EB2D02" w14:textId="2B2B78B1" w:rsidR="00417F18" w:rsidRPr="00FD50F6" w:rsidRDefault="00417F18" w:rsidP="00417F18">
      <w:pPr>
        <w:pStyle w:val="30"/>
      </w:pPr>
      <w:r w:rsidRPr="001A4CF3">
        <w:rPr>
          <w:rFonts w:hint="eastAsia"/>
        </w:rPr>
        <w:t>当列车采用</w:t>
      </w:r>
      <w:r w:rsidRPr="001A4CF3">
        <w:t>GOA4</w:t>
      </w:r>
      <w:r w:rsidRPr="00FD50F6">
        <w:rPr>
          <w:rFonts w:hint="eastAsia"/>
        </w:rPr>
        <w:t>自动化等级</w:t>
      </w:r>
      <w:r w:rsidRPr="001A4CF3">
        <w:rPr>
          <w:rFonts w:hint="eastAsia"/>
        </w:rPr>
        <w:t>运行时</w:t>
      </w:r>
      <w:r w:rsidRPr="00FD50F6">
        <w:rPr>
          <w:rFonts w:hint="eastAsia"/>
        </w:rPr>
        <w:t>，列车车厢应设火灾自动报警系统，并</w:t>
      </w:r>
      <w:r w:rsidRPr="001A4CF3">
        <w:rPr>
          <w:rFonts w:hint="eastAsia"/>
        </w:rPr>
        <w:t>应将火灾报警信息实时传至运营控制中心。</w:t>
      </w:r>
    </w:p>
    <w:p w14:paraId="2279A112" w14:textId="1B97D814" w:rsidR="00417F18" w:rsidRPr="00FD50F6" w:rsidRDefault="00417F18" w:rsidP="00A65181">
      <w:pPr>
        <w:pStyle w:val="2"/>
      </w:pPr>
      <w:bookmarkStart w:id="877" w:name="_Toc236495296"/>
      <w:bookmarkStart w:id="878" w:name="_Toc236755148"/>
      <w:bookmarkStart w:id="879" w:name="_Toc306207350"/>
      <w:bookmarkStart w:id="880" w:name="_Toc320196074"/>
      <w:bookmarkStart w:id="881" w:name="_Toc320643463"/>
      <w:bookmarkStart w:id="882" w:name="_Toc324853683"/>
      <w:bookmarkStart w:id="883" w:name="_Toc112830801"/>
      <w:r w:rsidRPr="00FD50F6">
        <w:rPr>
          <w:rFonts w:hint="eastAsia"/>
        </w:rPr>
        <w:t>消防控制</w:t>
      </w:r>
      <w:bookmarkEnd w:id="877"/>
      <w:bookmarkEnd w:id="878"/>
      <w:bookmarkEnd w:id="879"/>
      <w:bookmarkEnd w:id="880"/>
      <w:bookmarkEnd w:id="881"/>
      <w:bookmarkEnd w:id="882"/>
      <w:bookmarkEnd w:id="883"/>
      <w:r w:rsidRPr="00FD50F6">
        <w:t xml:space="preserve"> </w:t>
      </w:r>
    </w:p>
    <w:p w14:paraId="7B2ADBA0" w14:textId="25542D2C" w:rsidR="00417F18" w:rsidRPr="00FD50F6" w:rsidRDefault="00417F18" w:rsidP="00417F18">
      <w:pPr>
        <w:pStyle w:val="30"/>
      </w:pPr>
      <w:bookmarkStart w:id="884" w:name="_Toc306207160"/>
      <w:bookmarkStart w:id="885" w:name="_Toc306207351"/>
      <w:r w:rsidRPr="00FD50F6">
        <w:rPr>
          <w:rFonts w:hint="eastAsia"/>
        </w:rPr>
        <w:t>消防专用</w:t>
      </w:r>
      <w:r w:rsidRPr="00FD50F6">
        <w:t>设备应由</w:t>
      </w:r>
      <w:r w:rsidRPr="00FD50F6">
        <w:rPr>
          <w:rFonts w:hint="eastAsia"/>
        </w:rPr>
        <w:t>火灾自动报警系统</w:t>
      </w:r>
      <w:r w:rsidRPr="00FD50F6">
        <w:t>直接监控</w:t>
      </w:r>
      <w:r w:rsidRPr="00FD50F6">
        <w:rPr>
          <w:rFonts w:hint="eastAsia"/>
        </w:rPr>
        <w:t>；由</w:t>
      </w:r>
      <w:r w:rsidR="006F70EE">
        <w:rPr>
          <w:rFonts w:hint="eastAsia"/>
        </w:rPr>
        <w:t>其他</w:t>
      </w:r>
      <w:r w:rsidRPr="00FD50F6">
        <w:rPr>
          <w:rFonts w:hint="eastAsia"/>
        </w:rPr>
        <w:t>监控系统监控的日常运行和火灾时均需控制的设备，火灾时监控系统应优先接受火灾自动报警系统的指令进行控制。</w:t>
      </w:r>
    </w:p>
    <w:p w14:paraId="363889ED" w14:textId="77777777" w:rsidR="00417F18" w:rsidRPr="00FD50F6" w:rsidRDefault="00417F18" w:rsidP="00417F18">
      <w:pPr>
        <w:pStyle w:val="30"/>
      </w:pPr>
      <w:bookmarkStart w:id="886" w:name="_Toc306207161"/>
      <w:bookmarkStart w:id="887" w:name="_Toc306207352"/>
      <w:bookmarkEnd w:id="884"/>
      <w:bookmarkEnd w:id="885"/>
      <w:r w:rsidRPr="00FD50F6">
        <w:rPr>
          <w:rFonts w:hint="eastAsia"/>
        </w:rPr>
        <w:t>消火栓系统的控制应符合下列规定：</w:t>
      </w:r>
      <w:bookmarkEnd w:id="886"/>
      <w:bookmarkEnd w:id="887"/>
    </w:p>
    <w:p w14:paraId="5A6DF7E8" w14:textId="7F1106BF" w:rsidR="00A53C38" w:rsidRPr="00FD50F6" w:rsidRDefault="00A53C38" w:rsidP="00A926BD">
      <w:pPr>
        <w:pStyle w:val="4"/>
      </w:pPr>
      <w:r w:rsidRPr="00FD50F6">
        <w:rPr>
          <w:rFonts w:hint="eastAsia"/>
        </w:rPr>
        <w:t>当设置消火栓按钮时，消火栓按钮的动作信号应作为消火栓开启的报警信号及联动控制消火栓泵启动的触发信号</w:t>
      </w:r>
      <w:r w:rsidR="00417148" w:rsidRPr="00FD50F6">
        <w:rPr>
          <w:rFonts w:hint="eastAsia"/>
        </w:rPr>
        <w:t>。</w:t>
      </w:r>
    </w:p>
    <w:p w14:paraId="47CC6183" w14:textId="75943E56" w:rsidR="00A53C38" w:rsidRPr="00FD50F6" w:rsidRDefault="00A53C38" w:rsidP="00A926BD">
      <w:pPr>
        <w:pStyle w:val="4"/>
      </w:pPr>
      <w:r w:rsidRPr="00FD50F6">
        <w:rPr>
          <w:rFonts w:hint="eastAsia"/>
        </w:rPr>
        <w:t>消防控制室内应能手动操作消防联动控制器控制消火栓泵的启动、停止</w:t>
      </w:r>
      <w:r w:rsidR="00417148" w:rsidRPr="00FD50F6">
        <w:rPr>
          <w:rFonts w:hint="eastAsia"/>
        </w:rPr>
        <w:t>。</w:t>
      </w:r>
    </w:p>
    <w:p w14:paraId="06C5BD74" w14:textId="2E0A7C6D" w:rsidR="00A53C38" w:rsidRPr="00FD50F6" w:rsidRDefault="00A53C38" w:rsidP="00A926BD">
      <w:pPr>
        <w:pStyle w:val="4"/>
      </w:pPr>
      <w:r w:rsidRPr="00FD50F6">
        <w:rPr>
          <w:rFonts w:hint="eastAsia"/>
        </w:rPr>
        <w:t>消火栓泵的动作信号应反馈至消防联动控制器。</w:t>
      </w:r>
    </w:p>
    <w:p w14:paraId="66C5D41E" w14:textId="53285211" w:rsidR="00AC07AC" w:rsidRPr="00FD50F6" w:rsidRDefault="00A53C38" w:rsidP="00A926BD">
      <w:pPr>
        <w:pStyle w:val="4"/>
      </w:pPr>
      <w:r w:rsidRPr="00FD50F6">
        <w:rPr>
          <w:rFonts w:hint="eastAsia"/>
        </w:rPr>
        <w:t>消防控制室应控制消防给水干管电动阀门的开启、关闭，并显示其工作状态。</w:t>
      </w:r>
    </w:p>
    <w:p w14:paraId="509CF597" w14:textId="659C15C2" w:rsidR="00417F18" w:rsidRPr="00FD50F6" w:rsidRDefault="00A53C38" w:rsidP="00A53C38">
      <w:pPr>
        <w:pStyle w:val="30"/>
      </w:pPr>
      <w:r w:rsidRPr="00FD50F6">
        <w:rPr>
          <w:rFonts w:hint="eastAsia"/>
        </w:rPr>
        <w:t>自动喷水灭火系统的控制应符合下列规定</w:t>
      </w:r>
      <w:r w:rsidR="00417F18" w:rsidRPr="00FD50F6">
        <w:rPr>
          <w:rFonts w:hint="eastAsia"/>
        </w:rPr>
        <w:t>：</w:t>
      </w:r>
    </w:p>
    <w:p w14:paraId="05AD6558" w14:textId="4CE13483" w:rsidR="00A53C38" w:rsidRPr="00FD50F6" w:rsidRDefault="00A53C38" w:rsidP="00A926BD">
      <w:pPr>
        <w:pStyle w:val="4"/>
      </w:pPr>
      <w:r w:rsidRPr="00FD50F6">
        <w:rPr>
          <w:rFonts w:hint="eastAsia"/>
        </w:rPr>
        <w:t>应实现自动喷水灭火系统泵组的启动、停止控制，电动阀门的开、关控制</w:t>
      </w:r>
      <w:r w:rsidR="00417148" w:rsidRPr="00FD50F6">
        <w:rPr>
          <w:rFonts w:hint="eastAsia"/>
        </w:rPr>
        <w:t>。</w:t>
      </w:r>
    </w:p>
    <w:p w14:paraId="68159D0F" w14:textId="6A8A986F" w:rsidR="00A53C38" w:rsidRPr="00FD50F6" w:rsidRDefault="00A53C38" w:rsidP="00A926BD">
      <w:pPr>
        <w:pStyle w:val="4"/>
      </w:pPr>
      <w:r w:rsidRPr="00FD50F6">
        <w:rPr>
          <w:rFonts w:hint="eastAsia"/>
        </w:rPr>
        <w:t>应显示自动喷水灭火系统泵组的工作、故障、电源和手</w:t>
      </w:r>
      <w:r w:rsidRPr="00FD50F6">
        <w:rPr>
          <w:rFonts w:hint="eastAsia"/>
        </w:rPr>
        <w:t>/</w:t>
      </w:r>
      <w:r w:rsidRPr="00FD50F6">
        <w:rPr>
          <w:rFonts w:hint="eastAsia"/>
        </w:rPr>
        <w:t>自动状态、消防水池（水箱）水位的报警信息、给水干管电动阀门的开关状态，显示选择阀、水流指示器、压力开关的动作状态</w:t>
      </w:r>
      <w:r w:rsidR="00417148" w:rsidRPr="00FD50F6">
        <w:rPr>
          <w:rFonts w:hint="eastAsia"/>
        </w:rPr>
        <w:t>。</w:t>
      </w:r>
    </w:p>
    <w:p w14:paraId="20373C37" w14:textId="6206BF7A" w:rsidR="00A53C38" w:rsidRPr="00FD50F6" w:rsidRDefault="00A53C38" w:rsidP="00A926BD">
      <w:pPr>
        <w:pStyle w:val="4"/>
      </w:pPr>
      <w:r w:rsidRPr="00FD50F6">
        <w:rPr>
          <w:rFonts w:hint="eastAsia"/>
        </w:rPr>
        <w:t>消防控制室应实现自动喷水灭火系统泵组的手动启动、停止控制，电动阀门的开、关控制。</w:t>
      </w:r>
    </w:p>
    <w:p w14:paraId="01651451" w14:textId="77777777" w:rsidR="00660B67" w:rsidRPr="00FD50F6" w:rsidRDefault="00660B67" w:rsidP="00660B67">
      <w:pPr>
        <w:pStyle w:val="30"/>
      </w:pPr>
      <w:r w:rsidRPr="00FD50F6">
        <w:rPr>
          <w:rFonts w:hint="eastAsia"/>
        </w:rPr>
        <w:t>气体灭火系统的控制应符合下列规定：</w:t>
      </w:r>
    </w:p>
    <w:p w14:paraId="1DC922EC" w14:textId="37EC8D67" w:rsidR="00660B67" w:rsidRPr="00FD50F6" w:rsidRDefault="00660B67" w:rsidP="00A926BD">
      <w:pPr>
        <w:pStyle w:val="4"/>
      </w:pPr>
      <w:r w:rsidRPr="00FD50F6">
        <w:rPr>
          <w:rFonts w:hint="eastAsia"/>
        </w:rPr>
        <w:t>消防控制室应显示气体灭火系统保护区的报警、喷气、阀门状态、风阀状</w:t>
      </w:r>
      <w:r w:rsidRPr="00FD50F6">
        <w:rPr>
          <w:rFonts w:hint="eastAsia"/>
        </w:rPr>
        <w:lastRenderedPageBreak/>
        <w:t>态、手</w:t>
      </w:r>
      <w:r w:rsidRPr="00FD50F6">
        <w:rPr>
          <w:rFonts w:hint="eastAsia"/>
        </w:rPr>
        <w:t>/</w:t>
      </w:r>
      <w:r w:rsidRPr="00FD50F6">
        <w:rPr>
          <w:rFonts w:hint="eastAsia"/>
        </w:rPr>
        <w:t>自动状态</w:t>
      </w:r>
      <w:r w:rsidR="00417148" w:rsidRPr="00FD50F6">
        <w:rPr>
          <w:rFonts w:hint="eastAsia"/>
        </w:rPr>
        <w:t>。</w:t>
      </w:r>
    </w:p>
    <w:p w14:paraId="484D73C1" w14:textId="08F97958" w:rsidR="00660B67" w:rsidRPr="00FD50F6" w:rsidRDefault="00660B67" w:rsidP="00A926BD">
      <w:pPr>
        <w:pStyle w:val="4"/>
      </w:pPr>
      <w:r w:rsidRPr="00FD50F6">
        <w:rPr>
          <w:rFonts w:hint="eastAsia"/>
        </w:rPr>
        <w:t>应关闭防护区的送（排）风机、空调机组、送（排）风阀门、电动风口</w:t>
      </w:r>
      <w:r w:rsidRPr="00FD50F6">
        <w:rPr>
          <w:rFonts w:hint="eastAsia"/>
        </w:rPr>
        <w:t>/</w:t>
      </w:r>
      <w:r w:rsidRPr="00FD50F6">
        <w:rPr>
          <w:rFonts w:hint="eastAsia"/>
        </w:rPr>
        <w:t>防火阀</w:t>
      </w:r>
      <w:r w:rsidR="00417148" w:rsidRPr="00FD50F6">
        <w:rPr>
          <w:rFonts w:hint="eastAsia"/>
        </w:rPr>
        <w:t>。</w:t>
      </w:r>
    </w:p>
    <w:p w14:paraId="1BB3F2E9" w14:textId="11E2C436" w:rsidR="00660B67" w:rsidRPr="00FD50F6" w:rsidRDefault="00660B67" w:rsidP="00A926BD">
      <w:pPr>
        <w:pStyle w:val="4"/>
      </w:pPr>
      <w:r w:rsidRPr="00FD50F6">
        <w:rPr>
          <w:rFonts w:hint="eastAsia"/>
        </w:rPr>
        <w:t>应开启防护区域的选择阀，启动气体喷洒指示灯，并显示选择阀、压力开关的动作状态。</w:t>
      </w:r>
    </w:p>
    <w:p w14:paraId="7006C23B" w14:textId="65B0DF09" w:rsidR="00710FB0" w:rsidRPr="00FD50F6" w:rsidRDefault="00660B67" w:rsidP="00A926BD">
      <w:pPr>
        <w:pStyle w:val="4"/>
      </w:pPr>
      <w:r w:rsidRPr="00FD50F6">
        <w:rPr>
          <w:rFonts w:hint="eastAsia"/>
        </w:rPr>
        <w:t>当设置气体灭火系统监测装置时，消防控制室应显示气瓶压力监测、过高或过低报警和气瓶检修隔离等状态。</w:t>
      </w:r>
    </w:p>
    <w:p w14:paraId="526B1361" w14:textId="77777777" w:rsidR="00417F18" w:rsidRPr="00FD50F6" w:rsidRDefault="00417F18" w:rsidP="00724CD0">
      <w:pPr>
        <w:pStyle w:val="30"/>
      </w:pPr>
      <w:r w:rsidRPr="00FD50F6">
        <w:rPr>
          <w:rFonts w:hint="eastAsia"/>
        </w:rPr>
        <w:t>防烟、排烟系统的控制应符合下列规定：</w:t>
      </w:r>
      <w:r w:rsidRPr="00FD50F6">
        <w:t xml:space="preserve"> </w:t>
      </w:r>
    </w:p>
    <w:p w14:paraId="70D34F79" w14:textId="7FE467D6" w:rsidR="00417F18" w:rsidRPr="001A4CF3" w:rsidRDefault="00417F18" w:rsidP="00A926BD">
      <w:pPr>
        <w:pStyle w:val="4"/>
      </w:pPr>
      <w:r w:rsidRPr="001A4CF3">
        <w:rPr>
          <w:rFonts w:hint="eastAsia"/>
        </w:rPr>
        <w:t>应直接联动控制消防专用的防烟、排烟设备，并发出指令给</w:t>
      </w:r>
      <w:r w:rsidR="006F70EE">
        <w:rPr>
          <w:rFonts w:hint="eastAsia"/>
        </w:rPr>
        <w:t>其他</w:t>
      </w:r>
      <w:r w:rsidRPr="001A4CF3">
        <w:rPr>
          <w:rFonts w:hint="eastAsia"/>
        </w:rPr>
        <w:t>监控系统联动控制</w:t>
      </w:r>
      <w:r w:rsidR="006F70EE">
        <w:rPr>
          <w:rFonts w:hint="eastAsia"/>
        </w:rPr>
        <w:t>其他</w:t>
      </w:r>
      <w:r w:rsidRPr="001A4CF3">
        <w:rPr>
          <w:rFonts w:hint="eastAsia"/>
        </w:rPr>
        <w:t>参与防烟、排烟的非消防专用设备。</w:t>
      </w:r>
    </w:p>
    <w:p w14:paraId="759CC0A0" w14:textId="78707885" w:rsidR="00417F18" w:rsidRPr="001A4CF3" w:rsidRDefault="006F70EE" w:rsidP="00A926BD">
      <w:pPr>
        <w:pStyle w:val="4"/>
      </w:pPr>
      <w:bookmarkStart w:id="888" w:name="OLE_LINK6"/>
      <w:r>
        <w:rPr>
          <w:rFonts w:hint="eastAsia"/>
        </w:rPr>
        <w:t>其他</w:t>
      </w:r>
      <w:r w:rsidR="00417F18" w:rsidRPr="001A4CF3">
        <w:rPr>
          <w:rFonts w:hint="eastAsia"/>
        </w:rPr>
        <w:t>监控系统</w:t>
      </w:r>
      <w:bookmarkEnd w:id="888"/>
      <w:r w:rsidR="00417F18" w:rsidRPr="001A4CF3">
        <w:rPr>
          <w:rFonts w:hint="eastAsia"/>
        </w:rPr>
        <w:t>接收火灾控制指令后，应优先进行模式转换，并反馈执行指令信号。</w:t>
      </w:r>
    </w:p>
    <w:p w14:paraId="1996BB14" w14:textId="5BEC17AB" w:rsidR="00417F18" w:rsidRPr="001A4CF3" w:rsidRDefault="00417F18" w:rsidP="00A926BD">
      <w:pPr>
        <w:pStyle w:val="4"/>
      </w:pPr>
      <w:r w:rsidRPr="001A4CF3">
        <w:rPr>
          <w:rFonts w:hint="eastAsia"/>
        </w:rPr>
        <w:t>应控制专用防烟、排烟风机的启动，控制加压送风口、排烟口、排烟窗和排烟阀的开启或关闭，控制电动挡烟垂壁降落，并显示运行状态。</w:t>
      </w:r>
    </w:p>
    <w:p w14:paraId="4693B8F8" w14:textId="77777777" w:rsidR="00417F18" w:rsidRPr="001A4CF3" w:rsidRDefault="00417F18" w:rsidP="00A926BD">
      <w:pPr>
        <w:pStyle w:val="4"/>
      </w:pPr>
      <w:r w:rsidRPr="001A4CF3">
        <w:rPr>
          <w:rFonts w:hint="eastAsia"/>
        </w:rPr>
        <w:t>消防控制室</w:t>
      </w:r>
      <w:r w:rsidRPr="00FD50F6">
        <w:rPr>
          <w:rFonts w:hint="eastAsia"/>
        </w:rPr>
        <w:t>应实现</w:t>
      </w:r>
      <w:r w:rsidRPr="001A4CF3">
        <w:rPr>
          <w:rFonts w:hint="eastAsia"/>
        </w:rPr>
        <w:t>专用防烟、排烟风机</w:t>
      </w:r>
      <w:r w:rsidRPr="00FD50F6">
        <w:rPr>
          <w:rFonts w:hint="eastAsia"/>
        </w:rPr>
        <w:t>的手动启动、停止控制。</w:t>
      </w:r>
    </w:p>
    <w:p w14:paraId="2C2BDF9B" w14:textId="77777777" w:rsidR="00417F18" w:rsidRPr="00FD50F6" w:rsidRDefault="00417F18" w:rsidP="00724CD0">
      <w:pPr>
        <w:pStyle w:val="30"/>
      </w:pPr>
      <w:r w:rsidRPr="00FD50F6">
        <w:rPr>
          <w:rFonts w:hint="eastAsia"/>
        </w:rPr>
        <w:t>防火门、防火卷帘门的控制应符合下列规定：</w:t>
      </w:r>
    </w:p>
    <w:p w14:paraId="2A2E0B29" w14:textId="0B54EA3E" w:rsidR="00417F18" w:rsidRPr="00FD50F6" w:rsidRDefault="00417F18" w:rsidP="00A926BD">
      <w:pPr>
        <w:pStyle w:val="4"/>
      </w:pPr>
      <w:r w:rsidRPr="00FD50F6">
        <w:rPr>
          <w:rFonts w:hint="eastAsia"/>
        </w:rPr>
        <w:t>疏散通道、区间联络通道上的防火门应设防火门监控装置。</w:t>
      </w:r>
    </w:p>
    <w:p w14:paraId="436EF32B" w14:textId="53AB0E4F" w:rsidR="00417F18" w:rsidRPr="00FD50F6" w:rsidRDefault="00417F18" w:rsidP="00A926BD">
      <w:pPr>
        <w:pStyle w:val="4"/>
      </w:pPr>
      <w:r w:rsidRPr="00FD50F6">
        <w:rPr>
          <w:rFonts w:hint="eastAsia"/>
        </w:rPr>
        <w:t>疏散通道上各防火门的开启、关闭及故障信号应反馈至防火门监控器，区间联络通道的防火门的开启、关闭及故障信号应反馈至消防控制室。</w:t>
      </w:r>
    </w:p>
    <w:p w14:paraId="12739935" w14:textId="77777777" w:rsidR="00417F18" w:rsidRPr="00FD50F6" w:rsidRDefault="00417F18" w:rsidP="00A926BD">
      <w:pPr>
        <w:pStyle w:val="4"/>
      </w:pPr>
      <w:r w:rsidRPr="00FD50F6">
        <w:rPr>
          <w:rFonts w:hint="eastAsia"/>
        </w:rPr>
        <w:t>应控制防火卷帘门自动降落，并显示工作状态。</w:t>
      </w:r>
    </w:p>
    <w:p w14:paraId="77C93EE6" w14:textId="77777777" w:rsidR="00417F18" w:rsidRPr="00FD50F6" w:rsidRDefault="00417F18" w:rsidP="00724CD0">
      <w:pPr>
        <w:pStyle w:val="30"/>
      </w:pPr>
      <w:bookmarkStart w:id="889" w:name="_Toc306207165"/>
      <w:bookmarkStart w:id="890" w:name="_Toc306207356"/>
      <w:r w:rsidRPr="00FD50F6">
        <w:rPr>
          <w:rFonts w:hint="eastAsia"/>
        </w:rPr>
        <w:t>消防电源、应急照明及疏散指示的控制，应符合下列规定：</w:t>
      </w:r>
      <w:bookmarkEnd w:id="889"/>
      <w:bookmarkEnd w:id="890"/>
    </w:p>
    <w:p w14:paraId="7E7EE3AE" w14:textId="2DEFFE2D" w:rsidR="00417F18" w:rsidRPr="001A4CF3" w:rsidRDefault="00417F18" w:rsidP="00A926BD">
      <w:pPr>
        <w:pStyle w:val="4"/>
      </w:pPr>
      <w:r w:rsidRPr="00FD50F6">
        <w:rPr>
          <w:rFonts w:hint="eastAsia"/>
        </w:rPr>
        <w:t>应切断火灾区域的非消防电源。</w:t>
      </w:r>
    </w:p>
    <w:p w14:paraId="64F17A3A" w14:textId="4DFC228B" w:rsidR="00417F18" w:rsidRPr="00FD50F6" w:rsidRDefault="00417F18" w:rsidP="00A926BD">
      <w:pPr>
        <w:pStyle w:val="4"/>
      </w:pPr>
      <w:bookmarkStart w:id="891" w:name="_Toc306207167"/>
      <w:bookmarkStart w:id="892" w:name="_Toc306207358"/>
      <w:r w:rsidRPr="00FD50F6">
        <w:rPr>
          <w:rFonts w:hint="eastAsia"/>
        </w:rPr>
        <w:t>应接通应急照明灯和疏散标志灯电源，并监视工作状态</w:t>
      </w:r>
      <w:bookmarkEnd w:id="891"/>
      <w:bookmarkEnd w:id="892"/>
      <w:r w:rsidR="00724CD0" w:rsidRPr="00FD50F6">
        <w:rPr>
          <w:rFonts w:hint="eastAsia"/>
        </w:rPr>
        <w:t>。</w:t>
      </w:r>
    </w:p>
    <w:p w14:paraId="1EEAF231" w14:textId="77777777" w:rsidR="00417F18" w:rsidRPr="00FD50F6" w:rsidRDefault="00417F18" w:rsidP="00A926BD">
      <w:pPr>
        <w:pStyle w:val="4"/>
      </w:pPr>
      <w:r w:rsidRPr="00FD50F6">
        <w:rPr>
          <w:rFonts w:hint="eastAsia"/>
        </w:rPr>
        <w:t>消防控制室应监视消防电源的运行状态。</w:t>
      </w:r>
    </w:p>
    <w:p w14:paraId="365A0397" w14:textId="77777777" w:rsidR="00417F18" w:rsidRPr="00FD50F6" w:rsidRDefault="00417F18" w:rsidP="00724CD0">
      <w:pPr>
        <w:pStyle w:val="30"/>
      </w:pPr>
      <w:r w:rsidRPr="00FD50F6">
        <w:rPr>
          <w:rFonts w:hint="eastAsia"/>
        </w:rPr>
        <w:t>对电梯的控制应符合下列规定：</w:t>
      </w:r>
      <w:r w:rsidRPr="00FD50F6">
        <w:t xml:space="preserve"> </w:t>
      </w:r>
    </w:p>
    <w:p w14:paraId="36487DC4" w14:textId="6AF6E022" w:rsidR="00417F18" w:rsidRPr="00FD50F6" w:rsidRDefault="00417F18" w:rsidP="00A926BD">
      <w:pPr>
        <w:pStyle w:val="4"/>
      </w:pPr>
      <w:r w:rsidRPr="00FD50F6">
        <w:rPr>
          <w:rFonts w:hint="eastAsia"/>
        </w:rPr>
        <w:t>应发送火灾指令，将电梯运行至疏散层</w:t>
      </w:r>
      <w:r w:rsidR="00417148" w:rsidRPr="00FD50F6">
        <w:rPr>
          <w:rFonts w:hint="eastAsia"/>
        </w:rPr>
        <w:t>。</w:t>
      </w:r>
    </w:p>
    <w:p w14:paraId="160D8DBD" w14:textId="77777777" w:rsidR="00417F18" w:rsidRPr="00FD50F6" w:rsidRDefault="00417F18" w:rsidP="00A926BD">
      <w:pPr>
        <w:pStyle w:val="4"/>
      </w:pPr>
      <w:r w:rsidRPr="00FD50F6">
        <w:rPr>
          <w:rFonts w:hint="eastAsia"/>
        </w:rPr>
        <w:t>消防控制室在收到电梯完成消防动作信号后，应切断非消防电梯电源。</w:t>
      </w:r>
      <w:r w:rsidRPr="00FD50F6">
        <w:rPr>
          <w:rFonts w:hint="eastAsia"/>
        </w:rPr>
        <w:t xml:space="preserve"> </w:t>
      </w:r>
    </w:p>
    <w:p w14:paraId="210354B8" w14:textId="77777777" w:rsidR="00417F18" w:rsidRPr="00FD50F6" w:rsidRDefault="00417F18" w:rsidP="00724CD0">
      <w:pPr>
        <w:pStyle w:val="30"/>
      </w:pPr>
      <w:r w:rsidRPr="00FD50F6">
        <w:rPr>
          <w:rFonts w:hint="eastAsia"/>
        </w:rPr>
        <w:t>对自动扶梯的控制应符合下列规定：</w:t>
      </w:r>
      <w:r w:rsidRPr="00FD50F6">
        <w:t xml:space="preserve"> </w:t>
      </w:r>
    </w:p>
    <w:p w14:paraId="17D5CE25" w14:textId="1C0165C0" w:rsidR="00417F18" w:rsidRPr="00FD50F6" w:rsidRDefault="00417F18" w:rsidP="00A926BD">
      <w:pPr>
        <w:pStyle w:val="4"/>
      </w:pPr>
      <w:r w:rsidRPr="00FD50F6">
        <w:rPr>
          <w:rFonts w:hint="eastAsia"/>
        </w:rPr>
        <w:t>不应直接控制自动扶梯的启停。</w:t>
      </w:r>
    </w:p>
    <w:p w14:paraId="005216DF" w14:textId="77777777" w:rsidR="00417F18" w:rsidRPr="00FD50F6" w:rsidRDefault="00417F18" w:rsidP="00A926BD">
      <w:pPr>
        <w:pStyle w:val="4"/>
      </w:pPr>
      <w:r w:rsidRPr="00FD50F6">
        <w:rPr>
          <w:rFonts w:hint="eastAsia"/>
        </w:rPr>
        <w:t>消防控制室在确认非疏散自动扶梯完成消防动作后，应切断自动扶梯电源。</w:t>
      </w:r>
    </w:p>
    <w:p w14:paraId="684409AE" w14:textId="77777777" w:rsidR="00417F18" w:rsidRPr="00FD50F6" w:rsidRDefault="00417F18" w:rsidP="00724CD0">
      <w:pPr>
        <w:pStyle w:val="30"/>
      </w:pPr>
      <w:bookmarkStart w:id="893" w:name="_Toc306207168"/>
      <w:bookmarkStart w:id="894" w:name="_Toc306207359"/>
      <w:r w:rsidRPr="00FD50F6">
        <w:rPr>
          <w:rFonts w:hint="eastAsia"/>
        </w:rPr>
        <w:lastRenderedPageBreak/>
        <w:t>对其他系统的控制应符合下列规定：</w:t>
      </w:r>
      <w:bookmarkEnd w:id="893"/>
      <w:bookmarkEnd w:id="894"/>
    </w:p>
    <w:p w14:paraId="1534398C" w14:textId="7CA931B7" w:rsidR="00417F18" w:rsidRPr="00FD50F6" w:rsidRDefault="00417F18" w:rsidP="00A926BD">
      <w:pPr>
        <w:pStyle w:val="4"/>
      </w:pPr>
      <w:r w:rsidRPr="00FD50F6">
        <w:rPr>
          <w:rFonts w:hint="eastAsia"/>
        </w:rPr>
        <w:t>应自动或手动将广播转换为火灾应急广播状态，火灾应急广播应与火灾声警报器分时交替工作。</w:t>
      </w:r>
    </w:p>
    <w:p w14:paraId="0F906FDA" w14:textId="01E537D0" w:rsidR="00417F18" w:rsidRPr="00FD50F6" w:rsidRDefault="00417F18" w:rsidP="00A926BD">
      <w:pPr>
        <w:pStyle w:val="4"/>
      </w:pPr>
      <w:r w:rsidRPr="00FD50F6">
        <w:rPr>
          <w:rFonts w:hint="eastAsia"/>
        </w:rPr>
        <w:t>宜开启相关区域视频监视系统的摄像机监视火灾现场。</w:t>
      </w:r>
    </w:p>
    <w:p w14:paraId="331FB651" w14:textId="519AE3A1" w:rsidR="00417F18" w:rsidRPr="00FD50F6" w:rsidRDefault="00417F18" w:rsidP="00A926BD">
      <w:pPr>
        <w:pStyle w:val="4"/>
      </w:pPr>
      <w:r w:rsidRPr="00FD50F6">
        <w:rPr>
          <w:rFonts w:hint="eastAsia"/>
        </w:rPr>
        <w:t>应自动或手动打开检票机，显示动作信号。</w:t>
      </w:r>
    </w:p>
    <w:p w14:paraId="62A21D23" w14:textId="4063E00C" w:rsidR="00417F18" w:rsidRPr="001A4CF3" w:rsidRDefault="00417F18" w:rsidP="00A926BD">
      <w:pPr>
        <w:pStyle w:val="4"/>
      </w:pPr>
      <w:r w:rsidRPr="001A4CF3">
        <w:rPr>
          <w:rFonts w:hint="eastAsia"/>
        </w:rPr>
        <w:t>宜根据火灾运行模式自动或手动控制车站站台屏蔽门的开启或关闭，并显示工作状态</w:t>
      </w:r>
      <w:r w:rsidRPr="00FD50F6">
        <w:rPr>
          <w:rFonts w:hint="eastAsia"/>
        </w:rPr>
        <w:t>。</w:t>
      </w:r>
    </w:p>
    <w:p w14:paraId="60B5D076" w14:textId="79D38C0D" w:rsidR="00417F18" w:rsidRPr="00FD50F6" w:rsidRDefault="00417F18" w:rsidP="00A926BD">
      <w:pPr>
        <w:pStyle w:val="4"/>
        <w:rPr>
          <w:lang w:bidi="en-US"/>
        </w:rPr>
      </w:pPr>
      <w:r w:rsidRPr="00FD50F6">
        <w:rPr>
          <w:rFonts w:hint="eastAsia"/>
        </w:rPr>
        <w:t>应自动或手动解锁疏散通道门禁，并显示动作信号。</w:t>
      </w:r>
    </w:p>
    <w:p w14:paraId="337220E8" w14:textId="77777777" w:rsidR="00724CD0" w:rsidRPr="00FD50F6" w:rsidRDefault="00724CD0" w:rsidP="00A65181">
      <w:pPr>
        <w:pStyle w:val="2"/>
      </w:pPr>
      <w:bookmarkStart w:id="895" w:name="_Toc306207171"/>
      <w:bookmarkStart w:id="896" w:name="_Toc306207362"/>
      <w:bookmarkStart w:id="897" w:name="_Toc320196075"/>
      <w:bookmarkStart w:id="898" w:name="_Toc320643464"/>
      <w:bookmarkStart w:id="899" w:name="_Toc324853684"/>
      <w:bookmarkStart w:id="900" w:name="_Toc112830802"/>
      <w:r w:rsidRPr="00FD50F6">
        <w:rPr>
          <w:rFonts w:hint="eastAsia"/>
        </w:rPr>
        <w:t>火灾探测器与报警装置的设置</w:t>
      </w:r>
      <w:bookmarkEnd w:id="895"/>
      <w:bookmarkEnd w:id="896"/>
      <w:bookmarkEnd w:id="897"/>
      <w:bookmarkEnd w:id="898"/>
      <w:bookmarkEnd w:id="899"/>
      <w:bookmarkEnd w:id="900"/>
    </w:p>
    <w:p w14:paraId="3C653787" w14:textId="19A9F986" w:rsidR="00724CD0" w:rsidRPr="00FD50F6" w:rsidRDefault="00724CD0" w:rsidP="00724CD0">
      <w:pPr>
        <w:pStyle w:val="30"/>
      </w:pPr>
      <w:r w:rsidRPr="00FD50F6">
        <w:rPr>
          <w:rFonts w:hint="eastAsia"/>
        </w:rPr>
        <w:t>火灾自动报警系统应设有自动和手动两种触发装置。</w:t>
      </w:r>
      <w:r w:rsidR="00660B67" w:rsidRPr="00FD50F6">
        <w:rPr>
          <w:rFonts w:hint="eastAsia"/>
        </w:rPr>
        <w:t>设置火灾探测器的场所应设置手动报警装置。</w:t>
      </w:r>
    </w:p>
    <w:p w14:paraId="12100851" w14:textId="21BD535C" w:rsidR="00724CD0" w:rsidRPr="00FD50F6" w:rsidRDefault="00724CD0" w:rsidP="00724CD0">
      <w:pPr>
        <w:pStyle w:val="30"/>
        <w:rPr>
          <w:rStyle w:val="4Char"/>
          <w:rFonts w:ascii="Times New Roman" w:hAnsi="Times New Roman" w:cstheme="minorBidi"/>
          <w:b w:val="0"/>
          <w:bCs/>
          <w:kern w:val="2"/>
          <w:sz w:val="24"/>
          <w:szCs w:val="32"/>
        </w:rPr>
      </w:pPr>
      <w:r w:rsidRPr="00FD50F6">
        <w:rPr>
          <w:rStyle w:val="4Char"/>
          <w:rFonts w:ascii="Times New Roman" w:hAnsi="Times New Roman" w:cstheme="minorBidi" w:hint="eastAsia"/>
          <w:b w:val="0"/>
          <w:bCs/>
          <w:kern w:val="2"/>
          <w:sz w:val="24"/>
          <w:szCs w:val="32"/>
        </w:rPr>
        <w:t>地下车站的公共区、、设备机房、管理用房、库房、走廊、配电室、电缆间、母婴室、茶水间、电缆隧道或夹层及长度超过</w:t>
      </w:r>
      <w:r w:rsidRPr="00FD50F6">
        <w:rPr>
          <w:rStyle w:val="4Char"/>
          <w:rFonts w:ascii="Times New Roman" w:hAnsi="Times New Roman" w:cstheme="minorBidi"/>
          <w:b w:val="0"/>
          <w:bCs/>
          <w:kern w:val="2"/>
          <w:sz w:val="24"/>
          <w:szCs w:val="32"/>
        </w:rPr>
        <w:t>60m</w:t>
      </w:r>
      <w:r w:rsidRPr="00FD50F6">
        <w:rPr>
          <w:rStyle w:val="4Char"/>
          <w:rFonts w:ascii="Times New Roman" w:hAnsi="Times New Roman" w:cstheme="minorBidi" w:hint="eastAsia"/>
          <w:b w:val="0"/>
          <w:bCs/>
          <w:kern w:val="2"/>
          <w:sz w:val="24"/>
          <w:szCs w:val="32"/>
        </w:rPr>
        <w:t>的出入口通道应设置火灾探测器。</w:t>
      </w:r>
    </w:p>
    <w:p w14:paraId="0C1BCFD7" w14:textId="1D29E255" w:rsidR="00724CD0" w:rsidRPr="00FD50F6" w:rsidRDefault="00724CD0" w:rsidP="00724CD0">
      <w:pPr>
        <w:pStyle w:val="30"/>
      </w:pPr>
      <w:r w:rsidRPr="00FD50F6">
        <w:rPr>
          <w:rFonts w:hint="eastAsia"/>
        </w:rPr>
        <w:t>地面及高架车站</w:t>
      </w:r>
      <w:r w:rsidRPr="00FD50F6">
        <w:rPr>
          <w:rStyle w:val="4Char"/>
          <w:rFonts w:ascii="Times New Roman" w:hAnsi="Times New Roman" w:cstheme="minorBidi" w:hint="eastAsia"/>
          <w:b w:val="0"/>
          <w:bCs/>
          <w:kern w:val="2"/>
          <w:sz w:val="24"/>
          <w:szCs w:val="32"/>
        </w:rPr>
        <w:t>的封闭的公共区、设备机房、管理用房、库房、走廊、配电室、电缆间、母婴室、</w:t>
      </w:r>
      <w:r w:rsidRPr="00FD50F6">
        <w:rPr>
          <w:rFonts w:hint="eastAsia"/>
        </w:rPr>
        <w:t>茶水间、电缆隧道或夹层及设有机械排烟系统的区域应设置火灾探测器。</w:t>
      </w:r>
    </w:p>
    <w:p w14:paraId="2201185D" w14:textId="6ADC9C7C" w:rsidR="00724CD0" w:rsidRPr="00FD50F6" w:rsidRDefault="00660B67" w:rsidP="00724CD0">
      <w:pPr>
        <w:pStyle w:val="30"/>
      </w:pPr>
      <w:r w:rsidRPr="00FD50F6">
        <w:rPr>
          <w:rFonts w:hint="eastAsia"/>
        </w:rPr>
        <w:t>车辆基地、主变电所、集中冷站、控制中心等处的设备用房、车辆停放用房</w:t>
      </w:r>
      <w:r w:rsidRPr="00FD50F6">
        <w:rPr>
          <w:rFonts w:hint="eastAsia"/>
          <w:bCs w:val="0"/>
        </w:rPr>
        <w:t>、电缆隧道或夹层及设有机械排烟系统的区域</w:t>
      </w:r>
      <w:r w:rsidRPr="00FD50F6">
        <w:rPr>
          <w:rFonts w:hint="eastAsia"/>
        </w:rPr>
        <w:t>、维修用房、管理用房、办公用房等场所，应设置火灾探测器</w:t>
      </w:r>
      <w:r w:rsidR="00724CD0" w:rsidRPr="00FD50F6">
        <w:rPr>
          <w:rFonts w:hint="eastAsia"/>
        </w:rPr>
        <w:t>。</w:t>
      </w:r>
    </w:p>
    <w:p w14:paraId="1F10768A" w14:textId="2C6C376F" w:rsidR="00724CD0" w:rsidRPr="00FD50F6" w:rsidRDefault="00724CD0" w:rsidP="00724CD0">
      <w:pPr>
        <w:pStyle w:val="30"/>
      </w:pPr>
      <w:r w:rsidRPr="00FD50F6">
        <w:rPr>
          <w:rFonts w:hint="eastAsia"/>
        </w:rPr>
        <w:t>设置气体自动灭火的房间应设置两种类型火灾自动探测器。</w:t>
      </w:r>
      <w:r w:rsidRPr="00FD50F6">
        <w:rPr>
          <w:rFonts w:hint="eastAsia"/>
        </w:rPr>
        <w:t xml:space="preserve"> </w:t>
      </w:r>
    </w:p>
    <w:p w14:paraId="7F283BAD" w14:textId="49FE8EA6" w:rsidR="00724CD0" w:rsidRPr="00FD50F6" w:rsidRDefault="00660B67" w:rsidP="00660B67">
      <w:pPr>
        <w:pStyle w:val="30"/>
      </w:pPr>
      <w:r w:rsidRPr="00FD50F6">
        <w:rPr>
          <w:rFonts w:hint="eastAsia"/>
        </w:rPr>
        <w:t>地下区间隧道、长度超过</w:t>
      </w:r>
      <w:r w:rsidRPr="00FD50F6">
        <w:rPr>
          <w:rFonts w:hint="eastAsia"/>
        </w:rPr>
        <w:t>3</w:t>
      </w:r>
      <w:r w:rsidRPr="00FD50F6">
        <w:t>0</w:t>
      </w:r>
      <w:r w:rsidRPr="00FD50F6">
        <w:rPr>
          <w:rFonts w:hint="eastAsia"/>
        </w:rPr>
        <w:t>m</w:t>
      </w:r>
      <w:r w:rsidRPr="00FD50F6">
        <w:rPr>
          <w:rFonts w:hint="eastAsia"/>
        </w:rPr>
        <w:t>的出入口通道应设置手动火灾报警按钮，且区间隧道内手动火灾报警按钮宜与区间消火栓的位置结合设置</w:t>
      </w:r>
      <w:r w:rsidR="00724CD0" w:rsidRPr="00FD50F6">
        <w:rPr>
          <w:rFonts w:hint="eastAsia"/>
        </w:rPr>
        <w:t>。</w:t>
      </w:r>
    </w:p>
    <w:p w14:paraId="458665B7" w14:textId="0902A50B" w:rsidR="00724CD0" w:rsidRPr="00FD50F6" w:rsidRDefault="00724CD0" w:rsidP="00724CD0">
      <w:pPr>
        <w:pStyle w:val="30"/>
      </w:pPr>
      <w:r w:rsidRPr="00FD50F6">
        <w:rPr>
          <w:rFonts w:hint="eastAsia"/>
        </w:rPr>
        <w:t>车站公共区、出入口及通道、设备区走廊应设置火灾声光警报装置，并宜具有语音提示功能。</w:t>
      </w:r>
    </w:p>
    <w:p w14:paraId="1E76C7FB" w14:textId="71DBFCA3" w:rsidR="00724CD0" w:rsidRPr="001A4CF3" w:rsidRDefault="00724CD0" w:rsidP="00724CD0">
      <w:pPr>
        <w:pStyle w:val="30"/>
      </w:pPr>
      <w:r w:rsidRPr="001A4CF3">
        <w:rPr>
          <w:rFonts w:hint="eastAsia"/>
        </w:rPr>
        <w:t>区间</w:t>
      </w:r>
      <w:r w:rsidRPr="00FD50F6">
        <w:rPr>
          <w:rFonts w:hint="eastAsia"/>
        </w:rPr>
        <w:t>隧道动力电缆电气</w:t>
      </w:r>
      <w:r w:rsidRPr="001A4CF3">
        <w:rPr>
          <w:rFonts w:hint="eastAsia"/>
        </w:rPr>
        <w:t>火灾</w:t>
      </w:r>
      <w:r w:rsidR="00710FB0" w:rsidRPr="00FD50F6">
        <w:rPr>
          <w:rFonts w:hint="eastAsia"/>
        </w:rPr>
        <w:t>监控</w:t>
      </w:r>
      <w:r w:rsidRPr="001A4CF3">
        <w:rPr>
          <w:rFonts w:hint="eastAsia"/>
        </w:rPr>
        <w:t>探测器设置</w:t>
      </w:r>
      <w:r w:rsidRPr="00FD50F6">
        <w:rPr>
          <w:rFonts w:hint="eastAsia"/>
        </w:rPr>
        <w:t>应符合下了规定</w:t>
      </w:r>
      <w:r w:rsidRPr="001A4CF3">
        <w:rPr>
          <w:rFonts w:hint="eastAsia"/>
        </w:rPr>
        <w:t>：</w:t>
      </w:r>
    </w:p>
    <w:p w14:paraId="4DE29A03" w14:textId="58AE0F5C" w:rsidR="00724CD0" w:rsidRPr="001A4CF3" w:rsidRDefault="00724CD0" w:rsidP="00A926BD">
      <w:pPr>
        <w:pStyle w:val="4"/>
      </w:pPr>
      <w:r w:rsidRPr="001A4CF3">
        <w:rPr>
          <w:rFonts w:hint="eastAsia"/>
        </w:rPr>
        <w:t>线型感温火灾探测器可接入电气火灾监控器。</w:t>
      </w:r>
    </w:p>
    <w:p w14:paraId="093B36EA" w14:textId="2890148A" w:rsidR="00724CD0" w:rsidRPr="001A4CF3" w:rsidRDefault="00724CD0" w:rsidP="00A926BD">
      <w:pPr>
        <w:pStyle w:val="4"/>
      </w:pPr>
      <w:r w:rsidRPr="001A4CF3">
        <w:rPr>
          <w:rFonts w:hint="eastAsia"/>
        </w:rPr>
        <w:t>采用燃烧性能</w:t>
      </w:r>
      <w:r w:rsidRPr="001A4CF3">
        <w:t>B1</w:t>
      </w:r>
      <w:r w:rsidRPr="001A4CF3">
        <w:rPr>
          <w:rFonts w:hint="eastAsia"/>
        </w:rPr>
        <w:t>级及以上且中间无电缆接头的动力电缆，可只在车站配</w:t>
      </w:r>
      <w:r w:rsidRPr="001A4CF3">
        <w:rPr>
          <w:rFonts w:hint="eastAsia"/>
        </w:rPr>
        <w:lastRenderedPageBreak/>
        <w:t>电柜出线端设置测温型电气火灾监控探测器</w:t>
      </w:r>
      <w:r w:rsidRPr="00FD50F6">
        <w:rPr>
          <w:rFonts w:hint="eastAsia"/>
        </w:rPr>
        <w:t>。</w:t>
      </w:r>
    </w:p>
    <w:p w14:paraId="3C93D15F" w14:textId="505816E9" w:rsidR="00660B67" w:rsidRPr="00FD50F6" w:rsidRDefault="00660B67" w:rsidP="00496051">
      <w:pPr>
        <w:pStyle w:val="30"/>
      </w:pPr>
      <w:r w:rsidRPr="00FD50F6">
        <w:rPr>
          <w:rFonts w:hint="eastAsia"/>
        </w:rPr>
        <w:t>地铁线路应设置消防专用电话系统。消防专用电话系统的设置应符合下列规定：</w:t>
      </w:r>
    </w:p>
    <w:p w14:paraId="0DD3F1AC" w14:textId="4D02B952" w:rsidR="00660B67" w:rsidRPr="00FD50F6" w:rsidRDefault="00660B67" w:rsidP="00A926BD">
      <w:pPr>
        <w:pStyle w:val="4"/>
      </w:pPr>
      <w:r w:rsidRPr="00FD50F6">
        <w:t>消防控制室</w:t>
      </w:r>
      <w:r w:rsidRPr="00FD50F6">
        <w:rPr>
          <w:rFonts w:hint="eastAsia"/>
        </w:rPr>
        <w:t>应设置消防专用电话总机</w:t>
      </w:r>
      <w:r w:rsidR="00417148" w:rsidRPr="00FD50F6">
        <w:rPr>
          <w:rFonts w:hint="eastAsia"/>
        </w:rPr>
        <w:t>。</w:t>
      </w:r>
    </w:p>
    <w:p w14:paraId="2EC3AC82" w14:textId="55AA2456" w:rsidR="00660B67" w:rsidRPr="001A4CF3" w:rsidRDefault="00660B67" w:rsidP="00A926BD">
      <w:pPr>
        <w:pStyle w:val="4"/>
      </w:pPr>
      <w:r w:rsidRPr="001A4CF3">
        <w:rPr>
          <w:rFonts w:hint="eastAsia"/>
        </w:rPr>
        <w:t>消防水泵房、配变电室、防排烟机房、</w:t>
      </w:r>
      <w:r w:rsidRPr="00FD50F6">
        <w:rPr>
          <w:rFonts w:hint="eastAsia"/>
        </w:rPr>
        <w:t>灭火</w:t>
      </w:r>
      <w:r w:rsidRPr="001A4CF3">
        <w:rPr>
          <w:rFonts w:hint="eastAsia"/>
        </w:rPr>
        <w:t>控制</w:t>
      </w:r>
      <w:r w:rsidRPr="00FD50F6">
        <w:rPr>
          <w:rFonts w:hint="eastAsia"/>
        </w:rPr>
        <w:t>盘</w:t>
      </w:r>
      <w:r w:rsidRPr="001A4CF3">
        <w:rPr>
          <w:rFonts w:hint="eastAsia"/>
        </w:rPr>
        <w:t>处、消防电梯机房、区域火灾报警控制器处</w:t>
      </w:r>
      <w:r w:rsidRPr="00FD50F6">
        <w:rPr>
          <w:rFonts w:hint="eastAsia"/>
        </w:rPr>
        <w:t>及</w:t>
      </w:r>
      <w:r w:rsidR="006F70EE">
        <w:rPr>
          <w:rFonts w:hint="eastAsia"/>
        </w:rPr>
        <w:t>其他</w:t>
      </w:r>
      <w:r w:rsidRPr="001A4CF3">
        <w:rPr>
          <w:rFonts w:hint="eastAsia"/>
        </w:rPr>
        <w:t>与消防联动控制有关的且经常有人值班的机房应设置消防专用电话分机</w:t>
      </w:r>
      <w:r w:rsidR="00417148" w:rsidRPr="00FD50F6">
        <w:rPr>
          <w:rFonts w:hint="eastAsia"/>
        </w:rPr>
        <w:t>。</w:t>
      </w:r>
    </w:p>
    <w:p w14:paraId="23BDB618" w14:textId="4C179F3D" w:rsidR="00660B67" w:rsidRPr="001A4CF3" w:rsidRDefault="00660B67" w:rsidP="00A926BD">
      <w:pPr>
        <w:pStyle w:val="4"/>
      </w:pPr>
      <w:r w:rsidRPr="00FD50F6">
        <w:rPr>
          <w:rFonts w:hint="eastAsia"/>
        </w:rPr>
        <w:t>设置手动火灾报警按钮和消火栓按钮等处应设置电话插孔，接入消防专用电话总机。</w:t>
      </w:r>
    </w:p>
    <w:p w14:paraId="60882206" w14:textId="4144C8DE" w:rsidR="00724CD0" w:rsidRPr="00FD50F6" w:rsidRDefault="00724CD0" w:rsidP="00A2251F">
      <w:pPr>
        <w:pStyle w:val="30"/>
      </w:pPr>
      <w:r w:rsidRPr="00FD50F6">
        <w:rPr>
          <w:rFonts w:hint="eastAsia"/>
        </w:rPr>
        <w:t>消防应急广播系统宜与正线运营</w:t>
      </w:r>
      <w:r w:rsidRPr="00FD50F6">
        <w:t>广播</w:t>
      </w:r>
      <w:r w:rsidRPr="00FD50F6">
        <w:rPr>
          <w:rFonts w:hint="eastAsia"/>
        </w:rPr>
        <w:t>系统、车辆基地广播系统合用</w:t>
      </w:r>
      <w:r w:rsidRPr="00FD50F6">
        <w:t>。</w:t>
      </w:r>
    </w:p>
    <w:p w14:paraId="21D93D26" w14:textId="1610C739" w:rsidR="00A2251F" w:rsidRPr="00FD50F6" w:rsidRDefault="00A2251F" w:rsidP="00A65181">
      <w:pPr>
        <w:pStyle w:val="2"/>
      </w:pPr>
      <w:bookmarkStart w:id="901" w:name="_Toc236495298"/>
      <w:bookmarkStart w:id="902" w:name="_Toc236755150"/>
      <w:bookmarkStart w:id="903" w:name="_Toc306207181"/>
      <w:bookmarkStart w:id="904" w:name="_Toc306207372"/>
      <w:bookmarkStart w:id="905" w:name="_Toc320196076"/>
      <w:bookmarkStart w:id="906" w:name="_Toc320643465"/>
      <w:bookmarkStart w:id="907" w:name="_Toc324853685"/>
      <w:bookmarkStart w:id="908" w:name="_Toc112830803"/>
      <w:r w:rsidRPr="00FD50F6">
        <w:rPr>
          <w:rFonts w:hint="eastAsia"/>
        </w:rPr>
        <w:t>消防控制室</w:t>
      </w:r>
      <w:bookmarkEnd w:id="901"/>
      <w:bookmarkEnd w:id="902"/>
      <w:bookmarkEnd w:id="903"/>
      <w:bookmarkEnd w:id="904"/>
      <w:bookmarkEnd w:id="905"/>
      <w:bookmarkEnd w:id="906"/>
      <w:bookmarkEnd w:id="907"/>
      <w:bookmarkEnd w:id="908"/>
    </w:p>
    <w:p w14:paraId="6D12EB68" w14:textId="06DAC119" w:rsidR="00A2251F" w:rsidRPr="00FD50F6" w:rsidRDefault="00496051" w:rsidP="00A2251F">
      <w:pPr>
        <w:pStyle w:val="30"/>
      </w:pPr>
      <w:bookmarkStart w:id="909" w:name="_Toc306207182"/>
      <w:bookmarkStart w:id="910" w:name="_Toc306207373"/>
      <w:r w:rsidRPr="00FD50F6">
        <w:rPr>
          <w:rFonts w:hint="eastAsia"/>
        </w:rPr>
        <w:t>火灾自动报警系统中心级监控终端应设置在线路运营控制中心调度大厅内。</w:t>
      </w:r>
    </w:p>
    <w:p w14:paraId="09DDEEFF" w14:textId="27B0132F" w:rsidR="00A2251F" w:rsidRPr="00FD50F6" w:rsidRDefault="006F52D3" w:rsidP="00A2251F">
      <w:pPr>
        <w:pStyle w:val="30"/>
      </w:pPr>
      <w:r w:rsidRPr="00FD50F6">
        <w:rPr>
          <w:rFonts w:hint="eastAsia"/>
        </w:rPr>
        <w:t>车站消防控制室宜与车站控制室结合设置</w:t>
      </w:r>
      <w:r w:rsidR="00A2251F" w:rsidRPr="00FD50F6">
        <w:rPr>
          <w:rFonts w:hint="eastAsia"/>
        </w:rPr>
        <w:t>。消防控制室内严禁与消防设施、行车、安防无关的电气线路及管路穿过。</w:t>
      </w:r>
    </w:p>
    <w:p w14:paraId="22265147" w14:textId="22BBBFCC" w:rsidR="00A2251F" w:rsidRPr="00FD50F6" w:rsidRDefault="00A2251F" w:rsidP="00A2251F">
      <w:pPr>
        <w:pStyle w:val="30"/>
      </w:pPr>
      <w:r w:rsidRPr="00FD50F6">
        <w:rPr>
          <w:rFonts w:hint="eastAsia"/>
        </w:rPr>
        <w:t>车辆基地应设置一个主消防控制室，并可按单体规模及火灾自动报警系统形式设置分消防控制室。</w:t>
      </w:r>
    </w:p>
    <w:p w14:paraId="3308E3D1" w14:textId="77777777" w:rsidR="00A2251F" w:rsidRPr="00FD50F6" w:rsidRDefault="00A2251F" w:rsidP="00A2251F">
      <w:pPr>
        <w:pStyle w:val="30"/>
      </w:pPr>
      <w:r w:rsidRPr="00FD50F6">
        <w:rPr>
          <w:rFonts w:hint="eastAsia"/>
        </w:rPr>
        <w:t>换乘车站按线路设置的消防控制室之间应能相互传输、显示状态信息。</w:t>
      </w:r>
    </w:p>
    <w:bookmarkEnd w:id="909"/>
    <w:bookmarkEnd w:id="910"/>
    <w:p w14:paraId="4E095EB7" w14:textId="3BBCE5E6" w:rsidR="00A2251F" w:rsidRPr="00FD50F6" w:rsidRDefault="006F52D3" w:rsidP="00A2251F">
      <w:pPr>
        <w:pStyle w:val="30"/>
      </w:pPr>
      <w:r w:rsidRPr="00FD50F6">
        <w:rPr>
          <w:rFonts w:hint="eastAsia"/>
        </w:rPr>
        <w:t>消防控制室应能监控管辖范围内的火灾报警及联动控制系统、消火栓系统、自动灭火系统、防烟排烟系统、防火门与卷帘系统、消防电源、电气火灾监控系统、防火门监控系统、可燃气体探测报警系统、消防应急照明与疏散指示系统、火灾警报器、消防通讯等各类消防系统和消防设备设施，并应显示各类消防设备的状态信息和消防设施管理信息</w:t>
      </w:r>
      <w:r w:rsidR="00A2251F" w:rsidRPr="00FD50F6">
        <w:rPr>
          <w:rFonts w:hint="eastAsia"/>
        </w:rPr>
        <w:t>。</w:t>
      </w:r>
    </w:p>
    <w:p w14:paraId="35574DAB" w14:textId="74C4409D" w:rsidR="00A2251F" w:rsidRPr="00FD50F6" w:rsidRDefault="00A2251F" w:rsidP="00A65181">
      <w:pPr>
        <w:pStyle w:val="2"/>
      </w:pPr>
      <w:bookmarkStart w:id="911" w:name="_Toc236495299"/>
      <w:bookmarkStart w:id="912" w:name="_Toc236755151"/>
      <w:bookmarkStart w:id="913" w:name="_Toc306207187"/>
      <w:bookmarkStart w:id="914" w:name="_Toc306207378"/>
      <w:bookmarkStart w:id="915" w:name="_Toc320196077"/>
      <w:bookmarkStart w:id="916" w:name="_Toc320643466"/>
      <w:bookmarkStart w:id="917" w:name="_Toc324853686"/>
      <w:bookmarkStart w:id="918" w:name="_Toc112830804"/>
      <w:r w:rsidRPr="00FD50F6">
        <w:rPr>
          <w:rFonts w:hint="eastAsia"/>
        </w:rPr>
        <w:t>供电与接地</w:t>
      </w:r>
      <w:bookmarkEnd w:id="911"/>
      <w:bookmarkEnd w:id="912"/>
      <w:bookmarkEnd w:id="913"/>
      <w:bookmarkEnd w:id="914"/>
      <w:bookmarkEnd w:id="915"/>
      <w:bookmarkEnd w:id="916"/>
      <w:bookmarkEnd w:id="917"/>
      <w:bookmarkEnd w:id="918"/>
    </w:p>
    <w:p w14:paraId="04CD7522" w14:textId="77777777" w:rsidR="00880333" w:rsidRPr="001A4CF3" w:rsidRDefault="00880333" w:rsidP="00880333">
      <w:pPr>
        <w:pStyle w:val="30"/>
      </w:pPr>
      <w:bookmarkStart w:id="919" w:name="_Toc306207188"/>
      <w:bookmarkStart w:id="920" w:name="_Toc306207379"/>
      <w:r w:rsidRPr="00FD50F6">
        <w:rPr>
          <w:rFonts w:hint="eastAsia"/>
        </w:rPr>
        <w:t>火灾自动报警系统应设有主电源和直流备用电源；主电源的负荷等级应为一级。</w:t>
      </w:r>
      <w:bookmarkEnd w:id="919"/>
      <w:bookmarkEnd w:id="920"/>
    </w:p>
    <w:p w14:paraId="59134063" w14:textId="77777777" w:rsidR="00880333" w:rsidRPr="00FD50F6" w:rsidRDefault="00880333" w:rsidP="00880333">
      <w:pPr>
        <w:pStyle w:val="30"/>
      </w:pPr>
      <w:bookmarkStart w:id="921" w:name="_Toc306207189"/>
      <w:bookmarkStart w:id="922" w:name="_Toc306207380"/>
      <w:r w:rsidRPr="00FD50F6">
        <w:rPr>
          <w:rFonts w:hint="eastAsia"/>
        </w:rPr>
        <w:t>火灾自动报警系统直流备用电源宜采用专用蓄电池或集中设置的蓄电池</w:t>
      </w:r>
      <w:r w:rsidRPr="00FD50F6">
        <w:rPr>
          <w:rFonts w:hint="eastAsia"/>
        </w:rPr>
        <w:lastRenderedPageBreak/>
        <w:t>组供电，其容量应保证主电源断电后，系统在火灾状态同时工作负荷条件下连续供电</w:t>
      </w:r>
      <w:r w:rsidRPr="00FD50F6">
        <w:t>3h</w:t>
      </w:r>
      <w:r w:rsidRPr="00FD50F6">
        <w:rPr>
          <w:rFonts w:hint="eastAsia"/>
        </w:rPr>
        <w:t>。采用集中设置蓄电池时，火灾报警控制器供电回路应单独设置。</w:t>
      </w:r>
      <w:bookmarkEnd w:id="921"/>
      <w:bookmarkEnd w:id="922"/>
    </w:p>
    <w:p w14:paraId="529A0828" w14:textId="77777777" w:rsidR="00880333" w:rsidRPr="00FD50F6" w:rsidRDefault="00880333" w:rsidP="00880333">
      <w:pPr>
        <w:pStyle w:val="30"/>
      </w:pPr>
      <w:bookmarkStart w:id="923" w:name="_Toc306207190"/>
      <w:bookmarkStart w:id="924" w:name="_Toc306207381"/>
      <w:r w:rsidRPr="00FD50F6">
        <w:rPr>
          <w:rFonts w:hint="eastAsia"/>
        </w:rPr>
        <w:t>火灾自动报警系统图形显示装置、消防通信设备等的电源，宜由不间断电源装置或消防设备应急电源供电。</w:t>
      </w:r>
      <w:bookmarkEnd w:id="923"/>
      <w:bookmarkEnd w:id="924"/>
    </w:p>
    <w:p w14:paraId="7A37B979" w14:textId="77777777" w:rsidR="00880333" w:rsidRPr="00FD50F6" w:rsidRDefault="00880333" w:rsidP="00880333">
      <w:pPr>
        <w:pStyle w:val="30"/>
      </w:pPr>
      <w:bookmarkStart w:id="925" w:name="_Toc306207191"/>
      <w:bookmarkStart w:id="926" w:name="_Toc306207382"/>
      <w:r w:rsidRPr="00FD50F6">
        <w:rPr>
          <w:rFonts w:hint="eastAsia"/>
        </w:rPr>
        <w:t>消防用电设备应采用专用的供电回路，其配电线路和控制回路宜按防火分区划分。</w:t>
      </w:r>
      <w:bookmarkEnd w:id="925"/>
      <w:bookmarkEnd w:id="926"/>
    </w:p>
    <w:p w14:paraId="46D35A15" w14:textId="77777777" w:rsidR="00880333" w:rsidRPr="00FD50F6" w:rsidRDefault="00880333" w:rsidP="00880333">
      <w:pPr>
        <w:pStyle w:val="30"/>
      </w:pPr>
      <w:bookmarkStart w:id="927" w:name="_Toc306207192"/>
      <w:bookmarkStart w:id="928" w:name="_Toc306207383"/>
      <w:r w:rsidRPr="00FD50F6">
        <w:rPr>
          <w:rFonts w:hint="eastAsia"/>
        </w:rPr>
        <w:t>火灾自动报警系统接地装置的接地电阻值，应符合下列要求：</w:t>
      </w:r>
      <w:bookmarkEnd w:id="927"/>
      <w:bookmarkEnd w:id="928"/>
    </w:p>
    <w:p w14:paraId="3533ACAC" w14:textId="17B9CCDB" w:rsidR="00880333" w:rsidRPr="00FD50F6" w:rsidRDefault="00880333" w:rsidP="00A926BD">
      <w:pPr>
        <w:pStyle w:val="4"/>
      </w:pPr>
      <w:r w:rsidRPr="00FD50F6">
        <w:rPr>
          <w:rFonts w:hint="eastAsia"/>
        </w:rPr>
        <w:t>采用共用接地装置时，接地电阻值不应大于</w:t>
      </w:r>
      <w:r w:rsidRPr="00FD50F6">
        <w:t>1</w:t>
      </w:r>
      <w:r w:rsidRPr="00FD50F6">
        <w:rPr>
          <w:rFonts w:hint="eastAsia"/>
        </w:rPr>
        <w:t>Ω。</w:t>
      </w:r>
    </w:p>
    <w:p w14:paraId="1A74228C" w14:textId="77777777" w:rsidR="00880333" w:rsidRPr="00FD50F6" w:rsidRDefault="00880333" w:rsidP="00A926BD">
      <w:pPr>
        <w:pStyle w:val="4"/>
      </w:pPr>
      <w:r w:rsidRPr="00FD50F6">
        <w:rPr>
          <w:rFonts w:hint="eastAsia"/>
        </w:rPr>
        <w:t>采用专用接地装置时，接地电阻值不应大于</w:t>
      </w:r>
      <w:r w:rsidRPr="00FD50F6">
        <w:t>4</w:t>
      </w:r>
      <w:r w:rsidRPr="00FD50F6">
        <w:rPr>
          <w:rFonts w:hint="eastAsia"/>
        </w:rPr>
        <w:t>Ω。</w:t>
      </w:r>
    </w:p>
    <w:p w14:paraId="7FB6B5FA" w14:textId="749A6DD2" w:rsidR="00880333" w:rsidRPr="00FD50F6" w:rsidRDefault="00880333" w:rsidP="00880333">
      <w:pPr>
        <w:pStyle w:val="30"/>
      </w:pPr>
      <w:bookmarkStart w:id="929" w:name="_Toc306207193"/>
      <w:bookmarkStart w:id="930" w:name="_Toc306207384"/>
      <w:r w:rsidRPr="00FD50F6">
        <w:rPr>
          <w:rFonts w:hint="eastAsia"/>
        </w:rPr>
        <w:t>消防控制室内的电气和电子设备的金属外壳、机柜、机架、金属管、槽等，应采用等电位连接。</w:t>
      </w:r>
      <w:bookmarkEnd w:id="929"/>
      <w:bookmarkEnd w:id="930"/>
    </w:p>
    <w:p w14:paraId="1B50A3C3" w14:textId="28068167" w:rsidR="00954C8E" w:rsidRPr="00FD50F6" w:rsidRDefault="00954C8E" w:rsidP="00A65181">
      <w:pPr>
        <w:pStyle w:val="2"/>
      </w:pPr>
      <w:bookmarkStart w:id="931" w:name="_Toc236495300"/>
      <w:bookmarkStart w:id="932" w:name="_Toc236755152"/>
      <w:bookmarkStart w:id="933" w:name="_Toc306207194"/>
      <w:bookmarkStart w:id="934" w:name="_Toc306207385"/>
      <w:bookmarkStart w:id="935" w:name="_Toc320196078"/>
      <w:bookmarkStart w:id="936" w:name="_Toc320643467"/>
      <w:bookmarkStart w:id="937" w:name="_Toc324853687"/>
      <w:bookmarkStart w:id="938" w:name="_Toc112830805"/>
      <w:r w:rsidRPr="00FD50F6">
        <w:rPr>
          <w:rFonts w:hint="eastAsia"/>
        </w:rPr>
        <w:t>布</w:t>
      </w:r>
      <w:r w:rsidRPr="00FD50F6">
        <w:t xml:space="preserve">  </w:t>
      </w:r>
      <w:r w:rsidRPr="00FD50F6">
        <w:rPr>
          <w:rFonts w:hint="eastAsia"/>
        </w:rPr>
        <w:t>线</w:t>
      </w:r>
      <w:bookmarkEnd w:id="931"/>
      <w:bookmarkEnd w:id="932"/>
      <w:bookmarkEnd w:id="933"/>
      <w:bookmarkEnd w:id="934"/>
      <w:bookmarkEnd w:id="935"/>
      <w:bookmarkEnd w:id="936"/>
      <w:bookmarkEnd w:id="937"/>
      <w:bookmarkEnd w:id="938"/>
    </w:p>
    <w:p w14:paraId="0918F5B4" w14:textId="1012B044" w:rsidR="00954C8E" w:rsidRPr="00FD50F6" w:rsidRDefault="00954C8E" w:rsidP="00954C8E">
      <w:pPr>
        <w:pStyle w:val="30"/>
      </w:pPr>
      <w:bookmarkStart w:id="939" w:name="_Toc306207195"/>
      <w:bookmarkStart w:id="940" w:name="_Toc306207386"/>
      <w:r w:rsidRPr="00FD50F6">
        <w:rPr>
          <w:rFonts w:hint="eastAsia"/>
        </w:rPr>
        <w:t>火灾自动报警系统传输线路的线芯截面选择，除应满足自动报警装置技术条件要求外，尚应满足机械强度的要求。铜芯绝缘导线</w:t>
      </w:r>
      <w:r w:rsidR="000506D1">
        <w:rPr>
          <w:rFonts w:hint="eastAsia"/>
        </w:rPr>
        <w:t>和</w:t>
      </w:r>
      <w:r w:rsidRPr="00FD50F6">
        <w:rPr>
          <w:rFonts w:hint="eastAsia"/>
        </w:rPr>
        <w:t>铜芯电缆线芯的最小截面面积不应小于表</w:t>
      </w:r>
      <w:r w:rsidR="00BA4A19" w:rsidRPr="00FD50F6">
        <w:t>20</w:t>
      </w:r>
      <w:r w:rsidRPr="00FD50F6">
        <w:t>.</w:t>
      </w:r>
      <w:r w:rsidR="00BA4A19" w:rsidRPr="00FD50F6">
        <w:t>8</w:t>
      </w:r>
      <w:r w:rsidRPr="00FD50F6">
        <w:t>.1</w:t>
      </w:r>
      <w:r w:rsidRPr="00FD50F6">
        <w:rPr>
          <w:rFonts w:hint="eastAsia"/>
        </w:rPr>
        <w:t>的规定。</w:t>
      </w:r>
    </w:p>
    <w:p w14:paraId="1D96A2EE" w14:textId="1C16A801" w:rsidR="00954C8E" w:rsidRPr="001A4CF3" w:rsidRDefault="00954C8E" w:rsidP="00954C8E">
      <w:pPr>
        <w:jc w:val="center"/>
      </w:pPr>
      <w:r w:rsidRPr="001A4CF3">
        <w:rPr>
          <w:rFonts w:hint="eastAsia"/>
        </w:rPr>
        <w:t>表</w:t>
      </w:r>
      <w:r w:rsidR="00BA4A19" w:rsidRPr="00FD50F6">
        <w:t>20</w:t>
      </w:r>
      <w:r w:rsidRPr="001A4CF3">
        <w:t>.</w:t>
      </w:r>
      <w:r w:rsidR="00BA4A19" w:rsidRPr="00FD50F6">
        <w:t>8</w:t>
      </w:r>
      <w:r w:rsidRPr="001A4CF3">
        <w:t xml:space="preserve">.1  </w:t>
      </w:r>
      <w:r w:rsidRPr="001A4CF3">
        <w:rPr>
          <w:rFonts w:hint="eastAsia"/>
        </w:rPr>
        <w:t>铜芯绝缘导线和铜芯电缆线芯的最小截面面积</w:t>
      </w:r>
    </w:p>
    <w:tbl>
      <w:tblPr>
        <w:tblW w:w="48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4"/>
        <w:gridCol w:w="3686"/>
        <w:gridCol w:w="3472"/>
      </w:tblGrid>
      <w:tr w:rsidR="00FD50F6" w:rsidRPr="00FD50F6" w14:paraId="5AB02346" w14:textId="77777777" w:rsidTr="00954C8E">
        <w:trPr>
          <w:trHeight w:hRule="exact" w:val="397"/>
          <w:jc w:val="center"/>
        </w:trPr>
        <w:tc>
          <w:tcPr>
            <w:tcW w:w="1114" w:type="dxa"/>
            <w:vAlign w:val="center"/>
          </w:tcPr>
          <w:p w14:paraId="36F54DB4" w14:textId="77777777" w:rsidR="00954C8E" w:rsidRPr="001A4CF3" w:rsidRDefault="00954C8E" w:rsidP="001A4CF3">
            <w:pPr>
              <w:pStyle w:val="afffd"/>
              <w:jc w:val="both"/>
              <w:rPr>
                <w:rFonts w:ascii="Times New Roman" w:hAnsi="Times New Roman"/>
                <w:color w:val="auto"/>
                <w:sz w:val="21"/>
                <w:szCs w:val="21"/>
              </w:rPr>
            </w:pPr>
            <w:r w:rsidRPr="001A4CF3">
              <w:rPr>
                <w:rFonts w:ascii="Times New Roman" w:hAnsi="Times New Roman" w:hint="eastAsia"/>
                <w:color w:val="auto"/>
                <w:sz w:val="21"/>
                <w:szCs w:val="21"/>
              </w:rPr>
              <w:t>序</w:t>
            </w:r>
            <w:r w:rsidRPr="001A4CF3">
              <w:rPr>
                <w:rFonts w:ascii="Times New Roman" w:hAnsi="Times New Roman"/>
                <w:color w:val="auto"/>
                <w:sz w:val="21"/>
                <w:szCs w:val="21"/>
              </w:rPr>
              <w:t xml:space="preserve">  </w:t>
            </w:r>
            <w:r w:rsidRPr="001A4CF3">
              <w:rPr>
                <w:rFonts w:ascii="Times New Roman" w:hAnsi="Times New Roman" w:hint="eastAsia"/>
                <w:color w:val="auto"/>
                <w:sz w:val="21"/>
                <w:szCs w:val="21"/>
              </w:rPr>
              <w:t>号</w:t>
            </w:r>
          </w:p>
        </w:tc>
        <w:tc>
          <w:tcPr>
            <w:tcW w:w="3683" w:type="dxa"/>
            <w:vAlign w:val="center"/>
          </w:tcPr>
          <w:p w14:paraId="7BB2CE49"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hint="eastAsia"/>
                <w:color w:val="auto"/>
                <w:sz w:val="21"/>
                <w:szCs w:val="21"/>
              </w:rPr>
              <w:t>类</w:t>
            </w:r>
            <w:r w:rsidRPr="001A4CF3">
              <w:rPr>
                <w:rFonts w:ascii="Times New Roman" w:hAnsi="Times New Roman"/>
                <w:color w:val="auto"/>
                <w:sz w:val="21"/>
                <w:szCs w:val="21"/>
              </w:rPr>
              <w:t xml:space="preserve">  </w:t>
            </w:r>
            <w:r w:rsidRPr="001A4CF3">
              <w:rPr>
                <w:rFonts w:ascii="Times New Roman" w:hAnsi="Times New Roman" w:hint="eastAsia"/>
                <w:color w:val="auto"/>
                <w:sz w:val="21"/>
                <w:szCs w:val="21"/>
              </w:rPr>
              <w:t>别</w:t>
            </w:r>
          </w:p>
        </w:tc>
        <w:tc>
          <w:tcPr>
            <w:tcW w:w="3469" w:type="dxa"/>
            <w:vAlign w:val="center"/>
          </w:tcPr>
          <w:p w14:paraId="15A0D197" w14:textId="77777777" w:rsidR="00954C8E" w:rsidRPr="001A4CF3" w:rsidRDefault="00954C8E" w:rsidP="00954C8E">
            <w:pPr>
              <w:jc w:val="center"/>
            </w:pPr>
            <w:r w:rsidRPr="00FD50F6">
              <w:rPr>
                <w:rFonts w:hint="eastAsia"/>
              </w:rPr>
              <w:t>线芯的最小截面面积</w:t>
            </w:r>
            <w:r w:rsidRPr="00FD50F6">
              <w:t>(mm</w:t>
            </w:r>
            <w:r w:rsidRPr="00FD50F6">
              <w:rPr>
                <w:vertAlign w:val="superscript"/>
              </w:rPr>
              <w:t>2</w:t>
            </w:r>
            <w:r w:rsidRPr="00FD50F6">
              <w:t>)</w:t>
            </w:r>
          </w:p>
          <w:p w14:paraId="55954620" w14:textId="77777777" w:rsidR="00954C8E" w:rsidRPr="001A4CF3" w:rsidRDefault="00954C8E" w:rsidP="00954C8E">
            <w:pPr>
              <w:pStyle w:val="afffd"/>
              <w:ind w:firstLine="420"/>
              <w:rPr>
                <w:rFonts w:ascii="Times New Roman" w:hAnsi="Times New Roman"/>
                <w:color w:val="auto"/>
                <w:sz w:val="21"/>
                <w:szCs w:val="21"/>
              </w:rPr>
            </w:pPr>
          </w:p>
        </w:tc>
      </w:tr>
      <w:tr w:rsidR="00FD50F6" w:rsidRPr="00FD50F6" w14:paraId="4ADA96B5" w14:textId="77777777" w:rsidTr="00954C8E">
        <w:trPr>
          <w:trHeight w:hRule="exact" w:val="397"/>
          <w:jc w:val="center"/>
        </w:trPr>
        <w:tc>
          <w:tcPr>
            <w:tcW w:w="1114" w:type="dxa"/>
            <w:vAlign w:val="center"/>
          </w:tcPr>
          <w:p w14:paraId="3246129E" w14:textId="77777777" w:rsidR="00954C8E" w:rsidRPr="001A4CF3" w:rsidRDefault="00954C8E" w:rsidP="001A4CF3">
            <w:pPr>
              <w:pStyle w:val="afffd"/>
              <w:ind w:firstLine="420"/>
              <w:jc w:val="both"/>
              <w:rPr>
                <w:rFonts w:ascii="Times New Roman" w:hAnsi="Times New Roman"/>
                <w:color w:val="auto"/>
                <w:sz w:val="21"/>
                <w:szCs w:val="21"/>
              </w:rPr>
            </w:pPr>
            <w:r w:rsidRPr="001A4CF3">
              <w:rPr>
                <w:rFonts w:ascii="Times New Roman" w:hAnsi="Times New Roman"/>
                <w:color w:val="auto"/>
                <w:sz w:val="21"/>
                <w:szCs w:val="21"/>
              </w:rPr>
              <w:t>1</w:t>
            </w:r>
          </w:p>
        </w:tc>
        <w:tc>
          <w:tcPr>
            <w:tcW w:w="3683" w:type="dxa"/>
            <w:vAlign w:val="center"/>
          </w:tcPr>
          <w:p w14:paraId="4544F73D"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hint="eastAsia"/>
                <w:color w:val="auto"/>
                <w:sz w:val="21"/>
                <w:szCs w:val="21"/>
              </w:rPr>
              <w:t>室外管沟敷设的电线电缆</w:t>
            </w:r>
          </w:p>
        </w:tc>
        <w:tc>
          <w:tcPr>
            <w:tcW w:w="3469" w:type="dxa"/>
            <w:vAlign w:val="center"/>
          </w:tcPr>
          <w:p w14:paraId="01CDAFB6"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color w:val="auto"/>
                <w:sz w:val="21"/>
                <w:szCs w:val="21"/>
              </w:rPr>
              <w:t>1.50~2.50</w:t>
            </w:r>
          </w:p>
        </w:tc>
      </w:tr>
      <w:tr w:rsidR="00FD50F6" w:rsidRPr="00FD50F6" w14:paraId="0794CE31" w14:textId="77777777" w:rsidTr="00954C8E">
        <w:trPr>
          <w:trHeight w:hRule="exact" w:val="397"/>
          <w:jc w:val="center"/>
        </w:trPr>
        <w:tc>
          <w:tcPr>
            <w:tcW w:w="1114" w:type="dxa"/>
            <w:vAlign w:val="center"/>
          </w:tcPr>
          <w:p w14:paraId="3ED4836F" w14:textId="77777777" w:rsidR="00954C8E" w:rsidRPr="001A4CF3" w:rsidRDefault="00954C8E" w:rsidP="001A4CF3">
            <w:pPr>
              <w:pStyle w:val="afffd"/>
              <w:ind w:firstLine="420"/>
              <w:jc w:val="both"/>
              <w:rPr>
                <w:rFonts w:ascii="Times New Roman" w:hAnsi="Times New Roman"/>
                <w:color w:val="auto"/>
                <w:sz w:val="21"/>
                <w:szCs w:val="21"/>
              </w:rPr>
            </w:pPr>
            <w:r w:rsidRPr="001A4CF3">
              <w:rPr>
                <w:rFonts w:ascii="Times New Roman" w:hAnsi="Times New Roman"/>
                <w:color w:val="auto"/>
                <w:sz w:val="21"/>
                <w:szCs w:val="21"/>
              </w:rPr>
              <w:t>2</w:t>
            </w:r>
          </w:p>
        </w:tc>
        <w:tc>
          <w:tcPr>
            <w:tcW w:w="3683" w:type="dxa"/>
            <w:vAlign w:val="center"/>
          </w:tcPr>
          <w:p w14:paraId="79C31675"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hint="eastAsia"/>
                <w:color w:val="auto"/>
                <w:sz w:val="21"/>
                <w:szCs w:val="21"/>
              </w:rPr>
              <w:t>穿管敷设的绝缘导线</w:t>
            </w:r>
          </w:p>
        </w:tc>
        <w:tc>
          <w:tcPr>
            <w:tcW w:w="3469" w:type="dxa"/>
            <w:vAlign w:val="center"/>
          </w:tcPr>
          <w:p w14:paraId="4C417E3D"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color w:val="auto"/>
                <w:sz w:val="21"/>
                <w:szCs w:val="21"/>
              </w:rPr>
              <w:t>1.00</w:t>
            </w:r>
          </w:p>
        </w:tc>
      </w:tr>
      <w:tr w:rsidR="00FD50F6" w:rsidRPr="00FD50F6" w14:paraId="31199CD4" w14:textId="77777777" w:rsidTr="00954C8E">
        <w:trPr>
          <w:trHeight w:hRule="exact" w:val="397"/>
          <w:jc w:val="center"/>
        </w:trPr>
        <w:tc>
          <w:tcPr>
            <w:tcW w:w="1114" w:type="dxa"/>
            <w:vAlign w:val="center"/>
          </w:tcPr>
          <w:p w14:paraId="72B6F415" w14:textId="77777777" w:rsidR="00954C8E" w:rsidRPr="001A4CF3" w:rsidRDefault="00954C8E" w:rsidP="001A4CF3">
            <w:pPr>
              <w:pStyle w:val="afffd"/>
              <w:ind w:firstLine="420"/>
              <w:jc w:val="both"/>
              <w:rPr>
                <w:rFonts w:ascii="Times New Roman" w:hAnsi="Times New Roman"/>
                <w:color w:val="auto"/>
                <w:sz w:val="21"/>
                <w:szCs w:val="21"/>
              </w:rPr>
            </w:pPr>
            <w:r w:rsidRPr="001A4CF3">
              <w:rPr>
                <w:rFonts w:ascii="Times New Roman" w:hAnsi="Times New Roman"/>
                <w:color w:val="auto"/>
                <w:sz w:val="21"/>
                <w:szCs w:val="21"/>
              </w:rPr>
              <w:t>3</w:t>
            </w:r>
          </w:p>
        </w:tc>
        <w:tc>
          <w:tcPr>
            <w:tcW w:w="3683" w:type="dxa"/>
            <w:vAlign w:val="center"/>
          </w:tcPr>
          <w:p w14:paraId="6FBEB200"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hint="eastAsia"/>
                <w:color w:val="auto"/>
                <w:sz w:val="21"/>
                <w:szCs w:val="21"/>
              </w:rPr>
              <w:t>线槽内敷设的绝缘导线</w:t>
            </w:r>
          </w:p>
        </w:tc>
        <w:tc>
          <w:tcPr>
            <w:tcW w:w="3469" w:type="dxa"/>
            <w:vAlign w:val="center"/>
          </w:tcPr>
          <w:p w14:paraId="01BFAB41"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color w:val="auto"/>
                <w:sz w:val="21"/>
                <w:szCs w:val="21"/>
              </w:rPr>
              <w:t>0.75</w:t>
            </w:r>
          </w:p>
        </w:tc>
      </w:tr>
      <w:tr w:rsidR="00FD50F6" w:rsidRPr="00FD50F6" w14:paraId="5ACC33B6" w14:textId="77777777" w:rsidTr="00954C8E">
        <w:trPr>
          <w:trHeight w:hRule="exact" w:val="397"/>
          <w:jc w:val="center"/>
        </w:trPr>
        <w:tc>
          <w:tcPr>
            <w:tcW w:w="1114" w:type="dxa"/>
            <w:vAlign w:val="center"/>
          </w:tcPr>
          <w:p w14:paraId="3EA23E0B" w14:textId="77777777" w:rsidR="00954C8E" w:rsidRPr="001A4CF3" w:rsidRDefault="00954C8E" w:rsidP="001A4CF3">
            <w:pPr>
              <w:pStyle w:val="afffd"/>
              <w:ind w:firstLine="420"/>
              <w:jc w:val="both"/>
              <w:rPr>
                <w:rFonts w:ascii="Times New Roman" w:hAnsi="Times New Roman"/>
                <w:color w:val="auto"/>
                <w:sz w:val="21"/>
                <w:szCs w:val="21"/>
              </w:rPr>
            </w:pPr>
            <w:r w:rsidRPr="001A4CF3">
              <w:rPr>
                <w:rFonts w:ascii="Times New Roman" w:hAnsi="Times New Roman"/>
                <w:color w:val="auto"/>
                <w:sz w:val="21"/>
                <w:szCs w:val="21"/>
              </w:rPr>
              <w:t>4</w:t>
            </w:r>
          </w:p>
        </w:tc>
        <w:tc>
          <w:tcPr>
            <w:tcW w:w="3683" w:type="dxa"/>
            <w:vAlign w:val="center"/>
          </w:tcPr>
          <w:p w14:paraId="71331258"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hint="eastAsia"/>
                <w:color w:val="auto"/>
                <w:sz w:val="21"/>
                <w:szCs w:val="21"/>
              </w:rPr>
              <w:t>多芯电缆</w:t>
            </w:r>
          </w:p>
        </w:tc>
        <w:tc>
          <w:tcPr>
            <w:tcW w:w="3469" w:type="dxa"/>
            <w:vAlign w:val="center"/>
          </w:tcPr>
          <w:p w14:paraId="4F53BED1" w14:textId="77777777" w:rsidR="00954C8E" w:rsidRPr="001A4CF3" w:rsidRDefault="00954C8E" w:rsidP="00954C8E">
            <w:pPr>
              <w:pStyle w:val="afffd"/>
              <w:ind w:firstLine="420"/>
              <w:rPr>
                <w:rFonts w:ascii="Times New Roman" w:hAnsi="Times New Roman"/>
                <w:color w:val="auto"/>
                <w:sz w:val="21"/>
                <w:szCs w:val="21"/>
              </w:rPr>
            </w:pPr>
            <w:r w:rsidRPr="001A4CF3">
              <w:rPr>
                <w:rFonts w:ascii="Times New Roman" w:hAnsi="Times New Roman"/>
                <w:color w:val="auto"/>
                <w:sz w:val="21"/>
                <w:szCs w:val="21"/>
              </w:rPr>
              <w:t>0.50</w:t>
            </w:r>
          </w:p>
        </w:tc>
      </w:tr>
    </w:tbl>
    <w:p w14:paraId="094814ED" w14:textId="77777777" w:rsidR="00954C8E" w:rsidRPr="00FD50F6" w:rsidRDefault="00954C8E" w:rsidP="00954C8E">
      <w:pPr>
        <w:pStyle w:val="30"/>
      </w:pPr>
      <w:r w:rsidRPr="00FD50F6">
        <w:rPr>
          <w:rFonts w:hint="eastAsia"/>
        </w:rPr>
        <w:t>火灾自动报警系统的供电线路、消防联动控制线路应采用具有阻燃性能的耐火铜芯电线电缆，报警总线、消防应急广播和消防专用电话等传输线路应采用阻燃或具有阻燃性能的耐火铜芯电线电缆。</w:t>
      </w:r>
    </w:p>
    <w:p w14:paraId="2D5779B4" w14:textId="1DA32792" w:rsidR="00954C8E" w:rsidRPr="001A4CF3" w:rsidRDefault="00954C8E" w:rsidP="00954C8E">
      <w:pPr>
        <w:pStyle w:val="30"/>
      </w:pPr>
      <w:r w:rsidRPr="001A4CF3">
        <w:rPr>
          <w:rFonts w:hint="eastAsia"/>
        </w:rPr>
        <w:t>火灾自动报警系统采用的电线电缆，阻燃要求应符合本</w:t>
      </w:r>
      <w:r w:rsidRPr="00FD50F6">
        <w:rPr>
          <w:rFonts w:hint="eastAsia"/>
        </w:rPr>
        <w:t>标准</w:t>
      </w:r>
      <w:r w:rsidRPr="001A4CF3">
        <w:rPr>
          <w:rFonts w:hint="eastAsia"/>
        </w:rPr>
        <w:t>第</w:t>
      </w:r>
      <w:r w:rsidRPr="001A4CF3">
        <w:t>1</w:t>
      </w:r>
      <w:r w:rsidRPr="00FD50F6">
        <w:rPr>
          <w:rFonts w:hint="eastAsia"/>
        </w:rPr>
        <w:t>6</w:t>
      </w:r>
      <w:r w:rsidRPr="001A4CF3">
        <w:t>.4.1</w:t>
      </w:r>
      <w:r w:rsidRPr="001A4CF3">
        <w:rPr>
          <w:rFonts w:hint="eastAsia"/>
        </w:rPr>
        <w:t>条的规定，耐火要求要求应符合本</w:t>
      </w:r>
      <w:r w:rsidRPr="00FD50F6">
        <w:rPr>
          <w:rFonts w:hint="eastAsia"/>
        </w:rPr>
        <w:t>标准</w:t>
      </w:r>
      <w:r w:rsidRPr="001A4CF3">
        <w:rPr>
          <w:rFonts w:hint="eastAsia"/>
        </w:rPr>
        <w:t>第</w:t>
      </w:r>
      <w:r w:rsidRPr="001A4CF3">
        <w:t>1</w:t>
      </w:r>
      <w:r w:rsidRPr="00FD50F6">
        <w:rPr>
          <w:rFonts w:hint="eastAsia"/>
        </w:rPr>
        <w:t>6</w:t>
      </w:r>
      <w:r w:rsidRPr="001A4CF3">
        <w:t>.4.3</w:t>
      </w:r>
      <w:r w:rsidRPr="001A4CF3">
        <w:rPr>
          <w:rFonts w:hint="eastAsia"/>
        </w:rPr>
        <w:t>条的规定，燃烧性能、烟气毒性及腐蚀性要求应符合本</w:t>
      </w:r>
      <w:r w:rsidRPr="00FD50F6">
        <w:rPr>
          <w:rFonts w:hint="eastAsia"/>
        </w:rPr>
        <w:t>标准</w:t>
      </w:r>
      <w:r w:rsidRPr="001A4CF3">
        <w:rPr>
          <w:rFonts w:hint="eastAsia"/>
        </w:rPr>
        <w:t>第</w:t>
      </w:r>
      <w:r w:rsidRPr="001A4CF3">
        <w:t>1</w:t>
      </w:r>
      <w:r w:rsidRPr="00FD50F6">
        <w:rPr>
          <w:rFonts w:hint="eastAsia"/>
        </w:rPr>
        <w:t>6</w:t>
      </w:r>
      <w:r w:rsidRPr="001A4CF3">
        <w:t>.4.4</w:t>
      </w:r>
      <w:r w:rsidRPr="001A4CF3">
        <w:rPr>
          <w:rFonts w:hint="eastAsia"/>
        </w:rPr>
        <w:t>条的规定。</w:t>
      </w:r>
    </w:p>
    <w:p w14:paraId="0FE4AB50" w14:textId="5312B178" w:rsidR="00954C8E" w:rsidRPr="001A4CF3" w:rsidRDefault="006F52D3" w:rsidP="006F52D3">
      <w:pPr>
        <w:pStyle w:val="30"/>
      </w:pPr>
      <w:r w:rsidRPr="00FD50F6">
        <w:rPr>
          <w:rFonts w:hint="eastAsia"/>
        </w:rPr>
        <w:t>管路采样吸气式感烟火灾探测器的采样</w:t>
      </w:r>
      <w:r w:rsidRPr="00FD50F6">
        <w:t>管路</w:t>
      </w:r>
      <w:r w:rsidRPr="00FD50F6">
        <w:rPr>
          <w:rFonts w:hint="eastAsia"/>
        </w:rPr>
        <w:t>应采用燃烧性能不低于</w:t>
      </w:r>
      <w:r w:rsidRPr="00FD50F6">
        <w:rPr>
          <w:rFonts w:hint="eastAsia"/>
        </w:rPr>
        <w:t>B1</w:t>
      </w:r>
      <w:r w:rsidRPr="00FD50F6">
        <w:rPr>
          <w:rFonts w:hint="eastAsia"/>
        </w:rPr>
        <w:t>级的难燃型</w:t>
      </w:r>
      <w:r w:rsidRPr="00FD50F6">
        <w:rPr>
          <w:rFonts w:hint="eastAsia"/>
        </w:rPr>
        <w:t>PC</w:t>
      </w:r>
      <w:r w:rsidRPr="00FD50F6">
        <w:rPr>
          <w:rFonts w:hint="eastAsia"/>
        </w:rPr>
        <w:t>管、</w:t>
      </w:r>
      <w:r w:rsidRPr="00FD50F6">
        <w:rPr>
          <w:rFonts w:hint="eastAsia"/>
        </w:rPr>
        <w:t>ABS</w:t>
      </w:r>
      <w:r w:rsidRPr="00FD50F6">
        <w:rPr>
          <w:rFonts w:hint="eastAsia"/>
        </w:rPr>
        <w:t>管或其他金属管材</w:t>
      </w:r>
      <w:r w:rsidRPr="00FD50F6">
        <w:t>。</w:t>
      </w:r>
    </w:p>
    <w:p w14:paraId="528CC306" w14:textId="77777777" w:rsidR="00954C8E" w:rsidRPr="00FD50F6" w:rsidRDefault="00954C8E" w:rsidP="00954C8E">
      <w:pPr>
        <w:pStyle w:val="30"/>
      </w:pPr>
      <w:bookmarkStart w:id="941" w:name="_Toc306207196"/>
      <w:bookmarkStart w:id="942" w:name="_Toc306207387"/>
      <w:bookmarkEnd w:id="939"/>
      <w:bookmarkEnd w:id="940"/>
      <w:r w:rsidRPr="00FD50F6">
        <w:rPr>
          <w:rFonts w:hint="eastAsia"/>
        </w:rPr>
        <w:lastRenderedPageBreak/>
        <w:t>火灾自动报警系统的传输线路，除采用埋地敷设或铠装电缆外，应采用穿金属管或封闭式线槽保护方式布线。</w:t>
      </w:r>
      <w:bookmarkEnd w:id="941"/>
      <w:bookmarkEnd w:id="942"/>
    </w:p>
    <w:p w14:paraId="7D22A866" w14:textId="77777777" w:rsidR="00954C8E" w:rsidRPr="00FD50F6" w:rsidRDefault="00954C8E" w:rsidP="00954C8E">
      <w:pPr>
        <w:pStyle w:val="30"/>
      </w:pPr>
      <w:bookmarkStart w:id="943" w:name="_Toc306207197"/>
      <w:bookmarkStart w:id="944" w:name="_Toc306207388"/>
      <w:r w:rsidRPr="00FD50F6">
        <w:rPr>
          <w:rFonts w:hint="eastAsia"/>
        </w:rPr>
        <w:t>水平敷设的火灾自动报警系统的传输线路，当采用穿管布线时，除报警总线外，不同防火分区的线路不应穿入同一根管内。</w:t>
      </w:r>
      <w:bookmarkEnd w:id="943"/>
      <w:bookmarkEnd w:id="944"/>
      <w:r w:rsidRPr="00FD50F6">
        <w:t xml:space="preserve"> </w:t>
      </w:r>
    </w:p>
    <w:p w14:paraId="35A34E7C" w14:textId="77777777" w:rsidR="00954C8E" w:rsidRPr="00FD50F6" w:rsidRDefault="00954C8E" w:rsidP="00954C8E">
      <w:pPr>
        <w:pStyle w:val="30"/>
      </w:pPr>
      <w:r w:rsidRPr="00FD50F6">
        <w:rPr>
          <w:rFonts w:hint="eastAsia"/>
        </w:rPr>
        <w:t>当采用屏蔽布线系统时，应保持系统中屏蔽层的连续性，屏蔽层宜一点接地。</w:t>
      </w:r>
    </w:p>
    <w:p w14:paraId="3E1F5A81" w14:textId="5506C795" w:rsidR="00954C8E" w:rsidRPr="00FD50F6" w:rsidRDefault="00954C8E" w:rsidP="00954C8E">
      <w:pPr>
        <w:pStyle w:val="30"/>
        <w:sectPr w:rsidR="00954C8E" w:rsidRPr="00FD50F6">
          <w:pgSz w:w="11906" w:h="16838"/>
          <w:pgMar w:top="1440" w:right="1797" w:bottom="1440" w:left="1797" w:header="851" w:footer="992" w:gutter="0"/>
          <w:cols w:space="720"/>
          <w:docGrid w:linePitch="312"/>
        </w:sectPr>
      </w:pPr>
      <w:r w:rsidRPr="00FD50F6">
        <w:rPr>
          <w:rFonts w:hint="eastAsia"/>
        </w:rPr>
        <w:t>电线</w:t>
      </w:r>
      <w:r w:rsidRPr="00FD50F6">
        <w:t>电缆贯穿隔墙、楼板的孔洞处均应</w:t>
      </w:r>
      <w:r w:rsidRPr="00FD50F6">
        <w:rPr>
          <w:rFonts w:hint="eastAsia"/>
        </w:rPr>
        <w:t>防</w:t>
      </w:r>
      <w:r w:rsidRPr="00FD50F6">
        <w:t>火封堵。</w:t>
      </w:r>
    </w:p>
    <w:p w14:paraId="3FE197D8" w14:textId="77777777" w:rsidR="00785983" w:rsidRPr="00FD50F6" w:rsidRDefault="00785983" w:rsidP="00785983">
      <w:pPr>
        <w:pStyle w:val="12"/>
      </w:pPr>
      <w:bookmarkStart w:id="945" w:name="_Toc112830806"/>
      <w:bookmarkEnd w:id="868"/>
      <w:bookmarkEnd w:id="869"/>
      <w:bookmarkEnd w:id="870"/>
      <w:bookmarkEnd w:id="871"/>
      <w:bookmarkEnd w:id="872"/>
      <w:r w:rsidRPr="00FD50F6">
        <w:rPr>
          <w:rFonts w:hint="eastAsia"/>
        </w:rPr>
        <w:lastRenderedPageBreak/>
        <w:t>综合监控系统</w:t>
      </w:r>
      <w:bookmarkEnd w:id="945"/>
    </w:p>
    <w:p w14:paraId="4C8B104F" w14:textId="77777777" w:rsidR="00785983" w:rsidRPr="00FD50F6" w:rsidRDefault="00785983" w:rsidP="00010C49">
      <w:pPr>
        <w:pStyle w:val="2"/>
        <w:numPr>
          <w:ilvl w:val="1"/>
          <w:numId w:val="29"/>
        </w:numPr>
      </w:pPr>
      <w:bookmarkStart w:id="946" w:name="_Toc112830807"/>
      <w:r w:rsidRPr="00FD50F6">
        <w:rPr>
          <w:rFonts w:hint="eastAsia"/>
        </w:rPr>
        <w:t>一般规定</w:t>
      </w:r>
      <w:bookmarkEnd w:id="946"/>
    </w:p>
    <w:p w14:paraId="0DFD948C" w14:textId="77777777" w:rsidR="00785983" w:rsidRPr="00A926BD" w:rsidRDefault="00785983" w:rsidP="00A16B07">
      <w:pPr>
        <w:pStyle w:val="30"/>
      </w:pPr>
      <w:r w:rsidRPr="00A926BD">
        <w:rPr>
          <w:rFonts w:hint="eastAsia"/>
        </w:rPr>
        <w:t>地铁应设置综合监控系统。</w:t>
      </w:r>
    </w:p>
    <w:p w14:paraId="54387D46" w14:textId="77777777" w:rsidR="00785983" w:rsidRPr="00A926BD" w:rsidRDefault="00785983" w:rsidP="00A16B07">
      <w:pPr>
        <w:pStyle w:val="30"/>
      </w:pPr>
      <w:r w:rsidRPr="00A926BD">
        <w:rPr>
          <w:rFonts w:hint="eastAsia"/>
        </w:rPr>
        <w:t>综合监控系统宜采集行车监视、设备运行等信息以</w:t>
      </w:r>
      <w:r w:rsidRPr="00A926BD">
        <w:t>满足行车指挥、</w:t>
      </w:r>
      <w:r w:rsidRPr="00A926BD">
        <w:rPr>
          <w:rFonts w:hint="eastAsia"/>
        </w:rPr>
        <w:t>设备监控</w:t>
      </w:r>
      <w:r w:rsidRPr="00A926BD">
        <w:t>和乘客服务等运营管理需要</w:t>
      </w:r>
      <w:r w:rsidRPr="00A926BD">
        <w:rPr>
          <w:rFonts w:hint="eastAsia"/>
        </w:rPr>
        <w:t>。</w:t>
      </w:r>
    </w:p>
    <w:p w14:paraId="162ACC09" w14:textId="77777777" w:rsidR="00785983" w:rsidRPr="00A926BD" w:rsidRDefault="00785983" w:rsidP="00A16B07">
      <w:pPr>
        <w:pStyle w:val="30"/>
      </w:pPr>
      <w:r w:rsidRPr="00A926BD">
        <w:rPr>
          <w:rFonts w:hint="eastAsia"/>
        </w:rPr>
        <w:t>综合监控系统宜为实时监控与事务管理数据相结合的系统。</w:t>
      </w:r>
    </w:p>
    <w:p w14:paraId="02E23470" w14:textId="77777777" w:rsidR="00785983" w:rsidRPr="00A926BD" w:rsidRDefault="00785983" w:rsidP="00A16B07">
      <w:pPr>
        <w:pStyle w:val="30"/>
      </w:pPr>
      <w:r w:rsidRPr="00A926BD">
        <w:rPr>
          <w:rFonts w:hint="eastAsia"/>
        </w:rPr>
        <w:t>换乘车站不同线路间的综合监控系统宜按照车站换乘特点和运营管理需求互通信息。</w:t>
      </w:r>
    </w:p>
    <w:p w14:paraId="3B0264E2" w14:textId="40FC38BF" w:rsidR="00785983" w:rsidRPr="00A926BD" w:rsidRDefault="00785983" w:rsidP="00A16B07">
      <w:pPr>
        <w:pStyle w:val="30"/>
      </w:pPr>
      <w:r w:rsidRPr="00A926BD">
        <w:rPr>
          <w:rFonts w:hint="eastAsia"/>
        </w:rPr>
        <w:t>综合监控系统应符合国家标准《信息安全技术</w:t>
      </w:r>
      <w:r w:rsidRPr="00A926BD">
        <w:rPr>
          <w:rFonts w:hint="eastAsia"/>
        </w:rPr>
        <w:t>-</w:t>
      </w:r>
      <w:r w:rsidRPr="00A926BD">
        <w:rPr>
          <w:rFonts w:hint="eastAsia"/>
        </w:rPr>
        <w:t>工业控制系统信息安全分级规范》</w:t>
      </w:r>
      <w:r w:rsidRPr="00A926BD">
        <w:t>GB/T 36324</w:t>
      </w:r>
      <w:r w:rsidRPr="00A926BD">
        <w:rPr>
          <w:rFonts w:hint="eastAsia"/>
        </w:rPr>
        <w:t>对工业控制系统的信息安全等级保护要求，宜按照信息安全等级</w:t>
      </w:r>
      <w:r w:rsidR="007E4536">
        <w:rPr>
          <w:rFonts w:hint="eastAsia"/>
        </w:rPr>
        <w:t>保护</w:t>
      </w:r>
      <w:r w:rsidRPr="00A926BD">
        <w:rPr>
          <w:rFonts w:hint="eastAsia"/>
        </w:rPr>
        <w:t>三级要求进行设计。</w:t>
      </w:r>
    </w:p>
    <w:p w14:paraId="65E514C8" w14:textId="77777777" w:rsidR="00785983" w:rsidRPr="00FD50F6" w:rsidRDefault="00785983" w:rsidP="00A65181">
      <w:pPr>
        <w:pStyle w:val="2"/>
      </w:pPr>
      <w:bookmarkStart w:id="947" w:name="_Toc320196081"/>
      <w:bookmarkStart w:id="948" w:name="_Toc320643470"/>
      <w:bookmarkStart w:id="949" w:name="_Toc344218832"/>
      <w:bookmarkStart w:id="950" w:name="_Toc112830808"/>
      <w:r w:rsidRPr="00FD50F6">
        <w:rPr>
          <w:rFonts w:hint="eastAsia"/>
        </w:rPr>
        <w:t>系统架构</w:t>
      </w:r>
      <w:bookmarkEnd w:id="947"/>
      <w:bookmarkEnd w:id="948"/>
      <w:bookmarkEnd w:id="949"/>
      <w:bookmarkEnd w:id="950"/>
    </w:p>
    <w:p w14:paraId="205B35F8" w14:textId="77777777" w:rsidR="00785983" w:rsidRPr="00A926BD" w:rsidRDefault="00785983" w:rsidP="00A16B07">
      <w:pPr>
        <w:pStyle w:val="30"/>
      </w:pPr>
      <w:r w:rsidRPr="00A926BD">
        <w:rPr>
          <w:rFonts w:hint="eastAsia"/>
        </w:rPr>
        <w:t>综合监控系统架构应以运营管理需求为基础，应满足安全性、可靠性、实用性、可维护性、可扩展性的要求。</w:t>
      </w:r>
    </w:p>
    <w:p w14:paraId="6632217D" w14:textId="77777777" w:rsidR="00785983" w:rsidRPr="00A16B07" w:rsidRDefault="00785983" w:rsidP="00A16B07">
      <w:pPr>
        <w:pStyle w:val="30"/>
      </w:pPr>
      <w:r w:rsidRPr="00A16B07">
        <w:rPr>
          <w:rFonts w:hint="eastAsia"/>
        </w:rPr>
        <w:t>系统应包括数据的接口层、处理层、应用层三个逻辑层。</w:t>
      </w:r>
    </w:p>
    <w:p w14:paraId="2C3BB3AB" w14:textId="77777777" w:rsidR="00785983" w:rsidRPr="00A926BD" w:rsidRDefault="00785983" w:rsidP="00A16B07">
      <w:pPr>
        <w:pStyle w:val="30"/>
      </w:pPr>
      <w:r w:rsidRPr="00A926BD">
        <w:rPr>
          <w:rFonts w:hint="eastAsia"/>
        </w:rPr>
        <w:t>综合监控系统宜设置中央级综合监控系统、车站级综合监控系统。</w:t>
      </w:r>
    </w:p>
    <w:p w14:paraId="0968793F" w14:textId="77777777" w:rsidR="00785983" w:rsidRPr="00A926BD" w:rsidRDefault="00785983" w:rsidP="00A16B07">
      <w:pPr>
        <w:pStyle w:val="30"/>
      </w:pPr>
      <w:r w:rsidRPr="00A926BD">
        <w:rPr>
          <w:rFonts w:hint="eastAsia"/>
        </w:rPr>
        <w:t>综合监控系统应设置网络管理系统，可设置设备维护管理系统、培训管理系统。</w:t>
      </w:r>
    </w:p>
    <w:p w14:paraId="08001C5D" w14:textId="77777777" w:rsidR="00785983" w:rsidRPr="00A926BD" w:rsidRDefault="00785983" w:rsidP="00A16B07">
      <w:pPr>
        <w:pStyle w:val="30"/>
      </w:pPr>
      <w:r w:rsidRPr="00A926BD">
        <w:rPr>
          <w:rFonts w:hint="eastAsia"/>
        </w:rPr>
        <w:t>综合监控系统应集成电力监控系统、环境与设备监控系统，宜集成火灾自动报警系统、列车自动监控系统、站台屏蔽门系统，应将视频监视系统、广播系统、乘客信息系统、自动售检票系统、门禁系统、时钟系统互联或集成到综合监控系统中。</w:t>
      </w:r>
    </w:p>
    <w:p w14:paraId="074CD14A" w14:textId="77777777" w:rsidR="00785983" w:rsidRPr="00FD50F6" w:rsidRDefault="00785983" w:rsidP="00A65181">
      <w:pPr>
        <w:pStyle w:val="2"/>
      </w:pPr>
      <w:bookmarkStart w:id="951" w:name="_Toc320196082"/>
      <w:bookmarkStart w:id="952" w:name="_Toc320643471"/>
      <w:bookmarkStart w:id="953" w:name="_Toc344218833"/>
      <w:bookmarkStart w:id="954" w:name="_Toc112830809"/>
      <w:r w:rsidRPr="00FD50F6">
        <w:rPr>
          <w:rFonts w:hint="eastAsia"/>
        </w:rPr>
        <w:t>系统基本功能</w:t>
      </w:r>
      <w:bookmarkEnd w:id="951"/>
      <w:bookmarkEnd w:id="952"/>
      <w:bookmarkEnd w:id="953"/>
      <w:bookmarkEnd w:id="954"/>
    </w:p>
    <w:p w14:paraId="2905AB86" w14:textId="77777777" w:rsidR="00785983" w:rsidRPr="00A926BD" w:rsidRDefault="00785983" w:rsidP="00A16B07">
      <w:pPr>
        <w:pStyle w:val="30"/>
      </w:pPr>
      <w:r w:rsidRPr="00A926BD">
        <w:rPr>
          <w:rFonts w:hint="eastAsia"/>
        </w:rPr>
        <w:t>综合监控系统应具备对系统设备的实时监控功能和联动功能。</w:t>
      </w:r>
    </w:p>
    <w:p w14:paraId="5991EA87" w14:textId="77777777" w:rsidR="00785983" w:rsidRPr="00A926BD" w:rsidRDefault="00785983" w:rsidP="00A16B07">
      <w:pPr>
        <w:pStyle w:val="30"/>
      </w:pPr>
      <w:r w:rsidRPr="00A926BD">
        <w:rPr>
          <w:rFonts w:hint="eastAsia"/>
        </w:rPr>
        <w:t>综合监控系统应能实时反映各监控对象的工作状态，应具备对监控对象</w:t>
      </w:r>
      <w:r w:rsidRPr="00A926BD">
        <w:rPr>
          <w:rFonts w:hint="eastAsia"/>
        </w:rPr>
        <w:lastRenderedPageBreak/>
        <w:t>的点动控制、模式控制、程序控制、时间表控制等控制功能。</w:t>
      </w:r>
    </w:p>
    <w:p w14:paraId="4DDF1562" w14:textId="77777777" w:rsidR="00785983" w:rsidRPr="00A926BD" w:rsidRDefault="00785983" w:rsidP="00A16B07">
      <w:pPr>
        <w:pStyle w:val="30"/>
      </w:pPr>
      <w:r w:rsidRPr="00A926BD">
        <w:rPr>
          <w:rFonts w:hint="eastAsia"/>
        </w:rPr>
        <w:t>综合监控系统应具备网络管理功能。</w:t>
      </w:r>
    </w:p>
    <w:p w14:paraId="0244305D" w14:textId="77777777" w:rsidR="00785983" w:rsidRPr="00A926BD" w:rsidRDefault="00785983" w:rsidP="00A16B07">
      <w:pPr>
        <w:pStyle w:val="30"/>
      </w:pPr>
      <w:r w:rsidRPr="00A926BD">
        <w:rPr>
          <w:rFonts w:hint="eastAsia"/>
        </w:rPr>
        <w:t>综合监控系统应具备下列基本功能：</w:t>
      </w:r>
    </w:p>
    <w:p w14:paraId="0D001882" w14:textId="77777777" w:rsidR="00785983" w:rsidRPr="00A926BD" w:rsidRDefault="00785983" w:rsidP="00A16B07">
      <w:pPr>
        <w:pStyle w:val="4"/>
      </w:pPr>
      <w:r w:rsidRPr="00A926BD">
        <w:rPr>
          <w:rFonts w:hint="eastAsia"/>
        </w:rPr>
        <w:t>数据库管理功能；</w:t>
      </w:r>
    </w:p>
    <w:p w14:paraId="57B8F9F6" w14:textId="77777777" w:rsidR="00785983" w:rsidRPr="00A926BD" w:rsidRDefault="00785983" w:rsidP="00A16B07">
      <w:pPr>
        <w:pStyle w:val="4"/>
      </w:pPr>
      <w:r w:rsidRPr="00A926BD">
        <w:rPr>
          <w:rFonts w:hint="eastAsia"/>
        </w:rPr>
        <w:t>系统权限管理功能；</w:t>
      </w:r>
      <w:r w:rsidRPr="00A926BD">
        <w:t xml:space="preserve"> </w:t>
      </w:r>
    </w:p>
    <w:p w14:paraId="6E5A2ED1" w14:textId="77777777" w:rsidR="00785983" w:rsidRPr="00A926BD" w:rsidRDefault="00785983" w:rsidP="00A16B07">
      <w:pPr>
        <w:pStyle w:val="4"/>
      </w:pPr>
      <w:r w:rsidRPr="00A926BD">
        <w:rPr>
          <w:rFonts w:hint="eastAsia"/>
        </w:rPr>
        <w:t>报警管理功能；</w:t>
      </w:r>
    </w:p>
    <w:p w14:paraId="14C2FE64" w14:textId="77777777" w:rsidR="00785983" w:rsidRPr="00A926BD" w:rsidRDefault="00785983" w:rsidP="00A16B07">
      <w:pPr>
        <w:pStyle w:val="4"/>
      </w:pPr>
      <w:r w:rsidRPr="00A926BD">
        <w:rPr>
          <w:rFonts w:hint="eastAsia"/>
        </w:rPr>
        <w:t>数据存储功能；</w:t>
      </w:r>
      <w:r w:rsidRPr="00A926BD">
        <w:t xml:space="preserve"> </w:t>
      </w:r>
    </w:p>
    <w:p w14:paraId="17A5FC8D" w14:textId="77777777" w:rsidR="00785983" w:rsidRPr="00A926BD" w:rsidRDefault="00785983" w:rsidP="00A16B07">
      <w:pPr>
        <w:pStyle w:val="4"/>
      </w:pPr>
      <w:r w:rsidRPr="00A926BD">
        <w:rPr>
          <w:rFonts w:hint="eastAsia"/>
        </w:rPr>
        <w:t>数据查询功能；</w:t>
      </w:r>
      <w:r w:rsidRPr="00A926BD">
        <w:t xml:space="preserve"> </w:t>
      </w:r>
    </w:p>
    <w:p w14:paraId="55D665DE" w14:textId="77777777" w:rsidR="00785983" w:rsidRPr="00A926BD" w:rsidRDefault="00785983" w:rsidP="00A16B07">
      <w:pPr>
        <w:pStyle w:val="4"/>
      </w:pPr>
      <w:r w:rsidRPr="00A926BD">
        <w:rPr>
          <w:rFonts w:hint="eastAsia"/>
        </w:rPr>
        <w:t>报表统计功能；</w:t>
      </w:r>
    </w:p>
    <w:p w14:paraId="1D0EDBC7" w14:textId="77777777" w:rsidR="00785983" w:rsidRPr="00A926BD" w:rsidRDefault="00785983" w:rsidP="00A16B07">
      <w:pPr>
        <w:pStyle w:val="4"/>
      </w:pPr>
      <w:r w:rsidRPr="00A926BD">
        <w:rPr>
          <w:rFonts w:hint="eastAsia"/>
        </w:rPr>
        <w:t>趋势分析功能；</w:t>
      </w:r>
    </w:p>
    <w:p w14:paraId="5E122ADF" w14:textId="77777777" w:rsidR="00785983" w:rsidRPr="00A926BD" w:rsidRDefault="00785983" w:rsidP="00A16B07">
      <w:pPr>
        <w:pStyle w:val="4"/>
      </w:pPr>
      <w:r w:rsidRPr="00A926BD">
        <w:rPr>
          <w:rFonts w:hint="eastAsia"/>
        </w:rPr>
        <w:t>系统组态功能</w:t>
      </w:r>
    </w:p>
    <w:p w14:paraId="7A039515" w14:textId="77777777" w:rsidR="00785983" w:rsidRPr="00A926BD" w:rsidRDefault="00785983" w:rsidP="00A16B07">
      <w:pPr>
        <w:pStyle w:val="4"/>
      </w:pPr>
      <w:r w:rsidRPr="00A926BD">
        <w:rPr>
          <w:rFonts w:hint="eastAsia"/>
        </w:rPr>
        <w:t>时钟同步功能</w:t>
      </w:r>
    </w:p>
    <w:p w14:paraId="767B524B" w14:textId="77777777" w:rsidR="00785983" w:rsidRPr="00A926BD" w:rsidRDefault="00785983" w:rsidP="00A16B07">
      <w:pPr>
        <w:pStyle w:val="4"/>
      </w:pPr>
      <w:r w:rsidRPr="00A926BD">
        <w:rPr>
          <w:rFonts w:hint="eastAsia"/>
        </w:rPr>
        <w:t>系统维护和诊断功能。</w:t>
      </w:r>
    </w:p>
    <w:p w14:paraId="7410F743" w14:textId="77777777" w:rsidR="00785983" w:rsidRPr="00FD50F6" w:rsidRDefault="00785983" w:rsidP="00A16B07">
      <w:pPr>
        <w:pStyle w:val="30"/>
      </w:pPr>
      <w:r w:rsidRPr="00FD50F6">
        <w:rPr>
          <w:rFonts w:hint="eastAsia"/>
        </w:rPr>
        <w:t>电力监控功能应具备下列基本功能：</w:t>
      </w:r>
    </w:p>
    <w:p w14:paraId="49EAB475" w14:textId="77777777" w:rsidR="00785983" w:rsidRPr="00A926BD" w:rsidRDefault="00785983" w:rsidP="00A926BD">
      <w:pPr>
        <w:pStyle w:val="4"/>
      </w:pPr>
      <w:r w:rsidRPr="00A926BD">
        <w:rPr>
          <w:rFonts w:hint="eastAsia"/>
        </w:rPr>
        <w:t>对供电系统设备的遥信、遥控、遥测功能；</w:t>
      </w:r>
    </w:p>
    <w:p w14:paraId="4C19D4BB" w14:textId="77777777" w:rsidR="00785983" w:rsidRPr="00A926BD" w:rsidRDefault="00785983" w:rsidP="00A926BD">
      <w:pPr>
        <w:pStyle w:val="4"/>
      </w:pPr>
      <w:r w:rsidRPr="00A926BD">
        <w:rPr>
          <w:rFonts w:hint="eastAsia"/>
        </w:rPr>
        <w:t>遥控种类宜分选点式、选站式、选线式控制；</w:t>
      </w:r>
    </w:p>
    <w:p w14:paraId="1602D6D0" w14:textId="77777777" w:rsidR="00785983" w:rsidRPr="00FD50F6" w:rsidRDefault="00785983" w:rsidP="00A926BD">
      <w:pPr>
        <w:pStyle w:val="4"/>
      </w:pPr>
      <w:r w:rsidRPr="00A926BD">
        <w:rPr>
          <w:rFonts w:hint="eastAsia"/>
        </w:rPr>
        <w:t>系统自检和在线修改、维护功能等。</w:t>
      </w:r>
    </w:p>
    <w:p w14:paraId="05F7AAFB" w14:textId="77777777" w:rsidR="00785983" w:rsidRPr="00FD50F6" w:rsidRDefault="00785983" w:rsidP="00A16B07">
      <w:pPr>
        <w:pStyle w:val="30"/>
      </w:pPr>
      <w:r w:rsidRPr="00FD50F6">
        <w:rPr>
          <w:rFonts w:hint="eastAsia"/>
        </w:rPr>
        <w:t>环境与设备监控功能应具备下列基本功能：</w:t>
      </w:r>
    </w:p>
    <w:p w14:paraId="09670241" w14:textId="77777777" w:rsidR="00785983" w:rsidRPr="00FD50F6" w:rsidRDefault="00785983" w:rsidP="00A926BD">
      <w:pPr>
        <w:pStyle w:val="4"/>
      </w:pPr>
      <w:r w:rsidRPr="00FD50F6">
        <w:rPr>
          <w:rFonts w:hint="eastAsia"/>
        </w:rPr>
        <w:t>机电设备监控功能；</w:t>
      </w:r>
    </w:p>
    <w:p w14:paraId="4FCE2B63" w14:textId="77777777" w:rsidR="00785983" w:rsidRPr="00FD50F6" w:rsidRDefault="00785983" w:rsidP="00A926BD">
      <w:pPr>
        <w:pStyle w:val="4"/>
      </w:pPr>
      <w:r w:rsidRPr="00FD50F6">
        <w:rPr>
          <w:rFonts w:hint="eastAsia"/>
        </w:rPr>
        <w:t>执行应急模式功能；</w:t>
      </w:r>
    </w:p>
    <w:p w14:paraId="33636283" w14:textId="77777777" w:rsidR="00785983" w:rsidRPr="00FD50F6" w:rsidRDefault="00785983" w:rsidP="00A926BD">
      <w:pPr>
        <w:pStyle w:val="4"/>
      </w:pPr>
      <w:r w:rsidRPr="00FD50F6">
        <w:rPr>
          <w:rFonts w:hint="eastAsia"/>
        </w:rPr>
        <w:t>环境监视与节能运行管理功能；</w:t>
      </w:r>
      <w:r w:rsidRPr="00FD50F6">
        <w:t xml:space="preserve"> </w:t>
      </w:r>
    </w:p>
    <w:p w14:paraId="06C70480" w14:textId="77777777" w:rsidR="00785983" w:rsidRPr="00FD50F6" w:rsidRDefault="00785983" w:rsidP="00A926BD">
      <w:pPr>
        <w:pStyle w:val="4"/>
      </w:pPr>
      <w:r w:rsidRPr="00FD50F6">
        <w:rPr>
          <w:rFonts w:hint="eastAsia"/>
        </w:rPr>
        <w:t>设备管理及维护功能等。</w:t>
      </w:r>
    </w:p>
    <w:p w14:paraId="1C044BDD" w14:textId="77777777" w:rsidR="00785983" w:rsidRPr="00FD50F6" w:rsidRDefault="00785983" w:rsidP="00A16B07">
      <w:pPr>
        <w:pStyle w:val="30"/>
      </w:pPr>
      <w:r w:rsidRPr="00FD50F6">
        <w:rPr>
          <w:rFonts w:hint="eastAsia"/>
        </w:rPr>
        <w:t>火灾自动报警功能宜具备下列基本功能：</w:t>
      </w:r>
    </w:p>
    <w:p w14:paraId="6BDF1AF3" w14:textId="77777777" w:rsidR="00785983" w:rsidRPr="00FD50F6" w:rsidRDefault="00785983" w:rsidP="00A926BD">
      <w:pPr>
        <w:pStyle w:val="4"/>
      </w:pPr>
      <w:r w:rsidRPr="00FD50F6">
        <w:rPr>
          <w:rFonts w:hint="eastAsia"/>
        </w:rPr>
        <w:t>接收火灾报警信息并显示火灾地点功能。</w:t>
      </w:r>
    </w:p>
    <w:p w14:paraId="6919C8EC" w14:textId="77777777" w:rsidR="00785983" w:rsidRPr="00FD50F6" w:rsidRDefault="00785983" w:rsidP="00A926BD">
      <w:pPr>
        <w:pStyle w:val="4"/>
      </w:pPr>
      <w:r w:rsidRPr="00FD50F6">
        <w:rPr>
          <w:rFonts w:hint="eastAsia"/>
        </w:rPr>
        <w:t>监视消防设备主要运行状态功能；</w:t>
      </w:r>
    </w:p>
    <w:p w14:paraId="1D3DEE43" w14:textId="77777777" w:rsidR="00785983" w:rsidRPr="00FD50F6" w:rsidRDefault="00785983" w:rsidP="00A926BD">
      <w:pPr>
        <w:pStyle w:val="4"/>
      </w:pPr>
      <w:r w:rsidRPr="00FD50F6">
        <w:rPr>
          <w:rFonts w:hint="eastAsia"/>
        </w:rPr>
        <w:t>辅助联动救灾功能等。</w:t>
      </w:r>
    </w:p>
    <w:p w14:paraId="6BEA42B9" w14:textId="77777777" w:rsidR="00785983" w:rsidRPr="00FD50F6" w:rsidRDefault="00785983" w:rsidP="00A926BD">
      <w:pPr>
        <w:pStyle w:val="30"/>
      </w:pPr>
      <w:r w:rsidRPr="00FD50F6">
        <w:rPr>
          <w:rFonts w:hint="eastAsia"/>
        </w:rPr>
        <w:t>站台屏蔽门功能应具备下列基本功能：</w:t>
      </w:r>
    </w:p>
    <w:p w14:paraId="150EB0DD" w14:textId="77777777" w:rsidR="00785983" w:rsidRPr="00FD50F6" w:rsidRDefault="00785983" w:rsidP="00A926BD">
      <w:pPr>
        <w:pStyle w:val="4"/>
      </w:pPr>
      <w:r w:rsidRPr="00FD50F6">
        <w:rPr>
          <w:rFonts w:hint="eastAsia"/>
        </w:rPr>
        <w:t>监视站台屏蔽门的运行状态；</w:t>
      </w:r>
    </w:p>
    <w:p w14:paraId="6FA3D949" w14:textId="77777777" w:rsidR="00785983" w:rsidRPr="00FD50F6" w:rsidRDefault="00785983" w:rsidP="00A926BD">
      <w:pPr>
        <w:pStyle w:val="4"/>
      </w:pPr>
      <w:r w:rsidRPr="00FD50F6">
        <w:rPr>
          <w:rFonts w:hint="eastAsia"/>
        </w:rPr>
        <w:t>监视站台屏蔽门的主要故障信息。</w:t>
      </w:r>
    </w:p>
    <w:p w14:paraId="7BD3BEE6" w14:textId="77777777" w:rsidR="00785983" w:rsidRPr="00FD50F6" w:rsidRDefault="00785983" w:rsidP="00A926BD">
      <w:pPr>
        <w:pStyle w:val="30"/>
      </w:pPr>
      <w:r w:rsidRPr="00FD50F6">
        <w:rPr>
          <w:rFonts w:hint="eastAsia"/>
        </w:rPr>
        <w:t>广播功能宜具备下列基本功能：</w:t>
      </w:r>
      <w:r w:rsidRPr="00FD50F6">
        <w:t xml:space="preserve"> </w:t>
      </w:r>
    </w:p>
    <w:p w14:paraId="054F87A7" w14:textId="77777777" w:rsidR="00785983" w:rsidRPr="00FD50F6" w:rsidRDefault="00785983" w:rsidP="00A926BD">
      <w:pPr>
        <w:pStyle w:val="4"/>
      </w:pPr>
      <w:r w:rsidRPr="00FD50F6">
        <w:rPr>
          <w:rFonts w:hint="eastAsia"/>
        </w:rPr>
        <w:lastRenderedPageBreak/>
        <w:t>广播区编组、广播区单选、广播区多选、音源选择、即时广播、定时广播、广播监听、自动时间表广播、广播控制状态显示等监控功能；</w:t>
      </w:r>
    </w:p>
    <w:p w14:paraId="5713BC27" w14:textId="77777777" w:rsidR="00785983" w:rsidRPr="00FD50F6" w:rsidRDefault="00785983" w:rsidP="00A926BD">
      <w:pPr>
        <w:pStyle w:val="4"/>
      </w:pPr>
      <w:r w:rsidRPr="00FD50F6">
        <w:rPr>
          <w:rFonts w:hint="eastAsia"/>
        </w:rPr>
        <w:t>对广播分区状态信息监视的功能。</w:t>
      </w:r>
    </w:p>
    <w:p w14:paraId="2B25FDA2" w14:textId="77777777" w:rsidR="00785983" w:rsidRPr="00FD50F6" w:rsidRDefault="00785983" w:rsidP="00A926BD">
      <w:pPr>
        <w:pStyle w:val="30"/>
      </w:pPr>
      <w:r w:rsidRPr="00FD50F6">
        <w:rPr>
          <w:rFonts w:hint="eastAsia"/>
        </w:rPr>
        <w:t>视频监视功能宜具备下列基本功能：</w:t>
      </w:r>
      <w:r w:rsidRPr="00FD50F6">
        <w:t xml:space="preserve"> </w:t>
      </w:r>
    </w:p>
    <w:p w14:paraId="6B80050B" w14:textId="77777777" w:rsidR="00785983" w:rsidRPr="00FD50F6" w:rsidRDefault="00785983" w:rsidP="00A926BD">
      <w:pPr>
        <w:pStyle w:val="4"/>
      </w:pPr>
      <w:r w:rsidRPr="00FD50F6">
        <w:rPr>
          <w:rFonts w:hint="eastAsia"/>
        </w:rPr>
        <w:t>视频监视画面选择、</w:t>
      </w:r>
      <w:r w:rsidRPr="00FD50F6">
        <w:t xml:space="preserve">P/T/Z </w:t>
      </w:r>
      <w:r w:rsidRPr="00FD50F6">
        <w:rPr>
          <w:rFonts w:hint="eastAsia"/>
        </w:rPr>
        <w:t>调节、预设位存储、序列自定义、序列控制功能；</w:t>
      </w:r>
      <w:r w:rsidRPr="00FD50F6">
        <w:t xml:space="preserve"> </w:t>
      </w:r>
    </w:p>
    <w:p w14:paraId="294E64FE" w14:textId="77777777" w:rsidR="00785983" w:rsidRPr="00FD50F6" w:rsidRDefault="00785983" w:rsidP="00A926BD">
      <w:pPr>
        <w:pStyle w:val="4"/>
      </w:pPr>
      <w:r w:rsidRPr="00FD50F6">
        <w:rPr>
          <w:rFonts w:hint="eastAsia"/>
        </w:rPr>
        <w:t>对摄像机设备状态信息的监视功能。</w:t>
      </w:r>
    </w:p>
    <w:p w14:paraId="3F8530A0" w14:textId="77777777" w:rsidR="00785983" w:rsidRPr="00FD50F6" w:rsidRDefault="00785983" w:rsidP="00A926BD">
      <w:pPr>
        <w:pStyle w:val="30"/>
      </w:pPr>
      <w:r w:rsidRPr="00FD50F6">
        <w:rPr>
          <w:rFonts w:hint="eastAsia"/>
        </w:rPr>
        <w:t>乘客信息功能宜具备下列基本功能：</w:t>
      </w:r>
    </w:p>
    <w:p w14:paraId="73A7477C" w14:textId="77777777" w:rsidR="00785983" w:rsidRPr="00FD50F6" w:rsidRDefault="00785983" w:rsidP="00A926BD">
      <w:pPr>
        <w:pStyle w:val="4"/>
      </w:pPr>
      <w:r w:rsidRPr="00FD50F6">
        <w:rPr>
          <w:rFonts w:hint="eastAsia"/>
        </w:rPr>
        <w:t>信息编辑、信息保存、信息模板修改、预定义信息、信息人工审核、信息发布管理功能；</w:t>
      </w:r>
    </w:p>
    <w:p w14:paraId="736E4652" w14:textId="77777777" w:rsidR="00785983" w:rsidRPr="00FD50F6" w:rsidRDefault="00785983" w:rsidP="00A926BD">
      <w:pPr>
        <w:pStyle w:val="4"/>
      </w:pPr>
      <w:r w:rsidRPr="00FD50F6">
        <w:rPr>
          <w:rFonts w:hint="eastAsia"/>
        </w:rPr>
        <w:t>对主要设备状态信息的监视功能。</w:t>
      </w:r>
    </w:p>
    <w:p w14:paraId="688CB5BE" w14:textId="77777777" w:rsidR="00785983" w:rsidRPr="00FD50F6" w:rsidRDefault="00785983" w:rsidP="00A926BD">
      <w:pPr>
        <w:pStyle w:val="30"/>
      </w:pPr>
      <w:r w:rsidRPr="00FD50F6">
        <w:rPr>
          <w:rFonts w:hint="eastAsia"/>
        </w:rPr>
        <w:t>自动售检票功能宜具备下列基本功能：</w:t>
      </w:r>
    </w:p>
    <w:p w14:paraId="792520E6" w14:textId="77777777" w:rsidR="00785983" w:rsidRPr="00FD50F6" w:rsidRDefault="00785983" w:rsidP="00A926BD">
      <w:pPr>
        <w:pStyle w:val="4"/>
      </w:pPr>
      <w:r w:rsidRPr="00FD50F6">
        <w:rPr>
          <w:rFonts w:hint="eastAsia"/>
        </w:rPr>
        <w:t>对售检票终端设备状态信息监视功能；</w:t>
      </w:r>
    </w:p>
    <w:p w14:paraId="206C0075" w14:textId="77777777" w:rsidR="00785983" w:rsidRPr="00FD50F6" w:rsidRDefault="00785983" w:rsidP="00A926BD">
      <w:pPr>
        <w:pStyle w:val="4"/>
      </w:pPr>
      <w:r w:rsidRPr="00FD50F6">
        <w:rPr>
          <w:rFonts w:hint="eastAsia"/>
        </w:rPr>
        <w:t>监视客流信息功能。</w:t>
      </w:r>
    </w:p>
    <w:p w14:paraId="6A5A475E" w14:textId="77777777" w:rsidR="00785983" w:rsidRPr="00FD50F6" w:rsidRDefault="00785983" w:rsidP="00A926BD">
      <w:pPr>
        <w:pStyle w:val="30"/>
      </w:pPr>
      <w:r w:rsidRPr="00FD50F6">
        <w:rPr>
          <w:rFonts w:hint="eastAsia"/>
        </w:rPr>
        <w:t>门禁系统功能宜具备下列基本功能：</w:t>
      </w:r>
    </w:p>
    <w:p w14:paraId="2470CA33" w14:textId="77777777" w:rsidR="00785983" w:rsidRPr="00FD50F6" w:rsidRDefault="00785983" w:rsidP="00A926BD">
      <w:pPr>
        <w:pStyle w:val="4"/>
      </w:pPr>
      <w:r w:rsidRPr="00FD50F6">
        <w:rPr>
          <w:rFonts w:hint="eastAsia"/>
        </w:rPr>
        <w:t>对设备运行信息监视功能；</w:t>
      </w:r>
      <w:r w:rsidRPr="00FD50F6">
        <w:t xml:space="preserve"> </w:t>
      </w:r>
    </w:p>
    <w:p w14:paraId="1609D355" w14:textId="77777777" w:rsidR="00785983" w:rsidRPr="00FD50F6" w:rsidRDefault="00785983" w:rsidP="00A926BD">
      <w:pPr>
        <w:pStyle w:val="4"/>
      </w:pPr>
      <w:r w:rsidRPr="00FD50F6">
        <w:rPr>
          <w:rFonts w:hint="eastAsia"/>
        </w:rPr>
        <w:t>对主要门禁点的开门控制功能。</w:t>
      </w:r>
    </w:p>
    <w:p w14:paraId="11FD1E53" w14:textId="77777777" w:rsidR="00785983" w:rsidRPr="00FD50F6" w:rsidRDefault="00785983" w:rsidP="00A926BD">
      <w:pPr>
        <w:pStyle w:val="30"/>
      </w:pPr>
      <w:r w:rsidRPr="00FD50F6">
        <w:rPr>
          <w:rFonts w:hint="eastAsia"/>
        </w:rPr>
        <w:t>列车自动监控系统功能宜具备下列基本功能：</w:t>
      </w:r>
    </w:p>
    <w:p w14:paraId="368123B4" w14:textId="77777777" w:rsidR="00785983" w:rsidRPr="00FD50F6" w:rsidRDefault="00785983" w:rsidP="00A926BD">
      <w:pPr>
        <w:pStyle w:val="4"/>
      </w:pPr>
      <w:r w:rsidRPr="00FD50F6">
        <w:rPr>
          <w:rFonts w:hint="eastAsia"/>
        </w:rPr>
        <w:t>对信号系统的道岔、信号机等设备监视功能；</w:t>
      </w:r>
    </w:p>
    <w:p w14:paraId="13438A28" w14:textId="77777777" w:rsidR="00785983" w:rsidRPr="00FD50F6" w:rsidRDefault="00785983" w:rsidP="00A926BD">
      <w:pPr>
        <w:pStyle w:val="4"/>
      </w:pPr>
      <w:r w:rsidRPr="00FD50F6">
        <w:rPr>
          <w:rFonts w:hint="eastAsia"/>
        </w:rPr>
        <w:t>对</w:t>
      </w:r>
      <w:r w:rsidRPr="00FD50F6">
        <w:t>列车</w:t>
      </w:r>
      <w:r w:rsidRPr="00FD50F6">
        <w:rPr>
          <w:rFonts w:hint="eastAsia"/>
        </w:rPr>
        <w:t>自动监视</w:t>
      </w:r>
      <w:r w:rsidRPr="00FD50F6">
        <w:t>功能</w:t>
      </w:r>
      <w:r w:rsidRPr="00FD50F6">
        <w:rPr>
          <w:rFonts w:hint="eastAsia"/>
        </w:rPr>
        <w:t>；</w:t>
      </w:r>
    </w:p>
    <w:p w14:paraId="2117EB3D" w14:textId="19095004" w:rsidR="00785983" w:rsidRPr="00FD50F6" w:rsidRDefault="00785983" w:rsidP="00A926BD">
      <w:pPr>
        <w:pStyle w:val="4"/>
      </w:pPr>
      <w:r w:rsidRPr="00FD50F6">
        <w:t>接收信号系统</w:t>
      </w:r>
      <w:r w:rsidRPr="00FD50F6">
        <w:rPr>
          <w:rFonts w:hint="eastAsia"/>
        </w:rPr>
        <w:t>列车区间非正常停车</w:t>
      </w:r>
      <w:r w:rsidRPr="00FD50F6">
        <w:t>信息</w:t>
      </w:r>
      <w:r w:rsidRPr="00FD50F6">
        <w:rPr>
          <w:rFonts w:hint="eastAsia"/>
        </w:rPr>
        <w:t>，联动</w:t>
      </w:r>
      <w:r w:rsidR="006F70EE">
        <w:rPr>
          <w:rFonts w:hint="eastAsia"/>
        </w:rPr>
        <w:t>其他</w:t>
      </w:r>
      <w:r w:rsidRPr="00FD50F6">
        <w:rPr>
          <w:rFonts w:hint="eastAsia"/>
        </w:rPr>
        <w:t>系统执行非正常运行工况。</w:t>
      </w:r>
    </w:p>
    <w:p w14:paraId="2DA83A4F" w14:textId="77777777" w:rsidR="00785983" w:rsidRPr="00FD50F6" w:rsidRDefault="00785983" w:rsidP="00A926BD">
      <w:pPr>
        <w:pStyle w:val="30"/>
      </w:pPr>
      <w:r w:rsidRPr="00FD50F6">
        <w:rPr>
          <w:rFonts w:ascii="宋体" w:hAnsi="宋体" w:hint="eastAsia"/>
        </w:rPr>
        <w:t>采用全自动运行的线路，</w:t>
      </w:r>
      <w:r w:rsidRPr="00FD50F6">
        <w:rPr>
          <w:rFonts w:hint="eastAsia"/>
        </w:rPr>
        <w:t>车辆监控功能宜具备下列基本功能：</w:t>
      </w:r>
    </w:p>
    <w:p w14:paraId="29D1B68D" w14:textId="77777777" w:rsidR="00785983" w:rsidRPr="00FD50F6" w:rsidRDefault="00785983" w:rsidP="00A926BD">
      <w:pPr>
        <w:pStyle w:val="4"/>
      </w:pPr>
      <w:r w:rsidRPr="00FD50F6">
        <w:rPr>
          <w:rFonts w:hint="eastAsia"/>
        </w:rPr>
        <w:t>对在线车辆运行状态监视功能；</w:t>
      </w:r>
    </w:p>
    <w:p w14:paraId="6D550E7F" w14:textId="77777777" w:rsidR="00785983" w:rsidRPr="00FD50F6" w:rsidRDefault="00785983" w:rsidP="00A926BD">
      <w:pPr>
        <w:pStyle w:val="4"/>
      </w:pPr>
      <w:r w:rsidRPr="00FD50F6">
        <w:rPr>
          <w:rFonts w:hint="eastAsia"/>
        </w:rPr>
        <w:t>对车内相关设备监控功能。</w:t>
      </w:r>
    </w:p>
    <w:p w14:paraId="7319FEB7" w14:textId="77777777" w:rsidR="00785983" w:rsidRPr="00FD50F6" w:rsidRDefault="00785983" w:rsidP="00A926BD">
      <w:pPr>
        <w:pStyle w:val="30"/>
      </w:pPr>
      <w:r w:rsidRPr="00FD50F6">
        <w:rPr>
          <w:rFonts w:hint="eastAsia"/>
        </w:rPr>
        <w:t>在线列车信息发布功</w:t>
      </w:r>
      <w:r w:rsidRPr="00A926BD">
        <w:rPr>
          <w:rFonts w:hint="eastAsia"/>
        </w:rPr>
        <w:t>能</w:t>
      </w:r>
      <w:r w:rsidRPr="00FD50F6">
        <w:rPr>
          <w:rFonts w:hint="eastAsia"/>
        </w:rPr>
        <w:t>宜具备下列基本功能：</w:t>
      </w:r>
    </w:p>
    <w:p w14:paraId="474DB7ED" w14:textId="77777777" w:rsidR="00785983" w:rsidRPr="00FD50F6" w:rsidRDefault="00785983" w:rsidP="00A926BD">
      <w:pPr>
        <w:pStyle w:val="4"/>
      </w:pPr>
      <w:r w:rsidRPr="00FD50F6">
        <w:rPr>
          <w:rFonts w:hint="eastAsia"/>
        </w:rPr>
        <w:t>对在线列车的单选、组选等信息发布功能；</w:t>
      </w:r>
    </w:p>
    <w:p w14:paraId="0B95EC46" w14:textId="77777777" w:rsidR="00785983" w:rsidRPr="00FD50F6" w:rsidRDefault="00785983" w:rsidP="00A926BD">
      <w:pPr>
        <w:pStyle w:val="4"/>
      </w:pPr>
      <w:r w:rsidRPr="00FD50F6">
        <w:rPr>
          <w:rFonts w:hint="eastAsia"/>
        </w:rPr>
        <w:t>对车载的语音、文字发布功能；</w:t>
      </w:r>
    </w:p>
    <w:p w14:paraId="1195DF7F" w14:textId="77777777" w:rsidR="00785983" w:rsidRPr="00FD50F6" w:rsidRDefault="00785983" w:rsidP="00A926BD">
      <w:pPr>
        <w:pStyle w:val="4"/>
      </w:pPr>
      <w:r w:rsidRPr="00FD50F6">
        <w:rPr>
          <w:rFonts w:hint="eastAsia"/>
        </w:rPr>
        <w:t>对列车内乘客实现对讲功能。</w:t>
      </w:r>
      <w:r w:rsidRPr="00FD50F6">
        <w:t xml:space="preserve"> </w:t>
      </w:r>
    </w:p>
    <w:p w14:paraId="3DABC91A" w14:textId="77777777" w:rsidR="00785983" w:rsidRPr="00FD50F6" w:rsidRDefault="00785983" w:rsidP="00A926BD">
      <w:pPr>
        <w:pStyle w:val="30"/>
      </w:pPr>
      <w:r w:rsidRPr="00FD50F6">
        <w:rPr>
          <w:rFonts w:hint="eastAsia"/>
        </w:rPr>
        <w:t>综合监控系统应具备下列联动功能；</w:t>
      </w:r>
    </w:p>
    <w:p w14:paraId="024ECC9B" w14:textId="77777777" w:rsidR="00785983" w:rsidRPr="00FD50F6" w:rsidRDefault="00785983" w:rsidP="00A926BD">
      <w:pPr>
        <w:pStyle w:val="4"/>
      </w:pPr>
      <w:r w:rsidRPr="00FD50F6">
        <w:rPr>
          <w:rFonts w:hint="eastAsia"/>
        </w:rPr>
        <w:lastRenderedPageBreak/>
        <w:t>手动、半自动、自动联动功能；</w:t>
      </w:r>
    </w:p>
    <w:p w14:paraId="240C07D7" w14:textId="77777777" w:rsidR="00785983" w:rsidRPr="00FD50F6" w:rsidRDefault="00785983" w:rsidP="00A926BD">
      <w:pPr>
        <w:pStyle w:val="4"/>
      </w:pPr>
      <w:r w:rsidRPr="00FD50F6">
        <w:rPr>
          <w:rFonts w:hint="eastAsia"/>
        </w:rPr>
        <w:t>在线自定义联动功能；</w:t>
      </w:r>
    </w:p>
    <w:p w14:paraId="7C95790E" w14:textId="77777777" w:rsidR="00785983" w:rsidRPr="00FD50F6" w:rsidRDefault="00785983" w:rsidP="00A926BD">
      <w:pPr>
        <w:pStyle w:val="4"/>
      </w:pPr>
      <w:r w:rsidRPr="00FD50F6">
        <w:rPr>
          <w:rFonts w:hint="eastAsia"/>
        </w:rPr>
        <w:t>在正常运营和非正常运营工况下设备系统的联动功能。</w:t>
      </w:r>
    </w:p>
    <w:p w14:paraId="0D51F68A" w14:textId="77777777" w:rsidR="00785983" w:rsidRPr="00FD50F6" w:rsidRDefault="00785983" w:rsidP="00A926BD">
      <w:pPr>
        <w:pStyle w:val="30"/>
      </w:pPr>
      <w:r w:rsidRPr="00FD50F6">
        <w:rPr>
          <w:rFonts w:hint="eastAsia"/>
        </w:rPr>
        <w:t>综合后备盘应支持关键设备手动控制功能。盘面应设有防止误操作的开启</w:t>
      </w:r>
      <w:r w:rsidRPr="00FD50F6">
        <w:t>/</w:t>
      </w:r>
      <w:r w:rsidRPr="00FD50F6">
        <w:rPr>
          <w:rFonts w:hint="eastAsia"/>
        </w:rPr>
        <w:t>闭锁转换开关装置。</w:t>
      </w:r>
    </w:p>
    <w:p w14:paraId="1C6BC7B4" w14:textId="77777777" w:rsidR="00785983" w:rsidRPr="00FD50F6" w:rsidRDefault="00785983" w:rsidP="00A65181">
      <w:pPr>
        <w:pStyle w:val="2"/>
      </w:pPr>
      <w:bookmarkStart w:id="955" w:name="_Toc320196083"/>
      <w:bookmarkStart w:id="956" w:name="_Toc320643472"/>
      <w:bookmarkStart w:id="957" w:name="_Toc344218834"/>
      <w:bookmarkStart w:id="958" w:name="_Toc112830810"/>
      <w:r w:rsidRPr="00FD50F6">
        <w:rPr>
          <w:rFonts w:hint="eastAsia"/>
        </w:rPr>
        <w:t>硬件基本要求</w:t>
      </w:r>
      <w:bookmarkEnd w:id="955"/>
      <w:bookmarkEnd w:id="956"/>
      <w:bookmarkEnd w:id="957"/>
      <w:bookmarkEnd w:id="958"/>
    </w:p>
    <w:p w14:paraId="6DD90760" w14:textId="77777777" w:rsidR="00785983" w:rsidRPr="00A926BD" w:rsidRDefault="00785983" w:rsidP="00A926BD">
      <w:pPr>
        <w:pStyle w:val="30"/>
      </w:pPr>
      <w:r w:rsidRPr="00FD50F6">
        <w:rPr>
          <w:rFonts w:hint="eastAsia"/>
        </w:rPr>
        <w:t>综</w:t>
      </w:r>
      <w:r w:rsidRPr="00A926BD">
        <w:rPr>
          <w:rFonts w:hint="eastAsia"/>
        </w:rPr>
        <w:t>合监控系统设备应选择安全、可靠、可维护、易扩展的工业级产品。</w:t>
      </w:r>
    </w:p>
    <w:p w14:paraId="39FCD68D" w14:textId="77777777" w:rsidR="00785983" w:rsidRPr="00A926BD" w:rsidRDefault="00785983" w:rsidP="00A926BD">
      <w:pPr>
        <w:pStyle w:val="30"/>
      </w:pPr>
      <w:r w:rsidRPr="00A926BD">
        <w:rPr>
          <w:rFonts w:hint="eastAsia"/>
        </w:rPr>
        <w:t>综合监控系统关键设备应采用冗余配置，冗余设备宜分机柜布置，冗余设备应实现无扰动切换。</w:t>
      </w:r>
    </w:p>
    <w:p w14:paraId="33BFAF9F" w14:textId="77777777" w:rsidR="00785983" w:rsidRPr="00A926BD" w:rsidRDefault="00785983" w:rsidP="00A926BD">
      <w:pPr>
        <w:pStyle w:val="30"/>
      </w:pPr>
      <w:r w:rsidRPr="00A926BD">
        <w:rPr>
          <w:rFonts w:hint="eastAsia"/>
        </w:rPr>
        <w:t>中央级系统硬件应按下列要求配置：</w:t>
      </w:r>
    </w:p>
    <w:p w14:paraId="5BC13CC7" w14:textId="77777777" w:rsidR="00785983" w:rsidRPr="00A926BD" w:rsidRDefault="00785983" w:rsidP="00A926BD">
      <w:pPr>
        <w:pStyle w:val="4"/>
      </w:pPr>
      <w:r w:rsidRPr="00A926BD">
        <w:rPr>
          <w:rFonts w:hint="eastAsia"/>
        </w:rPr>
        <w:t>冗余实时服务器；</w:t>
      </w:r>
    </w:p>
    <w:p w14:paraId="1F458C37" w14:textId="77777777" w:rsidR="00785983" w:rsidRPr="00A926BD" w:rsidRDefault="00785983" w:rsidP="00A926BD">
      <w:pPr>
        <w:pStyle w:val="4"/>
      </w:pPr>
      <w:r w:rsidRPr="00A926BD">
        <w:rPr>
          <w:rFonts w:hint="eastAsia"/>
        </w:rPr>
        <w:t>冗余历史服务器；</w:t>
      </w:r>
    </w:p>
    <w:p w14:paraId="4A20DF5D" w14:textId="725F548D" w:rsidR="00785983" w:rsidRPr="00A926BD" w:rsidRDefault="00785983" w:rsidP="00A926BD">
      <w:pPr>
        <w:pStyle w:val="4"/>
      </w:pPr>
      <w:r w:rsidRPr="00A926BD">
        <w:rPr>
          <w:rFonts w:hint="eastAsia"/>
        </w:rPr>
        <w:t>冗余通信处理器及网络设备</w:t>
      </w:r>
      <w:r w:rsidR="00A926BD">
        <w:rPr>
          <w:rFonts w:hint="eastAsia"/>
        </w:rPr>
        <w:t>；</w:t>
      </w:r>
    </w:p>
    <w:p w14:paraId="6A25D444" w14:textId="5F713A99" w:rsidR="00785983" w:rsidRPr="00A926BD" w:rsidRDefault="00785983" w:rsidP="00A926BD">
      <w:pPr>
        <w:pStyle w:val="4"/>
      </w:pPr>
      <w:r w:rsidRPr="00A926BD">
        <w:rPr>
          <w:rFonts w:hint="eastAsia"/>
        </w:rPr>
        <w:t>操作员工作站</w:t>
      </w:r>
      <w:r w:rsidR="00A926BD">
        <w:rPr>
          <w:rFonts w:hint="eastAsia"/>
        </w:rPr>
        <w:t>。</w:t>
      </w:r>
    </w:p>
    <w:p w14:paraId="484D1A9B" w14:textId="77777777" w:rsidR="00785983" w:rsidRPr="00FD50F6" w:rsidRDefault="00785983" w:rsidP="00A926BD">
      <w:pPr>
        <w:pStyle w:val="30"/>
      </w:pPr>
      <w:r w:rsidRPr="00FD50F6">
        <w:rPr>
          <w:rFonts w:hint="eastAsia"/>
        </w:rPr>
        <w:t>车站级系统硬件应按下列要求配置：</w:t>
      </w:r>
    </w:p>
    <w:p w14:paraId="51028759" w14:textId="77777777" w:rsidR="00785983" w:rsidRPr="00A926BD" w:rsidRDefault="00785983" w:rsidP="00A926BD">
      <w:pPr>
        <w:pStyle w:val="4"/>
      </w:pPr>
      <w:r w:rsidRPr="00A926BD">
        <w:rPr>
          <w:rFonts w:hint="eastAsia"/>
        </w:rPr>
        <w:t>冗余服务器；</w:t>
      </w:r>
    </w:p>
    <w:p w14:paraId="690F2F68" w14:textId="77777777" w:rsidR="00785983" w:rsidRPr="00A926BD" w:rsidRDefault="00785983" w:rsidP="00A926BD">
      <w:pPr>
        <w:pStyle w:val="4"/>
      </w:pPr>
      <w:r w:rsidRPr="00A926BD">
        <w:rPr>
          <w:rFonts w:hint="eastAsia"/>
        </w:rPr>
        <w:t>冗余通信处理器及网络设备。</w:t>
      </w:r>
    </w:p>
    <w:p w14:paraId="069A8CF7" w14:textId="77777777" w:rsidR="00785983" w:rsidRPr="00A926BD" w:rsidRDefault="00785983" w:rsidP="00A926BD">
      <w:pPr>
        <w:pStyle w:val="4"/>
      </w:pPr>
      <w:r w:rsidRPr="00A926BD">
        <w:rPr>
          <w:rFonts w:hint="eastAsia"/>
        </w:rPr>
        <w:t>操作员工作站；</w:t>
      </w:r>
    </w:p>
    <w:p w14:paraId="721E8D95" w14:textId="77777777" w:rsidR="00785983" w:rsidRPr="00FD50F6" w:rsidRDefault="00785983" w:rsidP="00A65181">
      <w:pPr>
        <w:pStyle w:val="2"/>
      </w:pPr>
      <w:bookmarkStart w:id="959" w:name="_Toc320196084"/>
      <w:bookmarkStart w:id="960" w:name="_Toc320643473"/>
      <w:bookmarkStart w:id="961" w:name="_Toc344218835"/>
      <w:bookmarkStart w:id="962" w:name="_Toc112830811"/>
      <w:r w:rsidRPr="00FD50F6">
        <w:rPr>
          <w:rFonts w:hint="eastAsia"/>
        </w:rPr>
        <w:t>软件基本要求</w:t>
      </w:r>
      <w:bookmarkEnd w:id="959"/>
      <w:bookmarkEnd w:id="960"/>
      <w:bookmarkEnd w:id="961"/>
      <w:bookmarkEnd w:id="962"/>
    </w:p>
    <w:p w14:paraId="192A93A1" w14:textId="77777777" w:rsidR="00785983" w:rsidRPr="00FD50F6" w:rsidRDefault="00785983" w:rsidP="00A926BD">
      <w:pPr>
        <w:pStyle w:val="30"/>
      </w:pPr>
      <w:r w:rsidRPr="00FD50F6">
        <w:rPr>
          <w:rFonts w:hint="eastAsia"/>
        </w:rPr>
        <w:t>综合监控系统软件应符合下列规定：</w:t>
      </w:r>
    </w:p>
    <w:p w14:paraId="116E3CC4" w14:textId="77777777" w:rsidR="00785983" w:rsidRPr="00FD50F6" w:rsidRDefault="00785983" w:rsidP="00A926BD">
      <w:pPr>
        <w:pStyle w:val="4"/>
      </w:pPr>
      <w:r w:rsidRPr="00FD50F6">
        <w:rPr>
          <w:rFonts w:hint="eastAsia"/>
        </w:rPr>
        <w:t>应为一个开放系统，应支持多种类硬件，应具有对不同软件的集成能力，包括接口协议、数据、工作模式等；</w:t>
      </w:r>
    </w:p>
    <w:p w14:paraId="4D1DE44C" w14:textId="77777777" w:rsidR="00785983" w:rsidRPr="00FD50F6" w:rsidRDefault="00785983" w:rsidP="00A926BD">
      <w:pPr>
        <w:pStyle w:val="4"/>
      </w:pPr>
      <w:r w:rsidRPr="00FD50F6">
        <w:rPr>
          <w:rFonts w:hint="eastAsia"/>
        </w:rPr>
        <w:t>应采用分层分布式软件架构；</w:t>
      </w:r>
    </w:p>
    <w:p w14:paraId="0ECC2130" w14:textId="77777777" w:rsidR="00785983" w:rsidRPr="00FD50F6" w:rsidRDefault="00785983" w:rsidP="00A926BD">
      <w:pPr>
        <w:pStyle w:val="4"/>
      </w:pPr>
      <w:r w:rsidRPr="00FD50F6">
        <w:rPr>
          <w:rFonts w:hint="eastAsia"/>
        </w:rPr>
        <w:t>应采用模块化结构；</w:t>
      </w:r>
    </w:p>
    <w:p w14:paraId="4821DF4A" w14:textId="77777777" w:rsidR="00785983" w:rsidRPr="00FD50F6" w:rsidRDefault="00785983" w:rsidP="00A926BD">
      <w:pPr>
        <w:pStyle w:val="4"/>
      </w:pPr>
      <w:r w:rsidRPr="00FD50F6">
        <w:rPr>
          <w:rFonts w:hint="eastAsia"/>
        </w:rPr>
        <w:t>应采用冗余设计，交叉故障不应引起数据的丢失和系统的瘫痪；</w:t>
      </w:r>
    </w:p>
    <w:p w14:paraId="56800434" w14:textId="77777777" w:rsidR="00785983" w:rsidRPr="00FD50F6" w:rsidRDefault="00785983" w:rsidP="00A926BD">
      <w:pPr>
        <w:pStyle w:val="4"/>
      </w:pPr>
      <w:r w:rsidRPr="00FD50F6">
        <w:rPr>
          <w:rFonts w:hint="eastAsia"/>
        </w:rPr>
        <w:t>数据采集应采用变位上传、订阅</w:t>
      </w:r>
      <w:r w:rsidRPr="00FD50F6">
        <w:t>/</w:t>
      </w:r>
      <w:r w:rsidRPr="00FD50F6">
        <w:rPr>
          <w:rFonts w:hint="eastAsia"/>
        </w:rPr>
        <w:t>发布、事件驱动等机制；</w:t>
      </w:r>
    </w:p>
    <w:p w14:paraId="082E356E" w14:textId="77777777" w:rsidR="00785983" w:rsidRPr="00FD50F6" w:rsidRDefault="00785983" w:rsidP="00A926BD">
      <w:pPr>
        <w:pStyle w:val="4"/>
      </w:pPr>
      <w:r w:rsidRPr="00FD50F6">
        <w:rPr>
          <w:rFonts w:hint="eastAsia"/>
        </w:rPr>
        <w:t>应提供合理的数据流结构框架，应支持内存数据库和动态缓存技术，应具</w:t>
      </w:r>
      <w:r w:rsidRPr="00FD50F6">
        <w:rPr>
          <w:rFonts w:hint="eastAsia"/>
        </w:rPr>
        <w:lastRenderedPageBreak/>
        <w:t>备雪崩情况下的数据处理应急机制。</w:t>
      </w:r>
    </w:p>
    <w:p w14:paraId="6FC47E12" w14:textId="77777777" w:rsidR="00785983" w:rsidRPr="00FD50F6" w:rsidRDefault="00785983" w:rsidP="00A926BD">
      <w:pPr>
        <w:pStyle w:val="4"/>
      </w:pPr>
      <w:r w:rsidRPr="00FD50F6">
        <w:rPr>
          <w:rFonts w:hint="eastAsia"/>
        </w:rPr>
        <w:t>应支持多任务多用户并发访问；</w:t>
      </w:r>
    </w:p>
    <w:p w14:paraId="602572D2" w14:textId="77777777" w:rsidR="00785983" w:rsidRPr="00FD50F6" w:rsidRDefault="00785983" w:rsidP="00A926BD">
      <w:pPr>
        <w:pStyle w:val="4"/>
      </w:pPr>
      <w:r w:rsidRPr="00FD50F6">
        <w:rPr>
          <w:rFonts w:hint="eastAsia"/>
        </w:rPr>
        <w:t>应支持数据的存储、转发；</w:t>
      </w:r>
    </w:p>
    <w:p w14:paraId="17B2CCEA" w14:textId="77777777" w:rsidR="00785983" w:rsidRPr="00FD50F6" w:rsidRDefault="00785983" w:rsidP="00A926BD">
      <w:pPr>
        <w:pStyle w:val="4"/>
      </w:pPr>
      <w:r w:rsidRPr="00FD50F6">
        <w:rPr>
          <w:rFonts w:hint="eastAsia"/>
        </w:rPr>
        <w:t>应采取安全措施与其他系统通信；</w:t>
      </w:r>
    </w:p>
    <w:p w14:paraId="416BF2B1" w14:textId="77777777" w:rsidR="00785983" w:rsidRPr="00FD50F6" w:rsidRDefault="00785983" w:rsidP="00A926BD">
      <w:pPr>
        <w:pStyle w:val="4"/>
      </w:pPr>
      <w:r w:rsidRPr="00FD50F6">
        <w:rPr>
          <w:rFonts w:hint="eastAsia"/>
        </w:rPr>
        <w:t>应提供方便友好的交互界面实现在线修改；</w:t>
      </w:r>
    </w:p>
    <w:p w14:paraId="654A474A" w14:textId="77777777" w:rsidR="00785983" w:rsidRPr="00FD50F6" w:rsidRDefault="00785983" w:rsidP="00A926BD">
      <w:pPr>
        <w:pStyle w:val="30"/>
      </w:pPr>
      <w:r w:rsidRPr="00FD50F6">
        <w:rPr>
          <w:rFonts w:hint="eastAsia"/>
        </w:rPr>
        <w:t>综合监控系统软件应具备接入信息化管理系统或更高一级管理系统功能。</w:t>
      </w:r>
    </w:p>
    <w:p w14:paraId="6D9DDDA9" w14:textId="77777777" w:rsidR="00785983" w:rsidRPr="00FD50F6" w:rsidRDefault="00785983" w:rsidP="00A65181">
      <w:pPr>
        <w:pStyle w:val="2"/>
      </w:pPr>
      <w:bookmarkStart w:id="963" w:name="_Toc112830812"/>
      <w:r w:rsidRPr="00FD50F6">
        <w:rPr>
          <w:rFonts w:hint="eastAsia"/>
        </w:rPr>
        <w:t>系统网络基本要求</w:t>
      </w:r>
      <w:bookmarkEnd w:id="963"/>
    </w:p>
    <w:p w14:paraId="5C4D9F4B" w14:textId="77777777" w:rsidR="00785983" w:rsidRPr="00A926BD" w:rsidRDefault="00785983" w:rsidP="00A926BD">
      <w:pPr>
        <w:pStyle w:val="30"/>
      </w:pPr>
      <w:r w:rsidRPr="00A926BD">
        <w:rPr>
          <w:rFonts w:hint="eastAsia"/>
        </w:rPr>
        <w:t>综合监控网络宜由主干层、局域层组成。</w:t>
      </w:r>
    </w:p>
    <w:p w14:paraId="28E4E6AD" w14:textId="77777777" w:rsidR="00785983" w:rsidRPr="00A926BD" w:rsidRDefault="00785983" w:rsidP="00A926BD">
      <w:pPr>
        <w:pStyle w:val="30"/>
      </w:pPr>
      <w:r w:rsidRPr="00A926BD">
        <w:rPr>
          <w:rFonts w:hint="eastAsia"/>
        </w:rPr>
        <w:t>中央级与车站级局域网互联的主干层网络应冗余设置，宜单独组建光纤环网或利用公用传输系统提供的专用通道组建。</w:t>
      </w:r>
    </w:p>
    <w:p w14:paraId="707239EF" w14:textId="77777777" w:rsidR="00785983" w:rsidRPr="00A926BD" w:rsidRDefault="00785983" w:rsidP="00A926BD">
      <w:pPr>
        <w:pStyle w:val="30"/>
      </w:pPr>
      <w:r w:rsidRPr="00A926BD">
        <w:rPr>
          <w:rFonts w:hint="eastAsia"/>
        </w:rPr>
        <w:t>中央级、车站级综合监控应设置冗余局域网。</w:t>
      </w:r>
    </w:p>
    <w:p w14:paraId="692583C7" w14:textId="77777777" w:rsidR="00785983" w:rsidRPr="00FD50F6" w:rsidRDefault="00785983" w:rsidP="00A65181">
      <w:pPr>
        <w:pStyle w:val="2"/>
      </w:pPr>
      <w:bookmarkStart w:id="964" w:name="_Toc320196085"/>
      <w:bookmarkStart w:id="965" w:name="_Toc320643474"/>
      <w:bookmarkStart w:id="966" w:name="_Toc344218836"/>
      <w:bookmarkStart w:id="967" w:name="_Toc112830813"/>
      <w:r w:rsidRPr="00FD50F6">
        <w:rPr>
          <w:rFonts w:hint="eastAsia"/>
        </w:rPr>
        <w:t>系统性能指标</w:t>
      </w:r>
      <w:bookmarkEnd w:id="964"/>
      <w:bookmarkEnd w:id="965"/>
      <w:bookmarkEnd w:id="966"/>
      <w:bookmarkEnd w:id="967"/>
    </w:p>
    <w:p w14:paraId="5F3D502B" w14:textId="77777777" w:rsidR="00785983" w:rsidRPr="00FD50F6" w:rsidRDefault="00785983" w:rsidP="00A926BD">
      <w:pPr>
        <w:pStyle w:val="30"/>
      </w:pPr>
      <w:r w:rsidRPr="00FD50F6">
        <w:rPr>
          <w:rFonts w:hint="eastAsia"/>
        </w:rPr>
        <w:t>遥信性能应符合下列规定：</w:t>
      </w:r>
    </w:p>
    <w:p w14:paraId="4E396A85" w14:textId="77777777" w:rsidR="00785983" w:rsidRPr="00FD50F6" w:rsidRDefault="00785983" w:rsidP="00A926BD">
      <w:pPr>
        <w:pStyle w:val="4"/>
      </w:pPr>
      <w:r w:rsidRPr="00FD50F6">
        <w:rPr>
          <w:rFonts w:hint="eastAsia"/>
        </w:rPr>
        <w:t>所有数据变化刷新时间不应大于</w:t>
      </w:r>
      <w:r w:rsidRPr="00FD50F6">
        <w:t>3s</w:t>
      </w:r>
      <w:r w:rsidRPr="00FD50F6">
        <w:rPr>
          <w:rFonts w:hint="eastAsia"/>
        </w:rPr>
        <w:t>；</w:t>
      </w:r>
    </w:p>
    <w:p w14:paraId="0BB8558C" w14:textId="77777777" w:rsidR="00785983" w:rsidRPr="00FD50F6" w:rsidRDefault="00785983" w:rsidP="00A926BD">
      <w:pPr>
        <w:pStyle w:val="4"/>
      </w:pPr>
      <w:r w:rsidRPr="00FD50F6">
        <w:rPr>
          <w:rFonts w:hint="eastAsia"/>
        </w:rPr>
        <w:t>重要数据变化刷新时间不应大于</w:t>
      </w:r>
      <w:r w:rsidRPr="00FD50F6">
        <w:t>2s</w:t>
      </w:r>
      <w:r w:rsidRPr="00FD50F6">
        <w:rPr>
          <w:rFonts w:hint="eastAsia"/>
        </w:rPr>
        <w:t>；</w:t>
      </w:r>
    </w:p>
    <w:p w14:paraId="39B69E8C" w14:textId="77777777" w:rsidR="00785983" w:rsidRPr="00FD50F6" w:rsidRDefault="00785983" w:rsidP="00A926BD">
      <w:pPr>
        <w:pStyle w:val="4"/>
      </w:pPr>
      <w:r w:rsidRPr="00FD50F6">
        <w:rPr>
          <w:rFonts w:hint="eastAsia"/>
        </w:rPr>
        <w:t>模拟量信息更新时间不应大于</w:t>
      </w:r>
      <w:r w:rsidRPr="00FD50F6">
        <w:t>3s</w:t>
      </w:r>
      <w:r w:rsidRPr="00FD50F6">
        <w:rPr>
          <w:rFonts w:hint="eastAsia"/>
        </w:rPr>
        <w:t>；</w:t>
      </w:r>
    </w:p>
    <w:p w14:paraId="2DED2DAA" w14:textId="77777777" w:rsidR="00785983" w:rsidRPr="00FD50F6" w:rsidRDefault="00785983" w:rsidP="00A926BD">
      <w:pPr>
        <w:pStyle w:val="4"/>
      </w:pPr>
      <w:r w:rsidRPr="00FD50F6">
        <w:rPr>
          <w:rFonts w:hint="eastAsia"/>
        </w:rPr>
        <w:t>操作站上画面刷新时间不应大于</w:t>
      </w:r>
      <w:r w:rsidRPr="00FD50F6">
        <w:t>2s</w:t>
      </w:r>
      <w:r w:rsidRPr="00FD50F6">
        <w:rPr>
          <w:rFonts w:hint="eastAsia"/>
        </w:rPr>
        <w:t>。</w:t>
      </w:r>
    </w:p>
    <w:p w14:paraId="7EFD8D33" w14:textId="77777777" w:rsidR="00785983" w:rsidRPr="00FD50F6" w:rsidRDefault="00785983" w:rsidP="00A926BD">
      <w:pPr>
        <w:pStyle w:val="30"/>
      </w:pPr>
      <w:r w:rsidRPr="00FD50F6">
        <w:rPr>
          <w:rFonts w:hint="eastAsia"/>
        </w:rPr>
        <w:t>遥控性能应符合下列规定：</w:t>
      </w:r>
      <w:r w:rsidRPr="00FD50F6">
        <w:t xml:space="preserve"> </w:t>
      </w:r>
    </w:p>
    <w:p w14:paraId="601ED171" w14:textId="77777777" w:rsidR="00785983" w:rsidRPr="00FD50F6" w:rsidRDefault="00785983" w:rsidP="00785983">
      <w:pPr>
        <w:pStyle w:val="8"/>
        <w:ind w:firstLine="480"/>
      </w:pPr>
      <w:r w:rsidRPr="00FD50F6">
        <w:rPr>
          <w:rFonts w:hint="eastAsia"/>
        </w:rPr>
        <w:t>从控制命令发出，到现场设备接到命令开始动作的时间不应大于</w:t>
      </w:r>
      <w:r w:rsidRPr="00FD50F6">
        <w:t>1s</w:t>
      </w:r>
      <w:r w:rsidRPr="00FD50F6">
        <w:rPr>
          <w:rFonts w:hint="eastAsia"/>
        </w:rPr>
        <w:t>。</w:t>
      </w:r>
    </w:p>
    <w:p w14:paraId="1955B5E4" w14:textId="77777777" w:rsidR="00785983" w:rsidRPr="00FD50F6" w:rsidRDefault="00785983" w:rsidP="00A926BD">
      <w:pPr>
        <w:pStyle w:val="30"/>
      </w:pPr>
      <w:r w:rsidRPr="00FD50F6">
        <w:rPr>
          <w:rFonts w:hint="eastAsia"/>
        </w:rPr>
        <w:t>系统可靠性应符合下列规定：</w:t>
      </w:r>
    </w:p>
    <w:p w14:paraId="082FBD81" w14:textId="77777777" w:rsidR="00785983" w:rsidRPr="00FD50F6" w:rsidRDefault="00785983" w:rsidP="00A926BD">
      <w:pPr>
        <w:pStyle w:val="4"/>
      </w:pPr>
      <w:r w:rsidRPr="00FD50F6">
        <w:rPr>
          <w:rFonts w:hint="eastAsia"/>
        </w:rPr>
        <w:t>实时服务器的主机、备机的切换时间不应大于</w:t>
      </w:r>
      <w:r w:rsidRPr="00FD50F6">
        <w:t>2s</w:t>
      </w:r>
      <w:r w:rsidRPr="00FD50F6">
        <w:rPr>
          <w:rFonts w:hint="eastAsia"/>
        </w:rPr>
        <w:t>。</w:t>
      </w:r>
    </w:p>
    <w:p w14:paraId="2A85B0E4" w14:textId="77777777" w:rsidR="00785983" w:rsidRPr="00FD50F6" w:rsidRDefault="00785983" w:rsidP="00A926BD">
      <w:pPr>
        <w:pStyle w:val="4"/>
      </w:pPr>
      <w:r w:rsidRPr="00FD50F6">
        <w:rPr>
          <w:rFonts w:hint="eastAsia"/>
        </w:rPr>
        <w:t>前端处理器的主机、备机的切换时间不应大于</w:t>
      </w:r>
      <w:r w:rsidRPr="00FD50F6">
        <w:t>1s</w:t>
      </w:r>
      <w:r w:rsidRPr="00FD50F6">
        <w:rPr>
          <w:rFonts w:hint="eastAsia"/>
        </w:rPr>
        <w:t>。</w:t>
      </w:r>
    </w:p>
    <w:p w14:paraId="65DFE90D" w14:textId="77777777" w:rsidR="00785983" w:rsidRPr="00FD50F6" w:rsidRDefault="00785983" w:rsidP="00A926BD">
      <w:pPr>
        <w:pStyle w:val="4"/>
      </w:pPr>
      <w:r w:rsidRPr="00FD50F6">
        <w:rPr>
          <w:rFonts w:hint="eastAsia"/>
        </w:rPr>
        <w:t>历史服务器的主机、备机的切换时间不应大于</w:t>
      </w:r>
      <w:r w:rsidRPr="00FD50F6">
        <w:t>15s</w:t>
      </w:r>
      <w:r w:rsidRPr="00FD50F6">
        <w:rPr>
          <w:rFonts w:hint="eastAsia"/>
        </w:rPr>
        <w:t>。</w:t>
      </w:r>
    </w:p>
    <w:p w14:paraId="59FC89D6" w14:textId="77777777" w:rsidR="00785983" w:rsidRPr="00FD50F6" w:rsidRDefault="00785983" w:rsidP="00A926BD">
      <w:pPr>
        <w:pStyle w:val="30"/>
      </w:pPr>
      <w:r w:rsidRPr="00FD50F6">
        <w:rPr>
          <w:rFonts w:hint="eastAsia"/>
        </w:rPr>
        <w:t>系统平均无故障时间（</w:t>
      </w:r>
      <w:r w:rsidRPr="00FD50F6">
        <w:t>MTBF</w:t>
      </w:r>
      <w:r w:rsidRPr="00FD50F6">
        <w:rPr>
          <w:rFonts w:hint="eastAsia"/>
        </w:rPr>
        <w:t>）不应小于</w:t>
      </w:r>
      <w:r w:rsidRPr="00FD50F6">
        <w:t>10,000h</w:t>
      </w:r>
      <w:bookmarkStart w:id="968" w:name="_Toc92253347"/>
      <w:bookmarkStart w:id="969" w:name="_Toc102204450"/>
      <w:bookmarkStart w:id="970" w:name="_Toc107829839"/>
      <w:r w:rsidRPr="00FD50F6">
        <w:rPr>
          <w:rFonts w:hint="eastAsia"/>
        </w:rPr>
        <w:t>。</w:t>
      </w:r>
      <w:bookmarkEnd w:id="968"/>
      <w:bookmarkEnd w:id="969"/>
      <w:bookmarkEnd w:id="970"/>
    </w:p>
    <w:p w14:paraId="4840C915" w14:textId="77777777" w:rsidR="00785983" w:rsidRPr="00FD50F6" w:rsidRDefault="00785983" w:rsidP="00A65181">
      <w:pPr>
        <w:pStyle w:val="2"/>
      </w:pPr>
      <w:bookmarkStart w:id="971" w:name="_Toc112830814"/>
      <w:bookmarkStart w:id="972" w:name="_Toc320196086"/>
      <w:bookmarkStart w:id="973" w:name="_Toc320643475"/>
      <w:bookmarkStart w:id="974" w:name="_Toc344218837"/>
      <w:r w:rsidRPr="00FD50F6">
        <w:rPr>
          <w:rFonts w:hint="eastAsia"/>
        </w:rPr>
        <w:t>供电、防雷及接地</w:t>
      </w:r>
      <w:bookmarkEnd w:id="971"/>
    </w:p>
    <w:p w14:paraId="786F0B82" w14:textId="77777777" w:rsidR="00785983" w:rsidRPr="00FD50F6" w:rsidRDefault="00785983" w:rsidP="00A926BD">
      <w:pPr>
        <w:pStyle w:val="30"/>
      </w:pPr>
      <w:r w:rsidRPr="00FD50F6">
        <w:rPr>
          <w:rFonts w:hint="eastAsia"/>
        </w:rPr>
        <w:t>综合监控系统供电应符合下列规定：</w:t>
      </w:r>
    </w:p>
    <w:p w14:paraId="5719751C" w14:textId="77777777" w:rsidR="00785983" w:rsidRPr="00FD50F6" w:rsidRDefault="00785983" w:rsidP="00A926BD">
      <w:pPr>
        <w:pStyle w:val="4"/>
      </w:pPr>
      <w:r w:rsidRPr="00FD50F6">
        <w:rPr>
          <w:rFonts w:hint="eastAsia"/>
        </w:rPr>
        <w:lastRenderedPageBreak/>
        <w:t>供电负荷等级应为一级负荷；</w:t>
      </w:r>
    </w:p>
    <w:p w14:paraId="06AE88D2" w14:textId="77777777" w:rsidR="00785983" w:rsidRPr="00FD50F6" w:rsidRDefault="00785983" w:rsidP="00A926BD">
      <w:pPr>
        <w:pStyle w:val="4"/>
      </w:pPr>
      <w:r w:rsidRPr="00FD50F6">
        <w:rPr>
          <w:rFonts w:hint="eastAsia"/>
        </w:rPr>
        <w:t>应采用不间断电源设备和免维护蓄电池设备，后备供电时间不应小于</w:t>
      </w:r>
      <w:r w:rsidRPr="00FD50F6">
        <w:t>1h</w:t>
      </w:r>
      <w:r w:rsidRPr="00FD50F6">
        <w:rPr>
          <w:rFonts w:hint="eastAsia"/>
        </w:rPr>
        <w:t>。</w:t>
      </w:r>
    </w:p>
    <w:p w14:paraId="70C38500" w14:textId="77777777" w:rsidR="00785983" w:rsidRPr="00FD50F6" w:rsidRDefault="00785983" w:rsidP="00A926BD">
      <w:pPr>
        <w:pStyle w:val="30"/>
      </w:pPr>
      <w:r w:rsidRPr="00FD50F6">
        <w:rPr>
          <w:rFonts w:hint="eastAsia"/>
        </w:rPr>
        <w:t>综合监控系统设备的接地系统应符合下列规定：</w:t>
      </w:r>
    </w:p>
    <w:p w14:paraId="17D2515B" w14:textId="77777777" w:rsidR="00785983" w:rsidRPr="00FD50F6" w:rsidRDefault="00785983" w:rsidP="00A926BD">
      <w:pPr>
        <w:pStyle w:val="4"/>
      </w:pPr>
      <w:r w:rsidRPr="00FD50F6">
        <w:rPr>
          <w:rFonts w:hint="eastAsia"/>
        </w:rPr>
        <w:t>综合监控系统应接入综合接地系统，接地电阻不应大于</w:t>
      </w:r>
      <w:r w:rsidRPr="00FD50F6">
        <w:t>1</w:t>
      </w:r>
      <w:r w:rsidRPr="00FD50F6">
        <w:rPr>
          <w:rFonts w:ascii="微软雅黑" w:eastAsia="微软雅黑" w:hAnsi="微软雅黑" w:cs="微软雅黑"/>
        </w:rPr>
        <w:t>Ω</w:t>
      </w:r>
      <w:r w:rsidRPr="00FD50F6">
        <w:rPr>
          <w:rFonts w:hint="eastAsia"/>
        </w:rPr>
        <w:t>。</w:t>
      </w:r>
    </w:p>
    <w:p w14:paraId="7A87C960" w14:textId="77777777" w:rsidR="00785983" w:rsidRPr="00FD50F6" w:rsidRDefault="00785983" w:rsidP="00A926BD">
      <w:pPr>
        <w:pStyle w:val="4"/>
      </w:pPr>
      <w:r w:rsidRPr="00FD50F6">
        <w:rPr>
          <w:rFonts w:hint="eastAsia"/>
        </w:rPr>
        <w:t>综合监控系统设备的金属外壳、机柜、机架、金属管、槽等，应采用等电位连接。</w:t>
      </w:r>
    </w:p>
    <w:p w14:paraId="4645665B" w14:textId="77777777" w:rsidR="00785983" w:rsidRPr="00FD50F6" w:rsidRDefault="00785983" w:rsidP="00A926BD">
      <w:pPr>
        <w:pStyle w:val="30"/>
      </w:pPr>
      <w:r w:rsidRPr="00FD50F6">
        <w:t>系统防雷应满足现行国家标准《</w:t>
      </w:r>
      <w:r w:rsidRPr="00FD50F6">
        <w:rPr>
          <w:rFonts w:hint="eastAsia"/>
        </w:rPr>
        <w:t>建筑物</w:t>
      </w:r>
      <w:r w:rsidRPr="00FD50F6">
        <w:t>电子信息系统防雷技术规范》</w:t>
      </w:r>
      <w:r w:rsidRPr="00FD50F6">
        <w:rPr>
          <w:rFonts w:hint="eastAsia"/>
        </w:rPr>
        <w:t>GB</w:t>
      </w:r>
      <w:r w:rsidRPr="00FD50F6">
        <w:t xml:space="preserve"> </w:t>
      </w:r>
      <w:r w:rsidRPr="00FD50F6">
        <w:rPr>
          <w:rFonts w:hint="eastAsia"/>
        </w:rPr>
        <w:t>50343</w:t>
      </w:r>
      <w:r w:rsidRPr="00FD50F6">
        <w:t>的规定。</w:t>
      </w:r>
    </w:p>
    <w:p w14:paraId="6F747BE9" w14:textId="77777777" w:rsidR="00785983" w:rsidRPr="00FD50F6" w:rsidRDefault="00785983" w:rsidP="00A65181">
      <w:pPr>
        <w:pStyle w:val="2"/>
      </w:pPr>
      <w:bookmarkStart w:id="975" w:name="_Toc112830815"/>
      <w:r w:rsidRPr="00FD50F6">
        <w:rPr>
          <w:rFonts w:hint="eastAsia"/>
        </w:rPr>
        <w:t>布线要求</w:t>
      </w:r>
      <w:bookmarkEnd w:id="972"/>
      <w:bookmarkEnd w:id="973"/>
      <w:bookmarkEnd w:id="974"/>
      <w:bookmarkEnd w:id="975"/>
    </w:p>
    <w:p w14:paraId="62C28517" w14:textId="77777777" w:rsidR="00785983" w:rsidRPr="00FD50F6" w:rsidRDefault="00785983" w:rsidP="00A926BD">
      <w:pPr>
        <w:pStyle w:val="30"/>
        <w:rPr>
          <w:rFonts w:eastAsia="黑体"/>
        </w:rPr>
      </w:pPr>
      <w:r w:rsidRPr="00FD50F6">
        <w:rPr>
          <w:rFonts w:hint="eastAsia"/>
        </w:rPr>
        <w:t>系统应采用低烟、无卤、阻燃线缆。</w:t>
      </w:r>
    </w:p>
    <w:p w14:paraId="5B78AF7A" w14:textId="77777777" w:rsidR="00785983" w:rsidRPr="00FD50F6" w:rsidRDefault="00785983" w:rsidP="00A926BD">
      <w:pPr>
        <w:pStyle w:val="30"/>
      </w:pPr>
      <w:r w:rsidRPr="00FD50F6">
        <w:rPr>
          <w:rFonts w:hint="eastAsia"/>
        </w:rPr>
        <w:t>管线敷设应采取抗电磁干扰措施。信号线与电源线不应共用一条电缆，也不应敷设在同一根金属管内。信号线应采用屏蔽线缆，应保持屏蔽层的连续性，屏蔽层宜单点接地。</w:t>
      </w:r>
    </w:p>
    <w:p w14:paraId="7E46E31A" w14:textId="2303E629" w:rsidR="00124F3D" w:rsidRPr="00FD50F6" w:rsidRDefault="00124F3D" w:rsidP="001A4CF3">
      <w:pPr>
        <w:pStyle w:val="30"/>
        <w:numPr>
          <w:ilvl w:val="0"/>
          <w:numId w:val="0"/>
        </w:numPr>
        <w:ind w:left="360"/>
      </w:pPr>
    </w:p>
    <w:p w14:paraId="66003DAC" w14:textId="324AED97" w:rsidR="00D70A4C" w:rsidRPr="00FD50F6" w:rsidRDefault="00D70A4C">
      <w:pPr>
        <w:widowControl/>
        <w:spacing w:line="240" w:lineRule="auto"/>
        <w:jc w:val="left"/>
      </w:pPr>
      <w:r w:rsidRPr="00FD50F6">
        <w:br w:type="page"/>
      </w:r>
    </w:p>
    <w:p w14:paraId="33BA81F6" w14:textId="77777777" w:rsidR="007924B5" w:rsidRPr="00FD50F6" w:rsidRDefault="007924B5" w:rsidP="007924B5">
      <w:pPr>
        <w:pStyle w:val="12"/>
      </w:pPr>
      <w:bookmarkStart w:id="976" w:name="_Toc344218838"/>
      <w:bookmarkStart w:id="977" w:name="_Toc112830816"/>
      <w:r w:rsidRPr="00FD50F6">
        <w:rPr>
          <w:rFonts w:hint="eastAsia"/>
        </w:rPr>
        <w:lastRenderedPageBreak/>
        <w:t>环境与设备监控系统</w:t>
      </w:r>
      <w:bookmarkEnd w:id="976"/>
      <w:bookmarkEnd w:id="977"/>
    </w:p>
    <w:p w14:paraId="15188513" w14:textId="77777777" w:rsidR="007924B5" w:rsidRPr="00FD50F6" w:rsidRDefault="007924B5" w:rsidP="00010C49">
      <w:pPr>
        <w:pStyle w:val="2"/>
        <w:numPr>
          <w:ilvl w:val="1"/>
          <w:numId w:val="30"/>
        </w:numPr>
      </w:pPr>
      <w:bookmarkStart w:id="978" w:name="_Toc306207201"/>
      <w:bookmarkStart w:id="979" w:name="_Toc306207392"/>
      <w:bookmarkStart w:id="980" w:name="_Toc320196088"/>
      <w:bookmarkStart w:id="981" w:name="_Toc320643477"/>
      <w:bookmarkStart w:id="982" w:name="_Toc344218839"/>
      <w:bookmarkStart w:id="983" w:name="_Toc112830817"/>
      <w:r w:rsidRPr="00FD50F6">
        <w:rPr>
          <w:rFonts w:hint="eastAsia"/>
        </w:rPr>
        <w:t>一般规定</w:t>
      </w:r>
      <w:bookmarkEnd w:id="978"/>
      <w:bookmarkEnd w:id="979"/>
      <w:bookmarkEnd w:id="980"/>
      <w:bookmarkEnd w:id="981"/>
      <w:bookmarkEnd w:id="982"/>
      <w:bookmarkEnd w:id="983"/>
    </w:p>
    <w:p w14:paraId="68B5E10C" w14:textId="081C5B24" w:rsidR="007924B5" w:rsidRPr="00FD50F6" w:rsidRDefault="007924B5" w:rsidP="007924B5">
      <w:pPr>
        <w:pStyle w:val="30"/>
      </w:pPr>
      <w:r w:rsidRPr="00FD50F6">
        <w:rPr>
          <w:rFonts w:hint="eastAsia"/>
        </w:rPr>
        <w:t>应针对地铁工程的具体规模、线路敷设方式和所属地域的气候条件设置不同型式的环境与设备监控系统（</w:t>
      </w:r>
      <w:r w:rsidRPr="00FD50F6">
        <w:t>BAS</w:t>
      </w:r>
      <w:r w:rsidRPr="00FD50F6">
        <w:rPr>
          <w:rFonts w:hint="eastAsia"/>
        </w:rPr>
        <w:t>）。</w:t>
      </w:r>
    </w:p>
    <w:p w14:paraId="24877D93" w14:textId="4E9E10E1" w:rsidR="007924B5" w:rsidRPr="00FD50F6" w:rsidRDefault="007924B5" w:rsidP="007924B5">
      <w:pPr>
        <w:pStyle w:val="30"/>
      </w:pPr>
      <w:r w:rsidRPr="00FD50F6">
        <w:rPr>
          <w:rFonts w:hint="eastAsia"/>
        </w:rPr>
        <w:t>环境与设备监控系统应采用计算机及网络技术、自动控制技术和通信技术组成工业自动化与信息化融合的综合管理系统。</w:t>
      </w:r>
    </w:p>
    <w:p w14:paraId="7CE93FAC" w14:textId="400581DF" w:rsidR="007924B5" w:rsidRPr="00FD50F6" w:rsidRDefault="007924B5" w:rsidP="007924B5">
      <w:pPr>
        <w:pStyle w:val="30"/>
      </w:pPr>
      <w:r w:rsidRPr="00FD50F6">
        <w:rPr>
          <w:rFonts w:hint="eastAsia"/>
        </w:rPr>
        <w:t>环境与设备监控系统的监控范围应包括车站、区间、车辆基地，也可包括控制中心。</w:t>
      </w:r>
    </w:p>
    <w:p w14:paraId="1B3CB06F" w14:textId="77777777" w:rsidR="007924B5" w:rsidRPr="00FD50F6" w:rsidRDefault="007924B5" w:rsidP="007924B5">
      <w:pPr>
        <w:pStyle w:val="30"/>
      </w:pPr>
      <w:r w:rsidRPr="00FD50F6">
        <w:rPr>
          <w:rFonts w:hint="eastAsia"/>
        </w:rPr>
        <w:t>环境与设备监控系统的设置应遵循分散控制、集中管理、资源共享的基本原则。</w:t>
      </w:r>
    </w:p>
    <w:p w14:paraId="02494B0D" w14:textId="77777777" w:rsidR="007924B5" w:rsidRPr="00FD50F6" w:rsidRDefault="007924B5" w:rsidP="007924B5">
      <w:pPr>
        <w:pStyle w:val="30"/>
      </w:pPr>
      <w:r w:rsidRPr="00FD50F6">
        <w:rPr>
          <w:rFonts w:hint="eastAsia"/>
        </w:rPr>
        <w:t>环境与设备监控系统应按全线车站及区间同一时间只发生一次火灾的原则设定救灾模式；换乘车站也应按同一时间只发生一次火灾的原则设定救灾模式。</w:t>
      </w:r>
    </w:p>
    <w:p w14:paraId="50D0D217" w14:textId="77777777" w:rsidR="007924B5" w:rsidRPr="00FD50F6" w:rsidRDefault="007924B5" w:rsidP="00A65181">
      <w:pPr>
        <w:pStyle w:val="2"/>
      </w:pPr>
      <w:bookmarkStart w:id="984" w:name="_Toc306207202"/>
      <w:bookmarkStart w:id="985" w:name="_Toc306207393"/>
      <w:bookmarkStart w:id="986" w:name="_Toc320196089"/>
      <w:bookmarkStart w:id="987" w:name="_Toc320643478"/>
      <w:bookmarkStart w:id="988" w:name="_Toc344218840"/>
      <w:bookmarkStart w:id="989" w:name="_Toc112830818"/>
      <w:r w:rsidRPr="00FD50F6">
        <w:rPr>
          <w:rFonts w:hint="eastAsia"/>
        </w:rPr>
        <w:t>系统设置原则</w:t>
      </w:r>
      <w:bookmarkEnd w:id="984"/>
      <w:bookmarkEnd w:id="985"/>
      <w:bookmarkEnd w:id="986"/>
      <w:bookmarkEnd w:id="987"/>
      <w:bookmarkEnd w:id="988"/>
      <w:bookmarkEnd w:id="989"/>
    </w:p>
    <w:p w14:paraId="7618A82D" w14:textId="2E540EAC" w:rsidR="007924B5" w:rsidRPr="00FD50F6" w:rsidRDefault="007924B5" w:rsidP="007924B5">
      <w:pPr>
        <w:pStyle w:val="30"/>
      </w:pPr>
      <w:r w:rsidRPr="00FD50F6">
        <w:rPr>
          <w:rFonts w:hint="eastAsia"/>
        </w:rPr>
        <w:t>当设置综合监控系统时，环境与设备监控系统应在车站级由综合监控系统集成，环境与设备监控系统车站及中心级监控功能应由综合监控系统实现。</w:t>
      </w:r>
    </w:p>
    <w:p w14:paraId="2AF8C5CD" w14:textId="7D0EFB11" w:rsidR="007924B5" w:rsidRPr="00FD50F6" w:rsidRDefault="007924B5" w:rsidP="007924B5">
      <w:pPr>
        <w:pStyle w:val="30"/>
        <w:rPr>
          <w:b/>
        </w:rPr>
      </w:pPr>
      <w:r w:rsidRPr="00FD50F6">
        <w:rPr>
          <w:rFonts w:hint="eastAsia"/>
        </w:rPr>
        <w:t>当不设置综合监控系统时，环境与设备监控系统应按独立系统设置中心监控管理级、车站监控级的设备。</w:t>
      </w:r>
    </w:p>
    <w:p w14:paraId="24C92244" w14:textId="649C4DF9" w:rsidR="007924B5" w:rsidRPr="00FD50F6" w:rsidRDefault="007924B5" w:rsidP="007924B5">
      <w:pPr>
        <w:pStyle w:val="30"/>
      </w:pPr>
      <w:r w:rsidRPr="00FD50F6">
        <w:rPr>
          <w:rFonts w:hint="eastAsia"/>
        </w:rPr>
        <w:t>环境与设备监控系统应采用分层、分布式计算机控制系统，并由中心监控管理级、车站监控级、就地控制级及相关通信网络组成。</w:t>
      </w:r>
    </w:p>
    <w:p w14:paraId="5334478B" w14:textId="1831EA27" w:rsidR="007924B5" w:rsidRPr="00FD50F6" w:rsidRDefault="007924B5" w:rsidP="007924B5">
      <w:pPr>
        <w:pStyle w:val="30"/>
      </w:pPr>
      <w:r w:rsidRPr="00FD50F6">
        <w:rPr>
          <w:rFonts w:hint="eastAsia"/>
        </w:rPr>
        <w:t>需要可靠联动控制的功能及相关的数据采集应由就地级控制系统实现；环境与设备监控系统的监控功能及数据采集、数据处理、数据分析、数据存储、数据展现功能宜由车站或中心级监控系统实现。</w:t>
      </w:r>
    </w:p>
    <w:p w14:paraId="5E750953" w14:textId="77777777" w:rsidR="007924B5" w:rsidRPr="00FD50F6" w:rsidRDefault="007924B5" w:rsidP="007924B5">
      <w:pPr>
        <w:pStyle w:val="30"/>
      </w:pPr>
      <w:r w:rsidRPr="00FD50F6">
        <w:rPr>
          <w:rFonts w:hint="eastAsia"/>
        </w:rPr>
        <w:t>环境与设备监控系统和火灾自动报警系统之间应设置通信接口；当执行火灾模式时，应由火灾自动报警系统发布火灾模式指令，环境与设备监控系统应优先执行相应的控制程序。</w:t>
      </w:r>
    </w:p>
    <w:p w14:paraId="4AF38BD8" w14:textId="514B90E3" w:rsidR="007924B5" w:rsidRPr="00FD50F6" w:rsidRDefault="007924B5" w:rsidP="007924B5">
      <w:pPr>
        <w:pStyle w:val="30"/>
      </w:pPr>
      <w:r w:rsidRPr="00FD50F6">
        <w:rPr>
          <w:rFonts w:hint="eastAsia"/>
        </w:rPr>
        <w:t>在火灾情况下，应能通过综合后备控制盘（</w:t>
      </w:r>
      <w:r w:rsidRPr="00FD50F6">
        <w:t>IBP</w:t>
      </w:r>
      <w:r w:rsidRPr="00FD50F6">
        <w:rPr>
          <w:rFonts w:hint="eastAsia"/>
        </w:rPr>
        <w:t>）人工触发火灾模式指令；</w:t>
      </w:r>
      <w:r w:rsidRPr="00FD50F6">
        <w:rPr>
          <w:rFonts w:hint="eastAsia"/>
        </w:rPr>
        <w:lastRenderedPageBreak/>
        <w:t>在环境与设备监控系统执行火灾联动控制程序时，应通过与火灾自动报警系统的通信接口向火灾自动报警系统发布火灾模式指令，由火灾自动报警系统完成火灾联动控制。</w:t>
      </w:r>
    </w:p>
    <w:p w14:paraId="7C48BD60" w14:textId="77777777" w:rsidR="007924B5" w:rsidRPr="00FD50F6" w:rsidRDefault="007924B5" w:rsidP="007924B5">
      <w:pPr>
        <w:pStyle w:val="30"/>
      </w:pPr>
      <w:r w:rsidRPr="00FD50F6">
        <w:rPr>
          <w:rFonts w:hint="eastAsia"/>
        </w:rPr>
        <w:t>对于存在防排烟与正常通风共用设备及通风管道的通风空调系统，在火灾情况下，其全部设备应由环境与设备监控系统统一监控。</w:t>
      </w:r>
    </w:p>
    <w:p w14:paraId="0D95F8E6" w14:textId="77777777" w:rsidR="007924B5" w:rsidRPr="00FD50F6" w:rsidRDefault="007924B5" w:rsidP="007924B5">
      <w:pPr>
        <w:pStyle w:val="30"/>
        <w:rPr>
          <w:b/>
        </w:rPr>
      </w:pPr>
      <w:r w:rsidRPr="00FD50F6">
        <w:rPr>
          <w:rFonts w:hint="eastAsia"/>
        </w:rPr>
        <w:t>环境与设备监控系统监控对象应包括下列系统和设备：</w:t>
      </w:r>
    </w:p>
    <w:p w14:paraId="4D7A4E1F" w14:textId="77777777" w:rsidR="007924B5" w:rsidRPr="00FD50F6" w:rsidRDefault="007924B5" w:rsidP="00A926BD">
      <w:pPr>
        <w:pStyle w:val="4"/>
      </w:pPr>
      <w:r w:rsidRPr="00FD50F6">
        <w:rPr>
          <w:rFonts w:hint="eastAsia"/>
        </w:rPr>
        <w:t>通风、空调与供暖系统；</w:t>
      </w:r>
    </w:p>
    <w:p w14:paraId="6813C870" w14:textId="77777777" w:rsidR="007924B5" w:rsidRPr="00FD50F6" w:rsidRDefault="007924B5" w:rsidP="00A926BD">
      <w:pPr>
        <w:pStyle w:val="4"/>
      </w:pPr>
      <w:r w:rsidRPr="00FD50F6">
        <w:rPr>
          <w:rFonts w:hint="eastAsia"/>
        </w:rPr>
        <w:t>给水与排水系统；</w:t>
      </w:r>
    </w:p>
    <w:p w14:paraId="59FD4DF9" w14:textId="77777777" w:rsidR="007924B5" w:rsidRPr="00FD50F6" w:rsidRDefault="007924B5" w:rsidP="00A926BD">
      <w:pPr>
        <w:pStyle w:val="4"/>
      </w:pPr>
      <w:r w:rsidRPr="00FD50F6">
        <w:rPr>
          <w:rFonts w:hint="eastAsia"/>
        </w:rPr>
        <w:t>照明系统；</w:t>
      </w:r>
    </w:p>
    <w:p w14:paraId="65A528C4" w14:textId="77777777" w:rsidR="007924B5" w:rsidRPr="00FD50F6" w:rsidRDefault="007924B5" w:rsidP="00A926BD">
      <w:pPr>
        <w:pStyle w:val="4"/>
      </w:pPr>
      <w:r w:rsidRPr="00FD50F6">
        <w:rPr>
          <w:rFonts w:hint="eastAsia"/>
        </w:rPr>
        <w:t>应急电源（</w:t>
      </w:r>
      <w:r w:rsidRPr="00FD50F6">
        <w:t>EPS</w:t>
      </w:r>
      <w:r w:rsidRPr="00FD50F6">
        <w:rPr>
          <w:rFonts w:hint="eastAsia"/>
        </w:rPr>
        <w:t>）及不间断电源（</w:t>
      </w:r>
      <w:r w:rsidRPr="00FD50F6">
        <w:t>UPS</w:t>
      </w:r>
      <w:r w:rsidRPr="00FD50F6">
        <w:rPr>
          <w:rFonts w:hint="eastAsia"/>
        </w:rPr>
        <w:t>）系统；</w:t>
      </w:r>
    </w:p>
    <w:p w14:paraId="0C19C2D8" w14:textId="77777777" w:rsidR="007924B5" w:rsidRPr="00FD50F6" w:rsidRDefault="007924B5" w:rsidP="00A926BD">
      <w:pPr>
        <w:pStyle w:val="4"/>
      </w:pPr>
      <w:r w:rsidRPr="00FD50F6">
        <w:rPr>
          <w:rFonts w:hint="eastAsia"/>
        </w:rPr>
        <w:t>导向、疏散标识系统；</w:t>
      </w:r>
    </w:p>
    <w:p w14:paraId="53549190" w14:textId="77777777" w:rsidR="007924B5" w:rsidRPr="00FD50F6" w:rsidRDefault="007924B5" w:rsidP="00A926BD">
      <w:pPr>
        <w:pStyle w:val="4"/>
      </w:pPr>
      <w:r w:rsidRPr="00FD50F6">
        <w:rPr>
          <w:rFonts w:hint="eastAsia"/>
        </w:rPr>
        <w:t>自动扶梯、电梯设备；</w:t>
      </w:r>
    </w:p>
    <w:p w14:paraId="6E612AE2" w14:textId="77777777" w:rsidR="007924B5" w:rsidRPr="00FD50F6" w:rsidRDefault="007924B5" w:rsidP="00A926BD">
      <w:pPr>
        <w:pStyle w:val="4"/>
      </w:pPr>
      <w:r w:rsidRPr="00FD50F6">
        <w:rPr>
          <w:rFonts w:hint="eastAsia"/>
        </w:rPr>
        <w:t>站台屏蔽门、防淹门；</w:t>
      </w:r>
    </w:p>
    <w:p w14:paraId="20B71DAF" w14:textId="7D7ADAB8" w:rsidR="007924B5" w:rsidRPr="00FD50F6" w:rsidRDefault="007924B5" w:rsidP="00A926BD">
      <w:pPr>
        <w:pStyle w:val="4"/>
      </w:pPr>
      <w:r w:rsidRPr="00FD50F6">
        <w:rPr>
          <w:rFonts w:hint="eastAsia"/>
        </w:rPr>
        <w:t>集水井、消防水池；</w:t>
      </w:r>
    </w:p>
    <w:p w14:paraId="2BFA8689" w14:textId="77777777" w:rsidR="007924B5" w:rsidRPr="00FD50F6" w:rsidRDefault="007924B5" w:rsidP="00A926BD">
      <w:pPr>
        <w:pStyle w:val="4"/>
      </w:pPr>
      <w:r w:rsidRPr="00FD50F6">
        <w:rPr>
          <w:rFonts w:hint="eastAsia"/>
        </w:rPr>
        <w:t>轨行区人防密闭门；</w:t>
      </w:r>
    </w:p>
    <w:p w14:paraId="450805F1" w14:textId="77777777" w:rsidR="007924B5" w:rsidRPr="00FD50F6" w:rsidRDefault="007924B5" w:rsidP="00A926BD">
      <w:pPr>
        <w:pStyle w:val="4"/>
      </w:pPr>
      <w:r w:rsidRPr="00FD50F6">
        <w:rPr>
          <w:rFonts w:hint="eastAsia"/>
        </w:rPr>
        <w:t>温度、湿度、二氧化碳浓度等环境参数的监测。</w:t>
      </w:r>
    </w:p>
    <w:p w14:paraId="5FD8D606" w14:textId="77777777" w:rsidR="007924B5" w:rsidRPr="00FD50F6" w:rsidRDefault="007924B5" w:rsidP="00A65181">
      <w:pPr>
        <w:pStyle w:val="2"/>
      </w:pPr>
      <w:bookmarkStart w:id="990" w:name="_Toc306207203"/>
      <w:bookmarkStart w:id="991" w:name="_Toc306207394"/>
      <w:bookmarkStart w:id="992" w:name="_Toc320196090"/>
      <w:bookmarkStart w:id="993" w:name="_Toc320643479"/>
      <w:bookmarkStart w:id="994" w:name="_Toc344218841"/>
      <w:bookmarkStart w:id="995" w:name="_Toc112830819"/>
      <w:r w:rsidRPr="00FD50F6">
        <w:rPr>
          <w:rFonts w:hint="eastAsia"/>
        </w:rPr>
        <w:t>系统基本功能</w:t>
      </w:r>
      <w:bookmarkEnd w:id="990"/>
      <w:bookmarkEnd w:id="991"/>
      <w:bookmarkEnd w:id="992"/>
      <w:bookmarkEnd w:id="993"/>
      <w:bookmarkEnd w:id="994"/>
      <w:bookmarkEnd w:id="995"/>
    </w:p>
    <w:p w14:paraId="1C979E77" w14:textId="0F057E0E" w:rsidR="007924B5" w:rsidRPr="00FD50F6" w:rsidRDefault="007924B5" w:rsidP="007924B5">
      <w:pPr>
        <w:pStyle w:val="30"/>
      </w:pPr>
      <w:r w:rsidRPr="00FD50F6">
        <w:rPr>
          <w:rFonts w:hint="eastAsia"/>
        </w:rPr>
        <w:t>环境与设备监控系统应具有中心和车站两级管理及中心、车站、就地三级控制的功能。</w:t>
      </w:r>
    </w:p>
    <w:p w14:paraId="7FA6FF7D" w14:textId="60C19483" w:rsidR="007924B5" w:rsidRPr="00FD50F6" w:rsidRDefault="007924B5" w:rsidP="007924B5">
      <w:pPr>
        <w:pStyle w:val="30"/>
      </w:pPr>
      <w:r w:rsidRPr="00FD50F6">
        <w:rPr>
          <w:rFonts w:hint="eastAsia"/>
        </w:rPr>
        <w:t>系统控制命令应能分别从中心工作站、车站工作站和车站后备控制盘人工发布或由程序自动判定执行，并应具有越级控制功能。</w:t>
      </w:r>
    </w:p>
    <w:p w14:paraId="44A44A75" w14:textId="77777777" w:rsidR="007924B5" w:rsidRPr="00FD50F6" w:rsidRDefault="007924B5" w:rsidP="007924B5">
      <w:pPr>
        <w:pStyle w:val="30"/>
      </w:pPr>
      <w:r w:rsidRPr="00FD50F6">
        <w:rPr>
          <w:rFonts w:hint="eastAsia"/>
        </w:rPr>
        <w:t>环境与设备监控系统应具有下列基本功能：</w:t>
      </w:r>
    </w:p>
    <w:p w14:paraId="6DC941A5" w14:textId="77777777" w:rsidR="007924B5" w:rsidRPr="00FD50F6" w:rsidRDefault="007924B5" w:rsidP="00A926BD">
      <w:pPr>
        <w:pStyle w:val="4"/>
      </w:pPr>
      <w:r w:rsidRPr="00FD50F6">
        <w:rPr>
          <w:rFonts w:hint="eastAsia"/>
        </w:rPr>
        <w:t>环境监测；</w:t>
      </w:r>
    </w:p>
    <w:p w14:paraId="5CE83A4B" w14:textId="77777777" w:rsidR="007924B5" w:rsidRPr="00FD50F6" w:rsidRDefault="007924B5" w:rsidP="00A926BD">
      <w:pPr>
        <w:pStyle w:val="4"/>
      </w:pPr>
      <w:r w:rsidRPr="00FD50F6">
        <w:rPr>
          <w:rFonts w:hint="eastAsia"/>
        </w:rPr>
        <w:t>机电设备监控；</w:t>
      </w:r>
    </w:p>
    <w:p w14:paraId="54114A0D" w14:textId="77777777" w:rsidR="007924B5" w:rsidRPr="00FD50F6" w:rsidRDefault="007924B5" w:rsidP="00A926BD">
      <w:pPr>
        <w:pStyle w:val="4"/>
      </w:pPr>
      <w:r w:rsidRPr="00FD50F6">
        <w:rPr>
          <w:rFonts w:hint="eastAsia"/>
        </w:rPr>
        <w:t>执行防灾及阻塞模式；</w:t>
      </w:r>
    </w:p>
    <w:p w14:paraId="3652C9C3" w14:textId="77777777" w:rsidR="007924B5" w:rsidRPr="00FD50F6" w:rsidRDefault="007924B5" w:rsidP="00A926BD">
      <w:pPr>
        <w:pStyle w:val="4"/>
      </w:pPr>
      <w:r w:rsidRPr="00FD50F6">
        <w:rPr>
          <w:rFonts w:hint="eastAsia"/>
        </w:rPr>
        <w:t>控制设备节能运行；</w:t>
      </w:r>
    </w:p>
    <w:p w14:paraId="21130D0B" w14:textId="77777777" w:rsidR="007924B5" w:rsidRPr="00FD50F6" w:rsidRDefault="007924B5" w:rsidP="00A926BD">
      <w:pPr>
        <w:pStyle w:val="4"/>
      </w:pPr>
      <w:r w:rsidRPr="00FD50F6">
        <w:rPr>
          <w:rFonts w:hint="eastAsia"/>
        </w:rPr>
        <w:t>设备管理及维护。</w:t>
      </w:r>
    </w:p>
    <w:p w14:paraId="72E8123F" w14:textId="7D6B439F" w:rsidR="007924B5" w:rsidRPr="00FD50F6" w:rsidRDefault="007924B5" w:rsidP="007924B5">
      <w:pPr>
        <w:pStyle w:val="30"/>
      </w:pPr>
      <w:r w:rsidRPr="00FD50F6">
        <w:rPr>
          <w:rFonts w:hint="eastAsia"/>
        </w:rPr>
        <w:t>环境监测应具备下列功能：</w:t>
      </w:r>
    </w:p>
    <w:p w14:paraId="4C10DE04" w14:textId="77777777" w:rsidR="007924B5" w:rsidRPr="00FD50F6" w:rsidRDefault="007924B5" w:rsidP="00A926BD">
      <w:pPr>
        <w:pStyle w:val="4"/>
      </w:pPr>
      <w:r w:rsidRPr="00FD50F6">
        <w:rPr>
          <w:rFonts w:hint="eastAsia"/>
        </w:rPr>
        <w:lastRenderedPageBreak/>
        <w:t>温度、湿度、</w:t>
      </w:r>
      <w:r w:rsidRPr="00FD50F6">
        <w:rPr>
          <w:rFonts w:hint="eastAsia"/>
        </w:rPr>
        <w:t>CO</w:t>
      </w:r>
      <w:r w:rsidRPr="00FD50F6">
        <w:rPr>
          <w:rFonts w:hint="eastAsia"/>
          <w:vertAlign w:val="subscript"/>
        </w:rPr>
        <w:t>2</w:t>
      </w:r>
      <w:r w:rsidRPr="00FD50F6">
        <w:rPr>
          <w:rFonts w:hint="eastAsia"/>
        </w:rPr>
        <w:t>等环境参数信息采集；</w:t>
      </w:r>
    </w:p>
    <w:p w14:paraId="3E222548" w14:textId="77777777" w:rsidR="007924B5" w:rsidRPr="00FD50F6" w:rsidRDefault="007924B5" w:rsidP="00A926BD">
      <w:pPr>
        <w:pStyle w:val="4"/>
        <w:rPr>
          <w:rFonts w:ascii="Calibri" w:hAnsi="Calibri"/>
          <w:sz w:val="21"/>
          <w:szCs w:val="22"/>
        </w:rPr>
      </w:pPr>
      <w:r w:rsidRPr="00FD50F6">
        <w:rPr>
          <w:rFonts w:hint="eastAsia"/>
        </w:rPr>
        <w:t>环境监测数据显示、数据查询</w:t>
      </w:r>
      <w:r w:rsidRPr="00FD50F6">
        <w:rPr>
          <w:rFonts w:ascii="Calibri" w:hAnsi="Calibri" w:hint="eastAsia"/>
          <w:sz w:val="21"/>
          <w:szCs w:val="22"/>
        </w:rPr>
        <w:t>；</w:t>
      </w:r>
    </w:p>
    <w:p w14:paraId="3EFD0F3A" w14:textId="77777777" w:rsidR="007924B5" w:rsidRPr="00FD50F6" w:rsidRDefault="007924B5" w:rsidP="00A926BD">
      <w:pPr>
        <w:pStyle w:val="4"/>
      </w:pPr>
      <w:r w:rsidRPr="00FD50F6">
        <w:rPr>
          <w:rFonts w:hint="eastAsia"/>
        </w:rPr>
        <w:t>环境异常状态报警；</w:t>
      </w:r>
    </w:p>
    <w:p w14:paraId="0D3DF645" w14:textId="5D85C3E0" w:rsidR="007924B5" w:rsidRPr="00FD50F6" w:rsidRDefault="007924B5" w:rsidP="00A926BD">
      <w:pPr>
        <w:pStyle w:val="4"/>
      </w:pPr>
      <w:r w:rsidRPr="00FD50F6">
        <w:rPr>
          <w:rFonts w:hint="eastAsia"/>
        </w:rPr>
        <w:t>监测范围应包括车站公共区、重要设备房、地下区间</w:t>
      </w:r>
      <w:r w:rsidR="00E65C54">
        <w:rPr>
          <w:rFonts w:hint="eastAsia"/>
        </w:rPr>
        <w:t>、</w:t>
      </w:r>
      <w:r w:rsidRPr="00FD50F6">
        <w:rPr>
          <w:rFonts w:hint="eastAsia"/>
        </w:rPr>
        <w:t>控制中心</w:t>
      </w:r>
      <w:r w:rsidR="00A926BD">
        <w:rPr>
          <w:rFonts w:hint="eastAsia"/>
        </w:rPr>
        <w:t>的</w:t>
      </w:r>
      <w:r w:rsidRPr="00FD50F6">
        <w:rPr>
          <w:rFonts w:hint="eastAsia"/>
        </w:rPr>
        <w:t>中心控制厅及重要设备房。</w:t>
      </w:r>
    </w:p>
    <w:p w14:paraId="1D1D7283" w14:textId="77777777" w:rsidR="007924B5" w:rsidRPr="00FD50F6" w:rsidRDefault="007924B5" w:rsidP="007924B5">
      <w:pPr>
        <w:pStyle w:val="30"/>
      </w:pPr>
      <w:r w:rsidRPr="00FD50F6">
        <w:rPr>
          <w:rFonts w:hint="eastAsia"/>
        </w:rPr>
        <w:t>机电设备监控应具备下列功能：</w:t>
      </w:r>
    </w:p>
    <w:p w14:paraId="0DBEBCF9" w14:textId="77777777" w:rsidR="007924B5" w:rsidRPr="00FD50F6" w:rsidRDefault="007924B5" w:rsidP="00A926BD">
      <w:pPr>
        <w:pStyle w:val="4"/>
      </w:pPr>
      <w:r w:rsidRPr="00FD50F6">
        <w:rPr>
          <w:rFonts w:hint="eastAsia"/>
        </w:rPr>
        <w:t>设备状态信息采集；</w:t>
      </w:r>
    </w:p>
    <w:p w14:paraId="69644477" w14:textId="77777777" w:rsidR="007924B5" w:rsidRPr="00FD50F6" w:rsidRDefault="007924B5" w:rsidP="00A926BD">
      <w:pPr>
        <w:pStyle w:val="4"/>
        <w:rPr>
          <w:b/>
        </w:rPr>
      </w:pPr>
      <w:r w:rsidRPr="00FD50F6">
        <w:rPr>
          <w:rFonts w:hint="eastAsia"/>
        </w:rPr>
        <w:t>设备状态信息显示、数据查询；</w:t>
      </w:r>
    </w:p>
    <w:p w14:paraId="46A38948" w14:textId="77777777" w:rsidR="007924B5" w:rsidRPr="00FD50F6" w:rsidRDefault="007924B5" w:rsidP="00A926BD">
      <w:pPr>
        <w:pStyle w:val="4"/>
      </w:pPr>
      <w:r w:rsidRPr="00FD50F6">
        <w:rPr>
          <w:rFonts w:hint="eastAsia"/>
        </w:rPr>
        <w:t>设备故障报警、设备异常状态报警</w:t>
      </w:r>
      <w:r w:rsidRPr="00FD50F6">
        <w:rPr>
          <w:rFonts w:ascii="Calibri" w:hAnsi="Calibri" w:hint="eastAsia"/>
          <w:sz w:val="21"/>
          <w:szCs w:val="22"/>
        </w:rPr>
        <w:t>；</w:t>
      </w:r>
    </w:p>
    <w:p w14:paraId="0AD67942" w14:textId="77777777" w:rsidR="007924B5" w:rsidRPr="00FD50F6" w:rsidRDefault="007924B5" w:rsidP="00A926BD">
      <w:pPr>
        <w:pStyle w:val="4"/>
      </w:pPr>
      <w:r w:rsidRPr="00FD50F6">
        <w:rPr>
          <w:rFonts w:hint="eastAsia"/>
        </w:rPr>
        <w:t>设备单点控制、模式控制、时间表控制；</w:t>
      </w:r>
    </w:p>
    <w:p w14:paraId="60F6943E" w14:textId="77777777" w:rsidR="007924B5" w:rsidRPr="00FD50F6" w:rsidRDefault="007924B5" w:rsidP="00A926BD">
      <w:pPr>
        <w:pStyle w:val="4"/>
      </w:pPr>
      <w:r w:rsidRPr="00FD50F6">
        <w:rPr>
          <w:rFonts w:hint="eastAsia"/>
        </w:rPr>
        <w:t>按累计运行时间进行设备轮换使用控制；</w:t>
      </w:r>
    </w:p>
    <w:p w14:paraId="6EA2025C" w14:textId="77777777" w:rsidR="007924B5" w:rsidRPr="00FD50F6" w:rsidRDefault="007924B5" w:rsidP="00A926BD">
      <w:pPr>
        <w:pStyle w:val="4"/>
      </w:pPr>
      <w:r w:rsidRPr="00FD50F6">
        <w:rPr>
          <w:rFonts w:hint="eastAsia"/>
        </w:rPr>
        <w:t>运行参数更改、运行工况调整；</w:t>
      </w:r>
    </w:p>
    <w:p w14:paraId="58417C94" w14:textId="77777777" w:rsidR="007924B5" w:rsidRPr="00FD50F6" w:rsidRDefault="007924B5" w:rsidP="00A926BD">
      <w:pPr>
        <w:pStyle w:val="4"/>
        <w:rPr>
          <w:sz w:val="21"/>
          <w:szCs w:val="22"/>
        </w:rPr>
      </w:pPr>
      <w:r w:rsidRPr="00FD50F6">
        <w:rPr>
          <w:rFonts w:hint="eastAsia"/>
        </w:rPr>
        <w:t>用户权限管理；</w:t>
      </w:r>
    </w:p>
    <w:p w14:paraId="63552F07" w14:textId="77777777" w:rsidR="007924B5" w:rsidRPr="00FD50F6" w:rsidRDefault="007924B5" w:rsidP="00A926BD">
      <w:pPr>
        <w:pStyle w:val="4"/>
      </w:pPr>
      <w:r w:rsidRPr="00FD50F6">
        <w:rPr>
          <w:rFonts w:hint="eastAsia"/>
        </w:rPr>
        <w:t>事件信息及报表打印。</w:t>
      </w:r>
    </w:p>
    <w:p w14:paraId="55FA03A5" w14:textId="77777777" w:rsidR="007924B5" w:rsidRPr="00FD50F6" w:rsidRDefault="007924B5" w:rsidP="007924B5">
      <w:pPr>
        <w:pStyle w:val="30"/>
      </w:pPr>
      <w:r w:rsidRPr="00FD50F6">
        <w:rPr>
          <w:rFonts w:hint="eastAsia"/>
        </w:rPr>
        <w:t>执行防灾和阻塞模式应具备下列功能：</w:t>
      </w:r>
    </w:p>
    <w:p w14:paraId="736AC48E" w14:textId="77777777" w:rsidR="007924B5" w:rsidRPr="001A4CF3" w:rsidRDefault="007924B5" w:rsidP="00A926BD">
      <w:pPr>
        <w:pStyle w:val="4"/>
      </w:pPr>
      <w:r w:rsidRPr="001A4CF3">
        <w:rPr>
          <w:rFonts w:hint="eastAsia"/>
        </w:rPr>
        <w:t>接收车站自动或手动火灾模式指令，执行车站防排烟模式；</w:t>
      </w:r>
    </w:p>
    <w:p w14:paraId="62035FD7" w14:textId="77777777" w:rsidR="007924B5" w:rsidRPr="001A4CF3" w:rsidRDefault="007924B5" w:rsidP="00A926BD">
      <w:pPr>
        <w:pStyle w:val="4"/>
      </w:pPr>
      <w:r w:rsidRPr="001A4CF3">
        <w:rPr>
          <w:rFonts w:hint="eastAsia"/>
        </w:rPr>
        <w:t>接收列车区间停车位置、火灾部位信息，执行隧道防排烟模式；</w:t>
      </w:r>
    </w:p>
    <w:p w14:paraId="36809672" w14:textId="77777777" w:rsidR="007924B5" w:rsidRPr="001A4CF3" w:rsidRDefault="007924B5" w:rsidP="00A926BD">
      <w:pPr>
        <w:pStyle w:val="4"/>
      </w:pPr>
      <w:r w:rsidRPr="001A4CF3">
        <w:rPr>
          <w:rFonts w:hint="eastAsia"/>
        </w:rPr>
        <w:t>接收列车区间阻塞信息，执行阻塞通风模式；</w:t>
      </w:r>
    </w:p>
    <w:p w14:paraId="7E1856FF" w14:textId="77777777" w:rsidR="007924B5" w:rsidRPr="001A4CF3" w:rsidRDefault="007924B5" w:rsidP="00A926BD">
      <w:pPr>
        <w:pStyle w:val="4"/>
      </w:pPr>
      <w:r w:rsidRPr="001A4CF3">
        <w:rPr>
          <w:rFonts w:hint="eastAsia"/>
        </w:rPr>
        <w:t>监控车站疏散指示系统和应急照明系统；</w:t>
      </w:r>
    </w:p>
    <w:p w14:paraId="06CE6EB3" w14:textId="77777777" w:rsidR="007924B5" w:rsidRPr="001A4CF3" w:rsidRDefault="007924B5" w:rsidP="00A926BD">
      <w:pPr>
        <w:pStyle w:val="4"/>
      </w:pPr>
      <w:r w:rsidRPr="001A4CF3">
        <w:rPr>
          <w:rFonts w:hint="eastAsia"/>
        </w:rPr>
        <w:t>监视各排水泵房危险水位。</w:t>
      </w:r>
    </w:p>
    <w:p w14:paraId="38797875" w14:textId="77777777" w:rsidR="007924B5" w:rsidRPr="00FD50F6" w:rsidRDefault="007924B5" w:rsidP="007924B5">
      <w:pPr>
        <w:pStyle w:val="30"/>
      </w:pPr>
      <w:r w:rsidRPr="00FD50F6">
        <w:rPr>
          <w:rFonts w:hint="eastAsia"/>
        </w:rPr>
        <w:t>对于设置集中通风空调系统的车站，环境与设备监控系统应对其实施节能控制，并应具备下列功能：</w:t>
      </w:r>
    </w:p>
    <w:p w14:paraId="270EF985" w14:textId="77777777" w:rsidR="007924B5" w:rsidRPr="00FD50F6" w:rsidRDefault="007924B5" w:rsidP="00A926BD">
      <w:pPr>
        <w:pStyle w:val="4"/>
      </w:pPr>
      <w:r w:rsidRPr="00FD50F6">
        <w:rPr>
          <w:rFonts w:hint="eastAsia"/>
        </w:rPr>
        <w:t>对通风、空调、供暖系统的相关设备进行自动调节与控制；</w:t>
      </w:r>
    </w:p>
    <w:p w14:paraId="04873511" w14:textId="23F5B902" w:rsidR="007924B5" w:rsidRPr="00FD50F6" w:rsidRDefault="007924B5" w:rsidP="00A926BD">
      <w:pPr>
        <w:pStyle w:val="4"/>
      </w:pPr>
      <w:r w:rsidRPr="00FD50F6">
        <w:rPr>
          <w:rFonts w:hint="eastAsia"/>
        </w:rPr>
        <w:t>在过渡季根据室外空气焓值自动切换通风和空调模式；</w:t>
      </w:r>
    </w:p>
    <w:p w14:paraId="520B872B" w14:textId="77777777" w:rsidR="007924B5" w:rsidRPr="00FD50F6" w:rsidRDefault="007924B5" w:rsidP="00A926BD">
      <w:pPr>
        <w:pStyle w:val="4"/>
      </w:pPr>
      <w:r w:rsidRPr="00FD50F6">
        <w:rPr>
          <w:rFonts w:hint="eastAsia"/>
        </w:rPr>
        <w:t>综合利用各类环境参数、行车间隔、车站客流数据等信息，实现对通风空调、供暖系统节能控制；</w:t>
      </w:r>
    </w:p>
    <w:p w14:paraId="1F4D6D17" w14:textId="24C75161" w:rsidR="007924B5" w:rsidRPr="00FD50F6" w:rsidRDefault="007924B5" w:rsidP="00A926BD">
      <w:pPr>
        <w:pStyle w:val="4"/>
      </w:pPr>
      <w:r w:rsidRPr="00FD50F6">
        <w:rPr>
          <w:rFonts w:hint="eastAsia"/>
        </w:rPr>
        <w:t>实现能耗统计分析，并在中心及车站工作站显示能耗统计分析结果；</w:t>
      </w:r>
    </w:p>
    <w:p w14:paraId="785ED77B" w14:textId="0D89ACF0" w:rsidR="007924B5" w:rsidRPr="00FD50F6" w:rsidRDefault="007924B5" w:rsidP="00A926BD">
      <w:pPr>
        <w:pStyle w:val="4"/>
      </w:pPr>
      <w:r w:rsidRPr="00FD50F6">
        <w:rPr>
          <w:rFonts w:hint="eastAsia"/>
        </w:rPr>
        <w:t>根据不同时段、不同场景预置不同的通风空调设备节能控制模式，控制系统可以自动选择最优节能控制模式，并根据能耗统计分析结果，在中心、车站工作站提供手动切换节能控制模式的人机界面；</w:t>
      </w:r>
    </w:p>
    <w:p w14:paraId="697D7880" w14:textId="75BC3D97" w:rsidR="007924B5" w:rsidRPr="00FD50F6" w:rsidRDefault="007924B5" w:rsidP="00A926BD">
      <w:pPr>
        <w:pStyle w:val="4"/>
      </w:pPr>
      <w:r w:rsidRPr="00FD50F6">
        <w:rPr>
          <w:rFonts w:hint="eastAsia"/>
        </w:rPr>
        <w:lastRenderedPageBreak/>
        <w:t>根据室外气象参数自动优化公共区温度设定值，并可在中心及车站工作站预设公共区温度值；</w:t>
      </w:r>
    </w:p>
    <w:p w14:paraId="0D84B938" w14:textId="5193B1DB" w:rsidR="007924B5" w:rsidRPr="00FD50F6" w:rsidRDefault="007924B5" w:rsidP="00A926BD">
      <w:pPr>
        <w:pStyle w:val="4"/>
      </w:pPr>
      <w:r w:rsidRPr="00FD50F6">
        <w:rPr>
          <w:rFonts w:hint="eastAsia"/>
        </w:rPr>
        <w:t>根据车站运营时间，可在中心及车站工作站预设公共区空调系统启停时间。</w:t>
      </w:r>
    </w:p>
    <w:p w14:paraId="37C25058" w14:textId="77777777" w:rsidR="007924B5" w:rsidRPr="00FD50F6" w:rsidRDefault="007924B5" w:rsidP="007924B5">
      <w:pPr>
        <w:pStyle w:val="30"/>
      </w:pPr>
      <w:r w:rsidRPr="00FD50F6">
        <w:rPr>
          <w:rFonts w:hint="eastAsia"/>
        </w:rPr>
        <w:t>系统应具备下列维护功能：</w:t>
      </w:r>
    </w:p>
    <w:p w14:paraId="3490FFE2" w14:textId="77777777" w:rsidR="007924B5" w:rsidRPr="00FD50F6" w:rsidRDefault="007924B5" w:rsidP="00A926BD">
      <w:pPr>
        <w:pStyle w:val="4"/>
        <w:rPr>
          <w:sz w:val="21"/>
          <w:szCs w:val="22"/>
        </w:rPr>
      </w:pPr>
      <w:r w:rsidRPr="00FD50F6">
        <w:rPr>
          <w:rFonts w:hint="eastAsia"/>
        </w:rPr>
        <w:t>监视全线环境与设备监控系统被控对象的运行状态，形成维护管理趋势预告等；</w:t>
      </w:r>
    </w:p>
    <w:p w14:paraId="39B5589E" w14:textId="77777777" w:rsidR="007924B5" w:rsidRPr="00FD50F6" w:rsidRDefault="007924B5" w:rsidP="00A926BD">
      <w:pPr>
        <w:pStyle w:val="4"/>
        <w:rPr>
          <w:sz w:val="21"/>
          <w:szCs w:val="22"/>
        </w:rPr>
      </w:pPr>
      <w:r w:rsidRPr="00FD50F6">
        <w:rPr>
          <w:rFonts w:hint="eastAsia"/>
        </w:rPr>
        <w:t>环境与设备监控系统软件维护、组态、运行参数设置及操作界面修改等；</w:t>
      </w:r>
    </w:p>
    <w:p w14:paraId="7D15853A" w14:textId="77777777" w:rsidR="007924B5" w:rsidRPr="00FD50F6" w:rsidRDefault="007924B5" w:rsidP="00A926BD">
      <w:pPr>
        <w:pStyle w:val="4"/>
      </w:pPr>
      <w:r w:rsidRPr="00FD50F6">
        <w:rPr>
          <w:rFonts w:hint="eastAsia"/>
        </w:rPr>
        <w:t>环境与设备监控系统硬件设备故障判断、设备故障报警及维护管理。</w:t>
      </w:r>
    </w:p>
    <w:p w14:paraId="3DA50E7D" w14:textId="77777777" w:rsidR="007924B5" w:rsidRPr="00FD50F6" w:rsidRDefault="007924B5" w:rsidP="00A65181">
      <w:pPr>
        <w:pStyle w:val="2"/>
      </w:pPr>
      <w:bookmarkStart w:id="996" w:name="_Toc112830820"/>
      <w:r w:rsidRPr="00FD50F6">
        <w:rPr>
          <w:rFonts w:hint="eastAsia"/>
        </w:rPr>
        <w:t>系统硬件配置要求</w:t>
      </w:r>
      <w:bookmarkEnd w:id="996"/>
    </w:p>
    <w:p w14:paraId="0029942D" w14:textId="77777777" w:rsidR="007924B5" w:rsidRPr="00FD50F6" w:rsidRDefault="007924B5" w:rsidP="007924B5">
      <w:pPr>
        <w:pStyle w:val="30"/>
      </w:pPr>
      <w:r w:rsidRPr="00FD50F6">
        <w:rPr>
          <w:rFonts w:hint="eastAsia"/>
        </w:rPr>
        <w:t>环境与设备监控系统设备应选择高可靠性、容错性、可维护性的工业级控制设备；事故通风与排烟系统设备的监控应采取冗余措施。</w:t>
      </w:r>
    </w:p>
    <w:p w14:paraId="56262FC1" w14:textId="2A1AFCE5" w:rsidR="007924B5" w:rsidRPr="00FD50F6" w:rsidRDefault="007924B5" w:rsidP="007924B5">
      <w:pPr>
        <w:pStyle w:val="30"/>
        <w:rPr>
          <w:rFonts w:ascii="Calibri" w:hAnsi="Calibri"/>
          <w:sz w:val="21"/>
          <w:szCs w:val="22"/>
        </w:rPr>
      </w:pPr>
      <w:r w:rsidRPr="00FD50F6">
        <w:rPr>
          <w:rFonts w:hint="eastAsia"/>
        </w:rPr>
        <w:t>中心级的硬件设备应按下列要求配置：</w:t>
      </w:r>
      <w:r w:rsidRPr="00FD50F6">
        <w:rPr>
          <w:rFonts w:ascii="Calibri" w:hAnsi="Calibri"/>
          <w:sz w:val="21"/>
          <w:szCs w:val="22"/>
        </w:rPr>
        <w:t xml:space="preserve"> </w:t>
      </w:r>
    </w:p>
    <w:p w14:paraId="1202DBCE" w14:textId="6864AAF7" w:rsidR="007924B5" w:rsidRPr="00FD50F6" w:rsidRDefault="007924B5" w:rsidP="00A926BD">
      <w:pPr>
        <w:pStyle w:val="4"/>
      </w:pPr>
      <w:r w:rsidRPr="00FD50F6">
        <w:rPr>
          <w:rFonts w:hint="eastAsia"/>
        </w:rPr>
        <w:t>应冗余配置两台工业控制计算机作为中心级操作工作站；</w:t>
      </w:r>
    </w:p>
    <w:p w14:paraId="12B723CA" w14:textId="78FFB465" w:rsidR="007924B5" w:rsidRPr="00FD50F6" w:rsidRDefault="007924B5" w:rsidP="00A926BD">
      <w:pPr>
        <w:pStyle w:val="4"/>
      </w:pPr>
      <w:r w:rsidRPr="00FD50F6">
        <w:rPr>
          <w:rFonts w:hint="eastAsia"/>
        </w:rPr>
        <w:t>可配置一台维护工作站监视全线环境与设备监控系统运行状况；</w:t>
      </w:r>
    </w:p>
    <w:p w14:paraId="16E4A778" w14:textId="77777777" w:rsidR="007924B5" w:rsidRPr="00FD50F6" w:rsidRDefault="007924B5" w:rsidP="00A926BD">
      <w:pPr>
        <w:pStyle w:val="4"/>
      </w:pPr>
      <w:r w:rsidRPr="00FD50F6">
        <w:rPr>
          <w:rFonts w:hint="eastAsia"/>
        </w:rPr>
        <w:t>可配置两台冗余服务器；</w:t>
      </w:r>
    </w:p>
    <w:p w14:paraId="5CF96B14" w14:textId="77777777" w:rsidR="007924B5" w:rsidRPr="00FD50F6" w:rsidRDefault="007924B5" w:rsidP="00A926BD">
      <w:pPr>
        <w:pStyle w:val="4"/>
      </w:pPr>
      <w:r w:rsidRPr="00FD50F6">
        <w:rPr>
          <w:rFonts w:hint="eastAsia"/>
        </w:rPr>
        <w:t>应配置一台事件信息打印机及一台报表打印机；</w:t>
      </w:r>
    </w:p>
    <w:p w14:paraId="678DB8DA" w14:textId="77777777" w:rsidR="007924B5" w:rsidRPr="00FD50F6" w:rsidRDefault="007924B5" w:rsidP="00A926BD">
      <w:pPr>
        <w:pStyle w:val="4"/>
      </w:pPr>
      <w:r w:rsidRPr="00FD50F6">
        <w:rPr>
          <w:rFonts w:hint="eastAsia"/>
        </w:rPr>
        <w:t>应配置在线式不间断电源；</w:t>
      </w:r>
    </w:p>
    <w:p w14:paraId="42F97430" w14:textId="77777777" w:rsidR="007924B5" w:rsidRPr="00FD50F6" w:rsidRDefault="007924B5" w:rsidP="00A926BD">
      <w:pPr>
        <w:pStyle w:val="4"/>
      </w:pPr>
      <w:r w:rsidRPr="00FD50F6">
        <w:rPr>
          <w:rFonts w:hint="eastAsia"/>
        </w:rPr>
        <w:t>可配置屏幕综合显示系统，画面显示应与行车调度、电力调度、视频监视等系统协调；</w:t>
      </w:r>
    </w:p>
    <w:p w14:paraId="76EB2BFA" w14:textId="77777777" w:rsidR="007924B5" w:rsidRPr="00FD50F6" w:rsidRDefault="007924B5" w:rsidP="00A926BD">
      <w:pPr>
        <w:pStyle w:val="4"/>
      </w:pPr>
      <w:r w:rsidRPr="00FD50F6">
        <w:rPr>
          <w:rFonts w:hint="eastAsia"/>
        </w:rPr>
        <w:t>应与通信系统母钟时间同步。</w:t>
      </w:r>
    </w:p>
    <w:p w14:paraId="37030E28" w14:textId="77777777" w:rsidR="007924B5" w:rsidRPr="00FD50F6" w:rsidRDefault="007924B5" w:rsidP="007924B5">
      <w:pPr>
        <w:pStyle w:val="30"/>
      </w:pPr>
      <w:r w:rsidRPr="00FD50F6">
        <w:rPr>
          <w:rFonts w:hint="eastAsia"/>
        </w:rPr>
        <w:t>车站级的硬件设备应按下列要求配置：</w:t>
      </w:r>
    </w:p>
    <w:p w14:paraId="0B42E396" w14:textId="77777777" w:rsidR="007924B5" w:rsidRPr="00FD50F6" w:rsidRDefault="007924B5" w:rsidP="00A926BD">
      <w:pPr>
        <w:pStyle w:val="4"/>
      </w:pPr>
      <w:r w:rsidRPr="00FD50F6">
        <w:rPr>
          <w:rFonts w:hint="eastAsia"/>
        </w:rPr>
        <w:t>应配置工业控制计算机作为车站级操作工作站；</w:t>
      </w:r>
    </w:p>
    <w:p w14:paraId="202196CF" w14:textId="77777777" w:rsidR="007924B5" w:rsidRPr="00FD50F6" w:rsidRDefault="007924B5" w:rsidP="00A926BD">
      <w:pPr>
        <w:pStyle w:val="4"/>
      </w:pPr>
      <w:r w:rsidRPr="00FD50F6">
        <w:rPr>
          <w:rFonts w:hint="eastAsia"/>
        </w:rPr>
        <w:t>应配置在线式不间断电源；</w:t>
      </w:r>
    </w:p>
    <w:p w14:paraId="43A34835" w14:textId="5A0A81D2" w:rsidR="007924B5" w:rsidRPr="00FD50F6" w:rsidRDefault="007924B5" w:rsidP="00A926BD">
      <w:pPr>
        <w:pStyle w:val="4"/>
      </w:pPr>
      <w:r w:rsidRPr="00FD50F6">
        <w:rPr>
          <w:rFonts w:hint="eastAsia"/>
        </w:rPr>
        <w:t>应在车站控制室配置综合后备控制盘作为环境与设备监控系统火灾工况自动控制的后备措施，其操作权限应高于车站和中心操作工作站，其操作程序应简便、直接；</w:t>
      </w:r>
    </w:p>
    <w:p w14:paraId="6A15FE41" w14:textId="77777777" w:rsidR="007924B5" w:rsidRPr="00FD50F6" w:rsidRDefault="007924B5" w:rsidP="00A926BD">
      <w:pPr>
        <w:pStyle w:val="4"/>
      </w:pPr>
      <w:r w:rsidRPr="00FD50F6">
        <w:rPr>
          <w:rFonts w:hint="eastAsia"/>
        </w:rPr>
        <w:t>应与通信系统母钟时间同步。</w:t>
      </w:r>
    </w:p>
    <w:p w14:paraId="68C7FE1E" w14:textId="417A8F29" w:rsidR="007924B5" w:rsidRPr="00FD50F6" w:rsidRDefault="007924B5" w:rsidP="007924B5">
      <w:pPr>
        <w:pStyle w:val="30"/>
      </w:pPr>
      <w:r w:rsidRPr="00FD50F6">
        <w:rPr>
          <w:rFonts w:hint="eastAsia"/>
        </w:rPr>
        <w:t>当设置综合监控系统时，环境与设备监控系统应在车站级由综合监控系</w:t>
      </w:r>
      <w:r w:rsidRPr="00FD50F6">
        <w:rPr>
          <w:rFonts w:hint="eastAsia"/>
        </w:rPr>
        <w:lastRenderedPageBreak/>
        <w:t>统集成，环境与设备监控系统的车站及中心级硬件设备及综合后备控制盘应由综合监控系统统一配置。</w:t>
      </w:r>
    </w:p>
    <w:p w14:paraId="5B6CC46D" w14:textId="5214DB0A" w:rsidR="007924B5" w:rsidRPr="00FD50F6" w:rsidRDefault="007924B5" w:rsidP="007924B5">
      <w:pPr>
        <w:pStyle w:val="30"/>
      </w:pPr>
      <w:r w:rsidRPr="00FD50F6">
        <w:rPr>
          <w:rFonts w:hint="eastAsia"/>
        </w:rPr>
        <w:t>就地级的设备配置应满足下列要求：</w:t>
      </w:r>
    </w:p>
    <w:p w14:paraId="76B86947" w14:textId="77777777" w:rsidR="007924B5" w:rsidRPr="00FD50F6" w:rsidRDefault="007924B5" w:rsidP="00A926BD">
      <w:pPr>
        <w:pStyle w:val="4"/>
      </w:pPr>
      <w:r w:rsidRPr="00FD50F6">
        <w:rPr>
          <w:rFonts w:hint="eastAsia"/>
        </w:rPr>
        <w:t>宜选用可编程逻辑控制器（</w:t>
      </w:r>
      <w:r w:rsidRPr="00FD50F6">
        <w:t>PLC</w:t>
      </w:r>
      <w:r w:rsidRPr="00FD50F6">
        <w:rPr>
          <w:rFonts w:hint="eastAsia"/>
        </w:rPr>
        <w:t>）作为控制事故通风与排烟系统设备的控制器；</w:t>
      </w:r>
    </w:p>
    <w:p w14:paraId="1BABC746" w14:textId="77777777" w:rsidR="007924B5" w:rsidRPr="00FD50F6" w:rsidRDefault="007924B5" w:rsidP="00A926BD">
      <w:pPr>
        <w:pStyle w:val="4"/>
        <w:rPr>
          <w:b/>
        </w:rPr>
      </w:pPr>
      <w:r w:rsidRPr="00FD50F6">
        <w:t>PLC</w:t>
      </w:r>
      <w:r w:rsidRPr="00FD50F6">
        <w:rPr>
          <w:rFonts w:hint="eastAsia"/>
        </w:rPr>
        <w:t>应冗余配置，主备</w:t>
      </w:r>
      <w:r w:rsidRPr="00FD50F6">
        <w:t>PLC</w:t>
      </w:r>
      <w:r w:rsidRPr="00FD50F6">
        <w:rPr>
          <w:rFonts w:hint="eastAsia"/>
        </w:rPr>
        <w:t>应具备自动切换功能；</w:t>
      </w:r>
    </w:p>
    <w:p w14:paraId="28089349" w14:textId="0523FB22" w:rsidR="007924B5" w:rsidRPr="00FD50F6" w:rsidRDefault="007924B5" w:rsidP="00A926BD">
      <w:pPr>
        <w:pStyle w:val="4"/>
      </w:pPr>
      <w:r w:rsidRPr="00FD50F6">
        <w:rPr>
          <w:rFonts w:hint="eastAsia"/>
        </w:rPr>
        <w:t>控制器应支持故障自诊断及自恢复功能，应提供用于模块运行监视的状态数据，并应具有远程编程功能；</w:t>
      </w:r>
    </w:p>
    <w:p w14:paraId="6C071C9A" w14:textId="77777777" w:rsidR="007924B5" w:rsidRPr="00FD50F6" w:rsidRDefault="007924B5" w:rsidP="00A926BD">
      <w:pPr>
        <w:pStyle w:val="4"/>
      </w:pPr>
      <w:r w:rsidRPr="00FD50F6">
        <w:t>PLC</w:t>
      </w:r>
      <w:r w:rsidRPr="00FD50F6">
        <w:rPr>
          <w:rFonts w:hint="eastAsia"/>
        </w:rPr>
        <w:t>应具备支持多任务功能，包括循环扫描型基本任务、事件触发任务和周期型中断等任务；</w:t>
      </w:r>
    </w:p>
    <w:p w14:paraId="67E12BEA" w14:textId="77777777" w:rsidR="007924B5" w:rsidRPr="00FD50F6" w:rsidRDefault="007924B5" w:rsidP="00A926BD">
      <w:pPr>
        <w:pStyle w:val="4"/>
      </w:pPr>
      <w:r w:rsidRPr="00FD50F6">
        <w:t>PLC</w:t>
      </w:r>
      <w:r w:rsidRPr="00FD50F6">
        <w:rPr>
          <w:rFonts w:hint="eastAsia"/>
        </w:rPr>
        <w:t>应采用可扩展、易维修模块化结构，通信、输入输出（</w:t>
      </w:r>
      <w:r w:rsidRPr="00FD50F6">
        <w:t>I/O</w:t>
      </w:r>
      <w:r w:rsidRPr="00FD50F6">
        <w:rPr>
          <w:rFonts w:hint="eastAsia"/>
        </w:rPr>
        <w:t>）等主要模块组件应具有带电插拔功能及必要的隔离措施，输入输出（</w:t>
      </w:r>
      <w:r w:rsidRPr="00FD50F6">
        <w:t>I/O</w:t>
      </w:r>
      <w:r w:rsidRPr="00FD50F6">
        <w:rPr>
          <w:rFonts w:hint="eastAsia"/>
        </w:rPr>
        <w:t>）模块应具备耐冲击电压的能力；</w:t>
      </w:r>
    </w:p>
    <w:p w14:paraId="445EA678" w14:textId="77777777" w:rsidR="007924B5" w:rsidRPr="00FD50F6" w:rsidRDefault="007924B5" w:rsidP="00A926BD">
      <w:pPr>
        <w:pStyle w:val="4"/>
      </w:pPr>
      <w:r w:rsidRPr="00FD50F6">
        <w:rPr>
          <w:rFonts w:hint="eastAsia"/>
        </w:rPr>
        <w:t>传感器的输出应采用标准电信号；</w:t>
      </w:r>
    </w:p>
    <w:p w14:paraId="7E252A19" w14:textId="5065FB6D" w:rsidR="007924B5" w:rsidRPr="00FD50F6" w:rsidRDefault="007924B5" w:rsidP="00A926BD">
      <w:pPr>
        <w:pStyle w:val="4"/>
      </w:pPr>
      <w:r w:rsidRPr="00FD50F6">
        <w:rPr>
          <w:rFonts w:hint="eastAsia"/>
        </w:rPr>
        <w:t>就地级设备应具备抑制变频器谐波功能，并应具有良好的电磁兼容性；</w:t>
      </w:r>
    </w:p>
    <w:p w14:paraId="72CCFF7C" w14:textId="77777777" w:rsidR="007924B5" w:rsidRPr="00FD50F6" w:rsidRDefault="007924B5" w:rsidP="00A926BD">
      <w:pPr>
        <w:pStyle w:val="4"/>
      </w:pPr>
      <w:r w:rsidRPr="00FD50F6">
        <w:rPr>
          <w:rFonts w:hint="eastAsia"/>
        </w:rPr>
        <w:t>结合节能控制模式，宜在节能控制关注的用能点设置智能计量装置。</w:t>
      </w:r>
    </w:p>
    <w:p w14:paraId="3D72225F" w14:textId="77777777" w:rsidR="007924B5" w:rsidRPr="00FD50F6" w:rsidRDefault="007924B5" w:rsidP="007924B5">
      <w:pPr>
        <w:pStyle w:val="30"/>
      </w:pPr>
      <w:r w:rsidRPr="00FD50F6">
        <w:rPr>
          <w:rFonts w:hint="eastAsia"/>
        </w:rPr>
        <w:t>对于设置了集中通风空调系统的车站，公共区应设置温度、湿度传感器及二氧化碳浓度传感器。二氧化碳浓度传感器应安装在离地面</w:t>
      </w:r>
      <w:r w:rsidRPr="00FD50F6">
        <w:t>1m~1.5m</w:t>
      </w:r>
      <w:r w:rsidRPr="00FD50F6">
        <w:rPr>
          <w:rFonts w:hint="eastAsia"/>
        </w:rPr>
        <w:t>高度处，并应避开送风口及出入口。</w:t>
      </w:r>
    </w:p>
    <w:p w14:paraId="5E9D66C2" w14:textId="736B67A6" w:rsidR="007924B5" w:rsidRPr="00FD50F6" w:rsidRDefault="007924B5" w:rsidP="007924B5">
      <w:pPr>
        <w:pStyle w:val="30"/>
      </w:pPr>
      <w:r w:rsidRPr="00FD50F6">
        <w:rPr>
          <w:rFonts w:hint="eastAsia"/>
        </w:rPr>
        <w:t>设置在区间的现场设备应安装在便于检修的位置，安装方式应牢固、可靠。</w:t>
      </w:r>
    </w:p>
    <w:p w14:paraId="577C0EEB" w14:textId="77777777" w:rsidR="007924B5" w:rsidRPr="00FD50F6" w:rsidRDefault="007924B5" w:rsidP="00A65181">
      <w:pPr>
        <w:pStyle w:val="2"/>
      </w:pPr>
      <w:bookmarkStart w:id="997" w:name="_Toc112830821"/>
      <w:r w:rsidRPr="00FD50F6">
        <w:rPr>
          <w:rFonts w:hint="eastAsia"/>
        </w:rPr>
        <w:t>软件基本要求</w:t>
      </w:r>
      <w:bookmarkEnd w:id="997"/>
    </w:p>
    <w:p w14:paraId="4D554388" w14:textId="250AFCAD" w:rsidR="007924B5" w:rsidRPr="00FD50F6" w:rsidRDefault="007924B5" w:rsidP="007924B5">
      <w:pPr>
        <w:pStyle w:val="30"/>
        <w:rPr>
          <w:b/>
        </w:rPr>
      </w:pPr>
      <w:r w:rsidRPr="00FD50F6">
        <w:rPr>
          <w:rFonts w:hint="eastAsia"/>
        </w:rPr>
        <w:t>应在成熟、可靠、开放的监控系统软件平台基础上，按运营需求开发环境与设备监控系统的应用软件。</w:t>
      </w:r>
    </w:p>
    <w:p w14:paraId="5B0CA367" w14:textId="6BF18247" w:rsidR="007924B5" w:rsidRPr="00FD50F6" w:rsidRDefault="007924B5" w:rsidP="007924B5">
      <w:pPr>
        <w:pStyle w:val="30"/>
      </w:pPr>
      <w:r w:rsidRPr="00FD50F6">
        <w:rPr>
          <w:rFonts w:hint="eastAsia"/>
        </w:rPr>
        <w:t>应用软件应按中心级、车站级、就地控制级三个层次编制。</w:t>
      </w:r>
    </w:p>
    <w:p w14:paraId="0EE58EF2" w14:textId="77777777" w:rsidR="007924B5" w:rsidRPr="00FD50F6" w:rsidRDefault="007924B5" w:rsidP="007924B5">
      <w:pPr>
        <w:pStyle w:val="30"/>
      </w:pPr>
      <w:r w:rsidRPr="00FD50F6">
        <w:rPr>
          <w:rFonts w:hint="eastAsia"/>
        </w:rPr>
        <w:t>系统软件应与硬件系统配置相适应，并应符合计算机软件、通信、自动化等技术发展趋势。</w:t>
      </w:r>
    </w:p>
    <w:p w14:paraId="17A99C4E" w14:textId="77777777" w:rsidR="007924B5" w:rsidRPr="00FD50F6" w:rsidRDefault="007924B5" w:rsidP="007924B5">
      <w:pPr>
        <w:pStyle w:val="30"/>
      </w:pPr>
      <w:r w:rsidRPr="00FD50F6">
        <w:rPr>
          <w:rFonts w:hint="eastAsia"/>
        </w:rPr>
        <w:t>系统软件应采用模块化、组件化结构，并应具有良好的开放性、可扩展</w:t>
      </w:r>
      <w:r w:rsidRPr="00FD50F6">
        <w:rPr>
          <w:rFonts w:hint="eastAsia"/>
        </w:rPr>
        <w:lastRenderedPageBreak/>
        <w:t>性和可移植性。</w:t>
      </w:r>
    </w:p>
    <w:p w14:paraId="60DE0D43" w14:textId="7B72AC8F" w:rsidR="007924B5" w:rsidRPr="00FD50F6" w:rsidRDefault="007924B5" w:rsidP="007924B5">
      <w:pPr>
        <w:pStyle w:val="30"/>
      </w:pPr>
      <w:r w:rsidRPr="00FD50F6">
        <w:rPr>
          <w:rFonts w:hint="eastAsia"/>
        </w:rPr>
        <w:t>系统软件应提供良好、通用的开放性接口，应支持不同方式的硬件集成环境及软件配置形态，并应具备与其他系统的互联能力。</w:t>
      </w:r>
    </w:p>
    <w:p w14:paraId="41AFB4A2" w14:textId="7952D4CB" w:rsidR="007924B5" w:rsidRPr="00FD50F6" w:rsidRDefault="007924B5" w:rsidP="007924B5">
      <w:pPr>
        <w:pStyle w:val="30"/>
      </w:pPr>
      <w:r w:rsidRPr="00FD50F6">
        <w:rPr>
          <w:rFonts w:hint="eastAsia"/>
        </w:rPr>
        <w:t>数据组织和展现方式应满足地铁系统监控的特点，应采用面向对象的分布式实时数据库，数据应采用层次化模型结构。</w:t>
      </w:r>
    </w:p>
    <w:p w14:paraId="0CB176E8" w14:textId="77777777" w:rsidR="007924B5" w:rsidRPr="00FD50F6" w:rsidRDefault="007924B5" w:rsidP="007924B5">
      <w:pPr>
        <w:pStyle w:val="30"/>
      </w:pPr>
      <w:r w:rsidRPr="00FD50F6">
        <w:rPr>
          <w:rFonts w:hint="eastAsia"/>
        </w:rPr>
        <w:t>数据流的控制应清晰，数据传输机制应可靠、稳定、高效。</w:t>
      </w:r>
    </w:p>
    <w:p w14:paraId="0F2B63C6" w14:textId="77777777" w:rsidR="007924B5" w:rsidRPr="00FD50F6" w:rsidRDefault="007924B5" w:rsidP="007924B5">
      <w:pPr>
        <w:pStyle w:val="30"/>
      </w:pPr>
      <w:r w:rsidRPr="00FD50F6">
        <w:rPr>
          <w:rFonts w:hint="eastAsia"/>
        </w:rPr>
        <w:t>系统软件应支持工程的长期和分阶段现场调试，单站的调试不应影响已运行的系统运行。</w:t>
      </w:r>
    </w:p>
    <w:p w14:paraId="0E9F4CF8" w14:textId="77777777" w:rsidR="007924B5" w:rsidRPr="00FD50F6" w:rsidRDefault="007924B5" w:rsidP="007924B5">
      <w:pPr>
        <w:pStyle w:val="30"/>
      </w:pPr>
      <w:r w:rsidRPr="00FD50F6">
        <w:rPr>
          <w:rFonts w:hint="eastAsia"/>
        </w:rPr>
        <w:t>软件系统底层通信服务的运行应高效稳定，可支持各种标准的通用通信协议及易于扩展专用协议的开发。</w:t>
      </w:r>
    </w:p>
    <w:p w14:paraId="105875C0" w14:textId="77777777" w:rsidR="007924B5" w:rsidRPr="00FD50F6" w:rsidRDefault="007924B5" w:rsidP="007924B5">
      <w:pPr>
        <w:pStyle w:val="30"/>
      </w:pPr>
      <w:r w:rsidRPr="00FD50F6">
        <w:rPr>
          <w:rFonts w:hint="eastAsia"/>
        </w:rPr>
        <w:t>系统软件应采用冗余、容错、自恢复等技术，并应支持计算机、通道、设备等多层冗余。</w:t>
      </w:r>
    </w:p>
    <w:p w14:paraId="2CAA0E4F" w14:textId="77777777" w:rsidR="007924B5" w:rsidRPr="00FD50F6" w:rsidRDefault="007924B5" w:rsidP="007924B5">
      <w:pPr>
        <w:pStyle w:val="30"/>
      </w:pPr>
      <w:r w:rsidRPr="00FD50F6">
        <w:rPr>
          <w:rFonts w:hint="eastAsia"/>
        </w:rPr>
        <w:t>软件体系应具备完整的系统维护和诊断功能，并应具有良好的人机界面。</w:t>
      </w:r>
    </w:p>
    <w:p w14:paraId="12F3B216" w14:textId="79BA70D8" w:rsidR="007924B5" w:rsidRPr="00FD50F6" w:rsidRDefault="007924B5" w:rsidP="00A65181">
      <w:pPr>
        <w:pStyle w:val="2"/>
      </w:pPr>
      <w:bookmarkStart w:id="998" w:name="_Toc112830822"/>
      <w:r w:rsidRPr="00FD50F6">
        <w:rPr>
          <w:rFonts w:hint="eastAsia"/>
        </w:rPr>
        <w:t>系统网络结构、功能、技术指标</w:t>
      </w:r>
      <w:bookmarkEnd w:id="998"/>
    </w:p>
    <w:p w14:paraId="2A03B11D" w14:textId="0A7BF5BB" w:rsidR="007924B5" w:rsidRPr="00FD50F6" w:rsidRDefault="007924B5" w:rsidP="007924B5">
      <w:pPr>
        <w:pStyle w:val="30"/>
      </w:pPr>
      <w:r w:rsidRPr="00FD50F6">
        <w:rPr>
          <w:rFonts w:hint="eastAsia"/>
        </w:rPr>
        <w:t>环境与设备监控系统网络应采用分层结构，宜由全线传输网、中心级局域网、车站级局域网及控制层控制网络组成。</w:t>
      </w:r>
    </w:p>
    <w:p w14:paraId="6AAE6512" w14:textId="77777777" w:rsidR="007924B5" w:rsidRPr="00FD50F6" w:rsidRDefault="007924B5" w:rsidP="007924B5">
      <w:pPr>
        <w:pStyle w:val="30"/>
      </w:pPr>
      <w:r w:rsidRPr="00FD50F6">
        <w:rPr>
          <w:rFonts w:hint="eastAsia"/>
        </w:rPr>
        <w:t>全线传输网应由通信传输系统或综合监控系统提供，亦可独立组建冗余工业以太网。</w:t>
      </w:r>
    </w:p>
    <w:p w14:paraId="3F6864F1" w14:textId="68257701" w:rsidR="007924B5" w:rsidRPr="00FD50F6" w:rsidRDefault="007924B5" w:rsidP="007924B5">
      <w:pPr>
        <w:pStyle w:val="30"/>
      </w:pPr>
      <w:r w:rsidRPr="00FD50F6">
        <w:rPr>
          <w:rFonts w:hint="eastAsia"/>
        </w:rPr>
        <w:t>中心级局域网应符合下列规定：</w:t>
      </w:r>
    </w:p>
    <w:p w14:paraId="22F53FA1" w14:textId="16719047" w:rsidR="007924B5" w:rsidRPr="00FD50F6" w:rsidRDefault="007924B5" w:rsidP="00A926BD">
      <w:pPr>
        <w:pStyle w:val="4"/>
      </w:pPr>
      <w:r w:rsidRPr="00FD50F6">
        <w:rPr>
          <w:rFonts w:hint="eastAsia"/>
        </w:rPr>
        <w:t>中心级局域网连接服务器、操作工作站和通信等设备，应通过全线传输网与车站级局域网相连，任一车站工作站、中心级工作站的退出，均不应导致网络中断；</w:t>
      </w:r>
    </w:p>
    <w:p w14:paraId="3596C14E" w14:textId="1DB8B3A3" w:rsidR="007924B5" w:rsidRPr="00FD50F6" w:rsidRDefault="007924B5" w:rsidP="00A926BD">
      <w:pPr>
        <w:pStyle w:val="4"/>
      </w:pPr>
      <w:r w:rsidRPr="00FD50F6">
        <w:rPr>
          <w:rFonts w:hint="eastAsia"/>
        </w:rPr>
        <w:t>数据传输应实时、可靠，并应具备良好的可扩展性；</w:t>
      </w:r>
    </w:p>
    <w:p w14:paraId="7382A18D" w14:textId="77777777" w:rsidR="007924B5" w:rsidRPr="00FD50F6" w:rsidRDefault="007924B5" w:rsidP="00A926BD">
      <w:pPr>
        <w:pStyle w:val="4"/>
      </w:pPr>
      <w:r w:rsidRPr="00FD50F6">
        <w:rPr>
          <w:rFonts w:hint="eastAsia"/>
        </w:rPr>
        <w:t>应采用冗余局域网结构；</w:t>
      </w:r>
    </w:p>
    <w:p w14:paraId="757CA4B7" w14:textId="77777777" w:rsidR="007924B5" w:rsidRPr="00FD50F6" w:rsidRDefault="007924B5" w:rsidP="00A926BD">
      <w:pPr>
        <w:pStyle w:val="4"/>
      </w:pPr>
      <w:r w:rsidRPr="00FD50F6">
        <w:rPr>
          <w:rFonts w:hint="eastAsia"/>
        </w:rPr>
        <w:t>宜选用</w:t>
      </w:r>
      <w:r w:rsidRPr="00FD50F6">
        <w:t>TCP/IP</w:t>
      </w:r>
      <w:r w:rsidRPr="00FD50F6">
        <w:rPr>
          <w:rFonts w:hint="eastAsia"/>
        </w:rPr>
        <w:t>局域网协议；</w:t>
      </w:r>
    </w:p>
    <w:p w14:paraId="49C8027B" w14:textId="77777777" w:rsidR="007924B5" w:rsidRPr="00FD50F6" w:rsidRDefault="007924B5" w:rsidP="00A926BD">
      <w:pPr>
        <w:pStyle w:val="4"/>
      </w:pPr>
      <w:r w:rsidRPr="00FD50F6">
        <w:rPr>
          <w:rFonts w:hint="eastAsia"/>
        </w:rPr>
        <w:t>为环境与设备监控系统数据传输提供的通信速率不应低于</w:t>
      </w:r>
      <w:r w:rsidRPr="00FD50F6">
        <w:t>1000Mbps</w:t>
      </w:r>
      <w:r w:rsidRPr="00FD50F6">
        <w:rPr>
          <w:rFonts w:hint="eastAsia"/>
        </w:rPr>
        <w:t>。</w:t>
      </w:r>
    </w:p>
    <w:p w14:paraId="19140838" w14:textId="3A52423B" w:rsidR="007924B5" w:rsidRPr="00FD50F6" w:rsidRDefault="007924B5" w:rsidP="007924B5">
      <w:pPr>
        <w:pStyle w:val="30"/>
      </w:pPr>
      <w:r w:rsidRPr="00FD50F6">
        <w:rPr>
          <w:rFonts w:hint="eastAsia"/>
        </w:rPr>
        <w:t>车站级局域网应符合下列规定：</w:t>
      </w:r>
    </w:p>
    <w:p w14:paraId="308C1686" w14:textId="129241EB" w:rsidR="007924B5" w:rsidRPr="00FD50F6" w:rsidRDefault="007924B5" w:rsidP="00A926BD">
      <w:pPr>
        <w:pStyle w:val="4"/>
      </w:pPr>
      <w:r w:rsidRPr="00FD50F6">
        <w:rPr>
          <w:rFonts w:hint="eastAsia"/>
        </w:rPr>
        <w:t>应通过车站局域网连接控制器、操作工作站和通信设备，</w:t>
      </w:r>
      <w:bookmarkStart w:id="999" w:name="_Hlk73373642"/>
      <w:r w:rsidRPr="00FD50F6">
        <w:rPr>
          <w:rFonts w:hint="eastAsia"/>
        </w:rPr>
        <w:t>数据传输应实时、</w:t>
      </w:r>
      <w:r w:rsidRPr="00FD50F6">
        <w:rPr>
          <w:rFonts w:hint="eastAsia"/>
        </w:rPr>
        <w:lastRenderedPageBreak/>
        <w:t>可靠，并</w:t>
      </w:r>
      <w:r w:rsidR="00A926BD">
        <w:rPr>
          <w:rFonts w:hint="eastAsia"/>
        </w:rPr>
        <w:t>应</w:t>
      </w:r>
      <w:r w:rsidRPr="00FD50F6">
        <w:rPr>
          <w:rFonts w:hint="eastAsia"/>
        </w:rPr>
        <w:t>具备良好的</w:t>
      </w:r>
      <w:bookmarkEnd w:id="999"/>
      <w:r w:rsidRPr="00FD50F6">
        <w:rPr>
          <w:rFonts w:hint="eastAsia"/>
        </w:rPr>
        <w:t>开放性、可扩展性；</w:t>
      </w:r>
    </w:p>
    <w:p w14:paraId="0948E5C7" w14:textId="77777777" w:rsidR="007924B5" w:rsidRPr="00FD50F6" w:rsidRDefault="007924B5" w:rsidP="00A926BD">
      <w:pPr>
        <w:pStyle w:val="4"/>
      </w:pPr>
      <w:r w:rsidRPr="00FD50F6">
        <w:rPr>
          <w:rFonts w:hint="eastAsia"/>
        </w:rPr>
        <w:t>应采用冗余局域网结构；</w:t>
      </w:r>
      <w:r w:rsidRPr="00FD50F6">
        <w:tab/>
      </w:r>
    </w:p>
    <w:p w14:paraId="4CA3C7A1" w14:textId="2F20560E" w:rsidR="007924B5" w:rsidRPr="00FD50F6" w:rsidRDefault="007924B5" w:rsidP="00A926BD">
      <w:pPr>
        <w:pStyle w:val="4"/>
      </w:pPr>
      <w:r w:rsidRPr="00FD50F6">
        <w:rPr>
          <w:rFonts w:hint="eastAsia"/>
        </w:rPr>
        <w:t>宜选用</w:t>
      </w:r>
      <w:r w:rsidRPr="00FD50F6">
        <w:t>TCP/IP</w:t>
      </w:r>
      <w:r w:rsidRPr="00FD50F6">
        <w:rPr>
          <w:rFonts w:hint="eastAsia"/>
        </w:rPr>
        <w:t>局域网协议；</w:t>
      </w:r>
    </w:p>
    <w:p w14:paraId="422E3824" w14:textId="77777777" w:rsidR="007924B5" w:rsidRPr="00FD50F6" w:rsidRDefault="007924B5" w:rsidP="00A926BD">
      <w:pPr>
        <w:pStyle w:val="4"/>
      </w:pPr>
      <w:r w:rsidRPr="00FD50F6">
        <w:rPr>
          <w:rFonts w:hint="eastAsia"/>
        </w:rPr>
        <w:t>为环境与设备监控系统数据传输提供的通信速率不应低于</w:t>
      </w:r>
      <w:r w:rsidRPr="00FD50F6">
        <w:t>100Mbps</w:t>
      </w:r>
      <w:r w:rsidRPr="00FD50F6">
        <w:rPr>
          <w:rFonts w:hint="eastAsia"/>
        </w:rPr>
        <w:t>；</w:t>
      </w:r>
    </w:p>
    <w:p w14:paraId="022C8FF4" w14:textId="77777777" w:rsidR="007924B5" w:rsidRPr="00FD50F6" w:rsidRDefault="007924B5" w:rsidP="00A926BD">
      <w:pPr>
        <w:pStyle w:val="4"/>
      </w:pPr>
      <w:r w:rsidRPr="00FD50F6">
        <w:rPr>
          <w:rFonts w:hint="eastAsia"/>
        </w:rPr>
        <w:t>应具备良好的抗电磁干扰能力。</w:t>
      </w:r>
    </w:p>
    <w:p w14:paraId="029B3313" w14:textId="06921A27" w:rsidR="007924B5" w:rsidRPr="00FD50F6" w:rsidRDefault="007924B5" w:rsidP="007924B5">
      <w:pPr>
        <w:pStyle w:val="30"/>
      </w:pPr>
      <w:r w:rsidRPr="00FD50F6">
        <w:rPr>
          <w:rFonts w:hint="eastAsia"/>
        </w:rPr>
        <w:t>当环境与设备监控系统被综合监控系统集成时，中心级和车站级局域网应由综合监控系统组网。</w:t>
      </w:r>
    </w:p>
    <w:p w14:paraId="1703128F" w14:textId="2E01ED16" w:rsidR="007924B5" w:rsidRPr="00FD50F6" w:rsidRDefault="007924B5" w:rsidP="007924B5">
      <w:pPr>
        <w:pStyle w:val="30"/>
      </w:pPr>
      <w:r w:rsidRPr="00FD50F6">
        <w:rPr>
          <w:rFonts w:hint="eastAsia"/>
        </w:rPr>
        <w:t>环境与设备监控系统主控制器和远程控制器或远程</w:t>
      </w:r>
      <w:r w:rsidRPr="00FD50F6">
        <w:t>I/O</w:t>
      </w:r>
      <w:r w:rsidRPr="00FD50F6">
        <w:rPr>
          <w:rFonts w:hint="eastAsia"/>
        </w:rPr>
        <w:t>模块应通过控制层网络连接，并宜采用适应地铁现场环境的工业以太网结构。</w:t>
      </w:r>
    </w:p>
    <w:p w14:paraId="6BEBBA54" w14:textId="77777777" w:rsidR="007924B5" w:rsidRPr="00FD50F6" w:rsidRDefault="007924B5" w:rsidP="007924B5">
      <w:pPr>
        <w:pStyle w:val="30"/>
      </w:pPr>
      <w:r w:rsidRPr="00FD50F6">
        <w:rPr>
          <w:rFonts w:hint="eastAsia"/>
        </w:rPr>
        <w:t>现场控制网应满足下列要求：</w:t>
      </w:r>
    </w:p>
    <w:p w14:paraId="4D581E8C" w14:textId="061DD5C0" w:rsidR="007924B5" w:rsidRPr="00FD50F6" w:rsidRDefault="007924B5" w:rsidP="00A926BD">
      <w:pPr>
        <w:pStyle w:val="4"/>
      </w:pPr>
      <w:r w:rsidRPr="00FD50F6">
        <w:rPr>
          <w:rFonts w:hint="eastAsia"/>
        </w:rPr>
        <w:t>应符合</w:t>
      </w:r>
      <w:r w:rsidR="00B307CB">
        <w:rPr>
          <w:rFonts w:hint="eastAsia"/>
        </w:rPr>
        <w:t>现行国家标准</w:t>
      </w:r>
      <w:r w:rsidR="00B307CB" w:rsidRPr="00B307CB">
        <w:rPr>
          <w:rFonts w:hint="eastAsia"/>
        </w:rPr>
        <w:t>《工业以太网现场总线</w:t>
      </w:r>
      <w:r w:rsidR="00B307CB" w:rsidRPr="00B307CB">
        <w:t xml:space="preserve"> EtherCAN</w:t>
      </w:r>
      <w:r w:rsidR="00B307CB" w:rsidRPr="00B307CB">
        <w:t>》</w:t>
      </w:r>
      <w:r w:rsidR="00B307CB" w:rsidRPr="00B307CB">
        <w:t>GB/T 31230</w:t>
      </w:r>
      <w:r w:rsidR="00B307CB">
        <w:rPr>
          <w:rFonts w:hint="eastAsia"/>
        </w:rPr>
        <w:t>和</w:t>
      </w:r>
      <w:r w:rsidR="00B307CB" w:rsidRPr="00B307CB">
        <w:rPr>
          <w:rFonts w:hint="eastAsia"/>
        </w:rPr>
        <w:t>《现场设备工具（</w:t>
      </w:r>
      <w:r w:rsidR="00B307CB" w:rsidRPr="00B307CB">
        <w:t>FDT</w:t>
      </w:r>
      <w:r w:rsidR="00B307CB" w:rsidRPr="00B307CB">
        <w:t>）接口规范》</w:t>
      </w:r>
      <w:r w:rsidR="00B307CB" w:rsidRPr="00B307CB">
        <w:t>GB/T 29618</w:t>
      </w:r>
      <w:r w:rsidR="00E65C54">
        <w:rPr>
          <w:rFonts w:hint="eastAsia"/>
        </w:rPr>
        <w:t>的规定</w:t>
      </w:r>
      <w:r w:rsidRPr="00FD50F6">
        <w:rPr>
          <w:rFonts w:hint="eastAsia"/>
        </w:rPr>
        <w:t>；</w:t>
      </w:r>
    </w:p>
    <w:p w14:paraId="4898B634" w14:textId="77777777" w:rsidR="007924B5" w:rsidRPr="00FD50F6" w:rsidRDefault="007924B5" w:rsidP="00A926BD">
      <w:pPr>
        <w:pStyle w:val="4"/>
      </w:pPr>
      <w:r w:rsidRPr="00FD50F6">
        <w:rPr>
          <w:rFonts w:hint="eastAsia"/>
        </w:rPr>
        <w:t>应实现系统的分散控制；</w:t>
      </w:r>
    </w:p>
    <w:p w14:paraId="2592BE76" w14:textId="77777777" w:rsidR="007924B5" w:rsidRPr="00FD50F6" w:rsidRDefault="007924B5" w:rsidP="00A926BD">
      <w:pPr>
        <w:pStyle w:val="4"/>
      </w:pPr>
      <w:r w:rsidRPr="00FD50F6">
        <w:rPr>
          <w:rFonts w:hint="eastAsia"/>
        </w:rPr>
        <w:t>可连接智能化仪表、远程</w:t>
      </w:r>
      <w:r w:rsidRPr="00FD50F6">
        <w:t>I/O</w:t>
      </w:r>
      <w:r w:rsidRPr="00FD50F6">
        <w:rPr>
          <w:rFonts w:hint="eastAsia"/>
        </w:rPr>
        <w:t>和控制器；</w:t>
      </w:r>
    </w:p>
    <w:p w14:paraId="09A178FB" w14:textId="77777777" w:rsidR="007924B5" w:rsidRPr="00FD50F6" w:rsidRDefault="007924B5" w:rsidP="00A926BD">
      <w:pPr>
        <w:pStyle w:val="4"/>
      </w:pPr>
      <w:r w:rsidRPr="00FD50F6">
        <w:rPr>
          <w:rFonts w:hint="eastAsia"/>
        </w:rPr>
        <w:t>应适应地铁现场环境及具有良好抗电磁干扰能力。</w:t>
      </w:r>
    </w:p>
    <w:p w14:paraId="12AAECEF" w14:textId="77777777" w:rsidR="007924B5" w:rsidRPr="00FD50F6" w:rsidRDefault="007924B5" w:rsidP="007924B5">
      <w:pPr>
        <w:pStyle w:val="30"/>
      </w:pPr>
      <w:r w:rsidRPr="00FD50F6">
        <w:rPr>
          <w:rFonts w:hint="eastAsia"/>
        </w:rPr>
        <w:t>各层级系统网络应满足下列要求：</w:t>
      </w:r>
    </w:p>
    <w:p w14:paraId="425045B2" w14:textId="77777777" w:rsidR="007924B5" w:rsidRPr="00FD50F6" w:rsidRDefault="007924B5" w:rsidP="00A926BD">
      <w:pPr>
        <w:pStyle w:val="4"/>
      </w:pPr>
      <w:r w:rsidRPr="00FD50F6">
        <w:rPr>
          <w:rFonts w:hint="eastAsia"/>
        </w:rPr>
        <w:t>应满足监控实时性的要求；</w:t>
      </w:r>
    </w:p>
    <w:p w14:paraId="1C8E9256" w14:textId="11F8E9F0" w:rsidR="007924B5" w:rsidRPr="00FD50F6" w:rsidRDefault="007924B5" w:rsidP="00A926BD">
      <w:pPr>
        <w:pStyle w:val="4"/>
      </w:pPr>
      <w:r w:rsidRPr="00FD50F6">
        <w:rPr>
          <w:rFonts w:hint="eastAsia"/>
        </w:rPr>
        <w:t>应具有良好的可靠性和可用性，并应具备减少故障波及面，单点故障不应影响网络</w:t>
      </w:r>
      <w:r w:rsidR="00A926BD" w:rsidRPr="00FD50F6">
        <w:rPr>
          <w:rFonts w:hint="eastAsia"/>
        </w:rPr>
        <w:t>的</w:t>
      </w:r>
      <w:r w:rsidRPr="00FD50F6">
        <w:rPr>
          <w:rFonts w:hint="eastAsia"/>
        </w:rPr>
        <w:t>正常通信功能；</w:t>
      </w:r>
    </w:p>
    <w:p w14:paraId="2490AA76" w14:textId="77777777" w:rsidR="007924B5" w:rsidRPr="00FD50F6" w:rsidRDefault="007924B5" w:rsidP="00A926BD">
      <w:pPr>
        <w:pStyle w:val="4"/>
      </w:pPr>
      <w:r w:rsidRPr="00FD50F6">
        <w:rPr>
          <w:rFonts w:hint="eastAsia"/>
        </w:rPr>
        <w:t>应具有良好开放性和可扩展性。</w:t>
      </w:r>
    </w:p>
    <w:p w14:paraId="5CE833B4" w14:textId="3D6F8B7E" w:rsidR="007924B5" w:rsidRPr="00FD50F6" w:rsidRDefault="007924B5" w:rsidP="007924B5">
      <w:pPr>
        <w:pStyle w:val="30"/>
      </w:pPr>
      <w:r w:rsidRPr="00FD50F6">
        <w:rPr>
          <w:rFonts w:hint="eastAsia"/>
        </w:rPr>
        <w:t>应建立网络安全保护措施，经过网络传输和交换的数据应具备可用性、完整性和保密性。</w:t>
      </w:r>
    </w:p>
    <w:p w14:paraId="53145B21" w14:textId="31F91A97" w:rsidR="007924B5" w:rsidRPr="00FD50F6" w:rsidRDefault="007924B5" w:rsidP="001A4CF3">
      <w:pPr>
        <w:pStyle w:val="2"/>
        <w:numPr>
          <w:ilvl w:val="0"/>
          <w:numId w:val="0"/>
        </w:numPr>
      </w:pPr>
    </w:p>
    <w:p w14:paraId="4EF8D98E" w14:textId="3C7DDB03" w:rsidR="007924B5" w:rsidRPr="00FD50F6" w:rsidRDefault="007924B5" w:rsidP="007924B5">
      <w:pPr>
        <w:pStyle w:val="30"/>
      </w:pPr>
      <w:r w:rsidRPr="00FD50F6">
        <w:rPr>
          <w:rFonts w:hint="eastAsia"/>
        </w:rPr>
        <w:t>系统的技术指标应符合下列规定：</w:t>
      </w:r>
    </w:p>
    <w:p w14:paraId="3BBEEAE3" w14:textId="77777777" w:rsidR="007924B5" w:rsidRPr="00FD50F6" w:rsidRDefault="007924B5" w:rsidP="00A926BD">
      <w:pPr>
        <w:pStyle w:val="4"/>
      </w:pPr>
      <w:r w:rsidRPr="00FD50F6">
        <w:rPr>
          <w:rFonts w:hint="eastAsia"/>
        </w:rPr>
        <w:t>冗余热备设备的切换时间不应大于</w:t>
      </w:r>
      <w:r w:rsidRPr="00FD50F6">
        <w:t>2s</w:t>
      </w:r>
      <w:r w:rsidRPr="00FD50F6">
        <w:rPr>
          <w:rFonts w:hint="eastAsia"/>
        </w:rPr>
        <w:t>；</w:t>
      </w:r>
    </w:p>
    <w:p w14:paraId="2645D930" w14:textId="4347D8DB" w:rsidR="007924B5" w:rsidRPr="00FD50F6" w:rsidRDefault="007924B5" w:rsidP="00A926BD">
      <w:pPr>
        <w:pStyle w:val="4"/>
      </w:pPr>
      <w:r w:rsidRPr="00FD50F6">
        <w:rPr>
          <w:rFonts w:hint="eastAsia"/>
        </w:rPr>
        <w:t>控制中心控制指令响应时间不应大于</w:t>
      </w:r>
      <w:r w:rsidRPr="00FD50F6">
        <w:t>2s</w:t>
      </w:r>
      <w:r w:rsidRPr="00FD50F6">
        <w:rPr>
          <w:rFonts w:hint="eastAsia"/>
        </w:rPr>
        <w:t>；</w:t>
      </w:r>
    </w:p>
    <w:p w14:paraId="60A9CE4B" w14:textId="36573070" w:rsidR="007924B5" w:rsidRPr="00FD50F6" w:rsidRDefault="007924B5" w:rsidP="00A926BD">
      <w:pPr>
        <w:pStyle w:val="4"/>
      </w:pPr>
      <w:r w:rsidRPr="00FD50F6">
        <w:rPr>
          <w:rFonts w:hint="eastAsia"/>
        </w:rPr>
        <w:t>控制中心实时信息响应时间不应大于</w:t>
      </w:r>
      <w:r w:rsidRPr="00FD50F6">
        <w:t>2s</w:t>
      </w:r>
      <w:r w:rsidRPr="00FD50F6">
        <w:rPr>
          <w:rFonts w:hint="eastAsia"/>
        </w:rPr>
        <w:t>；</w:t>
      </w:r>
    </w:p>
    <w:p w14:paraId="6D5BF480" w14:textId="77777777" w:rsidR="007924B5" w:rsidRPr="00FD50F6" w:rsidRDefault="007924B5" w:rsidP="00A926BD">
      <w:pPr>
        <w:pStyle w:val="4"/>
      </w:pPr>
      <w:r w:rsidRPr="00FD50F6">
        <w:rPr>
          <w:rFonts w:hint="eastAsia"/>
        </w:rPr>
        <w:t>车站控制指令响应时间不应大于</w:t>
      </w:r>
      <w:r w:rsidRPr="00FD50F6">
        <w:rPr>
          <w:rFonts w:hint="eastAsia"/>
        </w:rPr>
        <w:t>1s</w:t>
      </w:r>
      <w:r w:rsidRPr="00FD50F6">
        <w:rPr>
          <w:rFonts w:hint="eastAsia"/>
        </w:rPr>
        <w:t>；</w:t>
      </w:r>
    </w:p>
    <w:p w14:paraId="7BBFC9DC" w14:textId="77777777" w:rsidR="007924B5" w:rsidRPr="00FD50F6" w:rsidRDefault="007924B5" w:rsidP="00A926BD">
      <w:pPr>
        <w:pStyle w:val="4"/>
      </w:pPr>
      <w:r w:rsidRPr="00FD50F6">
        <w:rPr>
          <w:rFonts w:hint="eastAsia"/>
        </w:rPr>
        <w:t>车站实时信息响应时间不应大于</w:t>
      </w:r>
      <w:r w:rsidRPr="00FD50F6">
        <w:rPr>
          <w:rFonts w:hint="eastAsia"/>
        </w:rPr>
        <w:t>1s</w:t>
      </w:r>
      <w:r w:rsidRPr="00FD50F6">
        <w:rPr>
          <w:rFonts w:hint="eastAsia"/>
        </w:rPr>
        <w:t>；</w:t>
      </w:r>
    </w:p>
    <w:p w14:paraId="07AFE467" w14:textId="77777777" w:rsidR="007924B5" w:rsidRPr="00FD50F6" w:rsidRDefault="007924B5" w:rsidP="00A926BD">
      <w:pPr>
        <w:pStyle w:val="4"/>
      </w:pPr>
      <w:r w:rsidRPr="00FD50F6">
        <w:rPr>
          <w:rFonts w:hint="eastAsia"/>
        </w:rPr>
        <w:lastRenderedPageBreak/>
        <w:t>系统平均无故障时间应大于</w:t>
      </w:r>
      <w:r w:rsidRPr="00FD50F6">
        <w:t>10,000h</w:t>
      </w:r>
      <w:r w:rsidRPr="00FD50F6">
        <w:rPr>
          <w:rFonts w:hint="eastAsia"/>
        </w:rPr>
        <w:t>；</w:t>
      </w:r>
    </w:p>
    <w:p w14:paraId="01D9F10E" w14:textId="77777777" w:rsidR="007924B5" w:rsidRPr="00FD50F6" w:rsidRDefault="007924B5" w:rsidP="00A926BD">
      <w:pPr>
        <w:pStyle w:val="4"/>
      </w:pPr>
      <w:r w:rsidRPr="00FD50F6">
        <w:rPr>
          <w:rFonts w:hint="eastAsia"/>
        </w:rPr>
        <w:t>系统平均修复时间不应大于</w:t>
      </w:r>
      <w:r w:rsidRPr="00FD50F6">
        <w:t>0.5h</w:t>
      </w:r>
      <w:r w:rsidRPr="00FD50F6">
        <w:rPr>
          <w:rFonts w:hint="eastAsia"/>
        </w:rPr>
        <w:t>。</w:t>
      </w:r>
    </w:p>
    <w:p w14:paraId="21014AF4" w14:textId="77777777" w:rsidR="007924B5" w:rsidRPr="00FD50F6" w:rsidRDefault="007924B5" w:rsidP="00A65181">
      <w:pPr>
        <w:pStyle w:val="2"/>
      </w:pPr>
      <w:bookmarkStart w:id="1000" w:name="_Toc112830823"/>
      <w:r w:rsidRPr="00FD50F6">
        <w:rPr>
          <w:rFonts w:hint="eastAsia"/>
        </w:rPr>
        <w:t>供电、防雷及接地</w:t>
      </w:r>
      <w:bookmarkEnd w:id="1000"/>
    </w:p>
    <w:p w14:paraId="49A53434" w14:textId="77777777" w:rsidR="007924B5" w:rsidRPr="00FD50F6" w:rsidRDefault="007924B5" w:rsidP="007924B5">
      <w:pPr>
        <w:pStyle w:val="30"/>
      </w:pPr>
      <w:r w:rsidRPr="00FD50F6">
        <w:rPr>
          <w:rFonts w:hint="eastAsia"/>
        </w:rPr>
        <w:t>环境与设备监控系统应采用一级负荷电源供电。</w:t>
      </w:r>
    </w:p>
    <w:p w14:paraId="61D09D42" w14:textId="2C791FE0" w:rsidR="007924B5" w:rsidRPr="00FD50F6" w:rsidRDefault="007924B5" w:rsidP="007924B5">
      <w:pPr>
        <w:pStyle w:val="30"/>
      </w:pPr>
      <w:r w:rsidRPr="00FD50F6">
        <w:rPr>
          <w:rFonts w:hint="eastAsia"/>
        </w:rPr>
        <w:t>应配置在线式不间断电源，不间断电源为就地级及控制层网络设备提供后备电源的供电时间不应小于</w:t>
      </w:r>
      <w:r w:rsidRPr="00FD50F6">
        <w:t>3h</w:t>
      </w:r>
      <w:r w:rsidRPr="00FD50F6">
        <w:rPr>
          <w:rFonts w:hint="eastAsia"/>
        </w:rPr>
        <w:t>，为中心级、车站级设备及相关网络设备提供后备电源的供电时间不应小于</w:t>
      </w:r>
      <w:r w:rsidRPr="00FD50F6">
        <w:t>1h</w:t>
      </w:r>
      <w:r w:rsidRPr="00FD50F6">
        <w:rPr>
          <w:rFonts w:hint="eastAsia"/>
        </w:rPr>
        <w:t>。</w:t>
      </w:r>
    </w:p>
    <w:p w14:paraId="1B2DDC2C" w14:textId="77777777" w:rsidR="007924B5" w:rsidRPr="00FD50F6" w:rsidRDefault="007924B5" w:rsidP="007924B5">
      <w:pPr>
        <w:pStyle w:val="30"/>
      </w:pPr>
      <w:r w:rsidRPr="00FD50F6">
        <w:rPr>
          <w:rFonts w:hint="eastAsia"/>
        </w:rPr>
        <w:t>系统低压电源进线应按现行国家标准《建筑物防雷设计规范》</w:t>
      </w:r>
      <w:r w:rsidRPr="00FD50F6">
        <w:t>GB 50057</w:t>
      </w:r>
      <w:r w:rsidRPr="00FD50F6">
        <w:rPr>
          <w:rFonts w:hint="eastAsia"/>
        </w:rPr>
        <w:t>采取防雷措施。在低压电源进线处，应装设低压避雷器。</w:t>
      </w:r>
    </w:p>
    <w:p w14:paraId="49644CBD" w14:textId="77777777" w:rsidR="007924B5" w:rsidRPr="00FD50F6" w:rsidRDefault="007924B5" w:rsidP="007924B5">
      <w:pPr>
        <w:pStyle w:val="30"/>
      </w:pPr>
      <w:r w:rsidRPr="00FD50F6">
        <w:rPr>
          <w:rFonts w:hint="eastAsia"/>
        </w:rPr>
        <w:t>环境与设备监控系统的电缆屏蔽层宜采用一点接地。</w:t>
      </w:r>
    </w:p>
    <w:p w14:paraId="27E0D6D0" w14:textId="3DC8A12D" w:rsidR="007924B5" w:rsidRPr="00FD50F6" w:rsidRDefault="007924B5" w:rsidP="007924B5">
      <w:pPr>
        <w:pStyle w:val="30"/>
      </w:pPr>
      <w:r w:rsidRPr="00FD50F6">
        <w:rPr>
          <w:rFonts w:hint="eastAsia"/>
        </w:rPr>
        <w:t>环境与设备监控系统现场机柜（含模块箱）应可靠接地。</w:t>
      </w:r>
    </w:p>
    <w:p w14:paraId="779DAF78" w14:textId="77777777" w:rsidR="007924B5" w:rsidRPr="00FD50F6" w:rsidRDefault="007924B5" w:rsidP="007924B5">
      <w:pPr>
        <w:pStyle w:val="30"/>
      </w:pPr>
      <w:r w:rsidRPr="00FD50F6">
        <w:rPr>
          <w:rFonts w:hint="eastAsia"/>
        </w:rPr>
        <w:t>环境与设备监控系统的控制器和计算机设备宜根据相应产品或系统的要求，设置功能性接地或浮空及保护性接地。</w:t>
      </w:r>
    </w:p>
    <w:p w14:paraId="77617A7D" w14:textId="77777777" w:rsidR="007924B5" w:rsidRPr="00FD50F6" w:rsidRDefault="007924B5" w:rsidP="007924B5">
      <w:pPr>
        <w:pStyle w:val="30"/>
      </w:pPr>
      <w:r w:rsidRPr="00FD50F6">
        <w:rPr>
          <w:rFonts w:hint="eastAsia"/>
        </w:rPr>
        <w:t>接地电阻不应大于</w:t>
      </w:r>
      <w:r w:rsidRPr="00FD50F6">
        <w:t>1Ω</w:t>
      </w:r>
      <w:r w:rsidRPr="00FD50F6">
        <w:rPr>
          <w:rFonts w:hint="eastAsia"/>
        </w:rPr>
        <w:t>。</w:t>
      </w:r>
    </w:p>
    <w:p w14:paraId="71A4FCD3" w14:textId="77777777" w:rsidR="007924B5" w:rsidRPr="00FD50F6" w:rsidRDefault="007924B5" w:rsidP="00A65181">
      <w:pPr>
        <w:pStyle w:val="2"/>
      </w:pPr>
      <w:bookmarkStart w:id="1001" w:name="_Toc112830824"/>
      <w:r w:rsidRPr="00FD50F6">
        <w:rPr>
          <w:rFonts w:hint="eastAsia"/>
        </w:rPr>
        <w:t>系统布线</w:t>
      </w:r>
      <w:bookmarkEnd w:id="1001"/>
    </w:p>
    <w:p w14:paraId="61842EC0" w14:textId="77777777" w:rsidR="007924B5" w:rsidRPr="00FD50F6" w:rsidRDefault="007924B5" w:rsidP="007924B5">
      <w:pPr>
        <w:pStyle w:val="30"/>
      </w:pPr>
      <w:r w:rsidRPr="00FD50F6">
        <w:rPr>
          <w:rFonts w:hint="eastAsia"/>
        </w:rPr>
        <w:t>系统管线布置应具有安全可靠性、开放性、灵活性及可扩展性。</w:t>
      </w:r>
    </w:p>
    <w:p w14:paraId="27025E95" w14:textId="1B30F816" w:rsidR="007924B5" w:rsidRPr="00FD50F6" w:rsidRDefault="007924B5" w:rsidP="007924B5">
      <w:pPr>
        <w:pStyle w:val="30"/>
      </w:pPr>
      <w:r w:rsidRPr="00FD50F6">
        <w:rPr>
          <w:rFonts w:hint="eastAsia"/>
        </w:rPr>
        <w:t>用于控制消防设备的系统控制电缆应采用耐火型电缆。</w:t>
      </w:r>
    </w:p>
    <w:p w14:paraId="20F34403" w14:textId="58504865" w:rsidR="007924B5" w:rsidRPr="00FD50F6" w:rsidRDefault="007924B5" w:rsidP="007924B5">
      <w:pPr>
        <w:pStyle w:val="30"/>
        <w:rPr>
          <w:rFonts w:eastAsia="黑体"/>
        </w:rPr>
      </w:pPr>
      <w:r w:rsidRPr="00FD50F6">
        <w:rPr>
          <w:rFonts w:hint="eastAsia"/>
        </w:rPr>
        <w:t>地下车站及区间系统应采用低烟、无卤型电缆</w:t>
      </w:r>
      <w:r w:rsidRPr="00FD50F6">
        <w:rPr>
          <w:rFonts w:eastAsia="黑体" w:hint="eastAsia"/>
        </w:rPr>
        <w:t>。</w:t>
      </w:r>
    </w:p>
    <w:p w14:paraId="2F84DE50" w14:textId="77777777" w:rsidR="007924B5" w:rsidRPr="00FD50F6" w:rsidRDefault="007924B5" w:rsidP="007924B5">
      <w:pPr>
        <w:pStyle w:val="30"/>
      </w:pPr>
      <w:r w:rsidRPr="00FD50F6">
        <w:rPr>
          <w:rFonts w:hint="eastAsia"/>
        </w:rPr>
        <w:t>系统布线应对环境的电磁干扰影响采取下列措施：</w:t>
      </w:r>
    </w:p>
    <w:p w14:paraId="175177E2" w14:textId="77777777" w:rsidR="007924B5" w:rsidRPr="00FD50F6" w:rsidRDefault="007924B5" w:rsidP="00A926BD">
      <w:pPr>
        <w:pStyle w:val="4"/>
      </w:pPr>
      <w:r w:rsidRPr="00FD50F6">
        <w:rPr>
          <w:rFonts w:hint="eastAsia"/>
        </w:rPr>
        <w:t>信号线与电源线不应共用电缆，并不应敷设在同一根金属套管内；</w:t>
      </w:r>
    </w:p>
    <w:p w14:paraId="2B70E442" w14:textId="77777777" w:rsidR="007924B5" w:rsidRPr="00FD50F6" w:rsidRDefault="007924B5" w:rsidP="00A926BD">
      <w:pPr>
        <w:pStyle w:val="4"/>
      </w:pPr>
      <w:r w:rsidRPr="00FD50F6">
        <w:rPr>
          <w:rFonts w:hint="eastAsia"/>
        </w:rPr>
        <w:t>采用</w:t>
      </w:r>
      <w:r w:rsidRPr="00FD50F6">
        <w:t>220V</w:t>
      </w:r>
      <w:r w:rsidRPr="00FD50F6">
        <w:rPr>
          <w:rFonts w:hint="eastAsia"/>
        </w:rPr>
        <w:t>及以上强电工作电压的控制电缆，不应与采用弱电工作电压的监视电缆同管敷设；</w:t>
      </w:r>
    </w:p>
    <w:p w14:paraId="24F17293" w14:textId="77777777" w:rsidR="007924B5" w:rsidRPr="00FD50F6" w:rsidRDefault="007924B5" w:rsidP="00A926BD">
      <w:pPr>
        <w:pStyle w:val="4"/>
      </w:pPr>
      <w:r w:rsidRPr="00FD50F6">
        <w:rPr>
          <w:rFonts w:hint="eastAsia"/>
        </w:rPr>
        <w:t>当共用电缆槽敷设时，应采用隔板隔离措施；</w:t>
      </w:r>
    </w:p>
    <w:p w14:paraId="5DC52686" w14:textId="707120BD" w:rsidR="007924B5" w:rsidRPr="00FD50F6" w:rsidRDefault="007924B5" w:rsidP="00A926BD">
      <w:pPr>
        <w:pStyle w:val="4"/>
      </w:pPr>
      <w:r w:rsidRPr="00FD50F6">
        <w:rPr>
          <w:rFonts w:hint="eastAsia"/>
        </w:rPr>
        <w:t>系统控制电缆应采用带屏蔽层电缆，通信线缆应采用带屏蔽层通信电缆或光纤，当采用屏蔽布线系统时，应保持系统中屏蔽层的连续性；</w:t>
      </w:r>
    </w:p>
    <w:p w14:paraId="6F63DA90" w14:textId="3F01E84C" w:rsidR="007924B5" w:rsidRPr="00FD50F6" w:rsidRDefault="007924B5" w:rsidP="00A926BD">
      <w:pPr>
        <w:pStyle w:val="4"/>
      </w:pPr>
      <w:r w:rsidRPr="00FD50F6">
        <w:t>50V</w:t>
      </w:r>
      <w:r w:rsidRPr="00FD50F6">
        <w:rPr>
          <w:rFonts w:hint="eastAsia"/>
        </w:rPr>
        <w:t>以下供电的系统控制线路应采用电压等级不低于交流</w:t>
      </w:r>
      <w:r w:rsidRPr="00FD50F6">
        <w:t>250V</w:t>
      </w:r>
      <w:r w:rsidRPr="00FD50F6">
        <w:rPr>
          <w:rFonts w:hint="eastAsia"/>
        </w:rPr>
        <w:t>的铜芯绝缘导线或铜芯电缆；</w:t>
      </w:r>
    </w:p>
    <w:p w14:paraId="64C4B820" w14:textId="47398C57" w:rsidR="007924B5" w:rsidRPr="00FD50F6" w:rsidRDefault="007924B5" w:rsidP="00A926BD">
      <w:pPr>
        <w:pStyle w:val="4"/>
      </w:pPr>
      <w:r w:rsidRPr="00FD50F6">
        <w:lastRenderedPageBreak/>
        <w:t>220/380V</w:t>
      </w:r>
      <w:r w:rsidRPr="00FD50F6">
        <w:rPr>
          <w:rFonts w:hint="eastAsia"/>
        </w:rPr>
        <w:t>的供电和控制线路应采用电压等级不低于交流</w:t>
      </w:r>
      <w:r w:rsidRPr="00FD50F6">
        <w:t>500V</w:t>
      </w:r>
      <w:r w:rsidRPr="00FD50F6">
        <w:rPr>
          <w:rFonts w:hint="eastAsia"/>
        </w:rPr>
        <w:t>的铜芯绝缘导线或铜芯电缆。</w:t>
      </w:r>
    </w:p>
    <w:p w14:paraId="34BEAFB1" w14:textId="05C9D28E" w:rsidR="00783BFC" w:rsidRPr="00FD50F6" w:rsidRDefault="007924B5" w:rsidP="007924B5">
      <w:pPr>
        <w:pStyle w:val="30"/>
      </w:pPr>
      <w:r w:rsidRPr="00FD50F6">
        <w:rPr>
          <w:rFonts w:hint="eastAsia"/>
        </w:rPr>
        <w:t>系统传输线路的线芯截面选择除应满足环境与设备监控系统设备技术条件的要求外，还应满足机械强度的要求。</w:t>
      </w:r>
    </w:p>
    <w:p w14:paraId="11783375" w14:textId="4B5ABC50" w:rsidR="00D70A4C" w:rsidRPr="00FD50F6" w:rsidRDefault="00D70A4C">
      <w:pPr>
        <w:widowControl/>
        <w:spacing w:line="240" w:lineRule="auto"/>
        <w:jc w:val="left"/>
      </w:pPr>
      <w:r w:rsidRPr="00FD50F6">
        <w:br w:type="page"/>
      </w:r>
    </w:p>
    <w:p w14:paraId="6751E330" w14:textId="77777777" w:rsidR="004846A2" w:rsidRPr="00FD50F6" w:rsidRDefault="004846A2" w:rsidP="004846A2">
      <w:pPr>
        <w:pStyle w:val="12"/>
      </w:pPr>
      <w:bookmarkStart w:id="1002" w:name="_Toc306207208"/>
      <w:bookmarkStart w:id="1003" w:name="_Toc306207399"/>
      <w:bookmarkStart w:id="1004" w:name="_Toc320196095"/>
      <w:bookmarkStart w:id="1005" w:name="_Toc320643484"/>
      <w:bookmarkStart w:id="1006" w:name="_Toc344218846"/>
      <w:bookmarkStart w:id="1007" w:name="_Toc112830825"/>
      <w:r w:rsidRPr="00FD50F6">
        <w:lastRenderedPageBreak/>
        <w:t>乘客信息系统</w:t>
      </w:r>
      <w:bookmarkEnd w:id="1002"/>
      <w:bookmarkEnd w:id="1003"/>
      <w:bookmarkEnd w:id="1004"/>
      <w:bookmarkEnd w:id="1005"/>
      <w:bookmarkEnd w:id="1006"/>
      <w:bookmarkEnd w:id="1007"/>
    </w:p>
    <w:p w14:paraId="4B8593E2" w14:textId="77777777" w:rsidR="004846A2" w:rsidRPr="00FD50F6" w:rsidRDefault="004846A2" w:rsidP="00010C49">
      <w:pPr>
        <w:pStyle w:val="2"/>
        <w:numPr>
          <w:ilvl w:val="1"/>
          <w:numId w:val="31"/>
        </w:numPr>
      </w:pPr>
      <w:bookmarkStart w:id="1008" w:name="_Toc306207209"/>
      <w:bookmarkStart w:id="1009" w:name="_Toc306207400"/>
      <w:bookmarkStart w:id="1010" w:name="_Toc320196096"/>
      <w:bookmarkStart w:id="1011" w:name="_Toc320643485"/>
      <w:bookmarkStart w:id="1012" w:name="_Toc344218847"/>
      <w:bookmarkStart w:id="1013" w:name="_Toc112830826"/>
      <w:r w:rsidRPr="00FD50F6">
        <w:t>一般规定</w:t>
      </w:r>
      <w:bookmarkEnd w:id="1008"/>
      <w:bookmarkEnd w:id="1009"/>
      <w:bookmarkEnd w:id="1010"/>
      <w:bookmarkEnd w:id="1011"/>
      <w:bookmarkEnd w:id="1012"/>
      <w:bookmarkEnd w:id="1013"/>
    </w:p>
    <w:p w14:paraId="5E873112" w14:textId="2A9F491C" w:rsidR="004846A2" w:rsidRPr="00FD50F6" w:rsidRDefault="004846A2" w:rsidP="004846A2">
      <w:pPr>
        <w:pStyle w:val="30"/>
      </w:pPr>
      <w:r w:rsidRPr="00FD50F6">
        <w:t>地铁应设置乘客信息系统（</w:t>
      </w:r>
      <w:r w:rsidRPr="00FD50F6">
        <w:t>PIS</w:t>
      </w:r>
      <w:bookmarkStart w:id="1014" w:name="_Toc306207210"/>
      <w:bookmarkStart w:id="1015" w:name="_Toc306207401"/>
      <w:r w:rsidRPr="00FD50F6">
        <w:t>），</w:t>
      </w:r>
      <w:r w:rsidRPr="00FD50F6">
        <w:rPr>
          <w:rFonts w:hint="eastAsia"/>
        </w:rPr>
        <w:t>乘客在乘车过程中应能</w:t>
      </w:r>
      <w:r w:rsidRPr="00FD50F6">
        <w:t>获取相关信息。</w:t>
      </w:r>
      <w:bookmarkEnd w:id="1014"/>
      <w:bookmarkEnd w:id="1015"/>
    </w:p>
    <w:p w14:paraId="037275EE" w14:textId="45312B83" w:rsidR="004846A2" w:rsidRPr="00FD50F6" w:rsidRDefault="004846A2" w:rsidP="004846A2">
      <w:pPr>
        <w:pStyle w:val="30"/>
      </w:pPr>
      <w:r w:rsidRPr="00FD50F6">
        <w:rPr>
          <w:rFonts w:hint="eastAsia"/>
        </w:rPr>
        <w:t>乘客信息系统应为乘客提供列车到达预告、换乘信息及时间等与乘车有关的信息，还应能播放重要新闻、天气预报、公益广告等资讯信息。在火灾、阻塞及恐怖袭击等非正常情况下，宜提供动态紧急疏散辅助显示。</w:t>
      </w:r>
    </w:p>
    <w:p w14:paraId="5922DEA3" w14:textId="77777777" w:rsidR="004846A2" w:rsidRPr="00FD50F6" w:rsidRDefault="004846A2" w:rsidP="004846A2">
      <w:pPr>
        <w:pStyle w:val="30"/>
      </w:pPr>
      <w:bookmarkStart w:id="1016" w:name="_Toc306207211"/>
      <w:bookmarkStart w:id="1017" w:name="_Toc306207402"/>
      <w:r w:rsidRPr="00FD50F6">
        <w:t>乘客信息系统应具有安全性、可靠性、可扩充性和使用灵活性，并应做到技术先进、经济合理、简洁实用。</w:t>
      </w:r>
      <w:bookmarkEnd w:id="1016"/>
      <w:bookmarkEnd w:id="1017"/>
    </w:p>
    <w:p w14:paraId="29C3EF61" w14:textId="77777777" w:rsidR="004846A2" w:rsidRPr="00FD50F6" w:rsidRDefault="004846A2" w:rsidP="004846A2">
      <w:pPr>
        <w:pStyle w:val="30"/>
      </w:pPr>
      <w:r w:rsidRPr="00FD50F6">
        <w:t>系统应具有完备的信息处理能力。</w:t>
      </w:r>
      <w:r w:rsidRPr="00FD50F6">
        <w:rPr>
          <w:rFonts w:hint="eastAsia"/>
        </w:rPr>
        <w:t>应能</w:t>
      </w:r>
      <w:r w:rsidRPr="00FD50F6">
        <w:t>通过</w:t>
      </w:r>
      <w:r w:rsidRPr="00FD50F6">
        <w:rPr>
          <w:rFonts w:hint="eastAsia"/>
        </w:rPr>
        <w:t>与时钟、</w:t>
      </w:r>
      <w:r w:rsidRPr="00FD50F6">
        <w:rPr>
          <w:rFonts w:hint="eastAsia"/>
        </w:rPr>
        <w:t>A</w:t>
      </w:r>
      <w:r w:rsidRPr="00FD50F6">
        <w:t>TS</w:t>
      </w:r>
      <w:r w:rsidRPr="00FD50F6">
        <w:rPr>
          <w:rFonts w:hint="eastAsia"/>
        </w:rPr>
        <w:t>等系统</w:t>
      </w:r>
      <w:r w:rsidRPr="00FD50F6">
        <w:t>接口进行数据交换，并将获得的数据经系统处理后，向乘客提供信息服务。</w:t>
      </w:r>
    </w:p>
    <w:p w14:paraId="5CC31FBF" w14:textId="7B6957F1" w:rsidR="004846A2" w:rsidRPr="00FD50F6" w:rsidRDefault="004846A2" w:rsidP="004846A2">
      <w:pPr>
        <w:pStyle w:val="30"/>
      </w:pPr>
      <w:r w:rsidRPr="00FD50F6" w:rsidDel="00EC0462">
        <w:t>乘客信息系统宜采用</w:t>
      </w:r>
      <w:r w:rsidRPr="00FD50F6">
        <w:rPr>
          <w:rFonts w:hint="eastAsia"/>
        </w:rPr>
        <w:t>人性化</w:t>
      </w:r>
      <w:r w:rsidRPr="00FD50F6">
        <w:t>显示终端，如</w:t>
      </w:r>
      <w:r w:rsidRPr="00FD50F6">
        <w:rPr>
          <w:rFonts w:hint="eastAsia"/>
        </w:rPr>
        <w:t>L</w:t>
      </w:r>
      <w:r w:rsidRPr="00FD50F6">
        <w:t>CD</w:t>
      </w:r>
      <w:r w:rsidRPr="00FD50F6">
        <w:rPr>
          <w:rFonts w:hint="eastAsia"/>
        </w:rPr>
        <w:t>/</w:t>
      </w:r>
      <w:r w:rsidRPr="00FD50F6" w:rsidDel="00EC0462">
        <w:t>LED</w:t>
      </w:r>
      <w:r w:rsidRPr="00FD50F6" w:rsidDel="00EC0462">
        <w:t>显示屏、多媒体触摸屏等</w:t>
      </w:r>
      <w:r w:rsidRPr="00FD50F6">
        <w:rPr>
          <w:rFonts w:hint="eastAsia"/>
        </w:rPr>
        <w:t>，</w:t>
      </w:r>
      <w:r w:rsidRPr="00FD50F6">
        <w:t>还可</w:t>
      </w:r>
      <w:r w:rsidRPr="00FD50F6">
        <w:rPr>
          <w:rFonts w:hint="eastAsia"/>
        </w:rPr>
        <w:t>通过开发</w:t>
      </w:r>
      <w:r w:rsidRPr="00FD50F6">
        <w:t>手机</w:t>
      </w:r>
      <w:r w:rsidRPr="00FD50F6">
        <w:rPr>
          <w:rFonts w:hint="eastAsia"/>
        </w:rPr>
        <w:t>APP</w:t>
      </w:r>
      <w:r w:rsidRPr="00FD50F6">
        <w:rPr>
          <w:rFonts w:hint="eastAsia"/>
        </w:rPr>
        <w:t>、设置智能问询</w:t>
      </w:r>
      <w:r w:rsidRPr="00FD50F6">
        <w:t>设备等</w:t>
      </w:r>
      <w:r w:rsidRPr="00FD50F6">
        <w:rPr>
          <w:rFonts w:hint="eastAsia"/>
        </w:rPr>
        <w:t>向</w:t>
      </w:r>
      <w:r w:rsidRPr="00FD50F6">
        <w:t>乘客提供智慧化</w:t>
      </w:r>
      <w:r w:rsidRPr="00FD50F6">
        <w:rPr>
          <w:rFonts w:hint="eastAsia"/>
        </w:rPr>
        <w:t>信息</w:t>
      </w:r>
      <w:r w:rsidRPr="00FD50F6">
        <w:t>服务</w:t>
      </w:r>
      <w:r w:rsidRPr="00FD50F6">
        <w:rPr>
          <w:rFonts w:hint="eastAsia"/>
        </w:rPr>
        <w:t>。</w:t>
      </w:r>
    </w:p>
    <w:p w14:paraId="44A5D57A" w14:textId="77777777" w:rsidR="004846A2" w:rsidRPr="00FD50F6" w:rsidRDefault="004846A2" w:rsidP="004846A2">
      <w:pPr>
        <w:pStyle w:val="30"/>
      </w:pPr>
      <w:r w:rsidRPr="00FD50F6">
        <w:t>乘客信息系统中心级至车站级的</w:t>
      </w:r>
      <w:r w:rsidRPr="00FD50F6">
        <w:rPr>
          <w:rFonts w:hint="eastAsia"/>
        </w:rPr>
        <w:t>有线</w:t>
      </w:r>
      <w:r w:rsidRPr="00FD50F6">
        <w:t>通道宜</w:t>
      </w:r>
      <w:r w:rsidRPr="00FD50F6">
        <w:rPr>
          <w:rFonts w:hint="eastAsia"/>
        </w:rPr>
        <w:t>由</w:t>
      </w:r>
      <w:r w:rsidRPr="00FD50F6">
        <w:t>专用通信传输系统</w:t>
      </w:r>
      <w:r w:rsidRPr="00FD50F6">
        <w:rPr>
          <w:rFonts w:hint="eastAsia"/>
        </w:rPr>
        <w:t>提供</w:t>
      </w:r>
      <w:r w:rsidRPr="00FD50F6">
        <w:t>；</w:t>
      </w:r>
      <w:r w:rsidRPr="00FD50F6">
        <w:rPr>
          <w:rFonts w:hint="eastAsia"/>
        </w:rPr>
        <w:t>车地无线网络可采用独立构建或综合承载方式构建，无线网络应满足列车在高速运行时大带宽、低时延、无缝切换的传输要求。</w:t>
      </w:r>
    </w:p>
    <w:p w14:paraId="28FB8329" w14:textId="404CAB6A" w:rsidR="004846A2" w:rsidRPr="00FD50F6" w:rsidRDefault="004846A2" w:rsidP="004846A2">
      <w:pPr>
        <w:pStyle w:val="30"/>
      </w:pPr>
      <w:r w:rsidRPr="00FD50F6">
        <w:rPr>
          <w:rFonts w:hint="eastAsia"/>
        </w:rPr>
        <w:t>乘客信息系统宜按信息系统安全等级</w:t>
      </w:r>
      <w:r w:rsidR="007E4536" w:rsidRPr="00FD50F6">
        <w:rPr>
          <w:rFonts w:hint="eastAsia"/>
        </w:rPr>
        <w:t>保护二级进行设计</w:t>
      </w:r>
      <w:r w:rsidRPr="00FD50F6">
        <w:rPr>
          <w:rFonts w:hint="eastAsia"/>
        </w:rPr>
        <w:t>。</w:t>
      </w:r>
    </w:p>
    <w:p w14:paraId="53E38D91" w14:textId="77777777" w:rsidR="004846A2" w:rsidRPr="00FD50F6" w:rsidRDefault="004846A2" w:rsidP="00A65181">
      <w:pPr>
        <w:pStyle w:val="2"/>
      </w:pPr>
      <w:bookmarkStart w:id="1018" w:name="_Toc306207216"/>
      <w:bookmarkStart w:id="1019" w:name="_Toc306207407"/>
      <w:bookmarkStart w:id="1020" w:name="_Toc320196097"/>
      <w:bookmarkStart w:id="1021" w:name="_Toc320643486"/>
      <w:bookmarkStart w:id="1022" w:name="_Toc344218848"/>
      <w:bookmarkStart w:id="1023" w:name="_Toc112830827"/>
      <w:r w:rsidRPr="00FD50F6">
        <w:t>系统功能</w:t>
      </w:r>
      <w:bookmarkEnd w:id="1018"/>
      <w:bookmarkEnd w:id="1019"/>
      <w:bookmarkEnd w:id="1020"/>
      <w:bookmarkEnd w:id="1021"/>
      <w:bookmarkEnd w:id="1022"/>
      <w:bookmarkEnd w:id="1023"/>
    </w:p>
    <w:p w14:paraId="5BBACD10" w14:textId="77777777" w:rsidR="004846A2" w:rsidRPr="00FD50F6" w:rsidRDefault="004846A2" w:rsidP="004846A2">
      <w:pPr>
        <w:pStyle w:val="30"/>
      </w:pPr>
      <w:bookmarkStart w:id="1024" w:name="_Toc306207217"/>
      <w:bookmarkStart w:id="1025" w:name="_Toc306207408"/>
      <w:r w:rsidRPr="00FD50F6">
        <w:t>乘客信息系统宜具有乘客被动式多媒体导乘信息获取和主动式多媒体咨询、查询的服务功能。</w:t>
      </w:r>
      <w:bookmarkEnd w:id="1024"/>
      <w:bookmarkEnd w:id="1025"/>
    </w:p>
    <w:p w14:paraId="2859D367" w14:textId="717BAB5E" w:rsidR="004846A2" w:rsidRPr="00FD50F6" w:rsidRDefault="004846A2" w:rsidP="004846A2">
      <w:pPr>
        <w:pStyle w:val="30"/>
      </w:pPr>
      <w:r w:rsidRPr="00FD50F6">
        <w:t>系统除应提供运营相关信息外，</w:t>
      </w:r>
      <w:r w:rsidRPr="00FD50F6">
        <w:rPr>
          <w:rFonts w:hint="eastAsia"/>
        </w:rPr>
        <w:t>也</w:t>
      </w:r>
      <w:r w:rsidRPr="00FD50F6">
        <w:t>可与</w:t>
      </w:r>
      <w:r w:rsidRPr="00FD50F6">
        <w:t>AFC</w:t>
      </w:r>
      <w:r w:rsidRPr="00FD50F6">
        <w:rPr>
          <w:rFonts w:hint="eastAsia"/>
        </w:rPr>
        <w:t>、</w:t>
      </w:r>
      <w:r w:rsidRPr="00FD50F6">
        <w:t>导向</w:t>
      </w:r>
      <w:r w:rsidRPr="00FD50F6">
        <w:rPr>
          <w:rFonts w:hint="eastAsia"/>
        </w:rPr>
        <w:t>等</w:t>
      </w:r>
      <w:r w:rsidRPr="00FD50F6">
        <w:t>系统合设信息查询</w:t>
      </w:r>
      <w:r w:rsidRPr="00FD50F6">
        <w:rPr>
          <w:rFonts w:hint="eastAsia"/>
        </w:rPr>
        <w:t>或语音</w:t>
      </w:r>
      <w:r w:rsidRPr="00FD50F6">
        <w:t>问询</w:t>
      </w:r>
      <w:r w:rsidRPr="00FD50F6">
        <w:rPr>
          <w:rFonts w:hint="eastAsia"/>
        </w:rPr>
        <w:t>设备</w:t>
      </w:r>
      <w:r w:rsidRPr="00FD50F6">
        <w:t>，</w:t>
      </w:r>
      <w:r w:rsidR="004123E5">
        <w:t>还宜</w:t>
      </w:r>
      <w:r w:rsidRPr="00FD50F6">
        <w:t>提供票价、道路交通信息、车站周围地图等信息。</w:t>
      </w:r>
    </w:p>
    <w:p w14:paraId="190FE22C" w14:textId="77777777" w:rsidR="004846A2" w:rsidRPr="00FD50F6" w:rsidRDefault="004846A2" w:rsidP="004846A2">
      <w:pPr>
        <w:pStyle w:val="30"/>
      </w:pPr>
      <w:bookmarkStart w:id="1026" w:name="_Toc306207218"/>
      <w:bookmarkStart w:id="1027" w:name="_Toc306207409"/>
      <w:r w:rsidRPr="00FD50F6">
        <w:t>乘客信息系统应具备全数字传输功能，信息采集、传输、显示宜采用全数字的方式。</w:t>
      </w:r>
      <w:bookmarkEnd w:id="1026"/>
      <w:bookmarkEnd w:id="1027"/>
    </w:p>
    <w:p w14:paraId="11647DF7" w14:textId="76C17C51" w:rsidR="004846A2" w:rsidRPr="00FD50F6" w:rsidRDefault="004846A2" w:rsidP="004846A2">
      <w:pPr>
        <w:pStyle w:val="30"/>
      </w:pPr>
      <w:bookmarkStart w:id="1028" w:name="_Toc306207219"/>
      <w:bookmarkStart w:id="1029" w:name="_Toc306207410"/>
      <w:r w:rsidRPr="00FD50F6">
        <w:t>乘客信息系统应支持文字、图片、视频信息等媒体格式。</w:t>
      </w:r>
      <w:bookmarkEnd w:id="1028"/>
      <w:bookmarkEnd w:id="1029"/>
      <w:r w:rsidRPr="00FD50F6">
        <w:rPr>
          <w:rFonts w:ascii="宋体" w:hAnsi="宋体" w:hint="eastAsia"/>
          <w:lang w:val="zh-CN"/>
        </w:rPr>
        <w:t>在进行媒体播放时，其声音不应干扰正常运营广播。</w:t>
      </w:r>
    </w:p>
    <w:p w14:paraId="57412740" w14:textId="77777777" w:rsidR="004846A2" w:rsidRPr="00FD50F6" w:rsidRDefault="004846A2" w:rsidP="004846A2">
      <w:pPr>
        <w:pStyle w:val="30"/>
      </w:pPr>
      <w:bookmarkStart w:id="1030" w:name="_Toc306207220"/>
      <w:bookmarkStart w:id="1031" w:name="_Toc306207411"/>
      <w:r w:rsidRPr="00FD50F6">
        <w:t>乘客信息系统对于预制信息应具备根据节目列表定时自动播出</w:t>
      </w:r>
      <w:r w:rsidRPr="00FD50F6">
        <w:rPr>
          <w:rFonts w:hint="eastAsia"/>
        </w:rPr>
        <w:t>的</w:t>
      </w:r>
      <w:r w:rsidRPr="00FD50F6">
        <w:t>功能；</w:t>
      </w:r>
      <w:r w:rsidRPr="00FD50F6">
        <w:lastRenderedPageBreak/>
        <w:t>对于来自外部接口直播的视频信息，应具备自动延时缓存播出的功能。</w:t>
      </w:r>
      <w:bookmarkEnd w:id="1030"/>
      <w:bookmarkEnd w:id="1031"/>
    </w:p>
    <w:p w14:paraId="798B96C4" w14:textId="77777777" w:rsidR="004846A2" w:rsidRPr="00FD50F6" w:rsidRDefault="004846A2" w:rsidP="004846A2">
      <w:pPr>
        <w:pStyle w:val="30"/>
      </w:pPr>
      <w:bookmarkStart w:id="1032" w:name="_Toc306207221"/>
      <w:bookmarkStart w:id="1033" w:name="_Toc306207412"/>
      <w:r w:rsidRPr="00FD50F6">
        <w:t>乘客信息系统应支持数据传送及数据显示的优先级别定义功能，对定义级别高的数据应优先处理。</w:t>
      </w:r>
      <w:bookmarkEnd w:id="1032"/>
      <w:bookmarkEnd w:id="1033"/>
    </w:p>
    <w:p w14:paraId="7B23D935" w14:textId="77777777" w:rsidR="004846A2" w:rsidRPr="00FD50F6" w:rsidRDefault="004846A2" w:rsidP="004846A2">
      <w:pPr>
        <w:pStyle w:val="30"/>
      </w:pPr>
      <w:bookmarkStart w:id="1034" w:name="_Toc306207222"/>
      <w:bookmarkStart w:id="1035" w:name="_Toc306207413"/>
      <w:r w:rsidRPr="00FD50F6">
        <w:t>需同时显示多类信息的终端显示设备，应具有每个区域可独立控制的多区域屏幕分割功能，并应具备单独播出列表功能。</w:t>
      </w:r>
      <w:bookmarkEnd w:id="1034"/>
      <w:bookmarkEnd w:id="1035"/>
    </w:p>
    <w:p w14:paraId="2950B7C6" w14:textId="6518FDE0" w:rsidR="004846A2" w:rsidRPr="00FD50F6" w:rsidRDefault="004846A2" w:rsidP="004846A2">
      <w:pPr>
        <w:pStyle w:val="30"/>
      </w:pPr>
      <w:r w:rsidRPr="00FD50F6">
        <w:rPr>
          <w:rFonts w:hint="eastAsia"/>
        </w:rPr>
        <w:t>采用全自动运行的线路</w:t>
      </w:r>
      <w:r w:rsidRPr="00FD50F6">
        <w:t>，</w:t>
      </w:r>
      <w:r w:rsidRPr="00FD50F6">
        <w:rPr>
          <w:rFonts w:hint="eastAsia"/>
        </w:rPr>
        <w:t>乘客信息系统还应具备下列功能：</w:t>
      </w:r>
    </w:p>
    <w:p w14:paraId="18A6E19A" w14:textId="78497079" w:rsidR="004846A2" w:rsidRPr="00FD50F6" w:rsidRDefault="004846A2" w:rsidP="00A926BD">
      <w:pPr>
        <w:pStyle w:val="4"/>
      </w:pPr>
      <w:r w:rsidRPr="00FD50F6">
        <w:rPr>
          <w:rFonts w:hint="eastAsia"/>
        </w:rPr>
        <w:t>应能将本系统车载设备的自检及诊断信息发送给车辆</w:t>
      </w:r>
      <w:r w:rsidRPr="00FD50F6">
        <w:rPr>
          <w:rFonts w:hint="eastAsia"/>
        </w:rPr>
        <w:t>TCMS</w:t>
      </w:r>
      <w:r w:rsidRPr="00FD50F6">
        <w:rPr>
          <w:rFonts w:hint="eastAsia"/>
        </w:rPr>
        <w:t>系统。</w:t>
      </w:r>
    </w:p>
    <w:p w14:paraId="55298D09" w14:textId="1B92E4D7" w:rsidR="004846A2" w:rsidRPr="00FD50F6" w:rsidRDefault="004846A2" w:rsidP="00A926BD">
      <w:pPr>
        <w:pStyle w:val="4"/>
      </w:pPr>
      <w:r w:rsidRPr="00FD50F6">
        <w:rPr>
          <w:rFonts w:hint="eastAsia"/>
        </w:rPr>
        <w:t>PIS</w:t>
      </w:r>
      <w:r w:rsidRPr="00FD50F6">
        <w:rPr>
          <w:rFonts w:hint="eastAsia"/>
        </w:rPr>
        <w:t>车地无线网络应</w:t>
      </w:r>
      <w:r w:rsidRPr="00FD50F6">
        <w:t>能将</w:t>
      </w:r>
      <w:r w:rsidRPr="00FD50F6">
        <w:rPr>
          <w:rFonts w:hint="eastAsia"/>
        </w:rPr>
        <w:t>车载视频</w:t>
      </w:r>
      <w:r w:rsidRPr="00FD50F6">
        <w:t>监视画面</w:t>
      </w:r>
      <w:r w:rsidRPr="00FD50F6">
        <w:rPr>
          <w:rFonts w:hint="eastAsia"/>
        </w:rPr>
        <w:t>推送给中心。</w:t>
      </w:r>
    </w:p>
    <w:p w14:paraId="36148609" w14:textId="77777777" w:rsidR="004846A2" w:rsidRPr="00FD50F6" w:rsidRDefault="004846A2" w:rsidP="00A65181">
      <w:pPr>
        <w:pStyle w:val="2"/>
      </w:pPr>
      <w:bookmarkStart w:id="1036" w:name="_Toc306207223"/>
      <w:bookmarkStart w:id="1037" w:name="_Toc306207414"/>
      <w:bookmarkStart w:id="1038" w:name="_Toc320196098"/>
      <w:bookmarkStart w:id="1039" w:name="_Toc320643487"/>
      <w:bookmarkStart w:id="1040" w:name="_Toc344218849"/>
      <w:bookmarkStart w:id="1041" w:name="_Toc112830828"/>
      <w:r w:rsidRPr="00FD50F6">
        <w:t>系统构成及设备配置</w:t>
      </w:r>
      <w:bookmarkEnd w:id="1036"/>
      <w:bookmarkEnd w:id="1037"/>
      <w:bookmarkEnd w:id="1038"/>
      <w:bookmarkEnd w:id="1039"/>
      <w:bookmarkEnd w:id="1040"/>
      <w:bookmarkEnd w:id="1041"/>
    </w:p>
    <w:p w14:paraId="4C66D319" w14:textId="77777777" w:rsidR="004846A2" w:rsidRPr="00FD50F6" w:rsidRDefault="004846A2" w:rsidP="004846A2">
      <w:pPr>
        <w:pStyle w:val="30"/>
      </w:pPr>
      <w:r w:rsidRPr="00FD50F6">
        <w:t>乘客信息系统宜由线网</w:t>
      </w:r>
      <w:r w:rsidRPr="00FD50F6">
        <w:rPr>
          <w:rFonts w:hint="eastAsia"/>
        </w:rPr>
        <w:t>/</w:t>
      </w:r>
      <w:r w:rsidRPr="00FD50F6">
        <w:t>线路中心子系统、车站子系统、</w:t>
      </w:r>
      <w:r w:rsidRPr="00FD50F6">
        <w:rPr>
          <w:rFonts w:hint="eastAsia"/>
        </w:rPr>
        <w:t>车载子</w:t>
      </w:r>
      <w:r w:rsidRPr="00FD50F6">
        <w:t>系统、网络子系统</w:t>
      </w:r>
      <w:r w:rsidRPr="00FD50F6">
        <w:rPr>
          <w:rFonts w:hint="eastAsia"/>
        </w:rPr>
        <w:t>等</w:t>
      </w:r>
      <w:r w:rsidRPr="00FD50F6">
        <w:t>组成。</w:t>
      </w:r>
      <w:r w:rsidRPr="00FD50F6">
        <w:rPr>
          <w:rFonts w:hint="eastAsia"/>
        </w:rPr>
        <w:t>乘客信息系统</w:t>
      </w:r>
      <w:r w:rsidRPr="00FD50F6">
        <w:t>控制功能宜分为中心播出控制层</w:t>
      </w:r>
      <w:r w:rsidRPr="00FD50F6">
        <w:rPr>
          <w:rFonts w:hint="eastAsia"/>
        </w:rPr>
        <w:t>、车站</w:t>
      </w:r>
      <w:r w:rsidRPr="00FD50F6">
        <w:t>/</w:t>
      </w:r>
      <w:r w:rsidRPr="00FD50F6">
        <w:rPr>
          <w:rFonts w:hint="eastAsia"/>
        </w:rPr>
        <w:t>车载</w:t>
      </w:r>
      <w:r w:rsidRPr="00FD50F6">
        <w:t>播出控制层和车站</w:t>
      </w:r>
      <w:r w:rsidRPr="00FD50F6">
        <w:rPr>
          <w:rFonts w:hint="eastAsia"/>
        </w:rPr>
        <w:t>/</w:t>
      </w:r>
      <w:r w:rsidRPr="00FD50F6">
        <w:rPr>
          <w:rFonts w:hint="eastAsia"/>
        </w:rPr>
        <w:t>车载</w:t>
      </w:r>
      <w:r w:rsidRPr="00FD50F6">
        <w:t>播出设备等层次。</w:t>
      </w:r>
    </w:p>
    <w:p w14:paraId="1FBD3908" w14:textId="77777777" w:rsidR="004846A2" w:rsidRPr="00FD50F6" w:rsidRDefault="004846A2" w:rsidP="004846A2">
      <w:pPr>
        <w:pStyle w:val="30"/>
      </w:pPr>
      <w:bookmarkStart w:id="1042" w:name="_Toc306207225"/>
      <w:bookmarkStart w:id="1043" w:name="_Toc306207416"/>
      <w:r w:rsidRPr="00FD50F6">
        <w:t>中心子系统宜配备中心服务器、视频流服务器、</w:t>
      </w:r>
      <w:r w:rsidRPr="00FD50F6">
        <w:rPr>
          <w:rFonts w:hint="eastAsia"/>
        </w:rPr>
        <w:t>接口</w:t>
      </w:r>
      <w:r w:rsidRPr="00FD50F6">
        <w:t>服务器、</w:t>
      </w:r>
      <w:r w:rsidRPr="00FD50F6">
        <w:rPr>
          <w:rFonts w:hint="eastAsia"/>
        </w:rPr>
        <w:t>咨讯应用</w:t>
      </w:r>
      <w:r w:rsidRPr="00FD50F6">
        <w:t>服务器、操作员工作站、网管工作站、播出控制工作站、音视频切换矩阵、视频编码器</w:t>
      </w:r>
      <w:r w:rsidRPr="00FD50F6">
        <w:t>/</w:t>
      </w:r>
      <w:r w:rsidRPr="00FD50F6">
        <w:t>解码器、播出版式预览装置等设备。</w:t>
      </w:r>
      <w:bookmarkEnd w:id="1042"/>
      <w:bookmarkEnd w:id="1043"/>
    </w:p>
    <w:p w14:paraId="39419E4E" w14:textId="38CCA185" w:rsidR="004846A2" w:rsidRPr="00FD50F6" w:rsidRDefault="004846A2" w:rsidP="004846A2">
      <w:pPr>
        <w:pStyle w:val="30"/>
        <w:rPr>
          <w:kern w:val="28"/>
        </w:rPr>
      </w:pPr>
      <w:bookmarkStart w:id="1044" w:name="_Toc306207226"/>
      <w:bookmarkStart w:id="1045" w:name="_Toc306207417"/>
      <w:r w:rsidRPr="00FD50F6">
        <w:t>车站子系统宜配备数据服务器、操作员工作站</w:t>
      </w:r>
      <w:r w:rsidRPr="00FD50F6">
        <w:rPr>
          <w:rFonts w:hint="eastAsia"/>
        </w:rPr>
        <w:t>、</w:t>
      </w:r>
      <w:r w:rsidRPr="00FD50F6">
        <w:t>播放控制器及各类终端显示设备。</w:t>
      </w:r>
      <w:bookmarkEnd w:id="1044"/>
      <w:bookmarkEnd w:id="1045"/>
      <w:r w:rsidRPr="00FD50F6" w:rsidDel="00EC0462">
        <w:t>终端显示设备</w:t>
      </w:r>
      <w:r w:rsidRPr="00FD50F6">
        <w:t>宜</w:t>
      </w:r>
      <w:r w:rsidRPr="00FD50F6" w:rsidDel="00EC0462">
        <w:t>设置于车站的站厅、站台、出入口、换乘通道等公共区域。</w:t>
      </w:r>
    </w:p>
    <w:p w14:paraId="2562EB3B" w14:textId="77777777" w:rsidR="004846A2" w:rsidRPr="00FD50F6" w:rsidRDefault="004846A2" w:rsidP="004846A2">
      <w:pPr>
        <w:pStyle w:val="30"/>
        <w:rPr>
          <w:kern w:val="28"/>
        </w:rPr>
      </w:pPr>
      <w:bookmarkStart w:id="1046" w:name="_Toc306207227"/>
      <w:bookmarkStart w:id="1047" w:name="_Toc306207418"/>
      <w:r w:rsidRPr="00FD50F6">
        <w:t>车载子系统宜配备车载</w:t>
      </w:r>
      <w:r w:rsidRPr="00FD50F6">
        <w:rPr>
          <w:rFonts w:hint="eastAsia"/>
        </w:rPr>
        <w:t>播放</w:t>
      </w:r>
      <w:r w:rsidRPr="00FD50F6">
        <w:t>控制器、车载无线客户端、图像存储设备、网络设备和客室终端显示屏</w:t>
      </w:r>
      <w:r w:rsidRPr="00FD50F6">
        <w:rPr>
          <w:rFonts w:hint="eastAsia"/>
        </w:rPr>
        <w:t>等</w:t>
      </w:r>
      <w:r w:rsidRPr="00FD50F6">
        <w:t>。</w:t>
      </w:r>
      <w:bookmarkEnd w:id="1046"/>
      <w:bookmarkEnd w:id="1047"/>
    </w:p>
    <w:p w14:paraId="5EE7088E" w14:textId="77777777" w:rsidR="004846A2" w:rsidRPr="00FD50F6" w:rsidRDefault="004846A2" w:rsidP="004846A2">
      <w:pPr>
        <w:pStyle w:val="30"/>
        <w:rPr>
          <w:kern w:val="28"/>
        </w:rPr>
      </w:pPr>
      <w:bookmarkStart w:id="1048" w:name="_Toc306207229"/>
      <w:bookmarkStart w:id="1049" w:name="_Toc306207420"/>
      <w:r w:rsidRPr="00FD50F6">
        <w:t>网络子系统宜在控制中心配置以太网核心交换机、无线交换</w:t>
      </w:r>
      <w:r w:rsidRPr="00FD50F6">
        <w:rPr>
          <w:rFonts w:hint="eastAsia"/>
        </w:rPr>
        <w:t>控制</w:t>
      </w:r>
      <w:r w:rsidRPr="00FD50F6">
        <w:t>设备、防火墙等；在车站</w:t>
      </w:r>
      <w:r w:rsidRPr="00FD50F6">
        <w:rPr>
          <w:rFonts w:hint="eastAsia"/>
        </w:rPr>
        <w:t>及</w:t>
      </w:r>
      <w:r w:rsidRPr="00FD50F6">
        <w:t>区间宜配置以太网交换机、区间无线</w:t>
      </w:r>
      <w:r w:rsidRPr="00FD50F6">
        <w:rPr>
          <w:rFonts w:hint="eastAsia"/>
        </w:rPr>
        <w:t>设备</w:t>
      </w:r>
      <w:r w:rsidRPr="00FD50F6">
        <w:t>等。</w:t>
      </w:r>
      <w:bookmarkEnd w:id="1048"/>
      <w:bookmarkEnd w:id="1049"/>
    </w:p>
    <w:p w14:paraId="60400C6C" w14:textId="77777777" w:rsidR="004846A2" w:rsidRPr="00FD50F6" w:rsidRDefault="004846A2" w:rsidP="004846A2">
      <w:pPr>
        <w:pStyle w:val="30"/>
      </w:pPr>
      <w:r w:rsidRPr="00FD50F6">
        <w:rPr>
          <w:rFonts w:hint="eastAsia"/>
        </w:rPr>
        <w:t>采用全自动运行</w:t>
      </w:r>
      <w:r w:rsidRPr="00FD50F6">
        <w:t>的线路，乘客信息系统</w:t>
      </w:r>
      <w:r w:rsidRPr="00FD50F6">
        <w:rPr>
          <w:rFonts w:hint="eastAsia"/>
        </w:rPr>
        <w:t>宜</w:t>
      </w:r>
      <w:r w:rsidRPr="00FD50F6">
        <w:t>设置</w:t>
      </w:r>
      <w:r w:rsidRPr="00FD50F6">
        <w:rPr>
          <w:rFonts w:hint="eastAsia"/>
        </w:rPr>
        <w:t>线路</w:t>
      </w:r>
      <w:r w:rsidRPr="00FD50F6">
        <w:t>备用中心</w:t>
      </w:r>
      <w:r w:rsidRPr="00FD50F6">
        <w:rPr>
          <w:rFonts w:hint="eastAsia"/>
        </w:rPr>
        <w:t>子系统。</w:t>
      </w:r>
    </w:p>
    <w:p w14:paraId="14296719" w14:textId="77777777" w:rsidR="004846A2" w:rsidRPr="00FD50F6" w:rsidRDefault="004846A2" w:rsidP="00A65181">
      <w:pPr>
        <w:pStyle w:val="2"/>
      </w:pPr>
      <w:bookmarkStart w:id="1050" w:name="TOC95319464"/>
      <w:bookmarkStart w:id="1051" w:name="_Toc306207231"/>
      <w:bookmarkStart w:id="1052" w:name="_Toc306207422"/>
      <w:bookmarkStart w:id="1053" w:name="_Toc320196099"/>
      <w:bookmarkStart w:id="1054" w:name="_Toc320643488"/>
      <w:bookmarkStart w:id="1055" w:name="_Toc344218850"/>
      <w:bookmarkStart w:id="1056" w:name="_Toc112830829"/>
      <w:bookmarkEnd w:id="1050"/>
      <w:r w:rsidRPr="00FD50F6">
        <w:t>系统接口</w:t>
      </w:r>
      <w:bookmarkEnd w:id="1051"/>
      <w:bookmarkEnd w:id="1052"/>
      <w:bookmarkEnd w:id="1053"/>
      <w:bookmarkEnd w:id="1054"/>
      <w:bookmarkEnd w:id="1055"/>
      <w:bookmarkEnd w:id="1056"/>
    </w:p>
    <w:p w14:paraId="1364F816" w14:textId="1F698C28" w:rsidR="004846A2" w:rsidRPr="00FD50F6" w:rsidRDefault="004846A2" w:rsidP="004846A2">
      <w:pPr>
        <w:pStyle w:val="30"/>
      </w:pPr>
      <w:bookmarkStart w:id="1057" w:name="_Toc306207232"/>
      <w:bookmarkStart w:id="1058" w:name="_Toc306207423"/>
      <w:r w:rsidRPr="00FD50F6">
        <w:t>乘客信息系统宜设置与时钟、</w:t>
      </w:r>
      <w:r w:rsidRPr="00FD50F6">
        <w:rPr>
          <w:rFonts w:hint="eastAsia"/>
        </w:rPr>
        <w:t>A</w:t>
      </w:r>
      <w:r w:rsidRPr="00FD50F6">
        <w:t>TS</w:t>
      </w:r>
      <w:r w:rsidRPr="00FD50F6">
        <w:t>、综合监控等地铁内部</w:t>
      </w:r>
      <w:r w:rsidRPr="00FD50F6">
        <w:rPr>
          <w:rFonts w:hint="eastAsia"/>
        </w:rPr>
        <w:t>系统</w:t>
      </w:r>
      <w:r w:rsidRPr="00FD50F6">
        <w:t>接口，并宜设置与数字电视、有线电视等外部信息源接口。</w:t>
      </w:r>
      <w:bookmarkEnd w:id="1057"/>
      <w:bookmarkEnd w:id="1058"/>
    </w:p>
    <w:p w14:paraId="238E1AD7" w14:textId="7BDD6950" w:rsidR="004846A2" w:rsidRPr="00FD50F6" w:rsidRDefault="004846A2" w:rsidP="004846A2">
      <w:pPr>
        <w:pStyle w:val="30"/>
        <w:rPr>
          <w:kern w:val="28"/>
        </w:rPr>
      </w:pPr>
      <w:bookmarkStart w:id="1059" w:name="_Toc306207233"/>
      <w:bookmarkStart w:id="1060" w:name="_Toc306207424"/>
      <w:r w:rsidRPr="00FD50F6">
        <w:t>乘客信息系统与时钟系统接口应</w:t>
      </w:r>
      <w:r w:rsidRPr="00FD50F6">
        <w:rPr>
          <w:rFonts w:hint="eastAsia"/>
        </w:rPr>
        <w:t>能</w:t>
      </w:r>
      <w:r w:rsidRPr="00FD50F6">
        <w:t>在终端显示设备上为乘客提供标准时</w:t>
      </w:r>
      <w:r w:rsidRPr="00FD50F6">
        <w:lastRenderedPageBreak/>
        <w:t>间信息。时间信息显示方式可为数字式或模拟指针式。</w:t>
      </w:r>
      <w:bookmarkEnd w:id="1059"/>
      <w:bookmarkEnd w:id="1060"/>
    </w:p>
    <w:p w14:paraId="1DA88273" w14:textId="074D53A8" w:rsidR="004846A2" w:rsidRPr="00FD50F6" w:rsidRDefault="004846A2" w:rsidP="004846A2">
      <w:pPr>
        <w:pStyle w:val="30"/>
        <w:rPr>
          <w:kern w:val="28"/>
        </w:rPr>
      </w:pPr>
      <w:bookmarkStart w:id="1061" w:name="_Toc306207234"/>
      <w:bookmarkStart w:id="1062" w:name="_Toc306207425"/>
      <w:r w:rsidRPr="00FD50F6">
        <w:t>乘客信息系统与信号系统接口应</w:t>
      </w:r>
      <w:r w:rsidRPr="00FD50F6">
        <w:rPr>
          <w:rFonts w:hint="eastAsia"/>
        </w:rPr>
        <w:t>能通过</w:t>
      </w:r>
      <w:r w:rsidRPr="00FD50F6">
        <w:t>接收</w:t>
      </w:r>
      <w:r w:rsidRPr="00FD50F6">
        <w:t>ATS</w:t>
      </w:r>
      <w:r w:rsidRPr="00FD50F6">
        <w:t>信息向乘客提供列车到站时间</w:t>
      </w:r>
      <w:r w:rsidRPr="00FD50F6">
        <w:rPr>
          <w:rFonts w:hint="eastAsia"/>
        </w:rPr>
        <w:t>。</w:t>
      </w:r>
      <w:bookmarkEnd w:id="1061"/>
      <w:bookmarkEnd w:id="1062"/>
    </w:p>
    <w:p w14:paraId="64A12F2C" w14:textId="7B89BE5A" w:rsidR="004846A2" w:rsidRPr="00FD50F6" w:rsidRDefault="004846A2" w:rsidP="004846A2">
      <w:pPr>
        <w:pStyle w:val="30"/>
      </w:pPr>
      <w:bookmarkStart w:id="1063" w:name="_Toc306207235"/>
      <w:bookmarkStart w:id="1064" w:name="_Toc306207426"/>
      <w:r w:rsidRPr="00FD50F6">
        <w:t>乘客信息系统与综合监控系统接口应能接受综合监控</w:t>
      </w:r>
      <w:r w:rsidRPr="00FD50F6">
        <w:rPr>
          <w:rFonts w:hint="eastAsia"/>
        </w:rPr>
        <w:t>指令</w:t>
      </w:r>
      <w:r w:rsidR="004123E5">
        <w:rPr>
          <w:rFonts w:hint="eastAsia"/>
        </w:rPr>
        <w:t>，并应</w:t>
      </w:r>
      <w:r w:rsidRPr="00FD50F6">
        <w:rPr>
          <w:rFonts w:hint="eastAsia"/>
        </w:rPr>
        <w:t>将</w:t>
      </w:r>
      <w:r w:rsidRPr="00FD50F6">
        <w:t>信息在指定的时间、地点、区域显示，</w:t>
      </w:r>
      <w:r w:rsidR="004123E5">
        <w:t>同时</w:t>
      </w:r>
      <w:r w:rsidRPr="00FD50F6">
        <w:t>应将本系统</w:t>
      </w:r>
      <w:r w:rsidRPr="00FD50F6">
        <w:rPr>
          <w:rFonts w:hint="eastAsia"/>
        </w:rPr>
        <w:t>主要</w:t>
      </w:r>
      <w:r w:rsidRPr="00FD50F6">
        <w:t>设备</w:t>
      </w:r>
      <w:r w:rsidRPr="00FD50F6">
        <w:rPr>
          <w:rFonts w:hint="eastAsia"/>
        </w:rPr>
        <w:t>的</w:t>
      </w:r>
      <w:r w:rsidRPr="00FD50F6">
        <w:t>工作状态和故障报警信息上传给综合监控系统。</w:t>
      </w:r>
      <w:bookmarkEnd w:id="1063"/>
      <w:bookmarkEnd w:id="1064"/>
    </w:p>
    <w:p w14:paraId="169B8A12" w14:textId="4832FCFE" w:rsidR="004846A2" w:rsidRPr="00FD50F6" w:rsidRDefault="004846A2" w:rsidP="004846A2">
      <w:pPr>
        <w:pStyle w:val="30"/>
        <w:rPr>
          <w:kern w:val="28"/>
        </w:rPr>
      </w:pPr>
      <w:bookmarkStart w:id="1065" w:name="_Toc306207236"/>
      <w:bookmarkStart w:id="1066" w:name="_Toc306207427"/>
      <w:r w:rsidRPr="00FD50F6">
        <w:t>乘客信息系统与外部信息源接口应能接收外部信息源的信号，并应向乘客提供全面、实时的信息。</w:t>
      </w:r>
      <w:bookmarkEnd w:id="1065"/>
      <w:bookmarkEnd w:id="1066"/>
    </w:p>
    <w:p w14:paraId="680C9B45" w14:textId="77777777" w:rsidR="004846A2" w:rsidRPr="00FD50F6" w:rsidRDefault="004846A2" w:rsidP="00A65181">
      <w:pPr>
        <w:pStyle w:val="2"/>
      </w:pPr>
      <w:bookmarkStart w:id="1067" w:name="_Toc306207237"/>
      <w:bookmarkStart w:id="1068" w:name="_Toc306207428"/>
      <w:bookmarkStart w:id="1069" w:name="_Toc320196100"/>
      <w:bookmarkStart w:id="1070" w:name="_Toc320643489"/>
      <w:bookmarkStart w:id="1071" w:name="_Toc344218851"/>
      <w:bookmarkStart w:id="1072" w:name="_Toc112830830"/>
      <w:r w:rsidRPr="00FD50F6">
        <w:t>供电与接地</w:t>
      </w:r>
      <w:bookmarkEnd w:id="1067"/>
      <w:bookmarkEnd w:id="1068"/>
      <w:bookmarkEnd w:id="1069"/>
      <w:bookmarkEnd w:id="1070"/>
      <w:bookmarkEnd w:id="1071"/>
      <w:r w:rsidRPr="00FD50F6">
        <w:rPr>
          <w:rFonts w:hint="eastAsia"/>
        </w:rPr>
        <w:t>、防雷</w:t>
      </w:r>
      <w:bookmarkEnd w:id="1072"/>
    </w:p>
    <w:p w14:paraId="46AD91E3" w14:textId="1C48AB1C" w:rsidR="004846A2" w:rsidRPr="00FD50F6" w:rsidRDefault="004846A2" w:rsidP="004846A2">
      <w:pPr>
        <w:pStyle w:val="30"/>
        <w:rPr>
          <w:kern w:val="28"/>
        </w:rPr>
      </w:pPr>
      <w:bookmarkStart w:id="1073" w:name="_Toc306207238"/>
      <w:bookmarkStart w:id="1074" w:name="_Toc306207429"/>
      <w:r w:rsidRPr="00FD50F6">
        <w:t>乘客信息系统负荷等级宜为</w:t>
      </w:r>
      <w:r w:rsidRPr="00FD50F6">
        <w:rPr>
          <w:rFonts w:hint="eastAsia"/>
        </w:rPr>
        <w:t>一</w:t>
      </w:r>
      <w:r w:rsidRPr="00FD50F6">
        <w:t>级</w:t>
      </w:r>
      <w:r w:rsidRPr="00FD50F6">
        <w:rPr>
          <w:rFonts w:hint="eastAsia"/>
        </w:rPr>
        <w:t>，</w:t>
      </w:r>
      <w:r w:rsidRPr="00FD50F6">
        <w:rPr>
          <w:rFonts w:ascii="宋体" w:hAnsi="宋体" w:cs="宋体" w:hint="eastAsia"/>
        </w:rPr>
        <w:t>并应配置</w:t>
      </w:r>
      <w:r w:rsidRPr="00FD50F6">
        <w:rPr>
          <w:rFonts w:eastAsia="HEITI SC LIGHT"/>
        </w:rPr>
        <w:t>UPS</w:t>
      </w:r>
      <w:r w:rsidRPr="00FD50F6">
        <w:rPr>
          <w:rFonts w:ascii="宋体" w:hAnsi="宋体" w:cs="宋体" w:hint="eastAsia"/>
        </w:rPr>
        <w:t>电源，后备时间不应少于</w:t>
      </w:r>
      <w:r w:rsidRPr="00FD50F6">
        <w:rPr>
          <w:rFonts w:eastAsia="HEITI SC LIGHT"/>
        </w:rPr>
        <w:t>1</w:t>
      </w:r>
      <w:r w:rsidRPr="00FD50F6">
        <w:rPr>
          <w:rFonts w:hint="eastAsia"/>
        </w:rPr>
        <w:t>h</w:t>
      </w:r>
      <w:r w:rsidRPr="00FD50F6">
        <w:rPr>
          <w:rFonts w:ascii="宋体" w:hAnsi="宋体" w:cs="宋体" w:hint="eastAsia"/>
        </w:rPr>
        <w:t>。</w:t>
      </w:r>
      <w:bookmarkEnd w:id="1073"/>
      <w:bookmarkEnd w:id="1074"/>
    </w:p>
    <w:p w14:paraId="0BC299EB" w14:textId="77777777" w:rsidR="004846A2" w:rsidRPr="00FD50F6" w:rsidRDefault="004846A2" w:rsidP="004846A2">
      <w:pPr>
        <w:pStyle w:val="30"/>
      </w:pPr>
      <w:bookmarkStart w:id="1075" w:name="_Toc306207239"/>
      <w:bookmarkStart w:id="1076" w:name="_Toc306207430"/>
      <w:r w:rsidRPr="00FD50F6">
        <w:t>乘客信息系统应采用综合接地，接地电阻不应大于</w:t>
      </w:r>
      <w:r w:rsidRPr="00FD50F6">
        <w:t>1Ω</w:t>
      </w:r>
      <w:r w:rsidRPr="00FD50F6">
        <w:t>。</w:t>
      </w:r>
      <w:bookmarkEnd w:id="1075"/>
      <w:bookmarkEnd w:id="1076"/>
    </w:p>
    <w:p w14:paraId="161ED35E" w14:textId="261445E5" w:rsidR="00783BFC" w:rsidRPr="00FD50F6" w:rsidRDefault="004846A2" w:rsidP="004846A2">
      <w:pPr>
        <w:pStyle w:val="30"/>
      </w:pPr>
      <w:r w:rsidRPr="00FD50F6">
        <w:rPr>
          <w:rFonts w:hint="eastAsia"/>
        </w:rPr>
        <w:t>乘客</w:t>
      </w:r>
      <w:r w:rsidRPr="00FD50F6">
        <w:t>信息系统防雷应满足现行国家标准《</w:t>
      </w:r>
      <w:r w:rsidRPr="00FD50F6">
        <w:rPr>
          <w:rFonts w:hint="eastAsia"/>
        </w:rPr>
        <w:t>建筑物</w:t>
      </w:r>
      <w:r w:rsidRPr="00FD50F6">
        <w:t>电子信息系统防雷技术规范》</w:t>
      </w:r>
      <w:r w:rsidRPr="00FD50F6">
        <w:rPr>
          <w:rFonts w:hint="eastAsia"/>
        </w:rPr>
        <w:t>GB</w:t>
      </w:r>
      <w:r w:rsidRPr="00FD50F6">
        <w:t xml:space="preserve"> </w:t>
      </w:r>
      <w:r w:rsidRPr="00FD50F6">
        <w:rPr>
          <w:rFonts w:hint="eastAsia"/>
        </w:rPr>
        <w:t>50343</w:t>
      </w:r>
      <w:r w:rsidRPr="00FD50F6">
        <w:t>的规定。</w:t>
      </w:r>
    </w:p>
    <w:p w14:paraId="5D9F88B3" w14:textId="4C4C3503" w:rsidR="00D70A4C" w:rsidRPr="00FD50F6" w:rsidRDefault="00D70A4C">
      <w:pPr>
        <w:widowControl/>
        <w:spacing w:line="240" w:lineRule="auto"/>
        <w:jc w:val="left"/>
      </w:pPr>
      <w:r w:rsidRPr="00FD50F6">
        <w:br w:type="page"/>
      </w:r>
    </w:p>
    <w:p w14:paraId="15669A26" w14:textId="77777777" w:rsidR="002E187E" w:rsidRPr="00FD50F6" w:rsidRDefault="002E187E" w:rsidP="002E187E">
      <w:pPr>
        <w:pStyle w:val="12"/>
      </w:pPr>
      <w:bookmarkStart w:id="1077" w:name="_Toc112830831"/>
      <w:bookmarkStart w:id="1078" w:name="_Toc320196103"/>
      <w:bookmarkStart w:id="1079" w:name="_Toc306207436"/>
      <w:bookmarkStart w:id="1080" w:name="_Toc344218854"/>
      <w:bookmarkStart w:id="1081" w:name="_Toc306207245"/>
      <w:bookmarkStart w:id="1082" w:name="_Toc320643492"/>
      <w:bookmarkStart w:id="1083" w:name="_Toc236496124"/>
      <w:bookmarkStart w:id="1084" w:name="_Toc236799584"/>
      <w:r w:rsidRPr="00FD50F6">
        <w:rPr>
          <w:rFonts w:hint="eastAsia"/>
        </w:rPr>
        <w:lastRenderedPageBreak/>
        <w:t>安全防范</w:t>
      </w:r>
      <w:bookmarkEnd w:id="1077"/>
    </w:p>
    <w:p w14:paraId="1C34660B" w14:textId="77777777" w:rsidR="002E187E" w:rsidRPr="00FD50F6" w:rsidRDefault="002E187E" w:rsidP="00010C49">
      <w:pPr>
        <w:pStyle w:val="2"/>
        <w:numPr>
          <w:ilvl w:val="1"/>
          <w:numId w:val="32"/>
        </w:numPr>
      </w:pPr>
      <w:bookmarkStart w:id="1085" w:name="_Toc112830832"/>
      <w:r w:rsidRPr="00FD50F6">
        <w:rPr>
          <w:rFonts w:hint="eastAsia"/>
        </w:rPr>
        <w:t>一般规定</w:t>
      </w:r>
      <w:bookmarkEnd w:id="1085"/>
    </w:p>
    <w:p w14:paraId="213B7D5A" w14:textId="4DD930DA" w:rsidR="002E187E" w:rsidRPr="00FD50F6" w:rsidRDefault="002E187E" w:rsidP="002E187E">
      <w:pPr>
        <w:pStyle w:val="30"/>
      </w:pPr>
      <w:r w:rsidRPr="00FD50F6">
        <w:rPr>
          <w:rFonts w:hint="eastAsia"/>
        </w:rPr>
        <w:t>地铁车站、控制中心、车辆基地、主变电所、中间风井、集中冷站及列车等重要设施应设置安防监控系统，满足防护对象的安全防范要求。</w:t>
      </w:r>
    </w:p>
    <w:p w14:paraId="0244B8DF" w14:textId="77777777" w:rsidR="002E187E" w:rsidRPr="00FD50F6" w:rsidRDefault="002E187E" w:rsidP="001A4CF3">
      <w:pPr>
        <w:pStyle w:val="30"/>
        <w:adjustRightInd w:val="0"/>
        <w:snapToGrid w:val="0"/>
      </w:pPr>
      <w:r w:rsidRPr="00FD50F6">
        <w:rPr>
          <w:rFonts w:hint="eastAsia"/>
        </w:rPr>
        <w:t>安防监控系统的设计应以安全防范为主、防抗救相结合，应以常态安防和非常态安防救助相统一，应从注重灾后救助向注重灾前预防转变，应从对单一灾种向综合减灾转变，从减少安防损失向减轻安防风险转变；应遵循国家有关方针、政策，并针对地铁保护对象特点，做到安全可靠、技术先进、经济合理。</w:t>
      </w:r>
    </w:p>
    <w:p w14:paraId="2174E7F4" w14:textId="4C78831E" w:rsidR="002E187E" w:rsidRPr="00FD50F6" w:rsidRDefault="002E187E" w:rsidP="001A4CF3">
      <w:pPr>
        <w:pStyle w:val="30"/>
        <w:adjustRightInd w:val="0"/>
        <w:snapToGrid w:val="0"/>
      </w:pPr>
      <w:r w:rsidRPr="00FD50F6">
        <w:rPr>
          <w:rFonts w:hint="eastAsia"/>
        </w:rPr>
        <w:t>安防监控系统应包含门禁、视频监控、入侵报警系统、安全检查及探测系统、电子巡查系统及安防集成平台。</w:t>
      </w:r>
    </w:p>
    <w:p w14:paraId="66AC6500" w14:textId="3A69ECAB" w:rsidR="002E187E" w:rsidRPr="00FD50F6" w:rsidRDefault="002E187E" w:rsidP="001A4CF3">
      <w:pPr>
        <w:pStyle w:val="30"/>
        <w:adjustRightInd w:val="0"/>
        <w:snapToGrid w:val="0"/>
      </w:pPr>
      <w:r w:rsidRPr="00FD50F6">
        <w:rPr>
          <w:rFonts w:hint="eastAsia"/>
        </w:rPr>
        <w:t>安全防范应具有高可靠性、安全性、开放性、扩展性，信息应能互联互通。</w:t>
      </w:r>
    </w:p>
    <w:p w14:paraId="7EAB9C98" w14:textId="464AEC11" w:rsidR="002E187E" w:rsidRPr="00FD50F6" w:rsidRDefault="002E187E" w:rsidP="00A65181">
      <w:pPr>
        <w:pStyle w:val="2"/>
      </w:pPr>
      <w:bookmarkStart w:id="1086" w:name="_Toc112830833"/>
      <w:r w:rsidRPr="00FD50F6">
        <w:rPr>
          <w:rFonts w:hint="eastAsia"/>
        </w:rPr>
        <w:t>安防集成平台</w:t>
      </w:r>
      <w:bookmarkEnd w:id="1086"/>
    </w:p>
    <w:p w14:paraId="18A36D21" w14:textId="734DD9EA" w:rsidR="002E187E" w:rsidRPr="00FD50F6" w:rsidRDefault="002E187E" w:rsidP="001A4CF3">
      <w:pPr>
        <w:pStyle w:val="30"/>
        <w:adjustRightInd w:val="0"/>
        <w:snapToGrid w:val="0"/>
      </w:pPr>
      <w:r w:rsidRPr="00FD50F6">
        <w:rPr>
          <w:rFonts w:hint="eastAsia"/>
        </w:rPr>
        <w:t>在车辆基地、运营控制中心车站应设置安防集成平台。</w:t>
      </w:r>
    </w:p>
    <w:p w14:paraId="64DD09B9" w14:textId="0CADE491" w:rsidR="002E187E" w:rsidRPr="00FD50F6" w:rsidRDefault="002E187E" w:rsidP="001A4CF3">
      <w:pPr>
        <w:pStyle w:val="30"/>
        <w:adjustRightInd w:val="0"/>
        <w:snapToGrid w:val="0"/>
      </w:pPr>
      <w:r w:rsidRPr="00FD50F6">
        <w:rPr>
          <w:rFonts w:hint="eastAsia"/>
        </w:rPr>
        <w:t>安防集成平台应实现对门禁、视频监控、入侵报警系统、安全检查及探测系统、电子巡查系统等安防子系统的集中控制与统一管理。</w:t>
      </w:r>
    </w:p>
    <w:p w14:paraId="0ECAF592" w14:textId="77777777" w:rsidR="002E187E" w:rsidRPr="00FD50F6" w:rsidRDefault="002E187E" w:rsidP="001A4CF3">
      <w:pPr>
        <w:adjustRightInd w:val="0"/>
        <w:snapToGrid w:val="0"/>
      </w:pPr>
    </w:p>
    <w:p w14:paraId="1B3BA314" w14:textId="56FA9DAE" w:rsidR="002E187E" w:rsidRPr="00FD50F6" w:rsidRDefault="002E187E" w:rsidP="001A4CF3">
      <w:pPr>
        <w:pStyle w:val="30"/>
        <w:adjustRightInd w:val="0"/>
        <w:snapToGrid w:val="0"/>
      </w:pPr>
      <w:r w:rsidRPr="00FD50F6">
        <w:rPr>
          <w:rFonts w:hint="eastAsia"/>
        </w:rPr>
        <w:t>安防集成平台宜具有系统集成、联动控制、权限管理、存储管理、检索与回放、设备管理、统计分析、系统校时、指挥调度等功能。</w:t>
      </w:r>
    </w:p>
    <w:p w14:paraId="59EC0337" w14:textId="77777777" w:rsidR="002E187E" w:rsidRPr="00FD50F6" w:rsidRDefault="002E187E" w:rsidP="001A4CF3">
      <w:pPr>
        <w:pStyle w:val="30"/>
        <w:adjustRightInd w:val="0"/>
        <w:snapToGrid w:val="0"/>
        <w:ind w:left="17" w:hangingChars="7" w:hanging="17"/>
      </w:pPr>
      <w:r w:rsidRPr="00FD50F6">
        <w:rPr>
          <w:rFonts w:asciiTheme="minorHAnsi" w:hAnsiTheme="minorHAnsi" w:hint="eastAsia"/>
        </w:rPr>
        <w:t>安防集成平台的功能</w:t>
      </w:r>
      <w:r w:rsidRPr="00FD50F6">
        <w:rPr>
          <w:rFonts w:hint="eastAsia"/>
        </w:rPr>
        <w:t>及性能</w:t>
      </w:r>
      <w:r w:rsidRPr="00FD50F6">
        <w:rPr>
          <w:rFonts w:asciiTheme="minorHAnsi" w:hAnsiTheme="minorHAnsi" w:hint="eastAsia"/>
        </w:rPr>
        <w:t>应满足《城市轨道交通</w:t>
      </w:r>
      <w:r w:rsidRPr="00FD50F6">
        <w:rPr>
          <w:rFonts w:hint="eastAsia"/>
        </w:rPr>
        <w:t>公共安全防范系统工程技术规范</w:t>
      </w:r>
      <w:r w:rsidRPr="00FD50F6">
        <w:rPr>
          <w:rFonts w:asciiTheme="minorHAnsi" w:hAnsiTheme="minorHAnsi" w:hint="eastAsia"/>
        </w:rPr>
        <w:t>》（</w:t>
      </w:r>
      <w:r w:rsidRPr="00FD50F6">
        <w:rPr>
          <w:rFonts w:asciiTheme="minorHAnsi" w:hAnsiTheme="minorHAnsi" w:hint="eastAsia"/>
        </w:rPr>
        <w:t>G</w:t>
      </w:r>
      <w:r w:rsidRPr="00FD50F6">
        <w:rPr>
          <w:rFonts w:hint="eastAsia"/>
        </w:rPr>
        <w:t>B51151</w:t>
      </w:r>
      <w:r w:rsidRPr="00FD50F6">
        <w:rPr>
          <w:rFonts w:asciiTheme="minorHAnsi" w:hAnsiTheme="minorHAnsi" w:hint="eastAsia"/>
        </w:rPr>
        <w:t>）的相关要求。</w:t>
      </w:r>
    </w:p>
    <w:p w14:paraId="5759C140" w14:textId="021540A0" w:rsidR="002E187E" w:rsidRDefault="002E187E" w:rsidP="001A4CF3">
      <w:pPr>
        <w:pStyle w:val="30"/>
        <w:adjustRightInd w:val="0"/>
        <w:snapToGrid w:val="0"/>
      </w:pPr>
      <w:r w:rsidRPr="00FD50F6">
        <w:rPr>
          <w:rFonts w:hint="eastAsia"/>
        </w:rPr>
        <w:t>当安防集成平台独立设置时，应预留与</w:t>
      </w:r>
      <w:r w:rsidR="006F70EE">
        <w:rPr>
          <w:rFonts w:hint="eastAsia"/>
        </w:rPr>
        <w:t>其他</w:t>
      </w:r>
      <w:r w:rsidRPr="00FD50F6">
        <w:rPr>
          <w:rFonts w:hint="eastAsia"/>
        </w:rPr>
        <w:t>相关信息系统联网的接口。</w:t>
      </w:r>
    </w:p>
    <w:p w14:paraId="4888D45D" w14:textId="77777777" w:rsidR="00BD4557" w:rsidRDefault="00BD4557" w:rsidP="00BD4557"/>
    <w:p w14:paraId="4447D6FE" w14:textId="77777777" w:rsidR="00BD4557" w:rsidRPr="00BD4557" w:rsidRDefault="00BD4557" w:rsidP="00BD4557"/>
    <w:p w14:paraId="29579E46" w14:textId="77777777" w:rsidR="002E187E" w:rsidRPr="00FD50F6" w:rsidRDefault="002E187E" w:rsidP="00A65181">
      <w:pPr>
        <w:pStyle w:val="2"/>
      </w:pPr>
      <w:bookmarkStart w:id="1087" w:name="_Toc112830834"/>
      <w:r w:rsidRPr="00FD50F6">
        <w:rPr>
          <w:rFonts w:hint="eastAsia"/>
        </w:rPr>
        <w:t>门禁</w:t>
      </w:r>
      <w:bookmarkEnd w:id="1087"/>
    </w:p>
    <w:p w14:paraId="215FBE18" w14:textId="77777777" w:rsidR="002E187E" w:rsidRPr="00FD50F6" w:rsidRDefault="002E187E" w:rsidP="002E187E">
      <w:pPr>
        <w:keepNext/>
        <w:keepLines/>
        <w:spacing w:beforeLines="50" w:before="120" w:afterLines="50" w:after="120"/>
        <w:jc w:val="center"/>
        <w:outlineLvl w:val="2"/>
        <w:rPr>
          <w:rFonts w:ascii="Calibri" w:hAnsi="Calibri" w:cs="Times New Roman"/>
          <w:b/>
          <w:szCs w:val="32"/>
        </w:rPr>
      </w:pPr>
      <w:r w:rsidRPr="00FD50F6">
        <w:rPr>
          <w:rFonts w:ascii="Calibri" w:hAnsi="Calibri" w:cs="Times New Roman" w:hint="eastAsia"/>
          <w:b/>
          <w:szCs w:val="32"/>
        </w:rPr>
        <w:lastRenderedPageBreak/>
        <w:t>Ⅰ</w:t>
      </w:r>
      <w:r w:rsidRPr="00FD50F6">
        <w:rPr>
          <w:rFonts w:ascii="Calibri" w:hAnsi="Calibri" w:cs="Times New Roman"/>
          <w:b/>
          <w:szCs w:val="32"/>
        </w:rPr>
        <w:t>一般规定</w:t>
      </w:r>
      <w:bookmarkEnd w:id="1078"/>
      <w:bookmarkEnd w:id="1079"/>
      <w:bookmarkEnd w:id="1080"/>
      <w:bookmarkEnd w:id="1081"/>
      <w:bookmarkEnd w:id="1082"/>
      <w:bookmarkEnd w:id="1083"/>
      <w:bookmarkEnd w:id="1084"/>
    </w:p>
    <w:p w14:paraId="710C7050" w14:textId="77777777" w:rsidR="002E187E" w:rsidRPr="00FD50F6" w:rsidRDefault="002E187E" w:rsidP="002E187E">
      <w:pPr>
        <w:pStyle w:val="30"/>
      </w:pPr>
      <w:r w:rsidRPr="00FD50F6">
        <w:t>涉及安全的</w:t>
      </w:r>
      <w:r w:rsidRPr="00FD50F6">
        <w:rPr>
          <w:rFonts w:hint="eastAsia"/>
        </w:rPr>
        <w:t>地铁车站、控制中心、车辆基地、主变电所、中间风井等</w:t>
      </w:r>
      <w:r w:rsidRPr="00FD50F6">
        <w:t>重要</w:t>
      </w:r>
      <w:r w:rsidRPr="00FD50F6">
        <w:rPr>
          <w:rFonts w:hint="eastAsia"/>
        </w:rPr>
        <w:t>建筑</w:t>
      </w:r>
      <w:r w:rsidRPr="00FD50F6">
        <w:t>设施的通道门、设备及管理用房门应设门禁。</w:t>
      </w:r>
    </w:p>
    <w:p w14:paraId="053DA5DA" w14:textId="67EC1793" w:rsidR="002E187E" w:rsidRPr="00FD50F6" w:rsidRDefault="002E187E" w:rsidP="002E187E">
      <w:pPr>
        <w:pStyle w:val="30"/>
      </w:pPr>
      <w:r w:rsidRPr="00FD50F6">
        <w:t>门禁系统应具有出入口监控和安全管理等功能，也可设置其他功能。</w:t>
      </w:r>
    </w:p>
    <w:p w14:paraId="2910482E" w14:textId="67515D82" w:rsidR="002E187E" w:rsidRPr="00FD50F6" w:rsidRDefault="002E187E" w:rsidP="002E187E">
      <w:pPr>
        <w:pStyle w:val="30"/>
      </w:pPr>
      <w:r w:rsidRPr="00FD50F6">
        <w:t>门禁系统构成、设备配置和布置应与运营管理模式相适应。</w:t>
      </w:r>
    </w:p>
    <w:p w14:paraId="70ADD816" w14:textId="77777777" w:rsidR="002E187E" w:rsidRPr="00FD50F6" w:rsidRDefault="002E187E" w:rsidP="002E187E">
      <w:pPr>
        <w:pStyle w:val="30"/>
      </w:pPr>
      <w:r w:rsidRPr="00FD50F6">
        <w:t>线网内门禁系统宜实现</w:t>
      </w:r>
      <w:r w:rsidRPr="00FD50F6">
        <w:rPr>
          <w:rFonts w:hint="eastAsia"/>
        </w:rPr>
        <w:t>线网或者线路</w:t>
      </w:r>
      <w:r w:rsidRPr="00FD50F6">
        <w:t>统一授权管理，并应遵循统一的系统标准。</w:t>
      </w:r>
    </w:p>
    <w:p w14:paraId="5847B9DA" w14:textId="21612A6D" w:rsidR="002E187E" w:rsidRPr="00FD50F6" w:rsidRDefault="002E187E" w:rsidP="002E187E">
      <w:pPr>
        <w:pStyle w:val="30"/>
      </w:pPr>
      <w:r w:rsidRPr="00FD50F6">
        <w:t>门禁系统应按集中管理、分级控制的方式设计。应统一管理合法持卡人的访问权限，可根据需要设置线网中</w:t>
      </w:r>
      <w:r w:rsidRPr="00FD50F6">
        <w:rPr>
          <w:rFonts w:hint="eastAsia"/>
        </w:rPr>
        <w:t>心</w:t>
      </w:r>
      <w:r w:rsidRPr="00FD50F6">
        <w:t>级系统、线路中</w:t>
      </w:r>
      <w:r w:rsidRPr="00FD50F6">
        <w:rPr>
          <w:rFonts w:hint="eastAsia"/>
        </w:rPr>
        <w:t>心</w:t>
      </w:r>
      <w:r w:rsidRPr="00FD50F6">
        <w:t>级系统和车站级系统三级监控管理系统，或线网中</w:t>
      </w:r>
      <w:r w:rsidRPr="00FD50F6">
        <w:rPr>
          <w:rFonts w:hint="eastAsia"/>
        </w:rPr>
        <w:t>心</w:t>
      </w:r>
      <w:r w:rsidRPr="00FD50F6">
        <w:t>级系统和车站级系统两级监控管理系统，并宜集中设置授权工作点。</w:t>
      </w:r>
    </w:p>
    <w:p w14:paraId="52B1D5C2" w14:textId="77777777" w:rsidR="002E187E" w:rsidRPr="00FD50F6" w:rsidRDefault="002E187E" w:rsidP="002E187E">
      <w:pPr>
        <w:pStyle w:val="30"/>
      </w:pPr>
      <w:r w:rsidRPr="00FD50F6">
        <w:t>门禁系统规模应与线网规划相适应，并应确定线路、车站和监控对象的数量，以及监控对象的安全等级、授权人数及发卡量，并应留有</w:t>
      </w:r>
      <w:r w:rsidRPr="00FD50F6">
        <w:rPr>
          <w:rFonts w:hint="eastAsia"/>
        </w:rPr>
        <w:t>裕</w:t>
      </w:r>
      <w:r w:rsidRPr="00FD50F6">
        <w:t>量。</w:t>
      </w:r>
    </w:p>
    <w:p w14:paraId="0B624D18" w14:textId="27A5659A" w:rsidR="002E187E" w:rsidRPr="00FD50F6" w:rsidRDefault="002E187E" w:rsidP="002E187E">
      <w:pPr>
        <w:pStyle w:val="30"/>
      </w:pPr>
      <w:r w:rsidRPr="00FD50F6">
        <w:t>设有门禁装置的通道门、设备及管理用房门的电子锁应满足防冲撞和消防疏散的要求。</w:t>
      </w:r>
      <w:r w:rsidRPr="00FD50F6">
        <w:rPr>
          <w:rFonts w:hint="eastAsia"/>
        </w:rPr>
        <w:t>电子锁应具备断电自动释放功能，设备及管理用房门电子锁还应具备手动机械解锁功能。</w:t>
      </w:r>
    </w:p>
    <w:p w14:paraId="55344E7C" w14:textId="77777777" w:rsidR="002E187E" w:rsidRPr="00FD50F6" w:rsidRDefault="002E187E" w:rsidP="002E187E">
      <w:pPr>
        <w:pStyle w:val="30"/>
      </w:pPr>
      <w:r w:rsidRPr="00FD50F6">
        <w:rPr>
          <w:rFonts w:hint="eastAsia"/>
        </w:rPr>
        <w:t>门禁系统应实现与火灾自动报警系统的联动控制。车站控制室综合后备控制盘（</w:t>
      </w:r>
      <w:r w:rsidRPr="00FD50F6">
        <w:t>IBP</w:t>
      </w:r>
      <w:r w:rsidRPr="00FD50F6">
        <w:rPr>
          <w:rFonts w:hint="eastAsia"/>
        </w:rPr>
        <w:t>）上应设置门禁紧急开门控制按钮，并应具备手动、自动切换功能。</w:t>
      </w:r>
    </w:p>
    <w:p w14:paraId="52B3D0CC" w14:textId="0F377BCC" w:rsidR="002E187E" w:rsidRPr="00FD50F6" w:rsidRDefault="002E187E" w:rsidP="002E187E">
      <w:pPr>
        <w:pStyle w:val="30"/>
      </w:pPr>
      <w:r w:rsidRPr="00FD50F6">
        <w:rPr>
          <w:rFonts w:hint="eastAsia"/>
        </w:rPr>
        <w:t>门禁系统信息安全保护等级宜为二级。</w:t>
      </w:r>
    </w:p>
    <w:p w14:paraId="575E1593" w14:textId="77777777" w:rsidR="002E187E" w:rsidRPr="00FD50F6" w:rsidRDefault="002E187E" w:rsidP="002E187E">
      <w:pPr>
        <w:pStyle w:val="30"/>
      </w:pPr>
      <w:r w:rsidRPr="00FD50F6">
        <w:rPr>
          <w:rFonts w:hint="eastAsia"/>
        </w:rPr>
        <w:t>门禁系统</w:t>
      </w:r>
      <w:r w:rsidRPr="00FD50F6">
        <w:t>车站级以下系统和设备应按工业级标准进行设计，并应满足地铁车站环境的要求。</w:t>
      </w:r>
    </w:p>
    <w:p w14:paraId="4F6E7EB8" w14:textId="77777777" w:rsidR="002E187E" w:rsidRPr="00FD50F6" w:rsidRDefault="002E187E" w:rsidP="002E187E">
      <w:pPr>
        <w:pStyle w:val="30"/>
      </w:pPr>
      <w:r w:rsidRPr="00FD50F6">
        <w:t>门禁系统宜采用员工卡作为授权卡。</w:t>
      </w:r>
    </w:p>
    <w:p w14:paraId="5D003C46" w14:textId="77777777" w:rsidR="002E187E" w:rsidRPr="00FD50F6" w:rsidRDefault="002E187E" w:rsidP="002E187E">
      <w:pPr>
        <w:pStyle w:val="30"/>
      </w:pPr>
      <w:r w:rsidRPr="00FD50F6">
        <w:t>门禁系统应实现线网、线路和车站内的时钟同步。</w:t>
      </w:r>
    </w:p>
    <w:p w14:paraId="6D1524B1" w14:textId="77777777" w:rsidR="002E187E" w:rsidRPr="00FD50F6" w:rsidRDefault="002E187E" w:rsidP="002E187E">
      <w:pPr>
        <w:keepNext/>
        <w:keepLines/>
        <w:tabs>
          <w:tab w:val="left" w:pos="0"/>
        </w:tabs>
        <w:spacing w:beforeLines="50" w:before="120" w:afterLines="50" w:after="120"/>
        <w:jc w:val="center"/>
        <w:outlineLvl w:val="2"/>
        <w:rPr>
          <w:rFonts w:ascii="Calibri" w:hAnsi="Calibri" w:cs="Times New Roman"/>
          <w:b/>
          <w:szCs w:val="32"/>
        </w:rPr>
      </w:pPr>
      <w:bookmarkStart w:id="1088" w:name="_Toc320643493"/>
      <w:bookmarkStart w:id="1089" w:name="_Toc236799585"/>
      <w:bookmarkStart w:id="1090" w:name="_Toc344218855"/>
      <w:bookmarkStart w:id="1091" w:name="_Toc236496125"/>
      <w:bookmarkStart w:id="1092" w:name="_Toc306207246"/>
      <w:bookmarkStart w:id="1093" w:name="_Toc306207437"/>
      <w:bookmarkStart w:id="1094" w:name="_Toc320196104"/>
      <w:r w:rsidRPr="00FD50F6">
        <w:rPr>
          <w:rFonts w:ascii="Calibri" w:hAnsi="Calibri" w:cs="Times New Roman" w:hint="eastAsia"/>
          <w:b/>
          <w:szCs w:val="32"/>
        </w:rPr>
        <w:t>Ⅱ</w:t>
      </w:r>
      <w:r w:rsidRPr="00FD50F6">
        <w:rPr>
          <w:rFonts w:ascii="Calibri" w:hAnsi="Calibri" w:cs="Times New Roman"/>
          <w:b/>
          <w:szCs w:val="32"/>
        </w:rPr>
        <w:t>安全等级和监控对象</w:t>
      </w:r>
      <w:bookmarkEnd w:id="1088"/>
      <w:bookmarkEnd w:id="1089"/>
      <w:bookmarkEnd w:id="1090"/>
      <w:bookmarkEnd w:id="1091"/>
      <w:bookmarkEnd w:id="1092"/>
      <w:bookmarkEnd w:id="1093"/>
      <w:bookmarkEnd w:id="1094"/>
    </w:p>
    <w:p w14:paraId="5F2D7D48" w14:textId="77777777" w:rsidR="002E187E" w:rsidRPr="00FD50F6" w:rsidRDefault="002E187E" w:rsidP="002E187E">
      <w:pPr>
        <w:pStyle w:val="30"/>
      </w:pPr>
      <w:r w:rsidRPr="00FD50F6">
        <w:rPr>
          <w:rFonts w:hint="eastAsia"/>
        </w:rPr>
        <w:t>门禁</w:t>
      </w:r>
      <w:r w:rsidRPr="00FD50F6">
        <w:t>系统设计应明确监控管理的对象和安全等级。</w:t>
      </w:r>
    </w:p>
    <w:p w14:paraId="6F2C0B0B" w14:textId="77777777" w:rsidR="002E187E" w:rsidRPr="00FD50F6" w:rsidRDefault="002E187E" w:rsidP="002E187E">
      <w:pPr>
        <w:pStyle w:val="30"/>
      </w:pPr>
      <w:r w:rsidRPr="00FD50F6">
        <w:t>各安全等级的配置应符合下列规定：</w:t>
      </w:r>
    </w:p>
    <w:p w14:paraId="07B0A7AD" w14:textId="783EEB35" w:rsidR="002E187E" w:rsidRPr="00FD50F6" w:rsidRDefault="00E65C54" w:rsidP="00A926BD">
      <w:pPr>
        <w:pStyle w:val="4"/>
      </w:pPr>
      <w:r>
        <w:rPr>
          <w:rFonts w:hint="eastAsia"/>
        </w:rPr>
        <w:t>当</w:t>
      </w:r>
      <w:r w:rsidR="002E187E" w:rsidRPr="00FD50F6">
        <w:t>一级设双向读卡器</w:t>
      </w:r>
      <w:r w:rsidR="005C318A">
        <w:t>时</w:t>
      </w:r>
      <w:r w:rsidR="002E187E" w:rsidRPr="00FD50F6">
        <w:t>，进门侧</w:t>
      </w:r>
      <w:r w:rsidR="002E187E" w:rsidRPr="00FD50F6">
        <w:rPr>
          <w:rFonts w:hint="eastAsia"/>
        </w:rPr>
        <w:t>应</w:t>
      </w:r>
      <w:r w:rsidR="002E187E" w:rsidRPr="00FD50F6">
        <w:t>设密码键盘或</w:t>
      </w:r>
      <w:r w:rsidR="002E187E" w:rsidRPr="00FD50F6">
        <w:rPr>
          <w:rFonts w:hint="eastAsia"/>
        </w:rPr>
        <w:t>生物</w:t>
      </w:r>
      <w:r w:rsidR="002E187E" w:rsidRPr="00FD50F6">
        <w:t>识别</w:t>
      </w:r>
      <w:r w:rsidR="002E187E" w:rsidRPr="00FD50F6">
        <w:rPr>
          <w:rFonts w:hint="eastAsia"/>
        </w:rPr>
        <w:t>等其他识别</w:t>
      </w:r>
      <w:r w:rsidR="002E187E" w:rsidRPr="00FD50F6">
        <w:t>装置，并</w:t>
      </w:r>
      <w:r w:rsidR="002E187E" w:rsidRPr="00FD50F6">
        <w:rPr>
          <w:rFonts w:hint="eastAsia"/>
        </w:rPr>
        <w:t>宜</w:t>
      </w:r>
      <w:r w:rsidR="002E187E" w:rsidRPr="00FD50F6">
        <w:t>与</w:t>
      </w:r>
      <w:r w:rsidR="002E187E" w:rsidRPr="00FD50F6">
        <w:rPr>
          <w:rFonts w:hint="eastAsia"/>
        </w:rPr>
        <w:t>视频</w:t>
      </w:r>
      <w:r w:rsidR="002E187E" w:rsidRPr="00FD50F6">
        <w:t>监控系统联动监控；</w:t>
      </w:r>
      <w:r>
        <w:rPr>
          <w:rFonts w:hint="eastAsia"/>
        </w:rPr>
        <w:t>当</w:t>
      </w:r>
      <w:r w:rsidR="005C318A">
        <w:rPr>
          <w:rFonts w:hint="eastAsia"/>
        </w:rPr>
        <w:t>一级</w:t>
      </w:r>
      <w:r w:rsidR="002E187E" w:rsidRPr="00FD50F6">
        <w:rPr>
          <w:rFonts w:hint="eastAsia"/>
        </w:rPr>
        <w:t>设单向读卡器</w:t>
      </w:r>
      <w:r w:rsidR="005C318A">
        <w:rPr>
          <w:rFonts w:hint="eastAsia"/>
        </w:rPr>
        <w:t>时</w:t>
      </w:r>
      <w:r w:rsidR="002E187E" w:rsidRPr="00FD50F6">
        <w:rPr>
          <w:rFonts w:hint="eastAsia"/>
        </w:rPr>
        <w:t>，进门侧宜</w:t>
      </w:r>
      <w:r w:rsidR="002E187E" w:rsidRPr="00FD50F6">
        <w:t>设密码键盘或</w:t>
      </w:r>
      <w:r w:rsidR="002E187E" w:rsidRPr="00FD50F6">
        <w:rPr>
          <w:rFonts w:hint="eastAsia"/>
        </w:rPr>
        <w:t>生物</w:t>
      </w:r>
      <w:r w:rsidR="002E187E" w:rsidRPr="00FD50F6">
        <w:t>识别</w:t>
      </w:r>
      <w:r w:rsidR="002E187E" w:rsidRPr="00FD50F6">
        <w:rPr>
          <w:rFonts w:hint="eastAsia"/>
        </w:rPr>
        <w:t>等其他识别</w:t>
      </w:r>
      <w:r w:rsidR="002E187E" w:rsidRPr="00FD50F6">
        <w:t>装置，并</w:t>
      </w:r>
      <w:r w:rsidR="002E187E" w:rsidRPr="00FD50F6">
        <w:rPr>
          <w:rFonts w:hint="eastAsia"/>
        </w:rPr>
        <w:t>应</w:t>
      </w:r>
      <w:r w:rsidR="002E187E" w:rsidRPr="00FD50F6">
        <w:t>与</w:t>
      </w:r>
      <w:r w:rsidR="002E187E" w:rsidRPr="00FD50F6">
        <w:rPr>
          <w:rFonts w:hint="eastAsia"/>
        </w:rPr>
        <w:t>视频</w:t>
      </w:r>
      <w:r w:rsidR="002E187E" w:rsidRPr="00FD50F6">
        <w:t>监控系统联动监控</w:t>
      </w:r>
      <w:r w:rsidR="002E187E" w:rsidRPr="00FD50F6">
        <w:rPr>
          <w:rFonts w:hint="eastAsia"/>
        </w:rPr>
        <w:t>。</w:t>
      </w:r>
    </w:p>
    <w:p w14:paraId="1F1D42EF" w14:textId="3E2EF838" w:rsidR="002E187E" w:rsidRPr="00FD50F6" w:rsidRDefault="00E65C54" w:rsidP="00A926BD">
      <w:pPr>
        <w:pStyle w:val="4"/>
      </w:pPr>
      <w:r>
        <w:rPr>
          <w:rFonts w:hint="eastAsia"/>
        </w:rPr>
        <w:lastRenderedPageBreak/>
        <w:t>当</w:t>
      </w:r>
      <w:r w:rsidR="002E187E" w:rsidRPr="00FD50F6">
        <w:t>二级设双向读卡器</w:t>
      </w:r>
      <w:r w:rsidR="005C318A">
        <w:t>时</w:t>
      </w:r>
      <w:r w:rsidR="002E187E" w:rsidRPr="00FD50F6">
        <w:t>，进门侧</w:t>
      </w:r>
      <w:r w:rsidR="002E187E" w:rsidRPr="00FD50F6">
        <w:rPr>
          <w:rFonts w:hint="eastAsia"/>
        </w:rPr>
        <w:t>宜</w:t>
      </w:r>
      <w:r w:rsidR="002E187E" w:rsidRPr="00FD50F6">
        <w:t>设密码键盘或</w:t>
      </w:r>
      <w:r w:rsidR="002E187E" w:rsidRPr="00FD50F6">
        <w:rPr>
          <w:rFonts w:hint="eastAsia"/>
        </w:rPr>
        <w:t>生物</w:t>
      </w:r>
      <w:r w:rsidR="002E187E" w:rsidRPr="00FD50F6">
        <w:t>识别</w:t>
      </w:r>
      <w:r w:rsidR="002E187E" w:rsidRPr="00FD50F6">
        <w:rPr>
          <w:rFonts w:hint="eastAsia"/>
        </w:rPr>
        <w:t>等</w:t>
      </w:r>
      <w:r w:rsidR="002E187E" w:rsidRPr="00FD50F6">
        <w:t>其他识别装置；</w:t>
      </w:r>
      <w:r>
        <w:rPr>
          <w:rFonts w:hint="eastAsia"/>
        </w:rPr>
        <w:t>当</w:t>
      </w:r>
      <w:r w:rsidR="005C318A">
        <w:rPr>
          <w:rFonts w:hint="eastAsia"/>
        </w:rPr>
        <w:t>二级</w:t>
      </w:r>
      <w:r w:rsidR="005C318A" w:rsidRPr="00FD50F6">
        <w:rPr>
          <w:rFonts w:hint="eastAsia"/>
        </w:rPr>
        <w:t>设单向读卡器</w:t>
      </w:r>
      <w:r w:rsidR="00E92D6C">
        <w:rPr>
          <w:rFonts w:hint="eastAsia"/>
        </w:rPr>
        <w:t>时</w:t>
      </w:r>
      <w:r w:rsidR="002E187E" w:rsidRPr="00FD50F6">
        <w:rPr>
          <w:rFonts w:hint="eastAsia"/>
        </w:rPr>
        <w:t>，进门侧应</w:t>
      </w:r>
      <w:r w:rsidR="002E187E" w:rsidRPr="00FD50F6">
        <w:t>设密码键盘或</w:t>
      </w:r>
      <w:r w:rsidR="002E187E" w:rsidRPr="00FD50F6">
        <w:rPr>
          <w:rFonts w:hint="eastAsia"/>
        </w:rPr>
        <w:t>生物</w:t>
      </w:r>
      <w:r w:rsidR="002E187E" w:rsidRPr="00FD50F6">
        <w:t>识别</w:t>
      </w:r>
      <w:r w:rsidR="002E187E" w:rsidRPr="00FD50F6">
        <w:rPr>
          <w:rFonts w:hint="eastAsia"/>
        </w:rPr>
        <w:t>等其他识别</w:t>
      </w:r>
      <w:r w:rsidR="002E187E" w:rsidRPr="00FD50F6">
        <w:t>装置，</w:t>
      </w:r>
      <w:r w:rsidR="002E187E" w:rsidRPr="00FD50F6">
        <w:rPr>
          <w:rFonts w:hint="eastAsia"/>
        </w:rPr>
        <w:t>或应与视频</w:t>
      </w:r>
      <w:r w:rsidR="002E187E" w:rsidRPr="00FD50F6">
        <w:t>监控系统联动</w:t>
      </w:r>
      <w:r w:rsidR="002E187E" w:rsidRPr="00FD50F6">
        <w:rPr>
          <w:rFonts w:hint="eastAsia"/>
        </w:rPr>
        <w:t>监控。</w:t>
      </w:r>
    </w:p>
    <w:p w14:paraId="409D8F4F" w14:textId="7CD751D1" w:rsidR="002E187E" w:rsidRPr="00FD50F6" w:rsidRDefault="002E187E" w:rsidP="00A926BD">
      <w:pPr>
        <w:pStyle w:val="4"/>
      </w:pPr>
      <w:r w:rsidRPr="00FD50F6">
        <w:t>三级应</w:t>
      </w:r>
      <w:r w:rsidRPr="00FD50F6">
        <w:rPr>
          <w:rFonts w:hint="eastAsia"/>
        </w:rPr>
        <w:t>设单向读卡器，进门侧宜设密码键盘或其他识别装置。</w:t>
      </w:r>
    </w:p>
    <w:p w14:paraId="778FA449" w14:textId="77777777" w:rsidR="002E187E" w:rsidRPr="00FD50F6" w:rsidRDefault="002E187E" w:rsidP="00A926BD">
      <w:pPr>
        <w:pStyle w:val="4"/>
      </w:pPr>
      <w:r w:rsidRPr="00FD50F6">
        <w:t>四级应设单向读卡器。</w:t>
      </w:r>
    </w:p>
    <w:p w14:paraId="5C9E7583" w14:textId="77777777" w:rsidR="002E187E" w:rsidRPr="00FD50F6" w:rsidRDefault="002E187E" w:rsidP="002E187E">
      <w:pPr>
        <w:pStyle w:val="30"/>
      </w:pPr>
      <w:r w:rsidRPr="00FD50F6">
        <w:t>车站</w:t>
      </w:r>
      <w:r w:rsidRPr="00FD50F6">
        <w:rPr>
          <w:rFonts w:hint="eastAsia"/>
        </w:rPr>
        <w:t>门禁</w:t>
      </w:r>
      <w:r w:rsidRPr="00FD50F6">
        <w:t>监控包括的对象应符合下列规定：</w:t>
      </w:r>
    </w:p>
    <w:p w14:paraId="460EF922" w14:textId="77777777" w:rsidR="002E187E" w:rsidRPr="00FD50F6" w:rsidRDefault="002E187E" w:rsidP="00A926BD">
      <w:pPr>
        <w:pStyle w:val="4"/>
      </w:pPr>
      <w:r w:rsidRPr="00FD50F6">
        <w:t>设备用房应包括通信设备室、信号设备室、供电和</w:t>
      </w:r>
      <w:r w:rsidRPr="00FD50F6">
        <w:rPr>
          <w:rFonts w:hint="eastAsia"/>
        </w:rPr>
        <w:t>动力配电照明</w:t>
      </w:r>
      <w:r w:rsidRPr="00FD50F6">
        <w:t>设备室、综合监控设备室、</w:t>
      </w:r>
      <w:r w:rsidRPr="00FD50F6">
        <w:rPr>
          <w:rFonts w:hint="eastAsia"/>
        </w:rPr>
        <w:t>自动化设备室、</w:t>
      </w:r>
      <w:r w:rsidRPr="00FD50F6">
        <w:t>自动售检票设备室、站台</w:t>
      </w:r>
      <w:r w:rsidRPr="00FD50F6">
        <w:rPr>
          <w:rFonts w:hint="eastAsia"/>
        </w:rPr>
        <w:t>屏蔽</w:t>
      </w:r>
      <w:r w:rsidRPr="00FD50F6">
        <w:t>门设备</w:t>
      </w:r>
      <w:r w:rsidRPr="00FD50F6">
        <w:rPr>
          <w:rFonts w:hint="eastAsia"/>
        </w:rPr>
        <w:t>控制</w:t>
      </w:r>
      <w:r w:rsidRPr="00FD50F6">
        <w:t>室、应急照明设备室、自动灭火设备室、环控电控室、通风空调机房</w:t>
      </w:r>
      <w:r w:rsidRPr="00FD50F6">
        <w:rPr>
          <w:rFonts w:hint="eastAsia"/>
        </w:rPr>
        <w:t>及</w:t>
      </w:r>
      <w:r w:rsidRPr="00FD50F6">
        <w:t>消防泵房等；</w:t>
      </w:r>
    </w:p>
    <w:p w14:paraId="47785F53" w14:textId="77777777" w:rsidR="002E187E" w:rsidRPr="00FD50F6" w:rsidRDefault="002E187E" w:rsidP="00A926BD">
      <w:pPr>
        <w:pStyle w:val="4"/>
      </w:pPr>
      <w:r w:rsidRPr="00FD50F6">
        <w:t>管理用房应包括车站控制室、站长室、站务室、票务管理室等；票务管理室应设不低于二级安全等级的门禁；</w:t>
      </w:r>
    </w:p>
    <w:p w14:paraId="6FEDC20D" w14:textId="77777777" w:rsidR="002E187E" w:rsidRPr="00FD50F6" w:rsidRDefault="002E187E" w:rsidP="00A926BD">
      <w:pPr>
        <w:pStyle w:val="4"/>
      </w:pPr>
      <w:r w:rsidRPr="00FD50F6">
        <w:t>通道门应包括设备管理区直通地面的紧急疏散通道门、设备管理区直通公共区的通道门、</w:t>
      </w:r>
      <w:r w:rsidRPr="00FD50F6">
        <w:rPr>
          <w:rFonts w:hint="eastAsia"/>
        </w:rPr>
        <w:t>付费区与非付费区的通道门</w:t>
      </w:r>
      <w:r w:rsidRPr="00FD50F6">
        <w:t>等；设备管理区直通隧道区间的通道门应设三级安全等级的门禁。</w:t>
      </w:r>
    </w:p>
    <w:p w14:paraId="0F3A50D5" w14:textId="75AF6F49" w:rsidR="002E187E" w:rsidRPr="00FD50F6" w:rsidRDefault="002E187E" w:rsidP="002E187E">
      <w:pPr>
        <w:pStyle w:val="30"/>
      </w:pPr>
      <w:r w:rsidRPr="00FD50F6">
        <w:t>控制中心</w:t>
      </w:r>
      <w:r w:rsidRPr="00FD50F6">
        <w:rPr>
          <w:rFonts w:hint="eastAsia"/>
        </w:rPr>
        <w:t>门禁</w:t>
      </w:r>
      <w:r w:rsidRPr="00FD50F6">
        <w:t>监控对象应包括重要的设备用房、管理用房及通道门</w:t>
      </w:r>
      <w:r w:rsidRPr="00FD50F6">
        <w:rPr>
          <w:rFonts w:hint="eastAsia"/>
        </w:rPr>
        <w:t>，</w:t>
      </w:r>
      <w:r w:rsidRPr="00FD50F6">
        <w:t>进入中</w:t>
      </w:r>
      <w:r w:rsidRPr="00FD50F6">
        <w:rPr>
          <w:rFonts w:hint="eastAsia"/>
        </w:rPr>
        <w:t>心</w:t>
      </w:r>
      <w:r w:rsidRPr="00FD50F6">
        <w:t>控制室的通道门应设</w:t>
      </w:r>
      <w:r w:rsidRPr="00AA0E76">
        <w:rPr>
          <w:rFonts w:hint="eastAsia"/>
        </w:rPr>
        <w:t>一级门禁</w:t>
      </w:r>
      <w:r w:rsidRPr="00FD50F6">
        <w:t>。</w:t>
      </w:r>
    </w:p>
    <w:p w14:paraId="4B3BA244" w14:textId="77777777" w:rsidR="002E187E" w:rsidRPr="00FD50F6" w:rsidRDefault="002E187E" w:rsidP="002E187E">
      <w:pPr>
        <w:pStyle w:val="30"/>
      </w:pPr>
      <w:r w:rsidRPr="00FD50F6">
        <w:t>车辆基地</w:t>
      </w:r>
      <w:r w:rsidRPr="00FD50F6">
        <w:rPr>
          <w:rFonts w:hint="eastAsia"/>
        </w:rPr>
        <w:t>门禁</w:t>
      </w:r>
      <w:r w:rsidRPr="00FD50F6">
        <w:t>监控对象应包括通信设备室、信号设备室、供电和</w:t>
      </w:r>
      <w:r w:rsidRPr="00FD50F6">
        <w:rPr>
          <w:rFonts w:hint="eastAsia"/>
        </w:rPr>
        <w:t>动力配电照明</w:t>
      </w:r>
      <w:r w:rsidRPr="00FD50F6">
        <w:t>设备室、综合监控设备室、消防控制室、自动售检票维修、</w:t>
      </w:r>
      <w:r w:rsidRPr="00FD50F6">
        <w:rPr>
          <w:rFonts w:hint="eastAsia"/>
        </w:rPr>
        <w:t>全自动运行区通道门</w:t>
      </w:r>
      <w:r w:rsidRPr="00FD50F6">
        <w:t>及重要的管理用房等。</w:t>
      </w:r>
    </w:p>
    <w:p w14:paraId="49CCEEF5" w14:textId="77777777" w:rsidR="002E187E" w:rsidRPr="00FD50F6" w:rsidRDefault="002E187E" w:rsidP="002E187E">
      <w:pPr>
        <w:pStyle w:val="30"/>
      </w:pPr>
      <w:r w:rsidRPr="00FD50F6">
        <w:rPr>
          <w:rFonts w:hint="eastAsia"/>
        </w:rPr>
        <w:t>主变电所、中间风井门禁监控对象宜包括设备用房、控制室和通道门等；无人值班的主变电所的通道门宜设一级安全等级的门禁。</w:t>
      </w:r>
    </w:p>
    <w:p w14:paraId="55F80831" w14:textId="77777777" w:rsidR="002E187E" w:rsidRPr="00FD50F6" w:rsidRDefault="002E187E" w:rsidP="002E187E">
      <w:pPr>
        <w:pStyle w:val="30"/>
      </w:pPr>
      <w:r w:rsidRPr="00FD50F6">
        <w:t>其他</w:t>
      </w:r>
      <w:r w:rsidRPr="00FD50F6">
        <w:rPr>
          <w:rFonts w:hint="eastAsia"/>
        </w:rPr>
        <w:t>门禁</w:t>
      </w:r>
      <w:r w:rsidRPr="00FD50F6">
        <w:t>监控对象宜包括档案库房、财务室</w:t>
      </w:r>
      <w:r w:rsidRPr="00FD50F6">
        <w:t>(</w:t>
      </w:r>
      <w:r w:rsidRPr="00FD50F6">
        <w:t>库房</w:t>
      </w:r>
      <w:r w:rsidRPr="00FD50F6">
        <w:t>)</w:t>
      </w:r>
      <w:r w:rsidRPr="00FD50F6">
        <w:t>、材料库房、培训设备室、重要维修和测试设备用房。</w:t>
      </w:r>
    </w:p>
    <w:p w14:paraId="275F1BD1" w14:textId="77777777" w:rsidR="002E187E" w:rsidRPr="00FD50F6" w:rsidRDefault="002E187E" w:rsidP="002E187E">
      <w:pPr>
        <w:pStyle w:val="30"/>
      </w:pPr>
      <w:r w:rsidRPr="00FD50F6">
        <w:t>门套门</w:t>
      </w:r>
      <w:r w:rsidRPr="00FD50F6">
        <w:rPr>
          <w:rFonts w:hint="eastAsia"/>
        </w:rPr>
        <w:t>的房间</w:t>
      </w:r>
      <w:r w:rsidRPr="00FD50F6">
        <w:t>可只在</w:t>
      </w:r>
      <w:r w:rsidRPr="00FD50F6">
        <w:rPr>
          <w:rFonts w:hint="eastAsia"/>
        </w:rPr>
        <w:t>一个最外侧</w:t>
      </w:r>
      <w:r w:rsidRPr="00FD50F6">
        <w:t>门上设置门禁；当一个房间有多个门时，可只在一个常用门处设置门禁。</w:t>
      </w:r>
    </w:p>
    <w:p w14:paraId="06BAD681" w14:textId="77777777" w:rsidR="002E187E" w:rsidRPr="00FD50F6" w:rsidRDefault="002E187E" w:rsidP="002E187E">
      <w:pPr>
        <w:keepNext/>
        <w:keepLines/>
        <w:spacing w:beforeLines="50" w:before="120" w:afterLines="50" w:after="120"/>
        <w:jc w:val="center"/>
        <w:outlineLvl w:val="2"/>
        <w:rPr>
          <w:rFonts w:ascii="Calibri" w:hAnsi="Calibri" w:cs="Times New Roman"/>
          <w:b/>
          <w:szCs w:val="32"/>
        </w:rPr>
      </w:pPr>
      <w:bookmarkStart w:id="1095" w:name="_Toc306207438"/>
      <w:bookmarkStart w:id="1096" w:name="_Toc236496126"/>
      <w:bookmarkStart w:id="1097" w:name="_Toc306207247"/>
      <w:bookmarkStart w:id="1098" w:name="_Toc236799586"/>
      <w:bookmarkStart w:id="1099" w:name="_Toc344218856"/>
      <w:bookmarkStart w:id="1100" w:name="_Toc320196105"/>
      <w:bookmarkStart w:id="1101" w:name="_Toc320643494"/>
      <w:r w:rsidRPr="00FD50F6">
        <w:rPr>
          <w:rFonts w:ascii="Calibri" w:hAnsi="Calibri" w:cs="Times New Roman" w:hint="eastAsia"/>
          <w:b/>
          <w:szCs w:val="32"/>
        </w:rPr>
        <w:t>Ⅲ</w:t>
      </w:r>
      <w:r w:rsidRPr="00FD50F6">
        <w:rPr>
          <w:rFonts w:ascii="Calibri" w:hAnsi="Calibri" w:cs="Times New Roman"/>
          <w:b/>
          <w:szCs w:val="32"/>
        </w:rPr>
        <w:t>系统构成</w:t>
      </w:r>
      <w:bookmarkEnd w:id="1095"/>
      <w:bookmarkEnd w:id="1096"/>
      <w:bookmarkEnd w:id="1097"/>
      <w:bookmarkEnd w:id="1098"/>
      <w:bookmarkEnd w:id="1099"/>
      <w:bookmarkEnd w:id="1100"/>
      <w:bookmarkEnd w:id="1101"/>
    </w:p>
    <w:p w14:paraId="48C3C178" w14:textId="2C3B3750" w:rsidR="002E187E" w:rsidRPr="00FD50F6" w:rsidRDefault="002E187E" w:rsidP="002E187E">
      <w:pPr>
        <w:pStyle w:val="30"/>
      </w:pPr>
      <w:r w:rsidRPr="00FD50F6">
        <w:t>门禁系统宜由线网中</w:t>
      </w:r>
      <w:r w:rsidRPr="00FD50F6">
        <w:rPr>
          <w:rFonts w:hint="eastAsia"/>
        </w:rPr>
        <w:t>心</w:t>
      </w:r>
      <w:r w:rsidRPr="00FD50F6">
        <w:t>级系统、线路中</w:t>
      </w:r>
      <w:r w:rsidRPr="00FD50F6">
        <w:rPr>
          <w:rFonts w:hint="eastAsia"/>
        </w:rPr>
        <w:t>心</w:t>
      </w:r>
      <w:r w:rsidRPr="00FD50F6">
        <w:t>级系统、车站级系统、</w:t>
      </w:r>
      <w:r w:rsidRPr="00FD50F6">
        <w:rPr>
          <w:rFonts w:hint="eastAsia"/>
        </w:rPr>
        <w:t>就地</w:t>
      </w:r>
      <w:r w:rsidRPr="00FD50F6">
        <w:t>级系统和终端设备、传输网络和电源及门禁卡等组成。</w:t>
      </w:r>
    </w:p>
    <w:p w14:paraId="18E1F1B0" w14:textId="76C5BDAB" w:rsidR="002E187E" w:rsidRPr="00FD50F6" w:rsidRDefault="002E187E" w:rsidP="002E187E">
      <w:pPr>
        <w:pStyle w:val="30"/>
      </w:pPr>
      <w:r w:rsidRPr="00FD50F6">
        <w:t>线网中</w:t>
      </w:r>
      <w:r w:rsidRPr="00FD50F6">
        <w:rPr>
          <w:rFonts w:hint="eastAsia"/>
        </w:rPr>
        <w:t>心</w:t>
      </w:r>
      <w:r w:rsidRPr="00FD50F6">
        <w:t>级系统宜由服务器、监控管理工作站、授权工作站、授权读卡</w:t>
      </w:r>
      <w:r w:rsidRPr="00FD50F6">
        <w:lastRenderedPageBreak/>
        <w:t>器、</w:t>
      </w:r>
      <w:r w:rsidRPr="00FD50F6">
        <w:rPr>
          <w:rFonts w:hint="eastAsia"/>
        </w:rPr>
        <w:t>网络</w:t>
      </w:r>
      <w:r w:rsidRPr="00FD50F6">
        <w:t>打印机、局域网设备及不间断电源等组成。</w:t>
      </w:r>
    </w:p>
    <w:p w14:paraId="2F019F4A" w14:textId="1B0A3F83" w:rsidR="002E187E" w:rsidRPr="00FD50F6" w:rsidRDefault="002E187E" w:rsidP="002E187E">
      <w:pPr>
        <w:pStyle w:val="30"/>
      </w:pPr>
      <w:r w:rsidRPr="00FD50F6">
        <w:t>线路中</w:t>
      </w:r>
      <w:r w:rsidRPr="00FD50F6">
        <w:rPr>
          <w:rFonts w:hint="eastAsia"/>
        </w:rPr>
        <w:t>心</w:t>
      </w:r>
      <w:r w:rsidRPr="00FD50F6">
        <w:t>级系统宜由服务器、监控管理工作站、授权工作站、授权读卡器、</w:t>
      </w:r>
      <w:r w:rsidRPr="00FD50F6">
        <w:rPr>
          <w:rFonts w:hint="eastAsia"/>
        </w:rPr>
        <w:t>网络</w:t>
      </w:r>
      <w:r w:rsidRPr="00FD50F6">
        <w:t>打印机、局域网设备及不间断电源等组成。</w:t>
      </w:r>
    </w:p>
    <w:p w14:paraId="6C48B61E" w14:textId="77777777" w:rsidR="002E187E" w:rsidRPr="00FD50F6" w:rsidRDefault="002E187E" w:rsidP="002E187E">
      <w:pPr>
        <w:pStyle w:val="30"/>
      </w:pPr>
      <w:r w:rsidRPr="00FD50F6">
        <w:t>车站级系统宜由车站工作站、授权读卡器、</w:t>
      </w:r>
      <w:r w:rsidRPr="00FD50F6">
        <w:rPr>
          <w:rFonts w:hint="eastAsia"/>
        </w:rPr>
        <w:t>网络</w:t>
      </w:r>
      <w:r w:rsidRPr="00FD50F6">
        <w:t>打印机、局域网设备及不间断电源等组成。</w:t>
      </w:r>
    </w:p>
    <w:p w14:paraId="3C7F8DBE" w14:textId="0EEF365E" w:rsidR="002E187E" w:rsidRPr="00FD50F6" w:rsidRDefault="002E187E" w:rsidP="002E187E">
      <w:pPr>
        <w:pStyle w:val="30"/>
      </w:pPr>
      <w:r w:rsidRPr="00FD50F6">
        <w:rPr>
          <w:rFonts w:hint="eastAsia"/>
        </w:rPr>
        <w:t>就地</w:t>
      </w:r>
      <w:r w:rsidRPr="00FD50F6">
        <w:t>级系统和终端设备宜由车站控制器、</w:t>
      </w:r>
      <w:r w:rsidRPr="00FD50F6">
        <w:rPr>
          <w:rFonts w:hint="eastAsia"/>
        </w:rPr>
        <w:t>就</w:t>
      </w:r>
      <w:r w:rsidRPr="00FD50F6">
        <w:t>地控制器、读卡器、密码键盘、电子锁、门磁、紧急开门按钮、出门按钮及门禁卡等组成。</w:t>
      </w:r>
    </w:p>
    <w:p w14:paraId="046D7AC8" w14:textId="2D5D61E2" w:rsidR="002E187E" w:rsidRPr="00FD50F6" w:rsidRDefault="002E187E" w:rsidP="002E187E">
      <w:pPr>
        <w:pStyle w:val="30"/>
      </w:pPr>
      <w:r w:rsidRPr="00FD50F6">
        <w:t>门禁系统监控管理系统可自成系统或与综合监控系统或</w:t>
      </w:r>
      <w:r w:rsidRPr="00FD50F6">
        <w:rPr>
          <w:rFonts w:hint="eastAsia"/>
        </w:rPr>
        <w:t>安防集成平台</w:t>
      </w:r>
      <w:r w:rsidRPr="00FD50F6">
        <w:t>实现集成或互联。</w:t>
      </w:r>
    </w:p>
    <w:p w14:paraId="770C0C71" w14:textId="3A31281B" w:rsidR="002E187E" w:rsidRPr="00FD50F6" w:rsidRDefault="002E187E" w:rsidP="002E187E">
      <w:pPr>
        <w:pStyle w:val="30"/>
      </w:pPr>
      <w:r w:rsidRPr="00FD50F6">
        <w:t>门禁系统宜采用通信传输网络，当门禁系统与综合监控系统或</w:t>
      </w:r>
      <w:r w:rsidRPr="00FD50F6">
        <w:rPr>
          <w:rFonts w:hint="eastAsia"/>
        </w:rPr>
        <w:t>安防集成平台</w:t>
      </w:r>
      <w:r w:rsidRPr="00FD50F6">
        <w:t>实现集成或互联时，宜采用综合监控系统或</w:t>
      </w:r>
      <w:r w:rsidRPr="00FD50F6">
        <w:rPr>
          <w:rFonts w:hint="eastAsia"/>
        </w:rPr>
        <w:t>安防集成平台</w:t>
      </w:r>
      <w:r w:rsidRPr="00FD50F6">
        <w:t>的传输网络。</w:t>
      </w:r>
    </w:p>
    <w:p w14:paraId="24463753" w14:textId="77777777" w:rsidR="002E187E" w:rsidRPr="00FD50F6" w:rsidRDefault="002E187E" w:rsidP="002E187E">
      <w:pPr>
        <w:pStyle w:val="30"/>
      </w:pPr>
      <w:r w:rsidRPr="00FD50F6">
        <w:rPr>
          <w:rFonts w:hint="eastAsia"/>
        </w:rPr>
        <w:t>门禁</w:t>
      </w:r>
      <w:r w:rsidRPr="00FD50F6">
        <w:t>系统和设备应具有</w:t>
      </w:r>
      <w:r w:rsidRPr="00FD50F6">
        <w:t>7</w:t>
      </w:r>
      <w:r w:rsidRPr="00FD50F6">
        <w:rPr>
          <w:rFonts w:hint="eastAsia"/>
        </w:rPr>
        <w:t>×</w:t>
      </w:r>
      <w:r w:rsidRPr="00FD50F6">
        <w:t>24h</w:t>
      </w:r>
      <w:r w:rsidRPr="00FD50F6">
        <w:t>不间断工作的能力；系统应采用不间断电源供电，后备时间不应低于</w:t>
      </w:r>
      <w:r w:rsidRPr="00FD50F6">
        <w:rPr>
          <w:rFonts w:hint="eastAsia"/>
        </w:rPr>
        <w:t>2</w:t>
      </w:r>
      <w:r w:rsidRPr="00FD50F6">
        <w:t>h</w:t>
      </w:r>
      <w:r w:rsidRPr="00FD50F6">
        <w:t>。</w:t>
      </w:r>
    </w:p>
    <w:p w14:paraId="34C530C3" w14:textId="77777777" w:rsidR="002E187E" w:rsidRPr="00FD50F6" w:rsidRDefault="002E187E" w:rsidP="002E187E">
      <w:pPr>
        <w:keepNext/>
        <w:keepLines/>
        <w:spacing w:beforeLines="50" w:before="120" w:afterLines="50" w:after="120"/>
        <w:jc w:val="center"/>
        <w:outlineLvl w:val="2"/>
        <w:rPr>
          <w:rFonts w:ascii="Calibri" w:hAnsi="Calibri" w:cs="Times New Roman"/>
          <w:b/>
          <w:szCs w:val="32"/>
        </w:rPr>
      </w:pPr>
      <w:bookmarkStart w:id="1102" w:name="_Toc236799587"/>
      <w:bookmarkStart w:id="1103" w:name="_Toc306207248"/>
      <w:bookmarkStart w:id="1104" w:name="_Toc320196106"/>
      <w:bookmarkStart w:id="1105" w:name="_Toc236496127"/>
      <w:bookmarkStart w:id="1106" w:name="_Toc320643495"/>
      <w:bookmarkStart w:id="1107" w:name="_Toc344218857"/>
      <w:bookmarkStart w:id="1108" w:name="_Toc306207439"/>
      <w:r w:rsidRPr="00FD50F6">
        <w:rPr>
          <w:rFonts w:ascii="Calibri" w:hAnsi="Calibri" w:cs="Times New Roman" w:hint="eastAsia"/>
          <w:b/>
          <w:szCs w:val="32"/>
        </w:rPr>
        <w:t>Ⅳ</w:t>
      </w:r>
      <w:r w:rsidRPr="00FD50F6">
        <w:rPr>
          <w:rFonts w:ascii="Calibri" w:hAnsi="Calibri" w:cs="Times New Roman"/>
          <w:b/>
          <w:szCs w:val="32"/>
        </w:rPr>
        <w:t>系统功能</w:t>
      </w:r>
      <w:bookmarkEnd w:id="1102"/>
      <w:bookmarkEnd w:id="1103"/>
      <w:bookmarkEnd w:id="1104"/>
      <w:bookmarkEnd w:id="1105"/>
      <w:bookmarkEnd w:id="1106"/>
      <w:bookmarkEnd w:id="1107"/>
      <w:bookmarkEnd w:id="1108"/>
    </w:p>
    <w:p w14:paraId="0BEC78DE" w14:textId="432E2495" w:rsidR="002E187E" w:rsidRPr="00FD50F6" w:rsidRDefault="002E187E" w:rsidP="002E187E">
      <w:pPr>
        <w:pStyle w:val="30"/>
      </w:pPr>
      <w:r w:rsidRPr="00FD50F6">
        <w:t>线网中</w:t>
      </w:r>
      <w:r w:rsidRPr="00FD50F6">
        <w:rPr>
          <w:rFonts w:hint="eastAsia"/>
        </w:rPr>
        <w:t>心</w:t>
      </w:r>
      <w:r w:rsidRPr="00FD50F6">
        <w:t>级系统功能应符合下列</w:t>
      </w:r>
      <w:r w:rsidRPr="00FD50F6">
        <w:rPr>
          <w:rFonts w:hint="eastAsia"/>
        </w:rPr>
        <w:t>规定</w:t>
      </w:r>
      <w:r w:rsidRPr="00FD50F6">
        <w:t>：</w:t>
      </w:r>
    </w:p>
    <w:p w14:paraId="09E58FD4" w14:textId="77777777" w:rsidR="002E187E" w:rsidRPr="00FD50F6" w:rsidRDefault="002E187E" w:rsidP="00A926BD">
      <w:pPr>
        <w:pStyle w:val="4"/>
      </w:pPr>
      <w:r w:rsidRPr="00FD50F6">
        <w:t>应具有</w:t>
      </w:r>
      <w:r w:rsidRPr="00FD50F6">
        <w:rPr>
          <w:rFonts w:hint="eastAsia"/>
        </w:rPr>
        <w:t>线网</w:t>
      </w:r>
      <w:r w:rsidRPr="00FD50F6">
        <w:t>门禁授权管理、数据库管理、黑名单管理、设备监视与控制功能；</w:t>
      </w:r>
    </w:p>
    <w:p w14:paraId="46CB6DD0" w14:textId="5CF107B1" w:rsidR="002E187E" w:rsidRPr="00FD50F6" w:rsidRDefault="002E187E" w:rsidP="00A926BD">
      <w:pPr>
        <w:pStyle w:val="4"/>
      </w:pPr>
      <w:r w:rsidRPr="00FD50F6">
        <w:t>应向线路中</w:t>
      </w:r>
      <w:r w:rsidRPr="00FD50F6">
        <w:rPr>
          <w:rFonts w:hint="eastAsia"/>
        </w:rPr>
        <w:t>心</w:t>
      </w:r>
      <w:r w:rsidRPr="00FD50F6">
        <w:t>级系统下</w:t>
      </w:r>
      <w:r w:rsidRPr="00FD50F6">
        <w:rPr>
          <w:rFonts w:hint="eastAsia"/>
        </w:rPr>
        <w:t>发</w:t>
      </w:r>
      <w:r w:rsidRPr="00FD50F6">
        <w:t>系统工作参数、授权参数、黑名单等信息；</w:t>
      </w:r>
    </w:p>
    <w:p w14:paraId="0540AE71" w14:textId="25C10A29" w:rsidR="002E187E" w:rsidRPr="00FD50F6" w:rsidRDefault="002E187E" w:rsidP="00A926BD">
      <w:pPr>
        <w:pStyle w:val="4"/>
      </w:pPr>
      <w:r w:rsidRPr="00FD50F6">
        <w:t>应接收线路中</w:t>
      </w:r>
      <w:r w:rsidRPr="00FD50F6">
        <w:rPr>
          <w:rFonts w:hint="eastAsia"/>
        </w:rPr>
        <w:t>心</w:t>
      </w:r>
      <w:r w:rsidRPr="00FD50F6">
        <w:t>级系统上传的线路数据，并应实现数据的统计、报表、分类存储和打印；</w:t>
      </w:r>
    </w:p>
    <w:p w14:paraId="1D70CB6B" w14:textId="77777777" w:rsidR="002E187E" w:rsidRPr="00FD50F6" w:rsidRDefault="002E187E" w:rsidP="00A926BD">
      <w:pPr>
        <w:pStyle w:val="4"/>
      </w:pPr>
      <w:r w:rsidRPr="00FD50F6">
        <w:t>应</w:t>
      </w:r>
      <w:r w:rsidRPr="00FD50F6">
        <w:rPr>
          <w:rFonts w:hint="eastAsia"/>
        </w:rPr>
        <w:t>具有</w:t>
      </w:r>
      <w:r w:rsidRPr="00FD50F6">
        <w:t>线网系统信息查询</w:t>
      </w:r>
      <w:r w:rsidRPr="00FD50F6">
        <w:rPr>
          <w:rFonts w:hint="eastAsia"/>
        </w:rPr>
        <w:t>功能</w:t>
      </w:r>
      <w:r w:rsidRPr="00FD50F6">
        <w:t>；</w:t>
      </w:r>
    </w:p>
    <w:p w14:paraId="0B387B5A" w14:textId="77777777" w:rsidR="002E187E" w:rsidRPr="00FD50F6" w:rsidRDefault="002E187E" w:rsidP="00A926BD">
      <w:pPr>
        <w:pStyle w:val="4"/>
      </w:pPr>
      <w:r w:rsidRPr="00FD50F6">
        <w:t>应统一管理线网内合法持卡人的访问权限；</w:t>
      </w:r>
    </w:p>
    <w:p w14:paraId="10E0D702" w14:textId="77777777" w:rsidR="002E187E" w:rsidRPr="00FD50F6" w:rsidRDefault="002E187E" w:rsidP="00A926BD">
      <w:pPr>
        <w:pStyle w:val="4"/>
      </w:pPr>
      <w:r w:rsidRPr="00FD50F6">
        <w:t>应具有换乘车站的跨线授权管理功能；</w:t>
      </w:r>
    </w:p>
    <w:p w14:paraId="1CA51AC1" w14:textId="77777777" w:rsidR="002E187E" w:rsidRPr="00FD50F6" w:rsidRDefault="002E187E" w:rsidP="00A926BD">
      <w:pPr>
        <w:pStyle w:val="4"/>
      </w:pPr>
      <w:r w:rsidRPr="00FD50F6">
        <w:t>系统应具有登录、修改、操作、报警等信息的系统日志功能。</w:t>
      </w:r>
    </w:p>
    <w:p w14:paraId="05002C58" w14:textId="61A1FEDF" w:rsidR="002E187E" w:rsidRPr="00FD50F6" w:rsidRDefault="002E187E" w:rsidP="002E187E">
      <w:pPr>
        <w:pStyle w:val="30"/>
      </w:pPr>
      <w:r w:rsidRPr="00FD50F6">
        <w:t>线路中</w:t>
      </w:r>
      <w:r w:rsidRPr="00FD50F6">
        <w:rPr>
          <w:rFonts w:hint="eastAsia"/>
        </w:rPr>
        <w:t>心</w:t>
      </w:r>
      <w:r w:rsidRPr="00FD50F6">
        <w:t>级系统功能应符合下列</w:t>
      </w:r>
      <w:r w:rsidRPr="00FD50F6">
        <w:rPr>
          <w:rFonts w:hint="eastAsia"/>
        </w:rPr>
        <w:t>规定</w:t>
      </w:r>
      <w:r w:rsidRPr="00FD50F6">
        <w:t>：</w:t>
      </w:r>
    </w:p>
    <w:p w14:paraId="72B1D15B" w14:textId="77777777" w:rsidR="002E187E" w:rsidRPr="00FD50F6" w:rsidRDefault="002E187E" w:rsidP="00A926BD">
      <w:pPr>
        <w:pStyle w:val="4"/>
      </w:pPr>
      <w:r w:rsidRPr="00FD50F6">
        <w:t>应具有</w:t>
      </w:r>
      <w:r w:rsidRPr="00FD50F6">
        <w:rPr>
          <w:rFonts w:hint="eastAsia"/>
        </w:rPr>
        <w:t>线路</w:t>
      </w:r>
      <w:r w:rsidRPr="00FD50F6">
        <w:t>门禁授权管理、数据库管理、设备监视与控制功能；</w:t>
      </w:r>
    </w:p>
    <w:p w14:paraId="2AB98267" w14:textId="200EEDBA" w:rsidR="002E187E" w:rsidRPr="00FD50F6" w:rsidRDefault="002E187E" w:rsidP="00A926BD">
      <w:pPr>
        <w:pStyle w:val="4"/>
      </w:pPr>
      <w:r w:rsidRPr="00FD50F6">
        <w:t>应接收线网中</w:t>
      </w:r>
      <w:r w:rsidRPr="00FD50F6">
        <w:rPr>
          <w:rFonts w:hint="eastAsia"/>
        </w:rPr>
        <w:t>心</w:t>
      </w:r>
      <w:r w:rsidRPr="00FD50F6">
        <w:t>级系统下</w:t>
      </w:r>
      <w:r w:rsidRPr="00FD50F6">
        <w:rPr>
          <w:rFonts w:hint="eastAsia"/>
        </w:rPr>
        <w:t>发</w:t>
      </w:r>
      <w:r w:rsidRPr="00FD50F6">
        <w:t>的工作参数、授权参数、黑名单等信息；</w:t>
      </w:r>
    </w:p>
    <w:p w14:paraId="29CC6417" w14:textId="77C2B27D" w:rsidR="002E187E" w:rsidRPr="00FD50F6" w:rsidRDefault="002E187E" w:rsidP="00A926BD">
      <w:pPr>
        <w:pStyle w:val="4"/>
      </w:pPr>
      <w:r w:rsidRPr="00FD50F6">
        <w:t>应向线网中</w:t>
      </w:r>
      <w:r w:rsidRPr="00FD50F6">
        <w:rPr>
          <w:rFonts w:hint="eastAsia"/>
        </w:rPr>
        <w:t>心</w:t>
      </w:r>
      <w:r w:rsidRPr="00FD50F6">
        <w:t>级系统上传线路系统的数据和系统状态信息；</w:t>
      </w:r>
    </w:p>
    <w:p w14:paraId="21288273" w14:textId="03464EEA" w:rsidR="002E187E" w:rsidRPr="00FD50F6" w:rsidRDefault="002E187E" w:rsidP="00A926BD">
      <w:pPr>
        <w:pStyle w:val="4"/>
      </w:pPr>
      <w:r w:rsidRPr="00FD50F6">
        <w:t>应向车站级系统下</w:t>
      </w:r>
      <w:r w:rsidRPr="00FD50F6">
        <w:rPr>
          <w:rFonts w:hint="eastAsia"/>
        </w:rPr>
        <w:t>发</w:t>
      </w:r>
      <w:r w:rsidRPr="00FD50F6">
        <w:t>系统工作参数、授权参数、黑名单等信息；</w:t>
      </w:r>
    </w:p>
    <w:p w14:paraId="2A21432E" w14:textId="77777777" w:rsidR="002E187E" w:rsidRPr="00FD50F6" w:rsidRDefault="002E187E" w:rsidP="00A926BD">
      <w:pPr>
        <w:pStyle w:val="4"/>
      </w:pPr>
      <w:r w:rsidRPr="00FD50F6">
        <w:lastRenderedPageBreak/>
        <w:t>应接收车站级系统上传的数据，并应实现数据的统计、报表、分类存储和打印；</w:t>
      </w:r>
    </w:p>
    <w:p w14:paraId="591B078A" w14:textId="77777777" w:rsidR="002E187E" w:rsidRPr="00FD50F6" w:rsidRDefault="002E187E" w:rsidP="00A926BD">
      <w:pPr>
        <w:pStyle w:val="4"/>
      </w:pPr>
      <w:r w:rsidRPr="00FD50F6">
        <w:t>应</w:t>
      </w:r>
      <w:r w:rsidRPr="00FD50F6">
        <w:rPr>
          <w:rFonts w:hint="eastAsia"/>
        </w:rPr>
        <w:t>具有</w:t>
      </w:r>
      <w:r w:rsidRPr="00FD50F6">
        <w:t>线路系统信息查询</w:t>
      </w:r>
      <w:r w:rsidRPr="00FD50F6">
        <w:rPr>
          <w:rFonts w:hint="eastAsia"/>
        </w:rPr>
        <w:t>功能</w:t>
      </w:r>
      <w:r w:rsidRPr="00FD50F6">
        <w:t>；</w:t>
      </w:r>
    </w:p>
    <w:p w14:paraId="7CFD0C13" w14:textId="77777777" w:rsidR="002E187E" w:rsidRPr="00FD50F6" w:rsidRDefault="002E187E" w:rsidP="00A926BD">
      <w:pPr>
        <w:pStyle w:val="4"/>
      </w:pPr>
      <w:r w:rsidRPr="00FD50F6">
        <w:t>应统一管理线路内合法持卡人的访问权限；</w:t>
      </w:r>
    </w:p>
    <w:p w14:paraId="12C53808" w14:textId="77777777" w:rsidR="002E187E" w:rsidRPr="00FD50F6" w:rsidRDefault="002E187E" w:rsidP="00A926BD">
      <w:pPr>
        <w:pStyle w:val="4"/>
      </w:pPr>
      <w:r w:rsidRPr="00FD50F6">
        <w:t>系统应具有登录、修改、操作、报警等信息的系统日志功能。</w:t>
      </w:r>
    </w:p>
    <w:p w14:paraId="33033996" w14:textId="3B4E10E5" w:rsidR="002E187E" w:rsidRPr="00FD50F6" w:rsidRDefault="002E187E" w:rsidP="002E187E">
      <w:pPr>
        <w:pStyle w:val="30"/>
      </w:pPr>
      <w:r w:rsidRPr="00FD50F6">
        <w:t>车站级系统功能应符合下列</w:t>
      </w:r>
      <w:r w:rsidRPr="00FD50F6">
        <w:rPr>
          <w:rFonts w:hint="eastAsia"/>
        </w:rPr>
        <w:t>规定</w:t>
      </w:r>
      <w:r w:rsidRPr="00FD50F6">
        <w:t>：</w:t>
      </w:r>
    </w:p>
    <w:p w14:paraId="1DC50F8D" w14:textId="04E2FE5E" w:rsidR="002E187E" w:rsidRPr="00FD50F6" w:rsidRDefault="002E187E" w:rsidP="00A926BD">
      <w:pPr>
        <w:pStyle w:val="4"/>
      </w:pPr>
      <w:r w:rsidRPr="00FD50F6">
        <w:t>应接收线路中央级系统下</w:t>
      </w:r>
      <w:r w:rsidRPr="00FD50F6">
        <w:rPr>
          <w:rFonts w:hint="eastAsia"/>
        </w:rPr>
        <w:t>发</w:t>
      </w:r>
      <w:r w:rsidRPr="00FD50F6">
        <w:t>的系统参数、授权参数、黑名单等信息，并应下传至</w:t>
      </w:r>
      <w:r w:rsidRPr="00FD50F6">
        <w:rPr>
          <w:rFonts w:hint="eastAsia"/>
        </w:rPr>
        <w:t>就地</w:t>
      </w:r>
      <w:r w:rsidRPr="00FD50F6">
        <w:t>级系统和终端设备；</w:t>
      </w:r>
    </w:p>
    <w:p w14:paraId="2BF268D1" w14:textId="5DC84406" w:rsidR="002E187E" w:rsidRPr="00FD50F6" w:rsidRDefault="002E187E" w:rsidP="00A926BD">
      <w:pPr>
        <w:pStyle w:val="4"/>
      </w:pPr>
      <w:r w:rsidRPr="00FD50F6">
        <w:t>应监控</w:t>
      </w:r>
      <w:r w:rsidRPr="00FD50F6">
        <w:rPr>
          <w:rFonts w:hint="eastAsia"/>
        </w:rPr>
        <w:t>就地</w:t>
      </w:r>
      <w:r w:rsidRPr="00FD50F6">
        <w:t>级系统和终端设备的运行状态，并应将数据上传至线路中</w:t>
      </w:r>
      <w:r w:rsidRPr="00FD50F6">
        <w:rPr>
          <w:rFonts w:hint="eastAsia"/>
        </w:rPr>
        <w:t>心</w:t>
      </w:r>
      <w:r w:rsidRPr="00FD50F6">
        <w:t>级系统；</w:t>
      </w:r>
    </w:p>
    <w:p w14:paraId="0DABF68A" w14:textId="77777777" w:rsidR="002E187E" w:rsidRPr="00FD50F6" w:rsidRDefault="002E187E" w:rsidP="00A926BD">
      <w:pPr>
        <w:pStyle w:val="4"/>
      </w:pPr>
      <w:r w:rsidRPr="00FD50F6">
        <w:t>应进行实时状态监控、报警及打印；</w:t>
      </w:r>
    </w:p>
    <w:p w14:paraId="191DD318" w14:textId="77777777" w:rsidR="002E187E" w:rsidRPr="00FD50F6" w:rsidRDefault="002E187E" w:rsidP="00A926BD">
      <w:pPr>
        <w:pStyle w:val="4"/>
      </w:pPr>
      <w:r w:rsidRPr="00FD50F6">
        <w:t>授权人员可通过系统设定，应临时设置本车站管理区域内的进出权限，并应实现人员权限、区域管理、时间控制、联动控制及人工控制等功能；</w:t>
      </w:r>
    </w:p>
    <w:p w14:paraId="2837F3B9" w14:textId="66E690DD" w:rsidR="002E187E" w:rsidRPr="00FD50F6" w:rsidRDefault="002E187E" w:rsidP="00A926BD">
      <w:pPr>
        <w:pStyle w:val="4"/>
      </w:pPr>
      <w:r w:rsidRPr="00FD50F6">
        <w:rPr>
          <w:rFonts w:hint="eastAsia"/>
        </w:rPr>
        <w:t>当</w:t>
      </w:r>
      <w:r w:rsidRPr="00FD50F6">
        <w:t>线路中</w:t>
      </w:r>
      <w:r w:rsidRPr="00FD50F6">
        <w:rPr>
          <w:rFonts w:hint="eastAsia"/>
        </w:rPr>
        <w:t>心</w:t>
      </w:r>
      <w:r w:rsidRPr="00FD50F6">
        <w:t>级系统发生故障或传输网络中断时，车站级系统应能独立运行。</w:t>
      </w:r>
    </w:p>
    <w:p w14:paraId="058DB5EF" w14:textId="450D95B4" w:rsidR="002E187E" w:rsidRPr="00FD50F6" w:rsidRDefault="002E187E" w:rsidP="002E187E">
      <w:pPr>
        <w:pStyle w:val="30"/>
      </w:pPr>
      <w:r w:rsidRPr="00FD50F6">
        <w:rPr>
          <w:rFonts w:hint="eastAsia"/>
        </w:rPr>
        <w:t>就地</w:t>
      </w:r>
      <w:r w:rsidRPr="00FD50F6">
        <w:t>级系统和终端设备功能应符合下列</w:t>
      </w:r>
      <w:r w:rsidRPr="00FD50F6">
        <w:rPr>
          <w:rFonts w:hint="eastAsia"/>
        </w:rPr>
        <w:t>规定</w:t>
      </w:r>
      <w:r w:rsidRPr="00FD50F6">
        <w:t>：</w:t>
      </w:r>
    </w:p>
    <w:p w14:paraId="28894E5E" w14:textId="6019A89D" w:rsidR="002E187E" w:rsidRPr="00FD50F6" w:rsidRDefault="002E187E" w:rsidP="00A926BD">
      <w:pPr>
        <w:pStyle w:val="4"/>
      </w:pPr>
      <w:r w:rsidRPr="00FD50F6">
        <w:t>车站控制器应接收车站级系统下</w:t>
      </w:r>
      <w:r w:rsidRPr="00FD50F6">
        <w:rPr>
          <w:rFonts w:hint="eastAsia"/>
        </w:rPr>
        <w:t>发</w:t>
      </w:r>
      <w:r w:rsidRPr="00FD50F6">
        <w:t>的系统参数、授权参数、黑名单等信息，并应下传至</w:t>
      </w:r>
      <w:r w:rsidRPr="00FD50F6">
        <w:rPr>
          <w:rFonts w:hint="eastAsia"/>
        </w:rPr>
        <w:t>就</w:t>
      </w:r>
      <w:r w:rsidRPr="00FD50F6">
        <w:t>地控制器；</w:t>
      </w:r>
    </w:p>
    <w:p w14:paraId="36903CFF" w14:textId="53666833" w:rsidR="002E187E" w:rsidRPr="00FD50F6" w:rsidRDefault="002E187E" w:rsidP="00A926BD">
      <w:pPr>
        <w:pStyle w:val="4"/>
      </w:pPr>
      <w:r w:rsidRPr="00FD50F6">
        <w:t>车站控制器应监控</w:t>
      </w:r>
      <w:r w:rsidRPr="00FD50F6">
        <w:rPr>
          <w:rFonts w:hint="eastAsia"/>
        </w:rPr>
        <w:t>就</w:t>
      </w:r>
      <w:r w:rsidRPr="00FD50F6">
        <w:t>地控制器、读卡器等的运行状态，应向车站级系统上传</w:t>
      </w:r>
      <w:r w:rsidRPr="00FD50F6">
        <w:rPr>
          <w:rFonts w:hint="eastAsia"/>
        </w:rPr>
        <w:t>门禁</w:t>
      </w:r>
      <w:r w:rsidRPr="00FD50F6">
        <w:t>卡识别、控制动作、设备运行及门开闭状态等信息；</w:t>
      </w:r>
    </w:p>
    <w:p w14:paraId="5680DC1A" w14:textId="77777777" w:rsidR="002E187E" w:rsidRPr="00FD50F6" w:rsidRDefault="002E187E" w:rsidP="00A926BD">
      <w:pPr>
        <w:pStyle w:val="4"/>
      </w:pPr>
      <w:r w:rsidRPr="00FD50F6">
        <w:t>车站控制器应具备在线、离线、灾害及维修等运行模式；</w:t>
      </w:r>
    </w:p>
    <w:p w14:paraId="2888A6A4" w14:textId="77777777" w:rsidR="002E187E" w:rsidRPr="00FD50F6" w:rsidRDefault="002E187E" w:rsidP="00A926BD">
      <w:pPr>
        <w:pStyle w:val="4"/>
      </w:pPr>
      <w:r w:rsidRPr="00FD50F6">
        <w:t>车站控制器应具有本地数据存储和保护功能；</w:t>
      </w:r>
    </w:p>
    <w:p w14:paraId="1D6DA936" w14:textId="4C0D7626" w:rsidR="002E187E" w:rsidRPr="00FD50F6" w:rsidRDefault="002E187E" w:rsidP="00A926BD">
      <w:pPr>
        <w:pStyle w:val="4"/>
      </w:pPr>
      <w:r w:rsidRPr="00FD50F6">
        <w:rPr>
          <w:rFonts w:hint="eastAsia"/>
        </w:rPr>
        <w:t>就</w:t>
      </w:r>
      <w:r w:rsidRPr="00FD50F6">
        <w:t>地控制器应接收车站控制器下</w:t>
      </w:r>
      <w:r w:rsidRPr="00FD50F6">
        <w:rPr>
          <w:rFonts w:hint="eastAsia"/>
        </w:rPr>
        <w:t>发</w:t>
      </w:r>
      <w:r w:rsidRPr="00FD50F6">
        <w:t>的系统参数、授权参数、黑名单等信息，并应下传至读卡器；</w:t>
      </w:r>
    </w:p>
    <w:p w14:paraId="130148F9" w14:textId="3B7A7B41" w:rsidR="002E187E" w:rsidRPr="00FD50F6" w:rsidRDefault="002E187E" w:rsidP="00A926BD">
      <w:pPr>
        <w:pStyle w:val="4"/>
      </w:pPr>
      <w:r w:rsidRPr="00FD50F6">
        <w:rPr>
          <w:rFonts w:hint="eastAsia"/>
        </w:rPr>
        <w:t>就</w:t>
      </w:r>
      <w:r w:rsidRPr="00FD50F6">
        <w:t>地控制器应监控读卡器等的运行状态，应向车站控制器上传</w:t>
      </w:r>
      <w:r w:rsidRPr="00FD50F6">
        <w:rPr>
          <w:rFonts w:hint="eastAsia"/>
        </w:rPr>
        <w:t>门禁</w:t>
      </w:r>
      <w:r w:rsidRPr="00FD50F6">
        <w:t>卡识别、控制动作、设备运行及门开闭状态等信息；</w:t>
      </w:r>
    </w:p>
    <w:p w14:paraId="33592F75" w14:textId="64D73238" w:rsidR="002E187E" w:rsidRPr="00FD50F6" w:rsidRDefault="002E187E" w:rsidP="00A926BD">
      <w:pPr>
        <w:pStyle w:val="4"/>
      </w:pPr>
      <w:r w:rsidRPr="00FD50F6">
        <w:rPr>
          <w:rFonts w:hint="eastAsia"/>
        </w:rPr>
        <w:t>就</w:t>
      </w:r>
      <w:r w:rsidRPr="00FD50F6">
        <w:t>地控制器应根据指令或权限向读卡器发出动作信号，读卡器应向电子锁发出动作信号，应控制电子锁执行门的开启和锁闭操作；</w:t>
      </w:r>
    </w:p>
    <w:p w14:paraId="7F7E5B6A" w14:textId="2EAE84BB" w:rsidR="002E187E" w:rsidRPr="00FD50F6" w:rsidRDefault="002E187E" w:rsidP="00A926BD">
      <w:pPr>
        <w:pStyle w:val="4"/>
      </w:pPr>
      <w:r w:rsidRPr="00FD50F6">
        <w:rPr>
          <w:rFonts w:hint="eastAsia"/>
        </w:rPr>
        <w:t>就</w:t>
      </w:r>
      <w:r w:rsidRPr="00FD50F6">
        <w:t>地控制器应具备在线、离线、灾害及维修等运行模式；</w:t>
      </w:r>
    </w:p>
    <w:p w14:paraId="2D85EF64" w14:textId="7826D378" w:rsidR="002E187E" w:rsidRPr="00FD50F6" w:rsidRDefault="002E187E" w:rsidP="00A926BD">
      <w:pPr>
        <w:pStyle w:val="4"/>
      </w:pPr>
      <w:r w:rsidRPr="00FD50F6">
        <w:rPr>
          <w:rFonts w:hint="eastAsia"/>
        </w:rPr>
        <w:t>就</w:t>
      </w:r>
      <w:r w:rsidRPr="00FD50F6">
        <w:t>地控制器应具有本地数据存储和保护功能。</w:t>
      </w:r>
    </w:p>
    <w:p w14:paraId="063D88CD" w14:textId="77777777" w:rsidR="002E187E" w:rsidRPr="00FD50F6" w:rsidRDefault="002E187E" w:rsidP="002E187E">
      <w:pPr>
        <w:pStyle w:val="30"/>
      </w:pPr>
      <w:r w:rsidRPr="00FD50F6">
        <w:t>开门应采用出门按钮及紧急开门按钮，当出门按钮失效时，可采用紧急</w:t>
      </w:r>
      <w:r w:rsidRPr="00FD50F6">
        <w:lastRenderedPageBreak/>
        <w:t>开门按钮。</w:t>
      </w:r>
    </w:p>
    <w:p w14:paraId="01B5E02A" w14:textId="77777777" w:rsidR="002E187E" w:rsidRPr="00FD50F6" w:rsidRDefault="002E187E" w:rsidP="002E187E">
      <w:pPr>
        <w:pStyle w:val="30"/>
      </w:pPr>
      <w:r w:rsidRPr="00FD50F6">
        <w:t>电子锁应具有断电释放的功能。</w:t>
      </w:r>
    </w:p>
    <w:p w14:paraId="39656DDF" w14:textId="77777777" w:rsidR="002E187E" w:rsidRPr="00FD50F6" w:rsidRDefault="002E187E" w:rsidP="002E187E">
      <w:pPr>
        <w:pStyle w:val="30"/>
      </w:pPr>
      <w:r w:rsidRPr="00FD50F6">
        <w:t>车站控制室应设通用授权卡，可持卡打开任意受控房间。</w:t>
      </w:r>
    </w:p>
    <w:p w14:paraId="0334C9DA" w14:textId="77777777" w:rsidR="002E187E" w:rsidRPr="00FD50F6" w:rsidRDefault="002E187E" w:rsidP="002E187E">
      <w:pPr>
        <w:keepNext/>
        <w:keepLines/>
        <w:spacing w:beforeLines="50" w:before="120" w:afterLines="50" w:after="120"/>
        <w:jc w:val="center"/>
        <w:outlineLvl w:val="2"/>
        <w:rPr>
          <w:rFonts w:ascii="Calibri" w:hAnsi="Calibri" w:cs="Times New Roman"/>
          <w:b/>
          <w:szCs w:val="32"/>
        </w:rPr>
      </w:pPr>
      <w:bookmarkStart w:id="1109" w:name="_Toc236799588"/>
      <w:bookmarkStart w:id="1110" w:name="_Toc344218858"/>
      <w:bookmarkStart w:id="1111" w:name="_Toc306207249"/>
      <w:bookmarkStart w:id="1112" w:name="_Toc320196107"/>
      <w:bookmarkStart w:id="1113" w:name="_Toc236496128"/>
      <w:bookmarkStart w:id="1114" w:name="_Toc320643496"/>
      <w:bookmarkStart w:id="1115" w:name="_Toc306207440"/>
      <w:r w:rsidRPr="00FD50F6">
        <w:rPr>
          <w:rFonts w:ascii="Calibri" w:hAnsi="Calibri" w:cs="Times New Roman" w:hint="eastAsia"/>
          <w:b/>
          <w:szCs w:val="32"/>
        </w:rPr>
        <w:t>Ⅴ</w:t>
      </w:r>
      <w:r w:rsidRPr="00FD50F6">
        <w:rPr>
          <w:rFonts w:ascii="Calibri" w:hAnsi="Calibri" w:cs="Times New Roman"/>
          <w:b/>
          <w:szCs w:val="32"/>
        </w:rPr>
        <w:t>设备安装要求</w:t>
      </w:r>
      <w:bookmarkEnd w:id="1109"/>
      <w:bookmarkEnd w:id="1110"/>
      <w:bookmarkEnd w:id="1111"/>
      <w:bookmarkEnd w:id="1112"/>
      <w:bookmarkEnd w:id="1113"/>
      <w:bookmarkEnd w:id="1114"/>
      <w:bookmarkEnd w:id="1115"/>
    </w:p>
    <w:p w14:paraId="1B305F67" w14:textId="77777777" w:rsidR="002E187E" w:rsidRPr="00FD50F6" w:rsidRDefault="002E187E" w:rsidP="002E187E">
      <w:pPr>
        <w:pStyle w:val="30"/>
      </w:pPr>
      <w:r w:rsidRPr="00FD50F6">
        <w:rPr>
          <w:rFonts w:hint="eastAsia"/>
        </w:rPr>
        <w:t>门禁</w:t>
      </w:r>
      <w:r w:rsidRPr="00FD50F6">
        <w:t>系统设备及管线应安装和敷设在安全区域。</w:t>
      </w:r>
    </w:p>
    <w:p w14:paraId="29C8B688" w14:textId="048BA51F" w:rsidR="002E187E" w:rsidRPr="00FD50F6" w:rsidRDefault="002E187E" w:rsidP="002E187E">
      <w:pPr>
        <w:pStyle w:val="30"/>
      </w:pPr>
      <w:r w:rsidRPr="00FD50F6">
        <w:t>门禁车站级系统设备宜设在车站控制室</w:t>
      </w:r>
      <w:r w:rsidRPr="00FD50F6">
        <w:rPr>
          <w:rFonts w:hint="eastAsia"/>
        </w:rPr>
        <w:t>、综合监控设备室或自动化设备室</w:t>
      </w:r>
      <w:r w:rsidRPr="00FD50F6">
        <w:t>，具体位置应与运营管理模式相适应。</w:t>
      </w:r>
    </w:p>
    <w:p w14:paraId="140F4E29" w14:textId="4B688D66" w:rsidR="002E187E" w:rsidRPr="00FD50F6" w:rsidRDefault="002E187E" w:rsidP="002E187E">
      <w:pPr>
        <w:pStyle w:val="30"/>
      </w:pPr>
      <w:r w:rsidRPr="00FD50F6">
        <w:t>读卡器在公共区</w:t>
      </w:r>
      <w:r w:rsidRPr="00FD50F6">
        <w:rPr>
          <w:rFonts w:hint="eastAsia"/>
        </w:rPr>
        <w:t>的</w:t>
      </w:r>
      <w:r w:rsidRPr="00FD50F6">
        <w:t>安装方式应与建筑装修协调配合；控制按钮的安装应便于识别和操作。</w:t>
      </w:r>
    </w:p>
    <w:p w14:paraId="2A362AB3" w14:textId="386CBFD5" w:rsidR="002E187E" w:rsidRPr="00FD50F6" w:rsidRDefault="002E187E" w:rsidP="002E187E">
      <w:pPr>
        <w:pStyle w:val="30"/>
      </w:pPr>
      <w:r w:rsidRPr="00FD50F6">
        <w:t>电子锁的安装</w:t>
      </w:r>
      <w:r w:rsidRPr="00FD50F6">
        <w:rPr>
          <w:rFonts w:hint="eastAsia"/>
        </w:rPr>
        <w:t>位置</w:t>
      </w:r>
      <w:r w:rsidRPr="00FD50F6">
        <w:t>应</w:t>
      </w:r>
      <w:r w:rsidRPr="00FD50F6">
        <w:rPr>
          <w:rFonts w:hint="eastAsia"/>
        </w:rPr>
        <w:t>根据</w:t>
      </w:r>
      <w:r w:rsidRPr="00FD50F6">
        <w:t>门体</w:t>
      </w:r>
      <w:r w:rsidRPr="00FD50F6">
        <w:rPr>
          <w:rFonts w:hint="eastAsia"/>
        </w:rPr>
        <w:t>结构特点选取</w:t>
      </w:r>
      <w:r w:rsidRPr="00FD50F6">
        <w:t>，当外力作用在门扇时，门扇的变形应最小。</w:t>
      </w:r>
    </w:p>
    <w:p w14:paraId="7B10EA84" w14:textId="77777777" w:rsidR="002E187E" w:rsidRPr="00FD50F6" w:rsidRDefault="002E187E" w:rsidP="002E187E">
      <w:pPr>
        <w:keepNext/>
        <w:keepLines/>
        <w:spacing w:beforeLines="50" w:before="120" w:afterLines="50" w:after="120"/>
        <w:jc w:val="center"/>
        <w:outlineLvl w:val="2"/>
        <w:rPr>
          <w:rFonts w:ascii="Calibri" w:hAnsi="Calibri" w:cs="Times New Roman"/>
          <w:b/>
          <w:szCs w:val="32"/>
        </w:rPr>
      </w:pPr>
      <w:bookmarkStart w:id="1116" w:name="_Toc320196108"/>
      <w:bookmarkStart w:id="1117" w:name="_Toc306207250"/>
      <w:bookmarkStart w:id="1118" w:name="_Toc344218859"/>
      <w:bookmarkStart w:id="1119" w:name="_Toc236496129"/>
      <w:bookmarkStart w:id="1120" w:name="_Toc306207441"/>
      <w:bookmarkStart w:id="1121" w:name="_Toc236799589"/>
      <w:bookmarkStart w:id="1122" w:name="_Toc320643497"/>
      <w:r w:rsidRPr="00FD50F6">
        <w:rPr>
          <w:rFonts w:ascii="Calibri" w:hAnsi="Calibri" w:cs="Times New Roman" w:hint="eastAsia"/>
          <w:b/>
          <w:szCs w:val="32"/>
        </w:rPr>
        <w:t>Ⅵ</w:t>
      </w:r>
      <w:r w:rsidRPr="00FD50F6">
        <w:rPr>
          <w:rFonts w:ascii="Calibri" w:hAnsi="Calibri" w:cs="Times New Roman"/>
          <w:b/>
          <w:szCs w:val="32"/>
        </w:rPr>
        <w:t>系统接口</w:t>
      </w:r>
      <w:bookmarkEnd w:id="1116"/>
      <w:bookmarkEnd w:id="1117"/>
      <w:bookmarkEnd w:id="1118"/>
      <w:bookmarkEnd w:id="1119"/>
      <w:bookmarkEnd w:id="1120"/>
      <w:bookmarkEnd w:id="1121"/>
      <w:bookmarkEnd w:id="1122"/>
    </w:p>
    <w:p w14:paraId="5301D3D2" w14:textId="5FA52E3D" w:rsidR="002E187E" w:rsidRPr="00FD50F6" w:rsidRDefault="002E187E" w:rsidP="002E187E">
      <w:pPr>
        <w:pStyle w:val="30"/>
      </w:pPr>
      <w:r w:rsidRPr="00FD50F6">
        <w:t>门禁系统应具有与</w:t>
      </w:r>
      <w:r w:rsidRPr="00FD50F6">
        <w:rPr>
          <w:rFonts w:hint="eastAsia"/>
        </w:rPr>
        <w:t>线网门禁授权、</w:t>
      </w:r>
      <w:r w:rsidRPr="00FD50F6">
        <w:t>通信、综合监控、</w:t>
      </w:r>
      <w:r w:rsidRPr="00FD50F6">
        <w:rPr>
          <w:rFonts w:hint="eastAsia"/>
        </w:rPr>
        <w:t>视频监控、</w:t>
      </w:r>
      <w:r w:rsidRPr="00FD50F6">
        <w:t>安防</w:t>
      </w:r>
      <w:r w:rsidRPr="00FD50F6">
        <w:rPr>
          <w:rFonts w:hint="eastAsia"/>
        </w:rPr>
        <w:t>集成平台</w:t>
      </w:r>
      <w:r w:rsidRPr="00FD50F6">
        <w:t>、火灾自动报警、</w:t>
      </w:r>
      <w:r w:rsidRPr="00FD50F6">
        <w:rPr>
          <w:rFonts w:hint="eastAsia"/>
        </w:rPr>
        <w:t>动力配电照明</w:t>
      </w:r>
      <w:r w:rsidRPr="00FD50F6">
        <w:t>等系统及建筑专业的接口。</w:t>
      </w:r>
    </w:p>
    <w:p w14:paraId="08280186" w14:textId="77777777" w:rsidR="002E187E" w:rsidRPr="00FD50F6" w:rsidRDefault="002E187E" w:rsidP="002E187E">
      <w:pPr>
        <w:pStyle w:val="30"/>
      </w:pPr>
      <w:r w:rsidRPr="00FD50F6">
        <w:t>门禁系统和设备应按一级负荷供电；系统接地应接入综合接地网，接地电阻不应大于</w:t>
      </w:r>
      <w:r w:rsidRPr="00FD50F6">
        <w:t>1Ω</w:t>
      </w:r>
      <w:r w:rsidRPr="00FD50F6">
        <w:t>。</w:t>
      </w:r>
    </w:p>
    <w:p w14:paraId="01CF2A2E" w14:textId="77777777" w:rsidR="002E187E" w:rsidRPr="00FD50F6" w:rsidRDefault="002E187E" w:rsidP="00A65181">
      <w:pPr>
        <w:pStyle w:val="2"/>
      </w:pPr>
      <w:bookmarkStart w:id="1123" w:name="_Toc112830835"/>
      <w:r w:rsidRPr="00FD50F6">
        <w:rPr>
          <w:rFonts w:hint="eastAsia"/>
        </w:rPr>
        <w:t>安全检查及探测系统</w:t>
      </w:r>
      <w:bookmarkEnd w:id="1123"/>
    </w:p>
    <w:p w14:paraId="0391D88B" w14:textId="5EEBC010" w:rsidR="002E187E" w:rsidRPr="00FD50F6" w:rsidRDefault="002E187E" w:rsidP="002E187E">
      <w:pPr>
        <w:pStyle w:val="30"/>
      </w:pPr>
      <w:r w:rsidRPr="00FD50F6">
        <w:rPr>
          <w:rFonts w:hint="eastAsia"/>
        </w:rPr>
        <w:t>安检设备设施应根据车站预测初近期客流量进行设置，并</w:t>
      </w:r>
      <w:r w:rsidRPr="00E65C54">
        <w:rPr>
          <w:rFonts w:hint="eastAsia"/>
        </w:rPr>
        <w:t>应</w:t>
      </w:r>
      <w:r w:rsidRPr="00FD50F6">
        <w:rPr>
          <w:rFonts w:hint="eastAsia"/>
        </w:rPr>
        <w:t>为预测远期客流预留相关条件。</w:t>
      </w:r>
    </w:p>
    <w:p w14:paraId="0D2CF7F6" w14:textId="07117946" w:rsidR="002E187E" w:rsidRPr="00FD50F6" w:rsidRDefault="002E187E" w:rsidP="002E187E">
      <w:pPr>
        <w:pStyle w:val="30"/>
      </w:pPr>
      <w:r w:rsidRPr="00FD50F6">
        <w:rPr>
          <w:rFonts w:hint="eastAsia"/>
        </w:rPr>
        <w:t>安检点设置宜根据进出站及安检流线布置站内设施，应满足安检排队、候检空间，并应满足紧急疏散的要求。</w:t>
      </w:r>
    </w:p>
    <w:p w14:paraId="113149F7" w14:textId="14ADB207" w:rsidR="002E187E" w:rsidRPr="00FD50F6" w:rsidRDefault="002E187E" w:rsidP="002E187E">
      <w:pPr>
        <w:pStyle w:val="30"/>
      </w:pPr>
      <w:r w:rsidRPr="00FD50F6">
        <w:rPr>
          <w:rFonts w:hint="eastAsia"/>
        </w:rPr>
        <w:t>与机场、火车站、汽车站等一体化建设的交通枢纽站安检宜统筹建设，宜采用联防联控、安检互认的方式，当条件不具备时，应预留远期安检互认的方案实施条件。</w:t>
      </w:r>
    </w:p>
    <w:p w14:paraId="2AEF3664" w14:textId="66937DDF" w:rsidR="002E187E" w:rsidRPr="00FD50F6" w:rsidRDefault="002E187E" w:rsidP="002E187E">
      <w:pPr>
        <w:pStyle w:val="30"/>
      </w:pPr>
      <w:r w:rsidRPr="00FD50F6">
        <w:rPr>
          <w:rFonts w:hint="eastAsia"/>
        </w:rPr>
        <w:t>安全检查及探测系统宜由监控管理系统、现场终端设备构成，现场终端设备宜包括</w:t>
      </w:r>
      <w:r w:rsidRPr="00FD50F6">
        <w:t>X</w:t>
      </w:r>
      <w:r w:rsidRPr="00FD50F6">
        <w:t>射线检查设备</w:t>
      </w:r>
      <w:r w:rsidRPr="00FD50F6">
        <w:rPr>
          <w:rFonts w:hint="eastAsia"/>
        </w:rPr>
        <w:t>、通过式金属探测设备、炸药探测设备、液态危险品探测设备、手持式金属探测设备等组成。安全检查及探测系统的</w:t>
      </w:r>
      <w:r w:rsidRPr="00FD50F6">
        <w:t>监控管理系</w:t>
      </w:r>
      <w:r w:rsidRPr="00FD50F6">
        <w:lastRenderedPageBreak/>
        <w:t>统</w:t>
      </w:r>
      <w:r w:rsidRPr="00FD50F6">
        <w:rPr>
          <w:rFonts w:hint="eastAsia"/>
        </w:rPr>
        <w:t>宜由安防集成平台</w:t>
      </w:r>
      <w:r w:rsidRPr="00FD50F6">
        <w:t>实现集成。</w:t>
      </w:r>
    </w:p>
    <w:p w14:paraId="2F8F73B6" w14:textId="07DA4FB5" w:rsidR="002E187E" w:rsidRPr="00FD50F6" w:rsidRDefault="002E187E" w:rsidP="002E187E">
      <w:pPr>
        <w:pStyle w:val="30"/>
      </w:pPr>
      <w:r w:rsidRPr="00FD50F6">
        <w:rPr>
          <w:rFonts w:hint="eastAsia"/>
        </w:rPr>
        <w:t>安全检查及探测系统应具备联网监控功能，现场终端设备应将检测数据、报警信息、设备状态等信息上传至监控管理系统，接受监控管理系统命令并响应。</w:t>
      </w:r>
    </w:p>
    <w:p w14:paraId="2D56CC22" w14:textId="77777777" w:rsidR="002E187E" w:rsidRPr="00FD50F6" w:rsidRDefault="002E187E" w:rsidP="002E187E">
      <w:pPr>
        <w:pStyle w:val="30"/>
      </w:pPr>
      <w:r w:rsidRPr="00FD50F6">
        <w:rPr>
          <w:rFonts w:hint="eastAsia"/>
        </w:rPr>
        <w:t>现场终端设备宜布置在车站出入口外部、出入口通道或站厅内。</w:t>
      </w:r>
    </w:p>
    <w:p w14:paraId="75E204F9" w14:textId="44796B70" w:rsidR="002E187E" w:rsidRPr="00FD50F6" w:rsidRDefault="002E187E" w:rsidP="002E187E">
      <w:pPr>
        <w:pStyle w:val="30"/>
      </w:pPr>
      <w:r w:rsidRPr="00FD50F6">
        <w:rPr>
          <w:rFonts w:hint="eastAsia"/>
        </w:rPr>
        <w:t>现场终端设备最大通过能力宜符合表</w:t>
      </w:r>
      <w:r w:rsidR="00232AC3" w:rsidRPr="00FD50F6">
        <w:t>24</w:t>
      </w:r>
      <w:r w:rsidRPr="00FD50F6">
        <w:t>.4.7</w:t>
      </w:r>
      <w:r w:rsidRPr="00FD50F6">
        <w:rPr>
          <w:rFonts w:hint="eastAsia"/>
        </w:rPr>
        <w:t>的规定。</w:t>
      </w:r>
    </w:p>
    <w:p w14:paraId="7AE5AF60" w14:textId="188C9AF9" w:rsidR="002E187E" w:rsidRPr="00FD50F6" w:rsidRDefault="002E187E" w:rsidP="002E187E">
      <w:pPr>
        <w:pStyle w:val="6"/>
      </w:pPr>
      <w:r w:rsidRPr="00FD50F6">
        <w:rPr>
          <w:rFonts w:hint="eastAsia"/>
        </w:rPr>
        <w:t>表</w:t>
      </w:r>
      <w:r w:rsidR="00232AC3" w:rsidRPr="00FD50F6">
        <w:rPr>
          <w:szCs w:val="22"/>
        </w:rPr>
        <w:t>24</w:t>
      </w:r>
      <w:r w:rsidRPr="00FD50F6">
        <w:rPr>
          <w:szCs w:val="22"/>
        </w:rPr>
        <w:t>.4.7</w:t>
      </w:r>
      <w:r w:rsidRPr="00FD50F6">
        <w:rPr>
          <w:rFonts w:hint="eastAsia"/>
        </w:rPr>
        <w:t>现场终端设备最大通过能力</w:t>
      </w:r>
    </w:p>
    <w:tbl>
      <w:tblPr>
        <w:tblStyle w:val="47"/>
        <w:tblW w:w="8522" w:type="dxa"/>
        <w:tblLayout w:type="fixed"/>
        <w:tblLook w:val="04A0" w:firstRow="1" w:lastRow="0" w:firstColumn="1" w:lastColumn="0" w:noHBand="0" w:noVBand="1"/>
      </w:tblPr>
      <w:tblGrid>
        <w:gridCol w:w="817"/>
        <w:gridCol w:w="4111"/>
        <w:gridCol w:w="3594"/>
      </w:tblGrid>
      <w:tr w:rsidR="00FD50F6" w:rsidRPr="00FD50F6" w14:paraId="40CDA8F8" w14:textId="77777777" w:rsidTr="000831EC">
        <w:tc>
          <w:tcPr>
            <w:tcW w:w="817" w:type="dxa"/>
            <w:tcBorders>
              <w:top w:val="single" w:sz="4" w:space="0" w:color="auto"/>
              <w:left w:val="single" w:sz="4" w:space="0" w:color="auto"/>
              <w:bottom w:val="single" w:sz="4" w:space="0" w:color="auto"/>
              <w:right w:val="single" w:sz="4" w:space="0" w:color="auto"/>
            </w:tcBorders>
          </w:tcPr>
          <w:p w14:paraId="5885FDDE" w14:textId="77777777" w:rsidR="002E187E" w:rsidRPr="00FD50F6" w:rsidRDefault="002E187E" w:rsidP="000831EC">
            <w:pPr>
              <w:pStyle w:val="7"/>
              <w:outlineLvl w:val="6"/>
              <w:rPr>
                <w:rFonts w:ascii="Calibri" w:eastAsiaTheme="minorEastAsia" w:hAnsi="Calibri" w:cs="Times New Roman"/>
              </w:rPr>
            </w:pPr>
            <w:r w:rsidRPr="00FD50F6">
              <w:rPr>
                <w:rFonts w:ascii="宋体" w:hAnsi="宋体" w:cs="宋体" w:hint="eastAsia"/>
              </w:rPr>
              <w:t>序号</w:t>
            </w:r>
          </w:p>
        </w:tc>
        <w:tc>
          <w:tcPr>
            <w:tcW w:w="4111" w:type="dxa"/>
            <w:tcBorders>
              <w:top w:val="single" w:sz="4" w:space="0" w:color="auto"/>
              <w:left w:val="single" w:sz="4" w:space="0" w:color="auto"/>
              <w:bottom w:val="single" w:sz="4" w:space="0" w:color="auto"/>
              <w:right w:val="single" w:sz="4" w:space="0" w:color="auto"/>
            </w:tcBorders>
          </w:tcPr>
          <w:p w14:paraId="27692190" w14:textId="77777777" w:rsidR="002E187E" w:rsidRPr="00FD50F6" w:rsidRDefault="002E187E" w:rsidP="000831EC">
            <w:pPr>
              <w:pStyle w:val="7"/>
              <w:outlineLvl w:val="6"/>
              <w:rPr>
                <w:rFonts w:ascii="Calibri" w:eastAsiaTheme="minorEastAsia" w:hAnsi="Calibri" w:cs="Times New Roman"/>
              </w:rPr>
            </w:pPr>
            <w:r w:rsidRPr="00FD50F6">
              <w:rPr>
                <w:rFonts w:ascii="宋体" w:hAnsi="宋体" w:cs="宋体" w:hint="eastAsia"/>
              </w:rPr>
              <w:t>安检设备</w:t>
            </w:r>
          </w:p>
        </w:tc>
        <w:tc>
          <w:tcPr>
            <w:tcW w:w="3594" w:type="dxa"/>
            <w:tcBorders>
              <w:top w:val="single" w:sz="4" w:space="0" w:color="auto"/>
              <w:left w:val="single" w:sz="4" w:space="0" w:color="auto"/>
              <w:bottom w:val="single" w:sz="4" w:space="0" w:color="auto"/>
              <w:right w:val="single" w:sz="4" w:space="0" w:color="auto"/>
            </w:tcBorders>
          </w:tcPr>
          <w:p w14:paraId="07396B15" w14:textId="77777777" w:rsidR="002E187E" w:rsidRPr="00FD50F6" w:rsidRDefault="002E187E" w:rsidP="000831EC">
            <w:pPr>
              <w:pStyle w:val="7"/>
              <w:outlineLvl w:val="6"/>
              <w:rPr>
                <w:rFonts w:ascii="Calibri" w:eastAsiaTheme="minorEastAsia" w:hAnsi="Calibri" w:cs="Times New Roman"/>
              </w:rPr>
            </w:pPr>
            <w:r w:rsidRPr="00FD50F6">
              <w:rPr>
                <w:rFonts w:ascii="宋体" w:hAnsi="宋体" w:cs="宋体" w:hint="eastAsia"/>
              </w:rPr>
              <w:t>最大通过能力</w:t>
            </w:r>
          </w:p>
        </w:tc>
      </w:tr>
      <w:tr w:rsidR="00FD50F6" w:rsidRPr="00FD50F6" w14:paraId="2B50895B" w14:textId="77777777" w:rsidTr="000831EC">
        <w:tc>
          <w:tcPr>
            <w:tcW w:w="817" w:type="dxa"/>
            <w:tcBorders>
              <w:top w:val="single" w:sz="4" w:space="0" w:color="auto"/>
              <w:left w:val="single" w:sz="4" w:space="0" w:color="auto"/>
              <w:bottom w:val="single" w:sz="4" w:space="0" w:color="auto"/>
              <w:right w:val="single" w:sz="4" w:space="0" w:color="auto"/>
            </w:tcBorders>
          </w:tcPr>
          <w:p w14:paraId="2CD80F9B" w14:textId="77777777" w:rsidR="002E187E" w:rsidRPr="00FD50F6" w:rsidRDefault="002E187E" w:rsidP="000831EC">
            <w:pPr>
              <w:pStyle w:val="7"/>
              <w:outlineLvl w:val="6"/>
              <w:rPr>
                <w:rFonts w:ascii="Calibri" w:eastAsiaTheme="minorEastAsia" w:hAnsi="Calibri" w:cs="Times New Roman"/>
              </w:rPr>
            </w:pPr>
            <w:r w:rsidRPr="00FD50F6">
              <w:rPr>
                <w:rFonts w:ascii="Calibri" w:hAnsi="Calibri" w:cs="Times New Roman"/>
              </w:rPr>
              <w:t>1</w:t>
            </w:r>
          </w:p>
        </w:tc>
        <w:tc>
          <w:tcPr>
            <w:tcW w:w="4111" w:type="dxa"/>
            <w:tcBorders>
              <w:top w:val="single" w:sz="4" w:space="0" w:color="auto"/>
              <w:left w:val="single" w:sz="4" w:space="0" w:color="auto"/>
              <w:bottom w:val="single" w:sz="4" w:space="0" w:color="auto"/>
              <w:right w:val="single" w:sz="4" w:space="0" w:color="auto"/>
            </w:tcBorders>
          </w:tcPr>
          <w:p w14:paraId="77DB7B28" w14:textId="77777777" w:rsidR="002E187E" w:rsidRPr="00FD50F6" w:rsidRDefault="002E187E" w:rsidP="000831EC">
            <w:pPr>
              <w:pStyle w:val="7"/>
              <w:outlineLvl w:val="6"/>
              <w:rPr>
                <w:rFonts w:ascii="Calibri" w:eastAsiaTheme="minorEastAsia" w:hAnsi="Calibri" w:cs="Times New Roman"/>
              </w:rPr>
            </w:pPr>
            <w:r w:rsidRPr="00FD50F6">
              <w:rPr>
                <w:rFonts w:ascii="Calibri" w:hAnsi="Calibri" w:cs="Times New Roman"/>
              </w:rPr>
              <w:t>X</w:t>
            </w:r>
            <w:r w:rsidRPr="00FD50F6">
              <w:rPr>
                <w:rFonts w:ascii="宋体" w:hAnsi="宋体" w:cs="宋体" w:hint="eastAsia"/>
              </w:rPr>
              <w:t>射线检查设备</w:t>
            </w:r>
          </w:p>
        </w:tc>
        <w:tc>
          <w:tcPr>
            <w:tcW w:w="3594" w:type="dxa"/>
            <w:tcBorders>
              <w:top w:val="single" w:sz="4" w:space="0" w:color="auto"/>
              <w:left w:val="single" w:sz="4" w:space="0" w:color="auto"/>
              <w:bottom w:val="single" w:sz="4" w:space="0" w:color="auto"/>
              <w:right w:val="single" w:sz="4" w:space="0" w:color="auto"/>
            </w:tcBorders>
          </w:tcPr>
          <w:p w14:paraId="3A10A32B" w14:textId="65221268" w:rsidR="002E187E" w:rsidRPr="00FD50F6" w:rsidRDefault="002E187E" w:rsidP="000831EC">
            <w:pPr>
              <w:pStyle w:val="7"/>
              <w:outlineLvl w:val="6"/>
              <w:rPr>
                <w:rFonts w:ascii="Calibri" w:eastAsiaTheme="minorEastAsia" w:hAnsi="Calibri" w:cs="Times New Roman"/>
              </w:rPr>
            </w:pPr>
            <w:r w:rsidRPr="00FD50F6">
              <w:rPr>
                <w:rFonts w:ascii="Calibri" w:hAnsi="Calibri" w:cs="Times New Roman"/>
              </w:rPr>
              <w:t>1200</w:t>
            </w:r>
            <w:r w:rsidRPr="00FD50F6">
              <w:rPr>
                <w:rFonts w:ascii="宋体" w:hAnsi="宋体" w:cs="宋体" w:hint="eastAsia"/>
              </w:rPr>
              <w:t>行李</w:t>
            </w:r>
            <w:r w:rsidRPr="00FD50F6">
              <w:rPr>
                <w:rFonts w:ascii="Calibri" w:hAnsi="Calibri" w:cs="Times New Roman" w:hint="eastAsia"/>
              </w:rPr>
              <w:t>/</w:t>
            </w:r>
            <w:r w:rsidRPr="00FD50F6">
              <w:rPr>
                <w:rFonts w:ascii="宋体" w:hAnsi="宋体" w:cs="宋体" w:hint="eastAsia"/>
              </w:rPr>
              <w:t>h</w:t>
            </w:r>
          </w:p>
        </w:tc>
      </w:tr>
      <w:tr w:rsidR="00FD50F6" w:rsidRPr="00FD50F6" w14:paraId="5D19B0FB" w14:textId="77777777" w:rsidTr="000831EC">
        <w:tc>
          <w:tcPr>
            <w:tcW w:w="817" w:type="dxa"/>
            <w:tcBorders>
              <w:top w:val="single" w:sz="4" w:space="0" w:color="auto"/>
              <w:left w:val="single" w:sz="4" w:space="0" w:color="auto"/>
              <w:bottom w:val="single" w:sz="4" w:space="0" w:color="auto"/>
              <w:right w:val="single" w:sz="4" w:space="0" w:color="auto"/>
            </w:tcBorders>
          </w:tcPr>
          <w:p w14:paraId="4BB22EA4" w14:textId="77777777" w:rsidR="002E187E" w:rsidRPr="00FD50F6" w:rsidRDefault="002E187E" w:rsidP="000831EC">
            <w:pPr>
              <w:pStyle w:val="7"/>
              <w:outlineLvl w:val="6"/>
              <w:rPr>
                <w:rFonts w:ascii="Calibri" w:eastAsiaTheme="minorEastAsia" w:hAnsi="Calibri" w:cs="Times New Roman"/>
              </w:rPr>
            </w:pPr>
            <w:r w:rsidRPr="00FD50F6">
              <w:rPr>
                <w:rFonts w:ascii="Calibri" w:hAnsi="Calibri" w:cs="Times New Roman"/>
              </w:rPr>
              <w:t>2</w:t>
            </w:r>
          </w:p>
        </w:tc>
        <w:tc>
          <w:tcPr>
            <w:tcW w:w="4111" w:type="dxa"/>
            <w:tcBorders>
              <w:top w:val="single" w:sz="4" w:space="0" w:color="auto"/>
              <w:left w:val="single" w:sz="4" w:space="0" w:color="auto"/>
              <w:bottom w:val="single" w:sz="4" w:space="0" w:color="auto"/>
              <w:right w:val="single" w:sz="4" w:space="0" w:color="auto"/>
            </w:tcBorders>
          </w:tcPr>
          <w:p w14:paraId="0DB42777" w14:textId="77777777" w:rsidR="002E187E" w:rsidRPr="00FD50F6" w:rsidRDefault="002E187E" w:rsidP="000831EC">
            <w:pPr>
              <w:pStyle w:val="7"/>
              <w:outlineLvl w:val="6"/>
              <w:rPr>
                <w:rFonts w:ascii="Calibri" w:eastAsiaTheme="minorEastAsia" w:hAnsi="Calibri" w:cs="Times New Roman"/>
              </w:rPr>
            </w:pPr>
            <w:r w:rsidRPr="00FD50F6">
              <w:rPr>
                <w:rFonts w:ascii="宋体" w:hAnsi="宋体" w:cs="宋体" w:hint="eastAsia"/>
              </w:rPr>
              <w:t>通过式金属探测设备</w:t>
            </w:r>
          </w:p>
        </w:tc>
        <w:tc>
          <w:tcPr>
            <w:tcW w:w="3594" w:type="dxa"/>
            <w:tcBorders>
              <w:top w:val="single" w:sz="4" w:space="0" w:color="auto"/>
              <w:left w:val="single" w:sz="4" w:space="0" w:color="auto"/>
              <w:bottom w:val="single" w:sz="4" w:space="0" w:color="auto"/>
              <w:right w:val="single" w:sz="4" w:space="0" w:color="auto"/>
            </w:tcBorders>
          </w:tcPr>
          <w:p w14:paraId="535ACA8F" w14:textId="6728FDDA" w:rsidR="002E187E" w:rsidRPr="00FD50F6" w:rsidRDefault="002E187E" w:rsidP="000831EC">
            <w:pPr>
              <w:pStyle w:val="7"/>
              <w:outlineLvl w:val="6"/>
              <w:rPr>
                <w:rFonts w:ascii="Calibri" w:eastAsiaTheme="minorEastAsia" w:hAnsi="Calibri" w:cs="Times New Roman"/>
              </w:rPr>
            </w:pPr>
            <w:r w:rsidRPr="00FD50F6">
              <w:rPr>
                <w:rFonts w:ascii="Calibri" w:hAnsi="Calibri" w:cs="Times New Roman"/>
              </w:rPr>
              <w:t>2400</w:t>
            </w:r>
            <w:r w:rsidRPr="00FD50F6">
              <w:rPr>
                <w:rFonts w:ascii="宋体" w:hAnsi="宋体" w:cs="宋体" w:hint="eastAsia"/>
              </w:rPr>
              <w:t>人次</w:t>
            </w:r>
            <w:r w:rsidRPr="00FD50F6">
              <w:rPr>
                <w:rFonts w:ascii="Calibri" w:hAnsi="Calibri" w:cs="Times New Roman"/>
              </w:rPr>
              <w:t>/</w:t>
            </w:r>
            <w:r w:rsidRPr="00FD50F6">
              <w:rPr>
                <w:rFonts w:ascii="宋体" w:hAnsi="宋体" w:cs="宋体"/>
              </w:rPr>
              <w:t>h</w:t>
            </w:r>
          </w:p>
        </w:tc>
      </w:tr>
    </w:tbl>
    <w:p w14:paraId="3DA76FA4" w14:textId="523FD237" w:rsidR="002E187E" w:rsidRPr="00FD50F6" w:rsidRDefault="002E187E" w:rsidP="002E187E">
      <w:pPr>
        <w:pStyle w:val="30"/>
      </w:pPr>
      <w:r w:rsidRPr="00FD50F6">
        <w:t>X</w:t>
      </w:r>
      <w:r w:rsidRPr="00FD50F6">
        <w:t>射线检查设备</w:t>
      </w:r>
      <w:r w:rsidRPr="00FD50F6">
        <w:rPr>
          <w:rFonts w:hint="eastAsia"/>
        </w:rPr>
        <w:t>应具有水平和垂直两个视角成像功能，宜应用智能判图软件提升判图准确率、减少判图时间。</w:t>
      </w:r>
    </w:p>
    <w:p w14:paraId="5B72B3FA" w14:textId="7320E00B" w:rsidR="002E187E" w:rsidRPr="00FD50F6" w:rsidRDefault="002E187E" w:rsidP="002E187E">
      <w:pPr>
        <w:pStyle w:val="30"/>
      </w:pPr>
      <w:r w:rsidRPr="00FD50F6">
        <w:rPr>
          <w:rFonts w:hint="eastAsia"/>
        </w:rPr>
        <w:t>安全检查及探测系统的</w:t>
      </w:r>
      <w:r w:rsidRPr="00FD50F6">
        <w:t>监控管理系统</w:t>
      </w:r>
      <w:r w:rsidRPr="00FD50F6">
        <w:rPr>
          <w:rFonts w:hint="eastAsia"/>
        </w:rPr>
        <w:t>宜具备远程判图功能及判图人力资源综合调度功能。</w:t>
      </w:r>
    </w:p>
    <w:p w14:paraId="5A6F7002" w14:textId="37D8EE16" w:rsidR="002E187E" w:rsidRPr="00FD50F6" w:rsidRDefault="002E187E" w:rsidP="002E187E">
      <w:pPr>
        <w:pStyle w:val="30"/>
      </w:pPr>
      <w:r w:rsidRPr="00FD50F6">
        <w:rPr>
          <w:rFonts w:hint="eastAsia"/>
        </w:rPr>
        <w:t>通过式金属探测设备宜具备智能视频分析及无感生物特征识别功能，实现进站乘客实名验证，并能将</w:t>
      </w:r>
      <w:r w:rsidRPr="00FD50F6">
        <w:t>X</w:t>
      </w:r>
      <w:r w:rsidRPr="00FD50F6">
        <w:t>射线检查设备</w:t>
      </w:r>
      <w:r w:rsidRPr="00FD50F6">
        <w:rPr>
          <w:rFonts w:hint="eastAsia"/>
        </w:rPr>
        <w:t>通过的行李与行李主人进行人物关联。</w:t>
      </w:r>
    </w:p>
    <w:p w14:paraId="0028F60A" w14:textId="77777777" w:rsidR="002E187E" w:rsidRPr="00FD50F6" w:rsidRDefault="002E187E" w:rsidP="002E187E">
      <w:pPr>
        <w:pStyle w:val="30"/>
      </w:pPr>
      <w:r w:rsidRPr="00FD50F6">
        <w:rPr>
          <w:rFonts w:hint="eastAsia"/>
        </w:rPr>
        <w:t>安检设备电源应为一级负荷。每处安检点均应设置带漏电保护功能的电源插座箱。</w:t>
      </w:r>
    </w:p>
    <w:p w14:paraId="3E739408" w14:textId="77777777" w:rsidR="002E187E" w:rsidRPr="00FD50F6" w:rsidRDefault="002E187E" w:rsidP="00A65181">
      <w:pPr>
        <w:pStyle w:val="2"/>
      </w:pPr>
      <w:bookmarkStart w:id="1124" w:name="_Toc112830836"/>
      <w:r w:rsidRPr="00FD50F6">
        <w:rPr>
          <w:rFonts w:hint="eastAsia"/>
        </w:rPr>
        <w:t>视频监视系统</w:t>
      </w:r>
      <w:bookmarkEnd w:id="1124"/>
    </w:p>
    <w:p w14:paraId="7302CBCC" w14:textId="77777777" w:rsidR="002E187E" w:rsidRPr="00FD50F6" w:rsidRDefault="002E187E" w:rsidP="002E187E">
      <w:pPr>
        <w:pStyle w:val="30"/>
      </w:pPr>
      <w:r w:rsidRPr="00FD50F6">
        <w:rPr>
          <w:rFonts w:hint="eastAsia"/>
        </w:rPr>
        <w:t>车站视频监控系统应对站厅、站台、出入口、换乘通道、设备区主要出入口、车站隧道进出区域、风亭进行有效的覆盖。</w:t>
      </w:r>
    </w:p>
    <w:p w14:paraId="4D5157FB" w14:textId="77777777" w:rsidR="002E187E" w:rsidRPr="00FD50F6" w:rsidRDefault="002E187E" w:rsidP="002E187E">
      <w:pPr>
        <w:pStyle w:val="30"/>
      </w:pPr>
      <w:r w:rsidRPr="00FD50F6">
        <w:rPr>
          <w:rFonts w:hint="eastAsia"/>
        </w:rPr>
        <w:t>车辆基地视频监视系统宜覆盖车辆基地主要出入口、周界防护网、出入段线洞口、咽喉区、网轨转换处、洗车机处、主要建筑物出入口、材料库（棚）、运用库、联合检修库、工程车库、物质库、平交道口、食堂内部、乘务员公寓楼层出入口、机动车和非机动车停车区域、全自动运行区等。</w:t>
      </w:r>
    </w:p>
    <w:p w14:paraId="44A91039" w14:textId="45891709" w:rsidR="002E187E" w:rsidRPr="00FD50F6" w:rsidRDefault="002E187E" w:rsidP="002E187E">
      <w:pPr>
        <w:pStyle w:val="30"/>
      </w:pPr>
      <w:r w:rsidRPr="00FD50F6">
        <w:rPr>
          <w:rFonts w:hint="eastAsia"/>
        </w:rPr>
        <w:t>区间视频监视系统宜覆盖区间风井出入口、防淹门、人防门、道岔区、</w:t>
      </w:r>
      <w:r w:rsidR="00C1563B" w:rsidRPr="00FD50F6">
        <w:rPr>
          <w:rFonts w:hint="eastAsia"/>
        </w:rPr>
        <w:t>区间联络通道</w:t>
      </w:r>
      <w:r w:rsidRPr="00FD50F6">
        <w:rPr>
          <w:rFonts w:hint="eastAsia"/>
        </w:rPr>
        <w:t>等区域。</w:t>
      </w:r>
    </w:p>
    <w:p w14:paraId="24E044F5" w14:textId="77777777" w:rsidR="002E187E" w:rsidRPr="00FD50F6" w:rsidRDefault="002E187E" w:rsidP="002E187E">
      <w:pPr>
        <w:pStyle w:val="30"/>
      </w:pPr>
      <w:r w:rsidRPr="00FD50F6">
        <w:rPr>
          <w:rFonts w:hint="eastAsia"/>
        </w:rPr>
        <w:t>列车视频监视系统宜覆盖司机驾驶室、列车前进方向轨道、列车车厢、列车受电弓。</w:t>
      </w:r>
    </w:p>
    <w:p w14:paraId="1759C0DB" w14:textId="547A07BE" w:rsidR="002E187E" w:rsidRPr="00FD50F6" w:rsidRDefault="002E187E" w:rsidP="000831EC">
      <w:pPr>
        <w:pStyle w:val="30"/>
      </w:pPr>
      <w:r w:rsidRPr="00FD50F6">
        <w:rPr>
          <w:rFonts w:hint="eastAsia"/>
        </w:rPr>
        <w:lastRenderedPageBreak/>
        <w:t>主变电站视频监视系统宜覆盖主变电站周界、出入口等区域。</w:t>
      </w:r>
    </w:p>
    <w:p w14:paraId="69483EBD" w14:textId="77777777" w:rsidR="002E187E" w:rsidRPr="00FD50F6" w:rsidRDefault="002E187E" w:rsidP="002E187E">
      <w:pPr>
        <w:pStyle w:val="30"/>
      </w:pPr>
      <w:r w:rsidRPr="00FD50F6">
        <w:rPr>
          <w:rFonts w:hint="eastAsia"/>
        </w:rPr>
        <w:t>每路摄像机监视范围应无遮挡，宜配置拾音设备。</w:t>
      </w:r>
    </w:p>
    <w:p w14:paraId="139BC6CF" w14:textId="77777777" w:rsidR="002E187E" w:rsidRPr="00FD50F6" w:rsidRDefault="002E187E" w:rsidP="002E187E">
      <w:pPr>
        <w:pStyle w:val="30"/>
      </w:pPr>
      <w:r w:rsidRPr="00FD50F6">
        <w:rPr>
          <w:rFonts w:hint="eastAsia"/>
        </w:rPr>
        <w:t>系统记录的图像信息应具有原始完整性，应能独立运行和操作，并应能与车站相关子系统实现联动。</w:t>
      </w:r>
    </w:p>
    <w:p w14:paraId="5A26A720" w14:textId="77777777" w:rsidR="002E187E" w:rsidRPr="00FD50F6" w:rsidRDefault="002E187E" w:rsidP="002E187E">
      <w:pPr>
        <w:pStyle w:val="30"/>
      </w:pPr>
      <w:r w:rsidRPr="00FD50F6">
        <w:rPr>
          <w:rFonts w:hint="eastAsia"/>
        </w:rPr>
        <w:t>视频监视系统宜结合技术发展应用智能分析技术，且宜符合下列规定：</w:t>
      </w:r>
    </w:p>
    <w:p w14:paraId="17E64BBF" w14:textId="77777777" w:rsidR="002E187E" w:rsidRPr="00FD50F6" w:rsidRDefault="002E187E" w:rsidP="00A926BD">
      <w:pPr>
        <w:pStyle w:val="4"/>
      </w:pPr>
      <w:r w:rsidRPr="00FD50F6">
        <w:rPr>
          <w:rFonts w:hint="eastAsia"/>
        </w:rPr>
        <w:t>车站通道、车站检票口、车辆基地人员出入口等部位宜应用人脸识别分析技术；</w:t>
      </w:r>
    </w:p>
    <w:p w14:paraId="78F49F0C" w14:textId="031BD1D4" w:rsidR="002E187E" w:rsidRPr="00FD50F6" w:rsidRDefault="002E187E" w:rsidP="00A926BD">
      <w:pPr>
        <w:pStyle w:val="4"/>
      </w:pPr>
      <w:r w:rsidRPr="00FD50F6">
        <w:rPr>
          <w:rFonts w:hint="eastAsia"/>
        </w:rPr>
        <w:t>车站出入口通道、换乘通道等部位宜应用客流统计分析技术；</w:t>
      </w:r>
    </w:p>
    <w:p w14:paraId="5B868632" w14:textId="77777777" w:rsidR="002E187E" w:rsidRPr="00FD50F6" w:rsidRDefault="002E187E" w:rsidP="00A926BD">
      <w:pPr>
        <w:pStyle w:val="4"/>
      </w:pPr>
      <w:r w:rsidRPr="00FD50F6">
        <w:rPr>
          <w:rFonts w:hint="eastAsia"/>
        </w:rPr>
        <w:t>车站安检处、车站售票处、列车车厢内等部位宜应用人员密度分析技术；</w:t>
      </w:r>
    </w:p>
    <w:p w14:paraId="52D7094D" w14:textId="77777777" w:rsidR="002E187E" w:rsidRPr="00FD50F6" w:rsidRDefault="002E187E" w:rsidP="00A926BD">
      <w:pPr>
        <w:pStyle w:val="4"/>
      </w:pPr>
      <w:r w:rsidRPr="00FD50F6">
        <w:rPr>
          <w:rFonts w:hint="eastAsia"/>
        </w:rPr>
        <w:t>车站扶梯处宜应用扶梯人员行为分析技术；</w:t>
      </w:r>
    </w:p>
    <w:p w14:paraId="1E8CA059" w14:textId="77777777" w:rsidR="002E187E" w:rsidRPr="00FD50F6" w:rsidRDefault="002E187E" w:rsidP="00A926BD">
      <w:pPr>
        <w:pStyle w:val="4"/>
      </w:pPr>
      <w:r w:rsidRPr="00FD50F6">
        <w:rPr>
          <w:rFonts w:hint="eastAsia"/>
        </w:rPr>
        <w:t>车站站台端门、车站疏散出入口、主变电所出入口等部位宜应用入侵检测分析技术；</w:t>
      </w:r>
    </w:p>
    <w:p w14:paraId="13F033DA" w14:textId="77777777" w:rsidR="002E187E" w:rsidRPr="00FD50F6" w:rsidRDefault="002E187E" w:rsidP="00A926BD">
      <w:pPr>
        <w:pStyle w:val="4"/>
      </w:pPr>
      <w:r w:rsidRPr="00FD50F6">
        <w:rPr>
          <w:rFonts w:hint="eastAsia"/>
        </w:rPr>
        <w:t>车辆基地各出入口宜应用机动车辆车牌号识别分析技术；</w:t>
      </w:r>
    </w:p>
    <w:p w14:paraId="0101EA8C" w14:textId="77777777" w:rsidR="002E187E" w:rsidRPr="00FD50F6" w:rsidRDefault="002E187E" w:rsidP="00A926BD">
      <w:pPr>
        <w:pStyle w:val="4"/>
      </w:pPr>
      <w:r w:rsidRPr="00FD50F6">
        <w:rPr>
          <w:rFonts w:hint="eastAsia"/>
        </w:rPr>
        <w:t>蓄电池室宜应用热成像智能分析技术；</w:t>
      </w:r>
    </w:p>
    <w:p w14:paraId="418FA0C0" w14:textId="77777777" w:rsidR="002E187E" w:rsidRPr="00FD50F6" w:rsidRDefault="002E187E" w:rsidP="00A926BD">
      <w:pPr>
        <w:pStyle w:val="4"/>
      </w:pPr>
      <w:r w:rsidRPr="00FD50F6">
        <w:rPr>
          <w:rFonts w:hint="eastAsia"/>
        </w:rPr>
        <w:t>高架隧道沿线、车辆基地宜应用无人机智能巡检技术。</w:t>
      </w:r>
    </w:p>
    <w:p w14:paraId="09C9809B" w14:textId="77777777" w:rsidR="002E187E" w:rsidRPr="00FD50F6" w:rsidRDefault="002E187E" w:rsidP="00A65181">
      <w:pPr>
        <w:pStyle w:val="2"/>
      </w:pPr>
      <w:bookmarkStart w:id="1125" w:name="_Toc112830837"/>
      <w:bookmarkStart w:id="1126" w:name="_Toc112830838"/>
      <w:bookmarkEnd w:id="1125"/>
      <w:r w:rsidRPr="00FD50F6">
        <w:rPr>
          <w:rFonts w:hint="eastAsia"/>
        </w:rPr>
        <w:t>入侵报警系统</w:t>
      </w:r>
      <w:bookmarkEnd w:id="1126"/>
    </w:p>
    <w:p w14:paraId="12577F52" w14:textId="77777777" w:rsidR="002E187E" w:rsidRPr="00FD50F6" w:rsidRDefault="002E187E" w:rsidP="002E187E">
      <w:pPr>
        <w:pStyle w:val="30"/>
      </w:pPr>
      <w:r w:rsidRPr="00FD50F6">
        <w:rPr>
          <w:rFonts w:hint="eastAsia"/>
        </w:rPr>
        <w:t>入侵报警系统应符合现行国家标准《入侵报警系统工程设计规范》</w:t>
      </w:r>
      <w:r w:rsidRPr="00FD50F6">
        <w:t>GB 50394</w:t>
      </w:r>
      <w:r w:rsidRPr="00FD50F6">
        <w:rPr>
          <w:rFonts w:hint="eastAsia"/>
        </w:rPr>
        <w:t>的规定。</w:t>
      </w:r>
    </w:p>
    <w:p w14:paraId="41BC2B6E" w14:textId="77777777" w:rsidR="002E187E" w:rsidRPr="00FD50F6" w:rsidRDefault="002E187E" w:rsidP="002E187E">
      <w:pPr>
        <w:pStyle w:val="30"/>
      </w:pPr>
      <w:r w:rsidRPr="00FD50F6">
        <w:rPr>
          <w:rFonts w:hint="eastAsia"/>
        </w:rPr>
        <w:t>入侵报警系统应对主变电所周界、车辆基地周界设防，应对非法入侵行为进行有效的探测和报警。</w:t>
      </w:r>
    </w:p>
    <w:p w14:paraId="6ADAEF1A" w14:textId="77777777" w:rsidR="002E187E" w:rsidRPr="00FD50F6" w:rsidRDefault="002E187E" w:rsidP="002E187E">
      <w:pPr>
        <w:pStyle w:val="30"/>
      </w:pPr>
      <w:r w:rsidRPr="00FD50F6">
        <w:rPr>
          <w:rFonts w:hint="eastAsia"/>
        </w:rPr>
        <w:t>车辆基地周界的每一个独立防区长度不宜大于</w:t>
      </w:r>
      <w:r w:rsidRPr="00FD50F6">
        <w:t>200m</w:t>
      </w:r>
      <w:r w:rsidRPr="00FD50F6">
        <w:rPr>
          <w:rFonts w:hint="eastAsia"/>
        </w:rPr>
        <w:t>，覆盖范围内应无盲区。</w:t>
      </w:r>
      <w:r w:rsidRPr="00FD50F6">
        <w:rPr>
          <w:rFonts w:hint="eastAsia"/>
        </w:rPr>
        <w:t xml:space="preserve"> </w:t>
      </w:r>
    </w:p>
    <w:p w14:paraId="6C13B7F9" w14:textId="77777777" w:rsidR="002E187E" w:rsidRPr="00FD50F6" w:rsidRDefault="002E187E" w:rsidP="002E187E">
      <w:pPr>
        <w:pStyle w:val="30"/>
      </w:pPr>
      <w:r w:rsidRPr="00FD50F6">
        <w:rPr>
          <w:rFonts w:hint="eastAsia"/>
        </w:rPr>
        <w:t>入侵报警系统应能按时间、区域、部位任意编程设防，并应有不同的显示。</w:t>
      </w:r>
    </w:p>
    <w:p w14:paraId="4B85AB4A" w14:textId="77777777" w:rsidR="002E187E" w:rsidRDefault="002E187E" w:rsidP="002E187E">
      <w:pPr>
        <w:pStyle w:val="30"/>
      </w:pPr>
      <w:r w:rsidRPr="00FD50F6">
        <w:rPr>
          <w:rFonts w:hint="eastAsia"/>
        </w:rPr>
        <w:t>入侵报警系统宜与视频监控系统、照明、广播等联动。</w:t>
      </w:r>
    </w:p>
    <w:p w14:paraId="130F94A2" w14:textId="77777777" w:rsidR="00BD4557" w:rsidRPr="00BD4557" w:rsidRDefault="00BD4557" w:rsidP="00BD4557"/>
    <w:p w14:paraId="62091C02" w14:textId="77777777" w:rsidR="002E187E" w:rsidRPr="00FD50F6" w:rsidRDefault="002E187E" w:rsidP="00A65181">
      <w:pPr>
        <w:pStyle w:val="2"/>
      </w:pPr>
      <w:bookmarkStart w:id="1127" w:name="_Toc112830839"/>
      <w:r w:rsidRPr="00FD50F6">
        <w:rPr>
          <w:rFonts w:hint="eastAsia"/>
        </w:rPr>
        <w:t>电子巡查系统</w:t>
      </w:r>
      <w:bookmarkEnd w:id="1127"/>
    </w:p>
    <w:p w14:paraId="128468AC" w14:textId="77777777" w:rsidR="002E187E" w:rsidRPr="00FD50F6" w:rsidRDefault="002E187E" w:rsidP="002E187E">
      <w:pPr>
        <w:pStyle w:val="30"/>
      </w:pPr>
      <w:r w:rsidRPr="00FD50F6">
        <w:rPr>
          <w:rFonts w:hint="eastAsia"/>
        </w:rPr>
        <w:lastRenderedPageBreak/>
        <w:t>电子巡查系统宜由信息装置、采集装置、信息转换传输机管理终端组成。</w:t>
      </w:r>
    </w:p>
    <w:p w14:paraId="7CB05031" w14:textId="61249050" w:rsidR="002E187E" w:rsidRPr="00FD50F6" w:rsidRDefault="002E187E" w:rsidP="002E187E">
      <w:pPr>
        <w:pStyle w:val="30"/>
      </w:pPr>
      <w:r w:rsidRPr="00FD50F6">
        <w:rPr>
          <w:rFonts w:hint="eastAsia"/>
        </w:rPr>
        <w:t>电子巡查系统应符合现行行业标准《城市轨道交通安全防范要求》</w:t>
      </w:r>
      <w:r w:rsidRPr="00FD50F6">
        <w:t>GA 1467</w:t>
      </w:r>
      <w:r w:rsidRPr="00FD50F6">
        <w:rPr>
          <w:rFonts w:hint="eastAsia"/>
        </w:rPr>
        <w:t>的规定。</w:t>
      </w:r>
    </w:p>
    <w:p w14:paraId="13017378" w14:textId="77777777" w:rsidR="002E187E" w:rsidRPr="00FD50F6" w:rsidRDefault="002E187E" w:rsidP="002E187E">
      <w:pPr>
        <w:pStyle w:val="30"/>
      </w:pPr>
      <w:r w:rsidRPr="00FD50F6">
        <w:rPr>
          <w:rFonts w:hint="eastAsia"/>
        </w:rPr>
        <w:t>电子巡查系统宜分为在线式和离线式两种。</w:t>
      </w:r>
    </w:p>
    <w:p w14:paraId="39B78C40" w14:textId="5AD5515C" w:rsidR="002E187E" w:rsidRPr="00FD50F6" w:rsidRDefault="002E187E" w:rsidP="002E187E">
      <w:pPr>
        <w:pStyle w:val="30"/>
      </w:pPr>
      <w:r w:rsidRPr="00FD50F6">
        <w:rPr>
          <w:rFonts w:hint="eastAsia"/>
        </w:rPr>
        <w:t>电子巡查系统应接入安防集成平台。</w:t>
      </w:r>
    </w:p>
    <w:p w14:paraId="747F35A7" w14:textId="26AF9B76" w:rsidR="002A7F28" w:rsidRPr="00FD50F6" w:rsidRDefault="002E187E" w:rsidP="002E187E">
      <w:pPr>
        <w:pStyle w:val="30"/>
      </w:pPr>
      <w:r w:rsidRPr="00FD50F6">
        <w:rPr>
          <w:rFonts w:hint="eastAsia"/>
        </w:rPr>
        <w:t>电子巡查系统应在车辆基地、控制中心、线网维修基地等场所设置，宜在车站设置。</w:t>
      </w:r>
    </w:p>
    <w:p w14:paraId="3F606D64" w14:textId="71517442" w:rsidR="00D70A4C" w:rsidRPr="00FD50F6" w:rsidRDefault="00D70A4C">
      <w:pPr>
        <w:widowControl/>
        <w:spacing w:line="240" w:lineRule="auto"/>
        <w:jc w:val="left"/>
      </w:pPr>
      <w:r w:rsidRPr="00FD50F6">
        <w:br w:type="page"/>
      </w:r>
    </w:p>
    <w:p w14:paraId="7FCA27F5" w14:textId="77777777" w:rsidR="000831EC" w:rsidRPr="00FD50F6" w:rsidRDefault="000831EC" w:rsidP="000831EC">
      <w:pPr>
        <w:pStyle w:val="12"/>
      </w:pPr>
      <w:bookmarkStart w:id="1128" w:name="_Toc112830840"/>
      <w:r w:rsidRPr="00FD50F6">
        <w:rPr>
          <w:rFonts w:hint="eastAsia"/>
        </w:rPr>
        <w:lastRenderedPageBreak/>
        <w:t>运营控制中心</w:t>
      </w:r>
      <w:bookmarkEnd w:id="1128"/>
    </w:p>
    <w:p w14:paraId="096BDAB8" w14:textId="77777777" w:rsidR="000831EC" w:rsidRPr="00FD50F6" w:rsidRDefault="000831EC" w:rsidP="00010C49">
      <w:pPr>
        <w:pStyle w:val="2"/>
        <w:numPr>
          <w:ilvl w:val="1"/>
          <w:numId w:val="33"/>
        </w:numPr>
      </w:pPr>
      <w:bookmarkStart w:id="1129" w:name="_Toc112830841"/>
      <w:r w:rsidRPr="00FD50F6">
        <w:rPr>
          <w:rFonts w:hint="eastAsia"/>
        </w:rPr>
        <w:t>一般规定</w:t>
      </w:r>
      <w:bookmarkEnd w:id="1129"/>
    </w:p>
    <w:p w14:paraId="09B269F0" w14:textId="77777777" w:rsidR="000831EC" w:rsidRPr="00FD50F6" w:rsidRDefault="000831EC" w:rsidP="000831EC">
      <w:pPr>
        <w:pStyle w:val="30"/>
      </w:pPr>
      <w:r w:rsidRPr="00FD50F6">
        <w:t>地铁应建立运营控制中心</w:t>
      </w:r>
      <w:r w:rsidRPr="00FD50F6">
        <w:t xml:space="preserve">(OCC) </w:t>
      </w:r>
      <w:r w:rsidRPr="00FD50F6">
        <w:t>。</w:t>
      </w:r>
    </w:p>
    <w:p w14:paraId="1C96CC4B" w14:textId="77777777" w:rsidR="000831EC" w:rsidRPr="00FD50F6" w:rsidRDefault="000831EC" w:rsidP="000831EC">
      <w:pPr>
        <w:pStyle w:val="30"/>
      </w:pPr>
      <w:r w:rsidRPr="00FD50F6">
        <w:t>控制中心</w:t>
      </w:r>
      <w:r w:rsidRPr="00FD50F6">
        <w:rPr>
          <w:rFonts w:hint="eastAsia"/>
        </w:rPr>
        <w:t>应遵循地铁线网控制中心的总体规划实施，宜采用多条线路集中设置的</w:t>
      </w:r>
      <w:r w:rsidRPr="00FD50F6">
        <w:t>建设模式</w:t>
      </w:r>
      <w:r w:rsidRPr="00FD50F6">
        <w:rPr>
          <w:rFonts w:hint="eastAsia"/>
        </w:rPr>
        <w:t>。控制中心的规模应依据其功能定位和规划的具体情况确定。</w:t>
      </w:r>
    </w:p>
    <w:p w14:paraId="6028243F" w14:textId="77777777" w:rsidR="000831EC" w:rsidRPr="00FD50F6" w:rsidRDefault="000831EC" w:rsidP="000831EC">
      <w:pPr>
        <w:pStyle w:val="30"/>
      </w:pPr>
      <w:r w:rsidRPr="00FD50F6">
        <w:t>控制中心的位置宜靠近地铁线路</w:t>
      </w:r>
      <w:r w:rsidRPr="00FD50F6">
        <w:rPr>
          <w:rFonts w:hint="eastAsia"/>
        </w:rPr>
        <w:t>，多条线路集中设置的控制中心宜设置在监控管理线路的换乘</w:t>
      </w:r>
      <w:r w:rsidRPr="00FD50F6">
        <w:t>车站</w:t>
      </w:r>
      <w:r w:rsidRPr="00FD50F6">
        <w:rPr>
          <w:rFonts w:hint="eastAsia"/>
        </w:rPr>
        <w:t>附近及方便运营管理的区域。</w:t>
      </w:r>
    </w:p>
    <w:p w14:paraId="7F037E44" w14:textId="77777777" w:rsidR="000831EC" w:rsidRPr="00FD50F6" w:rsidRDefault="000831EC" w:rsidP="000831EC">
      <w:pPr>
        <w:pStyle w:val="30"/>
      </w:pPr>
      <w:r w:rsidRPr="00FD50F6">
        <w:t>控制中心应避开高温、潮湿、烟气、多尘、有毒、腐蚀</w:t>
      </w:r>
      <w:r w:rsidRPr="00FD50F6">
        <w:rPr>
          <w:rFonts w:hint="eastAsia"/>
        </w:rPr>
        <w:t>等气源和污染源；</w:t>
      </w:r>
      <w:r w:rsidRPr="00FD50F6">
        <w:t>应避开易燃</w:t>
      </w:r>
      <w:r w:rsidRPr="00FD50F6">
        <w:rPr>
          <w:rFonts w:hint="eastAsia"/>
        </w:rPr>
        <w:t>、</w:t>
      </w:r>
      <w:r w:rsidRPr="00FD50F6">
        <w:t>易爆、噪声和振动源</w:t>
      </w:r>
      <w:r w:rsidRPr="00FD50F6">
        <w:rPr>
          <w:rFonts w:hint="eastAsia"/>
        </w:rPr>
        <w:t>及</w:t>
      </w:r>
      <w:r w:rsidRPr="00FD50F6">
        <w:t>强</w:t>
      </w:r>
      <w:r w:rsidRPr="00FD50F6">
        <w:rPr>
          <w:rFonts w:hint="eastAsia"/>
        </w:rPr>
        <w:t>电磁干扰源等，并应设于污染源的上风向，同时应利用有利的地形和环境或采取相应设施隔离。</w:t>
      </w:r>
    </w:p>
    <w:p w14:paraId="441000CC" w14:textId="39EBBA7C" w:rsidR="000831EC" w:rsidRPr="00FD50F6" w:rsidRDefault="000831EC" w:rsidP="000831EC">
      <w:pPr>
        <w:pStyle w:val="30"/>
      </w:pPr>
      <w:r w:rsidRPr="00FD50F6">
        <w:t>控制中心应具备行车调度、电力调度、环境与设备调</w:t>
      </w:r>
      <w:r w:rsidRPr="00FD50F6">
        <w:rPr>
          <w:rFonts w:hint="eastAsia"/>
        </w:rPr>
        <w:t>度、防灾指挥、客运管理、乘客信息管理及信息管理等运营调度和指挥功能，并应对地铁运营的全过程进行集中监控和管理。</w:t>
      </w:r>
    </w:p>
    <w:p w14:paraId="34FB62F5" w14:textId="235DFEDD" w:rsidR="000831EC" w:rsidRPr="00FD50F6" w:rsidRDefault="000831EC" w:rsidP="000831EC">
      <w:pPr>
        <w:pStyle w:val="30"/>
      </w:pPr>
      <w:r w:rsidRPr="00FD50F6">
        <w:t>控制中心应兼作防灾和应急指挥中心，并应具备防灾和</w:t>
      </w:r>
      <w:r w:rsidRPr="00FD50F6">
        <w:rPr>
          <w:rFonts w:hint="eastAsia"/>
        </w:rPr>
        <w:t>应急指挥功能。</w:t>
      </w:r>
    </w:p>
    <w:p w14:paraId="2B102A78" w14:textId="680739A0" w:rsidR="000831EC" w:rsidRPr="00FD50F6" w:rsidRDefault="000831EC" w:rsidP="000831EC">
      <w:pPr>
        <w:pStyle w:val="30"/>
      </w:pPr>
      <w:r w:rsidRPr="00FD50F6">
        <w:t>控制中心</w:t>
      </w:r>
      <w:r w:rsidRPr="00FD50F6">
        <w:rPr>
          <w:rFonts w:hint="eastAsia"/>
        </w:rPr>
        <w:t>的运行</w:t>
      </w:r>
      <w:r w:rsidRPr="00FD50F6">
        <w:t>应具有安全性和可靠性</w:t>
      </w:r>
      <w:r w:rsidRPr="00FD50F6">
        <w:rPr>
          <w:rFonts w:hint="eastAsia"/>
        </w:rPr>
        <w:t>。多条线路集中设置的控制中心建筑设施</w:t>
      </w:r>
      <w:r w:rsidRPr="00FD50F6">
        <w:t>宜独</w:t>
      </w:r>
      <w:r w:rsidRPr="00FD50F6">
        <w:rPr>
          <w:rFonts w:hint="eastAsia"/>
        </w:rPr>
        <w:t>立设置，当</w:t>
      </w:r>
      <w:r w:rsidRPr="00FD50F6">
        <w:t>与其他用途的建筑</w:t>
      </w:r>
      <w:r w:rsidRPr="00FD50F6">
        <w:rPr>
          <w:rFonts w:hint="eastAsia"/>
        </w:rPr>
        <w:t>物</w:t>
      </w:r>
      <w:r w:rsidRPr="00FD50F6">
        <w:t>合建时，应设独立的出</w:t>
      </w:r>
      <w:r w:rsidRPr="00FD50F6">
        <w:rPr>
          <w:rFonts w:hint="eastAsia"/>
        </w:rPr>
        <w:t>入</w:t>
      </w:r>
      <w:r w:rsidRPr="00FD50F6">
        <w:t>口通道，并</w:t>
      </w:r>
      <w:r w:rsidRPr="00FD50F6">
        <w:rPr>
          <w:rFonts w:hint="eastAsia"/>
        </w:rPr>
        <w:t>应满足控制中心用房的独立性和安全性。</w:t>
      </w:r>
    </w:p>
    <w:p w14:paraId="263A12CA" w14:textId="39432A95" w:rsidR="000831EC" w:rsidRPr="00FD50F6" w:rsidRDefault="000831EC" w:rsidP="000831EC">
      <w:pPr>
        <w:pStyle w:val="30"/>
      </w:pPr>
      <w:r w:rsidRPr="00FD50F6">
        <w:t>控制中心</w:t>
      </w:r>
      <w:r w:rsidRPr="00FD50F6">
        <w:rPr>
          <w:rFonts w:hint="eastAsia"/>
        </w:rPr>
        <w:t>基础设施</w:t>
      </w:r>
      <w:r w:rsidRPr="00FD50F6">
        <w:t>应</w:t>
      </w:r>
      <w:r w:rsidRPr="00FD50F6">
        <w:rPr>
          <w:rFonts w:hint="eastAsia"/>
        </w:rPr>
        <w:t>满足控制中心的安全使用要求，基础设施宜按</w:t>
      </w:r>
      <w:r w:rsidR="0001193D">
        <w:rPr>
          <w:rFonts w:hint="eastAsia"/>
        </w:rPr>
        <w:t>现行国家标准</w:t>
      </w:r>
      <w:r w:rsidRPr="00FD50F6">
        <w:rPr>
          <w:rFonts w:hint="eastAsia"/>
        </w:rPr>
        <w:t>《数据中心设计规范》</w:t>
      </w:r>
      <w:r w:rsidRPr="00FD50F6">
        <w:t>GB</w:t>
      </w:r>
      <w:r w:rsidR="0001193D">
        <w:t xml:space="preserve"> </w:t>
      </w:r>
      <w:r w:rsidRPr="00FD50F6">
        <w:t>50174</w:t>
      </w:r>
      <w:r w:rsidR="0001193D">
        <w:rPr>
          <w:rFonts w:hint="eastAsia"/>
        </w:rPr>
        <w:t>的</w:t>
      </w:r>
      <w:r w:rsidRPr="00FD50F6">
        <w:rPr>
          <w:rFonts w:hint="eastAsia"/>
        </w:rPr>
        <w:t>等级技术要求设计，</w:t>
      </w:r>
      <w:r w:rsidRPr="00FD50F6">
        <w:t>当</w:t>
      </w:r>
      <w:r w:rsidRPr="00FD50F6">
        <w:rPr>
          <w:rFonts w:hint="eastAsia"/>
        </w:rPr>
        <w:t>基础设施无法满足相应的等级要求时，可异地设置备用中心。</w:t>
      </w:r>
    </w:p>
    <w:p w14:paraId="1CEF9704" w14:textId="77777777" w:rsidR="000831EC" w:rsidRPr="00FD50F6" w:rsidRDefault="000831EC" w:rsidP="00A65181">
      <w:pPr>
        <w:pStyle w:val="2"/>
      </w:pPr>
      <w:bookmarkStart w:id="1130" w:name="_Toc112830842"/>
      <w:r w:rsidRPr="00FD50F6">
        <w:t>工艺设计</w:t>
      </w:r>
      <w:bookmarkEnd w:id="1130"/>
    </w:p>
    <w:p w14:paraId="2E8140CE" w14:textId="77777777" w:rsidR="000831EC" w:rsidRPr="00FD50F6" w:rsidRDefault="000831EC" w:rsidP="000831EC">
      <w:pPr>
        <w:pStyle w:val="30"/>
      </w:pPr>
      <w:r w:rsidRPr="00FD50F6">
        <w:t>控制中心工艺设计应明确功能定位、建设规模、运营管</w:t>
      </w:r>
      <w:r w:rsidRPr="00FD50F6">
        <w:rPr>
          <w:rFonts w:hint="eastAsia"/>
        </w:rPr>
        <w:t>理模式、组织架构及定员数量。</w:t>
      </w:r>
    </w:p>
    <w:p w14:paraId="2F9FFC33" w14:textId="7DC1228E" w:rsidR="000831EC" w:rsidRPr="00FD50F6" w:rsidRDefault="000831EC" w:rsidP="000831EC">
      <w:pPr>
        <w:pStyle w:val="30"/>
      </w:pPr>
      <w:r w:rsidRPr="00FD50F6">
        <w:t>控制中心的整体工艺设计应满足安全、可靠</w:t>
      </w:r>
      <w:r w:rsidRPr="00FD50F6">
        <w:rPr>
          <w:rFonts w:hint="eastAsia"/>
        </w:rPr>
        <w:t>及</w:t>
      </w:r>
      <w:r w:rsidRPr="00FD50F6">
        <w:t>操作、使</w:t>
      </w:r>
      <w:r w:rsidRPr="00FD50F6">
        <w:rPr>
          <w:rFonts w:hint="eastAsia"/>
        </w:rPr>
        <w:t>用、维修、管理方便等要求。</w:t>
      </w:r>
    </w:p>
    <w:p w14:paraId="279AF071" w14:textId="7557A622" w:rsidR="000831EC" w:rsidRPr="00FD50F6" w:rsidRDefault="000831EC" w:rsidP="000831EC">
      <w:pPr>
        <w:pStyle w:val="30"/>
      </w:pPr>
      <w:r w:rsidRPr="00FD50F6">
        <w:t>控制中心宜划分为运营监控、运营管理、</w:t>
      </w:r>
      <w:r w:rsidRPr="00FD50F6">
        <w:rPr>
          <w:rFonts w:hint="eastAsia"/>
        </w:rPr>
        <w:t>系统</w:t>
      </w:r>
      <w:r w:rsidRPr="00FD50F6">
        <w:t>设备、</w:t>
      </w:r>
      <w:r w:rsidRPr="00FD50F6">
        <w:rPr>
          <w:rFonts w:hint="eastAsia"/>
        </w:rPr>
        <w:t>辅助支持等功能区域。各功能区的划分应结合实际的运营和管理模式确定。</w:t>
      </w:r>
    </w:p>
    <w:p w14:paraId="7E06F690" w14:textId="3E8D4CA1" w:rsidR="000831EC" w:rsidRPr="00FD50F6" w:rsidRDefault="000831EC" w:rsidP="000831EC">
      <w:pPr>
        <w:pStyle w:val="30"/>
      </w:pPr>
      <w:r w:rsidRPr="00FD50F6">
        <w:lastRenderedPageBreak/>
        <w:t>运营监控区和运营管理区应相邻设置</w:t>
      </w:r>
      <w:r w:rsidRPr="00FD50F6">
        <w:rPr>
          <w:rFonts w:hint="eastAsia"/>
        </w:rPr>
        <w:t>；系统</w:t>
      </w:r>
      <w:r w:rsidRPr="00FD50F6">
        <w:t>设备区</w:t>
      </w:r>
      <w:r w:rsidRPr="00FD50F6">
        <w:rPr>
          <w:rFonts w:hint="eastAsia"/>
        </w:rPr>
        <w:t>应</w:t>
      </w:r>
      <w:r w:rsidRPr="00FD50F6">
        <w:t>集中设</w:t>
      </w:r>
      <w:r w:rsidRPr="00FD50F6">
        <w:rPr>
          <w:rFonts w:hint="eastAsia"/>
        </w:rPr>
        <w:t>置，在楼层布置上宜靠近运营监控区，且不宜与运营管理区混</w:t>
      </w:r>
      <w:r w:rsidRPr="00FD50F6">
        <w:t>合</w:t>
      </w:r>
      <w:r w:rsidRPr="00FD50F6">
        <w:rPr>
          <w:rFonts w:hint="eastAsia"/>
        </w:rPr>
        <w:t>布置；维修区在楼层布置上宜靠近设备区</w:t>
      </w:r>
      <w:r w:rsidRPr="00FD50F6">
        <w:t>。</w:t>
      </w:r>
    </w:p>
    <w:p w14:paraId="6C2DF882" w14:textId="0CB16529" w:rsidR="000831EC" w:rsidRPr="00FD50F6" w:rsidRDefault="000831EC" w:rsidP="000831EC">
      <w:pPr>
        <w:pStyle w:val="30"/>
      </w:pPr>
      <w:r w:rsidRPr="00FD50F6">
        <w:t>运营监控区应设</w:t>
      </w:r>
      <w:r w:rsidRPr="00FD50F6">
        <w:rPr>
          <w:rFonts w:hint="eastAsia"/>
        </w:rPr>
        <w:t>中心</w:t>
      </w:r>
      <w:r w:rsidRPr="00FD50F6">
        <w:t>控制室</w:t>
      </w:r>
      <w:r w:rsidRPr="00FD50F6">
        <w:rPr>
          <w:rFonts w:hint="eastAsia"/>
        </w:rPr>
        <w:t>，并可设置应急</w:t>
      </w:r>
      <w:r w:rsidRPr="00FD50F6">
        <w:t>指挥</w:t>
      </w:r>
      <w:r w:rsidRPr="00FD50F6">
        <w:rPr>
          <w:rFonts w:hint="eastAsia"/>
        </w:rPr>
        <w:t>协调室</w:t>
      </w:r>
      <w:r w:rsidRPr="00FD50F6">
        <w:t>。运营监</w:t>
      </w:r>
      <w:r w:rsidRPr="00FD50F6">
        <w:rPr>
          <w:rFonts w:hint="eastAsia"/>
        </w:rPr>
        <w:t>控区宜作为独立的安全分隔区；</w:t>
      </w:r>
      <w:r w:rsidRPr="00FD50F6">
        <w:t>进入</w:t>
      </w:r>
      <w:r w:rsidRPr="00FD50F6">
        <w:rPr>
          <w:rFonts w:hint="eastAsia"/>
        </w:rPr>
        <w:t>中心</w:t>
      </w:r>
      <w:r w:rsidRPr="00FD50F6">
        <w:t>控制室前</w:t>
      </w:r>
      <w:r w:rsidRPr="00FD50F6">
        <w:rPr>
          <w:rFonts w:hint="eastAsia"/>
        </w:rPr>
        <w:t>可</w:t>
      </w:r>
      <w:r w:rsidRPr="00FD50F6">
        <w:t>设缓冲区，</w:t>
      </w:r>
      <w:r w:rsidRPr="00FD50F6">
        <w:rPr>
          <w:rFonts w:hint="eastAsia"/>
        </w:rPr>
        <w:t>并宜配置安防设施；</w:t>
      </w:r>
      <w:r w:rsidRPr="00FD50F6">
        <w:t>在运营监控区内宜配置交接班室、打印室及</w:t>
      </w:r>
      <w:r w:rsidRPr="00FD50F6">
        <w:rPr>
          <w:rFonts w:hint="eastAsia"/>
        </w:rPr>
        <w:t>管理配套设施。</w:t>
      </w:r>
    </w:p>
    <w:p w14:paraId="3AA3795B" w14:textId="0915F995" w:rsidR="000831EC" w:rsidRPr="00FD50F6" w:rsidRDefault="000831EC" w:rsidP="000831EC">
      <w:pPr>
        <w:pStyle w:val="30"/>
      </w:pPr>
      <w:r w:rsidRPr="00FD50F6">
        <w:t>中</w:t>
      </w:r>
      <w:r w:rsidRPr="00FD50F6">
        <w:rPr>
          <w:rFonts w:hint="eastAsia"/>
        </w:rPr>
        <w:t>心</w:t>
      </w:r>
      <w:r w:rsidRPr="00FD50F6">
        <w:t>控制室各系统设备的布置及设计应符合下列</w:t>
      </w:r>
      <w:r w:rsidRPr="00FD50F6">
        <w:rPr>
          <w:rFonts w:hint="eastAsia"/>
        </w:rPr>
        <w:t>规定：</w:t>
      </w:r>
    </w:p>
    <w:p w14:paraId="2C7361B7" w14:textId="2B1471D1" w:rsidR="000831EC" w:rsidRPr="00FD50F6" w:rsidRDefault="000831EC" w:rsidP="00A926BD">
      <w:pPr>
        <w:pStyle w:val="4"/>
      </w:pPr>
      <w:r w:rsidRPr="00FD50F6">
        <w:t>中</w:t>
      </w:r>
      <w:r w:rsidRPr="00FD50F6">
        <w:rPr>
          <w:rFonts w:hint="eastAsia"/>
        </w:rPr>
        <w:t>心</w:t>
      </w:r>
      <w:r w:rsidRPr="00FD50F6">
        <w:t>控制室内设备和调度台的布置应整齐、紧凑和美观，</w:t>
      </w:r>
      <w:r w:rsidRPr="00FD50F6">
        <w:rPr>
          <w:rFonts w:hint="eastAsia"/>
        </w:rPr>
        <w:t>并应便于观察、操作和维修，同时应便于调度人员行动和疏散；</w:t>
      </w:r>
    </w:p>
    <w:p w14:paraId="61787229" w14:textId="1CC0F632" w:rsidR="000831EC" w:rsidRPr="00FD50F6" w:rsidRDefault="000831EC" w:rsidP="00A926BD">
      <w:pPr>
        <w:pStyle w:val="4"/>
      </w:pPr>
      <w:r w:rsidRPr="00FD50F6">
        <w:t>中</w:t>
      </w:r>
      <w:r w:rsidRPr="00FD50F6">
        <w:rPr>
          <w:rFonts w:hint="eastAsia"/>
        </w:rPr>
        <w:t>心</w:t>
      </w:r>
      <w:r w:rsidRPr="00FD50F6">
        <w:t>控制室内总体布置应以行车指挥为核心进行</w:t>
      </w:r>
      <w:r w:rsidRPr="00FD50F6">
        <w:rPr>
          <w:rFonts w:hint="eastAsia"/>
        </w:rPr>
        <w:t>大屏幕显示</w:t>
      </w:r>
      <w:r w:rsidRPr="00FD50F6">
        <w:t>屏</w:t>
      </w:r>
      <w:r w:rsidRPr="00FD50F6">
        <w:rPr>
          <w:rFonts w:hint="eastAsia"/>
        </w:rPr>
        <w:t>及调度台的布置，并应便于各系统调度</w:t>
      </w:r>
      <w:r w:rsidRPr="00FD50F6">
        <w:t>之间的信息沟通</w:t>
      </w:r>
      <w:r w:rsidRPr="00FD50F6">
        <w:rPr>
          <w:rFonts w:hint="eastAsia"/>
        </w:rPr>
        <w:t>；</w:t>
      </w:r>
    </w:p>
    <w:p w14:paraId="64C07013" w14:textId="77777777" w:rsidR="000831EC" w:rsidRPr="00FD50F6" w:rsidRDefault="000831EC" w:rsidP="00A926BD">
      <w:pPr>
        <w:pStyle w:val="4"/>
      </w:pPr>
      <w:r w:rsidRPr="00FD50F6">
        <w:rPr>
          <w:rFonts w:hint="eastAsia"/>
        </w:rPr>
        <w:t>大屏幕显示</w:t>
      </w:r>
      <w:r w:rsidRPr="00FD50F6">
        <w:t>屏和调度台宜呈弧形布置，</w:t>
      </w:r>
      <w:r w:rsidRPr="00FD50F6">
        <w:rPr>
          <w:rFonts w:hint="eastAsia"/>
        </w:rPr>
        <w:t>大屏幕显示</w:t>
      </w:r>
      <w:r w:rsidRPr="00FD50F6">
        <w:t>屏显示专业信息的</w:t>
      </w:r>
      <w:r w:rsidRPr="00FD50F6">
        <w:rPr>
          <w:rFonts w:hint="eastAsia"/>
        </w:rPr>
        <w:t>位置应与各专业系统调度台的设置位置相协调；</w:t>
      </w:r>
    </w:p>
    <w:p w14:paraId="4598794B" w14:textId="77777777" w:rsidR="000831EC" w:rsidRPr="00FD50F6" w:rsidRDefault="000831EC" w:rsidP="00A926BD">
      <w:pPr>
        <w:pStyle w:val="4"/>
      </w:pPr>
      <w:r w:rsidRPr="00FD50F6">
        <w:t>各系统</w:t>
      </w:r>
      <w:r w:rsidRPr="00FD50F6">
        <w:rPr>
          <w:rFonts w:hint="eastAsia"/>
        </w:rPr>
        <w:t>大屏幕显示</w:t>
      </w:r>
      <w:r w:rsidRPr="00FD50F6">
        <w:t>屏宜统一设置，</w:t>
      </w:r>
      <w:r w:rsidRPr="00FD50F6">
        <w:rPr>
          <w:rFonts w:hint="eastAsia"/>
        </w:rPr>
        <w:t>大屏幕显示</w:t>
      </w:r>
      <w:r w:rsidRPr="00FD50F6">
        <w:t>屏前应留有足够的</w:t>
      </w:r>
      <w:r w:rsidRPr="00FD50F6">
        <w:rPr>
          <w:rFonts w:hint="eastAsia"/>
        </w:rPr>
        <w:t>视觉空间，屏后应留有必要的维修空间；</w:t>
      </w:r>
    </w:p>
    <w:p w14:paraId="05721DC6" w14:textId="77777777" w:rsidR="000831EC" w:rsidRPr="00FD50F6" w:rsidRDefault="000831EC" w:rsidP="00A926BD">
      <w:pPr>
        <w:pStyle w:val="4"/>
      </w:pPr>
      <w:r w:rsidRPr="00FD50F6">
        <w:t>调度台距</w:t>
      </w:r>
      <w:r w:rsidRPr="00FD50F6">
        <w:rPr>
          <w:rFonts w:hint="eastAsia"/>
        </w:rPr>
        <w:t>大屏幕显示</w:t>
      </w:r>
      <w:r w:rsidRPr="00FD50F6">
        <w:t>屏的通道宽度宜大于</w:t>
      </w:r>
      <w:r w:rsidRPr="00FD50F6">
        <w:t>2.0m</w:t>
      </w:r>
      <w:r w:rsidRPr="00FD50F6">
        <w:t>，调度台的台前</w:t>
      </w:r>
      <w:r w:rsidRPr="00FD50F6">
        <w:rPr>
          <w:rFonts w:hint="eastAsia"/>
        </w:rPr>
        <w:t>和台后应留有足够的操作空间及维修空间，调度台前后之间的距离宜大于</w:t>
      </w:r>
      <w:r w:rsidRPr="00FD50F6">
        <w:t>1. 6 m</w:t>
      </w:r>
      <w:r w:rsidRPr="00FD50F6">
        <w:rPr>
          <w:rFonts w:hint="eastAsia"/>
        </w:rPr>
        <w:t>；</w:t>
      </w:r>
    </w:p>
    <w:p w14:paraId="05ECDB26" w14:textId="36777687" w:rsidR="000831EC" w:rsidRPr="00FD50F6" w:rsidRDefault="000831EC" w:rsidP="00A926BD">
      <w:pPr>
        <w:pStyle w:val="4"/>
      </w:pPr>
      <w:r w:rsidRPr="00FD50F6">
        <w:t>当调度台按扇形方式分层展开布置时，在扇形的中间</w:t>
      </w:r>
      <w:r w:rsidRPr="00FD50F6">
        <w:rPr>
          <w:rFonts w:hint="eastAsia"/>
        </w:rPr>
        <w:t>位置观察大屏幕显示屏，竖向视线仰角宜小于</w:t>
      </w:r>
      <w:r w:rsidRPr="00FD50F6">
        <w:t>15</w:t>
      </w:r>
      <w:r w:rsidRPr="00FD50F6">
        <w:rPr>
          <w:rFonts w:ascii="宋体" w:hAnsi="宋体" w:hint="eastAsia"/>
        </w:rPr>
        <w:t>º</w:t>
      </w:r>
      <w:r w:rsidRPr="00FD50F6">
        <w:t>，水平展开角度宜小</w:t>
      </w:r>
      <w:r w:rsidRPr="00FD50F6">
        <w:rPr>
          <w:rFonts w:hint="eastAsia"/>
        </w:rPr>
        <w:t>于</w:t>
      </w:r>
      <w:r w:rsidRPr="00FD50F6">
        <w:t>120</w:t>
      </w:r>
      <w:r w:rsidRPr="00FD50F6">
        <w:rPr>
          <w:rFonts w:ascii="宋体" w:hAnsi="宋体" w:hint="eastAsia"/>
        </w:rPr>
        <w:t>º</w:t>
      </w:r>
      <w:r w:rsidRPr="00FD50F6">
        <w:rPr>
          <w:rFonts w:hint="eastAsia"/>
        </w:rPr>
        <w:t>；</w:t>
      </w:r>
    </w:p>
    <w:p w14:paraId="6A9FE657" w14:textId="200AE912" w:rsidR="000831EC" w:rsidRPr="00FD50F6" w:rsidRDefault="000831EC" w:rsidP="00A926BD">
      <w:pPr>
        <w:pStyle w:val="4"/>
      </w:pPr>
      <w:r w:rsidRPr="00FD50F6">
        <w:t>当中</w:t>
      </w:r>
      <w:r w:rsidRPr="00FD50F6">
        <w:rPr>
          <w:rFonts w:hint="eastAsia"/>
        </w:rPr>
        <w:t>心</w:t>
      </w:r>
      <w:r w:rsidRPr="00FD50F6">
        <w:t>控制室的规模按多</w:t>
      </w:r>
      <w:r w:rsidRPr="00FD50F6">
        <w:rPr>
          <w:rFonts w:hint="eastAsia"/>
        </w:rPr>
        <w:t>条</w:t>
      </w:r>
      <w:r w:rsidRPr="00FD50F6">
        <w:t>线路设计时，宜按调度岗位划</w:t>
      </w:r>
      <w:r w:rsidRPr="00FD50F6">
        <w:rPr>
          <w:rFonts w:hint="eastAsia"/>
        </w:rPr>
        <w:t>分功能区，也可按线划分功能区；</w:t>
      </w:r>
    </w:p>
    <w:p w14:paraId="135497E3" w14:textId="77777777" w:rsidR="000831EC" w:rsidRPr="00FD50F6" w:rsidRDefault="000831EC" w:rsidP="00A926BD">
      <w:pPr>
        <w:pStyle w:val="4"/>
      </w:pPr>
      <w:r w:rsidRPr="00FD50F6">
        <w:t>调度台的设计应满足人机工程学和调度台面和台下设备</w:t>
      </w:r>
      <w:r w:rsidRPr="00FD50F6">
        <w:rPr>
          <w:rFonts w:hint="eastAsia"/>
        </w:rPr>
        <w:t>布置及散热的要求；</w:t>
      </w:r>
    </w:p>
    <w:p w14:paraId="2F5391BE" w14:textId="5D9C0AB7" w:rsidR="000831EC" w:rsidRPr="00FD50F6" w:rsidRDefault="000831EC" w:rsidP="00A926BD">
      <w:pPr>
        <w:pStyle w:val="4"/>
      </w:pPr>
      <w:r w:rsidRPr="00FD50F6">
        <w:t>中</w:t>
      </w:r>
      <w:r w:rsidRPr="00FD50F6">
        <w:rPr>
          <w:rFonts w:hint="eastAsia"/>
        </w:rPr>
        <w:t>心</w:t>
      </w:r>
      <w:r w:rsidRPr="00FD50F6">
        <w:t>控制室应具备紧急事件指挥中心的功能</w:t>
      </w:r>
      <w:r w:rsidRPr="00FD50F6">
        <w:rPr>
          <w:rFonts w:hint="eastAsia"/>
        </w:rPr>
        <w:t>；</w:t>
      </w:r>
    </w:p>
    <w:p w14:paraId="340AFB4B" w14:textId="4653EAA4" w:rsidR="000831EC" w:rsidRPr="00FD50F6" w:rsidRDefault="000831EC" w:rsidP="00A926BD">
      <w:pPr>
        <w:pStyle w:val="4"/>
      </w:pPr>
      <w:r w:rsidRPr="00FD50F6">
        <w:t>中</w:t>
      </w:r>
      <w:r w:rsidRPr="00FD50F6">
        <w:rPr>
          <w:rFonts w:hint="eastAsia"/>
        </w:rPr>
        <w:t>心</w:t>
      </w:r>
      <w:r w:rsidRPr="00FD50F6">
        <w:t>控制室内应设置与运营有关的监控系统和操作终端</w:t>
      </w:r>
      <w:r w:rsidRPr="00FD50F6">
        <w:rPr>
          <w:rFonts w:hint="eastAsia"/>
        </w:rPr>
        <w:t>设备，与运营、管理和安全无关的系统和设备不宜进入，且不得安装大功率的电器设备及其他动力设备。</w:t>
      </w:r>
    </w:p>
    <w:p w14:paraId="24573AD9" w14:textId="49EF51DE" w:rsidR="000831EC" w:rsidRPr="00FD50F6" w:rsidRDefault="000831EC" w:rsidP="000831EC">
      <w:pPr>
        <w:pStyle w:val="30"/>
      </w:pPr>
      <w:r w:rsidRPr="00FD50F6">
        <w:rPr>
          <w:rFonts w:hint="eastAsia"/>
        </w:rPr>
        <w:t>应</w:t>
      </w:r>
      <w:r w:rsidRPr="00FD50F6">
        <w:t>急指挥</w:t>
      </w:r>
      <w:r w:rsidRPr="00FD50F6">
        <w:rPr>
          <w:rFonts w:hint="eastAsia"/>
        </w:rPr>
        <w:t>协调</w:t>
      </w:r>
      <w:r w:rsidRPr="00FD50F6">
        <w:t>室、交接班室和打印室等应与中</w:t>
      </w:r>
      <w:r w:rsidRPr="00FD50F6">
        <w:rPr>
          <w:rFonts w:hint="eastAsia"/>
        </w:rPr>
        <w:t>心</w:t>
      </w:r>
      <w:r w:rsidRPr="00FD50F6">
        <w:t>控制室</w:t>
      </w:r>
      <w:r w:rsidRPr="00FD50F6">
        <w:rPr>
          <w:rFonts w:hint="eastAsia"/>
        </w:rPr>
        <w:t>相邻设置；应急</w:t>
      </w:r>
      <w:r w:rsidRPr="00FD50F6">
        <w:t>指挥</w:t>
      </w:r>
      <w:r w:rsidRPr="00FD50F6">
        <w:rPr>
          <w:rFonts w:hint="eastAsia"/>
        </w:rPr>
        <w:t>协调</w:t>
      </w:r>
      <w:r w:rsidRPr="00FD50F6">
        <w:t>室与中</w:t>
      </w:r>
      <w:r w:rsidRPr="00FD50F6">
        <w:rPr>
          <w:rFonts w:hint="eastAsia"/>
        </w:rPr>
        <w:t>心</w:t>
      </w:r>
      <w:r w:rsidRPr="00FD50F6">
        <w:t>控制室</w:t>
      </w:r>
      <w:r w:rsidRPr="00FD50F6">
        <w:rPr>
          <w:rFonts w:hint="eastAsia"/>
        </w:rPr>
        <w:t>宜</w:t>
      </w:r>
      <w:r w:rsidRPr="00FD50F6">
        <w:t>用玻璃隔断。</w:t>
      </w:r>
    </w:p>
    <w:p w14:paraId="41795F10" w14:textId="7E080C14" w:rsidR="000831EC" w:rsidRPr="00FD50F6" w:rsidRDefault="000831EC" w:rsidP="000831EC">
      <w:pPr>
        <w:pStyle w:val="30"/>
      </w:pPr>
      <w:r w:rsidRPr="00FD50F6">
        <w:t>运营管理区应按组织架构设置运</w:t>
      </w:r>
      <w:r w:rsidRPr="00FD50F6">
        <w:rPr>
          <w:rFonts w:hint="eastAsia"/>
        </w:rPr>
        <w:t>营调度管理、技术管理、生产和作业管理等办公管理和配套生活设施。</w:t>
      </w:r>
    </w:p>
    <w:p w14:paraId="6840C68C" w14:textId="15C45B2C" w:rsidR="000831EC" w:rsidRPr="00FD50F6" w:rsidRDefault="000831EC" w:rsidP="000831EC">
      <w:pPr>
        <w:pStyle w:val="30"/>
      </w:pPr>
      <w:r w:rsidRPr="00FD50F6">
        <w:lastRenderedPageBreak/>
        <w:t>设备区各系统设备的布置及设计应符合下列</w:t>
      </w:r>
      <w:r w:rsidRPr="00FD50F6">
        <w:rPr>
          <w:rFonts w:hint="eastAsia"/>
        </w:rPr>
        <w:t>规定：</w:t>
      </w:r>
    </w:p>
    <w:p w14:paraId="180DCB9E" w14:textId="28EA5CDC" w:rsidR="000831EC" w:rsidRPr="00FD50F6" w:rsidRDefault="000831EC" w:rsidP="00A926BD">
      <w:pPr>
        <w:pStyle w:val="4"/>
      </w:pPr>
      <w:r w:rsidRPr="00FD50F6">
        <w:t>设备区设备房的室内布置应整齐、紧凑，并应便于观察、</w:t>
      </w:r>
      <w:r w:rsidRPr="00FD50F6">
        <w:rPr>
          <w:rFonts w:hint="eastAsia"/>
        </w:rPr>
        <w:t>操作和维修。</w:t>
      </w:r>
    </w:p>
    <w:p w14:paraId="64492F4F" w14:textId="41F92E67" w:rsidR="000831EC" w:rsidRPr="00FD50F6" w:rsidRDefault="000831EC" w:rsidP="00A926BD">
      <w:pPr>
        <w:pStyle w:val="4"/>
      </w:pPr>
      <w:r w:rsidRPr="00FD50F6">
        <w:t>设备布置应使设备之间的连线短，外部管线进出应方便</w:t>
      </w:r>
      <w:r w:rsidRPr="00FD50F6">
        <w:rPr>
          <w:rFonts w:hint="eastAsia"/>
        </w:rPr>
        <w:t>。</w:t>
      </w:r>
    </w:p>
    <w:p w14:paraId="66A8CB67" w14:textId="0F75EE07" w:rsidR="000831EC" w:rsidRPr="00FD50F6" w:rsidRDefault="000831EC" w:rsidP="00A926BD">
      <w:pPr>
        <w:pStyle w:val="4"/>
      </w:pPr>
      <w:r w:rsidRPr="00FD50F6">
        <w:t>大功率的强电设备不应与弱电设备混合安装和布置。</w:t>
      </w:r>
      <w:r w:rsidRPr="00FD50F6">
        <w:rPr>
          <w:rFonts w:hint="eastAsia"/>
        </w:rPr>
        <w:t>各电气系统设备用房不应有水管穿过；当</w:t>
      </w:r>
      <w:r w:rsidRPr="00FD50F6">
        <w:t>风管穿</w:t>
      </w:r>
      <w:r w:rsidRPr="00FD50F6">
        <w:rPr>
          <w:rFonts w:hint="eastAsia"/>
        </w:rPr>
        <w:t>过时，应避免管道凝露滴到电气设备上。</w:t>
      </w:r>
    </w:p>
    <w:p w14:paraId="74902939" w14:textId="3FE88ED8" w:rsidR="000831EC" w:rsidRPr="00FD50F6" w:rsidRDefault="000831EC" w:rsidP="00A926BD">
      <w:pPr>
        <w:pStyle w:val="4"/>
      </w:pPr>
      <w:r w:rsidRPr="00FD50F6">
        <w:t>设备房的布置宜按线路划分，也可按系统划分</w:t>
      </w:r>
      <w:r w:rsidRPr="00FD50F6">
        <w:rPr>
          <w:rFonts w:hint="eastAsia"/>
        </w:rPr>
        <w:t>。</w:t>
      </w:r>
    </w:p>
    <w:p w14:paraId="598A64BE" w14:textId="0A09A0A1" w:rsidR="000831EC" w:rsidRPr="00FD50F6" w:rsidRDefault="000831EC" w:rsidP="00A926BD">
      <w:pPr>
        <w:pStyle w:val="4"/>
      </w:pPr>
      <w:r w:rsidRPr="00FD50F6">
        <w:t>设备区各系统设备房的楼层布置和平面布置应以方便运</w:t>
      </w:r>
      <w:r w:rsidRPr="00FD50F6">
        <w:rPr>
          <w:rFonts w:hint="eastAsia"/>
        </w:rPr>
        <w:t>营管理、便于工程实施、互相关联的管线连接最短为原则。</w:t>
      </w:r>
    </w:p>
    <w:p w14:paraId="2D47C2BD" w14:textId="2E63F22B" w:rsidR="000831EC" w:rsidRPr="00FD50F6" w:rsidRDefault="000831EC" w:rsidP="00A926BD">
      <w:pPr>
        <w:pStyle w:val="4"/>
      </w:pPr>
      <w:r w:rsidRPr="00FD50F6">
        <w:t>多</w:t>
      </w:r>
      <w:r w:rsidRPr="00FD50F6">
        <w:rPr>
          <w:rFonts w:hint="eastAsia"/>
        </w:rPr>
        <w:t>条</w:t>
      </w:r>
      <w:r w:rsidRPr="00FD50F6">
        <w:t>线路控制中心的中</w:t>
      </w:r>
      <w:r w:rsidRPr="00FD50F6">
        <w:rPr>
          <w:rFonts w:hint="eastAsia"/>
        </w:rPr>
        <w:t>心</w:t>
      </w:r>
      <w:r w:rsidRPr="00FD50F6">
        <w:t>级系统设备</w:t>
      </w:r>
      <w:r w:rsidRPr="00FD50F6">
        <w:rPr>
          <w:rFonts w:hint="eastAsia"/>
        </w:rPr>
        <w:t>，当采用云平台统一构建时，</w:t>
      </w:r>
      <w:r w:rsidRPr="00FD50F6">
        <w:t>宜</w:t>
      </w:r>
      <w:r w:rsidRPr="00FD50F6">
        <w:rPr>
          <w:rFonts w:hint="eastAsia"/>
        </w:rPr>
        <w:t>按计算、存储等功能模块集中设置。</w:t>
      </w:r>
    </w:p>
    <w:p w14:paraId="35068DD9" w14:textId="77777777" w:rsidR="000831EC" w:rsidRPr="00FD50F6" w:rsidRDefault="000831EC" w:rsidP="000831EC">
      <w:pPr>
        <w:pStyle w:val="30"/>
      </w:pPr>
      <w:r w:rsidRPr="00FD50F6">
        <w:t>维修区应满足维护管理室和值班等功能要求，</w:t>
      </w:r>
      <w:r w:rsidRPr="00FD50F6">
        <w:rPr>
          <w:rFonts w:hint="eastAsia"/>
        </w:rPr>
        <w:t>多</w:t>
      </w:r>
      <w:r w:rsidRPr="00FD50F6">
        <w:t>线路</w:t>
      </w:r>
      <w:r w:rsidRPr="00FD50F6">
        <w:rPr>
          <w:rFonts w:hint="eastAsia"/>
        </w:rPr>
        <w:t>控制中心宜按专业系统合设。</w:t>
      </w:r>
    </w:p>
    <w:p w14:paraId="577C98B8" w14:textId="4B4E1F81" w:rsidR="000831EC" w:rsidRPr="00FD50F6" w:rsidRDefault="000831EC" w:rsidP="000831EC">
      <w:pPr>
        <w:pStyle w:val="30"/>
      </w:pPr>
      <w:r w:rsidRPr="00FD50F6">
        <w:t>运营监控区宜设置参观演示室、参观接待室</w:t>
      </w:r>
      <w:r w:rsidRPr="00FD50F6">
        <w:rPr>
          <w:rFonts w:hint="eastAsia"/>
        </w:rPr>
        <w:t>。参观演示室应与中心控制室相邻设置，也可与应急指挥协调室合设。</w:t>
      </w:r>
    </w:p>
    <w:p w14:paraId="61FBB158" w14:textId="0F1B876F" w:rsidR="000831EC" w:rsidRPr="00FD50F6" w:rsidRDefault="000831EC" w:rsidP="000831EC">
      <w:pPr>
        <w:pStyle w:val="30"/>
      </w:pPr>
      <w:r w:rsidRPr="00FD50F6">
        <w:t>辅助设备区设备的配置及布置应符合下列</w:t>
      </w:r>
      <w:r w:rsidRPr="00FD50F6">
        <w:rPr>
          <w:rFonts w:hint="eastAsia"/>
        </w:rPr>
        <w:t>规定：</w:t>
      </w:r>
    </w:p>
    <w:p w14:paraId="0FCF6965" w14:textId="77777777" w:rsidR="000831EC" w:rsidRPr="00FD50F6" w:rsidRDefault="000831EC" w:rsidP="00A926BD">
      <w:pPr>
        <w:pStyle w:val="4"/>
      </w:pPr>
      <w:r w:rsidRPr="00FD50F6">
        <w:t>辅助设备区宜设置</w:t>
      </w:r>
      <w:r w:rsidRPr="00FD50F6">
        <w:rPr>
          <w:rFonts w:hint="eastAsia"/>
        </w:rPr>
        <w:t>供</w:t>
      </w:r>
      <w:r w:rsidRPr="00FD50F6">
        <w:t>配电、通风与空调、给水</w:t>
      </w:r>
      <w:r w:rsidRPr="00FD50F6">
        <w:rPr>
          <w:rFonts w:hint="eastAsia"/>
        </w:rPr>
        <w:t>与排水、水消防与自动灭火等系统设备和用房；</w:t>
      </w:r>
    </w:p>
    <w:p w14:paraId="230AF4CD" w14:textId="7659EEEA" w:rsidR="000831EC" w:rsidRPr="00FD50F6" w:rsidRDefault="000831EC" w:rsidP="00A926BD">
      <w:pPr>
        <w:pStyle w:val="4"/>
      </w:pPr>
      <w:r w:rsidRPr="00FD50F6">
        <w:t>供配电、空调、给水与排水及水消防等系统设</w:t>
      </w:r>
      <w:r w:rsidRPr="00FD50F6">
        <w:rPr>
          <w:rFonts w:hint="eastAsia"/>
        </w:rPr>
        <w:t>备宜设置在地面一层或地下一层，</w:t>
      </w:r>
      <w:r w:rsidRPr="00FD50F6">
        <w:t>低压配电、通风与空调和自</w:t>
      </w:r>
      <w:r w:rsidRPr="00FD50F6">
        <w:rPr>
          <w:rFonts w:hint="eastAsia"/>
        </w:rPr>
        <w:t>动灭火等系统设备宜设置在各层距用户较近的位置。</w:t>
      </w:r>
    </w:p>
    <w:p w14:paraId="765E1D48" w14:textId="77777777" w:rsidR="000831EC" w:rsidRPr="00FD50F6" w:rsidRDefault="000831EC" w:rsidP="00A65181">
      <w:pPr>
        <w:pStyle w:val="2"/>
      </w:pPr>
      <w:bookmarkStart w:id="1131" w:name="_Toc112830843"/>
      <w:r w:rsidRPr="00FD50F6">
        <w:t>建筑与</w:t>
      </w:r>
      <w:r w:rsidRPr="00FD50F6">
        <w:rPr>
          <w:rFonts w:hint="eastAsia"/>
        </w:rPr>
        <w:t>结构</w:t>
      </w:r>
      <w:bookmarkEnd w:id="1131"/>
    </w:p>
    <w:p w14:paraId="09B81A35" w14:textId="5E6BD67C" w:rsidR="000831EC" w:rsidRPr="0001193D" w:rsidRDefault="000831EC" w:rsidP="00254A39">
      <w:pPr>
        <w:pStyle w:val="30"/>
      </w:pPr>
      <w:r w:rsidRPr="00FD50F6">
        <w:t>控制中心应根据监控管理线路数量、运营管理架构和管</w:t>
      </w:r>
      <w:r w:rsidRPr="00FD50F6">
        <w:rPr>
          <w:rFonts w:hint="eastAsia"/>
        </w:rPr>
        <w:t>理模式、各系统中心级设备的数量及控制中心其他辅助设施等因素确定控制中心的建设规模及标准，并宜预留发展余地。</w:t>
      </w:r>
    </w:p>
    <w:p w14:paraId="76D22770" w14:textId="57876949" w:rsidR="000831EC" w:rsidRPr="00FD50F6" w:rsidRDefault="000831EC" w:rsidP="000831EC">
      <w:pPr>
        <w:pStyle w:val="30"/>
      </w:pPr>
      <w:r w:rsidRPr="00FD50F6">
        <w:rPr>
          <w:rFonts w:hint="eastAsia"/>
        </w:rPr>
        <w:t>控制中心的建筑布局应能满足工艺布局要求，体现城市轨道交通控制中心的功能特点，</w:t>
      </w:r>
      <w:r w:rsidRPr="00FD50F6">
        <w:t>并</w:t>
      </w:r>
      <w:r w:rsidRPr="00FD50F6">
        <w:rPr>
          <w:rFonts w:hint="eastAsia"/>
        </w:rPr>
        <w:t>应</w:t>
      </w:r>
      <w:r w:rsidRPr="00FD50F6">
        <w:t>符合下列规定：</w:t>
      </w:r>
    </w:p>
    <w:p w14:paraId="773FD8C3" w14:textId="00DEFD4D" w:rsidR="000831EC" w:rsidRPr="00FD50F6" w:rsidRDefault="000831EC" w:rsidP="00A926BD">
      <w:pPr>
        <w:pStyle w:val="4"/>
      </w:pPr>
      <w:r w:rsidRPr="00FD50F6">
        <w:t>防火设计建筑分类应为一类公共建筑，建筑工程设计等级、耐火等级和屋面防水等级应为一级</w:t>
      </w:r>
      <w:r w:rsidRPr="00FD50F6">
        <w:rPr>
          <w:rFonts w:hint="eastAsia"/>
        </w:rPr>
        <w:t>。</w:t>
      </w:r>
    </w:p>
    <w:p w14:paraId="676BB264" w14:textId="723EAAF0" w:rsidR="000831EC" w:rsidRPr="00FD50F6" w:rsidRDefault="000831EC" w:rsidP="00A926BD">
      <w:pPr>
        <w:pStyle w:val="4"/>
      </w:pPr>
      <w:r w:rsidRPr="00FD50F6">
        <w:lastRenderedPageBreak/>
        <w:t>中</w:t>
      </w:r>
      <w:r w:rsidRPr="00FD50F6">
        <w:rPr>
          <w:rFonts w:hint="eastAsia"/>
        </w:rPr>
        <w:t>心</w:t>
      </w:r>
      <w:r w:rsidRPr="00FD50F6">
        <w:t>控制室的室内净空高度应根据房间面积大小及视线</w:t>
      </w:r>
      <w:r w:rsidRPr="00FD50F6">
        <w:rPr>
          <w:rFonts w:hint="eastAsia"/>
        </w:rPr>
        <w:t>的要求进行设计，不宜小于</w:t>
      </w:r>
      <w:r w:rsidRPr="00FD50F6">
        <w:t>4</w:t>
      </w:r>
      <w:r w:rsidRPr="00FD50F6">
        <w:rPr>
          <w:rFonts w:hint="eastAsia"/>
        </w:rPr>
        <w:t>.0</w:t>
      </w:r>
      <w:r w:rsidRPr="00FD50F6">
        <w:t>m</w:t>
      </w:r>
      <w:r w:rsidRPr="00FD50F6">
        <w:rPr>
          <w:rFonts w:hint="eastAsia"/>
        </w:rPr>
        <w:t>；多线路中心控制室净高不宜小于</w:t>
      </w:r>
      <w:r w:rsidRPr="00FD50F6">
        <w:t>5.8m</w:t>
      </w:r>
      <w:r w:rsidRPr="00FD50F6">
        <w:t>；</w:t>
      </w:r>
      <w:r w:rsidR="006F70EE">
        <w:t>其他</w:t>
      </w:r>
      <w:r w:rsidRPr="00FD50F6">
        <w:t>设备用房净高不应小于</w:t>
      </w:r>
      <w:r w:rsidRPr="00FD50F6">
        <w:rPr>
          <w:rFonts w:hint="eastAsia"/>
        </w:rPr>
        <w:t>3</w:t>
      </w:r>
      <w:r w:rsidRPr="00FD50F6">
        <w:t>.</w:t>
      </w:r>
      <w:r w:rsidRPr="00FD50F6">
        <w:rPr>
          <w:rFonts w:hint="eastAsia"/>
        </w:rPr>
        <w:t>0</w:t>
      </w:r>
      <w:r w:rsidRPr="00FD50F6">
        <w:t>m</w:t>
      </w:r>
      <w:r w:rsidRPr="00FD50F6">
        <w:rPr>
          <w:rFonts w:hint="eastAsia"/>
        </w:rPr>
        <w:t>。</w:t>
      </w:r>
    </w:p>
    <w:p w14:paraId="1A42FF6A" w14:textId="25379AA7" w:rsidR="000831EC" w:rsidRPr="00FD50F6" w:rsidRDefault="000831EC" w:rsidP="00A926BD">
      <w:pPr>
        <w:pStyle w:val="4"/>
      </w:pPr>
      <w:r w:rsidRPr="00FD50F6">
        <w:t>中</w:t>
      </w:r>
      <w:r w:rsidRPr="00FD50F6">
        <w:rPr>
          <w:rFonts w:hint="eastAsia"/>
        </w:rPr>
        <w:t>心</w:t>
      </w:r>
      <w:r w:rsidRPr="00FD50F6">
        <w:t>控制室</w:t>
      </w:r>
      <w:r w:rsidRPr="00FD50F6">
        <w:rPr>
          <w:rFonts w:hint="eastAsia"/>
        </w:rPr>
        <w:t>、系统设备机房</w:t>
      </w:r>
      <w:r w:rsidRPr="00FD50F6">
        <w:t>应密封、隔声和隔热</w:t>
      </w:r>
      <w:r w:rsidRPr="00FD50F6">
        <w:rPr>
          <w:rFonts w:hint="eastAsia"/>
        </w:rPr>
        <w:t>；当</w:t>
      </w:r>
      <w:r w:rsidRPr="00FD50F6">
        <w:t>有</w:t>
      </w:r>
      <w:r w:rsidRPr="00FD50F6">
        <w:rPr>
          <w:rFonts w:hint="eastAsia"/>
        </w:rPr>
        <w:t>防火、防爆等特殊要求时，应按特殊要求进行设计。</w:t>
      </w:r>
    </w:p>
    <w:p w14:paraId="174D565C" w14:textId="3EA86300" w:rsidR="000831EC" w:rsidRPr="00FD50F6" w:rsidRDefault="000831EC" w:rsidP="00A926BD">
      <w:pPr>
        <w:pStyle w:val="4"/>
      </w:pPr>
      <w:r w:rsidRPr="00FD50F6">
        <w:rPr>
          <w:rFonts w:hint="eastAsia"/>
        </w:rPr>
        <w:t>系统设备机房</w:t>
      </w:r>
      <w:r w:rsidRPr="00FD50F6">
        <w:t>不宜设置外窗</w:t>
      </w:r>
      <w:r w:rsidRPr="00FD50F6">
        <w:rPr>
          <w:rFonts w:hint="eastAsia"/>
        </w:rPr>
        <w:t>，设有外窗时，</w:t>
      </w:r>
      <w:r w:rsidRPr="00FD50F6">
        <w:t>阳光不应直</w:t>
      </w:r>
      <w:r w:rsidRPr="00FD50F6">
        <w:rPr>
          <w:rFonts w:hint="eastAsia"/>
        </w:rPr>
        <w:t>射设备，当受阳光直射时，应采取遮光措施。</w:t>
      </w:r>
    </w:p>
    <w:p w14:paraId="0CF6BA87" w14:textId="4BFF3042" w:rsidR="000831EC" w:rsidRPr="00FD50F6" w:rsidRDefault="000831EC" w:rsidP="00A926BD">
      <w:pPr>
        <w:pStyle w:val="4"/>
      </w:pPr>
      <w:r w:rsidRPr="00FD50F6">
        <w:rPr>
          <w:rFonts w:hint="eastAsia"/>
        </w:rPr>
        <w:t>当系统设备机房采用下部进线时，应设架空</w:t>
      </w:r>
      <w:r w:rsidRPr="00FD50F6">
        <w:t>防静电活动地板</w:t>
      </w:r>
      <w:r w:rsidRPr="00FD50F6">
        <w:rPr>
          <w:rFonts w:hint="eastAsia"/>
        </w:rPr>
        <w:t>，设备不应直接安装在活动地板上，应根据设备的安装要求设置设备的承重、固定装置。</w:t>
      </w:r>
    </w:p>
    <w:p w14:paraId="705E7BDF" w14:textId="375A394B" w:rsidR="000831EC" w:rsidRPr="00FD50F6" w:rsidRDefault="000831EC" w:rsidP="00A926BD">
      <w:pPr>
        <w:pStyle w:val="4"/>
      </w:pPr>
      <w:r w:rsidRPr="00FD50F6">
        <w:t>室内</w:t>
      </w:r>
      <w:r w:rsidRPr="00FD50F6">
        <w:rPr>
          <w:rFonts w:hint="eastAsia"/>
        </w:rPr>
        <w:t>可</w:t>
      </w:r>
      <w:r w:rsidRPr="00FD50F6">
        <w:t>设吊顶，并应满足敷设通风管道和管线的要求。</w:t>
      </w:r>
      <w:r w:rsidRPr="00FD50F6">
        <w:rPr>
          <w:rFonts w:hint="eastAsia"/>
        </w:rPr>
        <w:t>吊顶宜采用轻质、耐火材料。</w:t>
      </w:r>
    </w:p>
    <w:p w14:paraId="73C30801" w14:textId="77777777" w:rsidR="000831EC" w:rsidRPr="00FD50F6" w:rsidRDefault="000831EC" w:rsidP="00A926BD">
      <w:pPr>
        <w:pStyle w:val="4"/>
      </w:pPr>
      <w:r w:rsidRPr="00FD50F6">
        <w:t>室内装修与照明综合效果不应在</w:t>
      </w:r>
      <w:r w:rsidRPr="00FD50F6">
        <w:rPr>
          <w:rFonts w:hint="eastAsia"/>
        </w:rPr>
        <w:t>大屏幕显示</w:t>
      </w:r>
      <w:r w:rsidRPr="00FD50F6">
        <w:t>屏上产生眩光。</w:t>
      </w:r>
    </w:p>
    <w:p w14:paraId="1C170115" w14:textId="21D634F4" w:rsidR="000831EC" w:rsidRPr="00FD50F6" w:rsidRDefault="000831EC" w:rsidP="001A4CF3">
      <w:pPr>
        <w:pStyle w:val="30"/>
        <w:numPr>
          <w:ilvl w:val="0"/>
          <w:numId w:val="0"/>
        </w:numPr>
      </w:pPr>
    </w:p>
    <w:p w14:paraId="399139B4" w14:textId="1F54FBAD" w:rsidR="000831EC" w:rsidRPr="00FD50F6" w:rsidRDefault="000831EC" w:rsidP="000831EC">
      <w:pPr>
        <w:pStyle w:val="30"/>
      </w:pPr>
      <w:r w:rsidRPr="00FD50F6">
        <w:rPr>
          <w:rFonts w:hint="eastAsia"/>
        </w:rPr>
        <w:t>控制中心结构设计在满足设备、设施的要求外，还应符合下列规定：</w:t>
      </w:r>
    </w:p>
    <w:p w14:paraId="135F7547" w14:textId="1A47D984" w:rsidR="000831EC" w:rsidRPr="00FD50F6" w:rsidRDefault="000831EC" w:rsidP="00A926BD">
      <w:pPr>
        <w:pStyle w:val="4"/>
      </w:pPr>
      <w:r w:rsidRPr="00FD50F6">
        <w:t>主体结构的使用年限应</w:t>
      </w:r>
      <w:r w:rsidRPr="00FD50F6">
        <w:rPr>
          <w:rFonts w:hint="eastAsia"/>
        </w:rPr>
        <w:t>根据规模、使用功能确定，与线网指挥中心合设的多条线路控制中心宜</w:t>
      </w:r>
      <w:r w:rsidRPr="00FD50F6">
        <w:t>为</w:t>
      </w:r>
      <w:r w:rsidRPr="00FD50F6">
        <w:t xml:space="preserve"> 100</w:t>
      </w:r>
      <w:r w:rsidRPr="00FD50F6">
        <w:t>年</w:t>
      </w:r>
      <w:r w:rsidRPr="00FD50F6">
        <w:rPr>
          <w:rFonts w:hint="eastAsia"/>
        </w:rPr>
        <w:t>。</w:t>
      </w:r>
      <w:r w:rsidRPr="00FD50F6">
        <w:t xml:space="preserve"> </w:t>
      </w:r>
    </w:p>
    <w:p w14:paraId="5022D1D3" w14:textId="5170633C" w:rsidR="000831EC" w:rsidRPr="00FD50F6" w:rsidRDefault="000831EC" w:rsidP="00A926BD">
      <w:pPr>
        <w:pStyle w:val="4"/>
      </w:pPr>
      <w:r w:rsidRPr="00FD50F6">
        <w:t>结构设计应分别按施工阶段和使用阶段进行强度、变形等计算，并应满足环保、防火、防水、</w:t>
      </w:r>
      <w:r w:rsidRPr="00FD50F6">
        <w:t xml:space="preserve"> </w:t>
      </w:r>
      <w:r w:rsidRPr="00FD50F6">
        <w:t>防锈蚀、防雷等要求</w:t>
      </w:r>
      <w:r w:rsidRPr="00FD50F6">
        <w:rPr>
          <w:rFonts w:hint="eastAsia"/>
        </w:rPr>
        <w:t>。</w:t>
      </w:r>
    </w:p>
    <w:p w14:paraId="62D86BDC" w14:textId="5F9BDD2C" w:rsidR="000831EC" w:rsidRPr="00FD50F6" w:rsidRDefault="000831EC" w:rsidP="00A926BD">
      <w:pPr>
        <w:pStyle w:val="4"/>
      </w:pPr>
      <w:r w:rsidRPr="00FD50F6">
        <w:t>控制中心荷载取值应根据用房性质不同而分别确定，</w:t>
      </w:r>
      <w:r w:rsidRPr="00FD50F6">
        <w:rPr>
          <w:rFonts w:hint="eastAsia"/>
        </w:rPr>
        <w:t>中心控制室</w:t>
      </w:r>
      <w:bookmarkStart w:id="1132" w:name="_Hlk53999973"/>
      <w:r w:rsidRPr="00FD50F6">
        <w:rPr>
          <w:rFonts w:hint="eastAsia"/>
        </w:rPr>
        <w:t>宜按</w:t>
      </w:r>
      <w:bookmarkEnd w:id="1132"/>
      <w:r w:rsidRPr="00FD50F6">
        <w:rPr>
          <w:rFonts w:hint="eastAsia"/>
        </w:rPr>
        <w:t>6.0k</w:t>
      </w:r>
      <w:r w:rsidRPr="00FD50F6">
        <w:t>N</w:t>
      </w:r>
      <w:r w:rsidRPr="00FD50F6">
        <w:rPr>
          <w:rFonts w:hint="eastAsia"/>
        </w:rPr>
        <w:t>/</w:t>
      </w:r>
      <w:r w:rsidRPr="00FD50F6">
        <w:t>m</w:t>
      </w:r>
      <w:r w:rsidRPr="00FD50F6">
        <w:rPr>
          <w:vertAlign w:val="superscript"/>
        </w:rPr>
        <w:t>2</w:t>
      </w:r>
      <w:r w:rsidRPr="00FD50F6">
        <w:rPr>
          <w:rFonts w:hint="eastAsia"/>
        </w:rPr>
        <w:t>，系统设备机房、电源室宜按</w:t>
      </w:r>
      <w:r w:rsidRPr="00FD50F6">
        <w:rPr>
          <w:rFonts w:hint="eastAsia"/>
        </w:rPr>
        <w:t>8</w:t>
      </w:r>
      <w:r w:rsidRPr="00FD50F6">
        <w:t>kN/</w:t>
      </w:r>
      <w:r w:rsidRPr="00FD50F6">
        <w:rPr>
          <w:rFonts w:hint="eastAsia"/>
        </w:rPr>
        <w:t>m</w:t>
      </w:r>
      <w:r w:rsidRPr="00FD50F6">
        <w:rPr>
          <w:vertAlign w:val="superscript"/>
        </w:rPr>
        <w:t>2</w:t>
      </w:r>
      <w:r w:rsidRPr="00FD50F6">
        <w:t>～</w:t>
      </w:r>
      <w:r w:rsidRPr="00FD50F6">
        <w:t>10kN/m</w:t>
      </w:r>
      <w:r w:rsidRPr="00FD50F6">
        <w:rPr>
          <w:vertAlign w:val="superscript"/>
        </w:rPr>
        <w:t>2</w:t>
      </w:r>
      <w:r w:rsidRPr="00FD50F6">
        <w:t>，电</w:t>
      </w:r>
      <w:r w:rsidRPr="00FD50F6">
        <w:rPr>
          <w:rFonts w:hint="eastAsia"/>
        </w:rPr>
        <w:t>池</w:t>
      </w:r>
      <w:r w:rsidRPr="00FD50F6">
        <w:t>室</w:t>
      </w:r>
      <w:r w:rsidRPr="00FD50F6">
        <w:rPr>
          <w:rFonts w:hint="eastAsia"/>
        </w:rPr>
        <w:t>宜按</w:t>
      </w:r>
      <w:r w:rsidRPr="00FD50F6">
        <w:rPr>
          <w:rFonts w:hint="eastAsia"/>
        </w:rPr>
        <w:t>16</w:t>
      </w:r>
      <w:r w:rsidRPr="00FD50F6">
        <w:t>kN/m</w:t>
      </w:r>
      <w:r w:rsidRPr="00FD50F6">
        <w:rPr>
          <w:vertAlign w:val="superscript"/>
        </w:rPr>
        <w:t>2</w:t>
      </w:r>
      <w:r w:rsidRPr="00FD50F6">
        <w:rPr>
          <w:rFonts w:hint="eastAsia"/>
        </w:rPr>
        <w:t>取值</w:t>
      </w:r>
      <w:r w:rsidRPr="00FD50F6">
        <w:t>。如另有特殊设备，应根据要求单独计算</w:t>
      </w:r>
      <w:r w:rsidRPr="00FD50F6">
        <w:rPr>
          <w:rFonts w:hint="eastAsia"/>
        </w:rPr>
        <w:t>确定</w:t>
      </w:r>
      <w:r w:rsidRPr="00FD50F6">
        <w:t>。</w:t>
      </w:r>
    </w:p>
    <w:p w14:paraId="23AEB974" w14:textId="449B5686" w:rsidR="000831EC" w:rsidRPr="00FD50F6" w:rsidRDefault="000831EC" w:rsidP="00A926BD">
      <w:pPr>
        <w:pStyle w:val="4"/>
      </w:pPr>
      <w:r w:rsidRPr="00FD50F6">
        <w:t>施工荷载标准值应取</w:t>
      </w:r>
      <w:r w:rsidRPr="00FD50F6">
        <w:t>2.0kPa</w:t>
      </w:r>
      <w:r w:rsidRPr="00FD50F6">
        <w:t>，并</w:t>
      </w:r>
      <w:r w:rsidRPr="00FD50F6">
        <w:rPr>
          <w:rFonts w:hint="eastAsia"/>
        </w:rPr>
        <w:t>应</w:t>
      </w:r>
      <w:r w:rsidRPr="00FD50F6">
        <w:t>满足运输、安装时不利布置工况</w:t>
      </w:r>
      <w:r w:rsidR="00AD51B8">
        <w:rPr>
          <w:rFonts w:hint="eastAsia"/>
        </w:rPr>
        <w:t>的</w:t>
      </w:r>
      <w:r w:rsidR="00F96A39">
        <w:rPr>
          <w:rFonts w:hint="eastAsia"/>
        </w:rPr>
        <w:t>要求</w:t>
      </w:r>
      <w:r w:rsidRPr="00FD50F6">
        <w:t>。</w:t>
      </w:r>
    </w:p>
    <w:p w14:paraId="010D6B84" w14:textId="77777777" w:rsidR="000831EC" w:rsidRPr="00FD50F6" w:rsidRDefault="000831EC" w:rsidP="00A65181">
      <w:pPr>
        <w:pStyle w:val="2"/>
      </w:pPr>
      <w:bookmarkStart w:id="1133" w:name="_Toc112830844"/>
      <w:r w:rsidRPr="00FD50F6">
        <w:t>布</w:t>
      </w:r>
      <w:r w:rsidRPr="00FD50F6">
        <w:rPr>
          <w:rFonts w:hint="eastAsia"/>
        </w:rPr>
        <w:t>线</w:t>
      </w:r>
      <w:bookmarkEnd w:id="1133"/>
    </w:p>
    <w:p w14:paraId="7AE2484B" w14:textId="77777777" w:rsidR="000831EC" w:rsidRPr="00FD50F6" w:rsidRDefault="000831EC" w:rsidP="000831EC">
      <w:pPr>
        <w:pStyle w:val="30"/>
      </w:pPr>
      <w:r w:rsidRPr="00FD50F6">
        <w:t>控制中心应有序敷设管线，并宜采用综合布线和管</w:t>
      </w:r>
      <w:r w:rsidRPr="00FD50F6">
        <w:rPr>
          <w:rFonts w:hint="eastAsia"/>
        </w:rPr>
        <w:t>线</w:t>
      </w:r>
      <w:r w:rsidRPr="00FD50F6">
        <w:t>综合</w:t>
      </w:r>
      <w:r w:rsidRPr="00FD50F6">
        <w:rPr>
          <w:rFonts w:hint="eastAsia"/>
        </w:rPr>
        <w:t>敷设方式。</w:t>
      </w:r>
    </w:p>
    <w:p w14:paraId="55FC5EEE" w14:textId="77777777" w:rsidR="000831EC" w:rsidRPr="00FD50F6" w:rsidRDefault="000831EC" w:rsidP="000831EC">
      <w:pPr>
        <w:pStyle w:val="30"/>
      </w:pPr>
      <w:r w:rsidRPr="00FD50F6">
        <w:t>综合布线和管线综合应为检修、更新改造预留空间</w:t>
      </w:r>
      <w:r w:rsidRPr="00FD50F6">
        <w:rPr>
          <w:rFonts w:hint="eastAsia"/>
        </w:rPr>
        <w:t>；</w:t>
      </w:r>
      <w:r w:rsidRPr="00FD50F6">
        <w:t>综</w:t>
      </w:r>
      <w:r w:rsidRPr="00FD50F6">
        <w:rPr>
          <w:rFonts w:hint="eastAsia"/>
        </w:rPr>
        <w:t>合布线和管线综合应具有防火、防水和防鼠等安全功能。</w:t>
      </w:r>
    </w:p>
    <w:p w14:paraId="4DD2B53D" w14:textId="77777777" w:rsidR="000831EC" w:rsidRPr="00FD50F6" w:rsidRDefault="000831EC" w:rsidP="000831EC">
      <w:pPr>
        <w:pStyle w:val="30"/>
      </w:pPr>
      <w:r w:rsidRPr="00FD50F6">
        <w:rPr>
          <w:rFonts w:hint="eastAsia"/>
        </w:rPr>
        <w:t>地铁系统线缆与楼宇管线应相互分开独立敷设，宜设置各自的敷设路由通道。</w:t>
      </w:r>
      <w:r w:rsidRPr="00FD50F6">
        <w:t>电缆的选择和管线的敷设过程应满足强电、弱电和消防</w:t>
      </w:r>
      <w:r w:rsidRPr="00FD50F6">
        <w:rPr>
          <w:rFonts w:hint="eastAsia"/>
        </w:rPr>
        <w:t>等专业的要求。管线敷设宜做到线路短、交叉少。</w:t>
      </w:r>
    </w:p>
    <w:p w14:paraId="277FCAC4" w14:textId="77777777" w:rsidR="000831EC" w:rsidRPr="00FD50F6" w:rsidRDefault="000831EC" w:rsidP="000831EC">
      <w:pPr>
        <w:pStyle w:val="30"/>
      </w:pPr>
      <w:r w:rsidRPr="00FD50F6">
        <w:lastRenderedPageBreak/>
        <w:t>竖向布线宜采用电缆井敷线方式，并应满足强电、弱电</w:t>
      </w:r>
      <w:r w:rsidRPr="00FD50F6">
        <w:rPr>
          <w:rFonts w:hint="eastAsia"/>
        </w:rPr>
        <w:t>和消防等专业的要求。</w:t>
      </w:r>
    </w:p>
    <w:p w14:paraId="6C92805E" w14:textId="77777777" w:rsidR="000831EC" w:rsidRPr="00FD50F6" w:rsidRDefault="000831EC" w:rsidP="000831EC">
      <w:pPr>
        <w:pStyle w:val="30"/>
      </w:pPr>
      <w:r w:rsidRPr="00FD50F6">
        <w:t>水平布线宜采用电缆夹层敷线方式，并应根据夹层的具</w:t>
      </w:r>
      <w:r w:rsidRPr="00FD50F6">
        <w:rPr>
          <w:rFonts w:hint="eastAsia"/>
        </w:rPr>
        <w:t>体情况，分层分区设置电缆桥架或汇线槽。</w:t>
      </w:r>
    </w:p>
    <w:p w14:paraId="4B5374B5" w14:textId="7980BBCB" w:rsidR="000831EC" w:rsidRPr="00FD50F6" w:rsidRDefault="000831EC" w:rsidP="000831EC">
      <w:pPr>
        <w:pStyle w:val="30"/>
      </w:pPr>
      <w:r w:rsidRPr="00FD50F6">
        <w:t>中</w:t>
      </w:r>
      <w:r w:rsidRPr="00FD50F6">
        <w:rPr>
          <w:rFonts w:hint="eastAsia"/>
        </w:rPr>
        <w:t>心</w:t>
      </w:r>
      <w:r w:rsidRPr="00FD50F6">
        <w:t>控制室内的电线、电缆和管线宜隐蔽敷设。</w:t>
      </w:r>
    </w:p>
    <w:p w14:paraId="5BB12695" w14:textId="77777777" w:rsidR="000831EC" w:rsidRPr="00FD50F6" w:rsidRDefault="000831EC" w:rsidP="00A65181">
      <w:pPr>
        <w:pStyle w:val="2"/>
      </w:pPr>
      <w:bookmarkStart w:id="1134" w:name="_Toc112830845"/>
      <w:r w:rsidRPr="00FD50F6">
        <w:t>供电、防雷与接地</w:t>
      </w:r>
      <w:bookmarkEnd w:id="1134"/>
    </w:p>
    <w:p w14:paraId="3622125F" w14:textId="61D56432" w:rsidR="000831EC" w:rsidRPr="00FD50F6" w:rsidRDefault="000831EC" w:rsidP="000831EC">
      <w:pPr>
        <w:pStyle w:val="30"/>
      </w:pPr>
      <w:r w:rsidRPr="00FD50F6">
        <w:t>控制中心宜单独设置降压变电所，降压</w:t>
      </w:r>
      <w:r w:rsidRPr="00FD50F6">
        <w:rPr>
          <w:rFonts w:hint="eastAsia"/>
        </w:rPr>
        <w:t>变电</w:t>
      </w:r>
      <w:r w:rsidRPr="00FD50F6">
        <w:t>所内应设两台动</w:t>
      </w:r>
      <w:r w:rsidRPr="00FD50F6">
        <w:rPr>
          <w:rFonts w:hint="eastAsia"/>
        </w:rPr>
        <w:t>力变压器分别引入两路相对独立的电源供电，并应满足控制中心一、二、三级负荷的需要；</w:t>
      </w:r>
      <w:r w:rsidRPr="00FD50F6">
        <w:t>当一台变压器退出运行时，另一台</w:t>
      </w:r>
      <w:r w:rsidRPr="00FD50F6">
        <w:rPr>
          <w:rFonts w:hint="eastAsia"/>
        </w:rPr>
        <w:t>变压器应至少满足全部一、二级负荷的需要。</w:t>
      </w:r>
    </w:p>
    <w:p w14:paraId="5427A419" w14:textId="21A39455" w:rsidR="000831EC" w:rsidRPr="00FD50F6" w:rsidRDefault="000831EC" w:rsidP="000831EC">
      <w:pPr>
        <w:pStyle w:val="30"/>
      </w:pPr>
      <w:r w:rsidRPr="00FD50F6">
        <w:rPr>
          <w:rFonts w:hint="eastAsia"/>
        </w:rPr>
        <w:t>多线路控制中心或包含线网指挥中心的控制中心所属系统、设施</w:t>
      </w:r>
      <w:r w:rsidRPr="00FD50F6">
        <w:t>应由专用配电变压器供电，变压器宜采用干式变压器，</w:t>
      </w:r>
      <w:r w:rsidRPr="00FD50F6">
        <w:rPr>
          <w:rFonts w:hint="eastAsia"/>
        </w:rPr>
        <w:t>并应由两座不同的地铁主变电所各引入一路独立的电源供电。</w:t>
      </w:r>
    </w:p>
    <w:p w14:paraId="0FCF27E7" w14:textId="57D8A89F" w:rsidR="000831EC" w:rsidRPr="00FD50F6" w:rsidRDefault="000831EC" w:rsidP="000831EC">
      <w:pPr>
        <w:pStyle w:val="30"/>
      </w:pPr>
      <w:r w:rsidRPr="00FD50F6">
        <w:t>控制中心防雷接地</w:t>
      </w:r>
      <w:r w:rsidRPr="00FD50F6">
        <w:rPr>
          <w:rFonts w:hint="eastAsia"/>
        </w:rPr>
        <w:t>设计</w:t>
      </w:r>
      <w:r w:rsidRPr="00FD50F6">
        <w:t>应符合现行国家标准《建筑物防雷设</w:t>
      </w:r>
      <w:r w:rsidRPr="00FD50F6">
        <w:rPr>
          <w:rFonts w:hint="eastAsia"/>
        </w:rPr>
        <w:t>计规范》</w:t>
      </w:r>
      <w:r w:rsidRPr="00FD50F6">
        <w:t xml:space="preserve">GB 50057 </w:t>
      </w:r>
      <w:r w:rsidRPr="00FD50F6">
        <w:rPr>
          <w:rFonts w:hint="eastAsia"/>
        </w:rPr>
        <w:t>和《建筑物电子信息系统防雷技术规范》</w:t>
      </w:r>
      <w:r w:rsidRPr="00FD50F6">
        <w:t>GB 50343</w:t>
      </w:r>
      <w:r w:rsidRPr="00FD50F6">
        <w:t>的规定，其防护类别不应低于第二类防</w:t>
      </w:r>
      <w:r w:rsidRPr="00FD50F6">
        <w:rPr>
          <w:rFonts w:hint="eastAsia"/>
        </w:rPr>
        <w:t>雷建筑物。</w:t>
      </w:r>
    </w:p>
    <w:p w14:paraId="193A9413" w14:textId="77777777" w:rsidR="000831EC" w:rsidRPr="00FD50F6" w:rsidRDefault="000831EC" w:rsidP="000831EC">
      <w:pPr>
        <w:pStyle w:val="30"/>
      </w:pPr>
      <w:r w:rsidRPr="00FD50F6">
        <w:t>控制中心应设强、弱电系统综合接地极</w:t>
      </w:r>
      <w:r w:rsidRPr="00FD50F6">
        <w:rPr>
          <w:rFonts w:hint="eastAsia"/>
        </w:rPr>
        <w:t>，保护性接地和功能性接地宜共用一组接地装置，</w:t>
      </w:r>
      <w:r w:rsidRPr="00FD50F6">
        <w:t>总的接</w:t>
      </w:r>
      <w:r w:rsidRPr="00FD50F6">
        <w:rPr>
          <w:rFonts w:hint="eastAsia"/>
        </w:rPr>
        <w:t>地电阻不应大于</w:t>
      </w:r>
      <w:r w:rsidRPr="00FD50F6">
        <w:t>1 Ω</w:t>
      </w:r>
      <w:r w:rsidRPr="00FD50F6">
        <w:rPr>
          <w:rFonts w:hint="eastAsia"/>
        </w:rPr>
        <w:t>，</w:t>
      </w:r>
      <w:r w:rsidRPr="00FD50F6">
        <w:t>并应满足各系统总的散流要求。</w:t>
      </w:r>
    </w:p>
    <w:p w14:paraId="774F577E" w14:textId="771E4E96" w:rsidR="000831EC" w:rsidRPr="00FD50F6" w:rsidRDefault="000831EC" w:rsidP="00A65181">
      <w:pPr>
        <w:pStyle w:val="2"/>
      </w:pPr>
      <w:bookmarkStart w:id="1135" w:name="_Toc112830846"/>
      <w:r w:rsidRPr="00FD50F6">
        <w:rPr>
          <w:rFonts w:hint="eastAsia"/>
        </w:rPr>
        <w:t>使用环境要求</w:t>
      </w:r>
      <w:bookmarkEnd w:id="1135"/>
    </w:p>
    <w:p w14:paraId="39DC7EA0" w14:textId="2FAEE77F" w:rsidR="000831EC" w:rsidRPr="00FD50F6" w:rsidRDefault="000831EC" w:rsidP="000831EC">
      <w:pPr>
        <w:pStyle w:val="30"/>
      </w:pPr>
      <w:r w:rsidRPr="00FD50F6">
        <w:t>中</w:t>
      </w:r>
      <w:r w:rsidRPr="00FD50F6">
        <w:rPr>
          <w:rFonts w:hint="eastAsia"/>
        </w:rPr>
        <w:t>心</w:t>
      </w:r>
      <w:r w:rsidRPr="00FD50F6">
        <w:t>控制室内环境温度宜控制为</w:t>
      </w:r>
      <w:r w:rsidRPr="00FD50F6">
        <w:t>16</w:t>
      </w:r>
      <w:r w:rsidRPr="00FD50F6">
        <w:rPr>
          <w:rFonts w:hint="eastAsia"/>
        </w:rPr>
        <w:t>℃</w:t>
      </w:r>
      <w:r w:rsidRPr="00FD50F6">
        <w:t>~2</w:t>
      </w:r>
      <w:r w:rsidRPr="00FD50F6">
        <w:rPr>
          <w:rFonts w:hint="eastAsia"/>
        </w:rPr>
        <w:t>7</w:t>
      </w:r>
      <w:r w:rsidRPr="00FD50F6">
        <w:rPr>
          <w:rFonts w:hint="eastAsia"/>
        </w:rPr>
        <w:t>℃</w:t>
      </w:r>
      <w:r w:rsidRPr="00FD50F6">
        <w:t>，中</w:t>
      </w:r>
      <w:r w:rsidRPr="00FD50F6">
        <w:rPr>
          <w:rFonts w:hint="eastAsia"/>
        </w:rPr>
        <w:t>心</w:t>
      </w:r>
      <w:r w:rsidRPr="00FD50F6">
        <w:t>控</w:t>
      </w:r>
      <w:r w:rsidRPr="00FD50F6">
        <w:rPr>
          <w:rFonts w:hint="eastAsia"/>
        </w:rPr>
        <w:t>制室和各系统设备房每小时内的温度变化不宜超过</w:t>
      </w:r>
      <w:r w:rsidRPr="00FD50F6">
        <w:t>3</w:t>
      </w:r>
      <w:r w:rsidRPr="00FD50F6">
        <w:rPr>
          <w:rFonts w:hint="eastAsia"/>
        </w:rPr>
        <w:t>℃</w:t>
      </w:r>
      <w:r w:rsidRPr="00FD50F6">
        <w:t>，各系统</w:t>
      </w:r>
      <w:r w:rsidRPr="00FD50F6">
        <w:rPr>
          <w:rFonts w:hint="eastAsia"/>
        </w:rPr>
        <w:t>设备房应按现行国家标准《数据中心设计规范》</w:t>
      </w:r>
      <w:r w:rsidRPr="00FD50F6">
        <w:t>GB 50174</w:t>
      </w:r>
      <w:r w:rsidRPr="00FD50F6">
        <w:t>的规定设置，并宜按不</w:t>
      </w:r>
      <w:r w:rsidRPr="00FD50F6">
        <w:rPr>
          <w:rFonts w:hint="eastAsia"/>
        </w:rPr>
        <w:t>高于</w:t>
      </w:r>
      <w:r w:rsidRPr="00FD50F6">
        <w:t>B</w:t>
      </w:r>
      <w:r w:rsidRPr="00FD50F6">
        <w:t>级要求设计。</w:t>
      </w:r>
    </w:p>
    <w:p w14:paraId="5AF291B8" w14:textId="77777777" w:rsidR="000831EC" w:rsidRPr="00FD50F6" w:rsidRDefault="000831EC" w:rsidP="000831EC">
      <w:pPr>
        <w:pStyle w:val="30"/>
      </w:pPr>
      <w:r w:rsidRPr="00FD50F6">
        <w:rPr>
          <w:rFonts w:hint="eastAsia"/>
        </w:rPr>
        <w:t>大屏幕显示</w:t>
      </w:r>
      <w:r w:rsidRPr="00FD50F6">
        <w:t>屏前后的温差不宜超过</w:t>
      </w:r>
      <w:r w:rsidRPr="00FD50F6">
        <w:t>3</w:t>
      </w:r>
      <w:r w:rsidRPr="00FD50F6">
        <w:rPr>
          <w:rFonts w:hint="eastAsia"/>
        </w:rPr>
        <w:t>℃</w:t>
      </w:r>
      <w:r w:rsidRPr="00FD50F6">
        <w:t xml:space="preserve"> </w:t>
      </w:r>
      <w:r w:rsidRPr="00FD50F6">
        <w:t>。</w:t>
      </w:r>
    </w:p>
    <w:p w14:paraId="26CD38A1" w14:textId="63F3CF5F" w:rsidR="000831EC" w:rsidRPr="00FD50F6" w:rsidRDefault="000831EC" w:rsidP="000831EC">
      <w:pPr>
        <w:pStyle w:val="30"/>
      </w:pPr>
      <w:r w:rsidRPr="00FD50F6">
        <w:t>中</w:t>
      </w:r>
      <w:r w:rsidRPr="00FD50F6">
        <w:rPr>
          <w:rFonts w:hint="eastAsia"/>
        </w:rPr>
        <w:t>心</w:t>
      </w:r>
      <w:r w:rsidRPr="00FD50F6">
        <w:t>控制室及设备房应维持正压。</w:t>
      </w:r>
    </w:p>
    <w:p w14:paraId="2A024AD6" w14:textId="1B67605B" w:rsidR="000831EC" w:rsidRPr="00FD50F6" w:rsidRDefault="000831EC" w:rsidP="000831EC">
      <w:pPr>
        <w:pStyle w:val="30"/>
      </w:pPr>
      <w:r w:rsidRPr="00FD50F6">
        <w:t>中</w:t>
      </w:r>
      <w:r w:rsidRPr="00FD50F6">
        <w:rPr>
          <w:rFonts w:hint="eastAsia"/>
        </w:rPr>
        <w:t>心</w:t>
      </w:r>
      <w:r w:rsidRPr="00FD50F6">
        <w:t>控制室、运营管理区、设备区的空调系统应分开</w:t>
      </w:r>
      <w:r w:rsidRPr="00FD50F6">
        <w:rPr>
          <w:rFonts w:hint="eastAsia"/>
        </w:rPr>
        <w:t>设置。</w:t>
      </w:r>
    </w:p>
    <w:p w14:paraId="34FDBF1F" w14:textId="77777777" w:rsidR="000831EC" w:rsidRPr="00FD50F6" w:rsidRDefault="000831EC" w:rsidP="00A65181">
      <w:pPr>
        <w:pStyle w:val="2"/>
      </w:pPr>
      <w:bookmarkStart w:id="1136" w:name="_Toc112830847"/>
      <w:r w:rsidRPr="00FD50F6">
        <w:t>照明与应急照明</w:t>
      </w:r>
      <w:bookmarkEnd w:id="1136"/>
    </w:p>
    <w:p w14:paraId="0599D7C4" w14:textId="67E84BA9" w:rsidR="000831EC" w:rsidRPr="00FD50F6" w:rsidRDefault="000831EC" w:rsidP="000831EC">
      <w:pPr>
        <w:pStyle w:val="30"/>
      </w:pPr>
      <w:r w:rsidRPr="00FD50F6">
        <w:t>控制中心应设置正常照明与应急照明。照明灯具应选择</w:t>
      </w:r>
      <w:r w:rsidRPr="00FD50F6">
        <w:rPr>
          <w:rFonts w:hint="eastAsia"/>
        </w:rPr>
        <w:t>节能型、散射效</w:t>
      </w:r>
      <w:r w:rsidRPr="00FD50F6">
        <w:rPr>
          <w:rFonts w:hint="eastAsia"/>
        </w:rPr>
        <w:lastRenderedPageBreak/>
        <w:t>果良好、使用寿命长及维修更换方便的灯具；</w:t>
      </w:r>
      <w:r w:rsidRPr="00FD50F6">
        <w:t>灯</w:t>
      </w:r>
      <w:r w:rsidRPr="00FD50F6">
        <w:rPr>
          <w:rFonts w:hint="eastAsia"/>
        </w:rPr>
        <w:t>具的布置宜与建筑装修和设备布置相协调。</w:t>
      </w:r>
    </w:p>
    <w:p w14:paraId="79F722F6" w14:textId="494CAD75" w:rsidR="000831EC" w:rsidRPr="00FD50F6" w:rsidRDefault="000831EC" w:rsidP="000831EC">
      <w:pPr>
        <w:pStyle w:val="30"/>
      </w:pPr>
      <w:r w:rsidRPr="00FD50F6">
        <w:t>中</w:t>
      </w:r>
      <w:r w:rsidRPr="00FD50F6">
        <w:rPr>
          <w:rFonts w:hint="eastAsia"/>
        </w:rPr>
        <w:t>心</w:t>
      </w:r>
      <w:r w:rsidRPr="00FD50F6">
        <w:t>控制室照明设计应符合下列</w:t>
      </w:r>
      <w:r w:rsidRPr="00FD50F6">
        <w:rPr>
          <w:rFonts w:hint="eastAsia"/>
        </w:rPr>
        <w:t>规定：</w:t>
      </w:r>
    </w:p>
    <w:p w14:paraId="19053061" w14:textId="6D9569F5" w:rsidR="000831EC" w:rsidRPr="00FD50F6" w:rsidRDefault="000831EC" w:rsidP="00A926BD">
      <w:pPr>
        <w:pStyle w:val="4"/>
      </w:pPr>
      <w:r w:rsidRPr="00FD50F6">
        <w:t>中</w:t>
      </w:r>
      <w:r w:rsidRPr="00FD50F6">
        <w:rPr>
          <w:rFonts w:hint="eastAsia"/>
        </w:rPr>
        <w:t>心</w:t>
      </w:r>
      <w:r w:rsidRPr="00FD50F6">
        <w:t>控制室的照明应柔和均匀</w:t>
      </w:r>
      <w:r w:rsidRPr="00FD50F6">
        <w:rPr>
          <w:rFonts w:hint="eastAsia"/>
        </w:rPr>
        <w:t>、</w:t>
      </w:r>
      <w:r w:rsidRPr="00FD50F6">
        <w:t>无眩光，并应满足操</w:t>
      </w:r>
      <w:r w:rsidRPr="00FD50F6">
        <w:rPr>
          <w:rFonts w:hint="eastAsia"/>
        </w:rPr>
        <w:t>作台面和通道的照度要求，在操作台面不应有阴影；</w:t>
      </w:r>
      <w:r w:rsidRPr="00FD50F6">
        <w:t>室内照明</w:t>
      </w:r>
      <w:r w:rsidRPr="00FD50F6">
        <w:rPr>
          <w:rFonts w:hint="eastAsia"/>
        </w:rPr>
        <w:t>均匀度不宜低于</w:t>
      </w:r>
      <w:r w:rsidRPr="00FD50F6">
        <w:t>0.7</w:t>
      </w:r>
      <w:r w:rsidRPr="00FD50F6">
        <w:t>，并应采用分区调光</w:t>
      </w:r>
      <w:r w:rsidRPr="00FD50F6">
        <w:rPr>
          <w:rFonts w:hint="eastAsia"/>
        </w:rPr>
        <w:t>。</w:t>
      </w:r>
    </w:p>
    <w:p w14:paraId="771DBA33" w14:textId="0AA48BB7" w:rsidR="000831EC" w:rsidRPr="00FD50F6" w:rsidRDefault="000831EC" w:rsidP="00A926BD">
      <w:pPr>
        <w:pStyle w:val="4"/>
      </w:pPr>
      <w:r w:rsidRPr="00FD50F6">
        <w:t>当中</w:t>
      </w:r>
      <w:r w:rsidRPr="00FD50F6">
        <w:rPr>
          <w:rFonts w:hint="eastAsia"/>
        </w:rPr>
        <w:t>心</w:t>
      </w:r>
      <w:r w:rsidRPr="00FD50F6">
        <w:t>控制室采用投影式模拟屏时，模拟屏前区光线宜</w:t>
      </w:r>
      <w:r w:rsidRPr="00FD50F6">
        <w:rPr>
          <w:rFonts w:hint="eastAsia"/>
        </w:rPr>
        <w:t>暗，操作台面距地面</w:t>
      </w:r>
      <w:r w:rsidRPr="00FD50F6">
        <w:t>0.8m</w:t>
      </w:r>
      <w:r w:rsidRPr="00FD50F6">
        <w:t>处的照度宜为</w:t>
      </w:r>
      <w:r w:rsidRPr="00FD50F6">
        <w:t>1001x~1501x</w:t>
      </w:r>
      <w:r w:rsidRPr="00FD50F6">
        <w:t>，操作台</w:t>
      </w:r>
      <w:r w:rsidRPr="00FD50F6">
        <w:rPr>
          <w:rFonts w:hint="eastAsia"/>
        </w:rPr>
        <w:t>宜设置局部照明。</w:t>
      </w:r>
    </w:p>
    <w:p w14:paraId="4A7D22E0" w14:textId="77777777" w:rsidR="000831EC" w:rsidRPr="00FD50F6" w:rsidRDefault="000831EC" w:rsidP="000831EC">
      <w:pPr>
        <w:pStyle w:val="30"/>
      </w:pPr>
      <w:r w:rsidRPr="00FD50F6">
        <w:t>设备房、维修用房、办公管理用房及其他各部位的照明</w:t>
      </w:r>
      <w:r w:rsidRPr="00FD50F6">
        <w:rPr>
          <w:rFonts w:hint="eastAsia"/>
        </w:rPr>
        <w:t>应满足有关专业的要求。</w:t>
      </w:r>
    </w:p>
    <w:p w14:paraId="3DAFB807" w14:textId="65909FA1" w:rsidR="000831EC" w:rsidRPr="00FD50F6" w:rsidRDefault="000831EC" w:rsidP="000831EC">
      <w:pPr>
        <w:pStyle w:val="30"/>
      </w:pPr>
      <w:r w:rsidRPr="00FD50F6">
        <w:t>控制中心应急照明的照度不应低于正常照明的</w:t>
      </w:r>
      <w:r w:rsidRPr="00FD50F6">
        <w:t xml:space="preserve">10% </w:t>
      </w:r>
      <w:r w:rsidRPr="00FD50F6">
        <w:t>，</w:t>
      </w:r>
      <w:r w:rsidRPr="00FD50F6">
        <w:rPr>
          <w:rFonts w:hint="eastAsia"/>
        </w:rPr>
        <w:t>中心控制室的应急工作照明不应低于正常照明的</w:t>
      </w:r>
      <w:r w:rsidRPr="00FD50F6">
        <w:t>30%</w:t>
      </w:r>
      <w:r w:rsidRPr="00FD50F6">
        <w:t>，应急照</w:t>
      </w:r>
      <w:r w:rsidRPr="00FD50F6">
        <w:rPr>
          <w:rFonts w:hint="eastAsia"/>
        </w:rPr>
        <w:t>明的持续供电时间不应低于</w:t>
      </w:r>
      <w:r w:rsidRPr="00FD50F6">
        <w:t xml:space="preserve">1h </w:t>
      </w:r>
      <w:r w:rsidRPr="00FD50F6">
        <w:t>。</w:t>
      </w:r>
    </w:p>
    <w:p w14:paraId="1933B76B" w14:textId="77777777" w:rsidR="000831EC" w:rsidRPr="00FD50F6" w:rsidRDefault="000831EC" w:rsidP="00A65181">
      <w:pPr>
        <w:pStyle w:val="2"/>
      </w:pPr>
      <w:bookmarkStart w:id="1137" w:name="_Toc112830848"/>
      <w:r w:rsidRPr="00FD50F6">
        <w:t>消防与安全</w:t>
      </w:r>
      <w:bookmarkEnd w:id="1137"/>
    </w:p>
    <w:p w14:paraId="7010334C" w14:textId="77777777" w:rsidR="000831EC" w:rsidRPr="00FD50F6" w:rsidRDefault="000831EC" w:rsidP="000831EC">
      <w:pPr>
        <w:pStyle w:val="30"/>
      </w:pPr>
      <w:r w:rsidRPr="00FD50F6">
        <w:t>控制中心应设置火灾自动报</w:t>
      </w:r>
      <w:r w:rsidRPr="00FD50F6">
        <w:rPr>
          <w:rFonts w:hint="eastAsia"/>
        </w:rPr>
        <w:t>警</w:t>
      </w:r>
      <w:r w:rsidRPr="00FD50F6">
        <w:t>、环境与设备监控、火灾</w:t>
      </w:r>
      <w:r w:rsidRPr="00FD50F6">
        <w:rPr>
          <w:rFonts w:hint="eastAsia"/>
        </w:rPr>
        <w:t>事故广播、自动灭火、水消防、防排烟等系统。</w:t>
      </w:r>
    </w:p>
    <w:p w14:paraId="388CE9FD" w14:textId="7848CD82" w:rsidR="000831EC" w:rsidRPr="00FD50F6" w:rsidRDefault="000831EC" w:rsidP="000831EC">
      <w:pPr>
        <w:pStyle w:val="30"/>
      </w:pPr>
      <w:r w:rsidRPr="00FD50F6">
        <w:t>控制中心各分区出</w:t>
      </w:r>
      <w:r w:rsidRPr="00FD50F6">
        <w:rPr>
          <w:rFonts w:hint="eastAsia"/>
        </w:rPr>
        <w:t>入</w:t>
      </w:r>
      <w:r w:rsidRPr="00FD50F6">
        <w:t>口、主要通道和重要房间应设置闭</w:t>
      </w:r>
      <w:r w:rsidRPr="00FD50F6">
        <w:rPr>
          <w:rFonts w:hint="eastAsia"/>
        </w:rPr>
        <w:t>路电视监视系统和门禁系统等安防设施。</w:t>
      </w:r>
    </w:p>
    <w:p w14:paraId="10F960A9" w14:textId="77777777" w:rsidR="000831EC" w:rsidRPr="00FD50F6" w:rsidRDefault="000831EC" w:rsidP="000831EC">
      <w:pPr>
        <w:pStyle w:val="30"/>
      </w:pPr>
      <w:r w:rsidRPr="00FD50F6">
        <w:t>控制中心应设置消防控制室</w:t>
      </w:r>
      <w:r w:rsidRPr="00FD50F6">
        <w:rPr>
          <w:rFonts w:hint="eastAsia"/>
        </w:rPr>
        <w:t>、</w:t>
      </w:r>
      <w:r w:rsidRPr="00FD50F6">
        <w:t>保安值班室，保安值班室应与消防控制</w:t>
      </w:r>
      <w:r w:rsidRPr="00FD50F6">
        <w:rPr>
          <w:rFonts w:hint="eastAsia"/>
        </w:rPr>
        <w:t>室合并设置。</w:t>
      </w:r>
    </w:p>
    <w:p w14:paraId="49FDED64" w14:textId="77777777" w:rsidR="000831EC" w:rsidRPr="00FD50F6" w:rsidRDefault="000831EC" w:rsidP="000831EC">
      <w:pPr>
        <w:pStyle w:val="30"/>
      </w:pPr>
      <w:r w:rsidRPr="00FD50F6">
        <w:rPr>
          <w:rFonts w:hint="eastAsia"/>
        </w:rPr>
        <w:t>多条线路的</w:t>
      </w:r>
      <w:r w:rsidRPr="00FD50F6">
        <w:t>控制中心</w:t>
      </w:r>
      <w:r w:rsidRPr="00FD50F6">
        <w:rPr>
          <w:rFonts w:hint="eastAsia"/>
        </w:rPr>
        <w:t>宜</w:t>
      </w:r>
      <w:r w:rsidRPr="00FD50F6">
        <w:t>设置</w:t>
      </w:r>
      <w:r w:rsidRPr="00FD50F6">
        <w:rPr>
          <w:rFonts w:hint="eastAsia"/>
        </w:rPr>
        <w:t>由集中管理系统、楼宇监控系统、安全防范系统、火灾自动报警系统、机房设施管理系统等构成的智能化管理系统。</w:t>
      </w:r>
    </w:p>
    <w:p w14:paraId="2D88DF6F" w14:textId="77777777" w:rsidR="000831EC" w:rsidRPr="00FD50F6" w:rsidRDefault="000831EC" w:rsidP="000831EC">
      <w:pPr>
        <w:pStyle w:val="30"/>
      </w:pPr>
      <w:r w:rsidRPr="00FD50F6">
        <w:rPr>
          <w:rFonts w:hint="eastAsia"/>
        </w:rPr>
        <w:t>智能化系统宜采用统一系统平台，系统平台应具有集成性、开放性、可扩展性及可对外互联等功能；</w:t>
      </w:r>
      <w:r w:rsidRPr="00FD50F6">
        <w:t>应具备显示、记录、控制、报警、提示及趋势和能耗分析功能。</w:t>
      </w:r>
    </w:p>
    <w:p w14:paraId="76F07173" w14:textId="77777777" w:rsidR="000831EC" w:rsidRPr="00FD50F6" w:rsidRDefault="000831EC" w:rsidP="000831EC">
      <w:pPr>
        <w:widowControl/>
        <w:spacing w:line="240" w:lineRule="auto"/>
        <w:jc w:val="left"/>
      </w:pPr>
      <w:r w:rsidRPr="00FD50F6">
        <w:br w:type="page"/>
      </w:r>
    </w:p>
    <w:p w14:paraId="013D379A" w14:textId="77777777" w:rsidR="000831EC" w:rsidRPr="00FD50F6" w:rsidRDefault="000831EC" w:rsidP="000831EC">
      <w:pPr>
        <w:pStyle w:val="12"/>
      </w:pPr>
      <w:bookmarkStart w:id="1138" w:name="_Toc112830849"/>
      <w:r w:rsidRPr="00FD50F6">
        <w:lastRenderedPageBreak/>
        <w:t>信息系统</w:t>
      </w:r>
      <w:bookmarkEnd w:id="1138"/>
    </w:p>
    <w:p w14:paraId="248AB4F0" w14:textId="77777777" w:rsidR="000831EC" w:rsidRPr="00FD50F6" w:rsidRDefault="000831EC" w:rsidP="00010C49">
      <w:pPr>
        <w:pStyle w:val="2"/>
        <w:numPr>
          <w:ilvl w:val="1"/>
          <w:numId w:val="43"/>
        </w:numPr>
      </w:pPr>
      <w:bookmarkStart w:id="1139" w:name="_Toc112830850"/>
      <w:r w:rsidRPr="00FD50F6">
        <w:t>一般规定</w:t>
      </w:r>
      <w:bookmarkEnd w:id="1139"/>
    </w:p>
    <w:p w14:paraId="784C122F" w14:textId="77777777" w:rsidR="000831EC" w:rsidRPr="00FD50F6" w:rsidRDefault="000831EC" w:rsidP="000831EC">
      <w:pPr>
        <w:pStyle w:val="30"/>
      </w:pPr>
      <w:r w:rsidRPr="00FD50F6">
        <w:rPr>
          <w:rFonts w:hint="eastAsia"/>
        </w:rPr>
        <w:t>地铁宜设置信息系统，信息系统设计应满足地铁运营生产、企业管理以及乘客服务等信息系统的整体需求。</w:t>
      </w:r>
    </w:p>
    <w:p w14:paraId="196286DB" w14:textId="77777777" w:rsidR="000831EC" w:rsidRPr="00FD50F6" w:rsidRDefault="000831EC" w:rsidP="000831EC">
      <w:pPr>
        <w:pStyle w:val="30"/>
      </w:pPr>
      <w:r w:rsidRPr="00FD50F6">
        <w:rPr>
          <w:rFonts w:hint="eastAsia"/>
        </w:rPr>
        <w:t>信息系统宜结合各城市运营主体的管理模式、自身运营需求等特点，提供针对性的设计方案。</w:t>
      </w:r>
    </w:p>
    <w:p w14:paraId="73DC3F78" w14:textId="77777777" w:rsidR="000831EC" w:rsidRPr="00FD50F6" w:rsidRDefault="000831EC" w:rsidP="000831EC">
      <w:pPr>
        <w:pStyle w:val="30"/>
      </w:pPr>
      <w:r w:rsidRPr="00FD50F6">
        <w:rPr>
          <w:rFonts w:hint="eastAsia"/>
        </w:rPr>
        <w:t>信息系统建设宜先统筹编制各城市信息系统的整体规划，并应根据信息系统需求重要性、紧迫性等因素分期开展信息系统的设计工作。</w:t>
      </w:r>
    </w:p>
    <w:p w14:paraId="637BDC79" w14:textId="1C00F541" w:rsidR="000831EC" w:rsidRPr="00FD50F6" w:rsidRDefault="000831EC" w:rsidP="000831EC">
      <w:pPr>
        <w:pStyle w:val="30"/>
      </w:pPr>
      <w:r w:rsidRPr="00FD50F6">
        <w:rPr>
          <w:rFonts w:hint="eastAsia"/>
        </w:rPr>
        <w:t>信息系统设计宜采用标准、开放的架构设计及接口设计，并应预留未来系统的升级扩展条件。系统设计宜兼容地铁既有信息系统、自动化系统的建设现状，并应预留既有信息系统、自动化系统的迁入条件。</w:t>
      </w:r>
    </w:p>
    <w:p w14:paraId="21C5EDCB" w14:textId="14EBC4F5" w:rsidR="000831EC" w:rsidRPr="00FD50F6" w:rsidRDefault="000831EC" w:rsidP="004142B4">
      <w:pPr>
        <w:numPr>
          <w:ilvl w:val="2"/>
          <w:numId w:val="1"/>
        </w:numPr>
        <w:outlineLvl w:val="1"/>
        <w:rPr>
          <w:rFonts w:ascii="Times New Roman" w:hAnsi="Times New Roman" w:cs="Times New Roman"/>
          <w:szCs w:val="24"/>
        </w:rPr>
      </w:pPr>
      <w:r w:rsidRPr="00FD50F6">
        <w:rPr>
          <w:rFonts w:ascii="Times New Roman" w:hAnsi="Times New Roman" w:cs="Times New Roman" w:hint="eastAsia"/>
          <w:szCs w:val="24"/>
        </w:rPr>
        <w:t>信息系统设计宜实现物理资源、数据资源及应用资源的资源共享，线网不同应用系统及多线路不同专业系统宜采用统一的信息系统平台统筹提供物理、数据及应用资源服务。</w:t>
      </w:r>
    </w:p>
    <w:p w14:paraId="4140446F" w14:textId="7C027D08" w:rsidR="000831EC" w:rsidRPr="00FD50F6" w:rsidRDefault="000831EC" w:rsidP="000831EC">
      <w:pPr>
        <w:pStyle w:val="30"/>
      </w:pPr>
      <w:r w:rsidRPr="00FD50F6">
        <w:rPr>
          <w:rFonts w:hint="eastAsia"/>
        </w:rPr>
        <w:t>信息系统建设应按信息系统的建设需求及特点确定网络安全保</w:t>
      </w:r>
      <w:r w:rsidR="00254A39">
        <w:rPr>
          <w:rFonts w:hint="eastAsia"/>
        </w:rPr>
        <w:t>护</w:t>
      </w:r>
      <w:r w:rsidRPr="00FD50F6">
        <w:rPr>
          <w:rFonts w:hint="eastAsia"/>
        </w:rPr>
        <w:t>等级，并应按网络安全分级规定进行设计。</w:t>
      </w:r>
    </w:p>
    <w:p w14:paraId="598E3F4C" w14:textId="58090D0A" w:rsidR="000831EC" w:rsidRPr="00FD50F6" w:rsidRDefault="000831EC" w:rsidP="00AD51B8">
      <w:pPr>
        <w:pStyle w:val="30"/>
        <w:numPr>
          <w:ilvl w:val="0"/>
          <w:numId w:val="0"/>
        </w:numPr>
      </w:pPr>
    </w:p>
    <w:p w14:paraId="411F32CE" w14:textId="77777777" w:rsidR="000831EC" w:rsidRPr="00FD50F6" w:rsidRDefault="000831EC" w:rsidP="00A65181">
      <w:pPr>
        <w:pStyle w:val="2"/>
      </w:pPr>
      <w:bookmarkStart w:id="1140" w:name="_Toc112830851"/>
      <w:r w:rsidRPr="00FD50F6">
        <w:rPr>
          <w:rFonts w:hint="eastAsia"/>
        </w:rPr>
        <w:t>系统基本功能</w:t>
      </w:r>
      <w:bookmarkEnd w:id="1140"/>
    </w:p>
    <w:p w14:paraId="64ECEDC3" w14:textId="77777777" w:rsidR="000831EC" w:rsidRPr="00FD50F6" w:rsidRDefault="000831EC" w:rsidP="000831EC">
      <w:pPr>
        <w:pStyle w:val="30"/>
      </w:pPr>
      <w:r w:rsidRPr="00FD50F6">
        <w:rPr>
          <w:rFonts w:hint="eastAsia"/>
        </w:rPr>
        <w:t>信息系统宜具备运营生产、企业管理、乘客服务等基本功能。</w:t>
      </w:r>
    </w:p>
    <w:p w14:paraId="706A4560" w14:textId="26A193B7" w:rsidR="000831EC" w:rsidRPr="00FD50F6" w:rsidRDefault="000831EC" w:rsidP="000831EC">
      <w:pPr>
        <w:pStyle w:val="30"/>
      </w:pPr>
      <w:r w:rsidRPr="00FD50F6">
        <w:rPr>
          <w:rFonts w:hint="eastAsia"/>
        </w:rPr>
        <w:t>信息系统可采用云平台或物理机方式部署。采用云平台技术宜构建统一云平台，提供统一计算、存储、网络、安全等基础环境及平台服务、应用服务的功能。</w:t>
      </w:r>
    </w:p>
    <w:p w14:paraId="37F47786" w14:textId="1FACA83A" w:rsidR="000831EC" w:rsidRPr="00FD50F6" w:rsidRDefault="000831EC" w:rsidP="000831EC">
      <w:pPr>
        <w:pStyle w:val="30"/>
      </w:pPr>
      <w:r w:rsidRPr="00FD50F6">
        <w:t>信息系统宜提供统一数据</w:t>
      </w:r>
      <w:r w:rsidRPr="00FD50F6">
        <w:rPr>
          <w:rFonts w:hint="eastAsia"/>
        </w:rPr>
        <w:t>平台</w:t>
      </w:r>
      <w:r w:rsidRPr="00FD50F6">
        <w:t>实现与各地铁</w:t>
      </w:r>
      <w:r w:rsidRPr="00FD50F6">
        <w:rPr>
          <w:rFonts w:hint="eastAsia"/>
        </w:rPr>
        <w:t>内部系统</w:t>
      </w:r>
      <w:r w:rsidRPr="00FD50F6">
        <w:t>、外部系统的数据交换功能。</w:t>
      </w:r>
    </w:p>
    <w:p w14:paraId="389A2F10" w14:textId="3690978D" w:rsidR="000831EC" w:rsidRPr="00FD50F6" w:rsidRDefault="000831EC" w:rsidP="000831EC">
      <w:pPr>
        <w:pStyle w:val="30"/>
      </w:pPr>
      <w:r w:rsidRPr="00FD50F6">
        <w:rPr>
          <w:rFonts w:hint="eastAsia"/>
        </w:rPr>
        <w:t>信息系统宜基于数据平台建设智能分析应用系统，满足智慧地铁业务建设需求。</w:t>
      </w:r>
    </w:p>
    <w:p w14:paraId="0E0C5B6C" w14:textId="77777777" w:rsidR="000831EC" w:rsidRPr="00FD50F6" w:rsidRDefault="000831EC" w:rsidP="00A65181">
      <w:pPr>
        <w:pStyle w:val="2"/>
      </w:pPr>
      <w:bookmarkStart w:id="1141" w:name="_Toc112830852"/>
      <w:r w:rsidRPr="00FD50F6">
        <w:rPr>
          <w:rFonts w:hint="eastAsia"/>
        </w:rPr>
        <w:lastRenderedPageBreak/>
        <w:t>系统构建</w:t>
      </w:r>
      <w:r w:rsidRPr="00FD50F6">
        <w:t>基本要求</w:t>
      </w:r>
      <w:bookmarkEnd w:id="1141"/>
    </w:p>
    <w:p w14:paraId="0B1BF336" w14:textId="176CC45D" w:rsidR="000831EC" w:rsidRPr="00FD50F6" w:rsidRDefault="000831EC" w:rsidP="000831EC">
      <w:pPr>
        <w:pStyle w:val="30"/>
      </w:pPr>
      <w:bookmarkStart w:id="1142" w:name="_Toc107829833"/>
      <w:r w:rsidRPr="00FD50F6">
        <w:rPr>
          <w:rFonts w:hint="eastAsia"/>
        </w:rPr>
        <w:t>信息系统宜基于运营生产系统数据采集后进行分析应用，信息系统建构不应影响运营生产系统的独立运作。</w:t>
      </w:r>
    </w:p>
    <w:p w14:paraId="4A4E2234" w14:textId="77777777" w:rsidR="000831EC" w:rsidRPr="00FD50F6" w:rsidRDefault="000831EC" w:rsidP="000831EC">
      <w:pPr>
        <w:pStyle w:val="30"/>
      </w:pPr>
      <w:r w:rsidRPr="00FD50F6">
        <w:rPr>
          <w:rFonts w:hint="eastAsia"/>
        </w:rPr>
        <w:t>信息系统宜包括前端感知层、网络传输层、系统平台层三个逻辑层。</w:t>
      </w:r>
    </w:p>
    <w:p w14:paraId="3282F896" w14:textId="39AD85A0" w:rsidR="000831EC" w:rsidRPr="00FD50F6" w:rsidRDefault="000831EC" w:rsidP="000831EC">
      <w:pPr>
        <w:pStyle w:val="30"/>
      </w:pPr>
      <w:r w:rsidRPr="00FD50F6">
        <w:rPr>
          <w:rFonts w:hint="eastAsia"/>
        </w:rPr>
        <w:t>信息系统平台层可按云平台、数据平台以及应用平台三个逻辑层面进行构建，宜采用车站级（含场段）、线路中心级、线网级多级构建，根据业务特点可采用三级或二级进行业务部署。</w:t>
      </w:r>
    </w:p>
    <w:p w14:paraId="65876835" w14:textId="4114E3FF" w:rsidR="000831EC" w:rsidRPr="00FD50F6" w:rsidRDefault="000831EC" w:rsidP="000831EC">
      <w:pPr>
        <w:pStyle w:val="30"/>
      </w:pPr>
      <w:r w:rsidRPr="00FD50F6">
        <w:rPr>
          <w:rFonts w:hint="eastAsia"/>
        </w:rPr>
        <w:t>信息系统可建设统一的运维管理中心实现信息系统的系统平台、数据平台、机房及设备运维、网络安全的统一管理。</w:t>
      </w:r>
    </w:p>
    <w:p w14:paraId="16B5B1AB" w14:textId="369BC628" w:rsidR="000831EC" w:rsidRPr="00FD50F6" w:rsidRDefault="000831EC" w:rsidP="000831EC">
      <w:pPr>
        <w:pStyle w:val="30"/>
      </w:pPr>
      <w:r w:rsidRPr="00FD50F6">
        <w:rPr>
          <w:rFonts w:hint="eastAsia"/>
        </w:rPr>
        <w:t>信息系统应依据</w:t>
      </w:r>
      <w:r w:rsidR="00527B98">
        <w:rPr>
          <w:rFonts w:hint="eastAsia"/>
        </w:rPr>
        <w:t>现行</w:t>
      </w:r>
      <w:r w:rsidR="003722A4" w:rsidRPr="00FD50F6">
        <w:rPr>
          <w:rFonts w:hint="eastAsia"/>
        </w:rPr>
        <w:t>国家标准</w:t>
      </w:r>
      <w:r w:rsidRPr="00FD50F6">
        <w:rPr>
          <w:rFonts w:hint="eastAsia"/>
        </w:rPr>
        <w:t>《信息安全技术网络安全等级保护基本要求》</w:t>
      </w:r>
      <w:r w:rsidRPr="00FD50F6">
        <w:t>GB∕T 22239</w:t>
      </w:r>
      <w:r w:rsidRPr="00FD50F6">
        <w:t>、《信息安全技术网络安全等级保护测评要求</w:t>
      </w:r>
      <w:r w:rsidRPr="00FD50F6">
        <w:rPr>
          <w:rFonts w:hint="eastAsia"/>
        </w:rPr>
        <w:t>》</w:t>
      </w:r>
      <w:r w:rsidRPr="00FD50F6">
        <w:t>GB</w:t>
      </w:r>
      <w:r w:rsidRPr="00FD50F6">
        <w:rPr>
          <w:rFonts w:hint="eastAsia"/>
        </w:rPr>
        <w:t>/</w:t>
      </w:r>
      <w:r w:rsidRPr="00FD50F6">
        <w:t>T 28448</w:t>
      </w:r>
      <w:r w:rsidRPr="00FD50F6">
        <w:t>、《信息安全技术网络安全等级保护安全设计技术要求</w:t>
      </w:r>
      <w:r w:rsidRPr="00FD50F6">
        <w:rPr>
          <w:rFonts w:hint="eastAsia"/>
        </w:rPr>
        <w:t>》</w:t>
      </w:r>
      <w:r w:rsidRPr="00FD50F6">
        <w:t>GB∕T 25070</w:t>
      </w:r>
      <w:r w:rsidRPr="00FD50F6">
        <w:rPr>
          <w:rFonts w:hint="eastAsia"/>
        </w:rPr>
        <w:t>等</w:t>
      </w:r>
      <w:r w:rsidR="0025666B">
        <w:rPr>
          <w:rFonts w:hint="eastAsia"/>
        </w:rPr>
        <w:t>的</w:t>
      </w:r>
      <w:r w:rsidRPr="00FD50F6">
        <w:rPr>
          <w:rFonts w:hint="eastAsia"/>
        </w:rPr>
        <w:t>要求确定网络安全等级，并</w:t>
      </w:r>
      <w:r w:rsidR="00254A39">
        <w:rPr>
          <w:rFonts w:hint="eastAsia"/>
        </w:rPr>
        <w:t>应</w:t>
      </w:r>
      <w:r w:rsidRPr="00FD50F6">
        <w:rPr>
          <w:rFonts w:hint="eastAsia"/>
        </w:rPr>
        <w:t>实现对应等级的安全配置。</w:t>
      </w:r>
    </w:p>
    <w:p w14:paraId="536D9CA0" w14:textId="77777777" w:rsidR="000831EC" w:rsidRPr="00FD50F6" w:rsidRDefault="000831EC" w:rsidP="00A65181">
      <w:pPr>
        <w:pStyle w:val="2"/>
      </w:pPr>
      <w:bookmarkStart w:id="1143" w:name="_Toc112830853"/>
      <w:bookmarkEnd w:id="1142"/>
      <w:r w:rsidRPr="00FD50F6">
        <w:t>其他</w:t>
      </w:r>
      <w:r w:rsidRPr="00FD50F6">
        <w:rPr>
          <w:rFonts w:hint="eastAsia"/>
        </w:rPr>
        <w:t>要求</w:t>
      </w:r>
      <w:bookmarkEnd w:id="1143"/>
    </w:p>
    <w:p w14:paraId="2F1E861C" w14:textId="7D81EF77" w:rsidR="000831EC" w:rsidRPr="00FD50F6" w:rsidRDefault="000831EC" w:rsidP="000831EC">
      <w:pPr>
        <w:pStyle w:val="30"/>
      </w:pPr>
      <w:r w:rsidRPr="00FD50F6">
        <w:rPr>
          <w:rFonts w:hint="eastAsia"/>
        </w:rPr>
        <w:t>信息系统用房应配置主机房、电源室、电池室、网管室、配线间、辅助用房，线网及线路级用房宜按集中共享方式设置，</w:t>
      </w:r>
      <w:r w:rsidRPr="00FD50F6">
        <w:t>用房面积</w:t>
      </w:r>
      <w:r w:rsidRPr="00FD50F6">
        <w:rPr>
          <w:rFonts w:hint="eastAsia"/>
        </w:rPr>
        <w:t>宜按</w:t>
      </w:r>
      <w:r w:rsidR="003722A4" w:rsidRPr="00FD50F6">
        <w:rPr>
          <w:rFonts w:hint="eastAsia"/>
        </w:rPr>
        <w:t>国家标准</w:t>
      </w:r>
      <w:r w:rsidRPr="00FD50F6">
        <w:rPr>
          <w:rFonts w:hint="eastAsia"/>
        </w:rPr>
        <w:t>《数据中心设计规范》</w:t>
      </w:r>
      <w:r w:rsidRPr="00FD50F6">
        <w:rPr>
          <w:rFonts w:hint="eastAsia"/>
        </w:rPr>
        <w:t>G</w:t>
      </w:r>
      <w:r w:rsidRPr="00FD50F6">
        <w:t>B 50174</w:t>
      </w:r>
      <w:r w:rsidRPr="00FD50F6">
        <w:rPr>
          <w:rFonts w:hint="eastAsia"/>
        </w:rPr>
        <w:t>的要求执行。</w:t>
      </w:r>
    </w:p>
    <w:p w14:paraId="410BADCC" w14:textId="56591A51" w:rsidR="000831EC" w:rsidRPr="00FD50F6" w:rsidRDefault="000831EC" w:rsidP="000831EC">
      <w:pPr>
        <w:pStyle w:val="30"/>
      </w:pPr>
      <w:r w:rsidRPr="00FD50F6">
        <w:rPr>
          <w:rFonts w:hint="eastAsia"/>
        </w:rPr>
        <w:t>信息系统</w:t>
      </w:r>
      <w:r w:rsidRPr="00FD50F6">
        <w:t>用房环境应满足设备运用的要求，并应符合</w:t>
      </w:r>
      <w:r w:rsidR="003722A4" w:rsidRPr="00FD50F6">
        <w:rPr>
          <w:rFonts w:hint="eastAsia"/>
        </w:rPr>
        <w:t>国家</w:t>
      </w:r>
      <w:r w:rsidR="003722A4" w:rsidRPr="00FD50F6">
        <w:t>标准</w:t>
      </w:r>
      <w:r w:rsidRPr="00FD50F6">
        <w:t>《</w:t>
      </w:r>
      <w:r w:rsidRPr="00FD50F6">
        <w:rPr>
          <w:rFonts w:hint="eastAsia"/>
        </w:rPr>
        <w:t>数据中心设计规范</w:t>
      </w:r>
      <w:r w:rsidRPr="00FD50F6">
        <w:t>》</w:t>
      </w:r>
      <w:r w:rsidRPr="00FD50F6">
        <w:t xml:space="preserve">GB 50174 </w:t>
      </w:r>
      <w:r w:rsidRPr="00FD50F6">
        <w:t>的规定。</w:t>
      </w:r>
    </w:p>
    <w:p w14:paraId="78174BD7" w14:textId="21E640A1" w:rsidR="000831EC" w:rsidRPr="00FD50F6" w:rsidRDefault="000831EC" w:rsidP="000831EC">
      <w:pPr>
        <w:pStyle w:val="30"/>
      </w:pPr>
      <w:r w:rsidRPr="00FD50F6">
        <w:rPr>
          <w:rFonts w:hint="eastAsia"/>
        </w:rPr>
        <w:t>信息系统机房设计应以绿色环保、节能降耗为设计原则，线网及线路中心集中机房</w:t>
      </w:r>
      <w:r w:rsidRPr="00FD50F6">
        <w:t>能耗效率</w:t>
      </w:r>
      <w:r w:rsidRPr="00FD50F6">
        <w:t>(PUE)</w:t>
      </w:r>
      <w:r w:rsidRPr="00FD50F6">
        <w:t>值</w:t>
      </w:r>
      <w:r w:rsidRPr="00FD50F6">
        <w:rPr>
          <w:rFonts w:hint="eastAsia"/>
        </w:rPr>
        <w:t>宜低于</w:t>
      </w:r>
      <w:r w:rsidRPr="00FD50F6">
        <w:t>1.4</w:t>
      </w:r>
      <w:r w:rsidRPr="00FD50F6">
        <w:t>。</w:t>
      </w:r>
    </w:p>
    <w:p w14:paraId="30C5640D" w14:textId="14928A57" w:rsidR="000831EC" w:rsidRPr="00FD50F6" w:rsidRDefault="000831EC" w:rsidP="000831EC">
      <w:pPr>
        <w:pStyle w:val="30"/>
      </w:pPr>
      <w:r w:rsidRPr="00FD50F6">
        <w:rPr>
          <w:rFonts w:hint="eastAsia"/>
        </w:rPr>
        <w:t>机房应配置集中监控中心，并</w:t>
      </w:r>
      <w:r w:rsidR="00254A39">
        <w:rPr>
          <w:rFonts w:hint="eastAsia"/>
        </w:rPr>
        <w:t>应</w:t>
      </w:r>
      <w:r w:rsidRPr="00FD50F6">
        <w:rPr>
          <w:rFonts w:hint="eastAsia"/>
        </w:rPr>
        <w:t>设置环境和设备监控系统、安全防范系统、火灾自动报警系统、数据中心基础设施管理、系统管理等智能化系统。</w:t>
      </w:r>
    </w:p>
    <w:p w14:paraId="7091877A" w14:textId="52CA85D3" w:rsidR="004C6D35" w:rsidRPr="00FD50F6" w:rsidRDefault="000831EC" w:rsidP="000831EC">
      <w:pPr>
        <w:pStyle w:val="30"/>
      </w:pPr>
      <w:r w:rsidRPr="00FD50F6">
        <w:rPr>
          <w:rFonts w:hint="eastAsia"/>
        </w:rPr>
        <w:t>信息系统机房供电系统、防雷和接地系统、消防系统应按</w:t>
      </w:r>
      <w:r w:rsidR="003722A4" w:rsidRPr="00FD50F6">
        <w:rPr>
          <w:rFonts w:hint="eastAsia"/>
        </w:rPr>
        <w:t>国家</w:t>
      </w:r>
      <w:r w:rsidR="003722A4" w:rsidRPr="00FD50F6">
        <w:t>标准</w:t>
      </w:r>
      <w:r w:rsidRPr="00FD50F6">
        <w:rPr>
          <w:rFonts w:hint="eastAsia"/>
        </w:rPr>
        <w:t>《数据中心设计规范》</w:t>
      </w:r>
      <w:r w:rsidRPr="00FD50F6">
        <w:rPr>
          <w:rFonts w:hint="eastAsia"/>
        </w:rPr>
        <w:t>G</w:t>
      </w:r>
      <w:r w:rsidRPr="00FD50F6">
        <w:t>B 50174</w:t>
      </w:r>
      <w:r w:rsidRPr="00FD50F6">
        <w:rPr>
          <w:rFonts w:hint="eastAsia"/>
        </w:rPr>
        <w:t>规定执行。</w:t>
      </w:r>
    </w:p>
    <w:p w14:paraId="5A85CF8B" w14:textId="5A77E7A1" w:rsidR="00D70A4C" w:rsidRPr="00FD50F6" w:rsidRDefault="00D70A4C">
      <w:pPr>
        <w:widowControl/>
        <w:spacing w:line="240" w:lineRule="auto"/>
        <w:jc w:val="left"/>
      </w:pPr>
      <w:r w:rsidRPr="00FD50F6">
        <w:br w:type="page"/>
      </w:r>
    </w:p>
    <w:p w14:paraId="3F1C5608" w14:textId="77777777" w:rsidR="0030145B" w:rsidRPr="00FD50F6" w:rsidRDefault="0030145B" w:rsidP="0030145B">
      <w:pPr>
        <w:pStyle w:val="12"/>
      </w:pPr>
      <w:bookmarkStart w:id="1144" w:name="_Toc320642873"/>
      <w:bookmarkStart w:id="1145" w:name="_Toc112830854"/>
      <w:bookmarkEnd w:id="1144"/>
      <w:r w:rsidRPr="00FD50F6">
        <w:lastRenderedPageBreak/>
        <w:t>站内客运设备</w:t>
      </w:r>
      <w:bookmarkEnd w:id="1145"/>
    </w:p>
    <w:p w14:paraId="3D1D3757" w14:textId="77777777" w:rsidR="0030145B" w:rsidRPr="00FD50F6" w:rsidRDefault="0030145B" w:rsidP="00010C49">
      <w:pPr>
        <w:pStyle w:val="2"/>
        <w:numPr>
          <w:ilvl w:val="1"/>
          <w:numId w:val="34"/>
        </w:numPr>
      </w:pPr>
      <w:bookmarkStart w:id="1146" w:name="_Toc344218870"/>
      <w:bookmarkStart w:id="1147" w:name="_Toc112830855"/>
      <w:r w:rsidRPr="00FD50F6">
        <w:t>自动扶梯和自动人行道</w:t>
      </w:r>
      <w:bookmarkEnd w:id="1146"/>
      <w:bookmarkEnd w:id="1147"/>
    </w:p>
    <w:p w14:paraId="24E0D48E" w14:textId="77777777" w:rsidR="0030145B" w:rsidRPr="00FD50F6" w:rsidRDefault="0030145B" w:rsidP="0030145B">
      <w:pPr>
        <w:spacing w:beforeLines="50" w:before="120" w:afterLines="50" w:after="120"/>
        <w:jc w:val="center"/>
        <w:rPr>
          <w:rFonts w:ascii="Times New Roman" w:hAnsi="Times New Roman" w:cs="Times New Roman"/>
          <w:sz w:val="21"/>
          <w:szCs w:val="24"/>
        </w:rPr>
      </w:pPr>
      <w:r w:rsidRPr="00FD50F6">
        <w:rPr>
          <w:rFonts w:ascii="宋体" w:hAnsi="宋体" w:cs="宋体" w:hint="eastAsia"/>
          <w:b/>
          <w:szCs w:val="24"/>
        </w:rPr>
        <w:t>Ⅰ</w:t>
      </w:r>
      <w:r w:rsidRPr="00FD50F6">
        <w:rPr>
          <w:rFonts w:ascii="Times New Roman" w:hAnsi="Times New Roman" w:cs="Times New Roman"/>
          <w:b/>
          <w:szCs w:val="24"/>
        </w:rPr>
        <w:t xml:space="preserve"> </w:t>
      </w:r>
      <w:r w:rsidRPr="00FD50F6">
        <w:rPr>
          <w:rFonts w:ascii="Times New Roman" w:hAnsi="Times New Roman" w:cs="Times New Roman" w:hint="eastAsia"/>
          <w:b/>
          <w:szCs w:val="24"/>
        </w:rPr>
        <w:t>一般规定</w:t>
      </w:r>
    </w:p>
    <w:p w14:paraId="60471E28" w14:textId="77777777" w:rsidR="0030145B" w:rsidRPr="00FD50F6" w:rsidRDefault="0030145B" w:rsidP="0030145B">
      <w:pPr>
        <w:pStyle w:val="30"/>
      </w:pPr>
      <w:r w:rsidRPr="00FD50F6">
        <w:t>地铁应采用公共交通重载型自动扶梯和自动人行道。</w:t>
      </w:r>
    </w:p>
    <w:p w14:paraId="235CC4D1" w14:textId="77777777" w:rsidR="0030145B" w:rsidRPr="00FD50F6" w:rsidRDefault="0030145B" w:rsidP="0030145B">
      <w:pPr>
        <w:pStyle w:val="30"/>
      </w:pPr>
      <w:r w:rsidRPr="00FD50F6">
        <w:t>自动扶梯</w:t>
      </w:r>
      <w:r w:rsidRPr="00FD50F6">
        <w:rPr>
          <w:rFonts w:hint="eastAsia"/>
        </w:rPr>
        <w:t>和</w:t>
      </w:r>
      <w:r w:rsidRPr="00FD50F6">
        <w:t>自动人行道应具备变频调速的节电功能。</w:t>
      </w:r>
    </w:p>
    <w:p w14:paraId="38F74910" w14:textId="77777777" w:rsidR="0030145B" w:rsidRPr="00FD50F6" w:rsidRDefault="0030145B" w:rsidP="0030145B">
      <w:pPr>
        <w:pStyle w:val="30"/>
      </w:pPr>
      <w:r w:rsidRPr="00FD50F6">
        <w:t>设置于室外的自动扶梯应选用室外型产品，上</w:t>
      </w:r>
      <w:r w:rsidRPr="00FD50F6">
        <w:rPr>
          <w:rFonts w:hint="eastAsia"/>
        </w:rPr>
        <w:t>、</w:t>
      </w:r>
      <w:r w:rsidRPr="00FD50F6">
        <w:t>下平台应</w:t>
      </w:r>
      <w:r w:rsidRPr="00FD50F6">
        <w:rPr>
          <w:rFonts w:hint="eastAsia"/>
        </w:rPr>
        <w:t>采取</w:t>
      </w:r>
      <w:r w:rsidRPr="00FD50F6">
        <w:t>防滑措施</w:t>
      </w:r>
      <w:r w:rsidRPr="00FD50F6">
        <w:rPr>
          <w:rFonts w:hint="eastAsia"/>
        </w:rPr>
        <w:t>，并宜设置风雨棚，</w:t>
      </w:r>
      <w:r w:rsidRPr="00FD50F6">
        <w:t>严寒地区</w:t>
      </w:r>
      <w:r w:rsidRPr="00FD50F6">
        <w:rPr>
          <w:rFonts w:hint="eastAsia"/>
        </w:rPr>
        <w:t>宜设置加热装置</w:t>
      </w:r>
      <w:r w:rsidRPr="00FD50F6">
        <w:t>。</w:t>
      </w:r>
    </w:p>
    <w:p w14:paraId="01BABB11" w14:textId="77777777" w:rsidR="0030145B" w:rsidRPr="00FD50F6" w:rsidRDefault="0030145B" w:rsidP="0030145B">
      <w:pPr>
        <w:pStyle w:val="30"/>
      </w:pPr>
      <w:r w:rsidRPr="00FD50F6">
        <w:t>自动扶梯和自动人行道应接受环境与设备监控系统的</w:t>
      </w:r>
      <w:r w:rsidRPr="00FD50F6">
        <w:rPr>
          <w:rFonts w:hint="eastAsia"/>
        </w:rPr>
        <w:t>监视</w:t>
      </w:r>
      <w:r w:rsidRPr="00FD50F6">
        <w:t>。</w:t>
      </w:r>
    </w:p>
    <w:p w14:paraId="73A71CE4" w14:textId="77777777" w:rsidR="0030145B" w:rsidRPr="00FD50F6" w:rsidRDefault="0030145B" w:rsidP="0030145B">
      <w:pPr>
        <w:pStyle w:val="30"/>
      </w:pPr>
      <w:r w:rsidRPr="00FD50F6">
        <w:t>自动扶梯和自动人行道布置处应设置摄像监视装置</w:t>
      </w:r>
      <w:r w:rsidRPr="00FD50F6">
        <w:rPr>
          <w:rFonts w:hint="eastAsia"/>
        </w:rPr>
        <w:t>，摄像监视应覆盖自动扶梯和自动人行道全部范围</w:t>
      </w:r>
      <w:r w:rsidRPr="00FD50F6">
        <w:t>。</w:t>
      </w:r>
    </w:p>
    <w:p w14:paraId="6D0C4CFD" w14:textId="3E7CC585" w:rsidR="0030145B" w:rsidRPr="00FD50F6" w:rsidRDefault="0030145B" w:rsidP="0030145B">
      <w:pPr>
        <w:pStyle w:val="30"/>
        <w:rPr>
          <w:rFonts w:eastAsia="黑体"/>
        </w:rPr>
      </w:pPr>
      <w:r w:rsidRPr="00FD50F6">
        <w:rPr>
          <w:rFonts w:hint="eastAsia"/>
        </w:rPr>
        <w:t>参与车站紧急疏散用的自动扶梯应按一级负荷供电</w:t>
      </w:r>
      <w:r w:rsidRPr="00FD50F6">
        <w:rPr>
          <w:rFonts w:eastAsia="黑体"/>
        </w:rPr>
        <w:t>。</w:t>
      </w:r>
    </w:p>
    <w:p w14:paraId="0BF287EA" w14:textId="77777777" w:rsidR="0030145B" w:rsidRPr="00FD50F6" w:rsidRDefault="0030145B" w:rsidP="0030145B">
      <w:pPr>
        <w:pStyle w:val="30"/>
      </w:pPr>
      <w:r w:rsidRPr="00FD50F6">
        <w:t>自动扶梯和自动人行道机坑内应采用重力流排水。</w:t>
      </w:r>
      <w:r w:rsidRPr="00FD50F6">
        <w:rPr>
          <w:rFonts w:hint="eastAsia"/>
        </w:rPr>
        <w:t>当</w:t>
      </w:r>
      <w:r w:rsidRPr="00FD50F6">
        <w:t>无重力流排水条件时，应在机坑外设集水坑和配备排水设施。</w:t>
      </w:r>
      <w:r w:rsidRPr="00FD50F6">
        <w:rPr>
          <w:rFonts w:hint="eastAsia"/>
        </w:rPr>
        <w:t>室外型自动扶梯</w:t>
      </w:r>
      <w:r w:rsidRPr="00FD50F6">
        <w:t>应配置油水分离设备。</w:t>
      </w:r>
    </w:p>
    <w:p w14:paraId="7254D52D" w14:textId="77777777" w:rsidR="0030145B" w:rsidRPr="00FD50F6" w:rsidRDefault="0030145B" w:rsidP="0030145B">
      <w:pPr>
        <w:pStyle w:val="30"/>
      </w:pPr>
      <w:r w:rsidRPr="00FD50F6">
        <w:rPr>
          <w:rFonts w:hint="eastAsia"/>
        </w:rPr>
        <w:t>自动扶梯和自动人行道应设置语音提示装置。</w:t>
      </w:r>
    </w:p>
    <w:p w14:paraId="3B830FE4" w14:textId="77777777" w:rsidR="0030145B" w:rsidRPr="00FD50F6" w:rsidRDefault="0030145B" w:rsidP="0030145B">
      <w:pPr>
        <w:spacing w:beforeLines="50" w:before="120" w:afterLines="50" w:after="120"/>
        <w:jc w:val="center"/>
        <w:rPr>
          <w:rFonts w:ascii="Times New Roman" w:hAnsi="Times New Roman" w:cs="Times New Roman"/>
          <w:b/>
          <w:sz w:val="21"/>
          <w:szCs w:val="24"/>
        </w:rPr>
      </w:pPr>
      <w:r w:rsidRPr="00FD50F6">
        <w:rPr>
          <w:rFonts w:ascii="宋体" w:hAnsi="宋体" w:cs="宋体" w:hint="eastAsia"/>
          <w:b/>
          <w:szCs w:val="24"/>
        </w:rPr>
        <w:t>Ⅱ</w:t>
      </w:r>
      <w:r w:rsidRPr="00FD50F6">
        <w:rPr>
          <w:rFonts w:ascii="Times New Roman" w:hAnsi="Times New Roman" w:cs="Times New Roman"/>
          <w:b/>
          <w:szCs w:val="24"/>
        </w:rPr>
        <w:t xml:space="preserve"> </w:t>
      </w:r>
      <w:r w:rsidRPr="00FD50F6">
        <w:rPr>
          <w:rFonts w:ascii="Times New Roman" w:hAnsi="Times New Roman" w:cs="Times New Roman" w:hint="eastAsia"/>
          <w:b/>
          <w:szCs w:val="24"/>
        </w:rPr>
        <w:t>主要技术要求及参数</w:t>
      </w:r>
    </w:p>
    <w:p w14:paraId="2E057113" w14:textId="77777777" w:rsidR="0030145B" w:rsidRPr="00FD50F6" w:rsidRDefault="0030145B" w:rsidP="0030145B">
      <w:pPr>
        <w:pStyle w:val="30"/>
      </w:pPr>
      <w:r w:rsidRPr="00FD50F6">
        <w:t>自动扶梯和自动人行道连续运行时间，每天不应少于</w:t>
      </w:r>
      <w:r w:rsidRPr="00FD50F6">
        <w:t>20h</w:t>
      </w:r>
      <w:r w:rsidRPr="00FD50F6">
        <w:t>，每周不应少于</w:t>
      </w:r>
      <w:r w:rsidRPr="00FD50F6">
        <w:t>140h</w:t>
      </w:r>
      <w:r w:rsidRPr="00FD50F6">
        <w:t>，</w:t>
      </w:r>
      <w:r w:rsidRPr="00FD50F6">
        <w:rPr>
          <w:rFonts w:hint="eastAsia"/>
        </w:rPr>
        <w:t>任意</w:t>
      </w:r>
      <w:r w:rsidRPr="00FD50F6">
        <w:t>3h</w:t>
      </w:r>
      <w:r w:rsidRPr="00FD50F6">
        <w:rPr>
          <w:rFonts w:hint="eastAsia"/>
        </w:rPr>
        <w:t>内</w:t>
      </w:r>
      <w:r w:rsidRPr="00FD50F6">
        <w:t>应能以</w:t>
      </w:r>
      <w:r w:rsidRPr="00FD50F6">
        <w:t>100%</w:t>
      </w:r>
      <w:r w:rsidRPr="00FD50F6">
        <w:t>制动载荷连续运行</w:t>
      </w:r>
      <w:r w:rsidRPr="00FD50F6">
        <w:t>1h</w:t>
      </w:r>
      <w:r w:rsidRPr="00FD50F6">
        <w:rPr>
          <w:rFonts w:hint="eastAsia"/>
        </w:rPr>
        <w:t>，其余</w:t>
      </w:r>
      <w:r w:rsidRPr="00FD50F6">
        <w:rPr>
          <w:rFonts w:hint="eastAsia"/>
        </w:rPr>
        <w:t>2h</w:t>
      </w:r>
      <w:r w:rsidRPr="00FD50F6">
        <w:rPr>
          <w:rFonts w:hint="eastAsia"/>
        </w:rPr>
        <w:t>应能以</w:t>
      </w:r>
      <w:r w:rsidRPr="00FD50F6">
        <w:rPr>
          <w:rFonts w:hint="eastAsia"/>
        </w:rPr>
        <w:t>60%</w:t>
      </w:r>
      <w:r w:rsidRPr="00FD50F6">
        <w:rPr>
          <w:rFonts w:hint="eastAsia"/>
        </w:rPr>
        <w:t>制动载荷连续运行</w:t>
      </w:r>
      <w:r w:rsidRPr="00FD50F6">
        <w:t>。</w:t>
      </w:r>
    </w:p>
    <w:p w14:paraId="21CFB82D" w14:textId="53B25F4C" w:rsidR="0030145B" w:rsidRPr="00FD50F6" w:rsidRDefault="0030145B" w:rsidP="0030145B">
      <w:pPr>
        <w:pStyle w:val="30"/>
      </w:pPr>
      <w:r w:rsidRPr="00FD50F6">
        <w:t>自动扶梯和自动人行道应</w:t>
      </w:r>
      <w:r w:rsidRPr="00FD50F6">
        <w:rPr>
          <w:rFonts w:hint="eastAsia"/>
        </w:rPr>
        <w:t>采用现场级控制，在具备安全措施下可采用车站级控制</w:t>
      </w:r>
      <w:r w:rsidRPr="00FD50F6">
        <w:t>。</w:t>
      </w:r>
      <w:r w:rsidRPr="00FD50F6">
        <w:t xml:space="preserve"> </w:t>
      </w:r>
    </w:p>
    <w:p w14:paraId="38D95AC2" w14:textId="77777777" w:rsidR="0030145B" w:rsidRPr="00FD50F6" w:rsidRDefault="0030145B" w:rsidP="0030145B">
      <w:pPr>
        <w:pStyle w:val="30"/>
      </w:pPr>
      <w:r w:rsidRPr="00FD50F6">
        <w:t>自动扶梯和自动人行道的传输设备应采用阻燃材料。</w:t>
      </w:r>
    </w:p>
    <w:p w14:paraId="057B981A" w14:textId="38B9EA15" w:rsidR="0030145B" w:rsidRPr="00FD50F6" w:rsidRDefault="0030145B" w:rsidP="0030145B">
      <w:pPr>
        <w:pStyle w:val="30"/>
      </w:pPr>
      <w:r w:rsidRPr="00FD50F6">
        <w:rPr>
          <w:rFonts w:hint="eastAsia"/>
        </w:rPr>
        <w:t>自动扶梯和自动人行道的电线、电缆应符合本标准第</w:t>
      </w:r>
      <w:r w:rsidR="00232AC3" w:rsidRPr="00FD50F6">
        <w:t>16</w:t>
      </w:r>
      <w:r w:rsidRPr="00FD50F6">
        <w:t>.4.1</w:t>
      </w:r>
      <w:r w:rsidRPr="00FD50F6">
        <w:t>条的规定</w:t>
      </w:r>
      <w:r w:rsidRPr="00FD50F6">
        <w:rPr>
          <w:rFonts w:eastAsia="黑体"/>
        </w:rPr>
        <w:t>。</w:t>
      </w:r>
    </w:p>
    <w:p w14:paraId="7186C5D4" w14:textId="77777777" w:rsidR="0030145B" w:rsidRPr="00FD50F6" w:rsidRDefault="0030145B" w:rsidP="0030145B">
      <w:pPr>
        <w:pStyle w:val="30"/>
      </w:pPr>
      <w:r w:rsidRPr="00FD50F6">
        <w:t>自动扶梯和自动人行道的</w:t>
      </w:r>
      <w:r w:rsidRPr="00FD50F6">
        <w:rPr>
          <w:rFonts w:hint="eastAsia"/>
        </w:rPr>
        <w:t>名义速度</w:t>
      </w:r>
      <w:r w:rsidRPr="00FD50F6">
        <w:t>不应小于</w:t>
      </w:r>
      <w:r w:rsidRPr="00FD50F6">
        <w:t>0.5m/s</w:t>
      </w:r>
      <w:r w:rsidRPr="00FD50F6">
        <w:t>，宜选用</w:t>
      </w:r>
      <w:r w:rsidRPr="00FD50F6">
        <w:t>0.65 m/s</w:t>
      </w:r>
      <w:r w:rsidRPr="00FD50F6">
        <w:t>。</w:t>
      </w:r>
    </w:p>
    <w:p w14:paraId="5A60528C" w14:textId="77777777" w:rsidR="0030145B" w:rsidRPr="00FD50F6" w:rsidRDefault="0030145B" w:rsidP="0030145B">
      <w:pPr>
        <w:pStyle w:val="30"/>
      </w:pPr>
      <w:r w:rsidRPr="00FD50F6">
        <w:t>自动扶梯的倾斜角度不应大于</w:t>
      </w:r>
      <w:r w:rsidRPr="00FD50F6">
        <w:t>30°</w:t>
      </w:r>
      <w:r w:rsidRPr="00FD50F6">
        <w:t>；自动人行道的倾斜角度不</w:t>
      </w:r>
      <w:r w:rsidRPr="00FD50F6">
        <w:rPr>
          <w:rFonts w:hint="eastAsia"/>
        </w:rPr>
        <w:t>宜</w:t>
      </w:r>
      <w:r w:rsidRPr="00FD50F6">
        <w:t>大于</w:t>
      </w:r>
      <w:r w:rsidRPr="00FD50F6">
        <w:rPr>
          <w:rFonts w:hint="eastAsia"/>
        </w:rPr>
        <w:t>6</w:t>
      </w:r>
      <w:r w:rsidRPr="00FD50F6">
        <w:t>°</w:t>
      </w:r>
      <w:r w:rsidRPr="00FD50F6">
        <w:t>。</w:t>
      </w:r>
    </w:p>
    <w:p w14:paraId="3C4B9A81" w14:textId="77777777" w:rsidR="0030145B" w:rsidRPr="00FD50F6" w:rsidRDefault="0030145B" w:rsidP="0030145B">
      <w:pPr>
        <w:pStyle w:val="30"/>
      </w:pPr>
      <w:r w:rsidRPr="00FD50F6">
        <w:rPr>
          <w:rFonts w:hint="eastAsia"/>
        </w:rPr>
        <w:t>自动扶梯梯级宽度不宜小于</w:t>
      </w:r>
      <w:r w:rsidRPr="00FD50F6">
        <w:rPr>
          <w:rFonts w:hint="eastAsia"/>
        </w:rPr>
        <w:t>1</w:t>
      </w:r>
      <w:r w:rsidRPr="00FD50F6">
        <w:t>m</w:t>
      </w:r>
      <w:r w:rsidRPr="00FD50F6">
        <w:rPr>
          <w:rFonts w:hint="eastAsia"/>
        </w:rPr>
        <w:t>，</w:t>
      </w:r>
      <w:r w:rsidRPr="00FD50F6">
        <w:t>自动人行道的踏板净宽不</w:t>
      </w:r>
      <w:r w:rsidRPr="00FD50F6">
        <w:rPr>
          <w:rFonts w:hint="eastAsia"/>
        </w:rPr>
        <w:t>应</w:t>
      </w:r>
      <w:r w:rsidRPr="00FD50F6">
        <w:t>小于</w:t>
      </w:r>
      <w:r w:rsidRPr="00FD50F6">
        <w:t>1m</w:t>
      </w:r>
      <w:r w:rsidRPr="00FD50F6">
        <w:t>。</w:t>
      </w:r>
    </w:p>
    <w:p w14:paraId="3B7311F1" w14:textId="77777777" w:rsidR="0030145B" w:rsidRPr="00FD50F6" w:rsidRDefault="0030145B" w:rsidP="0030145B">
      <w:pPr>
        <w:pStyle w:val="30"/>
      </w:pPr>
      <w:r w:rsidRPr="00FD50F6">
        <w:t>当自动扶梯名义速度为</w:t>
      </w:r>
      <w:r w:rsidRPr="00FD50F6">
        <w:t>0.5m/s</w:t>
      </w:r>
      <w:r w:rsidRPr="00FD50F6">
        <w:t>时，上、下水平梯级数量不得少于</w:t>
      </w:r>
      <w:r w:rsidRPr="00FD50F6">
        <w:t>3</w:t>
      </w:r>
      <w:r w:rsidRPr="00FD50F6">
        <w:t>块；</w:t>
      </w:r>
      <w:r w:rsidRPr="00FD50F6">
        <w:lastRenderedPageBreak/>
        <w:t>当名义速度为</w:t>
      </w:r>
      <w:r w:rsidRPr="00FD50F6">
        <w:t>0.65m/s</w:t>
      </w:r>
      <w:r w:rsidRPr="00FD50F6">
        <w:t>时，上、下水平梯级数量不得少于</w:t>
      </w:r>
      <w:r w:rsidRPr="00FD50F6">
        <w:t>4</w:t>
      </w:r>
      <w:r w:rsidRPr="00FD50F6">
        <w:t>块；当名义速度大于</w:t>
      </w:r>
      <w:r w:rsidRPr="00FD50F6">
        <w:t>0.65m/s</w:t>
      </w:r>
      <w:r w:rsidRPr="00FD50F6">
        <w:t>时，上水平梯级数量不得少于</w:t>
      </w:r>
      <w:r w:rsidRPr="00FD50F6">
        <w:t>5</w:t>
      </w:r>
      <w:r w:rsidRPr="00FD50F6">
        <w:t>块，下水平梯级数量不得少于</w:t>
      </w:r>
      <w:r w:rsidRPr="00FD50F6">
        <w:t>4</w:t>
      </w:r>
      <w:r w:rsidRPr="00FD50F6">
        <w:t>块。</w:t>
      </w:r>
    </w:p>
    <w:p w14:paraId="4884248A" w14:textId="77777777" w:rsidR="0030145B" w:rsidRPr="00FD50F6" w:rsidRDefault="0030145B" w:rsidP="0030145B">
      <w:pPr>
        <w:pStyle w:val="30"/>
      </w:pPr>
      <w:r w:rsidRPr="00FD50F6">
        <w:t>自动扶梯从倾斜区段到上水平段过渡的</w:t>
      </w:r>
      <w:r w:rsidRPr="00FD50F6">
        <w:rPr>
          <w:rFonts w:hint="eastAsia"/>
        </w:rPr>
        <w:t>导轨</w:t>
      </w:r>
      <w:r w:rsidRPr="00FD50F6">
        <w:t>曲率半径不宜小于</w:t>
      </w:r>
      <w:r w:rsidRPr="00FD50F6">
        <w:rPr>
          <w:rFonts w:hint="eastAsia"/>
        </w:rPr>
        <w:t>2.6</w:t>
      </w:r>
      <w:r w:rsidRPr="00FD50F6">
        <w:t>m</w:t>
      </w:r>
      <w:r w:rsidRPr="00FD50F6">
        <w:t>，从倾斜区段到下水平段过渡的</w:t>
      </w:r>
      <w:r w:rsidRPr="00FD50F6">
        <w:rPr>
          <w:rFonts w:hint="eastAsia"/>
        </w:rPr>
        <w:t>导轨</w:t>
      </w:r>
      <w:r w:rsidRPr="00FD50F6">
        <w:t>曲率半径不宜小于</w:t>
      </w:r>
      <w:r w:rsidRPr="00FD50F6">
        <w:rPr>
          <w:rFonts w:hint="eastAsia"/>
        </w:rPr>
        <w:t>2</w:t>
      </w:r>
      <w:r w:rsidRPr="00FD50F6">
        <w:t>m</w:t>
      </w:r>
      <w:r w:rsidRPr="00FD50F6">
        <w:t>。</w:t>
      </w:r>
    </w:p>
    <w:p w14:paraId="107AA1BF" w14:textId="77777777" w:rsidR="0030145B" w:rsidRPr="00FD50F6" w:rsidRDefault="0030145B" w:rsidP="0030145B">
      <w:pPr>
        <w:spacing w:beforeLines="50" w:before="120" w:afterLines="50" w:after="120"/>
        <w:jc w:val="center"/>
        <w:rPr>
          <w:rFonts w:ascii="Times New Roman" w:hAnsi="Times New Roman" w:cs="Times New Roman"/>
          <w:b/>
          <w:sz w:val="21"/>
          <w:szCs w:val="24"/>
        </w:rPr>
      </w:pPr>
      <w:r w:rsidRPr="00FD50F6">
        <w:rPr>
          <w:rFonts w:ascii="宋体" w:hAnsi="宋体" w:cs="宋体" w:hint="eastAsia"/>
          <w:b/>
          <w:szCs w:val="24"/>
        </w:rPr>
        <w:t>Ⅲ</w:t>
      </w:r>
      <w:r w:rsidRPr="00FD50F6">
        <w:rPr>
          <w:rFonts w:ascii="Times New Roman" w:hAnsi="Times New Roman" w:cs="Times New Roman"/>
          <w:b/>
          <w:szCs w:val="24"/>
        </w:rPr>
        <w:t xml:space="preserve"> </w:t>
      </w:r>
      <w:r w:rsidRPr="00FD50F6">
        <w:rPr>
          <w:rFonts w:ascii="Times New Roman" w:hAnsi="Times New Roman" w:cs="Times New Roman" w:hint="eastAsia"/>
          <w:b/>
          <w:szCs w:val="24"/>
        </w:rPr>
        <w:t>主要土建技术要求</w:t>
      </w:r>
    </w:p>
    <w:p w14:paraId="4B9BC72C" w14:textId="4F560C7B" w:rsidR="0030145B" w:rsidRPr="00FD50F6" w:rsidRDefault="0030145B" w:rsidP="0030145B">
      <w:pPr>
        <w:pStyle w:val="30"/>
      </w:pPr>
      <w:r w:rsidRPr="00FD50F6">
        <w:t>自动扶梯和自动人行道</w:t>
      </w:r>
      <w:r w:rsidRPr="00FD50F6">
        <w:rPr>
          <w:rFonts w:hint="eastAsia"/>
        </w:rPr>
        <w:t>不宜</w:t>
      </w:r>
      <w:r w:rsidRPr="00FD50F6">
        <w:t>采用分离机房</w:t>
      </w:r>
      <w:r w:rsidRPr="00FD50F6">
        <w:rPr>
          <w:rFonts w:hint="eastAsia"/>
        </w:rPr>
        <w:t>。当采用分离机房时，</w:t>
      </w:r>
      <w:r w:rsidRPr="00FD50F6">
        <w:t>应符合现行国家标准</w:t>
      </w:r>
      <w:r w:rsidR="00AA0E76" w:rsidRPr="00C10734">
        <w:t>《自动扶梯和自动人行道的制造</w:t>
      </w:r>
      <w:r w:rsidR="00AA0E76">
        <w:rPr>
          <w:rFonts w:hint="eastAsia"/>
        </w:rPr>
        <w:t>与</w:t>
      </w:r>
      <w:r w:rsidR="00AA0E76" w:rsidRPr="00C10734">
        <w:t>安装安全规范》</w:t>
      </w:r>
      <w:r w:rsidRPr="00FD50F6">
        <w:t>GB 16899</w:t>
      </w:r>
      <w:r w:rsidRPr="00FD50F6">
        <w:t>的规定。</w:t>
      </w:r>
    </w:p>
    <w:p w14:paraId="3234B1F6" w14:textId="77777777" w:rsidR="0030145B" w:rsidRPr="00FD50F6" w:rsidRDefault="0030145B" w:rsidP="0030145B">
      <w:pPr>
        <w:pStyle w:val="30"/>
      </w:pPr>
      <w:r w:rsidRPr="00FD50F6">
        <w:t>自动扶梯和自动人行道的各支点应设置预埋件和预留吊装条件。</w:t>
      </w:r>
    </w:p>
    <w:p w14:paraId="2A9BEF14" w14:textId="62681A05" w:rsidR="0030145B" w:rsidRPr="00FD50F6" w:rsidRDefault="0030145B" w:rsidP="0030145B">
      <w:pPr>
        <w:pStyle w:val="30"/>
      </w:pPr>
      <w:r w:rsidRPr="00FD50F6">
        <w:t>自动扶梯和自动人行道的安装位置</w:t>
      </w:r>
      <w:r w:rsidRPr="00FD50F6">
        <w:rPr>
          <w:rFonts w:hint="eastAsia"/>
        </w:rPr>
        <w:t>宜</w:t>
      </w:r>
      <w:r w:rsidRPr="00FD50F6">
        <w:t>避开结构诱导缝和变形缝</w:t>
      </w:r>
      <w:r w:rsidRPr="00FD50F6">
        <w:rPr>
          <w:rFonts w:hint="eastAsia"/>
        </w:rPr>
        <w:t>。</w:t>
      </w:r>
      <w:r w:rsidRPr="00FD50F6">
        <w:t>当跨越</w:t>
      </w:r>
      <w:r w:rsidRPr="00FD50F6">
        <w:rPr>
          <w:rFonts w:hint="eastAsia"/>
        </w:rPr>
        <w:t>结构诱导缝和变形缝</w:t>
      </w:r>
      <w:r w:rsidRPr="00FD50F6">
        <w:t>时</w:t>
      </w:r>
      <w:r w:rsidRPr="00FD50F6">
        <w:rPr>
          <w:rFonts w:hint="eastAsia"/>
        </w:rPr>
        <w:t>，</w:t>
      </w:r>
      <w:r w:rsidRPr="00FD50F6">
        <w:t>应采</w:t>
      </w:r>
      <w:r w:rsidRPr="00FD50F6">
        <w:rPr>
          <w:rFonts w:hint="eastAsia"/>
        </w:rPr>
        <w:t>取</w:t>
      </w:r>
      <w:r w:rsidRPr="00FD50F6">
        <w:t>相应的构造措施。</w:t>
      </w:r>
    </w:p>
    <w:p w14:paraId="3B2F9B65" w14:textId="77777777" w:rsidR="0030145B" w:rsidRPr="00FD50F6" w:rsidRDefault="0030145B" w:rsidP="00A65181">
      <w:pPr>
        <w:pStyle w:val="2"/>
      </w:pPr>
      <w:bookmarkStart w:id="1148" w:name="_Toc344218871"/>
      <w:bookmarkStart w:id="1149" w:name="_Toc112830856"/>
      <w:r w:rsidRPr="00FD50F6">
        <w:t>电梯</w:t>
      </w:r>
      <w:bookmarkEnd w:id="1148"/>
      <w:bookmarkEnd w:id="1149"/>
    </w:p>
    <w:p w14:paraId="2C695652" w14:textId="77777777" w:rsidR="0030145B" w:rsidRPr="00FD50F6" w:rsidRDefault="0030145B" w:rsidP="0030145B">
      <w:pPr>
        <w:spacing w:beforeLines="50" w:before="120" w:afterLines="50" w:after="120"/>
        <w:jc w:val="center"/>
        <w:rPr>
          <w:rFonts w:ascii="Times New Roman" w:hAnsi="Times New Roman" w:cs="Times New Roman"/>
          <w:b/>
          <w:sz w:val="21"/>
          <w:szCs w:val="24"/>
        </w:rPr>
      </w:pPr>
      <w:r w:rsidRPr="00FD50F6">
        <w:rPr>
          <w:rFonts w:ascii="宋体" w:hAnsi="宋体" w:cs="宋体" w:hint="eastAsia"/>
          <w:b/>
          <w:szCs w:val="24"/>
        </w:rPr>
        <w:t>Ⅰ</w:t>
      </w:r>
      <w:r w:rsidRPr="00FD50F6">
        <w:rPr>
          <w:rFonts w:ascii="Times New Roman" w:hAnsi="Times New Roman" w:cs="Times New Roman"/>
          <w:b/>
          <w:szCs w:val="24"/>
        </w:rPr>
        <w:t xml:space="preserve"> </w:t>
      </w:r>
      <w:r w:rsidRPr="00FD50F6">
        <w:rPr>
          <w:rFonts w:ascii="Times New Roman" w:hAnsi="Times New Roman" w:cs="Times New Roman" w:hint="eastAsia"/>
          <w:b/>
          <w:szCs w:val="24"/>
        </w:rPr>
        <w:t>一般规定</w:t>
      </w:r>
    </w:p>
    <w:p w14:paraId="60215F74" w14:textId="77777777" w:rsidR="0030145B" w:rsidRPr="00FD50F6" w:rsidRDefault="0030145B" w:rsidP="0030145B">
      <w:pPr>
        <w:pStyle w:val="30"/>
      </w:pPr>
      <w:r w:rsidRPr="00FD50F6">
        <w:t>车站</w:t>
      </w:r>
      <w:r w:rsidRPr="00FD50F6">
        <w:rPr>
          <w:rFonts w:hint="eastAsia"/>
        </w:rPr>
        <w:t>宜</w:t>
      </w:r>
      <w:r w:rsidRPr="00FD50F6">
        <w:t>选用无机房电梯</w:t>
      </w:r>
      <w:r w:rsidRPr="00FD50F6">
        <w:rPr>
          <w:rFonts w:hint="eastAsia"/>
        </w:rPr>
        <w:t>。车辆基地和控制中心宜选用有机房电梯</w:t>
      </w:r>
      <w:r w:rsidRPr="00FD50F6">
        <w:t>。</w:t>
      </w:r>
    </w:p>
    <w:p w14:paraId="7B57D2E8" w14:textId="77777777" w:rsidR="0030145B" w:rsidRPr="00FD50F6" w:rsidRDefault="0030145B" w:rsidP="0030145B">
      <w:pPr>
        <w:pStyle w:val="30"/>
      </w:pPr>
      <w:r w:rsidRPr="00FD50F6">
        <w:t>电梯应接受</w:t>
      </w:r>
      <w:r w:rsidRPr="00FD50F6">
        <w:rPr>
          <w:rFonts w:hint="eastAsia"/>
        </w:rPr>
        <w:t>环境与设备监控系统</w:t>
      </w:r>
      <w:r w:rsidRPr="00FD50F6">
        <w:t>的</w:t>
      </w:r>
      <w:r w:rsidRPr="00FD50F6">
        <w:rPr>
          <w:rFonts w:hint="eastAsia"/>
        </w:rPr>
        <w:t>监视</w:t>
      </w:r>
      <w:r w:rsidRPr="00FD50F6">
        <w:t>。</w:t>
      </w:r>
    </w:p>
    <w:p w14:paraId="73431274" w14:textId="5CAD03BE" w:rsidR="0030145B" w:rsidRPr="00FD50F6" w:rsidRDefault="0030145B" w:rsidP="0030145B">
      <w:pPr>
        <w:pStyle w:val="30"/>
      </w:pPr>
      <w:r w:rsidRPr="00FD50F6">
        <w:t>电梯应能实现车站控制室</w:t>
      </w:r>
      <w:r w:rsidRPr="00FD50F6">
        <w:rPr>
          <w:rFonts w:hint="eastAsia"/>
        </w:rPr>
        <w:t>或车辆基地、控制中心消防值班室等与</w:t>
      </w:r>
      <w:r w:rsidRPr="00FD50F6">
        <w:t>轿厢</w:t>
      </w:r>
      <w:r w:rsidRPr="00FD50F6">
        <w:rPr>
          <w:rFonts w:hint="eastAsia"/>
        </w:rPr>
        <w:t>及</w:t>
      </w:r>
      <w:r w:rsidRPr="00FD50F6">
        <w:t>控制柜或机房之间的</w:t>
      </w:r>
      <w:r w:rsidRPr="00FD50F6">
        <w:rPr>
          <w:rFonts w:hint="eastAsia"/>
        </w:rPr>
        <w:t>三</w:t>
      </w:r>
      <w:r w:rsidRPr="00FD50F6">
        <w:t>方通话功能。</w:t>
      </w:r>
    </w:p>
    <w:p w14:paraId="6F27D5DD" w14:textId="77777777" w:rsidR="0030145B" w:rsidRPr="00FD50F6" w:rsidRDefault="0030145B" w:rsidP="0030145B">
      <w:pPr>
        <w:pStyle w:val="30"/>
      </w:pPr>
      <w:r w:rsidRPr="00FD50F6">
        <w:t>电梯</w:t>
      </w:r>
      <w:r w:rsidRPr="00FD50F6">
        <w:rPr>
          <w:rFonts w:hint="eastAsia"/>
        </w:rPr>
        <w:t>轿厢</w:t>
      </w:r>
      <w:r w:rsidRPr="00FD50F6">
        <w:t>内部应安设视频监视装置。</w:t>
      </w:r>
    </w:p>
    <w:p w14:paraId="66446483" w14:textId="77777777" w:rsidR="0030145B" w:rsidRPr="00FD50F6" w:rsidRDefault="0030145B" w:rsidP="0030145B">
      <w:pPr>
        <w:pStyle w:val="30"/>
      </w:pPr>
      <w:r w:rsidRPr="00FD50F6">
        <w:t>电梯的井道壁、底面、顶板应使用不燃、坚固、无粉尘的材料建造。</w:t>
      </w:r>
    </w:p>
    <w:p w14:paraId="68D0DEB6" w14:textId="3AAEA033" w:rsidR="0030145B" w:rsidRPr="00FD50F6" w:rsidRDefault="0030145B" w:rsidP="0030145B">
      <w:pPr>
        <w:pStyle w:val="30"/>
      </w:pPr>
      <w:r w:rsidRPr="00FD50F6">
        <w:t>电梯的底坑内应设置排水设施，且不应漏水、渗水；当采用液压电梯时，底坑应有集油装置。</w:t>
      </w:r>
    </w:p>
    <w:p w14:paraId="2FFCE640" w14:textId="4F0C873C" w:rsidR="0030145B" w:rsidRPr="00FD50F6" w:rsidRDefault="0030145B" w:rsidP="0030145B">
      <w:pPr>
        <w:pStyle w:val="30"/>
      </w:pPr>
      <w:r w:rsidRPr="00FD50F6">
        <w:t>当选用液压电梯时，机房宜设在井道的侧面，并应符合现行</w:t>
      </w:r>
      <w:r w:rsidRPr="00FD50F6">
        <w:rPr>
          <w:rFonts w:hint="eastAsia"/>
        </w:rPr>
        <w:t>国家标</w:t>
      </w:r>
      <w:r w:rsidRPr="00FD50F6">
        <w:t>准《电梯</w:t>
      </w:r>
      <w:r w:rsidRPr="00FD50F6">
        <w:rPr>
          <w:rFonts w:hint="eastAsia"/>
        </w:rPr>
        <w:t>制造与安装安全规范</w:t>
      </w:r>
      <w:r w:rsidRPr="00FD50F6">
        <w:t>》</w:t>
      </w:r>
      <w:r w:rsidRPr="00FD50F6">
        <w:rPr>
          <w:rFonts w:hint="eastAsia"/>
        </w:rPr>
        <w:t>GB</w:t>
      </w:r>
      <w:r w:rsidRPr="00FD50F6">
        <w:t>/T 7588</w:t>
      </w:r>
      <w:r w:rsidRPr="00FD50F6">
        <w:t>的规定。当液压电梯在室外设置时</w:t>
      </w:r>
      <w:r w:rsidRPr="00FD50F6">
        <w:rPr>
          <w:rFonts w:hint="eastAsia"/>
        </w:rPr>
        <w:t>，</w:t>
      </w:r>
      <w:r w:rsidRPr="00FD50F6">
        <w:t>应设置液压部分的冬季防冻保温装置。</w:t>
      </w:r>
    </w:p>
    <w:p w14:paraId="141A01F0" w14:textId="4FFA779E" w:rsidR="0030145B" w:rsidRPr="00FD50F6" w:rsidRDefault="0030145B" w:rsidP="0030145B">
      <w:pPr>
        <w:pStyle w:val="30"/>
      </w:pPr>
      <w:r w:rsidRPr="00FD50F6">
        <w:rPr>
          <w:rFonts w:hint="eastAsia"/>
        </w:rPr>
        <w:t>当电梯作为无障碍通道时，其</w:t>
      </w:r>
      <w:r w:rsidRPr="00FD50F6">
        <w:t>设施应符合现行</w:t>
      </w:r>
      <w:r w:rsidRPr="00FD50F6">
        <w:rPr>
          <w:rFonts w:hint="eastAsia"/>
        </w:rPr>
        <w:t>国家</w:t>
      </w:r>
      <w:r w:rsidRPr="00FD50F6">
        <w:t>标准《无障碍设计规范》</w:t>
      </w:r>
      <w:r w:rsidRPr="00FD50F6">
        <w:t>GB 50763</w:t>
      </w:r>
      <w:r w:rsidRPr="00FD50F6">
        <w:t>的规定。</w:t>
      </w:r>
    </w:p>
    <w:p w14:paraId="44C9221D" w14:textId="61ED2F92" w:rsidR="0030145B" w:rsidRPr="00FD50F6" w:rsidRDefault="0030145B" w:rsidP="0030145B">
      <w:pPr>
        <w:pStyle w:val="30"/>
      </w:pPr>
      <w:r w:rsidRPr="00FD50F6">
        <w:t>当电梯兼做消防</w:t>
      </w:r>
      <w:r w:rsidRPr="00FD50F6">
        <w:rPr>
          <w:rFonts w:hint="eastAsia"/>
        </w:rPr>
        <w:t>电</w:t>
      </w:r>
      <w:r w:rsidRPr="00FD50F6">
        <w:t>梯时，</w:t>
      </w:r>
      <w:r w:rsidRPr="00FD50F6">
        <w:rPr>
          <w:rFonts w:hint="eastAsia"/>
        </w:rPr>
        <w:t>其设施应符合现行国家标准《消防电梯制造与安装安全规范》</w:t>
      </w:r>
      <w:r w:rsidRPr="00FD50F6">
        <w:rPr>
          <w:rFonts w:hint="eastAsia"/>
        </w:rPr>
        <w:t>GB</w:t>
      </w:r>
      <w:r w:rsidRPr="00FD50F6">
        <w:t xml:space="preserve">/T </w:t>
      </w:r>
      <w:r w:rsidRPr="00FD50F6">
        <w:rPr>
          <w:rFonts w:hint="eastAsia"/>
        </w:rPr>
        <w:t>26</w:t>
      </w:r>
      <w:r w:rsidRPr="00FD50F6">
        <w:t>4</w:t>
      </w:r>
      <w:r w:rsidRPr="00FD50F6">
        <w:rPr>
          <w:rFonts w:hint="eastAsia"/>
        </w:rPr>
        <w:t>65</w:t>
      </w:r>
      <w:r w:rsidRPr="00FD50F6">
        <w:rPr>
          <w:rFonts w:hint="eastAsia"/>
        </w:rPr>
        <w:t>的规定</w:t>
      </w:r>
      <w:r w:rsidRPr="00FD50F6">
        <w:rPr>
          <w:rFonts w:ascii="宋体" w:hAnsi="宋体" w:hint="eastAsia"/>
        </w:rPr>
        <w:t>，其供电应采用一级负荷</w:t>
      </w:r>
      <w:r w:rsidRPr="00FD50F6">
        <w:t>。</w:t>
      </w:r>
    </w:p>
    <w:p w14:paraId="732E88C6" w14:textId="77777777" w:rsidR="0030145B" w:rsidRPr="00FD50F6" w:rsidRDefault="0030145B" w:rsidP="0030145B">
      <w:pPr>
        <w:spacing w:beforeLines="50" w:before="120" w:afterLines="50" w:after="120"/>
        <w:jc w:val="center"/>
        <w:rPr>
          <w:rFonts w:ascii="Times New Roman" w:hAnsi="Times New Roman" w:cs="Times New Roman"/>
          <w:b/>
          <w:sz w:val="20"/>
          <w:szCs w:val="28"/>
        </w:rPr>
      </w:pPr>
      <w:r w:rsidRPr="00FD50F6">
        <w:rPr>
          <w:rFonts w:ascii="宋体" w:hAnsi="宋体" w:cs="宋体" w:hint="eastAsia"/>
          <w:b/>
          <w:szCs w:val="28"/>
        </w:rPr>
        <w:lastRenderedPageBreak/>
        <w:t>Ⅱ</w:t>
      </w:r>
      <w:r w:rsidRPr="00FD50F6">
        <w:rPr>
          <w:rFonts w:ascii="Times New Roman" w:hAnsi="Times New Roman" w:cs="Times New Roman"/>
          <w:b/>
          <w:szCs w:val="28"/>
        </w:rPr>
        <w:t xml:space="preserve"> </w:t>
      </w:r>
      <w:r w:rsidRPr="00FD50F6">
        <w:rPr>
          <w:rFonts w:ascii="Times New Roman" w:hAnsi="Times New Roman" w:cs="Times New Roman" w:hint="eastAsia"/>
          <w:b/>
          <w:szCs w:val="28"/>
        </w:rPr>
        <w:t>主要技术要求及参数</w:t>
      </w:r>
    </w:p>
    <w:p w14:paraId="5B4216C1" w14:textId="77777777" w:rsidR="0030145B" w:rsidRPr="00FD50F6" w:rsidRDefault="0030145B" w:rsidP="0030145B">
      <w:pPr>
        <w:pStyle w:val="30"/>
      </w:pPr>
      <w:r w:rsidRPr="00FD50F6">
        <w:t>电梯额定载重不应小于</w:t>
      </w:r>
      <w:r w:rsidRPr="00FD50F6">
        <w:t>800kg</w:t>
      </w:r>
      <w:r w:rsidRPr="00FD50F6">
        <w:t>。</w:t>
      </w:r>
    </w:p>
    <w:p w14:paraId="116FC9A6" w14:textId="77777777" w:rsidR="0030145B" w:rsidRPr="00FD50F6" w:rsidRDefault="0030145B" w:rsidP="0030145B">
      <w:pPr>
        <w:pStyle w:val="30"/>
      </w:pPr>
      <w:r w:rsidRPr="00FD50F6">
        <w:t>电梯的额定速度不应小于</w:t>
      </w:r>
      <w:r w:rsidRPr="00FD50F6">
        <w:t>0.63m/s</w:t>
      </w:r>
      <w:r w:rsidRPr="00FD50F6">
        <w:t>。</w:t>
      </w:r>
    </w:p>
    <w:p w14:paraId="0897AF7D" w14:textId="77777777" w:rsidR="0030145B" w:rsidRPr="00FD50F6" w:rsidRDefault="0030145B" w:rsidP="0030145B">
      <w:pPr>
        <w:pStyle w:val="30"/>
      </w:pPr>
      <w:r w:rsidRPr="00FD50F6">
        <w:t>电梯的开门宽度不宜小于</w:t>
      </w:r>
      <w:r w:rsidRPr="00FD50F6">
        <w:t>1m</w:t>
      </w:r>
      <w:r w:rsidRPr="00FD50F6">
        <w:t>，并宜选用双扇中分门。</w:t>
      </w:r>
    </w:p>
    <w:p w14:paraId="3E33FB25" w14:textId="32C74F33" w:rsidR="0030145B" w:rsidRPr="00FD50F6" w:rsidRDefault="0030145B" w:rsidP="0030145B">
      <w:pPr>
        <w:pStyle w:val="30"/>
        <w:rPr>
          <w:rFonts w:eastAsia="黑体"/>
        </w:rPr>
      </w:pPr>
      <w:r w:rsidRPr="00FD50F6">
        <w:rPr>
          <w:rFonts w:hint="eastAsia"/>
        </w:rPr>
        <w:t>电梯采用的电线、电缆应符合本标准第</w:t>
      </w:r>
      <w:r w:rsidR="00232AC3" w:rsidRPr="00FD50F6">
        <w:t>16</w:t>
      </w:r>
      <w:r w:rsidRPr="00FD50F6">
        <w:t>.4.1</w:t>
      </w:r>
      <w:r w:rsidRPr="00FD50F6">
        <w:t>条的规定</w:t>
      </w:r>
      <w:r w:rsidRPr="00FD50F6">
        <w:rPr>
          <w:rFonts w:eastAsia="黑体"/>
        </w:rPr>
        <w:t>。</w:t>
      </w:r>
    </w:p>
    <w:p w14:paraId="6B367EC6" w14:textId="77777777" w:rsidR="0030145B" w:rsidRPr="00FD50F6" w:rsidRDefault="0030145B" w:rsidP="0030145B">
      <w:pPr>
        <w:spacing w:beforeLines="50" w:before="120" w:afterLines="50" w:after="120"/>
        <w:jc w:val="center"/>
        <w:rPr>
          <w:rFonts w:ascii="Times New Roman" w:hAnsi="Times New Roman" w:cs="Times New Roman"/>
          <w:b/>
          <w:sz w:val="20"/>
          <w:szCs w:val="28"/>
        </w:rPr>
      </w:pPr>
      <w:r w:rsidRPr="00FD50F6">
        <w:rPr>
          <w:rFonts w:ascii="宋体" w:hAnsi="宋体" w:cs="宋体" w:hint="eastAsia"/>
          <w:b/>
          <w:szCs w:val="28"/>
        </w:rPr>
        <w:t>Ⅲ</w:t>
      </w:r>
      <w:r w:rsidRPr="00FD50F6">
        <w:rPr>
          <w:rFonts w:ascii="Times New Roman" w:hAnsi="Times New Roman" w:cs="Times New Roman"/>
          <w:b/>
          <w:szCs w:val="28"/>
        </w:rPr>
        <w:t xml:space="preserve"> </w:t>
      </w:r>
      <w:r w:rsidRPr="00FD50F6">
        <w:rPr>
          <w:rFonts w:ascii="Times New Roman" w:hAnsi="Times New Roman" w:cs="Times New Roman" w:hint="eastAsia"/>
          <w:b/>
          <w:szCs w:val="28"/>
        </w:rPr>
        <w:t>主要土建技术要求</w:t>
      </w:r>
    </w:p>
    <w:p w14:paraId="24AA64F2" w14:textId="77777777" w:rsidR="0030145B" w:rsidRPr="00FD50F6" w:rsidRDefault="0030145B" w:rsidP="0030145B">
      <w:pPr>
        <w:pStyle w:val="30"/>
      </w:pPr>
      <w:r w:rsidRPr="00FD50F6">
        <w:t>电梯的井道可采用钢筋混凝土结构或其他结构类型。</w:t>
      </w:r>
    </w:p>
    <w:p w14:paraId="37EF6ADC" w14:textId="77777777" w:rsidR="0030145B" w:rsidRPr="00FD50F6" w:rsidRDefault="0030145B" w:rsidP="0030145B">
      <w:pPr>
        <w:pStyle w:val="30"/>
      </w:pPr>
      <w:r w:rsidRPr="00FD50F6">
        <w:t>当无机房电梯井道顶部暴露于室外时，该部分井道不宜采用透明结构型式。</w:t>
      </w:r>
    </w:p>
    <w:p w14:paraId="76E356AE" w14:textId="77777777" w:rsidR="0030145B" w:rsidRPr="00FD50F6" w:rsidRDefault="0030145B" w:rsidP="0030145B">
      <w:pPr>
        <w:pStyle w:val="30"/>
      </w:pPr>
      <w:r w:rsidRPr="00FD50F6">
        <w:t>电梯井道应在土建工程中设置预埋件</w:t>
      </w:r>
      <w:r w:rsidRPr="00FD50F6">
        <w:rPr>
          <w:rFonts w:hint="eastAsia"/>
        </w:rPr>
        <w:t>、</w:t>
      </w:r>
      <w:r w:rsidRPr="00FD50F6">
        <w:t>预留孔</w:t>
      </w:r>
      <w:r w:rsidRPr="00FD50F6">
        <w:rPr>
          <w:rFonts w:hint="eastAsia"/>
        </w:rPr>
        <w:t>、</w:t>
      </w:r>
      <w:r w:rsidRPr="00FD50F6">
        <w:t>预留槽和起重吊环。</w:t>
      </w:r>
    </w:p>
    <w:p w14:paraId="0A814C79" w14:textId="77777777" w:rsidR="0030145B" w:rsidRPr="00FD50F6" w:rsidRDefault="0030145B" w:rsidP="0030145B">
      <w:pPr>
        <w:pStyle w:val="30"/>
      </w:pPr>
      <w:r w:rsidRPr="00FD50F6">
        <w:t>电梯的安装位置应避开土建结构的诱导缝和变形缝。</w:t>
      </w:r>
    </w:p>
    <w:p w14:paraId="1D5F69CB" w14:textId="77777777" w:rsidR="0030145B" w:rsidRPr="00FD50F6" w:rsidRDefault="0030145B" w:rsidP="00A65181">
      <w:pPr>
        <w:pStyle w:val="2"/>
      </w:pPr>
      <w:bookmarkStart w:id="1150" w:name="_Toc344218872"/>
      <w:bookmarkStart w:id="1151" w:name="_Toc112830857"/>
      <w:r w:rsidRPr="00FD50F6">
        <w:t>轮椅升降机</w:t>
      </w:r>
      <w:bookmarkEnd w:id="1150"/>
      <w:bookmarkEnd w:id="1151"/>
    </w:p>
    <w:p w14:paraId="706A4E2F" w14:textId="77777777" w:rsidR="0030145B" w:rsidRPr="00FD50F6" w:rsidRDefault="0030145B" w:rsidP="0030145B">
      <w:pPr>
        <w:spacing w:beforeLines="50" w:before="120" w:afterLines="50" w:after="120"/>
        <w:jc w:val="center"/>
        <w:rPr>
          <w:rFonts w:ascii="Times New Roman" w:hAnsi="Times New Roman" w:cs="Times New Roman"/>
          <w:b/>
          <w:sz w:val="20"/>
          <w:szCs w:val="28"/>
        </w:rPr>
      </w:pPr>
      <w:r w:rsidRPr="00FD50F6">
        <w:rPr>
          <w:rFonts w:ascii="宋体" w:hAnsi="宋体" w:cs="宋体" w:hint="eastAsia"/>
          <w:b/>
          <w:szCs w:val="28"/>
        </w:rPr>
        <w:t>Ⅰ</w:t>
      </w:r>
      <w:r w:rsidRPr="00FD50F6">
        <w:rPr>
          <w:rFonts w:ascii="Times New Roman" w:hAnsi="Times New Roman" w:cs="Times New Roman"/>
          <w:b/>
          <w:szCs w:val="28"/>
        </w:rPr>
        <w:t xml:space="preserve"> </w:t>
      </w:r>
      <w:r w:rsidRPr="00FD50F6">
        <w:rPr>
          <w:rFonts w:ascii="Times New Roman" w:hAnsi="Times New Roman" w:cs="Times New Roman" w:hint="eastAsia"/>
          <w:b/>
          <w:szCs w:val="28"/>
        </w:rPr>
        <w:t>一般规定</w:t>
      </w:r>
    </w:p>
    <w:p w14:paraId="39465F2E" w14:textId="77777777" w:rsidR="0030145B" w:rsidRPr="00FD50F6" w:rsidRDefault="0030145B" w:rsidP="0030145B">
      <w:pPr>
        <w:pStyle w:val="30"/>
      </w:pPr>
      <w:r w:rsidRPr="00FD50F6">
        <w:t>露天出入口应选用室外型轮椅升降机。</w:t>
      </w:r>
    </w:p>
    <w:p w14:paraId="5BBE3629" w14:textId="77777777" w:rsidR="0030145B" w:rsidRPr="00FD50F6" w:rsidRDefault="0030145B" w:rsidP="0030145B">
      <w:pPr>
        <w:pStyle w:val="30"/>
      </w:pPr>
      <w:r w:rsidRPr="00FD50F6">
        <w:t>轮椅升降机设置处</w:t>
      </w:r>
      <w:r w:rsidRPr="00FD50F6">
        <w:rPr>
          <w:rFonts w:hint="eastAsia"/>
        </w:rPr>
        <w:t>应</w:t>
      </w:r>
      <w:r w:rsidRPr="00FD50F6">
        <w:t>设置摄像监视装置</w:t>
      </w:r>
      <w:r w:rsidRPr="00FD50F6">
        <w:rPr>
          <w:rFonts w:hint="eastAsia"/>
        </w:rPr>
        <w:t>，摄像监视应覆盖轮椅升降机的全部运行范围</w:t>
      </w:r>
      <w:r w:rsidRPr="00FD50F6">
        <w:t>。</w:t>
      </w:r>
    </w:p>
    <w:p w14:paraId="2B30A38E" w14:textId="77777777" w:rsidR="0030145B" w:rsidRPr="00FD50F6" w:rsidRDefault="0030145B" w:rsidP="0030145B">
      <w:pPr>
        <w:pStyle w:val="30"/>
      </w:pPr>
      <w:r w:rsidRPr="00FD50F6">
        <w:t>轮椅升降机应接受</w:t>
      </w:r>
      <w:r w:rsidRPr="00FD50F6">
        <w:rPr>
          <w:rFonts w:hint="eastAsia"/>
        </w:rPr>
        <w:t>环境和设备监控系统</w:t>
      </w:r>
      <w:r w:rsidRPr="00FD50F6">
        <w:t>的监视。</w:t>
      </w:r>
    </w:p>
    <w:p w14:paraId="03FF3E34" w14:textId="77777777" w:rsidR="0030145B" w:rsidRPr="00FD50F6" w:rsidRDefault="0030145B" w:rsidP="0030145B">
      <w:pPr>
        <w:pStyle w:val="30"/>
      </w:pPr>
      <w:r w:rsidRPr="00FD50F6">
        <w:t>轮椅升降机应具备乘客自行操作条件，并</w:t>
      </w:r>
      <w:r w:rsidRPr="00FD50F6">
        <w:rPr>
          <w:rFonts w:hint="eastAsia"/>
        </w:rPr>
        <w:t>应</w:t>
      </w:r>
      <w:r w:rsidRPr="00FD50F6">
        <w:t>设置与车站控制室的可视对讲装置。</w:t>
      </w:r>
    </w:p>
    <w:p w14:paraId="72020C88" w14:textId="77777777" w:rsidR="0030145B" w:rsidRPr="00FD50F6" w:rsidRDefault="0030145B" w:rsidP="0030145B">
      <w:pPr>
        <w:spacing w:beforeLines="50" w:before="120" w:afterLines="50" w:after="120"/>
        <w:jc w:val="center"/>
        <w:rPr>
          <w:rFonts w:ascii="Times New Roman" w:hAnsi="Times New Roman" w:cs="Times New Roman"/>
          <w:sz w:val="20"/>
          <w:szCs w:val="28"/>
        </w:rPr>
      </w:pPr>
      <w:r w:rsidRPr="00FD50F6">
        <w:rPr>
          <w:rFonts w:ascii="宋体" w:hAnsi="宋体" w:cs="宋体" w:hint="eastAsia"/>
          <w:b/>
          <w:szCs w:val="28"/>
        </w:rPr>
        <w:t>Ⅱ</w:t>
      </w:r>
      <w:r w:rsidRPr="00FD50F6">
        <w:rPr>
          <w:rFonts w:ascii="Times New Roman" w:hAnsi="Times New Roman" w:cs="Times New Roman"/>
          <w:b/>
          <w:szCs w:val="28"/>
        </w:rPr>
        <w:t xml:space="preserve"> </w:t>
      </w:r>
      <w:r w:rsidRPr="00FD50F6">
        <w:rPr>
          <w:rFonts w:ascii="Times New Roman" w:hAnsi="Times New Roman" w:cs="Times New Roman" w:hint="eastAsia"/>
          <w:b/>
          <w:szCs w:val="28"/>
        </w:rPr>
        <w:t>主要技术要求及参数</w:t>
      </w:r>
    </w:p>
    <w:p w14:paraId="53A7ADB9" w14:textId="77777777" w:rsidR="0030145B" w:rsidRPr="00FD50F6" w:rsidRDefault="0030145B" w:rsidP="0030145B">
      <w:pPr>
        <w:pStyle w:val="30"/>
      </w:pPr>
      <w:r w:rsidRPr="00FD50F6">
        <w:t>轮椅升降机平台面应采用防滑材料，平台四周应设护栏。</w:t>
      </w:r>
    </w:p>
    <w:p w14:paraId="62C076D5" w14:textId="77777777" w:rsidR="0030145B" w:rsidRPr="00FD50F6" w:rsidRDefault="0030145B" w:rsidP="0030145B">
      <w:pPr>
        <w:pStyle w:val="30"/>
      </w:pPr>
      <w:r w:rsidRPr="00FD50F6">
        <w:t>轮椅升降机的额定速度宜为</w:t>
      </w:r>
      <w:r w:rsidRPr="00FD50F6">
        <w:t>0.15m/s</w:t>
      </w:r>
      <w:r w:rsidRPr="00FD50F6">
        <w:t>。</w:t>
      </w:r>
    </w:p>
    <w:p w14:paraId="0C9BC769" w14:textId="77777777" w:rsidR="0030145B" w:rsidRPr="00FD50F6" w:rsidRDefault="0030145B" w:rsidP="0030145B">
      <w:pPr>
        <w:pStyle w:val="30"/>
      </w:pPr>
      <w:r w:rsidRPr="00FD50F6">
        <w:t>轮椅升降机的额定载重不应小于</w:t>
      </w:r>
      <w:r w:rsidRPr="00FD50F6">
        <w:t>250kg</w:t>
      </w:r>
      <w:r w:rsidRPr="00FD50F6">
        <w:t>。</w:t>
      </w:r>
    </w:p>
    <w:p w14:paraId="4F3DCE8D" w14:textId="77777777" w:rsidR="0030145B" w:rsidRPr="00FD50F6" w:rsidRDefault="0030145B" w:rsidP="0030145B">
      <w:pPr>
        <w:pStyle w:val="30"/>
      </w:pPr>
      <w:r w:rsidRPr="00FD50F6">
        <w:t>轮椅升降机运行时所占用宽度不宜大于</w:t>
      </w:r>
      <w:r w:rsidRPr="00FD50F6">
        <w:t>1.2m</w:t>
      </w:r>
      <w:r w:rsidRPr="00FD50F6">
        <w:t>，上</w:t>
      </w:r>
      <w:r w:rsidRPr="00FD50F6">
        <w:rPr>
          <w:rFonts w:hint="eastAsia"/>
        </w:rPr>
        <w:t>、</w:t>
      </w:r>
      <w:r w:rsidRPr="00FD50F6">
        <w:t>下停靠位置可根据具体土建情况采用直线、</w:t>
      </w:r>
      <w:r w:rsidRPr="00FD50F6">
        <w:t>90°</w:t>
      </w:r>
      <w:r w:rsidRPr="00FD50F6">
        <w:t>或</w:t>
      </w:r>
      <w:r w:rsidRPr="00FD50F6">
        <w:t>180°</w:t>
      </w:r>
      <w:r w:rsidRPr="00FD50F6">
        <w:t>等停靠方式。</w:t>
      </w:r>
    </w:p>
    <w:p w14:paraId="1129D509" w14:textId="6DE6194A" w:rsidR="0030145B" w:rsidRPr="00FD50F6" w:rsidRDefault="0030145B" w:rsidP="0030145B">
      <w:pPr>
        <w:pStyle w:val="30"/>
        <w:rPr>
          <w:rFonts w:eastAsia="黑体"/>
        </w:rPr>
      </w:pPr>
      <w:r w:rsidRPr="00FD50F6">
        <w:rPr>
          <w:rFonts w:hint="eastAsia"/>
        </w:rPr>
        <w:t>轮椅升降机采用的电线、电缆应符合本标准第</w:t>
      </w:r>
      <w:r w:rsidR="00232AC3" w:rsidRPr="00FD50F6">
        <w:t>16</w:t>
      </w:r>
      <w:r w:rsidRPr="00FD50F6">
        <w:t>.4.1</w:t>
      </w:r>
      <w:r w:rsidRPr="00FD50F6">
        <w:t>条的规定</w:t>
      </w:r>
      <w:r w:rsidRPr="00FD50F6">
        <w:rPr>
          <w:rFonts w:eastAsia="黑体"/>
        </w:rPr>
        <w:t>。</w:t>
      </w:r>
    </w:p>
    <w:p w14:paraId="197C2351" w14:textId="5673F100" w:rsidR="00D70A4C" w:rsidRPr="00FD50F6" w:rsidRDefault="00D70A4C">
      <w:pPr>
        <w:widowControl/>
        <w:spacing w:line="240" w:lineRule="auto"/>
        <w:jc w:val="left"/>
      </w:pPr>
      <w:r w:rsidRPr="00FD50F6">
        <w:br w:type="page"/>
      </w:r>
    </w:p>
    <w:p w14:paraId="7AAADF2C" w14:textId="77777777" w:rsidR="003A2B2B" w:rsidRPr="00FD50F6" w:rsidRDefault="003A2B2B" w:rsidP="003A2B2B">
      <w:pPr>
        <w:pStyle w:val="12"/>
      </w:pPr>
      <w:bookmarkStart w:id="1152" w:name="_Toc112830858"/>
      <w:bookmarkStart w:id="1153" w:name="_Toc236812100"/>
      <w:bookmarkStart w:id="1154" w:name="_Toc306207278"/>
      <w:bookmarkStart w:id="1155" w:name="_Toc306207469"/>
      <w:bookmarkStart w:id="1156" w:name="_Toc320196135"/>
      <w:bookmarkStart w:id="1157" w:name="_Toc320643524"/>
      <w:bookmarkStart w:id="1158" w:name="_Toc32511916"/>
      <w:r w:rsidRPr="00FD50F6">
        <w:rPr>
          <w:rFonts w:hint="eastAsia"/>
        </w:rPr>
        <w:lastRenderedPageBreak/>
        <w:t>站台屏蔽门</w:t>
      </w:r>
      <w:bookmarkEnd w:id="1152"/>
    </w:p>
    <w:p w14:paraId="0840A12F" w14:textId="77777777" w:rsidR="003A2B2B" w:rsidRPr="00FD50F6" w:rsidRDefault="003A2B2B" w:rsidP="00010C49">
      <w:pPr>
        <w:pStyle w:val="2"/>
        <w:numPr>
          <w:ilvl w:val="1"/>
          <w:numId w:val="35"/>
        </w:numPr>
      </w:pPr>
      <w:bookmarkStart w:id="1159" w:name="_Toc112830859"/>
      <w:r w:rsidRPr="00FD50F6">
        <w:rPr>
          <w:rFonts w:hint="eastAsia"/>
        </w:rPr>
        <w:t>一般规定</w:t>
      </w:r>
      <w:bookmarkEnd w:id="1159"/>
    </w:p>
    <w:p w14:paraId="327447D7" w14:textId="77777777" w:rsidR="003A2B2B" w:rsidRPr="00FD50F6" w:rsidRDefault="003A2B2B" w:rsidP="003A2B2B">
      <w:pPr>
        <w:pStyle w:val="30"/>
      </w:pPr>
      <w:r w:rsidRPr="00FD50F6">
        <w:rPr>
          <w:rFonts w:hint="eastAsia"/>
        </w:rPr>
        <w:t>新建线路的车站宜设站台屏蔽门，并应具备安装站台屏蔽门系统的接口条件。</w:t>
      </w:r>
    </w:p>
    <w:p w14:paraId="31F4CCB0" w14:textId="77777777" w:rsidR="003A2B2B" w:rsidRPr="00FD50F6" w:rsidRDefault="003A2B2B" w:rsidP="003A2B2B">
      <w:pPr>
        <w:pStyle w:val="30"/>
      </w:pPr>
      <w:r w:rsidRPr="00FD50F6">
        <w:rPr>
          <w:rFonts w:hint="eastAsia"/>
        </w:rPr>
        <w:t>站台屏蔽门系统应由门体、门机、电源及控制四部分组成。</w:t>
      </w:r>
    </w:p>
    <w:p w14:paraId="175D3DA7" w14:textId="77777777" w:rsidR="003A2B2B" w:rsidRPr="00FD50F6" w:rsidRDefault="003A2B2B" w:rsidP="003A2B2B">
      <w:pPr>
        <w:pStyle w:val="30"/>
      </w:pPr>
      <w:r w:rsidRPr="00FD50F6">
        <w:rPr>
          <w:rFonts w:hint="eastAsia"/>
        </w:rPr>
        <w:t>站台屏蔽门的类型应根据气候环境条件、车站建筑形式、服务水平、通风与空调制式等因素综合选定。</w:t>
      </w:r>
    </w:p>
    <w:p w14:paraId="6F12EE9B" w14:textId="77777777" w:rsidR="003A2B2B" w:rsidRPr="00FD50F6" w:rsidRDefault="003A2B2B" w:rsidP="003A2B2B">
      <w:pPr>
        <w:pStyle w:val="30"/>
      </w:pPr>
      <w:r w:rsidRPr="00FD50F6">
        <w:rPr>
          <w:rFonts w:hint="eastAsia"/>
        </w:rPr>
        <w:t>站台屏蔽门系统的设计应遵循安全、可靠、可维护、可扩展的原则。</w:t>
      </w:r>
    </w:p>
    <w:p w14:paraId="4458A054" w14:textId="5C4D674D" w:rsidR="003A2B2B" w:rsidRPr="00FD50F6" w:rsidRDefault="003A2B2B" w:rsidP="003A2B2B">
      <w:pPr>
        <w:pStyle w:val="30"/>
      </w:pPr>
      <w:r w:rsidRPr="00FD50F6">
        <w:rPr>
          <w:rFonts w:hint="eastAsia"/>
        </w:rPr>
        <w:t>站台屏蔽门在设计荷载作用下应符合本标准</w:t>
      </w:r>
      <w:r w:rsidR="00232AC3" w:rsidRPr="00FD50F6">
        <w:rPr>
          <w:rFonts w:hint="eastAsia"/>
        </w:rPr>
        <w:t>第</w:t>
      </w:r>
      <w:r w:rsidR="00232AC3" w:rsidRPr="00FD50F6">
        <w:t>6</w:t>
      </w:r>
      <w:r w:rsidRPr="00FD50F6">
        <w:rPr>
          <w:rFonts w:hint="eastAsia"/>
        </w:rPr>
        <w:t>章的规定。</w:t>
      </w:r>
    </w:p>
    <w:p w14:paraId="170B7F46" w14:textId="77777777" w:rsidR="003A2B2B" w:rsidRPr="00FD50F6" w:rsidRDefault="003A2B2B" w:rsidP="003A2B2B">
      <w:pPr>
        <w:pStyle w:val="30"/>
      </w:pPr>
      <w:r w:rsidRPr="00FD50F6">
        <w:rPr>
          <w:rFonts w:hint="eastAsia"/>
        </w:rPr>
        <w:t>站台屏蔽门系统主要装置应便于在站台侧进行应急操作和维护、维修。</w:t>
      </w:r>
    </w:p>
    <w:p w14:paraId="2F1E6238" w14:textId="77777777" w:rsidR="003A2B2B" w:rsidRPr="00FD50F6" w:rsidRDefault="003A2B2B" w:rsidP="003A2B2B">
      <w:pPr>
        <w:pStyle w:val="30"/>
      </w:pPr>
      <w:r w:rsidRPr="00FD50F6">
        <w:rPr>
          <w:rFonts w:hint="eastAsia"/>
        </w:rPr>
        <w:t>站台屏蔽门不得作为防火隔离装置。</w:t>
      </w:r>
    </w:p>
    <w:p w14:paraId="3BAAC441" w14:textId="77777777" w:rsidR="003A2B2B" w:rsidRPr="00FD50F6" w:rsidRDefault="003A2B2B" w:rsidP="003A2B2B">
      <w:pPr>
        <w:pStyle w:val="30"/>
      </w:pPr>
      <w:r w:rsidRPr="00FD50F6">
        <w:rPr>
          <w:rFonts w:hint="eastAsia"/>
        </w:rPr>
        <w:t>站台屏蔽门系統的绝缘材料、密封材料和电线电缆等应采用无卤、低烟的阻燃材料。</w:t>
      </w:r>
      <w:r w:rsidRPr="00FD50F6" w:rsidDel="006631B0">
        <w:rPr>
          <w:rFonts w:hint="eastAsia"/>
        </w:rPr>
        <w:t xml:space="preserve"> </w:t>
      </w:r>
    </w:p>
    <w:p w14:paraId="2137B726" w14:textId="77777777" w:rsidR="003A2B2B" w:rsidRPr="00FD50F6" w:rsidRDefault="003A2B2B" w:rsidP="003A2B2B">
      <w:pPr>
        <w:pStyle w:val="30"/>
      </w:pPr>
      <w:r w:rsidRPr="00FD50F6">
        <w:rPr>
          <w:rFonts w:hint="eastAsia"/>
        </w:rPr>
        <w:t>站台屏蔽门系统的配置及控制模式宜与车站其他系统相结合，其安装和运行应满足各种运营模式的要求。</w:t>
      </w:r>
      <w:r w:rsidRPr="00FD50F6" w:rsidDel="002B07F4">
        <w:rPr>
          <w:rFonts w:hint="eastAsia"/>
        </w:rPr>
        <w:t xml:space="preserve"> </w:t>
      </w:r>
    </w:p>
    <w:p w14:paraId="7179F5DB" w14:textId="77777777" w:rsidR="003A2B2B" w:rsidRPr="00FD50F6" w:rsidRDefault="003A2B2B" w:rsidP="003A2B2B">
      <w:pPr>
        <w:pStyle w:val="30"/>
      </w:pPr>
      <w:r w:rsidRPr="00FD50F6">
        <w:rPr>
          <w:rFonts w:hint="eastAsia"/>
        </w:rPr>
        <w:t>站台屏蔽门设置区域不宜有结构诱导缝和变形缝；当站台屏蔽门跨越</w:t>
      </w:r>
      <w:r w:rsidRPr="00FD50F6">
        <w:t>结构诱导缝和</w:t>
      </w:r>
      <w:r w:rsidRPr="00FD50F6">
        <w:rPr>
          <w:rFonts w:hint="eastAsia"/>
        </w:rPr>
        <w:t>变形缝时，其门体结构应采取相应的构造措施。</w:t>
      </w:r>
    </w:p>
    <w:p w14:paraId="6ED9D694" w14:textId="77777777" w:rsidR="003A2B2B" w:rsidRPr="00FD50F6" w:rsidRDefault="003A2B2B" w:rsidP="003A2B2B">
      <w:pPr>
        <w:pStyle w:val="30"/>
      </w:pPr>
      <w:r w:rsidRPr="00FD50F6">
        <w:rPr>
          <w:rFonts w:hint="eastAsia"/>
        </w:rPr>
        <w:t>站台屏蔽门宜安装在直线站台上；当位于曲线站台时，门体结构应采取相应的构造措施。</w:t>
      </w:r>
    </w:p>
    <w:p w14:paraId="3609EE11" w14:textId="77777777" w:rsidR="003A2B2B" w:rsidRPr="00FD50F6" w:rsidRDefault="003A2B2B" w:rsidP="003A2B2B">
      <w:pPr>
        <w:pStyle w:val="30"/>
      </w:pPr>
      <w:r w:rsidRPr="00FD50F6">
        <w:rPr>
          <w:rFonts w:hint="eastAsia"/>
        </w:rPr>
        <w:t>站台屏蔽门电气控制设备的防护等级应与环境条件相适应。</w:t>
      </w:r>
    </w:p>
    <w:p w14:paraId="35FED738" w14:textId="77777777" w:rsidR="003A2B2B" w:rsidRPr="00FD50F6" w:rsidRDefault="003A2B2B" w:rsidP="003A2B2B">
      <w:pPr>
        <w:pStyle w:val="30"/>
      </w:pPr>
      <w:r w:rsidRPr="00FD50F6">
        <w:rPr>
          <w:rFonts w:hint="eastAsia"/>
        </w:rPr>
        <w:t>站台屏蔽门的整体钢结构使用寿命不应少于</w:t>
      </w:r>
      <w:r w:rsidRPr="00FD50F6">
        <w:rPr>
          <w:rFonts w:hint="eastAsia"/>
        </w:rPr>
        <w:t>30</w:t>
      </w:r>
      <w:r w:rsidRPr="00FD50F6">
        <w:rPr>
          <w:rFonts w:hint="eastAsia"/>
        </w:rPr>
        <w:t>年。</w:t>
      </w:r>
    </w:p>
    <w:p w14:paraId="0C935F68" w14:textId="77777777" w:rsidR="003A2B2B" w:rsidRPr="00FD50F6" w:rsidRDefault="003A2B2B" w:rsidP="003A2B2B">
      <w:pPr>
        <w:pStyle w:val="30"/>
      </w:pPr>
      <w:r w:rsidRPr="00FD50F6">
        <w:rPr>
          <w:rFonts w:hint="eastAsia"/>
        </w:rPr>
        <w:t>站台屏蔽门系统应满足电磁兼容性要求。</w:t>
      </w:r>
    </w:p>
    <w:p w14:paraId="0CBFC704" w14:textId="2080DF13" w:rsidR="003A2B2B" w:rsidRPr="00FD50F6" w:rsidRDefault="003A2B2B" w:rsidP="003A2B2B">
      <w:pPr>
        <w:pStyle w:val="30"/>
      </w:pPr>
      <w:r w:rsidRPr="00FD50F6">
        <w:rPr>
          <w:rFonts w:hint="eastAsia"/>
        </w:rPr>
        <w:t>在正常运营条件下，站台屏蔽门系统的任何故障不应造成滑动门自动打开。</w:t>
      </w:r>
    </w:p>
    <w:p w14:paraId="34429AB4" w14:textId="23C0FB32" w:rsidR="003A2B2B" w:rsidRDefault="003A2B2B" w:rsidP="003A2B2B">
      <w:pPr>
        <w:pStyle w:val="30"/>
      </w:pPr>
      <w:r w:rsidRPr="00FD50F6">
        <w:rPr>
          <w:rFonts w:hint="eastAsia"/>
        </w:rPr>
        <w:t>全自动运行线路的站台屏蔽门应具备滑动门与列车车门</w:t>
      </w:r>
      <w:r w:rsidR="00FF1C04" w:rsidRPr="00FD50F6">
        <w:rPr>
          <w:rFonts w:asciiTheme="minorEastAsia" w:hAnsiTheme="minorEastAsia" w:hint="eastAsia"/>
          <w:szCs w:val="24"/>
        </w:rPr>
        <w:t>故障时</w:t>
      </w:r>
      <w:r w:rsidRPr="00FD50F6">
        <w:rPr>
          <w:rFonts w:hint="eastAsia"/>
        </w:rPr>
        <w:t>的对位隔离功能。</w:t>
      </w:r>
    </w:p>
    <w:p w14:paraId="57C5D3D5" w14:textId="77777777" w:rsidR="00BD4557" w:rsidRPr="00BD4557" w:rsidRDefault="00BD4557" w:rsidP="00BD4557"/>
    <w:p w14:paraId="7A35B258" w14:textId="77777777" w:rsidR="003A2B2B" w:rsidRPr="00FD50F6" w:rsidRDefault="003A2B2B" w:rsidP="00A65181">
      <w:pPr>
        <w:pStyle w:val="2"/>
      </w:pPr>
      <w:bookmarkStart w:id="1160" w:name="_Toc112830860"/>
      <w:r w:rsidRPr="00FD50F6">
        <w:rPr>
          <w:rFonts w:hint="eastAsia"/>
        </w:rPr>
        <w:lastRenderedPageBreak/>
        <w:t>主要技术指标</w:t>
      </w:r>
      <w:bookmarkEnd w:id="1160"/>
    </w:p>
    <w:p w14:paraId="7907DAB1" w14:textId="1B63C1AA" w:rsidR="003A2B2B" w:rsidRPr="00FD50F6" w:rsidRDefault="003A2B2B" w:rsidP="003A2B2B">
      <w:pPr>
        <w:pStyle w:val="30"/>
      </w:pPr>
      <w:r w:rsidRPr="00FD50F6">
        <w:rPr>
          <w:rFonts w:hint="eastAsia"/>
        </w:rPr>
        <w:t>滑动门开、关过程时间应与列车门的开、关过程时间相匹配，</w:t>
      </w:r>
      <w:r w:rsidRPr="00AD51B8">
        <w:rPr>
          <w:rFonts w:ascii="宋体" w:hAnsi="宋体" w:hint="eastAsia"/>
          <w:szCs w:val="24"/>
        </w:rPr>
        <w:t>开门时间宜在</w:t>
      </w:r>
      <w:bookmarkStart w:id="1161" w:name="_Hlk55230719"/>
      <w:r w:rsidRPr="00AD51B8">
        <w:rPr>
          <w:rFonts w:ascii="宋体" w:hAnsi="宋体"/>
          <w:szCs w:val="24"/>
        </w:rPr>
        <w:t>2.5s～3.5s</w:t>
      </w:r>
      <w:bookmarkEnd w:id="1161"/>
      <w:r w:rsidRPr="00AD51B8">
        <w:rPr>
          <w:rFonts w:ascii="宋体" w:hAnsi="宋体"/>
          <w:szCs w:val="24"/>
        </w:rPr>
        <w:t>范围</w:t>
      </w:r>
      <w:r w:rsidRPr="00AD51B8">
        <w:rPr>
          <w:rFonts w:ascii="宋体" w:hAnsi="宋体" w:hint="eastAsia"/>
          <w:szCs w:val="24"/>
        </w:rPr>
        <w:t>内调节，关门时间宜在</w:t>
      </w:r>
      <w:bookmarkStart w:id="1162" w:name="_Hlk55230777"/>
      <w:r w:rsidRPr="00AD51B8">
        <w:rPr>
          <w:rFonts w:ascii="宋体" w:hAnsi="宋体"/>
          <w:szCs w:val="24"/>
        </w:rPr>
        <w:t>3.0s～4.0s</w:t>
      </w:r>
      <w:bookmarkEnd w:id="1162"/>
      <w:r w:rsidRPr="00AD51B8">
        <w:rPr>
          <w:rFonts w:ascii="宋体" w:hAnsi="宋体"/>
          <w:szCs w:val="24"/>
        </w:rPr>
        <w:t>范围</w:t>
      </w:r>
      <w:r w:rsidRPr="00AD51B8">
        <w:rPr>
          <w:rFonts w:ascii="宋体" w:hAnsi="宋体" w:hint="eastAsia"/>
          <w:szCs w:val="24"/>
        </w:rPr>
        <w:t>内调节，</w:t>
      </w:r>
      <w:r w:rsidRPr="00FD50F6">
        <w:rPr>
          <w:rFonts w:hint="eastAsia"/>
        </w:rPr>
        <w:t>重复精度不应大于</w:t>
      </w:r>
      <w:r w:rsidRPr="00FD50F6">
        <w:rPr>
          <w:rFonts w:hint="eastAsia"/>
        </w:rPr>
        <w:t>0.1s</w:t>
      </w:r>
      <w:r w:rsidRPr="00FD50F6">
        <w:rPr>
          <w:rFonts w:hint="eastAsia"/>
        </w:rPr>
        <w:t>。</w:t>
      </w:r>
    </w:p>
    <w:p w14:paraId="3D5DBAE7" w14:textId="77777777" w:rsidR="003A2B2B" w:rsidRPr="00FD50F6" w:rsidRDefault="003A2B2B" w:rsidP="003A2B2B">
      <w:pPr>
        <w:pStyle w:val="30"/>
      </w:pPr>
      <w:r w:rsidRPr="00FD50F6">
        <w:rPr>
          <w:rFonts w:hint="eastAsia"/>
        </w:rPr>
        <w:t>站台屏蔽门噪声峰值不应超过</w:t>
      </w:r>
      <w:r w:rsidRPr="00FD50F6">
        <w:rPr>
          <w:rFonts w:hint="eastAsia"/>
        </w:rPr>
        <w:t>70dB</w:t>
      </w:r>
      <w:r w:rsidRPr="00FD50F6">
        <w:t>(</w:t>
      </w:r>
      <w:r w:rsidRPr="00FD50F6">
        <w:rPr>
          <w:rFonts w:hint="eastAsia"/>
        </w:rPr>
        <w:t>A</w:t>
      </w:r>
      <w:r w:rsidRPr="00FD50F6">
        <w:t>)</w:t>
      </w:r>
      <w:r w:rsidRPr="00FD50F6">
        <w:rPr>
          <w:rFonts w:hint="eastAsia"/>
        </w:rPr>
        <w:t>。</w:t>
      </w:r>
    </w:p>
    <w:p w14:paraId="4FD7FA79" w14:textId="77777777" w:rsidR="003A2B2B" w:rsidRPr="00FD50F6" w:rsidRDefault="003A2B2B" w:rsidP="003A2B2B">
      <w:pPr>
        <w:pStyle w:val="30"/>
      </w:pPr>
      <w:r w:rsidRPr="00FD50F6">
        <w:rPr>
          <w:rFonts w:hint="eastAsia"/>
        </w:rPr>
        <w:t>滑动门、应急门、端门的手动解锁力不应大于</w:t>
      </w:r>
      <w:r w:rsidRPr="00FD50F6">
        <w:rPr>
          <w:rFonts w:hint="eastAsia"/>
        </w:rPr>
        <w:t>67N</w:t>
      </w:r>
      <w:r w:rsidRPr="00FD50F6">
        <w:rPr>
          <w:rFonts w:hint="eastAsia"/>
        </w:rPr>
        <w:t>。</w:t>
      </w:r>
    </w:p>
    <w:p w14:paraId="2BB0C388" w14:textId="77777777" w:rsidR="003A2B2B" w:rsidRPr="00FD50F6" w:rsidRDefault="003A2B2B" w:rsidP="003A2B2B">
      <w:pPr>
        <w:pStyle w:val="30"/>
      </w:pPr>
      <w:r w:rsidRPr="00FD50F6">
        <w:rPr>
          <w:rFonts w:hint="eastAsia"/>
          <w:szCs w:val="22"/>
        </w:rPr>
        <w:t>解锁后</w:t>
      </w:r>
      <w:r w:rsidRPr="00FD50F6">
        <w:rPr>
          <w:rFonts w:hint="eastAsia"/>
        </w:rPr>
        <w:t>手动开启单边滑动门的动作力不应大于</w:t>
      </w:r>
      <w:r w:rsidRPr="00FD50F6">
        <w:rPr>
          <w:rFonts w:hint="eastAsia"/>
        </w:rPr>
        <w:t>1</w:t>
      </w:r>
      <w:r w:rsidRPr="00FD50F6">
        <w:t>33</w:t>
      </w:r>
      <w:r w:rsidRPr="00FD50F6">
        <w:rPr>
          <w:rFonts w:hint="eastAsia"/>
        </w:rPr>
        <w:t>N</w:t>
      </w:r>
      <w:r w:rsidRPr="00FD50F6">
        <w:rPr>
          <w:rFonts w:hint="eastAsia"/>
        </w:rPr>
        <w:t>。</w:t>
      </w:r>
    </w:p>
    <w:p w14:paraId="374A0E80" w14:textId="5D096595" w:rsidR="003A2B2B" w:rsidRPr="00FD50F6" w:rsidRDefault="003A2B2B" w:rsidP="003A2B2B">
      <w:pPr>
        <w:pStyle w:val="30"/>
      </w:pPr>
      <w:r w:rsidRPr="00FD50F6">
        <w:rPr>
          <w:rFonts w:hint="eastAsia"/>
        </w:rPr>
        <w:t>系统的平均无故障运行周期不应小于</w:t>
      </w:r>
      <w:r w:rsidRPr="00FD50F6">
        <w:rPr>
          <w:rFonts w:hint="eastAsia"/>
        </w:rPr>
        <w:t>60</w:t>
      </w:r>
      <w:r w:rsidRPr="00FD50F6">
        <w:rPr>
          <w:rFonts w:hint="eastAsia"/>
        </w:rPr>
        <w:t>万个周期，可按下式计算：</w:t>
      </w:r>
    </w:p>
    <w:p w14:paraId="2F1B1307" w14:textId="77A5B2E0" w:rsidR="003A2B2B" w:rsidRPr="00FD50F6" w:rsidRDefault="0025666B" w:rsidP="003A2B2B">
      <w:pPr>
        <w:widowControl/>
        <w:spacing w:line="240" w:lineRule="auto"/>
        <w:ind w:firstLineChars="600" w:firstLine="1440"/>
        <w:jc w:val="center"/>
        <w:rPr>
          <w:rFonts w:ascii="Times New Roman" w:hAnsi="Times New Roman" w:cs="Times New Roman"/>
          <w:bCs/>
          <w:kern w:val="0"/>
          <w:szCs w:val="24"/>
        </w:rPr>
      </w:pPr>
      <m:oMath>
        <m:r>
          <w:rPr>
            <w:rFonts w:ascii="Cambria Math" w:hAnsi="Cambria Math" w:cs="Times New Roman"/>
            <w:kern w:val="0"/>
            <w:szCs w:val="24"/>
          </w:rPr>
          <m:t>C</m:t>
        </m:r>
        <m:r>
          <m:rPr>
            <m:sty m:val="p"/>
          </m:rPr>
          <w:rPr>
            <w:rFonts w:ascii="Cambria Math" w:hAnsi="Cambria Math" w:cs="Times New Roman"/>
            <w:kern w:val="0"/>
            <w:szCs w:val="24"/>
          </w:rPr>
          <m:t>=(</m:t>
        </m:r>
        <m:r>
          <w:rPr>
            <w:rFonts w:ascii="Cambria Math" w:hAnsi="Cambria Math" w:cs="Times New Roman"/>
            <w:kern w:val="0"/>
            <w:szCs w:val="24"/>
          </w:rPr>
          <m:t>A</m:t>
        </m:r>
        <m:r>
          <m:rPr>
            <m:sty m:val="p"/>
          </m:rPr>
          <w:rPr>
            <w:rFonts w:ascii="Cambria Math" w:hAnsi="Cambria Math" w:cs="Times New Roman"/>
            <w:kern w:val="0"/>
            <w:szCs w:val="24"/>
          </w:rPr>
          <m:t>)/(</m:t>
        </m:r>
        <m:r>
          <w:rPr>
            <w:rFonts w:ascii="Cambria Math" w:hAnsi="Cambria Math" w:cs="Times New Roman"/>
            <w:kern w:val="0"/>
            <w:szCs w:val="24"/>
          </w:rPr>
          <m:t>B</m:t>
        </m:r>
        <m:r>
          <m:rPr>
            <m:sty m:val="p"/>
          </m:rPr>
          <w:rPr>
            <w:rFonts w:ascii="Cambria Math" w:hAnsi="Cambria Math" w:cs="Times New Roman"/>
            <w:kern w:val="0"/>
            <w:szCs w:val="24"/>
          </w:rPr>
          <m:t>)</m:t>
        </m:r>
      </m:oMath>
      <w:r w:rsidR="003A2B2B" w:rsidRPr="001A4CF3">
        <w:rPr>
          <w:rFonts w:ascii="宋体" w:hAnsi="宋体" w:cs="Times New Roman"/>
          <w:bCs/>
          <w:kern w:val="0"/>
          <w:szCs w:val="24"/>
        </w:rPr>
        <w:t xml:space="preserve">   </w:t>
      </w:r>
      <w:r w:rsidR="003A2B2B" w:rsidRPr="00FD50F6">
        <w:rPr>
          <w:rFonts w:ascii="宋体" w:hAnsi="宋体" w:cs="Times New Roman"/>
          <w:b/>
          <w:bCs/>
          <w:kern w:val="0"/>
          <w:szCs w:val="24"/>
        </w:rPr>
        <w:t xml:space="preserve">  </w:t>
      </w:r>
      <w:r w:rsidR="003A2B2B" w:rsidRPr="00FD50F6">
        <w:rPr>
          <w:rFonts w:ascii="Times New Roman" w:hAnsi="Times New Roman" w:cs="Times New Roman"/>
          <w:bCs/>
          <w:kern w:val="0"/>
          <w:szCs w:val="24"/>
        </w:rPr>
        <w:t>（</w:t>
      </w:r>
      <w:r w:rsidR="00232AC3" w:rsidRPr="00FD50F6">
        <w:rPr>
          <w:rFonts w:ascii="Times New Roman" w:hAnsi="Times New Roman" w:cs="Times New Roman"/>
          <w:bCs/>
          <w:kern w:val="0"/>
          <w:szCs w:val="24"/>
        </w:rPr>
        <w:t>28</w:t>
      </w:r>
      <w:r w:rsidR="003A2B2B" w:rsidRPr="00FD50F6">
        <w:rPr>
          <w:rFonts w:ascii="Times New Roman" w:hAnsi="Times New Roman" w:cs="Times New Roman"/>
          <w:bCs/>
          <w:kern w:val="0"/>
          <w:szCs w:val="24"/>
        </w:rPr>
        <w:t>.2.5</w:t>
      </w:r>
      <w:r w:rsidR="003A2B2B" w:rsidRPr="00FD50F6">
        <w:rPr>
          <w:rFonts w:ascii="Times New Roman" w:hAnsi="Times New Roman" w:cs="Times New Roman"/>
          <w:bCs/>
          <w:kern w:val="0"/>
          <w:szCs w:val="24"/>
        </w:rPr>
        <w:t>）</w:t>
      </w:r>
    </w:p>
    <w:p w14:paraId="3CB5B4CE" w14:textId="77777777" w:rsidR="003A2B2B" w:rsidRPr="00FD50F6" w:rsidRDefault="003A2B2B" w:rsidP="001A4CF3">
      <w:pPr>
        <w:widowControl/>
        <w:spacing w:line="240" w:lineRule="auto"/>
        <w:ind w:firstLineChars="600" w:firstLine="1440"/>
        <w:jc w:val="left"/>
        <w:rPr>
          <w:rFonts w:ascii="Times New Roman" w:hAnsi="Times New Roman" w:cs="Times New Roman"/>
          <w:bCs/>
          <w:kern w:val="0"/>
          <w:szCs w:val="24"/>
        </w:rPr>
      </w:pPr>
    </w:p>
    <w:p w14:paraId="21E624B2" w14:textId="77777777" w:rsidR="003A2B2B" w:rsidRPr="00AD51B8" w:rsidRDefault="003A2B2B" w:rsidP="003A2B2B">
      <w:pPr>
        <w:rPr>
          <w:rFonts w:ascii="宋体" w:hAnsi="宋体"/>
          <w:kern w:val="0"/>
        </w:rPr>
      </w:pPr>
      <w:r w:rsidRPr="00AD51B8">
        <w:rPr>
          <w:rFonts w:ascii="宋体" w:hAnsi="宋体" w:hint="eastAsia"/>
          <w:kern w:val="0"/>
        </w:rPr>
        <w:t>式中：</w:t>
      </w:r>
      <w:r w:rsidRPr="00AD51B8">
        <w:rPr>
          <w:rFonts w:ascii="宋体" w:hAnsi="宋体"/>
          <w:i/>
          <w:iCs/>
          <w:kern w:val="0"/>
        </w:rPr>
        <w:t>C</w:t>
      </w:r>
      <w:r w:rsidRPr="00AD51B8">
        <w:rPr>
          <w:rFonts w:ascii="宋体" w:hAnsi="宋体" w:hint="eastAsia"/>
          <w:kern w:val="0"/>
        </w:rPr>
        <w:t>——平均无故障周期；</w:t>
      </w:r>
    </w:p>
    <w:p w14:paraId="151A7CAF" w14:textId="77777777" w:rsidR="003A2B2B" w:rsidRPr="00AD51B8" w:rsidRDefault="003A2B2B" w:rsidP="003A2B2B">
      <w:pPr>
        <w:ind w:firstLineChars="300" w:firstLine="720"/>
        <w:rPr>
          <w:rFonts w:ascii="宋体" w:hAnsi="宋体"/>
          <w:kern w:val="0"/>
        </w:rPr>
      </w:pPr>
      <w:r w:rsidRPr="00AD51B8">
        <w:rPr>
          <w:rFonts w:ascii="宋体" w:hAnsi="宋体"/>
          <w:i/>
          <w:iCs/>
          <w:kern w:val="0"/>
        </w:rPr>
        <w:t>A</w:t>
      </w:r>
      <w:r w:rsidRPr="00AD51B8">
        <w:rPr>
          <w:rFonts w:ascii="宋体" w:hAnsi="宋体" w:hint="eastAsia"/>
          <w:kern w:val="0"/>
        </w:rPr>
        <w:t>——全部滑动门运行周期（次</w:t>
      </w:r>
      <w:r w:rsidRPr="00AD51B8">
        <w:rPr>
          <w:rFonts w:ascii="宋体" w:hAnsi="宋体"/>
          <w:kern w:val="0"/>
        </w:rPr>
        <w:t>/年)；</w:t>
      </w:r>
    </w:p>
    <w:p w14:paraId="342E0C02" w14:textId="77777777" w:rsidR="003A2B2B" w:rsidRPr="00E92D6C" w:rsidRDefault="003A2B2B" w:rsidP="001A4CF3">
      <w:pPr>
        <w:widowControl/>
        <w:spacing w:line="240" w:lineRule="auto"/>
        <w:ind w:firstLineChars="300" w:firstLine="720"/>
        <w:jc w:val="left"/>
        <w:rPr>
          <w:rFonts w:ascii="宋体" w:hAnsi="宋体" w:cs="Times New Roman"/>
          <w:b/>
          <w:bCs/>
          <w:kern w:val="0"/>
          <w:szCs w:val="24"/>
        </w:rPr>
      </w:pPr>
      <w:r w:rsidRPr="00AD51B8">
        <w:rPr>
          <w:rFonts w:ascii="宋体" w:hAnsi="宋体"/>
          <w:i/>
          <w:iCs/>
          <w:kern w:val="0"/>
        </w:rPr>
        <w:t>B</w:t>
      </w:r>
      <w:r w:rsidRPr="00AD51B8">
        <w:rPr>
          <w:rFonts w:ascii="宋体" w:hAnsi="宋体" w:hint="eastAsia"/>
          <w:kern w:val="0"/>
        </w:rPr>
        <w:t>——单樘滑动门退出运营的故障次数</w:t>
      </w:r>
      <w:r w:rsidRPr="00AD51B8" w:rsidDel="00D33586">
        <w:rPr>
          <w:rFonts w:ascii="宋体" w:hAnsi="宋体"/>
          <w:kern w:val="0"/>
        </w:rPr>
        <w:t xml:space="preserve"> </w:t>
      </w:r>
      <w:r w:rsidRPr="00AD51B8">
        <w:rPr>
          <w:rFonts w:ascii="宋体" w:hAnsi="宋体"/>
          <w:kern w:val="0"/>
        </w:rPr>
        <w:t>(次/年)。</w:t>
      </w:r>
    </w:p>
    <w:p w14:paraId="658F78AC" w14:textId="7EB4AEE4" w:rsidR="003A2B2B" w:rsidRPr="00FD50F6" w:rsidRDefault="003A2B2B" w:rsidP="003A2B2B">
      <w:pPr>
        <w:pStyle w:val="30"/>
      </w:pPr>
      <w:r w:rsidRPr="00FD50F6">
        <w:rPr>
          <w:rFonts w:hint="eastAsia"/>
        </w:rPr>
        <w:t>运行强度应符合每天运行</w:t>
      </w:r>
      <w:r w:rsidRPr="00FD50F6">
        <w:rPr>
          <w:rFonts w:hint="eastAsia"/>
        </w:rPr>
        <w:t>20h</w:t>
      </w:r>
      <w:r w:rsidRPr="00FD50F6">
        <w:rPr>
          <w:rFonts w:hint="eastAsia"/>
        </w:rPr>
        <w:t>、每</w:t>
      </w:r>
      <w:r w:rsidRPr="00FD50F6">
        <w:rPr>
          <w:rFonts w:hint="eastAsia"/>
        </w:rPr>
        <w:t>90s</w:t>
      </w:r>
      <w:r w:rsidRPr="00FD50F6" w:rsidDel="007C3AFB">
        <w:rPr>
          <w:rFonts w:hint="eastAsia"/>
        </w:rPr>
        <w:t xml:space="preserve"> </w:t>
      </w:r>
      <w:r w:rsidRPr="00FD50F6">
        <w:rPr>
          <w:rFonts w:hint="eastAsia"/>
        </w:rPr>
        <w:t>开关</w:t>
      </w:r>
      <w:r w:rsidRPr="00FD50F6">
        <w:rPr>
          <w:rFonts w:hint="eastAsia"/>
        </w:rPr>
        <w:t>1</w:t>
      </w:r>
      <w:r w:rsidRPr="00FD50F6">
        <w:rPr>
          <w:rFonts w:hint="eastAsia"/>
        </w:rPr>
        <w:t>次，且全年连续运行的要求。</w:t>
      </w:r>
    </w:p>
    <w:p w14:paraId="4C15576B" w14:textId="77777777" w:rsidR="003A2B2B" w:rsidRPr="00FD50F6" w:rsidRDefault="003A2B2B" w:rsidP="003A2B2B">
      <w:pPr>
        <w:pStyle w:val="30"/>
      </w:pPr>
      <w:r w:rsidRPr="00FD50F6">
        <w:rPr>
          <w:rFonts w:hint="eastAsia"/>
        </w:rPr>
        <w:t>站台屏蔽门门体结构在地铁环境的最不利载荷效应组合情况下，门体弹性变形应满足工程要求，且结构不应出现永久变形或影响操作。各种荷载的取值应符合下列规定：</w:t>
      </w:r>
    </w:p>
    <w:p w14:paraId="69C78427" w14:textId="77777777" w:rsidR="003A2B2B" w:rsidRPr="00FD50F6" w:rsidRDefault="003A2B2B" w:rsidP="00A926BD">
      <w:pPr>
        <w:pStyle w:val="4"/>
      </w:pPr>
      <w:r w:rsidRPr="00FD50F6">
        <w:rPr>
          <w:rFonts w:hint="eastAsia"/>
        </w:rPr>
        <w:t>站台屏蔽门站台设备自重应按实际重量取值；</w:t>
      </w:r>
    </w:p>
    <w:p w14:paraId="2625B5AB" w14:textId="27EF67E3" w:rsidR="003A2B2B" w:rsidRPr="00FD50F6" w:rsidRDefault="003A2B2B" w:rsidP="00A926BD">
      <w:pPr>
        <w:pStyle w:val="4"/>
      </w:pPr>
      <w:r w:rsidRPr="00FD50F6">
        <w:rPr>
          <w:rFonts w:hint="eastAsia"/>
        </w:rPr>
        <w:t>地面车站或高架车站的站台屏蔽门所承受风载荷应按工程所在地风载荷标准值计算，地下车站的站台屏蔽门风荷载应根据工程设计载荷取值；</w:t>
      </w:r>
    </w:p>
    <w:p w14:paraId="0FB7315F" w14:textId="2DA0A7AD" w:rsidR="003A2B2B" w:rsidRPr="00FD50F6" w:rsidRDefault="003A2B2B" w:rsidP="00A926BD">
      <w:pPr>
        <w:pStyle w:val="4"/>
      </w:pPr>
      <w:r w:rsidRPr="00FD50F6">
        <w:rPr>
          <w:rFonts w:hint="eastAsia"/>
        </w:rPr>
        <w:t>站台屏蔽门人群挤压力应按不小于</w:t>
      </w:r>
      <w:r w:rsidRPr="00FD50F6">
        <w:rPr>
          <w:rFonts w:hint="eastAsia"/>
        </w:rPr>
        <w:t>1</w:t>
      </w:r>
      <w:r w:rsidRPr="00FD50F6">
        <w:t>k</w:t>
      </w:r>
      <w:r w:rsidRPr="00FD50F6">
        <w:rPr>
          <w:rFonts w:hint="eastAsia"/>
        </w:rPr>
        <w:t>N/m</w:t>
      </w:r>
      <w:r w:rsidRPr="00FD50F6">
        <w:rPr>
          <w:rFonts w:hint="eastAsia"/>
        </w:rPr>
        <w:t>的载荷标准取值，载荷</w:t>
      </w:r>
      <w:r w:rsidR="004906BB">
        <w:rPr>
          <w:rFonts w:hint="eastAsia"/>
        </w:rPr>
        <w:t>应</w:t>
      </w:r>
      <w:r w:rsidRPr="00FD50F6">
        <w:rPr>
          <w:rFonts w:hint="eastAsia"/>
        </w:rPr>
        <w:t>沿门体宽度方向均匀分布，且</w:t>
      </w:r>
      <w:r w:rsidR="004906BB">
        <w:rPr>
          <w:rFonts w:hint="eastAsia"/>
        </w:rPr>
        <w:t>应</w:t>
      </w:r>
      <w:r w:rsidRPr="00FD50F6">
        <w:rPr>
          <w:rFonts w:hint="eastAsia"/>
        </w:rPr>
        <w:t>垂直施加于门体结构距离门槛上方</w:t>
      </w:r>
      <w:r w:rsidRPr="00FD50F6">
        <w:rPr>
          <w:rFonts w:hint="eastAsia"/>
        </w:rPr>
        <w:t>1</w:t>
      </w:r>
      <w:r w:rsidRPr="00FD50F6">
        <w:t>.1m</w:t>
      </w:r>
      <w:r w:rsidRPr="00FD50F6">
        <w:rPr>
          <w:rFonts w:hint="eastAsia"/>
        </w:rPr>
        <w:t>~1.2m</w:t>
      </w:r>
      <w:r w:rsidRPr="00FD50F6">
        <w:rPr>
          <w:rFonts w:hint="eastAsia"/>
        </w:rPr>
        <w:t>高度处；</w:t>
      </w:r>
    </w:p>
    <w:p w14:paraId="01EDD199" w14:textId="267131EE" w:rsidR="003A2B2B" w:rsidRPr="00FD50F6" w:rsidRDefault="003A2B2B" w:rsidP="00A926BD">
      <w:pPr>
        <w:pStyle w:val="4"/>
      </w:pPr>
      <w:r w:rsidRPr="00FD50F6">
        <w:rPr>
          <w:rFonts w:hint="eastAsia"/>
        </w:rPr>
        <w:t>站台屏蔽门门体玻璃应进行抗冲击性试验，可按现行国家标准《建筑用安全玻璃》</w:t>
      </w:r>
      <w:r w:rsidRPr="00FD50F6">
        <w:rPr>
          <w:rFonts w:hint="eastAsia"/>
        </w:rPr>
        <w:t>GB 15763.4</w:t>
      </w:r>
      <w:r w:rsidRPr="00FD50F6">
        <w:rPr>
          <w:rFonts w:hint="eastAsia"/>
        </w:rPr>
        <w:t>的规定执行；</w:t>
      </w:r>
    </w:p>
    <w:p w14:paraId="1B8E8405" w14:textId="77777777" w:rsidR="003A2B2B" w:rsidRPr="00FD50F6" w:rsidRDefault="003A2B2B" w:rsidP="00A926BD">
      <w:pPr>
        <w:pStyle w:val="4"/>
      </w:pPr>
      <w:r w:rsidRPr="00FD50F6">
        <w:rPr>
          <w:rFonts w:hint="eastAsia"/>
        </w:rPr>
        <w:t>地震作用的烈度应按当地抗震设防烈度取值。</w:t>
      </w:r>
    </w:p>
    <w:p w14:paraId="456B7874" w14:textId="5F952F5B" w:rsidR="003A2B2B" w:rsidRPr="00FD50F6" w:rsidRDefault="003A2B2B" w:rsidP="003A2B2B">
      <w:pPr>
        <w:pStyle w:val="30"/>
      </w:pPr>
      <w:r w:rsidRPr="00FD50F6">
        <w:rPr>
          <w:rFonts w:hint="eastAsia"/>
        </w:rPr>
        <w:t>站台屏蔽门动力学参数应符合下列规定：</w:t>
      </w:r>
    </w:p>
    <w:p w14:paraId="46F8D34E" w14:textId="77777777" w:rsidR="003A2B2B" w:rsidRPr="00FD50F6" w:rsidRDefault="003A2B2B" w:rsidP="00A926BD">
      <w:pPr>
        <w:pStyle w:val="4"/>
      </w:pPr>
      <w:r w:rsidRPr="00FD50F6">
        <w:rPr>
          <w:rFonts w:hint="eastAsia"/>
        </w:rPr>
        <w:t>门体的加、减速度值应能达到</w:t>
      </w:r>
      <w:r w:rsidRPr="00FD50F6">
        <w:rPr>
          <w:rFonts w:hint="eastAsia"/>
        </w:rPr>
        <w:t>1m/s</w:t>
      </w:r>
      <w:r w:rsidRPr="00FD50F6">
        <w:rPr>
          <w:rFonts w:hint="eastAsia"/>
          <w:vertAlign w:val="superscript"/>
        </w:rPr>
        <w:t>2</w:t>
      </w:r>
      <w:r w:rsidRPr="00FD50F6">
        <w:rPr>
          <w:rFonts w:hint="eastAsia"/>
        </w:rPr>
        <w:t>；</w:t>
      </w:r>
    </w:p>
    <w:p w14:paraId="52CF3705" w14:textId="0A748F69" w:rsidR="003A2B2B" w:rsidRPr="00FD50F6" w:rsidRDefault="003A2B2B" w:rsidP="00A926BD">
      <w:pPr>
        <w:pStyle w:val="4"/>
      </w:pPr>
      <w:r w:rsidRPr="00FD50F6">
        <w:rPr>
          <w:rFonts w:hint="eastAsia"/>
        </w:rPr>
        <w:t>阻止滑动门关闭的力在匀速运动区间段不应大于</w:t>
      </w:r>
      <w:r w:rsidRPr="00FD50F6">
        <w:rPr>
          <w:rFonts w:hint="eastAsia"/>
        </w:rPr>
        <w:t>150N</w:t>
      </w:r>
      <w:r w:rsidRPr="00FD50F6">
        <w:rPr>
          <w:rFonts w:hint="eastAsia"/>
        </w:rPr>
        <w:t>；</w:t>
      </w:r>
    </w:p>
    <w:p w14:paraId="727E92EE" w14:textId="77777777" w:rsidR="003A2B2B" w:rsidRPr="00FD50F6" w:rsidRDefault="003A2B2B" w:rsidP="00A926BD">
      <w:pPr>
        <w:pStyle w:val="4"/>
      </w:pPr>
      <w:r w:rsidRPr="00FD50F6">
        <w:rPr>
          <w:rFonts w:hint="eastAsia"/>
        </w:rPr>
        <w:t>每扇滑动门的最大动能不应大于</w:t>
      </w:r>
      <w:r w:rsidRPr="00FD50F6">
        <w:rPr>
          <w:rFonts w:hint="eastAsia"/>
        </w:rPr>
        <w:t>10J</w:t>
      </w:r>
      <w:r w:rsidRPr="00FD50F6">
        <w:rPr>
          <w:rFonts w:hint="eastAsia"/>
        </w:rPr>
        <w:t>；</w:t>
      </w:r>
    </w:p>
    <w:p w14:paraId="7CD7A5AD" w14:textId="77777777" w:rsidR="003A2B2B" w:rsidRPr="00FD50F6" w:rsidRDefault="003A2B2B" w:rsidP="00A926BD">
      <w:pPr>
        <w:pStyle w:val="4"/>
      </w:pPr>
      <w:r w:rsidRPr="00FD50F6">
        <w:rPr>
          <w:rFonts w:hint="eastAsia"/>
        </w:rPr>
        <w:t>每扇滑动门关门的最后</w:t>
      </w:r>
      <w:r w:rsidRPr="00FD50F6">
        <w:rPr>
          <w:rFonts w:hint="eastAsia"/>
        </w:rPr>
        <w:t>100mm</w:t>
      </w:r>
      <w:r w:rsidRPr="00FD50F6">
        <w:rPr>
          <w:rFonts w:hint="eastAsia"/>
        </w:rPr>
        <w:t>行程最大动能不应大于</w:t>
      </w:r>
      <w:r w:rsidRPr="00FD50F6">
        <w:rPr>
          <w:rFonts w:hint="eastAsia"/>
        </w:rPr>
        <w:t>1J</w:t>
      </w:r>
      <w:r w:rsidRPr="00FD50F6">
        <w:rPr>
          <w:rFonts w:hint="eastAsia"/>
        </w:rPr>
        <w:t>。</w:t>
      </w:r>
    </w:p>
    <w:p w14:paraId="77FBC95E" w14:textId="01EE3B70" w:rsidR="003A2B2B" w:rsidRPr="00FD50F6" w:rsidRDefault="003A2B2B" w:rsidP="003A2B2B">
      <w:pPr>
        <w:pStyle w:val="30"/>
      </w:pPr>
      <w:r w:rsidRPr="00FD50F6">
        <w:rPr>
          <w:rFonts w:hint="eastAsia"/>
        </w:rPr>
        <w:lastRenderedPageBreak/>
        <w:t>全自动运行线路的站台屏蔽门控制系统的安全完整性等级不应低于</w:t>
      </w:r>
      <w:r w:rsidRPr="00FD50F6">
        <w:rPr>
          <w:rFonts w:hint="eastAsia"/>
        </w:rPr>
        <w:t>2</w:t>
      </w:r>
      <w:r w:rsidRPr="00FD50F6">
        <w:rPr>
          <w:rFonts w:hint="eastAsia"/>
        </w:rPr>
        <w:t>级标准。</w:t>
      </w:r>
    </w:p>
    <w:p w14:paraId="11690E2B" w14:textId="3FEEFA61" w:rsidR="003A2B2B" w:rsidRPr="00FD50F6" w:rsidRDefault="003A2B2B" w:rsidP="003A2B2B">
      <w:pPr>
        <w:pStyle w:val="30"/>
      </w:pPr>
      <w:r w:rsidRPr="00FD50F6">
        <w:rPr>
          <w:rFonts w:hint="eastAsia"/>
          <w:szCs w:val="22"/>
        </w:rPr>
        <w:t>当站台屏蔽门和车门之间设置异物</w:t>
      </w:r>
      <w:r w:rsidRPr="00FD50F6">
        <w:rPr>
          <w:rFonts w:hint="eastAsia"/>
        </w:rPr>
        <w:t>自动检测装置时，其安全完整性等级不应低于</w:t>
      </w:r>
      <w:r w:rsidRPr="00FD50F6">
        <w:rPr>
          <w:rFonts w:hint="eastAsia"/>
        </w:rPr>
        <w:t>2</w:t>
      </w:r>
      <w:r w:rsidRPr="00FD50F6">
        <w:rPr>
          <w:rFonts w:hint="eastAsia"/>
        </w:rPr>
        <w:t>级标准。</w:t>
      </w:r>
    </w:p>
    <w:p w14:paraId="06513435" w14:textId="77777777" w:rsidR="003A2B2B" w:rsidRPr="00FD50F6" w:rsidRDefault="003A2B2B" w:rsidP="00A65181">
      <w:pPr>
        <w:pStyle w:val="2"/>
      </w:pPr>
      <w:bookmarkStart w:id="1163" w:name="_Toc112830861"/>
      <w:r w:rsidRPr="00FD50F6">
        <w:rPr>
          <w:rFonts w:hint="eastAsia"/>
        </w:rPr>
        <w:t>布置与结构</w:t>
      </w:r>
      <w:bookmarkEnd w:id="1163"/>
    </w:p>
    <w:p w14:paraId="744C8BA6" w14:textId="77777777" w:rsidR="003A2B2B" w:rsidRPr="00FD50F6" w:rsidRDefault="003A2B2B" w:rsidP="003A2B2B">
      <w:pPr>
        <w:pStyle w:val="30"/>
      </w:pPr>
      <w:r w:rsidRPr="00FD50F6">
        <w:rPr>
          <w:rFonts w:hint="eastAsia"/>
        </w:rPr>
        <w:t>站台屏蔽门门体应包括固定门、滑动门、应急门，每侧站台屏蔽门的两端宜各设一樘端门。</w:t>
      </w:r>
    </w:p>
    <w:p w14:paraId="37965A90" w14:textId="77777777" w:rsidR="003A2B2B" w:rsidRPr="00FD50F6" w:rsidRDefault="003A2B2B" w:rsidP="003A2B2B">
      <w:pPr>
        <w:pStyle w:val="30"/>
      </w:pPr>
      <w:r w:rsidRPr="00FD50F6">
        <w:rPr>
          <w:rFonts w:hint="eastAsia"/>
        </w:rPr>
        <w:t>站台屏蔽门的滑动门与列车车门在位置、数量上均应对应。</w:t>
      </w:r>
    </w:p>
    <w:p w14:paraId="1E1D1883" w14:textId="77777777" w:rsidR="003A2B2B" w:rsidRPr="00FD50F6" w:rsidRDefault="003A2B2B" w:rsidP="003A2B2B">
      <w:pPr>
        <w:pStyle w:val="30"/>
      </w:pPr>
      <w:r w:rsidRPr="00FD50F6">
        <w:rPr>
          <w:rFonts w:hint="eastAsia"/>
        </w:rPr>
        <w:t>每樘滑动门净开度应计算信号系统的停车精度，且不应小于列车门的净开度。端门的最小开度不应小于</w:t>
      </w:r>
      <w:r w:rsidRPr="00FD50F6">
        <w:rPr>
          <w:rFonts w:hint="eastAsia"/>
        </w:rPr>
        <w:t>1.1m</w:t>
      </w:r>
      <w:r w:rsidRPr="00FD50F6">
        <w:rPr>
          <w:rFonts w:hint="eastAsia"/>
        </w:rPr>
        <w:t>。</w:t>
      </w:r>
      <w:r w:rsidRPr="00FD50F6" w:rsidDel="00CF4FD1">
        <w:rPr>
          <w:rFonts w:hint="eastAsia"/>
        </w:rPr>
        <w:t xml:space="preserve"> </w:t>
      </w:r>
    </w:p>
    <w:p w14:paraId="5D421708" w14:textId="77777777" w:rsidR="003A2B2B" w:rsidRPr="00FD50F6" w:rsidRDefault="003A2B2B" w:rsidP="003A2B2B">
      <w:pPr>
        <w:pStyle w:val="30"/>
      </w:pPr>
      <w:r w:rsidRPr="00FD50F6">
        <w:rPr>
          <w:szCs w:val="22"/>
        </w:rPr>
        <w:t>全</w:t>
      </w:r>
      <w:r w:rsidRPr="00FD50F6">
        <w:rPr>
          <w:rFonts w:hint="eastAsia"/>
        </w:rPr>
        <w:t>高站台屏蔽门中的滑动门、应急门的净高度不应低于</w:t>
      </w:r>
      <w:r w:rsidRPr="00FD50F6">
        <w:rPr>
          <w:rFonts w:hint="eastAsia"/>
        </w:rPr>
        <w:t>2</w:t>
      </w:r>
      <w:r w:rsidRPr="00FD50F6">
        <w:t>m</w:t>
      </w:r>
      <w:r w:rsidRPr="00FD50F6">
        <w:rPr>
          <w:rFonts w:hint="eastAsia"/>
        </w:rPr>
        <w:t>；半高站台屏蔽门门体的高度不宜低于</w:t>
      </w:r>
      <w:r w:rsidRPr="00FD50F6">
        <w:rPr>
          <w:rFonts w:hint="eastAsia"/>
        </w:rPr>
        <w:t>1.5m</w:t>
      </w:r>
      <w:r w:rsidRPr="00FD50F6">
        <w:rPr>
          <w:rFonts w:hint="eastAsia"/>
        </w:rPr>
        <w:t>。</w:t>
      </w:r>
      <w:r w:rsidRPr="00FD50F6" w:rsidDel="00650621">
        <w:rPr>
          <w:rFonts w:hint="eastAsia"/>
        </w:rPr>
        <w:t xml:space="preserve"> </w:t>
      </w:r>
    </w:p>
    <w:p w14:paraId="4B7A65A6" w14:textId="2DA0DE27" w:rsidR="003A2B2B" w:rsidRPr="00FD50F6" w:rsidRDefault="003A2B2B" w:rsidP="003A2B2B">
      <w:pPr>
        <w:pStyle w:val="30"/>
      </w:pPr>
      <w:r w:rsidRPr="00FD50F6">
        <w:rPr>
          <w:rFonts w:hint="eastAsia"/>
        </w:rPr>
        <w:t>在站台屏蔽门范围内应设置应急门，站台每侧应急门的数量宜为远期列车编组数。</w:t>
      </w:r>
    </w:p>
    <w:p w14:paraId="319A5FAE" w14:textId="77777777" w:rsidR="003A2B2B" w:rsidRPr="00FD50F6" w:rsidRDefault="003A2B2B" w:rsidP="003A2B2B">
      <w:pPr>
        <w:pStyle w:val="30"/>
      </w:pPr>
      <w:r w:rsidRPr="00FD50F6">
        <w:rPr>
          <w:rFonts w:hint="eastAsia"/>
        </w:rPr>
        <w:t>滑动门、应急门、端门应能可靠锁闭，在站台侧可用专用钥匙开启，在轨道侧应能手动开启。</w:t>
      </w:r>
    </w:p>
    <w:p w14:paraId="0A556FE7" w14:textId="77777777" w:rsidR="003A2B2B" w:rsidRPr="00FD50F6" w:rsidRDefault="003A2B2B" w:rsidP="003A2B2B">
      <w:pPr>
        <w:pStyle w:val="30"/>
      </w:pPr>
      <w:r w:rsidRPr="00FD50F6">
        <w:rPr>
          <w:rFonts w:hint="eastAsia"/>
        </w:rPr>
        <w:t>站台屏蔽门门体外观宜与车站建筑风格相适应。门体应由金属框架、安全玻璃等组成，玻璃应选用通透性好的安全玻璃。</w:t>
      </w:r>
    </w:p>
    <w:p w14:paraId="0AB2B4A8" w14:textId="77777777" w:rsidR="003A2B2B" w:rsidRPr="00FD50F6" w:rsidRDefault="003A2B2B" w:rsidP="003A2B2B">
      <w:pPr>
        <w:pStyle w:val="30"/>
      </w:pPr>
      <w:r w:rsidRPr="00FD50F6">
        <w:rPr>
          <w:rFonts w:hint="eastAsia"/>
        </w:rPr>
        <w:t>站台屏蔽门与车站结构的连接部分宜具有三维调节功能，强度、刚度应满足设计要求。</w:t>
      </w:r>
    </w:p>
    <w:p w14:paraId="04C94C4E" w14:textId="0F7746DA" w:rsidR="003A2B2B" w:rsidRPr="00FD50F6" w:rsidRDefault="003A2B2B" w:rsidP="003A2B2B">
      <w:pPr>
        <w:pStyle w:val="30"/>
      </w:pPr>
      <w:r w:rsidRPr="00FD50F6">
        <w:rPr>
          <w:rFonts w:hint="eastAsia"/>
        </w:rPr>
        <w:t>在正常的列车停车精度范围内，站台屏蔽门在开关门状态下不应影响列车司机出入。</w:t>
      </w:r>
    </w:p>
    <w:p w14:paraId="3980F373" w14:textId="088B4ED6" w:rsidR="003A2B2B" w:rsidRPr="00FD50F6" w:rsidRDefault="003A2B2B" w:rsidP="003A2B2B">
      <w:pPr>
        <w:pStyle w:val="30"/>
      </w:pPr>
      <w:r w:rsidRPr="00FD50F6">
        <w:rPr>
          <w:rFonts w:hint="eastAsia"/>
        </w:rPr>
        <w:t>驱动电机宜选用直流永磁无刷电机，其功率应满足不利条件下站台屏蔽门可正常开关的要求，且电机寿命应满足设计要求。</w:t>
      </w:r>
    </w:p>
    <w:p w14:paraId="23085593" w14:textId="77777777" w:rsidR="003A2B2B" w:rsidRPr="00FD50F6" w:rsidRDefault="003A2B2B" w:rsidP="00A65181">
      <w:pPr>
        <w:pStyle w:val="2"/>
      </w:pPr>
      <w:bookmarkStart w:id="1164" w:name="_Toc112830862"/>
      <w:r w:rsidRPr="00FD50F6">
        <w:rPr>
          <w:rFonts w:hint="eastAsia"/>
        </w:rPr>
        <w:t>运行与控制</w:t>
      </w:r>
      <w:bookmarkEnd w:id="1164"/>
    </w:p>
    <w:p w14:paraId="11C7B73B" w14:textId="5D765D12" w:rsidR="003A2B2B" w:rsidRPr="00FD50F6" w:rsidRDefault="003A2B2B" w:rsidP="003A2B2B">
      <w:pPr>
        <w:pStyle w:val="30"/>
      </w:pPr>
      <w:r w:rsidRPr="00FD50F6">
        <w:rPr>
          <w:rFonts w:hint="eastAsia"/>
        </w:rPr>
        <w:t>站台屏蔽门监控系统应由中央控制盘（</w:t>
      </w:r>
      <w:r w:rsidRPr="00FD50F6">
        <w:rPr>
          <w:rFonts w:hint="eastAsia"/>
        </w:rPr>
        <w:t>P</w:t>
      </w:r>
      <w:r w:rsidRPr="00FD50F6">
        <w:t>SC</w:t>
      </w:r>
      <w:r w:rsidRPr="00FD50F6">
        <w:rPr>
          <w:rFonts w:hint="eastAsia"/>
        </w:rPr>
        <w:t>）、就地控制盘（</w:t>
      </w:r>
      <w:r w:rsidRPr="00FD50F6">
        <w:rPr>
          <w:rFonts w:hint="eastAsia"/>
        </w:rPr>
        <w:t>PSL</w:t>
      </w:r>
      <w:r w:rsidRPr="00FD50F6">
        <w:rPr>
          <w:rFonts w:hint="eastAsia"/>
        </w:rPr>
        <w:t>）、门控单元</w:t>
      </w:r>
      <w:r w:rsidRPr="00FD50F6">
        <w:rPr>
          <w:rFonts w:hint="eastAsia"/>
        </w:rPr>
        <w:t>(DCU)</w:t>
      </w:r>
      <w:r w:rsidRPr="00FD50F6">
        <w:rPr>
          <w:rFonts w:hint="eastAsia"/>
        </w:rPr>
        <w:t>、就地控制盒</w:t>
      </w:r>
      <w:r w:rsidRPr="00FD50F6">
        <w:rPr>
          <w:rFonts w:hint="eastAsia"/>
        </w:rPr>
        <w:t>(LCB)</w:t>
      </w:r>
      <w:r w:rsidRPr="00FD50F6">
        <w:rPr>
          <w:rFonts w:hint="eastAsia"/>
        </w:rPr>
        <w:t>、控制局域网和接口模块等组成。</w:t>
      </w:r>
    </w:p>
    <w:p w14:paraId="35CD0935" w14:textId="0CF393FD" w:rsidR="003A2B2B" w:rsidRPr="00FD50F6" w:rsidRDefault="003A2B2B" w:rsidP="003A2B2B">
      <w:pPr>
        <w:pStyle w:val="30"/>
      </w:pPr>
      <w:r w:rsidRPr="00FD50F6">
        <w:rPr>
          <w:rFonts w:hint="eastAsia"/>
        </w:rPr>
        <w:lastRenderedPageBreak/>
        <w:t>整侧站台屏蔽门的控制优先权从低到高排列应分为</w:t>
      </w:r>
      <w:r w:rsidRPr="001A4CF3">
        <w:rPr>
          <w:rFonts w:hint="eastAsia"/>
        </w:rPr>
        <w:t>信号系统对屏蔽门进行开关控制、就地控制盘对屏蔽门进行开关控制、紧急控制盘对屏蔽门进行开关控制</w:t>
      </w:r>
      <w:r w:rsidRPr="00FD50F6">
        <w:rPr>
          <w:rFonts w:hint="eastAsia"/>
        </w:rPr>
        <w:t>；当各等级控制设备发生故障时，应互不影响。</w:t>
      </w:r>
    </w:p>
    <w:p w14:paraId="375BE528" w14:textId="77777777" w:rsidR="003A2B2B" w:rsidRPr="00FD50F6" w:rsidRDefault="003A2B2B" w:rsidP="003A2B2B">
      <w:pPr>
        <w:pStyle w:val="30"/>
      </w:pPr>
      <w:r w:rsidRPr="00FD50F6">
        <w:rPr>
          <w:rFonts w:hint="eastAsia"/>
        </w:rPr>
        <w:t>站台屏蔽门监控系统应以车站为单位独立设置，并应采用开放的通信协议。每侧站台应配置一套独立的控制设备，每个车站多套控制设备间应互不干扰。</w:t>
      </w:r>
      <w:r w:rsidRPr="00FD50F6">
        <w:rPr>
          <w:rFonts w:hint="eastAsia"/>
        </w:rPr>
        <w:t xml:space="preserve"> </w:t>
      </w:r>
    </w:p>
    <w:p w14:paraId="5B7309AB" w14:textId="77777777" w:rsidR="003A2B2B" w:rsidRPr="00FD50F6" w:rsidRDefault="003A2B2B" w:rsidP="003A2B2B">
      <w:pPr>
        <w:pStyle w:val="30"/>
      </w:pPr>
      <w:r w:rsidRPr="00FD50F6">
        <w:rPr>
          <w:rFonts w:hint="eastAsia"/>
        </w:rPr>
        <w:t>站台屏蔽门的重要状态及故障信息应上传至本站车站控制室和控制中心。</w:t>
      </w:r>
    </w:p>
    <w:p w14:paraId="6746D2AA" w14:textId="77777777" w:rsidR="003A2B2B" w:rsidRPr="00FD50F6" w:rsidRDefault="003A2B2B" w:rsidP="003A2B2B">
      <w:pPr>
        <w:pStyle w:val="30"/>
      </w:pPr>
      <w:r w:rsidRPr="00FD50F6">
        <w:rPr>
          <w:rFonts w:hint="eastAsia"/>
        </w:rPr>
        <w:t>中央控制盘和接口模块宜布置在站台屏蔽门设备室。就地控制盘宜布置在每侧站台出站端，全自动运行线路在站台公共区应设置就地控制盘。</w:t>
      </w:r>
    </w:p>
    <w:p w14:paraId="230CB307" w14:textId="77777777" w:rsidR="003A2B2B" w:rsidRPr="00FD50F6" w:rsidRDefault="003A2B2B" w:rsidP="003A2B2B">
      <w:pPr>
        <w:pStyle w:val="30"/>
      </w:pPr>
      <w:r w:rsidRPr="00FD50F6">
        <w:rPr>
          <w:rFonts w:hint="eastAsia"/>
        </w:rPr>
        <w:t>站台屏蔽门的控制及监视应分别设置，关键命令及响应应通过硬线传输。监视系统应能实现监视站台屏蔽门系统的状态和进行故障报警。</w:t>
      </w:r>
    </w:p>
    <w:p w14:paraId="393CE344" w14:textId="77777777" w:rsidR="003A2B2B" w:rsidRPr="00FD50F6" w:rsidRDefault="003A2B2B" w:rsidP="003A2B2B">
      <w:pPr>
        <w:pStyle w:val="30"/>
      </w:pPr>
      <w:r w:rsidRPr="00FD50F6">
        <w:rPr>
          <w:rFonts w:hint="eastAsia"/>
        </w:rPr>
        <w:t>站台屏蔽门滑动门关门时应具有障碍物探测功能，应能探测到最小厚度为</w:t>
      </w:r>
      <w:r w:rsidRPr="00FD50F6">
        <w:rPr>
          <w:rFonts w:hint="eastAsia"/>
        </w:rPr>
        <w:t>5mm</w:t>
      </w:r>
      <w:r w:rsidRPr="00FD50F6">
        <w:rPr>
          <w:rFonts w:hint="eastAsia"/>
        </w:rPr>
        <w:t>且最小宽度为</w:t>
      </w:r>
      <w:r w:rsidRPr="00FD50F6">
        <w:rPr>
          <w:rFonts w:hint="eastAsia"/>
        </w:rPr>
        <w:t>40mm</w:t>
      </w:r>
      <w:r w:rsidRPr="00FD50F6">
        <w:rPr>
          <w:rFonts w:hint="eastAsia"/>
        </w:rPr>
        <w:t>的硬质障碍物。</w:t>
      </w:r>
    </w:p>
    <w:p w14:paraId="6FE78BBB" w14:textId="77777777" w:rsidR="003A2B2B" w:rsidRPr="00FD50F6" w:rsidRDefault="003A2B2B" w:rsidP="003A2B2B">
      <w:pPr>
        <w:pStyle w:val="30"/>
      </w:pPr>
      <w:r w:rsidRPr="00FD50F6">
        <w:rPr>
          <w:rFonts w:hint="eastAsia"/>
        </w:rPr>
        <w:t>在中央控制盘和门控单元上应可进行参数的下载及修改。</w:t>
      </w:r>
    </w:p>
    <w:p w14:paraId="20E87195" w14:textId="77777777" w:rsidR="003A2B2B" w:rsidRPr="00FD50F6" w:rsidRDefault="003A2B2B" w:rsidP="003A2B2B">
      <w:pPr>
        <w:pStyle w:val="30"/>
      </w:pPr>
      <w:r w:rsidRPr="00FD50F6">
        <w:rPr>
          <w:rFonts w:hint="eastAsia"/>
        </w:rPr>
        <w:t>应用软件应能调整电机速度曲线、门体夹紧力阈值、重复开关门延迟时间和重复开关门次数等参数，并应具有故障自动诊断、自动报警的功能。</w:t>
      </w:r>
    </w:p>
    <w:p w14:paraId="105A234B" w14:textId="77777777" w:rsidR="003A2B2B" w:rsidRPr="00FD50F6" w:rsidRDefault="003A2B2B" w:rsidP="00A65181">
      <w:pPr>
        <w:pStyle w:val="2"/>
      </w:pPr>
      <w:bookmarkStart w:id="1165" w:name="_Toc112830863"/>
      <w:r w:rsidRPr="00FD50F6">
        <w:rPr>
          <w:rFonts w:hint="eastAsia"/>
        </w:rPr>
        <w:t>供电与接地</w:t>
      </w:r>
      <w:bookmarkEnd w:id="1165"/>
    </w:p>
    <w:p w14:paraId="6D08B6A1" w14:textId="77777777" w:rsidR="003A2B2B" w:rsidRPr="00FD50F6" w:rsidRDefault="003A2B2B" w:rsidP="003A2B2B">
      <w:pPr>
        <w:pStyle w:val="30"/>
      </w:pPr>
      <w:r w:rsidRPr="00FD50F6">
        <w:rPr>
          <w:rFonts w:hint="eastAsia"/>
        </w:rPr>
        <w:t>站台屏蔽门系统应按一级负荷供电。驱动电源和控制电源供电回路宜相互独立。</w:t>
      </w:r>
    </w:p>
    <w:p w14:paraId="02533C26" w14:textId="22573F53" w:rsidR="003A2B2B" w:rsidRPr="00FD50F6" w:rsidRDefault="003A2B2B" w:rsidP="003A2B2B">
      <w:pPr>
        <w:pStyle w:val="30"/>
      </w:pPr>
      <w:r w:rsidRPr="00FD50F6">
        <w:rPr>
          <w:rFonts w:hint="eastAsia"/>
        </w:rPr>
        <w:t>站台屏蔽门后备电源储能应能满足在</w:t>
      </w:r>
      <w:r w:rsidRPr="00FD50F6">
        <w:rPr>
          <w:rFonts w:hint="eastAsia"/>
        </w:rPr>
        <w:t>30min</w:t>
      </w:r>
      <w:r w:rsidRPr="00FD50F6">
        <w:rPr>
          <w:rFonts w:hint="eastAsia"/>
        </w:rPr>
        <w:t>内完成开、关滑动门三次循环的需要。</w:t>
      </w:r>
    </w:p>
    <w:p w14:paraId="4E372272" w14:textId="77777777" w:rsidR="003A2B2B" w:rsidRPr="00FD50F6" w:rsidRDefault="003A2B2B" w:rsidP="003A2B2B">
      <w:pPr>
        <w:pStyle w:val="30"/>
      </w:pPr>
      <w:r w:rsidRPr="00FD50F6">
        <w:rPr>
          <w:rFonts w:hint="eastAsia"/>
        </w:rPr>
        <w:t>驱动电源模块、控制电源模块、充电电源模块应采用冗余配置。</w:t>
      </w:r>
    </w:p>
    <w:p w14:paraId="34314270" w14:textId="13B20FAA" w:rsidR="003A2B2B" w:rsidRPr="00FD50F6" w:rsidRDefault="003A2B2B" w:rsidP="003A2B2B">
      <w:pPr>
        <w:pStyle w:val="30"/>
      </w:pPr>
      <w:r w:rsidRPr="00FD50F6">
        <w:rPr>
          <w:rFonts w:hint="eastAsia"/>
        </w:rPr>
        <w:t>站台屏蔽门驱动电源的输出回路数应满足任一节车厢对应的滑动门中有一个回路电源故障时，该节车厢对应的其余滑动门应</w:t>
      </w:r>
      <w:r w:rsidRPr="00FD50F6">
        <w:t>能正常工作</w:t>
      </w:r>
      <w:r w:rsidRPr="00FD50F6">
        <w:rPr>
          <w:rFonts w:hint="eastAsia"/>
        </w:rPr>
        <w:t>。</w:t>
      </w:r>
    </w:p>
    <w:p w14:paraId="60CE970E" w14:textId="77777777" w:rsidR="003A2B2B" w:rsidRPr="00FD50F6" w:rsidRDefault="003A2B2B" w:rsidP="003A2B2B">
      <w:pPr>
        <w:pStyle w:val="30"/>
      </w:pPr>
      <w:r w:rsidRPr="00FD50F6">
        <w:rPr>
          <w:rFonts w:hint="eastAsia"/>
        </w:rPr>
        <w:t>驱动电源、控制电源与外电源的隔离阻抗不应小于</w:t>
      </w:r>
      <w:r w:rsidRPr="00FD50F6">
        <w:rPr>
          <w:rFonts w:hint="eastAsia"/>
        </w:rPr>
        <w:t>5M</w:t>
      </w:r>
      <w:r w:rsidRPr="00FD50F6">
        <w:rPr>
          <w:rFonts w:hint="eastAsia"/>
        </w:rPr>
        <w:t>Ω。</w:t>
      </w:r>
    </w:p>
    <w:p w14:paraId="7085E227" w14:textId="310FBB49" w:rsidR="003A2B2B" w:rsidRPr="00FD50F6" w:rsidRDefault="003A2B2B" w:rsidP="003A2B2B">
      <w:pPr>
        <w:pStyle w:val="30"/>
      </w:pPr>
      <w:r w:rsidRPr="00FD50F6">
        <w:rPr>
          <w:rFonts w:hint="eastAsia"/>
        </w:rPr>
        <w:t>配电电缆、监控电缆应采用不同线槽或同槽分室敷设；配电线路的敷设应满足现行国家标准《低压配电设计规范》</w:t>
      </w:r>
      <w:r w:rsidRPr="00FD50F6">
        <w:rPr>
          <w:rFonts w:hint="eastAsia"/>
        </w:rPr>
        <w:t>GB</w:t>
      </w:r>
      <w:r w:rsidRPr="00FD50F6">
        <w:t xml:space="preserve"> </w:t>
      </w:r>
      <w:r w:rsidRPr="00FD50F6">
        <w:rPr>
          <w:rFonts w:hint="eastAsia"/>
        </w:rPr>
        <w:t>50054</w:t>
      </w:r>
      <w:r w:rsidRPr="00FD50F6">
        <w:rPr>
          <w:rFonts w:hint="eastAsia"/>
        </w:rPr>
        <w:t>的规定。</w:t>
      </w:r>
    </w:p>
    <w:p w14:paraId="5B41EBDA" w14:textId="77777777" w:rsidR="003A2B2B" w:rsidRPr="00FD50F6" w:rsidRDefault="003A2B2B" w:rsidP="003A2B2B">
      <w:pPr>
        <w:pStyle w:val="30"/>
      </w:pPr>
      <w:r w:rsidRPr="00FD50F6">
        <w:rPr>
          <w:rFonts w:hint="eastAsia"/>
        </w:rPr>
        <w:t>站台屏蔽门设备室设备应采用综合接地，接地电阻不应大于</w:t>
      </w:r>
      <w:r w:rsidRPr="00FD50F6">
        <w:rPr>
          <w:rFonts w:hint="eastAsia"/>
        </w:rPr>
        <w:t>1</w:t>
      </w:r>
      <w:r w:rsidRPr="00FD50F6">
        <w:rPr>
          <w:rFonts w:hint="eastAsia"/>
        </w:rPr>
        <w:t>Ω。</w:t>
      </w:r>
    </w:p>
    <w:p w14:paraId="0B01E370" w14:textId="77777777" w:rsidR="003A2B2B" w:rsidRPr="00FD50F6" w:rsidRDefault="003A2B2B" w:rsidP="003A2B2B">
      <w:pPr>
        <w:pStyle w:val="30"/>
      </w:pPr>
      <w:r w:rsidRPr="00FD50F6">
        <w:rPr>
          <w:rFonts w:hint="eastAsia"/>
        </w:rPr>
        <w:lastRenderedPageBreak/>
        <w:t>当站台屏蔽门与列车车体间存在电位差时，应符合下列规定</w:t>
      </w:r>
      <w:r w:rsidRPr="00FD50F6">
        <w:rPr>
          <w:rFonts w:hint="eastAsia"/>
        </w:rPr>
        <w:t>:</w:t>
      </w:r>
    </w:p>
    <w:p w14:paraId="627EFFF9" w14:textId="4390A0C8" w:rsidR="003A2B2B" w:rsidRPr="00FD50F6" w:rsidRDefault="003A2B2B" w:rsidP="00A926BD">
      <w:pPr>
        <w:pStyle w:val="4"/>
      </w:pPr>
      <w:r w:rsidRPr="00FD50F6">
        <w:rPr>
          <w:rFonts w:hint="eastAsia"/>
        </w:rPr>
        <w:t>站台屏蔽门应采取下列措施之一：</w:t>
      </w:r>
    </w:p>
    <w:p w14:paraId="3D2EEDD1" w14:textId="7F7BB5C6" w:rsidR="003A2B2B" w:rsidRPr="00FD50F6" w:rsidRDefault="003A2B2B" w:rsidP="003A2B2B">
      <w:pPr>
        <w:pStyle w:val="5"/>
        <w:ind w:firstLine="480"/>
      </w:pPr>
      <w:r w:rsidRPr="00FD50F6">
        <w:rPr>
          <w:rFonts w:hint="eastAsia"/>
        </w:rPr>
        <w:t>站台屏蔽门金属构件应与车站结构绝缘，在</w:t>
      </w:r>
      <w:r w:rsidRPr="00FD50F6">
        <w:rPr>
          <w:rFonts w:hint="eastAsia"/>
        </w:rPr>
        <w:t>DC500V</w:t>
      </w:r>
      <w:r w:rsidRPr="00FD50F6">
        <w:rPr>
          <w:rFonts w:hint="eastAsia"/>
        </w:rPr>
        <w:t>下，绝缘电阻值不应小于</w:t>
      </w:r>
      <w:r w:rsidRPr="00FD50F6">
        <w:t>0.5M</w:t>
      </w:r>
      <w:r w:rsidRPr="00FD50F6">
        <w:rPr>
          <w:rFonts w:hint="eastAsia"/>
        </w:rPr>
        <w:t>Ω。每侧站台屏蔽门金属构件应保持整体等电位，等电位电阻值不应大于</w:t>
      </w:r>
      <w:r w:rsidRPr="00FD50F6">
        <w:rPr>
          <w:rFonts w:hint="eastAsia"/>
        </w:rPr>
        <w:t>0.4</w:t>
      </w:r>
      <w:r w:rsidRPr="00FD50F6">
        <w:t>Ω</w:t>
      </w:r>
      <w:r w:rsidRPr="00FD50F6">
        <w:rPr>
          <w:rFonts w:hint="eastAsia"/>
        </w:rPr>
        <w:t>。站台屏蔽门与钢轨应采用单点等电位连接。</w:t>
      </w:r>
    </w:p>
    <w:p w14:paraId="08385E19" w14:textId="5EE5A180" w:rsidR="003A2B2B" w:rsidRPr="00E92D6C" w:rsidRDefault="003A2B2B" w:rsidP="003A2B2B">
      <w:pPr>
        <w:pStyle w:val="5"/>
        <w:ind w:firstLine="480"/>
      </w:pPr>
      <w:r w:rsidRPr="001B1BA6">
        <w:rPr>
          <w:rFonts w:ascii="宋体" w:hAnsi="宋体" w:hint="eastAsia"/>
          <w:szCs w:val="24"/>
        </w:rPr>
        <w:t>正常情况下人体可接触的屏蔽门金属构件表面应进行绝缘处理，</w:t>
      </w:r>
      <w:r w:rsidRPr="001B1BA6">
        <w:rPr>
          <w:rFonts w:ascii="宋体" w:hAnsi="宋体"/>
          <w:szCs w:val="24"/>
        </w:rPr>
        <w:t>在DC500V下，经绝缘处理后的屏蔽门金属构件表面与车站结构的绝缘电阻</w:t>
      </w:r>
      <w:r w:rsidRPr="001B1BA6">
        <w:rPr>
          <w:rFonts w:ascii="宋体" w:hAnsi="宋体" w:hint="eastAsia"/>
          <w:szCs w:val="24"/>
        </w:rPr>
        <w:t>值</w:t>
      </w:r>
      <w:r w:rsidRPr="001B1BA6">
        <w:rPr>
          <w:rFonts w:ascii="宋体" w:hAnsi="宋体"/>
          <w:szCs w:val="24"/>
        </w:rPr>
        <w:t>不应小于0.5MΩ</w:t>
      </w:r>
      <w:r w:rsidRPr="001B1BA6">
        <w:rPr>
          <w:rFonts w:ascii="宋体" w:hAnsi="宋体" w:hint="eastAsia"/>
          <w:szCs w:val="24"/>
        </w:rPr>
        <w:t>。每侧屏蔽门金属构件应保持整体等电位，等电位电阻值不应大于</w:t>
      </w:r>
      <w:r w:rsidRPr="001B1BA6">
        <w:rPr>
          <w:rFonts w:ascii="宋体" w:hAnsi="宋体"/>
          <w:szCs w:val="24"/>
        </w:rPr>
        <w:t>0.4Ω。屏蔽门应通过接地端子接车站接地网。</w:t>
      </w:r>
    </w:p>
    <w:p w14:paraId="757E9615" w14:textId="2A7198E6" w:rsidR="003A2B2B" w:rsidRPr="00FD50F6" w:rsidRDefault="003A2B2B" w:rsidP="00A926BD">
      <w:pPr>
        <w:pStyle w:val="4"/>
      </w:pPr>
      <w:r w:rsidRPr="00FD50F6">
        <w:rPr>
          <w:rFonts w:hint="eastAsia"/>
        </w:rPr>
        <w:t>在站台屏蔽门站台侧、端门内外侧的地面应设置宽度不小于</w:t>
      </w:r>
      <w:r w:rsidRPr="00FD50F6">
        <w:t>900m</w:t>
      </w:r>
      <w:r w:rsidRPr="00FD50F6">
        <w:rPr>
          <w:rFonts w:hint="eastAsia"/>
        </w:rPr>
        <w:t>m</w:t>
      </w:r>
      <w:r w:rsidRPr="00FD50F6">
        <w:rPr>
          <w:rFonts w:hint="eastAsia"/>
        </w:rPr>
        <w:t>的绝缘区域，与车站结构的绝缘值在</w:t>
      </w:r>
      <w:r w:rsidRPr="00FD50F6">
        <w:rPr>
          <w:rFonts w:hint="eastAsia"/>
        </w:rPr>
        <w:t>DC500V</w:t>
      </w:r>
      <w:r w:rsidRPr="00FD50F6">
        <w:rPr>
          <w:rFonts w:hint="eastAsia"/>
        </w:rPr>
        <w:t>下不应小于</w:t>
      </w:r>
      <w:r w:rsidRPr="00FD50F6">
        <w:rPr>
          <w:rFonts w:hint="eastAsia"/>
        </w:rPr>
        <w:t>0.5M</w:t>
      </w:r>
      <w:r w:rsidRPr="00FD50F6">
        <w:rPr>
          <w:rFonts w:hint="eastAsia"/>
        </w:rPr>
        <w:t>Ω。</w:t>
      </w:r>
    </w:p>
    <w:p w14:paraId="5361EE39" w14:textId="14509BE4" w:rsidR="00D70A4C" w:rsidRPr="00FD50F6" w:rsidRDefault="003A2B2B" w:rsidP="0001633B">
      <w:pPr>
        <w:pStyle w:val="30"/>
      </w:pPr>
      <w:r w:rsidRPr="00E92D6C">
        <w:rPr>
          <w:rFonts w:hint="eastAsia"/>
        </w:rPr>
        <w:t>当站台屏蔽门与列车车厢无等电位要求时，站台屏蔽门应通过接地端子接地；</w:t>
      </w:r>
      <w:r w:rsidRPr="00FD50F6">
        <w:rPr>
          <w:rFonts w:hint="eastAsia"/>
        </w:rPr>
        <w:t>每侧站台屏蔽门金属构件应保持整体等电位，等电位电阻值不应大于</w:t>
      </w:r>
      <w:r w:rsidRPr="00FD50F6">
        <w:rPr>
          <w:rFonts w:hint="eastAsia"/>
        </w:rPr>
        <w:t>0.4</w:t>
      </w:r>
      <w:r w:rsidRPr="00FD50F6">
        <w:t>Ω</w:t>
      </w:r>
      <w:r w:rsidRPr="00FD50F6">
        <w:rPr>
          <w:rFonts w:hint="eastAsia"/>
        </w:rPr>
        <w:t>。</w:t>
      </w:r>
      <w:r w:rsidR="00D70A4C" w:rsidRPr="00FD50F6">
        <w:br w:type="page"/>
      </w:r>
    </w:p>
    <w:p w14:paraId="2A0BF515" w14:textId="77777777" w:rsidR="004D0484" w:rsidRPr="00FD50F6" w:rsidRDefault="004D0484" w:rsidP="004D0484">
      <w:pPr>
        <w:pStyle w:val="12"/>
      </w:pPr>
      <w:bookmarkStart w:id="1166" w:name="_Toc112830864"/>
      <w:bookmarkEnd w:id="1153"/>
      <w:bookmarkEnd w:id="1154"/>
      <w:bookmarkEnd w:id="1155"/>
      <w:bookmarkEnd w:id="1156"/>
      <w:bookmarkEnd w:id="1157"/>
      <w:bookmarkEnd w:id="1158"/>
      <w:r w:rsidRPr="00FD50F6">
        <w:lastRenderedPageBreak/>
        <w:t>车辆基地</w:t>
      </w:r>
      <w:bookmarkEnd w:id="1166"/>
    </w:p>
    <w:p w14:paraId="27C5EFD6" w14:textId="77777777" w:rsidR="004D0484" w:rsidRPr="00FD50F6" w:rsidRDefault="004D0484" w:rsidP="00010C49">
      <w:pPr>
        <w:pStyle w:val="2"/>
        <w:numPr>
          <w:ilvl w:val="1"/>
          <w:numId w:val="36"/>
        </w:numPr>
      </w:pPr>
      <w:bookmarkStart w:id="1167" w:name="_Toc236812101"/>
      <w:bookmarkStart w:id="1168" w:name="_Toc306207279"/>
      <w:bookmarkStart w:id="1169" w:name="_Toc306207470"/>
      <w:bookmarkStart w:id="1170" w:name="_Toc320196136"/>
      <w:bookmarkStart w:id="1171" w:name="_Toc320643525"/>
      <w:bookmarkStart w:id="1172" w:name="_Toc32511917"/>
      <w:bookmarkStart w:id="1173" w:name="_Toc112830865"/>
      <w:r w:rsidRPr="00FD50F6">
        <w:t>一般规定</w:t>
      </w:r>
      <w:bookmarkEnd w:id="1167"/>
      <w:bookmarkEnd w:id="1168"/>
      <w:bookmarkEnd w:id="1169"/>
      <w:bookmarkEnd w:id="1170"/>
      <w:bookmarkEnd w:id="1171"/>
      <w:bookmarkEnd w:id="1172"/>
      <w:bookmarkEnd w:id="1173"/>
    </w:p>
    <w:p w14:paraId="6F8EA9F9" w14:textId="77777777" w:rsidR="004D0484" w:rsidRPr="00FD50F6" w:rsidRDefault="004D0484" w:rsidP="004D0484">
      <w:pPr>
        <w:pStyle w:val="30"/>
      </w:pPr>
      <w:r w:rsidRPr="00FD50F6">
        <w:t>车辆基地设计应包括车辆段</w:t>
      </w:r>
      <w:r w:rsidRPr="00FD50F6">
        <w:rPr>
          <w:rFonts w:hint="eastAsia"/>
        </w:rPr>
        <w:t>或</w:t>
      </w:r>
      <w:r w:rsidRPr="00FD50F6">
        <w:t>停车场、综合维修中心、物资总库、培训中心和其他生产、生活、办公等配套设施。</w:t>
      </w:r>
    </w:p>
    <w:p w14:paraId="4F1BAF5D" w14:textId="5779C557" w:rsidR="004D0484" w:rsidRPr="00FD50F6" w:rsidRDefault="004D0484" w:rsidP="004D0484">
      <w:pPr>
        <w:pStyle w:val="30"/>
      </w:pPr>
      <w:r w:rsidRPr="00FD50F6">
        <w:t>车辆基地的功能、布局和各项设施的配置应根据城市轨道交通线网车辆基地的规划</w:t>
      </w:r>
      <w:r w:rsidRPr="00FD50F6">
        <w:rPr>
          <w:rFonts w:hint="eastAsia"/>
        </w:rPr>
        <w:t>、</w:t>
      </w:r>
      <w:r w:rsidRPr="00FD50F6">
        <w:t>既有车辆基地的功能及分布情况</w:t>
      </w:r>
      <w:r w:rsidRPr="00FD50F6">
        <w:rPr>
          <w:rFonts w:hint="eastAsia"/>
        </w:rPr>
        <w:t>，</w:t>
      </w:r>
      <w:r w:rsidRPr="00FD50F6">
        <w:t>结合线网车辆</w:t>
      </w:r>
      <w:r w:rsidRPr="00FD50F6">
        <w:rPr>
          <w:rFonts w:hint="eastAsia"/>
        </w:rPr>
        <w:t>维修</w:t>
      </w:r>
      <w:r w:rsidRPr="00FD50F6">
        <w:t>资源共享研究成果和本工程的运营需要综合确定。</w:t>
      </w:r>
    </w:p>
    <w:p w14:paraId="74237100" w14:textId="75946E5F" w:rsidR="004D0484" w:rsidRPr="00FD50F6" w:rsidRDefault="004D0484" w:rsidP="004D0484">
      <w:pPr>
        <w:pStyle w:val="30"/>
      </w:pPr>
      <w:r w:rsidRPr="00FD50F6">
        <w:t>车辆基地设计应</w:t>
      </w:r>
      <w:r w:rsidRPr="00FD50F6">
        <w:rPr>
          <w:rFonts w:hint="eastAsia"/>
        </w:rPr>
        <w:t>与运营</w:t>
      </w:r>
      <w:r w:rsidRPr="00FD50F6">
        <w:t>初、近、远期</w:t>
      </w:r>
      <w:r w:rsidRPr="00FD50F6">
        <w:rPr>
          <w:rFonts w:hint="eastAsia"/>
        </w:rPr>
        <w:t>相</w:t>
      </w:r>
      <w:r w:rsidRPr="00FD50F6">
        <w:t>结合，分期实施。用地范围应在站场股道和房屋规划布置的基础上按</w:t>
      </w:r>
      <w:r w:rsidRPr="00FD50F6">
        <w:rPr>
          <w:rFonts w:hint="eastAsia"/>
        </w:rPr>
        <w:t>系统设计最大能力</w:t>
      </w:r>
      <w:r w:rsidRPr="00FD50F6">
        <w:t>确定。</w:t>
      </w:r>
    </w:p>
    <w:p w14:paraId="0EB314A0" w14:textId="5A5B358F" w:rsidR="004D0484" w:rsidRPr="00FD50F6" w:rsidRDefault="004D0484" w:rsidP="004D0484">
      <w:pPr>
        <w:pStyle w:val="30"/>
      </w:pPr>
      <w:r w:rsidRPr="00FD50F6">
        <w:t>车辆基地的选址应符合下列</w:t>
      </w:r>
      <w:r w:rsidRPr="00FD50F6">
        <w:rPr>
          <w:rFonts w:hint="eastAsia"/>
        </w:rPr>
        <w:t>规定</w:t>
      </w:r>
      <w:r w:rsidRPr="00FD50F6">
        <w:t>：</w:t>
      </w:r>
    </w:p>
    <w:p w14:paraId="072AE8EA" w14:textId="63E01145" w:rsidR="004D0484" w:rsidRPr="00FD50F6" w:rsidRDefault="004D0484" w:rsidP="00A926BD">
      <w:pPr>
        <w:pStyle w:val="4"/>
      </w:pPr>
      <w:r w:rsidRPr="00FD50F6">
        <w:t>用地</w:t>
      </w:r>
      <w:r w:rsidRPr="00FD50F6">
        <w:rPr>
          <w:rFonts w:hint="eastAsia"/>
        </w:rPr>
        <w:t>性质</w:t>
      </w:r>
      <w:r w:rsidRPr="00FD50F6">
        <w:t>与城市总体规划</w:t>
      </w:r>
      <w:r w:rsidRPr="00FD50F6">
        <w:rPr>
          <w:rFonts w:hint="eastAsia"/>
        </w:rPr>
        <w:t>相</w:t>
      </w:r>
      <w:r w:rsidRPr="00FD50F6">
        <w:t>一致；</w:t>
      </w:r>
    </w:p>
    <w:p w14:paraId="1436019F" w14:textId="260382C6" w:rsidR="004D0484" w:rsidRPr="00FD50F6" w:rsidRDefault="004D0484" w:rsidP="00A926BD">
      <w:pPr>
        <w:pStyle w:val="4"/>
      </w:pPr>
      <w:r w:rsidRPr="00FD50F6">
        <w:rPr>
          <w:rFonts w:hint="eastAsia"/>
        </w:rPr>
        <w:t>具有</w:t>
      </w:r>
      <w:r w:rsidRPr="00FD50F6">
        <w:t>良好的接轨条件；</w:t>
      </w:r>
    </w:p>
    <w:p w14:paraId="76E8F578" w14:textId="6FBC9F52" w:rsidR="004D0484" w:rsidRPr="00FD50F6" w:rsidRDefault="004D0484" w:rsidP="00A926BD">
      <w:pPr>
        <w:pStyle w:val="4"/>
        <w:rPr>
          <w:b/>
        </w:rPr>
      </w:pPr>
      <w:r w:rsidRPr="00FD50F6">
        <w:t>面积应满足功能和布置的要求，并应具有远期发展余地；</w:t>
      </w:r>
    </w:p>
    <w:p w14:paraId="621DEC16" w14:textId="3239123D" w:rsidR="004D0484" w:rsidRPr="00FD50F6" w:rsidRDefault="004D0484" w:rsidP="00A926BD">
      <w:pPr>
        <w:pStyle w:val="4"/>
      </w:pPr>
      <w:r w:rsidRPr="00FD50F6">
        <w:t>具有良好的自然排水条件；</w:t>
      </w:r>
    </w:p>
    <w:p w14:paraId="30F6EC9F" w14:textId="527D74F7" w:rsidR="004D0484" w:rsidRPr="00FD50F6" w:rsidRDefault="004D0484" w:rsidP="00A926BD">
      <w:pPr>
        <w:pStyle w:val="4"/>
      </w:pPr>
      <w:r w:rsidRPr="00FD50F6">
        <w:t>便于城市电力、给排水及各种管线的引入和城市道路的连接；</w:t>
      </w:r>
    </w:p>
    <w:p w14:paraId="0BE0676E" w14:textId="31FD1A86" w:rsidR="004D0484" w:rsidRPr="00FD50F6" w:rsidRDefault="004D0484" w:rsidP="00A926BD">
      <w:pPr>
        <w:pStyle w:val="4"/>
      </w:pPr>
      <w:r w:rsidRPr="00FD50F6">
        <w:t>避开工程地质和水文地质不良的地段。</w:t>
      </w:r>
    </w:p>
    <w:p w14:paraId="24EA29F6" w14:textId="57295019" w:rsidR="004D0484" w:rsidRPr="00FD50F6" w:rsidRDefault="004D0484" w:rsidP="001A4CF3">
      <w:pPr>
        <w:pStyle w:val="30"/>
      </w:pPr>
      <w:r w:rsidRPr="00FD50F6">
        <w:t>车辆基地设计应贯彻节约用地、节约能源和资源的方针。</w:t>
      </w:r>
    </w:p>
    <w:p w14:paraId="4D0F15B9" w14:textId="61A6C2F0" w:rsidR="004D0484" w:rsidRPr="00FD50F6" w:rsidRDefault="004D0484" w:rsidP="004D0484">
      <w:pPr>
        <w:pStyle w:val="30"/>
      </w:pPr>
      <w:r w:rsidRPr="00FD50F6">
        <w:t>车辆基地</w:t>
      </w:r>
      <w:r w:rsidRPr="00FD50F6">
        <w:rPr>
          <w:rFonts w:hint="eastAsia"/>
        </w:rPr>
        <w:t>宜设置在地上，并</w:t>
      </w:r>
      <w:r w:rsidRPr="00FD50F6">
        <w:t>应设计有完善的消防设施。总平面布置、房屋设计和材料、设备的选用等应符合现行国家标准</w:t>
      </w:r>
      <w:r w:rsidRPr="00FD50F6">
        <w:rPr>
          <w:rFonts w:hint="eastAsia"/>
        </w:rPr>
        <w:t>《地铁设计防火标准》</w:t>
      </w:r>
      <w:r w:rsidRPr="00FD50F6">
        <w:rPr>
          <w:rFonts w:hint="eastAsia"/>
        </w:rPr>
        <w:t>GB</w:t>
      </w:r>
      <w:r w:rsidRPr="00FD50F6">
        <w:t xml:space="preserve"> </w:t>
      </w:r>
      <w:r w:rsidRPr="00FD50F6">
        <w:rPr>
          <w:rFonts w:hint="eastAsia"/>
        </w:rPr>
        <w:t>51298</w:t>
      </w:r>
      <w:r w:rsidRPr="00FD50F6">
        <w:rPr>
          <w:rFonts w:hint="eastAsia"/>
        </w:rPr>
        <w:t>、</w:t>
      </w:r>
      <w:r w:rsidRPr="00FD50F6">
        <w:t>《建筑设计防火规范》</w:t>
      </w:r>
      <w:r w:rsidRPr="00FD50F6">
        <w:t>GB 50016</w:t>
      </w:r>
      <w:r w:rsidRPr="00FD50F6">
        <w:rPr>
          <w:rFonts w:hint="eastAsia"/>
        </w:rPr>
        <w:t>的规定。</w:t>
      </w:r>
    </w:p>
    <w:p w14:paraId="4E32B3CE" w14:textId="5129038D" w:rsidR="004D0484" w:rsidRPr="00002060" w:rsidRDefault="004D0484" w:rsidP="001A4CF3">
      <w:pPr>
        <w:pStyle w:val="30"/>
      </w:pPr>
      <w:r w:rsidRPr="00FD50F6">
        <w:t>车辆基地应</w:t>
      </w:r>
      <w:r w:rsidRPr="00FD50F6">
        <w:rPr>
          <w:rFonts w:hint="eastAsia"/>
        </w:rPr>
        <w:t>具有</w:t>
      </w:r>
      <w:r w:rsidRPr="00FD50F6">
        <w:t>对所产生的废气、废液、废渣和噪声</w:t>
      </w:r>
      <w:r w:rsidRPr="00FD50F6">
        <w:rPr>
          <w:rFonts w:hint="eastAsia"/>
        </w:rPr>
        <w:t>、</w:t>
      </w:r>
      <w:r w:rsidRPr="00FD50F6">
        <w:t>振动等进行综合治理</w:t>
      </w:r>
      <w:r w:rsidRPr="00FD50F6">
        <w:rPr>
          <w:rFonts w:hint="eastAsia"/>
        </w:rPr>
        <w:t>的环境保护设施。</w:t>
      </w:r>
      <w:r w:rsidRPr="00AA0E76">
        <w:rPr>
          <w:rFonts w:hint="eastAsia"/>
        </w:rPr>
        <w:t>环境保护设施应与主体工程同时设计、同时施工、同时投产。</w:t>
      </w:r>
    </w:p>
    <w:p w14:paraId="0A28C646" w14:textId="42D1CB73" w:rsidR="004D0484" w:rsidRPr="00FD50F6" w:rsidRDefault="004D0484" w:rsidP="004D0484">
      <w:pPr>
        <w:pStyle w:val="30"/>
      </w:pPr>
      <w:r w:rsidRPr="00FD50F6">
        <w:t>车辆基地设计涉及既有河道</w:t>
      </w:r>
      <w:r w:rsidRPr="00FD50F6">
        <w:rPr>
          <w:rFonts w:hint="eastAsia"/>
        </w:rPr>
        <w:t>、</w:t>
      </w:r>
      <w:r w:rsidRPr="00FD50F6">
        <w:t>水利设施</w:t>
      </w:r>
      <w:r w:rsidRPr="00FD50F6">
        <w:rPr>
          <w:rFonts w:hint="eastAsia"/>
        </w:rPr>
        <w:t>、</w:t>
      </w:r>
      <w:r w:rsidRPr="00FD50F6">
        <w:t>既有道路或规划</w:t>
      </w:r>
      <w:r w:rsidRPr="00FD50F6">
        <w:rPr>
          <w:rFonts w:hint="eastAsia"/>
        </w:rPr>
        <w:t>设施、</w:t>
      </w:r>
      <w:r w:rsidRPr="00FD50F6">
        <w:t>道路以及重要管线工程进行迁移或改建时，应取得水利</w:t>
      </w:r>
      <w:r w:rsidRPr="00FD50F6">
        <w:rPr>
          <w:rFonts w:hint="eastAsia"/>
        </w:rPr>
        <w:t>、</w:t>
      </w:r>
      <w:r w:rsidRPr="00FD50F6">
        <w:t>水务</w:t>
      </w:r>
      <w:r w:rsidRPr="00FD50F6">
        <w:rPr>
          <w:rFonts w:hint="eastAsia"/>
        </w:rPr>
        <w:t>、</w:t>
      </w:r>
      <w:r w:rsidRPr="00FD50F6">
        <w:t>市政及规划等相关部门的认可</w:t>
      </w:r>
      <w:r w:rsidRPr="00FD50F6">
        <w:rPr>
          <w:rFonts w:hint="eastAsia"/>
        </w:rPr>
        <w:t>，</w:t>
      </w:r>
      <w:r w:rsidRPr="00FD50F6">
        <w:t>迁改方案应同步设计</w:t>
      </w:r>
      <w:r w:rsidRPr="00FD50F6">
        <w:rPr>
          <w:rFonts w:hint="eastAsia"/>
        </w:rPr>
        <w:t>，</w:t>
      </w:r>
      <w:r w:rsidRPr="00FD50F6">
        <w:t>迁改设施应与本工程同时施工。</w:t>
      </w:r>
    </w:p>
    <w:p w14:paraId="594B1623" w14:textId="0576DAC4" w:rsidR="004D0484" w:rsidRPr="00FD50F6" w:rsidRDefault="004D0484" w:rsidP="004D0484">
      <w:pPr>
        <w:pStyle w:val="30"/>
      </w:pPr>
      <w:r w:rsidRPr="00FD50F6">
        <w:t>车辆基地应具有外来物资、设备及新车进入的运输条件，有条件时</w:t>
      </w:r>
      <w:r w:rsidRPr="00FD50F6">
        <w:rPr>
          <w:rFonts w:hint="eastAsia"/>
        </w:rPr>
        <w:t>宜</w:t>
      </w:r>
      <w:r w:rsidRPr="00FD50F6">
        <w:t>设连接国家铁路的专用线；车辆基地内应有运输、消防道路，并应有不少于两个</w:t>
      </w:r>
      <w:r w:rsidRPr="00FD50F6">
        <w:lastRenderedPageBreak/>
        <w:t>与外界道路相连通的出入口。</w:t>
      </w:r>
      <w:r w:rsidRPr="00FD50F6">
        <w:rPr>
          <w:rFonts w:hint="eastAsia"/>
        </w:rPr>
        <w:t>当</w:t>
      </w:r>
      <w:r w:rsidRPr="00FD50F6">
        <w:t>运输道路、消防道路与线路设有平交道时，应在道口前安装安全警示标识及限高、限载标识牌。</w:t>
      </w:r>
    </w:p>
    <w:p w14:paraId="309D2B16" w14:textId="7320BE40" w:rsidR="004D0484" w:rsidRPr="00FD50F6" w:rsidRDefault="004D0484" w:rsidP="004D0484">
      <w:pPr>
        <w:pStyle w:val="30"/>
      </w:pPr>
      <w:r w:rsidRPr="00FD50F6">
        <w:rPr>
          <w:rFonts w:hint="eastAsia"/>
        </w:rPr>
        <w:t>当</w:t>
      </w:r>
      <w:r w:rsidRPr="00FD50F6">
        <w:t>车辆基地进行上盖物业开发时，应明确开发内容、性质和规模。在</w:t>
      </w:r>
      <w:r w:rsidR="0001633B">
        <w:t>满足</w:t>
      </w:r>
      <w:r w:rsidRPr="00FD50F6">
        <w:t>车辆基地功能和规模的基础上，</w:t>
      </w:r>
      <w:r w:rsidR="001B1BA6" w:rsidRPr="00FD50F6">
        <w:t>总平面布置</w:t>
      </w:r>
      <w:r w:rsidRPr="00FD50F6">
        <w:rPr>
          <w:rFonts w:hint="eastAsia"/>
        </w:rPr>
        <w:t>应</w:t>
      </w:r>
      <w:r w:rsidRPr="00FD50F6">
        <w:t>对车辆基地的各项设备、设施与物业开发的内容进行统一规划，并应结合车辆基地内外道路的合理衔接及相关市政配套设施的规划，进行技术经济比较和效益分析。</w:t>
      </w:r>
    </w:p>
    <w:p w14:paraId="188AB3D3" w14:textId="77777777" w:rsidR="004D0484" w:rsidRPr="00FD50F6" w:rsidRDefault="004D0484" w:rsidP="0001633B">
      <w:pPr>
        <w:pStyle w:val="2"/>
        <w:ind w:leftChars="-58" w:left="2" w:hangingChars="50" w:hanging="141"/>
        <w:jc w:val="center"/>
      </w:pPr>
      <w:bookmarkStart w:id="1174" w:name="_Toc320196137"/>
      <w:bookmarkStart w:id="1175" w:name="_Toc320642943"/>
      <w:bookmarkStart w:id="1176" w:name="_Toc320643358"/>
      <w:bookmarkStart w:id="1177" w:name="_Toc320643526"/>
      <w:bookmarkStart w:id="1178" w:name="_Toc236812102"/>
      <w:bookmarkStart w:id="1179" w:name="_Toc306207280"/>
      <w:bookmarkStart w:id="1180" w:name="_Toc306207471"/>
      <w:bookmarkStart w:id="1181" w:name="_Toc320196138"/>
      <w:bookmarkStart w:id="1182" w:name="_Toc320643527"/>
      <w:bookmarkStart w:id="1183" w:name="_Toc32511918"/>
      <w:bookmarkStart w:id="1184" w:name="_Toc112830866"/>
      <w:bookmarkEnd w:id="1174"/>
      <w:bookmarkEnd w:id="1175"/>
      <w:bookmarkEnd w:id="1176"/>
      <w:bookmarkEnd w:id="1177"/>
      <w:r w:rsidRPr="00FD50F6">
        <w:t>车辆段与停车场的功能、规模及总平面布置</w:t>
      </w:r>
      <w:bookmarkEnd w:id="1178"/>
      <w:bookmarkEnd w:id="1179"/>
      <w:bookmarkEnd w:id="1180"/>
      <w:bookmarkEnd w:id="1181"/>
      <w:bookmarkEnd w:id="1182"/>
      <w:bookmarkEnd w:id="1183"/>
      <w:bookmarkEnd w:id="1184"/>
    </w:p>
    <w:p w14:paraId="1C216E69" w14:textId="7C46834F" w:rsidR="004D0484" w:rsidRPr="00FD50F6" w:rsidRDefault="004D0484" w:rsidP="004D0484">
      <w:pPr>
        <w:pStyle w:val="30"/>
      </w:pPr>
      <w:r w:rsidRPr="00FD50F6">
        <w:t>车辆段与停车场的功能</w:t>
      </w:r>
      <w:r w:rsidRPr="00FD50F6">
        <w:rPr>
          <w:rFonts w:hint="eastAsia"/>
        </w:rPr>
        <w:t>、</w:t>
      </w:r>
      <w:r w:rsidRPr="00FD50F6">
        <w:t>设置应符合下列</w:t>
      </w:r>
      <w:r w:rsidRPr="00FD50F6">
        <w:rPr>
          <w:rFonts w:hint="eastAsia"/>
        </w:rPr>
        <w:t>规定</w:t>
      </w:r>
      <w:r w:rsidRPr="00FD50F6">
        <w:t>：</w:t>
      </w:r>
    </w:p>
    <w:p w14:paraId="499573EE" w14:textId="0E982DF5" w:rsidR="004D0484" w:rsidRPr="00FD50F6" w:rsidRDefault="004D0484" w:rsidP="00A926BD">
      <w:pPr>
        <w:pStyle w:val="4"/>
      </w:pPr>
      <w:r w:rsidRPr="00FD50F6">
        <w:t>车辆段可根据其作业范围分为大架修段和定修段，大架修段应承担车辆的大修和架修及其以下修程作业</w:t>
      </w:r>
      <w:r w:rsidRPr="00FD50F6">
        <w:rPr>
          <w:rFonts w:hint="eastAsia"/>
        </w:rPr>
        <w:t>，</w:t>
      </w:r>
      <w:r w:rsidRPr="00FD50F6">
        <w:t>定修段应承担车辆的定修及其以下修程作业；</w:t>
      </w:r>
    </w:p>
    <w:p w14:paraId="058D5DBC" w14:textId="010B44EF" w:rsidR="004D0484" w:rsidRPr="00FD50F6" w:rsidRDefault="004D0484" w:rsidP="00A926BD">
      <w:pPr>
        <w:pStyle w:val="4"/>
      </w:pPr>
      <w:r w:rsidRPr="00FD50F6">
        <w:t>停车场应承担列检和停车作业，可承担双周</w:t>
      </w:r>
      <w:r w:rsidRPr="00FD50F6">
        <w:rPr>
          <w:rFonts w:hint="eastAsia"/>
        </w:rPr>
        <w:t>检、</w:t>
      </w:r>
      <w:r w:rsidRPr="00FD50F6">
        <w:t>三月检及临修作业。</w:t>
      </w:r>
    </w:p>
    <w:p w14:paraId="1B51BAD5" w14:textId="0F90DC8A" w:rsidR="004D0484" w:rsidRPr="00FD50F6" w:rsidRDefault="004D0484" w:rsidP="004D0484">
      <w:pPr>
        <w:pStyle w:val="30"/>
      </w:pPr>
      <w:r w:rsidRPr="00FD50F6">
        <w:t>车辆段与停车场设计应以车辆的技术条件和参数为依据。</w:t>
      </w:r>
      <w:r w:rsidRPr="00FD50F6">
        <w:rPr>
          <w:rFonts w:hint="eastAsia"/>
        </w:rPr>
        <w:t>车辆宜采用预防性计划修与状态修相结合的维修制度，及专业化检修与社会化委托相结合的维修模式。</w:t>
      </w:r>
    </w:p>
    <w:p w14:paraId="2C8FEDFC" w14:textId="5B849B26" w:rsidR="004D0484" w:rsidRPr="00FD50F6" w:rsidRDefault="004D0484" w:rsidP="004D0484">
      <w:pPr>
        <w:pStyle w:val="30"/>
      </w:pPr>
      <w:r w:rsidRPr="00FD50F6">
        <w:t>车辆</w:t>
      </w:r>
      <w:r w:rsidRPr="00FD50F6">
        <w:rPr>
          <w:rFonts w:hint="eastAsia"/>
        </w:rPr>
        <w:t>预防性计划修</w:t>
      </w:r>
      <w:r w:rsidRPr="00FD50F6">
        <w:t>宜采用日常维修和定期检修相结合的检修制度。</w:t>
      </w:r>
      <w:r w:rsidRPr="00AA0E76">
        <w:rPr>
          <w:rFonts w:hint="eastAsia"/>
        </w:rPr>
        <w:t>车辆日常维修和定期检修的修程和周期应根据车辆技术条件、车辆的质量和既有车辆基地的检修经验制定。新建地铁工程的车辆检修</w:t>
      </w:r>
      <w:r w:rsidRPr="00FD50F6">
        <w:rPr>
          <w:rFonts w:hint="eastAsia"/>
        </w:rPr>
        <w:t>标准</w:t>
      </w:r>
      <w:r w:rsidRPr="00AA0E76">
        <w:rPr>
          <w:rFonts w:hint="eastAsia"/>
        </w:rPr>
        <w:t>可</w:t>
      </w:r>
      <w:r w:rsidRPr="00FD50F6">
        <w:rPr>
          <w:rFonts w:hint="eastAsia"/>
        </w:rPr>
        <w:t>按</w:t>
      </w:r>
      <w:r w:rsidRPr="00AA0E76">
        <w:rPr>
          <w:rFonts w:hint="eastAsia"/>
        </w:rPr>
        <w:t>表</w:t>
      </w:r>
      <w:r w:rsidR="00232AC3" w:rsidRPr="00FD50F6">
        <w:t>29</w:t>
      </w:r>
      <w:r w:rsidRPr="00AA0E76">
        <w:t>.2.3-1</w:t>
      </w:r>
      <w:r w:rsidRPr="00FD50F6">
        <w:rPr>
          <w:rFonts w:hint="eastAsia"/>
        </w:rPr>
        <w:t>、</w:t>
      </w:r>
      <w:r w:rsidR="00232AC3" w:rsidRPr="00FD50F6">
        <w:t>29</w:t>
      </w:r>
      <w:r w:rsidRPr="00AA0E76">
        <w:t>.2.3-2</w:t>
      </w:r>
      <w:r w:rsidRPr="00FD50F6">
        <w:rPr>
          <w:rFonts w:hint="eastAsia"/>
        </w:rPr>
        <w:t>确定。</w:t>
      </w:r>
    </w:p>
    <w:p w14:paraId="28A9B856" w14:textId="51C372A1" w:rsidR="004D0484" w:rsidRPr="00FD50F6" w:rsidRDefault="004D0484" w:rsidP="004D0484">
      <w:pPr>
        <w:pStyle w:val="6"/>
      </w:pPr>
      <w:r w:rsidRPr="00FD50F6">
        <w:t>表</w:t>
      </w:r>
      <w:r w:rsidR="00232AC3" w:rsidRPr="00FD50F6">
        <w:t>29</w:t>
      </w:r>
      <w:r w:rsidRPr="00FD50F6">
        <w:t>.2.3</w:t>
      </w:r>
      <w:r w:rsidRPr="00FD50F6">
        <w:rPr>
          <w:rFonts w:hint="eastAsia"/>
        </w:rPr>
        <w:t>-1</w:t>
      </w:r>
      <w:r w:rsidRPr="00FD50F6">
        <w:t xml:space="preserve">  </w:t>
      </w:r>
      <w:r w:rsidRPr="00FD50F6">
        <w:rPr>
          <w:rFonts w:cs="Times New Roman" w:hint="eastAsia"/>
          <w:sz w:val="21"/>
          <w:lang w:val="x-none" w:eastAsia="x-none"/>
        </w:rPr>
        <w:t>1</w:t>
      </w:r>
      <w:r w:rsidRPr="00FD50F6">
        <w:rPr>
          <w:rFonts w:cs="Times New Roman"/>
          <w:sz w:val="21"/>
          <w:lang w:val="x-none" w:eastAsia="x-none"/>
        </w:rPr>
        <w:t>0</w:t>
      </w:r>
      <w:r w:rsidRPr="00FD50F6">
        <w:rPr>
          <w:rFonts w:cs="Times New Roman" w:hint="eastAsia"/>
          <w:sz w:val="21"/>
          <w:lang w:val="x-none" w:eastAsia="x-none"/>
        </w:rPr>
        <w:t>0km/h</w:t>
      </w:r>
      <w:r w:rsidRPr="00FD50F6">
        <w:t>车辆检修</w:t>
      </w:r>
      <w:r w:rsidRPr="00FD50F6">
        <w:rPr>
          <w:rFonts w:hint="eastAsia"/>
        </w:rPr>
        <w:t>标准</w:t>
      </w:r>
    </w:p>
    <w:tbl>
      <w:tblPr>
        <w:tblW w:w="8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7"/>
        <w:gridCol w:w="1267"/>
        <w:gridCol w:w="1991"/>
        <w:gridCol w:w="1991"/>
        <w:gridCol w:w="1835"/>
      </w:tblGrid>
      <w:tr w:rsidR="00FD50F6" w:rsidRPr="00FD50F6" w14:paraId="19174E3A" w14:textId="77777777" w:rsidTr="00353026">
        <w:trPr>
          <w:trHeight w:hRule="exact" w:val="397"/>
          <w:tblCellSpacing w:w="0" w:type="dxa"/>
        </w:trPr>
        <w:tc>
          <w:tcPr>
            <w:tcW w:w="1287" w:type="dxa"/>
            <w:vMerge w:val="restart"/>
            <w:vAlign w:val="center"/>
          </w:tcPr>
          <w:p w14:paraId="12118247" w14:textId="77777777" w:rsidR="004D0484" w:rsidRPr="00FD50F6" w:rsidRDefault="004D0484" w:rsidP="00353026">
            <w:pPr>
              <w:pStyle w:val="7"/>
            </w:pPr>
            <w:r w:rsidRPr="00FD50F6">
              <w:t>类别</w:t>
            </w:r>
          </w:p>
        </w:tc>
        <w:tc>
          <w:tcPr>
            <w:tcW w:w="1267" w:type="dxa"/>
            <w:vMerge w:val="restart"/>
            <w:vAlign w:val="center"/>
          </w:tcPr>
          <w:p w14:paraId="44BF98C3" w14:textId="77777777" w:rsidR="004D0484" w:rsidRPr="00FD50F6" w:rsidRDefault="004D0484" w:rsidP="00353026">
            <w:pPr>
              <w:pStyle w:val="7"/>
            </w:pPr>
            <w:r w:rsidRPr="00FD50F6">
              <w:t>检修修程</w:t>
            </w:r>
          </w:p>
        </w:tc>
        <w:tc>
          <w:tcPr>
            <w:tcW w:w="3982" w:type="dxa"/>
            <w:gridSpan w:val="2"/>
            <w:vAlign w:val="center"/>
          </w:tcPr>
          <w:p w14:paraId="055448CF" w14:textId="77777777" w:rsidR="004D0484" w:rsidRPr="00FD50F6" w:rsidRDefault="004D0484" w:rsidP="00353026">
            <w:pPr>
              <w:pStyle w:val="7"/>
            </w:pPr>
            <w:r w:rsidRPr="00FD50F6">
              <w:t>日常维修和定期检修周期指标</w:t>
            </w:r>
          </w:p>
        </w:tc>
        <w:tc>
          <w:tcPr>
            <w:tcW w:w="1835" w:type="dxa"/>
            <w:vMerge w:val="restart"/>
            <w:vAlign w:val="center"/>
          </w:tcPr>
          <w:p w14:paraId="0D79EA1F" w14:textId="77777777" w:rsidR="004D0484" w:rsidRPr="00FD50F6" w:rsidRDefault="004D0484" w:rsidP="00353026">
            <w:pPr>
              <w:pStyle w:val="7"/>
            </w:pPr>
            <w:r w:rsidRPr="00FD50F6">
              <w:t>检修</w:t>
            </w:r>
            <w:r w:rsidRPr="00FD50F6">
              <w:rPr>
                <w:rFonts w:hint="eastAsia"/>
              </w:rPr>
              <w:t>/</w:t>
            </w:r>
            <w:r w:rsidRPr="00FD50F6">
              <w:rPr>
                <w:rFonts w:hint="eastAsia"/>
              </w:rPr>
              <w:t>库停</w:t>
            </w:r>
            <w:r w:rsidRPr="00FD50F6">
              <w:t>时间</w:t>
            </w:r>
            <w:r w:rsidRPr="00FD50F6">
              <w:t>(d)</w:t>
            </w:r>
          </w:p>
        </w:tc>
      </w:tr>
      <w:tr w:rsidR="00FD50F6" w:rsidRPr="00FD50F6" w14:paraId="0E7C1AE9" w14:textId="77777777" w:rsidTr="00353026">
        <w:trPr>
          <w:trHeight w:hRule="exact" w:val="397"/>
          <w:tblCellSpacing w:w="0" w:type="dxa"/>
        </w:trPr>
        <w:tc>
          <w:tcPr>
            <w:tcW w:w="1287" w:type="dxa"/>
            <w:vMerge/>
            <w:vAlign w:val="center"/>
          </w:tcPr>
          <w:p w14:paraId="2E20CBEE" w14:textId="77777777" w:rsidR="004D0484" w:rsidRPr="00FD50F6" w:rsidRDefault="004D0484" w:rsidP="00353026">
            <w:pPr>
              <w:pStyle w:val="7"/>
              <w:rPr>
                <w:b/>
              </w:rPr>
            </w:pPr>
          </w:p>
        </w:tc>
        <w:tc>
          <w:tcPr>
            <w:tcW w:w="1267" w:type="dxa"/>
            <w:vMerge/>
            <w:vAlign w:val="center"/>
          </w:tcPr>
          <w:p w14:paraId="3B3C4087" w14:textId="77777777" w:rsidR="004D0484" w:rsidRPr="00FD50F6" w:rsidRDefault="004D0484" w:rsidP="00353026">
            <w:pPr>
              <w:pStyle w:val="7"/>
              <w:rPr>
                <w:b/>
              </w:rPr>
            </w:pPr>
          </w:p>
        </w:tc>
        <w:tc>
          <w:tcPr>
            <w:tcW w:w="1991" w:type="dxa"/>
            <w:vAlign w:val="center"/>
          </w:tcPr>
          <w:p w14:paraId="1184576F" w14:textId="77777777" w:rsidR="004D0484" w:rsidRPr="00FD50F6" w:rsidRDefault="004D0484" w:rsidP="00353026">
            <w:pPr>
              <w:pStyle w:val="7"/>
            </w:pPr>
            <w:r w:rsidRPr="00FD50F6">
              <w:t>走行里程</w:t>
            </w:r>
            <w:r w:rsidRPr="00FD50F6">
              <w:t>(</w:t>
            </w:r>
            <w:r w:rsidRPr="00FD50F6">
              <w:t>万</w:t>
            </w:r>
            <w:r w:rsidRPr="00FD50F6">
              <w:t>km)</w:t>
            </w:r>
          </w:p>
        </w:tc>
        <w:tc>
          <w:tcPr>
            <w:tcW w:w="1991" w:type="dxa"/>
            <w:vAlign w:val="center"/>
          </w:tcPr>
          <w:p w14:paraId="1D1AEF61" w14:textId="77777777" w:rsidR="004D0484" w:rsidRPr="00FD50F6" w:rsidRDefault="004D0484" w:rsidP="00353026">
            <w:pPr>
              <w:pStyle w:val="7"/>
            </w:pPr>
            <w:r w:rsidRPr="00FD50F6">
              <w:t>时间间隔</w:t>
            </w:r>
          </w:p>
        </w:tc>
        <w:tc>
          <w:tcPr>
            <w:tcW w:w="1835" w:type="dxa"/>
            <w:vMerge/>
            <w:vAlign w:val="center"/>
          </w:tcPr>
          <w:p w14:paraId="2D5E1C9A" w14:textId="77777777" w:rsidR="004D0484" w:rsidRPr="00FD50F6" w:rsidRDefault="004D0484" w:rsidP="00353026">
            <w:pPr>
              <w:pStyle w:val="7"/>
            </w:pPr>
          </w:p>
        </w:tc>
      </w:tr>
      <w:tr w:rsidR="00FD50F6" w:rsidRPr="00FD50F6" w14:paraId="20D268F4" w14:textId="77777777" w:rsidTr="00353026">
        <w:trPr>
          <w:trHeight w:hRule="exact" w:val="397"/>
          <w:tblCellSpacing w:w="0" w:type="dxa"/>
        </w:trPr>
        <w:tc>
          <w:tcPr>
            <w:tcW w:w="1287" w:type="dxa"/>
            <w:vMerge w:val="restart"/>
            <w:vAlign w:val="center"/>
          </w:tcPr>
          <w:p w14:paraId="4A2123C0" w14:textId="77777777" w:rsidR="004D0484" w:rsidRPr="00FD50F6" w:rsidRDefault="004D0484" w:rsidP="00353026">
            <w:pPr>
              <w:pStyle w:val="7"/>
            </w:pPr>
            <w:r w:rsidRPr="00FD50F6">
              <w:t>定期检修</w:t>
            </w:r>
          </w:p>
        </w:tc>
        <w:tc>
          <w:tcPr>
            <w:tcW w:w="1267" w:type="dxa"/>
            <w:vAlign w:val="center"/>
          </w:tcPr>
          <w:p w14:paraId="7465650C" w14:textId="77777777" w:rsidR="004D0484" w:rsidRPr="00FD50F6" w:rsidRDefault="004D0484" w:rsidP="00353026">
            <w:pPr>
              <w:pStyle w:val="7"/>
            </w:pPr>
            <w:r w:rsidRPr="00FD50F6">
              <w:t>大修</w:t>
            </w:r>
          </w:p>
        </w:tc>
        <w:tc>
          <w:tcPr>
            <w:tcW w:w="1991" w:type="dxa"/>
            <w:vAlign w:val="center"/>
          </w:tcPr>
          <w:p w14:paraId="70E27791" w14:textId="77777777" w:rsidR="004D0484" w:rsidRPr="00FD50F6" w:rsidRDefault="004D0484" w:rsidP="00353026">
            <w:pPr>
              <w:pStyle w:val="7"/>
            </w:pPr>
            <w:r w:rsidRPr="00FD50F6">
              <w:t>120</w:t>
            </w:r>
          </w:p>
        </w:tc>
        <w:tc>
          <w:tcPr>
            <w:tcW w:w="1991" w:type="dxa"/>
            <w:vAlign w:val="center"/>
          </w:tcPr>
          <w:p w14:paraId="3B11D968" w14:textId="77777777" w:rsidR="004D0484" w:rsidRPr="00FD50F6" w:rsidRDefault="004D0484" w:rsidP="00353026">
            <w:pPr>
              <w:pStyle w:val="7"/>
            </w:pPr>
            <w:r w:rsidRPr="00FD50F6">
              <w:t>10</w:t>
            </w:r>
            <w:r w:rsidRPr="00FD50F6">
              <w:t>年</w:t>
            </w:r>
          </w:p>
        </w:tc>
        <w:tc>
          <w:tcPr>
            <w:tcW w:w="1835" w:type="dxa"/>
            <w:vAlign w:val="center"/>
          </w:tcPr>
          <w:p w14:paraId="36CE3BA1" w14:textId="77777777" w:rsidR="004D0484" w:rsidRPr="00FD50F6" w:rsidRDefault="004D0484" w:rsidP="00353026">
            <w:pPr>
              <w:pStyle w:val="7"/>
            </w:pPr>
            <w:r w:rsidRPr="00FD50F6">
              <w:t>35</w:t>
            </w:r>
            <w:r w:rsidRPr="00FD50F6">
              <w:rPr>
                <w:rFonts w:hint="eastAsia"/>
              </w:rPr>
              <w:t>/30</w:t>
            </w:r>
          </w:p>
        </w:tc>
      </w:tr>
      <w:tr w:rsidR="00FD50F6" w:rsidRPr="00FD50F6" w14:paraId="172FD0AE" w14:textId="77777777" w:rsidTr="00353026">
        <w:trPr>
          <w:trHeight w:hRule="exact" w:val="397"/>
          <w:tblCellSpacing w:w="0" w:type="dxa"/>
        </w:trPr>
        <w:tc>
          <w:tcPr>
            <w:tcW w:w="1287" w:type="dxa"/>
            <w:vMerge/>
            <w:vAlign w:val="center"/>
          </w:tcPr>
          <w:p w14:paraId="43112DD6" w14:textId="77777777" w:rsidR="004D0484" w:rsidRPr="00FD50F6" w:rsidRDefault="004D0484" w:rsidP="00353026">
            <w:pPr>
              <w:pStyle w:val="7"/>
              <w:rPr>
                <w:b/>
              </w:rPr>
            </w:pPr>
          </w:p>
        </w:tc>
        <w:tc>
          <w:tcPr>
            <w:tcW w:w="1267" w:type="dxa"/>
            <w:vAlign w:val="center"/>
          </w:tcPr>
          <w:p w14:paraId="05183261" w14:textId="77777777" w:rsidR="004D0484" w:rsidRPr="00FD50F6" w:rsidRDefault="004D0484" w:rsidP="00353026">
            <w:pPr>
              <w:pStyle w:val="7"/>
            </w:pPr>
            <w:r w:rsidRPr="00FD50F6">
              <w:t>架修</w:t>
            </w:r>
          </w:p>
        </w:tc>
        <w:tc>
          <w:tcPr>
            <w:tcW w:w="1991" w:type="dxa"/>
            <w:vAlign w:val="center"/>
          </w:tcPr>
          <w:p w14:paraId="0C51593B" w14:textId="77777777" w:rsidR="004D0484" w:rsidRPr="00FD50F6" w:rsidRDefault="004D0484" w:rsidP="00353026">
            <w:pPr>
              <w:pStyle w:val="7"/>
            </w:pPr>
            <w:r w:rsidRPr="00FD50F6">
              <w:t>60</w:t>
            </w:r>
          </w:p>
        </w:tc>
        <w:tc>
          <w:tcPr>
            <w:tcW w:w="1991" w:type="dxa"/>
            <w:vAlign w:val="center"/>
          </w:tcPr>
          <w:p w14:paraId="27D8E36F" w14:textId="77777777" w:rsidR="004D0484" w:rsidRPr="00FD50F6" w:rsidRDefault="004D0484" w:rsidP="00353026">
            <w:pPr>
              <w:pStyle w:val="7"/>
            </w:pPr>
            <w:r w:rsidRPr="00FD50F6">
              <w:t>5</w:t>
            </w:r>
            <w:r w:rsidRPr="00FD50F6">
              <w:t>年</w:t>
            </w:r>
          </w:p>
        </w:tc>
        <w:tc>
          <w:tcPr>
            <w:tcW w:w="1835" w:type="dxa"/>
            <w:vAlign w:val="center"/>
          </w:tcPr>
          <w:p w14:paraId="4699D93D" w14:textId="77777777" w:rsidR="004D0484" w:rsidRPr="00FD50F6" w:rsidRDefault="004D0484" w:rsidP="00353026">
            <w:pPr>
              <w:pStyle w:val="7"/>
            </w:pPr>
            <w:r w:rsidRPr="00FD50F6">
              <w:t>20</w:t>
            </w:r>
            <w:r w:rsidRPr="00FD50F6">
              <w:rPr>
                <w:rFonts w:hint="eastAsia"/>
              </w:rPr>
              <w:t>/18</w:t>
            </w:r>
          </w:p>
        </w:tc>
      </w:tr>
      <w:tr w:rsidR="00FD50F6" w:rsidRPr="00FD50F6" w14:paraId="70B1C858" w14:textId="77777777" w:rsidTr="00353026">
        <w:trPr>
          <w:trHeight w:hRule="exact" w:val="397"/>
          <w:tblCellSpacing w:w="0" w:type="dxa"/>
        </w:trPr>
        <w:tc>
          <w:tcPr>
            <w:tcW w:w="1287" w:type="dxa"/>
            <w:vMerge/>
            <w:vAlign w:val="center"/>
          </w:tcPr>
          <w:p w14:paraId="20655CAF" w14:textId="77777777" w:rsidR="004D0484" w:rsidRPr="00FD50F6" w:rsidRDefault="004D0484" w:rsidP="00353026">
            <w:pPr>
              <w:pStyle w:val="7"/>
              <w:rPr>
                <w:b/>
              </w:rPr>
            </w:pPr>
          </w:p>
        </w:tc>
        <w:tc>
          <w:tcPr>
            <w:tcW w:w="1267" w:type="dxa"/>
            <w:vAlign w:val="center"/>
          </w:tcPr>
          <w:p w14:paraId="6BA16543" w14:textId="77777777" w:rsidR="004D0484" w:rsidRPr="00FD50F6" w:rsidRDefault="004D0484" w:rsidP="00353026">
            <w:pPr>
              <w:pStyle w:val="7"/>
            </w:pPr>
            <w:r w:rsidRPr="00FD50F6">
              <w:t>定修</w:t>
            </w:r>
          </w:p>
        </w:tc>
        <w:tc>
          <w:tcPr>
            <w:tcW w:w="1991" w:type="dxa"/>
            <w:vAlign w:val="center"/>
          </w:tcPr>
          <w:p w14:paraId="29B6A451" w14:textId="77777777" w:rsidR="004D0484" w:rsidRPr="00FD50F6" w:rsidRDefault="004D0484" w:rsidP="00353026">
            <w:pPr>
              <w:pStyle w:val="7"/>
            </w:pPr>
            <w:r w:rsidRPr="00FD50F6">
              <w:t>15</w:t>
            </w:r>
          </w:p>
        </w:tc>
        <w:tc>
          <w:tcPr>
            <w:tcW w:w="1991" w:type="dxa"/>
            <w:vAlign w:val="center"/>
          </w:tcPr>
          <w:p w14:paraId="5ECA7D55" w14:textId="77777777" w:rsidR="004D0484" w:rsidRPr="00FD50F6" w:rsidRDefault="004D0484" w:rsidP="00353026">
            <w:pPr>
              <w:pStyle w:val="7"/>
            </w:pPr>
            <w:r w:rsidRPr="00FD50F6">
              <w:t>1.25</w:t>
            </w:r>
            <w:r w:rsidRPr="00FD50F6">
              <w:t>年</w:t>
            </w:r>
          </w:p>
        </w:tc>
        <w:tc>
          <w:tcPr>
            <w:tcW w:w="1835" w:type="dxa"/>
            <w:vAlign w:val="center"/>
          </w:tcPr>
          <w:p w14:paraId="193711C7" w14:textId="77777777" w:rsidR="004D0484" w:rsidRPr="00FD50F6" w:rsidRDefault="004D0484" w:rsidP="00353026">
            <w:pPr>
              <w:pStyle w:val="7"/>
            </w:pPr>
            <w:r w:rsidRPr="00FD50F6">
              <w:t>7</w:t>
            </w:r>
            <w:r w:rsidRPr="00FD50F6">
              <w:rPr>
                <w:rFonts w:hint="eastAsia"/>
              </w:rPr>
              <w:t>/6</w:t>
            </w:r>
          </w:p>
        </w:tc>
      </w:tr>
      <w:tr w:rsidR="00FD50F6" w:rsidRPr="00FD50F6" w14:paraId="72ACB8E8" w14:textId="77777777" w:rsidTr="00353026">
        <w:trPr>
          <w:trHeight w:hRule="exact" w:val="397"/>
          <w:tblCellSpacing w:w="0" w:type="dxa"/>
        </w:trPr>
        <w:tc>
          <w:tcPr>
            <w:tcW w:w="1287" w:type="dxa"/>
            <w:vMerge w:val="restart"/>
            <w:vAlign w:val="center"/>
          </w:tcPr>
          <w:p w14:paraId="6F5FDBFD" w14:textId="77777777" w:rsidR="004D0484" w:rsidRPr="00FD50F6" w:rsidRDefault="004D0484" w:rsidP="00353026">
            <w:pPr>
              <w:pStyle w:val="7"/>
            </w:pPr>
            <w:r w:rsidRPr="00FD50F6">
              <w:t>日常维修</w:t>
            </w:r>
          </w:p>
        </w:tc>
        <w:tc>
          <w:tcPr>
            <w:tcW w:w="1267" w:type="dxa"/>
            <w:vAlign w:val="center"/>
          </w:tcPr>
          <w:p w14:paraId="4B877B36" w14:textId="77777777" w:rsidR="004D0484" w:rsidRPr="00FD50F6" w:rsidRDefault="004D0484" w:rsidP="00353026">
            <w:pPr>
              <w:pStyle w:val="7"/>
            </w:pPr>
            <w:r w:rsidRPr="00FD50F6">
              <w:t>三月检</w:t>
            </w:r>
          </w:p>
        </w:tc>
        <w:tc>
          <w:tcPr>
            <w:tcW w:w="1991" w:type="dxa"/>
            <w:vAlign w:val="center"/>
          </w:tcPr>
          <w:p w14:paraId="278E9BAA" w14:textId="77777777" w:rsidR="004D0484" w:rsidRPr="00FD50F6" w:rsidRDefault="004D0484" w:rsidP="00353026">
            <w:pPr>
              <w:pStyle w:val="7"/>
            </w:pPr>
            <w:r w:rsidRPr="00FD50F6">
              <w:t>3</w:t>
            </w:r>
          </w:p>
        </w:tc>
        <w:tc>
          <w:tcPr>
            <w:tcW w:w="1991" w:type="dxa"/>
            <w:vAlign w:val="center"/>
          </w:tcPr>
          <w:p w14:paraId="24F68274" w14:textId="77777777" w:rsidR="004D0484" w:rsidRPr="00FD50F6" w:rsidRDefault="004D0484" w:rsidP="00353026">
            <w:pPr>
              <w:pStyle w:val="7"/>
            </w:pPr>
            <w:r w:rsidRPr="00FD50F6">
              <w:t>3</w:t>
            </w:r>
            <w:r w:rsidRPr="00FD50F6">
              <w:t>月</w:t>
            </w:r>
          </w:p>
        </w:tc>
        <w:tc>
          <w:tcPr>
            <w:tcW w:w="1835" w:type="dxa"/>
            <w:vAlign w:val="center"/>
          </w:tcPr>
          <w:p w14:paraId="1FF770BD" w14:textId="77777777" w:rsidR="004D0484" w:rsidRPr="00FD50F6" w:rsidRDefault="004D0484" w:rsidP="00353026">
            <w:pPr>
              <w:pStyle w:val="7"/>
            </w:pPr>
            <w:r w:rsidRPr="00FD50F6">
              <w:t>2</w:t>
            </w:r>
          </w:p>
        </w:tc>
      </w:tr>
      <w:tr w:rsidR="00FD50F6" w:rsidRPr="00FD50F6" w14:paraId="077CDEC0" w14:textId="77777777" w:rsidTr="00353026">
        <w:trPr>
          <w:trHeight w:hRule="exact" w:val="397"/>
          <w:tblCellSpacing w:w="0" w:type="dxa"/>
        </w:trPr>
        <w:tc>
          <w:tcPr>
            <w:tcW w:w="1287" w:type="dxa"/>
            <w:vMerge/>
            <w:vAlign w:val="center"/>
          </w:tcPr>
          <w:p w14:paraId="673E8999" w14:textId="77777777" w:rsidR="004D0484" w:rsidRPr="00FD50F6" w:rsidRDefault="004D0484" w:rsidP="00353026">
            <w:pPr>
              <w:pStyle w:val="7"/>
              <w:rPr>
                <w:b/>
              </w:rPr>
            </w:pPr>
          </w:p>
        </w:tc>
        <w:tc>
          <w:tcPr>
            <w:tcW w:w="1267" w:type="dxa"/>
            <w:vAlign w:val="center"/>
          </w:tcPr>
          <w:p w14:paraId="6531B362" w14:textId="77777777" w:rsidR="004D0484" w:rsidRPr="00FD50F6" w:rsidRDefault="004D0484" w:rsidP="00353026">
            <w:pPr>
              <w:pStyle w:val="7"/>
            </w:pPr>
            <w:r w:rsidRPr="00FD50F6">
              <w:t>双周检</w:t>
            </w:r>
          </w:p>
        </w:tc>
        <w:tc>
          <w:tcPr>
            <w:tcW w:w="1991" w:type="dxa"/>
            <w:vAlign w:val="center"/>
          </w:tcPr>
          <w:p w14:paraId="3EBB99A8" w14:textId="77777777" w:rsidR="004D0484" w:rsidRPr="00FD50F6" w:rsidRDefault="004D0484" w:rsidP="00353026">
            <w:pPr>
              <w:pStyle w:val="7"/>
            </w:pPr>
            <w:r w:rsidRPr="00FD50F6">
              <w:t>0.5</w:t>
            </w:r>
          </w:p>
        </w:tc>
        <w:tc>
          <w:tcPr>
            <w:tcW w:w="1991" w:type="dxa"/>
            <w:vAlign w:val="center"/>
          </w:tcPr>
          <w:p w14:paraId="3E02A0D1" w14:textId="77777777" w:rsidR="004D0484" w:rsidRPr="00FD50F6" w:rsidRDefault="004D0484" w:rsidP="00353026">
            <w:pPr>
              <w:pStyle w:val="7"/>
            </w:pPr>
            <w:r w:rsidRPr="00FD50F6">
              <w:t>0.5</w:t>
            </w:r>
            <w:r w:rsidRPr="00FD50F6">
              <w:t>月</w:t>
            </w:r>
          </w:p>
        </w:tc>
        <w:tc>
          <w:tcPr>
            <w:tcW w:w="1835" w:type="dxa"/>
            <w:vAlign w:val="center"/>
          </w:tcPr>
          <w:p w14:paraId="05E04327" w14:textId="77777777" w:rsidR="004D0484" w:rsidRPr="00FD50F6" w:rsidRDefault="004D0484" w:rsidP="00353026">
            <w:pPr>
              <w:pStyle w:val="7"/>
            </w:pPr>
            <w:r w:rsidRPr="00FD50F6">
              <w:t>0.5</w:t>
            </w:r>
          </w:p>
        </w:tc>
      </w:tr>
      <w:tr w:rsidR="00FD50F6" w:rsidRPr="00FD50F6" w14:paraId="1AB01233" w14:textId="77777777" w:rsidTr="00353026">
        <w:trPr>
          <w:trHeight w:hRule="exact" w:val="397"/>
          <w:tblCellSpacing w:w="0" w:type="dxa"/>
        </w:trPr>
        <w:tc>
          <w:tcPr>
            <w:tcW w:w="1287" w:type="dxa"/>
            <w:vMerge/>
            <w:vAlign w:val="center"/>
          </w:tcPr>
          <w:p w14:paraId="5C7A2C56" w14:textId="77777777" w:rsidR="004D0484" w:rsidRPr="00FD50F6" w:rsidRDefault="004D0484" w:rsidP="00353026">
            <w:pPr>
              <w:pStyle w:val="7"/>
              <w:rPr>
                <w:b/>
              </w:rPr>
            </w:pPr>
          </w:p>
        </w:tc>
        <w:tc>
          <w:tcPr>
            <w:tcW w:w="1267" w:type="dxa"/>
            <w:vAlign w:val="center"/>
          </w:tcPr>
          <w:p w14:paraId="5603CF1C" w14:textId="77777777" w:rsidR="004D0484" w:rsidRPr="00FD50F6" w:rsidRDefault="004D0484" w:rsidP="00353026">
            <w:pPr>
              <w:pStyle w:val="7"/>
            </w:pPr>
            <w:r w:rsidRPr="00FD50F6">
              <w:t>列检</w:t>
            </w:r>
          </w:p>
        </w:tc>
        <w:tc>
          <w:tcPr>
            <w:tcW w:w="1991" w:type="dxa"/>
            <w:vAlign w:val="center"/>
          </w:tcPr>
          <w:p w14:paraId="6B2D4647" w14:textId="77777777" w:rsidR="004D0484" w:rsidRPr="00FD50F6" w:rsidRDefault="004D0484" w:rsidP="00353026">
            <w:pPr>
              <w:pStyle w:val="7"/>
            </w:pPr>
            <w:r w:rsidRPr="00FD50F6">
              <w:t>—</w:t>
            </w:r>
          </w:p>
        </w:tc>
        <w:tc>
          <w:tcPr>
            <w:tcW w:w="1991" w:type="dxa"/>
            <w:vAlign w:val="center"/>
          </w:tcPr>
          <w:p w14:paraId="42EDFB38" w14:textId="77777777" w:rsidR="004D0484" w:rsidRPr="00FD50F6" w:rsidRDefault="004D0484" w:rsidP="00353026">
            <w:pPr>
              <w:pStyle w:val="7"/>
            </w:pPr>
            <w:r w:rsidRPr="00FD50F6">
              <w:t xml:space="preserve"> </w:t>
            </w:r>
            <w:r w:rsidRPr="00FD50F6">
              <w:t>每天或两天</w:t>
            </w:r>
          </w:p>
        </w:tc>
        <w:tc>
          <w:tcPr>
            <w:tcW w:w="1835" w:type="dxa"/>
            <w:vAlign w:val="center"/>
          </w:tcPr>
          <w:p w14:paraId="3ECB5CB3" w14:textId="77777777" w:rsidR="004D0484" w:rsidRPr="00FD50F6" w:rsidRDefault="004D0484" w:rsidP="00353026">
            <w:pPr>
              <w:pStyle w:val="7"/>
            </w:pPr>
            <w:r w:rsidRPr="00FD50F6">
              <w:t>—</w:t>
            </w:r>
          </w:p>
        </w:tc>
      </w:tr>
    </w:tbl>
    <w:p w14:paraId="307D45E4" w14:textId="77777777" w:rsidR="004D0484" w:rsidRPr="00FD50F6" w:rsidRDefault="004D0484" w:rsidP="004D0484"/>
    <w:p w14:paraId="50EF0E19" w14:textId="1984E7F4" w:rsidR="004D0484" w:rsidRPr="00FD50F6" w:rsidRDefault="004D0484" w:rsidP="004D0484">
      <w:pPr>
        <w:pStyle w:val="6"/>
      </w:pPr>
      <w:r w:rsidRPr="00FD50F6">
        <w:t>表</w:t>
      </w:r>
      <w:r w:rsidR="00232AC3" w:rsidRPr="00FD50F6">
        <w:t>29</w:t>
      </w:r>
      <w:r w:rsidRPr="00FD50F6">
        <w:t>.2.3</w:t>
      </w:r>
      <w:r w:rsidRPr="00FD50F6">
        <w:rPr>
          <w:rFonts w:hint="eastAsia"/>
        </w:rPr>
        <w:t>-2</w:t>
      </w:r>
      <w:r w:rsidRPr="00FD50F6">
        <w:t xml:space="preserve">  </w:t>
      </w:r>
      <w:r w:rsidRPr="00FD50F6">
        <w:rPr>
          <w:rFonts w:cs="Times New Roman" w:hint="eastAsia"/>
          <w:sz w:val="21"/>
          <w:lang w:val="x-none" w:eastAsia="x-none"/>
        </w:rPr>
        <w:t>120km/h</w:t>
      </w:r>
      <w:r w:rsidRPr="00FD50F6">
        <w:t>车辆检修</w:t>
      </w:r>
      <w:r w:rsidRPr="00FD50F6">
        <w:rPr>
          <w:rFonts w:hint="eastAsia"/>
        </w:rPr>
        <w:t>标准</w:t>
      </w:r>
    </w:p>
    <w:tbl>
      <w:tblPr>
        <w:tblW w:w="8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7"/>
        <w:gridCol w:w="1267"/>
        <w:gridCol w:w="1991"/>
        <w:gridCol w:w="1991"/>
        <w:gridCol w:w="1835"/>
      </w:tblGrid>
      <w:tr w:rsidR="00FD50F6" w:rsidRPr="00FD50F6" w14:paraId="737E32C3" w14:textId="77777777" w:rsidTr="00353026">
        <w:trPr>
          <w:trHeight w:hRule="exact" w:val="397"/>
          <w:tblCellSpacing w:w="0" w:type="dxa"/>
        </w:trPr>
        <w:tc>
          <w:tcPr>
            <w:tcW w:w="1287" w:type="dxa"/>
            <w:vMerge w:val="restart"/>
            <w:vAlign w:val="center"/>
          </w:tcPr>
          <w:p w14:paraId="7DFCBFDA" w14:textId="77777777" w:rsidR="004D0484" w:rsidRPr="00FD50F6" w:rsidRDefault="004D0484" w:rsidP="00353026">
            <w:pPr>
              <w:pStyle w:val="7"/>
            </w:pPr>
            <w:r w:rsidRPr="00FD50F6">
              <w:t>类别</w:t>
            </w:r>
          </w:p>
        </w:tc>
        <w:tc>
          <w:tcPr>
            <w:tcW w:w="1267" w:type="dxa"/>
            <w:vMerge w:val="restart"/>
            <w:vAlign w:val="center"/>
          </w:tcPr>
          <w:p w14:paraId="6459082D" w14:textId="77777777" w:rsidR="004D0484" w:rsidRPr="00FD50F6" w:rsidRDefault="004D0484" w:rsidP="00353026">
            <w:pPr>
              <w:pStyle w:val="7"/>
            </w:pPr>
            <w:r w:rsidRPr="00FD50F6">
              <w:t>检修修程</w:t>
            </w:r>
          </w:p>
        </w:tc>
        <w:tc>
          <w:tcPr>
            <w:tcW w:w="3982" w:type="dxa"/>
            <w:gridSpan w:val="2"/>
            <w:vAlign w:val="center"/>
          </w:tcPr>
          <w:p w14:paraId="469B9B76" w14:textId="77777777" w:rsidR="004D0484" w:rsidRPr="00FD50F6" w:rsidRDefault="004D0484" w:rsidP="00353026">
            <w:pPr>
              <w:pStyle w:val="7"/>
            </w:pPr>
            <w:r w:rsidRPr="00FD50F6">
              <w:t>日常维修和定期检修周期指标</w:t>
            </w:r>
          </w:p>
        </w:tc>
        <w:tc>
          <w:tcPr>
            <w:tcW w:w="1835" w:type="dxa"/>
            <w:vMerge w:val="restart"/>
            <w:vAlign w:val="center"/>
          </w:tcPr>
          <w:p w14:paraId="5AA7D409" w14:textId="77777777" w:rsidR="004D0484" w:rsidRPr="00FD50F6" w:rsidRDefault="004D0484" w:rsidP="00353026">
            <w:pPr>
              <w:pStyle w:val="7"/>
            </w:pPr>
            <w:r w:rsidRPr="00FD50F6">
              <w:t>检修</w:t>
            </w:r>
            <w:r w:rsidRPr="00FD50F6">
              <w:rPr>
                <w:rFonts w:hint="eastAsia"/>
              </w:rPr>
              <w:t>/</w:t>
            </w:r>
            <w:r w:rsidRPr="00FD50F6">
              <w:rPr>
                <w:rFonts w:hint="eastAsia"/>
              </w:rPr>
              <w:t>库停</w:t>
            </w:r>
            <w:r w:rsidRPr="00FD50F6">
              <w:t>时间</w:t>
            </w:r>
            <w:r w:rsidRPr="00FD50F6">
              <w:t>(d)</w:t>
            </w:r>
          </w:p>
        </w:tc>
      </w:tr>
      <w:tr w:rsidR="00FD50F6" w:rsidRPr="00FD50F6" w14:paraId="0EC5A106" w14:textId="77777777" w:rsidTr="00353026">
        <w:trPr>
          <w:trHeight w:hRule="exact" w:val="397"/>
          <w:tblCellSpacing w:w="0" w:type="dxa"/>
        </w:trPr>
        <w:tc>
          <w:tcPr>
            <w:tcW w:w="1287" w:type="dxa"/>
            <w:vMerge/>
            <w:vAlign w:val="center"/>
          </w:tcPr>
          <w:p w14:paraId="4B6E4658" w14:textId="77777777" w:rsidR="004D0484" w:rsidRPr="00FD50F6" w:rsidRDefault="004D0484" w:rsidP="00353026">
            <w:pPr>
              <w:pStyle w:val="7"/>
              <w:rPr>
                <w:b/>
              </w:rPr>
            </w:pPr>
          </w:p>
        </w:tc>
        <w:tc>
          <w:tcPr>
            <w:tcW w:w="1267" w:type="dxa"/>
            <w:vMerge/>
            <w:vAlign w:val="center"/>
          </w:tcPr>
          <w:p w14:paraId="608D8033" w14:textId="77777777" w:rsidR="004D0484" w:rsidRPr="00FD50F6" w:rsidRDefault="004D0484" w:rsidP="00353026">
            <w:pPr>
              <w:pStyle w:val="7"/>
              <w:rPr>
                <w:b/>
              </w:rPr>
            </w:pPr>
          </w:p>
        </w:tc>
        <w:tc>
          <w:tcPr>
            <w:tcW w:w="1991" w:type="dxa"/>
            <w:vAlign w:val="center"/>
          </w:tcPr>
          <w:p w14:paraId="2F7C0363" w14:textId="77777777" w:rsidR="004D0484" w:rsidRPr="00FD50F6" w:rsidRDefault="004D0484" w:rsidP="00353026">
            <w:pPr>
              <w:pStyle w:val="7"/>
            </w:pPr>
            <w:r w:rsidRPr="00FD50F6">
              <w:t>走行里程</w:t>
            </w:r>
            <w:r w:rsidRPr="00FD50F6">
              <w:t>(</w:t>
            </w:r>
            <w:r w:rsidRPr="00FD50F6">
              <w:t>万</w:t>
            </w:r>
            <w:r w:rsidRPr="00FD50F6">
              <w:t>km)</w:t>
            </w:r>
          </w:p>
        </w:tc>
        <w:tc>
          <w:tcPr>
            <w:tcW w:w="1991" w:type="dxa"/>
            <w:vAlign w:val="center"/>
          </w:tcPr>
          <w:p w14:paraId="439AC528" w14:textId="77777777" w:rsidR="004D0484" w:rsidRPr="00FD50F6" w:rsidRDefault="004D0484" w:rsidP="00353026">
            <w:pPr>
              <w:pStyle w:val="7"/>
            </w:pPr>
            <w:r w:rsidRPr="00FD50F6">
              <w:t>时间间隔</w:t>
            </w:r>
          </w:p>
        </w:tc>
        <w:tc>
          <w:tcPr>
            <w:tcW w:w="1835" w:type="dxa"/>
            <w:vMerge/>
            <w:vAlign w:val="center"/>
          </w:tcPr>
          <w:p w14:paraId="238A615B" w14:textId="77777777" w:rsidR="004D0484" w:rsidRPr="00FD50F6" w:rsidRDefault="004D0484" w:rsidP="00353026">
            <w:pPr>
              <w:pStyle w:val="7"/>
            </w:pPr>
          </w:p>
        </w:tc>
      </w:tr>
      <w:tr w:rsidR="00FD50F6" w:rsidRPr="00FD50F6" w14:paraId="01C1DC6E" w14:textId="77777777" w:rsidTr="00353026">
        <w:trPr>
          <w:trHeight w:hRule="exact" w:val="397"/>
          <w:tblCellSpacing w:w="0" w:type="dxa"/>
        </w:trPr>
        <w:tc>
          <w:tcPr>
            <w:tcW w:w="1287" w:type="dxa"/>
            <w:vMerge w:val="restart"/>
            <w:vAlign w:val="center"/>
          </w:tcPr>
          <w:p w14:paraId="4EBF292A" w14:textId="77777777" w:rsidR="004D0484" w:rsidRPr="00FD50F6" w:rsidRDefault="004D0484" w:rsidP="00353026">
            <w:pPr>
              <w:pStyle w:val="7"/>
            </w:pPr>
            <w:r w:rsidRPr="00FD50F6">
              <w:t>定期检修</w:t>
            </w:r>
          </w:p>
        </w:tc>
        <w:tc>
          <w:tcPr>
            <w:tcW w:w="1267" w:type="dxa"/>
            <w:vAlign w:val="center"/>
          </w:tcPr>
          <w:p w14:paraId="169AFCC3" w14:textId="77777777" w:rsidR="004D0484" w:rsidRPr="00FD50F6" w:rsidRDefault="004D0484" w:rsidP="00353026">
            <w:pPr>
              <w:pStyle w:val="7"/>
            </w:pPr>
            <w:r w:rsidRPr="00FD50F6">
              <w:t>大修</w:t>
            </w:r>
          </w:p>
        </w:tc>
        <w:tc>
          <w:tcPr>
            <w:tcW w:w="1991" w:type="dxa"/>
            <w:vAlign w:val="center"/>
          </w:tcPr>
          <w:p w14:paraId="52DF89C6" w14:textId="77777777" w:rsidR="004D0484" w:rsidRPr="00FD50F6" w:rsidRDefault="004D0484" w:rsidP="00353026">
            <w:pPr>
              <w:pStyle w:val="7"/>
            </w:pPr>
            <w:r w:rsidRPr="00FD50F6">
              <w:t>1</w:t>
            </w:r>
            <w:r w:rsidRPr="00FD50F6">
              <w:rPr>
                <w:rFonts w:hint="eastAsia"/>
              </w:rPr>
              <w:t>5</w:t>
            </w:r>
            <w:r w:rsidRPr="00FD50F6">
              <w:t>0</w:t>
            </w:r>
          </w:p>
        </w:tc>
        <w:tc>
          <w:tcPr>
            <w:tcW w:w="1991" w:type="dxa"/>
            <w:vAlign w:val="center"/>
          </w:tcPr>
          <w:p w14:paraId="64B54EF6" w14:textId="77777777" w:rsidR="004D0484" w:rsidRPr="00FD50F6" w:rsidRDefault="004D0484" w:rsidP="00353026">
            <w:pPr>
              <w:pStyle w:val="7"/>
            </w:pPr>
            <w:r w:rsidRPr="00FD50F6">
              <w:t>10</w:t>
            </w:r>
            <w:r w:rsidRPr="00FD50F6">
              <w:t>年</w:t>
            </w:r>
          </w:p>
        </w:tc>
        <w:tc>
          <w:tcPr>
            <w:tcW w:w="1835" w:type="dxa"/>
            <w:vAlign w:val="center"/>
          </w:tcPr>
          <w:p w14:paraId="1AA33200" w14:textId="77777777" w:rsidR="004D0484" w:rsidRPr="00FD50F6" w:rsidRDefault="004D0484" w:rsidP="00353026">
            <w:pPr>
              <w:pStyle w:val="7"/>
            </w:pPr>
            <w:r w:rsidRPr="00FD50F6">
              <w:t>3</w:t>
            </w:r>
            <w:r w:rsidRPr="00FD50F6">
              <w:rPr>
                <w:rFonts w:hint="eastAsia"/>
              </w:rPr>
              <w:t>5/30</w:t>
            </w:r>
          </w:p>
        </w:tc>
      </w:tr>
      <w:tr w:rsidR="00FD50F6" w:rsidRPr="00FD50F6" w14:paraId="51FAED67" w14:textId="77777777" w:rsidTr="00353026">
        <w:trPr>
          <w:trHeight w:hRule="exact" w:val="397"/>
          <w:tblCellSpacing w:w="0" w:type="dxa"/>
        </w:trPr>
        <w:tc>
          <w:tcPr>
            <w:tcW w:w="1287" w:type="dxa"/>
            <w:vMerge/>
            <w:vAlign w:val="center"/>
          </w:tcPr>
          <w:p w14:paraId="053224CE" w14:textId="77777777" w:rsidR="004D0484" w:rsidRPr="00FD50F6" w:rsidRDefault="004D0484" w:rsidP="00353026">
            <w:pPr>
              <w:pStyle w:val="7"/>
              <w:rPr>
                <w:b/>
              </w:rPr>
            </w:pPr>
          </w:p>
        </w:tc>
        <w:tc>
          <w:tcPr>
            <w:tcW w:w="1267" w:type="dxa"/>
            <w:vAlign w:val="center"/>
          </w:tcPr>
          <w:p w14:paraId="6FBAB932" w14:textId="77777777" w:rsidR="004D0484" w:rsidRPr="00FD50F6" w:rsidRDefault="004D0484" w:rsidP="00353026">
            <w:pPr>
              <w:pStyle w:val="7"/>
            </w:pPr>
            <w:r w:rsidRPr="00FD50F6">
              <w:t>架修</w:t>
            </w:r>
          </w:p>
        </w:tc>
        <w:tc>
          <w:tcPr>
            <w:tcW w:w="1991" w:type="dxa"/>
            <w:vAlign w:val="center"/>
          </w:tcPr>
          <w:p w14:paraId="695F9323" w14:textId="77777777" w:rsidR="004D0484" w:rsidRPr="00FD50F6" w:rsidRDefault="004D0484" w:rsidP="00353026">
            <w:pPr>
              <w:pStyle w:val="7"/>
            </w:pPr>
            <w:r w:rsidRPr="00FD50F6">
              <w:rPr>
                <w:rFonts w:hint="eastAsia"/>
              </w:rPr>
              <w:t>75</w:t>
            </w:r>
          </w:p>
        </w:tc>
        <w:tc>
          <w:tcPr>
            <w:tcW w:w="1991" w:type="dxa"/>
            <w:vAlign w:val="center"/>
          </w:tcPr>
          <w:p w14:paraId="129C8A7F" w14:textId="77777777" w:rsidR="004D0484" w:rsidRPr="00FD50F6" w:rsidRDefault="004D0484" w:rsidP="00353026">
            <w:pPr>
              <w:pStyle w:val="7"/>
            </w:pPr>
            <w:r w:rsidRPr="00FD50F6">
              <w:t>5</w:t>
            </w:r>
            <w:r w:rsidRPr="00FD50F6">
              <w:t>年</w:t>
            </w:r>
          </w:p>
        </w:tc>
        <w:tc>
          <w:tcPr>
            <w:tcW w:w="1835" w:type="dxa"/>
            <w:vAlign w:val="center"/>
          </w:tcPr>
          <w:p w14:paraId="1A79E961" w14:textId="77777777" w:rsidR="004D0484" w:rsidRPr="00FD50F6" w:rsidRDefault="004D0484" w:rsidP="00353026">
            <w:pPr>
              <w:pStyle w:val="7"/>
            </w:pPr>
            <w:r w:rsidRPr="00FD50F6">
              <w:t>2</w:t>
            </w:r>
            <w:r w:rsidRPr="00FD50F6">
              <w:rPr>
                <w:rFonts w:hint="eastAsia"/>
              </w:rPr>
              <w:t>0/18</w:t>
            </w:r>
          </w:p>
        </w:tc>
      </w:tr>
      <w:tr w:rsidR="00FD50F6" w:rsidRPr="00FD50F6" w14:paraId="1D6FDB37" w14:textId="77777777" w:rsidTr="00353026">
        <w:trPr>
          <w:trHeight w:hRule="exact" w:val="397"/>
          <w:tblCellSpacing w:w="0" w:type="dxa"/>
        </w:trPr>
        <w:tc>
          <w:tcPr>
            <w:tcW w:w="1287" w:type="dxa"/>
            <w:vMerge/>
            <w:vAlign w:val="center"/>
          </w:tcPr>
          <w:p w14:paraId="227266FB" w14:textId="77777777" w:rsidR="004D0484" w:rsidRPr="00FD50F6" w:rsidRDefault="004D0484" w:rsidP="00353026">
            <w:pPr>
              <w:pStyle w:val="7"/>
              <w:rPr>
                <w:b/>
              </w:rPr>
            </w:pPr>
          </w:p>
        </w:tc>
        <w:tc>
          <w:tcPr>
            <w:tcW w:w="1267" w:type="dxa"/>
            <w:vAlign w:val="center"/>
          </w:tcPr>
          <w:p w14:paraId="19E56781" w14:textId="77777777" w:rsidR="004D0484" w:rsidRPr="00FD50F6" w:rsidRDefault="004D0484" w:rsidP="00353026">
            <w:pPr>
              <w:pStyle w:val="7"/>
            </w:pPr>
            <w:r w:rsidRPr="00FD50F6">
              <w:t>定修</w:t>
            </w:r>
          </w:p>
        </w:tc>
        <w:tc>
          <w:tcPr>
            <w:tcW w:w="1991" w:type="dxa"/>
            <w:vAlign w:val="center"/>
          </w:tcPr>
          <w:p w14:paraId="10C07BCF" w14:textId="77777777" w:rsidR="004D0484" w:rsidRPr="00FD50F6" w:rsidRDefault="004D0484" w:rsidP="00353026">
            <w:pPr>
              <w:pStyle w:val="7"/>
            </w:pPr>
            <w:r w:rsidRPr="00FD50F6">
              <w:t>15</w:t>
            </w:r>
          </w:p>
        </w:tc>
        <w:tc>
          <w:tcPr>
            <w:tcW w:w="1991" w:type="dxa"/>
            <w:vAlign w:val="center"/>
          </w:tcPr>
          <w:p w14:paraId="435A73AA" w14:textId="77777777" w:rsidR="004D0484" w:rsidRPr="00FD50F6" w:rsidRDefault="004D0484" w:rsidP="00353026">
            <w:pPr>
              <w:pStyle w:val="7"/>
            </w:pPr>
            <w:r w:rsidRPr="00FD50F6">
              <w:t>1</w:t>
            </w:r>
            <w:r w:rsidRPr="00FD50F6">
              <w:t>年</w:t>
            </w:r>
          </w:p>
        </w:tc>
        <w:tc>
          <w:tcPr>
            <w:tcW w:w="1835" w:type="dxa"/>
            <w:vAlign w:val="center"/>
          </w:tcPr>
          <w:p w14:paraId="001414D5" w14:textId="77777777" w:rsidR="004D0484" w:rsidRPr="00FD50F6" w:rsidRDefault="004D0484" w:rsidP="00353026">
            <w:pPr>
              <w:pStyle w:val="7"/>
            </w:pPr>
            <w:r w:rsidRPr="00FD50F6">
              <w:t>7</w:t>
            </w:r>
            <w:r w:rsidRPr="00FD50F6">
              <w:rPr>
                <w:rFonts w:hint="eastAsia"/>
              </w:rPr>
              <w:t>/6</w:t>
            </w:r>
          </w:p>
        </w:tc>
      </w:tr>
      <w:tr w:rsidR="00FD50F6" w:rsidRPr="00FD50F6" w14:paraId="7FEDAD08" w14:textId="77777777" w:rsidTr="00353026">
        <w:trPr>
          <w:trHeight w:hRule="exact" w:val="397"/>
          <w:tblCellSpacing w:w="0" w:type="dxa"/>
        </w:trPr>
        <w:tc>
          <w:tcPr>
            <w:tcW w:w="1287" w:type="dxa"/>
            <w:vMerge w:val="restart"/>
            <w:vAlign w:val="center"/>
          </w:tcPr>
          <w:p w14:paraId="67398A6C" w14:textId="77777777" w:rsidR="004D0484" w:rsidRPr="00FD50F6" w:rsidRDefault="004D0484" w:rsidP="00353026">
            <w:pPr>
              <w:pStyle w:val="7"/>
            </w:pPr>
            <w:r w:rsidRPr="00FD50F6">
              <w:t>日常维修</w:t>
            </w:r>
          </w:p>
        </w:tc>
        <w:tc>
          <w:tcPr>
            <w:tcW w:w="1267" w:type="dxa"/>
            <w:vAlign w:val="center"/>
          </w:tcPr>
          <w:p w14:paraId="2580369D" w14:textId="77777777" w:rsidR="004D0484" w:rsidRPr="00FD50F6" w:rsidRDefault="004D0484" w:rsidP="00353026">
            <w:pPr>
              <w:pStyle w:val="7"/>
            </w:pPr>
            <w:r w:rsidRPr="00FD50F6">
              <w:t>三月检</w:t>
            </w:r>
          </w:p>
        </w:tc>
        <w:tc>
          <w:tcPr>
            <w:tcW w:w="1991" w:type="dxa"/>
            <w:vAlign w:val="center"/>
          </w:tcPr>
          <w:p w14:paraId="42BBF5A8" w14:textId="77777777" w:rsidR="004D0484" w:rsidRPr="00FD50F6" w:rsidRDefault="004D0484" w:rsidP="00353026">
            <w:pPr>
              <w:pStyle w:val="7"/>
            </w:pPr>
            <w:r w:rsidRPr="00FD50F6">
              <w:rPr>
                <w:rFonts w:hint="eastAsia"/>
              </w:rPr>
              <w:t>3.75</w:t>
            </w:r>
          </w:p>
        </w:tc>
        <w:tc>
          <w:tcPr>
            <w:tcW w:w="1991" w:type="dxa"/>
            <w:vAlign w:val="center"/>
          </w:tcPr>
          <w:p w14:paraId="3FCC18F4" w14:textId="77777777" w:rsidR="004D0484" w:rsidRPr="00FD50F6" w:rsidRDefault="004D0484" w:rsidP="00353026">
            <w:pPr>
              <w:pStyle w:val="7"/>
            </w:pPr>
            <w:r w:rsidRPr="00FD50F6">
              <w:t>3</w:t>
            </w:r>
            <w:r w:rsidRPr="00FD50F6">
              <w:t>月</w:t>
            </w:r>
          </w:p>
        </w:tc>
        <w:tc>
          <w:tcPr>
            <w:tcW w:w="1835" w:type="dxa"/>
            <w:vAlign w:val="center"/>
          </w:tcPr>
          <w:p w14:paraId="13E62A33" w14:textId="77777777" w:rsidR="004D0484" w:rsidRPr="00FD50F6" w:rsidRDefault="004D0484" w:rsidP="00353026">
            <w:pPr>
              <w:pStyle w:val="7"/>
            </w:pPr>
            <w:r w:rsidRPr="00FD50F6">
              <w:t>2</w:t>
            </w:r>
          </w:p>
        </w:tc>
      </w:tr>
      <w:tr w:rsidR="00FD50F6" w:rsidRPr="00FD50F6" w14:paraId="24438994" w14:textId="77777777" w:rsidTr="00353026">
        <w:trPr>
          <w:trHeight w:hRule="exact" w:val="397"/>
          <w:tblCellSpacing w:w="0" w:type="dxa"/>
        </w:trPr>
        <w:tc>
          <w:tcPr>
            <w:tcW w:w="1287" w:type="dxa"/>
            <w:vMerge/>
            <w:vAlign w:val="center"/>
          </w:tcPr>
          <w:p w14:paraId="5C14092F" w14:textId="77777777" w:rsidR="004D0484" w:rsidRPr="00FD50F6" w:rsidRDefault="004D0484" w:rsidP="00353026">
            <w:pPr>
              <w:pStyle w:val="7"/>
              <w:rPr>
                <w:b/>
              </w:rPr>
            </w:pPr>
          </w:p>
        </w:tc>
        <w:tc>
          <w:tcPr>
            <w:tcW w:w="1267" w:type="dxa"/>
            <w:vAlign w:val="center"/>
          </w:tcPr>
          <w:p w14:paraId="07B144E4" w14:textId="77777777" w:rsidR="004D0484" w:rsidRPr="00FD50F6" w:rsidRDefault="004D0484" w:rsidP="00353026">
            <w:pPr>
              <w:pStyle w:val="7"/>
            </w:pPr>
            <w:r w:rsidRPr="00FD50F6">
              <w:t>双周检</w:t>
            </w:r>
          </w:p>
        </w:tc>
        <w:tc>
          <w:tcPr>
            <w:tcW w:w="1991" w:type="dxa"/>
            <w:vAlign w:val="center"/>
          </w:tcPr>
          <w:p w14:paraId="36AC9920" w14:textId="77777777" w:rsidR="004D0484" w:rsidRPr="00FD50F6" w:rsidRDefault="004D0484" w:rsidP="00353026">
            <w:pPr>
              <w:pStyle w:val="7"/>
            </w:pPr>
            <w:r w:rsidRPr="00FD50F6">
              <w:t>0.</w:t>
            </w:r>
            <w:r w:rsidRPr="00FD50F6">
              <w:rPr>
                <w:rFonts w:hint="eastAsia"/>
              </w:rPr>
              <w:t>625</w:t>
            </w:r>
          </w:p>
        </w:tc>
        <w:tc>
          <w:tcPr>
            <w:tcW w:w="1991" w:type="dxa"/>
            <w:vAlign w:val="center"/>
          </w:tcPr>
          <w:p w14:paraId="167B203E" w14:textId="77777777" w:rsidR="004D0484" w:rsidRPr="00FD50F6" w:rsidRDefault="004D0484" w:rsidP="00353026">
            <w:pPr>
              <w:pStyle w:val="7"/>
            </w:pPr>
            <w:r w:rsidRPr="00FD50F6">
              <w:t>0.5</w:t>
            </w:r>
            <w:r w:rsidRPr="00FD50F6">
              <w:t>月</w:t>
            </w:r>
          </w:p>
        </w:tc>
        <w:tc>
          <w:tcPr>
            <w:tcW w:w="1835" w:type="dxa"/>
            <w:vAlign w:val="center"/>
          </w:tcPr>
          <w:p w14:paraId="0C90A62B" w14:textId="77777777" w:rsidR="004D0484" w:rsidRPr="00FD50F6" w:rsidRDefault="004D0484" w:rsidP="00353026">
            <w:pPr>
              <w:pStyle w:val="7"/>
            </w:pPr>
            <w:r w:rsidRPr="00FD50F6">
              <w:t>0.5</w:t>
            </w:r>
          </w:p>
        </w:tc>
      </w:tr>
      <w:tr w:rsidR="00FD50F6" w:rsidRPr="00FD50F6" w14:paraId="783BC42C" w14:textId="77777777" w:rsidTr="00353026">
        <w:trPr>
          <w:trHeight w:hRule="exact" w:val="397"/>
          <w:tblCellSpacing w:w="0" w:type="dxa"/>
        </w:trPr>
        <w:tc>
          <w:tcPr>
            <w:tcW w:w="1287" w:type="dxa"/>
            <w:vMerge/>
            <w:vAlign w:val="center"/>
          </w:tcPr>
          <w:p w14:paraId="4E01B0F5" w14:textId="77777777" w:rsidR="004D0484" w:rsidRPr="00FD50F6" w:rsidRDefault="004D0484" w:rsidP="00353026">
            <w:pPr>
              <w:pStyle w:val="7"/>
              <w:rPr>
                <w:b/>
              </w:rPr>
            </w:pPr>
          </w:p>
        </w:tc>
        <w:tc>
          <w:tcPr>
            <w:tcW w:w="1267" w:type="dxa"/>
            <w:vAlign w:val="center"/>
          </w:tcPr>
          <w:p w14:paraId="31EE77B4" w14:textId="77777777" w:rsidR="004D0484" w:rsidRPr="00FD50F6" w:rsidRDefault="004D0484" w:rsidP="00353026">
            <w:pPr>
              <w:pStyle w:val="7"/>
            </w:pPr>
            <w:r w:rsidRPr="00FD50F6">
              <w:t>列检</w:t>
            </w:r>
          </w:p>
        </w:tc>
        <w:tc>
          <w:tcPr>
            <w:tcW w:w="1991" w:type="dxa"/>
            <w:vAlign w:val="center"/>
          </w:tcPr>
          <w:p w14:paraId="2472FFEC" w14:textId="77777777" w:rsidR="004D0484" w:rsidRPr="00FD50F6" w:rsidRDefault="004D0484" w:rsidP="00353026">
            <w:pPr>
              <w:pStyle w:val="7"/>
            </w:pPr>
            <w:r w:rsidRPr="00FD50F6">
              <w:t>—</w:t>
            </w:r>
          </w:p>
        </w:tc>
        <w:tc>
          <w:tcPr>
            <w:tcW w:w="1991" w:type="dxa"/>
            <w:vAlign w:val="center"/>
          </w:tcPr>
          <w:p w14:paraId="6AD0B7CE" w14:textId="77777777" w:rsidR="004D0484" w:rsidRPr="00FD50F6" w:rsidRDefault="004D0484" w:rsidP="00353026">
            <w:pPr>
              <w:pStyle w:val="7"/>
            </w:pPr>
            <w:r w:rsidRPr="00FD50F6">
              <w:t xml:space="preserve"> </w:t>
            </w:r>
            <w:r w:rsidRPr="00FD50F6">
              <w:t>每天或两天</w:t>
            </w:r>
          </w:p>
        </w:tc>
        <w:tc>
          <w:tcPr>
            <w:tcW w:w="1835" w:type="dxa"/>
            <w:vAlign w:val="center"/>
          </w:tcPr>
          <w:p w14:paraId="64284714" w14:textId="77777777" w:rsidR="004D0484" w:rsidRPr="00FD50F6" w:rsidRDefault="004D0484" w:rsidP="00353026">
            <w:pPr>
              <w:pStyle w:val="7"/>
            </w:pPr>
            <w:r w:rsidRPr="00FD50F6">
              <w:t>—</w:t>
            </w:r>
          </w:p>
        </w:tc>
      </w:tr>
    </w:tbl>
    <w:p w14:paraId="27E1BA21" w14:textId="3740DDC6" w:rsidR="004D0484" w:rsidRPr="00FD50F6" w:rsidRDefault="004D0484" w:rsidP="001B1BA6">
      <w:pPr>
        <w:adjustRightInd w:val="0"/>
        <w:snapToGrid w:val="0"/>
        <w:ind w:left="630" w:hangingChars="300" w:hanging="630"/>
        <w:rPr>
          <w:rFonts w:ascii="Times New Roman" w:hAnsi="Times New Roman" w:cs="Times New Roman"/>
          <w:sz w:val="21"/>
          <w:lang w:val="x-none"/>
        </w:rPr>
      </w:pPr>
      <w:r w:rsidRPr="00FD50F6">
        <w:rPr>
          <w:rFonts w:ascii="Times New Roman" w:hAnsi="Times New Roman" w:cs="Times New Roman"/>
          <w:sz w:val="21"/>
          <w:lang w:val="x-none" w:eastAsia="x-none"/>
        </w:rPr>
        <w:t>注：</w:t>
      </w:r>
      <w:r w:rsidRPr="00FD50F6">
        <w:rPr>
          <w:rFonts w:ascii="Times New Roman" w:hAnsi="Times New Roman" w:cs="Times New Roman"/>
          <w:sz w:val="21"/>
          <w:lang w:val="x-none" w:eastAsia="x-none"/>
        </w:rPr>
        <w:t>1</w:t>
      </w:r>
      <w:r w:rsidRPr="00FD50F6">
        <w:rPr>
          <w:rFonts w:ascii="Times New Roman" w:hAnsi="Times New Roman" w:cs="Times New Roman"/>
          <w:sz w:val="21"/>
          <w:lang w:val="x-none" w:eastAsia="x-none"/>
        </w:rPr>
        <w:t>表</w:t>
      </w:r>
      <w:r w:rsidRPr="00FD50F6">
        <w:rPr>
          <w:rFonts w:ascii="Times New Roman" w:hAnsi="Times New Roman" w:cs="Times New Roman" w:hint="eastAsia"/>
          <w:sz w:val="21"/>
          <w:lang w:val="x-none"/>
        </w:rPr>
        <w:t>2</w:t>
      </w:r>
      <w:r w:rsidR="00232AC3" w:rsidRPr="00FD50F6">
        <w:rPr>
          <w:rFonts w:ascii="Times New Roman" w:hAnsi="Times New Roman" w:cs="Times New Roman"/>
          <w:sz w:val="21"/>
          <w:lang w:val="x-none"/>
        </w:rPr>
        <w:t>9</w:t>
      </w:r>
      <w:r w:rsidRPr="00FD50F6">
        <w:rPr>
          <w:rFonts w:ascii="Times New Roman" w:hAnsi="Times New Roman" w:cs="Times New Roman"/>
          <w:sz w:val="21"/>
          <w:lang w:val="x-none"/>
        </w:rPr>
        <w:t>.2.3</w:t>
      </w:r>
      <w:r w:rsidRPr="00FD50F6">
        <w:rPr>
          <w:rFonts w:ascii="Times New Roman" w:hAnsi="Times New Roman" w:cs="Times New Roman" w:hint="eastAsia"/>
          <w:sz w:val="21"/>
          <w:lang w:val="x-none"/>
        </w:rPr>
        <w:t>-</w:t>
      </w:r>
      <w:r w:rsidRPr="00FD50F6">
        <w:rPr>
          <w:rFonts w:ascii="Times New Roman" w:hAnsi="Times New Roman" w:cs="Times New Roman" w:hint="eastAsia"/>
          <w:sz w:val="21"/>
          <w:lang w:val="x-none" w:eastAsia="x-none"/>
        </w:rPr>
        <w:t>1</w:t>
      </w:r>
      <w:r w:rsidRPr="00FD50F6">
        <w:rPr>
          <w:rFonts w:ascii="Times New Roman" w:hAnsi="Times New Roman" w:cs="Times New Roman" w:hint="eastAsia"/>
          <w:sz w:val="21"/>
          <w:lang w:val="x-none" w:eastAsia="x-none"/>
        </w:rPr>
        <w:t>适用于车辆最高运行速度</w:t>
      </w:r>
      <w:r w:rsidRPr="00FD50F6">
        <w:rPr>
          <w:rFonts w:ascii="Times New Roman" w:hAnsi="Times New Roman" w:cs="Times New Roman" w:hint="eastAsia"/>
          <w:sz w:val="21"/>
          <w:lang w:val="x-none"/>
        </w:rPr>
        <w:t>不大于</w:t>
      </w:r>
      <w:r w:rsidRPr="00FD50F6">
        <w:rPr>
          <w:rFonts w:ascii="Times New Roman" w:hAnsi="Times New Roman" w:cs="Times New Roman" w:hint="eastAsia"/>
          <w:sz w:val="21"/>
          <w:lang w:val="x-none"/>
        </w:rPr>
        <w:t>10</w:t>
      </w:r>
      <w:r w:rsidRPr="00FD50F6">
        <w:rPr>
          <w:rFonts w:ascii="Times New Roman" w:hAnsi="Times New Roman" w:cs="Times New Roman" w:hint="eastAsia"/>
          <w:sz w:val="21"/>
          <w:lang w:val="x-none" w:eastAsia="x-none"/>
        </w:rPr>
        <w:t>0km/h</w:t>
      </w:r>
      <w:r w:rsidR="00306722">
        <w:rPr>
          <w:rFonts w:ascii="Times New Roman" w:hAnsi="Times New Roman" w:cs="Times New Roman" w:hint="eastAsia"/>
          <w:sz w:val="21"/>
          <w:lang w:val="x-none"/>
        </w:rPr>
        <w:t>，</w:t>
      </w:r>
      <w:r w:rsidRPr="00FD50F6">
        <w:rPr>
          <w:rFonts w:ascii="Times New Roman" w:hAnsi="Times New Roman" w:cs="Times New Roman"/>
          <w:sz w:val="21"/>
          <w:lang w:val="x-none" w:eastAsia="x-none"/>
        </w:rPr>
        <w:t>表</w:t>
      </w:r>
      <w:r w:rsidRPr="00FD50F6">
        <w:rPr>
          <w:rFonts w:ascii="Times New Roman" w:hAnsi="Times New Roman" w:cs="Times New Roman" w:hint="eastAsia"/>
          <w:sz w:val="21"/>
          <w:lang w:val="x-none"/>
        </w:rPr>
        <w:t>2</w:t>
      </w:r>
      <w:r w:rsidR="00232AC3" w:rsidRPr="00FD50F6">
        <w:rPr>
          <w:rFonts w:ascii="Times New Roman" w:hAnsi="Times New Roman" w:cs="Times New Roman"/>
          <w:sz w:val="21"/>
          <w:lang w:val="x-none"/>
        </w:rPr>
        <w:t>9</w:t>
      </w:r>
      <w:r w:rsidRPr="00FD50F6">
        <w:rPr>
          <w:rFonts w:ascii="Times New Roman" w:hAnsi="Times New Roman" w:cs="Times New Roman"/>
          <w:sz w:val="21"/>
          <w:lang w:val="x-none"/>
        </w:rPr>
        <w:t>.2.3</w:t>
      </w:r>
      <w:r w:rsidRPr="00FD50F6">
        <w:rPr>
          <w:rFonts w:ascii="Times New Roman" w:hAnsi="Times New Roman" w:cs="Times New Roman" w:hint="eastAsia"/>
          <w:sz w:val="21"/>
          <w:lang w:val="x-none"/>
        </w:rPr>
        <w:t>-</w:t>
      </w:r>
      <w:r w:rsidRPr="00FD50F6">
        <w:rPr>
          <w:rFonts w:ascii="Times New Roman" w:hAnsi="Times New Roman" w:cs="Times New Roman" w:hint="eastAsia"/>
          <w:sz w:val="21"/>
          <w:lang w:val="x-none" w:eastAsia="x-none"/>
        </w:rPr>
        <w:t>2</w:t>
      </w:r>
      <w:r w:rsidRPr="00FD50F6">
        <w:rPr>
          <w:rFonts w:ascii="Times New Roman" w:hAnsi="Times New Roman" w:cs="Times New Roman" w:hint="eastAsia"/>
          <w:sz w:val="21"/>
          <w:lang w:val="x-none" w:eastAsia="x-none"/>
        </w:rPr>
        <w:t>适用于车辆最高运行速度不大于</w:t>
      </w:r>
      <w:r w:rsidRPr="00FD50F6">
        <w:rPr>
          <w:rFonts w:ascii="Times New Roman" w:hAnsi="Times New Roman" w:cs="Times New Roman" w:hint="eastAsia"/>
          <w:sz w:val="21"/>
          <w:lang w:val="x-none" w:eastAsia="x-none"/>
        </w:rPr>
        <w:t>120km/h</w:t>
      </w:r>
      <w:r w:rsidR="00306722">
        <w:rPr>
          <w:rFonts w:ascii="Times New Roman" w:hAnsi="Times New Roman" w:cs="Times New Roman" w:hint="eastAsia"/>
          <w:sz w:val="21"/>
          <w:lang w:val="x-none"/>
        </w:rPr>
        <w:t>；</w:t>
      </w:r>
    </w:p>
    <w:p w14:paraId="19AE5E6E" w14:textId="77777777" w:rsidR="004D0484" w:rsidRPr="00FD50F6" w:rsidRDefault="004D0484" w:rsidP="001B1BA6">
      <w:pPr>
        <w:adjustRightInd w:val="0"/>
        <w:snapToGrid w:val="0"/>
        <w:ind w:firstLineChars="200" w:firstLine="420"/>
        <w:rPr>
          <w:rFonts w:ascii="Times New Roman" w:hAnsi="Times New Roman" w:cs="Times New Roman"/>
          <w:kern w:val="0"/>
          <w:sz w:val="21"/>
          <w:lang w:val="x-none" w:eastAsia="x-none"/>
        </w:rPr>
      </w:pPr>
      <w:r w:rsidRPr="00FD50F6">
        <w:rPr>
          <w:rFonts w:ascii="Times New Roman" w:hAnsi="Times New Roman" w:cs="Times New Roman" w:hint="eastAsia"/>
          <w:sz w:val="21"/>
          <w:lang w:val="x-none" w:eastAsia="x-none"/>
        </w:rPr>
        <w:t>2</w:t>
      </w:r>
      <w:r w:rsidRPr="00FD50F6">
        <w:rPr>
          <w:rFonts w:ascii="Times New Roman" w:hAnsi="Times New Roman" w:cs="Times New Roman"/>
          <w:sz w:val="21"/>
          <w:lang w:val="x-none" w:eastAsia="x-none"/>
        </w:rPr>
        <w:t>表中检修</w:t>
      </w:r>
      <w:r w:rsidRPr="00FD50F6">
        <w:rPr>
          <w:rFonts w:ascii="Times New Roman" w:hAnsi="Times New Roman" w:cs="Times New Roman" w:hint="eastAsia"/>
          <w:sz w:val="21"/>
          <w:lang w:val="x-none" w:eastAsia="x-none"/>
        </w:rPr>
        <w:t>/</w:t>
      </w:r>
      <w:r w:rsidRPr="00FD50F6">
        <w:rPr>
          <w:rFonts w:ascii="Times New Roman" w:hAnsi="Times New Roman" w:cs="Times New Roman" w:hint="eastAsia"/>
          <w:sz w:val="21"/>
          <w:lang w:val="x-none" w:eastAsia="x-none"/>
        </w:rPr>
        <w:t>库停</w:t>
      </w:r>
      <w:r w:rsidRPr="00FD50F6">
        <w:rPr>
          <w:rFonts w:ascii="Times New Roman" w:hAnsi="Times New Roman" w:cs="Times New Roman"/>
          <w:sz w:val="21"/>
          <w:lang w:val="x-none" w:eastAsia="x-none"/>
        </w:rPr>
        <w:t>时间按部件互换修确定；</w:t>
      </w:r>
    </w:p>
    <w:p w14:paraId="51695EA7" w14:textId="4E88D6A3" w:rsidR="004D0484" w:rsidRPr="00FD50F6" w:rsidRDefault="004D0484" w:rsidP="004D0484">
      <w:pPr>
        <w:adjustRightInd w:val="0"/>
        <w:snapToGrid w:val="0"/>
        <w:ind w:left="840" w:rightChars="-126" w:right="-302" w:hangingChars="400" w:hanging="840"/>
        <w:rPr>
          <w:rFonts w:ascii="Times New Roman" w:hAnsi="Times New Roman" w:cs="Times New Roman"/>
          <w:kern w:val="0"/>
          <w:sz w:val="21"/>
          <w:lang w:val="x-none" w:eastAsia="x-none"/>
        </w:rPr>
      </w:pPr>
      <w:r w:rsidRPr="00FD50F6">
        <w:rPr>
          <w:rFonts w:ascii="Times New Roman" w:hAnsi="Times New Roman" w:cs="Times New Roman"/>
          <w:sz w:val="21"/>
          <w:lang w:val="x-none" w:eastAsia="x-none"/>
        </w:rPr>
        <w:t xml:space="preserve">        </w:t>
      </w:r>
      <w:r w:rsidRPr="00FD50F6">
        <w:rPr>
          <w:rFonts w:ascii="Times New Roman" w:hAnsi="Times New Roman" w:cs="Times New Roman" w:hint="eastAsia"/>
          <w:sz w:val="21"/>
          <w:lang w:val="x-none" w:eastAsia="x-none"/>
        </w:rPr>
        <w:t>3</w:t>
      </w:r>
      <w:r w:rsidRPr="00FD50F6">
        <w:rPr>
          <w:rFonts w:ascii="Times New Roman" w:hAnsi="Times New Roman" w:cs="Times New Roman"/>
          <w:sz w:val="21"/>
          <w:lang w:val="x-none" w:eastAsia="x-none"/>
        </w:rPr>
        <w:t>设计中检修周期应采用年走行里程指标；</w:t>
      </w:r>
    </w:p>
    <w:p w14:paraId="52610B74" w14:textId="77777777" w:rsidR="004D0484" w:rsidRPr="00FD50F6" w:rsidRDefault="004D0484" w:rsidP="001B1BA6">
      <w:pPr>
        <w:adjustRightInd w:val="0"/>
        <w:snapToGrid w:val="0"/>
        <w:ind w:firstLineChars="200" w:firstLine="420"/>
        <w:rPr>
          <w:rFonts w:ascii="Times New Roman" w:hAnsi="Times New Roman" w:cs="Times New Roman"/>
          <w:sz w:val="21"/>
          <w:lang w:val="x-none" w:eastAsia="x-none"/>
        </w:rPr>
      </w:pPr>
      <w:r w:rsidRPr="00FD50F6">
        <w:rPr>
          <w:rFonts w:ascii="Times New Roman" w:hAnsi="Times New Roman" w:cs="Times New Roman" w:hint="eastAsia"/>
          <w:sz w:val="21"/>
          <w:lang w:val="x-none" w:eastAsia="x-none"/>
        </w:rPr>
        <w:t>4</w:t>
      </w:r>
      <w:r w:rsidRPr="00FD50F6">
        <w:rPr>
          <w:rFonts w:ascii="Times New Roman" w:hAnsi="Times New Roman" w:cs="Times New Roman"/>
          <w:sz w:val="21"/>
          <w:lang w:val="x-none" w:eastAsia="x-none"/>
        </w:rPr>
        <w:t>可行性研究阶段可采用时间间隔指标。</w:t>
      </w:r>
    </w:p>
    <w:p w14:paraId="7001325C" w14:textId="77777777" w:rsidR="004D0484" w:rsidRPr="00FD50F6" w:rsidRDefault="004D0484" w:rsidP="004D0484">
      <w:pPr>
        <w:pStyle w:val="30"/>
      </w:pPr>
      <w:r w:rsidRPr="00FD50F6">
        <w:t>车辆段应按下列作业范围设计：</w:t>
      </w:r>
    </w:p>
    <w:p w14:paraId="78F5EFBA" w14:textId="77777777" w:rsidR="004D0484" w:rsidRPr="00FD50F6" w:rsidRDefault="004D0484" w:rsidP="00A926BD">
      <w:pPr>
        <w:pStyle w:val="4"/>
      </w:pPr>
      <w:r w:rsidRPr="00FD50F6">
        <w:t>列车管理和编组工作；</w:t>
      </w:r>
    </w:p>
    <w:p w14:paraId="0DFA999A" w14:textId="639AFE10" w:rsidR="004D0484" w:rsidRPr="00FD50F6" w:rsidRDefault="004D0484" w:rsidP="00A926BD">
      <w:pPr>
        <w:pStyle w:val="4"/>
      </w:pPr>
      <w:r w:rsidRPr="00FD50F6">
        <w:t>列车停放、列检、双周</w:t>
      </w:r>
      <w:r w:rsidRPr="00FD50F6">
        <w:rPr>
          <w:rFonts w:hint="eastAsia"/>
        </w:rPr>
        <w:t>检、</w:t>
      </w:r>
      <w:r w:rsidRPr="00FD50F6">
        <w:t>三月检及清扫洗刷、定期消毒等日常维修保养工作；</w:t>
      </w:r>
    </w:p>
    <w:p w14:paraId="61E35321" w14:textId="77777777" w:rsidR="004D0484" w:rsidRPr="00FD50F6" w:rsidRDefault="004D0484" w:rsidP="00A926BD">
      <w:pPr>
        <w:pStyle w:val="4"/>
      </w:pPr>
      <w:r w:rsidRPr="00FD50F6">
        <w:t>段内配属列车的乘务工作；</w:t>
      </w:r>
    </w:p>
    <w:p w14:paraId="68F8FCF1" w14:textId="77777777" w:rsidR="004D0484" w:rsidRPr="00FD50F6" w:rsidRDefault="004D0484" w:rsidP="00A926BD">
      <w:pPr>
        <w:pStyle w:val="4"/>
      </w:pPr>
      <w:r w:rsidRPr="00FD50F6">
        <w:t>车辆的定修、架修和大修等定期检修及检修后的列车试验；</w:t>
      </w:r>
    </w:p>
    <w:p w14:paraId="330C8F3B" w14:textId="77777777" w:rsidR="004D0484" w:rsidRPr="00FD50F6" w:rsidRDefault="004D0484" w:rsidP="00A926BD">
      <w:pPr>
        <w:pStyle w:val="4"/>
      </w:pPr>
      <w:r w:rsidRPr="00FD50F6">
        <w:t>车辆的临修；</w:t>
      </w:r>
    </w:p>
    <w:p w14:paraId="03DF9092" w14:textId="77777777" w:rsidR="004D0484" w:rsidRPr="00FD50F6" w:rsidRDefault="004D0484" w:rsidP="00A926BD">
      <w:pPr>
        <w:pStyle w:val="4"/>
      </w:pPr>
      <w:r w:rsidRPr="00FD50F6">
        <w:t>段内设备、机具的维修和调车机车、工程车等的整备及维修。</w:t>
      </w:r>
    </w:p>
    <w:p w14:paraId="32B9E51E" w14:textId="77777777" w:rsidR="004D0484" w:rsidRPr="00FD50F6" w:rsidRDefault="004D0484" w:rsidP="004D0484">
      <w:pPr>
        <w:pStyle w:val="30"/>
      </w:pPr>
      <w:r w:rsidRPr="00FD50F6">
        <w:t>停车场应按下列作业范围设计：</w:t>
      </w:r>
    </w:p>
    <w:p w14:paraId="20976C98" w14:textId="77777777" w:rsidR="004D0484" w:rsidRPr="00FD50F6" w:rsidRDefault="004D0484" w:rsidP="00A926BD">
      <w:pPr>
        <w:pStyle w:val="4"/>
      </w:pPr>
      <w:r w:rsidRPr="00FD50F6">
        <w:t>列车管理工作；</w:t>
      </w:r>
    </w:p>
    <w:p w14:paraId="6C2DBBA3" w14:textId="26D1A0F8" w:rsidR="004D0484" w:rsidRPr="00FD50F6" w:rsidRDefault="004D0484" w:rsidP="00A926BD">
      <w:pPr>
        <w:pStyle w:val="4"/>
      </w:pPr>
      <w:r w:rsidRPr="00FD50F6">
        <w:t>列车停放、列检及清扫洗刷、定期消毒等日常维修保养工作，可包括双周</w:t>
      </w:r>
      <w:r w:rsidRPr="00FD50F6">
        <w:rPr>
          <w:rFonts w:hint="eastAsia"/>
        </w:rPr>
        <w:t>检、</w:t>
      </w:r>
      <w:r w:rsidRPr="00FD50F6">
        <w:t>三月检及临修工作；</w:t>
      </w:r>
    </w:p>
    <w:p w14:paraId="318453CD" w14:textId="77777777" w:rsidR="004D0484" w:rsidRPr="00FD50F6" w:rsidRDefault="004D0484" w:rsidP="00A926BD">
      <w:pPr>
        <w:pStyle w:val="4"/>
      </w:pPr>
      <w:r w:rsidRPr="00FD50F6">
        <w:t>场内配属列车的乘务工作。</w:t>
      </w:r>
    </w:p>
    <w:p w14:paraId="3C8FB56A" w14:textId="0605DF31" w:rsidR="004D0484" w:rsidRPr="00FD50F6" w:rsidRDefault="004D0484" w:rsidP="004D0484">
      <w:pPr>
        <w:pStyle w:val="30"/>
      </w:pPr>
      <w:r w:rsidRPr="00FD50F6">
        <w:t>车辆段内设备的大修宜就近委托专业工厂承担。车辆的大修也可委托地铁车辆制造厂或修理厂承担。</w:t>
      </w:r>
    </w:p>
    <w:p w14:paraId="702F8A75" w14:textId="2A500357" w:rsidR="004D0484" w:rsidRPr="00FD50F6" w:rsidRDefault="004D0484" w:rsidP="004D0484">
      <w:pPr>
        <w:pStyle w:val="30"/>
      </w:pPr>
      <w:r w:rsidRPr="00FD50F6">
        <w:t>车辆段、停车场的设计应满足功能和能力的要求，设计规模应根据车辆技术条件</w:t>
      </w:r>
      <w:r w:rsidRPr="00FD50F6">
        <w:rPr>
          <w:rFonts w:hint="eastAsia"/>
        </w:rPr>
        <w:t>、</w:t>
      </w:r>
      <w:r w:rsidRPr="00FD50F6">
        <w:t>列车编组和配属数量、检修周期和检修时间计算确定。</w:t>
      </w:r>
      <w:r w:rsidRPr="00FD50F6">
        <w:rPr>
          <w:rFonts w:hint="eastAsia"/>
        </w:rPr>
        <w:t>停车规模应按系统设计最大能力确定；检修规模应按远期能力确定。</w:t>
      </w:r>
    </w:p>
    <w:p w14:paraId="1F320FB2" w14:textId="44E52878" w:rsidR="004D0484" w:rsidRPr="00FD50F6" w:rsidRDefault="004D0484" w:rsidP="004D0484">
      <w:pPr>
        <w:pStyle w:val="30"/>
      </w:pPr>
      <w:r w:rsidRPr="00FD50F6">
        <w:t>车辆段各修程工作量计算时应计入检修不平衡系数。</w:t>
      </w:r>
      <w:r w:rsidRPr="00AA0E76">
        <w:rPr>
          <w:rFonts w:hint="eastAsia"/>
        </w:rPr>
        <w:t>检修不平衡系数应</w:t>
      </w:r>
      <w:r w:rsidRPr="00AA0E76">
        <w:rPr>
          <w:rFonts w:hint="eastAsia"/>
        </w:rPr>
        <w:lastRenderedPageBreak/>
        <w:t>符合下列规定：</w:t>
      </w:r>
    </w:p>
    <w:p w14:paraId="5E90E9C4" w14:textId="28BF0D59" w:rsidR="004D0484" w:rsidRPr="00FD50F6" w:rsidRDefault="004D0484" w:rsidP="00A926BD">
      <w:pPr>
        <w:pStyle w:val="4"/>
      </w:pPr>
      <w:r w:rsidRPr="00FD50F6">
        <w:t>双周</w:t>
      </w:r>
      <w:r w:rsidRPr="00FD50F6">
        <w:rPr>
          <w:rFonts w:hint="eastAsia"/>
        </w:rPr>
        <w:t>检、</w:t>
      </w:r>
      <w:r w:rsidRPr="00FD50F6">
        <w:t>三月检</w:t>
      </w:r>
      <w:r w:rsidRPr="00FD50F6">
        <w:rPr>
          <w:rFonts w:hint="eastAsia"/>
        </w:rPr>
        <w:t>、定修</w:t>
      </w:r>
      <w:r w:rsidRPr="00FD50F6">
        <w:t>为</w:t>
      </w:r>
      <w:r w:rsidRPr="00FD50F6">
        <w:t>1.2</w:t>
      </w:r>
      <w:r w:rsidRPr="00FD50F6">
        <w:t>；</w:t>
      </w:r>
    </w:p>
    <w:p w14:paraId="7864F6B1" w14:textId="77777777" w:rsidR="004D0484" w:rsidRPr="00FD50F6" w:rsidRDefault="004D0484" w:rsidP="00A926BD">
      <w:pPr>
        <w:pStyle w:val="4"/>
      </w:pPr>
      <w:r w:rsidRPr="00FD50F6">
        <w:t>架修、大修为</w:t>
      </w:r>
      <w:r w:rsidRPr="00FD50F6">
        <w:t>1.1</w:t>
      </w:r>
      <w:r w:rsidRPr="00FD50F6">
        <w:t>。</w:t>
      </w:r>
    </w:p>
    <w:p w14:paraId="6EA8189C" w14:textId="5D4C0AF7" w:rsidR="004D0484" w:rsidRPr="00002060" w:rsidRDefault="004D0484" w:rsidP="001A4CF3">
      <w:pPr>
        <w:pStyle w:val="30"/>
      </w:pPr>
      <w:r w:rsidRPr="00FD50F6">
        <w:t>运用和检修库线、调机及工程车库线、试车线、洗车线、</w:t>
      </w:r>
      <w:r w:rsidRPr="00FD50F6">
        <w:rPr>
          <w:rFonts w:hint="eastAsia"/>
        </w:rPr>
        <w:t>清</w:t>
      </w:r>
      <w:r w:rsidRPr="00FD50F6">
        <w:t>扫线、不落轮镟线、平板车停放线、待修车和修竣车存放线、走行线、牵出线、回转线及国铁专用线等</w:t>
      </w:r>
      <w:r w:rsidRPr="00FD50F6">
        <w:rPr>
          <w:rFonts w:hint="eastAsia"/>
        </w:rPr>
        <w:t>车场线</w:t>
      </w:r>
      <w:r w:rsidRPr="00FD50F6">
        <w:t>应根据作业需要设置。</w:t>
      </w:r>
      <w:r w:rsidRPr="00AA0E76">
        <w:rPr>
          <w:rFonts w:hint="eastAsia"/>
        </w:rPr>
        <w:t>车场线的配备和布置应满足功能需要、工艺要求，并应做到安全、方便、经济合理。</w:t>
      </w:r>
    </w:p>
    <w:p w14:paraId="41C51C65" w14:textId="494D9872" w:rsidR="004D0484" w:rsidRPr="00FD50F6" w:rsidRDefault="004D0484" w:rsidP="004D0484">
      <w:pPr>
        <w:pStyle w:val="30"/>
      </w:pPr>
      <w:r w:rsidRPr="00FD50F6">
        <w:rPr>
          <w:rFonts w:hint="eastAsia"/>
        </w:rPr>
        <w:t>全自动运行线路的车辆基地应根据作业需求划分自动运行区和非自动运行区，自动运行区与非自动运行区之间应设置运行模式转换区。自动运行区的线路有效长度应满足信号系统的安全距离要求。</w:t>
      </w:r>
    </w:p>
    <w:p w14:paraId="41DF351E" w14:textId="358229E4" w:rsidR="004D0484" w:rsidRPr="00FD50F6" w:rsidRDefault="004D0484" w:rsidP="004D0484">
      <w:pPr>
        <w:pStyle w:val="30"/>
      </w:pPr>
      <w:r w:rsidRPr="00FD50F6">
        <w:t>车辆基地总平面布置应以车辆段或停车场为主体，并应根据车辆运用、检修的作业要求和</w:t>
      </w:r>
      <w:r w:rsidRPr="00FD50F6">
        <w:rPr>
          <w:rFonts w:hint="eastAsia"/>
        </w:rPr>
        <w:t>车辆基地选</w:t>
      </w:r>
      <w:r w:rsidRPr="00FD50F6">
        <w:t>址的地形条件，维修中心、物资总库、培训中心和</w:t>
      </w:r>
      <w:r w:rsidR="006F70EE">
        <w:t>其他</w:t>
      </w:r>
      <w:r w:rsidRPr="00FD50F6">
        <w:t>生产、生活、办公设施的布局，以及道路、管线、消防、环保、绿化等要求，结合当地气象条件，按有利生产、方便管理和生活的原则进行统筹安排、合理布置。</w:t>
      </w:r>
    </w:p>
    <w:p w14:paraId="2B05A55A" w14:textId="77777777" w:rsidR="004D0484" w:rsidRPr="00FD50F6" w:rsidRDefault="004D0484" w:rsidP="004D0484">
      <w:pPr>
        <w:pStyle w:val="30"/>
      </w:pPr>
      <w:r w:rsidRPr="00FD50F6">
        <w:t>车辆段生产房屋布置应以运用及检修库为核心，各辅助生产房屋应根据生产性质按系统布置；与运用和检修作业关系密切的辅助生产房屋宜分别布置在相关车库的侧跨内或邻近地点；性质相同或相近的房屋宜合并设置。</w:t>
      </w:r>
    </w:p>
    <w:p w14:paraId="12A5454A" w14:textId="14A8CCC6" w:rsidR="004D0484" w:rsidRPr="00FD50F6" w:rsidRDefault="004D0484" w:rsidP="004D0484">
      <w:pPr>
        <w:pStyle w:val="30"/>
      </w:pPr>
      <w:r w:rsidRPr="00FD50F6">
        <w:t>车辆段空气压缩机间、变配电所、给水</w:t>
      </w:r>
      <w:r w:rsidRPr="00FD50F6">
        <w:rPr>
          <w:rFonts w:hint="eastAsia"/>
        </w:rPr>
        <w:t>泵房</w:t>
      </w:r>
      <w:r w:rsidRPr="00FD50F6">
        <w:t>和锅炉房等动力房屋宜靠近负荷中心布置。</w:t>
      </w:r>
    </w:p>
    <w:p w14:paraId="695FE852" w14:textId="72742156" w:rsidR="004D0484" w:rsidRPr="00FD50F6" w:rsidRDefault="004D0484" w:rsidP="004D0484">
      <w:pPr>
        <w:pStyle w:val="30"/>
      </w:pPr>
      <w:r w:rsidRPr="00FD50F6">
        <w:t>产生噪声、冲击振动或易燃、易爆的车间宜单独设置；产生粉尘和有害气体的房间或设施宜布置在常年主导风向的下风侧，并宜远离生活、办公区。</w:t>
      </w:r>
    </w:p>
    <w:p w14:paraId="1F6073B9" w14:textId="4FA50C1B" w:rsidR="004D0484" w:rsidRPr="00FD50F6" w:rsidRDefault="004D0484" w:rsidP="004D0484">
      <w:pPr>
        <w:pStyle w:val="30"/>
      </w:pPr>
      <w:r w:rsidRPr="00FD50F6">
        <w:t>车辆基地出入线、试车线、洗车线和不落轮镟线及车场线群外侧应设通透的</w:t>
      </w:r>
      <w:r w:rsidRPr="00FD50F6">
        <w:rPr>
          <w:rFonts w:hint="eastAsia"/>
        </w:rPr>
        <w:t>安全防护</w:t>
      </w:r>
      <w:r w:rsidRPr="00FD50F6">
        <w:t>隔离栅栏。</w:t>
      </w:r>
      <w:r w:rsidRPr="00FD50F6">
        <w:rPr>
          <w:rFonts w:hint="eastAsia"/>
        </w:rPr>
        <w:t>全自动运行线路的车辆基地在自动运行区与非自动运行区之间应加</w:t>
      </w:r>
      <w:r w:rsidRPr="00FD50F6">
        <w:t>设</w:t>
      </w:r>
      <w:r w:rsidRPr="00FD50F6">
        <w:rPr>
          <w:rFonts w:hint="eastAsia"/>
        </w:rPr>
        <w:t>安全防护</w:t>
      </w:r>
      <w:r w:rsidRPr="00FD50F6">
        <w:t>隔离栅栏。</w:t>
      </w:r>
    </w:p>
    <w:p w14:paraId="52444331" w14:textId="77777777" w:rsidR="004D0484" w:rsidRPr="00FD50F6" w:rsidRDefault="004D0484" w:rsidP="004D0484">
      <w:pPr>
        <w:pStyle w:val="30"/>
      </w:pPr>
      <w:r w:rsidRPr="00FD50F6">
        <w:t>车辆段的生产机构应根据运营管理模式确定，可设运用车间、检修车间和设备车间。</w:t>
      </w:r>
    </w:p>
    <w:p w14:paraId="6D09F3A4" w14:textId="6B6B16AE" w:rsidR="004D0484" w:rsidRPr="00002060" w:rsidRDefault="004D0484" w:rsidP="001A4CF3">
      <w:pPr>
        <w:pStyle w:val="30"/>
      </w:pPr>
      <w:r w:rsidRPr="00FD50F6">
        <w:t>车辆段、停车场应根据生产和管理的需要，配备相应的辅助生产房屋和乘务员公寓、办公楼、食堂、浴室、职工更衣休息室及卫生设施，以及汽车停车场和自行车棚等配套设施。</w:t>
      </w:r>
      <w:r w:rsidRPr="00AA0E76">
        <w:rPr>
          <w:rFonts w:hint="eastAsia"/>
        </w:rPr>
        <w:t>乘务员公寓宜靠近运用库附近设置，</w:t>
      </w:r>
      <w:r w:rsidRPr="00FD50F6">
        <w:rPr>
          <w:rFonts w:hint="eastAsia"/>
        </w:rPr>
        <w:t>当</w:t>
      </w:r>
      <w:r w:rsidRPr="00AA0E76">
        <w:rPr>
          <w:rFonts w:hint="eastAsia"/>
        </w:rPr>
        <w:t>与</w:t>
      </w:r>
      <w:r w:rsidR="006F70EE">
        <w:rPr>
          <w:rFonts w:hint="eastAsia"/>
        </w:rPr>
        <w:t>其他</w:t>
      </w:r>
      <w:r w:rsidRPr="00AA0E76">
        <w:rPr>
          <w:rFonts w:hint="eastAsia"/>
        </w:rPr>
        <w:t>楼</w:t>
      </w:r>
      <w:r w:rsidRPr="00AA0E76">
        <w:rPr>
          <w:rFonts w:hint="eastAsia"/>
        </w:rPr>
        <w:lastRenderedPageBreak/>
        <w:t>宇合设时，</w:t>
      </w:r>
      <w:r w:rsidRPr="00002060">
        <w:rPr>
          <w:rFonts w:hint="eastAsia"/>
        </w:rPr>
        <w:t>应</w:t>
      </w:r>
      <w:r w:rsidRPr="00FD50F6">
        <w:rPr>
          <w:rFonts w:hint="eastAsia"/>
        </w:rPr>
        <w:t>设置独立的区域及出入口</w:t>
      </w:r>
      <w:r w:rsidRPr="00002060">
        <w:rPr>
          <w:rFonts w:hint="eastAsia"/>
        </w:rPr>
        <w:t>，并应作隔声处理。</w:t>
      </w:r>
    </w:p>
    <w:p w14:paraId="31D4CFFE" w14:textId="28877CCE" w:rsidR="004D0484" w:rsidRPr="00FD50F6" w:rsidRDefault="004D0484" w:rsidP="004D0484">
      <w:pPr>
        <w:pStyle w:val="30"/>
      </w:pPr>
      <w:r w:rsidRPr="00FD50F6">
        <w:t>车辆基地应设围蔽设施，其设计宜结合当地的环境要求选用安全、实用、美观的材料和结构形式</w:t>
      </w:r>
      <w:r w:rsidRPr="00FD50F6">
        <w:rPr>
          <w:rFonts w:hint="eastAsia"/>
        </w:rPr>
        <w:t>，并应设置周界入侵报警系统</w:t>
      </w:r>
      <w:r w:rsidRPr="00FD50F6">
        <w:t>。</w:t>
      </w:r>
    </w:p>
    <w:p w14:paraId="4C3C0F07" w14:textId="77777777" w:rsidR="004D0484" w:rsidRPr="00FD50F6" w:rsidRDefault="004D0484" w:rsidP="00A65181">
      <w:pPr>
        <w:pStyle w:val="2"/>
      </w:pPr>
      <w:bookmarkStart w:id="1185" w:name="_Toc32511919"/>
      <w:bookmarkStart w:id="1186" w:name="_Toc236812103"/>
      <w:bookmarkStart w:id="1187" w:name="_Toc306207281"/>
      <w:bookmarkStart w:id="1188" w:name="_Toc306207472"/>
      <w:bookmarkStart w:id="1189" w:name="_Toc320196139"/>
      <w:bookmarkStart w:id="1190" w:name="_Toc320643528"/>
      <w:bookmarkStart w:id="1191" w:name="_Toc32511920"/>
      <w:bookmarkStart w:id="1192" w:name="_Toc112830867"/>
      <w:bookmarkEnd w:id="1185"/>
      <w:r w:rsidRPr="00FD50F6">
        <w:t>车辆运用整备设施</w:t>
      </w:r>
      <w:bookmarkEnd w:id="1186"/>
      <w:bookmarkEnd w:id="1187"/>
      <w:bookmarkEnd w:id="1188"/>
      <w:bookmarkEnd w:id="1189"/>
      <w:bookmarkEnd w:id="1190"/>
      <w:bookmarkEnd w:id="1191"/>
      <w:bookmarkEnd w:id="1192"/>
    </w:p>
    <w:p w14:paraId="37194B85" w14:textId="462970FC" w:rsidR="004D0484" w:rsidRPr="00FD50F6" w:rsidRDefault="004D0484" w:rsidP="004D0484">
      <w:pPr>
        <w:pStyle w:val="30"/>
      </w:pPr>
      <w:r w:rsidRPr="00FD50F6">
        <w:t>车辆段运用整备设施应根据生产需要配备停车列检库、周月检库和</w:t>
      </w:r>
      <w:r w:rsidRPr="00FD50F6">
        <w:rPr>
          <w:rFonts w:hint="eastAsia"/>
        </w:rPr>
        <w:t>洗车库</w:t>
      </w:r>
      <w:r w:rsidRPr="00FD50F6">
        <w:t>及相应线路和必要的办公、生活房屋。</w:t>
      </w:r>
    </w:p>
    <w:p w14:paraId="60730E32" w14:textId="497A6FA4" w:rsidR="004D0484" w:rsidRPr="00FD50F6" w:rsidRDefault="004D0484" w:rsidP="004D0484">
      <w:pPr>
        <w:pStyle w:val="30"/>
      </w:pPr>
      <w:r w:rsidRPr="00FD50F6">
        <w:t>周月检库宜与停车列检库合建组成运用库，也可单独设置或与定修库等检修厂房合建组成联合检修库。</w:t>
      </w:r>
    </w:p>
    <w:p w14:paraId="38F48F0C" w14:textId="4EA31C24" w:rsidR="004D0484" w:rsidRPr="00FD50F6" w:rsidRDefault="004D0484" w:rsidP="004D0484">
      <w:pPr>
        <w:pStyle w:val="30"/>
      </w:pPr>
      <w:r w:rsidRPr="00FD50F6">
        <w:t>停车列检库的规模应按近期需要确定，并应预留</w:t>
      </w:r>
      <w:r w:rsidRPr="00FD50F6">
        <w:rPr>
          <w:rFonts w:hint="eastAsia"/>
        </w:rPr>
        <w:t>系统设计最大能力扩建</w:t>
      </w:r>
      <w:r w:rsidRPr="00FD50F6">
        <w:t>条件。</w:t>
      </w:r>
      <w:r w:rsidRPr="00FD50F6">
        <w:rPr>
          <w:rFonts w:hint="eastAsia"/>
        </w:rPr>
        <w:t>当</w:t>
      </w:r>
      <w:r w:rsidRPr="00FD50F6">
        <w:t>周月检库远期扩建困难时，可按远期规模一次建成。</w:t>
      </w:r>
    </w:p>
    <w:p w14:paraId="19209501" w14:textId="130E2F3C" w:rsidR="004D0484" w:rsidRPr="00FD50F6" w:rsidRDefault="004D0484" w:rsidP="004D0484">
      <w:pPr>
        <w:pStyle w:val="30"/>
      </w:pPr>
      <w:r w:rsidRPr="00FD50F6">
        <w:t>停车列检库设计的总列位数应按本段</w:t>
      </w:r>
      <w:r w:rsidRPr="00FD50F6">
        <w:rPr>
          <w:rFonts w:hint="eastAsia"/>
        </w:rPr>
        <w:t>或</w:t>
      </w:r>
      <w:r w:rsidRPr="00FD50F6">
        <w:t>场配属列车数扣除</w:t>
      </w:r>
      <w:r w:rsidRPr="00FD50F6">
        <w:rPr>
          <w:rFonts w:hint="eastAsia"/>
        </w:rPr>
        <w:t>每天</w:t>
      </w:r>
      <w:r w:rsidRPr="00FD50F6">
        <w:t>在修车列数计算确定；</w:t>
      </w:r>
      <w:r w:rsidRPr="00FD50F6">
        <w:rPr>
          <w:rFonts w:hint="eastAsia"/>
        </w:rPr>
        <w:t>其中</w:t>
      </w:r>
      <w:r w:rsidRPr="00FD50F6">
        <w:t>列检列位数</w:t>
      </w:r>
      <w:r w:rsidRPr="00FD50F6">
        <w:rPr>
          <w:rFonts w:hint="eastAsia"/>
        </w:rPr>
        <w:t>应按列检任务量计算确定，并应不少于</w:t>
      </w:r>
      <w:r w:rsidRPr="00FD50F6">
        <w:t>总</w:t>
      </w:r>
      <w:r w:rsidRPr="00FD50F6">
        <w:rPr>
          <w:rFonts w:hint="eastAsia"/>
        </w:rPr>
        <w:t>停车</w:t>
      </w:r>
      <w:r w:rsidRPr="00FD50F6">
        <w:t>列位数的</w:t>
      </w:r>
      <w:r w:rsidRPr="00FD50F6">
        <w:t>50%</w:t>
      </w:r>
      <w:r w:rsidRPr="00FD50F6">
        <w:t>。</w:t>
      </w:r>
    </w:p>
    <w:p w14:paraId="12011272" w14:textId="2236DEE0" w:rsidR="004D0484" w:rsidRPr="00FD50F6" w:rsidRDefault="004D0484" w:rsidP="004D0484">
      <w:pPr>
        <w:pStyle w:val="30"/>
      </w:pPr>
      <w:r w:rsidRPr="00FD50F6">
        <w:t>停车库应根据当地气象条件和运营要求设计。</w:t>
      </w:r>
      <w:r w:rsidRPr="00FD50F6">
        <w:rPr>
          <w:rFonts w:hint="eastAsia"/>
        </w:rPr>
        <w:t>温暖</w:t>
      </w:r>
      <w:r w:rsidRPr="00FD50F6">
        <w:t>多雨地区宜设棚，寒冷地区或风沙地区应设库，当露天停车对运营和作业无影响时，停车股道可按露天设计；</w:t>
      </w:r>
      <w:r w:rsidRPr="00FD50F6">
        <w:rPr>
          <w:rFonts w:hint="eastAsia"/>
        </w:rPr>
        <w:t>当</w:t>
      </w:r>
      <w:r w:rsidRPr="00FD50F6">
        <w:t>停车股道按露天设计时，应设司机上下车的道路和遮雨设施。</w:t>
      </w:r>
    </w:p>
    <w:p w14:paraId="4E2D530A" w14:textId="77777777" w:rsidR="004D0484" w:rsidRPr="00FD50F6" w:rsidRDefault="004D0484" w:rsidP="004D0484">
      <w:pPr>
        <w:pStyle w:val="30"/>
      </w:pPr>
      <w:r w:rsidRPr="00FD50F6">
        <w:t>运用库各库线的列位数应符合下列规定：</w:t>
      </w:r>
    </w:p>
    <w:p w14:paraId="3BD7863E" w14:textId="04CD5DD8" w:rsidR="004D0484" w:rsidRPr="00FD50F6" w:rsidRDefault="004D0484" w:rsidP="00A926BD">
      <w:pPr>
        <w:pStyle w:val="4"/>
      </w:pPr>
      <w:r w:rsidRPr="00FD50F6">
        <w:rPr>
          <w:rFonts w:hint="eastAsia"/>
        </w:rPr>
        <w:t>当</w:t>
      </w:r>
      <w:r w:rsidRPr="00FD50F6">
        <w:t>库型为尽端式布置时，停车、列检线应按一列位或两列位设计</w:t>
      </w:r>
      <w:r w:rsidRPr="00FD50F6">
        <w:rPr>
          <w:rFonts w:hint="eastAsia"/>
        </w:rPr>
        <w:t>，</w:t>
      </w:r>
      <w:r w:rsidRPr="00FD50F6">
        <w:t>周月检线应按一列位设计</w:t>
      </w:r>
      <w:r w:rsidRPr="00FD50F6">
        <w:rPr>
          <w:rFonts w:hint="eastAsia"/>
        </w:rPr>
        <w:t>；</w:t>
      </w:r>
    </w:p>
    <w:p w14:paraId="5645C9AB" w14:textId="2DD88F29" w:rsidR="004D0484" w:rsidRPr="00FD50F6" w:rsidRDefault="004D0484" w:rsidP="00A926BD">
      <w:pPr>
        <w:pStyle w:val="4"/>
      </w:pPr>
      <w:r w:rsidRPr="00FD50F6">
        <w:rPr>
          <w:rFonts w:hint="eastAsia"/>
        </w:rPr>
        <w:t>当</w:t>
      </w:r>
      <w:r w:rsidRPr="00FD50F6">
        <w:t>库型为贯通式布置时，停车、列检线应按两列位或三列位设计</w:t>
      </w:r>
      <w:r w:rsidRPr="00FD50F6">
        <w:rPr>
          <w:rFonts w:hint="eastAsia"/>
        </w:rPr>
        <w:t>，</w:t>
      </w:r>
      <w:r w:rsidRPr="00FD50F6">
        <w:t>周月检线应按两列位设计。</w:t>
      </w:r>
    </w:p>
    <w:p w14:paraId="4E569A75" w14:textId="77777777" w:rsidR="004D0484" w:rsidRPr="00FD50F6" w:rsidRDefault="004D0484" w:rsidP="004D0484">
      <w:pPr>
        <w:pStyle w:val="30"/>
      </w:pPr>
      <w:r w:rsidRPr="00FD50F6">
        <w:t>停车列检库库线应根据车辆的受电方式设置架空接触网或地面接触轨。</w:t>
      </w:r>
    </w:p>
    <w:p w14:paraId="6B706593" w14:textId="2E71D9DC" w:rsidR="004D0484" w:rsidRPr="00FD50F6" w:rsidRDefault="004D0484" w:rsidP="004D0484">
      <w:pPr>
        <w:pStyle w:val="30"/>
      </w:pPr>
      <w:r w:rsidRPr="00FD50F6">
        <w:t>地面接触轨应分段设置并加装安全防护罩。</w:t>
      </w:r>
      <w:r w:rsidRPr="00FD50F6">
        <w:rPr>
          <w:rFonts w:hint="eastAsia"/>
        </w:rPr>
        <w:t>当</w:t>
      </w:r>
      <w:r w:rsidRPr="00FD50F6">
        <w:t>停车、列检库和周月检库线采用架空接触网时，每</w:t>
      </w:r>
      <w:r w:rsidRPr="00FD50F6">
        <w:rPr>
          <w:rFonts w:hint="eastAsia"/>
        </w:rPr>
        <w:t>条</w:t>
      </w:r>
      <w:r w:rsidRPr="00FD50F6">
        <w:t>线库前均应设置</w:t>
      </w:r>
      <w:r w:rsidRPr="00FD50F6">
        <w:rPr>
          <w:rFonts w:hint="eastAsia"/>
        </w:rPr>
        <w:t>电分段和</w:t>
      </w:r>
      <w:r w:rsidRPr="00FD50F6">
        <w:t>隔离开关</w:t>
      </w:r>
      <w:r w:rsidRPr="00FD50F6">
        <w:rPr>
          <w:rFonts w:hint="eastAsia"/>
        </w:rPr>
        <w:t>；有单独停电需求的列位之间应设置电分段和</w:t>
      </w:r>
      <w:r w:rsidRPr="00FD50F6">
        <w:t>隔离开关</w:t>
      </w:r>
      <w:r w:rsidRPr="00FD50F6">
        <w:rPr>
          <w:rFonts w:hint="eastAsia"/>
        </w:rPr>
        <w:t>。</w:t>
      </w:r>
      <w:r w:rsidRPr="00FD50F6">
        <w:t>每</w:t>
      </w:r>
      <w:r w:rsidRPr="00FD50F6">
        <w:rPr>
          <w:rFonts w:hint="eastAsia"/>
        </w:rPr>
        <w:t>条</w:t>
      </w:r>
      <w:r w:rsidRPr="00FD50F6">
        <w:t>线库前应设置带电显示设施、出入库</w:t>
      </w:r>
      <w:r w:rsidRPr="00FD50F6">
        <w:rPr>
          <w:rFonts w:hint="eastAsia"/>
        </w:rPr>
        <w:t>声光</w:t>
      </w:r>
      <w:r w:rsidRPr="00FD50F6">
        <w:t>警示设施。</w:t>
      </w:r>
      <w:r w:rsidRPr="00FD50F6">
        <w:t xml:space="preserve"> </w:t>
      </w:r>
    </w:p>
    <w:p w14:paraId="51F5A7E5" w14:textId="77777777" w:rsidR="004D0484" w:rsidRPr="00FD50F6" w:rsidRDefault="004D0484" w:rsidP="004D0484">
      <w:pPr>
        <w:pStyle w:val="30"/>
      </w:pPr>
      <w:r w:rsidRPr="00FD50F6">
        <w:t>列检</w:t>
      </w:r>
      <w:r w:rsidRPr="00FD50F6">
        <w:rPr>
          <w:rFonts w:hint="eastAsia"/>
        </w:rPr>
        <w:t>线</w:t>
      </w:r>
      <w:r w:rsidRPr="00FD50F6">
        <w:t>应设中间检查坑，</w:t>
      </w:r>
      <w:r w:rsidRPr="00FD50F6">
        <w:rPr>
          <w:rFonts w:hint="eastAsia"/>
        </w:rPr>
        <w:t>中间</w:t>
      </w:r>
      <w:r w:rsidRPr="00FD50F6">
        <w:t>检查坑的设计应符合下列规定：</w:t>
      </w:r>
    </w:p>
    <w:p w14:paraId="5836E0D2" w14:textId="2F87E564" w:rsidR="004D0484" w:rsidRPr="00FD50F6" w:rsidRDefault="004D0484" w:rsidP="00A926BD">
      <w:pPr>
        <w:pStyle w:val="4"/>
      </w:pPr>
      <w:r w:rsidRPr="00FD50F6">
        <w:t>坑深宜为</w:t>
      </w:r>
      <w:r w:rsidRPr="00FD50F6">
        <w:t>1.3m</w:t>
      </w:r>
      <w:r w:rsidRPr="00FD50F6">
        <w:t>～</w:t>
      </w:r>
      <w:r w:rsidRPr="00FD50F6">
        <w:t>1.5m</w:t>
      </w:r>
      <w:r w:rsidRPr="00FD50F6">
        <w:rPr>
          <w:rFonts w:hint="eastAsia"/>
        </w:rPr>
        <w:t>，</w:t>
      </w:r>
      <w:r w:rsidRPr="00FD50F6">
        <w:t>两端应设阶梯踏步，坑内应有良好的照明和排水设</w:t>
      </w:r>
      <w:r w:rsidRPr="00FD50F6">
        <w:lastRenderedPageBreak/>
        <w:t>施</w:t>
      </w:r>
      <w:r w:rsidRPr="00FD50F6">
        <w:rPr>
          <w:rFonts w:hint="eastAsia"/>
        </w:rPr>
        <w:t>。</w:t>
      </w:r>
    </w:p>
    <w:p w14:paraId="4C5BAFF4" w14:textId="77777777" w:rsidR="004D0484" w:rsidRPr="00FD50F6" w:rsidRDefault="004D0484" w:rsidP="00A926BD">
      <w:pPr>
        <w:pStyle w:val="4"/>
      </w:pPr>
      <w:r w:rsidRPr="00FD50F6">
        <w:t>列检检查坑的长度不应小于下式的计算值：</w:t>
      </w:r>
    </w:p>
    <w:p w14:paraId="747A1168" w14:textId="3EBFFBDB" w:rsidR="004D0484" w:rsidRPr="00FD50F6" w:rsidRDefault="004D0484" w:rsidP="004D0484">
      <w:pPr>
        <w:adjustRightInd w:val="0"/>
        <w:snapToGrid w:val="0"/>
        <w:ind w:firstLineChars="1400" w:firstLine="336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j</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FD50F6">
        <w:rPr>
          <w:rFonts w:ascii="Times New Roman" w:hAnsi="Times New Roman" w:cs="Times New Roman"/>
          <w:kern w:val="0"/>
          <w:szCs w:val="24"/>
          <w:lang w:val="x-none" w:eastAsia="x-none"/>
        </w:rPr>
        <w:t xml:space="preserve">+C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.3.9</w:t>
      </w:r>
      <w:r w:rsidRPr="00FD50F6">
        <w:rPr>
          <w:rFonts w:ascii="Times New Roman" w:hAnsi="Times New Roman" w:cs="Times New Roman"/>
          <w:kern w:val="0"/>
          <w:szCs w:val="24"/>
          <w:lang w:val="x-none" w:eastAsia="x-none"/>
        </w:rPr>
        <w:t>）</w:t>
      </w:r>
    </w:p>
    <w:p w14:paraId="09FAC6F5" w14:textId="77777777" w:rsidR="004D0484" w:rsidRPr="00FD50F6" w:rsidRDefault="004D0484" w:rsidP="004D0484">
      <w:pPr>
        <w:adjustRightInd w:val="0"/>
        <w:snapToGrid w:val="0"/>
        <w:rPr>
          <w:rFonts w:ascii="Times New Roman" w:hAnsi="Times New Roman" w:cs="Times New Roman"/>
          <w:kern w:val="0"/>
          <w:szCs w:val="24"/>
          <w:lang w:val="x-none" w:eastAsia="x-none"/>
        </w:rPr>
      </w:pPr>
      <w:r w:rsidRPr="00FD50F6">
        <w:rPr>
          <w:rFonts w:ascii="Times New Roman" w:hAnsi="Times New Roman" w:cs="Times New Roman"/>
          <w:kern w:val="0"/>
          <w:szCs w:val="24"/>
          <w:lang w:val="x-none" w:eastAsia="x-none"/>
        </w:rPr>
        <w:t>式中：</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j</w:t>
      </w:r>
      <w:r w:rsidRPr="00FD50F6">
        <w:rPr>
          <w:rFonts w:ascii="Times New Roman" w:hAnsi="Times New Roman" w:cs="Times New Roman"/>
          <w:kern w:val="0"/>
          <w:szCs w:val="24"/>
          <w:lang w:val="x-none" w:eastAsia="x-none"/>
        </w:rPr>
        <w:t>——</w:t>
      </w:r>
      <w:r w:rsidRPr="00FD50F6">
        <w:rPr>
          <w:rFonts w:ascii="Times New Roman" w:hAnsi="Times New Roman" w:cs="Times New Roman"/>
          <w:kern w:val="0"/>
          <w:szCs w:val="24"/>
          <w:lang w:val="x-none" w:eastAsia="x-none"/>
        </w:rPr>
        <w:t>检查坑长度（</w:t>
      </w:r>
      <w:r w:rsidRPr="00FD50F6">
        <w:rPr>
          <w:rFonts w:ascii="Times New Roman" w:hAnsi="Times New Roman" w:cs="Times New Roman"/>
          <w:kern w:val="0"/>
          <w:szCs w:val="24"/>
          <w:lang w:val="x-none" w:eastAsia="x-none"/>
        </w:rPr>
        <w:t>m</w:t>
      </w:r>
      <w:r w:rsidRPr="00FD50F6">
        <w:rPr>
          <w:rFonts w:ascii="Times New Roman" w:hAnsi="Times New Roman" w:cs="Times New Roman"/>
          <w:kern w:val="0"/>
          <w:szCs w:val="24"/>
          <w:lang w:val="x-none" w:eastAsia="x-none"/>
        </w:rPr>
        <w:t>）；</w:t>
      </w:r>
    </w:p>
    <w:p w14:paraId="74AF685D" w14:textId="77777777" w:rsidR="004D0484" w:rsidRPr="00FD50F6" w:rsidRDefault="004D0484" w:rsidP="004D0484">
      <w:pPr>
        <w:adjustRightInd w:val="0"/>
        <w:snapToGrid w:val="0"/>
        <w:ind w:firstLineChars="300" w:firstLine="72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 xml:space="preserve">L </w:t>
      </w:r>
      <w:r w:rsidRPr="00FD50F6">
        <w:rPr>
          <w:rFonts w:ascii="Times New Roman" w:hAnsi="Times New Roman" w:cs="Times New Roman"/>
          <w:kern w:val="0"/>
          <w:szCs w:val="24"/>
          <w:lang w:val="x-none" w:eastAsia="x-none"/>
        </w:rPr>
        <w:t>——</w:t>
      </w:r>
      <w:r w:rsidRPr="00FD50F6">
        <w:rPr>
          <w:rFonts w:ascii="Times New Roman" w:hAnsi="Times New Roman" w:cs="Times New Roman"/>
          <w:kern w:val="0"/>
          <w:szCs w:val="24"/>
          <w:lang w:val="x-none" w:eastAsia="x-none"/>
        </w:rPr>
        <w:t>列车长度（</w:t>
      </w:r>
      <w:r w:rsidRPr="00FD50F6">
        <w:rPr>
          <w:rFonts w:ascii="Times New Roman" w:hAnsi="Times New Roman" w:cs="Times New Roman"/>
          <w:kern w:val="0"/>
          <w:szCs w:val="24"/>
          <w:lang w:val="x-none" w:eastAsia="x-none"/>
        </w:rPr>
        <w:t>m</w:t>
      </w:r>
      <w:r w:rsidRPr="00FD50F6">
        <w:rPr>
          <w:rFonts w:ascii="Times New Roman" w:hAnsi="Times New Roman" w:cs="Times New Roman"/>
          <w:kern w:val="0"/>
          <w:szCs w:val="24"/>
          <w:lang w:val="x-none" w:eastAsia="x-none"/>
        </w:rPr>
        <w:t>）；</w:t>
      </w:r>
    </w:p>
    <w:p w14:paraId="08439CF1" w14:textId="662DDAFF" w:rsidR="004D0484" w:rsidRPr="00FD50F6" w:rsidRDefault="004D0484" w:rsidP="004D0484">
      <w:pPr>
        <w:adjustRightInd w:val="0"/>
        <w:snapToGrid w:val="0"/>
        <w:ind w:firstLineChars="300" w:firstLine="720"/>
        <w:rPr>
          <w:rFonts w:ascii="Times New Roman" w:hAnsi="Times New Roman" w:cs="Times New Roman"/>
          <w:kern w:val="0"/>
          <w:szCs w:val="24"/>
          <w:lang w:val="x-none" w:eastAsia="x-none"/>
        </w:rPr>
      </w:pPr>
      <w:r w:rsidRPr="008D2666">
        <w:rPr>
          <w:rFonts w:ascii="Times New Roman" w:hAnsi="Times New Roman" w:cs="Times New Roman"/>
          <w:i/>
          <w:iCs/>
          <w:kern w:val="0"/>
          <w:szCs w:val="24"/>
          <w:lang w:val="x-none" w:eastAsia="x-none"/>
        </w:rPr>
        <w:t xml:space="preserve">C </w:t>
      </w:r>
      <w:r w:rsidRPr="00FD50F6">
        <w:rPr>
          <w:rFonts w:ascii="Times New Roman" w:hAnsi="Times New Roman" w:cs="Times New Roman"/>
          <w:kern w:val="0"/>
          <w:szCs w:val="24"/>
          <w:lang w:val="x-none" w:eastAsia="x-none"/>
        </w:rPr>
        <w:t>——</w:t>
      </w:r>
      <w:r w:rsidRPr="00FD50F6">
        <w:rPr>
          <w:rFonts w:ascii="Times New Roman" w:hAnsi="Times New Roman" w:cs="Times New Roman"/>
          <w:kern w:val="0"/>
          <w:szCs w:val="24"/>
          <w:lang w:val="x-none" w:eastAsia="x-none"/>
        </w:rPr>
        <w:t>附加长度（</w:t>
      </w:r>
      <w:r w:rsidRPr="00FD50F6">
        <w:rPr>
          <w:rFonts w:ascii="Times New Roman" w:hAnsi="Times New Roman" w:cs="Times New Roman"/>
          <w:kern w:val="0"/>
          <w:szCs w:val="24"/>
          <w:lang w:val="x-none" w:eastAsia="x-none"/>
        </w:rPr>
        <w:t>m</w:t>
      </w:r>
      <w:r w:rsidRPr="00FD50F6">
        <w:rPr>
          <w:rFonts w:ascii="Times New Roman" w:hAnsi="Times New Roman" w:cs="Times New Roman"/>
          <w:kern w:val="0"/>
          <w:szCs w:val="24"/>
          <w:lang w:val="x-none" w:eastAsia="x-none"/>
        </w:rPr>
        <w:t>），</w:t>
      </w:r>
      <w:r w:rsidRPr="00FD50F6">
        <w:rPr>
          <w:rFonts w:ascii="Times New Roman" w:hAnsi="Times New Roman" w:cs="Times New Roman" w:hint="eastAsia"/>
          <w:kern w:val="0"/>
          <w:szCs w:val="24"/>
          <w:lang w:val="x-none"/>
        </w:rPr>
        <w:t>取</w:t>
      </w:r>
      <w:r w:rsidRPr="00FD50F6">
        <w:rPr>
          <w:rFonts w:ascii="Times New Roman" w:hAnsi="Times New Roman" w:cs="Times New Roman" w:hint="eastAsia"/>
          <w:kern w:val="0"/>
          <w:szCs w:val="24"/>
          <w:lang w:val="x-none"/>
        </w:rPr>
        <w:t>7</w:t>
      </w:r>
      <w:r w:rsidRPr="00FD50F6">
        <w:rPr>
          <w:rFonts w:ascii="Times New Roman" w:hAnsi="Times New Roman" w:cs="Times New Roman"/>
          <w:kern w:val="0"/>
          <w:szCs w:val="24"/>
          <w:lang w:val="x-none"/>
        </w:rPr>
        <w:t>m</w:t>
      </w:r>
      <w:r w:rsidRPr="00FD50F6">
        <w:rPr>
          <w:rFonts w:ascii="Times New Roman" w:hAnsi="Times New Roman" w:cs="Times New Roman" w:hint="eastAsia"/>
          <w:kern w:val="0"/>
          <w:szCs w:val="24"/>
          <w:lang w:val="x-none"/>
        </w:rPr>
        <w:t>，</w:t>
      </w:r>
      <w:r w:rsidRPr="00FD50F6">
        <w:rPr>
          <w:rFonts w:ascii="Times New Roman" w:hAnsi="Times New Roman" w:cs="Times New Roman"/>
          <w:kern w:val="0"/>
          <w:szCs w:val="24"/>
          <w:lang w:val="x-none" w:eastAsia="x-none"/>
        </w:rPr>
        <w:t>包括检查坑两端阶梯踏步各</w:t>
      </w:r>
      <w:r w:rsidRPr="00FD50F6">
        <w:rPr>
          <w:rFonts w:ascii="Times New Roman" w:hAnsi="Times New Roman" w:cs="Times New Roman"/>
          <w:kern w:val="0"/>
          <w:szCs w:val="24"/>
          <w:lang w:val="x-none" w:eastAsia="x-none"/>
        </w:rPr>
        <w:t>1.5m</w:t>
      </w:r>
      <w:r w:rsidRPr="00FD50F6">
        <w:rPr>
          <w:rFonts w:ascii="Times New Roman" w:hAnsi="Times New Roman" w:cs="Times New Roman"/>
          <w:kern w:val="0"/>
          <w:szCs w:val="24"/>
          <w:lang w:val="x-none" w:eastAsia="x-none"/>
        </w:rPr>
        <w:t>和</w:t>
      </w:r>
      <w:r w:rsidRPr="00FD50F6">
        <w:rPr>
          <w:rFonts w:ascii="Times New Roman" w:hAnsi="Times New Roman" w:cs="Times New Roman" w:hint="eastAsia"/>
          <w:kern w:val="0"/>
          <w:szCs w:val="24"/>
          <w:lang w:val="x-none" w:eastAsia="x-none"/>
        </w:rPr>
        <w:t>车钩两端距检查坑底部端头各</w:t>
      </w:r>
      <w:r w:rsidRPr="00FD50F6">
        <w:rPr>
          <w:rFonts w:ascii="Times New Roman" w:hAnsi="Times New Roman" w:cs="Times New Roman" w:hint="eastAsia"/>
          <w:kern w:val="0"/>
          <w:szCs w:val="24"/>
          <w:lang w:val="x-none" w:eastAsia="x-none"/>
        </w:rPr>
        <w:t>2m</w:t>
      </w:r>
      <w:r w:rsidRPr="00FD50F6">
        <w:rPr>
          <w:rFonts w:ascii="Times New Roman" w:hAnsi="Times New Roman" w:cs="Times New Roman"/>
          <w:kern w:val="0"/>
          <w:szCs w:val="24"/>
          <w:lang w:val="x-none" w:eastAsia="x-none"/>
        </w:rPr>
        <w:t>。</w:t>
      </w:r>
    </w:p>
    <w:p w14:paraId="24E8856C" w14:textId="4C5FA416" w:rsidR="004D0484" w:rsidRPr="00FD50F6" w:rsidRDefault="004D0484" w:rsidP="004D0484">
      <w:pPr>
        <w:pStyle w:val="8"/>
        <w:ind w:firstLine="480"/>
      </w:pPr>
      <w:r w:rsidRPr="00FD50F6">
        <w:rPr>
          <w:rFonts w:hint="eastAsia"/>
        </w:rPr>
        <w:t>3</w:t>
      </w:r>
      <w:r w:rsidRPr="00FD50F6">
        <w:rPr>
          <w:rFonts w:hint="eastAsia"/>
        </w:rPr>
        <w:t>列检线</w:t>
      </w:r>
      <w:r w:rsidRPr="00FD50F6">
        <w:t>两侧地坪有条件部位宜下沉，下沉深度宜为轨面下</w:t>
      </w:r>
      <w:r w:rsidRPr="00FD50F6">
        <w:t>1.0m</w:t>
      </w:r>
      <w:r w:rsidRPr="00FD50F6">
        <w:t>～</w:t>
      </w:r>
      <w:r w:rsidRPr="00FD50F6">
        <w:t>1.1m</w:t>
      </w:r>
      <w:r w:rsidRPr="00FD50F6">
        <w:t>；</w:t>
      </w:r>
      <w:r w:rsidRPr="00FD50F6">
        <w:rPr>
          <w:rFonts w:hint="eastAsia"/>
        </w:rPr>
        <w:t>两端通过缓坡与库内平过道相连，缓坡坡度宜为</w:t>
      </w:r>
      <w:r w:rsidRPr="00FD50F6">
        <w:t>10%</w:t>
      </w:r>
      <w:r w:rsidRPr="00FD50F6">
        <w:rPr>
          <w:rFonts w:hint="eastAsia"/>
        </w:rPr>
        <w:t>～</w:t>
      </w:r>
      <w:r w:rsidRPr="00FD50F6">
        <w:t>11%</w:t>
      </w:r>
      <w:r w:rsidRPr="00FD50F6">
        <w:rPr>
          <w:rFonts w:hint="eastAsia"/>
        </w:rPr>
        <w:t>。当</w:t>
      </w:r>
      <w:r w:rsidRPr="00FD50F6">
        <w:t>采用接触轨供电时，安装接触轨</w:t>
      </w:r>
      <w:r w:rsidRPr="00FD50F6">
        <w:rPr>
          <w:rFonts w:hint="eastAsia"/>
        </w:rPr>
        <w:t>一</w:t>
      </w:r>
      <w:r w:rsidRPr="00FD50F6">
        <w:t>侧的</w:t>
      </w:r>
      <w:r w:rsidRPr="00FD50F6">
        <w:rPr>
          <w:rFonts w:hint="eastAsia"/>
        </w:rPr>
        <w:t>地坪不宜下沉。</w:t>
      </w:r>
    </w:p>
    <w:p w14:paraId="075338BC" w14:textId="6B845CF4" w:rsidR="004D0484" w:rsidRPr="00FD50F6" w:rsidRDefault="004D0484" w:rsidP="004D0484">
      <w:pPr>
        <w:pStyle w:val="30"/>
      </w:pPr>
      <w:r w:rsidRPr="00FD50F6">
        <w:t>周月检库内线路应设柱式检查坑，并应根据作业要求设置车顶作业平台和中间作业平台。周月检库</w:t>
      </w:r>
      <w:r w:rsidRPr="00FD50F6">
        <w:rPr>
          <w:rFonts w:hint="eastAsia"/>
        </w:rPr>
        <w:t>设计</w:t>
      </w:r>
      <w:r w:rsidRPr="00FD50F6">
        <w:t>应符合下列规定：</w:t>
      </w:r>
    </w:p>
    <w:p w14:paraId="1EB43620" w14:textId="1BEB78E0" w:rsidR="004D0484" w:rsidRPr="00FD50F6" w:rsidRDefault="004D0484" w:rsidP="00A926BD">
      <w:pPr>
        <w:pStyle w:val="4"/>
      </w:pPr>
      <w:r w:rsidRPr="00FD50F6">
        <w:t>柱式检查坑深度，钢轨内侧宜为</w:t>
      </w:r>
      <w:r w:rsidRPr="00FD50F6">
        <w:t>1.3m</w:t>
      </w:r>
      <w:r w:rsidRPr="00FD50F6">
        <w:t>～</w:t>
      </w:r>
      <w:r w:rsidRPr="00FD50F6">
        <w:t>1.5m</w:t>
      </w:r>
      <w:r w:rsidRPr="00FD50F6">
        <w:t>，两端应设阶梯踏步</w:t>
      </w:r>
      <w:r w:rsidRPr="00FD50F6">
        <w:rPr>
          <w:rFonts w:hint="eastAsia"/>
        </w:rPr>
        <w:t>；</w:t>
      </w:r>
      <w:r w:rsidRPr="00FD50F6">
        <w:t>钢轨外侧宜</w:t>
      </w:r>
      <w:r w:rsidRPr="00FD50F6">
        <w:rPr>
          <w:rFonts w:hint="eastAsia"/>
        </w:rPr>
        <w:t>设置</w:t>
      </w:r>
      <w:r w:rsidRPr="00FD50F6">
        <w:t>1.0m</w:t>
      </w:r>
      <w:r w:rsidRPr="00FD50F6">
        <w:t>～</w:t>
      </w:r>
      <w:r w:rsidRPr="00FD50F6">
        <w:t>1.1m</w:t>
      </w:r>
      <w:r w:rsidRPr="00FD50F6">
        <w:rPr>
          <w:rFonts w:hint="eastAsia"/>
        </w:rPr>
        <w:t>的底层作业面，两端通过缓坡与库内平过道相连，缓坡坡度宜为</w:t>
      </w:r>
      <w:r w:rsidRPr="00FD50F6">
        <w:rPr>
          <w:rFonts w:hint="eastAsia"/>
        </w:rPr>
        <w:t>10%</w:t>
      </w:r>
      <w:r w:rsidRPr="00FD50F6">
        <w:rPr>
          <w:rFonts w:hint="eastAsia"/>
        </w:rPr>
        <w:t>～</w:t>
      </w:r>
      <w:r w:rsidRPr="00FD50F6">
        <w:rPr>
          <w:rFonts w:hint="eastAsia"/>
        </w:rPr>
        <w:t>11%</w:t>
      </w:r>
      <w:r w:rsidRPr="00FD50F6">
        <w:t>，坑内应有良好的照明和排水设施</w:t>
      </w:r>
      <w:r w:rsidRPr="00FD50F6">
        <w:rPr>
          <w:rFonts w:hint="eastAsia"/>
        </w:rPr>
        <w:t>。</w:t>
      </w:r>
    </w:p>
    <w:p w14:paraId="028D3B73" w14:textId="1EEA56E7" w:rsidR="004D0484" w:rsidRPr="00FD50F6" w:rsidRDefault="004D0484" w:rsidP="00A926BD">
      <w:pPr>
        <w:pStyle w:val="4"/>
      </w:pPr>
      <w:r w:rsidRPr="00FD50F6">
        <w:rPr>
          <w:rFonts w:hint="eastAsia"/>
        </w:rPr>
        <w:t>当</w:t>
      </w:r>
      <w:r w:rsidRPr="00FD50F6">
        <w:t>采用接触轨供电时，接触轨不应进入周月检库库线</w:t>
      </w:r>
      <w:r w:rsidRPr="00FD50F6">
        <w:rPr>
          <w:rFonts w:hint="eastAsia"/>
        </w:rPr>
        <w:t>。</w:t>
      </w:r>
    </w:p>
    <w:p w14:paraId="7F2E6BBD" w14:textId="1F149564" w:rsidR="004D0484" w:rsidRPr="00FD50F6" w:rsidRDefault="004D0484" w:rsidP="00A926BD">
      <w:pPr>
        <w:pStyle w:val="4"/>
      </w:pPr>
      <w:r w:rsidRPr="00FD50F6">
        <w:t>车顶作业平台和中间作业平台的结构尺寸应根据车辆结构和作业要求确定</w:t>
      </w:r>
      <w:r w:rsidRPr="00FD50F6">
        <w:rPr>
          <w:rFonts w:hint="eastAsia"/>
        </w:rPr>
        <w:t>，</w:t>
      </w:r>
      <w:r w:rsidRPr="00FD50F6">
        <w:t>作业平台两侧应有安全防护设施</w:t>
      </w:r>
      <w:r w:rsidRPr="00FD50F6">
        <w:rPr>
          <w:rFonts w:hint="eastAsia"/>
        </w:rPr>
        <w:t>。</w:t>
      </w:r>
    </w:p>
    <w:p w14:paraId="32E81E03" w14:textId="77777777" w:rsidR="004D0484" w:rsidRPr="00FD50F6" w:rsidRDefault="004D0484" w:rsidP="00A926BD">
      <w:pPr>
        <w:pStyle w:val="4"/>
      </w:pPr>
      <w:r w:rsidRPr="00FD50F6">
        <w:rPr>
          <w:rFonts w:hint="eastAsia"/>
        </w:rPr>
        <w:t>当</w:t>
      </w:r>
      <w:r w:rsidRPr="00FD50F6">
        <w:t>采用接触网供电时，上车顶作业平台门的开关应与接触网隔离开关联锁，兼作两线作业的车顶作业平台中间应设隔离栅栏</w:t>
      </w:r>
      <w:r w:rsidRPr="00FD50F6">
        <w:rPr>
          <w:rFonts w:hint="eastAsia"/>
        </w:rPr>
        <w:t>。</w:t>
      </w:r>
    </w:p>
    <w:p w14:paraId="0DD4164F" w14:textId="75B300DE" w:rsidR="004D0484" w:rsidRPr="00FD50F6" w:rsidRDefault="004D0484" w:rsidP="00A926BD">
      <w:pPr>
        <w:pStyle w:val="4"/>
      </w:pPr>
      <w:r w:rsidRPr="00FD50F6">
        <w:t>周月检库宜有</w:t>
      </w:r>
      <w:r w:rsidRPr="00FD50F6">
        <w:t>1</w:t>
      </w:r>
      <w:r w:rsidRPr="00FD50F6">
        <w:t>～</w:t>
      </w:r>
      <w:r w:rsidRPr="00FD50F6">
        <w:t>2</w:t>
      </w:r>
      <w:r w:rsidRPr="00FD50F6">
        <w:t>列位设调试外接电源设备。</w:t>
      </w:r>
    </w:p>
    <w:p w14:paraId="1C68978A" w14:textId="669433EA" w:rsidR="004D0484" w:rsidRPr="00FD50F6" w:rsidRDefault="004D0484" w:rsidP="004D0484">
      <w:pPr>
        <w:pStyle w:val="30"/>
      </w:pPr>
      <w:r w:rsidRPr="00FD50F6">
        <w:t>各车库的长度应分别按下列公式计算，并应结合厂房组合情况和建筑、结构设计要求作适当调整，</w:t>
      </w:r>
      <w:r w:rsidRPr="00FD50F6">
        <w:rPr>
          <w:rFonts w:hint="eastAsia"/>
        </w:rPr>
        <w:t>全自动运行线路应满足停车信号安全距离要求，</w:t>
      </w:r>
      <w:r w:rsidRPr="00FD50F6">
        <w:t>并不应小于下列公式的计算值：</w:t>
      </w:r>
    </w:p>
    <w:p w14:paraId="738A3D81" w14:textId="19E9DCC8" w:rsidR="004D0484" w:rsidRPr="00FD50F6" w:rsidRDefault="004D0484" w:rsidP="00A926BD">
      <w:pPr>
        <w:pStyle w:val="4"/>
      </w:pPr>
      <w:r w:rsidRPr="00FD50F6">
        <w:t>停车库计算长度可按下式计算：</w:t>
      </w:r>
    </w:p>
    <w:p w14:paraId="19667CCB" w14:textId="16E207C6" w:rsidR="004D0484" w:rsidRPr="00FD50F6" w:rsidRDefault="004D0484" w:rsidP="004D0484">
      <w:pPr>
        <w:pStyle w:val="8"/>
        <w:ind w:firstLine="480"/>
        <w:jc w:val="center"/>
      </w:pPr>
      <w:r w:rsidRPr="001A4CF3">
        <w:rPr>
          <w:i/>
        </w:rPr>
        <w:t>L</w:t>
      </w:r>
      <w:r w:rsidRPr="008D2666">
        <w:rPr>
          <w:iCs/>
          <w:vertAlign w:val="subscript"/>
        </w:rPr>
        <w:t>tk</w:t>
      </w:r>
      <w:r w:rsidRPr="00FD50F6">
        <w:t>=</w:t>
      </w:r>
      <w:r w:rsidRPr="00FD50F6">
        <w:rPr>
          <w:rFonts w:hint="eastAsia"/>
        </w:rPr>
        <w:t>(</w:t>
      </w:r>
      <w:r w:rsidRPr="001A4CF3">
        <w:rPr>
          <w:i/>
        </w:rPr>
        <w:t>L</w:t>
      </w:r>
      <w:r w:rsidRPr="00FD50F6">
        <w:t>+1</w:t>
      </w:r>
      <w:r w:rsidRPr="00FD50F6">
        <w:rPr>
          <w:rFonts w:hint="eastAsia"/>
        </w:rPr>
        <w:t>）</w:t>
      </w:r>
      <w:r w:rsidRPr="001A4CF3">
        <w:rPr>
          <w:i/>
        </w:rPr>
        <w:t>N</w:t>
      </w:r>
      <w:r w:rsidRPr="008D2666">
        <w:rPr>
          <w:iCs/>
          <w:vertAlign w:val="subscript"/>
        </w:rPr>
        <w:t xml:space="preserve">t </w:t>
      </w:r>
      <w:r w:rsidRPr="00FD50F6">
        <w:t>+</w:t>
      </w:r>
      <w:r w:rsidRPr="00FD50F6">
        <w:rPr>
          <w:rFonts w:hint="eastAsia"/>
        </w:rPr>
        <w:t>(</w:t>
      </w:r>
      <w:r w:rsidRPr="001A4CF3">
        <w:rPr>
          <w:i/>
        </w:rPr>
        <w:t>N</w:t>
      </w:r>
      <w:r w:rsidRPr="008D2666">
        <w:rPr>
          <w:iCs/>
          <w:vertAlign w:val="subscript"/>
        </w:rPr>
        <w:t>t</w:t>
      </w:r>
      <w:r w:rsidRPr="00FD50F6">
        <w:t>-1</w:t>
      </w:r>
      <w:r w:rsidRPr="00FD50F6">
        <w:rPr>
          <w:rFonts w:hint="eastAsia"/>
        </w:rPr>
        <w:t>）</w:t>
      </w:r>
      <w:r w:rsidR="005144A3" w:rsidRPr="00FD50F6">
        <w:t>×</w:t>
      </w:r>
      <w:r w:rsidR="005144A3" w:rsidRPr="008D2666">
        <w:rPr>
          <w:i/>
        </w:rPr>
        <w:t>D</w:t>
      </w:r>
      <w:r w:rsidR="005144A3" w:rsidRPr="008D2666">
        <w:rPr>
          <w:iCs/>
          <w:vertAlign w:val="subscript"/>
        </w:rPr>
        <w:t>1</w:t>
      </w:r>
      <w:r w:rsidR="005144A3" w:rsidRPr="00FD50F6">
        <w:t xml:space="preserve"> +</w:t>
      </w:r>
      <w:r w:rsidR="005144A3" w:rsidRPr="008D2666">
        <w:rPr>
          <w:i/>
        </w:rPr>
        <w:t>D</w:t>
      </w:r>
      <w:r w:rsidR="005144A3" w:rsidRPr="008D2666">
        <w:rPr>
          <w:iCs/>
          <w:vertAlign w:val="subscript"/>
        </w:rPr>
        <w:t>2</w:t>
      </w:r>
      <w:r w:rsidR="005144A3" w:rsidRPr="00FD50F6">
        <w:t xml:space="preserve">  </w:t>
      </w:r>
      <w:r w:rsidR="005144A3" w:rsidRPr="00FD50F6">
        <w:t>（</w:t>
      </w:r>
      <w:r w:rsidR="005144A3" w:rsidRPr="00FD50F6">
        <w:t>29.3.11-1</w:t>
      </w:r>
      <w:r w:rsidR="005144A3" w:rsidRPr="00FD50F6">
        <w:t>）</w:t>
      </w:r>
    </w:p>
    <w:p w14:paraId="0BCE4633" w14:textId="08E34F0D" w:rsidR="004D0484" w:rsidRPr="00FD50F6" w:rsidRDefault="004D0484" w:rsidP="004D0484">
      <w:pPr>
        <w:pStyle w:val="8"/>
        <w:ind w:firstLine="480"/>
      </w:pPr>
      <w:r w:rsidRPr="00FD50F6">
        <w:t>式中：</w:t>
      </w:r>
      <w:r w:rsidRPr="001A4CF3">
        <w:rPr>
          <w:i/>
        </w:rPr>
        <w:t>L</w:t>
      </w:r>
      <w:r w:rsidRPr="008D2666">
        <w:rPr>
          <w:iCs/>
          <w:vertAlign w:val="subscript"/>
        </w:rPr>
        <w:t>tk</w:t>
      </w:r>
      <w:r w:rsidRPr="00FD50F6">
        <w:t xml:space="preserve">  ——</w:t>
      </w:r>
      <w:r w:rsidRPr="00FD50F6">
        <w:t>停车库计算长度（</w:t>
      </w:r>
      <w:r w:rsidRPr="00FD50F6">
        <w:t>m</w:t>
      </w:r>
      <w:r w:rsidRPr="00FD50F6">
        <w:t>）；</w:t>
      </w:r>
    </w:p>
    <w:p w14:paraId="0367CCD3" w14:textId="77777777" w:rsidR="004D0484" w:rsidRPr="00FD50F6" w:rsidRDefault="004D0484" w:rsidP="004D0484">
      <w:pPr>
        <w:pStyle w:val="8"/>
        <w:ind w:firstLineChars="500" w:firstLine="1200"/>
      </w:pPr>
      <w:r w:rsidRPr="00FD50F6">
        <w:rPr>
          <w:rFonts w:hint="eastAsia"/>
        </w:rPr>
        <w:t>(</w:t>
      </w:r>
      <w:r w:rsidRPr="001A4CF3">
        <w:rPr>
          <w:i/>
        </w:rPr>
        <w:t>L</w:t>
      </w:r>
      <w:r w:rsidRPr="00FD50F6">
        <w:t>+1</w:t>
      </w:r>
      <w:r w:rsidRPr="00FD50F6">
        <w:rPr>
          <w:rFonts w:hint="eastAsia"/>
        </w:rPr>
        <w:t>)</w:t>
      </w:r>
      <w:r w:rsidRPr="00FD50F6">
        <w:t>——</w:t>
      </w:r>
      <w:r w:rsidRPr="00FD50F6">
        <w:t>列车长度加停车误差</w:t>
      </w:r>
      <w:r w:rsidRPr="00FD50F6">
        <w:t>1m</w:t>
      </w:r>
      <w:r w:rsidRPr="00FD50F6">
        <w:t>（</w:t>
      </w:r>
      <w:r w:rsidRPr="00FD50F6">
        <w:t>m</w:t>
      </w:r>
      <w:r w:rsidRPr="00FD50F6">
        <w:t>）；</w:t>
      </w:r>
    </w:p>
    <w:p w14:paraId="40297A44" w14:textId="77777777" w:rsidR="004D0484" w:rsidRPr="00FD50F6" w:rsidRDefault="004D0484" w:rsidP="004D0484">
      <w:pPr>
        <w:pStyle w:val="8"/>
        <w:ind w:firstLineChars="500" w:firstLine="1200"/>
      </w:pPr>
      <w:r w:rsidRPr="001A4CF3">
        <w:rPr>
          <w:i/>
        </w:rPr>
        <w:t>N</w:t>
      </w:r>
      <w:r w:rsidRPr="008D2666">
        <w:rPr>
          <w:iCs/>
          <w:vertAlign w:val="subscript"/>
        </w:rPr>
        <w:t xml:space="preserve">t  </w:t>
      </w:r>
      <w:r w:rsidRPr="00FD50F6">
        <w:t xml:space="preserve"> ——</w:t>
      </w:r>
      <w:r w:rsidRPr="00FD50F6">
        <w:t>每条线停车列位数；</w:t>
      </w:r>
    </w:p>
    <w:p w14:paraId="4C6B6BEB" w14:textId="7850E801" w:rsidR="005144A3" w:rsidRPr="00FD50F6" w:rsidRDefault="005144A3" w:rsidP="005144A3">
      <w:pPr>
        <w:pStyle w:val="8"/>
        <w:ind w:firstLineChars="500" w:firstLine="1200"/>
      </w:pPr>
      <w:r w:rsidRPr="003F4DAE">
        <w:rPr>
          <w:i/>
        </w:rPr>
        <w:t>D</w:t>
      </w:r>
      <w:r w:rsidRPr="00AC0BFB">
        <w:rPr>
          <w:iCs/>
          <w:vertAlign w:val="subscript"/>
        </w:rPr>
        <w:t>1</w:t>
      </w:r>
      <w:r w:rsidRPr="00FD50F6">
        <w:t xml:space="preserve">    ——</w:t>
      </w:r>
      <w:r w:rsidRPr="00FD50F6">
        <w:t>前后</w:t>
      </w:r>
      <w:r w:rsidRPr="00FD50F6">
        <w:rPr>
          <w:rFonts w:hint="eastAsia"/>
        </w:rPr>
        <w:t>两</w:t>
      </w:r>
      <w:r w:rsidRPr="00FD50F6">
        <w:t>列车之间距离宽度（</w:t>
      </w:r>
      <w:r w:rsidRPr="00FD50F6">
        <w:t>m</w:t>
      </w:r>
      <w:r w:rsidRPr="00FD50F6">
        <w:t>）</w:t>
      </w:r>
      <w:r>
        <w:rPr>
          <w:rFonts w:hint="eastAsia"/>
        </w:rPr>
        <w:t>,</w:t>
      </w:r>
      <w:r>
        <w:t>取</w:t>
      </w:r>
      <w:r>
        <w:rPr>
          <w:rFonts w:hint="eastAsia"/>
        </w:rPr>
        <w:t>8</w:t>
      </w:r>
      <w:r>
        <w:t>m</w:t>
      </w:r>
      <w:r w:rsidRPr="00FD50F6">
        <w:t>；</w:t>
      </w:r>
    </w:p>
    <w:p w14:paraId="64D86412" w14:textId="52E16D97" w:rsidR="004D0484" w:rsidRPr="00FD50F6" w:rsidRDefault="005144A3" w:rsidP="005144A3">
      <w:pPr>
        <w:pStyle w:val="8"/>
        <w:ind w:firstLineChars="500" w:firstLine="1200"/>
      </w:pPr>
      <w:r w:rsidRPr="003F4DAE">
        <w:rPr>
          <w:i/>
        </w:rPr>
        <w:lastRenderedPageBreak/>
        <w:t>D</w:t>
      </w:r>
      <w:r w:rsidRPr="00AC0BFB">
        <w:rPr>
          <w:iCs/>
          <w:vertAlign w:val="subscript"/>
        </w:rPr>
        <w:t>2</w:t>
      </w:r>
      <w:r w:rsidRPr="00FD50F6">
        <w:t xml:space="preserve">  ——</w:t>
      </w:r>
      <w:r w:rsidRPr="00FD50F6">
        <w:t>车库两端横向通道宽度之和</w:t>
      </w:r>
      <w:r w:rsidRPr="00FD50F6">
        <w:t>(m)</w:t>
      </w:r>
      <w:r>
        <w:rPr>
          <w:rFonts w:hint="eastAsia"/>
        </w:rPr>
        <w:t>，</w:t>
      </w:r>
      <w:r>
        <w:t>取</w:t>
      </w:r>
      <w:r>
        <w:rPr>
          <w:rFonts w:hint="eastAsia"/>
        </w:rPr>
        <w:t>9</w:t>
      </w:r>
      <w:r>
        <w:t>m</w:t>
      </w:r>
      <w:r w:rsidR="004D0484" w:rsidRPr="00FD50F6">
        <w:t>。</w:t>
      </w:r>
    </w:p>
    <w:p w14:paraId="5C83EB17" w14:textId="0289051A" w:rsidR="004D0484" w:rsidRPr="00FD50F6" w:rsidRDefault="004D0484" w:rsidP="00A926BD">
      <w:pPr>
        <w:pStyle w:val="4"/>
      </w:pPr>
      <w:r w:rsidRPr="00FD50F6">
        <w:t>列检库计算长度可按下式计算：</w:t>
      </w:r>
    </w:p>
    <w:p w14:paraId="4BDEC86B" w14:textId="559899CC" w:rsidR="004D0484" w:rsidRPr="00FD50F6" w:rsidRDefault="004D0484" w:rsidP="004D0484">
      <w:pPr>
        <w:adjustRightInd w:val="0"/>
        <w:snapToGrid w:val="0"/>
        <w:ind w:firstLineChars="750" w:firstLine="180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jk</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j</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 xml:space="preserve">j </w:t>
      </w:r>
      <w:r w:rsidRPr="00FD50F6">
        <w:rPr>
          <w:rFonts w:ascii="Times New Roman" w:hAnsi="Times New Roman" w:cs="Times New Roman"/>
          <w:kern w:val="0"/>
          <w:szCs w:val="24"/>
          <w:lang w:val="x-none" w:eastAsia="x-none"/>
        </w:rPr>
        <w:t>+</w:t>
      </w:r>
      <w:r w:rsidRPr="00FD50F6">
        <w:rPr>
          <w:rFonts w:ascii="Times New Roman" w:hAnsi="Times New Roman" w:cs="Times New Roman" w:hint="eastAsia"/>
          <w:kern w:val="0"/>
          <w:szCs w:val="24"/>
          <w:lang w:val="x-none"/>
        </w:rPr>
        <w:t>(</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j</w:t>
      </w:r>
      <w:r w:rsidRPr="00FD50F6">
        <w:rPr>
          <w:rFonts w:ascii="Times New Roman" w:hAnsi="Times New Roman" w:cs="Times New Roman"/>
          <w:kern w:val="0"/>
          <w:szCs w:val="24"/>
          <w:lang w:val="x-none" w:eastAsia="x-none"/>
        </w:rPr>
        <w:t>-1</w:t>
      </w:r>
      <w:r w:rsidRPr="00FD50F6">
        <w:rPr>
          <w:rFonts w:ascii="Times New Roman" w:hAnsi="Times New Roman" w:cs="Times New Roman" w:hint="eastAsia"/>
          <w:kern w:val="0"/>
          <w:szCs w:val="24"/>
          <w:lang w:val="x-none"/>
        </w:rPr>
        <w:t>)</w:t>
      </w:r>
      <w:r w:rsidR="005144A3" w:rsidRPr="005144A3">
        <w:rPr>
          <w:i/>
        </w:rPr>
        <w:t xml:space="preserve"> </w:t>
      </w:r>
      <w:r w:rsidR="005144A3" w:rsidRPr="003F4DAE">
        <w:rPr>
          <w:i/>
        </w:rPr>
        <w:t>D</w:t>
      </w:r>
      <w:r w:rsidR="005144A3" w:rsidRPr="008D2666">
        <w:rPr>
          <w:rFonts w:ascii="Times New Roman" w:hAnsi="Times New Roman" w:cs="Times New Roman (标题 CS)"/>
          <w:iCs/>
          <w:szCs w:val="24"/>
          <w:vertAlign w:val="subscript"/>
        </w:rPr>
        <w:t>1</w:t>
      </w:r>
      <w:r w:rsidR="005144A3" w:rsidRPr="00FD50F6">
        <w:rPr>
          <w:rFonts w:ascii="Times New Roman" w:hAnsi="Times New Roman" w:cs="Times New Roman"/>
          <w:kern w:val="0"/>
          <w:szCs w:val="24"/>
          <w:lang w:val="x-none" w:eastAsia="x-none"/>
        </w:rPr>
        <w:t xml:space="preserve"> + </w:t>
      </w:r>
      <w:r w:rsidR="005144A3" w:rsidRPr="003F4DAE">
        <w:rPr>
          <w:i/>
        </w:rPr>
        <w:t>D</w:t>
      </w:r>
      <w:r w:rsidR="005144A3" w:rsidRPr="008D2666">
        <w:rPr>
          <w:rFonts w:ascii="Times New Roman" w:hAnsi="Times New Roman" w:cs="Times New Roman (标题 CS)"/>
          <w:iCs/>
          <w:szCs w:val="24"/>
          <w:vertAlign w:val="subscript"/>
        </w:rPr>
        <w:t>2</w:t>
      </w:r>
      <w:r w:rsidR="005144A3" w:rsidRPr="00FD50F6">
        <w:rPr>
          <w:rFonts w:ascii="Times New Roman" w:hAnsi="Times New Roman" w:cs="Times New Roman"/>
          <w:kern w:val="0"/>
          <w:szCs w:val="24"/>
          <w:lang w:val="x-none" w:eastAsia="x-none"/>
        </w:rPr>
        <w:t xml:space="preserve">   </w:t>
      </w:r>
      <w:r w:rsidR="005144A3" w:rsidRPr="00FD50F6">
        <w:rPr>
          <w:rFonts w:ascii="Times New Roman" w:hAnsi="Times New Roman" w:cs="Times New Roman"/>
          <w:kern w:val="0"/>
          <w:szCs w:val="24"/>
          <w:lang w:val="x-none" w:eastAsia="x-none"/>
        </w:rPr>
        <w:t>（</w:t>
      </w:r>
      <w:r w:rsidR="005144A3" w:rsidRPr="00FD50F6">
        <w:rPr>
          <w:rFonts w:ascii="Times New Roman" w:hAnsi="Times New Roman" w:cs="Times New Roman"/>
          <w:kern w:val="0"/>
          <w:szCs w:val="24"/>
          <w:lang w:val="x-none" w:eastAsia="x-none"/>
        </w:rPr>
        <w:t>29.3.11-2</w:t>
      </w:r>
      <w:r w:rsidR="005144A3" w:rsidRPr="00FD50F6">
        <w:rPr>
          <w:rFonts w:ascii="Times New Roman" w:hAnsi="Times New Roman" w:cs="Times New Roman"/>
          <w:kern w:val="0"/>
          <w:szCs w:val="24"/>
          <w:lang w:val="x-none" w:eastAsia="x-none"/>
        </w:rPr>
        <w:t>）</w:t>
      </w:r>
    </w:p>
    <w:p w14:paraId="3CBB7C66" w14:textId="77777777" w:rsidR="004D0484" w:rsidRPr="00FD50F6" w:rsidRDefault="004D0484" w:rsidP="004D0484">
      <w:pPr>
        <w:pStyle w:val="8"/>
        <w:ind w:firstLine="480"/>
      </w:pPr>
      <w:r w:rsidRPr="00FD50F6">
        <w:t>式中：</w:t>
      </w:r>
      <w:r w:rsidRPr="001A4CF3">
        <w:rPr>
          <w:i/>
        </w:rPr>
        <w:t>L</w:t>
      </w:r>
      <w:r w:rsidRPr="008D2666">
        <w:rPr>
          <w:iCs/>
          <w:vertAlign w:val="subscript"/>
        </w:rPr>
        <w:t>jk</w:t>
      </w:r>
      <w:r w:rsidRPr="00FD50F6">
        <w:t>——</w:t>
      </w:r>
      <w:r w:rsidRPr="00FD50F6">
        <w:t>列检库（棚）长度（</w:t>
      </w:r>
      <w:r w:rsidRPr="00FD50F6">
        <w:t>m</w:t>
      </w:r>
      <w:r w:rsidRPr="00FD50F6">
        <w:t>）；</w:t>
      </w:r>
    </w:p>
    <w:p w14:paraId="7A04D78B" w14:textId="7A891AA7" w:rsidR="004D0484" w:rsidRPr="00FD50F6" w:rsidRDefault="004D0484" w:rsidP="008D2666">
      <w:pPr>
        <w:pStyle w:val="8"/>
        <w:ind w:firstLineChars="500" w:firstLine="1200"/>
      </w:pPr>
      <w:r w:rsidRPr="001A4CF3">
        <w:rPr>
          <w:i/>
        </w:rPr>
        <w:t>N</w:t>
      </w:r>
      <w:r w:rsidRPr="008D2666">
        <w:rPr>
          <w:iCs/>
          <w:vertAlign w:val="subscript"/>
        </w:rPr>
        <w:t xml:space="preserve">j </w:t>
      </w:r>
      <w:r w:rsidRPr="00FD50F6">
        <w:t>——</w:t>
      </w:r>
      <w:r w:rsidRPr="00FD50F6">
        <w:t>每条线列检列位数</w:t>
      </w:r>
      <w:r w:rsidR="008D2666">
        <w:rPr>
          <w:rFonts w:hint="eastAsia"/>
        </w:rPr>
        <w:t>。</w:t>
      </w:r>
    </w:p>
    <w:p w14:paraId="26CDF04D" w14:textId="6B447143" w:rsidR="004D0484" w:rsidRPr="00FD50F6" w:rsidRDefault="004D0484" w:rsidP="00A926BD">
      <w:pPr>
        <w:pStyle w:val="4"/>
      </w:pPr>
      <w:r w:rsidRPr="00FD50F6">
        <w:t>周月检库计算长度可按下式计算：</w:t>
      </w:r>
    </w:p>
    <w:p w14:paraId="458876BD" w14:textId="29F22C5E" w:rsidR="004D0484" w:rsidRPr="00FD50F6" w:rsidRDefault="004D0484" w:rsidP="004D0484">
      <w:pPr>
        <w:adjustRightInd w:val="0"/>
        <w:snapToGrid w:val="0"/>
        <w:ind w:firstLineChars="750" w:firstLine="180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yk</w:t>
      </w:r>
      <w:r w:rsidRPr="00FD50F6">
        <w:rPr>
          <w:rFonts w:ascii="Times New Roman" w:hAnsi="Times New Roman" w:cs="Times New Roman"/>
          <w:kern w:val="0"/>
          <w:szCs w:val="24"/>
          <w:lang w:val="x-none" w:eastAsia="x-none"/>
        </w:rPr>
        <w:t>=</w:t>
      </w:r>
      <w:r w:rsidRPr="00FD50F6">
        <w:rPr>
          <w:rFonts w:ascii="Times New Roman" w:hAnsi="Times New Roman" w:cs="Times New Roman" w:hint="eastAsia"/>
          <w:kern w:val="0"/>
          <w:szCs w:val="24"/>
          <w:lang w:val="x-none"/>
        </w:rPr>
        <w:t>(</w:t>
      </w:r>
      <w:r w:rsidRPr="001A4CF3">
        <w:rPr>
          <w:rFonts w:ascii="Times New Roman" w:hAnsi="Times New Roman" w:cs="Times New Roman"/>
          <w:i/>
          <w:kern w:val="0"/>
          <w:szCs w:val="24"/>
          <w:lang w:val="x-none" w:eastAsia="x-none"/>
        </w:rPr>
        <w:t>L</w:t>
      </w:r>
      <w:r w:rsidRPr="00FD50F6">
        <w:rPr>
          <w:rFonts w:ascii="Times New Roman" w:hAnsi="Times New Roman" w:cs="Times New Roman"/>
          <w:kern w:val="0"/>
          <w:szCs w:val="24"/>
          <w:lang w:val="x-none" w:eastAsia="x-none"/>
        </w:rPr>
        <w:t>+1+</w:t>
      </w:r>
      <w:r w:rsidRPr="001A4CF3">
        <w:rPr>
          <w:rFonts w:ascii="Times New Roman" w:hAnsi="Times New Roman" w:cs="Times New Roman"/>
          <w:i/>
          <w:kern w:val="0"/>
          <w:szCs w:val="24"/>
          <w:lang w:val="x-none" w:eastAsia="x-none"/>
        </w:rPr>
        <w:t>S</w:t>
      </w:r>
      <w:r w:rsidRPr="00FD50F6">
        <w:rPr>
          <w:rFonts w:ascii="Times New Roman" w:hAnsi="Times New Roman" w:cs="Times New Roman" w:hint="eastAsia"/>
          <w:kern w:val="0"/>
          <w:szCs w:val="24"/>
          <w:lang w:val="x-none"/>
        </w:rPr>
        <w:t>)</w:t>
      </w:r>
      <w:r w:rsidR="00583450" w:rsidRPr="00FD50F6" w:rsidDel="00583450">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y</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y</w:t>
      </w:r>
      <w:r w:rsidRPr="00FD50F6">
        <w:rPr>
          <w:rFonts w:ascii="Times New Roman" w:hAnsi="Times New Roman" w:cs="Times New Roman"/>
          <w:kern w:val="0"/>
          <w:szCs w:val="24"/>
          <w:lang w:val="x-none" w:eastAsia="x-none"/>
        </w:rPr>
        <w:t>-1)×</w:t>
      </w:r>
      <w:r w:rsidR="005144A3" w:rsidRPr="003F4DAE">
        <w:rPr>
          <w:i/>
        </w:rPr>
        <w:t>D</w:t>
      </w:r>
      <w:r w:rsidR="005144A3" w:rsidRPr="008D2666">
        <w:rPr>
          <w:rFonts w:ascii="Times New Roman" w:hAnsi="Times New Roman" w:cs="Times New Roman (标题 CS)"/>
          <w:iCs/>
          <w:szCs w:val="24"/>
          <w:vertAlign w:val="subscript"/>
        </w:rPr>
        <w:t>1</w:t>
      </w:r>
      <w:r w:rsidR="005144A3" w:rsidRPr="00FD50F6">
        <w:rPr>
          <w:rFonts w:ascii="Times New Roman" w:hAnsi="Times New Roman" w:cs="Times New Roman"/>
          <w:kern w:val="0"/>
          <w:szCs w:val="24"/>
          <w:lang w:val="x-none" w:eastAsia="x-none"/>
        </w:rPr>
        <w:t xml:space="preserve"> +</w:t>
      </w:r>
      <w:r w:rsidR="005144A3" w:rsidRPr="0044721C">
        <w:rPr>
          <w:i/>
        </w:rPr>
        <w:t xml:space="preserve"> </w:t>
      </w:r>
      <w:r w:rsidR="005144A3" w:rsidRPr="003F4DAE">
        <w:rPr>
          <w:i/>
        </w:rPr>
        <w:t>D</w:t>
      </w:r>
      <w:r w:rsidR="005144A3" w:rsidRPr="008D2666">
        <w:rPr>
          <w:rFonts w:ascii="Times New Roman" w:hAnsi="Times New Roman" w:cs="Times New Roman (标题 CS)"/>
          <w:iCs/>
          <w:szCs w:val="24"/>
          <w:vertAlign w:val="subscript"/>
        </w:rPr>
        <w:t>2</w:t>
      </w:r>
      <w:r w:rsidR="005144A3"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.3.11-3</w:t>
      </w:r>
      <w:r w:rsidRPr="00FD50F6">
        <w:rPr>
          <w:rFonts w:ascii="Times New Roman" w:hAnsi="Times New Roman" w:cs="Times New Roman"/>
          <w:kern w:val="0"/>
          <w:szCs w:val="24"/>
          <w:lang w:val="x-none" w:eastAsia="x-none"/>
        </w:rPr>
        <w:t>）</w:t>
      </w:r>
    </w:p>
    <w:p w14:paraId="1F40166A" w14:textId="2E71035E" w:rsidR="004D0484" w:rsidRPr="00FD50F6" w:rsidRDefault="004D0484" w:rsidP="004D0484">
      <w:pPr>
        <w:pStyle w:val="8"/>
        <w:ind w:firstLine="480"/>
      </w:pPr>
      <w:r w:rsidRPr="00FD50F6">
        <w:t>式中：</w:t>
      </w:r>
      <w:r w:rsidRPr="001A4CF3">
        <w:rPr>
          <w:i/>
        </w:rPr>
        <w:t>L</w:t>
      </w:r>
      <w:r w:rsidRPr="008D2666">
        <w:rPr>
          <w:iCs/>
          <w:vertAlign w:val="subscript"/>
        </w:rPr>
        <w:t>yk</w:t>
      </w:r>
      <w:r w:rsidRPr="00FD50F6">
        <w:t xml:space="preserve">  —</w:t>
      </w:r>
      <w:r w:rsidRPr="00FD50F6">
        <w:t>周月检库计算长度（</w:t>
      </w:r>
      <w:r w:rsidRPr="00FD50F6">
        <w:t>m</w:t>
      </w:r>
      <w:r w:rsidRPr="00FD50F6">
        <w:t>）；</w:t>
      </w:r>
    </w:p>
    <w:p w14:paraId="7A190FFC" w14:textId="07351CC2" w:rsidR="004D0484" w:rsidRPr="00FD50F6" w:rsidRDefault="004D0484" w:rsidP="004D0484">
      <w:pPr>
        <w:pStyle w:val="8"/>
        <w:ind w:firstLineChars="500" w:firstLine="1200"/>
      </w:pPr>
      <w:r w:rsidRPr="001A4CF3">
        <w:rPr>
          <w:i/>
        </w:rPr>
        <w:t>S</w:t>
      </w:r>
      <w:r w:rsidRPr="00FD50F6">
        <w:t xml:space="preserve">  ——</w:t>
      </w:r>
      <w:r w:rsidRPr="00FD50F6">
        <w:t>周</w:t>
      </w:r>
      <w:r w:rsidRPr="00FD50F6">
        <w:rPr>
          <w:rFonts w:hint="eastAsia"/>
        </w:rPr>
        <w:t>检或</w:t>
      </w:r>
      <w:r w:rsidRPr="00FD50F6">
        <w:t>月检</w:t>
      </w:r>
      <w:r w:rsidRPr="00FD50F6">
        <w:rPr>
          <w:rFonts w:hint="eastAsia"/>
        </w:rPr>
        <w:t>列位</w:t>
      </w:r>
      <w:r w:rsidRPr="00FD50F6">
        <w:t>两端斜坡道长度之和</w:t>
      </w:r>
      <w:r w:rsidRPr="00FD50F6">
        <w:t xml:space="preserve"> (m)</w:t>
      </w:r>
      <w:r w:rsidRPr="00FD50F6">
        <w:t>。</w:t>
      </w:r>
    </w:p>
    <w:p w14:paraId="6DE21B7F" w14:textId="5A1DA70D" w:rsidR="004D0484" w:rsidRPr="00FD50F6" w:rsidRDefault="004D0484" w:rsidP="008D2666">
      <w:pPr>
        <w:pStyle w:val="8"/>
        <w:ind w:firstLineChars="500" w:firstLine="1200"/>
      </w:pPr>
      <w:r w:rsidRPr="001A4CF3">
        <w:rPr>
          <w:i/>
        </w:rPr>
        <w:t>N</w:t>
      </w:r>
      <w:r w:rsidRPr="008D2666">
        <w:rPr>
          <w:iCs/>
          <w:vertAlign w:val="subscript"/>
        </w:rPr>
        <w:t xml:space="preserve">y </w:t>
      </w:r>
      <w:r w:rsidRPr="00FD50F6">
        <w:t>——</w:t>
      </w:r>
      <w:r w:rsidRPr="00FD50F6">
        <w:t>每条线周</w:t>
      </w:r>
      <w:r w:rsidRPr="00FD50F6">
        <w:rPr>
          <w:rFonts w:hint="eastAsia"/>
        </w:rPr>
        <w:t>检或</w:t>
      </w:r>
      <w:r w:rsidR="008D2666">
        <w:t>月检列位数</w:t>
      </w:r>
      <w:r w:rsidR="008D2666">
        <w:rPr>
          <w:rFonts w:hint="eastAsia"/>
        </w:rPr>
        <w:t>。</w:t>
      </w:r>
    </w:p>
    <w:p w14:paraId="0F7740F6" w14:textId="036B88D0" w:rsidR="004D0484" w:rsidRPr="00002060" w:rsidRDefault="004D0484" w:rsidP="001A4CF3">
      <w:pPr>
        <w:pStyle w:val="30"/>
      </w:pPr>
      <w:r w:rsidRPr="00FD50F6">
        <w:t>车辆段应设机械洗车设施，配属车超过</w:t>
      </w:r>
      <w:r w:rsidRPr="00FD50F6">
        <w:t>12</w:t>
      </w:r>
      <w:r w:rsidRPr="00FD50F6">
        <w:t>列的停车场也可设置机械洗车设施。</w:t>
      </w:r>
      <w:r w:rsidRPr="00AA0E76">
        <w:rPr>
          <w:rFonts w:hint="eastAsia"/>
        </w:rPr>
        <w:t>机械洗车设施应包括洗车机、洗车线路和生产房屋，其设计应符合下列</w:t>
      </w:r>
      <w:r w:rsidRPr="00FD50F6">
        <w:rPr>
          <w:rFonts w:hint="eastAsia"/>
        </w:rPr>
        <w:t>规定</w:t>
      </w:r>
      <w:r w:rsidRPr="00AA0E76">
        <w:rPr>
          <w:rFonts w:hint="eastAsia"/>
        </w:rPr>
        <w:t>：</w:t>
      </w:r>
    </w:p>
    <w:p w14:paraId="6D03D004" w14:textId="4F6C3847" w:rsidR="004D0484" w:rsidRPr="00FD50F6" w:rsidRDefault="004D0484" w:rsidP="00A926BD">
      <w:pPr>
        <w:pStyle w:val="4"/>
      </w:pPr>
      <w:r w:rsidRPr="00FD50F6">
        <w:t>洗车机宜采用通过式，其功能应满足车辆两侧和端部（驾驶室）的洗刷要求，并应具有清水清洗及化学洗涤剂清洗功能</w:t>
      </w:r>
      <w:r w:rsidRPr="00FD50F6">
        <w:rPr>
          <w:rFonts w:hint="eastAsia"/>
        </w:rPr>
        <w:t>。</w:t>
      </w:r>
    </w:p>
    <w:p w14:paraId="46502190" w14:textId="05B7D5C9" w:rsidR="004D0484" w:rsidRPr="00FD50F6" w:rsidRDefault="004D0484" w:rsidP="00A926BD">
      <w:pPr>
        <w:pStyle w:val="4"/>
      </w:pPr>
      <w:r w:rsidRPr="00FD50F6">
        <w:t>洗车线路宜布置在入段线端</w:t>
      </w:r>
      <w:r w:rsidRPr="00FD50F6">
        <w:rPr>
          <w:rFonts w:hint="eastAsia"/>
        </w:rPr>
        <w:t>，</w:t>
      </w:r>
      <w:r w:rsidRPr="00FD50F6">
        <w:t>运用库前或运用库侧应按通过式设计。当地形受限制时，可结合段内布置情况按尽端式或八字形往复式布置</w:t>
      </w:r>
      <w:r w:rsidRPr="00FD50F6">
        <w:rPr>
          <w:rFonts w:hint="eastAsia"/>
        </w:rPr>
        <w:t>。</w:t>
      </w:r>
    </w:p>
    <w:p w14:paraId="0B2471C0" w14:textId="78913943" w:rsidR="004D0484" w:rsidRPr="00FD50F6" w:rsidRDefault="004D0484" w:rsidP="00A926BD">
      <w:pPr>
        <w:pStyle w:val="4"/>
      </w:pPr>
      <w:r w:rsidRPr="00FD50F6">
        <w:t>列车洗车作业时的速度宜为</w:t>
      </w:r>
      <w:r w:rsidRPr="00FD50F6">
        <w:t>3km/h</w:t>
      </w:r>
      <w:r w:rsidRPr="00FD50F6">
        <w:t>～</w:t>
      </w:r>
      <w:r w:rsidRPr="00FD50F6">
        <w:t>5km/h</w:t>
      </w:r>
      <w:r w:rsidRPr="00FD50F6">
        <w:rPr>
          <w:rFonts w:hint="eastAsia"/>
        </w:rPr>
        <w:t>。</w:t>
      </w:r>
    </w:p>
    <w:p w14:paraId="102C7D76" w14:textId="764EB6D9" w:rsidR="004D0484" w:rsidRPr="00FD50F6" w:rsidRDefault="004D0484" w:rsidP="00A926BD">
      <w:pPr>
        <w:pStyle w:val="4"/>
      </w:pPr>
      <w:r w:rsidRPr="00FD50F6">
        <w:rPr>
          <w:rFonts w:hint="eastAsia"/>
        </w:rPr>
        <w:t>当</w:t>
      </w:r>
      <w:r w:rsidRPr="00FD50F6">
        <w:t>采用接触网供电时，贯通式洗车</w:t>
      </w:r>
      <w:r w:rsidRPr="00FD50F6">
        <w:rPr>
          <w:rFonts w:hint="eastAsia"/>
        </w:rPr>
        <w:t>线库前和库后</w:t>
      </w:r>
      <w:r w:rsidRPr="00FD50F6">
        <w:t>应设</w:t>
      </w:r>
      <w:r w:rsidRPr="00FD50F6">
        <w:rPr>
          <w:rFonts w:hint="eastAsia"/>
        </w:rPr>
        <w:t>电分段和</w:t>
      </w:r>
      <w:r w:rsidRPr="00FD50F6">
        <w:t>接触网隔离开关</w:t>
      </w:r>
      <w:r w:rsidRPr="00FD50F6">
        <w:rPr>
          <w:rFonts w:hint="eastAsia"/>
        </w:rPr>
        <w:t>，</w:t>
      </w:r>
      <w:r w:rsidRPr="00FD50F6">
        <w:t>尽端式洗车线库前应设</w:t>
      </w:r>
      <w:r w:rsidRPr="00FD50F6">
        <w:rPr>
          <w:rFonts w:hint="eastAsia"/>
        </w:rPr>
        <w:t>电分段和</w:t>
      </w:r>
      <w:r w:rsidRPr="00FD50F6">
        <w:t>接触网隔离开关；</w:t>
      </w:r>
      <w:r w:rsidRPr="00FD50F6">
        <w:rPr>
          <w:rFonts w:hint="eastAsia"/>
        </w:rPr>
        <w:t>当</w:t>
      </w:r>
      <w:r w:rsidRPr="00FD50F6">
        <w:t>采用接触轨供电时，洗车库内线路应为不设接触轨的无电区</w:t>
      </w:r>
      <w:r w:rsidRPr="00FD50F6">
        <w:rPr>
          <w:rFonts w:hint="eastAsia"/>
        </w:rPr>
        <w:t>。</w:t>
      </w:r>
    </w:p>
    <w:p w14:paraId="15D5DFE0" w14:textId="6FFE332F" w:rsidR="004D0484" w:rsidRPr="00FD50F6" w:rsidRDefault="004D0484" w:rsidP="00A926BD">
      <w:pPr>
        <w:pStyle w:val="4"/>
      </w:pPr>
      <w:r w:rsidRPr="00FD50F6">
        <w:t>严寒</w:t>
      </w:r>
      <w:r w:rsidRPr="00FD50F6">
        <w:rPr>
          <w:rFonts w:hint="eastAsia"/>
        </w:rPr>
        <w:t>、寒冷</w:t>
      </w:r>
      <w:r w:rsidRPr="00FD50F6">
        <w:t>地区及风沙地区应设洗车库，严寒</w:t>
      </w:r>
      <w:r w:rsidRPr="00FD50F6">
        <w:rPr>
          <w:rFonts w:hint="eastAsia"/>
        </w:rPr>
        <w:t>、寒冷</w:t>
      </w:r>
      <w:r w:rsidRPr="00FD50F6">
        <w:t>地区的洗车库应有供暖设施；其他地区可设洗车棚或按露天设计</w:t>
      </w:r>
      <w:r w:rsidRPr="00FD50F6">
        <w:rPr>
          <w:rFonts w:hint="eastAsia"/>
        </w:rPr>
        <w:t>。</w:t>
      </w:r>
    </w:p>
    <w:p w14:paraId="48FA5D35" w14:textId="12A8DAAF" w:rsidR="004D0484" w:rsidRPr="00FD50F6" w:rsidRDefault="004D0484" w:rsidP="00A926BD">
      <w:pPr>
        <w:pStyle w:val="4"/>
      </w:pPr>
      <w:r w:rsidRPr="00FD50F6">
        <w:t>洗车库的长度、宽度和高度应根据洗车机的作业要求确定</w:t>
      </w:r>
      <w:r w:rsidRPr="00FD50F6">
        <w:rPr>
          <w:rFonts w:hint="eastAsia"/>
        </w:rPr>
        <w:t>。</w:t>
      </w:r>
      <w:r w:rsidRPr="00FD50F6">
        <w:t xml:space="preserve"> </w:t>
      </w:r>
    </w:p>
    <w:p w14:paraId="47D68302" w14:textId="72DA1F92" w:rsidR="004D0484" w:rsidRPr="00FD50F6" w:rsidRDefault="004D0484" w:rsidP="00A926BD">
      <w:pPr>
        <w:pStyle w:val="4"/>
      </w:pPr>
      <w:r w:rsidRPr="00FD50F6">
        <w:t>洗车线在洗车库前后一辆车长度范围应为直线</w:t>
      </w:r>
      <w:r w:rsidRPr="00FD50F6">
        <w:rPr>
          <w:rFonts w:hint="eastAsia"/>
        </w:rPr>
        <w:t>。</w:t>
      </w:r>
    </w:p>
    <w:p w14:paraId="0B6CCBE1" w14:textId="34FA267D" w:rsidR="004D0484" w:rsidRPr="00FD50F6" w:rsidRDefault="004D0484" w:rsidP="00A926BD">
      <w:pPr>
        <w:pStyle w:val="4"/>
      </w:pPr>
      <w:r w:rsidRPr="00FD50F6">
        <w:t>应根据洗车设备的要求配备辅助生产房屋</w:t>
      </w:r>
      <w:r w:rsidRPr="00FD50F6">
        <w:rPr>
          <w:rFonts w:hint="eastAsia"/>
        </w:rPr>
        <w:t>。</w:t>
      </w:r>
    </w:p>
    <w:p w14:paraId="67D63CA5" w14:textId="7BA36C63" w:rsidR="004D0484" w:rsidRPr="00FD50F6" w:rsidRDefault="004D0484" w:rsidP="00A926BD">
      <w:pPr>
        <w:pStyle w:val="4"/>
        <w:rPr>
          <w:b/>
        </w:rPr>
      </w:pPr>
      <w:r w:rsidRPr="00FD50F6">
        <w:t>洗车线有效长度应按下列公式计算：</w:t>
      </w:r>
    </w:p>
    <w:p w14:paraId="20E171D7" w14:textId="77777777" w:rsidR="004D0484" w:rsidRPr="00FD50F6" w:rsidRDefault="004D0484" w:rsidP="004D0484">
      <w:pPr>
        <w:pStyle w:val="5"/>
        <w:ind w:firstLine="480"/>
      </w:pPr>
      <w:r w:rsidRPr="00FD50F6">
        <w:t>尽端式洗车线有效长度：</w:t>
      </w:r>
    </w:p>
    <w:p w14:paraId="03D90E2A" w14:textId="225A828A" w:rsidR="004D0484" w:rsidRPr="00FD50F6" w:rsidRDefault="004D0484" w:rsidP="004D0484">
      <w:pPr>
        <w:adjustRightInd w:val="0"/>
        <w:snapToGrid w:val="0"/>
        <w:ind w:firstLineChars="1150" w:firstLine="276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js</w:t>
      </w:r>
      <w:r w:rsidRPr="00FD50F6">
        <w:rPr>
          <w:rFonts w:ascii="Times New Roman" w:hAnsi="Times New Roman" w:cs="Times New Roman"/>
          <w:kern w:val="0"/>
          <w:szCs w:val="24"/>
          <w:lang w:val="x-none" w:eastAsia="x-none"/>
        </w:rPr>
        <w:t>=2</w:t>
      </w:r>
      <w:r w:rsidRPr="001A4CF3">
        <w:rPr>
          <w:rFonts w:ascii="Times New Roman" w:hAnsi="Times New Roman" w:cs="Times New Roman"/>
          <w:i/>
          <w:kern w:val="0"/>
          <w:szCs w:val="24"/>
          <w:lang w:val="x-none" w:eastAsia="x-none"/>
        </w:rPr>
        <w:t>L</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s</w:t>
      </w:r>
      <w:r w:rsidRPr="00FD50F6">
        <w:rPr>
          <w:rFonts w:ascii="Times New Roman" w:hAnsi="Times New Roman" w:cs="Times New Roman"/>
          <w:kern w:val="0"/>
          <w:szCs w:val="24"/>
          <w:lang w:val="x-none" w:eastAsia="x-none"/>
        </w:rPr>
        <w:t xml:space="preserve"> +</w:t>
      </w:r>
      <w:r w:rsidR="005144A3" w:rsidRPr="0044721C">
        <w:rPr>
          <w:i/>
        </w:rPr>
        <w:t xml:space="preserve"> </w:t>
      </w:r>
      <w:r w:rsidR="005144A3" w:rsidRPr="003F4DAE">
        <w:rPr>
          <w:i/>
        </w:rPr>
        <w:t>D</w:t>
      </w:r>
      <w:r w:rsidR="005144A3" w:rsidRPr="008D2666">
        <w:rPr>
          <w:rFonts w:ascii="Times New Roman" w:hAnsi="Times New Roman" w:cs="Times New Roman (标题 CS)"/>
          <w:iCs/>
          <w:szCs w:val="24"/>
          <w:vertAlign w:val="subscript"/>
        </w:rPr>
        <w:t>3</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.3.12-1</w:t>
      </w:r>
      <w:r w:rsidRPr="00FD50F6">
        <w:rPr>
          <w:rFonts w:ascii="Times New Roman" w:hAnsi="Times New Roman" w:cs="Times New Roman"/>
          <w:kern w:val="0"/>
          <w:szCs w:val="24"/>
          <w:lang w:val="x-none" w:eastAsia="x-none"/>
        </w:rPr>
        <w:t>）</w:t>
      </w:r>
    </w:p>
    <w:p w14:paraId="3901188E" w14:textId="77777777" w:rsidR="004D0484" w:rsidRPr="00FD50F6" w:rsidRDefault="004D0484" w:rsidP="004D0484">
      <w:pPr>
        <w:pStyle w:val="8"/>
        <w:ind w:firstLine="480"/>
      </w:pPr>
      <w:r w:rsidRPr="00FD50F6">
        <w:t>式中：</w:t>
      </w:r>
      <w:r w:rsidRPr="001A4CF3">
        <w:rPr>
          <w:i/>
        </w:rPr>
        <w:t>L</w:t>
      </w:r>
      <w:r w:rsidRPr="008D2666">
        <w:rPr>
          <w:iCs/>
          <w:vertAlign w:val="subscript"/>
        </w:rPr>
        <w:t>js</w:t>
      </w:r>
      <w:r w:rsidRPr="00FD50F6">
        <w:t>——</w:t>
      </w:r>
      <w:r w:rsidRPr="00FD50F6">
        <w:t>尽端式洗车线有效长度（</w:t>
      </w:r>
      <w:r w:rsidRPr="00FD50F6">
        <w:t>m</w:t>
      </w:r>
      <w:r w:rsidRPr="00FD50F6">
        <w:t>）；</w:t>
      </w:r>
    </w:p>
    <w:p w14:paraId="7A17DB5F" w14:textId="77777777" w:rsidR="004D0484" w:rsidRPr="00FD50F6" w:rsidRDefault="004D0484" w:rsidP="004D0484">
      <w:pPr>
        <w:pStyle w:val="8"/>
        <w:ind w:firstLineChars="500" w:firstLine="1200"/>
      </w:pPr>
      <w:r w:rsidRPr="00FD50F6">
        <w:lastRenderedPageBreak/>
        <w:t>2</w:t>
      </w:r>
      <w:r w:rsidRPr="001A4CF3">
        <w:rPr>
          <w:i/>
        </w:rPr>
        <w:t>L</w:t>
      </w:r>
      <w:r w:rsidRPr="00FD50F6">
        <w:t xml:space="preserve"> ——</w:t>
      </w:r>
      <w:r w:rsidRPr="00FD50F6">
        <w:t>洗车机设备前后各一列车长度（</w:t>
      </w:r>
      <w:r w:rsidRPr="00FD50F6">
        <w:t>m</w:t>
      </w:r>
      <w:r w:rsidRPr="00FD50F6">
        <w:t>）；</w:t>
      </w:r>
    </w:p>
    <w:p w14:paraId="0047B8E9" w14:textId="77777777" w:rsidR="004D0484" w:rsidRPr="00FD50F6" w:rsidRDefault="004D0484" w:rsidP="004D0484">
      <w:pPr>
        <w:pStyle w:val="8"/>
        <w:ind w:firstLineChars="500" w:firstLine="1200"/>
      </w:pPr>
      <w:r w:rsidRPr="001A4CF3">
        <w:rPr>
          <w:i/>
        </w:rPr>
        <w:t>L</w:t>
      </w:r>
      <w:r w:rsidRPr="008D2666">
        <w:rPr>
          <w:iCs/>
          <w:vertAlign w:val="subscript"/>
        </w:rPr>
        <w:t>s</w:t>
      </w:r>
      <w:r w:rsidRPr="00FD50F6">
        <w:t xml:space="preserve"> ——</w:t>
      </w:r>
      <w:r w:rsidRPr="00FD50F6">
        <w:t>洗车机长度（包括联锁设备）（</w:t>
      </w:r>
      <w:r w:rsidRPr="00FD50F6">
        <w:t>m</w:t>
      </w:r>
      <w:r w:rsidRPr="00FD50F6">
        <w:t>）；</w:t>
      </w:r>
    </w:p>
    <w:p w14:paraId="5A8D7D9D" w14:textId="054E9BD6" w:rsidR="004D0484" w:rsidRPr="00FD50F6" w:rsidRDefault="005144A3" w:rsidP="004D0484">
      <w:pPr>
        <w:pStyle w:val="8"/>
        <w:ind w:firstLineChars="500" w:firstLine="1200"/>
      </w:pPr>
      <w:r w:rsidRPr="003F4DAE">
        <w:rPr>
          <w:i/>
        </w:rPr>
        <w:t>D</w:t>
      </w:r>
      <w:r w:rsidRPr="00AC0BFB">
        <w:rPr>
          <w:iCs/>
          <w:vertAlign w:val="subscript"/>
        </w:rPr>
        <w:t>3</w:t>
      </w:r>
      <w:r w:rsidRPr="00FD50F6">
        <w:t xml:space="preserve"> ——</w:t>
      </w:r>
      <w:r w:rsidRPr="00FD50F6">
        <w:t>线路终端安全距离（</w:t>
      </w:r>
      <w:r w:rsidRPr="00FD50F6">
        <w:t>m</w:t>
      </w:r>
      <w:r w:rsidRPr="00FD50F6">
        <w:t>）</w:t>
      </w:r>
      <w:r w:rsidRPr="00FD50F6">
        <w:rPr>
          <w:rFonts w:hint="eastAsia"/>
        </w:rPr>
        <w:t>，</w:t>
      </w:r>
      <w:r>
        <w:rPr>
          <w:rFonts w:hint="eastAsia"/>
        </w:rPr>
        <w:t>取</w:t>
      </w:r>
      <w:r>
        <w:rPr>
          <w:rFonts w:hint="eastAsia"/>
        </w:rPr>
        <w:t>1</w:t>
      </w:r>
      <w:r>
        <w:t>0m</w:t>
      </w:r>
      <w:r>
        <w:rPr>
          <w:rFonts w:hint="eastAsia"/>
        </w:rPr>
        <w:t>；</w:t>
      </w:r>
      <w:r w:rsidRPr="00FD50F6">
        <w:rPr>
          <w:rFonts w:hint="eastAsia"/>
        </w:rPr>
        <w:t>全自动运行线路根据信号要求确定</w:t>
      </w:r>
      <w:r w:rsidR="004D0484" w:rsidRPr="00FD50F6">
        <w:t>。</w:t>
      </w:r>
    </w:p>
    <w:p w14:paraId="0118C802" w14:textId="77777777" w:rsidR="004D0484" w:rsidRPr="00FD50F6" w:rsidRDefault="004D0484" w:rsidP="004D0484">
      <w:pPr>
        <w:pStyle w:val="5"/>
        <w:ind w:firstLine="480"/>
      </w:pPr>
      <w:r w:rsidRPr="00FD50F6">
        <w:t>贯通式洗车线有效长度：</w:t>
      </w:r>
    </w:p>
    <w:p w14:paraId="2EBD99AB" w14:textId="5610BE1B" w:rsidR="004D0484" w:rsidRPr="00FD50F6" w:rsidRDefault="004D0484" w:rsidP="004D0484">
      <w:pPr>
        <w:adjustRightInd w:val="0"/>
        <w:snapToGrid w:val="0"/>
        <w:ind w:firstLineChars="1150" w:firstLine="276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ts</w:t>
      </w:r>
      <w:r w:rsidRPr="00FD50F6">
        <w:rPr>
          <w:rFonts w:ascii="Times New Roman" w:hAnsi="Times New Roman" w:cs="Times New Roman"/>
          <w:kern w:val="0"/>
          <w:szCs w:val="24"/>
          <w:lang w:val="x-none" w:eastAsia="x-none"/>
        </w:rPr>
        <w:t>=2</w:t>
      </w:r>
      <w:r w:rsidRPr="001A4CF3">
        <w:rPr>
          <w:rFonts w:ascii="Times New Roman" w:hAnsi="Times New Roman" w:cs="Times New Roman"/>
          <w:i/>
          <w:kern w:val="0"/>
          <w:szCs w:val="24"/>
          <w:lang w:val="x-none" w:eastAsia="x-none"/>
        </w:rPr>
        <w:t>L</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s</w:t>
      </w:r>
      <w:r w:rsidRPr="001A4CF3">
        <w:rPr>
          <w:rFonts w:ascii="Times New Roman" w:hAnsi="Times New Roman" w:cs="Times New Roman"/>
          <w:i/>
          <w:kern w:val="0"/>
          <w:szCs w:val="24"/>
          <w:lang w:val="x-none" w:eastAsia="x-none"/>
        </w:rPr>
        <w:t xml:space="preserve"> </w:t>
      </w:r>
      <w:r w:rsidRPr="00FD50F6">
        <w:rPr>
          <w:rFonts w:ascii="Times New Roman" w:hAnsi="Times New Roman" w:cs="Times New Roman"/>
          <w:kern w:val="0"/>
          <w:szCs w:val="24"/>
          <w:lang w:val="x-none" w:eastAsia="x-none"/>
        </w:rPr>
        <w:t>+</w:t>
      </w:r>
      <w:r w:rsidR="005144A3" w:rsidRPr="0080140B">
        <w:rPr>
          <w:i/>
        </w:rPr>
        <w:t xml:space="preserve"> </w:t>
      </w:r>
      <w:r w:rsidR="005144A3" w:rsidRPr="003F4DAE">
        <w:rPr>
          <w:i/>
        </w:rPr>
        <w:t>D</w:t>
      </w:r>
      <w:r w:rsidR="005144A3" w:rsidRPr="008D2666">
        <w:rPr>
          <w:rFonts w:ascii="Times New Roman" w:hAnsi="Times New Roman" w:cs="Times New Roman (标题 CS)"/>
          <w:iCs/>
          <w:szCs w:val="24"/>
          <w:vertAlign w:val="subscript"/>
        </w:rPr>
        <w:t>4</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.3.12-2</w:t>
      </w:r>
      <w:r w:rsidRPr="00FD50F6">
        <w:rPr>
          <w:rFonts w:ascii="Times New Roman" w:hAnsi="Times New Roman" w:cs="Times New Roman"/>
          <w:kern w:val="0"/>
          <w:szCs w:val="24"/>
          <w:lang w:val="x-none" w:eastAsia="x-none"/>
        </w:rPr>
        <w:t>）</w:t>
      </w:r>
    </w:p>
    <w:p w14:paraId="3ABCFDA7" w14:textId="77777777" w:rsidR="004D0484" w:rsidRPr="00FD50F6" w:rsidRDefault="004D0484" w:rsidP="004D0484">
      <w:pPr>
        <w:pStyle w:val="8"/>
        <w:ind w:firstLine="480"/>
      </w:pPr>
      <w:r w:rsidRPr="00FD50F6">
        <w:t>式中：</w:t>
      </w:r>
      <w:r w:rsidRPr="001A4CF3">
        <w:rPr>
          <w:i/>
        </w:rPr>
        <w:t>L</w:t>
      </w:r>
      <w:r w:rsidRPr="008D2666">
        <w:rPr>
          <w:iCs/>
          <w:vertAlign w:val="subscript"/>
        </w:rPr>
        <w:t>ts</w:t>
      </w:r>
      <w:r w:rsidRPr="00FD50F6">
        <w:t>——</w:t>
      </w:r>
      <w:r w:rsidRPr="00FD50F6">
        <w:t>贯通式洗车线有效长度（</w:t>
      </w:r>
      <w:r w:rsidRPr="00FD50F6">
        <w:t>m</w:t>
      </w:r>
      <w:r w:rsidRPr="00FD50F6">
        <w:t>）；</w:t>
      </w:r>
    </w:p>
    <w:p w14:paraId="31AE45DE" w14:textId="5B5A007A" w:rsidR="004D0484" w:rsidRPr="00FD50F6" w:rsidRDefault="005144A3" w:rsidP="004D0484">
      <w:pPr>
        <w:pStyle w:val="8"/>
        <w:ind w:firstLineChars="500" w:firstLine="1200"/>
      </w:pPr>
      <w:r w:rsidRPr="003F4DAE">
        <w:rPr>
          <w:i/>
        </w:rPr>
        <w:t>D</w:t>
      </w:r>
      <w:r w:rsidRPr="00AC0BFB">
        <w:rPr>
          <w:iCs/>
          <w:vertAlign w:val="subscript"/>
        </w:rPr>
        <w:t>4</w:t>
      </w:r>
      <w:r w:rsidRPr="00FD50F6">
        <w:t xml:space="preserve"> ——</w:t>
      </w:r>
      <w:r w:rsidRPr="00FD50F6">
        <w:t>信号设备设置附加长度（</w:t>
      </w:r>
      <w:r w:rsidRPr="00FD50F6">
        <w:t>m</w:t>
      </w:r>
      <w:r w:rsidRPr="00FD50F6">
        <w:t>）</w:t>
      </w:r>
      <w:r w:rsidRPr="00FD50F6">
        <w:rPr>
          <w:rFonts w:hint="eastAsia"/>
        </w:rPr>
        <w:t>，</w:t>
      </w:r>
      <w:r>
        <w:rPr>
          <w:rFonts w:hint="eastAsia"/>
        </w:rPr>
        <w:t>取</w:t>
      </w:r>
      <w:r>
        <w:rPr>
          <w:rFonts w:hint="eastAsia"/>
        </w:rPr>
        <w:t>1</w:t>
      </w:r>
      <w:r>
        <w:t>2m</w:t>
      </w:r>
      <w:r>
        <w:rPr>
          <w:rFonts w:hint="eastAsia"/>
        </w:rPr>
        <w:t>；</w:t>
      </w:r>
      <w:r w:rsidR="004D0484" w:rsidRPr="00FD50F6">
        <w:rPr>
          <w:rFonts w:hint="eastAsia"/>
        </w:rPr>
        <w:t>全自动运行线路根据信号要求确定</w:t>
      </w:r>
      <w:r w:rsidR="004D0484" w:rsidRPr="00FD50F6">
        <w:t>。</w:t>
      </w:r>
    </w:p>
    <w:p w14:paraId="79F14404" w14:textId="1AEB2B26" w:rsidR="004D0484" w:rsidRPr="00002060" w:rsidRDefault="004D0484" w:rsidP="001A4CF3">
      <w:pPr>
        <w:pStyle w:val="30"/>
        <w:rPr>
          <w:kern w:val="0"/>
        </w:rPr>
      </w:pPr>
      <w:r w:rsidRPr="00FD50F6">
        <w:t>车辆段、停车场应根据车场线路布置和作业需要设牵出线，其数量应根据作业量确定。</w:t>
      </w:r>
      <w:r w:rsidRPr="00AA0E76">
        <w:rPr>
          <w:rFonts w:hint="eastAsia"/>
        </w:rPr>
        <w:t>牵出线的有效长度不应小于下式的计算值：</w:t>
      </w:r>
    </w:p>
    <w:p w14:paraId="37CB4D48" w14:textId="0C16A019" w:rsidR="004D0484" w:rsidRPr="00FD50F6" w:rsidRDefault="004D0484" w:rsidP="004D0484">
      <w:pPr>
        <w:adjustRightInd w:val="0"/>
        <w:snapToGrid w:val="0"/>
        <w:jc w:val="right"/>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q</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qc</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n</w:t>
      </w:r>
      <w:r w:rsidRPr="001A4CF3">
        <w:rPr>
          <w:rFonts w:ascii="Times New Roman" w:hAnsi="Times New Roman" w:cs="Times New Roman"/>
          <w:i/>
          <w:kern w:val="0"/>
          <w:szCs w:val="24"/>
          <w:lang w:val="x-none" w:eastAsia="x-none"/>
        </w:rPr>
        <w:t xml:space="preserve"> </w:t>
      </w:r>
      <w:r w:rsidRPr="00FD50F6">
        <w:rPr>
          <w:rFonts w:ascii="Times New Roman" w:hAnsi="Times New Roman" w:cs="Times New Roman"/>
          <w:kern w:val="0"/>
          <w:szCs w:val="24"/>
          <w:lang w:val="x-none" w:eastAsia="x-none"/>
        </w:rPr>
        <w:t>+</w:t>
      </w:r>
      <w:r w:rsidR="005144A3" w:rsidRPr="0080140B">
        <w:rPr>
          <w:i/>
        </w:rPr>
        <w:t xml:space="preserve"> </w:t>
      </w:r>
      <w:r w:rsidR="005144A3" w:rsidRPr="003F4DAE">
        <w:rPr>
          <w:i/>
        </w:rPr>
        <w:t>D</w:t>
      </w:r>
      <w:r w:rsidR="005144A3" w:rsidRPr="008D2666">
        <w:rPr>
          <w:rFonts w:ascii="Times New Roman" w:hAnsi="Times New Roman" w:cs="Times New Roman (标题 CS)"/>
          <w:iCs/>
          <w:szCs w:val="24"/>
          <w:vertAlign w:val="subscript"/>
        </w:rPr>
        <w:t>5</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.3.13</w:t>
      </w:r>
      <w:r w:rsidRPr="00FD50F6">
        <w:rPr>
          <w:rFonts w:ascii="Times New Roman" w:hAnsi="Times New Roman" w:cs="Times New Roman"/>
          <w:kern w:val="0"/>
          <w:szCs w:val="24"/>
          <w:lang w:val="x-none" w:eastAsia="x-none"/>
        </w:rPr>
        <w:t>）</w:t>
      </w:r>
    </w:p>
    <w:p w14:paraId="0D609881" w14:textId="77777777" w:rsidR="004D0484" w:rsidRPr="00FD50F6" w:rsidRDefault="004D0484" w:rsidP="004D0484">
      <w:pPr>
        <w:pStyle w:val="8"/>
        <w:ind w:firstLine="480"/>
      </w:pPr>
      <w:r w:rsidRPr="00FD50F6">
        <w:t>式中：</w:t>
      </w:r>
      <w:r w:rsidRPr="001A4CF3">
        <w:rPr>
          <w:i/>
        </w:rPr>
        <w:t>L</w:t>
      </w:r>
      <w:r w:rsidRPr="008D2666">
        <w:rPr>
          <w:iCs/>
          <w:vertAlign w:val="subscript"/>
        </w:rPr>
        <w:t xml:space="preserve">q </w:t>
      </w:r>
      <w:r w:rsidRPr="00FD50F6">
        <w:t>——</w:t>
      </w:r>
      <w:r w:rsidRPr="00FD50F6">
        <w:t>牵出线有效长度（</w:t>
      </w:r>
      <w:r w:rsidRPr="00FD50F6">
        <w:t>m</w:t>
      </w:r>
      <w:r w:rsidRPr="00FD50F6">
        <w:t>）；</w:t>
      </w:r>
    </w:p>
    <w:p w14:paraId="4DC73C11" w14:textId="77777777" w:rsidR="004D0484" w:rsidRPr="00FD50F6" w:rsidRDefault="004D0484" w:rsidP="004D0484">
      <w:pPr>
        <w:pStyle w:val="8"/>
        <w:ind w:firstLineChars="500" w:firstLine="1200"/>
      </w:pPr>
      <w:r w:rsidRPr="001A4CF3">
        <w:rPr>
          <w:i/>
        </w:rPr>
        <w:t>L</w:t>
      </w:r>
      <w:r w:rsidRPr="008D2666">
        <w:rPr>
          <w:iCs/>
          <w:vertAlign w:val="subscript"/>
        </w:rPr>
        <w:t>qc</w:t>
      </w:r>
      <w:r w:rsidRPr="00FD50F6">
        <w:t>——</w:t>
      </w:r>
      <w:r w:rsidRPr="00FD50F6">
        <w:t>通过牵出线的列车总长度（</w:t>
      </w:r>
      <w:r w:rsidRPr="00FD50F6">
        <w:t>m</w:t>
      </w:r>
      <w:r w:rsidRPr="00FD50F6">
        <w:t>）；</w:t>
      </w:r>
    </w:p>
    <w:p w14:paraId="6F5842A5" w14:textId="77777777" w:rsidR="004D0484" w:rsidRPr="00FD50F6" w:rsidRDefault="004D0484" w:rsidP="004D0484">
      <w:pPr>
        <w:pStyle w:val="8"/>
        <w:ind w:firstLineChars="500" w:firstLine="1200"/>
      </w:pPr>
      <w:r w:rsidRPr="001A4CF3">
        <w:rPr>
          <w:i/>
        </w:rPr>
        <w:t>L</w:t>
      </w:r>
      <w:r w:rsidRPr="008D2666">
        <w:rPr>
          <w:iCs/>
          <w:vertAlign w:val="subscript"/>
        </w:rPr>
        <w:t>n</w:t>
      </w:r>
      <w:r w:rsidRPr="00FD50F6">
        <w:t xml:space="preserve"> ——</w:t>
      </w:r>
      <w:r w:rsidRPr="00FD50F6">
        <w:t>调车机车长度（</w:t>
      </w:r>
      <w:r w:rsidRPr="00FD50F6">
        <w:t>m</w:t>
      </w:r>
      <w:r w:rsidRPr="00FD50F6">
        <w:t>）；</w:t>
      </w:r>
    </w:p>
    <w:p w14:paraId="2801B86B" w14:textId="71531BFC" w:rsidR="004D0484" w:rsidRPr="00FD50F6" w:rsidRDefault="005144A3" w:rsidP="004D0484">
      <w:pPr>
        <w:pStyle w:val="8"/>
        <w:ind w:firstLineChars="500" w:firstLine="1200"/>
      </w:pPr>
      <w:r w:rsidRPr="003F4DAE">
        <w:rPr>
          <w:i/>
        </w:rPr>
        <w:t>D</w:t>
      </w:r>
      <w:r w:rsidRPr="00AC0BFB">
        <w:rPr>
          <w:iCs/>
          <w:vertAlign w:val="subscript"/>
        </w:rPr>
        <w:t>5</w:t>
      </w:r>
      <w:r w:rsidRPr="00FD50F6">
        <w:t xml:space="preserve"> ——</w:t>
      </w:r>
      <w:r w:rsidRPr="00FD50F6">
        <w:t>牵出线终端安全距离（</w:t>
      </w:r>
      <w:r w:rsidRPr="00FD50F6">
        <w:t>m</w:t>
      </w:r>
      <w:r w:rsidRPr="00FD50F6">
        <w:t>）</w:t>
      </w:r>
      <w:r>
        <w:rPr>
          <w:rFonts w:hint="eastAsia"/>
        </w:rPr>
        <w:t>，</w:t>
      </w:r>
      <w:r>
        <w:t>取</w:t>
      </w:r>
      <w:r>
        <w:rPr>
          <w:rFonts w:hint="eastAsia"/>
        </w:rPr>
        <w:t>1</w:t>
      </w:r>
      <w:r>
        <w:t>0m</w:t>
      </w:r>
      <w:r>
        <w:rPr>
          <w:rFonts w:hint="eastAsia"/>
        </w:rPr>
        <w:t>；</w:t>
      </w:r>
      <w:r w:rsidRPr="00FD50F6">
        <w:rPr>
          <w:rFonts w:hint="eastAsia"/>
        </w:rPr>
        <w:t>承担</w:t>
      </w:r>
      <w:r>
        <w:rPr>
          <w:rFonts w:hint="eastAsia"/>
        </w:rPr>
        <w:t>全自动</w:t>
      </w:r>
      <w:r w:rsidRPr="00FD50F6">
        <w:rPr>
          <w:rFonts w:hint="eastAsia"/>
        </w:rPr>
        <w:t>驾驶模式转换功能的线路根据信号要求确定</w:t>
      </w:r>
      <w:r w:rsidR="004D0484" w:rsidRPr="00FD50F6">
        <w:t>。</w:t>
      </w:r>
    </w:p>
    <w:p w14:paraId="650C99BD" w14:textId="48C57039" w:rsidR="004D0484" w:rsidRPr="00FD50F6" w:rsidRDefault="004D0484" w:rsidP="004D0484">
      <w:pPr>
        <w:pStyle w:val="30"/>
      </w:pPr>
      <w:r w:rsidRPr="00FD50F6">
        <w:rPr>
          <w:rFonts w:hint="eastAsia"/>
        </w:rPr>
        <w:t>全自动运行线路车辆基地的自动运行区应包含停车、列检库、洗车库及对应库外线路区，其余设施宜位于非自动运行区。自动运行区与非自动运行区应严格分区，并应采用物理隔离措施，出入口应设置防护设施。自动运行区与非自动运行区应相对独立，不宜间隔设置。停车列检库内应增加人员专用检修通道。停车列检库线、洗车库线、驾驶模式转换线路的长度应满足列车全自动驾驶的运行要求。</w:t>
      </w:r>
    </w:p>
    <w:p w14:paraId="2F72E2B2" w14:textId="1C60CE3E" w:rsidR="004D0484" w:rsidRPr="00FD50F6" w:rsidRDefault="004D0484" w:rsidP="004D0484">
      <w:pPr>
        <w:pStyle w:val="30"/>
      </w:pPr>
      <w:r w:rsidRPr="00FD50F6">
        <w:t>车辆段、停车场各种车库有关部位的最小尺寸宜符合表</w:t>
      </w:r>
      <w:r w:rsidR="00232AC3" w:rsidRPr="00FD50F6">
        <w:t>29</w:t>
      </w:r>
      <w:r w:rsidRPr="00FD50F6">
        <w:t>.3.15</w:t>
      </w:r>
      <w:r w:rsidRPr="00FD50F6">
        <w:t>的规定。</w:t>
      </w:r>
    </w:p>
    <w:p w14:paraId="656F83E1" w14:textId="2AE6925E" w:rsidR="004D0484" w:rsidRPr="00FD50F6" w:rsidRDefault="004D0484" w:rsidP="004D0484">
      <w:pPr>
        <w:pStyle w:val="6"/>
        <w:rPr>
          <w:sz w:val="28"/>
          <w:szCs w:val="28"/>
        </w:rPr>
      </w:pPr>
      <w:r w:rsidRPr="00FD50F6">
        <w:t>表</w:t>
      </w:r>
      <w:r w:rsidR="00232AC3" w:rsidRPr="00FD50F6">
        <w:t>29</w:t>
      </w:r>
      <w:r w:rsidRPr="00FD50F6">
        <w:t>.3.15</w:t>
      </w:r>
      <w:r w:rsidRPr="00FD50F6">
        <w:t>各</w:t>
      </w:r>
      <w:r w:rsidRPr="00FD50F6">
        <w:rPr>
          <w:rFonts w:hint="eastAsia"/>
        </w:rPr>
        <w:t>种</w:t>
      </w:r>
      <w:r w:rsidRPr="00FD50F6">
        <w:t>车库有关部位最小尺寸（</w:t>
      </w:r>
      <w:r w:rsidRPr="00FD50F6">
        <w:t>m</w:t>
      </w:r>
      <w:r w:rsidRPr="00FD50F6">
        <w:t>）</w:t>
      </w:r>
    </w:p>
    <w:tbl>
      <w:tblPr>
        <w:tblW w:w="84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75"/>
        <w:gridCol w:w="1261"/>
        <w:gridCol w:w="1176"/>
        <w:gridCol w:w="745"/>
        <w:gridCol w:w="649"/>
        <w:gridCol w:w="690"/>
        <w:gridCol w:w="735"/>
        <w:gridCol w:w="941"/>
      </w:tblGrid>
      <w:tr w:rsidR="002B69AA" w:rsidRPr="00FD50F6" w14:paraId="64730968" w14:textId="77777777" w:rsidTr="00AB6EE3">
        <w:trPr>
          <w:jc w:val="center"/>
        </w:trPr>
        <w:tc>
          <w:tcPr>
            <w:tcW w:w="2275" w:type="dxa"/>
            <w:vMerge w:val="restart"/>
            <w:tcBorders>
              <w:top w:val="single" w:sz="2" w:space="0" w:color="auto"/>
              <w:left w:val="single" w:sz="2" w:space="0" w:color="auto"/>
              <w:right w:val="single" w:sz="2" w:space="0" w:color="auto"/>
            </w:tcBorders>
            <w:vAlign w:val="center"/>
          </w:tcPr>
          <w:p w14:paraId="7503D0E0" w14:textId="0EADE829" w:rsidR="002B69AA" w:rsidRPr="00FD50F6" w:rsidRDefault="002B69AA" w:rsidP="002B69AA">
            <w:pPr>
              <w:pStyle w:val="7"/>
            </w:pPr>
            <w:r w:rsidRPr="00FD50F6">
              <w:t xml:space="preserve">        </w:t>
            </w:r>
            <w:r w:rsidRPr="00FD50F6">
              <w:t>项目名称</w:t>
            </w:r>
          </w:p>
        </w:tc>
        <w:tc>
          <w:tcPr>
            <w:tcW w:w="6197" w:type="dxa"/>
            <w:gridSpan w:val="7"/>
            <w:tcBorders>
              <w:top w:val="single" w:sz="2" w:space="0" w:color="auto"/>
              <w:left w:val="single" w:sz="2" w:space="0" w:color="auto"/>
              <w:bottom w:val="single" w:sz="2" w:space="0" w:color="auto"/>
              <w:right w:val="single" w:sz="2" w:space="0" w:color="auto"/>
            </w:tcBorders>
            <w:vAlign w:val="center"/>
          </w:tcPr>
          <w:p w14:paraId="68D592F1" w14:textId="5F56F086" w:rsidR="002B69AA" w:rsidRPr="00FD50F6" w:rsidRDefault="002B69AA" w:rsidP="00353026">
            <w:pPr>
              <w:pStyle w:val="7"/>
            </w:pPr>
            <w:r w:rsidRPr="00FD50F6">
              <w:t>车库种类</w:t>
            </w:r>
          </w:p>
        </w:tc>
      </w:tr>
      <w:tr w:rsidR="002B69AA" w:rsidRPr="00FD50F6" w14:paraId="3DB730E6" w14:textId="77777777" w:rsidTr="00AB6EE3">
        <w:trPr>
          <w:jc w:val="center"/>
        </w:trPr>
        <w:tc>
          <w:tcPr>
            <w:tcW w:w="2275" w:type="dxa"/>
            <w:vMerge/>
            <w:tcBorders>
              <w:left w:val="single" w:sz="2" w:space="0" w:color="auto"/>
              <w:bottom w:val="single" w:sz="2" w:space="0" w:color="auto"/>
              <w:right w:val="single" w:sz="2" w:space="0" w:color="auto"/>
            </w:tcBorders>
            <w:vAlign w:val="center"/>
          </w:tcPr>
          <w:p w14:paraId="1C25CCEE" w14:textId="4D6651D8" w:rsidR="002B69AA" w:rsidRPr="00FD50F6" w:rsidRDefault="002B69AA" w:rsidP="00353026">
            <w:pPr>
              <w:pStyle w:val="7"/>
            </w:pPr>
          </w:p>
        </w:tc>
        <w:tc>
          <w:tcPr>
            <w:tcW w:w="1261" w:type="dxa"/>
            <w:tcBorders>
              <w:top w:val="single" w:sz="2" w:space="0" w:color="auto"/>
              <w:left w:val="single" w:sz="2" w:space="0" w:color="auto"/>
              <w:bottom w:val="single" w:sz="2" w:space="0" w:color="auto"/>
              <w:right w:val="single" w:sz="2" w:space="0" w:color="auto"/>
            </w:tcBorders>
            <w:vAlign w:val="center"/>
          </w:tcPr>
          <w:p w14:paraId="713378AA" w14:textId="77777777" w:rsidR="002B69AA" w:rsidRPr="00FD50F6" w:rsidRDefault="002B69AA" w:rsidP="00353026">
            <w:pPr>
              <w:pStyle w:val="7"/>
            </w:pPr>
            <w:r w:rsidRPr="00FD50F6">
              <w:t>停车库</w:t>
            </w:r>
          </w:p>
        </w:tc>
        <w:tc>
          <w:tcPr>
            <w:tcW w:w="1176" w:type="dxa"/>
            <w:tcBorders>
              <w:top w:val="single" w:sz="2" w:space="0" w:color="auto"/>
              <w:left w:val="single" w:sz="2" w:space="0" w:color="auto"/>
              <w:bottom w:val="single" w:sz="2" w:space="0" w:color="auto"/>
              <w:right w:val="single" w:sz="2" w:space="0" w:color="auto"/>
            </w:tcBorders>
            <w:vAlign w:val="center"/>
          </w:tcPr>
          <w:p w14:paraId="5EA8F70F" w14:textId="77777777" w:rsidR="002B69AA" w:rsidRPr="00FD50F6" w:rsidRDefault="002B69AA" w:rsidP="00353026">
            <w:pPr>
              <w:pStyle w:val="7"/>
            </w:pPr>
            <w:r w:rsidRPr="00FD50F6">
              <w:t>列检库</w:t>
            </w:r>
          </w:p>
        </w:tc>
        <w:tc>
          <w:tcPr>
            <w:tcW w:w="745" w:type="dxa"/>
            <w:tcBorders>
              <w:top w:val="single" w:sz="2" w:space="0" w:color="auto"/>
              <w:left w:val="single" w:sz="2" w:space="0" w:color="auto"/>
              <w:bottom w:val="single" w:sz="2" w:space="0" w:color="auto"/>
              <w:right w:val="single" w:sz="2" w:space="0" w:color="auto"/>
            </w:tcBorders>
            <w:vAlign w:val="center"/>
          </w:tcPr>
          <w:p w14:paraId="131AEA78" w14:textId="77777777" w:rsidR="002B69AA" w:rsidRPr="00FD50F6" w:rsidRDefault="002B69AA" w:rsidP="00353026">
            <w:pPr>
              <w:pStyle w:val="7"/>
            </w:pPr>
            <w:r w:rsidRPr="00FD50F6">
              <w:t>周月</w:t>
            </w:r>
          </w:p>
          <w:p w14:paraId="0AA1C647" w14:textId="77777777" w:rsidR="002B69AA" w:rsidRPr="00FD50F6" w:rsidRDefault="002B69AA" w:rsidP="00353026">
            <w:pPr>
              <w:pStyle w:val="7"/>
            </w:pPr>
            <w:r w:rsidRPr="00FD50F6">
              <w:t>检库</w:t>
            </w:r>
          </w:p>
        </w:tc>
        <w:tc>
          <w:tcPr>
            <w:tcW w:w="649" w:type="dxa"/>
            <w:tcBorders>
              <w:top w:val="single" w:sz="2" w:space="0" w:color="auto"/>
              <w:left w:val="single" w:sz="2" w:space="0" w:color="auto"/>
              <w:bottom w:val="single" w:sz="2" w:space="0" w:color="auto"/>
              <w:right w:val="single" w:sz="2" w:space="0" w:color="auto"/>
            </w:tcBorders>
            <w:vAlign w:val="center"/>
          </w:tcPr>
          <w:p w14:paraId="7B404C9C" w14:textId="77777777" w:rsidR="002B69AA" w:rsidRPr="00FD50F6" w:rsidRDefault="002B69AA" w:rsidP="00353026">
            <w:pPr>
              <w:pStyle w:val="7"/>
            </w:pPr>
            <w:r w:rsidRPr="00FD50F6">
              <w:t>定临</w:t>
            </w:r>
          </w:p>
          <w:p w14:paraId="6CC7ED10" w14:textId="77777777" w:rsidR="002B69AA" w:rsidRPr="00FD50F6" w:rsidRDefault="002B69AA" w:rsidP="00353026">
            <w:pPr>
              <w:pStyle w:val="7"/>
            </w:pPr>
            <w:r w:rsidRPr="00FD50F6">
              <w:t>修库</w:t>
            </w:r>
          </w:p>
        </w:tc>
        <w:tc>
          <w:tcPr>
            <w:tcW w:w="690" w:type="dxa"/>
            <w:tcBorders>
              <w:top w:val="single" w:sz="2" w:space="0" w:color="auto"/>
              <w:left w:val="single" w:sz="2" w:space="0" w:color="auto"/>
              <w:bottom w:val="single" w:sz="2" w:space="0" w:color="auto"/>
              <w:right w:val="single" w:sz="2" w:space="0" w:color="auto"/>
            </w:tcBorders>
            <w:vAlign w:val="center"/>
          </w:tcPr>
          <w:p w14:paraId="4CDE6A56" w14:textId="77777777" w:rsidR="002B69AA" w:rsidRPr="00FD50F6" w:rsidRDefault="002B69AA" w:rsidP="00353026">
            <w:pPr>
              <w:pStyle w:val="7"/>
            </w:pPr>
            <w:r w:rsidRPr="00FD50F6">
              <w:t>大架</w:t>
            </w:r>
          </w:p>
          <w:p w14:paraId="0BA231E6" w14:textId="77777777" w:rsidR="002B69AA" w:rsidRPr="00FD50F6" w:rsidRDefault="002B69AA" w:rsidP="00353026">
            <w:pPr>
              <w:pStyle w:val="7"/>
            </w:pPr>
            <w:r w:rsidRPr="00FD50F6">
              <w:t>修库</w:t>
            </w:r>
          </w:p>
        </w:tc>
        <w:tc>
          <w:tcPr>
            <w:tcW w:w="735" w:type="dxa"/>
            <w:tcBorders>
              <w:top w:val="single" w:sz="2" w:space="0" w:color="auto"/>
              <w:left w:val="single" w:sz="2" w:space="0" w:color="auto"/>
              <w:bottom w:val="single" w:sz="2" w:space="0" w:color="auto"/>
              <w:right w:val="single" w:sz="2" w:space="0" w:color="auto"/>
            </w:tcBorders>
            <w:vAlign w:val="center"/>
          </w:tcPr>
          <w:p w14:paraId="6860F10F" w14:textId="77777777" w:rsidR="002B69AA" w:rsidRPr="00FD50F6" w:rsidRDefault="002B69AA" w:rsidP="00353026">
            <w:pPr>
              <w:pStyle w:val="7"/>
            </w:pPr>
            <w:r w:rsidRPr="00FD50F6">
              <w:t>油漆库</w:t>
            </w:r>
          </w:p>
        </w:tc>
        <w:tc>
          <w:tcPr>
            <w:tcW w:w="941" w:type="dxa"/>
            <w:tcBorders>
              <w:top w:val="single" w:sz="2" w:space="0" w:color="auto"/>
              <w:left w:val="single" w:sz="2" w:space="0" w:color="auto"/>
              <w:bottom w:val="single" w:sz="2" w:space="0" w:color="auto"/>
              <w:right w:val="single" w:sz="2" w:space="0" w:color="auto"/>
            </w:tcBorders>
            <w:vAlign w:val="center"/>
          </w:tcPr>
          <w:p w14:paraId="6A0CC89A" w14:textId="77777777" w:rsidR="002B69AA" w:rsidRPr="00FD50F6" w:rsidRDefault="002B69AA" w:rsidP="00353026">
            <w:pPr>
              <w:pStyle w:val="7"/>
            </w:pPr>
            <w:r w:rsidRPr="00FD50F6">
              <w:t>调车机</w:t>
            </w:r>
          </w:p>
          <w:p w14:paraId="0778BB54" w14:textId="77777777" w:rsidR="002B69AA" w:rsidRPr="00FD50F6" w:rsidRDefault="002B69AA" w:rsidP="00353026">
            <w:pPr>
              <w:pStyle w:val="7"/>
            </w:pPr>
            <w:r w:rsidRPr="00FD50F6">
              <w:t>车库</w:t>
            </w:r>
          </w:p>
        </w:tc>
      </w:tr>
      <w:tr w:rsidR="00FD50F6" w:rsidRPr="00FD50F6" w14:paraId="770C1838" w14:textId="77777777" w:rsidTr="00353026">
        <w:trPr>
          <w:jc w:val="center"/>
        </w:trPr>
        <w:tc>
          <w:tcPr>
            <w:tcW w:w="2275" w:type="dxa"/>
            <w:tcBorders>
              <w:top w:val="single" w:sz="2" w:space="0" w:color="auto"/>
              <w:left w:val="single" w:sz="2" w:space="0" w:color="auto"/>
              <w:bottom w:val="single" w:sz="2" w:space="0" w:color="auto"/>
              <w:right w:val="single" w:sz="2" w:space="0" w:color="auto"/>
            </w:tcBorders>
            <w:vAlign w:val="center"/>
          </w:tcPr>
          <w:p w14:paraId="0591261E" w14:textId="6A89ED06" w:rsidR="004D0484" w:rsidRPr="00FD50F6" w:rsidRDefault="004D0484" w:rsidP="00353026">
            <w:pPr>
              <w:pStyle w:val="7"/>
            </w:pPr>
            <w:r w:rsidRPr="00FD50F6">
              <w:t>车体之间通道宽度（无柱）</w:t>
            </w:r>
          </w:p>
        </w:tc>
        <w:tc>
          <w:tcPr>
            <w:tcW w:w="1261" w:type="dxa"/>
            <w:tcBorders>
              <w:top w:val="single" w:sz="2" w:space="0" w:color="auto"/>
              <w:left w:val="single" w:sz="2" w:space="0" w:color="auto"/>
              <w:bottom w:val="single" w:sz="2" w:space="0" w:color="auto"/>
              <w:right w:val="single" w:sz="2" w:space="0" w:color="auto"/>
            </w:tcBorders>
            <w:vAlign w:val="center"/>
          </w:tcPr>
          <w:p w14:paraId="2C6FF2AA" w14:textId="77777777" w:rsidR="004D0484" w:rsidRPr="00FD50F6" w:rsidRDefault="004D0484" w:rsidP="00353026">
            <w:pPr>
              <w:pStyle w:val="7"/>
            </w:pPr>
            <w:r w:rsidRPr="00FD50F6">
              <w:t>（</w:t>
            </w:r>
            <w:r w:rsidRPr="00FD50F6">
              <w:t>1.6</w:t>
            </w:r>
            <w:r w:rsidRPr="00FD50F6">
              <w:t>）</w:t>
            </w:r>
            <w:r w:rsidRPr="00FD50F6">
              <w:t>1.4</w:t>
            </w:r>
          </w:p>
        </w:tc>
        <w:tc>
          <w:tcPr>
            <w:tcW w:w="1176" w:type="dxa"/>
            <w:tcBorders>
              <w:top w:val="single" w:sz="2" w:space="0" w:color="auto"/>
              <w:left w:val="single" w:sz="2" w:space="0" w:color="auto"/>
              <w:bottom w:val="single" w:sz="2" w:space="0" w:color="auto"/>
              <w:right w:val="single" w:sz="2" w:space="0" w:color="auto"/>
            </w:tcBorders>
            <w:vAlign w:val="center"/>
          </w:tcPr>
          <w:p w14:paraId="5DBD2C36" w14:textId="77777777" w:rsidR="004D0484" w:rsidRPr="00FD50F6" w:rsidRDefault="004D0484" w:rsidP="00353026">
            <w:pPr>
              <w:pStyle w:val="7"/>
            </w:pPr>
            <w:r w:rsidRPr="00FD50F6">
              <w:t>（</w:t>
            </w:r>
            <w:r w:rsidRPr="00FD50F6">
              <w:t>2.0</w:t>
            </w:r>
            <w:r w:rsidRPr="00FD50F6">
              <w:t>）</w:t>
            </w:r>
            <w:r w:rsidRPr="00FD50F6">
              <w:t>1.8</w:t>
            </w:r>
          </w:p>
        </w:tc>
        <w:tc>
          <w:tcPr>
            <w:tcW w:w="745" w:type="dxa"/>
            <w:tcBorders>
              <w:top w:val="single" w:sz="2" w:space="0" w:color="auto"/>
              <w:left w:val="single" w:sz="2" w:space="0" w:color="auto"/>
              <w:bottom w:val="single" w:sz="2" w:space="0" w:color="auto"/>
              <w:right w:val="single" w:sz="2" w:space="0" w:color="auto"/>
            </w:tcBorders>
            <w:vAlign w:val="center"/>
          </w:tcPr>
          <w:p w14:paraId="3D560642" w14:textId="77777777" w:rsidR="004D0484" w:rsidRPr="00FD50F6" w:rsidRDefault="004D0484" w:rsidP="00353026">
            <w:pPr>
              <w:pStyle w:val="7"/>
            </w:pPr>
            <w:r w:rsidRPr="00FD50F6">
              <w:t>3</w:t>
            </w:r>
          </w:p>
        </w:tc>
        <w:tc>
          <w:tcPr>
            <w:tcW w:w="649" w:type="dxa"/>
            <w:tcBorders>
              <w:top w:val="single" w:sz="2" w:space="0" w:color="auto"/>
              <w:left w:val="single" w:sz="2" w:space="0" w:color="auto"/>
              <w:bottom w:val="single" w:sz="2" w:space="0" w:color="auto"/>
              <w:right w:val="single" w:sz="2" w:space="0" w:color="auto"/>
            </w:tcBorders>
            <w:vAlign w:val="center"/>
          </w:tcPr>
          <w:p w14:paraId="283AE85F" w14:textId="77777777" w:rsidR="004D0484" w:rsidRPr="00FD50F6" w:rsidRDefault="004D0484" w:rsidP="00353026">
            <w:pPr>
              <w:pStyle w:val="7"/>
            </w:pPr>
            <w:r w:rsidRPr="00FD50F6">
              <w:t>4</w:t>
            </w:r>
          </w:p>
        </w:tc>
        <w:tc>
          <w:tcPr>
            <w:tcW w:w="690" w:type="dxa"/>
            <w:tcBorders>
              <w:top w:val="single" w:sz="2" w:space="0" w:color="auto"/>
              <w:left w:val="single" w:sz="2" w:space="0" w:color="auto"/>
              <w:bottom w:val="single" w:sz="2" w:space="0" w:color="auto"/>
              <w:right w:val="single" w:sz="2" w:space="0" w:color="auto"/>
            </w:tcBorders>
            <w:vAlign w:val="center"/>
          </w:tcPr>
          <w:p w14:paraId="76F1488B" w14:textId="77777777" w:rsidR="004D0484" w:rsidRPr="00FD50F6" w:rsidRDefault="004D0484" w:rsidP="00353026">
            <w:pPr>
              <w:pStyle w:val="7"/>
            </w:pPr>
            <w:r w:rsidRPr="00FD50F6">
              <w:t>4.5</w:t>
            </w:r>
          </w:p>
        </w:tc>
        <w:tc>
          <w:tcPr>
            <w:tcW w:w="735" w:type="dxa"/>
            <w:tcBorders>
              <w:top w:val="single" w:sz="2" w:space="0" w:color="auto"/>
              <w:left w:val="single" w:sz="2" w:space="0" w:color="auto"/>
              <w:bottom w:val="single" w:sz="2" w:space="0" w:color="auto"/>
              <w:right w:val="single" w:sz="2" w:space="0" w:color="auto"/>
            </w:tcBorders>
            <w:vAlign w:val="center"/>
          </w:tcPr>
          <w:p w14:paraId="2178FA01" w14:textId="77777777" w:rsidR="004D0484" w:rsidRPr="00FD50F6" w:rsidRDefault="004D0484" w:rsidP="00353026">
            <w:pPr>
              <w:pStyle w:val="7"/>
            </w:pPr>
            <w:r w:rsidRPr="00FD50F6">
              <w:t>2.5</w:t>
            </w:r>
          </w:p>
        </w:tc>
        <w:tc>
          <w:tcPr>
            <w:tcW w:w="941" w:type="dxa"/>
            <w:tcBorders>
              <w:top w:val="single" w:sz="2" w:space="0" w:color="auto"/>
              <w:left w:val="single" w:sz="2" w:space="0" w:color="auto"/>
              <w:bottom w:val="single" w:sz="2" w:space="0" w:color="auto"/>
              <w:right w:val="single" w:sz="2" w:space="0" w:color="auto"/>
            </w:tcBorders>
            <w:vAlign w:val="center"/>
          </w:tcPr>
          <w:p w14:paraId="391BB56E" w14:textId="77777777" w:rsidR="004D0484" w:rsidRPr="00FD50F6" w:rsidRDefault="004D0484" w:rsidP="00353026">
            <w:pPr>
              <w:pStyle w:val="7"/>
            </w:pPr>
            <w:r w:rsidRPr="00FD50F6">
              <w:t>2</w:t>
            </w:r>
          </w:p>
        </w:tc>
      </w:tr>
      <w:tr w:rsidR="00FD50F6" w:rsidRPr="00FD50F6" w14:paraId="40249CB4" w14:textId="77777777" w:rsidTr="00353026">
        <w:trPr>
          <w:jc w:val="center"/>
        </w:trPr>
        <w:tc>
          <w:tcPr>
            <w:tcW w:w="2275" w:type="dxa"/>
            <w:tcBorders>
              <w:top w:val="single" w:sz="2" w:space="0" w:color="auto"/>
              <w:left w:val="single" w:sz="2" w:space="0" w:color="auto"/>
              <w:bottom w:val="single" w:sz="2" w:space="0" w:color="auto"/>
              <w:right w:val="single" w:sz="2" w:space="0" w:color="auto"/>
            </w:tcBorders>
            <w:vAlign w:val="center"/>
          </w:tcPr>
          <w:p w14:paraId="6E54A8D3" w14:textId="4856E6F5" w:rsidR="004D0484" w:rsidRPr="00FD50F6" w:rsidRDefault="004D0484" w:rsidP="00353026">
            <w:pPr>
              <w:pStyle w:val="7"/>
            </w:pPr>
            <w:r w:rsidRPr="00FD50F6">
              <w:t>车体与侧墙之间的通道宽度</w:t>
            </w:r>
          </w:p>
        </w:tc>
        <w:tc>
          <w:tcPr>
            <w:tcW w:w="1261" w:type="dxa"/>
            <w:tcBorders>
              <w:top w:val="single" w:sz="2" w:space="0" w:color="auto"/>
              <w:left w:val="single" w:sz="2" w:space="0" w:color="auto"/>
              <w:bottom w:val="single" w:sz="2" w:space="0" w:color="auto"/>
              <w:right w:val="single" w:sz="2" w:space="0" w:color="auto"/>
            </w:tcBorders>
            <w:vAlign w:val="center"/>
          </w:tcPr>
          <w:p w14:paraId="40DDA954" w14:textId="77777777" w:rsidR="004D0484" w:rsidRPr="00FD50F6" w:rsidRDefault="004D0484" w:rsidP="00353026">
            <w:pPr>
              <w:pStyle w:val="7"/>
            </w:pPr>
            <w:r w:rsidRPr="00FD50F6">
              <w:t>(1.5) 1.4</w:t>
            </w:r>
          </w:p>
        </w:tc>
        <w:tc>
          <w:tcPr>
            <w:tcW w:w="1176" w:type="dxa"/>
            <w:tcBorders>
              <w:top w:val="single" w:sz="2" w:space="0" w:color="auto"/>
              <w:left w:val="single" w:sz="2" w:space="0" w:color="auto"/>
              <w:bottom w:val="single" w:sz="2" w:space="0" w:color="auto"/>
              <w:right w:val="single" w:sz="2" w:space="0" w:color="auto"/>
            </w:tcBorders>
            <w:vAlign w:val="center"/>
          </w:tcPr>
          <w:p w14:paraId="12B5CCF7" w14:textId="77777777" w:rsidR="004D0484" w:rsidRPr="00FD50F6" w:rsidRDefault="004D0484" w:rsidP="00353026">
            <w:pPr>
              <w:pStyle w:val="7"/>
            </w:pPr>
            <w:r w:rsidRPr="00FD50F6">
              <w:t>(2.0) 1.6</w:t>
            </w:r>
          </w:p>
        </w:tc>
        <w:tc>
          <w:tcPr>
            <w:tcW w:w="745" w:type="dxa"/>
            <w:tcBorders>
              <w:top w:val="single" w:sz="2" w:space="0" w:color="auto"/>
              <w:left w:val="single" w:sz="2" w:space="0" w:color="auto"/>
              <w:bottom w:val="single" w:sz="2" w:space="0" w:color="auto"/>
              <w:right w:val="single" w:sz="2" w:space="0" w:color="auto"/>
            </w:tcBorders>
            <w:vAlign w:val="center"/>
          </w:tcPr>
          <w:p w14:paraId="6384E437" w14:textId="77777777" w:rsidR="004D0484" w:rsidRPr="00FD50F6" w:rsidRDefault="004D0484" w:rsidP="00353026">
            <w:pPr>
              <w:pStyle w:val="7"/>
            </w:pPr>
            <w:r w:rsidRPr="00FD50F6">
              <w:t>3</w:t>
            </w:r>
          </w:p>
        </w:tc>
        <w:tc>
          <w:tcPr>
            <w:tcW w:w="649" w:type="dxa"/>
            <w:tcBorders>
              <w:top w:val="single" w:sz="2" w:space="0" w:color="auto"/>
              <w:left w:val="single" w:sz="2" w:space="0" w:color="auto"/>
              <w:bottom w:val="single" w:sz="2" w:space="0" w:color="auto"/>
              <w:right w:val="single" w:sz="2" w:space="0" w:color="auto"/>
            </w:tcBorders>
            <w:vAlign w:val="center"/>
          </w:tcPr>
          <w:p w14:paraId="7C33EC91" w14:textId="77777777" w:rsidR="004D0484" w:rsidRPr="00FD50F6" w:rsidRDefault="004D0484" w:rsidP="00353026">
            <w:pPr>
              <w:pStyle w:val="7"/>
            </w:pPr>
            <w:r w:rsidRPr="00FD50F6">
              <w:t>3.5</w:t>
            </w:r>
          </w:p>
        </w:tc>
        <w:tc>
          <w:tcPr>
            <w:tcW w:w="690" w:type="dxa"/>
            <w:tcBorders>
              <w:top w:val="single" w:sz="2" w:space="0" w:color="auto"/>
              <w:left w:val="single" w:sz="2" w:space="0" w:color="auto"/>
              <w:bottom w:val="single" w:sz="2" w:space="0" w:color="auto"/>
              <w:right w:val="single" w:sz="2" w:space="0" w:color="auto"/>
            </w:tcBorders>
            <w:vAlign w:val="center"/>
          </w:tcPr>
          <w:p w14:paraId="6F0767AA" w14:textId="77777777" w:rsidR="004D0484" w:rsidRPr="00FD50F6" w:rsidRDefault="004D0484" w:rsidP="00353026">
            <w:pPr>
              <w:pStyle w:val="7"/>
            </w:pPr>
            <w:r w:rsidRPr="00FD50F6">
              <w:t>4</w:t>
            </w:r>
          </w:p>
        </w:tc>
        <w:tc>
          <w:tcPr>
            <w:tcW w:w="735" w:type="dxa"/>
            <w:tcBorders>
              <w:top w:val="single" w:sz="2" w:space="0" w:color="auto"/>
              <w:left w:val="single" w:sz="2" w:space="0" w:color="auto"/>
              <w:bottom w:val="single" w:sz="2" w:space="0" w:color="auto"/>
              <w:right w:val="single" w:sz="2" w:space="0" w:color="auto"/>
            </w:tcBorders>
            <w:vAlign w:val="center"/>
          </w:tcPr>
          <w:p w14:paraId="0A20E1AB" w14:textId="77777777" w:rsidR="004D0484" w:rsidRPr="00FD50F6" w:rsidRDefault="004D0484" w:rsidP="00353026">
            <w:pPr>
              <w:pStyle w:val="7"/>
            </w:pPr>
            <w:r w:rsidRPr="00FD50F6">
              <w:t>2.5</w:t>
            </w:r>
          </w:p>
        </w:tc>
        <w:tc>
          <w:tcPr>
            <w:tcW w:w="941" w:type="dxa"/>
            <w:tcBorders>
              <w:top w:val="single" w:sz="2" w:space="0" w:color="auto"/>
              <w:left w:val="single" w:sz="2" w:space="0" w:color="auto"/>
              <w:bottom w:val="single" w:sz="2" w:space="0" w:color="auto"/>
              <w:right w:val="single" w:sz="2" w:space="0" w:color="auto"/>
            </w:tcBorders>
            <w:vAlign w:val="center"/>
          </w:tcPr>
          <w:p w14:paraId="2A7E08CE" w14:textId="77777777" w:rsidR="004D0484" w:rsidRPr="00FD50F6" w:rsidRDefault="004D0484" w:rsidP="00353026">
            <w:pPr>
              <w:pStyle w:val="7"/>
            </w:pPr>
            <w:r w:rsidRPr="00FD50F6">
              <w:t>1.7</w:t>
            </w:r>
          </w:p>
        </w:tc>
      </w:tr>
      <w:tr w:rsidR="00FD50F6" w:rsidRPr="00FD50F6" w14:paraId="44617C3B" w14:textId="77777777" w:rsidTr="00353026">
        <w:trPr>
          <w:jc w:val="center"/>
        </w:trPr>
        <w:tc>
          <w:tcPr>
            <w:tcW w:w="2275" w:type="dxa"/>
            <w:tcBorders>
              <w:top w:val="single" w:sz="2" w:space="0" w:color="auto"/>
              <w:left w:val="single" w:sz="2" w:space="0" w:color="auto"/>
              <w:bottom w:val="single" w:sz="2" w:space="0" w:color="auto"/>
              <w:right w:val="single" w:sz="2" w:space="0" w:color="auto"/>
            </w:tcBorders>
            <w:vAlign w:val="center"/>
          </w:tcPr>
          <w:p w14:paraId="579C855F" w14:textId="77777777" w:rsidR="004D0484" w:rsidRPr="00FD50F6" w:rsidRDefault="004D0484" w:rsidP="00353026">
            <w:pPr>
              <w:pStyle w:val="7"/>
            </w:pPr>
            <w:r w:rsidRPr="00FD50F6">
              <w:t>车体与柱边通道宽度</w:t>
            </w:r>
          </w:p>
        </w:tc>
        <w:tc>
          <w:tcPr>
            <w:tcW w:w="1261" w:type="dxa"/>
            <w:tcBorders>
              <w:top w:val="single" w:sz="2" w:space="0" w:color="auto"/>
              <w:left w:val="single" w:sz="2" w:space="0" w:color="auto"/>
              <w:bottom w:val="single" w:sz="2" w:space="0" w:color="auto"/>
              <w:right w:val="single" w:sz="2" w:space="0" w:color="auto"/>
            </w:tcBorders>
            <w:vAlign w:val="center"/>
          </w:tcPr>
          <w:p w14:paraId="2AB58181" w14:textId="77777777" w:rsidR="004D0484" w:rsidRPr="00FD50F6" w:rsidRDefault="004D0484" w:rsidP="00353026">
            <w:pPr>
              <w:pStyle w:val="7"/>
            </w:pPr>
            <w:r w:rsidRPr="00FD50F6">
              <w:t>(1.3) 1.2</w:t>
            </w:r>
          </w:p>
        </w:tc>
        <w:tc>
          <w:tcPr>
            <w:tcW w:w="1176" w:type="dxa"/>
            <w:tcBorders>
              <w:top w:val="single" w:sz="2" w:space="0" w:color="auto"/>
              <w:left w:val="single" w:sz="2" w:space="0" w:color="auto"/>
              <w:bottom w:val="single" w:sz="2" w:space="0" w:color="auto"/>
              <w:right w:val="single" w:sz="2" w:space="0" w:color="auto"/>
            </w:tcBorders>
            <w:vAlign w:val="center"/>
          </w:tcPr>
          <w:p w14:paraId="1035EC3C" w14:textId="77777777" w:rsidR="004D0484" w:rsidRPr="00FD50F6" w:rsidRDefault="004D0484" w:rsidP="00353026">
            <w:pPr>
              <w:pStyle w:val="7"/>
            </w:pPr>
            <w:r w:rsidRPr="00FD50F6">
              <w:t>（</w:t>
            </w:r>
            <w:r w:rsidRPr="00FD50F6">
              <w:t>1.8</w:t>
            </w:r>
            <w:r w:rsidRPr="00FD50F6">
              <w:t>）</w:t>
            </w:r>
            <w:r w:rsidRPr="00FD50F6">
              <w:t>1.4</w:t>
            </w:r>
          </w:p>
        </w:tc>
        <w:tc>
          <w:tcPr>
            <w:tcW w:w="745" w:type="dxa"/>
            <w:tcBorders>
              <w:top w:val="single" w:sz="2" w:space="0" w:color="auto"/>
              <w:left w:val="single" w:sz="2" w:space="0" w:color="auto"/>
              <w:bottom w:val="single" w:sz="2" w:space="0" w:color="auto"/>
              <w:right w:val="single" w:sz="2" w:space="0" w:color="auto"/>
            </w:tcBorders>
            <w:vAlign w:val="center"/>
          </w:tcPr>
          <w:p w14:paraId="7FB48060" w14:textId="77777777" w:rsidR="004D0484" w:rsidRPr="00FD50F6" w:rsidRDefault="004D0484" w:rsidP="00353026">
            <w:pPr>
              <w:pStyle w:val="7"/>
            </w:pPr>
            <w:r w:rsidRPr="00FD50F6">
              <w:t>2.2</w:t>
            </w:r>
          </w:p>
        </w:tc>
        <w:tc>
          <w:tcPr>
            <w:tcW w:w="649" w:type="dxa"/>
            <w:tcBorders>
              <w:top w:val="single" w:sz="2" w:space="0" w:color="auto"/>
              <w:left w:val="single" w:sz="2" w:space="0" w:color="auto"/>
              <w:bottom w:val="single" w:sz="2" w:space="0" w:color="auto"/>
              <w:right w:val="single" w:sz="2" w:space="0" w:color="auto"/>
            </w:tcBorders>
            <w:vAlign w:val="center"/>
          </w:tcPr>
          <w:p w14:paraId="4AADE720" w14:textId="77777777" w:rsidR="004D0484" w:rsidRPr="00FD50F6" w:rsidRDefault="004D0484" w:rsidP="00353026">
            <w:pPr>
              <w:pStyle w:val="7"/>
            </w:pPr>
            <w:r w:rsidRPr="00FD50F6">
              <w:t>3</w:t>
            </w:r>
          </w:p>
        </w:tc>
        <w:tc>
          <w:tcPr>
            <w:tcW w:w="690" w:type="dxa"/>
            <w:tcBorders>
              <w:top w:val="single" w:sz="2" w:space="0" w:color="auto"/>
              <w:left w:val="single" w:sz="2" w:space="0" w:color="auto"/>
              <w:bottom w:val="single" w:sz="2" w:space="0" w:color="auto"/>
              <w:right w:val="single" w:sz="2" w:space="0" w:color="auto"/>
            </w:tcBorders>
            <w:vAlign w:val="center"/>
          </w:tcPr>
          <w:p w14:paraId="0C888108" w14:textId="77777777" w:rsidR="004D0484" w:rsidRPr="00FD50F6" w:rsidRDefault="004D0484" w:rsidP="00353026">
            <w:pPr>
              <w:pStyle w:val="7"/>
            </w:pPr>
            <w:r w:rsidRPr="00FD50F6">
              <w:t>3.2</w:t>
            </w:r>
          </w:p>
        </w:tc>
        <w:tc>
          <w:tcPr>
            <w:tcW w:w="735" w:type="dxa"/>
            <w:tcBorders>
              <w:top w:val="single" w:sz="2" w:space="0" w:color="auto"/>
              <w:left w:val="single" w:sz="2" w:space="0" w:color="auto"/>
              <w:bottom w:val="single" w:sz="2" w:space="0" w:color="auto"/>
              <w:right w:val="single" w:sz="2" w:space="0" w:color="auto"/>
            </w:tcBorders>
            <w:vAlign w:val="center"/>
          </w:tcPr>
          <w:p w14:paraId="6BCAD18B" w14:textId="77777777" w:rsidR="004D0484" w:rsidRPr="00FD50F6" w:rsidRDefault="004D0484" w:rsidP="00353026">
            <w:pPr>
              <w:pStyle w:val="7"/>
            </w:pPr>
            <w:r w:rsidRPr="00FD50F6">
              <w:t>2.2</w:t>
            </w:r>
          </w:p>
        </w:tc>
        <w:tc>
          <w:tcPr>
            <w:tcW w:w="941" w:type="dxa"/>
            <w:tcBorders>
              <w:top w:val="single" w:sz="2" w:space="0" w:color="auto"/>
              <w:left w:val="single" w:sz="2" w:space="0" w:color="auto"/>
              <w:bottom w:val="single" w:sz="2" w:space="0" w:color="auto"/>
              <w:right w:val="single" w:sz="2" w:space="0" w:color="auto"/>
            </w:tcBorders>
            <w:vAlign w:val="center"/>
          </w:tcPr>
          <w:p w14:paraId="5ED59FD4" w14:textId="77777777" w:rsidR="004D0484" w:rsidRPr="00FD50F6" w:rsidRDefault="004D0484" w:rsidP="00353026">
            <w:pPr>
              <w:pStyle w:val="7"/>
            </w:pPr>
            <w:r w:rsidRPr="00FD50F6">
              <w:t>1.5</w:t>
            </w:r>
          </w:p>
        </w:tc>
      </w:tr>
      <w:tr w:rsidR="00FD50F6" w:rsidRPr="00FD50F6" w14:paraId="0C085C51" w14:textId="77777777" w:rsidTr="00353026">
        <w:trPr>
          <w:jc w:val="center"/>
        </w:trPr>
        <w:tc>
          <w:tcPr>
            <w:tcW w:w="2275" w:type="dxa"/>
            <w:tcBorders>
              <w:top w:val="single" w:sz="2" w:space="0" w:color="auto"/>
              <w:left w:val="single" w:sz="2" w:space="0" w:color="auto"/>
              <w:bottom w:val="single" w:sz="2" w:space="0" w:color="auto"/>
              <w:right w:val="single" w:sz="2" w:space="0" w:color="auto"/>
            </w:tcBorders>
            <w:vAlign w:val="center"/>
          </w:tcPr>
          <w:p w14:paraId="6AE7B2B5" w14:textId="48E70E6F" w:rsidR="004D0484" w:rsidRPr="00FD50F6" w:rsidRDefault="004D0484" w:rsidP="00353026">
            <w:pPr>
              <w:pStyle w:val="7"/>
            </w:pPr>
            <w:r w:rsidRPr="00FD50F6">
              <w:lastRenderedPageBreak/>
              <w:t>库内前后通道净宽</w:t>
            </w:r>
          </w:p>
        </w:tc>
        <w:tc>
          <w:tcPr>
            <w:tcW w:w="1261" w:type="dxa"/>
            <w:tcBorders>
              <w:top w:val="single" w:sz="2" w:space="0" w:color="auto"/>
              <w:left w:val="single" w:sz="2" w:space="0" w:color="auto"/>
              <w:bottom w:val="single" w:sz="2" w:space="0" w:color="auto"/>
              <w:right w:val="single" w:sz="2" w:space="0" w:color="auto"/>
            </w:tcBorders>
            <w:vAlign w:val="center"/>
          </w:tcPr>
          <w:p w14:paraId="55BFAA56" w14:textId="77777777" w:rsidR="004D0484" w:rsidRPr="00FD50F6" w:rsidRDefault="004D0484" w:rsidP="00353026">
            <w:pPr>
              <w:pStyle w:val="7"/>
            </w:pPr>
            <w:r w:rsidRPr="00FD50F6">
              <w:t>4</w:t>
            </w:r>
          </w:p>
        </w:tc>
        <w:tc>
          <w:tcPr>
            <w:tcW w:w="1176" w:type="dxa"/>
            <w:tcBorders>
              <w:top w:val="single" w:sz="2" w:space="0" w:color="auto"/>
              <w:left w:val="single" w:sz="2" w:space="0" w:color="auto"/>
              <w:bottom w:val="single" w:sz="2" w:space="0" w:color="auto"/>
              <w:right w:val="single" w:sz="2" w:space="0" w:color="auto"/>
            </w:tcBorders>
            <w:vAlign w:val="center"/>
          </w:tcPr>
          <w:p w14:paraId="34F68454" w14:textId="77777777" w:rsidR="004D0484" w:rsidRPr="00FD50F6" w:rsidRDefault="004D0484" w:rsidP="00353026">
            <w:pPr>
              <w:pStyle w:val="7"/>
            </w:pPr>
            <w:r w:rsidRPr="00FD50F6">
              <w:t>4</w:t>
            </w:r>
          </w:p>
        </w:tc>
        <w:tc>
          <w:tcPr>
            <w:tcW w:w="745" w:type="dxa"/>
            <w:tcBorders>
              <w:top w:val="single" w:sz="2" w:space="0" w:color="auto"/>
              <w:left w:val="single" w:sz="2" w:space="0" w:color="auto"/>
              <w:bottom w:val="single" w:sz="2" w:space="0" w:color="auto"/>
              <w:right w:val="single" w:sz="2" w:space="0" w:color="auto"/>
            </w:tcBorders>
            <w:vAlign w:val="center"/>
          </w:tcPr>
          <w:p w14:paraId="703F513F" w14:textId="77777777" w:rsidR="004D0484" w:rsidRPr="00FD50F6" w:rsidRDefault="004D0484" w:rsidP="00353026">
            <w:pPr>
              <w:pStyle w:val="7"/>
            </w:pPr>
            <w:r w:rsidRPr="00FD50F6">
              <w:t>4</w:t>
            </w:r>
          </w:p>
        </w:tc>
        <w:tc>
          <w:tcPr>
            <w:tcW w:w="649" w:type="dxa"/>
            <w:tcBorders>
              <w:top w:val="single" w:sz="2" w:space="0" w:color="auto"/>
              <w:left w:val="single" w:sz="2" w:space="0" w:color="auto"/>
              <w:bottom w:val="single" w:sz="2" w:space="0" w:color="auto"/>
              <w:right w:val="single" w:sz="2" w:space="0" w:color="auto"/>
            </w:tcBorders>
            <w:vAlign w:val="center"/>
          </w:tcPr>
          <w:p w14:paraId="481CC9B5" w14:textId="77777777" w:rsidR="004D0484" w:rsidRPr="00FD50F6" w:rsidRDefault="004D0484" w:rsidP="00353026">
            <w:pPr>
              <w:pStyle w:val="7"/>
            </w:pPr>
            <w:r w:rsidRPr="00FD50F6">
              <w:t>5</w:t>
            </w:r>
          </w:p>
        </w:tc>
        <w:tc>
          <w:tcPr>
            <w:tcW w:w="690" w:type="dxa"/>
            <w:tcBorders>
              <w:top w:val="single" w:sz="2" w:space="0" w:color="auto"/>
              <w:left w:val="single" w:sz="2" w:space="0" w:color="auto"/>
              <w:bottom w:val="single" w:sz="2" w:space="0" w:color="auto"/>
              <w:right w:val="single" w:sz="2" w:space="0" w:color="auto"/>
            </w:tcBorders>
            <w:vAlign w:val="center"/>
          </w:tcPr>
          <w:p w14:paraId="13730D48" w14:textId="77777777" w:rsidR="004D0484" w:rsidRPr="00FD50F6" w:rsidRDefault="004D0484" w:rsidP="00353026">
            <w:pPr>
              <w:pStyle w:val="7"/>
            </w:pPr>
            <w:r w:rsidRPr="00FD50F6">
              <w:t>5</w:t>
            </w:r>
          </w:p>
        </w:tc>
        <w:tc>
          <w:tcPr>
            <w:tcW w:w="735" w:type="dxa"/>
            <w:tcBorders>
              <w:top w:val="single" w:sz="2" w:space="0" w:color="auto"/>
              <w:left w:val="single" w:sz="2" w:space="0" w:color="auto"/>
              <w:bottom w:val="single" w:sz="2" w:space="0" w:color="auto"/>
              <w:right w:val="single" w:sz="2" w:space="0" w:color="auto"/>
            </w:tcBorders>
            <w:vAlign w:val="center"/>
          </w:tcPr>
          <w:p w14:paraId="3FD1458B" w14:textId="77777777" w:rsidR="004D0484" w:rsidRPr="00FD50F6" w:rsidRDefault="004D0484" w:rsidP="00353026">
            <w:pPr>
              <w:pStyle w:val="7"/>
            </w:pPr>
            <w:r w:rsidRPr="00FD50F6">
              <w:t>3</w:t>
            </w:r>
          </w:p>
        </w:tc>
        <w:tc>
          <w:tcPr>
            <w:tcW w:w="941" w:type="dxa"/>
            <w:tcBorders>
              <w:top w:val="single" w:sz="2" w:space="0" w:color="auto"/>
              <w:left w:val="single" w:sz="2" w:space="0" w:color="auto"/>
              <w:bottom w:val="single" w:sz="2" w:space="0" w:color="auto"/>
              <w:right w:val="single" w:sz="2" w:space="0" w:color="auto"/>
            </w:tcBorders>
            <w:vAlign w:val="center"/>
          </w:tcPr>
          <w:p w14:paraId="5A65BCC9" w14:textId="77777777" w:rsidR="004D0484" w:rsidRPr="00FD50F6" w:rsidRDefault="004D0484" w:rsidP="00353026">
            <w:pPr>
              <w:pStyle w:val="7"/>
            </w:pPr>
            <w:r w:rsidRPr="00FD50F6">
              <w:t>3</w:t>
            </w:r>
          </w:p>
        </w:tc>
      </w:tr>
      <w:tr w:rsidR="00FD50F6" w:rsidRPr="00FD50F6" w14:paraId="21C4835D" w14:textId="77777777" w:rsidTr="00353026">
        <w:trPr>
          <w:jc w:val="center"/>
        </w:trPr>
        <w:tc>
          <w:tcPr>
            <w:tcW w:w="2275" w:type="dxa"/>
            <w:tcBorders>
              <w:top w:val="single" w:sz="2" w:space="0" w:color="auto"/>
              <w:left w:val="single" w:sz="2" w:space="0" w:color="auto"/>
              <w:bottom w:val="single" w:sz="2" w:space="0" w:color="auto"/>
              <w:right w:val="single" w:sz="2" w:space="0" w:color="auto"/>
            </w:tcBorders>
            <w:vAlign w:val="center"/>
          </w:tcPr>
          <w:p w14:paraId="37CA351E" w14:textId="77777777" w:rsidR="004D0484" w:rsidRPr="00FD50F6" w:rsidRDefault="004D0484" w:rsidP="00353026">
            <w:pPr>
              <w:pStyle w:val="7"/>
            </w:pPr>
            <w:r w:rsidRPr="00FD50F6">
              <w:t>车库大门净宽</w:t>
            </w:r>
          </w:p>
        </w:tc>
        <w:tc>
          <w:tcPr>
            <w:tcW w:w="6197" w:type="dxa"/>
            <w:gridSpan w:val="7"/>
            <w:tcBorders>
              <w:top w:val="single" w:sz="2" w:space="0" w:color="auto"/>
              <w:left w:val="single" w:sz="2" w:space="0" w:color="auto"/>
              <w:bottom w:val="single" w:sz="2" w:space="0" w:color="auto"/>
              <w:right w:val="single" w:sz="2" w:space="0" w:color="auto"/>
            </w:tcBorders>
            <w:vAlign w:val="center"/>
          </w:tcPr>
          <w:p w14:paraId="63648162" w14:textId="77777777" w:rsidR="004D0484" w:rsidRPr="00FD50F6" w:rsidRDefault="004D0484" w:rsidP="00353026">
            <w:pPr>
              <w:pStyle w:val="7"/>
            </w:pPr>
            <w:r w:rsidRPr="001A4CF3">
              <w:rPr>
                <w:i/>
              </w:rPr>
              <w:t>B</w:t>
            </w:r>
            <w:r w:rsidRPr="00FD50F6">
              <w:t xml:space="preserve"> + 0.6</w:t>
            </w:r>
          </w:p>
        </w:tc>
      </w:tr>
      <w:tr w:rsidR="00FD50F6" w:rsidRPr="00FD50F6" w14:paraId="233F7214" w14:textId="77777777" w:rsidTr="00353026">
        <w:trPr>
          <w:jc w:val="center"/>
        </w:trPr>
        <w:tc>
          <w:tcPr>
            <w:tcW w:w="2275" w:type="dxa"/>
            <w:tcBorders>
              <w:top w:val="single" w:sz="2" w:space="0" w:color="auto"/>
              <w:left w:val="single" w:sz="2" w:space="0" w:color="auto"/>
              <w:bottom w:val="single" w:sz="2" w:space="0" w:color="auto"/>
              <w:right w:val="single" w:sz="2" w:space="0" w:color="auto"/>
            </w:tcBorders>
            <w:vAlign w:val="center"/>
          </w:tcPr>
          <w:p w14:paraId="0AF05CCE" w14:textId="77777777" w:rsidR="004D0484" w:rsidRPr="00FD50F6" w:rsidRDefault="004D0484" w:rsidP="00353026">
            <w:pPr>
              <w:pStyle w:val="7"/>
            </w:pPr>
            <w:r w:rsidRPr="00FD50F6">
              <w:t>车库大门净高</w:t>
            </w:r>
          </w:p>
        </w:tc>
        <w:tc>
          <w:tcPr>
            <w:tcW w:w="6197" w:type="dxa"/>
            <w:gridSpan w:val="7"/>
            <w:tcBorders>
              <w:top w:val="single" w:sz="2" w:space="0" w:color="auto"/>
              <w:left w:val="single" w:sz="2" w:space="0" w:color="auto"/>
              <w:bottom w:val="single" w:sz="2" w:space="0" w:color="auto"/>
              <w:right w:val="single" w:sz="2" w:space="0" w:color="auto"/>
            </w:tcBorders>
            <w:vAlign w:val="center"/>
          </w:tcPr>
          <w:p w14:paraId="42251265" w14:textId="77777777" w:rsidR="004D0484" w:rsidRPr="00FD50F6" w:rsidRDefault="004D0484" w:rsidP="00353026">
            <w:pPr>
              <w:pStyle w:val="7"/>
            </w:pPr>
            <w:r w:rsidRPr="001A4CF3">
              <w:rPr>
                <w:i/>
              </w:rPr>
              <w:t>H</w:t>
            </w:r>
            <w:r w:rsidRPr="00FD50F6">
              <w:t xml:space="preserve"> + 0.4</w:t>
            </w:r>
          </w:p>
        </w:tc>
      </w:tr>
    </w:tbl>
    <w:p w14:paraId="74B81125" w14:textId="77777777" w:rsidR="004D0484" w:rsidRPr="00FD50F6" w:rsidRDefault="004D0484" w:rsidP="004D0484">
      <w:pPr>
        <w:pStyle w:val="7"/>
        <w:jc w:val="left"/>
        <w:rPr>
          <w:rFonts w:cs="Times New Roman"/>
          <w:kern w:val="0"/>
        </w:rPr>
      </w:pPr>
      <w:r w:rsidRPr="00FD50F6">
        <w:rPr>
          <w:rFonts w:cs="Times New Roman"/>
          <w:kern w:val="0"/>
        </w:rPr>
        <w:t>注：</w:t>
      </w:r>
      <w:r w:rsidRPr="00FD50F6">
        <w:rPr>
          <w:rFonts w:cs="Times New Roman"/>
          <w:kern w:val="0"/>
        </w:rPr>
        <w:t>1</w:t>
      </w:r>
      <w:r w:rsidRPr="00FD50F6">
        <w:rPr>
          <w:rFonts w:cs="Times New Roman" w:hint="eastAsia"/>
          <w:kern w:val="0"/>
        </w:rPr>
        <w:t xml:space="preserve"> </w:t>
      </w:r>
      <w:r w:rsidRPr="001A4CF3">
        <w:rPr>
          <w:rFonts w:cs="Times New Roman"/>
          <w:i/>
          <w:kern w:val="0"/>
        </w:rPr>
        <w:t>B</w:t>
      </w:r>
      <w:r w:rsidRPr="00FD50F6">
        <w:rPr>
          <w:rFonts w:cs="Times New Roman"/>
          <w:kern w:val="0"/>
        </w:rPr>
        <w:t>为车辆或调车机车的宽度；</w:t>
      </w:r>
    </w:p>
    <w:p w14:paraId="5476B74B" w14:textId="77777777" w:rsidR="004D0484" w:rsidRPr="00FD50F6" w:rsidRDefault="004D0484" w:rsidP="008D2666">
      <w:pPr>
        <w:pStyle w:val="7"/>
        <w:ind w:leftChars="164" w:left="499" w:hangingChars="50" w:hanging="105"/>
        <w:jc w:val="left"/>
        <w:rPr>
          <w:rFonts w:cs="Times New Roman"/>
          <w:kern w:val="0"/>
        </w:rPr>
      </w:pPr>
      <w:r w:rsidRPr="00FD50F6">
        <w:rPr>
          <w:rFonts w:cs="Times New Roman"/>
          <w:kern w:val="0"/>
        </w:rPr>
        <w:t>2</w:t>
      </w:r>
      <w:r w:rsidRPr="00FD50F6">
        <w:rPr>
          <w:rFonts w:cs="Times New Roman" w:hint="eastAsia"/>
          <w:kern w:val="0"/>
        </w:rPr>
        <w:t xml:space="preserve"> </w:t>
      </w:r>
      <w:r w:rsidRPr="001A4CF3">
        <w:rPr>
          <w:rFonts w:cs="Times New Roman"/>
          <w:i/>
          <w:kern w:val="0"/>
        </w:rPr>
        <w:t>H</w:t>
      </w:r>
      <w:r w:rsidRPr="00FD50F6">
        <w:rPr>
          <w:rFonts w:cs="Times New Roman"/>
          <w:kern w:val="0"/>
        </w:rPr>
        <w:t>为车辆高度（受电弓电动车辆按受电弓落弓高度计算）或调车机车的高度</w:t>
      </w:r>
      <w:r w:rsidRPr="00FD50F6">
        <w:rPr>
          <w:rFonts w:cs="Times New Roman" w:hint="eastAsia"/>
          <w:kern w:val="0"/>
        </w:rPr>
        <w:t>，</w:t>
      </w:r>
      <w:r w:rsidRPr="00FD50F6">
        <w:rPr>
          <w:rFonts w:cs="Times New Roman"/>
          <w:kern w:val="0"/>
        </w:rPr>
        <w:t>车库</w:t>
      </w:r>
      <w:r w:rsidRPr="00FD50F6">
        <w:rPr>
          <w:rFonts w:cs="Times New Roman" w:hint="eastAsia"/>
          <w:kern w:val="0"/>
        </w:rPr>
        <w:t xml:space="preserve"> </w:t>
      </w:r>
      <w:r w:rsidRPr="00FD50F6">
        <w:rPr>
          <w:rFonts w:cs="Times New Roman"/>
          <w:kern w:val="0"/>
        </w:rPr>
        <w:t>大门净高未计入受电弓升弓进库状态下的高度；</w:t>
      </w:r>
    </w:p>
    <w:p w14:paraId="6962A604" w14:textId="77777777" w:rsidR="004D0484" w:rsidRPr="00FD50F6" w:rsidRDefault="004D0484" w:rsidP="004D0484">
      <w:pPr>
        <w:pStyle w:val="7"/>
        <w:ind w:firstLineChars="200" w:firstLine="420"/>
        <w:jc w:val="left"/>
        <w:rPr>
          <w:rFonts w:cs="Times New Roman"/>
          <w:kern w:val="0"/>
        </w:rPr>
      </w:pPr>
      <w:r w:rsidRPr="00FD50F6">
        <w:rPr>
          <w:rFonts w:cs="Times New Roman"/>
          <w:kern w:val="0"/>
        </w:rPr>
        <w:t>3</w:t>
      </w:r>
      <w:r w:rsidRPr="00FD50F6">
        <w:rPr>
          <w:rFonts w:cs="Times New Roman" w:hint="eastAsia"/>
          <w:kern w:val="0"/>
        </w:rPr>
        <w:t xml:space="preserve"> </w:t>
      </w:r>
      <w:r w:rsidRPr="00FD50F6">
        <w:rPr>
          <w:rFonts w:cs="Times New Roman" w:hint="eastAsia"/>
          <w:kern w:val="0"/>
        </w:rPr>
        <w:t>当</w:t>
      </w:r>
      <w:r w:rsidRPr="00FD50F6">
        <w:rPr>
          <w:rFonts w:cs="Times New Roman"/>
          <w:spacing w:val="-4"/>
          <w:kern w:val="0"/>
        </w:rPr>
        <w:t>调车机车库为单线库时，车体与侧墙（或柱）表面之间的距离应有一侧不小于</w:t>
      </w:r>
      <w:r w:rsidRPr="00FD50F6">
        <w:rPr>
          <w:rFonts w:cs="Times New Roman"/>
          <w:spacing w:val="-4"/>
          <w:kern w:val="0"/>
        </w:rPr>
        <w:t xml:space="preserve"> 2m</w:t>
      </w:r>
      <w:r w:rsidRPr="00FD50F6">
        <w:rPr>
          <w:rFonts w:cs="Times New Roman"/>
          <w:spacing w:val="-4"/>
          <w:kern w:val="0"/>
        </w:rPr>
        <w:t>；</w:t>
      </w:r>
    </w:p>
    <w:p w14:paraId="0887C544" w14:textId="77777777" w:rsidR="004D0484" w:rsidRPr="00FD50F6" w:rsidRDefault="004D0484" w:rsidP="004D0484">
      <w:pPr>
        <w:pStyle w:val="7"/>
        <w:ind w:firstLineChars="200" w:firstLine="420"/>
        <w:jc w:val="left"/>
        <w:rPr>
          <w:rFonts w:cs="Times New Roman"/>
          <w:kern w:val="0"/>
        </w:rPr>
      </w:pPr>
      <w:r w:rsidRPr="00FD50F6">
        <w:rPr>
          <w:rFonts w:cs="Times New Roman"/>
          <w:kern w:val="0"/>
        </w:rPr>
        <w:t>4</w:t>
      </w:r>
      <w:r w:rsidRPr="00FD50F6">
        <w:rPr>
          <w:rFonts w:cs="Times New Roman" w:hint="eastAsia"/>
          <w:kern w:val="0"/>
        </w:rPr>
        <w:t xml:space="preserve"> </w:t>
      </w:r>
      <w:r w:rsidRPr="00FD50F6">
        <w:rPr>
          <w:rFonts w:cs="Times New Roman"/>
          <w:kern w:val="0"/>
        </w:rPr>
        <w:t>静调库</w:t>
      </w:r>
      <w:r w:rsidRPr="00FD50F6">
        <w:rPr>
          <w:rFonts w:cs="Times New Roman" w:hint="eastAsia"/>
          <w:kern w:val="0"/>
        </w:rPr>
        <w:t>、清扫库</w:t>
      </w:r>
      <w:r w:rsidRPr="00FD50F6">
        <w:rPr>
          <w:rFonts w:cs="Times New Roman"/>
          <w:kern w:val="0"/>
        </w:rPr>
        <w:t>各部分尺寸</w:t>
      </w:r>
      <w:r w:rsidRPr="00FD50F6">
        <w:rPr>
          <w:rFonts w:cs="Times New Roman" w:hint="eastAsia"/>
          <w:kern w:val="0"/>
        </w:rPr>
        <w:t>可按周月检</w:t>
      </w:r>
      <w:r w:rsidRPr="00FD50F6">
        <w:rPr>
          <w:rFonts w:cs="Times New Roman"/>
          <w:kern w:val="0"/>
        </w:rPr>
        <w:t>库设计；</w:t>
      </w:r>
    </w:p>
    <w:p w14:paraId="5BA78510" w14:textId="77777777" w:rsidR="004D0484" w:rsidRPr="001A4CF3" w:rsidRDefault="004D0484" w:rsidP="004D0484">
      <w:pPr>
        <w:pStyle w:val="9"/>
        <w:ind w:firstLine="420"/>
        <w:rPr>
          <w:rFonts w:eastAsia="宋体" w:cs="Times New Roman"/>
          <w:bCs/>
          <w:kern w:val="0"/>
          <w:sz w:val="21"/>
          <w:szCs w:val="24"/>
        </w:rPr>
      </w:pPr>
      <w:r w:rsidRPr="001A4CF3">
        <w:rPr>
          <w:rFonts w:eastAsia="宋体" w:cs="Times New Roman"/>
          <w:bCs/>
          <w:kern w:val="0"/>
          <w:sz w:val="21"/>
          <w:szCs w:val="24"/>
        </w:rPr>
        <w:t xml:space="preserve">5 </w:t>
      </w:r>
      <w:r w:rsidRPr="001A4CF3">
        <w:rPr>
          <w:rFonts w:eastAsia="宋体" w:cs="Times New Roman" w:hint="eastAsia"/>
          <w:bCs/>
          <w:kern w:val="0"/>
          <w:sz w:val="21"/>
          <w:szCs w:val="24"/>
        </w:rPr>
        <w:t>表中停车库、列检库括号内尺寸适用于接触轨供电的车辆，并列数值适用于架空接触网供电的车辆。</w:t>
      </w:r>
    </w:p>
    <w:p w14:paraId="44A89BF7" w14:textId="77777777" w:rsidR="004D0484" w:rsidRPr="00FD50F6" w:rsidRDefault="004D0484" w:rsidP="004D0484">
      <w:pPr>
        <w:pStyle w:val="30"/>
      </w:pPr>
      <w:r w:rsidRPr="00FD50F6">
        <w:rPr>
          <w:rFonts w:hint="eastAsia"/>
        </w:rPr>
        <w:t>当</w:t>
      </w:r>
      <w:r w:rsidRPr="00FD50F6">
        <w:t>车辆段、停车场运用库按贯通式库型设计时，应设联系车场两端咽喉区的走行线。</w:t>
      </w:r>
    </w:p>
    <w:p w14:paraId="137434D1" w14:textId="0C88F96B" w:rsidR="004D0484" w:rsidRPr="00FD50F6" w:rsidRDefault="004D0484" w:rsidP="004D0484">
      <w:pPr>
        <w:pStyle w:val="30"/>
      </w:pPr>
      <w:r w:rsidRPr="00FD50F6">
        <w:t>车辆段、停车场应配备车辆车载通信信号设备的维修、车辆内部清扫、工具存放、备品存放和工作人员更衣休息等生产、办公、生活房屋。生产、办公、生活房屋宜设于运用库的辅跨内或邻近地点。</w:t>
      </w:r>
    </w:p>
    <w:p w14:paraId="6C1AE07C" w14:textId="7DD5273A" w:rsidR="004D0484" w:rsidRPr="00FD50F6" w:rsidRDefault="004D0484" w:rsidP="004D0484">
      <w:pPr>
        <w:pStyle w:val="30"/>
      </w:pPr>
      <w:r w:rsidRPr="00FD50F6">
        <w:t>车辆段、停车场内各房屋应根据工艺要求设动力、照明、给排水及消防等设施。</w:t>
      </w:r>
    </w:p>
    <w:p w14:paraId="5E22D57A" w14:textId="6EEC2996" w:rsidR="004D0484" w:rsidRPr="00FD50F6" w:rsidRDefault="004D0484" w:rsidP="004D0484">
      <w:pPr>
        <w:pStyle w:val="30"/>
      </w:pPr>
      <w:r w:rsidRPr="00FD50F6">
        <w:t>车辆段、停车场内列车运转调度、检修调度和防灾调度宜合并设置为调度中心（</w:t>
      </w:r>
      <w:r w:rsidRPr="00FD50F6">
        <w:t>DCC</w:t>
      </w:r>
      <w:r w:rsidRPr="00FD50F6">
        <w:t>）</w:t>
      </w:r>
      <w:r w:rsidRPr="00FD50F6">
        <w:rPr>
          <w:rFonts w:hint="eastAsia"/>
        </w:rPr>
        <w:t>，并</w:t>
      </w:r>
      <w:r w:rsidRPr="00FD50F6">
        <w:t>应设站场信号和正线行车调度作业的显示装置。</w:t>
      </w:r>
    </w:p>
    <w:p w14:paraId="7964A0D4" w14:textId="41541E61" w:rsidR="004D0484" w:rsidRPr="00FD50F6" w:rsidRDefault="004D0484" w:rsidP="004D0484">
      <w:pPr>
        <w:pStyle w:val="30"/>
      </w:pPr>
      <w:r w:rsidRPr="00FD50F6">
        <w:t>应在列检库检查坑内一侧设动力及安全照明插座。检查坑内固定照明灯具不应影响作业。</w:t>
      </w:r>
    </w:p>
    <w:p w14:paraId="247ADA5B" w14:textId="77777777" w:rsidR="004D0484" w:rsidRPr="00FD50F6" w:rsidRDefault="004D0484" w:rsidP="004D0484">
      <w:pPr>
        <w:pStyle w:val="30"/>
      </w:pPr>
      <w:r w:rsidRPr="00FD50F6">
        <w:t>车辆段、停车场内应设乘务员公寓，其规模应根据早晚运行列车乘务员人数确定。</w:t>
      </w:r>
    </w:p>
    <w:p w14:paraId="181799EC" w14:textId="77777777" w:rsidR="004D0484" w:rsidRPr="00FD50F6" w:rsidRDefault="004D0484" w:rsidP="00A65181">
      <w:pPr>
        <w:pStyle w:val="2"/>
      </w:pPr>
      <w:bookmarkStart w:id="1193" w:name="_Toc236812104"/>
      <w:bookmarkStart w:id="1194" w:name="_Toc306207282"/>
      <w:bookmarkStart w:id="1195" w:name="_Toc306207473"/>
      <w:bookmarkStart w:id="1196" w:name="_Toc320196140"/>
      <w:bookmarkStart w:id="1197" w:name="_Toc320643529"/>
      <w:bookmarkStart w:id="1198" w:name="_Toc32511921"/>
      <w:bookmarkStart w:id="1199" w:name="_Toc112830868"/>
      <w:r w:rsidRPr="00FD50F6">
        <w:t>车辆检修设</w:t>
      </w:r>
      <w:bookmarkEnd w:id="1193"/>
      <w:r w:rsidRPr="00FD50F6">
        <w:t>施</w:t>
      </w:r>
      <w:bookmarkEnd w:id="1194"/>
      <w:bookmarkEnd w:id="1195"/>
      <w:bookmarkEnd w:id="1196"/>
      <w:bookmarkEnd w:id="1197"/>
      <w:bookmarkEnd w:id="1198"/>
      <w:bookmarkEnd w:id="1199"/>
    </w:p>
    <w:p w14:paraId="5C78A370" w14:textId="77777777" w:rsidR="004D0484" w:rsidRPr="00FD50F6" w:rsidRDefault="004D0484" w:rsidP="004D0484">
      <w:pPr>
        <w:pStyle w:val="30"/>
      </w:pPr>
      <w:r w:rsidRPr="00FD50F6">
        <w:t>车辆检修设施应包括定修库、大架修库、临修库、不落轮镟库、列车</w:t>
      </w:r>
      <w:r w:rsidRPr="00FD50F6">
        <w:rPr>
          <w:rFonts w:hint="eastAsia"/>
        </w:rPr>
        <w:t>清</w:t>
      </w:r>
      <w:r w:rsidRPr="00FD50F6">
        <w:t>扫设施和辅助生产房屋，并应根据其功能和检修工艺要求设置，同时应符合下列规定：</w:t>
      </w:r>
    </w:p>
    <w:p w14:paraId="1B22DC14" w14:textId="0F7D5476" w:rsidR="004D0484" w:rsidRPr="00FD50F6" w:rsidRDefault="004D0484" w:rsidP="00A926BD">
      <w:pPr>
        <w:pStyle w:val="4"/>
      </w:pPr>
      <w:r w:rsidRPr="00FD50F6">
        <w:t>定修段应设定修库、临修库及相应线路和辅助生产房屋；</w:t>
      </w:r>
      <w:r w:rsidRPr="00FD50F6">
        <w:rPr>
          <w:rFonts w:hint="eastAsia"/>
        </w:rPr>
        <w:t>并宜根据需要设不落轮镟库。</w:t>
      </w:r>
    </w:p>
    <w:p w14:paraId="23619D52" w14:textId="3D97A94B" w:rsidR="004D0484" w:rsidRPr="00FD50F6" w:rsidRDefault="004D0484" w:rsidP="00A926BD">
      <w:pPr>
        <w:pStyle w:val="4"/>
      </w:pPr>
      <w:r w:rsidRPr="00FD50F6">
        <w:t>大架修段除应设置定修段各种生产房屋外，尚应设大架修架落车库、检修库、静调库和转向架、电机、电器、钩缓、受电弓、空调、制动及蓄电池等部件检修分间，并</w:t>
      </w:r>
      <w:r w:rsidRPr="00FD50F6">
        <w:rPr>
          <w:rFonts w:hint="eastAsia"/>
        </w:rPr>
        <w:t>宜</w:t>
      </w:r>
      <w:r w:rsidRPr="00FD50F6">
        <w:t>根据需要设油漆库。</w:t>
      </w:r>
    </w:p>
    <w:p w14:paraId="72DD1326" w14:textId="77777777" w:rsidR="004D0484" w:rsidRPr="00FD50F6" w:rsidRDefault="004D0484" w:rsidP="004D0484">
      <w:pPr>
        <w:pStyle w:val="30"/>
      </w:pPr>
      <w:r w:rsidRPr="00FD50F6">
        <w:lastRenderedPageBreak/>
        <w:t>车辆段的定修库、大架修库和临修库不应设置接触网或接触轨供电。</w:t>
      </w:r>
    </w:p>
    <w:p w14:paraId="26349A22" w14:textId="715266D1" w:rsidR="004D0484" w:rsidRPr="00FD50F6" w:rsidRDefault="004D0484" w:rsidP="004D0484">
      <w:pPr>
        <w:pStyle w:val="30"/>
      </w:pPr>
      <w:r w:rsidRPr="00FD50F6">
        <w:t>定修库规模应根据定修工作量和检修时间计算确定</w:t>
      </w:r>
      <w:r w:rsidRPr="00FD50F6">
        <w:rPr>
          <w:rFonts w:hint="eastAsia"/>
        </w:rPr>
        <w:t>，并</w:t>
      </w:r>
      <w:r w:rsidRPr="00FD50F6">
        <w:t>应符合下列规定：</w:t>
      </w:r>
    </w:p>
    <w:p w14:paraId="4B09D19C" w14:textId="013F51BF" w:rsidR="004D0484" w:rsidRPr="00FD50F6" w:rsidRDefault="004D0484" w:rsidP="00A926BD">
      <w:pPr>
        <w:pStyle w:val="4"/>
      </w:pPr>
      <w:r w:rsidRPr="00FD50F6">
        <w:t>车辆定修宜采用定位作业，列位的长度可按单元车解钩的作业设计</w:t>
      </w:r>
      <w:r w:rsidRPr="00FD50F6">
        <w:rPr>
          <w:rFonts w:hint="eastAsia"/>
        </w:rPr>
        <w:t>。</w:t>
      </w:r>
    </w:p>
    <w:p w14:paraId="52BB1D8B" w14:textId="4361D8A6" w:rsidR="004D0484" w:rsidRPr="00FD50F6" w:rsidRDefault="004D0484" w:rsidP="00A926BD">
      <w:pPr>
        <w:pStyle w:val="4"/>
      </w:pPr>
      <w:r w:rsidRPr="00FD50F6">
        <w:t>定修列位宜设通长柱式检查坑，股道内侧坑深宜为</w:t>
      </w:r>
      <w:r w:rsidRPr="00FD50F6">
        <w:t>1.3m</w:t>
      </w:r>
      <w:r w:rsidRPr="00FD50F6">
        <w:t>～</w:t>
      </w:r>
      <w:r w:rsidRPr="00FD50F6">
        <w:t>1.5m</w:t>
      </w:r>
      <w:r w:rsidRPr="00FD50F6">
        <w:t>，坑内应有照明和排水设施。股道外侧检查坑宽宜按车辆宽度加</w:t>
      </w:r>
      <w:r w:rsidRPr="00FD50F6">
        <w:t>1.0m</w:t>
      </w:r>
      <w:r w:rsidRPr="00FD50F6">
        <w:t>设计，坑深宜为</w:t>
      </w:r>
      <w:r w:rsidRPr="00FD50F6">
        <w:t>0.8m</w:t>
      </w:r>
      <w:r w:rsidRPr="00FD50F6">
        <w:t>～</w:t>
      </w:r>
      <w:r w:rsidRPr="00FD50F6">
        <w:t>1.0m</w:t>
      </w:r>
      <w:r w:rsidRPr="00FD50F6">
        <w:rPr>
          <w:rFonts w:hint="eastAsia"/>
        </w:rPr>
        <w:t>。</w:t>
      </w:r>
    </w:p>
    <w:p w14:paraId="6F694F76" w14:textId="7B019FF1" w:rsidR="004D0484" w:rsidRPr="00FD50F6" w:rsidRDefault="004D0484" w:rsidP="00A926BD">
      <w:pPr>
        <w:pStyle w:val="4"/>
      </w:pPr>
      <w:r w:rsidRPr="00FD50F6">
        <w:t>定修库宽度应符合本</w:t>
      </w:r>
      <w:r w:rsidRPr="00FD50F6">
        <w:rPr>
          <w:rFonts w:hint="eastAsia"/>
        </w:rPr>
        <w:t>标准</w:t>
      </w:r>
      <w:r w:rsidRPr="00FD50F6">
        <w:t>表</w:t>
      </w:r>
      <w:r w:rsidR="00232AC3" w:rsidRPr="00FD50F6">
        <w:t>29</w:t>
      </w:r>
      <w:r w:rsidRPr="00FD50F6">
        <w:t>.3.15</w:t>
      </w:r>
      <w:r w:rsidRPr="00FD50F6">
        <w:t>的规定；</w:t>
      </w:r>
    </w:p>
    <w:p w14:paraId="361A4646" w14:textId="77777777" w:rsidR="004D0484" w:rsidRPr="00FD50F6" w:rsidRDefault="004D0484" w:rsidP="00A926BD">
      <w:pPr>
        <w:pStyle w:val="4"/>
      </w:pPr>
      <w:r w:rsidRPr="00FD50F6">
        <w:t>定修库长度不应小于下式的计算值：</w:t>
      </w:r>
    </w:p>
    <w:p w14:paraId="2906AE31" w14:textId="7C994E84" w:rsidR="004D0484" w:rsidRPr="00FD50F6" w:rsidRDefault="004D0484" w:rsidP="004D0484">
      <w:pPr>
        <w:adjustRightInd w:val="0"/>
        <w:snapToGrid w:val="0"/>
        <w:ind w:firstLineChars="700" w:firstLine="1680"/>
        <w:jc w:val="center"/>
        <w:rPr>
          <w:rFonts w:ascii="Times New Roman" w:hAnsi="Times New Roman" w:cs="Times New Roman"/>
          <w:kern w:val="0"/>
          <w:szCs w:val="24"/>
          <w:lang w:val="x-none" w:eastAsia="x-none"/>
        </w:rPr>
      </w:pP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dk</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d</w:t>
      </w:r>
      <w:r w:rsidRPr="00FD50F6">
        <w:rPr>
          <w:rFonts w:ascii="Times New Roman" w:hAnsi="Times New Roman" w:cs="Times New Roman"/>
          <w:kern w:val="0"/>
          <w:szCs w:val="24"/>
          <w:lang w:val="x-none" w:eastAsia="x-none"/>
        </w:rPr>
        <w:t>×</w:t>
      </w:r>
      <w:r w:rsidR="005144A3" w:rsidRPr="003F4DAE">
        <w:rPr>
          <w:i/>
        </w:rPr>
        <w:t>D</w:t>
      </w:r>
      <w:r w:rsidR="005144A3" w:rsidRPr="008D2666">
        <w:rPr>
          <w:rFonts w:ascii="Times New Roman" w:hAnsi="Times New Roman" w:cs="Times New Roman"/>
          <w:iCs/>
          <w:kern w:val="0"/>
          <w:szCs w:val="24"/>
          <w:vertAlign w:val="subscript"/>
          <w:lang w:val="x-none" w:eastAsia="x-none"/>
        </w:rPr>
        <w:t>6</w:t>
      </w:r>
      <w:r w:rsidR="005144A3" w:rsidRPr="00FD50F6">
        <w:rPr>
          <w:rFonts w:ascii="Times New Roman" w:hAnsi="Times New Roman" w:cs="Times New Roman"/>
          <w:kern w:val="0"/>
          <w:szCs w:val="24"/>
          <w:lang w:val="x-none" w:eastAsia="x-none"/>
        </w:rPr>
        <w:t>+</w:t>
      </w:r>
      <w:r w:rsidR="005144A3" w:rsidRPr="0080140B">
        <w:rPr>
          <w:i/>
        </w:rPr>
        <w:t xml:space="preserve"> </w:t>
      </w:r>
      <w:r w:rsidR="005144A3" w:rsidRPr="003F4DAE">
        <w:rPr>
          <w:i/>
        </w:rPr>
        <w:t>D</w:t>
      </w:r>
      <w:r w:rsidR="005144A3" w:rsidRPr="008D2666">
        <w:rPr>
          <w:rFonts w:ascii="Times New Roman" w:hAnsi="Times New Roman" w:cs="Times New Roman"/>
          <w:iCs/>
          <w:kern w:val="0"/>
          <w:szCs w:val="24"/>
          <w:vertAlign w:val="subscript"/>
          <w:lang w:val="x-none" w:eastAsia="x-none"/>
        </w:rPr>
        <w:t>7</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.4.3</w:t>
      </w:r>
      <w:r w:rsidRPr="00FD50F6">
        <w:rPr>
          <w:rFonts w:ascii="Times New Roman" w:hAnsi="Times New Roman" w:cs="Times New Roman"/>
          <w:kern w:val="0"/>
          <w:szCs w:val="24"/>
          <w:lang w:val="x-none" w:eastAsia="x-none"/>
        </w:rPr>
        <w:t>）</w:t>
      </w:r>
    </w:p>
    <w:p w14:paraId="00556193" w14:textId="77777777" w:rsidR="004D0484" w:rsidRPr="00FD50F6" w:rsidRDefault="004D0484" w:rsidP="004D0484">
      <w:pPr>
        <w:pStyle w:val="8"/>
        <w:ind w:firstLine="480"/>
      </w:pPr>
      <w:r w:rsidRPr="00FD50F6">
        <w:t>式中：</w:t>
      </w:r>
      <w:r w:rsidRPr="001A4CF3">
        <w:rPr>
          <w:i/>
        </w:rPr>
        <w:t>L</w:t>
      </w:r>
      <w:r w:rsidRPr="008D2666">
        <w:rPr>
          <w:iCs/>
          <w:vertAlign w:val="subscript"/>
        </w:rPr>
        <w:t>dk</w:t>
      </w:r>
      <w:r w:rsidRPr="00FD50F6">
        <w:t>——</w:t>
      </w:r>
      <w:r w:rsidRPr="00FD50F6">
        <w:t>定修库计算长度（</w:t>
      </w:r>
      <w:r w:rsidRPr="00FD50F6">
        <w:t>m</w:t>
      </w:r>
      <w:r w:rsidRPr="00FD50F6">
        <w:t>）；</w:t>
      </w:r>
    </w:p>
    <w:p w14:paraId="668CFAB9" w14:textId="77777777" w:rsidR="004D0484" w:rsidRPr="00FD50F6" w:rsidRDefault="004D0484" w:rsidP="004D0484">
      <w:pPr>
        <w:pStyle w:val="8"/>
        <w:ind w:firstLineChars="500" w:firstLine="1200"/>
      </w:pPr>
      <w:r w:rsidRPr="001A4CF3">
        <w:rPr>
          <w:i/>
        </w:rPr>
        <w:t>N</w:t>
      </w:r>
      <w:r w:rsidRPr="008D2666">
        <w:rPr>
          <w:iCs/>
          <w:vertAlign w:val="subscript"/>
        </w:rPr>
        <w:t>d</w:t>
      </w:r>
      <w:r w:rsidRPr="00FD50F6">
        <w:t xml:space="preserve"> ——</w:t>
      </w:r>
      <w:r w:rsidRPr="00FD50F6">
        <w:t>列车单元数；</w:t>
      </w:r>
    </w:p>
    <w:p w14:paraId="319FDC84" w14:textId="20660BE0" w:rsidR="005144A3" w:rsidRPr="00FD50F6" w:rsidRDefault="005144A3" w:rsidP="005144A3">
      <w:pPr>
        <w:pStyle w:val="8"/>
        <w:ind w:firstLineChars="500" w:firstLine="1200"/>
      </w:pPr>
      <w:r w:rsidRPr="003F4DAE">
        <w:rPr>
          <w:i/>
        </w:rPr>
        <w:t>D</w:t>
      </w:r>
      <w:r>
        <w:rPr>
          <w:vertAlign w:val="subscript"/>
        </w:rPr>
        <w:t>6</w:t>
      </w:r>
      <w:r w:rsidRPr="00FD50F6">
        <w:t xml:space="preserve">  ——</w:t>
      </w:r>
      <w:r w:rsidRPr="00FD50F6">
        <w:t>列车单元解钩后车钩检修作业所需距离（</w:t>
      </w:r>
      <w:r w:rsidRPr="00FD50F6">
        <w:t>m</w:t>
      </w:r>
      <w:r w:rsidRPr="00FD50F6">
        <w:t>）</w:t>
      </w:r>
      <w:r>
        <w:rPr>
          <w:rFonts w:hint="eastAsia"/>
        </w:rPr>
        <w:t>，</w:t>
      </w:r>
      <w:r>
        <w:t>取</w:t>
      </w:r>
      <w:r>
        <w:rPr>
          <w:rFonts w:hint="eastAsia"/>
        </w:rPr>
        <w:t>1</w:t>
      </w:r>
      <w:r>
        <w:t>m</w:t>
      </w:r>
      <w:r w:rsidRPr="00FD50F6">
        <w:t>；</w:t>
      </w:r>
    </w:p>
    <w:p w14:paraId="21D70FC5" w14:textId="05E255D6" w:rsidR="004D0484" w:rsidRPr="00FD50F6" w:rsidRDefault="005144A3" w:rsidP="005144A3">
      <w:pPr>
        <w:pStyle w:val="8"/>
        <w:ind w:firstLineChars="500" w:firstLine="1200"/>
      </w:pPr>
      <w:r w:rsidRPr="003F4DAE">
        <w:rPr>
          <w:i/>
        </w:rPr>
        <w:t>D</w:t>
      </w:r>
      <w:r>
        <w:rPr>
          <w:vertAlign w:val="subscript"/>
        </w:rPr>
        <w:t>7</w:t>
      </w:r>
      <w:r w:rsidRPr="00FD50F6">
        <w:t xml:space="preserve"> ——</w:t>
      </w:r>
      <w:r w:rsidRPr="00FD50F6">
        <w:t>定修库设计附加长度（</w:t>
      </w:r>
      <w:r w:rsidRPr="00FD50F6">
        <w:t>m</w:t>
      </w:r>
      <w:r w:rsidRPr="00FD50F6">
        <w:t>）</w:t>
      </w:r>
      <w:r>
        <w:rPr>
          <w:rFonts w:hint="eastAsia"/>
        </w:rPr>
        <w:t>，</w:t>
      </w:r>
      <w:r>
        <w:t>取</w:t>
      </w:r>
      <w:r>
        <w:rPr>
          <w:rFonts w:hint="eastAsia"/>
        </w:rPr>
        <w:t>1</w:t>
      </w:r>
      <w:r>
        <w:t>6m</w:t>
      </w:r>
      <w:r w:rsidR="004D0484" w:rsidRPr="00FD50F6">
        <w:t>。</w:t>
      </w:r>
    </w:p>
    <w:p w14:paraId="5284A9DE" w14:textId="14EB0448" w:rsidR="004D0484" w:rsidRPr="00FD50F6" w:rsidRDefault="004D0484" w:rsidP="004D0484">
      <w:pPr>
        <w:pStyle w:val="30"/>
      </w:pPr>
      <w:r w:rsidRPr="00FD50F6">
        <w:t>临修库应设</w:t>
      </w:r>
      <w:r w:rsidRPr="00FD50F6">
        <w:rPr>
          <w:rFonts w:hint="eastAsia"/>
        </w:rPr>
        <w:t>车辆</w:t>
      </w:r>
      <w:r w:rsidRPr="00FD50F6">
        <w:t>架车设备</w:t>
      </w:r>
      <w:r w:rsidRPr="00FD50F6">
        <w:rPr>
          <w:rFonts w:hint="eastAsia"/>
        </w:rPr>
        <w:t>，</w:t>
      </w:r>
      <w:r w:rsidRPr="00FD50F6">
        <w:t>可采用移动式架车机或固定式架车机</w:t>
      </w:r>
      <w:r w:rsidRPr="00FD50F6">
        <w:rPr>
          <w:rFonts w:hint="eastAsia"/>
        </w:rPr>
        <w:t>。</w:t>
      </w:r>
      <w:r w:rsidRPr="00FD50F6">
        <w:t>临修库设计应符合下列规定：</w:t>
      </w:r>
    </w:p>
    <w:p w14:paraId="4675976B" w14:textId="171003EB" w:rsidR="004D0484" w:rsidRPr="00FD50F6" w:rsidRDefault="004D0484" w:rsidP="00A926BD">
      <w:pPr>
        <w:pStyle w:val="4"/>
      </w:pPr>
      <w:r w:rsidRPr="00FD50F6">
        <w:rPr>
          <w:rFonts w:hint="eastAsia"/>
        </w:rPr>
        <w:t>采用</w:t>
      </w:r>
      <w:r w:rsidRPr="00FD50F6">
        <w:t>移动式架车机的临修列位应设检查坑，坑深宜为</w:t>
      </w:r>
      <w:r w:rsidRPr="00FD50F6">
        <w:t>1.3m</w:t>
      </w:r>
      <w:r w:rsidRPr="00FD50F6">
        <w:t>～</w:t>
      </w:r>
      <w:r w:rsidRPr="00FD50F6">
        <w:t>1.5m</w:t>
      </w:r>
      <w:r w:rsidRPr="00FD50F6">
        <w:t>，坑内应有照明和排水设施</w:t>
      </w:r>
      <w:r w:rsidRPr="00FD50F6">
        <w:rPr>
          <w:rFonts w:hint="eastAsia"/>
        </w:rPr>
        <w:t>。</w:t>
      </w:r>
    </w:p>
    <w:p w14:paraId="283EC1AF" w14:textId="5C7305F7" w:rsidR="004D0484" w:rsidRPr="00FD50F6" w:rsidRDefault="004D0484" w:rsidP="00A926BD">
      <w:pPr>
        <w:pStyle w:val="4"/>
      </w:pPr>
      <w:r w:rsidRPr="00FD50F6">
        <w:rPr>
          <w:rFonts w:hint="eastAsia"/>
        </w:rPr>
        <w:t>采用</w:t>
      </w:r>
      <w:r w:rsidRPr="00FD50F6">
        <w:t>移动式架车机的</w:t>
      </w:r>
      <w:r w:rsidRPr="00FD50F6">
        <w:rPr>
          <w:rFonts w:hint="eastAsia"/>
        </w:rPr>
        <w:t>临修</w:t>
      </w:r>
      <w:r w:rsidRPr="00FD50F6">
        <w:t>股道两侧应根据架车作业的需要设置块状或条状架车基础</w:t>
      </w:r>
      <w:r w:rsidRPr="00FD50F6">
        <w:rPr>
          <w:rFonts w:hint="eastAsia"/>
        </w:rPr>
        <w:t>。</w:t>
      </w:r>
    </w:p>
    <w:p w14:paraId="0A9919F0" w14:textId="51A666C1" w:rsidR="004D0484" w:rsidRPr="00FD50F6" w:rsidRDefault="004D0484" w:rsidP="00A926BD">
      <w:pPr>
        <w:pStyle w:val="4"/>
      </w:pPr>
      <w:r w:rsidRPr="00FD50F6">
        <w:t>临修库宽度应符合本</w:t>
      </w:r>
      <w:r w:rsidRPr="00FD50F6">
        <w:rPr>
          <w:rFonts w:hint="eastAsia"/>
        </w:rPr>
        <w:t>标准</w:t>
      </w:r>
      <w:r w:rsidRPr="00FD50F6">
        <w:t>表</w:t>
      </w:r>
      <w:r w:rsidR="00232AC3" w:rsidRPr="00FD50F6">
        <w:t>29</w:t>
      </w:r>
      <w:r w:rsidRPr="00FD50F6">
        <w:t>.3.15</w:t>
      </w:r>
      <w:r w:rsidRPr="00FD50F6">
        <w:t>的规定</w:t>
      </w:r>
      <w:r w:rsidRPr="00FD50F6">
        <w:rPr>
          <w:rFonts w:hint="eastAsia"/>
        </w:rPr>
        <w:t>。</w:t>
      </w:r>
    </w:p>
    <w:p w14:paraId="2E84CAFB" w14:textId="77777777" w:rsidR="004D0484" w:rsidRPr="00FD50F6" w:rsidRDefault="004D0484" w:rsidP="00A926BD">
      <w:pPr>
        <w:pStyle w:val="4"/>
      </w:pPr>
      <w:r w:rsidRPr="00FD50F6">
        <w:rPr>
          <w:rFonts w:hint="eastAsia"/>
        </w:rPr>
        <w:t>采用</w:t>
      </w:r>
      <w:r w:rsidRPr="00FD50F6">
        <w:t>移动式架车机的临修库长度不应小于下式的计算值：</w:t>
      </w:r>
    </w:p>
    <w:p w14:paraId="376BBAE7" w14:textId="37257083" w:rsidR="004D0484" w:rsidRPr="00FD50F6" w:rsidRDefault="004D0484" w:rsidP="004D0484">
      <w:pPr>
        <w:adjustRightInd w:val="0"/>
        <w:snapToGrid w:val="0"/>
        <w:ind w:firstLineChars="1300" w:firstLine="312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 xml:space="preserve">lk </w:t>
      </w:r>
      <w:r w:rsidRPr="00FD50F6">
        <w:rPr>
          <w:rFonts w:ascii="Times New Roman" w:hAnsi="Times New Roman" w:cs="Times New Roman"/>
          <w:kern w:val="0"/>
          <w:szCs w:val="24"/>
          <w:lang w:val="x-none" w:eastAsia="x-none"/>
        </w:rPr>
        <w:t>=</w:t>
      </w:r>
      <w:r w:rsidRPr="001A4CF3">
        <w:rPr>
          <w:rFonts w:ascii="Times New Roman" w:hAnsi="Times New Roman" w:cs="Times New Roman"/>
          <w:i/>
          <w:kern w:val="0"/>
          <w:szCs w:val="24"/>
          <w:lang w:val="x-none" w:eastAsia="x-none"/>
        </w:rPr>
        <w:t>L</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z</w:t>
      </w:r>
      <w:r w:rsidRPr="00FD50F6">
        <w:rPr>
          <w:rFonts w:ascii="Times New Roman" w:hAnsi="Times New Roman" w:cs="Times New Roman"/>
          <w:kern w:val="0"/>
          <w:szCs w:val="24"/>
          <w:lang w:val="x-none" w:eastAsia="x-none"/>
        </w:rPr>
        <w:t xml:space="preserve"> +</w:t>
      </w:r>
      <w:r w:rsidR="005144A3" w:rsidRPr="00AC0BFB">
        <w:rPr>
          <w:i/>
        </w:rPr>
        <w:t xml:space="preserve"> </w:t>
      </w:r>
      <w:r w:rsidR="005144A3" w:rsidRPr="003F4DAE">
        <w:rPr>
          <w:i/>
        </w:rPr>
        <w:t>D</w:t>
      </w:r>
      <w:r w:rsidR="005144A3">
        <w:rPr>
          <w:rFonts w:ascii="Times New Roman" w:hAnsi="Times New Roman" w:cs="Times New Roman"/>
          <w:iCs/>
          <w:kern w:val="0"/>
          <w:szCs w:val="24"/>
          <w:vertAlign w:val="subscript"/>
          <w:lang w:val="x-none" w:eastAsia="x-none"/>
        </w:rPr>
        <w:t>8</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.4.4</w:t>
      </w:r>
      <w:r w:rsidRPr="00FD50F6">
        <w:rPr>
          <w:rFonts w:ascii="Times New Roman" w:hAnsi="Times New Roman" w:cs="Times New Roman"/>
          <w:kern w:val="0"/>
          <w:szCs w:val="24"/>
          <w:lang w:val="x-none" w:eastAsia="x-none"/>
        </w:rPr>
        <w:t>）</w:t>
      </w:r>
    </w:p>
    <w:p w14:paraId="3AEE00D7" w14:textId="77777777" w:rsidR="004D0484" w:rsidRPr="00FD50F6" w:rsidRDefault="004D0484" w:rsidP="004D0484">
      <w:pPr>
        <w:pStyle w:val="8"/>
        <w:ind w:firstLine="480"/>
      </w:pPr>
      <w:r w:rsidRPr="00FD50F6">
        <w:t>式中：</w:t>
      </w:r>
      <w:r w:rsidRPr="001A4CF3">
        <w:rPr>
          <w:i/>
        </w:rPr>
        <w:t>L</w:t>
      </w:r>
      <w:r w:rsidRPr="008D2666">
        <w:rPr>
          <w:iCs/>
          <w:vertAlign w:val="subscript"/>
        </w:rPr>
        <w:t>lk</w:t>
      </w:r>
      <w:r w:rsidRPr="00FD50F6">
        <w:t>——</w:t>
      </w:r>
      <w:r w:rsidRPr="00FD50F6">
        <w:t>临修库计算长度（</w:t>
      </w:r>
      <w:r w:rsidRPr="00FD50F6">
        <w:t>m</w:t>
      </w:r>
      <w:r w:rsidRPr="00FD50F6">
        <w:t>）；</w:t>
      </w:r>
    </w:p>
    <w:p w14:paraId="57A31889" w14:textId="77777777" w:rsidR="004D0484" w:rsidRPr="00FD50F6" w:rsidRDefault="004D0484" w:rsidP="004D0484">
      <w:pPr>
        <w:pStyle w:val="8"/>
        <w:ind w:firstLineChars="500" w:firstLine="1200"/>
      </w:pPr>
      <w:r w:rsidRPr="001A4CF3">
        <w:rPr>
          <w:i/>
        </w:rPr>
        <w:t>L</w:t>
      </w:r>
      <w:r w:rsidRPr="008D2666">
        <w:rPr>
          <w:iCs/>
          <w:vertAlign w:val="subscript"/>
        </w:rPr>
        <w:t>z</w:t>
      </w:r>
      <w:r w:rsidRPr="00FD50F6">
        <w:t xml:space="preserve"> ——</w:t>
      </w:r>
      <w:r w:rsidRPr="00FD50F6">
        <w:t>转向架长度（</w:t>
      </w:r>
      <w:r w:rsidRPr="00FD50F6">
        <w:t>m</w:t>
      </w:r>
      <w:r w:rsidRPr="00FD50F6">
        <w:t>）；</w:t>
      </w:r>
    </w:p>
    <w:p w14:paraId="26F13735" w14:textId="325A1840" w:rsidR="004D0484" w:rsidRPr="00FD50F6" w:rsidRDefault="005144A3" w:rsidP="004D0484">
      <w:pPr>
        <w:pStyle w:val="8"/>
        <w:ind w:firstLineChars="500" w:firstLine="1200"/>
      </w:pPr>
      <w:r w:rsidRPr="003F4DAE">
        <w:rPr>
          <w:i/>
        </w:rPr>
        <w:t>D</w:t>
      </w:r>
      <w:r>
        <w:rPr>
          <w:rFonts w:cs="Times New Roman"/>
          <w:iCs/>
          <w:kern w:val="0"/>
          <w:vertAlign w:val="subscript"/>
          <w:lang w:val="x-none" w:eastAsia="x-none"/>
        </w:rPr>
        <w:t>8</w:t>
      </w:r>
      <w:r w:rsidRPr="00FD50F6">
        <w:t>——</w:t>
      </w:r>
      <w:r w:rsidRPr="00FD50F6">
        <w:t>临修库设计附加长度（</w:t>
      </w:r>
      <w:r w:rsidRPr="00FD50F6">
        <w:t>m</w:t>
      </w:r>
      <w:r w:rsidRPr="00FD50F6">
        <w:t>）</w:t>
      </w:r>
      <w:r>
        <w:rPr>
          <w:rFonts w:hint="eastAsia"/>
        </w:rPr>
        <w:t>，</w:t>
      </w:r>
      <w:r>
        <w:t>取</w:t>
      </w:r>
      <w:r>
        <w:rPr>
          <w:rFonts w:hint="eastAsia"/>
        </w:rPr>
        <w:t>2</w:t>
      </w:r>
      <w:r>
        <w:t>0m</w:t>
      </w:r>
      <w:r w:rsidR="004D0484" w:rsidRPr="00FD50F6">
        <w:t>。</w:t>
      </w:r>
    </w:p>
    <w:p w14:paraId="0EDFB443" w14:textId="77777777" w:rsidR="004D0484" w:rsidRPr="00FD50F6" w:rsidRDefault="004D0484" w:rsidP="00A926BD">
      <w:pPr>
        <w:pStyle w:val="4"/>
      </w:pPr>
      <w:r w:rsidRPr="00FD50F6">
        <w:t>采用固定式架车机的临修库长度应满足工艺流程和检修作业的要求。</w:t>
      </w:r>
    </w:p>
    <w:p w14:paraId="3713372C" w14:textId="77777777" w:rsidR="004D0484" w:rsidRPr="00FD50F6" w:rsidRDefault="004D0484" w:rsidP="004D0484">
      <w:pPr>
        <w:pStyle w:val="30"/>
      </w:pPr>
      <w:r w:rsidRPr="00FD50F6">
        <w:t>静调库设计应符合下列规定：</w:t>
      </w:r>
    </w:p>
    <w:p w14:paraId="77385BBD" w14:textId="435464DA" w:rsidR="004D0484" w:rsidRPr="00FD50F6" w:rsidRDefault="004D0484" w:rsidP="00A926BD">
      <w:pPr>
        <w:pStyle w:val="4"/>
      </w:pPr>
      <w:r w:rsidRPr="00FD50F6">
        <w:t>静调库应设调试用的外接电源设备</w:t>
      </w:r>
      <w:r w:rsidRPr="00FD50F6">
        <w:rPr>
          <w:rFonts w:hint="eastAsia"/>
        </w:rPr>
        <w:t>。</w:t>
      </w:r>
    </w:p>
    <w:p w14:paraId="482449CF" w14:textId="17ADE1A7" w:rsidR="004D0484" w:rsidRPr="00FD50F6" w:rsidRDefault="004D0484" w:rsidP="00A926BD">
      <w:pPr>
        <w:pStyle w:val="4"/>
      </w:pPr>
      <w:r w:rsidRPr="00FD50F6">
        <w:t>采用接触网供电系统的静调线应设接触网供电，库前应设隔离开关</w:t>
      </w:r>
      <w:r w:rsidRPr="00FD50F6">
        <w:rPr>
          <w:rFonts w:hint="eastAsia"/>
        </w:rPr>
        <w:t>。</w:t>
      </w:r>
    </w:p>
    <w:p w14:paraId="3330769F" w14:textId="04B69113" w:rsidR="004D0484" w:rsidRPr="00FD50F6" w:rsidRDefault="004D0484" w:rsidP="00A926BD">
      <w:pPr>
        <w:pStyle w:val="4"/>
      </w:pPr>
      <w:r w:rsidRPr="00FD50F6">
        <w:t>静调库应设局部单侧车顶作业平台及安全防护设施</w:t>
      </w:r>
      <w:r w:rsidRPr="00FD50F6">
        <w:rPr>
          <w:rFonts w:hint="eastAsia"/>
        </w:rPr>
        <w:t>。</w:t>
      </w:r>
    </w:p>
    <w:p w14:paraId="6543853B" w14:textId="6AE82B5D" w:rsidR="004D0484" w:rsidRPr="00FD50F6" w:rsidRDefault="004D0484" w:rsidP="00A926BD">
      <w:pPr>
        <w:pStyle w:val="4"/>
      </w:pPr>
      <w:r w:rsidRPr="00FD50F6">
        <w:lastRenderedPageBreak/>
        <w:t>宜在静调线上设车辆轮廓检测装置。线路应为零轨</w:t>
      </w:r>
      <w:r w:rsidRPr="00FD50F6">
        <w:rPr>
          <w:rFonts w:hint="eastAsia"/>
        </w:rPr>
        <w:t>。</w:t>
      </w:r>
    </w:p>
    <w:p w14:paraId="6A5B0F9C" w14:textId="2203C082" w:rsidR="004D0484" w:rsidRPr="00FD50F6" w:rsidRDefault="004D0484" w:rsidP="00A926BD">
      <w:pPr>
        <w:pStyle w:val="4"/>
      </w:pPr>
      <w:r w:rsidRPr="00FD50F6">
        <w:rPr>
          <w:rFonts w:hint="eastAsia"/>
        </w:rPr>
        <w:t>静调库宽度</w:t>
      </w:r>
      <w:r w:rsidRPr="00FD50F6">
        <w:t>应符合本</w:t>
      </w:r>
      <w:r w:rsidRPr="00FD50F6">
        <w:rPr>
          <w:rFonts w:hint="eastAsia"/>
        </w:rPr>
        <w:t>标准</w:t>
      </w:r>
      <w:r w:rsidRPr="00FD50F6">
        <w:t>表</w:t>
      </w:r>
      <w:r w:rsidR="00232AC3" w:rsidRPr="00FD50F6">
        <w:t>29</w:t>
      </w:r>
      <w:r w:rsidRPr="00FD50F6">
        <w:t>.3.15</w:t>
      </w:r>
      <w:r w:rsidRPr="00FD50F6">
        <w:t>的规定</w:t>
      </w:r>
      <w:r w:rsidRPr="00FD50F6">
        <w:rPr>
          <w:rFonts w:hint="eastAsia"/>
        </w:rPr>
        <w:t>。</w:t>
      </w:r>
    </w:p>
    <w:p w14:paraId="4272B215" w14:textId="04FCED35" w:rsidR="004D0484" w:rsidRPr="00FD50F6" w:rsidRDefault="004D0484" w:rsidP="00A926BD">
      <w:pPr>
        <w:pStyle w:val="4"/>
      </w:pPr>
      <w:r w:rsidRPr="00FD50F6">
        <w:rPr>
          <w:rFonts w:hint="eastAsia"/>
        </w:rPr>
        <w:t>车库的长度不应小于下式的计算值：</w:t>
      </w:r>
    </w:p>
    <w:p w14:paraId="4526A45F" w14:textId="2B6DE0DD" w:rsidR="004D0484" w:rsidRPr="00FD50F6" w:rsidRDefault="004D0484" w:rsidP="004D0484">
      <w:pPr>
        <w:adjustRightInd w:val="0"/>
        <w:snapToGrid w:val="0"/>
        <w:spacing w:beforeLines="30" w:before="72" w:afterLines="30" w:after="72" w:line="324" w:lineRule="auto"/>
        <w:ind w:right="420" w:firstLineChars="200" w:firstLine="480"/>
        <w:jc w:val="center"/>
        <w:rPr>
          <w:rFonts w:ascii="Times New Roman" w:hAnsi="Times New Roman" w:cs="Times New Roman"/>
          <w:sz w:val="21"/>
          <w:szCs w:val="18"/>
        </w:rPr>
      </w:pPr>
      <w:r w:rsidRPr="001A4CF3">
        <w:rPr>
          <w:rFonts w:ascii="Times New Roman" w:hAnsi="Times New Roman" w:cs="Times New Roman"/>
          <w:i/>
          <w:kern w:val="0"/>
          <w:szCs w:val="24"/>
        </w:rPr>
        <w:t>L</w:t>
      </w:r>
      <w:r w:rsidRPr="008D2666">
        <w:rPr>
          <w:rFonts w:ascii="Times New Roman" w:hAnsi="Times New Roman" w:cs="Times New Roman"/>
          <w:iCs/>
          <w:kern w:val="0"/>
          <w:szCs w:val="24"/>
          <w:vertAlign w:val="subscript"/>
        </w:rPr>
        <w:t>jt</w:t>
      </w:r>
      <w:r w:rsidRPr="00FD50F6">
        <w:rPr>
          <w:rFonts w:ascii="Times New Roman" w:hAnsi="Times New Roman" w:cs="Times New Roman"/>
          <w:kern w:val="0"/>
          <w:szCs w:val="24"/>
        </w:rPr>
        <w:t>=</w:t>
      </w:r>
      <w:r w:rsidRPr="001A4CF3">
        <w:rPr>
          <w:rFonts w:ascii="Times New Roman" w:hAnsi="Times New Roman" w:cs="Times New Roman"/>
          <w:i/>
          <w:kern w:val="0"/>
          <w:szCs w:val="24"/>
        </w:rPr>
        <w:t>L</w:t>
      </w:r>
      <w:r w:rsidRPr="00FD50F6">
        <w:rPr>
          <w:rFonts w:ascii="Times New Roman" w:hAnsi="Times New Roman" w:cs="Times New Roman"/>
          <w:kern w:val="0"/>
          <w:szCs w:val="24"/>
        </w:rPr>
        <w:t>+</w:t>
      </w:r>
      <w:r w:rsidRPr="00FD50F6">
        <w:rPr>
          <w:rFonts w:ascii="Times New Roman" w:hAnsi="Times New Roman" w:cs="Times New Roman"/>
          <w:szCs w:val="24"/>
        </w:rPr>
        <w:t>(</w:t>
      </w:r>
      <w:r w:rsidRPr="001A4CF3">
        <w:rPr>
          <w:rFonts w:ascii="Times New Roman" w:hAnsi="Times New Roman" w:cs="Times New Roman"/>
          <w:i/>
          <w:szCs w:val="24"/>
        </w:rPr>
        <w:t>N</w:t>
      </w:r>
      <w:r w:rsidRPr="008D2666">
        <w:rPr>
          <w:rFonts w:ascii="Times New Roman" w:hAnsi="Times New Roman" w:cs="Times New Roman"/>
          <w:iCs/>
          <w:kern w:val="0"/>
          <w:szCs w:val="24"/>
          <w:vertAlign w:val="subscript"/>
        </w:rPr>
        <w:t>k</w:t>
      </w:r>
      <w:r w:rsidRPr="00FD50F6">
        <w:rPr>
          <w:rFonts w:ascii="Times New Roman" w:hAnsi="Times New Roman" w:cs="Times New Roman"/>
          <w:szCs w:val="24"/>
        </w:rPr>
        <w:t>-1)×</w:t>
      </w:r>
      <w:r w:rsidR="005144A3" w:rsidRPr="003F4DAE">
        <w:rPr>
          <w:i/>
        </w:rPr>
        <w:t>D</w:t>
      </w:r>
      <w:r w:rsidR="005144A3">
        <w:rPr>
          <w:rFonts w:ascii="Times New Roman" w:hAnsi="Times New Roman" w:cs="Times New Roman"/>
          <w:iCs/>
          <w:kern w:val="0"/>
          <w:szCs w:val="24"/>
          <w:vertAlign w:val="subscript"/>
          <w:lang w:val="x-none" w:eastAsia="x-none"/>
        </w:rPr>
        <w:t>9</w:t>
      </w:r>
      <w:r w:rsidR="005144A3" w:rsidRPr="00FD50F6">
        <w:rPr>
          <w:rFonts w:ascii="Times New Roman" w:hAnsi="Times New Roman" w:cs="Times New Roman"/>
          <w:kern w:val="0"/>
          <w:szCs w:val="24"/>
        </w:rPr>
        <w:t>+</w:t>
      </w:r>
      <w:r w:rsidR="005144A3" w:rsidRPr="00AC0BFB">
        <w:rPr>
          <w:i/>
        </w:rPr>
        <w:t xml:space="preserve"> </w:t>
      </w:r>
      <w:r w:rsidR="005144A3" w:rsidRPr="003F4DAE">
        <w:rPr>
          <w:i/>
        </w:rPr>
        <w:t>D</w:t>
      </w:r>
      <w:r w:rsidR="005144A3">
        <w:rPr>
          <w:rFonts w:ascii="Times New Roman" w:hAnsi="Times New Roman" w:cs="Times New Roman"/>
          <w:iCs/>
          <w:kern w:val="0"/>
          <w:szCs w:val="24"/>
          <w:vertAlign w:val="subscript"/>
          <w:lang w:val="x-none" w:eastAsia="x-none"/>
        </w:rPr>
        <w:t>10</w:t>
      </w:r>
      <w:r w:rsidRPr="00FD50F6">
        <w:rPr>
          <w:rFonts w:ascii="Times New Roman" w:hAnsi="Times New Roman" w:cs="Times New Roman"/>
          <w:sz w:val="21"/>
          <w:szCs w:val="18"/>
        </w:rPr>
        <w:t xml:space="preserve"> </w:t>
      </w:r>
      <w:r w:rsidRPr="00FD50F6">
        <w:rPr>
          <w:rFonts w:ascii="Times New Roman" w:hAnsi="Times New Roman" w:cs="Times New Roman" w:hint="eastAsia"/>
          <w:sz w:val="21"/>
          <w:szCs w:val="18"/>
        </w:rPr>
        <w:t xml:space="preserve">         </w:t>
      </w:r>
      <w:r w:rsidRPr="00FD50F6">
        <w:rPr>
          <w:rFonts w:ascii="Times New Roman" w:hAnsi="Times New Roman" w:cs="Times New Roman"/>
          <w:kern w:val="0"/>
          <w:szCs w:val="24"/>
        </w:rPr>
        <w:t>（</w:t>
      </w:r>
      <w:r w:rsidR="00232AC3" w:rsidRPr="00FD50F6">
        <w:rPr>
          <w:rFonts w:ascii="Times New Roman" w:hAnsi="Times New Roman" w:cs="Times New Roman" w:hint="eastAsia"/>
          <w:kern w:val="0"/>
          <w:szCs w:val="24"/>
        </w:rPr>
        <w:t>2</w:t>
      </w:r>
      <w:r w:rsidR="00232AC3" w:rsidRPr="00FD50F6">
        <w:rPr>
          <w:rFonts w:ascii="Times New Roman" w:hAnsi="Times New Roman" w:cs="Times New Roman"/>
          <w:kern w:val="0"/>
          <w:szCs w:val="24"/>
        </w:rPr>
        <w:t>9</w:t>
      </w:r>
      <w:r w:rsidRPr="00FD50F6">
        <w:rPr>
          <w:rFonts w:ascii="Times New Roman" w:hAnsi="Times New Roman" w:cs="Times New Roman" w:hint="eastAsia"/>
          <w:kern w:val="0"/>
          <w:szCs w:val="24"/>
        </w:rPr>
        <w:t>.4.5</w:t>
      </w:r>
      <w:r w:rsidRPr="00FD50F6">
        <w:rPr>
          <w:rFonts w:ascii="Times New Roman" w:hAnsi="Times New Roman" w:cs="Times New Roman"/>
          <w:kern w:val="0"/>
          <w:szCs w:val="24"/>
        </w:rPr>
        <w:t>）</w:t>
      </w:r>
    </w:p>
    <w:p w14:paraId="767CBB0F" w14:textId="77777777" w:rsidR="004D0484" w:rsidRPr="00FD50F6" w:rsidRDefault="004D0484" w:rsidP="004D0484">
      <w:pPr>
        <w:adjustRightInd w:val="0"/>
        <w:snapToGrid w:val="0"/>
        <w:spacing w:line="324" w:lineRule="auto"/>
        <w:ind w:firstLineChars="200" w:firstLine="480"/>
        <w:rPr>
          <w:rFonts w:ascii="Times New Roman" w:hAnsi="Times New Roman" w:cs="Times New Roman"/>
          <w:kern w:val="0"/>
          <w:szCs w:val="24"/>
        </w:rPr>
      </w:pPr>
      <w:r w:rsidRPr="00FD50F6">
        <w:rPr>
          <w:rFonts w:ascii="Times New Roman" w:hAnsi="Times New Roman" w:cs="Times New Roman"/>
          <w:kern w:val="0"/>
          <w:szCs w:val="24"/>
        </w:rPr>
        <w:t>式中</w:t>
      </w:r>
      <w:r w:rsidRPr="00FD50F6">
        <w:rPr>
          <w:rFonts w:ascii="Times New Roman" w:hAnsi="Times New Roman" w:cs="Times New Roman" w:hint="eastAsia"/>
          <w:kern w:val="0"/>
          <w:szCs w:val="24"/>
        </w:rPr>
        <w:t>：</w:t>
      </w:r>
      <w:r w:rsidRPr="001A4CF3">
        <w:rPr>
          <w:rFonts w:ascii="Times New Roman" w:hAnsi="Times New Roman" w:cs="Times New Roman"/>
          <w:i/>
          <w:kern w:val="0"/>
          <w:szCs w:val="24"/>
        </w:rPr>
        <w:t>L</w:t>
      </w:r>
      <w:r w:rsidRPr="008D2666">
        <w:rPr>
          <w:rFonts w:ascii="Times New Roman" w:hAnsi="Times New Roman" w:cs="Times New Roman"/>
          <w:iCs/>
          <w:kern w:val="0"/>
          <w:szCs w:val="24"/>
          <w:vertAlign w:val="subscript"/>
        </w:rPr>
        <w:t>jt</w:t>
      </w:r>
      <w:r w:rsidRPr="00FD50F6">
        <w:rPr>
          <w:rFonts w:ascii="Times New Roman" w:hAnsi="Times New Roman" w:cs="Times New Roman"/>
          <w:kern w:val="0"/>
          <w:szCs w:val="24"/>
        </w:rPr>
        <w:t>——</w:t>
      </w:r>
      <w:r w:rsidRPr="00FD50F6">
        <w:rPr>
          <w:rFonts w:ascii="Times New Roman" w:hAnsi="Times New Roman" w:cs="Times New Roman"/>
          <w:kern w:val="0"/>
          <w:szCs w:val="24"/>
        </w:rPr>
        <w:t>静调库长度（</w:t>
      </w:r>
      <w:r w:rsidRPr="00FD50F6">
        <w:rPr>
          <w:rFonts w:ascii="Times New Roman" w:hAnsi="Times New Roman" w:cs="Times New Roman"/>
          <w:kern w:val="0"/>
          <w:szCs w:val="24"/>
        </w:rPr>
        <w:t>m</w:t>
      </w:r>
      <w:r w:rsidRPr="00FD50F6">
        <w:rPr>
          <w:rFonts w:ascii="Times New Roman" w:hAnsi="Times New Roman" w:cs="Times New Roman"/>
          <w:kern w:val="0"/>
          <w:szCs w:val="24"/>
        </w:rPr>
        <w:t>）；</w:t>
      </w:r>
    </w:p>
    <w:p w14:paraId="2A211387" w14:textId="77777777" w:rsidR="004D0484" w:rsidRPr="00FD50F6" w:rsidRDefault="004D0484" w:rsidP="004D0484">
      <w:pPr>
        <w:adjustRightInd w:val="0"/>
        <w:snapToGrid w:val="0"/>
        <w:ind w:firstLineChars="500" w:firstLine="1200"/>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 xml:space="preserve">k </w:t>
      </w:r>
      <w:r w:rsidRPr="00FD50F6">
        <w:rPr>
          <w:rFonts w:ascii="Times New Roman" w:hAnsi="Times New Roman" w:cs="Times New Roman"/>
          <w:kern w:val="0"/>
          <w:szCs w:val="24"/>
          <w:lang w:val="x-none" w:eastAsia="x-none"/>
        </w:rPr>
        <w:t>——</w:t>
      </w:r>
      <w:r w:rsidRPr="00FD50F6">
        <w:rPr>
          <w:rFonts w:ascii="Times New Roman" w:hAnsi="Times New Roman" w:cs="Times New Roman"/>
          <w:kern w:val="0"/>
          <w:szCs w:val="24"/>
          <w:lang w:val="x-none" w:eastAsia="x-none"/>
        </w:rPr>
        <w:t>列车</w:t>
      </w:r>
      <w:r w:rsidRPr="00FD50F6">
        <w:rPr>
          <w:rFonts w:ascii="Times New Roman" w:hAnsi="Times New Roman" w:cs="Times New Roman" w:hint="eastAsia"/>
          <w:kern w:val="0"/>
          <w:szCs w:val="24"/>
          <w:lang w:val="x-none"/>
        </w:rPr>
        <w:t>调试</w:t>
      </w:r>
      <w:r w:rsidRPr="00FD50F6">
        <w:rPr>
          <w:rFonts w:ascii="Times New Roman" w:hAnsi="Times New Roman" w:cs="Times New Roman"/>
          <w:kern w:val="0"/>
          <w:szCs w:val="24"/>
          <w:lang w:val="x-none" w:eastAsia="x-none"/>
        </w:rPr>
        <w:t>单元数；</w:t>
      </w:r>
    </w:p>
    <w:p w14:paraId="781116E4" w14:textId="31583C7A" w:rsidR="005144A3" w:rsidRPr="00FD50F6" w:rsidRDefault="005144A3" w:rsidP="005144A3">
      <w:pPr>
        <w:adjustRightInd w:val="0"/>
        <w:snapToGrid w:val="0"/>
        <w:ind w:firstLineChars="500" w:firstLine="1200"/>
        <w:rPr>
          <w:rFonts w:ascii="Times New Roman" w:hAnsi="Times New Roman" w:cs="Times New Roman"/>
          <w:kern w:val="0"/>
          <w:szCs w:val="24"/>
          <w:lang w:val="x-none" w:eastAsia="x-none"/>
        </w:rPr>
      </w:pPr>
      <w:r w:rsidRPr="003F4DAE">
        <w:rPr>
          <w:i/>
        </w:rPr>
        <w:t>D</w:t>
      </w:r>
      <w:r>
        <w:rPr>
          <w:rFonts w:ascii="Times New Roman" w:hAnsi="Times New Roman" w:cs="Times New Roman"/>
          <w:iCs/>
          <w:kern w:val="0"/>
          <w:szCs w:val="24"/>
          <w:vertAlign w:val="subscript"/>
          <w:lang w:val="x-none" w:eastAsia="x-none"/>
        </w:rPr>
        <w:t>9</w:t>
      </w:r>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列车单元解钩</w:t>
      </w:r>
      <w:r w:rsidRPr="00FD50F6">
        <w:rPr>
          <w:rFonts w:ascii="Times New Roman" w:hAnsi="Times New Roman" w:cs="Times New Roman" w:hint="eastAsia"/>
          <w:kern w:val="0"/>
          <w:szCs w:val="24"/>
          <w:lang w:val="x-none"/>
        </w:rPr>
        <w:t>调试</w:t>
      </w:r>
      <w:r w:rsidRPr="00FD50F6">
        <w:rPr>
          <w:rFonts w:ascii="Times New Roman" w:hAnsi="Times New Roman" w:cs="Times New Roman"/>
          <w:kern w:val="0"/>
          <w:szCs w:val="24"/>
          <w:lang w:val="x-none" w:eastAsia="x-none"/>
        </w:rPr>
        <w:t>作业所需距离（</w:t>
      </w:r>
      <w:r w:rsidRPr="00FD50F6">
        <w:rPr>
          <w:rFonts w:ascii="Times New Roman" w:hAnsi="Times New Roman" w:cs="Times New Roman"/>
          <w:kern w:val="0"/>
          <w:szCs w:val="24"/>
          <w:lang w:val="x-none" w:eastAsia="x-none"/>
        </w:rPr>
        <w:t>m</w:t>
      </w:r>
      <w:r w:rsidRPr="00FD50F6">
        <w:rPr>
          <w:rFonts w:ascii="Times New Roman" w:hAnsi="Times New Roman" w:cs="Times New Roman"/>
          <w:kern w:val="0"/>
          <w:szCs w:val="24"/>
          <w:lang w:val="x-none" w:eastAsia="x-none"/>
        </w:rPr>
        <w:t>）</w:t>
      </w:r>
      <w:r>
        <w:rPr>
          <w:rFonts w:ascii="Times New Roman" w:hAnsi="Times New Roman" w:cs="Times New Roman" w:hint="eastAsia"/>
          <w:kern w:val="0"/>
          <w:szCs w:val="24"/>
          <w:lang w:val="x-none"/>
        </w:rPr>
        <w:t>，</w:t>
      </w:r>
      <w:r>
        <w:rPr>
          <w:rFonts w:ascii="Times New Roman" w:hAnsi="Times New Roman" w:cs="Times New Roman"/>
          <w:kern w:val="0"/>
          <w:szCs w:val="24"/>
          <w:lang w:val="x-none" w:eastAsia="x-none"/>
        </w:rPr>
        <w:t>取</w:t>
      </w:r>
      <w:r>
        <w:rPr>
          <w:rFonts w:ascii="Times New Roman" w:hAnsi="Times New Roman" w:cs="Times New Roman" w:hint="eastAsia"/>
          <w:kern w:val="0"/>
          <w:szCs w:val="24"/>
          <w:lang w:val="x-none"/>
        </w:rPr>
        <w:t>1</w:t>
      </w:r>
      <w:r>
        <w:rPr>
          <w:rFonts w:ascii="Times New Roman" w:hAnsi="Times New Roman" w:cs="Times New Roman"/>
          <w:kern w:val="0"/>
          <w:szCs w:val="24"/>
          <w:lang w:val="x-none"/>
        </w:rPr>
        <w:t>m</w:t>
      </w:r>
      <w:r w:rsidRPr="00FD50F6">
        <w:rPr>
          <w:rFonts w:ascii="Times New Roman" w:hAnsi="Times New Roman" w:cs="Times New Roman"/>
          <w:kern w:val="0"/>
          <w:szCs w:val="24"/>
          <w:lang w:val="x-none" w:eastAsia="x-none"/>
        </w:rPr>
        <w:t>；</w:t>
      </w:r>
    </w:p>
    <w:p w14:paraId="0B5D9C73" w14:textId="2114E505" w:rsidR="004D0484" w:rsidRPr="00FD50F6" w:rsidRDefault="005144A3" w:rsidP="005144A3">
      <w:pPr>
        <w:adjustRightInd w:val="0"/>
        <w:snapToGrid w:val="0"/>
        <w:spacing w:line="324" w:lineRule="auto"/>
        <w:ind w:firstLineChars="500" w:firstLine="1200"/>
        <w:rPr>
          <w:rFonts w:ascii="Times New Roman" w:hAnsi="Times New Roman" w:cs="Times New Roman"/>
          <w:kern w:val="0"/>
          <w:szCs w:val="24"/>
        </w:rPr>
      </w:pPr>
      <w:r w:rsidRPr="003F4DAE">
        <w:rPr>
          <w:i/>
        </w:rPr>
        <w:t>D</w:t>
      </w:r>
      <w:r>
        <w:rPr>
          <w:rFonts w:ascii="Times New Roman" w:hAnsi="Times New Roman" w:cs="Times New Roman"/>
          <w:iCs/>
          <w:kern w:val="0"/>
          <w:szCs w:val="24"/>
          <w:vertAlign w:val="subscript"/>
          <w:lang w:val="x-none" w:eastAsia="x-none"/>
        </w:rPr>
        <w:t>10</w:t>
      </w:r>
      <w:r w:rsidRPr="00FD50F6">
        <w:rPr>
          <w:rFonts w:ascii="Times New Roman" w:hAnsi="Times New Roman" w:cs="Times New Roman"/>
          <w:kern w:val="0"/>
          <w:szCs w:val="24"/>
        </w:rPr>
        <w:t>——</w:t>
      </w:r>
      <w:r w:rsidRPr="00FD50F6">
        <w:rPr>
          <w:rFonts w:ascii="Times New Roman" w:hAnsi="Times New Roman" w:cs="Times New Roman" w:hint="eastAsia"/>
          <w:kern w:val="0"/>
          <w:szCs w:val="24"/>
        </w:rPr>
        <w:t>静调库</w:t>
      </w:r>
      <w:r w:rsidRPr="00FD50F6">
        <w:rPr>
          <w:rFonts w:ascii="Times New Roman" w:hAnsi="Times New Roman" w:cs="Times New Roman"/>
          <w:szCs w:val="24"/>
        </w:rPr>
        <w:t>设计附加长度（</w:t>
      </w:r>
      <w:r w:rsidRPr="00FD50F6">
        <w:rPr>
          <w:rFonts w:ascii="Times New Roman" w:hAnsi="Times New Roman" w:cs="Times New Roman"/>
          <w:szCs w:val="24"/>
        </w:rPr>
        <w:t>m</w:t>
      </w:r>
      <w:r w:rsidRPr="00FD50F6">
        <w:rPr>
          <w:rFonts w:ascii="Times New Roman" w:hAnsi="Times New Roman" w:cs="Times New Roman"/>
          <w:szCs w:val="24"/>
        </w:rPr>
        <w:t>）</w:t>
      </w:r>
      <w:r>
        <w:rPr>
          <w:rFonts w:ascii="Times New Roman" w:hAnsi="Times New Roman" w:cs="Times New Roman" w:hint="eastAsia"/>
          <w:szCs w:val="24"/>
        </w:rPr>
        <w:t>，</w:t>
      </w:r>
      <w:r>
        <w:rPr>
          <w:rFonts w:ascii="Times New Roman" w:hAnsi="Times New Roman" w:cs="Times New Roman"/>
          <w:szCs w:val="24"/>
        </w:rPr>
        <w:t>取</w:t>
      </w:r>
      <w:r>
        <w:rPr>
          <w:rFonts w:ascii="Times New Roman" w:hAnsi="Times New Roman" w:cs="Times New Roman" w:hint="eastAsia"/>
          <w:szCs w:val="24"/>
        </w:rPr>
        <w:t>1</w:t>
      </w:r>
      <w:r>
        <w:rPr>
          <w:rFonts w:ascii="Times New Roman" w:hAnsi="Times New Roman" w:cs="Times New Roman"/>
          <w:szCs w:val="24"/>
        </w:rPr>
        <w:t>6m</w:t>
      </w:r>
      <w:r w:rsidR="004D0484" w:rsidRPr="00FD50F6">
        <w:rPr>
          <w:rFonts w:ascii="Times New Roman" w:hAnsi="Times New Roman" w:cs="Times New Roman"/>
          <w:kern w:val="0"/>
          <w:szCs w:val="24"/>
        </w:rPr>
        <w:t>。</w:t>
      </w:r>
    </w:p>
    <w:p w14:paraId="21479D5A" w14:textId="77777777" w:rsidR="004D0484" w:rsidRPr="00FD50F6" w:rsidRDefault="004D0484" w:rsidP="004D0484">
      <w:pPr>
        <w:pStyle w:val="30"/>
      </w:pPr>
      <w:r w:rsidRPr="00FD50F6">
        <w:t>架修库和大修库的规模应根据各修程的检修作业量、检修时间计算确定。厂房的布置和尺寸应根据厂房组合形式确定，并应满足工艺流程和检修作业的要求。</w:t>
      </w:r>
    </w:p>
    <w:p w14:paraId="536C5AAA" w14:textId="3F947845" w:rsidR="004D0484" w:rsidRPr="00FD50F6" w:rsidRDefault="004D0484" w:rsidP="004D0484">
      <w:pPr>
        <w:pStyle w:val="30"/>
      </w:pPr>
      <w:r w:rsidRPr="00FD50F6">
        <w:t>架修库和大修库均应根据作业要求设架车设备。架修库和大修库</w:t>
      </w:r>
      <w:r w:rsidR="00427DED">
        <w:rPr>
          <w:rFonts w:hint="eastAsia"/>
        </w:rPr>
        <w:t>应</w:t>
      </w:r>
      <w:r w:rsidRPr="00FD50F6">
        <w:t>根据作业需要选用地下式固定架车机组或其他形式的架车设备。</w:t>
      </w:r>
    </w:p>
    <w:p w14:paraId="7EDF04D8" w14:textId="76004122" w:rsidR="004D0484" w:rsidRPr="00FD50F6" w:rsidRDefault="004D0484" w:rsidP="004D0484">
      <w:pPr>
        <w:pStyle w:val="30"/>
      </w:pPr>
      <w:r w:rsidRPr="00FD50F6">
        <w:t>定修库、临修库、架修库和大修库均应设电动桥式或</w:t>
      </w:r>
      <w:r w:rsidRPr="00FD50F6">
        <w:rPr>
          <w:rFonts w:hint="eastAsia"/>
        </w:rPr>
        <w:t>悬挂</w:t>
      </w:r>
      <w:r w:rsidRPr="00FD50F6">
        <w:t>起重机和搬运设备。起重机的起重量应满足工艺和检修作业的要求；起重机走行轨的高度应根据车辆高度、架车方式、架车高度、车顶作业要求和起重机的结构尺寸计算确定。</w:t>
      </w:r>
    </w:p>
    <w:p w14:paraId="4CC9D18C" w14:textId="77777777" w:rsidR="004D0484" w:rsidRPr="00FD50F6" w:rsidRDefault="004D0484" w:rsidP="004D0484">
      <w:pPr>
        <w:pStyle w:val="30"/>
      </w:pPr>
      <w:r w:rsidRPr="00FD50F6">
        <w:t>各种检修库的库前股道宜设有一段平直线路，其长度应满足车辆进出库时车辆外侧各部位距库门净距不小于</w:t>
      </w:r>
      <w:r w:rsidRPr="00FD50F6">
        <w:t>150mm</w:t>
      </w:r>
      <w:r w:rsidRPr="00FD50F6">
        <w:t>的要求。</w:t>
      </w:r>
    </w:p>
    <w:p w14:paraId="7578C418" w14:textId="77777777" w:rsidR="004D0484" w:rsidRPr="00FD50F6" w:rsidRDefault="004D0484" w:rsidP="004D0484">
      <w:pPr>
        <w:pStyle w:val="30"/>
      </w:pPr>
      <w:r w:rsidRPr="00FD50F6">
        <w:rPr>
          <w:rFonts w:hint="eastAsia"/>
        </w:rPr>
        <w:t>不落轮镟库及其线路的设计应符合下列规定：</w:t>
      </w:r>
    </w:p>
    <w:p w14:paraId="3507BD90" w14:textId="7375315A" w:rsidR="004D0484" w:rsidRPr="00FD50F6" w:rsidRDefault="004D0484" w:rsidP="00A926BD">
      <w:pPr>
        <w:pStyle w:val="4"/>
      </w:pPr>
      <w:r w:rsidRPr="00FD50F6">
        <w:rPr>
          <w:rFonts w:hint="eastAsia"/>
        </w:rPr>
        <w:t>不落轮镟库及其线路应结合工艺流程和厂房组合情况合理布置，可单独设置，也可与检修厂房合并设置；当不落轮镟库与其他检修厂房合并设置时，宜以实体隔墙隔开。</w:t>
      </w:r>
    </w:p>
    <w:p w14:paraId="05000612" w14:textId="71F32EB3" w:rsidR="004D0484" w:rsidRPr="00FD50F6" w:rsidRDefault="004D0484" w:rsidP="00A926BD">
      <w:pPr>
        <w:pStyle w:val="4"/>
      </w:pPr>
      <w:r w:rsidRPr="00FD50F6">
        <w:rPr>
          <w:rFonts w:hint="eastAsia"/>
        </w:rPr>
        <w:t>不落轮镟库的尺寸应满足设备安装和镟轮作业的需要。</w:t>
      </w:r>
    </w:p>
    <w:p w14:paraId="6CF5A253" w14:textId="4A74B2DE" w:rsidR="004D0484" w:rsidRPr="00FD50F6" w:rsidRDefault="004D0484" w:rsidP="00A926BD">
      <w:pPr>
        <w:pStyle w:val="4"/>
      </w:pPr>
      <w:r w:rsidRPr="00FD50F6">
        <w:rPr>
          <w:rFonts w:hint="eastAsia"/>
        </w:rPr>
        <w:t>严寒、寒冷地区不落轮镟库应有冬季作业保暖措施；设备基坑应有良好的排水设施。</w:t>
      </w:r>
    </w:p>
    <w:p w14:paraId="2661366D" w14:textId="79FED5BF" w:rsidR="004D0484" w:rsidRPr="00FD50F6" w:rsidRDefault="004D0484" w:rsidP="00A926BD">
      <w:pPr>
        <w:pStyle w:val="4"/>
      </w:pPr>
      <w:r w:rsidRPr="00FD50F6">
        <w:rPr>
          <w:rFonts w:hint="eastAsia"/>
        </w:rPr>
        <w:t>不落轮镟库宜根据设备检修及安装要求设置起重设备。</w:t>
      </w:r>
    </w:p>
    <w:p w14:paraId="7A71B934" w14:textId="7DD676BD" w:rsidR="004D0484" w:rsidRPr="00FD50F6" w:rsidRDefault="004D0484" w:rsidP="00A926BD">
      <w:pPr>
        <w:pStyle w:val="4"/>
      </w:pPr>
      <w:r w:rsidRPr="00FD50F6">
        <w:rPr>
          <w:rFonts w:hint="eastAsia"/>
        </w:rPr>
        <w:t>不落轮镟库的线路有效长度应满足列车所有车辆的轮对镟修工作的要求，设备前后应有一辆车长度的直线段。</w:t>
      </w:r>
    </w:p>
    <w:p w14:paraId="77DAF646" w14:textId="740AA56F" w:rsidR="004D0484" w:rsidRPr="00FD50F6" w:rsidRDefault="004D0484" w:rsidP="00A926BD">
      <w:pPr>
        <w:pStyle w:val="4"/>
      </w:pPr>
      <w:r w:rsidRPr="00FD50F6">
        <w:rPr>
          <w:rFonts w:hint="eastAsia"/>
        </w:rPr>
        <w:t>不落轮镟库应根据作业的需要配置公铁两用车或其他牵引设备；库内轨道</w:t>
      </w:r>
      <w:r w:rsidRPr="00FD50F6">
        <w:rPr>
          <w:rFonts w:hint="eastAsia"/>
        </w:rPr>
        <w:lastRenderedPageBreak/>
        <w:t>应绝缘，机床应设置可靠接地装置，并应防止该接地与列车牵引回流轨的电流交汇。</w:t>
      </w:r>
    </w:p>
    <w:p w14:paraId="2626DB56" w14:textId="77777777" w:rsidR="004D0484" w:rsidRPr="00FD50F6" w:rsidRDefault="004D0484" w:rsidP="004D0484">
      <w:pPr>
        <w:pStyle w:val="30"/>
      </w:pPr>
      <w:r w:rsidRPr="00FD50F6">
        <w:t>车辆段应配备调车机车和调车机车库，其设计应符合下列规定：</w:t>
      </w:r>
    </w:p>
    <w:p w14:paraId="3BB9281E" w14:textId="57798404" w:rsidR="004D0484" w:rsidRPr="00FD50F6" w:rsidRDefault="004D0484" w:rsidP="00A926BD">
      <w:pPr>
        <w:pStyle w:val="4"/>
      </w:pPr>
      <w:r w:rsidRPr="00FD50F6">
        <w:t>调车机车的台数应能满足段内调车作业的需要，并应有一台备用机车</w:t>
      </w:r>
      <w:r w:rsidRPr="00FD50F6">
        <w:rPr>
          <w:rFonts w:hint="eastAsia"/>
        </w:rPr>
        <w:t>.</w:t>
      </w:r>
    </w:p>
    <w:p w14:paraId="4944D160" w14:textId="6BCA6E7C" w:rsidR="004D0484" w:rsidRPr="00FD50F6" w:rsidRDefault="004D0484" w:rsidP="00A926BD">
      <w:pPr>
        <w:pStyle w:val="4"/>
      </w:pPr>
      <w:r w:rsidRPr="00FD50F6">
        <w:t>调车机车的牵引能力应满足牵引远期一列车在空载状态下通过全线最大坡度地段的要求</w:t>
      </w:r>
      <w:r w:rsidRPr="00FD50F6">
        <w:rPr>
          <w:rFonts w:hint="eastAsia"/>
        </w:rPr>
        <w:t>。</w:t>
      </w:r>
    </w:p>
    <w:p w14:paraId="70213ED7" w14:textId="7548AB45" w:rsidR="004D0484" w:rsidRPr="00FD50F6" w:rsidRDefault="004D0484" w:rsidP="00A926BD">
      <w:pPr>
        <w:pStyle w:val="4"/>
      </w:pPr>
      <w:r w:rsidRPr="00FD50F6">
        <w:t>调车机车库的规模应按远期配备调车机车台数确定，库内应至少有一</w:t>
      </w:r>
      <w:r w:rsidRPr="00FD50F6">
        <w:rPr>
          <w:rFonts w:hint="eastAsia"/>
        </w:rPr>
        <w:t>股道</w:t>
      </w:r>
      <w:r w:rsidRPr="00FD50F6">
        <w:t>设检查坑，坑深宜为</w:t>
      </w:r>
      <w:r w:rsidRPr="00FD50F6">
        <w:t>1.3m</w:t>
      </w:r>
      <w:r w:rsidRPr="00FD50F6">
        <w:t>～</w:t>
      </w:r>
      <w:r w:rsidRPr="00FD50F6">
        <w:t>1.5m</w:t>
      </w:r>
      <w:r w:rsidRPr="00FD50F6">
        <w:t>，坑内应有照明和排水设施；应根据作业需要</w:t>
      </w:r>
      <w:r w:rsidRPr="00FD50F6">
        <w:rPr>
          <w:rFonts w:hint="eastAsia"/>
        </w:rPr>
        <w:t>配置</w:t>
      </w:r>
      <w:r w:rsidRPr="00FD50F6">
        <w:t>起重机和检修</w:t>
      </w:r>
      <w:r w:rsidRPr="00FD50F6">
        <w:rPr>
          <w:rFonts w:hint="eastAsia"/>
        </w:rPr>
        <w:t>设备。</w:t>
      </w:r>
    </w:p>
    <w:p w14:paraId="4674BEAF" w14:textId="7FDF6721" w:rsidR="004D0484" w:rsidRPr="00FD50F6" w:rsidRDefault="004D0484" w:rsidP="001A4CF3">
      <w:pPr>
        <w:pStyle w:val="8"/>
        <w:ind w:firstLineChars="177" w:firstLine="425"/>
        <w:rPr>
          <w:sz w:val="20"/>
        </w:rPr>
      </w:pPr>
      <w:r w:rsidRPr="00FD50F6">
        <w:rPr>
          <w:rFonts w:hint="eastAsia"/>
        </w:rPr>
        <w:t>4</w:t>
      </w:r>
      <w:r w:rsidRPr="00FD50F6">
        <w:t>调车机车库的长度应按下式计算，</w:t>
      </w:r>
      <w:r w:rsidRPr="00FD50F6">
        <w:rPr>
          <w:rFonts w:hint="eastAsia"/>
        </w:rPr>
        <w:t>当</w:t>
      </w:r>
      <w:r w:rsidRPr="00FD50F6">
        <w:t>有检修作业时，其库长宜增加</w:t>
      </w:r>
      <w:r w:rsidRPr="00FD50F6">
        <w:t>7m</w:t>
      </w:r>
      <w:r w:rsidRPr="00FD50F6">
        <w:rPr>
          <w:sz w:val="20"/>
        </w:rPr>
        <w:t>：</w:t>
      </w:r>
    </w:p>
    <w:p w14:paraId="07C40DBA" w14:textId="0D06971C" w:rsidR="004D0484" w:rsidRPr="00FD50F6" w:rsidRDefault="004D0484" w:rsidP="004D0484">
      <w:pPr>
        <w:adjustRightInd w:val="0"/>
        <w:snapToGrid w:val="0"/>
        <w:ind w:firstLineChars="850" w:firstLine="2040"/>
        <w:jc w:val="right"/>
        <w:rPr>
          <w:rFonts w:ascii="Times New Roman" w:hAnsi="Times New Roman" w:cs="Times New Roman"/>
          <w:kern w:val="0"/>
          <w:szCs w:val="24"/>
          <w:lang w:val="x-none" w:eastAsia="x-none"/>
        </w:rPr>
      </w:pP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nk</w:t>
      </w:r>
      <w:r w:rsidRPr="00FD50F6">
        <w:rPr>
          <w:rFonts w:ascii="Times New Roman" w:hAnsi="Times New Roman" w:cs="Times New Roman"/>
          <w:kern w:val="0"/>
          <w:szCs w:val="24"/>
          <w:lang w:val="x-none" w:eastAsia="x-none"/>
        </w:rPr>
        <w:t>=</w:t>
      </w:r>
      <w:r w:rsidRPr="00FD50F6">
        <w:rPr>
          <w:rFonts w:ascii="Times New Roman" w:hAnsi="Times New Roman" w:cs="Times New Roman" w:hint="eastAsia"/>
          <w:kern w:val="0"/>
          <w:szCs w:val="24"/>
          <w:lang w:val="x-none"/>
        </w:rPr>
        <w:t>(</w:t>
      </w:r>
      <w:r w:rsidRPr="001A4CF3">
        <w:rPr>
          <w:rFonts w:ascii="Times New Roman" w:hAnsi="Times New Roman" w:cs="Times New Roman"/>
          <w:i/>
          <w:kern w:val="0"/>
          <w:szCs w:val="24"/>
          <w:lang w:val="x-none" w:eastAsia="x-none"/>
        </w:rPr>
        <w:t>L</w:t>
      </w:r>
      <w:r w:rsidRPr="008D2666">
        <w:rPr>
          <w:rFonts w:ascii="Times New Roman" w:hAnsi="Times New Roman" w:cs="Times New Roman"/>
          <w:iCs/>
          <w:kern w:val="0"/>
          <w:szCs w:val="24"/>
          <w:vertAlign w:val="subscript"/>
          <w:lang w:val="x-none" w:eastAsia="x-none"/>
        </w:rPr>
        <w:t>n</w:t>
      </w:r>
      <w:r w:rsidRPr="00FD50F6">
        <w:rPr>
          <w:rFonts w:ascii="Times New Roman" w:hAnsi="Times New Roman" w:cs="Times New Roman"/>
          <w:kern w:val="0"/>
          <w:szCs w:val="24"/>
          <w:lang w:val="x-none" w:eastAsia="x-none"/>
        </w:rPr>
        <w:t>+2</w:t>
      </w:r>
      <w:r w:rsidRPr="00FD50F6">
        <w:rPr>
          <w:rFonts w:ascii="Times New Roman" w:hAnsi="Times New Roman" w:cs="Times New Roman" w:hint="eastAsia"/>
          <w:kern w:val="0"/>
          <w:szCs w:val="24"/>
          <w:lang w:val="x-none"/>
        </w:rPr>
        <w:t>)</w:t>
      </w:r>
      <w:r w:rsidRPr="00FD50F6">
        <w:rPr>
          <w:rFonts w:ascii="Times New Roman" w:hAnsi="Times New Roman" w:cs="Times New Roman"/>
          <w:kern w:val="0"/>
          <w:szCs w:val="24"/>
          <w:lang w:val="x-none" w:eastAsia="x-none"/>
        </w:rPr>
        <w:t xml:space="preserve"> </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n</w:t>
      </w:r>
      <w:r w:rsidRPr="00FD50F6">
        <w:rPr>
          <w:rFonts w:ascii="Times New Roman" w:hAnsi="Times New Roman" w:cs="Times New Roman"/>
          <w:kern w:val="0"/>
          <w:szCs w:val="24"/>
          <w:lang w:val="x-none" w:eastAsia="x-none"/>
        </w:rPr>
        <w:t>+</w:t>
      </w:r>
      <w:r w:rsidRPr="00FD50F6">
        <w:rPr>
          <w:rFonts w:ascii="Times New Roman" w:hAnsi="Times New Roman" w:cs="Times New Roman" w:hint="eastAsia"/>
          <w:kern w:val="0"/>
          <w:szCs w:val="24"/>
          <w:lang w:val="x-none"/>
        </w:rPr>
        <w:t>(</w:t>
      </w:r>
      <w:r w:rsidRPr="001A4CF3">
        <w:rPr>
          <w:rFonts w:ascii="Times New Roman" w:hAnsi="Times New Roman" w:cs="Times New Roman"/>
          <w:i/>
          <w:kern w:val="0"/>
          <w:szCs w:val="24"/>
          <w:lang w:val="x-none" w:eastAsia="x-none"/>
        </w:rPr>
        <w:t>N</w:t>
      </w:r>
      <w:r w:rsidRPr="008D2666">
        <w:rPr>
          <w:rFonts w:ascii="Times New Roman" w:hAnsi="Times New Roman" w:cs="Times New Roman"/>
          <w:iCs/>
          <w:kern w:val="0"/>
          <w:szCs w:val="24"/>
          <w:vertAlign w:val="subscript"/>
          <w:lang w:val="x-none" w:eastAsia="x-none"/>
        </w:rPr>
        <w:t>n</w:t>
      </w:r>
      <w:r w:rsidRPr="00FD50F6">
        <w:rPr>
          <w:rFonts w:ascii="Times New Roman" w:hAnsi="Times New Roman" w:cs="Times New Roman"/>
          <w:kern w:val="0"/>
          <w:szCs w:val="24"/>
          <w:lang w:val="x-none" w:eastAsia="x-none"/>
        </w:rPr>
        <w:t>-1</w:t>
      </w:r>
      <w:r w:rsidRPr="00FD50F6">
        <w:rPr>
          <w:rFonts w:ascii="Times New Roman" w:hAnsi="Times New Roman" w:cs="Times New Roman" w:hint="eastAsia"/>
          <w:kern w:val="0"/>
          <w:szCs w:val="24"/>
          <w:lang w:val="x-none"/>
        </w:rPr>
        <w:t>)</w:t>
      </w:r>
      <w:r w:rsidRPr="00FD50F6">
        <w:rPr>
          <w:rFonts w:ascii="Times New Roman" w:hAnsi="Times New Roman" w:cs="Times New Roman"/>
          <w:kern w:val="0"/>
          <w:szCs w:val="24"/>
          <w:lang w:val="x-none" w:eastAsia="x-none"/>
        </w:rPr>
        <w:t>×</w:t>
      </w:r>
      <w:bookmarkStart w:id="1200" w:name="_Hlk120182654"/>
      <w:r w:rsidR="00427DED" w:rsidRPr="003F4DAE">
        <w:rPr>
          <w:i/>
        </w:rPr>
        <w:t>D</w:t>
      </w:r>
      <w:r w:rsidR="00427DED">
        <w:rPr>
          <w:rFonts w:ascii="Times New Roman" w:hAnsi="Times New Roman" w:cs="Times New Roman"/>
          <w:iCs/>
          <w:kern w:val="0"/>
          <w:szCs w:val="24"/>
          <w:vertAlign w:val="subscript"/>
          <w:lang w:val="x-none" w:eastAsia="x-none"/>
        </w:rPr>
        <w:t>11</w:t>
      </w:r>
      <w:r w:rsidR="00427DED" w:rsidRPr="00FD50F6">
        <w:rPr>
          <w:rFonts w:ascii="Times New Roman" w:hAnsi="Times New Roman" w:cs="Times New Roman"/>
          <w:kern w:val="0"/>
          <w:szCs w:val="24"/>
          <w:lang w:val="x-none" w:eastAsia="x-none"/>
        </w:rPr>
        <w:t>+</w:t>
      </w:r>
      <w:r w:rsidR="00427DED" w:rsidRPr="00DB77E6">
        <w:rPr>
          <w:i/>
        </w:rPr>
        <w:t xml:space="preserve"> </w:t>
      </w:r>
      <w:r w:rsidR="00427DED" w:rsidRPr="003F4DAE">
        <w:rPr>
          <w:i/>
        </w:rPr>
        <w:t>D</w:t>
      </w:r>
      <w:r w:rsidR="00427DED">
        <w:rPr>
          <w:rFonts w:ascii="Times New Roman" w:hAnsi="Times New Roman" w:cs="Times New Roman"/>
          <w:iCs/>
          <w:kern w:val="0"/>
          <w:szCs w:val="24"/>
          <w:vertAlign w:val="subscript"/>
          <w:lang w:val="x-none" w:eastAsia="x-none"/>
        </w:rPr>
        <w:t>12</w:t>
      </w:r>
      <w:bookmarkEnd w:id="1200"/>
      <w:r w:rsidRPr="00FD50F6">
        <w:rPr>
          <w:rFonts w:ascii="Times New Roman" w:hAnsi="Times New Roman" w:cs="Times New Roman"/>
          <w:kern w:val="0"/>
          <w:szCs w:val="24"/>
          <w:lang w:val="x-none" w:eastAsia="x-none"/>
        </w:rPr>
        <w:t xml:space="preserve">           </w:t>
      </w:r>
      <w:r w:rsidRPr="00FD50F6">
        <w:rPr>
          <w:rFonts w:ascii="Times New Roman" w:hAnsi="Times New Roman" w:cs="Times New Roman"/>
          <w:kern w:val="0"/>
          <w:szCs w:val="24"/>
          <w:lang w:val="x-none" w:eastAsia="x-none"/>
        </w:rPr>
        <w:t>（</w:t>
      </w:r>
      <w:r w:rsidR="00232AC3" w:rsidRPr="00FD50F6">
        <w:rPr>
          <w:rFonts w:ascii="Times New Roman" w:hAnsi="Times New Roman" w:cs="Times New Roman"/>
          <w:kern w:val="0"/>
          <w:szCs w:val="24"/>
          <w:lang w:val="x-none" w:eastAsia="x-none"/>
        </w:rPr>
        <w:t>29</w:t>
      </w:r>
      <w:r w:rsidRPr="00FD50F6">
        <w:rPr>
          <w:rFonts w:ascii="Times New Roman" w:hAnsi="Times New Roman" w:cs="Times New Roman"/>
          <w:kern w:val="0"/>
          <w:szCs w:val="24"/>
          <w:lang w:val="x-none" w:eastAsia="x-none"/>
        </w:rPr>
        <w:t>.4.11</w:t>
      </w:r>
      <w:r w:rsidRPr="00FD50F6">
        <w:rPr>
          <w:rFonts w:ascii="Times New Roman" w:hAnsi="Times New Roman" w:cs="Times New Roman"/>
          <w:kern w:val="0"/>
          <w:szCs w:val="24"/>
          <w:lang w:val="x-none" w:eastAsia="x-none"/>
        </w:rPr>
        <w:t>）</w:t>
      </w:r>
    </w:p>
    <w:p w14:paraId="074F5D5C" w14:textId="77777777" w:rsidR="004D0484" w:rsidRPr="00FD50F6" w:rsidRDefault="004D0484" w:rsidP="004D0484">
      <w:pPr>
        <w:pStyle w:val="8"/>
        <w:ind w:firstLine="480"/>
      </w:pPr>
      <w:r w:rsidRPr="00FD50F6">
        <w:t>式中：</w:t>
      </w:r>
      <w:r w:rsidRPr="001A4CF3">
        <w:rPr>
          <w:i/>
        </w:rPr>
        <w:t>L</w:t>
      </w:r>
      <w:r w:rsidRPr="008D2666">
        <w:rPr>
          <w:iCs/>
          <w:vertAlign w:val="subscript"/>
        </w:rPr>
        <w:t xml:space="preserve">nk </w:t>
      </w:r>
      <w:r w:rsidRPr="00FD50F6">
        <w:t xml:space="preserve">   ——</w:t>
      </w:r>
      <w:r w:rsidRPr="00FD50F6">
        <w:t>调车机车库计算长度（</w:t>
      </w:r>
      <w:r w:rsidRPr="00FD50F6">
        <w:t>m</w:t>
      </w:r>
      <w:r w:rsidRPr="00FD50F6">
        <w:t>）；</w:t>
      </w:r>
    </w:p>
    <w:p w14:paraId="0ABD3C29" w14:textId="77777777" w:rsidR="004D0484" w:rsidRPr="00FD50F6" w:rsidRDefault="004D0484" w:rsidP="004D0484">
      <w:pPr>
        <w:pStyle w:val="8"/>
        <w:ind w:firstLineChars="500" w:firstLine="1200"/>
      </w:pPr>
      <w:r w:rsidRPr="00FD50F6">
        <w:rPr>
          <w:rFonts w:hint="eastAsia"/>
        </w:rPr>
        <w:t>(</w:t>
      </w:r>
      <w:r w:rsidRPr="001A4CF3">
        <w:rPr>
          <w:i/>
        </w:rPr>
        <w:t>L</w:t>
      </w:r>
      <w:r w:rsidRPr="008D2666">
        <w:rPr>
          <w:iCs/>
          <w:vertAlign w:val="subscript"/>
        </w:rPr>
        <w:t>n</w:t>
      </w:r>
      <w:r w:rsidRPr="00FD50F6">
        <w:t>+2</w:t>
      </w:r>
      <w:r w:rsidRPr="00FD50F6">
        <w:rPr>
          <w:rFonts w:hint="eastAsia"/>
        </w:rPr>
        <w:t>)</w:t>
      </w:r>
      <w:r w:rsidRPr="00FD50F6">
        <w:t xml:space="preserve">   ——</w:t>
      </w:r>
      <w:r w:rsidRPr="00FD50F6">
        <w:t>调车机车长度加停车误差</w:t>
      </w:r>
      <w:r w:rsidRPr="00FD50F6">
        <w:t>2m</w:t>
      </w:r>
      <w:r w:rsidRPr="00FD50F6">
        <w:t>（</w:t>
      </w:r>
      <w:r w:rsidRPr="00FD50F6">
        <w:t>m</w:t>
      </w:r>
      <w:r w:rsidRPr="00FD50F6">
        <w:t>）；</w:t>
      </w:r>
    </w:p>
    <w:p w14:paraId="18B9AB0B" w14:textId="77777777" w:rsidR="004D0484" w:rsidRPr="00FD50F6" w:rsidRDefault="004D0484" w:rsidP="004D0484">
      <w:pPr>
        <w:pStyle w:val="8"/>
        <w:ind w:firstLineChars="500" w:firstLine="1200"/>
      </w:pPr>
      <w:r w:rsidRPr="001A4CF3">
        <w:rPr>
          <w:i/>
        </w:rPr>
        <w:t>N</w:t>
      </w:r>
      <w:r w:rsidRPr="008D2666">
        <w:rPr>
          <w:iCs/>
          <w:vertAlign w:val="subscript"/>
        </w:rPr>
        <w:t>n</w:t>
      </w:r>
      <w:r w:rsidRPr="00FD50F6">
        <w:t xml:space="preserve">     ——</w:t>
      </w:r>
      <w:r w:rsidRPr="00FD50F6">
        <w:t>每条线停放调车机车台数；</w:t>
      </w:r>
    </w:p>
    <w:p w14:paraId="1DB3CD90" w14:textId="50DFCA3D" w:rsidR="00427DED" w:rsidRPr="00FD50F6" w:rsidRDefault="00427DED" w:rsidP="00427DED">
      <w:pPr>
        <w:pStyle w:val="8"/>
        <w:ind w:firstLineChars="500" w:firstLine="1200"/>
      </w:pPr>
      <w:bookmarkStart w:id="1201" w:name="_Hlk120182677"/>
      <w:r w:rsidRPr="003F4DAE">
        <w:rPr>
          <w:i/>
        </w:rPr>
        <w:t>D</w:t>
      </w:r>
      <w:r>
        <w:rPr>
          <w:rFonts w:cs="Times New Roman"/>
          <w:iCs/>
          <w:kern w:val="0"/>
          <w:vertAlign w:val="subscript"/>
          <w:lang w:val="x-none" w:eastAsia="x-none"/>
        </w:rPr>
        <w:t>11</w:t>
      </w:r>
      <w:r w:rsidRPr="00FD50F6">
        <w:t xml:space="preserve">   ——</w:t>
      </w:r>
      <w:r w:rsidRPr="00FD50F6">
        <w:t>前后调车机车之间</w:t>
      </w:r>
      <w:r w:rsidRPr="00FD50F6">
        <w:rPr>
          <w:rFonts w:hint="eastAsia"/>
        </w:rPr>
        <w:t>距离</w:t>
      </w:r>
      <w:r w:rsidRPr="00FD50F6">
        <w:t>宽度（</w:t>
      </w:r>
      <w:r w:rsidRPr="00FD50F6">
        <w:t>m</w:t>
      </w:r>
      <w:r w:rsidRPr="00FD50F6">
        <w:t>）</w:t>
      </w:r>
      <w:r>
        <w:rPr>
          <w:rFonts w:hint="eastAsia"/>
        </w:rPr>
        <w:t>，</w:t>
      </w:r>
      <w:r>
        <w:t>取</w:t>
      </w:r>
      <w:r>
        <w:rPr>
          <w:rFonts w:hint="eastAsia"/>
        </w:rPr>
        <w:t>4</w:t>
      </w:r>
      <w:r>
        <w:t>m</w:t>
      </w:r>
      <w:r w:rsidRPr="00FD50F6">
        <w:t>；</w:t>
      </w:r>
    </w:p>
    <w:p w14:paraId="224C8EBC" w14:textId="345E616D" w:rsidR="004D0484" w:rsidRPr="00FD50F6" w:rsidRDefault="00427DED" w:rsidP="00427DED">
      <w:pPr>
        <w:pStyle w:val="8"/>
        <w:ind w:firstLineChars="500" w:firstLine="1200"/>
      </w:pPr>
      <w:r w:rsidRPr="003F4DAE">
        <w:rPr>
          <w:i/>
        </w:rPr>
        <w:t>D</w:t>
      </w:r>
      <w:r>
        <w:rPr>
          <w:rFonts w:cs="Times New Roman"/>
          <w:iCs/>
          <w:kern w:val="0"/>
          <w:vertAlign w:val="subscript"/>
          <w:lang w:val="x-none" w:eastAsia="x-none"/>
        </w:rPr>
        <w:t>12</w:t>
      </w:r>
      <w:r w:rsidRPr="00FD50F6">
        <w:t xml:space="preserve">   ——</w:t>
      </w:r>
      <w:r w:rsidRPr="00FD50F6">
        <w:t>车库前后横向通道宽度之和（</w:t>
      </w:r>
      <w:r w:rsidRPr="00FD50F6">
        <w:t>m</w:t>
      </w:r>
      <w:r w:rsidRPr="00FD50F6">
        <w:t>）</w:t>
      </w:r>
      <w:r>
        <w:rPr>
          <w:rFonts w:hint="eastAsia"/>
        </w:rPr>
        <w:t>，</w:t>
      </w:r>
      <w:r>
        <w:t>取</w:t>
      </w:r>
      <w:r>
        <w:rPr>
          <w:rFonts w:hint="eastAsia"/>
        </w:rPr>
        <w:t>7</w:t>
      </w:r>
      <w:r>
        <w:t>m</w:t>
      </w:r>
      <w:bookmarkEnd w:id="1201"/>
      <w:r w:rsidR="004D0484" w:rsidRPr="00FD50F6">
        <w:t>。</w:t>
      </w:r>
    </w:p>
    <w:p w14:paraId="6E0C8B80" w14:textId="74E173BF" w:rsidR="004D0484" w:rsidRPr="00FD50F6" w:rsidRDefault="004D0484" w:rsidP="004D0484">
      <w:pPr>
        <w:pStyle w:val="30"/>
      </w:pPr>
      <w:r w:rsidRPr="00FD50F6">
        <w:t>车辆段应设试车线，其设计应符合下列</w:t>
      </w:r>
      <w:r w:rsidRPr="00FD50F6">
        <w:rPr>
          <w:rFonts w:hint="eastAsia"/>
        </w:rPr>
        <w:t>规定</w:t>
      </w:r>
      <w:r w:rsidRPr="00FD50F6">
        <w:t>：</w:t>
      </w:r>
    </w:p>
    <w:p w14:paraId="72509918" w14:textId="0EA10628" w:rsidR="004D0484" w:rsidRPr="00FD50F6" w:rsidRDefault="004D0484" w:rsidP="00A926BD">
      <w:pPr>
        <w:pStyle w:val="4"/>
      </w:pPr>
      <w:r w:rsidRPr="00FD50F6">
        <w:t>试车线有效长度应根据车辆性能和技术参数及试车综合作业要求计算确定</w:t>
      </w:r>
      <w:r w:rsidRPr="00FD50F6">
        <w:rPr>
          <w:rFonts w:hint="eastAsia"/>
        </w:rPr>
        <w:t>，全自动运行线路的试车线长度应满足信号控制要求。</w:t>
      </w:r>
      <w:r w:rsidRPr="00FD50F6">
        <w:t>试车线两端应设安全防护措施</w:t>
      </w:r>
      <w:r w:rsidRPr="00FD50F6">
        <w:rPr>
          <w:rFonts w:hint="eastAsia"/>
        </w:rPr>
        <w:t>。</w:t>
      </w:r>
    </w:p>
    <w:p w14:paraId="190E27A1" w14:textId="7DFA33C1" w:rsidR="004D0484" w:rsidRPr="00FD50F6" w:rsidRDefault="004D0484" w:rsidP="00A926BD">
      <w:pPr>
        <w:pStyle w:val="4"/>
      </w:pPr>
      <w:r w:rsidRPr="00FD50F6">
        <w:t>试车线应为平直线路，困难时</w:t>
      </w:r>
      <w:r w:rsidRPr="00FD50F6">
        <w:rPr>
          <w:rFonts w:hint="eastAsia"/>
        </w:rPr>
        <w:t>，</w:t>
      </w:r>
      <w:r w:rsidRPr="00FD50F6">
        <w:t>在满足试车速度要求条件下可设适当曲线。试车线的</w:t>
      </w:r>
      <w:r w:rsidR="006F70EE">
        <w:t>其他</w:t>
      </w:r>
      <w:r w:rsidRPr="00FD50F6">
        <w:t>技术标准应与正线标准一致</w:t>
      </w:r>
      <w:r w:rsidRPr="00FD50F6">
        <w:rPr>
          <w:rFonts w:hint="eastAsia"/>
        </w:rPr>
        <w:t>。</w:t>
      </w:r>
    </w:p>
    <w:p w14:paraId="4F131358" w14:textId="0D95B01F" w:rsidR="004D0484" w:rsidRPr="00FD50F6" w:rsidRDefault="004D0484" w:rsidP="00A926BD">
      <w:pPr>
        <w:pStyle w:val="4"/>
      </w:pPr>
      <w:r w:rsidRPr="00FD50F6">
        <w:t>试车线应设置试车设备房屋</w:t>
      </w:r>
      <w:r w:rsidRPr="00FD50F6">
        <w:rPr>
          <w:rFonts w:hint="eastAsia"/>
        </w:rPr>
        <w:t>，</w:t>
      </w:r>
      <w:r w:rsidRPr="00FD50F6">
        <w:t>并宜在适当位置设置检查坑，试车线检查坑长度不应小于</w:t>
      </w:r>
      <w:r w:rsidRPr="00FD50F6">
        <w:t>2</w:t>
      </w:r>
      <w:r w:rsidRPr="00FD50F6">
        <w:rPr>
          <w:rFonts w:hint="eastAsia"/>
        </w:rPr>
        <w:t>辆</w:t>
      </w:r>
      <w:r w:rsidRPr="00FD50F6">
        <w:t>车长度加</w:t>
      </w:r>
      <w:r w:rsidRPr="00FD50F6">
        <w:t>5m</w:t>
      </w:r>
      <w:r w:rsidRPr="00FD50F6">
        <w:t>，检查坑深度应为</w:t>
      </w:r>
      <w:r w:rsidRPr="00FD50F6">
        <w:t>1.2m</w:t>
      </w:r>
      <w:r w:rsidRPr="00FD50F6">
        <w:t>～</w:t>
      </w:r>
      <w:r w:rsidRPr="00FD50F6">
        <w:t>1.5m</w:t>
      </w:r>
      <w:r w:rsidRPr="00FD50F6">
        <w:t>，坑内应有良好的排水设施</w:t>
      </w:r>
      <w:r w:rsidRPr="00FD50F6">
        <w:rPr>
          <w:rFonts w:hint="eastAsia"/>
        </w:rPr>
        <w:t>。</w:t>
      </w:r>
    </w:p>
    <w:p w14:paraId="29D9F83A" w14:textId="77777777" w:rsidR="004D0484" w:rsidRPr="00FD50F6" w:rsidRDefault="004D0484" w:rsidP="00A926BD">
      <w:pPr>
        <w:pStyle w:val="4"/>
      </w:pPr>
      <w:r w:rsidRPr="00FD50F6">
        <w:t>试车线应根据列车的供电方式设接触网或接触轨供电，并应单独设隔离开关。</w:t>
      </w:r>
    </w:p>
    <w:p w14:paraId="2A149A12" w14:textId="42923D6C" w:rsidR="004D0484" w:rsidRPr="00FD50F6" w:rsidRDefault="004D0484" w:rsidP="004D0484">
      <w:pPr>
        <w:pStyle w:val="30"/>
      </w:pPr>
      <w:r w:rsidRPr="00FD50F6">
        <w:t>车辆段应设</w:t>
      </w:r>
      <w:r w:rsidRPr="00FD50F6">
        <w:rPr>
          <w:rFonts w:hint="eastAsia"/>
        </w:rPr>
        <w:t>清</w:t>
      </w:r>
      <w:r w:rsidRPr="00FD50F6">
        <w:t>扫设施，其设计应符合下列</w:t>
      </w:r>
      <w:r w:rsidRPr="00FD50F6">
        <w:rPr>
          <w:rFonts w:hint="eastAsia"/>
        </w:rPr>
        <w:t>规定</w:t>
      </w:r>
      <w:r w:rsidRPr="00FD50F6">
        <w:t>：</w:t>
      </w:r>
    </w:p>
    <w:p w14:paraId="73676593" w14:textId="04DDBCC8" w:rsidR="004D0484" w:rsidRPr="00FD50F6" w:rsidRDefault="004D0484" w:rsidP="00A926BD">
      <w:pPr>
        <w:pStyle w:val="4"/>
      </w:pPr>
      <w:r w:rsidRPr="00FD50F6">
        <w:rPr>
          <w:rFonts w:hint="eastAsia"/>
        </w:rPr>
        <w:t>清扫设施宜包括清扫线、清扫作业平台和清扫设备；清扫作业平台应设有防护栏，平台的结构尺寸应根据车辆结构和作业要求确定。</w:t>
      </w:r>
    </w:p>
    <w:p w14:paraId="60B0ABB7" w14:textId="49A000D3" w:rsidR="004D0484" w:rsidRPr="00FD50F6" w:rsidRDefault="004D0484" w:rsidP="00A926BD">
      <w:pPr>
        <w:pStyle w:val="4"/>
      </w:pPr>
      <w:r w:rsidRPr="00FD50F6">
        <w:rPr>
          <w:rFonts w:hint="eastAsia"/>
        </w:rPr>
        <w:lastRenderedPageBreak/>
        <w:t>清扫设备应根据清扫作业的要求选用成熟可靠产品，并应根据作业和设备的要求配备辅助生产房屋。</w:t>
      </w:r>
    </w:p>
    <w:p w14:paraId="74B87A4C" w14:textId="18200CA2" w:rsidR="004D0484" w:rsidRPr="00FD50F6" w:rsidRDefault="004D0484" w:rsidP="00A926BD">
      <w:pPr>
        <w:pStyle w:val="4"/>
      </w:pPr>
      <w:r w:rsidRPr="00FD50F6">
        <w:rPr>
          <w:rFonts w:hint="eastAsia"/>
        </w:rPr>
        <w:t>严寒、寒冷地区或设备有要求时应设清扫库，其他地区可设清扫棚或按露天设计。严寒、寒冷地区的清扫库应有供暖设施。</w:t>
      </w:r>
    </w:p>
    <w:p w14:paraId="6438A83F" w14:textId="20916DC8" w:rsidR="004D0484" w:rsidRPr="00FD50F6" w:rsidRDefault="004D0484" w:rsidP="00A926BD">
      <w:pPr>
        <w:pStyle w:val="4"/>
      </w:pPr>
      <w:r w:rsidRPr="00FD50F6">
        <w:rPr>
          <w:rFonts w:hint="eastAsia"/>
        </w:rPr>
        <w:t>清扫库的长度、宽度和高度应根据清扫作业要求确定。</w:t>
      </w:r>
    </w:p>
    <w:p w14:paraId="6C9B75CA" w14:textId="77777777" w:rsidR="004D0484" w:rsidRPr="00FD50F6" w:rsidRDefault="004D0484" w:rsidP="004D0484">
      <w:pPr>
        <w:pStyle w:val="30"/>
      </w:pPr>
      <w:r w:rsidRPr="00FD50F6">
        <w:t>油漆库应设置通风设备，并应采取消防和环保措施。库内电气设备均应符合防爆要求。</w:t>
      </w:r>
    </w:p>
    <w:p w14:paraId="2302BEB8" w14:textId="062D5DB6" w:rsidR="004D0484" w:rsidRPr="00FD50F6" w:rsidRDefault="004D0484" w:rsidP="004D0484">
      <w:pPr>
        <w:pStyle w:val="30"/>
      </w:pPr>
      <w:r w:rsidRPr="00FD50F6">
        <w:t>大、架修段转向架间的设计应符合下列</w:t>
      </w:r>
      <w:r w:rsidRPr="00FD50F6">
        <w:rPr>
          <w:rFonts w:hint="eastAsia"/>
        </w:rPr>
        <w:t>规定</w:t>
      </w:r>
      <w:r w:rsidRPr="00FD50F6">
        <w:t>：</w:t>
      </w:r>
    </w:p>
    <w:p w14:paraId="3B5B67E5" w14:textId="77777777" w:rsidR="004D0484" w:rsidRPr="00FD50F6" w:rsidRDefault="004D0484" w:rsidP="00A926BD">
      <w:pPr>
        <w:pStyle w:val="4"/>
      </w:pPr>
      <w:r w:rsidRPr="00FD50F6">
        <w:t>转向架间应毗邻架修库设置，并应设有转向架和轮对等零部件的清洗、拆装、探伤</w:t>
      </w:r>
      <w:r w:rsidRPr="00FD50F6">
        <w:rPr>
          <w:rFonts w:hint="eastAsia"/>
        </w:rPr>
        <w:t>、</w:t>
      </w:r>
      <w:r w:rsidRPr="00FD50F6">
        <w:t>检修和试验设备；</w:t>
      </w:r>
    </w:p>
    <w:p w14:paraId="3CAD87DF" w14:textId="77777777" w:rsidR="004D0484" w:rsidRPr="00FD50F6" w:rsidRDefault="004D0484" w:rsidP="00A926BD">
      <w:pPr>
        <w:pStyle w:val="4"/>
        <w:rPr>
          <w:b/>
        </w:rPr>
      </w:pPr>
      <w:r w:rsidRPr="00FD50F6">
        <w:t>转向架间规模和检修台位应根据转向架检修任务量、作业方式和检修时间计算确定；</w:t>
      </w:r>
    </w:p>
    <w:p w14:paraId="68423B05" w14:textId="77777777" w:rsidR="004D0484" w:rsidRPr="00FD50F6" w:rsidRDefault="004D0484" w:rsidP="00A926BD">
      <w:pPr>
        <w:pStyle w:val="4"/>
      </w:pPr>
      <w:r w:rsidRPr="00FD50F6">
        <w:t>转向架间内应设</w:t>
      </w:r>
      <w:r w:rsidRPr="00FD50F6">
        <w:t>10t</w:t>
      </w:r>
      <w:r w:rsidRPr="00FD50F6">
        <w:t>电动桥式起重机；</w:t>
      </w:r>
    </w:p>
    <w:p w14:paraId="4FDF13D2" w14:textId="23FF9AB5" w:rsidR="004D0484" w:rsidRPr="00FD50F6" w:rsidRDefault="004D0484" w:rsidP="00A926BD">
      <w:pPr>
        <w:pStyle w:val="4"/>
      </w:pPr>
      <w:r w:rsidRPr="00FD50F6">
        <w:t>转向架间内或附近应设轮对存放间存放备用轮对和待修轮对</w:t>
      </w:r>
      <w:r w:rsidRPr="00FD50F6">
        <w:rPr>
          <w:rFonts w:hint="eastAsia"/>
        </w:rPr>
        <w:t>，</w:t>
      </w:r>
      <w:r w:rsidRPr="00FD50F6">
        <w:t>备用轮对的数量不应小于同时</w:t>
      </w:r>
      <w:r w:rsidRPr="00FD50F6">
        <w:rPr>
          <w:rFonts w:hint="eastAsia"/>
        </w:rPr>
        <w:t>架</w:t>
      </w:r>
      <w:r w:rsidRPr="00FD50F6">
        <w:t>修车辆所需轮对的</w:t>
      </w:r>
      <w:r w:rsidRPr="00FD50F6">
        <w:t>2</w:t>
      </w:r>
      <w:r w:rsidRPr="00FD50F6">
        <w:t>倍</w:t>
      </w:r>
      <w:r w:rsidRPr="00FD50F6">
        <w:rPr>
          <w:rFonts w:hint="eastAsia"/>
        </w:rPr>
        <w:t>，</w:t>
      </w:r>
      <w:r w:rsidRPr="00FD50F6">
        <w:t>待修轮对存放数量可根据本段轮对加工能力确定；</w:t>
      </w:r>
    </w:p>
    <w:p w14:paraId="3C08336F" w14:textId="77777777" w:rsidR="004D0484" w:rsidRPr="00FD50F6" w:rsidRDefault="004D0484" w:rsidP="00A926BD">
      <w:pPr>
        <w:pStyle w:val="4"/>
      </w:pPr>
      <w:r w:rsidRPr="00FD50F6">
        <w:t>轮对存放间内应设不小于</w:t>
      </w:r>
      <w:r w:rsidRPr="00FD50F6">
        <w:t>2t</w:t>
      </w:r>
      <w:r w:rsidRPr="00FD50F6">
        <w:t>的电动起重机。</w:t>
      </w:r>
    </w:p>
    <w:p w14:paraId="21AA027E" w14:textId="456E5E7C" w:rsidR="004D0484" w:rsidRPr="00FD50F6" w:rsidRDefault="004D0484" w:rsidP="004D0484">
      <w:pPr>
        <w:pStyle w:val="30"/>
      </w:pPr>
      <w:r w:rsidRPr="00FD50F6">
        <w:t>大、架修段电机间应邻近转向架间设置，间内应根据作业需要配备电机分解、检测、清洗和组装设备，以及起重运输设备，其中电机试验间与其电源应毗邻设置，并应采取降噪、隔声措施。有条件时，电机可外委专业工厂检修。</w:t>
      </w:r>
    </w:p>
    <w:p w14:paraId="122E5519" w14:textId="77777777" w:rsidR="004D0484" w:rsidRPr="00FD50F6" w:rsidRDefault="004D0484" w:rsidP="004D0484">
      <w:pPr>
        <w:pStyle w:val="30"/>
      </w:pPr>
      <w:r w:rsidRPr="00FD50F6">
        <w:t>定修段应配置备用转向架存放场地，其存放数量应根据定修、临修任务量确定。</w:t>
      </w:r>
    </w:p>
    <w:p w14:paraId="168351D6" w14:textId="362BA6CB" w:rsidR="004D0484" w:rsidRPr="00FD50F6" w:rsidRDefault="004D0484" w:rsidP="004D0484">
      <w:pPr>
        <w:pStyle w:val="30"/>
      </w:pPr>
      <w:r w:rsidRPr="00FD50F6">
        <w:t>车辆段蓄电池间设计应符合下列</w:t>
      </w:r>
      <w:r w:rsidRPr="00FD50F6">
        <w:rPr>
          <w:rFonts w:hint="eastAsia"/>
        </w:rPr>
        <w:t>规定</w:t>
      </w:r>
      <w:r w:rsidRPr="00FD50F6">
        <w:t>：</w:t>
      </w:r>
    </w:p>
    <w:p w14:paraId="46E74998" w14:textId="0311E5FA" w:rsidR="004D0484" w:rsidRPr="00FD50F6" w:rsidRDefault="004D0484" w:rsidP="00A926BD">
      <w:pPr>
        <w:pStyle w:val="4"/>
      </w:pPr>
      <w:r w:rsidRPr="00FD50F6">
        <w:t>蓄电池间的规模应满足地铁车辆蓄电池检修和充电需要，并宜承担段内调车机车、工程车、蓄电池搬运车和汽车等的蓄电池检修和充电；</w:t>
      </w:r>
    </w:p>
    <w:p w14:paraId="31FF37AB" w14:textId="77777777" w:rsidR="004D0484" w:rsidRPr="00FD50F6" w:rsidRDefault="004D0484" w:rsidP="00A926BD">
      <w:pPr>
        <w:pStyle w:val="4"/>
      </w:pPr>
      <w:r w:rsidRPr="00FD50F6">
        <w:t>蓄电池间应设有电源室、蓄电池检修室、充电室、药品储存室和值班室；</w:t>
      </w:r>
    </w:p>
    <w:p w14:paraId="270760BB" w14:textId="77777777" w:rsidR="004D0484" w:rsidRPr="00FD50F6" w:rsidRDefault="004D0484" w:rsidP="00A926BD">
      <w:pPr>
        <w:pStyle w:val="4"/>
      </w:pPr>
      <w:r w:rsidRPr="00FD50F6">
        <w:t>检修室和充电室应有通风、给排水设施；</w:t>
      </w:r>
    </w:p>
    <w:p w14:paraId="6116B5F5" w14:textId="77777777" w:rsidR="004D0484" w:rsidRPr="00FD50F6" w:rsidRDefault="004D0484" w:rsidP="00A926BD">
      <w:pPr>
        <w:pStyle w:val="4"/>
      </w:pPr>
      <w:r w:rsidRPr="00FD50F6">
        <w:rPr>
          <w:rFonts w:hint="eastAsia"/>
        </w:rPr>
        <w:t>承担</w:t>
      </w:r>
      <w:r w:rsidRPr="00FD50F6">
        <w:t>酸性蓄电池</w:t>
      </w:r>
      <w:r w:rsidRPr="00FD50F6">
        <w:rPr>
          <w:rFonts w:hint="eastAsia"/>
        </w:rPr>
        <w:t>检修的蓄电池间应独立设置，</w:t>
      </w:r>
      <w:r w:rsidRPr="00FD50F6">
        <w:t>充电室应为防酸地面，并应采取防爆措施。</w:t>
      </w:r>
    </w:p>
    <w:p w14:paraId="3F4F518B" w14:textId="60B05C7E" w:rsidR="004D0484" w:rsidRPr="00FD50F6" w:rsidRDefault="004D0484" w:rsidP="004D0484">
      <w:pPr>
        <w:pStyle w:val="30"/>
      </w:pPr>
      <w:r w:rsidRPr="00FD50F6">
        <w:t>车辆段电器间、制动间和空调检修间应根据其作业要求配备相应的检修</w:t>
      </w:r>
      <w:r w:rsidRPr="00FD50F6">
        <w:lastRenderedPageBreak/>
        <w:t>设备和起重运输设备。</w:t>
      </w:r>
    </w:p>
    <w:p w14:paraId="60F81DA8" w14:textId="77777777" w:rsidR="004D0484" w:rsidRPr="00FD50F6" w:rsidRDefault="004D0484" w:rsidP="004D0484">
      <w:pPr>
        <w:pStyle w:val="30"/>
      </w:pPr>
      <w:r w:rsidRPr="00FD50F6">
        <w:t>车辆段应设材料、备品仓库，并应配备起重和运输设备。</w:t>
      </w:r>
    </w:p>
    <w:p w14:paraId="29969FE8" w14:textId="77777777" w:rsidR="004D0484" w:rsidRPr="00FD50F6" w:rsidRDefault="004D0484" w:rsidP="00A65181">
      <w:pPr>
        <w:pStyle w:val="2"/>
      </w:pPr>
      <w:bookmarkStart w:id="1202" w:name="_Toc236812105"/>
      <w:bookmarkStart w:id="1203" w:name="_Toc306207283"/>
      <w:bookmarkStart w:id="1204" w:name="_Toc306207474"/>
      <w:bookmarkStart w:id="1205" w:name="_Toc320196141"/>
      <w:bookmarkStart w:id="1206" w:name="_Toc320643530"/>
      <w:bookmarkStart w:id="1207" w:name="_Toc32511922"/>
      <w:bookmarkStart w:id="1208" w:name="_Toc112830869"/>
      <w:r w:rsidRPr="00FD50F6">
        <w:t>车辆段设备维修与动力设施</w:t>
      </w:r>
      <w:bookmarkEnd w:id="1202"/>
      <w:bookmarkEnd w:id="1203"/>
      <w:bookmarkEnd w:id="1204"/>
      <w:bookmarkEnd w:id="1205"/>
      <w:bookmarkEnd w:id="1206"/>
      <w:bookmarkEnd w:id="1207"/>
      <w:bookmarkEnd w:id="1208"/>
    </w:p>
    <w:p w14:paraId="12815403" w14:textId="77777777" w:rsidR="004D0484" w:rsidRPr="00FD50F6" w:rsidRDefault="004D0484" w:rsidP="004D0484">
      <w:pPr>
        <w:pStyle w:val="30"/>
      </w:pPr>
      <w:r w:rsidRPr="00FD50F6">
        <w:t>车辆段设备维修设施应包括设备维修车间和相应管理部门，其工作范围应包括下列内容：</w:t>
      </w:r>
    </w:p>
    <w:p w14:paraId="0680AA92" w14:textId="77777777" w:rsidR="004D0484" w:rsidRPr="00FD50F6" w:rsidRDefault="004D0484" w:rsidP="00A926BD">
      <w:pPr>
        <w:pStyle w:val="4"/>
      </w:pPr>
      <w:r w:rsidRPr="00FD50F6">
        <w:t>全段机电设备的管理和中、小修程的检修工作；</w:t>
      </w:r>
    </w:p>
    <w:p w14:paraId="111C4E5A" w14:textId="77777777" w:rsidR="004D0484" w:rsidRPr="00FD50F6" w:rsidRDefault="004D0484" w:rsidP="00A926BD">
      <w:pPr>
        <w:pStyle w:val="4"/>
      </w:pPr>
      <w:r w:rsidRPr="00FD50F6">
        <w:t>全段各种生产工具的维修和管理工作；</w:t>
      </w:r>
    </w:p>
    <w:p w14:paraId="05F685BA" w14:textId="77777777" w:rsidR="004D0484" w:rsidRPr="00FD50F6" w:rsidRDefault="004D0484" w:rsidP="00A926BD">
      <w:pPr>
        <w:pStyle w:val="4"/>
      </w:pPr>
      <w:r w:rsidRPr="00FD50F6">
        <w:t>段内技术更新改造和小型非标准设备的制作任务。</w:t>
      </w:r>
    </w:p>
    <w:p w14:paraId="5D74D86E" w14:textId="71CE0CCC" w:rsidR="004D0484" w:rsidRPr="00FD50F6" w:rsidRDefault="004D0484" w:rsidP="004D0484">
      <w:pPr>
        <w:pStyle w:val="30"/>
      </w:pPr>
      <w:r w:rsidRPr="00FD50F6">
        <w:t>车辆段生产设备应实行统一管理、集中检修。设备的大修宜对外委托或与外部协作进行。</w:t>
      </w:r>
    </w:p>
    <w:p w14:paraId="669FE613" w14:textId="782A654F" w:rsidR="004D0484" w:rsidRPr="00FD50F6" w:rsidRDefault="004D0484" w:rsidP="004D0484">
      <w:pPr>
        <w:pStyle w:val="30"/>
      </w:pPr>
      <w:r w:rsidRPr="00FD50F6">
        <w:t>车辆段设备维修</w:t>
      </w:r>
      <w:r w:rsidRPr="00FD50F6">
        <w:rPr>
          <w:rFonts w:hint="eastAsia"/>
        </w:rPr>
        <w:t>宜</w:t>
      </w:r>
      <w:r w:rsidRPr="00FD50F6">
        <w:t>根据段内机电设备和动力设施维护、检修的需要配备金属切削与加工设备、电焊与气焊设备、电器检测设备、管道维修设备和起重运输设备等。车辆</w:t>
      </w:r>
      <w:r w:rsidRPr="00FD50F6">
        <w:rPr>
          <w:rFonts w:hint="eastAsia"/>
        </w:rPr>
        <w:t>检修与设备维修</w:t>
      </w:r>
      <w:r w:rsidRPr="00FD50F6">
        <w:t>的通用设备宜合并设置。</w:t>
      </w:r>
    </w:p>
    <w:p w14:paraId="1F4A593F" w14:textId="77777777" w:rsidR="004D0484" w:rsidRPr="00FD50F6" w:rsidRDefault="004D0484" w:rsidP="004D0484">
      <w:pPr>
        <w:pStyle w:val="30"/>
      </w:pPr>
      <w:r w:rsidRPr="00FD50F6">
        <w:t>空压机</w:t>
      </w:r>
      <w:r w:rsidRPr="00FD50F6">
        <w:rPr>
          <w:rFonts w:hint="eastAsia"/>
        </w:rPr>
        <w:t>设备</w:t>
      </w:r>
      <w:r w:rsidRPr="00FD50F6">
        <w:t>间的空压机应选择低噪声、节能型产品，其压力和容量应根据用风设备的要求确定。</w:t>
      </w:r>
    </w:p>
    <w:p w14:paraId="024E8069" w14:textId="21B9F2C7" w:rsidR="004D0484" w:rsidRPr="00FD50F6" w:rsidRDefault="004D0484" w:rsidP="004D0484">
      <w:pPr>
        <w:pStyle w:val="30"/>
      </w:pPr>
      <w:r w:rsidRPr="00FD50F6">
        <w:t>车辆段应根据工艺要求和当地的具体情况设置供暖、通风和空调设施。供暖地区宜利用城市集中供热系统。</w:t>
      </w:r>
      <w:r w:rsidRPr="00FD50F6">
        <w:rPr>
          <w:rFonts w:hint="eastAsia"/>
        </w:rPr>
        <w:t>当</w:t>
      </w:r>
      <w:r w:rsidRPr="00FD50F6">
        <w:t>独立设计锅炉房时，应符合现行国家标准《锅炉房设计规范》</w:t>
      </w:r>
      <w:r w:rsidRPr="00FD50F6">
        <w:t>GB 50041</w:t>
      </w:r>
      <w:r w:rsidRPr="00FD50F6">
        <w:t>的规定。</w:t>
      </w:r>
    </w:p>
    <w:p w14:paraId="18A0EA4E" w14:textId="77777777" w:rsidR="004D0484" w:rsidRPr="00FD50F6" w:rsidRDefault="004D0484" w:rsidP="00A65181">
      <w:pPr>
        <w:pStyle w:val="2"/>
      </w:pPr>
      <w:bookmarkStart w:id="1209" w:name="_Toc236812106"/>
      <w:bookmarkStart w:id="1210" w:name="_Toc306207284"/>
      <w:bookmarkStart w:id="1211" w:name="_Toc306207475"/>
      <w:bookmarkStart w:id="1212" w:name="_Toc320196142"/>
      <w:bookmarkStart w:id="1213" w:name="_Toc320643531"/>
      <w:bookmarkStart w:id="1214" w:name="_Toc32511923"/>
      <w:bookmarkStart w:id="1215" w:name="_Toc112830870"/>
      <w:r w:rsidRPr="00FD50F6">
        <w:t>综合维修中心</w:t>
      </w:r>
      <w:bookmarkEnd w:id="1209"/>
      <w:bookmarkEnd w:id="1210"/>
      <w:bookmarkEnd w:id="1211"/>
      <w:bookmarkEnd w:id="1212"/>
      <w:bookmarkEnd w:id="1213"/>
      <w:bookmarkEnd w:id="1214"/>
      <w:bookmarkEnd w:id="1215"/>
    </w:p>
    <w:p w14:paraId="7049619E" w14:textId="77777777" w:rsidR="004D0484" w:rsidRPr="00FD50F6" w:rsidRDefault="004D0484" w:rsidP="004D0484">
      <w:pPr>
        <w:pStyle w:val="30"/>
      </w:pPr>
      <w:r w:rsidRPr="00FD50F6">
        <w:t>综合维修中心应满足全线线路路基、轨道、桥梁、涵洞、隧道、房屋建筑和道路等设施的维修、保养，以及供电、通信、信号、机电设备和自动化设备的维修和检修工作的需要。</w:t>
      </w:r>
    </w:p>
    <w:p w14:paraId="4A32CC7B" w14:textId="77777777" w:rsidR="004D0484" w:rsidRPr="00FD50F6" w:rsidRDefault="004D0484" w:rsidP="004D0484">
      <w:pPr>
        <w:pStyle w:val="30"/>
      </w:pPr>
      <w:r w:rsidRPr="00FD50F6">
        <w:t>地铁线路、桥涵、房屋建筑、道路等设施和机电设备的维修应利用地方资源，大修宜对外委托当地专业队伍或工厂承担。</w:t>
      </w:r>
    </w:p>
    <w:p w14:paraId="19DB5BAF" w14:textId="77777777" w:rsidR="004D0484" w:rsidRPr="00FD50F6" w:rsidRDefault="004D0484" w:rsidP="004D0484">
      <w:pPr>
        <w:pStyle w:val="30"/>
      </w:pPr>
      <w:r w:rsidRPr="00FD50F6">
        <w:t>综合维修中心根据其规模和工作范围可分为维修中心、维修工区和维修组。维修中心宜设于车辆段级的基地内，可分别在相关的停车场设维修工区或维修组。维修工区和维修组应按隶属于维修中心管理设计。</w:t>
      </w:r>
    </w:p>
    <w:p w14:paraId="0F59099E" w14:textId="77777777" w:rsidR="004D0484" w:rsidRPr="00FD50F6" w:rsidRDefault="004D0484" w:rsidP="004D0484">
      <w:pPr>
        <w:pStyle w:val="30"/>
      </w:pPr>
      <w:r w:rsidRPr="00FD50F6">
        <w:lastRenderedPageBreak/>
        <w:t>维修中心宜根据各专业的性质分设工务与建筑、供电、通信与信号、机电和自动化等车间。</w:t>
      </w:r>
    </w:p>
    <w:p w14:paraId="65D298FC" w14:textId="30A20AD0" w:rsidR="004D0484" w:rsidRPr="00FD50F6" w:rsidRDefault="004D0484" w:rsidP="004D0484">
      <w:pPr>
        <w:pStyle w:val="30"/>
      </w:pPr>
      <w:r w:rsidRPr="00FD50F6">
        <w:t>维修中心应根据生产的需要配备生产房屋、仓库和办公、生活房屋。房屋的布置应根据作业性质结合总平面布置的具体情况合理布局。生产房屋宜合建为维修综合楼；办公房屋宜与车辆段办公房屋合建为综合办公楼</w:t>
      </w:r>
      <w:r w:rsidRPr="00FD50F6">
        <w:rPr>
          <w:rFonts w:hint="eastAsia"/>
        </w:rPr>
        <w:t>；</w:t>
      </w:r>
      <w:r w:rsidRPr="00FD50F6">
        <w:t>食堂、浴室等生活房屋应与车辆段同类设施合并设置。</w:t>
      </w:r>
    </w:p>
    <w:p w14:paraId="5B43EA4A" w14:textId="53859BF0" w:rsidR="004D0484" w:rsidRPr="00FD50F6" w:rsidRDefault="004D0484" w:rsidP="004D0484">
      <w:pPr>
        <w:pStyle w:val="30"/>
      </w:pPr>
      <w:r w:rsidRPr="00FD50F6">
        <w:t>综合维修中心的变电所、空压机间和供热、供水设施应利用车辆段相关设备和设施。</w:t>
      </w:r>
    </w:p>
    <w:p w14:paraId="5780048E" w14:textId="6E1971C8" w:rsidR="004D0484" w:rsidRPr="00FD50F6" w:rsidRDefault="004D0484" w:rsidP="004D0484">
      <w:pPr>
        <w:pStyle w:val="30"/>
      </w:pPr>
      <w:r w:rsidRPr="00FD50F6">
        <w:t>维修中心应根据各专业的作业内容配备设备和轨道</w:t>
      </w:r>
      <w:r w:rsidRPr="00FD50F6">
        <w:rPr>
          <w:rFonts w:hint="eastAsia"/>
        </w:rPr>
        <w:t>探伤</w:t>
      </w:r>
      <w:r w:rsidRPr="00FD50F6">
        <w:t>检测车、接触网检修车、磨轨车、轨道车及平板车等工程车辆，并应配备相应的线路和工程车库。</w:t>
      </w:r>
    </w:p>
    <w:p w14:paraId="653B9619" w14:textId="37DB0997" w:rsidR="004D0484" w:rsidRPr="00FD50F6" w:rsidRDefault="004D0484" w:rsidP="004D0484">
      <w:pPr>
        <w:pStyle w:val="30"/>
      </w:pPr>
      <w:r w:rsidRPr="00FD50F6">
        <w:t>轨道检测车、接触网检修车、磨轨车和</w:t>
      </w:r>
      <w:r w:rsidRPr="00FD50F6">
        <w:rPr>
          <w:rFonts w:hint="eastAsia"/>
        </w:rPr>
        <w:t>隧道冲洗</w:t>
      </w:r>
      <w:r w:rsidRPr="00FD50F6">
        <w:t>车等大型工程车辆应按</w:t>
      </w:r>
      <w:r w:rsidRPr="00FD50F6">
        <w:rPr>
          <w:rFonts w:hint="eastAsia"/>
        </w:rPr>
        <w:t>线网</w:t>
      </w:r>
      <w:r w:rsidRPr="00FD50F6">
        <w:t>资源共享原则配备。</w:t>
      </w:r>
    </w:p>
    <w:p w14:paraId="39FA271B" w14:textId="77777777" w:rsidR="004D0484" w:rsidRPr="00FD50F6" w:rsidRDefault="004D0484" w:rsidP="00A65181">
      <w:pPr>
        <w:pStyle w:val="2"/>
      </w:pPr>
      <w:bookmarkStart w:id="1216" w:name="_Toc236812107"/>
      <w:bookmarkStart w:id="1217" w:name="_Toc306207285"/>
      <w:bookmarkStart w:id="1218" w:name="_Toc306207476"/>
      <w:bookmarkStart w:id="1219" w:name="_Toc320196143"/>
      <w:bookmarkStart w:id="1220" w:name="_Toc320643532"/>
      <w:bookmarkStart w:id="1221" w:name="_Toc32511924"/>
      <w:bookmarkStart w:id="1222" w:name="_Toc112830871"/>
      <w:r w:rsidRPr="00FD50F6">
        <w:t>物资总库</w:t>
      </w:r>
      <w:bookmarkEnd w:id="1216"/>
      <w:bookmarkEnd w:id="1217"/>
      <w:bookmarkEnd w:id="1218"/>
      <w:bookmarkEnd w:id="1219"/>
      <w:bookmarkEnd w:id="1220"/>
      <w:bookmarkEnd w:id="1221"/>
      <w:bookmarkEnd w:id="1222"/>
    </w:p>
    <w:p w14:paraId="4CBB1179" w14:textId="00EB96AE" w:rsidR="004D0484" w:rsidRPr="00FD50F6" w:rsidRDefault="004D0484" w:rsidP="004D0484">
      <w:pPr>
        <w:pStyle w:val="30"/>
      </w:pPr>
      <w:r w:rsidRPr="00FD50F6">
        <w:t>地铁系统应设物资总库，物资总库应承担地铁系统材料、配件、设备和机具及劳保用品等的采购、存放、发放和管理工作。</w:t>
      </w:r>
    </w:p>
    <w:p w14:paraId="3F9A208E" w14:textId="77777777" w:rsidR="004D0484" w:rsidRPr="00FD50F6" w:rsidRDefault="004D0484" w:rsidP="004D0484">
      <w:pPr>
        <w:pStyle w:val="30"/>
      </w:pPr>
      <w:r w:rsidRPr="00FD50F6">
        <w:t>物资总库宜设在车辆段内，停车场</w:t>
      </w:r>
      <w:r w:rsidRPr="00FD50F6">
        <w:rPr>
          <w:rFonts w:hint="eastAsia"/>
        </w:rPr>
        <w:t>可</w:t>
      </w:r>
      <w:r w:rsidRPr="00FD50F6">
        <w:t>设置物资分库或材料库。</w:t>
      </w:r>
    </w:p>
    <w:p w14:paraId="16DFBA03" w14:textId="48B1589F" w:rsidR="004D0484" w:rsidRPr="00FD50F6" w:rsidRDefault="004D0484" w:rsidP="004D0484">
      <w:pPr>
        <w:pStyle w:val="30"/>
      </w:pPr>
      <w:r w:rsidRPr="00FD50F6">
        <w:t>物资总库、物资分库应设有各种仓库、材料棚和办公、生活房屋，并应设有材料堆放场地。物资总库宜设立体仓储设备。</w:t>
      </w:r>
    </w:p>
    <w:p w14:paraId="1FEFB113" w14:textId="77777777" w:rsidR="004D0484" w:rsidRPr="00FD50F6" w:rsidRDefault="004D0484" w:rsidP="004D0484">
      <w:pPr>
        <w:pStyle w:val="30"/>
      </w:pPr>
      <w:r w:rsidRPr="00FD50F6">
        <w:t>各种仓库的规模应根据所需存放材料、配件和设备的种类和数量确定。材料堆放场地应采用硬化地面。</w:t>
      </w:r>
    </w:p>
    <w:p w14:paraId="4968F148" w14:textId="56A1A899" w:rsidR="004D0484" w:rsidRPr="00FD50F6" w:rsidRDefault="004D0484" w:rsidP="004D0484">
      <w:pPr>
        <w:pStyle w:val="30"/>
      </w:pPr>
      <w:r w:rsidRPr="00FD50F6">
        <w:t>不同性质的材料和设备宜按分库存放设计；存放易燃品的仓库</w:t>
      </w:r>
      <w:r w:rsidRPr="00FD50F6">
        <w:rPr>
          <w:rFonts w:hint="eastAsia"/>
        </w:rPr>
        <w:t>应</w:t>
      </w:r>
      <w:r w:rsidRPr="00FD50F6">
        <w:t>独</w:t>
      </w:r>
      <w:r w:rsidRPr="00FD50F6">
        <w:rPr>
          <w:rFonts w:hint="eastAsia"/>
        </w:rPr>
        <w:t>立</w:t>
      </w:r>
      <w:r w:rsidRPr="00FD50F6">
        <w:t>设置，并应符合现行国家标准《</w:t>
      </w:r>
      <w:r w:rsidRPr="00FD50F6">
        <w:rPr>
          <w:rFonts w:hint="eastAsia"/>
        </w:rPr>
        <w:t>地铁</w:t>
      </w:r>
      <w:r w:rsidRPr="00FD50F6">
        <w:t>设计防火</w:t>
      </w:r>
      <w:r w:rsidRPr="00FD50F6">
        <w:rPr>
          <w:rFonts w:hint="eastAsia"/>
        </w:rPr>
        <w:t>标准</w:t>
      </w:r>
      <w:r w:rsidRPr="00FD50F6">
        <w:t>》</w:t>
      </w:r>
      <w:r w:rsidRPr="00FD50F6">
        <w:t xml:space="preserve">GB </w:t>
      </w:r>
      <w:r w:rsidRPr="00FD50F6">
        <w:rPr>
          <w:rFonts w:hint="eastAsia"/>
        </w:rPr>
        <w:t>51298</w:t>
      </w:r>
      <w:r w:rsidRPr="00FD50F6">
        <w:t>及《建筑设计防火规范》</w:t>
      </w:r>
      <w:r w:rsidRPr="00FD50F6">
        <w:t>GB 50016</w:t>
      </w:r>
      <w:r w:rsidRPr="00FD50F6">
        <w:t>的规定。</w:t>
      </w:r>
    </w:p>
    <w:p w14:paraId="59FD26A7" w14:textId="7CE8D069" w:rsidR="004D0484" w:rsidRPr="00FD50F6" w:rsidRDefault="004D0484" w:rsidP="004D0484">
      <w:pPr>
        <w:pStyle w:val="30"/>
      </w:pPr>
      <w:r w:rsidRPr="00FD50F6">
        <w:t>物资总库、物资分库和材料库</w:t>
      </w:r>
      <w:r w:rsidRPr="00FD50F6">
        <w:rPr>
          <w:rFonts w:hint="eastAsia"/>
        </w:rPr>
        <w:t>宜</w:t>
      </w:r>
      <w:r w:rsidRPr="00FD50F6">
        <w:t>配备起重设备和汽车、蓄电池车等运输车辆。</w:t>
      </w:r>
      <w:bookmarkStart w:id="1223" w:name="_GoBack"/>
      <w:bookmarkEnd w:id="1223"/>
    </w:p>
    <w:p w14:paraId="5FC0CA27" w14:textId="77777777" w:rsidR="004D0484" w:rsidRPr="00FD50F6" w:rsidRDefault="004D0484" w:rsidP="004D0484">
      <w:pPr>
        <w:pStyle w:val="30"/>
      </w:pPr>
      <w:r w:rsidRPr="00FD50F6">
        <w:t>物资总库宜单独设围墙或围蔽结构。</w:t>
      </w:r>
    </w:p>
    <w:p w14:paraId="0218332E" w14:textId="77777777" w:rsidR="004D0484" w:rsidRPr="00FD50F6" w:rsidRDefault="004D0484" w:rsidP="004D0484">
      <w:pPr>
        <w:pStyle w:val="30"/>
      </w:pPr>
      <w:r w:rsidRPr="00FD50F6">
        <w:t>物资总库生活设施应利用车辆段的设施。</w:t>
      </w:r>
    </w:p>
    <w:p w14:paraId="75702C99" w14:textId="77777777" w:rsidR="004D0484" w:rsidRPr="00FD50F6" w:rsidRDefault="004D0484" w:rsidP="00A65181">
      <w:pPr>
        <w:pStyle w:val="2"/>
      </w:pPr>
      <w:bookmarkStart w:id="1224" w:name="_Toc236812108"/>
      <w:bookmarkStart w:id="1225" w:name="_Toc306207286"/>
      <w:bookmarkStart w:id="1226" w:name="_Toc306207477"/>
      <w:bookmarkStart w:id="1227" w:name="_Toc320196144"/>
      <w:bookmarkStart w:id="1228" w:name="_Toc320643533"/>
      <w:bookmarkStart w:id="1229" w:name="_Toc32511925"/>
      <w:bookmarkStart w:id="1230" w:name="_Toc112830872"/>
      <w:r w:rsidRPr="00FD50F6">
        <w:lastRenderedPageBreak/>
        <w:t>培训中心</w:t>
      </w:r>
      <w:bookmarkEnd w:id="1224"/>
      <w:bookmarkEnd w:id="1225"/>
      <w:bookmarkEnd w:id="1226"/>
      <w:bookmarkEnd w:id="1227"/>
      <w:bookmarkEnd w:id="1228"/>
      <w:bookmarkEnd w:id="1229"/>
      <w:bookmarkEnd w:id="1230"/>
    </w:p>
    <w:p w14:paraId="6B6BCEF6" w14:textId="5D4F1E2F" w:rsidR="004D0484" w:rsidRPr="00FD50F6" w:rsidRDefault="004D0484" w:rsidP="004D0484">
      <w:pPr>
        <w:pStyle w:val="30"/>
      </w:pPr>
      <w:r w:rsidRPr="00FD50F6">
        <w:t>培训中心应负责组织和管理职工的技术教育和培训工作，一个地铁系统应只设一个培训中心，经论证可对培训中心补强或增设第二培训中心。</w:t>
      </w:r>
    </w:p>
    <w:p w14:paraId="21EF9AFF" w14:textId="74695A76" w:rsidR="004D0484" w:rsidRPr="00FD50F6" w:rsidRDefault="004D0484" w:rsidP="004D0484">
      <w:pPr>
        <w:pStyle w:val="30"/>
      </w:pPr>
      <w:r w:rsidRPr="00FD50F6">
        <w:t>培训中心宜设于车辆基地内，对职工的实</w:t>
      </w:r>
      <w:r w:rsidRPr="00FD50F6">
        <w:rPr>
          <w:rFonts w:hint="eastAsia"/>
        </w:rPr>
        <w:t>际</w:t>
      </w:r>
      <w:r w:rsidRPr="00FD50F6">
        <w:t>操作培训宜利用车辆基地的既有设施，生活设施应利用车辆基地的设施。</w:t>
      </w:r>
    </w:p>
    <w:p w14:paraId="0019E435" w14:textId="547BC230" w:rsidR="004D0484" w:rsidRPr="00FD50F6" w:rsidRDefault="004D0484" w:rsidP="004D0484">
      <w:pPr>
        <w:pStyle w:val="30"/>
      </w:pPr>
      <w:r w:rsidRPr="00FD50F6">
        <w:t>培训中心应设司机模拟驾驶装置及其他系统模拟设施，并应设教室、实验室、图书室、阅览室和教职员工办公和生活用房，以及教学设备和配套设施。</w:t>
      </w:r>
    </w:p>
    <w:p w14:paraId="7C54883D" w14:textId="77777777" w:rsidR="004D0484" w:rsidRPr="00FD50F6" w:rsidRDefault="004D0484" w:rsidP="00A65181">
      <w:pPr>
        <w:pStyle w:val="2"/>
      </w:pPr>
      <w:bookmarkStart w:id="1231" w:name="_Toc32511926"/>
      <w:bookmarkStart w:id="1232" w:name="_Toc32511927"/>
      <w:bookmarkStart w:id="1233" w:name="_Toc32511928"/>
      <w:bookmarkStart w:id="1234" w:name="_Toc236812109"/>
      <w:bookmarkStart w:id="1235" w:name="_Toc306207287"/>
      <w:bookmarkStart w:id="1236" w:name="_Toc306207478"/>
      <w:bookmarkStart w:id="1237" w:name="_Toc320196145"/>
      <w:bookmarkStart w:id="1238" w:name="_Toc320643534"/>
      <w:bookmarkStart w:id="1239" w:name="_Toc32511929"/>
      <w:bookmarkStart w:id="1240" w:name="_Toc112830873"/>
      <w:bookmarkEnd w:id="1231"/>
      <w:bookmarkEnd w:id="1232"/>
      <w:bookmarkEnd w:id="1233"/>
      <w:r w:rsidRPr="00FD50F6">
        <w:t>救援设施</w:t>
      </w:r>
      <w:bookmarkEnd w:id="1234"/>
      <w:bookmarkEnd w:id="1235"/>
      <w:bookmarkEnd w:id="1236"/>
      <w:bookmarkEnd w:id="1237"/>
      <w:bookmarkEnd w:id="1238"/>
      <w:bookmarkEnd w:id="1239"/>
      <w:bookmarkEnd w:id="1240"/>
    </w:p>
    <w:p w14:paraId="51FB74D6" w14:textId="5E974D3F" w:rsidR="004D0484" w:rsidRPr="00FD50F6" w:rsidRDefault="004D0484" w:rsidP="004D0484">
      <w:pPr>
        <w:pStyle w:val="30"/>
      </w:pPr>
      <w:r w:rsidRPr="00FD50F6">
        <w:t>车辆基地内应设救援办公室，并应配备救援设备和设施。</w:t>
      </w:r>
    </w:p>
    <w:p w14:paraId="36BE13C7" w14:textId="6D7B454C" w:rsidR="004D0484" w:rsidRPr="00FD50F6" w:rsidRDefault="004D0484" w:rsidP="004D0484">
      <w:pPr>
        <w:pStyle w:val="30"/>
      </w:pPr>
      <w:r w:rsidRPr="00FD50F6">
        <w:t>救援办公室应设值班室。值班室应设电钟、自动电话和无线通信设备。</w:t>
      </w:r>
    </w:p>
    <w:p w14:paraId="3509918F" w14:textId="77777777" w:rsidR="004D0484" w:rsidRPr="00FD50F6" w:rsidRDefault="004D0484" w:rsidP="004D0484">
      <w:pPr>
        <w:pStyle w:val="30"/>
      </w:pPr>
      <w:r w:rsidRPr="00FD50F6">
        <w:t>救援用的轨道车辆宜利用车辆段和综合维修中心的车辆，并应根据救援需要设置专用地面工程车和指挥车。</w:t>
      </w:r>
    </w:p>
    <w:p w14:paraId="4B21F3BD" w14:textId="77777777" w:rsidR="004D0484" w:rsidRPr="00FD50F6" w:rsidRDefault="004D0484" w:rsidP="00A65181">
      <w:pPr>
        <w:pStyle w:val="2"/>
      </w:pPr>
      <w:bookmarkStart w:id="1241" w:name="_Toc236812110"/>
      <w:bookmarkStart w:id="1242" w:name="_Toc306207288"/>
      <w:bookmarkStart w:id="1243" w:name="_Toc306207479"/>
      <w:bookmarkStart w:id="1244" w:name="_Toc320196146"/>
      <w:bookmarkStart w:id="1245" w:name="_Toc320643535"/>
      <w:bookmarkStart w:id="1246" w:name="_Toc32511930"/>
      <w:bookmarkStart w:id="1247" w:name="_Toc112830874"/>
      <w:r w:rsidRPr="00FD50F6">
        <w:t>站场设计</w:t>
      </w:r>
      <w:bookmarkEnd w:id="1241"/>
      <w:bookmarkEnd w:id="1242"/>
      <w:bookmarkEnd w:id="1243"/>
      <w:bookmarkEnd w:id="1244"/>
      <w:bookmarkEnd w:id="1245"/>
      <w:bookmarkEnd w:id="1246"/>
      <w:bookmarkEnd w:id="1247"/>
    </w:p>
    <w:p w14:paraId="70907CDD" w14:textId="77777777" w:rsidR="004D0484" w:rsidRPr="00FD50F6" w:rsidRDefault="004D0484" w:rsidP="004D0484">
      <w:pPr>
        <w:pStyle w:val="30"/>
      </w:pPr>
      <w:r w:rsidRPr="00FD50F6">
        <w:rPr>
          <w:rFonts w:hint="eastAsia"/>
        </w:rPr>
        <w:t>车辆基地总图布置应以方便列车运用、检修为目标，合理确定各个功能区的平面布局、竖向高程等，并应符合下列规定：</w:t>
      </w:r>
    </w:p>
    <w:p w14:paraId="72131701" w14:textId="37CA1ABA" w:rsidR="004D0484" w:rsidRPr="00FD50F6" w:rsidRDefault="004D0484" w:rsidP="00A926BD">
      <w:pPr>
        <w:pStyle w:val="4"/>
      </w:pPr>
      <w:r w:rsidRPr="00FD50F6">
        <w:rPr>
          <w:rFonts w:hint="eastAsia"/>
        </w:rPr>
        <w:t>总图布置应根据功能定位、建设规模等条件确定线路种类、库房组合形式，合理布局各</w:t>
      </w:r>
      <w:r w:rsidR="00B528A1">
        <w:rPr>
          <w:rFonts w:hint="eastAsia"/>
        </w:rPr>
        <w:t>建（构）</w:t>
      </w:r>
      <w:r w:rsidRPr="00FD50F6">
        <w:rPr>
          <w:rFonts w:hint="eastAsia"/>
        </w:rPr>
        <w:t>筑物的平面位置和运输路径。</w:t>
      </w:r>
    </w:p>
    <w:p w14:paraId="616670C8" w14:textId="3513908A" w:rsidR="004D0484" w:rsidRPr="00FD50F6" w:rsidRDefault="004D0484" w:rsidP="00A926BD">
      <w:pPr>
        <w:pStyle w:val="4"/>
      </w:pPr>
      <w:r w:rsidRPr="00FD50F6">
        <w:rPr>
          <w:rFonts w:hint="eastAsia"/>
        </w:rPr>
        <w:t>总图布置应根据地形地势、地质水文、区域规划、开发需求等条件，合理确定场地高程、竖向设计、道路排水、管线综合等方案，减少土地占用、土（石）方工程和基础工程费用。</w:t>
      </w:r>
    </w:p>
    <w:p w14:paraId="32018665" w14:textId="4A9CD44D" w:rsidR="004D0484" w:rsidRPr="00FD50F6" w:rsidRDefault="004D0484" w:rsidP="004D0484">
      <w:pPr>
        <w:pStyle w:val="30"/>
      </w:pPr>
      <w:r w:rsidRPr="00FD50F6">
        <w:rPr>
          <w:rFonts w:hint="eastAsia"/>
        </w:rPr>
        <w:t>车辆基地出入线设计应符合下列规定：</w:t>
      </w:r>
      <w:r w:rsidRPr="00FD50F6">
        <w:rPr>
          <w:rFonts w:hint="eastAsia"/>
        </w:rPr>
        <w:t xml:space="preserve"> </w:t>
      </w:r>
    </w:p>
    <w:p w14:paraId="7F8D8D14" w14:textId="7D896376" w:rsidR="004D0484" w:rsidRPr="00FD50F6" w:rsidRDefault="004D0484" w:rsidP="00A926BD">
      <w:pPr>
        <w:pStyle w:val="4"/>
      </w:pPr>
      <w:r w:rsidRPr="00FD50F6">
        <w:rPr>
          <w:rFonts w:hint="eastAsia"/>
        </w:rPr>
        <w:t>出入线应在车站接轨，并宜选在线路的终点站或折返站；根据运营需求，位于线路中部的车辆基地出入线可按八字形两站接轨。</w:t>
      </w:r>
    </w:p>
    <w:p w14:paraId="746A47E6" w14:textId="1AB9AFBD" w:rsidR="004D0484" w:rsidRPr="00FD50F6" w:rsidRDefault="004D0484" w:rsidP="00A926BD">
      <w:pPr>
        <w:pStyle w:val="4"/>
      </w:pPr>
      <w:r w:rsidRPr="00FD50F6">
        <w:rPr>
          <w:rFonts w:hint="eastAsia"/>
        </w:rPr>
        <w:t>出入线应按双线、双向运行设计，并应避免切割正线；困难条件下，规模等于或小于</w:t>
      </w:r>
      <w:r w:rsidRPr="00FD50F6">
        <w:rPr>
          <w:rFonts w:hint="eastAsia"/>
        </w:rPr>
        <w:t>12</w:t>
      </w:r>
      <w:r w:rsidRPr="00FD50F6">
        <w:rPr>
          <w:rFonts w:hint="eastAsia"/>
        </w:rPr>
        <w:t>列位的停车场出入线可按单线设计。</w:t>
      </w:r>
    </w:p>
    <w:p w14:paraId="2C554AB3" w14:textId="341C96E7" w:rsidR="004D0484" w:rsidRPr="00FD50F6" w:rsidRDefault="004D0484" w:rsidP="00A926BD">
      <w:pPr>
        <w:pStyle w:val="4"/>
      </w:pPr>
      <w:r w:rsidRPr="00FD50F6">
        <w:rPr>
          <w:rFonts w:hint="eastAsia"/>
        </w:rPr>
        <w:t>出入线的接轨形式及通过能力应与段场停车规模相匹配，并应满足正线设</w:t>
      </w:r>
      <w:r w:rsidRPr="00FD50F6">
        <w:rPr>
          <w:rFonts w:hint="eastAsia"/>
        </w:rPr>
        <w:lastRenderedPageBreak/>
        <w:t>计运能要求。</w:t>
      </w:r>
    </w:p>
    <w:p w14:paraId="5F1F9083" w14:textId="47D5F41C" w:rsidR="004D0484" w:rsidRPr="00FD50F6" w:rsidRDefault="004D0484" w:rsidP="00A926BD">
      <w:pPr>
        <w:pStyle w:val="4"/>
      </w:pPr>
      <w:r w:rsidRPr="00FD50F6">
        <w:rPr>
          <w:rFonts w:hint="eastAsia"/>
        </w:rPr>
        <w:t>出入线设计应根据行车和信号的要求，留有必要的信号转换作业长度。</w:t>
      </w:r>
    </w:p>
    <w:p w14:paraId="58F7E979" w14:textId="7602A7FE" w:rsidR="004D0484" w:rsidRPr="00FD50F6" w:rsidRDefault="004D0484" w:rsidP="004D0484">
      <w:pPr>
        <w:pStyle w:val="30"/>
      </w:pPr>
      <w:r w:rsidRPr="00FD50F6">
        <w:rPr>
          <w:rFonts w:hint="eastAsia"/>
        </w:rPr>
        <w:t>站场线路平面及纵断面设计应符合下列规定：</w:t>
      </w:r>
    </w:p>
    <w:p w14:paraId="39C4B8C6" w14:textId="2846DD55" w:rsidR="004D0484" w:rsidRPr="00FD50F6" w:rsidRDefault="004D0484" w:rsidP="00A926BD">
      <w:pPr>
        <w:pStyle w:val="4"/>
      </w:pPr>
      <w:r w:rsidRPr="00FD50F6">
        <w:rPr>
          <w:rFonts w:hint="eastAsia"/>
        </w:rPr>
        <w:t>出入线及国铁联络线</w:t>
      </w:r>
      <w:r w:rsidR="00084FC0">
        <w:rPr>
          <w:rFonts w:hint="eastAsia"/>
        </w:rPr>
        <w:t>应符合下列规定</w:t>
      </w:r>
      <w:r w:rsidRPr="00FD50F6">
        <w:rPr>
          <w:rFonts w:hint="eastAsia"/>
        </w:rPr>
        <w:t>：</w:t>
      </w:r>
    </w:p>
    <w:p w14:paraId="4AF15A66" w14:textId="5EF3A299" w:rsidR="004D0484" w:rsidRPr="00FD50F6" w:rsidRDefault="004D0484" w:rsidP="004D0484">
      <w:pPr>
        <w:pStyle w:val="5"/>
        <w:ind w:firstLine="480"/>
      </w:pPr>
      <w:r w:rsidRPr="00FD50F6">
        <w:rPr>
          <w:rFonts w:hint="eastAsia"/>
        </w:rPr>
        <w:t>最小曲线半径，</w:t>
      </w:r>
      <w:r w:rsidRPr="00FD50F6">
        <w:rPr>
          <w:rFonts w:hint="eastAsia"/>
        </w:rPr>
        <w:t>A</w:t>
      </w:r>
      <w:r w:rsidRPr="00FD50F6">
        <w:rPr>
          <w:rFonts w:hint="eastAsia"/>
        </w:rPr>
        <w:t>型车不应小于</w:t>
      </w:r>
      <w:r w:rsidRPr="00FD50F6">
        <w:rPr>
          <w:rFonts w:hint="eastAsia"/>
        </w:rPr>
        <w:t>250m</w:t>
      </w:r>
      <w:r w:rsidRPr="00FD50F6">
        <w:rPr>
          <w:rFonts w:hint="eastAsia"/>
        </w:rPr>
        <w:t>，</w:t>
      </w:r>
      <w:r w:rsidRPr="00FD50F6">
        <w:rPr>
          <w:rFonts w:hint="eastAsia"/>
        </w:rPr>
        <w:t>B</w:t>
      </w:r>
      <w:r w:rsidRPr="00FD50F6">
        <w:rPr>
          <w:rFonts w:hint="eastAsia"/>
        </w:rPr>
        <w:t>型车不应小于</w:t>
      </w:r>
      <w:r w:rsidRPr="00FD50F6">
        <w:rPr>
          <w:rFonts w:hint="eastAsia"/>
        </w:rPr>
        <w:t>200m</w:t>
      </w:r>
      <w:r w:rsidRPr="00FD50F6">
        <w:rPr>
          <w:rFonts w:hint="eastAsia"/>
        </w:rPr>
        <w:t>；困难时不应小于</w:t>
      </w:r>
      <w:r w:rsidRPr="00FD50F6">
        <w:rPr>
          <w:rFonts w:hint="eastAsia"/>
        </w:rPr>
        <w:t>150m</w:t>
      </w:r>
      <w:r w:rsidRPr="00FD50F6">
        <w:rPr>
          <w:rFonts w:hint="eastAsia"/>
        </w:rPr>
        <w:t>。</w:t>
      </w:r>
    </w:p>
    <w:p w14:paraId="2825C60F" w14:textId="4AF5AC58" w:rsidR="004D0484" w:rsidRPr="00FD50F6" w:rsidRDefault="004D0484" w:rsidP="004D0484">
      <w:pPr>
        <w:pStyle w:val="5"/>
        <w:ind w:firstLine="480"/>
      </w:pPr>
      <w:r w:rsidRPr="00FD50F6">
        <w:rPr>
          <w:rFonts w:hint="eastAsia"/>
        </w:rPr>
        <w:t>最大坡度宜为</w:t>
      </w:r>
      <w:r w:rsidRPr="00FD50F6">
        <w:rPr>
          <w:rFonts w:hint="eastAsia"/>
        </w:rPr>
        <w:t>35</w:t>
      </w:r>
      <w:r w:rsidRPr="00FD50F6">
        <w:rPr>
          <w:rFonts w:hint="eastAsia"/>
        </w:rPr>
        <w:t>‰；困难时应校核列车动拖比，应满足列车正常</w:t>
      </w:r>
      <w:r w:rsidR="00084FC0">
        <w:rPr>
          <w:rFonts w:hint="eastAsia"/>
        </w:rPr>
        <w:t>和</w:t>
      </w:r>
      <w:r w:rsidRPr="00FD50F6">
        <w:rPr>
          <w:rFonts w:hint="eastAsia"/>
        </w:rPr>
        <w:t>救援工况需求。</w:t>
      </w:r>
    </w:p>
    <w:p w14:paraId="4C2C0078" w14:textId="77777777" w:rsidR="004D0484" w:rsidRPr="00FD50F6" w:rsidRDefault="004D0484" w:rsidP="004D0484">
      <w:pPr>
        <w:pStyle w:val="5"/>
        <w:ind w:firstLine="480"/>
      </w:pPr>
      <w:r w:rsidRPr="00FD50F6">
        <w:rPr>
          <w:rFonts w:hint="eastAsia"/>
        </w:rPr>
        <w:t>接轨道岔宜采用</w:t>
      </w:r>
      <w:r w:rsidRPr="00FD50F6">
        <w:rPr>
          <w:rFonts w:hint="eastAsia"/>
        </w:rPr>
        <w:t>9</w:t>
      </w:r>
      <w:r w:rsidRPr="00FD50F6">
        <w:rPr>
          <w:rFonts w:hint="eastAsia"/>
        </w:rPr>
        <w:t>号道岔；兼顾折返功能的道岔，应通过能力计算确定道岔选型。</w:t>
      </w:r>
    </w:p>
    <w:p w14:paraId="4F1ADF53" w14:textId="2D9B2110" w:rsidR="004D0484" w:rsidRPr="00FD50F6" w:rsidRDefault="004D0484" w:rsidP="004D0484">
      <w:pPr>
        <w:pStyle w:val="5"/>
        <w:ind w:firstLine="480"/>
      </w:pPr>
      <w:r w:rsidRPr="00FD50F6">
        <w:rPr>
          <w:rFonts w:hint="eastAsia"/>
        </w:rPr>
        <w:t>竖曲线半径</w:t>
      </w:r>
      <w:r w:rsidR="00C157B9">
        <w:rPr>
          <w:rFonts w:hint="eastAsia"/>
        </w:rPr>
        <w:t>应</w:t>
      </w:r>
      <w:r w:rsidRPr="00FD50F6">
        <w:rPr>
          <w:rFonts w:hint="eastAsia"/>
        </w:rPr>
        <w:t>为</w:t>
      </w:r>
      <w:r w:rsidRPr="00FD50F6">
        <w:rPr>
          <w:rFonts w:hint="eastAsia"/>
        </w:rPr>
        <w:t>2000m</w:t>
      </w:r>
      <w:r w:rsidRPr="00FD50F6">
        <w:rPr>
          <w:rFonts w:hint="eastAsia"/>
        </w:rPr>
        <w:t>。</w:t>
      </w:r>
    </w:p>
    <w:p w14:paraId="54F643ED" w14:textId="43B1B401" w:rsidR="004D0484" w:rsidRPr="00FD50F6" w:rsidRDefault="004D0484" w:rsidP="00A926BD">
      <w:pPr>
        <w:pStyle w:val="4"/>
      </w:pPr>
      <w:r w:rsidRPr="00FD50F6">
        <w:rPr>
          <w:rFonts w:hint="eastAsia"/>
        </w:rPr>
        <w:t>车场其他线路</w:t>
      </w:r>
    </w:p>
    <w:p w14:paraId="0698AD99" w14:textId="13535DD6" w:rsidR="004D0484" w:rsidRPr="00FD50F6" w:rsidRDefault="004D0484" w:rsidP="004D0484">
      <w:pPr>
        <w:pStyle w:val="5"/>
        <w:ind w:firstLine="480"/>
      </w:pPr>
      <w:r w:rsidRPr="00FD50F6">
        <w:rPr>
          <w:rFonts w:hint="eastAsia"/>
        </w:rPr>
        <w:t>最小曲线半径不应小于</w:t>
      </w:r>
      <w:r w:rsidRPr="00FD50F6">
        <w:rPr>
          <w:rFonts w:hint="eastAsia"/>
        </w:rPr>
        <w:t>150m</w:t>
      </w:r>
      <w:r w:rsidRPr="00FD50F6">
        <w:rPr>
          <w:rFonts w:hint="eastAsia"/>
        </w:rPr>
        <w:t>。</w:t>
      </w:r>
    </w:p>
    <w:p w14:paraId="2A487989" w14:textId="66D9AF7A" w:rsidR="004D0484" w:rsidRPr="00FD50F6" w:rsidRDefault="004D0484" w:rsidP="004D0484">
      <w:pPr>
        <w:pStyle w:val="5"/>
        <w:ind w:firstLine="480"/>
      </w:pPr>
      <w:r w:rsidRPr="00FD50F6">
        <w:rPr>
          <w:rFonts w:hint="eastAsia"/>
        </w:rPr>
        <w:t>使用调机作业的牵出线最小曲线半径不宜小于出入线半径，且列车连挂作业应位于线路平直段。</w:t>
      </w:r>
    </w:p>
    <w:p w14:paraId="396B4407" w14:textId="46B19944" w:rsidR="004D0484" w:rsidRPr="00FD50F6" w:rsidRDefault="004D0484" w:rsidP="004D0484">
      <w:pPr>
        <w:pStyle w:val="5"/>
        <w:ind w:firstLine="480"/>
      </w:pPr>
      <w:r w:rsidRPr="00FD50F6">
        <w:rPr>
          <w:rFonts w:hint="eastAsia"/>
        </w:rPr>
        <w:t>曲线间夹直线最小长度可为</w:t>
      </w:r>
      <w:r w:rsidRPr="00FD50F6">
        <w:rPr>
          <w:rFonts w:hint="eastAsia"/>
        </w:rPr>
        <w:t>3m</w:t>
      </w:r>
      <w:r w:rsidRPr="00FD50F6">
        <w:rPr>
          <w:rFonts w:hint="eastAsia"/>
        </w:rPr>
        <w:t>。</w:t>
      </w:r>
    </w:p>
    <w:p w14:paraId="631D906A" w14:textId="77777777" w:rsidR="004D0484" w:rsidRPr="00FD50F6" w:rsidRDefault="004D0484" w:rsidP="004D0484">
      <w:pPr>
        <w:pStyle w:val="5"/>
        <w:ind w:firstLine="480"/>
      </w:pPr>
      <w:r w:rsidRPr="00FD50F6">
        <w:rPr>
          <w:rFonts w:hint="eastAsia"/>
        </w:rPr>
        <w:t>线路宜设于平道上，困难时库外线路的坡度可按不大于</w:t>
      </w:r>
      <w:r w:rsidRPr="00FD50F6">
        <w:rPr>
          <w:rFonts w:hint="eastAsia"/>
        </w:rPr>
        <w:t>1.5</w:t>
      </w:r>
      <w:r w:rsidRPr="00FD50F6">
        <w:rPr>
          <w:rFonts w:hint="eastAsia"/>
        </w:rPr>
        <w:t>‰设计。</w:t>
      </w:r>
    </w:p>
    <w:p w14:paraId="003A247A" w14:textId="77777777" w:rsidR="004D0484" w:rsidRPr="00FD50F6" w:rsidRDefault="004D0484" w:rsidP="004D0484">
      <w:pPr>
        <w:pStyle w:val="30"/>
      </w:pPr>
      <w:r w:rsidRPr="00FD50F6">
        <w:rPr>
          <w:rFonts w:hint="eastAsia"/>
        </w:rPr>
        <w:t>站场路基高程应根据现状地形地貌、周边道路高程、防洪排涝要求等综合确定，并应符合下列规定：</w:t>
      </w:r>
    </w:p>
    <w:p w14:paraId="51961A5C" w14:textId="6754AC47" w:rsidR="004D0484" w:rsidRPr="00FD50F6" w:rsidRDefault="004D0484" w:rsidP="00A926BD">
      <w:pPr>
        <w:pStyle w:val="4"/>
      </w:pPr>
      <w:r w:rsidRPr="00FD50F6">
        <w:rPr>
          <w:rFonts w:hint="eastAsia"/>
        </w:rPr>
        <w:t>沿海或江河附近地区车辆基地，当路基高程受洪（涝）水位控制时，设计高程应高于</w:t>
      </w:r>
      <w:r w:rsidRPr="00FD50F6">
        <w:rPr>
          <w:rFonts w:hint="eastAsia"/>
        </w:rPr>
        <w:t>1/100</w:t>
      </w:r>
      <w:r w:rsidRPr="00FD50F6">
        <w:rPr>
          <w:rFonts w:hint="eastAsia"/>
        </w:rPr>
        <w:t>洪水频率高程</w:t>
      </w:r>
      <w:r w:rsidRPr="00FD50F6">
        <w:rPr>
          <w:rFonts w:hint="eastAsia"/>
        </w:rPr>
        <w:t>0.5m</w:t>
      </w:r>
      <w:r w:rsidRPr="00FD50F6">
        <w:rPr>
          <w:rFonts w:hint="eastAsia"/>
        </w:rPr>
        <w:t>；当有波浪侵袭或壅水现象时，应加上波浪爬高值</w:t>
      </w:r>
      <w:r w:rsidR="008D2666">
        <w:rPr>
          <w:rFonts w:hint="eastAsia"/>
        </w:rPr>
        <w:t>。</w:t>
      </w:r>
    </w:p>
    <w:p w14:paraId="067E248D" w14:textId="26FBBFE7" w:rsidR="004D0484" w:rsidRPr="00FD50F6" w:rsidRDefault="004D0484" w:rsidP="00A926BD">
      <w:pPr>
        <w:pStyle w:val="4"/>
      </w:pPr>
      <w:r w:rsidRPr="00FD50F6">
        <w:rPr>
          <w:rFonts w:hint="eastAsia"/>
        </w:rPr>
        <w:t>当路基高程受控于出入线坡度或规划条件低于上述高程时，应采用有效的挡水、截水、排水措施，确保车辆基地的安全。</w:t>
      </w:r>
    </w:p>
    <w:p w14:paraId="304CF104" w14:textId="0AC1EF5E" w:rsidR="004D0484" w:rsidRPr="00FD50F6" w:rsidRDefault="004D0484" w:rsidP="00A926BD">
      <w:pPr>
        <w:pStyle w:val="4"/>
      </w:pPr>
      <w:r w:rsidRPr="00FD50F6">
        <w:rPr>
          <w:rFonts w:hint="eastAsia"/>
        </w:rPr>
        <w:t>在平坦地区，路基高程宜略高于该处自然地形标高；在山地丘陵地区，宜土（石）方平衡，并</w:t>
      </w:r>
      <w:r w:rsidR="00C157B9">
        <w:rPr>
          <w:rFonts w:hint="eastAsia"/>
        </w:rPr>
        <w:t>应</w:t>
      </w:r>
      <w:r w:rsidRPr="00FD50F6">
        <w:rPr>
          <w:rFonts w:hint="eastAsia"/>
        </w:rPr>
        <w:t>满足出入线坡度、场地排水、道路接驳的需要。</w:t>
      </w:r>
    </w:p>
    <w:p w14:paraId="12C6FE59" w14:textId="77777777" w:rsidR="004D0484" w:rsidRPr="00FD50F6" w:rsidRDefault="004D0484" w:rsidP="004D0484">
      <w:pPr>
        <w:pStyle w:val="30"/>
      </w:pPr>
      <w:r w:rsidRPr="00FD50F6">
        <w:rPr>
          <w:rFonts w:hint="eastAsia"/>
        </w:rPr>
        <w:t>站场路基面应设倾向排水系统的横向坡度，宜采用</w:t>
      </w:r>
      <w:r w:rsidRPr="00FD50F6">
        <w:rPr>
          <w:rFonts w:hint="eastAsia"/>
        </w:rPr>
        <w:t>2</w:t>
      </w:r>
      <w:r w:rsidRPr="00FD50F6">
        <w:rPr>
          <w:rFonts w:hint="eastAsia"/>
        </w:rPr>
        <w:t>％锯齿形横坡。同一个坡面的股道数量不宜超过</w:t>
      </w:r>
      <w:r w:rsidRPr="00FD50F6">
        <w:rPr>
          <w:rFonts w:hint="eastAsia"/>
        </w:rPr>
        <w:t>3</w:t>
      </w:r>
      <w:r w:rsidRPr="00FD50F6">
        <w:rPr>
          <w:rFonts w:hint="eastAsia"/>
        </w:rPr>
        <w:t>条。</w:t>
      </w:r>
    </w:p>
    <w:p w14:paraId="77185247" w14:textId="75E5E328" w:rsidR="004D0484" w:rsidRPr="00FD50F6" w:rsidRDefault="004D0484" w:rsidP="004D0484">
      <w:pPr>
        <w:pStyle w:val="30"/>
      </w:pPr>
      <w:r w:rsidRPr="00FD50F6">
        <w:rPr>
          <w:rFonts w:hint="eastAsia"/>
        </w:rPr>
        <w:t>站场路基基床厚度不宜小于</w:t>
      </w:r>
      <w:r w:rsidRPr="00FD50F6">
        <w:rPr>
          <w:rFonts w:hint="eastAsia"/>
        </w:rPr>
        <w:t>1.</w:t>
      </w:r>
      <w:r w:rsidRPr="00FD50F6">
        <w:t>2</w:t>
      </w:r>
      <w:r w:rsidRPr="00FD50F6">
        <w:rPr>
          <w:rFonts w:hint="eastAsia"/>
        </w:rPr>
        <w:t>m</w:t>
      </w:r>
      <w:r w:rsidRPr="00FD50F6">
        <w:rPr>
          <w:rFonts w:hint="eastAsia"/>
        </w:rPr>
        <w:t>，其中基床表层不宜小于</w:t>
      </w:r>
      <w:r w:rsidRPr="00FD50F6">
        <w:rPr>
          <w:rFonts w:hint="eastAsia"/>
        </w:rPr>
        <w:t>0.</w:t>
      </w:r>
      <w:r w:rsidRPr="00FD50F6">
        <w:t>3</w:t>
      </w:r>
      <w:r w:rsidRPr="00FD50F6">
        <w:rPr>
          <w:rFonts w:hint="eastAsia"/>
        </w:rPr>
        <w:t>m</w:t>
      </w:r>
      <w:r w:rsidRPr="00FD50F6">
        <w:rPr>
          <w:rFonts w:hint="eastAsia"/>
        </w:rPr>
        <w:t>，底层不宜小于</w:t>
      </w:r>
      <w:r w:rsidRPr="00FD50F6">
        <w:t>0.9</w:t>
      </w:r>
      <w:r w:rsidRPr="00FD50F6">
        <w:rPr>
          <w:rFonts w:hint="eastAsia"/>
        </w:rPr>
        <w:t>m</w:t>
      </w:r>
      <w:r w:rsidRPr="00FD50F6">
        <w:rPr>
          <w:rFonts w:hint="eastAsia"/>
        </w:rPr>
        <w:t>。路基填料、压实标准等应符合现行行业标准《铁路路基设计规</w:t>
      </w:r>
      <w:r w:rsidRPr="00FD50F6">
        <w:rPr>
          <w:rFonts w:hint="eastAsia"/>
        </w:rPr>
        <w:lastRenderedPageBreak/>
        <w:t>范》</w:t>
      </w:r>
      <w:r w:rsidRPr="00FD50F6">
        <w:t>TB 10001</w:t>
      </w:r>
      <w:r w:rsidRPr="00FD50F6">
        <w:rPr>
          <w:rFonts w:hint="eastAsia"/>
        </w:rPr>
        <w:t>的规定。</w:t>
      </w:r>
    </w:p>
    <w:p w14:paraId="7B19659A" w14:textId="6858505F" w:rsidR="004D0484" w:rsidRPr="00FD50F6" w:rsidRDefault="004D0484" w:rsidP="004D0484">
      <w:pPr>
        <w:pStyle w:val="30"/>
      </w:pPr>
      <w:r w:rsidRPr="00FD50F6">
        <w:rPr>
          <w:rFonts w:hint="eastAsia"/>
        </w:rPr>
        <w:t>地下水位较高地区或季节性冻土地区的路基设计应符合现行行业标准《铁路特殊路基设计规范》</w:t>
      </w:r>
      <w:r w:rsidRPr="00FD50F6">
        <w:rPr>
          <w:rFonts w:hint="eastAsia"/>
        </w:rPr>
        <w:t>TB</w:t>
      </w:r>
      <w:r w:rsidRPr="00FD50F6">
        <w:t xml:space="preserve"> </w:t>
      </w:r>
      <w:r w:rsidRPr="00FD50F6">
        <w:rPr>
          <w:rFonts w:hint="eastAsia"/>
        </w:rPr>
        <w:t>10035</w:t>
      </w:r>
      <w:r w:rsidRPr="00FD50F6">
        <w:rPr>
          <w:rFonts w:hint="eastAsia"/>
        </w:rPr>
        <w:t>的规定。</w:t>
      </w:r>
    </w:p>
    <w:p w14:paraId="185BAFDF" w14:textId="4CDAD6FE" w:rsidR="004D0484" w:rsidRPr="00FD50F6" w:rsidRDefault="004D0484" w:rsidP="004D0484">
      <w:pPr>
        <w:pStyle w:val="30"/>
      </w:pPr>
      <w:r w:rsidRPr="00FD50F6">
        <w:rPr>
          <w:rFonts w:hint="eastAsia"/>
        </w:rPr>
        <w:t>路基排水系统应采用重力自流排水方式接入场地雨水排水系统。排水系统设计应使纵向和横向排水设备紧密配合，水流径路应短而顺直。</w:t>
      </w:r>
    </w:p>
    <w:p w14:paraId="1076B949" w14:textId="77777777" w:rsidR="004D0484" w:rsidRPr="00FD50F6" w:rsidRDefault="004D0484" w:rsidP="004D0484">
      <w:pPr>
        <w:pStyle w:val="30"/>
      </w:pPr>
      <w:r w:rsidRPr="00FD50F6">
        <w:rPr>
          <w:rFonts w:hint="eastAsia"/>
        </w:rPr>
        <w:t>纵向排水设备的坡度不应小于</w:t>
      </w:r>
      <w:r w:rsidRPr="00FD50F6">
        <w:rPr>
          <w:rFonts w:hint="eastAsia"/>
        </w:rPr>
        <w:t>2</w:t>
      </w:r>
      <w:r w:rsidRPr="00FD50F6">
        <w:rPr>
          <w:rFonts w:hint="eastAsia"/>
        </w:rPr>
        <w:t>‰，穿越轨道的横向排水设备的坡度不应小于</w:t>
      </w:r>
      <w:r w:rsidRPr="00FD50F6">
        <w:rPr>
          <w:rFonts w:hint="eastAsia"/>
        </w:rPr>
        <w:t>5</w:t>
      </w:r>
      <w:r w:rsidRPr="00FD50F6">
        <w:rPr>
          <w:rFonts w:hint="eastAsia"/>
        </w:rPr>
        <w:t>‰。</w:t>
      </w:r>
    </w:p>
    <w:p w14:paraId="35AECCA2" w14:textId="77777777" w:rsidR="004D0484" w:rsidRPr="00FD50F6" w:rsidRDefault="004D0484" w:rsidP="004D0484">
      <w:pPr>
        <w:pStyle w:val="30"/>
      </w:pPr>
      <w:r w:rsidRPr="00FD50F6">
        <w:rPr>
          <w:rFonts w:hint="eastAsia"/>
        </w:rPr>
        <w:t>路基排水设备的横断面尺寸应按</w:t>
      </w:r>
      <w:r w:rsidRPr="00FD50F6">
        <w:rPr>
          <w:rFonts w:hint="eastAsia"/>
        </w:rPr>
        <w:t>1/50</w:t>
      </w:r>
      <w:r w:rsidRPr="00FD50F6">
        <w:rPr>
          <w:rFonts w:hint="eastAsia"/>
        </w:rPr>
        <w:t>洪水频率的流量设计。纵横向排水沟的底部宽度不应小于</w:t>
      </w:r>
      <w:r w:rsidRPr="00FD50F6">
        <w:rPr>
          <w:rFonts w:hint="eastAsia"/>
        </w:rPr>
        <w:t>0</w:t>
      </w:r>
      <w:r w:rsidRPr="00FD50F6">
        <w:t>.4</w:t>
      </w:r>
      <w:r w:rsidRPr="00FD50F6">
        <w:rPr>
          <w:rFonts w:hint="eastAsia"/>
        </w:rPr>
        <w:t>m</w:t>
      </w:r>
      <w:r w:rsidRPr="00FD50F6">
        <w:rPr>
          <w:rFonts w:hint="eastAsia"/>
        </w:rPr>
        <w:t>，深度不宜大于</w:t>
      </w:r>
      <w:r w:rsidRPr="00FD50F6">
        <w:rPr>
          <w:rFonts w:hint="eastAsia"/>
        </w:rPr>
        <w:t>1</w:t>
      </w:r>
      <w:r w:rsidRPr="00FD50F6">
        <w:t>.2</w:t>
      </w:r>
      <w:r w:rsidRPr="00FD50F6">
        <w:rPr>
          <w:rFonts w:hint="eastAsia"/>
        </w:rPr>
        <w:t>m</w:t>
      </w:r>
      <w:r w:rsidRPr="00FD50F6">
        <w:rPr>
          <w:rFonts w:hint="eastAsia"/>
        </w:rPr>
        <w:t>；当深度大于</w:t>
      </w:r>
      <w:r w:rsidRPr="00FD50F6">
        <w:rPr>
          <w:rFonts w:hint="eastAsia"/>
        </w:rPr>
        <w:t>1</w:t>
      </w:r>
      <w:r w:rsidRPr="00FD50F6">
        <w:t>.2</w:t>
      </w:r>
      <w:r w:rsidRPr="00FD50F6">
        <w:rPr>
          <w:rFonts w:hint="eastAsia"/>
        </w:rPr>
        <w:t>m</w:t>
      </w:r>
      <w:r w:rsidRPr="00FD50F6">
        <w:rPr>
          <w:rFonts w:hint="eastAsia"/>
        </w:rPr>
        <w:t>时，其底部宽度应加宽。</w:t>
      </w:r>
    </w:p>
    <w:p w14:paraId="0DED35A7" w14:textId="5FC4F5D1" w:rsidR="004D0484" w:rsidRPr="00FD50F6" w:rsidRDefault="004D0484" w:rsidP="004D0484">
      <w:pPr>
        <w:pStyle w:val="30"/>
      </w:pPr>
      <w:r w:rsidRPr="00FD50F6">
        <w:rPr>
          <w:rFonts w:hint="eastAsia"/>
        </w:rPr>
        <w:t>当路堑段地下水位高于场坪设计高程时，宜设置渗沟、渗管等地下排水设施。</w:t>
      </w:r>
    </w:p>
    <w:p w14:paraId="2A1BFF20" w14:textId="77777777" w:rsidR="004D0484" w:rsidRPr="00FD50F6" w:rsidRDefault="004D0484" w:rsidP="00A65181">
      <w:pPr>
        <w:pStyle w:val="2"/>
      </w:pPr>
      <w:bookmarkStart w:id="1248" w:name="_Toc112830875"/>
      <w:bookmarkStart w:id="1249" w:name="_Toc112830876"/>
      <w:bookmarkEnd w:id="1248"/>
      <w:r w:rsidRPr="00FD50F6">
        <w:rPr>
          <w:rFonts w:hint="eastAsia"/>
        </w:rPr>
        <w:t>其他工程</w:t>
      </w:r>
      <w:bookmarkEnd w:id="1249"/>
    </w:p>
    <w:p w14:paraId="0F174000" w14:textId="41A794CE" w:rsidR="004D0484" w:rsidRPr="00FD50F6" w:rsidRDefault="004D0484" w:rsidP="004D0484">
      <w:pPr>
        <w:pStyle w:val="30"/>
      </w:pPr>
      <w:r w:rsidRPr="00FD50F6">
        <w:rPr>
          <w:rFonts w:hint="eastAsia"/>
        </w:rPr>
        <w:t>车辆基地道路设计应满足场内运输、消防等要求，应与竖向设计相协调，并应符合现行国家标准《工业企业总平面设计规范》</w:t>
      </w:r>
      <w:r w:rsidRPr="00FD50F6">
        <w:rPr>
          <w:rFonts w:hint="eastAsia"/>
        </w:rPr>
        <w:t>GB</w:t>
      </w:r>
      <w:r w:rsidRPr="00FD50F6">
        <w:t xml:space="preserve"> </w:t>
      </w:r>
      <w:r w:rsidRPr="00FD50F6">
        <w:rPr>
          <w:rFonts w:hint="eastAsia"/>
        </w:rPr>
        <w:t>50187</w:t>
      </w:r>
      <w:r w:rsidRPr="00FD50F6">
        <w:rPr>
          <w:rFonts w:hint="eastAsia"/>
        </w:rPr>
        <w:t>的规定。</w:t>
      </w:r>
    </w:p>
    <w:p w14:paraId="09FEFD85" w14:textId="548ED273" w:rsidR="004D0484" w:rsidRPr="00FD50F6" w:rsidRDefault="004D0484" w:rsidP="004D0484">
      <w:pPr>
        <w:pStyle w:val="30"/>
      </w:pPr>
      <w:r w:rsidRPr="00FD50F6">
        <w:rPr>
          <w:rFonts w:hint="eastAsia"/>
        </w:rPr>
        <w:t>车辆基地室外管线设计应根据管线性质、敷设方式等要求选择最短路径集中布置，并应符合现行国家标准《工业企业总平面设计规范》</w:t>
      </w:r>
      <w:r w:rsidRPr="00FD50F6">
        <w:rPr>
          <w:rFonts w:hint="eastAsia"/>
        </w:rPr>
        <w:t>GB</w:t>
      </w:r>
      <w:r w:rsidR="00C52093">
        <w:t xml:space="preserve"> </w:t>
      </w:r>
      <w:r w:rsidRPr="00FD50F6">
        <w:rPr>
          <w:rFonts w:hint="eastAsia"/>
        </w:rPr>
        <w:t>50187</w:t>
      </w:r>
      <w:r w:rsidRPr="00FD50F6">
        <w:rPr>
          <w:rFonts w:hint="eastAsia"/>
        </w:rPr>
        <w:t>的规定。</w:t>
      </w:r>
    </w:p>
    <w:p w14:paraId="16508FAA" w14:textId="636E5D54" w:rsidR="004D0484" w:rsidRPr="00FD50F6" w:rsidRDefault="004D0484" w:rsidP="004D0484">
      <w:pPr>
        <w:pStyle w:val="30"/>
      </w:pPr>
      <w:r w:rsidRPr="00FD50F6">
        <w:rPr>
          <w:rFonts w:hint="eastAsia"/>
        </w:rPr>
        <w:t>每条线路宜在一处车辆基地设置新车卸车线路及场地，车辆基地的运输路径、道路宽度、转弯半径、场地尺寸应满足车辆运输、装卸的</w:t>
      </w:r>
      <w:r w:rsidR="00C157B9">
        <w:rPr>
          <w:rFonts w:hint="eastAsia"/>
        </w:rPr>
        <w:t>需</w:t>
      </w:r>
      <w:r w:rsidR="00C157B9" w:rsidRPr="00FD50F6">
        <w:rPr>
          <w:rFonts w:hint="eastAsia"/>
        </w:rPr>
        <w:t>求</w:t>
      </w:r>
      <w:r w:rsidRPr="00FD50F6">
        <w:rPr>
          <w:rFonts w:hint="eastAsia"/>
        </w:rPr>
        <w:t>。</w:t>
      </w:r>
    </w:p>
    <w:p w14:paraId="36E12CFF" w14:textId="77596159" w:rsidR="00F33893" w:rsidRPr="00FD50F6" w:rsidRDefault="004D0484" w:rsidP="00353026">
      <w:pPr>
        <w:pStyle w:val="30"/>
      </w:pPr>
      <w:r w:rsidRPr="00FD50F6">
        <w:rPr>
          <w:rFonts w:hint="eastAsia"/>
        </w:rPr>
        <w:t>车辆基地宜推广海绵城市建设理念，</w:t>
      </w:r>
      <w:r w:rsidR="00C157B9">
        <w:rPr>
          <w:rFonts w:hint="eastAsia"/>
        </w:rPr>
        <w:t>宜</w:t>
      </w:r>
      <w:r w:rsidRPr="00FD50F6">
        <w:rPr>
          <w:rFonts w:hint="eastAsia"/>
        </w:rPr>
        <w:t>通过“滞、蓄、渗、净、用、排”等手段实现多重径流雨水控制目标</w:t>
      </w:r>
      <w:r w:rsidR="00C157B9">
        <w:rPr>
          <w:rFonts w:hint="eastAsia"/>
        </w:rPr>
        <w:t>和</w:t>
      </w:r>
      <w:r w:rsidRPr="00FD50F6">
        <w:rPr>
          <w:rFonts w:hint="eastAsia"/>
        </w:rPr>
        <w:t>水资源良性循环。</w:t>
      </w:r>
    </w:p>
    <w:p w14:paraId="0A366E18" w14:textId="652A4C9C" w:rsidR="00D70A4C" w:rsidRPr="00FD50F6" w:rsidRDefault="00D70A4C">
      <w:pPr>
        <w:widowControl/>
        <w:spacing w:line="240" w:lineRule="auto"/>
        <w:jc w:val="left"/>
      </w:pPr>
      <w:r w:rsidRPr="00FD50F6">
        <w:br w:type="page"/>
      </w:r>
    </w:p>
    <w:p w14:paraId="3EBC8D1B" w14:textId="77777777" w:rsidR="00264219" w:rsidRPr="00FD50F6" w:rsidRDefault="00264219" w:rsidP="00264219">
      <w:pPr>
        <w:pStyle w:val="12"/>
      </w:pPr>
      <w:bookmarkStart w:id="1250" w:name="_Toc112830877"/>
      <w:bookmarkStart w:id="1251" w:name="_Hlk92187272"/>
      <w:bookmarkStart w:id="1252" w:name="_Toc236222485"/>
      <w:bookmarkStart w:id="1253" w:name="_Toc306203686"/>
      <w:bookmarkStart w:id="1254" w:name="_Toc320115658"/>
      <w:bookmarkStart w:id="1255" w:name="_Toc320639569"/>
      <w:bookmarkStart w:id="1256" w:name="_Toc344218734"/>
      <w:r w:rsidRPr="00FD50F6">
        <w:rPr>
          <w:rFonts w:hint="eastAsia"/>
        </w:rPr>
        <w:lastRenderedPageBreak/>
        <w:t>防</w:t>
      </w:r>
      <w:r w:rsidRPr="00FD50F6">
        <w:t>灾</w:t>
      </w:r>
      <w:bookmarkEnd w:id="1250"/>
    </w:p>
    <w:p w14:paraId="627E2743" w14:textId="77777777" w:rsidR="00264219" w:rsidRPr="00FD50F6" w:rsidRDefault="00264219" w:rsidP="00010C49">
      <w:pPr>
        <w:pStyle w:val="2"/>
        <w:numPr>
          <w:ilvl w:val="1"/>
          <w:numId w:val="37"/>
        </w:numPr>
      </w:pPr>
      <w:bookmarkStart w:id="1257" w:name="_Toc236813722"/>
      <w:bookmarkStart w:id="1258" w:name="_Toc306207290"/>
      <w:bookmarkStart w:id="1259" w:name="_Toc306207481"/>
      <w:bookmarkStart w:id="1260" w:name="_Toc320196148"/>
      <w:bookmarkStart w:id="1261" w:name="_Toc320643537"/>
      <w:bookmarkStart w:id="1262" w:name="_Toc344218891"/>
      <w:bookmarkStart w:id="1263" w:name="_Toc112830878"/>
      <w:r w:rsidRPr="00FD50F6">
        <w:t>一般规定</w:t>
      </w:r>
      <w:bookmarkEnd w:id="1257"/>
      <w:bookmarkEnd w:id="1258"/>
      <w:bookmarkEnd w:id="1259"/>
      <w:bookmarkEnd w:id="1260"/>
      <w:bookmarkEnd w:id="1261"/>
      <w:bookmarkEnd w:id="1262"/>
      <w:bookmarkEnd w:id="1263"/>
    </w:p>
    <w:p w14:paraId="1CB5291B" w14:textId="49DB6AF9" w:rsidR="00264219" w:rsidRPr="00FD50F6" w:rsidRDefault="00264219" w:rsidP="00264219">
      <w:pPr>
        <w:pStyle w:val="30"/>
      </w:pPr>
      <w:r w:rsidRPr="00FD50F6">
        <w:t>地铁应具有针对火灾、水淹、</w:t>
      </w:r>
      <w:r w:rsidR="00085AB4" w:rsidRPr="00062C61">
        <w:rPr>
          <w:rFonts w:ascii="仿宋" w:eastAsia="仿宋" w:hAnsi="仿宋" w:hint="eastAsia"/>
          <w:sz w:val="28"/>
          <w:szCs w:val="28"/>
        </w:rPr>
        <w:t>风</w:t>
      </w:r>
      <w:r w:rsidR="00085AB4">
        <w:rPr>
          <w:rFonts w:ascii="仿宋" w:eastAsia="仿宋" w:hAnsi="仿宋" w:hint="eastAsia"/>
          <w:sz w:val="28"/>
          <w:szCs w:val="28"/>
        </w:rPr>
        <w:t>暴</w:t>
      </w:r>
      <w:r w:rsidRPr="00FD50F6">
        <w:t>、地震、冰雪和雷击等灾害的预防措施。</w:t>
      </w:r>
    </w:p>
    <w:p w14:paraId="6CF6BCA2" w14:textId="0EC33F6F" w:rsidR="00264219" w:rsidRPr="00FD50F6" w:rsidRDefault="00264219" w:rsidP="001A4CF3">
      <w:pPr>
        <w:pStyle w:val="30"/>
        <w:rPr>
          <w:rFonts w:ascii="宋体" w:hAnsi="宋体" w:cs="Times New Roman"/>
          <w:szCs w:val="24"/>
        </w:rPr>
      </w:pPr>
      <w:r w:rsidRPr="00FD50F6">
        <w:rPr>
          <w:rFonts w:ascii="宋体" w:hAnsi="宋体" w:cs="Times New Roman"/>
          <w:szCs w:val="24"/>
        </w:rPr>
        <w:t>地铁</w:t>
      </w:r>
      <w:r w:rsidRPr="00FD50F6">
        <w:rPr>
          <w:rFonts w:ascii="宋体" w:hAnsi="宋体" w:cs="Times New Roman" w:hint="eastAsia"/>
          <w:szCs w:val="24"/>
        </w:rPr>
        <w:t>工程的防火设计</w:t>
      </w:r>
      <w:r w:rsidRPr="00FD50F6">
        <w:rPr>
          <w:rFonts w:ascii="宋体" w:hAnsi="宋体" w:cs="Times New Roman"/>
          <w:szCs w:val="24"/>
        </w:rPr>
        <w:t>应贯彻“预防为主，防消结合”的方针。一条线路、一座换乘车站及其相邻区间的防火设计应按同一时间发生一次火灾</w:t>
      </w:r>
      <w:r w:rsidRPr="00FD50F6">
        <w:rPr>
          <w:rFonts w:ascii="宋体" w:hAnsi="宋体" w:cs="Times New Roman" w:hint="eastAsia"/>
          <w:szCs w:val="24"/>
        </w:rPr>
        <w:t>计</w:t>
      </w:r>
      <w:r w:rsidRPr="00FD50F6">
        <w:rPr>
          <w:rFonts w:ascii="宋体" w:hAnsi="宋体" w:cs="Times New Roman"/>
          <w:szCs w:val="24"/>
        </w:rPr>
        <w:t>。</w:t>
      </w:r>
    </w:p>
    <w:p w14:paraId="50AF8C29" w14:textId="77777777" w:rsidR="00264219" w:rsidRPr="00FD50F6" w:rsidRDefault="00264219" w:rsidP="00264219">
      <w:pPr>
        <w:pStyle w:val="30"/>
      </w:pPr>
      <w:r w:rsidRPr="00FD50F6">
        <w:rPr>
          <w:rFonts w:hint="eastAsia"/>
        </w:rPr>
        <w:t>地铁控制中心应具有所辖线路的防灾调度指挥功能。</w:t>
      </w:r>
    </w:p>
    <w:p w14:paraId="79A0DDBA" w14:textId="7365319B" w:rsidR="00264219" w:rsidRPr="00FD50F6" w:rsidRDefault="00264219" w:rsidP="00264219">
      <w:pPr>
        <w:pStyle w:val="30"/>
      </w:pPr>
      <w:r w:rsidRPr="00FD50F6">
        <w:rPr>
          <w:rFonts w:hint="eastAsia"/>
        </w:rPr>
        <w:t>地铁车站应配备防灾设施</w:t>
      </w:r>
      <w:r w:rsidR="00A235F1" w:rsidRPr="00FD50F6">
        <w:rPr>
          <w:rFonts w:hint="eastAsia"/>
        </w:rPr>
        <w:t>，</w:t>
      </w:r>
      <w:r w:rsidRPr="00FD50F6">
        <w:rPr>
          <w:rFonts w:hint="eastAsia"/>
        </w:rPr>
        <w:t>车辆基地应配备防灾与救援设施。</w:t>
      </w:r>
    </w:p>
    <w:p w14:paraId="2B672ACC" w14:textId="07119B2C" w:rsidR="00264219" w:rsidRPr="00FD50F6" w:rsidRDefault="008D6C92" w:rsidP="00264219">
      <w:pPr>
        <w:pStyle w:val="30"/>
      </w:pPr>
      <w:r w:rsidRPr="00FD50F6">
        <w:rPr>
          <w:rFonts w:hint="eastAsia"/>
        </w:rPr>
        <w:t>与车站一体化联体开发的商业等非地铁功能场所与站厅公共区之间应划分成不同的防火分区，两者之间的连通方式以及两者</w:t>
      </w:r>
      <w:r w:rsidRPr="00AA0E76">
        <w:rPr>
          <w:rFonts w:hint="eastAsia"/>
        </w:rPr>
        <w:t>连通</w:t>
      </w:r>
      <w:r w:rsidRPr="00FD50F6">
        <w:rPr>
          <w:rFonts w:hint="eastAsia"/>
        </w:rPr>
        <w:t>部位的防火分隔措施应符合现行国家标准</w:t>
      </w:r>
      <w:bookmarkStart w:id="1264" w:name="_Hlk99299245"/>
      <w:r w:rsidRPr="00AA0E76">
        <w:rPr>
          <w:rFonts w:hint="eastAsia"/>
        </w:rPr>
        <w:t>《建筑设计防火规范》</w:t>
      </w:r>
      <w:r w:rsidRPr="00FD50F6">
        <w:t>GB 50016</w:t>
      </w:r>
      <w:r>
        <w:rPr>
          <w:rFonts w:hint="eastAsia"/>
        </w:rPr>
        <w:t>、</w:t>
      </w:r>
      <w:r w:rsidRPr="00FD50F6">
        <w:rPr>
          <w:rFonts w:hint="eastAsia"/>
        </w:rPr>
        <w:t>《地铁设计防火标准》</w:t>
      </w:r>
      <w:r w:rsidRPr="00FD50F6">
        <w:t>GB 51298</w:t>
      </w:r>
      <w:r>
        <w:rPr>
          <w:rFonts w:hint="eastAsia"/>
        </w:rPr>
        <w:t>和</w:t>
      </w:r>
      <w:r w:rsidRPr="00FD50F6">
        <w:rPr>
          <w:rFonts w:hint="eastAsia"/>
        </w:rPr>
        <w:t>《城市轨道交通</w:t>
      </w:r>
      <w:r>
        <w:rPr>
          <w:rFonts w:hint="eastAsia"/>
        </w:rPr>
        <w:t>工程</w:t>
      </w:r>
      <w:r w:rsidRPr="00FD50F6">
        <w:rPr>
          <w:rFonts w:hint="eastAsia"/>
        </w:rPr>
        <w:t>项目规范》</w:t>
      </w:r>
      <w:r w:rsidRPr="00FD50F6">
        <w:rPr>
          <w:rFonts w:hint="eastAsia"/>
        </w:rPr>
        <w:t>G</w:t>
      </w:r>
      <w:r w:rsidRPr="00FD50F6">
        <w:t>B 5</w:t>
      </w:r>
      <w:r>
        <w:rPr>
          <w:rFonts w:hint="eastAsia"/>
        </w:rPr>
        <w:t>5</w:t>
      </w:r>
      <w:r w:rsidRPr="00FD50F6">
        <w:t>0</w:t>
      </w:r>
      <w:r>
        <w:rPr>
          <w:rFonts w:hint="eastAsia"/>
        </w:rPr>
        <w:t>33</w:t>
      </w:r>
      <w:bookmarkEnd w:id="1264"/>
      <w:r w:rsidRPr="00AA0E76">
        <w:rPr>
          <w:rFonts w:hint="eastAsia"/>
        </w:rPr>
        <w:t>等</w:t>
      </w:r>
      <w:r>
        <w:rPr>
          <w:rFonts w:hint="eastAsia"/>
        </w:rPr>
        <w:t>的</w:t>
      </w:r>
      <w:r w:rsidRPr="00FD50F6">
        <w:rPr>
          <w:rFonts w:hint="eastAsia"/>
        </w:rPr>
        <w:t>规定。商业等非地铁功能场所的防火设计应符合现行国家标准《建筑设计防火规范》</w:t>
      </w:r>
      <w:r w:rsidRPr="00FD50F6">
        <w:t>GB 50016</w:t>
      </w:r>
      <w:r>
        <w:rPr>
          <w:rFonts w:hint="eastAsia"/>
        </w:rPr>
        <w:t>的</w:t>
      </w:r>
      <w:r w:rsidRPr="00FD50F6">
        <w:rPr>
          <w:rFonts w:hint="eastAsia"/>
        </w:rPr>
        <w:t>规定</w:t>
      </w:r>
      <w:r w:rsidR="00264219" w:rsidRPr="00FD50F6">
        <w:rPr>
          <w:rFonts w:hint="eastAsia"/>
        </w:rPr>
        <w:t>。</w:t>
      </w:r>
    </w:p>
    <w:p w14:paraId="2FE1A243" w14:textId="39431CBF" w:rsidR="00264219" w:rsidRPr="00FD50F6" w:rsidRDefault="00264219" w:rsidP="00264219">
      <w:pPr>
        <w:pStyle w:val="30"/>
      </w:pPr>
      <w:r w:rsidRPr="00FD50F6">
        <w:rPr>
          <w:rFonts w:hint="eastAsia"/>
        </w:rPr>
        <w:t>车站站台、站厅付费区及出入口通道和站厅非付费区的乘客疏散区严禁设置商业场所和</w:t>
      </w:r>
      <w:r w:rsidR="007A4DD4" w:rsidRPr="00FD50F6">
        <w:rPr>
          <w:rFonts w:hint="eastAsia"/>
        </w:rPr>
        <w:t>非</w:t>
      </w:r>
      <w:r w:rsidRPr="00FD50F6">
        <w:rPr>
          <w:rFonts w:hint="eastAsia"/>
        </w:rPr>
        <w:t>地铁</w:t>
      </w:r>
      <w:r w:rsidR="007A4DD4" w:rsidRPr="00FD50F6">
        <w:rPr>
          <w:rFonts w:hint="eastAsia"/>
        </w:rPr>
        <w:t>功能</w:t>
      </w:r>
      <w:r w:rsidRPr="00FD50F6">
        <w:rPr>
          <w:rFonts w:hint="eastAsia"/>
        </w:rPr>
        <w:t>用房</w:t>
      </w:r>
      <w:r w:rsidR="007A4DD4" w:rsidRPr="00FD50F6">
        <w:rPr>
          <w:rFonts w:hint="eastAsia"/>
        </w:rPr>
        <w:t>及其设备设施</w:t>
      </w:r>
      <w:r w:rsidRPr="00FD50F6">
        <w:rPr>
          <w:rFonts w:hint="eastAsia"/>
        </w:rPr>
        <w:t>，不应设置妨碍乘客疏散的设备、设施及其他物体。车站站厅非付费区内设置的小商铺和其他便民服务设施应符合现行国家标准《地铁设计防火标准》</w:t>
      </w:r>
      <w:r w:rsidRPr="00FD50F6">
        <w:rPr>
          <w:rFonts w:hint="eastAsia"/>
        </w:rPr>
        <w:t>GB</w:t>
      </w:r>
      <w:r w:rsidRPr="00FD50F6">
        <w:t xml:space="preserve"> </w:t>
      </w:r>
      <w:r w:rsidRPr="00FD50F6">
        <w:rPr>
          <w:rFonts w:hint="eastAsia"/>
        </w:rPr>
        <w:t>51298</w:t>
      </w:r>
      <w:r w:rsidRPr="00FD50F6">
        <w:rPr>
          <w:rFonts w:hint="eastAsia"/>
        </w:rPr>
        <w:t>的规定。</w:t>
      </w:r>
    </w:p>
    <w:p w14:paraId="7E1AA91F" w14:textId="33F3DFC9" w:rsidR="00264219" w:rsidRPr="00FD50F6" w:rsidRDefault="00264219" w:rsidP="00264219">
      <w:pPr>
        <w:pStyle w:val="30"/>
      </w:pPr>
      <w:r w:rsidRPr="00FD50F6">
        <w:rPr>
          <w:rFonts w:hint="eastAsia"/>
        </w:rPr>
        <w:t>地下车站</w:t>
      </w:r>
      <w:r w:rsidR="0049678E" w:rsidRPr="00FD50F6">
        <w:rPr>
          <w:rFonts w:hint="eastAsia"/>
        </w:rPr>
        <w:t>、区间风井、地下区间变电所、地下车辆基地（含停车场）</w:t>
      </w:r>
      <w:r w:rsidRPr="00FD50F6">
        <w:rPr>
          <w:rFonts w:hint="eastAsia"/>
        </w:rPr>
        <w:t>的出入口、风亭（井）、垂直电梯和</w:t>
      </w:r>
      <w:r w:rsidR="0049678E" w:rsidRPr="00FD50F6">
        <w:rPr>
          <w:rFonts w:hint="eastAsia"/>
        </w:rPr>
        <w:t>安全出口</w:t>
      </w:r>
      <w:r w:rsidRPr="00FD50F6">
        <w:rPr>
          <w:rFonts w:hint="eastAsia"/>
        </w:rPr>
        <w:t>等</w:t>
      </w:r>
      <w:r w:rsidR="0049678E" w:rsidRPr="00FD50F6">
        <w:rPr>
          <w:rFonts w:hint="eastAsia"/>
        </w:rPr>
        <w:t>地</w:t>
      </w:r>
      <w:r w:rsidR="00B9207E" w:rsidRPr="00FD50F6">
        <w:rPr>
          <w:rFonts w:hint="eastAsia"/>
        </w:rPr>
        <w:t>面</w:t>
      </w:r>
      <w:r w:rsidRPr="00FD50F6">
        <w:rPr>
          <w:rFonts w:hint="eastAsia"/>
        </w:rPr>
        <w:t>附属建筑</w:t>
      </w:r>
      <w:r w:rsidR="0049678E" w:rsidRPr="00FD50F6">
        <w:rPr>
          <w:rFonts w:hint="eastAsia"/>
        </w:rPr>
        <w:t>，以及</w:t>
      </w:r>
      <w:r w:rsidRPr="00FD50F6">
        <w:rPr>
          <w:rFonts w:hint="eastAsia"/>
        </w:rPr>
        <w:t>地上车站、地上区间</w:t>
      </w:r>
      <w:r w:rsidR="00B9207E" w:rsidRPr="00FD50F6">
        <w:rPr>
          <w:rFonts w:hint="eastAsia"/>
        </w:rPr>
        <w:t>、地上</w:t>
      </w:r>
      <w:r w:rsidR="0049678E" w:rsidRPr="00FD50F6">
        <w:rPr>
          <w:rFonts w:hint="eastAsia"/>
        </w:rPr>
        <w:t>区间变电所</w:t>
      </w:r>
      <w:r w:rsidRPr="00FD50F6">
        <w:rPr>
          <w:rFonts w:hint="eastAsia"/>
        </w:rPr>
        <w:t>、地下区间</w:t>
      </w:r>
      <w:r w:rsidR="0049678E" w:rsidRPr="00FD50F6">
        <w:rPr>
          <w:rFonts w:hint="eastAsia"/>
        </w:rPr>
        <w:t>与地上区间过渡段、车辆基地（含停车场）出入线</w:t>
      </w:r>
      <w:r w:rsidRPr="00FD50F6">
        <w:rPr>
          <w:rFonts w:hint="eastAsia"/>
        </w:rPr>
        <w:t>敞口段等</w:t>
      </w:r>
      <w:r w:rsidR="0049678E" w:rsidRPr="00FD50F6">
        <w:rPr>
          <w:rFonts w:hint="eastAsia"/>
        </w:rPr>
        <w:t>地</w:t>
      </w:r>
      <w:r w:rsidR="00B9207E" w:rsidRPr="00FD50F6">
        <w:rPr>
          <w:rFonts w:hint="eastAsia"/>
        </w:rPr>
        <w:t>上</w:t>
      </w:r>
      <w:r w:rsidR="0049678E" w:rsidRPr="00FD50F6">
        <w:rPr>
          <w:rFonts w:hint="eastAsia"/>
        </w:rPr>
        <w:t>建（构）筑物，</w:t>
      </w:r>
      <w:r w:rsidRPr="00FD50F6">
        <w:rPr>
          <w:rFonts w:hint="eastAsia"/>
        </w:rPr>
        <w:t>与周围建筑物、</w:t>
      </w:r>
      <w:r w:rsidRPr="00AA0E76">
        <w:rPr>
          <w:rFonts w:hint="eastAsia"/>
        </w:rPr>
        <w:t>储罐（区）</w:t>
      </w:r>
      <w:r w:rsidRPr="00FD50F6">
        <w:rPr>
          <w:rFonts w:hint="eastAsia"/>
        </w:rPr>
        <w:t>等的防火间距应符合现行国家标准《建筑设计防火规范》</w:t>
      </w:r>
      <w:r w:rsidRPr="00FD50F6">
        <w:rPr>
          <w:rFonts w:hint="eastAsia"/>
        </w:rPr>
        <w:t>GB</w:t>
      </w:r>
      <w:r w:rsidR="00AB2A4F">
        <w:t xml:space="preserve"> </w:t>
      </w:r>
      <w:r w:rsidRPr="00FD50F6">
        <w:t>50016</w:t>
      </w:r>
      <w:r w:rsidR="00C70C43" w:rsidRPr="00FD50F6">
        <w:rPr>
          <w:rFonts w:hint="eastAsia"/>
        </w:rPr>
        <w:t>等</w:t>
      </w:r>
      <w:r w:rsidRPr="00FD50F6">
        <w:rPr>
          <w:rFonts w:hint="eastAsia"/>
        </w:rPr>
        <w:t>规定。</w:t>
      </w:r>
    </w:p>
    <w:p w14:paraId="7970AD97" w14:textId="77777777" w:rsidR="00D72C9E" w:rsidRPr="00FD50F6" w:rsidRDefault="00D72C9E" w:rsidP="00D72C9E">
      <w:pPr>
        <w:pStyle w:val="30"/>
      </w:pPr>
      <w:bookmarkStart w:id="1265" w:name="_Hlk28183773"/>
      <w:r w:rsidRPr="00FD50F6">
        <w:rPr>
          <w:rFonts w:hint="eastAsia"/>
        </w:rPr>
        <w:t>车站的公共区出入口、</w:t>
      </w:r>
      <w:r w:rsidRPr="00FD50F6">
        <w:t>垂直电梯</w:t>
      </w:r>
      <w:r w:rsidRPr="00FD50F6">
        <w:rPr>
          <w:rFonts w:hint="eastAsia"/>
        </w:rPr>
        <w:t>出入口、设备区</w:t>
      </w:r>
      <w:r w:rsidRPr="00FD50F6">
        <w:t>安全出口</w:t>
      </w:r>
      <w:r w:rsidRPr="00FD50F6">
        <w:rPr>
          <w:rFonts w:hint="eastAsia"/>
        </w:rPr>
        <w:t>、</w:t>
      </w:r>
      <w:r w:rsidRPr="00FD50F6">
        <w:t>风亭（井）</w:t>
      </w:r>
      <w:r w:rsidRPr="00FD50F6">
        <w:rPr>
          <w:rFonts w:hint="eastAsia"/>
        </w:rPr>
        <w:t>，以及区间风</w:t>
      </w:r>
      <w:r w:rsidRPr="00FD50F6">
        <w:t>亭（井）</w:t>
      </w:r>
      <w:r w:rsidRPr="00FD50F6">
        <w:rPr>
          <w:rFonts w:hint="eastAsia"/>
        </w:rPr>
        <w:t>、地下区间变电所的出入口等地面附属建筑之间的防火间距应符合现行国家标准</w:t>
      </w:r>
      <w:r w:rsidRPr="00FD50F6">
        <w:t>《建筑设计防火规范》</w:t>
      </w:r>
      <w:r w:rsidRPr="00FD50F6">
        <w:t>GB 50016</w:t>
      </w:r>
      <w:r w:rsidRPr="00FD50F6">
        <w:t>和</w:t>
      </w:r>
      <w:r w:rsidRPr="00FD50F6">
        <w:rPr>
          <w:rFonts w:hint="eastAsia"/>
        </w:rPr>
        <w:t>《地铁设计防火标准》</w:t>
      </w:r>
      <w:r w:rsidRPr="00FD50F6">
        <w:t>GB 51298</w:t>
      </w:r>
      <w:r w:rsidRPr="00FD50F6">
        <w:rPr>
          <w:rFonts w:hint="eastAsia"/>
        </w:rPr>
        <w:t>的规定。</w:t>
      </w:r>
    </w:p>
    <w:p w14:paraId="5FD700B9" w14:textId="08FFC849" w:rsidR="00264219" w:rsidRPr="00FD50F6" w:rsidRDefault="00264219" w:rsidP="00264219">
      <w:pPr>
        <w:pStyle w:val="30"/>
      </w:pPr>
      <w:r w:rsidRPr="00FD50F6">
        <w:rPr>
          <w:rFonts w:hint="eastAsia"/>
        </w:rPr>
        <w:t>地铁车站、区间、车辆基地、控制中心及主变电所等建筑防火、</w:t>
      </w:r>
      <w:bookmarkStart w:id="1266" w:name="_Hlk98612615"/>
      <w:r w:rsidRPr="00FD50F6">
        <w:rPr>
          <w:rFonts w:hint="eastAsia"/>
        </w:rPr>
        <w:t>消防给</w:t>
      </w:r>
      <w:r w:rsidRPr="00FD50F6">
        <w:rPr>
          <w:rFonts w:hint="eastAsia"/>
        </w:rPr>
        <w:lastRenderedPageBreak/>
        <w:t>水与灭火设施、防烟与排烟</w:t>
      </w:r>
      <w:r w:rsidR="002325F9" w:rsidRPr="00FD50F6">
        <w:rPr>
          <w:rFonts w:hint="eastAsia"/>
        </w:rPr>
        <w:t>设施</w:t>
      </w:r>
      <w:r w:rsidRPr="00FD50F6">
        <w:rPr>
          <w:rFonts w:hint="eastAsia"/>
        </w:rPr>
        <w:t>、火灾自动报警</w:t>
      </w:r>
      <w:r w:rsidR="002325F9" w:rsidRPr="00FD50F6">
        <w:rPr>
          <w:rFonts w:hint="eastAsia"/>
        </w:rPr>
        <w:t>系统</w:t>
      </w:r>
      <w:r w:rsidRPr="00FD50F6">
        <w:rPr>
          <w:rFonts w:hint="eastAsia"/>
        </w:rPr>
        <w:t>、消防配电与应急照明</w:t>
      </w:r>
      <w:r w:rsidR="002325F9" w:rsidRPr="00FD50F6">
        <w:rPr>
          <w:rFonts w:hint="eastAsia"/>
        </w:rPr>
        <w:t>、消防救援设施</w:t>
      </w:r>
      <w:bookmarkEnd w:id="1266"/>
      <w:r w:rsidR="002325F9" w:rsidRPr="00FD50F6">
        <w:rPr>
          <w:rFonts w:hint="eastAsia"/>
        </w:rPr>
        <w:t>等</w:t>
      </w:r>
      <w:r w:rsidRPr="00FD50F6">
        <w:rPr>
          <w:rFonts w:hint="eastAsia"/>
        </w:rPr>
        <w:t>除应符合本标准的规定外，尚应符合现行国家标准</w:t>
      </w:r>
      <w:r w:rsidR="00F670A4" w:rsidRPr="00FD50F6">
        <w:rPr>
          <w:rFonts w:hint="eastAsia"/>
        </w:rPr>
        <w:t>《建筑设计防火规范》</w:t>
      </w:r>
      <w:r w:rsidR="00F670A4" w:rsidRPr="00FD50F6">
        <w:t>GB50016</w:t>
      </w:r>
      <w:r w:rsidR="00F670A4" w:rsidRPr="00FD50F6">
        <w:rPr>
          <w:rFonts w:hint="eastAsia"/>
        </w:rPr>
        <w:t>、</w:t>
      </w:r>
      <w:bookmarkStart w:id="1267" w:name="_Hlk98612726"/>
      <w:r w:rsidRPr="00FD50F6">
        <w:rPr>
          <w:rFonts w:hint="eastAsia"/>
        </w:rPr>
        <w:t>《地铁设计防火标准》</w:t>
      </w:r>
      <w:r w:rsidRPr="00FD50F6">
        <w:t>GB51298</w:t>
      </w:r>
      <w:bookmarkEnd w:id="1267"/>
      <w:r w:rsidR="00F670A4" w:rsidRPr="00FD50F6">
        <w:rPr>
          <w:rFonts w:hint="eastAsia"/>
        </w:rPr>
        <w:t>以及相关专业规范</w:t>
      </w:r>
      <w:r w:rsidRPr="00FD50F6">
        <w:rPr>
          <w:rFonts w:hint="eastAsia"/>
        </w:rPr>
        <w:t>的规定。</w:t>
      </w:r>
    </w:p>
    <w:p w14:paraId="0C571BF5" w14:textId="77777777" w:rsidR="0084432A" w:rsidRPr="00FD50F6" w:rsidRDefault="0084432A" w:rsidP="0084432A">
      <w:pPr>
        <w:pStyle w:val="30"/>
      </w:pPr>
      <w:r w:rsidRPr="00FD50F6">
        <w:rPr>
          <w:rFonts w:hint="eastAsia"/>
        </w:rPr>
        <w:t>防水淹设计应包括防范因内涝或洪（潮）水引起的车站、区间隧道、路基与桥涵、主变电所、控制中心及车辆基地的水淹灾害，以及因结构受损引起的水域下方区间隧道的水淹灾害。</w:t>
      </w:r>
    </w:p>
    <w:p w14:paraId="04D83B35" w14:textId="77777777" w:rsidR="0084432A" w:rsidRPr="00FD50F6" w:rsidRDefault="0084432A" w:rsidP="0084432A">
      <w:pPr>
        <w:pStyle w:val="30"/>
      </w:pPr>
      <w:r w:rsidRPr="00FD50F6">
        <w:rPr>
          <w:rFonts w:hint="eastAsia"/>
        </w:rPr>
        <w:t>地铁规划应根据上位规划条件合理选择线路敷设方式，车站及区间地面附属设施应根据所在区域的防内涝和防洪（潮）规划设置。</w:t>
      </w:r>
      <w:r w:rsidRPr="00FD50F6">
        <w:t xml:space="preserve">  </w:t>
      </w:r>
    </w:p>
    <w:p w14:paraId="76641261" w14:textId="1B72DBB6" w:rsidR="0084432A" w:rsidRPr="00FD50F6" w:rsidRDefault="00085AB4" w:rsidP="0084432A">
      <w:pPr>
        <w:pStyle w:val="30"/>
      </w:pPr>
      <w:r w:rsidRPr="00085AB4">
        <w:rPr>
          <w:rFonts w:hint="eastAsia"/>
        </w:rPr>
        <w:t>地铁防内涝和防洪（潮）水设计采用的重现期设计标准不应低于专项研究报告要求，且不应低于</w:t>
      </w:r>
      <w:r w:rsidRPr="00085AB4">
        <w:rPr>
          <w:rFonts w:hint="eastAsia"/>
        </w:rPr>
        <w:t>100</w:t>
      </w:r>
      <w:r w:rsidRPr="00085AB4">
        <w:rPr>
          <w:rFonts w:hint="eastAsia"/>
        </w:rPr>
        <w:t>年</w:t>
      </w:r>
      <w:r w:rsidR="0084432A" w:rsidRPr="00FD50F6">
        <w:t>。</w:t>
      </w:r>
    </w:p>
    <w:p w14:paraId="38843E97" w14:textId="55EC6677" w:rsidR="00032A87" w:rsidRPr="00FD50F6" w:rsidRDefault="0084432A" w:rsidP="0084432A">
      <w:pPr>
        <w:pStyle w:val="30"/>
      </w:pPr>
      <w:r w:rsidRPr="00FD50F6">
        <w:rPr>
          <w:rFonts w:hint="eastAsia"/>
        </w:rPr>
        <w:t>当地铁主体、附属及其连通工程进行续建或改建时，应采取保证防水淹体系完整性和设计标准不降低的措施</w:t>
      </w:r>
      <w:r w:rsidR="00E0157A" w:rsidRPr="00FD50F6">
        <w:rPr>
          <w:rFonts w:hint="eastAsia"/>
        </w:rPr>
        <w:t>。</w:t>
      </w:r>
    </w:p>
    <w:p w14:paraId="2B281775" w14:textId="77777777" w:rsidR="00264219" w:rsidRPr="00FD50F6" w:rsidRDefault="00264219" w:rsidP="00A65181">
      <w:pPr>
        <w:pStyle w:val="2"/>
      </w:pPr>
      <w:bookmarkStart w:id="1268" w:name="_Toc236813723"/>
      <w:bookmarkStart w:id="1269" w:name="_Toc306207291"/>
      <w:bookmarkStart w:id="1270" w:name="_Toc306207482"/>
      <w:bookmarkStart w:id="1271" w:name="_Toc320196149"/>
      <w:bookmarkStart w:id="1272" w:name="_Toc320643538"/>
      <w:bookmarkStart w:id="1273" w:name="_Toc344218892"/>
      <w:bookmarkStart w:id="1274" w:name="_Toc112830879"/>
      <w:bookmarkEnd w:id="1265"/>
      <w:r w:rsidRPr="00FD50F6">
        <w:t>建筑防</w:t>
      </w:r>
      <w:bookmarkEnd w:id="1268"/>
      <w:bookmarkEnd w:id="1269"/>
      <w:bookmarkEnd w:id="1270"/>
      <w:bookmarkEnd w:id="1271"/>
      <w:bookmarkEnd w:id="1272"/>
      <w:bookmarkEnd w:id="1273"/>
      <w:r w:rsidRPr="00FD50F6">
        <w:rPr>
          <w:rFonts w:hint="eastAsia"/>
        </w:rPr>
        <w:t>火</w:t>
      </w:r>
      <w:bookmarkEnd w:id="1274"/>
    </w:p>
    <w:p w14:paraId="19B7C694" w14:textId="6A7F67C1" w:rsidR="00264219" w:rsidRPr="00FD50F6" w:rsidRDefault="00264219" w:rsidP="00264219">
      <w:pPr>
        <w:pStyle w:val="30"/>
      </w:pPr>
      <w:r w:rsidRPr="00FD50F6">
        <w:rPr>
          <w:rFonts w:hint="eastAsia"/>
        </w:rPr>
        <w:t>地铁建（构）筑物的耐火等级应符合下列规定：</w:t>
      </w:r>
    </w:p>
    <w:p w14:paraId="3A49D696" w14:textId="0CDBB38F" w:rsidR="00264219" w:rsidRPr="00FD50F6" w:rsidRDefault="00264219" w:rsidP="00A926BD">
      <w:pPr>
        <w:pStyle w:val="4"/>
      </w:pPr>
      <w:r w:rsidRPr="00FD50F6">
        <w:rPr>
          <w:rFonts w:hint="eastAsia"/>
        </w:rPr>
        <w:t>地下和半地下车站的</w:t>
      </w:r>
      <w:r w:rsidRPr="001A4CF3">
        <w:rPr>
          <w:rFonts w:hint="eastAsia"/>
        </w:rPr>
        <w:t>主体</w:t>
      </w:r>
      <w:r w:rsidRPr="00FD50F6">
        <w:rPr>
          <w:rFonts w:hint="eastAsia"/>
        </w:rPr>
        <w:t>、出入口通道、风道，以及地下区间</w:t>
      </w:r>
      <w:r w:rsidRPr="001A4CF3">
        <w:rPr>
          <w:rFonts w:hint="eastAsia"/>
        </w:rPr>
        <w:t>的主体</w:t>
      </w:r>
      <w:r w:rsidRPr="00FD50F6">
        <w:rPr>
          <w:rFonts w:hint="eastAsia"/>
        </w:rPr>
        <w:t>、</w:t>
      </w:r>
      <w:r w:rsidR="00C1563B" w:rsidRPr="00FD50F6">
        <w:rPr>
          <w:rFonts w:hint="eastAsia"/>
        </w:rPr>
        <w:t>区间联络通道</w:t>
      </w:r>
      <w:r w:rsidR="00100CB7" w:rsidRPr="00FD50F6">
        <w:rPr>
          <w:rFonts w:hint="eastAsia"/>
        </w:rPr>
        <w:t>、</w:t>
      </w:r>
      <w:r w:rsidRPr="00FD50F6">
        <w:rPr>
          <w:rFonts w:hint="eastAsia"/>
        </w:rPr>
        <w:t>区间风井</w:t>
      </w:r>
      <w:r w:rsidR="00100CB7" w:rsidRPr="00FD50F6">
        <w:rPr>
          <w:rFonts w:hint="eastAsia"/>
        </w:rPr>
        <w:t>与</w:t>
      </w:r>
      <w:r w:rsidRPr="00FD50F6">
        <w:rPr>
          <w:rFonts w:hint="eastAsia"/>
        </w:rPr>
        <w:t>风道等建</w:t>
      </w:r>
      <w:r w:rsidRPr="001A4CF3">
        <w:rPr>
          <w:rFonts w:hint="eastAsia"/>
        </w:rPr>
        <w:t>（构）</w:t>
      </w:r>
      <w:r w:rsidRPr="00FD50F6">
        <w:rPr>
          <w:rFonts w:hint="eastAsia"/>
        </w:rPr>
        <w:t>筑物的耐火等级应为一级；</w:t>
      </w:r>
    </w:p>
    <w:p w14:paraId="3DBA0286" w14:textId="5098A402" w:rsidR="00264219" w:rsidRPr="00FD50F6" w:rsidRDefault="00264219" w:rsidP="00A926BD">
      <w:pPr>
        <w:pStyle w:val="4"/>
      </w:pPr>
      <w:r w:rsidRPr="00FD50F6">
        <w:rPr>
          <w:rFonts w:hint="eastAsia"/>
        </w:rPr>
        <w:t>控制中心、主变电所的耐火等级应为一级；</w:t>
      </w:r>
    </w:p>
    <w:p w14:paraId="23FF93D7" w14:textId="77777777" w:rsidR="00264219" w:rsidRPr="00FD50F6" w:rsidRDefault="00264219" w:rsidP="00A926BD">
      <w:pPr>
        <w:pStyle w:val="4"/>
      </w:pPr>
      <w:r w:rsidRPr="00FD50F6">
        <w:rPr>
          <w:rFonts w:hint="eastAsia"/>
        </w:rPr>
        <w:t>地上车辆综合基地的易燃物品库、油漆库的耐火等级应为一级；</w:t>
      </w:r>
    </w:p>
    <w:p w14:paraId="1ED76BAF" w14:textId="36E4A513" w:rsidR="00264219" w:rsidRPr="00FD50F6" w:rsidRDefault="004830EC" w:rsidP="00A926BD">
      <w:pPr>
        <w:pStyle w:val="4"/>
      </w:pPr>
      <w:r w:rsidRPr="00FD50F6">
        <w:rPr>
          <w:rFonts w:hint="eastAsia"/>
        </w:rPr>
        <w:t>板地下方车辆基地</w:t>
      </w:r>
      <w:r w:rsidR="00264219" w:rsidRPr="00FD50F6">
        <w:rPr>
          <w:rFonts w:hint="eastAsia"/>
        </w:rPr>
        <w:t>的厂房</w:t>
      </w:r>
      <w:r w:rsidR="00133114" w:rsidRPr="00FD50F6">
        <w:rPr>
          <w:rFonts w:hint="eastAsia"/>
        </w:rPr>
        <w:t>、仓库</w:t>
      </w:r>
      <w:r w:rsidR="0024566A" w:rsidRPr="00FD50F6">
        <w:rPr>
          <w:rFonts w:hint="eastAsia"/>
        </w:rPr>
        <w:t>等</w:t>
      </w:r>
      <w:r w:rsidR="00264219" w:rsidRPr="00FD50F6">
        <w:rPr>
          <w:rFonts w:hint="eastAsia"/>
        </w:rPr>
        <w:t>建（构）筑物的耐火等级应为一级；</w:t>
      </w:r>
    </w:p>
    <w:p w14:paraId="494AE47A" w14:textId="7C9D9367" w:rsidR="00264219" w:rsidRPr="00FD50F6" w:rsidRDefault="00264219" w:rsidP="00A926BD">
      <w:pPr>
        <w:pStyle w:val="4"/>
      </w:pPr>
      <w:r w:rsidRPr="00FD50F6">
        <w:t>地上车站及地上区间、地下车站出入口地面厅、风亭（井）等地面建（构）筑物</w:t>
      </w:r>
      <w:r w:rsidRPr="00FD50F6">
        <w:rPr>
          <w:rFonts w:hint="eastAsia"/>
        </w:rPr>
        <w:t>以及与车站地面亭、风亭合建的地上建筑的</w:t>
      </w:r>
      <w:r w:rsidRPr="00FD50F6">
        <w:t>耐火等级不</w:t>
      </w:r>
      <w:r w:rsidRPr="00FD50F6">
        <w:rPr>
          <w:rFonts w:hint="eastAsia"/>
        </w:rPr>
        <w:t>应</w:t>
      </w:r>
      <w:r w:rsidRPr="00FD50F6">
        <w:t>低于二级</w:t>
      </w:r>
      <w:r w:rsidRPr="00FD50F6">
        <w:rPr>
          <w:rFonts w:hint="eastAsia"/>
        </w:rPr>
        <w:t>；</w:t>
      </w:r>
    </w:p>
    <w:p w14:paraId="70061E5F" w14:textId="4BB10860" w:rsidR="00020311" w:rsidRPr="00FD50F6" w:rsidRDefault="00264219" w:rsidP="00A926BD">
      <w:pPr>
        <w:pStyle w:val="4"/>
      </w:pPr>
      <w:r w:rsidRPr="00FD50F6">
        <w:t>地上车辆基地</w:t>
      </w:r>
      <w:r w:rsidRPr="00FD50F6">
        <w:rPr>
          <w:rFonts w:hint="eastAsia"/>
        </w:rPr>
        <w:t>的运用库、检修库、物质总库、调机库、牵引降压混合变电所、工程车库、不落轮镟库和洗车库等厂房</w:t>
      </w:r>
      <w:r w:rsidR="0024566A" w:rsidRPr="00FD50F6">
        <w:rPr>
          <w:rFonts w:hint="eastAsia"/>
        </w:rPr>
        <w:t>、仓库，</w:t>
      </w:r>
      <w:r w:rsidRPr="00FD50F6">
        <w:rPr>
          <w:rFonts w:hint="eastAsia"/>
        </w:rPr>
        <w:t>以及</w:t>
      </w:r>
      <w:r w:rsidR="0024566A" w:rsidRPr="001A4CF3">
        <w:rPr>
          <w:rFonts w:hint="eastAsia"/>
        </w:rPr>
        <w:t>综合维修中心的维修综合楼、</w:t>
      </w:r>
      <w:r w:rsidRPr="00FD50F6">
        <w:rPr>
          <w:rFonts w:hint="eastAsia"/>
        </w:rPr>
        <w:t>综合办公楼等辅助建筑的耐火等级不应低于二级</w:t>
      </w:r>
      <w:r w:rsidR="00B52176" w:rsidRPr="00FD50F6">
        <w:rPr>
          <w:rFonts w:hint="eastAsia"/>
        </w:rPr>
        <w:t>；</w:t>
      </w:r>
    </w:p>
    <w:p w14:paraId="592BF63C" w14:textId="6159B127" w:rsidR="00264219" w:rsidRPr="00FD50F6" w:rsidRDefault="00020311" w:rsidP="00A926BD">
      <w:pPr>
        <w:pStyle w:val="4"/>
      </w:pPr>
      <w:r w:rsidRPr="001A4CF3">
        <w:rPr>
          <w:rFonts w:hint="eastAsia"/>
        </w:rPr>
        <w:t>设置在地下车站顶板、地上车站屋面及车辆基地</w:t>
      </w:r>
      <w:r w:rsidR="004830EC" w:rsidRPr="00FD50F6">
        <w:rPr>
          <w:rFonts w:hint="eastAsia"/>
        </w:rPr>
        <w:t>板地</w:t>
      </w:r>
      <w:r w:rsidRPr="001A4CF3">
        <w:rPr>
          <w:rFonts w:hint="eastAsia"/>
        </w:rPr>
        <w:t>上部</w:t>
      </w:r>
      <w:r w:rsidR="00F67590" w:rsidRPr="00FD50F6">
        <w:rPr>
          <w:rFonts w:hint="eastAsia"/>
        </w:rPr>
        <w:t>的</w:t>
      </w:r>
      <w:r w:rsidRPr="001A4CF3">
        <w:rPr>
          <w:rFonts w:hint="eastAsia"/>
        </w:rPr>
        <w:t>建（构）筑物的耐火等级不应低于二级</w:t>
      </w:r>
      <w:r w:rsidRPr="00FD50F6">
        <w:rPr>
          <w:rFonts w:hint="eastAsia"/>
        </w:rPr>
        <w:t>。</w:t>
      </w:r>
    </w:p>
    <w:p w14:paraId="06923471" w14:textId="29AB6244" w:rsidR="00264219" w:rsidRPr="00FD50F6" w:rsidRDefault="00A27703" w:rsidP="001A4CF3">
      <w:pPr>
        <w:pStyle w:val="30"/>
      </w:pPr>
      <w:r w:rsidRPr="00FD50F6">
        <w:rPr>
          <w:rFonts w:hint="eastAsia"/>
        </w:rPr>
        <w:t>车站</w:t>
      </w:r>
      <w:r w:rsidR="0047125E" w:rsidRPr="00AA0E76">
        <w:rPr>
          <w:rFonts w:hint="eastAsia"/>
        </w:rPr>
        <w:t>站台和站厅公共区可划分为一个防火分区，</w:t>
      </w:r>
      <w:bookmarkStart w:id="1275" w:name="_Hlk94615716"/>
      <w:r w:rsidRPr="00FD50F6">
        <w:rPr>
          <w:rFonts w:hint="eastAsia"/>
        </w:rPr>
        <w:t>当站厅公共区不符合</w:t>
      </w:r>
      <w:bookmarkStart w:id="1276" w:name="_Hlk94615680"/>
      <w:r w:rsidRPr="00FD50F6">
        <w:rPr>
          <w:rFonts w:hint="eastAsia"/>
        </w:rPr>
        <w:t>现行国家标准《建筑设计防火规范》</w:t>
      </w:r>
      <w:r w:rsidRPr="00FD50F6">
        <w:t>GB</w:t>
      </w:r>
      <w:r w:rsidR="0084432A" w:rsidRPr="00FD50F6">
        <w:t xml:space="preserve"> </w:t>
      </w:r>
      <w:r w:rsidRPr="00FD50F6">
        <w:t>50016</w:t>
      </w:r>
      <w:r w:rsidRPr="00FD50F6">
        <w:t>和《建筑防烟排烟系统技术标准》</w:t>
      </w:r>
      <w:r w:rsidRPr="00FD50F6">
        <w:lastRenderedPageBreak/>
        <w:t>GB</w:t>
      </w:r>
      <w:r w:rsidR="0084432A" w:rsidRPr="00FD50F6">
        <w:t xml:space="preserve"> </w:t>
      </w:r>
      <w:r w:rsidRPr="00FD50F6">
        <w:t>51251</w:t>
      </w:r>
      <w:bookmarkEnd w:id="1276"/>
      <w:r w:rsidRPr="00FD50F6">
        <w:t>规定的</w:t>
      </w:r>
      <w:r w:rsidR="00AB7245" w:rsidRPr="00FD50F6">
        <w:rPr>
          <w:rFonts w:hint="eastAsia"/>
        </w:rPr>
        <w:t>自然通风和</w:t>
      </w:r>
      <w:r w:rsidRPr="00FD50F6">
        <w:t>自然排烟条件时，</w:t>
      </w:r>
      <w:bookmarkEnd w:id="1275"/>
      <w:r w:rsidR="002C202B" w:rsidRPr="00FD50F6">
        <w:rPr>
          <w:rFonts w:hint="eastAsia"/>
        </w:rPr>
        <w:t>其</w:t>
      </w:r>
      <w:r w:rsidR="00264219" w:rsidRPr="00FD50F6">
        <w:rPr>
          <w:rFonts w:hint="eastAsia"/>
        </w:rPr>
        <w:t>最大允许建筑面积不宜超过</w:t>
      </w:r>
      <w:r w:rsidR="00264219" w:rsidRPr="00FD50F6">
        <w:t>5000m</w:t>
      </w:r>
      <w:r w:rsidR="00264219" w:rsidRPr="00FD50F6">
        <w:rPr>
          <w:vertAlign w:val="superscript"/>
        </w:rPr>
        <w:t>2</w:t>
      </w:r>
      <w:r w:rsidR="00264219" w:rsidRPr="00FD50F6">
        <w:rPr>
          <w:rFonts w:hint="eastAsia"/>
        </w:rPr>
        <w:t>，超过时应采取</w:t>
      </w:r>
      <w:r w:rsidR="00AB2A4F">
        <w:rPr>
          <w:rFonts w:hint="eastAsia"/>
        </w:rPr>
        <w:t>下列</w:t>
      </w:r>
      <w:r w:rsidR="00264219" w:rsidRPr="00FD50F6">
        <w:rPr>
          <w:rFonts w:hint="eastAsia"/>
        </w:rPr>
        <w:t>措施：</w:t>
      </w:r>
    </w:p>
    <w:p w14:paraId="3310C57A" w14:textId="057DAD87" w:rsidR="006F4DF6" w:rsidRPr="00FD50F6" w:rsidRDefault="00264219" w:rsidP="00A926BD">
      <w:pPr>
        <w:pStyle w:val="4"/>
      </w:pPr>
      <w:r w:rsidRPr="00FD50F6">
        <w:rPr>
          <w:rFonts w:hint="eastAsia"/>
        </w:rPr>
        <w:t>站厅公共区</w:t>
      </w:r>
      <w:r w:rsidRPr="001A4CF3">
        <w:rPr>
          <w:rFonts w:hint="eastAsia"/>
        </w:rPr>
        <w:t>应</w:t>
      </w:r>
      <w:r w:rsidR="009D437A" w:rsidRPr="001A4CF3">
        <w:rPr>
          <w:rFonts w:hint="eastAsia"/>
        </w:rPr>
        <w:t>采取</w:t>
      </w:r>
      <w:r w:rsidRPr="001A4CF3">
        <w:rPr>
          <w:rFonts w:hint="eastAsia"/>
        </w:rPr>
        <w:t>耐火极限不低于</w:t>
      </w:r>
      <w:r w:rsidR="002C591D" w:rsidRPr="001A4CF3">
        <w:t>2</w:t>
      </w:r>
      <w:r w:rsidRPr="001A4CF3">
        <w:t>.00h</w:t>
      </w:r>
      <w:r w:rsidRPr="001A4CF3">
        <w:rPr>
          <w:rFonts w:hint="eastAsia"/>
        </w:rPr>
        <w:t>的防火隔墙或</w:t>
      </w:r>
      <w:r w:rsidR="002C591D" w:rsidRPr="00FD50F6">
        <w:rPr>
          <w:rFonts w:hint="eastAsia"/>
        </w:rPr>
        <w:t>耐火极限不低于</w:t>
      </w:r>
      <w:r w:rsidR="002C591D" w:rsidRPr="00FD50F6">
        <w:t>3.00h</w:t>
      </w:r>
      <w:r w:rsidR="002C591D" w:rsidRPr="00FD50F6">
        <w:rPr>
          <w:rFonts w:hint="eastAsia"/>
        </w:rPr>
        <w:t>的</w:t>
      </w:r>
      <w:r w:rsidRPr="00FD50F6">
        <w:rPr>
          <w:rFonts w:hint="eastAsia"/>
        </w:rPr>
        <w:t>防火卷帘</w:t>
      </w:r>
      <w:r w:rsidR="009D437A" w:rsidRPr="001A4CF3">
        <w:rPr>
          <w:rFonts w:hint="eastAsia"/>
        </w:rPr>
        <w:t>进行防火分隔</w:t>
      </w:r>
      <w:r w:rsidR="002C591D" w:rsidRPr="00FD50F6">
        <w:rPr>
          <w:rFonts w:hint="eastAsia"/>
        </w:rPr>
        <w:t>，</w:t>
      </w:r>
      <w:r w:rsidR="00681E17" w:rsidRPr="001A4CF3">
        <w:rPr>
          <w:rFonts w:hint="eastAsia"/>
        </w:rPr>
        <w:t>或</w:t>
      </w:r>
      <w:r w:rsidR="00681E17" w:rsidRPr="00FD50F6">
        <w:rPr>
          <w:rFonts w:hint="eastAsia"/>
        </w:rPr>
        <w:t>采取其他等效措施</w:t>
      </w:r>
      <w:r w:rsidRPr="00FD50F6">
        <w:rPr>
          <w:rFonts w:hint="eastAsia"/>
        </w:rPr>
        <w:t>；</w:t>
      </w:r>
    </w:p>
    <w:p w14:paraId="7F140335" w14:textId="19307DD5" w:rsidR="00062174" w:rsidRPr="001A4CF3" w:rsidRDefault="008D6C92" w:rsidP="00A926BD">
      <w:pPr>
        <w:pStyle w:val="4"/>
      </w:pPr>
      <w:r w:rsidRPr="00FD50F6">
        <w:rPr>
          <w:rFonts w:hint="eastAsia"/>
        </w:rPr>
        <w:t>站台设于站厅上方的地上车站，当公共区符合现行国家标准《建筑设计防火规范》</w:t>
      </w:r>
      <w:r w:rsidRPr="00FD50F6">
        <w:t>GB</w:t>
      </w:r>
      <w:r>
        <w:t xml:space="preserve"> </w:t>
      </w:r>
      <w:r w:rsidRPr="00FD50F6">
        <w:t>50016</w:t>
      </w:r>
      <w:r w:rsidRPr="00FD50F6">
        <w:t>和《建筑防烟排烟系统技术标准》</w:t>
      </w:r>
      <w:r w:rsidRPr="00FD50F6">
        <w:t>GB</w:t>
      </w:r>
      <w:r>
        <w:t xml:space="preserve"> </w:t>
      </w:r>
      <w:r w:rsidRPr="00FD50F6">
        <w:t>51251</w:t>
      </w:r>
      <w:r w:rsidRPr="00FD50F6">
        <w:t>规定的</w:t>
      </w:r>
      <w:r w:rsidRPr="00FD50F6">
        <w:rPr>
          <w:rFonts w:hint="eastAsia"/>
        </w:rPr>
        <w:t>自然通风和</w:t>
      </w:r>
      <w:r w:rsidRPr="00FD50F6">
        <w:t>自然排烟条件时，公共区的防火分区面积</w:t>
      </w:r>
      <w:r>
        <w:rPr>
          <w:rFonts w:hint="eastAsia"/>
        </w:rPr>
        <w:t>可</w:t>
      </w:r>
      <w:r w:rsidRPr="00FD50F6">
        <w:t>不限</w:t>
      </w:r>
      <w:r w:rsidR="006F4DF6" w:rsidRPr="00FD50F6">
        <w:rPr>
          <w:rFonts w:hint="eastAsia"/>
        </w:rPr>
        <w:t>；</w:t>
      </w:r>
    </w:p>
    <w:p w14:paraId="55839C8A" w14:textId="2DCA7AFA" w:rsidR="00264219" w:rsidRPr="00FD50F6" w:rsidRDefault="00264219" w:rsidP="00A926BD">
      <w:pPr>
        <w:pStyle w:val="4"/>
      </w:pPr>
      <w:r w:rsidRPr="00FD50F6">
        <w:rPr>
          <w:rFonts w:hint="eastAsia"/>
        </w:rPr>
        <w:t>每个防火分区的安全出口数量及防火分区内任一点至安全出口的</w:t>
      </w:r>
      <w:r w:rsidR="00350FE7" w:rsidRPr="001A4CF3">
        <w:rPr>
          <w:rFonts w:hint="eastAsia"/>
        </w:rPr>
        <w:t>疏散</w:t>
      </w:r>
      <w:r w:rsidRPr="00FD50F6">
        <w:rPr>
          <w:rFonts w:hint="eastAsia"/>
        </w:rPr>
        <w:t>距离应符合本标准</w:t>
      </w:r>
      <w:r w:rsidR="001448AD" w:rsidRPr="00FD50F6">
        <w:rPr>
          <w:rFonts w:hint="eastAsia"/>
        </w:rPr>
        <w:t>第</w:t>
      </w:r>
      <w:r w:rsidR="001448AD" w:rsidRPr="00FD50F6">
        <w:t>30</w:t>
      </w:r>
      <w:r w:rsidRPr="001A4CF3">
        <w:t>.2.1</w:t>
      </w:r>
      <w:r w:rsidR="00350FE7" w:rsidRPr="00FD50F6">
        <w:t>1</w:t>
      </w:r>
      <w:r w:rsidRPr="00FD50F6">
        <w:rPr>
          <w:rFonts w:hint="eastAsia"/>
        </w:rPr>
        <w:t>条的规定；</w:t>
      </w:r>
    </w:p>
    <w:p w14:paraId="23812268" w14:textId="24297FD3" w:rsidR="00264219" w:rsidRPr="00FD50F6" w:rsidRDefault="00264219" w:rsidP="00A926BD">
      <w:pPr>
        <w:pStyle w:val="4"/>
      </w:pPr>
      <w:r w:rsidRPr="00FD50F6">
        <w:rPr>
          <w:rFonts w:hint="eastAsia"/>
        </w:rPr>
        <w:t>站厅应急照明地面照度不应低于</w:t>
      </w:r>
      <w:r w:rsidRPr="00FD50F6">
        <w:rPr>
          <w:rFonts w:hint="eastAsia"/>
        </w:rPr>
        <w:t xml:space="preserve">10 </w:t>
      </w:r>
      <w:r w:rsidR="002C202B" w:rsidRPr="00FD50F6">
        <w:rPr>
          <w:rFonts w:hint="eastAsia"/>
        </w:rPr>
        <w:t>lx</w:t>
      </w:r>
      <w:r w:rsidRPr="00FD50F6">
        <w:rPr>
          <w:rFonts w:hint="eastAsia"/>
        </w:rPr>
        <w:t>；</w:t>
      </w:r>
    </w:p>
    <w:p w14:paraId="3B9CB3B0" w14:textId="40ED94B2" w:rsidR="0084432A" w:rsidRPr="00FD50F6" w:rsidRDefault="00264219" w:rsidP="00A926BD">
      <w:pPr>
        <w:pStyle w:val="4"/>
      </w:pPr>
      <w:r w:rsidRPr="00FD50F6">
        <w:rPr>
          <w:rFonts w:hint="eastAsia"/>
        </w:rPr>
        <w:t>站厅的防烟和排烟设计应按本标准</w:t>
      </w:r>
      <w:r w:rsidR="001448AD" w:rsidRPr="001A4CF3">
        <w:rPr>
          <w:rFonts w:hint="eastAsia"/>
        </w:rPr>
        <w:t>第</w:t>
      </w:r>
      <w:r w:rsidR="001448AD" w:rsidRPr="001A4CF3">
        <w:t>30</w:t>
      </w:r>
      <w:r w:rsidRPr="001A4CF3">
        <w:t>.4</w:t>
      </w:r>
      <w:r w:rsidRPr="00FD50F6">
        <w:rPr>
          <w:rFonts w:hint="eastAsia"/>
        </w:rPr>
        <w:t>节的规定执行</w:t>
      </w:r>
      <w:r w:rsidR="0084432A" w:rsidRPr="00FD50F6">
        <w:rPr>
          <w:rFonts w:hint="eastAsia"/>
        </w:rPr>
        <w:t>；</w:t>
      </w:r>
    </w:p>
    <w:p w14:paraId="2C11B2B2" w14:textId="3C856949" w:rsidR="00264219" w:rsidRPr="00FD50F6" w:rsidRDefault="0084432A" w:rsidP="00A926BD">
      <w:pPr>
        <w:pStyle w:val="4"/>
      </w:pPr>
      <w:r w:rsidRPr="00FD50F6">
        <w:t>站台屏蔽门不</w:t>
      </w:r>
      <w:r w:rsidR="003C0FA0" w:rsidRPr="00FD50F6">
        <w:rPr>
          <w:rFonts w:hint="eastAsia"/>
        </w:rPr>
        <w:t>应</w:t>
      </w:r>
      <w:r w:rsidRPr="00FD50F6">
        <w:t>作为防火分隔措施</w:t>
      </w:r>
      <w:r w:rsidR="00264219" w:rsidRPr="00FD50F6">
        <w:rPr>
          <w:rFonts w:hint="eastAsia"/>
        </w:rPr>
        <w:t>。</w:t>
      </w:r>
    </w:p>
    <w:p w14:paraId="3E011202" w14:textId="6AE55ECD" w:rsidR="00264219" w:rsidRPr="00FD50F6" w:rsidRDefault="00264219" w:rsidP="00062174">
      <w:pPr>
        <w:pStyle w:val="30"/>
      </w:pPr>
      <w:r w:rsidRPr="00FD50F6">
        <w:rPr>
          <w:rFonts w:hint="eastAsia"/>
        </w:rPr>
        <w:t>站厅位于站台上方的地上车站，</w:t>
      </w:r>
      <w:r w:rsidR="00AB2A4F">
        <w:rPr>
          <w:rFonts w:hint="eastAsia"/>
        </w:rPr>
        <w:t>当</w:t>
      </w:r>
      <w:r w:rsidRPr="00FD50F6">
        <w:rPr>
          <w:rFonts w:hint="eastAsia"/>
        </w:rPr>
        <w:t>站台层</w:t>
      </w:r>
      <w:r w:rsidR="007936C2" w:rsidRPr="00FD50F6">
        <w:rPr>
          <w:rFonts w:hint="eastAsia"/>
        </w:rPr>
        <w:t>不</w:t>
      </w:r>
      <w:r w:rsidR="00E6190A" w:rsidRPr="00FD50F6">
        <w:rPr>
          <w:rFonts w:hint="eastAsia"/>
        </w:rPr>
        <w:t>符合现行国家标准</w:t>
      </w:r>
      <w:r w:rsidR="007936C2" w:rsidRPr="00FD50F6">
        <w:rPr>
          <w:rFonts w:hint="eastAsia"/>
        </w:rPr>
        <w:t>《建筑设计防火规范》</w:t>
      </w:r>
      <w:r w:rsidR="007936C2" w:rsidRPr="00FD50F6">
        <w:t>GB</w:t>
      </w:r>
      <w:r w:rsidR="00E6190A" w:rsidRPr="00FD50F6">
        <w:t xml:space="preserve"> </w:t>
      </w:r>
      <w:r w:rsidR="007936C2" w:rsidRPr="00FD50F6">
        <w:t>50016</w:t>
      </w:r>
      <w:r w:rsidR="007936C2" w:rsidRPr="00FD50F6">
        <w:t>和《建筑防烟排烟系统技术标准》</w:t>
      </w:r>
      <w:r w:rsidR="007936C2" w:rsidRPr="00FD50F6">
        <w:t>GB</w:t>
      </w:r>
      <w:r w:rsidR="00E6190A" w:rsidRPr="00FD50F6">
        <w:t xml:space="preserve"> </w:t>
      </w:r>
      <w:r w:rsidR="007936C2" w:rsidRPr="00FD50F6">
        <w:t>51251</w:t>
      </w:r>
      <w:r w:rsidR="007936C2" w:rsidRPr="00FD50F6">
        <w:t>规定的</w:t>
      </w:r>
      <w:r w:rsidR="00AB7245" w:rsidRPr="00FD50F6">
        <w:rPr>
          <w:rFonts w:hint="eastAsia"/>
        </w:rPr>
        <w:t>自然通风和</w:t>
      </w:r>
      <w:r w:rsidRPr="00FD50F6">
        <w:rPr>
          <w:rFonts w:hint="eastAsia"/>
        </w:rPr>
        <w:t>自然排烟条件时，</w:t>
      </w:r>
      <w:bookmarkStart w:id="1277" w:name="_Hlk94723577"/>
      <w:r w:rsidRPr="00FD50F6">
        <w:rPr>
          <w:rFonts w:hint="eastAsia"/>
        </w:rPr>
        <w:t>在站台至站厅</w:t>
      </w:r>
      <w:r w:rsidR="00AC6673" w:rsidRPr="00FD50F6">
        <w:rPr>
          <w:rFonts w:hint="eastAsia"/>
        </w:rPr>
        <w:t>疏散</w:t>
      </w:r>
      <w:r w:rsidRPr="00FD50F6">
        <w:rPr>
          <w:rFonts w:hint="eastAsia"/>
        </w:rPr>
        <w:t>楼梯或</w:t>
      </w:r>
      <w:r w:rsidR="00AC6673" w:rsidRPr="00FD50F6">
        <w:rPr>
          <w:rFonts w:hint="eastAsia"/>
        </w:rPr>
        <w:t>用于疏散的</w:t>
      </w:r>
      <w:r w:rsidRPr="00FD50F6">
        <w:rPr>
          <w:rFonts w:hint="eastAsia"/>
        </w:rPr>
        <w:t>自动扶梯的开口处人员上下通行部位，应设置</w:t>
      </w:r>
      <w:r w:rsidR="002809ED" w:rsidRPr="00FD50F6">
        <w:rPr>
          <w:rFonts w:hint="eastAsia"/>
        </w:rPr>
        <w:t>耐火极限</w:t>
      </w:r>
      <w:r w:rsidRPr="00FD50F6">
        <w:rPr>
          <w:rFonts w:hint="eastAsia"/>
        </w:rPr>
        <w:t>不低于</w:t>
      </w:r>
      <w:r w:rsidRPr="00FD50F6">
        <w:t>3.00h</w:t>
      </w:r>
      <w:r w:rsidRPr="00FD50F6">
        <w:t>的防火卷帘</w:t>
      </w:r>
      <w:r w:rsidR="0069486E" w:rsidRPr="00FD50F6">
        <w:rPr>
          <w:rFonts w:hint="eastAsia"/>
        </w:rPr>
        <w:t>、火灾时能自行关闭的甲级防火门</w:t>
      </w:r>
      <w:r w:rsidRPr="00FD50F6">
        <w:t>等</w:t>
      </w:r>
      <w:r w:rsidRPr="00FD50F6">
        <w:rPr>
          <w:rFonts w:hint="eastAsia"/>
        </w:rPr>
        <w:t>防火分隔措施</w:t>
      </w:r>
      <w:bookmarkEnd w:id="1277"/>
      <w:r w:rsidRPr="00FD50F6">
        <w:t>，其他部位应设置耐火极限不低于</w:t>
      </w:r>
      <w:r w:rsidRPr="00FD50F6">
        <w:t>2.00h</w:t>
      </w:r>
      <w:r w:rsidRPr="00FD50F6">
        <w:t>的防火隔墙</w:t>
      </w:r>
      <w:r w:rsidRPr="00FD50F6">
        <w:rPr>
          <w:rFonts w:hint="eastAsia"/>
        </w:rPr>
        <w:t>进行分隔。</w:t>
      </w:r>
    </w:p>
    <w:p w14:paraId="42177398" w14:textId="4F704EC4" w:rsidR="00264219" w:rsidRPr="00FD50F6" w:rsidRDefault="00264219" w:rsidP="00264219">
      <w:pPr>
        <w:pStyle w:val="30"/>
      </w:pPr>
      <w:r w:rsidRPr="00FD50F6">
        <w:rPr>
          <w:rFonts w:hint="eastAsia"/>
        </w:rPr>
        <w:t>车站</w:t>
      </w:r>
      <w:r w:rsidR="002809ED" w:rsidRPr="00FD50F6">
        <w:rPr>
          <w:rFonts w:hint="eastAsia"/>
        </w:rPr>
        <w:t>站厅层</w:t>
      </w:r>
      <w:r w:rsidRPr="00FD50F6">
        <w:rPr>
          <w:rFonts w:hint="eastAsia"/>
        </w:rPr>
        <w:t>设备和管理用房区应采用防火墙、甲级防火门窗与站厅公共区划分为不同的防火分区，每个防火分区的最大允许建筑面积应符合下列规定：</w:t>
      </w:r>
    </w:p>
    <w:p w14:paraId="18BA67D6" w14:textId="36A7614D" w:rsidR="00264219" w:rsidRPr="001A4CF3" w:rsidRDefault="00264219" w:rsidP="00A926BD">
      <w:pPr>
        <w:pStyle w:val="4"/>
      </w:pPr>
      <w:r w:rsidRPr="001A4CF3">
        <w:rPr>
          <w:rFonts w:hint="eastAsia"/>
        </w:rPr>
        <w:t>地下车站</w:t>
      </w:r>
      <w:r w:rsidR="00DA4C52" w:rsidRPr="001A4CF3">
        <w:rPr>
          <w:rFonts w:hint="eastAsia"/>
        </w:rPr>
        <w:t>及建筑高度大于</w:t>
      </w:r>
      <w:r w:rsidR="00DA4C52" w:rsidRPr="001A4CF3">
        <w:t>24m</w:t>
      </w:r>
      <w:r w:rsidR="00DA4C52" w:rsidRPr="001A4CF3">
        <w:rPr>
          <w:rFonts w:hint="eastAsia"/>
        </w:rPr>
        <w:t>的地上车站，</w:t>
      </w:r>
      <w:r w:rsidRPr="001A4CF3">
        <w:rPr>
          <w:rFonts w:hint="eastAsia"/>
        </w:rPr>
        <w:t>设备和管理用房区每个防火分区的最大允许建筑面积不应大于</w:t>
      </w:r>
      <w:r w:rsidRPr="001A4CF3">
        <w:t>1500m</w:t>
      </w:r>
      <w:r w:rsidRPr="001A4CF3">
        <w:rPr>
          <w:vertAlign w:val="superscript"/>
        </w:rPr>
        <w:t>2</w:t>
      </w:r>
      <w:r w:rsidR="00DA4C52" w:rsidRPr="001A4CF3">
        <w:rPr>
          <w:rFonts w:hint="eastAsia"/>
        </w:rPr>
        <w:t>；</w:t>
      </w:r>
    </w:p>
    <w:p w14:paraId="422E3982" w14:textId="27C94EC1" w:rsidR="00264219" w:rsidRPr="001A4CF3" w:rsidRDefault="00264219" w:rsidP="00A926BD">
      <w:pPr>
        <w:pStyle w:val="4"/>
      </w:pPr>
      <w:r w:rsidRPr="001A4CF3">
        <w:rPr>
          <w:rFonts w:hint="eastAsia"/>
        </w:rPr>
        <w:t>建筑高度不</w:t>
      </w:r>
      <w:r w:rsidR="003566A4" w:rsidRPr="001A4CF3">
        <w:rPr>
          <w:rFonts w:hint="eastAsia"/>
        </w:rPr>
        <w:t>大于</w:t>
      </w:r>
      <w:r w:rsidRPr="001A4CF3">
        <w:t>24m</w:t>
      </w:r>
      <w:r w:rsidR="003566A4" w:rsidRPr="001A4CF3">
        <w:rPr>
          <w:rFonts w:hint="eastAsia"/>
        </w:rPr>
        <w:t>的地上车站</w:t>
      </w:r>
      <w:r w:rsidRPr="001A4CF3">
        <w:rPr>
          <w:rFonts w:hint="eastAsia"/>
        </w:rPr>
        <w:t>，设备和管理用房区每个防火分区最大允许建筑面积不应大于</w:t>
      </w:r>
      <w:r w:rsidRPr="001A4CF3">
        <w:t>2500m</w:t>
      </w:r>
      <w:r w:rsidRPr="001A4CF3">
        <w:rPr>
          <w:vertAlign w:val="superscript"/>
        </w:rPr>
        <w:t>2</w:t>
      </w:r>
      <w:r w:rsidR="00DA4C52" w:rsidRPr="001A4CF3">
        <w:rPr>
          <w:rFonts w:hint="eastAsia"/>
        </w:rPr>
        <w:t>；</w:t>
      </w:r>
    </w:p>
    <w:p w14:paraId="026115FC" w14:textId="70DF1D26" w:rsidR="00264219" w:rsidRPr="00FD50F6" w:rsidRDefault="00264219" w:rsidP="00A926BD">
      <w:pPr>
        <w:pStyle w:val="4"/>
      </w:pPr>
      <w:r w:rsidRPr="00FD50F6">
        <w:rPr>
          <w:rFonts w:hint="eastAsia"/>
        </w:rPr>
        <w:t>消</w:t>
      </w:r>
      <w:bookmarkStart w:id="1278" w:name="_Hlk78101008"/>
      <w:r w:rsidRPr="00FD50F6">
        <w:rPr>
          <w:rFonts w:hint="eastAsia"/>
        </w:rPr>
        <w:t>防泵房、厕所、盥洗室、茶水间和污废水泵房等房间</w:t>
      </w:r>
      <w:bookmarkEnd w:id="1278"/>
      <w:r w:rsidRPr="00FD50F6">
        <w:rPr>
          <w:rFonts w:hint="eastAsia"/>
        </w:rPr>
        <w:t>的建筑面积可不计入所在防火分区的建筑面积内。</w:t>
      </w:r>
    </w:p>
    <w:p w14:paraId="7BBBD0C5" w14:textId="21FA5FB2" w:rsidR="00AA11FA" w:rsidRPr="001A4CF3" w:rsidRDefault="002809ED" w:rsidP="00264219">
      <w:pPr>
        <w:pStyle w:val="30"/>
      </w:pPr>
      <w:r w:rsidRPr="00FD50F6">
        <w:rPr>
          <w:rFonts w:hint="eastAsia"/>
        </w:rPr>
        <w:t>车站站台层设备</w:t>
      </w:r>
      <w:r w:rsidR="00A936C1" w:rsidRPr="00FD50F6">
        <w:rPr>
          <w:rFonts w:hint="eastAsia"/>
        </w:rPr>
        <w:t>和</w:t>
      </w:r>
      <w:r w:rsidRPr="00FD50F6">
        <w:rPr>
          <w:rFonts w:hint="eastAsia"/>
        </w:rPr>
        <w:t>管理用房区应采用防火墙、甲级防火门或其他耐火极限不低于</w:t>
      </w:r>
      <w:r w:rsidRPr="00FD50F6">
        <w:t>3.00h</w:t>
      </w:r>
      <w:r w:rsidRPr="00FD50F6">
        <w:t>的</w:t>
      </w:r>
      <w:r w:rsidRPr="00FD50F6">
        <w:rPr>
          <w:rFonts w:hint="eastAsia"/>
        </w:rPr>
        <w:t>防火分隔措施与站台公共区</w:t>
      </w:r>
      <w:r w:rsidR="00D94FB7" w:rsidRPr="00FD50F6">
        <w:rPr>
          <w:rFonts w:hint="eastAsia"/>
        </w:rPr>
        <w:t>、轨行区</w:t>
      </w:r>
      <w:r w:rsidRPr="00FD50F6">
        <w:rPr>
          <w:rFonts w:hint="eastAsia"/>
        </w:rPr>
        <w:t>进行防火分隔，</w:t>
      </w:r>
      <w:r w:rsidRPr="00AA0E76">
        <w:rPr>
          <w:rFonts w:hint="eastAsia"/>
        </w:rPr>
        <w:t>分隔后</w:t>
      </w:r>
      <w:r w:rsidRPr="00FD50F6">
        <w:rPr>
          <w:rFonts w:hint="eastAsia"/>
        </w:rPr>
        <w:t>的站台层设备</w:t>
      </w:r>
      <w:r w:rsidRPr="00AA0E76">
        <w:rPr>
          <w:rFonts w:hint="eastAsia"/>
        </w:rPr>
        <w:t>管理用房区的</w:t>
      </w:r>
      <w:r w:rsidRPr="001A4CF3">
        <w:rPr>
          <w:rFonts w:hint="eastAsia"/>
        </w:rPr>
        <w:t>最大允许建筑面积应符合</w:t>
      </w:r>
      <w:r w:rsidR="00D94FB7" w:rsidRPr="00FD50F6">
        <w:rPr>
          <w:rFonts w:hint="eastAsia"/>
        </w:rPr>
        <w:t>本标准第</w:t>
      </w:r>
      <w:r w:rsidR="00D94FB7" w:rsidRPr="00FD50F6">
        <w:t>30.2.4</w:t>
      </w:r>
      <w:r w:rsidR="00D94FB7" w:rsidRPr="00FD50F6">
        <w:rPr>
          <w:rFonts w:hint="eastAsia"/>
        </w:rPr>
        <w:t>条的</w:t>
      </w:r>
      <w:r w:rsidRPr="001A4CF3">
        <w:rPr>
          <w:rFonts w:hint="eastAsia"/>
        </w:rPr>
        <w:t>规定</w:t>
      </w:r>
      <w:r w:rsidR="00D94FB7" w:rsidRPr="00FD50F6">
        <w:rPr>
          <w:rFonts w:hint="eastAsia"/>
        </w:rPr>
        <w:t>，</w:t>
      </w:r>
      <w:r w:rsidR="00AA11FA" w:rsidRPr="00FD50F6">
        <w:rPr>
          <w:rFonts w:hint="eastAsia"/>
        </w:rPr>
        <w:t>站台层设备管理用房区可向站台公共区</w:t>
      </w:r>
      <w:r w:rsidR="001177C7" w:rsidRPr="00FD50F6">
        <w:rPr>
          <w:rFonts w:hint="eastAsia"/>
        </w:rPr>
        <w:t>等其他</w:t>
      </w:r>
      <w:r w:rsidR="003101B6" w:rsidRPr="00FD50F6">
        <w:rPr>
          <w:rFonts w:hint="eastAsia"/>
        </w:rPr>
        <w:t>的</w:t>
      </w:r>
      <w:r w:rsidR="001177C7" w:rsidRPr="00FD50F6">
        <w:rPr>
          <w:rFonts w:hint="eastAsia"/>
        </w:rPr>
        <w:t>防火分区</w:t>
      </w:r>
      <w:r w:rsidR="00AA11FA" w:rsidRPr="00FD50F6">
        <w:rPr>
          <w:rFonts w:hint="eastAsia"/>
        </w:rPr>
        <w:t>进行安全疏散</w:t>
      </w:r>
      <w:r w:rsidR="003101B6" w:rsidRPr="00FD50F6">
        <w:rPr>
          <w:rFonts w:hint="eastAsia"/>
        </w:rPr>
        <w:t>，此防</w:t>
      </w:r>
      <w:r w:rsidR="003101B6" w:rsidRPr="00FD50F6">
        <w:rPr>
          <w:rFonts w:hint="eastAsia"/>
        </w:rPr>
        <w:lastRenderedPageBreak/>
        <w:t>火分区应具备直通室外安全区域的安全疏散设施</w:t>
      </w:r>
      <w:r w:rsidR="00AA11FA" w:rsidRPr="00FD50F6">
        <w:rPr>
          <w:rFonts w:hint="eastAsia"/>
        </w:rPr>
        <w:t>。</w:t>
      </w:r>
    </w:p>
    <w:p w14:paraId="61950B48" w14:textId="62FFB996" w:rsidR="00264219" w:rsidRPr="00FD50F6" w:rsidRDefault="008D6C92" w:rsidP="00264219">
      <w:pPr>
        <w:pStyle w:val="30"/>
      </w:pPr>
      <w:r w:rsidRPr="00FD50F6">
        <w:rPr>
          <w:rFonts w:hint="eastAsia"/>
        </w:rPr>
        <w:t>在远期或客流控制期中超高峰小时最大客流量时，车站公共区站台至站厅公共区或站台至其他安全区域的疏散楼梯、参与</w:t>
      </w:r>
      <w:r>
        <w:rPr>
          <w:rFonts w:hint="eastAsia"/>
        </w:rPr>
        <w:t>紧急</w:t>
      </w:r>
      <w:r w:rsidRPr="00FD50F6">
        <w:rPr>
          <w:rFonts w:hint="eastAsia"/>
        </w:rPr>
        <w:t>疏散的自动扶梯和疏散通道的通行能力，应满足一列进站列车所载乘客及站台上候车乘客</w:t>
      </w:r>
      <w:r w:rsidRPr="001A4CF3">
        <w:rPr>
          <w:rFonts w:hint="eastAsia"/>
        </w:rPr>
        <w:t>全部通过</w:t>
      </w:r>
      <w:r w:rsidRPr="00FD50F6">
        <w:rPr>
          <w:rFonts w:hint="eastAsia"/>
        </w:rPr>
        <w:t>用于</w:t>
      </w:r>
      <w:r>
        <w:rPr>
          <w:rFonts w:hint="eastAsia"/>
        </w:rPr>
        <w:t>紧急</w:t>
      </w:r>
      <w:r w:rsidRPr="00FD50F6">
        <w:rPr>
          <w:rFonts w:hint="eastAsia"/>
        </w:rPr>
        <w:t>疏散的站台楼梯口、自动扶梯口、通道口或其他安全出口的疏散时间不大于</w:t>
      </w:r>
      <w:r w:rsidRPr="00FD50F6">
        <w:t>4min</w:t>
      </w:r>
      <w:r w:rsidRPr="00FD50F6">
        <w:rPr>
          <w:rFonts w:hint="eastAsia"/>
        </w:rPr>
        <w:t>，并应能在</w:t>
      </w:r>
      <w:r w:rsidRPr="00FD50F6">
        <w:t>6min</w:t>
      </w:r>
      <w:r w:rsidRPr="00FD50F6">
        <w:rPr>
          <w:rFonts w:hint="eastAsia"/>
        </w:rPr>
        <w:t>内全部疏散至站厅公共区或其他安全区域</w:t>
      </w:r>
      <w:r w:rsidR="00264219" w:rsidRPr="00FD50F6">
        <w:rPr>
          <w:rFonts w:hint="eastAsia"/>
        </w:rPr>
        <w:t>。</w:t>
      </w:r>
    </w:p>
    <w:p w14:paraId="2DDEC5D7" w14:textId="1DE5B4B1" w:rsidR="00264219" w:rsidRPr="00FD50F6" w:rsidRDefault="008D6C92" w:rsidP="00264219">
      <w:pPr>
        <w:pStyle w:val="30"/>
        <w:rPr>
          <w:rFonts w:ascii="仿宋" w:eastAsia="仿宋" w:hAnsi="仿宋"/>
        </w:rPr>
      </w:pPr>
      <w:bookmarkStart w:id="1279" w:name="_Hlk42327068"/>
      <w:r w:rsidRPr="00FD50F6">
        <w:rPr>
          <w:rFonts w:hint="eastAsia"/>
        </w:rPr>
        <w:t>地下</w:t>
      </w:r>
      <w:r w:rsidRPr="00AA0E76">
        <w:rPr>
          <w:rFonts w:hint="eastAsia"/>
        </w:rPr>
        <w:t>多层</w:t>
      </w:r>
      <w:r w:rsidRPr="00FD50F6">
        <w:rPr>
          <w:rFonts w:hint="eastAsia"/>
        </w:rPr>
        <w:t>车站</w:t>
      </w:r>
      <w:r w:rsidRPr="00AA0E76">
        <w:rPr>
          <w:rFonts w:hint="eastAsia"/>
        </w:rPr>
        <w:t>站台公共区</w:t>
      </w:r>
      <w:r w:rsidRPr="00FD50F6">
        <w:t>乘客</w:t>
      </w:r>
      <w:r w:rsidRPr="00AA0E76">
        <w:rPr>
          <w:rFonts w:hint="eastAsia"/>
        </w:rPr>
        <w:t>全部通过</w:t>
      </w:r>
      <w:r w:rsidRPr="00FD50F6">
        <w:rPr>
          <w:rFonts w:hint="eastAsia"/>
        </w:rPr>
        <w:t>用于</w:t>
      </w:r>
      <w:r>
        <w:rPr>
          <w:rFonts w:hint="eastAsia"/>
        </w:rPr>
        <w:t>紧急</w:t>
      </w:r>
      <w:r w:rsidRPr="00FD50F6">
        <w:rPr>
          <w:rFonts w:hint="eastAsia"/>
        </w:rPr>
        <w:t>疏散的站台楼梯口、自动扶梯口、通道口或其他安全出口</w:t>
      </w:r>
      <w:r w:rsidRPr="00FD50F6">
        <w:t>的</w:t>
      </w:r>
      <w:r w:rsidRPr="00FD50F6">
        <w:rPr>
          <w:rFonts w:hint="eastAsia"/>
        </w:rPr>
        <w:t>疏散</w:t>
      </w:r>
      <w:r w:rsidRPr="00FD50F6">
        <w:t>时间</w:t>
      </w:r>
      <w:r w:rsidRPr="00AA0E76">
        <w:rPr>
          <w:rFonts w:hint="eastAsia"/>
        </w:rPr>
        <w:t>应</w:t>
      </w:r>
      <w:r w:rsidRPr="00FD50F6">
        <w:t>按下式计算</w:t>
      </w:r>
      <w:r w:rsidR="00264219" w:rsidRPr="00FD50F6">
        <w:t>：</w:t>
      </w:r>
    </w:p>
    <w:p w14:paraId="56589D2D" w14:textId="5AD19C30" w:rsidR="00264219" w:rsidRPr="00FD50F6" w:rsidRDefault="00B71F5C" w:rsidP="00264219">
      <w:pPr>
        <w:adjustRightInd w:val="0"/>
        <w:snapToGrid w:val="0"/>
        <w:ind w:firstLineChars="200" w:firstLine="480"/>
        <w:jc w:val="center"/>
        <w:rPr>
          <w:rFonts w:ascii="宋体" w:hAnsi="宋体" w:cs="Times New Roman"/>
          <w:szCs w:val="24"/>
        </w:rPr>
      </w:pPr>
      <w:bookmarkStart w:id="1280" w:name="_Hlk94285236"/>
      <w:bookmarkStart w:id="1281" w:name="_Hlk41585662"/>
      <m:oMath>
        <m:r>
          <w:rPr>
            <w:rFonts w:ascii="Cambria Math" w:hAnsi="Cambria Math" w:cs="Times New Roman"/>
            <w:szCs w:val="24"/>
          </w:rPr>
          <m:t>T</m:t>
        </m:r>
        <w:bookmarkEnd w:id="1280"/>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2</m:t>
                    </m:r>
                  </m:sub>
                </m:sSub>
              </m:e>
            </m:d>
            <m:r>
              <w:rPr>
                <w:rFonts w:ascii="Cambria Math" w:hAnsi="Cambria Math" w:cs="Times New Roman"/>
                <w:szCs w:val="24"/>
              </w:rPr>
              <m:t>α</m:t>
            </m:r>
          </m:num>
          <m:den>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m:rPr>
                    <m:sty m:val="p"/>
                  </m:rPr>
                  <w:rPr>
                    <w:rFonts w:ascii="Cambria Math" w:hAnsi="Cambria Math" w:cs="Times New Roman"/>
                    <w:szCs w:val="24"/>
                  </w:rPr>
                  <m:t>2</m:t>
                </m:r>
              </m:sub>
            </m:sSub>
            <m:r>
              <w:rPr>
                <w:rFonts w:ascii="Cambria Math" w:hAnsi="Cambria Math" w:cs="Times New Roman"/>
                <w:szCs w:val="24"/>
              </w:rPr>
              <m:t>B</m:t>
            </m:r>
          </m:den>
        </m:f>
        <m:r>
          <m:rPr>
            <m:sty m:val="p"/>
          </m:rPr>
          <w:rPr>
            <w:rFonts w:ascii="Cambria Math" w:hAnsi="Cambria Math" w:cs="Times New Roman"/>
            <w:szCs w:val="24"/>
          </w:rPr>
          <m:t>≤4</m:t>
        </m:r>
        <m:r>
          <w:rPr>
            <w:rFonts w:ascii="Cambria Math" w:hAnsi="Cambria Math" w:cs="Times New Roman"/>
            <w:szCs w:val="24"/>
          </w:rPr>
          <m:t>min</m:t>
        </m:r>
      </m:oMath>
      <w:r w:rsidR="00264219" w:rsidRPr="00FD50F6">
        <w:rPr>
          <w:rFonts w:ascii="宋体" w:hAnsi="宋体" w:cs="Times New Roman"/>
          <w:szCs w:val="24"/>
        </w:rPr>
        <w:t xml:space="preserve">           (</w:t>
      </w:r>
      <w:r w:rsidR="00232AC3" w:rsidRPr="00FD50F6">
        <w:rPr>
          <w:rFonts w:ascii="宋体" w:hAnsi="宋体" w:cs="Times New Roman"/>
          <w:szCs w:val="24"/>
        </w:rPr>
        <w:t>30</w:t>
      </w:r>
      <w:r w:rsidR="00264219" w:rsidRPr="00FD50F6">
        <w:rPr>
          <w:rFonts w:ascii="宋体" w:hAnsi="宋体" w:cs="Times New Roman" w:hint="eastAsia"/>
          <w:szCs w:val="24"/>
        </w:rPr>
        <w:t>.</w:t>
      </w:r>
      <w:r w:rsidR="00264219" w:rsidRPr="00FD50F6">
        <w:rPr>
          <w:rFonts w:ascii="宋体" w:hAnsi="宋体" w:cs="Times New Roman"/>
          <w:szCs w:val="24"/>
        </w:rPr>
        <w:t>2</w:t>
      </w:r>
      <w:r w:rsidR="00264219" w:rsidRPr="00FD50F6">
        <w:rPr>
          <w:rFonts w:ascii="宋体" w:hAnsi="宋体" w:cs="Times New Roman" w:hint="eastAsia"/>
          <w:szCs w:val="24"/>
        </w:rPr>
        <w:t>.</w:t>
      </w:r>
      <w:r w:rsidR="00282D38" w:rsidRPr="00FD50F6">
        <w:rPr>
          <w:rFonts w:ascii="宋体" w:hAnsi="宋体" w:cs="Times New Roman" w:hint="eastAsia"/>
          <w:szCs w:val="24"/>
        </w:rPr>
        <w:t>7</w:t>
      </w:r>
      <w:r w:rsidR="00264219" w:rsidRPr="00FD50F6">
        <w:rPr>
          <w:rFonts w:ascii="宋体" w:hAnsi="宋体" w:cs="Times New Roman"/>
          <w:szCs w:val="24"/>
        </w:rPr>
        <w:t>)</w:t>
      </w:r>
      <w:bookmarkEnd w:id="1281"/>
    </w:p>
    <w:p w14:paraId="2092998C" w14:textId="4C57083D" w:rsidR="00264219" w:rsidRPr="00FD50F6" w:rsidRDefault="00264219" w:rsidP="001A4CF3">
      <w:r w:rsidRPr="00AA0E76">
        <w:t>式中：</w:t>
      </w:r>
      <w:bookmarkStart w:id="1282" w:name="_Hlk94818595"/>
      <w:r w:rsidRPr="001A4CF3">
        <w:rPr>
          <w:rFonts w:ascii="宋体" w:hAnsi="宋体" w:cs="Times New Roman"/>
          <w:i/>
          <w:iCs/>
          <w:szCs w:val="24"/>
        </w:rPr>
        <w:t>T</w:t>
      </w:r>
      <w:bookmarkEnd w:id="1282"/>
      <w:r w:rsidRPr="00FD50F6">
        <w:t>——</w:t>
      </w:r>
      <w:r w:rsidR="008D6C92" w:rsidRPr="00FD50F6">
        <w:rPr>
          <w:rFonts w:hint="eastAsia"/>
        </w:rPr>
        <w:t>远期或客流控制期中超高峰小时一列车进站所载乘客最大断面客流及站台上候车乘客，从站台疏散楼梯、参与</w:t>
      </w:r>
      <w:r w:rsidR="008D6C92">
        <w:rPr>
          <w:rFonts w:hint="eastAsia"/>
        </w:rPr>
        <w:t>紧急</w:t>
      </w:r>
      <w:r w:rsidR="008D6C92" w:rsidRPr="00FD50F6">
        <w:rPr>
          <w:rFonts w:hint="eastAsia"/>
        </w:rPr>
        <w:t>疏散自动扶梯或疏散通道口通过全部疏散设施的时间</w:t>
      </w:r>
      <w:r w:rsidR="008D6C92" w:rsidRPr="00FD50F6">
        <w:t>（</w:t>
      </w:r>
      <w:r w:rsidR="008D6C92" w:rsidRPr="00FD50F6">
        <w:rPr>
          <w:rFonts w:hint="eastAsia"/>
        </w:rPr>
        <w:t>m</w:t>
      </w:r>
      <w:r w:rsidR="008D6C92" w:rsidRPr="00FD50F6">
        <w:t>in</w:t>
      </w:r>
      <w:r w:rsidR="008D6C92" w:rsidRPr="00FD50F6">
        <w:t>）</w:t>
      </w:r>
      <w:r w:rsidRPr="00FD50F6">
        <w:t>（</w:t>
      </w:r>
      <w:r w:rsidRPr="00FD50F6">
        <w:rPr>
          <w:rFonts w:hint="eastAsia"/>
        </w:rPr>
        <w:t>m</w:t>
      </w:r>
      <w:r w:rsidRPr="00FD50F6">
        <w:t>in</w:t>
      </w:r>
      <w:r w:rsidRPr="00FD50F6">
        <w:t>）；</w:t>
      </w:r>
    </w:p>
    <w:p w14:paraId="33194D4D" w14:textId="180D8AC3" w:rsidR="00264219" w:rsidRPr="00FD50F6" w:rsidRDefault="00264219" w:rsidP="00BD3A64">
      <w:pPr>
        <w:ind w:firstLineChars="250" w:firstLine="600"/>
        <w:rPr>
          <w:rFonts w:ascii="宋体" w:hAnsi="宋体" w:cs="Times New Roman"/>
          <w:szCs w:val="24"/>
        </w:rPr>
      </w:pPr>
      <w:r w:rsidRPr="00FD50F6">
        <w:rPr>
          <w:rFonts w:ascii="宋体" w:hAnsi="宋体" w:cs="Times New Roman"/>
          <w:i/>
          <w:iCs/>
          <w:szCs w:val="24"/>
        </w:rPr>
        <w:t>Q</w:t>
      </w:r>
      <w:r w:rsidRPr="00FD50F6">
        <w:rPr>
          <w:rFonts w:ascii="宋体" w:hAnsi="宋体" w:cs="Times New Roman"/>
          <w:i/>
          <w:iCs/>
          <w:szCs w:val="24"/>
          <w:vertAlign w:val="subscript"/>
        </w:rPr>
        <w:t>1</w:t>
      </w:r>
      <w:r w:rsidRPr="00FD50F6">
        <w:rPr>
          <w:rFonts w:ascii="宋体" w:hAnsi="宋体" w:cs="Times New Roman"/>
          <w:szCs w:val="24"/>
        </w:rPr>
        <w:t>——远期或客流控制期高峰小时</w:t>
      </w:r>
      <w:r w:rsidRPr="00FD50F6">
        <w:rPr>
          <w:rFonts w:ascii="宋体" w:hAnsi="宋体" w:cs="Times New Roman" w:hint="eastAsia"/>
          <w:szCs w:val="24"/>
        </w:rPr>
        <w:t>最大客流量时一</w:t>
      </w:r>
      <w:r w:rsidRPr="00FD50F6">
        <w:rPr>
          <w:rFonts w:ascii="宋体" w:hAnsi="宋体" w:cs="Times New Roman"/>
          <w:szCs w:val="24"/>
        </w:rPr>
        <w:t>列进站列车的</w:t>
      </w:r>
      <w:r w:rsidRPr="00FD50F6">
        <w:rPr>
          <w:rFonts w:ascii="宋体" w:hAnsi="宋体" w:cs="Times New Roman" w:hint="eastAsia"/>
          <w:szCs w:val="24"/>
        </w:rPr>
        <w:t>载客人数</w:t>
      </w:r>
      <w:r w:rsidRPr="00FD50F6">
        <w:rPr>
          <w:rFonts w:ascii="宋体" w:hAnsi="宋体" w:cs="Times New Roman"/>
          <w:szCs w:val="24"/>
        </w:rPr>
        <w:t>（人）；</w:t>
      </w:r>
    </w:p>
    <w:p w14:paraId="6CB75AB6" w14:textId="54B27F0C" w:rsidR="00264219" w:rsidRPr="00FD50F6" w:rsidRDefault="00264219" w:rsidP="00BD3A64">
      <w:pPr>
        <w:ind w:firstLineChars="250" w:firstLine="600"/>
        <w:rPr>
          <w:rFonts w:ascii="宋体" w:hAnsi="宋体" w:cs="Times New Roman"/>
          <w:szCs w:val="24"/>
        </w:rPr>
      </w:pPr>
      <w:r w:rsidRPr="00FD50F6">
        <w:rPr>
          <w:rFonts w:ascii="宋体" w:hAnsi="宋体" w:cs="Times New Roman"/>
          <w:i/>
          <w:iCs/>
          <w:szCs w:val="24"/>
        </w:rPr>
        <w:t>Q</w:t>
      </w:r>
      <w:r w:rsidRPr="00FD50F6">
        <w:rPr>
          <w:rFonts w:ascii="宋体" w:hAnsi="宋体" w:cs="Times New Roman"/>
          <w:i/>
          <w:iCs/>
          <w:szCs w:val="24"/>
          <w:vertAlign w:val="subscript"/>
        </w:rPr>
        <w:t>2</w:t>
      </w:r>
      <w:r w:rsidRPr="00FD50F6">
        <w:rPr>
          <w:rFonts w:ascii="宋体" w:hAnsi="宋体" w:cs="Times New Roman"/>
          <w:szCs w:val="24"/>
        </w:rPr>
        <w:t>——远期或客流控制期高峰小时站台上的最大候车乘客</w:t>
      </w:r>
      <w:r w:rsidRPr="00FD50F6">
        <w:rPr>
          <w:rFonts w:ascii="宋体" w:hAnsi="宋体" w:cs="Times New Roman" w:hint="eastAsia"/>
          <w:szCs w:val="24"/>
        </w:rPr>
        <w:t>人数</w:t>
      </w:r>
      <w:r w:rsidRPr="00FD50F6">
        <w:rPr>
          <w:rFonts w:ascii="宋体" w:hAnsi="宋体" w:cs="Times New Roman"/>
          <w:szCs w:val="24"/>
        </w:rPr>
        <w:t>（人）；</w:t>
      </w:r>
    </w:p>
    <w:p w14:paraId="58B1FC1A" w14:textId="77777777" w:rsidR="00B71F5C" w:rsidRPr="00FD50F6" w:rsidRDefault="00B71F5C" w:rsidP="00BD3A64">
      <w:pPr>
        <w:ind w:firstLineChars="200" w:firstLine="480"/>
        <w:rPr>
          <w:rFonts w:ascii="宋体" w:hAnsi="宋体"/>
          <w:szCs w:val="24"/>
        </w:rPr>
      </w:pPr>
      <w:r w:rsidRPr="00FD50F6">
        <w:rPr>
          <w:rFonts w:hint="eastAsia"/>
          <w:i/>
          <w:iCs/>
        </w:rPr>
        <w:t>α</w:t>
      </w:r>
      <w:r w:rsidRPr="00FD50F6">
        <w:rPr>
          <w:rFonts w:hint="eastAsia"/>
        </w:rPr>
        <w:t>——超高峰系数，取值</w:t>
      </w:r>
      <w:r w:rsidRPr="00FD50F6">
        <w:t>1.1~1.4</w:t>
      </w:r>
      <w:r w:rsidRPr="00FD50F6">
        <w:rPr>
          <w:rFonts w:hint="eastAsia"/>
        </w:rPr>
        <w:t>；</w:t>
      </w:r>
    </w:p>
    <w:p w14:paraId="50CE6766" w14:textId="45E3ADFB" w:rsidR="00264219" w:rsidRPr="00FD50F6" w:rsidRDefault="00264219" w:rsidP="00BD3A64">
      <w:pPr>
        <w:ind w:firstLineChars="200" w:firstLine="480"/>
        <w:rPr>
          <w:rFonts w:ascii="宋体" w:hAnsi="宋体" w:cs="Times New Roman"/>
          <w:szCs w:val="24"/>
        </w:rPr>
      </w:pPr>
      <w:r w:rsidRPr="00FD50F6">
        <w:rPr>
          <w:rFonts w:ascii="宋体" w:hAnsi="宋体" w:cs="Times New Roman"/>
          <w:i/>
          <w:iCs/>
          <w:szCs w:val="24"/>
        </w:rPr>
        <w:t>A</w:t>
      </w:r>
      <w:r w:rsidRPr="00FD50F6">
        <w:rPr>
          <w:rFonts w:ascii="宋体" w:hAnsi="宋体" w:cs="Times New Roman"/>
          <w:i/>
          <w:iCs/>
          <w:szCs w:val="24"/>
          <w:vertAlign w:val="subscript"/>
        </w:rPr>
        <w:t>1</w:t>
      </w:r>
      <w:r w:rsidRPr="00FD50F6">
        <w:rPr>
          <w:rFonts w:ascii="宋体" w:hAnsi="宋体" w:cs="Times New Roman"/>
          <w:szCs w:val="24"/>
        </w:rPr>
        <w:t>——一台自动扶梯的通行能力(人/min·m)；</w:t>
      </w:r>
    </w:p>
    <w:p w14:paraId="196185BB" w14:textId="4A9651BF" w:rsidR="00264219" w:rsidRPr="00FD50F6" w:rsidRDefault="00264219" w:rsidP="00BD3A64">
      <w:pPr>
        <w:ind w:firstLineChars="200" w:firstLine="480"/>
        <w:rPr>
          <w:rFonts w:ascii="宋体" w:hAnsi="宋体" w:cs="Times New Roman"/>
          <w:szCs w:val="24"/>
        </w:rPr>
      </w:pPr>
      <w:r w:rsidRPr="00FD50F6">
        <w:rPr>
          <w:rFonts w:ascii="宋体" w:hAnsi="宋体" w:cs="Times New Roman"/>
          <w:i/>
          <w:iCs/>
          <w:szCs w:val="24"/>
        </w:rPr>
        <w:t>A</w:t>
      </w:r>
      <w:r w:rsidRPr="00FD50F6">
        <w:rPr>
          <w:rFonts w:ascii="宋体" w:hAnsi="宋体" w:cs="Times New Roman"/>
          <w:i/>
          <w:iCs/>
          <w:szCs w:val="24"/>
          <w:vertAlign w:val="subscript"/>
        </w:rPr>
        <w:t>2</w:t>
      </w:r>
      <w:r w:rsidRPr="00FD50F6">
        <w:rPr>
          <w:rFonts w:ascii="宋体" w:hAnsi="宋体" w:cs="Times New Roman"/>
          <w:szCs w:val="24"/>
        </w:rPr>
        <w:t>——</w:t>
      </w:r>
      <w:r w:rsidRPr="00FD50F6">
        <w:rPr>
          <w:rFonts w:ascii="宋体" w:hAnsi="宋体" w:cs="Times New Roman" w:hint="eastAsia"/>
          <w:szCs w:val="24"/>
        </w:rPr>
        <w:t>单位宽度</w:t>
      </w:r>
      <w:r w:rsidRPr="00FD50F6">
        <w:rPr>
          <w:rFonts w:ascii="宋体" w:hAnsi="宋体" w:cs="Times New Roman"/>
          <w:szCs w:val="24"/>
        </w:rPr>
        <w:t>疏散楼梯的通行能力(人/min·m)；</w:t>
      </w:r>
    </w:p>
    <w:p w14:paraId="4D5409F6" w14:textId="41E3E0C1" w:rsidR="00264219" w:rsidRPr="00FD50F6" w:rsidRDefault="008D6C92" w:rsidP="00BD3A64">
      <w:pPr>
        <w:ind w:firstLineChars="200" w:firstLine="480"/>
        <w:rPr>
          <w:rFonts w:ascii="宋体" w:hAnsi="宋体" w:cs="Times New Roman"/>
          <w:szCs w:val="24"/>
        </w:rPr>
      </w:pPr>
      <w:r w:rsidRPr="00FD50F6">
        <w:rPr>
          <w:rFonts w:ascii="宋体" w:hAnsi="宋体" w:cs="Times New Roman"/>
          <w:i/>
          <w:iCs/>
          <w:szCs w:val="24"/>
        </w:rPr>
        <w:t>N</w:t>
      </w:r>
      <w:r w:rsidRPr="00FD50F6">
        <w:rPr>
          <w:rFonts w:ascii="宋体" w:hAnsi="宋体" w:cs="Times New Roman"/>
          <w:szCs w:val="24"/>
        </w:rPr>
        <w:t>——</w:t>
      </w:r>
      <w:r>
        <w:rPr>
          <w:rFonts w:ascii="宋体" w:hAnsi="宋体" w:cs="Times New Roman" w:hint="eastAsia"/>
          <w:szCs w:val="24"/>
        </w:rPr>
        <w:t>参与紧急</w:t>
      </w:r>
      <w:r w:rsidRPr="00FD50F6">
        <w:rPr>
          <w:rFonts w:ascii="宋体" w:hAnsi="宋体" w:cs="Times New Roman" w:hint="eastAsia"/>
          <w:szCs w:val="24"/>
        </w:rPr>
        <w:t>疏散的</w:t>
      </w:r>
      <w:r w:rsidRPr="00FD50F6">
        <w:rPr>
          <w:rFonts w:ascii="宋体" w:hAnsi="宋体" w:cs="Times New Roman"/>
          <w:szCs w:val="24"/>
        </w:rPr>
        <w:t>自动扶梯数量</w:t>
      </w:r>
      <w:r w:rsidRPr="00FD50F6">
        <w:rPr>
          <w:rFonts w:ascii="宋体" w:hAnsi="宋体" w:cs="Times New Roman" w:hint="eastAsia"/>
          <w:szCs w:val="24"/>
        </w:rPr>
        <w:t>（台）</w:t>
      </w:r>
      <w:r w:rsidR="00264219" w:rsidRPr="00FD50F6">
        <w:rPr>
          <w:rFonts w:ascii="宋体" w:hAnsi="宋体" w:cs="Times New Roman"/>
          <w:szCs w:val="24"/>
        </w:rPr>
        <w:t>；</w:t>
      </w:r>
    </w:p>
    <w:p w14:paraId="2C0EF098" w14:textId="426EB062" w:rsidR="00264219" w:rsidRPr="00FD50F6" w:rsidRDefault="00264219" w:rsidP="00BD3A64">
      <w:pPr>
        <w:ind w:firstLineChars="200" w:firstLine="480"/>
        <w:rPr>
          <w:rFonts w:ascii="宋体" w:hAnsi="宋体" w:cs="Times New Roman"/>
          <w:szCs w:val="24"/>
        </w:rPr>
      </w:pPr>
      <w:r w:rsidRPr="00FD50F6">
        <w:rPr>
          <w:rFonts w:ascii="宋体" w:hAnsi="宋体" w:cs="Times New Roman"/>
          <w:i/>
          <w:iCs/>
          <w:szCs w:val="24"/>
        </w:rPr>
        <w:t>B</w:t>
      </w:r>
      <w:r w:rsidRPr="00FD50F6">
        <w:rPr>
          <w:rFonts w:ascii="宋体" w:hAnsi="宋体" w:cs="Times New Roman"/>
          <w:szCs w:val="24"/>
        </w:rPr>
        <w:t>——疏散楼梯的总宽度(m)，每组楼梯的宽度应按0.55m的整倍数计算。</w:t>
      </w:r>
    </w:p>
    <w:p w14:paraId="258BA144" w14:textId="44B34DA7" w:rsidR="00E82D55" w:rsidRPr="00FD50F6" w:rsidRDefault="00E82D55" w:rsidP="00E82D55">
      <w:pPr>
        <w:pStyle w:val="30"/>
      </w:pPr>
      <w:r w:rsidRPr="00FD50F6">
        <w:rPr>
          <w:rFonts w:hint="eastAsia"/>
        </w:rPr>
        <w:t>站台位于站厅上方的地上车站，当站台端部设有通向区间的疏散条件时，站台屏蔽门端门一侧独立设置开向轨行区的疏散门净宽不小于</w:t>
      </w:r>
      <w:r w:rsidRPr="00FD50F6">
        <w:rPr>
          <w:rFonts w:hint="eastAsia"/>
        </w:rPr>
        <w:t>1</w:t>
      </w:r>
      <w:r w:rsidRPr="00FD50F6">
        <w:t>.1</w:t>
      </w:r>
      <w:r w:rsidRPr="00FD50F6">
        <w:rPr>
          <w:rFonts w:hint="eastAsia"/>
        </w:rPr>
        <w:t>m</w:t>
      </w:r>
      <w:r w:rsidRPr="00FD50F6">
        <w:rPr>
          <w:rFonts w:hint="eastAsia"/>
        </w:rPr>
        <w:t>时，可作为站台或区间的安全出口，</w:t>
      </w:r>
      <w:r w:rsidR="00EF3818" w:rsidRPr="00AA0E76">
        <w:rPr>
          <w:rFonts w:hint="eastAsia"/>
        </w:rPr>
        <w:t>站台公共区乘客全部</w:t>
      </w:r>
      <w:r w:rsidR="00EF3818" w:rsidRPr="00FD50F6">
        <w:rPr>
          <w:rFonts w:hint="eastAsia"/>
        </w:rPr>
        <w:t>通过用于疏散的站台楼梯口、自动扶梯口、</w:t>
      </w:r>
      <w:r w:rsidR="00755FEE" w:rsidRPr="00FD50F6">
        <w:rPr>
          <w:rFonts w:hint="eastAsia"/>
        </w:rPr>
        <w:t>开向轨行区的疏散门</w:t>
      </w:r>
      <w:r w:rsidR="00EF3818" w:rsidRPr="00FD50F6">
        <w:rPr>
          <w:rFonts w:hint="eastAsia"/>
        </w:rPr>
        <w:t>或其他安全出口的疏散时间，</w:t>
      </w:r>
      <w:r w:rsidR="00EF3818" w:rsidRPr="001A4CF3">
        <w:rPr>
          <w:rFonts w:hint="eastAsia"/>
        </w:rPr>
        <w:t>应</w:t>
      </w:r>
      <w:r w:rsidRPr="00FD50F6">
        <w:rPr>
          <w:rFonts w:hint="eastAsia"/>
        </w:rPr>
        <w:t>按下式计算：</w:t>
      </w:r>
    </w:p>
    <w:p w14:paraId="78B66AB1" w14:textId="42926026" w:rsidR="00E82D55" w:rsidRPr="00FD50F6" w:rsidRDefault="00B71F5C" w:rsidP="00E82D55">
      <w:pPr>
        <w:adjustRightInd w:val="0"/>
        <w:snapToGrid w:val="0"/>
        <w:ind w:left="360" w:firstLineChars="200" w:firstLine="480"/>
        <w:jc w:val="center"/>
        <w:rPr>
          <w:rFonts w:ascii="Times New Roman" w:hAnsi="Times New Roman" w:cs="Times New Roman"/>
          <w:szCs w:val="24"/>
        </w:rPr>
      </w:pPr>
      <m:oMath>
        <m:r>
          <w:rPr>
            <w:rFonts w:ascii="Cambria Math" w:hAnsi="Cambria Math" w:cs="Times New Roman"/>
            <w:szCs w:val="24"/>
          </w:rPr>
          <m:t>T</m:t>
        </m:r>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Q</m:t>
                    </m:r>
                  </m:e>
                  <m:sub>
                    <m:r>
                      <m:rPr>
                        <m:sty m:val="p"/>
                      </m:rP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Q</m:t>
                    </m:r>
                  </m:e>
                  <m:sub>
                    <m:r>
                      <m:rPr>
                        <m:sty m:val="p"/>
                      </m:rPr>
                      <w:rPr>
                        <w:rFonts w:ascii="Cambria Math" w:hAnsi="Cambria Math" w:cs="Times New Roman"/>
                        <w:szCs w:val="24"/>
                      </w:rPr>
                      <m:t>2</m:t>
                    </m:r>
                  </m:sub>
                </m:sSub>
              </m:e>
            </m:d>
            <m:r>
              <w:rPr>
                <w:rFonts w:ascii="Cambria Math" w:hAnsi="Cambria Math" w:cs="Times New Roman" w:hint="eastAsia"/>
                <w:szCs w:val="24"/>
              </w:rPr>
              <m:t>α</m:t>
            </m:r>
          </m:num>
          <m:den>
            <m:r>
              <m:rPr>
                <m:sty m:val="p"/>
              </m:rPr>
              <w:rPr>
                <w:rFonts w:ascii="Cambria Math" w:hAnsi="Cambria Math" w:cs="Times New Roman"/>
                <w:szCs w:val="24"/>
              </w:rPr>
              <m:t>0.9</m:t>
            </m:r>
            <m:r>
              <m:rPr>
                <m:sty m:val="p"/>
              </m:rPr>
              <w:rPr>
                <w:rFonts w:ascii="Cambria Math" w:hAnsi="Cambria Math" w:cs="Times New Roman" w:hint="eastAsia"/>
                <w:szCs w:val="24"/>
              </w:rPr>
              <m:t>·</m:t>
            </m:r>
            <m:sSub>
              <m:sSubPr>
                <m:ctrlPr>
                  <w:rPr>
                    <w:rFonts w:ascii="Cambria Math" w:hAnsi="Cambria Math" w:cs="Times New Roman"/>
                    <w:szCs w:val="24"/>
                  </w:rPr>
                </m:ctrlPr>
              </m:sSubPr>
              <m:e>
                <m:r>
                  <w:rPr>
                    <w:rFonts w:ascii="Cambria Math" w:hAnsi="Cambria Math" w:cs="Times New Roman"/>
                    <w:szCs w:val="24"/>
                  </w:rPr>
                  <m:t>A</m:t>
                </m:r>
              </m:e>
              <m:sub>
                <m:r>
                  <m:rPr>
                    <m:sty m:val="p"/>
                  </m:rPr>
                  <w:rPr>
                    <w:rFonts w:ascii="Cambria Math" w:hAnsi="Cambria Math" w:cs="Times New Roman"/>
                    <w:szCs w:val="24"/>
                  </w:rPr>
                  <m:t>1</m:t>
                </m:r>
              </m:sub>
            </m:sSub>
            <m:d>
              <m:dPr>
                <m:ctrlPr>
                  <w:rPr>
                    <w:rFonts w:ascii="Cambria Math" w:hAnsi="Cambria Math" w:cs="Times New Roman"/>
                    <w:szCs w:val="24"/>
                  </w:rPr>
                </m:ctrlPr>
              </m:dPr>
              <m:e>
                <m:r>
                  <w:rPr>
                    <w:rFonts w:ascii="Cambria Math" w:hAnsi="Cambria Math" w:cs="Times New Roman"/>
                    <w:szCs w:val="24"/>
                  </w:rPr>
                  <m:t>N</m:t>
                </m:r>
                <m:r>
                  <m:rPr>
                    <m:sty m:val="p"/>
                  </m:rPr>
                  <w:rPr>
                    <w:rFonts w:ascii="Cambria Math" w:eastAsia="微软雅黑" w:hAnsi="Cambria Math" w:cs="微软雅黑"/>
                    <w:szCs w:val="24"/>
                  </w:rPr>
                  <m:t>-</m:t>
                </m:r>
                <m:r>
                  <m:rPr>
                    <m:sty m:val="p"/>
                  </m:rPr>
                  <w:rPr>
                    <w:rFonts w:ascii="Cambria Math" w:hAnsi="Cambria Math" w:cs="Times New Roman"/>
                    <w:szCs w:val="24"/>
                  </w:rPr>
                  <m:t>1</m:t>
                </m:r>
              </m:e>
            </m:d>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m:rPr>
                    <m:sty m:val="p"/>
                  </m:rPr>
                  <w:rPr>
                    <w:rFonts w:ascii="Cambria Math" w:hAnsi="Cambria Math" w:cs="Times New Roman"/>
                    <w:szCs w:val="24"/>
                  </w:rPr>
                  <m:t>2</m:t>
                </m:r>
              </m:sub>
            </m:sSub>
            <m:r>
              <w:rPr>
                <w:rFonts w:ascii="Cambria Math" w:hAnsi="Cambria Math" w:cs="Times New Roman"/>
                <w:szCs w:val="24"/>
              </w:rPr>
              <m:t>B</m:t>
            </m:r>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dm</m:t>
                </m:r>
              </m:sub>
            </m:sSub>
            <m:sSub>
              <m:sSubPr>
                <m:ctrlPr>
                  <w:rPr>
                    <w:rFonts w:ascii="Cambria Math" w:hAnsi="Cambria Math" w:cs="Times New Roman"/>
                    <w:szCs w:val="24"/>
                  </w:rPr>
                </m:ctrlPr>
              </m:sSubPr>
              <m:e>
                <m:r>
                  <w:rPr>
                    <w:rFonts w:ascii="Cambria Math" w:hAnsi="Cambria Math" w:cs="Times New Roman"/>
                    <w:szCs w:val="24"/>
                  </w:rPr>
                  <m:t>B</m:t>
                </m:r>
                <m:ctrlPr>
                  <w:rPr>
                    <w:rFonts w:ascii="Cambria Math" w:hAnsi="Cambria Math" w:cs="Times New Roman"/>
                    <w:i/>
                    <w:szCs w:val="24"/>
                  </w:rPr>
                </m:ctrlPr>
              </m:e>
              <m:sub>
                <m:r>
                  <w:rPr>
                    <w:rFonts w:ascii="Cambria Math" w:hAnsi="Cambria Math" w:cs="Times New Roman"/>
                    <w:szCs w:val="24"/>
                  </w:rPr>
                  <m:t>dm</m:t>
                </m:r>
              </m:sub>
            </m:sSub>
            <m:r>
              <m:rPr>
                <m:sty m:val="p"/>
              </m:rPr>
              <w:rPr>
                <w:rFonts w:ascii="Cambria Math" w:hAnsi="Cambria Math" w:cs="Times New Roman"/>
                <w:szCs w:val="24"/>
              </w:rPr>
              <m:t>≤4</m:t>
            </m:r>
            <m:r>
              <w:rPr>
                <w:rFonts w:ascii="Cambria Math" w:hAnsi="Cambria Math" w:cs="Times New Roman"/>
                <w:szCs w:val="24"/>
              </w:rPr>
              <m:t>min</m:t>
            </m:r>
          </m:den>
        </m:f>
      </m:oMath>
      <w:r w:rsidR="00E82D55" w:rsidRPr="00FD50F6">
        <w:rPr>
          <w:rFonts w:ascii="Times New Roman" w:hAnsi="Times New Roman" w:cs="Times New Roman" w:hint="eastAsia"/>
          <w:iCs/>
          <w:szCs w:val="24"/>
        </w:rPr>
        <w:t xml:space="preserve"> </w:t>
      </w:r>
      <w:r w:rsidR="00E82D55" w:rsidRPr="00FD50F6">
        <w:rPr>
          <w:rFonts w:ascii="Times New Roman" w:hAnsi="Times New Roman" w:cs="Times New Roman"/>
          <w:iCs/>
          <w:szCs w:val="24"/>
        </w:rPr>
        <w:t xml:space="preserve">       (30.2.</w:t>
      </w:r>
      <w:r w:rsidR="00850F0F" w:rsidRPr="00FD50F6">
        <w:rPr>
          <w:rFonts w:ascii="Times New Roman" w:hAnsi="Times New Roman" w:cs="Times New Roman" w:hint="eastAsia"/>
          <w:iCs/>
          <w:szCs w:val="24"/>
        </w:rPr>
        <w:t>8</w:t>
      </w:r>
      <w:r w:rsidR="00E82D55" w:rsidRPr="00FD50F6">
        <w:rPr>
          <w:rFonts w:ascii="Times New Roman" w:hAnsi="Times New Roman" w:cs="Times New Roman"/>
          <w:iCs/>
          <w:szCs w:val="24"/>
        </w:rPr>
        <w:t>)</w:t>
      </w:r>
    </w:p>
    <w:p w14:paraId="3D492F4D" w14:textId="190021F5" w:rsidR="00BD3A64" w:rsidRDefault="00E82D55" w:rsidP="004906BB">
      <w:pPr>
        <w:adjustRightInd w:val="0"/>
        <w:snapToGrid w:val="0"/>
      </w:pPr>
      <w:r w:rsidRPr="00FD50F6">
        <w:rPr>
          <w:rFonts w:ascii="Times New Roman" w:hAnsi="Times New Roman" w:cs="Times New Roman" w:hint="eastAsia"/>
          <w:szCs w:val="24"/>
        </w:rPr>
        <w:t>式中：</w:t>
      </w:r>
      <w:r w:rsidR="00112E60" w:rsidRPr="00FD50F6">
        <w:rPr>
          <w:rFonts w:ascii="宋体" w:hAnsi="宋体" w:cs="Times New Roman" w:hint="eastAsia"/>
          <w:i/>
          <w:iCs/>
          <w:szCs w:val="24"/>
        </w:rPr>
        <w:t>T</w:t>
      </w:r>
      <w:r w:rsidR="00112E60" w:rsidRPr="00FD50F6">
        <w:t>——</w:t>
      </w:r>
      <w:r w:rsidR="00112E60" w:rsidRPr="00FD50F6">
        <w:rPr>
          <w:rFonts w:hint="eastAsia"/>
        </w:rPr>
        <w:t>远期或客流控制期中超高峰小时</w:t>
      </w:r>
      <w:bookmarkStart w:id="1283" w:name="_Hlk94285139"/>
      <w:r w:rsidR="00112E60" w:rsidRPr="00FD50F6">
        <w:rPr>
          <w:rFonts w:hint="eastAsia"/>
        </w:rPr>
        <w:t>一列车进站所载乘客最大断面客流及站台上候车乘客，从地上站的站台疏散楼梯、参与</w:t>
      </w:r>
      <w:r w:rsidR="00112E60">
        <w:rPr>
          <w:rFonts w:hint="eastAsia"/>
        </w:rPr>
        <w:t>紧急</w:t>
      </w:r>
      <w:r w:rsidR="00112E60" w:rsidRPr="00FD50F6">
        <w:rPr>
          <w:rFonts w:hint="eastAsia"/>
        </w:rPr>
        <w:t>疏散自动扶梯、站台端安全出口或疏散通道口通过全部疏散设施的时间</w:t>
      </w:r>
      <w:r w:rsidR="00112E60" w:rsidRPr="00FD50F6">
        <w:t>（</w:t>
      </w:r>
      <w:r w:rsidR="00112E60" w:rsidRPr="00FD50F6">
        <w:rPr>
          <w:rFonts w:hint="eastAsia"/>
        </w:rPr>
        <w:t>m</w:t>
      </w:r>
      <w:r w:rsidR="00112E60" w:rsidRPr="00FD50F6">
        <w:t>in</w:t>
      </w:r>
      <w:r w:rsidR="00112E60" w:rsidRPr="00FD50F6">
        <w:t>）</w:t>
      </w:r>
      <w:bookmarkEnd w:id="1283"/>
      <w:r w:rsidR="00112E60" w:rsidRPr="00FD50F6">
        <w:t>；</w:t>
      </w:r>
    </w:p>
    <w:p w14:paraId="387EB950" w14:textId="6F585DE7" w:rsidR="00B71F5C" w:rsidRPr="00FD50F6" w:rsidRDefault="00BD3A64" w:rsidP="004906BB">
      <w:pPr>
        <w:adjustRightInd w:val="0"/>
        <w:snapToGrid w:val="0"/>
      </w:pPr>
      <w:r>
        <w:rPr>
          <w:rFonts w:hint="eastAsia"/>
        </w:rPr>
        <w:t xml:space="preserve">         </w:t>
      </w:r>
      <w:r w:rsidR="00B71F5C" w:rsidRPr="00FD50F6">
        <w:rPr>
          <w:rFonts w:ascii="宋体" w:hAnsi="宋体"/>
          <w:i/>
          <w:iCs/>
          <w:szCs w:val="24"/>
        </w:rPr>
        <w:t>N</w:t>
      </w:r>
      <w:r w:rsidR="00B71F5C" w:rsidRPr="00FD50F6">
        <w:rPr>
          <w:rFonts w:ascii="宋体" w:hAnsi="宋体"/>
          <w:szCs w:val="24"/>
        </w:rPr>
        <w:t>——</w:t>
      </w:r>
      <w:r w:rsidR="00112E60" w:rsidRPr="00FD50F6">
        <w:rPr>
          <w:rFonts w:ascii="宋体" w:hAnsi="宋体"/>
          <w:szCs w:val="24"/>
        </w:rPr>
        <w:t>参与</w:t>
      </w:r>
      <w:r w:rsidR="00112E60">
        <w:rPr>
          <w:rFonts w:ascii="宋体" w:hAnsi="宋体" w:hint="eastAsia"/>
          <w:szCs w:val="24"/>
        </w:rPr>
        <w:t>紧急</w:t>
      </w:r>
      <w:r w:rsidR="00112E60" w:rsidRPr="00FD50F6">
        <w:rPr>
          <w:rFonts w:ascii="宋体" w:hAnsi="宋体"/>
          <w:szCs w:val="24"/>
        </w:rPr>
        <w:t>疏散的</w:t>
      </w:r>
      <w:r w:rsidR="00112E60" w:rsidRPr="004906BB">
        <w:rPr>
          <w:rFonts w:ascii="Times New Roman" w:hAnsi="Times New Roman" w:cs="Times New Roman"/>
          <w:szCs w:val="24"/>
        </w:rPr>
        <w:t>自动扶梯</w:t>
      </w:r>
      <w:r w:rsidR="00112E60" w:rsidRPr="00FD50F6">
        <w:rPr>
          <w:rFonts w:ascii="宋体" w:hAnsi="宋体"/>
          <w:szCs w:val="24"/>
        </w:rPr>
        <w:t>数量（台）</w:t>
      </w:r>
      <w:r w:rsidR="00112E60" w:rsidRPr="00FD50F6">
        <w:rPr>
          <w:rFonts w:ascii="宋体" w:hAnsi="宋体" w:hint="eastAsia"/>
          <w:szCs w:val="24"/>
        </w:rPr>
        <w:t>，当下行自动扶梯高度</w:t>
      </w:r>
      <w:r w:rsidR="00112E60">
        <w:rPr>
          <w:rFonts w:ascii="宋体" w:hAnsi="宋体" w:hint="eastAsia"/>
          <w:szCs w:val="24"/>
        </w:rPr>
        <w:t>大于</w:t>
      </w:r>
      <w:r w:rsidR="00112E60" w:rsidRPr="00FD50F6">
        <w:rPr>
          <w:rFonts w:ascii="宋体" w:hAnsi="宋体" w:hint="eastAsia"/>
          <w:szCs w:val="24"/>
        </w:rPr>
        <w:t>10</w:t>
      </w:r>
      <w:r w:rsidR="00112E60" w:rsidRPr="00FD50F6">
        <w:rPr>
          <w:rFonts w:ascii="宋体" w:hAnsi="宋体"/>
          <w:szCs w:val="24"/>
        </w:rPr>
        <w:t>m</w:t>
      </w:r>
      <w:r w:rsidR="00112E60" w:rsidRPr="00FD50F6">
        <w:rPr>
          <w:rFonts w:ascii="宋体" w:hAnsi="宋体" w:hint="eastAsia"/>
          <w:szCs w:val="24"/>
        </w:rPr>
        <w:lastRenderedPageBreak/>
        <w:t>时，不应参与紧急疏散</w:t>
      </w:r>
      <w:r w:rsidR="00B71F5C" w:rsidRPr="00FD50F6">
        <w:rPr>
          <w:rFonts w:ascii="宋体" w:hAnsi="宋体" w:hint="eastAsia"/>
          <w:szCs w:val="24"/>
        </w:rPr>
        <w:t>；</w:t>
      </w:r>
    </w:p>
    <w:p w14:paraId="223C5B93" w14:textId="774A0008" w:rsidR="00B71F5C" w:rsidRPr="00FD50F6" w:rsidRDefault="00E82D55" w:rsidP="004906BB">
      <w:pPr>
        <w:ind w:firstLineChars="250" w:firstLine="600"/>
        <w:rPr>
          <w:rFonts w:ascii="Times New Roman" w:hAnsi="Times New Roman" w:cs="Times New Roman"/>
          <w:szCs w:val="24"/>
        </w:rPr>
      </w:pPr>
      <w:r w:rsidRPr="001A4CF3">
        <w:rPr>
          <w:rFonts w:ascii="Times New Roman" w:hAnsi="Times New Roman" w:cs="Times New Roman"/>
          <w:i/>
          <w:iCs/>
          <w:szCs w:val="24"/>
        </w:rPr>
        <w:t>A</w:t>
      </w:r>
      <w:r w:rsidRPr="001A4CF3">
        <w:rPr>
          <w:rFonts w:ascii="Times New Roman" w:hAnsi="Times New Roman" w:cs="Times New Roman"/>
          <w:i/>
          <w:iCs/>
          <w:szCs w:val="24"/>
          <w:vertAlign w:val="subscript"/>
        </w:rPr>
        <w:t>dm</w:t>
      </w:r>
      <w:r w:rsidRPr="001A4CF3">
        <w:rPr>
          <w:rFonts w:ascii="Times New Roman" w:hAnsi="Times New Roman" w:cs="Times New Roman" w:hint="eastAsia"/>
          <w:szCs w:val="24"/>
        </w:rPr>
        <w:t>——站台屏蔽门端门处开门的通行能力</w:t>
      </w:r>
      <w:r w:rsidRPr="001A4CF3">
        <w:rPr>
          <w:rFonts w:ascii="Times New Roman" w:hAnsi="Times New Roman" w:cs="Times New Roman"/>
          <w:szCs w:val="24"/>
        </w:rPr>
        <w:t>(</w:t>
      </w:r>
      <w:r w:rsidRPr="001A4CF3">
        <w:rPr>
          <w:rFonts w:ascii="Times New Roman" w:hAnsi="Times New Roman" w:cs="Times New Roman" w:hint="eastAsia"/>
          <w:szCs w:val="24"/>
        </w:rPr>
        <w:t>人</w:t>
      </w:r>
      <w:r w:rsidRPr="001A4CF3">
        <w:rPr>
          <w:rFonts w:ascii="Times New Roman" w:hAnsi="Times New Roman" w:cs="Times New Roman"/>
          <w:szCs w:val="24"/>
        </w:rPr>
        <w:t>/min</w:t>
      </w:r>
      <w:r w:rsidRPr="001A4CF3">
        <w:rPr>
          <w:rFonts w:ascii="Times New Roman" w:hAnsi="Times New Roman" w:cs="Times New Roman" w:hint="eastAsia"/>
          <w:szCs w:val="24"/>
        </w:rPr>
        <w:t>·</w:t>
      </w:r>
      <w:r w:rsidRPr="001A4CF3">
        <w:rPr>
          <w:rFonts w:ascii="Times New Roman" w:hAnsi="Times New Roman" w:cs="Times New Roman"/>
          <w:szCs w:val="24"/>
        </w:rPr>
        <w:t>m)</w:t>
      </w:r>
      <w:r w:rsidRPr="001A4CF3">
        <w:rPr>
          <w:rFonts w:ascii="Times New Roman" w:hAnsi="Times New Roman" w:cs="Times New Roman" w:hint="eastAsia"/>
          <w:szCs w:val="24"/>
        </w:rPr>
        <w:t>，</w:t>
      </w:r>
      <w:r w:rsidRPr="001A4CF3">
        <w:rPr>
          <w:rFonts w:ascii="宋体" w:hAnsi="宋体" w:cs="Times New Roman" w:hint="eastAsia"/>
          <w:szCs w:val="24"/>
        </w:rPr>
        <w:t>按</w:t>
      </w:r>
      <w:r w:rsidR="00850F0F" w:rsidRPr="001A4CF3">
        <w:rPr>
          <w:rFonts w:ascii="宋体" w:hAnsi="宋体" w:cs="Times New Roman" w:hint="eastAsia"/>
          <w:szCs w:val="24"/>
        </w:rPr>
        <w:t>站端楼梯的通行能力</w:t>
      </w:r>
      <w:r w:rsidRPr="001A4CF3">
        <w:rPr>
          <w:rFonts w:ascii="宋体" w:hAnsi="宋体" w:cs="Times New Roman"/>
          <w:szCs w:val="24"/>
        </w:rPr>
        <w:t>4200人/h</w:t>
      </w:r>
      <w:bookmarkStart w:id="1284" w:name="_Hlk94218264"/>
      <w:r w:rsidRPr="001A4CF3">
        <w:rPr>
          <w:rFonts w:ascii="宋体" w:hAnsi="宋体" w:cs="Times New Roman" w:hint="eastAsia"/>
          <w:szCs w:val="24"/>
        </w:rPr>
        <w:t>·</w:t>
      </w:r>
      <w:bookmarkEnd w:id="1284"/>
      <w:r w:rsidRPr="001A4CF3">
        <w:rPr>
          <w:rFonts w:ascii="宋体" w:hAnsi="宋体" w:cs="Times New Roman"/>
          <w:szCs w:val="24"/>
        </w:rPr>
        <w:t>m计算</w:t>
      </w:r>
      <w:r w:rsidR="00B71F5C" w:rsidRPr="00FD50F6">
        <w:rPr>
          <w:rFonts w:ascii="宋体" w:hAnsi="宋体" w:hint="eastAsia"/>
          <w:szCs w:val="24"/>
        </w:rPr>
        <w:t>，站端楼梯净宽度按</w:t>
      </w:r>
      <w:r w:rsidR="00CB3FDC">
        <w:rPr>
          <w:rFonts w:ascii="宋体" w:hAnsi="宋体" w:hint="eastAsia"/>
          <w:szCs w:val="24"/>
        </w:rPr>
        <w:t>不大于</w:t>
      </w:r>
      <w:r w:rsidR="00B71F5C" w:rsidRPr="00FD50F6">
        <w:rPr>
          <w:rFonts w:ascii="宋体" w:hAnsi="宋体" w:hint="eastAsia"/>
          <w:szCs w:val="24"/>
        </w:rPr>
        <w:t>1</w:t>
      </w:r>
      <w:r w:rsidR="00B71F5C" w:rsidRPr="00FD50F6">
        <w:rPr>
          <w:rFonts w:ascii="宋体" w:hAnsi="宋体"/>
          <w:szCs w:val="24"/>
        </w:rPr>
        <w:t>.1m</w:t>
      </w:r>
      <w:r w:rsidR="00B71F5C" w:rsidRPr="00FD50F6">
        <w:rPr>
          <w:rFonts w:ascii="宋体" w:hAnsi="宋体" w:hint="eastAsia"/>
          <w:szCs w:val="24"/>
        </w:rPr>
        <w:t>计</w:t>
      </w:r>
      <w:r w:rsidRPr="001A4CF3">
        <w:rPr>
          <w:rFonts w:ascii="Times New Roman" w:hAnsi="Times New Roman" w:cs="Times New Roman" w:hint="eastAsia"/>
          <w:szCs w:val="24"/>
        </w:rPr>
        <w:t>；</w:t>
      </w:r>
    </w:p>
    <w:p w14:paraId="1171BB20" w14:textId="6CF0180F" w:rsidR="00E82D55" w:rsidRPr="00FD50F6" w:rsidRDefault="00E82D55" w:rsidP="004906BB">
      <w:pPr>
        <w:ind w:firstLineChars="250" w:firstLine="600"/>
        <w:rPr>
          <w:rFonts w:ascii="Times New Roman" w:hAnsi="Times New Roman" w:cs="Times New Roman"/>
          <w:szCs w:val="24"/>
        </w:rPr>
      </w:pPr>
      <w:r w:rsidRPr="00FD50F6">
        <w:rPr>
          <w:rFonts w:ascii="宋体" w:hAnsi="宋体" w:cs="Times New Roman"/>
          <w:i/>
          <w:iCs/>
          <w:szCs w:val="24"/>
        </w:rPr>
        <w:t>B</w:t>
      </w:r>
      <w:r w:rsidRPr="00FD50F6">
        <w:rPr>
          <w:rFonts w:ascii="宋体" w:hAnsi="宋体" w:cs="Times New Roman" w:hint="eastAsia"/>
          <w:i/>
          <w:iCs/>
          <w:szCs w:val="24"/>
          <w:vertAlign w:val="subscript"/>
        </w:rPr>
        <w:t>dm</w:t>
      </w:r>
      <w:r w:rsidRPr="00FD50F6">
        <w:rPr>
          <w:rFonts w:ascii="Times New Roman" w:hAnsi="Times New Roman" w:cs="Times New Roman" w:hint="eastAsia"/>
          <w:szCs w:val="24"/>
        </w:rPr>
        <w:t>——</w:t>
      </w:r>
      <w:r w:rsidR="00112E60" w:rsidRPr="00FD50F6">
        <w:rPr>
          <w:rFonts w:ascii="Times New Roman" w:hAnsi="Times New Roman" w:cs="Times New Roman" w:hint="eastAsia"/>
          <w:szCs w:val="24"/>
        </w:rPr>
        <w:t>站台屏蔽门端门处开门的宽度</w:t>
      </w:r>
      <w:r w:rsidR="00112E60" w:rsidRPr="00FD50F6">
        <w:rPr>
          <w:rFonts w:ascii="Times New Roman" w:hAnsi="Times New Roman" w:cs="Times New Roman" w:hint="eastAsia"/>
          <w:szCs w:val="24"/>
        </w:rPr>
        <w:t>(m)</w:t>
      </w:r>
      <w:r w:rsidR="00112E60" w:rsidRPr="00FD50F6">
        <w:rPr>
          <w:rFonts w:ascii="Times New Roman" w:hAnsi="Times New Roman" w:cs="Times New Roman" w:hint="eastAsia"/>
          <w:szCs w:val="24"/>
        </w:rPr>
        <w:t>，</w:t>
      </w:r>
      <w:r w:rsidR="00112E60" w:rsidRPr="00FD50F6">
        <w:rPr>
          <w:rFonts w:ascii="宋体" w:hAnsi="宋体" w:cs="Times New Roman" w:hint="eastAsia"/>
          <w:szCs w:val="24"/>
        </w:rPr>
        <w:t>按</w:t>
      </w:r>
      <w:r w:rsidR="00112E60" w:rsidRPr="00FD50F6">
        <w:rPr>
          <w:rFonts w:ascii="宋体" w:hAnsi="宋体" w:cs="Times New Roman"/>
          <w:szCs w:val="24"/>
        </w:rPr>
        <w:t>0.55m整倍数计算</w:t>
      </w:r>
      <w:r w:rsidR="00112E60" w:rsidRPr="00FD50F6">
        <w:rPr>
          <w:rFonts w:ascii="宋体" w:hAnsi="宋体" w:cs="Times New Roman" w:hint="eastAsia"/>
          <w:szCs w:val="24"/>
        </w:rPr>
        <w:t>，且</w:t>
      </w:r>
      <w:r w:rsidR="00112E60">
        <w:rPr>
          <w:rFonts w:ascii="宋体" w:hAnsi="宋体" w:cs="Times New Roman" w:hint="eastAsia"/>
          <w:szCs w:val="24"/>
        </w:rPr>
        <w:t>不小于</w:t>
      </w:r>
      <w:r w:rsidR="00112E60" w:rsidRPr="00FD50F6">
        <w:rPr>
          <w:rFonts w:ascii="宋体" w:hAnsi="宋体" w:cs="Times New Roman" w:hint="eastAsia"/>
          <w:szCs w:val="24"/>
        </w:rPr>
        <w:t>1.1m</w:t>
      </w:r>
      <w:r w:rsidR="00B71F5C" w:rsidRPr="00FD50F6">
        <w:rPr>
          <w:rFonts w:ascii="宋体" w:hAnsi="宋体" w:cs="Times New Roman" w:hint="eastAsia"/>
          <w:szCs w:val="24"/>
        </w:rPr>
        <w:t>。</w:t>
      </w:r>
    </w:p>
    <w:p w14:paraId="5430C2F8" w14:textId="51D7D988" w:rsidR="00264219" w:rsidRPr="00FD50F6" w:rsidRDefault="00264219" w:rsidP="00264219">
      <w:pPr>
        <w:pStyle w:val="30"/>
      </w:pPr>
      <w:r w:rsidRPr="00FD50F6">
        <w:rPr>
          <w:rFonts w:hint="eastAsia"/>
        </w:rPr>
        <w:t>最后一名乘客从站台</w:t>
      </w:r>
      <w:r w:rsidR="009D2B00" w:rsidRPr="00FD50F6">
        <w:rPr>
          <w:rFonts w:hint="eastAsia"/>
        </w:rPr>
        <w:t>公共区</w:t>
      </w:r>
      <w:r w:rsidRPr="00FD50F6">
        <w:rPr>
          <w:rFonts w:hint="eastAsia"/>
        </w:rPr>
        <w:t>疏散</w:t>
      </w:r>
      <w:r w:rsidR="0071682D" w:rsidRPr="00FD50F6">
        <w:rPr>
          <w:rFonts w:hint="eastAsia"/>
        </w:rPr>
        <w:t>至</w:t>
      </w:r>
      <w:r w:rsidRPr="00FD50F6">
        <w:rPr>
          <w:rFonts w:hint="eastAsia"/>
        </w:rPr>
        <w:t>站厅公共区或其他安全区域的时间应按下列公式计算：</w:t>
      </w:r>
    </w:p>
    <w:bookmarkStart w:id="1285" w:name="_Hlk20163444"/>
    <w:bookmarkStart w:id="1286" w:name="_Hlk20163223"/>
    <w:bookmarkStart w:id="1287" w:name="_Hlk19878655"/>
    <w:p w14:paraId="25DFEA85" w14:textId="125F2122" w:rsidR="009D2B00" w:rsidRPr="00FD50F6" w:rsidRDefault="00BF2787" w:rsidP="009D2B00">
      <w:pPr>
        <w:adjustRightInd w:val="0"/>
        <w:snapToGrid w:val="0"/>
        <w:ind w:firstLineChars="200" w:firstLine="480"/>
        <w:jc w:val="center"/>
        <w:rPr>
          <w:rFonts w:ascii="宋体" w:hAnsi="宋体" w:cs="Times New Roman"/>
          <w:szCs w:val="24"/>
        </w:rPr>
      </w:pP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z</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T+T</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1</m:t>
            </m:r>
          </m:sub>
        </m:sSub>
        <m:r>
          <m:rPr>
            <m:sty m:val="p"/>
          </m:rPr>
          <w:rPr>
            <w:rFonts w:ascii="Cambria Math" w:hAnsi="Cambria Math" w:hint="eastAsia"/>
            <w:szCs w:val="24"/>
          </w:rPr>
          <m:t>≤</m:t>
        </m:r>
        <m:r>
          <m:rPr>
            <m:sty m:val="p"/>
          </m:rPr>
          <w:rPr>
            <w:rFonts w:ascii="Cambria Math" w:hAnsi="Cambria Math"/>
            <w:szCs w:val="24"/>
          </w:rPr>
          <m:t>6</m:t>
        </m:r>
        <m:r>
          <w:rPr>
            <w:rFonts w:ascii="Cambria Math" w:hAnsi="Cambria Math"/>
            <w:szCs w:val="24"/>
          </w:rPr>
          <m:t>min</m:t>
        </m:r>
      </m:oMath>
      <w:r w:rsidR="00B71F5C" w:rsidRPr="00FD50F6">
        <w:rPr>
          <w:rFonts w:ascii="宋体" w:hAnsi="宋体"/>
          <w:szCs w:val="24"/>
        </w:rPr>
        <w:t xml:space="preserve"> </w:t>
      </w:r>
      <w:r w:rsidR="00B71F5C" w:rsidRPr="00FD50F6">
        <w:rPr>
          <w:rFonts w:ascii="宋体" w:hAnsi="宋体" w:hint="eastAsia"/>
          <w:szCs w:val="24"/>
        </w:rPr>
        <w:t>或</w:t>
      </w:r>
      <w:r w:rsidR="00B71F5C" w:rsidRPr="00FD50F6">
        <w:rPr>
          <w:rFonts w:ascii="宋体" w:hAnsi="宋体"/>
          <w:szCs w:val="24"/>
        </w:rPr>
        <w:t xml:space="preserve"> </w:t>
      </w: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z</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T+T</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2</m:t>
            </m:r>
          </m:sub>
        </m:sSub>
        <m:r>
          <m:rPr>
            <m:sty m:val="p"/>
          </m:rPr>
          <w:rPr>
            <w:rFonts w:ascii="Cambria Math" w:hAnsi="Cambria Math" w:hint="eastAsia"/>
            <w:szCs w:val="24"/>
          </w:rPr>
          <m:t>≤</m:t>
        </m:r>
        <m:r>
          <m:rPr>
            <m:sty m:val="p"/>
          </m:rPr>
          <w:rPr>
            <w:rFonts w:ascii="Cambria Math" w:hAnsi="Cambria Math" w:hint="eastAsia"/>
            <w:szCs w:val="24"/>
          </w:rPr>
          <m:t>6</m:t>
        </m:r>
        <m:r>
          <w:rPr>
            <w:rFonts w:ascii="Cambria Math" w:hAnsi="Cambria Math"/>
            <w:szCs w:val="24"/>
          </w:rPr>
          <m:t>min</m:t>
        </m:r>
      </m:oMath>
      <w:r w:rsidR="00B71F5C" w:rsidRPr="00FD50F6">
        <w:rPr>
          <w:rFonts w:ascii="宋体" w:hAnsi="宋体"/>
          <w:szCs w:val="24"/>
        </w:rPr>
        <w:t xml:space="preserve">  </w:t>
      </w:r>
      <w:r w:rsidR="009D2B00" w:rsidRPr="00FD50F6">
        <w:rPr>
          <w:rFonts w:ascii="宋体" w:hAnsi="宋体" w:cs="Times New Roman"/>
          <w:szCs w:val="24"/>
        </w:rPr>
        <w:t>(30.2.</w:t>
      </w:r>
      <w:r w:rsidR="00850F0F" w:rsidRPr="00FD50F6">
        <w:rPr>
          <w:rFonts w:ascii="宋体" w:hAnsi="宋体" w:cs="Times New Roman" w:hint="eastAsia"/>
          <w:szCs w:val="24"/>
        </w:rPr>
        <w:t>9</w:t>
      </w:r>
      <w:r w:rsidR="009D2B00" w:rsidRPr="00FD50F6">
        <w:rPr>
          <w:rFonts w:ascii="宋体" w:hAnsi="宋体" w:cs="Times New Roman"/>
          <w:szCs w:val="24"/>
        </w:rPr>
        <w:t>-</w:t>
      </w:r>
      <w:r w:rsidR="00282D38" w:rsidRPr="00FD50F6">
        <w:rPr>
          <w:rFonts w:ascii="宋体" w:hAnsi="宋体" w:cs="Times New Roman" w:hint="eastAsia"/>
          <w:szCs w:val="24"/>
        </w:rPr>
        <w:t>1</w:t>
      </w:r>
      <w:r w:rsidR="009D2B00" w:rsidRPr="00FD50F6">
        <w:rPr>
          <w:rFonts w:ascii="宋体" w:hAnsi="宋体" w:cs="Times New Roman"/>
          <w:szCs w:val="24"/>
        </w:rPr>
        <w:t>)</w:t>
      </w:r>
    </w:p>
    <w:p w14:paraId="51DAC9FD" w14:textId="5FC1FCF6" w:rsidR="009D2B00" w:rsidRPr="00FD50F6" w:rsidRDefault="00BF2787" w:rsidP="009D2B00">
      <w:pPr>
        <w:adjustRightInd w:val="0"/>
        <w:snapToGrid w:val="0"/>
        <w:ind w:firstLineChars="200" w:firstLine="480"/>
        <w:jc w:val="center"/>
        <w:rPr>
          <w:rFonts w:ascii="宋体" w:hAnsi="宋体" w:cs="Times New Roman"/>
          <w:szCs w:val="24"/>
        </w:rPr>
      </w:pPr>
      <m:oMath>
        <m:sSub>
          <m:sSubPr>
            <m:ctrlPr>
              <w:rPr>
                <w:rFonts w:ascii="Cambria Math" w:hAnsi="Cambria Math" w:cs="Times New Roman"/>
                <w:szCs w:val="24"/>
              </w:rPr>
            </m:ctrlPr>
          </m:sSubPr>
          <m:e>
            <m:r>
              <w:rPr>
                <w:rFonts w:ascii="Cambria Math" w:hAnsi="Cambria Math" w:cs="Times New Roman"/>
                <w:szCs w:val="24"/>
              </w:rPr>
              <m:t>T</m:t>
            </m:r>
            <m:ctrlPr>
              <w:rPr>
                <w:rFonts w:ascii="Cambria Math" w:hAnsi="Cambria Math" w:cs="Times New Roman"/>
                <w:i/>
                <w:szCs w:val="24"/>
              </w:rPr>
            </m:ctrlPr>
          </m:e>
          <m:sub>
            <m:r>
              <m:rPr>
                <m:sty m:val="p"/>
              </m:rPr>
              <w:rPr>
                <w:rFonts w:ascii="Cambria Math" w:hAnsi="Cambria Math" w:cs="Times New Roman"/>
                <w:szCs w:val="24"/>
              </w:rPr>
              <m:t>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L</m:t>
            </m:r>
            <m:r>
              <m:rPr>
                <m:sty m:val="p"/>
              </m:rPr>
              <w:rPr>
                <w:rFonts w:ascii="Cambria Math" w:hAnsi="Cambria Math" w:cs="Times New Roman"/>
                <w:szCs w:val="24"/>
              </w:rPr>
              <m:t>1</m:t>
            </m:r>
          </m:num>
          <m:den>
            <m:r>
              <m:rPr>
                <m:sty m:val="p"/>
              </m:rPr>
              <w:rPr>
                <w:rFonts w:ascii="Cambria Math" w:hAnsi="Cambria Math" w:cs="Times New Roman"/>
                <w:sz w:val="28"/>
                <w:szCs w:val="28"/>
              </w:rPr>
              <m:t>v</m:t>
            </m:r>
          </m:den>
        </m:f>
      </m:oMath>
      <w:r w:rsidR="009D2B00" w:rsidRPr="00FD50F6">
        <w:rPr>
          <w:rFonts w:ascii="宋体" w:hAnsi="宋体" w:cs="Times New Roman"/>
          <w:szCs w:val="24"/>
        </w:rPr>
        <w:t xml:space="preserve">             </w:t>
      </w:r>
      <w:r w:rsidR="00B71F5C" w:rsidRPr="00FD50F6">
        <w:rPr>
          <w:rFonts w:ascii="宋体" w:hAnsi="宋体" w:cs="Times New Roman"/>
          <w:szCs w:val="24"/>
        </w:rPr>
        <w:t xml:space="preserve">    </w:t>
      </w:r>
      <w:r w:rsidR="009D2B00" w:rsidRPr="00FD50F6">
        <w:rPr>
          <w:rFonts w:ascii="宋体" w:hAnsi="宋体" w:cs="Times New Roman"/>
          <w:szCs w:val="24"/>
        </w:rPr>
        <w:t xml:space="preserve">                </w:t>
      </w:r>
      <w:r w:rsidR="00B71F5C" w:rsidRPr="00FD50F6">
        <w:rPr>
          <w:rFonts w:ascii="宋体" w:hAnsi="宋体" w:cs="Times New Roman"/>
          <w:szCs w:val="24"/>
        </w:rPr>
        <w:t xml:space="preserve">      </w:t>
      </w:r>
      <w:r w:rsidR="009D2B00" w:rsidRPr="00FD50F6">
        <w:rPr>
          <w:rFonts w:ascii="宋体" w:hAnsi="宋体" w:cs="Times New Roman"/>
          <w:szCs w:val="24"/>
        </w:rPr>
        <w:t xml:space="preserve">  (30.2.</w:t>
      </w:r>
      <w:r w:rsidR="00850F0F" w:rsidRPr="00FD50F6">
        <w:rPr>
          <w:rFonts w:ascii="宋体" w:hAnsi="宋体" w:cs="Times New Roman" w:hint="eastAsia"/>
          <w:szCs w:val="24"/>
        </w:rPr>
        <w:t>9</w:t>
      </w:r>
      <w:r w:rsidR="009D2B00" w:rsidRPr="00FD50F6">
        <w:rPr>
          <w:rFonts w:ascii="宋体" w:hAnsi="宋体" w:cs="Times New Roman"/>
          <w:szCs w:val="24"/>
        </w:rPr>
        <w:t>-2)</w:t>
      </w:r>
    </w:p>
    <w:p w14:paraId="45A01666" w14:textId="71289E86" w:rsidR="009D2B00" w:rsidRPr="00FD50F6" w:rsidRDefault="00BF2787" w:rsidP="009D2B00">
      <w:pPr>
        <w:adjustRightInd w:val="0"/>
        <w:snapToGrid w:val="0"/>
        <w:ind w:left="360" w:firstLineChars="200" w:firstLine="480"/>
        <w:jc w:val="center"/>
        <w:rPr>
          <w:rFonts w:ascii="宋体" w:hAnsi="宋体" w:cs="Times New Roman"/>
          <w:szCs w:val="24"/>
        </w:rPr>
      </w:pPr>
      <m:oMath>
        <m:sSub>
          <m:sSubPr>
            <m:ctrlPr>
              <w:rPr>
                <w:rFonts w:ascii="Cambria Math" w:hAnsi="Cambria Math" w:cs="Times New Roman"/>
                <w:szCs w:val="24"/>
              </w:rPr>
            </m:ctrlPr>
          </m:sSubPr>
          <m:e>
            <m:r>
              <w:rPr>
                <w:rFonts w:ascii="Cambria Math" w:hAnsi="Cambria Math" w:cs="Times New Roman"/>
                <w:szCs w:val="24"/>
              </w:rPr>
              <m:t>t</m:t>
            </m:r>
            <m:ctrlPr>
              <w:rPr>
                <w:rFonts w:ascii="Cambria Math" w:hAnsi="Cambria Math" w:cs="Times New Roman"/>
                <w:i/>
                <w:szCs w:val="24"/>
              </w:rPr>
            </m:ctrlPr>
          </m:e>
          <m:sub>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1</m:t>
                </m:r>
              </m:sub>
            </m:sSub>
          </m:num>
          <m:den>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1</m:t>
                </m:r>
              </m:sub>
            </m:sSub>
          </m:den>
        </m:f>
        <m:r>
          <m:rPr>
            <m:sty m:val="p"/>
          </m:rPr>
          <w:rPr>
            <w:rFonts w:ascii="Cambria Math" w:hAnsi="Cambria Math" w:cs="Times New Roman"/>
            <w:szCs w:val="24"/>
          </w:rPr>
          <m:t>+</m:t>
        </m:r>
        <m:r>
          <w:rPr>
            <w:rFonts w:ascii="Cambria Math" w:hAnsi="Cambria Math" w:cs="Times New Roman"/>
            <w:szCs w:val="24"/>
          </w:rPr>
          <m:t>t</m:t>
        </m:r>
      </m:oMath>
      <w:r w:rsidR="009D2B00" w:rsidRPr="00FD50F6">
        <w:rPr>
          <w:rFonts w:ascii="宋体" w:hAnsi="宋体" w:cs="Times New Roman"/>
          <w:szCs w:val="24"/>
        </w:rPr>
        <w:tab/>
      </w:r>
      <w:r w:rsidR="00282D38" w:rsidRPr="00FD50F6">
        <w:rPr>
          <w:rFonts w:ascii="宋体" w:hAnsi="宋体" w:cs="Times New Roman"/>
          <w:szCs w:val="24"/>
        </w:rPr>
        <w:t xml:space="preserve">           </w:t>
      </w:r>
      <w:r w:rsidR="00B71F5C" w:rsidRPr="00FD50F6">
        <w:rPr>
          <w:rFonts w:ascii="宋体" w:hAnsi="宋体" w:cs="Times New Roman"/>
          <w:szCs w:val="24"/>
        </w:rPr>
        <w:t xml:space="preserve">            </w:t>
      </w:r>
      <w:r w:rsidR="00282D38" w:rsidRPr="00FD50F6">
        <w:rPr>
          <w:rFonts w:ascii="宋体" w:hAnsi="宋体" w:cs="Times New Roman"/>
          <w:szCs w:val="24"/>
        </w:rPr>
        <w:t xml:space="preserve">    </w:t>
      </w:r>
      <w:r w:rsidR="009D2B00" w:rsidRPr="00FD50F6">
        <w:rPr>
          <w:rFonts w:ascii="宋体" w:hAnsi="宋体" w:cs="Times New Roman"/>
          <w:szCs w:val="24"/>
        </w:rPr>
        <w:t>(30.</w:t>
      </w:r>
      <w:r w:rsidR="009D2B00" w:rsidRPr="00FD50F6">
        <w:rPr>
          <w:rFonts w:ascii="宋体" w:hAnsi="宋体" w:cs="Times New Roman" w:hint="eastAsia"/>
          <w:szCs w:val="24"/>
        </w:rPr>
        <w:t>2</w:t>
      </w:r>
      <w:r w:rsidR="009D2B00" w:rsidRPr="00FD50F6">
        <w:rPr>
          <w:rFonts w:ascii="宋体" w:hAnsi="宋体" w:cs="Times New Roman"/>
          <w:szCs w:val="24"/>
        </w:rPr>
        <w:t>.</w:t>
      </w:r>
      <w:r w:rsidR="00850F0F" w:rsidRPr="00FD50F6">
        <w:rPr>
          <w:rFonts w:ascii="宋体" w:hAnsi="宋体" w:cs="Times New Roman" w:hint="eastAsia"/>
          <w:szCs w:val="24"/>
        </w:rPr>
        <w:t>9</w:t>
      </w:r>
      <w:r w:rsidR="009D2B00" w:rsidRPr="00FD50F6">
        <w:rPr>
          <w:rFonts w:ascii="宋体" w:hAnsi="宋体" w:cs="Times New Roman"/>
          <w:szCs w:val="24"/>
        </w:rPr>
        <w:t>-</w:t>
      </w:r>
      <w:r w:rsidR="00282D38" w:rsidRPr="00FD50F6">
        <w:rPr>
          <w:rFonts w:ascii="宋体" w:hAnsi="宋体" w:cs="Times New Roman" w:hint="eastAsia"/>
          <w:szCs w:val="24"/>
        </w:rPr>
        <w:t>3</w:t>
      </w:r>
      <w:r w:rsidR="009D2B00" w:rsidRPr="00FD50F6">
        <w:rPr>
          <w:rFonts w:ascii="宋体" w:hAnsi="宋体" w:cs="Times New Roman"/>
          <w:szCs w:val="24"/>
        </w:rPr>
        <w:t>)</w:t>
      </w:r>
    </w:p>
    <w:p w14:paraId="29880DDD" w14:textId="30CF191A" w:rsidR="009D2B00" w:rsidRPr="00FD50F6" w:rsidRDefault="00BF2787" w:rsidP="009D2B00">
      <w:pPr>
        <w:adjustRightInd w:val="0"/>
        <w:snapToGrid w:val="0"/>
        <w:ind w:left="360" w:firstLineChars="200" w:firstLine="480"/>
        <w:jc w:val="center"/>
        <w:rPr>
          <w:rFonts w:ascii="宋体" w:hAnsi="宋体" w:cs="Times New Roman"/>
          <w:szCs w:val="24"/>
        </w:rPr>
      </w:pPr>
      <m:oMath>
        <m:sSub>
          <m:sSubPr>
            <m:ctrlPr>
              <w:rPr>
                <w:rFonts w:ascii="Cambria Math" w:hAnsi="Cambria Math" w:cs="Times New Roman"/>
                <w:szCs w:val="24"/>
              </w:rPr>
            </m:ctrlPr>
          </m:sSubPr>
          <m:e>
            <m:r>
              <w:rPr>
                <w:rFonts w:ascii="Cambria Math" w:hAnsi="Cambria Math" w:cs="Times New Roman"/>
                <w:szCs w:val="24"/>
              </w:rPr>
              <m:t>t</m:t>
            </m:r>
            <m:ctrlPr>
              <w:rPr>
                <w:rFonts w:ascii="Cambria Math" w:hAnsi="Cambria Math" w:cs="Times New Roman"/>
                <w:i/>
                <w:szCs w:val="24"/>
              </w:rPr>
            </m:ctrlPr>
          </m:e>
          <m:sub>
            <m:r>
              <m:rPr>
                <m:sty m:val="p"/>
              </m:rPr>
              <w:rPr>
                <w:rFonts w:ascii="Cambria Math" w:hAnsi="Cambria Math" w:cs="Times New Roman"/>
                <w:szCs w:val="24"/>
              </w:rPr>
              <m:t>2</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2</m:t>
                </m:r>
              </m:sub>
            </m:sSub>
          </m:num>
          <m:den>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2</m:t>
                </m:r>
              </m:sub>
            </m:sSub>
          </m:den>
        </m:f>
        <m:r>
          <m:rPr>
            <m:sty m:val="p"/>
          </m:rPr>
          <w:rPr>
            <w:rFonts w:ascii="Cambria Math" w:hAnsi="Cambria Math" w:cs="Times New Roman"/>
            <w:szCs w:val="24"/>
          </w:rPr>
          <m:t>+</m:t>
        </m:r>
        <m:r>
          <w:rPr>
            <w:rFonts w:ascii="Cambria Math" w:hAnsi="Cambria Math" w:cs="Times New Roman"/>
            <w:szCs w:val="24"/>
          </w:rPr>
          <m:t>t</m:t>
        </m:r>
      </m:oMath>
      <w:r w:rsidR="009D2B00" w:rsidRPr="00FD50F6">
        <w:rPr>
          <w:rFonts w:ascii="宋体" w:hAnsi="宋体" w:cs="Times New Roman"/>
          <w:szCs w:val="24"/>
        </w:rPr>
        <w:tab/>
      </w:r>
      <w:r w:rsidR="00282D38" w:rsidRPr="00FD50F6">
        <w:rPr>
          <w:rFonts w:ascii="宋体" w:hAnsi="宋体" w:cs="Times New Roman"/>
          <w:szCs w:val="24"/>
        </w:rPr>
        <w:t xml:space="preserve">          </w:t>
      </w:r>
      <w:r w:rsidR="00B71F5C" w:rsidRPr="00FD50F6">
        <w:rPr>
          <w:rFonts w:ascii="宋体" w:hAnsi="宋体" w:cs="Times New Roman"/>
          <w:szCs w:val="24"/>
        </w:rPr>
        <w:t xml:space="preserve">            </w:t>
      </w:r>
      <w:r w:rsidR="00282D38" w:rsidRPr="00FD50F6">
        <w:rPr>
          <w:rFonts w:ascii="宋体" w:hAnsi="宋体" w:cs="Times New Roman"/>
          <w:szCs w:val="24"/>
        </w:rPr>
        <w:t xml:space="preserve">     </w:t>
      </w:r>
      <w:r w:rsidR="009D2B00" w:rsidRPr="00FD50F6">
        <w:rPr>
          <w:rFonts w:ascii="宋体" w:hAnsi="宋体" w:cs="Times New Roman"/>
          <w:szCs w:val="24"/>
        </w:rPr>
        <w:t>(30.</w:t>
      </w:r>
      <w:r w:rsidR="009D2B00" w:rsidRPr="00FD50F6">
        <w:rPr>
          <w:rFonts w:ascii="宋体" w:hAnsi="宋体" w:cs="Times New Roman" w:hint="eastAsia"/>
          <w:szCs w:val="24"/>
        </w:rPr>
        <w:t>2</w:t>
      </w:r>
      <w:r w:rsidR="009D2B00" w:rsidRPr="00FD50F6">
        <w:rPr>
          <w:rFonts w:ascii="宋体" w:hAnsi="宋体" w:cs="Times New Roman"/>
          <w:szCs w:val="24"/>
        </w:rPr>
        <w:t>.</w:t>
      </w:r>
      <w:r w:rsidR="00850F0F" w:rsidRPr="00FD50F6">
        <w:rPr>
          <w:rFonts w:ascii="宋体" w:hAnsi="宋体" w:cs="Times New Roman" w:hint="eastAsia"/>
          <w:szCs w:val="24"/>
        </w:rPr>
        <w:t>9</w:t>
      </w:r>
      <w:r w:rsidR="009D2B00" w:rsidRPr="00FD50F6">
        <w:rPr>
          <w:rFonts w:ascii="宋体" w:hAnsi="宋体" w:cs="Times New Roman"/>
          <w:szCs w:val="24"/>
        </w:rPr>
        <w:t>-</w:t>
      </w:r>
      <w:r w:rsidR="00282D38" w:rsidRPr="00FD50F6">
        <w:rPr>
          <w:rFonts w:ascii="宋体" w:hAnsi="宋体" w:cs="Times New Roman" w:hint="eastAsia"/>
          <w:szCs w:val="24"/>
        </w:rPr>
        <w:t>4</w:t>
      </w:r>
      <w:r w:rsidR="009D2B00" w:rsidRPr="00FD50F6">
        <w:rPr>
          <w:rFonts w:ascii="宋体" w:hAnsi="宋体" w:cs="Times New Roman"/>
          <w:szCs w:val="24"/>
        </w:rPr>
        <w:t>)</w:t>
      </w:r>
    </w:p>
    <w:p w14:paraId="6388A3B6" w14:textId="060D0975" w:rsidR="009D2B00" w:rsidRPr="00FD50F6" w:rsidRDefault="009D2B00" w:rsidP="009D2B00">
      <w:pPr>
        <w:adjustRightInd w:val="0"/>
        <w:snapToGrid w:val="0"/>
        <w:ind w:firstLineChars="200" w:firstLine="480"/>
        <w:rPr>
          <w:rFonts w:ascii="宋体" w:hAnsi="宋体" w:cs="Times New Roman"/>
          <w:szCs w:val="24"/>
        </w:rPr>
      </w:pPr>
      <w:r w:rsidRPr="00FD50F6">
        <w:rPr>
          <w:rFonts w:ascii="宋体" w:hAnsi="宋体" w:cs="Times New Roman" w:hint="eastAsia"/>
          <w:szCs w:val="24"/>
        </w:rPr>
        <w:t>应取</w:t>
      </w:r>
      <w:r w:rsidR="003400DC" w:rsidRPr="00FD50F6">
        <w:rPr>
          <w:rFonts w:ascii="宋体" w:hAnsi="宋体" w:cs="Times New Roman"/>
          <w:i/>
          <w:iCs/>
          <w:szCs w:val="24"/>
        </w:rPr>
        <w:t>t</w:t>
      </w:r>
      <w:r w:rsidRPr="00FD50F6">
        <w:rPr>
          <w:rFonts w:ascii="宋体" w:hAnsi="宋体" w:cs="Times New Roman"/>
          <w:i/>
          <w:iCs/>
          <w:szCs w:val="24"/>
          <w:vertAlign w:val="subscript"/>
        </w:rPr>
        <w:t>1</w:t>
      </w:r>
      <w:r w:rsidRPr="00FD50F6">
        <w:rPr>
          <w:rFonts w:ascii="宋体" w:hAnsi="宋体" w:cs="Times New Roman" w:hint="eastAsia"/>
          <w:i/>
          <w:iCs/>
          <w:szCs w:val="24"/>
        </w:rPr>
        <w:t>、</w:t>
      </w:r>
      <w:r w:rsidR="003400DC" w:rsidRPr="00FD50F6">
        <w:rPr>
          <w:rFonts w:ascii="宋体" w:hAnsi="宋体" w:cs="Times New Roman" w:hint="eastAsia"/>
          <w:i/>
          <w:iCs/>
          <w:szCs w:val="24"/>
        </w:rPr>
        <w:t>t</w:t>
      </w:r>
      <w:r w:rsidRPr="00FD50F6">
        <w:rPr>
          <w:rFonts w:ascii="宋体" w:hAnsi="宋体" w:cs="Times New Roman"/>
          <w:i/>
          <w:iCs/>
          <w:szCs w:val="24"/>
          <w:vertAlign w:val="subscript"/>
        </w:rPr>
        <w:t>2</w:t>
      </w:r>
      <w:r w:rsidRPr="00FD50F6">
        <w:rPr>
          <w:rFonts w:ascii="宋体" w:hAnsi="宋体" w:cs="Times New Roman" w:hint="eastAsia"/>
          <w:szCs w:val="24"/>
        </w:rPr>
        <w:t>较大值。</w:t>
      </w:r>
    </w:p>
    <w:p w14:paraId="0CC47AA7" w14:textId="628E5BDC" w:rsidR="00282D38" w:rsidRPr="00FD50F6" w:rsidRDefault="00BF2787" w:rsidP="00282D38">
      <w:pPr>
        <w:adjustRightInd w:val="0"/>
        <w:snapToGrid w:val="0"/>
        <w:ind w:firstLineChars="200" w:firstLine="480"/>
        <w:jc w:val="center"/>
        <w:rPr>
          <w:rFonts w:ascii="宋体" w:hAnsi="宋体" w:cs="Times New Roman"/>
          <w:szCs w:val="24"/>
        </w:rPr>
      </w:pPr>
      <m:oMath>
        <m:sSub>
          <m:sSubPr>
            <m:ctrlPr>
              <w:rPr>
                <w:rFonts w:ascii="Cambria Math" w:hAnsi="Cambria Math" w:cs="Times New Roman"/>
                <w:szCs w:val="24"/>
              </w:rPr>
            </m:ctrlPr>
          </m:sSubPr>
          <m:e>
            <m:r>
              <w:rPr>
                <w:rFonts w:ascii="Cambria Math" w:hAnsi="Cambria Math" w:cs="Times New Roman"/>
                <w:szCs w:val="24"/>
              </w:rPr>
              <m:t>T</m:t>
            </m:r>
            <m:ctrlPr>
              <w:rPr>
                <w:rFonts w:ascii="Cambria Math" w:hAnsi="Cambria Math" w:cs="Times New Roman"/>
                <w:i/>
                <w:szCs w:val="24"/>
              </w:rPr>
            </m:ctrlPr>
          </m:e>
          <m:sub>
            <m:r>
              <m:rPr>
                <m:sty m:val="p"/>
              </m:rPr>
              <w:rPr>
                <w:rFonts w:ascii="Cambria Math" w:hAnsi="Cambria Math" w:cs="Times New Roman"/>
                <w:szCs w:val="24"/>
              </w:rPr>
              <m:t>2</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L</m:t>
            </m:r>
            <m:r>
              <m:rPr>
                <m:sty m:val="p"/>
              </m:rPr>
              <w:rPr>
                <w:rFonts w:ascii="Cambria Math" w:hAnsi="Cambria Math" w:cs="Times New Roman"/>
                <w:szCs w:val="24"/>
              </w:rPr>
              <m:t>2</m:t>
            </m:r>
          </m:num>
          <m:den>
            <m:r>
              <m:rPr>
                <m:sty m:val="p"/>
              </m:rPr>
              <w:rPr>
                <w:rFonts w:ascii="Cambria Math" w:hAnsi="Cambria Math" w:cs="Times New Roman"/>
                <w:sz w:val="28"/>
                <w:szCs w:val="28"/>
              </w:rPr>
              <m:t>v</m:t>
            </m:r>
          </m:den>
        </m:f>
      </m:oMath>
      <w:r w:rsidR="00282D38" w:rsidRPr="00FD50F6">
        <w:rPr>
          <w:rFonts w:ascii="宋体" w:hAnsi="宋体" w:cs="Times New Roman"/>
          <w:szCs w:val="24"/>
        </w:rPr>
        <w:t xml:space="preserve">                         </w:t>
      </w:r>
      <w:r w:rsidR="00B71F5C" w:rsidRPr="00FD50F6">
        <w:rPr>
          <w:rFonts w:ascii="宋体" w:hAnsi="宋体" w:cs="Times New Roman"/>
          <w:szCs w:val="24"/>
        </w:rPr>
        <w:t xml:space="preserve">     </w:t>
      </w:r>
      <w:r w:rsidR="00282D38" w:rsidRPr="00FD50F6">
        <w:rPr>
          <w:rFonts w:ascii="宋体" w:hAnsi="宋体" w:cs="Times New Roman"/>
          <w:szCs w:val="24"/>
        </w:rPr>
        <w:t xml:space="preserve">      (30.2.</w:t>
      </w:r>
      <w:r w:rsidR="00850F0F" w:rsidRPr="00FD50F6">
        <w:rPr>
          <w:rFonts w:ascii="宋体" w:hAnsi="宋体" w:cs="Times New Roman" w:hint="eastAsia"/>
          <w:szCs w:val="24"/>
        </w:rPr>
        <w:t>9</w:t>
      </w:r>
      <w:r w:rsidR="00282D38" w:rsidRPr="00FD50F6">
        <w:rPr>
          <w:rFonts w:ascii="宋体" w:hAnsi="宋体" w:cs="Times New Roman"/>
          <w:szCs w:val="24"/>
        </w:rPr>
        <w:t>-</w:t>
      </w:r>
      <w:r w:rsidR="00E82D55" w:rsidRPr="00FD50F6">
        <w:rPr>
          <w:rFonts w:ascii="宋体" w:hAnsi="宋体" w:cs="Times New Roman" w:hint="eastAsia"/>
          <w:szCs w:val="24"/>
        </w:rPr>
        <w:t>5</w:t>
      </w:r>
      <w:r w:rsidR="00282D38" w:rsidRPr="00FD50F6">
        <w:rPr>
          <w:rFonts w:ascii="宋体" w:hAnsi="宋体" w:cs="Times New Roman"/>
          <w:szCs w:val="24"/>
        </w:rPr>
        <w:t>)</w:t>
      </w:r>
    </w:p>
    <w:p w14:paraId="6D07B15A" w14:textId="6428DEED" w:rsidR="009D2B00" w:rsidRPr="00FD50F6" w:rsidRDefault="009D2B00" w:rsidP="009D2B00">
      <w:pPr>
        <w:ind w:firstLineChars="200" w:firstLine="480"/>
        <w:rPr>
          <w:rFonts w:ascii="宋体" w:hAnsi="宋体" w:cs="Times New Roman"/>
          <w:szCs w:val="24"/>
        </w:rPr>
      </w:pPr>
      <w:r w:rsidRPr="00FD50F6">
        <w:rPr>
          <w:rFonts w:ascii="宋体" w:hAnsi="宋体" w:cs="Times New Roman" w:hint="eastAsia"/>
          <w:szCs w:val="24"/>
        </w:rPr>
        <w:t>当</w:t>
      </w:r>
      <w:r w:rsidR="00B71F5C" w:rsidRPr="00FD50F6">
        <w:rPr>
          <w:rFonts w:ascii="宋体" w:hAnsi="宋体"/>
          <w:szCs w:val="24"/>
        </w:rPr>
        <w:t xml:space="preserve">  </w:t>
      </w:r>
      <m:oMath>
        <m:r>
          <w:rPr>
            <w:rFonts w:ascii="Cambria Math" w:hAnsi="Cambria Math"/>
            <w:szCs w:val="24"/>
          </w:rPr>
          <m:t xml:space="preserve"> T </m:t>
        </m:r>
        <m:r>
          <m:rPr>
            <m:sty m:val="p"/>
          </m:rPr>
          <w:rPr>
            <w:rFonts w:ascii="Cambria Math" w:hAnsi="Cambria Math" w:hint="eastAsia"/>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2</m:t>
            </m:r>
          </m:sub>
        </m:sSub>
      </m:oMath>
      <w:r w:rsidR="00B71F5C" w:rsidRPr="00FD50F6">
        <w:rPr>
          <w:rFonts w:ascii="宋体" w:hAnsi="宋体"/>
          <w:i/>
          <w:sz w:val="28"/>
          <w:szCs w:val="28"/>
        </w:rPr>
        <w:t xml:space="preserve"> </w:t>
      </w:r>
      <w:r w:rsidR="00B71F5C" w:rsidRPr="00FD50F6">
        <w:rPr>
          <w:rFonts w:ascii="宋体" w:hAnsi="宋体" w:hint="eastAsia"/>
          <w:szCs w:val="24"/>
        </w:rPr>
        <w:t>时，</w:t>
      </w:r>
      <w:r w:rsidR="00282D38" w:rsidRPr="00FD50F6">
        <w:rPr>
          <w:rFonts w:ascii="宋体" w:hAnsi="宋体" w:cs="Times New Roman" w:hint="eastAsia"/>
          <w:szCs w:val="24"/>
        </w:rPr>
        <w:t>则</w:t>
      </w:r>
    </w:p>
    <w:p w14:paraId="02F54E9E" w14:textId="57459953" w:rsidR="009F4DE0" w:rsidRPr="00FD50F6" w:rsidRDefault="00BF2787" w:rsidP="009D2B00">
      <w:pPr>
        <w:adjustRightInd w:val="0"/>
        <w:snapToGrid w:val="0"/>
        <w:ind w:left="360" w:firstLineChars="200" w:firstLine="480"/>
        <w:jc w:val="center"/>
        <w:rPr>
          <w:rFonts w:ascii="宋体" w:hAnsi="宋体" w:cs="Times New Roman"/>
          <w:szCs w:val="24"/>
        </w:rPr>
      </w:pP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z</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1</m:t>
            </m:r>
          </m:sub>
        </m:sSub>
        <m:r>
          <m:rPr>
            <m:sty m:val="p"/>
          </m:rPr>
          <w:rPr>
            <w:rFonts w:ascii="Cambria Math" w:hAnsi="Cambria Math" w:hint="eastAsia"/>
            <w:szCs w:val="24"/>
          </w:rPr>
          <m:t>≤</m:t>
        </m:r>
        <m:r>
          <m:rPr>
            <m:sty m:val="p"/>
          </m:rPr>
          <w:rPr>
            <w:rFonts w:ascii="Cambria Math" w:hAnsi="Cambria Math" w:hint="eastAsia"/>
            <w:szCs w:val="24"/>
          </w:rPr>
          <m:t>6</m:t>
        </m:r>
        <m:r>
          <w:rPr>
            <w:rFonts w:ascii="Cambria Math" w:hAnsi="Cambria Math"/>
            <w:szCs w:val="24"/>
          </w:rPr>
          <m:t>min</m:t>
        </m:r>
      </m:oMath>
      <w:r w:rsidR="00B71F5C" w:rsidRPr="00FD50F6">
        <w:rPr>
          <w:rFonts w:ascii="宋体" w:hAnsi="宋体"/>
          <w:szCs w:val="24"/>
        </w:rPr>
        <w:t xml:space="preserve"> 或 </w:t>
      </w: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z</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2</m:t>
            </m:r>
          </m:sub>
        </m:sSub>
        <m:r>
          <m:rPr>
            <m:sty m:val="p"/>
          </m:rPr>
          <w:rPr>
            <w:rFonts w:ascii="Cambria Math" w:hAnsi="Cambria Math" w:hint="eastAsia"/>
            <w:szCs w:val="24"/>
          </w:rPr>
          <m:t>≤</m:t>
        </m:r>
        <m:r>
          <m:rPr>
            <m:sty m:val="p"/>
          </m:rPr>
          <w:rPr>
            <w:rFonts w:ascii="Cambria Math" w:hAnsi="Cambria Math" w:hint="eastAsia"/>
            <w:szCs w:val="24"/>
          </w:rPr>
          <m:t>6</m:t>
        </m:r>
        <m:r>
          <w:rPr>
            <w:rFonts w:ascii="Cambria Math" w:hAnsi="Cambria Math"/>
            <w:szCs w:val="24"/>
          </w:rPr>
          <m:t>min</m:t>
        </m:r>
      </m:oMath>
      <w:r w:rsidR="00B71F5C" w:rsidRPr="00FD50F6">
        <w:rPr>
          <w:rFonts w:ascii="宋体" w:hAnsi="宋体"/>
          <w:szCs w:val="24"/>
        </w:rPr>
        <w:t xml:space="preserve">  </w:t>
      </w:r>
      <w:r w:rsidR="009D2B00" w:rsidRPr="00FD50F6">
        <w:rPr>
          <w:rFonts w:ascii="宋体" w:hAnsi="宋体" w:cs="Times New Roman"/>
          <w:szCs w:val="24"/>
        </w:rPr>
        <w:t xml:space="preserve"> (30.2.</w:t>
      </w:r>
      <w:r w:rsidR="00850F0F" w:rsidRPr="00FD50F6">
        <w:rPr>
          <w:rFonts w:ascii="宋体" w:hAnsi="宋体" w:cs="Times New Roman" w:hint="eastAsia"/>
          <w:szCs w:val="24"/>
        </w:rPr>
        <w:t>9</w:t>
      </w:r>
      <w:r w:rsidR="009D2B00" w:rsidRPr="00FD50F6">
        <w:rPr>
          <w:rFonts w:ascii="宋体" w:hAnsi="宋体" w:cs="Times New Roman"/>
          <w:szCs w:val="24"/>
        </w:rPr>
        <w:t>-</w:t>
      </w:r>
      <w:r w:rsidR="00E82D55" w:rsidRPr="00FD50F6">
        <w:rPr>
          <w:rFonts w:ascii="宋体" w:hAnsi="宋体" w:cs="Times New Roman" w:hint="eastAsia"/>
          <w:szCs w:val="24"/>
        </w:rPr>
        <w:t>6</w:t>
      </w:r>
      <w:r w:rsidR="009D2B00" w:rsidRPr="00FD50F6">
        <w:rPr>
          <w:rFonts w:ascii="宋体" w:hAnsi="宋体" w:cs="Times New Roman"/>
          <w:szCs w:val="24"/>
        </w:rPr>
        <w:t>)</w:t>
      </w:r>
    </w:p>
    <w:bookmarkEnd w:id="1285"/>
    <w:bookmarkEnd w:id="1286"/>
    <w:p w14:paraId="76DECA99" w14:textId="2EB51362" w:rsidR="00E82D55" w:rsidRPr="00FD50F6" w:rsidRDefault="00264219">
      <w:r w:rsidRPr="00FD50F6">
        <w:rPr>
          <w:rFonts w:hint="eastAsia"/>
        </w:rPr>
        <w:t>式中：</w:t>
      </w:r>
      <w:r w:rsidR="00E82D55" w:rsidRPr="00FD50F6">
        <w:rPr>
          <w:i/>
          <w:iCs/>
        </w:rPr>
        <w:t>T</w:t>
      </w:r>
      <w:r w:rsidR="00E82D55" w:rsidRPr="004906BB">
        <w:rPr>
          <w:b/>
          <w:bCs/>
          <w:sz w:val="28"/>
          <w:szCs w:val="22"/>
          <w:vertAlign w:val="subscript"/>
        </w:rPr>
        <w:t>z</w:t>
      </w:r>
      <w:r w:rsidR="00E82D55" w:rsidRPr="00FD50F6">
        <w:t>——</w:t>
      </w:r>
      <w:r w:rsidR="00E82D55" w:rsidRPr="00FD50F6">
        <w:t>最后一名</w:t>
      </w:r>
      <w:r w:rsidR="00E82D55" w:rsidRPr="00FD50F6">
        <w:rPr>
          <w:rFonts w:ascii="宋体" w:hAnsi="宋体" w:cs="Times New Roman"/>
          <w:szCs w:val="24"/>
        </w:rPr>
        <w:t>乘客</w:t>
      </w:r>
      <w:r w:rsidR="00E82D55" w:rsidRPr="00FD50F6">
        <w:t>从站台</w:t>
      </w:r>
      <w:r w:rsidR="0071682D" w:rsidRPr="001A4CF3">
        <w:rPr>
          <w:rFonts w:hint="eastAsia"/>
        </w:rPr>
        <w:t>公共区</w:t>
      </w:r>
      <w:r w:rsidR="00E82D55" w:rsidRPr="00FD50F6">
        <w:t>疏散</w:t>
      </w:r>
      <w:r w:rsidR="0071682D" w:rsidRPr="00FD50F6">
        <w:rPr>
          <w:rFonts w:hint="eastAsia"/>
        </w:rPr>
        <w:t>至</w:t>
      </w:r>
      <w:r w:rsidR="00E82D55" w:rsidRPr="00FD50F6">
        <w:t>站厅公共区或其他安全区域的时间</w:t>
      </w:r>
      <w:r w:rsidR="00E82D55" w:rsidRPr="00FD50F6">
        <w:rPr>
          <w:rFonts w:hint="eastAsia"/>
        </w:rPr>
        <w:t>（</w:t>
      </w:r>
      <w:r w:rsidR="00E82D55" w:rsidRPr="00FD50F6">
        <w:t>min</w:t>
      </w:r>
      <w:r w:rsidR="00E82D55" w:rsidRPr="00FD50F6">
        <w:rPr>
          <w:rFonts w:hint="eastAsia"/>
        </w:rPr>
        <w:t>）；</w:t>
      </w:r>
    </w:p>
    <w:p w14:paraId="5D380726" w14:textId="73B55DB5" w:rsidR="00112E60" w:rsidRPr="00FD50F6" w:rsidRDefault="00112E60" w:rsidP="004906BB">
      <w:pPr>
        <w:ind w:firstLineChars="250" w:firstLine="600"/>
        <w:rPr>
          <w:rFonts w:ascii="宋体" w:hAnsi="宋体" w:cs="Times New Roman"/>
          <w:szCs w:val="24"/>
        </w:rPr>
      </w:pPr>
      <w:bookmarkStart w:id="1288" w:name="_Hlk94284864"/>
      <w:r w:rsidRPr="00FD50F6">
        <w:rPr>
          <w:rFonts w:ascii="宋体" w:hAnsi="宋体" w:cs="Times New Roman"/>
          <w:i/>
          <w:iCs/>
          <w:szCs w:val="24"/>
        </w:rPr>
        <w:t>T</w:t>
      </w:r>
      <w:r w:rsidRPr="004906BB">
        <w:rPr>
          <w:rFonts w:ascii="宋体" w:hAnsi="宋体" w:cs="Times New Roman"/>
          <w:szCs w:val="24"/>
          <w:vertAlign w:val="subscript"/>
        </w:rPr>
        <w:t>1</w:t>
      </w:r>
      <w:bookmarkEnd w:id="1288"/>
      <w:r w:rsidRPr="00FD50F6">
        <w:rPr>
          <w:rFonts w:ascii="宋体" w:hAnsi="宋体" w:cs="Times New Roman"/>
          <w:szCs w:val="24"/>
        </w:rPr>
        <w:t>——</w:t>
      </w:r>
      <w:bookmarkStart w:id="1289" w:name="_Hlk94284079"/>
      <w:r w:rsidRPr="00FD50F6">
        <w:rPr>
          <w:rFonts w:ascii="宋体" w:hAnsi="宋体" w:cs="Times New Roman" w:hint="eastAsia"/>
          <w:szCs w:val="24"/>
        </w:rPr>
        <w:t>离站台上用于</w:t>
      </w:r>
      <w:r>
        <w:rPr>
          <w:rFonts w:ascii="宋体" w:hAnsi="宋体" w:cs="Times New Roman" w:hint="eastAsia"/>
          <w:szCs w:val="24"/>
        </w:rPr>
        <w:t>紧急</w:t>
      </w:r>
      <w:r w:rsidRPr="00FD50F6">
        <w:rPr>
          <w:rFonts w:ascii="宋体" w:hAnsi="宋体" w:cs="Times New Roman" w:hint="eastAsia"/>
          <w:szCs w:val="24"/>
        </w:rPr>
        <w:t>疏散的站台楼梯口、自动扶梯水平梯级口、通道口或其他安全出口最近的列车车门口中心位置的第一名乘客走到该处所需的时间(min)</w:t>
      </w:r>
      <w:bookmarkEnd w:id="1289"/>
      <w:r w:rsidRPr="00FD50F6">
        <w:rPr>
          <w:rFonts w:ascii="宋体" w:hAnsi="宋体" w:cs="Times New Roman" w:hint="eastAsia"/>
          <w:szCs w:val="24"/>
        </w:rPr>
        <w:t>；</w:t>
      </w:r>
    </w:p>
    <w:p w14:paraId="49771F8F" w14:textId="0FD8D10F" w:rsidR="00112E60" w:rsidRPr="00FD50F6" w:rsidRDefault="00112E60" w:rsidP="004906BB">
      <w:pPr>
        <w:ind w:firstLineChars="200" w:firstLine="480"/>
        <w:rPr>
          <w:rFonts w:ascii="宋体" w:hAnsi="宋体" w:cs="Times New Roman"/>
          <w:szCs w:val="24"/>
        </w:rPr>
      </w:pPr>
      <w:r w:rsidRPr="00FD50F6">
        <w:rPr>
          <w:rFonts w:ascii="Calibri Light" w:hAnsi="Calibri Light" w:cs="Calibri Light" w:hint="eastAsia"/>
          <w:i/>
          <w:iCs/>
          <w:szCs w:val="24"/>
        </w:rPr>
        <w:t>L</w:t>
      </w:r>
      <w:r w:rsidRPr="004906BB">
        <w:rPr>
          <w:rFonts w:ascii="宋体" w:hAnsi="宋体" w:cs="Times New Roman"/>
          <w:szCs w:val="24"/>
          <w:vertAlign w:val="subscript"/>
        </w:rPr>
        <w:t>1</w:t>
      </w:r>
      <w:r w:rsidRPr="00FD50F6">
        <w:rPr>
          <w:rFonts w:ascii="宋体" w:hAnsi="宋体" w:cs="Times New Roman"/>
          <w:szCs w:val="24"/>
        </w:rPr>
        <w:t>——</w:t>
      </w:r>
      <w:r w:rsidRPr="00FD50F6">
        <w:rPr>
          <w:rFonts w:ascii="宋体" w:hAnsi="宋体" w:cs="Times New Roman" w:hint="eastAsia"/>
          <w:szCs w:val="24"/>
        </w:rPr>
        <w:t>离站台上用于</w:t>
      </w:r>
      <w:r>
        <w:rPr>
          <w:rFonts w:ascii="宋体" w:hAnsi="宋体" w:cs="Times New Roman" w:hint="eastAsia"/>
          <w:szCs w:val="24"/>
        </w:rPr>
        <w:t>紧急</w:t>
      </w:r>
      <w:r w:rsidRPr="00FD50F6">
        <w:rPr>
          <w:rFonts w:ascii="宋体" w:hAnsi="宋体" w:cs="Times New Roman" w:hint="eastAsia"/>
          <w:szCs w:val="24"/>
        </w:rPr>
        <w:t>疏散的站台楼梯口、自动扶梯水平梯级口、通道口或其他安全出口最近的列车车门口中心位置到该疏散口处的直线距离（m）；</w:t>
      </w:r>
    </w:p>
    <w:p w14:paraId="7A029A38" w14:textId="0BD8D9EF" w:rsidR="00112E60" w:rsidRPr="00FD50F6" w:rsidRDefault="00112E60" w:rsidP="004906BB">
      <w:pPr>
        <w:ind w:firstLineChars="200" w:firstLine="480"/>
        <w:rPr>
          <w:rFonts w:ascii="宋体" w:hAnsi="宋体" w:cs="Times New Roman"/>
          <w:szCs w:val="24"/>
        </w:rPr>
      </w:pPr>
      <w:r w:rsidRPr="00FD50F6">
        <w:rPr>
          <w:rFonts w:ascii="宋体" w:hAnsi="宋体" w:cs="Times New Roman" w:hint="eastAsia"/>
          <w:i/>
          <w:iCs/>
          <w:szCs w:val="24"/>
        </w:rPr>
        <w:t>v</w:t>
      </w:r>
      <w:r w:rsidRPr="00FD50F6">
        <w:rPr>
          <w:rFonts w:ascii="宋体" w:hAnsi="宋体" w:cs="Times New Roman"/>
          <w:szCs w:val="24"/>
        </w:rPr>
        <w:t>——</w:t>
      </w:r>
      <w:r w:rsidRPr="00FD50F6">
        <w:rPr>
          <w:rFonts w:ascii="宋体" w:hAnsi="宋体" w:cs="Times New Roman" w:hint="eastAsia"/>
          <w:szCs w:val="24"/>
        </w:rPr>
        <w:t>站台乘客平均步行速度（m</w:t>
      </w:r>
      <w:r w:rsidRPr="00FD50F6">
        <w:rPr>
          <w:rFonts w:ascii="宋体" w:hAnsi="宋体" w:cs="Times New Roman"/>
          <w:szCs w:val="24"/>
        </w:rPr>
        <w:t>/min</w:t>
      </w:r>
      <w:r w:rsidRPr="00FD50F6">
        <w:rPr>
          <w:rFonts w:ascii="宋体" w:hAnsi="宋体" w:cs="Times New Roman" w:hint="eastAsia"/>
          <w:szCs w:val="24"/>
        </w:rPr>
        <w:t>），按</w:t>
      </w:r>
      <w:r w:rsidRPr="00FD50F6">
        <w:rPr>
          <w:rFonts w:ascii="宋体" w:hAnsi="宋体" w:cs="Times New Roman"/>
          <w:szCs w:val="24"/>
        </w:rPr>
        <w:t>60m/min</w:t>
      </w:r>
      <w:r w:rsidRPr="00FD50F6">
        <w:rPr>
          <w:rFonts w:ascii="宋体" w:hAnsi="宋体" w:cs="Times New Roman" w:hint="eastAsia"/>
          <w:szCs w:val="24"/>
        </w:rPr>
        <w:t>计算；</w:t>
      </w:r>
    </w:p>
    <w:p w14:paraId="3390BB72" w14:textId="192D631E" w:rsidR="00264219" w:rsidRPr="00FD50F6" w:rsidRDefault="00112E60" w:rsidP="004906BB">
      <w:pPr>
        <w:ind w:firstLineChars="200" w:firstLine="480"/>
        <w:rPr>
          <w:rFonts w:ascii="宋体" w:hAnsi="宋体" w:cs="Times New Roman"/>
          <w:szCs w:val="24"/>
        </w:rPr>
      </w:pPr>
      <w:bookmarkStart w:id="1290" w:name="_Hlk94369671"/>
      <w:r w:rsidRPr="00FD50F6">
        <w:rPr>
          <w:i/>
          <w:iCs/>
        </w:rPr>
        <w:t>t</w:t>
      </w:r>
      <w:r w:rsidRPr="004906BB">
        <w:rPr>
          <w:vertAlign w:val="subscript"/>
        </w:rPr>
        <w:t>1</w:t>
      </w:r>
      <w:bookmarkEnd w:id="1290"/>
      <w:r w:rsidRPr="001A4CF3">
        <w:rPr>
          <w:rFonts w:ascii="宋体" w:hAnsi="宋体" w:cs="Times New Roman"/>
          <w:szCs w:val="24"/>
        </w:rPr>
        <w:t>——</w:t>
      </w:r>
      <w:r w:rsidRPr="001A4CF3">
        <w:t>最后一名</w:t>
      </w:r>
      <w:r w:rsidRPr="001A4CF3">
        <w:rPr>
          <w:rFonts w:ascii="宋体" w:hAnsi="宋体" w:cs="Times New Roman"/>
          <w:szCs w:val="24"/>
        </w:rPr>
        <w:t>乘客</w:t>
      </w:r>
      <w:bookmarkStart w:id="1291" w:name="_Hlk94369636"/>
      <w:r w:rsidRPr="001A4CF3">
        <w:t>从站台</w:t>
      </w:r>
      <w:r w:rsidRPr="00FD50F6">
        <w:rPr>
          <w:rFonts w:hint="eastAsia"/>
        </w:rPr>
        <w:t>参与</w:t>
      </w:r>
      <w:r>
        <w:rPr>
          <w:rFonts w:hint="eastAsia"/>
        </w:rPr>
        <w:t>紧急</w:t>
      </w:r>
      <w:r w:rsidRPr="00FD50F6">
        <w:rPr>
          <w:rFonts w:hint="eastAsia"/>
        </w:rPr>
        <w:t>疏散的</w:t>
      </w:r>
      <w:r w:rsidRPr="001A4CF3">
        <w:rPr>
          <w:rFonts w:hint="eastAsia"/>
        </w:rPr>
        <w:t>自动扶</w:t>
      </w:r>
      <w:r w:rsidRPr="00FD50F6">
        <w:rPr>
          <w:rFonts w:hint="eastAsia"/>
        </w:rPr>
        <w:t>水平梯级</w:t>
      </w:r>
      <w:r w:rsidRPr="001A4CF3">
        <w:t>口疏散</w:t>
      </w:r>
      <w:r w:rsidRPr="001A4CF3">
        <w:rPr>
          <w:rFonts w:hint="eastAsia"/>
        </w:rPr>
        <w:t>至</w:t>
      </w:r>
      <w:r w:rsidRPr="001A4CF3">
        <w:t>站厅公共区或其他安全区域的时间</w:t>
      </w:r>
      <w:r w:rsidRPr="001A4CF3">
        <w:rPr>
          <w:rFonts w:ascii="宋体" w:hAnsi="宋体" w:cs="Times New Roman" w:hint="eastAsia"/>
          <w:szCs w:val="24"/>
        </w:rPr>
        <w:t>（</w:t>
      </w:r>
      <w:r w:rsidRPr="001A4CF3">
        <w:rPr>
          <w:rFonts w:ascii="宋体" w:hAnsi="宋体" w:cs="Times New Roman"/>
          <w:szCs w:val="24"/>
        </w:rPr>
        <w:t>min</w:t>
      </w:r>
      <w:r w:rsidRPr="001A4CF3">
        <w:rPr>
          <w:rFonts w:ascii="宋体" w:hAnsi="宋体" w:cs="Times New Roman" w:hint="eastAsia"/>
          <w:szCs w:val="24"/>
        </w:rPr>
        <w:t>）</w:t>
      </w:r>
      <w:bookmarkEnd w:id="1291"/>
      <w:r w:rsidR="00264219" w:rsidRPr="001A4CF3">
        <w:rPr>
          <w:rFonts w:ascii="宋体" w:hAnsi="宋体" w:cs="Times New Roman" w:hint="eastAsia"/>
          <w:szCs w:val="24"/>
        </w:rPr>
        <w:t>；</w:t>
      </w:r>
    </w:p>
    <w:p w14:paraId="77196DCA" w14:textId="7D403FB3" w:rsidR="00CA44A4" w:rsidRPr="00FD50F6" w:rsidRDefault="00CA44A4" w:rsidP="004906BB">
      <w:pPr>
        <w:ind w:firstLineChars="150" w:firstLine="360"/>
        <w:rPr>
          <w:rFonts w:ascii="宋体" w:hAnsi="宋体" w:cs="Times New Roman"/>
          <w:szCs w:val="24"/>
        </w:rPr>
      </w:pPr>
      <w:r w:rsidRPr="004906BB">
        <w:rPr>
          <w:rFonts w:ascii="Times New Roman" w:hAnsi="Times New Roman" w:cs="Times New Roman"/>
          <w:i/>
          <w:iCs/>
          <w:szCs w:val="24"/>
        </w:rPr>
        <w:t>l</w:t>
      </w:r>
      <w:r w:rsidRPr="004906BB">
        <w:rPr>
          <w:rFonts w:ascii="宋体" w:hAnsi="宋体" w:cs="Times New Roman"/>
          <w:szCs w:val="24"/>
          <w:vertAlign w:val="subscript"/>
        </w:rPr>
        <w:t>1</w:t>
      </w:r>
      <w:r w:rsidRPr="00FD50F6">
        <w:rPr>
          <w:rFonts w:ascii="宋体" w:hAnsi="宋体" w:cs="Times New Roman" w:hint="eastAsia"/>
          <w:szCs w:val="24"/>
        </w:rPr>
        <w:t>——自动扶梯上</w:t>
      </w:r>
      <w:r w:rsidRPr="00FD50F6">
        <w:rPr>
          <w:rFonts w:hint="eastAsia"/>
        </w:rPr>
        <w:t>基点</w:t>
      </w:r>
      <w:r w:rsidRPr="00FD50F6">
        <w:rPr>
          <w:rFonts w:ascii="宋体" w:hAnsi="宋体" w:cs="Times New Roman" w:hint="eastAsia"/>
          <w:szCs w:val="24"/>
        </w:rPr>
        <w:t>和下基点之间的长度加两端水平梯段长度之和（m）；</w:t>
      </w:r>
    </w:p>
    <w:p w14:paraId="2595C616" w14:textId="24D8B302" w:rsidR="00CA44A4" w:rsidRPr="00FD50F6" w:rsidRDefault="00CA44A4" w:rsidP="004906BB">
      <w:pPr>
        <w:ind w:firstLineChars="150" w:firstLine="360"/>
        <w:rPr>
          <w:rFonts w:ascii="宋体" w:hAnsi="宋体" w:cs="Times New Roman"/>
          <w:szCs w:val="24"/>
        </w:rPr>
      </w:pPr>
      <w:r w:rsidRPr="00FD50F6">
        <w:rPr>
          <w:rFonts w:ascii="宋体" w:hAnsi="宋体" w:cs="Times New Roman"/>
          <w:i/>
          <w:iCs/>
          <w:szCs w:val="24"/>
        </w:rPr>
        <w:t>v</w:t>
      </w:r>
      <w:r w:rsidRPr="004906BB">
        <w:rPr>
          <w:rFonts w:ascii="宋体" w:hAnsi="宋体" w:cs="Times New Roman"/>
          <w:szCs w:val="24"/>
          <w:vertAlign w:val="subscript"/>
        </w:rPr>
        <w:t>1</w:t>
      </w:r>
      <w:r w:rsidRPr="00FD50F6">
        <w:rPr>
          <w:rFonts w:ascii="宋体" w:hAnsi="宋体" w:cs="Times New Roman"/>
          <w:szCs w:val="24"/>
        </w:rPr>
        <w:t>——</w:t>
      </w:r>
      <w:r w:rsidRPr="00FD50F6">
        <w:rPr>
          <w:rFonts w:ascii="宋体" w:hAnsi="宋体" w:cs="Times New Roman" w:hint="eastAsia"/>
          <w:szCs w:val="24"/>
        </w:rPr>
        <w:t>自动扶梯的速度（m/min）；</w:t>
      </w:r>
    </w:p>
    <w:p w14:paraId="343B9CA4" w14:textId="28582CAB" w:rsidR="00CA44A4" w:rsidRPr="00FD50F6" w:rsidRDefault="00CA44A4" w:rsidP="004906BB">
      <w:pPr>
        <w:ind w:firstLineChars="150" w:firstLine="360"/>
        <w:rPr>
          <w:rFonts w:ascii="宋体" w:hAnsi="宋体" w:cs="Times New Roman"/>
          <w:szCs w:val="24"/>
        </w:rPr>
      </w:pPr>
      <w:r w:rsidRPr="00FD50F6">
        <w:rPr>
          <w:rFonts w:ascii="宋体" w:hAnsi="宋体" w:cs="Times New Roman"/>
          <w:i/>
          <w:iCs/>
          <w:szCs w:val="24"/>
        </w:rPr>
        <w:t>t</w:t>
      </w:r>
      <w:r w:rsidRPr="00FD50F6">
        <w:rPr>
          <w:rFonts w:ascii="宋体" w:hAnsi="宋体" w:cs="Times New Roman"/>
          <w:szCs w:val="24"/>
        </w:rPr>
        <w:t>——</w:t>
      </w:r>
      <w:r w:rsidRPr="00FD50F6">
        <w:rPr>
          <w:rFonts w:ascii="宋体" w:hAnsi="宋体" w:cs="Times New Roman" w:hint="eastAsia"/>
          <w:szCs w:val="24"/>
        </w:rPr>
        <w:t>转换层的行走时间（min），行走速度按平均</w:t>
      </w:r>
      <w:r w:rsidRPr="00FD50F6">
        <w:rPr>
          <w:rFonts w:ascii="宋体" w:hAnsi="宋体" w:cs="Times New Roman"/>
          <w:szCs w:val="24"/>
        </w:rPr>
        <w:t>60m/min</w:t>
      </w:r>
      <w:r w:rsidRPr="00FD50F6">
        <w:rPr>
          <w:rFonts w:ascii="宋体" w:hAnsi="宋体" w:cs="Times New Roman" w:hint="eastAsia"/>
          <w:szCs w:val="24"/>
        </w:rPr>
        <w:t>计算，如从站台</w:t>
      </w:r>
      <w:r w:rsidRPr="00FD50F6">
        <w:rPr>
          <w:rFonts w:ascii="宋体" w:hAnsi="宋体" w:cs="Times New Roman" w:hint="eastAsia"/>
          <w:szCs w:val="24"/>
        </w:rPr>
        <w:lastRenderedPageBreak/>
        <w:t>层梯口直接提到站厅公共区或其他安全区域，则</w:t>
      </w:r>
      <w:r w:rsidRPr="00FD50F6">
        <w:rPr>
          <w:rFonts w:ascii="宋体" w:hAnsi="宋体" w:cs="Times New Roman"/>
          <w:i/>
          <w:iCs/>
          <w:szCs w:val="24"/>
        </w:rPr>
        <w:t>t</w:t>
      </w:r>
      <w:r w:rsidRPr="00FD50F6">
        <w:rPr>
          <w:rFonts w:ascii="宋体" w:hAnsi="宋体" w:cs="Times New Roman" w:hint="eastAsia"/>
          <w:szCs w:val="24"/>
        </w:rPr>
        <w:t>=0；</w:t>
      </w:r>
    </w:p>
    <w:p w14:paraId="5273CB5F" w14:textId="59B666E6" w:rsidR="00264219" w:rsidRPr="001A4CF3" w:rsidRDefault="00A83300" w:rsidP="004906BB">
      <w:pPr>
        <w:ind w:firstLineChars="150" w:firstLine="360"/>
        <w:rPr>
          <w:rFonts w:ascii="宋体" w:hAnsi="宋体" w:cs="Times New Roman"/>
          <w:i/>
          <w:iCs/>
          <w:szCs w:val="24"/>
        </w:rPr>
      </w:pPr>
      <w:bookmarkStart w:id="1292" w:name="_Hlk94369679"/>
      <w:r w:rsidRPr="00FD50F6">
        <w:rPr>
          <w:rFonts w:ascii="宋体" w:hAnsi="宋体" w:cs="Times New Roman"/>
          <w:i/>
          <w:iCs/>
          <w:szCs w:val="24"/>
        </w:rPr>
        <w:t>t</w:t>
      </w:r>
      <w:r w:rsidR="00264219" w:rsidRPr="004906BB">
        <w:rPr>
          <w:rFonts w:ascii="宋体" w:hAnsi="宋体" w:cs="Times New Roman"/>
          <w:szCs w:val="24"/>
          <w:vertAlign w:val="subscript"/>
        </w:rPr>
        <w:t>2</w:t>
      </w:r>
      <w:bookmarkEnd w:id="1292"/>
      <w:r w:rsidR="00264219" w:rsidRPr="00FD50F6">
        <w:rPr>
          <w:rFonts w:ascii="宋体" w:hAnsi="宋体" w:cs="Times New Roman"/>
          <w:szCs w:val="24"/>
        </w:rPr>
        <w:t>——</w:t>
      </w:r>
      <w:r w:rsidR="00EA5F6F" w:rsidRPr="001A4CF3">
        <w:rPr>
          <w:rFonts w:ascii="宋体" w:hAnsi="宋体" w:cs="Times New Roman"/>
          <w:szCs w:val="24"/>
        </w:rPr>
        <w:t>最</w:t>
      </w:r>
      <w:r w:rsidR="00EA5F6F" w:rsidRPr="001A4CF3">
        <w:t>后一名乘客</w:t>
      </w:r>
      <w:bookmarkStart w:id="1293" w:name="_Hlk94369653"/>
      <w:r w:rsidR="00EA5F6F" w:rsidRPr="001A4CF3">
        <w:t>从站台</w:t>
      </w:r>
      <w:r w:rsidR="00EA5F6F" w:rsidRPr="001A4CF3">
        <w:rPr>
          <w:rFonts w:hint="eastAsia"/>
        </w:rPr>
        <w:t>楼</w:t>
      </w:r>
      <w:r w:rsidR="00EA5F6F" w:rsidRPr="001A4CF3">
        <w:t>梯口疏散</w:t>
      </w:r>
      <w:r w:rsidR="0071682D" w:rsidRPr="001A4CF3">
        <w:rPr>
          <w:rFonts w:hint="eastAsia"/>
        </w:rPr>
        <w:t>至</w:t>
      </w:r>
      <w:r w:rsidR="00EA5F6F" w:rsidRPr="001A4CF3">
        <w:t>站厅公共区或其他安全区域的时间</w:t>
      </w:r>
      <w:bookmarkEnd w:id="1293"/>
      <w:r w:rsidR="00EA5F6F" w:rsidRPr="001A4CF3">
        <w:rPr>
          <w:rFonts w:ascii="宋体" w:hAnsi="宋体" w:cs="Times New Roman" w:hint="eastAsia"/>
          <w:szCs w:val="24"/>
        </w:rPr>
        <w:t>（</w:t>
      </w:r>
      <w:r w:rsidR="00EA5F6F" w:rsidRPr="001A4CF3">
        <w:rPr>
          <w:rFonts w:ascii="宋体" w:hAnsi="宋体" w:cs="Times New Roman"/>
          <w:szCs w:val="24"/>
        </w:rPr>
        <w:t>min</w:t>
      </w:r>
      <w:r w:rsidR="00EA5F6F" w:rsidRPr="001A4CF3">
        <w:rPr>
          <w:rFonts w:ascii="宋体" w:hAnsi="宋体" w:cs="Times New Roman" w:hint="eastAsia"/>
          <w:szCs w:val="24"/>
        </w:rPr>
        <w:t>）</w:t>
      </w:r>
      <w:r w:rsidR="00264219" w:rsidRPr="001A4CF3">
        <w:rPr>
          <w:rFonts w:ascii="宋体" w:hAnsi="宋体" w:cs="Times New Roman" w:hint="eastAsia"/>
          <w:szCs w:val="24"/>
        </w:rPr>
        <w:t>；</w:t>
      </w:r>
    </w:p>
    <w:p w14:paraId="2812CE77" w14:textId="45966A09" w:rsidR="00264219" w:rsidRPr="00FD50F6" w:rsidRDefault="00A83300" w:rsidP="004906BB">
      <w:pPr>
        <w:ind w:firstLineChars="200" w:firstLine="480"/>
        <w:rPr>
          <w:rFonts w:ascii="宋体" w:hAnsi="宋体" w:cs="Times New Roman"/>
          <w:szCs w:val="24"/>
        </w:rPr>
      </w:pPr>
      <w:r w:rsidRPr="004906BB">
        <w:rPr>
          <w:rFonts w:ascii="Times New Roman" w:hAnsi="Times New Roman" w:cs="Times New Roman"/>
          <w:i/>
          <w:iCs/>
          <w:szCs w:val="24"/>
        </w:rPr>
        <w:t>l</w:t>
      </w:r>
      <w:r w:rsidR="00264219" w:rsidRPr="004906BB">
        <w:rPr>
          <w:rFonts w:ascii="宋体" w:hAnsi="宋体" w:cs="Times New Roman"/>
          <w:szCs w:val="24"/>
          <w:vertAlign w:val="subscript"/>
        </w:rPr>
        <w:t>2</w:t>
      </w:r>
      <w:r w:rsidR="00264219" w:rsidRPr="00FD50F6">
        <w:rPr>
          <w:rFonts w:ascii="宋体" w:hAnsi="宋体" w:cs="Times New Roman"/>
          <w:szCs w:val="24"/>
        </w:rPr>
        <w:t>——</w:t>
      </w:r>
      <w:r w:rsidR="00264219" w:rsidRPr="00FD50F6">
        <w:rPr>
          <w:rFonts w:ascii="宋体" w:hAnsi="宋体" w:cs="Times New Roman" w:hint="eastAsia"/>
          <w:szCs w:val="24"/>
        </w:rPr>
        <w:t>楼梯水平</w:t>
      </w:r>
      <w:r w:rsidR="00264219" w:rsidRPr="001A4CF3">
        <w:rPr>
          <w:rFonts w:hint="eastAsia"/>
        </w:rPr>
        <w:t>投影</w:t>
      </w:r>
      <w:r w:rsidR="00264219" w:rsidRPr="00FD50F6">
        <w:rPr>
          <w:rFonts w:ascii="宋体" w:hAnsi="宋体" w:cs="Times New Roman" w:hint="eastAsia"/>
          <w:szCs w:val="24"/>
        </w:rPr>
        <w:t>长度（m）；</w:t>
      </w:r>
    </w:p>
    <w:p w14:paraId="09A4E7C8" w14:textId="366EA500" w:rsidR="00264219" w:rsidRPr="00FD50F6" w:rsidRDefault="00A83300" w:rsidP="004906BB">
      <w:pPr>
        <w:ind w:firstLineChars="200" w:firstLine="480"/>
        <w:rPr>
          <w:rFonts w:ascii="宋体" w:hAnsi="宋体" w:cs="Times New Roman"/>
          <w:szCs w:val="24"/>
        </w:rPr>
      </w:pPr>
      <w:r w:rsidRPr="00FD50F6">
        <w:rPr>
          <w:rFonts w:ascii="宋体" w:hAnsi="宋体" w:cs="Times New Roman"/>
          <w:i/>
          <w:iCs/>
          <w:szCs w:val="24"/>
        </w:rPr>
        <w:t>v</w:t>
      </w:r>
      <w:r w:rsidR="00264219" w:rsidRPr="004906BB">
        <w:rPr>
          <w:rFonts w:ascii="宋体" w:hAnsi="宋体" w:cs="Times New Roman"/>
          <w:szCs w:val="24"/>
          <w:vertAlign w:val="subscript"/>
        </w:rPr>
        <w:t>2</w:t>
      </w:r>
      <w:r w:rsidR="00264219" w:rsidRPr="00FD50F6">
        <w:rPr>
          <w:rFonts w:ascii="宋体" w:hAnsi="宋体" w:cs="Times New Roman"/>
          <w:szCs w:val="24"/>
        </w:rPr>
        <w:t>——</w:t>
      </w:r>
      <w:r w:rsidR="00264219" w:rsidRPr="00FD50F6">
        <w:rPr>
          <w:rFonts w:ascii="宋体" w:hAnsi="宋体" w:cs="Times New Roman" w:hint="eastAsia"/>
          <w:szCs w:val="24"/>
        </w:rPr>
        <w:t>楼梯步行速度（m/min）；</w:t>
      </w:r>
    </w:p>
    <w:p w14:paraId="05A07886" w14:textId="4DBCC0A6" w:rsidR="00112E60" w:rsidRPr="00FD50F6" w:rsidRDefault="00112E60" w:rsidP="004906BB">
      <w:pPr>
        <w:ind w:firstLineChars="200" w:firstLine="480"/>
        <w:rPr>
          <w:rFonts w:ascii="宋体" w:hAnsi="宋体" w:cs="Times New Roman"/>
          <w:szCs w:val="24"/>
        </w:rPr>
      </w:pPr>
      <w:r w:rsidRPr="00FD50F6">
        <w:rPr>
          <w:rFonts w:ascii="宋体" w:hAnsi="宋体" w:cs="Times New Roman"/>
          <w:i/>
          <w:iCs/>
          <w:szCs w:val="24"/>
        </w:rPr>
        <w:t>T</w:t>
      </w:r>
      <w:r w:rsidRPr="004906BB">
        <w:rPr>
          <w:rFonts w:ascii="宋体" w:hAnsi="宋体" w:cs="Times New Roman"/>
          <w:szCs w:val="24"/>
          <w:vertAlign w:val="subscript"/>
        </w:rPr>
        <w:t>2</w:t>
      </w:r>
      <w:r w:rsidRPr="00FD50F6">
        <w:rPr>
          <w:rFonts w:ascii="宋体" w:hAnsi="宋体" w:cs="Times New Roman"/>
          <w:szCs w:val="24"/>
        </w:rPr>
        <w:t>——</w:t>
      </w:r>
      <w:r w:rsidRPr="00FD50F6">
        <w:rPr>
          <w:rFonts w:ascii="宋体" w:hAnsi="宋体" w:cs="Times New Roman" w:hint="eastAsia"/>
          <w:szCs w:val="24"/>
        </w:rPr>
        <w:t>离站台上用于</w:t>
      </w:r>
      <w:r>
        <w:rPr>
          <w:rFonts w:ascii="宋体" w:hAnsi="宋体" w:cs="Times New Roman" w:hint="eastAsia"/>
          <w:szCs w:val="24"/>
        </w:rPr>
        <w:t>紧急</w:t>
      </w:r>
      <w:r w:rsidRPr="00FD50F6">
        <w:rPr>
          <w:rFonts w:ascii="宋体" w:hAnsi="宋体" w:cs="Times New Roman" w:hint="eastAsia"/>
          <w:szCs w:val="24"/>
        </w:rPr>
        <w:t>疏散的站台楼梯口、自动扶梯口、通道口或其他安全出口最远的列车车门口中心位置的乘客疏散至该处所需的时间(min)</w:t>
      </w:r>
      <w:r w:rsidRPr="00FD50F6">
        <w:rPr>
          <w:rFonts w:ascii="宋体" w:hAnsi="宋体" w:cs="Times New Roman"/>
          <w:szCs w:val="24"/>
        </w:rPr>
        <w:t>；</w:t>
      </w:r>
    </w:p>
    <w:p w14:paraId="6837CF04" w14:textId="77314C93" w:rsidR="00C47C47" w:rsidRPr="00FD50F6" w:rsidRDefault="00112E60" w:rsidP="004906BB">
      <w:pPr>
        <w:ind w:firstLineChars="200" w:firstLine="480"/>
        <w:rPr>
          <w:rFonts w:ascii="宋体" w:hAnsi="宋体" w:cs="Times New Roman"/>
          <w:szCs w:val="24"/>
        </w:rPr>
      </w:pPr>
      <w:r w:rsidRPr="00FD50F6">
        <w:rPr>
          <w:rFonts w:ascii="Calibri Light" w:hAnsi="Calibri Light" w:cs="Calibri Light" w:hint="eastAsia"/>
          <w:i/>
          <w:iCs/>
          <w:szCs w:val="24"/>
        </w:rPr>
        <w:t>L</w:t>
      </w:r>
      <w:r w:rsidRPr="004906BB">
        <w:rPr>
          <w:rFonts w:ascii="宋体" w:hAnsi="宋体" w:cs="Times New Roman"/>
          <w:szCs w:val="24"/>
          <w:vertAlign w:val="subscript"/>
        </w:rPr>
        <w:t>2</w:t>
      </w:r>
      <w:r w:rsidRPr="00FD50F6">
        <w:rPr>
          <w:rFonts w:ascii="宋体" w:hAnsi="宋体" w:cs="Times New Roman"/>
          <w:szCs w:val="24"/>
        </w:rPr>
        <w:t>——</w:t>
      </w:r>
      <w:r w:rsidRPr="00FD50F6">
        <w:rPr>
          <w:rFonts w:ascii="宋体" w:hAnsi="宋体" w:cs="Times New Roman" w:hint="eastAsia"/>
          <w:szCs w:val="24"/>
        </w:rPr>
        <w:t>离站台上用于</w:t>
      </w:r>
      <w:r>
        <w:rPr>
          <w:rFonts w:ascii="宋体" w:hAnsi="宋体" w:cs="Times New Roman" w:hint="eastAsia"/>
          <w:szCs w:val="24"/>
        </w:rPr>
        <w:t>紧急</w:t>
      </w:r>
      <w:r w:rsidRPr="00FD50F6">
        <w:rPr>
          <w:rFonts w:ascii="宋体" w:hAnsi="宋体" w:cs="Times New Roman" w:hint="eastAsia"/>
          <w:szCs w:val="24"/>
        </w:rPr>
        <w:t>疏散的站台楼梯口、自动扶梯口、通道口或其他安全出口最远的列车车门口中心位置到该疏散口处的直线距离（m），根据本标准</w:t>
      </w:r>
      <w:r>
        <w:rPr>
          <w:rFonts w:ascii="宋体" w:hAnsi="宋体" w:cs="Times New Roman" w:hint="eastAsia"/>
          <w:szCs w:val="24"/>
        </w:rPr>
        <w:t>第</w:t>
      </w:r>
      <w:r w:rsidRPr="00FD50F6">
        <w:rPr>
          <w:rFonts w:ascii="宋体" w:hAnsi="宋体" w:cs="Times New Roman" w:hint="eastAsia"/>
          <w:szCs w:val="24"/>
        </w:rPr>
        <w:t>30.2.1</w:t>
      </w:r>
      <w:r w:rsidRPr="00FD50F6">
        <w:rPr>
          <w:rFonts w:ascii="宋体" w:hAnsi="宋体" w:cs="Times New Roman"/>
          <w:szCs w:val="24"/>
        </w:rPr>
        <w:t>1</w:t>
      </w:r>
      <w:r w:rsidRPr="00FD50F6">
        <w:rPr>
          <w:rFonts w:ascii="宋体" w:hAnsi="宋体" w:cs="Times New Roman" w:hint="eastAsia"/>
          <w:szCs w:val="24"/>
        </w:rPr>
        <w:t>条第</w:t>
      </w:r>
      <w:r w:rsidRPr="00FD50F6">
        <w:rPr>
          <w:rFonts w:ascii="宋体" w:hAnsi="宋体" w:cs="Times New Roman"/>
          <w:szCs w:val="24"/>
        </w:rPr>
        <w:t>6</w:t>
      </w:r>
      <w:r w:rsidRPr="00FD50F6">
        <w:rPr>
          <w:rFonts w:ascii="宋体" w:hAnsi="宋体" w:cs="Times New Roman" w:hint="eastAsia"/>
          <w:szCs w:val="24"/>
        </w:rPr>
        <w:t>款，</w:t>
      </w:r>
      <w:r w:rsidRPr="00FD50F6">
        <w:rPr>
          <w:rFonts w:ascii="Calibri Light" w:hAnsi="Calibri Light" w:cs="Calibri Light" w:hint="eastAsia"/>
          <w:i/>
          <w:iCs/>
          <w:szCs w:val="24"/>
        </w:rPr>
        <w:t>L</w:t>
      </w:r>
      <w:r w:rsidRPr="00FD50F6">
        <w:rPr>
          <w:rFonts w:ascii="宋体" w:hAnsi="宋体" w:cs="Times New Roman"/>
          <w:i/>
          <w:iCs/>
          <w:szCs w:val="24"/>
          <w:vertAlign w:val="subscript"/>
        </w:rPr>
        <w:t>2</w:t>
      </w:r>
      <w:r w:rsidRPr="00FD50F6">
        <w:rPr>
          <w:rFonts w:ascii="宋体" w:hAnsi="宋体" w:cs="Times New Roman"/>
          <w:szCs w:val="24"/>
        </w:rPr>
        <w:t xml:space="preserve"> </w:t>
      </w:r>
      <w:r w:rsidRPr="00FD50F6">
        <w:rPr>
          <w:rFonts w:ascii="宋体" w:hAnsi="宋体" w:cs="Times New Roman" w:hint="eastAsia"/>
          <w:szCs w:val="24"/>
        </w:rPr>
        <w:t>≤50</w:t>
      </w:r>
      <w:r w:rsidRPr="00FD50F6">
        <w:rPr>
          <w:rFonts w:ascii="宋体" w:hAnsi="宋体" w:cs="Times New Roman"/>
          <w:szCs w:val="24"/>
        </w:rPr>
        <w:t>m</w:t>
      </w:r>
      <w:r w:rsidR="00C47C47" w:rsidRPr="00FD50F6">
        <w:rPr>
          <w:rFonts w:ascii="宋体" w:hAnsi="宋体" w:cs="Times New Roman"/>
          <w:szCs w:val="24"/>
        </w:rPr>
        <w:t>。</w:t>
      </w:r>
    </w:p>
    <w:bookmarkEnd w:id="1279"/>
    <w:bookmarkEnd w:id="1287"/>
    <w:p w14:paraId="3793240B" w14:textId="10EDCEF8" w:rsidR="00264219" w:rsidRPr="00FD50F6" w:rsidRDefault="00264219" w:rsidP="00264219">
      <w:pPr>
        <w:pStyle w:val="30"/>
      </w:pPr>
      <w:r w:rsidRPr="00FD50F6">
        <w:rPr>
          <w:rFonts w:hint="eastAsia"/>
        </w:rPr>
        <w:t>车站</w:t>
      </w:r>
      <w:bookmarkStart w:id="1294" w:name="_Hlk94780386"/>
      <w:r w:rsidRPr="00FD50F6">
        <w:rPr>
          <w:rFonts w:hint="eastAsia"/>
        </w:rPr>
        <w:t>付费区和非付费区之间的栅栏应在不同方向设置疏散门</w:t>
      </w:r>
      <w:bookmarkEnd w:id="1294"/>
      <w:r w:rsidRPr="00FD50F6">
        <w:rPr>
          <w:rFonts w:hint="eastAsia"/>
        </w:rPr>
        <w:t>，疏散门应采用向疏散方向开启的平开门；自动检票机和疏散门的通行能力不应低于</w:t>
      </w:r>
      <w:r w:rsidR="00DE78F8" w:rsidRPr="00FD50F6">
        <w:rPr>
          <w:rFonts w:hint="eastAsia"/>
        </w:rPr>
        <w:t>车站公共区内</w:t>
      </w:r>
      <w:r w:rsidRPr="00FD50F6">
        <w:rPr>
          <w:rFonts w:hint="eastAsia"/>
        </w:rPr>
        <w:t>楼梯和自动扶梯的通行能力，并应按下式计算：</w:t>
      </w:r>
    </w:p>
    <w:p w14:paraId="22DA8514" w14:textId="39538915" w:rsidR="00264219" w:rsidRPr="00FD50F6" w:rsidRDefault="00264219" w:rsidP="00264219">
      <w:pPr>
        <w:adjustRightInd w:val="0"/>
        <w:snapToGrid w:val="0"/>
        <w:ind w:firstLineChars="200" w:firstLine="480"/>
        <w:jc w:val="center"/>
        <w:rPr>
          <w:rFonts w:ascii="宋体" w:hAnsi="宋体" w:cs="Times New Roman"/>
          <w:szCs w:val="24"/>
        </w:rPr>
      </w:pPr>
      <w:r w:rsidRPr="00FD50F6">
        <w:rPr>
          <w:rFonts w:ascii="宋体" w:hAnsi="宋体" w:cs="Times New Roman" w:hint="eastAsia"/>
          <w:i/>
          <w:iCs/>
          <w:szCs w:val="24"/>
        </w:rPr>
        <w:t>A</w:t>
      </w:r>
      <w:r w:rsidRPr="004906BB">
        <w:rPr>
          <w:rFonts w:ascii="宋体" w:hAnsi="宋体" w:cs="Times New Roman"/>
          <w:szCs w:val="24"/>
          <w:vertAlign w:val="subscript"/>
        </w:rPr>
        <w:t>3</w:t>
      </w:r>
      <w:r w:rsidRPr="00FD50F6">
        <w:rPr>
          <w:rFonts w:ascii="宋体" w:hAnsi="宋体" w:cs="Times New Roman" w:hint="eastAsia"/>
          <w:i/>
          <w:iCs/>
          <w:szCs w:val="24"/>
        </w:rPr>
        <w:t>+LA</w:t>
      </w:r>
      <w:r w:rsidRPr="004906BB">
        <w:rPr>
          <w:rFonts w:ascii="宋体" w:hAnsi="宋体" w:cs="Times New Roman"/>
          <w:szCs w:val="24"/>
          <w:vertAlign w:val="subscript"/>
        </w:rPr>
        <w:t>4</w:t>
      </w:r>
      <w:r w:rsidRPr="00FD50F6">
        <w:rPr>
          <w:rFonts w:ascii="宋体" w:hAnsi="宋体" w:cs="Times New Roman" w:hint="eastAsia"/>
          <w:i/>
          <w:iCs/>
          <w:szCs w:val="24"/>
        </w:rPr>
        <w:t>≥[A</w:t>
      </w:r>
      <w:r w:rsidRPr="004906BB">
        <w:rPr>
          <w:rFonts w:ascii="宋体" w:hAnsi="宋体" w:cs="Times New Roman"/>
          <w:szCs w:val="24"/>
          <w:vertAlign w:val="subscript"/>
        </w:rPr>
        <w:t>1</w:t>
      </w:r>
      <w:r w:rsidRPr="00FD50F6">
        <w:rPr>
          <w:rFonts w:ascii="宋体" w:hAnsi="宋体" w:cs="Times New Roman" w:hint="eastAsia"/>
          <w:i/>
          <w:iCs/>
          <w:szCs w:val="24"/>
        </w:rPr>
        <w:t>(N-1</w:t>
      </w:r>
      <w:r w:rsidRPr="00FD50F6">
        <w:rPr>
          <w:rFonts w:ascii="宋体" w:hAnsi="宋体" w:cs="Times New Roman"/>
          <w:i/>
          <w:iCs/>
          <w:szCs w:val="24"/>
        </w:rPr>
        <w:t>)]+</w:t>
      </w:r>
      <w:r w:rsidRPr="00FD50F6">
        <w:rPr>
          <w:rFonts w:ascii="宋体" w:hAnsi="宋体" w:cs="Times New Roman" w:hint="eastAsia"/>
          <w:i/>
          <w:iCs/>
          <w:szCs w:val="24"/>
        </w:rPr>
        <w:t>A</w:t>
      </w:r>
      <w:r w:rsidRPr="004906BB">
        <w:rPr>
          <w:rFonts w:ascii="宋体" w:hAnsi="宋体" w:cs="Times New Roman"/>
          <w:szCs w:val="24"/>
          <w:vertAlign w:val="subscript"/>
        </w:rPr>
        <w:t>2</w:t>
      </w:r>
      <w:r w:rsidRPr="00FD50F6">
        <w:rPr>
          <w:rFonts w:ascii="宋体" w:hAnsi="宋体" w:cs="Times New Roman" w:hint="eastAsia"/>
          <w:i/>
          <w:iCs/>
          <w:szCs w:val="24"/>
        </w:rPr>
        <w:t>B</w:t>
      </w:r>
      <w:r w:rsidRPr="00FD50F6">
        <w:rPr>
          <w:rFonts w:ascii="宋体" w:hAnsi="宋体" w:cs="Times New Roman"/>
          <w:i/>
          <w:iCs/>
          <w:szCs w:val="24"/>
        </w:rPr>
        <w:tab/>
      </w:r>
      <w:r w:rsidRPr="00FD50F6">
        <w:rPr>
          <w:rFonts w:ascii="宋体" w:hAnsi="宋体" w:cs="Times New Roman"/>
          <w:szCs w:val="24"/>
        </w:rPr>
        <w:t xml:space="preserve"> </w:t>
      </w:r>
      <w:r w:rsidRPr="00FD50F6">
        <w:rPr>
          <w:rFonts w:ascii="宋体" w:hAnsi="宋体" w:cs="Times New Roman"/>
          <w:szCs w:val="24"/>
        </w:rPr>
        <w:tab/>
      </w:r>
      <w:r w:rsidRPr="00FD50F6">
        <w:rPr>
          <w:rFonts w:ascii="宋体" w:hAnsi="宋体" w:cs="Times New Roman"/>
          <w:szCs w:val="24"/>
        </w:rPr>
        <w:tab/>
      </w:r>
      <w:r w:rsidRPr="00FD50F6">
        <w:rPr>
          <w:rFonts w:ascii="Times New Roman" w:hAnsi="Times New Roman" w:cs="Times New Roman"/>
          <w:szCs w:val="24"/>
        </w:rPr>
        <w:t>(</w:t>
      </w:r>
      <w:r w:rsidR="00232AC3" w:rsidRPr="00FD50F6">
        <w:rPr>
          <w:rFonts w:ascii="Times New Roman" w:hAnsi="Times New Roman" w:cs="Times New Roman"/>
          <w:szCs w:val="24"/>
        </w:rPr>
        <w:t>30</w:t>
      </w:r>
      <w:r w:rsidRPr="00FD50F6">
        <w:rPr>
          <w:rFonts w:ascii="Times New Roman" w:hAnsi="Times New Roman" w:cs="Times New Roman"/>
          <w:szCs w:val="24"/>
        </w:rPr>
        <w:t>.2.</w:t>
      </w:r>
      <w:r w:rsidR="00112E60" w:rsidRPr="00FD50F6">
        <w:rPr>
          <w:rFonts w:ascii="Times New Roman" w:hAnsi="Times New Roman" w:cs="Times New Roman"/>
          <w:szCs w:val="24"/>
        </w:rPr>
        <w:t>1</w:t>
      </w:r>
      <w:r w:rsidR="00112E60">
        <w:rPr>
          <w:rFonts w:ascii="Times New Roman" w:hAnsi="Times New Roman" w:cs="Times New Roman"/>
          <w:szCs w:val="24"/>
        </w:rPr>
        <w:t>0</w:t>
      </w:r>
      <w:r w:rsidRPr="00FD50F6">
        <w:rPr>
          <w:rFonts w:ascii="Times New Roman" w:hAnsi="Times New Roman" w:cs="Times New Roman"/>
          <w:szCs w:val="24"/>
        </w:rPr>
        <w:t>)</w:t>
      </w:r>
    </w:p>
    <w:p w14:paraId="343003E4" w14:textId="144B0D1A" w:rsidR="00264219" w:rsidRPr="00FD50F6" w:rsidRDefault="00264219" w:rsidP="001A4CF3">
      <w:pPr>
        <w:adjustRightInd w:val="0"/>
        <w:snapToGrid w:val="0"/>
        <w:rPr>
          <w:rFonts w:ascii="宋体" w:hAnsi="宋体" w:cs="Times New Roman"/>
          <w:szCs w:val="24"/>
        </w:rPr>
      </w:pPr>
      <w:r w:rsidRPr="00FD50F6">
        <w:rPr>
          <w:rFonts w:ascii="宋体" w:hAnsi="宋体" w:cs="Times New Roman" w:hint="eastAsia"/>
          <w:szCs w:val="24"/>
        </w:rPr>
        <w:t>式中：</w:t>
      </w:r>
      <w:r w:rsidRPr="00FD50F6">
        <w:rPr>
          <w:rFonts w:ascii="宋体" w:hAnsi="宋体" w:cs="Times New Roman" w:hint="eastAsia"/>
          <w:i/>
          <w:iCs/>
          <w:szCs w:val="24"/>
        </w:rPr>
        <w:t>A</w:t>
      </w:r>
      <w:r w:rsidRPr="004906BB">
        <w:rPr>
          <w:rFonts w:ascii="宋体" w:hAnsi="宋体" w:cs="Times New Roman"/>
          <w:szCs w:val="24"/>
          <w:vertAlign w:val="subscript"/>
        </w:rPr>
        <w:t>3</w:t>
      </w:r>
      <w:r w:rsidRPr="00FD50F6">
        <w:rPr>
          <w:rFonts w:ascii="Times New Roman" w:hAnsi="Times New Roman" w:cs="Times New Roman" w:hint="eastAsia"/>
          <w:szCs w:val="24"/>
        </w:rPr>
        <w:t>——</w:t>
      </w:r>
      <w:r w:rsidRPr="00FD50F6">
        <w:rPr>
          <w:rFonts w:ascii="宋体" w:hAnsi="宋体" w:cs="Times New Roman" w:hint="eastAsia"/>
          <w:szCs w:val="24"/>
        </w:rPr>
        <w:t>自动检票机</w:t>
      </w:r>
      <w:r w:rsidR="00B6374B" w:rsidRPr="00FD50F6">
        <w:rPr>
          <w:rFonts w:ascii="宋体" w:hAnsi="宋体" w:cs="Times New Roman" w:hint="eastAsia"/>
          <w:szCs w:val="24"/>
        </w:rPr>
        <w:t>全</w:t>
      </w:r>
      <w:r w:rsidRPr="00FD50F6">
        <w:rPr>
          <w:rFonts w:ascii="宋体" w:hAnsi="宋体" w:cs="Times New Roman" w:hint="eastAsia"/>
          <w:szCs w:val="24"/>
        </w:rPr>
        <w:t>开时的通行</w:t>
      </w:r>
      <w:r w:rsidR="00B6374B" w:rsidRPr="00FD50F6">
        <w:rPr>
          <w:rFonts w:ascii="宋体" w:hAnsi="宋体" w:cs="Times New Roman" w:hint="eastAsia"/>
          <w:szCs w:val="24"/>
        </w:rPr>
        <w:t>总</w:t>
      </w:r>
      <w:r w:rsidRPr="00FD50F6">
        <w:rPr>
          <w:rFonts w:ascii="宋体" w:hAnsi="宋体" w:cs="Times New Roman" w:hint="eastAsia"/>
          <w:szCs w:val="24"/>
        </w:rPr>
        <w:t>能力（人/min</w:t>
      </w:r>
      <w:r w:rsidR="00C30DA2" w:rsidRPr="00FD50F6">
        <w:rPr>
          <w:rFonts w:ascii="宋体" w:hAnsi="宋体" w:cs="Times New Roman" w:hint="eastAsia"/>
          <w:szCs w:val="24"/>
        </w:rPr>
        <w:t>）</w:t>
      </w:r>
      <w:r w:rsidR="00B6374B" w:rsidRPr="00FD50F6">
        <w:rPr>
          <w:rFonts w:ascii="宋体" w:hAnsi="宋体" w:cs="Times New Roman" w:hint="eastAsia"/>
          <w:szCs w:val="24"/>
        </w:rPr>
        <w:t>，</w:t>
      </w:r>
      <w:r w:rsidR="00B6374B" w:rsidRPr="001A4CF3">
        <w:rPr>
          <w:rFonts w:ascii="宋体" w:hAnsi="宋体" w:cs="Times New Roman" w:hint="eastAsia"/>
          <w:szCs w:val="24"/>
        </w:rPr>
        <w:t>按</w:t>
      </w:r>
      <w:r w:rsidR="00B6374B" w:rsidRPr="001A4CF3">
        <w:rPr>
          <w:rFonts w:ascii="宋体" w:hAnsi="宋体" w:cs="Times New Roman"/>
          <w:szCs w:val="24"/>
        </w:rPr>
        <w:t>0.55m</w:t>
      </w:r>
      <w:r w:rsidR="00B6374B" w:rsidRPr="001A4CF3">
        <w:rPr>
          <w:rFonts w:ascii="宋体" w:hAnsi="宋体" w:cs="Times New Roman" w:hint="eastAsia"/>
          <w:szCs w:val="24"/>
        </w:rPr>
        <w:t>整倍数</w:t>
      </w:r>
      <w:r w:rsidR="00C30DA2" w:rsidRPr="00FD50F6">
        <w:rPr>
          <w:rFonts w:ascii="宋体" w:hAnsi="宋体" w:cs="Times New Roman" w:hint="eastAsia"/>
          <w:szCs w:val="24"/>
        </w:rPr>
        <w:t>乘以</w:t>
      </w:r>
      <w:r w:rsidR="00B6374B" w:rsidRPr="001A4CF3">
        <w:rPr>
          <w:rFonts w:ascii="宋体" w:hAnsi="宋体" w:cs="Times New Roman"/>
          <w:szCs w:val="24"/>
        </w:rPr>
        <w:t>5000人/h</w:t>
      </w:r>
      <w:r w:rsidR="00B6374B" w:rsidRPr="001A4CF3">
        <w:rPr>
          <w:rFonts w:ascii="宋体" w:hAnsi="宋体" w:cs="Times New Roman" w:hint="eastAsia"/>
          <w:szCs w:val="24"/>
        </w:rPr>
        <w:t>·</w:t>
      </w:r>
      <w:r w:rsidR="00B6374B" w:rsidRPr="001A4CF3">
        <w:rPr>
          <w:rFonts w:ascii="宋体" w:hAnsi="宋体" w:cs="Times New Roman"/>
          <w:szCs w:val="24"/>
        </w:rPr>
        <w:t>m计算</w:t>
      </w:r>
      <w:r w:rsidRPr="00FD50F6">
        <w:rPr>
          <w:rFonts w:ascii="宋体" w:hAnsi="宋体" w:cs="Times New Roman" w:hint="eastAsia"/>
          <w:szCs w:val="24"/>
        </w:rPr>
        <w:t>；</w:t>
      </w:r>
    </w:p>
    <w:p w14:paraId="0D19AD31" w14:textId="18124D83" w:rsidR="00DE78F8" w:rsidRPr="00FD50F6" w:rsidRDefault="00DE78F8" w:rsidP="004906BB">
      <w:pPr>
        <w:adjustRightInd w:val="0"/>
        <w:snapToGrid w:val="0"/>
        <w:ind w:firstLineChars="300" w:firstLine="720"/>
        <w:rPr>
          <w:rFonts w:ascii="宋体" w:hAnsi="宋体" w:cs="Times New Roman"/>
          <w:szCs w:val="24"/>
        </w:rPr>
      </w:pPr>
      <w:r w:rsidRPr="00FD50F6">
        <w:rPr>
          <w:rFonts w:ascii="宋体" w:hAnsi="宋体" w:cs="Times New Roman" w:hint="eastAsia"/>
          <w:i/>
          <w:iCs/>
          <w:szCs w:val="24"/>
        </w:rPr>
        <w:t>L</w:t>
      </w:r>
      <w:r w:rsidRPr="00FD50F6">
        <w:rPr>
          <w:rFonts w:ascii="Times New Roman" w:hAnsi="Times New Roman" w:cs="Times New Roman" w:hint="eastAsia"/>
          <w:szCs w:val="24"/>
        </w:rPr>
        <w:t>——</w:t>
      </w:r>
      <w:r w:rsidRPr="00FD50F6">
        <w:rPr>
          <w:rFonts w:ascii="宋体" w:hAnsi="宋体" w:cs="Times New Roman" w:hint="eastAsia"/>
          <w:szCs w:val="24"/>
        </w:rPr>
        <w:t>疏散门的净宽度（m），按0.55mm整倍数计算，且≥1.1</w:t>
      </w:r>
      <w:r w:rsidRPr="00FD50F6">
        <w:rPr>
          <w:rFonts w:ascii="宋体" w:hAnsi="宋体" w:cs="Times New Roman"/>
          <w:szCs w:val="24"/>
        </w:rPr>
        <w:t>m</w:t>
      </w:r>
      <w:r w:rsidRPr="00FD50F6">
        <w:rPr>
          <w:rFonts w:ascii="宋体" w:hAnsi="宋体" w:cs="Times New Roman" w:hint="eastAsia"/>
          <w:szCs w:val="24"/>
        </w:rPr>
        <w:t>；</w:t>
      </w:r>
    </w:p>
    <w:p w14:paraId="31122170" w14:textId="5232A88C" w:rsidR="00264219" w:rsidRPr="00FD50F6" w:rsidRDefault="00264219" w:rsidP="004906BB">
      <w:pPr>
        <w:adjustRightInd w:val="0"/>
        <w:snapToGrid w:val="0"/>
        <w:ind w:left="360" w:firstLineChars="100" w:firstLine="240"/>
        <w:rPr>
          <w:rFonts w:ascii="宋体" w:hAnsi="宋体" w:cs="Times New Roman"/>
          <w:szCs w:val="24"/>
        </w:rPr>
      </w:pPr>
      <w:r w:rsidRPr="00FD50F6">
        <w:rPr>
          <w:rFonts w:ascii="宋体" w:hAnsi="宋体" w:cs="Times New Roman" w:hint="eastAsia"/>
          <w:i/>
          <w:iCs/>
          <w:szCs w:val="24"/>
        </w:rPr>
        <w:t>A</w:t>
      </w:r>
      <w:r w:rsidRPr="004906BB">
        <w:rPr>
          <w:rFonts w:ascii="宋体" w:hAnsi="宋体" w:cs="Times New Roman"/>
          <w:szCs w:val="24"/>
          <w:vertAlign w:val="subscript"/>
        </w:rPr>
        <w:t>4</w:t>
      </w:r>
      <w:r w:rsidRPr="00FD50F6">
        <w:rPr>
          <w:rFonts w:ascii="Times New Roman" w:hAnsi="Times New Roman" w:cs="Times New Roman" w:hint="eastAsia"/>
          <w:szCs w:val="24"/>
        </w:rPr>
        <w:t>——</w:t>
      </w:r>
      <w:r w:rsidRPr="00FD50F6">
        <w:rPr>
          <w:rFonts w:ascii="宋体" w:hAnsi="宋体" w:cs="Times New Roman" w:hint="eastAsia"/>
          <w:szCs w:val="24"/>
        </w:rPr>
        <w:t>单位宽度疏散门的总通行能力（人/min·m</w:t>
      </w:r>
      <w:r w:rsidR="00C30DA2" w:rsidRPr="00FD50F6">
        <w:rPr>
          <w:rFonts w:ascii="宋体" w:hAnsi="宋体" w:cs="Times New Roman" w:hint="eastAsia"/>
          <w:szCs w:val="24"/>
        </w:rPr>
        <w:t>）</w:t>
      </w:r>
      <w:r w:rsidR="00B6374B" w:rsidRPr="00FD50F6">
        <w:rPr>
          <w:rFonts w:ascii="宋体" w:hAnsi="宋体" w:cs="Times New Roman" w:hint="eastAsia"/>
          <w:szCs w:val="24"/>
        </w:rPr>
        <w:t>，</w:t>
      </w:r>
      <w:r w:rsidR="00B6374B" w:rsidRPr="001A4CF3">
        <w:rPr>
          <w:rFonts w:ascii="宋体" w:hAnsi="宋体" w:cs="Times New Roman" w:hint="eastAsia"/>
          <w:szCs w:val="24"/>
        </w:rPr>
        <w:t>按</w:t>
      </w:r>
      <w:r w:rsidR="00B6374B" w:rsidRPr="001A4CF3">
        <w:rPr>
          <w:rFonts w:ascii="宋体" w:hAnsi="宋体" w:cs="Times New Roman"/>
          <w:szCs w:val="24"/>
        </w:rPr>
        <w:t>5000人/h</w:t>
      </w:r>
      <w:r w:rsidR="00B6374B" w:rsidRPr="001A4CF3">
        <w:rPr>
          <w:rFonts w:ascii="宋体" w:hAnsi="宋体" w:cs="Times New Roman" w:hint="eastAsia"/>
          <w:szCs w:val="24"/>
        </w:rPr>
        <w:t>·</w:t>
      </w:r>
      <w:r w:rsidR="00B6374B" w:rsidRPr="001A4CF3">
        <w:rPr>
          <w:rFonts w:ascii="宋体" w:hAnsi="宋体" w:cs="Times New Roman"/>
          <w:szCs w:val="24"/>
        </w:rPr>
        <w:t>m计算</w:t>
      </w:r>
      <w:r w:rsidR="00DE78F8" w:rsidRPr="00FD50F6">
        <w:rPr>
          <w:rFonts w:ascii="宋体" w:hAnsi="宋体" w:cs="Times New Roman" w:hint="eastAsia"/>
          <w:szCs w:val="24"/>
        </w:rPr>
        <w:t>。</w:t>
      </w:r>
    </w:p>
    <w:p w14:paraId="623C5EB7" w14:textId="19B6E19B" w:rsidR="00264219" w:rsidRPr="00AA0E76" w:rsidRDefault="00264219" w:rsidP="00264219">
      <w:pPr>
        <w:pStyle w:val="30"/>
      </w:pPr>
      <w:r w:rsidRPr="00FD50F6">
        <w:rPr>
          <w:rFonts w:hint="eastAsia"/>
        </w:rPr>
        <w:t>车站公共区的安全疏散口的设置除应符合现行国家标准</w:t>
      </w:r>
      <w:bookmarkStart w:id="1295" w:name="_Hlk93835392"/>
      <w:r w:rsidRPr="00FD50F6">
        <w:rPr>
          <w:rFonts w:hint="eastAsia"/>
        </w:rPr>
        <w:t>《地铁防火设计标准》</w:t>
      </w:r>
      <w:r w:rsidRPr="00FD50F6">
        <w:rPr>
          <w:rFonts w:hint="eastAsia"/>
        </w:rPr>
        <w:t>G</w:t>
      </w:r>
      <w:r w:rsidRPr="00FD50F6">
        <w:t>B 51298</w:t>
      </w:r>
      <w:bookmarkEnd w:id="1295"/>
      <w:r w:rsidRPr="00FD50F6">
        <w:rPr>
          <w:rFonts w:hint="eastAsia"/>
        </w:rPr>
        <w:t>的规定外，还应符合下列规定：</w:t>
      </w:r>
    </w:p>
    <w:p w14:paraId="410A7D8E" w14:textId="63C2C887" w:rsidR="00264219" w:rsidRPr="00FD50F6" w:rsidRDefault="00264219" w:rsidP="00A926BD">
      <w:pPr>
        <w:pStyle w:val="4"/>
      </w:pPr>
      <w:r w:rsidRPr="00FD50F6">
        <w:rPr>
          <w:rFonts w:hint="eastAsia"/>
        </w:rPr>
        <w:t>单线车站每个站厅公共区应至少设置</w:t>
      </w:r>
      <w:r w:rsidRPr="00FD50F6">
        <w:rPr>
          <w:rFonts w:hint="eastAsia"/>
        </w:rPr>
        <w:t>2</w:t>
      </w:r>
      <w:r w:rsidRPr="00FD50F6">
        <w:rPr>
          <w:rFonts w:hint="eastAsia"/>
        </w:rPr>
        <w:t>个直通室外</w:t>
      </w:r>
      <w:r w:rsidR="00B71F5C" w:rsidRPr="00FD50F6">
        <w:rPr>
          <w:rFonts w:hint="eastAsia"/>
        </w:rPr>
        <w:t>地面</w:t>
      </w:r>
      <w:r w:rsidRPr="00FD50F6">
        <w:rPr>
          <w:rFonts w:hint="eastAsia"/>
        </w:rPr>
        <w:t>的安全出口。当换乘车站共用一个站厅公共区时，直通室外</w:t>
      </w:r>
      <w:r w:rsidR="00FB207E" w:rsidRPr="00FD50F6">
        <w:rPr>
          <w:rFonts w:hint="eastAsia"/>
        </w:rPr>
        <w:t>地面</w:t>
      </w:r>
      <w:r w:rsidRPr="00FD50F6">
        <w:rPr>
          <w:rFonts w:hint="eastAsia"/>
        </w:rPr>
        <w:t>的安全出口应按每条线不少于</w:t>
      </w:r>
      <w:r w:rsidRPr="00FD50F6">
        <w:rPr>
          <w:rFonts w:hint="eastAsia"/>
        </w:rPr>
        <w:t>2</w:t>
      </w:r>
      <w:r w:rsidRPr="00FD50F6">
        <w:rPr>
          <w:rFonts w:hint="eastAsia"/>
        </w:rPr>
        <w:t>个设置</w:t>
      </w:r>
      <w:r w:rsidR="007E4041" w:rsidRPr="00FD50F6">
        <w:rPr>
          <w:rFonts w:hint="eastAsia"/>
        </w:rPr>
        <w:t>；</w:t>
      </w:r>
    </w:p>
    <w:p w14:paraId="6FA8085A" w14:textId="0D66E5D2" w:rsidR="00554997" w:rsidRPr="00FD50F6" w:rsidRDefault="00554997" w:rsidP="00A926BD">
      <w:pPr>
        <w:pStyle w:val="4"/>
      </w:pPr>
      <w:bookmarkStart w:id="1296" w:name="_Hlk94274308"/>
      <w:r w:rsidRPr="00FD50F6">
        <w:rPr>
          <w:rFonts w:hint="eastAsia"/>
        </w:rPr>
        <w:t>侧式站台车站，每侧站台</w:t>
      </w:r>
      <w:r w:rsidRPr="001A4CF3">
        <w:rPr>
          <w:rFonts w:hint="eastAsia"/>
        </w:rPr>
        <w:t>公共区</w:t>
      </w:r>
      <w:r w:rsidRPr="00FD50F6">
        <w:rPr>
          <w:rFonts w:hint="eastAsia"/>
        </w:rPr>
        <w:t>应至少设置</w:t>
      </w:r>
      <w:r w:rsidRPr="00FD50F6">
        <w:rPr>
          <w:rFonts w:hint="eastAsia"/>
        </w:rPr>
        <w:t>2</w:t>
      </w:r>
      <w:r w:rsidRPr="00FD50F6">
        <w:rPr>
          <w:rFonts w:hint="eastAsia"/>
        </w:rPr>
        <w:t>个直通室</w:t>
      </w:r>
      <w:bookmarkStart w:id="1297" w:name="_Hlk94276495"/>
      <w:r w:rsidRPr="00FD50F6">
        <w:rPr>
          <w:rFonts w:hint="eastAsia"/>
        </w:rPr>
        <w:t>外</w:t>
      </w:r>
      <w:r w:rsidR="0043683F" w:rsidRPr="00FD50F6">
        <w:rPr>
          <w:rFonts w:hint="eastAsia"/>
        </w:rPr>
        <w:t>地面或其他</w:t>
      </w:r>
      <w:r w:rsidR="007E02A9" w:rsidRPr="00FD50F6">
        <w:rPr>
          <w:rFonts w:hint="eastAsia"/>
        </w:rPr>
        <w:t>室外</w:t>
      </w:r>
      <w:r w:rsidR="0043683F" w:rsidRPr="00FD50F6">
        <w:rPr>
          <w:rFonts w:hint="eastAsia"/>
        </w:rPr>
        <w:t>安全区域</w:t>
      </w:r>
      <w:r w:rsidRPr="00FD50F6">
        <w:rPr>
          <w:rFonts w:hint="eastAsia"/>
        </w:rPr>
        <w:t>的安全出口</w:t>
      </w:r>
      <w:bookmarkEnd w:id="1296"/>
      <w:bookmarkEnd w:id="1297"/>
      <w:r w:rsidRPr="00FD50F6">
        <w:rPr>
          <w:rFonts w:hint="eastAsia"/>
        </w:rPr>
        <w:t>；</w:t>
      </w:r>
    </w:p>
    <w:p w14:paraId="2569F337" w14:textId="52001BCE" w:rsidR="006359B8" w:rsidRPr="00FD50F6" w:rsidRDefault="00246017" w:rsidP="00A926BD">
      <w:pPr>
        <w:pStyle w:val="4"/>
      </w:pPr>
      <w:r w:rsidRPr="00FD50F6">
        <w:rPr>
          <w:rFonts w:hint="eastAsia"/>
        </w:rPr>
        <w:t>侧式站台车站</w:t>
      </w:r>
      <w:r w:rsidR="000D32B6" w:rsidRPr="00FD50F6">
        <w:rPr>
          <w:rFonts w:hint="eastAsia"/>
        </w:rPr>
        <w:t>，当</w:t>
      </w:r>
      <w:r w:rsidRPr="00FD50F6">
        <w:rPr>
          <w:rFonts w:hint="eastAsia"/>
        </w:rPr>
        <w:t>上</w:t>
      </w:r>
      <w:r w:rsidR="000D32B6" w:rsidRPr="00FD50F6">
        <w:rPr>
          <w:rFonts w:hint="eastAsia"/>
        </w:rPr>
        <w:t>、</w:t>
      </w:r>
      <w:r w:rsidRPr="00FD50F6">
        <w:rPr>
          <w:rFonts w:hint="eastAsia"/>
        </w:rPr>
        <w:t>下行线路之间采</w:t>
      </w:r>
      <w:r w:rsidR="006359B8" w:rsidRPr="00FD50F6">
        <w:rPr>
          <w:rFonts w:hint="eastAsia"/>
        </w:rPr>
        <w:t>用耐火极限不低于</w:t>
      </w:r>
      <w:r w:rsidR="006359B8" w:rsidRPr="00FD50F6">
        <w:t>2.00h</w:t>
      </w:r>
      <w:r w:rsidR="006359B8" w:rsidRPr="00FD50F6">
        <w:rPr>
          <w:rFonts w:hint="eastAsia"/>
        </w:rPr>
        <w:t>的防火隔墙等分隔，且防火隔墙延伸至站台计算长度外各</w:t>
      </w:r>
      <w:r w:rsidR="006359B8" w:rsidRPr="00FD50F6">
        <w:t>10m</w:t>
      </w:r>
      <w:r w:rsidR="006359B8" w:rsidRPr="00FD50F6">
        <w:rPr>
          <w:rFonts w:hint="eastAsia"/>
        </w:rPr>
        <w:t>时，站台之间的过轨</w:t>
      </w:r>
      <w:r w:rsidR="006E7E89" w:rsidRPr="00FD50F6">
        <w:rPr>
          <w:rFonts w:hint="eastAsia"/>
        </w:rPr>
        <w:t>通</w:t>
      </w:r>
      <w:r w:rsidR="006359B8" w:rsidRPr="00FD50F6">
        <w:rPr>
          <w:rFonts w:hint="eastAsia"/>
        </w:rPr>
        <w:t>道可作为</w:t>
      </w:r>
      <w:r w:rsidR="00D6288D" w:rsidRPr="00FD50F6">
        <w:rPr>
          <w:rFonts w:hint="eastAsia"/>
        </w:rPr>
        <w:t>站台公共区</w:t>
      </w:r>
      <w:r w:rsidR="006359B8" w:rsidRPr="00FD50F6">
        <w:rPr>
          <w:rFonts w:hint="eastAsia"/>
        </w:rPr>
        <w:t>的安全出口</w:t>
      </w:r>
      <w:r w:rsidR="00F62631" w:rsidRPr="00FD50F6">
        <w:rPr>
          <w:rFonts w:hint="eastAsia"/>
        </w:rPr>
        <w:t>；</w:t>
      </w:r>
    </w:p>
    <w:p w14:paraId="4A7F79B7" w14:textId="08956BD4" w:rsidR="00264219" w:rsidRPr="00FD50F6" w:rsidRDefault="00221CC7" w:rsidP="00A926BD">
      <w:pPr>
        <w:pStyle w:val="4"/>
      </w:pPr>
      <w:r w:rsidRPr="00FD50F6">
        <w:rPr>
          <w:rFonts w:hint="eastAsia"/>
        </w:rPr>
        <w:t>车站</w:t>
      </w:r>
      <w:r w:rsidR="00264219" w:rsidRPr="00FD50F6">
        <w:rPr>
          <w:rFonts w:hint="eastAsia"/>
        </w:rPr>
        <w:t>公共区直通室外</w:t>
      </w:r>
      <w:r w:rsidR="0043683F" w:rsidRPr="00FD50F6">
        <w:rPr>
          <w:rFonts w:hint="eastAsia"/>
        </w:rPr>
        <w:t>地面或其他</w:t>
      </w:r>
      <w:r w:rsidR="007E02A9" w:rsidRPr="00FD50F6">
        <w:rPr>
          <w:rFonts w:hint="eastAsia"/>
        </w:rPr>
        <w:t>室外</w:t>
      </w:r>
      <w:r w:rsidR="0043683F" w:rsidRPr="00FD50F6">
        <w:rPr>
          <w:rFonts w:hint="eastAsia"/>
        </w:rPr>
        <w:t>安全区域</w:t>
      </w:r>
      <w:r w:rsidR="00264219" w:rsidRPr="00FD50F6">
        <w:rPr>
          <w:rFonts w:hint="eastAsia"/>
        </w:rPr>
        <w:t>的安全出口</w:t>
      </w:r>
      <w:r w:rsidR="00E2284B" w:rsidRPr="00FD50F6">
        <w:rPr>
          <w:rFonts w:hint="eastAsia"/>
        </w:rPr>
        <w:t>在公共区</w:t>
      </w:r>
      <w:r w:rsidR="00264219" w:rsidRPr="00FD50F6">
        <w:rPr>
          <w:rFonts w:hint="eastAsia"/>
        </w:rPr>
        <w:t>应分向</w:t>
      </w:r>
      <w:r w:rsidR="00093B94" w:rsidRPr="001A4CF3">
        <w:rPr>
          <w:rFonts w:hint="eastAsia"/>
        </w:rPr>
        <w:t>均匀</w:t>
      </w:r>
      <w:r w:rsidR="00264219" w:rsidRPr="00FD50F6">
        <w:rPr>
          <w:rFonts w:hint="eastAsia"/>
        </w:rPr>
        <w:t>布设，</w:t>
      </w:r>
      <w:r w:rsidR="00264219" w:rsidRPr="001A4CF3">
        <w:rPr>
          <w:rFonts w:hint="eastAsia"/>
        </w:rPr>
        <w:t>相邻</w:t>
      </w:r>
      <w:r w:rsidR="00DC0DC7" w:rsidRPr="00FD50F6">
        <w:rPr>
          <w:rFonts w:hint="eastAsia"/>
        </w:rPr>
        <w:t>布设的</w:t>
      </w:r>
      <w:r w:rsidR="00264219" w:rsidRPr="001A4CF3">
        <w:rPr>
          <w:rFonts w:hint="eastAsia"/>
        </w:rPr>
        <w:t>两个直通室外</w:t>
      </w:r>
      <w:r w:rsidR="0043683F" w:rsidRPr="00FD50F6">
        <w:rPr>
          <w:rFonts w:hint="eastAsia"/>
        </w:rPr>
        <w:t>地面</w:t>
      </w:r>
      <w:r w:rsidR="006054CB" w:rsidRPr="00FD50F6">
        <w:t>或其他</w:t>
      </w:r>
      <w:r w:rsidR="007E02A9" w:rsidRPr="00FD50F6">
        <w:rPr>
          <w:rFonts w:hint="eastAsia"/>
        </w:rPr>
        <w:t>室外</w:t>
      </w:r>
      <w:r w:rsidR="006054CB" w:rsidRPr="00FD50F6">
        <w:t>安全区域</w:t>
      </w:r>
      <w:r w:rsidR="00264219" w:rsidRPr="001A4CF3">
        <w:rPr>
          <w:rFonts w:hint="eastAsia"/>
        </w:rPr>
        <w:t>的安全出口边缘</w:t>
      </w:r>
      <w:r w:rsidR="00264219" w:rsidRPr="001A4CF3">
        <w:rPr>
          <w:rFonts w:hint="eastAsia"/>
        </w:rPr>
        <w:lastRenderedPageBreak/>
        <w:t>之间的水平距离不</w:t>
      </w:r>
      <w:r w:rsidR="00DC0DC7" w:rsidRPr="00FD50F6">
        <w:rPr>
          <w:rFonts w:hint="eastAsia"/>
        </w:rPr>
        <w:t>应小于</w:t>
      </w:r>
      <w:r w:rsidR="00674692" w:rsidRPr="00FD50F6">
        <w:rPr>
          <w:rFonts w:hint="eastAsia"/>
        </w:rPr>
        <w:t>2</w:t>
      </w:r>
      <w:r w:rsidR="00DC0DC7" w:rsidRPr="00FD50F6">
        <w:t>0m</w:t>
      </w:r>
      <w:r w:rsidR="00264219" w:rsidRPr="00FD50F6">
        <w:rPr>
          <w:rFonts w:hint="eastAsia"/>
        </w:rPr>
        <w:t>；</w:t>
      </w:r>
    </w:p>
    <w:p w14:paraId="176D461D" w14:textId="3E19E63B" w:rsidR="00264219" w:rsidRPr="00FD50F6" w:rsidRDefault="00264219" w:rsidP="00A926BD">
      <w:pPr>
        <w:pStyle w:val="4"/>
      </w:pPr>
      <w:r w:rsidRPr="00FD50F6">
        <w:rPr>
          <w:rFonts w:hint="eastAsia"/>
        </w:rPr>
        <w:t>站厅公共区内任一点至用于疏散的通道口或其他安全出口的</w:t>
      </w:r>
      <w:r w:rsidR="007E4041" w:rsidRPr="001A4CF3">
        <w:rPr>
          <w:rFonts w:hint="eastAsia"/>
        </w:rPr>
        <w:t>疏散</w:t>
      </w:r>
      <w:r w:rsidRPr="00FD50F6">
        <w:rPr>
          <w:rFonts w:hint="eastAsia"/>
        </w:rPr>
        <w:t>距离不应大于</w:t>
      </w:r>
      <w:r w:rsidRPr="00FD50F6">
        <w:rPr>
          <w:rFonts w:hint="eastAsia"/>
        </w:rPr>
        <w:t>50m</w:t>
      </w:r>
      <w:r w:rsidR="007E4041" w:rsidRPr="00FD50F6">
        <w:rPr>
          <w:rFonts w:hint="eastAsia"/>
        </w:rPr>
        <w:t>；</w:t>
      </w:r>
    </w:p>
    <w:p w14:paraId="562777D6" w14:textId="1637CACE" w:rsidR="00264219" w:rsidRPr="00FD50F6" w:rsidRDefault="00264219" w:rsidP="00A926BD">
      <w:pPr>
        <w:pStyle w:val="4"/>
      </w:pPr>
      <w:r w:rsidRPr="00FD50F6">
        <w:rPr>
          <w:rFonts w:hint="eastAsia"/>
        </w:rPr>
        <w:t>站台公共区内任一点至用于疏散的站台楼梯口、自动扶梯口、通道口或其他安全出口的</w:t>
      </w:r>
      <w:r w:rsidR="007E4041" w:rsidRPr="00FD50F6">
        <w:rPr>
          <w:rFonts w:hint="eastAsia"/>
        </w:rPr>
        <w:t>疏散</w:t>
      </w:r>
      <w:r w:rsidRPr="00FD50F6">
        <w:rPr>
          <w:rFonts w:hint="eastAsia"/>
        </w:rPr>
        <w:t>距离不应大于</w:t>
      </w:r>
      <w:r w:rsidRPr="00FD50F6">
        <w:rPr>
          <w:rFonts w:hint="eastAsia"/>
        </w:rPr>
        <w:t>50m</w:t>
      </w:r>
      <w:r w:rsidRPr="00FD50F6">
        <w:rPr>
          <w:rFonts w:hint="eastAsia"/>
        </w:rPr>
        <w:t>。</w:t>
      </w:r>
    </w:p>
    <w:p w14:paraId="224DBA73" w14:textId="255561C7" w:rsidR="00264219" w:rsidRPr="00FD50F6" w:rsidRDefault="00264219" w:rsidP="00264219">
      <w:pPr>
        <w:pStyle w:val="30"/>
      </w:pPr>
      <w:r w:rsidRPr="00FD50F6">
        <w:rPr>
          <w:rFonts w:hint="eastAsia"/>
        </w:rPr>
        <w:t>车站出入口</w:t>
      </w:r>
      <w:r w:rsidRPr="00FD50F6">
        <w:rPr>
          <w:rFonts w:ascii="宋体" w:hAnsi="宋体" w:hint="eastAsia"/>
        </w:rPr>
        <w:t>通道</w:t>
      </w:r>
      <w:r w:rsidR="00E1377A" w:rsidRPr="00FD50F6">
        <w:rPr>
          <w:rFonts w:ascii="宋体" w:hAnsi="宋体" w:hint="eastAsia"/>
        </w:rPr>
        <w:t>、安全出口</w:t>
      </w:r>
      <w:r w:rsidRPr="00FD50F6">
        <w:rPr>
          <w:rFonts w:hint="eastAsia"/>
        </w:rPr>
        <w:t>等供乘客使用的疏散设施应符合下列规定：</w:t>
      </w:r>
    </w:p>
    <w:p w14:paraId="1AF6897F" w14:textId="53D2E5D0" w:rsidR="00264219" w:rsidRPr="00FD50F6" w:rsidRDefault="00264219" w:rsidP="00A926BD">
      <w:pPr>
        <w:pStyle w:val="4"/>
      </w:pPr>
      <w:bookmarkStart w:id="1298" w:name="_Hlk93938088"/>
      <w:r w:rsidRPr="00FD50F6">
        <w:rPr>
          <w:rFonts w:hint="eastAsia"/>
        </w:rPr>
        <w:t>出入口通道计算长度为通道与</w:t>
      </w:r>
      <w:r w:rsidR="00825BD6" w:rsidRPr="001A4CF3">
        <w:rPr>
          <w:rFonts w:hint="eastAsia"/>
        </w:rPr>
        <w:t>车站</w:t>
      </w:r>
      <w:r w:rsidRPr="00FD50F6">
        <w:rPr>
          <w:rFonts w:hint="eastAsia"/>
        </w:rPr>
        <w:t>公共区的临界面至出入口楼梯和自动扶梯</w:t>
      </w:r>
      <w:r w:rsidR="00E2284B" w:rsidRPr="00FD50F6">
        <w:rPr>
          <w:rFonts w:hint="eastAsia"/>
        </w:rPr>
        <w:t>敞口段</w:t>
      </w:r>
      <w:r w:rsidRPr="00FD50F6">
        <w:rPr>
          <w:rFonts w:hint="eastAsia"/>
        </w:rPr>
        <w:t>之间的走行距离</w:t>
      </w:r>
      <w:bookmarkEnd w:id="1298"/>
      <w:r w:rsidRPr="00FD50F6">
        <w:rPr>
          <w:rFonts w:hint="eastAsia"/>
        </w:rPr>
        <w:t>；</w:t>
      </w:r>
    </w:p>
    <w:p w14:paraId="7F059E0E" w14:textId="5CC73593" w:rsidR="00264219" w:rsidRPr="00FD50F6" w:rsidRDefault="00264219" w:rsidP="00A926BD">
      <w:pPr>
        <w:pStyle w:val="4"/>
      </w:pPr>
      <w:r w:rsidRPr="00FD50F6">
        <w:rPr>
          <w:rFonts w:hint="eastAsia"/>
        </w:rPr>
        <w:t>当</w:t>
      </w:r>
      <w:r w:rsidR="00CC3677" w:rsidRPr="00FD50F6">
        <w:rPr>
          <w:rFonts w:hint="eastAsia"/>
        </w:rPr>
        <w:t>出入口</w:t>
      </w:r>
      <w:r w:rsidRPr="00FD50F6">
        <w:rPr>
          <w:rFonts w:hint="eastAsia"/>
        </w:rPr>
        <w:t>通道长度大于</w:t>
      </w:r>
      <w:r w:rsidRPr="00FD50F6">
        <w:t>100m</w:t>
      </w:r>
      <w:r w:rsidRPr="00FD50F6">
        <w:t>时，应增设安全出口，且该通道内任一点</w:t>
      </w:r>
      <w:r w:rsidRPr="001A4CF3">
        <w:t>至最近安全出口</w:t>
      </w:r>
      <w:r w:rsidR="00825BD6" w:rsidRPr="001A4CF3">
        <w:rPr>
          <w:rFonts w:hint="eastAsia"/>
        </w:rPr>
        <w:t>或其他安全区域</w:t>
      </w:r>
      <w:r w:rsidRPr="00FD50F6">
        <w:t>的疏散距离不</w:t>
      </w:r>
      <w:r w:rsidRPr="001A4CF3">
        <w:rPr>
          <w:rFonts w:hint="eastAsia"/>
        </w:rPr>
        <w:t>应大于</w:t>
      </w:r>
      <w:r w:rsidRPr="00FD50F6">
        <w:t>50m</w:t>
      </w:r>
      <w:r w:rsidRPr="00FD50F6">
        <w:t>；</w:t>
      </w:r>
    </w:p>
    <w:p w14:paraId="4E0BF7C2" w14:textId="4826C54C" w:rsidR="00E1377A" w:rsidRPr="00FD50F6" w:rsidRDefault="00E1377A" w:rsidP="00A926BD">
      <w:pPr>
        <w:pStyle w:val="4"/>
        <w:rPr>
          <w:rFonts w:ascii="宋体" w:hAnsi="宋体"/>
        </w:rPr>
      </w:pPr>
      <w:r w:rsidRPr="00FD50F6">
        <w:rPr>
          <w:rFonts w:hint="eastAsia"/>
        </w:rPr>
        <w:t>供乘客安全疏散使用的</w:t>
      </w:r>
      <w:r w:rsidRPr="001A4CF3">
        <w:rPr>
          <w:rFonts w:hint="eastAsia"/>
        </w:rPr>
        <w:t>安全出口、出入口通道</w:t>
      </w:r>
      <w:r w:rsidRPr="00FD50F6">
        <w:rPr>
          <w:rFonts w:hint="eastAsia"/>
        </w:rPr>
        <w:t>上不应设置防火卷帘，出入口地面亭开口处设置的管理卷帘门等夜间安防隔离设施在运营期间应设置手动开闭装置，在运营期间应开启</w:t>
      </w:r>
      <w:r w:rsidR="00CF6031" w:rsidRPr="00FD50F6">
        <w:rPr>
          <w:rFonts w:hint="eastAsia"/>
        </w:rPr>
        <w:t>；</w:t>
      </w:r>
    </w:p>
    <w:p w14:paraId="0E48F501" w14:textId="72CC0E28" w:rsidR="00E1377A" w:rsidRPr="00FD50F6" w:rsidRDefault="00E1377A" w:rsidP="00A926BD">
      <w:pPr>
        <w:pStyle w:val="4"/>
      </w:pPr>
      <w:r w:rsidRPr="00FD50F6">
        <w:rPr>
          <w:rFonts w:hint="eastAsia"/>
        </w:rPr>
        <w:t>竖井、爬梯、垂直电梯、设备区安全出口以及站台通向设备和管理用房区的楼梯，不应作为乘客的安全出口。</w:t>
      </w:r>
    </w:p>
    <w:p w14:paraId="1CA17F04" w14:textId="1078C6BF" w:rsidR="00E63712" w:rsidRPr="001A4CF3" w:rsidRDefault="00E06EF8" w:rsidP="001A4CF3">
      <w:pPr>
        <w:pStyle w:val="30"/>
        <w:rPr>
          <w:rFonts w:ascii="宋体" w:hAnsi="宋体"/>
        </w:rPr>
      </w:pPr>
      <w:r w:rsidRPr="00FD50F6">
        <w:rPr>
          <w:rFonts w:ascii="宋体" w:hAnsi="宋体" w:hint="eastAsia"/>
        </w:rPr>
        <w:t>车站</w:t>
      </w:r>
      <w:r w:rsidR="00E63712" w:rsidRPr="001A4CF3">
        <w:rPr>
          <w:rFonts w:ascii="宋体" w:hAnsi="宋体" w:hint="eastAsia"/>
        </w:rPr>
        <w:t>换乘通道与公共区划分为一个防火分区时，</w:t>
      </w:r>
      <w:r w:rsidR="00E63712" w:rsidRPr="00FD50F6">
        <w:rPr>
          <w:rFonts w:ascii="宋体" w:hAnsi="宋体" w:hint="eastAsia"/>
        </w:rPr>
        <w:t>通道内任一点至车站公共区直通室外</w:t>
      </w:r>
      <w:r w:rsidR="007E02A9" w:rsidRPr="00FD50F6">
        <w:rPr>
          <w:rFonts w:ascii="宋体" w:hAnsi="宋体" w:hint="eastAsia"/>
        </w:rPr>
        <w:t>地面</w:t>
      </w:r>
      <w:r w:rsidR="00E63712" w:rsidRPr="00FD50F6">
        <w:rPr>
          <w:rFonts w:ascii="宋体" w:hAnsi="宋体" w:hint="eastAsia"/>
        </w:rPr>
        <w:t>的安全出口的疏散距离不应大于</w:t>
      </w:r>
      <w:r w:rsidR="00E63712" w:rsidRPr="00FD50F6">
        <w:rPr>
          <w:rFonts w:ascii="宋体" w:hAnsi="宋体"/>
        </w:rPr>
        <w:t>50m</w:t>
      </w:r>
      <w:r w:rsidRPr="00FD50F6">
        <w:rPr>
          <w:rFonts w:ascii="宋体" w:hAnsi="宋体" w:hint="eastAsia"/>
        </w:rPr>
        <w:t>，换乘通道独立划分防火分区时，应符合下列规定：</w:t>
      </w:r>
    </w:p>
    <w:p w14:paraId="03BE6E84" w14:textId="5C4E68EF" w:rsidR="001E288E" w:rsidRPr="001A4CF3" w:rsidRDefault="00E1377A" w:rsidP="00A926BD">
      <w:pPr>
        <w:pStyle w:val="4"/>
      </w:pPr>
      <w:r w:rsidRPr="00FD50F6">
        <w:rPr>
          <w:rFonts w:hint="eastAsia"/>
        </w:rPr>
        <w:t>换乘</w:t>
      </w:r>
      <w:r w:rsidR="00E63712" w:rsidRPr="00FD50F6">
        <w:rPr>
          <w:rFonts w:hint="eastAsia"/>
        </w:rPr>
        <w:t>通道</w:t>
      </w:r>
      <w:r w:rsidRPr="00FD50F6">
        <w:rPr>
          <w:rFonts w:hint="eastAsia"/>
        </w:rPr>
        <w:t>应在通道两端</w:t>
      </w:r>
      <w:r w:rsidR="00E63712" w:rsidRPr="00FD50F6">
        <w:rPr>
          <w:rFonts w:hint="eastAsia"/>
        </w:rPr>
        <w:t>分别设置</w:t>
      </w:r>
      <w:r w:rsidRPr="00FD50F6">
        <w:rPr>
          <w:rFonts w:hint="eastAsia"/>
        </w:rPr>
        <w:t>耐火极限不低于</w:t>
      </w:r>
      <w:r w:rsidRPr="00FD50F6">
        <w:t>3.00h</w:t>
      </w:r>
      <w:r w:rsidRPr="00FD50F6">
        <w:t>的</w:t>
      </w:r>
      <w:r w:rsidRPr="00FD50F6">
        <w:rPr>
          <w:rFonts w:hint="eastAsia"/>
        </w:rPr>
        <w:t>火卷帘</w:t>
      </w:r>
      <w:r w:rsidR="00E63712" w:rsidRPr="00FD50F6">
        <w:rPr>
          <w:rFonts w:hint="eastAsia"/>
        </w:rPr>
        <w:t>等防火分隔措施</w:t>
      </w:r>
      <w:r w:rsidRPr="00FD50F6">
        <w:t>与</w:t>
      </w:r>
      <w:r w:rsidR="00E63712" w:rsidRPr="001A4CF3">
        <w:rPr>
          <w:rFonts w:hint="eastAsia"/>
        </w:rPr>
        <w:t>车站公共区</w:t>
      </w:r>
      <w:r w:rsidR="00E63712" w:rsidRPr="00FD50F6">
        <w:rPr>
          <w:rFonts w:hint="eastAsia"/>
        </w:rPr>
        <w:t>进行</w:t>
      </w:r>
      <w:r w:rsidRPr="00FD50F6">
        <w:t>分隔</w:t>
      </w:r>
      <w:r w:rsidRPr="00FD50F6">
        <w:rPr>
          <w:rFonts w:hint="eastAsia"/>
        </w:rPr>
        <w:t>，</w:t>
      </w:r>
      <w:r w:rsidR="00DC5D98" w:rsidRPr="00FD50F6">
        <w:rPr>
          <w:rFonts w:hint="eastAsia"/>
        </w:rPr>
        <w:t>防火卷帘可由新建车站控制，换乘车站之间应互通信息，车站火灾时</w:t>
      </w:r>
      <w:r w:rsidR="00FF300C">
        <w:rPr>
          <w:rFonts w:hint="eastAsia"/>
        </w:rPr>
        <w:t>应</w:t>
      </w:r>
      <w:r w:rsidR="00DC5D98" w:rsidRPr="00FD50F6">
        <w:rPr>
          <w:rFonts w:hint="eastAsia"/>
        </w:rPr>
        <w:t>落下火灾侧的防火卷帘，换乘通道火灾时</w:t>
      </w:r>
      <w:r w:rsidR="00FF300C">
        <w:rPr>
          <w:rFonts w:hint="eastAsia"/>
        </w:rPr>
        <w:t>应</w:t>
      </w:r>
      <w:r w:rsidR="00DC5D98" w:rsidRPr="00FD50F6">
        <w:rPr>
          <w:rFonts w:hint="eastAsia"/>
        </w:rPr>
        <w:t>同时落下两端的防火卷帘</w:t>
      </w:r>
      <w:r w:rsidR="001E288E" w:rsidRPr="00FD50F6">
        <w:rPr>
          <w:rFonts w:hint="eastAsia"/>
        </w:rPr>
        <w:t>；</w:t>
      </w:r>
    </w:p>
    <w:p w14:paraId="399C9094" w14:textId="54728B03" w:rsidR="009A596F" w:rsidRPr="001A4CF3" w:rsidRDefault="00C00959" w:rsidP="00A926BD">
      <w:pPr>
        <w:pStyle w:val="4"/>
      </w:pPr>
      <w:r w:rsidRPr="001A4CF3">
        <w:rPr>
          <w:rFonts w:hint="eastAsia"/>
        </w:rPr>
        <w:t>换乘通道</w:t>
      </w:r>
      <w:r w:rsidR="001E288E" w:rsidRPr="001A4CF3">
        <w:rPr>
          <w:rFonts w:hint="eastAsia"/>
        </w:rPr>
        <w:t>应至少设置</w:t>
      </w:r>
      <w:r w:rsidR="001E288E" w:rsidRPr="001A4CF3">
        <w:t>2</w:t>
      </w:r>
      <w:r w:rsidR="001E288E" w:rsidRPr="001A4CF3">
        <w:t>个</w:t>
      </w:r>
      <w:r w:rsidR="001E288E" w:rsidRPr="001A4CF3">
        <w:rPr>
          <w:rFonts w:hint="eastAsia"/>
        </w:rPr>
        <w:t>安全出口</w:t>
      </w:r>
      <w:r w:rsidR="001E288E" w:rsidRPr="00FD50F6">
        <w:rPr>
          <w:rFonts w:hint="eastAsia"/>
        </w:rPr>
        <w:t>，</w:t>
      </w:r>
      <w:r w:rsidRPr="001A4CF3">
        <w:rPr>
          <w:rFonts w:hint="eastAsia"/>
        </w:rPr>
        <w:t>且</w:t>
      </w:r>
      <w:r w:rsidR="008610E0" w:rsidRPr="001A4CF3">
        <w:rPr>
          <w:rFonts w:hint="eastAsia"/>
        </w:rPr>
        <w:t>通道内任一点至安全出口</w:t>
      </w:r>
      <w:r w:rsidR="00825BD6" w:rsidRPr="00FD50F6">
        <w:rPr>
          <w:rFonts w:hint="eastAsia"/>
        </w:rPr>
        <w:t>或其他安全区域</w:t>
      </w:r>
      <w:r w:rsidR="008610E0" w:rsidRPr="001A4CF3">
        <w:rPr>
          <w:rFonts w:hint="eastAsia"/>
        </w:rPr>
        <w:t>的疏散距离不</w:t>
      </w:r>
      <w:r w:rsidR="00E6105F" w:rsidRPr="00FD50F6">
        <w:rPr>
          <w:rFonts w:hint="eastAsia"/>
        </w:rPr>
        <w:t>应</w:t>
      </w:r>
      <w:r w:rsidR="008610E0" w:rsidRPr="001A4CF3">
        <w:rPr>
          <w:rFonts w:hint="eastAsia"/>
        </w:rPr>
        <w:t>大于</w:t>
      </w:r>
      <w:r w:rsidR="008610E0" w:rsidRPr="001A4CF3">
        <w:t>50m</w:t>
      </w:r>
      <w:r w:rsidR="008610E0" w:rsidRPr="001A4CF3">
        <w:rPr>
          <w:rFonts w:hint="eastAsia"/>
        </w:rPr>
        <w:t>；</w:t>
      </w:r>
    </w:p>
    <w:p w14:paraId="6E319CF2" w14:textId="2754CEFB" w:rsidR="00E06EF8" w:rsidRPr="00FD50F6" w:rsidRDefault="00E06EF8" w:rsidP="00A926BD">
      <w:pPr>
        <w:pStyle w:val="4"/>
      </w:pPr>
      <w:r w:rsidRPr="00FD50F6">
        <w:rPr>
          <w:rFonts w:hint="eastAsia"/>
        </w:rPr>
        <w:t>当车站公共区之间的换乘通道采取满足人员安全疏散的措施，且换乘通道与车站公共区的防火分隔处设置甲级防火门时</w:t>
      </w:r>
      <w:r w:rsidRPr="00FD50F6">
        <w:rPr>
          <w:rFonts w:ascii="宋体" w:hAnsi="宋体" w:hint="eastAsia"/>
        </w:rPr>
        <w:t>，换乘通道火灾时可借用</w:t>
      </w:r>
      <w:r w:rsidR="00672425" w:rsidRPr="00FD50F6">
        <w:rPr>
          <w:rFonts w:ascii="宋体" w:hAnsi="宋体" w:hint="eastAsia"/>
        </w:rPr>
        <w:t>该防火门向</w:t>
      </w:r>
      <w:r w:rsidRPr="00FD50F6">
        <w:rPr>
          <w:rFonts w:ascii="宋体" w:hAnsi="宋体" w:hint="eastAsia"/>
        </w:rPr>
        <w:t>相邻的车站公共区安全疏散</w:t>
      </w:r>
      <w:r w:rsidR="00672425" w:rsidRPr="00FD50F6">
        <w:rPr>
          <w:rFonts w:hint="eastAsia"/>
        </w:rPr>
        <w:t>；</w:t>
      </w:r>
    </w:p>
    <w:p w14:paraId="258A74A7" w14:textId="123ED25D" w:rsidR="00DC5D98" w:rsidRPr="00FD50F6" w:rsidRDefault="00DC5D98" w:rsidP="00A926BD">
      <w:pPr>
        <w:pStyle w:val="4"/>
      </w:pPr>
      <w:r w:rsidRPr="00FD50F6">
        <w:t>换乘通道的安全出口和借用相邻车站公共区换进行安全疏散的甲级防火门，其疏散能力应满足换乘通道内的客流疏散需求</w:t>
      </w:r>
      <w:r w:rsidRPr="00FD50F6">
        <w:rPr>
          <w:rFonts w:hint="eastAsia"/>
        </w:rPr>
        <w:t>；</w:t>
      </w:r>
    </w:p>
    <w:p w14:paraId="7B4A0406" w14:textId="61FC425A" w:rsidR="00E1377A" w:rsidRPr="00FD50F6" w:rsidRDefault="00E1377A" w:rsidP="00A926BD">
      <w:pPr>
        <w:pStyle w:val="4"/>
        <w:rPr>
          <w:rFonts w:ascii="宋体" w:hAnsi="宋体"/>
        </w:rPr>
      </w:pPr>
      <w:r w:rsidRPr="00FD50F6">
        <w:rPr>
          <w:rFonts w:ascii="宋体" w:hAnsi="宋体" w:hint="eastAsia"/>
        </w:rPr>
        <w:t>换乘通道内部应采用不燃材料装修，当</w:t>
      </w:r>
      <w:r w:rsidR="00E6190A" w:rsidRPr="00FD50F6">
        <w:rPr>
          <w:rFonts w:ascii="宋体" w:hAnsi="宋体" w:hint="eastAsia"/>
        </w:rPr>
        <w:t>符合现行国家标准</w:t>
      </w:r>
      <w:r w:rsidRPr="00FD50F6">
        <w:rPr>
          <w:rFonts w:hint="eastAsia"/>
        </w:rPr>
        <w:t>《建筑设计防火</w:t>
      </w:r>
      <w:r w:rsidRPr="00FD50F6">
        <w:rPr>
          <w:rFonts w:hint="eastAsia"/>
        </w:rPr>
        <w:lastRenderedPageBreak/>
        <w:t>规范》</w:t>
      </w:r>
      <w:r w:rsidRPr="00FD50F6">
        <w:t>GB</w:t>
      </w:r>
      <w:r w:rsidR="00B75D10" w:rsidRPr="00FD50F6">
        <w:t xml:space="preserve"> </w:t>
      </w:r>
      <w:r w:rsidRPr="00FD50F6">
        <w:t>50016</w:t>
      </w:r>
      <w:r w:rsidRPr="00FD50F6">
        <w:t>和</w:t>
      </w:r>
      <w:bookmarkStart w:id="1299" w:name="_Hlk94020988"/>
      <w:r w:rsidRPr="00FD50F6">
        <w:t>《建筑防烟排烟系统技术标准》</w:t>
      </w:r>
      <w:r w:rsidRPr="00FD50F6">
        <w:t>GB</w:t>
      </w:r>
      <w:r w:rsidR="00B75D10" w:rsidRPr="00FD50F6">
        <w:t xml:space="preserve"> </w:t>
      </w:r>
      <w:r w:rsidRPr="00FD50F6">
        <w:t>51251</w:t>
      </w:r>
      <w:r w:rsidRPr="00FD50F6">
        <w:t>规定的</w:t>
      </w:r>
      <w:r w:rsidRPr="00FD50F6">
        <w:rPr>
          <w:rFonts w:hint="eastAsia"/>
        </w:rPr>
        <w:t>自然通风</w:t>
      </w:r>
      <w:r w:rsidR="00AB7245" w:rsidRPr="00FD50F6">
        <w:rPr>
          <w:rFonts w:hint="eastAsia"/>
        </w:rPr>
        <w:t>和</w:t>
      </w:r>
      <w:r w:rsidRPr="00FD50F6">
        <w:rPr>
          <w:rFonts w:hint="eastAsia"/>
        </w:rPr>
        <w:t>自然排</w:t>
      </w:r>
      <w:r w:rsidRPr="00FD50F6">
        <w:rPr>
          <w:rFonts w:ascii="宋体" w:hAnsi="宋体" w:hint="eastAsia"/>
        </w:rPr>
        <w:t>烟条件时</w:t>
      </w:r>
      <w:bookmarkEnd w:id="1299"/>
      <w:r w:rsidRPr="00FD50F6">
        <w:rPr>
          <w:rFonts w:ascii="宋体" w:hAnsi="宋体" w:hint="eastAsia"/>
        </w:rPr>
        <w:t>，可作为车站公共区的安全出口。</w:t>
      </w:r>
    </w:p>
    <w:p w14:paraId="4039DCCD" w14:textId="16D75F46" w:rsidR="00264219" w:rsidRPr="00FD50F6" w:rsidRDefault="00DC5D98" w:rsidP="00264219">
      <w:pPr>
        <w:pStyle w:val="30"/>
      </w:pPr>
      <w:r w:rsidRPr="00FD50F6">
        <w:rPr>
          <w:rFonts w:hint="eastAsia"/>
        </w:rPr>
        <w:t>自动扶梯参与车站安全疏散时，</w:t>
      </w:r>
      <w:r w:rsidR="00C20771" w:rsidRPr="00FD50F6">
        <w:rPr>
          <w:rFonts w:hint="eastAsia"/>
        </w:rPr>
        <w:t>应</w:t>
      </w:r>
      <w:r w:rsidRPr="00FD50F6">
        <w:rPr>
          <w:rFonts w:hint="eastAsia"/>
        </w:rPr>
        <w:t>符合下列规定</w:t>
      </w:r>
      <w:r w:rsidR="00264219" w:rsidRPr="00FD50F6">
        <w:rPr>
          <w:rFonts w:hint="eastAsia"/>
        </w:rPr>
        <w:t>：</w:t>
      </w:r>
    </w:p>
    <w:p w14:paraId="16FABAF6" w14:textId="77777777" w:rsidR="00C20771" w:rsidRPr="001A4CF3" w:rsidRDefault="00264219" w:rsidP="00A926BD">
      <w:pPr>
        <w:pStyle w:val="4"/>
      </w:pPr>
      <w:r w:rsidRPr="001A4CF3">
        <w:rPr>
          <w:rFonts w:hint="eastAsia"/>
        </w:rPr>
        <w:t>自动扶梯应按一级负荷供电；</w:t>
      </w:r>
    </w:p>
    <w:p w14:paraId="3BBC9D24" w14:textId="584BD37A" w:rsidR="00C20771" w:rsidRPr="001A4CF3" w:rsidRDefault="00C20771" w:rsidP="00A926BD">
      <w:pPr>
        <w:pStyle w:val="4"/>
      </w:pPr>
      <w:r w:rsidRPr="001A4CF3">
        <w:rPr>
          <w:rFonts w:hint="eastAsia"/>
        </w:rPr>
        <w:t>自动扶梯的运行方向应与人员疏散方向一致；</w:t>
      </w:r>
    </w:p>
    <w:p w14:paraId="4DE54E96" w14:textId="37B59106" w:rsidR="00C20771" w:rsidRPr="001A4CF3" w:rsidRDefault="00C20771" w:rsidP="00A926BD">
      <w:pPr>
        <w:pStyle w:val="4"/>
      </w:pPr>
      <w:r w:rsidRPr="001A4CF3">
        <w:rPr>
          <w:rFonts w:hint="eastAsia"/>
        </w:rPr>
        <w:t>自动扶梯上、下平层通道不应配置阻挡装置或多功能立柱；</w:t>
      </w:r>
    </w:p>
    <w:p w14:paraId="3A746076" w14:textId="5F6ECE94" w:rsidR="00DC5D98" w:rsidRPr="001A4CF3" w:rsidRDefault="00C20771" w:rsidP="00A926BD">
      <w:pPr>
        <w:pStyle w:val="4"/>
      </w:pPr>
      <w:r w:rsidRPr="001A4CF3">
        <w:rPr>
          <w:rFonts w:hint="eastAsia"/>
        </w:rPr>
        <w:t>自动扶梯的下方和侧面应采取耐火极限不低于</w:t>
      </w:r>
      <w:r w:rsidRPr="001A4CF3">
        <w:t>2.00h</w:t>
      </w:r>
      <w:r w:rsidRPr="001A4CF3">
        <w:rPr>
          <w:rFonts w:hint="eastAsia"/>
        </w:rPr>
        <w:t>的防火分隔措施与其他部位分隔；</w:t>
      </w:r>
    </w:p>
    <w:p w14:paraId="5AAF9BAD" w14:textId="351CFEFE" w:rsidR="00264219" w:rsidRPr="001A4CF3" w:rsidRDefault="00DC5D98" w:rsidP="00A926BD">
      <w:pPr>
        <w:pStyle w:val="4"/>
      </w:pPr>
      <w:r w:rsidRPr="00FD50F6">
        <w:rPr>
          <w:rFonts w:hint="eastAsia"/>
        </w:rPr>
        <w:t>其他要求应符合本标准</w:t>
      </w:r>
      <w:r w:rsidRPr="001A4CF3">
        <w:rPr>
          <w:rFonts w:hint="eastAsia"/>
        </w:rPr>
        <w:t>第</w:t>
      </w:r>
      <w:r w:rsidRPr="001A4CF3">
        <w:t>27.1</w:t>
      </w:r>
      <w:r w:rsidRPr="001A4CF3">
        <w:rPr>
          <w:rFonts w:hint="eastAsia"/>
        </w:rPr>
        <w:t>节</w:t>
      </w:r>
      <w:r w:rsidRPr="00FD50F6">
        <w:rPr>
          <w:rFonts w:hint="eastAsia"/>
        </w:rPr>
        <w:t>的规定</w:t>
      </w:r>
      <w:r w:rsidR="00264219" w:rsidRPr="001A4CF3">
        <w:rPr>
          <w:rFonts w:hint="eastAsia"/>
        </w:rPr>
        <w:t>。</w:t>
      </w:r>
    </w:p>
    <w:p w14:paraId="1333EAF6" w14:textId="77777777" w:rsidR="00C20771" w:rsidRPr="001A4CF3" w:rsidRDefault="00C20771" w:rsidP="00264219">
      <w:pPr>
        <w:pStyle w:val="30"/>
        <w:rPr>
          <w:rFonts w:ascii="宋体" w:hAnsi="宋体"/>
          <w:szCs w:val="24"/>
        </w:rPr>
      </w:pPr>
      <w:r w:rsidRPr="00FD50F6">
        <w:rPr>
          <w:rFonts w:hint="eastAsia"/>
        </w:rPr>
        <w:t>自动人行道不得参与车站安全疏散。</w:t>
      </w:r>
    </w:p>
    <w:p w14:paraId="1DF43229" w14:textId="2C2B4647" w:rsidR="00264219" w:rsidRPr="00FD50F6" w:rsidRDefault="00264219" w:rsidP="00264219">
      <w:pPr>
        <w:pStyle w:val="30"/>
        <w:rPr>
          <w:rFonts w:ascii="宋体" w:hAnsi="宋体"/>
          <w:szCs w:val="24"/>
        </w:rPr>
      </w:pPr>
      <w:r w:rsidRPr="00FD50F6">
        <w:rPr>
          <w:rFonts w:hint="eastAsia"/>
        </w:rPr>
        <w:t>地下</w:t>
      </w:r>
      <w:r w:rsidRPr="00FD50F6">
        <w:rPr>
          <w:rFonts w:ascii="宋体" w:hAnsi="宋体" w:hint="eastAsia"/>
          <w:szCs w:val="24"/>
        </w:rPr>
        <w:t>车站</w:t>
      </w:r>
      <w:r w:rsidRPr="00FD50F6">
        <w:rPr>
          <w:rFonts w:hint="eastAsia"/>
          <w:szCs w:val="24"/>
        </w:rPr>
        <w:t>设备和管理</w:t>
      </w:r>
      <w:r w:rsidRPr="00FD50F6">
        <w:rPr>
          <w:rFonts w:hint="eastAsia"/>
        </w:rPr>
        <w:t>用房区的安全出口应符合下列规定：</w:t>
      </w:r>
    </w:p>
    <w:p w14:paraId="3C352177" w14:textId="57178CE3" w:rsidR="00264219" w:rsidRPr="00FD50F6" w:rsidRDefault="00264219" w:rsidP="00A926BD">
      <w:pPr>
        <w:pStyle w:val="4"/>
      </w:pPr>
      <w:r w:rsidRPr="00FD50F6">
        <w:rPr>
          <w:rFonts w:hint="eastAsia"/>
        </w:rPr>
        <w:t>有人值守的设备和管理用房区内，每个防火分区的安全出口数量不应少于</w:t>
      </w:r>
      <w:r w:rsidRPr="00FD50F6">
        <w:rPr>
          <w:rFonts w:hint="eastAsia"/>
        </w:rPr>
        <w:t>2</w:t>
      </w:r>
      <w:r w:rsidRPr="00FD50F6">
        <w:rPr>
          <w:rFonts w:hint="eastAsia"/>
        </w:rPr>
        <w:t>个；当</w:t>
      </w:r>
      <w:r w:rsidRPr="001A4CF3">
        <w:rPr>
          <w:rFonts w:hint="eastAsia"/>
        </w:rPr>
        <w:t>平面上</w:t>
      </w:r>
      <w:r w:rsidRPr="00FD50F6">
        <w:rPr>
          <w:rFonts w:hint="eastAsia"/>
        </w:rPr>
        <w:t>有</w:t>
      </w:r>
      <w:r w:rsidR="008610E0" w:rsidRPr="00FD50F6">
        <w:rPr>
          <w:rFonts w:hint="eastAsia"/>
        </w:rPr>
        <w:t>两</w:t>
      </w:r>
      <w:r w:rsidRPr="00FD50F6">
        <w:rPr>
          <w:rFonts w:hint="eastAsia"/>
        </w:rPr>
        <w:t>个或</w:t>
      </w:r>
      <w:r w:rsidR="008610E0" w:rsidRPr="00FD50F6">
        <w:rPr>
          <w:rFonts w:hint="eastAsia"/>
        </w:rPr>
        <w:t>两</w:t>
      </w:r>
      <w:r w:rsidRPr="00FD50F6">
        <w:rPr>
          <w:rFonts w:hint="eastAsia"/>
        </w:rPr>
        <w:t>个以上防火分区相邻布置时，每个防火分区可利用通向相邻防火分区的甲级防火门作为安全出口，但每个防火分区必须有</w:t>
      </w:r>
      <w:r w:rsidR="00A86D26" w:rsidRPr="00FD50F6">
        <w:rPr>
          <w:rFonts w:hint="eastAsia"/>
        </w:rPr>
        <w:t>1</w:t>
      </w:r>
      <w:r w:rsidRPr="00FD50F6">
        <w:rPr>
          <w:rFonts w:hint="eastAsia"/>
        </w:rPr>
        <w:t>个直通室外</w:t>
      </w:r>
      <w:r w:rsidR="007E02A9" w:rsidRPr="00FD50F6">
        <w:rPr>
          <w:rFonts w:hint="eastAsia"/>
        </w:rPr>
        <w:t>地面或其他室外安全区域</w:t>
      </w:r>
      <w:r w:rsidRPr="00FD50F6">
        <w:rPr>
          <w:rFonts w:hint="eastAsia"/>
        </w:rPr>
        <w:t>的安全出口。</w:t>
      </w:r>
    </w:p>
    <w:p w14:paraId="76CCA2F7" w14:textId="0A9D6676" w:rsidR="00C879FA" w:rsidRPr="00FD50F6" w:rsidRDefault="00112E60" w:rsidP="00A926BD">
      <w:pPr>
        <w:pStyle w:val="4"/>
      </w:pPr>
      <w:r w:rsidRPr="00FD50F6">
        <w:rPr>
          <w:rFonts w:hint="eastAsia"/>
        </w:rPr>
        <w:t>无人值守或经常停留人数不超过</w:t>
      </w:r>
      <w:r w:rsidRPr="00FD50F6">
        <w:rPr>
          <w:rFonts w:hint="eastAsia"/>
        </w:rPr>
        <w:t>3</w:t>
      </w:r>
      <w:r w:rsidRPr="00FD50F6">
        <w:rPr>
          <w:rFonts w:hint="eastAsia"/>
        </w:rPr>
        <w:t>人的设备和管理用房区，</w:t>
      </w:r>
      <w:bookmarkStart w:id="1300" w:name="_Hlk94820704"/>
      <w:r w:rsidRPr="00FD50F6">
        <w:rPr>
          <w:rFonts w:hint="eastAsia"/>
        </w:rPr>
        <w:t>每个防火分区的安全出口数量不</w:t>
      </w:r>
      <w:r w:rsidRPr="001A4CF3">
        <w:rPr>
          <w:rFonts w:hint="eastAsia"/>
        </w:rPr>
        <w:t>应</w:t>
      </w:r>
      <w:r w:rsidRPr="00FD50F6">
        <w:rPr>
          <w:rFonts w:hint="eastAsia"/>
        </w:rPr>
        <w:t>少于</w:t>
      </w:r>
      <w:r w:rsidRPr="00FD50F6">
        <w:rPr>
          <w:rFonts w:hint="eastAsia"/>
        </w:rPr>
        <w:t>2</w:t>
      </w:r>
      <w:r w:rsidRPr="00FD50F6">
        <w:rPr>
          <w:rFonts w:hint="eastAsia"/>
        </w:rPr>
        <w:t>个</w:t>
      </w:r>
      <w:bookmarkEnd w:id="1300"/>
      <w:r w:rsidRPr="00FD50F6">
        <w:rPr>
          <w:rFonts w:hint="eastAsia"/>
        </w:rPr>
        <w:t>，通向</w:t>
      </w:r>
      <w:bookmarkStart w:id="1301" w:name="_Hlk94821231"/>
      <w:r w:rsidRPr="00FD50F6">
        <w:rPr>
          <w:rFonts w:hint="eastAsia"/>
        </w:rPr>
        <w:t>公共区的安全出口、</w:t>
      </w:r>
      <w:bookmarkStart w:id="1302" w:name="_Hlk93836699"/>
      <w:r w:rsidRPr="00FD50F6">
        <w:rPr>
          <w:rFonts w:hint="eastAsia"/>
        </w:rPr>
        <w:t>相邻防火分区</w:t>
      </w:r>
      <w:r w:rsidRPr="001A4CF3">
        <w:rPr>
          <w:rFonts w:hint="eastAsia"/>
        </w:rPr>
        <w:t>的甲级防火门或</w:t>
      </w:r>
      <w:r>
        <w:rPr>
          <w:rFonts w:hint="eastAsia"/>
        </w:rPr>
        <w:t>安全疏散</w:t>
      </w:r>
      <w:r w:rsidRPr="001A4CF3">
        <w:rPr>
          <w:rFonts w:hint="eastAsia"/>
        </w:rPr>
        <w:t>楼梯间可作为安全出口</w:t>
      </w:r>
      <w:bookmarkEnd w:id="1301"/>
      <w:bookmarkEnd w:id="1302"/>
      <w:r w:rsidR="00C879FA" w:rsidRPr="00FD50F6">
        <w:rPr>
          <w:rFonts w:hint="eastAsia"/>
        </w:rPr>
        <w:t>；</w:t>
      </w:r>
    </w:p>
    <w:p w14:paraId="5D51B283" w14:textId="12CA98A0" w:rsidR="00264219" w:rsidRPr="00FD50F6" w:rsidRDefault="00C879FA" w:rsidP="00A926BD">
      <w:pPr>
        <w:pStyle w:val="4"/>
      </w:pPr>
      <w:bookmarkStart w:id="1303" w:name="_Hlk93834727"/>
      <w:r w:rsidRPr="00FD50F6">
        <w:rPr>
          <w:rFonts w:hint="eastAsia"/>
        </w:rPr>
        <w:t>当多个无人值守或经常停留人数不超过</w:t>
      </w:r>
      <w:r w:rsidRPr="00FD50F6">
        <w:rPr>
          <w:rFonts w:hint="eastAsia"/>
        </w:rPr>
        <w:t>3</w:t>
      </w:r>
      <w:r w:rsidRPr="00FD50F6">
        <w:rPr>
          <w:rFonts w:hint="eastAsia"/>
        </w:rPr>
        <w:t>人的设备和管理用房区相邻布置时，</w:t>
      </w:r>
      <w:bookmarkStart w:id="1304" w:name="_Hlk94782746"/>
      <w:r w:rsidR="00EB3986" w:rsidRPr="00FD50F6">
        <w:rPr>
          <w:rFonts w:hint="eastAsia"/>
        </w:rPr>
        <w:t>多个防火分区共用的</w:t>
      </w:r>
      <w:r w:rsidR="006F4494" w:rsidRPr="00FD50F6">
        <w:rPr>
          <w:rFonts w:hint="eastAsia"/>
        </w:rPr>
        <w:t>直通室外</w:t>
      </w:r>
      <w:r w:rsidR="007E02A9" w:rsidRPr="00FD50F6">
        <w:rPr>
          <w:rFonts w:hint="eastAsia"/>
        </w:rPr>
        <w:t>地面</w:t>
      </w:r>
      <w:r w:rsidR="006F4494" w:rsidRPr="00FD50F6">
        <w:rPr>
          <w:rFonts w:hint="eastAsia"/>
        </w:rPr>
        <w:t>或其他室外安全</w:t>
      </w:r>
      <w:r w:rsidR="007E02A9" w:rsidRPr="00FD50F6">
        <w:rPr>
          <w:rFonts w:hint="eastAsia"/>
        </w:rPr>
        <w:t>区域</w:t>
      </w:r>
      <w:r w:rsidR="006F4494" w:rsidRPr="00FD50F6">
        <w:rPr>
          <w:rFonts w:hint="eastAsia"/>
        </w:rPr>
        <w:t>的</w:t>
      </w:r>
      <w:r w:rsidR="00EB3986" w:rsidRPr="00FD50F6">
        <w:rPr>
          <w:rFonts w:hint="eastAsia"/>
        </w:rPr>
        <w:t>安全出口总数不应少于</w:t>
      </w:r>
      <w:r w:rsidR="00EB3986" w:rsidRPr="00FD50F6">
        <w:rPr>
          <w:rFonts w:hint="eastAsia"/>
        </w:rPr>
        <w:t>2</w:t>
      </w:r>
      <w:r w:rsidR="00EB3986" w:rsidRPr="00FD50F6">
        <w:rPr>
          <w:rFonts w:hint="eastAsia"/>
        </w:rPr>
        <w:t>个</w:t>
      </w:r>
      <w:bookmarkEnd w:id="1304"/>
      <w:r w:rsidR="00EB3986" w:rsidRPr="00FD50F6">
        <w:rPr>
          <w:rFonts w:hint="eastAsia"/>
        </w:rPr>
        <w:t>，</w:t>
      </w:r>
      <w:r w:rsidRPr="00FD50F6">
        <w:rPr>
          <w:rFonts w:hint="eastAsia"/>
        </w:rPr>
        <w:t>直通室外</w:t>
      </w:r>
      <w:r w:rsidR="007E02A9" w:rsidRPr="00FD50F6">
        <w:rPr>
          <w:rFonts w:hint="eastAsia"/>
        </w:rPr>
        <w:t>地面</w:t>
      </w:r>
      <w:r w:rsidRPr="00FD50F6">
        <w:rPr>
          <w:rFonts w:hint="eastAsia"/>
        </w:rPr>
        <w:t>、</w:t>
      </w:r>
      <w:r w:rsidRPr="001A4CF3">
        <w:rPr>
          <w:rFonts w:hint="eastAsia"/>
        </w:rPr>
        <w:t>通向</w:t>
      </w:r>
      <w:r w:rsidR="007E02A9" w:rsidRPr="001A4CF3">
        <w:rPr>
          <w:rFonts w:hint="eastAsia"/>
        </w:rPr>
        <w:t>相邻</w:t>
      </w:r>
      <w:r w:rsidRPr="001A4CF3">
        <w:rPr>
          <w:rFonts w:hint="eastAsia"/>
        </w:rPr>
        <w:t>车站公共区</w:t>
      </w:r>
      <w:r w:rsidR="00323A44" w:rsidRPr="001A4CF3">
        <w:rPr>
          <w:rFonts w:hint="eastAsia"/>
        </w:rPr>
        <w:t>或</w:t>
      </w:r>
      <w:r w:rsidRPr="001A4CF3">
        <w:rPr>
          <w:rFonts w:hint="eastAsia"/>
        </w:rPr>
        <w:t>通向具有直通室外</w:t>
      </w:r>
      <w:r w:rsidR="007E02A9" w:rsidRPr="001A4CF3">
        <w:rPr>
          <w:rFonts w:hint="eastAsia"/>
        </w:rPr>
        <w:t>地面</w:t>
      </w:r>
      <w:r w:rsidR="00EB3986" w:rsidRPr="001A4CF3">
        <w:rPr>
          <w:rFonts w:hint="eastAsia"/>
        </w:rPr>
        <w:t>或通向公共区</w:t>
      </w:r>
      <w:r w:rsidRPr="001A4CF3">
        <w:rPr>
          <w:rFonts w:hint="eastAsia"/>
        </w:rPr>
        <w:t>安全出口的防火分区的</w:t>
      </w:r>
      <w:r w:rsidR="00213A23" w:rsidRPr="001A4CF3">
        <w:rPr>
          <w:rFonts w:hint="eastAsia"/>
        </w:rPr>
        <w:t>甲级</w:t>
      </w:r>
      <w:r w:rsidR="00EB3986" w:rsidRPr="001A4CF3">
        <w:rPr>
          <w:rFonts w:hint="eastAsia"/>
        </w:rPr>
        <w:t>防火门可作为</w:t>
      </w:r>
      <w:r w:rsidRPr="001A4CF3">
        <w:rPr>
          <w:rFonts w:hint="eastAsia"/>
        </w:rPr>
        <w:t>安全出口</w:t>
      </w:r>
      <w:r w:rsidR="00323A44" w:rsidRPr="00FD50F6">
        <w:rPr>
          <w:rFonts w:hint="eastAsia"/>
        </w:rPr>
        <w:t>；</w:t>
      </w:r>
      <w:bookmarkEnd w:id="1303"/>
    </w:p>
    <w:p w14:paraId="223A3517" w14:textId="78FB883E" w:rsidR="00264219" w:rsidRPr="00FD50F6" w:rsidRDefault="00264219" w:rsidP="00A926BD">
      <w:pPr>
        <w:pStyle w:val="4"/>
      </w:pPr>
      <w:r w:rsidRPr="00FD50F6">
        <w:rPr>
          <w:rFonts w:hint="eastAsia"/>
        </w:rPr>
        <w:t>设有</w:t>
      </w:r>
      <w:r w:rsidR="004B17B7" w:rsidRPr="00FD50F6">
        <w:rPr>
          <w:rFonts w:hint="eastAsia"/>
        </w:rPr>
        <w:t>直通室外</w:t>
      </w:r>
      <w:r w:rsidR="00C03AD5" w:rsidRPr="00FD50F6">
        <w:rPr>
          <w:rFonts w:hint="eastAsia"/>
        </w:rPr>
        <w:t>地面</w:t>
      </w:r>
      <w:r w:rsidR="004B17B7" w:rsidRPr="00FD50F6">
        <w:rPr>
          <w:rFonts w:hint="eastAsia"/>
        </w:rPr>
        <w:t>的安全出口与</w:t>
      </w:r>
      <w:r w:rsidRPr="00FD50F6">
        <w:rPr>
          <w:rFonts w:hint="eastAsia"/>
        </w:rPr>
        <w:t>消防泵房的设备和管理用房区内的</w:t>
      </w:r>
      <w:r w:rsidR="004B17B7" w:rsidRPr="00FD50F6">
        <w:rPr>
          <w:rFonts w:hint="eastAsia"/>
        </w:rPr>
        <w:t>安全疏散</w:t>
      </w:r>
      <w:r w:rsidRPr="00FD50F6">
        <w:rPr>
          <w:rFonts w:hint="eastAsia"/>
        </w:rPr>
        <w:t>通道可作为该设备</w:t>
      </w:r>
      <w:r w:rsidR="004B17B7" w:rsidRPr="00FD50F6">
        <w:rPr>
          <w:rFonts w:hint="eastAsia"/>
        </w:rPr>
        <w:t>和</w:t>
      </w:r>
      <w:r w:rsidRPr="00FD50F6">
        <w:rPr>
          <w:rFonts w:hint="eastAsia"/>
        </w:rPr>
        <w:t>管理区人员的安全出口。</w:t>
      </w:r>
    </w:p>
    <w:p w14:paraId="2E13839B" w14:textId="64A6BE13" w:rsidR="00264219" w:rsidRPr="00FD50F6" w:rsidRDefault="00264219" w:rsidP="00A926BD">
      <w:pPr>
        <w:pStyle w:val="4"/>
      </w:pPr>
      <w:r w:rsidRPr="00FD50F6">
        <w:rPr>
          <w:rFonts w:hint="eastAsia"/>
        </w:rPr>
        <w:t>设在站台和站厅层之间的设备和管理用房区（层）不应利用公共区楼梯休息平台作为安全出口。</w:t>
      </w:r>
    </w:p>
    <w:p w14:paraId="3DAC9964" w14:textId="2C202D28" w:rsidR="00264219" w:rsidRPr="00FD50F6" w:rsidRDefault="00264219" w:rsidP="00A926BD">
      <w:pPr>
        <w:pStyle w:val="4"/>
      </w:pPr>
      <w:r w:rsidRPr="00FD50F6">
        <w:rPr>
          <w:rFonts w:hint="eastAsia"/>
        </w:rPr>
        <w:t>位于站台计算长度外的设备和管理用房区，可利用通向站台屏蔽门端门外的疏散走道向站台公共区疏散，疏散走道净宽不应小于</w:t>
      </w:r>
      <w:r w:rsidRPr="00FD50F6">
        <w:rPr>
          <w:rFonts w:hint="eastAsia"/>
        </w:rPr>
        <w:t>1.1m</w:t>
      </w:r>
      <w:r w:rsidRPr="00FD50F6">
        <w:rPr>
          <w:rFonts w:hint="eastAsia"/>
        </w:rPr>
        <w:t>。</w:t>
      </w:r>
    </w:p>
    <w:p w14:paraId="3AEE034A" w14:textId="6DDC15B0" w:rsidR="00264219" w:rsidRPr="00FD50F6" w:rsidRDefault="00264219" w:rsidP="00A926BD">
      <w:pPr>
        <w:pStyle w:val="4"/>
      </w:pPr>
      <w:r w:rsidRPr="00FD50F6">
        <w:rPr>
          <w:rFonts w:hint="eastAsia"/>
        </w:rPr>
        <w:t>当房间疏散门位于两个安全出口之间时，其疏散门至最近安全出口的最大距离不应大于</w:t>
      </w:r>
      <w:r w:rsidRPr="00FD50F6">
        <w:rPr>
          <w:rFonts w:hint="eastAsia"/>
        </w:rPr>
        <w:t>4</w:t>
      </w:r>
      <w:r w:rsidRPr="00FD50F6">
        <w:t>0</w:t>
      </w:r>
      <w:r w:rsidRPr="00FD50F6">
        <w:rPr>
          <w:rFonts w:hint="eastAsia"/>
        </w:rPr>
        <w:t>m</w:t>
      </w:r>
      <w:r w:rsidRPr="00FD50F6">
        <w:rPr>
          <w:rFonts w:hint="eastAsia"/>
        </w:rPr>
        <w:t>，当房间位于袋形走道两侧或尽端时，其疏散门至最近安全</w:t>
      </w:r>
      <w:r w:rsidRPr="00FD50F6">
        <w:rPr>
          <w:rFonts w:hint="eastAsia"/>
        </w:rPr>
        <w:lastRenderedPageBreak/>
        <w:t>出口的距离不应大于</w:t>
      </w:r>
      <w:r w:rsidRPr="00FD50F6">
        <w:rPr>
          <w:rFonts w:hint="eastAsia"/>
        </w:rPr>
        <w:t>22m</w:t>
      </w:r>
      <w:r w:rsidRPr="00FD50F6">
        <w:rPr>
          <w:rFonts w:hint="eastAsia"/>
        </w:rPr>
        <w:t>。</w:t>
      </w:r>
    </w:p>
    <w:p w14:paraId="5800F045" w14:textId="37C86104" w:rsidR="00264219" w:rsidRPr="00FD50F6" w:rsidRDefault="00264219" w:rsidP="00A926BD">
      <w:pPr>
        <w:pStyle w:val="4"/>
      </w:pPr>
      <w:r w:rsidRPr="00FD50F6">
        <w:rPr>
          <w:rFonts w:hint="eastAsia"/>
        </w:rPr>
        <w:t>地下车站有水设备房间内任一点到该房间直接通向疏散走道的疏散门之间的直线距离不应大于</w:t>
      </w:r>
      <w:r w:rsidRPr="00FD50F6">
        <w:t>45m</w:t>
      </w:r>
      <w:r w:rsidRPr="00FD50F6">
        <w:rPr>
          <w:rFonts w:hint="eastAsia"/>
        </w:rPr>
        <w:t>。</w:t>
      </w:r>
    </w:p>
    <w:p w14:paraId="370E5E5C" w14:textId="09B8D684" w:rsidR="00264219" w:rsidRPr="00FD50F6" w:rsidRDefault="00264219" w:rsidP="00264219">
      <w:pPr>
        <w:pStyle w:val="30"/>
      </w:pPr>
      <w:r w:rsidRPr="00FD50F6">
        <w:rPr>
          <w:rFonts w:hint="eastAsia"/>
        </w:rPr>
        <w:t>车站设备管理用房区的楼梯间应符合下列规定：</w:t>
      </w:r>
    </w:p>
    <w:p w14:paraId="3D46BA5A" w14:textId="4FF6B08F" w:rsidR="00264219" w:rsidRPr="00FD50F6" w:rsidRDefault="00264219" w:rsidP="00A926BD">
      <w:pPr>
        <w:pStyle w:val="4"/>
      </w:pPr>
      <w:r w:rsidRPr="00FD50F6">
        <w:rPr>
          <w:rFonts w:hint="eastAsia"/>
        </w:rPr>
        <w:t>大于或等于三层的地下车站设备和管理用房区内的楼梯间</w:t>
      </w:r>
      <w:r w:rsidR="00E903FB" w:rsidRPr="00FD50F6">
        <w:rPr>
          <w:rFonts w:hint="eastAsia"/>
        </w:rPr>
        <w:t>，</w:t>
      </w:r>
      <w:r w:rsidRPr="00FD50F6">
        <w:rPr>
          <w:rFonts w:hint="eastAsia"/>
        </w:rPr>
        <w:t>及</w:t>
      </w:r>
      <w:r w:rsidR="00E903FB" w:rsidRPr="00FD50F6">
        <w:rPr>
          <w:rFonts w:hint="eastAsia"/>
        </w:rPr>
        <w:t>直通室外</w:t>
      </w:r>
      <w:r w:rsidR="00C03AD5" w:rsidRPr="00FD50F6">
        <w:rPr>
          <w:rFonts w:hint="eastAsia"/>
        </w:rPr>
        <w:t>地面</w:t>
      </w:r>
      <w:r w:rsidR="00E903FB" w:rsidRPr="00FD50F6">
        <w:rPr>
          <w:rFonts w:hint="eastAsia"/>
        </w:rPr>
        <w:t>的安全出口楼梯间的最底层</w:t>
      </w:r>
      <w:r w:rsidRPr="00FD50F6">
        <w:rPr>
          <w:rFonts w:hint="eastAsia"/>
        </w:rPr>
        <w:t>室内地饰面与室外</w:t>
      </w:r>
      <w:r w:rsidR="00E903FB" w:rsidRPr="00FD50F6">
        <w:rPr>
          <w:rFonts w:hint="eastAsia"/>
        </w:rPr>
        <w:t>设计地面</w:t>
      </w:r>
      <w:r w:rsidRPr="00FD50F6">
        <w:rPr>
          <w:rFonts w:hint="eastAsia"/>
        </w:rPr>
        <w:t>高差大于</w:t>
      </w:r>
      <w:r w:rsidRPr="00FD50F6">
        <w:rPr>
          <w:rFonts w:hint="eastAsia"/>
        </w:rPr>
        <w:t>10m</w:t>
      </w:r>
      <w:r w:rsidRPr="00FD50F6">
        <w:rPr>
          <w:rFonts w:hint="eastAsia"/>
        </w:rPr>
        <w:t>的楼梯间应为防烟楼梯间；</w:t>
      </w:r>
    </w:p>
    <w:p w14:paraId="41CC9512" w14:textId="28A48103" w:rsidR="006B3049" w:rsidRPr="00FD50F6" w:rsidRDefault="00264219" w:rsidP="00A926BD">
      <w:pPr>
        <w:pStyle w:val="4"/>
      </w:pPr>
      <w:bookmarkStart w:id="1305" w:name="_Hlk93823807"/>
      <w:r w:rsidRPr="00FD50F6">
        <w:rPr>
          <w:rFonts w:hint="eastAsia"/>
        </w:rPr>
        <w:t>封闭楼梯间及防烟楼梯间的设置应</w:t>
      </w:r>
      <w:r w:rsidR="00E6190A" w:rsidRPr="00FD50F6">
        <w:rPr>
          <w:rFonts w:hint="eastAsia"/>
        </w:rPr>
        <w:t>符合</w:t>
      </w:r>
      <w:r w:rsidRPr="00FD50F6">
        <w:rPr>
          <w:rFonts w:hint="eastAsia"/>
        </w:rPr>
        <w:t>现行国家标准《建筑设计防火规范》</w:t>
      </w:r>
      <w:r w:rsidRPr="00FD50F6">
        <w:rPr>
          <w:rFonts w:hint="eastAsia"/>
        </w:rPr>
        <w:t>GB</w:t>
      </w:r>
      <w:r w:rsidR="00DC5D98" w:rsidRPr="00FD50F6">
        <w:t xml:space="preserve"> </w:t>
      </w:r>
      <w:r w:rsidRPr="00FD50F6">
        <w:t>50016</w:t>
      </w:r>
      <w:r w:rsidR="00EF02B1" w:rsidRPr="00FD50F6">
        <w:rPr>
          <w:rFonts w:hint="eastAsia"/>
        </w:rPr>
        <w:t>和</w:t>
      </w:r>
      <w:r w:rsidRPr="00FD50F6">
        <w:rPr>
          <w:rFonts w:hint="eastAsia"/>
        </w:rPr>
        <w:t>《建筑防烟排烟系统技术标准》</w:t>
      </w:r>
      <w:r w:rsidRPr="00FD50F6">
        <w:rPr>
          <w:rFonts w:hint="eastAsia"/>
        </w:rPr>
        <w:t>GB</w:t>
      </w:r>
      <w:r w:rsidR="00DC5D98" w:rsidRPr="00FD50F6">
        <w:t xml:space="preserve"> </w:t>
      </w:r>
      <w:r w:rsidRPr="00FD50F6">
        <w:t>51251</w:t>
      </w:r>
      <w:r w:rsidRPr="00FD50F6">
        <w:rPr>
          <w:rFonts w:hint="eastAsia"/>
        </w:rPr>
        <w:t>的规定</w:t>
      </w:r>
      <w:bookmarkEnd w:id="1305"/>
      <w:r w:rsidR="006B3049" w:rsidRPr="00FD50F6">
        <w:rPr>
          <w:rFonts w:hint="eastAsia"/>
        </w:rPr>
        <w:t>；</w:t>
      </w:r>
    </w:p>
    <w:p w14:paraId="743FB93C" w14:textId="6464539A" w:rsidR="00264219" w:rsidRPr="00FD50F6" w:rsidRDefault="00E679F9" w:rsidP="00A926BD">
      <w:pPr>
        <w:pStyle w:val="4"/>
      </w:pPr>
      <w:bookmarkStart w:id="1306" w:name="_Hlk94783874"/>
      <w:r w:rsidRPr="00FD50F6">
        <w:rPr>
          <w:rFonts w:hint="eastAsia"/>
        </w:rPr>
        <w:t>多层车站设备管理用房区共用</w:t>
      </w:r>
      <w:r w:rsidR="00004012" w:rsidRPr="00FD50F6">
        <w:rPr>
          <w:rFonts w:hint="eastAsia"/>
        </w:rPr>
        <w:t>直通室外</w:t>
      </w:r>
      <w:r w:rsidR="00C03AD5" w:rsidRPr="00FD50F6">
        <w:rPr>
          <w:rFonts w:hint="eastAsia"/>
        </w:rPr>
        <w:t>地面</w:t>
      </w:r>
      <w:r w:rsidR="00004012" w:rsidRPr="00FD50F6">
        <w:rPr>
          <w:rFonts w:hint="eastAsia"/>
        </w:rPr>
        <w:t>或其他室外安全</w:t>
      </w:r>
      <w:r w:rsidR="00C03AD5" w:rsidRPr="00FD50F6">
        <w:rPr>
          <w:rFonts w:hint="eastAsia"/>
        </w:rPr>
        <w:t>区域</w:t>
      </w:r>
      <w:r w:rsidR="00004012" w:rsidRPr="00FD50F6">
        <w:rPr>
          <w:rFonts w:hint="eastAsia"/>
        </w:rPr>
        <w:t>的疏散楼梯时，上层疏散楼梯的总净宽度应按该层及以下疏散人数最多一层的人数计算</w:t>
      </w:r>
      <w:bookmarkEnd w:id="1306"/>
      <w:r w:rsidR="00264219" w:rsidRPr="00FD50F6">
        <w:rPr>
          <w:rFonts w:hint="eastAsia"/>
        </w:rPr>
        <w:t>。</w:t>
      </w:r>
    </w:p>
    <w:p w14:paraId="4BB2298F" w14:textId="37D0099A" w:rsidR="00264219" w:rsidRPr="00FD50F6" w:rsidRDefault="00264219" w:rsidP="00264219">
      <w:pPr>
        <w:pStyle w:val="30"/>
        <w:rPr>
          <w:b/>
        </w:rPr>
      </w:pPr>
      <w:r w:rsidRPr="00FD50F6">
        <w:rPr>
          <w:rFonts w:hint="eastAsia"/>
        </w:rPr>
        <w:t>地上车站的消防泵房宜布置在首层，当布置在其他楼层时，应靠近安全出口；地下车站的消防</w:t>
      </w:r>
      <w:r w:rsidRPr="00FD50F6">
        <w:rPr>
          <w:rFonts w:ascii="宋体" w:hAnsi="宋体" w:hint="eastAsia"/>
        </w:rPr>
        <w:t>泵房</w:t>
      </w:r>
      <w:r w:rsidRPr="00FD50F6">
        <w:rPr>
          <w:rFonts w:hint="eastAsia"/>
        </w:rPr>
        <w:t>应布置在站厅层及以上楼层，并宜布置在设备管理区内的</w:t>
      </w:r>
      <w:r w:rsidR="00CF5A56" w:rsidRPr="00FD50F6">
        <w:rPr>
          <w:rFonts w:hint="eastAsia"/>
        </w:rPr>
        <w:t>安全出口</w:t>
      </w:r>
      <w:r w:rsidRPr="00FD50F6">
        <w:rPr>
          <w:rFonts w:hint="eastAsia"/>
        </w:rPr>
        <w:t>附近。</w:t>
      </w:r>
    </w:p>
    <w:p w14:paraId="0CF1290C" w14:textId="430D2DD7" w:rsidR="00264219" w:rsidRPr="00FD50F6" w:rsidRDefault="00264219" w:rsidP="00264219">
      <w:pPr>
        <w:pStyle w:val="30"/>
      </w:pPr>
      <w:r w:rsidRPr="00FD50F6">
        <w:rPr>
          <w:rFonts w:hint="eastAsia"/>
        </w:rPr>
        <w:t>车辆基地建筑的上部不宜设置非地铁功能的建筑，当</w:t>
      </w:r>
      <w:r w:rsidR="00B967D8" w:rsidRPr="00FD50F6">
        <w:rPr>
          <w:rFonts w:hint="eastAsia"/>
        </w:rPr>
        <w:t>车辆基地进行上盖规划和建筑设计</w:t>
      </w:r>
      <w:r w:rsidRPr="00FD50F6">
        <w:rPr>
          <w:rFonts w:hint="eastAsia"/>
        </w:rPr>
        <w:t>时，应符合下列规定：</w:t>
      </w:r>
    </w:p>
    <w:p w14:paraId="1AC05986" w14:textId="0484819A" w:rsidR="00264219" w:rsidRPr="00FD50F6" w:rsidRDefault="00264219" w:rsidP="00A926BD">
      <w:pPr>
        <w:pStyle w:val="4"/>
      </w:pPr>
      <w:r w:rsidRPr="00FD50F6">
        <w:rPr>
          <w:rFonts w:hint="eastAsia"/>
        </w:rPr>
        <w:t>车辆基地与上盖建筑的防火设计应各自独立。车辆基地内的厂房</w:t>
      </w:r>
      <w:r w:rsidR="00133114" w:rsidRPr="00FD50F6">
        <w:rPr>
          <w:rFonts w:hint="eastAsia"/>
        </w:rPr>
        <w:t>、仓库</w:t>
      </w:r>
      <w:r w:rsidRPr="00FD50F6">
        <w:rPr>
          <w:rFonts w:hint="eastAsia"/>
        </w:rPr>
        <w:t>等建筑的防火设计应符合现行国家标准《地铁设计防火标准》</w:t>
      </w:r>
      <w:r w:rsidRPr="00FD50F6">
        <w:rPr>
          <w:rFonts w:hint="eastAsia"/>
        </w:rPr>
        <w:t>GB</w:t>
      </w:r>
      <w:r w:rsidRPr="00FD50F6">
        <w:t xml:space="preserve"> </w:t>
      </w:r>
      <w:r w:rsidRPr="00FD50F6">
        <w:rPr>
          <w:rFonts w:hint="eastAsia"/>
        </w:rPr>
        <w:t>51298</w:t>
      </w:r>
      <w:r w:rsidR="0048540D" w:rsidRPr="001A4CF3">
        <w:rPr>
          <w:rFonts w:hint="eastAsia"/>
        </w:rPr>
        <w:t>等</w:t>
      </w:r>
      <w:r w:rsidRPr="00FD50F6">
        <w:rPr>
          <w:rFonts w:hint="eastAsia"/>
        </w:rPr>
        <w:t>规定；</w:t>
      </w:r>
      <w:r w:rsidR="006B6D19" w:rsidRPr="00FD50F6">
        <w:rPr>
          <w:rFonts w:hint="eastAsia"/>
        </w:rPr>
        <w:t>上盖</w:t>
      </w:r>
      <w:r w:rsidRPr="00FD50F6">
        <w:rPr>
          <w:rFonts w:hint="eastAsia"/>
        </w:rPr>
        <w:t>建筑的防火设计应符合现行国家标准《建筑设计防火规范》</w:t>
      </w:r>
      <w:r w:rsidRPr="00FD50F6">
        <w:rPr>
          <w:rFonts w:hint="eastAsia"/>
        </w:rPr>
        <w:t>GB</w:t>
      </w:r>
      <w:r w:rsidRPr="00FD50F6">
        <w:t xml:space="preserve"> </w:t>
      </w:r>
      <w:r w:rsidRPr="00FD50F6">
        <w:rPr>
          <w:rFonts w:hint="eastAsia"/>
        </w:rPr>
        <w:t>50016</w:t>
      </w:r>
      <w:r w:rsidR="0048540D" w:rsidRPr="001A4CF3">
        <w:rPr>
          <w:rFonts w:hint="eastAsia"/>
        </w:rPr>
        <w:t>等</w:t>
      </w:r>
      <w:r w:rsidRPr="00FD50F6">
        <w:rPr>
          <w:rFonts w:hint="eastAsia"/>
        </w:rPr>
        <w:t>规定</w:t>
      </w:r>
      <w:r w:rsidR="0024243F" w:rsidRPr="00FD50F6">
        <w:rPr>
          <w:rFonts w:hint="eastAsia"/>
        </w:rPr>
        <w:t>；</w:t>
      </w:r>
    </w:p>
    <w:p w14:paraId="15E252E2" w14:textId="469E5F66" w:rsidR="00133114" w:rsidRPr="00FD50F6" w:rsidRDefault="00133114" w:rsidP="00A926BD">
      <w:pPr>
        <w:pStyle w:val="4"/>
      </w:pPr>
      <w:bookmarkStart w:id="1307" w:name="_Hlk93743714"/>
      <w:r w:rsidRPr="00FD50F6">
        <w:rPr>
          <w:rFonts w:hint="eastAsia"/>
        </w:rPr>
        <w:t>车辆基地与</w:t>
      </w:r>
      <w:r w:rsidR="006B6D19" w:rsidRPr="00FD50F6">
        <w:rPr>
          <w:rFonts w:hint="eastAsia"/>
        </w:rPr>
        <w:t>上盖</w:t>
      </w:r>
      <w:r w:rsidRPr="00FD50F6">
        <w:rPr>
          <w:rFonts w:hint="eastAsia"/>
        </w:rPr>
        <w:t>建筑的人员安全出口应分别独立设置，且不应相互借用</w:t>
      </w:r>
      <w:bookmarkEnd w:id="1307"/>
      <w:r w:rsidRPr="00FD50F6">
        <w:rPr>
          <w:rFonts w:hint="eastAsia"/>
        </w:rPr>
        <w:t>；</w:t>
      </w:r>
    </w:p>
    <w:p w14:paraId="60372AF1" w14:textId="4416CB85" w:rsidR="00264219" w:rsidRPr="00FD50F6" w:rsidRDefault="00264219" w:rsidP="00A926BD">
      <w:pPr>
        <w:pStyle w:val="4"/>
      </w:pPr>
      <w:r w:rsidRPr="001A4CF3">
        <w:rPr>
          <w:rFonts w:hint="eastAsia"/>
        </w:rPr>
        <w:t>车辆基地</w:t>
      </w:r>
      <w:r w:rsidR="006B4657" w:rsidRPr="00FD50F6">
        <w:rPr>
          <w:rFonts w:hint="eastAsia"/>
        </w:rPr>
        <w:t>与</w:t>
      </w:r>
      <w:r w:rsidR="00CB76D1" w:rsidRPr="00FD50F6">
        <w:rPr>
          <w:rFonts w:hint="eastAsia"/>
        </w:rPr>
        <w:t>上盖</w:t>
      </w:r>
      <w:r w:rsidRPr="00FD50F6">
        <w:rPr>
          <w:rFonts w:hint="eastAsia"/>
        </w:rPr>
        <w:t>建筑应各自独立设置不少于</w:t>
      </w:r>
      <w:r w:rsidRPr="00FD50F6">
        <w:rPr>
          <w:rFonts w:hint="eastAsia"/>
        </w:rPr>
        <w:t>2</w:t>
      </w:r>
      <w:r w:rsidRPr="00FD50F6">
        <w:rPr>
          <w:rFonts w:hint="eastAsia"/>
        </w:rPr>
        <w:t>处与市政道路连接的消防车道出入口</w:t>
      </w:r>
      <w:r w:rsidR="007B18C8" w:rsidRPr="00FD50F6">
        <w:rPr>
          <w:rFonts w:hint="eastAsia"/>
        </w:rPr>
        <w:t>，</w:t>
      </w:r>
      <w:r w:rsidR="00A9486C" w:rsidRPr="00FD50F6">
        <w:rPr>
          <w:rFonts w:hint="eastAsia"/>
        </w:rPr>
        <w:t>两个</w:t>
      </w:r>
      <w:r w:rsidR="007B18C8" w:rsidRPr="001A4CF3">
        <w:rPr>
          <w:rFonts w:hint="eastAsia"/>
        </w:rPr>
        <w:t>出入口</w:t>
      </w:r>
      <w:r w:rsidR="00A9486C" w:rsidRPr="00FD50F6">
        <w:rPr>
          <w:rFonts w:hint="eastAsia"/>
        </w:rPr>
        <w:t>水平</w:t>
      </w:r>
      <w:r w:rsidR="007B18C8" w:rsidRPr="001A4CF3">
        <w:rPr>
          <w:rFonts w:hint="eastAsia"/>
        </w:rPr>
        <w:t>间距不应小于</w:t>
      </w:r>
      <w:r w:rsidR="00A9486C" w:rsidRPr="001A4CF3">
        <w:t>15</w:t>
      </w:r>
      <w:r w:rsidR="007B18C8" w:rsidRPr="001A4CF3">
        <w:t>m</w:t>
      </w:r>
      <w:r w:rsidR="00B81298" w:rsidRPr="00FD50F6">
        <w:rPr>
          <w:rFonts w:hint="eastAsia"/>
        </w:rPr>
        <w:t>，不宜小于</w:t>
      </w:r>
      <w:r w:rsidR="00B81298" w:rsidRPr="00FD50F6">
        <w:rPr>
          <w:rFonts w:hint="eastAsia"/>
        </w:rPr>
        <w:t>20</w:t>
      </w:r>
      <w:r w:rsidR="00B81298" w:rsidRPr="00FD50F6">
        <w:t>m</w:t>
      </w:r>
      <w:r w:rsidR="00B110DA" w:rsidRPr="00FD50F6">
        <w:rPr>
          <w:rFonts w:hint="eastAsia"/>
        </w:rPr>
        <w:t>且应满足消防救援车的进出需求</w:t>
      </w:r>
      <w:r w:rsidR="0024243F" w:rsidRPr="00FD50F6">
        <w:rPr>
          <w:rFonts w:hint="eastAsia"/>
        </w:rPr>
        <w:t>；</w:t>
      </w:r>
    </w:p>
    <w:p w14:paraId="3F774168" w14:textId="2C941A4E" w:rsidR="00264219" w:rsidRPr="001A4CF3" w:rsidRDefault="00264219" w:rsidP="00A926BD">
      <w:pPr>
        <w:pStyle w:val="4"/>
      </w:pPr>
      <w:r w:rsidRPr="001A4CF3">
        <w:rPr>
          <w:rFonts w:hint="eastAsia"/>
        </w:rPr>
        <w:t>车辆基地与盖板上部其他功能场所之间应采用耐火极限不低于</w:t>
      </w:r>
      <w:r w:rsidRPr="001A4CF3">
        <w:t>3.00h</w:t>
      </w:r>
      <w:r w:rsidRPr="001A4CF3">
        <w:rPr>
          <w:rFonts w:hint="eastAsia"/>
        </w:rPr>
        <w:t>的</w:t>
      </w:r>
      <w:r w:rsidR="00946642" w:rsidRPr="001A4CF3">
        <w:rPr>
          <w:rFonts w:hint="eastAsia"/>
        </w:rPr>
        <w:t>板地</w:t>
      </w:r>
      <w:r w:rsidRPr="001A4CF3">
        <w:rPr>
          <w:rFonts w:hint="eastAsia"/>
        </w:rPr>
        <w:t>分隔，</w:t>
      </w:r>
      <w:r w:rsidR="0024243F" w:rsidRPr="00FD50F6">
        <w:rPr>
          <w:rFonts w:hint="eastAsia"/>
        </w:rPr>
        <w:t>盖板下车辆基地的</w:t>
      </w:r>
      <w:r w:rsidRPr="001A4CF3">
        <w:rPr>
          <w:rFonts w:hint="eastAsia"/>
        </w:rPr>
        <w:t>承重柱和承重墙的耐火极限不应低于</w:t>
      </w:r>
      <w:r w:rsidRPr="001A4CF3">
        <w:t>3.</w:t>
      </w:r>
      <w:r w:rsidR="0024243F" w:rsidRPr="00FD50F6">
        <w:rPr>
          <w:rFonts w:hint="eastAsia"/>
        </w:rPr>
        <w:t>5</w:t>
      </w:r>
      <w:r w:rsidRPr="001A4CF3">
        <w:t>0h</w:t>
      </w:r>
      <w:r w:rsidR="00951EBC" w:rsidRPr="00FD50F6">
        <w:rPr>
          <w:rFonts w:hint="eastAsia"/>
        </w:rPr>
        <w:t>，</w:t>
      </w:r>
      <w:r w:rsidRPr="001A4CF3">
        <w:rPr>
          <w:rFonts w:hint="eastAsia"/>
        </w:rPr>
        <w:t>层间楼板的耐火极限不应低于</w:t>
      </w:r>
      <w:r w:rsidRPr="001A4CF3">
        <w:t>2.00h</w:t>
      </w:r>
      <w:r w:rsidR="0024243F" w:rsidRPr="00FD50F6">
        <w:rPr>
          <w:rFonts w:hint="eastAsia"/>
        </w:rPr>
        <w:t>；</w:t>
      </w:r>
    </w:p>
    <w:p w14:paraId="5D151529" w14:textId="7471BF20" w:rsidR="00264219" w:rsidRPr="00FD50F6" w:rsidRDefault="00264219" w:rsidP="00A926BD">
      <w:pPr>
        <w:pStyle w:val="4"/>
      </w:pPr>
      <w:r w:rsidRPr="00FD50F6">
        <w:rPr>
          <w:rFonts w:hint="eastAsia"/>
        </w:rPr>
        <w:t>车辆基地的</w:t>
      </w:r>
      <w:r w:rsidRPr="001A4CF3">
        <w:rPr>
          <w:rFonts w:hint="eastAsia"/>
        </w:rPr>
        <w:t>盖板上方</w:t>
      </w:r>
      <w:r w:rsidR="004B54F4" w:rsidRPr="001A4CF3">
        <w:rPr>
          <w:rFonts w:hint="eastAsia"/>
        </w:rPr>
        <w:t>、下方</w:t>
      </w:r>
      <w:r w:rsidRPr="001A4CF3">
        <w:rPr>
          <w:rFonts w:hint="eastAsia"/>
        </w:rPr>
        <w:t>不应设置</w:t>
      </w:r>
      <w:r w:rsidRPr="00FD50F6">
        <w:rPr>
          <w:rFonts w:hint="eastAsia"/>
        </w:rPr>
        <w:t>甲、乙类火灾危险性的生产和储存场所</w:t>
      </w:r>
      <w:r w:rsidR="004B54F4" w:rsidRPr="00FD50F6">
        <w:rPr>
          <w:rFonts w:hint="eastAsia"/>
        </w:rPr>
        <w:t>；</w:t>
      </w:r>
      <w:r w:rsidRPr="00FD50F6">
        <w:rPr>
          <w:rFonts w:hint="eastAsia"/>
        </w:rPr>
        <w:t>盖板下方不应设置燃油、燃气锅炉房及柴油发电机房</w:t>
      </w:r>
      <w:r w:rsidR="0024243F" w:rsidRPr="00FD50F6">
        <w:rPr>
          <w:rFonts w:hint="eastAsia"/>
        </w:rPr>
        <w:t>，</w:t>
      </w:r>
      <w:r w:rsidR="0024243F" w:rsidRPr="001A4CF3">
        <w:rPr>
          <w:rFonts w:hint="eastAsia"/>
        </w:rPr>
        <w:t>不宜设置</w:t>
      </w:r>
      <w:r w:rsidRPr="001A4CF3">
        <w:rPr>
          <w:rFonts w:hint="eastAsia"/>
        </w:rPr>
        <w:t>丙类</w:t>
      </w:r>
      <w:r w:rsidR="00133114" w:rsidRPr="001A4CF3">
        <w:rPr>
          <w:rFonts w:hint="eastAsia"/>
        </w:rPr>
        <w:t>仓库</w:t>
      </w:r>
      <w:r w:rsidRPr="001A4CF3">
        <w:rPr>
          <w:rFonts w:hint="eastAsia"/>
        </w:rPr>
        <w:t>，有困难时可设在盖板边缘</w:t>
      </w:r>
      <w:r w:rsidR="00946642" w:rsidRPr="00FD50F6">
        <w:rPr>
          <w:rFonts w:hint="eastAsia"/>
        </w:rPr>
        <w:t>，</w:t>
      </w:r>
      <w:r w:rsidR="00142EFF" w:rsidRPr="001A4CF3">
        <w:rPr>
          <w:rFonts w:hint="eastAsia"/>
        </w:rPr>
        <w:t>咽喉区区域建筑宜设置在盖板边缘；</w:t>
      </w:r>
    </w:p>
    <w:p w14:paraId="16A90041" w14:textId="21F20F08" w:rsidR="00264219" w:rsidRPr="00FD50F6" w:rsidRDefault="00264219" w:rsidP="00A926BD">
      <w:pPr>
        <w:pStyle w:val="4"/>
      </w:pPr>
      <w:r w:rsidRPr="00FD50F6">
        <w:rPr>
          <w:rFonts w:hint="eastAsia"/>
        </w:rPr>
        <w:lastRenderedPageBreak/>
        <w:t>车辆基地的</w:t>
      </w:r>
      <w:r w:rsidR="005B09D4" w:rsidRPr="00FD50F6">
        <w:rPr>
          <w:rFonts w:hint="eastAsia"/>
        </w:rPr>
        <w:t>安全出口</w:t>
      </w:r>
      <w:r w:rsidRPr="00FD50F6">
        <w:rPr>
          <w:rFonts w:hint="eastAsia"/>
        </w:rPr>
        <w:t>、采光窗</w:t>
      </w:r>
      <w:r w:rsidR="005B09D4" w:rsidRPr="00FD50F6">
        <w:rPr>
          <w:rFonts w:hint="eastAsia"/>
        </w:rPr>
        <w:t>、风井</w:t>
      </w:r>
      <w:r w:rsidRPr="00FD50F6">
        <w:rPr>
          <w:rFonts w:hint="eastAsia"/>
        </w:rPr>
        <w:t>、消防车道顶部开口等</w:t>
      </w:r>
      <w:r w:rsidR="005B09D4" w:rsidRPr="00FD50F6">
        <w:rPr>
          <w:rFonts w:hint="eastAsia"/>
        </w:rPr>
        <w:t>宜</w:t>
      </w:r>
      <w:r w:rsidR="00706EEF" w:rsidRPr="00FD50F6">
        <w:rPr>
          <w:rFonts w:hint="eastAsia"/>
        </w:rPr>
        <w:t>独立设置</w:t>
      </w:r>
      <w:r w:rsidR="005B09D4" w:rsidRPr="00FD50F6">
        <w:rPr>
          <w:rFonts w:hint="eastAsia"/>
        </w:rPr>
        <w:t>，当</w:t>
      </w:r>
      <w:r w:rsidR="00706EEF" w:rsidRPr="00FD50F6">
        <w:rPr>
          <w:rFonts w:hint="eastAsia"/>
        </w:rPr>
        <w:t>确</w:t>
      </w:r>
      <w:r w:rsidRPr="00FD50F6">
        <w:rPr>
          <w:rFonts w:hint="eastAsia"/>
        </w:rPr>
        <w:t>需设置在</w:t>
      </w:r>
      <w:r w:rsidR="005B09D4" w:rsidRPr="00FD50F6">
        <w:rPr>
          <w:rFonts w:hint="eastAsia"/>
        </w:rPr>
        <w:t>板地上方</w:t>
      </w:r>
      <w:r w:rsidR="007104FD" w:rsidRPr="00FD50F6">
        <w:rPr>
          <w:rFonts w:hint="eastAsia"/>
        </w:rPr>
        <w:t>或上盖地坪</w:t>
      </w:r>
      <w:r w:rsidRPr="00FD50F6">
        <w:rPr>
          <w:rFonts w:hint="eastAsia"/>
        </w:rPr>
        <w:t>时，</w:t>
      </w:r>
      <w:r w:rsidR="000A0D41" w:rsidRPr="00FD50F6">
        <w:rPr>
          <w:rFonts w:hint="eastAsia"/>
        </w:rPr>
        <w:t>其建筑耐火等级不</w:t>
      </w:r>
      <w:r w:rsidR="005B09D4" w:rsidRPr="00FD50F6">
        <w:rPr>
          <w:rFonts w:hint="eastAsia"/>
        </w:rPr>
        <w:t>应</w:t>
      </w:r>
      <w:r w:rsidR="000A0D41" w:rsidRPr="00FD50F6">
        <w:rPr>
          <w:rFonts w:hint="eastAsia"/>
        </w:rPr>
        <w:t>低于一级，与上盖建筑的防火间距应符合现行国家标准《建筑设计防火规范》</w:t>
      </w:r>
      <w:r w:rsidR="000A0D41" w:rsidRPr="00FD50F6">
        <w:t>GB 50016</w:t>
      </w:r>
      <w:r w:rsidR="000A0D41" w:rsidRPr="00FD50F6">
        <w:t>的有关规定</w:t>
      </w:r>
      <w:r w:rsidR="00106E83" w:rsidRPr="00FD50F6">
        <w:rPr>
          <w:rFonts w:hint="eastAsia"/>
        </w:rPr>
        <w:t>；</w:t>
      </w:r>
      <w:r w:rsidRPr="00FD50F6">
        <w:rPr>
          <w:rFonts w:hint="eastAsia"/>
        </w:rPr>
        <w:t>人员出入口地面</w:t>
      </w:r>
      <w:r w:rsidR="005B09D4" w:rsidRPr="00FD50F6">
        <w:rPr>
          <w:rFonts w:hint="eastAsia"/>
        </w:rPr>
        <w:t>建筑围护结构应采用耐火极限不低于</w:t>
      </w:r>
      <w:r w:rsidR="005B09D4" w:rsidRPr="00FD50F6">
        <w:rPr>
          <w:rFonts w:hint="eastAsia"/>
        </w:rPr>
        <w:t>3.00</w:t>
      </w:r>
      <w:r w:rsidR="005B09D4" w:rsidRPr="00FD50F6">
        <w:t>h</w:t>
      </w:r>
      <w:r w:rsidR="005B09D4" w:rsidRPr="00FD50F6">
        <w:rPr>
          <w:rFonts w:hint="eastAsia"/>
        </w:rPr>
        <w:t>的防火墙、耐火极限不低于</w:t>
      </w:r>
      <w:r w:rsidR="005B09D4" w:rsidRPr="00FD50F6">
        <w:rPr>
          <w:rFonts w:hint="eastAsia"/>
        </w:rPr>
        <w:t>1.50</w:t>
      </w:r>
      <w:r w:rsidR="005B09D4" w:rsidRPr="00FD50F6">
        <w:t>h</w:t>
      </w:r>
      <w:r w:rsidR="005B09D4" w:rsidRPr="00FD50F6">
        <w:rPr>
          <w:rFonts w:hint="eastAsia"/>
        </w:rPr>
        <w:t>的防火门窗，及耐火极限不低于</w:t>
      </w:r>
      <w:r w:rsidR="005B09D4" w:rsidRPr="00FD50F6">
        <w:t>2.00h</w:t>
      </w:r>
      <w:r w:rsidR="005B09D4" w:rsidRPr="00FD50F6">
        <w:rPr>
          <w:rFonts w:hint="eastAsia"/>
        </w:rPr>
        <w:t>的结构顶板</w:t>
      </w:r>
      <w:r w:rsidR="007104FD" w:rsidRPr="00FD50F6">
        <w:rPr>
          <w:rFonts w:hint="eastAsia"/>
        </w:rPr>
        <w:t>，</w:t>
      </w:r>
      <w:r w:rsidRPr="00FD50F6">
        <w:rPr>
          <w:rFonts w:hint="eastAsia"/>
        </w:rPr>
        <w:t>采光井</w:t>
      </w:r>
      <w:r w:rsidR="00106E83" w:rsidRPr="00FD50F6">
        <w:rPr>
          <w:rFonts w:hint="eastAsia"/>
        </w:rPr>
        <w:t>和</w:t>
      </w:r>
      <w:r w:rsidRPr="00FD50F6">
        <w:rPr>
          <w:rFonts w:hint="eastAsia"/>
        </w:rPr>
        <w:t>风井</w:t>
      </w:r>
      <w:r w:rsidR="00106E83" w:rsidRPr="00FD50F6">
        <w:rPr>
          <w:rFonts w:hint="eastAsia"/>
        </w:rPr>
        <w:t>的井壁、消防车道顶部开口部位</w:t>
      </w:r>
      <w:r w:rsidRPr="00FD50F6">
        <w:rPr>
          <w:rFonts w:hint="eastAsia"/>
        </w:rPr>
        <w:t>的</w:t>
      </w:r>
      <w:r w:rsidR="00106E83" w:rsidRPr="00FD50F6">
        <w:rPr>
          <w:rFonts w:hint="eastAsia"/>
        </w:rPr>
        <w:t>围护结构</w:t>
      </w:r>
      <w:r w:rsidRPr="00FD50F6">
        <w:rPr>
          <w:rFonts w:hint="eastAsia"/>
        </w:rPr>
        <w:t>耐火极限不应低于</w:t>
      </w:r>
      <w:r w:rsidRPr="00FD50F6">
        <w:rPr>
          <w:rFonts w:hint="eastAsia"/>
        </w:rPr>
        <w:t>2.00h</w:t>
      </w:r>
      <w:r w:rsidR="00106E83" w:rsidRPr="00FD50F6">
        <w:rPr>
          <w:rFonts w:hint="eastAsia"/>
        </w:rPr>
        <w:t>；</w:t>
      </w:r>
    </w:p>
    <w:p w14:paraId="6C7B69D2" w14:textId="5D6F2223" w:rsidR="00264219" w:rsidRPr="00FD50F6" w:rsidRDefault="00B967D8" w:rsidP="00A926BD">
      <w:pPr>
        <w:pStyle w:val="4"/>
      </w:pPr>
      <w:r w:rsidRPr="00FD50F6">
        <w:rPr>
          <w:rFonts w:hint="eastAsia"/>
        </w:rPr>
        <w:t>存在上盖的</w:t>
      </w:r>
      <w:r w:rsidR="00264219" w:rsidRPr="00FD50F6">
        <w:rPr>
          <w:rFonts w:hint="eastAsia"/>
        </w:rPr>
        <w:t>车辆基地的消防车道顶部或侧面应为开敞形式，当确有困难时，盖板下的消防车道顶部或侧面的自然排烟口有效面积应符合本标准第</w:t>
      </w:r>
      <w:r w:rsidR="00232AC3" w:rsidRPr="00FD50F6">
        <w:t>30</w:t>
      </w:r>
      <w:r w:rsidR="00264219" w:rsidRPr="00FD50F6">
        <w:rPr>
          <w:rFonts w:hint="eastAsia"/>
        </w:rPr>
        <w:t>.4</w:t>
      </w:r>
      <w:r w:rsidR="00264219" w:rsidRPr="00FD50F6">
        <w:rPr>
          <w:rFonts w:hint="eastAsia"/>
        </w:rPr>
        <w:t>节的规定。当消防车道满足自然排烟条件，自然排烟口内侧</w:t>
      </w:r>
      <w:r w:rsidR="00A736DE" w:rsidRPr="00FD50F6">
        <w:rPr>
          <w:rFonts w:hint="eastAsia"/>
        </w:rPr>
        <w:t>与</w:t>
      </w:r>
      <w:r w:rsidR="00264219" w:rsidRPr="00FD50F6">
        <w:rPr>
          <w:rFonts w:hint="eastAsia"/>
        </w:rPr>
        <w:t>盖板下</w:t>
      </w:r>
      <w:r w:rsidR="00A736DE" w:rsidRPr="00FD50F6">
        <w:rPr>
          <w:rFonts w:hint="eastAsia"/>
        </w:rPr>
        <w:t>方建筑</w:t>
      </w:r>
      <w:r w:rsidR="00264219" w:rsidRPr="00FD50F6">
        <w:rPr>
          <w:rFonts w:hint="eastAsia"/>
        </w:rPr>
        <w:t>外墙距离不大于</w:t>
      </w:r>
      <w:r w:rsidR="00264219" w:rsidRPr="00FD50F6">
        <w:t>15m</w:t>
      </w:r>
      <w:r w:rsidR="00264219" w:rsidRPr="00FD50F6">
        <w:rPr>
          <w:rFonts w:hint="eastAsia"/>
        </w:rPr>
        <w:t>时，可将盖板下的库外区域和消防车道作为厂房</w:t>
      </w:r>
      <w:r w:rsidR="00133114" w:rsidRPr="00FD50F6">
        <w:rPr>
          <w:rFonts w:hint="eastAsia"/>
        </w:rPr>
        <w:t>、仓库</w:t>
      </w:r>
      <w:r w:rsidR="00264219" w:rsidRPr="00FD50F6">
        <w:rPr>
          <w:rFonts w:hint="eastAsia"/>
        </w:rPr>
        <w:t>疏散的室外安全区域</w:t>
      </w:r>
      <w:r w:rsidR="0024243F" w:rsidRPr="00FD50F6">
        <w:rPr>
          <w:rFonts w:hint="eastAsia"/>
        </w:rPr>
        <w:t>；</w:t>
      </w:r>
    </w:p>
    <w:p w14:paraId="549511F3" w14:textId="56B11625" w:rsidR="00735E16" w:rsidRPr="00FD50F6" w:rsidRDefault="00264219" w:rsidP="00A926BD">
      <w:pPr>
        <w:pStyle w:val="4"/>
      </w:pPr>
      <w:bookmarkStart w:id="1308" w:name="_Hlk93766298"/>
      <w:r w:rsidRPr="00FD50F6">
        <w:rPr>
          <w:rFonts w:hint="eastAsia"/>
        </w:rPr>
        <w:t>当</w:t>
      </w:r>
      <w:r w:rsidR="00A64AE9" w:rsidRPr="00FD50F6">
        <w:rPr>
          <w:rFonts w:hint="eastAsia"/>
        </w:rPr>
        <w:t>车辆基地的</w:t>
      </w:r>
      <w:r w:rsidR="00F21B60" w:rsidRPr="00FD50F6">
        <w:rPr>
          <w:rFonts w:hint="eastAsia"/>
        </w:rPr>
        <w:t>上盖地坪</w:t>
      </w:r>
      <w:r w:rsidR="00A64AE9" w:rsidRPr="00FD50F6">
        <w:rPr>
          <w:rFonts w:hint="eastAsia"/>
        </w:rPr>
        <w:t>或板地</w:t>
      </w:r>
      <w:r w:rsidR="00E6190A" w:rsidRPr="00FD50F6">
        <w:rPr>
          <w:rFonts w:hint="eastAsia"/>
        </w:rPr>
        <w:t>符合</w:t>
      </w:r>
      <w:r w:rsidR="00857043" w:rsidRPr="00FD50F6">
        <w:rPr>
          <w:rFonts w:hint="eastAsia"/>
        </w:rPr>
        <w:t>现行国家标准《建筑设计防火规范》</w:t>
      </w:r>
      <w:r w:rsidR="00857043" w:rsidRPr="00FD50F6">
        <w:t>GB 50016</w:t>
      </w:r>
      <w:r w:rsidR="00E6190A" w:rsidRPr="00FD50F6">
        <w:rPr>
          <w:rFonts w:hint="eastAsia"/>
        </w:rPr>
        <w:t>规定</w:t>
      </w:r>
      <w:r w:rsidR="00857043" w:rsidRPr="00FD50F6">
        <w:t>的</w:t>
      </w:r>
      <w:r w:rsidR="00F21B60" w:rsidRPr="00FD50F6">
        <w:rPr>
          <w:rFonts w:hint="eastAsia"/>
        </w:rPr>
        <w:t>消防车道通行和上盖建筑的消防救援条件时，</w:t>
      </w:r>
      <w:r w:rsidR="006B6D19" w:rsidRPr="00FD50F6">
        <w:rPr>
          <w:rFonts w:hint="eastAsia"/>
        </w:rPr>
        <w:t>上盖</w:t>
      </w:r>
      <w:r w:rsidR="00106E83" w:rsidRPr="00FD50F6">
        <w:rPr>
          <w:rFonts w:hint="eastAsia"/>
        </w:rPr>
        <w:t>地坪</w:t>
      </w:r>
      <w:r w:rsidR="00A64AE9" w:rsidRPr="00FD50F6">
        <w:rPr>
          <w:rFonts w:hint="eastAsia"/>
        </w:rPr>
        <w:t>或板地</w:t>
      </w:r>
      <w:r w:rsidR="00AB1EBA" w:rsidRPr="00FD50F6">
        <w:rPr>
          <w:rFonts w:hint="eastAsia"/>
        </w:rPr>
        <w:t>可</w:t>
      </w:r>
      <w:r w:rsidRPr="00FD50F6">
        <w:rPr>
          <w:rFonts w:hint="eastAsia"/>
        </w:rPr>
        <w:t>作为</w:t>
      </w:r>
      <w:r w:rsidR="00AB1EBA" w:rsidRPr="00FD50F6">
        <w:rPr>
          <w:rFonts w:hint="eastAsia"/>
        </w:rPr>
        <w:t>上盖建筑高度计算的</w:t>
      </w:r>
      <w:r w:rsidRPr="00FD50F6">
        <w:rPr>
          <w:rFonts w:hint="eastAsia"/>
        </w:rPr>
        <w:t>室外</w:t>
      </w:r>
      <w:r w:rsidR="00857043" w:rsidRPr="00FD50F6">
        <w:rPr>
          <w:rFonts w:hint="eastAsia"/>
        </w:rPr>
        <w:t>设计地面</w:t>
      </w:r>
      <w:r w:rsidR="00AF13A4" w:rsidRPr="00FD50F6">
        <w:rPr>
          <w:rFonts w:hint="eastAsia"/>
        </w:rPr>
        <w:t>；</w:t>
      </w:r>
    </w:p>
    <w:bookmarkEnd w:id="1308"/>
    <w:p w14:paraId="55977D92" w14:textId="3B32EFF5" w:rsidR="00264219" w:rsidRPr="00FD50F6" w:rsidRDefault="00735E16" w:rsidP="00A926BD">
      <w:pPr>
        <w:pStyle w:val="4"/>
      </w:pPr>
      <w:r w:rsidRPr="00FD50F6">
        <w:t>甲、乙类火灾危险性的生产</w:t>
      </w:r>
      <w:r w:rsidR="00BB3463" w:rsidRPr="00FD50F6">
        <w:rPr>
          <w:rFonts w:hint="eastAsia"/>
        </w:rPr>
        <w:t>厂房和</w:t>
      </w:r>
      <w:r w:rsidRPr="00FD50F6">
        <w:t>存储</w:t>
      </w:r>
      <w:r w:rsidR="00BB3463" w:rsidRPr="00FD50F6">
        <w:rPr>
          <w:rFonts w:hint="eastAsia"/>
        </w:rPr>
        <w:t>仓库</w:t>
      </w:r>
      <w:r w:rsidRPr="00FD50F6">
        <w:t>不应</w:t>
      </w:r>
      <w:r w:rsidR="00BB3463" w:rsidRPr="00FD50F6">
        <w:rPr>
          <w:rFonts w:hint="eastAsia"/>
        </w:rPr>
        <w:t>设置</w:t>
      </w:r>
      <w:r w:rsidRPr="00FD50F6">
        <w:t>在板地上、下方</w:t>
      </w:r>
      <w:r w:rsidR="006B01DA" w:rsidRPr="00FD50F6">
        <w:rPr>
          <w:rFonts w:hint="eastAsia"/>
        </w:rPr>
        <w:t>，确需设置漆工间、酸性蓄电池充电间时，</w:t>
      </w:r>
      <w:r w:rsidR="00AF13A4" w:rsidRPr="00FD50F6">
        <w:rPr>
          <w:rFonts w:hint="eastAsia"/>
        </w:rPr>
        <w:t>应符合现行国家标准《建筑设计防火规范》</w:t>
      </w:r>
      <w:r w:rsidR="00AF13A4" w:rsidRPr="00FD50F6">
        <w:t>GB 50016</w:t>
      </w:r>
      <w:r w:rsidR="006B01DA" w:rsidRPr="00FD50F6">
        <w:rPr>
          <w:rFonts w:hint="eastAsia"/>
        </w:rPr>
        <w:t>和《地铁设计防火标准》</w:t>
      </w:r>
      <w:r w:rsidR="006B01DA" w:rsidRPr="00FD50F6">
        <w:rPr>
          <w:rFonts w:hint="eastAsia"/>
        </w:rPr>
        <w:t>GB</w:t>
      </w:r>
      <w:r w:rsidR="006B01DA" w:rsidRPr="00FD50F6">
        <w:t xml:space="preserve"> </w:t>
      </w:r>
      <w:r w:rsidR="006B01DA" w:rsidRPr="00FD50F6">
        <w:rPr>
          <w:rFonts w:hint="eastAsia"/>
        </w:rPr>
        <w:t>51298</w:t>
      </w:r>
      <w:r w:rsidR="00AF13A4" w:rsidRPr="00FD50F6">
        <w:t>的规定</w:t>
      </w:r>
      <w:r w:rsidR="00B05B85" w:rsidRPr="00FD50F6">
        <w:rPr>
          <w:rFonts w:hint="eastAsia"/>
        </w:rPr>
        <w:t>。</w:t>
      </w:r>
    </w:p>
    <w:p w14:paraId="66710CF0" w14:textId="74715224" w:rsidR="00DC5D98" w:rsidRPr="00FD50F6" w:rsidRDefault="00264219" w:rsidP="00DC5D98">
      <w:pPr>
        <w:pStyle w:val="30"/>
      </w:pPr>
      <w:bookmarkStart w:id="1309" w:name="_Hlk20312058"/>
      <w:r w:rsidRPr="00FD50F6">
        <w:rPr>
          <w:rFonts w:hint="eastAsia"/>
        </w:rPr>
        <w:t>控制中心宜独立建造，不应与商业、娱乐等人员密集的场所合建，并应避开易燃、易爆场所；当确需与</w:t>
      </w:r>
      <w:r w:rsidR="00B110DA" w:rsidRPr="00FD50F6">
        <w:rPr>
          <w:rFonts w:hint="eastAsia"/>
        </w:rPr>
        <w:t>功能相关或相近的</w:t>
      </w:r>
      <w:r w:rsidRPr="00FD50F6">
        <w:rPr>
          <w:rFonts w:hint="eastAsia"/>
        </w:rPr>
        <w:t>其他建筑合建时，各自应设置独立的安全出口，各层平面与合建的建筑应采用防火墙分隔成独立的防火分区，</w:t>
      </w:r>
      <w:r w:rsidR="00DC5D98" w:rsidRPr="00FD50F6">
        <w:rPr>
          <w:rFonts w:hint="eastAsia"/>
        </w:rPr>
        <w:t>相邻防火分区确需局部连通时，应采用室外开敞空间、防火隔间、避难走道或防烟楼梯间等方式连通，并应符合</w:t>
      </w:r>
      <w:r w:rsidR="007F7F70">
        <w:rPr>
          <w:rFonts w:hint="eastAsia"/>
        </w:rPr>
        <w:t>现行国家标准</w:t>
      </w:r>
      <w:r w:rsidR="00DC5D98" w:rsidRPr="00FD50F6">
        <w:rPr>
          <w:rFonts w:hint="eastAsia"/>
        </w:rPr>
        <w:t>《建筑防火设计规范》</w:t>
      </w:r>
      <w:r w:rsidR="00DC5D98" w:rsidRPr="00FD50F6">
        <w:t>GB 50016</w:t>
      </w:r>
      <w:r w:rsidR="00FF300C">
        <w:rPr>
          <w:rFonts w:hint="eastAsia"/>
        </w:rPr>
        <w:t>的</w:t>
      </w:r>
      <w:r w:rsidR="00DC5D98" w:rsidRPr="00FD50F6">
        <w:rPr>
          <w:rFonts w:hint="eastAsia"/>
        </w:rPr>
        <w:t>规定。</w:t>
      </w:r>
    </w:p>
    <w:p w14:paraId="1A0A4FE0" w14:textId="77777777" w:rsidR="00DC5D98" w:rsidRPr="00FD50F6" w:rsidRDefault="00DC5D98" w:rsidP="00DC5D98">
      <w:pPr>
        <w:pStyle w:val="30"/>
      </w:pPr>
      <w:r w:rsidRPr="00FD50F6">
        <w:rPr>
          <w:rFonts w:hint="eastAsia"/>
        </w:rPr>
        <w:t>地上车站、控制中心、地上主变电站（所）建筑的周围应设置环形消防车道，确有困难时，可沿建筑的两个长边设置消防车道。</w:t>
      </w:r>
    </w:p>
    <w:p w14:paraId="4E17CE34" w14:textId="4E3DBEF2" w:rsidR="00666C50" w:rsidRPr="00FD50F6" w:rsidRDefault="00DC5D98" w:rsidP="00DC5D98">
      <w:pPr>
        <w:pStyle w:val="30"/>
      </w:pPr>
      <w:r w:rsidRPr="00FD50F6">
        <w:rPr>
          <w:rFonts w:hint="eastAsia"/>
        </w:rPr>
        <w:t>主变电站（所）的建筑防火设计应符合</w:t>
      </w:r>
      <w:r w:rsidR="007F7F70">
        <w:rPr>
          <w:rFonts w:hint="eastAsia"/>
        </w:rPr>
        <w:t>现行国家标准</w:t>
      </w:r>
      <w:r w:rsidRPr="00FD50F6">
        <w:rPr>
          <w:rFonts w:hint="eastAsia"/>
        </w:rPr>
        <w:t>《建筑防火设计规范》</w:t>
      </w:r>
      <w:r w:rsidRPr="00FD50F6">
        <w:rPr>
          <w:rFonts w:hint="eastAsia"/>
        </w:rPr>
        <w:t>GB</w:t>
      </w:r>
      <w:r w:rsidRPr="00FD50F6">
        <w:t xml:space="preserve"> </w:t>
      </w:r>
      <w:r w:rsidRPr="00FD50F6">
        <w:rPr>
          <w:rFonts w:hint="eastAsia"/>
        </w:rPr>
        <w:t>50016</w:t>
      </w:r>
      <w:r w:rsidR="007F7F70">
        <w:rPr>
          <w:rFonts w:hint="eastAsia"/>
        </w:rPr>
        <w:t>和</w:t>
      </w:r>
      <w:r w:rsidRPr="00FD50F6">
        <w:rPr>
          <w:rFonts w:hint="eastAsia"/>
        </w:rPr>
        <w:t>《火力发电厂与变电站设计防火标准》</w:t>
      </w:r>
      <w:r w:rsidRPr="00FD50F6">
        <w:t>GB 50229</w:t>
      </w:r>
      <w:r w:rsidR="007F7F70">
        <w:rPr>
          <w:rFonts w:hint="eastAsia"/>
        </w:rPr>
        <w:t>的</w:t>
      </w:r>
      <w:r w:rsidRPr="00FD50F6">
        <w:rPr>
          <w:rFonts w:hint="eastAsia"/>
        </w:rPr>
        <w:t>规定</w:t>
      </w:r>
      <w:bookmarkEnd w:id="1309"/>
      <w:r w:rsidR="00264219" w:rsidRPr="00FD50F6">
        <w:rPr>
          <w:rFonts w:hint="eastAsia"/>
        </w:rPr>
        <w:t>。</w:t>
      </w:r>
    </w:p>
    <w:p w14:paraId="010E006B" w14:textId="77777777" w:rsidR="00154160" w:rsidRPr="00FD50F6" w:rsidRDefault="00154160" w:rsidP="00A65181">
      <w:pPr>
        <w:pStyle w:val="2"/>
      </w:pPr>
      <w:bookmarkStart w:id="1310" w:name="_Toc112830880"/>
      <w:bookmarkEnd w:id="1251"/>
      <w:r w:rsidRPr="00FD50F6">
        <w:rPr>
          <w:rFonts w:hint="eastAsia"/>
        </w:rPr>
        <w:t>消防给水与灭火</w:t>
      </w:r>
      <w:bookmarkEnd w:id="1310"/>
    </w:p>
    <w:p w14:paraId="1132A7F8" w14:textId="7E283E25" w:rsidR="00154160" w:rsidRPr="00FD50F6" w:rsidRDefault="00154160" w:rsidP="004906BB">
      <w:pPr>
        <w:pStyle w:val="30"/>
      </w:pPr>
      <w:r w:rsidRPr="00FD50F6">
        <w:rPr>
          <w:rFonts w:hint="eastAsia"/>
        </w:rPr>
        <w:lastRenderedPageBreak/>
        <w:t>与</w:t>
      </w:r>
      <w:r w:rsidRPr="00FD50F6">
        <w:t>地铁工程</w:t>
      </w:r>
      <w:r w:rsidRPr="00FD50F6">
        <w:rPr>
          <w:rFonts w:hint="eastAsia"/>
        </w:rPr>
        <w:t>同步</w:t>
      </w:r>
      <w:r w:rsidRPr="00FD50F6">
        <w:t>建设</w:t>
      </w:r>
      <w:r w:rsidRPr="00FD50F6">
        <w:rPr>
          <w:rFonts w:hint="eastAsia"/>
        </w:rPr>
        <w:t>的</w:t>
      </w:r>
      <w:r w:rsidRPr="00FD50F6">
        <w:t>市政道路</w:t>
      </w:r>
      <w:r w:rsidRPr="00FD50F6">
        <w:rPr>
          <w:rFonts w:hint="eastAsia"/>
        </w:rPr>
        <w:t>上</w:t>
      </w:r>
      <w:r w:rsidRPr="00FD50F6">
        <w:t>的市政消防给水应与地铁同步</w:t>
      </w:r>
      <w:r w:rsidRPr="00FD50F6">
        <w:rPr>
          <w:rFonts w:hint="eastAsia"/>
        </w:rPr>
        <w:t>规划</w:t>
      </w:r>
      <w:r w:rsidRPr="00FD50F6">
        <w:t>、设计和</w:t>
      </w:r>
      <w:r w:rsidRPr="00FD50F6">
        <w:rPr>
          <w:rFonts w:hint="eastAsia"/>
        </w:rPr>
        <w:t>实施</w:t>
      </w:r>
      <w:r w:rsidRPr="00FD50F6">
        <w:t>。</w:t>
      </w:r>
    </w:p>
    <w:p w14:paraId="5F62972E" w14:textId="3D262317" w:rsidR="00154160" w:rsidRPr="00FD50F6" w:rsidRDefault="00154160" w:rsidP="004906BB">
      <w:pPr>
        <w:pStyle w:val="30"/>
      </w:pPr>
      <w:r w:rsidRPr="00FD50F6">
        <w:t>地铁消防给水系统的设计应符合本</w:t>
      </w:r>
      <w:r w:rsidRPr="00FD50F6">
        <w:rPr>
          <w:rFonts w:hint="eastAsia"/>
        </w:rPr>
        <w:t>标准</w:t>
      </w:r>
      <w:r w:rsidRPr="00FD50F6">
        <w:t>第</w:t>
      </w:r>
      <w:r w:rsidR="00232AC3" w:rsidRPr="00FD50F6">
        <w:t>15</w:t>
      </w:r>
      <w:r w:rsidRPr="00FD50F6">
        <w:t>.1</w:t>
      </w:r>
      <w:r w:rsidRPr="00FD50F6">
        <w:t>节的规定。</w:t>
      </w:r>
    </w:p>
    <w:p w14:paraId="644EACFE" w14:textId="77777777" w:rsidR="00154160" w:rsidRPr="00FD50F6" w:rsidRDefault="00154160" w:rsidP="004906BB">
      <w:pPr>
        <w:pStyle w:val="30"/>
      </w:pPr>
      <w:r w:rsidRPr="00FD50F6">
        <w:rPr>
          <w:rFonts w:hint="eastAsia"/>
        </w:rPr>
        <w:t>地铁消防给水系统设置应符合下列规定：</w:t>
      </w:r>
    </w:p>
    <w:p w14:paraId="394F765F" w14:textId="77777777" w:rsidR="00154160" w:rsidRPr="00FD50F6" w:rsidRDefault="00154160" w:rsidP="00A926BD">
      <w:pPr>
        <w:pStyle w:val="4"/>
      </w:pPr>
      <w:r w:rsidRPr="00FD50F6">
        <w:rPr>
          <w:rFonts w:hint="eastAsia"/>
        </w:rPr>
        <w:t>地下</w:t>
      </w:r>
      <w:r w:rsidRPr="00FD50F6">
        <w:t>车站应设置室外消火栓系统；</w:t>
      </w:r>
    </w:p>
    <w:p w14:paraId="387CFC25" w14:textId="77777777" w:rsidR="00154160" w:rsidRPr="00FD50F6" w:rsidRDefault="00154160" w:rsidP="00A926BD">
      <w:pPr>
        <w:pStyle w:val="4"/>
      </w:pPr>
      <w:r w:rsidRPr="00FD50F6">
        <w:rPr>
          <w:rFonts w:hint="eastAsia"/>
        </w:rPr>
        <w:t>地下车站及其相连的地下区间、长度大于</w:t>
      </w:r>
      <w:r w:rsidRPr="00FD50F6">
        <w:rPr>
          <w:rFonts w:hint="eastAsia"/>
        </w:rPr>
        <w:t>20m</w:t>
      </w:r>
      <w:r w:rsidRPr="00FD50F6">
        <w:rPr>
          <w:rFonts w:hint="eastAsia"/>
        </w:rPr>
        <w:t>的出入口通道及</w:t>
      </w:r>
      <w:r w:rsidRPr="00FD50F6">
        <w:t>换乘通道</w:t>
      </w:r>
      <w:r w:rsidRPr="00FD50F6">
        <w:rPr>
          <w:rFonts w:hint="eastAsia"/>
        </w:rPr>
        <w:t>、长度大于</w:t>
      </w:r>
      <w:r w:rsidRPr="00FD50F6">
        <w:rPr>
          <w:rFonts w:hint="eastAsia"/>
        </w:rPr>
        <w:t>500m</w:t>
      </w:r>
      <w:r w:rsidRPr="00FD50F6">
        <w:rPr>
          <w:rFonts w:hint="eastAsia"/>
        </w:rPr>
        <w:t>的独立地下区间、</w:t>
      </w:r>
      <w:r w:rsidRPr="00FD50F6">
        <w:t>区间风井、</w:t>
      </w:r>
      <w:r w:rsidRPr="00FD50F6">
        <w:rPr>
          <w:rFonts w:hint="eastAsia"/>
        </w:rPr>
        <w:t>全地下车辆基地咽喉区应设置室内消火栓系统；</w:t>
      </w:r>
    </w:p>
    <w:p w14:paraId="2DE1E4EB" w14:textId="641E8228" w:rsidR="00154160" w:rsidRPr="00FD50F6" w:rsidRDefault="00154160" w:rsidP="00A926BD">
      <w:pPr>
        <w:pStyle w:val="4"/>
      </w:pPr>
      <w:r w:rsidRPr="00FD50F6">
        <w:rPr>
          <w:rFonts w:hint="eastAsia"/>
        </w:rPr>
        <w:t>在站厅非</w:t>
      </w:r>
      <w:r w:rsidRPr="00FD50F6">
        <w:t>付费区的乘客疏散</w:t>
      </w:r>
      <w:r w:rsidRPr="00FD50F6">
        <w:rPr>
          <w:rFonts w:hint="eastAsia"/>
        </w:rPr>
        <w:t>区</w:t>
      </w:r>
      <w:r w:rsidRPr="00FD50F6">
        <w:t>外</w:t>
      </w:r>
      <w:r w:rsidRPr="00FD50F6">
        <w:rPr>
          <w:rFonts w:hint="eastAsia"/>
        </w:rPr>
        <w:t>设置</w:t>
      </w:r>
      <w:r w:rsidRPr="00FD50F6">
        <w:t>的</w:t>
      </w:r>
      <w:r w:rsidRPr="00FD50F6">
        <w:rPr>
          <w:rFonts w:hint="eastAsia"/>
        </w:rPr>
        <w:t>总建筑面积不大于</w:t>
      </w:r>
      <w:r w:rsidRPr="00FD50F6">
        <w:rPr>
          <w:rFonts w:hint="eastAsia"/>
        </w:rPr>
        <w:t>100</w:t>
      </w:r>
      <w:r w:rsidRPr="00FD50F6">
        <w:t>m</w:t>
      </w:r>
      <w:r w:rsidRPr="001A4CF3">
        <w:rPr>
          <w:vertAlign w:val="superscript"/>
        </w:rPr>
        <w:t>2</w:t>
      </w:r>
      <w:r w:rsidRPr="00FD50F6">
        <w:rPr>
          <w:rFonts w:hint="eastAsia"/>
        </w:rPr>
        <w:t>、</w:t>
      </w:r>
      <w:r w:rsidRPr="00FD50F6">
        <w:t>单</w:t>
      </w:r>
      <w:r w:rsidRPr="00FD50F6">
        <w:rPr>
          <w:rFonts w:hint="eastAsia"/>
        </w:rPr>
        <w:t>处面积</w:t>
      </w:r>
      <w:r w:rsidRPr="00FD50F6">
        <w:t>不大于</w:t>
      </w:r>
      <w:r w:rsidRPr="00FD50F6">
        <w:rPr>
          <w:rFonts w:hint="eastAsia"/>
        </w:rPr>
        <w:t>30</w:t>
      </w:r>
      <w:r w:rsidRPr="00FD50F6">
        <w:t>m</w:t>
      </w:r>
      <w:r w:rsidRPr="001A4CF3">
        <w:rPr>
          <w:vertAlign w:val="superscript"/>
        </w:rPr>
        <w:t>2</w:t>
      </w:r>
      <w:r w:rsidRPr="00FD50F6">
        <w:rPr>
          <w:rFonts w:hint="eastAsia"/>
        </w:rPr>
        <w:t>的商铺应设置局部应用系统，</w:t>
      </w:r>
      <w:r w:rsidRPr="00AA0E76">
        <w:rPr>
          <w:rFonts w:hint="eastAsia"/>
        </w:rPr>
        <w:t>与车站联体开发的商业等</w:t>
      </w:r>
      <w:r w:rsidRPr="00FD50F6">
        <w:rPr>
          <w:rFonts w:hint="eastAsia"/>
        </w:rPr>
        <w:t>非</w:t>
      </w:r>
      <w:r w:rsidRPr="00AA0E76">
        <w:rPr>
          <w:rFonts w:hint="eastAsia"/>
        </w:rPr>
        <w:t>地铁功能场所的</w:t>
      </w:r>
      <w:r w:rsidRPr="00FD50F6">
        <w:rPr>
          <w:rFonts w:hint="eastAsia"/>
        </w:rPr>
        <w:t>自动</w:t>
      </w:r>
      <w:r w:rsidRPr="00FD50F6">
        <w:t>喷水灭火系统</w:t>
      </w:r>
      <w:r w:rsidRPr="00FD50F6">
        <w:rPr>
          <w:rFonts w:hint="eastAsia"/>
        </w:rPr>
        <w:t>设计</w:t>
      </w:r>
      <w:r w:rsidRPr="00FD50F6">
        <w:t>应</w:t>
      </w:r>
      <w:r w:rsidRPr="00FD50F6">
        <w:rPr>
          <w:rFonts w:hint="eastAsia"/>
        </w:rPr>
        <w:t>符合现行</w:t>
      </w:r>
      <w:r w:rsidRPr="00FD50F6">
        <w:t>国家标准</w:t>
      </w:r>
      <w:r w:rsidRPr="00FD50F6">
        <w:rPr>
          <w:rStyle w:val="afff2"/>
          <w:rFonts w:asciiTheme="minorHAnsi" w:hAnsiTheme="minorHAnsi" w:cstheme="minorBidi" w:hint="eastAsia"/>
          <w:bCs w:val="0"/>
        </w:rPr>
        <w:t>《</w:t>
      </w:r>
      <w:r w:rsidRPr="001A4CF3">
        <w:rPr>
          <w:rFonts w:hint="eastAsia"/>
        </w:rPr>
        <w:t>建筑设计防火规范》</w:t>
      </w:r>
      <w:r w:rsidRPr="00FD50F6">
        <w:rPr>
          <w:rFonts w:hint="eastAsia"/>
        </w:rPr>
        <w:t>GB50016</w:t>
      </w:r>
      <w:r w:rsidRPr="00FD50F6">
        <w:rPr>
          <w:rFonts w:hint="eastAsia"/>
        </w:rPr>
        <w:t>及《自动喷水灭火系统设计规范》</w:t>
      </w:r>
      <w:r w:rsidRPr="00FD50F6">
        <w:rPr>
          <w:rFonts w:hint="eastAsia"/>
        </w:rPr>
        <w:t>GB</w:t>
      </w:r>
      <w:r w:rsidR="007F7F70">
        <w:t xml:space="preserve"> </w:t>
      </w:r>
      <w:r w:rsidRPr="00FD50F6">
        <w:rPr>
          <w:rFonts w:hint="eastAsia"/>
        </w:rPr>
        <w:t>50084</w:t>
      </w:r>
      <w:r w:rsidRPr="00FD50F6">
        <w:rPr>
          <w:rFonts w:hint="eastAsia"/>
        </w:rPr>
        <w:t>的</w:t>
      </w:r>
      <w:r w:rsidRPr="00FD50F6">
        <w:t>规定</w:t>
      </w:r>
      <w:r w:rsidRPr="00FD50F6">
        <w:rPr>
          <w:rFonts w:hint="eastAsia"/>
        </w:rPr>
        <w:t>；</w:t>
      </w:r>
    </w:p>
    <w:p w14:paraId="4E17DE2B" w14:textId="77777777" w:rsidR="00154160" w:rsidRPr="00FD50F6" w:rsidRDefault="00154160" w:rsidP="00A926BD">
      <w:pPr>
        <w:pStyle w:val="4"/>
      </w:pPr>
      <w:r w:rsidRPr="00FD50F6">
        <w:rPr>
          <w:rFonts w:hint="eastAsia"/>
        </w:rPr>
        <w:t>当地下车站</w:t>
      </w:r>
      <w:r w:rsidRPr="00FD50F6">
        <w:t>与</w:t>
      </w:r>
      <w:r w:rsidRPr="00FD50F6">
        <w:rPr>
          <w:rFonts w:hint="eastAsia"/>
        </w:rPr>
        <w:t>公交</w:t>
      </w:r>
      <w:r w:rsidRPr="00FD50F6">
        <w:t>、高铁车站及</w:t>
      </w:r>
      <w:r w:rsidRPr="00FD50F6">
        <w:rPr>
          <w:rFonts w:hint="eastAsia"/>
        </w:rPr>
        <w:t>机场</w:t>
      </w:r>
      <w:r w:rsidRPr="00FD50F6">
        <w:t>等枢纽设施合建</w:t>
      </w:r>
      <w:r w:rsidRPr="00FD50F6">
        <w:rPr>
          <w:rFonts w:hint="eastAsia"/>
        </w:rPr>
        <w:t>，</w:t>
      </w:r>
      <w:r w:rsidRPr="00FD50F6">
        <w:t>车站</w:t>
      </w:r>
      <w:r w:rsidRPr="00FD50F6">
        <w:rPr>
          <w:rFonts w:hint="eastAsia"/>
        </w:rPr>
        <w:t>站厅与</w:t>
      </w:r>
      <w:r w:rsidRPr="00FD50F6">
        <w:t>其他枢纽</w:t>
      </w:r>
      <w:r w:rsidRPr="00FD50F6">
        <w:rPr>
          <w:rFonts w:hint="eastAsia"/>
        </w:rPr>
        <w:t>功能不能完全进行防火分隔时，</w:t>
      </w:r>
      <w:r w:rsidRPr="00FD50F6">
        <w:t>车站站厅公共区应设置自动喷水灭火系统；</w:t>
      </w:r>
    </w:p>
    <w:p w14:paraId="04B2E673" w14:textId="468BD414" w:rsidR="00154160" w:rsidRPr="00FD50F6" w:rsidRDefault="00154160" w:rsidP="00A926BD">
      <w:pPr>
        <w:pStyle w:val="4"/>
      </w:pPr>
      <w:r w:rsidRPr="00FD50F6">
        <w:t>全地下</w:t>
      </w:r>
      <w:r w:rsidRPr="00FD50F6">
        <w:rPr>
          <w:rFonts w:hint="eastAsia"/>
        </w:rPr>
        <w:t>及半地下</w:t>
      </w:r>
      <w:r w:rsidRPr="00FD50F6">
        <w:t>车辆</w:t>
      </w:r>
      <w:r w:rsidRPr="00FD50F6">
        <w:rPr>
          <w:rFonts w:hint="eastAsia"/>
        </w:rPr>
        <w:t>基地，以及车辆基地上盖设置</w:t>
      </w:r>
      <w:r w:rsidRPr="00FD50F6">
        <w:t>其</w:t>
      </w:r>
      <w:r w:rsidRPr="00FD50F6">
        <w:rPr>
          <w:rFonts w:ascii="宋体" w:hAnsi="宋体" w:hint="eastAsia"/>
        </w:rPr>
        <w:t>他非地铁</w:t>
      </w:r>
      <w:r w:rsidRPr="00FD50F6">
        <w:rPr>
          <w:rFonts w:hint="eastAsia"/>
        </w:rPr>
        <w:t>功能</w:t>
      </w:r>
      <w:r w:rsidRPr="00FD50F6">
        <w:t>建筑的</w:t>
      </w:r>
      <w:r w:rsidRPr="00FD50F6">
        <w:rPr>
          <w:rFonts w:hint="eastAsia"/>
        </w:rPr>
        <w:t>盖下</w:t>
      </w:r>
      <w:r w:rsidRPr="00FD50F6">
        <w:t>运用库、联合检修库</w:t>
      </w:r>
      <w:r w:rsidRPr="00FD50F6">
        <w:rPr>
          <w:rFonts w:hint="eastAsia"/>
        </w:rPr>
        <w:t>、</w:t>
      </w:r>
      <w:r w:rsidRPr="00FD50F6">
        <w:t>工程车库</w:t>
      </w:r>
      <w:r w:rsidRPr="00FD50F6">
        <w:rPr>
          <w:rFonts w:hint="eastAsia"/>
        </w:rPr>
        <w:t>、</w:t>
      </w:r>
      <w:r w:rsidRPr="00FD50F6">
        <w:t>物资</w:t>
      </w:r>
      <w:r w:rsidRPr="00FD50F6">
        <w:rPr>
          <w:rFonts w:hint="eastAsia"/>
        </w:rPr>
        <w:t>总库应</w:t>
      </w:r>
      <w:r w:rsidRPr="00FD50F6">
        <w:t>设置自动喷水灭火系统</w:t>
      </w:r>
      <w:r w:rsidRPr="00FD50F6">
        <w:rPr>
          <w:rFonts w:hint="eastAsia"/>
        </w:rPr>
        <w:t>，当运用库、联合检修库、</w:t>
      </w:r>
      <w:r w:rsidRPr="00FD50F6">
        <w:t>工程车库高度超过自动喷水灭火系统的设计要求时，应设置固定消防炮</w:t>
      </w:r>
      <w:r w:rsidRPr="00FD50F6">
        <w:rPr>
          <w:rFonts w:hint="eastAsia"/>
        </w:rPr>
        <w:t>等</w:t>
      </w:r>
      <w:r w:rsidRPr="00FD50F6">
        <w:t>其他自动灭火系统</w:t>
      </w:r>
      <w:r w:rsidRPr="00FD50F6">
        <w:rPr>
          <w:rFonts w:hint="eastAsia"/>
        </w:rPr>
        <w:t>；</w:t>
      </w:r>
    </w:p>
    <w:p w14:paraId="5E3F808C" w14:textId="2F5A96FB" w:rsidR="00154160" w:rsidRPr="00FD50F6" w:rsidRDefault="00154160" w:rsidP="00A926BD">
      <w:pPr>
        <w:pStyle w:val="4"/>
      </w:pPr>
      <w:r w:rsidRPr="00FD50F6">
        <w:rPr>
          <w:rFonts w:hint="eastAsia"/>
        </w:rPr>
        <w:t>地面车站、高架车站、地面变电所、控制中心和车辆基地等地面建筑室内外消火栓系统</w:t>
      </w:r>
      <w:r w:rsidRPr="00FD50F6">
        <w:t>及自动喷水灭火系统的</w:t>
      </w:r>
      <w:r w:rsidRPr="00FD50F6">
        <w:rPr>
          <w:rFonts w:hint="eastAsia"/>
        </w:rPr>
        <w:t>设计应符合</w:t>
      </w:r>
      <w:r w:rsidR="007F7F70">
        <w:rPr>
          <w:rFonts w:hint="eastAsia"/>
        </w:rPr>
        <w:t>现行</w:t>
      </w:r>
      <w:r w:rsidRPr="00FD50F6">
        <w:t>国家标准</w:t>
      </w:r>
      <w:r w:rsidRPr="00FD50F6">
        <w:rPr>
          <w:rStyle w:val="afff2"/>
          <w:rFonts w:asciiTheme="minorHAnsi" w:hAnsiTheme="minorHAnsi" w:cstheme="minorBidi" w:hint="eastAsia"/>
          <w:bCs w:val="0"/>
        </w:rPr>
        <w:t>《</w:t>
      </w:r>
      <w:r w:rsidRPr="00FD50F6">
        <w:t>建筑设计防火规范》</w:t>
      </w:r>
      <w:r w:rsidRPr="00FD50F6">
        <w:rPr>
          <w:rFonts w:hint="eastAsia"/>
        </w:rPr>
        <w:t>GB</w:t>
      </w:r>
      <w:r w:rsidR="004906BB">
        <w:rPr>
          <w:rFonts w:hint="eastAsia"/>
        </w:rPr>
        <w:t xml:space="preserve"> </w:t>
      </w:r>
      <w:r w:rsidRPr="00FD50F6">
        <w:rPr>
          <w:rFonts w:hint="eastAsia"/>
        </w:rPr>
        <w:t>50016</w:t>
      </w:r>
      <w:r w:rsidRPr="00FD50F6">
        <w:rPr>
          <w:rFonts w:hint="eastAsia"/>
        </w:rPr>
        <w:t>、《消防给水及消火栓系统技术规范》</w:t>
      </w:r>
      <w:r w:rsidRPr="00FD50F6">
        <w:rPr>
          <w:rFonts w:hint="eastAsia"/>
        </w:rPr>
        <w:t>GB</w:t>
      </w:r>
      <w:r w:rsidR="007F7F70">
        <w:t xml:space="preserve"> </w:t>
      </w:r>
      <w:r w:rsidRPr="00FD50F6">
        <w:rPr>
          <w:rFonts w:hint="eastAsia"/>
        </w:rPr>
        <w:t>50974</w:t>
      </w:r>
      <w:r w:rsidRPr="00FD50F6">
        <w:rPr>
          <w:rFonts w:hint="eastAsia"/>
        </w:rPr>
        <w:t>及《自动喷水灭火系统设计规范》</w:t>
      </w:r>
      <w:r w:rsidRPr="00FD50F6">
        <w:rPr>
          <w:rFonts w:hint="eastAsia"/>
        </w:rPr>
        <w:t>GB</w:t>
      </w:r>
      <w:r w:rsidR="007F7F70">
        <w:t xml:space="preserve"> </w:t>
      </w:r>
      <w:r w:rsidRPr="00FD50F6">
        <w:rPr>
          <w:rFonts w:hint="eastAsia"/>
        </w:rPr>
        <w:t>50084</w:t>
      </w:r>
      <w:r w:rsidRPr="00FD50F6">
        <w:rPr>
          <w:rFonts w:hint="eastAsia"/>
        </w:rPr>
        <w:t>的规定。</w:t>
      </w:r>
    </w:p>
    <w:p w14:paraId="45337298" w14:textId="6AD3B1F6" w:rsidR="00154160" w:rsidRPr="00FD50F6" w:rsidRDefault="00154160" w:rsidP="004906BB">
      <w:pPr>
        <w:pStyle w:val="30"/>
      </w:pPr>
      <w:r w:rsidRPr="00FD50F6">
        <w:rPr>
          <w:rFonts w:hint="eastAsia"/>
        </w:rPr>
        <w:t>消防给水</w:t>
      </w:r>
      <w:r w:rsidRPr="00FD50F6">
        <w:t>系统</w:t>
      </w:r>
      <w:r w:rsidRPr="00FD50F6">
        <w:rPr>
          <w:rFonts w:hint="eastAsia"/>
        </w:rPr>
        <w:t>设计流量</w:t>
      </w:r>
      <w:r w:rsidR="00FF300C">
        <w:rPr>
          <w:rFonts w:hint="eastAsia"/>
        </w:rPr>
        <w:t>应</w:t>
      </w:r>
      <w:r w:rsidRPr="00FD50F6">
        <w:t>符合下列规定：</w:t>
      </w:r>
    </w:p>
    <w:p w14:paraId="61C01519" w14:textId="77777777" w:rsidR="00154160" w:rsidRPr="00FD50F6" w:rsidRDefault="00154160" w:rsidP="00A926BD">
      <w:pPr>
        <w:pStyle w:val="4"/>
      </w:pPr>
      <w:r w:rsidRPr="00FD50F6">
        <w:rPr>
          <w:rFonts w:hint="eastAsia"/>
        </w:rPr>
        <w:t>地下</w:t>
      </w:r>
      <w:r w:rsidRPr="00FD50F6">
        <w:t>车站</w:t>
      </w:r>
      <w:r w:rsidRPr="00FD50F6">
        <w:rPr>
          <w:rFonts w:hint="eastAsia"/>
        </w:rPr>
        <w:t>室外消火栓设计</w:t>
      </w:r>
      <w:r w:rsidRPr="00FD50F6">
        <w:t>流量不应小于</w:t>
      </w:r>
      <w:r w:rsidRPr="00FD50F6">
        <w:rPr>
          <w:rFonts w:hint="eastAsia"/>
        </w:rPr>
        <w:t>20</w:t>
      </w:r>
      <w:r w:rsidRPr="00FD50F6">
        <w:t>L</w:t>
      </w:r>
      <w:r w:rsidRPr="00FD50F6">
        <w:rPr>
          <w:rFonts w:hint="eastAsia"/>
        </w:rPr>
        <w:t>/</w:t>
      </w:r>
      <w:r w:rsidRPr="00FD50F6">
        <w:t>s</w:t>
      </w:r>
      <w:r w:rsidRPr="00FD50F6">
        <w:t>；</w:t>
      </w:r>
    </w:p>
    <w:p w14:paraId="20F63ECB" w14:textId="0B3131CE" w:rsidR="00154160" w:rsidRPr="00FD50F6" w:rsidRDefault="00154160" w:rsidP="00A926BD">
      <w:pPr>
        <w:pStyle w:val="4"/>
      </w:pPr>
      <w:r w:rsidRPr="00FD50F6">
        <w:t>地下车站</w:t>
      </w:r>
      <w:r w:rsidRPr="00FD50F6">
        <w:rPr>
          <w:rFonts w:hint="eastAsia"/>
        </w:rPr>
        <w:t>室内</w:t>
      </w:r>
      <w:r w:rsidRPr="00FD50F6">
        <w:t>消火栓设计流量不应小于</w:t>
      </w:r>
      <w:r w:rsidRPr="00FD50F6">
        <w:t>20L/s</w:t>
      </w:r>
      <w:r w:rsidRPr="00FD50F6">
        <w:t>；</w:t>
      </w:r>
    </w:p>
    <w:p w14:paraId="21D3BC01" w14:textId="77777777" w:rsidR="00154160" w:rsidRPr="00FD50F6" w:rsidRDefault="00154160" w:rsidP="00A926BD">
      <w:pPr>
        <w:pStyle w:val="4"/>
      </w:pPr>
      <w:r w:rsidRPr="00FD50F6">
        <w:t>地下车站出入口通道</w:t>
      </w:r>
      <w:r w:rsidRPr="00FD50F6">
        <w:rPr>
          <w:rFonts w:hint="eastAsia"/>
        </w:rPr>
        <w:t>、换乘</w:t>
      </w:r>
      <w:r w:rsidRPr="00FD50F6">
        <w:t>通道、</w:t>
      </w:r>
      <w:r w:rsidRPr="00FD50F6">
        <w:rPr>
          <w:rFonts w:hint="eastAsia"/>
        </w:rPr>
        <w:t>区间风井</w:t>
      </w:r>
      <w:r w:rsidRPr="00FD50F6">
        <w:t>、地下区间隧道</w:t>
      </w:r>
      <w:r w:rsidRPr="00FD50F6">
        <w:rPr>
          <w:rFonts w:hint="eastAsia"/>
        </w:rPr>
        <w:t>、</w:t>
      </w:r>
      <w:r w:rsidRPr="00FD50F6">
        <w:t>全地下车辆基地咽喉区</w:t>
      </w:r>
      <w:r w:rsidRPr="00FD50F6">
        <w:rPr>
          <w:rFonts w:hint="eastAsia"/>
        </w:rPr>
        <w:t>室内</w:t>
      </w:r>
      <w:r w:rsidRPr="00FD50F6">
        <w:t>消火栓设计流量不应小于</w:t>
      </w:r>
      <w:r w:rsidRPr="00FD50F6">
        <w:t>10L/s</w:t>
      </w:r>
      <w:r w:rsidRPr="00FD50F6">
        <w:t>；</w:t>
      </w:r>
    </w:p>
    <w:p w14:paraId="7C211A63" w14:textId="77777777" w:rsidR="00154160" w:rsidRPr="00FD50F6" w:rsidRDefault="00154160" w:rsidP="00A926BD">
      <w:pPr>
        <w:pStyle w:val="4"/>
      </w:pPr>
      <w:r w:rsidRPr="00FD50F6">
        <w:rPr>
          <w:rFonts w:hint="eastAsia"/>
        </w:rPr>
        <w:t>地面车站、高架车站、变电所、控制中心和车辆基地室内、</w:t>
      </w:r>
      <w:r w:rsidRPr="00FD50F6">
        <w:t>外消火栓系统设计流量应符合现行国家标准</w:t>
      </w:r>
      <w:r w:rsidRPr="00FD50F6">
        <w:rPr>
          <w:rFonts w:hint="eastAsia"/>
        </w:rPr>
        <w:t>《消防给水</w:t>
      </w:r>
      <w:r w:rsidRPr="00FD50F6">
        <w:t>及消火栓系统技术规范</w:t>
      </w:r>
      <w:r w:rsidRPr="00FD50F6">
        <w:rPr>
          <w:rFonts w:hint="eastAsia"/>
        </w:rPr>
        <w:t>》</w:t>
      </w:r>
      <w:r w:rsidRPr="00FD50F6">
        <w:rPr>
          <w:rFonts w:hint="eastAsia"/>
        </w:rPr>
        <w:t>GB</w:t>
      </w:r>
      <w:r w:rsidRPr="00FD50F6">
        <w:t xml:space="preserve"> 50974</w:t>
      </w:r>
      <w:r w:rsidRPr="00FD50F6">
        <w:rPr>
          <w:rFonts w:hint="eastAsia"/>
        </w:rPr>
        <w:t>的</w:t>
      </w:r>
      <w:r w:rsidRPr="00FD50F6">
        <w:t>规定。</w:t>
      </w:r>
    </w:p>
    <w:p w14:paraId="1CFE3B5B" w14:textId="77777777" w:rsidR="00154160" w:rsidRPr="00FD50F6" w:rsidRDefault="00154160" w:rsidP="00A926BD">
      <w:pPr>
        <w:pStyle w:val="4"/>
      </w:pPr>
      <w:r w:rsidRPr="00FD50F6">
        <w:rPr>
          <w:rFonts w:hint="eastAsia"/>
        </w:rPr>
        <w:lastRenderedPageBreak/>
        <w:t>自动</w:t>
      </w:r>
      <w:r w:rsidRPr="00FD50F6">
        <w:t>喷水</w:t>
      </w:r>
      <w:r w:rsidRPr="00FD50F6">
        <w:rPr>
          <w:rFonts w:hint="eastAsia"/>
        </w:rPr>
        <w:t>灭火</w:t>
      </w:r>
      <w:r w:rsidRPr="00FD50F6">
        <w:t>系统设计流量应符合</w:t>
      </w:r>
      <w:r w:rsidRPr="00FD50F6">
        <w:rPr>
          <w:rFonts w:hint="eastAsia"/>
        </w:rPr>
        <w:t>现行</w:t>
      </w:r>
      <w:r w:rsidRPr="00FD50F6">
        <w:t>国家标准《</w:t>
      </w:r>
      <w:r w:rsidRPr="00FD50F6">
        <w:rPr>
          <w:rFonts w:hint="eastAsia"/>
        </w:rPr>
        <w:t>自动</w:t>
      </w:r>
      <w:r w:rsidRPr="00FD50F6">
        <w:t>喷水灭火系统设计规范》</w:t>
      </w:r>
      <w:r w:rsidRPr="00FD50F6">
        <w:rPr>
          <w:rFonts w:hint="eastAsia"/>
        </w:rPr>
        <w:t>GB</w:t>
      </w:r>
      <w:r w:rsidRPr="00FD50F6">
        <w:t xml:space="preserve"> 50084</w:t>
      </w:r>
      <w:r w:rsidRPr="00FD50F6">
        <w:rPr>
          <w:rFonts w:hint="eastAsia"/>
        </w:rPr>
        <w:t>的</w:t>
      </w:r>
      <w:r w:rsidRPr="00FD50F6">
        <w:t>规定。</w:t>
      </w:r>
    </w:p>
    <w:p w14:paraId="6037E168" w14:textId="77777777" w:rsidR="00154160" w:rsidRPr="00FD50F6" w:rsidRDefault="00154160" w:rsidP="004906BB">
      <w:pPr>
        <w:pStyle w:val="30"/>
      </w:pPr>
      <w:r w:rsidRPr="00FD50F6">
        <w:t>消防给水水源</w:t>
      </w:r>
      <w:r w:rsidRPr="00FD50F6">
        <w:rPr>
          <w:rFonts w:hint="eastAsia"/>
        </w:rPr>
        <w:t>应</w:t>
      </w:r>
      <w:r w:rsidRPr="00FD50F6">
        <w:t>符合</w:t>
      </w:r>
      <w:r w:rsidRPr="00FD50F6">
        <w:rPr>
          <w:rFonts w:hint="eastAsia"/>
        </w:rPr>
        <w:t>下列</w:t>
      </w:r>
      <w:r w:rsidRPr="00FD50F6">
        <w:t>规定：</w:t>
      </w:r>
    </w:p>
    <w:p w14:paraId="5ACF3A55" w14:textId="77777777" w:rsidR="00154160" w:rsidRPr="00FD50F6" w:rsidRDefault="00154160" w:rsidP="00A926BD">
      <w:pPr>
        <w:pStyle w:val="4"/>
      </w:pPr>
      <w:r w:rsidRPr="00FD50F6">
        <w:t>地铁的消防给水水源</w:t>
      </w:r>
      <w:r w:rsidRPr="00FD50F6">
        <w:rPr>
          <w:rFonts w:hint="eastAsia"/>
        </w:rPr>
        <w:t>宜</w:t>
      </w:r>
      <w:r w:rsidRPr="00FD50F6">
        <w:t>采用城市自来水，当沿线无城市自来水时，可采用其他消防给水水源</w:t>
      </w:r>
      <w:r w:rsidRPr="00FD50F6">
        <w:rPr>
          <w:rFonts w:hint="eastAsia"/>
        </w:rPr>
        <w:t>；</w:t>
      </w:r>
    </w:p>
    <w:p w14:paraId="5AFDA9C4" w14:textId="77777777" w:rsidR="00154160" w:rsidRPr="00FD50F6" w:rsidRDefault="00154160" w:rsidP="00A926BD">
      <w:pPr>
        <w:pStyle w:val="4"/>
      </w:pPr>
      <w:r w:rsidRPr="00FD50F6">
        <w:rPr>
          <w:rFonts w:hint="eastAsia"/>
        </w:rPr>
        <w:t>为</w:t>
      </w:r>
      <w:r w:rsidRPr="00FD50F6">
        <w:t>地铁工程提供</w:t>
      </w:r>
      <w:r w:rsidRPr="00FD50F6">
        <w:rPr>
          <w:rFonts w:hint="eastAsia"/>
        </w:rPr>
        <w:t>两路消防供水的城市自来水管网应符合</w:t>
      </w:r>
      <w:r w:rsidRPr="00FD50F6">
        <w:t>现行国家标准《</w:t>
      </w:r>
      <w:r w:rsidRPr="00FD50F6">
        <w:rPr>
          <w:rFonts w:hint="eastAsia"/>
        </w:rPr>
        <w:t>消防给水</w:t>
      </w:r>
      <w:r w:rsidRPr="00FD50F6">
        <w:t>及消火栓系统技术规范》</w:t>
      </w:r>
      <w:r w:rsidRPr="00FD50F6">
        <w:t>GB 50974</w:t>
      </w:r>
      <w:r w:rsidRPr="00FD50F6">
        <w:rPr>
          <w:rFonts w:hint="eastAsia"/>
        </w:rPr>
        <w:t>的</w:t>
      </w:r>
      <w:r w:rsidRPr="00FD50F6">
        <w:t>规定。</w:t>
      </w:r>
    </w:p>
    <w:p w14:paraId="5066AAB4" w14:textId="77777777" w:rsidR="00154160" w:rsidRPr="00FD50F6" w:rsidRDefault="00154160" w:rsidP="00500C33">
      <w:pPr>
        <w:pStyle w:val="30"/>
      </w:pPr>
      <w:r w:rsidRPr="00FD50F6">
        <w:rPr>
          <w:rFonts w:hint="eastAsia"/>
        </w:rPr>
        <w:t>消防供水</w:t>
      </w:r>
      <w:r w:rsidRPr="00FD50F6">
        <w:t>设施应符合下列规定：</w:t>
      </w:r>
    </w:p>
    <w:p w14:paraId="0DAFA7D1" w14:textId="7BB42D1A" w:rsidR="00154160" w:rsidRPr="00FD50F6" w:rsidRDefault="00154160" w:rsidP="00A926BD">
      <w:pPr>
        <w:pStyle w:val="4"/>
      </w:pPr>
      <w:r w:rsidRPr="00FD50F6">
        <w:rPr>
          <w:rFonts w:hint="eastAsia"/>
        </w:rPr>
        <w:t>当城市自来水的供水量能满足消防用水的要求，而供水压力不能满足消防用水压力的要求时，应设消防增压、稳压设施；当地消防和市政部门许可时，可不设消防水池，从市政管网直接吸水。</w:t>
      </w:r>
    </w:p>
    <w:p w14:paraId="26C5AA09" w14:textId="2C89A5F3" w:rsidR="00154160" w:rsidRPr="00FD50F6" w:rsidRDefault="00154160" w:rsidP="00A926BD">
      <w:pPr>
        <w:pStyle w:val="4"/>
      </w:pPr>
      <w:r w:rsidRPr="00FD50F6">
        <w:rPr>
          <w:rFonts w:hint="eastAsia"/>
        </w:rPr>
        <w:t>当城市自来水的供水量不能满足消防用水量要求或城市自来水管网为枝状管网时，应设消防增压、稳压设施和消防水池。</w:t>
      </w:r>
    </w:p>
    <w:p w14:paraId="0818DC16" w14:textId="2D615616" w:rsidR="00154160" w:rsidRPr="00FD50F6" w:rsidRDefault="00154160" w:rsidP="00A926BD">
      <w:pPr>
        <w:pStyle w:val="4"/>
      </w:pPr>
      <w:r w:rsidRPr="00FD50F6">
        <w:rPr>
          <w:rFonts w:hint="eastAsia"/>
        </w:rPr>
        <w:t>当消防水泵从城市自来水管网直接抽水时，应在消防水泵吸水管上设置有空气隔断的倒流防止器，消防水泵扬程应按城市</w:t>
      </w:r>
      <w:r w:rsidRPr="00FD50F6">
        <w:t>自来水</w:t>
      </w:r>
      <w:r w:rsidRPr="00FD50F6">
        <w:rPr>
          <w:rFonts w:hint="eastAsia"/>
        </w:rPr>
        <w:t>管网的最低水压计算，并应按城市</w:t>
      </w:r>
      <w:r w:rsidRPr="00FD50F6">
        <w:t>自来水</w:t>
      </w:r>
      <w:r w:rsidRPr="00FD50F6">
        <w:rPr>
          <w:rFonts w:hint="eastAsia"/>
        </w:rPr>
        <w:t>管网的最高水压校核。</w:t>
      </w:r>
    </w:p>
    <w:p w14:paraId="3CBFF00A" w14:textId="79B85EFC" w:rsidR="00154160" w:rsidRPr="00FD50F6" w:rsidRDefault="00154160" w:rsidP="00A926BD">
      <w:pPr>
        <w:pStyle w:val="4"/>
      </w:pPr>
      <w:r w:rsidRPr="00FD50F6">
        <w:rPr>
          <w:rFonts w:hint="eastAsia"/>
        </w:rPr>
        <w:t>当地下车站、</w:t>
      </w:r>
      <w:r w:rsidRPr="00FD50F6">
        <w:t>地下区间</w:t>
      </w:r>
      <w:r w:rsidRPr="00FD50F6">
        <w:rPr>
          <w:rFonts w:hint="eastAsia"/>
        </w:rPr>
        <w:t>、</w:t>
      </w:r>
      <w:r w:rsidRPr="00FD50F6">
        <w:t>地面及高架车站</w:t>
      </w:r>
      <w:r w:rsidRPr="00FD50F6">
        <w:rPr>
          <w:rFonts w:hint="eastAsia"/>
        </w:rPr>
        <w:t>室内消火栓给水系统、自动喷水灭火系统采用消防泵加压供水时，应设置稳压装置及气压罐，可不设高位水箱</w:t>
      </w:r>
      <w:r w:rsidRPr="00FD50F6">
        <w:t>，气压罐的有效</w:t>
      </w:r>
      <w:r w:rsidRPr="00FD50F6">
        <w:rPr>
          <w:rFonts w:hint="eastAsia"/>
        </w:rPr>
        <w:t>储水</w:t>
      </w:r>
      <w:r w:rsidRPr="00FD50F6">
        <w:t>容积</w:t>
      </w:r>
      <w:r w:rsidRPr="00FD50F6">
        <w:rPr>
          <w:rFonts w:hint="eastAsia"/>
        </w:rPr>
        <w:t>消火栓</w:t>
      </w:r>
      <w:r w:rsidRPr="00FD50F6">
        <w:t>系统不</w:t>
      </w:r>
      <w:r w:rsidRPr="00FD50F6">
        <w:rPr>
          <w:rFonts w:hint="eastAsia"/>
        </w:rPr>
        <w:t>应</w:t>
      </w:r>
      <w:r w:rsidRPr="00FD50F6">
        <w:t>小于</w:t>
      </w:r>
      <w:r w:rsidRPr="00FD50F6">
        <w:rPr>
          <w:rFonts w:hint="eastAsia"/>
        </w:rPr>
        <w:t>150</w:t>
      </w:r>
      <w:r w:rsidRPr="00FD50F6">
        <w:t>L</w:t>
      </w:r>
      <w:r w:rsidRPr="00FD50F6">
        <w:rPr>
          <w:rFonts w:hint="eastAsia"/>
        </w:rPr>
        <w:t>，</w:t>
      </w:r>
      <w:r w:rsidRPr="00FD50F6">
        <w:t>自动喷水灭火系统</w:t>
      </w:r>
      <w:r w:rsidRPr="00FD50F6">
        <w:rPr>
          <w:rFonts w:hint="eastAsia"/>
        </w:rPr>
        <w:t>不应</w:t>
      </w:r>
      <w:r w:rsidRPr="00FD50F6">
        <w:t>小于</w:t>
      </w:r>
      <w:r w:rsidRPr="00FD50F6">
        <w:t>300</w:t>
      </w:r>
      <w:r w:rsidRPr="00FD50F6">
        <w:rPr>
          <w:rFonts w:hint="eastAsia"/>
        </w:rPr>
        <w:t>L</w:t>
      </w:r>
      <w:r w:rsidRPr="00FD50F6">
        <w:rPr>
          <w:rFonts w:hint="eastAsia"/>
        </w:rPr>
        <w:t>。</w:t>
      </w:r>
      <w:r w:rsidRPr="00FD50F6">
        <w:t>地下车站消火栓</w:t>
      </w:r>
      <w:r w:rsidRPr="00FD50F6">
        <w:rPr>
          <w:rFonts w:hint="eastAsia"/>
        </w:rPr>
        <w:t>和</w:t>
      </w:r>
      <w:r w:rsidRPr="00FD50F6">
        <w:t>自动喷水灭火系统宜利用市政自来水稳压</w:t>
      </w:r>
      <w:r w:rsidRPr="00FD50F6">
        <w:rPr>
          <w:rFonts w:hint="eastAsia"/>
        </w:rPr>
        <w:t>。</w:t>
      </w:r>
    </w:p>
    <w:p w14:paraId="2A688461" w14:textId="657614F9" w:rsidR="00154160" w:rsidRPr="00FD50F6" w:rsidRDefault="00154160" w:rsidP="00A926BD">
      <w:pPr>
        <w:pStyle w:val="4"/>
      </w:pPr>
      <w:r w:rsidRPr="00FD50F6">
        <w:rPr>
          <w:rFonts w:hint="eastAsia"/>
        </w:rPr>
        <w:t>与车站联体开发的商业等非地铁功能场所的</w:t>
      </w:r>
      <w:r w:rsidRPr="00FD50F6">
        <w:t>消火栓</w:t>
      </w:r>
      <w:r w:rsidRPr="00FD50F6">
        <w:rPr>
          <w:rFonts w:hint="eastAsia"/>
        </w:rPr>
        <w:t>及</w:t>
      </w:r>
      <w:r w:rsidRPr="00FD50F6">
        <w:t>自动喷水灭火系统</w:t>
      </w:r>
      <w:r w:rsidRPr="00FD50F6">
        <w:rPr>
          <w:rFonts w:hint="eastAsia"/>
        </w:rPr>
        <w:t>的消防泵房</w:t>
      </w:r>
      <w:r w:rsidRPr="00FD50F6">
        <w:t>、消防水池和高位水箱设置应符合现行国家标准《</w:t>
      </w:r>
      <w:r w:rsidRPr="00FD50F6">
        <w:rPr>
          <w:rFonts w:hint="eastAsia"/>
        </w:rPr>
        <w:t>消防给水</w:t>
      </w:r>
      <w:r w:rsidRPr="00FD50F6">
        <w:t>及消火栓系统技术规范》</w:t>
      </w:r>
      <w:r w:rsidRPr="00FD50F6">
        <w:t>GB 50974</w:t>
      </w:r>
      <w:r w:rsidRPr="00FD50F6">
        <w:rPr>
          <w:rFonts w:hint="eastAsia"/>
        </w:rPr>
        <w:t>和</w:t>
      </w:r>
      <w:r w:rsidRPr="00FD50F6">
        <w:t>《</w:t>
      </w:r>
      <w:r w:rsidRPr="00FD50F6">
        <w:rPr>
          <w:rFonts w:hint="eastAsia"/>
        </w:rPr>
        <w:t>自动</w:t>
      </w:r>
      <w:r w:rsidRPr="00FD50F6">
        <w:t>喷水灭火系统设计规范》</w:t>
      </w:r>
      <w:r w:rsidRPr="00FD50F6">
        <w:rPr>
          <w:rFonts w:hint="eastAsia"/>
        </w:rPr>
        <w:t>GB</w:t>
      </w:r>
      <w:r w:rsidRPr="00FD50F6">
        <w:t xml:space="preserve"> 50084</w:t>
      </w:r>
      <w:r w:rsidRPr="00FD50F6">
        <w:rPr>
          <w:rFonts w:hint="eastAsia"/>
        </w:rPr>
        <w:t>的</w:t>
      </w:r>
      <w:r w:rsidRPr="00FD50F6">
        <w:t>规定</w:t>
      </w:r>
      <w:r w:rsidRPr="00FD50F6">
        <w:rPr>
          <w:rFonts w:hint="eastAsia"/>
        </w:rPr>
        <w:t>。</w:t>
      </w:r>
    </w:p>
    <w:p w14:paraId="06AB416D" w14:textId="7E0F80E0" w:rsidR="00154160" w:rsidRPr="00FD50F6" w:rsidRDefault="00154160" w:rsidP="00A926BD">
      <w:pPr>
        <w:pStyle w:val="4"/>
      </w:pPr>
      <w:r w:rsidRPr="00FD50F6">
        <w:rPr>
          <w:rFonts w:hint="eastAsia"/>
        </w:rPr>
        <w:t>地铁工程的</w:t>
      </w:r>
      <w:r w:rsidRPr="00FD50F6">
        <w:t>室内消火栓系统及自动喷水灭火系统应设置水泵接合器</w:t>
      </w:r>
      <w:r w:rsidRPr="00FD50F6">
        <w:rPr>
          <w:rFonts w:hint="eastAsia"/>
        </w:rPr>
        <w:t>。</w:t>
      </w:r>
    </w:p>
    <w:p w14:paraId="72F9B14F" w14:textId="33D00B36" w:rsidR="00154160" w:rsidRPr="00FD50F6" w:rsidRDefault="00154160" w:rsidP="00A926BD">
      <w:pPr>
        <w:pStyle w:val="4"/>
      </w:pPr>
      <w:r w:rsidRPr="00FD50F6">
        <w:rPr>
          <w:rFonts w:hint="eastAsia"/>
        </w:rPr>
        <w:t>地下</w:t>
      </w:r>
      <w:r w:rsidRPr="00FD50F6">
        <w:t>车站消防</w:t>
      </w:r>
      <w:r w:rsidRPr="00FD50F6">
        <w:rPr>
          <w:rFonts w:hint="eastAsia"/>
        </w:rPr>
        <w:t>水泵房</w:t>
      </w:r>
      <w:r w:rsidRPr="00FD50F6">
        <w:t>应设置在</w:t>
      </w:r>
      <w:r w:rsidRPr="00FD50F6">
        <w:rPr>
          <w:rFonts w:hint="eastAsia"/>
        </w:rPr>
        <w:t>地下一层</w:t>
      </w:r>
      <w:r w:rsidRPr="00FD50F6">
        <w:t>及以上楼层</w:t>
      </w:r>
      <w:r w:rsidRPr="00FD50F6">
        <w:rPr>
          <w:rFonts w:hint="eastAsia"/>
        </w:rPr>
        <w:t>，消防</w:t>
      </w:r>
      <w:r w:rsidRPr="00FD50F6">
        <w:t>水泵房应有</w:t>
      </w:r>
      <w:r w:rsidRPr="00FD50F6">
        <w:rPr>
          <w:rFonts w:hint="eastAsia"/>
        </w:rPr>
        <w:t>排水</w:t>
      </w:r>
      <w:r w:rsidRPr="00FD50F6">
        <w:t>等防</w:t>
      </w:r>
      <w:r w:rsidRPr="00FD50F6">
        <w:rPr>
          <w:rFonts w:hint="eastAsia"/>
        </w:rPr>
        <w:t>淹</w:t>
      </w:r>
      <w:r w:rsidRPr="00FD50F6">
        <w:t>措施。</w:t>
      </w:r>
      <w:r w:rsidRPr="00FD50F6">
        <w:rPr>
          <w:rFonts w:hint="eastAsia"/>
        </w:rPr>
        <w:t>地面和高架车站消防水泵房及消防水池的设置应符合现行国家标准《消防给水及消火栓系统技术规范》</w:t>
      </w:r>
      <w:r w:rsidRPr="00FD50F6">
        <w:rPr>
          <w:rFonts w:hint="eastAsia"/>
        </w:rPr>
        <w:t>GB</w:t>
      </w:r>
      <w:r w:rsidRPr="00FD50F6">
        <w:t xml:space="preserve"> </w:t>
      </w:r>
      <w:r w:rsidRPr="00FD50F6">
        <w:rPr>
          <w:rFonts w:hint="eastAsia"/>
        </w:rPr>
        <w:t xml:space="preserve">50974 </w:t>
      </w:r>
      <w:r w:rsidRPr="00FD50F6">
        <w:rPr>
          <w:rFonts w:hint="eastAsia"/>
        </w:rPr>
        <w:t>的规定。</w:t>
      </w:r>
    </w:p>
    <w:p w14:paraId="7014252C" w14:textId="77777777" w:rsidR="00154160" w:rsidRPr="00FD50F6" w:rsidRDefault="00154160" w:rsidP="00500C33">
      <w:pPr>
        <w:pStyle w:val="30"/>
      </w:pPr>
      <w:r w:rsidRPr="00FD50F6">
        <w:t>地铁消防给水系统</w:t>
      </w:r>
      <w:r w:rsidRPr="00FD50F6">
        <w:rPr>
          <w:rFonts w:hint="eastAsia"/>
        </w:rPr>
        <w:t>形式应</w:t>
      </w:r>
      <w:r w:rsidRPr="00FD50F6">
        <w:t>按下列要求确定：</w:t>
      </w:r>
    </w:p>
    <w:p w14:paraId="4FE30464" w14:textId="4F4AD794" w:rsidR="00154160" w:rsidRPr="00FD50F6" w:rsidRDefault="00154160" w:rsidP="00A926BD">
      <w:pPr>
        <w:pStyle w:val="4"/>
      </w:pPr>
      <w:r w:rsidRPr="00FD50F6">
        <w:t>换乘车站防给水系统宜采用一套系统</w:t>
      </w:r>
      <w:r w:rsidRPr="00FD50F6">
        <w:rPr>
          <w:rFonts w:hint="eastAsia"/>
        </w:rPr>
        <w:t>；</w:t>
      </w:r>
    </w:p>
    <w:p w14:paraId="532C5076" w14:textId="36227DEE" w:rsidR="00154160" w:rsidRPr="00FD50F6" w:rsidRDefault="00154160" w:rsidP="00A926BD">
      <w:pPr>
        <w:pStyle w:val="4"/>
      </w:pPr>
      <w:r w:rsidRPr="00FD50F6">
        <w:rPr>
          <w:rFonts w:hint="eastAsia"/>
        </w:rPr>
        <w:t>地下</w:t>
      </w:r>
      <w:r w:rsidRPr="00FD50F6">
        <w:t>车站</w:t>
      </w:r>
      <w:r w:rsidRPr="00FD50F6">
        <w:rPr>
          <w:rFonts w:hint="eastAsia"/>
        </w:rPr>
        <w:t>配线</w:t>
      </w:r>
      <w:r w:rsidRPr="00FD50F6">
        <w:t>上方</w:t>
      </w:r>
      <w:r w:rsidRPr="00FD50F6">
        <w:rPr>
          <w:rFonts w:hint="eastAsia"/>
        </w:rPr>
        <w:t>的配套</w:t>
      </w:r>
      <w:r w:rsidRPr="00FD50F6">
        <w:t>商业开发可与地铁工程合用一套</w:t>
      </w:r>
      <w:r w:rsidRPr="00FD50F6">
        <w:rPr>
          <w:rFonts w:hint="eastAsia"/>
        </w:rPr>
        <w:t>消防</w:t>
      </w:r>
      <w:r w:rsidRPr="00FD50F6">
        <w:t>给水系统</w:t>
      </w:r>
      <w:r w:rsidRPr="00FD50F6">
        <w:rPr>
          <w:rFonts w:hint="eastAsia"/>
        </w:rPr>
        <w:t>；</w:t>
      </w:r>
    </w:p>
    <w:p w14:paraId="66179A6D" w14:textId="57B69D39" w:rsidR="00154160" w:rsidRPr="00FD50F6" w:rsidRDefault="00154160" w:rsidP="00A926BD">
      <w:pPr>
        <w:pStyle w:val="4"/>
      </w:pPr>
      <w:r w:rsidRPr="00FD50F6">
        <w:rPr>
          <w:rFonts w:hint="eastAsia"/>
        </w:rPr>
        <w:lastRenderedPageBreak/>
        <w:t>当车辆基地</w:t>
      </w:r>
      <w:r w:rsidRPr="00FD50F6">
        <w:t>有</w:t>
      </w:r>
      <w:r w:rsidRPr="00FD50F6">
        <w:rPr>
          <w:rFonts w:hint="eastAsia"/>
        </w:rPr>
        <w:t>上盖开发</w:t>
      </w:r>
      <w:r w:rsidRPr="00FD50F6">
        <w:t>时，</w:t>
      </w:r>
      <w:r w:rsidR="006B6D19" w:rsidRPr="00FD50F6">
        <w:t>上盖</w:t>
      </w:r>
      <w:r w:rsidRPr="00FD50F6">
        <w:t>开发</w:t>
      </w:r>
      <w:r w:rsidRPr="00FD50F6">
        <w:rPr>
          <w:rFonts w:hint="eastAsia"/>
        </w:rPr>
        <w:t>部分建筑与盖下</w:t>
      </w:r>
      <w:r w:rsidRPr="00FD50F6">
        <w:t>车辆基地的</w:t>
      </w:r>
      <w:r w:rsidRPr="00FD50F6">
        <w:rPr>
          <w:rFonts w:hint="eastAsia"/>
        </w:rPr>
        <w:t>厂房</w:t>
      </w:r>
      <w:r w:rsidR="00133114" w:rsidRPr="00FD50F6">
        <w:rPr>
          <w:rFonts w:hint="eastAsia"/>
        </w:rPr>
        <w:t>、仓库</w:t>
      </w:r>
      <w:r w:rsidRPr="00FD50F6">
        <w:rPr>
          <w:rFonts w:hint="eastAsia"/>
        </w:rPr>
        <w:t>等建筑的消防给水系统应各自独立设置；</w:t>
      </w:r>
    </w:p>
    <w:p w14:paraId="328C4674" w14:textId="6A0AAD3D" w:rsidR="00154160" w:rsidRPr="00FD50F6" w:rsidRDefault="00154160" w:rsidP="00A926BD">
      <w:pPr>
        <w:pStyle w:val="4"/>
      </w:pPr>
      <w:r w:rsidRPr="00FD50F6">
        <w:rPr>
          <w:rFonts w:hint="eastAsia"/>
        </w:rPr>
        <w:t>当</w:t>
      </w:r>
      <w:r w:rsidRPr="00FD50F6">
        <w:t>车辆基地</w:t>
      </w:r>
      <w:r w:rsidRPr="00FD50F6">
        <w:rPr>
          <w:rFonts w:hint="eastAsia"/>
        </w:rPr>
        <w:t>采用</w:t>
      </w:r>
      <w:r w:rsidRPr="00FD50F6">
        <w:t>一套临时高压消防给水系统时，消防供水的最大保护建筑面积</w:t>
      </w:r>
      <w:r w:rsidRPr="00FD50F6">
        <w:rPr>
          <w:rFonts w:hint="eastAsia"/>
        </w:rPr>
        <w:t>不应</w:t>
      </w:r>
      <w:r w:rsidRPr="00FD50F6">
        <w:t>超过</w:t>
      </w:r>
      <w:r w:rsidRPr="00FD50F6">
        <w:rPr>
          <w:rFonts w:hint="eastAsia"/>
        </w:rPr>
        <w:t>50</w:t>
      </w:r>
      <w:r w:rsidR="00FF300C">
        <w:rPr>
          <w:rFonts w:hint="eastAsia"/>
        </w:rPr>
        <w:t>万</w:t>
      </w:r>
      <w:r w:rsidRPr="00FD50F6">
        <w:t>m</w:t>
      </w:r>
      <w:r w:rsidRPr="00FD50F6">
        <w:rPr>
          <w:vertAlign w:val="superscript"/>
        </w:rPr>
        <w:t>2</w:t>
      </w:r>
      <w:r w:rsidRPr="00FD50F6">
        <w:rPr>
          <w:rFonts w:hint="eastAsia"/>
        </w:rPr>
        <w:t>；</w:t>
      </w:r>
    </w:p>
    <w:p w14:paraId="4A779779" w14:textId="13BA7B7C" w:rsidR="00154160" w:rsidRPr="00FD50F6" w:rsidRDefault="00154160" w:rsidP="00A926BD">
      <w:pPr>
        <w:pStyle w:val="4"/>
      </w:pPr>
      <w:r w:rsidRPr="00FD50F6">
        <w:rPr>
          <w:rFonts w:hint="eastAsia"/>
        </w:rPr>
        <w:t>地铁</w:t>
      </w:r>
      <w:r w:rsidRPr="00FD50F6">
        <w:t>工程室内消火栓系统与自动喷水灭火系统应</w:t>
      </w:r>
      <w:r w:rsidRPr="00FD50F6">
        <w:rPr>
          <w:rFonts w:hint="eastAsia"/>
        </w:rPr>
        <w:t>独立</w:t>
      </w:r>
      <w:r w:rsidRPr="00FD50F6">
        <w:t>设置</w:t>
      </w:r>
      <w:r w:rsidRPr="00FD50F6">
        <w:rPr>
          <w:rFonts w:hint="eastAsia"/>
        </w:rPr>
        <w:t>；当</w:t>
      </w:r>
      <w:r w:rsidRPr="00FD50F6">
        <w:t>室内消火栓系统的设计流量可满足局部应用系统</w:t>
      </w:r>
      <w:r w:rsidRPr="00FD50F6">
        <w:rPr>
          <w:rFonts w:hint="eastAsia"/>
        </w:rPr>
        <w:t>设计</w:t>
      </w:r>
      <w:r w:rsidRPr="00FD50F6">
        <w:t>流量要求</w:t>
      </w:r>
      <w:r w:rsidRPr="00FD50F6">
        <w:rPr>
          <w:rFonts w:hint="eastAsia"/>
        </w:rPr>
        <w:t>时，</w:t>
      </w:r>
      <w:r w:rsidRPr="00FD50F6">
        <w:t>局部应用</w:t>
      </w:r>
      <w:r w:rsidRPr="00FD50F6">
        <w:rPr>
          <w:rFonts w:hint="eastAsia"/>
        </w:rPr>
        <w:t>系统</w:t>
      </w:r>
      <w:r w:rsidRPr="00FD50F6">
        <w:t>可与室</w:t>
      </w:r>
      <w:r w:rsidRPr="00FD50F6">
        <w:rPr>
          <w:rFonts w:hint="eastAsia"/>
        </w:rPr>
        <w:t>内</w:t>
      </w:r>
      <w:r w:rsidRPr="00FD50F6">
        <w:t>消火栓系统合用</w:t>
      </w:r>
      <w:r w:rsidRPr="00FD50F6">
        <w:rPr>
          <w:rFonts w:hint="eastAsia"/>
        </w:rPr>
        <w:t>一套消防、</w:t>
      </w:r>
      <w:r w:rsidRPr="00FD50F6">
        <w:t>稳压泵组</w:t>
      </w:r>
      <w:r w:rsidRPr="00FD50F6">
        <w:rPr>
          <w:rFonts w:hint="eastAsia"/>
        </w:rPr>
        <w:t>及</w:t>
      </w:r>
      <w:r w:rsidRPr="00FD50F6">
        <w:t>供水管道</w:t>
      </w:r>
      <w:r w:rsidRPr="00FD50F6">
        <w:rPr>
          <w:rFonts w:hint="eastAsia"/>
        </w:rPr>
        <w:t>；</w:t>
      </w:r>
    </w:p>
    <w:p w14:paraId="68FAD3CC" w14:textId="1321361B" w:rsidR="00154160" w:rsidRPr="00FD50F6" w:rsidRDefault="00154160" w:rsidP="00A926BD">
      <w:pPr>
        <w:pStyle w:val="4"/>
      </w:pPr>
      <w:r w:rsidRPr="00FD50F6">
        <w:rPr>
          <w:rFonts w:hint="eastAsia"/>
        </w:rPr>
        <w:t>地下</w:t>
      </w:r>
      <w:r w:rsidRPr="00FD50F6">
        <w:t>车站室外</w:t>
      </w:r>
      <w:r w:rsidRPr="00FD50F6">
        <w:rPr>
          <w:rFonts w:hint="eastAsia"/>
        </w:rPr>
        <w:t>消火栓</w:t>
      </w:r>
      <w:r w:rsidRPr="00FD50F6">
        <w:t>系统</w:t>
      </w:r>
      <w:r w:rsidRPr="00FD50F6">
        <w:rPr>
          <w:rFonts w:hint="eastAsia"/>
        </w:rPr>
        <w:t>宜</w:t>
      </w:r>
      <w:r w:rsidRPr="00FD50F6">
        <w:t>采用低压</w:t>
      </w:r>
      <w:r w:rsidRPr="00FD50F6">
        <w:rPr>
          <w:rFonts w:hint="eastAsia"/>
        </w:rPr>
        <w:t>消防给水系统，室外消防设计流量小于等于</w:t>
      </w:r>
      <w:r w:rsidRPr="00FD50F6">
        <w:rPr>
          <w:rFonts w:hint="eastAsia"/>
        </w:rPr>
        <w:t>20l/s</w:t>
      </w:r>
      <w:r w:rsidRPr="00FD50F6">
        <w:rPr>
          <w:rFonts w:hint="eastAsia"/>
        </w:rPr>
        <w:t>时，可</w:t>
      </w:r>
      <w:r w:rsidRPr="00FD50F6">
        <w:t>采用一路消防供水系统。</w:t>
      </w:r>
    </w:p>
    <w:p w14:paraId="799C26F3" w14:textId="7C2567D9" w:rsidR="00154160" w:rsidRPr="00FD50F6" w:rsidRDefault="00154160" w:rsidP="00500C33">
      <w:pPr>
        <w:pStyle w:val="30"/>
      </w:pPr>
      <w:r w:rsidRPr="00FD50F6">
        <w:t>消防给水管道的设置应符合下列</w:t>
      </w:r>
      <w:r w:rsidRPr="00FD50F6">
        <w:rPr>
          <w:rFonts w:hint="eastAsia"/>
        </w:rPr>
        <w:t>规定</w:t>
      </w:r>
      <w:r w:rsidRPr="00FD50F6">
        <w:t>：</w:t>
      </w:r>
    </w:p>
    <w:p w14:paraId="768F436B" w14:textId="13FF227D" w:rsidR="00154160" w:rsidRPr="00FD50F6" w:rsidRDefault="00154160" w:rsidP="00A926BD">
      <w:pPr>
        <w:pStyle w:val="4"/>
      </w:pPr>
      <w:r w:rsidRPr="00FD50F6">
        <w:t>地下车站和地下区间的室内消火栓给水系统应设计为环状管网</w:t>
      </w:r>
      <w:r w:rsidRPr="00FD50F6">
        <w:rPr>
          <w:rFonts w:hint="eastAsia"/>
        </w:rPr>
        <w:t>，</w:t>
      </w:r>
      <w:r w:rsidRPr="00FD50F6">
        <w:t>地下区间上下行线应各设置</w:t>
      </w:r>
      <w:r w:rsidRPr="00FD50F6">
        <w:t>1</w:t>
      </w:r>
      <w:r w:rsidRPr="00FD50F6">
        <w:t>根消防给水管在地下车站端部</w:t>
      </w:r>
      <w:r w:rsidRPr="00FD50F6">
        <w:rPr>
          <w:rFonts w:hint="eastAsia"/>
        </w:rPr>
        <w:t>与</w:t>
      </w:r>
      <w:r w:rsidRPr="00FD50F6">
        <w:t>车站环状管网相接；</w:t>
      </w:r>
    </w:p>
    <w:p w14:paraId="711A458C" w14:textId="3DDADF37" w:rsidR="00154160" w:rsidRPr="00FD50F6" w:rsidRDefault="00154160" w:rsidP="00A926BD">
      <w:pPr>
        <w:pStyle w:val="4"/>
      </w:pPr>
      <w:r w:rsidRPr="00FD50F6">
        <w:t>地下区间两条给水干管之间是否设置连通管应经技术经济比较确定；</w:t>
      </w:r>
    </w:p>
    <w:p w14:paraId="17EAF86F" w14:textId="77777777" w:rsidR="00154160" w:rsidRPr="00FD50F6" w:rsidRDefault="00154160" w:rsidP="00A926BD">
      <w:pPr>
        <w:pStyle w:val="4"/>
      </w:pPr>
      <w:r w:rsidRPr="00FD50F6">
        <w:t>车站室内消火栓环状管网应有</w:t>
      </w:r>
      <w:r w:rsidRPr="00FD50F6">
        <w:t>2</w:t>
      </w:r>
      <w:r w:rsidRPr="00FD50F6">
        <w:t>根进水管与城市自来水环状管网或消防水泵连接</w:t>
      </w:r>
      <w:r w:rsidRPr="00FD50F6">
        <w:rPr>
          <w:rFonts w:hint="eastAsia"/>
        </w:rPr>
        <w:t>。</w:t>
      </w:r>
    </w:p>
    <w:p w14:paraId="2C497572" w14:textId="10B2179A" w:rsidR="00154160" w:rsidRPr="00500C33" w:rsidRDefault="00154160" w:rsidP="00500C33">
      <w:pPr>
        <w:pStyle w:val="30"/>
      </w:pPr>
      <w:r w:rsidRPr="00FD50F6">
        <w:t>地铁室</w:t>
      </w:r>
      <w:r w:rsidRPr="00FD50F6">
        <w:rPr>
          <w:rFonts w:hint="eastAsia"/>
        </w:rPr>
        <w:t>外</w:t>
      </w:r>
      <w:r w:rsidRPr="00FD50F6">
        <w:t>消火栓的设置应符合下列</w:t>
      </w:r>
      <w:r w:rsidRPr="00FD50F6">
        <w:rPr>
          <w:rFonts w:hint="eastAsia"/>
        </w:rPr>
        <w:t>规定：</w:t>
      </w:r>
    </w:p>
    <w:p w14:paraId="192B55F5" w14:textId="77777777" w:rsidR="00154160" w:rsidRPr="00FD50F6" w:rsidRDefault="00154160" w:rsidP="00A926BD">
      <w:pPr>
        <w:pStyle w:val="4"/>
      </w:pPr>
      <w:r w:rsidRPr="00FD50F6">
        <w:rPr>
          <w:rFonts w:hint="eastAsia"/>
        </w:rPr>
        <w:t>地下车站应在出入口设置室外消火栓，设置室外消火栓的出入口数量不应少于</w:t>
      </w:r>
      <w:r w:rsidRPr="00FD50F6">
        <w:t>2</w:t>
      </w:r>
      <w:r w:rsidRPr="00FD50F6">
        <w:rPr>
          <w:rFonts w:hint="eastAsia"/>
        </w:rPr>
        <w:t>个，室外</w:t>
      </w:r>
      <w:r w:rsidRPr="00FD50F6">
        <w:t>消火栓</w:t>
      </w:r>
      <w:r w:rsidRPr="00FD50F6">
        <w:rPr>
          <w:rFonts w:hint="eastAsia"/>
        </w:rPr>
        <w:t>距离出入口的距离不宜小于</w:t>
      </w:r>
      <w:r w:rsidRPr="00FD50F6">
        <w:t>5m</w:t>
      </w:r>
      <w:r w:rsidRPr="00FD50F6">
        <w:rPr>
          <w:rFonts w:hint="eastAsia"/>
        </w:rPr>
        <w:t>并不宜大于</w:t>
      </w:r>
      <w:r w:rsidRPr="00FD50F6">
        <w:t>40m</w:t>
      </w:r>
      <w:r w:rsidRPr="00FD50F6">
        <w:rPr>
          <w:rFonts w:hint="eastAsia"/>
        </w:rPr>
        <w:t>；</w:t>
      </w:r>
    </w:p>
    <w:p w14:paraId="2E8D4CAE" w14:textId="33E058FC" w:rsidR="00154160" w:rsidRPr="00FD50F6" w:rsidRDefault="00154160" w:rsidP="00A926BD">
      <w:pPr>
        <w:pStyle w:val="4"/>
      </w:pPr>
      <w:r w:rsidRPr="00FD50F6">
        <w:t>车辆基地应</w:t>
      </w:r>
      <w:r w:rsidRPr="00FD50F6">
        <w:rPr>
          <w:rFonts w:hint="eastAsia"/>
        </w:rPr>
        <w:t>沿</w:t>
      </w:r>
      <w:r w:rsidRPr="00FD50F6">
        <w:t>消防车</w:t>
      </w:r>
      <w:r w:rsidRPr="00FD50F6">
        <w:rPr>
          <w:rFonts w:hint="eastAsia"/>
        </w:rPr>
        <w:t>道</w:t>
      </w:r>
      <w:r w:rsidRPr="00FD50F6">
        <w:t>设置室外消火栓，</w:t>
      </w:r>
      <w:r w:rsidRPr="00FD50F6">
        <w:rPr>
          <w:rFonts w:hint="eastAsia"/>
        </w:rPr>
        <w:t>带</w:t>
      </w:r>
      <w:r w:rsidRPr="00FD50F6">
        <w:t>上盖开发、半地下和全地下</w:t>
      </w:r>
      <w:r w:rsidRPr="00FD50F6">
        <w:rPr>
          <w:rFonts w:hint="eastAsia"/>
        </w:rPr>
        <w:t>咽喉区周围</w:t>
      </w:r>
      <w:r w:rsidRPr="00FD50F6">
        <w:t>消防车道室外消火栓设置间距</w:t>
      </w:r>
      <w:r w:rsidRPr="00FD50F6">
        <w:rPr>
          <w:rFonts w:hint="eastAsia"/>
        </w:rPr>
        <w:t>不应大于</w:t>
      </w:r>
      <w:r w:rsidRPr="00FD50F6">
        <w:t>80</w:t>
      </w:r>
      <w:r w:rsidRPr="00FD50F6">
        <w:rPr>
          <w:rFonts w:hint="eastAsia"/>
        </w:rPr>
        <w:t>m</w:t>
      </w:r>
      <w:r w:rsidRPr="00FD50F6">
        <w:t>。</w:t>
      </w:r>
    </w:p>
    <w:p w14:paraId="7DC37D48" w14:textId="40C28547" w:rsidR="00154160" w:rsidRPr="00500C33" w:rsidRDefault="00154160" w:rsidP="00500C33">
      <w:pPr>
        <w:pStyle w:val="30"/>
      </w:pPr>
      <w:r w:rsidRPr="00FD50F6">
        <w:t>地铁室内消火栓的设置应符合下列</w:t>
      </w:r>
      <w:r w:rsidRPr="00FD50F6">
        <w:rPr>
          <w:rFonts w:hint="eastAsia"/>
        </w:rPr>
        <w:t>规定</w:t>
      </w:r>
      <w:r w:rsidRPr="00FD50F6">
        <w:t>：</w:t>
      </w:r>
    </w:p>
    <w:p w14:paraId="4FAA3DB3" w14:textId="017FC472" w:rsidR="00154160" w:rsidRPr="00FD50F6" w:rsidRDefault="00154160" w:rsidP="00A926BD">
      <w:pPr>
        <w:pStyle w:val="4"/>
      </w:pPr>
      <w:r w:rsidRPr="00FD50F6">
        <w:t>消火栓口径应为</w:t>
      </w:r>
      <w:r w:rsidRPr="00FD50F6">
        <w:t>DN65</w:t>
      </w:r>
      <w:r w:rsidRPr="00FD50F6">
        <w:t>，水枪喷嘴直径应为</w:t>
      </w:r>
      <w:r w:rsidRPr="00FD50F6">
        <w:t>19mm</w:t>
      </w:r>
      <w:r w:rsidRPr="00FD50F6">
        <w:t>，每根水龙带长度应为</w:t>
      </w:r>
      <w:r w:rsidRPr="00FD50F6">
        <w:t>25m</w:t>
      </w:r>
      <w:r w:rsidRPr="00FD50F6">
        <w:t>，栓口距地面、楼板或道床面高度应为</w:t>
      </w:r>
      <w:r w:rsidRPr="00FD50F6">
        <w:t>1.1m</w:t>
      </w:r>
      <w:r w:rsidRPr="00FD50F6">
        <w:rPr>
          <w:rFonts w:hint="eastAsia"/>
        </w:rPr>
        <w:t>。</w:t>
      </w:r>
    </w:p>
    <w:p w14:paraId="510DD052" w14:textId="1DA0001D" w:rsidR="00154160" w:rsidRPr="00FD50F6" w:rsidRDefault="00154160" w:rsidP="00A926BD">
      <w:pPr>
        <w:pStyle w:val="4"/>
      </w:pPr>
      <w:r w:rsidRPr="00FD50F6">
        <w:t>车站消火栓</w:t>
      </w:r>
      <w:r w:rsidRPr="00FD50F6">
        <w:rPr>
          <w:rFonts w:hint="eastAsia"/>
        </w:rPr>
        <w:t>应</w:t>
      </w:r>
      <w:r w:rsidRPr="00FD50F6">
        <w:t>设单口单阀消火栓，</w:t>
      </w:r>
      <w:r w:rsidRPr="00FD50F6">
        <w:rPr>
          <w:rFonts w:hint="eastAsia"/>
        </w:rPr>
        <w:t>站台公共区和</w:t>
      </w:r>
      <w:r w:rsidRPr="00FD50F6">
        <w:t>出入口楼扶梯位置</w:t>
      </w:r>
      <w:r w:rsidRPr="00FD50F6">
        <w:rPr>
          <w:rFonts w:hint="eastAsia"/>
        </w:rPr>
        <w:t>确有困难</w:t>
      </w:r>
      <w:r w:rsidRPr="00FD50F6">
        <w:t>时可设双口双阀消火栓箱</w:t>
      </w:r>
      <w:r w:rsidRPr="00FD50F6">
        <w:rPr>
          <w:rFonts w:hint="eastAsia"/>
        </w:rPr>
        <w:t>。</w:t>
      </w:r>
    </w:p>
    <w:p w14:paraId="19FDC0E5" w14:textId="1E3122F1" w:rsidR="00154160" w:rsidRPr="00FD50F6" w:rsidRDefault="00154160" w:rsidP="00A926BD">
      <w:pPr>
        <w:pStyle w:val="4"/>
      </w:pPr>
      <w:r w:rsidRPr="00FD50F6">
        <w:t>地下区间隧道</w:t>
      </w:r>
      <w:r w:rsidRPr="00FD50F6">
        <w:rPr>
          <w:rFonts w:hint="eastAsia"/>
        </w:rPr>
        <w:t>及</w:t>
      </w:r>
      <w:r w:rsidRPr="00FD50F6">
        <w:t>全地下车辆基地</w:t>
      </w:r>
      <w:r w:rsidRPr="00FD50F6">
        <w:rPr>
          <w:rFonts w:hint="eastAsia"/>
        </w:rPr>
        <w:t>咽喉</w:t>
      </w:r>
      <w:r w:rsidRPr="00FD50F6">
        <w:t>区的消火栓，宜设</w:t>
      </w:r>
      <w:r w:rsidRPr="00FD50F6">
        <w:rPr>
          <w:rFonts w:hint="eastAsia"/>
        </w:rPr>
        <w:t>单口单阀消火栓口</w:t>
      </w:r>
      <w:r w:rsidRPr="00FD50F6">
        <w:t>，可不设消火栓箱，但水龙带和水枪应放在邻近车站站台端部</w:t>
      </w:r>
      <w:r w:rsidRPr="00FD50F6">
        <w:rPr>
          <w:rFonts w:hint="eastAsia"/>
        </w:rPr>
        <w:t>或</w:t>
      </w:r>
      <w:r w:rsidRPr="00FD50F6">
        <w:t>咽喉区附近专用消火栓箱内</w:t>
      </w:r>
      <w:r w:rsidRPr="00FD50F6">
        <w:rPr>
          <w:rFonts w:hint="eastAsia"/>
        </w:rPr>
        <w:t>。</w:t>
      </w:r>
    </w:p>
    <w:p w14:paraId="36DDC245" w14:textId="5E1644B0" w:rsidR="00154160" w:rsidRPr="00FD50F6" w:rsidRDefault="00154160" w:rsidP="00A926BD">
      <w:pPr>
        <w:pStyle w:val="4"/>
      </w:pPr>
      <w:r w:rsidRPr="00FD50F6">
        <w:rPr>
          <w:rFonts w:hint="eastAsia"/>
        </w:rPr>
        <w:t>室内消火栓的布置应满足同一平面有</w:t>
      </w:r>
      <w:r w:rsidRPr="00FD50F6">
        <w:rPr>
          <w:rFonts w:hint="eastAsia"/>
        </w:rPr>
        <w:t>2</w:t>
      </w:r>
      <w:r w:rsidRPr="00FD50F6">
        <w:rPr>
          <w:rFonts w:hint="eastAsia"/>
        </w:rPr>
        <w:t>支消防水枪的</w:t>
      </w:r>
      <w:r w:rsidRPr="00FD50F6">
        <w:rPr>
          <w:rFonts w:hint="eastAsia"/>
        </w:rPr>
        <w:t>2</w:t>
      </w:r>
      <w:r w:rsidRPr="00FD50F6">
        <w:rPr>
          <w:rFonts w:hint="eastAsia"/>
        </w:rPr>
        <w:t>股充实水柱同时达到任何部位的要求；</w:t>
      </w:r>
      <w:r w:rsidRPr="00FD50F6">
        <w:t>地下车站水枪充实水柱长度不应小于</w:t>
      </w:r>
      <w:r w:rsidRPr="00FD50F6">
        <w:t>10m</w:t>
      </w:r>
      <w:r w:rsidRPr="00FD50F6">
        <w:t>，</w:t>
      </w:r>
      <w:r w:rsidRPr="00FD50F6">
        <w:rPr>
          <w:rFonts w:hint="eastAsia"/>
        </w:rPr>
        <w:t>消火栓栓口动</w:t>
      </w:r>
      <w:r w:rsidRPr="00FD50F6">
        <w:rPr>
          <w:rFonts w:hint="eastAsia"/>
        </w:rPr>
        <w:lastRenderedPageBreak/>
        <w:t>压不应小于</w:t>
      </w:r>
      <w:r w:rsidRPr="00FD50F6">
        <w:rPr>
          <w:rFonts w:hint="eastAsia"/>
        </w:rPr>
        <w:t>0.25MPa</w:t>
      </w:r>
      <w:r w:rsidRPr="00FD50F6">
        <w:rPr>
          <w:rFonts w:hint="eastAsia"/>
        </w:rPr>
        <w:t>。</w:t>
      </w:r>
    </w:p>
    <w:p w14:paraId="7472A9EE" w14:textId="175600EC" w:rsidR="00154160" w:rsidRPr="00FD50F6" w:rsidRDefault="00154160" w:rsidP="00A926BD">
      <w:pPr>
        <w:pStyle w:val="4"/>
      </w:pPr>
      <w:r w:rsidRPr="00FD50F6">
        <w:t>消火栓的间距应按计算确定，但</w:t>
      </w:r>
      <w:r w:rsidRPr="00FD50F6">
        <w:rPr>
          <w:rFonts w:hint="eastAsia"/>
        </w:rPr>
        <w:t>车站</w:t>
      </w:r>
      <w:r w:rsidRPr="00FD50F6">
        <w:t>单口单阀消火栓不应超过</w:t>
      </w:r>
      <w:r w:rsidRPr="00FD50F6">
        <w:t>30m</w:t>
      </w:r>
      <w:r w:rsidRPr="00FD50F6">
        <w:t>，双口双阀消火栓不应超过</w:t>
      </w:r>
      <w:r w:rsidRPr="00FD50F6">
        <w:t>50m</w:t>
      </w:r>
      <w:r w:rsidRPr="00FD50F6">
        <w:t>。地下区间隧道</w:t>
      </w:r>
      <w:r w:rsidRPr="00FD50F6">
        <w:rPr>
          <w:rFonts w:hint="eastAsia"/>
        </w:rPr>
        <w:t>及全地下车辆基地咽喉区单口单阀消火栓</w:t>
      </w:r>
      <w:r w:rsidRPr="00FD50F6">
        <w:t>的间距不应超过</w:t>
      </w:r>
      <w:r w:rsidRPr="00FD50F6">
        <w:t>50m</w:t>
      </w:r>
      <w:r w:rsidRPr="00FD50F6">
        <w:rPr>
          <w:rFonts w:hint="eastAsia"/>
        </w:rPr>
        <w:t>。</w:t>
      </w:r>
    </w:p>
    <w:p w14:paraId="6DEDF9A2" w14:textId="596E2BF5" w:rsidR="00154160" w:rsidRPr="00FD50F6" w:rsidRDefault="00154160" w:rsidP="00A926BD">
      <w:pPr>
        <w:pStyle w:val="4"/>
      </w:pPr>
      <w:r w:rsidRPr="00FD50F6">
        <w:t>消火栓口的静水压力和出水压力应符合现行国家标准《</w:t>
      </w:r>
      <w:r w:rsidRPr="00FD50F6">
        <w:rPr>
          <w:rFonts w:hint="eastAsia"/>
        </w:rPr>
        <w:t>消防给水</w:t>
      </w:r>
      <w:r w:rsidRPr="00FD50F6">
        <w:t>及消火栓系统技术规范》</w:t>
      </w:r>
      <w:r w:rsidRPr="00FD50F6">
        <w:t>GB 50974</w:t>
      </w:r>
      <w:r w:rsidRPr="00FD50F6">
        <w:rPr>
          <w:rFonts w:hint="eastAsia"/>
        </w:rPr>
        <w:t>和《自动喷水灭火系统设计规范》</w:t>
      </w:r>
      <w:r w:rsidRPr="00FD50F6">
        <w:rPr>
          <w:rFonts w:hint="eastAsia"/>
        </w:rPr>
        <w:t>GB</w:t>
      </w:r>
      <w:r w:rsidRPr="00FD50F6">
        <w:t xml:space="preserve"> </w:t>
      </w:r>
      <w:r w:rsidRPr="00FD50F6">
        <w:rPr>
          <w:rFonts w:hint="eastAsia"/>
        </w:rPr>
        <w:t>50084</w:t>
      </w:r>
      <w:r w:rsidRPr="00FD50F6">
        <w:rPr>
          <w:rFonts w:hint="eastAsia"/>
        </w:rPr>
        <w:t>的规定。</w:t>
      </w:r>
    </w:p>
    <w:p w14:paraId="5D8EA486" w14:textId="7299481E" w:rsidR="00154160" w:rsidRPr="00FD50F6" w:rsidRDefault="00154160" w:rsidP="00A926BD">
      <w:pPr>
        <w:pStyle w:val="4"/>
      </w:pPr>
      <w:r w:rsidRPr="00FD50F6">
        <w:t>车站、车辆基地的消火栓与灭火器宜共箱设置，箱内应配备衬胶水龙带和水枪、自救式消防软管卷盘和灭火器</w:t>
      </w:r>
      <w:r w:rsidRPr="00FD50F6">
        <w:rPr>
          <w:rFonts w:hint="eastAsia"/>
        </w:rPr>
        <w:t>。</w:t>
      </w:r>
    </w:p>
    <w:p w14:paraId="444A9F71" w14:textId="38480B0D" w:rsidR="00154160" w:rsidRPr="00FD50F6" w:rsidRDefault="00154160" w:rsidP="00A926BD">
      <w:pPr>
        <w:pStyle w:val="4"/>
      </w:pPr>
      <w:r w:rsidRPr="00FD50F6">
        <w:t>当消火栓系统由消防水泵加压供给时，消火栓按钮</w:t>
      </w:r>
      <w:r w:rsidR="00FF300C">
        <w:t>应</w:t>
      </w:r>
      <w:r w:rsidRPr="00FD50F6">
        <w:rPr>
          <w:rFonts w:hint="eastAsia"/>
        </w:rPr>
        <w:t>仅作</w:t>
      </w:r>
      <w:r w:rsidRPr="00FD50F6">
        <w:t>报警</w:t>
      </w:r>
      <w:r w:rsidRPr="00FD50F6">
        <w:rPr>
          <w:rFonts w:hint="eastAsia"/>
        </w:rPr>
        <w:t>信号</w:t>
      </w:r>
      <w:r w:rsidRPr="00FD50F6">
        <w:t>使用。</w:t>
      </w:r>
    </w:p>
    <w:p w14:paraId="7DD38811" w14:textId="38C48D40" w:rsidR="00154160" w:rsidRPr="00FD50F6" w:rsidRDefault="00154160" w:rsidP="00500C33">
      <w:pPr>
        <w:pStyle w:val="30"/>
      </w:pPr>
      <w:r w:rsidRPr="00FD50F6">
        <w:t>消防给水系统管网上的阀门设置应符合现行国家标准《</w:t>
      </w:r>
      <w:r w:rsidRPr="00FD50F6">
        <w:rPr>
          <w:rFonts w:hint="eastAsia"/>
        </w:rPr>
        <w:t>消防给水</w:t>
      </w:r>
      <w:r w:rsidRPr="00FD50F6">
        <w:t>及消火栓系统技术规范》</w:t>
      </w:r>
      <w:r w:rsidRPr="00FD50F6">
        <w:t>GB 50974</w:t>
      </w:r>
      <w:r w:rsidRPr="00FD50F6">
        <w:t>的规定。</w:t>
      </w:r>
    </w:p>
    <w:p w14:paraId="3717E219" w14:textId="676B981B" w:rsidR="00154160" w:rsidRPr="00FD50F6" w:rsidRDefault="00154160" w:rsidP="00500C33">
      <w:pPr>
        <w:pStyle w:val="30"/>
      </w:pPr>
      <w:r w:rsidRPr="00FD50F6">
        <w:rPr>
          <w:rFonts w:hint="eastAsia"/>
        </w:rPr>
        <w:t>当</w:t>
      </w:r>
      <w:r w:rsidRPr="00FD50F6">
        <w:t>采用接触轨供电时，地下区间消防给水干管宜设在接触轨的对侧，</w:t>
      </w:r>
      <w:r w:rsidRPr="00FD50F6">
        <w:rPr>
          <w:rFonts w:hint="eastAsia"/>
        </w:rPr>
        <w:t>当</w:t>
      </w:r>
      <w:r w:rsidRPr="00FD50F6">
        <w:t>必须与接触轨同侧时，管道与接触轨的最小净距，当接触轨电压为</w:t>
      </w:r>
      <w:r w:rsidRPr="00FD50F6">
        <w:t>750V</w:t>
      </w:r>
      <w:r w:rsidRPr="00FD50F6">
        <w:t>时不应小于</w:t>
      </w:r>
      <w:r w:rsidRPr="00FD50F6">
        <w:t>50mm</w:t>
      </w:r>
      <w:r w:rsidRPr="00FD50F6">
        <w:t>，当接触轨电压为</w:t>
      </w:r>
      <w:r w:rsidRPr="00FD50F6">
        <w:t>1500V</w:t>
      </w:r>
      <w:r w:rsidRPr="00FD50F6">
        <w:t>时不应小于</w:t>
      </w:r>
      <w:r w:rsidRPr="00FD50F6">
        <w:t>150mm</w:t>
      </w:r>
      <w:r w:rsidRPr="00FD50F6">
        <w:t>；</w:t>
      </w:r>
      <w:r w:rsidRPr="00FD50F6">
        <w:rPr>
          <w:rFonts w:hint="eastAsia"/>
        </w:rPr>
        <w:t>当</w:t>
      </w:r>
      <w:r w:rsidRPr="00FD50F6">
        <w:t>采用架空接触网供电时，可设在隧道行车方向的任一侧。管道、阀门和消火栓的位置不得侵入设备限界。</w:t>
      </w:r>
    </w:p>
    <w:p w14:paraId="2A499E8B" w14:textId="3D4F02C1" w:rsidR="00154160" w:rsidRPr="00FD50F6" w:rsidRDefault="00154160" w:rsidP="00500C33">
      <w:pPr>
        <w:pStyle w:val="30"/>
      </w:pPr>
      <w:r w:rsidRPr="00FD50F6">
        <w:t>水泵接合器应设在地下车站出入口或新风亭的口部等</w:t>
      </w:r>
      <w:r w:rsidR="0016310B">
        <w:t>的</w:t>
      </w:r>
      <w:r w:rsidRPr="00FD50F6">
        <w:t>明显位置，并应在距水泵接合器</w:t>
      </w:r>
      <w:r w:rsidRPr="00FD50F6">
        <w:t>15m~40 m</w:t>
      </w:r>
      <w:r w:rsidRPr="00FD50F6">
        <w:t>范围内设置室外消火栓或消防水池取水口。</w:t>
      </w:r>
    </w:p>
    <w:p w14:paraId="6553FC95" w14:textId="77777777" w:rsidR="00154160" w:rsidRPr="00FD50F6" w:rsidRDefault="00154160" w:rsidP="00500C33">
      <w:pPr>
        <w:pStyle w:val="30"/>
      </w:pPr>
      <w:r w:rsidRPr="00FD50F6">
        <w:t>当车站设消防泵和消防水池时，消防水池的有效容积应满足消防用水量的要求。消火栓系统的用水量火灾延续时间应按</w:t>
      </w:r>
      <w:r w:rsidRPr="00FD50F6">
        <w:t>2h</w:t>
      </w:r>
      <w:r w:rsidRPr="00FD50F6">
        <w:t>计算，</w:t>
      </w:r>
      <w:r w:rsidRPr="00FD50F6">
        <w:rPr>
          <w:rFonts w:hint="eastAsia"/>
        </w:rPr>
        <w:t>自动</w:t>
      </w:r>
      <w:r w:rsidRPr="00FD50F6">
        <w:t>喷水灭火系统用水</w:t>
      </w:r>
      <w:r w:rsidRPr="00FD50F6">
        <w:rPr>
          <w:rFonts w:hint="eastAsia"/>
        </w:rPr>
        <w:t>量</w:t>
      </w:r>
      <w:r w:rsidRPr="00FD50F6">
        <w:t>火灾延续时间应按</w:t>
      </w:r>
      <w:r w:rsidRPr="00FD50F6">
        <w:rPr>
          <w:rFonts w:hint="eastAsia"/>
        </w:rPr>
        <w:t>1</w:t>
      </w:r>
      <w:r w:rsidRPr="00FD50F6">
        <w:t>h</w:t>
      </w:r>
      <w:r w:rsidRPr="00FD50F6">
        <w:t>计算，当补水有保证时</w:t>
      </w:r>
      <w:r w:rsidRPr="00FD50F6">
        <w:rPr>
          <w:rFonts w:hint="eastAsia"/>
        </w:rPr>
        <w:t>，</w:t>
      </w:r>
      <w:r w:rsidRPr="00FD50F6">
        <w:t>可减去火灾延续时间内连续补充的水量。</w:t>
      </w:r>
    </w:p>
    <w:p w14:paraId="620DC1E9" w14:textId="77777777" w:rsidR="00154160" w:rsidRPr="00FD50F6" w:rsidRDefault="00154160" w:rsidP="00500C33">
      <w:pPr>
        <w:pStyle w:val="30"/>
      </w:pPr>
      <w:r w:rsidRPr="00FD50F6">
        <w:rPr>
          <w:rFonts w:hint="eastAsia"/>
        </w:rPr>
        <w:t>设置在有可能冻结区域的消防给水管、消火栓、水泵接合器等应采取防冻措施。严寒及寒冷地区消防水泵房的设计温度应符合现行国家标准《消防给水及消火栓系统技术规范》的规定。</w:t>
      </w:r>
    </w:p>
    <w:p w14:paraId="44D4E30F" w14:textId="18C9AECE" w:rsidR="00154160" w:rsidRPr="00FD50F6" w:rsidRDefault="00154160" w:rsidP="00500C33">
      <w:pPr>
        <w:pStyle w:val="30"/>
      </w:pPr>
      <w:r w:rsidRPr="00FD50F6">
        <w:rPr>
          <w:rFonts w:hint="eastAsia"/>
        </w:rPr>
        <w:t>下列</w:t>
      </w:r>
      <w:r w:rsidRPr="00FD50F6">
        <w:t>场所应设置自动</w:t>
      </w:r>
      <w:r w:rsidRPr="00FD50F6">
        <w:rPr>
          <w:rFonts w:hint="eastAsia"/>
        </w:rPr>
        <w:t>灭火系统</w:t>
      </w:r>
      <w:r w:rsidRPr="00FD50F6">
        <w:t>，</w:t>
      </w:r>
      <w:r w:rsidRPr="00FD50F6">
        <w:rPr>
          <w:rFonts w:hint="eastAsia"/>
        </w:rPr>
        <w:t>并</w:t>
      </w:r>
      <w:r w:rsidRPr="00FD50F6">
        <w:t>宜采用气体灭火系统或高压细水雾灭火系统</w:t>
      </w:r>
      <w:r w:rsidR="00500C33">
        <w:rPr>
          <w:rFonts w:hint="eastAsia"/>
        </w:rPr>
        <w:t>：</w:t>
      </w:r>
    </w:p>
    <w:p w14:paraId="36178101" w14:textId="08A75CDB" w:rsidR="00154160" w:rsidRPr="00FD50F6" w:rsidRDefault="00154160" w:rsidP="00A926BD">
      <w:pPr>
        <w:pStyle w:val="4"/>
      </w:pPr>
      <w:r w:rsidRPr="00FD50F6">
        <w:t>设置在地下的通信</w:t>
      </w:r>
      <w:r w:rsidR="0016310B">
        <w:t>和</w:t>
      </w:r>
      <w:r w:rsidRPr="00FD50F6">
        <w:t>信号机房</w:t>
      </w:r>
      <w:r w:rsidR="0016310B">
        <w:t>及其</w:t>
      </w:r>
      <w:r w:rsidR="0016310B" w:rsidRPr="00FD50F6">
        <w:t>电源室</w:t>
      </w:r>
      <w:r w:rsidRPr="00FD50F6">
        <w:t>、变电所</w:t>
      </w:r>
      <w:r w:rsidR="0016310B">
        <w:t>及其</w:t>
      </w:r>
      <w:r w:rsidR="0016310B" w:rsidRPr="00FD50F6">
        <w:t>控制室</w:t>
      </w:r>
      <w:r w:rsidRPr="00FD50F6">
        <w:t>、综合监控设备室、</w:t>
      </w:r>
      <w:r w:rsidRPr="00FD50F6">
        <w:rPr>
          <w:rFonts w:hint="eastAsia"/>
        </w:rPr>
        <w:t>环控</w:t>
      </w:r>
      <w:r w:rsidRPr="00FD50F6">
        <w:t>电控室、</w:t>
      </w:r>
      <w:r w:rsidR="007E64D2" w:rsidRPr="00FD50F6">
        <w:rPr>
          <w:rFonts w:hint="eastAsia"/>
        </w:rPr>
        <w:t>站台屏蔽门</w:t>
      </w:r>
      <w:r w:rsidRPr="00FD50F6">
        <w:t>设备室、电池室和主变电所</w:t>
      </w:r>
      <w:r w:rsidRPr="00FD50F6">
        <w:rPr>
          <w:rFonts w:hint="eastAsia"/>
        </w:rPr>
        <w:t>；</w:t>
      </w:r>
    </w:p>
    <w:p w14:paraId="3EBCD2F0" w14:textId="25935563" w:rsidR="00154160" w:rsidRPr="00FD50F6" w:rsidRDefault="00154160" w:rsidP="00A926BD">
      <w:pPr>
        <w:pStyle w:val="4"/>
      </w:pPr>
      <w:r w:rsidRPr="00FD50F6">
        <w:t>地上运营控制中心的通信</w:t>
      </w:r>
      <w:r w:rsidRPr="00FD50F6">
        <w:rPr>
          <w:rFonts w:hint="eastAsia"/>
        </w:rPr>
        <w:t>及</w:t>
      </w:r>
      <w:r w:rsidRPr="00FD50F6">
        <w:t>信号机房、综合监控设备室、自动售检票机房</w:t>
      </w:r>
      <w:r w:rsidRPr="00FD50F6">
        <w:lastRenderedPageBreak/>
        <w:t>计算机数据中心</w:t>
      </w:r>
      <w:r w:rsidRPr="00FD50F6">
        <w:rPr>
          <w:rFonts w:hint="eastAsia"/>
        </w:rPr>
        <w:t>；</w:t>
      </w:r>
    </w:p>
    <w:p w14:paraId="6CF51747" w14:textId="46B850B2" w:rsidR="00154160" w:rsidRPr="00FD50F6" w:rsidRDefault="00154160" w:rsidP="00A926BD">
      <w:pPr>
        <w:pStyle w:val="4"/>
      </w:pPr>
      <w:r w:rsidRPr="00FD50F6">
        <w:rPr>
          <w:rFonts w:hint="eastAsia"/>
        </w:rPr>
        <w:t>设置</w:t>
      </w:r>
      <w:r w:rsidRPr="00FD50F6">
        <w:t>在有其他</w:t>
      </w:r>
      <w:r w:rsidRPr="00FD50F6">
        <w:rPr>
          <w:rFonts w:hint="eastAsia"/>
        </w:rPr>
        <w:t>建筑</w:t>
      </w:r>
      <w:r w:rsidRPr="00FD50F6">
        <w:t>功能</w:t>
      </w:r>
      <w:r w:rsidRPr="00FD50F6">
        <w:rPr>
          <w:rFonts w:hint="eastAsia"/>
        </w:rPr>
        <w:t>盖板下</w:t>
      </w:r>
      <w:r w:rsidRPr="00FD50F6">
        <w:t>车辆基地的变电所</w:t>
      </w:r>
      <w:r w:rsidRPr="00FD50F6">
        <w:rPr>
          <w:rFonts w:hint="eastAsia"/>
        </w:rPr>
        <w:t>及</w:t>
      </w:r>
      <w:r w:rsidRPr="00FD50F6">
        <w:t>控制室</w:t>
      </w:r>
      <w:r w:rsidRPr="00FD50F6">
        <w:rPr>
          <w:rFonts w:hint="eastAsia"/>
        </w:rPr>
        <w:t>、</w:t>
      </w:r>
      <w:r w:rsidRPr="00FD50F6">
        <w:t>通信信号机房</w:t>
      </w:r>
      <w:r w:rsidRPr="00FD50F6">
        <w:rPr>
          <w:rFonts w:hint="eastAsia"/>
        </w:rPr>
        <w:t>及</w:t>
      </w:r>
      <w:r w:rsidRPr="00FD50F6">
        <w:t>电源室、</w:t>
      </w:r>
      <w:r w:rsidRPr="00FD50F6">
        <w:rPr>
          <w:rFonts w:hint="eastAsia"/>
        </w:rPr>
        <w:t>综合监控</w:t>
      </w:r>
      <w:r w:rsidRPr="00FD50F6">
        <w:t>设备室、电池室；</w:t>
      </w:r>
    </w:p>
    <w:p w14:paraId="118AF3AF" w14:textId="21F85B0D" w:rsidR="00154160" w:rsidRPr="00FD50F6" w:rsidRDefault="00154160" w:rsidP="00A926BD">
      <w:pPr>
        <w:pStyle w:val="4"/>
      </w:pPr>
      <w:r w:rsidRPr="00FD50F6">
        <w:rPr>
          <w:rFonts w:hint="eastAsia"/>
        </w:rPr>
        <w:t>其他场所</w:t>
      </w:r>
      <w:r w:rsidRPr="00FD50F6">
        <w:t>自动灭火系统的设置应按现行国家标准《建筑设计防火规范》</w:t>
      </w:r>
      <w:r w:rsidRPr="00FD50F6">
        <w:t>GB 50016</w:t>
      </w:r>
      <w:r w:rsidRPr="00FD50F6">
        <w:t>的规定执行。</w:t>
      </w:r>
    </w:p>
    <w:p w14:paraId="1AB341D7" w14:textId="4FC9C3A9" w:rsidR="00154160" w:rsidRPr="00FD50F6" w:rsidRDefault="00154160" w:rsidP="00500C33">
      <w:pPr>
        <w:pStyle w:val="30"/>
      </w:pPr>
      <w:r w:rsidRPr="00FD50F6">
        <w:t>地铁工程应按现行国家标准《建筑灭火器配置设计规范》</w:t>
      </w:r>
      <w:r w:rsidRPr="00FD50F6">
        <w:t>GB 50140</w:t>
      </w:r>
      <w:r w:rsidRPr="00FD50F6">
        <w:t>的规定配置灭火器。</w:t>
      </w:r>
    </w:p>
    <w:p w14:paraId="69F19099" w14:textId="77777777" w:rsidR="00154160" w:rsidRPr="00FD50F6" w:rsidRDefault="00154160" w:rsidP="00500C33">
      <w:pPr>
        <w:pStyle w:val="30"/>
      </w:pPr>
      <w:r w:rsidRPr="00FD50F6">
        <w:t>管材及附件的设置应符合下列规定：</w:t>
      </w:r>
    </w:p>
    <w:p w14:paraId="73451FF6" w14:textId="343F14BB" w:rsidR="00154160" w:rsidRPr="00FD50F6" w:rsidRDefault="00154160" w:rsidP="00A926BD">
      <w:pPr>
        <w:pStyle w:val="4"/>
      </w:pPr>
      <w:r w:rsidRPr="00FD50F6">
        <w:t>消防给水管宜采用球墨铸铁给水管、热镀锌钢管</w:t>
      </w:r>
      <w:r w:rsidRPr="00FD50F6">
        <w:rPr>
          <w:rFonts w:hint="eastAsia"/>
        </w:rPr>
        <w:t>、</w:t>
      </w:r>
      <w:r w:rsidRPr="00FD50F6">
        <w:t>内外涂环氧复合钢管</w:t>
      </w:r>
      <w:r w:rsidRPr="00FD50F6">
        <w:rPr>
          <w:rFonts w:hint="eastAsia"/>
        </w:rPr>
        <w:t>等</w:t>
      </w:r>
      <w:r w:rsidRPr="00FD50F6">
        <w:t>管材；</w:t>
      </w:r>
    </w:p>
    <w:p w14:paraId="3DE80D2A" w14:textId="77777777" w:rsidR="00154160" w:rsidRPr="00FD50F6" w:rsidRDefault="00154160" w:rsidP="00A926BD">
      <w:pPr>
        <w:pStyle w:val="4"/>
      </w:pPr>
      <w:r w:rsidRPr="00FD50F6">
        <w:t>室外埋地给水管道宜采用球墨铸铁给水管</w:t>
      </w:r>
      <w:r w:rsidRPr="00FD50F6">
        <w:rPr>
          <w:rFonts w:hint="eastAsia"/>
        </w:rPr>
        <w:t>或钢丝网骨架塑料复合管</w:t>
      </w:r>
      <w:r w:rsidRPr="00FD50F6">
        <w:t>；</w:t>
      </w:r>
    </w:p>
    <w:p w14:paraId="0A4DD436" w14:textId="77777777" w:rsidR="00154160" w:rsidRPr="00FD50F6" w:rsidRDefault="00154160" w:rsidP="00A926BD">
      <w:pPr>
        <w:pStyle w:val="4"/>
      </w:pPr>
      <w:r w:rsidRPr="00FD50F6">
        <w:t>过轨敷设的管道宜采用球墨铸铁管、厚壁不锈钢管等耐腐蚀、防杂散电流性能较好的管材；</w:t>
      </w:r>
    </w:p>
    <w:p w14:paraId="66D2C7D3" w14:textId="77777777" w:rsidR="00154160" w:rsidRPr="00FD50F6" w:rsidRDefault="00154160" w:rsidP="00A926BD">
      <w:pPr>
        <w:pStyle w:val="4"/>
      </w:pPr>
      <w:r w:rsidRPr="00FD50F6">
        <w:t>当消防给水管道接口采用柔性连接方式明装敷设时，应在转弯处设置固定设施或采用法兰接口。</w:t>
      </w:r>
    </w:p>
    <w:p w14:paraId="3F48C9F0" w14:textId="77777777" w:rsidR="00154160" w:rsidRPr="00FD50F6" w:rsidRDefault="00154160" w:rsidP="00500C33">
      <w:pPr>
        <w:pStyle w:val="30"/>
      </w:pPr>
      <w:r w:rsidRPr="00FD50F6">
        <w:t>消防设备的监控应符合下列规定：</w:t>
      </w:r>
    </w:p>
    <w:p w14:paraId="6677BF52" w14:textId="0CEC9A2A" w:rsidR="00154160" w:rsidRPr="00FD50F6" w:rsidRDefault="00154160" w:rsidP="00A926BD">
      <w:pPr>
        <w:pStyle w:val="4"/>
      </w:pPr>
      <w:r w:rsidRPr="00FD50F6">
        <w:t>消</w:t>
      </w:r>
      <w:r w:rsidRPr="00FD50F6">
        <w:rPr>
          <w:rFonts w:hint="eastAsia"/>
        </w:rPr>
        <w:t>防</w:t>
      </w:r>
      <w:r w:rsidRPr="00FD50F6">
        <w:t>泵组应在车站控制室显示消火栓泵的运行状态、手</w:t>
      </w:r>
      <w:r w:rsidRPr="00FD50F6">
        <w:t xml:space="preserve"> /</w:t>
      </w:r>
      <w:r w:rsidRPr="00FD50F6">
        <w:t>自动状态、故障状态，</w:t>
      </w:r>
      <w:r w:rsidRPr="00FD50F6">
        <w:rPr>
          <w:rFonts w:hint="eastAsia"/>
        </w:rPr>
        <w:t>以及消防</w:t>
      </w:r>
      <w:r w:rsidRPr="00FD50F6">
        <w:t>水池的高</w:t>
      </w:r>
      <w:r w:rsidRPr="00FD50F6">
        <w:rPr>
          <w:rFonts w:hint="eastAsia"/>
        </w:rPr>
        <w:t>液位</w:t>
      </w:r>
      <w:r w:rsidRPr="00FD50F6">
        <w:t>报警、低液位报警及正常</w:t>
      </w:r>
      <w:r w:rsidRPr="00FD50F6">
        <w:rPr>
          <w:rFonts w:hint="eastAsia"/>
        </w:rPr>
        <w:t>液位</w:t>
      </w:r>
      <w:r w:rsidRPr="00FD50F6">
        <w:t>；在车站控制室应能控制消防泵的启停，消防泵应采用</w:t>
      </w:r>
      <w:r w:rsidRPr="00FD50F6">
        <w:rPr>
          <w:rFonts w:hint="eastAsia"/>
        </w:rPr>
        <w:t>压力开关</w:t>
      </w:r>
      <w:r w:rsidRPr="00FD50F6">
        <w:t>启泵、流量开关启泵</w:t>
      </w:r>
      <w:r w:rsidRPr="00FD50F6">
        <w:rPr>
          <w:rFonts w:hint="eastAsia"/>
        </w:rPr>
        <w:t>、</w:t>
      </w:r>
      <w:r w:rsidRPr="00FD50F6">
        <w:t>机械应急启泵</w:t>
      </w:r>
      <w:r w:rsidRPr="00FD50F6">
        <w:rPr>
          <w:rFonts w:hint="eastAsia"/>
        </w:rPr>
        <w:t>和</w:t>
      </w:r>
      <w:r w:rsidRPr="00FD50F6">
        <w:t>车站控制室远程启</w:t>
      </w:r>
      <w:r w:rsidRPr="00FD50F6">
        <w:rPr>
          <w:rFonts w:hint="eastAsia"/>
        </w:rPr>
        <w:t>泵</w:t>
      </w:r>
      <w:r w:rsidRPr="00FD50F6">
        <w:t>的启动方式</w:t>
      </w:r>
      <w:r w:rsidRPr="00FD50F6">
        <w:rPr>
          <w:rFonts w:hint="eastAsia"/>
        </w:rPr>
        <w:t>。</w:t>
      </w:r>
    </w:p>
    <w:p w14:paraId="7C5B0B29" w14:textId="3A20671A" w:rsidR="00E4056B" w:rsidRPr="00BD4557" w:rsidRDefault="00154160" w:rsidP="00BD4557">
      <w:pPr>
        <w:pStyle w:val="4"/>
        <w:rPr>
          <w:u w:val="single"/>
        </w:rPr>
      </w:pPr>
      <w:r w:rsidRPr="00FD50F6">
        <w:t>自动灭火系统应具备自动控制、手动控制及紧急机械操作三种启动功能。</w:t>
      </w:r>
    </w:p>
    <w:p w14:paraId="7E500E46" w14:textId="186D8CBB" w:rsidR="00666C50" w:rsidRPr="00FD50F6" w:rsidRDefault="00666C50" w:rsidP="00A65181">
      <w:pPr>
        <w:pStyle w:val="2"/>
      </w:pPr>
      <w:bookmarkStart w:id="1311" w:name="_Toc112830881"/>
      <w:r w:rsidRPr="00FD50F6">
        <w:rPr>
          <w:rFonts w:hint="eastAsia"/>
        </w:rPr>
        <w:t>防烟、排烟与事故通风</w:t>
      </w:r>
      <w:bookmarkEnd w:id="1311"/>
    </w:p>
    <w:p w14:paraId="7A382A11" w14:textId="44A73FAE" w:rsidR="007B2CA8" w:rsidRPr="00FD50F6" w:rsidRDefault="007B2CA8" w:rsidP="00634619">
      <w:pPr>
        <w:pStyle w:val="30"/>
      </w:pPr>
      <w:r w:rsidRPr="00FD50F6">
        <w:rPr>
          <w:rFonts w:hint="eastAsia"/>
        </w:rPr>
        <w:t>下列场所应设置防烟设施：</w:t>
      </w:r>
    </w:p>
    <w:p w14:paraId="57B2BD38" w14:textId="77777777" w:rsidR="007B2CA8" w:rsidRPr="00FD50F6" w:rsidRDefault="007B2CA8" w:rsidP="00A926BD">
      <w:pPr>
        <w:pStyle w:val="4"/>
      </w:pPr>
      <w:r w:rsidRPr="00FD50F6">
        <w:rPr>
          <w:rFonts w:hint="eastAsia"/>
        </w:rPr>
        <w:t>防烟楼梯间及其前室；</w:t>
      </w:r>
    </w:p>
    <w:p w14:paraId="7F11EEAC" w14:textId="77777777" w:rsidR="007B2CA8" w:rsidRPr="00FD50F6" w:rsidRDefault="007B2CA8" w:rsidP="00A926BD">
      <w:pPr>
        <w:pStyle w:val="4"/>
      </w:pPr>
      <w:r w:rsidRPr="00FD50F6">
        <w:rPr>
          <w:rFonts w:hint="eastAsia"/>
        </w:rPr>
        <w:t>消防电梯前室或合用前室；</w:t>
      </w:r>
    </w:p>
    <w:p w14:paraId="6DFE3AD0" w14:textId="77777777" w:rsidR="007B2CA8" w:rsidRPr="00FD50F6" w:rsidRDefault="007B2CA8" w:rsidP="00A926BD">
      <w:pPr>
        <w:pStyle w:val="4"/>
      </w:pPr>
      <w:r w:rsidRPr="00FD50F6">
        <w:rPr>
          <w:rFonts w:hint="eastAsia"/>
        </w:rPr>
        <w:t>用于疏散的封闭楼梯间；</w:t>
      </w:r>
    </w:p>
    <w:p w14:paraId="4D2320FE" w14:textId="77777777" w:rsidR="007B2CA8" w:rsidRPr="00FD50F6" w:rsidRDefault="007B2CA8" w:rsidP="00A926BD">
      <w:pPr>
        <w:pStyle w:val="4"/>
      </w:pPr>
      <w:r w:rsidRPr="00FD50F6">
        <w:rPr>
          <w:rFonts w:hint="eastAsia"/>
        </w:rPr>
        <w:t>避难走道及其前室。</w:t>
      </w:r>
    </w:p>
    <w:p w14:paraId="6AB9C99E" w14:textId="5F42CFD3" w:rsidR="007B2CA8" w:rsidRPr="00FD50F6" w:rsidRDefault="007B2CA8" w:rsidP="00634619">
      <w:pPr>
        <w:pStyle w:val="30"/>
      </w:pPr>
      <w:r w:rsidRPr="00FD50F6">
        <w:t>下列场所应设置排烟设施：</w:t>
      </w:r>
    </w:p>
    <w:p w14:paraId="7478AC74" w14:textId="77777777" w:rsidR="007B2CA8" w:rsidRPr="00FD50F6" w:rsidRDefault="007B2CA8" w:rsidP="00A926BD">
      <w:pPr>
        <w:pStyle w:val="4"/>
      </w:pPr>
      <w:r w:rsidRPr="00FD50F6">
        <w:rPr>
          <w:rFonts w:hint="eastAsia"/>
        </w:rPr>
        <w:lastRenderedPageBreak/>
        <w:t>地下或封闭车站的站厅和站台公共区；</w:t>
      </w:r>
    </w:p>
    <w:p w14:paraId="547CDA39" w14:textId="77777777" w:rsidR="007B2CA8" w:rsidRPr="00FD50F6" w:rsidRDefault="007B2CA8" w:rsidP="00A926BD">
      <w:pPr>
        <w:pStyle w:val="4"/>
      </w:pPr>
      <w:r w:rsidRPr="00FD50F6">
        <w:t>地下车站同一个防火分区内总</w:t>
      </w:r>
      <w:r w:rsidRPr="00FD50F6">
        <w:rPr>
          <w:rFonts w:hint="eastAsia"/>
        </w:rPr>
        <w:t>建筑</w:t>
      </w:r>
      <w:r w:rsidRPr="00FD50F6">
        <w:t>面积</w:t>
      </w:r>
      <w:r w:rsidRPr="00FD50F6">
        <w:rPr>
          <w:rFonts w:hint="eastAsia"/>
        </w:rPr>
        <w:t>大于</w:t>
      </w:r>
      <w:r w:rsidRPr="00FD50F6">
        <w:t>200m</w:t>
      </w:r>
      <w:r w:rsidRPr="00FD50F6">
        <w:rPr>
          <w:vertAlign w:val="superscript"/>
        </w:rPr>
        <w:t>2</w:t>
      </w:r>
      <w:r w:rsidRPr="00FD50F6">
        <w:t>或</w:t>
      </w:r>
      <w:r w:rsidRPr="00FD50F6">
        <w:rPr>
          <w:rFonts w:hint="eastAsia"/>
        </w:rPr>
        <w:t>一个房间建筑</w:t>
      </w:r>
      <w:r w:rsidRPr="00FD50F6">
        <w:t>面积</w:t>
      </w:r>
      <w:r w:rsidRPr="00FD50F6">
        <w:rPr>
          <w:rFonts w:hint="eastAsia"/>
        </w:rPr>
        <w:t>大于</w:t>
      </w:r>
      <w:r w:rsidRPr="00FD50F6">
        <w:t>50m</w:t>
      </w:r>
      <w:r w:rsidRPr="00FD50F6">
        <w:rPr>
          <w:vertAlign w:val="superscript"/>
        </w:rPr>
        <w:t>2</w:t>
      </w:r>
      <w:r w:rsidRPr="00FD50F6">
        <w:t>，且经常有人停留</w:t>
      </w:r>
      <w:r w:rsidRPr="00FD50F6">
        <w:rPr>
          <w:rFonts w:hint="eastAsia"/>
        </w:rPr>
        <w:t>或可燃物较多</w:t>
      </w:r>
      <w:r w:rsidRPr="00FD50F6">
        <w:t>的设备与管理用房；</w:t>
      </w:r>
    </w:p>
    <w:p w14:paraId="54CC8EC1" w14:textId="77777777" w:rsidR="007B2CA8" w:rsidRPr="00FD50F6" w:rsidRDefault="007B2CA8" w:rsidP="00A926BD">
      <w:pPr>
        <w:pStyle w:val="4"/>
      </w:pPr>
      <w:r w:rsidRPr="00FD50F6">
        <w:t>设备与管理</w:t>
      </w:r>
      <w:r w:rsidRPr="00FD50F6">
        <w:rPr>
          <w:rFonts w:hint="eastAsia"/>
        </w:rPr>
        <w:t>用房区内长度大于</w:t>
      </w:r>
      <w:r w:rsidRPr="00FD50F6">
        <w:rPr>
          <w:rFonts w:hint="eastAsia"/>
        </w:rPr>
        <w:t>20m</w:t>
      </w:r>
      <w:r w:rsidRPr="00FD50F6">
        <w:rPr>
          <w:rFonts w:hint="eastAsia"/>
        </w:rPr>
        <w:t>的疏散走道，</w:t>
      </w:r>
      <w:r w:rsidRPr="00FD50F6">
        <w:t>连续长度大于</w:t>
      </w:r>
      <w:r w:rsidRPr="00FD50F6">
        <w:t>60m</w:t>
      </w:r>
      <w:r w:rsidRPr="00FD50F6">
        <w:t>的地下</w:t>
      </w:r>
      <w:r w:rsidRPr="00FD50F6">
        <w:rPr>
          <w:rFonts w:hint="eastAsia"/>
        </w:rPr>
        <w:t>换乘、连接</w:t>
      </w:r>
      <w:r w:rsidRPr="00FD50F6">
        <w:t>和出入口通道</w:t>
      </w:r>
      <w:r w:rsidRPr="00FD50F6">
        <w:rPr>
          <w:rFonts w:hint="eastAsia"/>
        </w:rPr>
        <w:t>；</w:t>
      </w:r>
    </w:p>
    <w:p w14:paraId="468D57FB" w14:textId="77777777" w:rsidR="007B2CA8" w:rsidRPr="00FD50F6" w:rsidRDefault="007B2CA8" w:rsidP="00A926BD">
      <w:pPr>
        <w:pStyle w:val="4"/>
      </w:pPr>
      <w:r w:rsidRPr="00FD50F6">
        <w:rPr>
          <w:rFonts w:hint="eastAsia"/>
        </w:rPr>
        <w:t>连续长度大于一列列车长度的区间隧道和全封闭车道；</w:t>
      </w:r>
    </w:p>
    <w:p w14:paraId="3775182B" w14:textId="77777777" w:rsidR="007B2CA8" w:rsidRPr="00FD50F6" w:rsidRDefault="007B2CA8" w:rsidP="00A926BD">
      <w:pPr>
        <w:pStyle w:val="4"/>
      </w:pPr>
      <w:r w:rsidRPr="00FD50F6">
        <w:rPr>
          <w:rFonts w:hint="eastAsia"/>
        </w:rPr>
        <w:t>地下或上盖物业开发的车辆基地内建筑面积大于</w:t>
      </w:r>
      <w:r w:rsidRPr="00FD50F6">
        <w:rPr>
          <w:rFonts w:hint="eastAsia"/>
        </w:rPr>
        <w:t>5000m</w:t>
      </w:r>
      <w:r w:rsidRPr="00FD50F6">
        <w:rPr>
          <w:rFonts w:hint="eastAsia"/>
          <w:vertAlign w:val="superscript"/>
        </w:rPr>
        <w:t>2</w:t>
      </w:r>
      <w:r w:rsidRPr="00FD50F6">
        <w:rPr>
          <w:rFonts w:hint="eastAsia"/>
        </w:rPr>
        <w:t>的戊类厂房或库房；</w:t>
      </w:r>
    </w:p>
    <w:p w14:paraId="222CF740" w14:textId="77777777" w:rsidR="007B2CA8" w:rsidRPr="00FD50F6" w:rsidRDefault="007B2CA8" w:rsidP="00A926BD">
      <w:pPr>
        <w:pStyle w:val="4"/>
      </w:pPr>
      <w:r w:rsidRPr="00FD50F6">
        <w:rPr>
          <w:rFonts w:hint="eastAsia"/>
        </w:rPr>
        <w:t>地下或上盖物业开发的车辆基地内的消防车道。</w:t>
      </w:r>
    </w:p>
    <w:p w14:paraId="746D6BDA" w14:textId="212BB4C9" w:rsidR="007B2CA8" w:rsidRPr="00FD50F6" w:rsidRDefault="007B2CA8" w:rsidP="00634619">
      <w:pPr>
        <w:pStyle w:val="30"/>
      </w:pPr>
      <w:r w:rsidRPr="00FD50F6">
        <w:rPr>
          <w:rFonts w:hint="eastAsia"/>
        </w:rPr>
        <w:t>区间隧道和全封闭车道应结合排烟设施设置阻塞事故通风系统。</w:t>
      </w:r>
    </w:p>
    <w:p w14:paraId="24CF7AE4" w14:textId="24C34269" w:rsidR="007B2CA8" w:rsidRPr="00FD50F6" w:rsidRDefault="007B2CA8" w:rsidP="00634619">
      <w:pPr>
        <w:pStyle w:val="30"/>
      </w:pPr>
      <w:r w:rsidRPr="00FD50F6">
        <w:rPr>
          <w:rFonts w:hint="eastAsia"/>
        </w:rPr>
        <w:t>地下深埋线路中疏散高度大于</w:t>
      </w:r>
      <w:r w:rsidRPr="00FD50F6">
        <w:rPr>
          <w:rFonts w:hint="eastAsia"/>
        </w:rPr>
        <w:t>50m</w:t>
      </w:r>
      <w:r w:rsidRPr="00FD50F6">
        <w:rPr>
          <w:rFonts w:hint="eastAsia"/>
        </w:rPr>
        <w:t>的防烟楼梯间及其前室应分别独立设置机械加压送风系统。</w:t>
      </w:r>
    </w:p>
    <w:p w14:paraId="0B1FE599" w14:textId="71D7833E" w:rsidR="007B2CA8" w:rsidRPr="00FD50F6" w:rsidRDefault="007B2CA8" w:rsidP="00634619">
      <w:pPr>
        <w:pStyle w:val="30"/>
      </w:pPr>
      <w:r w:rsidRPr="00FD50F6">
        <w:t>排烟系统与事故通风</w:t>
      </w:r>
      <w:r w:rsidRPr="00FD50F6">
        <w:rPr>
          <w:rFonts w:hint="eastAsia"/>
        </w:rPr>
        <w:t>系统应符合下列规定：</w:t>
      </w:r>
    </w:p>
    <w:p w14:paraId="61B7C59E" w14:textId="77777777" w:rsidR="007B2CA8" w:rsidRPr="00FD50F6" w:rsidRDefault="007B2CA8" w:rsidP="00A926BD">
      <w:pPr>
        <w:pStyle w:val="4"/>
      </w:pPr>
      <w:r w:rsidRPr="00FD50F6">
        <w:rPr>
          <w:rFonts w:hint="eastAsia"/>
        </w:rPr>
        <w:t>当站厅公共区进行排烟时，应排除烟气并防止烟气进入出入口通道、换乘通道、站台、连接通道等邻近区域；</w:t>
      </w:r>
    </w:p>
    <w:p w14:paraId="62253096" w14:textId="77777777" w:rsidR="007B2CA8" w:rsidRPr="00FD50F6" w:rsidRDefault="007B2CA8" w:rsidP="00A926BD">
      <w:pPr>
        <w:pStyle w:val="4"/>
      </w:pPr>
      <w:r w:rsidRPr="00FD50F6">
        <w:rPr>
          <w:rFonts w:hint="eastAsia"/>
        </w:rPr>
        <w:t>当站台公共区进行排烟时，应排除烟气并防止烟气进入站厅、车站相邻区间、换乘通道等邻近区域；</w:t>
      </w:r>
    </w:p>
    <w:p w14:paraId="47C5E3CD" w14:textId="77777777" w:rsidR="007B2CA8" w:rsidRPr="00FD50F6" w:rsidRDefault="007B2CA8" w:rsidP="00A926BD">
      <w:pPr>
        <w:pStyle w:val="4"/>
      </w:pPr>
      <w:r w:rsidRPr="00FD50F6">
        <w:rPr>
          <w:rFonts w:hint="eastAsia"/>
        </w:rPr>
        <w:t>当区间隧道进行纵向排烟时，应控制烟气流动方向与乘客疏散方向相反，并应防止烟气逆流和进入相邻车站与区间；</w:t>
      </w:r>
    </w:p>
    <w:p w14:paraId="0DC10C3D" w14:textId="77777777" w:rsidR="007B2CA8" w:rsidRPr="00FD50F6" w:rsidRDefault="007B2CA8" w:rsidP="00A926BD">
      <w:pPr>
        <w:pStyle w:val="4"/>
      </w:pPr>
      <w:r w:rsidRPr="00FD50F6">
        <w:rPr>
          <w:rFonts w:hint="eastAsia"/>
        </w:rPr>
        <w:t>当列车阻塞在区间隧道和全封闭车道时，事故通风系统应对阻塞区间进行有效通风。</w:t>
      </w:r>
    </w:p>
    <w:p w14:paraId="57C92212" w14:textId="26DE9C89" w:rsidR="007B2CA8" w:rsidRPr="00FD50F6" w:rsidRDefault="007B2CA8" w:rsidP="00634619">
      <w:pPr>
        <w:pStyle w:val="30"/>
      </w:pPr>
      <w:r w:rsidRPr="00FD50F6">
        <w:t>车站</w:t>
      </w:r>
      <w:r w:rsidRPr="00FD50F6">
        <w:rPr>
          <w:rFonts w:hint="eastAsia"/>
        </w:rPr>
        <w:t>站厅</w:t>
      </w:r>
      <w:r w:rsidRPr="00FD50F6">
        <w:t>公共区</w:t>
      </w:r>
      <w:r w:rsidRPr="00FD50F6">
        <w:rPr>
          <w:rFonts w:hint="eastAsia"/>
        </w:rPr>
        <w:t>和</w:t>
      </w:r>
      <w:r w:rsidRPr="00FD50F6">
        <w:t>设备与管理用房</w:t>
      </w:r>
      <w:r w:rsidRPr="00FD50F6">
        <w:rPr>
          <w:rFonts w:hint="eastAsia"/>
        </w:rPr>
        <w:t>区</w:t>
      </w:r>
      <w:r w:rsidRPr="00FD50F6">
        <w:t>应划分防烟分区，</w:t>
      </w:r>
      <w:r w:rsidRPr="00FD50F6">
        <w:rPr>
          <w:rFonts w:hint="eastAsia"/>
        </w:rPr>
        <w:t>并应符合下列规定：</w:t>
      </w:r>
    </w:p>
    <w:p w14:paraId="5A2CE87A" w14:textId="77777777" w:rsidR="007B2CA8" w:rsidRPr="00FD50F6" w:rsidRDefault="007B2CA8" w:rsidP="00A926BD">
      <w:pPr>
        <w:pStyle w:val="4"/>
      </w:pPr>
      <w:r w:rsidRPr="00FD50F6">
        <w:t>防烟分区不得跨越防火分区</w:t>
      </w:r>
      <w:r w:rsidRPr="00FD50F6">
        <w:rPr>
          <w:rFonts w:hint="eastAsia"/>
        </w:rPr>
        <w:t>；</w:t>
      </w:r>
    </w:p>
    <w:p w14:paraId="07DF654B" w14:textId="77777777" w:rsidR="007B2CA8" w:rsidRPr="00FD50F6" w:rsidRDefault="007B2CA8" w:rsidP="00A926BD">
      <w:pPr>
        <w:pStyle w:val="4"/>
      </w:pPr>
      <w:r w:rsidRPr="00FD50F6">
        <w:rPr>
          <w:rFonts w:hint="eastAsia"/>
        </w:rPr>
        <w:t>地下车站的</w:t>
      </w:r>
      <w:r w:rsidRPr="00FD50F6">
        <w:t>站厅公共区每个防烟分区建筑面积不</w:t>
      </w:r>
      <w:r w:rsidRPr="00FD50F6">
        <w:rPr>
          <w:rFonts w:hint="eastAsia"/>
        </w:rPr>
        <w:t>应大于</w:t>
      </w:r>
      <w:r w:rsidRPr="00FD50F6">
        <w:t>2000m</w:t>
      </w:r>
      <w:r w:rsidRPr="00FD50F6">
        <w:rPr>
          <w:vertAlign w:val="superscript"/>
        </w:rPr>
        <w:t>2</w:t>
      </w:r>
      <w:r w:rsidRPr="00FD50F6">
        <w:t>，</w:t>
      </w:r>
      <w:r w:rsidRPr="00FD50F6">
        <w:rPr>
          <w:rFonts w:hint="eastAsia"/>
        </w:rPr>
        <w:t>且</w:t>
      </w:r>
      <w:r w:rsidRPr="00FD50F6">
        <w:t>防烟分区</w:t>
      </w:r>
      <w:r w:rsidRPr="00FD50F6">
        <w:rPr>
          <w:rFonts w:hint="eastAsia"/>
        </w:rPr>
        <w:t>长边不宜大于</w:t>
      </w:r>
      <w:r w:rsidRPr="00FD50F6">
        <w:rPr>
          <w:rFonts w:hint="eastAsia"/>
        </w:rPr>
        <w:t>75m</w:t>
      </w:r>
      <w:r w:rsidRPr="00FD50F6">
        <w:rPr>
          <w:rFonts w:hint="eastAsia"/>
        </w:rPr>
        <w:t>；</w:t>
      </w:r>
    </w:p>
    <w:p w14:paraId="203DA0FA" w14:textId="77777777" w:rsidR="007B2CA8" w:rsidRPr="00FD50F6" w:rsidRDefault="007B2CA8" w:rsidP="00A926BD">
      <w:pPr>
        <w:pStyle w:val="4"/>
      </w:pPr>
      <w:r w:rsidRPr="00FD50F6">
        <w:t>设备与管理用房</w:t>
      </w:r>
      <w:r w:rsidRPr="00FD50F6">
        <w:rPr>
          <w:rFonts w:hint="eastAsia"/>
        </w:rPr>
        <w:t>区</w:t>
      </w:r>
      <w:r w:rsidRPr="00FD50F6">
        <w:t>每个防烟分区的建筑面积</w:t>
      </w:r>
      <w:r w:rsidRPr="00FD50F6">
        <w:rPr>
          <w:rFonts w:hint="eastAsia"/>
        </w:rPr>
        <w:t>不应大于</w:t>
      </w:r>
      <w:r w:rsidRPr="00FD50F6">
        <w:t>750m</w:t>
      </w:r>
      <w:r w:rsidRPr="00FD50F6">
        <w:rPr>
          <w:vertAlign w:val="superscript"/>
        </w:rPr>
        <w:t>2</w:t>
      </w:r>
      <w:r w:rsidRPr="00FD50F6">
        <w:t>。</w:t>
      </w:r>
    </w:p>
    <w:p w14:paraId="7755492B" w14:textId="4527FBDA" w:rsidR="007B2CA8" w:rsidRPr="00FD50F6" w:rsidRDefault="007B2CA8" w:rsidP="00634619">
      <w:pPr>
        <w:pStyle w:val="30"/>
      </w:pPr>
      <w:r w:rsidRPr="00FD50F6">
        <w:t>地下车站</w:t>
      </w:r>
      <w:r w:rsidRPr="00FD50F6">
        <w:rPr>
          <w:rFonts w:hint="eastAsia"/>
        </w:rPr>
        <w:t>公共区</w:t>
      </w:r>
      <w:r w:rsidRPr="00FD50F6">
        <w:t>排烟量</w:t>
      </w:r>
      <w:r w:rsidRPr="00FD50F6">
        <w:rPr>
          <w:rFonts w:hint="eastAsia"/>
        </w:rPr>
        <w:t>计算应符合下列规定：</w:t>
      </w:r>
    </w:p>
    <w:p w14:paraId="1DE4F939" w14:textId="77777777" w:rsidR="007B2CA8" w:rsidRPr="00FD50F6" w:rsidRDefault="007B2CA8" w:rsidP="00A926BD">
      <w:pPr>
        <w:pStyle w:val="4"/>
      </w:pPr>
      <w:r w:rsidRPr="00FD50F6">
        <w:t>应根据一个防烟分区的建筑面积按</w:t>
      </w:r>
      <w:r w:rsidRPr="00FD50F6">
        <w:rPr>
          <w:rFonts w:hint="eastAsia"/>
        </w:rPr>
        <w:t>60</w:t>
      </w:r>
      <w:r w:rsidRPr="00FD50F6">
        <w:t>m</w:t>
      </w:r>
      <w:r w:rsidRPr="00FD50F6">
        <w:rPr>
          <w:vertAlign w:val="superscript"/>
        </w:rPr>
        <w:t>3</w:t>
      </w:r>
      <w:r w:rsidRPr="00FD50F6">
        <w:t>/</w:t>
      </w:r>
      <w:r w:rsidRPr="00FD50F6">
        <w:rPr>
          <w:rFonts w:hint="eastAsia"/>
        </w:rPr>
        <w:t>（</w:t>
      </w:r>
      <w:r w:rsidRPr="00FD50F6">
        <w:t>m</w:t>
      </w:r>
      <w:r w:rsidRPr="00FD50F6">
        <w:rPr>
          <w:vertAlign w:val="superscript"/>
        </w:rPr>
        <w:t>2</w:t>
      </w:r>
      <w:r w:rsidRPr="00FD50F6">
        <w:t>·</w:t>
      </w:r>
      <w:r w:rsidRPr="00FD50F6">
        <w:rPr>
          <w:rFonts w:hint="eastAsia"/>
        </w:rPr>
        <w:t>h</w:t>
      </w:r>
      <w:r w:rsidRPr="00FD50F6">
        <w:rPr>
          <w:rFonts w:hint="eastAsia"/>
        </w:rPr>
        <w:t>）</w:t>
      </w:r>
      <w:r w:rsidRPr="00FD50F6">
        <w:t>计算</w:t>
      </w:r>
      <w:r w:rsidRPr="00FD50F6">
        <w:rPr>
          <w:rFonts w:hint="eastAsia"/>
        </w:rPr>
        <w:t>；</w:t>
      </w:r>
    </w:p>
    <w:p w14:paraId="7439CA42" w14:textId="77777777" w:rsidR="007B2CA8" w:rsidRPr="00FD50F6" w:rsidRDefault="007B2CA8" w:rsidP="00A926BD">
      <w:pPr>
        <w:pStyle w:val="4"/>
      </w:pPr>
      <w:r w:rsidRPr="00FD50F6">
        <w:rPr>
          <w:rFonts w:hint="eastAsia"/>
        </w:rPr>
        <w:t>当防烟分区中包含轨道区时，应按列车设计火灾规模计算排烟量；</w:t>
      </w:r>
    </w:p>
    <w:p w14:paraId="68113BE9" w14:textId="7FBB059E" w:rsidR="007B2CA8" w:rsidRPr="00FD50F6" w:rsidRDefault="007B2CA8" w:rsidP="00A926BD">
      <w:pPr>
        <w:pStyle w:val="4"/>
      </w:pPr>
      <w:r w:rsidRPr="00FD50F6">
        <w:rPr>
          <w:rFonts w:hint="eastAsia"/>
        </w:rPr>
        <w:lastRenderedPageBreak/>
        <w:t>站台火灾时的排烟量</w:t>
      </w:r>
      <w:r w:rsidRPr="00FD50F6">
        <w:t>应</w:t>
      </w:r>
      <w:r w:rsidRPr="00FD50F6">
        <w:rPr>
          <w:rFonts w:hint="eastAsia"/>
        </w:rPr>
        <w:t>使</w:t>
      </w:r>
      <w:r w:rsidRPr="00FD50F6">
        <w:t>站厅到站台的楼梯和扶梯口处具有能够阻止烟气向上蔓延的气流，且向下气流速度不应小于</w:t>
      </w:r>
      <w:r w:rsidRPr="00FD50F6">
        <w:t>1.5m/s</w:t>
      </w:r>
      <w:r w:rsidRPr="00FD50F6">
        <w:t>。</w:t>
      </w:r>
    </w:p>
    <w:p w14:paraId="7834563F" w14:textId="29F5A9FF" w:rsidR="007B2CA8" w:rsidRPr="00FD50F6" w:rsidRDefault="007B2CA8" w:rsidP="00634619">
      <w:pPr>
        <w:pStyle w:val="30"/>
      </w:pPr>
      <w:r w:rsidRPr="00FD50F6">
        <w:t>当</w:t>
      </w:r>
      <w:r w:rsidRPr="00FD50F6">
        <w:rPr>
          <w:rFonts w:hint="eastAsia"/>
        </w:rPr>
        <w:t>地下车站公共区</w:t>
      </w:r>
      <w:r w:rsidRPr="00FD50F6">
        <w:t>排烟设备需要同时排除两个或两个以上防烟分区的烟量时，</w:t>
      </w:r>
      <w:r w:rsidRPr="00FD50F6">
        <w:rPr>
          <w:rFonts w:hint="eastAsia"/>
        </w:rPr>
        <w:t>其排烟设备的计算风量不应小于所负担防烟分区中最大一个防烟分区的排烟量、风管（道）漏风量及其他防烟分区的排烟口或排烟阀的漏风量之和</w:t>
      </w:r>
      <w:r w:rsidRPr="00FD50F6">
        <w:t>。</w:t>
      </w:r>
    </w:p>
    <w:p w14:paraId="0ADDB1B7" w14:textId="50876045" w:rsidR="007B2CA8" w:rsidRPr="00FD50F6" w:rsidRDefault="007B2CA8" w:rsidP="00634619">
      <w:pPr>
        <w:pStyle w:val="30"/>
      </w:pPr>
      <w:r w:rsidRPr="00FD50F6">
        <w:t>当区间隧道和全封闭车道采用自然排烟时，</w:t>
      </w:r>
      <w:r w:rsidRPr="00FD50F6">
        <w:rPr>
          <w:rFonts w:hint="eastAsia"/>
        </w:rPr>
        <w:t>应符合下列规定：</w:t>
      </w:r>
    </w:p>
    <w:p w14:paraId="75F772A6" w14:textId="22C89E3B" w:rsidR="007B2CA8" w:rsidRPr="00FD50F6" w:rsidRDefault="007B2CA8" w:rsidP="00A926BD">
      <w:pPr>
        <w:pStyle w:val="4"/>
      </w:pPr>
      <w:r w:rsidRPr="00FD50F6">
        <w:t>连续长度</w:t>
      </w:r>
      <w:r w:rsidRPr="00FD50F6">
        <w:rPr>
          <w:rFonts w:hint="eastAsia"/>
        </w:rPr>
        <w:t>不大于</w:t>
      </w:r>
      <w:r w:rsidRPr="00FD50F6">
        <w:rPr>
          <w:rFonts w:hint="eastAsia"/>
        </w:rPr>
        <w:t>5</w:t>
      </w:r>
      <w:r w:rsidRPr="00FD50F6">
        <w:t>00m</w:t>
      </w:r>
      <w:r w:rsidRPr="00FD50F6">
        <w:rPr>
          <w:rFonts w:hint="eastAsia"/>
        </w:rPr>
        <w:t xml:space="preserve"> </w:t>
      </w:r>
      <w:r w:rsidRPr="00FD50F6">
        <w:t>的</w:t>
      </w:r>
      <w:r w:rsidRPr="00FD50F6">
        <w:rPr>
          <w:rFonts w:hint="eastAsia"/>
        </w:rPr>
        <w:t>独立</w:t>
      </w:r>
      <w:r w:rsidRPr="00FD50F6">
        <w:t>区间隧道和</w:t>
      </w:r>
      <w:r w:rsidR="00535DD1">
        <w:t>连续长度不大于</w:t>
      </w:r>
      <w:r w:rsidR="00535DD1">
        <w:t>500m</w:t>
      </w:r>
      <w:r w:rsidR="00535DD1">
        <w:t>的</w:t>
      </w:r>
      <w:r w:rsidRPr="00FD50F6">
        <w:rPr>
          <w:rFonts w:hint="eastAsia"/>
        </w:rPr>
        <w:t>独立</w:t>
      </w:r>
      <w:r w:rsidRPr="00FD50F6">
        <w:t>全封闭车道</w:t>
      </w:r>
      <w:r w:rsidRPr="00FD50F6">
        <w:rPr>
          <w:rFonts w:hint="eastAsia"/>
        </w:rPr>
        <w:t>可仅</w:t>
      </w:r>
      <w:r w:rsidRPr="00FD50F6">
        <w:t>采用</w:t>
      </w:r>
      <w:r w:rsidRPr="00FD50F6">
        <w:rPr>
          <w:rFonts w:hint="eastAsia"/>
        </w:rPr>
        <w:t>两端洞口</w:t>
      </w:r>
      <w:r w:rsidRPr="00FD50F6">
        <w:t>自然排烟</w:t>
      </w:r>
      <w:r w:rsidRPr="00FD50F6">
        <w:rPr>
          <w:rFonts w:hint="eastAsia"/>
        </w:rPr>
        <w:t>；</w:t>
      </w:r>
    </w:p>
    <w:p w14:paraId="30F63AD9" w14:textId="3887C4F3" w:rsidR="007B2CA8" w:rsidRPr="00FD50F6" w:rsidRDefault="00535DD1" w:rsidP="00A926BD">
      <w:pPr>
        <w:pStyle w:val="4"/>
      </w:pPr>
      <w:r w:rsidRPr="00535DD1">
        <w:rPr>
          <w:rFonts w:hint="eastAsia"/>
        </w:rPr>
        <w:t>除第</w:t>
      </w:r>
      <w:r w:rsidRPr="00535DD1">
        <w:t>1</w:t>
      </w:r>
      <w:r w:rsidRPr="00535DD1">
        <w:t>款之外的区间隧道和全封闭车道应在上部设置</w:t>
      </w:r>
      <w:r w:rsidR="007B2CA8" w:rsidRPr="00FD50F6">
        <w:rPr>
          <w:rFonts w:hint="eastAsia"/>
        </w:rPr>
        <w:t>自然排烟口</w:t>
      </w:r>
      <w:r>
        <w:rPr>
          <w:rFonts w:hint="eastAsia"/>
        </w:rPr>
        <w:t>，</w:t>
      </w:r>
      <w:r w:rsidRPr="00FD50F6">
        <w:rPr>
          <w:rFonts w:hint="eastAsia"/>
        </w:rPr>
        <w:t>自然排烟口</w:t>
      </w:r>
      <w:r w:rsidR="007B2CA8" w:rsidRPr="00FD50F6">
        <w:rPr>
          <w:rFonts w:hint="eastAsia"/>
        </w:rPr>
        <w:t>有效面积不应小于顶部水平投影面积的</w:t>
      </w:r>
      <w:r w:rsidR="007B2CA8" w:rsidRPr="00FD50F6">
        <w:t>5%</w:t>
      </w:r>
      <w:r w:rsidR="007B2CA8" w:rsidRPr="00FD50F6">
        <w:rPr>
          <w:rFonts w:hint="eastAsia"/>
        </w:rPr>
        <w:t>，且区域内任一点至最近自然排烟口的水平距离不应大于</w:t>
      </w:r>
      <w:r w:rsidR="007B2CA8" w:rsidRPr="00FD50F6">
        <w:rPr>
          <w:rFonts w:hint="eastAsia"/>
        </w:rPr>
        <w:t>30m</w:t>
      </w:r>
      <w:r w:rsidR="007B2CA8" w:rsidRPr="00FD50F6">
        <w:rPr>
          <w:rFonts w:hint="eastAsia"/>
        </w:rPr>
        <w:t>。</w:t>
      </w:r>
    </w:p>
    <w:p w14:paraId="35BE538A" w14:textId="4D86B082" w:rsidR="007B2CA8" w:rsidRPr="00FD50F6" w:rsidRDefault="004C5D97" w:rsidP="00634619">
      <w:pPr>
        <w:pStyle w:val="30"/>
      </w:pPr>
      <w:r w:rsidRPr="00FD50F6">
        <w:rPr>
          <w:rFonts w:hint="eastAsia"/>
        </w:rPr>
        <w:t>当</w:t>
      </w:r>
      <w:r w:rsidR="007B2CA8" w:rsidRPr="00FD50F6">
        <w:t>区间隧道</w:t>
      </w:r>
      <w:r w:rsidR="007B2CA8" w:rsidRPr="00FD50F6">
        <w:rPr>
          <w:rFonts w:hint="eastAsia"/>
        </w:rPr>
        <w:t>采用纵向通风排烟时，列车载客区间隧道的排烟断面风速不应</w:t>
      </w:r>
      <w:r w:rsidR="007B2CA8" w:rsidRPr="00FD50F6">
        <w:t>小于</w:t>
      </w:r>
      <w:r w:rsidR="007B2CA8" w:rsidRPr="00FD50F6">
        <w:t>2m/s</w:t>
      </w:r>
      <w:r w:rsidR="007B2CA8" w:rsidRPr="00FD50F6">
        <w:rPr>
          <w:rFonts w:hint="eastAsia"/>
        </w:rPr>
        <w:t>和</w:t>
      </w:r>
      <w:r w:rsidR="007B2CA8" w:rsidRPr="00FD50F6">
        <w:t>临界风速，</w:t>
      </w:r>
      <w:r w:rsidR="007B2CA8" w:rsidRPr="00FD50F6">
        <w:rPr>
          <w:rFonts w:hint="eastAsia"/>
        </w:rPr>
        <w:t>且</w:t>
      </w:r>
      <w:r w:rsidR="007B2CA8" w:rsidRPr="00FD50F6">
        <w:t>不得大于</w:t>
      </w:r>
      <w:r w:rsidR="007B2CA8" w:rsidRPr="00FD50F6">
        <w:t>11m/s</w:t>
      </w:r>
      <w:r w:rsidR="007B2CA8" w:rsidRPr="00FD50F6">
        <w:rPr>
          <w:rFonts w:hint="eastAsia"/>
        </w:rPr>
        <w:t>；列车非载客区间隧道的排烟断面风速不应小于</w:t>
      </w:r>
      <w:r w:rsidR="007B2CA8" w:rsidRPr="00FD50F6">
        <w:t>临界风速</w:t>
      </w:r>
      <w:r w:rsidR="007B2CA8" w:rsidRPr="00FD50F6">
        <w:rPr>
          <w:rFonts w:hint="eastAsia"/>
        </w:rPr>
        <w:t>。</w:t>
      </w:r>
    </w:p>
    <w:p w14:paraId="04C44A6F" w14:textId="349D949A" w:rsidR="007B2CA8" w:rsidRPr="00FD50F6" w:rsidRDefault="004C5D97" w:rsidP="00634619">
      <w:pPr>
        <w:pStyle w:val="30"/>
      </w:pPr>
      <w:r w:rsidRPr="00FD50F6">
        <w:rPr>
          <w:rFonts w:hint="eastAsia"/>
        </w:rPr>
        <w:t>当</w:t>
      </w:r>
      <w:r w:rsidR="007B2CA8" w:rsidRPr="00FD50F6">
        <w:rPr>
          <w:rFonts w:hint="eastAsia"/>
        </w:rPr>
        <w:t>长大区间隧道采用纵向通风排烟时，宜利用中间风井等措施划分通风区段，每个通风区段的长度宜按系统设计最大能力</w:t>
      </w:r>
      <w:r w:rsidR="00DB3391" w:rsidRPr="00FD50F6">
        <w:rPr>
          <w:rFonts w:hint="eastAsia"/>
        </w:rPr>
        <w:t>、</w:t>
      </w:r>
      <w:r w:rsidR="007B2CA8" w:rsidRPr="00FD50F6">
        <w:rPr>
          <w:rFonts w:hint="eastAsia"/>
        </w:rPr>
        <w:t>正常运行</w:t>
      </w:r>
      <w:r w:rsidR="00DB3391" w:rsidRPr="00FD50F6">
        <w:rPr>
          <w:rFonts w:hint="eastAsia"/>
        </w:rPr>
        <w:t>条件下</w:t>
      </w:r>
      <w:r w:rsidR="007B2CA8" w:rsidRPr="00FD50F6">
        <w:rPr>
          <w:rFonts w:hint="eastAsia"/>
        </w:rPr>
        <w:t>的列车追踪间距确定。</w:t>
      </w:r>
      <w:r w:rsidRPr="00FD50F6">
        <w:rPr>
          <w:rFonts w:hint="eastAsia"/>
        </w:rPr>
        <w:t>在</w:t>
      </w:r>
      <w:r w:rsidR="007B2CA8" w:rsidRPr="00FD50F6">
        <w:rPr>
          <w:rFonts w:hint="eastAsia"/>
        </w:rPr>
        <w:t>实际运行条件下，</w:t>
      </w:r>
      <w:r w:rsidRPr="00FD50F6">
        <w:rPr>
          <w:rFonts w:hint="eastAsia"/>
        </w:rPr>
        <w:t>当</w:t>
      </w:r>
      <w:r w:rsidR="00DB3391" w:rsidRPr="00FD50F6">
        <w:rPr>
          <w:rFonts w:hint="eastAsia"/>
        </w:rPr>
        <w:t>一</w:t>
      </w:r>
      <w:r w:rsidR="007B2CA8" w:rsidRPr="00FD50F6">
        <w:rPr>
          <w:rFonts w:hint="eastAsia"/>
        </w:rPr>
        <w:t>个通风区段同时存在两列或两列以上列车同向运行时，应协调通风排烟系统与行车、供电、信号系统设计和应急组织方案，</w:t>
      </w:r>
      <w:r w:rsidR="00DB3391" w:rsidRPr="00FD50F6">
        <w:rPr>
          <w:rFonts w:hint="eastAsia"/>
        </w:rPr>
        <w:t>并</w:t>
      </w:r>
      <w:r w:rsidR="00DB3391" w:rsidRPr="00FD50F6">
        <w:t>应</w:t>
      </w:r>
      <w:r w:rsidR="007B2CA8" w:rsidRPr="00FD50F6">
        <w:rPr>
          <w:rFonts w:hint="eastAsia"/>
        </w:rPr>
        <w:t>使</w:t>
      </w:r>
      <w:r w:rsidR="00DB3391" w:rsidRPr="00FD50F6">
        <w:rPr>
          <w:rFonts w:hint="eastAsia"/>
        </w:rPr>
        <w:t>各</w:t>
      </w:r>
      <w:r w:rsidR="00122B19" w:rsidRPr="00FD50F6">
        <w:rPr>
          <w:rFonts w:hint="eastAsia"/>
        </w:rPr>
        <w:t>系统</w:t>
      </w:r>
      <w:r w:rsidR="00DB3391" w:rsidRPr="00FD50F6">
        <w:t>设计和应急组织方案</w:t>
      </w:r>
      <w:r w:rsidR="007B2CA8" w:rsidRPr="00FD50F6">
        <w:rPr>
          <w:rFonts w:hint="eastAsia"/>
        </w:rPr>
        <w:t>与每个通风区段内的列车总数相匹配。</w:t>
      </w:r>
    </w:p>
    <w:p w14:paraId="7013942B" w14:textId="67A6F79D" w:rsidR="007B2CA8" w:rsidRPr="00FD50F6" w:rsidRDefault="007B2CA8" w:rsidP="00634619">
      <w:pPr>
        <w:pStyle w:val="30"/>
      </w:pPr>
      <w:r w:rsidRPr="00FD50F6">
        <w:rPr>
          <w:rFonts w:hint="eastAsia"/>
        </w:rPr>
        <w:t>地下或上盖物业开发的车辆基地内的消防车道应采用自然排烟，自然排烟口的有效面积不应小于消防车道面积的</w:t>
      </w:r>
      <w:r w:rsidRPr="00FD50F6">
        <w:rPr>
          <w:rFonts w:hint="eastAsia"/>
        </w:rPr>
        <w:t>2</w:t>
      </w:r>
      <w:r w:rsidRPr="00FD50F6">
        <w:t>5%</w:t>
      </w:r>
      <w:r w:rsidRPr="00FD50F6">
        <w:rPr>
          <w:rFonts w:hint="eastAsia"/>
        </w:rPr>
        <w:t>。</w:t>
      </w:r>
    </w:p>
    <w:p w14:paraId="3A282291" w14:textId="1C5A9B4F" w:rsidR="007B2CA8" w:rsidRPr="00FD50F6" w:rsidRDefault="004C5D97" w:rsidP="00634619">
      <w:pPr>
        <w:pStyle w:val="30"/>
      </w:pPr>
      <w:r w:rsidRPr="00FD50F6">
        <w:rPr>
          <w:rFonts w:hint="eastAsia"/>
        </w:rPr>
        <w:t>当</w:t>
      </w:r>
      <w:r w:rsidR="007B2CA8" w:rsidRPr="00FD50F6">
        <w:t>列车阻塞在区间隧道</w:t>
      </w:r>
      <w:r w:rsidR="007B2CA8" w:rsidRPr="00FD50F6">
        <w:rPr>
          <w:rFonts w:hint="eastAsia"/>
        </w:rPr>
        <w:t>采用纵向事故通风</w:t>
      </w:r>
      <w:r w:rsidR="007B2CA8" w:rsidRPr="00FD50F6">
        <w:t>时</w:t>
      </w:r>
      <w:r w:rsidR="007B2CA8" w:rsidRPr="00FD50F6">
        <w:rPr>
          <w:rFonts w:hint="eastAsia"/>
        </w:rPr>
        <w:t>，</w:t>
      </w:r>
      <w:r w:rsidR="007B2CA8" w:rsidRPr="00FD50F6">
        <w:t>区间隧道</w:t>
      </w:r>
      <w:r w:rsidR="007B2CA8" w:rsidRPr="00FD50F6">
        <w:rPr>
          <w:rFonts w:hint="eastAsia"/>
        </w:rPr>
        <w:t>事故通风</w:t>
      </w:r>
      <w:r w:rsidR="007B2CA8" w:rsidRPr="00FD50F6">
        <w:t>断面风速不</w:t>
      </w:r>
      <w:r w:rsidR="007B2CA8" w:rsidRPr="00FD50F6">
        <w:rPr>
          <w:rFonts w:hint="eastAsia"/>
        </w:rPr>
        <w:t>应</w:t>
      </w:r>
      <w:r w:rsidR="007B2CA8" w:rsidRPr="00FD50F6">
        <w:t>小于</w:t>
      </w:r>
      <w:r w:rsidR="007B2CA8" w:rsidRPr="00FD50F6">
        <w:t>2m/s</w:t>
      </w:r>
      <w:r w:rsidR="007B2CA8" w:rsidRPr="00FD50F6">
        <w:t>，</w:t>
      </w:r>
      <w:r w:rsidR="007B2CA8" w:rsidRPr="00FD50F6">
        <w:rPr>
          <w:rFonts w:hint="eastAsia"/>
        </w:rPr>
        <w:t>且</w:t>
      </w:r>
      <w:r w:rsidR="007B2CA8" w:rsidRPr="00FD50F6">
        <w:t>不得大于</w:t>
      </w:r>
      <w:r w:rsidR="007B2CA8" w:rsidRPr="00FD50F6">
        <w:t>11m/s</w:t>
      </w:r>
      <w:r w:rsidR="007B2CA8" w:rsidRPr="00FD50F6">
        <w:rPr>
          <w:rFonts w:hint="eastAsia"/>
        </w:rPr>
        <w:t>，</w:t>
      </w:r>
      <w:r w:rsidR="007B2CA8" w:rsidRPr="00FD50F6">
        <w:t>并应校核列车顶部</w:t>
      </w:r>
      <w:r w:rsidR="00F53A99" w:rsidRPr="00FD50F6">
        <w:rPr>
          <w:rFonts w:hint="eastAsia"/>
        </w:rPr>
        <w:t>空调冷凝器</w:t>
      </w:r>
      <w:r w:rsidR="00F53A99" w:rsidRPr="00FD50F6">
        <w:t>进风</w:t>
      </w:r>
      <w:r w:rsidR="00F53A99" w:rsidRPr="00FD50F6">
        <w:rPr>
          <w:rFonts w:hint="eastAsia"/>
        </w:rPr>
        <w:t>口</w:t>
      </w:r>
      <w:r w:rsidR="00F53A99" w:rsidRPr="00FD50F6">
        <w:t>处</w:t>
      </w:r>
      <w:r w:rsidR="007B2CA8" w:rsidRPr="00FD50F6">
        <w:t>的隧道</w:t>
      </w:r>
      <w:r w:rsidR="007B2CA8" w:rsidRPr="00FD50F6">
        <w:rPr>
          <w:rFonts w:hint="eastAsia"/>
        </w:rPr>
        <w:t>空气</w:t>
      </w:r>
      <w:r w:rsidR="007B2CA8" w:rsidRPr="00FD50F6">
        <w:t>温度低于</w:t>
      </w:r>
      <w:r w:rsidR="007B2CA8" w:rsidRPr="00FD50F6">
        <w:t>45</w:t>
      </w:r>
      <w:r w:rsidR="007B2CA8" w:rsidRPr="00FD50F6">
        <w:rPr>
          <w:rFonts w:hint="eastAsia"/>
        </w:rPr>
        <w:t>℃</w:t>
      </w:r>
      <w:r w:rsidR="007B2CA8" w:rsidRPr="00FD50F6">
        <w:t>。</w:t>
      </w:r>
    </w:p>
    <w:p w14:paraId="30C2F2B6" w14:textId="5B04E47D" w:rsidR="007B2CA8" w:rsidRPr="00FD50F6" w:rsidRDefault="007B2CA8" w:rsidP="00634619">
      <w:pPr>
        <w:pStyle w:val="30"/>
      </w:pPr>
      <w:r w:rsidRPr="00FD50F6">
        <w:rPr>
          <w:rFonts w:hint="eastAsia"/>
        </w:rPr>
        <w:t>火灾时需运行的风机</w:t>
      </w:r>
      <w:r w:rsidRPr="00FD50F6">
        <w:t>从静止状态转换为</w:t>
      </w:r>
      <w:r w:rsidRPr="00FD50F6">
        <w:rPr>
          <w:rFonts w:hint="eastAsia"/>
        </w:rPr>
        <w:t>火灾运行</w:t>
      </w:r>
      <w:r w:rsidRPr="00FD50F6">
        <w:t>状态所需时间不应</w:t>
      </w:r>
      <w:r w:rsidRPr="00FD50F6">
        <w:rPr>
          <w:rFonts w:hint="eastAsia"/>
        </w:rPr>
        <w:t>大于</w:t>
      </w:r>
      <w:r w:rsidRPr="00FD50F6">
        <w:t>30s</w:t>
      </w:r>
      <w:r w:rsidRPr="00FD50F6">
        <w:t>，从运转状态转换为</w:t>
      </w:r>
      <w:r w:rsidRPr="00FD50F6">
        <w:rPr>
          <w:rFonts w:hint="eastAsia"/>
        </w:rPr>
        <w:t>火灾运行</w:t>
      </w:r>
      <w:r w:rsidRPr="00FD50F6">
        <w:t>状态所需时间不应</w:t>
      </w:r>
      <w:r w:rsidRPr="00FD50F6">
        <w:rPr>
          <w:rFonts w:hint="eastAsia"/>
        </w:rPr>
        <w:t>大于</w:t>
      </w:r>
      <w:r w:rsidRPr="00FD50F6">
        <w:t>60s</w:t>
      </w:r>
      <w:r w:rsidRPr="00FD50F6">
        <w:rPr>
          <w:rFonts w:hint="eastAsia"/>
        </w:rPr>
        <w:t>；火灾时</w:t>
      </w:r>
      <w:r w:rsidRPr="00FD50F6">
        <w:t>需要</w:t>
      </w:r>
      <w:r w:rsidRPr="00FD50F6">
        <w:rPr>
          <w:rFonts w:hint="eastAsia"/>
        </w:rPr>
        <w:t>改变启、闭状态</w:t>
      </w:r>
      <w:r w:rsidRPr="00FD50F6">
        <w:t>的</w:t>
      </w:r>
      <w:r w:rsidRPr="00FD50F6">
        <w:rPr>
          <w:rFonts w:hint="eastAsia"/>
        </w:rPr>
        <w:t>风阀、表冷器、冷凝器等设备</w:t>
      </w:r>
      <w:r w:rsidRPr="00FD50F6">
        <w:t>，启、闭所需的时间不应</w:t>
      </w:r>
      <w:r w:rsidRPr="00FD50F6">
        <w:rPr>
          <w:rFonts w:hint="eastAsia"/>
        </w:rPr>
        <w:t>大于</w:t>
      </w:r>
      <w:r w:rsidRPr="00FD50F6">
        <w:t>30s</w:t>
      </w:r>
      <w:r w:rsidRPr="00FD50F6">
        <w:t>。</w:t>
      </w:r>
    </w:p>
    <w:p w14:paraId="41E60862" w14:textId="1C3AFBEA" w:rsidR="007B2CA8" w:rsidRPr="00FD50F6" w:rsidRDefault="007B2CA8" w:rsidP="00634619">
      <w:pPr>
        <w:pStyle w:val="30"/>
      </w:pPr>
      <w:r w:rsidRPr="00FD50F6">
        <w:rPr>
          <w:rFonts w:hint="eastAsia"/>
        </w:rPr>
        <w:t>除本标准规定外，防烟与排烟系统设计应符合现行国家标准《地铁设计防火标准》</w:t>
      </w:r>
      <w:r w:rsidRPr="00FD50F6">
        <w:rPr>
          <w:rFonts w:hint="eastAsia"/>
        </w:rPr>
        <w:t>GB 51298</w:t>
      </w:r>
      <w:r w:rsidRPr="00FD50F6">
        <w:rPr>
          <w:rFonts w:hint="eastAsia"/>
        </w:rPr>
        <w:t>、《建筑设计防火规范》</w:t>
      </w:r>
      <w:r w:rsidRPr="00FD50F6">
        <w:rPr>
          <w:rFonts w:hint="eastAsia"/>
        </w:rPr>
        <w:t>GB 50016</w:t>
      </w:r>
      <w:r w:rsidRPr="00FD50F6">
        <w:rPr>
          <w:rFonts w:hint="eastAsia"/>
        </w:rPr>
        <w:t>和《建筑防烟排烟系统技术标准》</w:t>
      </w:r>
      <w:r w:rsidRPr="00FD50F6">
        <w:rPr>
          <w:rFonts w:hint="eastAsia"/>
        </w:rPr>
        <w:t>GB 51251</w:t>
      </w:r>
      <w:r w:rsidRPr="00FD50F6">
        <w:rPr>
          <w:rFonts w:hint="eastAsia"/>
        </w:rPr>
        <w:t>的规定</w:t>
      </w:r>
      <w:r w:rsidRPr="00FD50F6">
        <w:t>。</w:t>
      </w:r>
    </w:p>
    <w:p w14:paraId="24AB8A05" w14:textId="1BFD6554" w:rsidR="005137CA" w:rsidRPr="00FD50F6" w:rsidRDefault="00666C50" w:rsidP="00A65181">
      <w:pPr>
        <w:pStyle w:val="2"/>
      </w:pPr>
      <w:bookmarkStart w:id="1312" w:name="_Toc112830882"/>
      <w:r w:rsidRPr="00FD50F6">
        <w:rPr>
          <w:rFonts w:hint="eastAsia"/>
        </w:rPr>
        <w:lastRenderedPageBreak/>
        <w:t>防灾通信</w:t>
      </w:r>
      <w:bookmarkEnd w:id="1312"/>
    </w:p>
    <w:p w14:paraId="5174ED7D" w14:textId="65BE717D" w:rsidR="00BF3B2D" w:rsidRPr="00FD50F6" w:rsidRDefault="00BF3B2D" w:rsidP="00BF3B2D">
      <w:pPr>
        <w:pStyle w:val="30"/>
      </w:pPr>
      <w:r w:rsidRPr="00FD50F6">
        <w:t>地铁公务电话交换机应具有火警时能</w:t>
      </w:r>
      <w:r w:rsidRPr="00FD50F6">
        <w:rPr>
          <w:rFonts w:cs="Times New Roman" w:hint="eastAsia"/>
        </w:rPr>
        <w:t>接通</w:t>
      </w:r>
      <w:r w:rsidRPr="00FD50F6">
        <w:rPr>
          <w:rFonts w:cs="Times New Roman"/>
        </w:rPr>
        <w:t>到市话网</w:t>
      </w:r>
      <w:r w:rsidRPr="001A4CF3">
        <w:rPr>
          <w:rFonts w:ascii="宋体" w:hAnsi="宋体" w:cs="Times New Roman"/>
        </w:rPr>
        <w:t>“</w:t>
      </w:r>
      <w:r w:rsidRPr="00FD50F6">
        <w:rPr>
          <w:rFonts w:cs="Times New Roman"/>
        </w:rPr>
        <w:t>119</w:t>
      </w:r>
      <w:r w:rsidRPr="001A4CF3">
        <w:rPr>
          <w:rFonts w:ascii="宋体" w:hAnsi="宋体" w:cs="Times New Roman"/>
        </w:rPr>
        <w:t>”</w:t>
      </w:r>
      <w:r w:rsidRPr="00FD50F6">
        <w:rPr>
          <w:rFonts w:cs="Times New Roman"/>
        </w:rPr>
        <w:t>的功</w:t>
      </w:r>
      <w:r w:rsidRPr="00FD50F6">
        <w:t>能；同时，地铁内应配备在发生灾害时供救援人员进行地上、地下联络的无线通信设施。</w:t>
      </w:r>
    </w:p>
    <w:p w14:paraId="0DC7A70F" w14:textId="77777777" w:rsidR="00BF3B2D" w:rsidRPr="00FD50F6" w:rsidRDefault="00BF3B2D" w:rsidP="00BF3B2D">
      <w:pPr>
        <w:pStyle w:val="30"/>
      </w:pPr>
      <w:r w:rsidRPr="00FD50F6">
        <w:t>控制中心应设置防灾无线控制台，列车司机室应设置防灾无线通话台，车站控制室、站长室、保安室及车辆基地值班室应设置无线通信设备。</w:t>
      </w:r>
    </w:p>
    <w:p w14:paraId="3F60AB56" w14:textId="77777777" w:rsidR="00BF3B2D" w:rsidRPr="00FD50F6" w:rsidRDefault="00BF3B2D" w:rsidP="00BF3B2D">
      <w:pPr>
        <w:pStyle w:val="30"/>
      </w:pPr>
      <w:r w:rsidRPr="00FD50F6">
        <w:t>控制中心应设置防灾广播控制台，车站控制室、车辆基地值班室应设置广播控制台。</w:t>
      </w:r>
    </w:p>
    <w:p w14:paraId="7A99E79E" w14:textId="77777777" w:rsidR="00BF3B2D" w:rsidRPr="00FD50F6" w:rsidRDefault="00BF3B2D" w:rsidP="00BF3B2D">
      <w:pPr>
        <w:pStyle w:val="30"/>
      </w:pPr>
      <w:r w:rsidRPr="00FD50F6">
        <w:t>控制中心和车站控制室应设置监视器和控制键盘。</w:t>
      </w:r>
    </w:p>
    <w:p w14:paraId="7D578F62" w14:textId="77777777" w:rsidR="00BF3B2D" w:rsidRPr="00FD50F6" w:rsidRDefault="00BF3B2D" w:rsidP="00BF3B2D">
      <w:pPr>
        <w:pStyle w:val="30"/>
      </w:pPr>
      <w:r w:rsidRPr="00FD50F6">
        <w:t>地铁应设置消防专用调度电话，防灾调度电话系统应在控制中心设调度电话总机，并应在车站及车辆基地设分机。</w:t>
      </w:r>
    </w:p>
    <w:p w14:paraId="6E140509" w14:textId="3B38599B" w:rsidR="005137CA" w:rsidRPr="00FD50F6" w:rsidRDefault="00BF3B2D" w:rsidP="00BF3B2D">
      <w:pPr>
        <w:pStyle w:val="30"/>
      </w:pPr>
      <w:r w:rsidRPr="00FD50F6">
        <w:t>地铁通信系统应具备火灾时能</w:t>
      </w:r>
      <w:r w:rsidRPr="00FD50F6">
        <w:rPr>
          <w:rFonts w:hint="eastAsia"/>
        </w:rPr>
        <w:t>提供</w:t>
      </w:r>
      <w:r w:rsidRPr="00FD50F6">
        <w:t>防灾通信的功能。</w:t>
      </w:r>
    </w:p>
    <w:p w14:paraId="1112120C" w14:textId="77777777" w:rsidR="005137CA" w:rsidRPr="00FD50F6" w:rsidRDefault="005137CA" w:rsidP="00A65181">
      <w:pPr>
        <w:pStyle w:val="2"/>
      </w:pPr>
      <w:bookmarkStart w:id="1313" w:name="_Toc236813727"/>
      <w:bookmarkStart w:id="1314" w:name="_Toc306207295"/>
      <w:bookmarkStart w:id="1315" w:name="_Toc306207486"/>
      <w:bookmarkStart w:id="1316" w:name="_Toc320196153"/>
      <w:bookmarkStart w:id="1317" w:name="_Toc320643542"/>
      <w:bookmarkStart w:id="1318" w:name="_Toc344218896"/>
      <w:bookmarkStart w:id="1319" w:name="_Toc112830883"/>
      <w:bookmarkStart w:id="1320" w:name="_Toc236813728"/>
      <w:r w:rsidRPr="00FD50F6">
        <w:rPr>
          <w:rFonts w:hint="eastAsia"/>
        </w:rPr>
        <w:t>消防</w:t>
      </w:r>
      <w:r w:rsidRPr="00FD50F6">
        <w:t>用电与疏散</w:t>
      </w:r>
      <w:bookmarkEnd w:id="1313"/>
      <w:r w:rsidRPr="00FD50F6">
        <w:t>照明</w:t>
      </w:r>
      <w:bookmarkEnd w:id="1314"/>
      <w:bookmarkEnd w:id="1315"/>
      <w:bookmarkEnd w:id="1316"/>
      <w:bookmarkEnd w:id="1317"/>
      <w:bookmarkEnd w:id="1318"/>
      <w:bookmarkEnd w:id="1319"/>
    </w:p>
    <w:p w14:paraId="7D4B1FDC" w14:textId="6E3D86AF" w:rsidR="005137CA" w:rsidRPr="00FD50F6" w:rsidRDefault="005137CA" w:rsidP="00634619">
      <w:pPr>
        <w:pStyle w:val="30"/>
      </w:pPr>
      <w:r w:rsidRPr="00FD50F6">
        <w:t>消防用电设备应按一级负荷供电，并应在末级配电箱处设置自动切换装置。当发生火灾而切断生产、生活用电时，消防设备应正常工作。</w:t>
      </w:r>
    </w:p>
    <w:p w14:paraId="4589DFC1" w14:textId="11EF9704" w:rsidR="005137CA" w:rsidRPr="00FD50F6" w:rsidRDefault="005137CA" w:rsidP="00634619">
      <w:pPr>
        <w:pStyle w:val="30"/>
      </w:pPr>
      <w:r w:rsidRPr="00FD50F6">
        <w:t>应急照明</w:t>
      </w:r>
      <w:r w:rsidRPr="00FD50F6">
        <w:rPr>
          <w:rFonts w:hint="eastAsia"/>
        </w:rPr>
        <w:t>应</w:t>
      </w:r>
      <w:r w:rsidRPr="00FD50F6">
        <w:t>包括备用照明和疏散照明，其设置应符合下列规定：</w:t>
      </w:r>
    </w:p>
    <w:p w14:paraId="5559B864" w14:textId="4A7DFB1F" w:rsidR="005137CA" w:rsidRPr="00FD50F6" w:rsidRDefault="005137CA" w:rsidP="00A926BD">
      <w:pPr>
        <w:pStyle w:val="4"/>
      </w:pPr>
      <w:r w:rsidRPr="00FD50F6">
        <w:t>当正常照明失电后，对需要确保正常工作或活动继续进行的场所应设置备用照明；</w:t>
      </w:r>
    </w:p>
    <w:p w14:paraId="6E03C6E4" w14:textId="4CCCB523" w:rsidR="005137CA" w:rsidRPr="00FD50F6" w:rsidRDefault="005137CA" w:rsidP="00A926BD">
      <w:pPr>
        <w:pStyle w:val="4"/>
      </w:pPr>
      <w:r w:rsidRPr="00FD50F6">
        <w:t>当正常照明因故障熄灭或火灾情况下正常照明断电时，对需要确保人员安全疏散的场所应设置疏散照明</w:t>
      </w:r>
      <w:r w:rsidRPr="00FD50F6">
        <w:rPr>
          <w:rFonts w:hint="eastAsia"/>
        </w:rPr>
        <w:t>；</w:t>
      </w:r>
    </w:p>
    <w:p w14:paraId="21F20E9E" w14:textId="77777777" w:rsidR="005137CA" w:rsidRPr="00FD50F6" w:rsidRDefault="005137CA" w:rsidP="00A926BD">
      <w:pPr>
        <w:pStyle w:val="4"/>
      </w:pPr>
      <w:r w:rsidRPr="00FD50F6">
        <w:rPr>
          <w:rFonts w:hint="eastAsia"/>
        </w:rPr>
        <w:t>应急照明和疏散指示灯具应采用交流</w:t>
      </w:r>
      <w:r w:rsidRPr="00FD50F6">
        <w:rPr>
          <w:rFonts w:hint="eastAsia"/>
        </w:rPr>
        <w:t>220V</w:t>
      </w:r>
      <w:r w:rsidRPr="00FD50F6">
        <w:rPr>
          <w:rFonts w:hint="eastAsia"/>
        </w:rPr>
        <w:t>供电，灯具应为</w:t>
      </w:r>
      <w:r w:rsidRPr="00FD50F6">
        <w:rPr>
          <w:rFonts w:hint="eastAsia"/>
        </w:rPr>
        <w:t>II</w:t>
      </w:r>
      <w:r w:rsidRPr="00FD50F6">
        <w:rPr>
          <w:rFonts w:hint="eastAsia"/>
        </w:rPr>
        <w:t>类灯具。</w:t>
      </w:r>
    </w:p>
    <w:p w14:paraId="29314780" w14:textId="3EA6B46B" w:rsidR="005137CA" w:rsidRPr="00FD50F6" w:rsidRDefault="005137CA" w:rsidP="00634619">
      <w:pPr>
        <w:pStyle w:val="30"/>
      </w:pPr>
      <w:r w:rsidRPr="00FD50F6">
        <w:t>当正常交流电源全部退出</w:t>
      </w:r>
      <w:r w:rsidR="005B5114" w:rsidRPr="00FD50F6">
        <w:rPr>
          <w:rFonts w:hint="eastAsia"/>
        </w:rPr>
        <w:t>时</w:t>
      </w:r>
      <w:r w:rsidRPr="00FD50F6">
        <w:t>，地下线路应急照明连续供电时间不应小于</w:t>
      </w:r>
      <w:r w:rsidRPr="00FD50F6">
        <w:t>60min</w:t>
      </w:r>
      <w:r w:rsidRPr="00FD50F6">
        <w:t>；地上线路及建筑的应急照明供电时间应符合现行国家标准《建筑设计防火规范》</w:t>
      </w:r>
      <w:r w:rsidRPr="00FD50F6">
        <w:t>GB 50016</w:t>
      </w:r>
      <w:r w:rsidRPr="00FD50F6">
        <w:t>的规定。</w:t>
      </w:r>
    </w:p>
    <w:p w14:paraId="69088246" w14:textId="0C0D62CC" w:rsidR="005137CA" w:rsidRPr="00FD50F6" w:rsidRDefault="005137CA" w:rsidP="00634619">
      <w:pPr>
        <w:pStyle w:val="30"/>
      </w:pPr>
      <w:r w:rsidRPr="00FD50F6">
        <w:t>防灾用电设备的配电设备应有明显标志。</w:t>
      </w:r>
    </w:p>
    <w:p w14:paraId="2CD2544D" w14:textId="344D1712" w:rsidR="005137CA" w:rsidRPr="00FD50F6" w:rsidRDefault="005B5114" w:rsidP="00634619">
      <w:pPr>
        <w:pStyle w:val="30"/>
      </w:pPr>
      <w:r w:rsidRPr="00FD50F6">
        <w:rPr>
          <w:rFonts w:hint="eastAsia"/>
        </w:rPr>
        <w:t>当</w:t>
      </w:r>
      <w:r w:rsidR="005137CA" w:rsidRPr="00FD50F6">
        <w:t>照明器标明的高温部位靠近可燃物时，应采取隔热、散热等防灾保护措施。可燃物品库房不应设置卤钨灯等高温照明器。</w:t>
      </w:r>
    </w:p>
    <w:p w14:paraId="34C5808C" w14:textId="5AD2FC3A" w:rsidR="005137CA" w:rsidRPr="00FD50F6" w:rsidRDefault="005137CA" w:rsidP="00634619">
      <w:pPr>
        <w:pStyle w:val="30"/>
      </w:pPr>
      <w:r w:rsidRPr="00FD50F6">
        <w:t>下列部位应设置应急疏散照明：</w:t>
      </w:r>
    </w:p>
    <w:p w14:paraId="17E15BBF" w14:textId="77777777" w:rsidR="005137CA" w:rsidRPr="001A4CF3" w:rsidRDefault="005137CA" w:rsidP="00A926BD">
      <w:pPr>
        <w:pStyle w:val="4"/>
      </w:pPr>
      <w:r w:rsidRPr="00FD50F6">
        <w:rPr>
          <w:rFonts w:hint="eastAsia"/>
        </w:rPr>
        <w:t>车站公共区、自动扶梯、自动人行道及楼梯；</w:t>
      </w:r>
    </w:p>
    <w:p w14:paraId="3B895C8B" w14:textId="77777777" w:rsidR="005137CA" w:rsidRPr="001A4CF3" w:rsidRDefault="005137CA" w:rsidP="00A926BD">
      <w:pPr>
        <w:pStyle w:val="4"/>
      </w:pPr>
      <w:r w:rsidRPr="001A4CF3">
        <w:rPr>
          <w:rFonts w:hint="eastAsia"/>
        </w:rPr>
        <w:lastRenderedPageBreak/>
        <w:t>车站附属用房内走道等疏散通道；</w:t>
      </w:r>
    </w:p>
    <w:p w14:paraId="1FB01624" w14:textId="1C643D59" w:rsidR="005137CA" w:rsidRPr="001A4CF3" w:rsidRDefault="005137CA" w:rsidP="00A926BD">
      <w:pPr>
        <w:pStyle w:val="4"/>
      </w:pPr>
      <w:r w:rsidRPr="001A4CF3">
        <w:rPr>
          <w:rFonts w:hint="eastAsia"/>
        </w:rPr>
        <w:t>区间隧道、</w:t>
      </w:r>
      <w:r w:rsidR="00C1563B" w:rsidRPr="00FD50F6">
        <w:rPr>
          <w:rFonts w:hint="eastAsia"/>
        </w:rPr>
        <w:t>区间联络通道</w:t>
      </w:r>
      <w:r w:rsidRPr="001A4CF3">
        <w:rPr>
          <w:rFonts w:hint="eastAsia"/>
        </w:rPr>
        <w:t>；</w:t>
      </w:r>
    </w:p>
    <w:p w14:paraId="414E2E28" w14:textId="77777777" w:rsidR="005137CA" w:rsidRPr="001A4CF3" w:rsidRDefault="005137CA" w:rsidP="00A926BD">
      <w:pPr>
        <w:pStyle w:val="4"/>
      </w:pPr>
      <w:r w:rsidRPr="001A4CF3">
        <w:rPr>
          <w:rFonts w:hint="eastAsia"/>
        </w:rPr>
        <w:t>车辆基地内的单体建筑物及控制中心大楼的疏散楼梯间、疏散通道、消防电梯间（含前室）。</w:t>
      </w:r>
    </w:p>
    <w:p w14:paraId="6F4D8E84" w14:textId="6B2310C3" w:rsidR="005137CA" w:rsidRPr="00FD50F6" w:rsidRDefault="005137CA" w:rsidP="00634619">
      <w:pPr>
        <w:pStyle w:val="30"/>
      </w:pPr>
      <w:r w:rsidRPr="00FD50F6">
        <w:t>下列部位应设置疏散指示标志：</w:t>
      </w:r>
    </w:p>
    <w:p w14:paraId="0D6163EE" w14:textId="77777777" w:rsidR="005137CA" w:rsidRPr="00FD50F6" w:rsidRDefault="005137CA" w:rsidP="00A926BD">
      <w:pPr>
        <w:pStyle w:val="4"/>
      </w:pPr>
      <w:r w:rsidRPr="001A4CF3">
        <w:rPr>
          <w:rFonts w:hint="eastAsia"/>
        </w:rPr>
        <w:t>车站站厅、站台公共区以及自动扶梯、自动人行道及楼梯口和出入口通道口；</w:t>
      </w:r>
    </w:p>
    <w:p w14:paraId="6C434C3E" w14:textId="77777777" w:rsidR="005137CA" w:rsidRPr="001A4CF3" w:rsidRDefault="005137CA" w:rsidP="00A926BD">
      <w:pPr>
        <w:pStyle w:val="4"/>
      </w:pPr>
      <w:r w:rsidRPr="00FD50F6">
        <w:rPr>
          <w:rFonts w:hint="eastAsia"/>
        </w:rPr>
        <w:t>车站附属用房内走道等疏散通道及安全出口；</w:t>
      </w:r>
      <w:r w:rsidRPr="00FD50F6">
        <w:t xml:space="preserve"> </w:t>
      </w:r>
    </w:p>
    <w:p w14:paraId="6CD0DBDC" w14:textId="4C9235F4" w:rsidR="005137CA" w:rsidRPr="001A4CF3" w:rsidRDefault="005137CA" w:rsidP="00A926BD">
      <w:pPr>
        <w:pStyle w:val="4"/>
      </w:pPr>
      <w:r w:rsidRPr="001A4CF3">
        <w:rPr>
          <w:rFonts w:hint="eastAsia"/>
        </w:rPr>
        <w:t>区间隧道、</w:t>
      </w:r>
      <w:r w:rsidR="00C1563B" w:rsidRPr="00FD50F6">
        <w:rPr>
          <w:rFonts w:hint="eastAsia"/>
        </w:rPr>
        <w:t>区间联络通道</w:t>
      </w:r>
      <w:r w:rsidRPr="001A4CF3">
        <w:rPr>
          <w:rFonts w:hint="eastAsia"/>
        </w:rPr>
        <w:t>；</w:t>
      </w:r>
    </w:p>
    <w:p w14:paraId="238F7225" w14:textId="77777777" w:rsidR="005137CA" w:rsidRPr="001A4CF3" w:rsidRDefault="005137CA" w:rsidP="00A926BD">
      <w:pPr>
        <w:pStyle w:val="4"/>
      </w:pPr>
      <w:r w:rsidRPr="001A4CF3">
        <w:rPr>
          <w:rFonts w:hint="eastAsia"/>
        </w:rPr>
        <w:t>车辆基地内的单体建筑物及控制中心大楼的疏散楼梯间、疏散通道及安全出口。</w:t>
      </w:r>
    </w:p>
    <w:p w14:paraId="0C27537D" w14:textId="2BDC1A29" w:rsidR="005137CA" w:rsidRPr="00FD50F6" w:rsidRDefault="005137CA" w:rsidP="00634619">
      <w:pPr>
        <w:pStyle w:val="30"/>
        <w:rPr>
          <w:rFonts w:eastAsia="黑体"/>
          <w:b/>
        </w:rPr>
      </w:pPr>
      <w:r w:rsidRPr="00FD50F6">
        <w:rPr>
          <w:rFonts w:hint="eastAsia"/>
        </w:rPr>
        <w:t>为消防设备、应急照明和疏散指示灯供电采用的电缆或电线应符合本</w:t>
      </w:r>
      <w:r w:rsidR="005B5114" w:rsidRPr="00FD50F6">
        <w:rPr>
          <w:rFonts w:hint="eastAsia"/>
        </w:rPr>
        <w:t>标准</w:t>
      </w:r>
      <w:r w:rsidRPr="00FD50F6">
        <w:rPr>
          <w:rFonts w:hint="eastAsia"/>
        </w:rPr>
        <w:t>第</w:t>
      </w:r>
      <w:r w:rsidRPr="00FD50F6">
        <w:t>1</w:t>
      </w:r>
      <w:r w:rsidR="00215B50" w:rsidRPr="00FD50F6">
        <w:t>6</w:t>
      </w:r>
      <w:r w:rsidRPr="00FD50F6">
        <w:t>.4</w:t>
      </w:r>
      <w:r w:rsidRPr="00FD50F6">
        <w:rPr>
          <w:rFonts w:hint="eastAsia"/>
        </w:rPr>
        <w:t>节</w:t>
      </w:r>
      <w:r w:rsidRPr="00FD50F6">
        <w:t>的规定</w:t>
      </w:r>
      <w:r w:rsidRPr="00FD50F6">
        <w:rPr>
          <w:rFonts w:eastAsia="黑体"/>
        </w:rPr>
        <w:t>。</w:t>
      </w:r>
    </w:p>
    <w:p w14:paraId="5BBA9057" w14:textId="35E46858" w:rsidR="005137CA" w:rsidRPr="00FD50F6" w:rsidRDefault="005137CA" w:rsidP="00634619">
      <w:pPr>
        <w:pStyle w:val="30"/>
      </w:pPr>
      <w:r w:rsidRPr="00FD50F6">
        <w:t>疏散指示标志的设置应符合下列</w:t>
      </w:r>
      <w:r w:rsidR="005B5114" w:rsidRPr="00FD50F6">
        <w:rPr>
          <w:rFonts w:hint="eastAsia"/>
        </w:rPr>
        <w:t>规定</w:t>
      </w:r>
      <w:r w:rsidRPr="00FD50F6">
        <w:t>：</w:t>
      </w:r>
    </w:p>
    <w:p w14:paraId="1F4040B6" w14:textId="77777777" w:rsidR="005137CA" w:rsidRPr="00FD50F6" w:rsidRDefault="005137CA" w:rsidP="00A926BD">
      <w:pPr>
        <w:pStyle w:val="4"/>
      </w:pPr>
      <w:r w:rsidRPr="00FD50F6">
        <w:t>疏散通道</w:t>
      </w:r>
      <w:r w:rsidRPr="00FD50F6">
        <w:rPr>
          <w:spacing w:val="-4"/>
        </w:rPr>
        <w:t>拐弯处、交叉口、沿通道长向每隔不大于</w:t>
      </w:r>
      <w:r w:rsidRPr="00FD50F6">
        <w:rPr>
          <w:spacing w:val="-4"/>
        </w:rPr>
        <w:t>10m</w:t>
      </w:r>
      <w:r w:rsidRPr="00FD50F6">
        <w:rPr>
          <w:spacing w:val="-4"/>
        </w:rPr>
        <w:t>处，</w:t>
      </w:r>
      <w:r w:rsidRPr="00FD50F6">
        <w:t>应设置灯光疏散指示标志，指示标志距地面应小于</w:t>
      </w:r>
      <w:r w:rsidRPr="00FD50F6">
        <w:t>1m</w:t>
      </w:r>
      <w:r w:rsidRPr="00FD50F6">
        <w:t>；</w:t>
      </w:r>
    </w:p>
    <w:p w14:paraId="7EFF3731" w14:textId="77777777" w:rsidR="005137CA" w:rsidRPr="00FD50F6" w:rsidRDefault="005137CA" w:rsidP="00A926BD">
      <w:pPr>
        <w:pStyle w:val="4"/>
      </w:pPr>
      <w:r w:rsidRPr="00FD50F6">
        <w:t>疏散门、安全出口应设置灯光疏散指示标志，并宜设置在门洞正上方；</w:t>
      </w:r>
    </w:p>
    <w:p w14:paraId="1FF55208" w14:textId="2A5405AF" w:rsidR="005137CA" w:rsidRPr="00FD50F6" w:rsidRDefault="005137CA" w:rsidP="00A926BD">
      <w:pPr>
        <w:pStyle w:val="4"/>
      </w:pPr>
      <w:r w:rsidRPr="00FD50F6">
        <w:t>车站公共区的站台、站厅乘客疏散路线和疏散通道等人员密集部位的地面上，以及疏散楼梯台阶侧立面，应设蓄光疏散指示标志，并应保持视觉连续</w:t>
      </w:r>
      <w:r w:rsidRPr="00FD50F6">
        <w:rPr>
          <w:rFonts w:hint="eastAsia"/>
        </w:rPr>
        <w:t>；</w:t>
      </w:r>
    </w:p>
    <w:p w14:paraId="518AFABE" w14:textId="0847CA40" w:rsidR="005137CA" w:rsidRPr="00FD50F6" w:rsidRDefault="005137CA" w:rsidP="00A926BD">
      <w:pPr>
        <w:pStyle w:val="4"/>
      </w:pPr>
      <w:r w:rsidRPr="00AA0E76">
        <w:rPr>
          <w:rFonts w:hint="eastAsia"/>
        </w:rPr>
        <w:t>地下</w:t>
      </w:r>
      <w:r w:rsidRPr="00FD50F6">
        <w:rPr>
          <w:rFonts w:hint="eastAsia"/>
        </w:rPr>
        <w:t>区间应在列车行进方向右侧墙面上</w:t>
      </w:r>
      <w:r w:rsidRPr="00FD50F6">
        <w:rPr>
          <w:rFonts w:hint="eastAsia"/>
          <w:szCs w:val="18"/>
        </w:rPr>
        <w:t>距道床面</w:t>
      </w:r>
      <w:r w:rsidRPr="00FD50F6">
        <w:rPr>
          <w:szCs w:val="18"/>
        </w:rPr>
        <w:t>1.5m</w:t>
      </w:r>
      <w:r w:rsidRPr="00FD50F6">
        <w:rPr>
          <w:rFonts w:hint="eastAsia"/>
          <w:szCs w:val="18"/>
        </w:rPr>
        <w:t>高度处</w:t>
      </w:r>
      <w:r w:rsidRPr="00FD50F6">
        <w:rPr>
          <w:rFonts w:hint="eastAsia"/>
        </w:rPr>
        <w:t>设置疏散指示标志，标志应</w:t>
      </w:r>
      <w:r w:rsidR="00971B7E" w:rsidRPr="00FD50F6">
        <w:rPr>
          <w:rFonts w:hint="eastAsia"/>
        </w:rPr>
        <w:t>采</w:t>
      </w:r>
      <w:r w:rsidRPr="00FD50F6">
        <w:rPr>
          <w:rFonts w:hint="eastAsia"/>
        </w:rPr>
        <w:t>用箭头指向相邻车站、相邻</w:t>
      </w:r>
      <w:r w:rsidR="00C1563B" w:rsidRPr="00FD50F6">
        <w:rPr>
          <w:rFonts w:hint="eastAsia"/>
        </w:rPr>
        <w:t>区间联络通道</w:t>
      </w:r>
      <w:r w:rsidRPr="00FD50F6">
        <w:rPr>
          <w:rFonts w:hint="eastAsia"/>
        </w:rPr>
        <w:t>口或隧道口，并</w:t>
      </w:r>
      <w:r w:rsidR="0016310B">
        <w:rPr>
          <w:rFonts w:hint="eastAsia"/>
        </w:rPr>
        <w:t>应</w:t>
      </w:r>
      <w:r w:rsidRPr="00FD50F6">
        <w:rPr>
          <w:rFonts w:hint="eastAsia"/>
        </w:rPr>
        <w:t>标明</w:t>
      </w:r>
      <w:r w:rsidR="00DA0531" w:rsidRPr="00FD50F6">
        <w:rPr>
          <w:rFonts w:hint="eastAsia"/>
        </w:rPr>
        <w:t>箭头位置与相邻车站、相邻</w:t>
      </w:r>
      <w:r w:rsidR="00C1563B" w:rsidRPr="00FD50F6">
        <w:rPr>
          <w:rFonts w:hint="eastAsia"/>
        </w:rPr>
        <w:t>区间联络通道</w:t>
      </w:r>
      <w:r w:rsidR="00DA0531" w:rsidRPr="00FD50F6">
        <w:rPr>
          <w:rFonts w:hint="eastAsia"/>
        </w:rPr>
        <w:t>口或隧道口</w:t>
      </w:r>
      <w:r w:rsidRPr="00FD50F6">
        <w:rPr>
          <w:rFonts w:hint="eastAsia"/>
        </w:rPr>
        <w:t>之间的距离，疏散指示标志设置的间隔距离不应大于</w:t>
      </w:r>
      <w:r w:rsidRPr="00FD50F6">
        <w:rPr>
          <w:rFonts w:hint="eastAsia"/>
        </w:rPr>
        <w:t>50m</w:t>
      </w:r>
      <w:r w:rsidRPr="00FD50F6">
        <w:rPr>
          <w:rFonts w:hint="eastAsia"/>
        </w:rPr>
        <w:t>。</w:t>
      </w:r>
      <w:bookmarkEnd w:id="1320"/>
    </w:p>
    <w:p w14:paraId="43F7224D" w14:textId="29808DB9" w:rsidR="00FF2795" w:rsidRPr="00FD50F6" w:rsidRDefault="00FF2795" w:rsidP="00A65181">
      <w:pPr>
        <w:pStyle w:val="2"/>
      </w:pPr>
      <w:bookmarkStart w:id="1321" w:name="_Toc112830884"/>
      <w:bookmarkEnd w:id="1252"/>
      <w:bookmarkEnd w:id="1253"/>
      <w:bookmarkEnd w:id="1254"/>
      <w:bookmarkEnd w:id="1255"/>
      <w:bookmarkEnd w:id="1256"/>
      <w:r w:rsidRPr="00FD50F6">
        <w:rPr>
          <w:rFonts w:hint="eastAsia"/>
        </w:rPr>
        <w:t>防水淹</w:t>
      </w:r>
      <w:bookmarkEnd w:id="1321"/>
    </w:p>
    <w:p w14:paraId="0B635359" w14:textId="77777777" w:rsidR="00DC5D98" w:rsidRPr="00FD50F6" w:rsidRDefault="00DC5D98" w:rsidP="00DC5D98">
      <w:pPr>
        <w:pStyle w:val="30"/>
      </w:pPr>
      <w:r w:rsidRPr="00FD50F6">
        <w:rPr>
          <w:rFonts w:hint="eastAsia"/>
        </w:rPr>
        <w:t>地下车站与区间隧道的地面人员出入口、安全出口、无障碍出入口等附属建筑防水淹设计应符合下列规定：</w:t>
      </w:r>
    </w:p>
    <w:p w14:paraId="7C8136CC" w14:textId="77777777" w:rsidR="00DC5D98" w:rsidRPr="00FD50F6" w:rsidRDefault="00DC5D98" w:rsidP="00A926BD">
      <w:pPr>
        <w:pStyle w:val="4"/>
      </w:pPr>
      <w:r w:rsidRPr="00FD50F6">
        <w:t>室外地面标高不应低于所在区域的设计内涝水位和洪（潮）水位；</w:t>
      </w:r>
    </w:p>
    <w:p w14:paraId="04203C87" w14:textId="77777777" w:rsidR="00DC5D98" w:rsidRPr="00FD50F6" w:rsidRDefault="00DC5D98" w:rsidP="00A926BD">
      <w:pPr>
        <w:pStyle w:val="4"/>
      </w:pPr>
      <w:r w:rsidRPr="00FD50F6">
        <w:t>室内地面标高应高于室外地面不小于</w:t>
      </w:r>
      <w:r w:rsidRPr="00FD50F6">
        <w:t>0.50m</w:t>
      </w:r>
      <w:r w:rsidRPr="00FD50F6">
        <w:t>，且开口部位应设置高度不小</w:t>
      </w:r>
      <w:r w:rsidRPr="00FD50F6">
        <w:lastRenderedPageBreak/>
        <w:t>于</w:t>
      </w:r>
      <w:r w:rsidRPr="00FD50F6">
        <w:t>0.50m</w:t>
      </w:r>
      <w:r w:rsidRPr="00FD50F6">
        <w:t>的主动防淹挡水装置；</w:t>
      </w:r>
    </w:p>
    <w:p w14:paraId="63BEC9CD" w14:textId="77777777" w:rsidR="00DC5D98" w:rsidRPr="00FD50F6" w:rsidRDefault="00DC5D98" w:rsidP="00A926BD">
      <w:pPr>
        <w:pStyle w:val="4"/>
      </w:pPr>
      <w:r w:rsidRPr="00FD50F6">
        <w:t>当不满足本条第</w:t>
      </w:r>
      <w:r w:rsidRPr="00FD50F6">
        <w:t>1</w:t>
      </w:r>
      <w:r w:rsidRPr="00FD50F6">
        <w:t>款规定或设置在城市防洪保护区之外时，附属建筑口部或出入口通道内应设置防淹封闭措施。</w:t>
      </w:r>
    </w:p>
    <w:p w14:paraId="2950B79C" w14:textId="77777777" w:rsidR="00DC5D98" w:rsidRPr="00FD50F6" w:rsidRDefault="00DC5D98" w:rsidP="00DC5D98">
      <w:pPr>
        <w:pStyle w:val="30"/>
      </w:pPr>
      <w:r w:rsidRPr="00FD50F6">
        <w:rPr>
          <w:rFonts w:hint="eastAsia"/>
        </w:rPr>
        <w:t>地下车站与区间隧道的风亭（井）防水淹设计应符合下列规定：</w:t>
      </w:r>
    </w:p>
    <w:p w14:paraId="18A091FF" w14:textId="77777777" w:rsidR="00DC5D98" w:rsidRPr="00FD50F6" w:rsidRDefault="00DC5D98" w:rsidP="00A926BD">
      <w:pPr>
        <w:pStyle w:val="4"/>
      </w:pPr>
      <w:r w:rsidRPr="00FD50F6">
        <w:t>风亭（</w:t>
      </w:r>
      <w:r w:rsidRPr="00FD50F6">
        <w:rPr>
          <w:rFonts w:hint="eastAsia"/>
        </w:rPr>
        <w:t>井</w:t>
      </w:r>
      <w:r w:rsidRPr="00FD50F6">
        <w:t>）开口的底部标高应高于所在区域的设计内涝水位和洪（潮）水位不小于</w:t>
      </w:r>
      <w:r w:rsidRPr="00FD50F6">
        <w:t>1.00m</w:t>
      </w:r>
      <w:r w:rsidRPr="00FD50F6">
        <w:t>，且应符合本标准第</w:t>
      </w:r>
      <w:r w:rsidRPr="00FD50F6">
        <w:t>10.6</w:t>
      </w:r>
      <w:r w:rsidRPr="00FD50F6">
        <w:t>节的有关规定；</w:t>
      </w:r>
    </w:p>
    <w:p w14:paraId="630DB18F" w14:textId="77777777" w:rsidR="00DC5D98" w:rsidRPr="00FD50F6" w:rsidRDefault="00DC5D98" w:rsidP="00A926BD">
      <w:pPr>
        <w:pStyle w:val="4"/>
        <w:rPr>
          <w:rFonts w:ascii="宋体" w:hAnsi="宋体"/>
          <w:szCs w:val="24"/>
        </w:rPr>
      </w:pPr>
      <w:r w:rsidRPr="00FD50F6">
        <w:t>当不满足本条第</w:t>
      </w:r>
      <w:r w:rsidRPr="00FD50F6">
        <w:t>1</w:t>
      </w:r>
      <w:r w:rsidRPr="00FD50F6">
        <w:t>款规定或设置在城市防洪保护区之外时，风亭（</w:t>
      </w:r>
      <w:r w:rsidRPr="00FD50F6">
        <w:rPr>
          <w:rFonts w:hint="eastAsia"/>
        </w:rPr>
        <w:t>井</w:t>
      </w:r>
      <w:r w:rsidRPr="00FD50F6">
        <w:t>）口部或风道内应设置防淹封闭措施</w:t>
      </w:r>
      <w:r w:rsidRPr="00FD50F6">
        <w:rPr>
          <w:rFonts w:hint="eastAsia"/>
        </w:rPr>
        <w:t>。</w:t>
      </w:r>
    </w:p>
    <w:p w14:paraId="1F61B78F" w14:textId="77777777" w:rsidR="00DC5D98" w:rsidRPr="00FD50F6" w:rsidRDefault="00DC5D98" w:rsidP="00DC5D98">
      <w:pPr>
        <w:pStyle w:val="30"/>
      </w:pPr>
      <w:r w:rsidRPr="00FD50F6">
        <w:rPr>
          <w:rFonts w:hint="eastAsia"/>
        </w:rPr>
        <w:t>隧道洞口敞开段的防水淹设计应符合下列规定：</w:t>
      </w:r>
    </w:p>
    <w:p w14:paraId="02CB9F0D" w14:textId="77777777" w:rsidR="00DC5D98" w:rsidRPr="00FD50F6" w:rsidRDefault="00DC5D98" w:rsidP="00A926BD">
      <w:pPr>
        <w:pStyle w:val="4"/>
      </w:pPr>
      <w:r w:rsidRPr="00FD50F6">
        <w:t>敞开段周围应设置高度不小于</w:t>
      </w:r>
      <w:r w:rsidRPr="00FD50F6">
        <w:t>1.00m</w:t>
      </w:r>
      <w:r w:rsidRPr="00FD50F6">
        <w:t>的</w:t>
      </w:r>
      <w:r w:rsidRPr="00FD50F6">
        <w:t>U</w:t>
      </w:r>
      <w:r w:rsidRPr="00FD50F6">
        <w:t>型实体挡水墙，挡水墙顶面标高应高于所在区域的设计内涝水位和洪（潮）水位不小于</w:t>
      </w:r>
      <w:r w:rsidRPr="00FD50F6">
        <w:t>1.00m</w:t>
      </w:r>
      <w:r w:rsidRPr="00FD50F6">
        <w:t>；</w:t>
      </w:r>
    </w:p>
    <w:p w14:paraId="58A16EBE" w14:textId="77777777" w:rsidR="00DC5D98" w:rsidRPr="00FD50F6" w:rsidRDefault="00DC5D98" w:rsidP="00A926BD">
      <w:pPr>
        <w:pStyle w:val="4"/>
      </w:pPr>
      <w:r w:rsidRPr="00FD50F6">
        <w:t>车辆基地内的敞开段与地面区间交接处的路肩标高应高于所在区域的设计内涝水位和洪（潮）水位不小于</w:t>
      </w:r>
      <w:r w:rsidRPr="00FD50F6">
        <w:t>0.50m</w:t>
      </w:r>
      <w:r w:rsidRPr="00FD50F6">
        <w:t>，其他敞开段应不小于</w:t>
      </w:r>
      <w:r w:rsidRPr="00FD50F6">
        <w:t>1.00m</w:t>
      </w:r>
      <w:r w:rsidRPr="00FD50F6">
        <w:t>；</w:t>
      </w:r>
    </w:p>
    <w:p w14:paraId="442251A2" w14:textId="77777777" w:rsidR="00DC5D98" w:rsidRPr="00FD50F6" w:rsidRDefault="00DC5D98" w:rsidP="00A926BD">
      <w:pPr>
        <w:pStyle w:val="4"/>
      </w:pPr>
      <w:r w:rsidRPr="00FD50F6">
        <w:t>靠近敞开段的地下车站与区间隧道连接处应设置防淹封闭措施；</w:t>
      </w:r>
    </w:p>
    <w:p w14:paraId="73A27FD3" w14:textId="56501D12" w:rsidR="00DC5D98" w:rsidRPr="00FD50F6" w:rsidRDefault="00DC5D98" w:rsidP="00A926BD">
      <w:pPr>
        <w:pStyle w:val="4"/>
      </w:pPr>
      <w:r w:rsidRPr="00FD50F6">
        <w:t>敞开段周围应设置截水、排水设施，</w:t>
      </w:r>
      <w:r w:rsidR="00085AB4" w:rsidRPr="00BF2787">
        <w:rPr>
          <w:rFonts w:ascii="仿宋" w:eastAsia="仿宋" w:hAnsi="仿宋" w:hint="eastAsia"/>
          <w:szCs w:val="24"/>
        </w:rPr>
        <w:t>其</w:t>
      </w:r>
      <w:r w:rsidRPr="00FD50F6">
        <w:t>排水应排至周围道路、路基等排水系统，不应进入隧道；</w:t>
      </w:r>
    </w:p>
    <w:p w14:paraId="3C0EC8E6" w14:textId="77777777" w:rsidR="00DC5D98" w:rsidRPr="00FD50F6" w:rsidRDefault="00DC5D98" w:rsidP="00A926BD">
      <w:pPr>
        <w:pStyle w:val="4"/>
      </w:pPr>
      <w:r w:rsidRPr="00FD50F6">
        <w:t>敞开段宜设置防雨雪棚</w:t>
      </w:r>
      <w:r w:rsidRPr="00FD50F6">
        <w:rPr>
          <w:rFonts w:hint="eastAsia"/>
        </w:rPr>
        <w:t>。</w:t>
      </w:r>
    </w:p>
    <w:p w14:paraId="1E3DF427" w14:textId="77777777" w:rsidR="00DC5D98" w:rsidRPr="00FD50F6" w:rsidRDefault="00DC5D98" w:rsidP="00DC5D98">
      <w:pPr>
        <w:pStyle w:val="30"/>
      </w:pPr>
      <w:r w:rsidRPr="00FD50F6">
        <w:rPr>
          <w:rFonts w:hint="eastAsia"/>
        </w:rPr>
        <w:t>与地铁工程地下空间连通的其他功能设施的防水淹设计应符合下列规定：</w:t>
      </w:r>
    </w:p>
    <w:p w14:paraId="49CC326A" w14:textId="77777777" w:rsidR="00DC5D98" w:rsidRPr="00FD50F6" w:rsidRDefault="00DC5D98" w:rsidP="00A926BD">
      <w:pPr>
        <w:pStyle w:val="4"/>
      </w:pPr>
      <w:r w:rsidRPr="00FD50F6">
        <w:rPr>
          <w:rFonts w:hint="eastAsia"/>
        </w:rPr>
        <w:t>防水淹设计标准不应低于地铁工程设计标准；</w:t>
      </w:r>
    </w:p>
    <w:p w14:paraId="39B6F9D4" w14:textId="77777777" w:rsidR="00DC5D98" w:rsidRPr="00FD50F6" w:rsidRDefault="00DC5D98" w:rsidP="00A926BD">
      <w:pPr>
        <w:pStyle w:val="4"/>
      </w:pPr>
      <w:r w:rsidRPr="00FD50F6">
        <w:rPr>
          <w:rFonts w:hint="eastAsia"/>
        </w:rPr>
        <w:t>当不满足本条第</w:t>
      </w:r>
      <w:r w:rsidRPr="00FD50F6">
        <w:rPr>
          <w:rFonts w:hint="eastAsia"/>
        </w:rPr>
        <w:t>1</w:t>
      </w:r>
      <w:r w:rsidRPr="00FD50F6">
        <w:rPr>
          <w:rFonts w:hint="eastAsia"/>
        </w:rPr>
        <w:t>款规定时，</w:t>
      </w:r>
      <w:r w:rsidRPr="00FD50F6">
        <w:t>与</w:t>
      </w:r>
      <w:r w:rsidRPr="00FD50F6">
        <w:rPr>
          <w:rFonts w:hint="eastAsia"/>
        </w:rPr>
        <w:t>地铁</w:t>
      </w:r>
      <w:r w:rsidRPr="00FD50F6">
        <w:t>地下空间</w:t>
      </w:r>
      <w:r w:rsidRPr="00FD50F6">
        <w:rPr>
          <w:rFonts w:hint="eastAsia"/>
        </w:rPr>
        <w:t>的</w:t>
      </w:r>
      <w:r w:rsidRPr="00FD50F6">
        <w:t>连通口部</w:t>
      </w:r>
      <w:r w:rsidRPr="00FD50F6">
        <w:rPr>
          <w:rFonts w:hint="eastAsia"/>
        </w:rPr>
        <w:t>应</w:t>
      </w:r>
      <w:r w:rsidRPr="00FD50F6">
        <w:t>设置</w:t>
      </w:r>
      <w:r w:rsidRPr="00FD50F6">
        <w:rPr>
          <w:rFonts w:hint="eastAsia"/>
        </w:rPr>
        <w:t>防淹门等防淹封闭措施；</w:t>
      </w:r>
    </w:p>
    <w:p w14:paraId="3B9B1461" w14:textId="77777777" w:rsidR="00DC5D98" w:rsidRPr="00FD50F6" w:rsidRDefault="00DC5D98" w:rsidP="00A926BD">
      <w:pPr>
        <w:pStyle w:val="4"/>
      </w:pPr>
      <w:r w:rsidRPr="00FD50F6">
        <w:t>与</w:t>
      </w:r>
      <w:r w:rsidRPr="00FD50F6">
        <w:rPr>
          <w:rFonts w:hint="eastAsia"/>
        </w:rPr>
        <w:t>地铁</w:t>
      </w:r>
      <w:r w:rsidRPr="00FD50F6">
        <w:t>地下空间</w:t>
      </w:r>
      <w:r w:rsidRPr="00FD50F6">
        <w:rPr>
          <w:rFonts w:hint="eastAsia"/>
        </w:rPr>
        <w:t>连通处的地面应设置截水沟，且排水不应向地铁方向找坡。</w:t>
      </w:r>
    </w:p>
    <w:p w14:paraId="4769A953" w14:textId="77777777" w:rsidR="00DC5D98" w:rsidRPr="00FD50F6" w:rsidRDefault="00DC5D98" w:rsidP="00DC5D98">
      <w:pPr>
        <w:pStyle w:val="30"/>
      </w:pPr>
      <w:r w:rsidRPr="00FD50F6">
        <w:rPr>
          <w:rFonts w:hint="eastAsia"/>
        </w:rPr>
        <w:t>下穿江河湖海等水域的区间隧道两端应设置防淹封闭措施。</w:t>
      </w:r>
    </w:p>
    <w:p w14:paraId="32EC1E30" w14:textId="71C14DCC" w:rsidR="00085AB4" w:rsidRPr="00E605C5" w:rsidRDefault="00085AB4" w:rsidP="00085AB4">
      <w:pPr>
        <w:pStyle w:val="30"/>
      </w:pPr>
      <w:r w:rsidRPr="00AE3A9F">
        <w:rPr>
          <w:rFonts w:hint="eastAsia"/>
        </w:rPr>
        <w:t>车辆基地线路路肩高程应根据基地附近内涝、洪（潮）水位和周边道路高程设计。沿海或江河附近地区车辆基地的车场线路路肩设计高程不应小于</w:t>
      </w:r>
      <w:r w:rsidRPr="00AE3A9F">
        <w:rPr>
          <w:rFonts w:hint="eastAsia"/>
        </w:rPr>
        <w:t>1/100</w:t>
      </w:r>
      <w:r w:rsidRPr="00AE3A9F">
        <w:rPr>
          <w:rFonts w:hint="eastAsia"/>
        </w:rPr>
        <w:t>洪水频率标准的洪（潮）水位、波浪爬高值和安全高之和，安全高取值不应小于</w:t>
      </w:r>
      <w:r w:rsidRPr="00AE3A9F">
        <w:rPr>
          <w:rFonts w:hint="eastAsia"/>
        </w:rPr>
        <w:t>0.5m</w:t>
      </w:r>
      <w:r w:rsidRPr="00AE3A9F">
        <w:rPr>
          <w:rFonts w:hint="eastAsia"/>
        </w:rPr>
        <w:t>。当受内涝水位控制时，防淹设计应符合下列规定：</w:t>
      </w:r>
    </w:p>
    <w:p w14:paraId="274EDEEC" w14:textId="4AF98A0E" w:rsidR="00085AB4" w:rsidRPr="00B412D9" w:rsidRDefault="00085AB4" w:rsidP="00085AB4">
      <w:pPr>
        <w:pStyle w:val="4"/>
      </w:pPr>
      <w:r w:rsidRPr="00B412D9">
        <w:rPr>
          <w:rFonts w:hint="eastAsia"/>
        </w:rPr>
        <w:t>站场线路路肩高程应按内涝水位加不小于</w:t>
      </w:r>
      <w:r w:rsidRPr="00B412D9">
        <w:rPr>
          <w:rFonts w:hint="eastAsia"/>
        </w:rPr>
        <w:t>0.50m</w:t>
      </w:r>
      <w:r w:rsidRPr="00B412D9">
        <w:rPr>
          <w:rFonts w:hint="eastAsia"/>
        </w:rPr>
        <w:t>的安全高确定，且应高于周边道路不小于</w:t>
      </w:r>
      <w:r w:rsidRPr="00B412D9">
        <w:rPr>
          <w:rFonts w:hint="eastAsia"/>
        </w:rPr>
        <w:t>0.50m</w:t>
      </w:r>
      <w:r>
        <w:rPr>
          <w:rFonts w:hint="eastAsia"/>
        </w:rPr>
        <w:t>。</w:t>
      </w:r>
    </w:p>
    <w:p w14:paraId="17CAC227" w14:textId="52F4B960" w:rsidR="00085AB4" w:rsidRPr="00B412D9" w:rsidRDefault="00085AB4" w:rsidP="00085AB4">
      <w:pPr>
        <w:pStyle w:val="4"/>
      </w:pPr>
      <w:r w:rsidRPr="00B412D9">
        <w:rPr>
          <w:rFonts w:hint="eastAsia"/>
        </w:rPr>
        <w:t>当站场线路路肩设计高程低内涝水位或周边道路时，应设置防淹挡水设施。</w:t>
      </w:r>
      <w:r w:rsidRPr="00B412D9">
        <w:rPr>
          <w:rFonts w:hint="eastAsia"/>
        </w:rPr>
        <w:lastRenderedPageBreak/>
        <w:t>防淹设施高度应高于内涝水位加不小于</w:t>
      </w:r>
      <w:r w:rsidRPr="00B412D9">
        <w:rPr>
          <w:rFonts w:hint="eastAsia"/>
        </w:rPr>
        <w:t>0.5m</w:t>
      </w:r>
      <w:r w:rsidRPr="00B412D9">
        <w:rPr>
          <w:rFonts w:hint="eastAsia"/>
        </w:rPr>
        <w:t>安全高，且应高于周边道路不小于</w:t>
      </w:r>
      <w:r w:rsidRPr="00B412D9">
        <w:rPr>
          <w:rFonts w:hint="eastAsia"/>
        </w:rPr>
        <w:t>0.50m</w:t>
      </w:r>
      <w:r w:rsidRPr="00B412D9">
        <w:rPr>
          <w:rFonts w:hint="eastAsia"/>
        </w:rPr>
        <w:t>。</w:t>
      </w:r>
    </w:p>
    <w:p w14:paraId="58871168" w14:textId="4DAFD44C" w:rsidR="00085AB4" w:rsidRPr="00B412D9" w:rsidRDefault="00085AB4" w:rsidP="00085AB4">
      <w:pPr>
        <w:pStyle w:val="4"/>
      </w:pPr>
      <w:r w:rsidRPr="00B412D9">
        <w:rPr>
          <w:rFonts w:hint="eastAsia"/>
        </w:rPr>
        <w:t>对外交通出入口道路应向外设置不小于</w:t>
      </w:r>
      <w:r w:rsidRPr="00B412D9">
        <w:rPr>
          <w:rFonts w:hint="eastAsia"/>
        </w:rPr>
        <w:t>0.50m</w:t>
      </w:r>
      <w:r w:rsidRPr="00B412D9">
        <w:rPr>
          <w:rFonts w:hint="eastAsia"/>
        </w:rPr>
        <w:t>的反坡，并应按满足内涝水位加不小于</w:t>
      </w:r>
      <w:r w:rsidRPr="00B412D9">
        <w:rPr>
          <w:rFonts w:hint="eastAsia"/>
        </w:rPr>
        <w:t>0.50</w:t>
      </w:r>
      <w:r w:rsidRPr="00B412D9">
        <w:rPr>
          <w:rFonts w:hint="eastAsia"/>
        </w:rPr>
        <w:t>安全高配置防淹挡水设施。</w:t>
      </w:r>
    </w:p>
    <w:p w14:paraId="26B71DD6" w14:textId="3D88F2E7" w:rsidR="00DC5D98" w:rsidRPr="00FD50F6" w:rsidRDefault="00085AB4" w:rsidP="00085AB4">
      <w:pPr>
        <w:pStyle w:val="4"/>
      </w:pPr>
      <w:r w:rsidRPr="00B412D9">
        <w:rPr>
          <w:rFonts w:hint="eastAsia"/>
        </w:rPr>
        <w:t>车辆基地变电所应按内涝水位加不小于</w:t>
      </w:r>
      <w:r w:rsidRPr="00B412D9">
        <w:rPr>
          <w:rFonts w:hint="eastAsia"/>
        </w:rPr>
        <w:t>0.5m</w:t>
      </w:r>
      <w:r w:rsidRPr="00B412D9">
        <w:rPr>
          <w:rFonts w:hint="eastAsia"/>
        </w:rPr>
        <w:t>安全高进行防淹设计。当车辆基地采用机械排水时，变电所应按设计场坪标高加不小于</w:t>
      </w:r>
      <w:r w:rsidRPr="00B412D9">
        <w:rPr>
          <w:rFonts w:hint="eastAsia"/>
        </w:rPr>
        <w:t>1.0m</w:t>
      </w:r>
      <w:r w:rsidRPr="00B412D9">
        <w:rPr>
          <w:rFonts w:hint="eastAsia"/>
        </w:rPr>
        <w:t>安全高进行防淹设计</w:t>
      </w:r>
      <w:r w:rsidR="00DC5D98" w:rsidRPr="00FD50F6">
        <w:rPr>
          <w:rFonts w:hint="eastAsia"/>
        </w:rPr>
        <w:t>。</w:t>
      </w:r>
    </w:p>
    <w:p w14:paraId="5A0068BE" w14:textId="77777777" w:rsidR="00DC5D98" w:rsidRPr="00FD50F6" w:rsidRDefault="00DC5D98" w:rsidP="00DC5D98">
      <w:pPr>
        <w:pStyle w:val="30"/>
      </w:pPr>
      <w:r w:rsidRPr="00FD50F6">
        <w:rPr>
          <w:rFonts w:hint="eastAsia"/>
        </w:rPr>
        <w:t>地下车站与区间隧道排水设计应符合本标准第</w:t>
      </w:r>
      <w:r w:rsidRPr="00FD50F6">
        <w:t>15</w:t>
      </w:r>
      <w:r w:rsidRPr="00FD50F6">
        <w:t>章的规定；车辆基地轨行区排水设计应符合现行国家行业标准《铁路路基设计规范》</w:t>
      </w:r>
      <w:r w:rsidRPr="00FD50F6">
        <w:t>TB 10001</w:t>
      </w:r>
      <w:r w:rsidRPr="00FD50F6">
        <w:t>的规定；车辆基地其他区域排水设计应符合现行国家标准《室外排水设计标准》</w:t>
      </w:r>
      <w:r w:rsidRPr="00FD50F6">
        <w:t>GB 50014</w:t>
      </w:r>
      <w:r w:rsidRPr="00FD50F6">
        <w:t>的规定</w:t>
      </w:r>
      <w:r w:rsidRPr="00FD50F6">
        <w:rPr>
          <w:rFonts w:hint="eastAsia"/>
        </w:rPr>
        <w:t>。</w:t>
      </w:r>
    </w:p>
    <w:p w14:paraId="5CBF1E3C" w14:textId="77777777" w:rsidR="00DC5D98" w:rsidRPr="00FD50F6" w:rsidRDefault="00DC5D98" w:rsidP="00DC5D98">
      <w:pPr>
        <w:pStyle w:val="30"/>
      </w:pPr>
      <w:r w:rsidRPr="00FD50F6">
        <w:rPr>
          <w:rFonts w:hint="eastAsia"/>
        </w:rPr>
        <w:t>地铁防水淹监测设施应符合下列规定：</w:t>
      </w:r>
    </w:p>
    <w:p w14:paraId="2AF7BC24" w14:textId="77777777" w:rsidR="00DC5D98" w:rsidRPr="00FD50F6" w:rsidRDefault="00DC5D98" w:rsidP="00A926BD">
      <w:pPr>
        <w:pStyle w:val="4"/>
      </w:pPr>
      <w:r w:rsidRPr="00FD50F6">
        <w:t>地下车站、隧道洞口敞开段、车辆基地及控制中心应设置雨量传感器；</w:t>
      </w:r>
    </w:p>
    <w:p w14:paraId="7CF96A78" w14:textId="77777777" w:rsidR="00DC5D98" w:rsidRPr="00FD50F6" w:rsidRDefault="00DC5D98" w:rsidP="00A926BD">
      <w:pPr>
        <w:pStyle w:val="4"/>
      </w:pPr>
      <w:r w:rsidRPr="00FD50F6">
        <w:t>地下车站各类口部、隧道洞口敞开段的挡水墙外侧、车辆基地对外出入口、控制中心地下室出入口的室外地面以及隧道内的各相对低点应设置水位监测传感器；</w:t>
      </w:r>
    </w:p>
    <w:p w14:paraId="675A5522" w14:textId="77777777" w:rsidR="00184262" w:rsidRPr="00FD50F6" w:rsidRDefault="00DC5D98" w:rsidP="00A926BD">
      <w:pPr>
        <w:pStyle w:val="4"/>
      </w:pPr>
      <w:r w:rsidRPr="00FD50F6">
        <w:t>在地下车站人员出入口、车站站台层及站厅层、车辆基地对外出入口、控制中心地下室出入口的明显且便于观察的位置处应设置水位尺</w:t>
      </w:r>
      <w:r w:rsidR="00184262" w:rsidRPr="00FD50F6">
        <w:rPr>
          <w:rFonts w:hint="eastAsia"/>
        </w:rPr>
        <w:t>；</w:t>
      </w:r>
    </w:p>
    <w:p w14:paraId="0776830B" w14:textId="2C476DEA" w:rsidR="00DC5D98" w:rsidRPr="00FD50F6" w:rsidRDefault="00184262" w:rsidP="00A926BD">
      <w:pPr>
        <w:pStyle w:val="4"/>
      </w:pPr>
      <w:r w:rsidRPr="00FD50F6">
        <w:rPr>
          <w:rFonts w:hint="eastAsia"/>
        </w:rPr>
        <w:t>防水淹监测点应设置图像或视频采集装置</w:t>
      </w:r>
      <w:r w:rsidR="00DC5D98" w:rsidRPr="00FD50F6">
        <w:rPr>
          <w:rFonts w:hint="eastAsia"/>
        </w:rPr>
        <w:t>。</w:t>
      </w:r>
    </w:p>
    <w:p w14:paraId="688E03CD" w14:textId="3580907B" w:rsidR="00DC5D98" w:rsidRPr="00FD50F6" w:rsidRDefault="00DC5D98" w:rsidP="001A4CF3">
      <w:pPr>
        <w:pStyle w:val="30"/>
      </w:pPr>
      <w:r w:rsidRPr="00FD50F6">
        <w:rPr>
          <w:rFonts w:hint="eastAsia"/>
        </w:rPr>
        <w:t>雨量传感器</w:t>
      </w:r>
      <w:r w:rsidR="00184262" w:rsidRPr="00FD50F6">
        <w:rPr>
          <w:rFonts w:hint="eastAsia"/>
        </w:rPr>
        <w:t>、</w:t>
      </w:r>
      <w:r w:rsidRPr="00FD50F6">
        <w:rPr>
          <w:rFonts w:hint="eastAsia"/>
        </w:rPr>
        <w:t>水位监测传感器</w:t>
      </w:r>
      <w:r w:rsidR="00184262" w:rsidRPr="00FD50F6">
        <w:rPr>
          <w:rFonts w:hint="eastAsia"/>
        </w:rPr>
        <w:t>、防水淹图像或视频采集装置、主动防淹挡水装置、防淹门及其他防水淹设备</w:t>
      </w:r>
      <w:r w:rsidRPr="00FD50F6">
        <w:rPr>
          <w:rFonts w:hint="eastAsia"/>
        </w:rPr>
        <w:t>的监测数据应传送至车站级环境与设备监控系统，并由综合监控系统将数据传送至线路控制中心及线网指挥中心；车站级监控系统应具备自动联动相关排水设备启停的功能和按照指挥命令启动相关防淹设施的功能，并应实时监控设备设施的运行情况。</w:t>
      </w:r>
    </w:p>
    <w:p w14:paraId="0DAC54B5" w14:textId="4659AA8C" w:rsidR="005C7456" w:rsidRPr="00FD50F6" w:rsidRDefault="00DC5D98" w:rsidP="005C7456">
      <w:pPr>
        <w:pStyle w:val="30"/>
      </w:pPr>
      <w:r w:rsidRPr="00FD50F6">
        <w:rPr>
          <w:rFonts w:hint="eastAsia"/>
        </w:rPr>
        <w:t>中心级监控系统应具有防水淹管理模块，并宜将水位监测信息分级、分类报送给相关运营管理部门</w:t>
      </w:r>
      <w:r w:rsidR="005C7456" w:rsidRPr="00FD50F6">
        <w:rPr>
          <w:rFonts w:hint="eastAsia"/>
        </w:rPr>
        <w:t>。</w:t>
      </w:r>
    </w:p>
    <w:p w14:paraId="7DFBD6C4" w14:textId="77777777" w:rsidR="00666C50" w:rsidRPr="00FD50F6" w:rsidRDefault="00666C50" w:rsidP="00A65181">
      <w:pPr>
        <w:pStyle w:val="2"/>
      </w:pPr>
      <w:bookmarkStart w:id="1322" w:name="_Toc112830885"/>
      <w:r w:rsidRPr="00FD50F6">
        <w:rPr>
          <w:rFonts w:hint="eastAsia"/>
        </w:rPr>
        <w:t>其他灾害预防与报警</w:t>
      </w:r>
      <w:bookmarkEnd w:id="1322"/>
    </w:p>
    <w:p w14:paraId="3960F3C0" w14:textId="26AC7064" w:rsidR="00666C50" w:rsidRPr="00FD50F6" w:rsidRDefault="00CD3AA0" w:rsidP="00634619">
      <w:pPr>
        <w:pStyle w:val="30"/>
      </w:pPr>
      <w:r w:rsidRPr="00FD50F6">
        <w:rPr>
          <w:rFonts w:hint="eastAsia"/>
        </w:rPr>
        <w:t>地下车站的人防设防等级、防化等级等设计标准应符合当地人防规划要</w:t>
      </w:r>
      <w:r w:rsidRPr="00FD50F6">
        <w:rPr>
          <w:rFonts w:hint="eastAsia"/>
        </w:rPr>
        <w:lastRenderedPageBreak/>
        <w:t>求，人防出入口等附属设施的设置原则及要求应符合现行国家标准《人民防空工程设计规范》</w:t>
      </w:r>
      <w:r w:rsidRPr="00FD50F6">
        <w:rPr>
          <w:rFonts w:hint="eastAsia"/>
        </w:rPr>
        <w:t>G</w:t>
      </w:r>
      <w:r w:rsidRPr="00FD50F6">
        <w:t>B 50225</w:t>
      </w:r>
      <w:r w:rsidRPr="00FD50F6">
        <w:rPr>
          <w:rFonts w:hint="eastAsia"/>
        </w:rPr>
        <w:t>的相关要求。</w:t>
      </w:r>
    </w:p>
    <w:p w14:paraId="5773E47D" w14:textId="6A0A9159" w:rsidR="00666C50" w:rsidRPr="00FD50F6" w:rsidRDefault="00A850DA" w:rsidP="00353026">
      <w:pPr>
        <w:pStyle w:val="30"/>
      </w:pPr>
      <w:r w:rsidRPr="00FD50F6">
        <w:rPr>
          <w:rFonts w:hint="eastAsia"/>
        </w:rPr>
        <w:t>地铁地面及高架有关建筑工程的防雷措施及电气要求，应按各设备专业的规定执行。</w:t>
      </w:r>
    </w:p>
    <w:p w14:paraId="14118427" w14:textId="548C9DBF" w:rsidR="00666C50" w:rsidRPr="00FD50F6" w:rsidRDefault="00666C50" w:rsidP="00634619">
      <w:pPr>
        <w:pStyle w:val="30"/>
      </w:pPr>
      <w:r w:rsidRPr="00FD50F6">
        <w:t>地面及高架线路的架空线路与架空接触网设置应满足防风要求。</w:t>
      </w:r>
    </w:p>
    <w:p w14:paraId="7F077F7E" w14:textId="65B8FD8E" w:rsidR="00666C50" w:rsidRPr="00FD50F6" w:rsidRDefault="00666C50" w:rsidP="00634619">
      <w:pPr>
        <w:pStyle w:val="30"/>
      </w:pPr>
      <w:r w:rsidRPr="00FD50F6">
        <w:t>地铁杂散电流</w:t>
      </w:r>
      <w:r w:rsidR="009F5748" w:rsidRPr="00FD50F6">
        <w:t>的</w:t>
      </w:r>
      <w:r w:rsidRPr="00FD50F6">
        <w:t>腐蚀防护应满足本</w:t>
      </w:r>
      <w:r w:rsidR="009F5748" w:rsidRPr="00FD50F6">
        <w:rPr>
          <w:rFonts w:hint="eastAsia"/>
        </w:rPr>
        <w:t>标准</w:t>
      </w:r>
      <w:r w:rsidRPr="00FD50F6">
        <w:t>第</w:t>
      </w:r>
      <w:r w:rsidRPr="00FD50F6">
        <w:t>1</w:t>
      </w:r>
      <w:r w:rsidR="001C486F" w:rsidRPr="00FD50F6">
        <w:t>6</w:t>
      </w:r>
      <w:r w:rsidRPr="00FD50F6">
        <w:t>.7</w:t>
      </w:r>
      <w:r w:rsidRPr="00FD50F6">
        <w:t>节的规定。</w:t>
      </w:r>
    </w:p>
    <w:p w14:paraId="3482C2A5" w14:textId="5DE9F19C" w:rsidR="00666C50" w:rsidRPr="00FD50F6" w:rsidRDefault="00666C50" w:rsidP="00634619">
      <w:pPr>
        <w:pStyle w:val="30"/>
      </w:pPr>
      <w:r w:rsidRPr="00FD50F6">
        <w:t>寒冷地区的地面及高架线路和暴露于室外的自动扶梯上下平台应采取防冰雪措施。</w:t>
      </w:r>
    </w:p>
    <w:p w14:paraId="1772016C" w14:textId="72E6CEED" w:rsidR="00666C50" w:rsidRPr="00FD50F6" w:rsidRDefault="00666C50" w:rsidP="00634619">
      <w:pPr>
        <w:pStyle w:val="30"/>
      </w:pPr>
      <w:r w:rsidRPr="00FD50F6">
        <w:t>地铁车站及沿线的各排水泵站、排雨泵站、排污水泵站应设危险水位报警装置。</w:t>
      </w:r>
    </w:p>
    <w:p w14:paraId="0BAD38AC" w14:textId="1B9D5176" w:rsidR="00666C50" w:rsidRPr="00FD50F6" w:rsidDel="0043602B" w:rsidRDefault="00666C50" w:rsidP="00634619">
      <w:pPr>
        <w:pStyle w:val="30"/>
      </w:pPr>
      <w:r w:rsidRPr="00FD50F6">
        <w:t>地铁应具备接收当地气象部门气象预报的功能。</w:t>
      </w:r>
    </w:p>
    <w:p w14:paraId="0F63C6F3" w14:textId="7D4ADCFA" w:rsidR="00666C50" w:rsidRPr="00FD50F6" w:rsidRDefault="00666C50" w:rsidP="00634619">
      <w:pPr>
        <w:pStyle w:val="30"/>
      </w:pPr>
      <w:r w:rsidRPr="00FD50F6">
        <w:t>地铁应具备接收本地区地震预报部门的电话报警或网络通信报警功能。</w:t>
      </w:r>
    </w:p>
    <w:p w14:paraId="72FA7498" w14:textId="0D57EDD2" w:rsidR="00D70A4C" w:rsidRPr="00FD50F6" w:rsidRDefault="00D70A4C">
      <w:pPr>
        <w:widowControl/>
        <w:spacing w:line="240" w:lineRule="auto"/>
        <w:jc w:val="left"/>
      </w:pPr>
      <w:r w:rsidRPr="00FD50F6">
        <w:br w:type="page"/>
      </w:r>
    </w:p>
    <w:p w14:paraId="4B72BF36" w14:textId="77777777" w:rsidR="008F633E" w:rsidRPr="00FD50F6" w:rsidRDefault="008F633E" w:rsidP="008F633E">
      <w:pPr>
        <w:pStyle w:val="12"/>
      </w:pPr>
      <w:bookmarkStart w:id="1323" w:name="_Toc112830886"/>
      <w:r w:rsidRPr="00FD50F6">
        <w:rPr>
          <w:rFonts w:hint="eastAsia"/>
        </w:rPr>
        <w:lastRenderedPageBreak/>
        <w:t>环境保护</w:t>
      </w:r>
      <w:bookmarkEnd w:id="1323"/>
    </w:p>
    <w:p w14:paraId="0C1E5C07" w14:textId="77777777" w:rsidR="008F633E" w:rsidRPr="00FD50F6" w:rsidRDefault="008F633E" w:rsidP="00010C49">
      <w:pPr>
        <w:pStyle w:val="2"/>
        <w:numPr>
          <w:ilvl w:val="1"/>
          <w:numId w:val="38"/>
        </w:numPr>
      </w:pPr>
      <w:bookmarkStart w:id="1324" w:name="_Toc112830887"/>
      <w:r w:rsidRPr="00FD50F6">
        <w:rPr>
          <w:rFonts w:hint="eastAsia"/>
        </w:rPr>
        <w:t>一般规定</w:t>
      </w:r>
      <w:bookmarkEnd w:id="1324"/>
    </w:p>
    <w:p w14:paraId="0C1204B3" w14:textId="4068B30C" w:rsidR="008F633E" w:rsidRPr="00FD50F6" w:rsidRDefault="008F633E" w:rsidP="008F633E">
      <w:pPr>
        <w:pStyle w:val="30"/>
      </w:pPr>
      <w:r w:rsidRPr="00FD50F6">
        <w:rPr>
          <w:rFonts w:hint="eastAsia"/>
        </w:rPr>
        <w:t>地铁线路、车站、车辆段及停车场的选线、选址应符合下列规定：</w:t>
      </w:r>
    </w:p>
    <w:p w14:paraId="2A4AEE5E" w14:textId="0BA997EC" w:rsidR="008F633E" w:rsidRPr="00002060" w:rsidRDefault="008F633E" w:rsidP="00A926BD">
      <w:pPr>
        <w:pStyle w:val="4"/>
      </w:pPr>
      <w:r w:rsidRPr="00002060">
        <w:rPr>
          <w:rFonts w:hint="eastAsia"/>
        </w:rPr>
        <w:t>不得穿越自然保护区、风景名胜区、世界文化和自然遗产地、森林公园、地质公园、重要湿地等</w:t>
      </w:r>
      <w:r w:rsidRPr="00FD50F6">
        <w:rPr>
          <w:rFonts w:hint="eastAsia"/>
        </w:rPr>
        <w:t>环境</w:t>
      </w:r>
      <w:r w:rsidRPr="00FD50F6">
        <w:t>敏感</w:t>
      </w:r>
      <w:r w:rsidRPr="00FD50F6">
        <w:rPr>
          <w:rFonts w:hint="eastAsia"/>
        </w:rPr>
        <w:t>区域的</w:t>
      </w:r>
      <w:r w:rsidRPr="00AA0E76">
        <w:rPr>
          <w:rFonts w:hint="eastAsia"/>
        </w:rPr>
        <w:t>核心区。</w:t>
      </w:r>
    </w:p>
    <w:p w14:paraId="17A74D7D" w14:textId="1EDA87CB" w:rsidR="008F633E" w:rsidRPr="00FD50F6" w:rsidRDefault="008F633E" w:rsidP="00A926BD">
      <w:pPr>
        <w:pStyle w:val="4"/>
      </w:pPr>
      <w:r w:rsidRPr="00FD50F6">
        <w:rPr>
          <w:rFonts w:hint="eastAsia"/>
        </w:rPr>
        <w:t>不得以任何敷设方式穿越集中式地表水水源地、地下水水源地、水源井、温泉、矿泉、泉域等饮用水水源一级保护区水域范围；二级保护区范围内不应设置车站、车辆段及停车场；当高架区间上跨饮用水水源保护区水域范围时，线路应位于取水口下游，并应采取水环境保护措施。</w:t>
      </w:r>
    </w:p>
    <w:p w14:paraId="085476E0" w14:textId="2A6A496E" w:rsidR="008F633E" w:rsidRPr="00FD50F6" w:rsidRDefault="008F633E" w:rsidP="00A926BD">
      <w:pPr>
        <w:pStyle w:val="4"/>
      </w:pPr>
      <w:r w:rsidRPr="00FD50F6">
        <w:rPr>
          <w:rFonts w:hint="eastAsia"/>
        </w:rPr>
        <w:t>不应穿越或占用生态保护红线一级管控区。</w:t>
      </w:r>
    </w:p>
    <w:p w14:paraId="2B612746" w14:textId="38451F59" w:rsidR="008F633E" w:rsidRPr="00FD50F6" w:rsidRDefault="008F633E" w:rsidP="00A926BD">
      <w:pPr>
        <w:pStyle w:val="4"/>
      </w:pPr>
      <w:r w:rsidRPr="00FD50F6">
        <w:rPr>
          <w:rFonts w:hint="eastAsia"/>
        </w:rPr>
        <w:t>不应穿越地上不可移动文物及墓葬、遗址等地下文物埋藏区的文物保护单位</w:t>
      </w:r>
      <w:r w:rsidR="00B528A1">
        <w:rPr>
          <w:rFonts w:hint="eastAsia"/>
        </w:rPr>
        <w:t>建（构）</w:t>
      </w:r>
      <w:r w:rsidRPr="00FD50F6">
        <w:rPr>
          <w:rFonts w:hint="eastAsia"/>
        </w:rPr>
        <w:t>筑物本体。</w:t>
      </w:r>
    </w:p>
    <w:p w14:paraId="492C6F3D" w14:textId="2D382BF6" w:rsidR="008F633E" w:rsidRPr="00FD50F6" w:rsidRDefault="008F633E" w:rsidP="008F633E">
      <w:pPr>
        <w:pStyle w:val="30"/>
      </w:pPr>
      <w:r w:rsidRPr="00FD50F6">
        <w:rPr>
          <w:rFonts w:hint="eastAsia"/>
        </w:rPr>
        <w:t>当线路穿越中心城区、外围组团中心区或已建、拟建居住、医疗、文教区时，应采用地下敷设方式。中心城区以外在沿线环境条件允许的地段宜采用高架或地面敷设方式，且线路宜沿城市既有道路或规划道路布置。</w:t>
      </w:r>
    </w:p>
    <w:p w14:paraId="48B44396" w14:textId="1FEC8A7B" w:rsidR="008F633E" w:rsidRPr="00FD50F6" w:rsidRDefault="008F633E" w:rsidP="008F633E">
      <w:pPr>
        <w:pStyle w:val="30"/>
      </w:pPr>
      <w:r w:rsidRPr="00FD50F6">
        <w:rPr>
          <w:rFonts w:hint="eastAsia"/>
        </w:rPr>
        <w:t>地下线的正线及出入线、试车线等</w:t>
      </w:r>
      <w:r w:rsidRPr="00FD50F6">
        <w:t>场段线</w:t>
      </w:r>
      <w:r w:rsidRPr="00FD50F6">
        <w:rPr>
          <w:rFonts w:hint="eastAsia"/>
        </w:rPr>
        <w:t>应避免下穿学校教室、医院病房、幼儿园及养老院等振动敏感点，并应减少线路下穿居民敏感建筑；当下穿敏感建筑时，应避免采用小曲线线路。地面与高架线的正线及出入线、试车线等</w:t>
      </w:r>
      <w:r w:rsidRPr="00FD50F6">
        <w:t>场段线</w:t>
      </w:r>
      <w:r w:rsidRPr="00FD50F6">
        <w:rPr>
          <w:rFonts w:hint="eastAsia"/>
        </w:rPr>
        <w:t>应避开噪声敏感建筑。</w:t>
      </w:r>
    </w:p>
    <w:p w14:paraId="4691B5D2" w14:textId="508959F6" w:rsidR="008F633E" w:rsidRPr="00FD50F6" w:rsidRDefault="008F633E" w:rsidP="008F633E">
      <w:pPr>
        <w:pStyle w:val="30"/>
      </w:pPr>
      <w:r w:rsidRPr="00FD50F6">
        <w:rPr>
          <w:rFonts w:hint="eastAsia"/>
        </w:rPr>
        <w:t>地铁设计应按建设项目环境影响评价确认的环境噪声、振动标准要求，确定线位、站位、风亭、冷却塔与环境敏感建筑之间的距离。</w:t>
      </w:r>
    </w:p>
    <w:p w14:paraId="5EF91B72" w14:textId="1546438D" w:rsidR="008F633E" w:rsidRPr="00FD50F6" w:rsidRDefault="008F633E" w:rsidP="008F633E">
      <w:pPr>
        <w:pStyle w:val="30"/>
      </w:pPr>
      <w:r w:rsidRPr="00FD50F6">
        <w:rPr>
          <w:rFonts w:hint="eastAsia"/>
        </w:rPr>
        <w:t>当已建成的地铁线路两侧进行城市用地规划时，其地铁噪声、振动防护距离范围内不宜规划建设居住、文教、医疗、科研等环境敏感建筑。当需要规划建设居住、文教、医疗、科研等环境敏感建筑时，应按地铁噪声、振动防护要求间隔相应的距离，并宜采取减轻和避免环境影响的措施。</w:t>
      </w:r>
    </w:p>
    <w:p w14:paraId="159EBC4F" w14:textId="77777777" w:rsidR="008F633E" w:rsidRPr="00FD50F6" w:rsidRDefault="008F633E" w:rsidP="008F633E">
      <w:pPr>
        <w:pStyle w:val="30"/>
      </w:pPr>
      <w:r w:rsidRPr="00FD50F6">
        <w:rPr>
          <w:rFonts w:hint="eastAsia"/>
        </w:rPr>
        <w:t>地铁设计应根据规划条件、环境条件及工程条件，采取降低噪声、减少振动和减缓生态环境影响的措施。</w:t>
      </w:r>
    </w:p>
    <w:p w14:paraId="05AAD8A7" w14:textId="0E852CF1" w:rsidR="008F633E" w:rsidRPr="00FD50F6" w:rsidRDefault="008F633E" w:rsidP="008F633E">
      <w:pPr>
        <w:pStyle w:val="30"/>
      </w:pPr>
      <w:r w:rsidRPr="00FD50F6">
        <w:rPr>
          <w:rFonts w:hint="eastAsia"/>
        </w:rPr>
        <w:t>地铁环境保护设施应根据工程设计年限按预测的远期客流量和列车最大</w:t>
      </w:r>
      <w:r w:rsidRPr="00FD50F6">
        <w:rPr>
          <w:rFonts w:hint="eastAsia"/>
        </w:rPr>
        <w:lastRenderedPageBreak/>
        <w:t>通过能力设计，应按远期实施或按近期和远期分期实施并为远期预留实施条件。</w:t>
      </w:r>
    </w:p>
    <w:p w14:paraId="064629C1" w14:textId="77777777" w:rsidR="008F633E" w:rsidRPr="00FD50F6" w:rsidRDefault="008F633E" w:rsidP="008F633E">
      <w:pPr>
        <w:pStyle w:val="30"/>
      </w:pPr>
      <w:r w:rsidRPr="00FD50F6">
        <w:rPr>
          <w:rFonts w:hint="eastAsia"/>
        </w:rPr>
        <w:t>地铁减振降噪、污水处理、生态恢复等环境保护措施应与主体工程同时设计、同时施工、同时投入使用，并应符合建设项目竣工环境保护验收的要求。</w:t>
      </w:r>
    </w:p>
    <w:p w14:paraId="4CBC9599" w14:textId="2619D02D" w:rsidR="008F633E" w:rsidRPr="00FD50F6" w:rsidRDefault="008F633E" w:rsidP="008F633E">
      <w:pPr>
        <w:pStyle w:val="30"/>
      </w:pPr>
      <w:r w:rsidRPr="00FD50F6">
        <w:rPr>
          <w:rFonts w:hint="eastAsia"/>
        </w:rPr>
        <w:t>当地铁线路走向、敷设方式、系统制式或沿线敏感目标等发生重大变动时，应按重新报批的建设项目环境影响评价文件开展设计。</w:t>
      </w:r>
    </w:p>
    <w:p w14:paraId="79C3E92B" w14:textId="77777777" w:rsidR="008F633E" w:rsidRPr="00FD50F6" w:rsidRDefault="008F633E" w:rsidP="00A65181">
      <w:pPr>
        <w:pStyle w:val="2"/>
      </w:pPr>
      <w:bookmarkStart w:id="1325" w:name="_Toc112830888"/>
      <w:r w:rsidRPr="00FD50F6">
        <w:rPr>
          <w:rFonts w:hint="eastAsia"/>
        </w:rPr>
        <w:t>环境标准及要求</w:t>
      </w:r>
      <w:bookmarkEnd w:id="1325"/>
    </w:p>
    <w:p w14:paraId="6BD5079C" w14:textId="77777777" w:rsidR="008F633E" w:rsidRPr="00FD50F6" w:rsidRDefault="008F633E" w:rsidP="008F633E">
      <w:pPr>
        <w:pStyle w:val="30"/>
      </w:pPr>
      <w:r w:rsidRPr="00FD50F6">
        <w:t>地铁噪声应符合下列规定：</w:t>
      </w:r>
      <w:r w:rsidRPr="00FD50F6">
        <w:t xml:space="preserve"> </w:t>
      </w:r>
    </w:p>
    <w:p w14:paraId="6691E893" w14:textId="475411C8" w:rsidR="008F633E" w:rsidRPr="00FD50F6" w:rsidRDefault="008F633E" w:rsidP="00A926BD">
      <w:pPr>
        <w:pStyle w:val="4"/>
      </w:pPr>
      <w:r w:rsidRPr="00FD50F6">
        <w:t>列车及设备运行噪声影响应符合现行国家标准《声环境质量标准》</w:t>
      </w:r>
      <w:r w:rsidRPr="00FD50F6">
        <w:t>GB 3096</w:t>
      </w:r>
      <w:r w:rsidRPr="00FD50F6">
        <w:t>的规定</w:t>
      </w:r>
      <w:r w:rsidRPr="00FD50F6">
        <w:rPr>
          <w:rFonts w:hint="eastAsia"/>
        </w:rPr>
        <w:t>；</w:t>
      </w:r>
    </w:p>
    <w:p w14:paraId="069447D1" w14:textId="1825DD41" w:rsidR="008F633E" w:rsidRPr="00FD50F6" w:rsidRDefault="008F633E" w:rsidP="00A926BD">
      <w:pPr>
        <w:pStyle w:val="4"/>
      </w:pPr>
      <w:r w:rsidRPr="00FD50F6">
        <w:t>车辆</w:t>
      </w:r>
      <w:r w:rsidRPr="00FD50F6">
        <w:rPr>
          <w:rFonts w:hint="eastAsia"/>
        </w:rPr>
        <w:t>段</w:t>
      </w:r>
      <w:r w:rsidRPr="00FD50F6">
        <w:t>及停车场厂界噪声应符合现行国家标准《工业企业厂界环境噪声排放标准》</w:t>
      </w:r>
      <w:r w:rsidRPr="00FD50F6">
        <w:t>GB 12348</w:t>
      </w:r>
      <w:r w:rsidRPr="00FD50F6">
        <w:t>的规定</w:t>
      </w:r>
      <w:r w:rsidRPr="00FD50F6">
        <w:rPr>
          <w:rFonts w:hint="eastAsia"/>
        </w:rPr>
        <w:t>；</w:t>
      </w:r>
    </w:p>
    <w:p w14:paraId="0193CC6F" w14:textId="77777777" w:rsidR="008F633E" w:rsidRPr="00FD50F6" w:rsidRDefault="008F633E" w:rsidP="00A926BD">
      <w:pPr>
        <w:pStyle w:val="4"/>
      </w:pPr>
      <w:r w:rsidRPr="00FD50F6">
        <w:t>车辆选型应符合现行国家标准《地铁车辆通用技术条件》</w:t>
      </w:r>
      <w:r w:rsidRPr="00FD50F6">
        <w:t>GB/T 7928</w:t>
      </w:r>
      <w:r w:rsidRPr="00FD50F6">
        <w:t>有关噪声的规定。</w:t>
      </w:r>
    </w:p>
    <w:p w14:paraId="1E1677F2" w14:textId="03FECF5A" w:rsidR="008F633E" w:rsidRPr="00FD50F6" w:rsidRDefault="008F633E" w:rsidP="008F633E">
      <w:pPr>
        <w:pStyle w:val="30"/>
      </w:pPr>
      <w:r w:rsidRPr="00FD50F6">
        <w:rPr>
          <w:rFonts w:hint="eastAsia"/>
        </w:rPr>
        <w:t>地上</w:t>
      </w:r>
      <w:r w:rsidRPr="00FD50F6">
        <w:t>线路两侧敏感点</w:t>
      </w:r>
      <w:r w:rsidRPr="00FD50F6">
        <w:rPr>
          <w:rFonts w:hint="eastAsia"/>
        </w:rPr>
        <w:t>环境</w:t>
      </w:r>
      <w:r w:rsidRPr="00FD50F6">
        <w:t>噪声</w:t>
      </w:r>
      <w:r w:rsidRPr="00FD50F6">
        <w:rPr>
          <w:rFonts w:hint="eastAsia"/>
        </w:rPr>
        <w:t>限值</w:t>
      </w:r>
      <w:r w:rsidRPr="00FD50F6">
        <w:t>应</w:t>
      </w:r>
      <w:r w:rsidRPr="00FD50F6">
        <w:rPr>
          <w:rFonts w:hint="eastAsia"/>
        </w:rPr>
        <w:t>符合表</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2</w:t>
      </w:r>
      <w:r w:rsidRPr="00FD50F6">
        <w:rPr>
          <w:rFonts w:hint="eastAsia"/>
        </w:rPr>
        <w:t>的规定。</w:t>
      </w:r>
    </w:p>
    <w:p w14:paraId="5F044C8A" w14:textId="1678B7EB" w:rsidR="008F633E" w:rsidRPr="00FD50F6" w:rsidRDefault="008F633E" w:rsidP="008F633E">
      <w:pPr>
        <w:pStyle w:val="6"/>
      </w:pPr>
      <w:r w:rsidRPr="00FD50F6">
        <w:t>表</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 xml:space="preserve">2 </w:t>
      </w:r>
      <w:r w:rsidRPr="00FD50F6">
        <w:t>地上线路敏感点环境噪声限值</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552"/>
        <w:gridCol w:w="1276"/>
        <w:gridCol w:w="1134"/>
      </w:tblGrid>
      <w:tr w:rsidR="00FD50F6" w:rsidRPr="00FD50F6" w14:paraId="3C329643" w14:textId="77777777" w:rsidTr="000831EC">
        <w:trPr>
          <w:cantSplit/>
          <w:trHeight w:val="315"/>
          <w:jc w:val="center"/>
        </w:trPr>
        <w:tc>
          <w:tcPr>
            <w:tcW w:w="1260" w:type="dxa"/>
            <w:vMerge w:val="restart"/>
            <w:vAlign w:val="center"/>
          </w:tcPr>
          <w:p w14:paraId="42F9365E" w14:textId="77777777" w:rsidR="008F633E" w:rsidRPr="00FD50F6" w:rsidRDefault="008F633E" w:rsidP="000831EC">
            <w:pPr>
              <w:pStyle w:val="7"/>
            </w:pPr>
            <w:r w:rsidRPr="00FD50F6">
              <w:t>声环境功能区类别</w:t>
            </w:r>
          </w:p>
        </w:tc>
        <w:tc>
          <w:tcPr>
            <w:tcW w:w="4552" w:type="dxa"/>
            <w:vMerge w:val="restart"/>
            <w:vAlign w:val="center"/>
          </w:tcPr>
          <w:p w14:paraId="6DA7896A" w14:textId="77777777" w:rsidR="008F633E" w:rsidRPr="00FD50F6" w:rsidRDefault="008F633E" w:rsidP="000831EC">
            <w:pPr>
              <w:pStyle w:val="7"/>
            </w:pPr>
            <w:r w:rsidRPr="00FD50F6">
              <w:t>各环境功能区敏感点</w:t>
            </w:r>
          </w:p>
        </w:tc>
        <w:tc>
          <w:tcPr>
            <w:tcW w:w="2410" w:type="dxa"/>
            <w:gridSpan w:val="2"/>
            <w:vAlign w:val="center"/>
          </w:tcPr>
          <w:p w14:paraId="4F4F9C78" w14:textId="77777777" w:rsidR="008F633E" w:rsidRPr="00FD50F6" w:rsidRDefault="008F633E" w:rsidP="000831EC">
            <w:pPr>
              <w:pStyle w:val="7"/>
            </w:pPr>
            <w:r w:rsidRPr="00FD50F6">
              <w:t>噪声限值（</w:t>
            </w:r>
            <w:r w:rsidRPr="00FD50F6">
              <w:t>dBA</w:t>
            </w:r>
            <w:r w:rsidRPr="00FD50F6">
              <w:t>）</w:t>
            </w:r>
          </w:p>
        </w:tc>
      </w:tr>
      <w:tr w:rsidR="00FD50F6" w:rsidRPr="00FD50F6" w14:paraId="64F05ECC" w14:textId="77777777" w:rsidTr="000831EC">
        <w:trPr>
          <w:cantSplit/>
          <w:trHeight w:val="315"/>
          <w:jc w:val="center"/>
        </w:trPr>
        <w:tc>
          <w:tcPr>
            <w:tcW w:w="1260" w:type="dxa"/>
            <w:vMerge/>
            <w:vAlign w:val="center"/>
          </w:tcPr>
          <w:p w14:paraId="7BBB6D0A" w14:textId="77777777" w:rsidR="008F633E" w:rsidRPr="00FD50F6" w:rsidRDefault="008F633E" w:rsidP="000831EC">
            <w:pPr>
              <w:pStyle w:val="7"/>
            </w:pPr>
          </w:p>
        </w:tc>
        <w:tc>
          <w:tcPr>
            <w:tcW w:w="4552" w:type="dxa"/>
            <w:vMerge/>
            <w:vAlign w:val="center"/>
          </w:tcPr>
          <w:p w14:paraId="60531DA1" w14:textId="77777777" w:rsidR="008F633E" w:rsidRPr="00FD50F6" w:rsidRDefault="008F633E" w:rsidP="000831EC">
            <w:pPr>
              <w:pStyle w:val="7"/>
            </w:pPr>
          </w:p>
        </w:tc>
        <w:tc>
          <w:tcPr>
            <w:tcW w:w="1276" w:type="dxa"/>
            <w:vAlign w:val="center"/>
          </w:tcPr>
          <w:p w14:paraId="6FA49336" w14:textId="77777777" w:rsidR="008F633E" w:rsidRPr="00FD50F6" w:rsidRDefault="008F633E" w:rsidP="000831EC">
            <w:pPr>
              <w:pStyle w:val="7"/>
            </w:pPr>
            <w:r w:rsidRPr="00FD50F6">
              <w:t>昼间</w:t>
            </w:r>
          </w:p>
        </w:tc>
        <w:tc>
          <w:tcPr>
            <w:tcW w:w="1134" w:type="dxa"/>
            <w:vAlign w:val="center"/>
          </w:tcPr>
          <w:p w14:paraId="17B063C6" w14:textId="77777777" w:rsidR="008F633E" w:rsidRPr="00FD50F6" w:rsidRDefault="008F633E" w:rsidP="000831EC">
            <w:pPr>
              <w:pStyle w:val="7"/>
            </w:pPr>
            <w:r w:rsidRPr="00FD50F6">
              <w:t>夜间</w:t>
            </w:r>
          </w:p>
        </w:tc>
      </w:tr>
      <w:tr w:rsidR="00FD50F6" w:rsidRPr="00FD50F6" w14:paraId="0D0402B4" w14:textId="77777777" w:rsidTr="000831EC">
        <w:trPr>
          <w:cantSplit/>
          <w:trHeight w:val="340"/>
          <w:jc w:val="center"/>
        </w:trPr>
        <w:tc>
          <w:tcPr>
            <w:tcW w:w="1260" w:type="dxa"/>
            <w:vAlign w:val="center"/>
          </w:tcPr>
          <w:p w14:paraId="747196F7" w14:textId="77777777" w:rsidR="008F633E" w:rsidRPr="00FD50F6" w:rsidRDefault="008F633E" w:rsidP="000831EC">
            <w:pPr>
              <w:pStyle w:val="7"/>
            </w:pPr>
            <w:r w:rsidRPr="00FD50F6">
              <w:t>0</w:t>
            </w:r>
            <w:r w:rsidRPr="00FD50F6">
              <w:t>类</w:t>
            </w:r>
          </w:p>
        </w:tc>
        <w:tc>
          <w:tcPr>
            <w:tcW w:w="4552" w:type="dxa"/>
            <w:vAlign w:val="center"/>
          </w:tcPr>
          <w:p w14:paraId="44B98049" w14:textId="77777777" w:rsidR="008F633E" w:rsidRPr="00FD50F6" w:rsidRDefault="008F633E" w:rsidP="000831EC">
            <w:pPr>
              <w:pStyle w:val="7"/>
            </w:pPr>
            <w:r w:rsidRPr="00FD50F6">
              <w:t>康复疗养区等特别需要安静的区域的敏感点</w:t>
            </w:r>
          </w:p>
        </w:tc>
        <w:tc>
          <w:tcPr>
            <w:tcW w:w="1276" w:type="dxa"/>
            <w:vAlign w:val="center"/>
          </w:tcPr>
          <w:p w14:paraId="1B7B426B" w14:textId="77777777" w:rsidR="008F633E" w:rsidRPr="00FD50F6" w:rsidRDefault="008F633E" w:rsidP="000831EC">
            <w:pPr>
              <w:pStyle w:val="7"/>
            </w:pPr>
            <w:r w:rsidRPr="00FD50F6">
              <w:t>50</w:t>
            </w:r>
          </w:p>
        </w:tc>
        <w:tc>
          <w:tcPr>
            <w:tcW w:w="1134" w:type="dxa"/>
            <w:vAlign w:val="center"/>
          </w:tcPr>
          <w:p w14:paraId="62AFCACD" w14:textId="77777777" w:rsidR="008F633E" w:rsidRPr="00FD50F6" w:rsidRDefault="008F633E" w:rsidP="000831EC">
            <w:pPr>
              <w:pStyle w:val="7"/>
            </w:pPr>
            <w:r w:rsidRPr="00FD50F6">
              <w:t>40</w:t>
            </w:r>
          </w:p>
        </w:tc>
      </w:tr>
      <w:tr w:rsidR="00FD50F6" w:rsidRPr="00FD50F6" w14:paraId="6AC87AFE" w14:textId="77777777" w:rsidTr="000831EC">
        <w:trPr>
          <w:cantSplit/>
          <w:trHeight w:val="340"/>
          <w:jc w:val="center"/>
        </w:trPr>
        <w:tc>
          <w:tcPr>
            <w:tcW w:w="1260" w:type="dxa"/>
            <w:vAlign w:val="center"/>
          </w:tcPr>
          <w:p w14:paraId="6DE859E7" w14:textId="77777777" w:rsidR="008F633E" w:rsidRPr="00FD50F6" w:rsidRDefault="008F633E" w:rsidP="000831EC">
            <w:pPr>
              <w:pStyle w:val="7"/>
            </w:pPr>
            <w:r w:rsidRPr="00FD50F6">
              <w:t>1</w:t>
            </w:r>
            <w:r w:rsidRPr="00FD50F6">
              <w:t>类</w:t>
            </w:r>
          </w:p>
        </w:tc>
        <w:tc>
          <w:tcPr>
            <w:tcW w:w="4552" w:type="dxa"/>
            <w:vAlign w:val="center"/>
          </w:tcPr>
          <w:p w14:paraId="05CDDAB3" w14:textId="77777777" w:rsidR="008F633E" w:rsidRPr="00FD50F6" w:rsidRDefault="008F633E" w:rsidP="000831EC">
            <w:pPr>
              <w:pStyle w:val="7"/>
            </w:pPr>
            <w:r w:rsidRPr="00FD50F6">
              <w:t>居住、医疗、文教、科研区的敏感点</w:t>
            </w:r>
          </w:p>
        </w:tc>
        <w:tc>
          <w:tcPr>
            <w:tcW w:w="1276" w:type="dxa"/>
            <w:vAlign w:val="center"/>
          </w:tcPr>
          <w:p w14:paraId="454BA82B" w14:textId="77777777" w:rsidR="008F633E" w:rsidRPr="00FD50F6" w:rsidRDefault="008F633E" w:rsidP="000831EC">
            <w:pPr>
              <w:pStyle w:val="7"/>
            </w:pPr>
            <w:r w:rsidRPr="00FD50F6">
              <w:t>55</w:t>
            </w:r>
          </w:p>
        </w:tc>
        <w:tc>
          <w:tcPr>
            <w:tcW w:w="1134" w:type="dxa"/>
            <w:vAlign w:val="center"/>
          </w:tcPr>
          <w:p w14:paraId="027F5ABB" w14:textId="77777777" w:rsidR="008F633E" w:rsidRPr="00FD50F6" w:rsidRDefault="008F633E" w:rsidP="000831EC">
            <w:pPr>
              <w:pStyle w:val="7"/>
            </w:pPr>
            <w:r w:rsidRPr="00FD50F6">
              <w:t>45</w:t>
            </w:r>
          </w:p>
        </w:tc>
      </w:tr>
      <w:tr w:rsidR="00FD50F6" w:rsidRPr="00FD50F6" w14:paraId="5D0D5C34" w14:textId="77777777" w:rsidTr="000831EC">
        <w:trPr>
          <w:cantSplit/>
          <w:trHeight w:val="340"/>
          <w:jc w:val="center"/>
        </w:trPr>
        <w:tc>
          <w:tcPr>
            <w:tcW w:w="1260" w:type="dxa"/>
            <w:vAlign w:val="center"/>
          </w:tcPr>
          <w:p w14:paraId="282351EC" w14:textId="77777777" w:rsidR="008F633E" w:rsidRPr="00FD50F6" w:rsidRDefault="008F633E" w:rsidP="000831EC">
            <w:pPr>
              <w:pStyle w:val="7"/>
            </w:pPr>
            <w:r w:rsidRPr="00FD50F6">
              <w:t>2</w:t>
            </w:r>
            <w:r w:rsidRPr="00FD50F6">
              <w:t>类</w:t>
            </w:r>
          </w:p>
        </w:tc>
        <w:tc>
          <w:tcPr>
            <w:tcW w:w="4552" w:type="dxa"/>
            <w:vAlign w:val="center"/>
          </w:tcPr>
          <w:p w14:paraId="6E0A87A6" w14:textId="77777777" w:rsidR="008F633E" w:rsidRPr="00FD50F6" w:rsidRDefault="008F633E" w:rsidP="000831EC">
            <w:pPr>
              <w:pStyle w:val="7"/>
            </w:pPr>
            <w:r w:rsidRPr="00FD50F6">
              <w:t>居住、商业、工业混合区的敏感点</w:t>
            </w:r>
          </w:p>
        </w:tc>
        <w:tc>
          <w:tcPr>
            <w:tcW w:w="1276" w:type="dxa"/>
            <w:vAlign w:val="center"/>
          </w:tcPr>
          <w:p w14:paraId="2502DEFF" w14:textId="77777777" w:rsidR="008F633E" w:rsidRPr="00FD50F6" w:rsidRDefault="008F633E" w:rsidP="000831EC">
            <w:pPr>
              <w:pStyle w:val="7"/>
            </w:pPr>
            <w:r w:rsidRPr="00FD50F6">
              <w:t>60</w:t>
            </w:r>
          </w:p>
        </w:tc>
        <w:tc>
          <w:tcPr>
            <w:tcW w:w="1134" w:type="dxa"/>
            <w:vAlign w:val="center"/>
          </w:tcPr>
          <w:p w14:paraId="7A31A17E" w14:textId="77777777" w:rsidR="008F633E" w:rsidRPr="00FD50F6" w:rsidRDefault="008F633E" w:rsidP="000831EC">
            <w:pPr>
              <w:pStyle w:val="7"/>
            </w:pPr>
            <w:r w:rsidRPr="00FD50F6">
              <w:t>50</w:t>
            </w:r>
          </w:p>
        </w:tc>
      </w:tr>
      <w:tr w:rsidR="00FD50F6" w:rsidRPr="00FD50F6" w14:paraId="72E27DA6" w14:textId="77777777" w:rsidTr="000831EC">
        <w:trPr>
          <w:cantSplit/>
          <w:trHeight w:val="340"/>
          <w:jc w:val="center"/>
        </w:trPr>
        <w:tc>
          <w:tcPr>
            <w:tcW w:w="1260" w:type="dxa"/>
            <w:vAlign w:val="center"/>
          </w:tcPr>
          <w:p w14:paraId="6497136D" w14:textId="77777777" w:rsidR="008F633E" w:rsidRPr="00FD50F6" w:rsidRDefault="008F633E" w:rsidP="000831EC">
            <w:pPr>
              <w:pStyle w:val="7"/>
            </w:pPr>
            <w:r w:rsidRPr="00FD50F6">
              <w:t>3</w:t>
            </w:r>
            <w:r w:rsidRPr="00FD50F6">
              <w:t>类</w:t>
            </w:r>
          </w:p>
        </w:tc>
        <w:tc>
          <w:tcPr>
            <w:tcW w:w="4552" w:type="dxa"/>
            <w:vAlign w:val="center"/>
          </w:tcPr>
          <w:p w14:paraId="12D122F4" w14:textId="77777777" w:rsidR="008F633E" w:rsidRPr="00FD50F6" w:rsidRDefault="008F633E" w:rsidP="000831EC">
            <w:pPr>
              <w:pStyle w:val="7"/>
            </w:pPr>
            <w:r w:rsidRPr="00FD50F6">
              <w:t>工业区的敏感点</w:t>
            </w:r>
          </w:p>
        </w:tc>
        <w:tc>
          <w:tcPr>
            <w:tcW w:w="1276" w:type="dxa"/>
            <w:vAlign w:val="center"/>
          </w:tcPr>
          <w:p w14:paraId="7C36A2C2" w14:textId="77777777" w:rsidR="008F633E" w:rsidRPr="00FD50F6" w:rsidRDefault="008F633E" w:rsidP="000831EC">
            <w:pPr>
              <w:pStyle w:val="7"/>
            </w:pPr>
            <w:r w:rsidRPr="00FD50F6">
              <w:t>65</w:t>
            </w:r>
          </w:p>
        </w:tc>
        <w:tc>
          <w:tcPr>
            <w:tcW w:w="1134" w:type="dxa"/>
            <w:vAlign w:val="center"/>
          </w:tcPr>
          <w:p w14:paraId="570EEE8D" w14:textId="77777777" w:rsidR="008F633E" w:rsidRPr="00FD50F6" w:rsidRDefault="008F633E" w:rsidP="000831EC">
            <w:pPr>
              <w:pStyle w:val="7"/>
            </w:pPr>
            <w:r w:rsidRPr="00FD50F6">
              <w:t>55</w:t>
            </w:r>
          </w:p>
        </w:tc>
      </w:tr>
      <w:tr w:rsidR="00FD50F6" w:rsidRPr="00FD50F6" w14:paraId="64E15365" w14:textId="77777777" w:rsidTr="000831EC">
        <w:trPr>
          <w:cantSplit/>
          <w:trHeight w:val="340"/>
          <w:jc w:val="center"/>
        </w:trPr>
        <w:tc>
          <w:tcPr>
            <w:tcW w:w="1260" w:type="dxa"/>
            <w:vAlign w:val="center"/>
          </w:tcPr>
          <w:p w14:paraId="75FB2EC1" w14:textId="77777777" w:rsidR="008F633E" w:rsidRPr="00FD50F6" w:rsidRDefault="008F633E" w:rsidP="000831EC">
            <w:pPr>
              <w:pStyle w:val="7"/>
            </w:pPr>
            <w:r w:rsidRPr="00FD50F6">
              <w:t>4a</w:t>
            </w:r>
            <w:r w:rsidRPr="00FD50F6">
              <w:t>类</w:t>
            </w:r>
          </w:p>
        </w:tc>
        <w:tc>
          <w:tcPr>
            <w:tcW w:w="4552" w:type="dxa"/>
            <w:vAlign w:val="center"/>
          </w:tcPr>
          <w:p w14:paraId="403DA038" w14:textId="76061517" w:rsidR="008F633E" w:rsidRPr="00FD50F6" w:rsidRDefault="008F633E" w:rsidP="000831EC">
            <w:pPr>
              <w:pStyle w:val="7"/>
            </w:pPr>
            <w:r w:rsidRPr="00FD50F6">
              <w:rPr>
                <w:rFonts w:hint="eastAsia"/>
              </w:rPr>
              <w:t>交通</w:t>
            </w:r>
            <w:r w:rsidRPr="00FD50F6">
              <w:t>干线</w:t>
            </w:r>
            <w:r w:rsidRPr="00FD50F6">
              <w:rPr>
                <w:rFonts w:hint="eastAsia"/>
              </w:rPr>
              <w:t>（除</w:t>
            </w:r>
            <w:r w:rsidRPr="00FD50F6">
              <w:t>铁路干线</w:t>
            </w:r>
            <w:r w:rsidRPr="00FD50F6">
              <w:rPr>
                <w:rFonts w:hint="eastAsia"/>
              </w:rPr>
              <w:t>）</w:t>
            </w:r>
            <w:r w:rsidRPr="00FD50F6">
              <w:t>两侧的敏感点</w:t>
            </w:r>
          </w:p>
        </w:tc>
        <w:tc>
          <w:tcPr>
            <w:tcW w:w="1276" w:type="dxa"/>
            <w:vAlign w:val="center"/>
          </w:tcPr>
          <w:p w14:paraId="173852CC" w14:textId="77777777" w:rsidR="008F633E" w:rsidRPr="00FD50F6" w:rsidRDefault="008F633E" w:rsidP="000831EC">
            <w:pPr>
              <w:pStyle w:val="7"/>
            </w:pPr>
            <w:r w:rsidRPr="00FD50F6">
              <w:t>70</w:t>
            </w:r>
          </w:p>
        </w:tc>
        <w:tc>
          <w:tcPr>
            <w:tcW w:w="1134" w:type="dxa"/>
            <w:vAlign w:val="center"/>
          </w:tcPr>
          <w:p w14:paraId="66CD1667" w14:textId="77777777" w:rsidR="008F633E" w:rsidRPr="00FD50F6" w:rsidRDefault="008F633E" w:rsidP="000831EC">
            <w:pPr>
              <w:pStyle w:val="7"/>
            </w:pPr>
            <w:r w:rsidRPr="00FD50F6">
              <w:t>55</w:t>
            </w:r>
          </w:p>
        </w:tc>
      </w:tr>
    </w:tbl>
    <w:p w14:paraId="33492BB3" w14:textId="662591CE" w:rsidR="008F633E" w:rsidRPr="00FD50F6" w:rsidRDefault="008F633E" w:rsidP="008F633E">
      <w:pPr>
        <w:pStyle w:val="30"/>
      </w:pPr>
      <w:r w:rsidRPr="00FD50F6">
        <w:t>地上风亭、冷却塔边界与敏感建筑之间的噪声防护距离及环境噪声限值应符合表</w:t>
      </w:r>
      <w:r w:rsidRPr="00FD50F6">
        <w:rPr>
          <w:rFonts w:hint="eastAsia"/>
        </w:rPr>
        <w:t>3</w:t>
      </w:r>
      <w:r w:rsidR="001C486F" w:rsidRPr="00FD50F6">
        <w:rPr>
          <w:rFonts w:hint="eastAsia"/>
        </w:rPr>
        <w:t>1</w:t>
      </w:r>
      <w:r w:rsidRPr="00FD50F6">
        <w:t>.</w:t>
      </w:r>
      <w:r w:rsidRPr="00FD50F6">
        <w:rPr>
          <w:rFonts w:hint="eastAsia"/>
        </w:rPr>
        <w:t>2.3</w:t>
      </w:r>
      <w:r w:rsidRPr="00FD50F6">
        <w:rPr>
          <w:rFonts w:hint="eastAsia"/>
        </w:rPr>
        <w:t>的</w:t>
      </w:r>
      <w:r w:rsidRPr="00FD50F6">
        <w:t>规定。当不能满足防护距离要求</w:t>
      </w:r>
      <w:r w:rsidRPr="00FD50F6">
        <w:rPr>
          <w:rFonts w:hint="eastAsia"/>
        </w:rPr>
        <w:t>且</w:t>
      </w:r>
      <w:r w:rsidRPr="00FD50F6">
        <w:t>不能达到噪声限值时，应在常规消声、降噪设计的基础上强化噪声防护措施。</w:t>
      </w:r>
    </w:p>
    <w:p w14:paraId="191E3BFC" w14:textId="1050AF8A" w:rsidR="008F633E" w:rsidRPr="00FD50F6" w:rsidRDefault="008F633E" w:rsidP="008F633E">
      <w:pPr>
        <w:pStyle w:val="6"/>
      </w:pPr>
      <w:r w:rsidRPr="00FD50F6">
        <w:t>表</w:t>
      </w:r>
      <w:r w:rsidRPr="00FD50F6">
        <w:t xml:space="preserve"> </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 xml:space="preserve">3 </w:t>
      </w:r>
      <w:r w:rsidRPr="00FD50F6">
        <w:t>风亭、冷却塔与敏感建筑之间的噪声防护距离及环境噪声限值</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031"/>
        <w:gridCol w:w="2268"/>
        <w:gridCol w:w="851"/>
        <w:gridCol w:w="850"/>
      </w:tblGrid>
      <w:tr w:rsidR="00FD50F6" w:rsidRPr="00FD50F6" w14:paraId="5853D15D" w14:textId="77777777" w:rsidTr="000831EC">
        <w:trPr>
          <w:cantSplit/>
          <w:trHeight w:val="340"/>
          <w:jc w:val="center"/>
        </w:trPr>
        <w:tc>
          <w:tcPr>
            <w:tcW w:w="1080" w:type="dxa"/>
            <w:vMerge w:val="restart"/>
            <w:tcBorders>
              <w:top w:val="single" w:sz="4" w:space="0" w:color="auto"/>
              <w:left w:val="single" w:sz="4" w:space="0" w:color="auto"/>
              <w:right w:val="single" w:sz="4" w:space="0" w:color="auto"/>
            </w:tcBorders>
            <w:vAlign w:val="center"/>
          </w:tcPr>
          <w:p w14:paraId="37EFF0BD" w14:textId="77777777" w:rsidR="008F633E" w:rsidRPr="00FD50F6" w:rsidRDefault="008F633E" w:rsidP="000831EC">
            <w:pPr>
              <w:pStyle w:val="7"/>
            </w:pPr>
            <w:r w:rsidRPr="00FD50F6">
              <w:t>声环境功能区类别</w:t>
            </w:r>
          </w:p>
        </w:tc>
        <w:tc>
          <w:tcPr>
            <w:tcW w:w="3031" w:type="dxa"/>
            <w:vMerge w:val="restart"/>
            <w:tcBorders>
              <w:top w:val="single" w:sz="4" w:space="0" w:color="auto"/>
              <w:left w:val="single" w:sz="4" w:space="0" w:color="auto"/>
              <w:right w:val="single" w:sz="4" w:space="0" w:color="auto"/>
            </w:tcBorders>
            <w:vAlign w:val="center"/>
          </w:tcPr>
          <w:p w14:paraId="0AF3535D" w14:textId="77777777" w:rsidR="008F633E" w:rsidRPr="00FD50F6" w:rsidRDefault="008F633E" w:rsidP="000831EC">
            <w:pPr>
              <w:pStyle w:val="7"/>
            </w:pPr>
            <w:r w:rsidRPr="00FD50F6">
              <w:t>各环境功能区敏感点</w:t>
            </w:r>
          </w:p>
        </w:tc>
        <w:tc>
          <w:tcPr>
            <w:tcW w:w="2268" w:type="dxa"/>
            <w:vMerge w:val="restart"/>
            <w:tcBorders>
              <w:top w:val="single" w:sz="4" w:space="0" w:color="auto"/>
              <w:left w:val="single" w:sz="4" w:space="0" w:color="auto"/>
              <w:right w:val="single" w:sz="4" w:space="0" w:color="auto"/>
            </w:tcBorders>
            <w:vAlign w:val="center"/>
          </w:tcPr>
          <w:p w14:paraId="33D1BBF3" w14:textId="77777777" w:rsidR="008F633E" w:rsidRPr="00FD50F6" w:rsidRDefault="008F633E" w:rsidP="000831EC">
            <w:pPr>
              <w:pStyle w:val="7"/>
            </w:pPr>
            <w:r w:rsidRPr="00FD50F6">
              <w:t>风亭、冷却塔边界与敏感建筑物的水平间距（</w:t>
            </w:r>
            <w:r w:rsidRPr="00FD50F6">
              <w:t>m</w:t>
            </w:r>
            <w:r w:rsidRPr="00FD50F6">
              <w:t>）</w:t>
            </w:r>
          </w:p>
        </w:tc>
        <w:tc>
          <w:tcPr>
            <w:tcW w:w="1701" w:type="dxa"/>
            <w:gridSpan w:val="2"/>
            <w:tcBorders>
              <w:top w:val="single" w:sz="4" w:space="0" w:color="auto"/>
              <w:left w:val="single" w:sz="4" w:space="0" w:color="auto"/>
              <w:right w:val="single" w:sz="4" w:space="0" w:color="auto"/>
            </w:tcBorders>
            <w:vAlign w:val="center"/>
          </w:tcPr>
          <w:p w14:paraId="102436B7" w14:textId="77777777" w:rsidR="008F633E" w:rsidRPr="00FD50F6" w:rsidRDefault="008F633E" w:rsidP="000831EC">
            <w:pPr>
              <w:pStyle w:val="7"/>
            </w:pPr>
            <w:r w:rsidRPr="00FD50F6">
              <w:t>噪声限值（</w:t>
            </w:r>
            <w:r w:rsidRPr="00FD50F6">
              <w:t>dBA</w:t>
            </w:r>
            <w:r w:rsidRPr="00FD50F6">
              <w:t>）</w:t>
            </w:r>
          </w:p>
        </w:tc>
      </w:tr>
      <w:tr w:rsidR="00FD50F6" w:rsidRPr="00FD50F6" w14:paraId="489F0D2D" w14:textId="77777777" w:rsidTr="000831EC">
        <w:trPr>
          <w:cantSplit/>
          <w:trHeight w:val="340"/>
          <w:jc w:val="center"/>
        </w:trPr>
        <w:tc>
          <w:tcPr>
            <w:tcW w:w="1080" w:type="dxa"/>
            <w:vMerge/>
            <w:tcBorders>
              <w:left w:val="single" w:sz="4" w:space="0" w:color="auto"/>
              <w:bottom w:val="single" w:sz="4" w:space="0" w:color="auto"/>
              <w:right w:val="single" w:sz="4" w:space="0" w:color="auto"/>
            </w:tcBorders>
            <w:vAlign w:val="center"/>
          </w:tcPr>
          <w:p w14:paraId="2293B02F" w14:textId="77777777" w:rsidR="008F633E" w:rsidRPr="00FD50F6" w:rsidRDefault="008F633E" w:rsidP="000831EC">
            <w:pPr>
              <w:pStyle w:val="7"/>
            </w:pPr>
          </w:p>
        </w:tc>
        <w:tc>
          <w:tcPr>
            <w:tcW w:w="3031" w:type="dxa"/>
            <w:vMerge/>
            <w:tcBorders>
              <w:left w:val="single" w:sz="4" w:space="0" w:color="auto"/>
              <w:bottom w:val="single" w:sz="4" w:space="0" w:color="auto"/>
              <w:right w:val="single" w:sz="4" w:space="0" w:color="auto"/>
            </w:tcBorders>
            <w:vAlign w:val="center"/>
          </w:tcPr>
          <w:p w14:paraId="16DAB4EC" w14:textId="77777777" w:rsidR="008F633E" w:rsidRPr="00FD50F6" w:rsidRDefault="008F633E" w:rsidP="000831EC">
            <w:pPr>
              <w:pStyle w:val="7"/>
            </w:pPr>
          </w:p>
        </w:tc>
        <w:tc>
          <w:tcPr>
            <w:tcW w:w="2268" w:type="dxa"/>
            <w:vMerge/>
            <w:tcBorders>
              <w:left w:val="single" w:sz="4" w:space="0" w:color="auto"/>
              <w:bottom w:val="single" w:sz="4" w:space="0" w:color="auto"/>
              <w:right w:val="single" w:sz="4" w:space="0" w:color="auto"/>
            </w:tcBorders>
            <w:vAlign w:val="center"/>
          </w:tcPr>
          <w:p w14:paraId="5F5B7DE6" w14:textId="77777777" w:rsidR="008F633E" w:rsidRPr="00FD50F6" w:rsidRDefault="008F633E" w:rsidP="000831EC">
            <w:pPr>
              <w:pStyle w:val="7"/>
            </w:pPr>
          </w:p>
        </w:tc>
        <w:tc>
          <w:tcPr>
            <w:tcW w:w="851" w:type="dxa"/>
            <w:tcBorders>
              <w:top w:val="single" w:sz="4" w:space="0" w:color="auto"/>
              <w:left w:val="single" w:sz="4" w:space="0" w:color="auto"/>
              <w:right w:val="single" w:sz="4" w:space="0" w:color="auto"/>
            </w:tcBorders>
            <w:vAlign w:val="center"/>
          </w:tcPr>
          <w:p w14:paraId="53F9DB49" w14:textId="77777777" w:rsidR="008F633E" w:rsidRPr="00FD50F6" w:rsidRDefault="008F633E" w:rsidP="000831EC">
            <w:pPr>
              <w:pStyle w:val="7"/>
            </w:pPr>
            <w:r w:rsidRPr="00FD50F6">
              <w:t>昼间</w:t>
            </w:r>
          </w:p>
        </w:tc>
        <w:tc>
          <w:tcPr>
            <w:tcW w:w="850" w:type="dxa"/>
            <w:tcBorders>
              <w:left w:val="single" w:sz="4" w:space="0" w:color="auto"/>
              <w:right w:val="single" w:sz="4" w:space="0" w:color="auto"/>
            </w:tcBorders>
            <w:vAlign w:val="center"/>
          </w:tcPr>
          <w:p w14:paraId="335E6D97" w14:textId="77777777" w:rsidR="008F633E" w:rsidRPr="00FD50F6" w:rsidRDefault="008F633E" w:rsidP="000831EC">
            <w:pPr>
              <w:pStyle w:val="7"/>
            </w:pPr>
            <w:r w:rsidRPr="00FD50F6">
              <w:t>夜间</w:t>
            </w:r>
          </w:p>
        </w:tc>
      </w:tr>
      <w:tr w:rsidR="00FD50F6" w:rsidRPr="00FD50F6" w14:paraId="311290F4" w14:textId="77777777" w:rsidTr="000831EC">
        <w:trPr>
          <w:cantSplit/>
          <w:trHeight w:val="3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8C95097" w14:textId="77777777" w:rsidR="008F633E" w:rsidRPr="00FD50F6" w:rsidRDefault="008F633E" w:rsidP="000831EC">
            <w:pPr>
              <w:pStyle w:val="7"/>
            </w:pPr>
            <w:r w:rsidRPr="00FD50F6">
              <w:t>1</w:t>
            </w:r>
            <w:r w:rsidRPr="00FD50F6">
              <w:t>类</w:t>
            </w:r>
          </w:p>
        </w:tc>
        <w:tc>
          <w:tcPr>
            <w:tcW w:w="3031" w:type="dxa"/>
            <w:tcBorders>
              <w:top w:val="single" w:sz="4" w:space="0" w:color="auto"/>
              <w:left w:val="single" w:sz="4" w:space="0" w:color="auto"/>
              <w:bottom w:val="single" w:sz="4" w:space="0" w:color="auto"/>
              <w:right w:val="single" w:sz="4" w:space="0" w:color="auto"/>
            </w:tcBorders>
            <w:vAlign w:val="center"/>
          </w:tcPr>
          <w:p w14:paraId="7E257124" w14:textId="77777777" w:rsidR="008F633E" w:rsidRPr="00FD50F6" w:rsidRDefault="008F633E" w:rsidP="000831EC">
            <w:pPr>
              <w:pStyle w:val="7"/>
            </w:pPr>
            <w:r w:rsidRPr="00FD50F6">
              <w:t>居住、医疗、文教、科研区的敏感点</w:t>
            </w:r>
          </w:p>
        </w:tc>
        <w:tc>
          <w:tcPr>
            <w:tcW w:w="2268" w:type="dxa"/>
            <w:tcBorders>
              <w:top w:val="single" w:sz="4" w:space="0" w:color="auto"/>
              <w:left w:val="single" w:sz="4" w:space="0" w:color="auto"/>
              <w:bottom w:val="single" w:sz="4" w:space="0" w:color="auto"/>
              <w:right w:val="single" w:sz="4" w:space="0" w:color="auto"/>
            </w:tcBorders>
            <w:vAlign w:val="center"/>
          </w:tcPr>
          <w:p w14:paraId="7D726C6F" w14:textId="77777777" w:rsidR="008F633E" w:rsidRPr="00FD50F6" w:rsidRDefault="008F633E" w:rsidP="000831EC">
            <w:pPr>
              <w:pStyle w:val="7"/>
            </w:pPr>
            <w:r w:rsidRPr="00FD50F6">
              <w:t>≥30</w:t>
            </w:r>
          </w:p>
        </w:tc>
        <w:tc>
          <w:tcPr>
            <w:tcW w:w="851" w:type="dxa"/>
            <w:tcBorders>
              <w:left w:val="single" w:sz="4" w:space="0" w:color="auto"/>
              <w:right w:val="single" w:sz="4" w:space="0" w:color="auto"/>
            </w:tcBorders>
            <w:vAlign w:val="center"/>
          </w:tcPr>
          <w:p w14:paraId="29B6CFFE" w14:textId="77777777" w:rsidR="008F633E" w:rsidRPr="00FD50F6" w:rsidRDefault="008F633E" w:rsidP="000831EC">
            <w:pPr>
              <w:pStyle w:val="7"/>
            </w:pPr>
            <w:r w:rsidRPr="00FD50F6">
              <w:t>55</w:t>
            </w:r>
          </w:p>
        </w:tc>
        <w:tc>
          <w:tcPr>
            <w:tcW w:w="850" w:type="dxa"/>
            <w:tcBorders>
              <w:left w:val="single" w:sz="4" w:space="0" w:color="auto"/>
              <w:right w:val="single" w:sz="4" w:space="0" w:color="auto"/>
            </w:tcBorders>
            <w:vAlign w:val="center"/>
          </w:tcPr>
          <w:p w14:paraId="65560BE1" w14:textId="77777777" w:rsidR="008F633E" w:rsidRPr="00FD50F6" w:rsidRDefault="008F633E" w:rsidP="000831EC">
            <w:pPr>
              <w:pStyle w:val="7"/>
            </w:pPr>
            <w:r w:rsidRPr="00FD50F6">
              <w:t>45</w:t>
            </w:r>
          </w:p>
        </w:tc>
      </w:tr>
      <w:tr w:rsidR="00FD50F6" w:rsidRPr="00FD50F6" w14:paraId="6EB0713B" w14:textId="77777777" w:rsidTr="000831EC">
        <w:trPr>
          <w:cantSplit/>
          <w:trHeight w:val="3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04FAECB" w14:textId="77777777" w:rsidR="008F633E" w:rsidRPr="00FD50F6" w:rsidRDefault="008F633E" w:rsidP="000831EC">
            <w:pPr>
              <w:pStyle w:val="7"/>
            </w:pPr>
            <w:r w:rsidRPr="00FD50F6">
              <w:t>2</w:t>
            </w:r>
            <w:r w:rsidRPr="00FD50F6">
              <w:t>类</w:t>
            </w:r>
          </w:p>
        </w:tc>
        <w:tc>
          <w:tcPr>
            <w:tcW w:w="3031" w:type="dxa"/>
            <w:tcBorders>
              <w:top w:val="single" w:sz="4" w:space="0" w:color="auto"/>
              <w:left w:val="single" w:sz="4" w:space="0" w:color="auto"/>
              <w:bottom w:val="single" w:sz="4" w:space="0" w:color="auto"/>
              <w:right w:val="single" w:sz="4" w:space="0" w:color="auto"/>
            </w:tcBorders>
            <w:vAlign w:val="center"/>
          </w:tcPr>
          <w:p w14:paraId="7BF16687" w14:textId="77777777" w:rsidR="008F633E" w:rsidRPr="00FD50F6" w:rsidRDefault="008F633E" w:rsidP="000831EC">
            <w:pPr>
              <w:pStyle w:val="7"/>
            </w:pPr>
            <w:r w:rsidRPr="00FD50F6">
              <w:t>居住、商业、工业混合区的敏感点</w:t>
            </w:r>
          </w:p>
        </w:tc>
        <w:tc>
          <w:tcPr>
            <w:tcW w:w="2268" w:type="dxa"/>
            <w:tcBorders>
              <w:top w:val="single" w:sz="4" w:space="0" w:color="auto"/>
              <w:left w:val="single" w:sz="4" w:space="0" w:color="auto"/>
              <w:bottom w:val="single" w:sz="4" w:space="0" w:color="auto"/>
              <w:right w:val="single" w:sz="4" w:space="0" w:color="auto"/>
            </w:tcBorders>
            <w:vAlign w:val="center"/>
          </w:tcPr>
          <w:p w14:paraId="76F73F80" w14:textId="77777777" w:rsidR="008F633E" w:rsidRPr="00FD50F6" w:rsidRDefault="008F633E" w:rsidP="000831EC">
            <w:pPr>
              <w:pStyle w:val="7"/>
            </w:pPr>
            <w:r w:rsidRPr="00FD50F6">
              <w:t>≥20</w:t>
            </w:r>
          </w:p>
        </w:tc>
        <w:tc>
          <w:tcPr>
            <w:tcW w:w="851" w:type="dxa"/>
            <w:tcBorders>
              <w:left w:val="single" w:sz="4" w:space="0" w:color="auto"/>
              <w:right w:val="single" w:sz="4" w:space="0" w:color="auto"/>
            </w:tcBorders>
            <w:vAlign w:val="center"/>
          </w:tcPr>
          <w:p w14:paraId="064C1873" w14:textId="77777777" w:rsidR="008F633E" w:rsidRPr="00FD50F6" w:rsidRDefault="008F633E" w:rsidP="000831EC">
            <w:pPr>
              <w:pStyle w:val="7"/>
            </w:pPr>
            <w:r w:rsidRPr="00FD50F6">
              <w:t>60</w:t>
            </w:r>
          </w:p>
        </w:tc>
        <w:tc>
          <w:tcPr>
            <w:tcW w:w="850" w:type="dxa"/>
            <w:tcBorders>
              <w:left w:val="single" w:sz="4" w:space="0" w:color="auto"/>
              <w:right w:val="single" w:sz="4" w:space="0" w:color="auto"/>
            </w:tcBorders>
            <w:vAlign w:val="center"/>
          </w:tcPr>
          <w:p w14:paraId="3052AC80" w14:textId="77777777" w:rsidR="008F633E" w:rsidRPr="00FD50F6" w:rsidRDefault="008F633E" w:rsidP="000831EC">
            <w:pPr>
              <w:pStyle w:val="7"/>
            </w:pPr>
            <w:r w:rsidRPr="00FD50F6">
              <w:t>50</w:t>
            </w:r>
          </w:p>
        </w:tc>
      </w:tr>
      <w:tr w:rsidR="00FD50F6" w:rsidRPr="00FD50F6" w14:paraId="27301129" w14:textId="77777777" w:rsidTr="000831EC">
        <w:trPr>
          <w:cantSplit/>
          <w:trHeight w:val="3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01F4D042" w14:textId="77777777" w:rsidR="008F633E" w:rsidRPr="00FD50F6" w:rsidRDefault="008F633E" w:rsidP="000831EC">
            <w:pPr>
              <w:pStyle w:val="7"/>
            </w:pPr>
            <w:r w:rsidRPr="00FD50F6">
              <w:t>3</w:t>
            </w:r>
            <w:r w:rsidRPr="00FD50F6">
              <w:t>类</w:t>
            </w:r>
          </w:p>
        </w:tc>
        <w:tc>
          <w:tcPr>
            <w:tcW w:w="3031" w:type="dxa"/>
            <w:tcBorders>
              <w:top w:val="single" w:sz="4" w:space="0" w:color="auto"/>
              <w:left w:val="single" w:sz="4" w:space="0" w:color="auto"/>
              <w:bottom w:val="single" w:sz="4" w:space="0" w:color="auto"/>
              <w:right w:val="single" w:sz="4" w:space="0" w:color="auto"/>
            </w:tcBorders>
            <w:vAlign w:val="center"/>
          </w:tcPr>
          <w:p w14:paraId="27E63624" w14:textId="77777777" w:rsidR="008F633E" w:rsidRPr="00FD50F6" w:rsidRDefault="008F633E" w:rsidP="000831EC">
            <w:pPr>
              <w:pStyle w:val="7"/>
            </w:pPr>
            <w:r w:rsidRPr="00FD50F6">
              <w:t>工业区的敏感点</w:t>
            </w:r>
          </w:p>
        </w:tc>
        <w:tc>
          <w:tcPr>
            <w:tcW w:w="2268" w:type="dxa"/>
            <w:tcBorders>
              <w:top w:val="single" w:sz="4" w:space="0" w:color="auto"/>
              <w:left w:val="single" w:sz="4" w:space="0" w:color="auto"/>
              <w:bottom w:val="single" w:sz="4" w:space="0" w:color="auto"/>
              <w:right w:val="single" w:sz="4" w:space="0" w:color="auto"/>
            </w:tcBorders>
            <w:vAlign w:val="center"/>
          </w:tcPr>
          <w:p w14:paraId="45B7C578" w14:textId="77777777" w:rsidR="008F633E" w:rsidRPr="00FD50F6" w:rsidRDefault="008F633E" w:rsidP="000831EC">
            <w:pPr>
              <w:pStyle w:val="7"/>
            </w:pPr>
            <w:r w:rsidRPr="00FD50F6">
              <w:t>≥10</w:t>
            </w:r>
          </w:p>
        </w:tc>
        <w:tc>
          <w:tcPr>
            <w:tcW w:w="851" w:type="dxa"/>
            <w:tcBorders>
              <w:left w:val="single" w:sz="4" w:space="0" w:color="auto"/>
              <w:right w:val="single" w:sz="4" w:space="0" w:color="auto"/>
            </w:tcBorders>
            <w:vAlign w:val="center"/>
          </w:tcPr>
          <w:p w14:paraId="361F5487" w14:textId="77777777" w:rsidR="008F633E" w:rsidRPr="00FD50F6" w:rsidRDefault="008F633E" w:rsidP="000831EC">
            <w:pPr>
              <w:pStyle w:val="7"/>
            </w:pPr>
            <w:r w:rsidRPr="00FD50F6">
              <w:t>65</w:t>
            </w:r>
          </w:p>
        </w:tc>
        <w:tc>
          <w:tcPr>
            <w:tcW w:w="850" w:type="dxa"/>
            <w:tcBorders>
              <w:left w:val="single" w:sz="4" w:space="0" w:color="auto"/>
              <w:right w:val="single" w:sz="4" w:space="0" w:color="auto"/>
            </w:tcBorders>
            <w:vAlign w:val="center"/>
          </w:tcPr>
          <w:p w14:paraId="6AFA80E7" w14:textId="77777777" w:rsidR="008F633E" w:rsidRPr="00FD50F6" w:rsidRDefault="008F633E" w:rsidP="000831EC">
            <w:pPr>
              <w:pStyle w:val="7"/>
            </w:pPr>
            <w:r w:rsidRPr="00FD50F6">
              <w:t>55</w:t>
            </w:r>
          </w:p>
        </w:tc>
      </w:tr>
      <w:tr w:rsidR="00FD50F6" w:rsidRPr="00FD50F6" w14:paraId="5C7974C5" w14:textId="77777777" w:rsidTr="000831EC">
        <w:trPr>
          <w:cantSplit/>
          <w:trHeight w:val="340"/>
          <w:jc w:val="center"/>
        </w:trPr>
        <w:tc>
          <w:tcPr>
            <w:tcW w:w="1080" w:type="dxa"/>
            <w:vMerge w:val="restart"/>
            <w:tcBorders>
              <w:top w:val="single" w:sz="4" w:space="0" w:color="auto"/>
              <w:left w:val="single" w:sz="4" w:space="0" w:color="auto"/>
              <w:right w:val="single" w:sz="4" w:space="0" w:color="auto"/>
            </w:tcBorders>
            <w:vAlign w:val="center"/>
          </w:tcPr>
          <w:p w14:paraId="7A0F1374" w14:textId="77777777" w:rsidR="008F633E" w:rsidRPr="00FD50F6" w:rsidRDefault="008F633E" w:rsidP="000831EC">
            <w:pPr>
              <w:pStyle w:val="7"/>
            </w:pPr>
            <w:r w:rsidRPr="00FD50F6">
              <w:lastRenderedPageBreak/>
              <w:t>4a</w:t>
            </w:r>
            <w:r w:rsidRPr="00FD50F6">
              <w:t>类</w:t>
            </w:r>
          </w:p>
        </w:tc>
        <w:tc>
          <w:tcPr>
            <w:tcW w:w="3031" w:type="dxa"/>
            <w:vMerge w:val="restart"/>
            <w:tcBorders>
              <w:top w:val="single" w:sz="4" w:space="0" w:color="auto"/>
              <w:left w:val="single" w:sz="4" w:space="0" w:color="auto"/>
              <w:right w:val="single" w:sz="4" w:space="0" w:color="auto"/>
            </w:tcBorders>
            <w:vAlign w:val="center"/>
          </w:tcPr>
          <w:p w14:paraId="2F6A46DF" w14:textId="33167FE8" w:rsidR="008F633E" w:rsidRPr="00FD50F6" w:rsidRDefault="008F633E" w:rsidP="000831EC">
            <w:pPr>
              <w:pStyle w:val="7"/>
            </w:pPr>
            <w:r w:rsidRPr="00FD50F6">
              <w:rPr>
                <w:rFonts w:hint="eastAsia"/>
              </w:rPr>
              <w:t>交通干线（除</w:t>
            </w:r>
            <w:r w:rsidRPr="00FD50F6">
              <w:t>铁路干线</w:t>
            </w:r>
            <w:r w:rsidRPr="00FD50F6">
              <w:rPr>
                <w:rFonts w:hint="eastAsia"/>
              </w:rPr>
              <w:t>）两侧的敏感点</w:t>
            </w:r>
          </w:p>
        </w:tc>
        <w:tc>
          <w:tcPr>
            <w:tcW w:w="2268" w:type="dxa"/>
            <w:tcBorders>
              <w:top w:val="single" w:sz="4" w:space="0" w:color="auto"/>
              <w:left w:val="single" w:sz="4" w:space="0" w:color="auto"/>
              <w:bottom w:val="single" w:sz="4" w:space="0" w:color="auto"/>
              <w:right w:val="single" w:sz="4" w:space="0" w:color="auto"/>
            </w:tcBorders>
            <w:vAlign w:val="center"/>
          </w:tcPr>
          <w:p w14:paraId="1B2DAB10" w14:textId="77777777" w:rsidR="008F633E" w:rsidRPr="00FD50F6" w:rsidRDefault="008F633E" w:rsidP="000831EC">
            <w:pPr>
              <w:pStyle w:val="7"/>
            </w:pPr>
            <w:r w:rsidRPr="00FD50F6">
              <w:t>≥10</w:t>
            </w:r>
            <w:r w:rsidRPr="00FD50F6">
              <w:rPr>
                <w:rFonts w:hint="eastAsia"/>
              </w:rPr>
              <w:t>（建成区）</w:t>
            </w:r>
          </w:p>
        </w:tc>
        <w:tc>
          <w:tcPr>
            <w:tcW w:w="851" w:type="dxa"/>
            <w:vMerge w:val="restart"/>
            <w:tcBorders>
              <w:left w:val="single" w:sz="4" w:space="0" w:color="auto"/>
              <w:right w:val="single" w:sz="4" w:space="0" w:color="auto"/>
            </w:tcBorders>
            <w:vAlign w:val="center"/>
          </w:tcPr>
          <w:p w14:paraId="42083451" w14:textId="77777777" w:rsidR="008F633E" w:rsidRPr="00FD50F6" w:rsidRDefault="008F633E" w:rsidP="000831EC">
            <w:pPr>
              <w:pStyle w:val="7"/>
            </w:pPr>
            <w:r w:rsidRPr="00FD50F6">
              <w:t>70</w:t>
            </w:r>
          </w:p>
        </w:tc>
        <w:tc>
          <w:tcPr>
            <w:tcW w:w="850" w:type="dxa"/>
            <w:vMerge w:val="restart"/>
            <w:tcBorders>
              <w:left w:val="single" w:sz="4" w:space="0" w:color="auto"/>
              <w:right w:val="single" w:sz="4" w:space="0" w:color="auto"/>
            </w:tcBorders>
            <w:vAlign w:val="center"/>
          </w:tcPr>
          <w:p w14:paraId="4FCBE769" w14:textId="77777777" w:rsidR="008F633E" w:rsidRPr="00FD50F6" w:rsidRDefault="008F633E" w:rsidP="000831EC">
            <w:pPr>
              <w:pStyle w:val="7"/>
            </w:pPr>
            <w:r w:rsidRPr="00FD50F6">
              <w:t>55</w:t>
            </w:r>
          </w:p>
        </w:tc>
      </w:tr>
      <w:tr w:rsidR="00FD50F6" w:rsidRPr="00FD50F6" w14:paraId="613307AD" w14:textId="77777777" w:rsidTr="000831EC">
        <w:trPr>
          <w:cantSplit/>
          <w:trHeight w:val="340"/>
          <w:jc w:val="center"/>
        </w:trPr>
        <w:tc>
          <w:tcPr>
            <w:tcW w:w="1080" w:type="dxa"/>
            <w:vMerge/>
            <w:tcBorders>
              <w:left w:val="single" w:sz="4" w:space="0" w:color="auto"/>
              <w:bottom w:val="single" w:sz="4" w:space="0" w:color="auto"/>
              <w:right w:val="single" w:sz="4" w:space="0" w:color="auto"/>
            </w:tcBorders>
            <w:vAlign w:val="center"/>
          </w:tcPr>
          <w:p w14:paraId="3A818A4D" w14:textId="77777777" w:rsidR="008F633E" w:rsidRPr="00FD50F6" w:rsidRDefault="008F633E" w:rsidP="000831EC">
            <w:pPr>
              <w:pStyle w:val="7"/>
            </w:pPr>
          </w:p>
        </w:tc>
        <w:tc>
          <w:tcPr>
            <w:tcW w:w="3031" w:type="dxa"/>
            <w:vMerge/>
            <w:tcBorders>
              <w:left w:val="single" w:sz="4" w:space="0" w:color="auto"/>
              <w:bottom w:val="single" w:sz="4" w:space="0" w:color="auto"/>
              <w:right w:val="single" w:sz="4" w:space="0" w:color="auto"/>
            </w:tcBorders>
            <w:vAlign w:val="center"/>
          </w:tcPr>
          <w:p w14:paraId="16A3728F" w14:textId="77777777" w:rsidR="008F633E" w:rsidRPr="00FD50F6" w:rsidRDefault="008F633E" w:rsidP="000831EC">
            <w:pPr>
              <w:pStyle w:val="7"/>
            </w:pPr>
          </w:p>
        </w:tc>
        <w:tc>
          <w:tcPr>
            <w:tcW w:w="2268" w:type="dxa"/>
            <w:tcBorders>
              <w:top w:val="single" w:sz="4" w:space="0" w:color="auto"/>
              <w:left w:val="single" w:sz="4" w:space="0" w:color="auto"/>
              <w:bottom w:val="single" w:sz="4" w:space="0" w:color="auto"/>
              <w:right w:val="single" w:sz="4" w:space="0" w:color="auto"/>
            </w:tcBorders>
            <w:vAlign w:val="center"/>
          </w:tcPr>
          <w:p w14:paraId="176E8F79" w14:textId="77777777" w:rsidR="008F633E" w:rsidRPr="00FD50F6" w:rsidRDefault="008F633E" w:rsidP="000831EC">
            <w:pPr>
              <w:pStyle w:val="7"/>
            </w:pPr>
            <w:r w:rsidRPr="00FD50F6">
              <w:rPr>
                <w:rFonts w:hint="eastAsia"/>
              </w:rPr>
              <w:t>≮</w:t>
            </w:r>
            <w:r w:rsidRPr="00FD50F6">
              <w:rPr>
                <w:rFonts w:hint="eastAsia"/>
              </w:rPr>
              <w:t>15</w:t>
            </w:r>
            <w:r w:rsidRPr="00FD50F6">
              <w:rPr>
                <w:rFonts w:hint="eastAsia"/>
              </w:rPr>
              <w:t>（规划区）</w:t>
            </w:r>
          </w:p>
        </w:tc>
        <w:tc>
          <w:tcPr>
            <w:tcW w:w="851" w:type="dxa"/>
            <w:vMerge/>
            <w:tcBorders>
              <w:left w:val="single" w:sz="4" w:space="0" w:color="auto"/>
              <w:bottom w:val="single" w:sz="4" w:space="0" w:color="auto"/>
              <w:right w:val="single" w:sz="4" w:space="0" w:color="auto"/>
            </w:tcBorders>
            <w:vAlign w:val="center"/>
          </w:tcPr>
          <w:p w14:paraId="0782DF4A" w14:textId="77777777" w:rsidR="008F633E" w:rsidRPr="00FD50F6" w:rsidRDefault="008F633E" w:rsidP="000831EC">
            <w:pPr>
              <w:pStyle w:val="7"/>
            </w:pPr>
          </w:p>
        </w:tc>
        <w:tc>
          <w:tcPr>
            <w:tcW w:w="850" w:type="dxa"/>
            <w:vMerge/>
            <w:tcBorders>
              <w:left w:val="single" w:sz="4" w:space="0" w:color="auto"/>
              <w:bottom w:val="single" w:sz="4" w:space="0" w:color="auto"/>
              <w:right w:val="single" w:sz="4" w:space="0" w:color="auto"/>
            </w:tcBorders>
            <w:vAlign w:val="center"/>
          </w:tcPr>
          <w:p w14:paraId="42BCD48D" w14:textId="77777777" w:rsidR="008F633E" w:rsidRPr="00FD50F6" w:rsidRDefault="008F633E" w:rsidP="000831EC">
            <w:pPr>
              <w:pStyle w:val="7"/>
            </w:pPr>
          </w:p>
        </w:tc>
      </w:tr>
    </w:tbl>
    <w:p w14:paraId="7DBA6B9C" w14:textId="77777777" w:rsidR="008F633E" w:rsidRPr="00FD50F6" w:rsidRDefault="008F633E" w:rsidP="008F633E">
      <w:pPr>
        <w:pStyle w:val="30"/>
      </w:pPr>
      <w:r w:rsidRPr="00FD50F6">
        <w:t>地铁振动应符合下列规定：</w:t>
      </w:r>
    </w:p>
    <w:p w14:paraId="73BF31DC" w14:textId="06AEAEE5" w:rsidR="008F633E" w:rsidRPr="00FD50F6" w:rsidRDefault="008F633E" w:rsidP="00A926BD">
      <w:pPr>
        <w:pStyle w:val="4"/>
      </w:pPr>
      <w:r w:rsidRPr="00FD50F6">
        <w:t>列车运行振动影响应符合现行国家标准《城市区域环境振动标准》</w:t>
      </w:r>
      <w:r w:rsidRPr="00FD50F6">
        <w:t>GB 10070</w:t>
      </w:r>
      <w:r w:rsidRPr="00FD50F6">
        <w:t>的规定；</w:t>
      </w:r>
    </w:p>
    <w:p w14:paraId="08E8BE3C" w14:textId="7C477C9D" w:rsidR="008F633E" w:rsidRPr="00FD50F6" w:rsidRDefault="008F633E" w:rsidP="00A926BD">
      <w:pPr>
        <w:pStyle w:val="4"/>
      </w:pPr>
      <w:r w:rsidRPr="00FD50F6">
        <w:t>地铁沿线建筑物室内二次辐射噪声应符合现行行业标准《城市轨道交通引起建筑物振动与二次辐射噪声限值及其测量方法标准》</w:t>
      </w:r>
      <w:r w:rsidRPr="00FD50F6">
        <w:t>JGJ/T</w:t>
      </w:r>
      <w:r w:rsidRPr="00FD50F6">
        <w:rPr>
          <w:rFonts w:hint="eastAsia"/>
        </w:rPr>
        <w:t xml:space="preserve"> </w:t>
      </w:r>
      <w:r w:rsidRPr="00FD50F6">
        <w:t>170</w:t>
      </w:r>
      <w:r w:rsidRPr="00FD50F6">
        <w:t>的规定；</w:t>
      </w:r>
    </w:p>
    <w:p w14:paraId="63D6BA45" w14:textId="3ED58227" w:rsidR="008F633E" w:rsidRPr="00FD50F6" w:rsidRDefault="008F633E" w:rsidP="00A926BD">
      <w:pPr>
        <w:pStyle w:val="4"/>
      </w:pPr>
      <w:r w:rsidRPr="00FD50F6">
        <w:t>地铁沿线文物建筑的振动速度应符合现行国家标准《古建筑防工业振动技术规范》</w:t>
      </w:r>
      <w:r w:rsidRPr="00FD50F6">
        <w:t>GB/T</w:t>
      </w:r>
      <w:r w:rsidRPr="00FD50F6">
        <w:rPr>
          <w:rFonts w:hint="eastAsia"/>
        </w:rPr>
        <w:t xml:space="preserve"> </w:t>
      </w:r>
      <w:r w:rsidRPr="00FD50F6">
        <w:t>50452</w:t>
      </w:r>
      <w:r w:rsidRPr="00FD50F6">
        <w:t>的规定。</w:t>
      </w:r>
    </w:p>
    <w:p w14:paraId="3FB4C4EE" w14:textId="5DF69CE1" w:rsidR="008F633E" w:rsidRPr="00FD50F6" w:rsidRDefault="008F633E" w:rsidP="008F633E">
      <w:pPr>
        <w:pStyle w:val="30"/>
      </w:pPr>
      <w:r w:rsidRPr="00FD50F6">
        <w:rPr>
          <w:rFonts w:hint="eastAsia"/>
        </w:rPr>
        <w:t>地下线路上方及两侧的敏感点环境振动限值</w:t>
      </w:r>
      <w:r w:rsidRPr="00FD50F6">
        <w:t>应</w:t>
      </w:r>
      <w:r w:rsidRPr="00FD50F6">
        <w:rPr>
          <w:rFonts w:hint="eastAsia"/>
        </w:rPr>
        <w:t>符合表</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5</w:t>
      </w:r>
      <w:r w:rsidRPr="00FD50F6">
        <w:t>-</w:t>
      </w:r>
      <w:r w:rsidRPr="00FD50F6">
        <w:rPr>
          <w:rFonts w:hint="eastAsia"/>
        </w:rPr>
        <w:t>1</w:t>
      </w:r>
      <w:r w:rsidRPr="00FD50F6">
        <w:rPr>
          <w:rFonts w:hint="eastAsia"/>
        </w:rPr>
        <w:t>的规定；</w:t>
      </w:r>
      <w:r w:rsidR="0016310B" w:rsidRPr="00FD50F6">
        <w:t>地下线</w:t>
      </w:r>
      <w:r w:rsidR="0016310B" w:rsidRPr="00FD50F6">
        <w:rPr>
          <w:rFonts w:hint="eastAsia"/>
        </w:rPr>
        <w:t>路</w:t>
      </w:r>
      <w:r w:rsidRPr="00FD50F6">
        <w:rPr>
          <w:rFonts w:hint="eastAsia"/>
        </w:rPr>
        <w:t>敏感点室内二次辐射噪声限值</w:t>
      </w:r>
      <w:r w:rsidRPr="00FD50F6">
        <w:t>应</w:t>
      </w:r>
      <w:r w:rsidRPr="00FD50F6">
        <w:rPr>
          <w:rFonts w:hint="eastAsia"/>
        </w:rPr>
        <w:t>符合表</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5</w:t>
      </w:r>
      <w:r w:rsidRPr="00FD50F6">
        <w:t>-2</w:t>
      </w:r>
      <w:r w:rsidRPr="00FD50F6">
        <w:rPr>
          <w:rFonts w:hint="eastAsia"/>
        </w:rPr>
        <w:t>的</w:t>
      </w:r>
      <w:r w:rsidRPr="00FD50F6">
        <w:t>规定</w:t>
      </w:r>
      <w:r w:rsidRPr="00FD50F6">
        <w:rPr>
          <w:rFonts w:hint="eastAsia"/>
        </w:rPr>
        <w:t>。</w:t>
      </w:r>
    </w:p>
    <w:p w14:paraId="14F3AC77" w14:textId="0F911B17" w:rsidR="008F633E" w:rsidRPr="00FD50F6" w:rsidRDefault="008F633E" w:rsidP="008F633E">
      <w:pPr>
        <w:pStyle w:val="6"/>
      </w:pPr>
      <w:r w:rsidRPr="00FD50F6">
        <w:t>表</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5</w:t>
      </w:r>
      <w:r w:rsidRPr="00FD50F6">
        <w:t xml:space="preserve">-1  </w:t>
      </w:r>
      <w:r w:rsidRPr="00FD50F6">
        <w:t>地下线路</w:t>
      </w:r>
      <w:r w:rsidR="0016310B" w:rsidRPr="00FD50F6">
        <w:rPr>
          <w:rFonts w:hint="eastAsia"/>
        </w:rPr>
        <w:t>及两侧的</w:t>
      </w:r>
      <w:r w:rsidRPr="00FD50F6">
        <w:t>敏感点环境振动</w:t>
      </w:r>
      <w:r w:rsidRPr="00FD50F6">
        <w:rPr>
          <w:rFonts w:hint="eastAsia"/>
        </w:rPr>
        <w:t>限值</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843"/>
        <w:gridCol w:w="1417"/>
        <w:gridCol w:w="1418"/>
      </w:tblGrid>
      <w:tr w:rsidR="00FD50F6" w:rsidRPr="00FD50F6" w14:paraId="1B4FD443" w14:textId="77777777" w:rsidTr="000831EC">
        <w:trPr>
          <w:cantSplit/>
          <w:trHeight w:val="340"/>
          <w:jc w:val="center"/>
        </w:trPr>
        <w:tc>
          <w:tcPr>
            <w:tcW w:w="3119" w:type="dxa"/>
            <w:vMerge w:val="restart"/>
            <w:vAlign w:val="center"/>
          </w:tcPr>
          <w:p w14:paraId="632C0813" w14:textId="77777777" w:rsidR="008F633E" w:rsidRPr="00FD50F6" w:rsidRDefault="008F633E" w:rsidP="000831EC">
            <w:pPr>
              <w:pStyle w:val="7"/>
            </w:pPr>
            <w:r w:rsidRPr="00FD50F6">
              <w:t>各适用地带敏感点</w:t>
            </w:r>
          </w:p>
        </w:tc>
        <w:tc>
          <w:tcPr>
            <w:tcW w:w="1843" w:type="dxa"/>
            <w:vMerge w:val="restart"/>
            <w:vAlign w:val="center"/>
          </w:tcPr>
          <w:p w14:paraId="2B3EBF9C" w14:textId="77777777" w:rsidR="008F633E" w:rsidRPr="00FD50F6" w:rsidRDefault="008F633E" w:rsidP="000831EC">
            <w:pPr>
              <w:pStyle w:val="7"/>
            </w:pPr>
            <w:r w:rsidRPr="00FD50F6">
              <w:t>建筑物类型</w:t>
            </w:r>
          </w:p>
        </w:tc>
        <w:tc>
          <w:tcPr>
            <w:tcW w:w="2835" w:type="dxa"/>
            <w:gridSpan w:val="2"/>
            <w:vAlign w:val="center"/>
          </w:tcPr>
          <w:p w14:paraId="21497D12" w14:textId="77777777" w:rsidR="008F633E" w:rsidRPr="00FD50F6" w:rsidRDefault="008F633E" w:rsidP="000831EC">
            <w:pPr>
              <w:pStyle w:val="7"/>
            </w:pPr>
            <w:r w:rsidRPr="00FD50F6">
              <w:t>振动限值（</w:t>
            </w:r>
            <w:r w:rsidRPr="00FD50F6">
              <w:t>dB</w:t>
            </w:r>
            <w:r w:rsidRPr="00FD50F6">
              <w:t>）</w:t>
            </w:r>
          </w:p>
        </w:tc>
      </w:tr>
      <w:tr w:rsidR="00FD50F6" w:rsidRPr="00FD50F6" w14:paraId="46F3D73C" w14:textId="77777777" w:rsidTr="000831EC">
        <w:trPr>
          <w:cantSplit/>
          <w:trHeight w:val="340"/>
          <w:jc w:val="center"/>
        </w:trPr>
        <w:tc>
          <w:tcPr>
            <w:tcW w:w="3119" w:type="dxa"/>
            <w:vMerge/>
            <w:vAlign w:val="center"/>
          </w:tcPr>
          <w:p w14:paraId="608ED512" w14:textId="77777777" w:rsidR="008F633E" w:rsidRPr="00FD50F6" w:rsidRDefault="008F633E" w:rsidP="000831EC">
            <w:pPr>
              <w:pStyle w:val="7"/>
            </w:pPr>
          </w:p>
        </w:tc>
        <w:tc>
          <w:tcPr>
            <w:tcW w:w="1843" w:type="dxa"/>
            <w:vMerge/>
            <w:vAlign w:val="center"/>
          </w:tcPr>
          <w:p w14:paraId="6290FF5C" w14:textId="77777777" w:rsidR="008F633E" w:rsidRPr="00FD50F6" w:rsidRDefault="008F633E" w:rsidP="000831EC">
            <w:pPr>
              <w:pStyle w:val="7"/>
            </w:pPr>
          </w:p>
        </w:tc>
        <w:tc>
          <w:tcPr>
            <w:tcW w:w="1417" w:type="dxa"/>
            <w:vAlign w:val="center"/>
          </w:tcPr>
          <w:p w14:paraId="6FA154DF" w14:textId="77777777" w:rsidR="008F633E" w:rsidRPr="00FD50F6" w:rsidRDefault="008F633E" w:rsidP="000831EC">
            <w:pPr>
              <w:pStyle w:val="7"/>
            </w:pPr>
            <w:r w:rsidRPr="00FD50F6">
              <w:t>昼间</w:t>
            </w:r>
          </w:p>
        </w:tc>
        <w:tc>
          <w:tcPr>
            <w:tcW w:w="1418" w:type="dxa"/>
            <w:vAlign w:val="center"/>
          </w:tcPr>
          <w:p w14:paraId="1B41D0CC" w14:textId="77777777" w:rsidR="008F633E" w:rsidRPr="00FD50F6" w:rsidRDefault="008F633E" w:rsidP="000831EC">
            <w:pPr>
              <w:pStyle w:val="7"/>
            </w:pPr>
            <w:r w:rsidRPr="00FD50F6">
              <w:t>夜间</w:t>
            </w:r>
          </w:p>
        </w:tc>
      </w:tr>
      <w:tr w:rsidR="00FD50F6" w:rsidRPr="00FD50F6" w14:paraId="18B098D1" w14:textId="77777777" w:rsidTr="000831EC">
        <w:trPr>
          <w:cantSplit/>
          <w:trHeight w:val="340"/>
          <w:jc w:val="center"/>
        </w:trPr>
        <w:tc>
          <w:tcPr>
            <w:tcW w:w="3119" w:type="dxa"/>
            <w:vAlign w:val="center"/>
          </w:tcPr>
          <w:p w14:paraId="1394EA52" w14:textId="77777777" w:rsidR="008F633E" w:rsidRPr="00FD50F6" w:rsidRDefault="008F633E" w:rsidP="000831EC">
            <w:pPr>
              <w:pStyle w:val="7"/>
            </w:pPr>
            <w:r w:rsidRPr="00FD50F6">
              <w:t>居民、文教区、机关的敏感点</w:t>
            </w:r>
          </w:p>
        </w:tc>
        <w:tc>
          <w:tcPr>
            <w:tcW w:w="1843" w:type="dxa"/>
            <w:vAlign w:val="center"/>
          </w:tcPr>
          <w:p w14:paraId="52EE173E" w14:textId="77777777" w:rsidR="008F633E" w:rsidRPr="00FD50F6" w:rsidRDefault="008F633E" w:rsidP="000831EC">
            <w:pPr>
              <w:pStyle w:val="7"/>
            </w:pPr>
            <w:r w:rsidRPr="00FD50F6">
              <w:rPr>
                <w:rFonts w:cs="宋体" w:hint="eastAsia"/>
              </w:rPr>
              <w:t>Ⅰ</w:t>
            </w:r>
            <w:r w:rsidRPr="00FD50F6">
              <w:t>、</w:t>
            </w:r>
            <w:r w:rsidRPr="00FD50F6">
              <w:rPr>
                <w:rFonts w:cs="宋体" w:hint="eastAsia"/>
              </w:rPr>
              <w:t>Ⅱ</w:t>
            </w:r>
            <w:r w:rsidRPr="00FD50F6">
              <w:t>、</w:t>
            </w:r>
            <w:r w:rsidRPr="00FD50F6">
              <w:rPr>
                <w:rFonts w:cs="宋体" w:hint="eastAsia"/>
              </w:rPr>
              <w:t>Ⅲ</w:t>
            </w:r>
            <w:r w:rsidRPr="00FD50F6">
              <w:t>类</w:t>
            </w:r>
          </w:p>
        </w:tc>
        <w:tc>
          <w:tcPr>
            <w:tcW w:w="1417" w:type="dxa"/>
            <w:vAlign w:val="center"/>
          </w:tcPr>
          <w:p w14:paraId="12FE7BFE" w14:textId="77777777" w:rsidR="008F633E" w:rsidRPr="00FD50F6" w:rsidRDefault="008F633E" w:rsidP="000831EC">
            <w:pPr>
              <w:pStyle w:val="7"/>
            </w:pPr>
            <w:r w:rsidRPr="00FD50F6">
              <w:t>70</w:t>
            </w:r>
          </w:p>
        </w:tc>
        <w:tc>
          <w:tcPr>
            <w:tcW w:w="1418" w:type="dxa"/>
            <w:vAlign w:val="center"/>
          </w:tcPr>
          <w:p w14:paraId="47E78A47" w14:textId="77777777" w:rsidR="008F633E" w:rsidRPr="00FD50F6" w:rsidRDefault="008F633E" w:rsidP="000831EC">
            <w:pPr>
              <w:pStyle w:val="7"/>
            </w:pPr>
            <w:r w:rsidRPr="00FD50F6">
              <w:t>67</w:t>
            </w:r>
          </w:p>
        </w:tc>
      </w:tr>
      <w:tr w:rsidR="00FD50F6" w:rsidRPr="00FD50F6" w14:paraId="53DCED7F" w14:textId="77777777" w:rsidTr="000831EC">
        <w:trPr>
          <w:cantSplit/>
          <w:trHeight w:val="626"/>
          <w:jc w:val="center"/>
        </w:trPr>
        <w:tc>
          <w:tcPr>
            <w:tcW w:w="3119" w:type="dxa"/>
            <w:vAlign w:val="center"/>
          </w:tcPr>
          <w:p w14:paraId="49E3474B" w14:textId="77777777" w:rsidR="008F633E" w:rsidRPr="00FD50F6" w:rsidRDefault="008F633E" w:rsidP="000831EC">
            <w:pPr>
              <w:pStyle w:val="7"/>
            </w:pPr>
            <w:r w:rsidRPr="00FD50F6">
              <w:t>商业与居民混合区、商业集中区、交通干线两侧的敏感点</w:t>
            </w:r>
          </w:p>
        </w:tc>
        <w:tc>
          <w:tcPr>
            <w:tcW w:w="1843" w:type="dxa"/>
            <w:vAlign w:val="center"/>
          </w:tcPr>
          <w:p w14:paraId="2F32D905" w14:textId="77777777" w:rsidR="008F633E" w:rsidRPr="00FD50F6" w:rsidRDefault="008F633E" w:rsidP="000831EC">
            <w:pPr>
              <w:pStyle w:val="7"/>
            </w:pPr>
            <w:r w:rsidRPr="00FD50F6">
              <w:rPr>
                <w:rFonts w:cs="宋体" w:hint="eastAsia"/>
              </w:rPr>
              <w:t>Ⅰ</w:t>
            </w:r>
            <w:r w:rsidRPr="00FD50F6">
              <w:t>、</w:t>
            </w:r>
            <w:r w:rsidRPr="00FD50F6">
              <w:rPr>
                <w:rFonts w:cs="宋体" w:hint="eastAsia"/>
              </w:rPr>
              <w:t>Ⅱ</w:t>
            </w:r>
            <w:r w:rsidRPr="00FD50F6">
              <w:t>、</w:t>
            </w:r>
            <w:r w:rsidRPr="00FD50F6">
              <w:rPr>
                <w:rFonts w:cs="宋体" w:hint="eastAsia"/>
              </w:rPr>
              <w:t>Ⅲ</w:t>
            </w:r>
            <w:r w:rsidRPr="00FD50F6">
              <w:t>类</w:t>
            </w:r>
          </w:p>
        </w:tc>
        <w:tc>
          <w:tcPr>
            <w:tcW w:w="1417" w:type="dxa"/>
            <w:vAlign w:val="center"/>
          </w:tcPr>
          <w:p w14:paraId="4CBC6750" w14:textId="77777777" w:rsidR="008F633E" w:rsidRPr="00FD50F6" w:rsidRDefault="008F633E" w:rsidP="000831EC">
            <w:pPr>
              <w:pStyle w:val="7"/>
            </w:pPr>
            <w:r w:rsidRPr="00FD50F6">
              <w:t>75</w:t>
            </w:r>
          </w:p>
        </w:tc>
        <w:tc>
          <w:tcPr>
            <w:tcW w:w="1418" w:type="dxa"/>
            <w:vAlign w:val="center"/>
          </w:tcPr>
          <w:p w14:paraId="72D44160" w14:textId="77777777" w:rsidR="008F633E" w:rsidRPr="00FD50F6" w:rsidRDefault="008F633E" w:rsidP="000831EC">
            <w:pPr>
              <w:pStyle w:val="7"/>
            </w:pPr>
            <w:r w:rsidRPr="00FD50F6">
              <w:t>72</w:t>
            </w:r>
          </w:p>
        </w:tc>
      </w:tr>
    </w:tbl>
    <w:p w14:paraId="5D8FF115" w14:textId="5D915399" w:rsidR="008F633E" w:rsidRPr="00FD50F6" w:rsidRDefault="008F633E" w:rsidP="008F633E">
      <w:pPr>
        <w:pStyle w:val="6"/>
      </w:pPr>
      <w:r w:rsidRPr="00FD50F6">
        <w:t>表</w:t>
      </w:r>
      <w:r w:rsidRPr="00FD50F6">
        <w:rPr>
          <w:rFonts w:hint="eastAsia"/>
        </w:rPr>
        <w:t>3</w:t>
      </w:r>
      <w:r w:rsidR="001C486F" w:rsidRPr="00FD50F6">
        <w:rPr>
          <w:rFonts w:hint="eastAsia"/>
        </w:rPr>
        <w:t>1</w:t>
      </w:r>
      <w:r w:rsidRPr="00FD50F6">
        <w:t>.</w:t>
      </w:r>
      <w:r w:rsidRPr="00FD50F6">
        <w:rPr>
          <w:rFonts w:hint="eastAsia"/>
        </w:rPr>
        <w:t>2</w:t>
      </w:r>
      <w:r w:rsidRPr="00FD50F6">
        <w:t>.</w:t>
      </w:r>
      <w:r w:rsidRPr="00FD50F6">
        <w:rPr>
          <w:rFonts w:hint="eastAsia"/>
        </w:rPr>
        <w:t>5</w:t>
      </w:r>
      <w:r w:rsidRPr="00FD50F6">
        <w:t xml:space="preserve">-2  </w:t>
      </w:r>
      <w:r w:rsidRPr="00FD50F6">
        <w:t>地下线</w:t>
      </w:r>
      <w:r w:rsidRPr="00FD50F6">
        <w:rPr>
          <w:rFonts w:hint="eastAsia"/>
        </w:rPr>
        <w:t>路</w:t>
      </w:r>
      <w:r w:rsidRPr="00FD50F6">
        <w:t>敏感点室内二次辐射噪声</w:t>
      </w:r>
      <w:r w:rsidRPr="00FD50F6">
        <w:rPr>
          <w:rFonts w:hint="eastAsia"/>
        </w:rPr>
        <w:t>限值</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565"/>
        <w:gridCol w:w="2700"/>
      </w:tblGrid>
      <w:tr w:rsidR="00FD50F6" w:rsidRPr="00FD50F6" w14:paraId="522E9DF6" w14:textId="77777777" w:rsidTr="000831EC">
        <w:trPr>
          <w:trHeight w:val="340"/>
          <w:jc w:val="center"/>
        </w:trPr>
        <w:tc>
          <w:tcPr>
            <w:tcW w:w="2295" w:type="dxa"/>
            <w:vAlign w:val="center"/>
          </w:tcPr>
          <w:p w14:paraId="7620AB8F" w14:textId="77777777" w:rsidR="008F633E" w:rsidRPr="00FD50F6" w:rsidRDefault="008F633E" w:rsidP="000831EC">
            <w:pPr>
              <w:pStyle w:val="7"/>
            </w:pPr>
            <w:r w:rsidRPr="00FD50F6">
              <w:t>区域</w:t>
            </w:r>
            <w:r w:rsidRPr="00FD50F6">
              <w:rPr>
                <w:rFonts w:hint="eastAsia"/>
              </w:rPr>
              <w:t>类型</w:t>
            </w:r>
          </w:p>
        </w:tc>
        <w:tc>
          <w:tcPr>
            <w:tcW w:w="2565" w:type="dxa"/>
            <w:vAlign w:val="center"/>
          </w:tcPr>
          <w:p w14:paraId="5E629398" w14:textId="77777777" w:rsidR="008F633E" w:rsidRPr="00FD50F6" w:rsidRDefault="008F633E" w:rsidP="000831EC">
            <w:pPr>
              <w:pStyle w:val="7"/>
            </w:pPr>
            <w:r w:rsidRPr="00FD50F6">
              <w:t>昼间（</w:t>
            </w:r>
            <w:r w:rsidRPr="00FD50F6">
              <w:t>dBA</w:t>
            </w:r>
            <w:r w:rsidRPr="00FD50F6">
              <w:t>）</w:t>
            </w:r>
          </w:p>
        </w:tc>
        <w:tc>
          <w:tcPr>
            <w:tcW w:w="2700" w:type="dxa"/>
            <w:vAlign w:val="center"/>
          </w:tcPr>
          <w:p w14:paraId="06C517CC" w14:textId="77777777" w:rsidR="008F633E" w:rsidRPr="00FD50F6" w:rsidRDefault="008F633E" w:rsidP="000831EC">
            <w:pPr>
              <w:pStyle w:val="7"/>
            </w:pPr>
            <w:r w:rsidRPr="00FD50F6">
              <w:t>夜间（</w:t>
            </w:r>
            <w:r w:rsidRPr="00FD50F6">
              <w:t>dBA</w:t>
            </w:r>
            <w:r w:rsidRPr="00FD50F6">
              <w:t>）</w:t>
            </w:r>
          </w:p>
        </w:tc>
      </w:tr>
      <w:tr w:rsidR="00FD50F6" w:rsidRPr="00FD50F6" w14:paraId="00C45153" w14:textId="77777777" w:rsidTr="000831EC">
        <w:trPr>
          <w:trHeight w:val="340"/>
          <w:jc w:val="center"/>
        </w:trPr>
        <w:tc>
          <w:tcPr>
            <w:tcW w:w="2295" w:type="dxa"/>
            <w:vAlign w:val="center"/>
          </w:tcPr>
          <w:p w14:paraId="616ED0B0" w14:textId="77777777" w:rsidR="008F633E" w:rsidRPr="00FD50F6" w:rsidRDefault="008F633E" w:rsidP="000831EC">
            <w:pPr>
              <w:pStyle w:val="7"/>
            </w:pPr>
            <w:r w:rsidRPr="00FD50F6">
              <w:t>0</w:t>
            </w:r>
            <w:r w:rsidRPr="00FD50F6">
              <w:t>类</w:t>
            </w:r>
          </w:p>
        </w:tc>
        <w:tc>
          <w:tcPr>
            <w:tcW w:w="2565" w:type="dxa"/>
            <w:vAlign w:val="center"/>
          </w:tcPr>
          <w:p w14:paraId="7348E679" w14:textId="77777777" w:rsidR="008F633E" w:rsidRPr="00FD50F6" w:rsidRDefault="008F633E" w:rsidP="000831EC">
            <w:pPr>
              <w:pStyle w:val="7"/>
            </w:pPr>
            <w:r w:rsidRPr="00FD50F6">
              <w:t>38</w:t>
            </w:r>
          </w:p>
        </w:tc>
        <w:tc>
          <w:tcPr>
            <w:tcW w:w="2700" w:type="dxa"/>
            <w:vAlign w:val="center"/>
          </w:tcPr>
          <w:p w14:paraId="4EBE976F" w14:textId="77777777" w:rsidR="008F633E" w:rsidRPr="00FD50F6" w:rsidRDefault="008F633E" w:rsidP="000831EC">
            <w:pPr>
              <w:pStyle w:val="7"/>
            </w:pPr>
            <w:r w:rsidRPr="00FD50F6">
              <w:t>35</w:t>
            </w:r>
          </w:p>
        </w:tc>
      </w:tr>
      <w:tr w:rsidR="00FD50F6" w:rsidRPr="00FD50F6" w14:paraId="26A8CD59" w14:textId="77777777" w:rsidTr="000831EC">
        <w:trPr>
          <w:trHeight w:val="340"/>
          <w:jc w:val="center"/>
        </w:trPr>
        <w:tc>
          <w:tcPr>
            <w:tcW w:w="2295" w:type="dxa"/>
            <w:vAlign w:val="center"/>
          </w:tcPr>
          <w:p w14:paraId="06708205" w14:textId="77777777" w:rsidR="008F633E" w:rsidRPr="00FD50F6" w:rsidRDefault="008F633E" w:rsidP="000831EC">
            <w:pPr>
              <w:pStyle w:val="7"/>
            </w:pPr>
            <w:r w:rsidRPr="00FD50F6">
              <w:t>1</w:t>
            </w:r>
            <w:r w:rsidRPr="00FD50F6">
              <w:t>类</w:t>
            </w:r>
          </w:p>
        </w:tc>
        <w:tc>
          <w:tcPr>
            <w:tcW w:w="2565" w:type="dxa"/>
            <w:vAlign w:val="center"/>
          </w:tcPr>
          <w:p w14:paraId="2538BB62" w14:textId="77777777" w:rsidR="008F633E" w:rsidRPr="00FD50F6" w:rsidRDefault="008F633E" w:rsidP="000831EC">
            <w:pPr>
              <w:pStyle w:val="7"/>
            </w:pPr>
            <w:r w:rsidRPr="00FD50F6">
              <w:t>38</w:t>
            </w:r>
          </w:p>
        </w:tc>
        <w:tc>
          <w:tcPr>
            <w:tcW w:w="2700" w:type="dxa"/>
            <w:vAlign w:val="center"/>
          </w:tcPr>
          <w:p w14:paraId="0C795B1B" w14:textId="77777777" w:rsidR="008F633E" w:rsidRPr="00FD50F6" w:rsidRDefault="008F633E" w:rsidP="000831EC">
            <w:pPr>
              <w:pStyle w:val="7"/>
            </w:pPr>
            <w:r w:rsidRPr="00FD50F6">
              <w:t>35</w:t>
            </w:r>
          </w:p>
        </w:tc>
      </w:tr>
      <w:tr w:rsidR="00FD50F6" w:rsidRPr="00FD50F6" w14:paraId="0DE99326" w14:textId="77777777" w:rsidTr="000831EC">
        <w:trPr>
          <w:trHeight w:val="340"/>
          <w:jc w:val="center"/>
        </w:trPr>
        <w:tc>
          <w:tcPr>
            <w:tcW w:w="2295" w:type="dxa"/>
            <w:vAlign w:val="center"/>
          </w:tcPr>
          <w:p w14:paraId="34DAA9CF" w14:textId="77777777" w:rsidR="008F633E" w:rsidRPr="00FD50F6" w:rsidRDefault="008F633E" w:rsidP="000831EC">
            <w:pPr>
              <w:pStyle w:val="7"/>
            </w:pPr>
            <w:r w:rsidRPr="00FD50F6">
              <w:t>2</w:t>
            </w:r>
            <w:r w:rsidRPr="00FD50F6">
              <w:t>类</w:t>
            </w:r>
          </w:p>
        </w:tc>
        <w:tc>
          <w:tcPr>
            <w:tcW w:w="2565" w:type="dxa"/>
            <w:vAlign w:val="center"/>
          </w:tcPr>
          <w:p w14:paraId="43B13D8F" w14:textId="77777777" w:rsidR="008F633E" w:rsidRPr="00FD50F6" w:rsidRDefault="008F633E" w:rsidP="000831EC">
            <w:pPr>
              <w:pStyle w:val="7"/>
            </w:pPr>
            <w:r w:rsidRPr="00FD50F6">
              <w:t>41</w:t>
            </w:r>
          </w:p>
        </w:tc>
        <w:tc>
          <w:tcPr>
            <w:tcW w:w="2700" w:type="dxa"/>
            <w:vAlign w:val="center"/>
          </w:tcPr>
          <w:p w14:paraId="0193607F" w14:textId="77777777" w:rsidR="008F633E" w:rsidRPr="00FD50F6" w:rsidRDefault="008F633E" w:rsidP="000831EC">
            <w:pPr>
              <w:pStyle w:val="7"/>
            </w:pPr>
            <w:r w:rsidRPr="00FD50F6">
              <w:t>38</w:t>
            </w:r>
          </w:p>
        </w:tc>
      </w:tr>
      <w:tr w:rsidR="00FD50F6" w:rsidRPr="00FD50F6" w14:paraId="26008276" w14:textId="77777777" w:rsidTr="000831EC">
        <w:trPr>
          <w:trHeight w:val="340"/>
          <w:jc w:val="center"/>
        </w:trPr>
        <w:tc>
          <w:tcPr>
            <w:tcW w:w="2295" w:type="dxa"/>
            <w:vAlign w:val="center"/>
          </w:tcPr>
          <w:p w14:paraId="54BED652" w14:textId="77777777" w:rsidR="008F633E" w:rsidRPr="00FD50F6" w:rsidRDefault="008F633E" w:rsidP="000831EC">
            <w:pPr>
              <w:pStyle w:val="7"/>
            </w:pPr>
            <w:r w:rsidRPr="00FD50F6">
              <w:t>3</w:t>
            </w:r>
            <w:r w:rsidRPr="00FD50F6">
              <w:t>类</w:t>
            </w:r>
          </w:p>
        </w:tc>
        <w:tc>
          <w:tcPr>
            <w:tcW w:w="2565" w:type="dxa"/>
            <w:vAlign w:val="center"/>
          </w:tcPr>
          <w:p w14:paraId="3830F200" w14:textId="77777777" w:rsidR="008F633E" w:rsidRPr="00FD50F6" w:rsidRDefault="008F633E" w:rsidP="000831EC">
            <w:pPr>
              <w:pStyle w:val="7"/>
            </w:pPr>
            <w:r w:rsidRPr="00FD50F6">
              <w:t>45</w:t>
            </w:r>
          </w:p>
        </w:tc>
        <w:tc>
          <w:tcPr>
            <w:tcW w:w="2700" w:type="dxa"/>
            <w:vAlign w:val="center"/>
          </w:tcPr>
          <w:p w14:paraId="48C0C2DD" w14:textId="77777777" w:rsidR="008F633E" w:rsidRPr="00FD50F6" w:rsidRDefault="008F633E" w:rsidP="000831EC">
            <w:pPr>
              <w:pStyle w:val="7"/>
            </w:pPr>
            <w:r w:rsidRPr="00FD50F6">
              <w:t>42</w:t>
            </w:r>
          </w:p>
        </w:tc>
      </w:tr>
      <w:tr w:rsidR="00FD50F6" w:rsidRPr="00FD50F6" w14:paraId="4D96A122" w14:textId="77777777" w:rsidTr="000831EC">
        <w:trPr>
          <w:trHeight w:val="340"/>
          <w:jc w:val="center"/>
        </w:trPr>
        <w:tc>
          <w:tcPr>
            <w:tcW w:w="2295" w:type="dxa"/>
            <w:vAlign w:val="center"/>
          </w:tcPr>
          <w:p w14:paraId="7C99AB1A" w14:textId="77777777" w:rsidR="008F633E" w:rsidRPr="00FD50F6" w:rsidRDefault="008F633E" w:rsidP="000831EC">
            <w:pPr>
              <w:pStyle w:val="7"/>
            </w:pPr>
            <w:r w:rsidRPr="00FD50F6">
              <w:t>4</w:t>
            </w:r>
            <w:r w:rsidRPr="00FD50F6">
              <w:t>类</w:t>
            </w:r>
          </w:p>
        </w:tc>
        <w:tc>
          <w:tcPr>
            <w:tcW w:w="2565" w:type="dxa"/>
            <w:vAlign w:val="center"/>
          </w:tcPr>
          <w:p w14:paraId="2E45F42A" w14:textId="77777777" w:rsidR="008F633E" w:rsidRPr="00FD50F6" w:rsidRDefault="008F633E" w:rsidP="000831EC">
            <w:pPr>
              <w:pStyle w:val="7"/>
            </w:pPr>
            <w:r w:rsidRPr="00FD50F6">
              <w:t>45</w:t>
            </w:r>
          </w:p>
        </w:tc>
        <w:tc>
          <w:tcPr>
            <w:tcW w:w="2700" w:type="dxa"/>
            <w:vAlign w:val="center"/>
          </w:tcPr>
          <w:p w14:paraId="4CB4C281" w14:textId="77777777" w:rsidR="008F633E" w:rsidRPr="00FD50F6" w:rsidRDefault="008F633E" w:rsidP="000831EC">
            <w:pPr>
              <w:pStyle w:val="7"/>
            </w:pPr>
            <w:r w:rsidRPr="00FD50F6">
              <w:t>42</w:t>
            </w:r>
          </w:p>
        </w:tc>
      </w:tr>
    </w:tbl>
    <w:p w14:paraId="5C301F3E" w14:textId="2C391825" w:rsidR="008F633E" w:rsidRPr="00FD50F6" w:rsidRDefault="008F633E" w:rsidP="008F633E">
      <w:pPr>
        <w:pStyle w:val="30"/>
      </w:pPr>
      <w:r w:rsidRPr="00FD50F6">
        <w:t>110kV</w:t>
      </w:r>
      <w:r w:rsidRPr="00FD50F6">
        <w:t>及以上变电站工频电场、工频磁场电磁环境应符合现行行业标准</w:t>
      </w:r>
      <w:r w:rsidR="00AA0E76" w:rsidRPr="00C10734">
        <w:rPr>
          <w:rFonts w:hint="eastAsia"/>
        </w:rPr>
        <w:t>《环境影响评价技术导则</w:t>
      </w:r>
      <w:r w:rsidR="00AA0E76" w:rsidRPr="00C10734">
        <w:rPr>
          <w:rFonts w:hint="eastAsia"/>
        </w:rPr>
        <w:t xml:space="preserve"> </w:t>
      </w:r>
      <w:r w:rsidR="00AA0E76" w:rsidRPr="00C10734">
        <w:rPr>
          <w:rFonts w:hint="eastAsia"/>
        </w:rPr>
        <w:t>输变电》</w:t>
      </w:r>
      <w:r w:rsidRPr="00FD50F6">
        <w:rPr>
          <w:rFonts w:hint="eastAsia"/>
        </w:rPr>
        <w:t>HJ 24</w:t>
      </w:r>
      <w:r w:rsidRPr="00FD50F6">
        <w:t>的规定。</w:t>
      </w:r>
    </w:p>
    <w:p w14:paraId="3D2B82A3" w14:textId="736443EC" w:rsidR="008F633E" w:rsidRPr="00FD50F6" w:rsidRDefault="008F633E" w:rsidP="008F633E">
      <w:pPr>
        <w:pStyle w:val="30"/>
      </w:pPr>
      <w:r w:rsidRPr="00FD50F6">
        <w:t>地面设置的</w:t>
      </w:r>
      <w:r w:rsidRPr="00FD50F6">
        <w:t>110kV</w:t>
      </w:r>
      <w:r w:rsidRPr="00FD50F6">
        <w:rPr>
          <w:rFonts w:hint="eastAsia"/>
        </w:rPr>
        <w:t>及以上电压等级的</w:t>
      </w:r>
      <w:r w:rsidRPr="00FD50F6">
        <w:t>变电站宜采用户内或地下建筑形式</w:t>
      </w:r>
      <w:r w:rsidRPr="00FD50F6">
        <w:rPr>
          <w:rFonts w:hint="eastAsia"/>
        </w:rPr>
        <w:t>，并</w:t>
      </w:r>
      <w:r w:rsidRPr="00FD50F6">
        <w:t>应远离居民区等敏感建筑，其边界与敏感建筑物的水平间距宜大于</w:t>
      </w:r>
      <w:r w:rsidRPr="00FD50F6">
        <w:t>30m</w:t>
      </w:r>
      <w:r w:rsidRPr="00FD50F6">
        <w:t>，且不应小于</w:t>
      </w:r>
      <w:r w:rsidRPr="00FD50F6">
        <w:t>15m</w:t>
      </w:r>
      <w:r w:rsidRPr="00FD50F6">
        <w:rPr>
          <w:rFonts w:hint="eastAsia"/>
        </w:rPr>
        <w:t>。</w:t>
      </w:r>
    </w:p>
    <w:p w14:paraId="493F7D62" w14:textId="77777777" w:rsidR="008F633E" w:rsidRPr="00FD50F6" w:rsidRDefault="008F633E" w:rsidP="008F633E">
      <w:pPr>
        <w:pStyle w:val="30"/>
      </w:pPr>
      <w:r w:rsidRPr="00FD50F6">
        <w:t>车辆段</w:t>
      </w:r>
      <w:r w:rsidRPr="00FD50F6">
        <w:rPr>
          <w:rFonts w:hint="eastAsia"/>
        </w:rPr>
        <w:t>、</w:t>
      </w:r>
      <w:r w:rsidRPr="00FD50F6">
        <w:t>停车场废水、废气排放应符合下列规定：</w:t>
      </w:r>
    </w:p>
    <w:p w14:paraId="23B9EE19" w14:textId="0AFA1211" w:rsidR="008F633E" w:rsidRPr="00FD50F6" w:rsidRDefault="008F633E" w:rsidP="00A926BD">
      <w:pPr>
        <w:pStyle w:val="4"/>
      </w:pPr>
      <w:r w:rsidRPr="00FD50F6">
        <w:t>车辆段、停车场的生产废水、生活污水及沿线车站的生活污水排放，应达到地方水污染物排放标准</w:t>
      </w:r>
      <w:r w:rsidRPr="00FD50F6">
        <w:rPr>
          <w:rFonts w:hint="eastAsia"/>
        </w:rPr>
        <w:t>或符合</w:t>
      </w:r>
      <w:r w:rsidRPr="00FD50F6">
        <w:t>现行国家标准《污水综合排放标准》</w:t>
      </w:r>
      <w:r w:rsidRPr="00FD50F6">
        <w:t>GB 8978</w:t>
      </w:r>
      <w:r w:rsidRPr="00FD50F6">
        <w:t>的规定</w:t>
      </w:r>
      <w:r w:rsidRPr="00FD50F6">
        <w:rPr>
          <w:rFonts w:hint="eastAsia"/>
        </w:rPr>
        <w:t>；</w:t>
      </w:r>
    </w:p>
    <w:p w14:paraId="2EEFF23A" w14:textId="5DF9A55B" w:rsidR="008F633E" w:rsidRPr="00FD50F6" w:rsidRDefault="008F633E" w:rsidP="00A926BD">
      <w:pPr>
        <w:pStyle w:val="4"/>
      </w:pPr>
      <w:r w:rsidRPr="00FD50F6">
        <w:t>车辆冲洗</w:t>
      </w:r>
      <w:r w:rsidRPr="00FD50F6">
        <w:rPr>
          <w:rFonts w:hint="eastAsia"/>
        </w:rPr>
        <w:t>、道路清扫、厂区绿化、冲厕等回</w:t>
      </w:r>
      <w:r w:rsidRPr="00FD50F6">
        <w:t>用水应符合现行国家标准《城</w:t>
      </w:r>
      <w:r w:rsidRPr="00FD50F6">
        <w:lastRenderedPageBreak/>
        <w:t>市污水再生利用城市杂用水水质》</w:t>
      </w:r>
      <w:r w:rsidRPr="00FD50F6">
        <w:t>GB 18920</w:t>
      </w:r>
      <w:r w:rsidRPr="00FD50F6">
        <w:t>的规定</w:t>
      </w:r>
      <w:r w:rsidRPr="00FD50F6">
        <w:rPr>
          <w:rFonts w:hint="eastAsia"/>
        </w:rPr>
        <w:t>；</w:t>
      </w:r>
    </w:p>
    <w:p w14:paraId="462C56F0" w14:textId="18C4374B" w:rsidR="008F633E" w:rsidRPr="00FD50F6" w:rsidRDefault="008F633E" w:rsidP="00A926BD">
      <w:pPr>
        <w:pStyle w:val="4"/>
      </w:pPr>
      <w:r w:rsidRPr="00FD50F6">
        <w:t>车辆段</w:t>
      </w:r>
      <w:r w:rsidRPr="00FD50F6">
        <w:rPr>
          <w:rFonts w:hint="eastAsia"/>
        </w:rPr>
        <w:t>、</w:t>
      </w:r>
      <w:r w:rsidRPr="00FD50F6">
        <w:t>停车场废气排放应符合现行国家标准《锅炉大气污染物排放标准》</w:t>
      </w:r>
      <w:r w:rsidRPr="00FD50F6">
        <w:t>GB 13271</w:t>
      </w:r>
      <w:r w:rsidRPr="00FD50F6">
        <w:t>的规定。</w:t>
      </w:r>
      <w:bookmarkStart w:id="1326" w:name="_Toc306207299"/>
      <w:bookmarkStart w:id="1327" w:name="_Toc306207490"/>
      <w:bookmarkStart w:id="1328" w:name="_Toc320196157"/>
      <w:bookmarkStart w:id="1329" w:name="_Toc320643546"/>
      <w:bookmarkStart w:id="1330" w:name="_Toc344218900"/>
    </w:p>
    <w:p w14:paraId="2E10140C" w14:textId="77777777" w:rsidR="008F633E" w:rsidRPr="00FD50F6" w:rsidRDefault="008F633E" w:rsidP="00A65181">
      <w:pPr>
        <w:pStyle w:val="2"/>
      </w:pPr>
      <w:bookmarkStart w:id="1331" w:name="_Toc112830889"/>
      <w:bookmarkEnd w:id="1326"/>
      <w:bookmarkEnd w:id="1327"/>
      <w:bookmarkEnd w:id="1328"/>
      <w:bookmarkEnd w:id="1329"/>
      <w:bookmarkEnd w:id="1330"/>
      <w:r w:rsidRPr="00FD50F6">
        <w:rPr>
          <w:rFonts w:hint="eastAsia"/>
        </w:rPr>
        <w:t>声环境保护措施</w:t>
      </w:r>
      <w:bookmarkEnd w:id="1331"/>
    </w:p>
    <w:p w14:paraId="39DDE88D" w14:textId="6D659BEF" w:rsidR="008F633E" w:rsidRPr="00FD50F6" w:rsidRDefault="008F633E" w:rsidP="008F633E">
      <w:pPr>
        <w:pStyle w:val="30"/>
      </w:pPr>
      <w:r w:rsidRPr="00FD50F6">
        <w:rPr>
          <w:rFonts w:hint="eastAsia"/>
        </w:rPr>
        <w:t>地铁噪声防治应优先选用低噪声车辆、低噪声或超低噪声风机及冷却塔，特殊敏感地段的桥梁宜采用</w:t>
      </w:r>
      <w:r w:rsidRPr="00FD50F6">
        <w:rPr>
          <w:rFonts w:hint="eastAsia"/>
        </w:rPr>
        <w:t>U</w:t>
      </w:r>
      <w:r w:rsidRPr="00FD50F6">
        <w:rPr>
          <w:rFonts w:hint="eastAsia"/>
        </w:rPr>
        <w:t>型梁或槽型梁结构。当不能满足声环境功能区划及环境噪声限值标准时，应对地面与高架线的正线及出入线、试车线等场段线，以及风机、冷却塔等采取降噪、消声措施。</w:t>
      </w:r>
    </w:p>
    <w:p w14:paraId="112F3B0C" w14:textId="77777777" w:rsidR="008F633E" w:rsidRPr="00FD50F6" w:rsidRDefault="008F633E" w:rsidP="008F633E">
      <w:pPr>
        <w:pStyle w:val="30"/>
      </w:pPr>
      <w:r w:rsidRPr="00FD50F6">
        <w:rPr>
          <w:rFonts w:hint="eastAsia"/>
        </w:rPr>
        <w:t>地铁噪声控制措施设计应根据环境噪声预测结果、建设项目环境影响评价或当地环境保护部门确认的声环境功能区划及噪声标准限值，明确噪声超标量，确定设计目标值。</w:t>
      </w:r>
    </w:p>
    <w:p w14:paraId="5BF8FC52" w14:textId="4855FAAB" w:rsidR="008F633E" w:rsidRPr="00FD50F6" w:rsidRDefault="008F633E" w:rsidP="008F633E">
      <w:pPr>
        <w:pStyle w:val="30"/>
      </w:pPr>
      <w:r w:rsidRPr="00FD50F6">
        <w:rPr>
          <w:rFonts w:hint="eastAsia"/>
        </w:rPr>
        <w:t>噪声控制措施应使声环境敏感点达到现行国家标准《声环境质量标准》</w:t>
      </w:r>
      <w:r w:rsidRPr="00FD50F6">
        <w:rPr>
          <w:rFonts w:hint="eastAsia"/>
        </w:rPr>
        <w:t>GB 3096</w:t>
      </w:r>
      <w:r w:rsidRPr="00FD50F6">
        <w:rPr>
          <w:rFonts w:hint="eastAsia"/>
        </w:rPr>
        <w:t>规定的相应声环境功能区昼、夜间环境噪声限值标准。</w:t>
      </w:r>
    </w:p>
    <w:p w14:paraId="79F4C222" w14:textId="77777777" w:rsidR="008F633E" w:rsidRPr="00FD50F6" w:rsidRDefault="008F633E" w:rsidP="008F633E">
      <w:pPr>
        <w:pStyle w:val="30"/>
      </w:pPr>
      <w:r w:rsidRPr="00FD50F6">
        <w:rPr>
          <w:rFonts w:hint="eastAsia"/>
        </w:rPr>
        <w:t>声屏障降噪设计应符合下列规定：</w:t>
      </w:r>
    </w:p>
    <w:p w14:paraId="3DC88538" w14:textId="4389D766" w:rsidR="008F633E" w:rsidRPr="00FD50F6" w:rsidRDefault="008F633E" w:rsidP="00A926BD">
      <w:pPr>
        <w:pStyle w:val="4"/>
      </w:pPr>
      <w:r w:rsidRPr="00FD50F6">
        <w:rPr>
          <w:rFonts w:hint="eastAsia"/>
        </w:rPr>
        <w:t>声屏障设计的降噪目标值即降噪量，应由声环境保护目标处的列车运行噪声昼间、夜间运营时段不含背景噪声的等效声级预测值，与所在环境功能区昼、夜间环境噪声限值的差值确定。</w:t>
      </w:r>
    </w:p>
    <w:p w14:paraId="50AB7A5A" w14:textId="3B2953E2" w:rsidR="008F633E" w:rsidRPr="00FD50F6" w:rsidRDefault="008F633E" w:rsidP="00A926BD">
      <w:pPr>
        <w:pStyle w:val="4"/>
      </w:pPr>
      <w:r w:rsidRPr="00FD50F6">
        <w:rPr>
          <w:rFonts w:hint="eastAsia"/>
        </w:rPr>
        <w:t>对于地面</w:t>
      </w:r>
      <w:r w:rsidRPr="00FD50F6">
        <w:t>及</w:t>
      </w:r>
      <w:r w:rsidRPr="00FD50F6">
        <w:rPr>
          <w:rFonts w:hint="eastAsia"/>
        </w:rPr>
        <w:t>高架线沿线既有的声环境保护目标，应根据运营近期的噪声预测结果设置声屏障。对于规划的声环境保护目标，应预留声屏障的设置条件。</w:t>
      </w:r>
      <w:r w:rsidRPr="00FD50F6">
        <w:rPr>
          <w:rFonts w:hint="eastAsia"/>
        </w:rPr>
        <w:t xml:space="preserve"> </w:t>
      </w:r>
    </w:p>
    <w:p w14:paraId="5D81B3B2" w14:textId="4BBC445A" w:rsidR="008F633E" w:rsidRPr="00FD50F6" w:rsidRDefault="008F633E" w:rsidP="00A926BD">
      <w:pPr>
        <w:pStyle w:val="4"/>
      </w:pPr>
      <w:r w:rsidRPr="00FD50F6">
        <w:rPr>
          <w:rFonts w:hint="eastAsia"/>
        </w:rPr>
        <w:t>声屏障声学设计应符合现行行业标准《声屏障声学设计和测量规范》</w:t>
      </w:r>
      <w:r w:rsidRPr="00FD50F6">
        <w:rPr>
          <w:rFonts w:hint="eastAsia"/>
        </w:rPr>
        <w:t>HJ/T 90</w:t>
      </w:r>
      <w:r w:rsidRPr="00FD50F6">
        <w:rPr>
          <w:rFonts w:hint="eastAsia"/>
        </w:rPr>
        <w:t>的规定，声学计算应采用列车最高设计运行速度和最大列车编组长度。</w:t>
      </w:r>
    </w:p>
    <w:p w14:paraId="53D7AE2C" w14:textId="10AF3696" w:rsidR="008F633E" w:rsidRPr="00FD50F6" w:rsidRDefault="008F633E" w:rsidP="00A926BD">
      <w:pPr>
        <w:pStyle w:val="4"/>
      </w:pPr>
      <w:r w:rsidRPr="00FD50F6">
        <w:rPr>
          <w:rFonts w:hint="eastAsia"/>
        </w:rPr>
        <w:t>声屏障形式应根据线路特点、敏感点特征及设计目标值选定，可为直立形、折板形、弧形、</w:t>
      </w:r>
      <w:r w:rsidRPr="00FD50F6">
        <w:rPr>
          <w:rFonts w:hint="eastAsia"/>
        </w:rPr>
        <w:t>T</w:t>
      </w:r>
      <w:r w:rsidRPr="00FD50F6">
        <w:rPr>
          <w:rFonts w:hint="eastAsia"/>
        </w:rPr>
        <w:t>形以及半封闭或全封闭等。</w:t>
      </w:r>
    </w:p>
    <w:p w14:paraId="1441A727" w14:textId="3F90CBB6" w:rsidR="008F633E" w:rsidRPr="00FD50F6" w:rsidRDefault="008F633E" w:rsidP="00A926BD">
      <w:pPr>
        <w:pStyle w:val="4"/>
      </w:pPr>
      <w:r w:rsidRPr="00FD50F6">
        <w:rPr>
          <w:rFonts w:hint="eastAsia"/>
        </w:rPr>
        <w:t>声屏障长度应覆盖保护的声环境敏感点，两端纵向延伸长度应使其对敏感点具有与声屏障设计插入损失相匹配的声衰减，且每端延伸长度不宜小于</w:t>
      </w:r>
      <w:r w:rsidRPr="00FD50F6">
        <w:rPr>
          <w:rFonts w:hint="eastAsia"/>
        </w:rPr>
        <w:t>50 m</w:t>
      </w:r>
      <w:r w:rsidRPr="00FD50F6">
        <w:rPr>
          <w:rFonts w:hint="eastAsia"/>
        </w:rPr>
        <w:t>。</w:t>
      </w:r>
    </w:p>
    <w:p w14:paraId="35B63C7D" w14:textId="612724F2" w:rsidR="008F633E" w:rsidRPr="00FD50F6" w:rsidRDefault="008F633E" w:rsidP="00A926BD">
      <w:pPr>
        <w:pStyle w:val="4"/>
      </w:pPr>
      <w:r w:rsidRPr="00FD50F6">
        <w:rPr>
          <w:rFonts w:hint="eastAsia"/>
        </w:rPr>
        <w:t>声屏障声学构件的隔声性能应按现行国家标准《声学</w:t>
      </w:r>
      <w:r w:rsidRPr="00FD50F6">
        <w:rPr>
          <w:rFonts w:hint="eastAsia"/>
        </w:rPr>
        <w:t xml:space="preserve"> </w:t>
      </w:r>
      <w:r w:rsidRPr="00FD50F6">
        <w:rPr>
          <w:rFonts w:hint="eastAsia"/>
        </w:rPr>
        <w:t>建筑和建筑构件隔声测量</w:t>
      </w:r>
      <w:r w:rsidRPr="00FD50F6">
        <w:rPr>
          <w:rFonts w:hint="eastAsia"/>
        </w:rPr>
        <w:t xml:space="preserve"> </w:t>
      </w:r>
      <w:r w:rsidRPr="00FD50F6">
        <w:rPr>
          <w:rFonts w:hint="eastAsia"/>
        </w:rPr>
        <w:t>第</w:t>
      </w:r>
      <w:r w:rsidRPr="00FD50F6">
        <w:rPr>
          <w:rFonts w:hint="eastAsia"/>
        </w:rPr>
        <w:t>3</w:t>
      </w:r>
      <w:r w:rsidRPr="00FD50F6">
        <w:rPr>
          <w:rFonts w:hint="eastAsia"/>
        </w:rPr>
        <w:t>部分：建筑构件空气隔声实验室测量》</w:t>
      </w:r>
      <w:r w:rsidRPr="00FD50F6">
        <w:rPr>
          <w:rFonts w:hint="eastAsia"/>
        </w:rPr>
        <w:t>GB/T 19889.3</w:t>
      </w:r>
      <w:r w:rsidRPr="00FD50F6">
        <w:rPr>
          <w:rFonts w:hint="eastAsia"/>
        </w:rPr>
        <w:t>及《建筑隔声评价标准》</w:t>
      </w:r>
      <w:r w:rsidRPr="00FD50F6">
        <w:rPr>
          <w:rFonts w:hint="eastAsia"/>
        </w:rPr>
        <w:t>GB/T 50121</w:t>
      </w:r>
      <w:r w:rsidRPr="00FD50F6">
        <w:rPr>
          <w:rFonts w:hint="eastAsia"/>
        </w:rPr>
        <w:t>测量和评价</w:t>
      </w:r>
      <w:r w:rsidRPr="00FD50F6">
        <w:t>，</w:t>
      </w:r>
      <w:r w:rsidRPr="00FD50F6">
        <w:rPr>
          <w:rFonts w:hint="eastAsia"/>
        </w:rPr>
        <w:t>并应满足计权隔声量与频谱修正量之和大于</w:t>
      </w:r>
      <w:r w:rsidRPr="00FD50F6">
        <w:lastRenderedPageBreak/>
        <w:t>或等于</w:t>
      </w:r>
      <w:r w:rsidRPr="00FD50F6">
        <w:rPr>
          <w:rFonts w:hint="eastAsia"/>
        </w:rPr>
        <w:t>25dB</w:t>
      </w:r>
      <w:r w:rsidRPr="00FD50F6">
        <w:rPr>
          <w:rFonts w:hint="eastAsia"/>
        </w:rPr>
        <w:t>。</w:t>
      </w:r>
    </w:p>
    <w:p w14:paraId="2B3B5F87" w14:textId="2B040DBF" w:rsidR="008F633E" w:rsidRPr="00FD50F6" w:rsidRDefault="008F633E" w:rsidP="00A926BD">
      <w:pPr>
        <w:pStyle w:val="4"/>
      </w:pPr>
      <w:r w:rsidRPr="00FD50F6">
        <w:rPr>
          <w:rFonts w:hint="eastAsia"/>
        </w:rPr>
        <w:t>声屏障声学构件吸声性能应按现行国家标准《声学</w:t>
      </w:r>
      <w:r w:rsidRPr="00FD50F6">
        <w:rPr>
          <w:rFonts w:hint="eastAsia"/>
        </w:rPr>
        <w:t xml:space="preserve"> </w:t>
      </w:r>
      <w:r w:rsidRPr="00FD50F6">
        <w:rPr>
          <w:rFonts w:hint="eastAsia"/>
        </w:rPr>
        <w:t>混响室吸声测量》</w:t>
      </w:r>
      <w:r w:rsidRPr="00FD50F6">
        <w:rPr>
          <w:rFonts w:hint="eastAsia"/>
        </w:rPr>
        <w:t>GB/T 20247</w:t>
      </w:r>
      <w:r w:rsidRPr="00FD50F6">
        <w:rPr>
          <w:rFonts w:hint="eastAsia"/>
        </w:rPr>
        <w:t>测量，并应满足</w:t>
      </w:r>
      <w:r w:rsidRPr="00FD50F6">
        <w:rPr>
          <w:rFonts w:hint="eastAsia"/>
        </w:rPr>
        <w:t>200Hz</w:t>
      </w:r>
      <w:r w:rsidRPr="00FD50F6">
        <w:rPr>
          <w:rFonts w:hint="eastAsia"/>
        </w:rPr>
        <w:t>～</w:t>
      </w:r>
      <w:r w:rsidRPr="00FD50F6">
        <w:rPr>
          <w:rFonts w:hint="eastAsia"/>
        </w:rPr>
        <w:t>2500Hz</w:t>
      </w:r>
      <w:r w:rsidRPr="00FD50F6">
        <w:rPr>
          <w:rFonts w:hint="eastAsia"/>
        </w:rPr>
        <w:t>的</w:t>
      </w:r>
      <w:r w:rsidRPr="00FD50F6">
        <w:rPr>
          <w:rFonts w:hint="eastAsia"/>
        </w:rPr>
        <w:t>1/3</w:t>
      </w:r>
      <w:r w:rsidRPr="00FD50F6">
        <w:rPr>
          <w:rFonts w:hint="eastAsia"/>
        </w:rPr>
        <w:t>倍频带中心频率的吸声系数大于</w:t>
      </w:r>
      <w:r w:rsidRPr="00FD50F6">
        <w:rPr>
          <w:rFonts w:hint="eastAsia"/>
        </w:rPr>
        <w:t>0.5</w:t>
      </w:r>
      <w:r w:rsidRPr="00FD50F6">
        <w:rPr>
          <w:rFonts w:hint="eastAsia"/>
        </w:rPr>
        <w:t>。双侧、单侧或上、下行线路中间设置的声屏障应在朝向声源一侧采取吸声结构设计。</w:t>
      </w:r>
    </w:p>
    <w:p w14:paraId="1FCC88E6" w14:textId="14AAB1DD" w:rsidR="008F633E" w:rsidRPr="00FD50F6" w:rsidRDefault="008F633E" w:rsidP="00A926BD">
      <w:pPr>
        <w:pStyle w:val="4"/>
      </w:pPr>
      <w:r w:rsidRPr="00FD50F6">
        <w:rPr>
          <w:rFonts w:hint="eastAsia"/>
        </w:rPr>
        <w:t>声屏障结构设计应符合现行国家标准《声屏障结构技术标准》</w:t>
      </w:r>
      <w:r w:rsidRPr="00FD50F6">
        <w:rPr>
          <w:rFonts w:hint="eastAsia"/>
        </w:rPr>
        <w:t>GB/T 51335</w:t>
      </w:r>
      <w:r w:rsidRPr="00FD50F6">
        <w:rPr>
          <w:rFonts w:hint="eastAsia"/>
        </w:rPr>
        <w:t>的规定。</w:t>
      </w:r>
    </w:p>
    <w:p w14:paraId="04ACA4A4" w14:textId="737617CA" w:rsidR="008F633E" w:rsidRPr="00FD50F6" w:rsidRDefault="008F633E" w:rsidP="00A926BD">
      <w:pPr>
        <w:pStyle w:val="4"/>
      </w:pPr>
      <w:r w:rsidRPr="00FD50F6">
        <w:rPr>
          <w:rFonts w:hint="eastAsia"/>
        </w:rPr>
        <w:t>声屏障构件之间、声屏障与桥梁结构或挡土墙之间不应有缝隙或孔洞。</w:t>
      </w:r>
    </w:p>
    <w:p w14:paraId="6E34ED2F" w14:textId="147B9C8B" w:rsidR="008F633E" w:rsidRPr="00FD50F6" w:rsidRDefault="008F633E" w:rsidP="00A926BD">
      <w:pPr>
        <w:pStyle w:val="4"/>
      </w:pPr>
      <w:r w:rsidRPr="00FD50F6">
        <w:rPr>
          <w:rFonts w:hint="eastAsia"/>
        </w:rPr>
        <w:t>声屏障的设置应满足限界要求。</w:t>
      </w:r>
    </w:p>
    <w:p w14:paraId="7F7C1A75" w14:textId="2B86EA6C" w:rsidR="008F633E" w:rsidRPr="00FD50F6" w:rsidRDefault="008F633E" w:rsidP="00A926BD">
      <w:pPr>
        <w:pStyle w:val="4"/>
      </w:pPr>
      <w:r w:rsidRPr="00FD50F6">
        <w:rPr>
          <w:rFonts w:hint="eastAsia"/>
        </w:rPr>
        <w:t>声屏障应选用由于温度变化引起的变形小、阳光或灯光照射不会造成眩光影响、受到撞击后不易破碎坠落的材质。声屏障构件应进行排水设计，吸声材料应具有不吸水、不渗水的防水、防潮性能。声屏障的形式、材料、色彩等设计应与沿线城市景观相协调。</w:t>
      </w:r>
    </w:p>
    <w:p w14:paraId="570FFA68" w14:textId="71DC0D78" w:rsidR="008F633E" w:rsidRPr="00FD50F6" w:rsidRDefault="008F633E" w:rsidP="00A926BD">
      <w:pPr>
        <w:pStyle w:val="4"/>
      </w:pPr>
      <w:r w:rsidRPr="00FD50F6">
        <w:rPr>
          <w:rFonts w:hint="eastAsia"/>
        </w:rPr>
        <w:t>声屏障橡胶件的性能应符合现行国家标准《声屏障用橡胶件》</w:t>
      </w:r>
      <w:r w:rsidRPr="00FD50F6">
        <w:rPr>
          <w:rFonts w:hint="eastAsia"/>
        </w:rPr>
        <w:t>GB/T 30649</w:t>
      </w:r>
      <w:r w:rsidRPr="00FD50F6">
        <w:rPr>
          <w:rFonts w:hint="eastAsia"/>
        </w:rPr>
        <w:t>的规定。</w:t>
      </w:r>
    </w:p>
    <w:p w14:paraId="1B064405" w14:textId="77777777" w:rsidR="008F633E" w:rsidRPr="00FD50F6" w:rsidRDefault="008F633E" w:rsidP="008F633E">
      <w:pPr>
        <w:pStyle w:val="30"/>
      </w:pPr>
      <w:r w:rsidRPr="00FD50F6">
        <w:rPr>
          <w:rFonts w:hint="eastAsia"/>
        </w:rPr>
        <w:t>风亭、冷却塔消声设计应符合下列规定：</w:t>
      </w:r>
    </w:p>
    <w:p w14:paraId="5A6C3E4B" w14:textId="66591133" w:rsidR="008F633E" w:rsidRPr="00FD50F6" w:rsidRDefault="008F633E" w:rsidP="00A926BD">
      <w:pPr>
        <w:pStyle w:val="4"/>
      </w:pPr>
      <w:r w:rsidRPr="00FD50F6">
        <w:rPr>
          <w:rFonts w:hint="eastAsia"/>
        </w:rPr>
        <w:t>风亭、冷却塔的选型应符合国家现行标准《通风机</w:t>
      </w:r>
      <w:r w:rsidRPr="00FD50F6">
        <w:rPr>
          <w:rFonts w:hint="eastAsia"/>
        </w:rPr>
        <w:t xml:space="preserve"> </w:t>
      </w:r>
      <w:r w:rsidRPr="00FD50F6">
        <w:rPr>
          <w:rFonts w:hint="eastAsia"/>
        </w:rPr>
        <w:t>噪声限值》</w:t>
      </w:r>
      <w:r w:rsidRPr="00FD50F6">
        <w:rPr>
          <w:rFonts w:hint="eastAsia"/>
        </w:rPr>
        <w:t>JB/T 8690</w:t>
      </w:r>
      <w:r w:rsidRPr="00FD50F6">
        <w:rPr>
          <w:rFonts w:hint="eastAsia"/>
        </w:rPr>
        <w:t>、《机械通风冷却塔》</w:t>
      </w:r>
      <w:r w:rsidRPr="00FD50F6">
        <w:rPr>
          <w:rFonts w:hint="eastAsia"/>
        </w:rPr>
        <w:t>GB</w:t>
      </w:r>
      <w:r w:rsidRPr="00FD50F6">
        <w:t>/T</w:t>
      </w:r>
      <w:r w:rsidRPr="00FD50F6">
        <w:rPr>
          <w:rFonts w:hint="eastAsia"/>
        </w:rPr>
        <w:t xml:space="preserve"> 7190</w:t>
      </w:r>
      <w:r w:rsidRPr="00FD50F6">
        <w:rPr>
          <w:rFonts w:hint="eastAsia"/>
        </w:rPr>
        <w:t>对噪声限值的规定；</w:t>
      </w:r>
    </w:p>
    <w:p w14:paraId="059EB238" w14:textId="77777777" w:rsidR="008F633E" w:rsidRPr="00FD50F6" w:rsidRDefault="008F633E" w:rsidP="00A926BD">
      <w:pPr>
        <w:pStyle w:val="4"/>
      </w:pPr>
      <w:r w:rsidRPr="00FD50F6">
        <w:rPr>
          <w:rFonts w:hint="eastAsia"/>
        </w:rPr>
        <w:t>当风亭噪声不能满足环境噪声限值标准时，应采取风道内设置消声器或加长消声器等措施；</w:t>
      </w:r>
    </w:p>
    <w:p w14:paraId="3427C232" w14:textId="77777777" w:rsidR="008F633E" w:rsidRPr="00FD50F6" w:rsidRDefault="008F633E" w:rsidP="00A926BD">
      <w:pPr>
        <w:pStyle w:val="4"/>
      </w:pPr>
      <w:r w:rsidRPr="00FD50F6">
        <w:rPr>
          <w:rFonts w:hint="eastAsia"/>
        </w:rPr>
        <w:t>当冷却塔噪声不能满足环境噪声限值标准时，应采取消声、隔声等综合降噪措施。</w:t>
      </w:r>
    </w:p>
    <w:p w14:paraId="7451C650" w14:textId="77777777" w:rsidR="008F633E" w:rsidRPr="00FD50F6" w:rsidRDefault="008F633E" w:rsidP="00A65181">
      <w:pPr>
        <w:pStyle w:val="2"/>
      </w:pPr>
      <w:bookmarkStart w:id="1332" w:name="_Toc112830890"/>
      <w:r w:rsidRPr="00FD50F6">
        <w:rPr>
          <w:rFonts w:hint="eastAsia"/>
        </w:rPr>
        <w:t>振动环境保护措施</w:t>
      </w:r>
      <w:bookmarkEnd w:id="1332"/>
    </w:p>
    <w:p w14:paraId="0031D637" w14:textId="6175BDF1" w:rsidR="008F633E" w:rsidRPr="00FD50F6" w:rsidRDefault="008F633E" w:rsidP="008F633E">
      <w:pPr>
        <w:pStyle w:val="30"/>
      </w:pPr>
      <w:r w:rsidRPr="00FD50F6">
        <w:rPr>
          <w:rFonts w:hint="eastAsia"/>
        </w:rPr>
        <w:t>地铁振动控制应优先采用重型钢轨、无缝线路、轮轨打磨及廓形优化等振源控制措施。当不能达到环境振动和二次辐射噪声标准时，地下线的正线及出入线、试车线等场段线应采取轨道或</w:t>
      </w:r>
      <w:r w:rsidRPr="00FD50F6">
        <w:t>结构</w:t>
      </w:r>
      <w:r w:rsidRPr="00FD50F6">
        <w:rPr>
          <w:rFonts w:hint="eastAsia"/>
        </w:rPr>
        <w:t>隔振、减振措施。</w:t>
      </w:r>
    </w:p>
    <w:p w14:paraId="12F3A5DE" w14:textId="77777777" w:rsidR="008F633E" w:rsidRPr="00FD50F6" w:rsidRDefault="008F633E" w:rsidP="008F633E">
      <w:pPr>
        <w:pStyle w:val="30"/>
      </w:pPr>
      <w:r w:rsidRPr="00FD50F6">
        <w:rPr>
          <w:rFonts w:hint="eastAsia"/>
        </w:rPr>
        <w:t>地铁振动控制措施设计应根据环境振动、室内二次辐射噪声预测结果、建设项目环境影响评价或当地环境保护部门确认的环境振动标准值和二次辐射</w:t>
      </w:r>
      <w:r w:rsidRPr="00FD50F6">
        <w:rPr>
          <w:rFonts w:hint="eastAsia"/>
        </w:rPr>
        <w:lastRenderedPageBreak/>
        <w:t>噪声限值，明确环境振动、二次辐射噪声超标量，确定设计目标值。</w:t>
      </w:r>
    </w:p>
    <w:p w14:paraId="282EFDBC" w14:textId="3639B6F6" w:rsidR="008F633E" w:rsidRPr="00FD50F6" w:rsidRDefault="008F633E" w:rsidP="008F633E">
      <w:pPr>
        <w:pStyle w:val="30"/>
      </w:pPr>
      <w:r w:rsidRPr="00FD50F6">
        <w:rPr>
          <w:rFonts w:hint="eastAsia"/>
        </w:rPr>
        <w:t>轨道减振措施应使振动敏感点达到现行国家标准《城市区域环境振动标准》</w:t>
      </w:r>
      <w:r w:rsidRPr="00FD50F6">
        <w:rPr>
          <w:rFonts w:hint="eastAsia"/>
        </w:rPr>
        <w:t>GB 10070</w:t>
      </w:r>
      <w:r w:rsidRPr="00FD50F6">
        <w:rPr>
          <w:rFonts w:hint="eastAsia"/>
        </w:rPr>
        <w:t>规定的昼、夜间环境振动值标准和现行行业标准《城市轨道交通引起建筑物振动与二次辐射噪声限值及其测量方法标准》</w:t>
      </w:r>
      <w:r w:rsidRPr="00FD50F6">
        <w:rPr>
          <w:rFonts w:hint="eastAsia"/>
        </w:rPr>
        <w:t>JGJ/T</w:t>
      </w:r>
      <w:r w:rsidRPr="00FD50F6">
        <w:t xml:space="preserve"> </w:t>
      </w:r>
      <w:r w:rsidRPr="00FD50F6">
        <w:rPr>
          <w:rFonts w:hint="eastAsia"/>
        </w:rPr>
        <w:t>170</w:t>
      </w:r>
      <w:r w:rsidRPr="00FD50F6">
        <w:rPr>
          <w:rFonts w:hint="eastAsia"/>
        </w:rPr>
        <w:t>规定的昼、夜间二次辐射噪声限值标准。</w:t>
      </w:r>
    </w:p>
    <w:p w14:paraId="2DC8CD1A" w14:textId="77777777" w:rsidR="008F633E" w:rsidRPr="00FD50F6" w:rsidRDefault="008F633E" w:rsidP="008F633E">
      <w:pPr>
        <w:pStyle w:val="30"/>
      </w:pPr>
      <w:r w:rsidRPr="00FD50F6">
        <w:rPr>
          <w:rFonts w:hint="eastAsia"/>
        </w:rPr>
        <w:t>轨道减振设计应符合下列规定：</w:t>
      </w:r>
    </w:p>
    <w:p w14:paraId="0B712628" w14:textId="5F2CC5FF" w:rsidR="008F633E" w:rsidRPr="00FD50F6" w:rsidRDefault="008F633E" w:rsidP="00A926BD">
      <w:pPr>
        <w:pStyle w:val="4"/>
      </w:pPr>
      <w:r w:rsidRPr="00FD50F6">
        <w:rPr>
          <w:rFonts w:hint="eastAsia"/>
        </w:rPr>
        <w:t>轨道减振措施的设计目标值即超标量，应根据振动敏感点处列车通过时段的最大振动级、二次辐射噪声的预测值与该敏感点环境振动、二次辐射噪声标准的差值确定。</w:t>
      </w:r>
    </w:p>
    <w:p w14:paraId="0ED1797E" w14:textId="51CA3479" w:rsidR="008F633E" w:rsidRPr="00FD50F6" w:rsidRDefault="008F633E" w:rsidP="00A926BD">
      <w:pPr>
        <w:pStyle w:val="4"/>
      </w:pPr>
      <w:r w:rsidRPr="00FD50F6">
        <w:rPr>
          <w:rFonts w:hint="eastAsia"/>
        </w:rPr>
        <w:t>当线路下穿敏感点及振动超标量大于</w:t>
      </w:r>
      <w:r w:rsidRPr="00FD50F6">
        <w:rPr>
          <w:rFonts w:hint="eastAsia"/>
        </w:rPr>
        <w:t>8dB</w:t>
      </w:r>
      <w:r w:rsidRPr="00FD50F6">
        <w:rPr>
          <w:rFonts w:hint="eastAsia"/>
        </w:rPr>
        <w:t>或二次辐射噪声超标量大于</w:t>
      </w:r>
      <w:r w:rsidRPr="00FD50F6">
        <w:rPr>
          <w:rFonts w:hint="eastAsia"/>
        </w:rPr>
        <w:t>5dBA</w:t>
      </w:r>
      <w:r w:rsidRPr="00FD50F6">
        <w:rPr>
          <w:rFonts w:hint="eastAsia"/>
        </w:rPr>
        <w:t>时，应采取特殊减振措施；当振动超标量为</w:t>
      </w:r>
      <w:r w:rsidRPr="00FD50F6">
        <w:rPr>
          <w:rFonts w:hint="eastAsia"/>
        </w:rPr>
        <w:t>5dB~8dB</w:t>
      </w:r>
      <w:r w:rsidRPr="00FD50F6">
        <w:rPr>
          <w:rFonts w:hint="eastAsia"/>
        </w:rPr>
        <w:t>或二次辐射噪声超标量为</w:t>
      </w:r>
      <w:r w:rsidRPr="00FD50F6">
        <w:rPr>
          <w:rFonts w:hint="eastAsia"/>
        </w:rPr>
        <w:t>3dBA~5dBA</w:t>
      </w:r>
      <w:r w:rsidRPr="00FD50F6">
        <w:rPr>
          <w:rFonts w:hint="eastAsia"/>
        </w:rPr>
        <w:t>时，宜采取高等减振措施；当振动超标量小于</w:t>
      </w:r>
      <w:r w:rsidRPr="00FD50F6">
        <w:rPr>
          <w:rFonts w:hint="eastAsia"/>
        </w:rPr>
        <w:t>5dB</w:t>
      </w:r>
      <w:r w:rsidRPr="00FD50F6">
        <w:rPr>
          <w:rFonts w:hint="eastAsia"/>
        </w:rPr>
        <w:t>或二次辐射噪声超标量小于</w:t>
      </w:r>
      <w:r w:rsidRPr="00FD50F6">
        <w:rPr>
          <w:rFonts w:hint="eastAsia"/>
        </w:rPr>
        <w:t>3dBA</w:t>
      </w:r>
      <w:r w:rsidRPr="00FD50F6">
        <w:rPr>
          <w:rFonts w:hint="eastAsia"/>
        </w:rPr>
        <w:t>时，宜采取一般或中等减振措施。</w:t>
      </w:r>
    </w:p>
    <w:p w14:paraId="152E89A7" w14:textId="554BEA0F" w:rsidR="008F633E" w:rsidRPr="00FD50F6" w:rsidRDefault="008F633E" w:rsidP="00A926BD">
      <w:pPr>
        <w:pStyle w:val="4"/>
      </w:pPr>
      <w:r w:rsidRPr="00FD50F6">
        <w:rPr>
          <w:rFonts w:hint="eastAsia"/>
        </w:rPr>
        <w:t>减振轨道总长度应大于环境保护目标的长度，且不应小于最大列车编组长度；每端延伸长度不宜小于</w:t>
      </w:r>
      <w:r w:rsidRPr="00FD50F6">
        <w:rPr>
          <w:rFonts w:hint="eastAsia"/>
        </w:rPr>
        <w:t xml:space="preserve"> 40 m</w:t>
      </w:r>
      <w:r w:rsidRPr="00FD50F6">
        <w:rPr>
          <w:rFonts w:hint="eastAsia"/>
        </w:rPr>
        <w:t>，过渡段长度不宜小于车辆转向架中心距。</w:t>
      </w:r>
    </w:p>
    <w:p w14:paraId="35638BF5" w14:textId="5C5F3510" w:rsidR="008F633E" w:rsidRPr="00FD50F6" w:rsidRDefault="008F633E" w:rsidP="00A926BD">
      <w:pPr>
        <w:pStyle w:val="4"/>
      </w:pPr>
      <w:r w:rsidRPr="00FD50F6">
        <w:rPr>
          <w:rFonts w:hint="eastAsia"/>
        </w:rPr>
        <w:t>对于环境要求较高的高架路段，宜在设置声屏障的地段同步采取轨道、桥梁等结构综合减振降噪措施。</w:t>
      </w:r>
    </w:p>
    <w:p w14:paraId="46FD0A00" w14:textId="3455C30C" w:rsidR="008F633E" w:rsidRPr="00FD50F6" w:rsidRDefault="008F633E" w:rsidP="00A926BD">
      <w:pPr>
        <w:pStyle w:val="4"/>
      </w:pPr>
      <w:r w:rsidRPr="00FD50F6">
        <w:rPr>
          <w:rFonts w:hint="eastAsia"/>
        </w:rPr>
        <w:t>当车辆最高运行速度达到</w:t>
      </w:r>
      <w:r w:rsidRPr="00FD50F6">
        <w:rPr>
          <w:rFonts w:hint="eastAsia"/>
        </w:rPr>
        <w:t>120 km/h</w:t>
      </w:r>
      <w:r w:rsidRPr="00FD50F6">
        <w:rPr>
          <w:rFonts w:hint="eastAsia"/>
        </w:rPr>
        <w:t>时，隔振轨道的不平顺控制及隔振措施动态稳定性宜符合国家现行标准《城市轨道交通市域快线</w:t>
      </w:r>
      <w:r w:rsidRPr="00FD50F6">
        <w:rPr>
          <w:rFonts w:hint="eastAsia"/>
        </w:rPr>
        <w:t>120 km/h~ 160 km/h</w:t>
      </w:r>
      <w:r w:rsidRPr="00FD50F6">
        <w:rPr>
          <w:rFonts w:hint="eastAsia"/>
        </w:rPr>
        <w:t>车辆通用技术条件》</w:t>
      </w:r>
      <w:r w:rsidRPr="00FD50F6">
        <w:rPr>
          <w:rFonts w:hint="eastAsia"/>
        </w:rPr>
        <w:t>GB/T 37532</w:t>
      </w:r>
      <w:r w:rsidRPr="00FD50F6">
        <w:rPr>
          <w:rFonts w:hint="eastAsia"/>
        </w:rPr>
        <w:t>、《高速铁路工程动态验收技术规范》</w:t>
      </w:r>
      <w:r w:rsidRPr="00FD50F6">
        <w:rPr>
          <w:rFonts w:hint="eastAsia"/>
        </w:rPr>
        <w:t>TB 10761</w:t>
      </w:r>
      <w:r w:rsidRPr="00FD50F6">
        <w:rPr>
          <w:rFonts w:hint="eastAsia"/>
        </w:rPr>
        <w:t>的规定。</w:t>
      </w:r>
    </w:p>
    <w:p w14:paraId="74756D3A" w14:textId="77777777" w:rsidR="008F633E" w:rsidRPr="00FD50F6" w:rsidRDefault="008F633E" w:rsidP="00A65181">
      <w:pPr>
        <w:pStyle w:val="2"/>
      </w:pPr>
      <w:bookmarkStart w:id="1333" w:name="_Toc112830891"/>
      <w:r w:rsidRPr="00FD50F6">
        <w:rPr>
          <w:rFonts w:hint="eastAsia"/>
        </w:rPr>
        <w:t>水环境保护措施</w:t>
      </w:r>
      <w:bookmarkEnd w:id="1333"/>
    </w:p>
    <w:p w14:paraId="57EC31FF" w14:textId="77777777" w:rsidR="008F633E" w:rsidRPr="00FD50F6" w:rsidRDefault="008F633E" w:rsidP="008F633E">
      <w:pPr>
        <w:pStyle w:val="30"/>
      </w:pPr>
      <w:r w:rsidRPr="00FD50F6">
        <w:rPr>
          <w:rFonts w:hint="eastAsia"/>
        </w:rPr>
        <w:t>当高架区间上跨饮用水水源保护区水域范围时，桥面径流水不应无序排放，应设置径流水收集、处理等措施，并应将桥面径流水引导至保护区保护范围外排放。</w:t>
      </w:r>
    </w:p>
    <w:p w14:paraId="1B46DB15" w14:textId="77777777" w:rsidR="008F633E" w:rsidRPr="00FD50F6" w:rsidRDefault="008F633E" w:rsidP="008F633E">
      <w:pPr>
        <w:pStyle w:val="30"/>
      </w:pPr>
      <w:r w:rsidRPr="00FD50F6">
        <w:rPr>
          <w:rFonts w:hint="eastAsia"/>
        </w:rPr>
        <w:t>地铁车站、车辆段及停车场的生活污水应达到地方或国家污水综合排放标准后排放。</w:t>
      </w:r>
    </w:p>
    <w:p w14:paraId="084F6722" w14:textId="77777777" w:rsidR="008F633E" w:rsidRPr="00FD50F6" w:rsidRDefault="008F633E" w:rsidP="008F633E">
      <w:pPr>
        <w:pStyle w:val="30"/>
      </w:pPr>
      <w:r w:rsidRPr="00FD50F6">
        <w:rPr>
          <w:rFonts w:hint="eastAsia"/>
        </w:rPr>
        <w:t>车辆段、停车场含油废水应进行厂区内污水处理，并应达到地方或国家</w:t>
      </w:r>
      <w:r w:rsidRPr="00FD50F6">
        <w:rPr>
          <w:rFonts w:hint="eastAsia"/>
        </w:rPr>
        <w:lastRenderedPageBreak/>
        <w:t>污水综合排放标准后排放。</w:t>
      </w:r>
    </w:p>
    <w:p w14:paraId="69344729" w14:textId="77777777" w:rsidR="008F633E" w:rsidRPr="00FD50F6" w:rsidRDefault="008F633E" w:rsidP="008F633E">
      <w:pPr>
        <w:pStyle w:val="30"/>
      </w:pPr>
      <w:r w:rsidRPr="00FD50F6">
        <w:rPr>
          <w:rFonts w:hint="eastAsia"/>
        </w:rPr>
        <w:t>车辆段、停车场洗车废水经处理后应做到循环利用，循环利用的冲洗用水水质应符合城市污水再生利用水质标准。</w:t>
      </w:r>
    </w:p>
    <w:p w14:paraId="159AD87F" w14:textId="77777777" w:rsidR="008F633E" w:rsidRPr="00FD50F6" w:rsidRDefault="008F633E" w:rsidP="008F633E">
      <w:pPr>
        <w:pStyle w:val="30"/>
      </w:pPr>
      <w:r w:rsidRPr="00FD50F6">
        <w:rPr>
          <w:rFonts w:hint="eastAsia"/>
        </w:rPr>
        <w:t>污水处理过程中产生的污泥应进行干化处理。</w:t>
      </w:r>
    </w:p>
    <w:p w14:paraId="3AA5A517" w14:textId="1F858077" w:rsidR="00D70A4C" w:rsidRPr="00FD50F6" w:rsidRDefault="008F633E">
      <w:pPr>
        <w:widowControl/>
        <w:spacing w:line="240" w:lineRule="auto"/>
        <w:jc w:val="left"/>
      </w:pPr>
      <w:r w:rsidRPr="00FD50F6">
        <w:br w:type="page"/>
      </w:r>
    </w:p>
    <w:p w14:paraId="0B7D01AC" w14:textId="4436F6B5" w:rsidR="00EB2291" w:rsidRPr="00FD50F6" w:rsidRDefault="00EB2291" w:rsidP="00EB2291">
      <w:pPr>
        <w:pStyle w:val="12"/>
      </w:pPr>
      <w:bookmarkStart w:id="1334" w:name="_Toc112830892"/>
      <w:r w:rsidRPr="00FD50F6">
        <w:rPr>
          <w:rFonts w:hint="eastAsia"/>
        </w:rPr>
        <w:lastRenderedPageBreak/>
        <w:t>节能</w:t>
      </w:r>
      <w:bookmarkEnd w:id="1334"/>
    </w:p>
    <w:p w14:paraId="55B5D90F" w14:textId="77777777" w:rsidR="00EB2291" w:rsidRPr="00FD50F6" w:rsidRDefault="00EB2291" w:rsidP="00010C49">
      <w:pPr>
        <w:pStyle w:val="2"/>
        <w:numPr>
          <w:ilvl w:val="1"/>
          <w:numId w:val="39"/>
        </w:numPr>
      </w:pPr>
      <w:bookmarkStart w:id="1335" w:name="_Toc112830893"/>
      <w:r w:rsidRPr="00FD50F6">
        <w:rPr>
          <w:rFonts w:hint="eastAsia"/>
        </w:rPr>
        <w:t>一般规定</w:t>
      </w:r>
      <w:bookmarkEnd w:id="1335"/>
    </w:p>
    <w:p w14:paraId="3C54E96B" w14:textId="77777777" w:rsidR="00EB2291" w:rsidRPr="00FD50F6" w:rsidRDefault="00EB2291" w:rsidP="00634619">
      <w:pPr>
        <w:pStyle w:val="30"/>
      </w:pPr>
      <w:r w:rsidRPr="00FD50F6">
        <w:rPr>
          <w:rFonts w:hint="eastAsia"/>
        </w:rPr>
        <w:t>地铁设计应采取降低地铁运营能耗的运营组织、车辆、线路、建筑、机电设备等综合节能措施，并应设置能源管理系统。</w:t>
      </w:r>
    </w:p>
    <w:p w14:paraId="208B86F7" w14:textId="77777777" w:rsidR="00EB2291" w:rsidRPr="00FD50F6" w:rsidRDefault="00EB2291" w:rsidP="00634619">
      <w:pPr>
        <w:pStyle w:val="30"/>
      </w:pPr>
      <w:r w:rsidRPr="00FD50F6">
        <w:rPr>
          <w:rFonts w:hint="eastAsia"/>
        </w:rPr>
        <w:t>运营组织节能设计宜符合下列规定：</w:t>
      </w:r>
    </w:p>
    <w:p w14:paraId="23C56416" w14:textId="77777777" w:rsidR="00EB2291" w:rsidRPr="00FD50F6" w:rsidRDefault="00EB2291" w:rsidP="00A926BD">
      <w:pPr>
        <w:pStyle w:val="4"/>
      </w:pPr>
      <w:r w:rsidRPr="00FD50F6">
        <w:rPr>
          <w:rFonts w:hint="eastAsia"/>
        </w:rPr>
        <w:t>宜采用多交路运营等措施提高断面客流较小区段的列车满载率；</w:t>
      </w:r>
    </w:p>
    <w:p w14:paraId="669D55DD" w14:textId="77777777" w:rsidR="00EB2291" w:rsidRPr="00FD50F6" w:rsidRDefault="00EB2291" w:rsidP="00A926BD">
      <w:pPr>
        <w:pStyle w:val="4"/>
      </w:pPr>
      <w:r w:rsidRPr="00FD50F6">
        <w:rPr>
          <w:rFonts w:hint="eastAsia"/>
        </w:rPr>
        <w:t>宜针对地铁高峰、平峰及特殊时段制定不同的列车运行图等运营组织方案。</w:t>
      </w:r>
    </w:p>
    <w:p w14:paraId="3CF3F021" w14:textId="77777777" w:rsidR="00EB2291" w:rsidRPr="00FD50F6" w:rsidRDefault="00EB2291" w:rsidP="00634619">
      <w:pPr>
        <w:pStyle w:val="30"/>
      </w:pPr>
      <w:r w:rsidRPr="00FD50F6">
        <w:rPr>
          <w:rFonts w:hint="eastAsia"/>
        </w:rPr>
        <w:t>车辆节能设计应符合下列规定：</w:t>
      </w:r>
    </w:p>
    <w:p w14:paraId="754FEA97" w14:textId="77777777" w:rsidR="00EB2291" w:rsidRPr="00FD50F6" w:rsidRDefault="00EB2291" w:rsidP="00A926BD">
      <w:pPr>
        <w:pStyle w:val="4"/>
      </w:pPr>
      <w:r w:rsidRPr="00FD50F6">
        <w:rPr>
          <w:rFonts w:hint="eastAsia"/>
        </w:rPr>
        <w:t>选型应与地铁客运量需求相匹配；</w:t>
      </w:r>
    </w:p>
    <w:p w14:paraId="15E7A36F" w14:textId="77777777" w:rsidR="00EB2291" w:rsidRPr="00FD50F6" w:rsidRDefault="00EB2291" w:rsidP="00A926BD">
      <w:pPr>
        <w:pStyle w:val="4"/>
      </w:pPr>
      <w:r w:rsidRPr="00FD50F6">
        <w:rPr>
          <w:rFonts w:hint="eastAsia"/>
        </w:rPr>
        <w:t>应采用不锈钢或铝合金等轻量化车体材料；</w:t>
      </w:r>
    </w:p>
    <w:p w14:paraId="7275A779" w14:textId="77777777" w:rsidR="00EB2291" w:rsidRPr="00FD50F6" w:rsidRDefault="00EB2291" w:rsidP="00A926BD">
      <w:pPr>
        <w:pStyle w:val="4"/>
      </w:pPr>
      <w:r w:rsidRPr="00FD50F6">
        <w:rPr>
          <w:rFonts w:hint="eastAsia"/>
        </w:rPr>
        <w:t>车辆制动应优先发挥电力再生制动的作用，实现电能再利用。</w:t>
      </w:r>
    </w:p>
    <w:p w14:paraId="26A6B81B" w14:textId="77777777" w:rsidR="00EB2291" w:rsidRPr="00FD50F6" w:rsidRDefault="00EB2291" w:rsidP="00634619">
      <w:pPr>
        <w:pStyle w:val="30"/>
      </w:pPr>
      <w:r w:rsidRPr="00FD50F6">
        <w:rPr>
          <w:rFonts w:hint="eastAsia"/>
        </w:rPr>
        <w:t>线路节能设计宜符合下列规定：</w:t>
      </w:r>
    </w:p>
    <w:p w14:paraId="64F1B40E" w14:textId="77777777" w:rsidR="00EB2291" w:rsidRPr="00FD50F6" w:rsidRDefault="00EB2291" w:rsidP="00A926BD">
      <w:pPr>
        <w:pStyle w:val="4"/>
      </w:pPr>
      <w:r w:rsidRPr="00FD50F6">
        <w:rPr>
          <w:rFonts w:hint="eastAsia"/>
        </w:rPr>
        <w:t>平面设计宜顺直，曲线段宜采用大曲线半径，避免限速曲线；</w:t>
      </w:r>
    </w:p>
    <w:p w14:paraId="27956B88" w14:textId="77777777" w:rsidR="00EB2291" w:rsidRPr="00FD50F6" w:rsidRDefault="00EB2291" w:rsidP="00A926BD">
      <w:pPr>
        <w:pStyle w:val="4"/>
      </w:pPr>
      <w:r w:rsidRPr="00FD50F6">
        <w:rPr>
          <w:rFonts w:hint="eastAsia"/>
        </w:rPr>
        <w:t>纵断面设计宜结合牵引计算设置节能坡，利用列车重力势能加减速。</w:t>
      </w:r>
    </w:p>
    <w:p w14:paraId="2A4B1035" w14:textId="77777777" w:rsidR="00EB2291" w:rsidRPr="00FD50F6" w:rsidRDefault="00EB2291" w:rsidP="00A65181">
      <w:pPr>
        <w:pStyle w:val="2"/>
      </w:pPr>
      <w:bookmarkStart w:id="1336" w:name="_Toc112830894"/>
      <w:bookmarkStart w:id="1337" w:name="_Hlk63341081"/>
      <w:r w:rsidRPr="00FD50F6">
        <w:rPr>
          <w:rFonts w:hint="eastAsia"/>
        </w:rPr>
        <w:t>建筑节能</w:t>
      </w:r>
      <w:bookmarkEnd w:id="1336"/>
    </w:p>
    <w:bookmarkEnd w:id="1337"/>
    <w:p w14:paraId="1CB985E4" w14:textId="77777777" w:rsidR="00EB2291" w:rsidRPr="00FD50F6" w:rsidRDefault="00EB2291" w:rsidP="00634619">
      <w:pPr>
        <w:pStyle w:val="30"/>
      </w:pPr>
      <w:r w:rsidRPr="00FD50F6">
        <w:rPr>
          <w:rFonts w:hint="eastAsia"/>
        </w:rPr>
        <w:t>在满足功能前提下，车站建筑设计应控制车站规模和层数。</w:t>
      </w:r>
    </w:p>
    <w:p w14:paraId="3220FBA9" w14:textId="77777777" w:rsidR="00EB2291" w:rsidRPr="00FD50F6" w:rsidRDefault="00EB2291" w:rsidP="00634619">
      <w:pPr>
        <w:pStyle w:val="30"/>
      </w:pPr>
      <w:r w:rsidRPr="00FD50F6">
        <w:rPr>
          <w:rFonts w:hint="eastAsia"/>
        </w:rPr>
        <w:t>降压变电所、通风空调机房等设备用房应设置在靠近车站负荷中心的位置。</w:t>
      </w:r>
    </w:p>
    <w:p w14:paraId="366359B0" w14:textId="77777777" w:rsidR="00EB2291" w:rsidRPr="00FD50F6" w:rsidRDefault="00EB2291" w:rsidP="00634619">
      <w:pPr>
        <w:pStyle w:val="30"/>
      </w:pPr>
      <w:r w:rsidRPr="00FD50F6">
        <w:rPr>
          <w:rFonts w:hint="eastAsia"/>
        </w:rPr>
        <w:t>地上车站建筑节能设计应符合下列规定：</w:t>
      </w:r>
    </w:p>
    <w:p w14:paraId="1C747FDE" w14:textId="59287854" w:rsidR="00EB2291" w:rsidRPr="00FD50F6" w:rsidRDefault="00EB2291" w:rsidP="00A926BD">
      <w:pPr>
        <w:pStyle w:val="4"/>
      </w:pPr>
      <w:r w:rsidRPr="00FD50F6">
        <w:rPr>
          <w:rFonts w:hint="eastAsia"/>
        </w:rPr>
        <w:t>公共区和管理用房应充分利用天然采光和自然通风，设备用房宜利用自然通风；当确有空调或供暖需求时，</w:t>
      </w:r>
      <w:r w:rsidRPr="00FD50F6">
        <w:t>站台</w:t>
      </w:r>
      <w:r w:rsidRPr="00FD50F6">
        <w:rPr>
          <w:rFonts w:hint="eastAsia"/>
        </w:rPr>
        <w:t>公共区</w:t>
      </w:r>
      <w:r w:rsidRPr="00FD50F6">
        <w:t>宜</w:t>
      </w:r>
      <w:r w:rsidRPr="00FD50F6">
        <w:rPr>
          <w:rFonts w:hint="eastAsia"/>
        </w:rPr>
        <w:t>局部</w:t>
      </w:r>
      <w:r w:rsidRPr="00FD50F6">
        <w:t>设置空调</w:t>
      </w:r>
      <w:r w:rsidRPr="00FD50F6">
        <w:rPr>
          <w:rFonts w:hint="eastAsia"/>
        </w:rPr>
        <w:t>或供暖</w:t>
      </w:r>
      <w:r w:rsidRPr="00FD50F6">
        <w:t>候车室</w:t>
      </w:r>
      <w:r w:rsidR="00F538F4" w:rsidRPr="00FD50F6">
        <w:rPr>
          <w:rFonts w:hint="eastAsia"/>
        </w:rPr>
        <w:t>。</w:t>
      </w:r>
    </w:p>
    <w:p w14:paraId="3C5A33B4" w14:textId="7470286A" w:rsidR="00EB2291" w:rsidRPr="00FD50F6" w:rsidRDefault="00EB2291" w:rsidP="00A926BD">
      <w:pPr>
        <w:pStyle w:val="4"/>
      </w:pPr>
      <w:r w:rsidRPr="00FD50F6">
        <w:rPr>
          <w:rFonts w:hint="eastAsia"/>
        </w:rPr>
        <w:t>当设置空调或供暖系统时，公共区的围护结构热工设计应符合现行国家标准《公共建筑节能设计标准》</w:t>
      </w:r>
      <w:r w:rsidRPr="00FD50F6">
        <w:rPr>
          <w:rFonts w:hint="eastAsia"/>
        </w:rPr>
        <w:t>GB 50189</w:t>
      </w:r>
      <w:r w:rsidRPr="00FD50F6">
        <w:rPr>
          <w:rFonts w:hint="eastAsia"/>
        </w:rPr>
        <w:t>的规定；当未设置空调或供暖系统时，公共区的外窗遮阳设施、屋面透光面积比、屋面传热系数宜符合现行国家标准《公共建筑节能设计标准》</w:t>
      </w:r>
      <w:r w:rsidRPr="00FD50F6">
        <w:rPr>
          <w:rFonts w:hint="eastAsia"/>
        </w:rPr>
        <w:t>GB 50189</w:t>
      </w:r>
      <w:r w:rsidRPr="00FD50F6">
        <w:rPr>
          <w:rFonts w:hint="eastAsia"/>
        </w:rPr>
        <w:t>的规定</w:t>
      </w:r>
      <w:r w:rsidR="00F538F4" w:rsidRPr="00FD50F6">
        <w:rPr>
          <w:rFonts w:hint="eastAsia"/>
        </w:rPr>
        <w:t>。</w:t>
      </w:r>
    </w:p>
    <w:p w14:paraId="6B7E41E0" w14:textId="0DCB66DB" w:rsidR="00EB2291" w:rsidRPr="00FD50F6" w:rsidRDefault="00EB2291" w:rsidP="00A926BD">
      <w:pPr>
        <w:pStyle w:val="4"/>
      </w:pPr>
      <w:r w:rsidRPr="00FD50F6">
        <w:rPr>
          <w:rFonts w:hint="eastAsia"/>
        </w:rPr>
        <w:t>设备管理用房的围护结构热工设计应符合现行国家标准《公共建筑节能设计标准》</w:t>
      </w:r>
      <w:r w:rsidRPr="00FD50F6">
        <w:rPr>
          <w:rFonts w:hint="eastAsia"/>
        </w:rPr>
        <w:t>GB 50189</w:t>
      </w:r>
      <w:r w:rsidRPr="00FD50F6">
        <w:rPr>
          <w:rFonts w:hint="eastAsia"/>
        </w:rPr>
        <w:t>的规定；当变电所和通信机房与外围护结构相邻时，对应部</w:t>
      </w:r>
      <w:r w:rsidRPr="00FD50F6">
        <w:rPr>
          <w:rFonts w:hint="eastAsia"/>
        </w:rPr>
        <w:lastRenderedPageBreak/>
        <w:t>分的围护结构热工性能宜根据全年动态能耗分析情况确定最优值。</w:t>
      </w:r>
    </w:p>
    <w:p w14:paraId="7E69AD2D" w14:textId="54F4D656" w:rsidR="00EB2291" w:rsidRPr="00FD50F6" w:rsidRDefault="00EB2291" w:rsidP="00634619">
      <w:pPr>
        <w:pStyle w:val="30"/>
      </w:pPr>
      <w:r w:rsidRPr="00FD50F6">
        <w:rPr>
          <w:rFonts w:hint="eastAsia"/>
        </w:rPr>
        <w:t>控制中心和车辆基地内的办公楼、培训中心、公寓、食堂等公共建筑设计应符合现行国家标准《公共建筑节能设计标准》</w:t>
      </w:r>
      <w:r w:rsidRPr="00FD50F6">
        <w:rPr>
          <w:rFonts w:hint="eastAsia"/>
        </w:rPr>
        <w:t>GB 50189</w:t>
      </w:r>
      <w:r w:rsidRPr="00FD50F6">
        <w:rPr>
          <w:rFonts w:hint="eastAsia"/>
        </w:rPr>
        <w:t>的规定；车辆基地内的厂房和仓库等工业建筑设计应符合现行国家标准《工业建筑节能设计统一标准》</w:t>
      </w:r>
      <w:r w:rsidRPr="00FD50F6">
        <w:rPr>
          <w:rFonts w:hint="eastAsia"/>
        </w:rPr>
        <w:t>GB 51245</w:t>
      </w:r>
      <w:r w:rsidRPr="00FD50F6">
        <w:rPr>
          <w:rFonts w:hint="eastAsia"/>
        </w:rPr>
        <w:t>的规定。</w:t>
      </w:r>
    </w:p>
    <w:p w14:paraId="37258425" w14:textId="4FCF93A8" w:rsidR="00EB2291" w:rsidRPr="00FD50F6" w:rsidRDefault="00EB2291" w:rsidP="00A65181">
      <w:pPr>
        <w:pStyle w:val="2"/>
      </w:pPr>
      <w:bookmarkStart w:id="1338" w:name="_Toc112830895"/>
      <w:r w:rsidRPr="00FD50F6">
        <w:rPr>
          <w:rFonts w:hint="eastAsia"/>
        </w:rPr>
        <w:t>设备</w:t>
      </w:r>
      <w:r w:rsidR="003F1D74" w:rsidRPr="00FD50F6">
        <w:rPr>
          <w:rFonts w:hint="eastAsia"/>
        </w:rPr>
        <w:t>系统</w:t>
      </w:r>
      <w:r w:rsidRPr="00FD50F6">
        <w:rPr>
          <w:rFonts w:hint="eastAsia"/>
        </w:rPr>
        <w:t>节能</w:t>
      </w:r>
      <w:bookmarkEnd w:id="1338"/>
    </w:p>
    <w:p w14:paraId="354B4F64" w14:textId="7C7B61B3" w:rsidR="00EB2291" w:rsidRPr="00FD50F6" w:rsidRDefault="00EB2291" w:rsidP="00EB2291">
      <w:pPr>
        <w:tabs>
          <w:tab w:val="left" w:pos="3443"/>
          <w:tab w:val="center" w:pos="4153"/>
        </w:tabs>
        <w:adjustRightInd w:val="0"/>
        <w:snapToGrid w:val="0"/>
        <w:spacing w:beforeLines="50" w:before="120" w:afterLines="50" w:after="120"/>
        <w:jc w:val="left"/>
        <w:outlineLvl w:val="2"/>
        <w:rPr>
          <w:rFonts w:ascii="Times New Roman" w:hAnsi="Times New Roman" w:cs="Times New Roman"/>
          <w:b/>
          <w:szCs w:val="24"/>
        </w:rPr>
      </w:pPr>
      <w:r w:rsidRPr="00FD50F6">
        <w:rPr>
          <w:rFonts w:ascii="Times New Roman" w:hAnsi="Times New Roman" w:cs="Times New Roman"/>
          <w:b/>
          <w:szCs w:val="24"/>
        </w:rPr>
        <w:tab/>
      </w:r>
      <w:r w:rsidRPr="00FD50F6">
        <w:rPr>
          <w:rFonts w:ascii="Times New Roman" w:hAnsi="Times New Roman" w:cs="Times New Roman" w:hint="eastAsia"/>
          <w:b/>
          <w:szCs w:val="24"/>
        </w:rPr>
        <w:t>Ⅰ</w:t>
      </w:r>
      <w:r w:rsidRPr="00FD50F6">
        <w:rPr>
          <w:rFonts w:ascii="Times New Roman" w:hAnsi="Times New Roman" w:cs="Times New Roman" w:hint="eastAsia"/>
          <w:b/>
          <w:szCs w:val="24"/>
        </w:rPr>
        <w:t xml:space="preserve"> </w:t>
      </w:r>
      <w:r w:rsidRPr="00FD50F6">
        <w:rPr>
          <w:rFonts w:ascii="Times New Roman" w:hAnsi="Times New Roman" w:cs="Times New Roman" w:hint="eastAsia"/>
          <w:b/>
          <w:szCs w:val="24"/>
        </w:rPr>
        <w:t>供电</w:t>
      </w:r>
    </w:p>
    <w:p w14:paraId="253181E7" w14:textId="77777777" w:rsidR="00EB2291" w:rsidRPr="00FD50F6" w:rsidRDefault="00EB2291" w:rsidP="00634619">
      <w:pPr>
        <w:pStyle w:val="30"/>
      </w:pPr>
      <w:r w:rsidRPr="00FD50F6">
        <w:rPr>
          <w:rFonts w:hint="eastAsia"/>
        </w:rPr>
        <w:t>变电所节能设计应符合下列规定：</w:t>
      </w:r>
    </w:p>
    <w:p w14:paraId="775134D6" w14:textId="0FC6E1DE" w:rsidR="00EB2291" w:rsidRPr="00FD50F6" w:rsidRDefault="00EB2291" w:rsidP="00A926BD">
      <w:pPr>
        <w:pStyle w:val="4"/>
      </w:pPr>
      <w:r w:rsidRPr="00FD50F6">
        <w:rPr>
          <w:rFonts w:hint="eastAsia"/>
        </w:rPr>
        <w:t>牵引变压器应符合现行行业标准《城市轨道交通用干式牵引整流变压器》</w:t>
      </w:r>
      <w:r w:rsidRPr="00FD50F6">
        <w:rPr>
          <w:rFonts w:hint="eastAsia"/>
        </w:rPr>
        <w:t>JB/T 10693</w:t>
      </w:r>
      <w:r w:rsidRPr="00FD50F6">
        <w:rPr>
          <w:rFonts w:hint="eastAsia"/>
        </w:rPr>
        <w:t>的规定；</w:t>
      </w:r>
    </w:p>
    <w:p w14:paraId="0164DF3F" w14:textId="77777777" w:rsidR="00EB2291" w:rsidRPr="00FD50F6" w:rsidRDefault="00EB2291" w:rsidP="00A926BD">
      <w:pPr>
        <w:pStyle w:val="4"/>
      </w:pPr>
      <w:r w:rsidRPr="00FD50F6">
        <w:rPr>
          <w:rFonts w:hint="eastAsia"/>
        </w:rPr>
        <w:t>牵引变电所的两套牵引整流机组应并列运行，并应构成等效</w:t>
      </w:r>
      <w:r w:rsidRPr="00FD50F6">
        <w:rPr>
          <w:rFonts w:hint="eastAsia"/>
        </w:rPr>
        <w:t>24</w:t>
      </w:r>
      <w:r w:rsidRPr="00FD50F6">
        <w:rPr>
          <w:rFonts w:hint="eastAsia"/>
        </w:rPr>
        <w:t>脉波整流；</w:t>
      </w:r>
    </w:p>
    <w:p w14:paraId="15D51DC6" w14:textId="5BD3CAED" w:rsidR="00EB2291" w:rsidRPr="00FD50F6" w:rsidRDefault="00EB2291" w:rsidP="00A926BD">
      <w:pPr>
        <w:pStyle w:val="4"/>
      </w:pPr>
      <w:r w:rsidRPr="00FD50F6">
        <w:rPr>
          <w:rFonts w:hint="eastAsia"/>
        </w:rPr>
        <w:t>配电变压器应选择节能型的成熟产品，</w:t>
      </w:r>
      <w:r w:rsidRPr="00FD50F6">
        <w:rPr>
          <w:rFonts w:hint="eastAsia"/>
        </w:rPr>
        <w:t>10kV</w:t>
      </w:r>
      <w:r w:rsidRPr="00FD50F6">
        <w:rPr>
          <w:rFonts w:hint="eastAsia"/>
        </w:rPr>
        <w:t>电压级配电变压器应符合现行国家标准《三相配电变压器能效限定值及能效等级》</w:t>
      </w:r>
      <w:r w:rsidRPr="00FD50F6">
        <w:rPr>
          <w:rFonts w:hint="eastAsia"/>
        </w:rPr>
        <w:t>GB 20052</w:t>
      </w:r>
      <w:r w:rsidRPr="00FD50F6">
        <w:rPr>
          <w:rFonts w:hint="eastAsia"/>
        </w:rPr>
        <w:t>的规定；</w:t>
      </w:r>
    </w:p>
    <w:p w14:paraId="2BE3FD03" w14:textId="671CD8A9" w:rsidR="00EB2291" w:rsidRPr="00FD50F6" w:rsidRDefault="00EB2291" w:rsidP="00A926BD">
      <w:pPr>
        <w:pStyle w:val="4"/>
      </w:pPr>
      <w:r w:rsidRPr="00FD50F6">
        <w:rPr>
          <w:rFonts w:hint="eastAsia"/>
        </w:rPr>
        <w:t>再生制动吸收装置应选择能效高和吸收能量效率高的成熟产品，并应符合现行国家标准《城市轨道交通列车再生制动能量地面利用系统》</w:t>
      </w:r>
      <w:r w:rsidRPr="00FD50F6">
        <w:rPr>
          <w:rFonts w:hint="eastAsia"/>
        </w:rPr>
        <w:t>GB/T 36287</w:t>
      </w:r>
      <w:r w:rsidRPr="00FD50F6">
        <w:rPr>
          <w:rFonts w:hint="eastAsia"/>
        </w:rPr>
        <w:t>的规定。</w:t>
      </w:r>
    </w:p>
    <w:p w14:paraId="646E3763" w14:textId="77777777" w:rsidR="00EB2291" w:rsidRPr="00FD50F6" w:rsidRDefault="00EB2291" w:rsidP="00634619">
      <w:pPr>
        <w:pStyle w:val="30"/>
      </w:pPr>
      <w:r w:rsidRPr="00FD50F6">
        <w:rPr>
          <w:rFonts w:hint="eastAsia"/>
        </w:rPr>
        <w:t>动力照明用电设备宜就地无功补偿；低压配电系统宜在变电所设置有源滤波装置。</w:t>
      </w:r>
    </w:p>
    <w:p w14:paraId="734FCA9C" w14:textId="77777777" w:rsidR="00EB2291" w:rsidRPr="00FD50F6" w:rsidRDefault="00EB2291" w:rsidP="00634619">
      <w:pPr>
        <w:pStyle w:val="30"/>
      </w:pPr>
      <w:r w:rsidRPr="00FD50F6">
        <w:rPr>
          <w:rFonts w:hint="eastAsia"/>
        </w:rPr>
        <w:t>除专用消防设备外，动力用电设备宜采用变频调压调速等节能控制技术。</w:t>
      </w:r>
    </w:p>
    <w:p w14:paraId="571CAB92" w14:textId="77777777" w:rsidR="00EB2291" w:rsidRPr="00FD50F6" w:rsidRDefault="00EB2291" w:rsidP="00634619">
      <w:pPr>
        <w:pStyle w:val="30"/>
      </w:pPr>
      <w:r w:rsidRPr="00FD50F6">
        <w:rPr>
          <w:rFonts w:hint="eastAsia"/>
        </w:rPr>
        <w:t>照明系统节能设计应符合下列规定：</w:t>
      </w:r>
    </w:p>
    <w:p w14:paraId="01EEE545" w14:textId="0FEFF03C" w:rsidR="00EB2291" w:rsidRPr="00FD50F6" w:rsidRDefault="00EB2291" w:rsidP="00A926BD">
      <w:pPr>
        <w:pStyle w:val="4"/>
      </w:pPr>
      <w:r w:rsidRPr="00FD50F6">
        <w:rPr>
          <w:rFonts w:hint="eastAsia"/>
        </w:rPr>
        <w:t>可设置导光管日光照明系统作为室内照明的补充；</w:t>
      </w:r>
    </w:p>
    <w:p w14:paraId="44DE4AC1" w14:textId="77777777" w:rsidR="00EB2291" w:rsidRPr="00FD50F6" w:rsidRDefault="00EB2291" w:rsidP="00A926BD">
      <w:pPr>
        <w:pStyle w:val="4"/>
      </w:pPr>
      <w:r w:rsidRPr="00FD50F6">
        <w:rPr>
          <w:rFonts w:hint="eastAsia"/>
        </w:rPr>
        <w:t>车辆基地道路等户外照明宜采用太阳能照明；</w:t>
      </w:r>
    </w:p>
    <w:p w14:paraId="1EE69AEB" w14:textId="02DFDE34" w:rsidR="00EB2291" w:rsidRPr="00FD50F6" w:rsidRDefault="00EB2291" w:rsidP="00A926BD">
      <w:pPr>
        <w:pStyle w:val="4"/>
      </w:pPr>
      <w:r w:rsidRPr="00FD50F6">
        <w:rPr>
          <w:rFonts w:hint="eastAsia"/>
        </w:rPr>
        <w:t>照明功率密度及其他照明节能设计应符合现行国家标准《城市轨道交通照明》</w:t>
      </w:r>
      <w:r w:rsidRPr="00FD50F6">
        <w:rPr>
          <w:rFonts w:hint="eastAsia"/>
        </w:rPr>
        <w:t>GB/T 16275</w:t>
      </w:r>
      <w:r w:rsidRPr="00FD50F6">
        <w:rPr>
          <w:rFonts w:hint="eastAsia"/>
        </w:rPr>
        <w:t>的规定。</w:t>
      </w:r>
    </w:p>
    <w:p w14:paraId="0FD1FAD2" w14:textId="77777777" w:rsidR="00EB2291" w:rsidRPr="00FD50F6" w:rsidRDefault="00EB2291" w:rsidP="00EB2291">
      <w:pPr>
        <w:adjustRightInd w:val="0"/>
        <w:snapToGrid w:val="0"/>
        <w:spacing w:beforeLines="50" w:before="120" w:afterLines="50" w:after="120"/>
        <w:jc w:val="center"/>
        <w:outlineLvl w:val="2"/>
        <w:rPr>
          <w:rFonts w:ascii="Times New Roman" w:hAnsi="Times New Roman" w:cs="Times New Roman"/>
          <w:b/>
          <w:szCs w:val="24"/>
        </w:rPr>
      </w:pPr>
      <w:r w:rsidRPr="00FD50F6">
        <w:rPr>
          <w:rFonts w:ascii="宋体" w:hAnsi="宋体" w:cs="宋体" w:hint="eastAsia"/>
          <w:b/>
          <w:szCs w:val="24"/>
        </w:rPr>
        <w:t>Ⅱ</w:t>
      </w:r>
      <w:r w:rsidRPr="00FD50F6">
        <w:rPr>
          <w:rFonts w:ascii="Times New Roman" w:hAnsi="Times New Roman" w:cs="Times New Roman" w:hint="eastAsia"/>
          <w:b/>
          <w:szCs w:val="24"/>
        </w:rPr>
        <w:t xml:space="preserve"> </w:t>
      </w:r>
      <w:r w:rsidRPr="00FD50F6">
        <w:rPr>
          <w:rFonts w:ascii="Times New Roman" w:hAnsi="Times New Roman" w:cs="Times New Roman" w:hint="eastAsia"/>
          <w:b/>
          <w:szCs w:val="24"/>
        </w:rPr>
        <w:t>通风与空调</w:t>
      </w:r>
    </w:p>
    <w:p w14:paraId="05900EC7" w14:textId="77777777" w:rsidR="00EB2291" w:rsidRPr="00FD50F6" w:rsidRDefault="00EB2291" w:rsidP="00634619">
      <w:pPr>
        <w:pStyle w:val="30"/>
      </w:pPr>
      <w:r w:rsidRPr="00FD50F6">
        <w:rPr>
          <w:rFonts w:hint="eastAsia"/>
        </w:rPr>
        <w:t>通风与空调系统设计宜根据气象条件、负荷分布特征及设备配置等因素进行运行能耗分析，并宜选择能耗较低的系统方案。</w:t>
      </w:r>
    </w:p>
    <w:p w14:paraId="73E864F1" w14:textId="77777777" w:rsidR="00EB2291" w:rsidRPr="00FD50F6" w:rsidRDefault="00EB2291" w:rsidP="00634619">
      <w:pPr>
        <w:pStyle w:val="30"/>
      </w:pPr>
      <w:r w:rsidRPr="00FD50F6">
        <w:rPr>
          <w:rFonts w:hint="eastAsia"/>
        </w:rPr>
        <w:t>地下线路宜利用列车活塞效应实现对隧道和车站公共区的自然通风与换</w:t>
      </w:r>
      <w:r w:rsidRPr="00FD50F6">
        <w:rPr>
          <w:rFonts w:hint="eastAsia"/>
        </w:rPr>
        <w:lastRenderedPageBreak/>
        <w:t>气。</w:t>
      </w:r>
    </w:p>
    <w:p w14:paraId="751B677A" w14:textId="77777777" w:rsidR="00EB2291" w:rsidRPr="00FD50F6" w:rsidRDefault="00EB2291" w:rsidP="00634619">
      <w:pPr>
        <w:pStyle w:val="30"/>
      </w:pPr>
      <w:r w:rsidRPr="00FD50F6">
        <w:rPr>
          <w:rFonts w:hint="eastAsia"/>
        </w:rPr>
        <w:t>严寒地区地下线路宜利用列车运行散热量维持冬季内部空气温度满足要求。</w:t>
      </w:r>
    </w:p>
    <w:p w14:paraId="1DBD6FE2" w14:textId="77777777" w:rsidR="00EB2291" w:rsidRPr="00FD50F6" w:rsidRDefault="00EB2291" w:rsidP="00634619">
      <w:pPr>
        <w:pStyle w:val="30"/>
      </w:pPr>
      <w:r w:rsidRPr="00FD50F6">
        <w:rPr>
          <w:rFonts w:hint="eastAsia"/>
        </w:rPr>
        <w:t>车站公共区通风与空调系统应具备新风、送风及回排风的变风量运行条件。</w:t>
      </w:r>
    </w:p>
    <w:p w14:paraId="0779FE48" w14:textId="77777777" w:rsidR="00EB2291" w:rsidRPr="00FD50F6" w:rsidRDefault="00EB2291" w:rsidP="00634619">
      <w:pPr>
        <w:pStyle w:val="30"/>
      </w:pPr>
      <w:r w:rsidRPr="00FD50F6">
        <w:rPr>
          <w:rFonts w:hint="eastAsia"/>
        </w:rPr>
        <w:t>当非空调季节较长时，用于通风功能的车站公共区空调机组宜采取气流旁通表冷器的措施。</w:t>
      </w:r>
    </w:p>
    <w:p w14:paraId="610E2993" w14:textId="77777777" w:rsidR="00EB2291" w:rsidRPr="00FD50F6" w:rsidRDefault="00EB2291" w:rsidP="00634619">
      <w:pPr>
        <w:pStyle w:val="30"/>
      </w:pPr>
      <w:r w:rsidRPr="00FD50F6">
        <w:rPr>
          <w:rFonts w:hint="eastAsia"/>
        </w:rPr>
        <w:t>风机、水泵、冷水机组的设备能效等级不应低于</w:t>
      </w:r>
      <w:r w:rsidRPr="00FD50F6">
        <w:rPr>
          <w:rFonts w:hint="eastAsia"/>
        </w:rPr>
        <w:t>2</w:t>
      </w:r>
      <w:r w:rsidRPr="00FD50F6">
        <w:rPr>
          <w:rFonts w:hint="eastAsia"/>
        </w:rPr>
        <w:t>级或节能评价值，多联式空调（热泵）机组的设备能效等级应符合现行国家标准《城市轨道交通通风空气调节与供暖设计标准》</w:t>
      </w:r>
      <w:r w:rsidRPr="00FD50F6">
        <w:rPr>
          <w:rFonts w:hint="eastAsia"/>
        </w:rPr>
        <w:t>GB/T 51357</w:t>
      </w:r>
      <w:r w:rsidRPr="00FD50F6">
        <w:rPr>
          <w:rFonts w:hint="eastAsia"/>
        </w:rPr>
        <w:t>的规定。</w:t>
      </w:r>
    </w:p>
    <w:p w14:paraId="775DC809" w14:textId="77777777" w:rsidR="00EB2291" w:rsidRPr="00FD50F6" w:rsidRDefault="00EB2291" w:rsidP="00634619">
      <w:pPr>
        <w:pStyle w:val="30"/>
      </w:pPr>
      <w:r w:rsidRPr="00FD50F6">
        <w:rPr>
          <w:rFonts w:hint="eastAsia"/>
        </w:rPr>
        <w:t>通风与空调系统节能控制应符合下列规定：</w:t>
      </w:r>
    </w:p>
    <w:p w14:paraId="63D00717" w14:textId="77777777" w:rsidR="00EB2291" w:rsidRPr="00FD50F6" w:rsidRDefault="00EB2291" w:rsidP="00A926BD">
      <w:pPr>
        <w:pStyle w:val="4"/>
      </w:pPr>
      <w:r w:rsidRPr="00FD50F6">
        <w:rPr>
          <w:rFonts w:hint="eastAsia"/>
        </w:rPr>
        <w:t>应根据车站内外环境参数实时监测和通风空调负荷预测进行通风与空调系统节能控制；</w:t>
      </w:r>
    </w:p>
    <w:p w14:paraId="3EACE714" w14:textId="6A484FFF" w:rsidR="00EB2291" w:rsidRPr="00FD50F6" w:rsidRDefault="00EB2291" w:rsidP="00A926BD">
      <w:pPr>
        <w:pStyle w:val="4"/>
      </w:pPr>
      <w:r w:rsidRPr="00FD50F6">
        <w:rPr>
          <w:rFonts w:hint="eastAsia"/>
        </w:rPr>
        <w:t>应以提高制冷系统能效比作为控制目标，</w:t>
      </w:r>
      <w:r w:rsidR="00840561" w:rsidRPr="00FD50F6">
        <w:rPr>
          <w:rFonts w:hint="eastAsia"/>
        </w:rPr>
        <w:t>并</w:t>
      </w:r>
      <w:r w:rsidR="00840561" w:rsidRPr="00FD50F6">
        <w:t>应</w:t>
      </w:r>
      <w:r w:rsidR="00840561" w:rsidRPr="00FD50F6">
        <w:rPr>
          <w:rFonts w:hint="eastAsia"/>
        </w:rPr>
        <w:t>利于</w:t>
      </w:r>
      <w:r w:rsidRPr="00FD50F6">
        <w:rPr>
          <w:rFonts w:hint="eastAsia"/>
        </w:rPr>
        <w:t>长期监测</w:t>
      </w:r>
      <w:r w:rsidR="00840561" w:rsidRPr="00FD50F6">
        <w:rPr>
          <w:rFonts w:hint="eastAsia"/>
        </w:rPr>
        <w:t>积累</w:t>
      </w:r>
      <w:r w:rsidRPr="00FD50F6">
        <w:rPr>
          <w:rFonts w:hint="eastAsia"/>
        </w:rPr>
        <w:t>数据对冷水机组、冷水泵、冷却泵、冷却塔</w:t>
      </w:r>
      <w:r w:rsidR="00840561" w:rsidRPr="00FD50F6">
        <w:rPr>
          <w:rFonts w:hint="eastAsia"/>
        </w:rPr>
        <w:t>进行</w:t>
      </w:r>
      <w:r w:rsidRPr="00FD50F6">
        <w:rPr>
          <w:rFonts w:hint="eastAsia"/>
        </w:rPr>
        <w:t>主动寻优联动控制；</w:t>
      </w:r>
    </w:p>
    <w:p w14:paraId="0A29CF6C" w14:textId="77777777" w:rsidR="00EB2291" w:rsidRPr="00FD50F6" w:rsidRDefault="00EB2291" w:rsidP="00A926BD">
      <w:pPr>
        <w:pStyle w:val="4"/>
      </w:pPr>
      <w:r w:rsidRPr="00FD50F6">
        <w:rPr>
          <w:rFonts w:hint="eastAsia"/>
        </w:rPr>
        <w:t>应实现通风与空调系统的变风量与变水量运行，并应具备风系统和水系统的协调耦合控制功能。</w:t>
      </w:r>
    </w:p>
    <w:p w14:paraId="01071DF5" w14:textId="7B857D23" w:rsidR="00EB2291" w:rsidRPr="00FD50F6" w:rsidRDefault="00EB2291" w:rsidP="00EB2291">
      <w:pPr>
        <w:adjustRightInd w:val="0"/>
        <w:snapToGrid w:val="0"/>
        <w:spacing w:beforeLines="50" w:before="120" w:afterLines="50" w:after="120"/>
        <w:jc w:val="center"/>
        <w:outlineLvl w:val="2"/>
        <w:rPr>
          <w:rFonts w:ascii="Times New Roman" w:hAnsi="Times New Roman" w:cs="Times New Roman"/>
          <w:b/>
          <w:szCs w:val="24"/>
        </w:rPr>
      </w:pPr>
      <w:r w:rsidRPr="00FD50F6">
        <w:rPr>
          <w:rFonts w:ascii="宋体" w:hAnsi="宋体" w:cs="宋体" w:hint="eastAsia"/>
          <w:b/>
          <w:szCs w:val="24"/>
        </w:rPr>
        <w:t>Ⅲ</w:t>
      </w:r>
      <w:r w:rsidRPr="00FD50F6">
        <w:rPr>
          <w:rFonts w:ascii="Times New Roman" w:hAnsi="Times New Roman" w:cs="Times New Roman"/>
          <w:b/>
          <w:szCs w:val="24"/>
        </w:rPr>
        <w:t xml:space="preserve"> </w:t>
      </w:r>
      <w:r w:rsidRPr="00FD50F6">
        <w:rPr>
          <w:rFonts w:ascii="Times New Roman" w:hAnsi="Times New Roman" w:cs="Times New Roman" w:hint="eastAsia"/>
          <w:b/>
          <w:szCs w:val="24"/>
        </w:rPr>
        <w:t>其他</w:t>
      </w:r>
    </w:p>
    <w:p w14:paraId="0914EA91" w14:textId="77777777" w:rsidR="00EB2291" w:rsidRPr="00FD50F6" w:rsidRDefault="00EB2291" w:rsidP="00634619">
      <w:pPr>
        <w:pStyle w:val="30"/>
      </w:pPr>
      <w:r w:rsidRPr="00FD50F6">
        <w:rPr>
          <w:rFonts w:ascii="宋体" w:hAnsi="Calibri" w:cs="宋体" w:hint="eastAsia"/>
          <w:kern w:val="0"/>
        </w:rPr>
        <w:t>自动扶梯与电梯</w:t>
      </w:r>
      <w:r w:rsidRPr="00FD50F6">
        <w:rPr>
          <w:rFonts w:hint="eastAsia"/>
        </w:rPr>
        <w:t>设计应符合下列规定：</w:t>
      </w:r>
    </w:p>
    <w:p w14:paraId="027776C0" w14:textId="77777777" w:rsidR="00EB2291" w:rsidRPr="00FD50F6" w:rsidRDefault="00EB2291" w:rsidP="00A926BD">
      <w:pPr>
        <w:pStyle w:val="4"/>
      </w:pPr>
      <w:r w:rsidRPr="00FD50F6">
        <w:rPr>
          <w:rFonts w:hint="eastAsia"/>
        </w:rPr>
        <w:t>设备配置数量应与土建条件和服务水平相匹配；</w:t>
      </w:r>
    </w:p>
    <w:p w14:paraId="3C1359F6" w14:textId="77777777" w:rsidR="00EB2291" w:rsidRPr="00FD50F6" w:rsidRDefault="00EB2291" w:rsidP="00A926BD">
      <w:pPr>
        <w:pStyle w:val="4"/>
      </w:pPr>
      <w:r w:rsidRPr="00FD50F6">
        <w:rPr>
          <w:rFonts w:hint="eastAsia"/>
        </w:rPr>
        <w:t>设备能效指标应符合现行国家标准《城市轨道交通机电设备节能要求》</w:t>
      </w:r>
      <w:r w:rsidRPr="00FD50F6">
        <w:rPr>
          <w:rFonts w:hint="eastAsia"/>
        </w:rPr>
        <w:t>GB/T 35553</w:t>
      </w:r>
      <w:r w:rsidRPr="00FD50F6">
        <w:rPr>
          <w:rFonts w:hint="eastAsia"/>
        </w:rPr>
        <w:t>的规定。</w:t>
      </w:r>
    </w:p>
    <w:p w14:paraId="4D6F0906" w14:textId="77777777" w:rsidR="00EB2291" w:rsidRPr="00FD50F6" w:rsidRDefault="00EB2291" w:rsidP="00634619">
      <w:pPr>
        <w:pStyle w:val="30"/>
      </w:pPr>
      <w:r w:rsidRPr="00FD50F6">
        <w:rPr>
          <w:rFonts w:hint="eastAsia"/>
        </w:rPr>
        <w:t>自动售检票、综合监控等自动化系统的服务器、工作站、交换机、电源模块及终端应选择低功耗、高效率产品。</w:t>
      </w:r>
    </w:p>
    <w:p w14:paraId="37BA0B63" w14:textId="77777777" w:rsidR="00EB2291" w:rsidRPr="00FD50F6" w:rsidRDefault="00EB2291" w:rsidP="00634619">
      <w:pPr>
        <w:pStyle w:val="30"/>
      </w:pPr>
      <w:r w:rsidRPr="00FD50F6">
        <w:rPr>
          <w:rFonts w:hint="eastAsia"/>
        </w:rPr>
        <w:t>给水系统设计宜利用市政水压供水。</w:t>
      </w:r>
    </w:p>
    <w:p w14:paraId="7753B77E" w14:textId="77777777" w:rsidR="00EB2291" w:rsidRPr="00FD50F6" w:rsidRDefault="00EB2291" w:rsidP="00A65181">
      <w:pPr>
        <w:pStyle w:val="2"/>
      </w:pPr>
      <w:bookmarkStart w:id="1339" w:name="_Toc112830896"/>
      <w:r w:rsidRPr="00FD50F6">
        <w:rPr>
          <w:rFonts w:hint="eastAsia"/>
        </w:rPr>
        <w:t>能源管理</w:t>
      </w:r>
      <w:bookmarkEnd w:id="1339"/>
    </w:p>
    <w:p w14:paraId="61B35781" w14:textId="77777777" w:rsidR="00EB2291" w:rsidRPr="00FD50F6" w:rsidRDefault="00EB2291" w:rsidP="00634619">
      <w:pPr>
        <w:pStyle w:val="30"/>
      </w:pPr>
      <w:r w:rsidRPr="00FD50F6">
        <w:rPr>
          <w:rFonts w:hint="eastAsia"/>
        </w:rPr>
        <w:t>能源管理系统应对地铁线路的电能、水、燃气、热力能耗及电能质量进行集中、全面、实时在线监测。</w:t>
      </w:r>
    </w:p>
    <w:p w14:paraId="3830DE15" w14:textId="44FF0857" w:rsidR="00EB2291" w:rsidRPr="00FD50F6" w:rsidRDefault="00EB2291" w:rsidP="00634619">
      <w:pPr>
        <w:pStyle w:val="30"/>
      </w:pPr>
      <w:r w:rsidRPr="00FD50F6">
        <w:rPr>
          <w:rFonts w:hint="eastAsia"/>
        </w:rPr>
        <w:lastRenderedPageBreak/>
        <w:t>能源管理系统应能对各类能耗数据进行分类、分项、分区域统计，并</w:t>
      </w:r>
      <w:r w:rsidR="003F1D74" w:rsidRPr="00FD50F6">
        <w:rPr>
          <w:rFonts w:hint="eastAsia"/>
        </w:rPr>
        <w:t>应</w:t>
      </w:r>
      <w:r w:rsidRPr="00FD50F6">
        <w:rPr>
          <w:rFonts w:hint="eastAsia"/>
        </w:rPr>
        <w:t>对各类能耗数据在不同时间段的最大值、最小值、平均值及能耗指标等进行统计。</w:t>
      </w:r>
    </w:p>
    <w:p w14:paraId="45C4ACE3" w14:textId="77777777" w:rsidR="00EB2291" w:rsidRPr="00FD50F6" w:rsidRDefault="00EB2291" w:rsidP="00634619">
      <w:pPr>
        <w:pStyle w:val="30"/>
      </w:pPr>
      <w:r w:rsidRPr="00FD50F6">
        <w:rPr>
          <w:rFonts w:hint="eastAsia"/>
        </w:rPr>
        <w:t>能源管理系统应能根据统计的能耗数据、能耗指标等信息，进行能源的质量、负荷、需量、能效、平衡、同比、环比、节能潜力等分析。</w:t>
      </w:r>
    </w:p>
    <w:p w14:paraId="25295177" w14:textId="5A04CFE2" w:rsidR="00EB2291" w:rsidRPr="00FD50F6" w:rsidRDefault="00EB2291" w:rsidP="00634619">
      <w:pPr>
        <w:pStyle w:val="30"/>
      </w:pPr>
      <w:r w:rsidRPr="00FD50F6">
        <w:rPr>
          <w:rFonts w:hint="eastAsia"/>
        </w:rPr>
        <w:t>能源管理系统宜采用中心、车站两级管理</w:t>
      </w:r>
      <w:r w:rsidR="002B728F" w:rsidRPr="00FD50F6">
        <w:rPr>
          <w:rFonts w:hint="eastAsia"/>
        </w:rPr>
        <w:t>及</w:t>
      </w:r>
      <w:r w:rsidRPr="00FD50F6">
        <w:rPr>
          <w:rFonts w:hint="eastAsia"/>
        </w:rPr>
        <w:t>中心、车站、现场三级监视架构，主干网宜采用通信传输系统提供的专用通道组建。</w:t>
      </w:r>
    </w:p>
    <w:p w14:paraId="3D270345" w14:textId="05A7FDD4" w:rsidR="00EB2291" w:rsidRPr="00FD50F6" w:rsidRDefault="00EB2291" w:rsidP="00634619">
      <w:pPr>
        <w:pStyle w:val="30"/>
      </w:pPr>
      <w:r w:rsidRPr="00FD50F6">
        <w:rPr>
          <w:rFonts w:hint="eastAsia"/>
        </w:rPr>
        <w:t>计量表计应符合现行国家标准《</w:t>
      </w:r>
      <w:r w:rsidRPr="00FD50F6">
        <w:rPr>
          <w:rFonts w:ascii="宋体" w:hAnsi="Calibri" w:cs="宋体" w:hint="eastAsia"/>
          <w:kern w:val="0"/>
        </w:rPr>
        <w:t>用能单位能源计量器具配备和管理通则</w:t>
      </w:r>
      <w:r w:rsidRPr="00FD50F6">
        <w:rPr>
          <w:rFonts w:hint="eastAsia"/>
        </w:rPr>
        <w:t>》</w:t>
      </w:r>
      <w:r w:rsidRPr="00FD50F6">
        <w:t xml:space="preserve">GB 17167 </w:t>
      </w:r>
      <w:r w:rsidRPr="00FD50F6">
        <w:rPr>
          <w:rFonts w:hint="eastAsia"/>
        </w:rPr>
        <w:t>的规定，并应具有数据采集与传输、远程管理和维护功能。</w:t>
      </w:r>
    </w:p>
    <w:p w14:paraId="54D5FDA5" w14:textId="56DD2F55" w:rsidR="006362C9" w:rsidRPr="00FD50F6" w:rsidRDefault="006362C9" w:rsidP="00401453"/>
    <w:p w14:paraId="7E6DA49F" w14:textId="4F51524F" w:rsidR="00EB2291" w:rsidRPr="00FD50F6" w:rsidRDefault="00EB2291" w:rsidP="00401453"/>
    <w:p w14:paraId="7DCF85ED" w14:textId="1D51BE26" w:rsidR="00EB2291" w:rsidRPr="00FD50F6" w:rsidRDefault="00EB2291" w:rsidP="00401453"/>
    <w:p w14:paraId="47342FF8" w14:textId="38210879" w:rsidR="00EB2291" w:rsidRPr="00FD50F6" w:rsidRDefault="00EB2291" w:rsidP="00401453"/>
    <w:p w14:paraId="664ED974" w14:textId="47CEE7BB" w:rsidR="00BE43D4" w:rsidRPr="00FD50F6" w:rsidRDefault="00BE43D4">
      <w:pPr>
        <w:widowControl/>
        <w:spacing w:line="240" w:lineRule="auto"/>
        <w:jc w:val="left"/>
      </w:pPr>
      <w:r w:rsidRPr="00FD50F6">
        <w:br w:type="page"/>
      </w:r>
    </w:p>
    <w:p w14:paraId="552A5F7C" w14:textId="77777777" w:rsidR="002B733E" w:rsidRPr="00FD50F6" w:rsidRDefault="002B733E" w:rsidP="002B733E">
      <w:pPr>
        <w:pStyle w:val="12"/>
        <w:numPr>
          <w:ilvl w:val="0"/>
          <w:numId w:val="0"/>
        </w:numPr>
      </w:pPr>
      <w:bookmarkStart w:id="1340" w:name="_Toc112830897"/>
      <w:bookmarkStart w:id="1341" w:name="_Toc464482434"/>
      <w:bookmarkStart w:id="1342" w:name="_Toc469903347"/>
      <w:bookmarkStart w:id="1343" w:name="_Toc491875536"/>
      <w:bookmarkStart w:id="1344" w:name="_Toc535865482"/>
      <w:bookmarkStart w:id="1345" w:name="_Toc535866747"/>
      <w:bookmarkStart w:id="1346" w:name="_Toc467785955"/>
      <w:bookmarkStart w:id="1347" w:name="_Toc489216827"/>
      <w:bookmarkStart w:id="1348" w:name="_Toc464482706"/>
      <w:bookmarkStart w:id="1349" w:name="_Toc465325495"/>
      <w:bookmarkStart w:id="1350" w:name="_Toc465346333"/>
      <w:bookmarkStart w:id="1351" w:name="_Toc306207318"/>
      <w:bookmarkStart w:id="1352" w:name="_Toc306207509"/>
      <w:bookmarkStart w:id="1353" w:name="_Toc320643555"/>
      <w:bookmarkStart w:id="1354" w:name="_Toc344218909"/>
      <w:r w:rsidRPr="00FD50F6">
        <w:rPr>
          <w:rFonts w:hint="eastAsia"/>
          <w:szCs w:val="24"/>
        </w:rPr>
        <w:lastRenderedPageBreak/>
        <w:t>附录</w:t>
      </w:r>
      <w:r w:rsidRPr="00FD50F6">
        <w:rPr>
          <w:rFonts w:hint="eastAsia"/>
          <w:szCs w:val="24"/>
        </w:rPr>
        <w:t>A</w:t>
      </w:r>
      <w:r w:rsidRPr="00FD50F6">
        <w:rPr>
          <w:szCs w:val="24"/>
        </w:rPr>
        <w:t xml:space="preserve"> </w:t>
      </w:r>
      <w:r w:rsidRPr="00FD50F6">
        <w:rPr>
          <w:rFonts w:hint="eastAsia"/>
        </w:rPr>
        <w:t>车辆限界和设备限界计算方法</w:t>
      </w:r>
      <w:bookmarkEnd w:id="1340"/>
    </w:p>
    <w:p w14:paraId="559DF6E8" w14:textId="77777777" w:rsidR="002B733E" w:rsidRPr="00FD50F6" w:rsidRDefault="002B733E" w:rsidP="00BD4557">
      <w:pPr>
        <w:pStyle w:val="2"/>
        <w:numPr>
          <w:ilvl w:val="0"/>
          <w:numId w:val="0"/>
        </w:numPr>
        <w:jc w:val="center"/>
      </w:pPr>
      <w:bookmarkStart w:id="1355" w:name="_Toc112830898"/>
      <w:r w:rsidRPr="00FD50F6">
        <w:rPr>
          <w:rFonts w:hint="eastAsia"/>
        </w:rPr>
        <w:t xml:space="preserve">A.1 </w:t>
      </w:r>
      <w:r w:rsidRPr="00FD50F6">
        <w:rPr>
          <w:rFonts w:hint="eastAsia"/>
        </w:rPr>
        <w:t>限界计算参数</w:t>
      </w:r>
      <w:bookmarkEnd w:id="1355"/>
    </w:p>
    <w:p w14:paraId="2815FA79" w14:textId="50824E8A" w:rsidR="002B733E" w:rsidRPr="00FD50F6" w:rsidRDefault="002B733E" w:rsidP="002B733E">
      <w:pPr>
        <w:pStyle w:val="6"/>
        <w:rPr>
          <w:sz w:val="18"/>
          <w:szCs w:val="18"/>
        </w:rPr>
      </w:pPr>
      <w:r w:rsidRPr="00FD50F6">
        <w:rPr>
          <w:rFonts w:hint="eastAsia"/>
        </w:rPr>
        <w:t>表</w:t>
      </w:r>
      <w:r w:rsidR="003779E1">
        <w:rPr>
          <w:rFonts w:hint="eastAsia"/>
          <w:b/>
        </w:rPr>
        <w:t>A.1</w:t>
      </w:r>
      <w:r w:rsidRPr="00FD50F6">
        <w:rPr>
          <w:rFonts w:hint="eastAsia"/>
          <w:b/>
        </w:rPr>
        <w:t xml:space="preserve">  </w:t>
      </w:r>
      <w:r w:rsidRPr="00FD50F6">
        <w:rPr>
          <w:rFonts w:hint="eastAsia"/>
        </w:rPr>
        <w:t>限界计算参数表</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3337"/>
        <w:gridCol w:w="2632"/>
        <w:gridCol w:w="693"/>
      </w:tblGrid>
      <w:tr w:rsidR="00FD50F6" w:rsidRPr="00FD50F6" w14:paraId="1270A415" w14:textId="77777777" w:rsidTr="002B733E">
        <w:trPr>
          <w:cantSplit/>
          <w:jc w:val="center"/>
        </w:trPr>
        <w:tc>
          <w:tcPr>
            <w:tcW w:w="709" w:type="dxa"/>
            <w:tcBorders>
              <w:top w:val="single" w:sz="12" w:space="0" w:color="auto"/>
              <w:left w:val="single" w:sz="12" w:space="0" w:color="auto"/>
            </w:tcBorders>
            <w:vAlign w:val="center"/>
          </w:tcPr>
          <w:p w14:paraId="6E36C5C7" w14:textId="77777777" w:rsidR="002B733E" w:rsidRPr="00FD50F6" w:rsidRDefault="002B733E" w:rsidP="002B733E">
            <w:pPr>
              <w:pStyle w:val="7"/>
            </w:pPr>
            <w:r w:rsidRPr="00FD50F6">
              <w:rPr>
                <w:rFonts w:hint="eastAsia"/>
              </w:rPr>
              <w:t>序号</w:t>
            </w:r>
          </w:p>
        </w:tc>
        <w:tc>
          <w:tcPr>
            <w:tcW w:w="851" w:type="dxa"/>
            <w:tcBorders>
              <w:top w:val="single" w:sz="12" w:space="0" w:color="auto"/>
            </w:tcBorders>
            <w:vAlign w:val="center"/>
          </w:tcPr>
          <w:p w14:paraId="464E4A9E" w14:textId="77777777" w:rsidR="002B733E" w:rsidRPr="00FD50F6" w:rsidRDefault="002B733E" w:rsidP="002B733E">
            <w:pPr>
              <w:pStyle w:val="7"/>
            </w:pPr>
            <w:r w:rsidRPr="00FD50F6">
              <w:rPr>
                <w:rFonts w:hint="eastAsia"/>
              </w:rPr>
              <w:t>符号</w:t>
            </w:r>
          </w:p>
        </w:tc>
        <w:tc>
          <w:tcPr>
            <w:tcW w:w="3337" w:type="dxa"/>
            <w:tcBorders>
              <w:top w:val="single" w:sz="12" w:space="0" w:color="auto"/>
            </w:tcBorders>
            <w:vAlign w:val="center"/>
          </w:tcPr>
          <w:p w14:paraId="44917BD2" w14:textId="77777777" w:rsidR="002B733E" w:rsidRPr="00FD50F6" w:rsidRDefault="002B733E" w:rsidP="002B733E">
            <w:pPr>
              <w:pStyle w:val="7"/>
            </w:pPr>
            <w:r w:rsidRPr="00FD50F6">
              <w:rPr>
                <w:rFonts w:hint="eastAsia"/>
              </w:rPr>
              <w:t>计算要素说明</w:t>
            </w:r>
          </w:p>
        </w:tc>
        <w:tc>
          <w:tcPr>
            <w:tcW w:w="2632" w:type="dxa"/>
            <w:tcBorders>
              <w:top w:val="single" w:sz="12" w:space="0" w:color="auto"/>
              <w:right w:val="single" w:sz="4" w:space="0" w:color="auto"/>
            </w:tcBorders>
            <w:vAlign w:val="center"/>
          </w:tcPr>
          <w:p w14:paraId="1C47FAC3" w14:textId="77777777" w:rsidR="002B733E" w:rsidRPr="00FD50F6" w:rsidRDefault="002B733E" w:rsidP="002B733E">
            <w:pPr>
              <w:pStyle w:val="7"/>
            </w:pPr>
            <w:r w:rsidRPr="00FD50F6">
              <w:rPr>
                <w:rFonts w:hint="eastAsia"/>
              </w:rPr>
              <w:t>计算参数取值</w:t>
            </w:r>
          </w:p>
        </w:tc>
        <w:tc>
          <w:tcPr>
            <w:tcW w:w="693" w:type="dxa"/>
            <w:tcBorders>
              <w:top w:val="single" w:sz="12" w:space="0" w:color="auto"/>
              <w:left w:val="single" w:sz="4" w:space="0" w:color="auto"/>
              <w:right w:val="single" w:sz="12" w:space="0" w:color="auto"/>
            </w:tcBorders>
            <w:vAlign w:val="center"/>
          </w:tcPr>
          <w:p w14:paraId="106BCBA8" w14:textId="77777777" w:rsidR="002B733E" w:rsidRPr="00FD50F6" w:rsidRDefault="002B733E" w:rsidP="002B733E">
            <w:pPr>
              <w:pStyle w:val="7"/>
            </w:pPr>
            <w:r w:rsidRPr="00FD50F6">
              <w:rPr>
                <w:rFonts w:hint="eastAsia"/>
              </w:rPr>
              <w:t>备注</w:t>
            </w:r>
          </w:p>
        </w:tc>
      </w:tr>
      <w:tr w:rsidR="00FD50F6" w:rsidRPr="00FD50F6" w14:paraId="14257541" w14:textId="77777777" w:rsidTr="002B733E">
        <w:trPr>
          <w:cantSplit/>
          <w:trHeight w:val="441"/>
          <w:jc w:val="center"/>
        </w:trPr>
        <w:tc>
          <w:tcPr>
            <w:tcW w:w="709" w:type="dxa"/>
            <w:tcBorders>
              <w:left w:val="single" w:sz="12" w:space="0" w:color="auto"/>
            </w:tcBorders>
            <w:vAlign w:val="center"/>
          </w:tcPr>
          <w:p w14:paraId="06536803" w14:textId="77777777" w:rsidR="002B733E" w:rsidRPr="00FD50F6" w:rsidRDefault="002B733E" w:rsidP="002B733E">
            <w:pPr>
              <w:pStyle w:val="7"/>
            </w:pPr>
            <w:r w:rsidRPr="00FD50F6">
              <w:rPr>
                <w:rFonts w:hint="eastAsia"/>
              </w:rPr>
              <w:t>1</w:t>
            </w:r>
          </w:p>
        </w:tc>
        <w:tc>
          <w:tcPr>
            <w:tcW w:w="851" w:type="dxa"/>
            <w:vAlign w:val="center"/>
          </w:tcPr>
          <w:p w14:paraId="48C9FF46" w14:textId="77777777" w:rsidR="002B733E" w:rsidRPr="00FD50F6" w:rsidRDefault="002B733E" w:rsidP="002B733E">
            <w:pPr>
              <w:pStyle w:val="7"/>
              <w:rPr>
                <w:i/>
              </w:rPr>
            </w:pPr>
            <w:r w:rsidRPr="00FD50F6">
              <w:rPr>
                <w:rFonts w:hint="eastAsia"/>
                <w:i/>
              </w:rPr>
              <w:t>a</w:t>
            </w:r>
          </w:p>
        </w:tc>
        <w:tc>
          <w:tcPr>
            <w:tcW w:w="3337" w:type="dxa"/>
            <w:vAlign w:val="center"/>
          </w:tcPr>
          <w:p w14:paraId="08530583" w14:textId="77777777" w:rsidR="002B733E" w:rsidRPr="00FD50F6" w:rsidRDefault="002B733E" w:rsidP="002B733E">
            <w:pPr>
              <w:pStyle w:val="7"/>
            </w:pPr>
            <w:r w:rsidRPr="00FD50F6">
              <w:rPr>
                <w:rFonts w:hint="eastAsia"/>
              </w:rPr>
              <w:t>车辆定距</w:t>
            </w:r>
          </w:p>
        </w:tc>
        <w:tc>
          <w:tcPr>
            <w:tcW w:w="2632" w:type="dxa"/>
            <w:tcBorders>
              <w:right w:val="single" w:sz="4" w:space="0" w:color="auto"/>
            </w:tcBorders>
            <w:vAlign w:val="center"/>
          </w:tcPr>
          <w:p w14:paraId="74072756"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 xml:space="preserve">  15.7m</w:t>
            </w:r>
          </w:p>
          <w:p w14:paraId="517D09A6"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 xml:space="preserve">  12.6m</w:t>
            </w:r>
          </w:p>
        </w:tc>
        <w:tc>
          <w:tcPr>
            <w:tcW w:w="693" w:type="dxa"/>
            <w:tcBorders>
              <w:left w:val="single" w:sz="4" w:space="0" w:color="auto"/>
              <w:right w:val="single" w:sz="12" w:space="0" w:color="auto"/>
            </w:tcBorders>
            <w:vAlign w:val="center"/>
          </w:tcPr>
          <w:p w14:paraId="44E80570" w14:textId="77777777" w:rsidR="002B733E" w:rsidRPr="00FD50F6" w:rsidRDefault="002B733E" w:rsidP="002B733E">
            <w:pPr>
              <w:pStyle w:val="7"/>
            </w:pPr>
            <w:r w:rsidRPr="00FD50F6">
              <w:rPr>
                <w:rFonts w:hint="eastAsia"/>
              </w:rPr>
              <w:t>—</w:t>
            </w:r>
          </w:p>
        </w:tc>
      </w:tr>
      <w:tr w:rsidR="00FD50F6" w:rsidRPr="00FD50F6" w14:paraId="6659F9AD" w14:textId="77777777" w:rsidTr="002B733E">
        <w:trPr>
          <w:cantSplit/>
          <w:trHeight w:val="250"/>
          <w:jc w:val="center"/>
        </w:trPr>
        <w:tc>
          <w:tcPr>
            <w:tcW w:w="709" w:type="dxa"/>
            <w:tcBorders>
              <w:left w:val="single" w:sz="12" w:space="0" w:color="auto"/>
            </w:tcBorders>
            <w:vAlign w:val="center"/>
          </w:tcPr>
          <w:p w14:paraId="7C0FF0BD" w14:textId="77777777" w:rsidR="002B733E" w:rsidRPr="00FD50F6" w:rsidRDefault="002B733E" w:rsidP="002B733E">
            <w:pPr>
              <w:pStyle w:val="7"/>
            </w:pPr>
            <w:r w:rsidRPr="00FD50F6">
              <w:rPr>
                <w:rFonts w:hint="eastAsia"/>
              </w:rPr>
              <w:t>2</w:t>
            </w:r>
          </w:p>
        </w:tc>
        <w:tc>
          <w:tcPr>
            <w:tcW w:w="851" w:type="dxa"/>
            <w:vAlign w:val="center"/>
          </w:tcPr>
          <w:p w14:paraId="0A93705C" w14:textId="77777777" w:rsidR="002B733E" w:rsidRPr="00FD50F6" w:rsidRDefault="002B733E" w:rsidP="002B733E">
            <w:pPr>
              <w:pStyle w:val="7"/>
              <w:rPr>
                <w:vertAlign w:val="subscript"/>
              </w:rPr>
            </w:pPr>
            <w:r w:rsidRPr="00FD50F6">
              <w:rPr>
                <w:rFonts w:hint="eastAsia"/>
                <w:i/>
              </w:rPr>
              <w:t>a</w:t>
            </w:r>
            <w:r w:rsidRPr="00FD50F6">
              <w:rPr>
                <w:rFonts w:hint="eastAsia"/>
                <w:i/>
                <w:vertAlign w:val="subscript"/>
              </w:rPr>
              <w:t>B</w:t>
            </w:r>
          </w:p>
        </w:tc>
        <w:tc>
          <w:tcPr>
            <w:tcW w:w="3337" w:type="dxa"/>
            <w:vAlign w:val="center"/>
          </w:tcPr>
          <w:p w14:paraId="554A29E6" w14:textId="77777777" w:rsidR="002B733E" w:rsidRPr="00FD50F6" w:rsidRDefault="002B733E" w:rsidP="002B733E">
            <w:pPr>
              <w:pStyle w:val="7"/>
            </w:pPr>
            <w:r w:rsidRPr="00FD50F6">
              <w:rPr>
                <w:rFonts w:hint="eastAsia"/>
              </w:rPr>
              <w:t>直线段车体横向振动加速度</w:t>
            </w:r>
          </w:p>
        </w:tc>
        <w:tc>
          <w:tcPr>
            <w:tcW w:w="2632" w:type="dxa"/>
            <w:tcBorders>
              <w:right w:val="single" w:sz="4" w:space="0" w:color="auto"/>
            </w:tcBorders>
            <w:vAlign w:val="center"/>
          </w:tcPr>
          <w:p w14:paraId="19364A67" w14:textId="77777777" w:rsidR="002B733E" w:rsidRPr="00FD50F6" w:rsidRDefault="002B733E" w:rsidP="002B733E">
            <w:pPr>
              <w:pStyle w:val="7"/>
              <w:rPr>
                <w:vertAlign w:val="superscript"/>
              </w:rPr>
            </w:pPr>
            <w:r w:rsidRPr="00FD50F6">
              <w:rPr>
                <w:rFonts w:hint="eastAsia"/>
                <w:i/>
              </w:rPr>
              <w:t>v</w:t>
            </w:r>
            <w:r w:rsidRPr="00FD50F6">
              <w:rPr>
                <w:rFonts w:hint="eastAsia"/>
              </w:rPr>
              <w:t>=60km/h    0.25m/s</w:t>
            </w:r>
            <w:r w:rsidRPr="00FD50F6">
              <w:rPr>
                <w:rFonts w:hint="eastAsia"/>
                <w:vertAlign w:val="superscript"/>
              </w:rPr>
              <w:t>2</w:t>
            </w:r>
          </w:p>
          <w:p w14:paraId="52D10FD5" w14:textId="77777777" w:rsidR="002B733E" w:rsidRPr="00FD50F6" w:rsidRDefault="002B733E" w:rsidP="002B733E">
            <w:pPr>
              <w:pStyle w:val="7"/>
              <w:rPr>
                <w:vertAlign w:val="superscript"/>
              </w:rPr>
            </w:pPr>
            <w:r w:rsidRPr="00FD50F6">
              <w:rPr>
                <w:rFonts w:hint="eastAsia"/>
                <w:i/>
              </w:rPr>
              <w:t>v</w:t>
            </w:r>
            <w:r w:rsidRPr="00FD50F6">
              <w:rPr>
                <w:rFonts w:hint="eastAsia"/>
              </w:rPr>
              <w:t>=80-100km/h    0.5m/s</w:t>
            </w:r>
            <w:r w:rsidRPr="00FD50F6">
              <w:rPr>
                <w:rFonts w:hint="eastAsia"/>
                <w:vertAlign w:val="superscript"/>
              </w:rPr>
              <w:t>2</w:t>
            </w:r>
          </w:p>
          <w:p w14:paraId="395943FB" w14:textId="77777777" w:rsidR="002B733E" w:rsidRPr="00FD50F6" w:rsidRDefault="002B733E" w:rsidP="002B733E">
            <w:pPr>
              <w:pStyle w:val="7"/>
              <w:rPr>
                <w:vertAlign w:val="superscript"/>
              </w:rPr>
            </w:pPr>
            <w:r w:rsidRPr="00FD50F6">
              <w:rPr>
                <w:rFonts w:hint="eastAsia"/>
                <w:i/>
              </w:rPr>
              <w:t>v</w:t>
            </w:r>
            <w:r w:rsidRPr="00FD50F6">
              <w:rPr>
                <w:rFonts w:hint="eastAsia"/>
              </w:rPr>
              <w:t>=100-120km/h    0.7m/s</w:t>
            </w:r>
            <w:r w:rsidRPr="00FD50F6">
              <w:rPr>
                <w:rFonts w:hint="eastAsia"/>
                <w:vertAlign w:val="superscript"/>
              </w:rPr>
              <w:t>2</w:t>
            </w:r>
          </w:p>
        </w:tc>
        <w:tc>
          <w:tcPr>
            <w:tcW w:w="693" w:type="dxa"/>
            <w:tcBorders>
              <w:left w:val="single" w:sz="4" w:space="0" w:color="auto"/>
              <w:right w:val="single" w:sz="12" w:space="0" w:color="auto"/>
            </w:tcBorders>
            <w:vAlign w:val="center"/>
          </w:tcPr>
          <w:p w14:paraId="3091D9B6" w14:textId="77777777" w:rsidR="002B733E" w:rsidRPr="00FD50F6" w:rsidRDefault="002B733E" w:rsidP="002B733E">
            <w:pPr>
              <w:pStyle w:val="7"/>
            </w:pPr>
            <w:r w:rsidRPr="00FD50F6">
              <w:rPr>
                <w:rFonts w:hint="eastAsia"/>
              </w:rPr>
              <w:t>Z</w:t>
            </w:r>
          </w:p>
        </w:tc>
      </w:tr>
      <w:tr w:rsidR="00FD50F6" w:rsidRPr="00FD50F6" w14:paraId="32446EA9" w14:textId="77777777" w:rsidTr="002B733E">
        <w:trPr>
          <w:cantSplit/>
          <w:trHeight w:val="631"/>
          <w:jc w:val="center"/>
        </w:trPr>
        <w:tc>
          <w:tcPr>
            <w:tcW w:w="709" w:type="dxa"/>
            <w:tcBorders>
              <w:left w:val="single" w:sz="12" w:space="0" w:color="auto"/>
            </w:tcBorders>
            <w:vAlign w:val="center"/>
          </w:tcPr>
          <w:p w14:paraId="24CC4488" w14:textId="77777777" w:rsidR="002B733E" w:rsidRPr="00FD50F6" w:rsidRDefault="002B733E" w:rsidP="002B733E">
            <w:pPr>
              <w:pStyle w:val="7"/>
            </w:pPr>
            <w:r w:rsidRPr="00FD50F6">
              <w:rPr>
                <w:rFonts w:hint="eastAsia"/>
              </w:rPr>
              <w:t>3</w:t>
            </w:r>
          </w:p>
        </w:tc>
        <w:tc>
          <w:tcPr>
            <w:tcW w:w="851" w:type="dxa"/>
            <w:vAlign w:val="center"/>
          </w:tcPr>
          <w:p w14:paraId="4B6DD159" w14:textId="77777777" w:rsidR="002B733E" w:rsidRPr="00FD50F6" w:rsidRDefault="002B733E" w:rsidP="002B733E">
            <w:pPr>
              <w:pStyle w:val="7"/>
              <w:rPr>
                <w:vertAlign w:val="subscript"/>
              </w:rPr>
            </w:pPr>
            <w:r w:rsidRPr="00FD50F6">
              <w:rPr>
                <w:rFonts w:hint="eastAsia"/>
                <w:i/>
              </w:rPr>
              <w:t>a</w:t>
            </w:r>
            <w:r w:rsidRPr="00FD50F6">
              <w:rPr>
                <w:rFonts w:hint="eastAsia"/>
                <w:vertAlign w:val="subscript"/>
              </w:rPr>
              <w:t>q</w:t>
            </w:r>
          </w:p>
        </w:tc>
        <w:tc>
          <w:tcPr>
            <w:tcW w:w="3337" w:type="dxa"/>
            <w:vAlign w:val="center"/>
          </w:tcPr>
          <w:p w14:paraId="4F052929" w14:textId="77777777" w:rsidR="002B733E" w:rsidRPr="00FD50F6" w:rsidRDefault="002B733E" w:rsidP="002B733E">
            <w:pPr>
              <w:pStyle w:val="7"/>
            </w:pPr>
            <w:r w:rsidRPr="00FD50F6">
              <w:rPr>
                <w:rFonts w:hint="eastAsia"/>
              </w:rPr>
              <w:t>未平衡离心加速度</w:t>
            </w:r>
            <w:r w:rsidRPr="00FD50F6">
              <w:rPr>
                <w:rFonts w:hint="eastAsia"/>
              </w:rPr>
              <w:t>:</w:t>
            </w:r>
          </w:p>
          <w:p w14:paraId="1408DDF8" w14:textId="77777777" w:rsidR="002B733E" w:rsidRPr="00FD50F6" w:rsidRDefault="002B733E" w:rsidP="002B733E">
            <w:pPr>
              <w:pStyle w:val="7"/>
            </w:pPr>
            <w:r w:rsidRPr="00FD50F6">
              <w:rPr>
                <w:rFonts w:hint="eastAsia"/>
              </w:rPr>
              <w:t>a</w:t>
            </w:r>
            <w:r w:rsidRPr="00FD50F6">
              <w:rPr>
                <w:rFonts w:hint="eastAsia"/>
                <w:vertAlign w:val="subscript"/>
              </w:rPr>
              <w:t>q</w:t>
            </w:r>
            <w:r w:rsidRPr="00FD50F6">
              <w:rPr>
                <w:rFonts w:hint="eastAsia"/>
              </w:rPr>
              <w:t>=[(v/3.6)</w:t>
            </w:r>
            <w:r w:rsidRPr="00FD50F6">
              <w:rPr>
                <w:rFonts w:hint="eastAsia"/>
                <w:vertAlign w:val="superscript"/>
              </w:rPr>
              <w:t>2</w:t>
            </w:r>
            <w:r w:rsidRPr="00FD50F6">
              <w:rPr>
                <w:rFonts w:hint="eastAsia"/>
              </w:rPr>
              <w:t>/R]-g(h</w:t>
            </w:r>
            <w:r w:rsidRPr="00FD50F6">
              <w:rPr>
                <w:rFonts w:hint="eastAsia"/>
                <w:vertAlign w:val="subscript"/>
              </w:rPr>
              <w:t>ac</w:t>
            </w:r>
            <w:r w:rsidRPr="00FD50F6">
              <w:rPr>
                <w:rFonts w:hint="eastAsia"/>
                <w:caps/>
              </w:rPr>
              <w:t>/1500)</w:t>
            </w:r>
          </w:p>
        </w:tc>
        <w:tc>
          <w:tcPr>
            <w:tcW w:w="2632" w:type="dxa"/>
            <w:tcBorders>
              <w:right w:val="single" w:sz="4" w:space="0" w:color="auto"/>
            </w:tcBorders>
            <w:vAlign w:val="center"/>
          </w:tcPr>
          <w:p w14:paraId="33381EEE" w14:textId="77777777" w:rsidR="002B733E" w:rsidRPr="00FD50F6" w:rsidRDefault="002B733E" w:rsidP="002B733E">
            <w:pPr>
              <w:pStyle w:val="7"/>
            </w:pPr>
            <w:r w:rsidRPr="00FD50F6">
              <w:rPr>
                <w:rFonts w:hint="eastAsia"/>
              </w:rPr>
              <w:t>—</w:t>
            </w:r>
          </w:p>
        </w:tc>
        <w:tc>
          <w:tcPr>
            <w:tcW w:w="693" w:type="dxa"/>
            <w:tcBorders>
              <w:left w:val="single" w:sz="4" w:space="0" w:color="auto"/>
              <w:right w:val="single" w:sz="12" w:space="0" w:color="auto"/>
            </w:tcBorders>
            <w:vAlign w:val="center"/>
          </w:tcPr>
          <w:p w14:paraId="0B074DE8" w14:textId="77777777" w:rsidR="002B733E" w:rsidRPr="00FD50F6" w:rsidRDefault="002B733E" w:rsidP="002B733E">
            <w:pPr>
              <w:pStyle w:val="7"/>
            </w:pPr>
            <w:r w:rsidRPr="00FD50F6">
              <w:rPr>
                <w:rFonts w:hint="eastAsia"/>
              </w:rPr>
              <w:t>—</w:t>
            </w:r>
          </w:p>
        </w:tc>
      </w:tr>
      <w:tr w:rsidR="00FD50F6" w:rsidRPr="00FD50F6" w14:paraId="1EB37268" w14:textId="77777777" w:rsidTr="002B733E">
        <w:trPr>
          <w:cantSplit/>
          <w:trHeight w:val="631"/>
          <w:jc w:val="center"/>
        </w:trPr>
        <w:tc>
          <w:tcPr>
            <w:tcW w:w="709" w:type="dxa"/>
            <w:tcBorders>
              <w:left w:val="single" w:sz="12" w:space="0" w:color="auto"/>
            </w:tcBorders>
            <w:vAlign w:val="center"/>
          </w:tcPr>
          <w:p w14:paraId="065617C6" w14:textId="77777777" w:rsidR="002B733E" w:rsidRPr="00FD50F6" w:rsidRDefault="002B733E" w:rsidP="002B733E">
            <w:pPr>
              <w:pStyle w:val="7"/>
            </w:pPr>
            <w:r w:rsidRPr="00FD50F6">
              <w:rPr>
                <w:rFonts w:hint="eastAsia"/>
              </w:rPr>
              <w:t>4</w:t>
            </w:r>
          </w:p>
        </w:tc>
        <w:tc>
          <w:tcPr>
            <w:tcW w:w="851" w:type="dxa"/>
            <w:vAlign w:val="center"/>
          </w:tcPr>
          <w:p w14:paraId="2FDABA42" w14:textId="77777777" w:rsidR="002B733E" w:rsidRPr="00FD50F6" w:rsidRDefault="002B733E" w:rsidP="002B733E">
            <w:pPr>
              <w:pStyle w:val="7"/>
              <w:rPr>
                <w:vertAlign w:val="subscript"/>
              </w:rPr>
            </w:pPr>
            <w:r w:rsidRPr="00FD50F6">
              <w:rPr>
                <w:rFonts w:hint="eastAsia"/>
                <w:i/>
              </w:rPr>
              <w:t>A</w:t>
            </w:r>
            <w:r w:rsidRPr="00FD50F6">
              <w:rPr>
                <w:rFonts w:hint="eastAsia"/>
                <w:vertAlign w:val="subscript"/>
              </w:rPr>
              <w:t>w</w:t>
            </w:r>
          </w:p>
        </w:tc>
        <w:tc>
          <w:tcPr>
            <w:tcW w:w="3337" w:type="dxa"/>
            <w:vAlign w:val="center"/>
          </w:tcPr>
          <w:p w14:paraId="752839B5" w14:textId="77777777" w:rsidR="002B733E" w:rsidRPr="00FD50F6" w:rsidRDefault="002B733E" w:rsidP="002B733E">
            <w:pPr>
              <w:pStyle w:val="7"/>
            </w:pPr>
            <w:r w:rsidRPr="00FD50F6">
              <w:rPr>
                <w:rFonts w:hint="eastAsia"/>
              </w:rPr>
              <w:t>车体受风面积</w:t>
            </w:r>
            <w:r w:rsidRPr="00FD50F6">
              <w:rPr>
                <w:rFonts w:hint="eastAsia"/>
              </w:rPr>
              <w:t>:</w:t>
            </w:r>
          </w:p>
          <w:p w14:paraId="233ADCC0" w14:textId="77777777" w:rsidR="002B733E" w:rsidRPr="00FD50F6" w:rsidRDefault="002B733E" w:rsidP="002B733E">
            <w:pPr>
              <w:pStyle w:val="7"/>
            </w:pPr>
            <w:r w:rsidRPr="00FD50F6">
              <w:rPr>
                <w:rFonts w:hint="eastAsia"/>
              </w:rPr>
              <w:t>A</w:t>
            </w:r>
            <w:r w:rsidRPr="00FD50F6">
              <w:rPr>
                <w:rFonts w:hint="eastAsia"/>
              </w:rPr>
              <w:t>型车</w:t>
            </w:r>
          </w:p>
          <w:p w14:paraId="24337F4E" w14:textId="77777777" w:rsidR="002B733E" w:rsidRPr="00FD50F6" w:rsidRDefault="002B733E" w:rsidP="002B733E">
            <w:pPr>
              <w:pStyle w:val="7"/>
            </w:pPr>
            <w:r w:rsidRPr="00FD50F6">
              <w:rPr>
                <w:rFonts w:hint="eastAsia"/>
              </w:rPr>
              <w:t>B</w:t>
            </w:r>
            <w:r w:rsidRPr="00FD50F6">
              <w:rPr>
                <w:rFonts w:hint="eastAsia"/>
              </w:rPr>
              <w:t>型车</w:t>
            </w:r>
          </w:p>
        </w:tc>
        <w:tc>
          <w:tcPr>
            <w:tcW w:w="2632" w:type="dxa"/>
            <w:tcBorders>
              <w:right w:val="single" w:sz="4" w:space="0" w:color="auto"/>
            </w:tcBorders>
            <w:vAlign w:val="center"/>
          </w:tcPr>
          <w:p w14:paraId="66A786BC" w14:textId="77777777" w:rsidR="002B733E" w:rsidRPr="00FD50F6" w:rsidRDefault="002B733E" w:rsidP="002B733E">
            <w:pPr>
              <w:pStyle w:val="7"/>
            </w:pPr>
          </w:p>
          <w:p w14:paraId="43E8CB5D" w14:textId="77777777" w:rsidR="002B733E" w:rsidRPr="00FD50F6" w:rsidRDefault="002B733E" w:rsidP="002B733E">
            <w:pPr>
              <w:pStyle w:val="7"/>
              <w:rPr>
                <w:vertAlign w:val="superscript"/>
              </w:rPr>
            </w:pPr>
            <w:r w:rsidRPr="00FD50F6">
              <w:rPr>
                <w:rFonts w:hint="eastAsia"/>
              </w:rPr>
              <w:t>区间</w:t>
            </w:r>
            <w:r w:rsidRPr="00FD50F6">
              <w:rPr>
                <w:rFonts w:hint="eastAsia"/>
              </w:rPr>
              <w:t>70m</w:t>
            </w:r>
            <w:r w:rsidRPr="00FD50F6">
              <w:rPr>
                <w:rFonts w:hint="eastAsia"/>
                <w:vertAlign w:val="superscript"/>
              </w:rPr>
              <w:t>2</w:t>
            </w:r>
            <w:r w:rsidRPr="00FD50F6">
              <w:rPr>
                <w:rFonts w:hint="eastAsia"/>
              </w:rPr>
              <w:t>（车站</w:t>
            </w:r>
            <w:r w:rsidRPr="00FD50F6">
              <w:rPr>
                <w:rFonts w:hint="eastAsia"/>
              </w:rPr>
              <w:t>35m</w:t>
            </w:r>
            <w:r w:rsidRPr="00FD50F6">
              <w:rPr>
                <w:rFonts w:hint="eastAsia"/>
                <w:vertAlign w:val="superscript"/>
              </w:rPr>
              <w:t>2</w:t>
            </w:r>
            <w:r w:rsidRPr="00FD50F6">
              <w:rPr>
                <w:rFonts w:hint="eastAsia"/>
              </w:rPr>
              <w:t>）</w:t>
            </w:r>
          </w:p>
          <w:p w14:paraId="54CE8C4B" w14:textId="77777777" w:rsidR="002B733E" w:rsidRPr="00FD50F6" w:rsidRDefault="002B733E" w:rsidP="002B733E">
            <w:pPr>
              <w:pStyle w:val="7"/>
            </w:pPr>
            <w:r w:rsidRPr="00FD50F6">
              <w:rPr>
                <w:rFonts w:hint="eastAsia"/>
              </w:rPr>
              <w:t>区间</w:t>
            </w:r>
            <w:r w:rsidRPr="00FD50F6">
              <w:rPr>
                <w:rFonts w:hint="eastAsia"/>
              </w:rPr>
              <w:t>57m</w:t>
            </w:r>
            <w:r w:rsidRPr="00FD50F6">
              <w:rPr>
                <w:rFonts w:hint="eastAsia"/>
                <w:vertAlign w:val="superscript"/>
              </w:rPr>
              <w:t>2</w:t>
            </w:r>
            <w:r w:rsidRPr="00FD50F6">
              <w:rPr>
                <w:rFonts w:hint="eastAsia"/>
              </w:rPr>
              <w:t>（车站</w:t>
            </w:r>
            <w:r w:rsidRPr="00FD50F6">
              <w:rPr>
                <w:rFonts w:hint="eastAsia"/>
              </w:rPr>
              <w:t>28.5m</w:t>
            </w:r>
            <w:r w:rsidRPr="00FD50F6">
              <w:rPr>
                <w:rFonts w:hint="eastAsia"/>
                <w:vertAlign w:val="superscript"/>
              </w:rPr>
              <w:t>2</w:t>
            </w:r>
            <w:r w:rsidRPr="00FD50F6">
              <w:rPr>
                <w:rFonts w:hint="eastAsia"/>
              </w:rPr>
              <w:t>）</w:t>
            </w:r>
          </w:p>
        </w:tc>
        <w:tc>
          <w:tcPr>
            <w:tcW w:w="693" w:type="dxa"/>
            <w:tcBorders>
              <w:left w:val="single" w:sz="4" w:space="0" w:color="auto"/>
              <w:right w:val="single" w:sz="12" w:space="0" w:color="auto"/>
            </w:tcBorders>
            <w:vAlign w:val="center"/>
          </w:tcPr>
          <w:p w14:paraId="12E90D77" w14:textId="77777777" w:rsidR="002B733E" w:rsidRPr="00FD50F6" w:rsidRDefault="002B733E" w:rsidP="002B733E">
            <w:pPr>
              <w:pStyle w:val="7"/>
            </w:pPr>
          </w:p>
          <w:p w14:paraId="11B63725" w14:textId="77777777" w:rsidR="002B733E" w:rsidRPr="00FD50F6" w:rsidRDefault="002B733E" w:rsidP="002B733E">
            <w:pPr>
              <w:pStyle w:val="7"/>
            </w:pPr>
            <w:r w:rsidRPr="00FD50F6">
              <w:rPr>
                <w:rFonts w:hint="eastAsia"/>
              </w:rPr>
              <w:t>Z</w:t>
            </w:r>
          </w:p>
          <w:p w14:paraId="166E40AA" w14:textId="77777777" w:rsidR="002B733E" w:rsidRPr="00FD50F6" w:rsidRDefault="002B733E" w:rsidP="002B733E">
            <w:pPr>
              <w:pStyle w:val="7"/>
            </w:pPr>
          </w:p>
        </w:tc>
      </w:tr>
      <w:tr w:rsidR="00FD50F6" w:rsidRPr="00FD50F6" w14:paraId="32974306" w14:textId="77777777" w:rsidTr="002B733E">
        <w:trPr>
          <w:cantSplit/>
          <w:trHeight w:val="455"/>
          <w:jc w:val="center"/>
        </w:trPr>
        <w:tc>
          <w:tcPr>
            <w:tcW w:w="709" w:type="dxa"/>
            <w:tcBorders>
              <w:left w:val="single" w:sz="12" w:space="0" w:color="auto"/>
            </w:tcBorders>
            <w:vAlign w:val="center"/>
          </w:tcPr>
          <w:p w14:paraId="6538BF8B" w14:textId="77777777" w:rsidR="002B733E" w:rsidRPr="00FD50F6" w:rsidRDefault="002B733E" w:rsidP="002B733E">
            <w:pPr>
              <w:pStyle w:val="7"/>
            </w:pPr>
            <w:r w:rsidRPr="00FD50F6">
              <w:rPr>
                <w:rFonts w:hint="eastAsia"/>
              </w:rPr>
              <w:t>5</w:t>
            </w:r>
          </w:p>
        </w:tc>
        <w:tc>
          <w:tcPr>
            <w:tcW w:w="851" w:type="dxa"/>
            <w:vAlign w:val="center"/>
          </w:tcPr>
          <w:p w14:paraId="4D192770" w14:textId="77777777" w:rsidR="002B733E" w:rsidRPr="00FD50F6" w:rsidRDefault="002B733E" w:rsidP="002B733E">
            <w:pPr>
              <w:pStyle w:val="7"/>
              <w:rPr>
                <w:vertAlign w:val="subscript"/>
              </w:rPr>
            </w:pPr>
            <w:r w:rsidRPr="00FD50F6">
              <w:rPr>
                <w:rFonts w:hint="eastAsia"/>
                <w:i/>
              </w:rPr>
              <w:t>b</w:t>
            </w:r>
            <w:r w:rsidRPr="00FD50F6">
              <w:rPr>
                <w:rFonts w:hint="eastAsia"/>
                <w:vertAlign w:val="subscript"/>
              </w:rPr>
              <w:t>p</w:t>
            </w:r>
          </w:p>
        </w:tc>
        <w:tc>
          <w:tcPr>
            <w:tcW w:w="3337" w:type="dxa"/>
            <w:vAlign w:val="center"/>
          </w:tcPr>
          <w:p w14:paraId="590ADBC3" w14:textId="77777777" w:rsidR="002B733E" w:rsidRPr="00FD50F6" w:rsidRDefault="002B733E" w:rsidP="002B733E">
            <w:pPr>
              <w:pStyle w:val="7"/>
            </w:pPr>
            <w:r w:rsidRPr="00FD50F6">
              <w:rPr>
                <w:rFonts w:hint="eastAsia"/>
              </w:rPr>
              <w:t>转向架一系弹簧横向间距</w:t>
            </w:r>
          </w:p>
        </w:tc>
        <w:tc>
          <w:tcPr>
            <w:tcW w:w="2632" w:type="dxa"/>
            <w:tcBorders>
              <w:right w:val="single" w:sz="4" w:space="0" w:color="auto"/>
            </w:tcBorders>
            <w:vAlign w:val="center"/>
          </w:tcPr>
          <w:p w14:paraId="109DAD25"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 xml:space="preserve">  1940mm</w:t>
            </w:r>
          </w:p>
          <w:p w14:paraId="0C082E19"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 xml:space="preserve">  1930mm</w:t>
            </w:r>
          </w:p>
        </w:tc>
        <w:tc>
          <w:tcPr>
            <w:tcW w:w="693" w:type="dxa"/>
            <w:tcBorders>
              <w:left w:val="single" w:sz="4" w:space="0" w:color="auto"/>
              <w:right w:val="single" w:sz="12" w:space="0" w:color="auto"/>
            </w:tcBorders>
            <w:vAlign w:val="center"/>
          </w:tcPr>
          <w:p w14:paraId="30DD3DC4" w14:textId="77777777" w:rsidR="002B733E" w:rsidRPr="00FD50F6" w:rsidRDefault="002B733E" w:rsidP="002B733E">
            <w:pPr>
              <w:pStyle w:val="7"/>
            </w:pPr>
            <w:r w:rsidRPr="00FD50F6">
              <w:rPr>
                <w:rFonts w:hint="eastAsia"/>
              </w:rPr>
              <w:t>—</w:t>
            </w:r>
          </w:p>
        </w:tc>
      </w:tr>
      <w:tr w:rsidR="00FD50F6" w:rsidRPr="00FD50F6" w14:paraId="2366AE63" w14:textId="77777777" w:rsidTr="002B733E">
        <w:trPr>
          <w:cantSplit/>
          <w:trHeight w:val="448"/>
          <w:jc w:val="center"/>
        </w:trPr>
        <w:tc>
          <w:tcPr>
            <w:tcW w:w="709" w:type="dxa"/>
            <w:tcBorders>
              <w:left w:val="single" w:sz="12" w:space="0" w:color="auto"/>
            </w:tcBorders>
            <w:vAlign w:val="center"/>
          </w:tcPr>
          <w:p w14:paraId="6FF30735" w14:textId="77777777" w:rsidR="002B733E" w:rsidRPr="00FD50F6" w:rsidRDefault="002B733E" w:rsidP="002B733E">
            <w:pPr>
              <w:pStyle w:val="7"/>
            </w:pPr>
            <w:r w:rsidRPr="00FD50F6">
              <w:rPr>
                <w:rFonts w:hint="eastAsia"/>
              </w:rPr>
              <w:t>6</w:t>
            </w:r>
          </w:p>
        </w:tc>
        <w:tc>
          <w:tcPr>
            <w:tcW w:w="851" w:type="dxa"/>
            <w:vAlign w:val="center"/>
          </w:tcPr>
          <w:p w14:paraId="596867C6" w14:textId="77777777" w:rsidR="002B733E" w:rsidRPr="00FD50F6" w:rsidRDefault="002B733E" w:rsidP="002B733E">
            <w:pPr>
              <w:pStyle w:val="7"/>
            </w:pPr>
            <w:r w:rsidRPr="00FD50F6">
              <w:rPr>
                <w:rFonts w:hint="eastAsia"/>
                <w:i/>
              </w:rPr>
              <w:t>b</w:t>
            </w:r>
            <w:r w:rsidRPr="00FD50F6">
              <w:rPr>
                <w:rFonts w:hint="eastAsia"/>
                <w:vertAlign w:val="subscript"/>
              </w:rPr>
              <w:t>s</w:t>
            </w:r>
          </w:p>
        </w:tc>
        <w:tc>
          <w:tcPr>
            <w:tcW w:w="3337" w:type="dxa"/>
            <w:vAlign w:val="center"/>
          </w:tcPr>
          <w:p w14:paraId="156209F3" w14:textId="77777777" w:rsidR="002B733E" w:rsidRPr="00FD50F6" w:rsidRDefault="002B733E" w:rsidP="002B733E">
            <w:pPr>
              <w:pStyle w:val="7"/>
            </w:pPr>
            <w:r w:rsidRPr="00FD50F6">
              <w:rPr>
                <w:rFonts w:hint="eastAsia"/>
              </w:rPr>
              <w:t>转向架二系弹簧横向间距</w:t>
            </w:r>
          </w:p>
        </w:tc>
        <w:tc>
          <w:tcPr>
            <w:tcW w:w="2632" w:type="dxa"/>
            <w:tcBorders>
              <w:right w:val="single" w:sz="4" w:space="0" w:color="auto"/>
            </w:tcBorders>
            <w:vAlign w:val="center"/>
          </w:tcPr>
          <w:p w14:paraId="6D245BC8"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 xml:space="preserve">  1940mm</w:t>
            </w:r>
          </w:p>
          <w:p w14:paraId="26E203D0"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 xml:space="preserve">  1850mm</w:t>
            </w:r>
          </w:p>
        </w:tc>
        <w:tc>
          <w:tcPr>
            <w:tcW w:w="693" w:type="dxa"/>
            <w:tcBorders>
              <w:left w:val="single" w:sz="4" w:space="0" w:color="auto"/>
              <w:right w:val="single" w:sz="12" w:space="0" w:color="auto"/>
            </w:tcBorders>
            <w:vAlign w:val="center"/>
          </w:tcPr>
          <w:p w14:paraId="47B91BA7" w14:textId="77777777" w:rsidR="002B733E" w:rsidRPr="00FD50F6" w:rsidRDefault="002B733E" w:rsidP="002B733E">
            <w:pPr>
              <w:pStyle w:val="7"/>
            </w:pPr>
            <w:r w:rsidRPr="00FD50F6">
              <w:rPr>
                <w:rFonts w:hint="eastAsia"/>
              </w:rPr>
              <w:t>—</w:t>
            </w:r>
          </w:p>
        </w:tc>
      </w:tr>
      <w:tr w:rsidR="00FD50F6" w:rsidRPr="00FD50F6" w14:paraId="0E0CF385" w14:textId="77777777" w:rsidTr="002B733E">
        <w:trPr>
          <w:cantSplit/>
          <w:trHeight w:val="270"/>
          <w:jc w:val="center"/>
        </w:trPr>
        <w:tc>
          <w:tcPr>
            <w:tcW w:w="709" w:type="dxa"/>
            <w:tcBorders>
              <w:left w:val="single" w:sz="12" w:space="0" w:color="auto"/>
            </w:tcBorders>
            <w:vAlign w:val="center"/>
          </w:tcPr>
          <w:p w14:paraId="353CC1D7" w14:textId="77777777" w:rsidR="002B733E" w:rsidRPr="00FD50F6" w:rsidRDefault="002B733E" w:rsidP="002B733E">
            <w:pPr>
              <w:pStyle w:val="7"/>
            </w:pPr>
            <w:r w:rsidRPr="00FD50F6">
              <w:rPr>
                <w:rFonts w:hint="eastAsia"/>
              </w:rPr>
              <w:t>7</w:t>
            </w:r>
          </w:p>
        </w:tc>
        <w:tc>
          <w:tcPr>
            <w:tcW w:w="851" w:type="dxa"/>
            <w:vAlign w:val="center"/>
          </w:tcPr>
          <w:p w14:paraId="76E51F95" w14:textId="77777777" w:rsidR="002B733E" w:rsidRPr="00FD50F6" w:rsidRDefault="002B733E" w:rsidP="002B733E">
            <w:pPr>
              <w:pStyle w:val="7"/>
              <w:rPr>
                <w:i/>
              </w:rPr>
            </w:pPr>
            <w:r w:rsidRPr="00FD50F6">
              <w:rPr>
                <w:rFonts w:hint="eastAsia"/>
                <w:i/>
              </w:rPr>
              <w:t>c</w:t>
            </w:r>
          </w:p>
        </w:tc>
        <w:tc>
          <w:tcPr>
            <w:tcW w:w="3337" w:type="dxa"/>
            <w:vAlign w:val="center"/>
          </w:tcPr>
          <w:p w14:paraId="4EF98619" w14:textId="77777777" w:rsidR="002B733E" w:rsidRPr="00FD50F6" w:rsidRDefault="002B733E" w:rsidP="002B733E">
            <w:pPr>
              <w:pStyle w:val="7"/>
            </w:pPr>
            <w:r w:rsidRPr="00FD50F6">
              <w:rPr>
                <w:rFonts w:hint="eastAsia"/>
              </w:rPr>
              <w:t>设备安装误差值和安全间隙</w:t>
            </w:r>
          </w:p>
        </w:tc>
        <w:tc>
          <w:tcPr>
            <w:tcW w:w="2632" w:type="dxa"/>
            <w:tcBorders>
              <w:right w:val="single" w:sz="4" w:space="0" w:color="auto"/>
            </w:tcBorders>
            <w:vAlign w:val="center"/>
          </w:tcPr>
          <w:p w14:paraId="559A475F" w14:textId="77777777" w:rsidR="002B733E" w:rsidRPr="00FD50F6" w:rsidRDefault="002B733E" w:rsidP="002B733E">
            <w:pPr>
              <w:pStyle w:val="7"/>
            </w:pPr>
            <w:r w:rsidRPr="00FD50F6">
              <w:rPr>
                <w:rFonts w:hint="eastAsia"/>
              </w:rPr>
              <w:t>50mm</w:t>
            </w:r>
          </w:p>
        </w:tc>
        <w:tc>
          <w:tcPr>
            <w:tcW w:w="693" w:type="dxa"/>
            <w:tcBorders>
              <w:left w:val="single" w:sz="4" w:space="0" w:color="auto"/>
              <w:right w:val="single" w:sz="12" w:space="0" w:color="auto"/>
            </w:tcBorders>
            <w:vAlign w:val="center"/>
          </w:tcPr>
          <w:p w14:paraId="1AB0DCA2" w14:textId="77777777" w:rsidR="002B733E" w:rsidRPr="00FD50F6" w:rsidRDefault="002B733E" w:rsidP="002B733E">
            <w:pPr>
              <w:pStyle w:val="7"/>
            </w:pPr>
            <w:r w:rsidRPr="00FD50F6">
              <w:rPr>
                <w:rFonts w:hint="eastAsia"/>
              </w:rPr>
              <w:t>—</w:t>
            </w:r>
          </w:p>
        </w:tc>
      </w:tr>
      <w:tr w:rsidR="00FD50F6" w:rsidRPr="00FD50F6" w14:paraId="34D9E0D7" w14:textId="77777777" w:rsidTr="002B733E">
        <w:trPr>
          <w:cantSplit/>
          <w:trHeight w:val="457"/>
          <w:jc w:val="center"/>
        </w:trPr>
        <w:tc>
          <w:tcPr>
            <w:tcW w:w="709" w:type="dxa"/>
            <w:tcBorders>
              <w:left w:val="single" w:sz="12" w:space="0" w:color="auto"/>
            </w:tcBorders>
            <w:vAlign w:val="center"/>
          </w:tcPr>
          <w:p w14:paraId="21E6DF6E" w14:textId="77777777" w:rsidR="002B733E" w:rsidRPr="00FD50F6" w:rsidRDefault="002B733E" w:rsidP="002B733E">
            <w:pPr>
              <w:pStyle w:val="7"/>
            </w:pPr>
            <w:r w:rsidRPr="00FD50F6">
              <w:rPr>
                <w:rFonts w:hint="eastAsia"/>
              </w:rPr>
              <w:t>8</w:t>
            </w:r>
          </w:p>
        </w:tc>
        <w:tc>
          <w:tcPr>
            <w:tcW w:w="851" w:type="dxa"/>
            <w:vAlign w:val="center"/>
          </w:tcPr>
          <w:p w14:paraId="31163596" w14:textId="77777777" w:rsidR="002B733E" w:rsidRPr="00FD50F6" w:rsidRDefault="002B733E" w:rsidP="002B733E">
            <w:pPr>
              <w:pStyle w:val="7"/>
              <w:rPr>
                <w:vertAlign w:val="subscript"/>
              </w:rPr>
            </w:pPr>
            <w:r w:rsidRPr="00FD50F6">
              <w:rPr>
                <w:rFonts w:hint="eastAsia"/>
                <w:i/>
              </w:rPr>
              <w:t>c</w:t>
            </w:r>
            <w:r w:rsidRPr="00FD50F6">
              <w:rPr>
                <w:rFonts w:hint="eastAsia"/>
                <w:vertAlign w:val="subscript"/>
              </w:rPr>
              <w:t>p</w:t>
            </w:r>
          </w:p>
        </w:tc>
        <w:tc>
          <w:tcPr>
            <w:tcW w:w="3337" w:type="dxa"/>
            <w:vAlign w:val="center"/>
          </w:tcPr>
          <w:p w14:paraId="3C127EEE" w14:textId="77777777" w:rsidR="002B733E" w:rsidRPr="00FD50F6" w:rsidRDefault="002B733E" w:rsidP="002B733E">
            <w:pPr>
              <w:pStyle w:val="7"/>
            </w:pPr>
            <w:r w:rsidRPr="00FD50F6">
              <w:rPr>
                <w:rFonts w:hint="eastAsia"/>
              </w:rPr>
              <w:t>每一轴箱一系弹簧垂向刚度值</w:t>
            </w:r>
          </w:p>
        </w:tc>
        <w:tc>
          <w:tcPr>
            <w:tcW w:w="2632" w:type="dxa"/>
            <w:tcBorders>
              <w:right w:val="single" w:sz="4" w:space="0" w:color="auto"/>
            </w:tcBorders>
            <w:vAlign w:val="center"/>
          </w:tcPr>
          <w:p w14:paraId="2C9C3638"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 xml:space="preserve">  1200N/mm</w:t>
            </w:r>
          </w:p>
          <w:p w14:paraId="7FD8E04D"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 xml:space="preserve">  80km/h</w:t>
            </w:r>
            <w:r w:rsidRPr="00FD50F6">
              <w:rPr>
                <w:rFonts w:hint="eastAsia"/>
              </w:rPr>
              <w:t>～</w:t>
            </w:r>
            <w:r w:rsidRPr="00FD50F6">
              <w:rPr>
                <w:rFonts w:hint="eastAsia"/>
              </w:rPr>
              <w:t>100km/h</w:t>
            </w:r>
            <w:r w:rsidRPr="00FD50F6">
              <w:rPr>
                <w:rFonts w:hint="eastAsia"/>
              </w:rPr>
              <w:t>取</w:t>
            </w:r>
            <w:r w:rsidRPr="00FD50F6">
              <w:rPr>
                <w:rFonts w:hint="eastAsia"/>
              </w:rPr>
              <w:t>1200N/mm</w:t>
            </w:r>
            <w:r w:rsidRPr="00FD50F6">
              <w:rPr>
                <w:rFonts w:hint="eastAsia"/>
              </w:rPr>
              <w:t>，</w:t>
            </w:r>
            <w:r w:rsidRPr="00FD50F6">
              <w:rPr>
                <w:rFonts w:hint="eastAsia"/>
              </w:rPr>
              <w:t>120km/h</w:t>
            </w:r>
            <w:r w:rsidRPr="00FD50F6">
              <w:rPr>
                <w:rFonts w:hint="eastAsia"/>
              </w:rPr>
              <w:t>取</w:t>
            </w:r>
            <w:r w:rsidRPr="00FD50F6">
              <w:rPr>
                <w:rFonts w:hint="eastAsia"/>
              </w:rPr>
              <w:t>1050N/mm</w:t>
            </w:r>
          </w:p>
        </w:tc>
        <w:tc>
          <w:tcPr>
            <w:tcW w:w="693" w:type="dxa"/>
            <w:tcBorders>
              <w:left w:val="single" w:sz="4" w:space="0" w:color="auto"/>
              <w:right w:val="single" w:sz="12" w:space="0" w:color="auto"/>
            </w:tcBorders>
            <w:vAlign w:val="center"/>
          </w:tcPr>
          <w:p w14:paraId="3E21E1A2" w14:textId="77777777" w:rsidR="002B733E" w:rsidRPr="00FD50F6" w:rsidRDefault="002B733E" w:rsidP="002B733E">
            <w:pPr>
              <w:pStyle w:val="7"/>
            </w:pPr>
            <w:r w:rsidRPr="00FD50F6">
              <w:rPr>
                <w:rFonts w:hint="eastAsia"/>
              </w:rPr>
              <w:t>—</w:t>
            </w:r>
          </w:p>
        </w:tc>
      </w:tr>
      <w:tr w:rsidR="00FD50F6" w:rsidRPr="00FD50F6" w14:paraId="49310181" w14:textId="77777777" w:rsidTr="002B733E">
        <w:trPr>
          <w:cantSplit/>
          <w:trHeight w:val="435"/>
          <w:jc w:val="center"/>
        </w:trPr>
        <w:tc>
          <w:tcPr>
            <w:tcW w:w="709" w:type="dxa"/>
            <w:tcBorders>
              <w:left w:val="single" w:sz="12" w:space="0" w:color="auto"/>
            </w:tcBorders>
            <w:vAlign w:val="center"/>
          </w:tcPr>
          <w:p w14:paraId="25935B8B" w14:textId="77777777" w:rsidR="002B733E" w:rsidRPr="00FD50F6" w:rsidRDefault="002B733E" w:rsidP="002B733E">
            <w:pPr>
              <w:pStyle w:val="7"/>
            </w:pPr>
            <w:r w:rsidRPr="00FD50F6">
              <w:rPr>
                <w:rFonts w:hint="eastAsia"/>
              </w:rPr>
              <w:t>9</w:t>
            </w:r>
          </w:p>
        </w:tc>
        <w:tc>
          <w:tcPr>
            <w:tcW w:w="851" w:type="dxa"/>
            <w:vAlign w:val="center"/>
          </w:tcPr>
          <w:p w14:paraId="212BA942" w14:textId="77777777" w:rsidR="002B733E" w:rsidRPr="00FD50F6" w:rsidRDefault="002B733E" w:rsidP="002B733E">
            <w:pPr>
              <w:pStyle w:val="7"/>
            </w:pPr>
            <w:r w:rsidRPr="00FD50F6">
              <w:rPr>
                <w:rFonts w:hint="eastAsia"/>
                <w:i/>
              </w:rPr>
              <w:t>c</w:t>
            </w:r>
            <w:r w:rsidRPr="00FD50F6">
              <w:rPr>
                <w:rFonts w:hint="eastAsia"/>
                <w:vertAlign w:val="subscript"/>
              </w:rPr>
              <w:t>s</w:t>
            </w:r>
          </w:p>
        </w:tc>
        <w:tc>
          <w:tcPr>
            <w:tcW w:w="3337" w:type="dxa"/>
            <w:vAlign w:val="center"/>
          </w:tcPr>
          <w:p w14:paraId="23090093" w14:textId="77777777" w:rsidR="002B733E" w:rsidRPr="00FD50F6" w:rsidRDefault="002B733E" w:rsidP="002B733E">
            <w:pPr>
              <w:pStyle w:val="7"/>
            </w:pPr>
            <w:r w:rsidRPr="00FD50F6">
              <w:rPr>
                <w:rFonts w:hint="eastAsia"/>
              </w:rPr>
              <w:t>转向架一侧二系弹簧垂向刚度值</w:t>
            </w:r>
          </w:p>
        </w:tc>
        <w:tc>
          <w:tcPr>
            <w:tcW w:w="2632" w:type="dxa"/>
            <w:tcBorders>
              <w:right w:val="single" w:sz="4" w:space="0" w:color="auto"/>
            </w:tcBorders>
            <w:vAlign w:val="center"/>
          </w:tcPr>
          <w:p w14:paraId="2B67D8B3" w14:textId="77777777" w:rsidR="002B733E" w:rsidRPr="00FD50F6" w:rsidRDefault="002B733E" w:rsidP="002B733E">
            <w:pPr>
              <w:pStyle w:val="7"/>
            </w:pPr>
            <w:r w:rsidRPr="00FD50F6">
              <w:rPr>
                <w:rFonts w:hint="eastAsia"/>
              </w:rPr>
              <w:t>A</w:t>
            </w:r>
            <w:r w:rsidRPr="00FD50F6">
              <w:rPr>
                <w:rFonts w:hint="eastAsia"/>
              </w:rPr>
              <w:t>型车</w:t>
            </w:r>
          </w:p>
          <w:p w14:paraId="49F127F0" w14:textId="77777777" w:rsidR="002B733E" w:rsidRPr="00FD50F6" w:rsidRDefault="002B733E" w:rsidP="002B733E">
            <w:pPr>
              <w:pStyle w:val="7"/>
            </w:pPr>
            <w:r w:rsidRPr="00FD50F6">
              <w:rPr>
                <w:rFonts w:hint="eastAsia"/>
              </w:rPr>
              <w:t>400N/mm(AW3)  200N/mm(AW0)</w:t>
            </w:r>
          </w:p>
          <w:p w14:paraId="43960505" w14:textId="77777777" w:rsidR="002B733E" w:rsidRPr="00FD50F6" w:rsidRDefault="002B733E" w:rsidP="002B733E">
            <w:pPr>
              <w:pStyle w:val="7"/>
            </w:pPr>
            <w:r w:rsidRPr="00FD50F6">
              <w:rPr>
                <w:rFonts w:hint="eastAsia"/>
              </w:rPr>
              <w:t>B</w:t>
            </w:r>
            <w:r w:rsidRPr="00FD50F6">
              <w:rPr>
                <w:rFonts w:hint="eastAsia"/>
              </w:rPr>
              <w:t>型车</w:t>
            </w:r>
          </w:p>
          <w:p w14:paraId="6D4B5AB1" w14:textId="77777777" w:rsidR="002B733E" w:rsidRPr="00FD50F6" w:rsidRDefault="002B733E" w:rsidP="002B733E">
            <w:pPr>
              <w:pStyle w:val="7"/>
            </w:pPr>
            <w:r w:rsidRPr="00FD50F6">
              <w:rPr>
                <w:rFonts w:hint="eastAsia"/>
              </w:rPr>
              <w:t>80km/h</w:t>
            </w:r>
            <w:r w:rsidRPr="00FD50F6">
              <w:rPr>
                <w:rFonts w:hint="eastAsia"/>
              </w:rPr>
              <w:t>～</w:t>
            </w:r>
            <w:r w:rsidRPr="00FD50F6">
              <w:rPr>
                <w:rFonts w:hint="eastAsia"/>
              </w:rPr>
              <w:t>100km/h:</w:t>
            </w:r>
          </w:p>
          <w:p w14:paraId="7EE33C3F" w14:textId="77777777" w:rsidR="002B733E" w:rsidRPr="00FD50F6" w:rsidRDefault="002B733E" w:rsidP="002B733E">
            <w:pPr>
              <w:pStyle w:val="7"/>
            </w:pPr>
            <w:r w:rsidRPr="00FD50F6">
              <w:rPr>
                <w:rFonts w:hint="eastAsia"/>
              </w:rPr>
              <w:t>200N/mm(AW0) 450N/mm(AW3)</w:t>
            </w:r>
          </w:p>
          <w:p w14:paraId="6E8B3824" w14:textId="77777777" w:rsidR="002B733E" w:rsidRPr="00FD50F6" w:rsidRDefault="002B733E" w:rsidP="002B733E">
            <w:pPr>
              <w:pStyle w:val="7"/>
            </w:pPr>
            <w:r w:rsidRPr="00FD50F6">
              <w:rPr>
                <w:rFonts w:hint="eastAsia"/>
              </w:rPr>
              <w:t>120km/h:</w:t>
            </w:r>
          </w:p>
          <w:p w14:paraId="6DF5B5A3" w14:textId="77777777" w:rsidR="002B733E" w:rsidRPr="00FD50F6" w:rsidRDefault="002B733E" w:rsidP="002B733E">
            <w:pPr>
              <w:pStyle w:val="7"/>
            </w:pPr>
            <w:r w:rsidRPr="00FD50F6">
              <w:rPr>
                <w:rFonts w:hint="eastAsia"/>
              </w:rPr>
              <w:t>200N/mm(AW0) 350 N/mm(AW3)</w:t>
            </w:r>
          </w:p>
        </w:tc>
        <w:tc>
          <w:tcPr>
            <w:tcW w:w="693" w:type="dxa"/>
            <w:tcBorders>
              <w:left w:val="single" w:sz="4" w:space="0" w:color="auto"/>
              <w:right w:val="single" w:sz="12" w:space="0" w:color="auto"/>
            </w:tcBorders>
            <w:vAlign w:val="center"/>
          </w:tcPr>
          <w:p w14:paraId="06461219" w14:textId="77777777" w:rsidR="002B733E" w:rsidRPr="00FD50F6" w:rsidRDefault="002B733E" w:rsidP="002B733E">
            <w:pPr>
              <w:pStyle w:val="7"/>
            </w:pPr>
            <w:r w:rsidRPr="00FD50F6">
              <w:rPr>
                <w:rFonts w:hint="eastAsia"/>
              </w:rPr>
              <w:t>—</w:t>
            </w:r>
          </w:p>
        </w:tc>
      </w:tr>
      <w:tr w:rsidR="00FD50F6" w:rsidRPr="00FD50F6" w14:paraId="57230608" w14:textId="77777777" w:rsidTr="002B733E">
        <w:trPr>
          <w:cantSplit/>
          <w:trHeight w:val="435"/>
          <w:jc w:val="center"/>
        </w:trPr>
        <w:tc>
          <w:tcPr>
            <w:tcW w:w="709" w:type="dxa"/>
            <w:tcBorders>
              <w:left w:val="single" w:sz="12" w:space="0" w:color="auto"/>
            </w:tcBorders>
            <w:vAlign w:val="center"/>
          </w:tcPr>
          <w:p w14:paraId="78138315" w14:textId="77777777" w:rsidR="002B733E" w:rsidRPr="00FD50F6" w:rsidRDefault="002B733E" w:rsidP="002B733E">
            <w:pPr>
              <w:pStyle w:val="7"/>
            </w:pPr>
            <w:r w:rsidRPr="00FD50F6">
              <w:rPr>
                <w:rFonts w:hint="eastAsia"/>
              </w:rPr>
              <w:t>10</w:t>
            </w:r>
          </w:p>
        </w:tc>
        <w:tc>
          <w:tcPr>
            <w:tcW w:w="851" w:type="dxa"/>
            <w:vAlign w:val="center"/>
          </w:tcPr>
          <w:p w14:paraId="1F98B8F0" w14:textId="77777777" w:rsidR="002B733E" w:rsidRPr="00FD50F6" w:rsidRDefault="002B733E" w:rsidP="002B733E">
            <w:pPr>
              <w:pStyle w:val="7"/>
            </w:pPr>
            <w:r w:rsidRPr="00FD50F6">
              <w:rPr>
                <w:rFonts w:hint="eastAsia"/>
                <w:i/>
              </w:rPr>
              <w:t>K</w:t>
            </w:r>
            <w:r w:rsidRPr="00FD50F6">
              <w:rPr>
                <w:rFonts w:hint="eastAsia"/>
                <w:vertAlign w:val="subscript"/>
              </w:rPr>
              <w:sym w:font="Symbol" w:char="F066"/>
            </w:r>
            <w:r w:rsidRPr="00FD50F6">
              <w:rPr>
                <w:rFonts w:hint="eastAsia"/>
                <w:vertAlign w:val="subscript"/>
              </w:rPr>
              <w:t>n</w:t>
            </w:r>
          </w:p>
        </w:tc>
        <w:tc>
          <w:tcPr>
            <w:tcW w:w="3337" w:type="dxa"/>
            <w:vAlign w:val="center"/>
          </w:tcPr>
          <w:p w14:paraId="40FB8FDA" w14:textId="77777777" w:rsidR="002B733E" w:rsidRPr="00FD50F6" w:rsidRDefault="002B733E" w:rsidP="002B733E">
            <w:pPr>
              <w:pStyle w:val="7"/>
            </w:pPr>
            <w:r w:rsidRPr="00FD50F6">
              <w:rPr>
                <w:rFonts w:hint="eastAsia"/>
              </w:rPr>
              <w:t>每根抗侧滚扭杆的抗侧滚刚度</w:t>
            </w:r>
          </w:p>
        </w:tc>
        <w:tc>
          <w:tcPr>
            <w:tcW w:w="2632" w:type="dxa"/>
            <w:tcBorders>
              <w:right w:val="single" w:sz="4" w:space="0" w:color="auto"/>
            </w:tcBorders>
            <w:vAlign w:val="center"/>
          </w:tcPr>
          <w:p w14:paraId="0DCA6EAC"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 xml:space="preserve">  2.5MNm/rad</w:t>
            </w:r>
          </w:p>
          <w:p w14:paraId="2A04731C" w14:textId="77777777" w:rsidR="002B733E" w:rsidRPr="00FD50F6" w:rsidRDefault="002B733E" w:rsidP="002B733E">
            <w:pPr>
              <w:pStyle w:val="7"/>
            </w:pPr>
            <w:r w:rsidRPr="00FD50F6">
              <w:rPr>
                <w:rFonts w:hint="eastAsia"/>
              </w:rPr>
              <w:t>B</w:t>
            </w:r>
            <w:r w:rsidRPr="00FD50F6">
              <w:rPr>
                <w:rFonts w:hint="eastAsia"/>
              </w:rPr>
              <w:t>型车</w:t>
            </w:r>
          </w:p>
          <w:p w14:paraId="07C0BC9C" w14:textId="77777777" w:rsidR="002B733E" w:rsidRPr="00FD50F6" w:rsidRDefault="002B733E" w:rsidP="002B733E">
            <w:pPr>
              <w:pStyle w:val="7"/>
            </w:pPr>
            <w:r w:rsidRPr="00FD50F6">
              <w:rPr>
                <w:rFonts w:hint="eastAsia"/>
              </w:rPr>
              <w:t>80km/h:</w:t>
            </w:r>
            <w:r w:rsidRPr="00FD50F6">
              <w:rPr>
                <w:rFonts w:hint="eastAsia"/>
              </w:rPr>
              <w:t>无</w:t>
            </w:r>
          </w:p>
          <w:p w14:paraId="0810726F" w14:textId="77777777" w:rsidR="002B733E" w:rsidRPr="00FD50F6" w:rsidRDefault="002B733E" w:rsidP="002B733E">
            <w:pPr>
              <w:pStyle w:val="7"/>
            </w:pPr>
            <w:r w:rsidRPr="00FD50F6">
              <w:rPr>
                <w:rFonts w:hint="eastAsia"/>
              </w:rPr>
              <w:t>100-120km/h:1.5MNm/rad</w:t>
            </w:r>
          </w:p>
        </w:tc>
        <w:tc>
          <w:tcPr>
            <w:tcW w:w="693" w:type="dxa"/>
            <w:tcBorders>
              <w:left w:val="single" w:sz="4" w:space="0" w:color="auto"/>
              <w:right w:val="single" w:sz="12" w:space="0" w:color="auto"/>
            </w:tcBorders>
            <w:vAlign w:val="center"/>
          </w:tcPr>
          <w:p w14:paraId="7A02C3EB" w14:textId="77777777" w:rsidR="002B733E" w:rsidRPr="00FD50F6" w:rsidRDefault="002B733E" w:rsidP="002B733E">
            <w:pPr>
              <w:pStyle w:val="7"/>
            </w:pPr>
            <w:r w:rsidRPr="00FD50F6">
              <w:rPr>
                <w:rFonts w:hint="eastAsia"/>
              </w:rPr>
              <w:t>—</w:t>
            </w:r>
          </w:p>
        </w:tc>
      </w:tr>
      <w:tr w:rsidR="00FD50F6" w:rsidRPr="00FD50F6" w14:paraId="599E95E6" w14:textId="77777777" w:rsidTr="002B733E">
        <w:trPr>
          <w:cantSplit/>
          <w:trHeight w:val="435"/>
          <w:jc w:val="center"/>
        </w:trPr>
        <w:tc>
          <w:tcPr>
            <w:tcW w:w="709" w:type="dxa"/>
            <w:tcBorders>
              <w:left w:val="single" w:sz="12" w:space="0" w:color="auto"/>
            </w:tcBorders>
            <w:vAlign w:val="center"/>
          </w:tcPr>
          <w:p w14:paraId="75AB3DE4" w14:textId="77777777" w:rsidR="002B733E" w:rsidRPr="00FD50F6" w:rsidRDefault="002B733E" w:rsidP="002B733E">
            <w:pPr>
              <w:pStyle w:val="7"/>
            </w:pPr>
            <w:r w:rsidRPr="00FD50F6">
              <w:rPr>
                <w:rFonts w:hint="eastAsia"/>
              </w:rPr>
              <w:t>11</w:t>
            </w:r>
          </w:p>
        </w:tc>
        <w:tc>
          <w:tcPr>
            <w:tcW w:w="851" w:type="dxa"/>
            <w:vAlign w:val="center"/>
          </w:tcPr>
          <w:p w14:paraId="45723DA0" w14:textId="77777777" w:rsidR="002B733E" w:rsidRPr="00FD50F6" w:rsidRDefault="002B733E" w:rsidP="002B733E">
            <w:pPr>
              <w:pStyle w:val="7"/>
            </w:pPr>
            <w:r w:rsidRPr="00FD50F6">
              <w:rPr>
                <w:rFonts w:hint="eastAsia"/>
                <w:i/>
              </w:rPr>
              <w:t>d</w:t>
            </w:r>
          </w:p>
        </w:tc>
        <w:tc>
          <w:tcPr>
            <w:tcW w:w="3337" w:type="dxa"/>
            <w:vAlign w:val="center"/>
          </w:tcPr>
          <w:p w14:paraId="4AB30F3F" w14:textId="77777777" w:rsidR="002B733E" w:rsidRPr="00FD50F6" w:rsidRDefault="002B733E" w:rsidP="002B733E">
            <w:pPr>
              <w:pStyle w:val="7"/>
            </w:pPr>
            <w:r w:rsidRPr="00FD50F6">
              <w:rPr>
                <w:rFonts w:hint="eastAsia"/>
              </w:rPr>
              <w:t>轮缘最大磨耗量时轮对轮缘最小外侧距</w:t>
            </w:r>
          </w:p>
        </w:tc>
        <w:tc>
          <w:tcPr>
            <w:tcW w:w="2632" w:type="dxa"/>
            <w:tcBorders>
              <w:right w:val="single" w:sz="4" w:space="0" w:color="auto"/>
            </w:tcBorders>
            <w:vAlign w:val="center"/>
          </w:tcPr>
          <w:p w14:paraId="525CC1D9" w14:textId="77777777" w:rsidR="002B733E" w:rsidRPr="00FD50F6" w:rsidRDefault="002B733E" w:rsidP="002B733E">
            <w:pPr>
              <w:pStyle w:val="7"/>
            </w:pPr>
            <w:r w:rsidRPr="00FD50F6">
              <w:rPr>
                <w:rFonts w:hint="eastAsia"/>
              </w:rPr>
              <w:t>1353mm+2</w:t>
            </w:r>
            <w:r w:rsidRPr="00FD50F6">
              <w:rPr>
                <w:rFonts w:hint="eastAsia"/>
              </w:rPr>
              <w:sym w:font="Symbol" w:char="F0B4"/>
            </w:r>
            <w:r w:rsidRPr="00FD50F6">
              <w:rPr>
                <w:rFonts w:hint="eastAsia"/>
              </w:rPr>
              <w:t>22mm=1397mm</w:t>
            </w:r>
          </w:p>
        </w:tc>
        <w:tc>
          <w:tcPr>
            <w:tcW w:w="693" w:type="dxa"/>
            <w:tcBorders>
              <w:left w:val="single" w:sz="4" w:space="0" w:color="auto"/>
              <w:right w:val="single" w:sz="12" w:space="0" w:color="auto"/>
            </w:tcBorders>
            <w:vAlign w:val="center"/>
          </w:tcPr>
          <w:p w14:paraId="4B857321" w14:textId="77777777" w:rsidR="002B733E" w:rsidRPr="00FD50F6" w:rsidRDefault="002B733E" w:rsidP="002B733E">
            <w:pPr>
              <w:pStyle w:val="7"/>
            </w:pPr>
            <w:r w:rsidRPr="00FD50F6">
              <w:rPr>
                <w:rFonts w:hint="eastAsia"/>
              </w:rPr>
              <w:t>Z</w:t>
            </w:r>
          </w:p>
        </w:tc>
      </w:tr>
      <w:tr w:rsidR="00FD50F6" w:rsidRPr="00FD50F6" w14:paraId="06C456A6" w14:textId="77777777" w:rsidTr="002B733E">
        <w:trPr>
          <w:cantSplit/>
          <w:trHeight w:val="272"/>
          <w:jc w:val="center"/>
        </w:trPr>
        <w:tc>
          <w:tcPr>
            <w:tcW w:w="709" w:type="dxa"/>
            <w:tcBorders>
              <w:left w:val="single" w:sz="12" w:space="0" w:color="auto"/>
            </w:tcBorders>
            <w:vAlign w:val="center"/>
          </w:tcPr>
          <w:p w14:paraId="33E97B63" w14:textId="77777777" w:rsidR="002B733E" w:rsidRPr="00FD50F6" w:rsidRDefault="002B733E" w:rsidP="002B733E">
            <w:pPr>
              <w:pStyle w:val="7"/>
            </w:pPr>
            <w:r w:rsidRPr="00FD50F6">
              <w:rPr>
                <w:rFonts w:hint="eastAsia"/>
              </w:rPr>
              <w:t>12</w:t>
            </w:r>
          </w:p>
        </w:tc>
        <w:tc>
          <w:tcPr>
            <w:tcW w:w="851" w:type="dxa"/>
            <w:vAlign w:val="center"/>
          </w:tcPr>
          <w:p w14:paraId="1F2F4ED9" w14:textId="77777777" w:rsidR="002B733E" w:rsidRPr="00FD50F6" w:rsidRDefault="002B733E" w:rsidP="002B733E">
            <w:pPr>
              <w:pStyle w:val="7"/>
              <w:rPr>
                <w:i/>
              </w:rPr>
            </w:pPr>
            <w:r w:rsidRPr="00FD50F6">
              <w:rPr>
                <w:rFonts w:hint="eastAsia"/>
                <w:i/>
              </w:rPr>
              <w:t>f</w:t>
            </w:r>
            <w:r w:rsidRPr="00FD50F6">
              <w:rPr>
                <w:rFonts w:hint="eastAsia"/>
                <w:vertAlign w:val="subscript"/>
              </w:rPr>
              <w:t>1</w:t>
            </w:r>
          </w:p>
        </w:tc>
        <w:tc>
          <w:tcPr>
            <w:tcW w:w="3337" w:type="dxa"/>
            <w:vAlign w:val="center"/>
          </w:tcPr>
          <w:p w14:paraId="74F0920D" w14:textId="77777777" w:rsidR="002B733E" w:rsidRPr="00FD50F6" w:rsidRDefault="002B733E" w:rsidP="002B733E">
            <w:pPr>
              <w:pStyle w:val="7"/>
            </w:pPr>
            <w:r w:rsidRPr="00FD50F6">
              <w:rPr>
                <w:rFonts w:hint="eastAsia"/>
              </w:rPr>
              <w:t>转向架一系弹簧空重车挠度变化量</w:t>
            </w:r>
          </w:p>
        </w:tc>
        <w:tc>
          <w:tcPr>
            <w:tcW w:w="2632" w:type="dxa"/>
            <w:tcBorders>
              <w:right w:val="single" w:sz="4" w:space="0" w:color="auto"/>
            </w:tcBorders>
            <w:vAlign w:val="center"/>
          </w:tcPr>
          <w:p w14:paraId="4C1FF7E8"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 xml:space="preserve">  -26.0mm</w:t>
            </w:r>
          </w:p>
          <w:p w14:paraId="01764A70"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 xml:space="preserve">  -20.0mm</w:t>
            </w:r>
          </w:p>
        </w:tc>
        <w:tc>
          <w:tcPr>
            <w:tcW w:w="693" w:type="dxa"/>
            <w:tcBorders>
              <w:left w:val="single" w:sz="4" w:space="0" w:color="auto"/>
              <w:right w:val="single" w:sz="12" w:space="0" w:color="auto"/>
            </w:tcBorders>
            <w:vAlign w:val="center"/>
          </w:tcPr>
          <w:p w14:paraId="32126548" w14:textId="77777777" w:rsidR="002B733E" w:rsidRPr="00FD50F6" w:rsidRDefault="002B733E" w:rsidP="002B733E">
            <w:pPr>
              <w:pStyle w:val="7"/>
            </w:pPr>
            <w:r w:rsidRPr="00FD50F6">
              <w:rPr>
                <w:rFonts w:hint="eastAsia"/>
              </w:rPr>
              <w:t>NZ</w:t>
            </w:r>
          </w:p>
        </w:tc>
      </w:tr>
      <w:tr w:rsidR="00FD50F6" w:rsidRPr="00FD50F6" w14:paraId="6AC65BA1" w14:textId="77777777" w:rsidTr="002B733E">
        <w:trPr>
          <w:cantSplit/>
          <w:trHeight w:val="446"/>
          <w:jc w:val="center"/>
        </w:trPr>
        <w:tc>
          <w:tcPr>
            <w:tcW w:w="709" w:type="dxa"/>
            <w:tcBorders>
              <w:left w:val="single" w:sz="12" w:space="0" w:color="auto"/>
            </w:tcBorders>
            <w:vAlign w:val="center"/>
          </w:tcPr>
          <w:p w14:paraId="353CD4F7" w14:textId="77777777" w:rsidR="002B733E" w:rsidRPr="00FD50F6" w:rsidRDefault="002B733E" w:rsidP="002B733E">
            <w:pPr>
              <w:pStyle w:val="7"/>
            </w:pPr>
            <w:r w:rsidRPr="00FD50F6">
              <w:rPr>
                <w:rFonts w:hint="eastAsia"/>
              </w:rPr>
              <w:t>13</w:t>
            </w:r>
          </w:p>
        </w:tc>
        <w:tc>
          <w:tcPr>
            <w:tcW w:w="851" w:type="dxa"/>
            <w:vAlign w:val="center"/>
          </w:tcPr>
          <w:p w14:paraId="79C2E1D4" w14:textId="77777777" w:rsidR="002B733E" w:rsidRPr="00FD50F6" w:rsidRDefault="002B733E" w:rsidP="002B733E">
            <w:pPr>
              <w:pStyle w:val="7"/>
            </w:pPr>
            <w:r w:rsidRPr="00FD50F6">
              <w:rPr>
                <w:rFonts w:hint="eastAsia"/>
                <w:i/>
              </w:rPr>
              <w:t>f</w:t>
            </w:r>
            <w:r w:rsidRPr="00FD50F6">
              <w:rPr>
                <w:rFonts w:hint="eastAsia"/>
                <w:vertAlign w:val="subscript"/>
              </w:rPr>
              <w:t>01</w:t>
            </w:r>
          </w:p>
        </w:tc>
        <w:tc>
          <w:tcPr>
            <w:tcW w:w="3337" w:type="dxa"/>
            <w:vAlign w:val="center"/>
          </w:tcPr>
          <w:p w14:paraId="445E7F42" w14:textId="77777777" w:rsidR="002B733E" w:rsidRPr="00FD50F6" w:rsidRDefault="002B733E" w:rsidP="002B733E">
            <w:pPr>
              <w:pStyle w:val="7"/>
            </w:pPr>
            <w:r w:rsidRPr="00FD50F6">
              <w:rPr>
                <w:rFonts w:hint="eastAsia"/>
              </w:rPr>
              <w:t>转向架一系弹簧垂向变形量维修极限</w:t>
            </w:r>
          </w:p>
        </w:tc>
        <w:tc>
          <w:tcPr>
            <w:tcW w:w="2632" w:type="dxa"/>
            <w:tcBorders>
              <w:right w:val="single" w:sz="4" w:space="0" w:color="auto"/>
            </w:tcBorders>
            <w:vAlign w:val="center"/>
          </w:tcPr>
          <w:p w14:paraId="7844E529" w14:textId="77777777" w:rsidR="002B733E" w:rsidRPr="00FD50F6" w:rsidRDefault="002B733E" w:rsidP="002B733E">
            <w:pPr>
              <w:pStyle w:val="7"/>
            </w:pPr>
            <w:r w:rsidRPr="00FD50F6">
              <w:rPr>
                <w:rFonts w:hint="eastAsia"/>
              </w:rPr>
              <w:t>-5mm</w:t>
            </w:r>
          </w:p>
        </w:tc>
        <w:tc>
          <w:tcPr>
            <w:tcW w:w="693" w:type="dxa"/>
            <w:tcBorders>
              <w:left w:val="single" w:sz="4" w:space="0" w:color="auto"/>
              <w:right w:val="single" w:sz="12" w:space="0" w:color="auto"/>
            </w:tcBorders>
            <w:vAlign w:val="center"/>
          </w:tcPr>
          <w:p w14:paraId="06183C1A" w14:textId="77777777" w:rsidR="002B733E" w:rsidRPr="00FD50F6" w:rsidRDefault="002B733E" w:rsidP="002B733E">
            <w:pPr>
              <w:pStyle w:val="7"/>
            </w:pPr>
            <w:r w:rsidRPr="00FD50F6">
              <w:rPr>
                <w:rFonts w:hint="eastAsia"/>
              </w:rPr>
              <w:t>NZ</w:t>
            </w:r>
          </w:p>
        </w:tc>
      </w:tr>
      <w:tr w:rsidR="00FD50F6" w:rsidRPr="00FD50F6" w14:paraId="39033EE1" w14:textId="77777777" w:rsidTr="002B733E">
        <w:trPr>
          <w:cantSplit/>
          <w:trHeight w:val="268"/>
          <w:jc w:val="center"/>
        </w:trPr>
        <w:tc>
          <w:tcPr>
            <w:tcW w:w="709" w:type="dxa"/>
            <w:tcBorders>
              <w:left w:val="single" w:sz="12" w:space="0" w:color="auto"/>
            </w:tcBorders>
            <w:vAlign w:val="center"/>
          </w:tcPr>
          <w:p w14:paraId="56B61371" w14:textId="77777777" w:rsidR="002B733E" w:rsidRPr="00FD50F6" w:rsidRDefault="002B733E" w:rsidP="002B733E">
            <w:pPr>
              <w:pStyle w:val="7"/>
            </w:pPr>
            <w:r w:rsidRPr="00FD50F6">
              <w:rPr>
                <w:rFonts w:hint="eastAsia"/>
              </w:rPr>
              <w:t>14</w:t>
            </w:r>
          </w:p>
        </w:tc>
        <w:tc>
          <w:tcPr>
            <w:tcW w:w="851" w:type="dxa"/>
            <w:vAlign w:val="center"/>
          </w:tcPr>
          <w:p w14:paraId="2214BBE1" w14:textId="77777777" w:rsidR="002B733E" w:rsidRPr="00FD50F6" w:rsidRDefault="002B733E" w:rsidP="002B733E">
            <w:pPr>
              <w:pStyle w:val="7"/>
            </w:pPr>
            <w:r w:rsidRPr="00FD50F6">
              <w:rPr>
                <w:rFonts w:hint="eastAsia"/>
                <w:i/>
              </w:rPr>
              <w:t>f</w:t>
            </w:r>
            <w:r w:rsidRPr="00FD50F6">
              <w:rPr>
                <w:rFonts w:hint="eastAsia"/>
                <w:vertAlign w:val="subscript"/>
              </w:rPr>
              <w:t>2</w:t>
            </w:r>
          </w:p>
        </w:tc>
        <w:tc>
          <w:tcPr>
            <w:tcW w:w="3337" w:type="dxa"/>
            <w:vAlign w:val="center"/>
          </w:tcPr>
          <w:p w14:paraId="10787AD0" w14:textId="77777777" w:rsidR="002B733E" w:rsidRPr="00FD50F6" w:rsidRDefault="002B733E" w:rsidP="002B733E">
            <w:pPr>
              <w:pStyle w:val="7"/>
            </w:pPr>
            <w:r w:rsidRPr="00FD50F6">
              <w:rPr>
                <w:rFonts w:hint="eastAsia"/>
              </w:rPr>
              <w:t>转向架二系弹簧空重车挠度变化或高度阀不感度</w:t>
            </w:r>
          </w:p>
        </w:tc>
        <w:tc>
          <w:tcPr>
            <w:tcW w:w="2632" w:type="dxa"/>
            <w:tcBorders>
              <w:right w:val="single" w:sz="4" w:space="0" w:color="auto"/>
            </w:tcBorders>
            <w:vAlign w:val="center"/>
          </w:tcPr>
          <w:p w14:paraId="790C2964" w14:textId="77777777" w:rsidR="002B733E" w:rsidRPr="00FD50F6" w:rsidRDefault="002B733E" w:rsidP="002B733E">
            <w:pPr>
              <w:pStyle w:val="7"/>
            </w:pPr>
            <w:r w:rsidRPr="00FD50F6">
              <w:rPr>
                <w:rFonts w:hint="eastAsia"/>
              </w:rPr>
              <w:t>3mm</w:t>
            </w:r>
            <w:r w:rsidRPr="00FD50F6">
              <w:rPr>
                <w:rFonts w:hint="eastAsia"/>
              </w:rPr>
              <w:t>（区间应取</w:t>
            </w:r>
            <w:r w:rsidRPr="00FD50F6">
              <w:rPr>
                <w:rFonts w:hint="eastAsia"/>
              </w:rPr>
              <w:t>0</w:t>
            </w:r>
            <w:r w:rsidRPr="00FD50F6">
              <w:rPr>
                <w:rFonts w:hint="eastAsia"/>
              </w:rPr>
              <w:t>）</w:t>
            </w:r>
          </w:p>
        </w:tc>
        <w:tc>
          <w:tcPr>
            <w:tcW w:w="693" w:type="dxa"/>
            <w:tcBorders>
              <w:left w:val="single" w:sz="4" w:space="0" w:color="auto"/>
              <w:right w:val="single" w:sz="12" w:space="0" w:color="auto"/>
            </w:tcBorders>
            <w:vAlign w:val="center"/>
          </w:tcPr>
          <w:p w14:paraId="629CEB7E" w14:textId="77777777" w:rsidR="002B733E" w:rsidRPr="00FD50F6" w:rsidRDefault="002B733E" w:rsidP="002B733E">
            <w:pPr>
              <w:pStyle w:val="7"/>
            </w:pPr>
            <w:r w:rsidRPr="00FD50F6">
              <w:rPr>
                <w:rFonts w:hint="eastAsia"/>
              </w:rPr>
              <w:t>NZ</w:t>
            </w:r>
          </w:p>
        </w:tc>
      </w:tr>
      <w:tr w:rsidR="00FD50F6" w:rsidRPr="00FD50F6" w14:paraId="658C7C55" w14:textId="77777777" w:rsidTr="002B733E">
        <w:trPr>
          <w:cantSplit/>
          <w:trHeight w:val="631"/>
          <w:jc w:val="center"/>
        </w:trPr>
        <w:tc>
          <w:tcPr>
            <w:tcW w:w="709" w:type="dxa"/>
            <w:tcBorders>
              <w:left w:val="single" w:sz="12" w:space="0" w:color="auto"/>
            </w:tcBorders>
            <w:vAlign w:val="center"/>
          </w:tcPr>
          <w:p w14:paraId="4C900C1D" w14:textId="77777777" w:rsidR="002B733E" w:rsidRPr="00FD50F6" w:rsidRDefault="002B733E" w:rsidP="002B733E">
            <w:pPr>
              <w:pStyle w:val="7"/>
            </w:pPr>
            <w:r w:rsidRPr="00FD50F6">
              <w:rPr>
                <w:rFonts w:hint="eastAsia"/>
              </w:rPr>
              <w:lastRenderedPageBreak/>
              <w:t>15</w:t>
            </w:r>
          </w:p>
        </w:tc>
        <w:tc>
          <w:tcPr>
            <w:tcW w:w="851" w:type="dxa"/>
            <w:vAlign w:val="center"/>
          </w:tcPr>
          <w:p w14:paraId="4D2D8E39" w14:textId="77777777" w:rsidR="002B733E" w:rsidRPr="00FD50F6" w:rsidRDefault="002B733E" w:rsidP="002B733E">
            <w:pPr>
              <w:pStyle w:val="7"/>
            </w:pPr>
            <w:r w:rsidRPr="00FD50F6">
              <w:rPr>
                <w:rFonts w:hint="eastAsia"/>
                <w:i/>
              </w:rPr>
              <w:t>f</w:t>
            </w:r>
            <w:r w:rsidRPr="00FD50F6">
              <w:rPr>
                <w:rFonts w:hint="eastAsia"/>
                <w:vertAlign w:val="subscript"/>
              </w:rPr>
              <w:t>02</w:t>
            </w:r>
          </w:p>
        </w:tc>
        <w:tc>
          <w:tcPr>
            <w:tcW w:w="3337" w:type="dxa"/>
            <w:vAlign w:val="center"/>
          </w:tcPr>
          <w:p w14:paraId="67B60ACE" w14:textId="77777777" w:rsidR="002B733E" w:rsidRPr="00FD50F6" w:rsidRDefault="002B733E" w:rsidP="002B733E">
            <w:pPr>
              <w:pStyle w:val="7"/>
            </w:pPr>
            <w:r w:rsidRPr="00FD50F6">
              <w:rPr>
                <w:rFonts w:hint="eastAsia"/>
              </w:rPr>
              <w:t>转向架二系弹簧永久变形量</w:t>
            </w:r>
          </w:p>
        </w:tc>
        <w:tc>
          <w:tcPr>
            <w:tcW w:w="2632" w:type="dxa"/>
            <w:tcBorders>
              <w:right w:val="single" w:sz="4" w:space="0" w:color="auto"/>
            </w:tcBorders>
            <w:vAlign w:val="center"/>
          </w:tcPr>
          <w:p w14:paraId="4DC96278" w14:textId="77777777" w:rsidR="002B733E" w:rsidRPr="00FD50F6" w:rsidRDefault="002B733E" w:rsidP="002B733E">
            <w:pPr>
              <w:pStyle w:val="7"/>
            </w:pPr>
            <w:r w:rsidRPr="00FD50F6">
              <w:rPr>
                <w:rFonts w:hint="eastAsia"/>
              </w:rPr>
              <w:t>0</w:t>
            </w:r>
            <w:r w:rsidRPr="00FD50F6">
              <w:rPr>
                <w:rFonts w:hint="eastAsia"/>
              </w:rPr>
              <w:t>（有高度调整阀）</w:t>
            </w:r>
          </w:p>
        </w:tc>
        <w:tc>
          <w:tcPr>
            <w:tcW w:w="693" w:type="dxa"/>
            <w:tcBorders>
              <w:left w:val="single" w:sz="4" w:space="0" w:color="auto"/>
              <w:right w:val="single" w:sz="12" w:space="0" w:color="auto"/>
            </w:tcBorders>
            <w:vAlign w:val="center"/>
          </w:tcPr>
          <w:p w14:paraId="41D36312" w14:textId="77777777" w:rsidR="002B733E" w:rsidRPr="00FD50F6" w:rsidRDefault="002B733E" w:rsidP="002B733E">
            <w:pPr>
              <w:pStyle w:val="7"/>
            </w:pPr>
            <w:r w:rsidRPr="00FD50F6">
              <w:rPr>
                <w:rFonts w:hint="eastAsia"/>
              </w:rPr>
              <w:t>NZ</w:t>
            </w:r>
          </w:p>
        </w:tc>
      </w:tr>
      <w:tr w:rsidR="00FD50F6" w:rsidRPr="00FD50F6" w14:paraId="1D111E34" w14:textId="77777777" w:rsidTr="002B733E">
        <w:trPr>
          <w:cantSplit/>
          <w:trHeight w:val="631"/>
          <w:jc w:val="center"/>
        </w:trPr>
        <w:tc>
          <w:tcPr>
            <w:tcW w:w="709" w:type="dxa"/>
            <w:tcBorders>
              <w:left w:val="single" w:sz="12" w:space="0" w:color="auto"/>
            </w:tcBorders>
            <w:vAlign w:val="center"/>
          </w:tcPr>
          <w:p w14:paraId="598ABE11" w14:textId="77777777" w:rsidR="002B733E" w:rsidRPr="00FD50F6" w:rsidRDefault="002B733E" w:rsidP="002B733E">
            <w:pPr>
              <w:pStyle w:val="7"/>
            </w:pPr>
            <w:r w:rsidRPr="00FD50F6">
              <w:rPr>
                <w:rFonts w:hint="eastAsia"/>
              </w:rPr>
              <w:t>16</w:t>
            </w:r>
          </w:p>
        </w:tc>
        <w:tc>
          <w:tcPr>
            <w:tcW w:w="851" w:type="dxa"/>
            <w:vAlign w:val="center"/>
          </w:tcPr>
          <w:p w14:paraId="3AAA6F50" w14:textId="77777777" w:rsidR="002B733E" w:rsidRPr="00FD50F6" w:rsidRDefault="002B733E" w:rsidP="002B733E">
            <w:pPr>
              <w:pStyle w:val="7"/>
            </w:pPr>
            <w:r w:rsidRPr="00FD50F6">
              <w:rPr>
                <w:rFonts w:hint="eastAsia"/>
              </w:rPr>
              <w:t>g</w:t>
            </w:r>
          </w:p>
        </w:tc>
        <w:tc>
          <w:tcPr>
            <w:tcW w:w="3337" w:type="dxa"/>
            <w:vAlign w:val="center"/>
          </w:tcPr>
          <w:p w14:paraId="377D216F" w14:textId="77777777" w:rsidR="002B733E" w:rsidRPr="00FD50F6" w:rsidRDefault="002B733E" w:rsidP="002B733E">
            <w:pPr>
              <w:pStyle w:val="7"/>
            </w:pPr>
            <w:r w:rsidRPr="00FD50F6">
              <w:rPr>
                <w:rFonts w:hint="eastAsia"/>
              </w:rPr>
              <w:t>重力加速度</w:t>
            </w:r>
          </w:p>
        </w:tc>
        <w:tc>
          <w:tcPr>
            <w:tcW w:w="2632" w:type="dxa"/>
            <w:tcBorders>
              <w:right w:val="single" w:sz="4" w:space="0" w:color="auto"/>
            </w:tcBorders>
            <w:vAlign w:val="center"/>
          </w:tcPr>
          <w:p w14:paraId="56788334" w14:textId="77777777" w:rsidR="002B733E" w:rsidRPr="00FD50F6" w:rsidRDefault="002B733E" w:rsidP="002B733E">
            <w:pPr>
              <w:pStyle w:val="7"/>
            </w:pPr>
            <w:r w:rsidRPr="00FD50F6">
              <w:rPr>
                <w:rFonts w:hint="eastAsia"/>
              </w:rPr>
              <w:t>9.81m/s</w:t>
            </w:r>
            <w:r w:rsidRPr="00FD50F6">
              <w:rPr>
                <w:rFonts w:hint="eastAsia"/>
                <w:vertAlign w:val="superscript"/>
              </w:rPr>
              <w:t>2</w:t>
            </w:r>
          </w:p>
        </w:tc>
        <w:tc>
          <w:tcPr>
            <w:tcW w:w="693" w:type="dxa"/>
            <w:tcBorders>
              <w:left w:val="single" w:sz="4" w:space="0" w:color="auto"/>
              <w:right w:val="single" w:sz="12" w:space="0" w:color="auto"/>
            </w:tcBorders>
            <w:vAlign w:val="center"/>
          </w:tcPr>
          <w:p w14:paraId="684E4099" w14:textId="77777777" w:rsidR="002B733E" w:rsidRPr="00FD50F6" w:rsidRDefault="002B733E" w:rsidP="002B733E">
            <w:pPr>
              <w:pStyle w:val="7"/>
            </w:pPr>
            <w:r w:rsidRPr="00FD50F6">
              <w:rPr>
                <w:rFonts w:hint="eastAsia"/>
              </w:rPr>
              <w:t>—</w:t>
            </w:r>
          </w:p>
        </w:tc>
      </w:tr>
      <w:tr w:rsidR="00FD50F6" w:rsidRPr="00FD50F6" w14:paraId="6C44B0BF" w14:textId="77777777" w:rsidTr="002B733E">
        <w:trPr>
          <w:cantSplit/>
          <w:jc w:val="center"/>
        </w:trPr>
        <w:tc>
          <w:tcPr>
            <w:tcW w:w="709" w:type="dxa"/>
            <w:tcBorders>
              <w:left w:val="single" w:sz="12" w:space="0" w:color="auto"/>
            </w:tcBorders>
            <w:vAlign w:val="center"/>
          </w:tcPr>
          <w:p w14:paraId="34C06498" w14:textId="77777777" w:rsidR="002B733E" w:rsidRPr="00FD50F6" w:rsidRDefault="002B733E" w:rsidP="002B733E">
            <w:pPr>
              <w:pStyle w:val="7"/>
            </w:pPr>
            <w:r w:rsidRPr="00FD50F6">
              <w:rPr>
                <w:rFonts w:hint="eastAsia"/>
              </w:rPr>
              <w:t>17</w:t>
            </w:r>
          </w:p>
        </w:tc>
        <w:tc>
          <w:tcPr>
            <w:tcW w:w="851" w:type="dxa"/>
            <w:vAlign w:val="center"/>
          </w:tcPr>
          <w:p w14:paraId="53DFDB6E" w14:textId="77777777" w:rsidR="002B733E" w:rsidRPr="00FD50F6" w:rsidRDefault="002B733E" w:rsidP="002B733E">
            <w:pPr>
              <w:pStyle w:val="7"/>
            </w:pPr>
            <w:r w:rsidRPr="00FD50F6">
              <w:rPr>
                <w:rFonts w:hint="eastAsia"/>
                <w:i/>
              </w:rPr>
              <w:t>h</w:t>
            </w:r>
            <w:r w:rsidRPr="00FD50F6">
              <w:rPr>
                <w:rFonts w:hint="eastAsia"/>
                <w:vertAlign w:val="subscript"/>
              </w:rPr>
              <w:t>1</w:t>
            </w:r>
          </w:p>
        </w:tc>
        <w:tc>
          <w:tcPr>
            <w:tcW w:w="3337" w:type="dxa"/>
            <w:vAlign w:val="center"/>
          </w:tcPr>
          <w:p w14:paraId="4DF1FE5A" w14:textId="77777777" w:rsidR="002B733E" w:rsidRPr="00FD50F6" w:rsidRDefault="002B733E" w:rsidP="002B733E">
            <w:pPr>
              <w:pStyle w:val="7"/>
            </w:pPr>
            <w:r w:rsidRPr="00FD50F6">
              <w:rPr>
                <w:rFonts w:hint="eastAsia"/>
              </w:rPr>
              <w:t>接触导线距轨面高度</w:t>
            </w:r>
          </w:p>
        </w:tc>
        <w:tc>
          <w:tcPr>
            <w:tcW w:w="2632" w:type="dxa"/>
            <w:tcBorders>
              <w:right w:val="single" w:sz="4" w:space="0" w:color="auto"/>
            </w:tcBorders>
            <w:vAlign w:val="center"/>
          </w:tcPr>
          <w:p w14:paraId="57B7920B" w14:textId="77777777" w:rsidR="002B733E" w:rsidRPr="00FD50F6" w:rsidRDefault="002B733E" w:rsidP="002B733E">
            <w:pPr>
              <w:pStyle w:val="7"/>
              <w:rPr>
                <w:vertAlign w:val="superscript"/>
              </w:rPr>
            </w:pPr>
            <w:r w:rsidRPr="00FD50F6">
              <w:rPr>
                <w:rFonts w:hint="eastAsia"/>
              </w:rPr>
              <w:t>隧道内</w:t>
            </w:r>
            <w:r w:rsidRPr="00FD50F6">
              <w:rPr>
                <w:rFonts w:hint="eastAsia"/>
              </w:rPr>
              <w:t>4040mm;</w:t>
            </w:r>
            <w:r w:rsidRPr="00FD50F6">
              <w:rPr>
                <w:rFonts w:hint="eastAsia"/>
              </w:rPr>
              <w:t>高架或地面</w:t>
            </w:r>
            <w:r w:rsidRPr="00FD50F6">
              <w:rPr>
                <w:rFonts w:hint="eastAsia"/>
              </w:rPr>
              <w:t>4400/5000mm</w:t>
            </w:r>
          </w:p>
        </w:tc>
        <w:tc>
          <w:tcPr>
            <w:tcW w:w="693" w:type="dxa"/>
            <w:tcBorders>
              <w:left w:val="single" w:sz="4" w:space="0" w:color="auto"/>
              <w:right w:val="single" w:sz="12" w:space="0" w:color="auto"/>
            </w:tcBorders>
            <w:vAlign w:val="center"/>
          </w:tcPr>
          <w:p w14:paraId="386A978C" w14:textId="77777777" w:rsidR="002B733E" w:rsidRPr="00FD50F6" w:rsidRDefault="002B733E" w:rsidP="002B733E">
            <w:pPr>
              <w:pStyle w:val="7"/>
            </w:pPr>
            <w:r w:rsidRPr="00FD50F6">
              <w:rPr>
                <w:rFonts w:hint="eastAsia"/>
              </w:rPr>
              <w:t>Z</w:t>
            </w:r>
          </w:p>
        </w:tc>
      </w:tr>
      <w:tr w:rsidR="00FD50F6" w:rsidRPr="00FD50F6" w14:paraId="7B6CB2E6" w14:textId="77777777" w:rsidTr="002B733E">
        <w:trPr>
          <w:cantSplit/>
          <w:jc w:val="center"/>
        </w:trPr>
        <w:tc>
          <w:tcPr>
            <w:tcW w:w="709" w:type="dxa"/>
            <w:tcBorders>
              <w:left w:val="single" w:sz="12" w:space="0" w:color="auto"/>
            </w:tcBorders>
            <w:vAlign w:val="center"/>
          </w:tcPr>
          <w:p w14:paraId="223D75E4" w14:textId="77777777" w:rsidR="002B733E" w:rsidRPr="00FD50F6" w:rsidRDefault="002B733E" w:rsidP="002B733E">
            <w:pPr>
              <w:pStyle w:val="7"/>
            </w:pPr>
            <w:r w:rsidRPr="00FD50F6">
              <w:rPr>
                <w:rFonts w:hint="eastAsia"/>
              </w:rPr>
              <w:t>18</w:t>
            </w:r>
          </w:p>
        </w:tc>
        <w:tc>
          <w:tcPr>
            <w:tcW w:w="851" w:type="dxa"/>
            <w:vAlign w:val="center"/>
          </w:tcPr>
          <w:p w14:paraId="2AE071E3" w14:textId="77777777" w:rsidR="002B733E" w:rsidRPr="00FD50F6" w:rsidRDefault="002B733E" w:rsidP="002B733E">
            <w:pPr>
              <w:pStyle w:val="7"/>
              <w:rPr>
                <w:vertAlign w:val="subscript"/>
              </w:rPr>
            </w:pPr>
            <w:r w:rsidRPr="00FD50F6">
              <w:rPr>
                <w:rFonts w:hint="eastAsia"/>
                <w:i/>
              </w:rPr>
              <w:t>h</w:t>
            </w:r>
            <w:r w:rsidRPr="00FD50F6">
              <w:rPr>
                <w:rFonts w:hint="eastAsia"/>
                <w:vertAlign w:val="subscript"/>
              </w:rPr>
              <w:t>ac</w:t>
            </w:r>
          </w:p>
        </w:tc>
        <w:tc>
          <w:tcPr>
            <w:tcW w:w="3337" w:type="dxa"/>
            <w:vAlign w:val="center"/>
          </w:tcPr>
          <w:p w14:paraId="7F7DE4EE" w14:textId="77777777" w:rsidR="002B733E" w:rsidRPr="00FD50F6" w:rsidRDefault="002B733E" w:rsidP="002B733E">
            <w:pPr>
              <w:pStyle w:val="7"/>
            </w:pPr>
            <w:r w:rsidRPr="00FD50F6">
              <w:rPr>
                <w:rFonts w:hint="eastAsia"/>
              </w:rPr>
              <w:t>轨道最大超高值</w:t>
            </w:r>
            <w:r w:rsidRPr="00FD50F6">
              <w:rPr>
                <w:rFonts w:hint="eastAsia"/>
              </w:rPr>
              <w:t xml:space="preserve"> </w:t>
            </w:r>
          </w:p>
        </w:tc>
        <w:tc>
          <w:tcPr>
            <w:tcW w:w="2632" w:type="dxa"/>
            <w:tcBorders>
              <w:right w:val="single" w:sz="4" w:space="0" w:color="auto"/>
            </w:tcBorders>
            <w:vAlign w:val="center"/>
          </w:tcPr>
          <w:p w14:paraId="1BC48C01" w14:textId="77777777" w:rsidR="002B733E" w:rsidRPr="00FD50F6" w:rsidRDefault="002B733E" w:rsidP="002B733E">
            <w:pPr>
              <w:pStyle w:val="7"/>
            </w:pPr>
            <w:r w:rsidRPr="00FD50F6">
              <w:rPr>
                <w:rFonts w:hint="eastAsia"/>
              </w:rPr>
              <w:t>120mm</w:t>
            </w:r>
            <w:r w:rsidRPr="00FD50F6">
              <w:rPr>
                <w:rFonts w:hint="eastAsia"/>
              </w:rPr>
              <w:t>（</w:t>
            </w:r>
            <w:r w:rsidRPr="00FD50F6">
              <w:rPr>
                <w:rFonts w:hint="eastAsia"/>
              </w:rPr>
              <w:t>80km/h</w:t>
            </w:r>
            <w:r w:rsidRPr="00FD50F6">
              <w:rPr>
                <w:rFonts w:hint="eastAsia"/>
              </w:rPr>
              <w:t>～</w:t>
            </w:r>
            <w:r w:rsidRPr="00FD50F6">
              <w:rPr>
                <w:rFonts w:hint="eastAsia"/>
              </w:rPr>
              <w:t>100km/h</w:t>
            </w:r>
            <w:r w:rsidRPr="00FD50F6">
              <w:rPr>
                <w:rFonts w:hint="eastAsia"/>
              </w:rPr>
              <w:t>）</w:t>
            </w:r>
          </w:p>
          <w:p w14:paraId="5E3BBA7C" w14:textId="77777777" w:rsidR="002B733E" w:rsidRPr="00FD50F6" w:rsidRDefault="002B733E" w:rsidP="002B733E">
            <w:pPr>
              <w:pStyle w:val="7"/>
            </w:pPr>
            <w:r w:rsidRPr="00FD50F6">
              <w:rPr>
                <w:rFonts w:hint="eastAsia"/>
              </w:rPr>
              <w:t>150mm</w:t>
            </w:r>
            <w:r w:rsidRPr="00FD50F6">
              <w:rPr>
                <w:rFonts w:hint="eastAsia"/>
              </w:rPr>
              <w:t>（</w:t>
            </w:r>
            <w:r w:rsidRPr="00FD50F6">
              <w:rPr>
                <w:rFonts w:hint="eastAsia"/>
              </w:rPr>
              <w:t>120km/h</w:t>
            </w:r>
            <w:r w:rsidRPr="00FD50F6">
              <w:rPr>
                <w:rFonts w:hint="eastAsia"/>
              </w:rPr>
              <w:t>）</w:t>
            </w:r>
          </w:p>
        </w:tc>
        <w:tc>
          <w:tcPr>
            <w:tcW w:w="693" w:type="dxa"/>
            <w:tcBorders>
              <w:left w:val="single" w:sz="4" w:space="0" w:color="auto"/>
              <w:right w:val="single" w:sz="12" w:space="0" w:color="auto"/>
            </w:tcBorders>
            <w:vAlign w:val="center"/>
          </w:tcPr>
          <w:p w14:paraId="346E02C3" w14:textId="77777777" w:rsidR="002B733E" w:rsidRPr="00FD50F6" w:rsidRDefault="002B733E" w:rsidP="002B733E">
            <w:pPr>
              <w:pStyle w:val="7"/>
            </w:pPr>
            <w:r w:rsidRPr="00FD50F6">
              <w:rPr>
                <w:rFonts w:hint="eastAsia"/>
              </w:rPr>
              <w:t>—</w:t>
            </w:r>
          </w:p>
        </w:tc>
      </w:tr>
      <w:tr w:rsidR="00FD50F6" w:rsidRPr="00FD50F6" w14:paraId="5B3EB272" w14:textId="77777777" w:rsidTr="002B733E">
        <w:trPr>
          <w:cantSplit/>
          <w:jc w:val="center"/>
        </w:trPr>
        <w:tc>
          <w:tcPr>
            <w:tcW w:w="709" w:type="dxa"/>
            <w:tcBorders>
              <w:left w:val="single" w:sz="12" w:space="0" w:color="auto"/>
            </w:tcBorders>
            <w:vAlign w:val="center"/>
          </w:tcPr>
          <w:p w14:paraId="14182D60" w14:textId="77777777" w:rsidR="002B733E" w:rsidRPr="00FD50F6" w:rsidRDefault="002B733E" w:rsidP="002B733E">
            <w:pPr>
              <w:pStyle w:val="7"/>
            </w:pPr>
            <w:r w:rsidRPr="00FD50F6">
              <w:rPr>
                <w:rFonts w:hint="eastAsia"/>
              </w:rPr>
              <w:t>19</w:t>
            </w:r>
          </w:p>
        </w:tc>
        <w:tc>
          <w:tcPr>
            <w:tcW w:w="851" w:type="dxa"/>
            <w:vAlign w:val="center"/>
          </w:tcPr>
          <w:p w14:paraId="7E916D40" w14:textId="77777777" w:rsidR="002B733E" w:rsidRPr="00FD50F6" w:rsidRDefault="002B733E" w:rsidP="002B733E">
            <w:pPr>
              <w:pStyle w:val="7"/>
              <w:rPr>
                <w:vertAlign w:val="subscript"/>
              </w:rPr>
            </w:pPr>
            <w:r w:rsidRPr="00FD50F6">
              <w:rPr>
                <w:rFonts w:hint="eastAsia"/>
                <w:i/>
              </w:rPr>
              <w:t>h</w:t>
            </w:r>
            <w:r w:rsidRPr="00FD50F6">
              <w:rPr>
                <w:rFonts w:hint="eastAsia"/>
                <w:vertAlign w:val="subscript"/>
              </w:rPr>
              <w:t>cp</w:t>
            </w:r>
          </w:p>
        </w:tc>
        <w:tc>
          <w:tcPr>
            <w:tcW w:w="3337" w:type="dxa"/>
            <w:vAlign w:val="center"/>
          </w:tcPr>
          <w:p w14:paraId="2C1924FD" w14:textId="77777777" w:rsidR="002B733E" w:rsidRPr="00FD50F6" w:rsidRDefault="002B733E" w:rsidP="002B733E">
            <w:pPr>
              <w:pStyle w:val="7"/>
            </w:pPr>
            <w:r w:rsidRPr="00FD50F6">
              <w:rPr>
                <w:rFonts w:hint="eastAsia"/>
              </w:rPr>
              <w:t>转向架一系弹簧侧滚中心高度</w:t>
            </w:r>
          </w:p>
          <w:p w14:paraId="5BACD7BF" w14:textId="77777777" w:rsidR="002B733E" w:rsidRPr="00FD50F6" w:rsidRDefault="002B733E" w:rsidP="002B733E">
            <w:pPr>
              <w:pStyle w:val="7"/>
            </w:pPr>
          </w:p>
        </w:tc>
        <w:tc>
          <w:tcPr>
            <w:tcW w:w="2632" w:type="dxa"/>
            <w:tcBorders>
              <w:right w:val="single" w:sz="4" w:space="0" w:color="auto"/>
            </w:tcBorders>
            <w:vAlign w:val="center"/>
          </w:tcPr>
          <w:p w14:paraId="10DDB26D"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500mm</w:t>
            </w:r>
          </w:p>
          <w:p w14:paraId="2412B2A0"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500mm</w:t>
            </w:r>
          </w:p>
        </w:tc>
        <w:tc>
          <w:tcPr>
            <w:tcW w:w="693" w:type="dxa"/>
            <w:tcBorders>
              <w:left w:val="single" w:sz="4" w:space="0" w:color="auto"/>
              <w:right w:val="single" w:sz="12" w:space="0" w:color="auto"/>
            </w:tcBorders>
            <w:vAlign w:val="center"/>
          </w:tcPr>
          <w:p w14:paraId="7C5B7259" w14:textId="77777777" w:rsidR="002B733E" w:rsidRPr="00FD50F6" w:rsidRDefault="002B733E" w:rsidP="002B733E">
            <w:pPr>
              <w:pStyle w:val="7"/>
            </w:pPr>
            <w:r w:rsidRPr="00FD50F6">
              <w:rPr>
                <w:rFonts w:hint="eastAsia"/>
              </w:rPr>
              <w:t>—</w:t>
            </w:r>
          </w:p>
        </w:tc>
      </w:tr>
      <w:tr w:rsidR="00FD50F6" w:rsidRPr="00FD50F6" w14:paraId="30731D42" w14:textId="77777777" w:rsidTr="002B733E">
        <w:trPr>
          <w:cantSplit/>
          <w:jc w:val="center"/>
        </w:trPr>
        <w:tc>
          <w:tcPr>
            <w:tcW w:w="709" w:type="dxa"/>
            <w:tcBorders>
              <w:left w:val="single" w:sz="12" w:space="0" w:color="auto"/>
            </w:tcBorders>
            <w:vAlign w:val="center"/>
          </w:tcPr>
          <w:p w14:paraId="0F50B1D5" w14:textId="77777777" w:rsidR="002B733E" w:rsidRPr="00FD50F6" w:rsidRDefault="002B733E" w:rsidP="002B733E">
            <w:pPr>
              <w:pStyle w:val="7"/>
            </w:pPr>
            <w:r w:rsidRPr="00FD50F6">
              <w:rPr>
                <w:rFonts w:hint="eastAsia"/>
              </w:rPr>
              <w:t>20</w:t>
            </w:r>
          </w:p>
        </w:tc>
        <w:tc>
          <w:tcPr>
            <w:tcW w:w="851" w:type="dxa"/>
            <w:vAlign w:val="center"/>
          </w:tcPr>
          <w:p w14:paraId="25C2F9DE" w14:textId="77777777" w:rsidR="002B733E" w:rsidRPr="00FD50F6" w:rsidRDefault="002B733E" w:rsidP="002B733E">
            <w:pPr>
              <w:pStyle w:val="7"/>
            </w:pPr>
            <w:r w:rsidRPr="00FD50F6">
              <w:rPr>
                <w:rFonts w:hint="eastAsia"/>
                <w:i/>
              </w:rPr>
              <w:t>h</w:t>
            </w:r>
            <w:r w:rsidRPr="00FD50F6">
              <w:rPr>
                <w:rFonts w:hint="eastAsia"/>
                <w:vertAlign w:val="subscript"/>
              </w:rPr>
              <w:t>cs</w:t>
            </w:r>
          </w:p>
        </w:tc>
        <w:tc>
          <w:tcPr>
            <w:tcW w:w="3337" w:type="dxa"/>
            <w:vAlign w:val="center"/>
          </w:tcPr>
          <w:p w14:paraId="43F88A0C" w14:textId="77777777" w:rsidR="002B733E" w:rsidRPr="00FD50F6" w:rsidRDefault="002B733E" w:rsidP="002B733E">
            <w:pPr>
              <w:pStyle w:val="7"/>
            </w:pPr>
            <w:r w:rsidRPr="00FD50F6">
              <w:rPr>
                <w:rFonts w:hint="eastAsia"/>
              </w:rPr>
              <w:t>转向架二系弹簧上支承面距轨面高度</w:t>
            </w:r>
          </w:p>
          <w:p w14:paraId="30D4C461" w14:textId="77777777" w:rsidR="002B733E" w:rsidRPr="00FD50F6" w:rsidRDefault="002B733E" w:rsidP="002B733E">
            <w:pPr>
              <w:pStyle w:val="7"/>
            </w:pPr>
          </w:p>
        </w:tc>
        <w:tc>
          <w:tcPr>
            <w:tcW w:w="2632" w:type="dxa"/>
            <w:tcBorders>
              <w:right w:val="single" w:sz="4" w:space="0" w:color="auto"/>
            </w:tcBorders>
            <w:vAlign w:val="center"/>
          </w:tcPr>
          <w:p w14:paraId="6D7E84CB"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894mm</w:t>
            </w:r>
          </w:p>
          <w:p w14:paraId="29B94B7F"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860mm</w:t>
            </w:r>
          </w:p>
        </w:tc>
        <w:tc>
          <w:tcPr>
            <w:tcW w:w="693" w:type="dxa"/>
            <w:tcBorders>
              <w:left w:val="single" w:sz="4" w:space="0" w:color="auto"/>
              <w:right w:val="single" w:sz="12" w:space="0" w:color="auto"/>
            </w:tcBorders>
            <w:vAlign w:val="center"/>
          </w:tcPr>
          <w:p w14:paraId="44920268" w14:textId="77777777" w:rsidR="002B733E" w:rsidRPr="00FD50F6" w:rsidRDefault="002B733E" w:rsidP="002B733E">
            <w:pPr>
              <w:pStyle w:val="7"/>
            </w:pPr>
            <w:r w:rsidRPr="00FD50F6">
              <w:rPr>
                <w:rFonts w:hint="eastAsia"/>
              </w:rPr>
              <w:t>—</w:t>
            </w:r>
          </w:p>
        </w:tc>
      </w:tr>
      <w:tr w:rsidR="00FD50F6" w:rsidRPr="00FD50F6" w14:paraId="45EC8457" w14:textId="77777777" w:rsidTr="002B733E">
        <w:trPr>
          <w:cantSplit/>
          <w:jc w:val="center"/>
        </w:trPr>
        <w:tc>
          <w:tcPr>
            <w:tcW w:w="709" w:type="dxa"/>
            <w:tcBorders>
              <w:left w:val="single" w:sz="12" w:space="0" w:color="auto"/>
            </w:tcBorders>
            <w:vAlign w:val="center"/>
          </w:tcPr>
          <w:p w14:paraId="4B363FC6" w14:textId="77777777" w:rsidR="002B733E" w:rsidRPr="00FD50F6" w:rsidRDefault="002B733E" w:rsidP="002B733E">
            <w:pPr>
              <w:pStyle w:val="7"/>
            </w:pPr>
            <w:r w:rsidRPr="00FD50F6">
              <w:rPr>
                <w:rFonts w:hint="eastAsia"/>
              </w:rPr>
              <w:t>21</w:t>
            </w:r>
          </w:p>
        </w:tc>
        <w:tc>
          <w:tcPr>
            <w:tcW w:w="851" w:type="dxa"/>
            <w:vAlign w:val="center"/>
          </w:tcPr>
          <w:p w14:paraId="7B395DC0" w14:textId="77777777" w:rsidR="002B733E" w:rsidRPr="00FD50F6" w:rsidRDefault="002B733E" w:rsidP="002B733E">
            <w:pPr>
              <w:pStyle w:val="7"/>
            </w:pPr>
            <w:r w:rsidRPr="00FD50F6">
              <w:rPr>
                <w:rFonts w:hint="eastAsia"/>
                <w:i/>
              </w:rPr>
              <w:t>h</w:t>
            </w:r>
            <w:r w:rsidRPr="00FD50F6">
              <w:rPr>
                <w:rFonts w:hint="eastAsia"/>
                <w:vertAlign w:val="subscript"/>
              </w:rPr>
              <w:t>sc</w:t>
            </w:r>
          </w:p>
        </w:tc>
        <w:tc>
          <w:tcPr>
            <w:tcW w:w="3337" w:type="dxa"/>
            <w:vAlign w:val="center"/>
          </w:tcPr>
          <w:p w14:paraId="62CE923F" w14:textId="77777777" w:rsidR="002B733E" w:rsidRPr="00FD50F6" w:rsidRDefault="002B733E" w:rsidP="002B733E">
            <w:pPr>
              <w:pStyle w:val="7"/>
            </w:pPr>
            <w:r w:rsidRPr="00FD50F6">
              <w:rPr>
                <w:rFonts w:hint="eastAsia"/>
              </w:rPr>
              <w:t>车体重心距轨面高度</w:t>
            </w:r>
          </w:p>
        </w:tc>
        <w:tc>
          <w:tcPr>
            <w:tcW w:w="2632" w:type="dxa"/>
            <w:tcBorders>
              <w:right w:val="single" w:sz="4" w:space="0" w:color="auto"/>
            </w:tcBorders>
            <w:vAlign w:val="center"/>
          </w:tcPr>
          <w:p w14:paraId="29CD72B3"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1650mm</w:t>
            </w:r>
          </w:p>
          <w:p w14:paraId="49B60183"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1500mm</w:t>
            </w:r>
          </w:p>
        </w:tc>
        <w:tc>
          <w:tcPr>
            <w:tcW w:w="693" w:type="dxa"/>
            <w:tcBorders>
              <w:left w:val="single" w:sz="4" w:space="0" w:color="auto"/>
              <w:right w:val="single" w:sz="12" w:space="0" w:color="auto"/>
            </w:tcBorders>
            <w:vAlign w:val="center"/>
          </w:tcPr>
          <w:p w14:paraId="6664D92D" w14:textId="77777777" w:rsidR="002B733E" w:rsidRPr="00FD50F6" w:rsidRDefault="002B733E" w:rsidP="002B733E">
            <w:pPr>
              <w:pStyle w:val="7"/>
            </w:pPr>
            <w:r w:rsidRPr="00FD50F6">
              <w:rPr>
                <w:rFonts w:hint="eastAsia"/>
              </w:rPr>
              <w:t>NZ</w:t>
            </w:r>
          </w:p>
        </w:tc>
      </w:tr>
      <w:tr w:rsidR="00FD50F6" w:rsidRPr="00FD50F6" w14:paraId="6DF2AB94" w14:textId="77777777" w:rsidTr="002B733E">
        <w:trPr>
          <w:cantSplit/>
          <w:jc w:val="center"/>
        </w:trPr>
        <w:tc>
          <w:tcPr>
            <w:tcW w:w="709" w:type="dxa"/>
            <w:tcBorders>
              <w:left w:val="single" w:sz="12" w:space="0" w:color="auto"/>
            </w:tcBorders>
            <w:vAlign w:val="center"/>
          </w:tcPr>
          <w:p w14:paraId="1D9DD426" w14:textId="77777777" w:rsidR="002B733E" w:rsidRPr="00FD50F6" w:rsidRDefault="002B733E" w:rsidP="002B733E">
            <w:pPr>
              <w:pStyle w:val="7"/>
            </w:pPr>
            <w:r w:rsidRPr="00FD50F6">
              <w:rPr>
                <w:rFonts w:hint="eastAsia"/>
              </w:rPr>
              <w:t>22</w:t>
            </w:r>
          </w:p>
        </w:tc>
        <w:tc>
          <w:tcPr>
            <w:tcW w:w="851" w:type="dxa"/>
            <w:vAlign w:val="center"/>
          </w:tcPr>
          <w:p w14:paraId="4AE087C7" w14:textId="77777777" w:rsidR="002B733E" w:rsidRPr="00FD50F6" w:rsidRDefault="002B733E" w:rsidP="002B733E">
            <w:pPr>
              <w:pStyle w:val="7"/>
            </w:pPr>
            <w:r w:rsidRPr="00FD50F6">
              <w:rPr>
                <w:rFonts w:hint="eastAsia"/>
                <w:i/>
              </w:rPr>
              <w:t>h</w:t>
            </w:r>
            <w:r w:rsidRPr="00FD50F6">
              <w:rPr>
                <w:rFonts w:hint="eastAsia"/>
                <w:vertAlign w:val="subscript"/>
              </w:rPr>
              <w:t>sj</w:t>
            </w:r>
          </w:p>
        </w:tc>
        <w:tc>
          <w:tcPr>
            <w:tcW w:w="3337" w:type="dxa"/>
            <w:vAlign w:val="center"/>
          </w:tcPr>
          <w:p w14:paraId="22C5AC32" w14:textId="77777777" w:rsidR="002B733E" w:rsidRPr="00FD50F6" w:rsidRDefault="002B733E" w:rsidP="002B733E">
            <w:pPr>
              <w:pStyle w:val="7"/>
            </w:pPr>
            <w:r w:rsidRPr="00FD50F6">
              <w:rPr>
                <w:rFonts w:hint="eastAsia"/>
              </w:rPr>
              <w:t>车底架边梁距轨面高度</w:t>
            </w:r>
          </w:p>
        </w:tc>
        <w:tc>
          <w:tcPr>
            <w:tcW w:w="2632" w:type="dxa"/>
            <w:tcBorders>
              <w:right w:val="single" w:sz="4" w:space="0" w:color="auto"/>
            </w:tcBorders>
            <w:vAlign w:val="center"/>
          </w:tcPr>
          <w:p w14:paraId="146BB7E8"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870mm</w:t>
            </w:r>
          </w:p>
          <w:p w14:paraId="037B0C89"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870mm</w:t>
            </w:r>
          </w:p>
        </w:tc>
        <w:tc>
          <w:tcPr>
            <w:tcW w:w="693" w:type="dxa"/>
            <w:tcBorders>
              <w:left w:val="single" w:sz="4" w:space="0" w:color="auto"/>
              <w:right w:val="single" w:sz="12" w:space="0" w:color="auto"/>
            </w:tcBorders>
            <w:vAlign w:val="center"/>
          </w:tcPr>
          <w:p w14:paraId="229CA1AA" w14:textId="77777777" w:rsidR="002B733E" w:rsidRPr="00FD50F6" w:rsidRDefault="002B733E" w:rsidP="002B733E">
            <w:pPr>
              <w:pStyle w:val="7"/>
            </w:pPr>
            <w:r w:rsidRPr="00FD50F6">
              <w:rPr>
                <w:rFonts w:hint="eastAsia"/>
              </w:rPr>
              <w:t>—</w:t>
            </w:r>
          </w:p>
        </w:tc>
      </w:tr>
      <w:tr w:rsidR="00FD50F6" w:rsidRPr="00FD50F6" w14:paraId="30C151D7" w14:textId="77777777" w:rsidTr="002B733E">
        <w:trPr>
          <w:cantSplit/>
          <w:jc w:val="center"/>
        </w:trPr>
        <w:tc>
          <w:tcPr>
            <w:tcW w:w="709" w:type="dxa"/>
            <w:tcBorders>
              <w:left w:val="single" w:sz="12" w:space="0" w:color="auto"/>
            </w:tcBorders>
            <w:vAlign w:val="center"/>
          </w:tcPr>
          <w:p w14:paraId="11AD4F25" w14:textId="77777777" w:rsidR="002B733E" w:rsidRPr="00FD50F6" w:rsidRDefault="002B733E" w:rsidP="002B733E">
            <w:pPr>
              <w:pStyle w:val="7"/>
            </w:pPr>
            <w:r w:rsidRPr="00FD50F6">
              <w:rPr>
                <w:rFonts w:hint="eastAsia"/>
              </w:rPr>
              <w:t>23</w:t>
            </w:r>
          </w:p>
        </w:tc>
        <w:tc>
          <w:tcPr>
            <w:tcW w:w="851" w:type="dxa"/>
            <w:vAlign w:val="center"/>
          </w:tcPr>
          <w:p w14:paraId="40C1F404" w14:textId="77777777" w:rsidR="002B733E" w:rsidRPr="00FD50F6" w:rsidRDefault="002B733E" w:rsidP="002B733E">
            <w:pPr>
              <w:pStyle w:val="7"/>
              <w:rPr>
                <w:vertAlign w:val="subscript"/>
              </w:rPr>
            </w:pPr>
            <w:r w:rsidRPr="00FD50F6">
              <w:rPr>
                <w:rFonts w:hint="eastAsia"/>
                <w:i/>
              </w:rPr>
              <w:t>h</w:t>
            </w:r>
            <w:r w:rsidRPr="00FD50F6">
              <w:rPr>
                <w:rFonts w:hint="eastAsia"/>
                <w:vertAlign w:val="subscript"/>
              </w:rPr>
              <w:t>sw</w:t>
            </w:r>
          </w:p>
        </w:tc>
        <w:tc>
          <w:tcPr>
            <w:tcW w:w="3337" w:type="dxa"/>
            <w:vAlign w:val="center"/>
          </w:tcPr>
          <w:p w14:paraId="6BBB126B" w14:textId="77777777" w:rsidR="002B733E" w:rsidRPr="00FD50F6" w:rsidRDefault="002B733E" w:rsidP="002B733E">
            <w:pPr>
              <w:pStyle w:val="7"/>
            </w:pPr>
            <w:r w:rsidRPr="00FD50F6">
              <w:rPr>
                <w:rFonts w:hint="eastAsia"/>
              </w:rPr>
              <w:t>车体受风面积形心距轨面高度</w:t>
            </w:r>
          </w:p>
        </w:tc>
        <w:tc>
          <w:tcPr>
            <w:tcW w:w="2632" w:type="dxa"/>
            <w:tcBorders>
              <w:right w:val="single" w:sz="4" w:space="0" w:color="auto"/>
            </w:tcBorders>
            <w:vAlign w:val="center"/>
          </w:tcPr>
          <w:p w14:paraId="02BE9254"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2350mm</w:t>
            </w:r>
          </w:p>
          <w:p w14:paraId="640052F1"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2350mm</w:t>
            </w:r>
          </w:p>
        </w:tc>
        <w:tc>
          <w:tcPr>
            <w:tcW w:w="693" w:type="dxa"/>
            <w:tcBorders>
              <w:left w:val="single" w:sz="4" w:space="0" w:color="auto"/>
              <w:right w:val="single" w:sz="12" w:space="0" w:color="auto"/>
            </w:tcBorders>
            <w:vAlign w:val="center"/>
          </w:tcPr>
          <w:p w14:paraId="7B7ACAC1" w14:textId="77777777" w:rsidR="002B733E" w:rsidRPr="00FD50F6" w:rsidRDefault="002B733E" w:rsidP="002B733E">
            <w:pPr>
              <w:pStyle w:val="7"/>
            </w:pPr>
            <w:r w:rsidRPr="00FD50F6">
              <w:rPr>
                <w:rFonts w:hint="eastAsia"/>
              </w:rPr>
              <w:t>—</w:t>
            </w:r>
          </w:p>
        </w:tc>
      </w:tr>
      <w:tr w:rsidR="00FD50F6" w:rsidRPr="00FD50F6" w14:paraId="6083B89D" w14:textId="77777777" w:rsidTr="002B733E">
        <w:trPr>
          <w:cantSplit/>
          <w:trHeight w:val="393"/>
          <w:jc w:val="center"/>
        </w:trPr>
        <w:tc>
          <w:tcPr>
            <w:tcW w:w="709" w:type="dxa"/>
            <w:tcBorders>
              <w:left w:val="single" w:sz="12" w:space="0" w:color="auto"/>
            </w:tcBorders>
            <w:vAlign w:val="center"/>
          </w:tcPr>
          <w:p w14:paraId="036D652C" w14:textId="77777777" w:rsidR="002B733E" w:rsidRPr="00FD50F6" w:rsidRDefault="002B733E" w:rsidP="002B733E">
            <w:pPr>
              <w:pStyle w:val="7"/>
            </w:pPr>
            <w:r w:rsidRPr="00FD50F6">
              <w:rPr>
                <w:rFonts w:hint="eastAsia"/>
              </w:rPr>
              <w:t>24</w:t>
            </w:r>
          </w:p>
        </w:tc>
        <w:tc>
          <w:tcPr>
            <w:tcW w:w="851" w:type="dxa"/>
            <w:vAlign w:val="center"/>
          </w:tcPr>
          <w:p w14:paraId="16CF0814" w14:textId="77777777" w:rsidR="002B733E" w:rsidRPr="00FD50F6" w:rsidRDefault="002B733E" w:rsidP="002B733E">
            <w:pPr>
              <w:pStyle w:val="7"/>
            </w:pPr>
            <w:r w:rsidRPr="00FD50F6">
              <w:rPr>
                <w:rFonts w:hint="eastAsia"/>
                <w:i/>
              </w:rPr>
              <w:t>H</w:t>
            </w:r>
            <w:r w:rsidRPr="00FD50F6">
              <w:rPr>
                <w:rFonts w:hint="eastAsia"/>
                <w:vertAlign w:val="subscript"/>
              </w:rPr>
              <w:t>cq</w:t>
            </w:r>
          </w:p>
        </w:tc>
        <w:tc>
          <w:tcPr>
            <w:tcW w:w="3337" w:type="dxa"/>
            <w:vAlign w:val="center"/>
          </w:tcPr>
          <w:p w14:paraId="1F75987F" w14:textId="77777777" w:rsidR="002B733E" w:rsidRPr="00FD50F6" w:rsidRDefault="002B733E" w:rsidP="002B733E">
            <w:pPr>
              <w:pStyle w:val="7"/>
            </w:pPr>
            <w:r w:rsidRPr="00FD50F6">
              <w:rPr>
                <w:rFonts w:hint="eastAsia"/>
              </w:rPr>
              <w:t>车体侧墙高度</w:t>
            </w:r>
          </w:p>
        </w:tc>
        <w:tc>
          <w:tcPr>
            <w:tcW w:w="2632" w:type="dxa"/>
            <w:tcBorders>
              <w:right w:val="single" w:sz="4" w:space="0" w:color="auto"/>
            </w:tcBorders>
            <w:vAlign w:val="center"/>
          </w:tcPr>
          <w:p w14:paraId="7D680092"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2500mm</w:t>
            </w:r>
          </w:p>
          <w:p w14:paraId="19EAE956"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2300mm</w:t>
            </w:r>
          </w:p>
        </w:tc>
        <w:tc>
          <w:tcPr>
            <w:tcW w:w="693" w:type="dxa"/>
            <w:tcBorders>
              <w:left w:val="single" w:sz="4" w:space="0" w:color="auto"/>
              <w:right w:val="single" w:sz="12" w:space="0" w:color="auto"/>
            </w:tcBorders>
            <w:vAlign w:val="center"/>
          </w:tcPr>
          <w:p w14:paraId="64064B4D" w14:textId="77777777" w:rsidR="002B733E" w:rsidRPr="00FD50F6" w:rsidRDefault="002B733E" w:rsidP="002B733E">
            <w:pPr>
              <w:pStyle w:val="7"/>
            </w:pPr>
            <w:r w:rsidRPr="00FD50F6">
              <w:rPr>
                <w:rFonts w:hint="eastAsia"/>
              </w:rPr>
              <w:t>—</w:t>
            </w:r>
          </w:p>
        </w:tc>
      </w:tr>
      <w:tr w:rsidR="00FD50F6" w:rsidRPr="00FD50F6" w14:paraId="4B9D5B81" w14:textId="77777777" w:rsidTr="002B733E">
        <w:trPr>
          <w:cantSplit/>
          <w:jc w:val="center"/>
        </w:trPr>
        <w:tc>
          <w:tcPr>
            <w:tcW w:w="709" w:type="dxa"/>
            <w:tcBorders>
              <w:left w:val="single" w:sz="12" w:space="0" w:color="auto"/>
            </w:tcBorders>
            <w:vAlign w:val="center"/>
          </w:tcPr>
          <w:p w14:paraId="384E519A" w14:textId="77777777" w:rsidR="002B733E" w:rsidRPr="00FD50F6" w:rsidRDefault="002B733E" w:rsidP="002B733E">
            <w:pPr>
              <w:pStyle w:val="7"/>
            </w:pPr>
            <w:r w:rsidRPr="00FD50F6">
              <w:rPr>
                <w:rFonts w:hint="eastAsia"/>
              </w:rPr>
              <w:t>25</w:t>
            </w:r>
          </w:p>
        </w:tc>
        <w:tc>
          <w:tcPr>
            <w:tcW w:w="851" w:type="dxa"/>
            <w:vAlign w:val="center"/>
          </w:tcPr>
          <w:p w14:paraId="2F9D505F" w14:textId="77777777" w:rsidR="002B733E" w:rsidRPr="00FD50F6" w:rsidRDefault="002B733E" w:rsidP="002B733E">
            <w:pPr>
              <w:pStyle w:val="7"/>
            </w:pPr>
            <w:r w:rsidRPr="00FD50F6">
              <w:rPr>
                <w:rFonts w:hint="eastAsia"/>
                <w:i/>
              </w:rPr>
              <w:t>l</w:t>
            </w:r>
          </w:p>
        </w:tc>
        <w:tc>
          <w:tcPr>
            <w:tcW w:w="3337" w:type="dxa"/>
            <w:vAlign w:val="center"/>
          </w:tcPr>
          <w:p w14:paraId="412114AB" w14:textId="77777777" w:rsidR="002B733E" w:rsidRPr="00FD50F6" w:rsidRDefault="002B733E" w:rsidP="002B733E">
            <w:pPr>
              <w:pStyle w:val="7"/>
            </w:pPr>
            <w:r w:rsidRPr="00FD50F6">
              <w:rPr>
                <w:rFonts w:hint="eastAsia"/>
              </w:rPr>
              <w:t>最大轨距</w:t>
            </w:r>
          </w:p>
        </w:tc>
        <w:tc>
          <w:tcPr>
            <w:tcW w:w="2632" w:type="dxa"/>
            <w:tcBorders>
              <w:right w:val="single" w:sz="4" w:space="0" w:color="auto"/>
            </w:tcBorders>
            <w:vAlign w:val="center"/>
          </w:tcPr>
          <w:p w14:paraId="2D22BAE4" w14:textId="77777777" w:rsidR="002B733E" w:rsidRPr="00FD50F6" w:rsidRDefault="002B733E" w:rsidP="002B733E">
            <w:pPr>
              <w:pStyle w:val="7"/>
            </w:pPr>
            <w:r w:rsidRPr="00FD50F6">
              <w:rPr>
                <w:rFonts w:hint="eastAsia"/>
              </w:rPr>
              <w:t>1441mm</w:t>
            </w:r>
          </w:p>
        </w:tc>
        <w:tc>
          <w:tcPr>
            <w:tcW w:w="693" w:type="dxa"/>
            <w:tcBorders>
              <w:left w:val="single" w:sz="4" w:space="0" w:color="auto"/>
              <w:right w:val="single" w:sz="12" w:space="0" w:color="auto"/>
            </w:tcBorders>
            <w:vAlign w:val="center"/>
          </w:tcPr>
          <w:p w14:paraId="28687D58" w14:textId="77777777" w:rsidR="002B733E" w:rsidRPr="00FD50F6" w:rsidRDefault="002B733E" w:rsidP="002B733E">
            <w:pPr>
              <w:pStyle w:val="7"/>
            </w:pPr>
            <w:r w:rsidRPr="00FD50F6">
              <w:rPr>
                <w:rFonts w:hint="eastAsia"/>
              </w:rPr>
              <w:t>Z</w:t>
            </w:r>
          </w:p>
        </w:tc>
      </w:tr>
      <w:tr w:rsidR="00FD50F6" w:rsidRPr="00FD50F6" w14:paraId="15699ED5" w14:textId="77777777" w:rsidTr="002B733E">
        <w:trPr>
          <w:cantSplit/>
          <w:jc w:val="center"/>
        </w:trPr>
        <w:tc>
          <w:tcPr>
            <w:tcW w:w="709" w:type="dxa"/>
            <w:tcBorders>
              <w:left w:val="single" w:sz="12" w:space="0" w:color="auto"/>
            </w:tcBorders>
            <w:vAlign w:val="center"/>
          </w:tcPr>
          <w:p w14:paraId="6ECC4917" w14:textId="77777777" w:rsidR="002B733E" w:rsidRPr="00FD50F6" w:rsidRDefault="002B733E" w:rsidP="002B733E">
            <w:pPr>
              <w:pStyle w:val="7"/>
            </w:pPr>
            <w:r w:rsidRPr="00FD50F6">
              <w:rPr>
                <w:rFonts w:hint="eastAsia"/>
              </w:rPr>
              <w:t>26</w:t>
            </w:r>
          </w:p>
        </w:tc>
        <w:tc>
          <w:tcPr>
            <w:tcW w:w="851" w:type="dxa"/>
            <w:vAlign w:val="center"/>
          </w:tcPr>
          <w:p w14:paraId="2E1CE068" w14:textId="77777777" w:rsidR="002B733E" w:rsidRPr="00FD50F6" w:rsidRDefault="002B733E" w:rsidP="002B733E">
            <w:pPr>
              <w:pStyle w:val="7"/>
              <w:rPr>
                <w:i/>
              </w:rPr>
            </w:pPr>
            <w:r w:rsidRPr="00FD50F6">
              <w:rPr>
                <w:rFonts w:hint="eastAsia"/>
                <w:i/>
              </w:rPr>
              <w:t>m</w:t>
            </w:r>
          </w:p>
        </w:tc>
        <w:tc>
          <w:tcPr>
            <w:tcW w:w="3337" w:type="dxa"/>
            <w:vAlign w:val="center"/>
          </w:tcPr>
          <w:p w14:paraId="24D9C2BC" w14:textId="77777777" w:rsidR="002B733E" w:rsidRPr="00FD50F6" w:rsidRDefault="002B733E" w:rsidP="002B733E">
            <w:pPr>
              <w:pStyle w:val="7"/>
            </w:pPr>
            <w:r w:rsidRPr="00FD50F6">
              <w:rPr>
                <w:rFonts w:hint="eastAsia"/>
              </w:rPr>
              <w:t>转向架计算断面至相邻轴距离</w:t>
            </w:r>
          </w:p>
        </w:tc>
        <w:tc>
          <w:tcPr>
            <w:tcW w:w="2632" w:type="dxa"/>
            <w:tcBorders>
              <w:right w:val="single" w:sz="4" w:space="0" w:color="auto"/>
            </w:tcBorders>
            <w:vAlign w:val="center"/>
          </w:tcPr>
          <w:p w14:paraId="51106EAD" w14:textId="77777777" w:rsidR="002B733E" w:rsidRPr="00FD50F6" w:rsidRDefault="002B733E" w:rsidP="002B733E">
            <w:pPr>
              <w:pStyle w:val="7"/>
            </w:pPr>
            <w:r w:rsidRPr="00FD50F6">
              <w:rPr>
                <w:rFonts w:hint="eastAsia"/>
              </w:rPr>
              <w:t>按计算点实际位置决定</w:t>
            </w:r>
          </w:p>
        </w:tc>
        <w:tc>
          <w:tcPr>
            <w:tcW w:w="693" w:type="dxa"/>
            <w:tcBorders>
              <w:left w:val="single" w:sz="4" w:space="0" w:color="auto"/>
              <w:right w:val="single" w:sz="12" w:space="0" w:color="auto"/>
            </w:tcBorders>
            <w:vAlign w:val="center"/>
          </w:tcPr>
          <w:p w14:paraId="7E72CE84" w14:textId="77777777" w:rsidR="002B733E" w:rsidRPr="00FD50F6" w:rsidRDefault="002B733E" w:rsidP="002B733E">
            <w:pPr>
              <w:pStyle w:val="7"/>
            </w:pPr>
          </w:p>
        </w:tc>
      </w:tr>
      <w:tr w:rsidR="00FD50F6" w:rsidRPr="00FD50F6" w14:paraId="4CB1BAF2" w14:textId="77777777" w:rsidTr="002B733E">
        <w:trPr>
          <w:cantSplit/>
          <w:trHeight w:val="360"/>
          <w:jc w:val="center"/>
        </w:trPr>
        <w:tc>
          <w:tcPr>
            <w:tcW w:w="709" w:type="dxa"/>
            <w:tcBorders>
              <w:left w:val="single" w:sz="12" w:space="0" w:color="auto"/>
            </w:tcBorders>
            <w:vAlign w:val="center"/>
          </w:tcPr>
          <w:p w14:paraId="0FFF150B" w14:textId="77777777" w:rsidR="002B733E" w:rsidRPr="00FD50F6" w:rsidRDefault="002B733E" w:rsidP="002B733E">
            <w:pPr>
              <w:pStyle w:val="7"/>
            </w:pPr>
            <w:r w:rsidRPr="00FD50F6">
              <w:rPr>
                <w:rFonts w:hint="eastAsia"/>
              </w:rPr>
              <w:t>27</w:t>
            </w:r>
          </w:p>
        </w:tc>
        <w:tc>
          <w:tcPr>
            <w:tcW w:w="851" w:type="dxa"/>
            <w:vAlign w:val="center"/>
          </w:tcPr>
          <w:p w14:paraId="47D6FB4C" w14:textId="77777777" w:rsidR="002B733E" w:rsidRPr="00FD50F6" w:rsidRDefault="002B733E" w:rsidP="002B733E">
            <w:pPr>
              <w:pStyle w:val="7"/>
              <w:rPr>
                <w:i/>
              </w:rPr>
            </w:pPr>
            <w:r w:rsidRPr="00FD50F6">
              <w:rPr>
                <w:rFonts w:hint="eastAsia"/>
                <w:i/>
              </w:rPr>
              <w:t>m</w:t>
            </w:r>
            <w:r w:rsidRPr="00FD50F6">
              <w:rPr>
                <w:rFonts w:hint="eastAsia"/>
                <w:vertAlign w:val="subscript"/>
              </w:rPr>
              <w:t>B</w:t>
            </w:r>
          </w:p>
        </w:tc>
        <w:tc>
          <w:tcPr>
            <w:tcW w:w="3337" w:type="dxa"/>
            <w:vAlign w:val="center"/>
          </w:tcPr>
          <w:p w14:paraId="1D736435" w14:textId="77777777" w:rsidR="002B733E" w:rsidRPr="00FD50F6" w:rsidRDefault="002B733E" w:rsidP="002B733E">
            <w:pPr>
              <w:pStyle w:val="7"/>
            </w:pPr>
            <w:r w:rsidRPr="00FD50F6">
              <w:rPr>
                <w:rFonts w:hint="eastAsia"/>
              </w:rPr>
              <w:t>车体重量</w:t>
            </w:r>
          </w:p>
        </w:tc>
        <w:tc>
          <w:tcPr>
            <w:tcW w:w="2632" w:type="dxa"/>
            <w:tcBorders>
              <w:right w:val="single" w:sz="4" w:space="0" w:color="auto"/>
            </w:tcBorders>
            <w:vAlign w:val="center"/>
          </w:tcPr>
          <w:p w14:paraId="6ED817AC" w14:textId="77777777" w:rsidR="002B733E" w:rsidRPr="00FD50F6" w:rsidRDefault="002B733E" w:rsidP="002B733E">
            <w:pPr>
              <w:pStyle w:val="7"/>
            </w:pPr>
            <w:r w:rsidRPr="00FD50F6">
              <w:rPr>
                <w:rFonts w:hint="eastAsia"/>
              </w:rPr>
              <w:t>AW0</w:t>
            </w:r>
          </w:p>
          <w:p w14:paraId="73111A31"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24000kg</w:t>
            </w:r>
          </w:p>
          <w:p w14:paraId="7226BB9D"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23000kg</w:t>
            </w:r>
          </w:p>
          <w:p w14:paraId="52F872F1" w14:textId="77777777" w:rsidR="002B733E" w:rsidRPr="00FD50F6" w:rsidRDefault="002B733E" w:rsidP="002B733E">
            <w:pPr>
              <w:pStyle w:val="7"/>
            </w:pPr>
            <w:r w:rsidRPr="00FD50F6">
              <w:rPr>
                <w:rFonts w:hint="eastAsia"/>
              </w:rPr>
              <w:t>AW3</w:t>
            </w:r>
          </w:p>
          <w:p w14:paraId="205E5999"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49000kg</w:t>
            </w:r>
          </w:p>
          <w:p w14:paraId="5EA01873"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42000kg</w:t>
            </w:r>
          </w:p>
          <w:p w14:paraId="3ED6D3C3" w14:textId="77777777" w:rsidR="002B733E" w:rsidRPr="00FD50F6" w:rsidRDefault="002B733E" w:rsidP="002B733E">
            <w:pPr>
              <w:pStyle w:val="7"/>
            </w:pPr>
            <w:r w:rsidRPr="00FD50F6">
              <w:rPr>
                <w:rFonts w:hint="eastAsia"/>
              </w:rPr>
              <w:t>2/3*AW2-MBZ</w:t>
            </w:r>
          </w:p>
          <w:p w14:paraId="5286AD77"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36600kg</w:t>
            </w:r>
          </w:p>
          <w:p w14:paraId="13B98EF7"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33200kg</w:t>
            </w:r>
          </w:p>
        </w:tc>
        <w:tc>
          <w:tcPr>
            <w:tcW w:w="693" w:type="dxa"/>
            <w:tcBorders>
              <w:left w:val="single" w:sz="4" w:space="0" w:color="auto"/>
              <w:right w:val="single" w:sz="12" w:space="0" w:color="auto"/>
            </w:tcBorders>
            <w:vAlign w:val="center"/>
          </w:tcPr>
          <w:p w14:paraId="50AE6050" w14:textId="77777777" w:rsidR="002B733E" w:rsidRPr="00FD50F6" w:rsidRDefault="002B733E" w:rsidP="002B733E">
            <w:pPr>
              <w:pStyle w:val="7"/>
            </w:pPr>
            <w:r w:rsidRPr="00FD50F6">
              <w:rPr>
                <w:rFonts w:hint="eastAsia"/>
              </w:rPr>
              <w:t>—</w:t>
            </w:r>
          </w:p>
        </w:tc>
      </w:tr>
      <w:tr w:rsidR="00FD50F6" w:rsidRPr="00FD50F6" w14:paraId="5F972BCC" w14:textId="77777777" w:rsidTr="002B733E">
        <w:trPr>
          <w:cantSplit/>
          <w:jc w:val="center"/>
        </w:trPr>
        <w:tc>
          <w:tcPr>
            <w:tcW w:w="709" w:type="dxa"/>
            <w:tcBorders>
              <w:left w:val="single" w:sz="12" w:space="0" w:color="auto"/>
            </w:tcBorders>
            <w:vAlign w:val="center"/>
          </w:tcPr>
          <w:p w14:paraId="595DC69B" w14:textId="77777777" w:rsidR="002B733E" w:rsidRPr="00FD50F6" w:rsidRDefault="002B733E" w:rsidP="002B733E">
            <w:pPr>
              <w:pStyle w:val="7"/>
            </w:pPr>
            <w:r w:rsidRPr="00FD50F6">
              <w:rPr>
                <w:rFonts w:hint="eastAsia"/>
              </w:rPr>
              <w:t>28</w:t>
            </w:r>
          </w:p>
        </w:tc>
        <w:tc>
          <w:tcPr>
            <w:tcW w:w="851" w:type="dxa"/>
            <w:vAlign w:val="center"/>
          </w:tcPr>
          <w:p w14:paraId="7D990956" w14:textId="77777777" w:rsidR="002B733E" w:rsidRPr="00FD50F6" w:rsidRDefault="002B733E" w:rsidP="002B733E">
            <w:pPr>
              <w:pStyle w:val="7"/>
            </w:pPr>
            <w:r w:rsidRPr="00FD50F6">
              <w:rPr>
                <w:rFonts w:hint="eastAsia"/>
                <w:i/>
              </w:rPr>
              <w:t>m</w:t>
            </w:r>
            <w:r w:rsidRPr="00FD50F6">
              <w:rPr>
                <w:rFonts w:hint="eastAsia"/>
                <w:vertAlign w:val="subscript"/>
              </w:rPr>
              <w:t>z</w:t>
            </w:r>
          </w:p>
        </w:tc>
        <w:tc>
          <w:tcPr>
            <w:tcW w:w="3337" w:type="dxa"/>
            <w:vAlign w:val="center"/>
          </w:tcPr>
          <w:p w14:paraId="7308310F" w14:textId="77777777" w:rsidR="002B733E" w:rsidRPr="00FD50F6" w:rsidRDefault="002B733E" w:rsidP="002B733E">
            <w:pPr>
              <w:pStyle w:val="7"/>
            </w:pPr>
            <w:r w:rsidRPr="00FD50F6">
              <w:rPr>
                <w:rFonts w:hint="eastAsia"/>
              </w:rPr>
              <w:t>载荷不对称的计算载客重量</w:t>
            </w:r>
            <w:r w:rsidRPr="00FD50F6">
              <w:rPr>
                <w:rFonts w:hint="eastAsia"/>
              </w:rPr>
              <w:t>(2/3AW2)</w:t>
            </w:r>
          </w:p>
        </w:tc>
        <w:tc>
          <w:tcPr>
            <w:tcW w:w="2632" w:type="dxa"/>
            <w:tcBorders>
              <w:right w:val="single" w:sz="4" w:space="0" w:color="auto"/>
            </w:tcBorders>
            <w:vAlign w:val="center"/>
          </w:tcPr>
          <w:p w14:paraId="1C4F005E"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12600kg</w:t>
            </w:r>
          </w:p>
          <w:p w14:paraId="1DCDC9A0"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10200kg</w:t>
            </w:r>
          </w:p>
        </w:tc>
        <w:tc>
          <w:tcPr>
            <w:tcW w:w="693" w:type="dxa"/>
            <w:tcBorders>
              <w:left w:val="single" w:sz="4" w:space="0" w:color="auto"/>
              <w:right w:val="single" w:sz="12" w:space="0" w:color="auto"/>
            </w:tcBorders>
            <w:vAlign w:val="center"/>
          </w:tcPr>
          <w:p w14:paraId="7ABCD0CB" w14:textId="77777777" w:rsidR="002B733E" w:rsidRPr="00FD50F6" w:rsidRDefault="002B733E" w:rsidP="002B733E">
            <w:pPr>
              <w:pStyle w:val="7"/>
            </w:pPr>
            <w:r w:rsidRPr="00FD50F6">
              <w:rPr>
                <w:rFonts w:hint="eastAsia"/>
              </w:rPr>
              <w:t>NZ</w:t>
            </w:r>
          </w:p>
          <w:p w14:paraId="38A2FB80" w14:textId="77777777" w:rsidR="002B733E" w:rsidRPr="00FD50F6" w:rsidRDefault="002B733E" w:rsidP="002B733E">
            <w:pPr>
              <w:pStyle w:val="7"/>
            </w:pPr>
          </w:p>
        </w:tc>
      </w:tr>
      <w:tr w:rsidR="00FD50F6" w:rsidRPr="00FD50F6" w14:paraId="684587F4" w14:textId="77777777" w:rsidTr="002B733E">
        <w:trPr>
          <w:cantSplit/>
          <w:jc w:val="center"/>
        </w:trPr>
        <w:tc>
          <w:tcPr>
            <w:tcW w:w="709" w:type="dxa"/>
            <w:tcBorders>
              <w:left w:val="single" w:sz="12" w:space="0" w:color="auto"/>
            </w:tcBorders>
            <w:vAlign w:val="center"/>
          </w:tcPr>
          <w:p w14:paraId="45782A32" w14:textId="77777777" w:rsidR="002B733E" w:rsidRPr="00FD50F6" w:rsidRDefault="002B733E" w:rsidP="002B733E">
            <w:pPr>
              <w:pStyle w:val="7"/>
            </w:pPr>
            <w:r w:rsidRPr="00FD50F6">
              <w:rPr>
                <w:rFonts w:hint="eastAsia"/>
              </w:rPr>
              <w:t>29</w:t>
            </w:r>
          </w:p>
        </w:tc>
        <w:tc>
          <w:tcPr>
            <w:tcW w:w="851" w:type="dxa"/>
            <w:vAlign w:val="center"/>
          </w:tcPr>
          <w:p w14:paraId="2DF78806" w14:textId="77777777" w:rsidR="002B733E" w:rsidRPr="00FD50F6" w:rsidRDefault="002B733E" w:rsidP="002B733E">
            <w:pPr>
              <w:pStyle w:val="7"/>
              <w:rPr>
                <w:vertAlign w:val="subscript"/>
              </w:rPr>
            </w:pPr>
            <w:r w:rsidRPr="00FD50F6">
              <w:rPr>
                <w:rFonts w:hint="eastAsia"/>
                <w:i/>
              </w:rPr>
              <w:t>n</w:t>
            </w:r>
          </w:p>
        </w:tc>
        <w:tc>
          <w:tcPr>
            <w:tcW w:w="3337" w:type="dxa"/>
            <w:vAlign w:val="center"/>
          </w:tcPr>
          <w:p w14:paraId="0C2A0914" w14:textId="77777777" w:rsidR="002B733E" w:rsidRPr="00FD50F6" w:rsidRDefault="002B733E" w:rsidP="002B733E">
            <w:pPr>
              <w:pStyle w:val="7"/>
            </w:pPr>
            <w:r w:rsidRPr="00FD50F6">
              <w:rPr>
                <w:rFonts w:hint="eastAsia"/>
              </w:rPr>
              <w:t>车体计算断面至相邻中心销距离</w:t>
            </w:r>
          </w:p>
        </w:tc>
        <w:tc>
          <w:tcPr>
            <w:tcW w:w="2632" w:type="dxa"/>
            <w:tcBorders>
              <w:right w:val="single" w:sz="4" w:space="0" w:color="auto"/>
            </w:tcBorders>
            <w:vAlign w:val="center"/>
          </w:tcPr>
          <w:p w14:paraId="43AAEEE6" w14:textId="77777777" w:rsidR="002B733E" w:rsidRPr="00FD50F6" w:rsidRDefault="002B733E" w:rsidP="002B733E">
            <w:pPr>
              <w:pStyle w:val="7"/>
            </w:pPr>
            <w:r w:rsidRPr="00FD50F6">
              <w:rPr>
                <w:rFonts w:hint="eastAsia"/>
              </w:rPr>
              <w:t>最大</w:t>
            </w:r>
            <w:r w:rsidRPr="00FD50F6">
              <w:rPr>
                <w:rFonts w:hint="eastAsia"/>
              </w:rPr>
              <w:t>3.2m</w:t>
            </w:r>
            <w:r w:rsidRPr="00FD50F6">
              <w:rPr>
                <w:rFonts w:hint="eastAsia"/>
              </w:rPr>
              <w:t>，计算断面在销内取</w:t>
            </w:r>
            <w:r w:rsidRPr="00FD50F6">
              <w:rPr>
                <w:rFonts w:hint="eastAsia"/>
              </w:rPr>
              <w:t>0</w:t>
            </w:r>
            <w:r w:rsidRPr="00FD50F6">
              <w:rPr>
                <w:rFonts w:hint="eastAsia"/>
              </w:rPr>
              <w:t>，车门计算：</w:t>
            </w:r>
            <w:r w:rsidRPr="00FD50F6">
              <w:rPr>
                <w:rFonts w:hint="eastAsia"/>
              </w:rPr>
              <w:t>A</w:t>
            </w:r>
            <w:r w:rsidRPr="00FD50F6">
              <w:rPr>
                <w:rFonts w:hint="eastAsia"/>
              </w:rPr>
              <w:t>型车取</w:t>
            </w:r>
            <w:r w:rsidRPr="00FD50F6">
              <w:rPr>
                <w:rFonts w:hint="eastAsia"/>
              </w:rPr>
              <w:t>1.97m+0.65</w:t>
            </w:r>
            <w:r w:rsidRPr="00FD50F6">
              <w:rPr>
                <w:rFonts w:hint="eastAsia"/>
              </w:rPr>
              <w:t>半个车门；</w:t>
            </w:r>
            <w:r w:rsidRPr="00FD50F6">
              <w:rPr>
                <w:rFonts w:hint="eastAsia"/>
              </w:rPr>
              <w:t>B</w:t>
            </w:r>
            <w:r w:rsidRPr="00FD50F6">
              <w:rPr>
                <w:rFonts w:hint="eastAsia"/>
              </w:rPr>
              <w:t>型车取</w:t>
            </w:r>
            <w:r w:rsidRPr="00FD50F6">
              <w:rPr>
                <w:rFonts w:hint="eastAsia"/>
              </w:rPr>
              <w:t>1.24m+0.65</w:t>
            </w:r>
            <w:r w:rsidRPr="00FD50F6">
              <w:rPr>
                <w:rFonts w:hint="eastAsia"/>
              </w:rPr>
              <w:t>半个车门</w:t>
            </w:r>
          </w:p>
        </w:tc>
        <w:tc>
          <w:tcPr>
            <w:tcW w:w="693" w:type="dxa"/>
            <w:tcBorders>
              <w:left w:val="single" w:sz="4" w:space="0" w:color="auto"/>
              <w:right w:val="single" w:sz="12" w:space="0" w:color="auto"/>
            </w:tcBorders>
            <w:vAlign w:val="center"/>
          </w:tcPr>
          <w:p w14:paraId="0F9BD4F6" w14:textId="77777777" w:rsidR="002B733E" w:rsidRPr="00FD50F6" w:rsidRDefault="002B733E" w:rsidP="002B733E">
            <w:pPr>
              <w:pStyle w:val="7"/>
            </w:pPr>
            <w:r w:rsidRPr="00FD50F6">
              <w:rPr>
                <w:rFonts w:hint="eastAsia"/>
              </w:rPr>
              <w:t>—</w:t>
            </w:r>
          </w:p>
        </w:tc>
      </w:tr>
      <w:tr w:rsidR="00FD50F6" w:rsidRPr="00FD50F6" w14:paraId="25D4F6C6" w14:textId="77777777" w:rsidTr="002B733E">
        <w:trPr>
          <w:cantSplit/>
          <w:jc w:val="center"/>
        </w:trPr>
        <w:tc>
          <w:tcPr>
            <w:tcW w:w="709" w:type="dxa"/>
            <w:tcBorders>
              <w:left w:val="single" w:sz="12" w:space="0" w:color="auto"/>
            </w:tcBorders>
            <w:vAlign w:val="center"/>
          </w:tcPr>
          <w:p w14:paraId="4E7D8A62" w14:textId="77777777" w:rsidR="002B733E" w:rsidRPr="00FD50F6" w:rsidRDefault="002B733E" w:rsidP="002B733E">
            <w:pPr>
              <w:pStyle w:val="7"/>
            </w:pPr>
            <w:r w:rsidRPr="00FD50F6">
              <w:rPr>
                <w:rFonts w:hint="eastAsia"/>
              </w:rPr>
              <w:t>30</w:t>
            </w:r>
          </w:p>
        </w:tc>
        <w:tc>
          <w:tcPr>
            <w:tcW w:w="851" w:type="dxa"/>
            <w:vAlign w:val="center"/>
          </w:tcPr>
          <w:p w14:paraId="4132BD46" w14:textId="77777777" w:rsidR="002B733E" w:rsidRPr="00FD50F6" w:rsidRDefault="002B733E" w:rsidP="002B733E">
            <w:pPr>
              <w:pStyle w:val="7"/>
              <w:rPr>
                <w:i/>
              </w:rPr>
            </w:pPr>
            <w:r w:rsidRPr="00FD50F6">
              <w:rPr>
                <w:rFonts w:hint="eastAsia"/>
                <w:i/>
              </w:rPr>
              <w:t>n</w:t>
            </w:r>
            <w:r w:rsidRPr="00FD50F6">
              <w:rPr>
                <w:rFonts w:hint="eastAsia"/>
                <w:vertAlign w:val="subscript"/>
              </w:rPr>
              <w:t>p</w:t>
            </w:r>
          </w:p>
        </w:tc>
        <w:tc>
          <w:tcPr>
            <w:tcW w:w="3337" w:type="dxa"/>
            <w:vAlign w:val="center"/>
          </w:tcPr>
          <w:p w14:paraId="529400F1" w14:textId="77777777" w:rsidR="002B733E" w:rsidRPr="00FD50F6" w:rsidRDefault="002B733E" w:rsidP="002B733E">
            <w:pPr>
              <w:pStyle w:val="7"/>
            </w:pPr>
            <w:r w:rsidRPr="00FD50F6">
              <w:rPr>
                <w:rFonts w:hint="eastAsia"/>
              </w:rPr>
              <w:t>车辆一侧一系弹簧并列数</w:t>
            </w:r>
          </w:p>
        </w:tc>
        <w:tc>
          <w:tcPr>
            <w:tcW w:w="2632" w:type="dxa"/>
            <w:tcBorders>
              <w:right w:val="single" w:sz="4" w:space="0" w:color="auto"/>
            </w:tcBorders>
            <w:vAlign w:val="center"/>
          </w:tcPr>
          <w:p w14:paraId="12F50794" w14:textId="77777777" w:rsidR="002B733E" w:rsidRPr="00FD50F6" w:rsidRDefault="002B733E" w:rsidP="002B733E">
            <w:pPr>
              <w:pStyle w:val="7"/>
            </w:pPr>
            <w:r w:rsidRPr="00FD50F6">
              <w:rPr>
                <w:rFonts w:hint="eastAsia"/>
              </w:rPr>
              <w:t>4</w:t>
            </w:r>
          </w:p>
        </w:tc>
        <w:tc>
          <w:tcPr>
            <w:tcW w:w="693" w:type="dxa"/>
            <w:tcBorders>
              <w:left w:val="single" w:sz="4" w:space="0" w:color="auto"/>
              <w:right w:val="single" w:sz="12" w:space="0" w:color="auto"/>
            </w:tcBorders>
            <w:vAlign w:val="center"/>
          </w:tcPr>
          <w:p w14:paraId="5D306D10" w14:textId="77777777" w:rsidR="002B733E" w:rsidRPr="00FD50F6" w:rsidRDefault="002B733E" w:rsidP="002B733E">
            <w:pPr>
              <w:pStyle w:val="7"/>
            </w:pPr>
            <w:r w:rsidRPr="00FD50F6">
              <w:rPr>
                <w:rFonts w:hint="eastAsia"/>
              </w:rPr>
              <w:t>—</w:t>
            </w:r>
          </w:p>
        </w:tc>
      </w:tr>
      <w:tr w:rsidR="00FD50F6" w:rsidRPr="00FD50F6" w14:paraId="3A4EAE97" w14:textId="77777777" w:rsidTr="002B733E">
        <w:trPr>
          <w:cantSplit/>
          <w:jc w:val="center"/>
        </w:trPr>
        <w:tc>
          <w:tcPr>
            <w:tcW w:w="709" w:type="dxa"/>
            <w:tcBorders>
              <w:left w:val="single" w:sz="12" w:space="0" w:color="auto"/>
            </w:tcBorders>
            <w:vAlign w:val="center"/>
          </w:tcPr>
          <w:p w14:paraId="760BDC59" w14:textId="77777777" w:rsidR="002B733E" w:rsidRPr="00FD50F6" w:rsidRDefault="002B733E" w:rsidP="002B733E">
            <w:pPr>
              <w:pStyle w:val="7"/>
            </w:pPr>
            <w:r w:rsidRPr="00FD50F6">
              <w:rPr>
                <w:rFonts w:hint="eastAsia"/>
              </w:rPr>
              <w:t>31</w:t>
            </w:r>
          </w:p>
        </w:tc>
        <w:tc>
          <w:tcPr>
            <w:tcW w:w="851" w:type="dxa"/>
            <w:vAlign w:val="center"/>
          </w:tcPr>
          <w:p w14:paraId="40113B0B" w14:textId="77777777" w:rsidR="002B733E" w:rsidRPr="00FD50F6" w:rsidRDefault="002B733E" w:rsidP="002B733E">
            <w:pPr>
              <w:pStyle w:val="7"/>
            </w:pPr>
            <w:r w:rsidRPr="00FD50F6">
              <w:rPr>
                <w:rFonts w:hint="eastAsia"/>
                <w:i/>
              </w:rPr>
              <w:t>n</w:t>
            </w:r>
            <w:r w:rsidRPr="00FD50F6">
              <w:rPr>
                <w:rFonts w:hint="eastAsia"/>
                <w:vertAlign w:val="subscript"/>
              </w:rPr>
              <w:t>s</w:t>
            </w:r>
          </w:p>
        </w:tc>
        <w:tc>
          <w:tcPr>
            <w:tcW w:w="3337" w:type="dxa"/>
            <w:vAlign w:val="center"/>
          </w:tcPr>
          <w:p w14:paraId="7012E072" w14:textId="77777777" w:rsidR="002B733E" w:rsidRPr="00FD50F6" w:rsidRDefault="002B733E" w:rsidP="002B733E">
            <w:pPr>
              <w:pStyle w:val="7"/>
            </w:pPr>
            <w:r w:rsidRPr="00FD50F6">
              <w:rPr>
                <w:rFonts w:hint="eastAsia"/>
              </w:rPr>
              <w:t>车辆一侧二系弹簧并列数</w:t>
            </w:r>
          </w:p>
        </w:tc>
        <w:tc>
          <w:tcPr>
            <w:tcW w:w="2632" w:type="dxa"/>
            <w:tcBorders>
              <w:right w:val="single" w:sz="4" w:space="0" w:color="auto"/>
            </w:tcBorders>
            <w:vAlign w:val="center"/>
          </w:tcPr>
          <w:p w14:paraId="1F39723F" w14:textId="77777777" w:rsidR="002B733E" w:rsidRPr="00FD50F6" w:rsidRDefault="002B733E" w:rsidP="002B733E">
            <w:pPr>
              <w:pStyle w:val="7"/>
            </w:pPr>
            <w:r w:rsidRPr="00FD50F6">
              <w:rPr>
                <w:rFonts w:hint="eastAsia"/>
              </w:rPr>
              <w:t>2</w:t>
            </w:r>
          </w:p>
        </w:tc>
        <w:tc>
          <w:tcPr>
            <w:tcW w:w="693" w:type="dxa"/>
            <w:tcBorders>
              <w:left w:val="single" w:sz="4" w:space="0" w:color="auto"/>
              <w:right w:val="single" w:sz="12" w:space="0" w:color="auto"/>
            </w:tcBorders>
            <w:vAlign w:val="center"/>
          </w:tcPr>
          <w:p w14:paraId="79E0A609" w14:textId="77777777" w:rsidR="002B733E" w:rsidRPr="00FD50F6" w:rsidRDefault="002B733E" w:rsidP="002B733E">
            <w:pPr>
              <w:pStyle w:val="7"/>
            </w:pPr>
            <w:r w:rsidRPr="00FD50F6">
              <w:rPr>
                <w:rFonts w:hint="eastAsia"/>
              </w:rPr>
              <w:t>—</w:t>
            </w:r>
          </w:p>
        </w:tc>
      </w:tr>
      <w:tr w:rsidR="00FD50F6" w:rsidRPr="00FD50F6" w14:paraId="671AEC59" w14:textId="77777777" w:rsidTr="002B733E">
        <w:trPr>
          <w:cantSplit/>
          <w:jc w:val="center"/>
        </w:trPr>
        <w:tc>
          <w:tcPr>
            <w:tcW w:w="709" w:type="dxa"/>
            <w:tcBorders>
              <w:left w:val="single" w:sz="12" w:space="0" w:color="auto"/>
            </w:tcBorders>
            <w:vAlign w:val="center"/>
          </w:tcPr>
          <w:p w14:paraId="778CB27D" w14:textId="77777777" w:rsidR="002B733E" w:rsidRPr="00FD50F6" w:rsidRDefault="002B733E" w:rsidP="002B733E">
            <w:pPr>
              <w:pStyle w:val="7"/>
            </w:pPr>
            <w:r w:rsidRPr="00FD50F6">
              <w:rPr>
                <w:rFonts w:hint="eastAsia"/>
              </w:rPr>
              <w:t>32</w:t>
            </w:r>
          </w:p>
        </w:tc>
        <w:tc>
          <w:tcPr>
            <w:tcW w:w="851" w:type="dxa"/>
            <w:vAlign w:val="center"/>
          </w:tcPr>
          <w:p w14:paraId="6BA86B3B" w14:textId="77777777" w:rsidR="002B733E" w:rsidRPr="00FD50F6" w:rsidRDefault="002B733E" w:rsidP="002B733E">
            <w:pPr>
              <w:pStyle w:val="7"/>
            </w:pPr>
            <w:r w:rsidRPr="00FD50F6">
              <w:rPr>
                <w:rFonts w:hint="eastAsia"/>
                <w:i/>
              </w:rPr>
              <w:t>p</w:t>
            </w:r>
          </w:p>
        </w:tc>
        <w:tc>
          <w:tcPr>
            <w:tcW w:w="3337" w:type="dxa"/>
            <w:vAlign w:val="center"/>
          </w:tcPr>
          <w:p w14:paraId="3726A029" w14:textId="77777777" w:rsidR="002B733E" w:rsidRPr="00FD50F6" w:rsidRDefault="002B733E" w:rsidP="002B733E">
            <w:pPr>
              <w:pStyle w:val="7"/>
            </w:pPr>
            <w:r w:rsidRPr="00FD50F6">
              <w:rPr>
                <w:rFonts w:hint="eastAsia"/>
              </w:rPr>
              <w:t>转向架固定轴距</w:t>
            </w:r>
          </w:p>
        </w:tc>
        <w:tc>
          <w:tcPr>
            <w:tcW w:w="2632" w:type="dxa"/>
            <w:tcBorders>
              <w:right w:val="single" w:sz="4" w:space="0" w:color="auto"/>
            </w:tcBorders>
            <w:vAlign w:val="center"/>
          </w:tcPr>
          <w:p w14:paraId="5FDB03C2"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2500mm</w:t>
            </w:r>
          </w:p>
          <w:p w14:paraId="702C1286"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2200mm/2300mm</w:t>
            </w:r>
          </w:p>
        </w:tc>
        <w:tc>
          <w:tcPr>
            <w:tcW w:w="693" w:type="dxa"/>
            <w:tcBorders>
              <w:left w:val="single" w:sz="4" w:space="0" w:color="auto"/>
              <w:right w:val="single" w:sz="12" w:space="0" w:color="auto"/>
            </w:tcBorders>
            <w:vAlign w:val="center"/>
          </w:tcPr>
          <w:p w14:paraId="65CF91D8" w14:textId="77777777" w:rsidR="002B733E" w:rsidRPr="00FD50F6" w:rsidRDefault="002B733E" w:rsidP="002B733E">
            <w:pPr>
              <w:pStyle w:val="7"/>
            </w:pPr>
            <w:r w:rsidRPr="00FD50F6">
              <w:rPr>
                <w:rFonts w:hint="eastAsia"/>
              </w:rPr>
              <w:t>—</w:t>
            </w:r>
          </w:p>
        </w:tc>
      </w:tr>
      <w:tr w:rsidR="00FD50F6" w:rsidRPr="00FD50F6" w14:paraId="5F6D2B7A" w14:textId="77777777" w:rsidTr="002B733E">
        <w:trPr>
          <w:cantSplit/>
          <w:jc w:val="center"/>
        </w:trPr>
        <w:tc>
          <w:tcPr>
            <w:tcW w:w="709" w:type="dxa"/>
            <w:tcBorders>
              <w:left w:val="single" w:sz="12" w:space="0" w:color="auto"/>
            </w:tcBorders>
            <w:vAlign w:val="center"/>
          </w:tcPr>
          <w:p w14:paraId="0EEA0D38" w14:textId="77777777" w:rsidR="002B733E" w:rsidRPr="00FD50F6" w:rsidRDefault="002B733E" w:rsidP="002B733E">
            <w:pPr>
              <w:pStyle w:val="7"/>
            </w:pPr>
            <w:r w:rsidRPr="00FD50F6">
              <w:rPr>
                <w:rFonts w:hint="eastAsia"/>
              </w:rPr>
              <w:t>33</w:t>
            </w:r>
          </w:p>
        </w:tc>
        <w:tc>
          <w:tcPr>
            <w:tcW w:w="851" w:type="dxa"/>
            <w:vAlign w:val="center"/>
          </w:tcPr>
          <w:p w14:paraId="4409CCA0" w14:textId="77777777" w:rsidR="002B733E" w:rsidRPr="00FD50F6" w:rsidRDefault="002B733E" w:rsidP="002B733E">
            <w:pPr>
              <w:pStyle w:val="7"/>
              <w:rPr>
                <w:i/>
              </w:rPr>
            </w:pPr>
            <w:r w:rsidRPr="00FD50F6">
              <w:rPr>
                <w:rFonts w:hint="eastAsia"/>
                <w:i/>
              </w:rPr>
              <w:t>P</w:t>
            </w:r>
            <w:r w:rsidRPr="00FD50F6">
              <w:rPr>
                <w:rFonts w:hint="eastAsia"/>
                <w:vertAlign w:val="subscript"/>
              </w:rPr>
              <w:t>w</w:t>
            </w:r>
          </w:p>
        </w:tc>
        <w:tc>
          <w:tcPr>
            <w:tcW w:w="3337" w:type="dxa"/>
            <w:vAlign w:val="center"/>
          </w:tcPr>
          <w:p w14:paraId="46FBE134" w14:textId="77777777" w:rsidR="002B733E" w:rsidRPr="00FD50F6" w:rsidRDefault="002B733E" w:rsidP="002B733E">
            <w:pPr>
              <w:pStyle w:val="7"/>
            </w:pPr>
            <w:r w:rsidRPr="00FD50F6">
              <w:rPr>
                <w:rFonts w:hint="eastAsia"/>
              </w:rPr>
              <w:t>风压</w:t>
            </w:r>
          </w:p>
        </w:tc>
        <w:tc>
          <w:tcPr>
            <w:tcW w:w="2632" w:type="dxa"/>
            <w:tcBorders>
              <w:right w:val="single" w:sz="4" w:space="0" w:color="auto"/>
            </w:tcBorders>
            <w:vAlign w:val="center"/>
          </w:tcPr>
          <w:p w14:paraId="47FB61E1" w14:textId="77777777" w:rsidR="002B733E" w:rsidRPr="00FD50F6" w:rsidRDefault="002B733E" w:rsidP="002B733E">
            <w:pPr>
              <w:pStyle w:val="7"/>
            </w:pPr>
            <w:r w:rsidRPr="00FD50F6">
              <w:rPr>
                <w:rFonts w:hint="eastAsia"/>
              </w:rPr>
              <w:t>高架区间取</w:t>
            </w:r>
            <w:r w:rsidRPr="00FD50F6">
              <w:rPr>
                <w:rFonts w:hint="eastAsia"/>
              </w:rPr>
              <w:t>400N/m</w:t>
            </w:r>
            <w:r w:rsidRPr="00FD50F6">
              <w:rPr>
                <w:rFonts w:hint="eastAsia"/>
                <w:vertAlign w:val="superscript"/>
              </w:rPr>
              <w:t>2</w:t>
            </w:r>
            <w:r w:rsidRPr="00FD50F6">
              <w:rPr>
                <w:rFonts w:hint="eastAsia"/>
              </w:rPr>
              <w:t>，地下区间按各项目具体情况计算确定</w:t>
            </w:r>
          </w:p>
        </w:tc>
        <w:tc>
          <w:tcPr>
            <w:tcW w:w="693" w:type="dxa"/>
            <w:tcBorders>
              <w:left w:val="single" w:sz="4" w:space="0" w:color="auto"/>
              <w:right w:val="single" w:sz="12" w:space="0" w:color="auto"/>
            </w:tcBorders>
            <w:vAlign w:val="center"/>
          </w:tcPr>
          <w:p w14:paraId="11E6D45A" w14:textId="77777777" w:rsidR="002B733E" w:rsidRPr="00FD50F6" w:rsidRDefault="002B733E" w:rsidP="002B733E">
            <w:pPr>
              <w:pStyle w:val="7"/>
            </w:pPr>
            <w:r w:rsidRPr="00FD50F6">
              <w:rPr>
                <w:rFonts w:hint="eastAsia"/>
              </w:rPr>
              <w:t>—</w:t>
            </w:r>
          </w:p>
        </w:tc>
      </w:tr>
      <w:tr w:rsidR="00FD50F6" w:rsidRPr="00FD50F6" w14:paraId="20A21ED5" w14:textId="77777777" w:rsidTr="002B733E">
        <w:trPr>
          <w:cantSplit/>
          <w:jc w:val="center"/>
        </w:trPr>
        <w:tc>
          <w:tcPr>
            <w:tcW w:w="709" w:type="dxa"/>
            <w:tcBorders>
              <w:left w:val="single" w:sz="12" w:space="0" w:color="auto"/>
            </w:tcBorders>
            <w:vAlign w:val="center"/>
          </w:tcPr>
          <w:p w14:paraId="7A29DCA8" w14:textId="77777777" w:rsidR="002B733E" w:rsidRPr="00FD50F6" w:rsidRDefault="002B733E" w:rsidP="002B733E">
            <w:pPr>
              <w:pStyle w:val="7"/>
            </w:pPr>
            <w:r w:rsidRPr="00FD50F6">
              <w:rPr>
                <w:rFonts w:hint="eastAsia"/>
              </w:rPr>
              <w:t>34</w:t>
            </w:r>
          </w:p>
        </w:tc>
        <w:tc>
          <w:tcPr>
            <w:tcW w:w="851" w:type="dxa"/>
            <w:vAlign w:val="center"/>
          </w:tcPr>
          <w:p w14:paraId="3303041B" w14:textId="77777777" w:rsidR="002B733E" w:rsidRPr="00FD50F6" w:rsidRDefault="002B733E" w:rsidP="002B733E">
            <w:pPr>
              <w:pStyle w:val="7"/>
              <w:rPr>
                <w:vertAlign w:val="subscript"/>
              </w:rPr>
            </w:pPr>
            <w:r w:rsidRPr="00FD50F6">
              <w:rPr>
                <w:rFonts w:hint="eastAsia"/>
                <w:i/>
              </w:rPr>
              <w:t>R</w:t>
            </w:r>
            <w:r w:rsidRPr="00FD50F6">
              <w:rPr>
                <w:rFonts w:hint="eastAsia"/>
                <w:vertAlign w:val="subscript"/>
              </w:rPr>
              <w:t>v</w:t>
            </w:r>
          </w:p>
        </w:tc>
        <w:tc>
          <w:tcPr>
            <w:tcW w:w="3337" w:type="dxa"/>
            <w:vAlign w:val="center"/>
          </w:tcPr>
          <w:p w14:paraId="15C14904" w14:textId="77777777" w:rsidR="002B733E" w:rsidRPr="00FD50F6" w:rsidRDefault="002B733E" w:rsidP="002B733E">
            <w:pPr>
              <w:pStyle w:val="7"/>
            </w:pPr>
            <w:r w:rsidRPr="00FD50F6">
              <w:rPr>
                <w:rFonts w:hint="eastAsia"/>
              </w:rPr>
              <w:t>正线竖曲线最小半径</w:t>
            </w:r>
          </w:p>
        </w:tc>
        <w:tc>
          <w:tcPr>
            <w:tcW w:w="2632" w:type="dxa"/>
            <w:tcBorders>
              <w:right w:val="single" w:sz="4" w:space="0" w:color="auto"/>
            </w:tcBorders>
            <w:vAlign w:val="center"/>
          </w:tcPr>
          <w:p w14:paraId="331AE3B0" w14:textId="77777777" w:rsidR="002B733E" w:rsidRPr="00FD50F6" w:rsidRDefault="002B733E" w:rsidP="002B733E">
            <w:pPr>
              <w:pStyle w:val="7"/>
              <w:rPr>
                <w:vertAlign w:val="superscript"/>
              </w:rPr>
            </w:pPr>
            <w:r w:rsidRPr="00FD50F6">
              <w:rPr>
                <w:rFonts w:hint="eastAsia"/>
              </w:rPr>
              <w:t>2000m</w:t>
            </w:r>
          </w:p>
        </w:tc>
        <w:tc>
          <w:tcPr>
            <w:tcW w:w="693" w:type="dxa"/>
            <w:tcBorders>
              <w:left w:val="single" w:sz="4" w:space="0" w:color="auto"/>
              <w:right w:val="single" w:sz="12" w:space="0" w:color="auto"/>
            </w:tcBorders>
            <w:vAlign w:val="center"/>
          </w:tcPr>
          <w:p w14:paraId="299DAA7C" w14:textId="77777777" w:rsidR="002B733E" w:rsidRPr="00FD50F6" w:rsidRDefault="002B733E" w:rsidP="002B733E">
            <w:pPr>
              <w:pStyle w:val="7"/>
            </w:pPr>
            <w:r w:rsidRPr="00FD50F6">
              <w:rPr>
                <w:rFonts w:hint="eastAsia"/>
              </w:rPr>
              <w:t>—</w:t>
            </w:r>
          </w:p>
        </w:tc>
      </w:tr>
      <w:tr w:rsidR="00FD50F6" w:rsidRPr="00FD50F6" w14:paraId="0EC85931" w14:textId="77777777" w:rsidTr="002B733E">
        <w:trPr>
          <w:cantSplit/>
          <w:jc w:val="center"/>
        </w:trPr>
        <w:tc>
          <w:tcPr>
            <w:tcW w:w="709" w:type="dxa"/>
            <w:tcBorders>
              <w:left w:val="single" w:sz="12" w:space="0" w:color="auto"/>
            </w:tcBorders>
            <w:vAlign w:val="center"/>
          </w:tcPr>
          <w:p w14:paraId="0685854F" w14:textId="77777777" w:rsidR="002B733E" w:rsidRPr="00FD50F6" w:rsidRDefault="002B733E" w:rsidP="002B733E">
            <w:pPr>
              <w:pStyle w:val="7"/>
            </w:pPr>
            <w:r w:rsidRPr="00FD50F6">
              <w:rPr>
                <w:rFonts w:hint="eastAsia"/>
              </w:rPr>
              <w:t>35</w:t>
            </w:r>
          </w:p>
        </w:tc>
        <w:tc>
          <w:tcPr>
            <w:tcW w:w="851" w:type="dxa"/>
            <w:vAlign w:val="center"/>
          </w:tcPr>
          <w:p w14:paraId="4B57D674" w14:textId="77777777" w:rsidR="002B733E" w:rsidRPr="00FD50F6" w:rsidRDefault="002B733E" w:rsidP="002B733E">
            <w:pPr>
              <w:pStyle w:val="7"/>
              <w:rPr>
                <w:vertAlign w:val="subscript"/>
              </w:rPr>
            </w:pPr>
            <w:r w:rsidRPr="00FD50F6">
              <w:rPr>
                <w:rFonts w:hint="eastAsia"/>
                <w:i/>
              </w:rPr>
              <w:t>v</w:t>
            </w:r>
          </w:p>
        </w:tc>
        <w:tc>
          <w:tcPr>
            <w:tcW w:w="3337" w:type="dxa"/>
            <w:vAlign w:val="center"/>
          </w:tcPr>
          <w:p w14:paraId="03CB072C" w14:textId="77777777" w:rsidR="002B733E" w:rsidRPr="00FD50F6" w:rsidRDefault="002B733E" w:rsidP="002B733E">
            <w:pPr>
              <w:pStyle w:val="7"/>
            </w:pPr>
            <w:r w:rsidRPr="00FD50F6">
              <w:rPr>
                <w:rFonts w:hint="eastAsia"/>
              </w:rPr>
              <w:t>列车运行速度</w:t>
            </w:r>
          </w:p>
        </w:tc>
        <w:tc>
          <w:tcPr>
            <w:tcW w:w="2632" w:type="dxa"/>
            <w:tcBorders>
              <w:right w:val="single" w:sz="4" w:space="0" w:color="auto"/>
            </w:tcBorders>
            <w:vAlign w:val="center"/>
          </w:tcPr>
          <w:p w14:paraId="1EDECD19" w14:textId="77777777" w:rsidR="002B733E" w:rsidRPr="00FD50F6" w:rsidRDefault="002B733E" w:rsidP="002B733E">
            <w:pPr>
              <w:pStyle w:val="7"/>
            </w:pPr>
            <w:r w:rsidRPr="00FD50F6">
              <w:rPr>
                <w:rFonts w:hint="eastAsia"/>
              </w:rPr>
              <w:t>—</w:t>
            </w:r>
          </w:p>
        </w:tc>
        <w:tc>
          <w:tcPr>
            <w:tcW w:w="693" w:type="dxa"/>
            <w:tcBorders>
              <w:left w:val="single" w:sz="4" w:space="0" w:color="auto"/>
              <w:right w:val="single" w:sz="12" w:space="0" w:color="auto"/>
            </w:tcBorders>
            <w:vAlign w:val="center"/>
          </w:tcPr>
          <w:p w14:paraId="646EEEB4" w14:textId="77777777" w:rsidR="002B733E" w:rsidRPr="00FD50F6" w:rsidRDefault="002B733E" w:rsidP="002B733E">
            <w:pPr>
              <w:pStyle w:val="7"/>
            </w:pPr>
            <w:r w:rsidRPr="00FD50F6">
              <w:rPr>
                <w:rFonts w:hint="eastAsia"/>
              </w:rPr>
              <w:t>—</w:t>
            </w:r>
          </w:p>
        </w:tc>
      </w:tr>
      <w:tr w:rsidR="00FD50F6" w:rsidRPr="00FD50F6" w14:paraId="50CCFFE8" w14:textId="77777777" w:rsidTr="002B733E">
        <w:trPr>
          <w:cantSplit/>
          <w:jc w:val="center"/>
        </w:trPr>
        <w:tc>
          <w:tcPr>
            <w:tcW w:w="709" w:type="dxa"/>
            <w:tcBorders>
              <w:left w:val="single" w:sz="12" w:space="0" w:color="auto"/>
            </w:tcBorders>
            <w:vAlign w:val="center"/>
          </w:tcPr>
          <w:p w14:paraId="3712728F" w14:textId="77777777" w:rsidR="002B733E" w:rsidRPr="00FD50F6" w:rsidRDefault="002B733E" w:rsidP="002B733E">
            <w:pPr>
              <w:pStyle w:val="7"/>
            </w:pPr>
            <w:r w:rsidRPr="00FD50F6">
              <w:rPr>
                <w:rFonts w:hint="eastAsia"/>
              </w:rPr>
              <w:lastRenderedPageBreak/>
              <w:t>36</w:t>
            </w:r>
          </w:p>
        </w:tc>
        <w:tc>
          <w:tcPr>
            <w:tcW w:w="851" w:type="dxa"/>
            <w:vAlign w:val="center"/>
          </w:tcPr>
          <w:p w14:paraId="59C1B5E8" w14:textId="77777777" w:rsidR="002B733E" w:rsidRPr="00FD50F6" w:rsidRDefault="002B733E" w:rsidP="002B733E">
            <w:pPr>
              <w:pStyle w:val="7"/>
              <w:rPr>
                <w:i/>
              </w:rPr>
            </w:pPr>
            <w:r w:rsidRPr="00FD50F6">
              <w:rPr>
                <w:rFonts w:hint="eastAsia"/>
                <w:i/>
              </w:rPr>
              <w:sym w:font="Symbol" w:char="F061"/>
            </w:r>
          </w:p>
        </w:tc>
        <w:tc>
          <w:tcPr>
            <w:tcW w:w="3337" w:type="dxa"/>
            <w:vAlign w:val="center"/>
          </w:tcPr>
          <w:p w14:paraId="776C7CF0" w14:textId="77777777" w:rsidR="002B733E" w:rsidRPr="00FD50F6" w:rsidRDefault="002B733E" w:rsidP="002B733E">
            <w:pPr>
              <w:pStyle w:val="7"/>
            </w:pPr>
            <w:r w:rsidRPr="00FD50F6">
              <w:rPr>
                <w:rFonts w:hint="eastAsia"/>
              </w:rPr>
              <w:t>轨道超高角</w:t>
            </w:r>
            <w:r w:rsidRPr="00FD50F6">
              <w:rPr>
                <w:rFonts w:hint="eastAsia"/>
              </w:rPr>
              <w:t xml:space="preserve">  </w:t>
            </w:r>
            <w:r w:rsidRPr="00FD50F6">
              <w:rPr>
                <w:rFonts w:hint="eastAsia"/>
                <w:i/>
              </w:rPr>
              <w:sym w:font="Symbol" w:char="F061"/>
            </w:r>
            <w:r w:rsidRPr="00FD50F6">
              <w:rPr>
                <w:rFonts w:hint="eastAsia"/>
              </w:rPr>
              <w:t>=sin</w:t>
            </w:r>
            <w:r w:rsidRPr="00FD50F6">
              <w:rPr>
                <w:rFonts w:hint="eastAsia"/>
                <w:vertAlign w:val="superscript"/>
              </w:rPr>
              <w:t>-1</w:t>
            </w:r>
            <w:r w:rsidRPr="00FD50F6">
              <w:rPr>
                <w:rFonts w:hint="eastAsia"/>
              </w:rPr>
              <w:t>(</w:t>
            </w:r>
            <w:r w:rsidRPr="00FD50F6">
              <w:rPr>
                <w:rFonts w:hint="eastAsia"/>
                <w:i/>
              </w:rPr>
              <w:t>h</w:t>
            </w:r>
            <w:r w:rsidRPr="00FD50F6">
              <w:rPr>
                <w:rFonts w:hint="eastAsia"/>
                <w:vertAlign w:val="subscript"/>
              </w:rPr>
              <w:t>ac</w:t>
            </w:r>
            <w:r w:rsidRPr="00FD50F6">
              <w:rPr>
                <w:rFonts w:hint="eastAsia"/>
              </w:rPr>
              <w:t>/1500)</w:t>
            </w:r>
          </w:p>
        </w:tc>
        <w:tc>
          <w:tcPr>
            <w:tcW w:w="2632" w:type="dxa"/>
            <w:tcBorders>
              <w:right w:val="single" w:sz="4" w:space="0" w:color="auto"/>
            </w:tcBorders>
            <w:vAlign w:val="center"/>
          </w:tcPr>
          <w:p w14:paraId="18020677" w14:textId="77777777" w:rsidR="002B733E" w:rsidRPr="00FD50F6" w:rsidRDefault="002B733E" w:rsidP="002B733E">
            <w:pPr>
              <w:pStyle w:val="7"/>
            </w:pPr>
            <w:r w:rsidRPr="00FD50F6">
              <w:rPr>
                <w:rFonts w:hint="eastAsia"/>
              </w:rPr>
              <w:t>—</w:t>
            </w:r>
          </w:p>
        </w:tc>
        <w:tc>
          <w:tcPr>
            <w:tcW w:w="693" w:type="dxa"/>
            <w:tcBorders>
              <w:left w:val="single" w:sz="4" w:space="0" w:color="auto"/>
              <w:right w:val="single" w:sz="12" w:space="0" w:color="auto"/>
            </w:tcBorders>
            <w:vAlign w:val="center"/>
          </w:tcPr>
          <w:p w14:paraId="20BEBFB3" w14:textId="77777777" w:rsidR="002B733E" w:rsidRPr="00FD50F6" w:rsidRDefault="002B733E" w:rsidP="002B733E">
            <w:pPr>
              <w:pStyle w:val="7"/>
            </w:pPr>
            <w:r w:rsidRPr="00FD50F6">
              <w:rPr>
                <w:rFonts w:hint="eastAsia"/>
              </w:rPr>
              <w:t>—</w:t>
            </w:r>
          </w:p>
        </w:tc>
      </w:tr>
      <w:tr w:rsidR="00FD50F6" w:rsidRPr="00FD50F6" w14:paraId="3386D311" w14:textId="77777777" w:rsidTr="002B733E">
        <w:trPr>
          <w:cantSplit/>
          <w:jc w:val="center"/>
        </w:trPr>
        <w:tc>
          <w:tcPr>
            <w:tcW w:w="709" w:type="dxa"/>
            <w:tcBorders>
              <w:left w:val="single" w:sz="12" w:space="0" w:color="auto"/>
            </w:tcBorders>
            <w:vAlign w:val="center"/>
          </w:tcPr>
          <w:p w14:paraId="638244DD" w14:textId="77777777" w:rsidR="002B733E" w:rsidRPr="00FD50F6" w:rsidRDefault="002B733E" w:rsidP="002B733E">
            <w:pPr>
              <w:pStyle w:val="7"/>
            </w:pPr>
            <w:r w:rsidRPr="00FD50F6">
              <w:rPr>
                <w:rFonts w:hint="eastAsia"/>
              </w:rPr>
              <w:t>37</w:t>
            </w:r>
          </w:p>
        </w:tc>
        <w:tc>
          <w:tcPr>
            <w:tcW w:w="851" w:type="dxa"/>
            <w:vAlign w:val="center"/>
          </w:tcPr>
          <w:p w14:paraId="1798CD78" w14:textId="77777777" w:rsidR="002B733E" w:rsidRPr="00FD50F6" w:rsidRDefault="002B733E" w:rsidP="002B733E">
            <w:pPr>
              <w:pStyle w:val="7"/>
              <w:rPr>
                <w:i/>
              </w:rPr>
            </w:pPr>
            <w:r w:rsidRPr="00FD50F6">
              <w:rPr>
                <w:rFonts w:hint="eastAsia"/>
                <w:i/>
              </w:rPr>
              <w:sym w:font="Symbol" w:char="F064"/>
            </w:r>
            <w:r w:rsidRPr="00FD50F6">
              <w:rPr>
                <w:rFonts w:hint="eastAsia"/>
                <w:vertAlign w:val="subscript"/>
              </w:rPr>
              <w:t>c</w:t>
            </w:r>
          </w:p>
        </w:tc>
        <w:tc>
          <w:tcPr>
            <w:tcW w:w="3337" w:type="dxa"/>
            <w:vAlign w:val="center"/>
          </w:tcPr>
          <w:p w14:paraId="5C0F3FBF" w14:textId="77777777" w:rsidR="002B733E" w:rsidRPr="00FD50F6" w:rsidRDefault="002B733E" w:rsidP="002B733E">
            <w:pPr>
              <w:pStyle w:val="7"/>
            </w:pPr>
            <w:r w:rsidRPr="00FD50F6">
              <w:rPr>
                <w:rFonts w:hint="eastAsia"/>
              </w:rPr>
              <w:t>线路中心线垂向位差值</w:t>
            </w:r>
            <w:r w:rsidRPr="00FD50F6">
              <w:rPr>
                <w:rFonts w:hint="eastAsia"/>
              </w:rPr>
              <w:t>:</w:t>
            </w:r>
          </w:p>
          <w:p w14:paraId="500D6358" w14:textId="77777777" w:rsidR="002B733E" w:rsidRPr="00FD50F6" w:rsidRDefault="002B733E" w:rsidP="002B733E">
            <w:pPr>
              <w:pStyle w:val="7"/>
            </w:pPr>
            <w:r w:rsidRPr="00FD50F6">
              <w:rPr>
                <w:rFonts w:hint="eastAsia"/>
              </w:rPr>
              <w:t>整体道床</w:t>
            </w:r>
          </w:p>
          <w:p w14:paraId="2CA90275" w14:textId="77777777" w:rsidR="002B733E" w:rsidRPr="00FD50F6" w:rsidRDefault="002B733E" w:rsidP="002B733E">
            <w:pPr>
              <w:pStyle w:val="7"/>
            </w:pPr>
            <w:r w:rsidRPr="00FD50F6">
              <w:rPr>
                <w:rFonts w:hint="eastAsia"/>
              </w:rPr>
              <w:t>碎石道床</w:t>
            </w:r>
          </w:p>
        </w:tc>
        <w:tc>
          <w:tcPr>
            <w:tcW w:w="2632" w:type="dxa"/>
            <w:tcBorders>
              <w:right w:val="single" w:sz="4" w:space="0" w:color="auto"/>
            </w:tcBorders>
            <w:vAlign w:val="center"/>
          </w:tcPr>
          <w:p w14:paraId="6AD01406" w14:textId="77777777" w:rsidR="002B733E" w:rsidRPr="00FD50F6" w:rsidRDefault="002B733E" w:rsidP="002B733E">
            <w:pPr>
              <w:pStyle w:val="7"/>
            </w:pPr>
          </w:p>
          <w:p w14:paraId="4B9D1BFF" w14:textId="77777777" w:rsidR="002B733E" w:rsidRPr="00FD50F6" w:rsidRDefault="002B733E" w:rsidP="002B733E">
            <w:pPr>
              <w:pStyle w:val="7"/>
            </w:pPr>
            <w:r w:rsidRPr="00FD50F6">
              <w:rPr>
                <w:rFonts w:hint="eastAsia"/>
              </w:rPr>
              <w:sym w:font="Symbol" w:char="F0B1"/>
            </w:r>
            <w:r w:rsidRPr="00FD50F6">
              <w:rPr>
                <w:rFonts w:hint="eastAsia"/>
              </w:rPr>
              <w:t>5mm</w:t>
            </w:r>
          </w:p>
          <w:p w14:paraId="6547DC2D" w14:textId="77777777" w:rsidR="002B733E" w:rsidRPr="00FD50F6" w:rsidRDefault="002B733E" w:rsidP="002B733E">
            <w:pPr>
              <w:pStyle w:val="7"/>
              <w:rPr>
                <w:vertAlign w:val="superscript"/>
              </w:rPr>
            </w:pPr>
            <w:r w:rsidRPr="00FD50F6">
              <w:rPr>
                <w:rFonts w:hint="eastAsia"/>
              </w:rPr>
              <w:sym w:font="Symbol" w:char="F0B1"/>
            </w:r>
            <w:r w:rsidRPr="00FD50F6">
              <w:rPr>
                <w:rFonts w:hint="eastAsia"/>
              </w:rPr>
              <w:t>10mm</w:t>
            </w:r>
          </w:p>
        </w:tc>
        <w:tc>
          <w:tcPr>
            <w:tcW w:w="693" w:type="dxa"/>
            <w:tcBorders>
              <w:left w:val="single" w:sz="4" w:space="0" w:color="auto"/>
              <w:right w:val="single" w:sz="12" w:space="0" w:color="auto"/>
            </w:tcBorders>
            <w:vAlign w:val="center"/>
          </w:tcPr>
          <w:p w14:paraId="10D6A2B0" w14:textId="77777777" w:rsidR="002B733E" w:rsidRPr="00FD50F6" w:rsidRDefault="002B733E" w:rsidP="002B733E">
            <w:pPr>
              <w:pStyle w:val="7"/>
            </w:pPr>
          </w:p>
          <w:p w14:paraId="152BE27A" w14:textId="77777777" w:rsidR="002B733E" w:rsidRPr="00FD50F6" w:rsidRDefault="002B733E" w:rsidP="002B733E">
            <w:pPr>
              <w:pStyle w:val="7"/>
            </w:pPr>
            <w:r w:rsidRPr="00FD50F6">
              <w:rPr>
                <w:rFonts w:hint="eastAsia"/>
              </w:rPr>
              <w:t>Z</w:t>
            </w:r>
          </w:p>
          <w:p w14:paraId="4F9C2010" w14:textId="77777777" w:rsidR="002B733E" w:rsidRPr="00FD50F6" w:rsidRDefault="002B733E" w:rsidP="002B733E">
            <w:pPr>
              <w:pStyle w:val="7"/>
            </w:pPr>
            <w:r w:rsidRPr="00FD50F6">
              <w:rPr>
                <w:rFonts w:hint="eastAsia"/>
              </w:rPr>
              <w:t>Z</w:t>
            </w:r>
          </w:p>
        </w:tc>
      </w:tr>
      <w:tr w:rsidR="00FD50F6" w:rsidRPr="00FD50F6" w14:paraId="23540219" w14:textId="77777777" w:rsidTr="002B733E">
        <w:trPr>
          <w:cantSplit/>
          <w:jc w:val="center"/>
        </w:trPr>
        <w:tc>
          <w:tcPr>
            <w:tcW w:w="709" w:type="dxa"/>
            <w:tcBorders>
              <w:left w:val="single" w:sz="12" w:space="0" w:color="auto"/>
            </w:tcBorders>
            <w:vAlign w:val="center"/>
          </w:tcPr>
          <w:p w14:paraId="565BF111" w14:textId="77777777" w:rsidR="002B733E" w:rsidRPr="00FD50F6" w:rsidRDefault="002B733E" w:rsidP="002B733E">
            <w:pPr>
              <w:pStyle w:val="7"/>
            </w:pPr>
            <w:r w:rsidRPr="00FD50F6">
              <w:rPr>
                <w:rFonts w:hint="eastAsia"/>
              </w:rPr>
              <w:t>38</w:t>
            </w:r>
          </w:p>
        </w:tc>
        <w:tc>
          <w:tcPr>
            <w:tcW w:w="851" w:type="dxa"/>
            <w:vAlign w:val="center"/>
          </w:tcPr>
          <w:p w14:paraId="203BF45E" w14:textId="77777777" w:rsidR="002B733E" w:rsidRPr="00FD50F6" w:rsidRDefault="002B733E" w:rsidP="002B733E">
            <w:pPr>
              <w:pStyle w:val="7"/>
            </w:pPr>
            <w:r w:rsidRPr="00FD50F6">
              <w:rPr>
                <w:rFonts w:hint="eastAsia"/>
                <w:i/>
              </w:rPr>
              <w:sym w:font="Symbol" w:char="F064"/>
            </w:r>
            <w:r w:rsidRPr="00FD50F6">
              <w:rPr>
                <w:rFonts w:hint="eastAsia"/>
                <w:vertAlign w:val="subscript"/>
              </w:rPr>
              <w:t>e</w:t>
            </w:r>
          </w:p>
        </w:tc>
        <w:tc>
          <w:tcPr>
            <w:tcW w:w="3337" w:type="dxa"/>
            <w:vAlign w:val="center"/>
          </w:tcPr>
          <w:p w14:paraId="371A6FCC" w14:textId="77777777" w:rsidR="002B733E" w:rsidRPr="00FD50F6" w:rsidRDefault="002B733E" w:rsidP="002B733E">
            <w:pPr>
              <w:pStyle w:val="7"/>
            </w:pPr>
            <w:r w:rsidRPr="00FD50F6">
              <w:rPr>
                <w:rFonts w:hint="eastAsia"/>
              </w:rPr>
              <w:t>轨道垂向弹性变形量</w:t>
            </w:r>
            <w:r w:rsidRPr="00FD50F6">
              <w:rPr>
                <w:rFonts w:hint="eastAsia"/>
              </w:rPr>
              <w:t>:</w:t>
            </w:r>
          </w:p>
          <w:p w14:paraId="0C3FC10D" w14:textId="77777777" w:rsidR="002B733E" w:rsidRPr="00FD50F6" w:rsidRDefault="002B733E" w:rsidP="002B733E">
            <w:pPr>
              <w:pStyle w:val="7"/>
            </w:pPr>
            <w:r w:rsidRPr="00FD50F6">
              <w:rPr>
                <w:rFonts w:hint="eastAsia"/>
              </w:rPr>
              <w:t>整体道床</w:t>
            </w:r>
          </w:p>
          <w:p w14:paraId="04DDBE55" w14:textId="77777777" w:rsidR="002B733E" w:rsidRPr="00FD50F6" w:rsidRDefault="002B733E" w:rsidP="002B733E">
            <w:pPr>
              <w:pStyle w:val="7"/>
            </w:pPr>
            <w:r w:rsidRPr="00FD50F6">
              <w:rPr>
                <w:rFonts w:hint="eastAsia"/>
              </w:rPr>
              <w:t>碎石道床</w:t>
            </w:r>
          </w:p>
        </w:tc>
        <w:tc>
          <w:tcPr>
            <w:tcW w:w="2632" w:type="dxa"/>
            <w:tcBorders>
              <w:right w:val="single" w:sz="4" w:space="0" w:color="auto"/>
            </w:tcBorders>
            <w:vAlign w:val="center"/>
          </w:tcPr>
          <w:p w14:paraId="49DB759B" w14:textId="77777777" w:rsidR="002B733E" w:rsidRPr="00FD50F6" w:rsidRDefault="002B733E" w:rsidP="002B733E">
            <w:pPr>
              <w:pStyle w:val="7"/>
            </w:pPr>
          </w:p>
          <w:p w14:paraId="033B9407" w14:textId="77777777" w:rsidR="002B733E" w:rsidRPr="00FD50F6" w:rsidRDefault="002B733E" w:rsidP="002B733E">
            <w:pPr>
              <w:pStyle w:val="7"/>
            </w:pPr>
            <w:r w:rsidRPr="00FD50F6">
              <w:rPr>
                <w:rFonts w:hint="eastAsia"/>
              </w:rPr>
              <w:t>-2mm</w:t>
            </w:r>
          </w:p>
          <w:p w14:paraId="1FAA866B" w14:textId="77777777" w:rsidR="002B733E" w:rsidRPr="00FD50F6" w:rsidRDefault="002B733E" w:rsidP="002B733E">
            <w:pPr>
              <w:pStyle w:val="7"/>
            </w:pPr>
            <w:r w:rsidRPr="00FD50F6">
              <w:rPr>
                <w:rFonts w:hint="eastAsia"/>
              </w:rPr>
              <w:t>-5mm</w:t>
            </w:r>
          </w:p>
        </w:tc>
        <w:tc>
          <w:tcPr>
            <w:tcW w:w="693" w:type="dxa"/>
            <w:tcBorders>
              <w:left w:val="single" w:sz="4" w:space="0" w:color="auto"/>
              <w:right w:val="single" w:sz="12" w:space="0" w:color="auto"/>
            </w:tcBorders>
            <w:vAlign w:val="center"/>
          </w:tcPr>
          <w:p w14:paraId="6BF3815A" w14:textId="77777777" w:rsidR="002B733E" w:rsidRPr="00FD50F6" w:rsidRDefault="002B733E" w:rsidP="002B733E">
            <w:pPr>
              <w:pStyle w:val="7"/>
            </w:pPr>
          </w:p>
          <w:p w14:paraId="77B6394D" w14:textId="77777777" w:rsidR="002B733E" w:rsidRPr="00FD50F6" w:rsidRDefault="002B733E" w:rsidP="002B733E">
            <w:pPr>
              <w:pStyle w:val="7"/>
            </w:pPr>
            <w:r w:rsidRPr="00FD50F6">
              <w:rPr>
                <w:rFonts w:hint="eastAsia"/>
              </w:rPr>
              <w:t>NZ</w:t>
            </w:r>
          </w:p>
          <w:p w14:paraId="24C1367C" w14:textId="77777777" w:rsidR="002B733E" w:rsidRPr="00FD50F6" w:rsidRDefault="002B733E" w:rsidP="002B733E">
            <w:pPr>
              <w:pStyle w:val="7"/>
            </w:pPr>
            <w:r w:rsidRPr="00FD50F6">
              <w:rPr>
                <w:rFonts w:hint="eastAsia"/>
              </w:rPr>
              <w:t>NZ</w:t>
            </w:r>
          </w:p>
        </w:tc>
      </w:tr>
      <w:tr w:rsidR="00FD50F6" w:rsidRPr="00FD50F6" w14:paraId="43C3A42C" w14:textId="77777777" w:rsidTr="002B733E">
        <w:trPr>
          <w:cantSplit/>
          <w:jc w:val="center"/>
        </w:trPr>
        <w:tc>
          <w:tcPr>
            <w:tcW w:w="709" w:type="dxa"/>
            <w:tcBorders>
              <w:left w:val="single" w:sz="12" w:space="0" w:color="auto"/>
            </w:tcBorders>
            <w:vAlign w:val="center"/>
          </w:tcPr>
          <w:p w14:paraId="68E144C2" w14:textId="77777777" w:rsidR="002B733E" w:rsidRPr="00FD50F6" w:rsidRDefault="002B733E" w:rsidP="002B733E">
            <w:pPr>
              <w:pStyle w:val="7"/>
            </w:pPr>
            <w:r w:rsidRPr="00FD50F6">
              <w:rPr>
                <w:rFonts w:hint="eastAsia"/>
              </w:rPr>
              <w:t>39</w:t>
            </w:r>
          </w:p>
        </w:tc>
        <w:tc>
          <w:tcPr>
            <w:tcW w:w="851" w:type="dxa"/>
            <w:vAlign w:val="center"/>
          </w:tcPr>
          <w:p w14:paraId="2517B1DA" w14:textId="77777777" w:rsidR="002B733E" w:rsidRPr="00FD50F6" w:rsidRDefault="002B733E" w:rsidP="002B733E">
            <w:pPr>
              <w:pStyle w:val="7"/>
            </w:pPr>
            <w:r w:rsidRPr="00FD50F6">
              <w:rPr>
                <w:rFonts w:hint="eastAsia"/>
                <w:i/>
              </w:rPr>
              <w:sym w:font="Symbol" w:char="F064"/>
            </w:r>
            <w:r w:rsidRPr="00FD50F6">
              <w:rPr>
                <w:rFonts w:hint="eastAsia"/>
                <w:vertAlign w:val="subscript"/>
              </w:rPr>
              <w:t>w0</w:t>
            </w:r>
          </w:p>
        </w:tc>
        <w:tc>
          <w:tcPr>
            <w:tcW w:w="3337" w:type="dxa"/>
            <w:vAlign w:val="center"/>
          </w:tcPr>
          <w:p w14:paraId="190EB6D7" w14:textId="77777777" w:rsidR="002B733E" w:rsidRPr="00FD50F6" w:rsidRDefault="002B733E" w:rsidP="002B733E">
            <w:pPr>
              <w:pStyle w:val="7"/>
            </w:pPr>
            <w:r w:rsidRPr="00FD50F6">
              <w:rPr>
                <w:rFonts w:hint="eastAsia"/>
              </w:rPr>
              <w:t>钢轨垂直磨耗量</w:t>
            </w:r>
          </w:p>
        </w:tc>
        <w:tc>
          <w:tcPr>
            <w:tcW w:w="2632" w:type="dxa"/>
            <w:tcBorders>
              <w:right w:val="single" w:sz="4" w:space="0" w:color="auto"/>
            </w:tcBorders>
            <w:vAlign w:val="center"/>
          </w:tcPr>
          <w:p w14:paraId="648903E2" w14:textId="77777777" w:rsidR="002B733E" w:rsidRPr="00FD50F6" w:rsidRDefault="002B733E" w:rsidP="002B733E">
            <w:pPr>
              <w:pStyle w:val="7"/>
            </w:pPr>
            <w:r w:rsidRPr="00FD50F6">
              <w:rPr>
                <w:rFonts w:hint="eastAsia"/>
              </w:rPr>
              <w:t>8mm</w:t>
            </w:r>
          </w:p>
        </w:tc>
        <w:tc>
          <w:tcPr>
            <w:tcW w:w="693" w:type="dxa"/>
            <w:tcBorders>
              <w:left w:val="single" w:sz="4" w:space="0" w:color="auto"/>
              <w:right w:val="single" w:sz="12" w:space="0" w:color="auto"/>
            </w:tcBorders>
            <w:vAlign w:val="center"/>
          </w:tcPr>
          <w:p w14:paraId="7766F4A0" w14:textId="77777777" w:rsidR="002B733E" w:rsidRPr="00FD50F6" w:rsidRDefault="002B733E" w:rsidP="002B733E">
            <w:pPr>
              <w:pStyle w:val="7"/>
            </w:pPr>
            <w:r w:rsidRPr="00FD50F6">
              <w:rPr>
                <w:rFonts w:hint="eastAsia"/>
              </w:rPr>
              <w:t>NZ</w:t>
            </w:r>
          </w:p>
        </w:tc>
      </w:tr>
      <w:tr w:rsidR="00FD50F6" w:rsidRPr="00FD50F6" w14:paraId="34EE8D67" w14:textId="77777777" w:rsidTr="002B733E">
        <w:trPr>
          <w:cantSplit/>
          <w:jc w:val="center"/>
        </w:trPr>
        <w:tc>
          <w:tcPr>
            <w:tcW w:w="709" w:type="dxa"/>
            <w:tcBorders>
              <w:left w:val="single" w:sz="12" w:space="0" w:color="auto"/>
            </w:tcBorders>
            <w:vAlign w:val="center"/>
          </w:tcPr>
          <w:p w14:paraId="437E042D" w14:textId="77777777" w:rsidR="002B733E" w:rsidRPr="00FD50F6" w:rsidRDefault="002B733E" w:rsidP="002B733E">
            <w:pPr>
              <w:pStyle w:val="7"/>
            </w:pPr>
            <w:r w:rsidRPr="00FD50F6">
              <w:rPr>
                <w:rFonts w:hint="eastAsia"/>
              </w:rPr>
              <w:t>40</w:t>
            </w:r>
          </w:p>
        </w:tc>
        <w:tc>
          <w:tcPr>
            <w:tcW w:w="851" w:type="dxa"/>
            <w:vAlign w:val="center"/>
          </w:tcPr>
          <w:p w14:paraId="5473042B" w14:textId="77777777" w:rsidR="002B733E" w:rsidRPr="00FD50F6" w:rsidRDefault="002B733E" w:rsidP="002B733E">
            <w:pPr>
              <w:pStyle w:val="7"/>
            </w:pPr>
            <w:r w:rsidRPr="00FD50F6">
              <w:rPr>
                <w:rFonts w:hint="eastAsia"/>
                <w:i/>
              </w:rPr>
              <w:sym w:font="Symbol" w:char="F064"/>
            </w:r>
            <w:r w:rsidRPr="00FD50F6">
              <w:rPr>
                <w:rFonts w:hint="eastAsia"/>
              </w:rPr>
              <w:t>w</w:t>
            </w:r>
            <w:r w:rsidRPr="00FD50F6">
              <w:rPr>
                <w:rFonts w:hint="eastAsia"/>
                <w:vertAlign w:val="subscript"/>
              </w:rPr>
              <w:t>1</w:t>
            </w:r>
          </w:p>
        </w:tc>
        <w:tc>
          <w:tcPr>
            <w:tcW w:w="3337" w:type="dxa"/>
            <w:vAlign w:val="center"/>
          </w:tcPr>
          <w:p w14:paraId="5B73CCF2" w14:textId="77777777" w:rsidR="002B733E" w:rsidRPr="00FD50F6" w:rsidRDefault="002B733E" w:rsidP="002B733E">
            <w:pPr>
              <w:pStyle w:val="7"/>
            </w:pPr>
            <w:r w:rsidRPr="00FD50F6">
              <w:rPr>
                <w:rFonts w:hint="eastAsia"/>
              </w:rPr>
              <w:t>车轮最大旋削量</w:t>
            </w:r>
          </w:p>
        </w:tc>
        <w:tc>
          <w:tcPr>
            <w:tcW w:w="2632" w:type="dxa"/>
            <w:tcBorders>
              <w:right w:val="single" w:sz="4" w:space="0" w:color="auto"/>
            </w:tcBorders>
            <w:vAlign w:val="center"/>
          </w:tcPr>
          <w:p w14:paraId="048A4C44" w14:textId="77777777" w:rsidR="002B733E" w:rsidRPr="00FD50F6" w:rsidRDefault="002B733E" w:rsidP="002B733E">
            <w:pPr>
              <w:pStyle w:val="7"/>
            </w:pPr>
            <w:r w:rsidRPr="00FD50F6">
              <w:rPr>
                <w:rFonts w:hint="eastAsia"/>
              </w:rPr>
              <w:t>-35mm</w:t>
            </w:r>
          </w:p>
        </w:tc>
        <w:tc>
          <w:tcPr>
            <w:tcW w:w="693" w:type="dxa"/>
            <w:tcBorders>
              <w:left w:val="single" w:sz="4" w:space="0" w:color="auto"/>
              <w:right w:val="single" w:sz="12" w:space="0" w:color="auto"/>
            </w:tcBorders>
            <w:vAlign w:val="center"/>
          </w:tcPr>
          <w:p w14:paraId="489C72D7" w14:textId="77777777" w:rsidR="002B733E" w:rsidRPr="00FD50F6" w:rsidRDefault="002B733E" w:rsidP="002B733E">
            <w:pPr>
              <w:pStyle w:val="7"/>
            </w:pPr>
            <w:r w:rsidRPr="00FD50F6">
              <w:rPr>
                <w:rFonts w:hint="eastAsia"/>
              </w:rPr>
              <w:t>NZ</w:t>
            </w:r>
          </w:p>
        </w:tc>
      </w:tr>
      <w:tr w:rsidR="00FD50F6" w:rsidRPr="00FD50F6" w14:paraId="5E6EA6F1" w14:textId="77777777" w:rsidTr="002B733E">
        <w:trPr>
          <w:cantSplit/>
          <w:jc w:val="center"/>
        </w:trPr>
        <w:tc>
          <w:tcPr>
            <w:tcW w:w="709" w:type="dxa"/>
            <w:tcBorders>
              <w:left w:val="single" w:sz="12" w:space="0" w:color="auto"/>
            </w:tcBorders>
            <w:vAlign w:val="center"/>
          </w:tcPr>
          <w:p w14:paraId="3EB38674" w14:textId="77777777" w:rsidR="002B733E" w:rsidRPr="00FD50F6" w:rsidRDefault="002B733E" w:rsidP="002B733E">
            <w:pPr>
              <w:pStyle w:val="7"/>
            </w:pPr>
            <w:r w:rsidRPr="00FD50F6">
              <w:rPr>
                <w:rFonts w:hint="eastAsia"/>
              </w:rPr>
              <w:t>41</w:t>
            </w:r>
          </w:p>
        </w:tc>
        <w:tc>
          <w:tcPr>
            <w:tcW w:w="851" w:type="dxa"/>
            <w:vAlign w:val="center"/>
          </w:tcPr>
          <w:p w14:paraId="0839E869" w14:textId="77777777" w:rsidR="002B733E" w:rsidRPr="00FD50F6" w:rsidRDefault="002B733E" w:rsidP="002B733E">
            <w:pPr>
              <w:pStyle w:val="7"/>
            </w:pPr>
            <w:r w:rsidRPr="00FD50F6">
              <w:rPr>
                <w:rFonts w:hint="eastAsia"/>
                <w:i/>
              </w:rPr>
              <w:sym w:font="Symbol" w:char="F064"/>
            </w:r>
            <w:r w:rsidRPr="00FD50F6">
              <w:rPr>
                <w:rFonts w:hint="eastAsia"/>
              </w:rPr>
              <w:t>'w</w:t>
            </w:r>
            <w:r w:rsidRPr="00FD50F6">
              <w:rPr>
                <w:rFonts w:hint="eastAsia"/>
                <w:vertAlign w:val="subscript"/>
              </w:rPr>
              <w:t>1</w:t>
            </w:r>
          </w:p>
        </w:tc>
        <w:tc>
          <w:tcPr>
            <w:tcW w:w="3337" w:type="dxa"/>
            <w:vAlign w:val="center"/>
          </w:tcPr>
          <w:p w14:paraId="3095B693" w14:textId="77777777" w:rsidR="002B733E" w:rsidRPr="00FD50F6" w:rsidRDefault="002B733E" w:rsidP="002B733E">
            <w:pPr>
              <w:pStyle w:val="7"/>
            </w:pPr>
            <w:r w:rsidRPr="00FD50F6">
              <w:rPr>
                <w:rFonts w:hint="eastAsia"/>
              </w:rPr>
              <w:t>两次旋轮间踏面磨耗量</w:t>
            </w:r>
          </w:p>
        </w:tc>
        <w:tc>
          <w:tcPr>
            <w:tcW w:w="2632" w:type="dxa"/>
            <w:tcBorders>
              <w:right w:val="single" w:sz="4" w:space="0" w:color="auto"/>
            </w:tcBorders>
            <w:vAlign w:val="center"/>
          </w:tcPr>
          <w:p w14:paraId="7A89E23E" w14:textId="77777777" w:rsidR="002B733E" w:rsidRPr="00FD50F6" w:rsidRDefault="002B733E" w:rsidP="002B733E">
            <w:pPr>
              <w:pStyle w:val="7"/>
            </w:pPr>
            <w:r w:rsidRPr="00FD50F6">
              <w:rPr>
                <w:rFonts w:hint="eastAsia"/>
              </w:rPr>
              <w:t>-11mm</w:t>
            </w:r>
          </w:p>
        </w:tc>
        <w:tc>
          <w:tcPr>
            <w:tcW w:w="693" w:type="dxa"/>
            <w:tcBorders>
              <w:left w:val="single" w:sz="4" w:space="0" w:color="auto"/>
              <w:right w:val="single" w:sz="12" w:space="0" w:color="auto"/>
            </w:tcBorders>
            <w:vAlign w:val="center"/>
          </w:tcPr>
          <w:p w14:paraId="16B9513F" w14:textId="77777777" w:rsidR="002B733E" w:rsidRPr="00FD50F6" w:rsidRDefault="002B733E" w:rsidP="002B733E">
            <w:pPr>
              <w:pStyle w:val="7"/>
            </w:pPr>
            <w:r w:rsidRPr="00FD50F6">
              <w:rPr>
                <w:rFonts w:hint="eastAsia"/>
              </w:rPr>
              <w:t>NZ</w:t>
            </w:r>
          </w:p>
        </w:tc>
      </w:tr>
      <w:tr w:rsidR="00FD50F6" w:rsidRPr="00FD50F6" w14:paraId="062C2853" w14:textId="77777777" w:rsidTr="002B733E">
        <w:trPr>
          <w:cantSplit/>
          <w:jc w:val="center"/>
        </w:trPr>
        <w:tc>
          <w:tcPr>
            <w:tcW w:w="709" w:type="dxa"/>
            <w:tcBorders>
              <w:left w:val="single" w:sz="12" w:space="0" w:color="auto"/>
            </w:tcBorders>
            <w:vAlign w:val="center"/>
          </w:tcPr>
          <w:p w14:paraId="56074936" w14:textId="77777777" w:rsidR="002B733E" w:rsidRPr="00FD50F6" w:rsidRDefault="002B733E" w:rsidP="002B733E">
            <w:pPr>
              <w:pStyle w:val="7"/>
            </w:pPr>
            <w:r w:rsidRPr="00FD50F6">
              <w:rPr>
                <w:rFonts w:hint="eastAsia"/>
              </w:rPr>
              <w:t>42</w:t>
            </w:r>
          </w:p>
        </w:tc>
        <w:tc>
          <w:tcPr>
            <w:tcW w:w="851" w:type="dxa"/>
            <w:vAlign w:val="center"/>
          </w:tcPr>
          <w:p w14:paraId="70907867" w14:textId="77777777" w:rsidR="002B733E" w:rsidRPr="00FD50F6" w:rsidRDefault="002B733E" w:rsidP="002B733E">
            <w:pPr>
              <w:pStyle w:val="7"/>
            </w:pPr>
            <w:r w:rsidRPr="00FD50F6">
              <w:rPr>
                <w:rFonts w:hint="eastAsia"/>
                <w:i/>
              </w:rPr>
              <w:t>Δ</w:t>
            </w:r>
            <w:r w:rsidRPr="00FD50F6">
              <w:rPr>
                <w:rFonts w:hint="eastAsia"/>
                <w:vertAlign w:val="subscript"/>
              </w:rPr>
              <w:t>c</w:t>
            </w:r>
          </w:p>
        </w:tc>
        <w:tc>
          <w:tcPr>
            <w:tcW w:w="3337" w:type="dxa"/>
            <w:vAlign w:val="center"/>
          </w:tcPr>
          <w:p w14:paraId="7167F4D0" w14:textId="77777777" w:rsidR="002B733E" w:rsidRPr="00FD50F6" w:rsidRDefault="002B733E" w:rsidP="002B733E">
            <w:pPr>
              <w:pStyle w:val="7"/>
            </w:pPr>
            <w:r w:rsidRPr="00FD50F6">
              <w:rPr>
                <w:rFonts w:hint="eastAsia"/>
              </w:rPr>
              <w:t>线路中心线横向位差值</w:t>
            </w:r>
            <w:r w:rsidRPr="00FD50F6">
              <w:rPr>
                <w:rFonts w:hint="eastAsia"/>
              </w:rPr>
              <w:t>:</w:t>
            </w:r>
          </w:p>
          <w:p w14:paraId="3C27B0E5" w14:textId="77777777" w:rsidR="002B733E" w:rsidRPr="00FD50F6" w:rsidRDefault="002B733E" w:rsidP="002B733E">
            <w:pPr>
              <w:pStyle w:val="7"/>
            </w:pPr>
            <w:r w:rsidRPr="00FD50F6">
              <w:rPr>
                <w:rFonts w:hint="eastAsia"/>
              </w:rPr>
              <w:t>整体道床</w:t>
            </w:r>
          </w:p>
          <w:p w14:paraId="59BA193B" w14:textId="77777777" w:rsidR="002B733E" w:rsidRPr="00FD50F6" w:rsidRDefault="002B733E" w:rsidP="002B733E">
            <w:pPr>
              <w:pStyle w:val="7"/>
            </w:pPr>
            <w:r w:rsidRPr="00FD50F6">
              <w:rPr>
                <w:rFonts w:hint="eastAsia"/>
              </w:rPr>
              <w:t>碎石道床，无轨撑</w:t>
            </w:r>
          </w:p>
        </w:tc>
        <w:tc>
          <w:tcPr>
            <w:tcW w:w="2632" w:type="dxa"/>
            <w:tcBorders>
              <w:right w:val="single" w:sz="4" w:space="0" w:color="auto"/>
            </w:tcBorders>
            <w:vAlign w:val="center"/>
          </w:tcPr>
          <w:p w14:paraId="5366D6AE" w14:textId="77777777" w:rsidR="002B733E" w:rsidRPr="00FD50F6" w:rsidRDefault="002B733E" w:rsidP="002B733E">
            <w:pPr>
              <w:pStyle w:val="7"/>
            </w:pPr>
          </w:p>
          <w:p w14:paraId="2B46C0C8" w14:textId="77777777" w:rsidR="002B733E" w:rsidRPr="00FD50F6" w:rsidRDefault="002B733E" w:rsidP="002B733E">
            <w:pPr>
              <w:pStyle w:val="7"/>
            </w:pPr>
            <w:r w:rsidRPr="00FD50F6">
              <w:rPr>
                <w:rFonts w:hint="eastAsia"/>
              </w:rPr>
              <w:t>±</w:t>
            </w:r>
            <w:r w:rsidRPr="00FD50F6">
              <w:rPr>
                <w:rFonts w:hint="eastAsia"/>
              </w:rPr>
              <w:t>5mm</w:t>
            </w:r>
          </w:p>
          <w:p w14:paraId="545E7DE4" w14:textId="77777777" w:rsidR="002B733E" w:rsidRPr="00FD50F6" w:rsidRDefault="002B733E" w:rsidP="002B733E">
            <w:pPr>
              <w:pStyle w:val="7"/>
            </w:pPr>
            <w:r w:rsidRPr="00FD50F6">
              <w:rPr>
                <w:rFonts w:hint="eastAsia"/>
              </w:rPr>
              <w:t>±</w:t>
            </w:r>
            <w:r w:rsidRPr="00FD50F6">
              <w:rPr>
                <w:rFonts w:hint="eastAsia"/>
              </w:rPr>
              <w:t>25mm</w:t>
            </w:r>
          </w:p>
        </w:tc>
        <w:tc>
          <w:tcPr>
            <w:tcW w:w="693" w:type="dxa"/>
            <w:tcBorders>
              <w:left w:val="single" w:sz="4" w:space="0" w:color="auto"/>
              <w:right w:val="single" w:sz="12" w:space="0" w:color="auto"/>
            </w:tcBorders>
            <w:vAlign w:val="center"/>
          </w:tcPr>
          <w:p w14:paraId="4810675F" w14:textId="77777777" w:rsidR="002B733E" w:rsidRPr="00FD50F6" w:rsidRDefault="002B733E" w:rsidP="002B733E">
            <w:pPr>
              <w:pStyle w:val="7"/>
            </w:pPr>
            <w:r w:rsidRPr="00FD50F6">
              <w:rPr>
                <w:rFonts w:hint="eastAsia"/>
              </w:rPr>
              <w:t>—</w:t>
            </w:r>
          </w:p>
          <w:p w14:paraId="385A95A8" w14:textId="77777777" w:rsidR="002B733E" w:rsidRPr="00FD50F6" w:rsidRDefault="002B733E" w:rsidP="002B733E">
            <w:pPr>
              <w:pStyle w:val="7"/>
            </w:pPr>
          </w:p>
        </w:tc>
      </w:tr>
      <w:tr w:rsidR="00FD50F6" w:rsidRPr="00FD50F6" w14:paraId="3AE0D023" w14:textId="77777777" w:rsidTr="002B733E">
        <w:trPr>
          <w:cantSplit/>
          <w:jc w:val="center"/>
        </w:trPr>
        <w:tc>
          <w:tcPr>
            <w:tcW w:w="709" w:type="dxa"/>
            <w:tcBorders>
              <w:left w:val="single" w:sz="12" w:space="0" w:color="auto"/>
            </w:tcBorders>
            <w:vAlign w:val="center"/>
          </w:tcPr>
          <w:p w14:paraId="6713A6E8" w14:textId="77777777" w:rsidR="002B733E" w:rsidRPr="00FD50F6" w:rsidRDefault="002B733E" w:rsidP="002B733E">
            <w:pPr>
              <w:pStyle w:val="7"/>
            </w:pPr>
            <w:r w:rsidRPr="00FD50F6">
              <w:rPr>
                <w:rFonts w:hint="eastAsia"/>
              </w:rPr>
              <w:t>43</w:t>
            </w:r>
          </w:p>
        </w:tc>
        <w:tc>
          <w:tcPr>
            <w:tcW w:w="851" w:type="dxa"/>
            <w:vAlign w:val="center"/>
          </w:tcPr>
          <w:p w14:paraId="77F6F94E" w14:textId="77777777" w:rsidR="002B733E" w:rsidRPr="00FD50F6" w:rsidRDefault="002B733E" w:rsidP="002B733E">
            <w:pPr>
              <w:pStyle w:val="7"/>
            </w:pPr>
            <w:r w:rsidRPr="00FD50F6">
              <w:rPr>
                <w:rFonts w:hint="eastAsia"/>
                <w:i/>
              </w:rPr>
              <w:t>Δ</w:t>
            </w:r>
            <w:r w:rsidRPr="00FD50F6">
              <w:rPr>
                <w:rFonts w:hint="eastAsia"/>
              </w:rPr>
              <w:t>’</w:t>
            </w:r>
            <w:r w:rsidRPr="00FD50F6">
              <w:rPr>
                <w:rFonts w:hint="eastAsia"/>
                <w:vertAlign w:val="subscript"/>
              </w:rPr>
              <w:t>c</w:t>
            </w:r>
          </w:p>
        </w:tc>
        <w:tc>
          <w:tcPr>
            <w:tcW w:w="3337" w:type="dxa"/>
            <w:vAlign w:val="center"/>
          </w:tcPr>
          <w:p w14:paraId="58C71C2C" w14:textId="77777777" w:rsidR="002B733E" w:rsidRPr="00FD50F6" w:rsidRDefault="002B733E" w:rsidP="002B733E">
            <w:pPr>
              <w:pStyle w:val="7"/>
            </w:pPr>
            <w:r w:rsidRPr="00FD50F6">
              <w:rPr>
                <w:rFonts w:hint="eastAsia"/>
              </w:rPr>
              <w:t>站台区域中心线横向位差值</w:t>
            </w:r>
            <w:r w:rsidRPr="00FD50F6">
              <w:rPr>
                <w:rFonts w:hint="eastAsia"/>
              </w:rPr>
              <w:t>:</w:t>
            </w:r>
          </w:p>
          <w:p w14:paraId="6990A11E" w14:textId="77777777" w:rsidR="002B733E" w:rsidRPr="00FD50F6" w:rsidRDefault="002B733E" w:rsidP="002B733E">
            <w:pPr>
              <w:pStyle w:val="7"/>
            </w:pPr>
            <w:r w:rsidRPr="00FD50F6">
              <w:rPr>
                <w:rFonts w:hint="eastAsia"/>
              </w:rPr>
              <w:t>整体道床</w:t>
            </w:r>
          </w:p>
          <w:p w14:paraId="6C81F3A2" w14:textId="77777777" w:rsidR="002B733E" w:rsidRPr="00FD50F6" w:rsidRDefault="002B733E" w:rsidP="002B733E">
            <w:pPr>
              <w:pStyle w:val="7"/>
            </w:pPr>
            <w:r w:rsidRPr="00FD50F6">
              <w:rPr>
                <w:rFonts w:hint="eastAsia"/>
              </w:rPr>
              <w:t>碎石道床，有轨撑</w:t>
            </w:r>
          </w:p>
        </w:tc>
        <w:tc>
          <w:tcPr>
            <w:tcW w:w="2632" w:type="dxa"/>
            <w:tcBorders>
              <w:right w:val="single" w:sz="4" w:space="0" w:color="auto"/>
            </w:tcBorders>
            <w:vAlign w:val="center"/>
          </w:tcPr>
          <w:p w14:paraId="506C71BB" w14:textId="77777777" w:rsidR="002B733E" w:rsidRPr="00FD50F6" w:rsidRDefault="002B733E" w:rsidP="002B733E">
            <w:pPr>
              <w:pStyle w:val="7"/>
            </w:pPr>
          </w:p>
          <w:p w14:paraId="6B53F1B7" w14:textId="77777777" w:rsidR="002B733E" w:rsidRPr="00FD50F6" w:rsidRDefault="002B733E" w:rsidP="002B733E">
            <w:pPr>
              <w:pStyle w:val="7"/>
            </w:pPr>
            <w:r w:rsidRPr="00FD50F6">
              <w:rPr>
                <w:rFonts w:hint="eastAsia"/>
              </w:rPr>
              <w:sym w:font="Symbol" w:char="F0B1"/>
            </w:r>
            <w:r w:rsidRPr="00FD50F6">
              <w:rPr>
                <w:rFonts w:hint="eastAsia"/>
              </w:rPr>
              <w:t>2mm</w:t>
            </w:r>
          </w:p>
          <w:p w14:paraId="0E6CF112" w14:textId="77777777" w:rsidR="002B733E" w:rsidRPr="00FD50F6" w:rsidRDefault="002B733E" w:rsidP="002B733E">
            <w:pPr>
              <w:pStyle w:val="7"/>
            </w:pPr>
            <w:r w:rsidRPr="00FD50F6">
              <w:rPr>
                <w:rFonts w:hint="eastAsia"/>
              </w:rPr>
              <w:sym w:font="Symbol" w:char="F0B1"/>
            </w:r>
            <w:r w:rsidRPr="00FD50F6">
              <w:rPr>
                <w:rFonts w:hint="eastAsia"/>
              </w:rPr>
              <w:t>2mm</w:t>
            </w:r>
          </w:p>
        </w:tc>
        <w:tc>
          <w:tcPr>
            <w:tcW w:w="693" w:type="dxa"/>
            <w:tcBorders>
              <w:left w:val="single" w:sz="4" w:space="0" w:color="auto"/>
              <w:right w:val="single" w:sz="12" w:space="0" w:color="auto"/>
            </w:tcBorders>
            <w:vAlign w:val="center"/>
          </w:tcPr>
          <w:p w14:paraId="0468EF1F" w14:textId="77777777" w:rsidR="002B733E" w:rsidRPr="00FD50F6" w:rsidRDefault="002B733E" w:rsidP="002B733E">
            <w:pPr>
              <w:pStyle w:val="7"/>
            </w:pPr>
          </w:p>
          <w:p w14:paraId="48AA38DA" w14:textId="77777777" w:rsidR="002B733E" w:rsidRPr="00FD50F6" w:rsidRDefault="002B733E" w:rsidP="002B733E">
            <w:pPr>
              <w:pStyle w:val="7"/>
            </w:pPr>
            <w:r w:rsidRPr="00FD50F6">
              <w:rPr>
                <w:rFonts w:hint="eastAsia"/>
              </w:rPr>
              <w:t>Z</w:t>
            </w:r>
          </w:p>
          <w:p w14:paraId="4553CCB3" w14:textId="77777777" w:rsidR="002B733E" w:rsidRPr="00FD50F6" w:rsidRDefault="002B733E" w:rsidP="002B733E">
            <w:pPr>
              <w:pStyle w:val="7"/>
            </w:pPr>
            <w:r w:rsidRPr="00FD50F6">
              <w:rPr>
                <w:rFonts w:hint="eastAsia"/>
              </w:rPr>
              <w:t>Z</w:t>
            </w:r>
          </w:p>
        </w:tc>
      </w:tr>
      <w:tr w:rsidR="00FD50F6" w:rsidRPr="00FD50F6" w14:paraId="76E5A11F" w14:textId="77777777" w:rsidTr="002B733E">
        <w:trPr>
          <w:cantSplit/>
          <w:jc w:val="center"/>
        </w:trPr>
        <w:tc>
          <w:tcPr>
            <w:tcW w:w="709" w:type="dxa"/>
            <w:tcBorders>
              <w:left w:val="single" w:sz="12" w:space="0" w:color="auto"/>
            </w:tcBorders>
            <w:vAlign w:val="center"/>
          </w:tcPr>
          <w:p w14:paraId="5D9D91C6" w14:textId="77777777" w:rsidR="002B733E" w:rsidRPr="00FD50F6" w:rsidRDefault="002B733E" w:rsidP="002B733E">
            <w:pPr>
              <w:pStyle w:val="7"/>
            </w:pPr>
            <w:r w:rsidRPr="00FD50F6">
              <w:rPr>
                <w:rFonts w:hint="eastAsia"/>
              </w:rPr>
              <w:t>44</w:t>
            </w:r>
          </w:p>
        </w:tc>
        <w:tc>
          <w:tcPr>
            <w:tcW w:w="851" w:type="dxa"/>
            <w:vAlign w:val="center"/>
          </w:tcPr>
          <w:p w14:paraId="00EE4894" w14:textId="77777777" w:rsidR="002B733E" w:rsidRPr="00FD50F6" w:rsidRDefault="002B733E" w:rsidP="002B733E">
            <w:pPr>
              <w:pStyle w:val="7"/>
            </w:pPr>
            <w:r w:rsidRPr="00FD50F6">
              <w:rPr>
                <w:rFonts w:hint="eastAsia"/>
              </w:rPr>
              <w:sym w:font="Symbol" w:char="F044"/>
            </w:r>
            <w:r w:rsidRPr="00FD50F6">
              <w:rPr>
                <w:rFonts w:hint="eastAsia"/>
                <w:i/>
              </w:rPr>
              <w:t>C</w:t>
            </w:r>
            <w:r w:rsidRPr="00FD50F6">
              <w:rPr>
                <w:rFonts w:hint="eastAsia"/>
                <w:vertAlign w:val="subscript"/>
              </w:rPr>
              <w:t>vt</w:t>
            </w:r>
          </w:p>
        </w:tc>
        <w:tc>
          <w:tcPr>
            <w:tcW w:w="3337" w:type="dxa"/>
            <w:vAlign w:val="center"/>
          </w:tcPr>
          <w:p w14:paraId="5062FB9B" w14:textId="77777777" w:rsidR="002B733E" w:rsidRPr="00FD50F6" w:rsidRDefault="002B733E" w:rsidP="002B733E">
            <w:pPr>
              <w:pStyle w:val="7"/>
            </w:pPr>
            <w:r w:rsidRPr="00FD50F6">
              <w:rPr>
                <w:rFonts w:hint="eastAsia"/>
              </w:rPr>
              <w:t>接触轨距相邻走行轨轨面高度公差值</w:t>
            </w:r>
          </w:p>
        </w:tc>
        <w:tc>
          <w:tcPr>
            <w:tcW w:w="2632" w:type="dxa"/>
            <w:tcBorders>
              <w:right w:val="single" w:sz="4" w:space="0" w:color="auto"/>
            </w:tcBorders>
            <w:vAlign w:val="center"/>
          </w:tcPr>
          <w:p w14:paraId="005B38BD" w14:textId="77777777" w:rsidR="002B733E" w:rsidRPr="00FD50F6" w:rsidRDefault="002B733E" w:rsidP="002B733E">
            <w:pPr>
              <w:pStyle w:val="7"/>
            </w:pPr>
            <w:r w:rsidRPr="00FD50F6">
              <w:rPr>
                <w:rFonts w:hint="eastAsia"/>
              </w:rPr>
              <w:sym w:font="Symbol" w:char="F0B1"/>
            </w:r>
            <w:r w:rsidRPr="00FD50F6">
              <w:rPr>
                <w:rFonts w:hint="eastAsia"/>
              </w:rPr>
              <w:t>6mm</w:t>
            </w:r>
          </w:p>
        </w:tc>
        <w:tc>
          <w:tcPr>
            <w:tcW w:w="693" w:type="dxa"/>
            <w:tcBorders>
              <w:left w:val="single" w:sz="4" w:space="0" w:color="auto"/>
              <w:right w:val="single" w:sz="12" w:space="0" w:color="auto"/>
            </w:tcBorders>
            <w:vAlign w:val="center"/>
          </w:tcPr>
          <w:p w14:paraId="469C57EB" w14:textId="77777777" w:rsidR="002B733E" w:rsidRPr="00FD50F6" w:rsidRDefault="002B733E" w:rsidP="002B733E">
            <w:pPr>
              <w:pStyle w:val="7"/>
            </w:pPr>
            <w:r w:rsidRPr="00FD50F6">
              <w:rPr>
                <w:rFonts w:hint="eastAsia"/>
              </w:rPr>
              <w:t>Z</w:t>
            </w:r>
          </w:p>
        </w:tc>
      </w:tr>
      <w:tr w:rsidR="00FD50F6" w:rsidRPr="00FD50F6" w14:paraId="162F7F70" w14:textId="77777777" w:rsidTr="002B733E">
        <w:trPr>
          <w:cantSplit/>
          <w:jc w:val="center"/>
        </w:trPr>
        <w:tc>
          <w:tcPr>
            <w:tcW w:w="709" w:type="dxa"/>
            <w:tcBorders>
              <w:left w:val="single" w:sz="12" w:space="0" w:color="auto"/>
            </w:tcBorders>
            <w:vAlign w:val="center"/>
          </w:tcPr>
          <w:p w14:paraId="626306D0" w14:textId="77777777" w:rsidR="002B733E" w:rsidRPr="00FD50F6" w:rsidRDefault="002B733E" w:rsidP="002B733E">
            <w:pPr>
              <w:pStyle w:val="7"/>
            </w:pPr>
            <w:r w:rsidRPr="00FD50F6">
              <w:rPr>
                <w:rFonts w:hint="eastAsia"/>
              </w:rPr>
              <w:t>45</w:t>
            </w:r>
          </w:p>
        </w:tc>
        <w:tc>
          <w:tcPr>
            <w:tcW w:w="851" w:type="dxa"/>
            <w:vAlign w:val="center"/>
          </w:tcPr>
          <w:p w14:paraId="0C0950C7" w14:textId="77777777" w:rsidR="002B733E" w:rsidRPr="00FD50F6" w:rsidRDefault="002B733E" w:rsidP="002B733E">
            <w:pPr>
              <w:pStyle w:val="7"/>
              <w:rPr>
                <w:vertAlign w:val="subscript"/>
              </w:rPr>
            </w:pPr>
            <w:r w:rsidRPr="00FD50F6">
              <w:rPr>
                <w:rFonts w:hint="eastAsia"/>
              </w:rPr>
              <w:sym w:font="Symbol" w:char="F044"/>
            </w:r>
            <w:r w:rsidRPr="00FD50F6">
              <w:rPr>
                <w:rFonts w:hint="eastAsia"/>
                <w:i/>
              </w:rPr>
              <w:t>C</w:t>
            </w:r>
            <w:r w:rsidRPr="00FD50F6">
              <w:rPr>
                <w:rFonts w:hint="eastAsia"/>
                <w:vertAlign w:val="subscript"/>
              </w:rPr>
              <w:t>ht</w:t>
            </w:r>
          </w:p>
        </w:tc>
        <w:tc>
          <w:tcPr>
            <w:tcW w:w="3337" w:type="dxa"/>
            <w:vAlign w:val="center"/>
          </w:tcPr>
          <w:p w14:paraId="5C6C9565" w14:textId="77777777" w:rsidR="002B733E" w:rsidRPr="00FD50F6" w:rsidRDefault="002B733E" w:rsidP="002B733E">
            <w:pPr>
              <w:pStyle w:val="7"/>
            </w:pPr>
            <w:r w:rsidRPr="00FD50F6">
              <w:rPr>
                <w:rFonts w:hint="eastAsia"/>
              </w:rPr>
              <w:t>接触轨与走行轨横向公差</w:t>
            </w:r>
          </w:p>
        </w:tc>
        <w:tc>
          <w:tcPr>
            <w:tcW w:w="2632" w:type="dxa"/>
            <w:tcBorders>
              <w:right w:val="single" w:sz="4" w:space="0" w:color="auto"/>
            </w:tcBorders>
            <w:vAlign w:val="center"/>
          </w:tcPr>
          <w:p w14:paraId="4CAC18E2" w14:textId="77777777" w:rsidR="002B733E" w:rsidRPr="00FD50F6" w:rsidRDefault="002B733E" w:rsidP="002B733E">
            <w:pPr>
              <w:pStyle w:val="7"/>
            </w:pPr>
            <w:r w:rsidRPr="00FD50F6">
              <w:rPr>
                <w:rFonts w:hint="eastAsia"/>
              </w:rPr>
              <w:sym w:font="Symbol" w:char="F0B1"/>
            </w:r>
            <w:r w:rsidRPr="00FD50F6">
              <w:rPr>
                <w:rFonts w:hint="eastAsia"/>
              </w:rPr>
              <w:t>8mm</w:t>
            </w:r>
          </w:p>
        </w:tc>
        <w:tc>
          <w:tcPr>
            <w:tcW w:w="693" w:type="dxa"/>
            <w:tcBorders>
              <w:left w:val="single" w:sz="4" w:space="0" w:color="auto"/>
              <w:right w:val="single" w:sz="12" w:space="0" w:color="auto"/>
            </w:tcBorders>
            <w:vAlign w:val="center"/>
          </w:tcPr>
          <w:p w14:paraId="0143841A" w14:textId="77777777" w:rsidR="002B733E" w:rsidRPr="00FD50F6" w:rsidRDefault="002B733E" w:rsidP="002B733E">
            <w:pPr>
              <w:pStyle w:val="7"/>
            </w:pPr>
            <w:r w:rsidRPr="00FD50F6">
              <w:rPr>
                <w:rFonts w:hint="eastAsia"/>
              </w:rPr>
              <w:t>—</w:t>
            </w:r>
          </w:p>
        </w:tc>
      </w:tr>
      <w:tr w:rsidR="00FD50F6" w:rsidRPr="00FD50F6" w14:paraId="7013BABB" w14:textId="77777777" w:rsidTr="002B733E">
        <w:trPr>
          <w:cantSplit/>
          <w:jc w:val="center"/>
        </w:trPr>
        <w:tc>
          <w:tcPr>
            <w:tcW w:w="709" w:type="dxa"/>
            <w:tcBorders>
              <w:left w:val="single" w:sz="12" w:space="0" w:color="auto"/>
            </w:tcBorders>
            <w:vAlign w:val="center"/>
          </w:tcPr>
          <w:p w14:paraId="3738A2B0" w14:textId="77777777" w:rsidR="002B733E" w:rsidRPr="00FD50F6" w:rsidRDefault="002B733E" w:rsidP="002B733E">
            <w:pPr>
              <w:pStyle w:val="7"/>
            </w:pPr>
            <w:r w:rsidRPr="00FD50F6">
              <w:rPr>
                <w:rFonts w:hint="eastAsia"/>
              </w:rPr>
              <w:t>46</w:t>
            </w:r>
          </w:p>
        </w:tc>
        <w:tc>
          <w:tcPr>
            <w:tcW w:w="851" w:type="dxa"/>
            <w:vAlign w:val="center"/>
          </w:tcPr>
          <w:p w14:paraId="12C6055B" w14:textId="77777777" w:rsidR="002B733E" w:rsidRPr="00FD50F6" w:rsidRDefault="002B733E" w:rsidP="002B733E">
            <w:pPr>
              <w:pStyle w:val="7"/>
            </w:pPr>
            <w:r w:rsidRPr="00FD50F6">
              <w:rPr>
                <w:rFonts w:hint="eastAsia"/>
                <w:i/>
              </w:rPr>
              <w:t>Δ</w:t>
            </w:r>
            <w:r w:rsidRPr="00FD50F6">
              <w:rPr>
                <w:rFonts w:hint="eastAsia"/>
                <w:vertAlign w:val="subscript"/>
              </w:rPr>
              <w:t>d</w:t>
            </w:r>
          </w:p>
        </w:tc>
        <w:tc>
          <w:tcPr>
            <w:tcW w:w="3337" w:type="dxa"/>
            <w:vAlign w:val="center"/>
          </w:tcPr>
          <w:p w14:paraId="51C833E6" w14:textId="77777777" w:rsidR="002B733E" w:rsidRPr="00FD50F6" w:rsidRDefault="002B733E" w:rsidP="002B733E">
            <w:pPr>
              <w:pStyle w:val="7"/>
            </w:pPr>
            <w:r w:rsidRPr="00FD50F6">
              <w:rPr>
                <w:rFonts w:hint="eastAsia"/>
              </w:rPr>
              <w:t>轮对横向制造误差值</w:t>
            </w:r>
          </w:p>
        </w:tc>
        <w:tc>
          <w:tcPr>
            <w:tcW w:w="2632" w:type="dxa"/>
            <w:tcBorders>
              <w:right w:val="single" w:sz="4" w:space="0" w:color="auto"/>
            </w:tcBorders>
            <w:vAlign w:val="center"/>
          </w:tcPr>
          <w:p w14:paraId="087BCF1B" w14:textId="77777777" w:rsidR="002B733E" w:rsidRPr="00FD50F6" w:rsidRDefault="002B733E" w:rsidP="002B733E">
            <w:pPr>
              <w:pStyle w:val="7"/>
            </w:pPr>
            <w:r w:rsidRPr="00FD50F6">
              <w:rPr>
                <w:rFonts w:hint="eastAsia"/>
              </w:rPr>
              <w:t>1.5mm</w:t>
            </w:r>
          </w:p>
        </w:tc>
        <w:tc>
          <w:tcPr>
            <w:tcW w:w="693" w:type="dxa"/>
            <w:tcBorders>
              <w:left w:val="single" w:sz="4" w:space="0" w:color="auto"/>
              <w:right w:val="single" w:sz="12" w:space="0" w:color="auto"/>
            </w:tcBorders>
            <w:vAlign w:val="center"/>
          </w:tcPr>
          <w:p w14:paraId="10C4FC67" w14:textId="77777777" w:rsidR="002B733E" w:rsidRPr="00FD50F6" w:rsidRDefault="002B733E" w:rsidP="002B733E">
            <w:pPr>
              <w:pStyle w:val="7"/>
            </w:pPr>
            <w:r w:rsidRPr="00FD50F6">
              <w:rPr>
                <w:rFonts w:hint="eastAsia"/>
              </w:rPr>
              <w:t>Z</w:t>
            </w:r>
          </w:p>
        </w:tc>
      </w:tr>
      <w:tr w:rsidR="00FD50F6" w:rsidRPr="00FD50F6" w14:paraId="6BDB9DB4" w14:textId="77777777" w:rsidTr="002B733E">
        <w:trPr>
          <w:cantSplit/>
          <w:jc w:val="center"/>
        </w:trPr>
        <w:tc>
          <w:tcPr>
            <w:tcW w:w="709" w:type="dxa"/>
            <w:tcBorders>
              <w:left w:val="single" w:sz="12" w:space="0" w:color="auto"/>
            </w:tcBorders>
            <w:vAlign w:val="center"/>
          </w:tcPr>
          <w:p w14:paraId="3FEF846E" w14:textId="77777777" w:rsidR="002B733E" w:rsidRPr="00FD50F6" w:rsidRDefault="002B733E" w:rsidP="002B733E">
            <w:pPr>
              <w:pStyle w:val="7"/>
            </w:pPr>
            <w:r w:rsidRPr="00FD50F6">
              <w:rPr>
                <w:rFonts w:hint="eastAsia"/>
              </w:rPr>
              <w:t>47</w:t>
            </w:r>
          </w:p>
        </w:tc>
        <w:tc>
          <w:tcPr>
            <w:tcW w:w="851" w:type="dxa"/>
            <w:vAlign w:val="center"/>
          </w:tcPr>
          <w:p w14:paraId="62B84A66" w14:textId="77777777" w:rsidR="002B733E" w:rsidRPr="00FD50F6" w:rsidRDefault="002B733E" w:rsidP="002B733E">
            <w:pPr>
              <w:pStyle w:val="7"/>
              <w:rPr>
                <w:vertAlign w:val="subscript"/>
              </w:rPr>
            </w:pPr>
            <w:r w:rsidRPr="00FD50F6">
              <w:rPr>
                <w:rFonts w:hint="eastAsia"/>
                <w:i/>
              </w:rPr>
              <w:t>Δ</w:t>
            </w:r>
            <w:r w:rsidRPr="00FD50F6">
              <w:rPr>
                <w:rFonts w:hint="eastAsia"/>
                <w:vertAlign w:val="subscript"/>
              </w:rPr>
              <w:t>e</w:t>
            </w:r>
          </w:p>
        </w:tc>
        <w:tc>
          <w:tcPr>
            <w:tcW w:w="3337" w:type="dxa"/>
            <w:vAlign w:val="center"/>
          </w:tcPr>
          <w:p w14:paraId="530B0E1C" w14:textId="77777777" w:rsidR="002B733E" w:rsidRPr="00FD50F6" w:rsidRDefault="002B733E" w:rsidP="002B733E">
            <w:pPr>
              <w:pStyle w:val="7"/>
            </w:pPr>
            <w:r w:rsidRPr="00FD50F6">
              <w:rPr>
                <w:rFonts w:hint="eastAsia"/>
              </w:rPr>
              <w:t>轨道横向弹性变形量</w:t>
            </w:r>
            <w:r w:rsidRPr="00FD50F6">
              <w:rPr>
                <w:rFonts w:hint="eastAsia"/>
              </w:rPr>
              <w:t>:</w:t>
            </w:r>
          </w:p>
          <w:p w14:paraId="6A2926F4" w14:textId="77777777" w:rsidR="002B733E" w:rsidRPr="00FD50F6" w:rsidRDefault="002B733E" w:rsidP="002B733E">
            <w:pPr>
              <w:pStyle w:val="7"/>
            </w:pPr>
            <w:r w:rsidRPr="00FD50F6">
              <w:rPr>
                <w:rFonts w:hint="eastAsia"/>
              </w:rPr>
              <w:t>直线</w:t>
            </w:r>
          </w:p>
          <w:p w14:paraId="47C8563A" w14:textId="77777777" w:rsidR="002B733E" w:rsidRPr="00FD50F6" w:rsidRDefault="002B733E" w:rsidP="002B733E">
            <w:pPr>
              <w:pStyle w:val="7"/>
            </w:pPr>
            <w:r w:rsidRPr="00FD50F6">
              <w:rPr>
                <w:rFonts w:hint="eastAsia"/>
              </w:rPr>
              <w:t>曲线内外侧</w:t>
            </w:r>
          </w:p>
        </w:tc>
        <w:tc>
          <w:tcPr>
            <w:tcW w:w="2632" w:type="dxa"/>
            <w:tcBorders>
              <w:right w:val="single" w:sz="4" w:space="0" w:color="auto"/>
            </w:tcBorders>
            <w:vAlign w:val="center"/>
          </w:tcPr>
          <w:p w14:paraId="6BA0C503" w14:textId="77777777" w:rsidR="002B733E" w:rsidRPr="00FD50F6" w:rsidRDefault="002B733E" w:rsidP="002B733E">
            <w:pPr>
              <w:pStyle w:val="7"/>
            </w:pPr>
          </w:p>
          <w:p w14:paraId="11B2EB0B" w14:textId="77777777" w:rsidR="002B733E" w:rsidRPr="00FD50F6" w:rsidRDefault="002B733E" w:rsidP="002B733E">
            <w:pPr>
              <w:pStyle w:val="7"/>
            </w:pPr>
            <w:r w:rsidRPr="00FD50F6">
              <w:rPr>
                <w:rFonts w:hint="eastAsia"/>
              </w:rPr>
              <w:t>+1mm</w:t>
            </w:r>
          </w:p>
          <w:p w14:paraId="17EFCEA7" w14:textId="77777777" w:rsidR="002B733E" w:rsidRPr="00FD50F6" w:rsidRDefault="002B733E" w:rsidP="002B733E">
            <w:pPr>
              <w:pStyle w:val="7"/>
            </w:pPr>
            <w:r w:rsidRPr="00FD50F6">
              <w:rPr>
                <w:rFonts w:hint="eastAsia"/>
              </w:rPr>
              <w:t>+2.4mm</w:t>
            </w:r>
          </w:p>
        </w:tc>
        <w:tc>
          <w:tcPr>
            <w:tcW w:w="693" w:type="dxa"/>
            <w:tcBorders>
              <w:left w:val="single" w:sz="4" w:space="0" w:color="auto"/>
              <w:right w:val="single" w:sz="12" w:space="0" w:color="auto"/>
            </w:tcBorders>
            <w:vAlign w:val="center"/>
          </w:tcPr>
          <w:p w14:paraId="65D7A559" w14:textId="77777777" w:rsidR="002B733E" w:rsidRPr="00FD50F6" w:rsidRDefault="002B733E" w:rsidP="002B733E">
            <w:pPr>
              <w:pStyle w:val="7"/>
            </w:pPr>
          </w:p>
          <w:p w14:paraId="1CEF2884" w14:textId="77777777" w:rsidR="002B733E" w:rsidRPr="00FD50F6" w:rsidRDefault="002B733E" w:rsidP="002B733E">
            <w:pPr>
              <w:pStyle w:val="7"/>
            </w:pPr>
            <w:r w:rsidRPr="00FD50F6">
              <w:rPr>
                <w:rFonts w:hint="eastAsia"/>
              </w:rPr>
              <w:t>NZ</w:t>
            </w:r>
          </w:p>
          <w:p w14:paraId="1DF219FC" w14:textId="77777777" w:rsidR="002B733E" w:rsidRPr="00FD50F6" w:rsidRDefault="002B733E" w:rsidP="002B733E">
            <w:pPr>
              <w:pStyle w:val="7"/>
            </w:pPr>
            <w:r w:rsidRPr="00FD50F6">
              <w:rPr>
                <w:rFonts w:hint="eastAsia"/>
              </w:rPr>
              <w:t>NZ</w:t>
            </w:r>
          </w:p>
        </w:tc>
      </w:tr>
      <w:tr w:rsidR="00FD50F6" w:rsidRPr="00FD50F6" w14:paraId="4CFFB20B" w14:textId="77777777" w:rsidTr="002B733E">
        <w:trPr>
          <w:cantSplit/>
          <w:jc w:val="center"/>
        </w:trPr>
        <w:tc>
          <w:tcPr>
            <w:tcW w:w="709" w:type="dxa"/>
            <w:tcBorders>
              <w:left w:val="single" w:sz="12" w:space="0" w:color="auto"/>
            </w:tcBorders>
            <w:vAlign w:val="center"/>
          </w:tcPr>
          <w:p w14:paraId="633DF554" w14:textId="77777777" w:rsidR="002B733E" w:rsidRPr="00FD50F6" w:rsidRDefault="002B733E" w:rsidP="002B733E">
            <w:pPr>
              <w:pStyle w:val="7"/>
            </w:pPr>
            <w:r w:rsidRPr="00FD50F6">
              <w:rPr>
                <w:rFonts w:hint="eastAsia"/>
              </w:rPr>
              <w:t>48</w:t>
            </w:r>
          </w:p>
        </w:tc>
        <w:tc>
          <w:tcPr>
            <w:tcW w:w="851" w:type="dxa"/>
            <w:vAlign w:val="center"/>
          </w:tcPr>
          <w:p w14:paraId="5AF989EE" w14:textId="77777777" w:rsidR="002B733E" w:rsidRPr="00FD50F6" w:rsidRDefault="002B733E" w:rsidP="002B733E">
            <w:pPr>
              <w:pStyle w:val="7"/>
            </w:pPr>
            <w:r w:rsidRPr="00FD50F6">
              <w:rPr>
                <w:rFonts w:hint="eastAsia"/>
              </w:rPr>
              <w:t>Δ</w:t>
            </w:r>
            <w:r w:rsidRPr="00FD50F6">
              <w:rPr>
                <w:rFonts w:hint="eastAsia"/>
                <w:i/>
              </w:rPr>
              <w:t>f</w:t>
            </w:r>
            <w:r w:rsidRPr="00FD50F6">
              <w:rPr>
                <w:rFonts w:hint="eastAsia"/>
                <w:vertAlign w:val="subscript"/>
              </w:rPr>
              <w:t>p</w:t>
            </w:r>
          </w:p>
        </w:tc>
        <w:tc>
          <w:tcPr>
            <w:tcW w:w="3337" w:type="dxa"/>
            <w:vAlign w:val="center"/>
          </w:tcPr>
          <w:p w14:paraId="322D5750" w14:textId="77777777" w:rsidR="002B733E" w:rsidRPr="00FD50F6" w:rsidRDefault="002B733E" w:rsidP="002B733E">
            <w:pPr>
              <w:pStyle w:val="7"/>
            </w:pPr>
            <w:r w:rsidRPr="00FD50F6">
              <w:rPr>
                <w:rFonts w:hint="eastAsia"/>
              </w:rPr>
              <w:t>转向架一系弹簧垂向动挠度</w:t>
            </w:r>
          </w:p>
          <w:p w14:paraId="107B6877" w14:textId="77777777" w:rsidR="002B733E" w:rsidRPr="00FD50F6" w:rsidRDefault="002B733E" w:rsidP="002B733E">
            <w:pPr>
              <w:pStyle w:val="7"/>
            </w:pPr>
            <w:r w:rsidRPr="00FD50F6">
              <w:rPr>
                <w:rFonts w:hint="eastAsia"/>
              </w:rPr>
              <w:t>空车、重车应不一样</w:t>
            </w:r>
          </w:p>
        </w:tc>
        <w:tc>
          <w:tcPr>
            <w:tcW w:w="2632" w:type="dxa"/>
            <w:tcBorders>
              <w:right w:val="single" w:sz="4" w:space="0" w:color="auto"/>
            </w:tcBorders>
            <w:vAlign w:val="center"/>
          </w:tcPr>
          <w:p w14:paraId="69634CE2" w14:textId="77777777" w:rsidR="002B733E" w:rsidRPr="00FD50F6" w:rsidRDefault="002B733E" w:rsidP="002B733E">
            <w:pPr>
              <w:pStyle w:val="7"/>
            </w:pPr>
            <w:r w:rsidRPr="00FD50F6">
              <w:rPr>
                <w:rFonts w:hint="eastAsia"/>
              </w:rPr>
              <w:t>A</w:t>
            </w:r>
            <w:r w:rsidRPr="00FD50F6">
              <w:rPr>
                <w:rFonts w:hint="eastAsia"/>
              </w:rPr>
              <w:t>型车</w:t>
            </w:r>
          </w:p>
          <w:p w14:paraId="21896806" w14:textId="77777777" w:rsidR="002B733E" w:rsidRPr="00FD50F6" w:rsidRDefault="002B733E" w:rsidP="002B733E">
            <w:pPr>
              <w:pStyle w:val="7"/>
            </w:pPr>
            <w:r w:rsidRPr="00FD50F6">
              <w:rPr>
                <w:rFonts w:hint="eastAsia"/>
              </w:rPr>
              <w:t>±</w:t>
            </w:r>
            <w:r w:rsidRPr="00FD50F6">
              <w:rPr>
                <w:rFonts w:hint="eastAsia"/>
              </w:rPr>
              <w:t>12mm</w:t>
            </w:r>
          </w:p>
          <w:p w14:paraId="2F687391" w14:textId="77777777" w:rsidR="002B733E" w:rsidRPr="00FD50F6" w:rsidRDefault="002B733E" w:rsidP="002B733E">
            <w:pPr>
              <w:pStyle w:val="7"/>
            </w:pPr>
            <w:r w:rsidRPr="00FD50F6">
              <w:rPr>
                <w:rFonts w:hint="eastAsia"/>
              </w:rPr>
              <w:t>B</w:t>
            </w:r>
            <w:r w:rsidRPr="00FD50F6">
              <w:rPr>
                <w:rFonts w:hint="eastAsia"/>
              </w:rPr>
              <w:t>型车</w:t>
            </w:r>
          </w:p>
          <w:p w14:paraId="55263CCB" w14:textId="77777777" w:rsidR="002B733E" w:rsidRPr="00FD50F6" w:rsidRDefault="002B733E" w:rsidP="002B733E">
            <w:pPr>
              <w:pStyle w:val="7"/>
            </w:pPr>
            <w:r w:rsidRPr="00FD50F6">
              <w:rPr>
                <w:rFonts w:hint="eastAsia"/>
              </w:rPr>
              <w:t>±</w:t>
            </w:r>
            <w:r w:rsidRPr="00FD50F6">
              <w:rPr>
                <w:rFonts w:hint="eastAsia"/>
              </w:rPr>
              <w:t>9mm(80km/h)</w:t>
            </w:r>
          </w:p>
          <w:p w14:paraId="36F71DA6" w14:textId="77777777" w:rsidR="002B733E" w:rsidRPr="00FD50F6" w:rsidRDefault="002B733E" w:rsidP="002B733E">
            <w:pPr>
              <w:pStyle w:val="7"/>
            </w:pPr>
            <w:r w:rsidRPr="00FD50F6">
              <w:rPr>
                <w:rFonts w:hint="eastAsia"/>
              </w:rPr>
              <w:t>±</w:t>
            </w:r>
            <w:r w:rsidRPr="00FD50F6">
              <w:rPr>
                <w:rFonts w:hint="eastAsia"/>
              </w:rPr>
              <w:t>12mm(120km/h)</w:t>
            </w:r>
          </w:p>
        </w:tc>
        <w:tc>
          <w:tcPr>
            <w:tcW w:w="693" w:type="dxa"/>
            <w:tcBorders>
              <w:left w:val="single" w:sz="4" w:space="0" w:color="auto"/>
              <w:right w:val="single" w:sz="12" w:space="0" w:color="auto"/>
            </w:tcBorders>
            <w:vAlign w:val="center"/>
          </w:tcPr>
          <w:p w14:paraId="41394458" w14:textId="77777777" w:rsidR="002B733E" w:rsidRPr="00FD50F6" w:rsidRDefault="002B733E" w:rsidP="002B733E">
            <w:pPr>
              <w:pStyle w:val="7"/>
            </w:pPr>
            <w:r w:rsidRPr="00FD50F6">
              <w:rPr>
                <w:rFonts w:hint="eastAsia"/>
              </w:rPr>
              <w:t>Z</w:t>
            </w:r>
          </w:p>
        </w:tc>
      </w:tr>
      <w:tr w:rsidR="00FD50F6" w:rsidRPr="00FD50F6" w14:paraId="3C09841C" w14:textId="77777777" w:rsidTr="002B733E">
        <w:trPr>
          <w:cantSplit/>
          <w:jc w:val="center"/>
        </w:trPr>
        <w:tc>
          <w:tcPr>
            <w:tcW w:w="709" w:type="dxa"/>
            <w:tcBorders>
              <w:left w:val="single" w:sz="12" w:space="0" w:color="auto"/>
            </w:tcBorders>
            <w:vAlign w:val="center"/>
          </w:tcPr>
          <w:p w14:paraId="085E342E" w14:textId="77777777" w:rsidR="002B733E" w:rsidRPr="00FD50F6" w:rsidRDefault="002B733E" w:rsidP="002B733E">
            <w:pPr>
              <w:pStyle w:val="7"/>
            </w:pPr>
            <w:r w:rsidRPr="00FD50F6">
              <w:rPr>
                <w:rFonts w:hint="eastAsia"/>
              </w:rPr>
              <w:t>49</w:t>
            </w:r>
          </w:p>
        </w:tc>
        <w:tc>
          <w:tcPr>
            <w:tcW w:w="851" w:type="dxa"/>
            <w:vAlign w:val="center"/>
          </w:tcPr>
          <w:p w14:paraId="21047692" w14:textId="77777777" w:rsidR="002B733E" w:rsidRPr="00FD50F6" w:rsidRDefault="002B733E" w:rsidP="002B733E">
            <w:pPr>
              <w:pStyle w:val="7"/>
            </w:pPr>
            <w:r w:rsidRPr="00FD50F6">
              <w:rPr>
                <w:rFonts w:hint="eastAsia"/>
              </w:rPr>
              <w:t>Δ</w:t>
            </w:r>
            <w:r w:rsidRPr="00FD50F6">
              <w:rPr>
                <w:rFonts w:hint="eastAsia"/>
                <w:i/>
              </w:rPr>
              <w:t>f</w:t>
            </w:r>
            <w:r w:rsidRPr="00FD50F6">
              <w:rPr>
                <w:rFonts w:hint="eastAsia"/>
                <w:vertAlign w:val="subscript"/>
              </w:rPr>
              <w:t>s</w:t>
            </w:r>
          </w:p>
        </w:tc>
        <w:tc>
          <w:tcPr>
            <w:tcW w:w="3337" w:type="dxa"/>
            <w:vAlign w:val="center"/>
          </w:tcPr>
          <w:p w14:paraId="434578CF" w14:textId="77777777" w:rsidR="002B733E" w:rsidRPr="00FD50F6" w:rsidRDefault="002B733E" w:rsidP="002B733E">
            <w:pPr>
              <w:pStyle w:val="7"/>
            </w:pPr>
            <w:r w:rsidRPr="00FD50F6">
              <w:rPr>
                <w:rFonts w:hint="eastAsia"/>
              </w:rPr>
              <w:t>转向架二系弹簧垂向动挠度</w:t>
            </w:r>
          </w:p>
        </w:tc>
        <w:tc>
          <w:tcPr>
            <w:tcW w:w="2632" w:type="dxa"/>
            <w:tcBorders>
              <w:right w:val="single" w:sz="4" w:space="0" w:color="auto"/>
            </w:tcBorders>
            <w:vAlign w:val="center"/>
          </w:tcPr>
          <w:p w14:paraId="5B3878C3" w14:textId="77777777" w:rsidR="002B733E" w:rsidRPr="00FD50F6" w:rsidRDefault="002B733E" w:rsidP="002B733E">
            <w:pPr>
              <w:pStyle w:val="7"/>
            </w:pPr>
            <w:r w:rsidRPr="00FD50F6">
              <w:rPr>
                <w:rFonts w:hint="eastAsia"/>
              </w:rPr>
              <w:t>A</w:t>
            </w:r>
            <w:r w:rsidRPr="00FD50F6">
              <w:rPr>
                <w:rFonts w:hint="eastAsia"/>
              </w:rPr>
              <w:t>型车</w:t>
            </w:r>
          </w:p>
          <w:p w14:paraId="207DA955" w14:textId="77777777" w:rsidR="002B733E" w:rsidRPr="00FD50F6" w:rsidRDefault="002B733E" w:rsidP="002B733E">
            <w:pPr>
              <w:pStyle w:val="7"/>
            </w:pPr>
            <w:r w:rsidRPr="00FD50F6">
              <w:rPr>
                <w:rFonts w:hint="eastAsia"/>
              </w:rPr>
              <w:t>10mm</w:t>
            </w:r>
          </w:p>
          <w:p w14:paraId="0FD5E937" w14:textId="77777777" w:rsidR="002B733E" w:rsidRPr="00FD50F6" w:rsidRDefault="002B733E" w:rsidP="002B733E">
            <w:pPr>
              <w:pStyle w:val="7"/>
            </w:pPr>
            <w:r w:rsidRPr="00FD50F6">
              <w:rPr>
                <w:rFonts w:hint="eastAsia"/>
              </w:rPr>
              <w:t>B</w:t>
            </w:r>
            <w:r w:rsidRPr="00FD50F6">
              <w:rPr>
                <w:rFonts w:hint="eastAsia"/>
              </w:rPr>
              <w:t>型车</w:t>
            </w:r>
          </w:p>
          <w:p w14:paraId="1C609376" w14:textId="77777777" w:rsidR="002B733E" w:rsidRPr="00FD50F6" w:rsidRDefault="002B733E" w:rsidP="002B733E">
            <w:pPr>
              <w:pStyle w:val="7"/>
            </w:pPr>
            <w:r w:rsidRPr="00FD50F6">
              <w:rPr>
                <w:rFonts w:hint="eastAsia"/>
              </w:rPr>
              <w:t>25mm</w:t>
            </w:r>
          </w:p>
        </w:tc>
        <w:tc>
          <w:tcPr>
            <w:tcW w:w="693" w:type="dxa"/>
            <w:tcBorders>
              <w:left w:val="single" w:sz="4" w:space="0" w:color="auto"/>
              <w:right w:val="single" w:sz="12" w:space="0" w:color="auto"/>
            </w:tcBorders>
            <w:vAlign w:val="center"/>
          </w:tcPr>
          <w:p w14:paraId="4005DD59" w14:textId="77777777" w:rsidR="002B733E" w:rsidRPr="00FD50F6" w:rsidRDefault="002B733E" w:rsidP="002B733E">
            <w:pPr>
              <w:pStyle w:val="7"/>
            </w:pPr>
            <w:r w:rsidRPr="00FD50F6">
              <w:rPr>
                <w:rFonts w:hint="eastAsia"/>
              </w:rPr>
              <w:t>Z</w:t>
            </w:r>
          </w:p>
        </w:tc>
      </w:tr>
      <w:tr w:rsidR="00FD50F6" w:rsidRPr="00FD50F6" w14:paraId="370D8A34" w14:textId="77777777" w:rsidTr="002B733E">
        <w:trPr>
          <w:cantSplit/>
          <w:jc w:val="center"/>
        </w:trPr>
        <w:tc>
          <w:tcPr>
            <w:tcW w:w="709" w:type="dxa"/>
            <w:tcBorders>
              <w:left w:val="single" w:sz="12" w:space="0" w:color="auto"/>
            </w:tcBorders>
            <w:vAlign w:val="center"/>
          </w:tcPr>
          <w:p w14:paraId="541E0BC6" w14:textId="77777777" w:rsidR="002B733E" w:rsidRPr="00FD50F6" w:rsidRDefault="002B733E" w:rsidP="002B733E">
            <w:pPr>
              <w:pStyle w:val="7"/>
            </w:pPr>
            <w:r w:rsidRPr="00FD50F6">
              <w:rPr>
                <w:rFonts w:hint="eastAsia"/>
              </w:rPr>
              <w:t>50</w:t>
            </w:r>
          </w:p>
        </w:tc>
        <w:tc>
          <w:tcPr>
            <w:tcW w:w="851" w:type="dxa"/>
            <w:vAlign w:val="center"/>
          </w:tcPr>
          <w:p w14:paraId="1FB69076" w14:textId="77777777" w:rsidR="002B733E" w:rsidRPr="00FD50F6" w:rsidRDefault="002B733E" w:rsidP="002B733E">
            <w:pPr>
              <w:pStyle w:val="7"/>
            </w:pPr>
            <w:r w:rsidRPr="00FD50F6">
              <w:rPr>
                <w:rFonts w:hint="eastAsia"/>
              </w:rPr>
              <w:t>Δ</w:t>
            </w:r>
            <w:r w:rsidRPr="00FD50F6">
              <w:rPr>
                <w:rFonts w:hint="eastAsia"/>
                <w:i/>
              </w:rPr>
              <w:t>h</w:t>
            </w:r>
            <w:r w:rsidRPr="00FD50F6">
              <w:rPr>
                <w:rFonts w:hint="eastAsia"/>
                <w:vertAlign w:val="subscript"/>
              </w:rPr>
              <w:t>c1</w:t>
            </w:r>
          </w:p>
        </w:tc>
        <w:tc>
          <w:tcPr>
            <w:tcW w:w="3337" w:type="dxa"/>
            <w:vAlign w:val="center"/>
          </w:tcPr>
          <w:p w14:paraId="39D0B710" w14:textId="77777777" w:rsidR="002B733E" w:rsidRPr="00FD50F6" w:rsidRDefault="002B733E" w:rsidP="002B733E">
            <w:pPr>
              <w:pStyle w:val="7"/>
            </w:pPr>
            <w:r w:rsidRPr="00FD50F6">
              <w:rPr>
                <w:rFonts w:hint="eastAsia"/>
              </w:rPr>
              <w:t>两条钢轨的相对高度误差值</w:t>
            </w:r>
            <w:r w:rsidRPr="00FD50F6">
              <w:rPr>
                <w:rFonts w:hint="eastAsia"/>
              </w:rPr>
              <w:t>:</w:t>
            </w:r>
          </w:p>
          <w:p w14:paraId="170BC37F" w14:textId="77777777" w:rsidR="002B733E" w:rsidRPr="00FD50F6" w:rsidRDefault="002B733E" w:rsidP="002B733E">
            <w:pPr>
              <w:pStyle w:val="7"/>
            </w:pPr>
            <w:r w:rsidRPr="00FD50F6">
              <w:rPr>
                <w:rFonts w:hint="eastAsia"/>
              </w:rPr>
              <w:t>整体道床</w:t>
            </w:r>
          </w:p>
          <w:p w14:paraId="39579B15" w14:textId="77777777" w:rsidR="002B733E" w:rsidRPr="00FD50F6" w:rsidRDefault="002B733E" w:rsidP="002B733E">
            <w:pPr>
              <w:pStyle w:val="7"/>
            </w:pPr>
            <w:r w:rsidRPr="00FD50F6">
              <w:rPr>
                <w:rFonts w:hint="eastAsia"/>
              </w:rPr>
              <w:t>碎石道床</w:t>
            </w:r>
          </w:p>
        </w:tc>
        <w:tc>
          <w:tcPr>
            <w:tcW w:w="2632" w:type="dxa"/>
            <w:tcBorders>
              <w:right w:val="single" w:sz="4" w:space="0" w:color="auto"/>
            </w:tcBorders>
            <w:vAlign w:val="center"/>
          </w:tcPr>
          <w:p w14:paraId="70E53417" w14:textId="77777777" w:rsidR="002B733E" w:rsidRPr="00FD50F6" w:rsidRDefault="002B733E" w:rsidP="002B733E">
            <w:pPr>
              <w:pStyle w:val="7"/>
            </w:pPr>
          </w:p>
          <w:p w14:paraId="240C50CA" w14:textId="77777777" w:rsidR="002B733E" w:rsidRPr="00FD50F6" w:rsidRDefault="002B733E" w:rsidP="002B733E">
            <w:pPr>
              <w:pStyle w:val="7"/>
            </w:pPr>
            <w:r w:rsidRPr="00FD50F6">
              <w:rPr>
                <w:rFonts w:hint="eastAsia"/>
              </w:rPr>
              <w:t>4mm</w:t>
            </w:r>
          </w:p>
          <w:p w14:paraId="078427BC" w14:textId="77777777" w:rsidR="002B733E" w:rsidRPr="00FD50F6" w:rsidRDefault="002B733E" w:rsidP="002B733E">
            <w:pPr>
              <w:pStyle w:val="7"/>
            </w:pPr>
            <w:r w:rsidRPr="00FD50F6">
              <w:rPr>
                <w:rFonts w:hint="eastAsia"/>
              </w:rPr>
              <w:t>6mm</w:t>
            </w:r>
          </w:p>
        </w:tc>
        <w:tc>
          <w:tcPr>
            <w:tcW w:w="693" w:type="dxa"/>
            <w:tcBorders>
              <w:left w:val="single" w:sz="4" w:space="0" w:color="auto"/>
              <w:right w:val="single" w:sz="12" w:space="0" w:color="auto"/>
            </w:tcBorders>
            <w:vAlign w:val="center"/>
          </w:tcPr>
          <w:p w14:paraId="73F4FC4F" w14:textId="77777777" w:rsidR="002B733E" w:rsidRPr="00FD50F6" w:rsidRDefault="002B733E" w:rsidP="002B733E">
            <w:pPr>
              <w:pStyle w:val="7"/>
            </w:pPr>
          </w:p>
          <w:p w14:paraId="18805890" w14:textId="77777777" w:rsidR="002B733E" w:rsidRPr="00FD50F6" w:rsidRDefault="002B733E" w:rsidP="002B733E">
            <w:pPr>
              <w:pStyle w:val="7"/>
            </w:pPr>
            <w:r w:rsidRPr="00FD50F6">
              <w:rPr>
                <w:rFonts w:hint="eastAsia"/>
              </w:rPr>
              <w:t>Z</w:t>
            </w:r>
          </w:p>
          <w:p w14:paraId="0ED25B84" w14:textId="77777777" w:rsidR="002B733E" w:rsidRPr="00FD50F6" w:rsidRDefault="002B733E" w:rsidP="002B733E">
            <w:pPr>
              <w:pStyle w:val="7"/>
            </w:pPr>
            <w:r w:rsidRPr="00FD50F6">
              <w:rPr>
                <w:rFonts w:hint="eastAsia"/>
              </w:rPr>
              <w:t>Z</w:t>
            </w:r>
          </w:p>
        </w:tc>
      </w:tr>
      <w:tr w:rsidR="00FD50F6" w:rsidRPr="00FD50F6" w14:paraId="787046EF" w14:textId="77777777" w:rsidTr="002B733E">
        <w:trPr>
          <w:cantSplit/>
          <w:jc w:val="center"/>
        </w:trPr>
        <w:tc>
          <w:tcPr>
            <w:tcW w:w="709" w:type="dxa"/>
            <w:tcBorders>
              <w:left w:val="single" w:sz="12" w:space="0" w:color="auto"/>
            </w:tcBorders>
            <w:vAlign w:val="center"/>
          </w:tcPr>
          <w:p w14:paraId="1D7BD006" w14:textId="77777777" w:rsidR="002B733E" w:rsidRPr="00FD50F6" w:rsidRDefault="002B733E" w:rsidP="002B733E">
            <w:pPr>
              <w:pStyle w:val="7"/>
            </w:pPr>
            <w:r w:rsidRPr="00FD50F6">
              <w:rPr>
                <w:rFonts w:hint="eastAsia"/>
              </w:rPr>
              <w:t>51</w:t>
            </w:r>
          </w:p>
        </w:tc>
        <w:tc>
          <w:tcPr>
            <w:tcW w:w="851" w:type="dxa"/>
            <w:vAlign w:val="center"/>
          </w:tcPr>
          <w:p w14:paraId="31E83592" w14:textId="77777777" w:rsidR="002B733E" w:rsidRPr="00FD50F6" w:rsidRDefault="002B733E" w:rsidP="002B733E">
            <w:pPr>
              <w:pStyle w:val="7"/>
            </w:pPr>
            <w:r w:rsidRPr="00FD50F6">
              <w:rPr>
                <w:rFonts w:hint="eastAsia"/>
              </w:rPr>
              <w:t>Δ</w:t>
            </w:r>
            <w:r w:rsidRPr="00FD50F6">
              <w:rPr>
                <w:rFonts w:hint="eastAsia"/>
                <w:i/>
              </w:rPr>
              <w:t>h</w:t>
            </w:r>
            <w:r w:rsidRPr="00FD50F6">
              <w:rPr>
                <w:rFonts w:hint="eastAsia"/>
                <w:vertAlign w:val="subscript"/>
              </w:rPr>
              <w:t>c2</w:t>
            </w:r>
          </w:p>
        </w:tc>
        <w:tc>
          <w:tcPr>
            <w:tcW w:w="3337" w:type="dxa"/>
            <w:vAlign w:val="center"/>
          </w:tcPr>
          <w:p w14:paraId="345BEF24" w14:textId="77777777" w:rsidR="002B733E" w:rsidRPr="00FD50F6" w:rsidRDefault="002B733E" w:rsidP="002B733E">
            <w:pPr>
              <w:pStyle w:val="7"/>
            </w:pPr>
            <w:r w:rsidRPr="00FD50F6">
              <w:rPr>
                <w:rFonts w:hint="eastAsia"/>
              </w:rPr>
              <w:t>两条钢轨的相对高度的弹性变化量</w:t>
            </w:r>
            <w:r w:rsidRPr="00FD50F6">
              <w:rPr>
                <w:rFonts w:hint="eastAsia"/>
              </w:rPr>
              <w:t>:</w:t>
            </w:r>
          </w:p>
          <w:p w14:paraId="45F20E65" w14:textId="77777777" w:rsidR="002B733E" w:rsidRPr="00FD50F6" w:rsidRDefault="002B733E" w:rsidP="002B733E">
            <w:pPr>
              <w:pStyle w:val="7"/>
            </w:pPr>
            <w:r w:rsidRPr="00FD50F6">
              <w:rPr>
                <w:rFonts w:hint="eastAsia"/>
              </w:rPr>
              <w:t>整体道床</w:t>
            </w:r>
          </w:p>
          <w:p w14:paraId="721F1C1E" w14:textId="77777777" w:rsidR="002B733E" w:rsidRPr="00FD50F6" w:rsidRDefault="002B733E" w:rsidP="002B733E">
            <w:pPr>
              <w:pStyle w:val="7"/>
            </w:pPr>
            <w:r w:rsidRPr="00FD50F6">
              <w:rPr>
                <w:rFonts w:hint="eastAsia"/>
              </w:rPr>
              <w:t>碎石道床</w:t>
            </w:r>
          </w:p>
        </w:tc>
        <w:tc>
          <w:tcPr>
            <w:tcW w:w="2632" w:type="dxa"/>
            <w:tcBorders>
              <w:right w:val="single" w:sz="4" w:space="0" w:color="auto"/>
            </w:tcBorders>
            <w:vAlign w:val="center"/>
          </w:tcPr>
          <w:p w14:paraId="2E86AC87" w14:textId="77777777" w:rsidR="002B733E" w:rsidRPr="00FD50F6" w:rsidRDefault="002B733E" w:rsidP="002B733E">
            <w:pPr>
              <w:pStyle w:val="7"/>
            </w:pPr>
          </w:p>
          <w:p w14:paraId="7F9573CE" w14:textId="77777777" w:rsidR="002B733E" w:rsidRPr="00FD50F6" w:rsidRDefault="002B733E" w:rsidP="002B733E">
            <w:pPr>
              <w:pStyle w:val="7"/>
            </w:pPr>
            <w:r w:rsidRPr="00FD50F6">
              <w:rPr>
                <w:rFonts w:hint="eastAsia"/>
              </w:rPr>
              <w:t>1mm</w:t>
            </w:r>
          </w:p>
          <w:p w14:paraId="2388B1F4" w14:textId="77777777" w:rsidR="002B733E" w:rsidRPr="00FD50F6" w:rsidRDefault="002B733E" w:rsidP="002B733E">
            <w:pPr>
              <w:pStyle w:val="7"/>
            </w:pPr>
            <w:r w:rsidRPr="00FD50F6">
              <w:rPr>
                <w:rFonts w:hint="eastAsia"/>
              </w:rPr>
              <w:t>2mm</w:t>
            </w:r>
          </w:p>
        </w:tc>
        <w:tc>
          <w:tcPr>
            <w:tcW w:w="693" w:type="dxa"/>
            <w:tcBorders>
              <w:left w:val="single" w:sz="4" w:space="0" w:color="auto"/>
              <w:right w:val="single" w:sz="12" w:space="0" w:color="auto"/>
            </w:tcBorders>
            <w:vAlign w:val="center"/>
          </w:tcPr>
          <w:p w14:paraId="4E1FAAE4" w14:textId="77777777" w:rsidR="002B733E" w:rsidRPr="00FD50F6" w:rsidRDefault="002B733E" w:rsidP="002B733E">
            <w:pPr>
              <w:pStyle w:val="7"/>
            </w:pPr>
          </w:p>
          <w:p w14:paraId="2FEBD115" w14:textId="77777777" w:rsidR="002B733E" w:rsidRPr="00FD50F6" w:rsidRDefault="002B733E" w:rsidP="002B733E">
            <w:pPr>
              <w:pStyle w:val="7"/>
            </w:pPr>
            <w:r w:rsidRPr="00FD50F6">
              <w:rPr>
                <w:rFonts w:hint="eastAsia"/>
              </w:rPr>
              <w:t>Z</w:t>
            </w:r>
          </w:p>
          <w:p w14:paraId="04C0EDD2" w14:textId="77777777" w:rsidR="002B733E" w:rsidRPr="00FD50F6" w:rsidRDefault="002B733E" w:rsidP="002B733E">
            <w:pPr>
              <w:pStyle w:val="7"/>
            </w:pPr>
            <w:r w:rsidRPr="00FD50F6">
              <w:rPr>
                <w:rFonts w:hint="eastAsia"/>
              </w:rPr>
              <w:t>Z</w:t>
            </w:r>
          </w:p>
        </w:tc>
      </w:tr>
      <w:tr w:rsidR="00FD50F6" w:rsidRPr="00FD50F6" w14:paraId="08779B3D" w14:textId="77777777" w:rsidTr="002B733E">
        <w:trPr>
          <w:cantSplit/>
          <w:jc w:val="center"/>
        </w:trPr>
        <w:tc>
          <w:tcPr>
            <w:tcW w:w="709" w:type="dxa"/>
            <w:tcBorders>
              <w:left w:val="single" w:sz="12" w:space="0" w:color="auto"/>
            </w:tcBorders>
            <w:vAlign w:val="center"/>
          </w:tcPr>
          <w:p w14:paraId="065E4121" w14:textId="77777777" w:rsidR="002B733E" w:rsidRPr="00FD50F6" w:rsidRDefault="002B733E" w:rsidP="002B733E">
            <w:pPr>
              <w:pStyle w:val="7"/>
            </w:pPr>
            <w:r w:rsidRPr="00FD50F6">
              <w:rPr>
                <w:rFonts w:hint="eastAsia"/>
              </w:rPr>
              <w:t>52</w:t>
            </w:r>
          </w:p>
        </w:tc>
        <w:tc>
          <w:tcPr>
            <w:tcW w:w="851" w:type="dxa"/>
            <w:vAlign w:val="center"/>
          </w:tcPr>
          <w:p w14:paraId="68F53DAB" w14:textId="77777777" w:rsidR="002B733E" w:rsidRPr="00FD50F6" w:rsidRDefault="002B733E" w:rsidP="002B733E">
            <w:pPr>
              <w:pStyle w:val="7"/>
            </w:pPr>
            <w:r w:rsidRPr="00FD50F6">
              <w:rPr>
                <w:rFonts w:hint="eastAsia"/>
              </w:rPr>
              <w:sym w:font="Symbol" w:char="F044"/>
            </w:r>
            <w:r w:rsidRPr="00FD50F6">
              <w:rPr>
                <w:rFonts w:hint="eastAsia"/>
                <w:i/>
              </w:rPr>
              <w:t>H</w:t>
            </w:r>
            <w:r w:rsidRPr="00FD50F6">
              <w:rPr>
                <w:rFonts w:hint="eastAsia"/>
                <w:vertAlign w:val="subscript"/>
              </w:rPr>
              <w:t>vt</w:t>
            </w:r>
          </w:p>
        </w:tc>
        <w:tc>
          <w:tcPr>
            <w:tcW w:w="3337" w:type="dxa"/>
            <w:vAlign w:val="center"/>
          </w:tcPr>
          <w:p w14:paraId="234BA92E" w14:textId="77777777" w:rsidR="002B733E" w:rsidRPr="00FD50F6" w:rsidRDefault="002B733E" w:rsidP="002B733E">
            <w:pPr>
              <w:pStyle w:val="7"/>
            </w:pPr>
            <w:r w:rsidRPr="00FD50F6">
              <w:rPr>
                <w:rFonts w:hint="eastAsia"/>
              </w:rPr>
              <w:t>受流器非工作状态下垂向向上位移</w:t>
            </w:r>
          </w:p>
        </w:tc>
        <w:tc>
          <w:tcPr>
            <w:tcW w:w="2632" w:type="dxa"/>
            <w:tcBorders>
              <w:right w:val="single" w:sz="4" w:space="0" w:color="auto"/>
            </w:tcBorders>
            <w:vAlign w:val="center"/>
          </w:tcPr>
          <w:p w14:paraId="28A61E4F" w14:textId="77777777" w:rsidR="002B733E" w:rsidRPr="00FD50F6" w:rsidRDefault="002B733E" w:rsidP="002B733E">
            <w:pPr>
              <w:pStyle w:val="7"/>
            </w:pPr>
            <w:r w:rsidRPr="00FD50F6">
              <w:rPr>
                <w:rFonts w:hint="eastAsia"/>
              </w:rPr>
              <w:t>按受流器构造确定</w:t>
            </w:r>
          </w:p>
        </w:tc>
        <w:tc>
          <w:tcPr>
            <w:tcW w:w="693" w:type="dxa"/>
            <w:tcBorders>
              <w:left w:val="single" w:sz="4" w:space="0" w:color="auto"/>
              <w:right w:val="single" w:sz="12" w:space="0" w:color="auto"/>
            </w:tcBorders>
            <w:vAlign w:val="center"/>
          </w:tcPr>
          <w:p w14:paraId="07E572F3" w14:textId="77777777" w:rsidR="002B733E" w:rsidRPr="00FD50F6" w:rsidRDefault="002B733E" w:rsidP="002B733E">
            <w:pPr>
              <w:pStyle w:val="7"/>
            </w:pPr>
            <w:r w:rsidRPr="00FD50F6">
              <w:rPr>
                <w:rFonts w:hint="eastAsia"/>
              </w:rPr>
              <w:t>—</w:t>
            </w:r>
          </w:p>
        </w:tc>
      </w:tr>
      <w:tr w:rsidR="00FD50F6" w:rsidRPr="00FD50F6" w14:paraId="7AAF569C" w14:textId="77777777" w:rsidTr="002B733E">
        <w:trPr>
          <w:cantSplit/>
          <w:jc w:val="center"/>
        </w:trPr>
        <w:tc>
          <w:tcPr>
            <w:tcW w:w="709" w:type="dxa"/>
            <w:tcBorders>
              <w:left w:val="single" w:sz="12" w:space="0" w:color="auto"/>
            </w:tcBorders>
            <w:vAlign w:val="center"/>
          </w:tcPr>
          <w:p w14:paraId="6F8B2728" w14:textId="77777777" w:rsidR="002B733E" w:rsidRPr="00FD50F6" w:rsidRDefault="002B733E" w:rsidP="002B733E">
            <w:pPr>
              <w:pStyle w:val="7"/>
            </w:pPr>
            <w:r w:rsidRPr="00FD50F6">
              <w:rPr>
                <w:rFonts w:hint="eastAsia"/>
              </w:rPr>
              <w:t>53</w:t>
            </w:r>
          </w:p>
        </w:tc>
        <w:tc>
          <w:tcPr>
            <w:tcW w:w="851" w:type="dxa"/>
            <w:vAlign w:val="center"/>
          </w:tcPr>
          <w:p w14:paraId="486A2BFB" w14:textId="77777777" w:rsidR="002B733E" w:rsidRPr="00FD50F6" w:rsidRDefault="002B733E" w:rsidP="002B733E">
            <w:pPr>
              <w:pStyle w:val="7"/>
            </w:pPr>
            <w:r w:rsidRPr="00FD50F6">
              <w:rPr>
                <w:rFonts w:hint="eastAsia"/>
              </w:rPr>
              <w:sym w:font="Symbol" w:char="F044"/>
            </w:r>
            <w:r w:rsidRPr="00FD50F6">
              <w:rPr>
                <w:rFonts w:hint="eastAsia"/>
                <w:i/>
              </w:rPr>
              <w:t>J</w:t>
            </w:r>
            <w:r w:rsidRPr="00FD50F6">
              <w:rPr>
                <w:rFonts w:hint="eastAsia"/>
                <w:vertAlign w:val="subscript"/>
              </w:rPr>
              <w:t>vd</w:t>
            </w:r>
          </w:p>
        </w:tc>
        <w:tc>
          <w:tcPr>
            <w:tcW w:w="3337" w:type="dxa"/>
            <w:vAlign w:val="center"/>
          </w:tcPr>
          <w:p w14:paraId="2C261F2A" w14:textId="77777777" w:rsidR="002B733E" w:rsidRPr="00FD50F6" w:rsidRDefault="002B733E" w:rsidP="002B733E">
            <w:pPr>
              <w:pStyle w:val="7"/>
            </w:pPr>
            <w:r w:rsidRPr="00FD50F6">
              <w:rPr>
                <w:rFonts w:hint="eastAsia"/>
              </w:rPr>
              <w:t>架空线抬升量</w:t>
            </w:r>
          </w:p>
        </w:tc>
        <w:tc>
          <w:tcPr>
            <w:tcW w:w="2632" w:type="dxa"/>
            <w:tcBorders>
              <w:right w:val="single" w:sz="4" w:space="0" w:color="auto"/>
            </w:tcBorders>
            <w:vAlign w:val="center"/>
          </w:tcPr>
          <w:p w14:paraId="4D866613" w14:textId="77777777" w:rsidR="002B733E" w:rsidRPr="00FD50F6" w:rsidRDefault="002B733E" w:rsidP="002B733E">
            <w:pPr>
              <w:pStyle w:val="7"/>
            </w:pPr>
            <w:r w:rsidRPr="00FD50F6">
              <w:rPr>
                <w:rFonts w:hint="eastAsia"/>
              </w:rPr>
              <w:t>25mm(</w:t>
            </w:r>
            <w:r w:rsidRPr="00FD50F6">
              <w:rPr>
                <w:rFonts w:hint="eastAsia"/>
              </w:rPr>
              <w:t>柔性接触网</w:t>
            </w:r>
            <w:r w:rsidRPr="00FD50F6">
              <w:rPr>
                <w:rFonts w:hint="eastAsia"/>
              </w:rPr>
              <w:t>)</w:t>
            </w:r>
          </w:p>
          <w:p w14:paraId="3806BC3F" w14:textId="77777777" w:rsidR="002B733E" w:rsidRPr="00FD50F6" w:rsidRDefault="002B733E" w:rsidP="002B733E">
            <w:pPr>
              <w:pStyle w:val="7"/>
            </w:pPr>
            <w:r w:rsidRPr="00FD50F6">
              <w:rPr>
                <w:rFonts w:hint="eastAsia"/>
              </w:rPr>
              <w:t>10mm(</w:t>
            </w:r>
            <w:r w:rsidRPr="00FD50F6">
              <w:rPr>
                <w:rFonts w:hint="eastAsia"/>
              </w:rPr>
              <w:t>刚性接触网安装误差</w:t>
            </w:r>
            <w:r w:rsidRPr="00FD50F6">
              <w:rPr>
                <w:rFonts w:hint="eastAsia"/>
              </w:rPr>
              <w:t>)</w:t>
            </w:r>
          </w:p>
        </w:tc>
        <w:tc>
          <w:tcPr>
            <w:tcW w:w="693" w:type="dxa"/>
            <w:tcBorders>
              <w:left w:val="single" w:sz="4" w:space="0" w:color="auto"/>
              <w:right w:val="single" w:sz="12" w:space="0" w:color="auto"/>
            </w:tcBorders>
            <w:vAlign w:val="center"/>
          </w:tcPr>
          <w:p w14:paraId="75709274" w14:textId="77777777" w:rsidR="002B733E" w:rsidRPr="00FD50F6" w:rsidRDefault="002B733E" w:rsidP="002B733E">
            <w:pPr>
              <w:pStyle w:val="7"/>
            </w:pPr>
            <w:r w:rsidRPr="00FD50F6">
              <w:rPr>
                <w:rFonts w:hint="eastAsia"/>
              </w:rPr>
              <w:t>NZ</w:t>
            </w:r>
          </w:p>
        </w:tc>
      </w:tr>
      <w:tr w:rsidR="00FD50F6" w:rsidRPr="00FD50F6" w14:paraId="0C7C57FD" w14:textId="77777777" w:rsidTr="002B733E">
        <w:trPr>
          <w:cantSplit/>
          <w:jc w:val="center"/>
        </w:trPr>
        <w:tc>
          <w:tcPr>
            <w:tcW w:w="709" w:type="dxa"/>
            <w:tcBorders>
              <w:left w:val="single" w:sz="12" w:space="0" w:color="auto"/>
            </w:tcBorders>
            <w:vAlign w:val="center"/>
          </w:tcPr>
          <w:p w14:paraId="339AA339" w14:textId="77777777" w:rsidR="002B733E" w:rsidRPr="00FD50F6" w:rsidRDefault="002B733E" w:rsidP="002B733E">
            <w:pPr>
              <w:pStyle w:val="7"/>
            </w:pPr>
            <w:r w:rsidRPr="00FD50F6">
              <w:rPr>
                <w:rFonts w:hint="eastAsia"/>
              </w:rPr>
              <w:t>54</w:t>
            </w:r>
          </w:p>
        </w:tc>
        <w:tc>
          <w:tcPr>
            <w:tcW w:w="851" w:type="dxa"/>
            <w:vAlign w:val="center"/>
          </w:tcPr>
          <w:p w14:paraId="4E74819F" w14:textId="77777777" w:rsidR="002B733E" w:rsidRPr="00FD50F6" w:rsidRDefault="002B733E" w:rsidP="002B733E">
            <w:pPr>
              <w:pStyle w:val="7"/>
              <w:rPr>
                <w:vertAlign w:val="subscript"/>
              </w:rPr>
            </w:pPr>
            <w:r w:rsidRPr="00FD50F6">
              <w:rPr>
                <w:rFonts w:hint="eastAsia"/>
              </w:rPr>
              <w:sym w:font="Symbol" w:char="F044"/>
            </w:r>
            <w:r w:rsidRPr="00FD50F6">
              <w:rPr>
                <w:rFonts w:hint="eastAsia"/>
                <w:i/>
              </w:rPr>
              <w:t>J</w:t>
            </w:r>
            <w:r w:rsidRPr="00FD50F6">
              <w:rPr>
                <w:rFonts w:hint="eastAsia"/>
                <w:vertAlign w:val="subscript"/>
              </w:rPr>
              <w:t>vw</w:t>
            </w:r>
          </w:p>
        </w:tc>
        <w:tc>
          <w:tcPr>
            <w:tcW w:w="3337" w:type="dxa"/>
            <w:vAlign w:val="center"/>
          </w:tcPr>
          <w:p w14:paraId="669D8847" w14:textId="77777777" w:rsidR="002B733E" w:rsidRPr="00FD50F6" w:rsidRDefault="002B733E" w:rsidP="002B733E">
            <w:pPr>
              <w:pStyle w:val="7"/>
            </w:pPr>
            <w:r w:rsidRPr="00FD50F6">
              <w:rPr>
                <w:rFonts w:hint="eastAsia"/>
              </w:rPr>
              <w:t>架空线磨耗量</w:t>
            </w:r>
          </w:p>
        </w:tc>
        <w:tc>
          <w:tcPr>
            <w:tcW w:w="2632" w:type="dxa"/>
            <w:tcBorders>
              <w:right w:val="single" w:sz="4" w:space="0" w:color="auto"/>
            </w:tcBorders>
            <w:vAlign w:val="center"/>
          </w:tcPr>
          <w:p w14:paraId="4481EBA0" w14:textId="77777777" w:rsidR="002B733E" w:rsidRPr="00FD50F6" w:rsidRDefault="002B733E" w:rsidP="002B733E">
            <w:pPr>
              <w:pStyle w:val="7"/>
            </w:pPr>
            <w:r w:rsidRPr="00FD50F6">
              <w:rPr>
                <w:rFonts w:hint="eastAsia"/>
              </w:rPr>
              <w:t>3.7mm(</w:t>
            </w:r>
            <w:r w:rsidRPr="00FD50F6">
              <w:rPr>
                <w:rFonts w:hint="eastAsia"/>
              </w:rPr>
              <w:t>柔性接触网</w:t>
            </w:r>
            <w:r w:rsidRPr="00FD50F6">
              <w:rPr>
                <w:rFonts w:hint="eastAsia"/>
              </w:rPr>
              <w:t>)</w:t>
            </w:r>
          </w:p>
          <w:p w14:paraId="47393F2D" w14:textId="77777777" w:rsidR="002B733E" w:rsidRPr="00FD50F6" w:rsidRDefault="002B733E" w:rsidP="002B733E">
            <w:pPr>
              <w:pStyle w:val="7"/>
            </w:pPr>
            <w:r w:rsidRPr="00FD50F6">
              <w:rPr>
                <w:rFonts w:hint="eastAsia"/>
              </w:rPr>
              <w:t>6mm(</w:t>
            </w:r>
            <w:r w:rsidRPr="00FD50F6">
              <w:rPr>
                <w:rFonts w:hint="eastAsia"/>
              </w:rPr>
              <w:t>刚性接触网</w:t>
            </w:r>
            <w:r w:rsidRPr="00FD50F6">
              <w:rPr>
                <w:rFonts w:hint="eastAsia"/>
              </w:rPr>
              <w:t>)</w:t>
            </w:r>
          </w:p>
        </w:tc>
        <w:tc>
          <w:tcPr>
            <w:tcW w:w="693" w:type="dxa"/>
            <w:tcBorders>
              <w:left w:val="single" w:sz="4" w:space="0" w:color="auto"/>
              <w:right w:val="single" w:sz="12" w:space="0" w:color="auto"/>
            </w:tcBorders>
            <w:vAlign w:val="center"/>
          </w:tcPr>
          <w:p w14:paraId="7A398A52" w14:textId="77777777" w:rsidR="002B733E" w:rsidRPr="00FD50F6" w:rsidRDefault="002B733E" w:rsidP="002B733E">
            <w:pPr>
              <w:pStyle w:val="7"/>
            </w:pPr>
            <w:r w:rsidRPr="00FD50F6">
              <w:rPr>
                <w:rFonts w:hint="eastAsia"/>
              </w:rPr>
              <w:t>NZ</w:t>
            </w:r>
          </w:p>
        </w:tc>
      </w:tr>
      <w:tr w:rsidR="00FD50F6" w:rsidRPr="00FD50F6" w14:paraId="20098AD0" w14:textId="77777777" w:rsidTr="002B733E">
        <w:trPr>
          <w:cantSplit/>
          <w:jc w:val="center"/>
        </w:trPr>
        <w:tc>
          <w:tcPr>
            <w:tcW w:w="709" w:type="dxa"/>
            <w:tcBorders>
              <w:left w:val="single" w:sz="12" w:space="0" w:color="auto"/>
            </w:tcBorders>
            <w:vAlign w:val="center"/>
          </w:tcPr>
          <w:p w14:paraId="1948437A" w14:textId="77777777" w:rsidR="002B733E" w:rsidRPr="00FD50F6" w:rsidRDefault="002B733E" w:rsidP="002B733E">
            <w:pPr>
              <w:pStyle w:val="7"/>
            </w:pPr>
            <w:r w:rsidRPr="00FD50F6">
              <w:rPr>
                <w:rFonts w:hint="eastAsia"/>
              </w:rPr>
              <w:t>55</w:t>
            </w:r>
          </w:p>
        </w:tc>
        <w:tc>
          <w:tcPr>
            <w:tcW w:w="851" w:type="dxa"/>
            <w:vAlign w:val="center"/>
          </w:tcPr>
          <w:p w14:paraId="04516C80" w14:textId="77777777" w:rsidR="002B733E" w:rsidRPr="00FD50F6" w:rsidRDefault="002B733E" w:rsidP="002B733E">
            <w:pPr>
              <w:pStyle w:val="7"/>
              <w:rPr>
                <w:vertAlign w:val="subscript"/>
              </w:rPr>
            </w:pPr>
            <w:r w:rsidRPr="00FD50F6">
              <w:rPr>
                <w:rFonts w:hint="eastAsia"/>
              </w:rPr>
              <w:t>Δ</w:t>
            </w:r>
            <w:r w:rsidRPr="00FD50F6">
              <w:rPr>
                <w:rFonts w:hint="eastAsia"/>
                <w:i/>
              </w:rPr>
              <w:t>M</w:t>
            </w:r>
            <w:r w:rsidRPr="00FD50F6">
              <w:rPr>
                <w:rFonts w:hint="eastAsia"/>
                <w:vertAlign w:val="subscript"/>
              </w:rPr>
              <w:t>t1</w:t>
            </w:r>
          </w:p>
        </w:tc>
        <w:tc>
          <w:tcPr>
            <w:tcW w:w="3337" w:type="dxa"/>
            <w:vAlign w:val="center"/>
          </w:tcPr>
          <w:p w14:paraId="42BC216C" w14:textId="77777777" w:rsidR="002B733E" w:rsidRPr="00FD50F6" w:rsidRDefault="002B733E" w:rsidP="002B733E">
            <w:pPr>
              <w:pStyle w:val="7"/>
            </w:pPr>
            <w:r w:rsidRPr="00FD50F6">
              <w:rPr>
                <w:rFonts w:hint="eastAsia"/>
              </w:rPr>
              <w:t>转向架中心销安装定位误差值</w:t>
            </w:r>
          </w:p>
        </w:tc>
        <w:tc>
          <w:tcPr>
            <w:tcW w:w="2632" w:type="dxa"/>
            <w:tcBorders>
              <w:right w:val="single" w:sz="4" w:space="0" w:color="auto"/>
            </w:tcBorders>
            <w:vAlign w:val="center"/>
          </w:tcPr>
          <w:p w14:paraId="465B0B8B" w14:textId="77777777" w:rsidR="002B733E" w:rsidRPr="00FD50F6" w:rsidRDefault="002B733E" w:rsidP="002B733E">
            <w:pPr>
              <w:pStyle w:val="7"/>
            </w:pPr>
            <w:r w:rsidRPr="00FD50F6">
              <w:rPr>
                <w:rFonts w:hint="eastAsia"/>
              </w:rPr>
              <w:t>±</w:t>
            </w:r>
            <w:r w:rsidRPr="00FD50F6">
              <w:rPr>
                <w:rFonts w:hint="eastAsia"/>
              </w:rPr>
              <w:t>1mm</w:t>
            </w:r>
          </w:p>
        </w:tc>
        <w:tc>
          <w:tcPr>
            <w:tcW w:w="693" w:type="dxa"/>
            <w:tcBorders>
              <w:left w:val="single" w:sz="4" w:space="0" w:color="auto"/>
              <w:right w:val="single" w:sz="12" w:space="0" w:color="auto"/>
            </w:tcBorders>
            <w:vAlign w:val="center"/>
          </w:tcPr>
          <w:p w14:paraId="2DD6AF23" w14:textId="77777777" w:rsidR="002B733E" w:rsidRPr="00FD50F6" w:rsidRDefault="002B733E" w:rsidP="002B733E">
            <w:pPr>
              <w:pStyle w:val="7"/>
            </w:pPr>
            <w:r w:rsidRPr="00FD50F6">
              <w:rPr>
                <w:rFonts w:hint="eastAsia"/>
              </w:rPr>
              <w:t>Z</w:t>
            </w:r>
          </w:p>
        </w:tc>
      </w:tr>
      <w:tr w:rsidR="00FD50F6" w:rsidRPr="00FD50F6" w14:paraId="5687E55B" w14:textId="77777777" w:rsidTr="002B733E">
        <w:trPr>
          <w:cantSplit/>
          <w:jc w:val="center"/>
        </w:trPr>
        <w:tc>
          <w:tcPr>
            <w:tcW w:w="709" w:type="dxa"/>
            <w:tcBorders>
              <w:left w:val="single" w:sz="12" w:space="0" w:color="auto"/>
            </w:tcBorders>
            <w:vAlign w:val="center"/>
          </w:tcPr>
          <w:p w14:paraId="291F10C6" w14:textId="77777777" w:rsidR="002B733E" w:rsidRPr="00FD50F6" w:rsidRDefault="002B733E" w:rsidP="002B733E">
            <w:pPr>
              <w:pStyle w:val="7"/>
            </w:pPr>
            <w:r w:rsidRPr="00FD50F6">
              <w:rPr>
                <w:rFonts w:hint="eastAsia"/>
              </w:rPr>
              <w:t>56</w:t>
            </w:r>
          </w:p>
        </w:tc>
        <w:tc>
          <w:tcPr>
            <w:tcW w:w="851" w:type="dxa"/>
            <w:vAlign w:val="center"/>
          </w:tcPr>
          <w:p w14:paraId="27D35326"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t2</w:t>
            </w:r>
          </w:p>
        </w:tc>
        <w:tc>
          <w:tcPr>
            <w:tcW w:w="3337" w:type="dxa"/>
            <w:vAlign w:val="center"/>
          </w:tcPr>
          <w:p w14:paraId="71299CC3" w14:textId="77777777" w:rsidR="002B733E" w:rsidRPr="00FD50F6" w:rsidRDefault="002B733E" w:rsidP="002B733E">
            <w:pPr>
              <w:pStyle w:val="7"/>
            </w:pPr>
            <w:r w:rsidRPr="00FD50F6">
              <w:rPr>
                <w:rFonts w:hint="eastAsia"/>
              </w:rPr>
              <w:t>转向架一系弹簧横向定位误差值</w:t>
            </w:r>
          </w:p>
        </w:tc>
        <w:tc>
          <w:tcPr>
            <w:tcW w:w="2632" w:type="dxa"/>
            <w:tcBorders>
              <w:right w:val="single" w:sz="4" w:space="0" w:color="auto"/>
            </w:tcBorders>
            <w:vAlign w:val="center"/>
          </w:tcPr>
          <w:p w14:paraId="646FDB60" w14:textId="77777777" w:rsidR="002B733E" w:rsidRPr="00FD50F6" w:rsidRDefault="002B733E" w:rsidP="002B733E">
            <w:pPr>
              <w:pStyle w:val="7"/>
            </w:pPr>
            <w:r w:rsidRPr="00FD50F6">
              <w:rPr>
                <w:rFonts w:hint="eastAsia"/>
              </w:rPr>
              <w:t>±</w:t>
            </w:r>
            <w:r w:rsidRPr="00FD50F6">
              <w:rPr>
                <w:rFonts w:hint="eastAsia"/>
              </w:rPr>
              <w:t>1mm</w:t>
            </w:r>
          </w:p>
        </w:tc>
        <w:tc>
          <w:tcPr>
            <w:tcW w:w="693" w:type="dxa"/>
            <w:tcBorders>
              <w:left w:val="single" w:sz="4" w:space="0" w:color="auto"/>
              <w:right w:val="single" w:sz="12" w:space="0" w:color="auto"/>
            </w:tcBorders>
            <w:vAlign w:val="center"/>
          </w:tcPr>
          <w:p w14:paraId="323FD981" w14:textId="77777777" w:rsidR="002B733E" w:rsidRPr="00FD50F6" w:rsidRDefault="002B733E" w:rsidP="002B733E">
            <w:pPr>
              <w:pStyle w:val="7"/>
            </w:pPr>
            <w:r w:rsidRPr="00FD50F6">
              <w:rPr>
                <w:rFonts w:hint="eastAsia"/>
              </w:rPr>
              <w:t>Z</w:t>
            </w:r>
          </w:p>
        </w:tc>
      </w:tr>
      <w:tr w:rsidR="00FD50F6" w:rsidRPr="00FD50F6" w14:paraId="4A401E91" w14:textId="77777777" w:rsidTr="002B733E">
        <w:trPr>
          <w:cantSplit/>
          <w:jc w:val="center"/>
        </w:trPr>
        <w:tc>
          <w:tcPr>
            <w:tcW w:w="709" w:type="dxa"/>
            <w:tcBorders>
              <w:left w:val="single" w:sz="12" w:space="0" w:color="auto"/>
            </w:tcBorders>
            <w:vAlign w:val="center"/>
          </w:tcPr>
          <w:p w14:paraId="3676B671" w14:textId="77777777" w:rsidR="002B733E" w:rsidRPr="00FD50F6" w:rsidRDefault="002B733E" w:rsidP="002B733E">
            <w:pPr>
              <w:pStyle w:val="7"/>
            </w:pPr>
            <w:r w:rsidRPr="00FD50F6">
              <w:rPr>
                <w:rFonts w:hint="eastAsia"/>
              </w:rPr>
              <w:t>57</w:t>
            </w:r>
          </w:p>
        </w:tc>
        <w:tc>
          <w:tcPr>
            <w:tcW w:w="851" w:type="dxa"/>
            <w:vAlign w:val="center"/>
          </w:tcPr>
          <w:p w14:paraId="0341D37D"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t3</w:t>
            </w:r>
          </w:p>
        </w:tc>
        <w:tc>
          <w:tcPr>
            <w:tcW w:w="3337" w:type="dxa"/>
            <w:vAlign w:val="center"/>
          </w:tcPr>
          <w:p w14:paraId="0F5B0C00" w14:textId="77777777" w:rsidR="002B733E" w:rsidRPr="00FD50F6" w:rsidRDefault="002B733E" w:rsidP="002B733E">
            <w:pPr>
              <w:pStyle w:val="7"/>
            </w:pPr>
            <w:r w:rsidRPr="00FD50F6">
              <w:rPr>
                <w:rFonts w:hint="eastAsia"/>
              </w:rPr>
              <w:t>车体半宽横向制造误差值</w:t>
            </w:r>
          </w:p>
        </w:tc>
        <w:tc>
          <w:tcPr>
            <w:tcW w:w="2632" w:type="dxa"/>
            <w:tcBorders>
              <w:right w:val="single" w:sz="4" w:space="0" w:color="auto"/>
            </w:tcBorders>
            <w:vAlign w:val="center"/>
          </w:tcPr>
          <w:p w14:paraId="32E80836" w14:textId="77777777" w:rsidR="002B733E" w:rsidRPr="00FD50F6" w:rsidRDefault="002B733E" w:rsidP="002B733E">
            <w:pPr>
              <w:pStyle w:val="7"/>
            </w:pPr>
            <w:r w:rsidRPr="00FD50F6">
              <w:rPr>
                <w:rFonts w:hint="eastAsia"/>
              </w:rPr>
              <w:t>±</w:t>
            </w:r>
            <w:r w:rsidRPr="00FD50F6">
              <w:rPr>
                <w:rFonts w:hint="eastAsia"/>
              </w:rPr>
              <w:t>5mm</w:t>
            </w:r>
          </w:p>
        </w:tc>
        <w:tc>
          <w:tcPr>
            <w:tcW w:w="693" w:type="dxa"/>
            <w:tcBorders>
              <w:left w:val="single" w:sz="4" w:space="0" w:color="auto"/>
              <w:right w:val="single" w:sz="12" w:space="0" w:color="auto"/>
            </w:tcBorders>
            <w:vAlign w:val="center"/>
          </w:tcPr>
          <w:p w14:paraId="0A8FD08B" w14:textId="77777777" w:rsidR="002B733E" w:rsidRPr="00FD50F6" w:rsidRDefault="002B733E" w:rsidP="002B733E">
            <w:pPr>
              <w:pStyle w:val="7"/>
            </w:pPr>
            <w:r w:rsidRPr="00FD50F6">
              <w:rPr>
                <w:rFonts w:hint="eastAsia"/>
              </w:rPr>
              <w:t>Z</w:t>
            </w:r>
          </w:p>
        </w:tc>
      </w:tr>
      <w:tr w:rsidR="00FD50F6" w:rsidRPr="00FD50F6" w14:paraId="2F119D07" w14:textId="77777777" w:rsidTr="002B733E">
        <w:trPr>
          <w:cantSplit/>
          <w:jc w:val="center"/>
        </w:trPr>
        <w:tc>
          <w:tcPr>
            <w:tcW w:w="709" w:type="dxa"/>
            <w:tcBorders>
              <w:left w:val="single" w:sz="12" w:space="0" w:color="auto"/>
            </w:tcBorders>
            <w:vAlign w:val="center"/>
          </w:tcPr>
          <w:p w14:paraId="18E171C0" w14:textId="77777777" w:rsidR="002B733E" w:rsidRPr="00FD50F6" w:rsidRDefault="002B733E" w:rsidP="002B733E">
            <w:pPr>
              <w:pStyle w:val="7"/>
            </w:pPr>
            <w:r w:rsidRPr="00FD50F6">
              <w:rPr>
                <w:rFonts w:hint="eastAsia"/>
              </w:rPr>
              <w:t>58</w:t>
            </w:r>
          </w:p>
        </w:tc>
        <w:tc>
          <w:tcPr>
            <w:tcW w:w="851" w:type="dxa"/>
            <w:vAlign w:val="center"/>
          </w:tcPr>
          <w:p w14:paraId="1BD59AC2"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t4</w:t>
            </w:r>
          </w:p>
        </w:tc>
        <w:tc>
          <w:tcPr>
            <w:tcW w:w="3337" w:type="dxa"/>
            <w:vAlign w:val="center"/>
          </w:tcPr>
          <w:p w14:paraId="6C9ECD4E" w14:textId="77777777" w:rsidR="002B733E" w:rsidRPr="00FD50F6" w:rsidRDefault="002B733E" w:rsidP="002B733E">
            <w:pPr>
              <w:pStyle w:val="7"/>
            </w:pPr>
            <w:r w:rsidRPr="00FD50F6">
              <w:rPr>
                <w:rFonts w:hint="eastAsia"/>
              </w:rPr>
              <w:t>车体表面设备安装误差值</w:t>
            </w:r>
          </w:p>
        </w:tc>
        <w:tc>
          <w:tcPr>
            <w:tcW w:w="2632" w:type="dxa"/>
            <w:tcBorders>
              <w:right w:val="single" w:sz="4" w:space="0" w:color="auto"/>
            </w:tcBorders>
            <w:vAlign w:val="center"/>
          </w:tcPr>
          <w:p w14:paraId="23371875" w14:textId="77777777" w:rsidR="002B733E" w:rsidRPr="00FD50F6" w:rsidRDefault="002B733E" w:rsidP="002B733E">
            <w:pPr>
              <w:pStyle w:val="7"/>
            </w:pPr>
            <w:r w:rsidRPr="00FD50F6">
              <w:rPr>
                <w:rFonts w:hint="eastAsia"/>
              </w:rPr>
              <w:t>±</w:t>
            </w:r>
            <w:r w:rsidRPr="00FD50F6">
              <w:rPr>
                <w:rFonts w:hint="eastAsia"/>
              </w:rPr>
              <w:t>2mm</w:t>
            </w:r>
          </w:p>
        </w:tc>
        <w:tc>
          <w:tcPr>
            <w:tcW w:w="693" w:type="dxa"/>
            <w:tcBorders>
              <w:left w:val="single" w:sz="4" w:space="0" w:color="auto"/>
              <w:right w:val="single" w:sz="12" w:space="0" w:color="auto"/>
            </w:tcBorders>
            <w:vAlign w:val="center"/>
          </w:tcPr>
          <w:p w14:paraId="13B2025E" w14:textId="77777777" w:rsidR="002B733E" w:rsidRPr="00FD50F6" w:rsidRDefault="002B733E" w:rsidP="002B733E">
            <w:pPr>
              <w:pStyle w:val="7"/>
            </w:pPr>
            <w:r w:rsidRPr="00FD50F6">
              <w:rPr>
                <w:rFonts w:hint="eastAsia"/>
              </w:rPr>
              <w:t>Z</w:t>
            </w:r>
          </w:p>
        </w:tc>
      </w:tr>
      <w:tr w:rsidR="00FD50F6" w:rsidRPr="00FD50F6" w14:paraId="5E15573B" w14:textId="77777777" w:rsidTr="002B733E">
        <w:trPr>
          <w:cantSplit/>
          <w:jc w:val="center"/>
        </w:trPr>
        <w:tc>
          <w:tcPr>
            <w:tcW w:w="709" w:type="dxa"/>
            <w:tcBorders>
              <w:left w:val="single" w:sz="12" w:space="0" w:color="auto"/>
            </w:tcBorders>
            <w:vAlign w:val="center"/>
          </w:tcPr>
          <w:p w14:paraId="51C1D6F4" w14:textId="77777777" w:rsidR="002B733E" w:rsidRPr="00FD50F6" w:rsidRDefault="002B733E" w:rsidP="002B733E">
            <w:pPr>
              <w:pStyle w:val="7"/>
            </w:pPr>
            <w:r w:rsidRPr="00FD50F6">
              <w:rPr>
                <w:rFonts w:hint="eastAsia"/>
              </w:rPr>
              <w:lastRenderedPageBreak/>
              <w:t>59</w:t>
            </w:r>
          </w:p>
        </w:tc>
        <w:tc>
          <w:tcPr>
            <w:tcW w:w="851" w:type="dxa"/>
            <w:vAlign w:val="center"/>
          </w:tcPr>
          <w:p w14:paraId="14603E70"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t5</w:t>
            </w:r>
          </w:p>
        </w:tc>
        <w:tc>
          <w:tcPr>
            <w:tcW w:w="3337" w:type="dxa"/>
            <w:vAlign w:val="center"/>
          </w:tcPr>
          <w:p w14:paraId="4B480276" w14:textId="77777777" w:rsidR="002B733E" w:rsidRPr="00FD50F6" w:rsidRDefault="002B733E" w:rsidP="002B733E">
            <w:pPr>
              <w:pStyle w:val="7"/>
            </w:pPr>
            <w:r w:rsidRPr="00FD50F6">
              <w:rPr>
                <w:rFonts w:hint="eastAsia"/>
              </w:rPr>
              <w:t>受电弓横向安装误差值</w:t>
            </w:r>
          </w:p>
        </w:tc>
        <w:tc>
          <w:tcPr>
            <w:tcW w:w="2632" w:type="dxa"/>
            <w:tcBorders>
              <w:right w:val="single" w:sz="4" w:space="0" w:color="auto"/>
            </w:tcBorders>
            <w:vAlign w:val="center"/>
          </w:tcPr>
          <w:p w14:paraId="2493566A" w14:textId="77777777" w:rsidR="002B733E" w:rsidRPr="00FD50F6" w:rsidRDefault="002B733E" w:rsidP="002B733E">
            <w:pPr>
              <w:pStyle w:val="7"/>
            </w:pPr>
            <w:r w:rsidRPr="00FD50F6">
              <w:rPr>
                <w:rFonts w:hint="eastAsia"/>
              </w:rPr>
              <w:t>±</w:t>
            </w:r>
            <w:r w:rsidRPr="00FD50F6">
              <w:rPr>
                <w:rFonts w:hint="eastAsia"/>
              </w:rPr>
              <w:t>5mm</w:t>
            </w:r>
          </w:p>
        </w:tc>
        <w:tc>
          <w:tcPr>
            <w:tcW w:w="693" w:type="dxa"/>
            <w:tcBorders>
              <w:left w:val="single" w:sz="4" w:space="0" w:color="auto"/>
              <w:right w:val="single" w:sz="12" w:space="0" w:color="auto"/>
            </w:tcBorders>
            <w:vAlign w:val="center"/>
          </w:tcPr>
          <w:p w14:paraId="4366E96A" w14:textId="77777777" w:rsidR="002B733E" w:rsidRPr="00FD50F6" w:rsidRDefault="002B733E" w:rsidP="002B733E">
            <w:pPr>
              <w:pStyle w:val="7"/>
            </w:pPr>
            <w:r w:rsidRPr="00FD50F6">
              <w:rPr>
                <w:rFonts w:hint="eastAsia"/>
              </w:rPr>
              <w:t>Z</w:t>
            </w:r>
          </w:p>
        </w:tc>
      </w:tr>
      <w:tr w:rsidR="00FD50F6" w:rsidRPr="00FD50F6" w14:paraId="58E6257D" w14:textId="77777777" w:rsidTr="002B733E">
        <w:trPr>
          <w:cantSplit/>
          <w:jc w:val="center"/>
        </w:trPr>
        <w:tc>
          <w:tcPr>
            <w:tcW w:w="709" w:type="dxa"/>
            <w:tcBorders>
              <w:left w:val="single" w:sz="12" w:space="0" w:color="auto"/>
            </w:tcBorders>
            <w:vAlign w:val="center"/>
          </w:tcPr>
          <w:p w14:paraId="73C05676" w14:textId="77777777" w:rsidR="002B733E" w:rsidRPr="00FD50F6" w:rsidRDefault="002B733E" w:rsidP="002B733E">
            <w:pPr>
              <w:pStyle w:val="7"/>
            </w:pPr>
            <w:r w:rsidRPr="00FD50F6">
              <w:rPr>
                <w:rFonts w:hint="eastAsia"/>
              </w:rPr>
              <w:t>60</w:t>
            </w:r>
          </w:p>
        </w:tc>
        <w:tc>
          <w:tcPr>
            <w:tcW w:w="851" w:type="dxa"/>
            <w:vAlign w:val="center"/>
          </w:tcPr>
          <w:p w14:paraId="34C1D984"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t6</w:t>
            </w:r>
          </w:p>
        </w:tc>
        <w:tc>
          <w:tcPr>
            <w:tcW w:w="3337" w:type="dxa"/>
            <w:vAlign w:val="center"/>
          </w:tcPr>
          <w:p w14:paraId="0BC25F1E" w14:textId="77777777" w:rsidR="002B733E" w:rsidRPr="00FD50F6" w:rsidRDefault="002B733E" w:rsidP="002B733E">
            <w:pPr>
              <w:pStyle w:val="7"/>
            </w:pPr>
            <w:r w:rsidRPr="00FD50F6">
              <w:rPr>
                <w:rFonts w:hint="eastAsia"/>
              </w:rPr>
              <w:t>车辆地板面未能补偿的高度误差值</w:t>
            </w:r>
          </w:p>
        </w:tc>
        <w:tc>
          <w:tcPr>
            <w:tcW w:w="2632" w:type="dxa"/>
            <w:tcBorders>
              <w:right w:val="single" w:sz="4" w:space="0" w:color="auto"/>
            </w:tcBorders>
            <w:vAlign w:val="center"/>
          </w:tcPr>
          <w:p w14:paraId="3AC7C449" w14:textId="77777777" w:rsidR="002B733E" w:rsidRPr="00FD50F6" w:rsidRDefault="002B733E" w:rsidP="002B733E">
            <w:pPr>
              <w:pStyle w:val="7"/>
            </w:pPr>
            <w:r w:rsidRPr="00FD50F6">
              <w:rPr>
                <w:rFonts w:hint="eastAsia"/>
              </w:rPr>
              <w:t>±</w:t>
            </w:r>
            <w:r w:rsidRPr="00FD50F6">
              <w:rPr>
                <w:rFonts w:hint="eastAsia"/>
              </w:rPr>
              <w:t>10mm</w:t>
            </w:r>
          </w:p>
        </w:tc>
        <w:tc>
          <w:tcPr>
            <w:tcW w:w="693" w:type="dxa"/>
            <w:tcBorders>
              <w:left w:val="single" w:sz="4" w:space="0" w:color="auto"/>
              <w:right w:val="single" w:sz="12" w:space="0" w:color="auto"/>
            </w:tcBorders>
            <w:vAlign w:val="center"/>
          </w:tcPr>
          <w:p w14:paraId="1CC1FBD0" w14:textId="77777777" w:rsidR="002B733E" w:rsidRPr="00FD50F6" w:rsidRDefault="002B733E" w:rsidP="002B733E">
            <w:pPr>
              <w:pStyle w:val="7"/>
            </w:pPr>
            <w:r w:rsidRPr="00FD50F6">
              <w:rPr>
                <w:rFonts w:hint="eastAsia"/>
              </w:rPr>
              <w:t>Z</w:t>
            </w:r>
          </w:p>
        </w:tc>
      </w:tr>
      <w:tr w:rsidR="00FD50F6" w:rsidRPr="00FD50F6" w14:paraId="7389E174" w14:textId="77777777" w:rsidTr="002B733E">
        <w:trPr>
          <w:cantSplit/>
          <w:jc w:val="center"/>
        </w:trPr>
        <w:tc>
          <w:tcPr>
            <w:tcW w:w="709" w:type="dxa"/>
            <w:tcBorders>
              <w:left w:val="single" w:sz="12" w:space="0" w:color="auto"/>
            </w:tcBorders>
            <w:vAlign w:val="center"/>
          </w:tcPr>
          <w:p w14:paraId="10391ED4" w14:textId="77777777" w:rsidR="002B733E" w:rsidRPr="00FD50F6" w:rsidRDefault="002B733E" w:rsidP="002B733E">
            <w:pPr>
              <w:pStyle w:val="7"/>
            </w:pPr>
            <w:r w:rsidRPr="00FD50F6">
              <w:rPr>
                <w:rFonts w:hint="eastAsia"/>
              </w:rPr>
              <w:t>61</w:t>
            </w:r>
          </w:p>
        </w:tc>
        <w:tc>
          <w:tcPr>
            <w:tcW w:w="851" w:type="dxa"/>
            <w:vAlign w:val="center"/>
          </w:tcPr>
          <w:p w14:paraId="7A606C80"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t7</w:t>
            </w:r>
          </w:p>
        </w:tc>
        <w:tc>
          <w:tcPr>
            <w:tcW w:w="3337" w:type="dxa"/>
            <w:vAlign w:val="center"/>
          </w:tcPr>
          <w:p w14:paraId="602F6142" w14:textId="77777777" w:rsidR="002B733E" w:rsidRPr="00FD50F6" w:rsidRDefault="002B733E" w:rsidP="002B733E">
            <w:pPr>
              <w:pStyle w:val="7"/>
            </w:pPr>
            <w:r w:rsidRPr="00FD50F6">
              <w:rPr>
                <w:rFonts w:hint="eastAsia"/>
              </w:rPr>
              <w:t>车下设备垂向安装误差值</w:t>
            </w:r>
          </w:p>
        </w:tc>
        <w:tc>
          <w:tcPr>
            <w:tcW w:w="2632" w:type="dxa"/>
            <w:tcBorders>
              <w:right w:val="single" w:sz="4" w:space="0" w:color="auto"/>
            </w:tcBorders>
            <w:vAlign w:val="center"/>
          </w:tcPr>
          <w:p w14:paraId="14B31D6F" w14:textId="77777777" w:rsidR="002B733E" w:rsidRPr="00FD50F6" w:rsidRDefault="002B733E" w:rsidP="002B733E">
            <w:pPr>
              <w:pStyle w:val="7"/>
            </w:pPr>
            <w:r w:rsidRPr="00FD50F6">
              <w:rPr>
                <w:rFonts w:hint="eastAsia"/>
              </w:rPr>
              <w:t>-10mm</w:t>
            </w:r>
            <w:r w:rsidRPr="00FD50F6">
              <w:rPr>
                <w:rFonts w:hint="eastAsia"/>
              </w:rPr>
              <w:t>（含预拱）</w:t>
            </w:r>
          </w:p>
        </w:tc>
        <w:tc>
          <w:tcPr>
            <w:tcW w:w="693" w:type="dxa"/>
            <w:tcBorders>
              <w:left w:val="single" w:sz="4" w:space="0" w:color="auto"/>
              <w:right w:val="single" w:sz="12" w:space="0" w:color="auto"/>
            </w:tcBorders>
            <w:vAlign w:val="center"/>
          </w:tcPr>
          <w:p w14:paraId="367CF9DA" w14:textId="77777777" w:rsidR="002B733E" w:rsidRPr="00FD50F6" w:rsidRDefault="002B733E" w:rsidP="002B733E">
            <w:pPr>
              <w:pStyle w:val="7"/>
            </w:pPr>
            <w:r w:rsidRPr="00FD50F6">
              <w:rPr>
                <w:rFonts w:hint="eastAsia"/>
              </w:rPr>
              <w:t>Z</w:t>
            </w:r>
          </w:p>
        </w:tc>
      </w:tr>
      <w:tr w:rsidR="00FD50F6" w:rsidRPr="00FD50F6" w14:paraId="7CCC3F32" w14:textId="77777777" w:rsidTr="002B733E">
        <w:trPr>
          <w:cantSplit/>
          <w:jc w:val="center"/>
        </w:trPr>
        <w:tc>
          <w:tcPr>
            <w:tcW w:w="709" w:type="dxa"/>
            <w:tcBorders>
              <w:left w:val="single" w:sz="12" w:space="0" w:color="auto"/>
            </w:tcBorders>
            <w:vAlign w:val="center"/>
          </w:tcPr>
          <w:p w14:paraId="0B9B275D" w14:textId="77777777" w:rsidR="002B733E" w:rsidRPr="00FD50F6" w:rsidRDefault="002B733E" w:rsidP="002B733E">
            <w:pPr>
              <w:pStyle w:val="7"/>
            </w:pPr>
            <w:r w:rsidRPr="00FD50F6">
              <w:rPr>
                <w:rFonts w:hint="eastAsia"/>
              </w:rPr>
              <w:t>62</w:t>
            </w:r>
          </w:p>
        </w:tc>
        <w:tc>
          <w:tcPr>
            <w:tcW w:w="851" w:type="dxa"/>
            <w:vAlign w:val="center"/>
          </w:tcPr>
          <w:p w14:paraId="5A41D6F4"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t8</w:t>
            </w:r>
          </w:p>
        </w:tc>
        <w:tc>
          <w:tcPr>
            <w:tcW w:w="3337" w:type="dxa"/>
            <w:vAlign w:val="center"/>
          </w:tcPr>
          <w:p w14:paraId="2AE02303" w14:textId="77777777" w:rsidR="002B733E" w:rsidRPr="00FD50F6" w:rsidRDefault="002B733E" w:rsidP="002B733E">
            <w:pPr>
              <w:pStyle w:val="7"/>
            </w:pPr>
            <w:r w:rsidRPr="00FD50F6">
              <w:rPr>
                <w:rFonts w:hint="eastAsia"/>
              </w:rPr>
              <w:t>车顶安装设备的高度尺寸制造安装误差值</w:t>
            </w:r>
          </w:p>
        </w:tc>
        <w:tc>
          <w:tcPr>
            <w:tcW w:w="2632" w:type="dxa"/>
            <w:tcBorders>
              <w:right w:val="single" w:sz="4" w:space="0" w:color="auto"/>
            </w:tcBorders>
            <w:vAlign w:val="center"/>
          </w:tcPr>
          <w:p w14:paraId="73ABF1CB" w14:textId="77777777" w:rsidR="002B733E" w:rsidRPr="00FD50F6" w:rsidRDefault="002B733E" w:rsidP="002B733E">
            <w:pPr>
              <w:pStyle w:val="7"/>
            </w:pPr>
            <w:r w:rsidRPr="00FD50F6">
              <w:rPr>
                <w:rFonts w:hint="eastAsia"/>
              </w:rPr>
              <w:t>+12mm</w:t>
            </w:r>
          </w:p>
        </w:tc>
        <w:tc>
          <w:tcPr>
            <w:tcW w:w="693" w:type="dxa"/>
            <w:tcBorders>
              <w:left w:val="single" w:sz="4" w:space="0" w:color="auto"/>
              <w:right w:val="single" w:sz="12" w:space="0" w:color="auto"/>
            </w:tcBorders>
            <w:vAlign w:val="center"/>
          </w:tcPr>
          <w:p w14:paraId="2667F26E" w14:textId="77777777" w:rsidR="002B733E" w:rsidRPr="00FD50F6" w:rsidRDefault="002B733E" w:rsidP="002B733E">
            <w:pPr>
              <w:pStyle w:val="7"/>
            </w:pPr>
            <w:r w:rsidRPr="00FD50F6">
              <w:rPr>
                <w:rFonts w:hint="eastAsia"/>
              </w:rPr>
              <w:t>Z</w:t>
            </w:r>
          </w:p>
        </w:tc>
      </w:tr>
      <w:tr w:rsidR="00FD50F6" w:rsidRPr="00FD50F6" w14:paraId="1E4750AB" w14:textId="77777777" w:rsidTr="002B733E">
        <w:trPr>
          <w:cantSplit/>
          <w:jc w:val="center"/>
        </w:trPr>
        <w:tc>
          <w:tcPr>
            <w:tcW w:w="709" w:type="dxa"/>
            <w:tcBorders>
              <w:left w:val="single" w:sz="12" w:space="0" w:color="auto"/>
            </w:tcBorders>
            <w:vAlign w:val="center"/>
          </w:tcPr>
          <w:p w14:paraId="42A16E2E" w14:textId="77777777" w:rsidR="002B733E" w:rsidRPr="00FD50F6" w:rsidRDefault="002B733E" w:rsidP="002B733E">
            <w:pPr>
              <w:pStyle w:val="7"/>
            </w:pPr>
            <w:r w:rsidRPr="00FD50F6">
              <w:rPr>
                <w:rFonts w:hint="eastAsia"/>
              </w:rPr>
              <w:t>63</w:t>
            </w:r>
          </w:p>
        </w:tc>
        <w:tc>
          <w:tcPr>
            <w:tcW w:w="851" w:type="dxa"/>
            <w:vAlign w:val="center"/>
          </w:tcPr>
          <w:p w14:paraId="460CAEDB"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t9</w:t>
            </w:r>
          </w:p>
        </w:tc>
        <w:tc>
          <w:tcPr>
            <w:tcW w:w="3337" w:type="dxa"/>
            <w:vAlign w:val="center"/>
          </w:tcPr>
          <w:p w14:paraId="6F9CE0B8" w14:textId="77777777" w:rsidR="002B733E" w:rsidRPr="00FD50F6" w:rsidRDefault="002B733E" w:rsidP="002B733E">
            <w:pPr>
              <w:pStyle w:val="7"/>
            </w:pPr>
            <w:r w:rsidRPr="00FD50F6">
              <w:rPr>
                <w:rFonts w:hint="eastAsia"/>
              </w:rPr>
              <w:t>车体销内上拱</w:t>
            </w:r>
            <w:r w:rsidRPr="00FD50F6">
              <w:rPr>
                <w:rFonts w:hint="eastAsia"/>
              </w:rPr>
              <w:t>/</w:t>
            </w:r>
            <w:r w:rsidRPr="00FD50F6">
              <w:rPr>
                <w:rFonts w:hint="eastAsia"/>
              </w:rPr>
              <w:t>销外下垂量</w:t>
            </w:r>
          </w:p>
        </w:tc>
        <w:tc>
          <w:tcPr>
            <w:tcW w:w="2632" w:type="dxa"/>
            <w:tcBorders>
              <w:right w:val="single" w:sz="4" w:space="0" w:color="auto"/>
            </w:tcBorders>
            <w:vAlign w:val="center"/>
          </w:tcPr>
          <w:p w14:paraId="7065F8E3" w14:textId="77777777" w:rsidR="002B733E" w:rsidRPr="00FD50F6" w:rsidRDefault="002B733E" w:rsidP="002B733E">
            <w:pPr>
              <w:pStyle w:val="7"/>
            </w:pPr>
            <w:r w:rsidRPr="00FD50F6">
              <w:rPr>
                <w:rFonts w:hint="eastAsia"/>
              </w:rPr>
              <w:t>销内：</w:t>
            </w:r>
          </w:p>
          <w:p w14:paraId="130A1B06" w14:textId="77777777" w:rsidR="002B733E" w:rsidRPr="00FD50F6" w:rsidRDefault="002B733E" w:rsidP="002B733E">
            <w:pPr>
              <w:pStyle w:val="7"/>
            </w:pPr>
            <w:r w:rsidRPr="00FD50F6">
              <w:rPr>
                <w:rFonts w:hint="eastAsia"/>
              </w:rPr>
              <w:t>整体焊接车体中心（</w:t>
            </w:r>
            <w:r w:rsidRPr="00FD50F6">
              <w:rPr>
                <w:rFonts w:hint="eastAsia"/>
              </w:rPr>
              <w:t>AW</w:t>
            </w:r>
            <w:r w:rsidRPr="00FD50F6">
              <w:rPr>
                <w:rFonts w:hint="eastAsia"/>
                <w:vertAlign w:val="subscript"/>
              </w:rPr>
              <w:t>0</w:t>
            </w:r>
            <w:r w:rsidRPr="00FD50F6">
              <w:rPr>
                <w:rFonts w:hint="eastAsia"/>
              </w:rPr>
              <w:t>）</w:t>
            </w:r>
            <w:r w:rsidRPr="00FD50F6">
              <w:rPr>
                <w:rFonts w:hint="eastAsia"/>
              </w:rPr>
              <w:t>+12mm</w:t>
            </w:r>
          </w:p>
          <w:p w14:paraId="05BB60B8" w14:textId="77777777" w:rsidR="002B733E" w:rsidRPr="00FD50F6" w:rsidRDefault="002B733E" w:rsidP="002B733E">
            <w:pPr>
              <w:pStyle w:val="7"/>
            </w:pPr>
            <w:r w:rsidRPr="00FD50F6">
              <w:rPr>
                <w:rFonts w:hint="eastAsia"/>
              </w:rPr>
              <w:t>模块拼装车体中心（</w:t>
            </w:r>
            <w:r w:rsidRPr="00FD50F6">
              <w:rPr>
                <w:rFonts w:hint="eastAsia"/>
              </w:rPr>
              <w:t>AW</w:t>
            </w:r>
            <w:r w:rsidRPr="00FD50F6">
              <w:rPr>
                <w:rFonts w:hint="eastAsia"/>
                <w:vertAlign w:val="subscript"/>
              </w:rPr>
              <w:t>3</w:t>
            </w:r>
            <w:r w:rsidRPr="00FD50F6">
              <w:rPr>
                <w:rFonts w:hint="eastAsia"/>
              </w:rPr>
              <w:t>）</w:t>
            </w:r>
            <w:r w:rsidRPr="00FD50F6">
              <w:rPr>
                <w:rFonts w:hint="eastAsia"/>
              </w:rPr>
              <w:t>-12mm</w:t>
            </w:r>
          </w:p>
          <w:p w14:paraId="007A146A" w14:textId="77777777" w:rsidR="002B733E" w:rsidRPr="00FD50F6" w:rsidRDefault="002B733E" w:rsidP="002B733E">
            <w:pPr>
              <w:pStyle w:val="7"/>
            </w:pPr>
            <w:r w:rsidRPr="00FD50F6">
              <w:rPr>
                <w:rFonts w:hint="eastAsia"/>
              </w:rPr>
              <w:t>销外：</w:t>
            </w:r>
          </w:p>
          <w:p w14:paraId="666DE85E" w14:textId="77777777" w:rsidR="002B733E" w:rsidRPr="00FD50F6" w:rsidRDefault="002B733E" w:rsidP="002B733E">
            <w:pPr>
              <w:pStyle w:val="7"/>
            </w:pPr>
            <w:r w:rsidRPr="00FD50F6">
              <w:rPr>
                <w:rFonts w:hint="eastAsia"/>
              </w:rPr>
              <w:t>整体焊接车体端部（</w:t>
            </w:r>
            <w:r w:rsidRPr="00FD50F6">
              <w:rPr>
                <w:rFonts w:hint="eastAsia"/>
              </w:rPr>
              <w:t>AW</w:t>
            </w:r>
            <w:r w:rsidRPr="00FD50F6">
              <w:rPr>
                <w:rFonts w:hint="eastAsia"/>
                <w:vertAlign w:val="subscript"/>
              </w:rPr>
              <w:t>0</w:t>
            </w:r>
            <w:r w:rsidRPr="00FD50F6">
              <w:rPr>
                <w:rFonts w:hint="eastAsia"/>
              </w:rPr>
              <w:t>）</w:t>
            </w:r>
            <w:r w:rsidRPr="00FD50F6">
              <w:rPr>
                <w:rFonts w:hint="eastAsia"/>
              </w:rPr>
              <w:t>-3mm</w:t>
            </w:r>
          </w:p>
          <w:p w14:paraId="21785164" w14:textId="77777777" w:rsidR="002B733E" w:rsidRPr="00FD50F6" w:rsidRDefault="002B733E" w:rsidP="002B733E">
            <w:pPr>
              <w:pStyle w:val="7"/>
            </w:pPr>
            <w:r w:rsidRPr="00FD50F6">
              <w:rPr>
                <w:rFonts w:hint="eastAsia"/>
              </w:rPr>
              <w:t>模块拼装车体端部（</w:t>
            </w:r>
            <w:r w:rsidRPr="00FD50F6">
              <w:rPr>
                <w:rFonts w:hint="eastAsia"/>
              </w:rPr>
              <w:t>AW</w:t>
            </w:r>
            <w:r w:rsidRPr="00FD50F6">
              <w:rPr>
                <w:rFonts w:hint="eastAsia"/>
                <w:vertAlign w:val="subscript"/>
              </w:rPr>
              <w:t>3</w:t>
            </w:r>
            <w:r w:rsidRPr="00FD50F6">
              <w:rPr>
                <w:rFonts w:hint="eastAsia"/>
              </w:rPr>
              <w:t>）</w:t>
            </w:r>
            <w:r w:rsidRPr="00FD50F6">
              <w:rPr>
                <w:rFonts w:hint="eastAsia"/>
              </w:rPr>
              <w:t>+3mm</w:t>
            </w:r>
          </w:p>
        </w:tc>
        <w:tc>
          <w:tcPr>
            <w:tcW w:w="693" w:type="dxa"/>
            <w:tcBorders>
              <w:left w:val="single" w:sz="4" w:space="0" w:color="auto"/>
              <w:right w:val="single" w:sz="12" w:space="0" w:color="auto"/>
            </w:tcBorders>
            <w:vAlign w:val="center"/>
          </w:tcPr>
          <w:p w14:paraId="1FD73635" w14:textId="77777777" w:rsidR="002B733E" w:rsidRPr="00FD50F6" w:rsidRDefault="002B733E" w:rsidP="002B733E">
            <w:pPr>
              <w:pStyle w:val="7"/>
            </w:pPr>
            <w:r w:rsidRPr="00FD50F6">
              <w:rPr>
                <w:rFonts w:hint="eastAsia"/>
              </w:rPr>
              <w:t>NZ</w:t>
            </w:r>
          </w:p>
        </w:tc>
      </w:tr>
      <w:tr w:rsidR="00FD50F6" w:rsidRPr="00FD50F6" w14:paraId="2D43FF72" w14:textId="77777777" w:rsidTr="002B733E">
        <w:trPr>
          <w:cantSplit/>
          <w:jc w:val="center"/>
        </w:trPr>
        <w:tc>
          <w:tcPr>
            <w:tcW w:w="709" w:type="dxa"/>
            <w:tcBorders>
              <w:left w:val="single" w:sz="12" w:space="0" w:color="auto"/>
            </w:tcBorders>
            <w:vAlign w:val="center"/>
          </w:tcPr>
          <w:p w14:paraId="30EE798D" w14:textId="77777777" w:rsidR="002B733E" w:rsidRPr="00FD50F6" w:rsidRDefault="002B733E" w:rsidP="002B733E">
            <w:pPr>
              <w:pStyle w:val="7"/>
            </w:pPr>
            <w:r w:rsidRPr="00FD50F6">
              <w:rPr>
                <w:rFonts w:hint="eastAsia"/>
              </w:rPr>
              <w:t>64</w:t>
            </w:r>
          </w:p>
        </w:tc>
        <w:tc>
          <w:tcPr>
            <w:tcW w:w="851" w:type="dxa"/>
            <w:vAlign w:val="center"/>
          </w:tcPr>
          <w:p w14:paraId="47B9F05C"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t10</w:t>
            </w:r>
          </w:p>
        </w:tc>
        <w:tc>
          <w:tcPr>
            <w:tcW w:w="3337" w:type="dxa"/>
            <w:vAlign w:val="center"/>
          </w:tcPr>
          <w:p w14:paraId="4346E6F8" w14:textId="77777777" w:rsidR="002B733E" w:rsidRPr="00FD50F6" w:rsidRDefault="002B733E" w:rsidP="002B733E">
            <w:pPr>
              <w:pStyle w:val="7"/>
            </w:pPr>
            <w:r w:rsidRPr="00FD50F6">
              <w:rPr>
                <w:rFonts w:hint="eastAsia"/>
              </w:rPr>
              <w:t>转向架构架横向制造误差值</w:t>
            </w:r>
          </w:p>
        </w:tc>
        <w:tc>
          <w:tcPr>
            <w:tcW w:w="2632" w:type="dxa"/>
            <w:tcBorders>
              <w:right w:val="single" w:sz="4" w:space="0" w:color="auto"/>
            </w:tcBorders>
            <w:vAlign w:val="center"/>
          </w:tcPr>
          <w:p w14:paraId="12178101"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2mm</w:t>
            </w:r>
          </w:p>
          <w:p w14:paraId="2ABCACBA"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2mm</w:t>
            </w:r>
          </w:p>
        </w:tc>
        <w:tc>
          <w:tcPr>
            <w:tcW w:w="693" w:type="dxa"/>
            <w:tcBorders>
              <w:left w:val="single" w:sz="4" w:space="0" w:color="auto"/>
              <w:right w:val="single" w:sz="12" w:space="0" w:color="auto"/>
            </w:tcBorders>
            <w:vAlign w:val="center"/>
          </w:tcPr>
          <w:p w14:paraId="233B193D" w14:textId="77777777" w:rsidR="002B733E" w:rsidRPr="00FD50F6" w:rsidRDefault="002B733E" w:rsidP="002B733E">
            <w:pPr>
              <w:pStyle w:val="7"/>
            </w:pPr>
            <w:r w:rsidRPr="00FD50F6">
              <w:rPr>
                <w:rFonts w:hint="eastAsia"/>
              </w:rPr>
              <w:t>Z</w:t>
            </w:r>
          </w:p>
        </w:tc>
      </w:tr>
      <w:tr w:rsidR="00FD50F6" w:rsidRPr="00FD50F6" w14:paraId="0B676F7B" w14:textId="77777777" w:rsidTr="002B733E">
        <w:trPr>
          <w:cantSplit/>
          <w:jc w:val="center"/>
        </w:trPr>
        <w:tc>
          <w:tcPr>
            <w:tcW w:w="709" w:type="dxa"/>
            <w:tcBorders>
              <w:left w:val="single" w:sz="12" w:space="0" w:color="auto"/>
            </w:tcBorders>
            <w:vAlign w:val="center"/>
          </w:tcPr>
          <w:p w14:paraId="24AB7A6E" w14:textId="77777777" w:rsidR="002B733E" w:rsidRPr="00FD50F6" w:rsidRDefault="002B733E" w:rsidP="002B733E">
            <w:pPr>
              <w:pStyle w:val="7"/>
            </w:pPr>
            <w:r w:rsidRPr="00FD50F6">
              <w:rPr>
                <w:rFonts w:hint="eastAsia"/>
              </w:rPr>
              <w:t>65</w:t>
            </w:r>
          </w:p>
        </w:tc>
        <w:tc>
          <w:tcPr>
            <w:tcW w:w="851" w:type="dxa"/>
            <w:vAlign w:val="center"/>
          </w:tcPr>
          <w:p w14:paraId="61848269"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t11</w:t>
            </w:r>
          </w:p>
        </w:tc>
        <w:tc>
          <w:tcPr>
            <w:tcW w:w="3337" w:type="dxa"/>
            <w:vAlign w:val="center"/>
          </w:tcPr>
          <w:p w14:paraId="338BD5AE" w14:textId="77777777" w:rsidR="002B733E" w:rsidRPr="00FD50F6" w:rsidRDefault="002B733E" w:rsidP="002B733E">
            <w:pPr>
              <w:pStyle w:val="7"/>
            </w:pPr>
            <w:r w:rsidRPr="00FD50F6">
              <w:rPr>
                <w:rFonts w:hint="eastAsia"/>
              </w:rPr>
              <w:t>转向架构架向上垂向制造误差值</w:t>
            </w:r>
          </w:p>
        </w:tc>
        <w:tc>
          <w:tcPr>
            <w:tcW w:w="2632" w:type="dxa"/>
            <w:tcBorders>
              <w:right w:val="single" w:sz="4" w:space="0" w:color="auto"/>
            </w:tcBorders>
            <w:vAlign w:val="center"/>
          </w:tcPr>
          <w:p w14:paraId="16913E65"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+1.5mm</w:t>
            </w:r>
          </w:p>
          <w:p w14:paraId="5D13556C"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+1.5mm</w:t>
            </w:r>
          </w:p>
        </w:tc>
        <w:tc>
          <w:tcPr>
            <w:tcW w:w="693" w:type="dxa"/>
            <w:tcBorders>
              <w:left w:val="single" w:sz="4" w:space="0" w:color="auto"/>
              <w:right w:val="single" w:sz="12" w:space="0" w:color="auto"/>
            </w:tcBorders>
            <w:vAlign w:val="center"/>
          </w:tcPr>
          <w:p w14:paraId="49C0FAEF" w14:textId="77777777" w:rsidR="002B733E" w:rsidRPr="00FD50F6" w:rsidRDefault="002B733E" w:rsidP="002B733E">
            <w:pPr>
              <w:pStyle w:val="7"/>
            </w:pPr>
            <w:r w:rsidRPr="00FD50F6">
              <w:rPr>
                <w:rFonts w:hint="eastAsia"/>
              </w:rPr>
              <w:t>Z</w:t>
            </w:r>
          </w:p>
        </w:tc>
      </w:tr>
      <w:tr w:rsidR="00FD50F6" w:rsidRPr="00FD50F6" w14:paraId="2D1EFAE3" w14:textId="77777777" w:rsidTr="002B733E">
        <w:trPr>
          <w:cantSplit/>
          <w:jc w:val="center"/>
        </w:trPr>
        <w:tc>
          <w:tcPr>
            <w:tcW w:w="709" w:type="dxa"/>
            <w:tcBorders>
              <w:left w:val="single" w:sz="12" w:space="0" w:color="auto"/>
            </w:tcBorders>
            <w:vAlign w:val="center"/>
          </w:tcPr>
          <w:p w14:paraId="1A2C6E32" w14:textId="77777777" w:rsidR="002B733E" w:rsidRPr="00FD50F6" w:rsidRDefault="002B733E" w:rsidP="002B733E">
            <w:pPr>
              <w:pStyle w:val="7"/>
            </w:pPr>
            <w:r w:rsidRPr="00FD50F6">
              <w:rPr>
                <w:rFonts w:hint="eastAsia"/>
              </w:rPr>
              <w:t>66</w:t>
            </w:r>
          </w:p>
        </w:tc>
        <w:tc>
          <w:tcPr>
            <w:tcW w:w="851" w:type="dxa"/>
            <w:vAlign w:val="center"/>
          </w:tcPr>
          <w:p w14:paraId="358C2398"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t12</w:t>
            </w:r>
          </w:p>
        </w:tc>
        <w:tc>
          <w:tcPr>
            <w:tcW w:w="3337" w:type="dxa"/>
            <w:vAlign w:val="center"/>
          </w:tcPr>
          <w:p w14:paraId="5C3E573B" w14:textId="77777777" w:rsidR="002B733E" w:rsidRPr="00FD50F6" w:rsidRDefault="002B733E" w:rsidP="002B733E">
            <w:pPr>
              <w:pStyle w:val="7"/>
            </w:pPr>
            <w:r w:rsidRPr="00FD50F6">
              <w:rPr>
                <w:rFonts w:hint="eastAsia"/>
              </w:rPr>
              <w:t>转向架构架向下垂向制造误差值</w:t>
            </w:r>
          </w:p>
        </w:tc>
        <w:tc>
          <w:tcPr>
            <w:tcW w:w="2632" w:type="dxa"/>
            <w:tcBorders>
              <w:right w:val="single" w:sz="4" w:space="0" w:color="auto"/>
            </w:tcBorders>
            <w:vAlign w:val="center"/>
          </w:tcPr>
          <w:p w14:paraId="5EA56A8B"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-1.5mm</w:t>
            </w:r>
          </w:p>
          <w:p w14:paraId="0AF536DC"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-1.5mm</w:t>
            </w:r>
          </w:p>
        </w:tc>
        <w:tc>
          <w:tcPr>
            <w:tcW w:w="693" w:type="dxa"/>
            <w:tcBorders>
              <w:left w:val="single" w:sz="4" w:space="0" w:color="auto"/>
              <w:right w:val="single" w:sz="12" w:space="0" w:color="auto"/>
            </w:tcBorders>
            <w:vAlign w:val="center"/>
          </w:tcPr>
          <w:p w14:paraId="7C4639A9" w14:textId="77777777" w:rsidR="002B733E" w:rsidRPr="00FD50F6" w:rsidRDefault="002B733E" w:rsidP="002B733E">
            <w:pPr>
              <w:pStyle w:val="7"/>
            </w:pPr>
            <w:r w:rsidRPr="00FD50F6">
              <w:rPr>
                <w:rFonts w:hint="eastAsia"/>
              </w:rPr>
              <w:t>Z</w:t>
            </w:r>
          </w:p>
        </w:tc>
      </w:tr>
      <w:tr w:rsidR="00FD50F6" w:rsidRPr="00FD50F6" w14:paraId="46715BE6" w14:textId="77777777" w:rsidTr="002B733E">
        <w:trPr>
          <w:cantSplit/>
          <w:jc w:val="center"/>
        </w:trPr>
        <w:tc>
          <w:tcPr>
            <w:tcW w:w="709" w:type="dxa"/>
            <w:tcBorders>
              <w:left w:val="single" w:sz="12" w:space="0" w:color="auto"/>
            </w:tcBorders>
            <w:vAlign w:val="center"/>
          </w:tcPr>
          <w:p w14:paraId="188B9EEC" w14:textId="77777777" w:rsidR="002B733E" w:rsidRPr="00FD50F6" w:rsidRDefault="002B733E" w:rsidP="002B733E">
            <w:pPr>
              <w:pStyle w:val="7"/>
            </w:pPr>
            <w:r w:rsidRPr="00FD50F6">
              <w:rPr>
                <w:rFonts w:hint="eastAsia"/>
              </w:rPr>
              <w:t>67</w:t>
            </w:r>
          </w:p>
        </w:tc>
        <w:tc>
          <w:tcPr>
            <w:tcW w:w="851" w:type="dxa"/>
            <w:vAlign w:val="center"/>
          </w:tcPr>
          <w:p w14:paraId="3F5C9003"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t13</w:t>
            </w:r>
          </w:p>
        </w:tc>
        <w:tc>
          <w:tcPr>
            <w:tcW w:w="3337" w:type="dxa"/>
            <w:vAlign w:val="center"/>
          </w:tcPr>
          <w:p w14:paraId="5D0D997B" w14:textId="77777777" w:rsidR="002B733E" w:rsidRPr="00FD50F6" w:rsidRDefault="002B733E" w:rsidP="002B733E">
            <w:pPr>
              <w:pStyle w:val="7"/>
            </w:pPr>
            <w:r w:rsidRPr="00FD50F6">
              <w:rPr>
                <w:rFonts w:hint="eastAsia"/>
              </w:rPr>
              <w:t>转向架簧下部分横向制造误差值</w:t>
            </w:r>
          </w:p>
        </w:tc>
        <w:tc>
          <w:tcPr>
            <w:tcW w:w="2632" w:type="dxa"/>
            <w:tcBorders>
              <w:right w:val="single" w:sz="4" w:space="0" w:color="auto"/>
            </w:tcBorders>
            <w:vAlign w:val="center"/>
          </w:tcPr>
          <w:p w14:paraId="6DC5EE14"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1mm</w:t>
            </w:r>
          </w:p>
          <w:p w14:paraId="5D4B72C5"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1mm</w:t>
            </w:r>
          </w:p>
        </w:tc>
        <w:tc>
          <w:tcPr>
            <w:tcW w:w="693" w:type="dxa"/>
            <w:tcBorders>
              <w:left w:val="single" w:sz="4" w:space="0" w:color="auto"/>
              <w:right w:val="single" w:sz="12" w:space="0" w:color="auto"/>
            </w:tcBorders>
            <w:vAlign w:val="center"/>
          </w:tcPr>
          <w:p w14:paraId="327ED2FF" w14:textId="77777777" w:rsidR="002B733E" w:rsidRPr="00FD50F6" w:rsidRDefault="002B733E" w:rsidP="002B733E">
            <w:pPr>
              <w:pStyle w:val="7"/>
            </w:pPr>
            <w:r w:rsidRPr="00FD50F6">
              <w:rPr>
                <w:rFonts w:hint="eastAsia"/>
              </w:rPr>
              <w:t>Z</w:t>
            </w:r>
          </w:p>
        </w:tc>
      </w:tr>
      <w:tr w:rsidR="00FD50F6" w:rsidRPr="00FD50F6" w14:paraId="755214F3" w14:textId="77777777" w:rsidTr="002B733E">
        <w:trPr>
          <w:cantSplit/>
          <w:jc w:val="center"/>
        </w:trPr>
        <w:tc>
          <w:tcPr>
            <w:tcW w:w="709" w:type="dxa"/>
            <w:tcBorders>
              <w:left w:val="single" w:sz="12" w:space="0" w:color="auto"/>
            </w:tcBorders>
            <w:vAlign w:val="center"/>
          </w:tcPr>
          <w:p w14:paraId="05DF698A" w14:textId="77777777" w:rsidR="002B733E" w:rsidRPr="00FD50F6" w:rsidRDefault="002B733E" w:rsidP="002B733E">
            <w:pPr>
              <w:pStyle w:val="7"/>
            </w:pPr>
            <w:r w:rsidRPr="00FD50F6">
              <w:rPr>
                <w:rFonts w:hint="eastAsia"/>
              </w:rPr>
              <w:t>68</w:t>
            </w:r>
          </w:p>
        </w:tc>
        <w:tc>
          <w:tcPr>
            <w:tcW w:w="851" w:type="dxa"/>
            <w:vAlign w:val="center"/>
          </w:tcPr>
          <w:p w14:paraId="66E08495" w14:textId="77777777" w:rsidR="002B733E" w:rsidRPr="00FD50F6" w:rsidRDefault="002B733E" w:rsidP="002B733E">
            <w:pPr>
              <w:pStyle w:val="7"/>
            </w:pPr>
            <w:r w:rsidRPr="00FD50F6">
              <w:rPr>
                <w:rFonts w:hint="eastAsia"/>
              </w:rPr>
              <w:t>Δ</w:t>
            </w:r>
            <w:r w:rsidRPr="00FD50F6">
              <w:rPr>
                <w:rFonts w:hint="eastAsia"/>
                <w:i/>
              </w:rPr>
              <w:t>M</w:t>
            </w:r>
            <w:r w:rsidRPr="00FD50F6">
              <w:rPr>
                <w:rFonts w:hint="eastAsia"/>
                <w:vertAlign w:val="subscript"/>
              </w:rPr>
              <w:t>t14</w:t>
            </w:r>
          </w:p>
        </w:tc>
        <w:tc>
          <w:tcPr>
            <w:tcW w:w="3337" w:type="dxa"/>
            <w:vAlign w:val="center"/>
          </w:tcPr>
          <w:p w14:paraId="4E4B43D6" w14:textId="77777777" w:rsidR="002B733E" w:rsidRPr="00FD50F6" w:rsidRDefault="002B733E" w:rsidP="002B733E">
            <w:pPr>
              <w:pStyle w:val="7"/>
            </w:pPr>
            <w:r w:rsidRPr="00FD50F6">
              <w:rPr>
                <w:rFonts w:hint="eastAsia"/>
              </w:rPr>
              <w:t>转向架簧下部分垂向制造误差值</w:t>
            </w:r>
          </w:p>
        </w:tc>
        <w:tc>
          <w:tcPr>
            <w:tcW w:w="2632" w:type="dxa"/>
            <w:tcBorders>
              <w:right w:val="single" w:sz="4" w:space="0" w:color="auto"/>
            </w:tcBorders>
            <w:vAlign w:val="center"/>
          </w:tcPr>
          <w:p w14:paraId="38763E50" w14:textId="77777777" w:rsidR="002B733E" w:rsidRPr="00FD50F6" w:rsidRDefault="002B733E" w:rsidP="002B733E">
            <w:pPr>
              <w:pStyle w:val="7"/>
            </w:pPr>
            <w:r w:rsidRPr="00FD50F6">
              <w:rPr>
                <w:rFonts w:hint="eastAsia"/>
              </w:rPr>
              <w:t>A</w:t>
            </w:r>
            <w:r w:rsidRPr="00FD50F6">
              <w:rPr>
                <w:rFonts w:hint="eastAsia"/>
              </w:rPr>
              <w:t>型车±</w:t>
            </w:r>
            <w:r w:rsidRPr="00FD50F6">
              <w:rPr>
                <w:rFonts w:hint="eastAsia"/>
              </w:rPr>
              <w:t>1mm</w:t>
            </w:r>
          </w:p>
          <w:p w14:paraId="2B41472D" w14:textId="77777777" w:rsidR="002B733E" w:rsidRPr="00FD50F6" w:rsidRDefault="002B733E" w:rsidP="002B733E">
            <w:pPr>
              <w:pStyle w:val="7"/>
            </w:pPr>
            <w:r w:rsidRPr="00FD50F6">
              <w:rPr>
                <w:rFonts w:hint="eastAsia"/>
              </w:rPr>
              <w:t>B</w:t>
            </w:r>
            <w:r w:rsidRPr="00FD50F6">
              <w:rPr>
                <w:rFonts w:hint="eastAsia"/>
              </w:rPr>
              <w:t>型车±</w:t>
            </w:r>
            <w:r w:rsidRPr="00FD50F6">
              <w:rPr>
                <w:rFonts w:hint="eastAsia"/>
              </w:rPr>
              <w:t>1mm</w:t>
            </w:r>
          </w:p>
        </w:tc>
        <w:tc>
          <w:tcPr>
            <w:tcW w:w="693" w:type="dxa"/>
            <w:tcBorders>
              <w:left w:val="single" w:sz="4" w:space="0" w:color="auto"/>
              <w:right w:val="single" w:sz="12" w:space="0" w:color="auto"/>
            </w:tcBorders>
            <w:vAlign w:val="center"/>
          </w:tcPr>
          <w:p w14:paraId="02544119" w14:textId="77777777" w:rsidR="002B733E" w:rsidRPr="00FD50F6" w:rsidRDefault="002B733E" w:rsidP="002B733E">
            <w:pPr>
              <w:pStyle w:val="7"/>
            </w:pPr>
            <w:r w:rsidRPr="00FD50F6">
              <w:rPr>
                <w:rFonts w:hint="eastAsia"/>
              </w:rPr>
              <w:t>Z</w:t>
            </w:r>
          </w:p>
        </w:tc>
      </w:tr>
      <w:tr w:rsidR="00FD50F6" w:rsidRPr="00FD50F6" w14:paraId="6E1EE5FB" w14:textId="77777777" w:rsidTr="002B733E">
        <w:trPr>
          <w:cantSplit/>
          <w:jc w:val="center"/>
        </w:trPr>
        <w:tc>
          <w:tcPr>
            <w:tcW w:w="709" w:type="dxa"/>
            <w:tcBorders>
              <w:left w:val="single" w:sz="12" w:space="0" w:color="auto"/>
            </w:tcBorders>
            <w:vAlign w:val="center"/>
          </w:tcPr>
          <w:p w14:paraId="68FAA94F" w14:textId="77777777" w:rsidR="002B733E" w:rsidRPr="00FD50F6" w:rsidRDefault="002B733E" w:rsidP="002B733E">
            <w:pPr>
              <w:pStyle w:val="7"/>
            </w:pPr>
            <w:r w:rsidRPr="00FD50F6">
              <w:rPr>
                <w:rFonts w:hint="eastAsia"/>
              </w:rPr>
              <w:t>69</w:t>
            </w:r>
          </w:p>
        </w:tc>
        <w:tc>
          <w:tcPr>
            <w:tcW w:w="851" w:type="dxa"/>
            <w:vAlign w:val="center"/>
          </w:tcPr>
          <w:p w14:paraId="733E365B" w14:textId="77777777" w:rsidR="002B733E" w:rsidRPr="00FD50F6" w:rsidRDefault="002B733E" w:rsidP="002B733E">
            <w:pPr>
              <w:pStyle w:val="7"/>
            </w:pPr>
            <w:r w:rsidRPr="00FD50F6">
              <w:rPr>
                <w:rFonts w:hint="eastAsia"/>
              </w:rPr>
              <w:sym w:font="Symbol" w:char="F044"/>
            </w:r>
            <w:r w:rsidRPr="00FD50F6">
              <w:rPr>
                <w:rFonts w:hint="eastAsia"/>
                <w:i/>
              </w:rPr>
              <w:t>M</w:t>
            </w:r>
            <w:r w:rsidRPr="00FD50F6">
              <w:rPr>
                <w:rFonts w:hint="eastAsia"/>
                <w:vertAlign w:val="subscript"/>
              </w:rPr>
              <w:t>t15</w:t>
            </w:r>
          </w:p>
        </w:tc>
        <w:tc>
          <w:tcPr>
            <w:tcW w:w="3337" w:type="dxa"/>
            <w:vAlign w:val="center"/>
          </w:tcPr>
          <w:p w14:paraId="34B82829" w14:textId="77777777" w:rsidR="002B733E" w:rsidRPr="00FD50F6" w:rsidRDefault="002B733E" w:rsidP="002B733E">
            <w:pPr>
              <w:pStyle w:val="7"/>
            </w:pPr>
            <w:r w:rsidRPr="00FD50F6">
              <w:rPr>
                <w:rFonts w:hint="eastAsia"/>
              </w:rPr>
              <w:t>受流器横向安装误差值及受流器横向尺寸公差值</w:t>
            </w:r>
          </w:p>
        </w:tc>
        <w:tc>
          <w:tcPr>
            <w:tcW w:w="2632" w:type="dxa"/>
            <w:tcBorders>
              <w:right w:val="single" w:sz="4" w:space="0" w:color="auto"/>
            </w:tcBorders>
            <w:vAlign w:val="center"/>
          </w:tcPr>
          <w:p w14:paraId="17E98457" w14:textId="77777777" w:rsidR="002B733E" w:rsidRPr="00FD50F6" w:rsidRDefault="002B733E" w:rsidP="002B733E">
            <w:pPr>
              <w:pStyle w:val="7"/>
            </w:pPr>
            <w:r w:rsidRPr="00FD50F6">
              <w:rPr>
                <w:rFonts w:hint="eastAsia"/>
              </w:rPr>
              <w:sym w:font="Symbol" w:char="F0B1"/>
            </w:r>
            <w:r w:rsidRPr="00FD50F6">
              <w:rPr>
                <w:rFonts w:hint="eastAsia"/>
              </w:rPr>
              <w:t>2mm</w:t>
            </w:r>
          </w:p>
        </w:tc>
        <w:tc>
          <w:tcPr>
            <w:tcW w:w="693" w:type="dxa"/>
            <w:tcBorders>
              <w:left w:val="single" w:sz="4" w:space="0" w:color="auto"/>
              <w:right w:val="single" w:sz="12" w:space="0" w:color="auto"/>
            </w:tcBorders>
            <w:vAlign w:val="center"/>
          </w:tcPr>
          <w:p w14:paraId="7486B01B" w14:textId="77777777" w:rsidR="002B733E" w:rsidRPr="00FD50F6" w:rsidRDefault="002B733E" w:rsidP="002B733E">
            <w:pPr>
              <w:pStyle w:val="7"/>
            </w:pPr>
            <w:r w:rsidRPr="00FD50F6">
              <w:rPr>
                <w:rFonts w:hint="eastAsia"/>
              </w:rPr>
              <w:t>Z</w:t>
            </w:r>
          </w:p>
        </w:tc>
      </w:tr>
      <w:tr w:rsidR="00FD50F6" w:rsidRPr="00FD50F6" w14:paraId="605D8167" w14:textId="77777777" w:rsidTr="002B733E">
        <w:trPr>
          <w:cantSplit/>
          <w:jc w:val="center"/>
        </w:trPr>
        <w:tc>
          <w:tcPr>
            <w:tcW w:w="709" w:type="dxa"/>
            <w:tcBorders>
              <w:left w:val="single" w:sz="12" w:space="0" w:color="auto"/>
            </w:tcBorders>
            <w:vAlign w:val="center"/>
          </w:tcPr>
          <w:p w14:paraId="3269B6DC" w14:textId="77777777" w:rsidR="002B733E" w:rsidRPr="00FD50F6" w:rsidRDefault="002B733E" w:rsidP="002B733E">
            <w:pPr>
              <w:pStyle w:val="7"/>
            </w:pPr>
            <w:r w:rsidRPr="00FD50F6">
              <w:rPr>
                <w:rFonts w:hint="eastAsia"/>
              </w:rPr>
              <w:t>70</w:t>
            </w:r>
          </w:p>
        </w:tc>
        <w:tc>
          <w:tcPr>
            <w:tcW w:w="851" w:type="dxa"/>
            <w:vAlign w:val="center"/>
          </w:tcPr>
          <w:p w14:paraId="1C98E653" w14:textId="77777777" w:rsidR="002B733E" w:rsidRPr="00FD50F6" w:rsidRDefault="002B733E" w:rsidP="002B733E">
            <w:pPr>
              <w:pStyle w:val="7"/>
              <w:rPr>
                <w:vertAlign w:val="subscript"/>
              </w:rPr>
            </w:pPr>
            <w:r w:rsidRPr="00FD50F6">
              <w:rPr>
                <w:rFonts w:hint="eastAsia"/>
              </w:rPr>
              <w:sym w:font="Symbol" w:char="F044"/>
            </w:r>
            <w:r w:rsidRPr="00FD50F6">
              <w:rPr>
                <w:rFonts w:hint="eastAsia"/>
                <w:i/>
              </w:rPr>
              <w:t>M</w:t>
            </w:r>
            <w:r w:rsidRPr="00FD50F6">
              <w:rPr>
                <w:rFonts w:hint="eastAsia"/>
                <w:vertAlign w:val="subscript"/>
              </w:rPr>
              <w:t>t16</w:t>
            </w:r>
          </w:p>
        </w:tc>
        <w:tc>
          <w:tcPr>
            <w:tcW w:w="3337" w:type="dxa"/>
            <w:vAlign w:val="center"/>
          </w:tcPr>
          <w:p w14:paraId="30C8ADCF" w14:textId="77777777" w:rsidR="002B733E" w:rsidRPr="00FD50F6" w:rsidRDefault="002B733E" w:rsidP="002B733E">
            <w:pPr>
              <w:pStyle w:val="7"/>
            </w:pPr>
            <w:r w:rsidRPr="00FD50F6">
              <w:rPr>
                <w:rFonts w:hint="eastAsia"/>
              </w:rPr>
              <w:t>受流器垂向安装误差值及受流器垂向尺寸公差值</w:t>
            </w:r>
          </w:p>
        </w:tc>
        <w:tc>
          <w:tcPr>
            <w:tcW w:w="2632" w:type="dxa"/>
            <w:tcBorders>
              <w:right w:val="single" w:sz="4" w:space="0" w:color="auto"/>
            </w:tcBorders>
            <w:vAlign w:val="center"/>
          </w:tcPr>
          <w:p w14:paraId="1DC0A5C2" w14:textId="77777777" w:rsidR="002B733E" w:rsidRPr="00FD50F6" w:rsidRDefault="002B733E" w:rsidP="002B733E">
            <w:pPr>
              <w:pStyle w:val="7"/>
            </w:pPr>
            <w:r w:rsidRPr="00FD50F6">
              <w:rPr>
                <w:rFonts w:hint="eastAsia"/>
              </w:rPr>
              <w:sym w:font="Symbol" w:char="F0B1"/>
            </w:r>
            <w:r w:rsidRPr="00FD50F6">
              <w:rPr>
                <w:rFonts w:hint="eastAsia"/>
              </w:rPr>
              <w:t>2mm</w:t>
            </w:r>
          </w:p>
        </w:tc>
        <w:tc>
          <w:tcPr>
            <w:tcW w:w="693" w:type="dxa"/>
            <w:tcBorders>
              <w:left w:val="single" w:sz="4" w:space="0" w:color="auto"/>
              <w:right w:val="single" w:sz="12" w:space="0" w:color="auto"/>
            </w:tcBorders>
            <w:vAlign w:val="center"/>
          </w:tcPr>
          <w:p w14:paraId="02A3C8DD" w14:textId="77777777" w:rsidR="002B733E" w:rsidRPr="00FD50F6" w:rsidRDefault="002B733E" w:rsidP="002B733E">
            <w:pPr>
              <w:pStyle w:val="7"/>
            </w:pPr>
            <w:r w:rsidRPr="00FD50F6">
              <w:rPr>
                <w:rFonts w:hint="eastAsia"/>
              </w:rPr>
              <w:t>Z</w:t>
            </w:r>
          </w:p>
        </w:tc>
      </w:tr>
      <w:tr w:rsidR="00FD50F6" w:rsidRPr="00FD50F6" w14:paraId="31F0D2BB" w14:textId="77777777" w:rsidTr="002B733E">
        <w:trPr>
          <w:cantSplit/>
          <w:jc w:val="center"/>
        </w:trPr>
        <w:tc>
          <w:tcPr>
            <w:tcW w:w="709" w:type="dxa"/>
            <w:tcBorders>
              <w:left w:val="single" w:sz="12" w:space="0" w:color="auto"/>
            </w:tcBorders>
            <w:vAlign w:val="center"/>
          </w:tcPr>
          <w:p w14:paraId="7E3A3252" w14:textId="77777777" w:rsidR="002B733E" w:rsidRPr="00FD50F6" w:rsidRDefault="002B733E" w:rsidP="002B733E">
            <w:pPr>
              <w:pStyle w:val="7"/>
            </w:pPr>
            <w:r w:rsidRPr="00FD50F6">
              <w:rPr>
                <w:rFonts w:hint="eastAsia"/>
              </w:rPr>
              <w:t>71</w:t>
            </w:r>
          </w:p>
        </w:tc>
        <w:tc>
          <w:tcPr>
            <w:tcW w:w="851" w:type="dxa"/>
            <w:vAlign w:val="center"/>
          </w:tcPr>
          <w:p w14:paraId="19A965D5" w14:textId="77777777" w:rsidR="002B733E" w:rsidRPr="00FD50F6" w:rsidRDefault="002B733E" w:rsidP="002B733E">
            <w:pPr>
              <w:pStyle w:val="7"/>
              <w:rPr>
                <w:vertAlign w:val="subscript"/>
              </w:rPr>
            </w:pPr>
            <w:r w:rsidRPr="00FD50F6">
              <w:rPr>
                <w:rFonts w:hint="eastAsia"/>
              </w:rPr>
              <w:t>Δ</w:t>
            </w:r>
            <w:r w:rsidRPr="00FD50F6">
              <w:rPr>
                <w:rFonts w:hint="eastAsia"/>
                <w:i/>
              </w:rPr>
              <w:t>q</w:t>
            </w:r>
            <w:r w:rsidRPr="00FD50F6">
              <w:rPr>
                <w:rFonts w:hint="eastAsia"/>
                <w:vertAlign w:val="subscript"/>
              </w:rPr>
              <w:t>1</w:t>
            </w:r>
          </w:p>
        </w:tc>
        <w:tc>
          <w:tcPr>
            <w:tcW w:w="3337" w:type="dxa"/>
            <w:vAlign w:val="center"/>
          </w:tcPr>
          <w:p w14:paraId="12B4618A" w14:textId="77777777" w:rsidR="002B733E" w:rsidRPr="00FD50F6" w:rsidRDefault="002B733E" w:rsidP="002B733E">
            <w:pPr>
              <w:pStyle w:val="7"/>
            </w:pPr>
            <w:r w:rsidRPr="00FD50F6">
              <w:rPr>
                <w:rFonts w:hint="eastAsia"/>
              </w:rPr>
              <w:t>转向架轴箱轴承游隙</w:t>
            </w:r>
          </w:p>
        </w:tc>
        <w:tc>
          <w:tcPr>
            <w:tcW w:w="2632" w:type="dxa"/>
            <w:tcBorders>
              <w:right w:val="single" w:sz="4" w:space="0" w:color="auto"/>
            </w:tcBorders>
            <w:vAlign w:val="center"/>
          </w:tcPr>
          <w:p w14:paraId="2D0EB7B6" w14:textId="77777777" w:rsidR="002B733E" w:rsidRPr="00FD50F6" w:rsidRDefault="002B733E" w:rsidP="002B733E">
            <w:pPr>
              <w:pStyle w:val="7"/>
            </w:pPr>
            <w:r w:rsidRPr="00FD50F6">
              <w:rPr>
                <w:rFonts w:hint="eastAsia"/>
              </w:rPr>
              <w:t>±</w:t>
            </w:r>
            <w:r w:rsidRPr="00FD50F6">
              <w:rPr>
                <w:rFonts w:hint="eastAsia"/>
              </w:rPr>
              <w:t>1mm</w:t>
            </w:r>
          </w:p>
        </w:tc>
        <w:tc>
          <w:tcPr>
            <w:tcW w:w="693" w:type="dxa"/>
            <w:tcBorders>
              <w:left w:val="single" w:sz="4" w:space="0" w:color="auto"/>
              <w:right w:val="single" w:sz="12" w:space="0" w:color="auto"/>
            </w:tcBorders>
            <w:vAlign w:val="center"/>
          </w:tcPr>
          <w:p w14:paraId="28AA8D05" w14:textId="77777777" w:rsidR="002B733E" w:rsidRPr="00FD50F6" w:rsidRDefault="002B733E" w:rsidP="002B733E">
            <w:pPr>
              <w:pStyle w:val="7"/>
            </w:pPr>
            <w:r w:rsidRPr="00FD50F6">
              <w:rPr>
                <w:rFonts w:hint="eastAsia"/>
              </w:rPr>
              <w:t>NZ</w:t>
            </w:r>
          </w:p>
        </w:tc>
      </w:tr>
      <w:tr w:rsidR="00FD50F6" w:rsidRPr="00FD50F6" w14:paraId="34917CC8" w14:textId="77777777" w:rsidTr="002B733E">
        <w:trPr>
          <w:cantSplit/>
          <w:jc w:val="center"/>
        </w:trPr>
        <w:tc>
          <w:tcPr>
            <w:tcW w:w="709" w:type="dxa"/>
            <w:tcBorders>
              <w:left w:val="single" w:sz="12" w:space="0" w:color="auto"/>
            </w:tcBorders>
            <w:vAlign w:val="center"/>
          </w:tcPr>
          <w:p w14:paraId="7ED12892" w14:textId="77777777" w:rsidR="002B733E" w:rsidRPr="00FD50F6" w:rsidRDefault="002B733E" w:rsidP="002B733E">
            <w:pPr>
              <w:pStyle w:val="7"/>
            </w:pPr>
            <w:r w:rsidRPr="00FD50F6">
              <w:rPr>
                <w:rFonts w:hint="eastAsia"/>
              </w:rPr>
              <w:t>72</w:t>
            </w:r>
          </w:p>
        </w:tc>
        <w:tc>
          <w:tcPr>
            <w:tcW w:w="851" w:type="dxa"/>
            <w:vAlign w:val="center"/>
          </w:tcPr>
          <w:p w14:paraId="390E64AC" w14:textId="77777777" w:rsidR="002B733E" w:rsidRPr="00FD50F6" w:rsidRDefault="002B733E" w:rsidP="002B733E">
            <w:pPr>
              <w:pStyle w:val="7"/>
            </w:pPr>
            <w:r w:rsidRPr="00FD50F6">
              <w:rPr>
                <w:rFonts w:hint="eastAsia"/>
              </w:rPr>
              <w:t>Δ</w:t>
            </w:r>
            <w:r w:rsidRPr="00FD50F6">
              <w:rPr>
                <w:rFonts w:hint="eastAsia"/>
                <w:i/>
              </w:rPr>
              <w:t>q</w:t>
            </w:r>
            <w:r w:rsidRPr="00FD50F6">
              <w:rPr>
                <w:rFonts w:hint="eastAsia"/>
                <w:vertAlign w:val="subscript"/>
              </w:rPr>
              <w:t>2</w:t>
            </w:r>
          </w:p>
        </w:tc>
        <w:tc>
          <w:tcPr>
            <w:tcW w:w="3337" w:type="dxa"/>
            <w:vAlign w:val="center"/>
          </w:tcPr>
          <w:p w14:paraId="7838E93B" w14:textId="77777777" w:rsidR="002B733E" w:rsidRPr="00FD50F6" w:rsidRDefault="002B733E" w:rsidP="002B733E">
            <w:pPr>
              <w:pStyle w:val="7"/>
            </w:pPr>
            <w:r w:rsidRPr="00FD50F6">
              <w:rPr>
                <w:rFonts w:hint="eastAsia"/>
              </w:rPr>
              <w:t>转向架一系弹簧横向弹性变形量</w:t>
            </w:r>
          </w:p>
        </w:tc>
        <w:tc>
          <w:tcPr>
            <w:tcW w:w="2632" w:type="dxa"/>
            <w:tcBorders>
              <w:right w:val="single" w:sz="4" w:space="0" w:color="auto"/>
            </w:tcBorders>
            <w:vAlign w:val="center"/>
          </w:tcPr>
          <w:p w14:paraId="3A5878F7" w14:textId="77777777" w:rsidR="002B733E" w:rsidRPr="00FD50F6" w:rsidRDefault="002B733E" w:rsidP="002B733E">
            <w:pPr>
              <w:pStyle w:val="7"/>
            </w:pPr>
            <w:r w:rsidRPr="00FD50F6">
              <w:rPr>
                <w:rFonts w:hint="eastAsia"/>
              </w:rPr>
              <w:t>±</w:t>
            </w:r>
            <w:r w:rsidRPr="00FD50F6">
              <w:rPr>
                <w:rFonts w:hint="eastAsia"/>
              </w:rPr>
              <w:t>4mm(</w:t>
            </w:r>
            <w:r w:rsidRPr="00FD50F6">
              <w:rPr>
                <w:rFonts w:hint="eastAsia"/>
              </w:rPr>
              <w:t>直线</w:t>
            </w:r>
            <w:r w:rsidRPr="00FD50F6">
              <w:rPr>
                <w:rFonts w:hint="eastAsia"/>
              </w:rPr>
              <w:t>)</w:t>
            </w:r>
          </w:p>
          <w:p w14:paraId="6F25715F" w14:textId="77777777" w:rsidR="002B733E" w:rsidRPr="00FD50F6" w:rsidRDefault="002B733E" w:rsidP="002B733E">
            <w:pPr>
              <w:pStyle w:val="7"/>
            </w:pPr>
            <w:r w:rsidRPr="00FD50F6">
              <w:rPr>
                <w:rFonts w:hint="eastAsia"/>
              </w:rPr>
              <w:t>±</w:t>
            </w:r>
            <w:r w:rsidRPr="00FD50F6">
              <w:rPr>
                <w:rFonts w:hint="eastAsia"/>
              </w:rPr>
              <w:t>8mm(</w:t>
            </w:r>
            <w:r w:rsidRPr="00FD50F6">
              <w:rPr>
                <w:rFonts w:hint="eastAsia"/>
              </w:rPr>
              <w:t>曲线</w:t>
            </w:r>
            <w:r w:rsidRPr="00FD50F6">
              <w:rPr>
                <w:rFonts w:hint="eastAsia"/>
              </w:rPr>
              <w:t>)</w:t>
            </w:r>
          </w:p>
        </w:tc>
        <w:tc>
          <w:tcPr>
            <w:tcW w:w="693" w:type="dxa"/>
            <w:tcBorders>
              <w:left w:val="single" w:sz="4" w:space="0" w:color="auto"/>
              <w:right w:val="single" w:sz="12" w:space="0" w:color="auto"/>
            </w:tcBorders>
            <w:vAlign w:val="center"/>
          </w:tcPr>
          <w:p w14:paraId="0A7B3AF5" w14:textId="77777777" w:rsidR="002B733E" w:rsidRPr="00FD50F6" w:rsidRDefault="002B733E" w:rsidP="002B733E">
            <w:pPr>
              <w:pStyle w:val="7"/>
            </w:pPr>
            <w:r w:rsidRPr="00FD50F6">
              <w:rPr>
                <w:rFonts w:hint="eastAsia"/>
              </w:rPr>
              <w:t>NZ</w:t>
            </w:r>
          </w:p>
        </w:tc>
      </w:tr>
      <w:tr w:rsidR="00FD50F6" w:rsidRPr="00FD50F6" w14:paraId="1A4E7615" w14:textId="77777777" w:rsidTr="002B733E">
        <w:trPr>
          <w:cantSplit/>
          <w:trHeight w:val="45"/>
          <w:jc w:val="center"/>
        </w:trPr>
        <w:tc>
          <w:tcPr>
            <w:tcW w:w="709" w:type="dxa"/>
            <w:tcBorders>
              <w:left w:val="single" w:sz="12" w:space="0" w:color="auto"/>
            </w:tcBorders>
            <w:vAlign w:val="center"/>
          </w:tcPr>
          <w:p w14:paraId="4C6CCBD6" w14:textId="77777777" w:rsidR="002B733E" w:rsidRPr="00FD50F6" w:rsidRDefault="002B733E" w:rsidP="002B733E">
            <w:pPr>
              <w:pStyle w:val="7"/>
            </w:pPr>
            <w:r w:rsidRPr="00FD50F6">
              <w:rPr>
                <w:rFonts w:hint="eastAsia"/>
              </w:rPr>
              <w:t>73</w:t>
            </w:r>
          </w:p>
        </w:tc>
        <w:tc>
          <w:tcPr>
            <w:tcW w:w="851" w:type="dxa"/>
            <w:vAlign w:val="center"/>
          </w:tcPr>
          <w:p w14:paraId="04D4C004" w14:textId="77777777" w:rsidR="002B733E" w:rsidRPr="00FD50F6" w:rsidRDefault="002B733E" w:rsidP="002B733E">
            <w:pPr>
              <w:pStyle w:val="7"/>
            </w:pPr>
            <w:r w:rsidRPr="00FD50F6">
              <w:rPr>
                <w:rFonts w:hint="eastAsia"/>
              </w:rPr>
              <w:sym w:font="Symbol" w:char="F044"/>
            </w:r>
            <w:r w:rsidRPr="00FD50F6">
              <w:rPr>
                <w:rFonts w:hint="eastAsia"/>
                <w:i/>
              </w:rPr>
              <w:t>S</w:t>
            </w:r>
            <w:r w:rsidRPr="00FD50F6">
              <w:rPr>
                <w:rFonts w:hint="eastAsia"/>
                <w:vertAlign w:val="subscript"/>
              </w:rPr>
              <w:t>a</w:t>
            </w:r>
          </w:p>
        </w:tc>
        <w:tc>
          <w:tcPr>
            <w:tcW w:w="3337" w:type="dxa"/>
            <w:vAlign w:val="center"/>
          </w:tcPr>
          <w:p w14:paraId="70D702D0" w14:textId="77777777" w:rsidR="002B733E" w:rsidRPr="00FD50F6" w:rsidRDefault="002B733E" w:rsidP="002B733E">
            <w:pPr>
              <w:pStyle w:val="7"/>
            </w:pPr>
            <w:r w:rsidRPr="00FD50F6">
              <w:rPr>
                <w:rFonts w:hint="eastAsia"/>
              </w:rPr>
              <w:t>曲线轨距加宽外轨分量及外轨磨耗量</w:t>
            </w:r>
          </w:p>
        </w:tc>
        <w:tc>
          <w:tcPr>
            <w:tcW w:w="2632" w:type="dxa"/>
            <w:tcBorders>
              <w:right w:val="single" w:sz="4" w:space="0" w:color="auto"/>
            </w:tcBorders>
            <w:vAlign w:val="center"/>
          </w:tcPr>
          <w:p w14:paraId="0393C999" w14:textId="77777777" w:rsidR="002B733E" w:rsidRPr="00FD50F6" w:rsidRDefault="002B733E" w:rsidP="002B733E">
            <w:pPr>
              <w:pStyle w:val="7"/>
            </w:pPr>
            <w:r w:rsidRPr="00FD50F6">
              <w:rPr>
                <w:rFonts w:hint="eastAsia"/>
              </w:rPr>
              <w:t>R</w:t>
            </w:r>
            <w:r w:rsidRPr="00FD50F6">
              <w:rPr>
                <w:rFonts w:hint="eastAsia"/>
              </w:rPr>
              <w:sym w:font="Times New Roman" w:char="0000"/>
            </w:r>
            <w:r w:rsidRPr="00FD50F6">
              <w:rPr>
                <w:rFonts w:hint="eastAsia"/>
              </w:rPr>
              <w:t>800m,3mm</w:t>
            </w:r>
          </w:p>
          <w:p w14:paraId="57A99293" w14:textId="77777777" w:rsidR="002B733E" w:rsidRPr="00FD50F6" w:rsidRDefault="002B733E" w:rsidP="002B733E">
            <w:pPr>
              <w:pStyle w:val="7"/>
            </w:pPr>
            <w:r w:rsidRPr="00FD50F6">
              <w:rPr>
                <w:rFonts w:hint="eastAsia"/>
              </w:rPr>
              <w:t>800m&gt;R&gt;110m,3+300/R(mm)</w:t>
            </w:r>
          </w:p>
        </w:tc>
        <w:tc>
          <w:tcPr>
            <w:tcW w:w="693" w:type="dxa"/>
            <w:tcBorders>
              <w:left w:val="single" w:sz="4" w:space="0" w:color="auto"/>
              <w:right w:val="single" w:sz="12" w:space="0" w:color="auto"/>
            </w:tcBorders>
            <w:vAlign w:val="center"/>
          </w:tcPr>
          <w:p w14:paraId="1F6900C0" w14:textId="77777777" w:rsidR="002B733E" w:rsidRPr="00FD50F6" w:rsidRDefault="002B733E" w:rsidP="002B733E">
            <w:pPr>
              <w:pStyle w:val="7"/>
            </w:pPr>
            <w:r w:rsidRPr="00FD50F6">
              <w:rPr>
                <w:rFonts w:hint="eastAsia"/>
              </w:rPr>
              <w:t>NZ</w:t>
            </w:r>
          </w:p>
        </w:tc>
      </w:tr>
      <w:tr w:rsidR="00FD50F6" w:rsidRPr="00FD50F6" w14:paraId="01B6786D" w14:textId="77777777" w:rsidTr="002B733E">
        <w:trPr>
          <w:cantSplit/>
          <w:trHeight w:val="45"/>
          <w:jc w:val="center"/>
        </w:trPr>
        <w:tc>
          <w:tcPr>
            <w:tcW w:w="709" w:type="dxa"/>
            <w:tcBorders>
              <w:left w:val="single" w:sz="12" w:space="0" w:color="auto"/>
            </w:tcBorders>
            <w:vAlign w:val="center"/>
          </w:tcPr>
          <w:p w14:paraId="4F14BD2C" w14:textId="77777777" w:rsidR="002B733E" w:rsidRPr="00FD50F6" w:rsidRDefault="002B733E" w:rsidP="002B733E">
            <w:pPr>
              <w:pStyle w:val="7"/>
            </w:pPr>
            <w:r w:rsidRPr="00FD50F6">
              <w:rPr>
                <w:rFonts w:hint="eastAsia"/>
              </w:rPr>
              <w:t>74</w:t>
            </w:r>
          </w:p>
        </w:tc>
        <w:tc>
          <w:tcPr>
            <w:tcW w:w="851" w:type="dxa"/>
            <w:vAlign w:val="center"/>
          </w:tcPr>
          <w:p w14:paraId="69AA2E01" w14:textId="77777777" w:rsidR="002B733E" w:rsidRPr="00FD50F6" w:rsidRDefault="002B733E" w:rsidP="002B733E">
            <w:pPr>
              <w:pStyle w:val="7"/>
              <w:rPr>
                <w:vertAlign w:val="subscript"/>
              </w:rPr>
            </w:pPr>
            <w:r w:rsidRPr="00FD50F6">
              <w:rPr>
                <w:rFonts w:hint="eastAsia"/>
              </w:rPr>
              <w:t>Δ</w:t>
            </w:r>
            <w:r w:rsidRPr="00FD50F6">
              <w:rPr>
                <w:rFonts w:hint="eastAsia"/>
                <w:i/>
              </w:rPr>
              <w:t>S</w:t>
            </w:r>
            <w:r w:rsidRPr="00FD50F6">
              <w:rPr>
                <w:rFonts w:hint="eastAsia"/>
                <w:vertAlign w:val="subscript"/>
              </w:rPr>
              <w:t>hd</w:t>
            </w:r>
          </w:p>
        </w:tc>
        <w:tc>
          <w:tcPr>
            <w:tcW w:w="3337" w:type="dxa"/>
            <w:vAlign w:val="center"/>
          </w:tcPr>
          <w:p w14:paraId="40B3C138" w14:textId="77777777" w:rsidR="002B733E" w:rsidRPr="00FD50F6" w:rsidRDefault="002B733E" w:rsidP="002B733E">
            <w:pPr>
              <w:pStyle w:val="7"/>
            </w:pPr>
            <w:r w:rsidRPr="00FD50F6">
              <w:rPr>
                <w:rFonts w:hint="eastAsia"/>
              </w:rPr>
              <w:t>受电弓相对车体横向晃动量</w:t>
            </w:r>
          </w:p>
        </w:tc>
        <w:tc>
          <w:tcPr>
            <w:tcW w:w="2632" w:type="dxa"/>
            <w:tcBorders>
              <w:right w:val="single" w:sz="4" w:space="0" w:color="auto"/>
            </w:tcBorders>
            <w:vAlign w:val="center"/>
          </w:tcPr>
          <w:p w14:paraId="4B08478D" w14:textId="77777777" w:rsidR="002B733E" w:rsidRPr="00FD50F6" w:rsidRDefault="002B733E" w:rsidP="002B733E">
            <w:pPr>
              <w:pStyle w:val="7"/>
            </w:pPr>
            <w:r w:rsidRPr="00FD50F6">
              <w:rPr>
                <w:rFonts w:hint="eastAsia"/>
              </w:rPr>
              <w:t>±</w:t>
            </w:r>
            <w:r w:rsidRPr="00FD50F6">
              <w:rPr>
                <w:rFonts w:hint="eastAsia"/>
              </w:rPr>
              <w:t>25mm</w:t>
            </w:r>
          </w:p>
        </w:tc>
        <w:tc>
          <w:tcPr>
            <w:tcW w:w="693" w:type="dxa"/>
            <w:tcBorders>
              <w:left w:val="single" w:sz="4" w:space="0" w:color="auto"/>
              <w:right w:val="single" w:sz="12" w:space="0" w:color="auto"/>
            </w:tcBorders>
            <w:vAlign w:val="center"/>
          </w:tcPr>
          <w:p w14:paraId="17ADCDA2" w14:textId="77777777" w:rsidR="002B733E" w:rsidRPr="00FD50F6" w:rsidRDefault="002B733E" w:rsidP="002B733E">
            <w:pPr>
              <w:pStyle w:val="7"/>
            </w:pPr>
            <w:r w:rsidRPr="00FD50F6">
              <w:rPr>
                <w:rFonts w:hint="eastAsia"/>
              </w:rPr>
              <w:t>Z</w:t>
            </w:r>
          </w:p>
        </w:tc>
      </w:tr>
      <w:tr w:rsidR="00FD50F6" w:rsidRPr="00FD50F6" w14:paraId="4C8AC459" w14:textId="77777777" w:rsidTr="002B733E">
        <w:trPr>
          <w:cantSplit/>
          <w:jc w:val="center"/>
        </w:trPr>
        <w:tc>
          <w:tcPr>
            <w:tcW w:w="709" w:type="dxa"/>
            <w:tcBorders>
              <w:left w:val="single" w:sz="12" w:space="0" w:color="auto"/>
            </w:tcBorders>
            <w:vAlign w:val="center"/>
          </w:tcPr>
          <w:p w14:paraId="5036A665" w14:textId="77777777" w:rsidR="002B733E" w:rsidRPr="00FD50F6" w:rsidRDefault="002B733E" w:rsidP="002B733E">
            <w:pPr>
              <w:pStyle w:val="7"/>
            </w:pPr>
            <w:r w:rsidRPr="00FD50F6">
              <w:rPr>
                <w:rFonts w:hint="eastAsia"/>
              </w:rPr>
              <w:t>75</w:t>
            </w:r>
          </w:p>
        </w:tc>
        <w:tc>
          <w:tcPr>
            <w:tcW w:w="851" w:type="dxa"/>
            <w:vAlign w:val="center"/>
          </w:tcPr>
          <w:p w14:paraId="5B9A3E65" w14:textId="77777777" w:rsidR="002B733E" w:rsidRPr="00FD50F6" w:rsidRDefault="002B733E" w:rsidP="002B733E">
            <w:pPr>
              <w:pStyle w:val="7"/>
            </w:pPr>
            <w:r w:rsidRPr="00FD50F6">
              <w:rPr>
                <w:rFonts w:hint="eastAsia"/>
              </w:rPr>
              <w:sym w:font="Symbol" w:char="F044"/>
            </w:r>
            <w:r w:rsidRPr="00FD50F6">
              <w:rPr>
                <w:rFonts w:hint="eastAsia"/>
                <w:i/>
              </w:rPr>
              <w:t>S</w:t>
            </w:r>
            <w:r w:rsidRPr="00FD50F6">
              <w:rPr>
                <w:rFonts w:hint="eastAsia"/>
                <w:vertAlign w:val="subscript"/>
              </w:rPr>
              <w:t>i</w:t>
            </w:r>
          </w:p>
        </w:tc>
        <w:tc>
          <w:tcPr>
            <w:tcW w:w="3337" w:type="dxa"/>
            <w:vAlign w:val="center"/>
          </w:tcPr>
          <w:p w14:paraId="47588108" w14:textId="77777777" w:rsidR="002B733E" w:rsidRPr="00FD50F6" w:rsidRDefault="002B733E" w:rsidP="002B733E">
            <w:pPr>
              <w:pStyle w:val="7"/>
            </w:pPr>
            <w:r w:rsidRPr="00FD50F6">
              <w:rPr>
                <w:rFonts w:hint="eastAsia"/>
              </w:rPr>
              <w:t>曲线轨距加宽内轨分量及内轨磨耗量</w:t>
            </w:r>
          </w:p>
        </w:tc>
        <w:tc>
          <w:tcPr>
            <w:tcW w:w="2632" w:type="dxa"/>
            <w:tcBorders>
              <w:right w:val="single" w:sz="4" w:space="0" w:color="auto"/>
            </w:tcBorders>
            <w:vAlign w:val="center"/>
          </w:tcPr>
          <w:p w14:paraId="295AEFAB" w14:textId="77777777" w:rsidR="002B733E" w:rsidRPr="00FD50F6" w:rsidRDefault="002B733E" w:rsidP="002B733E">
            <w:pPr>
              <w:pStyle w:val="7"/>
            </w:pPr>
            <w:r w:rsidRPr="00FD50F6">
              <w:rPr>
                <w:rFonts w:hint="eastAsia"/>
              </w:rPr>
              <w:t>R</w:t>
            </w:r>
            <w:r w:rsidRPr="00FD50F6">
              <w:rPr>
                <w:rFonts w:hint="eastAsia"/>
              </w:rPr>
              <w:sym w:font="Symbol" w:char="F0B3"/>
            </w:r>
            <w:r w:rsidRPr="00FD50F6">
              <w:rPr>
                <w:rFonts w:hint="eastAsia"/>
              </w:rPr>
              <w:t>800m,0mm</w:t>
            </w:r>
          </w:p>
          <w:p w14:paraId="20A92BD8" w14:textId="77777777" w:rsidR="002B733E" w:rsidRPr="00FD50F6" w:rsidRDefault="002B733E" w:rsidP="002B733E">
            <w:pPr>
              <w:pStyle w:val="7"/>
            </w:pPr>
            <w:r w:rsidRPr="00FD50F6">
              <w:rPr>
                <w:rFonts w:hint="eastAsia"/>
              </w:rPr>
              <w:t>800m&gt;R&gt;110m,300/R(mm)</w:t>
            </w:r>
          </w:p>
        </w:tc>
        <w:tc>
          <w:tcPr>
            <w:tcW w:w="693" w:type="dxa"/>
            <w:tcBorders>
              <w:left w:val="single" w:sz="4" w:space="0" w:color="auto"/>
              <w:right w:val="single" w:sz="12" w:space="0" w:color="auto"/>
            </w:tcBorders>
            <w:vAlign w:val="center"/>
          </w:tcPr>
          <w:p w14:paraId="1503C434" w14:textId="77777777" w:rsidR="002B733E" w:rsidRPr="00FD50F6" w:rsidRDefault="002B733E" w:rsidP="002B733E">
            <w:pPr>
              <w:pStyle w:val="7"/>
            </w:pPr>
            <w:r w:rsidRPr="00FD50F6">
              <w:rPr>
                <w:rFonts w:hint="eastAsia"/>
              </w:rPr>
              <w:t>NZ</w:t>
            </w:r>
          </w:p>
        </w:tc>
      </w:tr>
      <w:tr w:rsidR="00FD50F6" w:rsidRPr="00FD50F6" w14:paraId="0B05F502" w14:textId="77777777" w:rsidTr="002B733E">
        <w:trPr>
          <w:cantSplit/>
          <w:trHeight w:val="586"/>
          <w:jc w:val="center"/>
        </w:trPr>
        <w:tc>
          <w:tcPr>
            <w:tcW w:w="709" w:type="dxa"/>
            <w:tcBorders>
              <w:left w:val="single" w:sz="12" w:space="0" w:color="auto"/>
            </w:tcBorders>
            <w:vAlign w:val="center"/>
          </w:tcPr>
          <w:p w14:paraId="029B72C9" w14:textId="77777777" w:rsidR="002B733E" w:rsidRPr="00FD50F6" w:rsidRDefault="002B733E" w:rsidP="002B733E">
            <w:pPr>
              <w:pStyle w:val="7"/>
            </w:pPr>
            <w:r w:rsidRPr="00FD50F6">
              <w:rPr>
                <w:rFonts w:hint="eastAsia"/>
              </w:rPr>
              <w:t>76</w:t>
            </w:r>
          </w:p>
        </w:tc>
        <w:tc>
          <w:tcPr>
            <w:tcW w:w="851" w:type="dxa"/>
            <w:vAlign w:val="center"/>
          </w:tcPr>
          <w:p w14:paraId="208F4471" w14:textId="77777777" w:rsidR="002B733E" w:rsidRPr="00FD50F6" w:rsidRDefault="002B733E" w:rsidP="002B733E">
            <w:pPr>
              <w:pStyle w:val="7"/>
            </w:pPr>
            <w:r w:rsidRPr="00FD50F6">
              <w:rPr>
                <w:rFonts w:hint="eastAsia"/>
              </w:rPr>
              <w:sym w:font="Symbol" w:char="F044"/>
            </w:r>
            <w:r w:rsidRPr="00FD50F6">
              <w:rPr>
                <w:rFonts w:hint="eastAsia"/>
                <w:i/>
              </w:rPr>
              <w:t>S</w:t>
            </w:r>
            <w:r w:rsidRPr="00FD50F6">
              <w:rPr>
                <w:rFonts w:hint="eastAsia"/>
                <w:vertAlign w:val="subscript"/>
              </w:rPr>
              <w:t>vw</w:t>
            </w:r>
          </w:p>
        </w:tc>
        <w:tc>
          <w:tcPr>
            <w:tcW w:w="3337" w:type="dxa"/>
            <w:vAlign w:val="center"/>
          </w:tcPr>
          <w:p w14:paraId="3341581A" w14:textId="77777777" w:rsidR="002B733E" w:rsidRPr="00FD50F6" w:rsidRDefault="002B733E" w:rsidP="002B733E">
            <w:pPr>
              <w:pStyle w:val="7"/>
            </w:pPr>
            <w:r w:rsidRPr="00FD50F6">
              <w:rPr>
                <w:rFonts w:hint="eastAsia"/>
              </w:rPr>
              <w:t>受电弓炭精板磨耗量</w:t>
            </w:r>
          </w:p>
        </w:tc>
        <w:tc>
          <w:tcPr>
            <w:tcW w:w="2632" w:type="dxa"/>
            <w:tcBorders>
              <w:right w:val="single" w:sz="4" w:space="0" w:color="auto"/>
            </w:tcBorders>
            <w:vAlign w:val="center"/>
          </w:tcPr>
          <w:p w14:paraId="6CDDBF00" w14:textId="77777777" w:rsidR="002B733E" w:rsidRPr="00FD50F6" w:rsidRDefault="002B733E" w:rsidP="002B733E">
            <w:pPr>
              <w:pStyle w:val="7"/>
            </w:pPr>
            <w:r w:rsidRPr="00FD50F6">
              <w:rPr>
                <w:rFonts w:hint="eastAsia"/>
              </w:rPr>
              <w:t>15mm</w:t>
            </w:r>
          </w:p>
        </w:tc>
        <w:tc>
          <w:tcPr>
            <w:tcW w:w="693" w:type="dxa"/>
            <w:tcBorders>
              <w:left w:val="single" w:sz="4" w:space="0" w:color="auto"/>
              <w:right w:val="single" w:sz="12" w:space="0" w:color="auto"/>
            </w:tcBorders>
            <w:vAlign w:val="center"/>
          </w:tcPr>
          <w:p w14:paraId="11F54FE0" w14:textId="77777777" w:rsidR="002B733E" w:rsidRPr="00FD50F6" w:rsidRDefault="002B733E" w:rsidP="002B733E">
            <w:pPr>
              <w:pStyle w:val="7"/>
            </w:pPr>
            <w:r w:rsidRPr="00FD50F6">
              <w:rPr>
                <w:rFonts w:hint="eastAsia"/>
              </w:rPr>
              <w:t>NZ</w:t>
            </w:r>
          </w:p>
        </w:tc>
      </w:tr>
      <w:tr w:rsidR="00FD50F6" w:rsidRPr="00FD50F6" w14:paraId="534326DE" w14:textId="77777777" w:rsidTr="002B733E">
        <w:trPr>
          <w:cantSplit/>
          <w:jc w:val="center"/>
        </w:trPr>
        <w:tc>
          <w:tcPr>
            <w:tcW w:w="709" w:type="dxa"/>
            <w:tcBorders>
              <w:left w:val="single" w:sz="12" w:space="0" w:color="auto"/>
            </w:tcBorders>
            <w:vAlign w:val="center"/>
          </w:tcPr>
          <w:p w14:paraId="7E94FCC7" w14:textId="77777777" w:rsidR="002B733E" w:rsidRPr="00FD50F6" w:rsidRDefault="002B733E" w:rsidP="002B733E">
            <w:pPr>
              <w:pStyle w:val="7"/>
            </w:pPr>
            <w:r w:rsidRPr="00FD50F6">
              <w:rPr>
                <w:rFonts w:hint="eastAsia"/>
              </w:rPr>
              <w:t>77</w:t>
            </w:r>
          </w:p>
        </w:tc>
        <w:tc>
          <w:tcPr>
            <w:tcW w:w="851" w:type="dxa"/>
            <w:vAlign w:val="center"/>
          </w:tcPr>
          <w:p w14:paraId="34B26132" w14:textId="77777777" w:rsidR="002B733E" w:rsidRPr="00FD50F6" w:rsidRDefault="002B733E" w:rsidP="002B733E">
            <w:pPr>
              <w:pStyle w:val="7"/>
              <w:rPr>
                <w:vertAlign w:val="subscript"/>
              </w:rPr>
            </w:pPr>
            <w:r w:rsidRPr="00FD50F6">
              <w:rPr>
                <w:rFonts w:hint="eastAsia"/>
              </w:rPr>
              <w:t>Δ</w:t>
            </w:r>
            <w:r w:rsidRPr="00FD50F6">
              <w:rPr>
                <w:rFonts w:hint="eastAsia"/>
                <w:i/>
              </w:rPr>
              <w:t>w</w:t>
            </w:r>
            <w:r w:rsidRPr="00FD50F6">
              <w:rPr>
                <w:rFonts w:hint="eastAsia"/>
                <w:vertAlign w:val="subscript"/>
              </w:rPr>
              <w:t>1</w:t>
            </w:r>
          </w:p>
        </w:tc>
        <w:tc>
          <w:tcPr>
            <w:tcW w:w="3337" w:type="dxa"/>
            <w:vAlign w:val="center"/>
          </w:tcPr>
          <w:p w14:paraId="3A477B3A" w14:textId="77777777" w:rsidR="002B733E" w:rsidRPr="00FD50F6" w:rsidRDefault="002B733E" w:rsidP="002B733E">
            <w:pPr>
              <w:pStyle w:val="7"/>
            </w:pPr>
            <w:r w:rsidRPr="00FD50F6">
              <w:rPr>
                <w:rFonts w:hint="eastAsia"/>
              </w:rPr>
              <w:t>转向架中心销径向间隙及磨耗量</w:t>
            </w:r>
          </w:p>
        </w:tc>
        <w:tc>
          <w:tcPr>
            <w:tcW w:w="2632" w:type="dxa"/>
            <w:tcBorders>
              <w:right w:val="single" w:sz="4" w:space="0" w:color="auto"/>
            </w:tcBorders>
            <w:vAlign w:val="center"/>
          </w:tcPr>
          <w:p w14:paraId="634F4585" w14:textId="77777777" w:rsidR="002B733E" w:rsidRPr="00FD50F6" w:rsidRDefault="002B733E" w:rsidP="002B733E">
            <w:pPr>
              <w:pStyle w:val="7"/>
            </w:pPr>
            <w:r w:rsidRPr="00FD50F6">
              <w:rPr>
                <w:rFonts w:hint="eastAsia"/>
              </w:rPr>
              <w:t>0mm</w:t>
            </w:r>
          </w:p>
        </w:tc>
        <w:tc>
          <w:tcPr>
            <w:tcW w:w="693" w:type="dxa"/>
            <w:tcBorders>
              <w:left w:val="single" w:sz="4" w:space="0" w:color="auto"/>
              <w:right w:val="single" w:sz="12" w:space="0" w:color="auto"/>
            </w:tcBorders>
            <w:vAlign w:val="center"/>
          </w:tcPr>
          <w:p w14:paraId="732AFD45" w14:textId="77777777" w:rsidR="002B733E" w:rsidRPr="00FD50F6" w:rsidRDefault="002B733E" w:rsidP="002B733E">
            <w:pPr>
              <w:pStyle w:val="7"/>
            </w:pPr>
            <w:r w:rsidRPr="00FD50F6">
              <w:rPr>
                <w:rFonts w:hint="eastAsia"/>
              </w:rPr>
              <w:t>NZ</w:t>
            </w:r>
          </w:p>
        </w:tc>
      </w:tr>
      <w:tr w:rsidR="00FD50F6" w:rsidRPr="00FD50F6" w14:paraId="1BC4E935" w14:textId="77777777" w:rsidTr="002B733E">
        <w:trPr>
          <w:cantSplit/>
          <w:jc w:val="center"/>
        </w:trPr>
        <w:tc>
          <w:tcPr>
            <w:tcW w:w="709" w:type="dxa"/>
            <w:tcBorders>
              <w:left w:val="single" w:sz="12" w:space="0" w:color="auto"/>
            </w:tcBorders>
            <w:vAlign w:val="center"/>
          </w:tcPr>
          <w:p w14:paraId="5236F494" w14:textId="77777777" w:rsidR="002B733E" w:rsidRPr="00FD50F6" w:rsidRDefault="002B733E" w:rsidP="002B733E">
            <w:pPr>
              <w:pStyle w:val="7"/>
            </w:pPr>
            <w:r w:rsidRPr="00FD50F6">
              <w:rPr>
                <w:rFonts w:hint="eastAsia"/>
              </w:rPr>
              <w:t>78</w:t>
            </w:r>
          </w:p>
        </w:tc>
        <w:tc>
          <w:tcPr>
            <w:tcW w:w="851" w:type="dxa"/>
            <w:vAlign w:val="center"/>
          </w:tcPr>
          <w:p w14:paraId="2151BB1E" w14:textId="77777777" w:rsidR="002B733E" w:rsidRPr="00FD50F6" w:rsidRDefault="002B733E" w:rsidP="002B733E">
            <w:pPr>
              <w:pStyle w:val="7"/>
            </w:pPr>
            <w:r w:rsidRPr="00FD50F6">
              <w:rPr>
                <w:rFonts w:hint="eastAsia"/>
              </w:rPr>
              <w:t>Δ</w:t>
            </w:r>
            <w:r w:rsidRPr="00FD50F6">
              <w:rPr>
                <w:rFonts w:hint="eastAsia"/>
                <w:i/>
              </w:rPr>
              <w:t>w</w:t>
            </w:r>
            <w:r w:rsidRPr="00FD50F6">
              <w:rPr>
                <w:rFonts w:hint="eastAsia"/>
                <w:vertAlign w:val="subscript"/>
              </w:rPr>
              <w:t>2</w:t>
            </w:r>
          </w:p>
        </w:tc>
        <w:tc>
          <w:tcPr>
            <w:tcW w:w="3337" w:type="dxa"/>
            <w:vAlign w:val="center"/>
          </w:tcPr>
          <w:p w14:paraId="57843035" w14:textId="77777777" w:rsidR="002B733E" w:rsidRPr="00FD50F6" w:rsidRDefault="002B733E" w:rsidP="002B733E">
            <w:pPr>
              <w:pStyle w:val="7"/>
            </w:pPr>
            <w:r w:rsidRPr="00FD50F6">
              <w:rPr>
                <w:rFonts w:hint="eastAsia"/>
              </w:rPr>
              <w:t>转向架二系弹簧横向弹性变形量</w:t>
            </w:r>
          </w:p>
        </w:tc>
        <w:tc>
          <w:tcPr>
            <w:tcW w:w="2632" w:type="dxa"/>
            <w:tcBorders>
              <w:right w:val="single" w:sz="4" w:space="0" w:color="auto"/>
            </w:tcBorders>
            <w:vAlign w:val="center"/>
          </w:tcPr>
          <w:p w14:paraId="053A57F2" w14:textId="77777777" w:rsidR="002B733E" w:rsidRPr="00FD50F6" w:rsidRDefault="002B733E" w:rsidP="002B733E">
            <w:pPr>
              <w:pStyle w:val="7"/>
            </w:pPr>
            <w:r w:rsidRPr="00FD50F6">
              <w:rPr>
                <w:rFonts w:hint="eastAsia"/>
              </w:rPr>
              <w:t>自由间隙</w:t>
            </w:r>
          </w:p>
          <w:p w14:paraId="2A4C879A" w14:textId="77777777" w:rsidR="002B733E" w:rsidRPr="00FD50F6" w:rsidRDefault="002B733E" w:rsidP="002B733E">
            <w:pPr>
              <w:pStyle w:val="7"/>
            </w:pPr>
            <w:r w:rsidRPr="00FD50F6">
              <w:rPr>
                <w:rFonts w:hint="eastAsia"/>
              </w:rPr>
              <w:t>±</w:t>
            </w:r>
            <w:r w:rsidRPr="00FD50F6">
              <w:rPr>
                <w:rFonts w:hint="eastAsia"/>
              </w:rPr>
              <w:t>10mm(</w:t>
            </w:r>
            <w:r w:rsidRPr="00FD50F6">
              <w:rPr>
                <w:rFonts w:hint="eastAsia"/>
              </w:rPr>
              <w:t>不大于</w:t>
            </w:r>
            <w:r w:rsidRPr="00FD50F6">
              <w:rPr>
                <w:rFonts w:hint="eastAsia"/>
              </w:rPr>
              <w:t>100km/h)</w:t>
            </w:r>
          </w:p>
          <w:p w14:paraId="54FAEA9F" w14:textId="77777777" w:rsidR="002B733E" w:rsidRPr="00FD50F6" w:rsidRDefault="002B733E" w:rsidP="002B733E">
            <w:pPr>
              <w:pStyle w:val="7"/>
            </w:pPr>
            <w:r w:rsidRPr="00FD50F6">
              <w:rPr>
                <w:rFonts w:hint="eastAsia"/>
              </w:rPr>
              <w:t>±</w:t>
            </w:r>
            <w:r w:rsidRPr="00FD50F6">
              <w:rPr>
                <w:rFonts w:hint="eastAsia"/>
              </w:rPr>
              <w:t>15mm</w:t>
            </w:r>
            <w:r w:rsidRPr="00FD50F6">
              <w:rPr>
                <w:rFonts w:hint="eastAsia"/>
              </w:rPr>
              <w:t>（</w:t>
            </w:r>
            <w:r w:rsidRPr="00FD50F6">
              <w:rPr>
                <w:rFonts w:hint="eastAsia"/>
              </w:rPr>
              <w:t>120km/h</w:t>
            </w:r>
            <w:r w:rsidRPr="00FD50F6">
              <w:rPr>
                <w:rFonts w:hint="eastAsia"/>
              </w:rPr>
              <w:t>）</w:t>
            </w:r>
          </w:p>
        </w:tc>
        <w:tc>
          <w:tcPr>
            <w:tcW w:w="693" w:type="dxa"/>
            <w:tcBorders>
              <w:left w:val="single" w:sz="4" w:space="0" w:color="auto"/>
              <w:right w:val="single" w:sz="12" w:space="0" w:color="auto"/>
            </w:tcBorders>
            <w:vAlign w:val="center"/>
          </w:tcPr>
          <w:p w14:paraId="3907C122" w14:textId="77777777" w:rsidR="002B733E" w:rsidRPr="00FD50F6" w:rsidRDefault="002B733E" w:rsidP="002B733E">
            <w:pPr>
              <w:pStyle w:val="7"/>
            </w:pPr>
            <w:r w:rsidRPr="00FD50F6">
              <w:rPr>
                <w:rFonts w:hint="eastAsia"/>
              </w:rPr>
              <w:t>NZ</w:t>
            </w:r>
          </w:p>
          <w:p w14:paraId="79891A5A" w14:textId="77777777" w:rsidR="002B733E" w:rsidRPr="00FD50F6" w:rsidRDefault="002B733E" w:rsidP="002B733E">
            <w:pPr>
              <w:pStyle w:val="7"/>
            </w:pPr>
            <w:r w:rsidRPr="00FD50F6">
              <w:rPr>
                <w:rFonts w:hint="eastAsia"/>
              </w:rPr>
              <w:t>Z</w:t>
            </w:r>
          </w:p>
        </w:tc>
      </w:tr>
      <w:tr w:rsidR="00FD50F6" w:rsidRPr="00FD50F6" w14:paraId="04FB7711" w14:textId="77777777" w:rsidTr="002B733E">
        <w:trPr>
          <w:cantSplit/>
          <w:jc w:val="center"/>
        </w:trPr>
        <w:tc>
          <w:tcPr>
            <w:tcW w:w="709" w:type="dxa"/>
            <w:tcBorders>
              <w:left w:val="single" w:sz="12" w:space="0" w:color="auto"/>
            </w:tcBorders>
            <w:vAlign w:val="center"/>
          </w:tcPr>
          <w:p w14:paraId="6C334921" w14:textId="77777777" w:rsidR="002B733E" w:rsidRPr="00FD50F6" w:rsidRDefault="002B733E" w:rsidP="002B733E">
            <w:pPr>
              <w:pStyle w:val="7"/>
            </w:pPr>
            <w:r w:rsidRPr="00FD50F6">
              <w:rPr>
                <w:rFonts w:hint="eastAsia"/>
              </w:rPr>
              <w:t>79</w:t>
            </w:r>
          </w:p>
        </w:tc>
        <w:tc>
          <w:tcPr>
            <w:tcW w:w="851" w:type="dxa"/>
            <w:tcBorders>
              <w:bottom w:val="single" w:sz="4" w:space="0" w:color="auto"/>
            </w:tcBorders>
            <w:vAlign w:val="center"/>
          </w:tcPr>
          <w:p w14:paraId="06895DA5" w14:textId="77777777" w:rsidR="002B733E" w:rsidRPr="00FD50F6" w:rsidRDefault="002B733E" w:rsidP="002B733E">
            <w:pPr>
              <w:pStyle w:val="7"/>
            </w:pPr>
            <w:r w:rsidRPr="00FD50F6">
              <w:rPr>
                <w:rFonts w:hint="eastAsia"/>
              </w:rPr>
              <w:t>Δ</w:t>
            </w:r>
            <w:r w:rsidRPr="00FD50F6">
              <w:rPr>
                <w:rFonts w:hint="eastAsia"/>
                <w:i/>
              </w:rPr>
              <w:t>w</w:t>
            </w:r>
            <w:r w:rsidRPr="00FD50F6">
              <w:rPr>
                <w:rFonts w:hint="eastAsia"/>
                <w:vertAlign w:val="subscript"/>
              </w:rPr>
              <w:t>3</w:t>
            </w:r>
          </w:p>
        </w:tc>
        <w:tc>
          <w:tcPr>
            <w:tcW w:w="3337" w:type="dxa"/>
            <w:tcBorders>
              <w:bottom w:val="single" w:sz="4" w:space="0" w:color="auto"/>
            </w:tcBorders>
            <w:vAlign w:val="center"/>
          </w:tcPr>
          <w:p w14:paraId="5EDA30B9" w14:textId="77777777" w:rsidR="002B733E" w:rsidRPr="00FD50F6" w:rsidRDefault="002B733E" w:rsidP="002B733E">
            <w:pPr>
              <w:pStyle w:val="7"/>
            </w:pPr>
            <w:r w:rsidRPr="00FD50F6">
              <w:rPr>
                <w:rFonts w:hint="eastAsia"/>
              </w:rPr>
              <w:t>转向架二系弹簧横向弹性变形量（动态）</w:t>
            </w:r>
          </w:p>
        </w:tc>
        <w:tc>
          <w:tcPr>
            <w:tcW w:w="2632" w:type="dxa"/>
            <w:tcBorders>
              <w:bottom w:val="single" w:sz="4" w:space="0" w:color="auto"/>
              <w:right w:val="single" w:sz="4" w:space="0" w:color="auto"/>
            </w:tcBorders>
            <w:vAlign w:val="center"/>
          </w:tcPr>
          <w:p w14:paraId="738C025E" w14:textId="77777777" w:rsidR="002B733E" w:rsidRPr="00FD50F6" w:rsidRDefault="002B733E" w:rsidP="002B733E">
            <w:pPr>
              <w:pStyle w:val="7"/>
            </w:pPr>
            <w:r w:rsidRPr="00FD50F6">
              <w:rPr>
                <w:rFonts w:hint="eastAsia"/>
              </w:rPr>
              <w:t>车站：±</w:t>
            </w:r>
            <w:r w:rsidRPr="00FD50F6">
              <w:rPr>
                <w:rFonts w:hint="eastAsia"/>
              </w:rPr>
              <w:t>8mm</w:t>
            </w:r>
            <w:r w:rsidRPr="00FD50F6">
              <w:rPr>
                <w:rFonts w:hint="eastAsia"/>
              </w:rPr>
              <w:t>；</w:t>
            </w:r>
          </w:p>
          <w:p w14:paraId="5D43D632" w14:textId="77777777" w:rsidR="002B733E" w:rsidRPr="00FD50F6" w:rsidRDefault="002B733E" w:rsidP="002B733E">
            <w:pPr>
              <w:pStyle w:val="7"/>
            </w:pPr>
            <w:r w:rsidRPr="00FD50F6">
              <w:rPr>
                <w:rFonts w:hint="eastAsia"/>
              </w:rPr>
              <w:t>区间：±</w:t>
            </w:r>
            <w:r w:rsidRPr="00FD50F6">
              <w:rPr>
                <w:rFonts w:hint="eastAsia"/>
              </w:rPr>
              <w:t>15mm</w:t>
            </w:r>
          </w:p>
          <w:p w14:paraId="0E7D145C" w14:textId="77777777" w:rsidR="002B733E" w:rsidRPr="00FD50F6" w:rsidRDefault="002B733E" w:rsidP="002B733E">
            <w:pPr>
              <w:pStyle w:val="7"/>
            </w:pPr>
            <w:r w:rsidRPr="00FD50F6">
              <w:rPr>
                <w:rFonts w:hint="eastAsia"/>
              </w:rPr>
              <w:t>车辆段：±</w:t>
            </w:r>
            <w:r w:rsidRPr="00FD50F6">
              <w:rPr>
                <w:rFonts w:hint="eastAsia"/>
              </w:rPr>
              <w:t>20mm</w:t>
            </w:r>
          </w:p>
        </w:tc>
        <w:tc>
          <w:tcPr>
            <w:tcW w:w="693" w:type="dxa"/>
            <w:tcBorders>
              <w:left w:val="single" w:sz="4" w:space="0" w:color="auto"/>
              <w:bottom w:val="single" w:sz="4" w:space="0" w:color="auto"/>
              <w:right w:val="single" w:sz="12" w:space="0" w:color="auto"/>
            </w:tcBorders>
            <w:vAlign w:val="center"/>
          </w:tcPr>
          <w:p w14:paraId="6F82B8E1" w14:textId="77777777" w:rsidR="002B733E" w:rsidRPr="00FD50F6" w:rsidRDefault="002B733E" w:rsidP="002B733E">
            <w:pPr>
              <w:pStyle w:val="7"/>
            </w:pPr>
            <w:r w:rsidRPr="00FD50F6">
              <w:rPr>
                <w:rFonts w:hint="eastAsia"/>
              </w:rPr>
              <w:t>NZ</w:t>
            </w:r>
          </w:p>
        </w:tc>
      </w:tr>
      <w:tr w:rsidR="00FD50F6" w:rsidRPr="00FD50F6" w14:paraId="0B09F669" w14:textId="77777777" w:rsidTr="002B733E">
        <w:trPr>
          <w:cantSplit/>
          <w:jc w:val="center"/>
        </w:trPr>
        <w:tc>
          <w:tcPr>
            <w:tcW w:w="709" w:type="dxa"/>
            <w:tcBorders>
              <w:left w:val="single" w:sz="12" w:space="0" w:color="auto"/>
            </w:tcBorders>
            <w:vAlign w:val="center"/>
          </w:tcPr>
          <w:p w14:paraId="3E138D3C" w14:textId="77777777" w:rsidR="002B733E" w:rsidRPr="00FD50F6" w:rsidRDefault="002B733E" w:rsidP="002B733E">
            <w:pPr>
              <w:pStyle w:val="7"/>
            </w:pPr>
            <w:r w:rsidRPr="00FD50F6">
              <w:rPr>
                <w:rFonts w:hint="eastAsia"/>
              </w:rPr>
              <w:t>80</w:t>
            </w:r>
          </w:p>
        </w:tc>
        <w:tc>
          <w:tcPr>
            <w:tcW w:w="851" w:type="dxa"/>
            <w:tcBorders>
              <w:top w:val="single" w:sz="4" w:space="0" w:color="auto"/>
            </w:tcBorders>
            <w:vAlign w:val="center"/>
          </w:tcPr>
          <w:p w14:paraId="0F1E0A45" w14:textId="77777777" w:rsidR="002B733E" w:rsidRPr="00FD50F6" w:rsidRDefault="002B733E" w:rsidP="002B733E">
            <w:pPr>
              <w:pStyle w:val="7"/>
              <w:rPr>
                <w:vertAlign w:val="subscript"/>
              </w:rPr>
            </w:pPr>
            <w:r w:rsidRPr="00FD50F6">
              <w:rPr>
                <w:rFonts w:hint="eastAsia"/>
              </w:rPr>
              <w:t>Δ</w:t>
            </w:r>
            <w:r w:rsidRPr="00FD50F6">
              <w:rPr>
                <w:rFonts w:hint="eastAsia"/>
                <w:i/>
              </w:rPr>
              <w:t>x</w:t>
            </w:r>
            <w:r w:rsidRPr="00FD50F6">
              <w:rPr>
                <w:rFonts w:hint="eastAsia"/>
                <w:vertAlign w:val="subscript"/>
              </w:rPr>
              <w:t>Bq</w:t>
            </w:r>
          </w:p>
        </w:tc>
        <w:tc>
          <w:tcPr>
            <w:tcW w:w="3337" w:type="dxa"/>
            <w:tcBorders>
              <w:top w:val="single" w:sz="4" w:space="0" w:color="auto"/>
            </w:tcBorders>
            <w:vAlign w:val="center"/>
          </w:tcPr>
          <w:p w14:paraId="0E7CB9E2" w14:textId="77777777" w:rsidR="002B733E" w:rsidRPr="00FD50F6" w:rsidRDefault="002B733E" w:rsidP="002B733E">
            <w:pPr>
              <w:pStyle w:val="7"/>
            </w:pPr>
            <w:r w:rsidRPr="00FD50F6">
              <w:rPr>
                <w:rFonts w:hint="eastAsia"/>
              </w:rPr>
              <w:t>车体倾斜量</w:t>
            </w:r>
          </w:p>
        </w:tc>
        <w:tc>
          <w:tcPr>
            <w:tcW w:w="2632" w:type="dxa"/>
            <w:tcBorders>
              <w:top w:val="single" w:sz="4" w:space="0" w:color="auto"/>
              <w:right w:val="single" w:sz="4" w:space="0" w:color="auto"/>
            </w:tcBorders>
            <w:vAlign w:val="center"/>
          </w:tcPr>
          <w:p w14:paraId="61F3CB25" w14:textId="77777777" w:rsidR="002B733E" w:rsidRPr="00FD50F6" w:rsidRDefault="002B733E" w:rsidP="002B733E">
            <w:pPr>
              <w:pStyle w:val="7"/>
            </w:pPr>
            <w:r w:rsidRPr="00FD50F6">
              <w:rPr>
                <w:rFonts w:hint="eastAsia"/>
              </w:rPr>
              <w:t>10mm</w:t>
            </w:r>
          </w:p>
        </w:tc>
        <w:tc>
          <w:tcPr>
            <w:tcW w:w="693" w:type="dxa"/>
            <w:tcBorders>
              <w:top w:val="single" w:sz="4" w:space="0" w:color="auto"/>
              <w:left w:val="single" w:sz="4" w:space="0" w:color="auto"/>
              <w:right w:val="single" w:sz="12" w:space="0" w:color="auto"/>
            </w:tcBorders>
            <w:vAlign w:val="center"/>
          </w:tcPr>
          <w:p w14:paraId="60C5458C" w14:textId="77777777" w:rsidR="002B733E" w:rsidRPr="00FD50F6" w:rsidRDefault="002B733E" w:rsidP="002B733E">
            <w:pPr>
              <w:pStyle w:val="7"/>
            </w:pPr>
            <w:r w:rsidRPr="00FD50F6">
              <w:rPr>
                <w:rFonts w:hint="eastAsia"/>
              </w:rPr>
              <w:t>Z</w:t>
            </w:r>
          </w:p>
        </w:tc>
      </w:tr>
      <w:tr w:rsidR="00FD50F6" w:rsidRPr="00FD50F6" w14:paraId="34045CAA" w14:textId="77777777" w:rsidTr="002B733E">
        <w:trPr>
          <w:cantSplit/>
          <w:jc w:val="center"/>
        </w:trPr>
        <w:tc>
          <w:tcPr>
            <w:tcW w:w="709" w:type="dxa"/>
            <w:tcBorders>
              <w:left w:val="single" w:sz="12" w:space="0" w:color="auto"/>
            </w:tcBorders>
            <w:vAlign w:val="center"/>
          </w:tcPr>
          <w:p w14:paraId="183ED8DD" w14:textId="77777777" w:rsidR="002B733E" w:rsidRPr="00FD50F6" w:rsidRDefault="002B733E" w:rsidP="002B733E">
            <w:pPr>
              <w:pStyle w:val="7"/>
            </w:pPr>
            <w:r w:rsidRPr="00FD50F6">
              <w:rPr>
                <w:rFonts w:hint="eastAsia"/>
              </w:rPr>
              <w:lastRenderedPageBreak/>
              <w:t>81</w:t>
            </w:r>
          </w:p>
        </w:tc>
        <w:tc>
          <w:tcPr>
            <w:tcW w:w="851" w:type="dxa"/>
            <w:vAlign w:val="center"/>
          </w:tcPr>
          <w:p w14:paraId="3E124B09" w14:textId="78CA1536" w:rsidR="002B733E" w:rsidRPr="00FD50F6" w:rsidRDefault="002B733E" w:rsidP="002B733E">
            <w:pPr>
              <w:pStyle w:val="7"/>
            </w:pPr>
            <w:r w:rsidRPr="00FD50F6">
              <w:rPr>
                <w:noProof/>
                <w:position w:val="-12"/>
              </w:rPr>
              <w:drawing>
                <wp:inline distT="0" distB="0" distL="0" distR="0" wp14:anchorId="23865B3B" wp14:editId="296A945A">
                  <wp:extent cx="247650" cy="2476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3337" w:type="dxa"/>
            <w:vAlign w:val="center"/>
          </w:tcPr>
          <w:p w14:paraId="5ED56D50" w14:textId="77777777" w:rsidR="002B733E" w:rsidRPr="00FD50F6" w:rsidRDefault="002B733E" w:rsidP="002B733E">
            <w:pPr>
              <w:pStyle w:val="7"/>
            </w:pPr>
            <w:r w:rsidRPr="00FD50F6">
              <w:rPr>
                <w:rFonts w:hint="eastAsia"/>
              </w:rPr>
              <w:t>空气簧过充高度</w:t>
            </w:r>
          </w:p>
        </w:tc>
        <w:tc>
          <w:tcPr>
            <w:tcW w:w="2632" w:type="dxa"/>
            <w:tcBorders>
              <w:right w:val="single" w:sz="4" w:space="0" w:color="auto"/>
            </w:tcBorders>
            <w:vAlign w:val="center"/>
          </w:tcPr>
          <w:p w14:paraId="3CCF761F" w14:textId="77777777" w:rsidR="002B733E" w:rsidRPr="00FD50F6" w:rsidRDefault="002B733E" w:rsidP="002B733E">
            <w:pPr>
              <w:pStyle w:val="7"/>
            </w:pPr>
            <w:r w:rsidRPr="00FD50F6">
              <w:rPr>
                <w:rFonts w:hint="eastAsia"/>
              </w:rPr>
              <w:t>平行过充</w:t>
            </w:r>
          </w:p>
          <w:p w14:paraId="7DF357DA" w14:textId="77777777" w:rsidR="002B733E" w:rsidRPr="00FD50F6" w:rsidRDefault="002B733E" w:rsidP="002B733E">
            <w:pPr>
              <w:pStyle w:val="7"/>
            </w:pPr>
            <w:r w:rsidRPr="00FD50F6">
              <w:rPr>
                <w:rFonts w:hint="eastAsia"/>
              </w:rPr>
              <w:t>35mm (A</w:t>
            </w:r>
            <w:r w:rsidRPr="00FD50F6">
              <w:rPr>
                <w:rFonts w:hint="eastAsia"/>
              </w:rPr>
              <w:t>型车</w:t>
            </w:r>
            <w:r w:rsidRPr="00FD50F6">
              <w:rPr>
                <w:rFonts w:hint="eastAsia"/>
              </w:rPr>
              <w:t>)</w:t>
            </w:r>
          </w:p>
          <w:p w14:paraId="7B7E492B" w14:textId="77777777" w:rsidR="002B733E" w:rsidRPr="00FD50F6" w:rsidRDefault="002B733E" w:rsidP="002B733E">
            <w:pPr>
              <w:pStyle w:val="7"/>
            </w:pPr>
            <w:r w:rsidRPr="00FD50F6">
              <w:rPr>
                <w:rFonts w:hint="eastAsia"/>
              </w:rPr>
              <w:t>30mm (B</w:t>
            </w:r>
            <w:r w:rsidRPr="00FD50F6">
              <w:rPr>
                <w:rFonts w:hint="eastAsia"/>
              </w:rPr>
              <w:t>型车</w:t>
            </w:r>
            <w:r w:rsidRPr="00FD50F6">
              <w:rPr>
                <w:rFonts w:hint="eastAsia"/>
              </w:rPr>
              <w:t>)</w:t>
            </w:r>
          </w:p>
          <w:p w14:paraId="36C9E3F1" w14:textId="77777777" w:rsidR="002B733E" w:rsidRPr="00FD50F6" w:rsidRDefault="002B733E" w:rsidP="002B733E">
            <w:pPr>
              <w:pStyle w:val="7"/>
            </w:pPr>
            <w:r w:rsidRPr="00FD50F6">
              <w:rPr>
                <w:rFonts w:hint="eastAsia"/>
              </w:rPr>
              <w:t>单边过充</w:t>
            </w:r>
          </w:p>
          <w:p w14:paraId="7A3A6EFC" w14:textId="77777777" w:rsidR="002B733E" w:rsidRPr="00FD50F6" w:rsidRDefault="002B733E" w:rsidP="002B733E">
            <w:pPr>
              <w:pStyle w:val="7"/>
            </w:pPr>
            <w:r w:rsidRPr="00FD50F6">
              <w:rPr>
                <w:rFonts w:hint="eastAsia"/>
              </w:rPr>
              <w:t>1.2kgf/cm</w:t>
            </w:r>
            <w:r w:rsidRPr="00FD50F6">
              <w:rPr>
                <w:rFonts w:hint="eastAsia"/>
                <w:vertAlign w:val="superscript"/>
              </w:rPr>
              <w:t>2</w:t>
            </w:r>
            <w:r w:rsidRPr="00FD50F6">
              <w:rPr>
                <w:rFonts w:hint="eastAsia"/>
              </w:rPr>
              <w:t>差压控制</w:t>
            </w:r>
          </w:p>
        </w:tc>
        <w:tc>
          <w:tcPr>
            <w:tcW w:w="693" w:type="dxa"/>
            <w:tcBorders>
              <w:left w:val="single" w:sz="4" w:space="0" w:color="auto"/>
              <w:right w:val="single" w:sz="12" w:space="0" w:color="auto"/>
            </w:tcBorders>
            <w:vAlign w:val="center"/>
          </w:tcPr>
          <w:p w14:paraId="2EC0C2F7" w14:textId="77777777" w:rsidR="002B733E" w:rsidRPr="00FD50F6" w:rsidRDefault="002B733E" w:rsidP="002B733E">
            <w:pPr>
              <w:pStyle w:val="7"/>
            </w:pPr>
            <w:r w:rsidRPr="00FD50F6">
              <w:rPr>
                <w:rFonts w:hint="eastAsia"/>
              </w:rPr>
              <w:t>NZ</w:t>
            </w:r>
          </w:p>
        </w:tc>
      </w:tr>
      <w:tr w:rsidR="00FD50F6" w:rsidRPr="00FD50F6" w14:paraId="107B5928" w14:textId="77777777" w:rsidTr="002B733E">
        <w:trPr>
          <w:cantSplit/>
          <w:jc w:val="center"/>
        </w:trPr>
        <w:tc>
          <w:tcPr>
            <w:tcW w:w="709" w:type="dxa"/>
            <w:tcBorders>
              <w:left w:val="single" w:sz="12" w:space="0" w:color="auto"/>
            </w:tcBorders>
            <w:vAlign w:val="center"/>
          </w:tcPr>
          <w:p w14:paraId="2663C4EB" w14:textId="77777777" w:rsidR="002B733E" w:rsidRPr="00FD50F6" w:rsidRDefault="002B733E" w:rsidP="002B733E">
            <w:pPr>
              <w:pStyle w:val="7"/>
            </w:pPr>
            <w:r w:rsidRPr="00FD50F6">
              <w:rPr>
                <w:rFonts w:hint="eastAsia"/>
              </w:rPr>
              <w:t>82</w:t>
            </w:r>
          </w:p>
        </w:tc>
        <w:tc>
          <w:tcPr>
            <w:tcW w:w="851" w:type="dxa"/>
            <w:vAlign w:val="center"/>
          </w:tcPr>
          <w:p w14:paraId="5C863912" w14:textId="127BE90B" w:rsidR="002B733E" w:rsidRPr="00FD50F6" w:rsidRDefault="002B733E" w:rsidP="002B733E">
            <w:pPr>
              <w:pStyle w:val="7"/>
            </w:pPr>
            <w:r w:rsidRPr="00FD50F6">
              <w:rPr>
                <w:noProof/>
                <w:position w:val="-12"/>
              </w:rPr>
              <w:drawing>
                <wp:inline distT="0" distB="0" distL="0" distR="0" wp14:anchorId="7466ACA3" wp14:editId="149425D4">
                  <wp:extent cx="279400" cy="247650"/>
                  <wp:effectExtent l="0" t="0" r="635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tc>
        <w:tc>
          <w:tcPr>
            <w:tcW w:w="3337" w:type="dxa"/>
            <w:vAlign w:val="center"/>
          </w:tcPr>
          <w:p w14:paraId="24484F3E" w14:textId="77777777" w:rsidR="002B733E" w:rsidRPr="00FD50F6" w:rsidRDefault="002B733E" w:rsidP="002B733E">
            <w:pPr>
              <w:pStyle w:val="7"/>
            </w:pPr>
            <w:r w:rsidRPr="00FD50F6">
              <w:rPr>
                <w:rFonts w:hint="eastAsia"/>
              </w:rPr>
              <w:t>空气簧泄漏下沉量</w:t>
            </w:r>
          </w:p>
        </w:tc>
        <w:tc>
          <w:tcPr>
            <w:tcW w:w="2632" w:type="dxa"/>
            <w:tcBorders>
              <w:right w:val="single" w:sz="4" w:space="0" w:color="auto"/>
            </w:tcBorders>
            <w:vAlign w:val="center"/>
          </w:tcPr>
          <w:p w14:paraId="0514BFFD" w14:textId="77777777" w:rsidR="002B733E" w:rsidRPr="00FD50F6" w:rsidRDefault="002B733E" w:rsidP="002B733E">
            <w:pPr>
              <w:pStyle w:val="7"/>
            </w:pPr>
            <w:r w:rsidRPr="00FD50F6">
              <w:rPr>
                <w:rFonts w:hint="eastAsia"/>
              </w:rPr>
              <w:t>18mm+3mm+14mm=35mm(A</w:t>
            </w:r>
            <w:r w:rsidRPr="00FD50F6">
              <w:rPr>
                <w:rFonts w:hint="eastAsia"/>
              </w:rPr>
              <w:t>型车</w:t>
            </w:r>
            <w:r w:rsidRPr="00FD50F6">
              <w:rPr>
                <w:rFonts w:hint="eastAsia"/>
              </w:rPr>
              <w:t>)</w:t>
            </w:r>
          </w:p>
          <w:p w14:paraId="081604CF" w14:textId="77777777" w:rsidR="002B733E" w:rsidRPr="00FD50F6" w:rsidRDefault="002B733E" w:rsidP="002B733E">
            <w:pPr>
              <w:pStyle w:val="7"/>
            </w:pPr>
            <w:r w:rsidRPr="00FD50F6">
              <w:rPr>
                <w:rFonts w:hint="eastAsia"/>
              </w:rPr>
              <w:t>28mm+4mm=32mm (B</w:t>
            </w:r>
            <w:r w:rsidRPr="00FD50F6">
              <w:rPr>
                <w:rFonts w:hint="eastAsia"/>
              </w:rPr>
              <w:t>型车</w:t>
            </w:r>
            <w:r w:rsidRPr="00FD50F6">
              <w:rPr>
                <w:rFonts w:hint="eastAsia"/>
              </w:rPr>
              <w:t>)</w:t>
            </w:r>
          </w:p>
        </w:tc>
        <w:tc>
          <w:tcPr>
            <w:tcW w:w="693" w:type="dxa"/>
            <w:tcBorders>
              <w:left w:val="single" w:sz="4" w:space="0" w:color="auto"/>
              <w:right w:val="single" w:sz="12" w:space="0" w:color="auto"/>
            </w:tcBorders>
            <w:vAlign w:val="center"/>
          </w:tcPr>
          <w:p w14:paraId="4FC34001" w14:textId="77777777" w:rsidR="002B733E" w:rsidRPr="00FD50F6" w:rsidRDefault="002B733E" w:rsidP="002B733E">
            <w:pPr>
              <w:pStyle w:val="7"/>
            </w:pPr>
            <w:r w:rsidRPr="00FD50F6">
              <w:rPr>
                <w:rFonts w:hint="eastAsia"/>
              </w:rPr>
              <w:t>NZ</w:t>
            </w:r>
          </w:p>
        </w:tc>
      </w:tr>
      <w:tr w:rsidR="00FD50F6" w:rsidRPr="00FD50F6" w14:paraId="4E406D10" w14:textId="77777777" w:rsidTr="002B733E">
        <w:trPr>
          <w:cantSplit/>
          <w:jc w:val="center"/>
        </w:trPr>
        <w:tc>
          <w:tcPr>
            <w:tcW w:w="709" w:type="dxa"/>
            <w:tcBorders>
              <w:left w:val="single" w:sz="12" w:space="0" w:color="auto"/>
            </w:tcBorders>
            <w:vAlign w:val="center"/>
          </w:tcPr>
          <w:p w14:paraId="6718117F" w14:textId="77777777" w:rsidR="002B733E" w:rsidRPr="00FD50F6" w:rsidRDefault="002B733E" w:rsidP="002B733E">
            <w:pPr>
              <w:pStyle w:val="7"/>
            </w:pPr>
            <w:r w:rsidRPr="00FD50F6">
              <w:rPr>
                <w:rFonts w:hint="eastAsia"/>
              </w:rPr>
              <w:t>83</w:t>
            </w:r>
          </w:p>
        </w:tc>
        <w:tc>
          <w:tcPr>
            <w:tcW w:w="851" w:type="dxa"/>
            <w:vAlign w:val="center"/>
          </w:tcPr>
          <w:p w14:paraId="2164174C" w14:textId="45BCDB16" w:rsidR="002B733E" w:rsidRPr="00FD50F6" w:rsidRDefault="002B733E" w:rsidP="002B733E">
            <w:pPr>
              <w:pStyle w:val="7"/>
            </w:pPr>
            <w:r w:rsidRPr="00FD50F6">
              <w:rPr>
                <w:noProof/>
                <w:position w:val="-12"/>
              </w:rPr>
              <w:drawing>
                <wp:inline distT="0" distB="0" distL="0" distR="0" wp14:anchorId="21F9F0FD" wp14:editId="7128CFE8">
                  <wp:extent cx="304800" cy="241300"/>
                  <wp:effectExtent l="0" t="0" r="0"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p>
        </w:tc>
        <w:tc>
          <w:tcPr>
            <w:tcW w:w="3337" w:type="dxa"/>
            <w:vAlign w:val="center"/>
          </w:tcPr>
          <w:p w14:paraId="17DE7024" w14:textId="77777777" w:rsidR="002B733E" w:rsidRPr="00FD50F6" w:rsidRDefault="002B733E" w:rsidP="002B733E">
            <w:pPr>
              <w:pStyle w:val="7"/>
            </w:pPr>
            <w:r w:rsidRPr="00FD50F6">
              <w:rPr>
                <w:rFonts w:hint="eastAsia"/>
              </w:rPr>
              <w:t>一系簧垂向止挡间隙</w:t>
            </w:r>
          </w:p>
        </w:tc>
        <w:tc>
          <w:tcPr>
            <w:tcW w:w="2632" w:type="dxa"/>
            <w:tcBorders>
              <w:right w:val="single" w:sz="4" w:space="0" w:color="auto"/>
            </w:tcBorders>
            <w:vAlign w:val="center"/>
          </w:tcPr>
          <w:p w14:paraId="4B80CB07" w14:textId="77777777" w:rsidR="002B733E" w:rsidRPr="00FD50F6" w:rsidRDefault="002B733E" w:rsidP="002B733E">
            <w:pPr>
              <w:pStyle w:val="7"/>
            </w:pPr>
            <w:r w:rsidRPr="00FD50F6">
              <w:rPr>
                <w:rFonts w:hint="eastAsia"/>
              </w:rPr>
              <w:t>40mm (A</w:t>
            </w:r>
            <w:r w:rsidRPr="00FD50F6">
              <w:rPr>
                <w:rFonts w:hint="eastAsia"/>
              </w:rPr>
              <w:t>型车</w:t>
            </w:r>
            <w:r w:rsidRPr="00FD50F6">
              <w:rPr>
                <w:rFonts w:hint="eastAsia"/>
              </w:rPr>
              <w:t>)</w:t>
            </w:r>
          </w:p>
          <w:p w14:paraId="26F99CFE" w14:textId="77777777" w:rsidR="002B733E" w:rsidRPr="00FD50F6" w:rsidRDefault="002B733E" w:rsidP="002B733E">
            <w:pPr>
              <w:pStyle w:val="7"/>
            </w:pPr>
            <w:r w:rsidRPr="00FD50F6">
              <w:rPr>
                <w:rFonts w:hint="eastAsia"/>
              </w:rPr>
              <w:t>45mm (B</w:t>
            </w:r>
            <w:r w:rsidRPr="00FD50F6">
              <w:rPr>
                <w:rFonts w:hint="eastAsia"/>
              </w:rPr>
              <w:t>型车</w:t>
            </w:r>
            <w:r w:rsidRPr="00FD50F6">
              <w:rPr>
                <w:rFonts w:hint="eastAsia"/>
              </w:rPr>
              <w:t>)</w:t>
            </w:r>
          </w:p>
        </w:tc>
        <w:tc>
          <w:tcPr>
            <w:tcW w:w="693" w:type="dxa"/>
            <w:tcBorders>
              <w:left w:val="single" w:sz="4" w:space="0" w:color="auto"/>
              <w:right w:val="single" w:sz="12" w:space="0" w:color="auto"/>
            </w:tcBorders>
            <w:vAlign w:val="center"/>
          </w:tcPr>
          <w:p w14:paraId="510880C2" w14:textId="77777777" w:rsidR="002B733E" w:rsidRPr="00FD50F6" w:rsidRDefault="002B733E" w:rsidP="002B733E">
            <w:pPr>
              <w:pStyle w:val="7"/>
            </w:pPr>
            <w:r w:rsidRPr="00FD50F6">
              <w:rPr>
                <w:rFonts w:hint="eastAsia"/>
              </w:rPr>
              <w:t>NZ</w:t>
            </w:r>
          </w:p>
        </w:tc>
      </w:tr>
    </w:tbl>
    <w:p w14:paraId="18A4EFCF" w14:textId="77777777" w:rsidR="002B733E" w:rsidRPr="002D74E7" w:rsidRDefault="002B733E" w:rsidP="00073A93">
      <w:pPr>
        <w:pStyle w:val="30"/>
        <w:numPr>
          <w:ilvl w:val="0"/>
          <w:numId w:val="0"/>
        </w:numPr>
        <w:rPr>
          <w:bCs w:val="0"/>
          <w:sz w:val="21"/>
          <w:szCs w:val="21"/>
        </w:rPr>
        <w:sectPr w:rsidR="002B733E" w:rsidRPr="002D74E7" w:rsidSect="001C7647">
          <w:pgSz w:w="11906" w:h="16838"/>
          <w:pgMar w:top="1440" w:right="1797" w:bottom="1440" w:left="1797" w:header="851" w:footer="992" w:gutter="0"/>
          <w:cols w:space="720"/>
          <w:docGrid w:linePitch="312"/>
        </w:sectPr>
      </w:pPr>
      <w:r w:rsidRPr="002D74E7">
        <w:rPr>
          <w:rFonts w:hint="eastAsia"/>
          <w:sz w:val="21"/>
          <w:szCs w:val="21"/>
        </w:rPr>
        <w:t>注：表中备注一栏中，“</w:t>
      </w:r>
      <w:r w:rsidRPr="002D74E7">
        <w:rPr>
          <w:sz w:val="21"/>
          <w:szCs w:val="21"/>
        </w:rPr>
        <w:t>Z</w:t>
      </w:r>
      <w:r w:rsidRPr="002D74E7">
        <w:rPr>
          <w:rFonts w:hint="eastAsia"/>
          <w:sz w:val="21"/>
          <w:szCs w:val="21"/>
        </w:rPr>
        <w:t>”表示该因素为随机因素，“</w:t>
      </w:r>
      <w:r w:rsidRPr="002D74E7">
        <w:rPr>
          <w:sz w:val="21"/>
          <w:szCs w:val="21"/>
        </w:rPr>
        <w:t>NZ</w:t>
      </w:r>
      <w:r w:rsidRPr="002D74E7">
        <w:rPr>
          <w:rFonts w:hint="eastAsia"/>
          <w:sz w:val="21"/>
          <w:szCs w:val="21"/>
        </w:rPr>
        <w:t>”表示该因素为非随机因素。</w:t>
      </w:r>
    </w:p>
    <w:p w14:paraId="0A908862" w14:textId="77777777" w:rsidR="002B733E" w:rsidRPr="00FD50F6" w:rsidRDefault="002B733E" w:rsidP="00BD4557">
      <w:pPr>
        <w:pStyle w:val="2"/>
        <w:numPr>
          <w:ilvl w:val="0"/>
          <w:numId w:val="0"/>
        </w:numPr>
        <w:jc w:val="center"/>
      </w:pPr>
      <w:bookmarkStart w:id="1356" w:name="_Toc112830899"/>
      <w:r w:rsidRPr="00FD50F6">
        <w:rPr>
          <w:rFonts w:hint="eastAsia"/>
        </w:rPr>
        <w:lastRenderedPageBreak/>
        <w:t xml:space="preserve">A.2 </w:t>
      </w:r>
      <w:r w:rsidRPr="00FD50F6">
        <w:rPr>
          <w:rFonts w:hint="eastAsia"/>
        </w:rPr>
        <w:t>限界计算公式</w:t>
      </w:r>
      <w:bookmarkEnd w:id="1356"/>
    </w:p>
    <w:p w14:paraId="65CCC335" w14:textId="77777777" w:rsidR="002B733E" w:rsidRPr="00FD50F6" w:rsidRDefault="002B733E" w:rsidP="002B733E">
      <w:pPr>
        <w:pStyle w:val="30"/>
        <w:numPr>
          <w:ilvl w:val="0"/>
          <w:numId w:val="0"/>
        </w:numPr>
      </w:pPr>
      <w:r w:rsidRPr="00FD50F6">
        <w:rPr>
          <w:rFonts w:hint="eastAsia"/>
        </w:rPr>
        <w:t xml:space="preserve">A.2.1 </w:t>
      </w:r>
      <w:r w:rsidRPr="00FD50F6">
        <w:rPr>
          <w:rFonts w:hint="eastAsia"/>
        </w:rPr>
        <w:t>区间车辆限界公式应符合下列规定：</w:t>
      </w:r>
    </w:p>
    <w:p w14:paraId="7B69BD83" w14:textId="77777777" w:rsidR="002B733E" w:rsidRPr="00FD50F6" w:rsidRDefault="002B733E" w:rsidP="00A926BD">
      <w:pPr>
        <w:pStyle w:val="4"/>
      </w:pPr>
      <w:r w:rsidRPr="00FD50F6">
        <w:rPr>
          <w:rFonts w:hint="eastAsia"/>
        </w:rPr>
        <w:t>车体横向偏移量公式应符合下列规定：</w:t>
      </w:r>
    </w:p>
    <w:p w14:paraId="2298550F" w14:textId="08BB9855" w:rsidR="002B733E" w:rsidRPr="00FD50F6" w:rsidRDefault="002B733E" w:rsidP="002B733E">
      <w:pPr>
        <w:pStyle w:val="8"/>
        <w:ind w:firstLine="480"/>
        <w:jc w:val="right"/>
      </w:pPr>
      <w:r w:rsidRPr="00FD50F6">
        <w:rPr>
          <w:noProof/>
        </w:rPr>
        <w:drawing>
          <wp:inline distT="0" distB="0" distL="0" distR="0" wp14:anchorId="0C9ED27C" wp14:editId="00639E46">
            <wp:extent cx="5226050" cy="13017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26050" cy="1301750"/>
                    </a:xfrm>
                    <a:prstGeom prst="rect">
                      <a:avLst/>
                    </a:prstGeom>
                    <a:noFill/>
                    <a:ln>
                      <a:noFill/>
                    </a:ln>
                  </pic:spPr>
                </pic:pic>
              </a:graphicData>
            </a:graphic>
          </wp:inline>
        </w:drawing>
      </w:r>
      <w:r w:rsidRPr="00FD50F6">
        <w:rPr>
          <w:rFonts w:hint="eastAsia"/>
        </w:rPr>
        <w:t xml:space="preserve">  </w:t>
      </w:r>
      <w:r w:rsidRPr="00FD50F6">
        <w:rPr>
          <w:rFonts w:hint="eastAsia"/>
        </w:rPr>
        <w:t>（</w:t>
      </w:r>
      <w:r w:rsidRPr="00FD50F6">
        <w:rPr>
          <w:rFonts w:hint="eastAsia"/>
        </w:rPr>
        <w:t>A.2.1</w:t>
      </w:r>
      <w:r w:rsidRPr="00FD50F6">
        <w:rPr>
          <w:rFonts w:hint="eastAsia"/>
        </w:rPr>
        <w:t>）</w:t>
      </w:r>
    </w:p>
    <w:p w14:paraId="4903EDB3" w14:textId="77777777" w:rsidR="002B733E" w:rsidRPr="00FD50F6" w:rsidRDefault="002B733E" w:rsidP="002B733E">
      <w:pPr>
        <w:pStyle w:val="8"/>
        <w:ind w:firstLine="480"/>
      </w:pPr>
      <w:r w:rsidRPr="00FD50F6">
        <w:rPr>
          <w:rFonts w:hint="eastAsia"/>
        </w:rPr>
        <w:t>其中：</w:t>
      </w:r>
    </w:p>
    <w:p w14:paraId="36C2D048" w14:textId="3238BF4C" w:rsidR="002B733E" w:rsidRPr="00FD50F6" w:rsidRDefault="002B733E" w:rsidP="002B733E">
      <w:pPr>
        <w:pStyle w:val="8"/>
        <w:ind w:firstLine="480"/>
      </w:pPr>
      <w:r w:rsidRPr="00FD50F6">
        <w:rPr>
          <w:noProof/>
          <w:position w:val="-70"/>
        </w:rPr>
        <w:drawing>
          <wp:inline distT="0" distB="0" distL="0" distR="0" wp14:anchorId="43FD97D8" wp14:editId="3A88EEAA">
            <wp:extent cx="2520950" cy="9715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20950" cy="971550"/>
                    </a:xfrm>
                    <a:prstGeom prst="rect">
                      <a:avLst/>
                    </a:prstGeom>
                    <a:noFill/>
                    <a:ln>
                      <a:noFill/>
                    </a:ln>
                  </pic:spPr>
                </pic:pic>
              </a:graphicData>
            </a:graphic>
          </wp:inline>
        </w:drawing>
      </w:r>
    </w:p>
    <w:p w14:paraId="6ABD3557" w14:textId="7DFA2B5F" w:rsidR="002B733E" w:rsidRPr="00FD50F6" w:rsidRDefault="002B733E" w:rsidP="002B733E">
      <w:pPr>
        <w:pStyle w:val="8"/>
        <w:ind w:firstLine="480"/>
      </w:pPr>
      <w:r w:rsidRPr="00FD50F6">
        <w:rPr>
          <w:rFonts w:hint="eastAsia"/>
        </w:rPr>
        <w:t>当</w:t>
      </w:r>
      <w:r w:rsidRPr="00FD50F6">
        <w:rPr>
          <w:noProof/>
          <w:position w:val="-14"/>
        </w:rPr>
        <w:drawing>
          <wp:inline distT="0" distB="0" distL="0" distR="0" wp14:anchorId="72B7072B" wp14:editId="19F598F8">
            <wp:extent cx="527050" cy="241300"/>
            <wp:effectExtent l="0" t="0" r="6350" b="635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FD50F6">
        <w:rPr>
          <w:rFonts w:hint="eastAsia"/>
        </w:rPr>
        <w:t>&lt;0</w:t>
      </w:r>
      <w:r w:rsidRPr="00FD50F6">
        <w:rPr>
          <w:rFonts w:hint="eastAsia"/>
        </w:rPr>
        <w:t>，该项取</w:t>
      </w:r>
      <w:r w:rsidRPr="00FD50F6">
        <w:rPr>
          <w:rFonts w:hint="eastAsia"/>
        </w:rPr>
        <w:t>0</w:t>
      </w:r>
      <w:r w:rsidRPr="00FD50F6">
        <w:rPr>
          <w:rFonts w:hint="eastAsia"/>
        </w:rPr>
        <w:t>。</w:t>
      </w:r>
    </w:p>
    <w:p w14:paraId="77B44CFA" w14:textId="363F8EBB" w:rsidR="002B733E" w:rsidRPr="00FD50F6" w:rsidRDefault="002B733E" w:rsidP="002B733E">
      <w:pPr>
        <w:pStyle w:val="8"/>
        <w:ind w:firstLine="480"/>
      </w:pPr>
      <w:r w:rsidRPr="00FD50F6">
        <w:rPr>
          <w:noProof/>
          <w:position w:val="-32"/>
        </w:rPr>
        <w:drawing>
          <wp:inline distT="0" distB="0" distL="0" distR="0" wp14:anchorId="729AE452" wp14:editId="676F5C94">
            <wp:extent cx="1758950" cy="4826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8950" cy="482600"/>
                    </a:xfrm>
                    <a:prstGeom prst="rect">
                      <a:avLst/>
                    </a:prstGeom>
                    <a:noFill/>
                    <a:ln>
                      <a:noFill/>
                    </a:ln>
                  </pic:spPr>
                </pic:pic>
              </a:graphicData>
            </a:graphic>
          </wp:inline>
        </w:drawing>
      </w:r>
    </w:p>
    <w:p w14:paraId="5AFA151F" w14:textId="77777777" w:rsidR="002B733E" w:rsidRPr="00FD50F6" w:rsidRDefault="002B733E" w:rsidP="002B733E">
      <w:pPr>
        <w:pStyle w:val="8"/>
        <w:ind w:firstLine="480"/>
      </w:pPr>
      <w:r w:rsidRPr="00FD50F6">
        <w:rPr>
          <w:rFonts w:hint="eastAsia"/>
          <w:i/>
        </w:rPr>
        <w:t>k</w:t>
      </w:r>
      <w:r w:rsidRPr="00FD50F6">
        <w:rPr>
          <w:rFonts w:hint="eastAsia"/>
          <w:vertAlign w:val="subscript"/>
        </w:rPr>
        <w:sym w:font="Symbol" w:char="F066"/>
      </w:r>
      <w:r w:rsidRPr="00FD50F6">
        <w:rPr>
          <w:rFonts w:hint="eastAsia"/>
          <w:vertAlign w:val="subscript"/>
        </w:rPr>
        <w:t>p</w:t>
      </w:r>
      <w:r w:rsidRPr="00FD50F6">
        <w:rPr>
          <w:rFonts w:hint="eastAsia"/>
          <w:i/>
        </w:rPr>
        <w:t>=0.5n</w:t>
      </w:r>
      <w:r w:rsidRPr="00FD50F6">
        <w:rPr>
          <w:rFonts w:hint="eastAsia"/>
          <w:vertAlign w:val="subscript"/>
        </w:rPr>
        <w:t>p</w:t>
      </w:r>
      <w:r w:rsidRPr="00FD50F6">
        <w:rPr>
          <w:rFonts w:hint="eastAsia"/>
          <w:i/>
        </w:rPr>
        <w:t>c</w:t>
      </w:r>
      <w:r w:rsidRPr="00FD50F6">
        <w:rPr>
          <w:rFonts w:hint="eastAsia"/>
          <w:vertAlign w:val="subscript"/>
        </w:rPr>
        <w:t>p</w:t>
      </w:r>
      <w:r w:rsidRPr="00FD50F6">
        <w:rPr>
          <w:rFonts w:hint="eastAsia"/>
          <w:i/>
        </w:rPr>
        <w:t>b</w:t>
      </w:r>
      <w:r w:rsidRPr="00FD50F6">
        <w:rPr>
          <w:rFonts w:hint="eastAsia"/>
          <w:vertAlign w:val="subscript"/>
        </w:rPr>
        <w:t>p</w:t>
      </w:r>
      <w:r w:rsidRPr="00FD50F6">
        <w:rPr>
          <w:rFonts w:hint="eastAsia"/>
          <w:i/>
          <w:vertAlign w:val="superscript"/>
        </w:rPr>
        <w:t>2</w:t>
      </w:r>
    </w:p>
    <w:p w14:paraId="47091B4E" w14:textId="77777777" w:rsidR="002B733E" w:rsidRPr="00FD50F6" w:rsidRDefault="002B733E" w:rsidP="002B733E">
      <w:pPr>
        <w:pStyle w:val="8"/>
        <w:ind w:firstLine="480"/>
      </w:pPr>
      <w:r w:rsidRPr="00FD50F6">
        <w:rPr>
          <w:rFonts w:hint="eastAsia"/>
          <w:i/>
        </w:rPr>
        <w:t>k</w:t>
      </w:r>
      <w:r w:rsidRPr="00FD50F6">
        <w:rPr>
          <w:rFonts w:hint="eastAsia"/>
          <w:vertAlign w:val="subscript"/>
        </w:rPr>
        <w:sym w:font="Symbol" w:char="F066"/>
      </w:r>
      <w:r w:rsidRPr="00FD50F6">
        <w:rPr>
          <w:rFonts w:hint="eastAsia"/>
          <w:vertAlign w:val="subscript"/>
        </w:rPr>
        <w:t>s</w:t>
      </w:r>
      <w:r w:rsidRPr="00FD50F6">
        <w:rPr>
          <w:rFonts w:hint="eastAsia"/>
          <w:i/>
        </w:rPr>
        <w:t>=0.5n</w:t>
      </w:r>
      <w:r w:rsidRPr="00FD50F6">
        <w:rPr>
          <w:rFonts w:hint="eastAsia"/>
          <w:vertAlign w:val="subscript"/>
        </w:rPr>
        <w:t>s</w:t>
      </w:r>
      <w:r w:rsidRPr="00FD50F6">
        <w:rPr>
          <w:rFonts w:hint="eastAsia"/>
          <w:i/>
        </w:rPr>
        <w:t>c</w:t>
      </w:r>
      <w:r w:rsidRPr="00FD50F6">
        <w:rPr>
          <w:rFonts w:hint="eastAsia"/>
          <w:vertAlign w:val="subscript"/>
        </w:rPr>
        <w:t>s</w:t>
      </w:r>
      <w:r w:rsidRPr="00FD50F6">
        <w:rPr>
          <w:rFonts w:hint="eastAsia"/>
          <w:i/>
        </w:rPr>
        <w:t>b</w:t>
      </w:r>
      <w:r w:rsidRPr="00FD50F6">
        <w:rPr>
          <w:rFonts w:hint="eastAsia"/>
          <w:vertAlign w:val="subscript"/>
        </w:rPr>
        <w:t>s</w:t>
      </w:r>
      <w:r w:rsidRPr="00FD50F6">
        <w:rPr>
          <w:rFonts w:hint="eastAsia"/>
          <w:i/>
          <w:vertAlign w:val="superscript"/>
        </w:rPr>
        <w:t>2</w:t>
      </w:r>
      <w:r w:rsidRPr="00FD50F6">
        <w:rPr>
          <w:rFonts w:hint="eastAsia"/>
          <w:i/>
        </w:rPr>
        <w:t>+2k</w:t>
      </w:r>
      <w:r w:rsidRPr="00FD50F6">
        <w:rPr>
          <w:rFonts w:hint="eastAsia"/>
          <w:vertAlign w:val="subscript"/>
        </w:rPr>
        <w:sym w:font="Symbol" w:char="F066"/>
      </w:r>
      <w:r w:rsidRPr="00FD50F6">
        <w:rPr>
          <w:rFonts w:hint="eastAsia"/>
          <w:vertAlign w:val="subscript"/>
        </w:rPr>
        <w:t>n</w:t>
      </w:r>
    </w:p>
    <w:p w14:paraId="43695F65" w14:textId="77777777" w:rsidR="002B733E" w:rsidRPr="00FD50F6" w:rsidRDefault="002B733E" w:rsidP="00A926BD">
      <w:pPr>
        <w:pStyle w:val="4"/>
      </w:pPr>
      <w:r w:rsidRPr="00FD50F6">
        <w:rPr>
          <w:rFonts w:hint="eastAsia"/>
        </w:rPr>
        <w:t>空车车体竖向向上偏移量应符合下列规定：</w:t>
      </w:r>
    </w:p>
    <w:p w14:paraId="3C7D7A49" w14:textId="5C02C962" w:rsidR="002B733E" w:rsidRPr="00FD50F6" w:rsidRDefault="002B733E" w:rsidP="002B733E">
      <w:pPr>
        <w:pStyle w:val="8"/>
        <w:ind w:firstLine="480"/>
      </w:pPr>
      <w:r w:rsidRPr="00FD50F6">
        <w:rPr>
          <w:noProof/>
        </w:rPr>
        <w:drawing>
          <wp:inline distT="0" distB="0" distL="0" distR="0" wp14:anchorId="3B36069D" wp14:editId="74C8F242">
            <wp:extent cx="4089400" cy="1346200"/>
            <wp:effectExtent l="0" t="0" r="6350" b="63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9400" cy="1346200"/>
                    </a:xfrm>
                    <a:prstGeom prst="rect">
                      <a:avLst/>
                    </a:prstGeom>
                    <a:noFill/>
                    <a:ln>
                      <a:noFill/>
                    </a:ln>
                  </pic:spPr>
                </pic:pic>
              </a:graphicData>
            </a:graphic>
          </wp:inline>
        </w:drawing>
      </w:r>
      <w:r w:rsidRPr="00FD50F6">
        <w:rPr>
          <w:rFonts w:hint="eastAsia"/>
        </w:rPr>
        <w:t>（</w:t>
      </w:r>
      <w:r w:rsidRPr="00FD50F6">
        <w:rPr>
          <w:rFonts w:hint="eastAsia"/>
        </w:rPr>
        <w:t>A.2.2</w:t>
      </w:r>
      <w:r w:rsidRPr="00FD50F6">
        <w:rPr>
          <w:rFonts w:hint="eastAsia"/>
        </w:rPr>
        <w:t>）</w:t>
      </w:r>
    </w:p>
    <w:p w14:paraId="34C91F22" w14:textId="55812740" w:rsidR="002B733E" w:rsidRPr="00FD50F6" w:rsidRDefault="002B733E" w:rsidP="002B733E">
      <w:pPr>
        <w:pStyle w:val="8"/>
        <w:ind w:firstLine="480"/>
        <w:jc w:val="left"/>
      </w:pPr>
      <w:r w:rsidRPr="00FD50F6">
        <w:rPr>
          <w:rFonts w:hint="eastAsia"/>
        </w:rPr>
        <w:t>式中：当</w:t>
      </w:r>
      <w:r w:rsidRPr="00FD50F6">
        <w:rPr>
          <w:noProof/>
          <w:position w:val="-30"/>
        </w:rPr>
        <w:drawing>
          <wp:inline distT="0" distB="0" distL="0" distR="0" wp14:anchorId="22A8935F" wp14:editId="0E2250C4">
            <wp:extent cx="2025650" cy="431800"/>
            <wp:effectExtent l="0" t="0" r="0" b="63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5650" cy="431800"/>
                    </a:xfrm>
                    <a:prstGeom prst="rect">
                      <a:avLst/>
                    </a:prstGeom>
                    <a:noFill/>
                    <a:ln>
                      <a:noFill/>
                    </a:ln>
                  </pic:spPr>
                </pic:pic>
              </a:graphicData>
            </a:graphic>
          </wp:inline>
        </w:drawing>
      </w:r>
      <w:r w:rsidRPr="00FD50F6">
        <w:rPr>
          <w:rFonts w:hint="eastAsia"/>
        </w:rPr>
        <w:t>时，</w:t>
      </w:r>
      <w:r w:rsidRPr="00FD50F6">
        <w:rPr>
          <w:noProof/>
          <w:position w:val="-32"/>
        </w:rPr>
        <w:drawing>
          <wp:inline distT="0" distB="0" distL="0" distR="0" wp14:anchorId="382A714A" wp14:editId="170A99FC">
            <wp:extent cx="2311400" cy="4826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inline>
        </w:drawing>
      </w:r>
      <w:r w:rsidRPr="00FD50F6">
        <w:rPr>
          <w:rFonts w:hint="eastAsia"/>
        </w:rPr>
        <w:t>项应取</w:t>
      </w:r>
      <w:r w:rsidRPr="00FD50F6">
        <w:rPr>
          <w:noProof/>
          <w:position w:val="-14"/>
        </w:rPr>
        <w:drawing>
          <wp:inline distT="0" distB="0" distL="0" distR="0" wp14:anchorId="4F48EC30" wp14:editId="3F202A9C">
            <wp:extent cx="266700" cy="241300"/>
            <wp:effectExtent l="0" t="0" r="0" b="635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FD50F6">
        <w:rPr>
          <w:rFonts w:hint="eastAsia"/>
        </w:rPr>
        <w:t>。</w:t>
      </w:r>
    </w:p>
    <w:p w14:paraId="22BC2250" w14:textId="77777777" w:rsidR="002B733E" w:rsidRPr="00FD50F6" w:rsidRDefault="002B733E" w:rsidP="00A926BD">
      <w:pPr>
        <w:pStyle w:val="4"/>
      </w:pPr>
      <w:r w:rsidRPr="00FD50F6">
        <w:rPr>
          <w:rFonts w:hint="eastAsia"/>
        </w:rPr>
        <w:t>AW3</w:t>
      </w:r>
      <w:r w:rsidRPr="00FD50F6">
        <w:rPr>
          <w:rFonts w:hint="eastAsia"/>
        </w:rPr>
        <w:t>工况下车体竖向向下偏移量应符合下列规定：</w:t>
      </w:r>
    </w:p>
    <w:p w14:paraId="267D0B11" w14:textId="723EB601" w:rsidR="002B733E" w:rsidRPr="00FD50F6" w:rsidRDefault="002B733E" w:rsidP="002B733E">
      <w:pPr>
        <w:jc w:val="right"/>
        <w:rPr>
          <w:rFonts w:ascii="楷体" w:eastAsia="楷体" w:hAnsi="楷体" w:cs="楷体"/>
          <w:bCs/>
          <w:szCs w:val="24"/>
        </w:rPr>
      </w:pPr>
      <w:r w:rsidRPr="00FD50F6">
        <w:rPr>
          <w:rFonts w:ascii="楷体" w:eastAsia="楷体" w:hAnsi="楷体" w:cs="楷体"/>
          <w:bCs/>
          <w:noProof/>
          <w:position w:val="-112"/>
          <w:szCs w:val="24"/>
        </w:rPr>
        <w:lastRenderedPageBreak/>
        <w:drawing>
          <wp:inline distT="0" distB="0" distL="0" distR="0" wp14:anchorId="3B99D224" wp14:editId="66E820C9">
            <wp:extent cx="5264150" cy="1346200"/>
            <wp:effectExtent l="0" t="0" r="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64150" cy="1346200"/>
                    </a:xfrm>
                    <a:prstGeom prst="rect">
                      <a:avLst/>
                    </a:prstGeom>
                    <a:noFill/>
                    <a:ln>
                      <a:noFill/>
                    </a:ln>
                  </pic:spPr>
                </pic:pic>
              </a:graphicData>
            </a:graphic>
          </wp:inline>
        </w:drawing>
      </w:r>
      <w:r w:rsidRPr="00FD50F6">
        <w:rPr>
          <w:rFonts w:ascii="楷体" w:eastAsia="楷体" w:hAnsi="楷体" w:cs="楷体" w:hint="eastAsia"/>
          <w:bCs/>
          <w:szCs w:val="24"/>
        </w:rPr>
        <w:t>（</w:t>
      </w:r>
      <w:r w:rsidRPr="00FD50F6">
        <w:rPr>
          <w:rFonts w:hint="eastAsia"/>
        </w:rPr>
        <w:t>A.2.</w:t>
      </w:r>
      <w:r w:rsidRPr="00FD50F6">
        <w:rPr>
          <w:rFonts w:ascii="楷体" w:eastAsia="楷体" w:hAnsi="楷体" w:cs="楷体" w:hint="eastAsia"/>
          <w:bCs/>
          <w:szCs w:val="24"/>
        </w:rPr>
        <w:t>3）</w:t>
      </w:r>
    </w:p>
    <w:p w14:paraId="261E40E7" w14:textId="1E3AC35A" w:rsidR="002B733E" w:rsidRPr="00FD50F6" w:rsidRDefault="002B733E" w:rsidP="002B733E">
      <w:pPr>
        <w:ind w:firstLineChars="200" w:firstLine="480"/>
        <w:jc w:val="left"/>
        <w:rPr>
          <w:rFonts w:ascii="楷体" w:eastAsia="楷体" w:hAnsi="楷体" w:cs="楷体"/>
          <w:bCs/>
          <w:szCs w:val="24"/>
        </w:rPr>
      </w:pPr>
      <w:r w:rsidRPr="00FD50F6">
        <w:rPr>
          <w:rStyle w:val="80"/>
          <w:rFonts w:hint="eastAsia"/>
        </w:rPr>
        <w:t>式中：当</w:t>
      </w:r>
      <w:r w:rsidRPr="00FD50F6">
        <w:rPr>
          <w:rStyle w:val="80"/>
          <w:noProof/>
        </w:rPr>
        <w:drawing>
          <wp:inline distT="0" distB="0" distL="0" distR="0" wp14:anchorId="171F8DB7" wp14:editId="6B57B154">
            <wp:extent cx="2025650" cy="431800"/>
            <wp:effectExtent l="0" t="0" r="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5650" cy="431800"/>
                    </a:xfrm>
                    <a:prstGeom prst="rect">
                      <a:avLst/>
                    </a:prstGeom>
                    <a:noFill/>
                    <a:ln>
                      <a:noFill/>
                    </a:ln>
                  </pic:spPr>
                </pic:pic>
              </a:graphicData>
            </a:graphic>
          </wp:inline>
        </w:drawing>
      </w:r>
      <w:r w:rsidRPr="00FD50F6">
        <w:rPr>
          <w:rStyle w:val="80"/>
          <w:rFonts w:hint="eastAsia"/>
        </w:rPr>
        <w:t>时，</w:t>
      </w:r>
      <w:r w:rsidRPr="00FD50F6">
        <w:rPr>
          <w:rStyle w:val="80"/>
          <w:noProof/>
        </w:rPr>
        <w:drawing>
          <wp:inline distT="0" distB="0" distL="0" distR="0" wp14:anchorId="308C68C4" wp14:editId="2E302339">
            <wp:extent cx="2311400" cy="4826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inline>
        </w:drawing>
      </w:r>
      <w:r w:rsidRPr="00FD50F6">
        <w:rPr>
          <w:rFonts w:ascii="楷体" w:eastAsia="楷体" w:hAnsi="楷体" w:cs="楷体" w:hint="eastAsia"/>
          <w:bCs/>
          <w:szCs w:val="24"/>
        </w:rPr>
        <w:t>项应取</w:t>
      </w:r>
      <w:r w:rsidRPr="00FD50F6">
        <w:rPr>
          <w:rFonts w:ascii="楷体" w:eastAsia="楷体" w:hAnsi="楷体" w:cs="楷体"/>
          <w:bCs/>
          <w:noProof/>
          <w:position w:val="-14"/>
          <w:szCs w:val="24"/>
        </w:rPr>
        <w:drawing>
          <wp:inline distT="0" distB="0" distL="0" distR="0" wp14:anchorId="159C0564" wp14:editId="38836501">
            <wp:extent cx="279400" cy="241300"/>
            <wp:effectExtent l="0" t="0" r="635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sidRPr="00FD50F6">
        <w:rPr>
          <w:rFonts w:ascii="楷体" w:eastAsia="楷体" w:hAnsi="楷体" w:cs="楷体" w:hint="eastAsia"/>
          <w:bCs/>
          <w:szCs w:val="24"/>
        </w:rPr>
        <w:t>。</w:t>
      </w:r>
    </w:p>
    <w:p w14:paraId="71AC9A75" w14:textId="77777777" w:rsidR="002B733E" w:rsidRPr="00FD50F6" w:rsidRDefault="002B733E" w:rsidP="002B733E">
      <w:pPr>
        <w:pStyle w:val="30"/>
        <w:numPr>
          <w:ilvl w:val="0"/>
          <w:numId w:val="0"/>
        </w:numPr>
      </w:pPr>
      <w:r w:rsidRPr="00FD50F6">
        <w:rPr>
          <w:rFonts w:hint="eastAsia"/>
        </w:rPr>
        <w:t xml:space="preserve">A.2.2  </w:t>
      </w:r>
      <w:r w:rsidRPr="00FD50F6">
        <w:rPr>
          <w:rFonts w:hint="eastAsia"/>
        </w:rPr>
        <w:t>车站车辆限界公式应符合下列规定：</w:t>
      </w:r>
    </w:p>
    <w:p w14:paraId="05AE71B8" w14:textId="77777777" w:rsidR="002B733E" w:rsidRPr="00FD50F6" w:rsidRDefault="002B733E" w:rsidP="002B733E">
      <w:pPr>
        <w:pStyle w:val="8"/>
        <w:ind w:firstLine="480"/>
      </w:pPr>
      <w:r w:rsidRPr="00FD50F6">
        <w:rPr>
          <w:rFonts w:hint="eastAsia"/>
        </w:rPr>
        <w:t xml:space="preserve">1  </w:t>
      </w:r>
      <w:r w:rsidRPr="00FD50F6">
        <w:rPr>
          <w:rFonts w:hint="eastAsia"/>
        </w:rPr>
        <w:t>车体横向偏移量公式应符合下列规定：</w:t>
      </w:r>
    </w:p>
    <w:p w14:paraId="104D5306" w14:textId="42E61570" w:rsidR="002B733E" w:rsidRPr="00FD50F6" w:rsidRDefault="002B733E" w:rsidP="002B733E">
      <w:pPr>
        <w:pStyle w:val="8"/>
        <w:ind w:firstLine="480"/>
      </w:pPr>
      <w:r w:rsidRPr="00FD50F6">
        <w:rPr>
          <w:rFonts w:hint="eastAsia"/>
        </w:rPr>
        <w:t>1</w:t>
      </w:r>
      <w:r w:rsidRPr="00FD50F6">
        <w:rPr>
          <w:rFonts w:hint="eastAsia"/>
        </w:rPr>
        <w:t>）停站工况应符合下列规定：</w:t>
      </w:r>
    </w:p>
    <w:p w14:paraId="0176C2FB" w14:textId="37E8D786" w:rsidR="002B733E" w:rsidRPr="00FD50F6" w:rsidRDefault="002B733E" w:rsidP="002B733E">
      <w:pPr>
        <w:pStyle w:val="8"/>
        <w:ind w:firstLine="480"/>
      </w:pPr>
      <w:r w:rsidRPr="00FD50F6">
        <w:rPr>
          <w:noProof/>
          <w:position w:val="-108"/>
        </w:rPr>
        <w:drawing>
          <wp:inline distT="0" distB="0" distL="0" distR="0" wp14:anchorId="1D878D2B" wp14:editId="74929EF3">
            <wp:extent cx="4540250" cy="13017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40250" cy="1301750"/>
                    </a:xfrm>
                    <a:prstGeom prst="rect">
                      <a:avLst/>
                    </a:prstGeom>
                    <a:noFill/>
                    <a:ln>
                      <a:noFill/>
                    </a:ln>
                  </pic:spPr>
                </pic:pic>
              </a:graphicData>
            </a:graphic>
          </wp:inline>
        </w:drawing>
      </w:r>
      <w:r w:rsidRPr="00FD50F6">
        <w:rPr>
          <w:rFonts w:hint="eastAsia"/>
        </w:rPr>
        <w:t>（</w:t>
      </w:r>
      <w:r w:rsidRPr="00FD50F6">
        <w:rPr>
          <w:rFonts w:hint="eastAsia"/>
        </w:rPr>
        <w:t>A.2.4</w:t>
      </w:r>
      <w:r w:rsidRPr="00FD50F6">
        <w:rPr>
          <w:rFonts w:hint="eastAsia"/>
        </w:rPr>
        <w:t>）</w:t>
      </w:r>
    </w:p>
    <w:p w14:paraId="4422DAB2" w14:textId="0FD14E8B" w:rsidR="002B733E" w:rsidRPr="00FD50F6" w:rsidRDefault="002B733E" w:rsidP="002B733E">
      <w:pPr>
        <w:pStyle w:val="8"/>
        <w:ind w:firstLine="480"/>
      </w:pPr>
      <w:r w:rsidRPr="00FD50F6">
        <w:rPr>
          <w:rFonts w:hint="eastAsia"/>
        </w:rPr>
        <w:t>2</w:t>
      </w:r>
      <w:r w:rsidRPr="00FD50F6">
        <w:rPr>
          <w:rFonts w:hint="eastAsia"/>
        </w:rPr>
        <w:t>）过站工况应符合下列规定：</w:t>
      </w:r>
    </w:p>
    <w:p w14:paraId="082CAB65" w14:textId="4490CCAE" w:rsidR="002B733E" w:rsidRPr="00FD50F6" w:rsidRDefault="002B733E" w:rsidP="002B733E">
      <w:pPr>
        <w:pStyle w:val="8"/>
        <w:ind w:firstLine="480"/>
        <w:jc w:val="right"/>
      </w:pPr>
      <w:r w:rsidRPr="00FD50F6">
        <w:rPr>
          <w:noProof/>
          <w:position w:val="-108"/>
        </w:rPr>
        <w:drawing>
          <wp:inline distT="0" distB="0" distL="0" distR="0" wp14:anchorId="743F7B2B" wp14:editId="0F798931">
            <wp:extent cx="5321300" cy="13017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21300" cy="1301750"/>
                    </a:xfrm>
                    <a:prstGeom prst="rect">
                      <a:avLst/>
                    </a:prstGeom>
                    <a:noFill/>
                    <a:ln>
                      <a:noFill/>
                    </a:ln>
                  </pic:spPr>
                </pic:pic>
              </a:graphicData>
            </a:graphic>
          </wp:inline>
        </w:drawing>
      </w:r>
      <w:r w:rsidRPr="00FD50F6">
        <w:rPr>
          <w:rFonts w:hint="eastAsia"/>
        </w:rPr>
        <w:t>（</w:t>
      </w:r>
      <w:r w:rsidRPr="00FD50F6">
        <w:rPr>
          <w:rFonts w:hint="eastAsia"/>
        </w:rPr>
        <w:t>A.2.5</w:t>
      </w:r>
      <w:r w:rsidRPr="00FD50F6">
        <w:rPr>
          <w:rFonts w:hint="eastAsia"/>
        </w:rPr>
        <w:t>）</w:t>
      </w:r>
    </w:p>
    <w:p w14:paraId="34B800A2" w14:textId="77777777" w:rsidR="002B733E" w:rsidRPr="00FD50F6" w:rsidRDefault="002B733E" w:rsidP="002B733E">
      <w:pPr>
        <w:pStyle w:val="8"/>
        <w:ind w:firstLine="480"/>
      </w:pPr>
      <w:r w:rsidRPr="00FD50F6">
        <w:rPr>
          <w:rFonts w:hint="eastAsia"/>
        </w:rPr>
        <w:t xml:space="preserve">2  </w:t>
      </w:r>
      <w:r w:rsidRPr="00FD50F6">
        <w:rPr>
          <w:rFonts w:hint="eastAsia"/>
        </w:rPr>
        <w:t>车体竖向偏移量应符合下列规定：</w:t>
      </w:r>
    </w:p>
    <w:p w14:paraId="11FD1082" w14:textId="77777777" w:rsidR="002B733E" w:rsidRPr="00FD50F6" w:rsidRDefault="002B733E" w:rsidP="002B733E">
      <w:pPr>
        <w:pStyle w:val="8"/>
        <w:ind w:firstLine="480"/>
      </w:pPr>
      <w:r w:rsidRPr="00FD50F6">
        <w:rPr>
          <w:rFonts w:hint="eastAsia"/>
        </w:rPr>
        <w:t>1</w:t>
      </w:r>
      <w:r w:rsidRPr="00FD50F6">
        <w:rPr>
          <w:rFonts w:hint="eastAsia"/>
        </w:rPr>
        <w:t>）空车竖向向上偏移量应符合下列规定：</w:t>
      </w:r>
    </w:p>
    <w:p w14:paraId="346F13E8" w14:textId="77777777" w:rsidR="002B733E" w:rsidRPr="00FD50F6" w:rsidRDefault="002B733E" w:rsidP="002B733E">
      <w:pPr>
        <w:pStyle w:val="8"/>
        <w:ind w:firstLine="480"/>
      </w:pPr>
      <w:r w:rsidRPr="00FD50F6">
        <w:rPr>
          <w:rFonts w:hint="eastAsia"/>
        </w:rPr>
        <w:t>(1)</w:t>
      </w:r>
      <w:r w:rsidRPr="00FD50F6">
        <w:rPr>
          <w:rFonts w:hint="eastAsia"/>
        </w:rPr>
        <w:t>停站工况应符合下列规定：</w:t>
      </w:r>
    </w:p>
    <w:p w14:paraId="245B8C77" w14:textId="62815EB9" w:rsidR="002B733E" w:rsidRPr="00FD50F6" w:rsidRDefault="002B733E" w:rsidP="002B733E">
      <w:pPr>
        <w:pStyle w:val="8"/>
        <w:ind w:firstLine="480"/>
      </w:pPr>
      <w:r w:rsidRPr="00FD50F6">
        <w:rPr>
          <w:noProof/>
          <w:position w:val="-34"/>
        </w:rPr>
        <w:drawing>
          <wp:inline distT="0" distB="0" distL="0" distR="0" wp14:anchorId="42650493" wp14:editId="25E1CCFA">
            <wp:extent cx="4921250" cy="431800"/>
            <wp:effectExtent l="0" t="0" r="0" b="63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21250" cy="431800"/>
                    </a:xfrm>
                    <a:prstGeom prst="rect">
                      <a:avLst/>
                    </a:prstGeom>
                    <a:noFill/>
                    <a:ln>
                      <a:noFill/>
                    </a:ln>
                  </pic:spPr>
                </pic:pic>
              </a:graphicData>
            </a:graphic>
          </wp:inline>
        </w:drawing>
      </w:r>
    </w:p>
    <w:p w14:paraId="67287B42" w14:textId="77777777" w:rsidR="002B733E" w:rsidRPr="00FD50F6" w:rsidRDefault="002B733E" w:rsidP="002B733E">
      <w:pPr>
        <w:pStyle w:val="8"/>
        <w:ind w:firstLine="480"/>
        <w:jc w:val="right"/>
      </w:pPr>
      <w:r w:rsidRPr="00FD50F6">
        <w:rPr>
          <w:rFonts w:hint="eastAsia"/>
        </w:rPr>
        <w:lastRenderedPageBreak/>
        <w:t>（</w:t>
      </w:r>
      <w:r w:rsidRPr="00FD50F6">
        <w:rPr>
          <w:rFonts w:hint="eastAsia"/>
        </w:rPr>
        <w:t>A.2.6</w:t>
      </w:r>
      <w:r w:rsidRPr="00FD50F6">
        <w:rPr>
          <w:rFonts w:hint="eastAsia"/>
        </w:rPr>
        <w:t>）</w:t>
      </w:r>
    </w:p>
    <w:p w14:paraId="170D7E80" w14:textId="77777777" w:rsidR="002B733E" w:rsidRPr="00FD50F6" w:rsidRDefault="002B733E" w:rsidP="002B733E">
      <w:pPr>
        <w:pStyle w:val="8"/>
        <w:ind w:firstLine="480"/>
      </w:pPr>
      <w:r w:rsidRPr="00FD50F6">
        <w:rPr>
          <w:rFonts w:hint="eastAsia"/>
        </w:rPr>
        <w:t>(2)</w:t>
      </w:r>
      <w:r w:rsidRPr="00FD50F6">
        <w:rPr>
          <w:rFonts w:hint="eastAsia"/>
        </w:rPr>
        <w:t>过站工况应符合下列规定：</w:t>
      </w:r>
    </w:p>
    <w:p w14:paraId="7BBAC113" w14:textId="2A5E20EF" w:rsidR="002B733E" w:rsidRPr="00FD50F6" w:rsidRDefault="002B733E" w:rsidP="002B733E">
      <w:pPr>
        <w:pStyle w:val="8"/>
        <w:ind w:firstLine="480"/>
        <w:jc w:val="right"/>
      </w:pPr>
      <w:r w:rsidRPr="00FD50F6">
        <w:rPr>
          <w:noProof/>
          <w:position w:val="-112"/>
        </w:rPr>
        <w:drawing>
          <wp:inline distT="0" distB="0" distL="0" distR="0" wp14:anchorId="386D613B" wp14:editId="3248B540">
            <wp:extent cx="4959350" cy="147955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59350" cy="1479550"/>
                    </a:xfrm>
                    <a:prstGeom prst="rect">
                      <a:avLst/>
                    </a:prstGeom>
                    <a:noFill/>
                    <a:ln>
                      <a:noFill/>
                    </a:ln>
                  </pic:spPr>
                </pic:pic>
              </a:graphicData>
            </a:graphic>
          </wp:inline>
        </w:drawing>
      </w:r>
      <w:r w:rsidRPr="00FD50F6">
        <w:rPr>
          <w:rFonts w:hint="eastAsia"/>
        </w:rPr>
        <w:t>（</w:t>
      </w:r>
      <w:r w:rsidRPr="00FD50F6">
        <w:rPr>
          <w:rFonts w:hint="eastAsia"/>
        </w:rPr>
        <w:t>A.2.7</w:t>
      </w:r>
      <w:r w:rsidRPr="00FD50F6">
        <w:rPr>
          <w:rFonts w:hint="eastAsia"/>
        </w:rPr>
        <w:t>）</w:t>
      </w:r>
    </w:p>
    <w:p w14:paraId="468DE82B" w14:textId="77777777" w:rsidR="002B733E" w:rsidRPr="00FD50F6" w:rsidRDefault="002B733E" w:rsidP="001A4CF3">
      <w:pPr>
        <w:pStyle w:val="8"/>
        <w:tabs>
          <w:tab w:val="left" w:pos="3536"/>
        </w:tabs>
        <w:ind w:firstLine="480"/>
      </w:pPr>
      <w:r w:rsidRPr="00FD50F6">
        <w:rPr>
          <w:rFonts w:hint="eastAsia"/>
        </w:rPr>
        <w:t>2</w:t>
      </w:r>
      <w:r w:rsidRPr="00FD50F6">
        <w:rPr>
          <w:rFonts w:hint="eastAsia"/>
        </w:rPr>
        <w:t>）重车竖向向下偏移量应符合下列规定</w:t>
      </w:r>
    </w:p>
    <w:p w14:paraId="4D10939C" w14:textId="77777777" w:rsidR="002B733E" w:rsidRPr="00FD50F6" w:rsidRDefault="002B733E" w:rsidP="002B733E">
      <w:pPr>
        <w:pStyle w:val="8"/>
        <w:ind w:firstLine="480"/>
      </w:pPr>
      <w:r w:rsidRPr="00FD50F6">
        <w:rPr>
          <w:rFonts w:hint="eastAsia"/>
        </w:rPr>
        <w:t>(1)</w:t>
      </w:r>
      <w:r w:rsidRPr="00FD50F6">
        <w:rPr>
          <w:rFonts w:hint="eastAsia"/>
        </w:rPr>
        <w:t>停站工况应符合下列规定：</w:t>
      </w:r>
    </w:p>
    <w:p w14:paraId="0FFBA749" w14:textId="337F066C" w:rsidR="002B733E" w:rsidRPr="00FD50F6" w:rsidRDefault="002B733E" w:rsidP="002B733E">
      <w:pPr>
        <w:pStyle w:val="8"/>
        <w:ind w:firstLine="480"/>
      </w:pPr>
      <w:r w:rsidRPr="00FD50F6">
        <w:rPr>
          <w:noProof/>
          <w:position w:val="-74"/>
        </w:rPr>
        <w:drawing>
          <wp:inline distT="0" distB="0" distL="0" distR="0" wp14:anchorId="5737E881" wp14:editId="02FCB381">
            <wp:extent cx="4387850" cy="9207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7850" cy="920750"/>
                    </a:xfrm>
                    <a:prstGeom prst="rect">
                      <a:avLst/>
                    </a:prstGeom>
                    <a:noFill/>
                    <a:ln>
                      <a:noFill/>
                    </a:ln>
                  </pic:spPr>
                </pic:pic>
              </a:graphicData>
            </a:graphic>
          </wp:inline>
        </w:drawing>
      </w:r>
      <w:r w:rsidRPr="00FD50F6">
        <w:rPr>
          <w:rFonts w:hint="eastAsia"/>
        </w:rPr>
        <w:t>（</w:t>
      </w:r>
      <w:r w:rsidRPr="00FD50F6">
        <w:rPr>
          <w:rFonts w:hint="eastAsia"/>
        </w:rPr>
        <w:t>A.2.8</w:t>
      </w:r>
      <w:r w:rsidRPr="00FD50F6">
        <w:rPr>
          <w:rFonts w:hint="eastAsia"/>
        </w:rPr>
        <w:t>）</w:t>
      </w:r>
    </w:p>
    <w:p w14:paraId="444D464E" w14:textId="77777777" w:rsidR="002B733E" w:rsidRPr="00FD50F6" w:rsidRDefault="002B733E" w:rsidP="002B733E">
      <w:pPr>
        <w:pStyle w:val="8"/>
        <w:ind w:firstLine="480"/>
      </w:pPr>
      <w:r w:rsidRPr="00FD50F6">
        <w:rPr>
          <w:rFonts w:hint="eastAsia"/>
        </w:rPr>
        <w:t>(2)</w:t>
      </w:r>
      <w:r w:rsidRPr="00FD50F6">
        <w:rPr>
          <w:rFonts w:hint="eastAsia"/>
        </w:rPr>
        <w:t>过站：</w:t>
      </w:r>
    </w:p>
    <w:p w14:paraId="638EED4F" w14:textId="1EA895B5" w:rsidR="002B733E" w:rsidRPr="00FD50F6" w:rsidRDefault="002B733E" w:rsidP="002B733E">
      <w:pPr>
        <w:pStyle w:val="8"/>
        <w:ind w:firstLine="480"/>
        <w:jc w:val="right"/>
      </w:pPr>
      <w:r w:rsidRPr="00FD50F6">
        <w:rPr>
          <w:noProof/>
          <w:position w:val="-112"/>
        </w:rPr>
        <w:drawing>
          <wp:inline distT="0" distB="0" distL="0" distR="0" wp14:anchorId="16DF6F10" wp14:editId="6A000ABB">
            <wp:extent cx="5054600" cy="1346200"/>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54600" cy="1346200"/>
                    </a:xfrm>
                    <a:prstGeom prst="rect">
                      <a:avLst/>
                    </a:prstGeom>
                    <a:noFill/>
                    <a:ln>
                      <a:noFill/>
                    </a:ln>
                  </pic:spPr>
                </pic:pic>
              </a:graphicData>
            </a:graphic>
          </wp:inline>
        </w:drawing>
      </w:r>
      <w:r w:rsidRPr="00FD50F6">
        <w:rPr>
          <w:rFonts w:hint="eastAsia"/>
        </w:rPr>
        <w:t>（</w:t>
      </w:r>
      <w:r w:rsidRPr="00FD50F6">
        <w:rPr>
          <w:rFonts w:hint="eastAsia"/>
        </w:rPr>
        <w:t>A.2.9</w:t>
      </w:r>
      <w:r w:rsidRPr="00FD50F6">
        <w:rPr>
          <w:rFonts w:hint="eastAsia"/>
        </w:rPr>
        <w:t>）</w:t>
      </w:r>
    </w:p>
    <w:p w14:paraId="7D32DAC5" w14:textId="77777777" w:rsidR="002B733E" w:rsidRPr="00FD50F6" w:rsidRDefault="002B733E" w:rsidP="002B733E">
      <w:pPr>
        <w:pStyle w:val="30"/>
        <w:numPr>
          <w:ilvl w:val="0"/>
          <w:numId w:val="0"/>
        </w:numPr>
      </w:pPr>
      <w:r w:rsidRPr="00FD50F6">
        <w:rPr>
          <w:rFonts w:hint="eastAsia"/>
        </w:rPr>
        <w:t xml:space="preserve">A.2.3 </w:t>
      </w:r>
      <w:r w:rsidRPr="00FD50F6">
        <w:rPr>
          <w:rFonts w:hint="eastAsia"/>
        </w:rPr>
        <w:t>区间设备限界应符合下列规定：</w:t>
      </w:r>
    </w:p>
    <w:p w14:paraId="22FFA710" w14:textId="17250ACD" w:rsidR="002B733E" w:rsidRPr="00FD50F6" w:rsidRDefault="002B733E" w:rsidP="002B733E">
      <w:pPr>
        <w:pStyle w:val="8"/>
        <w:ind w:firstLine="480"/>
      </w:pPr>
      <w:r w:rsidRPr="00FD50F6">
        <w:rPr>
          <w:rFonts w:hint="eastAsia"/>
        </w:rPr>
        <w:t>1</w:t>
      </w:r>
      <w:r w:rsidRPr="00FD50F6">
        <w:rPr>
          <w:rFonts w:hint="eastAsia"/>
        </w:rPr>
        <w:t>车体横向偏移量应符合下列规定</w:t>
      </w:r>
    </w:p>
    <w:p w14:paraId="44B8CF14" w14:textId="74228238" w:rsidR="002B733E" w:rsidRPr="00FD50F6" w:rsidRDefault="002B733E" w:rsidP="002B733E">
      <w:pPr>
        <w:pStyle w:val="8"/>
        <w:ind w:firstLine="480"/>
        <w:jc w:val="right"/>
      </w:pPr>
      <w:r w:rsidRPr="00FD50F6">
        <w:rPr>
          <w:noProof/>
          <w:position w:val="-182"/>
        </w:rPr>
        <w:drawing>
          <wp:inline distT="0" distB="0" distL="0" distR="0" wp14:anchorId="14B47642" wp14:editId="5BA8C1DF">
            <wp:extent cx="5264150" cy="1714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64150" cy="1714500"/>
                    </a:xfrm>
                    <a:prstGeom prst="rect">
                      <a:avLst/>
                    </a:prstGeom>
                    <a:noFill/>
                    <a:ln>
                      <a:noFill/>
                    </a:ln>
                  </pic:spPr>
                </pic:pic>
              </a:graphicData>
            </a:graphic>
          </wp:inline>
        </w:drawing>
      </w:r>
      <w:r w:rsidRPr="00FD50F6">
        <w:rPr>
          <w:rFonts w:hint="eastAsia"/>
        </w:rPr>
        <w:t>（</w:t>
      </w:r>
      <w:r w:rsidRPr="00FD50F6">
        <w:rPr>
          <w:rFonts w:hint="eastAsia"/>
        </w:rPr>
        <w:t>A.2.10</w:t>
      </w:r>
      <w:r w:rsidRPr="00FD50F6">
        <w:rPr>
          <w:rFonts w:hint="eastAsia"/>
        </w:rPr>
        <w:t>）</w:t>
      </w:r>
    </w:p>
    <w:p w14:paraId="00ED09F0" w14:textId="1AD776C4" w:rsidR="002B733E" w:rsidRPr="00FD50F6" w:rsidRDefault="002B733E" w:rsidP="002B733E">
      <w:pPr>
        <w:pStyle w:val="8"/>
        <w:ind w:firstLine="480"/>
      </w:pPr>
      <w:r w:rsidRPr="00FD50F6">
        <w:rPr>
          <w:rFonts w:hint="eastAsia"/>
        </w:rPr>
        <w:lastRenderedPageBreak/>
        <w:t>式中：</w:t>
      </w:r>
      <w:r w:rsidRPr="00FD50F6">
        <w:rPr>
          <w:noProof/>
          <w:position w:val="-30"/>
        </w:rPr>
        <w:drawing>
          <wp:inline distT="0" distB="0" distL="0" distR="0" wp14:anchorId="6A29735A" wp14:editId="3ED5602D">
            <wp:extent cx="1193800" cy="431800"/>
            <wp:effectExtent l="0" t="0" r="635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3800" cy="431800"/>
                    </a:xfrm>
                    <a:prstGeom prst="rect">
                      <a:avLst/>
                    </a:prstGeom>
                    <a:noFill/>
                    <a:ln>
                      <a:noFill/>
                    </a:ln>
                  </pic:spPr>
                </pic:pic>
              </a:graphicData>
            </a:graphic>
          </wp:inline>
        </w:drawing>
      </w:r>
    </w:p>
    <w:p w14:paraId="20A2DD3C" w14:textId="77777777" w:rsidR="002B733E" w:rsidRPr="00FD50F6" w:rsidRDefault="002B733E" w:rsidP="002B733E">
      <w:pPr>
        <w:pStyle w:val="8"/>
        <w:ind w:firstLine="480"/>
      </w:pPr>
      <w:r w:rsidRPr="00FD50F6">
        <w:rPr>
          <w:rFonts w:hint="eastAsia"/>
        </w:rPr>
        <w:t xml:space="preserve">2  </w:t>
      </w:r>
      <w:r w:rsidRPr="00FD50F6">
        <w:rPr>
          <w:rFonts w:hint="eastAsia"/>
        </w:rPr>
        <w:t>竖向偏移量</w:t>
      </w:r>
      <w:r w:rsidRPr="00FD50F6">
        <w:rPr>
          <w:rFonts w:hint="eastAsia"/>
        </w:rPr>
        <w:t>-</w:t>
      </w:r>
      <w:r w:rsidRPr="00FD50F6">
        <w:rPr>
          <w:rFonts w:hint="eastAsia"/>
        </w:rPr>
        <w:t>车体</w:t>
      </w:r>
    </w:p>
    <w:p w14:paraId="230DFE3F" w14:textId="77777777" w:rsidR="002B733E" w:rsidRPr="00FD50F6" w:rsidRDefault="002B733E" w:rsidP="002B733E">
      <w:pPr>
        <w:pStyle w:val="8"/>
        <w:ind w:firstLine="480"/>
      </w:pPr>
      <w:r w:rsidRPr="00FD50F6">
        <w:rPr>
          <w:rFonts w:hint="eastAsia"/>
        </w:rPr>
        <w:t>1</w:t>
      </w:r>
      <w:r w:rsidRPr="00FD50F6">
        <w:rPr>
          <w:rFonts w:hint="eastAsia"/>
        </w:rPr>
        <w:t>）空车竖向向上偏移量</w:t>
      </w:r>
    </w:p>
    <w:p w14:paraId="6ADF85BF" w14:textId="36FE05AD" w:rsidR="002B733E" w:rsidRPr="00FD50F6" w:rsidRDefault="002B733E" w:rsidP="002B733E">
      <w:pPr>
        <w:pStyle w:val="8"/>
        <w:ind w:firstLine="480"/>
      </w:pPr>
      <w:r w:rsidRPr="00FD50F6">
        <w:rPr>
          <w:noProof/>
          <w:position w:val="-74"/>
        </w:rPr>
        <w:drawing>
          <wp:inline distT="0" distB="0" distL="0" distR="0" wp14:anchorId="533B386F" wp14:editId="623C1BA9">
            <wp:extent cx="5264150" cy="9207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64150" cy="920750"/>
                    </a:xfrm>
                    <a:prstGeom prst="rect">
                      <a:avLst/>
                    </a:prstGeom>
                    <a:noFill/>
                    <a:ln>
                      <a:noFill/>
                    </a:ln>
                  </pic:spPr>
                </pic:pic>
              </a:graphicData>
            </a:graphic>
          </wp:inline>
        </w:drawing>
      </w:r>
    </w:p>
    <w:p w14:paraId="1C1AE431" w14:textId="77777777" w:rsidR="002B733E" w:rsidRPr="00FD50F6" w:rsidRDefault="002B733E" w:rsidP="002B733E">
      <w:pPr>
        <w:pStyle w:val="8"/>
        <w:ind w:firstLine="480"/>
        <w:jc w:val="right"/>
      </w:pPr>
      <w:r w:rsidRPr="00FD50F6">
        <w:rPr>
          <w:rFonts w:hint="eastAsia"/>
        </w:rPr>
        <w:t>（</w:t>
      </w:r>
      <w:r w:rsidRPr="00FD50F6">
        <w:rPr>
          <w:rFonts w:hint="eastAsia"/>
        </w:rPr>
        <w:t>A.2.11</w:t>
      </w:r>
      <w:r w:rsidRPr="00FD50F6">
        <w:rPr>
          <w:rFonts w:hint="eastAsia"/>
        </w:rPr>
        <w:t>）</w:t>
      </w:r>
    </w:p>
    <w:p w14:paraId="4EB0E7F8" w14:textId="77777777" w:rsidR="002B733E" w:rsidRPr="00FD50F6" w:rsidRDefault="002B733E" w:rsidP="002B733E">
      <w:pPr>
        <w:pStyle w:val="8"/>
        <w:ind w:firstLine="480"/>
      </w:pPr>
      <w:r w:rsidRPr="00FD50F6">
        <w:rPr>
          <w:rFonts w:hint="eastAsia"/>
        </w:rPr>
        <w:t>2</w:t>
      </w:r>
      <w:r w:rsidRPr="00FD50F6">
        <w:rPr>
          <w:rFonts w:hint="eastAsia"/>
        </w:rPr>
        <w:t>）重车竖向向下偏移量</w:t>
      </w:r>
    </w:p>
    <w:p w14:paraId="73BFE976" w14:textId="223794E8" w:rsidR="002B733E" w:rsidRPr="00FD50F6" w:rsidRDefault="002B733E" w:rsidP="002B733E">
      <w:pPr>
        <w:pStyle w:val="8"/>
        <w:ind w:firstLine="480"/>
      </w:pPr>
      <w:r w:rsidRPr="00FD50F6">
        <w:rPr>
          <w:noProof/>
          <w:position w:val="-112"/>
        </w:rPr>
        <w:drawing>
          <wp:inline distT="0" distB="0" distL="0" distR="0" wp14:anchorId="21F0D404" wp14:editId="638FE456">
            <wp:extent cx="4921250" cy="1346200"/>
            <wp:effectExtent l="0" t="0" r="0" b="63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21250" cy="1346200"/>
                    </a:xfrm>
                    <a:prstGeom prst="rect">
                      <a:avLst/>
                    </a:prstGeom>
                    <a:noFill/>
                    <a:ln>
                      <a:noFill/>
                    </a:ln>
                  </pic:spPr>
                </pic:pic>
              </a:graphicData>
            </a:graphic>
          </wp:inline>
        </w:drawing>
      </w:r>
    </w:p>
    <w:p w14:paraId="246C41F0" w14:textId="77777777" w:rsidR="002B733E" w:rsidRPr="00FD50F6" w:rsidRDefault="002B733E" w:rsidP="002B733E">
      <w:pPr>
        <w:pStyle w:val="8"/>
        <w:ind w:firstLine="480"/>
        <w:jc w:val="right"/>
      </w:pPr>
      <w:r w:rsidRPr="00FD50F6">
        <w:rPr>
          <w:rFonts w:hint="eastAsia"/>
        </w:rPr>
        <w:t>（</w:t>
      </w:r>
      <w:r w:rsidRPr="00FD50F6">
        <w:rPr>
          <w:rFonts w:hint="eastAsia"/>
        </w:rPr>
        <w:t>A.2.12</w:t>
      </w:r>
      <w:r w:rsidRPr="00FD50F6">
        <w:rPr>
          <w:rFonts w:hint="eastAsia"/>
        </w:rPr>
        <w:t>）</w:t>
      </w:r>
    </w:p>
    <w:p w14:paraId="682A6795" w14:textId="77777777" w:rsidR="002B733E" w:rsidRPr="00FD50F6" w:rsidRDefault="002B733E" w:rsidP="002B733E">
      <w:pPr>
        <w:pStyle w:val="8"/>
        <w:ind w:firstLine="480"/>
      </w:pPr>
      <w:r w:rsidRPr="00FD50F6">
        <w:rPr>
          <w:rFonts w:hint="eastAsia"/>
        </w:rPr>
        <w:t xml:space="preserve">3  </w:t>
      </w:r>
      <w:r w:rsidRPr="00FD50F6">
        <w:rPr>
          <w:rFonts w:hint="eastAsia"/>
        </w:rPr>
        <w:t>转向架横向偏移量</w:t>
      </w:r>
    </w:p>
    <w:p w14:paraId="3DD49F56" w14:textId="2320BEA0" w:rsidR="002B733E" w:rsidRPr="00FD50F6" w:rsidRDefault="002B733E" w:rsidP="002B733E">
      <w:pPr>
        <w:pStyle w:val="8"/>
        <w:ind w:firstLine="480"/>
      </w:pPr>
      <w:r w:rsidRPr="00FD50F6">
        <w:rPr>
          <w:noProof/>
          <w:position w:val="-68"/>
        </w:rPr>
        <w:drawing>
          <wp:inline distT="0" distB="0" distL="0" distR="0" wp14:anchorId="2F026131" wp14:editId="0878F377">
            <wp:extent cx="4673600" cy="8572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73600" cy="857250"/>
                    </a:xfrm>
                    <a:prstGeom prst="rect">
                      <a:avLst/>
                    </a:prstGeom>
                    <a:noFill/>
                    <a:ln>
                      <a:noFill/>
                    </a:ln>
                  </pic:spPr>
                </pic:pic>
              </a:graphicData>
            </a:graphic>
          </wp:inline>
        </w:drawing>
      </w:r>
    </w:p>
    <w:p w14:paraId="20F188C6" w14:textId="77777777" w:rsidR="002B733E" w:rsidRPr="00FD50F6" w:rsidRDefault="002B733E" w:rsidP="001A4CF3">
      <w:pPr>
        <w:pStyle w:val="8"/>
        <w:ind w:firstLine="480"/>
        <w:jc w:val="right"/>
      </w:pPr>
      <w:r w:rsidRPr="00FD50F6">
        <w:rPr>
          <w:rFonts w:hint="eastAsia"/>
        </w:rPr>
        <w:t>（</w:t>
      </w:r>
      <w:r w:rsidRPr="00FD50F6">
        <w:rPr>
          <w:rFonts w:hint="eastAsia"/>
        </w:rPr>
        <w:t>A.2.13</w:t>
      </w:r>
      <w:r w:rsidRPr="00FD50F6">
        <w:rPr>
          <w:rFonts w:hint="eastAsia"/>
        </w:rPr>
        <w:t>）</w:t>
      </w:r>
    </w:p>
    <w:p w14:paraId="6D18E84C" w14:textId="25D771B0" w:rsidR="002B733E" w:rsidRPr="00FD50F6" w:rsidRDefault="002B733E" w:rsidP="002B733E">
      <w:pPr>
        <w:pStyle w:val="8"/>
        <w:ind w:firstLine="480"/>
      </w:pPr>
      <w:r w:rsidRPr="00FD50F6">
        <w:rPr>
          <w:rFonts w:hint="eastAsia"/>
        </w:rPr>
        <w:t>式中：</w:t>
      </w:r>
      <w:r w:rsidRPr="00FD50F6">
        <w:rPr>
          <w:noProof/>
          <w:position w:val="-30"/>
        </w:rPr>
        <w:drawing>
          <wp:inline distT="0" distB="0" distL="0" distR="0" wp14:anchorId="09575013" wp14:editId="7FC0E328">
            <wp:extent cx="1193800" cy="431800"/>
            <wp:effectExtent l="0" t="0" r="635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3800" cy="431800"/>
                    </a:xfrm>
                    <a:prstGeom prst="rect">
                      <a:avLst/>
                    </a:prstGeom>
                    <a:noFill/>
                    <a:ln>
                      <a:noFill/>
                    </a:ln>
                  </pic:spPr>
                </pic:pic>
              </a:graphicData>
            </a:graphic>
          </wp:inline>
        </w:drawing>
      </w:r>
    </w:p>
    <w:p w14:paraId="6F9499AD" w14:textId="77777777" w:rsidR="002B733E" w:rsidRPr="00FD50F6" w:rsidRDefault="002B733E" w:rsidP="002B733E">
      <w:pPr>
        <w:pStyle w:val="8"/>
        <w:ind w:firstLine="480"/>
      </w:pPr>
      <w:r w:rsidRPr="00FD50F6">
        <w:rPr>
          <w:rFonts w:hint="eastAsia"/>
        </w:rPr>
        <w:t xml:space="preserve">4  </w:t>
      </w:r>
      <w:r w:rsidRPr="00FD50F6">
        <w:rPr>
          <w:rFonts w:hint="eastAsia"/>
        </w:rPr>
        <w:t>重车转向架竖向偏移量</w:t>
      </w:r>
    </w:p>
    <w:p w14:paraId="32D87B9B" w14:textId="271EFEF0" w:rsidR="002B733E" w:rsidRPr="00FD50F6" w:rsidRDefault="002B733E" w:rsidP="002B733E">
      <w:pPr>
        <w:pStyle w:val="8"/>
        <w:ind w:firstLine="480"/>
      </w:pPr>
      <w:r w:rsidRPr="00FD50F6">
        <w:rPr>
          <w:noProof/>
          <w:position w:val="-32"/>
        </w:rPr>
        <w:drawing>
          <wp:inline distT="0" distB="0" distL="0" distR="0" wp14:anchorId="75A79003" wp14:editId="4BD435C1">
            <wp:extent cx="4470400" cy="431800"/>
            <wp:effectExtent l="0" t="0" r="635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70400" cy="431800"/>
                    </a:xfrm>
                    <a:prstGeom prst="rect">
                      <a:avLst/>
                    </a:prstGeom>
                    <a:noFill/>
                    <a:ln>
                      <a:noFill/>
                    </a:ln>
                  </pic:spPr>
                </pic:pic>
              </a:graphicData>
            </a:graphic>
          </wp:inline>
        </w:drawing>
      </w:r>
      <w:r w:rsidRPr="00FD50F6">
        <w:rPr>
          <w:rFonts w:hint="eastAsia"/>
        </w:rPr>
        <w:t>（</w:t>
      </w:r>
      <w:r w:rsidRPr="00FD50F6">
        <w:rPr>
          <w:rFonts w:hint="eastAsia"/>
        </w:rPr>
        <w:t>A.2.14</w:t>
      </w:r>
      <w:r w:rsidRPr="00FD50F6">
        <w:rPr>
          <w:rFonts w:hint="eastAsia"/>
        </w:rPr>
        <w:t>）</w:t>
      </w:r>
    </w:p>
    <w:p w14:paraId="360AC998" w14:textId="77777777" w:rsidR="002B733E" w:rsidRPr="00FD50F6" w:rsidRDefault="002B733E" w:rsidP="002B733E">
      <w:pPr>
        <w:pStyle w:val="30"/>
        <w:numPr>
          <w:ilvl w:val="0"/>
          <w:numId w:val="0"/>
        </w:numPr>
      </w:pPr>
      <w:r w:rsidRPr="00FD50F6">
        <w:rPr>
          <w:rFonts w:hint="eastAsia"/>
        </w:rPr>
        <w:t xml:space="preserve">A.2.4 </w:t>
      </w:r>
      <w:r w:rsidRPr="00FD50F6">
        <w:rPr>
          <w:rFonts w:hint="eastAsia"/>
        </w:rPr>
        <w:t>转向架构架车辆限界计算公式</w:t>
      </w:r>
    </w:p>
    <w:p w14:paraId="56E48F5A" w14:textId="77777777" w:rsidR="002B733E" w:rsidRPr="00FD50F6" w:rsidRDefault="002B733E" w:rsidP="002B733E">
      <w:pPr>
        <w:pStyle w:val="8"/>
        <w:ind w:firstLine="480"/>
      </w:pPr>
      <w:r w:rsidRPr="00FD50F6">
        <w:rPr>
          <w:rFonts w:hint="eastAsia"/>
        </w:rPr>
        <w:t xml:space="preserve">1 </w:t>
      </w:r>
      <w:r w:rsidRPr="00FD50F6">
        <w:rPr>
          <w:rFonts w:hint="eastAsia"/>
        </w:rPr>
        <w:t>横向偏移量</w:t>
      </w:r>
    </w:p>
    <w:p w14:paraId="195C664F" w14:textId="77777777" w:rsidR="002B733E" w:rsidRPr="00FD50F6" w:rsidRDefault="002B733E" w:rsidP="002B733E">
      <w:pPr>
        <w:pStyle w:val="8"/>
        <w:ind w:firstLine="480"/>
      </w:pPr>
      <w:r w:rsidRPr="00FD50F6">
        <w:rPr>
          <w:rFonts w:hint="eastAsia"/>
        </w:rPr>
        <w:t>1</w:t>
      </w:r>
      <w:r w:rsidRPr="00FD50F6">
        <w:rPr>
          <w:rFonts w:hint="eastAsia"/>
        </w:rPr>
        <w:t>）区间和过站横向偏移量</w:t>
      </w:r>
    </w:p>
    <w:p w14:paraId="08CDACC9" w14:textId="1FFA082A" w:rsidR="002B733E" w:rsidRPr="00FD50F6" w:rsidRDefault="002B733E" w:rsidP="002B733E">
      <w:pPr>
        <w:pStyle w:val="8"/>
        <w:ind w:firstLine="480"/>
      </w:pPr>
      <w:r w:rsidRPr="00FD50F6">
        <w:rPr>
          <w:noProof/>
          <w:position w:val="-108"/>
        </w:rPr>
        <w:lastRenderedPageBreak/>
        <w:drawing>
          <wp:inline distT="0" distB="0" distL="0" distR="0" wp14:anchorId="384CBC40" wp14:editId="7D2C1A4D">
            <wp:extent cx="4032250" cy="1301750"/>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32250" cy="1301750"/>
                    </a:xfrm>
                    <a:prstGeom prst="rect">
                      <a:avLst/>
                    </a:prstGeom>
                    <a:noFill/>
                    <a:ln>
                      <a:noFill/>
                    </a:ln>
                  </pic:spPr>
                </pic:pic>
              </a:graphicData>
            </a:graphic>
          </wp:inline>
        </w:drawing>
      </w:r>
      <w:r w:rsidRPr="00FD50F6">
        <w:rPr>
          <w:rFonts w:hint="eastAsia"/>
        </w:rPr>
        <w:t>（</w:t>
      </w:r>
      <w:r w:rsidRPr="00FD50F6">
        <w:rPr>
          <w:rFonts w:hint="eastAsia"/>
        </w:rPr>
        <w:t>A.2.15</w:t>
      </w:r>
      <w:r w:rsidRPr="00FD50F6">
        <w:rPr>
          <w:rFonts w:hint="eastAsia"/>
        </w:rPr>
        <w:t>）</w:t>
      </w:r>
    </w:p>
    <w:p w14:paraId="556A4474" w14:textId="77777777" w:rsidR="002B733E" w:rsidRPr="00FD50F6" w:rsidRDefault="002B733E" w:rsidP="002B733E">
      <w:pPr>
        <w:pStyle w:val="8"/>
        <w:ind w:firstLine="480"/>
      </w:pPr>
      <w:r w:rsidRPr="00FD50F6">
        <w:rPr>
          <w:rFonts w:hint="eastAsia"/>
        </w:rPr>
        <w:t>2</w:t>
      </w:r>
      <w:r w:rsidRPr="00FD50F6">
        <w:rPr>
          <w:rFonts w:hint="eastAsia"/>
        </w:rPr>
        <w:t>）停站横向偏移量</w:t>
      </w:r>
    </w:p>
    <w:p w14:paraId="68D10123" w14:textId="28840269" w:rsidR="002B733E" w:rsidRPr="00FD50F6" w:rsidRDefault="002B733E" w:rsidP="001A4CF3">
      <w:pPr>
        <w:pStyle w:val="8"/>
        <w:ind w:firstLine="480"/>
        <w:jc w:val="right"/>
      </w:pPr>
      <w:r w:rsidRPr="00FD50F6">
        <w:rPr>
          <w:noProof/>
          <w:position w:val="-70"/>
        </w:rPr>
        <w:drawing>
          <wp:inline distT="0" distB="0" distL="0" distR="0" wp14:anchorId="72DEB226" wp14:editId="2E7A6511">
            <wp:extent cx="3460750" cy="882650"/>
            <wp:effectExtent l="0" t="0" r="635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60750" cy="882650"/>
                    </a:xfrm>
                    <a:prstGeom prst="rect">
                      <a:avLst/>
                    </a:prstGeom>
                    <a:noFill/>
                    <a:ln>
                      <a:noFill/>
                    </a:ln>
                  </pic:spPr>
                </pic:pic>
              </a:graphicData>
            </a:graphic>
          </wp:inline>
        </w:drawing>
      </w:r>
      <w:r w:rsidRPr="00FD50F6">
        <w:rPr>
          <w:rFonts w:hint="eastAsia"/>
          <w:position w:val="-70"/>
        </w:rPr>
        <w:t xml:space="preserve">   </w:t>
      </w:r>
      <w:r w:rsidRPr="00FD50F6">
        <w:rPr>
          <w:rFonts w:hint="eastAsia"/>
        </w:rPr>
        <w:t>（</w:t>
      </w:r>
      <w:r w:rsidRPr="00FD50F6">
        <w:rPr>
          <w:rFonts w:hint="eastAsia"/>
        </w:rPr>
        <w:t>A.2.16</w:t>
      </w:r>
      <w:r w:rsidRPr="00FD50F6">
        <w:rPr>
          <w:rFonts w:hint="eastAsia"/>
        </w:rPr>
        <w:t>）</w:t>
      </w:r>
    </w:p>
    <w:p w14:paraId="3525843E" w14:textId="77777777" w:rsidR="002B733E" w:rsidRPr="00FD50F6" w:rsidRDefault="002B733E" w:rsidP="002B733E">
      <w:pPr>
        <w:pStyle w:val="8"/>
        <w:ind w:firstLine="480"/>
      </w:pPr>
      <w:r w:rsidRPr="00FD50F6">
        <w:rPr>
          <w:rFonts w:hint="eastAsia"/>
        </w:rPr>
        <w:t xml:space="preserve">2  </w:t>
      </w:r>
      <w:r w:rsidRPr="00FD50F6">
        <w:rPr>
          <w:rFonts w:hint="eastAsia"/>
        </w:rPr>
        <w:t>重车竖向向下偏移量</w:t>
      </w:r>
    </w:p>
    <w:p w14:paraId="7B4F00E8" w14:textId="3E4A70B8" w:rsidR="002B733E" w:rsidRPr="00FD50F6" w:rsidRDefault="002B733E" w:rsidP="001A4CF3">
      <w:pPr>
        <w:pStyle w:val="8"/>
        <w:ind w:firstLine="480"/>
        <w:jc w:val="right"/>
      </w:pPr>
      <w:r w:rsidRPr="00FD50F6">
        <w:rPr>
          <w:noProof/>
          <w:position w:val="-74"/>
        </w:rPr>
        <w:drawing>
          <wp:inline distT="0" distB="0" distL="0" distR="0" wp14:anchorId="64653FE8" wp14:editId="2662FB2B">
            <wp:extent cx="4502150" cy="9207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02150" cy="920750"/>
                    </a:xfrm>
                    <a:prstGeom prst="rect">
                      <a:avLst/>
                    </a:prstGeom>
                    <a:noFill/>
                    <a:ln>
                      <a:noFill/>
                    </a:ln>
                  </pic:spPr>
                </pic:pic>
              </a:graphicData>
            </a:graphic>
          </wp:inline>
        </w:drawing>
      </w:r>
      <w:r w:rsidRPr="00FD50F6">
        <w:rPr>
          <w:rFonts w:hint="eastAsia"/>
        </w:rPr>
        <w:t>（</w:t>
      </w:r>
      <w:r w:rsidRPr="00FD50F6">
        <w:rPr>
          <w:rFonts w:hint="eastAsia"/>
        </w:rPr>
        <w:t>A.2.17</w:t>
      </w:r>
      <w:r w:rsidRPr="00FD50F6">
        <w:rPr>
          <w:rFonts w:hint="eastAsia"/>
        </w:rPr>
        <w:t>）</w:t>
      </w:r>
    </w:p>
    <w:p w14:paraId="20E2C1F0" w14:textId="77777777" w:rsidR="002B733E" w:rsidRPr="00FD50F6" w:rsidRDefault="002B733E" w:rsidP="002B733E">
      <w:pPr>
        <w:pStyle w:val="30"/>
        <w:numPr>
          <w:ilvl w:val="0"/>
          <w:numId w:val="0"/>
        </w:numPr>
      </w:pPr>
      <w:r w:rsidRPr="00FD50F6">
        <w:rPr>
          <w:rFonts w:hint="eastAsia"/>
        </w:rPr>
        <w:t xml:space="preserve">A.2.5 </w:t>
      </w:r>
      <w:r w:rsidRPr="00FD50F6">
        <w:rPr>
          <w:rFonts w:hint="eastAsia"/>
        </w:rPr>
        <w:t>簧下部分，车辆限界与设备限界相同</w:t>
      </w:r>
    </w:p>
    <w:p w14:paraId="3636DF31" w14:textId="77777777" w:rsidR="002B733E" w:rsidRPr="00FD50F6" w:rsidRDefault="002B733E" w:rsidP="002B733E">
      <w:pPr>
        <w:pStyle w:val="8"/>
        <w:ind w:firstLine="480"/>
      </w:pPr>
      <w:r w:rsidRPr="00FD50F6">
        <w:rPr>
          <w:rFonts w:hint="eastAsia"/>
        </w:rPr>
        <w:t xml:space="preserve">1 </w:t>
      </w:r>
      <w:r w:rsidRPr="00FD50F6">
        <w:rPr>
          <w:rFonts w:hint="eastAsia"/>
        </w:rPr>
        <w:t>横向偏移量</w:t>
      </w:r>
    </w:p>
    <w:p w14:paraId="721D2DD2" w14:textId="1A64D631" w:rsidR="002B733E" w:rsidRPr="00FD50F6" w:rsidRDefault="002B733E" w:rsidP="002B733E">
      <w:pPr>
        <w:pStyle w:val="8"/>
        <w:ind w:firstLine="480"/>
      </w:pPr>
      <w:r w:rsidRPr="00FD50F6">
        <w:rPr>
          <w:noProof/>
          <w:position w:val="-26"/>
        </w:rPr>
        <w:drawing>
          <wp:inline distT="0" distB="0" distL="0" distR="0" wp14:anchorId="1B519AE6" wp14:editId="2E55532E">
            <wp:extent cx="3816350" cy="43180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6350" cy="431800"/>
                    </a:xfrm>
                    <a:prstGeom prst="rect">
                      <a:avLst/>
                    </a:prstGeom>
                    <a:noFill/>
                    <a:ln>
                      <a:noFill/>
                    </a:ln>
                  </pic:spPr>
                </pic:pic>
              </a:graphicData>
            </a:graphic>
          </wp:inline>
        </w:drawing>
      </w:r>
      <w:r w:rsidRPr="00FD50F6">
        <w:rPr>
          <w:rFonts w:hint="eastAsia"/>
          <w:position w:val="-26"/>
        </w:rPr>
        <w:t xml:space="preserve">     </w:t>
      </w:r>
      <w:r w:rsidRPr="00FD50F6">
        <w:rPr>
          <w:rFonts w:hint="eastAsia"/>
        </w:rPr>
        <w:t>（</w:t>
      </w:r>
      <w:r w:rsidRPr="00FD50F6">
        <w:rPr>
          <w:rFonts w:hint="eastAsia"/>
        </w:rPr>
        <w:t>A.2.18</w:t>
      </w:r>
      <w:r w:rsidRPr="00FD50F6">
        <w:rPr>
          <w:rFonts w:hint="eastAsia"/>
        </w:rPr>
        <w:t>）</w:t>
      </w:r>
    </w:p>
    <w:p w14:paraId="6473B504" w14:textId="77777777" w:rsidR="002B733E" w:rsidRPr="00FD50F6" w:rsidRDefault="002B733E" w:rsidP="002B733E">
      <w:pPr>
        <w:pStyle w:val="8"/>
        <w:ind w:firstLine="480"/>
      </w:pPr>
      <w:r w:rsidRPr="00FD50F6">
        <w:rPr>
          <w:rFonts w:hint="eastAsia"/>
        </w:rPr>
        <w:t xml:space="preserve">2 </w:t>
      </w:r>
      <w:r w:rsidRPr="00FD50F6">
        <w:rPr>
          <w:rFonts w:hint="eastAsia"/>
        </w:rPr>
        <w:t>竖向偏移量</w:t>
      </w:r>
    </w:p>
    <w:p w14:paraId="45F451AA" w14:textId="0F03A560" w:rsidR="002B733E" w:rsidRPr="00FD50F6" w:rsidRDefault="002B733E" w:rsidP="002B733E">
      <w:pPr>
        <w:pStyle w:val="8"/>
        <w:ind w:firstLine="480"/>
      </w:pPr>
      <w:r w:rsidRPr="00FD50F6">
        <w:rPr>
          <w:noProof/>
          <w:position w:val="-26"/>
        </w:rPr>
        <w:drawing>
          <wp:inline distT="0" distB="0" distL="0" distR="0" wp14:anchorId="24B02773" wp14:editId="0EA29A3C">
            <wp:extent cx="3079750" cy="431800"/>
            <wp:effectExtent l="0" t="0" r="635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79750" cy="431800"/>
                    </a:xfrm>
                    <a:prstGeom prst="rect">
                      <a:avLst/>
                    </a:prstGeom>
                    <a:noFill/>
                    <a:ln>
                      <a:noFill/>
                    </a:ln>
                  </pic:spPr>
                </pic:pic>
              </a:graphicData>
            </a:graphic>
          </wp:inline>
        </w:drawing>
      </w:r>
      <w:r w:rsidRPr="00FD50F6">
        <w:rPr>
          <w:rFonts w:hint="eastAsia"/>
          <w:position w:val="-26"/>
        </w:rPr>
        <w:t xml:space="preserve">                </w:t>
      </w:r>
      <w:r w:rsidRPr="00FD50F6">
        <w:rPr>
          <w:rFonts w:hint="eastAsia"/>
        </w:rPr>
        <w:t>（</w:t>
      </w:r>
      <w:r w:rsidRPr="00FD50F6">
        <w:rPr>
          <w:rFonts w:hint="eastAsia"/>
        </w:rPr>
        <w:t>A.2.19</w:t>
      </w:r>
      <w:r w:rsidRPr="00FD50F6">
        <w:rPr>
          <w:rFonts w:hint="eastAsia"/>
        </w:rPr>
        <w:t>）</w:t>
      </w:r>
    </w:p>
    <w:p w14:paraId="48EDC039" w14:textId="77777777" w:rsidR="002B733E" w:rsidRPr="00FD50F6" w:rsidRDefault="002B733E" w:rsidP="002B733E">
      <w:pPr>
        <w:pStyle w:val="30"/>
        <w:numPr>
          <w:ilvl w:val="0"/>
          <w:numId w:val="0"/>
        </w:numPr>
      </w:pPr>
      <w:r w:rsidRPr="00FD50F6">
        <w:rPr>
          <w:rFonts w:hint="eastAsia"/>
        </w:rPr>
        <w:t xml:space="preserve">A.2.6 </w:t>
      </w:r>
      <w:r w:rsidRPr="00FD50F6">
        <w:rPr>
          <w:rFonts w:hint="eastAsia"/>
        </w:rPr>
        <w:t>踏面、轮缘</w:t>
      </w:r>
    </w:p>
    <w:p w14:paraId="63F41FE6" w14:textId="77777777" w:rsidR="002B733E" w:rsidRPr="00FD50F6" w:rsidRDefault="002B733E" w:rsidP="002B733E">
      <w:pPr>
        <w:pStyle w:val="8"/>
        <w:ind w:firstLine="480"/>
      </w:pPr>
      <w:r w:rsidRPr="00FD50F6">
        <w:rPr>
          <w:rFonts w:hint="eastAsia"/>
        </w:rPr>
        <w:t xml:space="preserve">1  </w:t>
      </w:r>
      <w:r w:rsidRPr="00FD50F6">
        <w:rPr>
          <w:rFonts w:hint="eastAsia"/>
        </w:rPr>
        <w:t>踏面、轮缘横向偏移量</w:t>
      </w:r>
    </w:p>
    <w:p w14:paraId="2778A88D" w14:textId="0A9E4012" w:rsidR="002B733E" w:rsidRPr="00FD50F6" w:rsidRDefault="002B733E" w:rsidP="002B733E">
      <w:pPr>
        <w:pStyle w:val="8"/>
        <w:ind w:firstLine="480"/>
      </w:pPr>
      <w:r w:rsidRPr="00FD50F6">
        <w:rPr>
          <w:noProof/>
          <w:position w:val="-26"/>
        </w:rPr>
        <w:drawing>
          <wp:inline distT="0" distB="0" distL="0" distR="0" wp14:anchorId="14E61B9B" wp14:editId="77E440FE">
            <wp:extent cx="1727200" cy="431800"/>
            <wp:effectExtent l="0" t="0" r="635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7200" cy="431800"/>
                    </a:xfrm>
                    <a:prstGeom prst="rect">
                      <a:avLst/>
                    </a:prstGeom>
                    <a:noFill/>
                    <a:ln>
                      <a:noFill/>
                    </a:ln>
                  </pic:spPr>
                </pic:pic>
              </a:graphicData>
            </a:graphic>
          </wp:inline>
        </w:drawing>
      </w:r>
      <w:r w:rsidRPr="00FD50F6">
        <w:rPr>
          <w:rFonts w:hint="eastAsia"/>
          <w:position w:val="-26"/>
        </w:rPr>
        <w:t xml:space="preserve">                                 </w:t>
      </w:r>
      <w:r w:rsidRPr="00FD50F6">
        <w:rPr>
          <w:rFonts w:hint="eastAsia"/>
        </w:rPr>
        <w:t>（</w:t>
      </w:r>
      <w:r w:rsidRPr="00FD50F6">
        <w:rPr>
          <w:rFonts w:hint="eastAsia"/>
        </w:rPr>
        <w:t>A.2.20</w:t>
      </w:r>
      <w:r w:rsidRPr="00FD50F6">
        <w:rPr>
          <w:rFonts w:hint="eastAsia"/>
        </w:rPr>
        <w:t>）</w:t>
      </w:r>
    </w:p>
    <w:p w14:paraId="5AE6F593" w14:textId="77777777" w:rsidR="002B733E" w:rsidRPr="00FD50F6" w:rsidRDefault="002B733E" w:rsidP="002B733E">
      <w:pPr>
        <w:pStyle w:val="8"/>
        <w:ind w:firstLine="480"/>
      </w:pPr>
      <w:r w:rsidRPr="00FD50F6">
        <w:rPr>
          <w:rFonts w:hint="eastAsia"/>
        </w:rPr>
        <w:t xml:space="preserve">2  </w:t>
      </w:r>
      <w:r w:rsidRPr="00FD50F6">
        <w:rPr>
          <w:rFonts w:hint="eastAsia"/>
        </w:rPr>
        <w:t>轮缘竖向偏移量</w:t>
      </w:r>
    </w:p>
    <w:p w14:paraId="6967E5C3" w14:textId="080A3428" w:rsidR="002B733E" w:rsidRPr="00FD50F6" w:rsidRDefault="002B733E" w:rsidP="002B733E">
      <w:pPr>
        <w:pStyle w:val="8"/>
        <w:ind w:firstLine="480"/>
      </w:pPr>
      <w:r w:rsidRPr="00FD50F6">
        <w:rPr>
          <w:noProof/>
          <w:position w:val="-26"/>
        </w:rPr>
        <w:drawing>
          <wp:inline distT="0" distB="0" distL="0" distR="0" wp14:anchorId="5ABDBEF5" wp14:editId="4E54032A">
            <wp:extent cx="2216150" cy="43180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16150" cy="431800"/>
                    </a:xfrm>
                    <a:prstGeom prst="rect">
                      <a:avLst/>
                    </a:prstGeom>
                    <a:noFill/>
                    <a:ln>
                      <a:noFill/>
                    </a:ln>
                  </pic:spPr>
                </pic:pic>
              </a:graphicData>
            </a:graphic>
          </wp:inline>
        </w:drawing>
      </w:r>
      <w:r w:rsidRPr="00FD50F6">
        <w:rPr>
          <w:rFonts w:hint="eastAsia"/>
          <w:position w:val="-26"/>
        </w:rPr>
        <w:t xml:space="preserve">                           </w:t>
      </w:r>
      <w:r w:rsidRPr="00FD50F6">
        <w:rPr>
          <w:rFonts w:hint="eastAsia"/>
        </w:rPr>
        <w:t>（</w:t>
      </w:r>
      <w:r w:rsidRPr="00FD50F6">
        <w:rPr>
          <w:rFonts w:hint="eastAsia"/>
        </w:rPr>
        <w:t>A.2.21</w:t>
      </w:r>
      <w:r w:rsidRPr="00FD50F6">
        <w:rPr>
          <w:rFonts w:hint="eastAsia"/>
        </w:rPr>
        <w:t>）</w:t>
      </w:r>
    </w:p>
    <w:p w14:paraId="51E6501E" w14:textId="461834CE" w:rsidR="002B733E" w:rsidRPr="00FD50F6" w:rsidRDefault="002B733E" w:rsidP="002B733E">
      <w:pPr>
        <w:pStyle w:val="8"/>
        <w:ind w:firstLine="480"/>
      </w:pPr>
      <w:r w:rsidRPr="00FD50F6">
        <w:rPr>
          <w:rFonts w:hint="eastAsia"/>
        </w:rPr>
        <w:t>式中：</w:t>
      </w:r>
      <w:r w:rsidRPr="00FD50F6">
        <w:rPr>
          <w:noProof/>
        </w:rPr>
        <w:drawing>
          <wp:inline distT="0" distB="0" distL="0" distR="0" wp14:anchorId="3C5398F1" wp14:editId="49907653">
            <wp:extent cx="196850" cy="1968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FD50F6">
        <w:rPr>
          <w:rFonts w:hint="eastAsia"/>
        </w:rPr>
        <w:t>——踏面磨耗量，取</w:t>
      </w:r>
      <w:r w:rsidRPr="00FD50F6">
        <w:rPr>
          <w:rFonts w:hint="eastAsia"/>
        </w:rPr>
        <w:t>4</w:t>
      </w:r>
      <w:r w:rsidRPr="00FD50F6">
        <w:rPr>
          <w:rFonts w:hint="eastAsia"/>
        </w:rPr>
        <w:t>，不计镟削量</w:t>
      </w:r>
    </w:p>
    <w:p w14:paraId="0B9C666B" w14:textId="77777777" w:rsidR="002B733E" w:rsidRPr="00FD50F6" w:rsidRDefault="002B733E" w:rsidP="002B733E">
      <w:pPr>
        <w:pStyle w:val="8"/>
        <w:ind w:firstLine="480"/>
      </w:pPr>
      <w:r w:rsidRPr="00FD50F6">
        <w:rPr>
          <w:rFonts w:hint="eastAsia"/>
        </w:rPr>
        <w:t xml:space="preserve">3  </w:t>
      </w:r>
      <w:r w:rsidRPr="00FD50F6">
        <w:rPr>
          <w:rFonts w:hint="eastAsia"/>
        </w:rPr>
        <w:t>踏面竖向偏移量</w:t>
      </w:r>
    </w:p>
    <w:p w14:paraId="0A11D058" w14:textId="66A18413" w:rsidR="002B733E" w:rsidRPr="00FD50F6" w:rsidRDefault="002B733E" w:rsidP="002B733E">
      <w:pPr>
        <w:pStyle w:val="8"/>
        <w:ind w:firstLine="480"/>
      </w:pPr>
      <w:r w:rsidRPr="00FD50F6">
        <w:rPr>
          <w:noProof/>
          <w:position w:val="-26"/>
        </w:rPr>
        <w:lastRenderedPageBreak/>
        <w:drawing>
          <wp:inline distT="0" distB="0" distL="0" distR="0" wp14:anchorId="6E1F2A84" wp14:editId="04C076FD">
            <wp:extent cx="1943100" cy="431800"/>
            <wp:effectExtent l="0" t="0" r="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43100" cy="431800"/>
                    </a:xfrm>
                    <a:prstGeom prst="rect">
                      <a:avLst/>
                    </a:prstGeom>
                    <a:noFill/>
                    <a:ln>
                      <a:noFill/>
                    </a:ln>
                  </pic:spPr>
                </pic:pic>
              </a:graphicData>
            </a:graphic>
          </wp:inline>
        </w:drawing>
      </w:r>
      <w:r w:rsidRPr="00FD50F6">
        <w:rPr>
          <w:rFonts w:hint="eastAsia"/>
          <w:position w:val="-26"/>
        </w:rPr>
        <w:t xml:space="preserve">                        </w:t>
      </w:r>
      <w:r w:rsidRPr="00FD50F6">
        <w:rPr>
          <w:rFonts w:hint="eastAsia"/>
        </w:rPr>
        <w:t>（</w:t>
      </w:r>
      <w:r w:rsidRPr="00FD50F6">
        <w:rPr>
          <w:rFonts w:hint="eastAsia"/>
        </w:rPr>
        <w:t>A.2.22</w:t>
      </w:r>
      <w:r w:rsidRPr="00FD50F6">
        <w:rPr>
          <w:rFonts w:hint="eastAsia"/>
        </w:rPr>
        <w:t>）</w:t>
      </w:r>
    </w:p>
    <w:p w14:paraId="68727FA8" w14:textId="77777777" w:rsidR="002B733E" w:rsidRPr="00FD50F6" w:rsidRDefault="002B733E" w:rsidP="002B733E">
      <w:pPr>
        <w:pStyle w:val="30"/>
        <w:numPr>
          <w:ilvl w:val="0"/>
          <w:numId w:val="0"/>
        </w:numPr>
      </w:pPr>
      <w:r w:rsidRPr="00FD50F6">
        <w:rPr>
          <w:rFonts w:hint="eastAsia"/>
        </w:rPr>
        <w:t xml:space="preserve">A.2.7 </w:t>
      </w:r>
      <w:r w:rsidRPr="00FD50F6">
        <w:rPr>
          <w:rFonts w:hint="eastAsia"/>
        </w:rPr>
        <w:t>受流器车辆限界计算</w:t>
      </w:r>
    </w:p>
    <w:p w14:paraId="0B983902" w14:textId="77777777" w:rsidR="002B733E" w:rsidRPr="00FD50F6" w:rsidRDefault="002B733E" w:rsidP="002B733E">
      <w:pPr>
        <w:pStyle w:val="8"/>
        <w:ind w:firstLine="480"/>
      </w:pPr>
      <w:r w:rsidRPr="00FD50F6">
        <w:rPr>
          <w:rFonts w:hint="eastAsia"/>
        </w:rPr>
        <w:t xml:space="preserve">1  </w:t>
      </w:r>
      <w:r w:rsidRPr="00FD50F6">
        <w:rPr>
          <w:rFonts w:hint="eastAsia"/>
        </w:rPr>
        <w:t>横向偏移量计算公式适用于上部授流和下部授流</w:t>
      </w:r>
    </w:p>
    <w:p w14:paraId="69CFC78F" w14:textId="46664234" w:rsidR="002B733E" w:rsidRPr="00FD50F6" w:rsidRDefault="002B733E" w:rsidP="002B733E">
      <w:pPr>
        <w:pStyle w:val="8"/>
        <w:ind w:firstLine="480"/>
      </w:pPr>
      <w:r w:rsidRPr="00FD50F6">
        <w:rPr>
          <w:noProof/>
          <w:position w:val="-12"/>
        </w:rPr>
        <w:drawing>
          <wp:inline distT="0" distB="0" distL="0" distR="0" wp14:anchorId="3CAF0968" wp14:editId="79F4FBA1">
            <wp:extent cx="1016000" cy="1968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6000" cy="196850"/>
                    </a:xfrm>
                    <a:prstGeom prst="rect">
                      <a:avLst/>
                    </a:prstGeom>
                    <a:noFill/>
                    <a:ln>
                      <a:noFill/>
                    </a:ln>
                  </pic:spPr>
                </pic:pic>
              </a:graphicData>
            </a:graphic>
          </wp:inline>
        </w:drawing>
      </w:r>
      <w:r w:rsidRPr="00FD50F6">
        <w:rPr>
          <w:rFonts w:hint="eastAsia"/>
          <w:position w:val="-12"/>
        </w:rPr>
        <w:t xml:space="preserve">                                     </w:t>
      </w:r>
      <w:r w:rsidRPr="00FD50F6">
        <w:rPr>
          <w:rFonts w:hint="eastAsia"/>
        </w:rPr>
        <w:t>（</w:t>
      </w:r>
      <w:r w:rsidRPr="00FD50F6">
        <w:rPr>
          <w:rFonts w:hint="eastAsia"/>
        </w:rPr>
        <w:t>A.2.23</w:t>
      </w:r>
      <w:r w:rsidRPr="00FD50F6">
        <w:rPr>
          <w:rFonts w:hint="eastAsia"/>
        </w:rPr>
        <w:t>）</w:t>
      </w:r>
    </w:p>
    <w:p w14:paraId="63279DE0" w14:textId="12C8410B" w:rsidR="002B733E" w:rsidRPr="00FD50F6" w:rsidRDefault="002B733E" w:rsidP="002B733E">
      <w:pPr>
        <w:pStyle w:val="8"/>
        <w:ind w:firstLine="480"/>
        <w:jc w:val="right"/>
      </w:pPr>
      <w:r w:rsidRPr="00FD50F6">
        <w:rPr>
          <w:noProof/>
          <w:position w:val="-108"/>
        </w:rPr>
        <w:drawing>
          <wp:inline distT="0" distB="0" distL="0" distR="0" wp14:anchorId="2208B393" wp14:editId="754C7F9B">
            <wp:extent cx="5194300" cy="1301750"/>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94300" cy="1301750"/>
                    </a:xfrm>
                    <a:prstGeom prst="rect">
                      <a:avLst/>
                    </a:prstGeom>
                    <a:noFill/>
                    <a:ln>
                      <a:noFill/>
                    </a:ln>
                  </pic:spPr>
                </pic:pic>
              </a:graphicData>
            </a:graphic>
          </wp:inline>
        </w:drawing>
      </w:r>
      <w:r w:rsidRPr="00FD50F6">
        <w:rPr>
          <w:rFonts w:hint="eastAsia"/>
        </w:rPr>
        <w:t>（</w:t>
      </w:r>
      <w:r w:rsidRPr="00FD50F6">
        <w:rPr>
          <w:rFonts w:hint="eastAsia"/>
        </w:rPr>
        <w:t>A.2.24</w:t>
      </w:r>
      <w:r w:rsidRPr="00FD50F6">
        <w:rPr>
          <w:rFonts w:hint="eastAsia"/>
        </w:rPr>
        <w:t>）</w:t>
      </w:r>
    </w:p>
    <w:p w14:paraId="01E08DEB" w14:textId="20D3522D" w:rsidR="002B733E" w:rsidRPr="00FD50F6" w:rsidRDefault="002B733E" w:rsidP="002B733E">
      <w:pPr>
        <w:pStyle w:val="8"/>
        <w:ind w:firstLine="480"/>
      </w:pPr>
      <w:r w:rsidRPr="00FD50F6">
        <w:rPr>
          <w:rFonts w:hint="eastAsia"/>
        </w:rPr>
        <w:t>式中：</w:t>
      </w:r>
      <w:r w:rsidRPr="00FD50F6">
        <w:rPr>
          <w:noProof/>
          <w:position w:val="-28"/>
        </w:rPr>
        <w:drawing>
          <wp:inline distT="0" distB="0" distL="0" distR="0" wp14:anchorId="42DDCB3F" wp14:editId="1BD04AD3">
            <wp:extent cx="717550" cy="43180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7550" cy="431800"/>
                    </a:xfrm>
                    <a:prstGeom prst="rect">
                      <a:avLst/>
                    </a:prstGeom>
                    <a:noFill/>
                    <a:ln>
                      <a:noFill/>
                    </a:ln>
                  </pic:spPr>
                </pic:pic>
              </a:graphicData>
            </a:graphic>
          </wp:inline>
        </w:drawing>
      </w:r>
    </w:p>
    <w:p w14:paraId="1EB1274C" w14:textId="77777777" w:rsidR="002B733E" w:rsidRPr="00FD50F6" w:rsidRDefault="002B733E" w:rsidP="002B733E">
      <w:pPr>
        <w:pStyle w:val="8"/>
        <w:ind w:firstLine="480"/>
      </w:pPr>
      <w:r w:rsidRPr="00FD50F6">
        <w:rPr>
          <w:rFonts w:hint="eastAsia"/>
        </w:rPr>
        <w:t xml:space="preserve">2  </w:t>
      </w:r>
      <w:r w:rsidRPr="00FD50F6">
        <w:rPr>
          <w:rFonts w:hint="eastAsia"/>
        </w:rPr>
        <w:t>竖向偏移量计算</w:t>
      </w:r>
    </w:p>
    <w:p w14:paraId="0D3D4790" w14:textId="77777777" w:rsidR="002B733E" w:rsidRPr="00FD50F6" w:rsidRDefault="002B733E" w:rsidP="002B733E">
      <w:pPr>
        <w:pStyle w:val="8"/>
        <w:ind w:firstLine="480"/>
      </w:pPr>
      <w:r w:rsidRPr="00FD50F6">
        <w:rPr>
          <w:rFonts w:hint="eastAsia"/>
        </w:rPr>
        <w:t>1</w:t>
      </w:r>
      <w:r w:rsidRPr="00FD50F6">
        <w:rPr>
          <w:rFonts w:hint="eastAsia"/>
        </w:rPr>
        <w:t>）上部授流</w:t>
      </w:r>
    </w:p>
    <w:p w14:paraId="02EF053B" w14:textId="77777777" w:rsidR="002B733E" w:rsidRPr="00FD50F6" w:rsidRDefault="002B733E" w:rsidP="002B733E">
      <w:pPr>
        <w:pStyle w:val="8"/>
        <w:ind w:firstLine="480"/>
      </w:pPr>
      <w:r w:rsidRPr="00FD50F6">
        <w:rPr>
          <w:rFonts w:hint="eastAsia"/>
        </w:rPr>
        <w:t>(1)</w:t>
      </w:r>
      <w:r w:rsidRPr="00FD50F6">
        <w:rPr>
          <w:rFonts w:hint="eastAsia"/>
        </w:rPr>
        <w:t>工作状态</w:t>
      </w:r>
    </w:p>
    <w:p w14:paraId="26A85877" w14:textId="4F06DCDC" w:rsidR="002B733E" w:rsidRPr="00FD50F6" w:rsidRDefault="002B733E" w:rsidP="002B733E">
      <w:pPr>
        <w:pStyle w:val="8"/>
        <w:ind w:firstLine="480"/>
      </w:pPr>
      <w:r w:rsidRPr="00FD50F6">
        <w:rPr>
          <w:rFonts w:hint="eastAsia"/>
        </w:rPr>
        <w:t>①啮合位：受流器转轴按转轴公差值</w:t>
      </w:r>
      <w:r w:rsidRPr="00FD50F6">
        <w:rPr>
          <w:noProof/>
        </w:rPr>
        <w:drawing>
          <wp:inline distT="0" distB="0" distL="0" distR="0" wp14:anchorId="51CAF63E" wp14:editId="1E26BBFF">
            <wp:extent cx="196850" cy="18415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FD50F6">
        <w:rPr>
          <w:rFonts w:hint="eastAsia"/>
        </w:rPr>
        <w:t>计算；碳滑板工作面按导电轨安装公差值</w:t>
      </w:r>
      <w:r w:rsidRPr="00FD50F6">
        <w:rPr>
          <w:noProof/>
        </w:rPr>
        <w:drawing>
          <wp:inline distT="0" distB="0" distL="0" distR="0" wp14:anchorId="725597DD" wp14:editId="13A5B23E">
            <wp:extent cx="196850" cy="18415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FD50F6">
        <w:rPr>
          <w:rFonts w:hint="eastAsia"/>
        </w:rPr>
        <w:t>计算；</w:t>
      </w:r>
    </w:p>
    <w:p w14:paraId="23569145" w14:textId="77777777" w:rsidR="002B733E" w:rsidRPr="00FD50F6" w:rsidRDefault="002B733E" w:rsidP="002B733E">
      <w:pPr>
        <w:pStyle w:val="8"/>
        <w:ind w:firstLine="480"/>
      </w:pPr>
      <w:r w:rsidRPr="00FD50F6">
        <w:rPr>
          <w:rFonts w:hint="eastAsia"/>
        </w:rPr>
        <w:t>②脱靴位：受流器向上偏移量，脱靴后再上抬量。</w:t>
      </w:r>
    </w:p>
    <w:p w14:paraId="4B0FCBD9" w14:textId="02D97FCD" w:rsidR="002B733E" w:rsidRPr="00FD50F6" w:rsidRDefault="002B733E" w:rsidP="002B733E">
      <w:pPr>
        <w:pStyle w:val="8"/>
        <w:ind w:firstLine="480"/>
      </w:pPr>
      <w:r w:rsidRPr="00FD50F6">
        <w:rPr>
          <w:noProof/>
          <w:position w:val="-12"/>
        </w:rPr>
        <w:drawing>
          <wp:inline distT="0" distB="0" distL="0" distR="0" wp14:anchorId="58AFF657" wp14:editId="66C3DBF0">
            <wp:extent cx="946150" cy="19685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6150" cy="196850"/>
                    </a:xfrm>
                    <a:prstGeom prst="rect">
                      <a:avLst/>
                    </a:prstGeom>
                    <a:noFill/>
                    <a:ln>
                      <a:noFill/>
                    </a:ln>
                  </pic:spPr>
                </pic:pic>
              </a:graphicData>
            </a:graphic>
          </wp:inline>
        </w:drawing>
      </w:r>
      <w:r w:rsidRPr="00FD50F6">
        <w:rPr>
          <w:rFonts w:hint="eastAsia"/>
          <w:position w:val="-12"/>
        </w:rPr>
        <w:t xml:space="preserve">                                            </w:t>
      </w:r>
      <w:r w:rsidRPr="00FD50F6">
        <w:rPr>
          <w:rFonts w:hint="eastAsia"/>
        </w:rPr>
        <w:t>（</w:t>
      </w:r>
      <w:r w:rsidRPr="00FD50F6">
        <w:rPr>
          <w:rFonts w:hint="eastAsia"/>
        </w:rPr>
        <w:t>A.2.25</w:t>
      </w:r>
      <w:r w:rsidRPr="00FD50F6">
        <w:rPr>
          <w:rFonts w:hint="eastAsia"/>
        </w:rPr>
        <w:t>）</w:t>
      </w:r>
    </w:p>
    <w:p w14:paraId="380C1E1F" w14:textId="5CF54617" w:rsidR="002B733E" w:rsidRPr="00FD50F6" w:rsidRDefault="002B733E" w:rsidP="002B733E">
      <w:pPr>
        <w:pStyle w:val="8"/>
        <w:ind w:firstLine="480"/>
      </w:pPr>
      <w:r w:rsidRPr="00FD50F6">
        <w:rPr>
          <w:noProof/>
          <w:position w:val="-74"/>
        </w:rPr>
        <w:drawing>
          <wp:inline distT="0" distB="0" distL="0" distR="0" wp14:anchorId="718A4796" wp14:editId="4CDD32DE">
            <wp:extent cx="4470400" cy="92075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0400" cy="920750"/>
                    </a:xfrm>
                    <a:prstGeom prst="rect">
                      <a:avLst/>
                    </a:prstGeom>
                    <a:noFill/>
                    <a:ln>
                      <a:noFill/>
                    </a:ln>
                  </pic:spPr>
                </pic:pic>
              </a:graphicData>
            </a:graphic>
          </wp:inline>
        </w:drawing>
      </w:r>
      <w:r w:rsidRPr="00FD50F6">
        <w:rPr>
          <w:rFonts w:hint="eastAsia"/>
        </w:rPr>
        <w:t>（</w:t>
      </w:r>
      <w:r w:rsidRPr="00FD50F6">
        <w:rPr>
          <w:rFonts w:hint="eastAsia"/>
        </w:rPr>
        <w:t>A.2.26</w:t>
      </w:r>
      <w:r w:rsidRPr="00FD50F6">
        <w:rPr>
          <w:rFonts w:hint="eastAsia"/>
        </w:rPr>
        <w:t>）</w:t>
      </w:r>
    </w:p>
    <w:p w14:paraId="43EC6061" w14:textId="77777777" w:rsidR="002B733E" w:rsidRPr="00FD50F6" w:rsidRDefault="002B733E" w:rsidP="002B733E">
      <w:pPr>
        <w:pStyle w:val="8"/>
        <w:ind w:firstLine="480"/>
      </w:pPr>
      <w:r w:rsidRPr="00FD50F6">
        <w:rPr>
          <w:rFonts w:hint="eastAsia"/>
        </w:rPr>
        <w:t>(2)</w:t>
      </w:r>
      <w:r w:rsidRPr="00FD50F6">
        <w:rPr>
          <w:rFonts w:hint="eastAsia"/>
        </w:rPr>
        <w:t>非工作状态</w:t>
      </w:r>
    </w:p>
    <w:p w14:paraId="5E3A5043" w14:textId="77777777" w:rsidR="002B733E" w:rsidRPr="00FD50F6" w:rsidRDefault="002B733E" w:rsidP="002B733E">
      <w:pPr>
        <w:pStyle w:val="8"/>
        <w:ind w:firstLine="480"/>
      </w:pPr>
      <w:r w:rsidRPr="00FD50F6">
        <w:rPr>
          <w:rFonts w:hint="eastAsia"/>
        </w:rPr>
        <w:t>①</w:t>
      </w:r>
      <w:r w:rsidRPr="00FD50F6">
        <w:rPr>
          <w:rFonts w:hint="eastAsia"/>
        </w:rPr>
        <w:t xml:space="preserve"> </w:t>
      </w:r>
      <w:r w:rsidRPr="00FD50F6">
        <w:rPr>
          <w:rFonts w:hint="eastAsia"/>
        </w:rPr>
        <w:t>受流器向上偏移量按脱靴工况考虑见公式（</w:t>
      </w:r>
      <w:r w:rsidRPr="00FD50F6">
        <w:rPr>
          <w:rFonts w:hint="eastAsia"/>
        </w:rPr>
        <w:t>25</w:t>
      </w:r>
      <w:r w:rsidRPr="00FD50F6">
        <w:rPr>
          <w:rFonts w:hint="eastAsia"/>
        </w:rPr>
        <w:t>）、（</w:t>
      </w:r>
      <w:r w:rsidRPr="00FD50F6">
        <w:rPr>
          <w:rFonts w:hint="eastAsia"/>
        </w:rPr>
        <w:t>26</w:t>
      </w:r>
      <w:r w:rsidRPr="00FD50F6">
        <w:rPr>
          <w:rFonts w:hint="eastAsia"/>
        </w:rPr>
        <w:t>）；</w:t>
      </w:r>
    </w:p>
    <w:p w14:paraId="7E26112C" w14:textId="77777777" w:rsidR="002B733E" w:rsidRPr="00FD50F6" w:rsidRDefault="002B733E" w:rsidP="002B733E">
      <w:pPr>
        <w:pStyle w:val="8"/>
        <w:ind w:firstLine="480"/>
      </w:pPr>
      <w:r w:rsidRPr="00FD50F6">
        <w:rPr>
          <w:rFonts w:hint="eastAsia"/>
        </w:rPr>
        <w:t>②</w:t>
      </w:r>
      <w:r w:rsidRPr="00FD50F6">
        <w:rPr>
          <w:rFonts w:hint="eastAsia"/>
        </w:rPr>
        <w:t xml:space="preserve"> </w:t>
      </w:r>
      <w:r w:rsidRPr="00FD50F6">
        <w:rPr>
          <w:rFonts w:hint="eastAsia"/>
        </w:rPr>
        <w:t>受流器向下偏移量。</w:t>
      </w:r>
    </w:p>
    <w:p w14:paraId="156DC856" w14:textId="1A334356" w:rsidR="002B733E" w:rsidRPr="00FD50F6" w:rsidRDefault="002B733E" w:rsidP="002B733E">
      <w:pPr>
        <w:pStyle w:val="8"/>
        <w:ind w:firstLine="480"/>
      </w:pPr>
      <w:r w:rsidRPr="00FD50F6">
        <w:rPr>
          <w:noProof/>
          <w:position w:val="-12"/>
        </w:rPr>
        <w:drawing>
          <wp:inline distT="0" distB="0" distL="0" distR="0" wp14:anchorId="60E9397B" wp14:editId="607240F8">
            <wp:extent cx="971550" cy="1968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196850"/>
                    </a:xfrm>
                    <a:prstGeom prst="rect">
                      <a:avLst/>
                    </a:prstGeom>
                    <a:noFill/>
                    <a:ln>
                      <a:noFill/>
                    </a:ln>
                  </pic:spPr>
                </pic:pic>
              </a:graphicData>
            </a:graphic>
          </wp:inline>
        </w:drawing>
      </w:r>
      <w:r w:rsidRPr="00FD50F6">
        <w:rPr>
          <w:rFonts w:hint="eastAsia"/>
          <w:position w:val="-12"/>
        </w:rPr>
        <w:t xml:space="preserve">                                            </w:t>
      </w:r>
      <w:r w:rsidRPr="00FD50F6">
        <w:rPr>
          <w:rFonts w:hint="eastAsia"/>
        </w:rPr>
        <w:t>（</w:t>
      </w:r>
      <w:r w:rsidRPr="00FD50F6">
        <w:rPr>
          <w:rFonts w:hint="eastAsia"/>
        </w:rPr>
        <w:t>A.2.27</w:t>
      </w:r>
      <w:r w:rsidRPr="00FD50F6">
        <w:rPr>
          <w:rFonts w:hint="eastAsia"/>
        </w:rPr>
        <w:t>）</w:t>
      </w:r>
    </w:p>
    <w:p w14:paraId="2FAB4EC1" w14:textId="5B7A6A45" w:rsidR="002B733E" w:rsidRPr="00FD50F6" w:rsidRDefault="002B733E" w:rsidP="001A4CF3">
      <w:pPr>
        <w:pStyle w:val="8"/>
        <w:ind w:leftChars="166" w:left="638" w:hangingChars="100" w:hanging="240"/>
        <w:jc w:val="right"/>
      </w:pPr>
      <w:r w:rsidRPr="00FD50F6">
        <w:rPr>
          <w:noProof/>
          <w:position w:val="-74"/>
        </w:rPr>
        <w:lastRenderedPageBreak/>
        <w:drawing>
          <wp:inline distT="0" distB="0" distL="0" distR="0" wp14:anchorId="6E4F046A" wp14:editId="62CC8796">
            <wp:extent cx="4502150" cy="9207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02150" cy="920750"/>
                    </a:xfrm>
                    <a:prstGeom prst="rect">
                      <a:avLst/>
                    </a:prstGeom>
                    <a:noFill/>
                    <a:ln>
                      <a:noFill/>
                    </a:ln>
                  </pic:spPr>
                </pic:pic>
              </a:graphicData>
            </a:graphic>
          </wp:inline>
        </w:drawing>
      </w:r>
      <w:r w:rsidRPr="00FD50F6">
        <w:rPr>
          <w:rFonts w:hint="eastAsia"/>
          <w:position w:val="-74"/>
        </w:rPr>
        <w:t xml:space="preserve"> </w:t>
      </w:r>
      <w:r w:rsidRPr="00FD50F6">
        <w:rPr>
          <w:rFonts w:hint="eastAsia"/>
        </w:rPr>
        <w:t>（</w:t>
      </w:r>
      <w:r w:rsidRPr="00FD50F6">
        <w:rPr>
          <w:rFonts w:hint="eastAsia"/>
        </w:rPr>
        <w:t>A.2.28</w:t>
      </w:r>
      <w:r w:rsidRPr="00FD50F6">
        <w:rPr>
          <w:rFonts w:hint="eastAsia"/>
        </w:rPr>
        <w:t>）</w:t>
      </w:r>
    </w:p>
    <w:p w14:paraId="59F90ED7" w14:textId="6A0C4083" w:rsidR="002B733E" w:rsidRPr="00FD50F6" w:rsidRDefault="002B733E" w:rsidP="002B733E">
      <w:pPr>
        <w:pStyle w:val="8"/>
        <w:ind w:firstLine="480"/>
      </w:pPr>
      <w:r w:rsidRPr="00FD50F6">
        <w:rPr>
          <w:rFonts w:hint="eastAsia"/>
        </w:rPr>
        <w:t>式中：</w:t>
      </w:r>
      <w:r w:rsidRPr="00FD50F6">
        <w:rPr>
          <w:noProof/>
          <w:position w:val="-12"/>
        </w:rPr>
        <w:drawing>
          <wp:inline distT="0" distB="0" distL="0" distR="0" wp14:anchorId="68694374" wp14:editId="2D607F9C">
            <wp:extent cx="241300" cy="241300"/>
            <wp:effectExtent l="0" t="0" r="635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FD50F6">
        <w:rPr>
          <w:rFonts w:hint="eastAsia"/>
        </w:rPr>
        <w:t>——不计踏面镟削量，只考虑踏面磨损量，取</w:t>
      </w:r>
      <w:r w:rsidRPr="00FD50F6">
        <w:rPr>
          <w:noProof/>
          <w:position w:val="-12"/>
        </w:rPr>
        <w:drawing>
          <wp:inline distT="0" distB="0" distL="0" distR="0" wp14:anchorId="294D972D" wp14:editId="69260663">
            <wp:extent cx="482600" cy="24130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FD50F6">
        <w:rPr>
          <w:rFonts w:hint="eastAsia"/>
        </w:rPr>
        <w:t>（踏面镟削后必须调整转轴中心线高度恢复至额定高度）。</w:t>
      </w:r>
    </w:p>
    <w:p w14:paraId="42BB27F2" w14:textId="77777777" w:rsidR="002B733E" w:rsidRPr="00FD50F6" w:rsidRDefault="002B733E" w:rsidP="002B733E">
      <w:pPr>
        <w:pStyle w:val="8"/>
        <w:ind w:firstLine="480"/>
      </w:pPr>
      <w:r w:rsidRPr="00FD50F6">
        <w:rPr>
          <w:rFonts w:hint="eastAsia"/>
        </w:rPr>
        <w:t>2)</w:t>
      </w:r>
      <w:r w:rsidRPr="00FD50F6">
        <w:rPr>
          <w:rFonts w:hint="eastAsia"/>
        </w:rPr>
        <w:t>下部授流</w:t>
      </w:r>
    </w:p>
    <w:p w14:paraId="20F84097" w14:textId="77777777" w:rsidR="002B733E" w:rsidRPr="00FD50F6" w:rsidRDefault="002B733E" w:rsidP="002B733E">
      <w:pPr>
        <w:pStyle w:val="8"/>
        <w:ind w:firstLine="480"/>
      </w:pPr>
      <w:r w:rsidRPr="00FD50F6">
        <w:rPr>
          <w:rFonts w:hint="eastAsia"/>
        </w:rPr>
        <w:t>(1)</w:t>
      </w:r>
      <w:r w:rsidRPr="00FD50F6">
        <w:rPr>
          <w:rFonts w:hint="eastAsia"/>
        </w:rPr>
        <w:t>工作状态</w:t>
      </w:r>
    </w:p>
    <w:p w14:paraId="6ED293E1" w14:textId="1CDEA275" w:rsidR="002B733E" w:rsidRPr="00FD50F6" w:rsidRDefault="002B733E" w:rsidP="002B733E">
      <w:pPr>
        <w:pStyle w:val="8"/>
        <w:ind w:firstLine="480"/>
      </w:pPr>
      <w:r w:rsidRPr="00FD50F6">
        <w:rPr>
          <w:rFonts w:hint="eastAsia"/>
        </w:rPr>
        <w:t>①啮合位：受流器转轴按转轴公差值</w:t>
      </w:r>
      <w:r w:rsidRPr="00FD50F6">
        <w:rPr>
          <w:rFonts w:hint="eastAsia"/>
        </w:rPr>
        <w:t>(</w:t>
      </w:r>
      <w:r w:rsidRPr="00FD50F6">
        <w:rPr>
          <w:noProof/>
        </w:rPr>
        <w:drawing>
          <wp:inline distT="0" distB="0" distL="0" distR="0" wp14:anchorId="20AD719E" wp14:editId="2FAD0D29">
            <wp:extent cx="196850" cy="1841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FD50F6">
        <w:rPr>
          <w:rFonts w:hint="eastAsia"/>
        </w:rPr>
        <w:t>)</w:t>
      </w:r>
      <w:r w:rsidRPr="00FD50F6">
        <w:rPr>
          <w:rFonts w:hint="eastAsia"/>
        </w:rPr>
        <w:t>计算；碳滑板工作面按导电轨安装公差值</w:t>
      </w:r>
      <w:r w:rsidRPr="00FD50F6">
        <w:rPr>
          <w:rFonts w:hint="eastAsia"/>
        </w:rPr>
        <w:t>(</w:t>
      </w:r>
      <w:r w:rsidRPr="00FD50F6">
        <w:rPr>
          <w:noProof/>
        </w:rPr>
        <w:drawing>
          <wp:inline distT="0" distB="0" distL="0" distR="0" wp14:anchorId="38EC6CD3" wp14:editId="0BCFDA20">
            <wp:extent cx="196850" cy="1841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FD50F6">
        <w:rPr>
          <w:rFonts w:hint="eastAsia"/>
        </w:rPr>
        <w:t>)</w:t>
      </w:r>
      <w:r w:rsidRPr="00FD50F6">
        <w:rPr>
          <w:rFonts w:hint="eastAsia"/>
        </w:rPr>
        <w:t>计算；</w:t>
      </w:r>
    </w:p>
    <w:p w14:paraId="1F801354" w14:textId="77777777" w:rsidR="002B733E" w:rsidRPr="00FD50F6" w:rsidRDefault="002B733E" w:rsidP="002B733E">
      <w:pPr>
        <w:pStyle w:val="8"/>
        <w:ind w:firstLine="480"/>
      </w:pPr>
      <w:r w:rsidRPr="00FD50F6">
        <w:rPr>
          <w:rFonts w:hint="eastAsia"/>
        </w:rPr>
        <w:t>②脱靴位：受流器向下偏移量见公式（</w:t>
      </w:r>
      <w:r w:rsidRPr="00FD50F6">
        <w:rPr>
          <w:rFonts w:hint="eastAsia"/>
        </w:rPr>
        <w:t>27</w:t>
      </w:r>
      <w:r w:rsidRPr="00FD50F6">
        <w:rPr>
          <w:rFonts w:hint="eastAsia"/>
        </w:rPr>
        <w:t>）、（</w:t>
      </w:r>
      <w:r w:rsidRPr="00FD50F6">
        <w:rPr>
          <w:rFonts w:hint="eastAsia"/>
        </w:rPr>
        <w:t>28</w:t>
      </w:r>
      <w:r w:rsidRPr="00FD50F6">
        <w:rPr>
          <w:rFonts w:hint="eastAsia"/>
        </w:rPr>
        <w:t>）。</w:t>
      </w:r>
    </w:p>
    <w:p w14:paraId="0F724945" w14:textId="77777777" w:rsidR="002B733E" w:rsidRPr="00FD50F6" w:rsidRDefault="002B733E" w:rsidP="002B733E">
      <w:pPr>
        <w:pStyle w:val="8"/>
        <w:ind w:firstLine="480"/>
      </w:pPr>
      <w:r w:rsidRPr="00FD50F6">
        <w:rPr>
          <w:rFonts w:hint="eastAsia"/>
        </w:rPr>
        <w:t>(2)</w:t>
      </w:r>
      <w:r w:rsidRPr="00FD50F6">
        <w:rPr>
          <w:rFonts w:hint="eastAsia"/>
        </w:rPr>
        <w:t>非工作状态</w:t>
      </w:r>
    </w:p>
    <w:p w14:paraId="2E71A80C" w14:textId="77777777" w:rsidR="002B733E" w:rsidRPr="00FD50F6" w:rsidRDefault="002B733E" w:rsidP="002B733E">
      <w:pPr>
        <w:pStyle w:val="8"/>
        <w:ind w:firstLine="480"/>
      </w:pPr>
      <w:r w:rsidRPr="00FD50F6">
        <w:rPr>
          <w:rFonts w:hint="eastAsia"/>
        </w:rPr>
        <w:t>①受流器脱靴位向上偏移量见公式（</w:t>
      </w:r>
      <w:r w:rsidRPr="00FD50F6">
        <w:rPr>
          <w:rFonts w:hint="eastAsia"/>
        </w:rPr>
        <w:t>25</w:t>
      </w:r>
      <w:r w:rsidRPr="00FD50F6">
        <w:rPr>
          <w:rFonts w:hint="eastAsia"/>
        </w:rPr>
        <w:t>）、（</w:t>
      </w:r>
      <w:r w:rsidRPr="00FD50F6">
        <w:rPr>
          <w:rFonts w:hint="eastAsia"/>
        </w:rPr>
        <w:t>26</w:t>
      </w:r>
      <w:r w:rsidRPr="00FD50F6">
        <w:rPr>
          <w:rFonts w:hint="eastAsia"/>
        </w:rPr>
        <w:t>）；</w:t>
      </w:r>
    </w:p>
    <w:p w14:paraId="59488EE1" w14:textId="77777777" w:rsidR="002B733E" w:rsidRPr="00FD50F6" w:rsidRDefault="002B733E" w:rsidP="002B733E">
      <w:pPr>
        <w:pStyle w:val="8"/>
        <w:ind w:firstLine="480"/>
      </w:pPr>
      <w:r w:rsidRPr="00FD50F6">
        <w:rPr>
          <w:rFonts w:hint="eastAsia"/>
        </w:rPr>
        <w:t>②受流器脱靴位向下偏移量见公式（</w:t>
      </w:r>
      <w:r w:rsidRPr="00FD50F6">
        <w:rPr>
          <w:rFonts w:hint="eastAsia"/>
        </w:rPr>
        <w:t>27</w:t>
      </w:r>
      <w:r w:rsidRPr="00FD50F6">
        <w:rPr>
          <w:rFonts w:hint="eastAsia"/>
        </w:rPr>
        <w:t>）、（</w:t>
      </w:r>
      <w:r w:rsidRPr="00FD50F6">
        <w:rPr>
          <w:rFonts w:hint="eastAsia"/>
        </w:rPr>
        <w:t>28</w:t>
      </w:r>
      <w:r w:rsidRPr="00FD50F6">
        <w:rPr>
          <w:rFonts w:hint="eastAsia"/>
        </w:rPr>
        <w:t>）。</w:t>
      </w:r>
    </w:p>
    <w:p w14:paraId="4F9E2242" w14:textId="77777777" w:rsidR="002B733E" w:rsidRPr="00FD50F6" w:rsidRDefault="002B733E" w:rsidP="002B733E">
      <w:pPr>
        <w:pStyle w:val="8"/>
        <w:ind w:firstLine="480"/>
      </w:pPr>
      <w:r w:rsidRPr="00FD50F6">
        <w:rPr>
          <w:rFonts w:hint="eastAsia"/>
        </w:rPr>
        <w:t xml:space="preserve">A.2.8  </w:t>
      </w:r>
      <w:r w:rsidRPr="00FD50F6">
        <w:rPr>
          <w:rFonts w:hint="eastAsia"/>
        </w:rPr>
        <w:t>转向架构架和受流器设备限界计算公式</w:t>
      </w:r>
    </w:p>
    <w:p w14:paraId="009513A0" w14:textId="77777777" w:rsidR="002B733E" w:rsidRPr="00FD50F6" w:rsidRDefault="002B733E" w:rsidP="001A4CF3">
      <w:pPr>
        <w:pStyle w:val="8"/>
        <w:ind w:firstLine="480"/>
        <w:jc w:val="right"/>
      </w:pPr>
      <w:r w:rsidRPr="00FD50F6">
        <w:rPr>
          <w:rFonts w:hint="eastAsia"/>
        </w:rPr>
        <w:t>Δ</w:t>
      </w:r>
      <w:r w:rsidRPr="00FD50F6">
        <w:rPr>
          <w:rFonts w:hint="eastAsia"/>
          <w:i/>
        </w:rPr>
        <w:t>Y</w:t>
      </w:r>
      <w:r w:rsidRPr="00FD50F6">
        <w:rPr>
          <w:rFonts w:hint="eastAsia"/>
        </w:rPr>
        <w:t>=</w:t>
      </w:r>
      <w:r w:rsidRPr="00FD50F6">
        <w:rPr>
          <w:rFonts w:hint="eastAsia"/>
        </w:rPr>
        <w:t>Δ</w:t>
      </w:r>
      <w:r w:rsidRPr="00FD50F6">
        <w:rPr>
          <w:rFonts w:hint="eastAsia"/>
          <w:i/>
        </w:rPr>
        <w:t>z</w:t>
      </w:r>
      <w:r w:rsidRPr="00FD50F6">
        <w:rPr>
          <w:rFonts w:hint="eastAsia"/>
          <w:vertAlign w:val="subscript"/>
        </w:rPr>
        <w:t>dp</w:t>
      </w:r>
      <w:r w:rsidRPr="00FD50F6">
        <w:rPr>
          <w:rFonts w:hint="eastAsia"/>
        </w:rPr>
        <w:t>-</w:t>
      </w:r>
      <w:r w:rsidRPr="00FD50F6">
        <w:rPr>
          <w:rFonts w:hint="eastAsia"/>
          <w:i/>
        </w:rPr>
        <w:t>f</w:t>
      </w:r>
      <w:r w:rsidRPr="00FD50F6">
        <w:rPr>
          <w:rFonts w:hint="eastAsia"/>
          <w:vertAlign w:val="subscript"/>
        </w:rPr>
        <w:t xml:space="preserve">1                               </w:t>
      </w:r>
      <w:r w:rsidRPr="00FD50F6">
        <w:rPr>
          <w:rFonts w:hint="eastAsia"/>
        </w:rPr>
        <w:t>（</w:t>
      </w:r>
      <w:r w:rsidRPr="00FD50F6">
        <w:rPr>
          <w:rFonts w:hint="eastAsia"/>
        </w:rPr>
        <w:t>A.2.29</w:t>
      </w:r>
      <w:r w:rsidRPr="00FD50F6">
        <w:rPr>
          <w:rFonts w:hint="eastAsia"/>
        </w:rPr>
        <w:t>）</w:t>
      </w:r>
    </w:p>
    <w:p w14:paraId="721E85D6" w14:textId="77777777" w:rsidR="002B733E" w:rsidRPr="00FD50F6" w:rsidRDefault="002B733E" w:rsidP="002B733E">
      <w:pPr>
        <w:widowControl/>
        <w:spacing w:line="240" w:lineRule="auto"/>
        <w:jc w:val="left"/>
      </w:pPr>
      <w:r w:rsidRPr="00FD50F6">
        <w:br w:type="page"/>
      </w:r>
    </w:p>
    <w:p w14:paraId="18016319" w14:textId="77777777" w:rsidR="002B733E" w:rsidRPr="00FD50F6" w:rsidRDefault="002B733E" w:rsidP="002B733E">
      <w:pPr>
        <w:pStyle w:val="12"/>
        <w:numPr>
          <w:ilvl w:val="0"/>
          <w:numId w:val="0"/>
        </w:numPr>
      </w:pPr>
      <w:bookmarkStart w:id="1357" w:name="_Toc112830900"/>
      <w:r w:rsidRPr="00FD50F6">
        <w:rPr>
          <w:rFonts w:hint="eastAsia"/>
        </w:rPr>
        <w:lastRenderedPageBreak/>
        <w:t>附录</w:t>
      </w:r>
      <w:r w:rsidRPr="00FD50F6">
        <w:rPr>
          <w:rFonts w:hint="eastAsia"/>
        </w:rPr>
        <w:t>B  A</w:t>
      </w:r>
      <w:r w:rsidRPr="00FD50F6">
        <w:rPr>
          <w:rFonts w:hint="eastAsia"/>
          <w:vertAlign w:val="subscript"/>
        </w:rPr>
        <w:t>1</w:t>
      </w:r>
      <w:r w:rsidRPr="00FD50F6">
        <w:rPr>
          <w:rFonts w:hint="eastAsia"/>
        </w:rPr>
        <w:t>型车限界</w:t>
      </w:r>
      <w:bookmarkEnd w:id="1341"/>
      <w:bookmarkEnd w:id="1342"/>
      <w:bookmarkEnd w:id="1343"/>
      <w:bookmarkEnd w:id="1344"/>
      <w:bookmarkEnd w:id="1345"/>
      <w:bookmarkEnd w:id="1346"/>
      <w:bookmarkEnd w:id="1347"/>
      <w:bookmarkEnd w:id="1348"/>
      <w:bookmarkEnd w:id="1349"/>
      <w:bookmarkEnd w:id="1350"/>
      <w:bookmarkEnd w:id="1357"/>
    </w:p>
    <w:p w14:paraId="08437AF2" w14:textId="031C130C" w:rsidR="002B733E" w:rsidRPr="00FD50F6" w:rsidRDefault="002B733E" w:rsidP="002B733E">
      <w:pPr>
        <w:pStyle w:val="30"/>
        <w:numPr>
          <w:ilvl w:val="0"/>
          <w:numId w:val="0"/>
        </w:numPr>
      </w:pPr>
      <w:r w:rsidRPr="00FD50F6">
        <w:rPr>
          <w:rFonts w:hint="eastAsia"/>
          <w:b/>
        </w:rPr>
        <w:t>B.0.1</w:t>
      </w:r>
      <w:r w:rsidRPr="00FD50F6">
        <w:rPr>
          <w:rFonts w:hint="eastAsia"/>
        </w:rPr>
        <w:t>区间或过站直线地段车辆轮廓线、车辆限界、设备限界（图</w:t>
      </w:r>
      <w:r w:rsidRPr="00FD50F6">
        <w:rPr>
          <w:rFonts w:hint="eastAsia"/>
        </w:rPr>
        <w:t>B.0.</w:t>
      </w:r>
      <w:r w:rsidRPr="00FD50F6">
        <w:t>1</w:t>
      </w:r>
      <w:r w:rsidRPr="00FD50F6">
        <w:rPr>
          <w:rFonts w:hint="eastAsia"/>
        </w:rPr>
        <w:t>）的坐标值应按表</w:t>
      </w:r>
      <w:r w:rsidRPr="00FD50F6">
        <w:rPr>
          <w:rFonts w:hint="eastAsia"/>
        </w:rPr>
        <w:t>B</w:t>
      </w:r>
      <w:r w:rsidRPr="00FD50F6">
        <w:t>.</w:t>
      </w:r>
      <w:r w:rsidRPr="00FD50F6">
        <w:rPr>
          <w:rFonts w:hint="eastAsia"/>
        </w:rPr>
        <w:t>0.</w:t>
      </w:r>
      <w:r w:rsidRPr="00FD50F6">
        <w:t>1-</w:t>
      </w:r>
      <w:r w:rsidRPr="00FD50F6">
        <w:rPr>
          <w:rFonts w:hint="eastAsia"/>
        </w:rPr>
        <w:t>1</w:t>
      </w:r>
      <w:r w:rsidRPr="00FD50F6">
        <w:t>～</w:t>
      </w:r>
      <w:r w:rsidRPr="00FD50F6">
        <w:rPr>
          <w:rFonts w:hint="eastAsia"/>
        </w:rPr>
        <w:t>B</w:t>
      </w:r>
      <w:r w:rsidRPr="00FD50F6">
        <w:t>.</w:t>
      </w:r>
      <w:r w:rsidRPr="00FD50F6">
        <w:rPr>
          <w:rFonts w:hint="eastAsia"/>
        </w:rPr>
        <w:t>0.</w:t>
      </w:r>
      <w:r w:rsidRPr="00FD50F6">
        <w:t>1-</w:t>
      </w:r>
      <w:r w:rsidRPr="00FD50F6">
        <w:rPr>
          <w:rFonts w:hint="eastAsia"/>
        </w:rPr>
        <w:t>7</w:t>
      </w:r>
      <w:r w:rsidRPr="00FD50F6">
        <w:rPr>
          <w:rFonts w:hint="eastAsia"/>
        </w:rPr>
        <w:t>选取。</w:t>
      </w:r>
    </w:p>
    <w:p w14:paraId="1FD0469F" w14:textId="77777777" w:rsidR="002B733E" w:rsidRPr="00FD50F6" w:rsidRDefault="002B733E" w:rsidP="002B733E">
      <w:pPr>
        <w:spacing w:line="240" w:lineRule="auto"/>
        <w:jc w:val="center"/>
        <w:rPr>
          <w:rFonts w:ascii="Calibri" w:hAnsi="Calibri" w:cs="Times New Roman"/>
          <w:sz w:val="21"/>
          <w:szCs w:val="24"/>
        </w:rPr>
      </w:pPr>
      <w:r w:rsidRPr="00FD50F6">
        <w:rPr>
          <w:rFonts w:ascii="Calibri" w:hAnsi="Calibri" w:cs="Times New Roman" w:hint="eastAsia"/>
          <w:noProof/>
          <w:sz w:val="21"/>
          <w:szCs w:val="24"/>
        </w:rPr>
        <w:drawing>
          <wp:inline distT="0" distB="0" distL="0" distR="0" wp14:anchorId="339BB5F3" wp14:editId="779FFFF1">
            <wp:extent cx="5399405" cy="6256020"/>
            <wp:effectExtent l="0" t="0" r="0" b="0"/>
            <wp:docPr id="59" name="图片 5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1"/>
                    <pic:cNvPicPr>
                      <a:picLocks noChangeAspect="1" noChangeArrowheads="1"/>
                    </pic:cNvPicPr>
                  </pic:nvPicPr>
                  <pic:blipFill>
                    <a:blip r:embed="rId111" cstate="print">
                      <a:extLst>
                        <a:ext uri="{28A0092B-C50C-407E-A947-70E740481C1C}">
                          <a14:useLocalDpi xmlns:a14="http://schemas.microsoft.com/office/drawing/2010/main" val="0"/>
                        </a:ext>
                      </a:extLst>
                    </a:blip>
                    <a:srcRect l="21941" t="2739" r="20158" b="2286"/>
                    <a:stretch>
                      <a:fillRect/>
                    </a:stretch>
                  </pic:blipFill>
                  <pic:spPr>
                    <a:xfrm>
                      <a:off x="0" y="0"/>
                      <a:ext cx="5399405" cy="6256020"/>
                    </a:xfrm>
                    <a:prstGeom prst="rect">
                      <a:avLst/>
                    </a:prstGeom>
                    <a:noFill/>
                    <a:ln>
                      <a:noFill/>
                    </a:ln>
                  </pic:spPr>
                </pic:pic>
              </a:graphicData>
            </a:graphic>
          </wp:inline>
        </w:drawing>
      </w:r>
    </w:p>
    <w:p w14:paraId="1431F7CA" w14:textId="77777777" w:rsidR="002B733E" w:rsidRPr="00FD50F6" w:rsidRDefault="002B733E" w:rsidP="002B733E">
      <w:pPr>
        <w:pStyle w:val="6"/>
      </w:pPr>
      <w:r w:rsidRPr="00FD50F6">
        <w:rPr>
          <w:rFonts w:hint="eastAsia"/>
        </w:rPr>
        <w:t>图</w:t>
      </w:r>
      <w:r w:rsidRPr="00FD50F6">
        <w:rPr>
          <w:rFonts w:hint="eastAsia"/>
        </w:rPr>
        <w:t>B.0.1  A</w:t>
      </w:r>
      <w:r w:rsidRPr="00FD50F6">
        <w:rPr>
          <w:rFonts w:hint="eastAsia"/>
          <w:vertAlign w:val="subscript"/>
        </w:rPr>
        <w:t>1</w:t>
      </w:r>
      <w:r w:rsidRPr="00FD50F6">
        <w:rPr>
          <w:rFonts w:hint="eastAsia"/>
        </w:rPr>
        <w:t>型车区间或过站直线地段车辆轮廓线、车辆限界、设备限界</w:t>
      </w:r>
    </w:p>
    <w:p w14:paraId="5BFBB26F" w14:textId="77777777" w:rsidR="002B733E" w:rsidRPr="00FD50F6" w:rsidRDefault="002B733E" w:rsidP="002B733E">
      <w:pPr>
        <w:spacing w:line="240" w:lineRule="auto"/>
        <w:jc w:val="center"/>
        <w:rPr>
          <w:rFonts w:ascii="Calibri" w:hAnsi="Calibri" w:cs="Times New Roman"/>
          <w:sz w:val="21"/>
          <w:szCs w:val="24"/>
        </w:rPr>
      </w:pPr>
      <w:r w:rsidRPr="00FD50F6">
        <w:rPr>
          <w:rFonts w:ascii="Calibri" w:hAnsi="Calibri" w:cs="Times New Roman" w:hint="eastAsia"/>
          <w:sz w:val="21"/>
          <w:szCs w:val="24"/>
        </w:rPr>
        <w:t>a</w:t>
      </w:r>
      <w:r w:rsidRPr="00FD50F6">
        <w:rPr>
          <w:rFonts w:ascii="Calibri" w:hAnsi="Calibri" w:cs="Times New Roman" w:hint="eastAsia"/>
          <w:sz w:val="21"/>
          <w:szCs w:val="24"/>
        </w:rPr>
        <w:t>—车辆轮廓线；</w:t>
      </w:r>
      <w:r w:rsidRPr="00FD50F6">
        <w:rPr>
          <w:rFonts w:ascii="Calibri" w:hAnsi="Calibri" w:cs="Times New Roman"/>
          <w:sz w:val="21"/>
          <w:szCs w:val="24"/>
        </w:rPr>
        <w:t>b</w:t>
      </w:r>
      <w:r w:rsidRPr="00FD50F6">
        <w:rPr>
          <w:rFonts w:ascii="Calibri" w:hAnsi="Calibri" w:cs="Times New Roman" w:hint="eastAsia"/>
          <w:sz w:val="21"/>
          <w:szCs w:val="24"/>
        </w:rPr>
        <w:t>—车辆限界；</w:t>
      </w:r>
      <w:r w:rsidRPr="00FD50F6">
        <w:rPr>
          <w:rFonts w:ascii="Calibri" w:hAnsi="Calibri" w:cs="Times New Roman"/>
          <w:sz w:val="21"/>
          <w:szCs w:val="24"/>
        </w:rPr>
        <w:t>c</w:t>
      </w:r>
      <w:r w:rsidRPr="00FD50F6">
        <w:rPr>
          <w:rFonts w:ascii="Calibri" w:hAnsi="Calibri" w:cs="Times New Roman" w:hint="eastAsia"/>
          <w:sz w:val="21"/>
          <w:szCs w:val="24"/>
        </w:rPr>
        <w:t>—设备限界；</w:t>
      </w:r>
      <w:r w:rsidRPr="00FD50F6">
        <w:rPr>
          <w:rFonts w:ascii="Calibri" w:hAnsi="Calibri" w:cs="Times New Roman"/>
          <w:sz w:val="21"/>
          <w:szCs w:val="24"/>
        </w:rPr>
        <w:t>d</w:t>
      </w:r>
      <w:r w:rsidRPr="00FD50F6">
        <w:rPr>
          <w:rFonts w:ascii="Calibri" w:hAnsi="Calibri" w:cs="Times New Roman" w:hint="eastAsia"/>
          <w:sz w:val="21"/>
          <w:szCs w:val="24"/>
        </w:rPr>
        <w:t>—大样</w:t>
      </w:r>
      <w:r w:rsidRPr="00FD50F6">
        <w:rPr>
          <w:rFonts w:ascii="Calibri" w:hAnsi="Calibri" w:cs="Times New Roman" w:hint="eastAsia"/>
          <w:sz w:val="21"/>
          <w:szCs w:val="24"/>
        </w:rPr>
        <w:t>1</w:t>
      </w:r>
      <w:r w:rsidRPr="00FD50F6">
        <w:rPr>
          <w:rFonts w:ascii="Calibri" w:hAnsi="Calibri" w:cs="Times New Roman" w:hint="eastAsia"/>
          <w:sz w:val="21"/>
          <w:szCs w:val="24"/>
        </w:rPr>
        <w:t>；</w:t>
      </w:r>
      <w:r w:rsidRPr="00FD50F6">
        <w:rPr>
          <w:rFonts w:ascii="Calibri" w:hAnsi="Calibri" w:cs="Times New Roman"/>
          <w:sz w:val="21"/>
          <w:szCs w:val="24"/>
        </w:rPr>
        <w:t>e</w:t>
      </w:r>
      <w:r w:rsidRPr="00FD50F6">
        <w:rPr>
          <w:rFonts w:ascii="Calibri" w:hAnsi="Calibri" w:cs="Times New Roman" w:hint="eastAsia"/>
          <w:sz w:val="21"/>
          <w:szCs w:val="24"/>
        </w:rPr>
        <w:t>—大样</w:t>
      </w:r>
      <w:r w:rsidRPr="00FD50F6">
        <w:rPr>
          <w:rFonts w:ascii="Calibri" w:hAnsi="Calibri" w:cs="Times New Roman" w:hint="eastAsia"/>
          <w:sz w:val="21"/>
          <w:szCs w:val="24"/>
        </w:rPr>
        <w:t>2</w:t>
      </w:r>
    </w:p>
    <w:p w14:paraId="61F9330D" w14:textId="77777777" w:rsidR="002B733E" w:rsidRPr="00FD50F6" w:rsidRDefault="002B733E" w:rsidP="002B733E">
      <w:pPr>
        <w:pStyle w:val="6"/>
      </w:pPr>
      <w:r w:rsidRPr="00FD50F6">
        <w:rPr>
          <w:rFonts w:ascii="Calibri" w:hAnsi="Calibri"/>
        </w:rPr>
        <w:br w:type="page"/>
      </w:r>
      <w:r w:rsidRPr="00FD50F6">
        <w:rPr>
          <w:rFonts w:hint="eastAsia"/>
        </w:rPr>
        <w:lastRenderedPageBreak/>
        <w:t>表</w:t>
      </w:r>
      <w:r w:rsidRPr="00FD50F6">
        <w:rPr>
          <w:rFonts w:ascii="Calibri" w:hAnsi="Calibri" w:hint="eastAsia"/>
          <w:b/>
        </w:rPr>
        <w:t>B.0.1-1</w:t>
      </w:r>
      <w:r w:rsidRPr="00FD50F6">
        <w:rPr>
          <w:rFonts w:hint="eastAsia"/>
        </w:rPr>
        <w:t xml:space="preserve">  </w:t>
      </w:r>
      <w:r w:rsidRPr="00FD50F6">
        <w:rPr>
          <w:rFonts w:hint="eastAsia"/>
        </w:rPr>
        <w:t>车辆轮廓线坐标值（</w:t>
      </w:r>
      <w:r w:rsidRPr="00FD50F6">
        <w:rPr>
          <w:rFonts w:hint="eastAsia"/>
        </w:rPr>
        <w:t>mm</w:t>
      </w:r>
      <w:r w:rsidRPr="00FD50F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35F1EEB4" w14:textId="77777777" w:rsidTr="002B733E">
        <w:trPr>
          <w:trHeight w:val="397"/>
          <w:jc w:val="center"/>
        </w:trPr>
        <w:tc>
          <w:tcPr>
            <w:tcW w:w="701" w:type="dxa"/>
            <w:vAlign w:val="center"/>
          </w:tcPr>
          <w:p w14:paraId="302854B0" w14:textId="77777777" w:rsidR="002B733E" w:rsidRPr="00FD50F6" w:rsidRDefault="002B733E" w:rsidP="002B733E">
            <w:pPr>
              <w:pStyle w:val="7"/>
            </w:pPr>
            <w:r w:rsidRPr="00FD50F6">
              <w:rPr>
                <w:rFonts w:hint="eastAsia"/>
              </w:rPr>
              <w:t>点号</w:t>
            </w:r>
          </w:p>
        </w:tc>
        <w:tc>
          <w:tcPr>
            <w:tcW w:w="756" w:type="dxa"/>
            <w:vAlign w:val="center"/>
          </w:tcPr>
          <w:p w14:paraId="1645AB0C" w14:textId="77777777" w:rsidR="002B733E" w:rsidRPr="00FD50F6" w:rsidRDefault="002B733E" w:rsidP="002B733E">
            <w:pPr>
              <w:pStyle w:val="7"/>
            </w:pPr>
            <w:r w:rsidRPr="00FD50F6">
              <w:rPr>
                <w:rFonts w:hint="eastAsia"/>
              </w:rPr>
              <w:t>0</w:t>
            </w:r>
          </w:p>
        </w:tc>
        <w:tc>
          <w:tcPr>
            <w:tcW w:w="756" w:type="dxa"/>
            <w:vAlign w:val="center"/>
          </w:tcPr>
          <w:p w14:paraId="09BFAD4D" w14:textId="77777777" w:rsidR="002B733E" w:rsidRPr="00FD50F6" w:rsidRDefault="002B733E" w:rsidP="002B733E">
            <w:pPr>
              <w:pStyle w:val="7"/>
            </w:pPr>
            <w:r w:rsidRPr="00FD50F6">
              <w:rPr>
                <w:rFonts w:hint="eastAsia"/>
              </w:rPr>
              <w:t>1</w:t>
            </w:r>
          </w:p>
        </w:tc>
        <w:tc>
          <w:tcPr>
            <w:tcW w:w="756" w:type="dxa"/>
            <w:vAlign w:val="center"/>
          </w:tcPr>
          <w:p w14:paraId="19681075" w14:textId="77777777" w:rsidR="002B733E" w:rsidRPr="00FD50F6" w:rsidRDefault="002B733E" w:rsidP="002B733E">
            <w:pPr>
              <w:pStyle w:val="7"/>
            </w:pPr>
            <w:r w:rsidRPr="00FD50F6">
              <w:rPr>
                <w:rFonts w:hint="eastAsia"/>
              </w:rPr>
              <w:t>2</w:t>
            </w:r>
          </w:p>
        </w:tc>
        <w:tc>
          <w:tcPr>
            <w:tcW w:w="756" w:type="dxa"/>
            <w:vAlign w:val="center"/>
          </w:tcPr>
          <w:p w14:paraId="484C15CC" w14:textId="77777777" w:rsidR="002B733E" w:rsidRPr="00FD50F6" w:rsidRDefault="002B733E" w:rsidP="002B733E">
            <w:pPr>
              <w:pStyle w:val="7"/>
            </w:pPr>
            <w:r w:rsidRPr="00FD50F6">
              <w:rPr>
                <w:rFonts w:hint="eastAsia"/>
              </w:rPr>
              <w:t>3</w:t>
            </w:r>
          </w:p>
        </w:tc>
        <w:tc>
          <w:tcPr>
            <w:tcW w:w="756" w:type="dxa"/>
            <w:vAlign w:val="center"/>
          </w:tcPr>
          <w:p w14:paraId="29ECFCEA" w14:textId="77777777" w:rsidR="002B733E" w:rsidRPr="00FD50F6" w:rsidRDefault="002B733E" w:rsidP="002B733E">
            <w:pPr>
              <w:pStyle w:val="7"/>
            </w:pPr>
            <w:r w:rsidRPr="00FD50F6">
              <w:rPr>
                <w:rFonts w:hint="eastAsia"/>
              </w:rPr>
              <w:t>4</w:t>
            </w:r>
          </w:p>
        </w:tc>
        <w:tc>
          <w:tcPr>
            <w:tcW w:w="756" w:type="dxa"/>
            <w:vAlign w:val="center"/>
          </w:tcPr>
          <w:p w14:paraId="03AF73A1" w14:textId="77777777" w:rsidR="002B733E" w:rsidRPr="00FD50F6" w:rsidRDefault="002B733E" w:rsidP="002B733E">
            <w:pPr>
              <w:pStyle w:val="7"/>
            </w:pPr>
            <w:r w:rsidRPr="00FD50F6">
              <w:rPr>
                <w:rFonts w:hint="eastAsia"/>
              </w:rPr>
              <w:t>4a</w:t>
            </w:r>
          </w:p>
        </w:tc>
        <w:tc>
          <w:tcPr>
            <w:tcW w:w="756" w:type="dxa"/>
            <w:vAlign w:val="center"/>
          </w:tcPr>
          <w:p w14:paraId="7CF39A10" w14:textId="77777777" w:rsidR="002B733E" w:rsidRPr="00FD50F6" w:rsidRDefault="002B733E" w:rsidP="002B733E">
            <w:pPr>
              <w:pStyle w:val="7"/>
            </w:pPr>
            <w:r w:rsidRPr="00FD50F6">
              <w:rPr>
                <w:rFonts w:hint="eastAsia"/>
              </w:rPr>
              <w:t>5</w:t>
            </w:r>
          </w:p>
        </w:tc>
        <w:tc>
          <w:tcPr>
            <w:tcW w:w="756" w:type="dxa"/>
            <w:vAlign w:val="center"/>
          </w:tcPr>
          <w:p w14:paraId="286A48F5" w14:textId="77777777" w:rsidR="002B733E" w:rsidRPr="00FD50F6" w:rsidRDefault="002B733E" w:rsidP="002B733E">
            <w:pPr>
              <w:pStyle w:val="7"/>
            </w:pPr>
            <w:r w:rsidRPr="00FD50F6">
              <w:rPr>
                <w:rFonts w:hint="eastAsia"/>
              </w:rPr>
              <w:t>6</w:t>
            </w:r>
          </w:p>
        </w:tc>
        <w:tc>
          <w:tcPr>
            <w:tcW w:w="756" w:type="dxa"/>
            <w:vAlign w:val="center"/>
          </w:tcPr>
          <w:p w14:paraId="107D9D46" w14:textId="77777777" w:rsidR="002B733E" w:rsidRPr="00FD50F6" w:rsidRDefault="002B733E" w:rsidP="002B733E">
            <w:pPr>
              <w:pStyle w:val="7"/>
            </w:pPr>
            <w:r w:rsidRPr="00FD50F6">
              <w:rPr>
                <w:rFonts w:hint="eastAsia"/>
              </w:rPr>
              <w:t>7</w:t>
            </w:r>
          </w:p>
        </w:tc>
        <w:tc>
          <w:tcPr>
            <w:tcW w:w="756" w:type="dxa"/>
            <w:vAlign w:val="center"/>
          </w:tcPr>
          <w:p w14:paraId="3E0737BC" w14:textId="77777777" w:rsidR="002B733E" w:rsidRPr="00FD50F6" w:rsidRDefault="002B733E" w:rsidP="002B733E">
            <w:pPr>
              <w:pStyle w:val="7"/>
            </w:pPr>
            <w:r w:rsidRPr="00FD50F6">
              <w:rPr>
                <w:rFonts w:hint="eastAsia"/>
              </w:rPr>
              <w:t>8</w:t>
            </w:r>
          </w:p>
        </w:tc>
      </w:tr>
      <w:tr w:rsidR="00FD50F6" w:rsidRPr="00FD50F6" w14:paraId="33BB124B" w14:textId="77777777" w:rsidTr="002B733E">
        <w:trPr>
          <w:trHeight w:val="397"/>
          <w:jc w:val="center"/>
        </w:trPr>
        <w:tc>
          <w:tcPr>
            <w:tcW w:w="701" w:type="dxa"/>
            <w:vAlign w:val="center"/>
          </w:tcPr>
          <w:p w14:paraId="1D5F4D34" w14:textId="77777777" w:rsidR="002B733E" w:rsidRPr="00FD50F6" w:rsidRDefault="002B733E" w:rsidP="002B733E">
            <w:pPr>
              <w:pStyle w:val="7"/>
            </w:pPr>
            <w:r w:rsidRPr="00FD50F6">
              <w:rPr>
                <w:rFonts w:hint="eastAsia"/>
              </w:rPr>
              <w:t>X</w:t>
            </w:r>
          </w:p>
        </w:tc>
        <w:tc>
          <w:tcPr>
            <w:tcW w:w="756" w:type="dxa"/>
            <w:vAlign w:val="center"/>
          </w:tcPr>
          <w:p w14:paraId="6C218740" w14:textId="77777777" w:rsidR="002B733E" w:rsidRPr="00FD50F6" w:rsidRDefault="002B733E" w:rsidP="002B733E">
            <w:pPr>
              <w:pStyle w:val="7"/>
            </w:pPr>
            <w:r w:rsidRPr="00FD50F6">
              <w:rPr>
                <w:rFonts w:hint="eastAsia"/>
              </w:rPr>
              <w:t>0</w:t>
            </w:r>
          </w:p>
        </w:tc>
        <w:tc>
          <w:tcPr>
            <w:tcW w:w="756" w:type="dxa"/>
            <w:vAlign w:val="center"/>
          </w:tcPr>
          <w:p w14:paraId="5D4E8767" w14:textId="77777777" w:rsidR="002B733E" w:rsidRPr="00FD50F6" w:rsidRDefault="002B733E" w:rsidP="002B733E">
            <w:pPr>
              <w:pStyle w:val="7"/>
            </w:pPr>
            <w:r w:rsidRPr="00FD50F6">
              <w:rPr>
                <w:rFonts w:hint="eastAsia"/>
              </w:rPr>
              <w:t>659</w:t>
            </w:r>
          </w:p>
        </w:tc>
        <w:tc>
          <w:tcPr>
            <w:tcW w:w="756" w:type="dxa"/>
            <w:vAlign w:val="center"/>
          </w:tcPr>
          <w:p w14:paraId="28AD5CA7" w14:textId="77777777" w:rsidR="002B733E" w:rsidRPr="00FD50F6" w:rsidRDefault="002B733E" w:rsidP="002B733E">
            <w:pPr>
              <w:pStyle w:val="7"/>
            </w:pPr>
            <w:r w:rsidRPr="00FD50F6">
              <w:rPr>
                <w:rFonts w:hint="eastAsia"/>
              </w:rPr>
              <w:t>678</w:t>
            </w:r>
          </w:p>
        </w:tc>
        <w:tc>
          <w:tcPr>
            <w:tcW w:w="756" w:type="dxa"/>
            <w:vAlign w:val="center"/>
          </w:tcPr>
          <w:p w14:paraId="1DC82B2B" w14:textId="77777777" w:rsidR="002B733E" w:rsidRPr="00FD50F6" w:rsidRDefault="002B733E" w:rsidP="002B733E">
            <w:pPr>
              <w:pStyle w:val="7"/>
            </w:pPr>
            <w:r w:rsidRPr="00FD50F6">
              <w:rPr>
                <w:rFonts w:hint="eastAsia"/>
              </w:rPr>
              <w:t>762</w:t>
            </w:r>
          </w:p>
        </w:tc>
        <w:tc>
          <w:tcPr>
            <w:tcW w:w="756" w:type="dxa"/>
            <w:vAlign w:val="center"/>
          </w:tcPr>
          <w:p w14:paraId="232CC273" w14:textId="77777777" w:rsidR="002B733E" w:rsidRPr="00FD50F6" w:rsidRDefault="002B733E" w:rsidP="002B733E">
            <w:pPr>
              <w:pStyle w:val="7"/>
            </w:pPr>
            <w:r w:rsidRPr="00FD50F6">
              <w:rPr>
                <w:rFonts w:hint="eastAsia"/>
              </w:rPr>
              <w:t>762</w:t>
            </w:r>
          </w:p>
        </w:tc>
        <w:tc>
          <w:tcPr>
            <w:tcW w:w="756" w:type="dxa"/>
            <w:vAlign w:val="center"/>
          </w:tcPr>
          <w:p w14:paraId="072C879A" w14:textId="77777777" w:rsidR="002B733E" w:rsidRPr="00FD50F6" w:rsidRDefault="002B733E" w:rsidP="002B733E">
            <w:pPr>
              <w:pStyle w:val="7"/>
            </w:pPr>
            <w:r w:rsidRPr="00FD50F6">
              <w:rPr>
                <w:rFonts w:hint="eastAsia"/>
              </w:rPr>
              <w:t>823</w:t>
            </w:r>
          </w:p>
        </w:tc>
        <w:tc>
          <w:tcPr>
            <w:tcW w:w="756" w:type="dxa"/>
            <w:vAlign w:val="center"/>
          </w:tcPr>
          <w:p w14:paraId="525ADFE8" w14:textId="77777777" w:rsidR="002B733E" w:rsidRPr="00FD50F6" w:rsidRDefault="002B733E" w:rsidP="002B733E">
            <w:pPr>
              <w:pStyle w:val="7"/>
            </w:pPr>
            <w:r w:rsidRPr="00FD50F6">
              <w:rPr>
                <w:rFonts w:hint="eastAsia"/>
              </w:rPr>
              <w:t>1071</w:t>
            </w:r>
          </w:p>
        </w:tc>
        <w:tc>
          <w:tcPr>
            <w:tcW w:w="756" w:type="dxa"/>
            <w:vAlign w:val="center"/>
          </w:tcPr>
          <w:p w14:paraId="034CB3A2" w14:textId="77777777" w:rsidR="002B733E" w:rsidRPr="00FD50F6" w:rsidRDefault="002B733E" w:rsidP="002B733E">
            <w:pPr>
              <w:pStyle w:val="7"/>
            </w:pPr>
            <w:r w:rsidRPr="00FD50F6">
              <w:rPr>
                <w:rFonts w:hint="eastAsia"/>
              </w:rPr>
              <w:t>1335</w:t>
            </w:r>
          </w:p>
        </w:tc>
        <w:tc>
          <w:tcPr>
            <w:tcW w:w="756" w:type="dxa"/>
            <w:vAlign w:val="center"/>
          </w:tcPr>
          <w:p w14:paraId="3093F3FE" w14:textId="77777777" w:rsidR="002B733E" w:rsidRPr="00FD50F6" w:rsidRDefault="002B733E" w:rsidP="002B733E">
            <w:pPr>
              <w:pStyle w:val="7"/>
            </w:pPr>
            <w:r w:rsidRPr="00FD50F6">
              <w:rPr>
                <w:rFonts w:hint="eastAsia"/>
              </w:rPr>
              <w:t>1377</w:t>
            </w:r>
          </w:p>
        </w:tc>
        <w:tc>
          <w:tcPr>
            <w:tcW w:w="756" w:type="dxa"/>
            <w:vAlign w:val="center"/>
          </w:tcPr>
          <w:p w14:paraId="37041C36" w14:textId="77777777" w:rsidR="002B733E" w:rsidRPr="00FD50F6" w:rsidRDefault="002B733E" w:rsidP="002B733E">
            <w:pPr>
              <w:pStyle w:val="7"/>
            </w:pPr>
            <w:r w:rsidRPr="00FD50F6">
              <w:rPr>
                <w:rFonts w:hint="eastAsia"/>
              </w:rPr>
              <w:t>1500</w:t>
            </w:r>
          </w:p>
        </w:tc>
      </w:tr>
      <w:tr w:rsidR="00FD50F6" w:rsidRPr="00FD50F6" w14:paraId="1B97C27B" w14:textId="77777777" w:rsidTr="002B733E">
        <w:trPr>
          <w:trHeight w:val="397"/>
          <w:jc w:val="center"/>
        </w:trPr>
        <w:tc>
          <w:tcPr>
            <w:tcW w:w="701" w:type="dxa"/>
            <w:vAlign w:val="center"/>
          </w:tcPr>
          <w:p w14:paraId="2AB99672" w14:textId="77777777" w:rsidR="002B733E" w:rsidRPr="00FD50F6" w:rsidRDefault="002B733E" w:rsidP="002B733E">
            <w:pPr>
              <w:pStyle w:val="7"/>
            </w:pPr>
            <w:r w:rsidRPr="00FD50F6">
              <w:rPr>
                <w:rFonts w:hint="eastAsia"/>
              </w:rPr>
              <w:t>Y</w:t>
            </w:r>
          </w:p>
        </w:tc>
        <w:tc>
          <w:tcPr>
            <w:tcW w:w="756" w:type="dxa"/>
            <w:vAlign w:val="center"/>
          </w:tcPr>
          <w:p w14:paraId="2CCD6D08" w14:textId="77777777" w:rsidR="002B733E" w:rsidRPr="00FD50F6" w:rsidRDefault="002B733E" w:rsidP="002B733E">
            <w:pPr>
              <w:pStyle w:val="7"/>
            </w:pPr>
            <w:r w:rsidRPr="00FD50F6">
              <w:rPr>
                <w:rFonts w:hint="eastAsia"/>
              </w:rPr>
              <w:t>3850</w:t>
            </w:r>
          </w:p>
        </w:tc>
        <w:tc>
          <w:tcPr>
            <w:tcW w:w="756" w:type="dxa"/>
            <w:vAlign w:val="center"/>
          </w:tcPr>
          <w:p w14:paraId="5FDC88AC" w14:textId="77777777" w:rsidR="002B733E" w:rsidRPr="00FD50F6" w:rsidRDefault="002B733E" w:rsidP="002B733E">
            <w:pPr>
              <w:pStyle w:val="7"/>
            </w:pPr>
            <w:r w:rsidRPr="00FD50F6">
              <w:rPr>
                <w:rFonts w:hint="eastAsia"/>
              </w:rPr>
              <w:t>3850</w:t>
            </w:r>
          </w:p>
        </w:tc>
        <w:tc>
          <w:tcPr>
            <w:tcW w:w="756" w:type="dxa"/>
            <w:vAlign w:val="center"/>
          </w:tcPr>
          <w:p w14:paraId="2A74143D" w14:textId="77777777" w:rsidR="002B733E" w:rsidRPr="00FD50F6" w:rsidRDefault="002B733E" w:rsidP="002B733E">
            <w:pPr>
              <w:pStyle w:val="7"/>
            </w:pPr>
            <w:r w:rsidRPr="00FD50F6">
              <w:rPr>
                <w:rFonts w:hint="eastAsia"/>
              </w:rPr>
              <w:t>3850</w:t>
            </w:r>
          </w:p>
        </w:tc>
        <w:tc>
          <w:tcPr>
            <w:tcW w:w="756" w:type="dxa"/>
            <w:vAlign w:val="center"/>
          </w:tcPr>
          <w:p w14:paraId="42393543" w14:textId="77777777" w:rsidR="002B733E" w:rsidRPr="00FD50F6" w:rsidRDefault="002B733E" w:rsidP="002B733E">
            <w:pPr>
              <w:pStyle w:val="7"/>
            </w:pPr>
            <w:r w:rsidRPr="00FD50F6">
              <w:rPr>
                <w:rFonts w:hint="eastAsia"/>
              </w:rPr>
              <w:t>3808</w:t>
            </w:r>
          </w:p>
        </w:tc>
        <w:tc>
          <w:tcPr>
            <w:tcW w:w="756" w:type="dxa"/>
            <w:vAlign w:val="center"/>
          </w:tcPr>
          <w:p w14:paraId="27BD21A9" w14:textId="77777777" w:rsidR="002B733E" w:rsidRPr="00FD50F6" w:rsidRDefault="002B733E" w:rsidP="002B733E">
            <w:pPr>
              <w:pStyle w:val="7"/>
            </w:pPr>
            <w:r w:rsidRPr="00FD50F6">
              <w:rPr>
                <w:rFonts w:hint="eastAsia"/>
              </w:rPr>
              <w:t>3735</w:t>
            </w:r>
          </w:p>
        </w:tc>
        <w:tc>
          <w:tcPr>
            <w:tcW w:w="756" w:type="dxa"/>
            <w:vAlign w:val="center"/>
          </w:tcPr>
          <w:p w14:paraId="1DC10D77" w14:textId="77777777" w:rsidR="002B733E" w:rsidRPr="00FD50F6" w:rsidRDefault="002B733E" w:rsidP="002B733E">
            <w:pPr>
              <w:pStyle w:val="7"/>
            </w:pPr>
            <w:r w:rsidRPr="00FD50F6">
              <w:rPr>
                <w:rFonts w:hint="eastAsia"/>
              </w:rPr>
              <w:t>3713</w:t>
            </w:r>
          </w:p>
        </w:tc>
        <w:tc>
          <w:tcPr>
            <w:tcW w:w="756" w:type="dxa"/>
            <w:vAlign w:val="center"/>
          </w:tcPr>
          <w:p w14:paraId="122E4322" w14:textId="77777777" w:rsidR="002B733E" w:rsidRPr="00FD50F6" w:rsidRDefault="002B733E" w:rsidP="002B733E">
            <w:pPr>
              <w:pStyle w:val="7"/>
            </w:pPr>
            <w:r w:rsidRPr="00FD50F6">
              <w:rPr>
                <w:rFonts w:hint="eastAsia"/>
              </w:rPr>
              <w:t>3560</w:t>
            </w:r>
          </w:p>
        </w:tc>
        <w:tc>
          <w:tcPr>
            <w:tcW w:w="756" w:type="dxa"/>
            <w:vAlign w:val="center"/>
          </w:tcPr>
          <w:p w14:paraId="13D22BF9" w14:textId="77777777" w:rsidR="002B733E" w:rsidRPr="00FD50F6" w:rsidRDefault="002B733E" w:rsidP="002B733E">
            <w:pPr>
              <w:pStyle w:val="7"/>
            </w:pPr>
            <w:r w:rsidRPr="00FD50F6">
              <w:rPr>
                <w:rFonts w:hint="eastAsia"/>
              </w:rPr>
              <w:t>3394</w:t>
            </w:r>
          </w:p>
        </w:tc>
        <w:tc>
          <w:tcPr>
            <w:tcW w:w="756" w:type="dxa"/>
            <w:vAlign w:val="center"/>
          </w:tcPr>
          <w:p w14:paraId="00EDA0EA" w14:textId="77777777" w:rsidR="002B733E" w:rsidRPr="00FD50F6" w:rsidRDefault="002B733E" w:rsidP="002B733E">
            <w:pPr>
              <w:pStyle w:val="7"/>
            </w:pPr>
            <w:r w:rsidRPr="00FD50F6">
              <w:rPr>
                <w:rFonts w:hint="eastAsia"/>
              </w:rPr>
              <w:t>3304</w:t>
            </w:r>
          </w:p>
        </w:tc>
        <w:tc>
          <w:tcPr>
            <w:tcW w:w="756" w:type="dxa"/>
            <w:vAlign w:val="center"/>
          </w:tcPr>
          <w:p w14:paraId="3742DFFD" w14:textId="77777777" w:rsidR="002B733E" w:rsidRPr="00FD50F6" w:rsidRDefault="002B733E" w:rsidP="002B733E">
            <w:pPr>
              <w:pStyle w:val="7"/>
            </w:pPr>
            <w:r w:rsidRPr="00FD50F6">
              <w:rPr>
                <w:rFonts w:hint="eastAsia"/>
              </w:rPr>
              <w:t>1097</w:t>
            </w:r>
          </w:p>
        </w:tc>
      </w:tr>
      <w:tr w:rsidR="00FD50F6" w:rsidRPr="00FD50F6" w14:paraId="28582B55" w14:textId="77777777" w:rsidTr="002B733E">
        <w:trPr>
          <w:trHeight w:val="397"/>
          <w:jc w:val="center"/>
        </w:trPr>
        <w:tc>
          <w:tcPr>
            <w:tcW w:w="701" w:type="dxa"/>
            <w:vAlign w:val="center"/>
          </w:tcPr>
          <w:p w14:paraId="280CB842" w14:textId="77777777" w:rsidR="002B733E" w:rsidRPr="00FD50F6" w:rsidRDefault="002B733E" w:rsidP="002B733E">
            <w:pPr>
              <w:pStyle w:val="7"/>
            </w:pPr>
            <w:r w:rsidRPr="00FD50F6">
              <w:rPr>
                <w:rFonts w:hint="eastAsia"/>
              </w:rPr>
              <w:t>点号</w:t>
            </w:r>
          </w:p>
        </w:tc>
        <w:tc>
          <w:tcPr>
            <w:tcW w:w="756" w:type="dxa"/>
            <w:vAlign w:val="center"/>
          </w:tcPr>
          <w:p w14:paraId="0B059213" w14:textId="77777777" w:rsidR="002B733E" w:rsidRPr="00FD50F6" w:rsidRDefault="002B733E" w:rsidP="002B733E">
            <w:pPr>
              <w:pStyle w:val="7"/>
              <w:rPr>
                <w:b/>
              </w:rPr>
            </w:pPr>
            <w:r w:rsidRPr="00FD50F6">
              <w:rPr>
                <w:rFonts w:hint="eastAsia"/>
                <w:b/>
              </w:rPr>
              <w:t>9</w:t>
            </w:r>
          </w:p>
        </w:tc>
        <w:tc>
          <w:tcPr>
            <w:tcW w:w="756" w:type="dxa"/>
            <w:vAlign w:val="center"/>
          </w:tcPr>
          <w:p w14:paraId="6FC18B10" w14:textId="77777777" w:rsidR="002B733E" w:rsidRPr="00FD50F6" w:rsidRDefault="002B733E" w:rsidP="002B733E">
            <w:pPr>
              <w:pStyle w:val="7"/>
              <w:rPr>
                <w:b/>
              </w:rPr>
            </w:pPr>
            <w:r w:rsidRPr="00FD50F6">
              <w:rPr>
                <w:rFonts w:hint="eastAsia"/>
                <w:b/>
              </w:rPr>
              <w:t>10</w:t>
            </w:r>
          </w:p>
        </w:tc>
        <w:tc>
          <w:tcPr>
            <w:tcW w:w="756" w:type="dxa"/>
            <w:vAlign w:val="center"/>
          </w:tcPr>
          <w:p w14:paraId="6F00CC70" w14:textId="77777777" w:rsidR="002B733E" w:rsidRPr="00FD50F6" w:rsidRDefault="002B733E" w:rsidP="002B733E">
            <w:pPr>
              <w:pStyle w:val="7"/>
              <w:rPr>
                <w:b/>
              </w:rPr>
            </w:pPr>
            <w:r w:rsidRPr="00FD50F6">
              <w:rPr>
                <w:rFonts w:hint="eastAsia"/>
                <w:b/>
              </w:rPr>
              <w:t>11</w:t>
            </w:r>
          </w:p>
        </w:tc>
        <w:tc>
          <w:tcPr>
            <w:tcW w:w="756" w:type="dxa"/>
            <w:vAlign w:val="center"/>
          </w:tcPr>
          <w:p w14:paraId="0CAFC69F" w14:textId="77777777" w:rsidR="002B733E" w:rsidRPr="00FD50F6" w:rsidRDefault="002B733E" w:rsidP="002B733E">
            <w:pPr>
              <w:pStyle w:val="7"/>
              <w:rPr>
                <w:b/>
              </w:rPr>
            </w:pPr>
            <w:r w:rsidRPr="00FD50F6">
              <w:rPr>
                <w:rFonts w:hint="eastAsia"/>
                <w:b/>
              </w:rPr>
              <w:t>12</w:t>
            </w:r>
          </w:p>
        </w:tc>
        <w:tc>
          <w:tcPr>
            <w:tcW w:w="756" w:type="dxa"/>
            <w:vAlign w:val="center"/>
          </w:tcPr>
          <w:p w14:paraId="4E6384D2" w14:textId="77777777" w:rsidR="002B733E" w:rsidRPr="00FD50F6" w:rsidRDefault="002B733E" w:rsidP="002B733E">
            <w:pPr>
              <w:pStyle w:val="7"/>
              <w:rPr>
                <w:b/>
              </w:rPr>
            </w:pPr>
            <w:r w:rsidRPr="00FD50F6">
              <w:rPr>
                <w:rFonts w:hint="eastAsia"/>
                <w:b/>
              </w:rPr>
              <w:t>13</w:t>
            </w:r>
          </w:p>
        </w:tc>
        <w:tc>
          <w:tcPr>
            <w:tcW w:w="756" w:type="dxa"/>
            <w:vAlign w:val="center"/>
          </w:tcPr>
          <w:p w14:paraId="5AEB5BEE" w14:textId="77777777" w:rsidR="002B733E" w:rsidRPr="00FD50F6" w:rsidRDefault="002B733E" w:rsidP="002B733E">
            <w:pPr>
              <w:pStyle w:val="7"/>
              <w:rPr>
                <w:b/>
              </w:rPr>
            </w:pPr>
            <w:r w:rsidRPr="00FD50F6">
              <w:rPr>
                <w:rFonts w:hint="eastAsia"/>
                <w:b/>
              </w:rPr>
              <w:t>14</w:t>
            </w:r>
          </w:p>
        </w:tc>
        <w:tc>
          <w:tcPr>
            <w:tcW w:w="756" w:type="dxa"/>
            <w:vAlign w:val="center"/>
          </w:tcPr>
          <w:p w14:paraId="1232AC08" w14:textId="77777777" w:rsidR="002B733E" w:rsidRPr="00FD50F6" w:rsidRDefault="002B733E" w:rsidP="002B733E">
            <w:pPr>
              <w:pStyle w:val="7"/>
              <w:rPr>
                <w:b/>
              </w:rPr>
            </w:pPr>
            <w:r w:rsidRPr="00FD50F6">
              <w:rPr>
                <w:rFonts w:hint="eastAsia"/>
                <w:b/>
              </w:rPr>
              <w:t>15</w:t>
            </w:r>
          </w:p>
        </w:tc>
        <w:tc>
          <w:tcPr>
            <w:tcW w:w="756" w:type="dxa"/>
            <w:vAlign w:val="center"/>
          </w:tcPr>
          <w:p w14:paraId="3CFE57F8" w14:textId="77777777" w:rsidR="002B733E" w:rsidRPr="00FD50F6" w:rsidRDefault="002B733E" w:rsidP="002B733E">
            <w:pPr>
              <w:pStyle w:val="7"/>
              <w:rPr>
                <w:b/>
              </w:rPr>
            </w:pPr>
            <w:r w:rsidRPr="00FD50F6">
              <w:rPr>
                <w:rFonts w:hint="eastAsia"/>
                <w:b/>
              </w:rPr>
              <w:t>16</w:t>
            </w:r>
          </w:p>
        </w:tc>
        <w:tc>
          <w:tcPr>
            <w:tcW w:w="756" w:type="dxa"/>
            <w:vAlign w:val="center"/>
          </w:tcPr>
          <w:p w14:paraId="04818D41" w14:textId="77777777" w:rsidR="002B733E" w:rsidRPr="00FD50F6" w:rsidRDefault="002B733E" w:rsidP="002B733E">
            <w:pPr>
              <w:pStyle w:val="7"/>
              <w:rPr>
                <w:b/>
              </w:rPr>
            </w:pPr>
            <w:r w:rsidRPr="00FD50F6">
              <w:rPr>
                <w:rFonts w:hint="eastAsia"/>
                <w:b/>
              </w:rPr>
              <w:t>17</w:t>
            </w:r>
          </w:p>
        </w:tc>
        <w:tc>
          <w:tcPr>
            <w:tcW w:w="756" w:type="dxa"/>
            <w:vAlign w:val="center"/>
          </w:tcPr>
          <w:p w14:paraId="7914A704" w14:textId="77777777" w:rsidR="002B733E" w:rsidRPr="00FD50F6" w:rsidRDefault="002B733E" w:rsidP="002B733E">
            <w:pPr>
              <w:pStyle w:val="7"/>
              <w:rPr>
                <w:b/>
              </w:rPr>
            </w:pPr>
            <w:r w:rsidRPr="00FD50F6">
              <w:rPr>
                <w:rFonts w:hint="eastAsia"/>
                <w:b/>
              </w:rPr>
              <w:t>18</w:t>
            </w:r>
          </w:p>
        </w:tc>
      </w:tr>
      <w:tr w:rsidR="00FD50F6" w:rsidRPr="00FD50F6" w14:paraId="5A70A211" w14:textId="77777777" w:rsidTr="002B733E">
        <w:trPr>
          <w:trHeight w:val="397"/>
          <w:jc w:val="center"/>
        </w:trPr>
        <w:tc>
          <w:tcPr>
            <w:tcW w:w="701" w:type="dxa"/>
            <w:vAlign w:val="center"/>
          </w:tcPr>
          <w:p w14:paraId="59831E7D" w14:textId="77777777" w:rsidR="002B733E" w:rsidRPr="00FD50F6" w:rsidRDefault="002B733E" w:rsidP="002B733E">
            <w:pPr>
              <w:pStyle w:val="7"/>
            </w:pPr>
            <w:r w:rsidRPr="00FD50F6">
              <w:rPr>
                <w:rFonts w:hint="eastAsia"/>
              </w:rPr>
              <w:t>X</w:t>
            </w:r>
          </w:p>
        </w:tc>
        <w:tc>
          <w:tcPr>
            <w:tcW w:w="756" w:type="dxa"/>
            <w:vAlign w:val="center"/>
          </w:tcPr>
          <w:p w14:paraId="16358D9C" w14:textId="77777777" w:rsidR="002B733E" w:rsidRPr="00FD50F6" w:rsidRDefault="002B733E" w:rsidP="002B733E">
            <w:pPr>
              <w:pStyle w:val="7"/>
            </w:pPr>
            <w:r w:rsidRPr="00FD50F6">
              <w:rPr>
                <w:rFonts w:hint="eastAsia"/>
              </w:rPr>
              <w:t>1486</w:t>
            </w:r>
          </w:p>
        </w:tc>
        <w:tc>
          <w:tcPr>
            <w:tcW w:w="756" w:type="dxa"/>
            <w:vAlign w:val="center"/>
          </w:tcPr>
          <w:p w14:paraId="1F86583D" w14:textId="77777777" w:rsidR="002B733E" w:rsidRPr="00FD50F6" w:rsidRDefault="002B733E" w:rsidP="002B733E">
            <w:pPr>
              <w:pStyle w:val="7"/>
            </w:pPr>
            <w:r w:rsidRPr="00FD50F6">
              <w:rPr>
                <w:rFonts w:hint="eastAsia"/>
              </w:rPr>
              <w:t>1480</w:t>
            </w:r>
          </w:p>
        </w:tc>
        <w:tc>
          <w:tcPr>
            <w:tcW w:w="756" w:type="dxa"/>
            <w:vAlign w:val="center"/>
          </w:tcPr>
          <w:p w14:paraId="7FF3E955" w14:textId="77777777" w:rsidR="002B733E" w:rsidRPr="00FD50F6" w:rsidRDefault="002B733E" w:rsidP="002B733E">
            <w:pPr>
              <w:pStyle w:val="7"/>
            </w:pPr>
            <w:r w:rsidRPr="00FD50F6">
              <w:rPr>
                <w:rFonts w:hint="eastAsia"/>
              </w:rPr>
              <w:t>1445</w:t>
            </w:r>
          </w:p>
        </w:tc>
        <w:tc>
          <w:tcPr>
            <w:tcW w:w="756" w:type="dxa"/>
            <w:vAlign w:val="center"/>
          </w:tcPr>
          <w:p w14:paraId="4B4B6587" w14:textId="77777777" w:rsidR="002B733E" w:rsidRPr="00FD50F6" w:rsidRDefault="002B733E" w:rsidP="002B733E">
            <w:pPr>
              <w:pStyle w:val="7"/>
            </w:pPr>
            <w:r w:rsidRPr="00FD50F6">
              <w:rPr>
                <w:rFonts w:hint="eastAsia"/>
              </w:rPr>
              <w:t>1355</w:t>
            </w:r>
          </w:p>
        </w:tc>
        <w:tc>
          <w:tcPr>
            <w:tcW w:w="756" w:type="dxa"/>
            <w:vAlign w:val="center"/>
          </w:tcPr>
          <w:p w14:paraId="2682CB6E" w14:textId="77777777" w:rsidR="002B733E" w:rsidRPr="00FD50F6" w:rsidRDefault="002B733E" w:rsidP="002B733E">
            <w:pPr>
              <w:pStyle w:val="7"/>
            </w:pPr>
            <w:r w:rsidRPr="00FD50F6">
              <w:rPr>
                <w:rFonts w:hint="eastAsia"/>
              </w:rPr>
              <w:t>1308</w:t>
            </w:r>
          </w:p>
        </w:tc>
        <w:tc>
          <w:tcPr>
            <w:tcW w:w="756" w:type="dxa"/>
            <w:vAlign w:val="center"/>
          </w:tcPr>
          <w:p w14:paraId="02C2F735" w14:textId="77777777" w:rsidR="002B733E" w:rsidRPr="00FD50F6" w:rsidRDefault="002B733E" w:rsidP="002B733E">
            <w:pPr>
              <w:pStyle w:val="7"/>
            </w:pPr>
            <w:r w:rsidRPr="00FD50F6">
              <w:rPr>
                <w:rFonts w:hint="eastAsia"/>
              </w:rPr>
              <w:t>1095</w:t>
            </w:r>
          </w:p>
        </w:tc>
        <w:tc>
          <w:tcPr>
            <w:tcW w:w="756" w:type="dxa"/>
            <w:vAlign w:val="center"/>
          </w:tcPr>
          <w:p w14:paraId="0C92613B" w14:textId="77777777" w:rsidR="002B733E" w:rsidRPr="00FD50F6" w:rsidRDefault="002B733E" w:rsidP="002B733E">
            <w:pPr>
              <w:pStyle w:val="7"/>
            </w:pPr>
            <w:r w:rsidRPr="00FD50F6">
              <w:rPr>
                <w:rFonts w:hint="eastAsia"/>
              </w:rPr>
              <w:t>982</w:t>
            </w:r>
          </w:p>
        </w:tc>
        <w:tc>
          <w:tcPr>
            <w:tcW w:w="756" w:type="dxa"/>
            <w:vAlign w:val="center"/>
          </w:tcPr>
          <w:p w14:paraId="66A8D805" w14:textId="77777777" w:rsidR="002B733E" w:rsidRPr="00FD50F6" w:rsidRDefault="002B733E" w:rsidP="002B733E">
            <w:pPr>
              <w:pStyle w:val="7"/>
            </w:pPr>
            <w:r w:rsidRPr="00FD50F6">
              <w:rPr>
                <w:rFonts w:hint="eastAsia"/>
              </w:rPr>
              <w:t>961</w:t>
            </w:r>
          </w:p>
        </w:tc>
        <w:tc>
          <w:tcPr>
            <w:tcW w:w="756" w:type="dxa"/>
            <w:vAlign w:val="center"/>
          </w:tcPr>
          <w:p w14:paraId="76742280" w14:textId="77777777" w:rsidR="002B733E" w:rsidRPr="00FD50F6" w:rsidRDefault="002B733E" w:rsidP="002B733E">
            <w:pPr>
              <w:pStyle w:val="7"/>
            </w:pPr>
            <w:r w:rsidRPr="00FD50F6">
              <w:rPr>
                <w:rFonts w:hint="eastAsia"/>
              </w:rPr>
              <w:t>953</w:t>
            </w:r>
          </w:p>
        </w:tc>
        <w:tc>
          <w:tcPr>
            <w:tcW w:w="756" w:type="dxa"/>
            <w:vAlign w:val="center"/>
          </w:tcPr>
          <w:p w14:paraId="605C9297" w14:textId="77777777" w:rsidR="002B733E" w:rsidRPr="00FD50F6" w:rsidRDefault="002B733E" w:rsidP="002B733E">
            <w:pPr>
              <w:pStyle w:val="7"/>
            </w:pPr>
            <w:r w:rsidRPr="00FD50F6">
              <w:rPr>
                <w:rFonts w:hint="eastAsia"/>
              </w:rPr>
              <w:t>812</w:t>
            </w:r>
          </w:p>
        </w:tc>
      </w:tr>
      <w:tr w:rsidR="00FD50F6" w:rsidRPr="00FD50F6" w14:paraId="5980CBD7" w14:textId="77777777" w:rsidTr="002B733E">
        <w:trPr>
          <w:trHeight w:val="397"/>
          <w:jc w:val="center"/>
        </w:trPr>
        <w:tc>
          <w:tcPr>
            <w:tcW w:w="701" w:type="dxa"/>
            <w:vAlign w:val="center"/>
          </w:tcPr>
          <w:p w14:paraId="2E063FA4" w14:textId="77777777" w:rsidR="002B733E" w:rsidRPr="00FD50F6" w:rsidRDefault="002B733E" w:rsidP="002B733E">
            <w:pPr>
              <w:pStyle w:val="7"/>
            </w:pPr>
            <w:r w:rsidRPr="00FD50F6">
              <w:rPr>
                <w:rFonts w:hint="eastAsia"/>
              </w:rPr>
              <w:t>Y</w:t>
            </w:r>
          </w:p>
        </w:tc>
        <w:tc>
          <w:tcPr>
            <w:tcW w:w="756" w:type="dxa"/>
            <w:vAlign w:val="center"/>
          </w:tcPr>
          <w:p w14:paraId="40C44BC6" w14:textId="77777777" w:rsidR="002B733E" w:rsidRPr="00FD50F6" w:rsidRDefault="002B733E" w:rsidP="002B733E">
            <w:pPr>
              <w:pStyle w:val="7"/>
            </w:pPr>
            <w:r w:rsidRPr="00FD50F6">
              <w:rPr>
                <w:rFonts w:hint="eastAsia"/>
              </w:rPr>
              <w:t>898</w:t>
            </w:r>
          </w:p>
        </w:tc>
        <w:tc>
          <w:tcPr>
            <w:tcW w:w="756" w:type="dxa"/>
            <w:vAlign w:val="center"/>
          </w:tcPr>
          <w:p w14:paraId="459BB290" w14:textId="77777777" w:rsidR="002B733E" w:rsidRPr="00FD50F6" w:rsidRDefault="002B733E" w:rsidP="002B733E">
            <w:pPr>
              <w:pStyle w:val="7"/>
            </w:pPr>
            <w:r w:rsidRPr="00FD50F6">
              <w:rPr>
                <w:rFonts w:hint="eastAsia"/>
              </w:rPr>
              <w:t>865</w:t>
            </w:r>
          </w:p>
        </w:tc>
        <w:tc>
          <w:tcPr>
            <w:tcW w:w="756" w:type="dxa"/>
            <w:vAlign w:val="center"/>
          </w:tcPr>
          <w:p w14:paraId="011E0AAB" w14:textId="77777777" w:rsidR="002B733E" w:rsidRPr="00FD50F6" w:rsidRDefault="002B733E" w:rsidP="002B733E">
            <w:pPr>
              <w:pStyle w:val="7"/>
            </w:pPr>
            <w:r w:rsidRPr="00FD50F6">
              <w:rPr>
                <w:rFonts w:hint="eastAsia"/>
              </w:rPr>
              <w:t>691</w:t>
            </w:r>
          </w:p>
        </w:tc>
        <w:tc>
          <w:tcPr>
            <w:tcW w:w="756" w:type="dxa"/>
            <w:vAlign w:val="center"/>
          </w:tcPr>
          <w:p w14:paraId="788BF91E" w14:textId="77777777" w:rsidR="002B733E" w:rsidRPr="00FD50F6" w:rsidRDefault="002B733E" w:rsidP="002B733E">
            <w:pPr>
              <w:pStyle w:val="7"/>
            </w:pPr>
            <w:r w:rsidRPr="00FD50F6">
              <w:rPr>
                <w:rFonts w:hint="eastAsia"/>
              </w:rPr>
              <w:t>691</w:t>
            </w:r>
          </w:p>
        </w:tc>
        <w:tc>
          <w:tcPr>
            <w:tcW w:w="756" w:type="dxa"/>
            <w:vAlign w:val="center"/>
          </w:tcPr>
          <w:p w14:paraId="2CE0DA2E" w14:textId="77777777" w:rsidR="002B733E" w:rsidRPr="00FD50F6" w:rsidRDefault="002B733E" w:rsidP="002B733E">
            <w:pPr>
              <w:pStyle w:val="7"/>
            </w:pPr>
            <w:r w:rsidRPr="00FD50F6">
              <w:rPr>
                <w:rFonts w:hint="eastAsia"/>
              </w:rPr>
              <w:t>382</w:t>
            </w:r>
          </w:p>
        </w:tc>
        <w:tc>
          <w:tcPr>
            <w:tcW w:w="756" w:type="dxa"/>
            <w:vAlign w:val="center"/>
          </w:tcPr>
          <w:p w14:paraId="491ED37A" w14:textId="77777777" w:rsidR="002B733E" w:rsidRPr="00FD50F6" w:rsidRDefault="002B733E" w:rsidP="002B733E">
            <w:pPr>
              <w:pStyle w:val="7"/>
            </w:pPr>
            <w:r w:rsidRPr="00FD50F6">
              <w:rPr>
                <w:rFonts w:hint="eastAsia"/>
              </w:rPr>
              <w:t>189</w:t>
            </w:r>
          </w:p>
        </w:tc>
        <w:tc>
          <w:tcPr>
            <w:tcW w:w="756" w:type="dxa"/>
            <w:vAlign w:val="center"/>
          </w:tcPr>
          <w:p w14:paraId="3EA3D513" w14:textId="77777777" w:rsidR="002B733E" w:rsidRPr="00FD50F6" w:rsidRDefault="002B733E" w:rsidP="002B733E">
            <w:pPr>
              <w:pStyle w:val="7"/>
            </w:pPr>
            <w:r w:rsidRPr="00FD50F6">
              <w:rPr>
                <w:rFonts w:hint="eastAsia"/>
              </w:rPr>
              <w:t>190</w:t>
            </w:r>
          </w:p>
        </w:tc>
        <w:tc>
          <w:tcPr>
            <w:tcW w:w="756" w:type="dxa"/>
            <w:vAlign w:val="center"/>
          </w:tcPr>
          <w:p w14:paraId="2E320701" w14:textId="77777777" w:rsidR="002B733E" w:rsidRPr="00FD50F6" w:rsidRDefault="002B733E" w:rsidP="002B733E">
            <w:pPr>
              <w:pStyle w:val="7"/>
            </w:pPr>
            <w:r w:rsidRPr="00FD50F6">
              <w:rPr>
                <w:rFonts w:hint="eastAsia"/>
              </w:rPr>
              <w:t>185</w:t>
            </w:r>
          </w:p>
        </w:tc>
        <w:tc>
          <w:tcPr>
            <w:tcW w:w="756" w:type="dxa"/>
            <w:vAlign w:val="center"/>
          </w:tcPr>
          <w:p w14:paraId="504387AE" w14:textId="77777777" w:rsidR="002B733E" w:rsidRPr="00FD50F6" w:rsidRDefault="002B733E" w:rsidP="002B733E">
            <w:pPr>
              <w:pStyle w:val="7"/>
            </w:pPr>
            <w:r w:rsidRPr="00FD50F6">
              <w:rPr>
                <w:rFonts w:hint="eastAsia"/>
              </w:rPr>
              <w:t>185</w:t>
            </w:r>
          </w:p>
        </w:tc>
        <w:tc>
          <w:tcPr>
            <w:tcW w:w="756" w:type="dxa"/>
            <w:vAlign w:val="center"/>
          </w:tcPr>
          <w:p w14:paraId="49B901A4" w14:textId="77777777" w:rsidR="002B733E" w:rsidRPr="00FD50F6" w:rsidRDefault="002B733E" w:rsidP="002B733E">
            <w:pPr>
              <w:pStyle w:val="7"/>
            </w:pPr>
            <w:r w:rsidRPr="00FD50F6">
              <w:rPr>
                <w:rFonts w:hint="eastAsia"/>
              </w:rPr>
              <w:t>185</w:t>
            </w:r>
          </w:p>
        </w:tc>
      </w:tr>
      <w:tr w:rsidR="00FD50F6" w:rsidRPr="00FD50F6" w14:paraId="752245BC" w14:textId="77777777" w:rsidTr="002B733E">
        <w:trPr>
          <w:trHeight w:val="397"/>
          <w:jc w:val="center"/>
        </w:trPr>
        <w:tc>
          <w:tcPr>
            <w:tcW w:w="701" w:type="dxa"/>
            <w:vAlign w:val="center"/>
          </w:tcPr>
          <w:p w14:paraId="3D18DA16" w14:textId="77777777" w:rsidR="002B733E" w:rsidRPr="00FD50F6" w:rsidRDefault="002B733E" w:rsidP="002B733E">
            <w:pPr>
              <w:pStyle w:val="7"/>
            </w:pPr>
            <w:r w:rsidRPr="00FD50F6">
              <w:rPr>
                <w:rFonts w:hint="eastAsia"/>
              </w:rPr>
              <w:t>点号</w:t>
            </w:r>
          </w:p>
        </w:tc>
        <w:tc>
          <w:tcPr>
            <w:tcW w:w="756" w:type="dxa"/>
            <w:vAlign w:val="center"/>
          </w:tcPr>
          <w:p w14:paraId="7D7355CE" w14:textId="77777777" w:rsidR="002B733E" w:rsidRPr="00FD50F6" w:rsidRDefault="002B733E" w:rsidP="002B733E">
            <w:pPr>
              <w:pStyle w:val="7"/>
              <w:rPr>
                <w:b/>
              </w:rPr>
            </w:pPr>
            <w:r w:rsidRPr="00FD50F6">
              <w:rPr>
                <w:rFonts w:hint="eastAsia"/>
                <w:b/>
              </w:rPr>
              <w:t>19</w:t>
            </w:r>
          </w:p>
        </w:tc>
        <w:tc>
          <w:tcPr>
            <w:tcW w:w="756" w:type="dxa"/>
            <w:vAlign w:val="center"/>
          </w:tcPr>
          <w:p w14:paraId="4CAFBB8B" w14:textId="77777777" w:rsidR="002B733E" w:rsidRPr="00FD50F6" w:rsidRDefault="002B733E" w:rsidP="002B733E">
            <w:pPr>
              <w:pStyle w:val="7"/>
              <w:rPr>
                <w:b/>
              </w:rPr>
            </w:pPr>
            <w:r w:rsidRPr="00FD50F6">
              <w:rPr>
                <w:rFonts w:hint="eastAsia"/>
                <w:b/>
              </w:rPr>
              <w:t>20</w:t>
            </w:r>
          </w:p>
        </w:tc>
        <w:tc>
          <w:tcPr>
            <w:tcW w:w="756" w:type="dxa"/>
            <w:vAlign w:val="center"/>
          </w:tcPr>
          <w:p w14:paraId="0CBA9925" w14:textId="77777777" w:rsidR="002B733E" w:rsidRPr="00FD50F6" w:rsidRDefault="002B733E" w:rsidP="002B733E">
            <w:pPr>
              <w:pStyle w:val="7"/>
              <w:rPr>
                <w:b/>
              </w:rPr>
            </w:pPr>
            <w:r w:rsidRPr="00FD50F6">
              <w:rPr>
                <w:rFonts w:hint="eastAsia"/>
                <w:b/>
              </w:rPr>
              <w:t>21</w:t>
            </w:r>
          </w:p>
        </w:tc>
        <w:tc>
          <w:tcPr>
            <w:tcW w:w="756" w:type="dxa"/>
            <w:vAlign w:val="center"/>
          </w:tcPr>
          <w:p w14:paraId="6D91C527" w14:textId="77777777" w:rsidR="002B733E" w:rsidRPr="00FD50F6" w:rsidRDefault="002B733E" w:rsidP="002B733E">
            <w:pPr>
              <w:pStyle w:val="7"/>
              <w:rPr>
                <w:b/>
              </w:rPr>
            </w:pPr>
            <w:r w:rsidRPr="00FD50F6">
              <w:rPr>
                <w:rFonts w:hint="eastAsia"/>
                <w:b/>
              </w:rPr>
              <w:t>22</w:t>
            </w:r>
          </w:p>
        </w:tc>
        <w:tc>
          <w:tcPr>
            <w:tcW w:w="756" w:type="dxa"/>
            <w:vAlign w:val="center"/>
          </w:tcPr>
          <w:p w14:paraId="0C456986" w14:textId="77777777" w:rsidR="002B733E" w:rsidRPr="00FD50F6" w:rsidRDefault="002B733E" w:rsidP="002B733E">
            <w:pPr>
              <w:pStyle w:val="7"/>
              <w:rPr>
                <w:b/>
              </w:rPr>
            </w:pPr>
            <w:r w:rsidRPr="00FD50F6">
              <w:rPr>
                <w:rFonts w:hint="eastAsia"/>
                <w:b/>
              </w:rPr>
              <w:t>23</w:t>
            </w:r>
          </w:p>
        </w:tc>
        <w:tc>
          <w:tcPr>
            <w:tcW w:w="756" w:type="dxa"/>
            <w:vAlign w:val="center"/>
          </w:tcPr>
          <w:p w14:paraId="5DEDF300" w14:textId="77777777" w:rsidR="002B733E" w:rsidRPr="00FD50F6" w:rsidRDefault="002B733E" w:rsidP="002B733E">
            <w:pPr>
              <w:pStyle w:val="7"/>
              <w:rPr>
                <w:b/>
              </w:rPr>
            </w:pPr>
            <w:r w:rsidRPr="00FD50F6">
              <w:rPr>
                <w:rFonts w:hint="eastAsia"/>
                <w:b/>
              </w:rPr>
              <w:t>24</w:t>
            </w:r>
          </w:p>
        </w:tc>
        <w:tc>
          <w:tcPr>
            <w:tcW w:w="756" w:type="dxa"/>
            <w:vAlign w:val="center"/>
          </w:tcPr>
          <w:p w14:paraId="0C901F1E" w14:textId="77777777" w:rsidR="002B733E" w:rsidRPr="00FD50F6" w:rsidRDefault="002B733E" w:rsidP="002B733E">
            <w:pPr>
              <w:pStyle w:val="7"/>
              <w:rPr>
                <w:b/>
              </w:rPr>
            </w:pPr>
            <w:r w:rsidRPr="00FD50F6">
              <w:rPr>
                <w:rFonts w:hint="eastAsia"/>
                <w:b/>
              </w:rPr>
              <w:t>25</w:t>
            </w:r>
          </w:p>
        </w:tc>
        <w:tc>
          <w:tcPr>
            <w:tcW w:w="756" w:type="dxa"/>
            <w:vAlign w:val="center"/>
          </w:tcPr>
          <w:p w14:paraId="10068CC1" w14:textId="77777777" w:rsidR="002B733E" w:rsidRPr="00FD50F6" w:rsidRDefault="002B733E" w:rsidP="002B733E">
            <w:pPr>
              <w:pStyle w:val="7"/>
              <w:rPr>
                <w:b/>
              </w:rPr>
            </w:pPr>
            <w:r w:rsidRPr="00FD50F6">
              <w:rPr>
                <w:rFonts w:hint="eastAsia"/>
                <w:b/>
              </w:rPr>
              <w:t>26</w:t>
            </w:r>
          </w:p>
        </w:tc>
        <w:tc>
          <w:tcPr>
            <w:tcW w:w="756" w:type="dxa"/>
            <w:vAlign w:val="center"/>
          </w:tcPr>
          <w:p w14:paraId="66528D32" w14:textId="77777777" w:rsidR="002B733E" w:rsidRPr="00FD50F6" w:rsidRDefault="002B733E" w:rsidP="002B733E">
            <w:pPr>
              <w:pStyle w:val="7"/>
              <w:rPr>
                <w:b/>
              </w:rPr>
            </w:pPr>
            <w:r w:rsidRPr="00FD50F6">
              <w:rPr>
                <w:rFonts w:hint="eastAsia"/>
                <w:b/>
              </w:rPr>
              <w:t>27</w:t>
            </w:r>
          </w:p>
        </w:tc>
        <w:tc>
          <w:tcPr>
            <w:tcW w:w="756" w:type="dxa"/>
            <w:vAlign w:val="center"/>
          </w:tcPr>
          <w:p w14:paraId="07FFA324" w14:textId="77777777" w:rsidR="002B733E" w:rsidRPr="00FD50F6" w:rsidRDefault="002B733E" w:rsidP="002B733E">
            <w:pPr>
              <w:pStyle w:val="7"/>
              <w:rPr>
                <w:b/>
              </w:rPr>
            </w:pPr>
            <w:r w:rsidRPr="00FD50F6">
              <w:rPr>
                <w:rFonts w:hint="eastAsia"/>
                <w:b/>
              </w:rPr>
              <w:t>28</w:t>
            </w:r>
          </w:p>
        </w:tc>
      </w:tr>
      <w:tr w:rsidR="00FD50F6" w:rsidRPr="00FD50F6" w14:paraId="53D44145" w14:textId="77777777" w:rsidTr="002B733E">
        <w:trPr>
          <w:trHeight w:val="397"/>
          <w:jc w:val="center"/>
        </w:trPr>
        <w:tc>
          <w:tcPr>
            <w:tcW w:w="701" w:type="dxa"/>
            <w:vAlign w:val="center"/>
          </w:tcPr>
          <w:p w14:paraId="3EDA3D33" w14:textId="77777777" w:rsidR="002B733E" w:rsidRPr="00FD50F6" w:rsidRDefault="002B733E" w:rsidP="002B733E">
            <w:pPr>
              <w:pStyle w:val="7"/>
            </w:pPr>
            <w:r w:rsidRPr="00FD50F6">
              <w:rPr>
                <w:rFonts w:hint="eastAsia"/>
              </w:rPr>
              <w:t>X</w:t>
            </w:r>
          </w:p>
        </w:tc>
        <w:tc>
          <w:tcPr>
            <w:tcW w:w="756" w:type="dxa"/>
            <w:vAlign w:val="center"/>
          </w:tcPr>
          <w:p w14:paraId="556AA9C3" w14:textId="77777777" w:rsidR="002B733E" w:rsidRPr="00FD50F6" w:rsidRDefault="002B733E" w:rsidP="002B733E">
            <w:pPr>
              <w:pStyle w:val="7"/>
            </w:pPr>
            <w:r w:rsidRPr="00FD50F6">
              <w:rPr>
                <w:rFonts w:hint="eastAsia"/>
              </w:rPr>
              <w:t>812</w:t>
            </w:r>
          </w:p>
        </w:tc>
        <w:tc>
          <w:tcPr>
            <w:tcW w:w="756" w:type="dxa"/>
            <w:vAlign w:val="center"/>
          </w:tcPr>
          <w:p w14:paraId="77FF8EAE" w14:textId="77777777" w:rsidR="002B733E" w:rsidRPr="00FD50F6" w:rsidRDefault="002B733E" w:rsidP="002B733E">
            <w:pPr>
              <w:pStyle w:val="7"/>
            </w:pPr>
            <w:r w:rsidRPr="00FD50F6">
              <w:rPr>
                <w:rFonts w:hint="eastAsia"/>
              </w:rPr>
              <w:t>747</w:t>
            </w:r>
          </w:p>
        </w:tc>
        <w:tc>
          <w:tcPr>
            <w:tcW w:w="756" w:type="dxa"/>
            <w:vAlign w:val="center"/>
          </w:tcPr>
          <w:p w14:paraId="2211982F" w14:textId="77777777" w:rsidR="002B733E" w:rsidRPr="00FD50F6" w:rsidRDefault="002B733E" w:rsidP="002B733E">
            <w:pPr>
              <w:pStyle w:val="7"/>
            </w:pPr>
            <w:r w:rsidRPr="00FD50F6">
              <w:rPr>
                <w:rFonts w:hint="eastAsia"/>
              </w:rPr>
              <w:t>707</w:t>
            </w:r>
          </w:p>
        </w:tc>
        <w:tc>
          <w:tcPr>
            <w:tcW w:w="756" w:type="dxa"/>
            <w:vAlign w:val="center"/>
          </w:tcPr>
          <w:p w14:paraId="1807F701" w14:textId="77777777" w:rsidR="002B733E" w:rsidRPr="00FD50F6" w:rsidRDefault="002B733E" w:rsidP="002B733E">
            <w:pPr>
              <w:pStyle w:val="7"/>
            </w:pPr>
            <w:r w:rsidRPr="00FD50F6">
              <w:rPr>
                <w:rFonts w:hint="eastAsia"/>
              </w:rPr>
              <w:t>707</w:t>
            </w:r>
          </w:p>
        </w:tc>
        <w:tc>
          <w:tcPr>
            <w:tcW w:w="756" w:type="dxa"/>
            <w:vAlign w:val="center"/>
          </w:tcPr>
          <w:p w14:paraId="049B901F" w14:textId="77777777" w:rsidR="002B733E" w:rsidRPr="00FD50F6" w:rsidRDefault="002B733E" w:rsidP="002B733E">
            <w:pPr>
              <w:pStyle w:val="7"/>
            </w:pPr>
            <w:r w:rsidRPr="00FD50F6">
              <w:rPr>
                <w:rFonts w:hint="eastAsia"/>
              </w:rPr>
              <w:t>677</w:t>
            </w:r>
          </w:p>
        </w:tc>
        <w:tc>
          <w:tcPr>
            <w:tcW w:w="756" w:type="dxa"/>
            <w:vAlign w:val="center"/>
          </w:tcPr>
          <w:p w14:paraId="5EF4B5EC" w14:textId="77777777" w:rsidR="002B733E" w:rsidRPr="00FD50F6" w:rsidRDefault="002B733E" w:rsidP="002B733E">
            <w:pPr>
              <w:pStyle w:val="7"/>
            </w:pPr>
            <w:r w:rsidRPr="00FD50F6">
              <w:rPr>
                <w:rFonts w:hint="eastAsia"/>
              </w:rPr>
              <w:t>677</w:t>
            </w:r>
          </w:p>
        </w:tc>
        <w:tc>
          <w:tcPr>
            <w:tcW w:w="756" w:type="dxa"/>
            <w:vAlign w:val="center"/>
          </w:tcPr>
          <w:p w14:paraId="6CF41591" w14:textId="77777777" w:rsidR="002B733E" w:rsidRPr="00FD50F6" w:rsidRDefault="002B733E" w:rsidP="002B733E">
            <w:pPr>
              <w:pStyle w:val="7"/>
            </w:pPr>
            <w:r w:rsidRPr="00FD50F6">
              <w:rPr>
                <w:rFonts w:hint="eastAsia"/>
              </w:rPr>
              <w:t>506</w:t>
            </w:r>
          </w:p>
        </w:tc>
        <w:tc>
          <w:tcPr>
            <w:tcW w:w="756" w:type="dxa"/>
            <w:vAlign w:val="center"/>
          </w:tcPr>
          <w:p w14:paraId="6AEC5F06" w14:textId="77777777" w:rsidR="002B733E" w:rsidRPr="00FD50F6" w:rsidRDefault="002B733E" w:rsidP="002B733E">
            <w:pPr>
              <w:pStyle w:val="7"/>
            </w:pPr>
            <w:r w:rsidRPr="00FD50F6">
              <w:rPr>
                <w:rFonts w:hint="eastAsia"/>
              </w:rPr>
              <w:t>186</w:t>
            </w:r>
          </w:p>
        </w:tc>
        <w:tc>
          <w:tcPr>
            <w:tcW w:w="756" w:type="dxa"/>
            <w:vAlign w:val="center"/>
          </w:tcPr>
          <w:p w14:paraId="0906530F" w14:textId="77777777" w:rsidR="002B733E" w:rsidRPr="00FD50F6" w:rsidRDefault="002B733E" w:rsidP="002B733E">
            <w:pPr>
              <w:pStyle w:val="7"/>
            </w:pPr>
            <w:r w:rsidRPr="00FD50F6">
              <w:rPr>
                <w:rFonts w:hint="eastAsia"/>
              </w:rPr>
              <w:t>186</w:t>
            </w:r>
          </w:p>
        </w:tc>
        <w:tc>
          <w:tcPr>
            <w:tcW w:w="756" w:type="dxa"/>
            <w:vAlign w:val="center"/>
          </w:tcPr>
          <w:p w14:paraId="52AD0CE3" w14:textId="77777777" w:rsidR="002B733E" w:rsidRPr="00FD50F6" w:rsidRDefault="002B733E" w:rsidP="002B733E">
            <w:pPr>
              <w:pStyle w:val="7"/>
            </w:pPr>
            <w:r w:rsidRPr="00FD50F6">
              <w:rPr>
                <w:rFonts w:hint="eastAsia"/>
              </w:rPr>
              <w:t>0</w:t>
            </w:r>
          </w:p>
        </w:tc>
      </w:tr>
      <w:tr w:rsidR="00FD50F6" w:rsidRPr="00FD50F6" w14:paraId="6A18BE16" w14:textId="77777777" w:rsidTr="002B733E">
        <w:trPr>
          <w:trHeight w:val="397"/>
          <w:jc w:val="center"/>
        </w:trPr>
        <w:tc>
          <w:tcPr>
            <w:tcW w:w="701" w:type="dxa"/>
            <w:vAlign w:val="center"/>
          </w:tcPr>
          <w:p w14:paraId="10D8E7FC" w14:textId="77777777" w:rsidR="002B733E" w:rsidRPr="00FD50F6" w:rsidRDefault="002B733E" w:rsidP="002B733E">
            <w:pPr>
              <w:pStyle w:val="7"/>
            </w:pPr>
            <w:r w:rsidRPr="00FD50F6">
              <w:rPr>
                <w:rFonts w:hint="eastAsia"/>
              </w:rPr>
              <w:t>Y</w:t>
            </w:r>
          </w:p>
        </w:tc>
        <w:tc>
          <w:tcPr>
            <w:tcW w:w="756" w:type="dxa"/>
            <w:vAlign w:val="center"/>
          </w:tcPr>
          <w:p w14:paraId="6C4861F2" w14:textId="77777777" w:rsidR="002B733E" w:rsidRPr="00FD50F6" w:rsidRDefault="002B733E" w:rsidP="002B733E">
            <w:pPr>
              <w:pStyle w:val="7"/>
            </w:pPr>
            <w:r w:rsidRPr="00FD50F6">
              <w:rPr>
                <w:rFonts w:hint="eastAsia"/>
              </w:rPr>
              <w:t>0</w:t>
            </w:r>
          </w:p>
        </w:tc>
        <w:tc>
          <w:tcPr>
            <w:tcW w:w="756" w:type="dxa"/>
            <w:vAlign w:val="center"/>
          </w:tcPr>
          <w:p w14:paraId="2FE271FB" w14:textId="77777777" w:rsidR="002B733E" w:rsidRPr="00FD50F6" w:rsidRDefault="002B733E" w:rsidP="002B733E">
            <w:pPr>
              <w:pStyle w:val="7"/>
            </w:pPr>
            <w:r w:rsidRPr="00FD50F6">
              <w:rPr>
                <w:rFonts w:hint="eastAsia"/>
              </w:rPr>
              <w:t>0</w:t>
            </w:r>
          </w:p>
        </w:tc>
        <w:tc>
          <w:tcPr>
            <w:tcW w:w="756" w:type="dxa"/>
            <w:vAlign w:val="center"/>
          </w:tcPr>
          <w:p w14:paraId="1D3B87C5" w14:textId="77777777" w:rsidR="002B733E" w:rsidRPr="00FD50F6" w:rsidRDefault="002B733E" w:rsidP="002B733E">
            <w:pPr>
              <w:pStyle w:val="7"/>
            </w:pPr>
            <w:r w:rsidRPr="00FD50F6">
              <w:rPr>
                <w:rFonts w:hint="eastAsia"/>
              </w:rPr>
              <w:t>0</w:t>
            </w:r>
          </w:p>
        </w:tc>
        <w:tc>
          <w:tcPr>
            <w:tcW w:w="756" w:type="dxa"/>
            <w:vAlign w:val="center"/>
          </w:tcPr>
          <w:p w14:paraId="0FD46563" w14:textId="77777777" w:rsidR="002B733E" w:rsidRPr="00FD50F6" w:rsidRDefault="002B733E" w:rsidP="002B733E">
            <w:pPr>
              <w:pStyle w:val="7"/>
            </w:pPr>
            <w:r w:rsidRPr="00FD50F6">
              <w:rPr>
                <w:rFonts w:hint="eastAsia"/>
              </w:rPr>
              <w:t>-28</w:t>
            </w:r>
          </w:p>
        </w:tc>
        <w:tc>
          <w:tcPr>
            <w:tcW w:w="756" w:type="dxa"/>
            <w:vAlign w:val="center"/>
          </w:tcPr>
          <w:p w14:paraId="6242521E" w14:textId="77777777" w:rsidR="002B733E" w:rsidRPr="00FD50F6" w:rsidRDefault="002B733E" w:rsidP="002B733E">
            <w:pPr>
              <w:pStyle w:val="7"/>
            </w:pPr>
            <w:r w:rsidRPr="00FD50F6">
              <w:rPr>
                <w:rFonts w:hint="eastAsia"/>
              </w:rPr>
              <w:t>-28</w:t>
            </w:r>
          </w:p>
        </w:tc>
        <w:tc>
          <w:tcPr>
            <w:tcW w:w="756" w:type="dxa"/>
            <w:vAlign w:val="center"/>
          </w:tcPr>
          <w:p w14:paraId="255529DC" w14:textId="77777777" w:rsidR="002B733E" w:rsidRPr="00FD50F6" w:rsidRDefault="002B733E" w:rsidP="002B733E">
            <w:pPr>
              <w:pStyle w:val="7"/>
            </w:pPr>
            <w:r w:rsidRPr="00FD50F6">
              <w:rPr>
                <w:rFonts w:hint="eastAsia"/>
              </w:rPr>
              <w:t>115</w:t>
            </w:r>
          </w:p>
        </w:tc>
        <w:tc>
          <w:tcPr>
            <w:tcW w:w="756" w:type="dxa"/>
            <w:vAlign w:val="center"/>
          </w:tcPr>
          <w:p w14:paraId="4F33920C" w14:textId="77777777" w:rsidR="002B733E" w:rsidRPr="00FD50F6" w:rsidRDefault="002B733E" w:rsidP="002B733E">
            <w:pPr>
              <w:pStyle w:val="7"/>
            </w:pPr>
            <w:r w:rsidRPr="00FD50F6">
              <w:rPr>
                <w:rFonts w:hint="eastAsia"/>
              </w:rPr>
              <w:t>115</w:t>
            </w:r>
          </w:p>
        </w:tc>
        <w:tc>
          <w:tcPr>
            <w:tcW w:w="756" w:type="dxa"/>
            <w:vAlign w:val="center"/>
          </w:tcPr>
          <w:p w14:paraId="0876A7E3" w14:textId="77777777" w:rsidR="002B733E" w:rsidRPr="00FD50F6" w:rsidRDefault="002B733E" w:rsidP="002B733E">
            <w:pPr>
              <w:pStyle w:val="7"/>
            </w:pPr>
            <w:r w:rsidRPr="00FD50F6">
              <w:rPr>
                <w:rFonts w:hint="eastAsia"/>
              </w:rPr>
              <w:t>115</w:t>
            </w:r>
          </w:p>
        </w:tc>
        <w:tc>
          <w:tcPr>
            <w:tcW w:w="756" w:type="dxa"/>
            <w:vAlign w:val="center"/>
          </w:tcPr>
          <w:p w14:paraId="4B13548E" w14:textId="77777777" w:rsidR="002B733E" w:rsidRPr="00FD50F6" w:rsidRDefault="002B733E" w:rsidP="002B733E">
            <w:pPr>
              <w:pStyle w:val="7"/>
            </w:pPr>
            <w:r w:rsidRPr="00FD50F6">
              <w:rPr>
                <w:rFonts w:hint="eastAsia"/>
              </w:rPr>
              <w:t>162</w:t>
            </w:r>
          </w:p>
        </w:tc>
        <w:tc>
          <w:tcPr>
            <w:tcW w:w="756" w:type="dxa"/>
            <w:vAlign w:val="center"/>
          </w:tcPr>
          <w:p w14:paraId="3F9FA20E" w14:textId="77777777" w:rsidR="002B733E" w:rsidRPr="00FD50F6" w:rsidRDefault="002B733E" w:rsidP="002B733E">
            <w:pPr>
              <w:pStyle w:val="7"/>
            </w:pPr>
            <w:r w:rsidRPr="00FD50F6">
              <w:rPr>
                <w:rFonts w:hint="eastAsia"/>
              </w:rPr>
              <w:t>162</w:t>
            </w:r>
          </w:p>
        </w:tc>
      </w:tr>
      <w:tr w:rsidR="00FD50F6" w:rsidRPr="00FD50F6" w14:paraId="36E3A2B5" w14:textId="77777777" w:rsidTr="002B733E">
        <w:trPr>
          <w:trHeight w:val="397"/>
          <w:jc w:val="center"/>
        </w:trPr>
        <w:tc>
          <w:tcPr>
            <w:tcW w:w="701" w:type="dxa"/>
            <w:vAlign w:val="center"/>
          </w:tcPr>
          <w:p w14:paraId="52414B60" w14:textId="77777777" w:rsidR="002B733E" w:rsidRPr="00FD50F6" w:rsidRDefault="002B733E" w:rsidP="002B733E">
            <w:pPr>
              <w:pStyle w:val="7"/>
            </w:pPr>
            <w:r w:rsidRPr="00FD50F6">
              <w:rPr>
                <w:rFonts w:hint="eastAsia"/>
              </w:rPr>
              <w:t>点号</w:t>
            </w:r>
          </w:p>
        </w:tc>
        <w:tc>
          <w:tcPr>
            <w:tcW w:w="756" w:type="dxa"/>
            <w:vAlign w:val="bottom"/>
          </w:tcPr>
          <w:p w14:paraId="2DF5859B" w14:textId="77777777" w:rsidR="002B733E" w:rsidRPr="00FD50F6" w:rsidRDefault="002B733E" w:rsidP="002B733E">
            <w:pPr>
              <w:pStyle w:val="7"/>
              <w:rPr>
                <w:b/>
              </w:rPr>
            </w:pPr>
            <w:r w:rsidRPr="00FD50F6">
              <w:rPr>
                <w:rFonts w:hint="eastAsia"/>
                <w:b/>
              </w:rPr>
              <w:t>29d</w:t>
            </w:r>
          </w:p>
        </w:tc>
        <w:tc>
          <w:tcPr>
            <w:tcW w:w="756" w:type="dxa"/>
            <w:vAlign w:val="bottom"/>
          </w:tcPr>
          <w:p w14:paraId="3F135C15" w14:textId="77777777" w:rsidR="002B733E" w:rsidRPr="00FD50F6" w:rsidRDefault="002B733E" w:rsidP="002B733E">
            <w:pPr>
              <w:pStyle w:val="7"/>
              <w:rPr>
                <w:b/>
              </w:rPr>
            </w:pPr>
            <w:r w:rsidRPr="00FD50F6">
              <w:rPr>
                <w:rFonts w:hint="eastAsia"/>
                <w:b/>
              </w:rPr>
              <w:t>30d</w:t>
            </w:r>
          </w:p>
        </w:tc>
        <w:tc>
          <w:tcPr>
            <w:tcW w:w="756" w:type="dxa"/>
            <w:vAlign w:val="bottom"/>
          </w:tcPr>
          <w:p w14:paraId="64C0641F" w14:textId="77777777" w:rsidR="002B733E" w:rsidRPr="00FD50F6" w:rsidRDefault="002B733E" w:rsidP="002B733E">
            <w:pPr>
              <w:pStyle w:val="7"/>
              <w:rPr>
                <w:b/>
              </w:rPr>
            </w:pPr>
            <w:r w:rsidRPr="00FD50F6">
              <w:rPr>
                <w:rFonts w:hint="eastAsia"/>
                <w:b/>
              </w:rPr>
              <w:t>31d</w:t>
            </w:r>
          </w:p>
        </w:tc>
        <w:tc>
          <w:tcPr>
            <w:tcW w:w="756" w:type="dxa"/>
            <w:vAlign w:val="bottom"/>
          </w:tcPr>
          <w:p w14:paraId="43CDF8F1" w14:textId="77777777" w:rsidR="002B733E" w:rsidRPr="00FD50F6" w:rsidRDefault="002B733E" w:rsidP="002B733E">
            <w:pPr>
              <w:pStyle w:val="7"/>
              <w:rPr>
                <w:b/>
              </w:rPr>
            </w:pPr>
            <w:r w:rsidRPr="00FD50F6">
              <w:rPr>
                <w:rFonts w:hint="eastAsia"/>
                <w:b/>
              </w:rPr>
              <w:t>32d</w:t>
            </w:r>
          </w:p>
        </w:tc>
        <w:tc>
          <w:tcPr>
            <w:tcW w:w="756" w:type="dxa"/>
            <w:vAlign w:val="bottom"/>
          </w:tcPr>
          <w:p w14:paraId="4FD3FCCF" w14:textId="77777777" w:rsidR="002B733E" w:rsidRPr="00FD50F6" w:rsidRDefault="002B733E" w:rsidP="002B733E">
            <w:pPr>
              <w:pStyle w:val="7"/>
              <w:rPr>
                <w:b/>
              </w:rPr>
            </w:pPr>
            <w:r w:rsidRPr="00FD50F6">
              <w:rPr>
                <w:rFonts w:hint="eastAsia"/>
                <w:b/>
              </w:rPr>
              <w:t>33d</w:t>
            </w:r>
          </w:p>
        </w:tc>
        <w:tc>
          <w:tcPr>
            <w:tcW w:w="756" w:type="dxa"/>
            <w:vAlign w:val="bottom"/>
          </w:tcPr>
          <w:p w14:paraId="12966113" w14:textId="77777777" w:rsidR="002B733E" w:rsidRPr="00FD50F6" w:rsidRDefault="002B733E" w:rsidP="002B733E">
            <w:pPr>
              <w:pStyle w:val="7"/>
              <w:rPr>
                <w:b/>
              </w:rPr>
            </w:pPr>
            <w:r w:rsidRPr="00FD50F6">
              <w:rPr>
                <w:rFonts w:hint="eastAsia"/>
                <w:b/>
              </w:rPr>
              <w:t>34d</w:t>
            </w:r>
          </w:p>
        </w:tc>
        <w:tc>
          <w:tcPr>
            <w:tcW w:w="756" w:type="dxa"/>
            <w:vAlign w:val="bottom"/>
          </w:tcPr>
          <w:p w14:paraId="2E16E182" w14:textId="77777777" w:rsidR="002B733E" w:rsidRPr="00FD50F6" w:rsidRDefault="002B733E" w:rsidP="002B733E">
            <w:pPr>
              <w:pStyle w:val="7"/>
              <w:rPr>
                <w:b/>
              </w:rPr>
            </w:pPr>
            <w:r w:rsidRPr="00FD50F6">
              <w:rPr>
                <w:rFonts w:hint="eastAsia"/>
                <w:b/>
              </w:rPr>
              <w:t>35d</w:t>
            </w:r>
          </w:p>
        </w:tc>
        <w:tc>
          <w:tcPr>
            <w:tcW w:w="756" w:type="dxa"/>
            <w:vAlign w:val="bottom"/>
          </w:tcPr>
          <w:p w14:paraId="3ED5F645" w14:textId="77777777" w:rsidR="002B733E" w:rsidRPr="00FD50F6" w:rsidRDefault="002B733E" w:rsidP="002B733E">
            <w:pPr>
              <w:pStyle w:val="7"/>
              <w:rPr>
                <w:b/>
              </w:rPr>
            </w:pPr>
            <w:r w:rsidRPr="00FD50F6">
              <w:rPr>
                <w:rFonts w:hint="eastAsia"/>
                <w:b/>
              </w:rPr>
              <w:t>—</w:t>
            </w:r>
          </w:p>
        </w:tc>
        <w:tc>
          <w:tcPr>
            <w:tcW w:w="756" w:type="dxa"/>
            <w:vAlign w:val="bottom"/>
          </w:tcPr>
          <w:p w14:paraId="315577D4" w14:textId="77777777" w:rsidR="002B733E" w:rsidRPr="00FD50F6" w:rsidRDefault="002B733E" w:rsidP="002B733E">
            <w:pPr>
              <w:pStyle w:val="7"/>
              <w:rPr>
                <w:b/>
              </w:rPr>
            </w:pPr>
            <w:r w:rsidRPr="00FD50F6">
              <w:rPr>
                <w:rFonts w:hint="eastAsia"/>
                <w:b/>
              </w:rPr>
              <w:t>—</w:t>
            </w:r>
          </w:p>
        </w:tc>
        <w:tc>
          <w:tcPr>
            <w:tcW w:w="756" w:type="dxa"/>
            <w:vAlign w:val="bottom"/>
          </w:tcPr>
          <w:p w14:paraId="36E2D3C9" w14:textId="77777777" w:rsidR="002B733E" w:rsidRPr="00FD50F6" w:rsidRDefault="002B733E" w:rsidP="002B733E">
            <w:pPr>
              <w:pStyle w:val="7"/>
              <w:rPr>
                <w:b/>
              </w:rPr>
            </w:pPr>
            <w:r w:rsidRPr="00FD50F6">
              <w:rPr>
                <w:rFonts w:hint="eastAsia"/>
                <w:b/>
              </w:rPr>
              <w:t>—</w:t>
            </w:r>
          </w:p>
        </w:tc>
      </w:tr>
      <w:tr w:rsidR="00FD50F6" w:rsidRPr="00FD50F6" w14:paraId="51460AAC" w14:textId="77777777" w:rsidTr="002B733E">
        <w:trPr>
          <w:trHeight w:val="397"/>
          <w:jc w:val="center"/>
        </w:trPr>
        <w:tc>
          <w:tcPr>
            <w:tcW w:w="701" w:type="dxa"/>
            <w:vAlign w:val="center"/>
          </w:tcPr>
          <w:p w14:paraId="55E5C7AE" w14:textId="77777777" w:rsidR="002B733E" w:rsidRPr="00FD50F6" w:rsidRDefault="002B733E" w:rsidP="002B733E">
            <w:pPr>
              <w:pStyle w:val="7"/>
            </w:pPr>
            <w:r w:rsidRPr="00FD50F6">
              <w:rPr>
                <w:rFonts w:hint="eastAsia"/>
              </w:rPr>
              <w:t>X</w:t>
            </w:r>
          </w:p>
        </w:tc>
        <w:tc>
          <w:tcPr>
            <w:tcW w:w="756" w:type="dxa"/>
            <w:vAlign w:val="bottom"/>
          </w:tcPr>
          <w:p w14:paraId="6B2A3473" w14:textId="77777777" w:rsidR="002B733E" w:rsidRPr="00FD50F6" w:rsidRDefault="002B733E" w:rsidP="002B733E">
            <w:pPr>
              <w:pStyle w:val="7"/>
            </w:pPr>
            <w:r w:rsidRPr="00FD50F6">
              <w:rPr>
                <w:rFonts w:hint="eastAsia"/>
              </w:rPr>
              <w:t>-1308</w:t>
            </w:r>
          </w:p>
        </w:tc>
        <w:tc>
          <w:tcPr>
            <w:tcW w:w="756" w:type="dxa"/>
            <w:vAlign w:val="bottom"/>
          </w:tcPr>
          <w:p w14:paraId="4D2B229A" w14:textId="77777777" w:rsidR="002B733E" w:rsidRPr="00FD50F6" w:rsidRDefault="002B733E" w:rsidP="002B733E">
            <w:pPr>
              <w:pStyle w:val="7"/>
            </w:pPr>
            <w:r w:rsidRPr="00FD50F6">
              <w:rPr>
                <w:rFonts w:hint="eastAsia"/>
              </w:rPr>
              <w:t>-1580</w:t>
            </w:r>
          </w:p>
        </w:tc>
        <w:tc>
          <w:tcPr>
            <w:tcW w:w="756" w:type="dxa"/>
            <w:vAlign w:val="bottom"/>
          </w:tcPr>
          <w:p w14:paraId="0ADB4D7C" w14:textId="77777777" w:rsidR="002B733E" w:rsidRPr="00FD50F6" w:rsidRDefault="002B733E" w:rsidP="002B733E">
            <w:pPr>
              <w:pStyle w:val="7"/>
            </w:pPr>
            <w:r w:rsidRPr="00FD50F6">
              <w:rPr>
                <w:rFonts w:hint="eastAsia"/>
              </w:rPr>
              <w:t>-1580</w:t>
            </w:r>
          </w:p>
        </w:tc>
        <w:tc>
          <w:tcPr>
            <w:tcW w:w="756" w:type="dxa"/>
            <w:vAlign w:val="bottom"/>
          </w:tcPr>
          <w:p w14:paraId="1A3831DE" w14:textId="77777777" w:rsidR="002B733E" w:rsidRPr="00FD50F6" w:rsidRDefault="002B733E" w:rsidP="002B733E">
            <w:pPr>
              <w:pStyle w:val="7"/>
            </w:pPr>
            <w:r w:rsidRPr="00FD50F6">
              <w:rPr>
                <w:rFonts w:hint="eastAsia"/>
              </w:rPr>
              <w:t>-1443</w:t>
            </w:r>
          </w:p>
        </w:tc>
        <w:tc>
          <w:tcPr>
            <w:tcW w:w="756" w:type="dxa"/>
            <w:vAlign w:val="bottom"/>
          </w:tcPr>
          <w:p w14:paraId="78DDBE61" w14:textId="77777777" w:rsidR="002B733E" w:rsidRPr="00FD50F6" w:rsidRDefault="002B733E" w:rsidP="002B733E">
            <w:pPr>
              <w:pStyle w:val="7"/>
            </w:pPr>
            <w:r w:rsidRPr="00FD50F6">
              <w:rPr>
                <w:rFonts w:hint="eastAsia"/>
              </w:rPr>
              <w:t>-1409</w:t>
            </w:r>
          </w:p>
        </w:tc>
        <w:tc>
          <w:tcPr>
            <w:tcW w:w="756" w:type="dxa"/>
            <w:vAlign w:val="bottom"/>
          </w:tcPr>
          <w:p w14:paraId="6DDD79EF" w14:textId="77777777" w:rsidR="002B733E" w:rsidRPr="00FD50F6" w:rsidRDefault="002B733E" w:rsidP="002B733E">
            <w:pPr>
              <w:pStyle w:val="7"/>
            </w:pPr>
            <w:r w:rsidRPr="00FD50F6">
              <w:rPr>
                <w:rFonts w:hint="eastAsia"/>
              </w:rPr>
              <w:t>-1226</w:t>
            </w:r>
          </w:p>
        </w:tc>
        <w:tc>
          <w:tcPr>
            <w:tcW w:w="756" w:type="dxa"/>
            <w:vAlign w:val="bottom"/>
          </w:tcPr>
          <w:p w14:paraId="649BB8D6" w14:textId="77777777" w:rsidR="002B733E" w:rsidRPr="00FD50F6" w:rsidRDefault="002B733E" w:rsidP="002B733E">
            <w:pPr>
              <w:pStyle w:val="7"/>
            </w:pPr>
            <w:r w:rsidRPr="00FD50F6">
              <w:rPr>
                <w:rFonts w:hint="eastAsia"/>
              </w:rPr>
              <w:t>-1095</w:t>
            </w:r>
          </w:p>
        </w:tc>
        <w:tc>
          <w:tcPr>
            <w:tcW w:w="756" w:type="dxa"/>
            <w:vAlign w:val="bottom"/>
          </w:tcPr>
          <w:p w14:paraId="450EE30D" w14:textId="77777777" w:rsidR="002B733E" w:rsidRPr="00FD50F6" w:rsidRDefault="002B733E" w:rsidP="002B733E">
            <w:pPr>
              <w:pStyle w:val="7"/>
              <w:rPr>
                <w:b/>
              </w:rPr>
            </w:pPr>
            <w:r w:rsidRPr="00FD50F6">
              <w:rPr>
                <w:rFonts w:hint="eastAsia"/>
                <w:b/>
              </w:rPr>
              <w:t>—</w:t>
            </w:r>
          </w:p>
        </w:tc>
        <w:tc>
          <w:tcPr>
            <w:tcW w:w="756" w:type="dxa"/>
            <w:vAlign w:val="bottom"/>
          </w:tcPr>
          <w:p w14:paraId="6729467B" w14:textId="77777777" w:rsidR="002B733E" w:rsidRPr="00FD50F6" w:rsidRDefault="002B733E" w:rsidP="002B733E">
            <w:pPr>
              <w:pStyle w:val="7"/>
              <w:rPr>
                <w:b/>
              </w:rPr>
            </w:pPr>
            <w:r w:rsidRPr="00FD50F6">
              <w:rPr>
                <w:rFonts w:hint="eastAsia"/>
                <w:b/>
              </w:rPr>
              <w:t>—</w:t>
            </w:r>
          </w:p>
        </w:tc>
        <w:tc>
          <w:tcPr>
            <w:tcW w:w="756" w:type="dxa"/>
            <w:vAlign w:val="bottom"/>
          </w:tcPr>
          <w:p w14:paraId="3581D7F1" w14:textId="77777777" w:rsidR="002B733E" w:rsidRPr="00FD50F6" w:rsidRDefault="002B733E" w:rsidP="002B733E">
            <w:pPr>
              <w:pStyle w:val="7"/>
              <w:rPr>
                <w:b/>
              </w:rPr>
            </w:pPr>
            <w:r w:rsidRPr="00FD50F6">
              <w:rPr>
                <w:rFonts w:hint="eastAsia"/>
                <w:b/>
              </w:rPr>
              <w:t>—</w:t>
            </w:r>
          </w:p>
        </w:tc>
      </w:tr>
      <w:tr w:rsidR="00FD50F6" w:rsidRPr="00FD50F6" w14:paraId="74841709" w14:textId="77777777" w:rsidTr="002B733E">
        <w:trPr>
          <w:trHeight w:val="397"/>
          <w:jc w:val="center"/>
        </w:trPr>
        <w:tc>
          <w:tcPr>
            <w:tcW w:w="701" w:type="dxa"/>
            <w:vAlign w:val="center"/>
          </w:tcPr>
          <w:p w14:paraId="07144553" w14:textId="77777777" w:rsidR="002B733E" w:rsidRPr="00FD50F6" w:rsidRDefault="002B733E" w:rsidP="002B733E">
            <w:pPr>
              <w:pStyle w:val="7"/>
            </w:pPr>
            <w:r w:rsidRPr="00FD50F6">
              <w:rPr>
                <w:rFonts w:hint="eastAsia"/>
              </w:rPr>
              <w:t>Y</w:t>
            </w:r>
          </w:p>
        </w:tc>
        <w:tc>
          <w:tcPr>
            <w:tcW w:w="756" w:type="dxa"/>
            <w:vAlign w:val="bottom"/>
          </w:tcPr>
          <w:p w14:paraId="2FB436A7" w14:textId="77777777" w:rsidR="002B733E" w:rsidRPr="00FD50F6" w:rsidRDefault="002B733E" w:rsidP="002B733E">
            <w:pPr>
              <w:pStyle w:val="7"/>
            </w:pPr>
            <w:r w:rsidRPr="00FD50F6">
              <w:rPr>
                <w:rFonts w:hint="eastAsia"/>
              </w:rPr>
              <w:t>200</w:t>
            </w:r>
          </w:p>
        </w:tc>
        <w:tc>
          <w:tcPr>
            <w:tcW w:w="756" w:type="dxa"/>
            <w:vAlign w:val="bottom"/>
          </w:tcPr>
          <w:p w14:paraId="2FA172AB" w14:textId="77777777" w:rsidR="002B733E" w:rsidRPr="00FD50F6" w:rsidRDefault="002B733E" w:rsidP="002B733E">
            <w:pPr>
              <w:pStyle w:val="7"/>
            </w:pPr>
            <w:r w:rsidRPr="00FD50F6">
              <w:rPr>
                <w:rFonts w:hint="eastAsia"/>
              </w:rPr>
              <w:t>200</w:t>
            </w:r>
          </w:p>
        </w:tc>
        <w:tc>
          <w:tcPr>
            <w:tcW w:w="756" w:type="dxa"/>
            <w:vAlign w:val="bottom"/>
          </w:tcPr>
          <w:p w14:paraId="5FB8E755" w14:textId="77777777" w:rsidR="002B733E" w:rsidRPr="00FD50F6" w:rsidRDefault="002B733E" w:rsidP="002B733E">
            <w:pPr>
              <w:pStyle w:val="7"/>
            </w:pPr>
            <w:r w:rsidRPr="00FD50F6">
              <w:rPr>
                <w:rFonts w:hint="eastAsia"/>
              </w:rPr>
              <w:t>150</w:t>
            </w:r>
          </w:p>
        </w:tc>
        <w:tc>
          <w:tcPr>
            <w:tcW w:w="756" w:type="dxa"/>
            <w:vAlign w:val="bottom"/>
          </w:tcPr>
          <w:p w14:paraId="538F8038" w14:textId="77777777" w:rsidR="002B733E" w:rsidRPr="00FD50F6" w:rsidRDefault="002B733E" w:rsidP="002B733E">
            <w:pPr>
              <w:pStyle w:val="7"/>
            </w:pPr>
            <w:r w:rsidRPr="00FD50F6">
              <w:rPr>
                <w:rFonts w:hint="eastAsia"/>
              </w:rPr>
              <w:t>150</w:t>
            </w:r>
          </w:p>
        </w:tc>
        <w:tc>
          <w:tcPr>
            <w:tcW w:w="756" w:type="dxa"/>
            <w:vAlign w:val="bottom"/>
          </w:tcPr>
          <w:p w14:paraId="4336C41A" w14:textId="77777777" w:rsidR="002B733E" w:rsidRPr="00FD50F6" w:rsidRDefault="002B733E" w:rsidP="002B733E">
            <w:pPr>
              <w:pStyle w:val="7"/>
            </w:pPr>
            <w:r w:rsidRPr="00FD50F6">
              <w:rPr>
                <w:rFonts w:hint="eastAsia"/>
              </w:rPr>
              <w:t>117</w:t>
            </w:r>
          </w:p>
        </w:tc>
        <w:tc>
          <w:tcPr>
            <w:tcW w:w="756" w:type="dxa"/>
            <w:vAlign w:val="bottom"/>
          </w:tcPr>
          <w:p w14:paraId="270DF888" w14:textId="77777777" w:rsidR="002B733E" w:rsidRPr="00FD50F6" w:rsidRDefault="002B733E" w:rsidP="002B733E">
            <w:pPr>
              <w:pStyle w:val="7"/>
            </w:pPr>
            <w:r w:rsidRPr="00FD50F6">
              <w:rPr>
                <w:rFonts w:hint="eastAsia"/>
              </w:rPr>
              <w:t>117</w:t>
            </w:r>
          </w:p>
        </w:tc>
        <w:tc>
          <w:tcPr>
            <w:tcW w:w="756" w:type="dxa"/>
            <w:vAlign w:val="bottom"/>
          </w:tcPr>
          <w:p w14:paraId="5E044023" w14:textId="77777777" w:rsidR="002B733E" w:rsidRPr="00FD50F6" w:rsidRDefault="002B733E" w:rsidP="002B733E">
            <w:pPr>
              <w:pStyle w:val="7"/>
            </w:pPr>
            <w:r w:rsidRPr="00FD50F6">
              <w:rPr>
                <w:rFonts w:hint="eastAsia"/>
              </w:rPr>
              <w:t>156</w:t>
            </w:r>
          </w:p>
        </w:tc>
        <w:tc>
          <w:tcPr>
            <w:tcW w:w="756" w:type="dxa"/>
            <w:vAlign w:val="bottom"/>
          </w:tcPr>
          <w:p w14:paraId="641D6A89" w14:textId="77777777" w:rsidR="002B733E" w:rsidRPr="00FD50F6" w:rsidRDefault="002B733E" w:rsidP="002B733E">
            <w:pPr>
              <w:pStyle w:val="7"/>
              <w:rPr>
                <w:b/>
              </w:rPr>
            </w:pPr>
            <w:r w:rsidRPr="00FD50F6">
              <w:rPr>
                <w:rFonts w:hint="eastAsia"/>
                <w:b/>
              </w:rPr>
              <w:t>—</w:t>
            </w:r>
          </w:p>
        </w:tc>
        <w:tc>
          <w:tcPr>
            <w:tcW w:w="756" w:type="dxa"/>
            <w:vAlign w:val="bottom"/>
          </w:tcPr>
          <w:p w14:paraId="578CF238" w14:textId="77777777" w:rsidR="002B733E" w:rsidRPr="00FD50F6" w:rsidRDefault="002B733E" w:rsidP="002B733E">
            <w:pPr>
              <w:pStyle w:val="7"/>
              <w:rPr>
                <w:b/>
              </w:rPr>
            </w:pPr>
            <w:r w:rsidRPr="00FD50F6">
              <w:rPr>
                <w:rFonts w:hint="eastAsia"/>
                <w:b/>
              </w:rPr>
              <w:t>—</w:t>
            </w:r>
          </w:p>
        </w:tc>
        <w:tc>
          <w:tcPr>
            <w:tcW w:w="756" w:type="dxa"/>
            <w:vAlign w:val="bottom"/>
          </w:tcPr>
          <w:p w14:paraId="55353020" w14:textId="77777777" w:rsidR="002B733E" w:rsidRPr="00FD50F6" w:rsidRDefault="002B733E" w:rsidP="002B733E">
            <w:pPr>
              <w:pStyle w:val="7"/>
              <w:rPr>
                <w:b/>
              </w:rPr>
            </w:pPr>
            <w:r w:rsidRPr="00FD50F6">
              <w:rPr>
                <w:rFonts w:hint="eastAsia"/>
                <w:b/>
              </w:rPr>
              <w:t>—</w:t>
            </w:r>
          </w:p>
        </w:tc>
      </w:tr>
      <w:tr w:rsidR="00FD50F6" w:rsidRPr="00FD50F6" w14:paraId="09FC368D" w14:textId="77777777" w:rsidTr="002B733E">
        <w:trPr>
          <w:trHeight w:val="397"/>
          <w:jc w:val="center"/>
        </w:trPr>
        <w:tc>
          <w:tcPr>
            <w:tcW w:w="701" w:type="dxa"/>
            <w:vAlign w:val="center"/>
          </w:tcPr>
          <w:p w14:paraId="0A74A531" w14:textId="77777777" w:rsidR="002B733E" w:rsidRPr="00FD50F6" w:rsidRDefault="002B733E" w:rsidP="002B733E">
            <w:pPr>
              <w:pStyle w:val="7"/>
            </w:pPr>
            <w:r w:rsidRPr="00FD50F6">
              <w:rPr>
                <w:rFonts w:hint="eastAsia"/>
              </w:rPr>
              <w:t>点号</w:t>
            </w:r>
          </w:p>
        </w:tc>
        <w:tc>
          <w:tcPr>
            <w:tcW w:w="756" w:type="dxa"/>
            <w:vAlign w:val="bottom"/>
          </w:tcPr>
          <w:p w14:paraId="37F1F216" w14:textId="77777777" w:rsidR="002B733E" w:rsidRPr="00FD50F6" w:rsidRDefault="002B733E" w:rsidP="002B733E">
            <w:pPr>
              <w:pStyle w:val="7"/>
              <w:rPr>
                <w:b/>
              </w:rPr>
            </w:pPr>
            <w:r w:rsidRPr="00FD50F6">
              <w:rPr>
                <w:rFonts w:hint="eastAsia"/>
                <w:b/>
              </w:rPr>
              <w:t>29e</w:t>
            </w:r>
          </w:p>
        </w:tc>
        <w:tc>
          <w:tcPr>
            <w:tcW w:w="756" w:type="dxa"/>
            <w:vAlign w:val="bottom"/>
          </w:tcPr>
          <w:p w14:paraId="57E1130D" w14:textId="77777777" w:rsidR="002B733E" w:rsidRPr="00FD50F6" w:rsidRDefault="002B733E" w:rsidP="002B733E">
            <w:pPr>
              <w:pStyle w:val="7"/>
              <w:rPr>
                <w:b/>
              </w:rPr>
            </w:pPr>
            <w:r w:rsidRPr="00FD50F6">
              <w:rPr>
                <w:rFonts w:hint="eastAsia"/>
                <w:b/>
              </w:rPr>
              <w:t>30e</w:t>
            </w:r>
          </w:p>
        </w:tc>
        <w:tc>
          <w:tcPr>
            <w:tcW w:w="756" w:type="dxa"/>
            <w:vAlign w:val="bottom"/>
          </w:tcPr>
          <w:p w14:paraId="70A4CA7D" w14:textId="77777777" w:rsidR="002B733E" w:rsidRPr="00FD50F6" w:rsidRDefault="002B733E" w:rsidP="002B733E">
            <w:pPr>
              <w:pStyle w:val="7"/>
              <w:rPr>
                <w:b/>
              </w:rPr>
            </w:pPr>
            <w:r w:rsidRPr="00FD50F6">
              <w:rPr>
                <w:rFonts w:hint="eastAsia"/>
                <w:b/>
              </w:rPr>
              <w:t>31e</w:t>
            </w:r>
          </w:p>
        </w:tc>
        <w:tc>
          <w:tcPr>
            <w:tcW w:w="756" w:type="dxa"/>
            <w:vAlign w:val="bottom"/>
          </w:tcPr>
          <w:p w14:paraId="7CF90568" w14:textId="77777777" w:rsidR="002B733E" w:rsidRPr="00FD50F6" w:rsidRDefault="002B733E" w:rsidP="002B733E">
            <w:pPr>
              <w:pStyle w:val="7"/>
              <w:rPr>
                <w:b/>
              </w:rPr>
            </w:pPr>
            <w:r w:rsidRPr="00FD50F6">
              <w:rPr>
                <w:rFonts w:hint="eastAsia"/>
                <w:b/>
              </w:rPr>
              <w:t>32e</w:t>
            </w:r>
          </w:p>
        </w:tc>
        <w:tc>
          <w:tcPr>
            <w:tcW w:w="756" w:type="dxa"/>
            <w:vAlign w:val="bottom"/>
          </w:tcPr>
          <w:p w14:paraId="78516B7A" w14:textId="77777777" w:rsidR="002B733E" w:rsidRPr="00FD50F6" w:rsidRDefault="002B733E" w:rsidP="002B733E">
            <w:pPr>
              <w:pStyle w:val="7"/>
              <w:rPr>
                <w:b/>
              </w:rPr>
            </w:pPr>
            <w:r w:rsidRPr="00FD50F6">
              <w:rPr>
                <w:rFonts w:hint="eastAsia"/>
                <w:b/>
              </w:rPr>
              <w:t>33e</w:t>
            </w:r>
          </w:p>
        </w:tc>
        <w:tc>
          <w:tcPr>
            <w:tcW w:w="756" w:type="dxa"/>
            <w:vAlign w:val="bottom"/>
          </w:tcPr>
          <w:p w14:paraId="66951B88" w14:textId="77777777" w:rsidR="002B733E" w:rsidRPr="00FD50F6" w:rsidRDefault="002B733E" w:rsidP="002B733E">
            <w:pPr>
              <w:pStyle w:val="7"/>
              <w:rPr>
                <w:b/>
              </w:rPr>
            </w:pPr>
            <w:r w:rsidRPr="00FD50F6">
              <w:rPr>
                <w:rFonts w:hint="eastAsia"/>
                <w:b/>
              </w:rPr>
              <w:t>34e</w:t>
            </w:r>
          </w:p>
        </w:tc>
        <w:tc>
          <w:tcPr>
            <w:tcW w:w="756" w:type="dxa"/>
            <w:vAlign w:val="bottom"/>
          </w:tcPr>
          <w:p w14:paraId="014E261F" w14:textId="77777777" w:rsidR="002B733E" w:rsidRPr="00FD50F6" w:rsidRDefault="002B733E" w:rsidP="002B733E">
            <w:pPr>
              <w:pStyle w:val="7"/>
              <w:rPr>
                <w:b/>
              </w:rPr>
            </w:pPr>
            <w:r w:rsidRPr="00FD50F6">
              <w:rPr>
                <w:rFonts w:hint="eastAsia"/>
                <w:b/>
              </w:rPr>
              <w:t>35e</w:t>
            </w:r>
          </w:p>
        </w:tc>
        <w:tc>
          <w:tcPr>
            <w:tcW w:w="756" w:type="dxa"/>
            <w:vAlign w:val="bottom"/>
          </w:tcPr>
          <w:p w14:paraId="2E193473" w14:textId="77777777" w:rsidR="002B733E" w:rsidRPr="00FD50F6" w:rsidRDefault="002B733E" w:rsidP="002B733E">
            <w:pPr>
              <w:pStyle w:val="7"/>
              <w:rPr>
                <w:b/>
              </w:rPr>
            </w:pPr>
            <w:r w:rsidRPr="00FD50F6">
              <w:rPr>
                <w:rFonts w:hint="eastAsia"/>
                <w:b/>
              </w:rPr>
              <w:t>—</w:t>
            </w:r>
          </w:p>
        </w:tc>
        <w:tc>
          <w:tcPr>
            <w:tcW w:w="756" w:type="dxa"/>
            <w:vAlign w:val="bottom"/>
          </w:tcPr>
          <w:p w14:paraId="17FDFAAB" w14:textId="77777777" w:rsidR="002B733E" w:rsidRPr="00FD50F6" w:rsidRDefault="002B733E" w:rsidP="002B733E">
            <w:pPr>
              <w:pStyle w:val="7"/>
              <w:rPr>
                <w:b/>
              </w:rPr>
            </w:pPr>
            <w:r w:rsidRPr="00FD50F6">
              <w:rPr>
                <w:rFonts w:hint="eastAsia"/>
                <w:b/>
              </w:rPr>
              <w:t>—</w:t>
            </w:r>
          </w:p>
        </w:tc>
        <w:tc>
          <w:tcPr>
            <w:tcW w:w="756" w:type="dxa"/>
            <w:vAlign w:val="bottom"/>
          </w:tcPr>
          <w:p w14:paraId="05863DC4" w14:textId="77777777" w:rsidR="002B733E" w:rsidRPr="00FD50F6" w:rsidRDefault="002B733E" w:rsidP="002B733E">
            <w:pPr>
              <w:pStyle w:val="7"/>
              <w:rPr>
                <w:b/>
              </w:rPr>
            </w:pPr>
            <w:r w:rsidRPr="00FD50F6">
              <w:rPr>
                <w:rFonts w:hint="eastAsia"/>
                <w:b/>
              </w:rPr>
              <w:t>—</w:t>
            </w:r>
          </w:p>
        </w:tc>
      </w:tr>
      <w:tr w:rsidR="00FD50F6" w:rsidRPr="00FD50F6" w14:paraId="12D56CAE" w14:textId="77777777" w:rsidTr="002B733E">
        <w:trPr>
          <w:trHeight w:val="397"/>
          <w:jc w:val="center"/>
        </w:trPr>
        <w:tc>
          <w:tcPr>
            <w:tcW w:w="701" w:type="dxa"/>
            <w:vAlign w:val="center"/>
          </w:tcPr>
          <w:p w14:paraId="2BC56CBE" w14:textId="77777777" w:rsidR="002B733E" w:rsidRPr="00FD50F6" w:rsidRDefault="002B733E" w:rsidP="002B733E">
            <w:pPr>
              <w:pStyle w:val="7"/>
            </w:pPr>
            <w:r w:rsidRPr="00FD50F6">
              <w:rPr>
                <w:rFonts w:hint="eastAsia"/>
              </w:rPr>
              <w:t>X</w:t>
            </w:r>
          </w:p>
        </w:tc>
        <w:tc>
          <w:tcPr>
            <w:tcW w:w="756" w:type="dxa"/>
            <w:vAlign w:val="bottom"/>
          </w:tcPr>
          <w:p w14:paraId="4FE988FB" w14:textId="77777777" w:rsidR="002B733E" w:rsidRPr="00FD50F6" w:rsidRDefault="002B733E" w:rsidP="002B733E">
            <w:pPr>
              <w:pStyle w:val="7"/>
            </w:pPr>
            <w:r w:rsidRPr="00FD50F6">
              <w:rPr>
                <w:rFonts w:hint="eastAsia"/>
              </w:rPr>
              <w:t>1308</w:t>
            </w:r>
          </w:p>
        </w:tc>
        <w:tc>
          <w:tcPr>
            <w:tcW w:w="756" w:type="dxa"/>
            <w:vAlign w:val="bottom"/>
          </w:tcPr>
          <w:p w14:paraId="4D38E01C" w14:textId="77777777" w:rsidR="002B733E" w:rsidRPr="00FD50F6" w:rsidRDefault="002B733E" w:rsidP="002B733E">
            <w:pPr>
              <w:pStyle w:val="7"/>
            </w:pPr>
            <w:r w:rsidRPr="00FD50F6">
              <w:rPr>
                <w:rFonts w:hint="eastAsia"/>
              </w:rPr>
              <w:t>1580</w:t>
            </w:r>
          </w:p>
        </w:tc>
        <w:tc>
          <w:tcPr>
            <w:tcW w:w="756" w:type="dxa"/>
            <w:vAlign w:val="bottom"/>
          </w:tcPr>
          <w:p w14:paraId="19FA68F1" w14:textId="77777777" w:rsidR="002B733E" w:rsidRPr="00FD50F6" w:rsidRDefault="002B733E" w:rsidP="002B733E">
            <w:pPr>
              <w:pStyle w:val="7"/>
            </w:pPr>
            <w:r w:rsidRPr="00FD50F6">
              <w:rPr>
                <w:rFonts w:hint="eastAsia"/>
              </w:rPr>
              <w:t>1580</w:t>
            </w:r>
          </w:p>
        </w:tc>
        <w:tc>
          <w:tcPr>
            <w:tcW w:w="756" w:type="dxa"/>
            <w:vAlign w:val="bottom"/>
          </w:tcPr>
          <w:p w14:paraId="3698A611" w14:textId="77777777" w:rsidR="002B733E" w:rsidRPr="00FD50F6" w:rsidRDefault="002B733E" w:rsidP="002B733E">
            <w:pPr>
              <w:pStyle w:val="7"/>
            </w:pPr>
            <w:r w:rsidRPr="00FD50F6">
              <w:rPr>
                <w:rFonts w:hint="eastAsia"/>
              </w:rPr>
              <w:t>1405</w:t>
            </w:r>
          </w:p>
        </w:tc>
        <w:tc>
          <w:tcPr>
            <w:tcW w:w="756" w:type="dxa"/>
            <w:vAlign w:val="bottom"/>
          </w:tcPr>
          <w:p w14:paraId="19279CB7" w14:textId="77777777" w:rsidR="002B733E" w:rsidRPr="00FD50F6" w:rsidRDefault="002B733E" w:rsidP="002B733E">
            <w:pPr>
              <w:pStyle w:val="7"/>
            </w:pPr>
            <w:r w:rsidRPr="00FD50F6">
              <w:rPr>
                <w:rFonts w:hint="eastAsia"/>
              </w:rPr>
              <w:t>1396</w:t>
            </w:r>
          </w:p>
        </w:tc>
        <w:tc>
          <w:tcPr>
            <w:tcW w:w="756" w:type="dxa"/>
            <w:vAlign w:val="bottom"/>
          </w:tcPr>
          <w:p w14:paraId="1FB3D759" w14:textId="77777777" w:rsidR="002B733E" w:rsidRPr="00FD50F6" w:rsidRDefault="002B733E" w:rsidP="002B733E">
            <w:pPr>
              <w:pStyle w:val="7"/>
            </w:pPr>
            <w:r w:rsidRPr="00FD50F6">
              <w:rPr>
                <w:rFonts w:hint="eastAsia"/>
              </w:rPr>
              <w:t>1118</w:t>
            </w:r>
          </w:p>
        </w:tc>
        <w:tc>
          <w:tcPr>
            <w:tcW w:w="756" w:type="dxa"/>
            <w:vAlign w:val="bottom"/>
          </w:tcPr>
          <w:p w14:paraId="51593404" w14:textId="77777777" w:rsidR="002B733E" w:rsidRPr="00FD50F6" w:rsidRDefault="002B733E" w:rsidP="002B733E">
            <w:pPr>
              <w:pStyle w:val="7"/>
            </w:pPr>
            <w:r w:rsidRPr="00FD50F6">
              <w:rPr>
                <w:rFonts w:hint="eastAsia"/>
              </w:rPr>
              <w:t>1095</w:t>
            </w:r>
          </w:p>
        </w:tc>
        <w:tc>
          <w:tcPr>
            <w:tcW w:w="756" w:type="dxa"/>
            <w:vAlign w:val="bottom"/>
          </w:tcPr>
          <w:p w14:paraId="662D709E" w14:textId="77777777" w:rsidR="002B733E" w:rsidRPr="00FD50F6" w:rsidRDefault="002B733E" w:rsidP="002B733E">
            <w:pPr>
              <w:pStyle w:val="7"/>
              <w:rPr>
                <w:b/>
              </w:rPr>
            </w:pPr>
            <w:r w:rsidRPr="00FD50F6">
              <w:rPr>
                <w:rFonts w:hint="eastAsia"/>
                <w:b/>
              </w:rPr>
              <w:t>—</w:t>
            </w:r>
          </w:p>
        </w:tc>
        <w:tc>
          <w:tcPr>
            <w:tcW w:w="756" w:type="dxa"/>
            <w:vAlign w:val="bottom"/>
          </w:tcPr>
          <w:p w14:paraId="78463E34" w14:textId="77777777" w:rsidR="002B733E" w:rsidRPr="00FD50F6" w:rsidRDefault="002B733E" w:rsidP="002B733E">
            <w:pPr>
              <w:pStyle w:val="7"/>
              <w:rPr>
                <w:b/>
              </w:rPr>
            </w:pPr>
            <w:r w:rsidRPr="00FD50F6">
              <w:rPr>
                <w:rFonts w:hint="eastAsia"/>
                <w:b/>
              </w:rPr>
              <w:t>—</w:t>
            </w:r>
          </w:p>
        </w:tc>
        <w:tc>
          <w:tcPr>
            <w:tcW w:w="756" w:type="dxa"/>
            <w:vAlign w:val="bottom"/>
          </w:tcPr>
          <w:p w14:paraId="39CD44CE" w14:textId="77777777" w:rsidR="002B733E" w:rsidRPr="00FD50F6" w:rsidRDefault="002B733E" w:rsidP="002B733E">
            <w:pPr>
              <w:pStyle w:val="7"/>
              <w:rPr>
                <w:b/>
              </w:rPr>
            </w:pPr>
            <w:r w:rsidRPr="00FD50F6">
              <w:rPr>
                <w:rFonts w:hint="eastAsia"/>
                <w:b/>
              </w:rPr>
              <w:t>—</w:t>
            </w:r>
          </w:p>
        </w:tc>
      </w:tr>
      <w:tr w:rsidR="00FD50F6" w:rsidRPr="00FD50F6" w14:paraId="52FF6735" w14:textId="77777777" w:rsidTr="002B733E">
        <w:trPr>
          <w:trHeight w:val="397"/>
          <w:jc w:val="center"/>
        </w:trPr>
        <w:tc>
          <w:tcPr>
            <w:tcW w:w="701" w:type="dxa"/>
            <w:vAlign w:val="center"/>
          </w:tcPr>
          <w:p w14:paraId="20B6FA86" w14:textId="77777777" w:rsidR="002B733E" w:rsidRPr="00FD50F6" w:rsidRDefault="002B733E" w:rsidP="002B733E">
            <w:pPr>
              <w:pStyle w:val="7"/>
            </w:pPr>
            <w:r w:rsidRPr="00FD50F6">
              <w:rPr>
                <w:rFonts w:hint="eastAsia"/>
              </w:rPr>
              <w:t>Y</w:t>
            </w:r>
          </w:p>
        </w:tc>
        <w:tc>
          <w:tcPr>
            <w:tcW w:w="756" w:type="dxa"/>
            <w:vAlign w:val="bottom"/>
          </w:tcPr>
          <w:p w14:paraId="26B599B5" w14:textId="77777777" w:rsidR="002B733E" w:rsidRPr="00FD50F6" w:rsidRDefault="002B733E" w:rsidP="002B733E">
            <w:pPr>
              <w:pStyle w:val="7"/>
            </w:pPr>
            <w:r w:rsidRPr="00FD50F6">
              <w:rPr>
                <w:rFonts w:hint="eastAsia"/>
              </w:rPr>
              <w:t>280</w:t>
            </w:r>
          </w:p>
        </w:tc>
        <w:tc>
          <w:tcPr>
            <w:tcW w:w="756" w:type="dxa"/>
            <w:vAlign w:val="bottom"/>
          </w:tcPr>
          <w:p w14:paraId="1FD682FB" w14:textId="77777777" w:rsidR="002B733E" w:rsidRPr="00FD50F6" w:rsidRDefault="002B733E" w:rsidP="002B733E">
            <w:pPr>
              <w:pStyle w:val="7"/>
            </w:pPr>
            <w:r w:rsidRPr="00FD50F6">
              <w:rPr>
                <w:rFonts w:hint="eastAsia"/>
              </w:rPr>
              <w:t>280</w:t>
            </w:r>
          </w:p>
        </w:tc>
        <w:tc>
          <w:tcPr>
            <w:tcW w:w="756" w:type="dxa"/>
            <w:vAlign w:val="bottom"/>
          </w:tcPr>
          <w:p w14:paraId="036BA2F1" w14:textId="77777777" w:rsidR="002B733E" w:rsidRPr="00FD50F6" w:rsidRDefault="002B733E" w:rsidP="002B733E">
            <w:pPr>
              <w:pStyle w:val="7"/>
            </w:pPr>
            <w:r w:rsidRPr="00FD50F6">
              <w:rPr>
                <w:rFonts w:hint="eastAsia"/>
              </w:rPr>
              <w:t>76</w:t>
            </w:r>
          </w:p>
        </w:tc>
        <w:tc>
          <w:tcPr>
            <w:tcW w:w="756" w:type="dxa"/>
            <w:vAlign w:val="bottom"/>
          </w:tcPr>
          <w:p w14:paraId="53569D2A" w14:textId="77777777" w:rsidR="002B733E" w:rsidRPr="00FD50F6" w:rsidRDefault="002B733E" w:rsidP="002B733E">
            <w:pPr>
              <w:pStyle w:val="7"/>
            </w:pPr>
            <w:r w:rsidRPr="00FD50F6">
              <w:rPr>
                <w:rFonts w:hint="eastAsia"/>
              </w:rPr>
              <w:t>76</w:t>
            </w:r>
          </w:p>
        </w:tc>
        <w:tc>
          <w:tcPr>
            <w:tcW w:w="756" w:type="dxa"/>
            <w:vAlign w:val="bottom"/>
          </w:tcPr>
          <w:p w14:paraId="3CD83524" w14:textId="77777777" w:rsidR="002B733E" w:rsidRPr="00FD50F6" w:rsidRDefault="002B733E" w:rsidP="002B733E">
            <w:pPr>
              <w:pStyle w:val="7"/>
            </w:pPr>
            <w:r w:rsidRPr="00FD50F6">
              <w:rPr>
                <w:rFonts w:hint="eastAsia"/>
              </w:rPr>
              <w:t>69</w:t>
            </w:r>
          </w:p>
        </w:tc>
        <w:tc>
          <w:tcPr>
            <w:tcW w:w="756" w:type="dxa"/>
            <w:vAlign w:val="bottom"/>
          </w:tcPr>
          <w:p w14:paraId="4D7B7A99" w14:textId="77777777" w:rsidR="002B733E" w:rsidRPr="00FD50F6" w:rsidRDefault="002B733E" w:rsidP="002B733E">
            <w:pPr>
              <w:pStyle w:val="7"/>
            </w:pPr>
            <w:r w:rsidRPr="00FD50F6">
              <w:rPr>
                <w:rFonts w:hint="eastAsia"/>
              </w:rPr>
              <w:t>119</w:t>
            </w:r>
          </w:p>
        </w:tc>
        <w:tc>
          <w:tcPr>
            <w:tcW w:w="756" w:type="dxa"/>
            <w:vAlign w:val="bottom"/>
          </w:tcPr>
          <w:p w14:paraId="151B153A" w14:textId="77777777" w:rsidR="002B733E" w:rsidRPr="00FD50F6" w:rsidRDefault="002B733E" w:rsidP="002B733E">
            <w:pPr>
              <w:pStyle w:val="7"/>
            </w:pPr>
            <w:r w:rsidRPr="00FD50F6">
              <w:rPr>
                <w:rFonts w:hint="eastAsia"/>
              </w:rPr>
              <w:t>156</w:t>
            </w:r>
          </w:p>
        </w:tc>
        <w:tc>
          <w:tcPr>
            <w:tcW w:w="756" w:type="dxa"/>
            <w:vAlign w:val="bottom"/>
          </w:tcPr>
          <w:p w14:paraId="4B0A1D26" w14:textId="77777777" w:rsidR="002B733E" w:rsidRPr="00FD50F6" w:rsidRDefault="002B733E" w:rsidP="002B733E">
            <w:pPr>
              <w:pStyle w:val="7"/>
              <w:rPr>
                <w:b/>
              </w:rPr>
            </w:pPr>
            <w:r w:rsidRPr="00FD50F6">
              <w:rPr>
                <w:rFonts w:hint="eastAsia"/>
                <w:b/>
              </w:rPr>
              <w:t>—</w:t>
            </w:r>
          </w:p>
        </w:tc>
        <w:tc>
          <w:tcPr>
            <w:tcW w:w="756" w:type="dxa"/>
            <w:vAlign w:val="bottom"/>
          </w:tcPr>
          <w:p w14:paraId="5E0D14CB" w14:textId="77777777" w:rsidR="002B733E" w:rsidRPr="00FD50F6" w:rsidRDefault="002B733E" w:rsidP="002B733E">
            <w:pPr>
              <w:pStyle w:val="7"/>
              <w:rPr>
                <w:b/>
              </w:rPr>
            </w:pPr>
            <w:r w:rsidRPr="00FD50F6">
              <w:rPr>
                <w:rFonts w:hint="eastAsia"/>
                <w:b/>
              </w:rPr>
              <w:t>—</w:t>
            </w:r>
          </w:p>
        </w:tc>
        <w:tc>
          <w:tcPr>
            <w:tcW w:w="756" w:type="dxa"/>
            <w:vAlign w:val="bottom"/>
          </w:tcPr>
          <w:p w14:paraId="36E38F5B" w14:textId="77777777" w:rsidR="002B733E" w:rsidRPr="00FD50F6" w:rsidRDefault="002B733E" w:rsidP="002B733E">
            <w:pPr>
              <w:pStyle w:val="7"/>
              <w:rPr>
                <w:b/>
              </w:rPr>
            </w:pPr>
            <w:r w:rsidRPr="00FD50F6">
              <w:rPr>
                <w:rFonts w:hint="eastAsia"/>
                <w:b/>
              </w:rPr>
              <w:t>—</w:t>
            </w:r>
          </w:p>
        </w:tc>
      </w:tr>
    </w:tbl>
    <w:p w14:paraId="2B272B3B" w14:textId="77777777" w:rsidR="002B733E" w:rsidRPr="00FD50F6" w:rsidRDefault="002B733E" w:rsidP="002B733E">
      <w:pPr>
        <w:spacing w:line="0" w:lineRule="atLeast"/>
        <w:ind w:left="360" w:hangingChars="200" w:hanging="360"/>
        <w:rPr>
          <w:rFonts w:ascii="宋体" w:hAnsi="宋体" w:cs="Times New Roman"/>
          <w:sz w:val="18"/>
          <w:szCs w:val="24"/>
        </w:rPr>
      </w:pPr>
      <w:r w:rsidRPr="00FD50F6">
        <w:rPr>
          <w:rFonts w:ascii="宋体" w:hAnsi="宋体" w:cs="Times New Roman" w:hint="eastAsia"/>
          <w:sz w:val="18"/>
          <w:szCs w:val="24"/>
        </w:rPr>
        <w:t>注：表中第</w:t>
      </w:r>
      <w:r w:rsidRPr="00FD50F6">
        <w:rPr>
          <w:rFonts w:ascii="宋体" w:hAnsi="宋体" w:cs="Times New Roman"/>
          <w:sz w:val="18"/>
          <w:szCs w:val="24"/>
        </w:rPr>
        <w:t>0</w:t>
      </w:r>
      <w:r w:rsidRPr="00FD50F6">
        <w:rPr>
          <w:rFonts w:ascii="宋体" w:hAnsi="宋体" w:cs="Times New Roman" w:hint="eastAsia"/>
          <w:sz w:val="18"/>
          <w:szCs w:val="24"/>
        </w:rPr>
        <w:t>～</w:t>
      </w:r>
      <w:r w:rsidRPr="00FD50F6">
        <w:rPr>
          <w:rFonts w:ascii="宋体" w:hAnsi="宋体" w:cs="Times New Roman"/>
          <w:sz w:val="18"/>
          <w:szCs w:val="24"/>
        </w:rPr>
        <w:t>1</w:t>
      </w:r>
      <w:r w:rsidRPr="00FD50F6">
        <w:rPr>
          <w:rFonts w:ascii="宋体" w:hAnsi="宋体" w:cs="Times New Roman" w:hint="eastAsia"/>
          <w:sz w:val="18"/>
          <w:szCs w:val="24"/>
        </w:rPr>
        <w:t>3点是车体上的控制点；第</w:t>
      </w:r>
      <w:r w:rsidRPr="00FD50F6">
        <w:rPr>
          <w:rFonts w:ascii="宋体" w:hAnsi="宋体" w:cs="Times New Roman"/>
          <w:sz w:val="18"/>
          <w:szCs w:val="24"/>
        </w:rPr>
        <w:t>1</w:t>
      </w:r>
      <w:r w:rsidRPr="00FD50F6">
        <w:rPr>
          <w:rFonts w:ascii="宋体" w:hAnsi="宋体" w:cs="Times New Roman" w:hint="eastAsia"/>
          <w:sz w:val="18"/>
          <w:szCs w:val="24"/>
        </w:rPr>
        <w:t>4～28点是转向架上的控制点</w:t>
      </w:r>
      <w:r w:rsidRPr="00FD50F6">
        <w:rPr>
          <w:rFonts w:ascii="宋体" w:hAnsi="宋体" w:cs="Times New Roman"/>
          <w:sz w:val="18"/>
          <w:szCs w:val="24"/>
        </w:rPr>
        <w:t>；</w:t>
      </w:r>
      <w:r w:rsidRPr="00FD50F6">
        <w:rPr>
          <w:rFonts w:ascii="宋体" w:hAnsi="宋体" w:cs="Times New Roman" w:hint="eastAsia"/>
          <w:sz w:val="18"/>
          <w:szCs w:val="24"/>
        </w:rPr>
        <w:t>第29d～35d为受电靴工作状态控制点；第29e～35e为受电靴非工作状态控制点。</w:t>
      </w:r>
    </w:p>
    <w:p w14:paraId="18B23B25" w14:textId="77777777" w:rsidR="002B733E" w:rsidRPr="00FD50F6" w:rsidRDefault="002B733E" w:rsidP="002B733E">
      <w:pPr>
        <w:spacing w:line="0" w:lineRule="atLeast"/>
        <w:ind w:left="420" w:hangingChars="200" w:hanging="420"/>
        <w:rPr>
          <w:rFonts w:ascii="宋体" w:hAnsi="宋体" w:cs="Times New Roman"/>
          <w:sz w:val="21"/>
          <w:szCs w:val="24"/>
        </w:rPr>
      </w:pPr>
    </w:p>
    <w:p w14:paraId="0893C393" w14:textId="77777777" w:rsidR="002B733E" w:rsidRPr="00FD50F6" w:rsidRDefault="002B733E" w:rsidP="002B733E">
      <w:pPr>
        <w:pStyle w:val="6"/>
      </w:pPr>
      <w:r w:rsidRPr="00FD50F6">
        <w:rPr>
          <w:rFonts w:hint="eastAsia"/>
        </w:rPr>
        <w:t>表</w:t>
      </w:r>
      <w:r w:rsidRPr="00FD50F6">
        <w:rPr>
          <w:rFonts w:ascii="Calibri" w:hAnsi="Calibri" w:hint="eastAsia"/>
          <w:b/>
        </w:rPr>
        <w:t xml:space="preserve">B.0.1-2 </w:t>
      </w:r>
      <w:r w:rsidRPr="00FD50F6">
        <w:rPr>
          <w:rFonts w:hint="eastAsia"/>
        </w:rPr>
        <w:t xml:space="preserve"> </w:t>
      </w:r>
      <w:r w:rsidRPr="00FD50F6">
        <w:rPr>
          <w:rFonts w:hint="eastAsia"/>
        </w:rPr>
        <w:t>隧道内区间直线地段车辆限界坐标值（</w:t>
      </w:r>
      <w:r w:rsidRPr="00FD50F6">
        <w:rPr>
          <w:rFonts w:hint="eastAsia"/>
        </w:rPr>
        <w:t>mm</w:t>
      </w:r>
      <w:r w:rsidRPr="00FD50F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4170B3A6" w14:textId="77777777" w:rsidTr="002B733E">
        <w:trPr>
          <w:trHeight w:val="397"/>
          <w:jc w:val="center"/>
        </w:trPr>
        <w:tc>
          <w:tcPr>
            <w:tcW w:w="701" w:type="dxa"/>
            <w:vAlign w:val="center"/>
          </w:tcPr>
          <w:p w14:paraId="27C29CAB" w14:textId="77777777" w:rsidR="002B733E" w:rsidRPr="00FD50F6" w:rsidRDefault="002B733E" w:rsidP="002B733E">
            <w:pPr>
              <w:pStyle w:val="7"/>
            </w:pPr>
            <w:r w:rsidRPr="00FD50F6">
              <w:rPr>
                <w:rFonts w:hint="eastAsia"/>
              </w:rPr>
              <w:t>点号</w:t>
            </w:r>
          </w:p>
        </w:tc>
        <w:tc>
          <w:tcPr>
            <w:tcW w:w="756" w:type="dxa"/>
            <w:vAlign w:val="center"/>
          </w:tcPr>
          <w:p w14:paraId="700123C9"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76C6C3C9"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4251FA45"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5DFAF378"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7F5B2A97"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677DE78D"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6429006F"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140297F7"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428C98F3"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26D4814A"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161BABC7" w14:textId="77777777" w:rsidTr="002B733E">
        <w:trPr>
          <w:trHeight w:val="397"/>
          <w:jc w:val="center"/>
        </w:trPr>
        <w:tc>
          <w:tcPr>
            <w:tcW w:w="701" w:type="dxa"/>
            <w:vAlign w:val="center"/>
          </w:tcPr>
          <w:p w14:paraId="1BA8B0E3" w14:textId="77777777" w:rsidR="002B733E" w:rsidRPr="00FD50F6" w:rsidRDefault="002B733E" w:rsidP="002B733E">
            <w:pPr>
              <w:pStyle w:val="7"/>
            </w:pPr>
            <w:r w:rsidRPr="00FD50F6">
              <w:rPr>
                <w:rFonts w:hint="eastAsia"/>
              </w:rPr>
              <w:t>X</w:t>
            </w:r>
          </w:p>
        </w:tc>
        <w:tc>
          <w:tcPr>
            <w:tcW w:w="756" w:type="dxa"/>
            <w:vAlign w:val="center"/>
          </w:tcPr>
          <w:p w14:paraId="3196B62E" w14:textId="77777777" w:rsidR="002B733E" w:rsidRPr="00FD50F6" w:rsidRDefault="002B733E" w:rsidP="002B733E">
            <w:pPr>
              <w:pStyle w:val="7"/>
              <w:rPr>
                <w:rFonts w:ascii="Calibri" w:hAnsi="Calibri"/>
              </w:rPr>
            </w:pPr>
            <w:r w:rsidRPr="00FD50F6">
              <w:rPr>
                <w:rFonts w:ascii="Calibri" w:hAnsi="Calibri" w:hint="eastAsia"/>
              </w:rPr>
              <w:t>0</w:t>
            </w:r>
          </w:p>
        </w:tc>
        <w:tc>
          <w:tcPr>
            <w:tcW w:w="756" w:type="dxa"/>
            <w:vAlign w:val="center"/>
          </w:tcPr>
          <w:p w14:paraId="7DD7C1A6" w14:textId="77777777" w:rsidR="002B733E" w:rsidRPr="00FD50F6" w:rsidRDefault="002B733E" w:rsidP="002B733E">
            <w:pPr>
              <w:pStyle w:val="7"/>
              <w:rPr>
                <w:rFonts w:ascii="Calibri" w:hAnsi="Calibri"/>
              </w:rPr>
            </w:pPr>
            <w:r w:rsidRPr="00FD50F6">
              <w:rPr>
                <w:rFonts w:ascii="Calibri" w:hAnsi="Calibri" w:hint="eastAsia"/>
              </w:rPr>
              <w:t>763</w:t>
            </w:r>
          </w:p>
        </w:tc>
        <w:tc>
          <w:tcPr>
            <w:tcW w:w="756" w:type="dxa"/>
            <w:vAlign w:val="center"/>
          </w:tcPr>
          <w:p w14:paraId="592CED52" w14:textId="77777777" w:rsidR="002B733E" w:rsidRPr="00FD50F6" w:rsidRDefault="002B733E" w:rsidP="002B733E">
            <w:pPr>
              <w:pStyle w:val="7"/>
              <w:rPr>
                <w:rFonts w:ascii="Calibri" w:hAnsi="Calibri"/>
              </w:rPr>
            </w:pPr>
            <w:r w:rsidRPr="00FD50F6">
              <w:rPr>
                <w:rFonts w:ascii="Calibri" w:hAnsi="Calibri" w:hint="eastAsia"/>
              </w:rPr>
              <w:t>782</w:t>
            </w:r>
          </w:p>
        </w:tc>
        <w:tc>
          <w:tcPr>
            <w:tcW w:w="756" w:type="dxa"/>
            <w:vAlign w:val="center"/>
          </w:tcPr>
          <w:p w14:paraId="2B9951E9" w14:textId="77777777" w:rsidR="002B733E" w:rsidRPr="00FD50F6" w:rsidRDefault="002B733E" w:rsidP="002B733E">
            <w:pPr>
              <w:pStyle w:val="7"/>
              <w:rPr>
                <w:rFonts w:ascii="Calibri" w:hAnsi="Calibri"/>
              </w:rPr>
            </w:pPr>
            <w:r w:rsidRPr="00FD50F6">
              <w:rPr>
                <w:rFonts w:ascii="Calibri" w:hAnsi="Calibri" w:hint="eastAsia"/>
              </w:rPr>
              <w:t>866</w:t>
            </w:r>
          </w:p>
        </w:tc>
        <w:tc>
          <w:tcPr>
            <w:tcW w:w="756" w:type="dxa"/>
            <w:vAlign w:val="center"/>
          </w:tcPr>
          <w:p w14:paraId="33E8196F" w14:textId="77777777" w:rsidR="002B733E" w:rsidRPr="00FD50F6" w:rsidRDefault="002B733E" w:rsidP="002B733E">
            <w:pPr>
              <w:pStyle w:val="7"/>
              <w:rPr>
                <w:rFonts w:ascii="Calibri" w:hAnsi="Calibri"/>
              </w:rPr>
            </w:pPr>
            <w:r w:rsidRPr="00FD50F6">
              <w:rPr>
                <w:rFonts w:ascii="Calibri" w:hAnsi="Calibri" w:hint="eastAsia"/>
              </w:rPr>
              <w:t>865</w:t>
            </w:r>
          </w:p>
        </w:tc>
        <w:tc>
          <w:tcPr>
            <w:tcW w:w="756" w:type="dxa"/>
            <w:vAlign w:val="center"/>
          </w:tcPr>
          <w:p w14:paraId="6A247D3B" w14:textId="77777777" w:rsidR="002B733E" w:rsidRPr="00FD50F6" w:rsidRDefault="002B733E" w:rsidP="002B733E">
            <w:pPr>
              <w:pStyle w:val="7"/>
              <w:rPr>
                <w:rFonts w:ascii="Calibri" w:hAnsi="Calibri"/>
              </w:rPr>
            </w:pPr>
            <w:r w:rsidRPr="00FD50F6">
              <w:rPr>
                <w:rFonts w:ascii="Calibri" w:hAnsi="Calibri" w:hint="eastAsia"/>
              </w:rPr>
              <w:t>926</w:t>
            </w:r>
          </w:p>
        </w:tc>
        <w:tc>
          <w:tcPr>
            <w:tcW w:w="756" w:type="dxa"/>
            <w:vAlign w:val="center"/>
          </w:tcPr>
          <w:p w14:paraId="14E52C55" w14:textId="77777777" w:rsidR="002B733E" w:rsidRPr="00FD50F6" w:rsidRDefault="002B733E" w:rsidP="002B733E">
            <w:pPr>
              <w:pStyle w:val="7"/>
              <w:rPr>
                <w:rFonts w:ascii="Calibri" w:hAnsi="Calibri"/>
              </w:rPr>
            </w:pPr>
            <w:r w:rsidRPr="00FD50F6">
              <w:rPr>
                <w:rFonts w:ascii="Calibri" w:hAnsi="Calibri" w:hint="eastAsia"/>
              </w:rPr>
              <w:t>1171</w:t>
            </w:r>
          </w:p>
        </w:tc>
        <w:tc>
          <w:tcPr>
            <w:tcW w:w="756" w:type="dxa"/>
            <w:vAlign w:val="center"/>
          </w:tcPr>
          <w:p w14:paraId="36E281EF" w14:textId="77777777" w:rsidR="002B733E" w:rsidRPr="00FD50F6" w:rsidRDefault="002B733E" w:rsidP="002B733E">
            <w:pPr>
              <w:pStyle w:val="7"/>
              <w:rPr>
                <w:rFonts w:ascii="Calibri" w:hAnsi="Calibri"/>
              </w:rPr>
            </w:pPr>
            <w:r w:rsidRPr="00FD50F6">
              <w:rPr>
                <w:rFonts w:ascii="Calibri" w:hAnsi="Calibri" w:hint="eastAsia"/>
              </w:rPr>
              <w:t>1433</w:t>
            </w:r>
          </w:p>
        </w:tc>
        <w:tc>
          <w:tcPr>
            <w:tcW w:w="756" w:type="dxa"/>
            <w:vAlign w:val="center"/>
          </w:tcPr>
          <w:p w14:paraId="2A9F8B7C" w14:textId="77777777" w:rsidR="002B733E" w:rsidRPr="00FD50F6" w:rsidRDefault="002B733E" w:rsidP="002B733E">
            <w:pPr>
              <w:pStyle w:val="7"/>
              <w:rPr>
                <w:rFonts w:ascii="Calibri" w:hAnsi="Calibri"/>
              </w:rPr>
            </w:pPr>
            <w:r w:rsidRPr="00FD50F6">
              <w:rPr>
                <w:rFonts w:ascii="Calibri" w:hAnsi="Calibri" w:hint="eastAsia"/>
              </w:rPr>
              <w:t>1474</w:t>
            </w:r>
          </w:p>
        </w:tc>
        <w:tc>
          <w:tcPr>
            <w:tcW w:w="756" w:type="dxa"/>
            <w:vAlign w:val="center"/>
          </w:tcPr>
          <w:p w14:paraId="45B6EFD6" w14:textId="77777777" w:rsidR="002B733E" w:rsidRPr="00FD50F6" w:rsidRDefault="002B733E" w:rsidP="002B733E">
            <w:pPr>
              <w:pStyle w:val="7"/>
              <w:rPr>
                <w:rFonts w:ascii="Calibri" w:hAnsi="Calibri"/>
              </w:rPr>
            </w:pPr>
            <w:r w:rsidRPr="00FD50F6">
              <w:rPr>
                <w:rFonts w:ascii="Calibri" w:hAnsi="Calibri" w:hint="eastAsia"/>
              </w:rPr>
              <w:t>1570</w:t>
            </w:r>
          </w:p>
        </w:tc>
      </w:tr>
      <w:tr w:rsidR="00FD50F6" w:rsidRPr="00FD50F6" w14:paraId="367B2572" w14:textId="77777777" w:rsidTr="002B733E">
        <w:trPr>
          <w:trHeight w:val="397"/>
          <w:jc w:val="center"/>
        </w:trPr>
        <w:tc>
          <w:tcPr>
            <w:tcW w:w="701" w:type="dxa"/>
            <w:vAlign w:val="center"/>
          </w:tcPr>
          <w:p w14:paraId="3E99AC43" w14:textId="77777777" w:rsidR="002B733E" w:rsidRPr="00FD50F6" w:rsidRDefault="002B733E" w:rsidP="002B733E">
            <w:pPr>
              <w:pStyle w:val="7"/>
            </w:pPr>
            <w:r w:rsidRPr="00FD50F6">
              <w:rPr>
                <w:rFonts w:hint="eastAsia"/>
              </w:rPr>
              <w:t>Y</w:t>
            </w:r>
          </w:p>
        </w:tc>
        <w:tc>
          <w:tcPr>
            <w:tcW w:w="756" w:type="dxa"/>
            <w:vAlign w:val="center"/>
          </w:tcPr>
          <w:p w14:paraId="28725E4F" w14:textId="77777777" w:rsidR="002B733E" w:rsidRPr="00FD50F6" w:rsidRDefault="002B733E" w:rsidP="002B733E">
            <w:pPr>
              <w:pStyle w:val="7"/>
              <w:rPr>
                <w:rFonts w:ascii="Calibri" w:hAnsi="Calibri"/>
              </w:rPr>
            </w:pPr>
            <w:r w:rsidRPr="00FD50F6">
              <w:rPr>
                <w:rFonts w:ascii="Calibri" w:hAnsi="Calibri" w:hint="eastAsia"/>
              </w:rPr>
              <w:t>3874</w:t>
            </w:r>
          </w:p>
        </w:tc>
        <w:tc>
          <w:tcPr>
            <w:tcW w:w="756" w:type="dxa"/>
            <w:vAlign w:val="center"/>
          </w:tcPr>
          <w:p w14:paraId="4698B99E" w14:textId="77777777" w:rsidR="002B733E" w:rsidRPr="00FD50F6" w:rsidRDefault="002B733E" w:rsidP="002B733E">
            <w:pPr>
              <w:pStyle w:val="7"/>
              <w:rPr>
                <w:rFonts w:ascii="Calibri" w:hAnsi="Calibri"/>
              </w:rPr>
            </w:pPr>
            <w:r w:rsidRPr="00FD50F6">
              <w:rPr>
                <w:rFonts w:ascii="Calibri" w:hAnsi="Calibri" w:hint="eastAsia"/>
              </w:rPr>
              <w:t>3878</w:t>
            </w:r>
          </w:p>
        </w:tc>
        <w:tc>
          <w:tcPr>
            <w:tcW w:w="756" w:type="dxa"/>
            <w:vAlign w:val="center"/>
          </w:tcPr>
          <w:p w14:paraId="6C15AFB9" w14:textId="77777777" w:rsidR="002B733E" w:rsidRPr="00FD50F6" w:rsidRDefault="002B733E" w:rsidP="002B733E">
            <w:pPr>
              <w:pStyle w:val="7"/>
              <w:rPr>
                <w:rFonts w:ascii="Calibri" w:hAnsi="Calibri"/>
              </w:rPr>
            </w:pPr>
            <w:r w:rsidRPr="00FD50F6">
              <w:rPr>
                <w:rFonts w:ascii="Calibri" w:hAnsi="Calibri" w:hint="eastAsia"/>
              </w:rPr>
              <w:t>3878</w:t>
            </w:r>
          </w:p>
        </w:tc>
        <w:tc>
          <w:tcPr>
            <w:tcW w:w="756" w:type="dxa"/>
            <w:vAlign w:val="center"/>
          </w:tcPr>
          <w:p w14:paraId="1703376F" w14:textId="77777777" w:rsidR="002B733E" w:rsidRPr="00FD50F6" w:rsidRDefault="002B733E" w:rsidP="002B733E">
            <w:pPr>
              <w:pStyle w:val="7"/>
              <w:rPr>
                <w:rFonts w:ascii="Calibri" w:hAnsi="Calibri"/>
              </w:rPr>
            </w:pPr>
            <w:r w:rsidRPr="00FD50F6">
              <w:rPr>
                <w:rFonts w:ascii="Calibri" w:hAnsi="Calibri" w:hint="eastAsia"/>
              </w:rPr>
              <w:t>3836</w:t>
            </w:r>
          </w:p>
        </w:tc>
        <w:tc>
          <w:tcPr>
            <w:tcW w:w="756" w:type="dxa"/>
            <w:vAlign w:val="center"/>
          </w:tcPr>
          <w:p w14:paraId="71724E1A" w14:textId="77777777" w:rsidR="002B733E" w:rsidRPr="00FD50F6" w:rsidRDefault="002B733E" w:rsidP="002B733E">
            <w:pPr>
              <w:pStyle w:val="7"/>
              <w:rPr>
                <w:rFonts w:ascii="Calibri" w:hAnsi="Calibri"/>
              </w:rPr>
            </w:pPr>
            <w:r w:rsidRPr="00FD50F6">
              <w:rPr>
                <w:rFonts w:ascii="Calibri" w:hAnsi="Calibri" w:hint="eastAsia"/>
              </w:rPr>
              <w:t>3763</w:t>
            </w:r>
          </w:p>
        </w:tc>
        <w:tc>
          <w:tcPr>
            <w:tcW w:w="756" w:type="dxa"/>
            <w:vAlign w:val="center"/>
          </w:tcPr>
          <w:p w14:paraId="492B1ECD" w14:textId="77777777" w:rsidR="002B733E" w:rsidRPr="00FD50F6" w:rsidRDefault="002B733E" w:rsidP="002B733E">
            <w:pPr>
              <w:pStyle w:val="7"/>
              <w:rPr>
                <w:rFonts w:ascii="Calibri" w:hAnsi="Calibri"/>
              </w:rPr>
            </w:pPr>
            <w:r w:rsidRPr="00FD50F6">
              <w:rPr>
                <w:rFonts w:ascii="Calibri" w:hAnsi="Calibri" w:hint="eastAsia"/>
              </w:rPr>
              <w:t>3742</w:t>
            </w:r>
          </w:p>
        </w:tc>
        <w:tc>
          <w:tcPr>
            <w:tcW w:w="756" w:type="dxa"/>
            <w:vAlign w:val="center"/>
          </w:tcPr>
          <w:p w14:paraId="164972EB" w14:textId="77777777" w:rsidR="002B733E" w:rsidRPr="00FD50F6" w:rsidRDefault="002B733E" w:rsidP="002B733E">
            <w:pPr>
              <w:pStyle w:val="7"/>
              <w:rPr>
                <w:rFonts w:ascii="Calibri" w:hAnsi="Calibri"/>
              </w:rPr>
            </w:pPr>
            <w:r w:rsidRPr="00FD50F6">
              <w:rPr>
                <w:rFonts w:ascii="Calibri" w:hAnsi="Calibri" w:hint="eastAsia"/>
              </w:rPr>
              <w:t>3590</w:t>
            </w:r>
          </w:p>
        </w:tc>
        <w:tc>
          <w:tcPr>
            <w:tcW w:w="756" w:type="dxa"/>
            <w:vAlign w:val="center"/>
          </w:tcPr>
          <w:p w14:paraId="1ACA700C" w14:textId="77777777" w:rsidR="002B733E" w:rsidRPr="00FD50F6" w:rsidRDefault="002B733E" w:rsidP="002B733E">
            <w:pPr>
              <w:pStyle w:val="7"/>
              <w:rPr>
                <w:rFonts w:ascii="Calibri" w:hAnsi="Calibri"/>
              </w:rPr>
            </w:pPr>
            <w:r w:rsidRPr="00FD50F6">
              <w:rPr>
                <w:rFonts w:ascii="Calibri" w:hAnsi="Calibri" w:hint="eastAsia"/>
              </w:rPr>
              <w:t>3427</w:t>
            </w:r>
          </w:p>
        </w:tc>
        <w:tc>
          <w:tcPr>
            <w:tcW w:w="756" w:type="dxa"/>
            <w:vAlign w:val="center"/>
          </w:tcPr>
          <w:p w14:paraId="63394B8F" w14:textId="77777777" w:rsidR="002B733E" w:rsidRPr="00FD50F6" w:rsidRDefault="002B733E" w:rsidP="002B733E">
            <w:pPr>
              <w:pStyle w:val="7"/>
              <w:rPr>
                <w:rFonts w:ascii="Calibri" w:hAnsi="Calibri"/>
              </w:rPr>
            </w:pPr>
            <w:r w:rsidRPr="00FD50F6">
              <w:rPr>
                <w:rFonts w:ascii="Calibri" w:hAnsi="Calibri" w:hint="eastAsia"/>
              </w:rPr>
              <w:t>3337</w:t>
            </w:r>
          </w:p>
        </w:tc>
        <w:tc>
          <w:tcPr>
            <w:tcW w:w="756" w:type="dxa"/>
            <w:vAlign w:val="center"/>
          </w:tcPr>
          <w:p w14:paraId="28148691" w14:textId="77777777" w:rsidR="002B733E" w:rsidRPr="00FD50F6" w:rsidRDefault="002B733E" w:rsidP="002B733E">
            <w:pPr>
              <w:pStyle w:val="7"/>
              <w:rPr>
                <w:rFonts w:ascii="Calibri" w:hAnsi="Calibri"/>
              </w:rPr>
            </w:pPr>
            <w:r w:rsidRPr="00FD50F6">
              <w:rPr>
                <w:rFonts w:ascii="Calibri" w:hAnsi="Calibri" w:hint="eastAsia"/>
              </w:rPr>
              <w:t>1007</w:t>
            </w:r>
          </w:p>
        </w:tc>
      </w:tr>
      <w:tr w:rsidR="00FD50F6" w:rsidRPr="00FD50F6" w14:paraId="5F5A6EF3" w14:textId="77777777" w:rsidTr="002B733E">
        <w:trPr>
          <w:trHeight w:val="397"/>
          <w:jc w:val="center"/>
        </w:trPr>
        <w:tc>
          <w:tcPr>
            <w:tcW w:w="701" w:type="dxa"/>
            <w:vAlign w:val="center"/>
          </w:tcPr>
          <w:p w14:paraId="2D5845CE" w14:textId="77777777" w:rsidR="002B733E" w:rsidRPr="00FD50F6" w:rsidRDefault="002B733E" w:rsidP="002B733E">
            <w:pPr>
              <w:pStyle w:val="7"/>
            </w:pPr>
            <w:r w:rsidRPr="00FD50F6">
              <w:rPr>
                <w:rFonts w:hint="eastAsia"/>
              </w:rPr>
              <w:t>点号</w:t>
            </w:r>
          </w:p>
        </w:tc>
        <w:tc>
          <w:tcPr>
            <w:tcW w:w="756" w:type="dxa"/>
            <w:vAlign w:val="center"/>
          </w:tcPr>
          <w:p w14:paraId="2E7ABCF0" w14:textId="77777777" w:rsidR="002B733E" w:rsidRPr="00FD50F6" w:rsidRDefault="002B733E" w:rsidP="002B733E">
            <w:pPr>
              <w:pStyle w:val="7"/>
              <w:rPr>
                <w:rFonts w:ascii="Calibri" w:hAnsi="Calibri"/>
                <w:b/>
              </w:rPr>
            </w:pPr>
            <w:r w:rsidRPr="00FD50F6">
              <w:rPr>
                <w:rFonts w:ascii="Calibri" w:hAnsi="Calibri" w:hint="eastAsia"/>
                <w:b/>
              </w:rPr>
              <w:t>9</w:t>
            </w:r>
            <w:r w:rsidRPr="00FD50F6">
              <w:rPr>
                <w:rFonts w:ascii="Calibri" w:hAnsi="Calibri" w:hint="eastAsia"/>
                <w:b/>
              </w:rPr>
              <w:t>’</w:t>
            </w:r>
          </w:p>
        </w:tc>
        <w:tc>
          <w:tcPr>
            <w:tcW w:w="756" w:type="dxa"/>
            <w:vAlign w:val="center"/>
          </w:tcPr>
          <w:p w14:paraId="35AF1981" w14:textId="77777777" w:rsidR="002B733E" w:rsidRPr="00FD50F6" w:rsidRDefault="002B733E" w:rsidP="002B733E">
            <w:pPr>
              <w:pStyle w:val="7"/>
              <w:rPr>
                <w:rFonts w:ascii="Calibri" w:hAnsi="Calibri"/>
                <w:b/>
              </w:rPr>
            </w:pPr>
            <w:r w:rsidRPr="00FD50F6">
              <w:rPr>
                <w:rFonts w:ascii="Calibri" w:hAnsi="Calibri" w:hint="eastAsia"/>
                <w:b/>
              </w:rPr>
              <w:t>10</w:t>
            </w:r>
            <w:r w:rsidRPr="00FD50F6">
              <w:rPr>
                <w:rFonts w:ascii="Calibri" w:hAnsi="Calibri" w:hint="eastAsia"/>
                <w:b/>
              </w:rPr>
              <w:t>’</w:t>
            </w:r>
          </w:p>
        </w:tc>
        <w:tc>
          <w:tcPr>
            <w:tcW w:w="756" w:type="dxa"/>
            <w:vAlign w:val="center"/>
          </w:tcPr>
          <w:p w14:paraId="19724D4C" w14:textId="77777777" w:rsidR="002B733E" w:rsidRPr="00FD50F6" w:rsidRDefault="002B733E" w:rsidP="002B733E">
            <w:pPr>
              <w:pStyle w:val="7"/>
              <w:rPr>
                <w:rFonts w:ascii="Calibri" w:hAnsi="Calibri"/>
                <w:b/>
              </w:rPr>
            </w:pPr>
            <w:r w:rsidRPr="00FD50F6">
              <w:rPr>
                <w:rFonts w:ascii="Calibri" w:hAnsi="Calibri" w:hint="eastAsia"/>
                <w:b/>
              </w:rPr>
              <w:t>11</w:t>
            </w:r>
            <w:r w:rsidRPr="00FD50F6">
              <w:rPr>
                <w:rFonts w:ascii="Calibri" w:hAnsi="Calibri" w:hint="eastAsia"/>
                <w:b/>
              </w:rPr>
              <w:t>’</w:t>
            </w:r>
          </w:p>
        </w:tc>
        <w:tc>
          <w:tcPr>
            <w:tcW w:w="756" w:type="dxa"/>
            <w:vAlign w:val="center"/>
          </w:tcPr>
          <w:p w14:paraId="510C1182" w14:textId="77777777" w:rsidR="002B733E" w:rsidRPr="00FD50F6" w:rsidRDefault="002B733E" w:rsidP="002B733E">
            <w:pPr>
              <w:pStyle w:val="7"/>
              <w:rPr>
                <w:rFonts w:ascii="Calibri" w:hAnsi="Calibri"/>
                <w:b/>
              </w:rPr>
            </w:pPr>
            <w:r w:rsidRPr="00FD50F6">
              <w:rPr>
                <w:rFonts w:ascii="Calibri" w:hAnsi="Calibri" w:hint="eastAsia"/>
                <w:b/>
              </w:rPr>
              <w:t>12</w:t>
            </w:r>
            <w:r w:rsidRPr="00FD50F6">
              <w:rPr>
                <w:rFonts w:ascii="Calibri" w:hAnsi="Calibri" w:hint="eastAsia"/>
                <w:b/>
              </w:rPr>
              <w:t>’</w:t>
            </w:r>
          </w:p>
        </w:tc>
        <w:tc>
          <w:tcPr>
            <w:tcW w:w="756" w:type="dxa"/>
            <w:vAlign w:val="center"/>
          </w:tcPr>
          <w:p w14:paraId="57088B35" w14:textId="77777777" w:rsidR="002B733E" w:rsidRPr="00FD50F6" w:rsidRDefault="002B733E" w:rsidP="002B733E">
            <w:pPr>
              <w:pStyle w:val="7"/>
              <w:rPr>
                <w:rFonts w:ascii="Calibri" w:hAnsi="Calibri"/>
                <w:b/>
              </w:rPr>
            </w:pPr>
            <w:r w:rsidRPr="00FD50F6">
              <w:rPr>
                <w:rFonts w:ascii="Calibri" w:hAnsi="Calibri" w:hint="eastAsia"/>
                <w:b/>
              </w:rPr>
              <w:t>14</w:t>
            </w:r>
            <w:r w:rsidRPr="00FD50F6">
              <w:rPr>
                <w:rFonts w:ascii="Calibri" w:hAnsi="Calibri" w:hint="eastAsia"/>
                <w:b/>
              </w:rPr>
              <w:t>’</w:t>
            </w:r>
          </w:p>
        </w:tc>
        <w:tc>
          <w:tcPr>
            <w:tcW w:w="756" w:type="dxa"/>
            <w:vAlign w:val="center"/>
          </w:tcPr>
          <w:p w14:paraId="7DD14811" w14:textId="77777777" w:rsidR="002B733E" w:rsidRPr="00FD50F6" w:rsidRDefault="002B733E" w:rsidP="002B733E">
            <w:pPr>
              <w:pStyle w:val="7"/>
              <w:rPr>
                <w:rFonts w:ascii="Calibri" w:hAnsi="Calibri"/>
                <w:b/>
              </w:rPr>
            </w:pPr>
            <w:r w:rsidRPr="00FD50F6">
              <w:rPr>
                <w:rFonts w:ascii="Calibri" w:hAnsi="Calibri" w:hint="eastAsia"/>
                <w:b/>
              </w:rPr>
              <w:t>15</w:t>
            </w:r>
            <w:r w:rsidRPr="00FD50F6">
              <w:rPr>
                <w:rFonts w:ascii="Calibri" w:hAnsi="Calibri" w:hint="eastAsia"/>
                <w:b/>
              </w:rPr>
              <w:t>’</w:t>
            </w:r>
          </w:p>
        </w:tc>
        <w:tc>
          <w:tcPr>
            <w:tcW w:w="756" w:type="dxa"/>
            <w:vAlign w:val="center"/>
          </w:tcPr>
          <w:p w14:paraId="60C6AFE1" w14:textId="77777777" w:rsidR="002B733E" w:rsidRPr="00FD50F6" w:rsidRDefault="002B733E" w:rsidP="002B733E">
            <w:pPr>
              <w:pStyle w:val="7"/>
              <w:rPr>
                <w:rFonts w:ascii="Calibri" w:hAnsi="Calibri"/>
                <w:b/>
              </w:rPr>
            </w:pPr>
            <w:r w:rsidRPr="00FD50F6">
              <w:rPr>
                <w:rFonts w:ascii="Calibri" w:hAnsi="Calibri" w:hint="eastAsia"/>
                <w:b/>
              </w:rPr>
              <w:t>16</w:t>
            </w:r>
            <w:r w:rsidRPr="00FD50F6">
              <w:rPr>
                <w:rFonts w:ascii="Calibri" w:hAnsi="Calibri" w:hint="eastAsia"/>
                <w:b/>
              </w:rPr>
              <w:t>’</w:t>
            </w:r>
          </w:p>
        </w:tc>
        <w:tc>
          <w:tcPr>
            <w:tcW w:w="756" w:type="dxa"/>
            <w:vAlign w:val="center"/>
          </w:tcPr>
          <w:p w14:paraId="415646BF" w14:textId="77777777" w:rsidR="002B733E" w:rsidRPr="00FD50F6" w:rsidRDefault="002B733E" w:rsidP="002B733E">
            <w:pPr>
              <w:pStyle w:val="7"/>
              <w:rPr>
                <w:rFonts w:ascii="Calibri" w:hAnsi="Calibri"/>
                <w:b/>
              </w:rPr>
            </w:pPr>
            <w:r w:rsidRPr="00FD50F6">
              <w:rPr>
                <w:rFonts w:ascii="Calibri" w:hAnsi="Calibri" w:hint="eastAsia"/>
                <w:b/>
              </w:rPr>
              <w:t>17</w:t>
            </w:r>
            <w:r w:rsidRPr="00FD50F6">
              <w:rPr>
                <w:rFonts w:ascii="Calibri" w:hAnsi="Calibri" w:hint="eastAsia"/>
                <w:b/>
              </w:rPr>
              <w:t>’</w:t>
            </w:r>
          </w:p>
        </w:tc>
        <w:tc>
          <w:tcPr>
            <w:tcW w:w="756" w:type="dxa"/>
            <w:vAlign w:val="center"/>
          </w:tcPr>
          <w:p w14:paraId="25E4D877" w14:textId="77777777" w:rsidR="002B733E" w:rsidRPr="00FD50F6" w:rsidRDefault="002B733E" w:rsidP="002B733E">
            <w:pPr>
              <w:pStyle w:val="7"/>
              <w:rPr>
                <w:rFonts w:ascii="Calibri" w:hAnsi="Calibri"/>
                <w:b/>
              </w:rPr>
            </w:pPr>
            <w:r w:rsidRPr="00FD50F6">
              <w:rPr>
                <w:rFonts w:ascii="Calibri" w:hAnsi="Calibri" w:hint="eastAsia"/>
                <w:b/>
              </w:rPr>
              <w:t>18</w:t>
            </w:r>
            <w:r w:rsidRPr="00FD50F6">
              <w:rPr>
                <w:rFonts w:ascii="Calibri" w:hAnsi="Calibri" w:hint="eastAsia"/>
                <w:b/>
              </w:rPr>
              <w:t>’</w:t>
            </w:r>
          </w:p>
        </w:tc>
        <w:tc>
          <w:tcPr>
            <w:tcW w:w="756" w:type="dxa"/>
            <w:vAlign w:val="center"/>
          </w:tcPr>
          <w:p w14:paraId="57512738" w14:textId="77777777" w:rsidR="002B733E" w:rsidRPr="00FD50F6" w:rsidRDefault="002B733E" w:rsidP="002B733E">
            <w:pPr>
              <w:pStyle w:val="7"/>
              <w:rPr>
                <w:rFonts w:ascii="Calibri" w:hAnsi="Calibri"/>
                <w:b/>
              </w:rPr>
            </w:pPr>
            <w:r w:rsidRPr="00FD50F6">
              <w:rPr>
                <w:rFonts w:ascii="Calibri" w:hAnsi="Calibri" w:hint="eastAsia"/>
                <w:b/>
              </w:rPr>
              <w:t>19</w:t>
            </w:r>
            <w:r w:rsidRPr="00FD50F6">
              <w:rPr>
                <w:rFonts w:ascii="Calibri" w:hAnsi="Calibri" w:hint="eastAsia"/>
                <w:b/>
              </w:rPr>
              <w:t>’</w:t>
            </w:r>
          </w:p>
        </w:tc>
      </w:tr>
      <w:tr w:rsidR="00FD50F6" w:rsidRPr="00FD50F6" w14:paraId="609A1D7A" w14:textId="77777777" w:rsidTr="002B733E">
        <w:trPr>
          <w:trHeight w:val="397"/>
          <w:jc w:val="center"/>
        </w:trPr>
        <w:tc>
          <w:tcPr>
            <w:tcW w:w="701" w:type="dxa"/>
            <w:vAlign w:val="center"/>
          </w:tcPr>
          <w:p w14:paraId="2B5F57CA" w14:textId="77777777" w:rsidR="002B733E" w:rsidRPr="00FD50F6" w:rsidRDefault="002B733E" w:rsidP="002B733E">
            <w:pPr>
              <w:pStyle w:val="7"/>
            </w:pPr>
            <w:r w:rsidRPr="00FD50F6">
              <w:rPr>
                <w:rFonts w:hint="eastAsia"/>
              </w:rPr>
              <w:t>X</w:t>
            </w:r>
          </w:p>
        </w:tc>
        <w:tc>
          <w:tcPr>
            <w:tcW w:w="756" w:type="dxa"/>
            <w:vAlign w:val="center"/>
          </w:tcPr>
          <w:p w14:paraId="03B7AF5C" w14:textId="77777777" w:rsidR="002B733E" w:rsidRPr="00FD50F6" w:rsidRDefault="002B733E" w:rsidP="002B733E">
            <w:pPr>
              <w:pStyle w:val="7"/>
              <w:rPr>
                <w:rFonts w:ascii="Calibri" w:hAnsi="Calibri"/>
              </w:rPr>
            </w:pPr>
            <w:r w:rsidRPr="00FD50F6">
              <w:rPr>
                <w:rFonts w:ascii="Calibri" w:hAnsi="Calibri" w:hint="eastAsia"/>
              </w:rPr>
              <w:t>1555</w:t>
            </w:r>
          </w:p>
        </w:tc>
        <w:tc>
          <w:tcPr>
            <w:tcW w:w="756" w:type="dxa"/>
            <w:vAlign w:val="center"/>
          </w:tcPr>
          <w:p w14:paraId="38CF2122" w14:textId="77777777" w:rsidR="002B733E" w:rsidRPr="00FD50F6" w:rsidRDefault="002B733E" w:rsidP="002B733E">
            <w:pPr>
              <w:pStyle w:val="7"/>
              <w:rPr>
                <w:rFonts w:ascii="Calibri" w:hAnsi="Calibri"/>
              </w:rPr>
            </w:pPr>
            <w:r w:rsidRPr="00FD50F6">
              <w:rPr>
                <w:rFonts w:ascii="Calibri" w:hAnsi="Calibri" w:hint="eastAsia"/>
              </w:rPr>
              <w:t>1548</w:t>
            </w:r>
          </w:p>
        </w:tc>
        <w:tc>
          <w:tcPr>
            <w:tcW w:w="756" w:type="dxa"/>
            <w:vAlign w:val="center"/>
          </w:tcPr>
          <w:p w14:paraId="7D36DE7A" w14:textId="77777777" w:rsidR="002B733E" w:rsidRPr="00FD50F6" w:rsidRDefault="002B733E" w:rsidP="002B733E">
            <w:pPr>
              <w:pStyle w:val="7"/>
              <w:rPr>
                <w:rFonts w:ascii="Calibri" w:hAnsi="Calibri"/>
              </w:rPr>
            </w:pPr>
            <w:r w:rsidRPr="00FD50F6">
              <w:rPr>
                <w:rFonts w:ascii="Calibri" w:hAnsi="Calibri" w:hint="eastAsia"/>
              </w:rPr>
              <w:t>1513</w:t>
            </w:r>
          </w:p>
        </w:tc>
        <w:tc>
          <w:tcPr>
            <w:tcW w:w="756" w:type="dxa"/>
            <w:vAlign w:val="center"/>
          </w:tcPr>
          <w:p w14:paraId="3D01F950" w14:textId="77777777" w:rsidR="002B733E" w:rsidRPr="00FD50F6" w:rsidRDefault="002B733E" w:rsidP="002B733E">
            <w:pPr>
              <w:pStyle w:val="7"/>
              <w:rPr>
                <w:rFonts w:ascii="Calibri" w:hAnsi="Calibri"/>
              </w:rPr>
            </w:pPr>
            <w:r w:rsidRPr="00FD50F6">
              <w:rPr>
                <w:rFonts w:ascii="Calibri" w:hAnsi="Calibri" w:hint="eastAsia"/>
              </w:rPr>
              <w:t>1423</w:t>
            </w:r>
          </w:p>
        </w:tc>
        <w:tc>
          <w:tcPr>
            <w:tcW w:w="756" w:type="dxa"/>
            <w:vAlign w:val="center"/>
          </w:tcPr>
          <w:p w14:paraId="0FC649CF" w14:textId="77777777" w:rsidR="002B733E" w:rsidRPr="00FD50F6" w:rsidRDefault="002B733E" w:rsidP="002B733E">
            <w:pPr>
              <w:pStyle w:val="7"/>
              <w:rPr>
                <w:rFonts w:ascii="Calibri" w:hAnsi="Calibri"/>
              </w:rPr>
            </w:pPr>
            <w:r w:rsidRPr="00FD50F6">
              <w:rPr>
                <w:rFonts w:ascii="Calibri" w:hAnsi="Calibri" w:hint="eastAsia"/>
              </w:rPr>
              <w:t>1060</w:t>
            </w:r>
          </w:p>
        </w:tc>
        <w:tc>
          <w:tcPr>
            <w:tcW w:w="756" w:type="dxa"/>
            <w:vAlign w:val="center"/>
          </w:tcPr>
          <w:p w14:paraId="450A3236" w14:textId="77777777" w:rsidR="002B733E" w:rsidRPr="00FD50F6" w:rsidRDefault="002B733E" w:rsidP="002B733E">
            <w:pPr>
              <w:pStyle w:val="7"/>
              <w:rPr>
                <w:rFonts w:ascii="Calibri" w:hAnsi="Calibri"/>
              </w:rPr>
            </w:pPr>
            <w:r w:rsidRPr="00FD50F6">
              <w:rPr>
                <w:rFonts w:ascii="Calibri" w:hAnsi="Calibri" w:hint="eastAsia"/>
              </w:rPr>
              <w:t>1017</w:t>
            </w:r>
          </w:p>
        </w:tc>
        <w:tc>
          <w:tcPr>
            <w:tcW w:w="756" w:type="dxa"/>
            <w:vAlign w:val="center"/>
          </w:tcPr>
          <w:p w14:paraId="33351B4F" w14:textId="77777777" w:rsidR="002B733E" w:rsidRPr="00FD50F6" w:rsidRDefault="002B733E" w:rsidP="002B733E">
            <w:pPr>
              <w:pStyle w:val="7"/>
              <w:rPr>
                <w:rFonts w:ascii="Calibri" w:hAnsi="Calibri"/>
              </w:rPr>
            </w:pPr>
            <w:r w:rsidRPr="00FD50F6">
              <w:rPr>
                <w:rFonts w:ascii="Calibri" w:hAnsi="Calibri" w:hint="eastAsia"/>
              </w:rPr>
              <w:t>995</w:t>
            </w:r>
          </w:p>
        </w:tc>
        <w:tc>
          <w:tcPr>
            <w:tcW w:w="756" w:type="dxa"/>
            <w:vAlign w:val="center"/>
          </w:tcPr>
          <w:p w14:paraId="17656970" w14:textId="77777777" w:rsidR="002B733E" w:rsidRPr="00FD50F6" w:rsidRDefault="002B733E" w:rsidP="002B733E">
            <w:pPr>
              <w:pStyle w:val="7"/>
              <w:rPr>
                <w:rFonts w:ascii="Calibri" w:hAnsi="Calibri"/>
              </w:rPr>
            </w:pPr>
            <w:r w:rsidRPr="00FD50F6">
              <w:rPr>
                <w:rFonts w:ascii="Calibri" w:hAnsi="Calibri" w:hint="eastAsia"/>
              </w:rPr>
              <w:t>987</w:t>
            </w:r>
          </w:p>
        </w:tc>
        <w:tc>
          <w:tcPr>
            <w:tcW w:w="756" w:type="dxa"/>
            <w:vAlign w:val="center"/>
          </w:tcPr>
          <w:p w14:paraId="288AA8F5" w14:textId="77777777" w:rsidR="002B733E" w:rsidRPr="00FD50F6" w:rsidRDefault="002B733E" w:rsidP="002B733E">
            <w:pPr>
              <w:pStyle w:val="7"/>
              <w:rPr>
                <w:rFonts w:ascii="Calibri" w:hAnsi="Calibri"/>
              </w:rPr>
            </w:pPr>
            <w:r w:rsidRPr="00FD50F6">
              <w:rPr>
                <w:rFonts w:ascii="Calibri" w:hAnsi="Calibri" w:hint="eastAsia"/>
              </w:rPr>
              <w:t>840</w:t>
            </w:r>
          </w:p>
        </w:tc>
        <w:tc>
          <w:tcPr>
            <w:tcW w:w="756" w:type="dxa"/>
            <w:vAlign w:val="center"/>
          </w:tcPr>
          <w:p w14:paraId="6A808C7A" w14:textId="77777777" w:rsidR="002B733E" w:rsidRPr="00FD50F6" w:rsidRDefault="002B733E" w:rsidP="002B733E">
            <w:pPr>
              <w:pStyle w:val="7"/>
              <w:rPr>
                <w:rFonts w:ascii="Calibri" w:hAnsi="Calibri"/>
              </w:rPr>
            </w:pPr>
            <w:r w:rsidRPr="00FD50F6">
              <w:rPr>
                <w:rFonts w:ascii="Calibri" w:hAnsi="Calibri" w:hint="eastAsia"/>
              </w:rPr>
              <w:t>840</w:t>
            </w:r>
          </w:p>
        </w:tc>
      </w:tr>
      <w:tr w:rsidR="00FD50F6" w:rsidRPr="00FD50F6" w14:paraId="334190D1" w14:textId="77777777" w:rsidTr="002B733E">
        <w:trPr>
          <w:trHeight w:val="397"/>
          <w:jc w:val="center"/>
        </w:trPr>
        <w:tc>
          <w:tcPr>
            <w:tcW w:w="701" w:type="dxa"/>
            <w:vAlign w:val="center"/>
          </w:tcPr>
          <w:p w14:paraId="1369C683" w14:textId="77777777" w:rsidR="002B733E" w:rsidRPr="00FD50F6" w:rsidRDefault="002B733E" w:rsidP="002B733E">
            <w:pPr>
              <w:pStyle w:val="7"/>
            </w:pPr>
            <w:r w:rsidRPr="00FD50F6">
              <w:rPr>
                <w:rFonts w:hint="eastAsia"/>
              </w:rPr>
              <w:t>Y</w:t>
            </w:r>
          </w:p>
        </w:tc>
        <w:tc>
          <w:tcPr>
            <w:tcW w:w="756" w:type="dxa"/>
            <w:vAlign w:val="center"/>
          </w:tcPr>
          <w:p w14:paraId="5BF1465C" w14:textId="77777777" w:rsidR="002B733E" w:rsidRPr="00FD50F6" w:rsidRDefault="002B733E" w:rsidP="002B733E">
            <w:pPr>
              <w:pStyle w:val="7"/>
              <w:rPr>
                <w:rFonts w:ascii="Calibri" w:hAnsi="Calibri"/>
              </w:rPr>
            </w:pPr>
            <w:r w:rsidRPr="00FD50F6">
              <w:rPr>
                <w:rFonts w:ascii="Calibri" w:hAnsi="Calibri" w:hint="eastAsia"/>
              </w:rPr>
              <w:t>807</w:t>
            </w:r>
          </w:p>
        </w:tc>
        <w:tc>
          <w:tcPr>
            <w:tcW w:w="756" w:type="dxa"/>
            <w:vAlign w:val="center"/>
          </w:tcPr>
          <w:p w14:paraId="52252F28" w14:textId="77777777" w:rsidR="002B733E" w:rsidRPr="00FD50F6" w:rsidRDefault="002B733E" w:rsidP="002B733E">
            <w:pPr>
              <w:pStyle w:val="7"/>
              <w:rPr>
                <w:rFonts w:ascii="Calibri" w:hAnsi="Calibri"/>
              </w:rPr>
            </w:pPr>
            <w:r w:rsidRPr="00FD50F6">
              <w:rPr>
                <w:rFonts w:ascii="Calibri" w:hAnsi="Calibri" w:hint="eastAsia"/>
              </w:rPr>
              <w:t>775</w:t>
            </w:r>
          </w:p>
        </w:tc>
        <w:tc>
          <w:tcPr>
            <w:tcW w:w="756" w:type="dxa"/>
            <w:vAlign w:val="center"/>
          </w:tcPr>
          <w:p w14:paraId="778EF568" w14:textId="77777777" w:rsidR="002B733E" w:rsidRPr="00FD50F6" w:rsidRDefault="002B733E" w:rsidP="002B733E">
            <w:pPr>
              <w:pStyle w:val="7"/>
              <w:rPr>
                <w:rFonts w:ascii="Calibri" w:hAnsi="Calibri"/>
              </w:rPr>
            </w:pPr>
            <w:r w:rsidRPr="00FD50F6">
              <w:rPr>
                <w:rFonts w:ascii="Calibri" w:hAnsi="Calibri" w:hint="eastAsia"/>
              </w:rPr>
              <w:t>601</w:t>
            </w:r>
          </w:p>
        </w:tc>
        <w:tc>
          <w:tcPr>
            <w:tcW w:w="756" w:type="dxa"/>
            <w:vAlign w:val="center"/>
          </w:tcPr>
          <w:p w14:paraId="42699BDB" w14:textId="77777777" w:rsidR="002B733E" w:rsidRPr="00FD50F6" w:rsidRDefault="002B733E" w:rsidP="002B733E">
            <w:pPr>
              <w:pStyle w:val="7"/>
              <w:rPr>
                <w:rFonts w:ascii="Calibri" w:hAnsi="Calibri"/>
              </w:rPr>
            </w:pPr>
            <w:r w:rsidRPr="00FD50F6">
              <w:rPr>
                <w:rFonts w:ascii="Calibri" w:hAnsi="Calibri" w:hint="eastAsia"/>
              </w:rPr>
              <w:t>602</w:t>
            </w:r>
          </w:p>
        </w:tc>
        <w:tc>
          <w:tcPr>
            <w:tcW w:w="756" w:type="dxa"/>
            <w:vAlign w:val="center"/>
          </w:tcPr>
          <w:p w14:paraId="688CEACF" w14:textId="77777777" w:rsidR="002B733E" w:rsidRPr="00FD50F6" w:rsidRDefault="002B733E" w:rsidP="002B733E">
            <w:pPr>
              <w:pStyle w:val="7"/>
              <w:rPr>
                <w:rFonts w:ascii="Calibri" w:hAnsi="Calibri"/>
              </w:rPr>
            </w:pPr>
            <w:r w:rsidRPr="00FD50F6">
              <w:rPr>
                <w:rFonts w:ascii="Calibri" w:hAnsi="Calibri" w:hint="eastAsia"/>
              </w:rPr>
              <w:t>103</w:t>
            </w:r>
          </w:p>
        </w:tc>
        <w:tc>
          <w:tcPr>
            <w:tcW w:w="756" w:type="dxa"/>
            <w:vAlign w:val="center"/>
          </w:tcPr>
          <w:p w14:paraId="011907A1" w14:textId="77777777" w:rsidR="002B733E" w:rsidRPr="00FD50F6" w:rsidRDefault="002B733E" w:rsidP="002B733E">
            <w:pPr>
              <w:pStyle w:val="7"/>
              <w:rPr>
                <w:rFonts w:ascii="Calibri" w:hAnsi="Calibri"/>
              </w:rPr>
            </w:pPr>
            <w:r w:rsidRPr="00FD50F6">
              <w:rPr>
                <w:rFonts w:ascii="Calibri" w:hAnsi="Calibri" w:hint="eastAsia"/>
              </w:rPr>
              <w:t>104</w:t>
            </w:r>
          </w:p>
        </w:tc>
        <w:tc>
          <w:tcPr>
            <w:tcW w:w="756" w:type="dxa"/>
            <w:vAlign w:val="center"/>
          </w:tcPr>
          <w:p w14:paraId="38466BB4" w14:textId="77777777" w:rsidR="002B733E" w:rsidRPr="00FD50F6" w:rsidRDefault="002B733E" w:rsidP="002B733E">
            <w:pPr>
              <w:pStyle w:val="7"/>
              <w:rPr>
                <w:rFonts w:ascii="Calibri" w:hAnsi="Calibri"/>
              </w:rPr>
            </w:pPr>
            <w:r w:rsidRPr="00FD50F6">
              <w:rPr>
                <w:rFonts w:ascii="Calibri" w:hAnsi="Calibri" w:hint="eastAsia"/>
              </w:rPr>
              <w:t>100</w:t>
            </w:r>
          </w:p>
        </w:tc>
        <w:tc>
          <w:tcPr>
            <w:tcW w:w="756" w:type="dxa"/>
            <w:vAlign w:val="center"/>
          </w:tcPr>
          <w:p w14:paraId="009EA56C" w14:textId="77777777" w:rsidR="002B733E" w:rsidRPr="00FD50F6" w:rsidRDefault="002B733E" w:rsidP="002B733E">
            <w:pPr>
              <w:pStyle w:val="7"/>
              <w:rPr>
                <w:rFonts w:ascii="Calibri" w:hAnsi="Calibri"/>
              </w:rPr>
            </w:pPr>
            <w:r w:rsidRPr="00FD50F6">
              <w:rPr>
                <w:rFonts w:ascii="Calibri" w:hAnsi="Calibri" w:hint="eastAsia"/>
              </w:rPr>
              <w:t>100</w:t>
            </w:r>
          </w:p>
        </w:tc>
        <w:tc>
          <w:tcPr>
            <w:tcW w:w="756" w:type="dxa"/>
            <w:vAlign w:val="center"/>
          </w:tcPr>
          <w:p w14:paraId="613CD4AF" w14:textId="77777777" w:rsidR="002B733E" w:rsidRPr="00FD50F6" w:rsidRDefault="002B733E" w:rsidP="002B733E">
            <w:pPr>
              <w:pStyle w:val="7"/>
              <w:rPr>
                <w:rFonts w:ascii="Calibri" w:hAnsi="Calibri"/>
              </w:rPr>
            </w:pPr>
            <w:r w:rsidRPr="00FD50F6">
              <w:rPr>
                <w:rFonts w:ascii="Calibri" w:hAnsi="Calibri" w:hint="eastAsia"/>
              </w:rPr>
              <w:t>100</w:t>
            </w:r>
          </w:p>
        </w:tc>
        <w:tc>
          <w:tcPr>
            <w:tcW w:w="756" w:type="dxa"/>
            <w:vAlign w:val="center"/>
          </w:tcPr>
          <w:p w14:paraId="75B81D1B" w14:textId="77777777" w:rsidR="002B733E" w:rsidRPr="00FD50F6" w:rsidRDefault="002B733E" w:rsidP="002B733E">
            <w:pPr>
              <w:pStyle w:val="7"/>
              <w:rPr>
                <w:rFonts w:ascii="Calibri" w:hAnsi="Calibri"/>
              </w:rPr>
            </w:pPr>
            <w:r w:rsidRPr="00FD50F6">
              <w:rPr>
                <w:rFonts w:ascii="Calibri" w:hAnsi="Calibri" w:hint="eastAsia"/>
              </w:rPr>
              <w:t>-16</w:t>
            </w:r>
          </w:p>
        </w:tc>
      </w:tr>
      <w:tr w:rsidR="00FD50F6" w:rsidRPr="00FD50F6" w14:paraId="62CD5971" w14:textId="77777777" w:rsidTr="002B733E">
        <w:trPr>
          <w:trHeight w:val="397"/>
          <w:jc w:val="center"/>
        </w:trPr>
        <w:tc>
          <w:tcPr>
            <w:tcW w:w="701" w:type="dxa"/>
            <w:vAlign w:val="center"/>
          </w:tcPr>
          <w:p w14:paraId="755D6D13" w14:textId="77777777" w:rsidR="002B733E" w:rsidRPr="00FD50F6" w:rsidRDefault="002B733E" w:rsidP="002B733E">
            <w:pPr>
              <w:pStyle w:val="7"/>
            </w:pPr>
            <w:r w:rsidRPr="00FD50F6">
              <w:rPr>
                <w:rFonts w:hint="eastAsia"/>
              </w:rPr>
              <w:t>点号</w:t>
            </w:r>
          </w:p>
        </w:tc>
        <w:tc>
          <w:tcPr>
            <w:tcW w:w="756" w:type="dxa"/>
            <w:vAlign w:val="center"/>
          </w:tcPr>
          <w:p w14:paraId="1C2E793A" w14:textId="77777777" w:rsidR="002B733E" w:rsidRPr="00FD50F6" w:rsidRDefault="002B733E" w:rsidP="002B733E">
            <w:pPr>
              <w:pStyle w:val="7"/>
              <w:rPr>
                <w:rFonts w:ascii="Calibri" w:hAnsi="Calibri"/>
                <w:b/>
              </w:rPr>
            </w:pPr>
            <w:r w:rsidRPr="00FD50F6">
              <w:rPr>
                <w:rFonts w:ascii="Calibri" w:hAnsi="Calibri" w:hint="eastAsia"/>
                <w:b/>
              </w:rPr>
              <w:t>20</w:t>
            </w:r>
            <w:r w:rsidRPr="00FD50F6">
              <w:rPr>
                <w:rFonts w:ascii="Calibri" w:hAnsi="Calibri" w:hint="eastAsia"/>
                <w:b/>
              </w:rPr>
              <w:t>’</w:t>
            </w:r>
          </w:p>
        </w:tc>
        <w:tc>
          <w:tcPr>
            <w:tcW w:w="756" w:type="dxa"/>
            <w:vAlign w:val="center"/>
          </w:tcPr>
          <w:p w14:paraId="3DED5B58" w14:textId="77777777" w:rsidR="002B733E" w:rsidRPr="00FD50F6" w:rsidRDefault="002B733E" w:rsidP="002B733E">
            <w:pPr>
              <w:pStyle w:val="7"/>
              <w:rPr>
                <w:rFonts w:ascii="Calibri" w:hAnsi="Calibri"/>
                <w:b/>
              </w:rPr>
            </w:pPr>
            <w:r w:rsidRPr="00FD50F6">
              <w:rPr>
                <w:rFonts w:ascii="Calibri" w:hAnsi="Calibri" w:hint="eastAsia"/>
                <w:b/>
              </w:rPr>
              <w:t>21</w:t>
            </w:r>
            <w:r w:rsidRPr="00FD50F6">
              <w:rPr>
                <w:rFonts w:ascii="Calibri" w:hAnsi="Calibri" w:hint="eastAsia"/>
                <w:b/>
              </w:rPr>
              <w:t>’</w:t>
            </w:r>
          </w:p>
        </w:tc>
        <w:tc>
          <w:tcPr>
            <w:tcW w:w="756" w:type="dxa"/>
            <w:vAlign w:val="center"/>
          </w:tcPr>
          <w:p w14:paraId="55D61E6D" w14:textId="77777777" w:rsidR="002B733E" w:rsidRPr="00FD50F6" w:rsidRDefault="002B733E" w:rsidP="002B733E">
            <w:pPr>
              <w:pStyle w:val="7"/>
              <w:rPr>
                <w:rFonts w:ascii="Calibri" w:hAnsi="Calibri"/>
                <w:b/>
              </w:rPr>
            </w:pPr>
            <w:r w:rsidRPr="00FD50F6">
              <w:rPr>
                <w:rFonts w:ascii="Calibri" w:hAnsi="Calibri" w:hint="eastAsia"/>
                <w:b/>
              </w:rPr>
              <w:t>22</w:t>
            </w:r>
            <w:r w:rsidRPr="00FD50F6">
              <w:rPr>
                <w:rFonts w:ascii="Calibri" w:hAnsi="Calibri" w:hint="eastAsia"/>
                <w:b/>
              </w:rPr>
              <w:t>’</w:t>
            </w:r>
          </w:p>
        </w:tc>
        <w:tc>
          <w:tcPr>
            <w:tcW w:w="756" w:type="dxa"/>
            <w:vAlign w:val="center"/>
          </w:tcPr>
          <w:p w14:paraId="125A252D" w14:textId="77777777" w:rsidR="002B733E" w:rsidRPr="00FD50F6" w:rsidRDefault="002B733E" w:rsidP="002B733E">
            <w:pPr>
              <w:pStyle w:val="7"/>
              <w:rPr>
                <w:rFonts w:ascii="Calibri" w:hAnsi="Calibri"/>
                <w:b/>
              </w:rPr>
            </w:pPr>
            <w:r w:rsidRPr="00FD50F6">
              <w:rPr>
                <w:rFonts w:ascii="Calibri" w:hAnsi="Calibri" w:hint="eastAsia"/>
                <w:b/>
              </w:rPr>
              <w:t>23</w:t>
            </w:r>
            <w:r w:rsidRPr="00FD50F6">
              <w:rPr>
                <w:rFonts w:ascii="Calibri" w:hAnsi="Calibri" w:hint="eastAsia"/>
                <w:b/>
              </w:rPr>
              <w:t>’</w:t>
            </w:r>
          </w:p>
        </w:tc>
        <w:tc>
          <w:tcPr>
            <w:tcW w:w="756" w:type="dxa"/>
            <w:vAlign w:val="center"/>
          </w:tcPr>
          <w:p w14:paraId="2750E034" w14:textId="77777777" w:rsidR="002B733E" w:rsidRPr="00FD50F6" w:rsidRDefault="002B733E" w:rsidP="002B733E">
            <w:pPr>
              <w:pStyle w:val="7"/>
              <w:rPr>
                <w:rFonts w:ascii="Calibri" w:hAnsi="Calibri"/>
                <w:b/>
              </w:rPr>
            </w:pPr>
            <w:r w:rsidRPr="00FD50F6">
              <w:rPr>
                <w:rFonts w:ascii="Calibri" w:hAnsi="Calibri" w:hint="eastAsia"/>
                <w:b/>
              </w:rPr>
              <w:t>24</w:t>
            </w:r>
            <w:r w:rsidRPr="00FD50F6">
              <w:rPr>
                <w:rFonts w:ascii="Calibri" w:hAnsi="Calibri" w:hint="eastAsia"/>
                <w:b/>
              </w:rPr>
              <w:t>’</w:t>
            </w:r>
          </w:p>
        </w:tc>
        <w:tc>
          <w:tcPr>
            <w:tcW w:w="756" w:type="dxa"/>
            <w:vAlign w:val="center"/>
          </w:tcPr>
          <w:p w14:paraId="64B5EED9" w14:textId="77777777" w:rsidR="002B733E" w:rsidRPr="00FD50F6" w:rsidRDefault="002B733E" w:rsidP="002B733E">
            <w:pPr>
              <w:pStyle w:val="7"/>
              <w:rPr>
                <w:rFonts w:ascii="Calibri" w:hAnsi="Calibri"/>
                <w:b/>
              </w:rPr>
            </w:pPr>
            <w:r w:rsidRPr="00FD50F6">
              <w:rPr>
                <w:rFonts w:ascii="Calibri" w:hAnsi="Calibri" w:hint="eastAsia"/>
                <w:b/>
              </w:rPr>
              <w:t>25</w:t>
            </w:r>
            <w:r w:rsidRPr="00FD50F6">
              <w:rPr>
                <w:rFonts w:ascii="Calibri" w:hAnsi="Calibri" w:hint="eastAsia"/>
                <w:b/>
              </w:rPr>
              <w:t>’</w:t>
            </w:r>
          </w:p>
        </w:tc>
        <w:tc>
          <w:tcPr>
            <w:tcW w:w="756" w:type="dxa"/>
            <w:vAlign w:val="center"/>
          </w:tcPr>
          <w:p w14:paraId="3298F15F" w14:textId="77777777" w:rsidR="002B733E" w:rsidRPr="00FD50F6" w:rsidRDefault="002B733E" w:rsidP="002B733E">
            <w:pPr>
              <w:pStyle w:val="7"/>
              <w:rPr>
                <w:rFonts w:ascii="Calibri" w:hAnsi="Calibri"/>
                <w:b/>
              </w:rPr>
            </w:pPr>
            <w:r w:rsidRPr="00FD50F6">
              <w:rPr>
                <w:rFonts w:ascii="Calibri" w:hAnsi="Calibri" w:hint="eastAsia"/>
                <w:b/>
              </w:rPr>
              <w:t>26</w:t>
            </w:r>
            <w:r w:rsidRPr="00FD50F6">
              <w:rPr>
                <w:rFonts w:ascii="Calibri" w:hAnsi="Calibri" w:hint="eastAsia"/>
                <w:b/>
              </w:rPr>
              <w:t>’</w:t>
            </w:r>
          </w:p>
        </w:tc>
        <w:tc>
          <w:tcPr>
            <w:tcW w:w="756" w:type="dxa"/>
            <w:vAlign w:val="center"/>
          </w:tcPr>
          <w:p w14:paraId="30708AA0" w14:textId="77777777" w:rsidR="002B733E" w:rsidRPr="00FD50F6" w:rsidRDefault="002B733E" w:rsidP="002B733E">
            <w:pPr>
              <w:pStyle w:val="7"/>
              <w:rPr>
                <w:rFonts w:ascii="Calibri" w:hAnsi="Calibri"/>
                <w:b/>
              </w:rPr>
            </w:pPr>
            <w:r w:rsidRPr="00FD50F6">
              <w:rPr>
                <w:rFonts w:ascii="Calibri" w:hAnsi="Calibri" w:hint="eastAsia"/>
                <w:b/>
              </w:rPr>
              <w:t>27</w:t>
            </w:r>
            <w:r w:rsidRPr="00FD50F6">
              <w:rPr>
                <w:rFonts w:ascii="Calibri" w:hAnsi="Calibri" w:hint="eastAsia"/>
                <w:b/>
              </w:rPr>
              <w:t>’</w:t>
            </w:r>
          </w:p>
        </w:tc>
        <w:tc>
          <w:tcPr>
            <w:tcW w:w="756" w:type="dxa"/>
            <w:vAlign w:val="center"/>
          </w:tcPr>
          <w:p w14:paraId="6882F00B" w14:textId="77777777" w:rsidR="002B733E" w:rsidRPr="00FD50F6" w:rsidRDefault="002B733E" w:rsidP="002B733E">
            <w:pPr>
              <w:pStyle w:val="7"/>
              <w:rPr>
                <w:rFonts w:ascii="Calibri" w:hAnsi="Calibri"/>
                <w:b/>
              </w:rPr>
            </w:pPr>
            <w:r w:rsidRPr="00FD50F6">
              <w:rPr>
                <w:rFonts w:ascii="Calibri" w:hAnsi="Calibri" w:hint="eastAsia"/>
                <w:b/>
              </w:rPr>
              <w:t>28</w:t>
            </w:r>
            <w:r w:rsidRPr="00FD50F6">
              <w:rPr>
                <w:rFonts w:ascii="Calibri" w:hAnsi="Calibri" w:hint="eastAsia"/>
                <w:b/>
              </w:rPr>
              <w:t>’</w:t>
            </w:r>
          </w:p>
        </w:tc>
        <w:tc>
          <w:tcPr>
            <w:tcW w:w="756" w:type="dxa"/>
            <w:vAlign w:val="bottom"/>
          </w:tcPr>
          <w:p w14:paraId="023FC0A0"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393A24A1" w14:textId="77777777" w:rsidTr="002B733E">
        <w:trPr>
          <w:trHeight w:val="397"/>
          <w:jc w:val="center"/>
        </w:trPr>
        <w:tc>
          <w:tcPr>
            <w:tcW w:w="701" w:type="dxa"/>
            <w:vAlign w:val="center"/>
          </w:tcPr>
          <w:p w14:paraId="7AED4168" w14:textId="77777777" w:rsidR="002B733E" w:rsidRPr="00FD50F6" w:rsidRDefault="002B733E" w:rsidP="002B733E">
            <w:pPr>
              <w:pStyle w:val="7"/>
            </w:pPr>
            <w:r w:rsidRPr="00FD50F6">
              <w:rPr>
                <w:rFonts w:hint="eastAsia"/>
              </w:rPr>
              <w:t>X</w:t>
            </w:r>
          </w:p>
        </w:tc>
        <w:tc>
          <w:tcPr>
            <w:tcW w:w="756" w:type="dxa"/>
            <w:vAlign w:val="center"/>
          </w:tcPr>
          <w:p w14:paraId="7AF31F33" w14:textId="77777777" w:rsidR="002B733E" w:rsidRPr="00FD50F6" w:rsidRDefault="002B733E" w:rsidP="002B733E">
            <w:pPr>
              <w:pStyle w:val="7"/>
              <w:rPr>
                <w:rFonts w:ascii="Calibri" w:hAnsi="Calibri"/>
              </w:rPr>
            </w:pPr>
            <w:r w:rsidRPr="00FD50F6">
              <w:rPr>
                <w:rFonts w:ascii="Calibri" w:hAnsi="Calibri" w:hint="eastAsia"/>
              </w:rPr>
              <w:t>775</w:t>
            </w:r>
          </w:p>
        </w:tc>
        <w:tc>
          <w:tcPr>
            <w:tcW w:w="756" w:type="dxa"/>
            <w:vAlign w:val="center"/>
          </w:tcPr>
          <w:p w14:paraId="5C00E16F" w14:textId="77777777" w:rsidR="002B733E" w:rsidRPr="00FD50F6" w:rsidRDefault="002B733E" w:rsidP="002B733E">
            <w:pPr>
              <w:pStyle w:val="7"/>
              <w:rPr>
                <w:rFonts w:ascii="Calibri" w:hAnsi="Calibri"/>
              </w:rPr>
            </w:pPr>
            <w:r w:rsidRPr="00FD50F6">
              <w:rPr>
                <w:rFonts w:ascii="Calibri" w:hAnsi="Calibri" w:hint="eastAsia"/>
              </w:rPr>
              <w:t>735</w:t>
            </w:r>
          </w:p>
        </w:tc>
        <w:tc>
          <w:tcPr>
            <w:tcW w:w="756" w:type="dxa"/>
            <w:vAlign w:val="center"/>
          </w:tcPr>
          <w:p w14:paraId="28D54D8C" w14:textId="77777777" w:rsidR="002B733E" w:rsidRPr="00FD50F6" w:rsidRDefault="002B733E" w:rsidP="002B733E">
            <w:pPr>
              <w:pStyle w:val="7"/>
              <w:rPr>
                <w:rFonts w:ascii="Calibri" w:hAnsi="Calibri"/>
              </w:rPr>
            </w:pPr>
            <w:r w:rsidRPr="00FD50F6">
              <w:rPr>
                <w:rFonts w:ascii="Calibri" w:hAnsi="Calibri" w:hint="eastAsia"/>
              </w:rPr>
              <w:t>735</w:t>
            </w:r>
          </w:p>
        </w:tc>
        <w:tc>
          <w:tcPr>
            <w:tcW w:w="756" w:type="dxa"/>
            <w:vAlign w:val="center"/>
          </w:tcPr>
          <w:p w14:paraId="1A0CAEC1" w14:textId="77777777" w:rsidR="002B733E" w:rsidRPr="00FD50F6" w:rsidRDefault="002B733E" w:rsidP="002B733E">
            <w:pPr>
              <w:pStyle w:val="7"/>
              <w:rPr>
                <w:rFonts w:ascii="Calibri" w:hAnsi="Calibri"/>
              </w:rPr>
            </w:pPr>
            <w:r w:rsidRPr="00FD50F6">
              <w:rPr>
                <w:rFonts w:ascii="Calibri" w:hAnsi="Calibri" w:hint="eastAsia"/>
              </w:rPr>
              <w:t>648</w:t>
            </w:r>
          </w:p>
        </w:tc>
        <w:tc>
          <w:tcPr>
            <w:tcW w:w="756" w:type="dxa"/>
            <w:vAlign w:val="center"/>
          </w:tcPr>
          <w:p w14:paraId="7398F31C" w14:textId="77777777" w:rsidR="002B733E" w:rsidRPr="00FD50F6" w:rsidRDefault="002B733E" w:rsidP="002B733E">
            <w:pPr>
              <w:pStyle w:val="7"/>
              <w:rPr>
                <w:rFonts w:ascii="Calibri" w:hAnsi="Calibri"/>
              </w:rPr>
            </w:pPr>
            <w:r w:rsidRPr="00FD50F6">
              <w:rPr>
                <w:rFonts w:ascii="Calibri" w:hAnsi="Calibri" w:hint="eastAsia"/>
              </w:rPr>
              <w:t>648</w:t>
            </w:r>
          </w:p>
        </w:tc>
        <w:tc>
          <w:tcPr>
            <w:tcW w:w="756" w:type="dxa"/>
            <w:vAlign w:val="center"/>
          </w:tcPr>
          <w:p w14:paraId="4DB36093" w14:textId="77777777" w:rsidR="002B733E" w:rsidRPr="00FD50F6" w:rsidRDefault="002B733E" w:rsidP="002B733E">
            <w:pPr>
              <w:pStyle w:val="7"/>
              <w:rPr>
                <w:rFonts w:ascii="Calibri" w:hAnsi="Calibri"/>
              </w:rPr>
            </w:pPr>
            <w:r w:rsidRPr="00FD50F6">
              <w:rPr>
                <w:rFonts w:ascii="Calibri" w:hAnsi="Calibri" w:hint="eastAsia"/>
              </w:rPr>
              <w:t>541</w:t>
            </w:r>
          </w:p>
        </w:tc>
        <w:tc>
          <w:tcPr>
            <w:tcW w:w="756" w:type="dxa"/>
            <w:vAlign w:val="center"/>
          </w:tcPr>
          <w:p w14:paraId="758CB45A" w14:textId="77777777" w:rsidR="002B733E" w:rsidRPr="00FD50F6" w:rsidRDefault="002B733E" w:rsidP="002B733E">
            <w:pPr>
              <w:pStyle w:val="7"/>
              <w:rPr>
                <w:rFonts w:ascii="Calibri" w:hAnsi="Calibri"/>
              </w:rPr>
            </w:pPr>
            <w:r w:rsidRPr="00FD50F6">
              <w:rPr>
                <w:rFonts w:ascii="Calibri" w:hAnsi="Calibri" w:hint="eastAsia"/>
              </w:rPr>
              <w:t>151</w:t>
            </w:r>
          </w:p>
        </w:tc>
        <w:tc>
          <w:tcPr>
            <w:tcW w:w="756" w:type="dxa"/>
            <w:vAlign w:val="center"/>
          </w:tcPr>
          <w:p w14:paraId="31EFCF71" w14:textId="77777777" w:rsidR="002B733E" w:rsidRPr="00FD50F6" w:rsidRDefault="002B733E" w:rsidP="002B733E">
            <w:pPr>
              <w:pStyle w:val="7"/>
              <w:rPr>
                <w:rFonts w:ascii="Calibri" w:hAnsi="Calibri"/>
              </w:rPr>
            </w:pPr>
            <w:r w:rsidRPr="00FD50F6">
              <w:rPr>
                <w:rFonts w:ascii="Calibri" w:hAnsi="Calibri" w:hint="eastAsia"/>
              </w:rPr>
              <w:t>151</w:t>
            </w:r>
          </w:p>
        </w:tc>
        <w:tc>
          <w:tcPr>
            <w:tcW w:w="756" w:type="dxa"/>
            <w:vAlign w:val="center"/>
          </w:tcPr>
          <w:p w14:paraId="57F5E782" w14:textId="77777777" w:rsidR="002B733E" w:rsidRPr="00FD50F6" w:rsidRDefault="002B733E" w:rsidP="002B733E">
            <w:pPr>
              <w:pStyle w:val="7"/>
              <w:rPr>
                <w:rFonts w:ascii="Calibri" w:hAnsi="Calibri"/>
              </w:rPr>
            </w:pPr>
            <w:r w:rsidRPr="00FD50F6">
              <w:rPr>
                <w:rFonts w:ascii="Calibri" w:hAnsi="Calibri" w:hint="eastAsia"/>
              </w:rPr>
              <w:t>0</w:t>
            </w:r>
          </w:p>
        </w:tc>
        <w:tc>
          <w:tcPr>
            <w:tcW w:w="756" w:type="dxa"/>
            <w:vAlign w:val="bottom"/>
          </w:tcPr>
          <w:p w14:paraId="0FBF4EAE"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54C8CD27" w14:textId="77777777" w:rsidTr="002B733E">
        <w:trPr>
          <w:trHeight w:val="397"/>
          <w:jc w:val="center"/>
        </w:trPr>
        <w:tc>
          <w:tcPr>
            <w:tcW w:w="701" w:type="dxa"/>
            <w:vAlign w:val="center"/>
          </w:tcPr>
          <w:p w14:paraId="069C0FE8" w14:textId="77777777" w:rsidR="002B733E" w:rsidRPr="00FD50F6" w:rsidRDefault="002B733E" w:rsidP="002B733E">
            <w:pPr>
              <w:pStyle w:val="7"/>
            </w:pPr>
            <w:r w:rsidRPr="00FD50F6">
              <w:rPr>
                <w:rFonts w:hint="eastAsia"/>
              </w:rPr>
              <w:t>Y</w:t>
            </w:r>
          </w:p>
        </w:tc>
        <w:tc>
          <w:tcPr>
            <w:tcW w:w="756" w:type="dxa"/>
            <w:vAlign w:val="center"/>
          </w:tcPr>
          <w:p w14:paraId="2C1ADB79"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center"/>
          </w:tcPr>
          <w:p w14:paraId="1D628089"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center"/>
          </w:tcPr>
          <w:p w14:paraId="66E9B77F" w14:textId="77777777" w:rsidR="002B733E" w:rsidRPr="00FD50F6" w:rsidRDefault="002B733E" w:rsidP="002B733E">
            <w:pPr>
              <w:pStyle w:val="7"/>
              <w:rPr>
                <w:rFonts w:ascii="Calibri" w:hAnsi="Calibri"/>
              </w:rPr>
            </w:pPr>
            <w:r w:rsidRPr="00FD50F6">
              <w:rPr>
                <w:rFonts w:ascii="Calibri" w:hAnsi="Calibri" w:hint="eastAsia"/>
              </w:rPr>
              <w:t>-56</w:t>
            </w:r>
          </w:p>
        </w:tc>
        <w:tc>
          <w:tcPr>
            <w:tcW w:w="756" w:type="dxa"/>
            <w:vAlign w:val="center"/>
          </w:tcPr>
          <w:p w14:paraId="2F317807" w14:textId="77777777" w:rsidR="002B733E" w:rsidRPr="00FD50F6" w:rsidRDefault="002B733E" w:rsidP="002B733E">
            <w:pPr>
              <w:pStyle w:val="7"/>
              <w:rPr>
                <w:rFonts w:ascii="Calibri" w:hAnsi="Calibri"/>
              </w:rPr>
            </w:pPr>
            <w:r w:rsidRPr="00FD50F6">
              <w:rPr>
                <w:rFonts w:ascii="Calibri" w:hAnsi="Calibri" w:hint="eastAsia"/>
              </w:rPr>
              <w:t>-56</w:t>
            </w:r>
          </w:p>
        </w:tc>
        <w:tc>
          <w:tcPr>
            <w:tcW w:w="756" w:type="dxa"/>
            <w:vAlign w:val="center"/>
          </w:tcPr>
          <w:p w14:paraId="17D665CF"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center"/>
          </w:tcPr>
          <w:p w14:paraId="170C71B2"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center"/>
          </w:tcPr>
          <w:p w14:paraId="537275AE" w14:textId="77777777" w:rsidR="002B733E" w:rsidRPr="00FD50F6" w:rsidRDefault="002B733E" w:rsidP="002B733E">
            <w:pPr>
              <w:pStyle w:val="7"/>
              <w:rPr>
                <w:rFonts w:ascii="Calibri" w:hAnsi="Calibri"/>
              </w:rPr>
            </w:pPr>
            <w:r w:rsidRPr="00FD50F6">
              <w:rPr>
                <w:rFonts w:ascii="Calibri" w:hAnsi="Calibri" w:hint="eastAsia"/>
              </w:rPr>
              <w:t>32</w:t>
            </w:r>
          </w:p>
        </w:tc>
        <w:tc>
          <w:tcPr>
            <w:tcW w:w="756" w:type="dxa"/>
            <w:vAlign w:val="center"/>
          </w:tcPr>
          <w:p w14:paraId="69198101" w14:textId="77777777" w:rsidR="002B733E" w:rsidRPr="00FD50F6" w:rsidRDefault="002B733E" w:rsidP="002B733E">
            <w:pPr>
              <w:pStyle w:val="7"/>
              <w:rPr>
                <w:rFonts w:ascii="Calibri" w:hAnsi="Calibri"/>
              </w:rPr>
            </w:pPr>
            <w:r w:rsidRPr="00FD50F6">
              <w:rPr>
                <w:rFonts w:ascii="Calibri" w:hAnsi="Calibri" w:hint="eastAsia"/>
              </w:rPr>
              <w:t>79</w:t>
            </w:r>
          </w:p>
        </w:tc>
        <w:tc>
          <w:tcPr>
            <w:tcW w:w="756" w:type="dxa"/>
            <w:vAlign w:val="center"/>
          </w:tcPr>
          <w:p w14:paraId="1276F9AE" w14:textId="77777777" w:rsidR="002B733E" w:rsidRPr="00FD50F6" w:rsidRDefault="002B733E" w:rsidP="002B733E">
            <w:pPr>
              <w:pStyle w:val="7"/>
              <w:rPr>
                <w:rFonts w:ascii="Calibri" w:hAnsi="Calibri"/>
              </w:rPr>
            </w:pPr>
            <w:r w:rsidRPr="00FD50F6">
              <w:rPr>
                <w:rFonts w:ascii="Calibri" w:hAnsi="Calibri" w:hint="eastAsia"/>
              </w:rPr>
              <w:t>80</w:t>
            </w:r>
          </w:p>
        </w:tc>
        <w:tc>
          <w:tcPr>
            <w:tcW w:w="756" w:type="dxa"/>
            <w:vAlign w:val="bottom"/>
          </w:tcPr>
          <w:p w14:paraId="7955346A"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79896DF8" w14:textId="77777777" w:rsidTr="002B733E">
        <w:trPr>
          <w:trHeight w:val="397"/>
          <w:jc w:val="center"/>
        </w:trPr>
        <w:tc>
          <w:tcPr>
            <w:tcW w:w="701" w:type="dxa"/>
            <w:vAlign w:val="center"/>
          </w:tcPr>
          <w:p w14:paraId="36733ABE" w14:textId="77777777" w:rsidR="002B733E" w:rsidRPr="00FD50F6" w:rsidRDefault="002B733E" w:rsidP="002B733E">
            <w:pPr>
              <w:pStyle w:val="7"/>
            </w:pPr>
            <w:r w:rsidRPr="00FD50F6">
              <w:rPr>
                <w:rFonts w:hint="eastAsia"/>
              </w:rPr>
              <w:t>点号</w:t>
            </w:r>
          </w:p>
        </w:tc>
        <w:tc>
          <w:tcPr>
            <w:tcW w:w="756" w:type="dxa"/>
            <w:vAlign w:val="bottom"/>
          </w:tcPr>
          <w:p w14:paraId="7DA1623D" w14:textId="77777777" w:rsidR="002B733E" w:rsidRPr="00FD50F6" w:rsidRDefault="002B733E" w:rsidP="002B733E">
            <w:pPr>
              <w:pStyle w:val="7"/>
              <w:rPr>
                <w:rFonts w:ascii="Calibri" w:hAnsi="Calibri"/>
                <w:b/>
              </w:rPr>
            </w:pPr>
            <w:r w:rsidRPr="00FD50F6">
              <w:rPr>
                <w:rFonts w:ascii="Calibri" w:hAnsi="Calibri" w:hint="eastAsia"/>
                <w:b/>
              </w:rPr>
              <w:t>29d</w:t>
            </w:r>
            <w:r w:rsidRPr="00FD50F6">
              <w:rPr>
                <w:rFonts w:ascii="Calibri" w:hAnsi="Calibri" w:hint="eastAsia"/>
                <w:b/>
              </w:rPr>
              <w:t>’</w:t>
            </w:r>
          </w:p>
        </w:tc>
        <w:tc>
          <w:tcPr>
            <w:tcW w:w="756" w:type="dxa"/>
            <w:vAlign w:val="bottom"/>
          </w:tcPr>
          <w:p w14:paraId="3342A87C" w14:textId="77777777" w:rsidR="002B733E" w:rsidRPr="00FD50F6" w:rsidRDefault="002B733E" w:rsidP="002B733E">
            <w:pPr>
              <w:pStyle w:val="7"/>
              <w:rPr>
                <w:rFonts w:ascii="Calibri" w:hAnsi="Calibri"/>
                <w:b/>
              </w:rPr>
            </w:pPr>
            <w:r w:rsidRPr="00FD50F6">
              <w:rPr>
                <w:rFonts w:ascii="Calibri" w:hAnsi="Calibri" w:hint="eastAsia"/>
                <w:b/>
              </w:rPr>
              <w:t>30d</w:t>
            </w:r>
            <w:r w:rsidRPr="00FD50F6">
              <w:rPr>
                <w:rFonts w:ascii="Calibri" w:hAnsi="Calibri" w:hint="eastAsia"/>
                <w:b/>
              </w:rPr>
              <w:t>’</w:t>
            </w:r>
          </w:p>
        </w:tc>
        <w:tc>
          <w:tcPr>
            <w:tcW w:w="756" w:type="dxa"/>
            <w:vAlign w:val="bottom"/>
          </w:tcPr>
          <w:p w14:paraId="1F466D4C" w14:textId="77777777" w:rsidR="002B733E" w:rsidRPr="00FD50F6" w:rsidRDefault="002B733E" w:rsidP="002B733E">
            <w:pPr>
              <w:pStyle w:val="7"/>
              <w:rPr>
                <w:rFonts w:ascii="Calibri" w:hAnsi="Calibri"/>
                <w:b/>
              </w:rPr>
            </w:pPr>
            <w:r w:rsidRPr="00FD50F6">
              <w:rPr>
                <w:rFonts w:ascii="Calibri" w:hAnsi="Calibri" w:hint="eastAsia"/>
                <w:b/>
              </w:rPr>
              <w:t>31d</w:t>
            </w:r>
            <w:r w:rsidRPr="00FD50F6">
              <w:rPr>
                <w:rFonts w:ascii="Calibri" w:hAnsi="Calibri" w:hint="eastAsia"/>
                <w:b/>
              </w:rPr>
              <w:t>’</w:t>
            </w:r>
          </w:p>
        </w:tc>
        <w:tc>
          <w:tcPr>
            <w:tcW w:w="756" w:type="dxa"/>
            <w:vAlign w:val="bottom"/>
          </w:tcPr>
          <w:p w14:paraId="6BDBC4B0" w14:textId="77777777" w:rsidR="002B733E" w:rsidRPr="00FD50F6" w:rsidRDefault="002B733E" w:rsidP="002B733E">
            <w:pPr>
              <w:pStyle w:val="7"/>
              <w:rPr>
                <w:rFonts w:ascii="Calibri" w:hAnsi="Calibri"/>
                <w:b/>
              </w:rPr>
            </w:pPr>
            <w:r w:rsidRPr="00FD50F6">
              <w:rPr>
                <w:rFonts w:ascii="Calibri" w:hAnsi="Calibri" w:hint="eastAsia"/>
                <w:b/>
              </w:rPr>
              <w:t>32d</w:t>
            </w:r>
            <w:r w:rsidRPr="00FD50F6">
              <w:rPr>
                <w:rFonts w:ascii="Calibri" w:hAnsi="Calibri" w:hint="eastAsia"/>
                <w:b/>
              </w:rPr>
              <w:t>’</w:t>
            </w:r>
          </w:p>
        </w:tc>
        <w:tc>
          <w:tcPr>
            <w:tcW w:w="756" w:type="dxa"/>
            <w:vAlign w:val="bottom"/>
          </w:tcPr>
          <w:p w14:paraId="69158A19" w14:textId="77777777" w:rsidR="002B733E" w:rsidRPr="00FD50F6" w:rsidRDefault="002B733E" w:rsidP="002B733E">
            <w:pPr>
              <w:pStyle w:val="7"/>
              <w:rPr>
                <w:rFonts w:ascii="Calibri" w:hAnsi="Calibri"/>
                <w:b/>
              </w:rPr>
            </w:pPr>
            <w:r w:rsidRPr="00FD50F6">
              <w:rPr>
                <w:rFonts w:ascii="Calibri" w:hAnsi="Calibri" w:hint="eastAsia"/>
                <w:b/>
              </w:rPr>
              <w:t>33d</w:t>
            </w:r>
            <w:r w:rsidRPr="00FD50F6">
              <w:rPr>
                <w:rFonts w:ascii="Calibri" w:hAnsi="Calibri" w:hint="eastAsia"/>
                <w:b/>
              </w:rPr>
              <w:t>’</w:t>
            </w:r>
          </w:p>
        </w:tc>
        <w:tc>
          <w:tcPr>
            <w:tcW w:w="756" w:type="dxa"/>
            <w:vAlign w:val="bottom"/>
          </w:tcPr>
          <w:p w14:paraId="7A5FCC27" w14:textId="77777777" w:rsidR="002B733E" w:rsidRPr="00FD50F6" w:rsidRDefault="002B733E" w:rsidP="002B733E">
            <w:pPr>
              <w:pStyle w:val="7"/>
              <w:rPr>
                <w:rFonts w:ascii="Calibri" w:hAnsi="Calibri"/>
                <w:b/>
              </w:rPr>
            </w:pPr>
            <w:r w:rsidRPr="00FD50F6">
              <w:rPr>
                <w:rFonts w:ascii="Calibri" w:hAnsi="Calibri" w:hint="eastAsia"/>
                <w:b/>
              </w:rPr>
              <w:t>34d</w:t>
            </w:r>
            <w:r w:rsidRPr="00FD50F6">
              <w:rPr>
                <w:rFonts w:ascii="Calibri" w:hAnsi="Calibri" w:hint="eastAsia"/>
                <w:b/>
              </w:rPr>
              <w:t>’</w:t>
            </w:r>
          </w:p>
        </w:tc>
        <w:tc>
          <w:tcPr>
            <w:tcW w:w="756" w:type="dxa"/>
            <w:vAlign w:val="bottom"/>
          </w:tcPr>
          <w:p w14:paraId="4827E3A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D55AF06"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1B2850D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4B25C3C"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1F41FF2A" w14:textId="77777777" w:rsidTr="002B733E">
        <w:trPr>
          <w:trHeight w:val="397"/>
          <w:jc w:val="center"/>
        </w:trPr>
        <w:tc>
          <w:tcPr>
            <w:tcW w:w="701" w:type="dxa"/>
            <w:vAlign w:val="center"/>
          </w:tcPr>
          <w:p w14:paraId="284CACD2" w14:textId="77777777" w:rsidR="002B733E" w:rsidRPr="00FD50F6" w:rsidRDefault="002B733E" w:rsidP="002B733E">
            <w:pPr>
              <w:pStyle w:val="7"/>
            </w:pPr>
            <w:r w:rsidRPr="00FD50F6">
              <w:rPr>
                <w:rFonts w:hint="eastAsia"/>
              </w:rPr>
              <w:t>X</w:t>
            </w:r>
          </w:p>
        </w:tc>
        <w:tc>
          <w:tcPr>
            <w:tcW w:w="756" w:type="dxa"/>
            <w:vAlign w:val="bottom"/>
          </w:tcPr>
          <w:p w14:paraId="208EB328" w14:textId="77777777" w:rsidR="002B733E" w:rsidRPr="00FD50F6" w:rsidRDefault="002B733E" w:rsidP="002B733E">
            <w:pPr>
              <w:pStyle w:val="7"/>
              <w:rPr>
                <w:rFonts w:ascii="Calibri" w:hAnsi="Calibri"/>
              </w:rPr>
            </w:pPr>
            <w:r w:rsidRPr="00FD50F6">
              <w:rPr>
                <w:rFonts w:ascii="Calibri" w:hAnsi="Calibri" w:hint="eastAsia"/>
              </w:rPr>
              <w:t>-1363</w:t>
            </w:r>
          </w:p>
        </w:tc>
        <w:tc>
          <w:tcPr>
            <w:tcW w:w="756" w:type="dxa"/>
            <w:vAlign w:val="bottom"/>
          </w:tcPr>
          <w:p w14:paraId="1D7BC838"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30BCD926"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57E3413F" w14:textId="77777777" w:rsidR="002B733E" w:rsidRPr="00FD50F6" w:rsidRDefault="002B733E" w:rsidP="002B733E">
            <w:pPr>
              <w:pStyle w:val="7"/>
              <w:rPr>
                <w:rFonts w:ascii="Calibri" w:hAnsi="Calibri"/>
              </w:rPr>
            </w:pPr>
            <w:r w:rsidRPr="00FD50F6">
              <w:rPr>
                <w:rFonts w:ascii="Calibri" w:hAnsi="Calibri" w:hint="eastAsia"/>
              </w:rPr>
              <w:t>-1443</w:t>
            </w:r>
          </w:p>
        </w:tc>
        <w:tc>
          <w:tcPr>
            <w:tcW w:w="756" w:type="dxa"/>
            <w:vAlign w:val="bottom"/>
          </w:tcPr>
          <w:p w14:paraId="444B01CD" w14:textId="77777777" w:rsidR="002B733E" w:rsidRPr="00FD50F6" w:rsidRDefault="002B733E" w:rsidP="002B733E">
            <w:pPr>
              <w:pStyle w:val="7"/>
              <w:rPr>
                <w:rFonts w:ascii="Calibri" w:hAnsi="Calibri"/>
              </w:rPr>
            </w:pPr>
            <w:r w:rsidRPr="00FD50F6">
              <w:rPr>
                <w:rFonts w:ascii="Calibri" w:hAnsi="Calibri" w:hint="eastAsia"/>
              </w:rPr>
              <w:t>-1434</w:t>
            </w:r>
          </w:p>
        </w:tc>
        <w:tc>
          <w:tcPr>
            <w:tcW w:w="756" w:type="dxa"/>
            <w:vAlign w:val="bottom"/>
          </w:tcPr>
          <w:p w14:paraId="0C90EF3D" w14:textId="77777777" w:rsidR="002B733E" w:rsidRPr="00FD50F6" w:rsidRDefault="002B733E" w:rsidP="002B733E">
            <w:pPr>
              <w:pStyle w:val="7"/>
              <w:rPr>
                <w:rFonts w:ascii="Calibri" w:hAnsi="Calibri"/>
              </w:rPr>
            </w:pPr>
            <w:r w:rsidRPr="00FD50F6">
              <w:rPr>
                <w:rFonts w:ascii="Calibri" w:hAnsi="Calibri" w:hint="eastAsia"/>
              </w:rPr>
              <w:t>-1156</w:t>
            </w:r>
          </w:p>
        </w:tc>
        <w:tc>
          <w:tcPr>
            <w:tcW w:w="756" w:type="dxa"/>
            <w:vAlign w:val="bottom"/>
          </w:tcPr>
          <w:p w14:paraId="2F36C1DD"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2B818CB"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B9C17F6"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E5007A4"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69D83DA9" w14:textId="77777777" w:rsidTr="002B733E">
        <w:trPr>
          <w:trHeight w:val="397"/>
          <w:jc w:val="center"/>
        </w:trPr>
        <w:tc>
          <w:tcPr>
            <w:tcW w:w="701" w:type="dxa"/>
            <w:vAlign w:val="center"/>
          </w:tcPr>
          <w:p w14:paraId="41E6A6E7" w14:textId="77777777" w:rsidR="002B733E" w:rsidRPr="00FD50F6" w:rsidRDefault="002B733E" w:rsidP="002B733E">
            <w:pPr>
              <w:pStyle w:val="7"/>
            </w:pPr>
            <w:r w:rsidRPr="00FD50F6">
              <w:rPr>
                <w:rFonts w:hint="eastAsia"/>
              </w:rPr>
              <w:t>Y</w:t>
            </w:r>
          </w:p>
        </w:tc>
        <w:tc>
          <w:tcPr>
            <w:tcW w:w="756" w:type="dxa"/>
            <w:vAlign w:val="bottom"/>
          </w:tcPr>
          <w:p w14:paraId="489DD20C"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698FDFF0"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4F8EE243"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bottom"/>
          </w:tcPr>
          <w:p w14:paraId="378B09A5"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bottom"/>
          </w:tcPr>
          <w:p w14:paraId="6BFDC898" w14:textId="77777777" w:rsidR="002B733E" w:rsidRPr="00FD50F6" w:rsidRDefault="002B733E" w:rsidP="002B733E">
            <w:pPr>
              <w:pStyle w:val="7"/>
              <w:rPr>
                <w:rFonts w:ascii="Calibri" w:hAnsi="Calibri"/>
              </w:rPr>
            </w:pPr>
            <w:r w:rsidRPr="00FD50F6">
              <w:rPr>
                <w:rFonts w:ascii="Calibri" w:hAnsi="Calibri" w:hint="eastAsia"/>
              </w:rPr>
              <w:t>9</w:t>
            </w:r>
          </w:p>
        </w:tc>
        <w:tc>
          <w:tcPr>
            <w:tcW w:w="756" w:type="dxa"/>
            <w:vAlign w:val="bottom"/>
          </w:tcPr>
          <w:p w14:paraId="02055E44" w14:textId="77777777" w:rsidR="002B733E" w:rsidRPr="00FD50F6" w:rsidRDefault="002B733E" w:rsidP="002B733E">
            <w:pPr>
              <w:pStyle w:val="7"/>
              <w:rPr>
                <w:rFonts w:ascii="Calibri" w:hAnsi="Calibri"/>
              </w:rPr>
            </w:pPr>
            <w:r w:rsidRPr="00FD50F6">
              <w:rPr>
                <w:rFonts w:ascii="Calibri" w:hAnsi="Calibri" w:hint="eastAsia"/>
              </w:rPr>
              <w:t>61</w:t>
            </w:r>
          </w:p>
        </w:tc>
        <w:tc>
          <w:tcPr>
            <w:tcW w:w="756" w:type="dxa"/>
            <w:vAlign w:val="bottom"/>
          </w:tcPr>
          <w:p w14:paraId="22FE11AC"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7F8CB75"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EA1F50F"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6432B12"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039D9CCD" w14:textId="77777777" w:rsidTr="002B733E">
        <w:trPr>
          <w:trHeight w:val="397"/>
          <w:jc w:val="center"/>
        </w:trPr>
        <w:tc>
          <w:tcPr>
            <w:tcW w:w="701" w:type="dxa"/>
            <w:vAlign w:val="center"/>
          </w:tcPr>
          <w:p w14:paraId="27C25A5B" w14:textId="77777777" w:rsidR="002B733E" w:rsidRPr="00FD50F6" w:rsidRDefault="002B733E" w:rsidP="002B733E">
            <w:pPr>
              <w:pStyle w:val="7"/>
            </w:pPr>
            <w:r w:rsidRPr="00FD50F6">
              <w:rPr>
                <w:rFonts w:hint="eastAsia"/>
              </w:rPr>
              <w:t>点号</w:t>
            </w:r>
          </w:p>
        </w:tc>
        <w:tc>
          <w:tcPr>
            <w:tcW w:w="756" w:type="dxa"/>
            <w:vAlign w:val="bottom"/>
          </w:tcPr>
          <w:p w14:paraId="6611265B" w14:textId="77777777" w:rsidR="002B733E" w:rsidRPr="00FD50F6" w:rsidRDefault="002B733E" w:rsidP="002B733E">
            <w:pPr>
              <w:pStyle w:val="7"/>
              <w:rPr>
                <w:rFonts w:ascii="Calibri" w:hAnsi="Calibri"/>
                <w:b/>
              </w:rPr>
            </w:pPr>
            <w:r w:rsidRPr="00FD50F6">
              <w:rPr>
                <w:rFonts w:ascii="Calibri" w:hAnsi="Calibri" w:hint="eastAsia"/>
                <w:b/>
              </w:rPr>
              <w:t>29e</w:t>
            </w:r>
            <w:r w:rsidRPr="00FD50F6">
              <w:rPr>
                <w:rFonts w:ascii="Calibri" w:hAnsi="Calibri" w:hint="eastAsia"/>
                <w:b/>
              </w:rPr>
              <w:t>’</w:t>
            </w:r>
          </w:p>
        </w:tc>
        <w:tc>
          <w:tcPr>
            <w:tcW w:w="756" w:type="dxa"/>
            <w:vAlign w:val="bottom"/>
          </w:tcPr>
          <w:p w14:paraId="3AF94DF8" w14:textId="77777777" w:rsidR="002B733E" w:rsidRPr="00FD50F6" w:rsidRDefault="002B733E" w:rsidP="002B733E">
            <w:pPr>
              <w:pStyle w:val="7"/>
              <w:rPr>
                <w:rFonts w:ascii="Calibri" w:hAnsi="Calibri"/>
                <w:b/>
              </w:rPr>
            </w:pPr>
            <w:r w:rsidRPr="00FD50F6">
              <w:rPr>
                <w:rFonts w:ascii="Calibri" w:hAnsi="Calibri" w:hint="eastAsia"/>
                <w:b/>
              </w:rPr>
              <w:t>30e</w:t>
            </w:r>
            <w:r w:rsidRPr="00FD50F6">
              <w:rPr>
                <w:rFonts w:ascii="Calibri" w:hAnsi="Calibri" w:hint="eastAsia"/>
                <w:b/>
              </w:rPr>
              <w:t>’</w:t>
            </w:r>
          </w:p>
        </w:tc>
        <w:tc>
          <w:tcPr>
            <w:tcW w:w="756" w:type="dxa"/>
            <w:vAlign w:val="bottom"/>
          </w:tcPr>
          <w:p w14:paraId="093105EE" w14:textId="77777777" w:rsidR="002B733E" w:rsidRPr="00FD50F6" w:rsidRDefault="002B733E" w:rsidP="002B733E">
            <w:pPr>
              <w:pStyle w:val="7"/>
              <w:rPr>
                <w:rFonts w:ascii="Calibri" w:hAnsi="Calibri"/>
                <w:b/>
              </w:rPr>
            </w:pPr>
            <w:r w:rsidRPr="00FD50F6">
              <w:rPr>
                <w:rFonts w:ascii="Calibri" w:hAnsi="Calibri" w:hint="eastAsia"/>
                <w:b/>
              </w:rPr>
              <w:t>31e</w:t>
            </w:r>
            <w:r w:rsidRPr="00FD50F6">
              <w:rPr>
                <w:rFonts w:ascii="Calibri" w:hAnsi="Calibri" w:hint="eastAsia"/>
                <w:b/>
              </w:rPr>
              <w:t>’</w:t>
            </w:r>
          </w:p>
        </w:tc>
        <w:tc>
          <w:tcPr>
            <w:tcW w:w="756" w:type="dxa"/>
            <w:vAlign w:val="bottom"/>
          </w:tcPr>
          <w:p w14:paraId="38BD1EFA" w14:textId="77777777" w:rsidR="002B733E" w:rsidRPr="00FD50F6" w:rsidRDefault="002B733E" w:rsidP="002B733E">
            <w:pPr>
              <w:pStyle w:val="7"/>
              <w:rPr>
                <w:rFonts w:ascii="Calibri" w:hAnsi="Calibri"/>
                <w:b/>
              </w:rPr>
            </w:pPr>
            <w:r w:rsidRPr="00FD50F6">
              <w:rPr>
                <w:rFonts w:ascii="Calibri" w:hAnsi="Calibri" w:hint="eastAsia"/>
                <w:b/>
              </w:rPr>
              <w:t>32e</w:t>
            </w:r>
            <w:r w:rsidRPr="00FD50F6">
              <w:rPr>
                <w:rFonts w:ascii="Calibri" w:hAnsi="Calibri" w:hint="eastAsia"/>
                <w:b/>
              </w:rPr>
              <w:t>’</w:t>
            </w:r>
          </w:p>
        </w:tc>
        <w:tc>
          <w:tcPr>
            <w:tcW w:w="756" w:type="dxa"/>
            <w:vAlign w:val="bottom"/>
          </w:tcPr>
          <w:p w14:paraId="4A5A3A68" w14:textId="77777777" w:rsidR="002B733E" w:rsidRPr="00FD50F6" w:rsidRDefault="002B733E" w:rsidP="002B733E">
            <w:pPr>
              <w:pStyle w:val="7"/>
              <w:rPr>
                <w:rFonts w:ascii="Calibri" w:hAnsi="Calibri"/>
                <w:b/>
              </w:rPr>
            </w:pPr>
            <w:r w:rsidRPr="00FD50F6">
              <w:rPr>
                <w:rFonts w:ascii="Calibri" w:hAnsi="Calibri" w:hint="eastAsia"/>
                <w:b/>
              </w:rPr>
              <w:t>33e</w:t>
            </w:r>
            <w:r w:rsidRPr="00FD50F6">
              <w:rPr>
                <w:rFonts w:ascii="Calibri" w:hAnsi="Calibri" w:hint="eastAsia"/>
                <w:b/>
              </w:rPr>
              <w:t>’</w:t>
            </w:r>
          </w:p>
        </w:tc>
        <w:tc>
          <w:tcPr>
            <w:tcW w:w="756" w:type="dxa"/>
            <w:vAlign w:val="bottom"/>
          </w:tcPr>
          <w:p w14:paraId="027F7C9B" w14:textId="77777777" w:rsidR="002B733E" w:rsidRPr="00FD50F6" w:rsidRDefault="002B733E" w:rsidP="002B733E">
            <w:pPr>
              <w:pStyle w:val="7"/>
              <w:rPr>
                <w:rFonts w:ascii="Calibri" w:hAnsi="Calibri"/>
                <w:b/>
              </w:rPr>
            </w:pPr>
            <w:r w:rsidRPr="00FD50F6">
              <w:rPr>
                <w:rFonts w:ascii="Calibri" w:hAnsi="Calibri" w:hint="eastAsia"/>
                <w:b/>
              </w:rPr>
              <w:t>34e</w:t>
            </w:r>
            <w:r w:rsidRPr="00FD50F6">
              <w:rPr>
                <w:rFonts w:ascii="Calibri" w:hAnsi="Calibri" w:hint="eastAsia"/>
                <w:b/>
              </w:rPr>
              <w:t>’</w:t>
            </w:r>
          </w:p>
        </w:tc>
        <w:tc>
          <w:tcPr>
            <w:tcW w:w="756" w:type="dxa"/>
            <w:vAlign w:val="bottom"/>
          </w:tcPr>
          <w:p w14:paraId="6FDBEB1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2D6FF0A"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D031532"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A5114F4"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7CA9FC02" w14:textId="77777777" w:rsidTr="002B733E">
        <w:trPr>
          <w:trHeight w:val="397"/>
          <w:jc w:val="center"/>
        </w:trPr>
        <w:tc>
          <w:tcPr>
            <w:tcW w:w="701" w:type="dxa"/>
            <w:vAlign w:val="center"/>
          </w:tcPr>
          <w:p w14:paraId="509514E0" w14:textId="77777777" w:rsidR="002B733E" w:rsidRPr="00FD50F6" w:rsidRDefault="002B733E" w:rsidP="002B733E">
            <w:pPr>
              <w:pStyle w:val="7"/>
            </w:pPr>
            <w:r w:rsidRPr="00FD50F6">
              <w:rPr>
                <w:rFonts w:hint="eastAsia"/>
              </w:rPr>
              <w:t>X</w:t>
            </w:r>
          </w:p>
        </w:tc>
        <w:tc>
          <w:tcPr>
            <w:tcW w:w="756" w:type="dxa"/>
            <w:vAlign w:val="bottom"/>
          </w:tcPr>
          <w:p w14:paraId="024EBC41" w14:textId="77777777" w:rsidR="002B733E" w:rsidRPr="00FD50F6" w:rsidRDefault="002B733E" w:rsidP="002B733E">
            <w:pPr>
              <w:pStyle w:val="7"/>
              <w:rPr>
                <w:rFonts w:ascii="Calibri" w:hAnsi="Calibri"/>
              </w:rPr>
            </w:pPr>
            <w:r w:rsidRPr="00FD50F6">
              <w:rPr>
                <w:rFonts w:ascii="Calibri" w:hAnsi="Calibri" w:hint="eastAsia"/>
              </w:rPr>
              <w:t>1376</w:t>
            </w:r>
          </w:p>
        </w:tc>
        <w:tc>
          <w:tcPr>
            <w:tcW w:w="756" w:type="dxa"/>
            <w:vAlign w:val="bottom"/>
          </w:tcPr>
          <w:p w14:paraId="2198CC27"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7DDCB308"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16CD39F6" w14:textId="77777777" w:rsidR="002B733E" w:rsidRPr="00FD50F6" w:rsidRDefault="002B733E" w:rsidP="002B733E">
            <w:pPr>
              <w:pStyle w:val="7"/>
              <w:rPr>
                <w:rFonts w:ascii="Calibri" w:hAnsi="Calibri"/>
              </w:rPr>
            </w:pPr>
            <w:r w:rsidRPr="00FD50F6">
              <w:rPr>
                <w:rFonts w:ascii="Calibri" w:hAnsi="Calibri" w:hint="eastAsia"/>
              </w:rPr>
              <w:t>1443</w:t>
            </w:r>
          </w:p>
        </w:tc>
        <w:tc>
          <w:tcPr>
            <w:tcW w:w="756" w:type="dxa"/>
            <w:vAlign w:val="bottom"/>
          </w:tcPr>
          <w:p w14:paraId="5A35562D" w14:textId="77777777" w:rsidR="002B733E" w:rsidRPr="00FD50F6" w:rsidRDefault="002B733E" w:rsidP="002B733E">
            <w:pPr>
              <w:pStyle w:val="7"/>
              <w:rPr>
                <w:rFonts w:ascii="Calibri" w:hAnsi="Calibri"/>
              </w:rPr>
            </w:pPr>
            <w:r w:rsidRPr="00FD50F6">
              <w:rPr>
                <w:rFonts w:ascii="Calibri" w:hAnsi="Calibri" w:hint="eastAsia"/>
              </w:rPr>
              <w:t>1434</w:t>
            </w:r>
          </w:p>
        </w:tc>
        <w:tc>
          <w:tcPr>
            <w:tcW w:w="756" w:type="dxa"/>
            <w:vAlign w:val="bottom"/>
          </w:tcPr>
          <w:p w14:paraId="4B37E4F2" w14:textId="77777777" w:rsidR="002B733E" w:rsidRPr="00FD50F6" w:rsidRDefault="002B733E" w:rsidP="002B733E">
            <w:pPr>
              <w:pStyle w:val="7"/>
              <w:rPr>
                <w:rFonts w:ascii="Calibri" w:hAnsi="Calibri"/>
              </w:rPr>
            </w:pPr>
            <w:r w:rsidRPr="00FD50F6">
              <w:rPr>
                <w:rFonts w:ascii="Calibri" w:hAnsi="Calibri" w:hint="eastAsia"/>
              </w:rPr>
              <w:t>1156</w:t>
            </w:r>
          </w:p>
        </w:tc>
        <w:tc>
          <w:tcPr>
            <w:tcW w:w="756" w:type="dxa"/>
            <w:vAlign w:val="bottom"/>
          </w:tcPr>
          <w:p w14:paraId="3A5707A2"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7CCA506"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0E3A27C"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7DD3793" w14:textId="77777777" w:rsidR="002B733E" w:rsidRPr="00FD50F6" w:rsidRDefault="002B733E" w:rsidP="002B733E">
            <w:pPr>
              <w:pStyle w:val="7"/>
              <w:rPr>
                <w:rFonts w:ascii="Calibri" w:hAnsi="Calibri"/>
                <w:b/>
              </w:rPr>
            </w:pPr>
            <w:r w:rsidRPr="00FD50F6">
              <w:rPr>
                <w:rFonts w:ascii="Calibri" w:hAnsi="Calibri" w:hint="eastAsia"/>
                <w:b/>
              </w:rPr>
              <w:t>—</w:t>
            </w:r>
          </w:p>
        </w:tc>
      </w:tr>
      <w:tr w:rsidR="002B733E" w:rsidRPr="00FD50F6" w14:paraId="52F08D2D" w14:textId="77777777" w:rsidTr="002B733E">
        <w:trPr>
          <w:trHeight w:val="397"/>
          <w:jc w:val="center"/>
        </w:trPr>
        <w:tc>
          <w:tcPr>
            <w:tcW w:w="701" w:type="dxa"/>
            <w:vAlign w:val="center"/>
          </w:tcPr>
          <w:p w14:paraId="2035D170" w14:textId="77777777" w:rsidR="002B733E" w:rsidRPr="00FD50F6" w:rsidRDefault="002B733E" w:rsidP="002B733E">
            <w:pPr>
              <w:pStyle w:val="7"/>
            </w:pPr>
            <w:r w:rsidRPr="00FD50F6">
              <w:rPr>
                <w:rFonts w:hint="eastAsia"/>
              </w:rPr>
              <w:t>Y</w:t>
            </w:r>
          </w:p>
        </w:tc>
        <w:tc>
          <w:tcPr>
            <w:tcW w:w="756" w:type="dxa"/>
            <w:vAlign w:val="bottom"/>
          </w:tcPr>
          <w:p w14:paraId="4BB08124" w14:textId="77777777" w:rsidR="002B733E" w:rsidRPr="00FD50F6" w:rsidRDefault="002B733E" w:rsidP="002B733E">
            <w:pPr>
              <w:pStyle w:val="7"/>
              <w:rPr>
                <w:rFonts w:ascii="Calibri" w:hAnsi="Calibri"/>
              </w:rPr>
            </w:pPr>
            <w:r w:rsidRPr="00FD50F6">
              <w:rPr>
                <w:rFonts w:ascii="Calibri" w:hAnsi="Calibri" w:hint="eastAsia"/>
              </w:rPr>
              <w:t>295</w:t>
            </w:r>
          </w:p>
        </w:tc>
        <w:tc>
          <w:tcPr>
            <w:tcW w:w="756" w:type="dxa"/>
            <w:vAlign w:val="bottom"/>
          </w:tcPr>
          <w:p w14:paraId="4D57188B" w14:textId="77777777" w:rsidR="002B733E" w:rsidRPr="00FD50F6" w:rsidRDefault="002B733E" w:rsidP="002B733E">
            <w:pPr>
              <w:pStyle w:val="7"/>
              <w:rPr>
                <w:rFonts w:ascii="Calibri" w:hAnsi="Calibri"/>
              </w:rPr>
            </w:pPr>
            <w:r w:rsidRPr="00FD50F6">
              <w:rPr>
                <w:rFonts w:ascii="Calibri" w:hAnsi="Calibri" w:hint="eastAsia"/>
              </w:rPr>
              <w:t>296</w:t>
            </w:r>
          </w:p>
        </w:tc>
        <w:tc>
          <w:tcPr>
            <w:tcW w:w="756" w:type="dxa"/>
            <w:vAlign w:val="bottom"/>
          </w:tcPr>
          <w:p w14:paraId="21557DDD"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bottom"/>
          </w:tcPr>
          <w:p w14:paraId="67CA5A4E"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bottom"/>
          </w:tcPr>
          <w:p w14:paraId="58F74610" w14:textId="77777777" w:rsidR="002B733E" w:rsidRPr="00FD50F6" w:rsidRDefault="002B733E" w:rsidP="002B733E">
            <w:pPr>
              <w:pStyle w:val="7"/>
              <w:rPr>
                <w:rFonts w:ascii="Calibri" w:hAnsi="Calibri"/>
              </w:rPr>
            </w:pPr>
            <w:r w:rsidRPr="00FD50F6">
              <w:rPr>
                <w:rFonts w:ascii="Calibri" w:hAnsi="Calibri" w:hint="eastAsia"/>
              </w:rPr>
              <w:t>9</w:t>
            </w:r>
          </w:p>
        </w:tc>
        <w:tc>
          <w:tcPr>
            <w:tcW w:w="756" w:type="dxa"/>
            <w:vAlign w:val="bottom"/>
          </w:tcPr>
          <w:p w14:paraId="2147CAF3" w14:textId="77777777" w:rsidR="002B733E" w:rsidRPr="00FD50F6" w:rsidRDefault="002B733E" w:rsidP="002B733E">
            <w:pPr>
              <w:pStyle w:val="7"/>
              <w:rPr>
                <w:rFonts w:ascii="Calibri" w:hAnsi="Calibri"/>
              </w:rPr>
            </w:pPr>
            <w:r w:rsidRPr="00FD50F6">
              <w:rPr>
                <w:rFonts w:ascii="Calibri" w:hAnsi="Calibri" w:hint="eastAsia"/>
              </w:rPr>
              <w:t>61</w:t>
            </w:r>
          </w:p>
        </w:tc>
        <w:tc>
          <w:tcPr>
            <w:tcW w:w="756" w:type="dxa"/>
            <w:vAlign w:val="bottom"/>
          </w:tcPr>
          <w:p w14:paraId="5A419EC6"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274EB3F"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A719724"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2C03650" w14:textId="77777777" w:rsidR="002B733E" w:rsidRPr="00FD50F6" w:rsidRDefault="002B733E" w:rsidP="002B733E">
            <w:pPr>
              <w:pStyle w:val="7"/>
              <w:rPr>
                <w:rFonts w:ascii="Calibri" w:hAnsi="Calibri"/>
                <w:b/>
              </w:rPr>
            </w:pPr>
            <w:r w:rsidRPr="00FD50F6">
              <w:rPr>
                <w:rFonts w:ascii="Calibri" w:hAnsi="Calibri" w:hint="eastAsia"/>
                <w:b/>
              </w:rPr>
              <w:t>—</w:t>
            </w:r>
          </w:p>
        </w:tc>
      </w:tr>
    </w:tbl>
    <w:p w14:paraId="7164E9C3" w14:textId="77777777" w:rsidR="002B733E" w:rsidRPr="00FD50F6" w:rsidRDefault="002B733E" w:rsidP="002B733E">
      <w:pPr>
        <w:spacing w:before="246" w:line="400" w:lineRule="exact"/>
        <w:ind w:firstLine="410"/>
        <w:jc w:val="right"/>
        <w:rPr>
          <w:rFonts w:ascii="Calibri" w:hAnsi="Calibri" w:cs="Times New Roman"/>
          <w:sz w:val="21"/>
          <w:szCs w:val="24"/>
        </w:rPr>
      </w:pPr>
    </w:p>
    <w:p w14:paraId="4768C5B1" w14:textId="77777777" w:rsidR="002B733E" w:rsidRPr="00FD50F6" w:rsidRDefault="002B733E" w:rsidP="002B733E">
      <w:pPr>
        <w:pStyle w:val="6"/>
      </w:pPr>
      <w:r w:rsidRPr="00FD50F6">
        <w:rPr>
          <w:rFonts w:hint="eastAsia"/>
        </w:rPr>
        <w:t>表</w:t>
      </w:r>
      <w:r w:rsidRPr="00FD50F6">
        <w:rPr>
          <w:rFonts w:ascii="Calibri" w:hAnsi="Calibri" w:hint="eastAsia"/>
          <w:b/>
        </w:rPr>
        <w:t>B.0.1-3</w:t>
      </w:r>
      <w:r w:rsidRPr="00FD50F6">
        <w:rPr>
          <w:rFonts w:hint="eastAsia"/>
        </w:rPr>
        <w:t xml:space="preserve">  </w:t>
      </w:r>
      <w:r w:rsidRPr="00FD50F6">
        <w:rPr>
          <w:rFonts w:hint="eastAsia"/>
        </w:rPr>
        <w:t>隧道内区间直线地段设备限界坐标值（</w:t>
      </w:r>
      <w:r w:rsidRPr="00FD50F6">
        <w:rPr>
          <w:rFonts w:hint="eastAsia"/>
        </w:rPr>
        <w:t>mm</w:t>
      </w:r>
      <w:r w:rsidRPr="00FD50F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15A3DB66" w14:textId="77777777" w:rsidTr="002B733E">
        <w:trPr>
          <w:trHeight w:val="397"/>
          <w:jc w:val="center"/>
        </w:trPr>
        <w:tc>
          <w:tcPr>
            <w:tcW w:w="701" w:type="dxa"/>
            <w:vAlign w:val="center"/>
          </w:tcPr>
          <w:p w14:paraId="1974E7DA" w14:textId="77777777" w:rsidR="002B733E" w:rsidRPr="00FD50F6" w:rsidRDefault="002B733E" w:rsidP="002B733E">
            <w:pPr>
              <w:pStyle w:val="7"/>
            </w:pPr>
            <w:r w:rsidRPr="00FD50F6">
              <w:rPr>
                <w:rFonts w:hint="eastAsia"/>
              </w:rPr>
              <w:t>点号</w:t>
            </w:r>
          </w:p>
        </w:tc>
        <w:tc>
          <w:tcPr>
            <w:tcW w:w="756" w:type="dxa"/>
            <w:vAlign w:val="center"/>
          </w:tcPr>
          <w:p w14:paraId="34EF53CA"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5C6E2BB2"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098F382A"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566A5755"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48A53AEF"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05D2C19D"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015A4EE6"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00917D23"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687A684D"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3B004D57"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3E6C2A31" w14:textId="77777777" w:rsidTr="002B733E">
        <w:trPr>
          <w:trHeight w:val="397"/>
          <w:jc w:val="center"/>
        </w:trPr>
        <w:tc>
          <w:tcPr>
            <w:tcW w:w="701" w:type="dxa"/>
            <w:vAlign w:val="center"/>
          </w:tcPr>
          <w:p w14:paraId="4A2494E5" w14:textId="77777777" w:rsidR="002B733E" w:rsidRPr="00FD50F6" w:rsidRDefault="002B733E" w:rsidP="002B733E">
            <w:pPr>
              <w:pStyle w:val="7"/>
            </w:pPr>
            <w:r w:rsidRPr="00FD50F6">
              <w:rPr>
                <w:rFonts w:hint="eastAsia"/>
              </w:rPr>
              <w:t>X</w:t>
            </w:r>
          </w:p>
        </w:tc>
        <w:tc>
          <w:tcPr>
            <w:tcW w:w="756" w:type="dxa"/>
            <w:vAlign w:val="center"/>
          </w:tcPr>
          <w:p w14:paraId="787101E9" w14:textId="77777777" w:rsidR="002B733E" w:rsidRPr="00FD50F6" w:rsidRDefault="002B733E" w:rsidP="002B733E">
            <w:pPr>
              <w:pStyle w:val="7"/>
              <w:rPr>
                <w:rFonts w:ascii="Calibri" w:hAnsi="Calibri"/>
              </w:rPr>
            </w:pPr>
            <w:r w:rsidRPr="00FD50F6">
              <w:rPr>
                <w:rFonts w:ascii="Calibri" w:hAnsi="Calibri" w:hint="eastAsia"/>
              </w:rPr>
              <w:t>0</w:t>
            </w:r>
          </w:p>
        </w:tc>
        <w:tc>
          <w:tcPr>
            <w:tcW w:w="756" w:type="dxa"/>
            <w:vAlign w:val="center"/>
          </w:tcPr>
          <w:p w14:paraId="226336FD" w14:textId="77777777" w:rsidR="002B733E" w:rsidRPr="00FD50F6" w:rsidRDefault="002B733E" w:rsidP="002B733E">
            <w:pPr>
              <w:pStyle w:val="7"/>
              <w:rPr>
                <w:rFonts w:ascii="Calibri" w:hAnsi="Calibri"/>
              </w:rPr>
            </w:pPr>
            <w:r w:rsidRPr="00FD50F6">
              <w:rPr>
                <w:rFonts w:ascii="Calibri" w:hAnsi="Calibri" w:hint="eastAsia"/>
              </w:rPr>
              <w:t>815</w:t>
            </w:r>
          </w:p>
        </w:tc>
        <w:tc>
          <w:tcPr>
            <w:tcW w:w="756" w:type="dxa"/>
            <w:vAlign w:val="center"/>
          </w:tcPr>
          <w:p w14:paraId="53415EC0" w14:textId="77777777" w:rsidR="002B733E" w:rsidRPr="00FD50F6" w:rsidRDefault="002B733E" w:rsidP="002B733E">
            <w:pPr>
              <w:pStyle w:val="7"/>
              <w:rPr>
                <w:rFonts w:ascii="Calibri" w:hAnsi="Calibri"/>
              </w:rPr>
            </w:pPr>
            <w:r w:rsidRPr="00FD50F6">
              <w:rPr>
                <w:rFonts w:ascii="Calibri" w:hAnsi="Calibri" w:hint="eastAsia"/>
              </w:rPr>
              <w:t>835</w:t>
            </w:r>
          </w:p>
        </w:tc>
        <w:tc>
          <w:tcPr>
            <w:tcW w:w="756" w:type="dxa"/>
            <w:vAlign w:val="center"/>
          </w:tcPr>
          <w:p w14:paraId="0DDCD999" w14:textId="77777777" w:rsidR="002B733E" w:rsidRPr="00FD50F6" w:rsidRDefault="002B733E" w:rsidP="002B733E">
            <w:pPr>
              <w:pStyle w:val="7"/>
              <w:rPr>
                <w:rFonts w:ascii="Calibri" w:hAnsi="Calibri"/>
              </w:rPr>
            </w:pPr>
            <w:r w:rsidRPr="00FD50F6">
              <w:rPr>
                <w:rFonts w:ascii="Calibri" w:hAnsi="Calibri" w:hint="eastAsia"/>
              </w:rPr>
              <w:t>925</w:t>
            </w:r>
          </w:p>
        </w:tc>
        <w:tc>
          <w:tcPr>
            <w:tcW w:w="756" w:type="dxa"/>
            <w:vAlign w:val="center"/>
          </w:tcPr>
          <w:p w14:paraId="6C9480FF" w14:textId="77777777" w:rsidR="002B733E" w:rsidRPr="00FD50F6" w:rsidRDefault="002B733E" w:rsidP="002B733E">
            <w:pPr>
              <w:pStyle w:val="7"/>
              <w:rPr>
                <w:rFonts w:ascii="Calibri" w:hAnsi="Calibri"/>
              </w:rPr>
            </w:pPr>
            <w:r w:rsidRPr="00FD50F6">
              <w:rPr>
                <w:rFonts w:ascii="Calibri" w:hAnsi="Calibri" w:hint="eastAsia"/>
              </w:rPr>
              <w:t>923</w:t>
            </w:r>
          </w:p>
        </w:tc>
        <w:tc>
          <w:tcPr>
            <w:tcW w:w="756" w:type="dxa"/>
            <w:vAlign w:val="center"/>
          </w:tcPr>
          <w:p w14:paraId="18259C3E" w14:textId="77777777" w:rsidR="002B733E" w:rsidRPr="00FD50F6" w:rsidRDefault="002B733E" w:rsidP="002B733E">
            <w:pPr>
              <w:pStyle w:val="7"/>
              <w:rPr>
                <w:rFonts w:ascii="Calibri" w:hAnsi="Calibri"/>
              </w:rPr>
            </w:pPr>
            <w:r w:rsidRPr="00FD50F6">
              <w:rPr>
                <w:rFonts w:ascii="Calibri" w:hAnsi="Calibri" w:hint="eastAsia"/>
              </w:rPr>
              <w:t>988</w:t>
            </w:r>
          </w:p>
        </w:tc>
        <w:tc>
          <w:tcPr>
            <w:tcW w:w="756" w:type="dxa"/>
            <w:vAlign w:val="center"/>
          </w:tcPr>
          <w:p w14:paraId="75E7B5AF" w14:textId="77777777" w:rsidR="002B733E" w:rsidRPr="00FD50F6" w:rsidRDefault="002B733E" w:rsidP="002B733E">
            <w:pPr>
              <w:pStyle w:val="7"/>
              <w:rPr>
                <w:rFonts w:ascii="Calibri" w:hAnsi="Calibri"/>
              </w:rPr>
            </w:pPr>
            <w:r w:rsidRPr="00FD50F6">
              <w:rPr>
                <w:rFonts w:ascii="Calibri" w:hAnsi="Calibri" w:hint="eastAsia"/>
              </w:rPr>
              <w:t>1251</w:t>
            </w:r>
          </w:p>
        </w:tc>
        <w:tc>
          <w:tcPr>
            <w:tcW w:w="756" w:type="dxa"/>
            <w:vAlign w:val="center"/>
          </w:tcPr>
          <w:p w14:paraId="5531FF7F" w14:textId="77777777" w:rsidR="002B733E" w:rsidRPr="00FD50F6" w:rsidRDefault="002B733E" w:rsidP="002B733E">
            <w:pPr>
              <w:pStyle w:val="7"/>
              <w:rPr>
                <w:rFonts w:ascii="Calibri" w:hAnsi="Calibri"/>
              </w:rPr>
            </w:pPr>
            <w:r w:rsidRPr="00FD50F6">
              <w:rPr>
                <w:rFonts w:ascii="Calibri" w:hAnsi="Calibri" w:hint="eastAsia"/>
              </w:rPr>
              <w:t>1530</w:t>
            </w:r>
          </w:p>
        </w:tc>
        <w:tc>
          <w:tcPr>
            <w:tcW w:w="756" w:type="dxa"/>
            <w:vAlign w:val="center"/>
          </w:tcPr>
          <w:p w14:paraId="7A238DF7" w14:textId="77777777" w:rsidR="002B733E" w:rsidRPr="00FD50F6" w:rsidRDefault="002B733E" w:rsidP="002B733E">
            <w:pPr>
              <w:pStyle w:val="7"/>
              <w:rPr>
                <w:rFonts w:ascii="Calibri" w:hAnsi="Calibri"/>
              </w:rPr>
            </w:pPr>
            <w:r w:rsidRPr="00FD50F6">
              <w:rPr>
                <w:rFonts w:ascii="Calibri" w:hAnsi="Calibri" w:hint="eastAsia"/>
              </w:rPr>
              <w:t>1574</w:t>
            </w:r>
          </w:p>
        </w:tc>
        <w:tc>
          <w:tcPr>
            <w:tcW w:w="756" w:type="dxa"/>
            <w:vAlign w:val="center"/>
          </w:tcPr>
          <w:p w14:paraId="410A2CF9" w14:textId="77777777" w:rsidR="002B733E" w:rsidRPr="00FD50F6" w:rsidRDefault="002B733E" w:rsidP="002B733E">
            <w:pPr>
              <w:pStyle w:val="7"/>
              <w:rPr>
                <w:rFonts w:ascii="Calibri" w:hAnsi="Calibri"/>
              </w:rPr>
            </w:pPr>
            <w:r w:rsidRPr="00FD50F6">
              <w:rPr>
                <w:rFonts w:ascii="Calibri" w:hAnsi="Calibri" w:hint="eastAsia"/>
              </w:rPr>
              <w:t>1616</w:t>
            </w:r>
          </w:p>
        </w:tc>
      </w:tr>
      <w:tr w:rsidR="00FD50F6" w:rsidRPr="00FD50F6" w14:paraId="023CA8FB" w14:textId="77777777" w:rsidTr="002B733E">
        <w:trPr>
          <w:trHeight w:val="397"/>
          <w:jc w:val="center"/>
        </w:trPr>
        <w:tc>
          <w:tcPr>
            <w:tcW w:w="701" w:type="dxa"/>
            <w:vAlign w:val="center"/>
          </w:tcPr>
          <w:p w14:paraId="569B7C8E" w14:textId="77777777" w:rsidR="002B733E" w:rsidRPr="00FD50F6" w:rsidRDefault="002B733E" w:rsidP="002B733E">
            <w:pPr>
              <w:pStyle w:val="7"/>
            </w:pPr>
            <w:r w:rsidRPr="00FD50F6">
              <w:rPr>
                <w:rFonts w:hint="eastAsia"/>
              </w:rPr>
              <w:t>Y</w:t>
            </w:r>
          </w:p>
        </w:tc>
        <w:tc>
          <w:tcPr>
            <w:tcW w:w="756" w:type="dxa"/>
            <w:vAlign w:val="center"/>
          </w:tcPr>
          <w:p w14:paraId="26063CDD" w14:textId="77777777" w:rsidR="002B733E" w:rsidRPr="00FD50F6" w:rsidRDefault="002B733E" w:rsidP="002B733E">
            <w:pPr>
              <w:pStyle w:val="7"/>
              <w:rPr>
                <w:rFonts w:ascii="Calibri" w:hAnsi="Calibri"/>
              </w:rPr>
            </w:pPr>
            <w:r w:rsidRPr="00FD50F6">
              <w:rPr>
                <w:rFonts w:ascii="Calibri" w:hAnsi="Calibri" w:hint="eastAsia"/>
              </w:rPr>
              <w:t>3934</w:t>
            </w:r>
          </w:p>
        </w:tc>
        <w:tc>
          <w:tcPr>
            <w:tcW w:w="756" w:type="dxa"/>
            <w:vAlign w:val="center"/>
          </w:tcPr>
          <w:p w14:paraId="5859A5A1" w14:textId="77777777" w:rsidR="002B733E" w:rsidRPr="00FD50F6" w:rsidRDefault="002B733E" w:rsidP="002B733E">
            <w:pPr>
              <w:pStyle w:val="7"/>
              <w:rPr>
                <w:rFonts w:ascii="Calibri" w:hAnsi="Calibri"/>
              </w:rPr>
            </w:pPr>
            <w:r w:rsidRPr="00FD50F6">
              <w:rPr>
                <w:rFonts w:ascii="Calibri" w:hAnsi="Calibri" w:hint="eastAsia"/>
              </w:rPr>
              <w:t>3938</w:t>
            </w:r>
          </w:p>
        </w:tc>
        <w:tc>
          <w:tcPr>
            <w:tcW w:w="756" w:type="dxa"/>
            <w:vAlign w:val="center"/>
          </w:tcPr>
          <w:p w14:paraId="0233E5F0" w14:textId="77777777" w:rsidR="002B733E" w:rsidRPr="00FD50F6" w:rsidRDefault="002B733E" w:rsidP="002B733E">
            <w:pPr>
              <w:pStyle w:val="7"/>
              <w:rPr>
                <w:rFonts w:ascii="Calibri" w:hAnsi="Calibri"/>
              </w:rPr>
            </w:pPr>
            <w:r w:rsidRPr="00FD50F6">
              <w:rPr>
                <w:rFonts w:ascii="Calibri" w:hAnsi="Calibri" w:hint="eastAsia"/>
              </w:rPr>
              <w:t>3938</w:t>
            </w:r>
          </w:p>
        </w:tc>
        <w:tc>
          <w:tcPr>
            <w:tcW w:w="756" w:type="dxa"/>
            <w:vAlign w:val="center"/>
          </w:tcPr>
          <w:p w14:paraId="1C08D080" w14:textId="77777777" w:rsidR="002B733E" w:rsidRPr="00FD50F6" w:rsidRDefault="002B733E" w:rsidP="002B733E">
            <w:pPr>
              <w:pStyle w:val="7"/>
              <w:rPr>
                <w:rFonts w:ascii="Calibri" w:hAnsi="Calibri"/>
              </w:rPr>
            </w:pPr>
            <w:r w:rsidRPr="00FD50F6">
              <w:rPr>
                <w:rFonts w:ascii="Calibri" w:hAnsi="Calibri" w:hint="eastAsia"/>
              </w:rPr>
              <w:t>3896</w:t>
            </w:r>
          </w:p>
        </w:tc>
        <w:tc>
          <w:tcPr>
            <w:tcW w:w="756" w:type="dxa"/>
            <w:vAlign w:val="center"/>
          </w:tcPr>
          <w:p w14:paraId="19338DB4" w14:textId="77777777" w:rsidR="002B733E" w:rsidRPr="00FD50F6" w:rsidRDefault="002B733E" w:rsidP="002B733E">
            <w:pPr>
              <w:pStyle w:val="7"/>
              <w:rPr>
                <w:rFonts w:ascii="Calibri" w:hAnsi="Calibri"/>
              </w:rPr>
            </w:pPr>
            <w:r w:rsidRPr="00FD50F6">
              <w:rPr>
                <w:rFonts w:ascii="Calibri" w:hAnsi="Calibri" w:hint="eastAsia"/>
              </w:rPr>
              <w:t>3823</w:t>
            </w:r>
          </w:p>
        </w:tc>
        <w:tc>
          <w:tcPr>
            <w:tcW w:w="756" w:type="dxa"/>
            <w:vAlign w:val="center"/>
          </w:tcPr>
          <w:p w14:paraId="69CFFCA4" w14:textId="77777777" w:rsidR="002B733E" w:rsidRPr="00FD50F6" w:rsidRDefault="002B733E" w:rsidP="002B733E">
            <w:pPr>
              <w:pStyle w:val="7"/>
              <w:rPr>
                <w:rFonts w:ascii="Calibri" w:hAnsi="Calibri"/>
              </w:rPr>
            </w:pPr>
            <w:r w:rsidRPr="00FD50F6">
              <w:rPr>
                <w:rFonts w:ascii="Calibri" w:hAnsi="Calibri" w:hint="eastAsia"/>
              </w:rPr>
              <w:t>3802</w:t>
            </w:r>
          </w:p>
        </w:tc>
        <w:tc>
          <w:tcPr>
            <w:tcW w:w="756" w:type="dxa"/>
            <w:vAlign w:val="center"/>
          </w:tcPr>
          <w:p w14:paraId="6B1C2001" w14:textId="77777777" w:rsidR="002B733E" w:rsidRPr="00FD50F6" w:rsidRDefault="002B733E" w:rsidP="002B733E">
            <w:pPr>
              <w:pStyle w:val="7"/>
              <w:rPr>
                <w:rFonts w:ascii="Calibri" w:hAnsi="Calibri"/>
              </w:rPr>
            </w:pPr>
            <w:r w:rsidRPr="00FD50F6">
              <w:rPr>
                <w:rFonts w:ascii="Calibri" w:hAnsi="Calibri" w:hint="eastAsia"/>
              </w:rPr>
              <w:t>3650</w:t>
            </w:r>
          </w:p>
        </w:tc>
        <w:tc>
          <w:tcPr>
            <w:tcW w:w="756" w:type="dxa"/>
            <w:vAlign w:val="center"/>
          </w:tcPr>
          <w:p w14:paraId="3104ACF1" w14:textId="77777777" w:rsidR="002B733E" w:rsidRPr="00FD50F6" w:rsidRDefault="002B733E" w:rsidP="002B733E">
            <w:pPr>
              <w:pStyle w:val="7"/>
              <w:rPr>
                <w:rFonts w:ascii="Calibri" w:hAnsi="Calibri"/>
              </w:rPr>
            </w:pPr>
            <w:r w:rsidRPr="00FD50F6">
              <w:rPr>
                <w:rFonts w:ascii="Calibri" w:hAnsi="Calibri" w:hint="eastAsia"/>
              </w:rPr>
              <w:t>3487</w:t>
            </w:r>
          </w:p>
        </w:tc>
        <w:tc>
          <w:tcPr>
            <w:tcW w:w="756" w:type="dxa"/>
            <w:vAlign w:val="center"/>
          </w:tcPr>
          <w:p w14:paraId="1B6B66A8" w14:textId="77777777" w:rsidR="002B733E" w:rsidRPr="00FD50F6" w:rsidRDefault="002B733E" w:rsidP="002B733E">
            <w:pPr>
              <w:pStyle w:val="7"/>
              <w:rPr>
                <w:rFonts w:ascii="Calibri" w:hAnsi="Calibri"/>
              </w:rPr>
            </w:pPr>
            <w:r w:rsidRPr="00FD50F6">
              <w:rPr>
                <w:rFonts w:ascii="Calibri" w:hAnsi="Calibri" w:hint="eastAsia"/>
              </w:rPr>
              <w:t>3397</w:t>
            </w:r>
          </w:p>
        </w:tc>
        <w:tc>
          <w:tcPr>
            <w:tcW w:w="756" w:type="dxa"/>
            <w:vAlign w:val="center"/>
          </w:tcPr>
          <w:p w14:paraId="024DEAFD" w14:textId="77777777" w:rsidR="002B733E" w:rsidRPr="00FD50F6" w:rsidRDefault="002B733E" w:rsidP="002B733E">
            <w:pPr>
              <w:pStyle w:val="7"/>
              <w:rPr>
                <w:rFonts w:ascii="Calibri" w:hAnsi="Calibri"/>
              </w:rPr>
            </w:pPr>
            <w:r w:rsidRPr="00FD50F6">
              <w:rPr>
                <w:rFonts w:ascii="Calibri" w:hAnsi="Calibri" w:hint="eastAsia"/>
              </w:rPr>
              <w:t>957</w:t>
            </w:r>
          </w:p>
        </w:tc>
      </w:tr>
      <w:tr w:rsidR="00FD50F6" w:rsidRPr="00FD50F6" w14:paraId="537C291B" w14:textId="77777777" w:rsidTr="002B733E">
        <w:trPr>
          <w:trHeight w:val="397"/>
          <w:jc w:val="center"/>
        </w:trPr>
        <w:tc>
          <w:tcPr>
            <w:tcW w:w="701" w:type="dxa"/>
            <w:vAlign w:val="center"/>
          </w:tcPr>
          <w:p w14:paraId="6C2B5A15" w14:textId="77777777" w:rsidR="002B733E" w:rsidRPr="00FD50F6" w:rsidRDefault="002B733E" w:rsidP="002B733E">
            <w:pPr>
              <w:pStyle w:val="7"/>
            </w:pPr>
            <w:r w:rsidRPr="00FD50F6">
              <w:rPr>
                <w:rFonts w:hint="eastAsia"/>
              </w:rPr>
              <w:t>点号</w:t>
            </w:r>
          </w:p>
        </w:tc>
        <w:tc>
          <w:tcPr>
            <w:tcW w:w="756" w:type="dxa"/>
            <w:vAlign w:val="center"/>
          </w:tcPr>
          <w:p w14:paraId="562BD19B" w14:textId="77777777" w:rsidR="002B733E" w:rsidRPr="00FD50F6" w:rsidRDefault="002B733E" w:rsidP="002B733E">
            <w:pPr>
              <w:pStyle w:val="7"/>
              <w:rPr>
                <w:rFonts w:ascii="Calibri" w:hAnsi="Calibri"/>
                <w:b/>
              </w:rPr>
            </w:pPr>
            <w:r w:rsidRPr="00FD50F6">
              <w:rPr>
                <w:rFonts w:ascii="Calibri" w:hAnsi="Calibri" w:hint="eastAsia"/>
                <w:b/>
              </w:rPr>
              <w:t>9</w:t>
            </w:r>
            <w:r w:rsidRPr="00FD50F6">
              <w:rPr>
                <w:rFonts w:ascii="Calibri" w:hAnsi="Calibri" w:hint="eastAsia"/>
                <w:b/>
              </w:rPr>
              <w:t>”</w:t>
            </w:r>
          </w:p>
        </w:tc>
        <w:tc>
          <w:tcPr>
            <w:tcW w:w="756" w:type="dxa"/>
            <w:vAlign w:val="center"/>
          </w:tcPr>
          <w:p w14:paraId="6A1514ED" w14:textId="77777777" w:rsidR="002B733E" w:rsidRPr="00FD50F6" w:rsidRDefault="002B733E" w:rsidP="002B733E">
            <w:pPr>
              <w:pStyle w:val="7"/>
              <w:rPr>
                <w:rFonts w:ascii="Calibri" w:hAnsi="Calibri"/>
                <w:b/>
              </w:rPr>
            </w:pPr>
            <w:r w:rsidRPr="00FD50F6">
              <w:rPr>
                <w:rFonts w:ascii="Calibri" w:hAnsi="Calibri" w:hint="eastAsia"/>
                <w:b/>
              </w:rPr>
              <w:t>10</w:t>
            </w:r>
            <w:r w:rsidRPr="00FD50F6">
              <w:rPr>
                <w:rFonts w:ascii="Calibri" w:hAnsi="Calibri" w:hint="eastAsia"/>
                <w:b/>
              </w:rPr>
              <w:t>”</w:t>
            </w:r>
          </w:p>
        </w:tc>
        <w:tc>
          <w:tcPr>
            <w:tcW w:w="756" w:type="dxa"/>
            <w:vAlign w:val="center"/>
          </w:tcPr>
          <w:p w14:paraId="45D0BE56" w14:textId="77777777" w:rsidR="002B733E" w:rsidRPr="00FD50F6" w:rsidRDefault="002B733E" w:rsidP="002B733E">
            <w:pPr>
              <w:pStyle w:val="7"/>
              <w:rPr>
                <w:rFonts w:ascii="Calibri" w:hAnsi="Calibri"/>
                <w:b/>
              </w:rPr>
            </w:pPr>
            <w:r w:rsidRPr="00FD50F6">
              <w:rPr>
                <w:rFonts w:ascii="Calibri" w:hAnsi="Calibri" w:hint="eastAsia"/>
                <w:b/>
              </w:rPr>
              <w:t>11</w:t>
            </w:r>
            <w:r w:rsidRPr="00FD50F6">
              <w:rPr>
                <w:rFonts w:ascii="Calibri" w:hAnsi="Calibri" w:hint="eastAsia"/>
                <w:b/>
              </w:rPr>
              <w:t>”</w:t>
            </w:r>
          </w:p>
        </w:tc>
        <w:tc>
          <w:tcPr>
            <w:tcW w:w="756" w:type="dxa"/>
            <w:vAlign w:val="center"/>
          </w:tcPr>
          <w:p w14:paraId="7422B4D8" w14:textId="77777777" w:rsidR="002B733E" w:rsidRPr="00FD50F6" w:rsidRDefault="002B733E" w:rsidP="002B733E">
            <w:pPr>
              <w:pStyle w:val="7"/>
              <w:rPr>
                <w:rFonts w:ascii="Calibri" w:hAnsi="Calibri"/>
                <w:b/>
              </w:rPr>
            </w:pPr>
            <w:r w:rsidRPr="00FD50F6">
              <w:rPr>
                <w:rFonts w:ascii="Calibri" w:hAnsi="Calibri" w:hint="eastAsia"/>
                <w:b/>
              </w:rPr>
              <w:t>12</w:t>
            </w:r>
            <w:r w:rsidRPr="00FD50F6">
              <w:rPr>
                <w:rFonts w:ascii="Calibri" w:hAnsi="Calibri" w:hint="eastAsia"/>
                <w:b/>
              </w:rPr>
              <w:t>”</w:t>
            </w:r>
          </w:p>
        </w:tc>
        <w:tc>
          <w:tcPr>
            <w:tcW w:w="756" w:type="dxa"/>
            <w:vAlign w:val="center"/>
          </w:tcPr>
          <w:p w14:paraId="7280A6DF" w14:textId="77777777" w:rsidR="002B733E" w:rsidRPr="00FD50F6" w:rsidRDefault="002B733E" w:rsidP="002B733E">
            <w:pPr>
              <w:pStyle w:val="7"/>
              <w:rPr>
                <w:rFonts w:ascii="Calibri" w:hAnsi="Calibri"/>
                <w:b/>
              </w:rPr>
            </w:pPr>
            <w:r w:rsidRPr="00FD50F6">
              <w:rPr>
                <w:rFonts w:ascii="Calibri" w:hAnsi="Calibri" w:hint="eastAsia"/>
                <w:b/>
              </w:rPr>
              <w:t>14</w:t>
            </w:r>
            <w:r w:rsidRPr="00FD50F6">
              <w:rPr>
                <w:rFonts w:ascii="Calibri" w:hAnsi="Calibri" w:hint="eastAsia"/>
                <w:b/>
              </w:rPr>
              <w:t>”</w:t>
            </w:r>
          </w:p>
        </w:tc>
        <w:tc>
          <w:tcPr>
            <w:tcW w:w="756" w:type="dxa"/>
            <w:vAlign w:val="center"/>
          </w:tcPr>
          <w:p w14:paraId="4C8EA223" w14:textId="77777777" w:rsidR="002B733E" w:rsidRPr="00FD50F6" w:rsidRDefault="002B733E" w:rsidP="002B733E">
            <w:pPr>
              <w:pStyle w:val="7"/>
              <w:rPr>
                <w:rFonts w:ascii="Calibri" w:hAnsi="Calibri"/>
                <w:b/>
              </w:rPr>
            </w:pPr>
            <w:r w:rsidRPr="00FD50F6">
              <w:rPr>
                <w:rFonts w:ascii="Calibri" w:hAnsi="Calibri" w:hint="eastAsia"/>
                <w:b/>
              </w:rPr>
              <w:t>15</w:t>
            </w:r>
            <w:r w:rsidRPr="00FD50F6">
              <w:rPr>
                <w:rFonts w:ascii="Calibri" w:hAnsi="Calibri" w:hint="eastAsia"/>
                <w:b/>
              </w:rPr>
              <w:t>”</w:t>
            </w:r>
          </w:p>
        </w:tc>
        <w:tc>
          <w:tcPr>
            <w:tcW w:w="756" w:type="dxa"/>
            <w:vAlign w:val="center"/>
          </w:tcPr>
          <w:p w14:paraId="16EEEC90" w14:textId="77777777" w:rsidR="002B733E" w:rsidRPr="00FD50F6" w:rsidRDefault="002B733E" w:rsidP="002B733E">
            <w:pPr>
              <w:pStyle w:val="7"/>
              <w:rPr>
                <w:rFonts w:ascii="Calibri" w:hAnsi="Calibri"/>
                <w:b/>
              </w:rPr>
            </w:pPr>
            <w:r w:rsidRPr="00FD50F6">
              <w:rPr>
                <w:rFonts w:ascii="Calibri" w:hAnsi="Calibri" w:hint="eastAsia"/>
                <w:b/>
              </w:rPr>
              <w:t>16</w:t>
            </w:r>
            <w:r w:rsidRPr="00FD50F6">
              <w:rPr>
                <w:rFonts w:ascii="Calibri" w:hAnsi="Calibri" w:hint="eastAsia"/>
                <w:b/>
              </w:rPr>
              <w:t>”</w:t>
            </w:r>
          </w:p>
        </w:tc>
        <w:tc>
          <w:tcPr>
            <w:tcW w:w="756" w:type="dxa"/>
            <w:vAlign w:val="center"/>
          </w:tcPr>
          <w:p w14:paraId="66F60D9A" w14:textId="77777777" w:rsidR="002B733E" w:rsidRPr="00FD50F6" w:rsidRDefault="002B733E" w:rsidP="002B733E">
            <w:pPr>
              <w:pStyle w:val="7"/>
              <w:rPr>
                <w:rFonts w:ascii="Calibri" w:hAnsi="Calibri"/>
                <w:b/>
              </w:rPr>
            </w:pPr>
            <w:r w:rsidRPr="00FD50F6">
              <w:rPr>
                <w:rFonts w:ascii="Calibri" w:hAnsi="Calibri" w:hint="eastAsia"/>
                <w:b/>
              </w:rPr>
              <w:t>17</w:t>
            </w:r>
            <w:r w:rsidRPr="00FD50F6">
              <w:rPr>
                <w:rFonts w:ascii="Calibri" w:hAnsi="Calibri" w:hint="eastAsia"/>
                <w:b/>
              </w:rPr>
              <w:t>”</w:t>
            </w:r>
          </w:p>
        </w:tc>
        <w:tc>
          <w:tcPr>
            <w:tcW w:w="756" w:type="dxa"/>
            <w:vAlign w:val="center"/>
          </w:tcPr>
          <w:p w14:paraId="0874BD1E" w14:textId="77777777" w:rsidR="002B733E" w:rsidRPr="00FD50F6" w:rsidRDefault="002B733E" w:rsidP="002B733E">
            <w:pPr>
              <w:pStyle w:val="7"/>
              <w:rPr>
                <w:rFonts w:ascii="Calibri" w:hAnsi="Calibri"/>
                <w:b/>
              </w:rPr>
            </w:pPr>
            <w:r w:rsidRPr="00FD50F6">
              <w:rPr>
                <w:rFonts w:ascii="Calibri" w:hAnsi="Calibri" w:hint="eastAsia"/>
                <w:b/>
              </w:rPr>
              <w:t>18</w:t>
            </w:r>
            <w:r w:rsidRPr="00FD50F6">
              <w:rPr>
                <w:rFonts w:ascii="Calibri" w:hAnsi="Calibri" w:hint="eastAsia"/>
                <w:b/>
              </w:rPr>
              <w:t>”</w:t>
            </w:r>
          </w:p>
        </w:tc>
        <w:tc>
          <w:tcPr>
            <w:tcW w:w="756" w:type="dxa"/>
            <w:vAlign w:val="center"/>
          </w:tcPr>
          <w:p w14:paraId="0187D828" w14:textId="77777777" w:rsidR="002B733E" w:rsidRPr="00FD50F6" w:rsidRDefault="002B733E" w:rsidP="002B733E">
            <w:pPr>
              <w:pStyle w:val="7"/>
              <w:rPr>
                <w:rFonts w:ascii="Calibri" w:hAnsi="Calibri"/>
                <w:b/>
              </w:rPr>
            </w:pPr>
            <w:r w:rsidRPr="00FD50F6">
              <w:rPr>
                <w:rFonts w:ascii="Calibri" w:hAnsi="Calibri" w:hint="eastAsia"/>
                <w:b/>
              </w:rPr>
              <w:t>19</w:t>
            </w:r>
            <w:r w:rsidRPr="00FD50F6">
              <w:rPr>
                <w:rFonts w:ascii="Calibri" w:hAnsi="Calibri" w:hint="eastAsia"/>
                <w:b/>
              </w:rPr>
              <w:t>”</w:t>
            </w:r>
          </w:p>
        </w:tc>
      </w:tr>
      <w:tr w:rsidR="00FD50F6" w:rsidRPr="00FD50F6" w14:paraId="08BA9A88" w14:textId="77777777" w:rsidTr="002B733E">
        <w:trPr>
          <w:trHeight w:val="397"/>
          <w:jc w:val="center"/>
        </w:trPr>
        <w:tc>
          <w:tcPr>
            <w:tcW w:w="701" w:type="dxa"/>
            <w:vAlign w:val="center"/>
          </w:tcPr>
          <w:p w14:paraId="5D41E1F3" w14:textId="77777777" w:rsidR="002B733E" w:rsidRPr="00FD50F6" w:rsidRDefault="002B733E" w:rsidP="002B733E">
            <w:pPr>
              <w:pStyle w:val="7"/>
            </w:pPr>
            <w:r w:rsidRPr="00FD50F6">
              <w:rPr>
                <w:rFonts w:hint="eastAsia"/>
              </w:rPr>
              <w:t>X</w:t>
            </w:r>
          </w:p>
        </w:tc>
        <w:tc>
          <w:tcPr>
            <w:tcW w:w="756" w:type="dxa"/>
            <w:vAlign w:val="center"/>
          </w:tcPr>
          <w:p w14:paraId="43861738" w14:textId="77777777" w:rsidR="002B733E" w:rsidRPr="00FD50F6" w:rsidRDefault="002B733E" w:rsidP="002B733E">
            <w:pPr>
              <w:pStyle w:val="7"/>
              <w:rPr>
                <w:rFonts w:ascii="Calibri" w:hAnsi="Calibri"/>
              </w:rPr>
            </w:pPr>
            <w:r w:rsidRPr="00FD50F6">
              <w:rPr>
                <w:rFonts w:ascii="Calibri" w:hAnsi="Calibri" w:hint="eastAsia"/>
              </w:rPr>
              <w:t>1596</w:t>
            </w:r>
          </w:p>
        </w:tc>
        <w:tc>
          <w:tcPr>
            <w:tcW w:w="756" w:type="dxa"/>
            <w:vAlign w:val="center"/>
          </w:tcPr>
          <w:p w14:paraId="0A35A76C" w14:textId="77777777" w:rsidR="002B733E" w:rsidRPr="00FD50F6" w:rsidRDefault="002B733E" w:rsidP="002B733E">
            <w:pPr>
              <w:pStyle w:val="7"/>
              <w:rPr>
                <w:rFonts w:ascii="Calibri" w:hAnsi="Calibri"/>
              </w:rPr>
            </w:pPr>
            <w:r w:rsidRPr="00FD50F6">
              <w:rPr>
                <w:rFonts w:ascii="Calibri" w:hAnsi="Calibri" w:hint="eastAsia"/>
              </w:rPr>
              <w:t>1589</w:t>
            </w:r>
          </w:p>
        </w:tc>
        <w:tc>
          <w:tcPr>
            <w:tcW w:w="756" w:type="dxa"/>
            <w:vAlign w:val="center"/>
          </w:tcPr>
          <w:p w14:paraId="4764992D" w14:textId="77777777" w:rsidR="002B733E" w:rsidRPr="00FD50F6" w:rsidRDefault="002B733E" w:rsidP="002B733E">
            <w:pPr>
              <w:pStyle w:val="7"/>
              <w:rPr>
                <w:rFonts w:ascii="Calibri" w:hAnsi="Calibri"/>
              </w:rPr>
            </w:pPr>
            <w:r w:rsidRPr="00FD50F6">
              <w:rPr>
                <w:rFonts w:ascii="Calibri" w:hAnsi="Calibri" w:hint="eastAsia"/>
              </w:rPr>
              <w:t>1550</w:t>
            </w:r>
          </w:p>
        </w:tc>
        <w:tc>
          <w:tcPr>
            <w:tcW w:w="756" w:type="dxa"/>
            <w:vAlign w:val="center"/>
          </w:tcPr>
          <w:p w14:paraId="79551D00" w14:textId="77777777" w:rsidR="002B733E" w:rsidRPr="00FD50F6" w:rsidRDefault="002B733E" w:rsidP="002B733E">
            <w:pPr>
              <w:pStyle w:val="7"/>
              <w:rPr>
                <w:rFonts w:ascii="Calibri" w:hAnsi="Calibri"/>
              </w:rPr>
            </w:pPr>
            <w:r w:rsidRPr="00FD50F6">
              <w:rPr>
                <w:rFonts w:ascii="Calibri" w:hAnsi="Calibri" w:hint="eastAsia"/>
              </w:rPr>
              <w:t>1460</w:t>
            </w:r>
          </w:p>
        </w:tc>
        <w:tc>
          <w:tcPr>
            <w:tcW w:w="756" w:type="dxa"/>
            <w:vAlign w:val="center"/>
          </w:tcPr>
          <w:p w14:paraId="5146780B" w14:textId="77777777" w:rsidR="002B733E" w:rsidRPr="00FD50F6" w:rsidRDefault="002B733E" w:rsidP="002B733E">
            <w:pPr>
              <w:pStyle w:val="7"/>
              <w:rPr>
                <w:rFonts w:ascii="Calibri" w:hAnsi="Calibri"/>
              </w:rPr>
            </w:pPr>
            <w:r w:rsidRPr="00FD50F6">
              <w:rPr>
                <w:rFonts w:ascii="Calibri" w:hAnsi="Calibri" w:hint="eastAsia"/>
              </w:rPr>
              <w:t>1045</w:t>
            </w:r>
          </w:p>
        </w:tc>
        <w:tc>
          <w:tcPr>
            <w:tcW w:w="756" w:type="dxa"/>
            <w:vAlign w:val="center"/>
          </w:tcPr>
          <w:p w14:paraId="17781F55" w14:textId="77777777" w:rsidR="002B733E" w:rsidRPr="00FD50F6" w:rsidRDefault="002B733E" w:rsidP="002B733E">
            <w:pPr>
              <w:pStyle w:val="7"/>
              <w:rPr>
                <w:rFonts w:ascii="Calibri" w:hAnsi="Calibri"/>
              </w:rPr>
            </w:pPr>
            <w:r w:rsidRPr="00FD50F6">
              <w:rPr>
                <w:rFonts w:ascii="Calibri" w:hAnsi="Calibri" w:hint="eastAsia"/>
              </w:rPr>
              <w:t>1002</w:t>
            </w:r>
          </w:p>
        </w:tc>
        <w:tc>
          <w:tcPr>
            <w:tcW w:w="756" w:type="dxa"/>
            <w:vAlign w:val="center"/>
          </w:tcPr>
          <w:p w14:paraId="7656B17A" w14:textId="77777777" w:rsidR="002B733E" w:rsidRPr="00FD50F6" w:rsidRDefault="002B733E" w:rsidP="002B733E">
            <w:pPr>
              <w:pStyle w:val="7"/>
              <w:rPr>
                <w:rFonts w:ascii="Calibri" w:hAnsi="Calibri"/>
              </w:rPr>
            </w:pPr>
            <w:r w:rsidRPr="00FD50F6">
              <w:rPr>
                <w:rFonts w:ascii="Calibri" w:hAnsi="Calibri" w:hint="eastAsia"/>
              </w:rPr>
              <w:t>980</w:t>
            </w:r>
          </w:p>
        </w:tc>
        <w:tc>
          <w:tcPr>
            <w:tcW w:w="756" w:type="dxa"/>
            <w:vAlign w:val="center"/>
          </w:tcPr>
          <w:p w14:paraId="76E39EF6" w14:textId="77777777" w:rsidR="002B733E" w:rsidRPr="00FD50F6" w:rsidRDefault="002B733E" w:rsidP="002B733E">
            <w:pPr>
              <w:pStyle w:val="7"/>
              <w:rPr>
                <w:rFonts w:ascii="Calibri" w:hAnsi="Calibri"/>
              </w:rPr>
            </w:pPr>
            <w:r w:rsidRPr="00FD50F6">
              <w:rPr>
                <w:rFonts w:ascii="Calibri" w:hAnsi="Calibri" w:hint="eastAsia"/>
              </w:rPr>
              <w:t>972</w:t>
            </w:r>
          </w:p>
        </w:tc>
        <w:tc>
          <w:tcPr>
            <w:tcW w:w="756" w:type="dxa"/>
            <w:vAlign w:val="center"/>
          </w:tcPr>
          <w:p w14:paraId="15563722" w14:textId="77777777" w:rsidR="002B733E" w:rsidRPr="00FD50F6" w:rsidRDefault="002B733E" w:rsidP="002B733E">
            <w:pPr>
              <w:pStyle w:val="7"/>
              <w:rPr>
                <w:rFonts w:ascii="Calibri" w:hAnsi="Calibri"/>
              </w:rPr>
            </w:pPr>
            <w:r w:rsidRPr="00FD50F6">
              <w:rPr>
                <w:rFonts w:ascii="Calibri" w:hAnsi="Calibri" w:hint="eastAsia"/>
              </w:rPr>
              <w:t>855</w:t>
            </w:r>
          </w:p>
        </w:tc>
        <w:tc>
          <w:tcPr>
            <w:tcW w:w="756" w:type="dxa"/>
            <w:vAlign w:val="center"/>
          </w:tcPr>
          <w:p w14:paraId="278DDF41" w14:textId="77777777" w:rsidR="002B733E" w:rsidRPr="00FD50F6" w:rsidRDefault="002B733E" w:rsidP="002B733E">
            <w:pPr>
              <w:pStyle w:val="7"/>
              <w:rPr>
                <w:rFonts w:ascii="Calibri" w:hAnsi="Calibri"/>
              </w:rPr>
            </w:pPr>
            <w:r w:rsidRPr="00FD50F6">
              <w:rPr>
                <w:rFonts w:ascii="Calibri" w:hAnsi="Calibri" w:hint="eastAsia"/>
              </w:rPr>
              <w:t>855</w:t>
            </w:r>
          </w:p>
        </w:tc>
      </w:tr>
      <w:tr w:rsidR="00FD50F6" w:rsidRPr="00FD50F6" w14:paraId="3D55FBF7" w14:textId="77777777" w:rsidTr="002B733E">
        <w:trPr>
          <w:trHeight w:val="397"/>
          <w:jc w:val="center"/>
        </w:trPr>
        <w:tc>
          <w:tcPr>
            <w:tcW w:w="701" w:type="dxa"/>
            <w:vAlign w:val="center"/>
          </w:tcPr>
          <w:p w14:paraId="79C705AE" w14:textId="77777777" w:rsidR="002B733E" w:rsidRPr="00FD50F6" w:rsidRDefault="002B733E" w:rsidP="002B733E">
            <w:pPr>
              <w:pStyle w:val="7"/>
            </w:pPr>
            <w:r w:rsidRPr="00FD50F6">
              <w:rPr>
                <w:rFonts w:hint="eastAsia"/>
              </w:rPr>
              <w:t>Y</w:t>
            </w:r>
          </w:p>
        </w:tc>
        <w:tc>
          <w:tcPr>
            <w:tcW w:w="756" w:type="dxa"/>
            <w:vAlign w:val="center"/>
          </w:tcPr>
          <w:p w14:paraId="6331DFD7" w14:textId="77777777" w:rsidR="002B733E" w:rsidRPr="00FD50F6" w:rsidRDefault="002B733E" w:rsidP="002B733E">
            <w:pPr>
              <w:pStyle w:val="7"/>
              <w:rPr>
                <w:rFonts w:ascii="Calibri" w:hAnsi="Calibri"/>
              </w:rPr>
            </w:pPr>
            <w:r w:rsidRPr="00FD50F6">
              <w:rPr>
                <w:rFonts w:ascii="Calibri" w:hAnsi="Calibri" w:hint="eastAsia"/>
              </w:rPr>
              <w:t>757</w:t>
            </w:r>
          </w:p>
        </w:tc>
        <w:tc>
          <w:tcPr>
            <w:tcW w:w="756" w:type="dxa"/>
            <w:vAlign w:val="center"/>
          </w:tcPr>
          <w:p w14:paraId="0B653039" w14:textId="77777777" w:rsidR="002B733E" w:rsidRPr="00FD50F6" w:rsidRDefault="002B733E" w:rsidP="002B733E">
            <w:pPr>
              <w:pStyle w:val="7"/>
              <w:rPr>
                <w:rFonts w:ascii="Calibri" w:hAnsi="Calibri"/>
              </w:rPr>
            </w:pPr>
            <w:r w:rsidRPr="00FD50F6">
              <w:rPr>
                <w:rFonts w:ascii="Calibri" w:hAnsi="Calibri" w:hint="eastAsia"/>
              </w:rPr>
              <w:t>725</w:t>
            </w:r>
          </w:p>
        </w:tc>
        <w:tc>
          <w:tcPr>
            <w:tcW w:w="756" w:type="dxa"/>
            <w:vAlign w:val="center"/>
          </w:tcPr>
          <w:p w14:paraId="43F7AA83" w14:textId="77777777" w:rsidR="002B733E" w:rsidRPr="00FD50F6" w:rsidRDefault="002B733E" w:rsidP="002B733E">
            <w:pPr>
              <w:pStyle w:val="7"/>
              <w:rPr>
                <w:rFonts w:ascii="Calibri" w:hAnsi="Calibri"/>
              </w:rPr>
            </w:pPr>
            <w:r w:rsidRPr="00FD50F6">
              <w:rPr>
                <w:rFonts w:ascii="Calibri" w:hAnsi="Calibri" w:hint="eastAsia"/>
              </w:rPr>
              <w:t>551</w:t>
            </w:r>
          </w:p>
        </w:tc>
        <w:tc>
          <w:tcPr>
            <w:tcW w:w="756" w:type="dxa"/>
            <w:vAlign w:val="center"/>
          </w:tcPr>
          <w:p w14:paraId="0F553916" w14:textId="77777777" w:rsidR="002B733E" w:rsidRPr="00FD50F6" w:rsidRDefault="002B733E" w:rsidP="002B733E">
            <w:pPr>
              <w:pStyle w:val="7"/>
              <w:rPr>
                <w:rFonts w:ascii="Calibri" w:hAnsi="Calibri"/>
              </w:rPr>
            </w:pPr>
            <w:r w:rsidRPr="00FD50F6">
              <w:rPr>
                <w:rFonts w:ascii="Calibri" w:hAnsi="Calibri" w:hint="eastAsia"/>
              </w:rPr>
              <w:t>552</w:t>
            </w:r>
          </w:p>
        </w:tc>
        <w:tc>
          <w:tcPr>
            <w:tcW w:w="756" w:type="dxa"/>
            <w:vAlign w:val="center"/>
          </w:tcPr>
          <w:p w14:paraId="537BBE22" w14:textId="77777777" w:rsidR="002B733E" w:rsidRPr="00FD50F6" w:rsidRDefault="002B733E" w:rsidP="002B733E">
            <w:pPr>
              <w:pStyle w:val="7"/>
              <w:rPr>
                <w:rFonts w:ascii="Calibri" w:hAnsi="Calibri"/>
              </w:rPr>
            </w:pPr>
            <w:r w:rsidRPr="00FD50F6">
              <w:rPr>
                <w:rFonts w:ascii="Calibri" w:hAnsi="Calibri" w:hint="eastAsia"/>
              </w:rPr>
              <w:t>88</w:t>
            </w:r>
          </w:p>
        </w:tc>
        <w:tc>
          <w:tcPr>
            <w:tcW w:w="756" w:type="dxa"/>
            <w:vAlign w:val="center"/>
          </w:tcPr>
          <w:p w14:paraId="4D3A0095" w14:textId="77777777" w:rsidR="002B733E" w:rsidRPr="00FD50F6" w:rsidRDefault="002B733E" w:rsidP="002B733E">
            <w:pPr>
              <w:pStyle w:val="7"/>
              <w:rPr>
                <w:rFonts w:ascii="Calibri" w:hAnsi="Calibri"/>
              </w:rPr>
            </w:pPr>
            <w:r w:rsidRPr="00FD50F6">
              <w:rPr>
                <w:rFonts w:ascii="Calibri" w:hAnsi="Calibri" w:hint="eastAsia"/>
              </w:rPr>
              <w:t>89</w:t>
            </w:r>
          </w:p>
        </w:tc>
        <w:tc>
          <w:tcPr>
            <w:tcW w:w="756" w:type="dxa"/>
            <w:vAlign w:val="center"/>
          </w:tcPr>
          <w:p w14:paraId="453532FD" w14:textId="77777777" w:rsidR="002B733E" w:rsidRPr="00FD50F6" w:rsidRDefault="002B733E" w:rsidP="002B733E">
            <w:pPr>
              <w:pStyle w:val="7"/>
              <w:rPr>
                <w:rFonts w:ascii="Calibri" w:hAnsi="Calibri"/>
              </w:rPr>
            </w:pPr>
            <w:r w:rsidRPr="00FD50F6">
              <w:rPr>
                <w:rFonts w:ascii="Calibri" w:hAnsi="Calibri" w:hint="eastAsia"/>
              </w:rPr>
              <w:t>85</w:t>
            </w:r>
          </w:p>
        </w:tc>
        <w:tc>
          <w:tcPr>
            <w:tcW w:w="756" w:type="dxa"/>
            <w:vAlign w:val="center"/>
          </w:tcPr>
          <w:p w14:paraId="24F1EC1A" w14:textId="77777777" w:rsidR="002B733E" w:rsidRPr="00FD50F6" w:rsidRDefault="002B733E" w:rsidP="002B733E">
            <w:pPr>
              <w:pStyle w:val="7"/>
              <w:rPr>
                <w:rFonts w:ascii="Calibri" w:hAnsi="Calibri"/>
              </w:rPr>
            </w:pPr>
            <w:r w:rsidRPr="00FD50F6">
              <w:rPr>
                <w:rFonts w:ascii="Calibri" w:hAnsi="Calibri" w:hint="eastAsia"/>
              </w:rPr>
              <w:t>85</w:t>
            </w:r>
          </w:p>
        </w:tc>
        <w:tc>
          <w:tcPr>
            <w:tcW w:w="756" w:type="dxa"/>
            <w:vAlign w:val="center"/>
          </w:tcPr>
          <w:p w14:paraId="6FFB7344" w14:textId="77777777" w:rsidR="002B733E" w:rsidRPr="00FD50F6" w:rsidRDefault="002B733E" w:rsidP="002B733E">
            <w:pPr>
              <w:pStyle w:val="7"/>
              <w:rPr>
                <w:rFonts w:ascii="Calibri" w:hAnsi="Calibri"/>
              </w:rPr>
            </w:pPr>
            <w:r w:rsidRPr="00FD50F6">
              <w:rPr>
                <w:rFonts w:ascii="Calibri" w:hAnsi="Calibri" w:hint="eastAsia"/>
              </w:rPr>
              <w:t>85</w:t>
            </w:r>
          </w:p>
        </w:tc>
        <w:tc>
          <w:tcPr>
            <w:tcW w:w="756" w:type="dxa"/>
            <w:vAlign w:val="center"/>
          </w:tcPr>
          <w:p w14:paraId="1C81DF08" w14:textId="77777777" w:rsidR="002B733E" w:rsidRPr="00FD50F6" w:rsidRDefault="002B733E" w:rsidP="002B733E">
            <w:pPr>
              <w:pStyle w:val="7"/>
              <w:rPr>
                <w:rFonts w:ascii="Calibri" w:hAnsi="Calibri"/>
              </w:rPr>
            </w:pPr>
            <w:r w:rsidRPr="00FD50F6">
              <w:rPr>
                <w:rFonts w:ascii="Calibri" w:hAnsi="Calibri" w:hint="eastAsia"/>
              </w:rPr>
              <w:t>-31</w:t>
            </w:r>
          </w:p>
        </w:tc>
      </w:tr>
      <w:tr w:rsidR="00FD50F6" w:rsidRPr="00FD50F6" w14:paraId="3E516AB0" w14:textId="77777777" w:rsidTr="002B733E">
        <w:trPr>
          <w:trHeight w:val="397"/>
          <w:jc w:val="center"/>
        </w:trPr>
        <w:tc>
          <w:tcPr>
            <w:tcW w:w="701" w:type="dxa"/>
            <w:vAlign w:val="center"/>
          </w:tcPr>
          <w:p w14:paraId="26B00634" w14:textId="77777777" w:rsidR="002B733E" w:rsidRPr="00FD50F6" w:rsidRDefault="002B733E" w:rsidP="002B733E">
            <w:pPr>
              <w:pStyle w:val="7"/>
            </w:pPr>
            <w:r w:rsidRPr="00FD50F6">
              <w:rPr>
                <w:rFonts w:hint="eastAsia"/>
              </w:rPr>
              <w:t>点号</w:t>
            </w:r>
          </w:p>
        </w:tc>
        <w:tc>
          <w:tcPr>
            <w:tcW w:w="756" w:type="dxa"/>
            <w:vAlign w:val="center"/>
          </w:tcPr>
          <w:p w14:paraId="49EAB9B4" w14:textId="77777777" w:rsidR="002B733E" w:rsidRPr="00FD50F6" w:rsidRDefault="002B733E" w:rsidP="002B733E">
            <w:pPr>
              <w:pStyle w:val="7"/>
              <w:rPr>
                <w:rFonts w:ascii="Calibri" w:hAnsi="Calibri"/>
                <w:b/>
              </w:rPr>
            </w:pPr>
            <w:r w:rsidRPr="00FD50F6">
              <w:rPr>
                <w:rFonts w:ascii="Calibri" w:hAnsi="Calibri" w:hint="eastAsia"/>
                <w:b/>
              </w:rPr>
              <w:t>20</w:t>
            </w:r>
            <w:r w:rsidRPr="00FD50F6">
              <w:rPr>
                <w:rFonts w:ascii="Calibri" w:hAnsi="Calibri" w:hint="eastAsia"/>
                <w:b/>
              </w:rPr>
              <w:t>”</w:t>
            </w:r>
          </w:p>
        </w:tc>
        <w:tc>
          <w:tcPr>
            <w:tcW w:w="756" w:type="dxa"/>
            <w:vAlign w:val="center"/>
          </w:tcPr>
          <w:p w14:paraId="4CE30CCD" w14:textId="77777777" w:rsidR="002B733E" w:rsidRPr="00FD50F6" w:rsidRDefault="002B733E" w:rsidP="002B733E">
            <w:pPr>
              <w:pStyle w:val="7"/>
              <w:rPr>
                <w:rFonts w:ascii="Calibri" w:hAnsi="Calibri"/>
                <w:b/>
              </w:rPr>
            </w:pPr>
            <w:r w:rsidRPr="00FD50F6">
              <w:rPr>
                <w:rFonts w:ascii="Calibri" w:hAnsi="Calibri" w:hint="eastAsia"/>
                <w:b/>
              </w:rPr>
              <w:t>21</w:t>
            </w:r>
            <w:r w:rsidRPr="00FD50F6">
              <w:rPr>
                <w:rFonts w:ascii="Calibri" w:hAnsi="Calibri" w:hint="eastAsia"/>
                <w:b/>
              </w:rPr>
              <w:t>”</w:t>
            </w:r>
          </w:p>
        </w:tc>
        <w:tc>
          <w:tcPr>
            <w:tcW w:w="756" w:type="dxa"/>
            <w:vAlign w:val="center"/>
          </w:tcPr>
          <w:p w14:paraId="3D6EE938" w14:textId="77777777" w:rsidR="002B733E" w:rsidRPr="00FD50F6" w:rsidRDefault="002B733E" w:rsidP="002B733E">
            <w:pPr>
              <w:pStyle w:val="7"/>
              <w:rPr>
                <w:rFonts w:ascii="Calibri" w:hAnsi="Calibri"/>
                <w:b/>
              </w:rPr>
            </w:pPr>
            <w:r w:rsidRPr="00FD50F6">
              <w:rPr>
                <w:rFonts w:ascii="Calibri" w:hAnsi="Calibri" w:hint="eastAsia"/>
                <w:b/>
              </w:rPr>
              <w:t>22</w:t>
            </w:r>
            <w:r w:rsidRPr="00FD50F6">
              <w:rPr>
                <w:rFonts w:ascii="Calibri" w:hAnsi="Calibri" w:hint="eastAsia"/>
                <w:b/>
              </w:rPr>
              <w:t>”</w:t>
            </w:r>
          </w:p>
        </w:tc>
        <w:tc>
          <w:tcPr>
            <w:tcW w:w="756" w:type="dxa"/>
            <w:vAlign w:val="center"/>
          </w:tcPr>
          <w:p w14:paraId="62F5CD87" w14:textId="77777777" w:rsidR="002B733E" w:rsidRPr="00FD50F6" w:rsidRDefault="002B733E" w:rsidP="002B733E">
            <w:pPr>
              <w:pStyle w:val="7"/>
              <w:rPr>
                <w:rFonts w:ascii="Calibri" w:hAnsi="Calibri"/>
                <w:b/>
              </w:rPr>
            </w:pPr>
            <w:r w:rsidRPr="00FD50F6">
              <w:rPr>
                <w:rFonts w:ascii="Calibri" w:hAnsi="Calibri" w:hint="eastAsia"/>
                <w:b/>
              </w:rPr>
              <w:t>23</w:t>
            </w:r>
            <w:r w:rsidRPr="00FD50F6">
              <w:rPr>
                <w:rFonts w:ascii="Calibri" w:hAnsi="Calibri" w:hint="eastAsia"/>
                <w:b/>
              </w:rPr>
              <w:t>”</w:t>
            </w:r>
          </w:p>
        </w:tc>
        <w:tc>
          <w:tcPr>
            <w:tcW w:w="756" w:type="dxa"/>
            <w:vAlign w:val="center"/>
          </w:tcPr>
          <w:p w14:paraId="0ADA9920" w14:textId="77777777" w:rsidR="002B733E" w:rsidRPr="00FD50F6" w:rsidRDefault="002B733E" w:rsidP="002B733E">
            <w:pPr>
              <w:pStyle w:val="7"/>
              <w:rPr>
                <w:rFonts w:ascii="Calibri" w:hAnsi="Calibri"/>
                <w:b/>
              </w:rPr>
            </w:pPr>
            <w:r w:rsidRPr="00FD50F6">
              <w:rPr>
                <w:rFonts w:ascii="Calibri" w:hAnsi="Calibri" w:hint="eastAsia"/>
                <w:b/>
              </w:rPr>
              <w:t>24</w:t>
            </w:r>
            <w:r w:rsidRPr="00FD50F6">
              <w:rPr>
                <w:rFonts w:ascii="Calibri" w:hAnsi="Calibri" w:hint="eastAsia"/>
                <w:b/>
              </w:rPr>
              <w:t>”</w:t>
            </w:r>
          </w:p>
        </w:tc>
        <w:tc>
          <w:tcPr>
            <w:tcW w:w="756" w:type="dxa"/>
            <w:vAlign w:val="center"/>
          </w:tcPr>
          <w:p w14:paraId="7F31155F" w14:textId="77777777" w:rsidR="002B733E" w:rsidRPr="00FD50F6" w:rsidRDefault="002B733E" w:rsidP="002B733E">
            <w:pPr>
              <w:pStyle w:val="7"/>
              <w:rPr>
                <w:rFonts w:ascii="Calibri" w:hAnsi="Calibri"/>
                <w:b/>
              </w:rPr>
            </w:pPr>
            <w:r w:rsidRPr="00FD50F6">
              <w:rPr>
                <w:rFonts w:ascii="Calibri" w:hAnsi="Calibri" w:hint="eastAsia"/>
                <w:b/>
              </w:rPr>
              <w:t>25</w:t>
            </w:r>
            <w:r w:rsidRPr="00FD50F6">
              <w:rPr>
                <w:rFonts w:ascii="Calibri" w:hAnsi="Calibri" w:hint="eastAsia"/>
                <w:b/>
              </w:rPr>
              <w:t>”</w:t>
            </w:r>
          </w:p>
        </w:tc>
        <w:tc>
          <w:tcPr>
            <w:tcW w:w="756" w:type="dxa"/>
            <w:vAlign w:val="center"/>
          </w:tcPr>
          <w:p w14:paraId="190DD8EC" w14:textId="77777777" w:rsidR="002B733E" w:rsidRPr="00FD50F6" w:rsidRDefault="002B733E" w:rsidP="002B733E">
            <w:pPr>
              <w:pStyle w:val="7"/>
              <w:rPr>
                <w:rFonts w:ascii="Calibri" w:hAnsi="Calibri"/>
                <w:b/>
              </w:rPr>
            </w:pPr>
            <w:r w:rsidRPr="00FD50F6">
              <w:rPr>
                <w:rFonts w:ascii="Calibri" w:hAnsi="Calibri" w:hint="eastAsia"/>
                <w:b/>
              </w:rPr>
              <w:t>26</w:t>
            </w:r>
            <w:r w:rsidRPr="00FD50F6">
              <w:rPr>
                <w:rFonts w:ascii="Calibri" w:hAnsi="Calibri" w:hint="eastAsia"/>
                <w:b/>
              </w:rPr>
              <w:t>”</w:t>
            </w:r>
          </w:p>
        </w:tc>
        <w:tc>
          <w:tcPr>
            <w:tcW w:w="756" w:type="dxa"/>
            <w:vAlign w:val="center"/>
          </w:tcPr>
          <w:p w14:paraId="43478F81" w14:textId="77777777" w:rsidR="002B733E" w:rsidRPr="00FD50F6" w:rsidRDefault="002B733E" w:rsidP="002B733E">
            <w:pPr>
              <w:pStyle w:val="7"/>
              <w:rPr>
                <w:rFonts w:ascii="Calibri" w:hAnsi="Calibri"/>
                <w:b/>
              </w:rPr>
            </w:pPr>
            <w:r w:rsidRPr="00FD50F6">
              <w:rPr>
                <w:rFonts w:ascii="Calibri" w:hAnsi="Calibri" w:hint="eastAsia"/>
                <w:b/>
              </w:rPr>
              <w:t>27</w:t>
            </w:r>
            <w:r w:rsidRPr="00FD50F6">
              <w:rPr>
                <w:rFonts w:ascii="Calibri" w:hAnsi="Calibri" w:hint="eastAsia"/>
                <w:b/>
              </w:rPr>
              <w:t>”</w:t>
            </w:r>
          </w:p>
        </w:tc>
        <w:tc>
          <w:tcPr>
            <w:tcW w:w="756" w:type="dxa"/>
            <w:vAlign w:val="center"/>
          </w:tcPr>
          <w:p w14:paraId="2B59236D" w14:textId="77777777" w:rsidR="002B733E" w:rsidRPr="00FD50F6" w:rsidRDefault="002B733E" w:rsidP="002B733E">
            <w:pPr>
              <w:pStyle w:val="7"/>
              <w:rPr>
                <w:rFonts w:ascii="Calibri" w:hAnsi="Calibri"/>
                <w:b/>
              </w:rPr>
            </w:pPr>
            <w:r w:rsidRPr="00FD50F6">
              <w:rPr>
                <w:rFonts w:ascii="Calibri" w:hAnsi="Calibri" w:hint="eastAsia"/>
                <w:b/>
              </w:rPr>
              <w:t>28</w:t>
            </w:r>
            <w:r w:rsidRPr="00FD50F6">
              <w:rPr>
                <w:rFonts w:ascii="Calibri" w:hAnsi="Calibri" w:hint="eastAsia"/>
                <w:b/>
              </w:rPr>
              <w:t>”</w:t>
            </w:r>
          </w:p>
        </w:tc>
        <w:tc>
          <w:tcPr>
            <w:tcW w:w="756" w:type="dxa"/>
            <w:vAlign w:val="bottom"/>
          </w:tcPr>
          <w:p w14:paraId="15B0E517"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5EDD0150" w14:textId="77777777" w:rsidTr="002B733E">
        <w:trPr>
          <w:trHeight w:val="397"/>
          <w:jc w:val="center"/>
        </w:trPr>
        <w:tc>
          <w:tcPr>
            <w:tcW w:w="701" w:type="dxa"/>
            <w:vAlign w:val="center"/>
          </w:tcPr>
          <w:p w14:paraId="5476B8C7" w14:textId="77777777" w:rsidR="002B733E" w:rsidRPr="00FD50F6" w:rsidRDefault="002B733E" w:rsidP="002B733E">
            <w:pPr>
              <w:pStyle w:val="7"/>
            </w:pPr>
            <w:r w:rsidRPr="00FD50F6">
              <w:rPr>
                <w:rFonts w:hint="eastAsia"/>
              </w:rPr>
              <w:t>X</w:t>
            </w:r>
          </w:p>
        </w:tc>
        <w:tc>
          <w:tcPr>
            <w:tcW w:w="756" w:type="dxa"/>
            <w:vAlign w:val="center"/>
          </w:tcPr>
          <w:p w14:paraId="699B9823" w14:textId="77777777" w:rsidR="002B733E" w:rsidRPr="00FD50F6" w:rsidRDefault="002B733E" w:rsidP="002B733E">
            <w:pPr>
              <w:pStyle w:val="7"/>
              <w:rPr>
                <w:rFonts w:ascii="Calibri" w:hAnsi="Calibri"/>
              </w:rPr>
            </w:pPr>
            <w:r w:rsidRPr="00FD50F6">
              <w:rPr>
                <w:rFonts w:ascii="Calibri" w:hAnsi="Calibri" w:hint="eastAsia"/>
              </w:rPr>
              <w:t>790</w:t>
            </w:r>
          </w:p>
        </w:tc>
        <w:tc>
          <w:tcPr>
            <w:tcW w:w="756" w:type="dxa"/>
            <w:vAlign w:val="center"/>
          </w:tcPr>
          <w:p w14:paraId="11285B7F" w14:textId="77777777" w:rsidR="002B733E" w:rsidRPr="00FD50F6" w:rsidRDefault="002B733E" w:rsidP="002B733E">
            <w:pPr>
              <w:pStyle w:val="7"/>
              <w:rPr>
                <w:rFonts w:ascii="Calibri" w:hAnsi="Calibri"/>
              </w:rPr>
            </w:pPr>
            <w:r w:rsidRPr="00FD50F6">
              <w:rPr>
                <w:rFonts w:ascii="Calibri" w:hAnsi="Calibri" w:hint="eastAsia"/>
              </w:rPr>
              <w:t>750</w:t>
            </w:r>
          </w:p>
        </w:tc>
        <w:tc>
          <w:tcPr>
            <w:tcW w:w="756" w:type="dxa"/>
            <w:vAlign w:val="center"/>
          </w:tcPr>
          <w:p w14:paraId="544AD660" w14:textId="77777777" w:rsidR="002B733E" w:rsidRPr="00FD50F6" w:rsidRDefault="002B733E" w:rsidP="002B733E">
            <w:pPr>
              <w:pStyle w:val="7"/>
              <w:rPr>
                <w:rFonts w:ascii="Calibri" w:hAnsi="Calibri"/>
              </w:rPr>
            </w:pPr>
            <w:r w:rsidRPr="00FD50F6">
              <w:rPr>
                <w:rFonts w:ascii="Calibri" w:hAnsi="Calibri" w:hint="eastAsia"/>
              </w:rPr>
              <w:t>750</w:t>
            </w:r>
          </w:p>
        </w:tc>
        <w:tc>
          <w:tcPr>
            <w:tcW w:w="756" w:type="dxa"/>
            <w:vAlign w:val="center"/>
          </w:tcPr>
          <w:p w14:paraId="560F0667" w14:textId="77777777" w:rsidR="002B733E" w:rsidRPr="00FD50F6" w:rsidRDefault="002B733E" w:rsidP="002B733E">
            <w:pPr>
              <w:pStyle w:val="7"/>
              <w:rPr>
                <w:rFonts w:ascii="Calibri" w:hAnsi="Calibri"/>
              </w:rPr>
            </w:pPr>
            <w:r w:rsidRPr="00FD50F6">
              <w:rPr>
                <w:rFonts w:ascii="Calibri" w:hAnsi="Calibri" w:hint="eastAsia"/>
              </w:rPr>
              <w:t>633</w:t>
            </w:r>
          </w:p>
        </w:tc>
        <w:tc>
          <w:tcPr>
            <w:tcW w:w="756" w:type="dxa"/>
            <w:vAlign w:val="center"/>
          </w:tcPr>
          <w:p w14:paraId="19757BFB" w14:textId="77777777" w:rsidR="002B733E" w:rsidRPr="00FD50F6" w:rsidRDefault="002B733E" w:rsidP="002B733E">
            <w:pPr>
              <w:pStyle w:val="7"/>
              <w:rPr>
                <w:rFonts w:ascii="Calibri" w:hAnsi="Calibri"/>
              </w:rPr>
            </w:pPr>
            <w:r w:rsidRPr="00FD50F6">
              <w:rPr>
                <w:rFonts w:ascii="Calibri" w:hAnsi="Calibri" w:hint="eastAsia"/>
              </w:rPr>
              <w:t>633</w:t>
            </w:r>
          </w:p>
        </w:tc>
        <w:tc>
          <w:tcPr>
            <w:tcW w:w="756" w:type="dxa"/>
            <w:vAlign w:val="center"/>
          </w:tcPr>
          <w:p w14:paraId="4B220880" w14:textId="77777777" w:rsidR="002B733E" w:rsidRPr="00FD50F6" w:rsidRDefault="002B733E" w:rsidP="002B733E">
            <w:pPr>
              <w:pStyle w:val="7"/>
              <w:rPr>
                <w:rFonts w:ascii="Calibri" w:hAnsi="Calibri"/>
              </w:rPr>
            </w:pPr>
            <w:r w:rsidRPr="00FD50F6">
              <w:rPr>
                <w:rFonts w:ascii="Calibri" w:hAnsi="Calibri" w:hint="eastAsia"/>
              </w:rPr>
              <w:t>526</w:t>
            </w:r>
          </w:p>
        </w:tc>
        <w:tc>
          <w:tcPr>
            <w:tcW w:w="756" w:type="dxa"/>
            <w:vAlign w:val="center"/>
          </w:tcPr>
          <w:p w14:paraId="73ACF8CE" w14:textId="77777777" w:rsidR="002B733E" w:rsidRPr="00FD50F6" w:rsidRDefault="002B733E" w:rsidP="002B733E">
            <w:pPr>
              <w:pStyle w:val="7"/>
              <w:rPr>
                <w:rFonts w:ascii="Calibri" w:hAnsi="Calibri"/>
              </w:rPr>
            </w:pPr>
            <w:r w:rsidRPr="00FD50F6">
              <w:rPr>
                <w:rFonts w:ascii="Calibri" w:hAnsi="Calibri" w:hint="eastAsia"/>
              </w:rPr>
              <w:t>136</w:t>
            </w:r>
          </w:p>
        </w:tc>
        <w:tc>
          <w:tcPr>
            <w:tcW w:w="756" w:type="dxa"/>
            <w:vAlign w:val="center"/>
          </w:tcPr>
          <w:p w14:paraId="4DD1DCAA" w14:textId="77777777" w:rsidR="002B733E" w:rsidRPr="00FD50F6" w:rsidRDefault="002B733E" w:rsidP="002B733E">
            <w:pPr>
              <w:pStyle w:val="7"/>
              <w:rPr>
                <w:rFonts w:ascii="Calibri" w:hAnsi="Calibri"/>
              </w:rPr>
            </w:pPr>
            <w:r w:rsidRPr="00FD50F6">
              <w:rPr>
                <w:rFonts w:ascii="Calibri" w:hAnsi="Calibri" w:hint="eastAsia"/>
              </w:rPr>
              <w:t>136</w:t>
            </w:r>
          </w:p>
        </w:tc>
        <w:tc>
          <w:tcPr>
            <w:tcW w:w="756" w:type="dxa"/>
            <w:vAlign w:val="center"/>
          </w:tcPr>
          <w:p w14:paraId="070B39E8" w14:textId="77777777" w:rsidR="002B733E" w:rsidRPr="00FD50F6" w:rsidRDefault="002B733E" w:rsidP="002B733E">
            <w:pPr>
              <w:pStyle w:val="7"/>
              <w:rPr>
                <w:rFonts w:ascii="Calibri" w:hAnsi="Calibri"/>
              </w:rPr>
            </w:pPr>
            <w:r w:rsidRPr="00FD50F6">
              <w:rPr>
                <w:rFonts w:ascii="Calibri" w:hAnsi="Calibri" w:hint="eastAsia"/>
              </w:rPr>
              <w:t>0</w:t>
            </w:r>
          </w:p>
        </w:tc>
        <w:tc>
          <w:tcPr>
            <w:tcW w:w="756" w:type="dxa"/>
            <w:vAlign w:val="bottom"/>
          </w:tcPr>
          <w:p w14:paraId="54B92C15"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6628A73C" w14:textId="77777777" w:rsidTr="002B733E">
        <w:trPr>
          <w:trHeight w:val="397"/>
          <w:jc w:val="center"/>
        </w:trPr>
        <w:tc>
          <w:tcPr>
            <w:tcW w:w="701" w:type="dxa"/>
            <w:vAlign w:val="center"/>
          </w:tcPr>
          <w:p w14:paraId="5F88322D" w14:textId="77777777" w:rsidR="002B733E" w:rsidRPr="00FD50F6" w:rsidRDefault="002B733E" w:rsidP="002B733E">
            <w:pPr>
              <w:pStyle w:val="7"/>
            </w:pPr>
            <w:r w:rsidRPr="00FD50F6">
              <w:rPr>
                <w:rFonts w:hint="eastAsia"/>
              </w:rPr>
              <w:t>Y</w:t>
            </w:r>
          </w:p>
        </w:tc>
        <w:tc>
          <w:tcPr>
            <w:tcW w:w="756" w:type="dxa"/>
            <w:vAlign w:val="center"/>
          </w:tcPr>
          <w:p w14:paraId="06F9D991"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center"/>
          </w:tcPr>
          <w:p w14:paraId="3A1C54C3"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center"/>
          </w:tcPr>
          <w:p w14:paraId="6BEC8272" w14:textId="77777777" w:rsidR="002B733E" w:rsidRPr="00FD50F6" w:rsidRDefault="002B733E" w:rsidP="002B733E">
            <w:pPr>
              <w:pStyle w:val="7"/>
              <w:rPr>
                <w:rFonts w:ascii="Calibri" w:hAnsi="Calibri"/>
              </w:rPr>
            </w:pPr>
            <w:r w:rsidRPr="00FD50F6">
              <w:rPr>
                <w:rFonts w:ascii="Calibri" w:hAnsi="Calibri" w:hint="eastAsia"/>
              </w:rPr>
              <w:t>-71</w:t>
            </w:r>
          </w:p>
        </w:tc>
        <w:tc>
          <w:tcPr>
            <w:tcW w:w="756" w:type="dxa"/>
            <w:vAlign w:val="center"/>
          </w:tcPr>
          <w:p w14:paraId="6B5545CC" w14:textId="77777777" w:rsidR="002B733E" w:rsidRPr="00FD50F6" w:rsidRDefault="002B733E" w:rsidP="002B733E">
            <w:pPr>
              <w:pStyle w:val="7"/>
              <w:rPr>
                <w:rFonts w:ascii="Calibri" w:hAnsi="Calibri"/>
              </w:rPr>
            </w:pPr>
            <w:r w:rsidRPr="00FD50F6">
              <w:rPr>
                <w:rFonts w:ascii="Calibri" w:hAnsi="Calibri" w:hint="eastAsia"/>
              </w:rPr>
              <w:t>-71</w:t>
            </w:r>
          </w:p>
        </w:tc>
        <w:tc>
          <w:tcPr>
            <w:tcW w:w="756" w:type="dxa"/>
            <w:vAlign w:val="center"/>
          </w:tcPr>
          <w:p w14:paraId="4163A303"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center"/>
          </w:tcPr>
          <w:p w14:paraId="26718654"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center"/>
          </w:tcPr>
          <w:p w14:paraId="6C3B0EFE" w14:textId="77777777" w:rsidR="002B733E" w:rsidRPr="00FD50F6" w:rsidRDefault="002B733E" w:rsidP="002B733E">
            <w:pPr>
              <w:pStyle w:val="7"/>
              <w:rPr>
                <w:rFonts w:ascii="Calibri" w:hAnsi="Calibri"/>
              </w:rPr>
            </w:pPr>
            <w:r w:rsidRPr="00FD50F6">
              <w:rPr>
                <w:rFonts w:ascii="Calibri" w:hAnsi="Calibri" w:hint="eastAsia"/>
              </w:rPr>
              <w:t>17</w:t>
            </w:r>
          </w:p>
        </w:tc>
        <w:tc>
          <w:tcPr>
            <w:tcW w:w="756" w:type="dxa"/>
            <w:vAlign w:val="center"/>
          </w:tcPr>
          <w:p w14:paraId="30BB153E" w14:textId="77777777" w:rsidR="002B733E" w:rsidRPr="00FD50F6" w:rsidRDefault="002B733E" w:rsidP="002B733E">
            <w:pPr>
              <w:pStyle w:val="7"/>
              <w:rPr>
                <w:rFonts w:ascii="Calibri" w:hAnsi="Calibri"/>
              </w:rPr>
            </w:pPr>
            <w:r w:rsidRPr="00FD50F6">
              <w:rPr>
                <w:rFonts w:ascii="Calibri" w:hAnsi="Calibri" w:hint="eastAsia"/>
              </w:rPr>
              <w:t>64</w:t>
            </w:r>
          </w:p>
        </w:tc>
        <w:tc>
          <w:tcPr>
            <w:tcW w:w="756" w:type="dxa"/>
            <w:vAlign w:val="center"/>
          </w:tcPr>
          <w:p w14:paraId="142AC5D1" w14:textId="77777777" w:rsidR="002B733E" w:rsidRPr="00FD50F6" w:rsidRDefault="002B733E" w:rsidP="002B733E">
            <w:pPr>
              <w:pStyle w:val="7"/>
              <w:rPr>
                <w:rFonts w:ascii="Calibri" w:hAnsi="Calibri"/>
              </w:rPr>
            </w:pPr>
            <w:r w:rsidRPr="00FD50F6">
              <w:rPr>
                <w:rFonts w:ascii="Calibri" w:hAnsi="Calibri" w:hint="eastAsia"/>
              </w:rPr>
              <w:t>65</w:t>
            </w:r>
          </w:p>
        </w:tc>
        <w:tc>
          <w:tcPr>
            <w:tcW w:w="756" w:type="dxa"/>
            <w:vAlign w:val="bottom"/>
          </w:tcPr>
          <w:p w14:paraId="47F391AE"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68881C34" w14:textId="77777777" w:rsidTr="002B733E">
        <w:trPr>
          <w:trHeight w:val="397"/>
          <w:jc w:val="center"/>
        </w:trPr>
        <w:tc>
          <w:tcPr>
            <w:tcW w:w="701" w:type="dxa"/>
            <w:vAlign w:val="center"/>
          </w:tcPr>
          <w:p w14:paraId="40A49FA2" w14:textId="77777777" w:rsidR="002B733E" w:rsidRPr="00FD50F6" w:rsidRDefault="002B733E" w:rsidP="002B733E">
            <w:pPr>
              <w:pStyle w:val="7"/>
            </w:pPr>
            <w:r w:rsidRPr="00FD50F6">
              <w:rPr>
                <w:rFonts w:hint="eastAsia"/>
              </w:rPr>
              <w:t>点号</w:t>
            </w:r>
          </w:p>
        </w:tc>
        <w:tc>
          <w:tcPr>
            <w:tcW w:w="756" w:type="dxa"/>
            <w:vAlign w:val="bottom"/>
          </w:tcPr>
          <w:p w14:paraId="068CE6D7" w14:textId="77777777" w:rsidR="002B733E" w:rsidRPr="00FD50F6" w:rsidRDefault="002B733E" w:rsidP="002B733E">
            <w:pPr>
              <w:pStyle w:val="7"/>
              <w:rPr>
                <w:rFonts w:ascii="Calibri" w:hAnsi="Calibri"/>
                <w:b/>
              </w:rPr>
            </w:pPr>
            <w:r w:rsidRPr="00FD50F6">
              <w:rPr>
                <w:rFonts w:ascii="Calibri" w:hAnsi="Calibri" w:hint="eastAsia"/>
                <w:b/>
              </w:rPr>
              <w:t>29d</w:t>
            </w:r>
            <w:r w:rsidRPr="00FD50F6">
              <w:rPr>
                <w:rFonts w:ascii="Calibri" w:hAnsi="Calibri" w:hint="eastAsia"/>
                <w:b/>
              </w:rPr>
              <w:t>”</w:t>
            </w:r>
          </w:p>
        </w:tc>
        <w:tc>
          <w:tcPr>
            <w:tcW w:w="756" w:type="dxa"/>
            <w:vAlign w:val="bottom"/>
          </w:tcPr>
          <w:p w14:paraId="6680898A" w14:textId="77777777" w:rsidR="002B733E" w:rsidRPr="00FD50F6" w:rsidRDefault="002B733E" w:rsidP="002B733E">
            <w:pPr>
              <w:pStyle w:val="7"/>
              <w:rPr>
                <w:rFonts w:ascii="Calibri" w:hAnsi="Calibri"/>
                <w:b/>
              </w:rPr>
            </w:pPr>
            <w:r w:rsidRPr="00FD50F6">
              <w:rPr>
                <w:rFonts w:ascii="Calibri" w:hAnsi="Calibri" w:hint="eastAsia"/>
                <w:b/>
              </w:rPr>
              <w:t>30d</w:t>
            </w:r>
            <w:r w:rsidRPr="00FD50F6">
              <w:rPr>
                <w:rFonts w:ascii="Calibri" w:hAnsi="Calibri" w:hint="eastAsia"/>
                <w:b/>
              </w:rPr>
              <w:t>”</w:t>
            </w:r>
          </w:p>
        </w:tc>
        <w:tc>
          <w:tcPr>
            <w:tcW w:w="756" w:type="dxa"/>
            <w:vAlign w:val="bottom"/>
          </w:tcPr>
          <w:p w14:paraId="6C295F41" w14:textId="77777777" w:rsidR="002B733E" w:rsidRPr="00FD50F6" w:rsidRDefault="002B733E" w:rsidP="002B733E">
            <w:pPr>
              <w:pStyle w:val="7"/>
              <w:rPr>
                <w:rFonts w:ascii="Calibri" w:hAnsi="Calibri"/>
                <w:b/>
              </w:rPr>
            </w:pPr>
            <w:r w:rsidRPr="00FD50F6">
              <w:rPr>
                <w:rFonts w:ascii="Calibri" w:hAnsi="Calibri" w:hint="eastAsia"/>
                <w:b/>
              </w:rPr>
              <w:t>31d</w:t>
            </w:r>
            <w:r w:rsidRPr="00FD50F6">
              <w:rPr>
                <w:rFonts w:ascii="Calibri" w:hAnsi="Calibri" w:hint="eastAsia"/>
                <w:b/>
              </w:rPr>
              <w:t>”</w:t>
            </w:r>
          </w:p>
        </w:tc>
        <w:tc>
          <w:tcPr>
            <w:tcW w:w="756" w:type="dxa"/>
            <w:vAlign w:val="bottom"/>
          </w:tcPr>
          <w:p w14:paraId="0A381E94" w14:textId="77777777" w:rsidR="002B733E" w:rsidRPr="00FD50F6" w:rsidRDefault="002B733E" w:rsidP="002B733E">
            <w:pPr>
              <w:pStyle w:val="7"/>
              <w:rPr>
                <w:rFonts w:ascii="Calibri" w:hAnsi="Calibri"/>
                <w:b/>
              </w:rPr>
            </w:pPr>
            <w:r w:rsidRPr="00FD50F6">
              <w:rPr>
                <w:rFonts w:ascii="Calibri" w:hAnsi="Calibri" w:hint="eastAsia"/>
                <w:b/>
              </w:rPr>
              <w:t>32d</w:t>
            </w:r>
            <w:r w:rsidRPr="00FD50F6">
              <w:rPr>
                <w:rFonts w:ascii="Calibri" w:hAnsi="Calibri" w:hint="eastAsia"/>
                <w:b/>
              </w:rPr>
              <w:t>”</w:t>
            </w:r>
          </w:p>
        </w:tc>
        <w:tc>
          <w:tcPr>
            <w:tcW w:w="756" w:type="dxa"/>
            <w:vAlign w:val="bottom"/>
          </w:tcPr>
          <w:p w14:paraId="25F9BEDA" w14:textId="77777777" w:rsidR="002B733E" w:rsidRPr="00FD50F6" w:rsidRDefault="002B733E" w:rsidP="002B733E">
            <w:pPr>
              <w:pStyle w:val="7"/>
              <w:rPr>
                <w:rFonts w:ascii="Calibri" w:hAnsi="Calibri"/>
                <w:b/>
              </w:rPr>
            </w:pPr>
            <w:r w:rsidRPr="00FD50F6">
              <w:rPr>
                <w:rFonts w:ascii="Calibri" w:hAnsi="Calibri" w:hint="eastAsia"/>
                <w:b/>
              </w:rPr>
              <w:t>33d</w:t>
            </w:r>
            <w:r w:rsidRPr="00FD50F6">
              <w:rPr>
                <w:rFonts w:ascii="Calibri" w:hAnsi="Calibri" w:hint="eastAsia"/>
                <w:b/>
              </w:rPr>
              <w:t>”</w:t>
            </w:r>
          </w:p>
        </w:tc>
        <w:tc>
          <w:tcPr>
            <w:tcW w:w="756" w:type="dxa"/>
            <w:vAlign w:val="bottom"/>
          </w:tcPr>
          <w:p w14:paraId="791B75AD" w14:textId="77777777" w:rsidR="002B733E" w:rsidRPr="00FD50F6" w:rsidRDefault="002B733E" w:rsidP="002B733E">
            <w:pPr>
              <w:pStyle w:val="7"/>
              <w:rPr>
                <w:rFonts w:ascii="Calibri" w:hAnsi="Calibri"/>
                <w:b/>
              </w:rPr>
            </w:pPr>
            <w:r w:rsidRPr="00FD50F6">
              <w:rPr>
                <w:rFonts w:ascii="Calibri" w:hAnsi="Calibri" w:hint="eastAsia"/>
                <w:b/>
              </w:rPr>
              <w:t>34d</w:t>
            </w:r>
            <w:r w:rsidRPr="00FD50F6">
              <w:rPr>
                <w:rFonts w:ascii="Calibri" w:hAnsi="Calibri" w:hint="eastAsia"/>
                <w:b/>
              </w:rPr>
              <w:t>”</w:t>
            </w:r>
          </w:p>
        </w:tc>
        <w:tc>
          <w:tcPr>
            <w:tcW w:w="756" w:type="dxa"/>
            <w:vAlign w:val="bottom"/>
          </w:tcPr>
          <w:p w14:paraId="2D7E6ECD"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66D792D"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10CE90DD"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F9815C5"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4C05FF83" w14:textId="77777777" w:rsidTr="002B733E">
        <w:trPr>
          <w:trHeight w:val="397"/>
          <w:jc w:val="center"/>
        </w:trPr>
        <w:tc>
          <w:tcPr>
            <w:tcW w:w="701" w:type="dxa"/>
            <w:vAlign w:val="center"/>
          </w:tcPr>
          <w:p w14:paraId="48AED779" w14:textId="77777777" w:rsidR="002B733E" w:rsidRPr="00FD50F6" w:rsidRDefault="002B733E" w:rsidP="002B733E">
            <w:pPr>
              <w:pStyle w:val="7"/>
            </w:pPr>
            <w:r w:rsidRPr="00FD50F6">
              <w:rPr>
                <w:rFonts w:hint="eastAsia"/>
              </w:rPr>
              <w:t>X</w:t>
            </w:r>
          </w:p>
        </w:tc>
        <w:tc>
          <w:tcPr>
            <w:tcW w:w="756" w:type="dxa"/>
            <w:vAlign w:val="bottom"/>
          </w:tcPr>
          <w:p w14:paraId="768D1BF7" w14:textId="77777777" w:rsidR="002B733E" w:rsidRPr="00FD50F6" w:rsidRDefault="002B733E" w:rsidP="002B733E">
            <w:pPr>
              <w:pStyle w:val="7"/>
              <w:rPr>
                <w:rFonts w:ascii="Calibri" w:hAnsi="Calibri"/>
              </w:rPr>
            </w:pPr>
            <w:r w:rsidRPr="00FD50F6">
              <w:rPr>
                <w:rFonts w:ascii="Calibri" w:hAnsi="Calibri" w:hint="eastAsia"/>
              </w:rPr>
              <w:t>-1399</w:t>
            </w:r>
          </w:p>
        </w:tc>
        <w:tc>
          <w:tcPr>
            <w:tcW w:w="756" w:type="dxa"/>
            <w:vAlign w:val="bottom"/>
          </w:tcPr>
          <w:p w14:paraId="1E76B8DC" w14:textId="77777777" w:rsidR="002B733E" w:rsidRPr="00FD50F6" w:rsidRDefault="002B733E" w:rsidP="002B733E">
            <w:pPr>
              <w:pStyle w:val="7"/>
              <w:rPr>
                <w:rFonts w:ascii="Calibri" w:hAnsi="Calibri"/>
              </w:rPr>
            </w:pPr>
            <w:r w:rsidRPr="00FD50F6">
              <w:rPr>
                <w:rFonts w:ascii="Calibri" w:hAnsi="Calibri" w:hint="eastAsia"/>
              </w:rPr>
              <w:t>-1633</w:t>
            </w:r>
          </w:p>
        </w:tc>
        <w:tc>
          <w:tcPr>
            <w:tcW w:w="756" w:type="dxa"/>
            <w:vAlign w:val="bottom"/>
          </w:tcPr>
          <w:p w14:paraId="4B9E9993" w14:textId="77777777" w:rsidR="002B733E" w:rsidRPr="00FD50F6" w:rsidRDefault="002B733E" w:rsidP="002B733E">
            <w:pPr>
              <w:pStyle w:val="7"/>
              <w:rPr>
                <w:rFonts w:ascii="Calibri" w:hAnsi="Calibri"/>
              </w:rPr>
            </w:pPr>
            <w:r w:rsidRPr="00FD50F6">
              <w:rPr>
                <w:rFonts w:ascii="Calibri" w:hAnsi="Calibri" w:hint="eastAsia"/>
              </w:rPr>
              <w:t>-1633</w:t>
            </w:r>
          </w:p>
        </w:tc>
        <w:tc>
          <w:tcPr>
            <w:tcW w:w="756" w:type="dxa"/>
            <w:vAlign w:val="bottom"/>
          </w:tcPr>
          <w:p w14:paraId="1E768B73" w14:textId="77777777" w:rsidR="002B733E" w:rsidRPr="00FD50F6" w:rsidRDefault="002B733E" w:rsidP="002B733E">
            <w:pPr>
              <w:pStyle w:val="7"/>
              <w:rPr>
                <w:rFonts w:ascii="Calibri" w:hAnsi="Calibri"/>
              </w:rPr>
            </w:pPr>
            <w:r w:rsidRPr="00FD50F6">
              <w:rPr>
                <w:rFonts w:ascii="Calibri" w:hAnsi="Calibri" w:hint="eastAsia"/>
              </w:rPr>
              <w:t>-1428</w:t>
            </w:r>
          </w:p>
        </w:tc>
        <w:tc>
          <w:tcPr>
            <w:tcW w:w="756" w:type="dxa"/>
            <w:vAlign w:val="bottom"/>
          </w:tcPr>
          <w:p w14:paraId="44D07599" w14:textId="77777777" w:rsidR="002B733E" w:rsidRPr="00FD50F6" w:rsidRDefault="002B733E" w:rsidP="002B733E">
            <w:pPr>
              <w:pStyle w:val="7"/>
              <w:rPr>
                <w:rFonts w:ascii="Calibri" w:hAnsi="Calibri"/>
              </w:rPr>
            </w:pPr>
            <w:r w:rsidRPr="00FD50F6">
              <w:rPr>
                <w:rFonts w:ascii="Calibri" w:hAnsi="Calibri" w:hint="eastAsia"/>
              </w:rPr>
              <w:t>-1419</w:t>
            </w:r>
          </w:p>
        </w:tc>
        <w:tc>
          <w:tcPr>
            <w:tcW w:w="756" w:type="dxa"/>
            <w:vAlign w:val="bottom"/>
          </w:tcPr>
          <w:p w14:paraId="0C3C389D" w14:textId="77777777" w:rsidR="002B733E" w:rsidRPr="00FD50F6" w:rsidRDefault="002B733E" w:rsidP="002B733E">
            <w:pPr>
              <w:pStyle w:val="7"/>
              <w:rPr>
                <w:rFonts w:ascii="Calibri" w:hAnsi="Calibri"/>
              </w:rPr>
            </w:pPr>
            <w:r w:rsidRPr="00FD50F6">
              <w:rPr>
                <w:rFonts w:ascii="Calibri" w:hAnsi="Calibri" w:hint="eastAsia"/>
              </w:rPr>
              <w:t>-1141</w:t>
            </w:r>
          </w:p>
        </w:tc>
        <w:tc>
          <w:tcPr>
            <w:tcW w:w="756" w:type="dxa"/>
            <w:vAlign w:val="bottom"/>
          </w:tcPr>
          <w:p w14:paraId="7D54A431"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32BDEBE"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50CEB14"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BA31FC1"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2137FA82" w14:textId="77777777" w:rsidTr="002B733E">
        <w:trPr>
          <w:trHeight w:val="397"/>
          <w:jc w:val="center"/>
        </w:trPr>
        <w:tc>
          <w:tcPr>
            <w:tcW w:w="701" w:type="dxa"/>
            <w:vAlign w:val="center"/>
          </w:tcPr>
          <w:p w14:paraId="1D281A9C" w14:textId="77777777" w:rsidR="002B733E" w:rsidRPr="00FD50F6" w:rsidRDefault="002B733E" w:rsidP="002B733E">
            <w:pPr>
              <w:pStyle w:val="7"/>
            </w:pPr>
            <w:r w:rsidRPr="00FD50F6">
              <w:rPr>
                <w:rFonts w:hint="eastAsia"/>
              </w:rPr>
              <w:t>Y</w:t>
            </w:r>
          </w:p>
        </w:tc>
        <w:tc>
          <w:tcPr>
            <w:tcW w:w="756" w:type="dxa"/>
            <w:vAlign w:val="bottom"/>
          </w:tcPr>
          <w:p w14:paraId="26919A3B"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3AD68ED1"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5431C968" w14:textId="77777777" w:rsidR="002B733E" w:rsidRPr="00FD50F6" w:rsidRDefault="002B733E" w:rsidP="002B733E">
            <w:pPr>
              <w:pStyle w:val="7"/>
              <w:rPr>
                <w:rFonts w:ascii="Calibri" w:hAnsi="Calibri"/>
              </w:rPr>
            </w:pPr>
            <w:r w:rsidRPr="00FD50F6">
              <w:rPr>
                <w:rFonts w:ascii="Calibri" w:hAnsi="Calibri" w:hint="eastAsia"/>
              </w:rPr>
              <w:t>1</w:t>
            </w:r>
          </w:p>
        </w:tc>
        <w:tc>
          <w:tcPr>
            <w:tcW w:w="756" w:type="dxa"/>
            <w:vAlign w:val="bottom"/>
          </w:tcPr>
          <w:p w14:paraId="150880B0" w14:textId="77777777" w:rsidR="002B733E" w:rsidRPr="00FD50F6" w:rsidRDefault="002B733E" w:rsidP="002B733E">
            <w:pPr>
              <w:pStyle w:val="7"/>
              <w:rPr>
                <w:rFonts w:ascii="Calibri" w:hAnsi="Calibri"/>
              </w:rPr>
            </w:pPr>
            <w:r w:rsidRPr="00FD50F6">
              <w:rPr>
                <w:rFonts w:ascii="Calibri" w:hAnsi="Calibri" w:hint="eastAsia"/>
              </w:rPr>
              <w:t>1</w:t>
            </w:r>
          </w:p>
        </w:tc>
        <w:tc>
          <w:tcPr>
            <w:tcW w:w="756" w:type="dxa"/>
            <w:vAlign w:val="bottom"/>
          </w:tcPr>
          <w:p w14:paraId="023D949E" w14:textId="77777777" w:rsidR="002B733E" w:rsidRPr="00FD50F6" w:rsidRDefault="002B733E" w:rsidP="002B733E">
            <w:pPr>
              <w:pStyle w:val="7"/>
              <w:rPr>
                <w:rFonts w:ascii="Calibri" w:hAnsi="Calibri"/>
              </w:rPr>
            </w:pPr>
            <w:r w:rsidRPr="00FD50F6">
              <w:rPr>
                <w:rFonts w:ascii="Calibri" w:hAnsi="Calibri" w:hint="eastAsia"/>
              </w:rPr>
              <w:t>-6</w:t>
            </w:r>
          </w:p>
        </w:tc>
        <w:tc>
          <w:tcPr>
            <w:tcW w:w="756" w:type="dxa"/>
            <w:vAlign w:val="bottom"/>
          </w:tcPr>
          <w:p w14:paraId="0F7B191D" w14:textId="77777777" w:rsidR="002B733E" w:rsidRPr="00FD50F6" w:rsidRDefault="002B733E" w:rsidP="002B733E">
            <w:pPr>
              <w:pStyle w:val="7"/>
              <w:rPr>
                <w:rFonts w:ascii="Calibri" w:hAnsi="Calibri"/>
              </w:rPr>
            </w:pPr>
            <w:r w:rsidRPr="00FD50F6">
              <w:rPr>
                <w:rFonts w:ascii="Calibri" w:hAnsi="Calibri" w:hint="eastAsia"/>
              </w:rPr>
              <w:t>46</w:t>
            </w:r>
          </w:p>
        </w:tc>
        <w:tc>
          <w:tcPr>
            <w:tcW w:w="756" w:type="dxa"/>
            <w:vAlign w:val="bottom"/>
          </w:tcPr>
          <w:p w14:paraId="007F2B5C"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9AF06EB"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AA93C71"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9807C94"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6DD93851" w14:textId="77777777" w:rsidTr="002B733E">
        <w:trPr>
          <w:trHeight w:val="397"/>
          <w:jc w:val="center"/>
        </w:trPr>
        <w:tc>
          <w:tcPr>
            <w:tcW w:w="701" w:type="dxa"/>
            <w:vAlign w:val="center"/>
          </w:tcPr>
          <w:p w14:paraId="7B91FE4D" w14:textId="77777777" w:rsidR="002B733E" w:rsidRPr="00FD50F6" w:rsidRDefault="002B733E" w:rsidP="002B733E">
            <w:pPr>
              <w:pStyle w:val="7"/>
            </w:pPr>
            <w:r w:rsidRPr="00FD50F6">
              <w:rPr>
                <w:rFonts w:hint="eastAsia"/>
              </w:rPr>
              <w:t>点号</w:t>
            </w:r>
          </w:p>
        </w:tc>
        <w:tc>
          <w:tcPr>
            <w:tcW w:w="756" w:type="dxa"/>
            <w:vAlign w:val="bottom"/>
          </w:tcPr>
          <w:p w14:paraId="2AD5CF34" w14:textId="77777777" w:rsidR="002B733E" w:rsidRPr="00FD50F6" w:rsidRDefault="002B733E" w:rsidP="002B733E">
            <w:pPr>
              <w:pStyle w:val="7"/>
              <w:rPr>
                <w:rFonts w:ascii="Calibri" w:hAnsi="Calibri"/>
                <w:b/>
              </w:rPr>
            </w:pPr>
            <w:r w:rsidRPr="00FD50F6">
              <w:rPr>
                <w:rFonts w:ascii="Calibri" w:hAnsi="Calibri" w:hint="eastAsia"/>
                <w:b/>
              </w:rPr>
              <w:t>29e</w:t>
            </w:r>
            <w:r w:rsidRPr="00FD50F6">
              <w:rPr>
                <w:rFonts w:ascii="Calibri" w:hAnsi="Calibri" w:hint="eastAsia"/>
                <w:b/>
              </w:rPr>
              <w:t>”</w:t>
            </w:r>
          </w:p>
        </w:tc>
        <w:tc>
          <w:tcPr>
            <w:tcW w:w="756" w:type="dxa"/>
            <w:vAlign w:val="bottom"/>
          </w:tcPr>
          <w:p w14:paraId="677AC1D9" w14:textId="77777777" w:rsidR="002B733E" w:rsidRPr="00FD50F6" w:rsidRDefault="002B733E" w:rsidP="002B733E">
            <w:pPr>
              <w:pStyle w:val="7"/>
              <w:rPr>
                <w:rFonts w:ascii="Calibri" w:hAnsi="Calibri"/>
                <w:b/>
              </w:rPr>
            </w:pPr>
            <w:r w:rsidRPr="00FD50F6">
              <w:rPr>
                <w:rFonts w:ascii="Calibri" w:hAnsi="Calibri" w:hint="eastAsia"/>
                <w:b/>
              </w:rPr>
              <w:t>30e</w:t>
            </w:r>
            <w:r w:rsidRPr="00FD50F6">
              <w:rPr>
                <w:rFonts w:ascii="Calibri" w:hAnsi="Calibri" w:hint="eastAsia"/>
                <w:b/>
              </w:rPr>
              <w:t>”</w:t>
            </w:r>
          </w:p>
        </w:tc>
        <w:tc>
          <w:tcPr>
            <w:tcW w:w="756" w:type="dxa"/>
            <w:vAlign w:val="bottom"/>
          </w:tcPr>
          <w:p w14:paraId="6B6B985E" w14:textId="77777777" w:rsidR="002B733E" w:rsidRPr="00FD50F6" w:rsidRDefault="002B733E" w:rsidP="002B733E">
            <w:pPr>
              <w:pStyle w:val="7"/>
              <w:rPr>
                <w:rFonts w:ascii="Calibri" w:hAnsi="Calibri"/>
                <w:b/>
              </w:rPr>
            </w:pPr>
            <w:r w:rsidRPr="00FD50F6">
              <w:rPr>
                <w:rFonts w:ascii="Calibri" w:hAnsi="Calibri" w:hint="eastAsia"/>
                <w:b/>
              </w:rPr>
              <w:t>31e</w:t>
            </w:r>
            <w:r w:rsidRPr="00FD50F6">
              <w:rPr>
                <w:rFonts w:ascii="Calibri" w:hAnsi="Calibri" w:hint="eastAsia"/>
                <w:b/>
              </w:rPr>
              <w:t>”</w:t>
            </w:r>
          </w:p>
        </w:tc>
        <w:tc>
          <w:tcPr>
            <w:tcW w:w="756" w:type="dxa"/>
            <w:vAlign w:val="bottom"/>
          </w:tcPr>
          <w:p w14:paraId="19C135A1" w14:textId="77777777" w:rsidR="002B733E" w:rsidRPr="00FD50F6" w:rsidRDefault="002B733E" w:rsidP="002B733E">
            <w:pPr>
              <w:pStyle w:val="7"/>
              <w:rPr>
                <w:rFonts w:ascii="Calibri" w:hAnsi="Calibri"/>
                <w:b/>
              </w:rPr>
            </w:pPr>
            <w:r w:rsidRPr="00FD50F6">
              <w:rPr>
                <w:rFonts w:ascii="Calibri" w:hAnsi="Calibri" w:hint="eastAsia"/>
                <w:b/>
              </w:rPr>
              <w:t>32e</w:t>
            </w:r>
            <w:r w:rsidRPr="00FD50F6">
              <w:rPr>
                <w:rFonts w:ascii="Calibri" w:hAnsi="Calibri" w:hint="eastAsia"/>
                <w:b/>
              </w:rPr>
              <w:t>”</w:t>
            </w:r>
          </w:p>
        </w:tc>
        <w:tc>
          <w:tcPr>
            <w:tcW w:w="756" w:type="dxa"/>
            <w:vAlign w:val="bottom"/>
          </w:tcPr>
          <w:p w14:paraId="24330F1F" w14:textId="77777777" w:rsidR="002B733E" w:rsidRPr="00FD50F6" w:rsidRDefault="002B733E" w:rsidP="002B733E">
            <w:pPr>
              <w:pStyle w:val="7"/>
              <w:rPr>
                <w:rFonts w:ascii="Calibri" w:hAnsi="Calibri"/>
                <w:b/>
              </w:rPr>
            </w:pPr>
            <w:r w:rsidRPr="00FD50F6">
              <w:rPr>
                <w:rFonts w:ascii="Calibri" w:hAnsi="Calibri" w:hint="eastAsia"/>
                <w:b/>
              </w:rPr>
              <w:t>33e</w:t>
            </w:r>
            <w:r w:rsidRPr="00FD50F6">
              <w:rPr>
                <w:rFonts w:ascii="Calibri" w:hAnsi="Calibri" w:hint="eastAsia"/>
                <w:b/>
              </w:rPr>
              <w:t>”</w:t>
            </w:r>
          </w:p>
        </w:tc>
        <w:tc>
          <w:tcPr>
            <w:tcW w:w="756" w:type="dxa"/>
            <w:vAlign w:val="bottom"/>
          </w:tcPr>
          <w:p w14:paraId="55D7E37D" w14:textId="77777777" w:rsidR="002B733E" w:rsidRPr="00FD50F6" w:rsidRDefault="002B733E" w:rsidP="002B733E">
            <w:pPr>
              <w:pStyle w:val="7"/>
              <w:rPr>
                <w:rFonts w:ascii="Calibri" w:hAnsi="Calibri"/>
                <w:b/>
              </w:rPr>
            </w:pPr>
            <w:r w:rsidRPr="00FD50F6">
              <w:rPr>
                <w:rFonts w:ascii="Calibri" w:hAnsi="Calibri" w:hint="eastAsia"/>
                <w:b/>
              </w:rPr>
              <w:t>34e</w:t>
            </w:r>
            <w:r w:rsidRPr="00FD50F6">
              <w:rPr>
                <w:rFonts w:ascii="Calibri" w:hAnsi="Calibri" w:hint="eastAsia"/>
                <w:b/>
              </w:rPr>
              <w:t>”</w:t>
            </w:r>
          </w:p>
        </w:tc>
        <w:tc>
          <w:tcPr>
            <w:tcW w:w="756" w:type="dxa"/>
            <w:vAlign w:val="bottom"/>
          </w:tcPr>
          <w:p w14:paraId="563F1A56"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DE22C9C"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8D62E91"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BC55EF8"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0F4B7B94" w14:textId="77777777" w:rsidTr="002B733E">
        <w:trPr>
          <w:trHeight w:val="397"/>
          <w:jc w:val="center"/>
        </w:trPr>
        <w:tc>
          <w:tcPr>
            <w:tcW w:w="701" w:type="dxa"/>
            <w:vAlign w:val="center"/>
          </w:tcPr>
          <w:p w14:paraId="41526EAA" w14:textId="77777777" w:rsidR="002B733E" w:rsidRPr="00FD50F6" w:rsidRDefault="002B733E" w:rsidP="002B733E">
            <w:pPr>
              <w:pStyle w:val="7"/>
            </w:pPr>
            <w:r w:rsidRPr="00FD50F6">
              <w:rPr>
                <w:rFonts w:hint="eastAsia"/>
              </w:rPr>
              <w:t>X</w:t>
            </w:r>
          </w:p>
        </w:tc>
        <w:tc>
          <w:tcPr>
            <w:tcW w:w="756" w:type="dxa"/>
            <w:vAlign w:val="bottom"/>
          </w:tcPr>
          <w:p w14:paraId="126C57B0" w14:textId="77777777" w:rsidR="002B733E" w:rsidRPr="00FD50F6" w:rsidRDefault="002B733E" w:rsidP="002B733E">
            <w:pPr>
              <w:pStyle w:val="7"/>
              <w:rPr>
                <w:rFonts w:ascii="Calibri" w:hAnsi="Calibri"/>
              </w:rPr>
            </w:pPr>
            <w:r w:rsidRPr="00FD50F6">
              <w:rPr>
                <w:rFonts w:ascii="Calibri" w:hAnsi="Calibri" w:hint="eastAsia"/>
              </w:rPr>
              <w:t>1418</w:t>
            </w:r>
          </w:p>
        </w:tc>
        <w:tc>
          <w:tcPr>
            <w:tcW w:w="756" w:type="dxa"/>
            <w:vAlign w:val="bottom"/>
          </w:tcPr>
          <w:p w14:paraId="616CABF0" w14:textId="77777777" w:rsidR="002B733E" w:rsidRPr="00FD50F6" w:rsidRDefault="002B733E" w:rsidP="002B733E">
            <w:pPr>
              <w:pStyle w:val="7"/>
              <w:rPr>
                <w:rFonts w:ascii="Calibri" w:hAnsi="Calibri"/>
              </w:rPr>
            </w:pPr>
            <w:r w:rsidRPr="00FD50F6">
              <w:rPr>
                <w:rFonts w:ascii="Calibri" w:hAnsi="Calibri" w:hint="eastAsia"/>
              </w:rPr>
              <w:t>1633</w:t>
            </w:r>
          </w:p>
        </w:tc>
        <w:tc>
          <w:tcPr>
            <w:tcW w:w="756" w:type="dxa"/>
            <w:vAlign w:val="bottom"/>
          </w:tcPr>
          <w:p w14:paraId="210D0E73" w14:textId="77777777" w:rsidR="002B733E" w:rsidRPr="00FD50F6" w:rsidRDefault="002B733E" w:rsidP="002B733E">
            <w:pPr>
              <w:pStyle w:val="7"/>
              <w:rPr>
                <w:rFonts w:ascii="Calibri" w:hAnsi="Calibri"/>
              </w:rPr>
            </w:pPr>
            <w:r w:rsidRPr="00FD50F6">
              <w:rPr>
                <w:rFonts w:ascii="Calibri" w:hAnsi="Calibri" w:hint="eastAsia"/>
              </w:rPr>
              <w:t>1633</w:t>
            </w:r>
          </w:p>
        </w:tc>
        <w:tc>
          <w:tcPr>
            <w:tcW w:w="756" w:type="dxa"/>
            <w:vAlign w:val="bottom"/>
          </w:tcPr>
          <w:p w14:paraId="0CF019B6" w14:textId="77777777" w:rsidR="002B733E" w:rsidRPr="00FD50F6" w:rsidRDefault="002B733E" w:rsidP="002B733E">
            <w:pPr>
              <w:pStyle w:val="7"/>
              <w:rPr>
                <w:rFonts w:ascii="Calibri" w:hAnsi="Calibri"/>
              </w:rPr>
            </w:pPr>
            <w:r w:rsidRPr="00FD50F6">
              <w:rPr>
                <w:rFonts w:ascii="Calibri" w:hAnsi="Calibri" w:hint="eastAsia"/>
              </w:rPr>
              <w:t>1428</w:t>
            </w:r>
          </w:p>
        </w:tc>
        <w:tc>
          <w:tcPr>
            <w:tcW w:w="756" w:type="dxa"/>
            <w:vAlign w:val="bottom"/>
          </w:tcPr>
          <w:p w14:paraId="72171CFA" w14:textId="77777777" w:rsidR="002B733E" w:rsidRPr="00FD50F6" w:rsidRDefault="002B733E" w:rsidP="002B733E">
            <w:pPr>
              <w:pStyle w:val="7"/>
              <w:rPr>
                <w:rFonts w:ascii="Calibri" w:hAnsi="Calibri"/>
              </w:rPr>
            </w:pPr>
            <w:r w:rsidRPr="00FD50F6">
              <w:rPr>
                <w:rFonts w:ascii="Calibri" w:hAnsi="Calibri" w:hint="eastAsia"/>
              </w:rPr>
              <w:t>1419</w:t>
            </w:r>
          </w:p>
        </w:tc>
        <w:tc>
          <w:tcPr>
            <w:tcW w:w="756" w:type="dxa"/>
            <w:vAlign w:val="bottom"/>
          </w:tcPr>
          <w:p w14:paraId="7BBF960F" w14:textId="77777777" w:rsidR="002B733E" w:rsidRPr="00FD50F6" w:rsidRDefault="002B733E" w:rsidP="002B733E">
            <w:pPr>
              <w:pStyle w:val="7"/>
              <w:rPr>
                <w:rFonts w:ascii="Calibri" w:hAnsi="Calibri"/>
              </w:rPr>
            </w:pPr>
            <w:r w:rsidRPr="00FD50F6">
              <w:rPr>
                <w:rFonts w:ascii="Calibri" w:hAnsi="Calibri" w:hint="eastAsia"/>
              </w:rPr>
              <w:t>1141</w:t>
            </w:r>
          </w:p>
        </w:tc>
        <w:tc>
          <w:tcPr>
            <w:tcW w:w="756" w:type="dxa"/>
            <w:vAlign w:val="bottom"/>
          </w:tcPr>
          <w:p w14:paraId="7FECA55F"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4912B51"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0379B5E"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0502FEE" w14:textId="77777777" w:rsidR="002B733E" w:rsidRPr="00FD50F6" w:rsidRDefault="002B733E" w:rsidP="002B733E">
            <w:pPr>
              <w:pStyle w:val="7"/>
              <w:rPr>
                <w:rFonts w:ascii="Calibri" w:hAnsi="Calibri"/>
                <w:b/>
              </w:rPr>
            </w:pPr>
            <w:r w:rsidRPr="00FD50F6">
              <w:rPr>
                <w:rFonts w:ascii="Calibri" w:hAnsi="Calibri" w:hint="eastAsia"/>
                <w:b/>
              </w:rPr>
              <w:t>—</w:t>
            </w:r>
          </w:p>
        </w:tc>
      </w:tr>
      <w:tr w:rsidR="002B733E" w:rsidRPr="00FD50F6" w14:paraId="3FC64DBE" w14:textId="77777777" w:rsidTr="002B733E">
        <w:trPr>
          <w:trHeight w:val="397"/>
          <w:jc w:val="center"/>
        </w:trPr>
        <w:tc>
          <w:tcPr>
            <w:tcW w:w="701" w:type="dxa"/>
            <w:vAlign w:val="center"/>
          </w:tcPr>
          <w:p w14:paraId="5DD0A67E" w14:textId="77777777" w:rsidR="002B733E" w:rsidRPr="00FD50F6" w:rsidRDefault="002B733E" w:rsidP="002B733E">
            <w:pPr>
              <w:pStyle w:val="7"/>
            </w:pPr>
            <w:r w:rsidRPr="00FD50F6">
              <w:rPr>
                <w:rFonts w:hint="eastAsia"/>
              </w:rPr>
              <w:t>Y</w:t>
            </w:r>
          </w:p>
        </w:tc>
        <w:tc>
          <w:tcPr>
            <w:tcW w:w="756" w:type="dxa"/>
            <w:vAlign w:val="bottom"/>
          </w:tcPr>
          <w:p w14:paraId="289025CA" w14:textId="77777777" w:rsidR="002B733E" w:rsidRPr="00FD50F6" w:rsidRDefault="002B733E" w:rsidP="002B733E">
            <w:pPr>
              <w:pStyle w:val="7"/>
              <w:rPr>
                <w:rFonts w:ascii="Calibri" w:hAnsi="Calibri"/>
              </w:rPr>
            </w:pPr>
            <w:r w:rsidRPr="00FD50F6">
              <w:rPr>
                <w:rFonts w:ascii="Calibri" w:hAnsi="Calibri" w:hint="eastAsia"/>
              </w:rPr>
              <w:t>310</w:t>
            </w:r>
          </w:p>
        </w:tc>
        <w:tc>
          <w:tcPr>
            <w:tcW w:w="756" w:type="dxa"/>
            <w:vAlign w:val="bottom"/>
          </w:tcPr>
          <w:p w14:paraId="3D066D15" w14:textId="77777777" w:rsidR="002B733E" w:rsidRPr="00FD50F6" w:rsidRDefault="002B733E" w:rsidP="002B733E">
            <w:pPr>
              <w:pStyle w:val="7"/>
              <w:rPr>
                <w:rFonts w:ascii="Calibri" w:hAnsi="Calibri"/>
              </w:rPr>
            </w:pPr>
            <w:r w:rsidRPr="00FD50F6">
              <w:rPr>
                <w:rFonts w:ascii="Calibri" w:hAnsi="Calibri" w:hint="eastAsia"/>
              </w:rPr>
              <w:t>311</w:t>
            </w:r>
          </w:p>
        </w:tc>
        <w:tc>
          <w:tcPr>
            <w:tcW w:w="756" w:type="dxa"/>
            <w:vAlign w:val="bottom"/>
          </w:tcPr>
          <w:p w14:paraId="3A938909" w14:textId="77777777" w:rsidR="002B733E" w:rsidRPr="00FD50F6" w:rsidRDefault="002B733E" w:rsidP="002B733E">
            <w:pPr>
              <w:pStyle w:val="7"/>
              <w:rPr>
                <w:rFonts w:ascii="Calibri" w:hAnsi="Calibri"/>
              </w:rPr>
            </w:pPr>
            <w:r w:rsidRPr="00FD50F6">
              <w:rPr>
                <w:rFonts w:ascii="Calibri" w:hAnsi="Calibri" w:hint="eastAsia"/>
              </w:rPr>
              <w:t>1</w:t>
            </w:r>
          </w:p>
        </w:tc>
        <w:tc>
          <w:tcPr>
            <w:tcW w:w="756" w:type="dxa"/>
            <w:vAlign w:val="bottom"/>
          </w:tcPr>
          <w:p w14:paraId="48FCDFE8" w14:textId="77777777" w:rsidR="002B733E" w:rsidRPr="00FD50F6" w:rsidRDefault="002B733E" w:rsidP="002B733E">
            <w:pPr>
              <w:pStyle w:val="7"/>
              <w:rPr>
                <w:rFonts w:ascii="Calibri" w:hAnsi="Calibri"/>
              </w:rPr>
            </w:pPr>
            <w:r w:rsidRPr="00FD50F6">
              <w:rPr>
                <w:rFonts w:ascii="Calibri" w:hAnsi="Calibri" w:hint="eastAsia"/>
              </w:rPr>
              <w:t>1</w:t>
            </w:r>
          </w:p>
        </w:tc>
        <w:tc>
          <w:tcPr>
            <w:tcW w:w="756" w:type="dxa"/>
            <w:vAlign w:val="bottom"/>
          </w:tcPr>
          <w:p w14:paraId="2826A59E" w14:textId="77777777" w:rsidR="002B733E" w:rsidRPr="00FD50F6" w:rsidRDefault="002B733E" w:rsidP="002B733E">
            <w:pPr>
              <w:pStyle w:val="7"/>
              <w:rPr>
                <w:rFonts w:ascii="Calibri" w:hAnsi="Calibri"/>
              </w:rPr>
            </w:pPr>
            <w:r w:rsidRPr="00FD50F6">
              <w:rPr>
                <w:rFonts w:ascii="Calibri" w:hAnsi="Calibri" w:hint="eastAsia"/>
              </w:rPr>
              <w:t>-6</w:t>
            </w:r>
          </w:p>
        </w:tc>
        <w:tc>
          <w:tcPr>
            <w:tcW w:w="756" w:type="dxa"/>
            <w:vAlign w:val="bottom"/>
          </w:tcPr>
          <w:p w14:paraId="6DAC6C2C" w14:textId="77777777" w:rsidR="002B733E" w:rsidRPr="00FD50F6" w:rsidRDefault="002B733E" w:rsidP="002B733E">
            <w:pPr>
              <w:pStyle w:val="7"/>
              <w:rPr>
                <w:rFonts w:ascii="Calibri" w:hAnsi="Calibri"/>
              </w:rPr>
            </w:pPr>
            <w:r w:rsidRPr="00FD50F6">
              <w:rPr>
                <w:rFonts w:ascii="Calibri" w:hAnsi="Calibri" w:hint="eastAsia"/>
              </w:rPr>
              <w:t>46</w:t>
            </w:r>
          </w:p>
        </w:tc>
        <w:tc>
          <w:tcPr>
            <w:tcW w:w="756" w:type="dxa"/>
            <w:vAlign w:val="bottom"/>
          </w:tcPr>
          <w:p w14:paraId="0ABEC2A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33E6572"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1BC6AC05"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FC1FAFB" w14:textId="77777777" w:rsidR="002B733E" w:rsidRPr="00FD50F6" w:rsidRDefault="002B733E" w:rsidP="002B733E">
            <w:pPr>
              <w:pStyle w:val="7"/>
              <w:rPr>
                <w:rFonts w:ascii="Calibri" w:hAnsi="Calibri"/>
                <w:b/>
              </w:rPr>
            </w:pPr>
            <w:r w:rsidRPr="00FD50F6">
              <w:rPr>
                <w:rFonts w:ascii="Calibri" w:hAnsi="Calibri" w:hint="eastAsia"/>
                <w:b/>
              </w:rPr>
              <w:t>—</w:t>
            </w:r>
          </w:p>
        </w:tc>
      </w:tr>
    </w:tbl>
    <w:p w14:paraId="35A154B4" w14:textId="77777777" w:rsidR="002B733E" w:rsidRPr="00FD50F6" w:rsidRDefault="002B733E" w:rsidP="002B733E">
      <w:pPr>
        <w:spacing w:line="240" w:lineRule="auto"/>
        <w:jc w:val="center"/>
        <w:rPr>
          <w:rFonts w:ascii="Calibri" w:hAnsi="Calibri" w:cs="Times New Roman"/>
          <w:sz w:val="21"/>
          <w:szCs w:val="24"/>
        </w:rPr>
      </w:pPr>
    </w:p>
    <w:p w14:paraId="093B5FB3" w14:textId="77777777" w:rsidR="002B733E" w:rsidRPr="00FD50F6" w:rsidRDefault="002B733E" w:rsidP="002B733E">
      <w:pPr>
        <w:pStyle w:val="6"/>
      </w:pPr>
      <w:r w:rsidRPr="00FD50F6">
        <w:rPr>
          <w:rFonts w:hint="eastAsia"/>
        </w:rPr>
        <w:t>表</w:t>
      </w:r>
      <w:r w:rsidRPr="00FD50F6">
        <w:rPr>
          <w:rFonts w:ascii="Calibri" w:hAnsi="Calibri" w:hint="eastAsia"/>
          <w:b/>
        </w:rPr>
        <w:t>B.0.1-4</w:t>
      </w:r>
      <w:r w:rsidRPr="00FD50F6">
        <w:rPr>
          <w:rFonts w:hint="eastAsia"/>
        </w:rPr>
        <w:t xml:space="preserve">  </w:t>
      </w:r>
      <w:r w:rsidRPr="00FD50F6">
        <w:rPr>
          <w:rFonts w:hint="eastAsia"/>
        </w:rPr>
        <w:t>隧道外区间直线地段车辆限界坐标值（</w:t>
      </w:r>
      <w:r w:rsidRPr="00FD50F6">
        <w:rPr>
          <w:rFonts w:hint="eastAsia"/>
        </w:rPr>
        <w:t>mm</w:t>
      </w:r>
      <w:r w:rsidRPr="00FD50F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22E56021" w14:textId="77777777" w:rsidTr="002B733E">
        <w:trPr>
          <w:trHeight w:val="397"/>
          <w:jc w:val="center"/>
        </w:trPr>
        <w:tc>
          <w:tcPr>
            <w:tcW w:w="701" w:type="dxa"/>
            <w:vAlign w:val="center"/>
          </w:tcPr>
          <w:p w14:paraId="45D3157E" w14:textId="77777777" w:rsidR="002B733E" w:rsidRPr="00FD50F6" w:rsidRDefault="002B733E" w:rsidP="002B733E">
            <w:pPr>
              <w:pStyle w:val="7"/>
            </w:pPr>
            <w:r w:rsidRPr="00FD50F6">
              <w:rPr>
                <w:rFonts w:hint="eastAsia"/>
              </w:rPr>
              <w:t>点号</w:t>
            </w:r>
          </w:p>
        </w:tc>
        <w:tc>
          <w:tcPr>
            <w:tcW w:w="756" w:type="dxa"/>
            <w:vAlign w:val="center"/>
          </w:tcPr>
          <w:p w14:paraId="4DEC56D8"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7ECC6EA9"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03BE5391"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3798930E"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734E4E75"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1E24DE8F"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077AD7C3"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0EB41614"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2DBFC69F"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313394EF"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37049B79" w14:textId="77777777" w:rsidTr="002B733E">
        <w:trPr>
          <w:trHeight w:val="397"/>
          <w:jc w:val="center"/>
        </w:trPr>
        <w:tc>
          <w:tcPr>
            <w:tcW w:w="701" w:type="dxa"/>
            <w:vAlign w:val="center"/>
          </w:tcPr>
          <w:p w14:paraId="54A59A85" w14:textId="77777777" w:rsidR="002B733E" w:rsidRPr="00FD50F6" w:rsidRDefault="002B733E" w:rsidP="002B733E">
            <w:pPr>
              <w:pStyle w:val="7"/>
            </w:pPr>
            <w:r w:rsidRPr="00FD50F6">
              <w:rPr>
                <w:rFonts w:hint="eastAsia"/>
              </w:rPr>
              <w:t>X</w:t>
            </w:r>
          </w:p>
        </w:tc>
        <w:tc>
          <w:tcPr>
            <w:tcW w:w="756" w:type="dxa"/>
            <w:vAlign w:val="center"/>
          </w:tcPr>
          <w:p w14:paraId="7025B38F" w14:textId="77777777" w:rsidR="002B733E" w:rsidRPr="00FD50F6" w:rsidRDefault="002B733E" w:rsidP="002B733E">
            <w:pPr>
              <w:pStyle w:val="7"/>
              <w:rPr>
                <w:rFonts w:ascii="Calibri" w:hAnsi="Calibri"/>
              </w:rPr>
            </w:pPr>
            <w:r w:rsidRPr="00FD50F6">
              <w:rPr>
                <w:rFonts w:ascii="Calibri" w:hAnsi="Calibri" w:hint="eastAsia"/>
              </w:rPr>
              <w:t>0</w:t>
            </w:r>
          </w:p>
        </w:tc>
        <w:tc>
          <w:tcPr>
            <w:tcW w:w="756" w:type="dxa"/>
            <w:vAlign w:val="center"/>
          </w:tcPr>
          <w:p w14:paraId="71666D95" w14:textId="77777777" w:rsidR="002B733E" w:rsidRPr="00FD50F6" w:rsidRDefault="002B733E" w:rsidP="002B733E">
            <w:pPr>
              <w:pStyle w:val="7"/>
              <w:rPr>
                <w:rFonts w:ascii="Calibri" w:hAnsi="Calibri"/>
              </w:rPr>
            </w:pPr>
            <w:r w:rsidRPr="00FD50F6">
              <w:rPr>
                <w:rFonts w:ascii="Calibri" w:hAnsi="Calibri" w:hint="eastAsia"/>
              </w:rPr>
              <w:t>788</w:t>
            </w:r>
          </w:p>
        </w:tc>
        <w:tc>
          <w:tcPr>
            <w:tcW w:w="756" w:type="dxa"/>
            <w:vAlign w:val="center"/>
          </w:tcPr>
          <w:p w14:paraId="0186D80E" w14:textId="77777777" w:rsidR="002B733E" w:rsidRPr="00FD50F6" w:rsidRDefault="002B733E" w:rsidP="002B733E">
            <w:pPr>
              <w:pStyle w:val="7"/>
              <w:rPr>
                <w:rFonts w:ascii="Calibri" w:hAnsi="Calibri"/>
              </w:rPr>
            </w:pPr>
            <w:r w:rsidRPr="00FD50F6">
              <w:rPr>
                <w:rFonts w:ascii="Calibri" w:hAnsi="Calibri" w:hint="eastAsia"/>
              </w:rPr>
              <w:t>807</w:t>
            </w:r>
          </w:p>
        </w:tc>
        <w:tc>
          <w:tcPr>
            <w:tcW w:w="756" w:type="dxa"/>
            <w:vAlign w:val="center"/>
          </w:tcPr>
          <w:p w14:paraId="2D1B4C5B" w14:textId="77777777" w:rsidR="002B733E" w:rsidRPr="00FD50F6" w:rsidRDefault="002B733E" w:rsidP="002B733E">
            <w:pPr>
              <w:pStyle w:val="7"/>
              <w:rPr>
                <w:rFonts w:ascii="Calibri" w:hAnsi="Calibri"/>
              </w:rPr>
            </w:pPr>
            <w:r w:rsidRPr="00FD50F6">
              <w:rPr>
                <w:rFonts w:ascii="Calibri" w:hAnsi="Calibri" w:hint="eastAsia"/>
              </w:rPr>
              <w:t>891</w:t>
            </w:r>
          </w:p>
        </w:tc>
        <w:tc>
          <w:tcPr>
            <w:tcW w:w="756" w:type="dxa"/>
            <w:vAlign w:val="center"/>
          </w:tcPr>
          <w:p w14:paraId="0B4D0C8A" w14:textId="77777777" w:rsidR="002B733E" w:rsidRPr="00FD50F6" w:rsidRDefault="002B733E" w:rsidP="002B733E">
            <w:pPr>
              <w:pStyle w:val="7"/>
              <w:rPr>
                <w:rFonts w:ascii="Calibri" w:hAnsi="Calibri"/>
              </w:rPr>
            </w:pPr>
            <w:r w:rsidRPr="00FD50F6">
              <w:rPr>
                <w:rFonts w:ascii="Calibri" w:hAnsi="Calibri" w:hint="eastAsia"/>
              </w:rPr>
              <w:t>889</w:t>
            </w:r>
          </w:p>
        </w:tc>
        <w:tc>
          <w:tcPr>
            <w:tcW w:w="756" w:type="dxa"/>
            <w:vAlign w:val="center"/>
          </w:tcPr>
          <w:p w14:paraId="25E6C212" w14:textId="77777777" w:rsidR="002B733E" w:rsidRPr="00FD50F6" w:rsidRDefault="002B733E" w:rsidP="002B733E">
            <w:pPr>
              <w:pStyle w:val="7"/>
              <w:rPr>
                <w:rFonts w:ascii="Calibri" w:hAnsi="Calibri"/>
              </w:rPr>
            </w:pPr>
            <w:r w:rsidRPr="00FD50F6">
              <w:rPr>
                <w:rFonts w:ascii="Calibri" w:hAnsi="Calibri" w:hint="eastAsia"/>
              </w:rPr>
              <w:t>950</w:t>
            </w:r>
          </w:p>
        </w:tc>
        <w:tc>
          <w:tcPr>
            <w:tcW w:w="756" w:type="dxa"/>
            <w:vAlign w:val="center"/>
          </w:tcPr>
          <w:p w14:paraId="20AFE3A7" w14:textId="77777777" w:rsidR="002B733E" w:rsidRPr="00FD50F6" w:rsidRDefault="002B733E" w:rsidP="002B733E">
            <w:pPr>
              <w:pStyle w:val="7"/>
              <w:rPr>
                <w:rFonts w:ascii="Calibri" w:hAnsi="Calibri"/>
              </w:rPr>
            </w:pPr>
            <w:r w:rsidRPr="00FD50F6">
              <w:rPr>
                <w:rFonts w:ascii="Calibri" w:hAnsi="Calibri" w:hint="eastAsia"/>
              </w:rPr>
              <w:t>1195</w:t>
            </w:r>
          </w:p>
        </w:tc>
        <w:tc>
          <w:tcPr>
            <w:tcW w:w="756" w:type="dxa"/>
            <w:vAlign w:val="center"/>
          </w:tcPr>
          <w:p w14:paraId="16BD34DB" w14:textId="77777777" w:rsidR="002B733E" w:rsidRPr="00FD50F6" w:rsidRDefault="002B733E" w:rsidP="002B733E">
            <w:pPr>
              <w:pStyle w:val="7"/>
              <w:rPr>
                <w:rFonts w:ascii="Calibri" w:hAnsi="Calibri"/>
              </w:rPr>
            </w:pPr>
            <w:r w:rsidRPr="00FD50F6">
              <w:rPr>
                <w:rFonts w:ascii="Calibri" w:hAnsi="Calibri" w:hint="eastAsia"/>
              </w:rPr>
              <w:t>1455</w:t>
            </w:r>
          </w:p>
        </w:tc>
        <w:tc>
          <w:tcPr>
            <w:tcW w:w="756" w:type="dxa"/>
            <w:vAlign w:val="center"/>
          </w:tcPr>
          <w:p w14:paraId="73A173B5" w14:textId="77777777" w:rsidR="002B733E" w:rsidRPr="00FD50F6" w:rsidRDefault="002B733E" w:rsidP="002B733E">
            <w:pPr>
              <w:pStyle w:val="7"/>
              <w:rPr>
                <w:rFonts w:ascii="Calibri" w:hAnsi="Calibri"/>
              </w:rPr>
            </w:pPr>
            <w:r w:rsidRPr="00FD50F6">
              <w:rPr>
                <w:rFonts w:ascii="Calibri" w:hAnsi="Calibri" w:hint="eastAsia"/>
              </w:rPr>
              <w:t>1496</w:t>
            </w:r>
          </w:p>
        </w:tc>
        <w:tc>
          <w:tcPr>
            <w:tcW w:w="756" w:type="dxa"/>
            <w:vAlign w:val="center"/>
          </w:tcPr>
          <w:p w14:paraId="13E0ED84" w14:textId="77777777" w:rsidR="002B733E" w:rsidRPr="00FD50F6" w:rsidRDefault="002B733E" w:rsidP="002B733E">
            <w:pPr>
              <w:pStyle w:val="7"/>
              <w:rPr>
                <w:rFonts w:ascii="Calibri" w:hAnsi="Calibri"/>
              </w:rPr>
            </w:pPr>
            <w:r w:rsidRPr="00FD50F6">
              <w:rPr>
                <w:rFonts w:ascii="Calibri" w:hAnsi="Calibri" w:hint="eastAsia"/>
              </w:rPr>
              <w:t>1578</w:t>
            </w:r>
          </w:p>
        </w:tc>
      </w:tr>
      <w:tr w:rsidR="00FD50F6" w:rsidRPr="00FD50F6" w14:paraId="2B6BB976" w14:textId="77777777" w:rsidTr="002B733E">
        <w:trPr>
          <w:trHeight w:val="397"/>
          <w:jc w:val="center"/>
        </w:trPr>
        <w:tc>
          <w:tcPr>
            <w:tcW w:w="701" w:type="dxa"/>
            <w:vAlign w:val="center"/>
          </w:tcPr>
          <w:p w14:paraId="46CD457A" w14:textId="77777777" w:rsidR="002B733E" w:rsidRPr="00FD50F6" w:rsidRDefault="002B733E" w:rsidP="002B733E">
            <w:pPr>
              <w:pStyle w:val="7"/>
            </w:pPr>
            <w:r w:rsidRPr="00FD50F6">
              <w:rPr>
                <w:rFonts w:hint="eastAsia"/>
              </w:rPr>
              <w:t>Y</w:t>
            </w:r>
          </w:p>
        </w:tc>
        <w:tc>
          <w:tcPr>
            <w:tcW w:w="756" w:type="dxa"/>
            <w:vAlign w:val="center"/>
          </w:tcPr>
          <w:p w14:paraId="4BEF2EF7" w14:textId="77777777" w:rsidR="002B733E" w:rsidRPr="00FD50F6" w:rsidRDefault="002B733E" w:rsidP="002B733E">
            <w:pPr>
              <w:pStyle w:val="7"/>
              <w:rPr>
                <w:rFonts w:ascii="Calibri" w:hAnsi="Calibri"/>
              </w:rPr>
            </w:pPr>
            <w:r w:rsidRPr="00FD50F6">
              <w:rPr>
                <w:rFonts w:ascii="Calibri" w:hAnsi="Calibri" w:hint="eastAsia"/>
              </w:rPr>
              <w:t>3874</w:t>
            </w:r>
          </w:p>
        </w:tc>
        <w:tc>
          <w:tcPr>
            <w:tcW w:w="756" w:type="dxa"/>
            <w:vAlign w:val="center"/>
          </w:tcPr>
          <w:p w14:paraId="31E984CF" w14:textId="77777777" w:rsidR="002B733E" w:rsidRPr="00FD50F6" w:rsidRDefault="002B733E" w:rsidP="002B733E">
            <w:pPr>
              <w:pStyle w:val="7"/>
              <w:rPr>
                <w:rFonts w:ascii="Calibri" w:hAnsi="Calibri"/>
              </w:rPr>
            </w:pPr>
            <w:r w:rsidRPr="00FD50F6">
              <w:rPr>
                <w:rFonts w:ascii="Calibri" w:hAnsi="Calibri" w:hint="eastAsia"/>
              </w:rPr>
              <w:t>3879</w:t>
            </w:r>
          </w:p>
        </w:tc>
        <w:tc>
          <w:tcPr>
            <w:tcW w:w="756" w:type="dxa"/>
            <w:vAlign w:val="center"/>
          </w:tcPr>
          <w:p w14:paraId="6698D330" w14:textId="77777777" w:rsidR="002B733E" w:rsidRPr="00FD50F6" w:rsidRDefault="002B733E" w:rsidP="002B733E">
            <w:pPr>
              <w:pStyle w:val="7"/>
              <w:rPr>
                <w:rFonts w:ascii="Calibri" w:hAnsi="Calibri"/>
              </w:rPr>
            </w:pPr>
            <w:r w:rsidRPr="00FD50F6">
              <w:rPr>
                <w:rFonts w:ascii="Calibri" w:hAnsi="Calibri" w:hint="eastAsia"/>
              </w:rPr>
              <w:t>3879</w:t>
            </w:r>
          </w:p>
        </w:tc>
        <w:tc>
          <w:tcPr>
            <w:tcW w:w="756" w:type="dxa"/>
            <w:vAlign w:val="center"/>
          </w:tcPr>
          <w:p w14:paraId="0FEAB80D" w14:textId="77777777" w:rsidR="002B733E" w:rsidRPr="00FD50F6" w:rsidRDefault="002B733E" w:rsidP="002B733E">
            <w:pPr>
              <w:pStyle w:val="7"/>
              <w:rPr>
                <w:rFonts w:ascii="Calibri" w:hAnsi="Calibri"/>
              </w:rPr>
            </w:pPr>
            <w:r w:rsidRPr="00FD50F6">
              <w:rPr>
                <w:rFonts w:ascii="Calibri" w:hAnsi="Calibri" w:hint="eastAsia"/>
              </w:rPr>
              <w:t>3838</w:t>
            </w:r>
          </w:p>
        </w:tc>
        <w:tc>
          <w:tcPr>
            <w:tcW w:w="756" w:type="dxa"/>
            <w:vAlign w:val="center"/>
          </w:tcPr>
          <w:p w14:paraId="3AA37582" w14:textId="77777777" w:rsidR="002B733E" w:rsidRPr="00FD50F6" w:rsidRDefault="002B733E" w:rsidP="002B733E">
            <w:pPr>
              <w:pStyle w:val="7"/>
              <w:rPr>
                <w:rFonts w:ascii="Calibri" w:hAnsi="Calibri"/>
              </w:rPr>
            </w:pPr>
            <w:r w:rsidRPr="00FD50F6">
              <w:rPr>
                <w:rFonts w:ascii="Calibri" w:hAnsi="Calibri" w:hint="eastAsia"/>
              </w:rPr>
              <w:t>3765</w:t>
            </w:r>
          </w:p>
        </w:tc>
        <w:tc>
          <w:tcPr>
            <w:tcW w:w="756" w:type="dxa"/>
            <w:vAlign w:val="center"/>
          </w:tcPr>
          <w:p w14:paraId="2BDFCB34" w14:textId="77777777" w:rsidR="002B733E" w:rsidRPr="00FD50F6" w:rsidRDefault="002B733E" w:rsidP="002B733E">
            <w:pPr>
              <w:pStyle w:val="7"/>
              <w:rPr>
                <w:rFonts w:ascii="Calibri" w:hAnsi="Calibri"/>
              </w:rPr>
            </w:pPr>
            <w:r w:rsidRPr="00FD50F6">
              <w:rPr>
                <w:rFonts w:ascii="Calibri" w:hAnsi="Calibri" w:hint="eastAsia"/>
              </w:rPr>
              <w:t>3744</w:t>
            </w:r>
          </w:p>
        </w:tc>
        <w:tc>
          <w:tcPr>
            <w:tcW w:w="756" w:type="dxa"/>
            <w:vAlign w:val="center"/>
          </w:tcPr>
          <w:p w14:paraId="43834E9A" w14:textId="77777777" w:rsidR="002B733E" w:rsidRPr="00FD50F6" w:rsidRDefault="002B733E" w:rsidP="002B733E">
            <w:pPr>
              <w:pStyle w:val="7"/>
              <w:rPr>
                <w:rFonts w:ascii="Calibri" w:hAnsi="Calibri"/>
              </w:rPr>
            </w:pPr>
            <w:r w:rsidRPr="00FD50F6">
              <w:rPr>
                <w:rFonts w:ascii="Calibri" w:hAnsi="Calibri" w:hint="eastAsia"/>
              </w:rPr>
              <w:t>3593</w:t>
            </w:r>
          </w:p>
        </w:tc>
        <w:tc>
          <w:tcPr>
            <w:tcW w:w="756" w:type="dxa"/>
            <w:vAlign w:val="center"/>
          </w:tcPr>
          <w:p w14:paraId="1F6B3314" w14:textId="77777777" w:rsidR="002B733E" w:rsidRPr="00FD50F6" w:rsidRDefault="002B733E" w:rsidP="002B733E">
            <w:pPr>
              <w:pStyle w:val="7"/>
              <w:rPr>
                <w:rFonts w:ascii="Calibri" w:hAnsi="Calibri"/>
              </w:rPr>
            </w:pPr>
            <w:r w:rsidRPr="00FD50F6">
              <w:rPr>
                <w:rFonts w:ascii="Calibri" w:hAnsi="Calibri" w:hint="eastAsia"/>
              </w:rPr>
              <w:t>3432</w:t>
            </w:r>
          </w:p>
        </w:tc>
        <w:tc>
          <w:tcPr>
            <w:tcW w:w="756" w:type="dxa"/>
            <w:vAlign w:val="center"/>
          </w:tcPr>
          <w:p w14:paraId="6E934487" w14:textId="77777777" w:rsidR="002B733E" w:rsidRPr="00FD50F6" w:rsidRDefault="002B733E" w:rsidP="002B733E">
            <w:pPr>
              <w:pStyle w:val="7"/>
              <w:rPr>
                <w:rFonts w:ascii="Calibri" w:hAnsi="Calibri"/>
              </w:rPr>
            </w:pPr>
            <w:r w:rsidRPr="00FD50F6">
              <w:rPr>
                <w:rFonts w:ascii="Calibri" w:hAnsi="Calibri" w:hint="eastAsia"/>
              </w:rPr>
              <w:t>3342</w:t>
            </w:r>
          </w:p>
        </w:tc>
        <w:tc>
          <w:tcPr>
            <w:tcW w:w="756" w:type="dxa"/>
            <w:vAlign w:val="center"/>
          </w:tcPr>
          <w:p w14:paraId="22B8ED13" w14:textId="77777777" w:rsidR="002B733E" w:rsidRPr="00FD50F6" w:rsidRDefault="002B733E" w:rsidP="002B733E">
            <w:pPr>
              <w:pStyle w:val="7"/>
              <w:rPr>
                <w:rFonts w:ascii="Calibri" w:hAnsi="Calibri"/>
              </w:rPr>
            </w:pPr>
            <w:r w:rsidRPr="00FD50F6">
              <w:rPr>
                <w:rFonts w:ascii="Calibri" w:hAnsi="Calibri" w:hint="eastAsia"/>
              </w:rPr>
              <w:t>1001</w:t>
            </w:r>
          </w:p>
        </w:tc>
      </w:tr>
      <w:tr w:rsidR="00FD50F6" w:rsidRPr="00FD50F6" w14:paraId="2402DBD7" w14:textId="77777777" w:rsidTr="002B733E">
        <w:trPr>
          <w:trHeight w:val="397"/>
          <w:jc w:val="center"/>
        </w:trPr>
        <w:tc>
          <w:tcPr>
            <w:tcW w:w="701" w:type="dxa"/>
            <w:vAlign w:val="center"/>
          </w:tcPr>
          <w:p w14:paraId="5EB6A940" w14:textId="77777777" w:rsidR="002B733E" w:rsidRPr="00FD50F6" w:rsidRDefault="002B733E" w:rsidP="002B733E">
            <w:pPr>
              <w:pStyle w:val="7"/>
            </w:pPr>
            <w:r w:rsidRPr="00FD50F6">
              <w:rPr>
                <w:rFonts w:hint="eastAsia"/>
              </w:rPr>
              <w:t>点号</w:t>
            </w:r>
          </w:p>
        </w:tc>
        <w:tc>
          <w:tcPr>
            <w:tcW w:w="756" w:type="dxa"/>
            <w:vAlign w:val="center"/>
          </w:tcPr>
          <w:p w14:paraId="2087DDBC" w14:textId="77777777" w:rsidR="002B733E" w:rsidRPr="00FD50F6" w:rsidRDefault="002B733E" w:rsidP="002B733E">
            <w:pPr>
              <w:pStyle w:val="7"/>
              <w:rPr>
                <w:rFonts w:ascii="Calibri" w:hAnsi="Calibri"/>
                <w:b/>
              </w:rPr>
            </w:pPr>
            <w:r w:rsidRPr="00FD50F6">
              <w:rPr>
                <w:rFonts w:ascii="Calibri" w:hAnsi="Calibri" w:hint="eastAsia"/>
                <w:b/>
              </w:rPr>
              <w:t>9</w:t>
            </w:r>
            <w:r w:rsidRPr="00FD50F6">
              <w:rPr>
                <w:rFonts w:ascii="Calibri" w:hAnsi="Calibri" w:hint="eastAsia"/>
                <w:b/>
              </w:rPr>
              <w:t>’</w:t>
            </w:r>
          </w:p>
        </w:tc>
        <w:tc>
          <w:tcPr>
            <w:tcW w:w="756" w:type="dxa"/>
            <w:vAlign w:val="center"/>
          </w:tcPr>
          <w:p w14:paraId="175234D7" w14:textId="77777777" w:rsidR="002B733E" w:rsidRPr="00FD50F6" w:rsidRDefault="002B733E" w:rsidP="002B733E">
            <w:pPr>
              <w:pStyle w:val="7"/>
              <w:rPr>
                <w:rFonts w:ascii="Calibri" w:hAnsi="Calibri"/>
                <w:b/>
              </w:rPr>
            </w:pPr>
            <w:r w:rsidRPr="00FD50F6">
              <w:rPr>
                <w:rFonts w:ascii="Calibri" w:hAnsi="Calibri" w:hint="eastAsia"/>
                <w:b/>
              </w:rPr>
              <w:t>10</w:t>
            </w:r>
            <w:r w:rsidRPr="00FD50F6">
              <w:rPr>
                <w:rFonts w:ascii="Calibri" w:hAnsi="Calibri" w:hint="eastAsia"/>
                <w:b/>
              </w:rPr>
              <w:t>’</w:t>
            </w:r>
          </w:p>
        </w:tc>
        <w:tc>
          <w:tcPr>
            <w:tcW w:w="756" w:type="dxa"/>
            <w:vAlign w:val="center"/>
          </w:tcPr>
          <w:p w14:paraId="47C1D0C8" w14:textId="77777777" w:rsidR="002B733E" w:rsidRPr="00FD50F6" w:rsidRDefault="002B733E" w:rsidP="002B733E">
            <w:pPr>
              <w:pStyle w:val="7"/>
              <w:rPr>
                <w:rFonts w:ascii="Calibri" w:hAnsi="Calibri"/>
                <w:b/>
              </w:rPr>
            </w:pPr>
            <w:r w:rsidRPr="00FD50F6">
              <w:rPr>
                <w:rFonts w:ascii="Calibri" w:hAnsi="Calibri" w:hint="eastAsia"/>
                <w:b/>
              </w:rPr>
              <w:t>11</w:t>
            </w:r>
            <w:r w:rsidRPr="00FD50F6">
              <w:rPr>
                <w:rFonts w:ascii="Calibri" w:hAnsi="Calibri" w:hint="eastAsia"/>
                <w:b/>
              </w:rPr>
              <w:t>’</w:t>
            </w:r>
          </w:p>
        </w:tc>
        <w:tc>
          <w:tcPr>
            <w:tcW w:w="756" w:type="dxa"/>
            <w:vAlign w:val="center"/>
          </w:tcPr>
          <w:p w14:paraId="717356BB" w14:textId="77777777" w:rsidR="002B733E" w:rsidRPr="00FD50F6" w:rsidRDefault="002B733E" w:rsidP="002B733E">
            <w:pPr>
              <w:pStyle w:val="7"/>
              <w:rPr>
                <w:rFonts w:ascii="Calibri" w:hAnsi="Calibri"/>
                <w:b/>
              </w:rPr>
            </w:pPr>
            <w:r w:rsidRPr="00FD50F6">
              <w:rPr>
                <w:rFonts w:ascii="Calibri" w:hAnsi="Calibri" w:hint="eastAsia"/>
                <w:b/>
              </w:rPr>
              <w:t>12</w:t>
            </w:r>
            <w:r w:rsidRPr="00FD50F6">
              <w:rPr>
                <w:rFonts w:ascii="Calibri" w:hAnsi="Calibri" w:hint="eastAsia"/>
                <w:b/>
              </w:rPr>
              <w:t>’</w:t>
            </w:r>
          </w:p>
        </w:tc>
        <w:tc>
          <w:tcPr>
            <w:tcW w:w="756" w:type="dxa"/>
            <w:vAlign w:val="center"/>
          </w:tcPr>
          <w:p w14:paraId="70D3281C" w14:textId="77777777" w:rsidR="002B733E" w:rsidRPr="00FD50F6" w:rsidRDefault="002B733E" w:rsidP="002B733E">
            <w:pPr>
              <w:pStyle w:val="7"/>
              <w:rPr>
                <w:rFonts w:ascii="Calibri" w:hAnsi="Calibri"/>
                <w:b/>
              </w:rPr>
            </w:pPr>
            <w:r w:rsidRPr="00FD50F6">
              <w:rPr>
                <w:rFonts w:ascii="Calibri" w:hAnsi="Calibri" w:hint="eastAsia"/>
                <w:b/>
              </w:rPr>
              <w:t>14</w:t>
            </w:r>
            <w:r w:rsidRPr="00FD50F6">
              <w:rPr>
                <w:rFonts w:ascii="Calibri" w:hAnsi="Calibri" w:hint="eastAsia"/>
                <w:b/>
              </w:rPr>
              <w:t>’</w:t>
            </w:r>
          </w:p>
        </w:tc>
        <w:tc>
          <w:tcPr>
            <w:tcW w:w="756" w:type="dxa"/>
            <w:vAlign w:val="center"/>
          </w:tcPr>
          <w:p w14:paraId="6FB6B4D4" w14:textId="77777777" w:rsidR="002B733E" w:rsidRPr="00FD50F6" w:rsidRDefault="002B733E" w:rsidP="002B733E">
            <w:pPr>
              <w:pStyle w:val="7"/>
              <w:rPr>
                <w:rFonts w:ascii="Calibri" w:hAnsi="Calibri"/>
                <w:b/>
              </w:rPr>
            </w:pPr>
            <w:r w:rsidRPr="00FD50F6">
              <w:rPr>
                <w:rFonts w:ascii="Calibri" w:hAnsi="Calibri" w:hint="eastAsia"/>
                <w:b/>
              </w:rPr>
              <w:t>15</w:t>
            </w:r>
            <w:r w:rsidRPr="00FD50F6">
              <w:rPr>
                <w:rFonts w:ascii="Calibri" w:hAnsi="Calibri" w:hint="eastAsia"/>
                <w:b/>
              </w:rPr>
              <w:t>’</w:t>
            </w:r>
          </w:p>
        </w:tc>
        <w:tc>
          <w:tcPr>
            <w:tcW w:w="756" w:type="dxa"/>
            <w:vAlign w:val="center"/>
          </w:tcPr>
          <w:p w14:paraId="4F441031" w14:textId="77777777" w:rsidR="002B733E" w:rsidRPr="00FD50F6" w:rsidRDefault="002B733E" w:rsidP="002B733E">
            <w:pPr>
              <w:pStyle w:val="7"/>
              <w:rPr>
                <w:rFonts w:ascii="Calibri" w:hAnsi="Calibri"/>
                <w:b/>
              </w:rPr>
            </w:pPr>
            <w:r w:rsidRPr="00FD50F6">
              <w:rPr>
                <w:rFonts w:ascii="Calibri" w:hAnsi="Calibri" w:hint="eastAsia"/>
                <w:b/>
              </w:rPr>
              <w:t>16</w:t>
            </w:r>
            <w:r w:rsidRPr="00FD50F6">
              <w:rPr>
                <w:rFonts w:ascii="Calibri" w:hAnsi="Calibri" w:hint="eastAsia"/>
                <w:b/>
              </w:rPr>
              <w:t>’</w:t>
            </w:r>
          </w:p>
        </w:tc>
        <w:tc>
          <w:tcPr>
            <w:tcW w:w="756" w:type="dxa"/>
            <w:vAlign w:val="center"/>
          </w:tcPr>
          <w:p w14:paraId="012E064A" w14:textId="77777777" w:rsidR="002B733E" w:rsidRPr="00FD50F6" w:rsidRDefault="002B733E" w:rsidP="002B733E">
            <w:pPr>
              <w:pStyle w:val="7"/>
              <w:rPr>
                <w:rFonts w:ascii="Calibri" w:hAnsi="Calibri"/>
                <w:b/>
              </w:rPr>
            </w:pPr>
            <w:r w:rsidRPr="00FD50F6">
              <w:rPr>
                <w:rFonts w:ascii="Calibri" w:hAnsi="Calibri" w:hint="eastAsia"/>
                <w:b/>
              </w:rPr>
              <w:t>17</w:t>
            </w:r>
            <w:r w:rsidRPr="00FD50F6">
              <w:rPr>
                <w:rFonts w:ascii="Calibri" w:hAnsi="Calibri" w:hint="eastAsia"/>
                <w:b/>
              </w:rPr>
              <w:t>’</w:t>
            </w:r>
          </w:p>
        </w:tc>
        <w:tc>
          <w:tcPr>
            <w:tcW w:w="756" w:type="dxa"/>
            <w:vAlign w:val="center"/>
          </w:tcPr>
          <w:p w14:paraId="5DB3FA3B" w14:textId="77777777" w:rsidR="002B733E" w:rsidRPr="00FD50F6" w:rsidRDefault="002B733E" w:rsidP="002B733E">
            <w:pPr>
              <w:pStyle w:val="7"/>
              <w:rPr>
                <w:rFonts w:ascii="Calibri" w:hAnsi="Calibri"/>
                <w:b/>
              </w:rPr>
            </w:pPr>
            <w:r w:rsidRPr="00FD50F6">
              <w:rPr>
                <w:rFonts w:ascii="Calibri" w:hAnsi="Calibri" w:hint="eastAsia"/>
                <w:b/>
              </w:rPr>
              <w:t>18</w:t>
            </w:r>
            <w:r w:rsidRPr="00FD50F6">
              <w:rPr>
                <w:rFonts w:ascii="Calibri" w:hAnsi="Calibri" w:hint="eastAsia"/>
                <w:b/>
              </w:rPr>
              <w:t>’</w:t>
            </w:r>
          </w:p>
        </w:tc>
        <w:tc>
          <w:tcPr>
            <w:tcW w:w="756" w:type="dxa"/>
            <w:vAlign w:val="center"/>
          </w:tcPr>
          <w:p w14:paraId="5C938FDC" w14:textId="77777777" w:rsidR="002B733E" w:rsidRPr="00FD50F6" w:rsidRDefault="002B733E" w:rsidP="002B733E">
            <w:pPr>
              <w:pStyle w:val="7"/>
              <w:rPr>
                <w:rFonts w:ascii="Calibri" w:hAnsi="Calibri"/>
                <w:b/>
              </w:rPr>
            </w:pPr>
            <w:r w:rsidRPr="00FD50F6">
              <w:rPr>
                <w:rFonts w:ascii="Calibri" w:hAnsi="Calibri" w:hint="eastAsia"/>
                <w:b/>
              </w:rPr>
              <w:t>19</w:t>
            </w:r>
            <w:r w:rsidRPr="00FD50F6">
              <w:rPr>
                <w:rFonts w:ascii="Calibri" w:hAnsi="Calibri" w:hint="eastAsia"/>
                <w:b/>
              </w:rPr>
              <w:t>’</w:t>
            </w:r>
          </w:p>
        </w:tc>
      </w:tr>
      <w:tr w:rsidR="00FD50F6" w:rsidRPr="00FD50F6" w14:paraId="7B3ED137" w14:textId="77777777" w:rsidTr="002B733E">
        <w:trPr>
          <w:trHeight w:val="397"/>
          <w:jc w:val="center"/>
        </w:trPr>
        <w:tc>
          <w:tcPr>
            <w:tcW w:w="701" w:type="dxa"/>
            <w:vAlign w:val="center"/>
          </w:tcPr>
          <w:p w14:paraId="1CB896AF" w14:textId="77777777" w:rsidR="002B733E" w:rsidRPr="00FD50F6" w:rsidRDefault="002B733E" w:rsidP="002B733E">
            <w:pPr>
              <w:pStyle w:val="7"/>
            </w:pPr>
            <w:r w:rsidRPr="00FD50F6">
              <w:rPr>
                <w:rFonts w:hint="eastAsia"/>
              </w:rPr>
              <w:t>X</w:t>
            </w:r>
          </w:p>
        </w:tc>
        <w:tc>
          <w:tcPr>
            <w:tcW w:w="756" w:type="dxa"/>
            <w:vAlign w:val="center"/>
          </w:tcPr>
          <w:p w14:paraId="7079674D" w14:textId="77777777" w:rsidR="002B733E" w:rsidRPr="00FD50F6" w:rsidRDefault="002B733E" w:rsidP="002B733E">
            <w:pPr>
              <w:pStyle w:val="7"/>
              <w:rPr>
                <w:rFonts w:ascii="Calibri" w:hAnsi="Calibri"/>
              </w:rPr>
            </w:pPr>
            <w:r w:rsidRPr="00FD50F6">
              <w:rPr>
                <w:rFonts w:ascii="Calibri" w:hAnsi="Calibri" w:hint="eastAsia"/>
              </w:rPr>
              <w:t>1562</w:t>
            </w:r>
          </w:p>
        </w:tc>
        <w:tc>
          <w:tcPr>
            <w:tcW w:w="756" w:type="dxa"/>
            <w:vAlign w:val="center"/>
          </w:tcPr>
          <w:p w14:paraId="7C7CE9DC" w14:textId="77777777" w:rsidR="002B733E" w:rsidRPr="00FD50F6" w:rsidRDefault="002B733E" w:rsidP="002B733E">
            <w:pPr>
              <w:pStyle w:val="7"/>
              <w:rPr>
                <w:rFonts w:ascii="Calibri" w:hAnsi="Calibri"/>
              </w:rPr>
            </w:pPr>
            <w:r w:rsidRPr="00FD50F6">
              <w:rPr>
                <w:rFonts w:ascii="Calibri" w:hAnsi="Calibri" w:hint="eastAsia"/>
              </w:rPr>
              <w:t>1555</w:t>
            </w:r>
          </w:p>
        </w:tc>
        <w:tc>
          <w:tcPr>
            <w:tcW w:w="756" w:type="dxa"/>
            <w:vAlign w:val="center"/>
          </w:tcPr>
          <w:p w14:paraId="5F24848C" w14:textId="77777777" w:rsidR="002B733E" w:rsidRPr="00FD50F6" w:rsidRDefault="002B733E" w:rsidP="002B733E">
            <w:pPr>
              <w:pStyle w:val="7"/>
              <w:rPr>
                <w:rFonts w:ascii="Calibri" w:hAnsi="Calibri"/>
              </w:rPr>
            </w:pPr>
            <w:r w:rsidRPr="00FD50F6">
              <w:rPr>
                <w:rFonts w:ascii="Calibri" w:hAnsi="Calibri" w:hint="eastAsia"/>
              </w:rPr>
              <w:t>1521</w:t>
            </w:r>
          </w:p>
        </w:tc>
        <w:tc>
          <w:tcPr>
            <w:tcW w:w="756" w:type="dxa"/>
            <w:vAlign w:val="center"/>
          </w:tcPr>
          <w:p w14:paraId="16FDD0CB" w14:textId="77777777" w:rsidR="002B733E" w:rsidRPr="00FD50F6" w:rsidRDefault="002B733E" w:rsidP="002B733E">
            <w:pPr>
              <w:pStyle w:val="7"/>
              <w:rPr>
                <w:rFonts w:ascii="Calibri" w:hAnsi="Calibri"/>
              </w:rPr>
            </w:pPr>
            <w:r w:rsidRPr="00FD50F6">
              <w:rPr>
                <w:rFonts w:ascii="Calibri" w:hAnsi="Calibri" w:hint="eastAsia"/>
              </w:rPr>
              <w:t>1431</w:t>
            </w:r>
          </w:p>
        </w:tc>
        <w:tc>
          <w:tcPr>
            <w:tcW w:w="756" w:type="dxa"/>
            <w:vAlign w:val="center"/>
          </w:tcPr>
          <w:p w14:paraId="223FBEBC" w14:textId="77777777" w:rsidR="002B733E" w:rsidRPr="00FD50F6" w:rsidRDefault="002B733E" w:rsidP="002B733E">
            <w:pPr>
              <w:pStyle w:val="7"/>
              <w:rPr>
                <w:rFonts w:ascii="Calibri" w:hAnsi="Calibri"/>
              </w:rPr>
            </w:pPr>
            <w:r w:rsidRPr="00FD50F6">
              <w:rPr>
                <w:rFonts w:ascii="Calibri" w:hAnsi="Calibri" w:hint="eastAsia"/>
              </w:rPr>
              <w:t>1059</w:t>
            </w:r>
          </w:p>
        </w:tc>
        <w:tc>
          <w:tcPr>
            <w:tcW w:w="756" w:type="dxa"/>
            <w:vAlign w:val="center"/>
          </w:tcPr>
          <w:p w14:paraId="0284F49D" w14:textId="77777777" w:rsidR="002B733E" w:rsidRPr="00FD50F6" w:rsidRDefault="002B733E" w:rsidP="002B733E">
            <w:pPr>
              <w:pStyle w:val="7"/>
              <w:rPr>
                <w:rFonts w:ascii="Calibri" w:hAnsi="Calibri"/>
              </w:rPr>
            </w:pPr>
            <w:r w:rsidRPr="00FD50F6">
              <w:rPr>
                <w:rFonts w:ascii="Calibri" w:hAnsi="Calibri" w:hint="eastAsia"/>
              </w:rPr>
              <w:t>1018</w:t>
            </w:r>
          </w:p>
        </w:tc>
        <w:tc>
          <w:tcPr>
            <w:tcW w:w="756" w:type="dxa"/>
            <w:vAlign w:val="center"/>
          </w:tcPr>
          <w:p w14:paraId="41A8D4FF" w14:textId="77777777" w:rsidR="002B733E" w:rsidRPr="00FD50F6" w:rsidRDefault="002B733E" w:rsidP="002B733E">
            <w:pPr>
              <w:pStyle w:val="7"/>
              <w:rPr>
                <w:rFonts w:ascii="Calibri" w:hAnsi="Calibri"/>
              </w:rPr>
            </w:pPr>
            <w:r w:rsidRPr="00FD50F6">
              <w:rPr>
                <w:rFonts w:ascii="Calibri" w:hAnsi="Calibri" w:hint="eastAsia"/>
              </w:rPr>
              <w:t>996</w:t>
            </w:r>
          </w:p>
        </w:tc>
        <w:tc>
          <w:tcPr>
            <w:tcW w:w="756" w:type="dxa"/>
            <w:vAlign w:val="center"/>
          </w:tcPr>
          <w:p w14:paraId="050009B1" w14:textId="77777777" w:rsidR="002B733E" w:rsidRPr="00FD50F6" w:rsidRDefault="002B733E" w:rsidP="002B733E">
            <w:pPr>
              <w:pStyle w:val="7"/>
              <w:rPr>
                <w:rFonts w:ascii="Calibri" w:hAnsi="Calibri"/>
              </w:rPr>
            </w:pPr>
            <w:r w:rsidRPr="00FD50F6">
              <w:rPr>
                <w:rFonts w:ascii="Calibri" w:hAnsi="Calibri" w:hint="eastAsia"/>
              </w:rPr>
              <w:t>998</w:t>
            </w:r>
          </w:p>
        </w:tc>
        <w:tc>
          <w:tcPr>
            <w:tcW w:w="756" w:type="dxa"/>
            <w:vAlign w:val="center"/>
          </w:tcPr>
          <w:p w14:paraId="6D80879E" w14:textId="77777777" w:rsidR="002B733E" w:rsidRPr="00FD50F6" w:rsidRDefault="002B733E" w:rsidP="002B733E">
            <w:pPr>
              <w:pStyle w:val="7"/>
              <w:rPr>
                <w:rFonts w:ascii="Calibri" w:hAnsi="Calibri"/>
              </w:rPr>
            </w:pPr>
            <w:r w:rsidRPr="00FD50F6">
              <w:rPr>
                <w:rFonts w:ascii="Calibri" w:hAnsi="Calibri" w:hint="eastAsia"/>
              </w:rPr>
              <w:t>840</w:t>
            </w:r>
          </w:p>
        </w:tc>
        <w:tc>
          <w:tcPr>
            <w:tcW w:w="756" w:type="dxa"/>
            <w:vAlign w:val="center"/>
          </w:tcPr>
          <w:p w14:paraId="76DF9AB4" w14:textId="77777777" w:rsidR="002B733E" w:rsidRPr="00FD50F6" w:rsidRDefault="002B733E" w:rsidP="002B733E">
            <w:pPr>
              <w:pStyle w:val="7"/>
              <w:rPr>
                <w:rFonts w:ascii="Calibri" w:hAnsi="Calibri"/>
              </w:rPr>
            </w:pPr>
            <w:r w:rsidRPr="00FD50F6">
              <w:rPr>
                <w:rFonts w:ascii="Calibri" w:hAnsi="Calibri" w:hint="eastAsia"/>
              </w:rPr>
              <w:t>840</w:t>
            </w:r>
          </w:p>
        </w:tc>
      </w:tr>
      <w:tr w:rsidR="00FD50F6" w:rsidRPr="00FD50F6" w14:paraId="2BA261A6" w14:textId="77777777" w:rsidTr="002B733E">
        <w:trPr>
          <w:trHeight w:val="397"/>
          <w:jc w:val="center"/>
        </w:trPr>
        <w:tc>
          <w:tcPr>
            <w:tcW w:w="701" w:type="dxa"/>
            <w:vAlign w:val="center"/>
          </w:tcPr>
          <w:p w14:paraId="33ED257D" w14:textId="77777777" w:rsidR="002B733E" w:rsidRPr="00FD50F6" w:rsidRDefault="002B733E" w:rsidP="002B733E">
            <w:pPr>
              <w:pStyle w:val="7"/>
            </w:pPr>
            <w:r w:rsidRPr="00FD50F6">
              <w:rPr>
                <w:rFonts w:hint="eastAsia"/>
              </w:rPr>
              <w:t>Y</w:t>
            </w:r>
          </w:p>
        </w:tc>
        <w:tc>
          <w:tcPr>
            <w:tcW w:w="756" w:type="dxa"/>
            <w:vAlign w:val="center"/>
          </w:tcPr>
          <w:p w14:paraId="2BC405A7" w14:textId="77777777" w:rsidR="002B733E" w:rsidRPr="00FD50F6" w:rsidRDefault="002B733E" w:rsidP="002B733E">
            <w:pPr>
              <w:pStyle w:val="7"/>
              <w:rPr>
                <w:rFonts w:ascii="Calibri" w:hAnsi="Calibri"/>
              </w:rPr>
            </w:pPr>
            <w:r w:rsidRPr="00FD50F6">
              <w:rPr>
                <w:rFonts w:ascii="Calibri" w:hAnsi="Calibri" w:hint="eastAsia"/>
              </w:rPr>
              <w:t>801</w:t>
            </w:r>
          </w:p>
        </w:tc>
        <w:tc>
          <w:tcPr>
            <w:tcW w:w="756" w:type="dxa"/>
            <w:vAlign w:val="center"/>
          </w:tcPr>
          <w:p w14:paraId="1A1997F6" w14:textId="77777777" w:rsidR="002B733E" w:rsidRPr="00FD50F6" w:rsidRDefault="002B733E" w:rsidP="002B733E">
            <w:pPr>
              <w:pStyle w:val="7"/>
              <w:rPr>
                <w:rFonts w:ascii="Calibri" w:hAnsi="Calibri"/>
              </w:rPr>
            </w:pPr>
            <w:r w:rsidRPr="00FD50F6">
              <w:rPr>
                <w:rFonts w:ascii="Calibri" w:hAnsi="Calibri" w:hint="eastAsia"/>
              </w:rPr>
              <w:t>769</w:t>
            </w:r>
          </w:p>
        </w:tc>
        <w:tc>
          <w:tcPr>
            <w:tcW w:w="756" w:type="dxa"/>
            <w:vAlign w:val="center"/>
          </w:tcPr>
          <w:p w14:paraId="62E765FF" w14:textId="77777777" w:rsidR="002B733E" w:rsidRPr="00FD50F6" w:rsidRDefault="002B733E" w:rsidP="002B733E">
            <w:pPr>
              <w:pStyle w:val="7"/>
              <w:rPr>
                <w:rFonts w:ascii="Calibri" w:hAnsi="Calibri"/>
              </w:rPr>
            </w:pPr>
            <w:r w:rsidRPr="00FD50F6">
              <w:rPr>
                <w:rFonts w:ascii="Calibri" w:hAnsi="Calibri" w:hint="eastAsia"/>
              </w:rPr>
              <w:t>595</w:t>
            </w:r>
          </w:p>
        </w:tc>
        <w:tc>
          <w:tcPr>
            <w:tcW w:w="756" w:type="dxa"/>
            <w:vAlign w:val="center"/>
          </w:tcPr>
          <w:p w14:paraId="6240D93A" w14:textId="77777777" w:rsidR="002B733E" w:rsidRPr="00FD50F6" w:rsidRDefault="002B733E" w:rsidP="002B733E">
            <w:pPr>
              <w:pStyle w:val="7"/>
              <w:rPr>
                <w:rFonts w:ascii="Calibri" w:hAnsi="Calibri"/>
              </w:rPr>
            </w:pPr>
            <w:r w:rsidRPr="00FD50F6">
              <w:rPr>
                <w:rFonts w:ascii="Calibri" w:hAnsi="Calibri" w:hint="eastAsia"/>
              </w:rPr>
              <w:t>597</w:t>
            </w:r>
          </w:p>
        </w:tc>
        <w:tc>
          <w:tcPr>
            <w:tcW w:w="756" w:type="dxa"/>
            <w:vAlign w:val="center"/>
          </w:tcPr>
          <w:p w14:paraId="6CDA6DFE" w14:textId="77777777" w:rsidR="002B733E" w:rsidRPr="00FD50F6" w:rsidRDefault="002B733E" w:rsidP="002B733E">
            <w:pPr>
              <w:pStyle w:val="7"/>
              <w:rPr>
                <w:rFonts w:ascii="Calibri" w:hAnsi="Calibri"/>
              </w:rPr>
            </w:pPr>
            <w:r w:rsidRPr="00FD50F6">
              <w:rPr>
                <w:rFonts w:ascii="Calibri" w:hAnsi="Calibri" w:hint="eastAsia"/>
              </w:rPr>
              <w:t>101</w:t>
            </w:r>
          </w:p>
        </w:tc>
        <w:tc>
          <w:tcPr>
            <w:tcW w:w="756" w:type="dxa"/>
            <w:vAlign w:val="center"/>
          </w:tcPr>
          <w:p w14:paraId="12BAA702" w14:textId="77777777" w:rsidR="002B733E" w:rsidRPr="00FD50F6" w:rsidRDefault="002B733E" w:rsidP="002B733E">
            <w:pPr>
              <w:pStyle w:val="7"/>
              <w:rPr>
                <w:rFonts w:ascii="Calibri" w:hAnsi="Calibri"/>
              </w:rPr>
            </w:pPr>
            <w:r w:rsidRPr="00FD50F6">
              <w:rPr>
                <w:rFonts w:ascii="Calibri" w:hAnsi="Calibri" w:hint="eastAsia"/>
              </w:rPr>
              <w:t>103</w:t>
            </w:r>
          </w:p>
        </w:tc>
        <w:tc>
          <w:tcPr>
            <w:tcW w:w="756" w:type="dxa"/>
            <w:vAlign w:val="center"/>
          </w:tcPr>
          <w:p w14:paraId="1DA5A36A" w14:textId="77777777" w:rsidR="002B733E" w:rsidRPr="00FD50F6" w:rsidRDefault="002B733E" w:rsidP="002B733E">
            <w:pPr>
              <w:pStyle w:val="7"/>
              <w:rPr>
                <w:rFonts w:ascii="Calibri" w:hAnsi="Calibri"/>
              </w:rPr>
            </w:pPr>
            <w:r w:rsidRPr="00FD50F6">
              <w:rPr>
                <w:rFonts w:ascii="Calibri" w:hAnsi="Calibri" w:hint="eastAsia"/>
              </w:rPr>
              <w:t>98</w:t>
            </w:r>
          </w:p>
        </w:tc>
        <w:tc>
          <w:tcPr>
            <w:tcW w:w="756" w:type="dxa"/>
            <w:vAlign w:val="center"/>
          </w:tcPr>
          <w:p w14:paraId="767AC902" w14:textId="77777777" w:rsidR="002B733E" w:rsidRPr="00FD50F6" w:rsidRDefault="002B733E" w:rsidP="002B733E">
            <w:pPr>
              <w:pStyle w:val="7"/>
              <w:rPr>
                <w:rFonts w:ascii="Calibri" w:hAnsi="Calibri"/>
              </w:rPr>
            </w:pPr>
            <w:r w:rsidRPr="00FD50F6">
              <w:rPr>
                <w:rFonts w:ascii="Calibri" w:hAnsi="Calibri" w:hint="eastAsia"/>
              </w:rPr>
              <w:t>98</w:t>
            </w:r>
          </w:p>
        </w:tc>
        <w:tc>
          <w:tcPr>
            <w:tcW w:w="756" w:type="dxa"/>
            <w:vAlign w:val="center"/>
          </w:tcPr>
          <w:p w14:paraId="5F7E5812" w14:textId="77777777" w:rsidR="002B733E" w:rsidRPr="00FD50F6" w:rsidRDefault="002B733E" w:rsidP="002B733E">
            <w:pPr>
              <w:pStyle w:val="7"/>
              <w:rPr>
                <w:rFonts w:ascii="Calibri" w:hAnsi="Calibri"/>
              </w:rPr>
            </w:pPr>
            <w:r w:rsidRPr="00FD50F6">
              <w:rPr>
                <w:rFonts w:ascii="Calibri" w:hAnsi="Calibri" w:hint="eastAsia"/>
              </w:rPr>
              <w:t>99</w:t>
            </w:r>
          </w:p>
        </w:tc>
        <w:tc>
          <w:tcPr>
            <w:tcW w:w="756" w:type="dxa"/>
            <w:vAlign w:val="center"/>
          </w:tcPr>
          <w:p w14:paraId="0D059E9B" w14:textId="77777777" w:rsidR="002B733E" w:rsidRPr="00FD50F6" w:rsidRDefault="002B733E" w:rsidP="002B733E">
            <w:pPr>
              <w:pStyle w:val="7"/>
              <w:rPr>
                <w:rFonts w:ascii="Calibri" w:hAnsi="Calibri"/>
              </w:rPr>
            </w:pPr>
            <w:r w:rsidRPr="00FD50F6">
              <w:rPr>
                <w:rFonts w:ascii="Calibri" w:hAnsi="Calibri" w:hint="eastAsia"/>
              </w:rPr>
              <w:t>-16</w:t>
            </w:r>
          </w:p>
        </w:tc>
      </w:tr>
      <w:tr w:rsidR="00FD50F6" w:rsidRPr="00FD50F6" w14:paraId="478096F3" w14:textId="77777777" w:rsidTr="002B733E">
        <w:trPr>
          <w:trHeight w:val="397"/>
          <w:jc w:val="center"/>
        </w:trPr>
        <w:tc>
          <w:tcPr>
            <w:tcW w:w="701" w:type="dxa"/>
            <w:vAlign w:val="center"/>
          </w:tcPr>
          <w:p w14:paraId="0F88DFC5" w14:textId="77777777" w:rsidR="002B733E" w:rsidRPr="00FD50F6" w:rsidRDefault="002B733E" w:rsidP="002B733E">
            <w:pPr>
              <w:pStyle w:val="7"/>
            </w:pPr>
            <w:r w:rsidRPr="00FD50F6">
              <w:rPr>
                <w:rFonts w:hint="eastAsia"/>
              </w:rPr>
              <w:t>点号</w:t>
            </w:r>
          </w:p>
        </w:tc>
        <w:tc>
          <w:tcPr>
            <w:tcW w:w="756" w:type="dxa"/>
            <w:vAlign w:val="center"/>
          </w:tcPr>
          <w:p w14:paraId="10FD4077" w14:textId="77777777" w:rsidR="002B733E" w:rsidRPr="00FD50F6" w:rsidRDefault="002B733E" w:rsidP="002B733E">
            <w:pPr>
              <w:pStyle w:val="7"/>
              <w:rPr>
                <w:rFonts w:ascii="Calibri" w:hAnsi="Calibri"/>
                <w:b/>
              </w:rPr>
            </w:pPr>
            <w:r w:rsidRPr="00FD50F6">
              <w:rPr>
                <w:rFonts w:ascii="Calibri" w:hAnsi="Calibri" w:hint="eastAsia"/>
                <w:b/>
              </w:rPr>
              <w:t>20</w:t>
            </w:r>
            <w:r w:rsidRPr="00FD50F6">
              <w:rPr>
                <w:rFonts w:ascii="Calibri" w:hAnsi="Calibri" w:hint="eastAsia"/>
                <w:b/>
              </w:rPr>
              <w:t>’</w:t>
            </w:r>
          </w:p>
        </w:tc>
        <w:tc>
          <w:tcPr>
            <w:tcW w:w="756" w:type="dxa"/>
            <w:vAlign w:val="center"/>
          </w:tcPr>
          <w:p w14:paraId="5E9EDC09" w14:textId="77777777" w:rsidR="002B733E" w:rsidRPr="00FD50F6" w:rsidRDefault="002B733E" w:rsidP="002B733E">
            <w:pPr>
              <w:pStyle w:val="7"/>
              <w:rPr>
                <w:rFonts w:ascii="Calibri" w:hAnsi="Calibri"/>
                <w:b/>
              </w:rPr>
            </w:pPr>
            <w:r w:rsidRPr="00FD50F6">
              <w:rPr>
                <w:rFonts w:ascii="Calibri" w:hAnsi="Calibri" w:hint="eastAsia"/>
                <w:b/>
              </w:rPr>
              <w:t>21</w:t>
            </w:r>
            <w:r w:rsidRPr="00FD50F6">
              <w:rPr>
                <w:rFonts w:ascii="Calibri" w:hAnsi="Calibri" w:hint="eastAsia"/>
                <w:b/>
              </w:rPr>
              <w:t>’</w:t>
            </w:r>
          </w:p>
        </w:tc>
        <w:tc>
          <w:tcPr>
            <w:tcW w:w="756" w:type="dxa"/>
            <w:vAlign w:val="center"/>
          </w:tcPr>
          <w:p w14:paraId="0F6C3810" w14:textId="77777777" w:rsidR="002B733E" w:rsidRPr="00FD50F6" w:rsidRDefault="002B733E" w:rsidP="002B733E">
            <w:pPr>
              <w:pStyle w:val="7"/>
              <w:rPr>
                <w:rFonts w:ascii="Calibri" w:hAnsi="Calibri"/>
                <w:b/>
              </w:rPr>
            </w:pPr>
            <w:r w:rsidRPr="00FD50F6">
              <w:rPr>
                <w:rFonts w:ascii="Calibri" w:hAnsi="Calibri" w:hint="eastAsia"/>
                <w:b/>
              </w:rPr>
              <w:t>22</w:t>
            </w:r>
            <w:r w:rsidRPr="00FD50F6">
              <w:rPr>
                <w:rFonts w:ascii="Calibri" w:hAnsi="Calibri" w:hint="eastAsia"/>
                <w:b/>
              </w:rPr>
              <w:t>’</w:t>
            </w:r>
          </w:p>
        </w:tc>
        <w:tc>
          <w:tcPr>
            <w:tcW w:w="756" w:type="dxa"/>
            <w:vAlign w:val="center"/>
          </w:tcPr>
          <w:p w14:paraId="45AF7BC7" w14:textId="77777777" w:rsidR="002B733E" w:rsidRPr="00FD50F6" w:rsidRDefault="002B733E" w:rsidP="002B733E">
            <w:pPr>
              <w:pStyle w:val="7"/>
              <w:rPr>
                <w:rFonts w:ascii="Calibri" w:hAnsi="Calibri"/>
                <w:b/>
              </w:rPr>
            </w:pPr>
            <w:r w:rsidRPr="00FD50F6">
              <w:rPr>
                <w:rFonts w:ascii="Calibri" w:hAnsi="Calibri" w:hint="eastAsia"/>
                <w:b/>
              </w:rPr>
              <w:t>23</w:t>
            </w:r>
            <w:r w:rsidRPr="00FD50F6">
              <w:rPr>
                <w:rFonts w:ascii="Calibri" w:hAnsi="Calibri" w:hint="eastAsia"/>
                <w:b/>
              </w:rPr>
              <w:t>’</w:t>
            </w:r>
          </w:p>
        </w:tc>
        <w:tc>
          <w:tcPr>
            <w:tcW w:w="756" w:type="dxa"/>
            <w:vAlign w:val="center"/>
          </w:tcPr>
          <w:p w14:paraId="782C6372" w14:textId="77777777" w:rsidR="002B733E" w:rsidRPr="00FD50F6" w:rsidRDefault="002B733E" w:rsidP="002B733E">
            <w:pPr>
              <w:pStyle w:val="7"/>
              <w:rPr>
                <w:rFonts w:ascii="Calibri" w:hAnsi="Calibri"/>
                <w:b/>
              </w:rPr>
            </w:pPr>
            <w:r w:rsidRPr="00FD50F6">
              <w:rPr>
                <w:rFonts w:ascii="Calibri" w:hAnsi="Calibri" w:hint="eastAsia"/>
                <w:b/>
              </w:rPr>
              <w:t>24</w:t>
            </w:r>
            <w:r w:rsidRPr="00FD50F6">
              <w:rPr>
                <w:rFonts w:ascii="Calibri" w:hAnsi="Calibri" w:hint="eastAsia"/>
                <w:b/>
              </w:rPr>
              <w:t>’</w:t>
            </w:r>
          </w:p>
        </w:tc>
        <w:tc>
          <w:tcPr>
            <w:tcW w:w="756" w:type="dxa"/>
            <w:vAlign w:val="center"/>
          </w:tcPr>
          <w:p w14:paraId="59F00AAB" w14:textId="77777777" w:rsidR="002B733E" w:rsidRPr="00FD50F6" w:rsidRDefault="002B733E" w:rsidP="002B733E">
            <w:pPr>
              <w:pStyle w:val="7"/>
              <w:rPr>
                <w:rFonts w:ascii="Calibri" w:hAnsi="Calibri"/>
                <w:b/>
              </w:rPr>
            </w:pPr>
            <w:r w:rsidRPr="00FD50F6">
              <w:rPr>
                <w:rFonts w:ascii="Calibri" w:hAnsi="Calibri" w:hint="eastAsia"/>
                <w:b/>
              </w:rPr>
              <w:t>25</w:t>
            </w:r>
            <w:r w:rsidRPr="00FD50F6">
              <w:rPr>
                <w:rFonts w:ascii="Calibri" w:hAnsi="Calibri" w:hint="eastAsia"/>
                <w:b/>
              </w:rPr>
              <w:t>’</w:t>
            </w:r>
          </w:p>
        </w:tc>
        <w:tc>
          <w:tcPr>
            <w:tcW w:w="756" w:type="dxa"/>
            <w:vAlign w:val="center"/>
          </w:tcPr>
          <w:p w14:paraId="68D61E81" w14:textId="77777777" w:rsidR="002B733E" w:rsidRPr="00FD50F6" w:rsidRDefault="002B733E" w:rsidP="002B733E">
            <w:pPr>
              <w:pStyle w:val="7"/>
              <w:rPr>
                <w:rFonts w:ascii="Calibri" w:hAnsi="Calibri"/>
                <w:b/>
              </w:rPr>
            </w:pPr>
            <w:r w:rsidRPr="00FD50F6">
              <w:rPr>
                <w:rFonts w:ascii="Calibri" w:hAnsi="Calibri" w:hint="eastAsia"/>
                <w:b/>
              </w:rPr>
              <w:t>26</w:t>
            </w:r>
            <w:r w:rsidRPr="00FD50F6">
              <w:rPr>
                <w:rFonts w:ascii="Calibri" w:hAnsi="Calibri" w:hint="eastAsia"/>
                <w:b/>
              </w:rPr>
              <w:t>’</w:t>
            </w:r>
          </w:p>
        </w:tc>
        <w:tc>
          <w:tcPr>
            <w:tcW w:w="756" w:type="dxa"/>
            <w:vAlign w:val="center"/>
          </w:tcPr>
          <w:p w14:paraId="795D39A4" w14:textId="77777777" w:rsidR="002B733E" w:rsidRPr="00FD50F6" w:rsidRDefault="002B733E" w:rsidP="002B733E">
            <w:pPr>
              <w:pStyle w:val="7"/>
              <w:rPr>
                <w:rFonts w:ascii="Calibri" w:hAnsi="Calibri"/>
                <w:b/>
              </w:rPr>
            </w:pPr>
            <w:r w:rsidRPr="00FD50F6">
              <w:rPr>
                <w:rFonts w:ascii="Calibri" w:hAnsi="Calibri" w:hint="eastAsia"/>
                <w:b/>
              </w:rPr>
              <w:t>27</w:t>
            </w:r>
            <w:r w:rsidRPr="00FD50F6">
              <w:rPr>
                <w:rFonts w:ascii="Calibri" w:hAnsi="Calibri" w:hint="eastAsia"/>
                <w:b/>
              </w:rPr>
              <w:t>’</w:t>
            </w:r>
          </w:p>
        </w:tc>
        <w:tc>
          <w:tcPr>
            <w:tcW w:w="756" w:type="dxa"/>
            <w:vAlign w:val="center"/>
          </w:tcPr>
          <w:p w14:paraId="08792F4F" w14:textId="77777777" w:rsidR="002B733E" w:rsidRPr="00FD50F6" w:rsidRDefault="002B733E" w:rsidP="002B733E">
            <w:pPr>
              <w:pStyle w:val="7"/>
              <w:rPr>
                <w:rFonts w:ascii="Calibri" w:hAnsi="Calibri"/>
                <w:b/>
              </w:rPr>
            </w:pPr>
            <w:r w:rsidRPr="00FD50F6">
              <w:rPr>
                <w:rFonts w:ascii="Calibri" w:hAnsi="Calibri" w:hint="eastAsia"/>
                <w:b/>
              </w:rPr>
              <w:t>28</w:t>
            </w:r>
            <w:r w:rsidRPr="00FD50F6">
              <w:rPr>
                <w:rFonts w:ascii="Calibri" w:hAnsi="Calibri" w:hint="eastAsia"/>
                <w:b/>
              </w:rPr>
              <w:t>’</w:t>
            </w:r>
          </w:p>
        </w:tc>
        <w:tc>
          <w:tcPr>
            <w:tcW w:w="756" w:type="dxa"/>
            <w:vAlign w:val="bottom"/>
          </w:tcPr>
          <w:p w14:paraId="2C189E60"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3C609178" w14:textId="77777777" w:rsidTr="002B733E">
        <w:trPr>
          <w:trHeight w:val="397"/>
          <w:jc w:val="center"/>
        </w:trPr>
        <w:tc>
          <w:tcPr>
            <w:tcW w:w="701" w:type="dxa"/>
            <w:vAlign w:val="center"/>
          </w:tcPr>
          <w:p w14:paraId="2B2BCC75" w14:textId="77777777" w:rsidR="002B733E" w:rsidRPr="00FD50F6" w:rsidRDefault="002B733E" w:rsidP="002B733E">
            <w:pPr>
              <w:pStyle w:val="7"/>
            </w:pPr>
            <w:r w:rsidRPr="00FD50F6">
              <w:rPr>
                <w:rFonts w:hint="eastAsia"/>
              </w:rPr>
              <w:t>X</w:t>
            </w:r>
          </w:p>
        </w:tc>
        <w:tc>
          <w:tcPr>
            <w:tcW w:w="756" w:type="dxa"/>
            <w:vAlign w:val="center"/>
          </w:tcPr>
          <w:p w14:paraId="4A4F78B9" w14:textId="77777777" w:rsidR="002B733E" w:rsidRPr="00FD50F6" w:rsidRDefault="002B733E" w:rsidP="002B733E">
            <w:pPr>
              <w:pStyle w:val="7"/>
              <w:rPr>
                <w:rFonts w:ascii="Calibri" w:hAnsi="Calibri"/>
              </w:rPr>
            </w:pPr>
            <w:r w:rsidRPr="00FD50F6">
              <w:rPr>
                <w:rFonts w:ascii="Calibri" w:hAnsi="Calibri" w:hint="eastAsia"/>
              </w:rPr>
              <w:t>775</w:t>
            </w:r>
          </w:p>
        </w:tc>
        <w:tc>
          <w:tcPr>
            <w:tcW w:w="756" w:type="dxa"/>
            <w:vAlign w:val="center"/>
          </w:tcPr>
          <w:p w14:paraId="65D73157" w14:textId="77777777" w:rsidR="002B733E" w:rsidRPr="00FD50F6" w:rsidRDefault="002B733E" w:rsidP="002B733E">
            <w:pPr>
              <w:pStyle w:val="7"/>
              <w:rPr>
                <w:rFonts w:ascii="Calibri" w:hAnsi="Calibri"/>
              </w:rPr>
            </w:pPr>
            <w:r w:rsidRPr="00FD50F6">
              <w:rPr>
                <w:rFonts w:ascii="Calibri" w:hAnsi="Calibri" w:hint="eastAsia"/>
              </w:rPr>
              <w:t>735</w:t>
            </w:r>
          </w:p>
        </w:tc>
        <w:tc>
          <w:tcPr>
            <w:tcW w:w="756" w:type="dxa"/>
            <w:vAlign w:val="center"/>
          </w:tcPr>
          <w:p w14:paraId="0B8CB22C" w14:textId="77777777" w:rsidR="002B733E" w:rsidRPr="00FD50F6" w:rsidRDefault="002B733E" w:rsidP="002B733E">
            <w:pPr>
              <w:pStyle w:val="7"/>
              <w:rPr>
                <w:rFonts w:ascii="Calibri" w:hAnsi="Calibri"/>
              </w:rPr>
            </w:pPr>
            <w:r w:rsidRPr="00FD50F6">
              <w:rPr>
                <w:rFonts w:ascii="Calibri" w:hAnsi="Calibri" w:hint="eastAsia"/>
              </w:rPr>
              <w:t>735</w:t>
            </w:r>
          </w:p>
        </w:tc>
        <w:tc>
          <w:tcPr>
            <w:tcW w:w="756" w:type="dxa"/>
            <w:vAlign w:val="center"/>
          </w:tcPr>
          <w:p w14:paraId="2F9BF41D" w14:textId="77777777" w:rsidR="002B733E" w:rsidRPr="00FD50F6" w:rsidRDefault="002B733E" w:rsidP="002B733E">
            <w:pPr>
              <w:pStyle w:val="7"/>
              <w:rPr>
                <w:rFonts w:ascii="Calibri" w:hAnsi="Calibri"/>
              </w:rPr>
            </w:pPr>
            <w:r w:rsidRPr="00FD50F6">
              <w:rPr>
                <w:rFonts w:ascii="Calibri" w:hAnsi="Calibri" w:hint="eastAsia"/>
              </w:rPr>
              <w:t>648</w:t>
            </w:r>
          </w:p>
        </w:tc>
        <w:tc>
          <w:tcPr>
            <w:tcW w:w="756" w:type="dxa"/>
            <w:vAlign w:val="center"/>
          </w:tcPr>
          <w:p w14:paraId="0CF0C3DF" w14:textId="77777777" w:rsidR="002B733E" w:rsidRPr="00FD50F6" w:rsidRDefault="002B733E" w:rsidP="002B733E">
            <w:pPr>
              <w:pStyle w:val="7"/>
              <w:rPr>
                <w:rFonts w:ascii="Calibri" w:hAnsi="Calibri"/>
              </w:rPr>
            </w:pPr>
            <w:r w:rsidRPr="00FD50F6">
              <w:rPr>
                <w:rFonts w:ascii="Calibri" w:hAnsi="Calibri" w:hint="eastAsia"/>
              </w:rPr>
              <w:t>648</w:t>
            </w:r>
          </w:p>
        </w:tc>
        <w:tc>
          <w:tcPr>
            <w:tcW w:w="756" w:type="dxa"/>
            <w:vAlign w:val="center"/>
          </w:tcPr>
          <w:p w14:paraId="0B96F27E" w14:textId="77777777" w:rsidR="002B733E" w:rsidRPr="00FD50F6" w:rsidRDefault="002B733E" w:rsidP="002B733E">
            <w:pPr>
              <w:pStyle w:val="7"/>
              <w:rPr>
                <w:rFonts w:ascii="Calibri" w:hAnsi="Calibri"/>
              </w:rPr>
            </w:pPr>
            <w:r w:rsidRPr="00FD50F6">
              <w:rPr>
                <w:rFonts w:ascii="Calibri" w:hAnsi="Calibri" w:hint="eastAsia"/>
              </w:rPr>
              <w:t>542</w:t>
            </w:r>
          </w:p>
        </w:tc>
        <w:tc>
          <w:tcPr>
            <w:tcW w:w="756" w:type="dxa"/>
            <w:vAlign w:val="center"/>
          </w:tcPr>
          <w:p w14:paraId="38E19341" w14:textId="77777777" w:rsidR="002B733E" w:rsidRPr="00FD50F6" w:rsidRDefault="002B733E" w:rsidP="002B733E">
            <w:pPr>
              <w:pStyle w:val="7"/>
              <w:rPr>
                <w:rFonts w:ascii="Calibri" w:hAnsi="Calibri"/>
              </w:rPr>
            </w:pPr>
            <w:r w:rsidRPr="00FD50F6">
              <w:rPr>
                <w:rFonts w:ascii="Calibri" w:hAnsi="Calibri" w:hint="eastAsia"/>
              </w:rPr>
              <w:t>150</w:t>
            </w:r>
          </w:p>
        </w:tc>
        <w:tc>
          <w:tcPr>
            <w:tcW w:w="756" w:type="dxa"/>
            <w:vAlign w:val="center"/>
          </w:tcPr>
          <w:p w14:paraId="40DB0964" w14:textId="77777777" w:rsidR="002B733E" w:rsidRPr="00FD50F6" w:rsidRDefault="002B733E" w:rsidP="002B733E">
            <w:pPr>
              <w:pStyle w:val="7"/>
              <w:rPr>
                <w:rFonts w:ascii="Calibri" w:hAnsi="Calibri"/>
              </w:rPr>
            </w:pPr>
            <w:r w:rsidRPr="00FD50F6">
              <w:rPr>
                <w:rFonts w:ascii="Calibri" w:hAnsi="Calibri" w:hint="eastAsia"/>
              </w:rPr>
              <w:t>150</w:t>
            </w:r>
          </w:p>
        </w:tc>
        <w:tc>
          <w:tcPr>
            <w:tcW w:w="756" w:type="dxa"/>
            <w:vAlign w:val="center"/>
          </w:tcPr>
          <w:p w14:paraId="2E0426EF" w14:textId="77777777" w:rsidR="002B733E" w:rsidRPr="00FD50F6" w:rsidRDefault="002B733E" w:rsidP="002B733E">
            <w:pPr>
              <w:pStyle w:val="7"/>
              <w:rPr>
                <w:rFonts w:ascii="Calibri" w:hAnsi="Calibri"/>
              </w:rPr>
            </w:pPr>
            <w:r w:rsidRPr="00FD50F6">
              <w:rPr>
                <w:rFonts w:ascii="Calibri" w:hAnsi="Calibri" w:hint="eastAsia"/>
              </w:rPr>
              <w:t>0</w:t>
            </w:r>
          </w:p>
        </w:tc>
        <w:tc>
          <w:tcPr>
            <w:tcW w:w="756" w:type="dxa"/>
            <w:vAlign w:val="bottom"/>
          </w:tcPr>
          <w:p w14:paraId="70565DFC"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5C40188A" w14:textId="77777777" w:rsidTr="002B733E">
        <w:trPr>
          <w:trHeight w:val="397"/>
          <w:jc w:val="center"/>
        </w:trPr>
        <w:tc>
          <w:tcPr>
            <w:tcW w:w="701" w:type="dxa"/>
            <w:vAlign w:val="center"/>
          </w:tcPr>
          <w:p w14:paraId="5FB98B6C" w14:textId="77777777" w:rsidR="002B733E" w:rsidRPr="00FD50F6" w:rsidRDefault="002B733E" w:rsidP="002B733E">
            <w:pPr>
              <w:pStyle w:val="7"/>
            </w:pPr>
            <w:r w:rsidRPr="00FD50F6">
              <w:rPr>
                <w:rFonts w:hint="eastAsia"/>
              </w:rPr>
              <w:t>Y</w:t>
            </w:r>
          </w:p>
        </w:tc>
        <w:tc>
          <w:tcPr>
            <w:tcW w:w="756" w:type="dxa"/>
            <w:vAlign w:val="center"/>
          </w:tcPr>
          <w:p w14:paraId="6C269E79"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center"/>
          </w:tcPr>
          <w:p w14:paraId="209A8BE8"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center"/>
          </w:tcPr>
          <w:p w14:paraId="63F6182C" w14:textId="77777777" w:rsidR="002B733E" w:rsidRPr="00FD50F6" w:rsidRDefault="002B733E" w:rsidP="002B733E">
            <w:pPr>
              <w:pStyle w:val="7"/>
              <w:rPr>
                <w:rFonts w:ascii="Calibri" w:hAnsi="Calibri"/>
              </w:rPr>
            </w:pPr>
            <w:r w:rsidRPr="00FD50F6">
              <w:rPr>
                <w:rFonts w:ascii="Calibri" w:hAnsi="Calibri" w:hint="eastAsia"/>
              </w:rPr>
              <w:t>-56</w:t>
            </w:r>
          </w:p>
        </w:tc>
        <w:tc>
          <w:tcPr>
            <w:tcW w:w="756" w:type="dxa"/>
            <w:vAlign w:val="center"/>
          </w:tcPr>
          <w:p w14:paraId="730A4877" w14:textId="77777777" w:rsidR="002B733E" w:rsidRPr="00FD50F6" w:rsidRDefault="002B733E" w:rsidP="002B733E">
            <w:pPr>
              <w:pStyle w:val="7"/>
              <w:rPr>
                <w:rFonts w:ascii="Calibri" w:hAnsi="Calibri"/>
              </w:rPr>
            </w:pPr>
            <w:r w:rsidRPr="00FD50F6">
              <w:rPr>
                <w:rFonts w:ascii="Calibri" w:hAnsi="Calibri" w:hint="eastAsia"/>
              </w:rPr>
              <w:t>-56</w:t>
            </w:r>
          </w:p>
        </w:tc>
        <w:tc>
          <w:tcPr>
            <w:tcW w:w="756" w:type="dxa"/>
            <w:vAlign w:val="center"/>
          </w:tcPr>
          <w:p w14:paraId="6C8B006D" w14:textId="77777777" w:rsidR="002B733E" w:rsidRPr="00FD50F6" w:rsidRDefault="002B733E" w:rsidP="002B733E">
            <w:pPr>
              <w:pStyle w:val="7"/>
              <w:rPr>
                <w:rFonts w:ascii="Calibri" w:hAnsi="Calibri"/>
              </w:rPr>
            </w:pPr>
            <w:r w:rsidRPr="00FD50F6">
              <w:rPr>
                <w:rFonts w:ascii="Calibri" w:hAnsi="Calibri" w:hint="eastAsia"/>
              </w:rPr>
              <w:t>30</w:t>
            </w:r>
          </w:p>
        </w:tc>
        <w:tc>
          <w:tcPr>
            <w:tcW w:w="756" w:type="dxa"/>
            <w:vAlign w:val="center"/>
          </w:tcPr>
          <w:p w14:paraId="2B9C57E6"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center"/>
          </w:tcPr>
          <w:p w14:paraId="27E4E79A" w14:textId="77777777" w:rsidR="002B733E" w:rsidRPr="00FD50F6" w:rsidRDefault="002B733E" w:rsidP="002B733E">
            <w:pPr>
              <w:pStyle w:val="7"/>
              <w:rPr>
                <w:rFonts w:ascii="Calibri" w:hAnsi="Calibri"/>
              </w:rPr>
            </w:pPr>
            <w:r w:rsidRPr="00FD50F6">
              <w:rPr>
                <w:rFonts w:ascii="Calibri" w:hAnsi="Calibri" w:hint="eastAsia"/>
              </w:rPr>
              <w:t>32</w:t>
            </w:r>
          </w:p>
        </w:tc>
        <w:tc>
          <w:tcPr>
            <w:tcW w:w="756" w:type="dxa"/>
            <w:vAlign w:val="center"/>
          </w:tcPr>
          <w:p w14:paraId="1395B8A5" w14:textId="77777777" w:rsidR="002B733E" w:rsidRPr="00FD50F6" w:rsidRDefault="002B733E" w:rsidP="002B733E">
            <w:pPr>
              <w:pStyle w:val="7"/>
              <w:rPr>
                <w:rFonts w:ascii="Calibri" w:hAnsi="Calibri"/>
              </w:rPr>
            </w:pPr>
            <w:r w:rsidRPr="00FD50F6">
              <w:rPr>
                <w:rFonts w:ascii="Calibri" w:hAnsi="Calibri" w:hint="eastAsia"/>
              </w:rPr>
              <w:t>79</w:t>
            </w:r>
          </w:p>
        </w:tc>
        <w:tc>
          <w:tcPr>
            <w:tcW w:w="756" w:type="dxa"/>
            <w:vAlign w:val="center"/>
          </w:tcPr>
          <w:p w14:paraId="71D9402B" w14:textId="77777777" w:rsidR="002B733E" w:rsidRPr="00FD50F6" w:rsidRDefault="002B733E" w:rsidP="002B733E">
            <w:pPr>
              <w:pStyle w:val="7"/>
              <w:rPr>
                <w:rFonts w:ascii="Calibri" w:hAnsi="Calibri"/>
              </w:rPr>
            </w:pPr>
            <w:r w:rsidRPr="00FD50F6">
              <w:rPr>
                <w:rFonts w:ascii="Calibri" w:hAnsi="Calibri" w:hint="eastAsia"/>
              </w:rPr>
              <w:t>80</w:t>
            </w:r>
          </w:p>
        </w:tc>
        <w:tc>
          <w:tcPr>
            <w:tcW w:w="756" w:type="dxa"/>
            <w:vAlign w:val="bottom"/>
          </w:tcPr>
          <w:p w14:paraId="367FB499"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08C076DF" w14:textId="77777777" w:rsidTr="002B733E">
        <w:trPr>
          <w:trHeight w:val="397"/>
          <w:jc w:val="center"/>
        </w:trPr>
        <w:tc>
          <w:tcPr>
            <w:tcW w:w="701" w:type="dxa"/>
            <w:vAlign w:val="center"/>
          </w:tcPr>
          <w:p w14:paraId="21FA4080" w14:textId="77777777" w:rsidR="002B733E" w:rsidRPr="00FD50F6" w:rsidRDefault="002B733E" w:rsidP="002B733E">
            <w:pPr>
              <w:pStyle w:val="7"/>
            </w:pPr>
            <w:r w:rsidRPr="00FD50F6">
              <w:rPr>
                <w:rFonts w:hint="eastAsia"/>
              </w:rPr>
              <w:t>点号</w:t>
            </w:r>
          </w:p>
        </w:tc>
        <w:tc>
          <w:tcPr>
            <w:tcW w:w="756" w:type="dxa"/>
            <w:vAlign w:val="bottom"/>
          </w:tcPr>
          <w:p w14:paraId="1889243A" w14:textId="77777777" w:rsidR="002B733E" w:rsidRPr="00FD50F6" w:rsidRDefault="002B733E" w:rsidP="002B733E">
            <w:pPr>
              <w:pStyle w:val="7"/>
              <w:rPr>
                <w:rFonts w:ascii="Calibri" w:hAnsi="Calibri"/>
                <w:b/>
              </w:rPr>
            </w:pPr>
            <w:r w:rsidRPr="00FD50F6">
              <w:rPr>
                <w:rFonts w:ascii="Calibri" w:hAnsi="Calibri" w:hint="eastAsia"/>
                <w:b/>
              </w:rPr>
              <w:t>29d</w:t>
            </w:r>
            <w:r w:rsidRPr="00FD50F6">
              <w:rPr>
                <w:rFonts w:ascii="Calibri" w:hAnsi="Calibri" w:hint="eastAsia"/>
                <w:b/>
              </w:rPr>
              <w:t>’</w:t>
            </w:r>
          </w:p>
        </w:tc>
        <w:tc>
          <w:tcPr>
            <w:tcW w:w="756" w:type="dxa"/>
            <w:vAlign w:val="bottom"/>
          </w:tcPr>
          <w:p w14:paraId="603F819C" w14:textId="77777777" w:rsidR="002B733E" w:rsidRPr="00FD50F6" w:rsidRDefault="002B733E" w:rsidP="002B733E">
            <w:pPr>
              <w:pStyle w:val="7"/>
              <w:rPr>
                <w:rFonts w:ascii="Calibri" w:hAnsi="Calibri"/>
                <w:b/>
              </w:rPr>
            </w:pPr>
            <w:r w:rsidRPr="00FD50F6">
              <w:rPr>
                <w:rFonts w:ascii="Calibri" w:hAnsi="Calibri" w:hint="eastAsia"/>
                <w:b/>
              </w:rPr>
              <w:t>30d</w:t>
            </w:r>
            <w:r w:rsidRPr="00FD50F6">
              <w:rPr>
                <w:rFonts w:ascii="Calibri" w:hAnsi="Calibri" w:hint="eastAsia"/>
                <w:b/>
              </w:rPr>
              <w:t>’</w:t>
            </w:r>
          </w:p>
        </w:tc>
        <w:tc>
          <w:tcPr>
            <w:tcW w:w="756" w:type="dxa"/>
            <w:vAlign w:val="bottom"/>
          </w:tcPr>
          <w:p w14:paraId="7F5C34E1" w14:textId="77777777" w:rsidR="002B733E" w:rsidRPr="00FD50F6" w:rsidRDefault="002B733E" w:rsidP="002B733E">
            <w:pPr>
              <w:pStyle w:val="7"/>
              <w:rPr>
                <w:rFonts w:ascii="Calibri" w:hAnsi="Calibri"/>
                <w:b/>
              </w:rPr>
            </w:pPr>
            <w:r w:rsidRPr="00FD50F6">
              <w:rPr>
                <w:rFonts w:ascii="Calibri" w:hAnsi="Calibri" w:hint="eastAsia"/>
                <w:b/>
              </w:rPr>
              <w:t>31d</w:t>
            </w:r>
            <w:r w:rsidRPr="00FD50F6">
              <w:rPr>
                <w:rFonts w:ascii="Calibri" w:hAnsi="Calibri" w:hint="eastAsia"/>
                <w:b/>
              </w:rPr>
              <w:t>’</w:t>
            </w:r>
          </w:p>
        </w:tc>
        <w:tc>
          <w:tcPr>
            <w:tcW w:w="756" w:type="dxa"/>
            <w:vAlign w:val="bottom"/>
          </w:tcPr>
          <w:p w14:paraId="0F659B92" w14:textId="77777777" w:rsidR="002B733E" w:rsidRPr="00FD50F6" w:rsidRDefault="002B733E" w:rsidP="002B733E">
            <w:pPr>
              <w:pStyle w:val="7"/>
              <w:rPr>
                <w:rFonts w:ascii="Calibri" w:hAnsi="Calibri"/>
                <w:b/>
              </w:rPr>
            </w:pPr>
            <w:r w:rsidRPr="00FD50F6">
              <w:rPr>
                <w:rFonts w:ascii="Calibri" w:hAnsi="Calibri" w:hint="eastAsia"/>
                <w:b/>
              </w:rPr>
              <w:t>32d</w:t>
            </w:r>
            <w:r w:rsidRPr="00FD50F6">
              <w:rPr>
                <w:rFonts w:ascii="Calibri" w:hAnsi="Calibri" w:hint="eastAsia"/>
                <w:b/>
              </w:rPr>
              <w:t>’</w:t>
            </w:r>
          </w:p>
        </w:tc>
        <w:tc>
          <w:tcPr>
            <w:tcW w:w="756" w:type="dxa"/>
            <w:vAlign w:val="bottom"/>
          </w:tcPr>
          <w:p w14:paraId="480DDF05" w14:textId="77777777" w:rsidR="002B733E" w:rsidRPr="00FD50F6" w:rsidRDefault="002B733E" w:rsidP="002B733E">
            <w:pPr>
              <w:pStyle w:val="7"/>
              <w:rPr>
                <w:rFonts w:ascii="Calibri" w:hAnsi="Calibri"/>
                <w:b/>
              </w:rPr>
            </w:pPr>
            <w:r w:rsidRPr="00FD50F6">
              <w:rPr>
                <w:rFonts w:ascii="Calibri" w:hAnsi="Calibri" w:hint="eastAsia"/>
                <w:b/>
              </w:rPr>
              <w:t>33d</w:t>
            </w:r>
            <w:r w:rsidRPr="00FD50F6">
              <w:rPr>
                <w:rFonts w:ascii="Calibri" w:hAnsi="Calibri" w:hint="eastAsia"/>
                <w:b/>
              </w:rPr>
              <w:t>’</w:t>
            </w:r>
          </w:p>
        </w:tc>
        <w:tc>
          <w:tcPr>
            <w:tcW w:w="756" w:type="dxa"/>
            <w:vAlign w:val="bottom"/>
          </w:tcPr>
          <w:p w14:paraId="57319862" w14:textId="77777777" w:rsidR="002B733E" w:rsidRPr="00FD50F6" w:rsidRDefault="002B733E" w:rsidP="002B733E">
            <w:pPr>
              <w:pStyle w:val="7"/>
              <w:rPr>
                <w:rFonts w:ascii="Calibri" w:hAnsi="Calibri"/>
                <w:b/>
              </w:rPr>
            </w:pPr>
            <w:r w:rsidRPr="00FD50F6">
              <w:rPr>
                <w:rFonts w:ascii="Calibri" w:hAnsi="Calibri" w:hint="eastAsia"/>
                <w:b/>
              </w:rPr>
              <w:t>34d</w:t>
            </w:r>
            <w:r w:rsidRPr="00FD50F6">
              <w:rPr>
                <w:rFonts w:ascii="Calibri" w:hAnsi="Calibri" w:hint="eastAsia"/>
                <w:b/>
              </w:rPr>
              <w:t>’</w:t>
            </w:r>
          </w:p>
        </w:tc>
        <w:tc>
          <w:tcPr>
            <w:tcW w:w="756" w:type="dxa"/>
            <w:vAlign w:val="bottom"/>
          </w:tcPr>
          <w:p w14:paraId="24AFD214"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81B0104"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F02AF54"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50CD7D2"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0ABE5B63" w14:textId="77777777" w:rsidTr="002B733E">
        <w:trPr>
          <w:trHeight w:val="397"/>
          <w:jc w:val="center"/>
        </w:trPr>
        <w:tc>
          <w:tcPr>
            <w:tcW w:w="701" w:type="dxa"/>
            <w:vAlign w:val="center"/>
          </w:tcPr>
          <w:p w14:paraId="5A9D0BEC" w14:textId="77777777" w:rsidR="002B733E" w:rsidRPr="00FD50F6" w:rsidRDefault="002B733E" w:rsidP="002B733E">
            <w:pPr>
              <w:pStyle w:val="7"/>
            </w:pPr>
            <w:r w:rsidRPr="00FD50F6">
              <w:rPr>
                <w:rFonts w:hint="eastAsia"/>
              </w:rPr>
              <w:t>X</w:t>
            </w:r>
          </w:p>
        </w:tc>
        <w:tc>
          <w:tcPr>
            <w:tcW w:w="756" w:type="dxa"/>
            <w:vAlign w:val="bottom"/>
          </w:tcPr>
          <w:p w14:paraId="55DF3E71" w14:textId="77777777" w:rsidR="002B733E" w:rsidRPr="00FD50F6" w:rsidRDefault="002B733E" w:rsidP="002B733E">
            <w:pPr>
              <w:pStyle w:val="7"/>
              <w:rPr>
                <w:rFonts w:ascii="Calibri" w:hAnsi="Calibri"/>
              </w:rPr>
            </w:pPr>
            <w:r w:rsidRPr="00FD50F6">
              <w:rPr>
                <w:rFonts w:ascii="Calibri" w:hAnsi="Calibri" w:hint="eastAsia"/>
              </w:rPr>
              <w:t>-1372</w:t>
            </w:r>
          </w:p>
        </w:tc>
        <w:tc>
          <w:tcPr>
            <w:tcW w:w="756" w:type="dxa"/>
            <w:vAlign w:val="bottom"/>
          </w:tcPr>
          <w:p w14:paraId="706B497E"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5EEF5BCF"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1FA209EA" w14:textId="77777777" w:rsidR="002B733E" w:rsidRPr="00FD50F6" w:rsidRDefault="002B733E" w:rsidP="002B733E">
            <w:pPr>
              <w:pStyle w:val="7"/>
              <w:rPr>
                <w:rFonts w:ascii="Calibri" w:hAnsi="Calibri"/>
              </w:rPr>
            </w:pPr>
            <w:r w:rsidRPr="00FD50F6">
              <w:rPr>
                <w:rFonts w:ascii="Calibri" w:hAnsi="Calibri" w:hint="eastAsia"/>
              </w:rPr>
              <w:t>-1444</w:t>
            </w:r>
          </w:p>
        </w:tc>
        <w:tc>
          <w:tcPr>
            <w:tcW w:w="756" w:type="dxa"/>
            <w:vAlign w:val="bottom"/>
          </w:tcPr>
          <w:p w14:paraId="26631733" w14:textId="77777777" w:rsidR="002B733E" w:rsidRPr="00FD50F6" w:rsidRDefault="002B733E" w:rsidP="002B733E">
            <w:pPr>
              <w:pStyle w:val="7"/>
              <w:rPr>
                <w:rFonts w:ascii="Calibri" w:hAnsi="Calibri"/>
              </w:rPr>
            </w:pPr>
            <w:r w:rsidRPr="00FD50F6">
              <w:rPr>
                <w:rFonts w:ascii="Calibri" w:hAnsi="Calibri" w:hint="eastAsia"/>
              </w:rPr>
              <w:t>-1435</w:t>
            </w:r>
          </w:p>
        </w:tc>
        <w:tc>
          <w:tcPr>
            <w:tcW w:w="756" w:type="dxa"/>
            <w:vAlign w:val="bottom"/>
          </w:tcPr>
          <w:p w14:paraId="427DB40D" w14:textId="77777777" w:rsidR="002B733E" w:rsidRPr="00FD50F6" w:rsidRDefault="002B733E" w:rsidP="002B733E">
            <w:pPr>
              <w:pStyle w:val="7"/>
              <w:rPr>
                <w:rFonts w:ascii="Calibri" w:hAnsi="Calibri"/>
              </w:rPr>
            </w:pPr>
            <w:r w:rsidRPr="00FD50F6">
              <w:rPr>
                <w:rFonts w:ascii="Calibri" w:hAnsi="Calibri" w:hint="eastAsia"/>
              </w:rPr>
              <w:t>-1157</w:t>
            </w:r>
          </w:p>
        </w:tc>
        <w:tc>
          <w:tcPr>
            <w:tcW w:w="756" w:type="dxa"/>
            <w:vAlign w:val="bottom"/>
          </w:tcPr>
          <w:p w14:paraId="6B713D3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246A020"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1A79E58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16780A0"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4F1F333F" w14:textId="77777777" w:rsidTr="002B733E">
        <w:trPr>
          <w:trHeight w:val="397"/>
          <w:jc w:val="center"/>
        </w:trPr>
        <w:tc>
          <w:tcPr>
            <w:tcW w:w="701" w:type="dxa"/>
            <w:vAlign w:val="center"/>
          </w:tcPr>
          <w:p w14:paraId="43C48F99" w14:textId="77777777" w:rsidR="002B733E" w:rsidRPr="00FD50F6" w:rsidRDefault="002B733E" w:rsidP="002B733E">
            <w:pPr>
              <w:pStyle w:val="7"/>
            </w:pPr>
            <w:r w:rsidRPr="00FD50F6">
              <w:rPr>
                <w:rFonts w:hint="eastAsia"/>
              </w:rPr>
              <w:t>Y</w:t>
            </w:r>
          </w:p>
        </w:tc>
        <w:tc>
          <w:tcPr>
            <w:tcW w:w="756" w:type="dxa"/>
            <w:vAlign w:val="bottom"/>
          </w:tcPr>
          <w:p w14:paraId="66C5C7FB"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4C95DB7F"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2C1285E2" w14:textId="77777777" w:rsidR="002B733E" w:rsidRPr="00FD50F6" w:rsidRDefault="002B733E" w:rsidP="002B733E">
            <w:pPr>
              <w:pStyle w:val="7"/>
              <w:rPr>
                <w:rFonts w:ascii="Calibri" w:hAnsi="Calibri"/>
              </w:rPr>
            </w:pPr>
            <w:r w:rsidRPr="00FD50F6">
              <w:rPr>
                <w:rFonts w:ascii="Calibri" w:hAnsi="Calibri" w:hint="eastAsia"/>
              </w:rPr>
              <w:t>13</w:t>
            </w:r>
          </w:p>
        </w:tc>
        <w:tc>
          <w:tcPr>
            <w:tcW w:w="756" w:type="dxa"/>
            <w:vAlign w:val="bottom"/>
          </w:tcPr>
          <w:p w14:paraId="5DA6F469" w14:textId="77777777" w:rsidR="002B733E" w:rsidRPr="00FD50F6" w:rsidRDefault="002B733E" w:rsidP="002B733E">
            <w:pPr>
              <w:pStyle w:val="7"/>
              <w:rPr>
                <w:rFonts w:ascii="Calibri" w:hAnsi="Calibri"/>
              </w:rPr>
            </w:pPr>
            <w:r w:rsidRPr="00FD50F6">
              <w:rPr>
                <w:rFonts w:ascii="Calibri" w:hAnsi="Calibri" w:hint="eastAsia"/>
              </w:rPr>
              <w:t>14</w:t>
            </w:r>
          </w:p>
        </w:tc>
        <w:tc>
          <w:tcPr>
            <w:tcW w:w="756" w:type="dxa"/>
            <w:vAlign w:val="bottom"/>
          </w:tcPr>
          <w:p w14:paraId="68FB3AA8" w14:textId="77777777" w:rsidR="002B733E" w:rsidRPr="00FD50F6" w:rsidRDefault="002B733E" w:rsidP="002B733E">
            <w:pPr>
              <w:pStyle w:val="7"/>
              <w:rPr>
                <w:rFonts w:ascii="Calibri" w:hAnsi="Calibri"/>
              </w:rPr>
            </w:pPr>
            <w:r w:rsidRPr="00FD50F6">
              <w:rPr>
                <w:rFonts w:ascii="Calibri" w:hAnsi="Calibri" w:hint="eastAsia"/>
              </w:rPr>
              <w:t>7</w:t>
            </w:r>
          </w:p>
        </w:tc>
        <w:tc>
          <w:tcPr>
            <w:tcW w:w="756" w:type="dxa"/>
            <w:vAlign w:val="bottom"/>
          </w:tcPr>
          <w:p w14:paraId="0906290F" w14:textId="77777777" w:rsidR="002B733E" w:rsidRPr="00FD50F6" w:rsidRDefault="002B733E" w:rsidP="002B733E">
            <w:pPr>
              <w:pStyle w:val="7"/>
              <w:rPr>
                <w:rFonts w:ascii="Calibri" w:hAnsi="Calibri"/>
              </w:rPr>
            </w:pPr>
            <w:r w:rsidRPr="00FD50F6">
              <w:rPr>
                <w:rFonts w:ascii="Calibri" w:hAnsi="Calibri" w:hint="eastAsia"/>
              </w:rPr>
              <w:t>59</w:t>
            </w:r>
          </w:p>
        </w:tc>
        <w:tc>
          <w:tcPr>
            <w:tcW w:w="756" w:type="dxa"/>
            <w:vAlign w:val="bottom"/>
          </w:tcPr>
          <w:p w14:paraId="4C61D8C0"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0C50F5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2EA9BC2"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D660D75"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7272B6F7" w14:textId="77777777" w:rsidTr="002B733E">
        <w:trPr>
          <w:trHeight w:val="397"/>
          <w:jc w:val="center"/>
        </w:trPr>
        <w:tc>
          <w:tcPr>
            <w:tcW w:w="701" w:type="dxa"/>
            <w:vAlign w:val="center"/>
          </w:tcPr>
          <w:p w14:paraId="7AFDDE76" w14:textId="77777777" w:rsidR="002B733E" w:rsidRPr="00FD50F6" w:rsidRDefault="002B733E" w:rsidP="002B733E">
            <w:pPr>
              <w:pStyle w:val="7"/>
            </w:pPr>
            <w:r w:rsidRPr="00FD50F6">
              <w:rPr>
                <w:rFonts w:hint="eastAsia"/>
              </w:rPr>
              <w:t>点号</w:t>
            </w:r>
          </w:p>
        </w:tc>
        <w:tc>
          <w:tcPr>
            <w:tcW w:w="756" w:type="dxa"/>
            <w:vAlign w:val="bottom"/>
          </w:tcPr>
          <w:p w14:paraId="784C4841" w14:textId="77777777" w:rsidR="002B733E" w:rsidRPr="00FD50F6" w:rsidRDefault="002B733E" w:rsidP="002B733E">
            <w:pPr>
              <w:pStyle w:val="7"/>
              <w:rPr>
                <w:rFonts w:ascii="Calibri" w:hAnsi="Calibri"/>
                <w:b/>
              </w:rPr>
            </w:pPr>
            <w:r w:rsidRPr="00FD50F6">
              <w:rPr>
                <w:rFonts w:ascii="Calibri" w:hAnsi="Calibri" w:hint="eastAsia"/>
                <w:b/>
              </w:rPr>
              <w:t>29e</w:t>
            </w:r>
            <w:r w:rsidRPr="00FD50F6">
              <w:rPr>
                <w:rFonts w:ascii="Calibri" w:hAnsi="Calibri" w:hint="eastAsia"/>
                <w:b/>
              </w:rPr>
              <w:t>’</w:t>
            </w:r>
          </w:p>
        </w:tc>
        <w:tc>
          <w:tcPr>
            <w:tcW w:w="756" w:type="dxa"/>
            <w:vAlign w:val="bottom"/>
          </w:tcPr>
          <w:p w14:paraId="217CDB54" w14:textId="77777777" w:rsidR="002B733E" w:rsidRPr="00FD50F6" w:rsidRDefault="002B733E" w:rsidP="002B733E">
            <w:pPr>
              <w:pStyle w:val="7"/>
              <w:rPr>
                <w:rFonts w:ascii="Calibri" w:hAnsi="Calibri"/>
                <w:b/>
              </w:rPr>
            </w:pPr>
            <w:r w:rsidRPr="00FD50F6">
              <w:rPr>
                <w:rFonts w:ascii="Calibri" w:hAnsi="Calibri" w:hint="eastAsia"/>
                <w:b/>
              </w:rPr>
              <w:t>30e</w:t>
            </w:r>
            <w:r w:rsidRPr="00FD50F6">
              <w:rPr>
                <w:rFonts w:ascii="Calibri" w:hAnsi="Calibri" w:hint="eastAsia"/>
                <w:b/>
              </w:rPr>
              <w:t>’</w:t>
            </w:r>
          </w:p>
        </w:tc>
        <w:tc>
          <w:tcPr>
            <w:tcW w:w="756" w:type="dxa"/>
            <w:vAlign w:val="bottom"/>
          </w:tcPr>
          <w:p w14:paraId="4DF6E6C7" w14:textId="77777777" w:rsidR="002B733E" w:rsidRPr="00FD50F6" w:rsidRDefault="002B733E" w:rsidP="002B733E">
            <w:pPr>
              <w:pStyle w:val="7"/>
              <w:rPr>
                <w:rFonts w:ascii="Calibri" w:hAnsi="Calibri"/>
                <w:b/>
              </w:rPr>
            </w:pPr>
            <w:r w:rsidRPr="00FD50F6">
              <w:rPr>
                <w:rFonts w:ascii="Calibri" w:hAnsi="Calibri" w:hint="eastAsia"/>
                <w:b/>
              </w:rPr>
              <w:t>31e</w:t>
            </w:r>
            <w:r w:rsidRPr="00FD50F6">
              <w:rPr>
                <w:rFonts w:ascii="Calibri" w:hAnsi="Calibri" w:hint="eastAsia"/>
                <w:b/>
              </w:rPr>
              <w:t>’</w:t>
            </w:r>
          </w:p>
        </w:tc>
        <w:tc>
          <w:tcPr>
            <w:tcW w:w="756" w:type="dxa"/>
            <w:vAlign w:val="bottom"/>
          </w:tcPr>
          <w:p w14:paraId="14004227" w14:textId="77777777" w:rsidR="002B733E" w:rsidRPr="00FD50F6" w:rsidRDefault="002B733E" w:rsidP="002B733E">
            <w:pPr>
              <w:pStyle w:val="7"/>
              <w:rPr>
                <w:rFonts w:ascii="Calibri" w:hAnsi="Calibri"/>
                <w:b/>
              </w:rPr>
            </w:pPr>
            <w:r w:rsidRPr="00FD50F6">
              <w:rPr>
                <w:rFonts w:ascii="Calibri" w:hAnsi="Calibri" w:hint="eastAsia"/>
                <w:b/>
              </w:rPr>
              <w:t>32e</w:t>
            </w:r>
            <w:r w:rsidRPr="00FD50F6">
              <w:rPr>
                <w:rFonts w:ascii="Calibri" w:hAnsi="Calibri" w:hint="eastAsia"/>
                <w:b/>
              </w:rPr>
              <w:t>’</w:t>
            </w:r>
          </w:p>
        </w:tc>
        <w:tc>
          <w:tcPr>
            <w:tcW w:w="756" w:type="dxa"/>
            <w:vAlign w:val="bottom"/>
          </w:tcPr>
          <w:p w14:paraId="68F68E2F" w14:textId="77777777" w:rsidR="002B733E" w:rsidRPr="00FD50F6" w:rsidRDefault="002B733E" w:rsidP="002B733E">
            <w:pPr>
              <w:pStyle w:val="7"/>
              <w:rPr>
                <w:rFonts w:ascii="Calibri" w:hAnsi="Calibri"/>
                <w:b/>
              </w:rPr>
            </w:pPr>
            <w:r w:rsidRPr="00FD50F6">
              <w:rPr>
                <w:rFonts w:ascii="Calibri" w:hAnsi="Calibri" w:hint="eastAsia"/>
                <w:b/>
              </w:rPr>
              <w:t>33e</w:t>
            </w:r>
            <w:r w:rsidRPr="00FD50F6">
              <w:rPr>
                <w:rFonts w:ascii="Calibri" w:hAnsi="Calibri" w:hint="eastAsia"/>
                <w:b/>
              </w:rPr>
              <w:t>’</w:t>
            </w:r>
          </w:p>
        </w:tc>
        <w:tc>
          <w:tcPr>
            <w:tcW w:w="756" w:type="dxa"/>
            <w:vAlign w:val="bottom"/>
          </w:tcPr>
          <w:p w14:paraId="55B98DDE" w14:textId="77777777" w:rsidR="002B733E" w:rsidRPr="00FD50F6" w:rsidRDefault="002B733E" w:rsidP="002B733E">
            <w:pPr>
              <w:pStyle w:val="7"/>
              <w:rPr>
                <w:rFonts w:ascii="Calibri" w:hAnsi="Calibri"/>
                <w:b/>
              </w:rPr>
            </w:pPr>
            <w:r w:rsidRPr="00FD50F6">
              <w:rPr>
                <w:rFonts w:ascii="Calibri" w:hAnsi="Calibri" w:hint="eastAsia"/>
                <w:b/>
              </w:rPr>
              <w:t>34e</w:t>
            </w:r>
            <w:r w:rsidRPr="00FD50F6">
              <w:rPr>
                <w:rFonts w:ascii="Calibri" w:hAnsi="Calibri" w:hint="eastAsia"/>
                <w:b/>
              </w:rPr>
              <w:t>’</w:t>
            </w:r>
          </w:p>
        </w:tc>
        <w:tc>
          <w:tcPr>
            <w:tcW w:w="756" w:type="dxa"/>
            <w:vAlign w:val="bottom"/>
          </w:tcPr>
          <w:p w14:paraId="4A8473F6"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66176F0"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41CB57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C6AA619"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62145EA2" w14:textId="77777777" w:rsidTr="002B733E">
        <w:trPr>
          <w:trHeight w:val="397"/>
          <w:jc w:val="center"/>
        </w:trPr>
        <w:tc>
          <w:tcPr>
            <w:tcW w:w="701" w:type="dxa"/>
            <w:vAlign w:val="center"/>
          </w:tcPr>
          <w:p w14:paraId="35E2102D" w14:textId="77777777" w:rsidR="002B733E" w:rsidRPr="00FD50F6" w:rsidRDefault="002B733E" w:rsidP="002B733E">
            <w:pPr>
              <w:pStyle w:val="7"/>
            </w:pPr>
            <w:r w:rsidRPr="00FD50F6">
              <w:rPr>
                <w:rFonts w:hint="eastAsia"/>
              </w:rPr>
              <w:t>X</w:t>
            </w:r>
          </w:p>
        </w:tc>
        <w:tc>
          <w:tcPr>
            <w:tcW w:w="756" w:type="dxa"/>
            <w:vAlign w:val="bottom"/>
          </w:tcPr>
          <w:p w14:paraId="3C935E4C" w14:textId="77777777" w:rsidR="002B733E" w:rsidRPr="00FD50F6" w:rsidRDefault="002B733E" w:rsidP="002B733E">
            <w:pPr>
              <w:pStyle w:val="7"/>
              <w:rPr>
                <w:rFonts w:ascii="Calibri" w:hAnsi="Calibri"/>
              </w:rPr>
            </w:pPr>
            <w:r w:rsidRPr="00FD50F6">
              <w:rPr>
                <w:rFonts w:ascii="Calibri" w:hAnsi="Calibri" w:hint="eastAsia"/>
              </w:rPr>
              <w:t>1386</w:t>
            </w:r>
          </w:p>
        </w:tc>
        <w:tc>
          <w:tcPr>
            <w:tcW w:w="756" w:type="dxa"/>
            <w:vAlign w:val="bottom"/>
          </w:tcPr>
          <w:p w14:paraId="7C955C2D"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08FE30FF" w14:textId="77777777" w:rsidR="002B733E" w:rsidRPr="00FD50F6" w:rsidRDefault="002B733E" w:rsidP="002B733E">
            <w:pPr>
              <w:pStyle w:val="7"/>
              <w:rPr>
                <w:rFonts w:ascii="Calibri" w:hAnsi="Calibri"/>
              </w:rPr>
            </w:pPr>
            <w:r w:rsidRPr="00FD50F6">
              <w:rPr>
                <w:rFonts w:ascii="Calibri" w:hAnsi="Calibri" w:hint="eastAsia"/>
              </w:rPr>
              <w:t>1618</w:t>
            </w:r>
          </w:p>
        </w:tc>
        <w:tc>
          <w:tcPr>
            <w:tcW w:w="756" w:type="dxa"/>
            <w:vAlign w:val="bottom"/>
          </w:tcPr>
          <w:p w14:paraId="1AAA69DA" w14:textId="77777777" w:rsidR="002B733E" w:rsidRPr="00FD50F6" w:rsidRDefault="002B733E" w:rsidP="002B733E">
            <w:pPr>
              <w:pStyle w:val="7"/>
              <w:rPr>
                <w:rFonts w:ascii="Calibri" w:hAnsi="Calibri"/>
              </w:rPr>
            </w:pPr>
            <w:r w:rsidRPr="00FD50F6">
              <w:rPr>
                <w:rFonts w:ascii="Calibri" w:hAnsi="Calibri" w:hint="eastAsia"/>
              </w:rPr>
              <w:t>1444</w:t>
            </w:r>
          </w:p>
        </w:tc>
        <w:tc>
          <w:tcPr>
            <w:tcW w:w="756" w:type="dxa"/>
            <w:vAlign w:val="bottom"/>
          </w:tcPr>
          <w:p w14:paraId="16AB810D" w14:textId="77777777" w:rsidR="002B733E" w:rsidRPr="00FD50F6" w:rsidRDefault="002B733E" w:rsidP="002B733E">
            <w:pPr>
              <w:pStyle w:val="7"/>
              <w:rPr>
                <w:rFonts w:ascii="Calibri" w:hAnsi="Calibri"/>
              </w:rPr>
            </w:pPr>
            <w:r w:rsidRPr="00FD50F6">
              <w:rPr>
                <w:rFonts w:ascii="Calibri" w:hAnsi="Calibri" w:hint="eastAsia"/>
              </w:rPr>
              <w:t>1435</w:t>
            </w:r>
          </w:p>
        </w:tc>
        <w:tc>
          <w:tcPr>
            <w:tcW w:w="756" w:type="dxa"/>
            <w:vAlign w:val="bottom"/>
          </w:tcPr>
          <w:p w14:paraId="4C8293AF" w14:textId="77777777" w:rsidR="002B733E" w:rsidRPr="00FD50F6" w:rsidRDefault="002B733E" w:rsidP="002B733E">
            <w:pPr>
              <w:pStyle w:val="7"/>
              <w:rPr>
                <w:rFonts w:ascii="Calibri" w:hAnsi="Calibri"/>
              </w:rPr>
            </w:pPr>
            <w:r w:rsidRPr="00FD50F6">
              <w:rPr>
                <w:rFonts w:ascii="Calibri" w:hAnsi="Calibri" w:hint="eastAsia"/>
              </w:rPr>
              <w:t>1157</w:t>
            </w:r>
          </w:p>
        </w:tc>
        <w:tc>
          <w:tcPr>
            <w:tcW w:w="756" w:type="dxa"/>
            <w:vAlign w:val="bottom"/>
          </w:tcPr>
          <w:p w14:paraId="486870BF"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9BA36DC"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7D79035"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13C40584" w14:textId="77777777" w:rsidR="002B733E" w:rsidRPr="00FD50F6" w:rsidRDefault="002B733E" w:rsidP="002B733E">
            <w:pPr>
              <w:pStyle w:val="7"/>
              <w:rPr>
                <w:rFonts w:ascii="Calibri" w:hAnsi="Calibri"/>
                <w:b/>
              </w:rPr>
            </w:pPr>
            <w:r w:rsidRPr="00FD50F6">
              <w:rPr>
                <w:rFonts w:ascii="Calibri" w:hAnsi="Calibri" w:hint="eastAsia"/>
                <w:b/>
              </w:rPr>
              <w:t>—</w:t>
            </w:r>
          </w:p>
        </w:tc>
      </w:tr>
      <w:tr w:rsidR="002B733E" w:rsidRPr="00FD50F6" w14:paraId="3FA605B1" w14:textId="77777777" w:rsidTr="002B733E">
        <w:trPr>
          <w:trHeight w:val="397"/>
          <w:jc w:val="center"/>
        </w:trPr>
        <w:tc>
          <w:tcPr>
            <w:tcW w:w="701" w:type="dxa"/>
            <w:vAlign w:val="center"/>
          </w:tcPr>
          <w:p w14:paraId="427F6A35" w14:textId="77777777" w:rsidR="002B733E" w:rsidRPr="00FD50F6" w:rsidRDefault="002B733E" w:rsidP="002B733E">
            <w:pPr>
              <w:pStyle w:val="7"/>
            </w:pPr>
            <w:r w:rsidRPr="00FD50F6">
              <w:rPr>
                <w:rFonts w:hint="eastAsia"/>
              </w:rPr>
              <w:t>Y</w:t>
            </w:r>
          </w:p>
        </w:tc>
        <w:tc>
          <w:tcPr>
            <w:tcW w:w="756" w:type="dxa"/>
            <w:vAlign w:val="bottom"/>
          </w:tcPr>
          <w:p w14:paraId="2D1A48AC" w14:textId="77777777" w:rsidR="002B733E" w:rsidRPr="00FD50F6" w:rsidRDefault="002B733E" w:rsidP="002B733E">
            <w:pPr>
              <w:pStyle w:val="7"/>
              <w:rPr>
                <w:rFonts w:ascii="Calibri" w:hAnsi="Calibri"/>
              </w:rPr>
            </w:pPr>
            <w:r w:rsidRPr="00FD50F6">
              <w:rPr>
                <w:rFonts w:ascii="Calibri" w:hAnsi="Calibri" w:hint="eastAsia"/>
              </w:rPr>
              <w:t>297</w:t>
            </w:r>
          </w:p>
        </w:tc>
        <w:tc>
          <w:tcPr>
            <w:tcW w:w="756" w:type="dxa"/>
            <w:vAlign w:val="bottom"/>
          </w:tcPr>
          <w:p w14:paraId="6462CB05" w14:textId="77777777" w:rsidR="002B733E" w:rsidRPr="00FD50F6" w:rsidRDefault="002B733E" w:rsidP="002B733E">
            <w:pPr>
              <w:pStyle w:val="7"/>
              <w:rPr>
                <w:rFonts w:ascii="Calibri" w:hAnsi="Calibri"/>
              </w:rPr>
            </w:pPr>
            <w:r w:rsidRPr="00FD50F6">
              <w:rPr>
                <w:rFonts w:ascii="Calibri" w:hAnsi="Calibri" w:hint="eastAsia"/>
              </w:rPr>
              <w:t>299</w:t>
            </w:r>
          </w:p>
        </w:tc>
        <w:tc>
          <w:tcPr>
            <w:tcW w:w="756" w:type="dxa"/>
            <w:vAlign w:val="bottom"/>
          </w:tcPr>
          <w:p w14:paraId="3D13652B" w14:textId="77777777" w:rsidR="002B733E" w:rsidRPr="00FD50F6" w:rsidRDefault="002B733E" w:rsidP="002B733E">
            <w:pPr>
              <w:pStyle w:val="7"/>
              <w:rPr>
                <w:rFonts w:ascii="Calibri" w:hAnsi="Calibri"/>
              </w:rPr>
            </w:pPr>
            <w:r w:rsidRPr="00FD50F6">
              <w:rPr>
                <w:rFonts w:ascii="Calibri" w:hAnsi="Calibri" w:hint="eastAsia"/>
              </w:rPr>
              <w:t>13</w:t>
            </w:r>
          </w:p>
        </w:tc>
        <w:tc>
          <w:tcPr>
            <w:tcW w:w="756" w:type="dxa"/>
            <w:vAlign w:val="bottom"/>
          </w:tcPr>
          <w:p w14:paraId="2C1D011B" w14:textId="77777777" w:rsidR="002B733E" w:rsidRPr="00FD50F6" w:rsidRDefault="002B733E" w:rsidP="002B733E">
            <w:pPr>
              <w:pStyle w:val="7"/>
              <w:rPr>
                <w:rFonts w:ascii="Calibri" w:hAnsi="Calibri"/>
              </w:rPr>
            </w:pPr>
            <w:r w:rsidRPr="00FD50F6">
              <w:rPr>
                <w:rFonts w:ascii="Calibri" w:hAnsi="Calibri" w:hint="eastAsia"/>
              </w:rPr>
              <w:t>14</w:t>
            </w:r>
          </w:p>
        </w:tc>
        <w:tc>
          <w:tcPr>
            <w:tcW w:w="756" w:type="dxa"/>
            <w:vAlign w:val="bottom"/>
          </w:tcPr>
          <w:p w14:paraId="6FC04485" w14:textId="77777777" w:rsidR="002B733E" w:rsidRPr="00FD50F6" w:rsidRDefault="002B733E" w:rsidP="002B733E">
            <w:pPr>
              <w:pStyle w:val="7"/>
              <w:rPr>
                <w:rFonts w:ascii="Calibri" w:hAnsi="Calibri"/>
              </w:rPr>
            </w:pPr>
            <w:r w:rsidRPr="00FD50F6">
              <w:rPr>
                <w:rFonts w:ascii="Calibri" w:hAnsi="Calibri" w:hint="eastAsia"/>
              </w:rPr>
              <w:t>7</w:t>
            </w:r>
          </w:p>
        </w:tc>
        <w:tc>
          <w:tcPr>
            <w:tcW w:w="756" w:type="dxa"/>
            <w:vAlign w:val="bottom"/>
          </w:tcPr>
          <w:p w14:paraId="3E1188BE" w14:textId="77777777" w:rsidR="002B733E" w:rsidRPr="00FD50F6" w:rsidRDefault="002B733E" w:rsidP="002B733E">
            <w:pPr>
              <w:pStyle w:val="7"/>
              <w:rPr>
                <w:rFonts w:ascii="Calibri" w:hAnsi="Calibri"/>
              </w:rPr>
            </w:pPr>
            <w:r w:rsidRPr="00FD50F6">
              <w:rPr>
                <w:rFonts w:ascii="Calibri" w:hAnsi="Calibri" w:hint="eastAsia"/>
              </w:rPr>
              <w:t>59</w:t>
            </w:r>
          </w:p>
        </w:tc>
        <w:tc>
          <w:tcPr>
            <w:tcW w:w="756" w:type="dxa"/>
            <w:vAlign w:val="bottom"/>
          </w:tcPr>
          <w:p w14:paraId="41B7C68D"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248EDC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2D6F457"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B68698D" w14:textId="77777777" w:rsidR="002B733E" w:rsidRPr="00FD50F6" w:rsidRDefault="002B733E" w:rsidP="002B733E">
            <w:pPr>
              <w:pStyle w:val="7"/>
              <w:rPr>
                <w:rFonts w:ascii="Calibri" w:hAnsi="Calibri"/>
                <w:b/>
              </w:rPr>
            </w:pPr>
            <w:r w:rsidRPr="00FD50F6">
              <w:rPr>
                <w:rFonts w:ascii="Calibri" w:hAnsi="Calibri" w:hint="eastAsia"/>
                <w:b/>
              </w:rPr>
              <w:t>—</w:t>
            </w:r>
          </w:p>
        </w:tc>
      </w:tr>
    </w:tbl>
    <w:p w14:paraId="5F351C00" w14:textId="77777777" w:rsidR="002B733E" w:rsidRPr="00FD50F6" w:rsidRDefault="002B733E" w:rsidP="002B733E">
      <w:pPr>
        <w:spacing w:before="246" w:line="0" w:lineRule="atLeast"/>
        <w:ind w:firstLine="352"/>
        <w:rPr>
          <w:rFonts w:ascii="Calibri" w:hAnsi="Calibri" w:cs="Times New Roman"/>
          <w:sz w:val="18"/>
          <w:szCs w:val="24"/>
        </w:rPr>
      </w:pPr>
    </w:p>
    <w:p w14:paraId="13800C36" w14:textId="77777777" w:rsidR="002B733E" w:rsidRPr="00FD50F6" w:rsidRDefault="002B733E" w:rsidP="002B733E">
      <w:pPr>
        <w:pStyle w:val="6"/>
      </w:pPr>
      <w:r w:rsidRPr="00FD50F6">
        <w:rPr>
          <w:rFonts w:hint="eastAsia"/>
        </w:rPr>
        <w:lastRenderedPageBreak/>
        <w:t>表</w:t>
      </w:r>
      <w:r w:rsidRPr="00FD50F6">
        <w:rPr>
          <w:rFonts w:ascii="Calibri" w:hAnsi="Calibri" w:hint="eastAsia"/>
          <w:b/>
        </w:rPr>
        <w:t>B.0.1-5</w:t>
      </w:r>
      <w:r w:rsidRPr="00FD50F6">
        <w:rPr>
          <w:rFonts w:hint="eastAsia"/>
        </w:rPr>
        <w:t xml:space="preserve">  </w:t>
      </w:r>
      <w:r w:rsidRPr="00FD50F6">
        <w:rPr>
          <w:rFonts w:hint="eastAsia"/>
        </w:rPr>
        <w:t>隧道外区间直线地段设备限界坐标值（</w:t>
      </w:r>
      <w:r w:rsidRPr="00FD50F6">
        <w:rPr>
          <w:rFonts w:hint="eastAsia"/>
        </w:rPr>
        <w:t>mm</w:t>
      </w:r>
      <w:r w:rsidRPr="00FD50F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3E109A9F" w14:textId="77777777" w:rsidTr="002B733E">
        <w:trPr>
          <w:trHeight w:val="397"/>
          <w:jc w:val="center"/>
        </w:trPr>
        <w:tc>
          <w:tcPr>
            <w:tcW w:w="701" w:type="dxa"/>
            <w:vAlign w:val="center"/>
          </w:tcPr>
          <w:p w14:paraId="32612FC9" w14:textId="77777777" w:rsidR="002B733E" w:rsidRPr="00FD50F6" w:rsidRDefault="002B733E" w:rsidP="002B733E">
            <w:pPr>
              <w:pStyle w:val="7"/>
            </w:pPr>
            <w:r w:rsidRPr="00FD50F6">
              <w:rPr>
                <w:rFonts w:hint="eastAsia"/>
              </w:rPr>
              <w:t>点号</w:t>
            </w:r>
          </w:p>
        </w:tc>
        <w:tc>
          <w:tcPr>
            <w:tcW w:w="756" w:type="dxa"/>
            <w:vAlign w:val="center"/>
          </w:tcPr>
          <w:p w14:paraId="55730663"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38C8F209"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0FFA1698"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08417819"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52A9175F"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3BF26B82"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5E132574"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1F90BB12"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0E65528C"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601C7064"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6BD9BDE8" w14:textId="77777777" w:rsidTr="002B733E">
        <w:trPr>
          <w:trHeight w:val="397"/>
          <w:jc w:val="center"/>
        </w:trPr>
        <w:tc>
          <w:tcPr>
            <w:tcW w:w="701" w:type="dxa"/>
            <w:vAlign w:val="center"/>
          </w:tcPr>
          <w:p w14:paraId="1E08ADFD" w14:textId="77777777" w:rsidR="002B733E" w:rsidRPr="00FD50F6" w:rsidRDefault="002B733E" w:rsidP="002B733E">
            <w:pPr>
              <w:pStyle w:val="7"/>
            </w:pPr>
            <w:r w:rsidRPr="00FD50F6">
              <w:rPr>
                <w:rFonts w:hint="eastAsia"/>
              </w:rPr>
              <w:t>X</w:t>
            </w:r>
          </w:p>
        </w:tc>
        <w:tc>
          <w:tcPr>
            <w:tcW w:w="756" w:type="dxa"/>
            <w:vAlign w:val="center"/>
          </w:tcPr>
          <w:p w14:paraId="4E078FC9" w14:textId="77777777" w:rsidR="002B733E" w:rsidRPr="00FD50F6" w:rsidRDefault="002B733E" w:rsidP="002B733E">
            <w:pPr>
              <w:pStyle w:val="7"/>
            </w:pPr>
            <w:r w:rsidRPr="00FD50F6">
              <w:rPr>
                <w:rFonts w:hint="eastAsia"/>
              </w:rPr>
              <w:t>0</w:t>
            </w:r>
          </w:p>
        </w:tc>
        <w:tc>
          <w:tcPr>
            <w:tcW w:w="756" w:type="dxa"/>
            <w:vAlign w:val="center"/>
          </w:tcPr>
          <w:p w14:paraId="1323F9CC" w14:textId="77777777" w:rsidR="002B733E" w:rsidRPr="00FD50F6" w:rsidRDefault="002B733E" w:rsidP="002B733E">
            <w:pPr>
              <w:pStyle w:val="7"/>
            </w:pPr>
            <w:r w:rsidRPr="00FD50F6">
              <w:rPr>
                <w:rFonts w:hint="eastAsia"/>
              </w:rPr>
              <w:t>841</w:t>
            </w:r>
          </w:p>
        </w:tc>
        <w:tc>
          <w:tcPr>
            <w:tcW w:w="756" w:type="dxa"/>
            <w:vAlign w:val="center"/>
          </w:tcPr>
          <w:p w14:paraId="6632D089" w14:textId="77777777" w:rsidR="002B733E" w:rsidRPr="00FD50F6" w:rsidRDefault="002B733E" w:rsidP="002B733E">
            <w:pPr>
              <w:pStyle w:val="7"/>
            </w:pPr>
            <w:r w:rsidRPr="00FD50F6">
              <w:rPr>
                <w:rFonts w:hint="eastAsia"/>
              </w:rPr>
              <w:t>861</w:t>
            </w:r>
          </w:p>
        </w:tc>
        <w:tc>
          <w:tcPr>
            <w:tcW w:w="756" w:type="dxa"/>
            <w:vAlign w:val="center"/>
          </w:tcPr>
          <w:p w14:paraId="46771845" w14:textId="77777777" w:rsidR="002B733E" w:rsidRPr="00FD50F6" w:rsidRDefault="002B733E" w:rsidP="002B733E">
            <w:pPr>
              <w:pStyle w:val="7"/>
            </w:pPr>
            <w:r w:rsidRPr="00FD50F6">
              <w:rPr>
                <w:rFonts w:hint="eastAsia"/>
              </w:rPr>
              <w:t>950</w:t>
            </w:r>
          </w:p>
        </w:tc>
        <w:tc>
          <w:tcPr>
            <w:tcW w:w="756" w:type="dxa"/>
            <w:vAlign w:val="center"/>
          </w:tcPr>
          <w:p w14:paraId="61EAFC9C" w14:textId="77777777" w:rsidR="002B733E" w:rsidRPr="00FD50F6" w:rsidRDefault="002B733E" w:rsidP="002B733E">
            <w:pPr>
              <w:pStyle w:val="7"/>
            </w:pPr>
            <w:r w:rsidRPr="00FD50F6">
              <w:rPr>
                <w:rFonts w:hint="eastAsia"/>
              </w:rPr>
              <w:t>949</w:t>
            </w:r>
          </w:p>
        </w:tc>
        <w:tc>
          <w:tcPr>
            <w:tcW w:w="756" w:type="dxa"/>
            <w:vAlign w:val="center"/>
          </w:tcPr>
          <w:p w14:paraId="0EE9DBF2" w14:textId="77777777" w:rsidR="002B733E" w:rsidRPr="00FD50F6" w:rsidRDefault="002B733E" w:rsidP="002B733E">
            <w:pPr>
              <w:pStyle w:val="7"/>
            </w:pPr>
            <w:r w:rsidRPr="00FD50F6">
              <w:rPr>
                <w:rFonts w:hint="eastAsia"/>
              </w:rPr>
              <w:t>1013</w:t>
            </w:r>
          </w:p>
        </w:tc>
        <w:tc>
          <w:tcPr>
            <w:tcW w:w="756" w:type="dxa"/>
            <w:vAlign w:val="center"/>
          </w:tcPr>
          <w:p w14:paraId="3CA77C46" w14:textId="77777777" w:rsidR="002B733E" w:rsidRPr="00FD50F6" w:rsidRDefault="002B733E" w:rsidP="002B733E">
            <w:pPr>
              <w:pStyle w:val="7"/>
            </w:pPr>
            <w:r w:rsidRPr="00FD50F6">
              <w:rPr>
                <w:rFonts w:hint="eastAsia"/>
              </w:rPr>
              <w:t>1275</w:t>
            </w:r>
          </w:p>
        </w:tc>
        <w:tc>
          <w:tcPr>
            <w:tcW w:w="756" w:type="dxa"/>
            <w:vAlign w:val="center"/>
          </w:tcPr>
          <w:p w14:paraId="00576D77" w14:textId="77777777" w:rsidR="002B733E" w:rsidRPr="00FD50F6" w:rsidRDefault="002B733E" w:rsidP="002B733E">
            <w:pPr>
              <w:pStyle w:val="7"/>
            </w:pPr>
            <w:r w:rsidRPr="00FD50F6">
              <w:rPr>
                <w:rFonts w:hint="eastAsia"/>
              </w:rPr>
              <w:t>1552</w:t>
            </w:r>
          </w:p>
        </w:tc>
        <w:tc>
          <w:tcPr>
            <w:tcW w:w="756" w:type="dxa"/>
            <w:vAlign w:val="center"/>
          </w:tcPr>
          <w:p w14:paraId="350F0E27" w14:textId="77777777" w:rsidR="002B733E" w:rsidRPr="00FD50F6" w:rsidRDefault="002B733E" w:rsidP="002B733E">
            <w:pPr>
              <w:pStyle w:val="7"/>
            </w:pPr>
            <w:r w:rsidRPr="00FD50F6">
              <w:rPr>
                <w:rFonts w:hint="eastAsia"/>
              </w:rPr>
              <w:t>1596</w:t>
            </w:r>
          </w:p>
        </w:tc>
        <w:tc>
          <w:tcPr>
            <w:tcW w:w="756" w:type="dxa"/>
            <w:vAlign w:val="center"/>
          </w:tcPr>
          <w:p w14:paraId="1D9EB02F" w14:textId="77777777" w:rsidR="002B733E" w:rsidRPr="00FD50F6" w:rsidRDefault="002B733E" w:rsidP="002B733E">
            <w:pPr>
              <w:pStyle w:val="7"/>
            </w:pPr>
            <w:r w:rsidRPr="00FD50F6">
              <w:rPr>
                <w:rFonts w:hint="eastAsia"/>
              </w:rPr>
              <w:t>1624</w:t>
            </w:r>
          </w:p>
        </w:tc>
      </w:tr>
      <w:tr w:rsidR="00FD50F6" w:rsidRPr="00FD50F6" w14:paraId="398D603E" w14:textId="77777777" w:rsidTr="002B733E">
        <w:trPr>
          <w:trHeight w:val="397"/>
          <w:jc w:val="center"/>
        </w:trPr>
        <w:tc>
          <w:tcPr>
            <w:tcW w:w="701" w:type="dxa"/>
            <w:vAlign w:val="center"/>
          </w:tcPr>
          <w:p w14:paraId="1B576E63" w14:textId="77777777" w:rsidR="002B733E" w:rsidRPr="00FD50F6" w:rsidRDefault="002B733E" w:rsidP="002B733E">
            <w:pPr>
              <w:pStyle w:val="7"/>
            </w:pPr>
            <w:r w:rsidRPr="00FD50F6">
              <w:rPr>
                <w:rFonts w:hint="eastAsia"/>
              </w:rPr>
              <w:t>Y</w:t>
            </w:r>
          </w:p>
        </w:tc>
        <w:tc>
          <w:tcPr>
            <w:tcW w:w="756" w:type="dxa"/>
            <w:vAlign w:val="center"/>
          </w:tcPr>
          <w:p w14:paraId="04327E3F" w14:textId="77777777" w:rsidR="002B733E" w:rsidRPr="00FD50F6" w:rsidRDefault="002B733E" w:rsidP="002B733E">
            <w:pPr>
              <w:pStyle w:val="7"/>
            </w:pPr>
            <w:r w:rsidRPr="00FD50F6">
              <w:rPr>
                <w:rFonts w:hint="eastAsia"/>
              </w:rPr>
              <w:t>3934</w:t>
            </w:r>
          </w:p>
        </w:tc>
        <w:tc>
          <w:tcPr>
            <w:tcW w:w="756" w:type="dxa"/>
            <w:vAlign w:val="center"/>
          </w:tcPr>
          <w:p w14:paraId="2021E5CB" w14:textId="77777777" w:rsidR="002B733E" w:rsidRPr="00FD50F6" w:rsidRDefault="002B733E" w:rsidP="002B733E">
            <w:pPr>
              <w:pStyle w:val="7"/>
            </w:pPr>
            <w:r w:rsidRPr="00FD50F6">
              <w:rPr>
                <w:rFonts w:hint="eastAsia"/>
              </w:rPr>
              <w:t>3939</w:t>
            </w:r>
          </w:p>
        </w:tc>
        <w:tc>
          <w:tcPr>
            <w:tcW w:w="756" w:type="dxa"/>
            <w:vAlign w:val="center"/>
          </w:tcPr>
          <w:p w14:paraId="4F796B58" w14:textId="77777777" w:rsidR="002B733E" w:rsidRPr="00FD50F6" w:rsidRDefault="002B733E" w:rsidP="002B733E">
            <w:pPr>
              <w:pStyle w:val="7"/>
            </w:pPr>
            <w:r w:rsidRPr="00FD50F6">
              <w:rPr>
                <w:rFonts w:hint="eastAsia"/>
              </w:rPr>
              <w:t>3939</w:t>
            </w:r>
          </w:p>
        </w:tc>
        <w:tc>
          <w:tcPr>
            <w:tcW w:w="756" w:type="dxa"/>
            <w:vAlign w:val="center"/>
          </w:tcPr>
          <w:p w14:paraId="0017FD91" w14:textId="77777777" w:rsidR="002B733E" w:rsidRPr="00FD50F6" w:rsidRDefault="002B733E" w:rsidP="002B733E">
            <w:pPr>
              <w:pStyle w:val="7"/>
            </w:pPr>
            <w:r w:rsidRPr="00FD50F6">
              <w:rPr>
                <w:rFonts w:hint="eastAsia"/>
              </w:rPr>
              <w:t>3898</w:t>
            </w:r>
          </w:p>
        </w:tc>
        <w:tc>
          <w:tcPr>
            <w:tcW w:w="756" w:type="dxa"/>
            <w:vAlign w:val="center"/>
          </w:tcPr>
          <w:p w14:paraId="33675B0D" w14:textId="77777777" w:rsidR="002B733E" w:rsidRPr="00FD50F6" w:rsidRDefault="002B733E" w:rsidP="002B733E">
            <w:pPr>
              <w:pStyle w:val="7"/>
            </w:pPr>
            <w:r w:rsidRPr="00FD50F6">
              <w:rPr>
                <w:rFonts w:hint="eastAsia"/>
              </w:rPr>
              <w:t>3825</w:t>
            </w:r>
          </w:p>
        </w:tc>
        <w:tc>
          <w:tcPr>
            <w:tcW w:w="756" w:type="dxa"/>
            <w:vAlign w:val="center"/>
          </w:tcPr>
          <w:p w14:paraId="1F1CBE1E" w14:textId="77777777" w:rsidR="002B733E" w:rsidRPr="00FD50F6" w:rsidRDefault="002B733E" w:rsidP="002B733E">
            <w:pPr>
              <w:pStyle w:val="7"/>
            </w:pPr>
            <w:r w:rsidRPr="00FD50F6">
              <w:rPr>
                <w:rFonts w:hint="eastAsia"/>
              </w:rPr>
              <w:t>3804</w:t>
            </w:r>
          </w:p>
        </w:tc>
        <w:tc>
          <w:tcPr>
            <w:tcW w:w="756" w:type="dxa"/>
            <w:vAlign w:val="center"/>
          </w:tcPr>
          <w:p w14:paraId="2CB65573" w14:textId="77777777" w:rsidR="002B733E" w:rsidRPr="00FD50F6" w:rsidRDefault="002B733E" w:rsidP="002B733E">
            <w:pPr>
              <w:pStyle w:val="7"/>
            </w:pPr>
            <w:r w:rsidRPr="00FD50F6">
              <w:rPr>
                <w:rFonts w:hint="eastAsia"/>
              </w:rPr>
              <w:t>3653</w:t>
            </w:r>
          </w:p>
        </w:tc>
        <w:tc>
          <w:tcPr>
            <w:tcW w:w="756" w:type="dxa"/>
            <w:vAlign w:val="center"/>
          </w:tcPr>
          <w:p w14:paraId="69F8DA5E" w14:textId="77777777" w:rsidR="002B733E" w:rsidRPr="00FD50F6" w:rsidRDefault="002B733E" w:rsidP="002B733E">
            <w:pPr>
              <w:pStyle w:val="7"/>
            </w:pPr>
            <w:r w:rsidRPr="00FD50F6">
              <w:rPr>
                <w:rFonts w:hint="eastAsia"/>
              </w:rPr>
              <w:t>3492</w:t>
            </w:r>
          </w:p>
        </w:tc>
        <w:tc>
          <w:tcPr>
            <w:tcW w:w="756" w:type="dxa"/>
            <w:vAlign w:val="center"/>
          </w:tcPr>
          <w:p w14:paraId="0ADE2DD4" w14:textId="77777777" w:rsidR="002B733E" w:rsidRPr="00FD50F6" w:rsidRDefault="002B733E" w:rsidP="002B733E">
            <w:pPr>
              <w:pStyle w:val="7"/>
            </w:pPr>
            <w:r w:rsidRPr="00FD50F6">
              <w:rPr>
                <w:rFonts w:hint="eastAsia"/>
              </w:rPr>
              <w:t>3402</w:t>
            </w:r>
          </w:p>
        </w:tc>
        <w:tc>
          <w:tcPr>
            <w:tcW w:w="756" w:type="dxa"/>
            <w:vAlign w:val="center"/>
          </w:tcPr>
          <w:p w14:paraId="0890E427" w14:textId="77777777" w:rsidR="002B733E" w:rsidRPr="00FD50F6" w:rsidRDefault="002B733E" w:rsidP="002B733E">
            <w:pPr>
              <w:pStyle w:val="7"/>
            </w:pPr>
            <w:r w:rsidRPr="00FD50F6">
              <w:rPr>
                <w:rFonts w:hint="eastAsia"/>
              </w:rPr>
              <w:t>951</w:t>
            </w:r>
          </w:p>
        </w:tc>
      </w:tr>
      <w:tr w:rsidR="00FD50F6" w:rsidRPr="00FD50F6" w14:paraId="7B9A1016" w14:textId="77777777" w:rsidTr="002B733E">
        <w:trPr>
          <w:trHeight w:val="397"/>
          <w:jc w:val="center"/>
        </w:trPr>
        <w:tc>
          <w:tcPr>
            <w:tcW w:w="701" w:type="dxa"/>
            <w:vAlign w:val="center"/>
          </w:tcPr>
          <w:p w14:paraId="7FB20D93" w14:textId="77777777" w:rsidR="002B733E" w:rsidRPr="00FD50F6" w:rsidRDefault="002B733E" w:rsidP="002B733E">
            <w:pPr>
              <w:pStyle w:val="7"/>
            </w:pPr>
            <w:r w:rsidRPr="00FD50F6">
              <w:rPr>
                <w:rFonts w:hint="eastAsia"/>
              </w:rPr>
              <w:t>点号</w:t>
            </w:r>
          </w:p>
        </w:tc>
        <w:tc>
          <w:tcPr>
            <w:tcW w:w="756" w:type="dxa"/>
            <w:vAlign w:val="center"/>
          </w:tcPr>
          <w:p w14:paraId="6CBFC58C" w14:textId="77777777" w:rsidR="002B733E" w:rsidRPr="00FD50F6" w:rsidRDefault="002B733E" w:rsidP="002B733E">
            <w:pPr>
              <w:pStyle w:val="7"/>
              <w:rPr>
                <w:b/>
              </w:rPr>
            </w:pPr>
            <w:r w:rsidRPr="00FD50F6">
              <w:rPr>
                <w:rFonts w:hint="eastAsia"/>
                <w:b/>
              </w:rPr>
              <w:t>9</w:t>
            </w:r>
            <w:r w:rsidRPr="00FD50F6">
              <w:rPr>
                <w:rFonts w:hint="eastAsia"/>
                <w:b/>
              </w:rPr>
              <w:t>”</w:t>
            </w:r>
          </w:p>
        </w:tc>
        <w:tc>
          <w:tcPr>
            <w:tcW w:w="756" w:type="dxa"/>
            <w:vAlign w:val="center"/>
          </w:tcPr>
          <w:p w14:paraId="140A8386" w14:textId="77777777" w:rsidR="002B733E" w:rsidRPr="00FD50F6" w:rsidRDefault="002B733E" w:rsidP="002B733E">
            <w:pPr>
              <w:pStyle w:val="7"/>
              <w:rPr>
                <w:b/>
              </w:rPr>
            </w:pPr>
            <w:r w:rsidRPr="00FD50F6">
              <w:rPr>
                <w:rFonts w:hint="eastAsia"/>
                <w:b/>
              </w:rPr>
              <w:t>10</w:t>
            </w:r>
            <w:r w:rsidRPr="00FD50F6">
              <w:rPr>
                <w:rFonts w:hint="eastAsia"/>
                <w:b/>
              </w:rPr>
              <w:t>”</w:t>
            </w:r>
          </w:p>
        </w:tc>
        <w:tc>
          <w:tcPr>
            <w:tcW w:w="756" w:type="dxa"/>
            <w:vAlign w:val="center"/>
          </w:tcPr>
          <w:p w14:paraId="7264624D" w14:textId="77777777" w:rsidR="002B733E" w:rsidRPr="00FD50F6" w:rsidRDefault="002B733E" w:rsidP="002B733E">
            <w:pPr>
              <w:pStyle w:val="7"/>
              <w:rPr>
                <w:b/>
              </w:rPr>
            </w:pPr>
            <w:r w:rsidRPr="00FD50F6">
              <w:rPr>
                <w:rFonts w:hint="eastAsia"/>
                <w:b/>
              </w:rPr>
              <w:t>11</w:t>
            </w:r>
            <w:r w:rsidRPr="00FD50F6">
              <w:rPr>
                <w:rFonts w:hint="eastAsia"/>
                <w:b/>
              </w:rPr>
              <w:t>”</w:t>
            </w:r>
          </w:p>
        </w:tc>
        <w:tc>
          <w:tcPr>
            <w:tcW w:w="756" w:type="dxa"/>
            <w:vAlign w:val="center"/>
          </w:tcPr>
          <w:p w14:paraId="101C0DC6" w14:textId="77777777" w:rsidR="002B733E" w:rsidRPr="00FD50F6" w:rsidRDefault="002B733E" w:rsidP="002B733E">
            <w:pPr>
              <w:pStyle w:val="7"/>
              <w:rPr>
                <w:b/>
              </w:rPr>
            </w:pPr>
            <w:r w:rsidRPr="00FD50F6">
              <w:rPr>
                <w:rFonts w:hint="eastAsia"/>
                <w:b/>
              </w:rPr>
              <w:t>12</w:t>
            </w:r>
            <w:r w:rsidRPr="00FD50F6">
              <w:rPr>
                <w:rFonts w:hint="eastAsia"/>
                <w:b/>
              </w:rPr>
              <w:t>”</w:t>
            </w:r>
          </w:p>
        </w:tc>
        <w:tc>
          <w:tcPr>
            <w:tcW w:w="756" w:type="dxa"/>
            <w:vAlign w:val="center"/>
          </w:tcPr>
          <w:p w14:paraId="1F492AB1" w14:textId="77777777" w:rsidR="002B733E" w:rsidRPr="00FD50F6" w:rsidRDefault="002B733E" w:rsidP="002B733E">
            <w:pPr>
              <w:pStyle w:val="7"/>
              <w:rPr>
                <w:b/>
              </w:rPr>
            </w:pPr>
            <w:r w:rsidRPr="00FD50F6">
              <w:rPr>
                <w:rFonts w:hint="eastAsia"/>
                <w:b/>
              </w:rPr>
              <w:t>14</w:t>
            </w:r>
            <w:r w:rsidRPr="00FD50F6">
              <w:rPr>
                <w:rFonts w:hint="eastAsia"/>
                <w:b/>
              </w:rPr>
              <w:t>”</w:t>
            </w:r>
          </w:p>
        </w:tc>
        <w:tc>
          <w:tcPr>
            <w:tcW w:w="756" w:type="dxa"/>
            <w:vAlign w:val="center"/>
          </w:tcPr>
          <w:p w14:paraId="54F77FE6" w14:textId="77777777" w:rsidR="002B733E" w:rsidRPr="00FD50F6" w:rsidRDefault="002B733E" w:rsidP="002B733E">
            <w:pPr>
              <w:pStyle w:val="7"/>
              <w:rPr>
                <w:b/>
              </w:rPr>
            </w:pPr>
            <w:r w:rsidRPr="00FD50F6">
              <w:rPr>
                <w:rFonts w:hint="eastAsia"/>
                <w:b/>
              </w:rPr>
              <w:t>15</w:t>
            </w:r>
            <w:r w:rsidRPr="00FD50F6">
              <w:rPr>
                <w:rFonts w:hint="eastAsia"/>
                <w:b/>
              </w:rPr>
              <w:t>”</w:t>
            </w:r>
          </w:p>
        </w:tc>
        <w:tc>
          <w:tcPr>
            <w:tcW w:w="756" w:type="dxa"/>
            <w:vAlign w:val="center"/>
          </w:tcPr>
          <w:p w14:paraId="35F26BDA" w14:textId="77777777" w:rsidR="002B733E" w:rsidRPr="00FD50F6" w:rsidRDefault="002B733E" w:rsidP="002B733E">
            <w:pPr>
              <w:pStyle w:val="7"/>
              <w:rPr>
                <w:b/>
              </w:rPr>
            </w:pPr>
            <w:r w:rsidRPr="00FD50F6">
              <w:rPr>
                <w:rFonts w:hint="eastAsia"/>
                <w:b/>
              </w:rPr>
              <w:t>16</w:t>
            </w:r>
            <w:r w:rsidRPr="00FD50F6">
              <w:rPr>
                <w:rFonts w:hint="eastAsia"/>
                <w:b/>
              </w:rPr>
              <w:t>”</w:t>
            </w:r>
          </w:p>
        </w:tc>
        <w:tc>
          <w:tcPr>
            <w:tcW w:w="756" w:type="dxa"/>
            <w:vAlign w:val="center"/>
          </w:tcPr>
          <w:p w14:paraId="3020671C" w14:textId="77777777" w:rsidR="002B733E" w:rsidRPr="00FD50F6" w:rsidRDefault="002B733E" w:rsidP="002B733E">
            <w:pPr>
              <w:pStyle w:val="7"/>
              <w:rPr>
                <w:b/>
              </w:rPr>
            </w:pPr>
            <w:r w:rsidRPr="00FD50F6">
              <w:rPr>
                <w:rFonts w:hint="eastAsia"/>
                <w:b/>
              </w:rPr>
              <w:t>17</w:t>
            </w:r>
            <w:r w:rsidRPr="00FD50F6">
              <w:rPr>
                <w:rFonts w:hint="eastAsia"/>
                <w:b/>
              </w:rPr>
              <w:t>”</w:t>
            </w:r>
          </w:p>
        </w:tc>
        <w:tc>
          <w:tcPr>
            <w:tcW w:w="756" w:type="dxa"/>
            <w:vAlign w:val="center"/>
          </w:tcPr>
          <w:p w14:paraId="662059A3" w14:textId="77777777" w:rsidR="002B733E" w:rsidRPr="00FD50F6" w:rsidRDefault="002B733E" w:rsidP="002B733E">
            <w:pPr>
              <w:pStyle w:val="7"/>
              <w:rPr>
                <w:b/>
              </w:rPr>
            </w:pPr>
            <w:r w:rsidRPr="00FD50F6">
              <w:rPr>
                <w:rFonts w:hint="eastAsia"/>
                <w:b/>
              </w:rPr>
              <w:t>18</w:t>
            </w:r>
            <w:r w:rsidRPr="00FD50F6">
              <w:rPr>
                <w:rFonts w:hint="eastAsia"/>
                <w:b/>
              </w:rPr>
              <w:t>”</w:t>
            </w:r>
          </w:p>
        </w:tc>
        <w:tc>
          <w:tcPr>
            <w:tcW w:w="756" w:type="dxa"/>
            <w:vAlign w:val="center"/>
          </w:tcPr>
          <w:p w14:paraId="021BB276" w14:textId="77777777" w:rsidR="002B733E" w:rsidRPr="00FD50F6" w:rsidRDefault="002B733E" w:rsidP="002B733E">
            <w:pPr>
              <w:pStyle w:val="7"/>
              <w:rPr>
                <w:b/>
              </w:rPr>
            </w:pPr>
            <w:r w:rsidRPr="00FD50F6">
              <w:rPr>
                <w:rFonts w:hint="eastAsia"/>
                <w:b/>
              </w:rPr>
              <w:t>19</w:t>
            </w:r>
            <w:r w:rsidRPr="00FD50F6">
              <w:rPr>
                <w:rFonts w:hint="eastAsia"/>
                <w:b/>
              </w:rPr>
              <w:t>”</w:t>
            </w:r>
          </w:p>
        </w:tc>
      </w:tr>
      <w:tr w:rsidR="00FD50F6" w:rsidRPr="00FD50F6" w14:paraId="73380CBA" w14:textId="77777777" w:rsidTr="002B733E">
        <w:trPr>
          <w:trHeight w:val="397"/>
          <w:jc w:val="center"/>
        </w:trPr>
        <w:tc>
          <w:tcPr>
            <w:tcW w:w="701" w:type="dxa"/>
            <w:vAlign w:val="center"/>
          </w:tcPr>
          <w:p w14:paraId="6068172D" w14:textId="77777777" w:rsidR="002B733E" w:rsidRPr="00FD50F6" w:rsidRDefault="002B733E" w:rsidP="002B733E">
            <w:pPr>
              <w:pStyle w:val="7"/>
            </w:pPr>
            <w:r w:rsidRPr="00FD50F6">
              <w:rPr>
                <w:rFonts w:hint="eastAsia"/>
              </w:rPr>
              <w:t>X</w:t>
            </w:r>
          </w:p>
        </w:tc>
        <w:tc>
          <w:tcPr>
            <w:tcW w:w="756" w:type="dxa"/>
            <w:vAlign w:val="center"/>
          </w:tcPr>
          <w:p w14:paraId="144DFB95" w14:textId="77777777" w:rsidR="002B733E" w:rsidRPr="00FD50F6" w:rsidRDefault="002B733E" w:rsidP="002B733E">
            <w:pPr>
              <w:pStyle w:val="7"/>
            </w:pPr>
            <w:r w:rsidRPr="00FD50F6">
              <w:rPr>
                <w:rFonts w:hint="eastAsia"/>
              </w:rPr>
              <w:t>1603</w:t>
            </w:r>
          </w:p>
        </w:tc>
        <w:tc>
          <w:tcPr>
            <w:tcW w:w="756" w:type="dxa"/>
            <w:vAlign w:val="center"/>
          </w:tcPr>
          <w:p w14:paraId="0EB93BA1" w14:textId="77777777" w:rsidR="002B733E" w:rsidRPr="00FD50F6" w:rsidRDefault="002B733E" w:rsidP="002B733E">
            <w:pPr>
              <w:pStyle w:val="7"/>
            </w:pPr>
            <w:r w:rsidRPr="00FD50F6">
              <w:rPr>
                <w:rFonts w:hint="eastAsia"/>
              </w:rPr>
              <w:t>1596</w:t>
            </w:r>
          </w:p>
        </w:tc>
        <w:tc>
          <w:tcPr>
            <w:tcW w:w="756" w:type="dxa"/>
            <w:vAlign w:val="center"/>
          </w:tcPr>
          <w:p w14:paraId="73314150" w14:textId="77777777" w:rsidR="002B733E" w:rsidRPr="00FD50F6" w:rsidRDefault="002B733E" w:rsidP="002B733E">
            <w:pPr>
              <w:pStyle w:val="7"/>
            </w:pPr>
            <w:r w:rsidRPr="00FD50F6">
              <w:rPr>
                <w:rFonts w:hint="eastAsia"/>
              </w:rPr>
              <w:t>1558</w:t>
            </w:r>
          </w:p>
        </w:tc>
        <w:tc>
          <w:tcPr>
            <w:tcW w:w="756" w:type="dxa"/>
            <w:vAlign w:val="center"/>
          </w:tcPr>
          <w:p w14:paraId="43A3923F" w14:textId="77777777" w:rsidR="002B733E" w:rsidRPr="00FD50F6" w:rsidRDefault="002B733E" w:rsidP="002B733E">
            <w:pPr>
              <w:pStyle w:val="7"/>
            </w:pPr>
            <w:r w:rsidRPr="00FD50F6">
              <w:rPr>
                <w:rFonts w:hint="eastAsia"/>
              </w:rPr>
              <w:t>1468</w:t>
            </w:r>
          </w:p>
        </w:tc>
        <w:tc>
          <w:tcPr>
            <w:tcW w:w="756" w:type="dxa"/>
            <w:vAlign w:val="center"/>
          </w:tcPr>
          <w:p w14:paraId="752E6236" w14:textId="77777777" w:rsidR="002B733E" w:rsidRPr="00FD50F6" w:rsidRDefault="002B733E" w:rsidP="002B733E">
            <w:pPr>
              <w:pStyle w:val="7"/>
            </w:pPr>
            <w:r w:rsidRPr="00FD50F6">
              <w:rPr>
                <w:rFonts w:hint="eastAsia"/>
              </w:rPr>
              <w:t>1044</w:t>
            </w:r>
          </w:p>
        </w:tc>
        <w:tc>
          <w:tcPr>
            <w:tcW w:w="756" w:type="dxa"/>
            <w:vAlign w:val="center"/>
          </w:tcPr>
          <w:p w14:paraId="0F7A9DF8" w14:textId="77777777" w:rsidR="002B733E" w:rsidRPr="00FD50F6" w:rsidRDefault="002B733E" w:rsidP="002B733E">
            <w:pPr>
              <w:pStyle w:val="7"/>
            </w:pPr>
            <w:r w:rsidRPr="00FD50F6">
              <w:rPr>
                <w:rFonts w:hint="eastAsia"/>
              </w:rPr>
              <w:t>1003</w:t>
            </w:r>
          </w:p>
        </w:tc>
        <w:tc>
          <w:tcPr>
            <w:tcW w:w="756" w:type="dxa"/>
            <w:vAlign w:val="center"/>
          </w:tcPr>
          <w:p w14:paraId="6E0AD961" w14:textId="77777777" w:rsidR="002B733E" w:rsidRPr="00FD50F6" w:rsidRDefault="002B733E" w:rsidP="002B733E">
            <w:pPr>
              <w:pStyle w:val="7"/>
            </w:pPr>
            <w:r w:rsidRPr="00FD50F6">
              <w:rPr>
                <w:rFonts w:hint="eastAsia"/>
              </w:rPr>
              <w:t>981</w:t>
            </w:r>
          </w:p>
        </w:tc>
        <w:tc>
          <w:tcPr>
            <w:tcW w:w="756" w:type="dxa"/>
            <w:vAlign w:val="center"/>
          </w:tcPr>
          <w:p w14:paraId="31425779" w14:textId="77777777" w:rsidR="002B733E" w:rsidRPr="00FD50F6" w:rsidRDefault="002B733E" w:rsidP="002B733E">
            <w:pPr>
              <w:pStyle w:val="7"/>
            </w:pPr>
            <w:r w:rsidRPr="00FD50F6">
              <w:rPr>
                <w:rFonts w:hint="eastAsia"/>
              </w:rPr>
              <w:t>973</w:t>
            </w:r>
          </w:p>
        </w:tc>
        <w:tc>
          <w:tcPr>
            <w:tcW w:w="756" w:type="dxa"/>
            <w:vAlign w:val="center"/>
          </w:tcPr>
          <w:p w14:paraId="592292E6" w14:textId="77777777" w:rsidR="002B733E" w:rsidRPr="00FD50F6" w:rsidRDefault="002B733E" w:rsidP="002B733E">
            <w:pPr>
              <w:pStyle w:val="7"/>
            </w:pPr>
            <w:r w:rsidRPr="00FD50F6">
              <w:rPr>
                <w:rFonts w:hint="eastAsia"/>
              </w:rPr>
              <w:t>855</w:t>
            </w:r>
          </w:p>
        </w:tc>
        <w:tc>
          <w:tcPr>
            <w:tcW w:w="756" w:type="dxa"/>
            <w:vAlign w:val="center"/>
          </w:tcPr>
          <w:p w14:paraId="1E6A6882" w14:textId="77777777" w:rsidR="002B733E" w:rsidRPr="00FD50F6" w:rsidRDefault="002B733E" w:rsidP="002B733E">
            <w:pPr>
              <w:pStyle w:val="7"/>
            </w:pPr>
            <w:r w:rsidRPr="00FD50F6">
              <w:rPr>
                <w:rFonts w:hint="eastAsia"/>
              </w:rPr>
              <w:t>855</w:t>
            </w:r>
          </w:p>
        </w:tc>
      </w:tr>
      <w:tr w:rsidR="00FD50F6" w:rsidRPr="00FD50F6" w14:paraId="014428F3" w14:textId="77777777" w:rsidTr="002B733E">
        <w:trPr>
          <w:trHeight w:val="397"/>
          <w:jc w:val="center"/>
        </w:trPr>
        <w:tc>
          <w:tcPr>
            <w:tcW w:w="701" w:type="dxa"/>
            <w:vAlign w:val="center"/>
          </w:tcPr>
          <w:p w14:paraId="484D430A" w14:textId="77777777" w:rsidR="002B733E" w:rsidRPr="00FD50F6" w:rsidRDefault="002B733E" w:rsidP="002B733E">
            <w:pPr>
              <w:pStyle w:val="7"/>
            </w:pPr>
            <w:r w:rsidRPr="00FD50F6">
              <w:rPr>
                <w:rFonts w:hint="eastAsia"/>
              </w:rPr>
              <w:t>Y</w:t>
            </w:r>
          </w:p>
        </w:tc>
        <w:tc>
          <w:tcPr>
            <w:tcW w:w="756" w:type="dxa"/>
            <w:vAlign w:val="center"/>
          </w:tcPr>
          <w:p w14:paraId="5711C00E" w14:textId="77777777" w:rsidR="002B733E" w:rsidRPr="00FD50F6" w:rsidRDefault="002B733E" w:rsidP="002B733E">
            <w:pPr>
              <w:pStyle w:val="7"/>
            </w:pPr>
            <w:r w:rsidRPr="00FD50F6">
              <w:rPr>
                <w:rFonts w:hint="eastAsia"/>
              </w:rPr>
              <w:t>751</w:t>
            </w:r>
          </w:p>
        </w:tc>
        <w:tc>
          <w:tcPr>
            <w:tcW w:w="756" w:type="dxa"/>
            <w:vAlign w:val="center"/>
          </w:tcPr>
          <w:p w14:paraId="5F01C8BA" w14:textId="77777777" w:rsidR="002B733E" w:rsidRPr="00FD50F6" w:rsidRDefault="002B733E" w:rsidP="002B733E">
            <w:pPr>
              <w:pStyle w:val="7"/>
            </w:pPr>
            <w:r w:rsidRPr="00FD50F6">
              <w:rPr>
                <w:rFonts w:hint="eastAsia"/>
              </w:rPr>
              <w:t>719</w:t>
            </w:r>
          </w:p>
        </w:tc>
        <w:tc>
          <w:tcPr>
            <w:tcW w:w="756" w:type="dxa"/>
            <w:vAlign w:val="center"/>
          </w:tcPr>
          <w:p w14:paraId="627E7A22" w14:textId="77777777" w:rsidR="002B733E" w:rsidRPr="00FD50F6" w:rsidRDefault="002B733E" w:rsidP="002B733E">
            <w:pPr>
              <w:pStyle w:val="7"/>
            </w:pPr>
            <w:r w:rsidRPr="00FD50F6">
              <w:rPr>
                <w:rFonts w:hint="eastAsia"/>
              </w:rPr>
              <w:t>545</w:t>
            </w:r>
          </w:p>
        </w:tc>
        <w:tc>
          <w:tcPr>
            <w:tcW w:w="756" w:type="dxa"/>
            <w:vAlign w:val="center"/>
          </w:tcPr>
          <w:p w14:paraId="29206024" w14:textId="77777777" w:rsidR="002B733E" w:rsidRPr="00FD50F6" w:rsidRDefault="002B733E" w:rsidP="002B733E">
            <w:pPr>
              <w:pStyle w:val="7"/>
            </w:pPr>
            <w:r w:rsidRPr="00FD50F6">
              <w:rPr>
                <w:rFonts w:hint="eastAsia"/>
              </w:rPr>
              <w:t>547</w:t>
            </w:r>
          </w:p>
        </w:tc>
        <w:tc>
          <w:tcPr>
            <w:tcW w:w="756" w:type="dxa"/>
            <w:vAlign w:val="center"/>
          </w:tcPr>
          <w:p w14:paraId="5A150D3C" w14:textId="77777777" w:rsidR="002B733E" w:rsidRPr="00FD50F6" w:rsidRDefault="002B733E" w:rsidP="002B733E">
            <w:pPr>
              <w:pStyle w:val="7"/>
            </w:pPr>
            <w:r w:rsidRPr="00FD50F6">
              <w:rPr>
                <w:rFonts w:hint="eastAsia"/>
              </w:rPr>
              <w:t>86</w:t>
            </w:r>
          </w:p>
        </w:tc>
        <w:tc>
          <w:tcPr>
            <w:tcW w:w="756" w:type="dxa"/>
            <w:vAlign w:val="center"/>
          </w:tcPr>
          <w:p w14:paraId="74A98D90" w14:textId="77777777" w:rsidR="002B733E" w:rsidRPr="00FD50F6" w:rsidRDefault="002B733E" w:rsidP="002B733E">
            <w:pPr>
              <w:pStyle w:val="7"/>
            </w:pPr>
            <w:r w:rsidRPr="00FD50F6">
              <w:rPr>
                <w:rFonts w:hint="eastAsia"/>
              </w:rPr>
              <w:t>88</w:t>
            </w:r>
          </w:p>
        </w:tc>
        <w:tc>
          <w:tcPr>
            <w:tcW w:w="756" w:type="dxa"/>
            <w:vAlign w:val="center"/>
          </w:tcPr>
          <w:p w14:paraId="27A8B431" w14:textId="77777777" w:rsidR="002B733E" w:rsidRPr="00FD50F6" w:rsidRDefault="002B733E" w:rsidP="002B733E">
            <w:pPr>
              <w:pStyle w:val="7"/>
            </w:pPr>
            <w:r w:rsidRPr="00FD50F6">
              <w:rPr>
                <w:rFonts w:hint="eastAsia"/>
              </w:rPr>
              <w:t>83</w:t>
            </w:r>
          </w:p>
        </w:tc>
        <w:tc>
          <w:tcPr>
            <w:tcW w:w="756" w:type="dxa"/>
            <w:vAlign w:val="center"/>
          </w:tcPr>
          <w:p w14:paraId="0E157E6A" w14:textId="77777777" w:rsidR="002B733E" w:rsidRPr="00FD50F6" w:rsidRDefault="002B733E" w:rsidP="002B733E">
            <w:pPr>
              <w:pStyle w:val="7"/>
            </w:pPr>
            <w:r w:rsidRPr="00FD50F6">
              <w:rPr>
                <w:rFonts w:hint="eastAsia"/>
              </w:rPr>
              <w:t>83</w:t>
            </w:r>
          </w:p>
        </w:tc>
        <w:tc>
          <w:tcPr>
            <w:tcW w:w="756" w:type="dxa"/>
            <w:vAlign w:val="center"/>
          </w:tcPr>
          <w:p w14:paraId="699F6E57" w14:textId="77777777" w:rsidR="002B733E" w:rsidRPr="00FD50F6" w:rsidRDefault="002B733E" w:rsidP="002B733E">
            <w:pPr>
              <w:pStyle w:val="7"/>
            </w:pPr>
            <w:r w:rsidRPr="00FD50F6">
              <w:rPr>
                <w:rFonts w:hint="eastAsia"/>
              </w:rPr>
              <w:t>84</w:t>
            </w:r>
          </w:p>
        </w:tc>
        <w:tc>
          <w:tcPr>
            <w:tcW w:w="756" w:type="dxa"/>
            <w:vAlign w:val="center"/>
          </w:tcPr>
          <w:p w14:paraId="2458E489" w14:textId="77777777" w:rsidR="002B733E" w:rsidRPr="00FD50F6" w:rsidRDefault="002B733E" w:rsidP="002B733E">
            <w:pPr>
              <w:pStyle w:val="7"/>
            </w:pPr>
            <w:r w:rsidRPr="00FD50F6">
              <w:rPr>
                <w:rFonts w:hint="eastAsia"/>
              </w:rPr>
              <w:t>-31</w:t>
            </w:r>
          </w:p>
        </w:tc>
      </w:tr>
      <w:tr w:rsidR="00FD50F6" w:rsidRPr="00FD50F6" w14:paraId="1A272B42" w14:textId="77777777" w:rsidTr="002B733E">
        <w:trPr>
          <w:trHeight w:val="397"/>
          <w:jc w:val="center"/>
        </w:trPr>
        <w:tc>
          <w:tcPr>
            <w:tcW w:w="701" w:type="dxa"/>
            <w:vAlign w:val="center"/>
          </w:tcPr>
          <w:p w14:paraId="2EE3A933" w14:textId="77777777" w:rsidR="002B733E" w:rsidRPr="00FD50F6" w:rsidRDefault="002B733E" w:rsidP="002B733E">
            <w:pPr>
              <w:pStyle w:val="7"/>
            </w:pPr>
            <w:r w:rsidRPr="00FD50F6">
              <w:rPr>
                <w:rFonts w:hint="eastAsia"/>
              </w:rPr>
              <w:t>点号</w:t>
            </w:r>
          </w:p>
        </w:tc>
        <w:tc>
          <w:tcPr>
            <w:tcW w:w="756" w:type="dxa"/>
            <w:vAlign w:val="center"/>
          </w:tcPr>
          <w:p w14:paraId="6EDEE8D6" w14:textId="77777777" w:rsidR="002B733E" w:rsidRPr="00FD50F6" w:rsidRDefault="002B733E" w:rsidP="002B733E">
            <w:pPr>
              <w:pStyle w:val="7"/>
              <w:rPr>
                <w:b/>
              </w:rPr>
            </w:pPr>
            <w:r w:rsidRPr="00FD50F6">
              <w:rPr>
                <w:rFonts w:hint="eastAsia"/>
                <w:b/>
              </w:rPr>
              <w:t>20</w:t>
            </w:r>
            <w:r w:rsidRPr="00FD50F6">
              <w:rPr>
                <w:rFonts w:hint="eastAsia"/>
                <w:b/>
              </w:rPr>
              <w:t>”</w:t>
            </w:r>
          </w:p>
        </w:tc>
        <w:tc>
          <w:tcPr>
            <w:tcW w:w="756" w:type="dxa"/>
            <w:vAlign w:val="center"/>
          </w:tcPr>
          <w:p w14:paraId="789740E1" w14:textId="77777777" w:rsidR="002B733E" w:rsidRPr="00FD50F6" w:rsidRDefault="002B733E" w:rsidP="002B733E">
            <w:pPr>
              <w:pStyle w:val="7"/>
              <w:rPr>
                <w:b/>
              </w:rPr>
            </w:pPr>
            <w:r w:rsidRPr="00FD50F6">
              <w:rPr>
                <w:rFonts w:hint="eastAsia"/>
                <w:b/>
              </w:rPr>
              <w:t>21</w:t>
            </w:r>
            <w:r w:rsidRPr="00FD50F6">
              <w:rPr>
                <w:rFonts w:hint="eastAsia"/>
                <w:b/>
              </w:rPr>
              <w:t>”</w:t>
            </w:r>
          </w:p>
        </w:tc>
        <w:tc>
          <w:tcPr>
            <w:tcW w:w="756" w:type="dxa"/>
            <w:vAlign w:val="center"/>
          </w:tcPr>
          <w:p w14:paraId="5DA0E5F5" w14:textId="77777777" w:rsidR="002B733E" w:rsidRPr="00FD50F6" w:rsidRDefault="002B733E" w:rsidP="002B733E">
            <w:pPr>
              <w:pStyle w:val="7"/>
              <w:rPr>
                <w:b/>
              </w:rPr>
            </w:pPr>
            <w:r w:rsidRPr="00FD50F6">
              <w:rPr>
                <w:rFonts w:hint="eastAsia"/>
                <w:b/>
              </w:rPr>
              <w:t>22</w:t>
            </w:r>
            <w:r w:rsidRPr="00FD50F6">
              <w:rPr>
                <w:rFonts w:hint="eastAsia"/>
                <w:b/>
              </w:rPr>
              <w:t>”</w:t>
            </w:r>
          </w:p>
        </w:tc>
        <w:tc>
          <w:tcPr>
            <w:tcW w:w="756" w:type="dxa"/>
            <w:vAlign w:val="center"/>
          </w:tcPr>
          <w:p w14:paraId="00A2C957" w14:textId="77777777" w:rsidR="002B733E" w:rsidRPr="00FD50F6" w:rsidRDefault="002B733E" w:rsidP="002B733E">
            <w:pPr>
              <w:pStyle w:val="7"/>
              <w:rPr>
                <w:b/>
              </w:rPr>
            </w:pPr>
            <w:r w:rsidRPr="00FD50F6">
              <w:rPr>
                <w:rFonts w:hint="eastAsia"/>
                <w:b/>
              </w:rPr>
              <w:t>23</w:t>
            </w:r>
            <w:r w:rsidRPr="00FD50F6">
              <w:rPr>
                <w:rFonts w:hint="eastAsia"/>
                <w:b/>
              </w:rPr>
              <w:t>”</w:t>
            </w:r>
          </w:p>
        </w:tc>
        <w:tc>
          <w:tcPr>
            <w:tcW w:w="756" w:type="dxa"/>
            <w:vAlign w:val="center"/>
          </w:tcPr>
          <w:p w14:paraId="0012C036" w14:textId="77777777" w:rsidR="002B733E" w:rsidRPr="00FD50F6" w:rsidRDefault="002B733E" w:rsidP="002B733E">
            <w:pPr>
              <w:pStyle w:val="7"/>
              <w:rPr>
                <w:b/>
              </w:rPr>
            </w:pPr>
            <w:r w:rsidRPr="00FD50F6">
              <w:rPr>
                <w:rFonts w:hint="eastAsia"/>
                <w:b/>
              </w:rPr>
              <w:t>24</w:t>
            </w:r>
            <w:r w:rsidRPr="00FD50F6">
              <w:rPr>
                <w:rFonts w:hint="eastAsia"/>
                <w:b/>
              </w:rPr>
              <w:t>”</w:t>
            </w:r>
          </w:p>
        </w:tc>
        <w:tc>
          <w:tcPr>
            <w:tcW w:w="756" w:type="dxa"/>
            <w:vAlign w:val="center"/>
          </w:tcPr>
          <w:p w14:paraId="6A649488" w14:textId="77777777" w:rsidR="002B733E" w:rsidRPr="00FD50F6" w:rsidRDefault="002B733E" w:rsidP="002B733E">
            <w:pPr>
              <w:pStyle w:val="7"/>
              <w:rPr>
                <w:b/>
              </w:rPr>
            </w:pPr>
            <w:r w:rsidRPr="00FD50F6">
              <w:rPr>
                <w:rFonts w:hint="eastAsia"/>
                <w:b/>
              </w:rPr>
              <w:t>25</w:t>
            </w:r>
            <w:r w:rsidRPr="00FD50F6">
              <w:rPr>
                <w:rFonts w:hint="eastAsia"/>
                <w:b/>
              </w:rPr>
              <w:t>”</w:t>
            </w:r>
          </w:p>
        </w:tc>
        <w:tc>
          <w:tcPr>
            <w:tcW w:w="756" w:type="dxa"/>
            <w:vAlign w:val="center"/>
          </w:tcPr>
          <w:p w14:paraId="2FA32499" w14:textId="77777777" w:rsidR="002B733E" w:rsidRPr="00FD50F6" w:rsidRDefault="002B733E" w:rsidP="002B733E">
            <w:pPr>
              <w:pStyle w:val="7"/>
              <w:rPr>
                <w:b/>
              </w:rPr>
            </w:pPr>
            <w:r w:rsidRPr="00FD50F6">
              <w:rPr>
                <w:rFonts w:hint="eastAsia"/>
                <w:b/>
              </w:rPr>
              <w:t>26</w:t>
            </w:r>
            <w:r w:rsidRPr="00FD50F6">
              <w:rPr>
                <w:rFonts w:hint="eastAsia"/>
                <w:b/>
              </w:rPr>
              <w:t>”</w:t>
            </w:r>
          </w:p>
        </w:tc>
        <w:tc>
          <w:tcPr>
            <w:tcW w:w="756" w:type="dxa"/>
            <w:vAlign w:val="center"/>
          </w:tcPr>
          <w:p w14:paraId="20BFC039" w14:textId="77777777" w:rsidR="002B733E" w:rsidRPr="00FD50F6" w:rsidRDefault="002B733E" w:rsidP="002B733E">
            <w:pPr>
              <w:pStyle w:val="7"/>
              <w:rPr>
                <w:b/>
              </w:rPr>
            </w:pPr>
            <w:r w:rsidRPr="00FD50F6">
              <w:rPr>
                <w:rFonts w:hint="eastAsia"/>
                <w:b/>
              </w:rPr>
              <w:t>27</w:t>
            </w:r>
            <w:r w:rsidRPr="00FD50F6">
              <w:rPr>
                <w:rFonts w:hint="eastAsia"/>
                <w:b/>
              </w:rPr>
              <w:t>”</w:t>
            </w:r>
          </w:p>
        </w:tc>
        <w:tc>
          <w:tcPr>
            <w:tcW w:w="756" w:type="dxa"/>
            <w:vAlign w:val="center"/>
          </w:tcPr>
          <w:p w14:paraId="773E1ED9" w14:textId="77777777" w:rsidR="002B733E" w:rsidRPr="00FD50F6" w:rsidRDefault="002B733E" w:rsidP="002B733E">
            <w:pPr>
              <w:pStyle w:val="7"/>
              <w:rPr>
                <w:b/>
              </w:rPr>
            </w:pPr>
            <w:r w:rsidRPr="00FD50F6">
              <w:rPr>
                <w:rFonts w:hint="eastAsia"/>
                <w:b/>
              </w:rPr>
              <w:t>28</w:t>
            </w:r>
            <w:r w:rsidRPr="00FD50F6">
              <w:rPr>
                <w:rFonts w:hint="eastAsia"/>
                <w:b/>
              </w:rPr>
              <w:t>”</w:t>
            </w:r>
          </w:p>
        </w:tc>
        <w:tc>
          <w:tcPr>
            <w:tcW w:w="756" w:type="dxa"/>
            <w:vAlign w:val="bottom"/>
          </w:tcPr>
          <w:p w14:paraId="25326A5D" w14:textId="77777777" w:rsidR="002B733E" w:rsidRPr="00FD50F6" w:rsidRDefault="002B733E" w:rsidP="002B733E">
            <w:pPr>
              <w:pStyle w:val="7"/>
              <w:rPr>
                <w:b/>
              </w:rPr>
            </w:pPr>
            <w:r w:rsidRPr="00FD50F6">
              <w:rPr>
                <w:rFonts w:hint="eastAsia"/>
                <w:b/>
              </w:rPr>
              <w:t>—</w:t>
            </w:r>
          </w:p>
        </w:tc>
      </w:tr>
      <w:tr w:rsidR="00FD50F6" w:rsidRPr="00FD50F6" w14:paraId="039C614F" w14:textId="77777777" w:rsidTr="002B733E">
        <w:trPr>
          <w:trHeight w:val="397"/>
          <w:jc w:val="center"/>
        </w:trPr>
        <w:tc>
          <w:tcPr>
            <w:tcW w:w="701" w:type="dxa"/>
            <w:vAlign w:val="center"/>
          </w:tcPr>
          <w:p w14:paraId="6BB342AA" w14:textId="77777777" w:rsidR="002B733E" w:rsidRPr="00FD50F6" w:rsidRDefault="002B733E" w:rsidP="002B733E">
            <w:pPr>
              <w:pStyle w:val="7"/>
            </w:pPr>
            <w:r w:rsidRPr="00FD50F6">
              <w:rPr>
                <w:rFonts w:hint="eastAsia"/>
              </w:rPr>
              <w:t>X</w:t>
            </w:r>
          </w:p>
        </w:tc>
        <w:tc>
          <w:tcPr>
            <w:tcW w:w="756" w:type="dxa"/>
            <w:vAlign w:val="center"/>
          </w:tcPr>
          <w:p w14:paraId="57115CBB" w14:textId="77777777" w:rsidR="002B733E" w:rsidRPr="00FD50F6" w:rsidRDefault="002B733E" w:rsidP="002B733E">
            <w:pPr>
              <w:pStyle w:val="7"/>
            </w:pPr>
            <w:r w:rsidRPr="00FD50F6">
              <w:rPr>
                <w:rFonts w:hint="eastAsia"/>
              </w:rPr>
              <w:t>790</w:t>
            </w:r>
          </w:p>
        </w:tc>
        <w:tc>
          <w:tcPr>
            <w:tcW w:w="756" w:type="dxa"/>
            <w:vAlign w:val="center"/>
          </w:tcPr>
          <w:p w14:paraId="501F5E34" w14:textId="77777777" w:rsidR="002B733E" w:rsidRPr="00FD50F6" w:rsidRDefault="002B733E" w:rsidP="002B733E">
            <w:pPr>
              <w:pStyle w:val="7"/>
            </w:pPr>
            <w:r w:rsidRPr="00FD50F6">
              <w:rPr>
                <w:rFonts w:hint="eastAsia"/>
              </w:rPr>
              <w:t>750</w:t>
            </w:r>
          </w:p>
        </w:tc>
        <w:tc>
          <w:tcPr>
            <w:tcW w:w="756" w:type="dxa"/>
            <w:vAlign w:val="center"/>
          </w:tcPr>
          <w:p w14:paraId="5E6DDCC9" w14:textId="77777777" w:rsidR="002B733E" w:rsidRPr="00FD50F6" w:rsidRDefault="002B733E" w:rsidP="002B733E">
            <w:pPr>
              <w:pStyle w:val="7"/>
            </w:pPr>
            <w:r w:rsidRPr="00FD50F6">
              <w:rPr>
                <w:rFonts w:hint="eastAsia"/>
              </w:rPr>
              <w:t>750</w:t>
            </w:r>
          </w:p>
        </w:tc>
        <w:tc>
          <w:tcPr>
            <w:tcW w:w="756" w:type="dxa"/>
            <w:vAlign w:val="center"/>
          </w:tcPr>
          <w:p w14:paraId="37BBFA70" w14:textId="77777777" w:rsidR="002B733E" w:rsidRPr="00FD50F6" w:rsidRDefault="002B733E" w:rsidP="002B733E">
            <w:pPr>
              <w:pStyle w:val="7"/>
            </w:pPr>
            <w:r w:rsidRPr="00FD50F6">
              <w:rPr>
                <w:rFonts w:hint="eastAsia"/>
              </w:rPr>
              <w:t>633</w:t>
            </w:r>
          </w:p>
        </w:tc>
        <w:tc>
          <w:tcPr>
            <w:tcW w:w="756" w:type="dxa"/>
            <w:vAlign w:val="center"/>
          </w:tcPr>
          <w:p w14:paraId="41837859" w14:textId="77777777" w:rsidR="002B733E" w:rsidRPr="00FD50F6" w:rsidRDefault="002B733E" w:rsidP="002B733E">
            <w:pPr>
              <w:pStyle w:val="7"/>
            </w:pPr>
            <w:r w:rsidRPr="00FD50F6">
              <w:rPr>
                <w:rFonts w:hint="eastAsia"/>
              </w:rPr>
              <w:t>633</w:t>
            </w:r>
          </w:p>
        </w:tc>
        <w:tc>
          <w:tcPr>
            <w:tcW w:w="756" w:type="dxa"/>
            <w:vAlign w:val="center"/>
          </w:tcPr>
          <w:p w14:paraId="6BACCA1E" w14:textId="77777777" w:rsidR="002B733E" w:rsidRPr="00FD50F6" w:rsidRDefault="002B733E" w:rsidP="002B733E">
            <w:pPr>
              <w:pStyle w:val="7"/>
            </w:pPr>
            <w:r w:rsidRPr="00FD50F6">
              <w:rPr>
                <w:rFonts w:hint="eastAsia"/>
              </w:rPr>
              <w:t>527</w:t>
            </w:r>
          </w:p>
        </w:tc>
        <w:tc>
          <w:tcPr>
            <w:tcW w:w="756" w:type="dxa"/>
            <w:vAlign w:val="center"/>
          </w:tcPr>
          <w:p w14:paraId="5ED2CE4B" w14:textId="77777777" w:rsidR="002B733E" w:rsidRPr="00FD50F6" w:rsidRDefault="002B733E" w:rsidP="002B733E">
            <w:pPr>
              <w:pStyle w:val="7"/>
            </w:pPr>
            <w:r w:rsidRPr="00FD50F6">
              <w:rPr>
                <w:rFonts w:hint="eastAsia"/>
              </w:rPr>
              <w:t>135</w:t>
            </w:r>
          </w:p>
        </w:tc>
        <w:tc>
          <w:tcPr>
            <w:tcW w:w="756" w:type="dxa"/>
            <w:vAlign w:val="center"/>
          </w:tcPr>
          <w:p w14:paraId="5840F494" w14:textId="77777777" w:rsidR="002B733E" w:rsidRPr="00FD50F6" w:rsidRDefault="002B733E" w:rsidP="002B733E">
            <w:pPr>
              <w:pStyle w:val="7"/>
            </w:pPr>
            <w:r w:rsidRPr="00FD50F6">
              <w:rPr>
                <w:rFonts w:hint="eastAsia"/>
              </w:rPr>
              <w:t>135</w:t>
            </w:r>
          </w:p>
        </w:tc>
        <w:tc>
          <w:tcPr>
            <w:tcW w:w="756" w:type="dxa"/>
            <w:vAlign w:val="center"/>
          </w:tcPr>
          <w:p w14:paraId="4EF3A9BB" w14:textId="77777777" w:rsidR="002B733E" w:rsidRPr="00FD50F6" w:rsidRDefault="002B733E" w:rsidP="002B733E">
            <w:pPr>
              <w:pStyle w:val="7"/>
            </w:pPr>
            <w:r w:rsidRPr="00FD50F6">
              <w:rPr>
                <w:rFonts w:hint="eastAsia"/>
              </w:rPr>
              <w:t>0</w:t>
            </w:r>
          </w:p>
        </w:tc>
        <w:tc>
          <w:tcPr>
            <w:tcW w:w="756" w:type="dxa"/>
            <w:vAlign w:val="bottom"/>
          </w:tcPr>
          <w:p w14:paraId="74C34E36" w14:textId="77777777" w:rsidR="002B733E" w:rsidRPr="00FD50F6" w:rsidRDefault="002B733E" w:rsidP="002B733E">
            <w:pPr>
              <w:pStyle w:val="7"/>
              <w:rPr>
                <w:b/>
              </w:rPr>
            </w:pPr>
            <w:r w:rsidRPr="00FD50F6">
              <w:rPr>
                <w:rFonts w:hint="eastAsia"/>
                <w:b/>
              </w:rPr>
              <w:t>—</w:t>
            </w:r>
          </w:p>
        </w:tc>
      </w:tr>
      <w:tr w:rsidR="00FD50F6" w:rsidRPr="00FD50F6" w14:paraId="4D23D576" w14:textId="77777777" w:rsidTr="002B733E">
        <w:trPr>
          <w:trHeight w:val="397"/>
          <w:jc w:val="center"/>
        </w:trPr>
        <w:tc>
          <w:tcPr>
            <w:tcW w:w="701" w:type="dxa"/>
            <w:vAlign w:val="center"/>
          </w:tcPr>
          <w:p w14:paraId="214DD88F" w14:textId="77777777" w:rsidR="002B733E" w:rsidRPr="00FD50F6" w:rsidRDefault="002B733E" w:rsidP="002B733E">
            <w:pPr>
              <w:pStyle w:val="7"/>
            </w:pPr>
            <w:r w:rsidRPr="00FD50F6">
              <w:rPr>
                <w:rFonts w:hint="eastAsia"/>
              </w:rPr>
              <w:t>Y</w:t>
            </w:r>
          </w:p>
        </w:tc>
        <w:tc>
          <w:tcPr>
            <w:tcW w:w="756" w:type="dxa"/>
            <w:vAlign w:val="center"/>
          </w:tcPr>
          <w:p w14:paraId="4279BD04" w14:textId="77777777" w:rsidR="002B733E" w:rsidRPr="00FD50F6" w:rsidRDefault="002B733E" w:rsidP="002B733E">
            <w:pPr>
              <w:pStyle w:val="7"/>
            </w:pPr>
            <w:r w:rsidRPr="00FD50F6">
              <w:rPr>
                <w:rFonts w:hint="eastAsia"/>
              </w:rPr>
              <w:t>-31</w:t>
            </w:r>
          </w:p>
        </w:tc>
        <w:tc>
          <w:tcPr>
            <w:tcW w:w="756" w:type="dxa"/>
            <w:vAlign w:val="center"/>
          </w:tcPr>
          <w:p w14:paraId="53551ED7" w14:textId="77777777" w:rsidR="002B733E" w:rsidRPr="00FD50F6" w:rsidRDefault="002B733E" w:rsidP="002B733E">
            <w:pPr>
              <w:pStyle w:val="7"/>
            </w:pPr>
            <w:r w:rsidRPr="00FD50F6">
              <w:rPr>
                <w:rFonts w:hint="eastAsia"/>
              </w:rPr>
              <w:t>-31</w:t>
            </w:r>
          </w:p>
        </w:tc>
        <w:tc>
          <w:tcPr>
            <w:tcW w:w="756" w:type="dxa"/>
            <w:vAlign w:val="center"/>
          </w:tcPr>
          <w:p w14:paraId="038CF686" w14:textId="77777777" w:rsidR="002B733E" w:rsidRPr="00FD50F6" w:rsidRDefault="002B733E" w:rsidP="002B733E">
            <w:pPr>
              <w:pStyle w:val="7"/>
            </w:pPr>
            <w:r w:rsidRPr="00FD50F6">
              <w:rPr>
                <w:rFonts w:hint="eastAsia"/>
              </w:rPr>
              <w:t>-71</w:t>
            </w:r>
          </w:p>
        </w:tc>
        <w:tc>
          <w:tcPr>
            <w:tcW w:w="756" w:type="dxa"/>
            <w:vAlign w:val="center"/>
          </w:tcPr>
          <w:p w14:paraId="51DA330B" w14:textId="77777777" w:rsidR="002B733E" w:rsidRPr="00FD50F6" w:rsidRDefault="002B733E" w:rsidP="002B733E">
            <w:pPr>
              <w:pStyle w:val="7"/>
            </w:pPr>
            <w:r w:rsidRPr="00FD50F6">
              <w:rPr>
                <w:rFonts w:hint="eastAsia"/>
              </w:rPr>
              <w:t>-71</w:t>
            </w:r>
          </w:p>
        </w:tc>
        <w:tc>
          <w:tcPr>
            <w:tcW w:w="756" w:type="dxa"/>
            <w:vAlign w:val="center"/>
          </w:tcPr>
          <w:p w14:paraId="3AE507F6" w14:textId="77777777" w:rsidR="002B733E" w:rsidRPr="00FD50F6" w:rsidRDefault="002B733E" w:rsidP="002B733E">
            <w:pPr>
              <w:pStyle w:val="7"/>
            </w:pPr>
            <w:r w:rsidRPr="00FD50F6">
              <w:rPr>
                <w:rFonts w:hint="eastAsia"/>
              </w:rPr>
              <w:t>15</w:t>
            </w:r>
          </w:p>
        </w:tc>
        <w:tc>
          <w:tcPr>
            <w:tcW w:w="756" w:type="dxa"/>
            <w:vAlign w:val="center"/>
          </w:tcPr>
          <w:p w14:paraId="7F6F2F78" w14:textId="77777777" w:rsidR="002B733E" w:rsidRPr="00FD50F6" w:rsidRDefault="002B733E" w:rsidP="002B733E">
            <w:pPr>
              <w:pStyle w:val="7"/>
            </w:pPr>
            <w:r w:rsidRPr="00FD50F6">
              <w:rPr>
                <w:rFonts w:hint="eastAsia"/>
              </w:rPr>
              <w:t>16</w:t>
            </w:r>
          </w:p>
        </w:tc>
        <w:tc>
          <w:tcPr>
            <w:tcW w:w="756" w:type="dxa"/>
            <w:vAlign w:val="center"/>
          </w:tcPr>
          <w:p w14:paraId="677D1D41" w14:textId="77777777" w:rsidR="002B733E" w:rsidRPr="00FD50F6" w:rsidRDefault="002B733E" w:rsidP="002B733E">
            <w:pPr>
              <w:pStyle w:val="7"/>
            </w:pPr>
            <w:r w:rsidRPr="00FD50F6">
              <w:rPr>
                <w:rFonts w:hint="eastAsia"/>
              </w:rPr>
              <w:t>17</w:t>
            </w:r>
          </w:p>
        </w:tc>
        <w:tc>
          <w:tcPr>
            <w:tcW w:w="756" w:type="dxa"/>
            <w:vAlign w:val="center"/>
          </w:tcPr>
          <w:p w14:paraId="45D840D2" w14:textId="77777777" w:rsidR="002B733E" w:rsidRPr="00FD50F6" w:rsidRDefault="002B733E" w:rsidP="002B733E">
            <w:pPr>
              <w:pStyle w:val="7"/>
            </w:pPr>
            <w:r w:rsidRPr="00FD50F6">
              <w:rPr>
                <w:rFonts w:hint="eastAsia"/>
              </w:rPr>
              <w:t>64</w:t>
            </w:r>
          </w:p>
        </w:tc>
        <w:tc>
          <w:tcPr>
            <w:tcW w:w="756" w:type="dxa"/>
            <w:vAlign w:val="center"/>
          </w:tcPr>
          <w:p w14:paraId="143B9BF2" w14:textId="77777777" w:rsidR="002B733E" w:rsidRPr="00FD50F6" w:rsidRDefault="002B733E" w:rsidP="002B733E">
            <w:pPr>
              <w:pStyle w:val="7"/>
            </w:pPr>
            <w:r w:rsidRPr="00FD50F6">
              <w:rPr>
                <w:rFonts w:hint="eastAsia"/>
              </w:rPr>
              <w:t>65</w:t>
            </w:r>
          </w:p>
        </w:tc>
        <w:tc>
          <w:tcPr>
            <w:tcW w:w="756" w:type="dxa"/>
            <w:vAlign w:val="bottom"/>
          </w:tcPr>
          <w:p w14:paraId="4DDA5CB8" w14:textId="77777777" w:rsidR="002B733E" w:rsidRPr="00FD50F6" w:rsidRDefault="002B733E" w:rsidP="002B733E">
            <w:pPr>
              <w:pStyle w:val="7"/>
              <w:rPr>
                <w:b/>
              </w:rPr>
            </w:pPr>
            <w:r w:rsidRPr="00FD50F6">
              <w:rPr>
                <w:rFonts w:hint="eastAsia"/>
                <w:b/>
              </w:rPr>
              <w:t>—</w:t>
            </w:r>
          </w:p>
        </w:tc>
      </w:tr>
      <w:tr w:rsidR="00FD50F6" w:rsidRPr="00FD50F6" w14:paraId="7BA56873" w14:textId="77777777" w:rsidTr="002B733E">
        <w:trPr>
          <w:trHeight w:val="397"/>
          <w:jc w:val="center"/>
        </w:trPr>
        <w:tc>
          <w:tcPr>
            <w:tcW w:w="701" w:type="dxa"/>
            <w:vAlign w:val="center"/>
          </w:tcPr>
          <w:p w14:paraId="72C0E8CE" w14:textId="77777777" w:rsidR="002B733E" w:rsidRPr="00FD50F6" w:rsidRDefault="002B733E" w:rsidP="002B733E">
            <w:pPr>
              <w:pStyle w:val="7"/>
            </w:pPr>
            <w:r w:rsidRPr="00FD50F6">
              <w:rPr>
                <w:rFonts w:hint="eastAsia"/>
              </w:rPr>
              <w:t>点号</w:t>
            </w:r>
          </w:p>
        </w:tc>
        <w:tc>
          <w:tcPr>
            <w:tcW w:w="756" w:type="dxa"/>
            <w:vAlign w:val="bottom"/>
          </w:tcPr>
          <w:p w14:paraId="6DB017FA" w14:textId="77777777" w:rsidR="002B733E" w:rsidRPr="00FD50F6" w:rsidRDefault="002B733E" w:rsidP="002B733E">
            <w:pPr>
              <w:pStyle w:val="7"/>
              <w:rPr>
                <w:b/>
              </w:rPr>
            </w:pPr>
            <w:r w:rsidRPr="00FD50F6">
              <w:rPr>
                <w:rFonts w:hint="eastAsia"/>
                <w:b/>
              </w:rPr>
              <w:t>29d</w:t>
            </w:r>
            <w:r w:rsidRPr="00FD50F6">
              <w:rPr>
                <w:rFonts w:hint="eastAsia"/>
                <w:b/>
              </w:rPr>
              <w:t>”</w:t>
            </w:r>
          </w:p>
        </w:tc>
        <w:tc>
          <w:tcPr>
            <w:tcW w:w="756" w:type="dxa"/>
            <w:vAlign w:val="bottom"/>
          </w:tcPr>
          <w:p w14:paraId="1794B674" w14:textId="77777777" w:rsidR="002B733E" w:rsidRPr="00FD50F6" w:rsidRDefault="002B733E" w:rsidP="002B733E">
            <w:pPr>
              <w:pStyle w:val="7"/>
              <w:rPr>
                <w:b/>
              </w:rPr>
            </w:pPr>
            <w:r w:rsidRPr="00FD50F6">
              <w:rPr>
                <w:rFonts w:hint="eastAsia"/>
                <w:b/>
              </w:rPr>
              <w:t>30d</w:t>
            </w:r>
            <w:r w:rsidRPr="00FD50F6">
              <w:rPr>
                <w:rFonts w:hint="eastAsia"/>
                <w:b/>
              </w:rPr>
              <w:t>”</w:t>
            </w:r>
          </w:p>
        </w:tc>
        <w:tc>
          <w:tcPr>
            <w:tcW w:w="756" w:type="dxa"/>
            <w:vAlign w:val="bottom"/>
          </w:tcPr>
          <w:p w14:paraId="3F283185" w14:textId="77777777" w:rsidR="002B733E" w:rsidRPr="00FD50F6" w:rsidRDefault="002B733E" w:rsidP="002B733E">
            <w:pPr>
              <w:pStyle w:val="7"/>
              <w:rPr>
                <w:b/>
              </w:rPr>
            </w:pPr>
            <w:r w:rsidRPr="00FD50F6">
              <w:rPr>
                <w:rFonts w:hint="eastAsia"/>
                <w:b/>
              </w:rPr>
              <w:t>31d</w:t>
            </w:r>
            <w:r w:rsidRPr="00FD50F6">
              <w:rPr>
                <w:rFonts w:hint="eastAsia"/>
                <w:b/>
              </w:rPr>
              <w:t>”</w:t>
            </w:r>
          </w:p>
        </w:tc>
        <w:tc>
          <w:tcPr>
            <w:tcW w:w="756" w:type="dxa"/>
            <w:vAlign w:val="bottom"/>
          </w:tcPr>
          <w:p w14:paraId="040089B2" w14:textId="77777777" w:rsidR="002B733E" w:rsidRPr="00FD50F6" w:rsidRDefault="002B733E" w:rsidP="002B733E">
            <w:pPr>
              <w:pStyle w:val="7"/>
              <w:rPr>
                <w:b/>
              </w:rPr>
            </w:pPr>
            <w:r w:rsidRPr="00FD50F6">
              <w:rPr>
                <w:rFonts w:hint="eastAsia"/>
                <w:b/>
              </w:rPr>
              <w:t>32d</w:t>
            </w:r>
            <w:r w:rsidRPr="00FD50F6">
              <w:rPr>
                <w:rFonts w:hint="eastAsia"/>
                <w:b/>
              </w:rPr>
              <w:t>”</w:t>
            </w:r>
          </w:p>
        </w:tc>
        <w:tc>
          <w:tcPr>
            <w:tcW w:w="756" w:type="dxa"/>
            <w:vAlign w:val="bottom"/>
          </w:tcPr>
          <w:p w14:paraId="23AF24FE" w14:textId="77777777" w:rsidR="002B733E" w:rsidRPr="00FD50F6" w:rsidRDefault="002B733E" w:rsidP="002B733E">
            <w:pPr>
              <w:pStyle w:val="7"/>
              <w:rPr>
                <w:b/>
              </w:rPr>
            </w:pPr>
            <w:r w:rsidRPr="00FD50F6">
              <w:rPr>
                <w:rFonts w:hint="eastAsia"/>
                <w:b/>
              </w:rPr>
              <w:t>33d</w:t>
            </w:r>
            <w:r w:rsidRPr="00FD50F6">
              <w:rPr>
                <w:rFonts w:hint="eastAsia"/>
                <w:b/>
              </w:rPr>
              <w:t>”</w:t>
            </w:r>
          </w:p>
        </w:tc>
        <w:tc>
          <w:tcPr>
            <w:tcW w:w="756" w:type="dxa"/>
            <w:vAlign w:val="bottom"/>
          </w:tcPr>
          <w:p w14:paraId="112AE803" w14:textId="77777777" w:rsidR="002B733E" w:rsidRPr="00FD50F6" w:rsidRDefault="002B733E" w:rsidP="002B733E">
            <w:pPr>
              <w:pStyle w:val="7"/>
              <w:rPr>
                <w:b/>
              </w:rPr>
            </w:pPr>
            <w:r w:rsidRPr="00FD50F6">
              <w:rPr>
                <w:rFonts w:hint="eastAsia"/>
                <w:b/>
              </w:rPr>
              <w:t>34d</w:t>
            </w:r>
            <w:r w:rsidRPr="00FD50F6">
              <w:rPr>
                <w:rFonts w:hint="eastAsia"/>
                <w:b/>
              </w:rPr>
              <w:t>”</w:t>
            </w:r>
          </w:p>
        </w:tc>
        <w:tc>
          <w:tcPr>
            <w:tcW w:w="756" w:type="dxa"/>
            <w:vAlign w:val="bottom"/>
          </w:tcPr>
          <w:p w14:paraId="3613765C" w14:textId="77777777" w:rsidR="002B733E" w:rsidRPr="00FD50F6" w:rsidRDefault="002B733E" w:rsidP="002B733E">
            <w:pPr>
              <w:pStyle w:val="7"/>
              <w:rPr>
                <w:b/>
              </w:rPr>
            </w:pPr>
            <w:r w:rsidRPr="00FD50F6">
              <w:rPr>
                <w:rFonts w:hint="eastAsia"/>
                <w:b/>
              </w:rPr>
              <w:t>—</w:t>
            </w:r>
          </w:p>
        </w:tc>
        <w:tc>
          <w:tcPr>
            <w:tcW w:w="756" w:type="dxa"/>
            <w:vAlign w:val="bottom"/>
          </w:tcPr>
          <w:p w14:paraId="23B074E6" w14:textId="77777777" w:rsidR="002B733E" w:rsidRPr="00FD50F6" w:rsidRDefault="002B733E" w:rsidP="002B733E">
            <w:pPr>
              <w:pStyle w:val="7"/>
              <w:rPr>
                <w:b/>
              </w:rPr>
            </w:pPr>
            <w:r w:rsidRPr="00FD50F6">
              <w:rPr>
                <w:rFonts w:hint="eastAsia"/>
                <w:b/>
              </w:rPr>
              <w:t>—</w:t>
            </w:r>
          </w:p>
        </w:tc>
        <w:tc>
          <w:tcPr>
            <w:tcW w:w="756" w:type="dxa"/>
            <w:vAlign w:val="bottom"/>
          </w:tcPr>
          <w:p w14:paraId="43816E5A" w14:textId="77777777" w:rsidR="002B733E" w:rsidRPr="00FD50F6" w:rsidRDefault="002B733E" w:rsidP="002B733E">
            <w:pPr>
              <w:pStyle w:val="7"/>
              <w:rPr>
                <w:b/>
              </w:rPr>
            </w:pPr>
            <w:r w:rsidRPr="00FD50F6">
              <w:rPr>
                <w:rFonts w:hint="eastAsia"/>
                <w:b/>
              </w:rPr>
              <w:t>—</w:t>
            </w:r>
          </w:p>
        </w:tc>
        <w:tc>
          <w:tcPr>
            <w:tcW w:w="756" w:type="dxa"/>
            <w:vAlign w:val="bottom"/>
          </w:tcPr>
          <w:p w14:paraId="57734185" w14:textId="77777777" w:rsidR="002B733E" w:rsidRPr="00FD50F6" w:rsidRDefault="002B733E" w:rsidP="002B733E">
            <w:pPr>
              <w:pStyle w:val="7"/>
              <w:rPr>
                <w:b/>
              </w:rPr>
            </w:pPr>
            <w:r w:rsidRPr="00FD50F6">
              <w:rPr>
                <w:rFonts w:hint="eastAsia"/>
                <w:b/>
              </w:rPr>
              <w:t>—</w:t>
            </w:r>
          </w:p>
        </w:tc>
      </w:tr>
      <w:tr w:rsidR="00FD50F6" w:rsidRPr="00FD50F6" w14:paraId="5FCC34FD" w14:textId="77777777" w:rsidTr="002B733E">
        <w:trPr>
          <w:trHeight w:val="397"/>
          <w:jc w:val="center"/>
        </w:trPr>
        <w:tc>
          <w:tcPr>
            <w:tcW w:w="701" w:type="dxa"/>
            <w:vAlign w:val="center"/>
          </w:tcPr>
          <w:p w14:paraId="13A4FB84" w14:textId="77777777" w:rsidR="002B733E" w:rsidRPr="00FD50F6" w:rsidRDefault="002B733E" w:rsidP="002B733E">
            <w:pPr>
              <w:pStyle w:val="7"/>
            </w:pPr>
            <w:r w:rsidRPr="00FD50F6">
              <w:rPr>
                <w:rFonts w:hint="eastAsia"/>
              </w:rPr>
              <w:t>X</w:t>
            </w:r>
          </w:p>
        </w:tc>
        <w:tc>
          <w:tcPr>
            <w:tcW w:w="756" w:type="dxa"/>
            <w:vAlign w:val="bottom"/>
          </w:tcPr>
          <w:p w14:paraId="3B51B49F" w14:textId="77777777" w:rsidR="002B733E" w:rsidRPr="00FD50F6" w:rsidRDefault="002B733E" w:rsidP="002B733E">
            <w:pPr>
              <w:pStyle w:val="7"/>
            </w:pPr>
            <w:r w:rsidRPr="00FD50F6">
              <w:rPr>
                <w:rFonts w:hint="eastAsia"/>
              </w:rPr>
              <w:t>-1409</w:t>
            </w:r>
          </w:p>
        </w:tc>
        <w:tc>
          <w:tcPr>
            <w:tcW w:w="756" w:type="dxa"/>
            <w:vAlign w:val="bottom"/>
          </w:tcPr>
          <w:p w14:paraId="488AFE0B" w14:textId="77777777" w:rsidR="002B733E" w:rsidRPr="00FD50F6" w:rsidRDefault="002B733E" w:rsidP="002B733E">
            <w:pPr>
              <w:pStyle w:val="7"/>
            </w:pPr>
            <w:r w:rsidRPr="00FD50F6">
              <w:rPr>
                <w:rFonts w:hint="eastAsia"/>
              </w:rPr>
              <w:t>-1633</w:t>
            </w:r>
          </w:p>
        </w:tc>
        <w:tc>
          <w:tcPr>
            <w:tcW w:w="756" w:type="dxa"/>
            <w:vAlign w:val="bottom"/>
          </w:tcPr>
          <w:p w14:paraId="1740D460" w14:textId="77777777" w:rsidR="002B733E" w:rsidRPr="00FD50F6" w:rsidRDefault="002B733E" w:rsidP="002B733E">
            <w:pPr>
              <w:pStyle w:val="7"/>
            </w:pPr>
            <w:r w:rsidRPr="00FD50F6">
              <w:rPr>
                <w:rFonts w:hint="eastAsia"/>
              </w:rPr>
              <w:t>-1633</w:t>
            </w:r>
          </w:p>
        </w:tc>
        <w:tc>
          <w:tcPr>
            <w:tcW w:w="756" w:type="dxa"/>
            <w:vAlign w:val="bottom"/>
          </w:tcPr>
          <w:p w14:paraId="2D201B54" w14:textId="77777777" w:rsidR="002B733E" w:rsidRPr="00FD50F6" w:rsidRDefault="002B733E" w:rsidP="002B733E">
            <w:pPr>
              <w:pStyle w:val="7"/>
            </w:pPr>
            <w:r w:rsidRPr="00FD50F6">
              <w:rPr>
                <w:rFonts w:hint="eastAsia"/>
              </w:rPr>
              <w:t>-1429</w:t>
            </w:r>
          </w:p>
        </w:tc>
        <w:tc>
          <w:tcPr>
            <w:tcW w:w="756" w:type="dxa"/>
            <w:vAlign w:val="bottom"/>
          </w:tcPr>
          <w:p w14:paraId="43C51EB0" w14:textId="77777777" w:rsidR="002B733E" w:rsidRPr="00FD50F6" w:rsidRDefault="002B733E" w:rsidP="002B733E">
            <w:pPr>
              <w:pStyle w:val="7"/>
            </w:pPr>
            <w:r w:rsidRPr="00FD50F6">
              <w:rPr>
                <w:rFonts w:hint="eastAsia"/>
              </w:rPr>
              <w:t>-1420</w:t>
            </w:r>
          </w:p>
        </w:tc>
        <w:tc>
          <w:tcPr>
            <w:tcW w:w="756" w:type="dxa"/>
            <w:vAlign w:val="bottom"/>
          </w:tcPr>
          <w:p w14:paraId="7C37101D" w14:textId="77777777" w:rsidR="002B733E" w:rsidRPr="00FD50F6" w:rsidRDefault="002B733E" w:rsidP="002B733E">
            <w:pPr>
              <w:pStyle w:val="7"/>
            </w:pPr>
            <w:r w:rsidRPr="00FD50F6">
              <w:rPr>
                <w:rFonts w:hint="eastAsia"/>
              </w:rPr>
              <w:t>-1142</w:t>
            </w:r>
          </w:p>
        </w:tc>
        <w:tc>
          <w:tcPr>
            <w:tcW w:w="756" w:type="dxa"/>
            <w:vAlign w:val="bottom"/>
          </w:tcPr>
          <w:p w14:paraId="677221FE" w14:textId="77777777" w:rsidR="002B733E" w:rsidRPr="00FD50F6" w:rsidRDefault="002B733E" w:rsidP="002B733E">
            <w:pPr>
              <w:pStyle w:val="7"/>
              <w:rPr>
                <w:b/>
              </w:rPr>
            </w:pPr>
            <w:r w:rsidRPr="00FD50F6">
              <w:rPr>
                <w:rFonts w:hint="eastAsia"/>
                <w:b/>
              </w:rPr>
              <w:t>—</w:t>
            </w:r>
          </w:p>
        </w:tc>
        <w:tc>
          <w:tcPr>
            <w:tcW w:w="756" w:type="dxa"/>
            <w:vAlign w:val="bottom"/>
          </w:tcPr>
          <w:p w14:paraId="208EF80C" w14:textId="77777777" w:rsidR="002B733E" w:rsidRPr="00FD50F6" w:rsidRDefault="002B733E" w:rsidP="002B733E">
            <w:pPr>
              <w:pStyle w:val="7"/>
              <w:rPr>
                <w:b/>
              </w:rPr>
            </w:pPr>
            <w:r w:rsidRPr="00FD50F6">
              <w:rPr>
                <w:rFonts w:hint="eastAsia"/>
                <w:b/>
              </w:rPr>
              <w:t>—</w:t>
            </w:r>
          </w:p>
        </w:tc>
        <w:tc>
          <w:tcPr>
            <w:tcW w:w="756" w:type="dxa"/>
            <w:vAlign w:val="bottom"/>
          </w:tcPr>
          <w:p w14:paraId="27CEB7FB" w14:textId="77777777" w:rsidR="002B733E" w:rsidRPr="00FD50F6" w:rsidRDefault="002B733E" w:rsidP="002B733E">
            <w:pPr>
              <w:pStyle w:val="7"/>
              <w:rPr>
                <w:b/>
              </w:rPr>
            </w:pPr>
            <w:r w:rsidRPr="00FD50F6">
              <w:rPr>
                <w:rFonts w:hint="eastAsia"/>
                <w:b/>
              </w:rPr>
              <w:t>—</w:t>
            </w:r>
          </w:p>
        </w:tc>
        <w:tc>
          <w:tcPr>
            <w:tcW w:w="756" w:type="dxa"/>
            <w:vAlign w:val="bottom"/>
          </w:tcPr>
          <w:p w14:paraId="4074E6EF" w14:textId="77777777" w:rsidR="002B733E" w:rsidRPr="00FD50F6" w:rsidRDefault="002B733E" w:rsidP="002B733E">
            <w:pPr>
              <w:pStyle w:val="7"/>
              <w:rPr>
                <w:b/>
              </w:rPr>
            </w:pPr>
            <w:r w:rsidRPr="00FD50F6">
              <w:rPr>
                <w:rFonts w:hint="eastAsia"/>
                <w:b/>
              </w:rPr>
              <w:t>—</w:t>
            </w:r>
          </w:p>
        </w:tc>
      </w:tr>
      <w:tr w:rsidR="00FD50F6" w:rsidRPr="00FD50F6" w14:paraId="432FA88C" w14:textId="77777777" w:rsidTr="002B733E">
        <w:trPr>
          <w:trHeight w:val="397"/>
          <w:jc w:val="center"/>
        </w:trPr>
        <w:tc>
          <w:tcPr>
            <w:tcW w:w="701" w:type="dxa"/>
            <w:vAlign w:val="center"/>
          </w:tcPr>
          <w:p w14:paraId="3819C9C4" w14:textId="77777777" w:rsidR="002B733E" w:rsidRPr="00FD50F6" w:rsidRDefault="002B733E" w:rsidP="002B733E">
            <w:pPr>
              <w:pStyle w:val="7"/>
            </w:pPr>
            <w:r w:rsidRPr="00FD50F6">
              <w:rPr>
                <w:rFonts w:hint="eastAsia"/>
              </w:rPr>
              <w:t>Y</w:t>
            </w:r>
          </w:p>
        </w:tc>
        <w:tc>
          <w:tcPr>
            <w:tcW w:w="756" w:type="dxa"/>
            <w:vAlign w:val="bottom"/>
          </w:tcPr>
          <w:p w14:paraId="505E47B5" w14:textId="77777777" w:rsidR="002B733E" w:rsidRPr="00FD50F6" w:rsidRDefault="002B733E" w:rsidP="002B733E">
            <w:pPr>
              <w:pStyle w:val="7"/>
            </w:pPr>
            <w:r w:rsidRPr="00FD50F6">
              <w:rPr>
                <w:rFonts w:hint="eastAsia"/>
              </w:rPr>
              <w:t>205</w:t>
            </w:r>
          </w:p>
        </w:tc>
        <w:tc>
          <w:tcPr>
            <w:tcW w:w="756" w:type="dxa"/>
            <w:vAlign w:val="bottom"/>
          </w:tcPr>
          <w:p w14:paraId="4BF1CCFC" w14:textId="77777777" w:rsidR="002B733E" w:rsidRPr="00FD50F6" w:rsidRDefault="002B733E" w:rsidP="002B733E">
            <w:pPr>
              <w:pStyle w:val="7"/>
            </w:pPr>
            <w:r w:rsidRPr="00FD50F6">
              <w:rPr>
                <w:rFonts w:hint="eastAsia"/>
              </w:rPr>
              <w:t>205</w:t>
            </w:r>
          </w:p>
        </w:tc>
        <w:tc>
          <w:tcPr>
            <w:tcW w:w="756" w:type="dxa"/>
            <w:vAlign w:val="bottom"/>
          </w:tcPr>
          <w:p w14:paraId="1651BE69" w14:textId="77777777" w:rsidR="002B733E" w:rsidRPr="00FD50F6" w:rsidRDefault="002B733E" w:rsidP="002B733E">
            <w:pPr>
              <w:pStyle w:val="7"/>
            </w:pPr>
            <w:r w:rsidRPr="00FD50F6">
              <w:rPr>
                <w:rFonts w:hint="eastAsia"/>
              </w:rPr>
              <w:t>-2</w:t>
            </w:r>
          </w:p>
        </w:tc>
        <w:tc>
          <w:tcPr>
            <w:tcW w:w="756" w:type="dxa"/>
            <w:vAlign w:val="bottom"/>
          </w:tcPr>
          <w:p w14:paraId="590273F8" w14:textId="77777777" w:rsidR="002B733E" w:rsidRPr="00FD50F6" w:rsidRDefault="002B733E" w:rsidP="002B733E">
            <w:pPr>
              <w:pStyle w:val="7"/>
            </w:pPr>
            <w:r w:rsidRPr="00FD50F6">
              <w:rPr>
                <w:rFonts w:hint="eastAsia"/>
              </w:rPr>
              <w:t>-1</w:t>
            </w:r>
          </w:p>
        </w:tc>
        <w:tc>
          <w:tcPr>
            <w:tcW w:w="756" w:type="dxa"/>
            <w:vAlign w:val="bottom"/>
          </w:tcPr>
          <w:p w14:paraId="4E27E947" w14:textId="77777777" w:rsidR="002B733E" w:rsidRPr="00FD50F6" w:rsidRDefault="002B733E" w:rsidP="002B733E">
            <w:pPr>
              <w:pStyle w:val="7"/>
            </w:pPr>
            <w:r w:rsidRPr="00FD50F6">
              <w:rPr>
                <w:rFonts w:hint="eastAsia"/>
              </w:rPr>
              <w:t>-8</w:t>
            </w:r>
          </w:p>
        </w:tc>
        <w:tc>
          <w:tcPr>
            <w:tcW w:w="756" w:type="dxa"/>
            <w:vAlign w:val="bottom"/>
          </w:tcPr>
          <w:p w14:paraId="6C2D301E" w14:textId="77777777" w:rsidR="002B733E" w:rsidRPr="00FD50F6" w:rsidRDefault="002B733E" w:rsidP="002B733E">
            <w:pPr>
              <w:pStyle w:val="7"/>
            </w:pPr>
            <w:r w:rsidRPr="00FD50F6">
              <w:rPr>
                <w:rFonts w:hint="eastAsia"/>
              </w:rPr>
              <w:t>44</w:t>
            </w:r>
          </w:p>
        </w:tc>
        <w:tc>
          <w:tcPr>
            <w:tcW w:w="756" w:type="dxa"/>
            <w:vAlign w:val="bottom"/>
          </w:tcPr>
          <w:p w14:paraId="1C9BDB3F" w14:textId="77777777" w:rsidR="002B733E" w:rsidRPr="00FD50F6" w:rsidRDefault="002B733E" w:rsidP="002B733E">
            <w:pPr>
              <w:pStyle w:val="7"/>
              <w:rPr>
                <w:b/>
              </w:rPr>
            </w:pPr>
            <w:r w:rsidRPr="00FD50F6">
              <w:rPr>
                <w:rFonts w:hint="eastAsia"/>
                <w:b/>
              </w:rPr>
              <w:t>—</w:t>
            </w:r>
          </w:p>
        </w:tc>
        <w:tc>
          <w:tcPr>
            <w:tcW w:w="756" w:type="dxa"/>
            <w:vAlign w:val="bottom"/>
          </w:tcPr>
          <w:p w14:paraId="2236CC8A" w14:textId="77777777" w:rsidR="002B733E" w:rsidRPr="00FD50F6" w:rsidRDefault="002B733E" w:rsidP="002B733E">
            <w:pPr>
              <w:pStyle w:val="7"/>
              <w:rPr>
                <w:b/>
              </w:rPr>
            </w:pPr>
            <w:r w:rsidRPr="00FD50F6">
              <w:rPr>
                <w:rFonts w:hint="eastAsia"/>
                <w:b/>
              </w:rPr>
              <w:t>—</w:t>
            </w:r>
          </w:p>
        </w:tc>
        <w:tc>
          <w:tcPr>
            <w:tcW w:w="756" w:type="dxa"/>
            <w:vAlign w:val="bottom"/>
          </w:tcPr>
          <w:p w14:paraId="2B519D01" w14:textId="77777777" w:rsidR="002B733E" w:rsidRPr="00FD50F6" w:rsidRDefault="002B733E" w:rsidP="002B733E">
            <w:pPr>
              <w:pStyle w:val="7"/>
              <w:rPr>
                <w:b/>
              </w:rPr>
            </w:pPr>
            <w:r w:rsidRPr="00FD50F6">
              <w:rPr>
                <w:rFonts w:hint="eastAsia"/>
                <w:b/>
              </w:rPr>
              <w:t>—</w:t>
            </w:r>
          </w:p>
        </w:tc>
        <w:tc>
          <w:tcPr>
            <w:tcW w:w="756" w:type="dxa"/>
            <w:vAlign w:val="bottom"/>
          </w:tcPr>
          <w:p w14:paraId="75010527" w14:textId="77777777" w:rsidR="002B733E" w:rsidRPr="00FD50F6" w:rsidRDefault="002B733E" w:rsidP="002B733E">
            <w:pPr>
              <w:pStyle w:val="7"/>
              <w:rPr>
                <w:b/>
              </w:rPr>
            </w:pPr>
            <w:r w:rsidRPr="00FD50F6">
              <w:rPr>
                <w:rFonts w:hint="eastAsia"/>
                <w:b/>
              </w:rPr>
              <w:t>—</w:t>
            </w:r>
          </w:p>
        </w:tc>
      </w:tr>
      <w:tr w:rsidR="00FD50F6" w:rsidRPr="00FD50F6" w14:paraId="7A328407" w14:textId="77777777" w:rsidTr="002B733E">
        <w:trPr>
          <w:trHeight w:val="397"/>
          <w:jc w:val="center"/>
        </w:trPr>
        <w:tc>
          <w:tcPr>
            <w:tcW w:w="701" w:type="dxa"/>
            <w:vAlign w:val="center"/>
          </w:tcPr>
          <w:p w14:paraId="1661D49C" w14:textId="77777777" w:rsidR="002B733E" w:rsidRPr="00FD50F6" w:rsidRDefault="002B733E" w:rsidP="002B733E">
            <w:pPr>
              <w:pStyle w:val="7"/>
            </w:pPr>
            <w:r w:rsidRPr="00FD50F6">
              <w:rPr>
                <w:rFonts w:hint="eastAsia"/>
              </w:rPr>
              <w:t>点号</w:t>
            </w:r>
          </w:p>
        </w:tc>
        <w:tc>
          <w:tcPr>
            <w:tcW w:w="756" w:type="dxa"/>
            <w:vAlign w:val="bottom"/>
          </w:tcPr>
          <w:p w14:paraId="42261EAB" w14:textId="77777777" w:rsidR="002B733E" w:rsidRPr="00FD50F6" w:rsidRDefault="002B733E" w:rsidP="002B733E">
            <w:pPr>
              <w:pStyle w:val="7"/>
              <w:rPr>
                <w:b/>
              </w:rPr>
            </w:pPr>
            <w:r w:rsidRPr="00FD50F6">
              <w:rPr>
                <w:rFonts w:hint="eastAsia"/>
                <w:b/>
              </w:rPr>
              <w:t>29e</w:t>
            </w:r>
            <w:r w:rsidRPr="00FD50F6">
              <w:rPr>
                <w:rFonts w:hint="eastAsia"/>
                <w:b/>
              </w:rPr>
              <w:t>”</w:t>
            </w:r>
          </w:p>
        </w:tc>
        <w:tc>
          <w:tcPr>
            <w:tcW w:w="756" w:type="dxa"/>
            <w:vAlign w:val="bottom"/>
          </w:tcPr>
          <w:p w14:paraId="4B73503A" w14:textId="77777777" w:rsidR="002B733E" w:rsidRPr="00FD50F6" w:rsidRDefault="002B733E" w:rsidP="002B733E">
            <w:pPr>
              <w:pStyle w:val="7"/>
              <w:rPr>
                <w:b/>
              </w:rPr>
            </w:pPr>
            <w:r w:rsidRPr="00FD50F6">
              <w:rPr>
                <w:rFonts w:hint="eastAsia"/>
                <w:b/>
              </w:rPr>
              <w:t>30e</w:t>
            </w:r>
            <w:r w:rsidRPr="00FD50F6">
              <w:rPr>
                <w:rFonts w:hint="eastAsia"/>
                <w:b/>
              </w:rPr>
              <w:t>”</w:t>
            </w:r>
          </w:p>
        </w:tc>
        <w:tc>
          <w:tcPr>
            <w:tcW w:w="756" w:type="dxa"/>
            <w:vAlign w:val="bottom"/>
          </w:tcPr>
          <w:p w14:paraId="21D98D33" w14:textId="77777777" w:rsidR="002B733E" w:rsidRPr="00FD50F6" w:rsidRDefault="002B733E" w:rsidP="002B733E">
            <w:pPr>
              <w:pStyle w:val="7"/>
              <w:rPr>
                <w:b/>
              </w:rPr>
            </w:pPr>
            <w:r w:rsidRPr="00FD50F6">
              <w:rPr>
                <w:rFonts w:hint="eastAsia"/>
                <w:b/>
              </w:rPr>
              <w:t>31e</w:t>
            </w:r>
            <w:r w:rsidRPr="00FD50F6">
              <w:rPr>
                <w:rFonts w:hint="eastAsia"/>
                <w:b/>
              </w:rPr>
              <w:t>”</w:t>
            </w:r>
          </w:p>
        </w:tc>
        <w:tc>
          <w:tcPr>
            <w:tcW w:w="756" w:type="dxa"/>
            <w:vAlign w:val="bottom"/>
          </w:tcPr>
          <w:p w14:paraId="320AA5FC" w14:textId="77777777" w:rsidR="002B733E" w:rsidRPr="00FD50F6" w:rsidRDefault="002B733E" w:rsidP="002B733E">
            <w:pPr>
              <w:pStyle w:val="7"/>
              <w:rPr>
                <w:b/>
              </w:rPr>
            </w:pPr>
            <w:r w:rsidRPr="00FD50F6">
              <w:rPr>
                <w:rFonts w:hint="eastAsia"/>
                <w:b/>
              </w:rPr>
              <w:t>32e</w:t>
            </w:r>
            <w:r w:rsidRPr="00FD50F6">
              <w:rPr>
                <w:rFonts w:hint="eastAsia"/>
                <w:b/>
              </w:rPr>
              <w:t>”</w:t>
            </w:r>
          </w:p>
        </w:tc>
        <w:tc>
          <w:tcPr>
            <w:tcW w:w="756" w:type="dxa"/>
            <w:vAlign w:val="bottom"/>
          </w:tcPr>
          <w:p w14:paraId="5D8E80D3" w14:textId="77777777" w:rsidR="002B733E" w:rsidRPr="00FD50F6" w:rsidRDefault="002B733E" w:rsidP="002B733E">
            <w:pPr>
              <w:pStyle w:val="7"/>
              <w:rPr>
                <w:b/>
              </w:rPr>
            </w:pPr>
            <w:r w:rsidRPr="00FD50F6">
              <w:rPr>
                <w:rFonts w:hint="eastAsia"/>
                <w:b/>
              </w:rPr>
              <w:t>33e</w:t>
            </w:r>
            <w:r w:rsidRPr="00FD50F6">
              <w:rPr>
                <w:rFonts w:hint="eastAsia"/>
                <w:b/>
              </w:rPr>
              <w:t>”</w:t>
            </w:r>
          </w:p>
        </w:tc>
        <w:tc>
          <w:tcPr>
            <w:tcW w:w="756" w:type="dxa"/>
            <w:vAlign w:val="bottom"/>
          </w:tcPr>
          <w:p w14:paraId="3EF0F50C" w14:textId="77777777" w:rsidR="002B733E" w:rsidRPr="00FD50F6" w:rsidRDefault="002B733E" w:rsidP="002B733E">
            <w:pPr>
              <w:pStyle w:val="7"/>
              <w:rPr>
                <w:b/>
              </w:rPr>
            </w:pPr>
            <w:r w:rsidRPr="00FD50F6">
              <w:rPr>
                <w:rFonts w:hint="eastAsia"/>
                <w:b/>
              </w:rPr>
              <w:t>34e</w:t>
            </w:r>
            <w:r w:rsidRPr="00FD50F6">
              <w:rPr>
                <w:rFonts w:hint="eastAsia"/>
                <w:b/>
              </w:rPr>
              <w:t>”</w:t>
            </w:r>
          </w:p>
        </w:tc>
        <w:tc>
          <w:tcPr>
            <w:tcW w:w="756" w:type="dxa"/>
            <w:vAlign w:val="bottom"/>
          </w:tcPr>
          <w:p w14:paraId="3CF59165" w14:textId="77777777" w:rsidR="002B733E" w:rsidRPr="00FD50F6" w:rsidRDefault="002B733E" w:rsidP="002B733E">
            <w:pPr>
              <w:pStyle w:val="7"/>
              <w:rPr>
                <w:b/>
              </w:rPr>
            </w:pPr>
            <w:r w:rsidRPr="00FD50F6">
              <w:rPr>
                <w:rFonts w:hint="eastAsia"/>
                <w:b/>
              </w:rPr>
              <w:t>—</w:t>
            </w:r>
          </w:p>
        </w:tc>
        <w:tc>
          <w:tcPr>
            <w:tcW w:w="756" w:type="dxa"/>
            <w:vAlign w:val="bottom"/>
          </w:tcPr>
          <w:p w14:paraId="33D7A6D6" w14:textId="77777777" w:rsidR="002B733E" w:rsidRPr="00FD50F6" w:rsidRDefault="002B733E" w:rsidP="002B733E">
            <w:pPr>
              <w:pStyle w:val="7"/>
              <w:rPr>
                <w:b/>
              </w:rPr>
            </w:pPr>
            <w:r w:rsidRPr="00FD50F6">
              <w:rPr>
                <w:rFonts w:hint="eastAsia"/>
                <w:b/>
              </w:rPr>
              <w:t>—</w:t>
            </w:r>
          </w:p>
        </w:tc>
        <w:tc>
          <w:tcPr>
            <w:tcW w:w="756" w:type="dxa"/>
            <w:vAlign w:val="bottom"/>
          </w:tcPr>
          <w:p w14:paraId="73281CBB" w14:textId="77777777" w:rsidR="002B733E" w:rsidRPr="00FD50F6" w:rsidRDefault="002B733E" w:rsidP="002B733E">
            <w:pPr>
              <w:pStyle w:val="7"/>
              <w:rPr>
                <w:b/>
              </w:rPr>
            </w:pPr>
            <w:r w:rsidRPr="00FD50F6">
              <w:rPr>
                <w:rFonts w:hint="eastAsia"/>
                <w:b/>
              </w:rPr>
              <w:t>—</w:t>
            </w:r>
          </w:p>
        </w:tc>
        <w:tc>
          <w:tcPr>
            <w:tcW w:w="756" w:type="dxa"/>
            <w:vAlign w:val="bottom"/>
          </w:tcPr>
          <w:p w14:paraId="64E32C97" w14:textId="77777777" w:rsidR="002B733E" w:rsidRPr="00FD50F6" w:rsidRDefault="002B733E" w:rsidP="002B733E">
            <w:pPr>
              <w:pStyle w:val="7"/>
              <w:rPr>
                <w:b/>
              </w:rPr>
            </w:pPr>
            <w:r w:rsidRPr="00FD50F6">
              <w:rPr>
                <w:rFonts w:hint="eastAsia"/>
                <w:b/>
              </w:rPr>
              <w:t>—</w:t>
            </w:r>
          </w:p>
        </w:tc>
      </w:tr>
      <w:tr w:rsidR="00FD50F6" w:rsidRPr="00FD50F6" w14:paraId="3DF298C9" w14:textId="77777777" w:rsidTr="002B733E">
        <w:trPr>
          <w:trHeight w:val="397"/>
          <w:jc w:val="center"/>
        </w:trPr>
        <w:tc>
          <w:tcPr>
            <w:tcW w:w="701" w:type="dxa"/>
            <w:vAlign w:val="center"/>
          </w:tcPr>
          <w:p w14:paraId="7F000550" w14:textId="77777777" w:rsidR="002B733E" w:rsidRPr="00FD50F6" w:rsidRDefault="002B733E" w:rsidP="002B733E">
            <w:pPr>
              <w:pStyle w:val="7"/>
            </w:pPr>
            <w:r w:rsidRPr="00FD50F6">
              <w:rPr>
                <w:rFonts w:hint="eastAsia"/>
              </w:rPr>
              <w:t>X</w:t>
            </w:r>
          </w:p>
        </w:tc>
        <w:tc>
          <w:tcPr>
            <w:tcW w:w="756" w:type="dxa"/>
            <w:vAlign w:val="bottom"/>
          </w:tcPr>
          <w:p w14:paraId="3ED8C92C" w14:textId="77777777" w:rsidR="002B733E" w:rsidRPr="00FD50F6" w:rsidRDefault="002B733E" w:rsidP="002B733E">
            <w:pPr>
              <w:pStyle w:val="7"/>
            </w:pPr>
            <w:r w:rsidRPr="00FD50F6">
              <w:rPr>
                <w:rFonts w:hint="eastAsia"/>
              </w:rPr>
              <w:t>1428</w:t>
            </w:r>
          </w:p>
        </w:tc>
        <w:tc>
          <w:tcPr>
            <w:tcW w:w="756" w:type="dxa"/>
            <w:vAlign w:val="bottom"/>
          </w:tcPr>
          <w:p w14:paraId="1DAA613F" w14:textId="77777777" w:rsidR="002B733E" w:rsidRPr="00FD50F6" w:rsidRDefault="002B733E" w:rsidP="002B733E">
            <w:pPr>
              <w:pStyle w:val="7"/>
            </w:pPr>
            <w:r w:rsidRPr="00FD50F6">
              <w:rPr>
                <w:rFonts w:hint="eastAsia"/>
              </w:rPr>
              <w:t>1633</w:t>
            </w:r>
          </w:p>
        </w:tc>
        <w:tc>
          <w:tcPr>
            <w:tcW w:w="756" w:type="dxa"/>
            <w:vAlign w:val="bottom"/>
          </w:tcPr>
          <w:p w14:paraId="2C617392" w14:textId="77777777" w:rsidR="002B733E" w:rsidRPr="00FD50F6" w:rsidRDefault="002B733E" w:rsidP="002B733E">
            <w:pPr>
              <w:pStyle w:val="7"/>
            </w:pPr>
            <w:r w:rsidRPr="00FD50F6">
              <w:rPr>
                <w:rFonts w:hint="eastAsia"/>
              </w:rPr>
              <w:t>1633</w:t>
            </w:r>
          </w:p>
        </w:tc>
        <w:tc>
          <w:tcPr>
            <w:tcW w:w="756" w:type="dxa"/>
            <w:vAlign w:val="bottom"/>
          </w:tcPr>
          <w:p w14:paraId="319B7F08" w14:textId="77777777" w:rsidR="002B733E" w:rsidRPr="00FD50F6" w:rsidRDefault="002B733E" w:rsidP="002B733E">
            <w:pPr>
              <w:pStyle w:val="7"/>
            </w:pPr>
            <w:r w:rsidRPr="00FD50F6">
              <w:rPr>
                <w:rFonts w:hint="eastAsia"/>
              </w:rPr>
              <w:t>1429</w:t>
            </w:r>
          </w:p>
        </w:tc>
        <w:tc>
          <w:tcPr>
            <w:tcW w:w="756" w:type="dxa"/>
            <w:vAlign w:val="bottom"/>
          </w:tcPr>
          <w:p w14:paraId="35652B53" w14:textId="77777777" w:rsidR="002B733E" w:rsidRPr="00FD50F6" w:rsidRDefault="002B733E" w:rsidP="002B733E">
            <w:pPr>
              <w:pStyle w:val="7"/>
            </w:pPr>
            <w:r w:rsidRPr="00FD50F6">
              <w:rPr>
                <w:rFonts w:hint="eastAsia"/>
              </w:rPr>
              <w:t>1420</w:t>
            </w:r>
          </w:p>
        </w:tc>
        <w:tc>
          <w:tcPr>
            <w:tcW w:w="756" w:type="dxa"/>
            <w:vAlign w:val="bottom"/>
          </w:tcPr>
          <w:p w14:paraId="053BEBB1" w14:textId="77777777" w:rsidR="002B733E" w:rsidRPr="00FD50F6" w:rsidRDefault="002B733E" w:rsidP="002B733E">
            <w:pPr>
              <w:pStyle w:val="7"/>
            </w:pPr>
            <w:r w:rsidRPr="00FD50F6">
              <w:rPr>
                <w:rFonts w:hint="eastAsia"/>
              </w:rPr>
              <w:t>1142</w:t>
            </w:r>
          </w:p>
        </w:tc>
        <w:tc>
          <w:tcPr>
            <w:tcW w:w="756" w:type="dxa"/>
            <w:vAlign w:val="bottom"/>
          </w:tcPr>
          <w:p w14:paraId="66CDA54A" w14:textId="77777777" w:rsidR="002B733E" w:rsidRPr="00FD50F6" w:rsidRDefault="002B733E" w:rsidP="002B733E">
            <w:pPr>
              <w:pStyle w:val="7"/>
              <w:rPr>
                <w:b/>
              </w:rPr>
            </w:pPr>
            <w:r w:rsidRPr="00FD50F6">
              <w:rPr>
                <w:rFonts w:hint="eastAsia"/>
                <w:b/>
              </w:rPr>
              <w:t>—</w:t>
            </w:r>
          </w:p>
        </w:tc>
        <w:tc>
          <w:tcPr>
            <w:tcW w:w="756" w:type="dxa"/>
            <w:vAlign w:val="bottom"/>
          </w:tcPr>
          <w:p w14:paraId="7A4AE65D" w14:textId="77777777" w:rsidR="002B733E" w:rsidRPr="00FD50F6" w:rsidRDefault="002B733E" w:rsidP="002B733E">
            <w:pPr>
              <w:pStyle w:val="7"/>
              <w:rPr>
                <w:b/>
              </w:rPr>
            </w:pPr>
            <w:r w:rsidRPr="00FD50F6">
              <w:rPr>
                <w:rFonts w:hint="eastAsia"/>
                <w:b/>
              </w:rPr>
              <w:t>—</w:t>
            </w:r>
          </w:p>
        </w:tc>
        <w:tc>
          <w:tcPr>
            <w:tcW w:w="756" w:type="dxa"/>
            <w:vAlign w:val="bottom"/>
          </w:tcPr>
          <w:p w14:paraId="26747FDD" w14:textId="77777777" w:rsidR="002B733E" w:rsidRPr="00FD50F6" w:rsidRDefault="002B733E" w:rsidP="002B733E">
            <w:pPr>
              <w:pStyle w:val="7"/>
              <w:rPr>
                <w:b/>
              </w:rPr>
            </w:pPr>
            <w:r w:rsidRPr="00FD50F6">
              <w:rPr>
                <w:rFonts w:hint="eastAsia"/>
                <w:b/>
              </w:rPr>
              <w:t>—</w:t>
            </w:r>
          </w:p>
        </w:tc>
        <w:tc>
          <w:tcPr>
            <w:tcW w:w="756" w:type="dxa"/>
            <w:vAlign w:val="bottom"/>
          </w:tcPr>
          <w:p w14:paraId="5E5A0159" w14:textId="77777777" w:rsidR="002B733E" w:rsidRPr="00FD50F6" w:rsidRDefault="002B733E" w:rsidP="002B733E">
            <w:pPr>
              <w:pStyle w:val="7"/>
              <w:rPr>
                <w:b/>
              </w:rPr>
            </w:pPr>
            <w:r w:rsidRPr="00FD50F6">
              <w:rPr>
                <w:rFonts w:hint="eastAsia"/>
                <w:b/>
              </w:rPr>
              <w:t>—</w:t>
            </w:r>
          </w:p>
        </w:tc>
      </w:tr>
      <w:tr w:rsidR="002B733E" w:rsidRPr="00FD50F6" w14:paraId="2C4E025A" w14:textId="77777777" w:rsidTr="002B733E">
        <w:trPr>
          <w:trHeight w:val="397"/>
          <w:jc w:val="center"/>
        </w:trPr>
        <w:tc>
          <w:tcPr>
            <w:tcW w:w="701" w:type="dxa"/>
            <w:vAlign w:val="center"/>
          </w:tcPr>
          <w:p w14:paraId="1EDC2E9D" w14:textId="77777777" w:rsidR="002B733E" w:rsidRPr="00FD50F6" w:rsidRDefault="002B733E" w:rsidP="002B733E">
            <w:pPr>
              <w:pStyle w:val="7"/>
            </w:pPr>
            <w:r w:rsidRPr="00FD50F6">
              <w:rPr>
                <w:rFonts w:hint="eastAsia"/>
              </w:rPr>
              <w:t>Y</w:t>
            </w:r>
          </w:p>
        </w:tc>
        <w:tc>
          <w:tcPr>
            <w:tcW w:w="756" w:type="dxa"/>
            <w:vAlign w:val="bottom"/>
          </w:tcPr>
          <w:p w14:paraId="7FF4FD78" w14:textId="77777777" w:rsidR="002B733E" w:rsidRPr="00FD50F6" w:rsidRDefault="002B733E" w:rsidP="002B733E">
            <w:pPr>
              <w:pStyle w:val="7"/>
            </w:pPr>
            <w:r w:rsidRPr="00FD50F6">
              <w:rPr>
                <w:rFonts w:hint="eastAsia"/>
              </w:rPr>
              <w:t>312</w:t>
            </w:r>
          </w:p>
        </w:tc>
        <w:tc>
          <w:tcPr>
            <w:tcW w:w="756" w:type="dxa"/>
            <w:vAlign w:val="bottom"/>
          </w:tcPr>
          <w:p w14:paraId="74ACECE3" w14:textId="77777777" w:rsidR="002B733E" w:rsidRPr="00FD50F6" w:rsidRDefault="002B733E" w:rsidP="002B733E">
            <w:pPr>
              <w:pStyle w:val="7"/>
            </w:pPr>
            <w:r w:rsidRPr="00FD50F6">
              <w:rPr>
                <w:rFonts w:hint="eastAsia"/>
              </w:rPr>
              <w:t>314</w:t>
            </w:r>
          </w:p>
        </w:tc>
        <w:tc>
          <w:tcPr>
            <w:tcW w:w="756" w:type="dxa"/>
            <w:vAlign w:val="bottom"/>
          </w:tcPr>
          <w:p w14:paraId="2908A9E4" w14:textId="77777777" w:rsidR="002B733E" w:rsidRPr="00FD50F6" w:rsidRDefault="002B733E" w:rsidP="002B733E">
            <w:pPr>
              <w:pStyle w:val="7"/>
            </w:pPr>
            <w:r w:rsidRPr="00FD50F6">
              <w:rPr>
                <w:rFonts w:hint="eastAsia"/>
              </w:rPr>
              <w:t>-2</w:t>
            </w:r>
          </w:p>
        </w:tc>
        <w:tc>
          <w:tcPr>
            <w:tcW w:w="756" w:type="dxa"/>
            <w:vAlign w:val="bottom"/>
          </w:tcPr>
          <w:p w14:paraId="4C6A592F" w14:textId="77777777" w:rsidR="002B733E" w:rsidRPr="00FD50F6" w:rsidRDefault="002B733E" w:rsidP="002B733E">
            <w:pPr>
              <w:pStyle w:val="7"/>
            </w:pPr>
            <w:r w:rsidRPr="00FD50F6">
              <w:rPr>
                <w:rFonts w:hint="eastAsia"/>
              </w:rPr>
              <w:t>-1</w:t>
            </w:r>
          </w:p>
        </w:tc>
        <w:tc>
          <w:tcPr>
            <w:tcW w:w="756" w:type="dxa"/>
            <w:vAlign w:val="bottom"/>
          </w:tcPr>
          <w:p w14:paraId="26EC333F" w14:textId="77777777" w:rsidR="002B733E" w:rsidRPr="00FD50F6" w:rsidRDefault="002B733E" w:rsidP="002B733E">
            <w:pPr>
              <w:pStyle w:val="7"/>
            </w:pPr>
            <w:r w:rsidRPr="00FD50F6">
              <w:rPr>
                <w:rFonts w:hint="eastAsia"/>
              </w:rPr>
              <w:t>-8</w:t>
            </w:r>
          </w:p>
        </w:tc>
        <w:tc>
          <w:tcPr>
            <w:tcW w:w="756" w:type="dxa"/>
            <w:vAlign w:val="bottom"/>
          </w:tcPr>
          <w:p w14:paraId="4E76C330" w14:textId="77777777" w:rsidR="002B733E" w:rsidRPr="00FD50F6" w:rsidRDefault="002B733E" w:rsidP="002B733E">
            <w:pPr>
              <w:pStyle w:val="7"/>
            </w:pPr>
            <w:r w:rsidRPr="00FD50F6">
              <w:rPr>
                <w:rFonts w:hint="eastAsia"/>
              </w:rPr>
              <w:t>44</w:t>
            </w:r>
          </w:p>
        </w:tc>
        <w:tc>
          <w:tcPr>
            <w:tcW w:w="756" w:type="dxa"/>
            <w:vAlign w:val="bottom"/>
          </w:tcPr>
          <w:p w14:paraId="3D2AF755" w14:textId="77777777" w:rsidR="002B733E" w:rsidRPr="00FD50F6" w:rsidRDefault="002B733E" w:rsidP="002B733E">
            <w:pPr>
              <w:pStyle w:val="7"/>
              <w:rPr>
                <w:b/>
              </w:rPr>
            </w:pPr>
            <w:r w:rsidRPr="00FD50F6">
              <w:rPr>
                <w:rFonts w:hint="eastAsia"/>
                <w:b/>
              </w:rPr>
              <w:t>—</w:t>
            </w:r>
          </w:p>
        </w:tc>
        <w:tc>
          <w:tcPr>
            <w:tcW w:w="756" w:type="dxa"/>
            <w:vAlign w:val="bottom"/>
          </w:tcPr>
          <w:p w14:paraId="345F4B20" w14:textId="77777777" w:rsidR="002B733E" w:rsidRPr="00FD50F6" w:rsidRDefault="002B733E" w:rsidP="002B733E">
            <w:pPr>
              <w:pStyle w:val="7"/>
              <w:rPr>
                <w:b/>
              </w:rPr>
            </w:pPr>
            <w:r w:rsidRPr="00FD50F6">
              <w:rPr>
                <w:rFonts w:hint="eastAsia"/>
                <w:b/>
              </w:rPr>
              <w:t>—</w:t>
            </w:r>
          </w:p>
        </w:tc>
        <w:tc>
          <w:tcPr>
            <w:tcW w:w="756" w:type="dxa"/>
            <w:vAlign w:val="bottom"/>
          </w:tcPr>
          <w:p w14:paraId="46D1DCE5" w14:textId="77777777" w:rsidR="002B733E" w:rsidRPr="00FD50F6" w:rsidRDefault="002B733E" w:rsidP="002B733E">
            <w:pPr>
              <w:pStyle w:val="7"/>
              <w:rPr>
                <w:b/>
              </w:rPr>
            </w:pPr>
            <w:r w:rsidRPr="00FD50F6">
              <w:rPr>
                <w:rFonts w:hint="eastAsia"/>
                <w:b/>
              </w:rPr>
              <w:t>—</w:t>
            </w:r>
          </w:p>
        </w:tc>
        <w:tc>
          <w:tcPr>
            <w:tcW w:w="756" w:type="dxa"/>
            <w:vAlign w:val="bottom"/>
          </w:tcPr>
          <w:p w14:paraId="7C1427F6" w14:textId="77777777" w:rsidR="002B733E" w:rsidRPr="00FD50F6" w:rsidRDefault="002B733E" w:rsidP="002B733E">
            <w:pPr>
              <w:pStyle w:val="7"/>
              <w:rPr>
                <w:b/>
              </w:rPr>
            </w:pPr>
            <w:r w:rsidRPr="00FD50F6">
              <w:rPr>
                <w:rFonts w:hint="eastAsia"/>
                <w:b/>
              </w:rPr>
              <w:t>—</w:t>
            </w:r>
          </w:p>
        </w:tc>
      </w:tr>
    </w:tbl>
    <w:p w14:paraId="47BD0572" w14:textId="77777777" w:rsidR="002B733E" w:rsidRPr="00FD50F6" w:rsidRDefault="002B733E" w:rsidP="002B733E">
      <w:pPr>
        <w:spacing w:line="240" w:lineRule="auto"/>
        <w:jc w:val="center"/>
        <w:rPr>
          <w:rFonts w:ascii="黑体" w:eastAsia="黑体" w:hAnsi="黑体" w:cs="Times New Roman"/>
          <w:sz w:val="21"/>
          <w:szCs w:val="24"/>
        </w:rPr>
      </w:pPr>
    </w:p>
    <w:p w14:paraId="3986BC95" w14:textId="77777777" w:rsidR="002B733E" w:rsidRPr="00FD50F6" w:rsidRDefault="002B733E" w:rsidP="002B733E">
      <w:pPr>
        <w:pStyle w:val="6"/>
      </w:pPr>
      <w:r w:rsidRPr="00FD50F6">
        <w:rPr>
          <w:rFonts w:hint="eastAsia"/>
        </w:rPr>
        <w:t>表</w:t>
      </w:r>
      <w:r w:rsidRPr="00FD50F6">
        <w:rPr>
          <w:rFonts w:ascii="Calibri" w:hAnsi="Calibri" w:hint="eastAsia"/>
          <w:b/>
        </w:rPr>
        <w:t>B.0.1-6</w:t>
      </w:r>
      <w:r w:rsidRPr="00FD50F6">
        <w:rPr>
          <w:rFonts w:hint="eastAsia"/>
        </w:rPr>
        <w:t xml:space="preserve">  </w:t>
      </w:r>
      <w:r w:rsidRPr="00FD50F6">
        <w:rPr>
          <w:rFonts w:hint="eastAsia"/>
        </w:rPr>
        <w:t>隧道内过站直线地段车辆限界坐标值（</w:t>
      </w:r>
      <w:r w:rsidRPr="00FD50F6">
        <w:rPr>
          <w:rFonts w:hint="eastAsia"/>
        </w:rPr>
        <w:t>mm</w:t>
      </w:r>
      <w:r w:rsidRPr="00FD50F6">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0A06A54E" w14:textId="77777777" w:rsidTr="002B733E">
        <w:trPr>
          <w:trHeight w:val="397"/>
        </w:trPr>
        <w:tc>
          <w:tcPr>
            <w:tcW w:w="701" w:type="dxa"/>
            <w:vAlign w:val="center"/>
          </w:tcPr>
          <w:p w14:paraId="00FD75A0" w14:textId="77777777" w:rsidR="002B733E" w:rsidRPr="00FD50F6" w:rsidRDefault="002B733E" w:rsidP="002B733E">
            <w:pPr>
              <w:pStyle w:val="7"/>
            </w:pPr>
            <w:r w:rsidRPr="00FD50F6">
              <w:rPr>
                <w:rFonts w:hint="eastAsia"/>
              </w:rPr>
              <w:t>点号</w:t>
            </w:r>
          </w:p>
        </w:tc>
        <w:tc>
          <w:tcPr>
            <w:tcW w:w="756" w:type="dxa"/>
            <w:vAlign w:val="center"/>
          </w:tcPr>
          <w:p w14:paraId="16963845"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1BF96AF0"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4A883D2F"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67A01AE9"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04355548"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0D156F92"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0A65E14D"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0180EF5D"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4A6B7297"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1717E05A"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7C5CA80D" w14:textId="77777777" w:rsidTr="002B733E">
        <w:trPr>
          <w:trHeight w:val="397"/>
        </w:trPr>
        <w:tc>
          <w:tcPr>
            <w:tcW w:w="701" w:type="dxa"/>
            <w:vAlign w:val="center"/>
          </w:tcPr>
          <w:p w14:paraId="3C005530" w14:textId="77777777" w:rsidR="002B733E" w:rsidRPr="00FD50F6" w:rsidRDefault="002B733E" w:rsidP="002B733E">
            <w:pPr>
              <w:pStyle w:val="7"/>
            </w:pPr>
            <w:r w:rsidRPr="00FD50F6">
              <w:rPr>
                <w:rFonts w:hint="eastAsia"/>
              </w:rPr>
              <w:t>X</w:t>
            </w:r>
          </w:p>
        </w:tc>
        <w:tc>
          <w:tcPr>
            <w:tcW w:w="756" w:type="dxa"/>
            <w:vAlign w:val="bottom"/>
          </w:tcPr>
          <w:p w14:paraId="73D0E096" w14:textId="77777777" w:rsidR="002B733E" w:rsidRPr="00FD50F6" w:rsidRDefault="002B733E" w:rsidP="002B733E">
            <w:pPr>
              <w:pStyle w:val="7"/>
              <w:rPr>
                <w:rFonts w:ascii="Calibri" w:hAnsi="Calibri"/>
              </w:rPr>
            </w:pPr>
            <w:r w:rsidRPr="00FD50F6">
              <w:rPr>
                <w:rFonts w:ascii="Calibri" w:hAnsi="Calibri" w:hint="eastAsia"/>
              </w:rPr>
              <w:t>91</w:t>
            </w:r>
          </w:p>
        </w:tc>
        <w:tc>
          <w:tcPr>
            <w:tcW w:w="756" w:type="dxa"/>
            <w:vAlign w:val="bottom"/>
          </w:tcPr>
          <w:p w14:paraId="2F44C5A4" w14:textId="77777777" w:rsidR="002B733E" w:rsidRPr="00FD50F6" w:rsidRDefault="002B733E" w:rsidP="002B733E">
            <w:pPr>
              <w:pStyle w:val="7"/>
              <w:rPr>
                <w:rFonts w:ascii="Calibri" w:hAnsi="Calibri"/>
              </w:rPr>
            </w:pPr>
            <w:r w:rsidRPr="00FD50F6">
              <w:rPr>
                <w:rFonts w:ascii="Calibri" w:hAnsi="Calibri" w:hint="eastAsia"/>
              </w:rPr>
              <w:t>750</w:t>
            </w:r>
          </w:p>
        </w:tc>
        <w:tc>
          <w:tcPr>
            <w:tcW w:w="756" w:type="dxa"/>
            <w:vAlign w:val="bottom"/>
          </w:tcPr>
          <w:p w14:paraId="7C5EF4D3" w14:textId="77777777" w:rsidR="002B733E" w:rsidRPr="00FD50F6" w:rsidRDefault="002B733E" w:rsidP="002B733E">
            <w:pPr>
              <w:pStyle w:val="7"/>
              <w:rPr>
                <w:rFonts w:ascii="Calibri" w:hAnsi="Calibri"/>
              </w:rPr>
            </w:pPr>
            <w:r w:rsidRPr="00FD50F6">
              <w:rPr>
                <w:rFonts w:ascii="Calibri" w:hAnsi="Calibri" w:hint="eastAsia"/>
              </w:rPr>
              <w:t>769</w:t>
            </w:r>
          </w:p>
        </w:tc>
        <w:tc>
          <w:tcPr>
            <w:tcW w:w="756" w:type="dxa"/>
            <w:vAlign w:val="bottom"/>
          </w:tcPr>
          <w:p w14:paraId="61E33118" w14:textId="77777777" w:rsidR="002B733E" w:rsidRPr="00FD50F6" w:rsidRDefault="002B733E" w:rsidP="002B733E">
            <w:pPr>
              <w:pStyle w:val="7"/>
              <w:rPr>
                <w:rFonts w:ascii="Calibri" w:hAnsi="Calibri"/>
              </w:rPr>
            </w:pPr>
            <w:r w:rsidRPr="00FD50F6">
              <w:rPr>
                <w:rFonts w:ascii="Calibri" w:hAnsi="Calibri" w:hint="eastAsia"/>
              </w:rPr>
              <w:t>853</w:t>
            </w:r>
          </w:p>
        </w:tc>
        <w:tc>
          <w:tcPr>
            <w:tcW w:w="756" w:type="dxa"/>
            <w:vAlign w:val="bottom"/>
          </w:tcPr>
          <w:p w14:paraId="63DF5C07" w14:textId="77777777" w:rsidR="002B733E" w:rsidRPr="00FD50F6" w:rsidRDefault="002B733E" w:rsidP="002B733E">
            <w:pPr>
              <w:pStyle w:val="7"/>
              <w:rPr>
                <w:rFonts w:ascii="Calibri" w:hAnsi="Calibri"/>
              </w:rPr>
            </w:pPr>
            <w:r w:rsidRPr="00FD50F6">
              <w:rPr>
                <w:rFonts w:ascii="Calibri" w:hAnsi="Calibri" w:hint="eastAsia"/>
              </w:rPr>
              <w:t>852</w:t>
            </w:r>
          </w:p>
        </w:tc>
        <w:tc>
          <w:tcPr>
            <w:tcW w:w="756" w:type="dxa"/>
            <w:vAlign w:val="bottom"/>
          </w:tcPr>
          <w:p w14:paraId="0ADA717B" w14:textId="77777777" w:rsidR="002B733E" w:rsidRPr="00FD50F6" w:rsidRDefault="002B733E" w:rsidP="002B733E">
            <w:pPr>
              <w:pStyle w:val="7"/>
              <w:rPr>
                <w:rFonts w:ascii="Calibri" w:hAnsi="Calibri"/>
              </w:rPr>
            </w:pPr>
            <w:r w:rsidRPr="00FD50F6">
              <w:rPr>
                <w:rFonts w:ascii="Calibri" w:hAnsi="Calibri" w:hint="eastAsia"/>
              </w:rPr>
              <w:t>913</w:t>
            </w:r>
          </w:p>
        </w:tc>
        <w:tc>
          <w:tcPr>
            <w:tcW w:w="756" w:type="dxa"/>
            <w:vAlign w:val="bottom"/>
          </w:tcPr>
          <w:p w14:paraId="7940359A" w14:textId="77777777" w:rsidR="002B733E" w:rsidRPr="00FD50F6" w:rsidRDefault="002B733E" w:rsidP="002B733E">
            <w:pPr>
              <w:pStyle w:val="7"/>
              <w:rPr>
                <w:rFonts w:ascii="Calibri" w:hAnsi="Calibri"/>
              </w:rPr>
            </w:pPr>
            <w:r w:rsidRPr="00FD50F6">
              <w:rPr>
                <w:rFonts w:ascii="Calibri" w:hAnsi="Calibri" w:hint="eastAsia"/>
              </w:rPr>
              <w:t>1159</w:t>
            </w:r>
          </w:p>
        </w:tc>
        <w:tc>
          <w:tcPr>
            <w:tcW w:w="756" w:type="dxa"/>
            <w:vAlign w:val="bottom"/>
          </w:tcPr>
          <w:p w14:paraId="2F553E72" w14:textId="77777777" w:rsidR="002B733E" w:rsidRPr="00FD50F6" w:rsidRDefault="002B733E" w:rsidP="002B733E">
            <w:pPr>
              <w:pStyle w:val="7"/>
              <w:rPr>
                <w:rFonts w:ascii="Calibri" w:hAnsi="Calibri"/>
              </w:rPr>
            </w:pPr>
            <w:r w:rsidRPr="00FD50F6">
              <w:rPr>
                <w:rFonts w:ascii="Calibri" w:hAnsi="Calibri" w:hint="eastAsia"/>
              </w:rPr>
              <w:t>1422</w:t>
            </w:r>
          </w:p>
        </w:tc>
        <w:tc>
          <w:tcPr>
            <w:tcW w:w="756" w:type="dxa"/>
            <w:vAlign w:val="bottom"/>
          </w:tcPr>
          <w:p w14:paraId="74496BA9" w14:textId="77777777" w:rsidR="002B733E" w:rsidRPr="00FD50F6" w:rsidRDefault="002B733E" w:rsidP="002B733E">
            <w:pPr>
              <w:pStyle w:val="7"/>
              <w:rPr>
                <w:rFonts w:ascii="Calibri" w:hAnsi="Calibri"/>
              </w:rPr>
            </w:pPr>
            <w:r w:rsidRPr="00FD50F6">
              <w:rPr>
                <w:rFonts w:ascii="Calibri" w:hAnsi="Calibri" w:hint="eastAsia"/>
              </w:rPr>
              <w:t>1463</w:t>
            </w:r>
          </w:p>
        </w:tc>
        <w:tc>
          <w:tcPr>
            <w:tcW w:w="756" w:type="dxa"/>
            <w:vAlign w:val="bottom"/>
          </w:tcPr>
          <w:p w14:paraId="3FB420D7" w14:textId="77777777" w:rsidR="002B733E" w:rsidRPr="00FD50F6" w:rsidRDefault="002B733E" w:rsidP="002B733E">
            <w:pPr>
              <w:pStyle w:val="7"/>
              <w:rPr>
                <w:rFonts w:ascii="Calibri" w:hAnsi="Calibri"/>
              </w:rPr>
            </w:pPr>
            <w:r w:rsidRPr="00FD50F6">
              <w:rPr>
                <w:rFonts w:ascii="Calibri" w:hAnsi="Calibri" w:hint="eastAsia"/>
              </w:rPr>
              <w:t>1568</w:t>
            </w:r>
          </w:p>
        </w:tc>
      </w:tr>
      <w:tr w:rsidR="00FD50F6" w:rsidRPr="00FD50F6" w14:paraId="21835C04" w14:textId="77777777" w:rsidTr="002B733E">
        <w:trPr>
          <w:trHeight w:val="397"/>
        </w:trPr>
        <w:tc>
          <w:tcPr>
            <w:tcW w:w="701" w:type="dxa"/>
            <w:vAlign w:val="center"/>
          </w:tcPr>
          <w:p w14:paraId="09A7F3A9" w14:textId="77777777" w:rsidR="002B733E" w:rsidRPr="00FD50F6" w:rsidRDefault="002B733E" w:rsidP="002B733E">
            <w:pPr>
              <w:pStyle w:val="7"/>
            </w:pPr>
            <w:r w:rsidRPr="00FD50F6">
              <w:rPr>
                <w:rFonts w:hint="eastAsia"/>
              </w:rPr>
              <w:t>Y</w:t>
            </w:r>
          </w:p>
        </w:tc>
        <w:tc>
          <w:tcPr>
            <w:tcW w:w="756" w:type="dxa"/>
            <w:vAlign w:val="bottom"/>
          </w:tcPr>
          <w:p w14:paraId="0B3B5478" w14:textId="77777777" w:rsidR="002B733E" w:rsidRPr="00FD50F6" w:rsidRDefault="002B733E" w:rsidP="002B733E">
            <w:pPr>
              <w:pStyle w:val="7"/>
              <w:rPr>
                <w:rFonts w:ascii="Calibri" w:hAnsi="Calibri"/>
              </w:rPr>
            </w:pPr>
            <w:r w:rsidRPr="00FD50F6">
              <w:rPr>
                <w:rFonts w:ascii="Calibri" w:hAnsi="Calibri" w:hint="eastAsia"/>
              </w:rPr>
              <w:t>3874</w:t>
            </w:r>
          </w:p>
        </w:tc>
        <w:tc>
          <w:tcPr>
            <w:tcW w:w="756" w:type="dxa"/>
            <w:vAlign w:val="bottom"/>
          </w:tcPr>
          <w:p w14:paraId="7E242A4D" w14:textId="77777777" w:rsidR="002B733E" w:rsidRPr="00FD50F6" w:rsidRDefault="002B733E" w:rsidP="002B733E">
            <w:pPr>
              <w:pStyle w:val="7"/>
              <w:rPr>
                <w:rFonts w:ascii="Calibri" w:hAnsi="Calibri"/>
              </w:rPr>
            </w:pPr>
            <w:r w:rsidRPr="00FD50F6">
              <w:rPr>
                <w:rFonts w:ascii="Calibri" w:hAnsi="Calibri" w:hint="eastAsia"/>
              </w:rPr>
              <w:t>3877</w:t>
            </w:r>
          </w:p>
        </w:tc>
        <w:tc>
          <w:tcPr>
            <w:tcW w:w="756" w:type="dxa"/>
            <w:vAlign w:val="bottom"/>
          </w:tcPr>
          <w:p w14:paraId="4C77BA57" w14:textId="77777777" w:rsidR="002B733E" w:rsidRPr="00FD50F6" w:rsidRDefault="002B733E" w:rsidP="002B733E">
            <w:pPr>
              <w:pStyle w:val="7"/>
              <w:rPr>
                <w:rFonts w:ascii="Calibri" w:hAnsi="Calibri"/>
              </w:rPr>
            </w:pPr>
            <w:r w:rsidRPr="00FD50F6">
              <w:rPr>
                <w:rFonts w:ascii="Calibri" w:hAnsi="Calibri" w:hint="eastAsia"/>
              </w:rPr>
              <w:t>3877</w:t>
            </w:r>
          </w:p>
        </w:tc>
        <w:tc>
          <w:tcPr>
            <w:tcW w:w="756" w:type="dxa"/>
            <w:vAlign w:val="bottom"/>
          </w:tcPr>
          <w:p w14:paraId="28348AE0" w14:textId="77777777" w:rsidR="002B733E" w:rsidRPr="00FD50F6" w:rsidRDefault="002B733E" w:rsidP="002B733E">
            <w:pPr>
              <w:pStyle w:val="7"/>
              <w:rPr>
                <w:rFonts w:ascii="Calibri" w:hAnsi="Calibri"/>
              </w:rPr>
            </w:pPr>
            <w:r w:rsidRPr="00FD50F6">
              <w:rPr>
                <w:rFonts w:ascii="Calibri" w:hAnsi="Calibri" w:hint="eastAsia"/>
              </w:rPr>
              <w:t>3835</w:t>
            </w:r>
          </w:p>
        </w:tc>
        <w:tc>
          <w:tcPr>
            <w:tcW w:w="756" w:type="dxa"/>
            <w:vAlign w:val="bottom"/>
          </w:tcPr>
          <w:p w14:paraId="02C0831A" w14:textId="77777777" w:rsidR="002B733E" w:rsidRPr="00FD50F6" w:rsidRDefault="002B733E" w:rsidP="002B733E">
            <w:pPr>
              <w:pStyle w:val="7"/>
              <w:rPr>
                <w:rFonts w:ascii="Calibri" w:hAnsi="Calibri"/>
              </w:rPr>
            </w:pPr>
            <w:r w:rsidRPr="00FD50F6">
              <w:rPr>
                <w:rFonts w:ascii="Calibri" w:hAnsi="Calibri" w:hint="eastAsia"/>
              </w:rPr>
              <w:t>3763</w:t>
            </w:r>
          </w:p>
        </w:tc>
        <w:tc>
          <w:tcPr>
            <w:tcW w:w="756" w:type="dxa"/>
            <w:vAlign w:val="bottom"/>
          </w:tcPr>
          <w:p w14:paraId="2E723A1D" w14:textId="77777777" w:rsidR="002B733E" w:rsidRPr="00FD50F6" w:rsidRDefault="002B733E" w:rsidP="002B733E">
            <w:pPr>
              <w:pStyle w:val="7"/>
              <w:rPr>
                <w:rFonts w:ascii="Calibri" w:hAnsi="Calibri"/>
              </w:rPr>
            </w:pPr>
            <w:r w:rsidRPr="00FD50F6">
              <w:rPr>
                <w:rFonts w:ascii="Calibri" w:hAnsi="Calibri" w:hint="eastAsia"/>
              </w:rPr>
              <w:t>3741</w:t>
            </w:r>
          </w:p>
        </w:tc>
        <w:tc>
          <w:tcPr>
            <w:tcW w:w="756" w:type="dxa"/>
            <w:vAlign w:val="bottom"/>
          </w:tcPr>
          <w:p w14:paraId="6F2C30D1" w14:textId="77777777" w:rsidR="002B733E" w:rsidRPr="00FD50F6" w:rsidRDefault="002B733E" w:rsidP="002B733E">
            <w:pPr>
              <w:pStyle w:val="7"/>
              <w:rPr>
                <w:rFonts w:ascii="Calibri" w:hAnsi="Calibri"/>
              </w:rPr>
            </w:pPr>
            <w:r w:rsidRPr="00FD50F6">
              <w:rPr>
                <w:rFonts w:ascii="Calibri" w:hAnsi="Calibri" w:hint="eastAsia"/>
              </w:rPr>
              <w:t>3589</w:t>
            </w:r>
          </w:p>
        </w:tc>
        <w:tc>
          <w:tcPr>
            <w:tcW w:w="756" w:type="dxa"/>
            <w:vAlign w:val="bottom"/>
          </w:tcPr>
          <w:p w14:paraId="0D59C14F" w14:textId="77777777" w:rsidR="002B733E" w:rsidRPr="00FD50F6" w:rsidRDefault="002B733E" w:rsidP="002B733E">
            <w:pPr>
              <w:pStyle w:val="7"/>
              <w:rPr>
                <w:rFonts w:ascii="Calibri" w:hAnsi="Calibri"/>
              </w:rPr>
            </w:pPr>
            <w:r w:rsidRPr="00FD50F6">
              <w:rPr>
                <w:rFonts w:ascii="Calibri" w:hAnsi="Calibri" w:hint="eastAsia"/>
              </w:rPr>
              <w:t>3425</w:t>
            </w:r>
          </w:p>
        </w:tc>
        <w:tc>
          <w:tcPr>
            <w:tcW w:w="756" w:type="dxa"/>
            <w:vAlign w:val="bottom"/>
          </w:tcPr>
          <w:p w14:paraId="47599F15" w14:textId="77777777" w:rsidR="002B733E" w:rsidRPr="00FD50F6" w:rsidRDefault="002B733E" w:rsidP="002B733E">
            <w:pPr>
              <w:pStyle w:val="7"/>
              <w:rPr>
                <w:rFonts w:ascii="Calibri" w:hAnsi="Calibri"/>
              </w:rPr>
            </w:pPr>
            <w:r w:rsidRPr="00FD50F6">
              <w:rPr>
                <w:rFonts w:ascii="Calibri" w:hAnsi="Calibri" w:hint="eastAsia"/>
              </w:rPr>
              <w:t>3335</w:t>
            </w:r>
          </w:p>
        </w:tc>
        <w:tc>
          <w:tcPr>
            <w:tcW w:w="756" w:type="dxa"/>
            <w:vAlign w:val="bottom"/>
          </w:tcPr>
          <w:p w14:paraId="5438C8FC" w14:textId="77777777" w:rsidR="002B733E" w:rsidRPr="00FD50F6" w:rsidRDefault="002B733E" w:rsidP="002B733E">
            <w:pPr>
              <w:pStyle w:val="7"/>
              <w:rPr>
                <w:rFonts w:ascii="Calibri" w:hAnsi="Calibri"/>
              </w:rPr>
            </w:pPr>
            <w:r w:rsidRPr="00FD50F6">
              <w:rPr>
                <w:rFonts w:ascii="Calibri" w:hAnsi="Calibri" w:hint="eastAsia"/>
              </w:rPr>
              <w:t>1010</w:t>
            </w:r>
          </w:p>
        </w:tc>
      </w:tr>
      <w:tr w:rsidR="00FD50F6" w:rsidRPr="00FD50F6" w14:paraId="26235C1D" w14:textId="77777777" w:rsidTr="002B733E">
        <w:trPr>
          <w:trHeight w:val="397"/>
        </w:trPr>
        <w:tc>
          <w:tcPr>
            <w:tcW w:w="701" w:type="dxa"/>
            <w:vAlign w:val="center"/>
          </w:tcPr>
          <w:p w14:paraId="476DD195" w14:textId="77777777" w:rsidR="002B733E" w:rsidRPr="00FD50F6" w:rsidRDefault="002B733E" w:rsidP="002B733E">
            <w:pPr>
              <w:pStyle w:val="7"/>
            </w:pPr>
            <w:r w:rsidRPr="00FD50F6">
              <w:rPr>
                <w:rFonts w:hint="eastAsia"/>
              </w:rPr>
              <w:t>点号</w:t>
            </w:r>
          </w:p>
        </w:tc>
        <w:tc>
          <w:tcPr>
            <w:tcW w:w="756" w:type="dxa"/>
            <w:vAlign w:val="center"/>
          </w:tcPr>
          <w:p w14:paraId="5B0E0995" w14:textId="77777777" w:rsidR="002B733E" w:rsidRPr="00FD50F6" w:rsidRDefault="002B733E" w:rsidP="002B733E">
            <w:pPr>
              <w:pStyle w:val="7"/>
              <w:rPr>
                <w:rFonts w:ascii="Calibri" w:hAnsi="Calibri"/>
                <w:b/>
              </w:rPr>
            </w:pPr>
            <w:r w:rsidRPr="00FD50F6">
              <w:rPr>
                <w:rFonts w:ascii="Calibri" w:hAnsi="Calibri" w:hint="eastAsia"/>
                <w:b/>
              </w:rPr>
              <w:t>9</w:t>
            </w:r>
            <w:r w:rsidRPr="00FD50F6">
              <w:rPr>
                <w:rFonts w:ascii="Calibri" w:hAnsi="Calibri" w:hint="eastAsia"/>
                <w:b/>
              </w:rPr>
              <w:t>’</w:t>
            </w:r>
          </w:p>
        </w:tc>
        <w:tc>
          <w:tcPr>
            <w:tcW w:w="756" w:type="dxa"/>
            <w:vAlign w:val="center"/>
          </w:tcPr>
          <w:p w14:paraId="44928BC5" w14:textId="77777777" w:rsidR="002B733E" w:rsidRPr="00FD50F6" w:rsidRDefault="002B733E" w:rsidP="002B733E">
            <w:pPr>
              <w:pStyle w:val="7"/>
              <w:rPr>
                <w:rFonts w:ascii="Calibri" w:hAnsi="Calibri"/>
                <w:b/>
              </w:rPr>
            </w:pPr>
            <w:r w:rsidRPr="00FD50F6">
              <w:rPr>
                <w:rFonts w:ascii="Calibri" w:hAnsi="Calibri" w:hint="eastAsia"/>
                <w:b/>
              </w:rPr>
              <w:t>10</w:t>
            </w:r>
            <w:r w:rsidRPr="00FD50F6">
              <w:rPr>
                <w:rFonts w:ascii="Calibri" w:hAnsi="Calibri" w:hint="eastAsia"/>
                <w:b/>
              </w:rPr>
              <w:t>’</w:t>
            </w:r>
          </w:p>
        </w:tc>
        <w:tc>
          <w:tcPr>
            <w:tcW w:w="756" w:type="dxa"/>
            <w:vAlign w:val="center"/>
          </w:tcPr>
          <w:p w14:paraId="4508DAF5" w14:textId="77777777" w:rsidR="002B733E" w:rsidRPr="00FD50F6" w:rsidRDefault="002B733E" w:rsidP="002B733E">
            <w:pPr>
              <w:pStyle w:val="7"/>
              <w:rPr>
                <w:rFonts w:ascii="Calibri" w:hAnsi="Calibri"/>
                <w:b/>
              </w:rPr>
            </w:pPr>
            <w:r w:rsidRPr="00FD50F6">
              <w:rPr>
                <w:rFonts w:ascii="Calibri" w:hAnsi="Calibri" w:hint="eastAsia"/>
                <w:b/>
              </w:rPr>
              <w:t>11</w:t>
            </w:r>
            <w:r w:rsidRPr="00FD50F6">
              <w:rPr>
                <w:rFonts w:ascii="Calibri" w:hAnsi="Calibri" w:hint="eastAsia"/>
                <w:b/>
              </w:rPr>
              <w:t>’</w:t>
            </w:r>
          </w:p>
        </w:tc>
        <w:tc>
          <w:tcPr>
            <w:tcW w:w="756" w:type="dxa"/>
            <w:vAlign w:val="center"/>
          </w:tcPr>
          <w:p w14:paraId="7FC4D366" w14:textId="77777777" w:rsidR="002B733E" w:rsidRPr="00FD50F6" w:rsidRDefault="002B733E" w:rsidP="002B733E">
            <w:pPr>
              <w:pStyle w:val="7"/>
              <w:rPr>
                <w:rFonts w:ascii="Calibri" w:hAnsi="Calibri"/>
                <w:b/>
              </w:rPr>
            </w:pPr>
            <w:r w:rsidRPr="00FD50F6">
              <w:rPr>
                <w:rFonts w:ascii="Calibri" w:hAnsi="Calibri" w:hint="eastAsia"/>
                <w:b/>
              </w:rPr>
              <w:t>12</w:t>
            </w:r>
            <w:r w:rsidRPr="00FD50F6">
              <w:rPr>
                <w:rFonts w:ascii="Calibri" w:hAnsi="Calibri" w:hint="eastAsia"/>
                <w:b/>
              </w:rPr>
              <w:t>’</w:t>
            </w:r>
          </w:p>
        </w:tc>
        <w:tc>
          <w:tcPr>
            <w:tcW w:w="756" w:type="dxa"/>
            <w:vAlign w:val="center"/>
          </w:tcPr>
          <w:p w14:paraId="3CEEED8F" w14:textId="77777777" w:rsidR="002B733E" w:rsidRPr="00FD50F6" w:rsidRDefault="002B733E" w:rsidP="002B733E">
            <w:pPr>
              <w:pStyle w:val="7"/>
              <w:rPr>
                <w:rFonts w:ascii="Calibri" w:hAnsi="Calibri"/>
                <w:b/>
              </w:rPr>
            </w:pPr>
            <w:r w:rsidRPr="00FD50F6">
              <w:rPr>
                <w:rFonts w:ascii="Calibri" w:hAnsi="Calibri" w:hint="eastAsia"/>
                <w:b/>
              </w:rPr>
              <w:t>14</w:t>
            </w:r>
            <w:r w:rsidRPr="00FD50F6">
              <w:rPr>
                <w:rFonts w:ascii="Calibri" w:hAnsi="Calibri" w:hint="eastAsia"/>
                <w:b/>
              </w:rPr>
              <w:t>’</w:t>
            </w:r>
          </w:p>
        </w:tc>
        <w:tc>
          <w:tcPr>
            <w:tcW w:w="756" w:type="dxa"/>
            <w:vAlign w:val="center"/>
          </w:tcPr>
          <w:p w14:paraId="351C6A61" w14:textId="77777777" w:rsidR="002B733E" w:rsidRPr="00FD50F6" w:rsidRDefault="002B733E" w:rsidP="002B733E">
            <w:pPr>
              <w:pStyle w:val="7"/>
              <w:rPr>
                <w:rFonts w:ascii="Calibri" w:hAnsi="Calibri"/>
                <w:b/>
              </w:rPr>
            </w:pPr>
            <w:r w:rsidRPr="00FD50F6">
              <w:rPr>
                <w:rFonts w:ascii="Calibri" w:hAnsi="Calibri" w:hint="eastAsia"/>
                <w:b/>
              </w:rPr>
              <w:t>15</w:t>
            </w:r>
            <w:r w:rsidRPr="00FD50F6">
              <w:rPr>
                <w:rFonts w:ascii="Calibri" w:hAnsi="Calibri" w:hint="eastAsia"/>
                <w:b/>
              </w:rPr>
              <w:t>’</w:t>
            </w:r>
          </w:p>
        </w:tc>
        <w:tc>
          <w:tcPr>
            <w:tcW w:w="756" w:type="dxa"/>
            <w:vAlign w:val="center"/>
          </w:tcPr>
          <w:p w14:paraId="1E29E681" w14:textId="77777777" w:rsidR="002B733E" w:rsidRPr="00FD50F6" w:rsidRDefault="002B733E" w:rsidP="002B733E">
            <w:pPr>
              <w:pStyle w:val="7"/>
              <w:rPr>
                <w:rFonts w:ascii="Calibri" w:hAnsi="Calibri"/>
                <w:b/>
              </w:rPr>
            </w:pPr>
            <w:r w:rsidRPr="00FD50F6">
              <w:rPr>
                <w:rFonts w:ascii="Calibri" w:hAnsi="Calibri" w:hint="eastAsia"/>
                <w:b/>
              </w:rPr>
              <w:t>16</w:t>
            </w:r>
            <w:r w:rsidRPr="00FD50F6">
              <w:rPr>
                <w:rFonts w:ascii="Calibri" w:hAnsi="Calibri" w:hint="eastAsia"/>
                <w:b/>
              </w:rPr>
              <w:t>’</w:t>
            </w:r>
          </w:p>
        </w:tc>
        <w:tc>
          <w:tcPr>
            <w:tcW w:w="756" w:type="dxa"/>
            <w:vAlign w:val="center"/>
          </w:tcPr>
          <w:p w14:paraId="487C9F7B" w14:textId="77777777" w:rsidR="002B733E" w:rsidRPr="00FD50F6" w:rsidRDefault="002B733E" w:rsidP="002B733E">
            <w:pPr>
              <w:pStyle w:val="7"/>
              <w:rPr>
                <w:rFonts w:ascii="Calibri" w:hAnsi="Calibri"/>
                <w:b/>
              </w:rPr>
            </w:pPr>
            <w:r w:rsidRPr="00FD50F6">
              <w:rPr>
                <w:rFonts w:ascii="Calibri" w:hAnsi="Calibri" w:hint="eastAsia"/>
                <w:b/>
              </w:rPr>
              <w:t>17</w:t>
            </w:r>
            <w:r w:rsidRPr="00FD50F6">
              <w:rPr>
                <w:rFonts w:ascii="Calibri" w:hAnsi="Calibri" w:hint="eastAsia"/>
                <w:b/>
              </w:rPr>
              <w:t>’</w:t>
            </w:r>
          </w:p>
        </w:tc>
        <w:tc>
          <w:tcPr>
            <w:tcW w:w="756" w:type="dxa"/>
            <w:vAlign w:val="center"/>
          </w:tcPr>
          <w:p w14:paraId="6FFF097F" w14:textId="77777777" w:rsidR="002B733E" w:rsidRPr="00FD50F6" w:rsidRDefault="002B733E" w:rsidP="002B733E">
            <w:pPr>
              <w:pStyle w:val="7"/>
              <w:rPr>
                <w:rFonts w:ascii="Calibri" w:hAnsi="Calibri"/>
                <w:b/>
              </w:rPr>
            </w:pPr>
            <w:r w:rsidRPr="00FD50F6">
              <w:rPr>
                <w:rFonts w:ascii="Calibri" w:hAnsi="Calibri" w:hint="eastAsia"/>
                <w:b/>
              </w:rPr>
              <w:t>18</w:t>
            </w:r>
            <w:r w:rsidRPr="00FD50F6">
              <w:rPr>
                <w:rFonts w:ascii="Calibri" w:hAnsi="Calibri" w:hint="eastAsia"/>
                <w:b/>
              </w:rPr>
              <w:t>’</w:t>
            </w:r>
          </w:p>
        </w:tc>
        <w:tc>
          <w:tcPr>
            <w:tcW w:w="756" w:type="dxa"/>
            <w:vAlign w:val="center"/>
          </w:tcPr>
          <w:p w14:paraId="261C48D8" w14:textId="77777777" w:rsidR="002B733E" w:rsidRPr="00FD50F6" w:rsidRDefault="002B733E" w:rsidP="002B733E">
            <w:pPr>
              <w:pStyle w:val="7"/>
              <w:rPr>
                <w:rFonts w:ascii="Calibri" w:hAnsi="Calibri"/>
                <w:b/>
              </w:rPr>
            </w:pPr>
            <w:r w:rsidRPr="00FD50F6">
              <w:rPr>
                <w:rFonts w:ascii="Calibri" w:hAnsi="Calibri" w:hint="eastAsia"/>
                <w:b/>
              </w:rPr>
              <w:t>19</w:t>
            </w:r>
            <w:r w:rsidRPr="00FD50F6">
              <w:rPr>
                <w:rFonts w:ascii="Calibri" w:hAnsi="Calibri" w:hint="eastAsia"/>
                <w:b/>
              </w:rPr>
              <w:t>’</w:t>
            </w:r>
          </w:p>
        </w:tc>
      </w:tr>
      <w:tr w:rsidR="00FD50F6" w:rsidRPr="00FD50F6" w14:paraId="3730B760" w14:textId="77777777" w:rsidTr="002B733E">
        <w:trPr>
          <w:trHeight w:val="397"/>
        </w:trPr>
        <w:tc>
          <w:tcPr>
            <w:tcW w:w="701" w:type="dxa"/>
            <w:vAlign w:val="center"/>
          </w:tcPr>
          <w:p w14:paraId="35918F9D" w14:textId="77777777" w:rsidR="002B733E" w:rsidRPr="00FD50F6" w:rsidRDefault="002B733E" w:rsidP="002B733E">
            <w:pPr>
              <w:pStyle w:val="7"/>
            </w:pPr>
            <w:r w:rsidRPr="00FD50F6">
              <w:rPr>
                <w:rFonts w:hint="eastAsia"/>
              </w:rPr>
              <w:t>X</w:t>
            </w:r>
          </w:p>
        </w:tc>
        <w:tc>
          <w:tcPr>
            <w:tcW w:w="756" w:type="dxa"/>
            <w:vAlign w:val="bottom"/>
          </w:tcPr>
          <w:p w14:paraId="2C3F5407" w14:textId="77777777" w:rsidR="002B733E" w:rsidRPr="00FD50F6" w:rsidRDefault="002B733E" w:rsidP="002B733E">
            <w:pPr>
              <w:pStyle w:val="7"/>
              <w:rPr>
                <w:rFonts w:ascii="Calibri" w:hAnsi="Calibri"/>
              </w:rPr>
            </w:pPr>
            <w:r w:rsidRPr="00FD50F6">
              <w:rPr>
                <w:rFonts w:ascii="Calibri" w:hAnsi="Calibri" w:hint="eastAsia"/>
              </w:rPr>
              <w:t>1553</w:t>
            </w:r>
          </w:p>
        </w:tc>
        <w:tc>
          <w:tcPr>
            <w:tcW w:w="756" w:type="dxa"/>
            <w:vAlign w:val="bottom"/>
          </w:tcPr>
          <w:p w14:paraId="148749CB" w14:textId="77777777" w:rsidR="002B733E" w:rsidRPr="00FD50F6" w:rsidRDefault="002B733E" w:rsidP="002B733E">
            <w:pPr>
              <w:pStyle w:val="7"/>
              <w:rPr>
                <w:rFonts w:ascii="Calibri" w:hAnsi="Calibri"/>
              </w:rPr>
            </w:pPr>
            <w:r w:rsidRPr="00FD50F6">
              <w:rPr>
                <w:rFonts w:ascii="Calibri" w:hAnsi="Calibri" w:hint="eastAsia"/>
              </w:rPr>
              <w:t>1546</w:t>
            </w:r>
          </w:p>
        </w:tc>
        <w:tc>
          <w:tcPr>
            <w:tcW w:w="756" w:type="dxa"/>
            <w:vAlign w:val="bottom"/>
          </w:tcPr>
          <w:p w14:paraId="25269B88" w14:textId="77777777" w:rsidR="002B733E" w:rsidRPr="00FD50F6" w:rsidRDefault="002B733E" w:rsidP="002B733E">
            <w:pPr>
              <w:pStyle w:val="7"/>
              <w:rPr>
                <w:rFonts w:ascii="Calibri" w:hAnsi="Calibri"/>
              </w:rPr>
            </w:pPr>
            <w:r w:rsidRPr="00FD50F6">
              <w:rPr>
                <w:rFonts w:ascii="Calibri" w:hAnsi="Calibri" w:hint="eastAsia"/>
              </w:rPr>
              <w:t>1511</w:t>
            </w:r>
          </w:p>
        </w:tc>
        <w:tc>
          <w:tcPr>
            <w:tcW w:w="756" w:type="dxa"/>
            <w:vAlign w:val="bottom"/>
          </w:tcPr>
          <w:p w14:paraId="55297F61" w14:textId="77777777" w:rsidR="002B733E" w:rsidRPr="00FD50F6" w:rsidRDefault="002B733E" w:rsidP="002B733E">
            <w:pPr>
              <w:pStyle w:val="7"/>
              <w:rPr>
                <w:rFonts w:ascii="Calibri" w:hAnsi="Calibri"/>
              </w:rPr>
            </w:pPr>
            <w:r w:rsidRPr="00FD50F6">
              <w:rPr>
                <w:rFonts w:ascii="Calibri" w:hAnsi="Calibri" w:hint="eastAsia"/>
              </w:rPr>
              <w:t>1421</w:t>
            </w:r>
          </w:p>
        </w:tc>
        <w:tc>
          <w:tcPr>
            <w:tcW w:w="756" w:type="dxa"/>
            <w:vAlign w:val="bottom"/>
          </w:tcPr>
          <w:p w14:paraId="34089750" w14:textId="77777777" w:rsidR="002B733E" w:rsidRPr="00FD50F6" w:rsidRDefault="002B733E" w:rsidP="002B733E">
            <w:pPr>
              <w:pStyle w:val="7"/>
              <w:rPr>
                <w:rFonts w:ascii="Calibri" w:hAnsi="Calibri"/>
              </w:rPr>
            </w:pPr>
            <w:r w:rsidRPr="00FD50F6">
              <w:rPr>
                <w:rFonts w:ascii="Calibri" w:hAnsi="Calibri" w:hint="eastAsia"/>
              </w:rPr>
              <w:t>1063</w:t>
            </w:r>
          </w:p>
        </w:tc>
        <w:tc>
          <w:tcPr>
            <w:tcW w:w="756" w:type="dxa"/>
            <w:vAlign w:val="bottom"/>
          </w:tcPr>
          <w:p w14:paraId="48A1A131" w14:textId="77777777" w:rsidR="002B733E" w:rsidRPr="00FD50F6" w:rsidRDefault="002B733E" w:rsidP="002B733E">
            <w:pPr>
              <w:pStyle w:val="7"/>
              <w:rPr>
                <w:rFonts w:ascii="Calibri" w:hAnsi="Calibri"/>
              </w:rPr>
            </w:pPr>
            <w:r w:rsidRPr="00FD50F6">
              <w:rPr>
                <w:rFonts w:ascii="Calibri" w:hAnsi="Calibri" w:hint="eastAsia"/>
              </w:rPr>
              <w:t>1014</w:t>
            </w:r>
          </w:p>
        </w:tc>
        <w:tc>
          <w:tcPr>
            <w:tcW w:w="756" w:type="dxa"/>
            <w:vAlign w:val="bottom"/>
          </w:tcPr>
          <w:p w14:paraId="7BB1B96D" w14:textId="77777777" w:rsidR="002B733E" w:rsidRPr="00FD50F6" w:rsidRDefault="002B733E" w:rsidP="002B733E">
            <w:pPr>
              <w:pStyle w:val="7"/>
              <w:rPr>
                <w:rFonts w:ascii="Calibri" w:hAnsi="Calibri"/>
              </w:rPr>
            </w:pPr>
            <w:r w:rsidRPr="00FD50F6">
              <w:rPr>
                <w:rFonts w:ascii="Calibri" w:hAnsi="Calibri" w:hint="eastAsia"/>
              </w:rPr>
              <w:t>993</w:t>
            </w:r>
          </w:p>
        </w:tc>
        <w:tc>
          <w:tcPr>
            <w:tcW w:w="756" w:type="dxa"/>
            <w:vAlign w:val="bottom"/>
          </w:tcPr>
          <w:p w14:paraId="6C2388A0" w14:textId="77777777" w:rsidR="002B733E" w:rsidRPr="00FD50F6" w:rsidRDefault="002B733E" w:rsidP="002B733E">
            <w:pPr>
              <w:pStyle w:val="7"/>
              <w:rPr>
                <w:rFonts w:ascii="Calibri" w:hAnsi="Calibri"/>
              </w:rPr>
            </w:pPr>
            <w:r w:rsidRPr="00FD50F6">
              <w:rPr>
                <w:rFonts w:ascii="Calibri" w:hAnsi="Calibri" w:hint="eastAsia"/>
              </w:rPr>
              <w:t>985</w:t>
            </w:r>
          </w:p>
        </w:tc>
        <w:tc>
          <w:tcPr>
            <w:tcW w:w="756" w:type="dxa"/>
            <w:vAlign w:val="bottom"/>
          </w:tcPr>
          <w:p w14:paraId="2A3D500C" w14:textId="77777777" w:rsidR="002B733E" w:rsidRPr="00FD50F6" w:rsidRDefault="002B733E" w:rsidP="002B733E">
            <w:pPr>
              <w:pStyle w:val="7"/>
              <w:rPr>
                <w:rFonts w:ascii="Calibri" w:hAnsi="Calibri"/>
              </w:rPr>
            </w:pPr>
            <w:r w:rsidRPr="00FD50F6">
              <w:rPr>
                <w:rFonts w:ascii="Calibri" w:hAnsi="Calibri" w:hint="eastAsia"/>
              </w:rPr>
              <w:t>837</w:t>
            </w:r>
          </w:p>
        </w:tc>
        <w:tc>
          <w:tcPr>
            <w:tcW w:w="756" w:type="dxa"/>
            <w:vAlign w:val="bottom"/>
          </w:tcPr>
          <w:p w14:paraId="0D34A1D2" w14:textId="77777777" w:rsidR="002B733E" w:rsidRPr="00FD50F6" w:rsidRDefault="002B733E" w:rsidP="002B733E">
            <w:pPr>
              <w:pStyle w:val="7"/>
              <w:rPr>
                <w:rFonts w:ascii="Calibri" w:hAnsi="Calibri"/>
              </w:rPr>
            </w:pPr>
            <w:r w:rsidRPr="00FD50F6">
              <w:rPr>
                <w:rFonts w:ascii="Calibri" w:hAnsi="Calibri" w:hint="eastAsia"/>
              </w:rPr>
              <w:t>837</w:t>
            </w:r>
          </w:p>
        </w:tc>
      </w:tr>
      <w:tr w:rsidR="00FD50F6" w:rsidRPr="00FD50F6" w14:paraId="4F6BB16E" w14:textId="77777777" w:rsidTr="002B733E">
        <w:trPr>
          <w:trHeight w:val="397"/>
        </w:trPr>
        <w:tc>
          <w:tcPr>
            <w:tcW w:w="701" w:type="dxa"/>
            <w:vAlign w:val="center"/>
          </w:tcPr>
          <w:p w14:paraId="62F7BFA8" w14:textId="77777777" w:rsidR="002B733E" w:rsidRPr="00FD50F6" w:rsidRDefault="002B733E" w:rsidP="002B733E">
            <w:pPr>
              <w:pStyle w:val="7"/>
            </w:pPr>
            <w:r w:rsidRPr="00FD50F6">
              <w:rPr>
                <w:rFonts w:hint="eastAsia"/>
              </w:rPr>
              <w:t>Y</w:t>
            </w:r>
          </w:p>
        </w:tc>
        <w:tc>
          <w:tcPr>
            <w:tcW w:w="756" w:type="dxa"/>
            <w:vAlign w:val="bottom"/>
          </w:tcPr>
          <w:p w14:paraId="55806B71" w14:textId="77777777" w:rsidR="002B733E" w:rsidRPr="00FD50F6" w:rsidRDefault="002B733E" w:rsidP="002B733E">
            <w:pPr>
              <w:pStyle w:val="7"/>
              <w:rPr>
                <w:rFonts w:ascii="Calibri" w:hAnsi="Calibri"/>
              </w:rPr>
            </w:pPr>
            <w:r w:rsidRPr="00FD50F6">
              <w:rPr>
                <w:rFonts w:ascii="Calibri" w:hAnsi="Calibri" w:hint="eastAsia"/>
              </w:rPr>
              <w:t>810</w:t>
            </w:r>
          </w:p>
        </w:tc>
        <w:tc>
          <w:tcPr>
            <w:tcW w:w="756" w:type="dxa"/>
            <w:vAlign w:val="bottom"/>
          </w:tcPr>
          <w:p w14:paraId="3AA6BEF8" w14:textId="77777777" w:rsidR="002B733E" w:rsidRPr="00FD50F6" w:rsidRDefault="002B733E" w:rsidP="002B733E">
            <w:pPr>
              <w:pStyle w:val="7"/>
              <w:rPr>
                <w:rFonts w:ascii="Calibri" w:hAnsi="Calibri"/>
              </w:rPr>
            </w:pPr>
            <w:r w:rsidRPr="00FD50F6">
              <w:rPr>
                <w:rFonts w:ascii="Calibri" w:hAnsi="Calibri" w:hint="eastAsia"/>
              </w:rPr>
              <w:t>778</w:t>
            </w:r>
          </w:p>
        </w:tc>
        <w:tc>
          <w:tcPr>
            <w:tcW w:w="756" w:type="dxa"/>
            <w:vAlign w:val="bottom"/>
          </w:tcPr>
          <w:p w14:paraId="29F8FFAB" w14:textId="77777777" w:rsidR="002B733E" w:rsidRPr="00FD50F6" w:rsidRDefault="002B733E" w:rsidP="002B733E">
            <w:pPr>
              <w:pStyle w:val="7"/>
              <w:rPr>
                <w:rFonts w:ascii="Calibri" w:hAnsi="Calibri"/>
              </w:rPr>
            </w:pPr>
            <w:r w:rsidRPr="00FD50F6">
              <w:rPr>
                <w:rFonts w:ascii="Calibri" w:hAnsi="Calibri" w:hint="eastAsia"/>
              </w:rPr>
              <w:t>604</w:t>
            </w:r>
          </w:p>
        </w:tc>
        <w:tc>
          <w:tcPr>
            <w:tcW w:w="756" w:type="dxa"/>
            <w:vAlign w:val="bottom"/>
          </w:tcPr>
          <w:p w14:paraId="50751937" w14:textId="77777777" w:rsidR="002B733E" w:rsidRPr="00FD50F6" w:rsidRDefault="002B733E" w:rsidP="002B733E">
            <w:pPr>
              <w:pStyle w:val="7"/>
              <w:rPr>
                <w:rFonts w:ascii="Calibri" w:hAnsi="Calibri"/>
              </w:rPr>
            </w:pPr>
            <w:r w:rsidRPr="00FD50F6">
              <w:rPr>
                <w:rFonts w:ascii="Calibri" w:hAnsi="Calibri" w:hint="eastAsia"/>
              </w:rPr>
              <w:t>604</w:t>
            </w:r>
          </w:p>
        </w:tc>
        <w:tc>
          <w:tcPr>
            <w:tcW w:w="756" w:type="dxa"/>
            <w:vAlign w:val="bottom"/>
          </w:tcPr>
          <w:p w14:paraId="37552182" w14:textId="77777777" w:rsidR="002B733E" w:rsidRPr="00FD50F6" w:rsidRDefault="002B733E" w:rsidP="002B733E">
            <w:pPr>
              <w:pStyle w:val="7"/>
              <w:rPr>
                <w:rFonts w:ascii="Calibri" w:hAnsi="Calibri"/>
              </w:rPr>
            </w:pPr>
            <w:r w:rsidRPr="00FD50F6">
              <w:rPr>
                <w:rFonts w:ascii="Calibri" w:hAnsi="Calibri" w:hint="eastAsia"/>
              </w:rPr>
              <w:t>104</w:t>
            </w:r>
          </w:p>
        </w:tc>
        <w:tc>
          <w:tcPr>
            <w:tcW w:w="756" w:type="dxa"/>
            <w:vAlign w:val="bottom"/>
          </w:tcPr>
          <w:p w14:paraId="57F3397D" w14:textId="77777777" w:rsidR="002B733E" w:rsidRPr="00FD50F6" w:rsidRDefault="002B733E" w:rsidP="002B733E">
            <w:pPr>
              <w:pStyle w:val="7"/>
              <w:rPr>
                <w:rFonts w:ascii="Calibri" w:hAnsi="Calibri"/>
              </w:rPr>
            </w:pPr>
            <w:r w:rsidRPr="00FD50F6">
              <w:rPr>
                <w:rFonts w:ascii="Calibri" w:hAnsi="Calibri" w:hint="eastAsia"/>
              </w:rPr>
              <w:t>105</w:t>
            </w:r>
          </w:p>
        </w:tc>
        <w:tc>
          <w:tcPr>
            <w:tcW w:w="756" w:type="dxa"/>
            <w:vAlign w:val="bottom"/>
          </w:tcPr>
          <w:p w14:paraId="28F15245" w14:textId="77777777" w:rsidR="002B733E" w:rsidRPr="00FD50F6" w:rsidRDefault="002B733E" w:rsidP="002B733E">
            <w:pPr>
              <w:pStyle w:val="7"/>
              <w:rPr>
                <w:rFonts w:ascii="Calibri" w:hAnsi="Calibri"/>
              </w:rPr>
            </w:pPr>
            <w:r w:rsidRPr="00FD50F6">
              <w:rPr>
                <w:rFonts w:ascii="Calibri" w:hAnsi="Calibri" w:hint="eastAsia"/>
              </w:rPr>
              <w:t>100</w:t>
            </w:r>
          </w:p>
        </w:tc>
        <w:tc>
          <w:tcPr>
            <w:tcW w:w="756" w:type="dxa"/>
            <w:vAlign w:val="bottom"/>
          </w:tcPr>
          <w:p w14:paraId="4CEDDD15" w14:textId="77777777" w:rsidR="002B733E" w:rsidRPr="00FD50F6" w:rsidRDefault="002B733E" w:rsidP="002B733E">
            <w:pPr>
              <w:pStyle w:val="7"/>
              <w:rPr>
                <w:rFonts w:ascii="Calibri" w:hAnsi="Calibri"/>
              </w:rPr>
            </w:pPr>
            <w:r w:rsidRPr="00FD50F6">
              <w:rPr>
                <w:rFonts w:ascii="Calibri" w:hAnsi="Calibri" w:hint="eastAsia"/>
              </w:rPr>
              <w:t>100</w:t>
            </w:r>
          </w:p>
        </w:tc>
        <w:tc>
          <w:tcPr>
            <w:tcW w:w="756" w:type="dxa"/>
            <w:vAlign w:val="bottom"/>
          </w:tcPr>
          <w:p w14:paraId="5C475B6C" w14:textId="77777777" w:rsidR="002B733E" w:rsidRPr="00FD50F6" w:rsidRDefault="002B733E" w:rsidP="002B733E">
            <w:pPr>
              <w:pStyle w:val="7"/>
              <w:rPr>
                <w:rFonts w:ascii="Calibri" w:hAnsi="Calibri"/>
              </w:rPr>
            </w:pPr>
            <w:r w:rsidRPr="00FD50F6">
              <w:rPr>
                <w:rFonts w:ascii="Calibri" w:hAnsi="Calibri" w:hint="eastAsia"/>
              </w:rPr>
              <w:t>101</w:t>
            </w:r>
          </w:p>
        </w:tc>
        <w:tc>
          <w:tcPr>
            <w:tcW w:w="756" w:type="dxa"/>
            <w:vAlign w:val="bottom"/>
          </w:tcPr>
          <w:p w14:paraId="388B348C" w14:textId="77777777" w:rsidR="002B733E" w:rsidRPr="00FD50F6" w:rsidRDefault="002B733E" w:rsidP="002B733E">
            <w:pPr>
              <w:pStyle w:val="7"/>
              <w:rPr>
                <w:rFonts w:ascii="Calibri" w:hAnsi="Calibri"/>
              </w:rPr>
            </w:pPr>
            <w:r w:rsidRPr="00FD50F6">
              <w:rPr>
                <w:rFonts w:ascii="Calibri" w:hAnsi="Calibri" w:hint="eastAsia"/>
              </w:rPr>
              <w:t>-16</w:t>
            </w:r>
          </w:p>
        </w:tc>
      </w:tr>
      <w:tr w:rsidR="00FD50F6" w:rsidRPr="00FD50F6" w14:paraId="06A35701" w14:textId="77777777" w:rsidTr="002B733E">
        <w:trPr>
          <w:trHeight w:val="397"/>
        </w:trPr>
        <w:tc>
          <w:tcPr>
            <w:tcW w:w="701" w:type="dxa"/>
            <w:vAlign w:val="center"/>
          </w:tcPr>
          <w:p w14:paraId="7182A93E" w14:textId="77777777" w:rsidR="002B733E" w:rsidRPr="00FD50F6" w:rsidRDefault="002B733E" w:rsidP="002B733E">
            <w:pPr>
              <w:pStyle w:val="7"/>
            </w:pPr>
            <w:r w:rsidRPr="00FD50F6">
              <w:rPr>
                <w:rFonts w:hint="eastAsia"/>
              </w:rPr>
              <w:t>点号</w:t>
            </w:r>
          </w:p>
        </w:tc>
        <w:tc>
          <w:tcPr>
            <w:tcW w:w="756" w:type="dxa"/>
            <w:vAlign w:val="center"/>
          </w:tcPr>
          <w:p w14:paraId="3CA39906" w14:textId="77777777" w:rsidR="002B733E" w:rsidRPr="00FD50F6" w:rsidRDefault="002B733E" w:rsidP="002B733E">
            <w:pPr>
              <w:pStyle w:val="7"/>
              <w:rPr>
                <w:rFonts w:ascii="Calibri" w:hAnsi="Calibri"/>
                <w:b/>
              </w:rPr>
            </w:pPr>
            <w:r w:rsidRPr="00FD50F6">
              <w:rPr>
                <w:rFonts w:ascii="Calibri" w:hAnsi="Calibri" w:hint="eastAsia"/>
                <w:b/>
              </w:rPr>
              <w:t>20</w:t>
            </w:r>
            <w:r w:rsidRPr="00FD50F6">
              <w:rPr>
                <w:rFonts w:ascii="Calibri" w:hAnsi="Calibri" w:hint="eastAsia"/>
                <w:b/>
              </w:rPr>
              <w:t>’</w:t>
            </w:r>
          </w:p>
        </w:tc>
        <w:tc>
          <w:tcPr>
            <w:tcW w:w="756" w:type="dxa"/>
            <w:vAlign w:val="center"/>
          </w:tcPr>
          <w:p w14:paraId="6B324B6D" w14:textId="77777777" w:rsidR="002B733E" w:rsidRPr="00FD50F6" w:rsidRDefault="002B733E" w:rsidP="002B733E">
            <w:pPr>
              <w:pStyle w:val="7"/>
              <w:rPr>
                <w:rFonts w:ascii="Calibri" w:hAnsi="Calibri"/>
                <w:b/>
              </w:rPr>
            </w:pPr>
            <w:r w:rsidRPr="00FD50F6">
              <w:rPr>
                <w:rFonts w:ascii="Calibri" w:hAnsi="Calibri" w:hint="eastAsia"/>
                <w:b/>
              </w:rPr>
              <w:t>21</w:t>
            </w:r>
            <w:r w:rsidRPr="00FD50F6">
              <w:rPr>
                <w:rFonts w:ascii="Calibri" w:hAnsi="Calibri" w:hint="eastAsia"/>
                <w:b/>
              </w:rPr>
              <w:t>’</w:t>
            </w:r>
          </w:p>
        </w:tc>
        <w:tc>
          <w:tcPr>
            <w:tcW w:w="756" w:type="dxa"/>
            <w:vAlign w:val="center"/>
          </w:tcPr>
          <w:p w14:paraId="0384830C" w14:textId="77777777" w:rsidR="002B733E" w:rsidRPr="00FD50F6" w:rsidRDefault="002B733E" w:rsidP="002B733E">
            <w:pPr>
              <w:pStyle w:val="7"/>
              <w:rPr>
                <w:rFonts w:ascii="Calibri" w:hAnsi="Calibri"/>
                <w:b/>
              </w:rPr>
            </w:pPr>
            <w:r w:rsidRPr="00FD50F6">
              <w:rPr>
                <w:rFonts w:ascii="Calibri" w:hAnsi="Calibri" w:hint="eastAsia"/>
                <w:b/>
              </w:rPr>
              <w:t>22</w:t>
            </w:r>
            <w:r w:rsidRPr="00FD50F6">
              <w:rPr>
                <w:rFonts w:ascii="Calibri" w:hAnsi="Calibri" w:hint="eastAsia"/>
                <w:b/>
              </w:rPr>
              <w:t>’</w:t>
            </w:r>
          </w:p>
        </w:tc>
        <w:tc>
          <w:tcPr>
            <w:tcW w:w="756" w:type="dxa"/>
            <w:vAlign w:val="center"/>
          </w:tcPr>
          <w:p w14:paraId="0DA40CF3" w14:textId="77777777" w:rsidR="002B733E" w:rsidRPr="00FD50F6" w:rsidRDefault="002B733E" w:rsidP="002B733E">
            <w:pPr>
              <w:pStyle w:val="7"/>
              <w:rPr>
                <w:rFonts w:ascii="Calibri" w:hAnsi="Calibri"/>
                <w:b/>
              </w:rPr>
            </w:pPr>
            <w:r w:rsidRPr="00FD50F6">
              <w:rPr>
                <w:rFonts w:ascii="Calibri" w:hAnsi="Calibri" w:hint="eastAsia"/>
                <w:b/>
              </w:rPr>
              <w:t>23</w:t>
            </w:r>
            <w:r w:rsidRPr="00FD50F6">
              <w:rPr>
                <w:rFonts w:ascii="Calibri" w:hAnsi="Calibri" w:hint="eastAsia"/>
                <w:b/>
              </w:rPr>
              <w:t>’</w:t>
            </w:r>
          </w:p>
        </w:tc>
        <w:tc>
          <w:tcPr>
            <w:tcW w:w="756" w:type="dxa"/>
            <w:vAlign w:val="center"/>
          </w:tcPr>
          <w:p w14:paraId="6991727C" w14:textId="77777777" w:rsidR="002B733E" w:rsidRPr="00FD50F6" w:rsidRDefault="002B733E" w:rsidP="002B733E">
            <w:pPr>
              <w:pStyle w:val="7"/>
              <w:rPr>
                <w:rFonts w:ascii="Calibri" w:hAnsi="Calibri"/>
                <w:b/>
              </w:rPr>
            </w:pPr>
            <w:r w:rsidRPr="00FD50F6">
              <w:rPr>
                <w:rFonts w:ascii="Calibri" w:hAnsi="Calibri" w:hint="eastAsia"/>
                <w:b/>
              </w:rPr>
              <w:t>24</w:t>
            </w:r>
            <w:r w:rsidRPr="00FD50F6">
              <w:rPr>
                <w:rFonts w:ascii="Calibri" w:hAnsi="Calibri" w:hint="eastAsia"/>
                <w:b/>
              </w:rPr>
              <w:t>’</w:t>
            </w:r>
          </w:p>
        </w:tc>
        <w:tc>
          <w:tcPr>
            <w:tcW w:w="756" w:type="dxa"/>
            <w:vAlign w:val="center"/>
          </w:tcPr>
          <w:p w14:paraId="0BE1DF55" w14:textId="77777777" w:rsidR="002B733E" w:rsidRPr="00FD50F6" w:rsidRDefault="002B733E" w:rsidP="002B733E">
            <w:pPr>
              <w:pStyle w:val="7"/>
              <w:rPr>
                <w:rFonts w:ascii="Calibri" w:hAnsi="Calibri"/>
                <w:b/>
              </w:rPr>
            </w:pPr>
            <w:r w:rsidRPr="00FD50F6">
              <w:rPr>
                <w:rFonts w:ascii="Calibri" w:hAnsi="Calibri" w:hint="eastAsia"/>
                <w:b/>
              </w:rPr>
              <w:t>25</w:t>
            </w:r>
            <w:r w:rsidRPr="00FD50F6">
              <w:rPr>
                <w:rFonts w:ascii="Calibri" w:hAnsi="Calibri" w:hint="eastAsia"/>
                <w:b/>
              </w:rPr>
              <w:t>’</w:t>
            </w:r>
          </w:p>
        </w:tc>
        <w:tc>
          <w:tcPr>
            <w:tcW w:w="756" w:type="dxa"/>
            <w:vAlign w:val="center"/>
          </w:tcPr>
          <w:p w14:paraId="73418303" w14:textId="77777777" w:rsidR="002B733E" w:rsidRPr="00FD50F6" w:rsidRDefault="002B733E" w:rsidP="002B733E">
            <w:pPr>
              <w:pStyle w:val="7"/>
              <w:rPr>
                <w:rFonts w:ascii="Calibri" w:hAnsi="Calibri"/>
                <w:b/>
              </w:rPr>
            </w:pPr>
            <w:r w:rsidRPr="00FD50F6">
              <w:rPr>
                <w:rFonts w:ascii="Calibri" w:hAnsi="Calibri" w:hint="eastAsia"/>
                <w:b/>
              </w:rPr>
              <w:t>26</w:t>
            </w:r>
            <w:r w:rsidRPr="00FD50F6">
              <w:rPr>
                <w:rFonts w:ascii="Calibri" w:hAnsi="Calibri" w:hint="eastAsia"/>
                <w:b/>
              </w:rPr>
              <w:t>’</w:t>
            </w:r>
          </w:p>
        </w:tc>
        <w:tc>
          <w:tcPr>
            <w:tcW w:w="756" w:type="dxa"/>
            <w:vAlign w:val="center"/>
          </w:tcPr>
          <w:p w14:paraId="334C00B4" w14:textId="77777777" w:rsidR="002B733E" w:rsidRPr="00FD50F6" w:rsidRDefault="002B733E" w:rsidP="002B733E">
            <w:pPr>
              <w:pStyle w:val="7"/>
              <w:rPr>
                <w:rFonts w:ascii="Calibri" w:hAnsi="Calibri"/>
                <w:b/>
              </w:rPr>
            </w:pPr>
            <w:r w:rsidRPr="00FD50F6">
              <w:rPr>
                <w:rFonts w:ascii="Calibri" w:hAnsi="Calibri" w:hint="eastAsia"/>
                <w:b/>
              </w:rPr>
              <w:t>27</w:t>
            </w:r>
            <w:r w:rsidRPr="00FD50F6">
              <w:rPr>
                <w:rFonts w:ascii="Calibri" w:hAnsi="Calibri" w:hint="eastAsia"/>
                <w:b/>
              </w:rPr>
              <w:t>’</w:t>
            </w:r>
          </w:p>
        </w:tc>
        <w:tc>
          <w:tcPr>
            <w:tcW w:w="756" w:type="dxa"/>
            <w:vAlign w:val="center"/>
          </w:tcPr>
          <w:p w14:paraId="05C3C18D" w14:textId="77777777" w:rsidR="002B733E" w:rsidRPr="00FD50F6" w:rsidRDefault="002B733E" w:rsidP="002B733E">
            <w:pPr>
              <w:pStyle w:val="7"/>
              <w:rPr>
                <w:rFonts w:ascii="Calibri" w:hAnsi="Calibri"/>
                <w:b/>
              </w:rPr>
            </w:pPr>
            <w:r w:rsidRPr="00FD50F6">
              <w:rPr>
                <w:rFonts w:ascii="Calibri" w:hAnsi="Calibri" w:hint="eastAsia"/>
                <w:b/>
              </w:rPr>
              <w:t>28</w:t>
            </w:r>
            <w:r w:rsidRPr="00FD50F6">
              <w:rPr>
                <w:rFonts w:ascii="Calibri" w:hAnsi="Calibri" w:hint="eastAsia"/>
                <w:b/>
              </w:rPr>
              <w:t>’</w:t>
            </w:r>
          </w:p>
        </w:tc>
        <w:tc>
          <w:tcPr>
            <w:tcW w:w="756" w:type="dxa"/>
            <w:vAlign w:val="bottom"/>
          </w:tcPr>
          <w:p w14:paraId="41E4EEA0"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73805431" w14:textId="77777777" w:rsidTr="002B733E">
        <w:trPr>
          <w:trHeight w:val="397"/>
        </w:trPr>
        <w:tc>
          <w:tcPr>
            <w:tcW w:w="701" w:type="dxa"/>
            <w:vAlign w:val="center"/>
          </w:tcPr>
          <w:p w14:paraId="434D83E6" w14:textId="77777777" w:rsidR="002B733E" w:rsidRPr="00FD50F6" w:rsidRDefault="002B733E" w:rsidP="002B733E">
            <w:pPr>
              <w:pStyle w:val="7"/>
            </w:pPr>
            <w:r w:rsidRPr="00FD50F6">
              <w:rPr>
                <w:rFonts w:hint="eastAsia"/>
              </w:rPr>
              <w:t>X</w:t>
            </w:r>
          </w:p>
        </w:tc>
        <w:tc>
          <w:tcPr>
            <w:tcW w:w="756" w:type="dxa"/>
            <w:vAlign w:val="bottom"/>
          </w:tcPr>
          <w:p w14:paraId="0FC9F3C9" w14:textId="77777777" w:rsidR="002B733E" w:rsidRPr="00FD50F6" w:rsidRDefault="002B733E" w:rsidP="002B733E">
            <w:pPr>
              <w:pStyle w:val="7"/>
              <w:rPr>
                <w:rFonts w:ascii="Calibri" w:hAnsi="Calibri"/>
              </w:rPr>
            </w:pPr>
            <w:r w:rsidRPr="00FD50F6">
              <w:rPr>
                <w:rFonts w:ascii="Calibri" w:hAnsi="Calibri" w:hint="eastAsia"/>
              </w:rPr>
              <w:t>772</w:t>
            </w:r>
          </w:p>
        </w:tc>
        <w:tc>
          <w:tcPr>
            <w:tcW w:w="756" w:type="dxa"/>
            <w:vAlign w:val="bottom"/>
          </w:tcPr>
          <w:p w14:paraId="519A28B4" w14:textId="77777777" w:rsidR="002B733E" w:rsidRPr="00FD50F6" w:rsidRDefault="002B733E" w:rsidP="002B733E">
            <w:pPr>
              <w:pStyle w:val="7"/>
              <w:rPr>
                <w:rFonts w:ascii="Calibri" w:hAnsi="Calibri"/>
              </w:rPr>
            </w:pPr>
            <w:r w:rsidRPr="00FD50F6">
              <w:rPr>
                <w:rFonts w:ascii="Calibri" w:hAnsi="Calibri" w:hint="eastAsia"/>
              </w:rPr>
              <w:t>732</w:t>
            </w:r>
          </w:p>
        </w:tc>
        <w:tc>
          <w:tcPr>
            <w:tcW w:w="756" w:type="dxa"/>
            <w:vAlign w:val="bottom"/>
          </w:tcPr>
          <w:p w14:paraId="2218748F" w14:textId="77777777" w:rsidR="002B733E" w:rsidRPr="00FD50F6" w:rsidRDefault="002B733E" w:rsidP="002B733E">
            <w:pPr>
              <w:pStyle w:val="7"/>
              <w:rPr>
                <w:rFonts w:ascii="Calibri" w:hAnsi="Calibri"/>
              </w:rPr>
            </w:pPr>
            <w:r w:rsidRPr="00FD50F6">
              <w:rPr>
                <w:rFonts w:ascii="Calibri" w:hAnsi="Calibri" w:hint="eastAsia"/>
              </w:rPr>
              <w:t>732</w:t>
            </w:r>
          </w:p>
        </w:tc>
        <w:tc>
          <w:tcPr>
            <w:tcW w:w="756" w:type="dxa"/>
            <w:vAlign w:val="bottom"/>
          </w:tcPr>
          <w:p w14:paraId="1F3C4C65" w14:textId="77777777" w:rsidR="002B733E" w:rsidRPr="00FD50F6" w:rsidRDefault="002B733E" w:rsidP="002B733E">
            <w:pPr>
              <w:pStyle w:val="7"/>
              <w:rPr>
                <w:rFonts w:ascii="Calibri" w:hAnsi="Calibri"/>
              </w:rPr>
            </w:pPr>
            <w:r w:rsidRPr="00FD50F6">
              <w:rPr>
                <w:rFonts w:ascii="Calibri" w:hAnsi="Calibri" w:hint="eastAsia"/>
              </w:rPr>
              <w:t>651</w:t>
            </w:r>
          </w:p>
        </w:tc>
        <w:tc>
          <w:tcPr>
            <w:tcW w:w="756" w:type="dxa"/>
            <w:vAlign w:val="bottom"/>
          </w:tcPr>
          <w:p w14:paraId="674B8C3D" w14:textId="77777777" w:rsidR="002B733E" w:rsidRPr="00FD50F6" w:rsidRDefault="002B733E" w:rsidP="002B733E">
            <w:pPr>
              <w:pStyle w:val="7"/>
              <w:rPr>
                <w:rFonts w:ascii="Calibri" w:hAnsi="Calibri"/>
              </w:rPr>
            </w:pPr>
            <w:r w:rsidRPr="00FD50F6">
              <w:rPr>
                <w:rFonts w:ascii="Calibri" w:hAnsi="Calibri" w:hint="eastAsia"/>
              </w:rPr>
              <w:t>651</w:t>
            </w:r>
          </w:p>
        </w:tc>
        <w:tc>
          <w:tcPr>
            <w:tcW w:w="756" w:type="dxa"/>
            <w:vAlign w:val="bottom"/>
          </w:tcPr>
          <w:p w14:paraId="58500049" w14:textId="77777777" w:rsidR="002B733E" w:rsidRPr="00FD50F6" w:rsidRDefault="002B733E" w:rsidP="002B733E">
            <w:pPr>
              <w:pStyle w:val="7"/>
              <w:rPr>
                <w:rFonts w:ascii="Calibri" w:hAnsi="Calibri"/>
              </w:rPr>
            </w:pPr>
            <w:r w:rsidRPr="00FD50F6">
              <w:rPr>
                <w:rFonts w:ascii="Calibri" w:hAnsi="Calibri" w:hint="eastAsia"/>
              </w:rPr>
              <w:t>538</w:t>
            </w:r>
          </w:p>
        </w:tc>
        <w:tc>
          <w:tcPr>
            <w:tcW w:w="756" w:type="dxa"/>
            <w:vAlign w:val="bottom"/>
          </w:tcPr>
          <w:p w14:paraId="1027E197" w14:textId="77777777" w:rsidR="002B733E" w:rsidRPr="00FD50F6" w:rsidRDefault="002B733E" w:rsidP="002B733E">
            <w:pPr>
              <w:pStyle w:val="7"/>
              <w:rPr>
                <w:rFonts w:ascii="Calibri" w:hAnsi="Calibri"/>
              </w:rPr>
            </w:pPr>
            <w:r w:rsidRPr="00FD50F6">
              <w:rPr>
                <w:rFonts w:ascii="Calibri" w:hAnsi="Calibri" w:hint="eastAsia"/>
              </w:rPr>
              <w:t>154</w:t>
            </w:r>
          </w:p>
        </w:tc>
        <w:tc>
          <w:tcPr>
            <w:tcW w:w="756" w:type="dxa"/>
            <w:vAlign w:val="bottom"/>
          </w:tcPr>
          <w:p w14:paraId="65061500" w14:textId="77777777" w:rsidR="002B733E" w:rsidRPr="00FD50F6" w:rsidRDefault="002B733E" w:rsidP="002B733E">
            <w:pPr>
              <w:pStyle w:val="7"/>
              <w:rPr>
                <w:rFonts w:ascii="Calibri" w:hAnsi="Calibri"/>
              </w:rPr>
            </w:pPr>
            <w:r w:rsidRPr="00FD50F6">
              <w:rPr>
                <w:rFonts w:ascii="Calibri" w:hAnsi="Calibri" w:hint="eastAsia"/>
              </w:rPr>
              <w:t>154</w:t>
            </w:r>
          </w:p>
        </w:tc>
        <w:tc>
          <w:tcPr>
            <w:tcW w:w="756" w:type="dxa"/>
            <w:vAlign w:val="bottom"/>
          </w:tcPr>
          <w:p w14:paraId="35609537" w14:textId="77777777" w:rsidR="002B733E" w:rsidRPr="00FD50F6" w:rsidRDefault="002B733E" w:rsidP="002B733E">
            <w:pPr>
              <w:pStyle w:val="7"/>
              <w:rPr>
                <w:rFonts w:ascii="Calibri" w:hAnsi="Calibri"/>
              </w:rPr>
            </w:pPr>
            <w:r w:rsidRPr="00FD50F6">
              <w:rPr>
                <w:rFonts w:ascii="Calibri" w:hAnsi="Calibri" w:hint="eastAsia"/>
              </w:rPr>
              <w:t>32</w:t>
            </w:r>
          </w:p>
        </w:tc>
        <w:tc>
          <w:tcPr>
            <w:tcW w:w="756" w:type="dxa"/>
            <w:vAlign w:val="bottom"/>
          </w:tcPr>
          <w:p w14:paraId="55492E41"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1DAACD64" w14:textId="77777777" w:rsidTr="002B733E">
        <w:trPr>
          <w:trHeight w:val="397"/>
        </w:trPr>
        <w:tc>
          <w:tcPr>
            <w:tcW w:w="701" w:type="dxa"/>
            <w:vAlign w:val="center"/>
          </w:tcPr>
          <w:p w14:paraId="1D2AE12D" w14:textId="77777777" w:rsidR="002B733E" w:rsidRPr="00FD50F6" w:rsidRDefault="002B733E" w:rsidP="002B733E">
            <w:pPr>
              <w:pStyle w:val="7"/>
            </w:pPr>
            <w:r w:rsidRPr="00FD50F6">
              <w:rPr>
                <w:rFonts w:hint="eastAsia"/>
              </w:rPr>
              <w:t>Y</w:t>
            </w:r>
          </w:p>
        </w:tc>
        <w:tc>
          <w:tcPr>
            <w:tcW w:w="756" w:type="dxa"/>
            <w:vAlign w:val="bottom"/>
          </w:tcPr>
          <w:p w14:paraId="110D3B1D"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bottom"/>
          </w:tcPr>
          <w:p w14:paraId="43A1911D" w14:textId="77777777" w:rsidR="002B733E" w:rsidRPr="00FD50F6" w:rsidRDefault="002B733E" w:rsidP="002B733E">
            <w:pPr>
              <w:pStyle w:val="7"/>
              <w:rPr>
                <w:rFonts w:ascii="Calibri" w:hAnsi="Calibri"/>
              </w:rPr>
            </w:pPr>
            <w:r w:rsidRPr="00FD50F6">
              <w:rPr>
                <w:rFonts w:ascii="Calibri" w:hAnsi="Calibri" w:hint="eastAsia"/>
              </w:rPr>
              <w:t>-16</w:t>
            </w:r>
          </w:p>
        </w:tc>
        <w:tc>
          <w:tcPr>
            <w:tcW w:w="756" w:type="dxa"/>
            <w:vAlign w:val="bottom"/>
          </w:tcPr>
          <w:p w14:paraId="2848ED9D" w14:textId="77777777" w:rsidR="002B733E" w:rsidRPr="00FD50F6" w:rsidRDefault="002B733E" w:rsidP="002B733E">
            <w:pPr>
              <w:pStyle w:val="7"/>
              <w:rPr>
                <w:rFonts w:ascii="Calibri" w:hAnsi="Calibri"/>
              </w:rPr>
            </w:pPr>
            <w:r w:rsidRPr="00FD50F6">
              <w:rPr>
                <w:rFonts w:ascii="Calibri" w:hAnsi="Calibri" w:hint="eastAsia"/>
              </w:rPr>
              <w:t>-56</w:t>
            </w:r>
          </w:p>
        </w:tc>
        <w:tc>
          <w:tcPr>
            <w:tcW w:w="756" w:type="dxa"/>
            <w:vAlign w:val="bottom"/>
          </w:tcPr>
          <w:p w14:paraId="10D05EFA" w14:textId="77777777" w:rsidR="002B733E" w:rsidRPr="00FD50F6" w:rsidRDefault="002B733E" w:rsidP="002B733E">
            <w:pPr>
              <w:pStyle w:val="7"/>
              <w:rPr>
                <w:rFonts w:ascii="Calibri" w:hAnsi="Calibri"/>
              </w:rPr>
            </w:pPr>
            <w:r w:rsidRPr="00FD50F6">
              <w:rPr>
                <w:rFonts w:ascii="Calibri" w:hAnsi="Calibri" w:hint="eastAsia"/>
              </w:rPr>
              <w:t>-56</w:t>
            </w:r>
          </w:p>
        </w:tc>
        <w:tc>
          <w:tcPr>
            <w:tcW w:w="756" w:type="dxa"/>
            <w:vAlign w:val="bottom"/>
          </w:tcPr>
          <w:p w14:paraId="24D8667A"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bottom"/>
          </w:tcPr>
          <w:p w14:paraId="1CE01F01" w14:textId="77777777" w:rsidR="002B733E" w:rsidRPr="00FD50F6" w:rsidRDefault="002B733E" w:rsidP="002B733E">
            <w:pPr>
              <w:pStyle w:val="7"/>
              <w:rPr>
                <w:rFonts w:ascii="Calibri" w:hAnsi="Calibri"/>
              </w:rPr>
            </w:pPr>
            <w:r w:rsidRPr="00FD50F6">
              <w:rPr>
                <w:rFonts w:ascii="Calibri" w:hAnsi="Calibri" w:hint="eastAsia"/>
              </w:rPr>
              <w:t>31</w:t>
            </w:r>
          </w:p>
        </w:tc>
        <w:tc>
          <w:tcPr>
            <w:tcW w:w="756" w:type="dxa"/>
            <w:vAlign w:val="bottom"/>
          </w:tcPr>
          <w:p w14:paraId="5D12242E" w14:textId="77777777" w:rsidR="002B733E" w:rsidRPr="00FD50F6" w:rsidRDefault="002B733E" w:rsidP="002B733E">
            <w:pPr>
              <w:pStyle w:val="7"/>
              <w:rPr>
                <w:rFonts w:ascii="Calibri" w:hAnsi="Calibri"/>
              </w:rPr>
            </w:pPr>
            <w:r w:rsidRPr="00FD50F6">
              <w:rPr>
                <w:rFonts w:ascii="Calibri" w:hAnsi="Calibri" w:hint="eastAsia"/>
              </w:rPr>
              <w:t>32</w:t>
            </w:r>
          </w:p>
        </w:tc>
        <w:tc>
          <w:tcPr>
            <w:tcW w:w="756" w:type="dxa"/>
            <w:vAlign w:val="bottom"/>
          </w:tcPr>
          <w:p w14:paraId="1C02E91B" w14:textId="77777777" w:rsidR="002B733E" w:rsidRPr="00FD50F6" w:rsidRDefault="002B733E" w:rsidP="002B733E">
            <w:pPr>
              <w:pStyle w:val="7"/>
              <w:rPr>
                <w:rFonts w:ascii="Calibri" w:hAnsi="Calibri"/>
              </w:rPr>
            </w:pPr>
            <w:r w:rsidRPr="00FD50F6">
              <w:rPr>
                <w:rFonts w:ascii="Calibri" w:hAnsi="Calibri" w:hint="eastAsia"/>
              </w:rPr>
              <w:t>79</w:t>
            </w:r>
          </w:p>
        </w:tc>
        <w:tc>
          <w:tcPr>
            <w:tcW w:w="756" w:type="dxa"/>
            <w:vAlign w:val="bottom"/>
          </w:tcPr>
          <w:p w14:paraId="36B575F8" w14:textId="77777777" w:rsidR="002B733E" w:rsidRPr="00FD50F6" w:rsidRDefault="002B733E" w:rsidP="002B733E">
            <w:pPr>
              <w:pStyle w:val="7"/>
              <w:rPr>
                <w:rFonts w:ascii="Calibri" w:hAnsi="Calibri"/>
              </w:rPr>
            </w:pPr>
            <w:r w:rsidRPr="00FD50F6">
              <w:rPr>
                <w:rFonts w:ascii="Calibri" w:hAnsi="Calibri" w:hint="eastAsia"/>
              </w:rPr>
              <w:t>80</w:t>
            </w:r>
          </w:p>
        </w:tc>
        <w:tc>
          <w:tcPr>
            <w:tcW w:w="756" w:type="dxa"/>
            <w:vAlign w:val="bottom"/>
          </w:tcPr>
          <w:p w14:paraId="6A7B77AB"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570F04A5" w14:textId="77777777" w:rsidTr="002B733E">
        <w:trPr>
          <w:trHeight w:val="397"/>
        </w:trPr>
        <w:tc>
          <w:tcPr>
            <w:tcW w:w="701" w:type="dxa"/>
            <w:vAlign w:val="center"/>
          </w:tcPr>
          <w:p w14:paraId="3C9628E1" w14:textId="77777777" w:rsidR="002B733E" w:rsidRPr="00FD50F6" w:rsidRDefault="002B733E" w:rsidP="002B733E">
            <w:pPr>
              <w:pStyle w:val="7"/>
            </w:pPr>
            <w:r w:rsidRPr="00FD50F6">
              <w:rPr>
                <w:rFonts w:hint="eastAsia"/>
              </w:rPr>
              <w:t>点号</w:t>
            </w:r>
          </w:p>
        </w:tc>
        <w:tc>
          <w:tcPr>
            <w:tcW w:w="756" w:type="dxa"/>
            <w:vAlign w:val="bottom"/>
          </w:tcPr>
          <w:p w14:paraId="67AB1860" w14:textId="77777777" w:rsidR="002B733E" w:rsidRPr="00FD50F6" w:rsidRDefault="002B733E" w:rsidP="002B733E">
            <w:pPr>
              <w:pStyle w:val="7"/>
              <w:rPr>
                <w:rFonts w:ascii="Calibri" w:hAnsi="Calibri"/>
                <w:b/>
              </w:rPr>
            </w:pPr>
            <w:r w:rsidRPr="00FD50F6">
              <w:rPr>
                <w:rFonts w:ascii="Calibri" w:hAnsi="Calibri" w:hint="eastAsia"/>
                <w:b/>
              </w:rPr>
              <w:t>29d</w:t>
            </w:r>
            <w:r w:rsidRPr="00FD50F6">
              <w:rPr>
                <w:rFonts w:ascii="Calibri" w:hAnsi="Calibri" w:hint="eastAsia"/>
                <w:b/>
              </w:rPr>
              <w:t>’</w:t>
            </w:r>
          </w:p>
        </w:tc>
        <w:tc>
          <w:tcPr>
            <w:tcW w:w="756" w:type="dxa"/>
            <w:vAlign w:val="bottom"/>
          </w:tcPr>
          <w:p w14:paraId="29D31682" w14:textId="77777777" w:rsidR="002B733E" w:rsidRPr="00FD50F6" w:rsidRDefault="002B733E" w:rsidP="002B733E">
            <w:pPr>
              <w:pStyle w:val="7"/>
              <w:rPr>
                <w:rFonts w:ascii="Calibri" w:hAnsi="Calibri"/>
                <w:b/>
              </w:rPr>
            </w:pPr>
            <w:r w:rsidRPr="00FD50F6">
              <w:rPr>
                <w:rFonts w:ascii="Calibri" w:hAnsi="Calibri" w:hint="eastAsia"/>
                <w:b/>
              </w:rPr>
              <w:t>30d</w:t>
            </w:r>
            <w:r w:rsidRPr="00FD50F6">
              <w:rPr>
                <w:rFonts w:ascii="Calibri" w:hAnsi="Calibri" w:hint="eastAsia"/>
                <w:b/>
              </w:rPr>
              <w:t>’</w:t>
            </w:r>
          </w:p>
        </w:tc>
        <w:tc>
          <w:tcPr>
            <w:tcW w:w="756" w:type="dxa"/>
            <w:vAlign w:val="bottom"/>
          </w:tcPr>
          <w:p w14:paraId="221347D4" w14:textId="77777777" w:rsidR="002B733E" w:rsidRPr="00FD50F6" w:rsidRDefault="002B733E" w:rsidP="002B733E">
            <w:pPr>
              <w:pStyle w:val="7"/>
              <w:rPr>
                <w:rFonts w:ascii="Calibri" w:hAnsi="Calibri"/>
                <w:b/>
              </w:rPr>
            </w:pPr>
            <w:r w:rsidRPr="00FD50F6">
              <w:rPr>
                <w:rFonts w:ascii="Calibri" w:hAnsi="Calibri" w:hint="eastAsia"/>
                <w:b/>
              </w:rPr>
              <w:t>31d</w:t>
            </w:r>
            <w:r w:rsidRPr="00FD50F6">
              <w:rPr>
                <w:rFonts w:ascii="Calibri" w:hAnsi="Calibri" w:hint="eastAsia"/>
                <w:b/>
              </w:rPr>
              <w:t>’</w:t>
            </w:r>
          </w:p>
        </w:tc>
        <w:tc>
          <w:tcPr>
            <w:tcW w:w="756" w:type="dxa"/>
            <w:vAlign w:val="bottom"/>
          </w:tcPr>
          <w:p w14:paraId="58B7583F" w14:textId="77777777" w:rsidR="002B733E" w:rsidRPr="00FD50F6" w:rsidRDefault="002B733E" w:rsidP="002B733E">
            <w:pPr>
              <w:pStyle w:val="7"/>
              <w:rPr>
                <w:rFonts w:ascii="Calibri" w:hAnsi="Calibri"/>
                <w:b/>
              </w:rPr>
            </w:pPr>
            <w:r w:rsidRPr="00FD50F6">
              <w:rPr>
                <w:rFonts w:ascii="Calibri" w:hAnsi="Calibri" w:hint="eastAsia"/>
                <w:b/>
              </w:rPr>
              <w:t>32d</w:t>
            </w:r>
            <w:r w:rsidRPr="00FD50F6">
              <w:rPr>
                <w:rFonts w:ascii="Calibri" w:hAnsi="Calibri" w:hint="eastAsia"/>
                <w:b/>
              </w:rPr>
              <w:t>’</w:t>
            </w:r>
          </w:p>
        </w:tc>
        <w:tc>
          <w:tcPr>
            <w:tcW w:w="756" w:type="dxa"/>
            <w:vAlign w:val="bottom"/>
          </w:tcPr>
          <w:p w14:paraId="0CC146A0" w14:textId="77777777" w:rsidR="002B733E" w:rsidRPr="00FD50F6" w:rsidRDefault="002B733E" w:rsidP="002B733E">
            <w:pPr>
              <w:pStyle w:val="7"/>
              <w:rPr>
                <w:rFonts w:ascii="Calibri" w:hAnsi="Calibri"/>
                <w:b/>
              </w:rPr>
            </w:pPr>
            <w:r w:rsidRPr="00FD50F6">
              <w:rPr>
                <w:rFonts w:ascii="Calibri" w:hAnsi="Calibri" w:hint="eastAsia"/>
                <w:b/>
              </w:rPr>
              <w:t>33d</w:t>
            </w:r>
            <w:r w:rsidRPr="00FD50F6">
              <w:rPr>
                <w:rFonts w:ascii="Calibri" w:hAnsi="Calibri" w:hint="eastAsia"/>
                <w:b/>
              </w:rPr>
              <w:t>’</w:t>
            </w:r>
          </w:p>
        </w:tc>
        <w:tc>
          <w:tcPr>
            <w:tcW w:w="756" w:type="dxa"/>
            <w:vAlign w:val="bottom"/>
          </w:tcPr>
          <w:p w14:paraId="6DBF2484" w14:textId="77777777" w:rsidR="002B733E" w:rsidRPr="00FD50F6" w:rsidRDefault="002B733E" w:rsidP="002B733E">
            <w:pPr>
              <w:pStyle w:val="7"/>
              <w:rPr>
                <w:rFonts w:ascii="Calibri" w:hAnsi="Calibri"/>
                <w:b/>
              </w:rPr>
            </w:pPr>
            <w:r w:rsidRPr="00FD50F6">
              <w:rPr>
                <w:rFonts w:ascii="Calibri" w:hAnsi="Calibri" w:hint="eastAsia"/>
                <w:b/>
              </w:rPr>
              <w:t>34d</w:t>
            </w:r>
            <w:r w:rsidRPr="00FD50F6">
              <w:rPr>
                <w:rFonts w:ascii="Calibri" w:hAnsi="Calibri" w:hint="eastAsia"/>
                <w:b/>
              </w:rPr>
              <w:t>’</w:t>
            </w:r>
          </w:p>
        </w:tc>
        <w:tc>
          <w:tcPr>
            <w:tcW w:w="756" w:type="dxa"/>
            <w:vAlign w:val="bottom"/>
          </w:tcPr>
          <w:p w14:paraId="58E8C53A"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4E323D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8E33D9C"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0BF543A"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38F6AF10" w14:textId="77777777" w:rsidTr="002B733E">
        <w:trPr>
          <w:trHeight w:val="397"/>
        </w:trPr>
        <w:tc>
          <w:tcPr>
            <w:tcW w:w="701" w:type="dxa"/>
            <w:vAlign w:val="center"/>
          </w:tcPr>
          <w:p w14:paraId="76320408" w14:textId="77777777" w:rsidR="002B733E" w:rsidRPr="00FD50F6" w:rsidRDefault="002B733E" w:rsidP="002B733E">
            <w:pPr>
              <w:pStyle w:val="7"/>
            </w:pPr>
            <w:r w:rsidRPr="00FD50F6">
              <w:rPr>
                <w:rFonts w:hint="eastAsia"/>
              </w:rPr>
              <w:t>X</w:t>
            </w:r>
          </w:p>
        </w:tc>
        <w:tc>
          <w:tcPr>
            <w:tcW w:w="756" w:type="dxa"/>
            <w:vAlign w:val="bottom"/>
          </w:tcPr>
          <w:p w14:paraId="77D19BCB" w14:textId="77777777" w:rsidR="002B733E" w:rsidRPr="00FD50F6" w:rsidRDefault="002B733E" w:rsidP="002B733E">
            <w:pPr>
              <w:pStyle w:val="7"/>
              <w:rPr>
                <w:rFonts w:ascii="Calibri" w:hAnsi="Calibri"/>
              </w:rPr>
            </w:pPr>
            <w:r w:rsidRPr="00FD50F6">
              <w:rPr>
                <w:rFonts w:ascii="Calibri" w:hAnsi="Calibri" w:hint="eastAsia"/>
              </w:rPr>
              <w:t>1343</w:t>
            </w:r>
          </w:p>
        </w:tc>
        <w:tc>
          <w:tcPr>
            <w:tcW w:w="756" w:type="dxa"/>
            <w:vAlign w:val="bottom"/>
          </w:tcPr>
          <w:p w14:paraId="3F52A25F" w14:textId="77777777" w:rsidR="002B733E" w:rsidRPr="00FD50F6" w:rsidRDefault="002B733E" w:rsidP="002B733E">
            <w:pPr>
              <w:pStyle w:val="7"/>
              <w:rPr>
                <w:rFonts w:ascii="Calibri" w:hAnsi="Calibri"/>
              </w:rPr>
            </w:pPr>
            <w:r w:rsidRPr="00FD50F6">
              <w:rPr>
                <w:rFonts w:ascii="Calibri" w:hAnsi="Calibri" w:hint="eastAsia"/>
              </w:rPr>
              <w:t>1615</w:t>
            </w:r>
          </w:p>
        </w:tc>
        <w:tc>
          <w:tcPr>
            <w:tcW w:w="756" w:type="dxa"/>
            <w:vAlign w:val="bottom"/>
          </w:tcPr>
          <w:p w14:paraId="602BF871" w14:textId="77777777" w:rsidR="002B733E" w:rsidRPr="00FD50F6" w:rsidRDefault="002B733E" w:rsidP="002B733E">
            <w:pPr>
              <w:pStyle w:val="7"/>
              <w:rPr>
                <w:rFonts w:ascii="Calibri" w:hAnsi="Calibri"/>
              </w:rPr>
            </w:pPr>
            <w:r w:rsidRPr="00FD50F6">
              <w:rPr>
                <w:rFonts w:ascii="Calibri" w:hAnsi="Calibri" w:hint="eastAsia"/>
              </w:rPr>
              <w:t>1615</w:t>
            </w:r>
          </w:p>
        </w:tc>
        <w:tc>
          <w:tcPr>
            <w:tcW w:w="756" w:type="dxa"/>
            <w:vAlign w:val="bottom"/>
          </w:tcPr>
          <w:p w14:paraId="11E6F067" w14:textId="77777777" w:rsidR="002B733E" w:rsidRPr="00FD50F6" w:rsidRDefault="002B733E" w:rsidP="002B733E">
            <w:pPr>
              <w:pStyle w:val="7"/>
              <w:rPr>
                <w:rFonts w:ascii="Calibri" w:hAnsi="Calibri"/>
              </w:rPr>
            </w:pPr>
            <w:r w:rsidRPr="00FD50F6">
              <w:rPr>
                <w:rFonts w:ascii="Calibri" w:hAnsi="Calibri" w:hint="eastAsia"/>
              </w:rPr>
              <w:t>1478</w:t>
            </w:r>
          </w:p>
        </w:tc>
        <w:tc>
          <w:tcPr>
            <w:tcW w:w="756" w:type="dxa"/>
            <w:vAlign w:val="bottom"/>
          </w:tcPr>
          <w:p w14:paraId="63A161BA" w14:textId="77777777" w:rsidR="002B733E" w:rsidRPr="00FD50F6" w:rsidRDefault="002B733E" w:rsidP="002B733E">
            <w:pPr>
              <w:pStyle w:val="7"/>
              <w:rPr>
                <w:rFonts w:ascii="Calibri" w:hAnsi="Calibri"/>
              </w:rPr>
            </w:pPr>
            <w:r w:rsidRPr="00FD50F6">
              <w:rPr>
                <w:rFonts w:ascii="Calibri" w:hAnsi="Calibri" w:hint="eastAsia"/>
              </w:rPr>
              <w:t>1444</w:t>
            </w:r>
          </w:p>
        </w:tc>
        <w:tc>
          <w:tcPr>
            <w:tcW w:w="756" w:type="dxa"/>
            <w:vAlign w:val="bottom"/>
          </w:tcPr>
          <w:p w14:paraId="412F1342" w14:textId="77777777" w:rsidR="002B733E" w:rsidRPr="00FD50F6" w:rsidRDefault="002B733E" w:rsidP="002B733E">
            <w:pPr>
              <w:pStyle w:val="7"/>
              <w:rPr>
                <w:rFonts w:ascii="Calibri" w:hAnsi="Calibri"/>
              </w:rPr>
            </w:pPr>
            <w:r w:rsidRPr="00FD50F6">
              <w:rPr>
                <w:rFonts w:ascii="Calibri" w:hAnsi="Calibri" w:hint="eastAsia"/>
              </w:rPr>
              <w:t>1191</w:t>
            </w:r>
          </w:p>
        </w:tc>
        <w:tc>
          <w:tcPr>
            <w:tcW w:w="756" w:type="dxa"/>
            <w:vAlign w:val="bottom"/>
          </w:tcPr>
          <w:p w14:paraId="46029A07"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CDBCA3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46E9B1B7"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E539E90"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39956BFF" w14:textId="77777777" w:rsidTr="002B733E">
        <w:trPr>
          <w:trHeight w:val="397"/>
        </w:trPr>
        <w:tc>
          <w:tcPr>
            <w:tcW w:w="701" w:type="dxa"/>
            <w:vAlign w:val="center"/>
          </w:tcPr>
          <w:p w14:paraId="6AA6CDDB" w14:textId="77777777" w:rsidR="002B733E" w:rsidRPr="00FD50F6" w:rsidRDefault="002B733E" w:rsidP="002B733E">
            <w:pPr>
              <w:pStyle w:val="7"/>
            </w:pPr>
            <w:r w:rsidRPr="00FD50F6">
              <w:rPr>
                <w:rFonts w:hint="eastAsia"/>
              </w:rPr>
              <w:t>Y</w:t>
            </w:r>
          </w:p>
        </w:tc>
        <w:tc>
          <w:tcPr>
            <w:tcW w:w="756" w:type="dxa"/>
            <w:vAlign w:val="bottom"/>
          </w:tcPr>
          <w:p w14:paraId="1C342A9F"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1853C3FF" w14:textId="77777777" w:rsidR="002B733E" w:rsidRPr="00FD50F6" w:rsidRDefault="002B733E" w:rsidP="002B733E">
            <w:pPr>
              <w:pStyle w:val="7"/>
              <w:rPr>
                <w:rFonts w:ascii="Calibri" w:hAnsi="Calibri"/>
              </w:rPr>
            </w:pPr>
            <w:r w:rsidRPr="00FD50F6">
              <w:rPr>
                <w:rFonts w:ascii="Calibri" w:hAnsi="Calibri" w:hint="eastAsia"/>
              </w:rPr>
              <w:t>205</w:t>
            </w:r>
          </w:p>
        </w:tc>
        <w:tc>
          <w:tcPr>
            <w:tcW w:w="756" w:type="dxa"/>
            <w:vAlign w:val="bottom"/>
          </w:tcPr>
          <w:p w14:paraId="6092C3E2" w14:textId="77777777" w:rsidR="002B733E" w:rsidRPr="00FD50F6" w:rsidRDefault="002B733E" w:rsidP="002B733E">
            <w:pPr>
              <w:pStyle w:val="7"/>
              <w:rPr>
                <w:rFonts w:ascii="Calibri" w:hAnsi="Calibri"/>
              </w:rPr>
            </w:pPr>
            <w:r w:rsidRPr="00FD50F6">
              <w:rPr>
                <w:rFonts w:ascii="Calibri" w:hAnsi="Calibri" w:hint="eastAsia"/>
              </w:rPr>
              <w:t>145</w:t>
            </w:r>
          </w:p>
        </w:tc>
        <w:tc>
          <w:tcPr>
            <w:tcW w:w="756" w:type="dxa"/>
            <w:vAlign w:val="bottom"/>
          </w:tcPr>
          <w:p w14:paraId="7971A26B" w14:textId="77777777" w:rsidR="002B733E" w:rsidRPr="00FD50F6" w:rsidRDefault="002B733E" w:rsidP="002B733E">
            <w:pPr>
              <w:pStyle w:val="7"/>
              <w:rPr>
                <w:rFonts w:ascii="Calibri" w:hAnsi="Calibri"/>
              </w:rPr>
            </w:pPr>
            <w:r w:rsidRPr="00FD50F6">
              <w:rPr>
                <w:rFonts w:ascii="Calibri" w:hAnsi="Calibri" w:hint="eastAsia"/>
              </w:rPr>
              <w:t>145</w:t>
            </w:r>
          </w:p>
        </w:tc>
        <w:tc>
          <w:tcPr>
            <w:tcW w:w="756" w:type="dxa"/>
            <w:vAlign w:val="bottom"/>
          </w:tcPr>
          <w:p w14:paraId="1770E39A" w14:textId="77777777" w:rsidR="002B733E" w:rsidRPr="00FD50F6" w:rsidRDefault="002B733E" w:rsidP="002B733E">
            <w:pPr>
              <w:pStyle w:val="7"/>
              <w:rPr>
                <w:rFonts w:ascii="Calibri" w:hAnsi="Calibri"/>
              </w:rPr>
            </w:pPr>
            <w:r w:rsidRPr="00FD50F6">
              <w:rPr>
                <w:rFonts w:ascii="Calibri" w:hAnsi="Calibri" w:hint="eastAsia"/>
              </w:rPr>
              <w:t>112</w:t>
            </w:r>
          </w:p>
        </w:tc>
        <w:tc>
          <w:tcPr>
            <w:tcW w:w="756" w:type="dxa"/>
            <w:vAlign w:val="bottom"/>
          </w:tcPr>
          <w:p w14:paraId="60D840D1" w14:textId="77777777" w:rsidR="002B733E" w:rsidRPr="00FD50F6" w:rsidRDefault="002B733E" w:rsidP="002B733E">
            <w:pPr>
              <w:pStyle w:val="7"/>
              <w:rPr>
                <w:rFonts w:ascii="Calibri" w:hAnsi="Calibri"/>
              </w:rPr>
            </w:pPr>
            <w:r w:rsidRPr="00FD50F6">
              <w:rPr>
                <w:rFonts w:ascii="Calibri" w:hAnsi="Calibri" w:hint="eastAsia"/>
              </w:rPr>
              <w:t>112</w:t>
            </w:r>
          </w:p>
        </w:tc>
        <w:tc>
          <w:tcPr>
            <w:tcW w:w="756" w:type="dxa"/>
            <w:vAlign w:val="bottom"/>
          </w:tcPr>
          <w:p w14:paraId="633B82C4"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D14882B"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17B8DA33"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997A4AE"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4E61BBCC" w14:textId="77777777" w:rsidTr="002B733E">
        <w:trPr>
          <w:trHeight w:val="397"/>
        </w:trPr>
        <w:tc>
          <w:tcPr>
            <w:tcW w:w="701" w:type="dxa"/>
            <w:vAlign w:val="center"/>
          </w:tcPr>
          <w:p w14:paraId="345CE5BC" w14:textId="77777777" w:rsidR="002B733E" w:rsidRPr="00FD50F6" w:rsidRDefault="002B733E" w:rsidP="002B733E">
            <w:pPr>
              <w:pStyle w:val="7"/>
            </w:pPr>
            <w:r w:rsidRPr="00FD50F6">
              <w:rPr>
                <w:rFonts w:hint="eastAsia"/>
              </w:rPr>
              <w:t>点号</w:t>
            </w:r>
          </w:p>
        </w:tc>
        <w:tc>
          <w:tcPr>
            <w:tcW w:w="756" w:type="dxa"/>
            <w:vAlign w:val="bottom"/>
          </w:tcPr>
          <w:p w14:paraId="6AE63DCD" w14:textId="77777777" w:rsidR="002B733E" w:rsidRPr="00FD50F6" w:rsidRDefault="002B733E" w:rsidP="002B733E">
            <w:pPr>
              <w:pStyle w:val="7"/>
              <w:rPr>
                <w:rFonts w:ascii="Calibri" w:hAnsi="Calibri"/>
                <w:b/>
              </w:rPr>
            </w:pPr>
            <w:r w:rsidRPr="00FD50F6">
              <w:rPr>
                <w:rFonts w:ascii="Calibri" w:hAnsi="Calibri" w:hint="eastAsia"/>
                <w:b/>
              </w:rPr>
              <w:t>29e</w:t>
            </w:r>
            <w:r w:rsidRPr="00FD50F6">
              <w:rPr>
                <w:rFonts w:ascii="Calibri" w:hAnsi="Calibri" w:hint="eastAsia"/>
                <w:b/>
              </w:rPr>
              <w:t>’</w:t>
            </w:r>
          </w:p>
        </w:tc>
        <w:tc>
          <w:tcPr>
            <w:tcW w:w="756" w:type="dxa"/>
            <w:vAlign w:val="bottom"/>
          </w:tcPr>
          <w:p w14:paraId="1DDDDFE1" w14:textId="77777777" w:rsidR="002B733E" w:rsidRPr="00FD50F6" w:rsidRDefault="002B733E" w:rsidP="002B733E">
            <w:pPr>
              <w:pStyle w:val="7"/>
              <w:rPr>
                <w:rFonts w:ascii="Calibri" w:hAnsi="Calibri"/>
                <w:b/>
              </w:rPr>
            </w:pPr>
            <w:r w:rsidRPr="00FD50F6">
              <w:rPr>
                <w:rFonts w:ascii="Calibri" w:hAnsi="Calibri" w:hint="eastAsia"/>
                <w:b/>
              </w:rPr>
              <w:t>30e</w:t>
            </w:r>
            <w:r w:rsidRPr="00FD50F6">
              <w:rPr>
                <w:rFonts w:ascii="Calibri" w:hAnsi="Calibri" w:hint="eastAsia"/>
                <w:b/>
              </w:rPr>
              <w:t>’</w:t>
            </w:r>
          </w:p>
        </w:tc>
        <w:tc>
          <w:tcPr>
            <w:tcW w:w="756" w:type="dxa"/>
            <w:vAlign w:val="bottom"/>
          </w:tcPr>
          <w:p w14:paraId="63E27EB2" w14:textId="77777777" w:rsidR="002B733E" w:rsidRPr="00FD50F6" w:rsidRDefault="002B733E" w:rsidP="002B733E">
            <w:pPr>
              <w:pStyle w:val="7"/>
              <w:rPr>
                <w:rFonts w:ascii="Calibri" w:hAnsi="Calibri"/>
                <w:b/>
              </w:rPr>
            </w:pPr>
            <w:r w:rsidRPr="00FD50F6">
              <w:rPr>
                <w:rFonts w:ascii="Calibri" w:hAnsi="Calibri" w:hint="eastAsia"/>
                <w:b/>
              </w:rPr>
              <w:t>31e</w:t>
            </w:r>
            <w:r w:rsidRPr="00FD50F6">
              <w:rPr>
                <w:rFonts w:ascii="Calibri" w:hAnsi="Calibri" w:hint="eastAsia"/>
                <w:b/>
              </w:rPr>
              <w:t>’</w:t>
            </w:r>
          </w:p>
        </w:tc>
        <w:tc>
          <w:tcPr>
            <w:tcW w:w="756" w:type="dxa"/>
            <w:vAlign w:val="bottom"/>
          </w:tcPr>
          <w:p w14:paraId="03236934" w14:textId="77777777" w:rsidR="002B733E" w:rsidRPr="00FD50F6" w:rsidRDefault="002B733E" w:rsidP="002B733E">
            <w:pPr>
              <w:pStyle w:val="7"/>
              <w:rPr>
                <w:rFonts w:ascii="Calibri" w:hAnsi="Calibri"/>
                <w:b/>
              </w:rPr>
            </w:pPr>
            <w:r w:rsidRPr="00FD50F6">
              <w:rPr>
                <w:rFonts w:ascii="Calibri" w:hAnsi="Calibri" w:hint="eastAsia"/>
                <w:b/>
              </w:rPr>
              <w:t>32e</w:t>
            </w:r>
            <w:r w:rsidRPr="00FD50F6">
              <w:rPr>
                <w:rFonts w:ascii="Calibri" w:hAnsi="Calibri" w:hint="eastAsia"/>
                <w:b/>
              </w:rPr>
              <w:t>’</w:t>
            </w:r>
          </w:p>
        </w:tc>
        <w:tc>
          <w:tcPr>
            <w:tcW w:w="756" w:type="dxa"/>
            <w:vAlign w:val="bottom"/>
          </w:tcPr>
          <w:p w14:paraId="0087B102" w14:textId="77777777" w:rsidR="002B733E" w:rsidRPr="00FD50F6" w:rsidRDefault="002B733E" w:rsidP="002B733E">
            <w:pPr>
              <w:pStyle w:val="7"/>
              <w:rPr>
                <w:rFonts w:ascii="Calibri" w:hAnsi="Calibri"/>
                <w:b/>
              </w:rPr>
            </w:pPr>
            <w:r w:rsidRPr="00FD50F6">
              <w:rPr>
                <w:rFonts w:ascii="Calibri" w:hAnsi="Calibri" w:hint="eastAsia"/>
                <w:b/>
              </w:rPr>
              <w:t>33e</w:t>
            </w:r>
            <w:r w:rsidRPr="00FD50F6">
              <w:rPr>
                <w:rFonts w:ascii="Calibri" w:hAnsi="Calibri" w:hint="eastAsia"/>
                <w:b/>
              </w:rPr>
              <w:t>’</w:t>
            </w:r>
          </w:p>
        </w:tc>
        <w:tc>
          <w:tcPr>
            <w:tcW w:w="756" w:type="dxa"/>
            <w:vAlign w:val="bottom"/>
          </w:tcPr>
          <w:p w14:paraId="709E4748" w14:textId="77777777" w:rsidR="002B733E" w:rsidRPr="00FD50F6" w:rsidRDefault="002B733E" w:rsidP="002B733E">
            <w:pPr>
              <w:pStyle w:val="7"/>
              <w:rPr>
                <w:rFonts w:ascii="Calibri" w:hAnsi="Calibri"/>
                <w:b/>
              </w:rPr>
            </w:pPr>
            <w:r w:rsidRPr="00FD50F6">
              <w:rPr>
                <w:rFonts w:ascii="Calibri" w:hAnsi="Calibri" w:hint="eastAsia"/>
                <w:b/>
              </w:rPr>
              <w:t>34e</w:t>
            </w:r>
            <w:r w:rsidRPr="00FD50F6">
              <w:rPr>
                <w:rFonts w:ascii="Calibri" w:hAnsi="Calibri" w:hint="eastAsia"/>
                <w:b/>
              </w:rPr>
              <w:t>’</w:t>
            </w:r>
          </w:p>
        </w:tc>
        <w:tc>
          <w:tcPr>
            <w:tcW w:w="756" w:type="dxa"/>
            <w:vAlign w:val="bottom"/>
          </w:tcPr>
          <w:p w14:paraId="032196C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3AA2203E"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8BBBD1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5523901" w14:textId="77777777" w:rsidR="002B733E" w:rsidRPr="00FD50F6" w:rsidRDefault="002B733E" w:rsidP="002B733E">
            <w:pPr>
              <w:pStyle w:val="7"/>
              <w:rPr>
                <w:rFonts w:ascii="Calibri" w:hAnsi="Calibri"/>
                <w:b/>
              </w:rPr>
            </w:pPr>
            <w:r w:rsidRPr="00FD50F6">
              <w:rPr>
                <w:rFonts w:ascii="Calibri" w:hAnsi="Calibri" w:hint="eastAsia"/>
                <w:b/>
              </w:rPr>
              <w:t>—</w:t>
            </w:r>
          </w:p>
        </w:tc>
      </w:tr>
      <w:tr w:rsidR="00FD50F6" w:rsidRPr="00FD50F6" w14:paraId="6E9D69FF" w14:textId="77777777" w:rsidTr="002B733E">
        <w:trPr>
          <w:trHeight w:val="397"/>
        </w:trPr>
        <w:tc>
          <w:tcPr>
            <w:tcW w:w="701" w:type="dxa"/>
            <w:vAlign w:val="center"/>
          </w:tcPr>
          <w:p w14:paraId="166E522F" w14:textId="77777777" w:rsidR="002B733E" w:rsidRPr="00FD50F6" w:rsidRDefault="002B733E" w:rsidP="002B733E">
            <w:pPr>
              <w:pStyle w:val="7"/>
            </w:pPr>
            <w:r w:rsidRPr="00FD50F6">
              <w:rPr>
                <w:rFonts w:hint="eastAsia"/>
              </w:rPr>
              <w:t>X</w:t>
            </w:r>
          </w:p>
        </w:tc>
        <w:tc>
          <w:tcPr>
            <w:tcW w:w="756" w:type="dxa"/>
            <w:vAlign w:val="bottom"/>
          </w:tcPr>
          <w:p w14:paraId="21539D15" w14:textId="77777777" w:rsidR="002B733E" w:rsidRPr="00FD50F6" w:rsidRDefault="002B733E" w:rsidP="002B733E">
            <w:pPr>
              <w:pStyle w:val="7"/>
              <w:rPr>
                <w:rFonts w:ascii="Calibri" w:hAnsi="Calibri"/>
              </w:rPr>
            </w:pPr>
            <w:r w:rsidRPr="00FD50F6">
              <w:rPr>
                <w:rFonts w:ascii="Calibri" w:hAnsi="Calibri" w:hint="eastAsia"/>
              </w:rPr>
              <w:t>1343</w:t>
            </w:r>
          </w:p>
        </w:tc>
        <w:tc>
          <w:tcPr>
            <w:tcW w:w="756" w:type="dxa"/>
            <w:vAlign w:val="bottom"/>
          </w:tcPr>
          <w:p w14:paraId="1FBDF776" w14:textId="77777777" w:rsidR="002B733E" w:rsidRPr="00FD50F6" w:rsidRDefault="002B733E" w:rsidP="002B733E">
            <w:pPr>
              <w:pStyle w:val="7"/>
              <w:rPr>
                <w:rFonts w:ascii="Calibri" w:hAnsi="Calibri"/>
              </w:rPr>
            </w:pPr>
            <w:r w:rsidRPr="00FD50F6">
              <w:rPr>
                <w:rFonts w:ascii="Calibri" w:hAnsi="Calibri" w:hint="eastAsia"/>
              </w:rPr>
              <w:t>1615</w:t>
            </w:r>
          </w:p>
        </w:tc>
        <w:tc>
          <w:tcPr>
            <w:tcW w:w="756" w:type="dxa"/>
            <w:vAlign w:val="bottom"/>
          </w:tcPr>
          <w:p w14:paraId="55CB329F" w14:textId="77777777" w:rsidR="002B733E" w:rsidRPr="00FD50F6" w:rsidRDefault="002B733E" w:rsidP="002B733E">
            <w:pPr>
              <w:pStyle w:val="7"/>
              <w:rPr>
                <w:rFonts w:ascii="Calibri" w:hAnsi="Calibri"/>
              </w:rPr>
            </w:pPr>
            <w:r w:rsidRPr="00FD50F6">
              <w:rPr>
                <w:rFonts w:ascii="Calibri" w:hAnsi="Calibri" w:hint="eastAsia"/>
              </w:rPr>
              <w:t>1615</w:t>
            </w:r>
          </w:p>
        </w:tc>
        <w:tc>
          <w:tcPr>
            <w:tcW w:w="756" w:type="dxa"/>
            <w:vAlign w:val="bottom"/>
          </w:tcPr>
          <w:p w14:paraId="6F61E5E9" w14:textId="77777777" w:rsidR="002B733E" w:rsidRPr="00FD50F6" w:rsidRDefault="002B733E" w:rsidP="002B733E">
            <w:pPr>
              <w:pStyle w:val="7"/>
              <w:rPr>
                <w:rFonts w:ascii="Calibri" w:hAnsi="Calibri"/>
              </w:rPr>
            </w:pPr>
            <w:r w:rsidRPr="00FD50F6">
              <w:rPr>
                <w:rFonts w:ascii="Calibri" w:hAnsi="Calibri" w:hint="eastAsia"/>
              </w:rPr>
              <w:t>1440</w:t>
            </w:r>
          </w:p>
        </w:tc>
        <w:tc>
          <w:tcPr>
            <w:tcW w:w="756" w:type="dxa"/>
            <w:vAlign w:val="bottom"/>
          </w:tcPr>
          <w:p w14:paraId="19BE07EB" w14:textId="77777777" w:rsidR="002B733E" w:rsidRPr="00FD50F6" w:rsidRDefault="002B733E" w:rsidP="002B733E">
            <w:pPr>
              <w:pStyle w:val="7"/>
              <w:rPr>
                <w:rFonts w:ascii="Calibri" w:hAnsi="Calibri"/>
              </w:rPr>
            </w:pPr>
            <w:r w:rsidRPr="00FD50F6">
              <w:rPr>
                <w:rFonts w:ascii="Calibri" w:hAnsi="Calibri" w:hint="eastAsia"/>
              </w:rPr>
              <w:t>1431</w:t>
            </w:r>
          </w:p>
        </w:tc>
        <w:tc>
          <w:tcPr>
            <w:tcW w:w="756" w:type="dxa"/>
            <w:vAlign w:val="bottom"/>
          </w:tcPr>
          <w:p w14:paraId="2A4287FB" w14:textId="77777777" w:rsidR="002B733E" w:rsidRPr="00FD50F6" w:rsidRDefault="002B733E" w:rsidP="002B733E">
            <w:pPr>
              <w:pStyle w:val="7"/>
              <w:rPr>
                <w:rFonts w:ascii="Calibri" w:hAnsi="Calibri"/>
              </w:rPr>
            </w:pPr>
            <w:r w:rsidRPr="00FD50F6">
              <w:rPr>
                <w:rFonts w:ascii="Calibri" w:hAnsi="Calibri" w:hint="eastAsia"/>
              </w:rPr>
              <w:t>1153</w:t>
            </w:r>
          </w:p>
        </w:tc>
        <w:tc>
          <w:tcPr>
            <w:tcW w:w="756" w:type="dxa"/>
            <w:vAlign w:val="bottom"/>
          </w:tcPr>
          <w:p w14:paraId="55677835"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7D7B62CA"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0189E1E9"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21AC6B4F" w14:textId="77777777" w:rsidR="002B733E" w:rsidRPr="00FD50F6" w:rsidRDefault="002B733E" w:rsidP="002B733E">
            <w:pPr>
              <w:pStyle w:val="7"/>
              <w:rPr>
                <w:rFonts w:ascii="Calibri" w:hAnsi="Calibri"/>
                <w:b/>
              </w:rPr>
            </w:pPr>
            <w:r w:rsidRPr="00FD50F6">
              <w:rPr>
                <w:rFonts w:ascii="Calibri" w:hAnsi="Calibri" w:hint="eastAsia"/>
                <w:b/>
              </w:rPr>
              <w:t>—</w:t>
            </w:r>
          </w:p>
        </w:tc>
      </w:tr>
      <w:tr w:rsidR="002B733E" w:rsidRPr="00FD50F6" w14:paraId="7764D53B" w14:textId="77777777" w:rsidTr="002B733E">
        <w:trPr>
          <w:trHeight w:val="397"/>
        </w:trPr>
        <w:tc>
          <w:tcPr>
            <w:tcW w:w="701" w:type="dxa"/>
            <w:vAlign w:val="center"/>
          </w:tcPr>
          <w:p w14:paraId="27F85F1A" w14:textId="77777777" w:rsidR="002B733E" w:rsidRPr="00FD50F6" w:rsidRDefault="002B733E" w:rsidP="002B733E">
            <w:pPr>
              <w:pStyle w:val="7"/>
            </w:pPr>
            <w:r w:rsidRPr="00FD50F6">
              <w:rPr>
                <w:rFonts w:hint="eastAsia"/>
              </w:rPr>
              <w:t>Y</w:t>
            </w:r>
          </w:p>
        </w:tc>
        <w:tc>
          <w:tcPr>
            <w:tcW w:w="756" w:type="dxa"/>
            <w:vAlign w:val="bottom"/>
          </w:tcPr>
          <w:p w14:paraId="7E652343" w14:textId="77777777" w:rsidR="002B733E" w:rsidRPr="00FD50F6" w:rsidRDefault="002B733E" w:rsidP="002B733E">
            <w:pPr>
              <w:pStyle w:val="7"/>
              <w:rPr>
                <w:rFonts w:ascii="Calibri" w:hAnsi="Calibri"/>
              </w:rPr>
            </w:pPr>
            <w:r w:rsidRPr="00FD50F6">
              <w:rPr>
                <w:rFonts w:ascii="Calibri" w:hAnsi="Calibri" w:hint="eastAsia"/>
              </w:rPr>
              <w:t>294</w:t>
            </w:r>
          </w:p>
        </w:tc>
        <w:tc>
          <w:tcPr>
            <w:tcW w:w="756" w:type="dxa"/>
            <w:vAlign w:val="bottom"/>
          </w:tcPr>
          <w:p w14:paraId="0906B1BC" w14:textId="77777777" w:rsidR="002B733E" w:rsidRPr="00FD50F6" w:rsidRDefault="002B733E" w:rsidP="002B733E">
            <w:pPr>
              <w:pStyle w:val="7"/>
              <w:rPr>
                <w:rFonts w:ascii="Calibri" w:hAnsi="Calibri"/>
              </w:rPr>
            </w:pPr>
            <w:r w:rsidRPr="00FD50F6">
              <w:rPr>
                <w:rFonts w:ascii="Calibri" w:hAnsi="Calibri" w:hint="eastAsia"/>
              </w:rPr>
              <w:t>295</w:t>
            </w:r>
          </w:p>
        </w:tc>
        <w:tc>
          <w:tcPr>
            <w:tcW w:w="756" w:type="dxa"/>
            <w:vAlign w:val="bottom"/>
          </w:tcPr>
          <w:p w14:paraId="60DD3E74" w14:textId="77777777" w:rsidR="002B733E" w:rsidRPr="00FD50F6" w:rsidRDefault="002B733E" w:rsidP="002B733E">
            <w:pPr>
              <w:pStyle w:val="7"/>
              <w:rPr>
                <w:rFonts w:ascii="Calibri" w:hAnsi="Calibri"/>
              </w:rPr>
            </w:pPr>
            <w:r w:rsidRPr="00FD50F6">
              <w:rPr>
                <w:rFonts w:ascii="Calibri" w:hAnsi="Calibri" w:hint="eastAsia"/>
              </w:rPr>
              <w:t>17</w:t>
            </w:r>
          </w:p>
        </w:tc>
        <w:tc>
          <w:tcPr>
            <w:tcW w:w="756" w:type="dxa"/>
            <w:vAlign w:val="bottom"/>
          </w:tcPr>
          <w:p w14:paraId="22B1DB15" w14:textId="77777777" w:rsidR="002B733E" w:rsidRPr="00FD50F6" w:rsidRDefault="002B733E" w:rsidP="002B733E">
            <w:pPr>
              <w:pStyle w:val="7"/>
              <w:rPr>
                <w:rFonts w:ascii="Calibri" w:hAnsi="Calibri"/>
              </w:rPr>
            </w:pPr>
            <w:r w:rsidRPr="00FD50F6">
              <w:rPr>
                <w:rFonts w:ascii="Calibri" w:hAnsi="Calibri" w:hint="eastAsia"/>
              </w:rPr>
              <w:t>18</w:t>
            </w:r>
          </w:p>
        </w:tc>
        <w:tc>
          <w:tcPr>
            <w:tcW w:w="756" w:type="dxa"/>
            <w:vAlign w:val="bottom"/>
          </w:tcPr>
          <w:p w14:paraId="1C2E8089" w14:textId="77777777" w:rsidR="002B733E" w:rsidRPr="00FD50F6" w:rsidRDefault="002B733E" w:rsidP="002B733E">
            <w:pPr>
              <w:pStyle w:val="7"/>
              <w:rPr>
                <w:rFonts w:ascii="Calibri" w:hAnsi="Calibri"/>
              </w:rPr>
            </w:pPr>
            <w:r w:rsidRPr="00FD50F6">
              <w:rPr>
                <w:rFonts w:ascii="Calibri" w:hAnsi="Calibri" w:hint="eastAsia"/>
              </w:rPr>
              <w:t>11</w:t>
            </w:r>
          </w:p>
        </w:tc>
        <w:tc>
          <w:tcPr>
            <w:tcW w:w="756" w:type="dxa"/>
            <w:vAlign w:val="bottom"/>
          </w:tcPr>
          <w:p w14:paraId="3F05BB52" w14:textId="77777777" w:rsidR="002B733E" w:rsidRPr="00FD50F6" w:rsidRDefault="002B733E" w:rsidP="002B733E">
            <w:pPr>
              <w:pStyle w:val="7"/>
              <w:rPr>
                <w:rFonts w:ascii="Calibri" w:hAnsi="Calibri"/>
              </w:rPr>
            </w:pPr>
            <w:r w:rsidRPr="00FD50F6">
              <w:rPr>
                <w:rFonts w:ascii="Calibri" w:hAnsi="Calibri" w:hint="eastAsia"/>
              </w:rPr>
              <w:t>62</w:t>
            </w:r>
          </w:p>
        </w:tc>
        <w:tc>
          <w:tcPr>
            <w:tcW w:w="756" w:type="dxa"/>
            <w:vAlign w:val="bottom"/>
          </w:tcPr>
          <w:p w14:paraId="59F0116E"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69D97E3A"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7CC6C08" w14:textId="77777777" w:rsidR="002B733E" w:rsidRPr="00FD50F6" w:rsidRDefault="002B733E" w:rsidP="002B733E">
            <w:pPr>
              <w:pStyle w:val="7"/>
              <w:rPr>
                <w:rFonts w:ascii="Calibri" w:hAnsi="Calibri"/>
                <w:b/>
              </w:rPr>
            </w:pPr>
            <w:r w:rsidRPr="00FD50F6">
              <w:rPr>
                <w:rFonts w:ascii="Calibri" w:hAnsi="Calibri" w:hint="eastAsia"/>
                <w:b/>
              </w:rPr>
              <w:t>—</w:t>
            </w:r>
          </w:p>
        </w:tc>
        <w:tc>
          <w:tcPr>
            <w:tcW w:w="756" w:type="dxa"/>
            <w:vAlign w:val="bottom"/>
          </w:tcPr>
          <w:p w14:paraId="58595D80" w14:textId="77777777" w:rsidR="002B733E" w:rsidRPr="00FD50F6" w:rsidRDefault="002B733E" w:rsidP="002B733E">
            <w:pPr>
              <w:pStyle w:val="7"/>
              <w:rPr>
                <w:rFonts w:ascii="Calibri" w:hAnsi="Calibri"/>
                <w:b/>
              </w:rPr>
            </w:pPr>
            <w:r w:rsidRPr="00FD50F6">
              <w:rPr>
                <w:rFonts w:ascii="Calibri" w:hAnsi="Calibri" w:hint="eastAsia"/>
                <w:b/>
              </w:rPr>
              <w:t>—</w:t>
            </w:r>
          </w:p>
        </w:tc>
      </w:tr>
    </w:tbl>
    <w:p w14:paraId="7255418D" w14:textId="77777777" w:rsidR="002B733E" w:rsidRPr="00FD50F6" w:rsidRDefault="002B733E" w:rsidP="002B733E">
      <w:pPr>
        <w:pStyle w:val="6"/>
      </w:pPr>
    </w:p>
    <w:p w14:paraId="4BC0A7A5" w14:textId="77777777" w:rsidR="002B733E" w:rsidRPr="00FD50F6" w:rsidRDefault="002B733E" w:rsidP="002B733E">
      <w:pPr>
        <w:pStyle w:val="6"/>
      </w:pPr>
      <w:r w:rsidRPr="00FD50F6">
        <w:rPr>
          <w:rFonts w:hint="eastAsia"/>
        </w:rPr>
        <w:t>表</w:t>
      </w:r>
      <w:r w:rsidRPr="00FD50F6">
        <w:rPr>
          <w:rFonts w:ascii="Calibri" w:hAnsi="Calibri" w:hint="eastAsia"/>
          <w:b/>
        </w:rPr>
        <w:t>B.0.1-7</w:t>
      </w:r>
      <w:r w:rsidRPr="00FD50F6">
        <w:rPr>
          <w:rFonts w:hint="eastAsia"/>
        </w:rPr>
        <w:t xml:space="preserve">  </w:t>
      </w:r>
      <w:r w:rsidRPr="00FD50F6">
        <w:rPr>
          <w:rFonts w:hint="eastAsia"/>
        </w:rPr>
        <w:t>隧道外过站直线地段车辆限界坐标值（</w:t>
      </w:r>
      <w:r w:rsidRPr="00FD50F6">
        <w:rPr>
          <w:rFonts w:hint="eastAsia"/>
        </w:rPr>
        <w:t>mm</w:t>
      </w:r>
      <w:r w:rsidRPr="00FD50F6">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306C68F1" w14:textId="77777777" w:rsidTr="002B733E">
        <w:trPr>
          <w:trHeight w:val="397"/>
        </w:trPr>
        <w:tc>
          <w:tcPr>
            <w:tcW w:w="701" w:type="dxa"/>
            <w:vAlign w:val="center"/>
          </w:tcPr>
          <w:p w14:paraId="38EC54A9" w14:textId="77777777" w:rsidR="002B733E" w:rsidRPr="00FD50F6" w:rsidRDefault="002B733E" w:rsidP="002B733E">
            <w:pPr>
              <w:pStyle w:val="7"/>
            </w:pPr>
            <w:r w:rsidRPr="00FD50F6">
              <w:rPr>
                <w:rFonts w:hint="eastAsia"/>
              </w:rPr>
              <w:t>点号</w:t>
            </w:r>
          </w:p>
        </w:tc>
        <w:tc>
          <w:tcPr>
            <w:tcW w:w="756" w:type="dxa"/>
            <w:vAlign w:val="center"/>
          </w:tcPr>
          <w:p w14:paraId="5D78AA90"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793447FA"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65BA30B6"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32EBAFBA"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16C144D8"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0F7AD6E2"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7692495B"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65151D2B"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760CF739"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6A754888"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54C3057E" w14:textId="77777777" w:rsidTr="002B733E">
        <w:trPr>
          <w:trHeight w:val="397"/>
        </w:trPr>
        <w:tc>
          <w:tcPr>
            <w:tcW w:w="701" w:type="dxa"/>
            <w:vAlign w:val="center"/>
          </w:tcPr>
          <w:p w14:paraId="4A02AFBB" w14:textId="77777777" w:rsidR="002B733E" w:rsidRPr="00FD50F6" w:rsidRDefault="002B733E" w:rsidP="002B733E">
            <w:pPr>
              <w:pStyle w:val="7"/>
            </w:pPr>
            <w:r w:rsidRPr="00FD50F6">
              <w:rPr>
                <w:rFonts w:hint="eastAsia"/>
              </w:rPr>
              <w:t>X</w:t>
            </w:r>
          </w:p>
        </w:tc>
        <w:tc>
          <w:tcPr>
            <w:tcW w:w="756" w:type="dxa"/>
            <w:vAlign w:val="bottom"/>
          </w:tcPr>
          <w:p w14:paraId="641C6C07" w14:textId="77777777" w:rsidR="002B733E" w:rsidRPr="00FD50F6" w:rsidRDefault="002B733E" w:rsidP="002B733E">
            <w:pPr>
              <w:pStyle w:val="7"/>
            </w:pPr>
            <w:r w:rsidRPr="00FD50F6">
              <w:rPr>
                <w:rFonts w:hint="eastAsia"/>
              </w:rPr>
              <w:t>106</w:t>
            </w:r>
          </w:p>
        </w:tc>
        <w:tc>
          <w:tcPr>
            <w:tcW w:w="756" w:type="dxa"/>
            <w:vAlign w:val="bottom"/>
          </w:tcPr>
          <w:p w14:paraId="3169333E" w14:textId="77777777" w:rsidR="002B733E" w:rsidRPr="00FD50F6" w:rsidRDefault="002B733E" w:rsidP="002B733E">
            <w:pPr>
              <w:pStyle w:val="7"/>
            </w:pPr>
            <w:r w:rsidRPr="00FD50F6">
              <w:rPr>
                <w:rFonts w:hint="eastAsia"/>
              </w:rPr>
              <w:t>765</w:t>
            </w:r>
          </w:p>
        </w:tc>
        <w:tc>
          <w:tcPr>
            <w:tcW w:w="756" w:type="dxa"/>
            <w:vAlign w:val="bottom"/>
          </w:tcPr>
          <w:p w14:paraId="2BDF9E2D" w14:textId="77777777" w:rsidR="002B733E" w:rsidRPr="00FD50F6" w:rsidRDefault="002B733E" w:rsidP="002B733E">
            <w:pPr>
              <w:pStyle w:val="7"/>
            </w:pPr>
            <w:r w:rsidRPr="00FD50F6">
              <w:rPr>
                <w:rFonts w:hint="eastAsia"/>
              </w:rPr>
              <w:t>784</w:t>
            </w:r>
          </w:p>
        </w:tc>
        <w:tc>
          <w:tcPr>
            <w:tcW w:w="756" w:type="dxa"/>
            <w:vAlign w:val="bottom"/>
          </w:tcPr>
          <w:p w14:paraId="3CC3F738" w14:textId="77777777" w:rsidR="002B733E" w:rsidRPr="00FD50F6" w:rsidRDefault="002B733E" w:rsidP="002B733E">
            <w:pPr>
              <w:pStyle w:val="7"/>
            </w:pPr>
            <w:r w:rsidRPr="00FD50F6">
              <w:rPr>
                <w:rFonts w:hint="eastAsia"/>
              </w:rPr>
              <w:t>868</w:t>
            </w:r>
          </w:p>
        </w:tc>
        <w:tc>
          <w:tcPr>
            <w:tcW w:w="756" w:type="dxa"/>
            <w:vAlign w:val="bottom"/>
          </w:tcPr>
          <w:p w14:paraId="44EFF523" w14:textId="77777777" w:rsidR="002B733E" w:rsidRPr="00FD50F6" w:rsidRDefault="002B733E" w:rsidP="002B733E">
            <w:pPr>
              <w:pStyle w:val="7"/>
            </w:pPr>
            <w:r w:rsidRPr="00FD50F6">
              <w:rPr>
                <w:rFonts w:hint="eastAsia"/>
              </w:rPr>
              <w:t>867</w:t>
            </w:r>
          </w:p>
        </w:tc>
        <w:tc>
          <w:tcPr>
            <w:tcW w:w="756" w:type="dxa"/>
            <w:vAlign w:val="bottom"/>
          </w:tcPr>
          <w:p w14:paraId="449C18BB" w14:textId="77777777" w:rsidR="002B733E" w:rsidRPr="00FD50F6" w:rsidRDefault="002B733E" w:rsidP="002B733E">
            <w:pPr>
              <w:pStyle w:val="7"/>
            </w:pPr>
            <w:r w:rsidRPr="00FD50F6">
              <w:rPr>
                <w:rFonts w:hint="eastAsia"/>
              </w:rPr>
              <w:t>928</w:t>
            </w:r>
          </w:p>
        </w:tc>
        <w:tc>
          <w:tcPr>
            <w:tcW w:w="756" w:type="dxa"/>
            <w:vAlign w:val="bottom"/>
          </w:tcPr>
          <w:p w14:paraId="336D8FAE" w14:textId="77777777" w:rsidR="002B733E" w:rsidRPr="00FD50F6" w:rsidRDefault="002B733E" w:rsidP="002B733E">
            <w:pPr>
              <w:pStyle w:val="7"/>
            </w:pPr>
            <w:r w:rsidRPr="00FD50F6">
              <w:rPr>
                <w:rFonts w:hint="eastAsia"/>
              </w:rPr>
              <w:t>1174</w:t>
            </w:r>
          </w:p>
        </w:tc>
        <w:tc>
          <w:tcPr>
            <w:tcW w:w="756" w:type="dxa"/>
            <w:vAlign w:val="bottom"/>
          </w:tcPr>
          <w:p w14:paraId="0D2DE692" w14:textId="77777777" w:rsidR="002B733E" w:rsidRPr="00FD50F6" w:rsidRDefault="002B733E" w:rsidP="002B733E">
            <w:pPr>
              <w:pStyle w:val="7"/>
            </w:pPr>
            <w:r w:rsidRPr="00FD50F6">
              <w:rPr>
                <w:rFonts w:hint="eastAsia"/>
              </w:rPr>
              <w:t>1436</w:t>
            </w:r>
          </w:p>
        </w:tc>
        <w:tc>
          <w:tcPr>
            <w:tcW w:w="756" w:type="dxa"/>
            <w:vAlign w:val="bottom"/>
          </w:tcPr>
          <w:p w14:paraId="34F33925" w14:textId="77777777" w:rsidR="002B733E" w:rsidRPr="00FD50F6" w:rsidRDefault="002B733E" w:rsidP="002B733E">
            <w:pPr>
              <w:pStyle w:val="7"/>
            </w:pPr>
            <w:r w:rsidRPr="00FD50F6">
              <w:rPr>
                <w:rFonts w:hint="eastAsia"/>
              </w:rPr>
              <w:t>1477</w:t>
            </w:r>
          </w:p>
        </w:tc>
        <w:tc>
          <w:tcPr>
            <w:tcW w:w="756" w:type="dxa"/>
            <w:vAlign w:val="bottom"/>
          </w:tcPr>
          <w:p w14:paraId="71E40C91" w14:textId="77777777" w:rsidR="002B733E" w:rsidRPr="00FD50F6" w:rsidRDefault="002B733E" w:rsidP="002B733E">
            <w:pPr>
              <w:pStyle w:val="7"/>
            </w:pPr>
            <w:r w:rsidRPr="00FD50F6">
              <w:rPr>
                <w:rFonts w:hint="eastAsia"/>
              </w:rPr>
              <w:t>1575</w:t>
            </w:r>
          </w:p>
        </w:tc>
      </w:tr>
      <w:tr w:rsidR="00FD50F6" w:rsidRPr="00FD50F6" w14:paraId="53AEA860" w14:textId="77777777" w:rsidTr="002B733E">
        <w:trPr>
          <w:trHeight w:val="397"/>
        </w:trPr>
        <w:tc>
          <w:tcPr>
            <w:tcW w:w="701" w:type="dxa"/>
            <w:vAlign w:val="center"/>
          </w:tcPr>
          <w:p w14:paraId="58B6A57D" w14:textId="77777777" w:rsidR="002B733E" w:rsidRPr="00FD50F6" w:rsidRDefault="002B733E" w:rsidP="002B733E">
            <w:pPr>
              <w:pStyle w:val="7"/>
            </w:pPr>
            <w:r w:rsidRPr="00FD50F6">
              <w:rPr>
                <w:rFonts w:hint="eastAsia"/>
              </w:rPr>
              <w:t>Y</w:t>
            </w:r>
          </w:p>
        </w:tc>
        <w:tc>
          <w:tcPr>
            <w:tcW w:w="756" w:type="dxa"/>
            <w:vAlign w:val="bottom"/>
          </w:tcPr>
          <w:p w14:paraId="71F789C5" w14:textId="77777777" w:rsidR="002B733E" w:rsidRPr="00FD50F6" w:rsidRDefault="002B733E" w:rsidP="002B733E">
            <w:pPr>
              <w:pStyle w:val="7"/>
            </w:pPr>
            <w:r w:rsidRPr="00FD50F6">
              <w:rPr>
                <w:rFonts w:hint="eastAsia"/>
              </w:rPr>
              <w:t>3874</w:t>
            </w:r>
          </w:p>
        </w:tc>
        <w:tc>
          <w:tcPr>
            <w:tcW w:w="756" w:type="dxa"/>
            <w:vAlign w:val="bottom"/>
          </w:tcPr>
          <w:p w14:paraId="406D30D8" w14:textId="77777777" w:rsidR="002B733E" w:rsidRPr="00FD50F6" w:rsidRDefault="002B733E" w:rsidP="002B733E">
            <w:pPr>
              <w:pStyle w:val="7"/>
            </w:pPr>
            <w:r w:rsidRPr="00FD50F6">
              <w:rPr>
                <w:rFonts w:hint="eastAsia"/>
              </w:rPr>
              <w:t>3878</w:t>
            </w:r>
          </w:p>
        </w:tc>
        <w:tc>
          <w:tcPr>
            <w:tcW w:w="756" w:type="dxa"/>
            <w:vAlign w:val="bottom"/>
          </w:tcPr>
          <w:p w14:paraId="37F7A610" w14:textId="77777777" w:rsidR="002B733E" w:rsidRPr="00FD50F6" w:rsidRDefault="002B733E" w:rsidP="002B733E">
            <w:pPr>
              <w:pStyle w:val="7"/>
            </w:pPr>
            <w:r w:rsidRPr="00FD50F6">
              <w:rPr>
                <w:rFonts w:hint="eastAsia"/>
              </w:rPr>
              <w:t>3878</w:t>
            </w:r>
          </w:p>
        </w:tc>
        <w:tc>
          <w:tcPr>
            <w:tcW w:w="756" w:type="dxa"/>
            <w:vAlign w:val="bottom"/>
          </w:tcPr>
          <w:p w14:paraId="32AA7441" w14:textId="77777777" w:rsidR="002B733E" w:rsidRPr="00FD50F6" w:rsidRDefault="002B733E" w:rsidP="002B733E">
            <w:pPr>
              <w:pStyle w:val="7"/>
            </w:pPr>
            <w:r w:rsidRPr="00FD50F6">
              <w:rPr>
                <w:rFonts w:hint="eastAsia"/>
              </w:rPr>
              <w:t>3836</w:t>
            </w:r>
          </w:p>
        </w:tc>
        <w:tc>
          <w:tcPr>
            <w:tcW w:w="756" w:type="dxa"/>
            <w:vAlign w:val="bottom"/>
          </w:tcPr>
          <w:p w14:paraId="503A9D2E" w14:textId="77777777" w:rsidR="002B733E" w:rsidRPr="00FD50F6" w:rsidRDefault="002B733E" w:rsidP="002B733E">
            <w:pPr>
              <w:pStyle w:val="7"/>
            </w:pPr>
            <w:r w:rsidRPr="00FD50F6">
              <w:rPr>
                <w:rFonts w:hint="eastAsia"/>
              </w:rPr>
              <w:t>3763</w:t>
            </w:r>
          </w:p>
        </w:tc>
        <w:tc>
          <w:tcPr>
            <w:tcW w:w="756" w:type="dxa"/>
            <w:vAlign w:val="bottom"/>
          </w:tcPr>
          <w:p w14:paraId="73ACD70F" w14:textId="77777777" w:rsidR="002B733E" w:rsidRPr="00FD50F6" w:rsidRDefault="002B733E" w:rsidP="002B733E">
            <w:pPr>
              <w:pStyle w:val="7"/>
            </w:pPr>
            <w:r w:rsidRPr="00FD50F6">
              <w:rPr>
                <w:rFonts w:hint="eastAsia"/>
              </w:rPr>
              <w:t>3741</w:t>
            </w:r>
          </w:p>
        </w:tc>
        <w:tc>
          <w:tcPr>
            <w:tcW w:w="756" w:type="dxa"/>
            <w:vAlign w:val="bottom"/>
          </w:tcPr>
          <w:p w14:paraId="48C34320" w14:textId="77777777" w:rsidR="002B733E" w:rsidRPr="00FD50F6" w:rsidRDefault="002B733E" w:rsidP="002B733E">
            <w:pPr>
              <w:pStyle w:val="7"/>
            </w:pPr>
            <w:r w:rsidRPr="00FD50F6">
              <w:rPr>
                <w:rFonts w:hint="eastAsia"/>
              </w:rPr>
              <w:t>3590</w:t>
            </w:r>
          </w:p>
        </w:tc>
        <w:tc>
          <w:tcPr>
            <w:tcW w:w="756" w:type="dxa"/>
            <w:vAlign w:val="bottom"/>
          </w:tcPr>
          <w:p w14:paraId="05F2F307" w14:textId="77777777" w:rsidR="002B733E" w:rsidRPr="00FD50F6" w:rsidRDefault="002B733E" w:rsidP="002B733E">
            <w:pPr>
              <w:pStyle w:val="7"/>
            </w:pPr>
            <w:r w:rsidRPr="00FD50F6">
              <w:rPr>
                <w:rFonts w:hint="eastAsia"/>
              </w:rPr>
              <w:t>3426</w:t>
            </w:r>
          </w:p>
        </w:tc>
        <w:tc>
          <w:tcPr>
            <w:tcW w:w="756" w:type="dxa"/>
            <w:vAlign w:val="bottom"/>
          </w:tcPr>
          <w:p w14:paraId="54620332" w14:textId="77777777" w:rsidR="002B733E" w:rsidRPr="00FD50F6" w:rsidRDefault="002B733E" w:rsidP="002B733E">
            <w:pPr>
              <w:pStyle w:val="7"/>
            </w:pPr>
            <w:r w:rsidRPr="00FD50F6">
              <w:rPr>
                <w:rFonts w:hint="eastAsia"/>
              </w:rPr>
              <w:t>3336</w:t>
            </w:r>
          </w:p>
        </w:tc>
        <w:tc>
          <w:tcPr>
            <w:tcW w:w="756" w:type="dxa"/>
            <w:vAlign w:val="bottom"/>
          </w:tcPr>
          <w:p w14:paraId="4F218315" w14:textId="77777777" w:rsidR="002B733E" w:rsidRPr="00FD50F6" w:rsidRDefault="002B733E" w:rsidP="002B733E">
            <w:pPr>
              <w:pStyle w:val="7"/>
            </w:pPr>
            <w:r w:rsidRPr="00FD50F6">
              <w:rPr>
                <w:rFonts w:hint="eastAsia"/>
              </w:rPr>
              <w:t>1008</w:t>
            </w:r>
          </w:p>
        </w:tc>
      </w:tr>
      <w:tr w:rsidR="00FD50F6" w:rsidRPr="00FD50F6" w14:paraId="18FB669D" w14:textId="77777777" w:rsidTr="002B733E">
        <w:trPr>
          <w:trHeight w:val="397"/>
        </w:trPr>
        <w:tc>
          <w:tcPr>
            <w:tcW w:w="701" w:type="dxa"/>
            <w:vAlign w:val="center"/>
          </w:tcPr>
          <w:p w14:paraId="6E7E4C5B" w14:textId="77777777" w:rsidR="002B733E" w:rsidRPr="00FD50F6" w:rsidRDefault="002B733E" w:rsidP="002B733E">
            <w:pPr>
              <w:pStyle w:val="7"/>
            </w:pPr>
            <w:r w:rsidRPr="00FD50F6">
              <w:rPr>
                <w:rFonts w:hint="eastAsia"/>
              </w:rPr>
              <w:t>点号</w:t>
            </w:r>
          </w:p>
        </w:tc>
        <w:tc>
          <w:tcPr>
            <w:tcW w:w="756" w:type="dxa"/>
            <w:vAlign w:val="center"/>
          </w:tcPr>
          <w:p w14:paraId="7E4424F5" w14:textId="77777777" w:rsidR="002B733E" w:rsidRPr="00FD50F6" w:rsidRDefault="002B733E" w:rsidP="002B733E">
            <w:pPr>
              <w:pStyle w:val="7"/>
              <w:rPr>
                <w:b/>
              </w:rPr>
            </w:pPr>
            <w:r w:rsidRPr="00FD50F6">
              <w:rPr>
                <w:rFonts w:hint="eastAsia"/>
                <w:b/>
              </w:rPr>
              <w:t>9</w:t>
            </w:r>
            <w:r w:rsidRPr="00FD50F6">
              <w:rPr>
                <w:rFonts w:hint="eastAsia"/>
                <w:b/>
              </w:rPr>
              <w:t>’</w:t>
            </w:r>
          </w:p>
        </w:tc>
        <w:tc>
          <w:tcPr>
            <w:tcW w:w="756" w:type="dxa"/>
            <w:vAlign w:val="center"/>
          </w:tcPr>
          <w:p w14:paraId="174ACC68" w14:textId="77777777" w:rsidR="002B733E" w:rsidRPr="00FD50F6" w:rsidRDefault="002B733E" w:rsidP="002B733E">
            <w:pPr>
              <w:pStyle w:val="7"/>
              <w:rPr>
                <w:b/>
              </w:rPr>
            </w:pPr>
            <w:r w:rsidRPr="00FD50F6">
              <w:rPr>
                <w:rFonts w:hint="eastAsia"/>
                <w:b/>
              </w:rPr>
              <w:t>10</w:t>
            </w:r>
            <w:r w:rsidRPr="00FD50F6">
              <w:rPr>
                <w:rFonts w:hint="eastAsia"/>
                <w:b/>
              </w:rPr>
              <w:t>’</w:t>
            </w:r>
          </w:p>
        </w:tc>
        <w:tc>
          <w:tcPr>
            <w:tcW w:w="756" w:type="dxa"/>
            <w:vAlign w:val="center"/>
          </w:tcPr>
          <w:p w14:paraId="2B907FEF" w14:textId="77777777" w:rsidR="002B733E" w:rsidRPr="00FD50F6" w:rsidRDefault="002B733E" w:rsidP="002B733E">
            <w:pPr>
              <w:pStyle w:val="7"/>
              <w:rPr>
                <w:b/>
              </w:rPr>
            </w:pPr>
            <w:r w:rsidRPr="00FD50F6">
              <w:rPr>
                <w:rFonts w:hint="eastAsia"/>
                <w:b/>
              </w:rPr>
              <w:t>11</w:t>
            </w:r>
            <w:r w:rsidRPr="00FD50F6">
              <w:rPr>
                <w:rFonts w:hint="eastAsia"/>
                <w:b/>
              </w:rPr>
              <w:t>’</w:t>
            </w:r>
          </w:p>
        </w:tc>
        <w:tc>
          <w:tcPr>
            <w:tcW w:w="756" w:type="dxa"/>
            <w:vAlign w:val="center"/>
          </w:tcPr>
          <w:p w14:paraId="6188B89B" w14:textId="77777777" w:rsidR="002B733E" w:rsidRPr="00FD50F6" w:rsidRDefault="002B733E" w:rsidP="002B733E">
            <w:pPr>
              <w:pStyle w:val="7"/>
              <w:rPr>
                <w:b/>
              </w:rPr>
            </w:pPr>
            <w:r w:rsidRPr="00FD50F6">
              <w:rPr>
                <w:rFonts w:hint="eastAsia"/>
                <w:b/>
              </w:rPr>
              <w:t>12</w:t>
            </w:r>
            <w:r w:rsidRPr="00FD50F6">
              <w:rPr>
                <w:rFonts w:hint="eastAsia"/>
                <w:b/>
              </w:rPr>
              <w:t>’</w:t>
            </w:r>
          </w:p>
        </w:tc>
        <w:tc>
          <w:tcPr>
            <w:tcW w:w="756" w:type="dxa"/>
            <w:vAlign w:val="center"/>
          </w:tcPr>
          <w:p w14:paraId="551F08C5" w14:textId="77777777" w:rsidR="002B733E" w:rsidRPr="00FD50F6" w:rsidRDefault="002B733E" w:rsidP="002B733E">
            <w:pPr>
              <w:pStyle w:val="7"/>
              <w:rPr>
                <w:b/>
              </w:rPr>
            </w:pPr>
            <w:r w:rsidRPr="00FD50F6">
              <w:rPr>
                <w:rFonts w:hint="eastAsia"/>
                <w:b/>
              </w:rPr>
              <w:t>14</w:t>
            </w:r>
            <w:r w:rsidRPr="00FD50F6">
              <w:rPr>
                <w:rFonts w:hint="eastAsia"/>
                <w:b/>
              </w:rPr>
              <w:t>’</w:t>
            </w:r>
          </w:p>
        </w:tc>
        <w:tc>
          <w:tcPr>
            <w:tcW w:w="756" w:type="dxa"/>
            <w:vAlign w:val="center"/>
          </w:tcPr>
          <w:p w14:paraId="22A04E13" w14:textId="77777777" w:rsidR="002B733E" w:rsidRPr="00FD50F6" w:rsidRDefault="002B733E" w:rsidP="002B733E">
            <w:pPr>
              <w:pStyle w:val="7"/>
              <w:rPr>
                <w:b/>
              </w:rPr>
            </w:pPr>
            <w:r w:rsidRPr="00FD50F6">
              <w:rPr>
                <w:rFonts w:hint="eastAsia"/>
                <w:b/>
              </w:rPr>
              <w:t>15</w:t>
            </w:r>
            <w:r w:rsidRPr="00FD50F6">
              <w:rPr>
                <w:rFonts w:hint="eastAsia"/>
                <w:b/>
              </w:rPr>
              <w:t>’</w:t>
            </w:r>
          </w:p>
        </w:tc>
        <w:tc>
          <w:tcPr>
            <w:tcW w:w="756" w:type="dxa"/>
            <w:vAlign w:val="center"/>
          </w:tcPr>
          <w:p w14:paraId="7AE006F1" w14:textId="77777777" w:rsidR="002B733E" w:rsidRPr="00FD50F6" w:rsidRDefault="002B733E" w:rsidP="002B733E">
            <w:pPr>
              <w:pStyle w:val="7"/>
              <w:rPr>
                <w:b/>
              </w:rPr>
            </w:pPr>
            <w:r w:rsidRPr="00FD50F6">
              <w:rPr>
                <w:rFonts w:hint="eastAsia"/>
                <w:b/>
              </w:rPr>
              <w:t>16</w:t>
            </w:r>
            <w:r w:rsidRPr="00FD50F6">
              <w:rPr>
                <w:rFonts w:hint="eastAsia"/>
                <w:b/>
              </w:rPr>
              <w:t>’</w:t>
            </w:r>
          </w:p>
        </w:tc>
        <w:tc>
          <w:tcPr>
            <w:tcW w:w="756" w:type="dxa"/>
            <w:vAlign w:val="center"/>
          </w:tcPr>
          <w:p w14:paraId="7F7735CC" w14:textId="77777777" w:rsidR="002B733E" w:rsidRPr="00FD50F6" w:rsidRDefault="002B733E" w:rsidP="002B733E">
            <w:pPr>
              <w:pStyle w:val="7"/>
              <w:rPr>
                <w:b/>
              </w:rPr>
            </w:pPr>
            <w:r w:rsidRPr="00FD50F6">
              <w:rPr>
                <w:rFonts w:hint="eastAsia"/>
                <w:b/>
              </w:rPr>
              <w:t>17</w:t>
            </w:r>
            <w:r w:rsidRPr="00FD50F6">
              <w:rPr>
                <w:rFonts w:hint="eastAsia"/>
                <w:b/>
              </w:rPr>
              <w:t>’</w:t>
            </w:r>
          </w:p>
        </w:tc>
        <w:tc>
          <w:tcPr>
            <w:tcW w:w="756" w:type="dxa"/>
            <w:vAlign w:val="center"/>
          </w:tcPr>
          <w:p w14:paraId="1B57C2D4" w14:textId="77777777" w:rsidR="002B733E" w:rsidRPr="00FD50F6" w:rsidRDefault="002B733E" w:rsidP="002B733E">
            <w:pPr>
              <w:pStyle w:val="7"/>
              <w:rPr>
                <w:b/>
              </w:rPr>
            </w:pPr>
            <w:r w:rsidRPr="00FD50F6">
              <w:rPr>
                <w:rFonts w:hint="eastAsia"/>
                <w:b/>
              </w:rPr>
              <w:t>18</w:t>
            </w:r>
            <w:r w:rsidRPr="00FD50F6">
              <w:rPr>
                <w:rFonts w:hint="eastAsia"/>
                <w:b/>
              </w:rPr>
              <w:t>’</w:t>
            </w:r>
          </w:p>
        </w:tc>
        <w:tc>
          <w:tcPr>
            <w:tcW w:w="756" w:type="dxa"/>
            <w:vAlign w:val="center"/>
          </w:tcPr>
          <w:p w14:paraId="10DA1244" w14:textId="77777777" w:rsidR="002B733E" w:rsidRPr="00FD50F6" w:rsidRDefault="002B733E" w:rsidP="002B733E">
            <w:pPr>
              <w:pStyle w:val="7"/>
              <w:rPr>
                <w:b/>
              </w:rPr>
            </w:pPr>
            <w:r w:rsidRPr="00FD50F6">
              <w:rPr>
                <w:rFonts w:hint="eastAsia"/>
                <w:b/>
              </w:rPr>
              <w:t>19</w:t>
            </w:r>
            <w:r w:rsidRPr="00FD50F6">
              <w:rPr>
                <w:rFonts w:hint="eastAsia"/>
                <w:b/>
              </w:rPr>
              <w:t>’</w:t>
            </w:r>
          </w:p>
        </w:tc>
      </w:tr>
      <w:tr w:rsidR="00FD50F6" w:rsidRPr="00FD50F6" w14:paraId="74BA7AD5" w14:textId="77777777" w:rsidTr="002B733E">
        <w:trPr>
          <w:trHeight w:val="397"/>
        </w:trPr>
        <w:tc>
          <w:tcPr>
            <w:tcW w:w="701" w:type="dxa"/>
            <w:vAlign w:val="center"/>
          </w:tcPr>
          <w:p w14:paraId="7F9C5971" w14:textId="77777777" w:rsidR="002B733E" w:rsidRPr="00FD50F6" w:rsidRDefault="002B733E" w:rsidP="002B733E">
            <w:pPr>
              <w:pStyle w:val="7"/>
            </w:pPr>
            <w:r w:rsidRPr="00FD50F6">
              <w:rPr>
                <w:rFonts w:hint="eastAsia"/>
              </w:rPr>
              <w:t>X</w:t>
            </w:r>
          </w:p>
        </w:tc>
        <w:tc>
          <w:tcPr>
            <w:tcW w:w="756" w:type="dxa"/>
            <w:vAlign w:val="bottom"/>
          </w:tcPr>
          <w:p w14:paraId="2C203E09" w14:textId="77777777" w:rsidR="002B733E" w:rsidRPr="00FD50F6" w:rsidRDefault="002B733E" w:rsidP="002B733E">
            <w:pPr>
              <w:pStyle w:val="7"/>
            </w:pPr>
            <w:r w:rsidRPr="00FD50F6">
              <w:rPr>
                <w:rFonts w:hint="eastAsia"/>
              </w:rPr>
              <w:t>1560</w:t>
            </w:r>
          </w:p>
        </w:tc>
        <w:tc>
          <w:tcPr>
            <w:tcW w:w="756" w:type="dxa"/>
            <w:vAlign w:val="bottom"/>
          </w:tcPr>
          <w:p w14:paraId="6BF8AE04" w14:textId="77777777" w:rsidR="002B733E" w:rsidRPr="00FD50F6" w:rsidRDefault="002B733E" w:rsidP="002B733E">
            <w:pPr>
              <w:pStyle w:val="7"/>
            </w:pPr>
            <w:r w:rsidRPr="00FD50F6">
              <w:rPr>
                <w:rFonts w:hint="eastAsia"/>
              </w:rPr>
              <w:t>1553</w:t>
            </w:r>
          </w:p>
        </w:tc>
        <w:tc>
          <w:tcPr>
            <w:tcW w:w="756" w:type="dxa"/>
            <w:vAlign w:val="bottom"/>
          </w:tcPr>
          <w:p w14:paraId="3E38CBFC" w14:textId="77777777" w:rsidR="002B733E" w:rsidRPr="00FD50F6" w:rsidRDefault="002B733E" w:rsidP="002B733E">
            <w:pPr>
              <w:pStyle w:val="7"/>
            </w:pPr>
            <w:r w:rsidRPr="00FD50F6">
              <w:rPr>
                <w:rFonts w:hint="eastAsia"/>
              </w:rPr>
              <w:t>1518</w:t>
            </w:r>
          </w:p>
        </w:tc>
        <w:tc>
          <w:tcPr>
            <w:tcW w:w="756" w:type="dxa"/>
            <w:vAlign w:val="bottom"/>
          </w:tcPr>
          <w:p w14:paraId="23F65831" w14:textId="77777777" w:rsidR="002B733E" w:rsidRPr="00FD50F6" w:rsidRDefault="002B733E" w:rsidP="002B733E">
            <w:pPr>
              <w:pStyle w:val="7"/>
            </w:pPr>
            <w:r w:rsidRPr="00FD50F6">
              <w:rPr>
                <w:rFonts w:hint="eastAsia"/>
              </w:rPr>
              <w:t>1428</w:t>
            </w:r>
          </w:p>
        </w:tc>
        <w:tc>
          <w:tcPr>
            <w:tcW w:w="756" w:type="dxa"/>
            <w:vAlign w:val="bottom"/>
          </w:tcPr>
          <w:p w14:paraId="3CA21AE1" w14:textId="77777777" w:rsidR="002B733E" w:rsidRPr="00FD50F6" w:rsidRDefault="002B733E" w:rsidP="002B733E">
            <w:pPr>
              <w:pStyle w:val="7"/>
            </w:pPr>
            <w:r w:rsidRPr="00FD50F6">
              <w:rPr>
                <w:rFonts w:hint="eastAsia"/>
              </w:rPr>
              <w:t>1062</w:t>
            </w:r>
          </w:p>
        </w:tc>
        <w:tc>
          <w:tcPr>
            <w:tcW w:w="756" w:type="dxa"/>
            <w:vAlign w:val="bottom"/>
          </w:tcPr>
          <w:p w14:paraId="31EE03BA" w14:textId="77777777" w:rsidR="002B733E" w:rsidRPr="00FD50F6" w:rsidRDefault="002B733E" w:rsidP="002B733E">
            <w:pPr>
              <w:pStyle w:val="7"/>
            </w:pPr>
            <w:r w:rsidRPr="00FD50F6">
              <w:rPr>
                <w:rFonts w:hint="eastAsia"/>
              </w:rPr>
              <w:t>1015</w:t>
            </w:r>
          </w:p>
        </w:tc>
        <w:tc>
          <w:tcPr>
            <w:tcW w:w="756" w:type="dxa"/>
            <w:vAlign w:val="bottom"/>
          </w:tcPr>
          <w:p w14:paraId="1311D62F" w14:textId="77777777" w:rsidR="002B733E" w:rsidRPr="00FD50F6" w:rsidRDefault="002B733E" w:rsidP="002B733E">
            <w:pPr>
              <w:pStyle w:val="7"/>
            </w:pPr>
            <w:r w:rsidRPr="00FD50F6">
              <w:rPr>
                <w:rFonts w:hint="eastAsia"/>
              </w:rPr>
              <w:t>993</w:t>
            </w:r>
          </w:p>
        </w:tc>
        <w:tc>
          <w:tcPr>
            <w:tcW w:w="756" w:type="dxa"/>
            <w:vAlign w:val="bottom"/>
          </w:tcPr>
          <w:p w14:paraId="2E5273DC" w14:textId="77777777" w:rsidR="002B733E" w:rsidRPr="00FD50F6" w:rsidRDefault="002B733E" w:rsidP="002B733E">
            <w:pPr>
              <w:pStyle w:val="7"/>
            </w:pPr>
            <w:r w:rsidRPr="00FD50F6">
              <w:rPr>
                <w:rFonts w:hint="eastAsia"/>
              </w:rPr>
              <w:t>985</w:t>
            </w:r>
          </w:p>
        </w:tc>
        <w:tc>
          <w:tcPr>
            <w:tcW w:w="756" w:type="dxa"/>
            <w:vAlign w:val="bottom"/>
          </w:tcPr>
          <w:p w14:paraId="2C338DE6" w14:textId="77777777" w:rsidR="002B733E" w:rsidRPr="00FD50F6" w:rsidRDefault="002B733E" w:rsidP="002B733E">
            <w:pPr>
              <w:pStyle w:val="7"/>
            </w:pPr>
            <w:r w:rsidRPr="00FD50F6">
              <w:rPr>
                <w:rFonts w:hint="eastAsia"/>
              </w:rPr>
              <w:t>837</w:t>
            </w:r>
          </w:p>
        </w:tc>
        <w:tc>
          <w:tcPr>
            <w:tcW w:w="756" w:type="dxa"/>
            <w:vAlign w:val="bottom"/>
          </w:tcPr>
          <w:p w14:paraId="50D77543" w14:textId="77777777" w:rsidR="002B733E" w:rsidRPr="00FD50F6" w:rsidRDefault="002B733E" w:rsidP="002B733E">
            <w:pPr>
              <w:pStyle w:val="7"/>
            </w:pPr>
            <w:r w:rsidRPr="00FD50F6">
              <w:rPr>
                <w:rFonts w:hint="eastAsia"/>
              </w:rPr>
              <w:t>837</w:t>
            </w:r>
          </w:p>
        </w:tc>
      </w:tr>
      <w:tr w:rsidR="00FD50F6" w:rsidRPr="00FD50F6" w14:paraId="4456BEA3" w14:textId="77777777" w:rsidTr="002B733E">
        <w:trPr>
          <w:trHeight w:val="397"/>
        </w:trPr>
        <w:tc>
          <w:tcPr>
            <w:tcW w:w="701" w:type="dxa"/>
            <w:vAlign w:val="center"/>
          </w:tcPr>
          <w:p w14:paraId="31072202" w14:textId="77777777" w:rsidR="002B733E" w:rsidRPr="00FD50F6" w:rsidRDefault="002B733E" w:rsidP="002B733E">
            <w:pPr>
              <w:pStyle w:val="7"/>
            </w:pPr>
            <w:r w:rsidRPr="00FD50F6">
              <w:rPr>
                <w:rFonts w:hint="eastAsia"/>
              </w:rPr>
              <w:t>Y</w:t>
            </w:r>
          </w:p>
        </w:tc>
        <w:tc>
          <w:tcPr>
            <w:tcW w:w="756" w:type="dxa"/>
            <w:vAlign w:val="bottom"/>
          </w:tcPr>
          <w:p w14:paraId="79B07E77" w14:textId="77777777" w:rsidR="002B733E" w:rsidRPr="00FD50F6" w:rsidRDefault="002B733E" w:rsidP="002B733E">
            <w:pPr>
              <w:pStyle w:val="7"/>
            </w:pPr>
            <w:r w:rsidRPr="00FD50F6">
              <w:rPr>
                <w:rFonts w:hint="eastAsia"/>
              </w:rPr>
              <w:t>808</w:t>
            </w:r>
          </w:p>
        </w:tc>
        <w:tc>
          <w:tcPr>
            <w:tcW w:w="756" w:type="dxa"/>
            <w:vAlign w:val="bottom"/>
          </w:tcPr>
          <w:p w14:paraId="02F08FF9" w14:textId="77777777" w:rsidR="002B733E" w:rsidRPr="00FD50F6" w:rsidRDefault="002B733E" w:rsidP="002B733E">
            <w:pPr>
              <w:pStyle w:val="7"/>
            </w:pPr>
            <w:r w:rsidRPr="00FD50F6">
              <w:rPr>
                <w:rFonts w:hint="eastAsia"/>
              </w:rPr>
              <w:t>776</w:t>
            </w:r>
          </w:p>
        </w:tc>
        <w:tc>
          <w:tcPr>
            <w:tcW w:w="756" w:type="dxa"/>
            <w:vAlign w:val="bottom"/>
          </w:tcPr>
          <w:p w14:paraId="61CFF6EE" w14:textId="77777777" w:rsidR="002B733E" w:rsidRPr="00FD50F6" w:rsidRDefault="002B733E" w:rsidP="002B733E">
            <w:pPr>
              <w:pStyle w:val="7"/>
            </w:pPr>
            <w:r w:rsidRPr="00FD50F6">
              <w:rPr>
                <w:rFonts w:hint="eastAsia"/>
              </w:rPr>
              <w:t>602</w:t>
            </w:r>
          </w:p>
        </w:tc>
        <w:tc>
          <w:tcPr>
            <w:tcW w:w="756" w:type="dxa"/>
            <w:vAlign w:val="bottom"/>
          </w:tcPr>
          <w:p w14:paraId="02410081" w14:textId="77777777" w:rsidR="002B733E" w:rsidRPr="00FD50F6" w:rsidRDefault="002B733E" w:rsidP="002B733E">
            <w:pPr>
              <w:pStyle w:val="7"/>
            </w:pPr>
            <w:r w:rsidRPr="00FD50F6">
              <w:rPr>
                <w:rFonts w:hint="eastAsia"/>
              </w:rPr>
              <w:t>603</w:t>
            </w:r>
          </w:p>
        </w:tc>
        <w:tc>
          <w:tcPr>
            <w:tcW w:w="756" w:type="dxa"/>
            <w:vAlign w:val="bottom"/>
          </w:tcPr>
          <w:p w14:paraId="12BCF888" w14:textId="77777777" w:rsidR="002B733E" w:rsidRPr="00FD50F6" w:rsidRDefault="002B733E" w:rsidP="002B733E">
            <w:pPr>
              <w:pStyle w:val="7"/>
            </w:pPr>
            <w:r w:rsidRPr="00FD50F6">
              <w:rPr>
                <w:rFonts w:hint="eastAsia"/>
              </w:rPr>
              <w:t>103</w:t>
            </w:r>
          </w:p>
        </w:tc>
        <w:tc>
          <w:tcPr>
            <w:tcW w:w="756" w:type="dxa"/>
            <w:vAlign w:val="bottom"/>
          </w:tcPr>
          <w:p w14:paraId="76973E90" w14:textId="77777777" w:rsidR="002B733E" w:rsidRPr="00FD50F6" w:rsidRDefault="002B733E" w:rsidP="002B733E">
            <w:pPr>
              <w:pStyle w:val="7"/>
            </w:pPr>
            <w:r w:rsidRPr="00FD50F6">
              <w:rPr>
                <w:rFonts w:hint="eastAsia"/>
              </w:rPr>
              <w:t>105</w:t>
            </w:r>
          </w:p>
        </w:tc>
        <w:tc>
          <w:tcPr>
            <w:tcW w:w="756" w:type="dxa"/>
            <w:vAlign w:val="bottom"/>
          </w:tcPr>
          <w:p w14:paraId="23482442" w14:textId="77777777" w:rsidR="002B733E" w:rsidRPr="00FD50F6" w:rsidRDefault="002B733E" w:rsidP="002B733E">
            <w:pPr>
              <w:pStyle w:val="7"/>
            </w:pPr>
            <w:r w:rsidRPr="00FD50F6">
              <w:rPr>
                <w:rFonts w:hint="eastAsia"/>
              </w:rPr>
              <w:t>100</w:t>
            </w:r>
          </w:p>
        </w:tc>
        <w:tc>
          <w:tcPr>
            <w:tcW w:w="756" w:type="dxa"/>
            <w:vAlign w:val="bottom"/>
          </w:tcPr>
          <w:p w14:paraId="21A3BAE4" w14:textId="77777777" w:rsidR="002B733E" w:rsidRPr="00FD50F6" w:rsidRDefault="002B733E" w:rsidP="002B733E">
            <w:pPr>
              <w:pStyle w:val="7"/>
            </w:pPr>
            <w:r w:rsidRPr="00FD50F6">
              <w:rPr>
                <w:rFonts w:hint="eastAsia"/>
              </w:rPr>
              <w:t>100</w:t>
            </w:r>
          </w:p>
        </w:tc>
        <w:tc>
          <w:tcPr>
            <w:tcW w:w="756" w:type="dxa"/>
            <w:vAlign w:val="bottom"/>
          </w:tcPr>
          <w:p w14:paraId="2145782C" w14:textId="77777777" w:rsidR="002B733E" w:rsidRPr="00FD50F6" w:rsidRDefault="002B733E" w:rsidP="002B733E">
            <w:pPr>
              <w:pStyle w:val="7"/>
            </w:pPr>
            <w:r w:rsidRPr="00FD50F6">
              <w:rPr>
                <w:rFonts w:hint="eastAsia"/>
              </w:rPr>
              <w:t>100</w:t>
            </w:r>
          </w:p>
        </w:tc>
        <w:tc>
          <w:tcPr>
            <w:tcW w:w="756" w:type="dxa"/>
            <w:vAlign w:val="bottom"/>
          </w:tcPr>
          <w:p w14:paraId="0120046F" w14:textId="77777777" w:rsidR="002B733E" w:rsidRPr="00FD50F6" w:rsidRDefault="002B733E" w:rsidP="002B733E">
            <w:pPr>
              <w:pStyle w:val="7"/>
            </w:pPr>
            <w:r w:rsidRPr="00FD50F6">
              <w:rPr>
                <w:rFonts w:hint="eastAsia"/>
              </w:rPr>
              <w:t>-16</w:t>
            </w:r>
          </w:p>
        </w:tc>
      </w:tr>
      <w:tr w:rsidR="00FD50F6" w:rsidRPr="00FD50F6" w14:paraId="5B40DC7B" w14:textId="77777777" w:rsidTr="002B733E">
        <w:trPr>
          <w:trHeight w:val="397"/>
        </w:trPr>
        <w:tc>
          <w:tcPr>
            <w:tcW w:w="701" w:type="dxa"/>
            <w:vAlign w:val="center"/>
          </w:tcPr>
          <w:p w14:paraId="4EDC426A" w14:textId="77777777" w:rsidR="002B733E" w:rsidRPr="00FD50F6" w:rsidRDefault="002B733E" w:rsidP="002B733E">
            <w:pPr>
              <w:pStyle w:val="7"/>
            </w:pPr>
            <w:r w:rsidRPr="00FD50F6">
              <w:rPr>
                <w:rFonts w:hint="eastAsia"/>
              </w:rPr>
              <w:t>点号</w:t>
            </w:r>
          </w:p>
        </w:tc>
        <w:tc>
          <w:tcPr>
            <w:tcW w:w="756" w:type="dxa"/>
            <w:vAlign w:val="center"/>
          </w:tcPr>
          <w:p w14:paraId="72ECC195" w14:textId="77777777" w:rsidR="002B733E" w:rsidRPr="00FD50F6" w:rsidRDefault="002B733E" w:rsidP="002B733E">
            <w:pPr>
              <w:pStyle w:val="7"/>
              <w:rPr>
                <w:b/>
              </w:rPr>
            </w:pPr>
            <w:r w:rsidRPr="00FD50F6">
              <w:rPr>
                <w:rFonts w:hint="eastAsia"/>
                <w:b/>
              </w:rPr>
              <w:t>20</w:t>
            </w:r>
            <w:r w:rsidRPr="00FD50F6">
              <w:rPr>
                <w:rFonts w:hint="eastAsia"/>
                <w:b/>
              </w:rPr>
              <w:t>’</w:t>
            </w:r>
          </w:p>
        </w:tc>
        <w:tc>
          <w:tcPr>
            <w:tcW w:w="756" w:type="dxa"/>
            <w:vAlign w:val="center"/>
          </w:tcPr>
          <w:p w14:paraId="7FCB729A" w14:textId="77777777" w:rsidR="002B733E" w:rsidRPr="00FD50F6" w:rsidRDefault="002B733E" w:rsidP="002B733E">
            <w:pPr>
              <w:pStyle w:val="7"/>
              <w:rPr>
                <w:b/>
              </w:rPr>
            </w:pPr>
            <w:r w:rsidRPr="00FD50F6">
              <w:rPr>
                <w:rFonts w:hint="eastAsia"/>
                <w:b/>
              </w:rPr>
              <w:t>21</w:t>
            </w:r>
            <w:r w:rsidRPr="00FD50F6">
              <w:rPr>
                <w:rFonts w:hint="eastAsia"/>
                <w:b/>
              </w:rPr>
              <w:t>’</w:t>
            </w:r>
          </w:p>
        </w:tc>
        <w:tc>
          <w:tcPr>
            <w:tcW w:w="756" w:type="dxa"/>
            <w:vAlign w:val="center"/>
          </w:tcPr>
          <w:p w14:paraId="3AF8795A" w14:textId="77777777" w:rsidR="002B733E" w:rsidRPr="00FD50F6" w:rsidRDefault="002B733E" w:rsidP="002B733E">
            <w:pPr>
              <w:pStyle w:val="7"/>
              <w:rPr>
                <w:b/>
              </w:rPr>
            </w:pPr>
            <w:r w:rsidRPr="00FD50F6">
              <w:rPr>
                <w:rFonts w:hint="eastAsia"/>
                <w:b/>
              </w:rPr>
              <w:t>22</w:t>
            </w:r>
            <w:r w:rsidRPr="00FD50F6">
              <w:rPr>
                <w:rFonts w:hint="eastAsia"/>
                <w:b/>
              </w:rPr>
              <w:t>’</w:t>
            </w:r>
          </w:p>
        </w:tc>
        <w:tc>
          <w:tcPr>
            <w:tcW w:w="756" w:type="dxa"/>
            <w:vAlign w:val="center"/>
          </w:tcPr>
          <w:p w14:paraId="695451D3" w14:textId="77777777" w:rsidR="002B733E" w:rsidRPr="00FD50F6" w:rsidRDefault="002B733E" w:rsidP="002B733E">
            <w:pPr>
              <w:pStyle w:val="7"/>
              <w:rPr>
                <w:b/>
              </w:rPr>
            </w:pPr>
            <w:r w:rsidRPr="00FD50F6">
              <w:rPr>
                <w:rFonts w:hint="eastAsia"/>
                <w:b/>
              </w:rPr>
              <w:t>23</w:t>
            </w:r>
            <w:r w:rsidRPr="00FD50F6">
              <w:rPr>
                <w:rFonts w:hint="eastAsia"/>
                <w:b/>
              </w:rPr>
              <w:t>’</w:t>
            </w:r>
          </w:p>
        </w:tc>
        <w:tc>
          <w:tcPr>
            <w:tcW w:w="756" w:type="dxa"/>
            <w:vAlign w:val="center"/>
          </w:tcPr>
          <w:p w14:paraId="62D40D94" w14:textId="77777777" w:rsidR="002B733E" w:rsidRPr="00FD50F6" w:rsidRDefault="002B733E" w:rsidP="002B733E">
            <w:pPr>
              <w:pStyle w:val="7"/>
              <w:rPr>
                <w:b/>
              </w:rPr>
            </w:pPr>
            <w:r w:rsidRPr="00FD50F6">
              <w:rPr>
                <w:rFonts w:hint="eastAsia"/>
                <w:b/>
              </w:rPr>
              <w:t>24</w:t>
            </w:r>
            <w:r w:rsidRPr="00FD50F6">
              <w:rPr>
                <w:rFonts w:hint="eastAsia"/>
                <w:b/>
              </w:rPr>
              <w:t>’</w:t>
            </w:r>
          </w:p>
        </w:tc>
        <w:tc>
          <w:tcPr>
            <w:tcW w:w="756" w:type="dxa"/>
            <w:vAlign w:val="center"/>
          </w:tcPr>
          <w:p w14:paraId="7C19BF41" w14:textId="77777777" w:rsidR="002B733E" w:rsidRPr="00FD50F6" w:rsidRDefault="002B733E" w:rsidP="002B733E">
            <w:pPr>
              <w:pStyle w:val="7"/>
              <w:rPr>
                <w:b/>
              </w:rPr>
            </w:pPr>
            <w:r w:rsidRPr="00FD50F6">
              <w:rPr>
                <w:rFonts w:hint="eastAsia"/>
                <w:b/>
              </w:rPr>
              <w:t>25</w:t>
            </w:r>
            <w:r w:rsidRPr="00FD50F6">
              <w:rPr>
                <w:rFonts w:hint="eastAsia"/>
                <w:b/>
              </w:rPr>
              <w:t>’</w:t>
            </w:r>
          </w:p>
        </w:tc>
        <w:tc>
          <w:tcPr>
            <w:tcW w:w="756" w:type="dxa"/>
            <w:vAlign w:val="center"/>
          </w:tcPr>
          <w:p w14:paraId="02CB0E50" w14:textId="77777777" w:rsidR="002B733E" w:rsidRPr="00FD50F6" w:rsidRDefault="002B733E" w:rsidP="002B733E">
            <w:pPr>
              <w:pStyle w:val="7"/>
              <w:rPr>
                <w:b/>
              </w:rPr>
            </w:pPr>
            <w:r w:rsidRPr="00FD50F6">
              <w:rPr>
                <w:rFonts w:hint="eastAsia"/>
                <w:b/>
              </w:rPr>
              <w:t>26</w:t>
            </w:r>
            <w:r w:rsidRPr="00FD50F6">
              <w:rPr>
                <w:rFonts w:hint="eastAsia"/>
                <w:b/>
              </w:rPr>
              <w:t>’</w:t>
            </w:r>
          </w:p>
        </w:tc>
        <w:tc>
          <w:tcPr>
            <w:tcW w:w="756" w:type="dxa"/>
            <w:vAlign w:val="center"/>
          </w:tcPr>
          <w:p w14:paraId="42F0C38B" w14:textId="77777777" w:rsidR="002B733E" w:rsidRPr="00FD50F6" w:rsidRDefault="002B733E" w:rsidP="002B733E">
            <w:pPr>
              <w:pStyle w:val="7"/>
              <w:rPr>
                <w:b/>
              </w:rPr>
            </w:pPr>
            <w:r w:rsidRPr="00FD50F6">
              <w:rPr>
                <w:rFonts w:hint="eastAsia"/>
                <w:b/>
              </w:rPr>
              <w:t>27</w:t>
            </w:r>
            <w:r w:rsidRPr="00FD50F6">
              <w:rPr>
                <w:rFonts w:hint="eastAsia"/>
                <w:b/>
              </w:rPr>
              <w:t>’</w:t>
            </w:r>
          </w:p>
        </w:tc>
        <w:tc>
          <w:tcPr>
            <w:tcW w:w="756" w:type="dxa"/>
            <w:vAlign w:val="center"/>
          </w:tcPr>
          <w:p w14:paraId="298A72FB" w14:textId="77777777" w:rsidR="002B733E" w:rsidRPr="00FD50F6" w:rsidRDefault="002B733E" w:rsidP="002B733E">
            <w:pPr>
              <w:pStyle w:val="7"/>
              <w:rPr>
                <w:b/>
              </w:rPr>
            </w:pPr>
            <w:r w:rsidRPr="00FD50F6">
              <w:rPr>
                <w:rFonts w:hint="eastAsia"/>
                <w:b/>
              </w:rPr>
              <w:t>28</w:t>
            </w:r>
            <w:r w:rsidRPr="00FD50F6">
              <w:rPr>
                <w:rFonts w:hint="eastAsia"/>
                <w:b/>
              </w:rPr>
              <w:t>’</w:t>
            </w:r>
          </w:p>
        </w:tc>
        <w:tc>
          <w:tcPr>
            <w:tcW w:w="756" w:type="dxa"/>
            <w:vAlign w:val="bottom"/>
          </w:tcPr>
          <w:p w14:paraId="3F69DC9A" w14:textId="77777777" w:rsidR="002B733E" w:rsidRPr="00FD50F6" w:rsidRDefault="002B733E" w:rsidP="002B733E">
            <w:pPr>
              <w:pStyle w:val="7"/>
              <w:rPr>
                <w:b/>
              </w:rPr>
            </w:pPr>
            <w:r w:rsidRPr="00FD50F6">
              <w:rPr>
                <w:rFonts w:hint="eastAsia"/>
                <w:b/>
              </w:rPr>
              <w:t>—</w:t>
            </w:r>
          </w:p>
        </w:tc>
      </w:tr>
      <w:tr w:rsidR="00FD50F6" w:rsidRPr="00FD50F6" w14:paraId="3CB518E8" w14:textId="77777777" w:rsidTr="002B733E">
        <w:trPr>
          <w:trHeight w:val="397"/>
        </w:trPr>
        <w:tc>
          <w:tcPr>
            <w:tcW w:w="701" w:type="dxa"/>
            <w:vAlign w:val="center"/>
          </w:tcPr>
          <w:p w14:paraId="62574109" w14:textId="77777777" w:rsidR="002B733E" w:rsidRPr="00FD50F6" w:rsidRDefault="002B733E" w:rsidP="002B733E">
            <w:pPr>
              <w:pStyle w:val="7"/>
            </w:pPr>
            <w:r w:rsidRPr="00FD50F6">
              <w:rPr>
                <w:rFonts w:hint="eastAsia"/>
              </w:rPr>
              <w:t>X</w:t>
            </w:r>
          </w:p>
        </w:tc>
        <w:tc>
          <w:tcPr>
            <w:tcW w:w="756" w:type="dxa"/>
            <w:vAlign w:val="bottom"/>
          </w:tcPr>
          <w:p w14:paraId="4866D4C1" w14:textId="77777777" w:rsidR="002B733E" w:rsidRPr="00FD50F6" w:rsidRDefault="002B733E" w:rsidP="002B733E">
            <w:pPr>
              <w:pStyle w:val="7"/>
            </w:pPr>
            <w:r w:rsidRPr="00FD50F6">
              <w:rPr>
                <w:rFonts w:hint="eastAsia"/>
              </w:rPr>
              <w:t>772</w:t>
            </w:r>
          </w:p>
        </w:tc>
        <w:tc>
          <w:tcPr>
            <w:tcW w:w="756" w:type="dxa"/>
            <w:vAlign w:val="bottom"/>
          </w:tcPr>
          <w:p w14:paraId="2BFCCBD4" w14:textId="77777777" w:rsidR="002B733E" w:rsidRPr="00FD50F6" w:rsidRDefault="002B733E" w:rsidP="002B733E">
            <w:pPr>
              <w:pStyle w:val="7"/>
            </w:pPr>
            <w:r w:rsidRPr="00FD50F6">
              <w:rPr>
                <w:rFonts w:hint="eastAsia"/>
              </w:rPr>
              <w:t>732</w:t>
            </w:r>
          </w:p>
        </w:tc>
        <w:tc>
          <w:tcPr>
            <w:tcW w:w="756" w:type="dxa"/>
            <w:vAlign w:val="bottom"/>
          </w:tcPr>
          <w:p w14:paraId="1C244415" w14:textId="77777777" w:rsidR="002B733E" w:rsidRPr="00FD50F6" w:rsidRDefault="002B733E" w:rsidP="002B733E">
            <w:pPr>
              <w:pStyle w:val="7"/>
            </w:pPr>
            <w:r w:rsidRPr="00FD50F6">
              <w:rPr>
                <w:rFonts w:hint="eastAsia"/>
              </w:rPr>
              <w:t>732</w:t>
            </w:r>
          </w:p>
        </w:tc>
        <w:tc>
          <w:tcPr>
            <w:tcW w:w="756" w:type="dxa"/>
            <w:vAlign w:val="bottom"/>
          </w:tcPr>
          <w:p w14:paraId="365498B8" w14:textId="77777777" w:rsidR="002B733E" w:rsidRPr="00FD50F6" w:rsidRDefault="002B733E" w:rsidP="002B733E">
            <w:pPr>
              <w:pStyle w:val="7"/>
            </w:pPr>
            <w:r w:rsidRPr="00FD50F6">
              <w:rPr>
                <w:rFonts w:hint="eastAsia"/>
              </w:rPr>
              <w:t>651</w:t>
            </w:r>
          </w:p>
        </w:tc>
        <w:tc>
          <w:tcPr>
            <w:tcW w:w="756" w:type="dxa"/>
            <w:vAlign w:val="bottom"/>
          </w:tcPr>
          <w:p w14:paraId="6673A26F" w14:textId="77777777" w:rsidR="002B733E" w:rsidRPr="00FD50F6" w:rsidRDefault="002B733E" w:rsidP="002B733E">
            <w:pPr>
              <w:pStyle w:val="7"/>
            </w:pPr>
            <w:r w:rsidRPr="00FD50F6">
              <w:rPr>
                <w:rFonts w:hint="eastAsia"/>
              </w:rPr>
              <w:t>651</w:t>
            </w:r>
          </w:p>
        </w:tc>
        <w:tc>
          <w:tcPr>
            <w:tcW w:w="756" w:type="dxa"/>
            <w:vAlign w:val="bottom"/>
          </w:tcPr>
          <w:p w14:paraId="7D2B631F" w14:textId="77777777" w:rsidR="002B733E" w:rsidRPr="00FD50F6" w:rsidRDefault="002B733E" w:rsidP="002B733E">
            <w:pPr>
              <w:pStyle w:val="7"/>
            </w:pPr>
            <w:r w:rsidRPr="00FD50F6">
              <w:rPr>
                <w:rFonts w:hint="eastAsia"/>
              </w:rPr>
              <w:t>539</w:t>
            </w:r>
          </w:p>
        </w:tc>
        <w:tc>
          <w:tcPr>
            <w:tcW w:w="756" w:type="dxa"/>
            <w:vAlign w:val="bottom"/>
          </w:tcPr>
          <w:p w14:paraId="0486A48F" w14:textId="77777777" w:rsidR="002B733E" w:rsidRPr="00FD50F6" w:rsidRDefault="002B733E" w:rsidP="002B733E">
            <w:pPr>
              <w:pStyle w:val="7"/>
            </w:pPr>
            <w:r w:rsidRPr="00FD50F6">
              <w:rPr>
                <w:rFonts w:hint="eastAsia"/>
              </w:rPr>
              <w:t>153</w:t>
            </w:r>
          </w:p>
        </w:tc>
        <w:tc>
          <w:tcPr>
            <w:tcW w:w="756" w:type="dxa"/>
            <w:vAlign w:val="bottom"/>
          </w:tcPr>
          <w:p w14:paraId="3C63C503" w14:textId="77777777" w:rsidR="002B733E" w:rsidRPr="00FD50F6" w:rsidRDefault="002B733E" w:rsidP="002B733E">
            <w:pPr>
              <w:pStyle w:val="7"/>
            </w:pPr>
            <w:r w:rsidRPr="00FD50F6">
              <w:rPr>
                <w:rFonts w:hint="eastAsia"/>
              </w:rPr>
              <w:t>153</w:t>
            </w:r>
          </w:p>
        </w:tc>
        <w:tc>
          <w:tcPr>
            <w:tcW w:w="756" w:type="dxa"/>
            <w:vAlign w:val="bottom"/>
          </w:tcPr>
          <w:p w14:paraId="5A89CD5E" w14:textId="77777777" w:rsidR="002B733E" w:rsidRPr="00FD50F6" w:rsidRDefault="002B733E" w:rsidP="002B733E">
            <w:pPr>
              <w:pStyle w:val="7"/>
            </w:pPr>
            <w:r w:rsidRPr="00FD50F6">
              <w:rPr>
                <w:rFonts w:hint="eastAsia"/>
              </w:rPr>
              <w:t>33</w:t>
            </w:r>
          </w:p>
        </w:tc>
        <w:tc>
          <w:tcPr>
            <w:tcW w:w="756" w:type="dxa"/>
            <w:vAlign w:val="bottom"/>
          </w:tcPr>
          <w:p w14:paraId="739881B6" w14:textId="77777777" w:rsidR="002B733E" w:rsidRPr="00FD50F6" w:rsidRDefault="002B733E" w:rsidP="002B733E">
            <w:pPr>
              <w:pStyle w:val="7"/>
              <w:rPr>
                <w:b/>
              </w:rPr>
            </w:pPr>
            <w:r w:rsidRPr="00FD50F6">
              <w:rPr>
                <w:rFonts w:hint="eastAsia"/>
                <w:b/>
              </w:rPr>
              <w:t>—</w:t>
            </w:r>
          </w:p>
        </w:tc>
      </w:tr>
      <w:tr w:rsidR="00FD50F6" w:rsidRPr="00FD50F6" w14:paraId="2EE915D9" w14:textId="77777777" w:rsidTr="002B733E">
        <w:trPr>
          <w:trHeight w:val="397"/>
        </w:trPr>
        <w:tc>
          <w:tcPr>
            <w:tcW w:w="701" w:type="dxa"/>
            <w:vAlign w:val="center"/>
          </w:tcPr>
          <w:p w14:paraId="0A894471" w14:textId="77777777" w:rsidR="002B733E" w:rsidRPr="00FD50F6" w:rsidRDefault="002B733E" w:rsidP="002B733E">
            <w:pPr>
              <w:pStyle w:val="7"/>
            </w:pPr>
            <w:r w:rsidRPr="00FD50F6">
              <w:rPr>
                <w:rFonts w:hint="eastAsia"/>
              </w:rPr>
              <w:t>Y</w:t>
            </w:r>
          </w:p>
        </w:tc>
        <w:tc>
          <w:tcPr>
            <w:tcW w:w="756" w:type="dxa"/>
            <w:vAlign w:val="bottom"/>
          </w:tcPr>
          <w:p w14:paraId="4F135374" w14:textId="77777777" w:rsidR="002B733E" w:rsidRPr="00FD50F6" w:rsidRDefault="002B733E" w:rsidP="002B733E">
            <w:pPr>
              <w:pStyle w:val="7"/>
            </w:pPr>
            <w:r w:rsidRPr="00FD50F6">
              <w:rPr>
                <w:rFonts w:hint="eastAsia"/>
              </w:rPr>
              <w:t>-16</w:t>
            </w:r>
          </w:p>
        </w:tc>
        <w:tc>
          <w:tcPr>
            <w:tcW w:w="756" w:type="dxa"/>
            <w:vAlign w:val="bottom"/>
          </w:tcPr>
          <w:p w14:paraId="33757005" w14:textId="77777777" w:rsidR="002B733E" w:rsidRPr="00FD50F6" w:rsidRDefault="002B733E" w:rsidP="002B733E">
            <w:pPr>
              <w:pStyle w:val="7"/>
            </w:pPr>
            <w:r w:rsidRPr="00FD50F6">
              <w:rPr>
                <w:rFonts w:hint="eastAsia"/>
              </w:rPr>
              <w:t>-16</w:t>
            </w:r>
          </w:p>
        </w:tc>
        <w:tc>
          <w:tcPr>
            <w:tcW w:w="756" w:type="dxa"/>
            <w:vAlign w:val="bottom"/>
          </w:tcPr>
          <w:p w14:paraId="3B57325A" w14:textId="77777777" w:rsidR="002B733E" w:rsidRPr="00FD50F6" w:rsidRDefault="002B733E" w:rsidP="002B733E">
            <w:pPr>
              <w:pStyle w:val="7"/>
            </w:pPr>
            <w:r w:rsidRPr="00FD50F6">
              <w:rPr>
                <w:rFonts w:hint="eastAsia"/>
              </w:rPr>
              <w:t>-56</w:t>
            </w:r>
          </w:p>
        </w:tc>
        <w:tc>
          <w:tcPr>
            <w:tcW w:w="756" w:type="dxa"/>
            <w:vAlign w:val="bottom"/>
          </w:tcPr>
          <w:p w14:paraId="1B338BED" w14:textId="77777777" w:rsidR="002B733E" w:rsidRPr="00FD50F6" w:rsidRDefault="002B733E" w:rsidP="002B733E">
            <w:pPr>
              <w:pStyle w:val="7"/>
            </w:pPr>
            <w:r w:rsidRPr="00FD50F6">
              <w:rPr>
                <w:rFonts w:hint="eastAsia"/>
              </w:rPr>
              <w:t>-56</w:t>
            </w:r>
          </w:p>
        </w:tc>
        <w:tc>
          <w:tcPr>
            <w:tcW w:w="756" w:type="dxa"/>
            <w:vAlign w:val="bottom"/>
          </w:tcPr>
          <w:p w14:paraId="238BC5C9" w14:textId="77777777" w:rsidR="002B733E" w:rsidRPr="00FD50F6" w:rsidRDefault="002B733E" w:rsidP="002B733E">
            <w:pPr>
              <w:pStyle w:val="7"/>
            </w:pPr>
            <w:r w:rsidRPr="00FD50F6">
              <w:rPr>
                <w:rFonts w:hint="eastAsia"/>
              </w:rPr>
              <w:t>31</w:t>
            </w:r>
          </w:p>
        </w:tc>
        <w:tc>
          <w:tcPr>
            <w:tcW w:w="756" w:type="dxa"/>
            <w:vAlign w:val="bottom"/>
          </w:tcPr>
          <w:p w14:paraId="442F7CD2" w14:textId="77777777" w:rsidR="002B733E" w:rsidRPr="00FD50F6" w:rsidRDefault="002B733E" w:rsidP="002B733E">
            <w:pPr>
              <w:pStyle w:val="7"/>
            </w:pPr>
            <w:r w:rsidRPr="00FD50F6">
              <w:rPr>
                <w:rFonts w:hint="eastAsia"/>
              </w:rPr>
              <w:t>31</w:t>
            </w:r>
          </w:p>
        </w:tc>
        <w:tc>
          <w:tcPr>
            <w:tcW w:w="756" w:type="dxa"/>
            <w:vAlign w:val="bottom"/>
          </w:tcPr>
          <w:p w14:paraId="6CD46518" w14:textId="77777777" w:rsidR="002B733E" w:rsidRPr="00FD50F6" w:rsidRDefault="002B733E" w:rsidP="002B733E">
            <w:pPr>
              <w:pStyle w:val="7"/>
            </w:pPr>
            <w:r w:rsidRPr="00FD50F6">
              <w:rPr>
                <w:rFonts w:hint="eastAsia"/>
              </w:rPr>
              <w:t>32</w:t>
            </w:r>
          </w:p>
        </w:tc>
        <w:tc>
          <w:tcPr>
            <w:tcW w:w="756" w:type="dxa"/>
            <w:vAlign w:val="bottom"/>
          </w:tcPr>
          <w:p w14:paraId="2B373DA2" w14:textId="77777777" w:rsidR="002B733E" w:rsidRPr="00FD50F6" w:rsidRDefault="002B733E" w:rsidP="002B733E">
            <w:pPr>
              <w:pStyle w:val="7"/>
            </w:pPr>
            <w:r w:rsidRPr="00FD50F6">
              <w:rPr>
                <w:rFonts w:hint="eastAsia"/>
              </w:rPr>
              <w:t>79</w:t>
            </w:r>
          </w:p>
        </w:tc>
        <w:tc>
          <w:tcPr>
            <w:tcW w:w="756" w:type="dxa"/>
            <w:vAlign w:val="bottom"/>
          </w:tcPr>
          <w:p w14:paraId="014449B2" w14:textId="77777777" w:rsidR="002B733E" w:rsidRPr="00FD50F6" w:rsidRDefault="002B733E" w:rsidP="002B733E">
            <w:pPr>
              <w:pStyle w:val="7"/>
            </w:pPr>
            <w:r w:rsidRPr="00FD50F6">
              <w:rPr>
                <w:rFonts w:hint="eastAsia"/>
              </w:rPr>
              <w:t>80</w:t>
            </w:r>
          </w:p>
        </w:tc>
        <w:tc>
          <w:tcPr>
            <w:tcW w:w="756" w:type="dxa"/>
            <w:vAlign w:val="bottom"/>
          </w:tcPr>
          <w:p w14:paraId="33CBDCF9" w14:textId="77777777" w:rsidR="002B733E" w:rsidRPr="00FD50F6" w:rsidRDefault="002B733E" w:rsidP="002B733E">
            <w:pPr>
              <w:pStyle w:val="7"/>
              <w:rPr>
                <w:b/>
              </w:rPr>
            </w:pPr>
            <w:r w:rsidRPr="00FD50F6">
              <w:rPr>
                <w:rFonts w:hint="eastAsia"/>
                <w:b/>
              </w:rPr>
              <w:t>—</w:t>
            </w:r>
          </w:p>
        </w:tc>
      </w:tr>
      <w:tr w:rsidR="00FD50F6" w:rsidRPr="00FD50F6" w14:paraId="3DA0A0BE" w14:textId="77777777" w:rsidTr="002B733E">
        <w:trPr>
          <w:trHeight w:val="397"/>
        </w:trPr>
        <w:tc>
          <w:tcPr>
            <w:tcW w:w="701" w:type="dxa"/>
            <w:vAlign w:val="center"/>
          </w:tcPr>
          <w:p w14:paraId="3EF7FF8F" w14:textId="77777777" w:rsidR="002B733E" w:rsidRPr="00FD50F6" w:rsidRDefault="002B733E" w:rsidP="002B733E">
            <w:pPr>
              <w:pStyle w:val="7"/>
            </w:pPr>
            <w:r w:rsidRPr="00FD50F6">
              <w:rPr>
                <w:rFonts w:hint="eastAsia"/>
              </w:rPr>
              <w:t>点号</w:t>
            </w:r>
          </w:p>
        </w:tc>
        <w:tc>
          <w:tcPr>
            <w:tcW w:w="756" w:type="dxa"/>
            <w:vAlign w:val="bottom"/>
          </w:tcPr>
          <w:p w14:paraId="4B13EB5A" w14:textId="77777777" w:rsidR="002B733E" w:rsidRPr="00FD50F6" w:rsidRDefault="002B733E" w:rsidP="002B733E">
            <w:pPr>
              <w:pStyle w:val="7"/>
              <w:rPr>
                <w:b/>
              </w:rPr>
            </w:pPr>
            <w:r w:rsidRPr="00FD50F6">
              <w:rPr>
                <w:rFonts w:hint="eastAsia"/>
                <w:b/>
              </w:rPr>
              <w:t>29d</w:t>
            </w:r>
            <w:r w:rsidRPr="00FD50F6">
              <w:rPr>
                <w:rFonts w:hint="eastAsia"/>
                <w:b/>
              </w:rPr>
              <w:t>’</w:t>
            </w:r>
          </w:p>
        </w:tc>
        <w:tc>
          <w:tcPr>
            <w:tcW w:w="756" w:type="dxa"/>
            <w:vAlign w:val="bottom"/>
          </w:tcPr>
          <w:p w14:paraId="5638A81F" w14:textId="77777777" w:rsidR="002B733E" w:rsidRPr="00FD50F6" w:rsidRDefault="002B733E" w:rsidP="002B733E">
            <w:pPr>
              <w:pStyle w:val="7"/>
              <w:rPr>
                <w:b/>
              </w:rPr>
            </w:pPr>
            <w:r w:rsidRPr="00FD50F6">
              <w:rPr>
                <w:rFonts w:hint="eastAsia"/>
                <w:b/>
              </w:rPr>
              <w:t>30d</w:t>
            </w:r>
            <w:r w:rsidRPr="00FD50F6">
              <w:rPr>
                <w:rFonts w:hint="eastAsia"/>
                <w:b/>
              </w:rPr>
              <w:t>’</w:t>
            </w:r>
          </w:p>
        </w:tc>
        <w:tc>
          <w:tcPr>
            <w:tcW w:w="756" w:type="dxa"/>
            <w:vAlign w:val="bottom"/>
          </w:tcPr>
          <w:p w14:paraId="56969197" w14:textId="77777777" w:rsidR="002B733E" w:rsidRPr="00FD50F6" w:rsidRDefault="002B733E" w:rsidP="002B733E">
            <w:pPr>
              <w:pStyle w:val="7"/>
              <w:rPr>
                <w:b/>
              </w:rPr>
            </w:pPr>
            <w:r w:rsidRPr="00FD50F6">
              <w:rPr>
                <w:rFonts w:hint="eastAsia"/>
                <w:b/>
              </w:rPr>
              <w:t>31d</w:t>
            </w:r>
            <w:r w:rsidRPr="00FD50F6">
              <w:rPr>
                <w:rFonts w:hint="eastAsia"/>
                <w:b/>
              </w:rPr>
              <w:t>’</w:t>
            </w:r>
          </w:p>
        </w:tc>
        <w:tc>
          <w:tcPr>
            <w:tcW w:w="756" w:type="dxa"/>
            <w:vAlign w:val="bottom"/>
          </w:tcPr>
          <w:p w14:paraId="695C3002" w14:textId="77777777" w:rsidR="002B733E" w:rsidRPr="00FD50F6" w:rsidRDefault="002B733E" w:rsidP="002B733E">
            <w:pPr>
              <w:pStyle w:val="7"/>
              <w:rPr>
                <w:b/>
              </w:rPr>
            </w:pPr>
            <w:r w:rsidRPr="00FD50F6">
              <w:rPr>
                <w:rFonts w:hint="eastAsia"/>
                <w:b/>
              </w:rPr>
              <w:t>32d</w:t>
            </w:r>
            <w:r w:rsidRPr="00FD50F6">
              <w:rPr>
                <w:rFonts w:hint="eastAsia"/>
                <w:b/>
              </w:rPr>
              <w:t>’</w:t>
            </w:r>
          </w:p>
        </w:tc>
        <w:tc>
          <w:tcPr>
            <w:tcW w:w="756" w:type="dxa"/>
            <w:vAlign w:val="bottom"/>
          </w:tcPr>
          <w:p w14:paraId="10AABAFC" w14:textId="77777777" w:rsidR="002B733E" w:rsidRPr="00FD50F6" w:rsidRDefault="002B733E" w:rsidP="002B733E">
            <w:pPr>
              <w:pStyle w:val="7"/>
              <w:rPr>
                <w:b/>
              </w:rPr>
            </w:pPr>
            <w:r w:rsidRPr="00FD50F6">
              <w:rPr>
                <w:rFonts w:hint="eastAsia"/>
                <w:b/>
              </w:rPr>
              <w:t>33d</w:t>
            </w:r>
            <w:r w:rsidRPr="00FD50F6">
              <w:rPr>
                <w:rFonts w:hint="eastAsia"/>
                <w:b/>
              </w:rPr>
              <w:t>’</w:t>
            </w:r>
          </w:p>
        </w:tc>
        <w:tc>
          <w:tcPr>
            <w:tcW w:w="756" w:type="dxa"/>
            <w:vAlign w:val="bottom"/>
          </w:tcPr>
          <w:p w14:paraId="00D40B80" w14:textId="77777777" w:rsidR="002B733E" w:rsidRPr="00FD50F6" w:rsidRDefault="002B733E" w:rsidP="002B733E">
            <w:pPr>
              <w:pStyle w:val="7"/>
              <w:rPr>
                <w:b/>
              </w:rPr>
            </w:pPr>
            <w:r w:rsidRPr="00FD50F6">
              <w:rPr>
                <w:rFonts w:hint="eastAsia"/>
                <w:b/>
              </w:rPr>
              <w:t>34d</w:t>
            </w:r>
            <w:r w:rsidRPr="00FD50F6">
              <w:rPr>
                <w:rFonts w:hint="eastAsia"/>
                <w:b/>
              </w:rPr>
              <w:t>’</w:t>
            </w:r>
          </w:p>
        </w:tc>
        <w:tc>
          <w:tcPr>
            <w:tcW w:w="756" w:type="dxa"/>
            <w:vAlign w:val="bottom"/>
          </w:tcPr>
          <w:p w14:paraId="61C9D895" w14:textId="77777777" w:rsidR="002B733E" w:rsidRPr="00FD50F6" w:rsidRDefault="002B733E" w:rsidP="002B733E">
            <w:pPr>
              <w:pStyle w:val="7"/>
              <w:rPr>
                <w:b/>
              </w:rPr>
            </w:pPr>
            <w:r w:rsidRPr="00FD50F6">
              <w:rPr>
                <w:rFonts w:hint="eastAsia"/>
                <w:b/>
              </w:rPr>
              <w:t>—</w:t>
            </w:r>
          </w:p>
        </w:tc>
        <w:tc>
          <w:tcPr>
            <w:tcW w:w="756" w:type="dxa"/>
            <w:vAlign w:val="bottom"/>
          </w:tcPr>
          <w:p w14:paraId="1786B6FB" w14:textId="77777777" w:rsidR="002B733E" w:rsidRPr="00FD50F6" w:rsidRDefault="002B733E" w:rsidP="002B733E">
            <w:pPr>
              <w:pStyle w:val="7"/>
              <w:rPr>
                <w:b/>
              </w:rPr>
            </w:pPr>
            <w:r w:rsidRPr="00FD50F6">
              <w:rPr>
                <w:rFonts w:hint="eastAsia"/>
                <w:b/>
              </w:rPr>
              <w:t>—</w:t>
            </w:r>
          </w:p>
        </w:tc>
        <w:tc>
          <w:tcPr>
            <w:tcW w:w="756" w:type="dxa"/>
            <w:vAlign w:val="bottom"/>
          </w:tcPr>
          <w:p w14:paraId="26267AE0" w14:textId="77777777" w:rsidR="002B733E" w:rsidRPr="00FD50F6" w:rsidRDefault="002B733E" w:rsidP="002B733E">
            <w:pPr>
              <w:pStyle w:val="7"/>
              <w:rPr>
                <w:b/>
              </w:rPr>
            </w:pPr>
            <w:r w:rsidRPr="00FD50F6">
              <w:rPr>
                <w:rFonts w:hint="eastAsia"/>
                <w:b/>
              </w:rPr>
              <w:t>—</w:t>
            </w:r>
          </w:p>
        </w:tc>
        <w:tc>
          <w:tcPr>
            <w:tcW w:w="756" w:type="dxa"/>
            <w:vAlign w:val="bottom"/>
          </w:tcPr>
          <w:p w14:paraId="2D44A5FD" w14:textId="77777777" w:rsidR="002B733E" w:rsidRPr="00FD50F6" w:rsidRDefault="002B733E" w:rsidP="002B733E">
            <w:pPr>
              <w:pStyle w:val="7"/>
              <w:rPr>
                <w:b/>
              </w:rPr>
            </w:pPr>
            <w:r w:rsidRPr="00FD50F6">
              <w:rPr>
                <w:rFonts w:hint="eastAsia"/>
                <w:b/>
              </w:rPr>
              <w:t>—</w:t>
            </w:r>
          </w:p>
        </w:tc>
      </w:tr>
      <w:tr w:rsidR="00FD50F6" w:rsidRPr="00FD50F6" w14:paraId="75B1ED0B" w14:textId="77777777" w:rsidTr="002B733E">
        <w:trPr>
          <w:trHeight w:val="397"/>
        </w:trPr>
        <w:tc>
          <w:tcPr>
            <w:tcW w:w="701" w:type="dxa"/>
            <w:vAlign w:val="center"/>
          </w:tcPr>
          <w:p w14:paraId="56437DF3" w14:textId="77777777" w:rsidR="002B733E" w:rsidRPr="00FD50F6" w:rsidRDefault="002B733E" w:rsidP="002B733E">
            <w:pPr>
              <w:pStyle w:val="7"/>
            </w:pPr>
            <w:r w:rsidRPr="00FD50F6">
              <w:rPr>
                <w:rFonts w:hint="eastAsia"/>
              </w:rPr>
              <w:t>X</w:t>
            </w:r>
          </w:p>
        </w:tc>
        <w:tc>
          <w:tcPr>
            <w:tcW w:w="756" w:type="dxa"/>
            <w:vAlign w:val="bottom"/>
          </w:tcPr>
          <w:p w14:paraId="7643C6D0" w14:textId="77777777" w:rsidR="002B733E" w:rsidRPr="00FD50F6" w:rsidRDefault="002B733E" w:rsidP="002B733E">
            <w:pPr>
              <w:pStyle w:val="7"/>
            </w:pPr>
            <w:r w:rsidRPr="00FD50F6">
              <w:rPr>
                <w:rFonts w:hint="eastAsia"/>
              </w:rPr>
              <w:t>1344</w:t>
            </w:r>
          </w:p>
        </w:tc>
        <w:tc>
          <w:tcPr>
            <w:tcW w:w="756" w:type="dxa"/>
            <w:vAlign w:val="bottom"/>
          </w:tcPr>
          <w:p w14:paraId="212F1D37" w14:textId="77777777" w:rsidR="002B733E" w:rsidRPr="00FD50F6" w:rsidRDefault="002B733E" w:rsidP="002B733E">
            <w:pPr>
              <w:pStyle w:val="7"/>
            </w:pPr>
            <w:r w:rsidRPr="00FD50F6">
              <w:rPr>
                <w:rFonts w:hint="eastAsia"/>
              </w:rPr>
              <w:t>1616</w:t>
            </w:r>
          </w:p>
        </w:tc>
        <w:tc>
          <w:tcPr>
            <w:tcW w:w="756" w:type="dxa"/>
            <w:vAlign w:val="bottom"/>
          </w:tcPr>
          <w:p w14:paraId="27808001" w14:textId="77777777" w:rsidR="002B733E" w:rsidRPr="00FD50F6" w:rsidRDefault="002B733E" w:rsidP="002B733E">
            <w:pPr>
              <w:pStyle w:val="7"/>
            </w:pPr>
            <w:r w:rsidRPr="00FD50F6">
              <w:rPr>
                <w:rFonts w:hint="eastAsia"/>
              </w:rPr>
              <w:t>1616</w:t>
            </w:r>
          </w:p>
        </w:tc>
        <w:tc>
          <w:tcPr>
            <w:tcW w:w="756" w:type="dxa"/>
            <w:vAlign w:val="bottom"/>
          </w:tcPr>
          <w:p w14:paraId="07BB629C" w14:textId="77777777" w:rsidR="002B733E" w:rsidRPr="00FD50F6" w:rsidRDefault="002B733E" w:rsidP="002B733E">
            <w:pPr>
              <w:pStyle w:val="7"/>
            </w:pPr>
            <w:r w:rsidRPr="00FD50F6">
              <w:rPr>
                <w:rFonts w:hint="eastAsia"/>
              </w:rPr>
              <w:t>1479</w:t>
            </w:r>
          </w:p>
        </w:tc>
        <w:tc>
          <w:tcPr>
            <w:tcW w:w="756" w:type="dxa"/>
            <w:vAlign w:val="bottom"/>
          </w:tcPr>
          <w:p w14:paraId="3AC2AFA6" w14:textId="77777777" w:rsidR="002B733E" w:rsidRPr="00FD50F6" w:rsidRDefault="002B733E" w:rsidP="002B733E">
            <w:pPr>
              <w:pStyle w:val="7"/>
            </w:pPr>
            <w:r w:rsidRPr="00FD50F6">
              <w:rPr>
                <w:rFonts w:hint="eastAsia"/>
              </w:rPr>
              <w:t>1445</w:t>
            </w:r>
          </w:p>
        </w:tc>
        <w:tc>
          <w:tcPr>
            <w:tcW w:w="756" w:type="dxa"/>
            <w:vAlign w:val="bottom"/>
          </w:tcPr>
          <w:p w14:paraId="59D936E4" w14:textId="77777777" w:rsidR="002B733E" w:rsidRPr="00FD50F6" w:rsidRDefault="002B733E" w:rsidP="002B733E">
            <w:pPr>
              <w:pStyle w:val="7"/>
            </w:pPr>
            <w:r w:rsidRPr="00FD50F6">
              <w:rPr>
                <w:rFonts w:hint="eastAsia"/>
              </w:rPr>
              <w:t>1190</w:t>
            </w:r>
          </w:p>
        </w:tc>
        <w:tc>
          <w:tcPr>
            <w:tcW w:w="756" w:type="dxa"/>
            <w:vAlign w:val="bottom"/>
          </w:tcPr>
          <w:p w14:paraId="7D1B9C85" w14:textId="77777777" w:rsidR="002B733E" w:rsidRPr="00FD50F6" w:rsidRDefault="002B733E" w:rsidP="002B733E">
            <w:pPr>
              <w:pStyle w:val="7"/>
              <w:rPr>
                <w:b/>
              </w:rPr>
            </w:pPr>
            <w:r w:rsidRPr="00FD50F6">
              <w:rPr>
                <w:rFonts w:hint="eastAsia"/>
                <w:b/>
              </w:rPr>
              <w:t>—</w:t>
            </w:r>
          </w:p>
        </w:tc>
        <w:tc>
          <w:tcPr>
            <w:tcW w:w="756" w:type="dxa"/>
            <w:vAlign w:val="bottom"/>
          </w:tcPr>
          <w:p w14:paraId="27509666" w14:textId="77777777" w:rsidR="002B733E" w:rsidRPr="00FD50F6" w:rsidRDefault="002B733E" w:rsidP="002B733E">
            <w:pPr>
              <w:pStyle w:val="7"/>
              <w:rPr>
                <w:b/>
              </w:rPr>
            </w:pPr>
            <w:r w:rsidRPr="00FD50F6">
              <w:rPr>
                <w:rFonts w:hint="eastAsia"/>
                <w:b/>
              </w:rPr>
              <w:t>—</w:t>
            </w:r>
          </w:p>
        </w:tc>
        <w:tc>
          <w:tcPr>
            <w:tcW w:w="756" w:type="dxa"/>
            <w:vAlign w:val="bottom"/>
          </w:tcPr>
          <w:p w14:paraId="59A6991A" w14:textId="77777777" w:rsidR="002B733E" w:rsidRPr="00FD50F6" w:rsidRDefault="002B733E" w:rsidP="002B733E">
            <w:pPr>
              <w:pStyle w:val="7"/>
              <w:rPr>
                <w:b/>
              </w:rPr>
            </w:pPr>
            <w:r w:rsidRPr="00FD50F6">
              <w:rPr>
                <w:rFonts w:hint="eastAsia"/>
                <w:b/>
              </w:rPr>
              <w:t>—</w:t>
            </w:r>
          </w:p>
        </w:tc>
        <w:tc>
          <w:tcPr>
            <w:tcW w:w="756" w:type="dxa"/>
            <w:vAlign w:val="bottom"/>
          </w:tcPr>
          <w:p w14:paraId="674C5050" w14:textId="77777777" w:rsidR="002B733E" w:rsidRPr="00FD50F6" w:rsidRDefault="002B733E" w:rsidP="002B733E">
            <w:pPr>
              <w:pStyle w:val="7"/>
              <w:rPr>
                <w:b/>
              </w:rPr>
            </w:pPr>
            <w:r w:rsidRPr="00FD50F6">
              <w:rPr>
                <w:rFonts w:hint="eastAsia"/>
                <w:b/>
              </w:rPr>
              <w:t>—</w:t>
            </w:r>
          </w:p>
        </w:tc>
      </w:tr>
      <w:tr w:rsidR="00FD50F6" w:rsidRPr="00FD50F6" w14:paraId="5A718801" w14:textId="77777777" w:rsidTr="002B733E">
        <w:trPr>
          <w:trHeight w:val="397"/>
        </w:trPr>
        <w:tc>
          <w:tcPr>
            <w:tcW w:w="701" w:type="dxa"/>
            <w:vAlign w:val="center"/>
          </w:tcPr>
          <w:p w14:paraId="45DFB2FC" w14:textId="77777777" w:rsidR="002B733E" w:rsidRPr="00FD50F6" w:rsidRDefault="002B733E" w:rsidP="002B733E">
            <w:pPr>
              <w:pStyle w:val="7"/>
            </w:pPr>
            <w:r w:rsidRPr="00FD50F6">
              <w:rPr>
                <w:rFonts w:hint="eastAsia"/>
              </w:rPr>
              <w:t>Y</w:t>
            </w:r>
          </w:p>
        </w:tc>
        <w:tc>
          <w:tcPr>
            <w:tcW w:w="756" w:type="dxa"/>
            <w:vAlign w:val="bottom"/>
          </w:tcPr>
          <w:p w14:paraId="31E24E48" w14:textId="77777777" w:rsidR="002B733E" w:rsidRPr="00FD50F6" w:rsidRDefault="002B733E" w:rsidP="002B733E">
            <w:pPr>
              <w:pStyle w:val="7"/>
            </w:pPr>
            <w:r w:rsidRPr="00FD50F6">
              <w:rPr>
                <w:rFonts w:hint="eastAsia"/>
              </w:rPr>
              <w:t>205</w:t>
            </w:r>
          </w:p>
        </w:tc>
        <w:tc>
          <w:tcPr>
            <w:tcW w:w="756" w:type="dxa"/>
            <w:vAlign w:val="bottom"/>
          </w:tcPr>
          <w:p w14:paraId="51E1E6BD" w14:textId="77777777" w:rsidR="002B733E" w:rsidRPr="00FD50F6" w:rsidRDefault="002B733E" w:rsidP="002B733E">
            <w:pPr>
              <w:pStyle w:val="7"/>
            </w:pPr>
            <w:r w:rsidRPr="00FD50F6">
              <w:rPr>
                <w:rFonts w:hint="eastAsia"/>
              </w:rPr>
              <w:t>205</w:t>
            </w:r>
          </w:p>
        </w:tc>
        <w:tc>
          <w:tcPr>
            <w:tcW w:w="756" w:type="dxa"/>
            <w:vAlign w:val="bottom"/>
          </w:tcPr>
          <w:p w14:paraId="625DBE8B" w14:textId="77777777" w:rsidR="002B733E" w:rsidRPr="00FD50F6" w:rsidRDefault="002B733E" w:rsidP="002B733E">
            <w:pPr>
              <w:pStyle w:val="7"/>
            </w:pPr>
            <w:r w:rsidRPr="00FD50F6">
              <w:rPr>
                <w:rFonts w:hint="eastAsia"/>
              </w:rPr>
              <w:t>145</w:t>
            </w:r>
          </w:p>
        </w:tc>
        <w:tc>
          <w:tcPr>
            <w:tcW w:w="756" w:type="dxa"/>
            <w:vAlign w:val="bottom"/>
          </w:tcPr>
          <w:p w14:paraId="4163CB30" w14:textId="77777777" w:rsidR="002B733E" w:rsidRPr="00FD50F6" w:rsidRDefault="002B733E" w:rsidP="002B733E">
            <w:pPr>
              <w:pStyle w:val="7"/>
            </w:pPr>
            <w:r w:rsidRPr="00FD50F6">
              <w:rPr>
                <w:rFonts w:hint="eastAsia"/>
              </w:rPr>
              <w:t>145</w:t>
            </w:r>
          </w:p>
        </w:tc>
        <w:tc>
          <w:tcPr>
            <w:tcW w:w="756" w:type="dxa"/>
            <w:vAlign w:val="bottom"/>
          </w:tcPr>
          <w:p w14:paraId="2C76D179" w14:textId="77777777" w:rsidR="002B733E" w:rsidRPr="00FD50F6" w:rsidRDefault="002B733E" w:rsidP="002B733E">
            <w:pPr>
              <w:pStyle w:val="7"/>
            </w:pPr>
            <w:r w:rsidRPr="00FD50F6">
              <w:rPr>
                <w:rFonts w:hint="eastAsia"/>
              </w:rPr>
              <w:t>112</w:t>
            </w:r>
          </w:p>
        </w:tc>
        <w:tc>
          <w:tcPr>
            <w:tcW w:w="756" w:type="dxa"/>
            <w:vAlign w:val="bottom"/>
          </w:tcPr>
          <w:p w14:paraId="654ECB0C" w14:textId="77777777" w:rsidR="002B733E" w:rsidRPr="00FD50F6" w:rsidRDefault="002B733E" w:rsidP="002B733E">
            <w:pPr>
              <w:pStyle w:val="7"/>
            </w:pPr>
            <w:r w:rsidRPr="00FD50F6">
              <w:rPr>
                <w:rFonts w:hint="eastAsia"/>
              </w:rPr>
              <w:t>112</w:t>
            </w:r>
          </w:p>
        </w:tc>
        <w:tc>
          <w:tcPr>
            <w:tcW w:w="756" w:type="dxa"/>
            <w:vAlign w:val="bottom"/>
          </w:tcPr>
          <w:p w14:paraId="1AD07F20" w14:textId="77777777" w:rsidR="002B733E" w:rsidRPr="00FD50F6" w:rsidRDefault="002B733E" w:rsidP="002B733E">
            <w:pPr>
              <w:pStyle w:val="7"/>
              <w:rPr>
                <w:b/>
              </w:rPr>
            </w:pPr>
            <w:r w:rsidRPr="00FD50F6">
              <w:rPr>
                <w:rFonts w:hint="eastAsia"/>
                <w:b/>
              </w:rPr>
              <w:t>—</w:t>
            </w:r>
          </w:p>
        </w:tc>
        <w:tc>
          <w:tcPr>
            <w:tcW w:w="756" w:type="dxa"/>
            <w:vAlign w:val="bottom"/>
          </w:tcPr>
          <w:p w14:paraId="4BA9BA74" w14:textId="77777777" w:rsidR="002B733E" w:rsidRPr="00FD50F6" w:rsidRDefault="002B733E" w:rsidP="002B733E">
            <w:pPr>
              <w:pStyle w:val="7"/>
              <w:rPr>
                <w:b/>
              </w:rPr>
            </w:pPr>
            <w:r w:rsidRPr="00FD50F6">
              <w:rPr>
                <w:rFonts w:hint="eastAsia"/>
                <w:b/>
              </w:rPr>
              <w:t>—</w:t>
            </w:r>
          </w:p>
        </w:tc>
        <w:tc>
          <w:tcPr>
            <w:tcW w:w="756" w:type="dxa"/>
            <w:vAlign w:val="bottom"/>
          </w:tcPr>
          <w:p w14:paraId="4962C716" w14:textId="77777777" w:rsidR="002B733E" w:rsidRPr="00FD50F6" w:rsidRDefault="002B733E" w:rsidP="002B733E">
            <w:pPr>
              <w:pStyle w:val="7"/>
              <w:rPr>
                <w:b/>
              </w:rPr>
            </w:pPr>
            <w:r w:rsidRPr="00FD50F6">
              <w:rPr>
                <w:rFonts w:hint="eastAsia"/>
                <w:b/>
              </w:rPr>
              <w:t>—</w:t>
            </w:r>
          </w:p>
        </w:tc>
        <w:tc>
          <w:tcPr>
            <w:tcW w:w="756" w:type="dxa"/>
            <w:vAlign w:val="bottom"/>
          </w:tcPr>
          <w:p w14:paraId="6D7C73C0" w14:textId="77777777" w:rsidR="002B733E" w:rsidRPr="00FD50F6" w:rsidRDefault="002B733E" w:rsidP="002B733E">
            <w:pPr>
              <w:pStyle w:val="7"/>
              <w:rPr>
                <w:b/>
              </w:rPr>
            </w:pPr>
            <w:r w:rsidRPr="00FD50F6">
              <w:rPr>
                <w:rFonts w:hint="eastAsia"/>
                <w:b/>
              </w:rPr>
              <w:t>—</w:t>
            </w:r>
          </w:p>
        </w:tc>
      </w:tr>
      <w:tr w:rsidR="00FD50F6" w:rsidRPr="00FD50F6" w14:paraId="4E67BF6D" w14:textId="77777777" w:rsidTr="002B733E">
        <w:trPr>
          <w:trHeight w:val="397"/>
        </w:trPr>
        <w:tc>
          <w:tcPr>
            <w:tcW w:w="701" w:type="dxa"/>
            <w:vAlign w:val="center"/>
          </w:tcPr>
          <w:p w14:paraId="507B86EC" w14:textId="77777777" w:rsidR="002B733E" w:rsidRPr="00FD50F6" w:rsidRDefault="002B733E" w:rsidP="002B733E">
            <w:pPr>
              <w:pStyle w:val="7"/>
            </w:pPr>
            <w:r w:rsidRPr="00FD50F6">
              <w:rPr>
                <w:rFonts w:hint="eastAsia"/>
              </w:rPr>
              <w:t>点号</w:t>
            </w:r>
          </w:p>
        </w:tc>
        <w:tc>
          <w:tcPr>
            <w:tcW w:w="756" w:type="dxa"/>
            <w:vAlign w:val="bottom"/>
          </w:tcPr>
          <w:p w14:paraId="2DF3EF8A" w14:textId="77777777" w:rsidR="002B733E" w:rsidRPr="00FD50F6" w:rsidRDefault="002B733E" w:rsidP="002B733E">
            <w:pPr>
              <w:pStyle w:val="7"/>
              <w:rPr>
                <w:b/>
              </w:rPr>
            </w:pPr>
            <w:r w:rsidRPr="00FD50F6">
              <w:rPr>
                <w:rFonts w:hint="eastAsia"/>
                <w:b/>
              </w:rPr>
              <w:t>29e</w:t>
            </w:r>
            <w:r w:rsidRPr="00FD50F6">
              <w:rPr>
                <w:rFonts w:hint="eastAsia"/>
                <w:b/>
              </w:rPr>
              <w:t>’</w:t>
            </w:r>
          </w:p>
        </w:tc>
        <w:tc>
          <w:tcPr>
            <w:tcW w:w="756" w:type="dxa"/>
            <w:vAlign w:val="bottom"/>
          </w:tcPr>
          <w:p w14:paraId="023958E1" w14:textId="77777777" w:rsidR="002B733E" w:rsidRPr="00FD50F6" w:rsidRDefault="002B733E" w:rsidP="002B733E">
            <w:pPr>
              <w:pStyle w:val="7"/>
              <w:rPr>
                <w:b/>
              </w:rPr>
            </w:pPr>
            <w:r w:rsidRPr="00FD50F6">
              <w:rPr>
                <w:rFonts w:hint="eastAsia"/>
                <w:b/>
              </w:rPr>
              <w:t>30e</w:t>
            </w:r>
            <w:r w:rsidRPr="00FD50F6">
              <w:rPr>
                <w:rFonts w:hint="eastAsia"/>
                <w:b/>
              </w:rPr>
              <w:t>’</w:t>
            </w:r>
          </w:p>
        </w:tc>
        <w:tc>
          <w:tcPr>
            <w:tcW w:w="756" w:type="dxa"/>
            <w:vAlign w:val="bottom"/>
          </w:tcPr>
          <w:p w14:paraId="6D1357BF" w14:textId="77777777" w:rsidR="002B733E" w:rsidRPr="00FD50F6" w:rsidRDefault="002B733E" w:rsidP="002B733E">
            <w:pPr>
              <w:pStyle w:val="7"/>
              <w:rPr>
                <w:b/>
              </w:rPr>
            </w:pPr>
            <w:r w:rsidRPr="00FD50F6">
              <w:rPr>
                <w:rFonts w:hint="eastAsia"/>
                <w:b/>
              </w:rPr>
              <w:t>31e</w:t>
            </w:r>
            <w:r w:rsidRPr="00FD50F6">
              <w:rPr>
                <w:rFonts w:hint="eastAsia"/>
                <w:b/>
              </w:rPr>
              <w:t>’</w:t>
            </w:r>
          </w:p>
        </w:tc>
        <w:tc>
          <w:tcPr>
            <w:tcW w:w="756" w:type="dxa"/>
            <w:vAlign w:val="bottom"/>
          </w:tcPr>
          <w:p w14:paraId="1A1A3A72" w14:textId="77777777" w:rsidR="002B733E" w:rsidRPr="00FD50F6" w:rsidRDefault="002B733E" w:rsidP="002B733E">
            <w:pPr>
              <w:pStyle w:val="7"/>
              <w:rPr>
                <w:b/>
              </w:rPr>
            </w:pPr>
            <w:r w:rsidRPr="00FD50F6">
              <w:rPr>
                <w:rFonts w:hint="eastAsia"/>
                <w:b/>
              </w:rPr>
              <w:t>32e</w:t>
            </w:r>
            <w:r w:rsidRPr="00FD50F6">
              <w:rPr>
                <w:rFonts w:hint="eastAsia"/>
                <w:b/>
              </w:rPr>
              <w:t>’</w:t>
            </w:r>
          </w:p>
        </w:tc>
        <w:tc>
          <w:tcPr>
            <w:tcW w:w="756" w:type="dxa"/>
            <w:vAlign w:val="bottom"/>
          </w:tcPr>
          <w:p w14:paraId="7B40DBC9" w14:textId="77777777" w:rsidR="002B733E" w:rsidRPr="00FD50F6" w:rsidRDefault="002B733E" w:rsidP="002B733E">
            <w:pPr>
              <w:pStyle w:val="7"/>
              <w:rPr>
                <w:b/>
              </w:rPr>
            </w:pPr>
            <w:r w:rsidRPr="00FD50F6">
              <w:rPr>
                <w:rFonts w:hint="eastAsia"/>
                <w:b/>
              </w:rPr>
              <w:t>33e</w:t>
            </w:r>
            <w:r w:rsidRPr="00FD50F6">
              <w:rPr>
                <w:rFonts w:hint="eastAsia"/>
                <w:b/>
              </w:rPr>
              <w:t>’</w:t>
            </w:r>
          </w:p>
        </w:tc>
        <w:tc>
          <w:tcPr>
            <w:tcW w:w="756" w:type="dxa"/>
            <w:vAlign w:val="bottom"/>
          </w:tcPr>
          <w:p w14:paraId="023CACF4" w14:textId="77777777" w:rsidR="002B733E" w:rsidRPr="00FD50F6" w:rsidRDefault="002B733E" w:rsidP="002B733E">
            <w:pPr>
              <w:pStyle w:val="7"/>
              <w:rPr>
                <w:b/>
              </w:rPr>
            </w:pPr>
            <w:r w:rsidRPr="00FD50F6">
              <w:rPr>
                <w:rFonts w:hint="eastAsia"/>
                <w:b/>
              </w:rPr>
              <w:t>34e</w:t>
            </w:r>
            <w:r w:rsidRPr="00FD50F6">
              <w:rPr>
                <w:rFonts w:hint="eastAsia"/>
                <w:b/>
              </w:rPr>
              <w:t>’</w:t>
            </w:r>
          </w:p>
        </w:tc>
        <w:tc>
          <w:tcPr>
            <w:tcW w:w="756" w:type="dxa"/>
            <w:vAlign w:val="bottom"/>
          </w:tcPr>
          <w:p w14:paraId="6CC3B4BA" w14:textId="77777777" w:rsidR="002B733E" w:rsidRPr="00FD50F6" w:rsidRDefault="002B733E" w:rsidP="002B733E">
            <w:pPr>
              <w:pStyle w:val="7"/>
              <w:rPr>
                <w:b/>
              </w:rPr>
            </w:pPr>
            <w:r w:rsidRPr="00FD50F6">
              <w:rPr>
                <w:rFonts w:hint="eastAsia"/>
                <w:b/>
              </w:rPr>
              <w:t>—</w:t>
            </w:r>
          </w:p>
        </w:tc>
        <w:tc>
          <w:tcPr>
            <w:tcW w:w="756" w:type="dxa"/>
            <w:vAlign w:val="bottom"/>
          </w:tcPr>
          <w:p w14:paraId="2AF9243B" w14:textId="77777777" w:rsidR="002B733E" w:rsidRPr="00FD50F6" w:rsidRDefault="002B733E" w:rsidP="002B733E">
            <w:pPr>
              <w:pStyle w:val="7"/>
              <w:rPr>
                <w:b/>
              </w:rPr>
            </w:pPr>
            <w:r w:rsidRPr="00FD50F6">
              <w:rPr>
                <w:rFonts w:hint="eastAsia"/>
                <w:b/>
              </w:rPr>
              <w:t>—</w:t>
            </w:r>
          </w:p>
        </w:tc>
        <w:tc>
          <w:tcPr>
            <w:tcW w:w="756" w:type="dxa"/>
            <w:vAlign w:val="bottom"/>
          </w:tcPr>
          <w:p w14:paraId="32EFC220" w14:textId="77777777" w:rsidR="002B733E" w:rsidRPr="00FD50F6" w:rsidRDefault="002B733E" w:rsidP="002B733E">
            <w:pPr>
              <w:pStyle w:val="7"/>
              <w:rPr>
                <w:b/>
              </w:rPr>
            </w:pPr>
            <w:r w:rsidRPr="00FD50F6">
              <w:rPr>
                <w:rFonts w:hint="eastAsia"/>
                <w:b/>
              </w:rPr>
              <w:t>—</w:t>
            </w:r>
          </w:p>
        </w:tc>
        <w:tc>
          <w:tcPr>
            <w:tcW w:w="756" w:type="dxa"/>
            <w:vAlign w:val="bottom"/>
          </w:tcPr>
          <w:p w14:paraId="32F72589" w14:textId="77777777" w:rsidR="002B733E" w:rsidRPr="00FD50F6" w:rsidRDefault="002B733E" w:rsidP="002B733E">
            <w:pPr>
              <w:pStyle w:val="7"/>
              <w:rPr>
                <w:b/>
              </w:rPr>
            </w:pPr>
            <w:r w:rsidRPr="00FD50F6">
              <w:rPr>
                <w:rFonts w:hint="eastAsia"/>
                <w:b/>
              </w:rPr>
              <w:t>—</w:t>
            </w:r>
          </w:p>
        </w:tc>
      </w:tr>
      <w:tr w:rsidR="00FD50F6" w:rsidRPr="00FD50F6" w14:paraId="56A3B45B" w14:textId="77777777" w:rsidTr="002B733E">
        <w:trPr>
          <w:trHeight w:val="397"/>
        </w:trPr>
        <w:tc>
          <w:tcPr>
            <w:tcW w:w="701" w:type="dxa"/>
            <w:vAlign w:val="center"/>
          </w:tcPr>
          <w:p w14:paraId="7D279D73" w14:textId="77777777" w:rsidR="002B733E" w:rsidRPr="00FD50F6" w:rsidRDefault="002B733E" w:rsidP="002B733E">
            <w:pPr>
              <w:pStyle w:val="7"/>
            </w:pPr>
            <w:r w:rsidRPr="00FD50F6">
              <w:rPr>
                <w:rFonts w:hint="eastAsia"/>
              </w:rPr>
              <w:t>X</w:t>
            </w:r>
          </w:p>
        </w:tc>
        <w:tc>
          <w:tcPr>
            <w:tcW w:w="756" w:type="dxa"/>
            <w:vAlign w:val="bottom"/>
          </w:tcPr>
          <w:p w14:paraId="73D03158" w14:textId="77777777" w:rsidR="002B733E" w:rsidRPr="00FD50F6" w:rsidRDefault="002B733E" w:rsidP="002B733E">
            <w:pPr>
              <w:pStyle w:val="7"/>
            </w:pPr>
            <w:r w:rsidRPr="00FD50F6">
              <w:rPr>
                <w:rFonts w:hint="eastAsia"/>
              </w:rPr>
              <w:t>1344</w:t>
            </w:r>
          </w:p>
        </w:tc>
        <w:tc>
          <w:tcPr>
            <w:tcW w:w="756" w:type="dxa"/>
            <w:vAlign w:val="bottom"/>
          </w:tcPr>
          <w:p w14:paraId="150204D1" w14:textId="77777777" w:rsidR="002B733E" w:rsidRPr="00FD50F6" w:rsidRDefault="002B733E" w:rsidP="002B733E">
            <w:pPr>
              <w:pStyle w:val="7"/>
            </w:pPr>
            <w:r w:rsidRPr="00FD50F6">
              <w:rPr>
                <w:rFonts w:hint="eastAsia"/>
              </w:rPr>
              <w:t>1615</w:t>
            </w:r>
          </w:p>
        </w:tc>
        <w:tc>
          <w:tcPr>
            <w:tcW w:w="756" w:type="dxa"/>
            <w:vAlign w:val="bottom"/>
          </w:tcPr>
          <w:p w14:paraId="097F858B" w14:textId="77777777" w:rsidR="002B733E" w:rsidRPr="00FD50F6" w:rsidRDefault="002B733E" w:rsidP="002B733E">
            <w:pPr>
              <w:pStyle w:val="7"/>
            </w:pPr>
            <w:r w:rsidRPr="00FD50F6">
              <w:rPr>
                <w:rFonts w:hint="eastAsia"/>
              </w:rPr>
              <w:t>1615</w:t>
            </w:r>
          </w:p>
        </w:tc>
        <w:tc>
          <w:tcPr>
            <w:tcW w:w="756" w:type="dxa"/>
            <w:vAlign w:val="bottom"/>
          </w:tcPr>
          <w:p w14:paraId="7C32E123" w14:textId="77777777" w:rsidR="002B733E" w:rsidRPr="00FD50F6" w:rsidRDefault="002B733E" w:rsidP="002B733E">
            <w:pPr>
              <w:pStyle w:val="7"/>
            </w:pPr>
            <w:r w:rsidRPr="00FD50F6">
              <w:rPr>
                <w:rFonts w:hint="eastAsia"/>
              </w:rPr>
              <w:t>1441</w:t>
            </w:r>
          </w:p>
        </w:tc>
        <w:tc>
          <w:tcPr>
            <w:tcW w:w="756" w:type="dxa"/>
            <w:vAlign w:val="bottom"/>
          </w:tcPr>
          <w:p w14:paraId="46F3EC08" w14:textId="77777777" w:rsidR="002B733E" w:rsidRPr="00FD50F6" w:rsidRDefault="002B733E" w:rsidP="002B733E">
            <w:pPr>
              <w:pStyle w:val="7"/>
            </w:pPr>
            <w:r w:rsidRPr="00FD50F6">
              <w:rPr>
                <w:rFonts w:hint="eastAsia"/>
              </w:rPr>
              <w:t>1432</w:t>
            </w:r>
          </w:p>
        </w:tc>
        <w:tc>
          <w:tcPr>
            <w:tcW w:w="756" w:type="dxa"/>
            <w:vAlign w:val="bottom"/>
          </w:tcPr>
          <w:p w14:paraId="16B2D38A" w14:textId="77777777" w:rsidR="002B733E" w:rsidRPr="00FD50F6" w:rsidRDefault="002B733E" w:rsidP="002B733E">
            <w:pPr>
              <w:pStyle w:val="7"/>
            </w:pPr>
            <w:r w:rsidRPr="00FD50F6">
              <w:rPr>
                <w:rFonts w:hint="eastAsia"/>
              </w:rPr>
              <w:t>1154</w:t>
            </w:r>
          </w:p>
        </w:tc>
        <w:tc>
          <w:tcPr>
            <w:tcW w:w="756" w:type="dxa"/>
            <w:vAlign w:val="bottom"/>
          </w:tcPr>
          <w:p w14:paraId="656A066F" w14:textId="77777777" w:rsidR="002B733E" w:rsidRPr="00FD50F6" w:rsidRDefault="002B733E" w:rsidP="002B733E">
            <w:pPr>
              <w:pStyle w:val="7"/>
              <w:rPr>
                <w:b/>
              </w:rPr>
            </w:pPr>
            <w:r w:rsidRPr="00FD50F6">
              <w:rPr>
                <w:rFonts w:hint="eastAsia"/>
                <w:b/>
              </w:rPr>
              <w:t>—</w:t>
            </w:r>
          </w:p>
        </w:tc>
        <w:tc>
          <w:tcPr>
            <w:tcW w:w="756" w:type="dxa"/>
            <w:vAlign w:val="bottom"/>
          </w:tcPr>
          <w:p w14:paraId="2F85BE18" w14:textId="77777777" w:rsidR="002B733E" w:rsidRPr="00FD50F6" w:rsidRDefault="002B733E" w:rsidP="002B733E">
            <w:pPr>
              <w:pStyle w:val="7"/>
              <w:rPr>
                <w:b/>
              </w:rPr>
            </w:pPr>
            <w:r w:rsidRPr="00FD50F6">
              <w:rPr>
                <w:rFonts w:hint="eastAsia"/>
                <w:b/>
              </w:rPr>
              <w:t>—</w:t>
            </w:r>
          </w:p>
        </w:tc>
        <w:tc>
          <w:tcPr>
            <w:tcW w:w="756" w:type="dxa"/>
            <w:vAlign w:val="bottom"/>
          </w:tcPr>
          <w:p w14:paraId="38DA7C88" w14:textId="77777777" w:rsidR="002B733E" w:rsidRPr="00FD50F6" w:rsidRDefault="002B733E" w:rsidP="002B733E">
            <w:pPr>
              <w:pStyle w:val="7"/>
              <w:rPr>
                <w:b/>
              </w:rPr>
            </w:pPr>
            <w:r w:rsidRPr="00FD50F6">
              <w:rPr>
                <w:rFonts w:hint="eastAsia"/>
                <w:b/>
              </w:rPr>
              <w:t>—</w:t>
            </w:r>
          </w:p>
        </w:tc>
        <w:tc>
          <w:tcPr>
            <w:tcW w:w="756" w:type="dxa"/>
            <w:vAlign w:val="bottom"/>
          </w:tcPr>
          <w:p w14:paraId="30E830C5" w14:textId="77777777" w:rsidR="002B733E" w:rsidRPr="00FD50F6" w:rsidRDefault="002B733E" w:rsidP="002B733E">
            <w:pPr>
              <w:pStyle w:val="7"/>
              <w:rPr>
                <w:b/>
              </w:rPr>
            </w:pPr>
            <w:r w:rsidRPr="00FD50F6">
              <w:rPr>
                <w:rFonts w:hint="eastAsia"/>
                <w:b/>
              </w:rPr>
              <w:t>—</w:t>
            </w:r>
          </w:p>
        </w:tc>
      </w:tr>
      <w:tr w:rsidR="00FD50F6" w:rsidRPr="00FD50F6" w14:paraId="4956E162" w14:textId="77777777" w:rsidTr="002B733E">
        <w:trPr>
          <w:trHeight w:val="397"/>
        </w:trPr>
        <w:tc>
          <w:tcPr>
            <w:tcW w:w="701" w:type="dxa"/>
            <w:vAlign w:val="center"/>
          </w:tcPr>
          <w:p w14:paraId="614AE923" w14:textId="77777777" w:rsidR="002B733E" w:rsidRPr="00FD50F6" w:rsidRDefault="002B733E" w:rsidP="002B733E">
            <w:pPr>
              <w:pStyle w:val="7"/>
            </w:pPr>
            <w:r w:rsidRPr="00FD50F6">
              <w:rPr>
                <w:rFonts w:hint="eastAsia"/>
              </w:rPr>
              <w:t>Y</w:t>
            </w:r>
          </w:p>
        </w:tc>
        <w:tc>
          <w:tcPr>
            <w:tcW w:w="756" w:type="dxa"/>
            <w:vAlign w:val="bottom"/>
          </w:tcPr>
          <w:p w14:paraId="11DEDB01" w14:textId="77777777" w:rsidR="002B733E" w:rsidRPr="00FD50F6" w:rsidRDefault="002B733E" w:rsidP="002B733E">
            <w:pPr>
              <w:pStyle w:val="7"/>
            </w:pPr>
            <w:r w:rsidRPr="00FD50F6">
              <w:rPr>
                <w:rFonts w:hint="eastAsia"/>
              </w:rPr>
              <w:t>295</w:t>
            </w:r>
          </w:p>
        </w:tc>
        <w:tc>
          <w:tcPr>
            <w:tcW w:w="756" w:type="dxa"/>
            <w:vAlign w:val="bottom"/>
          </w:tcPr>
          <w:p w14:paraId="2D846F6F" w14:textId="77777777" w:rsidR="002B733E" w:rsidRPr="00FD50F6" w:rsidRDefault="002B733E" w:rsidP="002B733E">
            <w:pPr>
              <w:pStyle w:val="7"/>
            </w:pPr>
            <w:r w:rsidRPr="00FD50F6">
              <w:rPr>
                <w:rFonts w:hint="eastAsia"/>
              </w:rPr>
              <w:t>296</w:t>
            </w:r>
          </w:p>
        </w:tc>
        <w:tc>
          <w:tcPr>
            <w:tcW w:w="756" w:type="dxa"/>
            <w:vAlign w:val="bottom"/>
          </w:tcPr>
          <w:p w14:paraId="4CB3C665" w14:textId="77777777" w:rsidR="002B733E" w:rsidRPr="00FD50F6" w:rsidRDefault="002B733E" w:rsidP="002B733E">
            <w:pPr>
              <w:pStyle w:val="7"/>
            </w:pPr>
            <w:r w:rsidRPr="00FD50F6">
              <w:rPr>
                <w:rFonts w:hint="eastAsia"/>
              </w:rPr>
              <w:t>16</w:t>
            </w:r>
          </w:p>
        </w:tc>
        <w:tc>
          <w:tcPr>
            <w:tcW w:w="756" w:type="dxa"/>
            <w:vAlign w:val="bottom"/>
          </w:tcPr>
          <w:p w14:paraId="27CEFF10" w14:textId="77777777" w:rsidR="002B733E" w:rsidRPr="00FD50F6" w:rsidRDefault="002B733E" w:rsidP="002B733E">
            <w:pPr>
              <w:pStyle w:val="7"/>
            </w:pPr>
            <w:r w:rsidRPr="00FD50F6">
              <w:rPr>
                <w:rFonts w:hint="eastAsia"/>
              </w:rPr>
              <w:t>17</w:t>
            </w:r>
          </w:p>
        </w:tc>
        <w:tc>
          <w:tcPr>
            <w:tcW w:w="756" w:type="dxa"/>
            <w:vAlign w:val="bottom"/>
          </w:tcPr>
          <w:p w14:paraId="4B1BD1A4" w14:textId="77777777" w:rsidR="002B733E" w:rsidRPr="00FD50F6" w:rsidRDefault="002B733E" w:rsidP="002B733E">
            <w:pPr>
              <w:pStyle w:val="7"/>
            </w:pPr>
            <w:r w:rsidRPr="00FD50F6">
              <w:rPr>
                <w:rFonts w:hint="eastAsia"/>
              </w:rPr>
              <w:t>10</w:t>
            </w:r>
          </w:p>
        </w:tc>
        <w:tc>
          <w:tcPr>
            <w:tcW w:w="756" w:type="dxa"/>
            <w:vAlign w:val="bottom"/>
          </w:tcPr>
          <w:p w14:paraId="05466FB3" w14:textId="77777777" w:rsidR="002B733E" w:rsidRPr="00FD50F6" w:rsidRDefault="002B733E" w:rsidP="002B733E">
            <w:pPr>
              <w:pStyle w:val="7"/>
            </w:pPr>
            <w:r w:rsidRPr="00FD50F6">
              <w:rPr>
                <w:rFonts w:hint="eastAsia"/>
              </w:rPr>
              <w:t>61</w:t>
            </w:r>
          </w:p>
        </w:tc>
        <w:tc>
          <w:tcPr>
            <w:tcW w:w="756" w:type="dxa"/>
            <w:vAlign w:val="bottom"/>
          </w:tcPr>
          <w:p w14:paraId="7A37E7D0" w14:textId="77777777" w:rsidR="002B733E" w:rsidRPr="00FD50F6" w:rsidRDefault="002B733E" w:rsidP="002B733E">
            <w:pPr>
              <w:pStyle w:val="7"/>
              <w:rPr>
                <w:b/>
              </w:rPr>
            </w:pPr>
            <w:r w:rsidRPr="00FD50F6">
              <w:rPr>
                <w:rFonts w:hint="eastAsia"/>
                <w:b/>
              </w:rPr>
              <w:t>—</w:t>
            </w:r>
          </w:p>
        </w:tc>
        <w:tc>
          <w:tcPr>
            <w:tcW w:w="756" w:type="dxa"/>
            <w:vAlign w:val="bottom"/>
          </w:tcPr>
          <w:p w14:paraId="4DC502D5" w14:textId="77777777" w:rsidR="002B733E" w:rsidRPr="00FD50F6" w:rsidRDefault="002B733E" w:rsidP="002B733E">
            <w:pPr>
              <w:pStyle w:val="7"/>
              <w:rPr>
                <w:b/>
              </w:rPr>
            </w:pPr>
            <w:r w:rsidRPr="00FD50F6">
              <w:rPr>
                <w:rFonts w:hint="eastAsia"/>
                <w:b/>
              </w:rPr>
              <w:t>—</w:t>
            </w:r>
          </w:p>
        </w:tc>
        <w:tc>
          <w:tcPr>
            <w:tcW w:w="756" w:type="dxa"/>
            <w:vAlign w:val="bottom"/>
          </w:tcPr>
          <w:p w14:paraId="1A0A915A" w14:textId="77777777" w:rsidR="002B733E" w:rsidRPr="00FD50F6" w:rsidRDefault="002B733E" w:rsidP="002B733E">
            <w:pPr>
              <w:pStyle w:val="7"/>
              <w:rPr>
                <w:b/>
              </w:rPr>
            </w:pPr>
            <w:r w:rsidRPr="00FD50F6">
              <w:rPr>
                <w:rFonts w:hint="eastAsia"/>
                <w:b/>
              </w:rPr>
              <w:t>—</w:t>
            </w:r>
          </w:p>
        </w:tc>
        <w:tc>
          <w:tcPr>
            <w:tcW w:w="756" w:type="dxa"/>
            <w:vAlign w:val="bottom"/>
          </w:tcPr>
          <w:p w14:paraId="2276F9B9" w14:textId="77777777" w:rsidR="002B733E" w:rsidRPr="00FD50F6" w:rsidRDefault="002B733E" w:rsidP="002B733E">
            <w:pPr>
              <w:pStyle w:val="7"/>
              <w:rPr>
                <w:b/>
              </w:rPr>
            </w:pPr>
            <w:r w:rsidRPr="00FD50F6">
              <w:rPr>
                <w:rFonts w:hint="eastAsia"/>
                <w:b/>
              </w:rPr>
              <w:t>—</w:t>
            </w:r>
          </w:p>
        </w:tc>
      </w:tr>
    </w:tbl>
    <w:p w14:paraId="251148C4" w14:textId="77777777" w:rsidR="002B733E" w:rsidRPr="00FD50F6" w:rsidRDefault="002B733E" w:rsidP="002B733E">
      <w:pPr>
        <w:spacing w:before="246" w:line="240" w:lineRule="auto"/>
        <w:ind w:firstLine="544"/>
        <w:rPr>
          <w:rFonts w:ascii="Calibri" w:hAnsi="Calibri" w:cs="Times New Roman"/>
          <w:sz w:val="28"/>
          <w:szCs w:val="24"/>
        </w:rPr>
        <w:sectPr w:rsidR="002B733E" w:rsidRPr="00FD50F6">
          <w:pgSz w:w="11906" w:h="16838"/>
          <w:pgMar w:top="1440" w:right="1797" w:bottom="1440" w:left="1797" w:header="851" w:footer="851" w:gutter="0"/>
          <w:cols w:space="720"/>
          <w:docGrid w:linePitch="492" w:charSpace="703"/>
        </w:sectPr>
      </w:pPr>
    </w:p>
    <w:p w14:paraId="23214AB7" w14:textId="77777777" w:rsidR="002B733E" w:rsidRPr="00FD50F6" w:rsidRDefault="002B733E" w:rsidP="002B733E">
      <w:pPr>
        <w:pStyle w:val="30"/>
        <w:numPr>
          <w:ilvl w:val="0"/>
          <w:numId w:val="0"/>
        </w:numPr>
      </w:pPr>
      <w:r w:rsidRPr="00FD50F6">
        <w:rPr>
          <w:rFonts w:hint="eastAsia"/>
          <w:b/>
        </w:rPr>
        <w:lastRenderedPageBreak/>
        <w:t>B.0.2</w:t>
      </w:r>
      <w:r w:rsidRPr="00FD50F6">
        <w:rPr>
          <w:rFonts w:hint="eastAsia"/>
        </w:rPr>
        <w:t>车站直线地段停站车辆轮廓线、车辆限界（图</w:t>
      </w:r>
      <w:r w:rsidRPr="00FD50F6">
        <w:rPr>
          <w:rFonts w:hint="eastAsia"/>
        </w:rPr>
        <w:t>B.0.2</w:t>
      </w:r>
      <w:r w:rsidRPr="00FD50F6">
        <w:rPr>
          <w:rFonts w:hint="eastAsia"/>
        </w:rPr>
        <w:t>）的坐标值应</w:t>
      </w:r>
      <w:r w:rsidRPr="00FD50F6">
        <w:t>按表</w:t>
      </w:r>
      <w:r w:rsidRPr="00FD50F6">
        <w:rPr>
          <w:rFonts w:hint="eastAsia"/>
        </w:rPr>
        <w:t>B.0.2-1</w:t>
      </w:r>
      <w:r w:rsidRPr="00FD50F6">
        <w:rPr>
          <w:rFonts w:hint="eastAsia"/>
        </w:rPr>
        <w:t>～</w:t>
      </w:r>
      <w:r w:rsidRPr="00FD50F6">
        <w:rPr>
          <w:rFonts w:hint="eastAsia"/>
        </w:rPr>
        <w:t>B.0.2-3</w:t>
      </w:r>
      <w:r w:rsidRPr="00FD50F6">
        <w:rPr>
          <w:rFonts w:hint="eastAsia"/>
        </w:rPr>
        <w:t>选取。</w:t>
      </w:r>
    </w:p>
    <w:p w14:paraId="4F3C1B35" w14:textId="77777777" w:rsidR="002B733E" w:rsidRPr="00FD50F6" w:rsidRDefault="002B733E" w:rsidP="002B733E">
      <w:pPr>
        <w:spacing w:before="246" w:line="0" w:lineRule="atLeast"/>
        <w:jc w:val="center"/>
        <w:rPr>
          <w:rFonts w:ascii="Calibri" w:hAnsi="Calibri" w:cs="Times New Roman"/>
          <w:sz w:val="18"/>
          <w:szCs w:val="24"/>
        </w:rPr>
      </w:pPr>
      <w:r w:rsidRPr="00FD50F6">
        <w:rPr>
          <w:rFonts w:ascii="Calibri" w:hAnsi="Calibri" w:cs="Times New Roman" w:hint="eastAsia"/>
          <w:noProof/>
          <w:sz w:val="18"/>
          <w:szCs w:val="24"/>
        </w:rPr>
        <w:drawing>
          <wp:inline distT="0" distB="0" distL="0" distR="0" wp14:anchorId="502ACA7E" wp14:editId="14A72D0D">
            <wp:extent cx="5399405" cy="6155690"/>
            <wp:effectExtent l="0" t="0" r="0" b="0"/>
            <wp:docPr id="58" name="图片 58"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1-2"/>
                    <pic:cNvPicPr>
                      <a:picLocks noChangeAspect="1" noChangeArrowheads="1"/>
                    </pic:cNvPicPr>
                  </pic:nvPicPr>
                  <pic:blipFill>
                    <a:blip r:embed="rId112" cstate="print">
                      <a:extLst>
                        <a:ext uri="{28A0092B-C50C-407E-A947-70E740481C1C}">
                          <a14:useLocalDpi xmlns:a14="http://schemas.microsoft.com/office/drawing/2010/main" val="0"/>
                        </a:ext>
                      </a:extLst>
                    </a:blip>
                    <a:srcRect l="20009" t="2771" r="20856" b="2016"/>
                    <a:stretch>
                      <a:fillRect/>
                    </a:stretch>
                  </pic:blipFill>
                  <pic:spPr>
                    <a:xfrm>
                      <a:off x="0" y="0"/>
                      <a:ext cx="5399405" cy="6155690"/>
                    </a:xfrm>
                    <a:prstGeom prst="rect">
                      <a:avLst/>
                    </a:prstGeom>
                    <a:noFill/>
                    <a:ln>
                      <a:noFill/>
                    </a:ln>
                  </pic:spPr>
                </pic:pic>
              </a:graphicData>
            </a:graphic>
          </wp:inline>
        </w:drawing>
      </w:r>
    </w:p>
    <w:p w14:paraId="4FEC9A18" w14:textId="77777777" w:rsidR="002B733E" w:rsidRPr="00FD50F6" w:rsidRDefault="002B733E" w:rsidP="002B733E">
      <w:pPr>
        <w:pStyle w:val="6"/>
      </w:pPr>
      <w:r w:rsidRPr="00FD50F6">
        <w:rPr>
          <w:rFonts w:hint="eastAsia"/>
        </w:rPr>
        <w:t>图</w:t>
      </w:r>
      <w:r w:rsidRPr="00FD50F6">
        <w:rPr>
          <w:rFonts w:hint="eastAsia"/>
        </w:rPr>
        <w:t>B.0.2  A</w:t>
      </w:r>
      <w:r w:rsidRPr="00FD50F6">
        <w:rPr>
          <w:rFonts w:hint="eastAsia"/>
          <w:vertAlign w:val="subscript"/>
        </w:rPr>
        <w:t>1</w:t>
      </w:r>
      <w:r w:rsidRPr="00FD50F6">
        <w:rPr>
          <w:rFonts w:hint="eastAsia"/>
        </w:rPr>
        <w:t>型车车站直线地段停站车辆轮廓线、车辆限界</w:t>
      </w:r>
    </w:p>
    <w:p w14:paraId="42E05C64" w14:textId="77777777" w:rsidR="002B733E" w:rsidRPr="00FD50F6" w:rsidRDefault="002B733E" w:rsidP="002B733E">
      <w:pPr>
        <w:spacing w:line="240" w:lineRule="auto"/>
        <w:jc w:val="center"/>
        <w:rPr>
          <w:rFonts w:ascii="Calibri" w:hAnsi="Calibri" w:cs="Times New Roman"/>
          <w:sz w:val="21"/>
          <w:szCs w:val="24"/>
        </w:rPr>
      </w:pPr>
      <w:r w:rsidRPr="00FD50F6">
        <w:rPr>
          <w:rFonts w:ascii="Calibri" w:hAnsi="Calibri" w:cs="Times New Roman" w:hint="eastAsia"/>
          <w:sz w:val="21"/>
          <w:szCs w:val="24"/>
        </w:rPr>
        <w:t>a</w:t>
      </w:r>
      <w:r w:rsidRPr="00FD50F6">
        <w:rPr>
          <w:rFonts w:ascii="Calibri" w:hAnsi="Calibri" w:cs="Times New Roman" w:hint="eastAsia"/>
          <w:sz w:val="21"/>
          <w:szCs w:val="24"/>
        </w:rPr>
        <w:t>—车辆轮廓线；</w:t>
      </w:r>
      <w:r w:rsidRPr="00FD50F6">
        <w:rPr>
          <w:rFonts w:ascii="Calibri" w:hAnsi="Calibri" w:cs="Times New Roman"/>
          <w:sz w:val="21"/>
          <w:szCs w:val="24"/>
        </w:rPr>
        <w:t>b</w:t>
      </w:r>
      <w:r w:rsidRPr="00FD50F6">
        <w:rPr>
          <w:rFonts w:ascii="Calibri" w:hAnsi="Calibri" w:cs="Times New Roman" w:hint="eastAsia"/>
          <w:sz w:val="21"/>
          <w:szCs w:val="24"/>
        </w:rPr>
        <w:t>—车辆限界；</w:t>
      </w:r>
      <w:r w:rsidRPr="00FD50F6">
        <w:rPr>
          <w:rFonts w:ascii="Calibri" w:hAnsi="Calibri" w:cs="Times New Roman"/>
          <w:sz w:val="21"/>
          <w:szCs w:val="24"/>
        </w:rPr>
        <w:t>a</w:t>
      </w:r>
      <w:r w:rsidRPr="00FD50F6">
        <w:rPr>
          <w:rFonts w:ascii="Calibri" w:hAnsi="Calibri" w:cs="Times New Roman" w:hint="eastAsia"/>
          <w:sz w:val="21"/>
          <w:szCs w:val="24"/>
        </w:rPr>
        <w:t>-</w:t>
      </w:r>
      <w:r w:rsidRPr="00FD50F6">
        <w:rPr>
          <w:rFonts w:ascii="Calibri" w:hAnsi="Calibri" w:cs="Times New Roman"/>
          <w:sz w:val="21"/>
          <w:szCs w:val="24"/>
        </w:rPr>
        <w:t>1</w:t>
      </w:r>
      <w:r w:rsidRPr="00FD50F6">
        <w:rPr>
          <w:rFonts w:ascii="Calibri" w:hAnsi="Calibri" w:cs="Times New Roman" w:hint="eastAsia"/>
          <w:sz w:val="21"/>
          <w:szCs w:val="24"/>
        </w:rPr>
        <w:t>—停站开门车门轮廓线；</w:t>
      </w:r>
      <w:r w:rsidRPr="00FD50F6">
        <w:rPr>
          <w:rFonts w:ascii="Calibri" w:hAnsi="Calibri" w:cs="Times New Roman"/>
          <w:sz w:val="21"/>
          <w:szCs w:val="24"/>
        </w:rPr>
        <w:t>b</w:t>
      </w:r>
      <w:r w:rsidRPr="00FD50F6">
        <w:rPr>
          <w:rFonts w:ascii="Calibri" w:hAnsi="Calibri" w:cs="Times New Roman" w:hint="eastAsia"/>
          <w:sz w:val="21"/>
          <w:szCs w:val="24"/>
        </w:rPr>
        <w:t>-</w:t>
      </w:r>
      <w:r w:rsidRPr="00FD50F6">
        <w:rPr>
          <w:rFonts w:ascii="Calibri" w:hAnsi="Calibri" w:cs="Times New Roman"/>
          <w:sz w:val="21"/>
          <w:szCs w:val="24"/>
        </w:rPr>
        <w:t>1</w:t>
      </w:r>
      <w:r w:rsidRPr="00FD50F6">
        <w:rPr>
          <w:rFonts w:ascii="Calibri" w:hAnsi="Calibri" w:cs="Times New Roman" w:hint="eastAsia"/>
          <w:sz w:val="21"/>
          <w:szCs w:val="24"/>
        </w:rPr>
        <w:t>—停站开门车门车辆限界；</w:t>
      </w:r>
      <w:r w:rsidRPr="00FD50F6">
        <w:rPr>
          <w:rFonts w:ascii="Calibri" w:hAnsi="Calibri" w:cs="Times New Roman"/>
          <w:sz w:val="21"/>
          <w:szCs w:val="24"/>
        </w:rPr>
        <w:t>d</w:t>
      </w:r>
      <w:r w:rsidRPr="00FD50F6">
        <w:rPr>
          <w:rFonts w:ascii="Calibri" w:hAnsi="Calibri" w:cs="Times New Roman" w:hint="eastAsia"/>
          <w:sz w:val="21"/>
          <w:szCs w:val="24"/>
        </w:rPr>
        <w:t>—大样</w:t>
      </w:r>
      <w:r w:rsidRPr="00FD50F6">
        <w:rPr>
          <w:rFonts w:ascii="Calibri" w:hAnsi="Calibri" w:cs="Times New Roman" w:hint="eastAsia"/>
          <w:sz w:val="21"/>
          <w:szCs w:val="24"/>
        </w:rPr>
        <w:t>1</w:t>
      </w:r>
      <w:r w:rsidRPr="00FD50F6">
        <w:rPr>
          <w:rFonts w:ascii="Calibri" w:hAnsi="Calibri" w:cs="Times New Roman" w:hint="eastAsia"/>
          <w:sz w:val="21"/>
          <w:szCs w:val="24"/>
        </w:rPr>
        <w:t>；</w:t>
      </w:r>
      <w:r w:rsidRPr="00FD50F6">
        <w:rPr>
          <w:rFonts w:ascii="Calibri" w:hAnsi="Calibri" w:cs="Times New Roman"/>
          <w:sz w:val="21"/>
          <w:szCs w:val="24"/>
        </w:rPr>
        <w:t>e</w:t>
      </w:r>
      <w:r w:rsidRPr="00FD50F6">
        <w:rPr>
          <w:rFonts w:ascii="Calibri" w:hAnsi="Calibri" w:cs="Times New Roman" w:hint="eastAsia"/>
          <w:sz w:val="21"/>
          <w:szCs w:val="24"/>
        </w:rPr>
        <w:t>—大样</w:t>
      </w:r>
      <w:r w:rsidRPr="00FD50F6">
        <w:rPr>
          <w:rFonts w:ascii="Calibri" w:hAnsi="Calibri" w:cs="Times New Roman" w:hint="eastAsia"/>
          <w:sz w:val="21"/>
          <w:szCs w:val="24"/>
        </w:rPr>
        <w:t>2</w:t>
      </w:r>
    </w:p>
    <w:p w14:paraId="344541B8" w14:textId="77777777" w:rsidR="002B733E" w:rsidRPr="00FD50F6" w:rsidRDefault="002B733E" w:rsidP="002B733E">
      <w:pPr>
        <w:spacing w:before="246" w:line="240" w:lineRule="auto"/>
        <w:ind w:firstLineChars="1215" w:firstLine="2551"/>
        <w:rPr>
          <w:rFonts w:ascii="Calibri" w:hAnsi="Calibri" w:cs="Times New Roman"/>
          <w:sz w:val="21"/>
          <w:szCs w:val="24"/>
        </w:rPr>
      </w:pPr>
    </w:p>
    <w:p w14:paraId="5FF6FE11" w14:textId="77777777" w:rsidR="002B733E" w:rsidRPr="00FD50F6" w:rsidRDefault="002B733E" w:rsidP="002B733E">
      <w:pPr>
        <w:spacing w:before="246" w:line="240" w:lineRule="auto"/>
        <w:ind w:firstLineChars="1215" w:firstLine="2551"/>
        <w:rPr>
          <w:rFonts w:ascii="Calibri" w:hAnsi="Calibri" w:cs="Times New Roman"/>
          <w:sz w:val="21"/>
          <w:szCs w:val="24"/>
        </w:rPr>
        <w:sectPr w:rsidR="002B733E" w:rsidRPr="00FD50F6">
          <w:pgSz w:w="11906" w:h="16838"/>
          <w:pgMar w:top="1440" w:right="1797" w:bottom="1440" w:left="1797" w:header="851" w:footer="851" w:gutter="0"/>
          <w:cols w:space="720"/>
          <w:docGrid w:linePitch="492" w:charSpace="703"/>
        </w:sectPr>
      </w:pPr>
    </w:p>
    <w:p w14:paraId="217DC44B" w14:textId="77777777" w:rsidR="002B733E" w:rsidRPr="00FD50F6" w:rsidRDefault="002B733E" w:rsidP="002B733E">
      <w:pPr>
        <w:pStyle w:val="6"/>
      </w:pPr>
      <w:r w:rsidRPr="00FD50F6">
        <w:rPr>
          <w:rFonts w:hint="eastAsia"/>
        </w:rPr>
        <w:lastRenderedPageBreak/>
        <w:t>表</w:t>
      </w:r>
      <w:r w:rsidRPr="00FD50F6">
        <w:rPr>
          <w:rFonts w:ascii="Calibri" w:hAnsi="Calibri" w:hint="eastAsia"/>
          <w:b/>
        </w:rPr>
        <w:t>B.0.2-1</w:t>
      </w:r>
      <w:r w:rsidRPr="00FD50F6">
        <w:rPr>
          <w:rFonts w:hint="eastAsia"/>
        </w:rPr>
        <w:t xml:space="preserve">  </w:t>
      </w:r>
      <w:r w:rsidRPr="00FD50F6">
        <w:rPr>
          <w:rFonts w:hint="eastAsia"/>
        </w:rPr>
        <w:t>车辆轮廓线坐标值（</w:t>
      </w:r>
      <w:r w:rsidRPr="00FD50F6">
        <w:rPr>
          <w:rFonts w:hint="eastAsia"/>
        </w:rPr>
        <w:t>mm</w:t>
      </w:r>
      <w:r w:rsidRPr="00FD50F6">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60172233" w14:textId="77777777" w:rsidTr="002B733E">
        <w:trPr>
          <w:trHeight w:val="397"/>
        </w:trPr>
        <w:tc>
          <w:tcPr>
            <w:tcW w:w="701" w:type="dxa"/>
            <w:vAlign w:val="center"/>
          </w:tcPr>
          <w:p w14:paraId="70E03D39" w14:textId="77777777" w:rsidR="002B733E" w:rsidRPr="00FD50F6" w:rsidRDefault="002B733E" w:rsidP="002B733E">
            <w:pPr>
              <w:pStyle w:val="7"/>
            </w:pPr>
            <w:r w:rsidRPr="00FD50F6">
              <w:rPr>
                <w:rFonts w:hint="eastAsia"/>
              </w:rPr>
              <w:t>点号</w:t>
            </w:r>
          </w:p>
        </w:tc>
        <w:tc>
          <w:tcPr>
            <w:tcW w:w="756" w:type="dxa"/>
            <w:vAlign w:val="center"/>
          </w:tcPr>
          <w:p w14:paraId="65999496" w14:textId="77777777" w:rsidR="002B733E" w:rsidRPr="00FD50F6" w:rsidRDefault="002B733E" w:rsidP="002B733E">
            <w:pPr>
              <w:pStyle w:val="7"/>
            </w:pPr>
            <w:r w:rsidRPr="00FD50F6">
              <w:rPr>
                <w:rFonts w:hint="eastAsia"/>
              </w:rPr>
              <w:t>0</w:t>
            </w:r>
          </w:p>
        </w:tc>
        <w:tc>
          <w:tcPr>
            <w:tcW w:w="756" w:type="dxa"/>
            <w:vAlign w:val="center"/>
          </w:tcPr>
          <w:p w14:paraId="4FE63973" w14:textId="77777777" w:rsidR="002B733E" w:rsidRPr="00FD50F6" w:rsidRDefault="002B733E" w:rsidP="002B733E">
            <w:pPr>
              <w:pStyle w:val="7"/>
            </w:pPr>
            <w:r w:rsidRPr="00FD50F6">
              <w:rPr>
                <w:rFonts w:hint="eastAsia"/>
              </w:rPr>
              <w:t>1</w:t>
            </w:r>
          </w:p>
        </w:tc>
        <w:tc>
          <w:tcPr>
            <w:tcW w:w="756" w:type="dxa"/>
            <w:vAlign w:val="center"/>
          </w:tcPr>
          <w:p w14:paraId="4E36CD63" w14:textId="77777777" w:rsidR="002B733E" w:rsidRPr="00FD50F6" w:rsidRDefault="002B733E" w:rsidP="002B733E">
            <w:pPr>
              <w:pStyle w:val="7"/>
            </w:pPr>
            <w:r w:rsidRPr="00FD50F6">
              <w:rPr>
                <w:rFonts w:hint="eastAsia"/>
              </w:rPr>
              <w:t>2</w:t>
            </w:r>
          </w:p>
        </w:tc>
        <w:tc>
          <w:tcPr>
            <w:tcW w:w="756" w:type="dxa"/>
            <w:vAlign w:val="center"/>
          </w:tcPr>
          <w:p w14:paraId="27723C49" w14:textId="77777777" w:rsidR="002B733E" w:rsidRPr="00FD50F6" w:rsidRDefault="002B733E" w:rsidP="002B733E">
            <w:pPr>
              <w:pStyle w:val="7"/>
            </w:pPr>
            <w:r w:rsidRPr="00FD50F6">
              <w:rPr>
                <w:rFonts w:hint="eastAsia"/>
              </w:rPr>
              <w:t>3</w:t>
            </w:r>
          </w:p>
        </w:tc>
        <w:tc>
          <w:tcPr>
            <w:tcW w:w="756" w:type="dxa"/>
            <w:vAlign w:val="center"/>
          </w:tcPr>
          <w:p w14:paraId="647F96E2" w14:textId="77777777" w:rsidR="002B733E" w:rsidRPr="00FD50F6" w:rsidRDefault="002B733E" w:rsidP="002B733E">
            <w:pPr>
              <w:pStyle w:val="7"/>
            </w:pPr>
            <w:r w:rsidRPr="00FD50F6">
              <w:rPr>
                <w:rFonts w:hint="eastAsia"/>
              </w:rPr>
              <w:t>4</w:t>
            </w:r>
          </w:p>
        </w:tc>
        <w:tc>
          <w:tcPr>
            <w:tcW w:w="756" w:type="dxa"/>
            <w:vAlign w:val="center"/>
          </w:tcPr>
          <w:p w14:paraId="0DCC3831" w14:textId="77777777" w:rsidR="002B733E" w:rsidRPr="00FD50F6" w:rsidRDefault="002B733E" w:rsidP="002B733E">
            <w:pPr>
              <w:pStyle w:val="7"/>
            </w:pPr>
            <w:r w:rsidRPr="00FD50F6">
              <w:rPr>
                <w:rFonts w:hint="eastAsia"/>
              </w:rPr>
              <w:t>4a</w:t>
            </w:r>
          </w:p>
        </w:tc>
        <w:tc>
          <w:tcPr>
            <w:tcW w:w="756" w:type="dxa"/>
            <w:vAlign w:val="center"/>
          </w:tcPr>
          <w:p w14:paraId="6E946C57" w14:textId="77777777" w:rsidR="002B733E" w:rsidRPr="00FD50F6" w:rsidRDefault="002B733E" w:rsidP="002B733E">
            <w:pPr>
              <w:pStyle w:val="7"/>
            </w:pPr>
            <w:r w:rsidRPr="00FD50F6">
              <w:rPr>
                <w:rFonts w:hint="eastAsia"/>
              </w:rPr>
              <w:t>5</w:t>
            </w:r>
          </w:p>
        </w:tc>
        <w:tc>
          <w:tcPr>
            <w:tcW w:w="756" w:type="dxa"/>
            <w:vAlign w:val="center"/>
          </w:tcPr>
          <w:p w14:paraId="4F0D3CD1" w14:textId="77777777" w:rsidR="002B733E" w:rsidRPr="00FD50F6" w:rsidRDefault="002B733E" w:rsidP="002B733E">
            <w:pPr>
              <w:pStyle w:val="7"/>
            </w:pPr>
            <w:r w:rsidRPr="00FD50F6">
              <w:rPr>
                <w:rFonts w:hint="eastAsia"/>
              </w:rPr>
              <w:t>6</w:t>
            </w:r>
          </w:p>
        </w:tc>
        <w:tc>
          <w:tcPr>
            <w:tcW w:w="756" w:type="dxa"/>
            <w:vAlign w:val="center"/>
          </w:tcPr>
          <w:p w14:paraId="49E2F777" w14:textId="77777777" w:rsidR="002B733E" w:rsidRPr="00FD50F6" w:rsidRDefault="002B733E" w:rsidP="002B733E">
            <w:pPr>
              <w:pStyle w:val="7"/>
            </w:pPr>
            <w:r w:rsidRPr="00FD50F6">
              <w:rPr>
                <w:rFonts w:hint="eastAsia"/>
              </w:rPr>
              <w:t>7</w:t>
            </w:r>
          </w:p>
        </w:tc>
        <w:tc>
          <w:tcPr>
            <w:tcW w:w="756" w:type="dxa"/>
            <w:vAlign w:val="center"/>
          </w:tcPr>
          <w:p w14:paraId="233C6C65" w14:textId="77777777" w:rsidR="002B733E" w:rsidRPr="00FD50F6" w:rsidRDefault="002B733E" w:rsidP="002B733E">
            <w:pPr>
              <w:pStyle w:val="7"/>
            </w:pPr>
            <w:r w:rsidRPr="00FD50F6">
              <w:rPr>
                <w:rFonts w:hint="eastAsia"/>
              </w:rPr>
              <w:t>8</w:t>
            </w:r>
          </w:p>
        </w:tc>
      </w:tr>
      <w:tr w:rsidR="00FD50F6" w:rsidRPr="00FD50F6" w14:paraId="1B0ECB66" w14:textId="77777777" w:rsidTr="002B733E">
        <w:trPr>
          <w:trHeight w:val="397"/>
        </w:trPr>
        <w:tc>
          <w:tcPr>
            <w:tcW w:w="701" w:type="dxa"/>
            <w:vAlign w:val="center"/>
          </w:tcPr>
          <w:p w14:paraId="7287F19D" w14:textId="77777777" w:rsidR="002B733E" w:rsidRPr="00FD50F6" w:rsidRDefault="002B733E" w:rsidP="002B733E">
            <w:pPr>
              <w:pStyle w:val="7"/>
            </w:pPr>
            <w:r w:rsidRPr="00FD50F6">
              <w:rPr>
                <w:rFonts w:hint="eastAsia"/>
              </w:rPr>
              <w:t>X</w:t>
            </w:r>
          </w:p>
        </w:tc>
        <w:tc>
          <w:tcPr>
            <w:tcW w:w="756" w:type="dxa"/>
            <w:vAlign w:val="center"/>
          </w:tcPr>
          <w:p w14:paraId="644D143C" w14:textId="77777777" w:rsidR="002B733E" w:rsidRPr="00FD50F6" w:rsidRDefault="002B733E" w:rsidP="002B733E">
            <w:pPr>
              <w:pStyle w:val="7"/>
            </w:pPr>
            <w:r w:rsidRPr="00FD50F6">
              <w:rPr>
                <w:rFonts w:hint="eastAsia"/>
              </w:rPr>
              <w:t>0</w:t>
            </w:r>
          </w:p>
        </w:tc>
        <w:tc>
          <w:tcPr>
            <w:tcW w:w="756" w:type="dxa"/>
            <w:vAlign w:val="center"/>
          </w:tcPr>
          <w:p w14:paraId="7C0E39E7" w14:textId="77777777" w:rsidR="002B733E" w:rsidRPr="00FD50F6" w:rsidRDefault="002B733E" w:rsidP="002B733E">
            <w:pPr>
              <w:pStyle w:val="7"/>
            </w:pPr>
            <w:r w:rsidRPr="00FD50F6">
              <w:rPr>
                <w:rFonts w:hint="eastAsia"/>
              </w:rPr>
              <w:t>659</w:t>
            </w:r>
          </w:p>
        </w:tc>
        <w:tc>
          <w:tcPr>
            <w:tcW w:w="756" w:type="dxa"/>
            <w:vAlign w:val="center"/>
          </w:tcPr>
          <w:p w14:paraId="48D059A4" w14:textId="77777777" w:rsidR="002B733E" w:rsidRPr="00FD50F6" w:rsidRDefault="002B733E" w:rsidP="002B733E">
            <w:pPr>
              <w:pStyle w:val="7"/>
            </w:pPr>
            <w:r w:rsidRPr="00FD50F6">
              <w:rPr>
                <w:rFonts w:hint="eastAsia"/>
              </w:rPr>
              <w:t>678</w:t>
            </w:r>
          </w:p>
        </w:tc>
        <w:tc>
          <w:tcPr>
            <w:tcW w:w="756" w:type="dxa"/>
            <w:vAlign w:val="center"/>
          </w:tcPr>
          <w:p w14:paraId="7C0BB2D4" w14:textId="77777777" w:rsidR="002B733E" w:rsidRPr="00FD50F6" w:rsidRDefault="002B733E" w:rsidP="002B733E">
            <w:pPr>
              <w:pStyle w:val="7"/>
            </w:pPr>
            <w:r w:rsidRPr="00FD50F6">
              <w:rPr>
                <w:rFonts w:hint="eastAsia"/>
              </w:rPr>
              <w:t>762</w:t>
            </w:r>
          </w:p>
        </w:tc>
        <w:tc>
          <w:tcPr>
            <w:tcW w:w="756" w:type="dxa"/>
            <w:vAlign w:val="center"/>
          </w:tcPr>
          <w:p w14:paraId="67D86F71" w14:textId="77777777" w:rsidR="002B733E" w:rsidRPr="00FD50F6" w:rsidRDefault="002B733E" w:rsidP="002B733E">
            <w:pPr>
              <w:pStyle w:val="7"/>
            </w:pPr>
            <w:r w:rsidRPr="00FD50F6">
              <w:rPr>
                <w:rFonts w:hint="eastAsia"/>
              </w:rPr>
              <w:t>762</w:t>
            </w:r>
          </w:p>
        </w:tc>
        <w:tc>
          <w:tcPr>
            <w:tcW w:w="756" w:type="dxa"/>
            <w:vAlign w:val="center"/>
          </w:tcPr>
          <w:p w14:paraId="753828C6" w14:textId="77777777" w:rsidR="002B733E" w:rsidRPr="00FD50F6" w:rsidRDefault="002B733E" w:rsidP="002B733E">
            <w:pPr>
              <w:pStyle w:val="7"/>
            </w:pPr>
            <w:r w:rsidRPr="00FD50F6">
              <w:rPr>
                <w:rFonts w:hint="eastAsia"/>
              </w:rPr>
              <w:t>823</w:t>
            </w:r>
          </w:p>
        </w:tc>
        <w:tc>
          <w:tcPr>
            <w:tcW w:w="756" w:type="dxa"/>
            <w:vAlign w:val="center"/>
          </w:tcPr>
          <w:p w14:paraId="06813542" w14:textId="77777777" w:rsidR="002B733E" w:rsidRPr="00FD50F6" w:rsidRDefault="002B733E" w:rsidP="002B733E">
            <w:pPr>
              <w:pStyle w:val="7"/>
            </w:pPr>
            <w:r w:rsidRPr="00FD50F6">
              <w:rPr>
                <w:rFonts w:hint="eastAsia"/>
              </w:rPr>
              <w:t>1071</w:t>
            </w:r>
          </w:p>
        </w:tc>
        <w:tc>
          <w:tcPr>
            <w:tcW w:w="756" w:type="dxa"/>
            <w:vAlign w:val="center"/>
          </w:tcPr>
          <w:p w14:paraId="25E4EC3C" w14:textId="77777777" w:rsidR="002B733E" w:rsidRPr="00FD50F6" w:rsidRDefault="002B733E" w:rsidP="002B733E">
            <w:pPr>
              <w:pStyle w:val="7"/>
            </w:pPr>
            <w:r w:rsidRPr="00FD50F6">
              <w:rPr>
                <w:rFonts w:hint="eastAsia"/>
              </w:rPr>
              <w:t>1335</w:t>
            </w:r>
          </w:p>
        </w:tc>
        <w:tc>
          <w:tcPr>
            <w:tcW w:w="756" w:type="dxa"/>
            <w:vAlign w:val="center"/>
          </w:tcPr>
          <w:p w14:paraId="5A4789AB" w14:textId="77777777" w:rsidR="002B733E" w:rsidRPr="00FD50F6" w:rsidRDefault="002B733E" w:rsidP="002B733E">
            <w:pPr>
              <w:pStyle w:val="7"/>
            </w:pPr>
            <w:r w:rsidRPr="00FD50F6">
              <w:rPr>
                <w:rFonts w:hint="eastAsia"/>
              </w:rPr>
              <w:t>1377</w:t>
            </w:r>
          </w:p>
        </w:tc>
        <w:tc>
          <w:tcPr>
            <w:tcW w:w="756" w:type="dxa"/>
            <w:vAlign w:val="center"/>
          </w:tcPr>
          <w:p w14:paraId="05795717" w14:textId="77777777" w:rsidR="002B733E" w:rsidRPr="00FD50F6" w:rsidRDefault="002B733E" w:rsidP="002B733E">
            <w:pPr>
              <w:pStyle w:val="7"/>
            </w:pPr>
            <w:r w:rsidRPr="00FD50F6">
              <w:rPr>
                <w:rFonts w:hint="eastAsia"/>
              </w:rPr>
              <w:t>1500</w:t>
            </w:r>
          </w:p>
        </w:tc>
      </w:tr>
      <w:tr w:rsidR="00FD50F6" w:rsidRPr="00FD50F6" w14:paraId="4169D12F" w14:textId="77777777" w:rsidTr="002B733E">
        <w:trPr>
          <w:trHeight w:val="397"/>
        </w:trPr>
        <w:tc>
          <w:tcPr>
            <w:tcW w:w="701" w:type="dxa"/>
            <w:vAlign w:val="center"/>
          </w:tcPr>
          <w:p w14:paraId="219DCAD1" w14:textId="77777777" w:rsidR="002B733E" w:rsidRPr="00FD50F6" w:rsidRDefault="002B733E" w:rsidP="002B733E">
            <w:pPr>
              <w:pStyle w:val="7"/>
            </w:pPr>
            <w:r w:rsidRPr="00FD50F6">
              <w:rPr>
                <w:rFonts w:hint="eastAsia"/>
              </w:rPr>
              <w:t>Y</w:t>
            </w:r>
          </w:p>
        </w:tc>
        <w:tc>
          <w:tcPr>
            <w:tcW w:w="756" w:type="dxa"/>
            <w:vAlign w:val="center"/>
          </w:tcPr>
          <w:p w14:paraId="3D7A87B2" w14:textId="77777777" w:rsidR="002B733E" w:rsidRPr="00FD50F6" w:rsidRDefault="002B733E" w:rsidP="002B733E">
            <w:pPr>
              <w:pStyle w:val="7"/>
            </w:pPr>
            <w:r w:rsidRPr="00FD50F6">
              <w:rPr>
                <w:rFonts w:hint="eastAsia"/>
              </w:rPr>
              <w:t>3850</w:t>
            </w:r>
          </w:p>
        </w:tc>
        <w:tc>
          <w:tcPr>
            <w:tcW w:w="756" w:type="dxa"/>
            <w:vAlign w:val="center"/>
          </w:tcPr>
          <w:p w14:paraId="20B4945A" w14:textId="77777777" w:rsidR="002B733E" w:rsidRPr="00FD50F6" w:rsidRDefault="002B733E" w:rsidP="002B733E">
            <w:pPr>
              <w:pStyle w:val="7"/>
            </w:pPr>
            <w:r w:rsidRPr="00FD50F6">
              <w:rPr>
                <w:rFonts w:hint="eastAsia"/>
              </w:rPr>
              <w:t>3850</w:t>
            </w:r>
          </w:p>
        </w:tc>
        <w:tc>
          <w:tcPr>
            <w:tcW w:w="756" w:type="dxa"/>
            <w:vAlign w:val="center"/>
          </w:tcPr>
          <w:p w14:paraId="4AAC0E9F" w14:textId="77777777" w:rsidR="002B733E" w:rsidRPr="00FD50F6" w:rsidRDefault="002B733E" w:rsidP="002B733E">
            <w:pPr>
              <w:pStyle w:val="7"/>
            </w:pPr>
            <w:r w:rsidRPr="00FD50F6">
              <w:rPr>
                <w:rFonts w:hint="eastAsia"/>
              </w:rPr>
              <w:t>3850</w:t>
            </w:r>
          </w:p>
        </w:tc>
        <w:tc>
          <w:tcPr>
            <w:tcW w:w="756" w:type="dxa"/>
            <w:vAlign w:val="center"/>
          </w:tcPr>
          <w:p w14:paraId="45B9C001" w14:textId="77777777" w:rsidR="002B733E" w:rsidRPr="00FD50F6" w:rsidRDefault="002B733E" w:rsidP="002B733E">
            <w:pPr>
              <w:pStyle w:val="7"/>
            </w:pPr>
            <w:r w:rsidRPr="00FD50F6">
              <w:rPr>
                <w:rFonts w:hint="eastAsia"/>
              </w:rPr>
              <w:t>3808</w:t>
            </w:r>
          </w:p>
        </w:tc>
        <w:tc>
          <w:tcPr>
            <w:tcW w:w="756" w:type="dxa"/>
            <w:vAlign w:val="center"/>
          </w:tcPr>
          <w:p w14:paraId="0207C2D4" w14:textId="77777777" w:rsidR="002B733E" w:rsidRPr="00FD50F6" w:rsidRDefault="002B733E" w:rsidP="002B733E">
            <w:pPr>
              <w:pStyle w:val="7"/>
            </w:pPr>
            <w:r w:rsidRPr="00FD50F6">
              <w:rPr>
                <w:rFonts w:hint="eastAsia"/>
              </w:rPr>
              <w:t>3735</w:t>
            </w:r>
          </w:p>
        </w:tc>
        <w:tc>
          <w:tcPr>
            <w:tcW w:w="756" w:type="dxa"/>
            <w:vAlign w:val="center"/>
          </w:tcPr>
          <w:p w14:paraId="7EC9F808" w14:textId="77777777" w:rsidR="002B733E" w:rsidRPr="00FD50F6" w:rsidRDefault="002B733E" w:rsidP="002B733E">
            <w:pPr>
              <w:pStyle w:val="7"/>
            </w:pPr>
            <w:r w:rsidRPr="00FD50F6">
              <w:rPr>
                <w:rFonts w:hint="eastAsia"/>
              </w:rPr>
              <w:t>3713</w:t>
            </w:r>
          </w:p>
        </w:tc>
        <w:tc>
          <w:tcPr>
            <w:tcW w:w="756" w:type="dxa"/>
            <w:vAlign w:val="center"/>
          </w:tcPr>
          <w:p w14:paraId="253D53E1" w14:textId="77777777" w:rsidR="002B733E" w:rsidRPr="00FD50F6" w:rsidRDefault="002B733E" w:rsidP="002B733E">
            <w:pPr>
              <w:pStyle w:val="7"/>
            </w:pPr>
            <w:r w:rsidRPr="00FD50F6">
              <w:rPr>
                <w:rFonts w:hint="eastAsia"/>
              </w:rPr>
              <w:t>3560</w:t>
            </w:r>
          </w:p>
        </w:tc>
        <w:tc>
          <w:tcPr>
            <w:tcW w:w="756" w:type="dxa"/>
            <w:vAlign w:val="center"/>
          </w:tcPr>
          <w:p w14:paraId="3CC7AACB" w14:textId="77777777" w:rsidR="002B733E" w:rsidRPr="00FD50F6" w:rsidRDefault="002B733E" w:rsidP="002B733E">
            <w:pPr>
              <w:pStyle w:val="7"/>
            </w:pPr>
            <w:r w:rsidRPr="00FD50F6">
              <w:rPr>
                <w:rFonts w:hint="eastAsia"/>
              </w:rPr>
              <w:t>3394</w:t>
            </w:r>
          </w:p>
        </w:tc>
        <w:tc>
          <w:tcPr>
            <w:tcW w:w="756" w:type="dxa"/>
            <w:vAlign w:val="center"/>
          </w:tcPr>
          <w:p w14:paraId="52EFEF3C" w14:textId="77777777" w:rsidR="002B733E" w:rsidRPr="00FD50F6" w:rsidRDefault="002B733E" w:rsidP="002B733E">
            <w:pPr>
              <w:pStyle w:val="7"/>
            </w:pPr>
            <w:r w:rsidRPr="00FD50F6">
              <w:rPr>
                <w:rFonts w:hint="eastAsia"/>
              </w:rPr>
              <w:t>3304</w:t>
            </w:r>
          </w:p>
        </w:tc>
        <w:tc>
          <w:tcPr>
            <w:tcW w:w="756" w:type="dxa"/>
            <w:vAlign w:val="center"/>
          </w:tcPr>
          <w:p w14:paraId="59B9A132" w14:textId="77777777" w:rsidR="002B733E" w:rsidRPr="00FD50F6" w:rsidRDefault="002B733E" w:rsidP="002B733E">
            <w:pPr>
              <w:pStyle w:val="7"/>
            </w:pPr>
            <w:r w:rsidRPr="00FD50F6">
              <w:rPr>
                <w:rFonts w:hint="eastAsia"/>
              </w:rPr>
              <w:t>1097</w:t>
            </w:r>
          </w:p>
        </w:tc>
      </w:tr>
      <w:tr w:rsidR="00FD50F6" w:rsidRPr="00FD50F6" w14:paraId="7328A308" w14:textId="77777777" w:rsidTr="002B733E">
        <w:trPr>
          <w:trHeight w:val="397"/>
        </w:trPr>
        <w:tc>
          <w:tcPr>
            <w:tcW w:w="701" w:type="dxa"/>
            <w:vAlign w:val="center"/>
          </w:tcPr>
          <w:p w14:paraId="138ABFA2" w14:textId="77777777" w:rsidR="002B733E" w:rsidRPr="00FD50F6" w:rsidRDefault="002B733E" w:rsidP="002B733E">
            <w:pPr>
              <w:pStyle w:val="7"/>
            </w:pPr>
            <w:r w:rsidRPr="00FD50F6">
              <w:rPr>
                <w:rFonts w:hint="eastAsia"/>
              </w:rPr>
              <w:t>点号</w:t>
            </w:r>
          </w:p>
        </w:tc>
        <w:tc>
          <w:tcPr>
            <w:tcW w:w="756" w:type="dxa"/>
            <w:vAlign w:val="center"/>
          </w:tcPr>
          <w:p w14:paraId="4CE66F3C" w14:textId="77777777" w:rsidR="002B733E" w:rsidRPr="00FD50F6" w:rsidRDefault="002B733E" w:rsidP="002B733E">
            <w:pPr>
              <w:pStyle w:val="7"/>
              <w:rPr>
                <w:b/>
              </w:rPr>
            </w:pPr>
            <w:r w:rsidRPr="00FD50F6">
              <w:rPr>
                <w:rFonts w:hint="eastAsia"/>
                <w:b/>
              </w:rPr>
              <w:t>9</w:t>
            </w:r>
          </w:p>
        </w:tc>
        <w:tc>
          <w:tcPr>
            <w:tcW w:w="756" w:type="dxa"/>
            <w:vAlign w:val="center"/>
          </w:tcPr>
          <w:p w14:paraId="3F463247" w14:textId="77777777" w:rsidR="002B733E" w:rsidRPr="00FD50F6" w:rsidRDefault="002B733E" w:rsidP="002B733E">
            <w:pPr>
              <w:pStyle w:val="7"/>
              <w:rPr>
                <w:b/>
              </w:rPr>
            </w:pPr>
            <w:r w:rsidRPr="00FD50F6">
              <w:rPr>
                <w:rFonts w:hint="eastAsia"/>
                <w:b/>
              </w:rPr>
              <w:t>10</w:t>
            </w:r>
          </w:p>
        </w:tc>
        <w:tc>
          <w:tcPr>
            <w:tcW w:w="756" w:type="dxa"/>
            <w:vAlign w:val="center"/>
          </w:tcPr>
          <w:p w14:paraId="0303B3B3" w14:textId="77777777" w:rsidR="002B733E" w:rsidRPr="00FD50F6" w:rsidRDefault="002B733E" w:rsidP="002B733E">
            <w:pPr>
              <w:pStyle w:val="7"/>
              <w:rPr>
                <w:b/>
              </w:rPr>
            </w:pPr>
            <w:r w:rsidRPr="00FD50F6">
              <w:rPr>
                <w:rFonts w:hint="eastAsia"/>
                <w:b/>
              </w:rPr>
              <w:t>11</w:t>
            </w:r>
          </w:p>
        </w:tc>
        <w:tc>
          <w:tcPr>
            <w:tcW w:w="756" w:type="dxa"/>
            <w:vAlign w:val="center"/>
          </w:tcPr>
          <w:p w14:paraId="40118EB4" w14:textId="77777777" w:rsidR="002B733E" w:rsidRPr="00FD50F6" w:rsidRDefault="002B733E" w:rsidP="002B733E">
            <w:pPr>
              <w:pStyle w:val="7"/>
              <w:rPr>
                <w:b/>
              </w:rPr>
            </w:pPr>
            <w:r w:rsidRPr="00FD50F6">
              <w:rPr>
                <w:rFonts w:hint="eastAsia"/>
                <w:b/>
              </w:rPr>
              <w:t>12</w:t>
            </w:r>
          </w:p>
        </w:tc>
        <w:tc>
          <w:tcPr>
            <w:tcW w:w="756" w:type="dxa"/>
            <w:vAlign w:val="center"/>
          </w:tcPr>
          <w:p w14:paraId="7C9C5D77" w14:textId="77777777" w:rsidR="002B733E" w:rsidRPr="00FD50F6" w:rsidRDefault="002B733E" w:rsidP="002B733E">
            <w:pPr>
              <w:pStyle w:val="7"/>
              <w:rPr>
                <w:b/>
              </w:rPr>
            </w:pPr>
            <w:r w:rsidRPr="00FD50F6">
              <w:rPr>
                <w:rFonts w:hint="eastAsia"/>
                <w:b/>
              </w:rPr>
              <w:t>13</w:t>
            </w:r>
          </w:p>
        </w:tc>
        <w:tc>
          <w:tcPr>
            <w:tcW w:w="756" w:type="dxa"/>
            <w:vAlign w:val="center"/>
          </w:tcPr>
          <w:p w14:paraId="15BA996A" w14:textId="77777777" w:rsidR="002B733E" w:rsidRPr="00FD50F6" w:rsidRDefault="002B733E" w:rsidP="002B733E">
            <w:pPr>
              <w:pStyle w:val="7"/>
              <w:rPr>
                <w:b/>
              </w:rPr>
            </w:pPr>
            <w:r w:rsidRPr="00FD50F6">
              <w:rPr>
                <w:rFonts w:hint="eastAsia"/>
                <w:b/>
              </w:rPr>
              <w:t>14</w:t>
            </w:r>
          </w:p>
        </w:tc>
        <w:tc>
          <w:tcPr>
            <w:tcW w:w="756" w:type="dxa"/>
            <w:vAlign w:val="center"/>
          </w:tcPr>
          <w:p w14:paraId="329C42A9" w14:textId="77777777" w:rsidR="002B733E" w:rsidRPr="00FD50F6" w:rsidRDefault="002B733E" w:rsidP="002B733E">
            <w:pPr>
              <w:pStyle w:val="7"/>
              <w:rPr>
                <w:b/>
              </w:rPr>
            </w:pPr>
            <w:r w:rsidRPr="00FD50F6">
              <w:rPr>
                <w:rFonts w:hint="eastAsia"/>
                <w:b/>
              </w:rPr>
              <w:t>15</w:t>
            </w:r>
          </w:p>
        </w:tc>
        <w:tc>
          <w:tcPr>
            <w:tcW w:w="756" w:type="dxa"/>
            <w:vAlign w:val="center"/>
          </w:tcPr>
          <w:p w14:paraId="2FB62E5A" w14:textId="77777777" w:rsidR="002B733E" w:rsidRPr="00FD50F6" w:rsidRDefault="002B733E" w:rsidP="002B733E">
            <w:pPr>
              <w:pStyle w:val="7"/>
              <w:rPr>
                <w:b/>
              </w:rPr>
            </w:pPr>
            <w:r w:rsidRPr="00FD50F6">
              <w:rPr>
                <w:rFonts w:hint="eastAsia"/>
                <w:b/>
              </w:rPr>
              <w:t>16</w:t>
            </w:r>
          </w:p>
        </w:tc>
        <w:tc>
          <w:tcPr>
            <w:tcW w:w="756" w:type="dxa"/>
            <w:vAlign w:val="center"/>
          </w:tcPr>
          <w:p w14:paraId="7B1D0E2E" w14:textId="77777777" w:rsidR="002B733E" w:rsidRPr="00FD50F6" w:rsidRDefault="002B733E" w:rsidP="002B733E">
            <w:pPr>
              <w:pStyle w:val="7"/>
              <w:rPr>
                <w:b/>
              </w:rPr>
            </w:pPr>
            <w:r w:rsidRPr="00FD50F6">
              <w:rPr>
                <w:rFonts w:hint="eastAsia"/>
                <w:b/>
              </w:rPr>
              <w:t>17</w:t>
            </w:r>
          </w:p>
        </w:tc>
        <w:tc>
          <w:tcPr>
            <w:tcW w:w="756" w:type="dxa"/>
            <w:vAlign w:val="center"/>
          </w:tcPr>
          <w:p w14:paraId="24B5F299" w14:textId="77777777" w:rsidR="002B733E" w:rsidRPr="00FD50F6" w:rsidRDefault="002B733E" w:rsidP="002B733E">
            <w:pPr>
              <w:pStyle w:val="7"/>
              <w:rPr>
                <w:b/>
              </w:rPr>
            </w:pPr>
            <w:r w:rsidRPr="00FD50F6">
              <w:rPr>
                <w:rFonts w:hint="eastAsia"/>
                <w:b/>
              </w:rPr>
              <w:t>18</w:t>
            </w:r>
          </w:p>
        </w:tc>
      </w:tr>
      <w:tr w:rsidR="00FD50F6" w:rsidRPr="00FD50F6" w14:paraId="111710A3" w14:textId="77777777" w:rsidTr="002B733E">
        <w:trPr>
          <w:trHeight w:val="397"/>
        </w:trPr>
        <w:tc>
          <w:tcPr>
            <w:tcW w:w="701" w:type="dxa"/>
            <w:vAlign w:val="center"/>
          </w:tcPr>
          <w:p w14:paraId="790366BC" w14:textId="77777777" w:rsidR="002B733E" w:rsidRPr="00FD50F6" w:rsidRDefault="002B733E" w:rsidP="002B733E">
            <w:pPr>
              <w:pStyle w:val="7"/>
            </w:pPr>
            <w:r w:rsidRPr="00FD50F6">
              <w:rPr>
                <w:rFonts w:hint="eastAsia"/>
              </w:rPr>
              <w:t>X</w:t>
            </w:r>
          </w:p>
        </w:tc>
        <w:tc>
          <w:tcPr>
            <w:tcW w:w="756" w:type="dxa"/>
            <w:vAlign w:val="center"/>
          </w:tcPr>
          <w:p w14:paraId="12892BD1" w14:textId="77777777" w:rsidR="002B733E" w:rsidRPr="00FD50F6" w:rsidRDefault="002B733E" w:rsidP="002B733E">
            <w:pPr>
              <w:pStyle w:val="7"/>
            </w:pPr>
            <w:r w:rsidRPr="00FD50F6">
              <w:rPr>
                <w:rFonts w:hint="eastAsia"/>
              </w:rPr>
              <w:t>1486</w:t>
            </w:r>
          </w:p>
        </w:tc>
        <w:tc>
          <w:tcPr>
            <w:tcW w:w="756" w:type="dxa"/>
            <w:vAlign w:val="center"/>
          </w:tcPr>
          <w:p w14:paraId="3362AB99" w14:textId="77777777" w:rsidR="002B733E" w:rsidRPr="00FD50F6" w:rsidRDefault="002B733E" w:rsidP="002B733E">
            <w:pPr>
              <w:pStyle w:val="7"/>
            </w:pPr>
            <w:r w:rsidRPr="00FD50F6">
              <w:rPr>
                <w:rFonts w:hint="eastAsia"/>
              </w:rPr>
              <w:t>1480</w:t>
            </w:r>
          </w:p>
        </w:tc>
        <w:tc>
          <w:tcPr>
            <w:tcW w:w="756" w:type="dxa"/>
            <w:vAlign w:val="center"/>
          </w:tcPr>
          <w:p w14:paraId="6B5DC8AC" w14:textId="77777777" w:rsidR="002B733E" w:rsidRPr="00FD50F6" w:rsidRDefault="002B733E" w:rsidP="002B733E">
            <w:pPr>
              <w:pStyle w:val="7"/>
            </w:pPr>
            <w:r w:rsidRPr="00FD50F6">
              <w:rPr>
                <w:rFonts w:hint="eastAsia"/>
              </w:rPr>
              <w:t>1445</w:t>
            </w:r>
          </w:p>
        </w:tc>
        <w:tc>
          <w:tcPr>
            <w:tcW w:w="756" w:type="dxa"/>
            <w:vAlign w:val="center"/>
          </w:tcPr>
          <w:p w14:paraId="07E86241" w14:textId="77777777" w:rsidR="002B733E" w:rsidRPr="00FD50F6" w:rsidRDefault="002B733E" w:rsidP="002B733E">
            <w:pPr>
              <w:pStyle w:val="7"/>
            </w:pPr>
            <w:r w:rsidRPr="00FD50F6">
              <w:rPr>
                <w:rFonts w:hint="eastAsia"/>
              </w:rPr>
              <w:t>1355</w:t>
            </w:r>
          </w:p>
        </w:tc>
        <w:tc>
          <w:tcPr>
            <w:tcW w:w="756" w:type="dxa"/>
            <w:vAlign w:val="center"/>
          </w:tcPr>
          <w:p w14:paraId="790DFD26" w14:textId="77777777" w:rsidR="002B733E" w:rsidRPr="00FD50F6" w:rsidRDefault="002B733E" w:rsidP="002B733E">
            <w:pPr>
              <w:pStyle w:val="7"/>
            </w:pPr>
            <w:r w:rsidRPr="00FD50F6">
              <w:rPr>
                <w:rFonts w:hint="eastAsia"/>
              </w:rPr>
              <w:t>1308</w:t>
            </w:r>
          </w:p>
        </w:tc>
        <w:tc>
          <w:tcPr>
            <w:tcW w:w="756" w:type="dxa"/>
            <w:vAlign w:val="center"/>
          </w:tcPr>
          <w:p w14:paraId="28B59B15" w14:textId="77777777" w:rsidR="002B733E" w:rsidRPr="00FD50F6" w:rsidRDefault="002B733E" w:rsidP="002B733E">
            <w:pPr>
              <w:pStyle w:val="7"/>
            </w:pPr>
            <w:r w:rsidRPr="00FD50F6">
              <w:rPr>
                <w:rFonts w:hint="eastAsia"/>
              </w:rPr>
              <w:t>1095</w:t>
            </w:r>
          </w:p>
        </w:tc>
        <w:tc>
          <w:tcPr>
            <w:tcW w:w="756" w:type="dxa"/>
            <w:vAlign w:val="center"/>
          </w:tcPr>
          <w:p w14:paraId="5A0B4D45" w14:textId="77777777" w:rsidR="002B733E" w:rsidRPr="00FD50F6" w:rsidRDefault="002B733E" w:rsidP="002B733E">
            <w:pPr>
              <w:pStyle w:val="7"/>
            </w:pPr>
            <w:r w:rsidRPr="00FD50F6">
              <w:rPr>
                <w:rFonts w:hint="eastAsia"/>
              </w:rPr>
              <w:t>982</w:t>
            </w:r>
          </w:p>
        </w:tc>
        <w:tc>
          <w:tcPr>
            <w:tcW w:w="756" w:type="dxa"/>
            <w:vAlign w:val="center"/>
          </w:tcPr>
          <w:p w14:paraId="7EA02555" w14:textId="77777777" w:rsidR="002B733E" w:rsidRPr="00FD50F6" w:rsidRDefault="002B733E" w:rsidP="002B733E">
            <w:pPr>
              <w:pStyle w:val="7"/>
            </w:pPr>
            <w:r w:rsidRPr="00FD50F6">
              <w:rPr>
                <w:rFonts w:hint="eastAsia"/>
              </w:rPr>
              <w:t>961</w:t>
            </w:r>
          </w:p>
        </w:tc>
        <w:tc>
          <w:tcPr>
            <w:tcW w:w="756" w:type="dxa"/>
            <w:vAlign w:val="center"/>
          </w:tcPr>
          <w:p w14:paraId="60C522D7" w14:textId="77777777" w:rsidR="002B733E" w:rsidRPr="00FD50F6" w:rsidRDefault="002B733E" w:rsidP="002B733E">
            <w:pPr>
              <w:pStyle w:val="7"/>
            </w:pPr>
            <w:r w:rsidRPr="00FD50F6">
              <w:rPr>
                <w:rFonts w:hint="eastAsia"/>
              </w:rPr>
              <w:t>953</w:t>
            </w:r>
          </w:p>
        </w:tc>
        <w:tc>
          <w:tcPr>
            <w:tcW w:w="756" w:type="dxa"/>
            <w:vAlign w:val="center"/>
          </w:tcPr>
          <w:p w14:paraId="05D680C7" w14:textId="77777777" w:rsidR="002B733E" w:rsidRPr="00FD50F6" w:rsidRDefault="002B733E" w:rsidP="002B733E">
            <w:pPr>
              <w:pStyle w:val="7"/>
            </w:pPr>
            <w:r w:rsidRPr="00FD50F6">
              <w:rPr>
                <w:rFonts w:hint="eastAsia"/>
              </w:rPr>
              <w:t>812</w:t>
            </w:r>
          </w:p>
        </w:tc>
      </w:tr>
      <w:tr w:rsidR="00FD50F6" w:rsidRPr="00FD50F6" w14:paraId="1704C3FB" w14:textId="77777777" w:rsidTr="002B733E">
        <w:trPr>
          <w:trHeight w:val="397"/>
        </w:trPr>
        <w:tc>
          <w:tcPr>
            <w:tcW w:w="701" w:type="dxa"/>
            <w:vAlign w:val="center"/>
          </w:tcPr>
          <w:p w14:paraId="3CE5F57D" w14:textId="77777777" w:rsidR="002B733E" w:rsidRPr="00FD50F6" w:rsidRDefault="002B733E" w:rsidP="002B733E">
            <w:pPr>
              <w:pStyle w:val="7"/>
            </w:pPr>
            <w:r w:rsidRPr="00FD50F6">
              <w:rPr>
                <w:rFonts w:hint="eastAsia"/>
              </w:rPr>
              <w:t>Y</w:t>
            </w:r>
          </w:p>
        </w:tc>
        <w:tc>
          <w:tcPr>
            <w:tcW w:w="756" w:type="dxa"/>
            <w:vAlign w:val="center"/>
          </w:tcPr>
          <w:p w14:paraId="5D077FB2" w14:textId="77777777" w:rsidR="002B733E" w:rsidRPr="00FD50F6" w:rsidRDefault="002B733E" w:rsidP="002B733E">
            <w:pPr>
              <w:pStyle w:val="7"/>
            </w:pPr>
            <w:r w:rsidRPr="00FD50F6">
              <w:rPr>
                <w:rFonts w:hint="eastAsia"/>
              </w:rPr>
              <w:t>898</w:t>
            </w:r>
          </w:p>
        </w:tc>
        <w:tc>
          <w:tcPr>
            <w:tcW w:w="756" w:type="dxa"/>
            <w:vAlign w:val="center"/>
          </w:tcPr>
          <w:p w14:paraId="03BAADDA" w14:textId="77777777" w:rsidR="002B733E" w:rsidRPr="00FD50F6" w:rsidRDefault="002B733E" w:rsidP="002B733E">
            <w:pPr>
              <w:pStyle w:val="7"/>
            </w:pPr>
            <w:r w:rsidRPr="00FD50F6">
              <w:rPr>
                <w:rFonts w:hint="eastAsia"/>
              </w:rPr>
              <w:t>865</w:t>
            </w:r>
          </w:p>
        </w:tc>
        <w:tc>
          <w:tcPr>
            <w:tcW w:w="756" w:type="dxa"/>
            <w:vAlign w:val="center"/>
          </w:tcPr>
          <w:p w14:paraId="2BAC4409" w14:textId="77777777" w:rsidR="002B733E" w:rsidRPr="00FD50F6" w:rsidRDefault="002B733E" w:rsidP="002B733E">
            <w:pPr>
              <w:pStyle w:val="7"/>
            </w:pPr>
            <w:r w:rsidRPr="00FD50F6">
              <w:rPr>
                <w:rFonts w:hint="eastAsia"/>
              </w:rPr>
              <w:t>691</w:t>
            </w:r>
          </w:p>
        </w:tc>
        <w:tc>
          <w:tcPr>
            <w:tcW w:w="756" w:type="dxa"/>
            <w:vAlign w:val="center"/>
          </w:tcPr>
          <w:p w14:paraId="0ABADDD2" w14:textId="77777777" w:rsidR="002B733E" w:rsidRPr="00FD50F6" w:rsidRDefault="002B733E" w:rsidP="002B733E">
            <w:pPr>
              <w:pStyle w:val="7"/>
            </w:pPr>
            <w:r w:rsidRPr="00FD50F6">
              <w:rPr>
                <w:rFonts w:hint="eastAsia"/>
              </w:rPr>
              <w:t>691</w:t>
            </w:r>
          </w:p>
        </w:tc>
        <w:tc>
          <w:tcPr>
            <w:tcW w:w="756" w:type="dxa"/>
            <w:vAlign w:val="center"/>
          </w:tcPr>
          <w:p w14:paraId="3DDC7EE1" w14:textId="77777777" w:rsidR="002B733E" w:rsidRPr="00FD50F6" w:rsidRDefault="002B733E" w:rsidP="002B733E">
            <w:pPr>
              <w:pStyle w:val="7"/>
            </w:pPr>
            <w:r w:rsidRPr="00FD50F6">
              <w:rPr>
                <w:rFonts w:hint="eastAsia"/>
              </w:rPr>
              <w:t>382</w:t>
            </w:r>
          </w:p>
        </w:tc>
        <w:tc>
          <w:tcPr>
            <w:tcW w:w="756" w:type="dxa"/>
            <w:vAlign w:val="center"/>
          </w:tcPr>
          <w:p w14:paraId="4EFC636A" w14:textId="77777777" w:rsidR="002B733E" w:rsidRPr="00FD50F6" w:rsidRDefault="002B733E" w:rsidP="002B733E">
            <w:pPr>
              <w:pStyle w:val="7"/>
            </w:pPr>
            <w:r w:rsidRPr="00FD50F6">
              <w:rPr>
                <w:rFonts w:hint="eastAsia"/>
              </w:rPr>
              <w:t>189</w:t>
            </w:r>
          </w:p>
        </w:tc>
        <w:tc>
          <w:tcPr>
            <w:tcW w:w="756" w:type="dxa"/>
            <w:vAlign w:val="center"/>
          </w:tcPr>
          <w:p w14:paraId="437EC601" w14:textId="77777777" w:rsidR="002B733E" w:rsidRPr="00FD50F6" w:rsidRDefault="002B733E" w:rsidP="002B733E">
            <w:pPr>
              <w:pStyle w:val="7"/>
            </w:pPr>
            <w:r w:rsidRPr="00FD50F6">
              <w:rPr>
                <w:rFonts w:hint="eastAsia"/>
              </w:rPr>
              <w:t>190</w:t>
            </w:r>
          </w:p>
        </w:tc>
        <w:tc>
          <w:tcPr>
            <w:tcW w:w="756" w:type="dxa"/>
            <w:vAlign w:val="center"/>
          </w:tcPr>
          <w:p w14:paraId="717EEECD" w14:textId="77777777" w:rsidR="002B733E" w:rsidRPr="00FD50F6" w:rsidRDefault="002B733E" w:rsidP="002B733E">
            <w:pPr>
              <w:pStyle w:val="7"/>
            </w:pPr>
            <w:r w:rsidRPr="00FD50F6">
              <w:rPr>
                <w:rFonts w:hint="eastAsia"/>
              </w:rPr>
              <w:t>185</w:t>
            </w:r>
          </w:p>
        </w:tc>
        <w:tc>
          <w:tcPr>
            <w:tcW w:w="756" w:type="dxa"/>
            <w:vAlign w:val="center"/>
          </w:tcPr>
          <w:p w14:paraId="2D9C1188" w14:textId="77777777" w:rsidR="002B733E" w:rsidRPr="00FD50F6" w:rsidRDefault="002B733E" w:rsidP="002B733E">
            <w:pPr>
              <w:pStyle w:val="7"/>
            </w:pPr>
            <w:r w:rsidRPr="00FD50F6">
              <w:rPr>
                <w:rFonts w:hint="eastAsia"/>
              </w:rPr>
              <w:t>185</w:t>
            </w:r>
          </w:p>
        </w:tc>
        <w:tc>
          <w:tcPr>
            <w:tcW w:w="756" w:type="dxa"/>
            <w:vAlign w:val="center"/>
          </w:tcPr>
          <w:p w14:paraId="575946FA" w14:textId="77777777" w:rsidR="002B733E" w:rsidRPr="00FD50F6" w:rsidRDefault="002B733E" w:rsidP="002B733E">
            <w:pPr>
              <w:pStyle w:val="7"/>
            </w:pPr>
            <w:r w:rsidRPr="00FD50F6">
              <w:rPr>
                <w:rFonts w:hint="eastAsia"/>
              </w:rPr>
              <w:t>185</w:t>
            </w:r>
          </w:p>
        </w:tc>
      </w:tr>
      <w:tr w:rsidR="00FD50F6" w:rsidRPr="00FD50F6" w14:paraId="7E06FA8E" w14:textId="77777777" w:rsidTr="002B733E">
        <w:trPr>
          <w:trHeight w:val="397"/>
        </w:trPr>
        <w:tc>
          <w:tcPr>
            <w:tcW w:w="701" w:type="dxa"/>
            <w:vAlign w:val="center"/>
          </w:tcPr>
          <w:p w14:paraId="2CDF41E3" w14:textId="77777777" w:rsidR="002B733E" w:rsidRPr="00FD50F6" w:rsidRDefault="002B733E" w:rsidP="002B733E">
            <w:pPr>
              <w:pStyle w:val="7"/>
            </w:pPr>
            <w:r w:rsidRPr="00FD50F6">
              <w:rPr>
                <w:rFonts w:hint="eastAsia"/>
              </w:rPr>
              <w:t>点号</w:t>
            </w:r>
          </w:p>
        </w:tc>
        <w:tc>
          <w:tcPr>
            <w:tcW w:w="756" w:type="dxa"/>
            <w:vAlign w:val="center"/>
          </w:tcPr>
          <w:p w14:paraId="0BEF62CE" w14:textId="77777777" w:rsidR="002B733E" w:rsidRPr="00FD50F6" w:rsidRDefault="002B733E" w:rsidP="002B733E">
            <w:pPr>
              <w:pStyle w:val="7"/>
              <w:rPr>
                <w:b/>
              </w:rPr>
            </w:pPr>
            <w:r w:rsidRPr="00FD50F6">
              <w:rPr>
                <w:rFonts w:hint="eastAsia"/>
                <w:b/>
              </w:rPr>
              <w:t>19</w:t>
            </w:r>
          </w:p>
        </w:tc>
        <w:tc>
          <w:tcPr>
            <w:tcW w:w="756" w:type="dxa"/>
            <w:vAlign w:val="center"/>
          </w:tcPr>
          <w:p w14:paraId="79AE3B4B" w14:textId="77777777" w:rsidR="002B733E" w:rsidRPr="00FD50F6" w:rsidRDefault="002B733E" w:rsidP="002B733E">
            <w:pPr>
              <w:pStyle w:val="7"/>
              <w:rPr>
                <w:b/>
              </w:rPr>
            </w:pPr>
            <w:r w:rsidRPr="00FD50F6">
              <w:rPr>
                <w:rFonts w:hint="eastAsia"/>
                <w:b/>
              </w:rPr>
              <w:t>20</w:t>
            </w:r>
          </w:p>
        </w:tc>
        <w:tc>
          <w:tcPr>
            <w:tcW w:w="756" w:type="dxa"/>
            <w:vAlign w:val="center"/>
          </w:tcPr>
          <w:p w14:paraId="2C25B0DF" w14:textId="77777777" w:rsidR="002B733E" w:rsidRPr="00FD50F6" w:rsidRDefault="002B733E" w:rsidP="002B733E">
            <w:pPr>
              <w:pStyle w:val="7"/>
              <w:rPr>
                <w:b/>
              </w:rPr>
            </w:pPr>
            <w:r w:rsidRPr="00FD50F6">
              <w:rPr>
                <w:rFonts w:hint="eastAsia"/>
                <w:b/>
              </w:rPr>
              <w:t>21</w:t>
            </w:r>
          </w:p>
        </w:tc>
        <w:tc>
          <w:tcPr>
            <w:tcW w:w="756" w:type="dxa"/>
            <w:vAlign w:val="center"/>
          </w:tcPr>
          <w:p w14:paraId="3CFF21F8" w14:textId="77777777" w:rsidR="002B733E" w:rsidRPr="00FD50F6" w:rsidRDefault="002B733E" w:rsidP="002B733E">
            <w:pPr>
              <w:pStyle w:val="7"/>
              <w:rPr>
                <w:b/>
              </w:rPr>
            </w:pPr>
            <w:r w:rsidRPr="00FD50F6">
              <w:rPr>
                <w:rFonts w:hint="eastAsia"/>
                <w:b/>
              </w:rPr>
              <w:t>22</w:t>
            </w:r>
          </w:p>
        </w:tc>
        <w:tc>
          <w:tcPr>
            <w:tcW w:w="756" w:type="dxa"/>
            <w:vAlign w:val="center"/>
          </w:tcPr>
          <w:p w14:paraId="22C70176" w14:textId="77777777" w:rsidR="002B733E" w:rsidRPr="00FD50F6" w:rsidRDefault="002B733E" w:rsidP="002B733E">
            <w:pPr>
              <w:pStyle w:val="7"/>
              <w:rPr>
                <w:b/>
              </w:rPr>
            </w:pPr>
            <w:r w:rsidRPr="00FD50F6">
              <w:rPr>
                <w:rFonts w:hint="eastAsia"/>
                <w:b/>
              </w:rPr>
              <w:t>23</w:t>
            </w:r>
          </w:p>
        </w:tc>
        <w:tc>
          <w:tcPr>
            <w:tcW w:w="756" w:type="dxa"/>
            <w:vAlign w:val="center"/>
          </w:tcPr>
          <w:p w14:paraId="478FC197" w14:textId="77777777" w:rsidR="002B733E" w:rsidRPr="00FD50F6" w:rsidRDefault="002B733E" w:rsidP="002B733E">
            <w:pPr>
              <w:pStyle w:val="7"/>
              <w:rPr>
                <w:b/>
              </w:rPr>
            </w:pPr>
            <w:r w:rsidRPr="00FD50F6">
              <w:rPr>
                <w:rFonts w:hint="eastAsia"/>
                <w:b/>
              </w:rPr>
              <w:t>24</w:t>
            </w:r>
          </w:p>
        </w:tc>
        <w:tc>
          <w:tcPr>
            <w:tcW w:w="756" w:type="dxa"/>
            <w:vAlign w:val="center"/>
          </w:tcPr>
          <w:p w14:paraId="7102A0C2" w14:textId="77777777" w:rsidR="002B733E" w:rsidRPr="00FD50F6" w:rsidRDefault="002B733E" w:rsidP="002B733E">
            <w:pPr>
              <w:pStyle w:val="7"/>
              <w:rPr>
                <w:b/>
              </w:rPr>
            </w:pPr>
            <w:r w:rsidRPr="00FD50F6">
              <w:rPr>
                <w:rFonts w:hint="eastAsia"/>
                <w:b/>
              </w:rPr>
              <w:t>25</w:t>
            </w:r>
          </w:p>
        </w:tc>
        <w:tc>
          <w:tcPr>
            <w:tcW w:w="756" w:type="dxa"/>
            <w:vAlign w:val="center"/>
          </w:tcPr>
          <w:p w14:paraId="0CDE29B1" w14:textId="77777777" w:rsidR="002B733E" w:rsidRPr="00FD50F6" w:rsidRDefault="002B733E" w:rsidP="002B733E">
            <w:pPr>
              <w:pStyle w:val="7"/>
              <w:rPr>
                <w:b/>
              </w:rPr>
            </w:pPr>
            <w:r w:rsidRPr="00FD50F6">
              <w:rPr>
                <w:rFonts w:hint="eastAsia"/>
                <w:b/>
              </w:rPr>
              <w:t>26</w:t>
            </w:r>
          </w:p>
        </w:tc>
        <w:tc>
          <w:tcPr>
            <w:tcW w:w="756" w:type="dxa"/>
            <w:vAlign w:val="center"/>
          </w:tcPr>
          <w:p w14:paraId="41F21E7A" w14:textId="77777777" w:rsidR="002B733E" w:rsidRPr="00FD50F6" w:rsidRDefault="002B733E" w:rsidP="002B733E">
            <w:pPr>
              <w:pStyle w:val="7"/>
              <w:rPr>
                <w:b/>
              </w:rPr>
            </w:pPr>
            <w:r w:rsidRPr="00FD50F6">
              <w:rPr>
                <w:rFonts w:hint="eastAsia"/>
                <w:b/>
              </w:rPr>
              <w:t>27</w:t>
            </w:r>
          </w:p>
        </w:tc>
        <w:tc>
          <w:tcPr>
            <w:tcW w:w="756" w:type="dxa"/>
            <w:vAlign w:val="center"/>
          </w:tcPr>
          <w:p w14:paraId="00880A7C" w14:textId="77777777" w:rsidR="002B733E" w:rsidRPr="00FD50F6" w:rsidRDefault="002B733E" w:rsidP="002B733E">
            <w:pPr>
              <w:pStyle w:val="7"/>
              <w:rPr>
                <w:b/>
              </w:rPr>
            </w:pPr>
            <w:r w:rsidRPr="00FD50F6">
              <w:rPr>
                <w:rFonts w:hint="eastAsia"/>
                <w:b/>
              </w:rPr>
              <w:t>28</w:t>
            </w:r>
          </w:p>
        </w:tc>
      </w:tr>
      <w:tr w:rsidR="00FD50F6" w:rsidRPr="00FD50F6" w14:paraId="345EDC26" w14:textId="77777777" w:rsidTr="002B733E">
        <w:trPr>
          <w:trHeight w:val="397"/>
        </w:trPr>
        <w:tc>
          <w:tcPr>
            <w:tcW w:w="701" w:type="dxa"/>
            <w:vAlign w:val="center"/>
          </w:tcPr>
          <w:p w14:paraId="6CC70CAD" w14:textId="77777777" w:rsidR="002B733E" w:rsidRPr="00FD50F6" w:rsidRDefault="002B733E" w:rsidP="002B733E">
            <w:pPr>
              <w:pStyle w:val="7"/>
            </w:pPr>
            <w:r w:rsidRPr="00FD50F6">
              <w:rPr>
                <w:rFonts w:hint="eastAsia"/>
              </w:rPr>
              <w:t>X</w:t>
            </w:r>
          </w:p>
        </w:tc>
        <w:tc>
          <w:tcPr>
            <w:tcW w:w="756" w:type="dxa"/>
            <w:vAlign w:val="center"/>
          </w:tcPr>
          <w:p w14:paraId="2B3E2E3A" w14:textId="77777777" w:rsidR="002B733E" w:rsidRPr="00FD50F6" w:rsidRDefault="002B733E" w:rsidP="002B733E">
            <w:pPr>
              <w:pStyle w:val="7"/>
            </w:pPr>
            <w:r w:rsidRPr="00FD50F6">
              <w:rPr>
                <w:rFonts w:hint="eastAsia"/>
              </w:rPr>
              <w:t>812</w:t>
            </w:r>
          </w:p>
        </w:tc>
        <w:tc>
          <w:tcPr>
            <w:tcW w:w="756" w:type="dxa"/>
            <w:vAlign w:val="center"/>
          </w:tcPr>
          <w:p w14:paraId="0B8037C6" w14:textId="77777777" w:rsidR="002B733E" w:rsidRPr="00FD50F6" w:rsidRDefault="002B733E" w:rsidP="002B733E">
            <w:pPr>
              <w:pStyle w:val="7"/>
            </w:pPr>
            <w:r w:rsidRPr="00FD50F6">
              <w:rPr>
                <w:rFonts w:hint="eastAsia"/>
              </w:rPr>
              <w:t>747</w:t>
            </w:r>
          </w:p>
        </w:tc>
        <w:tc>
          <w:tcPr>
            <w:tcW w:w="756" w:type="dxa"/>
            <w:vAlign w:val="center"/>
          </w:tcPr>
          <w:p w14:paraId="50E84C18" w14:textId="77777777" w:rsidR="002B733E" w:rsidRPr="00FD50F6" w:rsidRDefault="002B733E" w:rsidP="002B733E">
            <w:pPr>
              <w:pStyle w:val="7"/>
            </w:pPr>
            <w:r w:rsidRPr="00FD50F6">
              <w:rPr>
                <w:rFonts w:hint="eastAsia"/>
              </w:rPr>
              <w:t>707</w:t>
            </w:r>
          </w:p>
        </w:tc>
        <w:tc>
          <w:tcPr>
            <w:tcW w:w="756" w:type="dxa"/>
            <w:vAlign w:val="center"/>
          </w:tcPr>
          <w:p w14:paraId="7ABC1227" w14:textId="77777777" w:rsidR="002B733E" w:rsidRPr="00FD50F6" w:rsidRDefault="002B733E" w:rsidP="002B733E">
            <w:pPr>
              <w:pStyle w:val="7"/>
            </w:pPr>
            <w:r w:rsidRPr="00FD50F6">
              <w:rPr>
                <w:rFonts w:hint="eastAsia"/>
              </w:rPr>
              <w:t>707</w:t>
            </w:r>
          </w:p>
        </w:tc>
        <w:tc>
          <w:tcPr>
            <w:tcW w:w="756" w:type="dxa"/>
            <w:vAlign w:val="center"/>
          </w:tcPr>
          <w:p w14:paraId="1C114F6A" w14:textId="77777777" w:rsidR="002B733E" w:rsidRPr="00FD50F6" w:rsidRDefault="002B733E" w:rsidP="002B733E">
            <w:pPr>
              <w:pStyle w:val="7"/>
            </w:pPr>
            <w:r w:rsidRPr="00FD50F6">
              <w:rPr>
                <w:rFonts w:hint="eastAsia"/>
              </w:rPr>
              <w:t>677</w:t>
            </w:r>
          </w:p>
        </w:tc>
        <w:tc>
          <w:tcPr>
            <w:tcW w:w="756" w:type="dxa"/>
            <w:vAlign w:val="center"/>
          </w:tcPr>
          <w:p w14:paraId="5F20690D" w14:textId="77777777" w:rsidR="002B733E" w:rsidRPr="00FD50F6" w:rsidRDefault="002B733E" w:rsidP="002B733E">
            <w:pPr>
              <w:pStyle w:val="7"/>
            </w:pPr>
            <w:r w:rsidRPr="00FD50F6">
              <w:rPr>
                <w:rFonts w:hint="eastAsia"/>
              </w:rPr>
              <w:t>677</w:t>
            </w:r>
          </w:p>
        </w:tc>
        <w:tc>
          <w:tcPr>
            <w:tcW w:w="756" w:type="dxa"/>
            <w:vAlign w:val="center"/>
          </w:tcPr>
          <w:p w14:paraId="796B05DD" w14:textId="77777777" w:rsidR="002B733E" w:rsidRPr="00FD50F6" w:rsidRDefault="002B733E" w:rsidP="002B733E">
            <w:pPr>
              <w:pStyle w:val="7"/>
            </w:pPr>
            <w:r w:rsidRPr="00FD50F6">
              <w:rPr>
                <w:rFonts w:hint="eastAsia"/>
              </w:rPr>
              <w:t>506</w:t>
            </w:r>
          </w:p>
        </w:tc>
        <w:tc>
          <w:tcPr>
            <w:tcW w:w="756" w:type="dxa"/>
            <w:vAlign w:val="center"/>
          </w:tcPr>
          <w:p w14:paraId="19CCEFF1" w14:textId="77777777" w:rsidR="002B733E" w:rsidRPr="00FD50F6" w:rsidRDefault="002B733E" w:rsidP="002B733E">
            <w:pPr>
              <w:pStyle w:val="7"/>
            </w:pPr>
            <w:r w:rsidRPr="00FD50F6">
              <w:rPr>
                <w:rFonts w:hint="eastAsia"/>
              </w:rPr>
              <w:t>186</w:t>
            </w:r>
          </w:p>
        </w:tc>
        <w:tc>
          <w:tcPr>
            <w:tcW w:w="756" w:type="dxa"/>
            <w:vAlign w:val="center"/>
          </w:tcPr>
          <w:p w14:paraId="661D9F61" w14:textId="77777777" w:rsidR="002B733E" w:rsidRPr="00FD50F6" w:rsidRDefault="002B733E" w:rsidP="002B733E">
            <w:pPr>
              <w:pStyle w:val="7"/>
            </w:pPr>
            <w:r w:rsidRPr="00FD50F6">
              <w:rPr>
                <w:rFonts w:hint="eastAsia"/>
              </w:rPr>
              <w:t>186</w:t>
            </w:r>
          </w:p>
        </w:tc>
        <w:tc>
          <w:tcPr>
            <w:tcW w:w="756" w:type="dxa"/>
            <w:vAlign w:val="center"/>
          </w:tcPr>
          <w:p w14:paraId="19783A3C" w14:textId="77777777" w:rsidR="002B733E" w:rsidRPr="00FD50F6" w:rsidRDefault="002B733E" w:rsidP="002B733E">
            <w:pPr>
              <w:pStyle w:val="7"/>
            </w:pPr>
            <w:r w:rsidRPr="00FD50F6">
              <w:rPr>
                <w:rFonts w:hint="eastAsia"/>
              </w:rPr>
              <w:t>0</w:t>
            </w:r>
          </w:p>
        </w:tc>
      </w:tr>
      <w:tr w:rsidR="00FD50F6" w:rsidRPr="00FD50F6" w14:paraId="614D9AFB" w14:textId="77777777" w:rsidTr="002B733E">
        <w:trPr>
          <w:trHeight w:val="397"/>
        </w:trPr>
        <w:tc>
          <w:tcPr>
            <w:tcW w:w="701" w:type="dxa"/>
            <w:vAlign w:val="center"/>
          </w:tcPr>
          <w:p w14:paraId="36307B2B" w14:textId="77777777" w:rsidR="002B733E" w:rsidRPr="00FD50F6" w:rsidRDefault="002B733E" w:rsidP="002B733E">
            <w:pPr>
              <w:pStyle w:val="7"/>
            </w:pPr>
            <w:r w:rsidRPr="00FD50F6">
              <w:rPr>
                <w:rFonts w:hint="eastAsia"/>
              </w:rPr>
              <w:t>Y</w:t>
            </w:r>
          </w:p>
        </w:tc>
        <w:tc>
          <w:tcPr>
            <w:tcW w:w="756" w:type="dxa"/>
            <w:vAlign w:val="center"/>
          </w:tcPr>
          <w:p w14:paraId="7CF1E088" w14:textId="77777777" w:rsidR="002B733E" w:rsidRPr="00FD50F6" w:rsidRDefault="002B733E" w:rsidP="002B733E">
            <w:pPr>
              <w:pStyle w:val="7"/>
            </w:pPr>
            <w:r w:rsidRPr="00FD50F6">
              <w:rPr>
                <w:rFonts w:hint="eastAsia"/>
              </w:rPr>
              <w:t>0</w:t>
            </w:r>
          </w:p>
        </w:tc>
        <w:tc>
          <w:tcPr>
            <w:tcW w:w="756" w:type="dxa"/>
            <w:vAlign w:val="center"/>
          </w:tcPr>
          <w:p w14:paraId="663FBF49" w14:textId="77777777" w:rsidR="002B733E" w:rsidRPr="00FD50F6" w:rsidRDefault="002B733E" w:rsidP="002B733E">
            <w:pPr>
              <w:pStyle w:val="7"/>
            </w:pPr>
            <w:r w:rsidRPr="00FD50F6">
              <w:rPr>
                <w:rFonts w:hint="eastAsia"/>
              </w:rPr>
              <w:t>0</w:t>
            </w:r>
          </w:p>
        </w:tc>
        <w:tc>
          <w:tcPr>
            <w:tcW w:w="756" w:type="dxa"/>
            <w:vAlign w:val="center"/>
          </w:tcPr>
          <w:p w14:paraId="369A335B" w14:textId="77777777" w:rsidR="002B733E" w:rsidRPr="00FD50F6" w:rsidRDefault="002B733E" w:rsidP="002B733E">
            <w:pPr>
              <w:pStyle w:val="7"/>
            </w:pPr>
            <w:r w:rsidRPr="00FD50F6">
              <w:rPr>
                <w:rFonts w:hint="eastAsia"/>
              </w:rPr>
              <w:t>0</w:t>
            </w:r>
          </w:p>
        </w:tc>
        <w:tc>
          <w:tcPr>
            <w:tcW w:w="756" w:type="dxa"/>
            <w:vAlign w:val="center"/>
          </w:tcPr>
          <w:p w14:paraId="54B0E9BF" w14:textId="77777777" w:rsidR="002B733E" w:rsidRPr="00FD50F6" w:rsidRDefault="002B733E" w:rsidP="002B733E">
            <w:pPr>
              <w:pStyle w:val="7"/>
            </w:pPr>
            <w:r w:rsidRPr="00FD50F6">
              <w:rPr>
                <w:rFonts w:hint="eastAsia"/>
              </w:rPr>
              <w:t>-28</w:t>
            </w:r>
          </w:p>
        </w:tc>
        <w:tc>
          <w:tcPr>
            <w:tcW w:w="756" w:type="dxa"/>
            <w:vAlign w:val="center"/>
          </w:tcPr>
          <w:p w14:paraId="22042D5D" w14:textId="77777777" w:rsidR="002B733E" w:rsidRPr="00FD50F6" w:rsidRDefault="002B733E" w:rsidP="002B733E">
            <w:pPr>
              <w:pStyle w:val="7"/>
            </w:pPr>
            <w:r w:rsidRPr="00FD50F6">
              <w:rPr>
                <w:rFonts w:hint="eastAsia"/>
              </w:rPr>
              <w:t>-28</w:t>
            </w:r>
          </w:p>
        </w:tc>
        <w:tc>
          <w:tcPr>
            <w:tcW w:w="756" w:type="dxa"/>
            <w:vAlign w:val="center"/>
          </w:tcPr>
          <w:p w14:paraId="154D0E9F" w14:textId="77777777" w:rsidR="002B733E" w:rsidRPr="00FD50F6" w:rsidRDefault="002B733E" w:rsidP="002B733E">
            <w:pPr>
              <w:pStyle w:val="7"/>
            </w:pPr>
            <w:r w:rsidRPr="00FD50F6">
              <w:rPr>
                <w:rFonts w:hint="eastAsia"/>
              </w:rPr>
              <w:t>115</w:t>
            </w:r>
          </w:p>
        </w:tc>
        <w:tc>
          <w:tcPr>
            <w:tcW w:w="756" w:type="dxa"/>
            <w:vAlign w:val="center"/>
          </w:tcPr>
          <w:p w14:paraId="4836A854" w14:textId="77777777" w:rsidR="002B733E" w:rsidRPr="00FD50F6" w:rsidRDefault="002B733E" w:rsidP="002B733E">
            <w:pPr>
              <w:pStyle w:val="7"/>
            </w:pPr>
            <w:r w:rsidRPr="00FD50F6">
              <w:rPr>
                <w:rFonts w:hint="eastAsia"/>
              </w:rPr>
              <w:t>115</w:t>
            </w:r>
          </w:p>
        </w:tc>
        <w:tc>
          <w:tcPr>
            <w:tcW w:w="756" w:type="dxa"/>
            <w:vAlign w:val="center"/>
          </w:tcPr>
          <w:p w14:paraId="73E46BB0" w14:textId="77777777" w:rsidR="002B733E" w:rsidRPr="00FD50F6" w:rsidRDefault="002B733E" w:rsidP="002B733E">
            <w:pPr>
              <w:pStyle w:val="7"/>
            </w:pPr>
            <w:r w:rsidRPr="00FD50F6">
              <w:rPr>
                <w:rFonts w:hint="eastAsia"/>
              </w:rPr>
              <w:t>115</w:t>
            </w:r>
          </w:p>
        </w:tc>
        <w:tc>
          <w:tcPr>
            <w:tcW w:w="756" w:type="dxa"/>
            <w:vAlign w:val="center"/>
          </w:tcPr>
          <w:p w14:paraId="1D044297" w14:textId="77777777" w:rsidR="002B733E" w:rsidRPr="00FD50F6" w:rsidRDefault="002B733E" w:rsidP="002B733E">
            <w:pPr>
              <w:pStyle w:val="7"/>
            </w:pPr>
            <w:r w:rsidRPr="00FD50F6">
              <w:rPr>
                <w:rFonts w:hint="eastAsia"/>
              </w:rPr>
              <w:t>162</w:t>
            </w:r>
          </w:p>
        </w:tc>
        <w:tc>
          <w:tcPr>
            <w:tcW w:w="756" w:type="dxa"/>
            <w:vAlign w:val="center"/>
          </w:tcPr>
          <w:p w14:paraId="477B53E0" w14:textId="77777777" w:rsidR="002B733E" w:rsidRPr="00FD50F6" w:rsidRDefault="002B733E" w:rsidP="002B733E">
            <w:pPr>
              <w:pStyle w:val="7"/>
            </w:pPr>
            <w:r w:rsidRPr="00FD50F6">
              <w:rPr>
                <w:rFonts w:hint="eastAsia"/>
              </w:rPr>
              <w:t>162</w:t>
            </w:r>
          </w:p>
        </w:tc>
      </w:tr>
      <w:tr w:rsidR="00FD50F6" w:rsidRPr="00FD50F6" w14:paraId="4D32605C" w14:textId="77777777" w:rsidTr="002B733E">
        <w:trPr>
          <w:trHeight w:val="397"/>
        </w:trPr>
        <w:tc>
          <w:tcPr>
            <w:tcW w:w="701" w:type="dxa"/>
            <w:vAlign w:val="center"/>
          </w:tcPr>
          <w:p w14:paraId="793F6A85" w14:textId="77777777" w:rsidR="002B733E" w:rsidRPr="00FD50F6" w:rsidRDefault="002B733E" w:rsidP="002B733E">
            <w:pPr>
              <w:pStyle w:val="7"/>
            </w:pPr>
            <w:r w:rsidRPr="00FD50F6">
              <w:rPr>
                <w:rFonts w:hint="eastAsia"/>
              </w:rPr>
              <w:t>点号</w:t>
            </w:r>
          </w:p>
        </w:tc>
        <w:tc>
          <w:tcPr>
            <w:tcW w:w="756" w:type="dxa"/>
            <w:vAlign w:val="bottom"/>
          </w:tcPr>
          <w:p w14:paraId="10E65A45" w14:textId="77777777" w:rsidR="002B733E" w:rsidRPr="00FD50F6" w:rsidRDefault="002B733E" w:rsidP="002B733E">
            <w:pPr>
              <w:pStyle w:val="7"/>
              <w:rPr>
                <w:b/>
              </w:rPr>
            </w:pPr>
            <w:r w:rsidRPr="00FD50F6">
              <w:rPr>
                <w:rFonts w:hint="eastAsia"/>
                <w:b/>
              </w:rPr>
              <w:t>29d</w:t>
            </w:r>
          </w:p>
        </w:tc>
        <w:tc>
          <w:tcPr>
            <w:tcW w:w="756" w:type="dxa"/>
            <w:vAlign w:val="bottom"/>
          </w:tcPr>
          <w:p w14:paraId="7021B68C" w14:textId="77777777" w:rsidR="002B733E" w:rsidRPr="00FD50F6" w:rsidRDefault="002B733E" w:rsidP="002B733E">
            <w:pPr>
              <w:pStyle w:val="7"/>
              <w:rPr>
                <w:b/>
              </w:rPr>
            </w:pPr>
            <w:r w:rsidRPr="00FD50F6">
              <w:rPr>
                <w:rFonts w:hint="eastAsia"/>
                <w:b/>
              </w:rPr>
              <w:t>30d</w:t>
            </w:r>
          </w:p>
        </w:tc>
        <w:tc>
          <w:tcPr>
            <w:tcW w:w="756" w:type="dxa"/>
            <w:vAlign w:val="bottom"/>
          </w:tcPr>
          <w:p w14:paraId="5864FC83" w14:textId="77777777" w:rsidR="002B733E" w:rsidRPr="00FD50F6" w:rsidRDefault="002B733E" w:rsidP="002B733E">
            <w:pPr>
              <w:pStyle w:val="7"/>
              <w:rPr>
                <w:b/>
              </w:rPr>
            </w:pPr>
            <w:r w:rsidRPr="00FD50F6">
              <w:rPr>
                <w:rFonts w:hint="eastAsia"/>
                <w:b/>
              </w:rPr>
              <w:t>31d</w:t>
            </w:r>
          </w:p>
        </w:tc>
        <w:tc>
          <w:tcPr>
            <w:tcW w:w="756" w:type="dxa"/>
            <w:vAlign w:val="bottom"/>
          </w:tcPr>
          <w:p w14:paraId="35381DE9" w14:textId="77777777" w:rsidR="002B733E" w:rsidRPr="00FD50F6" w:rsidRDefault="002B733E" w:rsidP="002B733E">
            <w:pPr>
              <w:pStyle w:val="7"/>
              <w:rPr>
                <w:b/>
              </w:rPr>
            </w:pPr>
            <w:r w:rsidRPr="00FD50F6">
              <w:rPr>
                <w:rFonts w:hint="eastAsia"/>
                <w:b/>
              </w:rPr>
              <w:t>32d</w:t>
            </w:r>
          </w:p>
        </w:tc>
        <w:tc>
          <w:tcPr>
            <w:tcW w:w="756" w:type="dxa"/>
            <w:vAlign w:val="bottom"/>
          </w:tcPr>
          <w:p w14:paraId="44E031D6" w14:textId="77777777" w:rsidR="002B733E" w:rsidRPr="00FD50F6" w:rsidRDefault="002B733E" w:rsidP="002B733E">
            <w:pPr>
              <w:pStyle w:val="7"/>
              <w:rPr>
                <w:b/>
              </w:rPr>
            </w:pPr>
            <w:r w:rsidRPr="00FD50F6">
              <w:rPr>
                <w:rFonts w:hint="eastAsia"/>
                <w:b/>
              </w:rPr>
              <w:t>33d</w:t>
            </w:r>
          </w:p>
        </w:tc>
        <w:tc>
          <w:tcPr>
            <w:tcW w:w="756" w:type="dxa"/>
            <w:vAlign w:val="bottom"/>
          </w:tcPr>
          <w:p w14:paraId="67E4AF70" w14:textId="77777777" w:rsidR="002B733E" w:rsidRPr="00FD50F6" w:rsidRDefault="002B733E" w:rsidP="002B733E">
            <w:pPr>
              <w:pStyle w:val="7"/>
              <w:rPr>
                <w:b/>
              </w:rPr>
            </w:pPr>
            <w:r w:rsidRPr="00FD50F6">
              <w:rPr>
                <w:rFonts w:hint="eastAsia"/>
                <w:b/>
              </w:rPr>
              <w:t>34d</w:t>
            </w:r>
          </w:p>
        </w:tc>
        <w:tc>
          <w:tcPr>
            <w:tcW w:w="756" w:type="dxa"/>
            <w:vAlign w:val="bottom"/>
          </w:tcPr>
          <w:p w14:paraId="4B2B4D94" w14:textId="77777777" w:rsidR="002B733E" w:rsidRPr="00FD50F6" w:rsidRDefault="002B733E" w:rsidP="002B733E">
            <w:pPr>
              <w:pStyle w:val="7"/>
              <w:rPr>
                <w:b/>
              </w:rPr>
            </w:pPr>
            <w:r w:rsidRPr="00FD50F6">
              <w:rPr>
                <w:rFonts w:hint="eastAsia"/>
                <w:b/>
              </w:rPr>
              <w:t>35d</w:t>
            </w:r>
          </w:p>
        </w:tc>
        <w:tc>
          <w:tcPr>
            <w:tcW w:w="756" w:type="dxa"/>
            <w:vAlign w:val="bottom"/>
          </w:tcPr>
          <w:p w14:paraId="574C0433" w14:textId="77777777" w:rsidR="002B733E" w:rsidRPr="00FD50F6" w:rsidRDefault="002B733E" w:rsidP="002B733E">
            <w:pPr>
              <w:pStyle w:val="7"/>
              <w:rPr>
                <w:b/>
              </w:rPr>
            </w:pPr>
            <w:r w:rsidRPr="00FD50F6">
              <w:rPr>
                <w:rFonts w:hint="eastAsia"/>
                <w:b/>
              </w:rPr>
              <w:t>m1</w:t>
            </w:r>
          </w:p>
        </w:tc>
        <w:tc>
          <w:tcPr>
            <w:tcW w:w="756" w:type="dxa"/>
            <w:vAlign w:val="bottom"/>
          </w:tcPr>
          <w:p w14:paraId="1A4A05C7" w14:textId="77777777" w:rsidR="002B733E" w:rsidRPr="00FD50F6" w:rsidRDefault="002B733E" w:rsidP="002B733E">
            <w:pPr>
              <w:pStyle w:val="7"/>
              <w:rPr>
                <w:b/>
              </w:rPr>
            </w:pPr>
            <w:r w:rsidRPr="00FD50F6">
              <w:rPr>
                <w:rFonts w:hint="eastAsia"/>
                <w:b/>
              </w:rPr>
              <w:t>m2</w:t>
            </w:r>
          </w:p>
        </w:tc>
        <w:tc>
          <w:tcPr>
            <w:tcW w:w="756" w:type="dxa"/>
            <w:vAlign w:val="bottom"/>
          </w:tcPr>
          <w:p w14:paraId="24CC5054" w14:textId="77777777" w:rsidR="002B733E" w:rsidRPr="00FD50F6" w:rsidRDefault="002B733E" w:rsidP="002B733E">
            <w:pPr>
              <w:pStyle w:val="7"/>
              <w:rPr>
                <w:b/>
              </w:rPr>
            </w:pPr>
            <w:r w:rsidRPr="00FD50F6">
              <w:rPr>
                <w:rFonts w:hint="eastAsia"/>
                <w:b/>
              </w:rPr>
              <w:t>—</w:t>
            </w:r>
          </w:p>
        </w:tc>
      </w:tr>
      <w:tr w:rsidR="00FD50F6" w:rsidRPr="00FD50F6" w14:paraId="710168E0" w14:textId="77777777" w:rsidTr="002B733E">
        <w:trPr>
          <w:trHeight w:val="397"/>
        </w:trPr>
        <w:tc>
          <w:tcPr>
            <w:tcW w:w="701" w:type="dxa"/>
            <w:vAlign w:val="center"/>
          </w:tcPr>
          <w:p w14:paraId="20A78BF4" w14:textId="77777777" w:rsidR="002B733E" w:rsidRPr="00FD50F6" w:rsidRDefault="002B733E" w:rsidP="002B733E">
            <w:pPr>
              <w:pStyle w:val="7"/>
            </w:pPr>
            <w:r w:rsidRPr="00FD50F6">
              <w:rPr>
                <w:rFonts w:hint="eastAsia"/>
              </w:rPr>
              <w:t>X</w:t>
            </w:r>
          </w:p>
        </w:tc>
        <w:tc>
          <w:tcPr>
            <w:tcW w:w="756" w:type="dxa"/>
            <w:vAlign w:val="bottom"/>
          </w:tcPr>
          <w:p w14:paraId="56B0E402" w14:textId="77777777" w:rsidR="002B733E" w:rsidRPr="00FD50F6" w:rsidRDefault="002B733E" w:rsidP="002B733E">
            <w:pPr>
              <w:pStyle w:val="7"/>
            </w:pPr>
            <w:r w:rsidRPr="00FD50F6">
              <w:rPr>
                <w:rFonts w:hint="eastAsia"/>
              </w:rPr>
              <w:t>-1308</w:t>
            </w:r>
          </w:p>
        </w:tc>
        <w:tc>
          <w:tcPr>
            <w:tcW w:w="756" w:type="dxa"/>
            <w:vAlign w:val="bottom"/>
          </w:tcPr>
          <w:p w14:paraId="5B280ECB" w14:textId="77777777" w:rsidR="002B733E" w:rsidRPr="00FD50F6" w:rsidRDefault="002B733E" w:rsidP="002B733E">
            <w:pPr>
              <w:pStyle w:val="7"/>
            </w:pPr>
            <w:r w:rsidRPr="00FD50F6">
              <w:rPr>
                <w:rFonts w:hint="eastAsia"/>
              </w:rPr>
              <w:t>-1580</w:t>
            </w:r>
          </w:p>
        </w:tc>
        <w:tc>
          <w:tcPr>
            <w:tcW w:w="756" w:type="dxa"/>
            <w:vAlign w:val="bottom"/>
          </w:tcPr>
          <w:p w14:paraId="2ACC7B6E" w14:textId="77777777" w:rsidR="002B733E" w:rsidRPr="00FD50F6" w:rsidRDefault="002B733E" w:rsidP="002B733E">
            <w:pPr>
              <w:pStyle w:val="7"/>
            </w:pPr>
            <w:r w:rsidRPr="00FD50F6">
              <w:rPr>
                <w:rFonts w:hint="eastAsia"/>
              </w:rPr>
              <w:t>-1580</w:t>
            </w:r>
          </w:p>
        </w:tc>
        <w:tc>
          <w:tcPr>
            <w:tcW w:w="756" w:type="dxa"/>
            <w:vAlign w:val="bottom"/>
          </w:tcPr>
          <w:p w14:paraId="01A80434" w14:textId="77777777" w:rsidR="002B733E" w:rsidRPr="00FD50F6" w:rsidRDefault="002B733E" w:rsidP="002B733E">
            <w:pPr>
              <w:pStyle w:val="7"/>
            </w:pPr>
            <w:r w:rsidRPr="00FD50F6">
              <w:rPr>
                <w:rFonts w:hint="eastAsia"/>
              </w:rPr>
              <w:t>-1443</w:t>
            </w:r>
          </w:p>
        </w:tc>
        <w:tc>
          <w:tcPr>
            <w:tcW w:w="756" w:type="dxa"/>
            <w:vAlign w:val="bottom"/>
          </w:tcPr>
          <w:p w14:paraId="25B5FF2E" w14:textId="77777777" w:rsidR="002B733E" w:rsidRPr="00FD50F6" w:rsidRDefault="002B733E" w:rsidP="002B733E">
            <w:pPr>
              <w:pStyle w:val="7"/>
            </w:pPr>
            <w:r w:rsidRPr="00FD50F6">
              <w:rPr>
                <w:rFonts w:hint="eastAsia"/>
              </w:rPr>
              <w:t>-1409</w:t>
            </w:r>
          </w:p>
        </w:tc>
        <w:tc>
          <w:tcPr>
            <w:tcW w:w="756" w:type="dxa"/>
            <w:vAlign w:val="bottom"/>
          </w:tcPr>
          <w:p w14:paraId="520B5BB5" w14:textId="77777777" w:rsidR="002B733E" w:rsidRPr="00FD50F6" w:rsidRDefault="002B733E" w:rsidP="002B733E">
            <w:pPr>
              <w:pStyle w:val="7"/>
            </w:pPr>
            <w:r w:rsidRPr="00FD50F6">
              <w:rPr>
                <w:rFonts w:hint="eastAsia"/>
              </w:rPr>
              <w:t>-1226</w:t>
            </w:r>
          </w:p>
        </w:tc>
        <w:tc>
          <w:tcPr>
            <w:tcW w:w="756" w:type="dxa"/>
            <w:vAlign w:val="bottom"/>
          </w:tcPr>
          <w:p w14:paraId="18CA057C" w14:textId="77777777" w:rsidR="002B733E" w:rsidRPr="00FD50F6" w:rsidRDefault="002B733E" w:rsidP="002B733E">
            <w:pPr>
              <w:pStyle w:val="7"/>
            </w:pPr>
            <w:r w:rsidRPr="00FD50F6">
              <w:rPr>
                <w:rFonts w:hint="eastAsia"/>
              </w:rPr>
              <w:t>-1095</w:t>
            </w:r>
          </w:p>
        </w:tc>
        <w:tc>
          <w:tcPr>
            <w:tcW w:w="756" w:type="dxa"/>
            <w:vAlign w:val="bottom"/>
          </w:tcPr>
          <w:p w14:paraId="19413639" w14:textId="77777777" w:rsidR="002B733E" w:rsidRPr="00FD50F6" w:rsidRDefault="002B733E" w:rsidP="002B733E">
            <w:pPr>
              <w:pStyle w:val="7"/>
            </w:pPr>
            <w:r w:rsidRPr="00FD50F6">
              <w:rPr>
                <w:rFonts w:hint="eastAsia"/>
              </w:rPr>
              <w:t>1384</w:t>
            </w:r>
          </w:p>
        </w:tc>
        <w:tc>
          <w:tcPr>
            <w:tcW w:w="756" w:type="dxa"/>
            <w:vAlign w:val="bottom"/>
          </w:tcPr>
          <w:p w14:paraId="75C9E9D1" w14:textId="77777777" w:rsidR="002B733E" w:rsidRPr="00FD50F6" w:rsidRDefault="002B733E" w:rsidP="002B733E">
            <w:pPr>
              <w:pStyle w:val="7"/>
            </w:pPr>
            <w:r w:rsidRPr="00FD50F6">
              <w:rPr>
                <w:rFonts w:hint="eastAsia"/>
              </w:rPr>
              <w:t>1436</w:t>
            </w:r>
          </w:p>
        </w:tc>
        <w:tc>
          <w:tcPr>
            <w:tcW w:w="756" w:type="dxa"/>
            <w:vAlign w:val="bottom"/>
          </w:tcPr>
          <w:p w14:paraId="5E1BF135" w14:textId="77777777" w:rsidR="002B733E" w:rsidRPr="00FD50F6" w:rsidRDefault="002B733E" w:rsidP="002B733E">
            <w:pPr>
              <w:pStyle w:val="7"/>
              <w:rPr>
                <w:b/>
              </w:rPr>
            </w:pPr>
            <w:r w:rsidRPr="00FD50F6">
              <w:rPr>
                <w:rFonts w:hint="eastAsia"/>
                <w:b/>
              </w:rPr>
              <w:t>—</w:t>
            </w:r>
          </w:p>
        </w:tc>
      </w:tr>
      <w:tr w:rsidR="00FD50F6" w:rsidRPr="00FD50F6" w14:paraId="62A503ED" w14:textId="77777777" w:rsidTr="002B733E">
        <w:trPr>
          <w:trHeight w:val="397"/>
        </w:trPr>
        <w:tc>
          <w:tcPr>
            <w:tcW w:w="701" w:type="dxa"/>
            <w:vAlign w:val="center"/>
          </w:tcPr>
          <w:p w14:paraId="5E21456C" w14:textId="77777777" w:rsidR="002B733E" w:rsidRPr="00FD50F6" w:rsidRDefault="002B733E" w:rsidP="002B733E">
            <w:pPr>
              <w:pStyle w:val="7"/>
            </w:pPr>
            <w:r w:rsidRPr="00FD50F6">
              <w:rPr>
                <w:rFonts w:hint="eastAsia"/>
              </w:rPr>
              <w:t>Y</w:t>
            </w:r>
          </w:p>
        </w:tc>
        <w:tc>
          <w:tcPr>
            <w:tcW w:w="756" w:type="dxa"/>
            <w:vAlign w:val="bottom"/>
          </w:tcPr>
          <w:p w14:paraId="3D711760" w14:textId="77777777" w:rsidR="002B733E" w:rsidRPr="00FD50F6" w:rsidRDefault="002B733E" w:rsidP="002B733E">
            <w:pPr>
              <w:pStyle w:val="7"/>
            </w:pPr>
            <w:r w:rsidRPr="00FD50F6">
              <w:rPr>
                <w:rFonts w:hint="eastAsia"/>
              </w:rPr>
              <w:t>200</w:t>
            </w:r>
          </w:p>
        </w:tc>
        <w:tc>
          <w:tcPr>
            <w:tcW w:w="756" w:type="dxa"/>
            <w:vAlign w:val="bottom"/>
          </w:tcPr>
          <w:p w14:paraId="369AA13B" w14:textId="77777777" w:rsidR="002B733E" w:rsidRPr="00FD50F6" w:rsidRDefault="002B733E" w:rsidP="002B733E">
            <w:pPr>
              <w:pStyle w:val="7"/>
            </w:pPr>
            <w:r w:rsidRPr="00FD50F6">
              <w:rPr>
                <w:rFonts w:hint="eastAsia"/>
              </w:rPr>
              <w:t>200</w:t>
            </w:r>
          </w:p>
        </w:tc>
        <w:tc>
          <w:tcPr>
            <w:tcW w:w="756" w:type="dxa"/>
            <w:vAlign w:val="bottom"/>
          </w:tcPr>
          <w:p w14:paraId="652828BA" w14:textId="77777777" w:rsidR="002B733E" w:rsidRPr="00FD50F6" w:rsidRDefault="002B733E" w:rsidP="002B733E">
            <w:pPr>
              <w:pStyle w:val="7"/>
            </w:pPr>
            <w:r w:rsidRPr="00FD50F6">
              <w:rPr>
                <w:rFonts w:hint="eastAsia"/>
              </w:rPr>
              <w:t>150</w:t>
            </w:r>
          </w:p>
        </w:tc>
        <w:tc>
          <w:tcPr>
            <w:tcW w:w="756" w:type="dxa"/>
            <w:vAlign w:val="bottom"/>
          </w:tcPr>
          <w:p w14:paraId="50AF4EAC" w14:textId="77777777" w:rsidR="002B733E" w:rsidRPr="00FD50F6" w:rsidRDefault="002B733E" w:rsidP="002B733E">
            <w:pPr>
              <w:pStyle w:val="7"/>
            </w:pPr>
            <w:r w:rsidRPr="00FD50F6">
              <w:rPr>
                <w:rFonts w:hint="eastAsia"/>
              </w:rPr>
              <w:t>150</w:t>
            </w:r>
          </w:p>
        </w:tc>
        <w:tc>
          <w:tcPr>
            <w:tcW w:w="756" w:type="dxa"/>
            <w:vAlign w:val="bottom"/>
          </w:tcPr>
          <w:p w14:paraId="7069F3EC" w14:textId="77777777" w:rsidR="002B733E" w:rsidRPr="00FD50F6" w:rsidRDefault="002B733E" w:rsidP="002B733E">
            <w:pPr>
              <w:pStyle w:val="7"/>
            </w:pPr>
            <w:r w:rsidRPr="00FD50F6">
              <w:rPr>
                <w:rFonts w:hint="eastAsia"/>
              </w:rPr>
              <w:t>117</w:t>
            </w:r>
          </w:p>
        </w:tc>
        <w:tc>
          <w:tcPr>
            <w:tcW w:w="756" w:type="dxa"/>
            <w:vAlign w:val="bottom"/>
          </w:tcPr>
          <w:p w14:paraId="2BBFA3F7" w14:textId="77777777" w:rsidR="002B733E" w:rsidRPr="00FD50F6" w:rsidRDefault="002B733E" w:rsidP="002B733E">
            <w:pPr>
              <w:pStyle w:val="7"/>
            </w:pPr>
            <w:r w:rsidRPr="00FD50F6">
              <w:rPr>
                <w:rFonts w:hint="eastAsia"/>
              </w:rPr>
              <w:t>117</w:t>
            </w:r>
          </w:p>
        </w:tc>
        <w:tc>
          <w:tcPr>
            <w:tcW w:w="756" w:type="dxa"/>
            <w:vAlign w:val="bottom"/>
          </w:tcPr>
          <w:p w14:paraId="7201FEB0" w14:textId="77777777" w:rsidR="002B733E" w:rsidRPr="00FD50F6" w:rsidRDefault="002B733E" w:rsidP="002B733E">
            <w:pPr>
              <w:pStyle w:val="7"/>
            </w:pPr>
            <w:r w:rsidRPr="00FD50F6">
              <w:rPr>
                <w:rFonts w:hint="eastAsia"/>
              </w:rPr>
              <w:t>156</w:t>
            </w:r>
          </w:p>
        </w:tc>
        <w:tc>
          <w:tcPr>
            <w:tcW w:w="756" w:type="dxa"/>
            <w:vAlign w:val="bottom"/>
          </w:tcPr>
          <w:p w14:paraId="51949C79" w14:textId="77777777" w:rsidR="002B733E" w:rsidRPr="00FD50F6" w:rsidRDefault="002B733E" w:rsidP="002B733E">
            <w:pPr>
              <w:pStyle w:val="7"/>
            </w:pPr>
            <w:r w:rsidRPr="00FD50F6">
              <w:rPr>
                <w:rFonts w:hint="eastAsia"/>
              </w:rPr>
              <w:t>3172</w:t>
            </w:r>
          </w:p>
        </w:tc>
        <w:tc>
          <w:tcPr>
            <w:tcW w:w="756" w:type="dxa"/>
            <w:vAlign w:val="bottom"/>
          </w:tcPr>
          <w:p w14:paraId="4D43B595" w14:textId="77777777" w:rsidR="002B733E" w:rsidRPr="00FD50F6" w:rsidRDefault="002B733E" w:rsidP="002B733E">
            <w:pPr>
              <w:pStyle w:val="7"/>
            </w:pPr>
            <w:r w:rsidRPr="00FD50F6">
              <w:rPr>
                <w:rFonts w:hint="eastAsia"/>
              </w:rPr>
              <w:t>3172</w:t>
            </w:r>
          </w:p>
        </w:tc>
        <w:tc>
          <w:tcPr>
            <w:tcW w:w="756" w:type="dxa"/>
            <w:vAlign w:val="bottom"/>
          </w:tcPr>
          <w:p w14:paraId="3999F6FC" w14:textId="77777777" w:rsidR="002B733E" w:rsidRPr="00FD50F6" w:rsidRDefault="002B733E" w:rsidP="002B733E">
            <w:pPr>
              <w:pStyle w:val="7"/>
              <w:rPr>
                <w:b/>
              </w:rPr>
            </w:pPr>
            <w:r w:rsidRPr="00FD50F6">
              <w:rPr>
                <w:rFonts w:hint="eastAsia"/>
                <w:b/>
              </w:rPr>
              <w:t>—</w:t>
            </w:r>
          </w:p>
        </w:tc>
      </w:tr>
      <w:tr w:rsidR="00FD50F6" w:rsidRPr="00FD50F6" w14:paraId="4D224DA1" w14:textId="77777777" w:rsidTr="002B733E">
        <w:trPr>
          <w:trHeight w:val="397"/>
        </w:trPr>
        <w:tc>
          <w:tcPr>
            <w:tcW w:w="701" w:type="dxa"/>
            <w:vAlign w:val="center"/>
          </w:tcPr>
          <w:p w14:paraId="6F9487E4" w14:textId="77777777" w:rsidR="002B733E" w:rsidRPr="00FD50F6" w:rsidRDefault="002B733E" w:rsidP="002B733E">
            <w:pPr>
              <w:pStyle w:val="7"/>
            </w:pPr>
            <w:r w:rsidRPr="00FD50F6">
              <w:rPr>
                <w:rFonts w:hint="eastAsia"/>
              </w:rPr>
              <w:t>点号</w:t>
            </w:r>
          </w:p>
        </w:tc>
        <w:tc>
          <w:tcPr>
            <w:tcW w:w="756" w:type="dxa"/>
            <w:vAlign w:val="bottom"/>
          </w:tcPr>
          <w:p w14:paraId="302E2C24" w14:textId="77777777" w:rsidR="002B733E" w:rsidRPr="00FD50F6" w:rsidRDefault="002B733E" w:rsidP="002B733E">
            <w:pPr>
              <w:pStyle w:val="7"/>
              <w:rPr>
                <w:b/>
              </w:rPr>
            </w:pPr>
            <w:r w:rsidRPr="00FD50F6">
              <w:rPr>
                <w:rFonts w:hint="eastAsia"/>
                <w:b/>
              </w:rPr>
              <w:t>29e</w:t>
            </w:r>
          </w:p>
        </w:tc>
        <w:tc>
          <w:tcPr>
            <w:tcW w:w="756" w:type="dxa"/>
            <w:vAlign w:val="bottom"/>
          </w:tcPr>
          <w:p w14:paraId="766033B9" w14:textId="77777777" w:rsidR="002B733E" w:rsidRPr="00FD50F6" w:rsidRDefault="002B733E" w:rsidP="002B733E">
            <w:pPr>
              <w:pStyle w:val="7"/>
              <w:rPr>
                <w:b/>
              </w:rPr>
            </w:pPr>
            <w:r w:rsidRPr="00FD50F6">
              <w:rPr>
                <w:rFonts w:hint="eastAsia"/>
                <w:b/>
              </w:rPr>
              <w:t>30e</w:t>
            </w:r>
          </w:p>
        </w:tc>
        <w:tc>
          <w:tcPr>
            <w:tcW w:w="756" w:type="dxa"/>
            <w:vAlign w:val="bottom"/>
          </w:tcPr>
          <w:p w14:paraId="63AD2775" w14:textId="77777777" w:rsidR="002B733E" w:rsidRPr="00FD50F6" w:rsidRDefault="002B733E" w:rsidP="002B733E">
            <w:pPr>
              <w:pStyle w:val="7"/>
              <w:rPr>
                <w:b/>
              </w:rPr>
            </w:pPr>
            <w:r w:rsidRPr="00FD50F6">
              <w:rPr>
                <w:rFonts w:hint="eastAsia"/>
                <w:b/>
              </w:rPr>
              <w:t>31e</w:t>
            </w:r>
          </w:p>
        </w:tc>
        <w:tc>
          <w:tcPr>
            <w:tcW w:w="756" w:type="dxa"/>
            <w:vAlign w:val="bottom"/>
          </w:tcPr>
          <w:p w14:paraId="04CF9909" w14:textId="77777777" w:rsidR="002B733E" w:rsidRPr="00FD50F6" w:rsidRDefault="002B733E" w:rsidP="002B733E">
            <w:pPr>
              <w:pStyle w:val="7"/>
              <w:rPr>
                <w:b/>
              </w:rPr>
            </w:pPr>
            <w:r w:rsidRPr="00FD50F6">
              <w:rPr>
                <w:rFonts w:hint="eastAsia"/>
                <w:b/>
              </w:rPr>
              <w:t>32e</w:t>
            </w:r>
          </w:p>
        </w:tc>
        <w:tc>
          <w:tcPr>
            <w:tcW w:w="756" w:type="dxa"/>
            <w:vAlign w:val="bottom"/>
          </w:tcPr>
          <w:p w14:paraId="2B2EA678" w14:textId="77777777" w:rsidR="002B733E" w:rsidRPr="00FD50F6" w:rsidRDefault="002B733E" w:rsidP="002B733E">
            <w:pPr>
              <w:pStyle w:val="7"/>
              <w:rPr>
                <w:b/>
              </w:rPr>
            </w:pPr>
            <w:r w:rsidRPr="00FD50F6">
              <w:rPr>
                <w:rFonts w:hint="eastAsia"/>
                <w:b/>
              </w:rPr>
              <w:t>33e</w:t>
            </w:r>
          </w:p>
        </w:tc>
        <w:tc>
          <w:tcPr>
            <w:tcW w:w="756" w:type="dxa"/>
            <w:vAlign w:val="bottom"/>
          </w:tcPr>
          <w:p w14:paraId="37B505E9" w14:textId="77777777" w:rsidR="002B733E" w:rsidRPr="00FD50F6" w:rsidRDefault="002B733E" w:rsidP="002B733E">
            <w:pPr>
              <w:pStyle w:val="7"/>
              <w:rPr>
                <w:b/>
              </w:rPr>
            </w:pPr>
            <w:r w:rsidRPr="00FD50F6">
              <w:rPr>
                <w:rFonts w:hint="eastAsia"/>
                <w:b/>
              </w:rPr>
              <w:t>34e</w:t>
            </w:r>
          </w:p>
        </w:tc>
        <w:tc>
          <w:tcPr>
            <w:tcW w:w="756" w:type="dxa"/>
            <w:vAlign w:val="bottom"/>
          </w:tcPr>
          <w:p w14:paraId="36B09DF4" w14:textId="77777777" w:rsidR="002B733E" w:rsidRPr="00FD50F6" w:rsidRDefault="002B733E" w:rsidP="002B733E">
            <w:pPr>
              <w:pStyle w:val="7"/>
              <w:rPr>
                <w:b/>
              </w:rPr>
            </w:pPr>
            <w:r w:rsidRPr="00FD50F6">
              <w:rPr>
                <w:rFonts w:hint="eastAsia"/>
                <w:b/>
              </w:rPr>
              <w:t>35e</w:t>
            </w:r>
          </w:p>
        </w:tc>
        <w:tc>
          <w:tcPr>
            <w:tcW w:w="756" w:type="dxa"/>
            <w:vAlign w:val="bottom"/>
          </w:tcPr>
          <w:p w14:paraId="30A8591B" w14:textId="77777777" w:rsidR="002B733E" w:rsidRPr="00FD50F6" w:rsidRDefault="002B733E" w:rsidP="002B733E">
            <w:pPr>
              <w:pStyle w:val="7"/>
              <w:rPr>
                <w:b/>
              </w:rPr>
            </w:pPr>
            <w:r w:rsidRPr="00FD50F6">
              <w:rPr>
                <w:rFonts w:hint="eastAsia"/>
                <w:b/>
              </w:rPr>
              <w:t>m3</w:t>
            </w:r>
          </w:p>
        </w:tc>
        <w:tc>
          <w:tcPr>
            <w:tcW w:w="756" w:type="dxa"/>
            <w:vAlign w:val="bottom"/>
          </w:tcPr>
          <w:p w14:paraId="456F34E1" w14:textId="77777777" w:rsidR="002B733E" w:rsidRPr="00FD50F6" w:rsidRDefault="002B733E" w:rsidP="002B733E">
            <w:pPr>
              <w:pStyle w:val="7"/>
              <w:rPr>
                <w:b/>
              </w:rPr>
            </w:pPr>
            <w:r w:rsidRPr="00FD50F6">
              <w:rPr>
                <w:rFonts w:hint="eastAsia"/>
                <w:b/>
              </w:rPr>
              <w:t>m4</w:t>
            </w:r>
          </w:p>
        </w:tc>
        <w:tc>
          <w:tcPr>
            <w:tcW w:w="756" w:type="dxa"/>
            <w:vAlign w:val="bottom"/>
          </w:tcPr>
          <w:p w14:paraId="564C6DEF" w14:textId="77777777" w:rsidR="002B733E" w:rsidRPr="00FD50F6" w:rsidRDefault="002B733E" w:rsidP="002B733E">
            <w:pPr>
              <w:pStyle w:val="7"/>
              <w:rPr>
                <w:b/>
              </w:rPr>
            </w:pPr>
            <w:r w:rsidRPr="00FD50F6">
              <w:rPr>
                <w:rFonts w:hint="eastAsia"/>
                <w:b/>
              </w:rPr>
              <w:t>—</w:t>
            </w:r>
          </w:p>
        </w:tc>
      </w:tr>
      <w:tr w:rsidR="00FD50F6" w:rsidRPr="00FD50F6" w14:paraId="33CC159C" w14:textId="77777777" w:rsidTr="002B733E">
        <w:trPr>
          <w:trHeight w:val="397"/>
        </w:trPr>
        <w:tc>
          <w:tcPr>
            <w:tcW w:w="701" w:type="dxa"/>
            <w:vAlign w:val="center"/>
          </w:tcPr>
          <w:p w14:paraId="3808F13B" w14:textId="77777777" w:rsidR="002B733E" w:rsidRPr="00FD50F6" w:rsidRDefault="002B733E" w:rsidP="002B733E">
            <w:pPr>
              <w:pStyle w:val="7"/>
            </w:pPr>
            <w:r w:rsidRPr="00FD50F6">
              <w:rPr>
                <w:rFonts w:hint="eastAsia"/>
              </w:rPr>
              <w:t>X</w:t>
            </w:r>
          </w:p>
        </w:tc>
        <w:tc>
          <w:tcPr>
            <w:tcW w:w="756" w:type="dxa"/>
            <w:vAlign w:val="bottom"/>
          </w:tcPr>
          <w:p w14:paraId="4A1B32CF" w14:textId="77777777" w:rsidR="002B733E" w:rsidRPr="00FD50F6" w:rsidRDefault="002B733E" w:rsidP="002B733E">
            <w:pPr>
              <w:pStyle w:val="7"/>
            </w:pPr>
            <w:r w:rsidRPr="00FD50F6">
              <w:rPr>
                <w:rFonts w:hint="eastAsia"/>
              </w:rPr>
              <w:t>1308</w:t>
            </w:r>
          </w:p>
        </w:tc>
        <w:tc>
          <w:tcPr>
            <w:tcW w:w="756" w:type="dxa"/>
            <w:vAlign w:val="bottom"/>
          </w:tcPr>
          <w:p w14:paraId="107908E4" w14:textId="77777777" w:rsidR="002B733E" w:rsidRPr="00FD50F6" w:rsidRDefault="002B733E" w:rsidP="002B733E">
            <w:pPr>
              <w:pStyle w:val="7"/>
            </w:pPr>
            <w:r w:rsidRPr="00FD50F6">
              <w:rPr>
                <w:rFonts w:hint="eastAsia"/>
              </w:rPr>
              <w:t>1580</w:t>
            </w:r>
          </w:p>
        </w:tc>
        <w:tc>
          <w:tcPr>
            <w:tcW w:w="756" w:type="dxa"/>
            <w:vAlign w:val="bottom"/>
          </w:tcPr>
          <w:p w14:paraId="0E56D691" w14:textId="77777777" w:rsidR="002B733E" w:rsidRPr="00FD50F6" w:rsidRDefault="002B733E" w:rsidP="002B733E">
            <w:pPr>
              <w:pStyle w:val="7"/>
            </w:pPr>
            <w:r w:rsidRPr="00FD50F6">
              <w:rPr>
                <w:rFonts w:hint="eastAsia"/>
              </w:rPr>
              <w:t>1580</w:t>
            </w:r>
          </w:p>
        </w:tc>
        <w:tc>
          <w:tcPr>
            <w:tcW w:w="756" w:type="dxa"/>
            <w:vAlign w:val="bottom"/>
          </w:tcPr>
          <w:p w14:paraId="347233F2" w14:textId="77777777" w:rsidR="002B733E" w:rsidRPr="00FD50F6" w:rsidRDefault="002B733E" w:rsidP="002B733E">
            <w:pPr>
              <w:pStyle w:val="7"/>
            </w:pPr>
            <w:r w:rsidRPr="00FD50F6">
              <w:rPr>
                <w:rFonts w:hint="eastAsia"/>
              </w:rPr>
              <w:t>1405</w:t>
            </w:r>
          </w:p>
        </w:tc>
        <w:tc>
          <w:tcPr>
            <w:tcW w:w="756" w:type="dxa"/>
            <w:vAlign w:val="bottom"/>
          </w:tcPr>
          <w:p w14:paraId="1C3F9864" w14:textId="77777777" w:rsidR="002B733E" w:rsidRPr="00FD50F6" w:rsidRDefault="002B733E" w:rsidP="002B733E">
            <w:pPr>
              <w:pStyle w:val="7"/>
            </w:pPr>
            <w:r w:rsidRPr="00FD50F6">
              <w:rPr>
                <w:rFonts w:hint="eastAsia"/>
              </w:rPr>
              <w:t>1396</w:t>
            </w:r>
          </w:p>
        </w:tc>
        <w:tc>
          <w:tcPr>
            <w:tcW w:w="756" w:type="dxa"/>
            <w:vAlign w:val="bottom"/>
          </w:tcPr>
          <w:p w14:paraId="4EC60720" w14:textId="77777777" w:rsidR="002B733E" w:rsidRPr="00FD50F6" w:rsidRDefault="002B733E" w:rsidP="002B733E">
            <w:pPr>
              <w:pStyle w:val="7"/>
            </w:pPr>
            <w:r w:rsidRPr="00FD50F6">
              <w:rPr>
                <w:rFonts w:hint="eastAsia"/>
              </w:rPr>
              <w:t>1118</w:t>
            </w:r>
          </w:p>
        </w:tc>
        <w:tc>
          <w:tcPr>
            <w:tcW w:w="756" w:type="dxa"/>
            <w:vAlign w:val="bottom"/>
          </w:tcPr>
          <w:p w14:paraId="1E0C2574" w14:textId="77777777" w:rsidR="002B733E" w:rsidRPr="00FD50F6" w:rsidRDefault="002B733E" w:rsidP="002B733E">
            <w:pPr>
              <w:pStyle w:val="7"/>
            </w:pPr>
            <w:r w:rsidRPr="00FD50F6">
              <w:rPr>
                <w:rFonts w:hint="eastAsia"/>
              </w:rPr>
              <w:t>1095</w:t>
            </w:r>
          </w:p>
        </w:tc>
        <w:tc>
          <w:tcPr>
            <w:tcW w:w="756" w:type="dxa"/>
            <w:vAlign w:val="bottom"/>
          </w:tcPr>
          <w:p w14:paraId="530589EA" w14:textId="77777777" w:rsidR="002B733E" w:rsidRPr="00FD50F6" w:rsidRDefault="002B733E" w:rsidP="002B733E">
            <w:pPr>
              <w:pStyle w:val="7"/>
            </w:pPr>
            <w:r w:rsidRPr="00FD50F6">
              <w:rPr>
                <w:rFonts w:hint="eastAsia"/>
              </w:rPr>
              <w:t>1549</w:t>
            </w:r>
          </w:p>
        </w:tc>
        <w:tc>
          <w:tcPr>
            <w:tcW w:w="756" w:type="dxa"/>
            <w:vAlign w:val="bottom"/>
          </w:tcPr>
          <w:p w14:paraId="1688A762" w14:textId="77777777" w:rsidR="002B733E" w:rsidRPr="00FD50F6" w:rsidRDefault="002B733E" w:rsidP="002B733E">
            <w:pPr>
              <w:pStyle w:val="7"/>
            </w:pPr>
            <w:r w:rsidRPr="00FD50F6">
              <w:rPr>
                <w:rFonts w:hint="eastAsia"/>
              </w:rPr>
              <w:t>1498</w:t>
            </w:r>
          </w:p>
        </w:tc>
        <w:tc>
          <w:tcPr>
            <w:tcW w:w="756" w:type="dxa"/>
            <w:vAlign w:val="bottom"/>
          </w:tcPr>
          <w:p w14:paraId="138A181F" w14:textId="77777777" w:rsidR="002B733E" w:rsidRPr="00FD50F6" w:rsidRDefault="002B733E" w:rsidP="002B733E">
            <w:pPr>
              <w:pStyle w:val="7"/>
              <w:rPr>
                <w:b/>
              </w:rPr>
            </w:pPr>
            <w:r w:rsidRPr="00FD50F6">
              <w:rPr>
                <w:rFonts w:hint="eastAsia"/>
                <w:b/>
              </w:rPr>
              <w:t>—</w:t>
            </w:r>
          </w:p>
        </w:tc>
      </w:tr>
      <w:tr w:rsidR="00FD50F6" w:rsidRPr="00FD50F6" w14:paraId="22A28A1C" w14:textId="77777777" w:rsidTr="002B733E">
        <w:trPr>
          <w:trHeight w:val="397"/>
        </w:trPr>
        <w:tc>
          <w:tcPr>
            <w:tcW w:w="701" w:type="dxa"/>
            <w:vAlign w:val="center"/>
          </w:tcPr>
          <w:p w14:paraId="3765CBED" w14:textId="77777777" w:rsidR="002B733E" w:rsidRPr="00FD50F6" w:rsidRDefault="002B733E" w:rsidP="002B733E">
            <w:pPr>
              <w:pStyle w:val="7"/>
            </w:pPr>
            <w:r w:rsidRPr="00FD50F6">
              <w:rPr>
                <w:rFonts w:hint="eastAsia"/>
              </w:rPr>
              <w:t>Y</w:t>
            </w:r>
          </w:p>
        </w:tc>
        <w:tc>
          <w:tcPr>
            <w:tcW w:w="756" w:type="dxa"/>
            <w:vAlign w:val="bottom"/>
          </w:tcPr>
          <w:p w14:paraId="574D1D29" w14:textId="77777777" w:rsidR="002B733E" w:rsidRPr="00FD50F6" w:rsidRDefault="002B733E" w:rsidP="002B733E">
            <w:pPr>
              <w:pStyle w:val="7"/>
            </w:pPr>
            <w:r w:rsidRPr="00FD50F6">
              <w:rPr>
                <w:rFonts w:hint="eastAsia"/>
              </w:rPr>
              <w:t>280</w:t>
            </w:r>
          </w:p>
        </w:tc>
        <w:tc>
          <w:tcPr>
            <w:tcW w:w="756" w:type="dxa"/>
            <w:vAlign w:val="bottom"/>
          </w:tcPr>
          <w:p w14:paraId="44649479" w14:textId="77777777" w:rsidR="002B733E" w:rsidRPr="00FD50F6" w:rsidRDefault="002B733E" w:rsidP="002B733E">
            <w:pPr>
              <w:pStyle w:val="7"/>
            </w:pPr>
            <w:r w:rsidRPr="00FD50F6">
              <w:rPr>
                <w:rFonts w:hint="eastAsia"/>
              </w:rPr>
              <w:t>280</w:t>
            </w:r>
          </w:p>
        </w:tc>
        <w:tc>
          <w:tcPr>
            <w:tcW w:w="756" w:type="dxa"/>
            <w:vAlign w:val="bottom"/>
          </w:tcPr>
          <w:p w14:paraId="61A0B2FB" w14:textId="77777777" w:rsidR="002B733E" w:rsidRPr="00FD50F6" w:rsidRDefault="002B733E" w:rsidP="002B733E">
            <w:pPr>
              <w:pStyle w:val="7"/>
            </w:pPr>
            <w:r w:rsidRPr="00FD50F6">
              <w:rPr>
                <w:rFonts w:hint="eastAsia"/>
              </w:rPr>
              <w:t>76</w:t>
            </w:r>
          </w:p>
        </w:tc>
        <w:tc>
          <w:tcPr>
            <w:tcW w:w="756" w:type="dxa"/>
            <w:vAlign w:val="bottom"/>
          </w:tcPr>
          <w:p w14:paraId="6CFF3CE5" w14:textId="77777777" w:rsidR="002B733E" w:rsidRPr="00FD50F6" w:rsidRDefault="002B733E" w:rsidP="002B733E">
            <w:pPr>
              <w:pStyle w:val="7"/>
            </w:pPr>
            <w:r w:rsidRPr="00FD50F6">
              <w:rPr>
                <w:rFonts w:hint="eastAsia"/>
              </w:rPr>
              <w:t>76</w:t>
            </w:r>
          </w:p>
        </w:tc>
        <w:tc>
          <w:tcPr>
            <w:tcW w:w="756" w:type="dxa"/>
            <w:vAlign w:val="bottom"/>
          </w:tcPr>
          <w:p w14:paraId="16D004BF" w14:textId="77777777" w:rsidR="002B733E" w:rsidRPr="00FD50F6" w:rsidRDefault="002B733E" w:rsidP="002B733E">
            <w:pPr>
              <w:pStyle w:val="7"/>
            </w:pPr>
            <w:r w:rsidRPr="00FD50F6">
              <w:rPr>
                <w:rFonts w:hint="eastAsia"/>
              </w:rPr>
              <w:t>69</w:t>
            </w:r>
          </w:p>
        </w:tc>
        <w:tc>
          <w:tcPr>
            <w:tcW w:w="756" w:type="dxa"/>
            <w:vAlign w:val="bottom"/>
          </w:tcPr>
          <w:p w14:paraId="4552C810" w14:textId="77777777" w:rsidR="002B733E" w:rsidRPr="00FD50F6" w:rsidRDefault="002B733E" w:rsidP="002B733E">
            <w:pPr>
              <w:pStyle w:val="7"/>
            </w:pPr>
            <w:r w:rsidRPr="00FD50F6">
              <w:rPr>
                <w:rFonts w:hint="eastAsia"/>
              </w:rPr>
              <w:t>119</w:t>
            </w:r>
          </w:p>
        </w:tc>
        <w:tc>
          <w:tcPr>
            <w:tcW w:w="756" w:type="dxa"/>
            <w:vAlign w:val="bottom"/>
          </w:tcPr>
          <w:p w14:paraId="13D1DBE4" w14:textId="77777777" w:rsidR="002B733E" w:rsidRPr="00FD50F6" w:rsidRDefault="002B733E" w:rsidP="002B733E">
            <w:pPr>
              <w:pStyle w:val="7"/>
            </w:pPr>
            <w:r w:rsidRPr="00FD50F6">
              <w:rPr>
                <w:rFonts w:hint="eastAsia"/>
              </w:rPr>
              <w:t>156</w:t>
            </w:r>
          </w:p>
        </w:tc>
        <w:tc>
          <w:tcPr>
            <w:tcW w:w="756" w:type="dxa"/>
            <w:vAlign w:val="bottom"/>
          </w:tcPr>
          <w:p w14:paraId="74ED77A4" w14:textId="77777777" w:rsidR="002B733E" w:rsidRPr="00FD50F6" w:rsidRDefault="002B733E" w:rsidP="002B733E">
            <w:pPr>
              <w:pStyle w:val="7"/>
            </w:pPr>
            <w:r w:rsidRPr="00FD50F6">
              <w:rPr>
                <w:rFonts w:hint="eastAsia"/>
              </w:rPr>
              <w:t>1124</w:t>
            </w:r>
          </w:p>
        </w:tc>
        <w:tc>
          <w:tcPr>
            <w:tcW w:w="756" w:type="dxa"/>
            <w:vAlign w:val="bottom"/>
          </w:tcPr>
          <w:p w14:paraId="5513C929" w14:textId="77777777" w:rsidR="002B733E" w:rsidRPr="00FD50F6" w:rsidRDefault="002B733E" w:rsidP="002B733E">
            <w:pPr>
              <w:pStyle w:val="7"/>
            </w:pPr>
            <w:r w:rsidRPr="00FD50F6">
              <w:rPr>
                <w:rFonts w:hint="eastAsia"/>
              </w:rPr>
              <w:t>1124</w:t>
            </w:r>
          </w:p>
        </w:tc>
        <w:tc>
          <w:tcPr>
            <w:tcW w:w="756" w:type="dxa"/>
            <w:vAlign w:val="bottom"/>
          </w:tcPr>
          <w:p w14:paraId="73190A06" w14:textId="77777777" w:rsidR="002B733E" w:rsidRPr="00FD50F6" w:rsidRDefault="002B733E" w:rsidP="002B733E">
            <w:pPr>
              <w:pStyle w:val="7"/>
              <w:rPr>
                <w:b/>
              </w:rPr>
            </w:pPr>
            <w:r w:rsidRPr="00FD50F6">
              <w:rPr>
                <w:rFonts w:hint="eastAsia"/>
                <w:b/>
              </w:rPr>
              <w:t>—</w:t>
            </w:r>
          </w:p>
        </w:tc>
      </w:tr>
    </w:tbl>
    <w:p w14:paraId="50990673" w14:textId="77777777" w:rsidR="002B733E" w:rsidRPr="00FD50F6" w:rsidRDefault="002B733E" w:rsidP="002B733E">
      <w:pPr>
        <w:spacing w:line="0" w:lineRule="atLeast"/>
        <w:ind w:left="360" w:hangingChars="200" w:hanging="360"/>
        <w:rPr>
          <w:rFonts w:ascii="Calibri" w:hAnsi="Calibri" w:cs="Times New Roman"/>
          <w:sz w:val="18"/>
          <w:szCs w:val="24"/>
        </w:rPr>
      </w:pPr>
      <w:r w:rsidRPr="00FD50F6">
        <w:rPr>
          <w:rFonts w:ascii="Calibri" w:hAnsi="Calibri" w:cs="Times New Roman" w:hint="eastAsia"/>
          <w:sz w:val="18"/>
          <w:szCs w:val="24"/>
        </w:rPr>
        <w:t>注：表中第</w:t>
      </w:r>
      <w:r w:rsidRPr="00FD50F6">
        <w:rPr>
          <w:rFonts w:ascii="Calibri" w:hAnsi="Calibri" w:cs="Times New Roman" w:hint="eastAsia"/>
          <w:sz w:val="18"/>
          <w:szCs w:val="24"/>
        </w:rPr>
        <w:t>0</w:t>
      </w:r>
      <w:r w:rsidRPr="00FD50F6">
        <w:rPr>
          <w:rFonts w:ascii="Calibri" w:hAnsi="Calibri" w:cs="Times New Roman" w:hint="eastAsia"/>
          <w:sz w:val="18"/>
          <w:szCs w:val="24"/>
        </w:rPr>
        <w:t>～</w:t>
      </w:r>
      <w:r w:rsidRPr="00FD50F6">
        <w:rPr>
          <w:rFonts w:ascii="Calibri" w:hAnsi="Calibri" w:cs="Times New Roman" w:hint="eastAsia"/>
          <w:sz w:val="18"/>
          <w:szCs w:val="24"/>
        </w:rPr>
        <w:t>13</w:t>
      </w:r>
      <w:r w:rsidRPr="00FD50F6">
        <w:rPr>
          <w:rFonts w:ascii="Calibri" w:hAnsi="Calibri" w:cs="Times New Roman" w:hint="eastAsia"/>
          <w:sz w:val="18"/>
          <w:szCs w:val="24"/>
        </w:rPr>
        <w:t>点是车体上的控制点；第</w:t>
      </w:r>
      <w:r w:rsidRPr="00FD50F6">
        <w:rPr>
          <w:rFonts w:ascii="Calibri" w:hAnsi="Calibri" w:cs="Times New Roman" w:hint="eastAsia"/>
          <w:sz w:val="18"/>
          <w:szCs w:val="24"/>
        </w:rPr>
        <w:t>14</w:t>
      </w:r>
      <w:r w:rsidRPr="00FD50F6">
        <w:rPr>
          <w:rFonts w:ascii="Calibri" w:hAnsi="Calibri" w:cs="Times New Roman" w:hint="eastAsia"/>
          <w:sz w:val="18"/>
          <w:szCs w:val="24"/>
        </w:rPr>
        <w:t>～</w:t>
      </w:r>
      <w:r w:rsidRPr="00FD50F6">
        <w:rPr>
          <w:rFonts w:ascii="Calibri" w:hAnsi="Calibri" w:cs="Times New Roman" w:hint="eastAsia"/>
          <w:sz w:val="18"/>
          <w:szCs w:val="24"/>
        </w:rPr>
        <w:t>28</w:t>
      </w:r>
      <w:r w:rsidRPr="00FD50F6">
        <w:rPr>
          <w:rFonts w:ascii="Calibri" w:hAnsi="Calibri" w:cs="Times New Roman" w:hint="eastAsia"/>
          <w:sz w:val="18"/>
          <w:szCs w:val="24"/>
        </w:rPr>
        <w:t>点是转向架上的控制点；第</w:t>
      </w:r>
      <w:r w:rsidRPr="00FD50F6">
        <w:rPr>
          <w:rFonts w:ascii="Calibri" w:hAnsi="Calibri" w:cs="Times New Roman" w:hint="eastAsia"/>
          <w:sz w:val="18"/>
          <w:szCs w:val="24"/>
        </w:rPr>
        <w:t>29d</w:t>
      </w:r>
      <w:r w:rsidRPr="00FD50F6">
        <w:rPr>
          <w:rFonts w:ascii="Calibri" w:hAnsi="Calibri" w:cs="Times New Roman" w:hint="eastAsia"/>
          <w:sz w:val="18"/>
          <w:szCs w:val="24"/>
        </w:rPr>
        <w:t>～</w:t>
      </w:r>
      <w:r w:rsidRPr="00FD50F6">
        <w:rPr>
          <w:rFonts w:ascii="Calibri" w:hAnsi="Calibri" w:cs="Times New Roman" w:hint="eastAsia"/>
          <w:sz w:val="18"/>
          <w:szCs w:val="24"/>
        </w:rPr>
        <w:t>35d</w:t>
      </w:r>
      <w:r w:rsidRPr="00FD50F6">
        <w:rPr>
          <w:rFonts w:ascii="Calibri" w:hAnsi="Calibri" w:cs="Times New Roman" w:hint="eastAsia"/>
          <w:sz w:val="18"/>
          <w:szCs w:val="24"/>
        </w:rPr>
        <w:t>为受电靴工作状态控制点；第</w:t>
      </w:r>
      <w:r w:rsidRPr="00FD50F6">
        <w:rPr>
          <w:rFonts w:ascii="Calibri" w:hAnsi="Calibri" w:cs="Times New Roman" w:hint="eastAsia"/>
          <w:sz w:val="18"/>
          <w:szCs w:val="24"/>
        </w:rPr>
        <w:t>29e</w:t>
      </w:r>
      <w:r w:rsidRPr="00FD50F6">
        <w:rPr>
          <w:rFonts w:ascii="Calibri" w:hAnsi="Calibri" w:cs="Times New Roman" w:hint="eastAsia"/>
          <w:sz w:val="18"/>
          <w:szCs w:val="24"/>
        </w:rPr>
        <w:t>～</w:t>
      </w:r>
      <w:r w:rsidRPr="00FD50F6">
        <w:rPr>
          <w:rFonts w:ascii="Calibri" w:hAnsi="Calibri" w:cs="Times New Roman" w:hint="eastAsia"/>
          <w:sz w:val="18"/>
          <w:szCs w:val="24"/>
        </w:rPr>
        <w:t>35e</w:t>
      </w:r>
      <w:r w:rsidRPr="00FD50F6">
        <w:rPr>
          <w:rFonts w:ascii="Calibri" w:hAnsi="Calibri" w:cs="Times New Roman" w:hint="eastAsia"/>
          <w:sz w:val="18"/>
          <w:szCs w:val="24"/>
        </w:rPr>
        <w:t>为受电靴非工作状态控制点；</w:t>
      </w:r>
      <w:r w:rsidRPr="00FD50F6">
        <w:rPr>
          <w:rFonts w:ascii="Calibri" w:hAnsi="Calibri" w:cs="Times New Roman" w:hint="eastAsia"/>
          <w:sz w:val="18"/>
          <w:szCs w:val="24"/>
        </w:rPr>
        <w:t>m1</w:t>
      </w:r>
      <w:r w:rsidRPr="00FD50F6">
        <w:rPr>
          <w:rFonts w:ascii="Calibri" w:hAnsi="Calibri" w:cs="Times New Roman" w:hint="eastAsia"/>
          <w:sz w:val="18"/>
          <w:szCs w:val="24"/>
        </w:rPr>
        <w:t>～</w:t>
      </w:r>
      <w:r w:rsidRPr="00FD50F6">
        <w:rPr>
          <w:rFonts w:ascii="Calibri" w:hAnsi="Calibri" w:cs="Times New Roman" w:hint="eastAsia"/>
          <w:sz w:val="18"/>
          <w:szCs w:val="24"/>
        </w:rPr>
        <w:t>m4</w:t>
      </w:r>
      <w:r w:rsidRPr="00FD50F6">
        <w:rPr>
          <w:rFonts w:ascii="Calibri" w:hAnsi="Calibri" w:cs="Times New Roman" w:hint="eastAsia"/>
          <w:sz w:val="18"/>
          <w:szCs w:val="24"/>
        </w:rPr>
        <w:t>点是开门状态下车门控制点。</w:t>
      </w:r>
    </w:p>
    <w:p w14:paraId="19993F0C" w14:textId="77777777" w:rsidR="002B733E" w:rsidRPr="00FD50F6" w:rsidRDefault="002B733E" w:rsidP="002B733E">
      <w:pPr>
        <w:spacing w:line="240" w:lineRule="auto"/>
        <w:jc w:val="center"/>
        <w:rPr>
          <w:rFonts w:ascii="黑体" w:eastAsia="黑体" w:hAnsi="黑体" w:cs="Times New Roman"/>
          <w:sz w:val="21"/>
          <w:szCs w:val="24"/>
        </w:rPr>
      </w:pPr>
    </w:p>
    <w:p w14:paraId="27147DF6" w14:textId="77777777" w:rsidR="002B733E" w:rsidRPr="00FD50F6" w:rsidRDefault="002B733E" w:rsidP="002B733E">
      <w:pPr>
        <w:pStyle w:val="6"/>
      </w:pPr>
      <w:r w:rsidRPr="00FD50F6">
        <w:rPr>
          <w:rFonts w:hint="eastAsia"/>
        </w:rPr>
        <w:t>表</w:t>
      </w:r>
      <w:r w:rsidRPr="00FD50F6">
        <w:rPr>
          <w:rFonts w:ascii="Calibri" w:hAnsi="Calibri" w:hint="eastAsia"/>
          <w:b/>
        </w:rPr>
        <w:t>B.0.2-2</w:t>
      </w:r>
      <w:r w:rsidRPr="00FD50F6">
        <w:rPr>
          <w:rFonts w:hint="eastAsia"/>
        </w:rPr>
        <w:t xml:space="preserve">  </w:t>
      </w:r>
      <w:r w:rsidRPr="00FD50F6">
        <w:rPr>
          <w:rFonts w:hint="eastAsia"/>
        </w:rPr>
        <w:t>隧道内车站直线地段停站车辆限界坐标值（</w:t>
      </w:r>
      <w:r w:rsidRPr="00FD50F6">
        <w:rPr>
          <w:rFonts w:hint="eastAsia"/>
        </w:rPr>
        <w:t>mm</w:t>
      </w:r>
      <w:r w:rsidRPr="00FD50F6">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3C4E005C" w14:textId="77777777" w:rsidTr="002B733E">
        <w:trPr>
          <w:trHeight w:val="397"/>
        </w:trPr>
        <w:tc>
          <w:tcPr>
            <w:tcW w:w="701" w:type="dxa"/>
            <w:vAlign w:val="center"/>
          </w:tcPr>
          <w:p w14:paraId="58310E99" w14:textId="77777777" w:rsidR="002B733E" w:rsidRPr="00FD50F6" w:rsidRDefault="002B733E" w:rsidP="002B733E">
            <w:pPr>
              <w:pStyle w:val="7"/>
            </w:pPr>
            <w:r w:rsidRPr="00FD50F6">
              <w:rPr>
                <w:rFonts w:hint="eastAsia"/>
              </w:rPr>
              <w:t>点号</w:t>
            </w:r>
          </w:p>
        </w:tc>
        <w:tc>
          <w:tcPr>
            <w:tcW w:w="756" w:type="dxa"/>
            <w:vAlign w:val="center"/>
          </w:tcPr>
          <w:p w14:paraId="6D09E151"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2F15C32F"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70EDA522"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67E4F8FE"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56311AFD"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34E53946"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58D2F258"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2FA7F17C"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58E801E1"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579CFACA"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131023AC" w14:textId="77777777" w:rsidTr="002B733E">
        <w:trPr>
          <w:trHeight w:val="397"/>
        </w:trPr>
        <w:tc>
          <w:tcPr>
            <w:tcW w:w="701" w:type="dxa"/>
            <w:vAlign w:val="center"/>
          </w:tcPr>
          <w:p w14:paraId="17708F42" w14:textId="77777777" w:rsidR="002B733E" w:rsidRPr="00FD50F6" w:rsidRDefault="002B733E" w:rsidP="002B733E">
            <w:pPr>
              <w:pStyle w:val="7"/>
            </w:pPr>
            <w:r w:rsidRPr="00FD50F6">
              <w:rPr>
                <w:rFonts w:hint="eastAsia"/>
              </w:rPr>
              <w:t>X</w:t>
            </w:r>
          </w:p>
        </w:tc>
        <w:tc>
          <w:tcPr>
            <w:tcW w:w="756" w:type="dxa"/>
            <w:vAlign w:val="center"/>
          </w:tcPr>
          <w:p w14:paraId="5434958A" w14:textId="77777777" w:rsidR="002B733E" w:rsidRPr="00FD50F6" w:rsidRDefault="002B733E" w:rsidP="002B733E">
            <w:pPr>
              <w:pStyle w:val="7"/>
            </w:pPr>
            <w:r w:rsidRPr="00FD50F6">
              <w:rPr>
                <w:rFonts w:hint="eastAsia"/>
              </w:rPr>
              <w:t>0</w:t>
            </w:r>
          </w:p>
        </w:tc>
        <w:tc>
          <w:tcPr>
            <w:tcW w:w="756" w:type="dxa"/>
            <w:vAlign w:val="center"/>
          </w:tcPr>
          <w:p w14:paraId="0059C2AD" w14:textId="77777777" w:rsidR="002B733E" w:rsidRPr="00FD50F6" w:rsidRDefault="002B733E" w:rsidP="002B733E">
            <w:pPr>
              <w:pStyle w:val="7"/>
            </w:pPr>
            <w:r w:rsidRPr="00FD50F6">
              <w:rPr>
                <w:rFonts w:hint="eastAsia"/>
              </w:rPr>
              <w:t>722</w:t>
            </w:r>
          </w:p>
        </w:tc>
        <w:tc>
          <w:tcPr>
            <w:tcW w:w="756" w:type="dxa"/>
            <w:vAlign w:val="center"/>
          </w:tcPr>
          <w:p w14:paraId="0E8E1DC6" w14:textId="77777777" w:rsidR="002B733E" w:rsidRPr="00FD50F6" w:rsidRDefault="002B733E" w:rsidP="002B733E">
            <w:pPr>
              <w:pStyle w:val="7"/>
            </w:pPr>
            <w:r w:rsidRPr="00FD50F6">
              <w:rPr>
                <w:rFonts w:hint="eastAsia"/>
              </w:rPr>
              <w:t>741</w:t>
            </w:r>
          </w:p>
        </w:tc>
        <w:tc>
          <w:tcPr>
            <w:tcW w:w="756" w:type="dxa"/>
            <w:vAlign w:val="center"/>
          </w:tcPr>
          <w:p w14:paraId="7D18EDE0" w14:textId="77777777" w:rsidR="002B733E" w:rsidRPr="00FD50F6" w:rsidRDefault="002B733E" w:rsidP="002B733E">
            <w:pPr>
              <w:pStyle w:val="7"/>
            </w:pPr>
            <w:r w:rsidRPr="00FD50F6">
              <w:rPr>
                <w:rFonts w:hint="eastAsia"/>
              </w:rPr>
              <w:t>825</w:t>
            </w:r>
          </w:p>
        </w:tc>
        <w:tc>
          <w:tcPr>
            <w:tcW w:w="756" w:type="dxa"/>
            <w:vAlign w:val="center"/>
          </w:tcPr>
          <w:p w14:paraId="406A9461" w14:textId="77777777" w:rsidR="002B733E" w:rsidRPr="00FD50F6" w:rsidRDefault="002B733E" w:rsidP="002B733E">
            <w:pPr>
              <w:pStyle w:val="7"/>
            </w:pPr>
            <w:r w:rsidRPr="00FD50F6">
              <w:rPr>
                <w:rFonts w:hint="eastAsia"/>
              </w:rPr>
              <w:t>825</w:t>
            </w:r>
          </w:p>
        </w:tc>
        <w:tc>
          <w:tcPr>
            <w:tcW w:w="756" w:type="dxa"/>
            <w:vAlign w:val="center"/>
          </w:tcPr>
          <w:p w14:paraId="53CB2FC5" w14:textId="77777777" w:rsidR="002B733E" w:rsidRPr="00FD50F6" w:rsidRDefault="002B733E" w:rsidP="002B733E">
            <w:pPr>
              <w:pStyle w:val="7"/>
            </w:pPr>
            <w:r w:rsidRPr="00FD50F6">
              <w:rPr>
                <w:rFonts w:hint="eastAsia"/>
              </w:rPr>
              <w:t>886</w:t>
            </w:r>
          </w:p>
        </w:tc>
        <w:tc>
          <w:tcPr>
            <w:tcW w:w="756" w:type="dxa"/>
            <w:vAlign w:val="center"/>
          </w:tcPr>
          <w:p w14:paraId="34F46CF0" w14:textId="77777777" w:rsidR="002B733E" w:rsidRPr="00FD50F6" w:rsidRDefault="002B733E" w:rsidP="002B733E">
            <w:pPr>
              <w:pStyle w:val="7"/>
            </w:pPr>
            <w:r w:rsidRPr="00FD50F6">
              <w:rPr>
                <w:rFonts w:hint="eastAsia"/>
              </w:rPr>
              <w:t>1132</w:t>
            </w:r>
          </w:p>
        </w:tc>
        <w:tc>
          <w:tcPr>
            <w:tcW w:w="756" w:type="dxa"/>
            <w:vAlign w:val="center"/>
          </w:tcPr>
          <w:p w14:paraId="2003FAE5" w14:textId="77777777" w:rsidR="002B733E" w:rsidRPr="00FD50F6" w:rsidRDefault="002B733E" w:rsidP="002B733E">
            <w:pPr>
              <w:pStyle w:val="7"/>
            </w:pPr>
            <w:r w:rsidRPr="00FD50F6">
              <w:rPr>
                <w:rFonts w:hint="eastAsia"/>
              </w:rPr>
              <w:t>1395</w:t>
            </w:r>
          </w:p>
        </w:tc>
        <w:tc>
          <w:tcPr>
            <w:tcW w:w="756" w:type="dxa"/>
            <w:vAlign w:val="center"/>
          </w:tcPr>
          <w:p w14:paraId="53BCF683" w14:textId="77777777" w:rsidR="002B733E" w:rsidRPr="00FD50F6" w:rsidRDefault="002B733E" w:rsidP="002B733E">
            <w:pPr>
              <w:pStyle w:val="7"/>
            </w:pPr>
            <w:r w:rsidRPr="00FD50F6">
              <w:rPr>
                <w:rFonts w:hint="eastAsia"/>
              </w:rPr>
              <w:t>1437</w:t>
            </w:r>
          </w:p>
        </w:tc>
        <w:tc>
          <w:tcPr>
            <w:tcW w:w="756" w:type="dxa"/>
            <w:vAlign w:val="center"/>
          </w:tcPr>
          <w:p w14:paraId="1349D8D5" w14:textId="77777777" w:rsidR="002B733E" w:rsidRPr="00FD50F6" w:rsidRDefault="002B733E" w:rsidP="002B733E">
            <w:pPr>
              <w:pStyle w:val="7"/>
            </w:pPr>
            <w:r w:rsidRPr="00FD50F6">
              <w:rPr>
                <w:rFonts w:hint="eastAsia"/>
              </w:rPr>
              <w:t>1545</w:t>
            </w:r>
          </w:p>
        </w:tc>
      </w:tr>
      <w:tr w:rsidR="00FD50F6" w:rsidRPr="00FD50F6" w14:paraId="2B478229" w14:textId="77777777" w:rsidTr="002B733E">
        <w:trPr>
          <w:trHeight w:val="397"/>
        </w:trPr>
        <w:tc>
          <w:tcPr>
            <w:tcW w:w="701" w:type="dxa"/>
            <w:vAlign w:val="center"/>
          </w:tcPr>
          <w:p w14:paraId="6D352B1D" w14:textId="77777777" w:rsidR="002B733E" w:rsidRPr="00FD50F6" w:rsidRDefault="002B733E" w:rsidP="002B733E">
            <w:pPr>
              <w:pStyle w:val="7"/>
            </w:pPr>
            <w:r w:rsidRPr="00FD50F6">
              <w:rPr>
                <w:rFonts w:hint="eastAsia"/>
              </w:rPr>
              <w:t>Y</w:t>
            </w:r>
          </w:p>
        </w:tc>
        <w:tc>
          <w:tcPr>
            <w:tcW w:w="756" w:type="dxa"/>
            <w:vAlign w:val="center"/>
          </w:tcPr>
          <w:p w14:paraId="2BC3E921" w14:textId="77777777" w:rsidR="002B733E" w:rsidRPr="00FD50F6" w:rsidRDefault="002B733E" w:rsidP="002B733E">
            <w:pPr>
              <w:pStyle w:val="7"/>
            </w:pPr>
            <w:r w:rsidRPr="00FD50F6">
              <w:rPr>
                <w:rFonts w:hint="eastAsia"/>
              </w:rPr>
              <w:t>3860</w:t>
            </w:r>
          </w:p>
        </w:tc>
        <w:tc>
          <w:tcPr>
            <w:tcW w:w="756" w:type="dxa"/>
            <w:vAlign w:val="center"/>
          </w:tcPr>
          <w:p w14:paraId="15D3588E" w14:textId="77777777" w:rsidR="002B733E" w:rsidRPr="00FD50F6" w:rsidRDefault="002B733E" w:rsidP="002B733E">
            <w:pPr>
              <w:pStyle w:val="7"/>
            </w:pPr>
            <w:r w:rsidRPr="00FD50F6">
              <w:rPr>
                <w:rFonts w:hint="eastAsia"/>
              </w:rPr>
              <w:t>3862</w:t>
            </w:r>
          </w:p>
        </w:tc>
        <w:tc>
          <w:tcPr>
            <w:tcW w:w="756" w:type="dxa"/>
            <w:vAlign w:val="center"/>
          </w:tcPr>
          <w:p w14:paraId="67F8F096" w14:textId="77777777" w:rsidR="002B733E" w:rsidRPr="00FD50F6" w:rsidRDefault="002B733E" w:rsidP="002B733E">
            <w:pPr>
              <w:pStyle w:val="7"/>
            </w:pPr>
            <w:r w:rsidRPr="00FD50F6">
              <w:rPr>
                <w:rFonts w:hint="eastAsia"/>
              </w:rPr>
              <w:t>3862</w:t>
            </w:r>
          </w:p>
        </w:tc>
        <w:tc>
          <w:tcPr>
            <w:tcW w:w="756" w:type="dxa"/>
            <w:vAlign w:val="center"/>
          </w:tcPr>
          <w:p w14:paraId="5432A2C0" w14:textId="77777777" w:rsidR="002B733E" w:rsidRPr="00FD50F6" w:rsidRDefault="002B733E" w:rsidP="002B733E">
            <w:pPr>
              <w:pStyle w:val="7"/>
            </w:pPr>
            <w:r w:rsidRPr="00FD50F6">
              <w:rPr>
                <w:rFonts w:hint="eastAsia"/>
              </w:rPr>
              <w:t>3821</w:t>
            </w:r>
          </w:p>
        </w:tc>
        <w:tc>
          <w:tcPr>
            <w:tcW w:w="756" w:type="dxa"/>
            <w:vAlign w:val="center"/>
          </w:tcPr>
          <w:p w14:paraId="359A8E0C" w14:textId="77777777" w:rsidR="002B733E" w:rsidRPr="00FD50F6" w:rsidRDefault="002B733E" w:rsidP="002B733E">
            <w:pPr>
              <w:pStyle w:val="7"/>
            </w:pPr>
            <w:r w:rsidRPr="00FD50F6">
              <w:rPr>
                <w:rFonts w:hint="eastAsia"/>
              </w:rPr>
              <w:t>3748</w:t>
            </w:r>
          </w:p>
        </w:tc>
        <w:tc>
          <w:tcPr>
            <w:tcW w:w="756" w:type="dxa"/>
            <w:vAlign w:val="center"/>
          </w:tcPr>
          <w:p w14:paraId="0548243A" w14:textId="77777777" w:rsidR="002B733E" w:rsidRPr="00FD50F6" w:rsidRDefault="002B733E" w:rsidP="002B733E">
            <w:pPr>
              <w:pStyle w:val="7"/>
            </w:pPr>
            <w:r w:rsidRPr="00FD50F6">
              <w:rPr>
                <w:rFonts w:hint="eastAsia"/>
              </w:rPr>
              <w:t>3726</w:t>
            </w:r>
          </w:p>
        </w:tc>
        <w:tc>
          <w:tcPr>
            <w:tcW w:w="756" w:type="dxa"/>
            <w:vAlign w:val="center"/>
          </w:tcPr>
          <w:p w14:paraId="3BA26B96" w14:textId="77777777" w:rsidR="002B733E" w:rsidRPr="00FD50F6" w:rsidRDefault="002B733E" w:rsidP="002B733E">
            <w:pPr>
              <w:pStyle w:val="7"/>
            </w:pPr>
            <w:r w:rsidRPr="00FD50F6">
              <w:rPr>
                <w:rFonts w:hint="eastAsia"/>
              </w:rPr>
              <w:t>3574</w:t>
            </w:r>
          </w:p>
        </w:tc>
        <w:tc>
          <w:tcPr>
            <w:tcW w:w="756" w:type="dxa"/>
            <w:vAlign w:val="center"/>
          </w:tcPr>
          <w:p w14:paraId="61061AE7" w14:textId="77777777" w:rsidR="002B733E" w:rsidRPr="00FD50F6" w:rsidRDefault="002B733E" w:rsidP="002B733E">
            <w:pPr>
              <w:pStyle w:val="7"/>
            </w:pPr>
            <w:r w:rsidRPr="00FD50F6">
              <w:rPr>
                <w:rFonts w:hint="eastAsia"/>
              </w:rPr>
              <w:t>3410</w:t>
            </w:r>
          </w:p>
        </w:tc>
        <w:tc>
          <w:tcPr>
            <w:tcW w:w="756" w:type="dxa"/>
            <w:vAlign w:val="center"/>
          </w:tcPr>
          <w:p w14:paraId="4242FFB6" w14:textId="77777777" w:rsidR="002B733E" w:rsidRPr="00FD50F6" w:rsidRDefault="002B733E" w:rsidP="002B733E">
            <w:pPr>
              <w:pStyle w:val="7"/>
            </w:pPr>
            <w:r w:rsidRPr="00FD50F6">
              <w:rPr>
                <w:rFonts w:hint="eastAsia"/>
              </w:rPr>
              <w:t>3320</w:t>
            </w:r>
          </w:p>
        </w:tc>
        <w:tc>
          <w:tcPr>
            <w:tcW w:w="756" w:type="dxa"/>
            <w:vAlign w:val="center"/>
          </w:tcPr>
          <w:p w14:paraId="1F58C342" w14:textId="77777777" w:rsidR="002B733E" w:rsidRPr="00FD50F6" w:rsidRDefault="002B733E" w:rsidP="002B733E">
            <w:pPr>
              <w:pStyle w:val="7"/>
            </w:pPr>
            <w:r w:rsidRPr="00FD50F6">
              <w:rPr>
                <w:rFonts w:hint="eastAsia"/>
              </w:rPr>
              <w:t>1028</w:t>
            </w:r>
          </w:p>
        </w:tc>
      </w:tr>
      <w:tr w:rsidR="00FD50F6" w:rsidRPr="00FD50F6" w14:paraId="473F90D8" w14:textId="77777777" w:rsidTr="002B733E">
        <w:trPr>
          <w:trHeight w:val="397"/>
        </w:trPr>
        <w:tc>
          <w:tcPr>
            <w:tcW w:w="701" w:type="dxa"/>
            <w:vAlign w:val="center"/>
          </w:tcPr>
          <w:p w14:paraId="715927CC" w14:textId="77777777" w:rsidR="002B733E" w:rsidRPr="00FD50F6" w:rsidRDefault="002B733E" w:rsidP="002B733E">
            <w:pPr>
              <w:pStyle w:val="7"/>
            </w:pPr>
            <w:r w:rsidRPr="00FD50F6">
              <w:rPr>
                <w:rFonts w:hint="eastAsia"/>
              </w:rPr>
              <w:t>点号</w:t>
            </w:r>
          </w:p>
        </w:tc>
        <w:tc>
          <w:tcPr>
            <w:tcW w:w="756" w:type="dxa"/>
            <w:vAlign w:val="center"/>
          </w:tcPr>
          <w:p w14:paraId="0458B333" w14:textId="77777777" w:rsidR="002B733E" w:rsidRPr="00FD50F6" w:rsidRDefault="002B733E" w:rsidP="002B733E">
            <w:pPr>
              <w:pStyle w:val="7"/>
              <w:rPr>
                <w:b/>
              </w:rPr>
            </w:pPr>
            <w:r w:rsidRPr="00FD50F6">
              <w:rPr>
                <w:rFonts w:hint="eastAsia"/>
                <w:b/>
              </w:rPr>
              <w:t>9</w:t>
            </w:r>
            <w:r w:rsidRPr="00FD50F6">
              <w:rPr>
                <w:rFonts w:hint="eastAsia"/>
                <w:b/>
              </w:rPr>
              <w:t>’</w:t>
            </w:r>
          </w:p>
        </w:tc>
        <w:tc>
          <w:tcPr>
            <w:tcW w:w="756" w:type="dxa"/>
            <w:vAlign w:val="center"/>
          </w:tcPr>
          <w:p w14:paraId="59DF6931" w14:textId="77777777" w:rsidR="002B733E" w:rsidRPr="00FD50F6" w:rsidRDefault="002B733E" w:rsidP="002B733E">
            <w:pPr>
              <w:pStyle w:val="7"/>
              <w:rPr>
                <w:b/>
              </w:rPr>
            </w:pPr>
            <w:r w:rsidRPr="00FD50F6">
              <w:rPr>
                <w:rFonts w:hint="eastAsia"/>
                <w:b/>
              </w:rPr>
              <w:t>10</w:t>
            </w:r>
            <w:r w:rsidRPr="00FD50F6">
              <w:rPr>
                <w:rFonts w:hint="eastAsia"/>
                <w:b/>
              </w:rPr>
              <w:t>’</w:t>
            </w:r>
          </w:p>
        </w:tc>
        <w:tc>
          <w:tcPr>
            <w:tcW w:w="756" w:type="dxa"/>
            <w:vAlign w:val="center"/>
          </w:tcPr>
          <w:p w14:paraId="6AD36972" w14:textId="77777777" w:rsidR="002B733E" w:rsidRPr="00FD50F6" w:rsidRDefault="002B733E" w:rsidP="002B733E">
            <w:pPr>
              <w:pStyle w:val="7"/>
              <w:rPr>
                <w:b/>
              </w:rPr>
            </w:pPr>
            <w:r w:rsidRPr="00FD50F6">
              <w:rPr>
                <w:rFonts w:hint="eastAsia"/>
                <w:b/>
              </w:rPr>
              <w:t>11</w:t>
            </w:r>
            <w:r w:rsidRPr="00FD50F6">
              <w:rPr>
                <w:rFonts w:hint="eastAsia"/>
                <w:b/>
              </w:rPr>
              <w:t>’</w:t>
            </w:r>
          </w:p>
        </w:tc>
        <w:tc>
          <w:tcPr>
            <w:tcW w:w="756" w:type="dxa"/>
            <w:vAlign w:val="center"/>
          </w:tcPr>
          <w:p w14:paraId="4B8122CA" w14:textId="77777777" w:rsidR="002B733E" w:rsidRPr="00FD50F6" w:rsidRDefault="002B733E" w:rsidP="002B733E">
            <w:pPr>
              <w:pStyle w:val="7"/>
              <w:rPr>
                <w:b/>
              </w:rPr>
            </w:pPr>
            <w:r w:rsidRPr="00FD50F6">
              <w:rPr>
                <w:rFonts w:hint="eastAsia"/>
                <w:b/>
              </w:rPr>
              <w:t>12</w:t>
            </w:r>
            <w:r w:rsidRPr="00FD50F6">
              <w:rPr>
                <w:rFonts w:hint="eastAsia"/>
                <w:b/>
              </w:rPr>
              <w:t>’</w:t>
            </w:r>
          </w:p>
        </w:tc>
        <w:tc>
          <w:tcPr>
            <w:tcW w:w="756" w:type="dxa"/>
            <w:vAlign w:val="center"/>
          </w:tcPr>
          <w:p w14:paraId="34207A46" w14:textId="77777777" w:rsidR="002B733E" w:rsidRPr="00FD50F6" w:rsidRDefault="002B733E" w:rsidP="002B733E">
            <w:pPr>
              <w:pStyle w:val="7"/>
              <w:rPr>
                <w:b/>
              </w:rPr>
            </w:pPr>
            <w:r w:rsidRPr="00FD50F6">
              <w:rPr>
                <w:rFonts w:hint="eastAsia"/>
                <w:b/>
              </w:rPr>
              <w:t>14</w:t>
            </w:r>
            <w:r w:rsidRPr="00FD50F6">
              <w:rPr>
                <w:rFonts w:hint="eastAsia"/>
                <w:b/>
              </w:rPr>
              <w:t>’</w:t>
            </w:r>
          </w:p>
        </w:tc>
        <w:tc>
          <w:tcPr>
            <w:tcW w:w="756" w:type="dxa"/>
            <w:vAlign w:val="center"/>
          </w:tcPr>
          <w:p w14:paraId="5CFF8F91" w14:textId="77777777" w:rsidR="002B733E" w:rsidRPr="00FD50F6" w:rsidRDefault="002B733E" w:rsidP="002B733E">
            <w:pPr>
              <w:pStyle w:val="7"/>
              <w:rPr>
                <w:b/>
              </w:rPr>
            </w:pPr>
            <w:r w:rsidRPr="00FD50F6">
              <w:rPr>
                <w:rFonts w:hint="eastAsia"/>
                <w:b/>
              </w:rPr>
              <w:t>15</w:t>
            </w:r>
            <w:r w:rsidRPr="00FD50F6">
              <w:rPr>
                <w:rFonts w:hint="eastAsia"/>
                <w:b/>
              </w:rPr>
              <w:t>’</w:t>
            </w:r>
          </w:p>
        </w:tc>
        <w:tc>
          <w:tcPr>
            <w:tcW w:w="756" w:type="dxa"/>
            <w:vAlign w:val="center"/>
          </w:tcPr>
          <w:p w14:paraId="53339A19" w14:textId="77777777" w:rsidR="002B733E" w:rsidRPr="00FD50F6" w:rsidRDefault="002B733E" w:rsidP="002B733E">
            <w:pPr>
              <w:pStyle w:val="7"/>
              <w:rPr>
                <w:b/>
              </w:rPr>
            </w:pPr>
            <w:r w:rsidRPr="00FD50F6">
              <w:rPr>
                <w:rFonts w:hint="eastAsia"/>
                <w:b/>
              </w:rPr>
              <w:t>16</w:t>
            </w:r>
            <w:r w:rsidRPr="00FD50F6">
              <w:rPr>
                <w:rFonts w:hint="eastAsia"/>
                <w:b/>
              </w:rPr>
              <w:t>’</w:t>
            </w:r>
          </w:p>
        </w:tc>
        <w:tc>
          <w:tcPr>
            <w:tcW w:w="756" w:type="dxa"/>
            <w:vAlign w:val="center"/>
          </w:tcPr>
          <w:p w14:paraId="7DAB848C" w14:textId="77777777" w:rsidR="002B733E" w:rsidRPr="00FD50F6" w:rsidRDefault="002B733E" w:rsidP="002B733E">
            <w:pPr>
              <w:pStyle w:val="7"/>
              <w:rPr>
                <w:b/>
              </w:rPr>
            </w:pPr>
            <w:r w:rsidRPr="00FD50F6">
              <w:rPr>
                <w:rFonts w:hint="eastAsia"/>
                <w:b/>
              </w:rPr>
              <w:t>17</w:t>
            </w:r>
            <w:r w:rsidRPr="00FD50F6">
              <w:rPr>
                <w:rFonts w:hint="eastAsia"/>
                <w:b/>
              </w:rPr>
              <w:t>’</w:t>
            </w:r>
          </w:p>
        </w:tc>
        <w:tc>
          <w:tcPr>
            <w:tcW w:w="756" w:type="dxa"/>
            <w:vAlign w:val="center"/>
          </w:tcPr>
          <w:p w14:paraId="3808FC66" w14:textId="77777777" w:rsidR="002B733E" w:rsidRPr="00FD50F6" w:rsidRDefault="002B733E" w:rsidP="002B733E">
            <w:pPr>
              <w:pStyle w:val="7"/>
              <w:rPr>
                <w:b/>
              </w:rPr>
            </w:pPr>
            <w:r w:rsidRPr="00FD50F6">
              <w:rPr>
                <w:rFonts w:hint="eastAsia"/>
                <w:b/>
              </w:rPr>
              <w:t>18</w:t>
            </w:r>
            <w:r w:rsidRPr="00FD50F6">
              <w:rPr>
                <w:rFonts w:hint="eastAsia"/>
                <w:b/>
              </w:rPr>
              <w:t>’</w:t>
            </w:r>
          </w:p>
        </w:tc>
        <w:tc>
          <w:tcPr>
            <w:tcW w:w="756" w:type="dxa"/>
            <w:vAlign w:val="center"/>
          </w:tcPr>
          <w:p w14:paraId="4BC7B38A" w14:textId="77777777" w:rsidR="002B733E" w:rsidRPr="00FD50F6" w:rsidRDefault="002B733E" w:rsidP="002B733E">
            <w:pPr>
              <w:pStyle w:val="7"/>
              <w:rPr>
                <w:b/>
              </w:rPr>
            </w:pPr>
            <w:r w:rsidRPr="00FD50F6">
              <w:rPr>
                <w:rFonts w:hint="eastAsia"/>
                <w:b/>
              </w:rPr>
              <w:t>19</w:t>
            </w:r>
            <w:r w:rsidRPr="00FD50F6">
              <w:rPr>
                <w:rFonts w:hint="eastAsia"/>
                <w:b/>
              </w:rPr>
              <w:t>’</w:t>
            </w:r>
          </w:p>
        </w:tc>
      </w:tr>
      <w:tr w:rsidR="00FD50F6" w:rsidRPr="00FD50F6" w14:paraId="7A98D345" w14:textId="77777777" w:rsidTr="002B733E">
        <w:trPr>
          <w:trHeight w:val="397"/>
        </w:trPr>
        <w:tc>
          <w:tcPr>
            <w:tcW w:w="701" w:type="dxa"/>
            <w:vAlign w:val="center"/>
          </w:tcPr>
          <w:p w14:paraId="6CA494E5" w14:textId="77777777" w:rsidR="002B733E" w:rsidRPr="00FD50F6" w:rsidRDefault="002B733E" w:rsidP="002B733E">
            <w:pPr>
              <w:pStyle w:val="7"/>
            </w:pPr>
            <w:r w:rsidRPr="00FD50F6">
              <w:rPr>
                <w:rFonts w:hint="eastAsia"/>
              </w:rPr>
              <w:t>X</w:t>
            </w:r>
          </w:p>
        </w:tc>
        <w:tc>
          <w:tcPr>
            <w:tcW w:w="756" w:type="dxa"/>
            <w:vAlign w:val="center"/>
          </w:tcPr>
          <w:p w14:paraId="00F0FAA6" w14:textId="77777777" w:rsidR="002B733E" w:rsidRPr="00FD50F6" w:rsidRDefault="002B733E" w:rsidP="002B733E">
            <w:pPr>
              <w:pStyle w:val="7"/>
            </w:pPr>
            <w:r w:rsidRPr="00FD50F6">
              <w:rPr>
                <w:rFonts w:hint="eastAsia"/>
              </w:rPr>
              <w:t>1530</w:t>
            </w:r>
          </w:p>
        </w:tc>
        <w:tc>
          <w:tcPr>
            <w:tcW w:w="756" w:type="dxa"/>
            <w:vAlign w:val="center"/>
          </w:tcPr>
          <w:p w14:paraId="37CC63AF" w14:textId="77777777" w:rsidR="002B733E" w:rsidRPr="00FD50F6" w:rsidRDefault="002B733E" w:rsidP="002B733E">
            <w:pPr>
              <w:pStyle w:val="7"/>
            </w:pPr>
            <w:r w:rsidRPr="00FD50F6">
              <w:rPr>
                <w:rFonts w:hint="eastAsia"/>
              </w:rPr>
              <w:t>1524</w:t>
            </w:r>
          </w:p>
        </w:tc>
        <w:tc>
          <w:tcPr>
            <w:tcW w:w="756" w:type="dxa"/>
            <w:vAlign w:val="center"/>
          </w:tcPr>
          <w:p w14:paraId="3718FEF4" w14:textId="77777777" w:rsidR="002B733E" w:rsidRPr="00FD50F6" w:rsidRDefault="002B733E" w:rsidP="002B733E">
            <w:pPr>
              <w:pStyle w:val="7"/>
            </w:pPr>
            <w:r w:rsidRPr="00FD50F6">
              <w:rPr>
                <w:rFonts w:hint="eastAsia"/>
              </w:rPr>
              <w:t>1489</w:t>
            </w:r>
          </w:p>
        </w:tc>
        <w:tc>
          <w:tcPr>
            <w:tcW w:w="756" w:type="dxa"/>
            <w:vAlign w:val="center"/>
          </w:tcPr>
          <w:p w14:paraId="54F9956E" w14:textId="77777777" w:rsidR="002B733E" w:rsidRPr="00FD50F6" w:rsidRDefault="002B733E" w:rsidP="002B733E">
            <w:pPr>
              <w:pStyle w:val="7"/>
            </w:pPr>
            <w:r w:rsidRPr="00FD50F6">
              <w:rPr>
                <w:rFonts w:hint="eastAsia"/>
              </w:rPr>
              <w:t>1399</w:t>
            </w:r>
          </w:p>
        </w:tc>
        <w:tc>
          <w:tcPr>
            <w:tcW w:w="756" w:type="dxa"/>
            <w:vAlign w:val="center"/>
          </w:tcPr>
          <w:p w14:paraId="05E67F0C" w14:textId="77777777" w:rsidR="002B733E" w:rsidRPr="00FD50F6" w:rsidRDefault="002B733E" w:rsidP="002B733E">
            <w:pPr>
              <w:pStyle w:val="7"/>
            </w:pPr>
            <w:r w:rsidRPr="00FD50F6">
              <w:rPr>
                <w:rFonts w:hint="eastAsia"/>
              </w:rPr>
              <w:t>1068</w:t>
            </w:r>
          </w:p>
        </w:tc>
        <w:tc>
          <w:tcPr>
            <w:tcW w:w="756" w:type="dxa"/>
            <w:vAlign w:val="center"/>
          </w:tcPr>
          <w:p w14:paraId="76A499EA" w14:textId="77777777" w:rsidR="002B733E" w:rsidRPr="00FD50F6" w:rsidRDefault="002B733E" w:rsidP="002B733E">
            <w:pPr>
              <w:pStyle w:val="7"/>
            </w:pPr>
            <w:r w:rsidRPr="00FD50F6">
              <w:rPr>
                <w:rFonts w:hint="eastAsia"/>
              </w:rPr>
              <w:t>1009</w:t>
            </w:r>
          </w:p>
        </w:tc>
        <w:tc>
          <w:tcPr>
            <w:tcW w:w="756" w:type="dxa"/>
            <w:vAlign w:val="center"/>
          </w:tcPr>
          <w:p w14:paraId="23B1ACCE" w14:textId="77777777" w:rsidR="002B733E" w:rsidRPr="00FD50F6" w:rsidRDefault="002B733E" w:rsidP="002B733E">
            <w:pPr>
              <w:pStyle w:val="7"/>
            </w:pPr>
            <w:r w:rsidRPr="00FD50F6">
              <w:rPr>
                <w:rFonts w:hint="eastAsia"/>
              </w:rPr>
              <w:t>987</w:t>
            </w:r>
          </w:p>
        </w:tc>
        <w:tc>
          <w:tcPr>
            <w:tcW w:w="756" w:type="dxa"/>
            <w:vAlign w:val="center"/>
          </w:tcPr>
          <w:p w14:paraId="723F2BFB" w14:textId="77777777" w:rsidR="002B733E" w:rsidRPr="00FD50F6" w:rsidRDefault="002B733E" w:rsidP="002B733E">
            <w:pPr>
              <w:pStyle w:val="7"/>
            </w:pPr>
            <w:r w:rsidRPr="00FD50F6">
              <w:rPr>
                <w:rFonts w:hint="eastAsia"/>
              </w:rPr>
              <w:t>979</w:t>
            </w:r>
          </w:p>
        </w:tc>
        <w:tc>
          <w:tcPr>
            <w:tcW w:w="756" w:type="dxa"/>
            <w:vAlign w:val="center"/>
          </w:tcPr>
          <w:p w14:paraId="7C873185" w14:textId="77777777" w:rsidR="002B733E" w:rsidRPr="00FD50F6" w:rsidRDefault="002B733E" w:rsidP="002B733E">
            <w:pPr>
              <w:pStyle w:val="7"/>
            </w:pPr>
            <w:r w:rsidRPr="00FD50F6">
              <w:rPr>
                <w:rFonts w:hint="eastAsia"/>
              </w:rPr>
              <w:t>836</w:t>
            </w:r>
          </w:p>
        </w:tc>
        <w:tc>
          <w:tcPr>
            <w:tcW w:w="756" w:type="dxa"/>
            <w:vAlign w:val="center"/>
          </w:tcPr>
          <w:p w14:paraId="6983A689" w14:textId="77777777" w:rsidR="002B733E" w:rsidRPr="00FD50F6" w:rsidRDefault="002B733E" w:rsidP="002B733E">
            <w:pPr>
              <w:pStyle w:val="7"/>
            </w:pPr>
            <w:r w:rsidRPr="00FD50F6">
              <w:rPr>
                <w:rFonts w:hint="eastAsia"/>
              </w:rPr>
              <w:t>836</w:t>
            </w:r>
          </w:p>
        </w:tc>
      </w:tr>
      <w:tr w:rsidR="00FD50F6" w:rsidRPr="00FD50F6" w14:paraId="492D5E6E" w14:textId="77777777" w:rsidTr="002B733E">
        <w:trPr>
          <w:trHeight w:val="397"/>
        </w:trPr>
        <w:tc>
          <w:tcPr>
            <w:tcW w:w="701" w:type="dxa"/>
            <w:vAlign w:val="center"/>
          </w:tcPr>
          <w:p w14:paraId="53EE07C9" w14:textId="77777777" w:rsidR="002B733E" w:rsidRPr="00FD50F6" w:rsidRDefault="002B733E" w:rsidP="002B733E">
            <w:pPr>
              <w:pStyle w:val="7"/>
            </w:pPr>
            <w:r w:rsidRPr="00FD50F6">
              <w:rPr>
                <w:rFonts w:hint="eastAsia"/>
              </w:rPr>
              <w:t>Y</w:t>
            </w:r>
          </w:p>
        </w:tc>
        <w:tc>
          <w:tcPr>
            <w:tcW w:w="756" w:type="dxa"/>
            <w:vAlign w:val="center"/>
          </w:tcPr>
          <w:p w14:paraId="6DAD7E76" w14:textId="77777777" w:rsidR="002B733E" w:rsidRPr="00FD50F6" w:rsidRDefault="002B733E" w:rsidP="002B733E">
            <w:pPr>
              <w:pStyle w:val="7"/>
            </w:pPr>
            <w:r w:rsidRPr="00FD50F6">
              <w:rPr>
                <w:rFonts w:hint="eastAsia"/>
              </w:rPr>
              <w:t>829</w:t>
            </w:r>
          </w:p>
        </w:tc>
        <w:tc>
          <w:tcPr>
            <w:tcW w:w="756" w:type="dxa"/>
            <w:vAlign w:val="center"/>
          </w:tcPr>
          <w:p w14:paraId="33D969E8" w14:textId="77777777" w:rsidR="002B733E" w:rsidRPr="00FD50F6" w:rsidRDefault="002B733E" w:rsidP="002B733E">
            <w:pPr>
              <w:pStyle w:val="7"/>
            </w:pPr>
            <w:r w:rsidRPr="00FD50F6">
              <w:rPr>
                <w:rFonts w:hint="eastAsia"/>
              </w:rPr>
              <w:t>796</w:t>
            </w:r>
          </w:p>
        </w:tc>
        <w:tc>
          <w:tcPr>
            <w:tcW w:w="756" w:type="dxa"/>
            <w:vAlign w:val="center"/>
          </w:tcPr>
          <w:p w14:paraId="36C0B8A2" w14:textId="77777777" w:rsidR="002B733E" w:rsidRPr="00FD50F6" w:rsidRDefault="002B733E" w:rsidP="002B733E">
            <w:pPr>
              <w:pStyle w:val="7"/>
            </w:pPr>
            <w:r w:rsidRPr="00FD50F6">
              <w:rPr>
                <w:rFonts w:hint="eastAsia"/>
              </w:rPr>
              <w:t>622</w:t>
            </w:r>
          </w:p>
        </w:tc>
        <w:tc>
          <w:tcPr>
            <w:tcW w:w="756" w:type="dxa"/>
            <w:vAlign w:val="center"/>
          </w:tcPr>
          <w:p w14:paraId="1A77E00B" w14:textId="77777777" w:rsidR="002B733E" w:rsidRPr="00FD50F6" w:rsidRDefault="002B733E" w:rsidP="002B733E">
            <w:pPr>
              <w:pStyle w:val="7"/>
            </w:pPr>
            <w:r w:rsidRPr="00FD50F6">
              <w:rPr>
                <w:rFonts w:hint="eastAsia"/>
              </w:rPr>
              <w:t>623</w:t>
            </w:r>
          </w:p>
        </w:tc>
        <w:tc>
          <w:tcPr>
            <w:tcW w:w="756" w:type="dxa"/>
            <w:vAlign w:val="center"/>
          </w:tcPr>
          <w:p w14:paraId="03DABA86" w14:textId="77777777" w:rsidR="002B733E" w:rsidRPr="00FD50F6" w:rsidRDefault="002B733E" w:rsidP="002B733E">
            <w:pPr>
              <w:pStyle w:val="7"/>
            </w:pPr>
            <w:r w:rsidRPr="00FD50F6">
              <w:rPr>
                <w:rFonts w:hint="eastAsia"/>
              </w:rPr>
              <w:t>108</w:t>
            </w:r>
          </w:p>
        </w:tc>
        <w:tc>
          <w:tcPr>
            <w:tcW w:w="756" w:type="dxa"/>
            <w:vAlign w:val="center"/>
          </w:tcPr>
          <w:p w14:paraId="793266D1" w14:textId="77777777" w:rsidR="002B733E" w:rsidRPr="00FD50F6" w:rsidRDefault="002B733E" w:rsidP="002B733E">
            <w:pPr>
              <w:pStyle w:val="7"/>
            </w:pPr>
            <w:r w:rsidRPr="00FD50F6">
              <w:rPr>
                <w:rFonts w:hint="eastAsia"/>
              </w:rPr>
              <w:t>110</w:t>
            </w:r>
          </w:p>
        </w:tc>
        <w:tc>
          <w:tcPr>
            <w:tcW w:w="756" w:type="dxa"/>
            <w:vAlign w:val="center"/>
          </w:tcPr>
          <w:p w14:paraId="1D9F4C59" w14:textId="77777777" w:rsidR="002B733E" w:rsidRPr="00FD50F6" w:rsidRDefault="002B733E" w:rsidP="002B733E">
            <w:pPr>
              <w:pStyle w:val="7"/>
            </w:pPr>
            <w:r w:rsidRPr="00FD50F6">
              <w:rPr>
                <w:rFonts w:hint="eastAsia"/>
              </w:rPr>
              <w:t>105</w:t>
            </w:r>
          </w:p>
        </w:tc>
        <w:tc>
          <w:tcPr>
            <w:tcW w:w="756" w:type="dxa"/>
            <w:vAlign w:val="center"/>
          </w:tcPr>
          <w:p w14:paraId="0340C5E2" w14:textId="77777777" w:rsidR="002B733E" w:rsidRPr="00FD50F6" w:rsidRDefault="002B733E" w:rsidP="002B733E">
            <w:pPr>
              <w:pStyle w:val="7"/>
            </w:pPr>
            <w:r w:rsidRPr="00FD50F6">
              <w:rPr>
                <w:rFonts w:hint="eastAsia"/>
              </w:rPr>
              <w:t>105</w:t>
            </w:r>
          </w:p>
        </w:tc>
        <w:tc>
          <w:tcPr>
            <w:tcW w:w="756" w:type="dxa"/>
            <w:vAlign w:val="center"/>
          </w:tcPr>
          <w:p w14:paraId="66F41084" w14:textId="77777777" w:rsidR="002B733E" w:rsidRPr="00FD50F6" w:rsidRDefault="002B733E" w:rsidP="002B733E">
            <w:pPr>
              <w:pStyle w:val="7"/>
            </w:pPr>
            <w:r w:rsidRPr="00FD50F6">
              <w:rPr>
                <w:rFonts w:hint="eastAsia"/>
              </w:rPr>
              <w:t>105</w:t>
            </w:r>
          </w:p>
        </w:tc>
        <w:tc>
          <w:tcPr>
            <w:tcW w:w="756" w:type="dxa"/>
            <w:vAlign w:val="center"/>
          </w:tcPr>
          <w:p w14:paraId="3C2A989C" w14:textId="77777777" w:rsidR="002B733E" w:rsidRPr="00FD50F6" w:rsidRDefault="002B733E" w:rsidP="002B733E">
            <w:pPr>
              <w:pStyle w:val="7"/>
            </w:pPr>
            <w:r w:rsidRPr="00FD50F6">
              <w:rPr>
                <w:rFonts w:hint="eastAsia"/>
              </w:rPr>
              <w:t>-13</w:t>
            </w:r>
          </w:p>
        </w:tc>
      </w:tr>
      <w:tr w:rsidR="00FD50F6" w:rsidRPr="00FD50F6" w14:paraId="2F3C23E8" w14:textId="77777777" w:rsidTr="002B733E">
        <w:trPr>
          <w:trHeight w:val="397"/>
        </w:trPr>
        <w:tc>
          <w:tcPr>
            <w:tcW w:w="701" w:type="dxa"/>
            <w:vAlign w:val="center"/>
          </w:tcPr>
          <w:p w14:paraId="6C8C7FEB" w14:textId="77777777" w:rsidR="002B733E" w:rsidRPr="00FD50F6" w:rsidRDefault="002B733E" w:rsidP="002B733E">
            <w:pPr>
              <w:pStyle w:val="7"/>
            </w:pPr>
            <w:r w:rsidRPr="00FD50F6">
              <w:rPr>
                <w:rFonts w:hint="eastAsia"/>
              </w:rPr>
              <w:t>点号</w:t>
            </w:r>
          </w:p>
        </w:tc>
        <w:tc>
          <w:tcPr>
            <w:tcW w:w="756" w:type="dxa"/>
            <w:vAlign w:val="center"/>
          </w:tcPr>
          <w:p w14:paraId="65145208" w14:textId="77777777" w:rsidR="002B733E" w:rsidRPr="00FD50F6" w:rsidRDefault="002B733E" w:rsidP="002B733E">
            <w:pPr>
              <w:pStyle w:val="7"/>
              <w:rPr>
                <w:b/>
              </w:rPr>
            </w:pPr>
            <w:r w:rsidRPr="00FD50F6">
              <w:rPr>
                <w:rFonts w:hint="eastAsia"/>
                <w:b/>
              </w:rPr>
              <w:t>20</w:t>
            </w:r>
            <w:r w:rsidRPr="00FD50F6">
              <w:rPr>
                <w:rFonts w:hint="eastAsia"/>
                <w:b/>
              </w:rPr>
              <w:t>’</w:t>
            </w:r>
          </w:p>
        </w:tc>
        <w:tc>
          <w:tcPr>
            <w:tcW w:w="756" w:type="dxa"/>
            <w:vAlign w:val="center"/>
          </w:tcPr>
          <w:p w14:paraId="579BD9E4" w14:textId="77777777" w:rsidR="002B733E" w:rsidRPr="00FD50F6" w:rsidRDefault="002B733E" w:rsidP="002B733E">
            <w:pPr>
              <w:pStyle w:val="7"/>
              <w:rPr>
                <w:b/>
              </w:rPr>
            </w:pPr>
            <w:r w:rsidRPr="00FD50F6">
              <w:rPr>
                <w:rFonts w:hint="eastAsia"/>
                <w:b/>
              </w:rPr>
              <w:t>21</w:t>
            </w:r>
            <w:r w:rsidRPr="00FD50F6">
              <w:rPr>
                <w:rFonts w:hint="eastAsia"/>
                <w:b/>
              </w:rPr>
              <w:t>’</w:t>
            </w:r>
          </w:p>
        </w:tc>
        <w:tc>
          <w:tcPr>
            <w:tcW w:w="756" w:type="dxa"/>
            <w:vAlign w:val="center"/>
          </w:tcPr>
          <w:p w14:paraId="1102E9A1" w14:textId="77777777" w:rsidR="002B733E" w:rsidRPr="00FD50F6" w:rsidRDefault="002B733E" w:rsidP="002B733E">
            <w:pPr>
              <w:pStyle w:val="7"/>
              <w:rPr>
                <w:b/>
              </w:rPr>
            </w:pPr>
            <w:r w:rsidRPr="00FD50F6">
              <w:rPr>
                <w:rFonts w:hint="eastAsia"/>
                <w:b/>
              </w:rPr>
              <w:t>22</w:t>
            </w:r>
            <w:r w:rsidRPr="00FD50F6">
              <w:rPr>
                <w:rFonts w:hint="eastAsia"/>
                <w:b/>
              </w:rPr>
              <w:t>’</w:t>
            </w:r>
          </w:p>
        </w:tc>
        <w:tc>
          <w:tcPr>
            <w:tcW w:w="756" w:type="dxa"/>
            <w:vAlign w:val="center"/>
          </w:tcPr>
          <w:p w14:paraId="37C98B3F" w14:textId="77777777" w:rsidR="002B733E" w:rsidRPr="00FD50F6" w:rsidRDefault="002B733E" w:rsidP="002B733E">
            <w:pPr>
              <w:pStyle w:val="7"/>
              <w:rPr>
                <w:b/>
              </w:rPr>
            </w:pPr>
            <w:r w:rsidRPr="00FD50F6">
              <w:rPr>
                <w:rFonts w:hint="eastAsia"/>
                <w:b/>
              </w:rPr>
              <w:t>23</w:t>
            </w:r>
            <w:r w:rsidRPr="00FD50F6">
              <w:rPr>
                <w:rFonts w:hint="eastAsia"/>
                <w:b/>
              </w:rPr>
              <w:t>’</w:t>
            </w:r>
          </w:p>
        </w:tc>
        <w:tc>
          <w:tcPr>
            <w:tcW w:w="756" w:type="dxa"/>
            <w:vAlign w:val="center"/>
          </w:tcPr>
          <w:p w14:paraId="49EFCDD9" w14:textId="77777777" w:rsidR="002B733E" w:rsidRPr="00FD50F6" w:rsidRDefault="002B733E" w:rsidP="002B733E">
            <w:pPr>
              <w:pStyle w:val="7"/>
              <w:rPr>
                <w:b/>
              </w:rPr>
            </w:pPr>
            <w:r w:rsidRPr="00FD50F6">
              <w:rPr>
                <w:rFonts w:hint="eastAsia"/>
                <w:b/>
              </w:rPr>
              <w:t>24</w:t>
            </w:r>
            <w:r w:rsidRPr="00FD50F6">
              <w:rPr>
                <w:rFonts w:hint="eastAsia"/>
                <w:b/>
              </w:rPr>
              <w:t>’</w:t>
            </w:r>
          </w:p>
        </w:tc>
        <w:tc>
          <w:tcPr>
            <w:tcW w:w="756" w:type="dxa"/>
            <w:vAlign w:val="center"/>
          </w:tcPr>
          <w:p w14:paraId="0FB8CF22" w14:textId="77777777" w:rsidR="002B733E" w:rsidRPr="00FD50F6" w:rsidRDefault="002B733E" w:rsidP="002B733E">
            <w:pPr>
              <w:pStyle w:val="7"/>
              <w:rPr>
                <w:b/>
              </w:rPr>
            </w:pPr>
            <w:r w:rsidRPr="00FD50F6">
              <w:rPr>
                <w:rFonts w:hint="eastAsia"/>
                <w:b/>
              </w:rPr>
              <w:t>25</w:t>
            </w:r>
            <w:r w:rsidRPr="00FD50F6">
              <w:rPr>
                <w:rFonts w:hint="eastAsia"/>
                <w:b/>
              </w:rPr>
              <w:t>’</w:t>
            </w:r>
          </w:p>
        </w:tc>
        <w:tc>
          <w:tcPr>
            <w:tcW w:w="756" w:type="dxa"/>
            <w:vAlign w:val="center"/>
          </w:tcPr>
          <w:p w14:paraId="3FEF01E6" w14:textId="77777777" w:rsidR="002B733E" w:rsidRPr="00FD50F6" w:rsidRDefault="002B733E" w:rsidP="002B733E">
            <w:pPr>
              <w:pStyle w:val="7"/>
              <w:rPr>
                <w:b/>
              </w:rPr>
            </w:pPr>
            <w:r w:rsidRPr="00FD50F6">
              <w:rPr>
                <w:rFonts w:hint="eastAsia"/>
                <w:b/>
              </w:rPr>
              <w:t>26</w:t>
            </w:r>
            <w:r w:rsidRPr="00FD50F6">
              <w:rPr>
                <w:rFonts w:hint="eastAsia"/>
                <w:b/>
              </w:rPr>
              <w:t>’</w:t>
            </w:r>
          </w:p>
        </w:tc>
        <w:tc>
          <w:tcPr>
            <w:tcW w:w="756" w:type="dxa"/>
            <w:vAlign w:val="center"/>
          </w:tcPr>
          <w:p w14:paraId="4F28B762" w14:textId="77777777" w:rsidR="002B733E" w:rsidRPr="00FD50F6" w:rsidRDefault="002B733E" w:rsidP="002B733E">
            <w:pPr>
              <w:pStyle w:val="7"/>
              <w:rPr>
                <w:b/>
              </w:rPr>
            </w:pPr>
            <w:r w:rsidRPr="00FD50F6">
              <w:rPr>
                <w:rFonts w:hint="eastAsia"/>
                <w:b/>
              </w:rPr>
              <w:t>27</w:t>
            </w:r>
            <w:r w:rsidRPr="00FD50F6">
              <w:rPr>
                <w:rFonts w:hint="eastAsia"/>
                <w:b/>
              </w:rPr>
              <w:t>’</w:t>
            </w:r>
          </w:p>
        </w:tc>
        <w:tc>
          <w:tcPr>
            <w:tcW w:w="756" w:type="dxa"/>
            <w:vAlign w:val="center"/>
          </w:tcPr>
          <w:p w14:paraId="68101AD8" w14:textId="77777777" w:rsidR="002B733E" w:rsidRPr="00FD50F6" w:rsidRDefault="002B733E" w:rsidP="002B733E">
            <w:pPr>
              <w:pStyle w:val="7"/>
              <w:rPr>
                <w:b/>
              </w:rPr>
            </w:pPr>
            <w:r w:rsidRPr="00FD50F6">
              <w:rPr>
                <w:rFonts w:hint="eastAsia"/>
                <w:b/>
              </w:rPr>
              <w:t>28</w:t>
            </w:r>
            <w:r w:rsidRPr="00FD50F6">
              <w:rPr>
                <w:rFonts w:hint="eastAsia"/>
                <w:b/>
              </w:rPr>
              <w:t>’</w:t>
            </w:r>
          </w:p>
        </w:tc>
        <w:tc>
          <w:tcPr>
            <w:tcW w:w="756" w:type="dxa"/>
            <w:vAlign w:val="bottom"/>
          </w:tcPr>
          <w:p w14:paraId="4CE2AE0E" w14:textId="77777777" w:rsidR="002B733E" w:rsidRPr="00FD50F6" w:rsidRDefault="002B733E" w:rsidP="002B733E">
            <w:pPr>
              <w:pStyle w:val="7"/>
              <w:rPr>
                <w:b/>
              </w:rPr>
            </w:pPr>
            <w:r w:rsidRPr="00FD50F6">
              <w:rPr>
                <w:rFonts w:hint="eastAsia"/>
                <w:b/>
              </w:rPr>
              <w:t>—</w:t>
            </w:r>
          </w:p>
        </w:tc>
      </w:tr>
      <w:tr w:rsidR="00FD50F6" w:rsidRPr="00FD50F6" w14:paraId="36E7FBCD" w14:textId="77777777" w:rsidTr="002B733E">
        <w:trPr>
          <w:trHeight w:val="397"/>
        </w:trPr>
        <w:tc>
          <w:tcPr>
            <w:tcW w:w="701" w:type="dxa"/>
            <w:vAlign w:val="center"/>
          </w:tcPr>
          <w:p w14:paraId="313A4670" w14:textId="77777777" w:rsidR="002B733E" w:rsidRPr="00FD50F6" w:rsidRDefault="002B733E" w:rsidP="002B733E">
            <w:pPr>
              <w:pStyle w:val="7"/>
            </w:pPr>
            <w:r w:rsidRPr="00FD50F6">
              <w:rPr>
                <w:rFonts w:hint="eastAsia"/>
              </w:rPr>
              <w:t>X</w:t>
            </w:r>
          </w:p>
        </w:tc>
        <w:tc>
          <w:tcPr>
            <w:tcW w:w="756" w:type="dxa"/>
            <w:vAlign w:val="center"/>
          </w:tcPr>
          <w:p w14:paraId="23ACF149" w14:textId="77777777" w:rsidR="002B733E" w:rsidRPr="00FD50F6" w:rsidRDefault="002B733E" w:rsidP="002B733E">
            <w:pPr>
              <w:pStyle w:val="7"/>
            </w:pPr>
            <w:r w:rsidRPr="00FD50F6">
              <w:rPr>
                <w:rFonts w:hint="eastAsia"/>
              </w:rPr>
              <w:t>771</w:t>
            </w:r>
          </w:p>
        </w:tc>
        <w:tc>
          <w:tcPr>
            <w:tcW w:w="756" w:type="dxa"/>
            <w:vAlign w:val="center"/>
          </w:tcPr>
          <w:p w14:paraId="3CB132A5" w14:textId="77777777" w:rsidR="002B733E" w:rsidRPr="00FD50F6" w:rsidRDefault="002B733E" w:rsidP="002B733E">
            <w:pPr>
              <w:pStyle w:val="7"/>
            </w:pPr>
            <w:r w:rsidRPr="00FD50F6">
              <w:rPr>
                <w:rFonts w:hint="eastAsia"/>
              </w:rPr>
              <w:t>731</w:t>
            </w:r>
          </w:p>
        </w:tc>
        <w:tc>
          <w:tcPr>
            <w:tcW w:w="756" w:type="dxa"/>
            <w:vAlign w:val="center"/>
          </w:tcPr>
          <w:p w14:paraId="74F0B576" w14:textId="77777777" w:rsidR="002B733E" w:rsidRPr="00FD50F6" w:rsidRDefault="002B733E" w:rsidP="002B733E">
            <w:pPr>
              <w:pStyle w:val="7"/>
            </w:pPr>
            <w:r w:rsidRPr="00FD50F6">
              <w:rPr>
                <w:rFonts w:hint="eastAsia"/>
              </w:rPr>
              <w:t>731</w:t>
            </w:r>
          </w:p>
        </w:tc>
        <w:tc>
          <w:tcPr>
            <w:tcW w:w="756" w:type="dxa"/>
            <w:vAlign w:val="center"/>
          </w:tcPr>
          <w:p w14:paraId="516E61AF" w14:textId="77777777" w:rsidR="002B733E" w:rsidRPr="00FD50F6" w:rsidRDefault="002B733E" w:rsidP="002B733E">
            <w:pPr>
              <w:pStyle w:val="7"/>
            </w:pPr>
            <w:r w:rsidRPr="00FD50F6">
              <w:rPr>
                <w:rFonts w:hint="eastAsia"/>
              </w:rPr>
              <w:t>652</w:t>
            </w:r>
          </w:p>
        </w:tc>
        <w:tc>
          <w:tcPr>
            <w:tcW w:w="756" w:type="dxa"/>
            <w:vAlign w:val="center"/>
          </w:tcPr>
          <w:p w14:paraId="12A64D1F" w14:textId="77777777" w:rsidR="002B733E" w:rsidRPr="00FD50F6" w:rsidRDefault="002B733E" w:rsidP="002B733E">
            <w:pPr>
              <w:pStyle w:val="7"/>
            </w:pPr>
            <w:r w:rsidRPr="00FD50F6">
              <w:rPr>
                <w:rFonts w:hint="eastAsia"/>
              </w:rPr>
              <w:t>652</w:t>
            </w:r>
          </w:p>
        </w:tc>
        <w:tc>
          <w:tcPr>
            <w:tcW w:w="756" w:type="dxa"/>
            <w:vAlign w:val="center"/>
          </w:tcPr>
          <w:p w14:paraId="10E949E0" w14:textId="77777777" w:rsidR="002B733E" w:rsidRPr="00FD50F6" w:rsidRDefault="002B733E" w:rsidP="002B733E">
            <w:pPr>
              <w:pStyle w:val="7"/>
            </w:pPr>
            <w:r w:rsidRPr="00FD50F6">
              <w:rPr>
                <w:rFonts w:hint="eastAsia"/>
              </w:rPr>
              <w:t>533</w:t>
            </w:r>
          </w:p>
        </w:tc>
        <w:tc>
          <w:tcPr>
            <w:tcW w:w="756" w:type="dxa"/>
            <w:vAlign w:val="center"/>
          </w:tcPr>
          <w:p w14:paraId="60C3BEE9" w14:textId="77777777" w:rsidR="002B733E" w:rsidRPr="00FD50F6" w:rsidRDefault="002B733E" w:rsidP="002B733E">
            <w:pPr>
              <w:pStyle w:val="7"/>
            </w:pPr>
            <w:r w:rsidRPr="00FD50F6">
              <w:rPr>
                <w:rFonts w:hint="eastAsia"/>
              </w:rPr>
              <w:t>159</w:t>
            </w:r>
          </w:p>
        </w:tc>
        <w:tc>
          <w:tcPr>
            <w:tcW w:w="756" w:type="dxa"/>
            <w:vAlign w:val="center"/>
          </w:tcPr>
          <w:p w14:paraId="507FD4C0" w14:textId="77777777" w:rsidR="002B733E" w:rsidRPr="00FD50F6" w:rsidRDefault="002B733E" w:rsidP="002B733E">
            <w:pPr>
              <w:pStyle w:val="7"/>
            </w:pPr>
            <w:r w:rsidRPr="00FD50F6">
              <w:rPr>
                <w:rFonts w:hint="eastAsia"/>
              </w:rPr>
              <w:t>159</w:t>
            </w:r>
          </w:p>
        </w:tc>
        <w:tc>
          <w:tcPr>
            <w:tcW w:w="756" w:type="dxa"/>
            <w:vAlign w:val="center"/>
          </w:tcPr>
          <w:p w14:paraId="53119700" w14:textId="77777777" w:rsidR="002B733E" w:rsidRPr="00FD50F6" w:rsidRDefault="002B733E" w:rsidP="002B733E">
            <w:pPr>
              <w:pStyle w:val="7"/>
            </w:pPr>
            <w:r w:rsidRPr="00FD50F6">
              <w:rPr>
                <w:rFonts w:hint="eastAsia"/>
              </w:rPr>
              <w:t>0</w:t>
            </w:r>
          </w:p>
        </w:tc>
        <w:tc>
          <w:tcPr>
            <w:tcW w:w="756" w:type="dxa"/>
            <w:vAlign w:val="bottom"/>
          </w:tcPr>
          <w:p w14:paraId="64DABF41" w14:textId="77777777" w:rsidR="002B733E" w:rsidRPr="00FD50F6" w:rsidRDefault="002B733E" w:rsidP="002B733E">
            <w:pPr>
              <w:pStyle w:val="7"/>
              <w:rPr>
                <w:b/>
              </w:rPr>
            </w:pPr>
            <w:r w:rsidRPr="00FD50F6">
              <w:rPr>
                <w:rFonts w:hint="eastAsia"/>
                <w:b/>
              </w:rPr>
              <w:t>—</w:t>
            </w:r>
          </w:p>
        </w:tc>
      </w:tr>
      <w:tr w:rsidR="00FD50F6" w:rsidRPr="00FD50F6" w14:paraId="134EF698" w14:textId="77777777" w:rsidTr="002B733E">
        <w:trPr>
          <w:trHeight w:val="397"/>
        </w:trPr>
        <w:tc>
          <w:tcPr>
            <w:tcW w:w="701" w:type="dxa"/>
            <w:vAlign w:val="center"/>
          </w:tcPr>
          <w:p w14:paraId="7CB3C37B" w14:textId="77777777" w:rsidR="002B733E" w:rsidRPr="00FD50F6" w:rsidRDefault="002B733E" w:rsidP="002B733E">
            <w:pPr>
              <w:pStyle w:val="7"/>
            </w:pPr>
            <w:r w:rsidRPr="00FD50F6">
              <w:rPr>
                <w:rFonts w:hint="eastAsia"/>
              </w:rPr>
              <w:t>Y</w:t>
            </w:r>
          </w:p>
        </w:tc>
        <w:tc>
          <w:tcPr>
            <w:tcW w:w="756" w:type="dxa"/>
            <w:vAlign w:val="center"/>
          </w:tcPr>
          <w:p w14:paraId="175F47FD" w14:textId="77777777" w:rsidR="002B733E" w:rsidRPr="00FD50F6" w:rsidRDefault="002B733E" w:rsidP="002B733E">
            <w:pPr>
              <w:pStyle w:val="7"/>
            </w:pPr>
            <w:r w:rsidRPr="00FD50F6">
              <w:rPr>
                <w:rFonts w:hint="eastAsia"/>
              </w:rPr>
              <w:t>-13</w:t>
            </w:r>
          </w:p>
        </w:tc>
        <w:tc>
          <w:tcPr>
            <w:tcW w:w="756" w:type="dxa"/>
            <w:vAlign w:val="center"/>
          </w:tcPr>
          <w:p w14:paraId="3D596397" w14:textId="77777777" w:rsidR="002B733E" w:rsidRPr="00FD50F6" w:rsidRDefault="002B733E" w:rsidP="002B733E">
            <w:pPr>
              <w:pStyle w:val="7"/>
            </w:pPr>
            <w:r w:rsidRPr="00FD50F6">
              <w:rPr>
                <w:rFonts w:hint="eastAsia"/>
              </w:rPr>
              <w:t>-13</w:t>
            </w:r>
          </w:p>
        </w:tc>
        <w:tc>
          <w:tcPr>
            <w:tcW w:w="756" w:type="dxa"/>
            <w:vAlign w:val="center"/>
          </w:tcPr>
          <w:p w14:paraId="294E77EA" w14:textId="77777777" w:rsidR="002B733E" w:rsidRPr="00FD50F6" w:rsidRDefault="002B733E" w:rsidP="002B733E">
            <w:pPr>
              <w:pStyle w:val="7"/>
            </w:pPr>
            <w:r w:rsidRPr="00FD50F6">
              <w:rPr>
                <w:rFonts w:hint="eastAsia"/>
              </w:rPr>
              <w:t>-53</w:t>
            </w:r>
          </w:p>
        </w:tc>
        <w:tc>
          <w:tcPr>
            <w:tcW w:w="756" w:type="dxa"/>
            <w:vAlign w:val="center"/>
          </w:tcPr>
          <w:p w14:paraId="425B209A" w14:textId="77777777" w:rsidR="002B733E" w:rsidRPr="00FD50F6" w:rsidRDefault="002B733E" w:rsidP="002B733E">
            <w:pPr>
              <w:pStyle w:val="7"/>
            </w:pPr>
            <w:r w:rsidRPr="00FD50F6">
              <w:rPr>
                <w:rFonts w:hint="eastAsia"/>
              </w:rPr>
              <w:t>-53</w:t>
            </w:r>
          </w:p>
        </w:tc>
        <w:tc>
          <w:tcPr>
            <w:tcW w:w="756" w:type="dxa"/>
            <w:vAlign w:val="center"/>
          </w:tcPr>
          <w:p w14:paraId="3CFE908F" w14:textId="77777777" w:rsidR="002B733E" w:rsidRPr="00FD50F6" w:rsidRDefault="002B733E" w:rsidP="002B733E">
            <w:pPr>
              <w:pStyle w:val="7"/>
            </w:pPr>
            <w:r w:rsidRPr="00FD50F6">
              <w:rPr>
                <w:rFonts w:hint="eastAsia"/>
              </w:rPr>
              <w:t>35</w:t>
            </w:r>
          </w:p>
        </w:tc>
        <w:tc>
          <w:tcPr>
            <w:tcW w:w="756" w:type="dxa"/>
            <w:vAlign w:val="center"/>
          </w:tcPr>
          <w:p w14:paraId="0CFC84E9" w14:textId="77777777" w:rsidR="002B733E" w:rsidRPr="00FD50F6" w:rsidRDefault="002B733E" w:rsidP="002B733E">
            <w:pPr>
              <w:pStyle w:val="7"/>
            </w:pPr>
            <w:r w:rsidRPr="00FD50F6">
              <w:rPr>
                <w:rFonts w:hint="eastAsia"/>
              </w:rPr>
              <w:t>36</w:t>
            </w:r>
          </w:p>
        </w:tc>
        <w:tc>
          <w:tcPr>
            <w:tcW w:w="756" w:type="dxa"/>
            <w:vAlign w:val="center"/>
          </w:tcPr>
          <w:p w14:paraId="4E8392A5" w14:textId="77777777" w:rsidR="002B733E" w:rsidRPr="00FD50F6" w:rsidRDefault="002B733E" w:rsidP="002B733E">
            <w:pPr>
              <w:pStyle w:val="7"/>
            </w:pPr>
            <w:r w:rsidRPr="00FD50F6">
              <w:rPr>
                <w:rFonts w:hint="eastAsia"/>
              </w:rPr>
              <w:t>36</w:t>
            </w:r>
          </w:p>
        </w:tc>
        <w:tc>
          <w:tcPr>
            <w:tcW w:w="756" w:type="dxa"/>
            <w:vAlign w:val="center"/>
          </w:tcPr>
          <w:p w14:paraId="289DA008" w14:textId="77777777" w:rsidR="002B733E" w:rsidRPr="00FD50F6" w:rsidRDefault="002B733E" w:rsidP="002B733E">
            <w:pPr>
              <w:pStyle w:val="7"/>
            </w:pPr>
            <w:r w:rsidRPr="00FD50F6">
              <w:rPr>
                <w:rFonts w:hint="eastAsia"/>
              </w:rPr>
              <w:t>83</w:t>
            </w:r>
          </w:p>
        </w:tc>
        <w:tc>
          <w:tcPr>
            <w:tcW w:w="756" w:type="dxa"/>
            <w:vAlign w:val="center"/>
          </w:tcPr>
          <w:p w14:paraId="42110F73" w14:textId="77777777" w:rsidR="002B733E" w:rsidRPr="00FD50F6" w:rsidRDefault="002B733E" w:rsidP="002B733E">
            <w:pPr>
              <w:pStyle w:val="7"/>
            </w:pPr>
            <w:r w:rsidRPr="00FD50F6">
              <w:rPr>
                <w:rFonts w:hint="eastAsia"/>
              </w:rPr>
              <w:t>84</w:t>
            </w:r>
          </w:p>
        </w:tc>
        <w:tc>
          <w:tcPr>
            <w:tcW w:w="756" w:type="dxa"/>
            <w:vAlign w:val="bottom"/>
          </w:tcPr>
          <w:p w14:paraId="238A7FA1" w14:textId="77777777" w:rsidR="002B733E" w:rsidRPr="00FD50F6" w:rsidRDefault="002B733E" w:rsidP="002B733E">
            <w:pPr>
              <w:pStyle w:val="7"/>
              <w:rPr>
                <w:b/>
              </w:rPr>
            </w:pPr>
            <w:r w:rsidRPr="00FD50F6">
              <w:rPr>
                <w:rFonts w:hint="eastAsia"/>
                <w:b/>
              </w:rPr>
              <w:t>—</w:t>
            </w:r>
          </w:p>
        </w:tc>
      </w:tr>
      <w:tr w:rsidR="00FD50F6" w:rsidRPr="00FD50F6" w14:paraId="5A6D3A9F" w14:textId="77777777" w:rsidTr="002B733E">
        <w:trPr>
          <w:trHeight w:val="397"/>
        </w:trPr>
        <w:tc>
          <w:tcPr>
            <w:tcW w:w="701" w:type="dxa"/>
            <w:vAlign w:val="center"/>
          </w:tcPr>
          <w:p w14:paraId="5756D40C" w14:textId="77777777" w:rsidR="002B733E" w:rsidRPr="00FD50F6" w:rsidRDefault="002B733E" w:rsidP="002B733E">
            <w:pPr>
              <w:pStyle w:val="7"/>
            </w:pPr>
            <w:r w:rsidRPr="00FD50F6">
              <w:rPr>
                <w:rFonts w:hint="eastAsia"/>
              </w:rPr>
              <w:t>点号</w:t>
            </w:r>
          </w:p>
        </w:tc>
        <w:tc>
          <w:tcPr>
            <w:tcW w:w="756" w:type="dxa"/>
            <w:vAlign w:val="bottom"/>
          </w:tcPr>
          <w:p w14:paraId="3911BE5B" w14:textId="77777777" w:rsidR="002B733E" w:rsidRPr="00FD50F6" w:rsidRDefault="002B733E" w:rsidP="002B733E">
            <w:pPr>
              <w:pStyle w:val="7"/>
              <w:rPr>
                <w:b/>
              </w:rPr>
            </w:pPr>
            <w:r w:rsidRPr="00FD50F6">
              <w:rPr>
                <w:rFonts w:hint="eastAsia"/>
                <w:b/>
              </w:rPr>
              <w:t>29d</w:t>
            </w:r>
            <w:r w:rsidRPr="00FD50F6">
              <w:rPr>
                <w:rFonts w:hint="eastAsia"/>
                <w:b/>
              </w:rPr>
              <w:t>’</w:t>
            </w:r>
          </w:p>
        </w:tc>
        <w:tc>
          <w:tcPr>
            <w:tcW w:w="756" w:type="dxa"/>
            <w:vAlign w:val="bottom"/>
          </w:tcPr>
          <w:p w14:paraId="78C07568" w14:textId="77777777" w:rsidR="002B733E" w:rsidRPr="00FD50F6" w:rsidRDefault="002B733E" w:rsidP="002B733E">
            <w:pPr>
              <w:pStyle w:val="7"/>
              <w:rPr>
                <w:b/>
              </w:rPr>
            </w:pPr>
            <w:r w:rsidRPr="00FD50F6">
              <w:rPr>
                <w:rFonts w:hint="eastAsia"/>
                <w:b/>
              </w:rPr>
              <w:t>30d</w:t>
            </w:r>
            <w:r w:rsidRPr="00FD50F6">
              <w:rPr>
                <w:rFonts w:hint="eastAsia"/>
                <w:b/>
              </w:rPr>
              <w:t>’</w:t>
            </w:r>
          </w:p>
        </w:tc>
        <w:tc>
          <w:tcPr>
            <w:tcW w:w="756" w:type="dxa"/>
            <w:vAlign w:val="bottom"/>
          </w:tcPr>
          <w:p w14:paraId="0A651A82" w14:textId="77777777" w:rsidR="002B733E" w:rsidRPr="00FD50F6" w:rsidRDefault="002B733E" w:rsidP="002B733E">
            <w:pPr>
              <w:pStyle w:val="7"/>
              <w:rPr>
                <w:b/>
              </w:rPr>
            </w:pPr>
            <w:r w:rsidRPr="00FD50F6">
              <w:rPr>
                <w:rFonts w:hint="eastAsia"/>
                <w:b/>
              </w:rPr>
              <w:t>31d</w:t>
            </w:r>
            <w:r w:rsidRPr="00FD50F6">
              <w:rPr>
                <w:rFonts w:hint="eastAsia"/>
                <w:b/>
              </w:rPr>
              <w:t>’</w:t>
            </w:r>
          </w:p>
        </w:tc>
        <w:tc>
          <w:tcPr>
            <w:tcW w:w="756" w:type="dxa"/>
            <w:vAlign w:val="bottom"/>
          </w:tcPr>
          <w:p w14:paraId="63B6AD4A" w14:textId="77777777" w:rsidR="002B733E" w:rsidRPr="00FD50F6" w:rsidRDefault="002B733E" w:rsidP="002B733E">
            <w:pPr>
              <w:pStyle w:val="7"/>
              <w:rPr>
                <w:b/>
              </w:rPr>
            </w:pPr>
            <w:r w:rsidRPr="00FD50F6">
              <w:rPr>
                <w:rFonts w:hint="eastAsia"/>
                <w:b/>
              </w:rPr>
              <w:t>32d</w:t>
            </w:r>
            <w:r w:rsidRPr="00FD50F6">
              <w:rPr>
                <w:rFonts w:hint="eastAsia"/>
                <w:b/>
              </w:rPr>
              <w:t>’</w:t>
            </w:r>
          </w:p>
        </w:tc>
        <w:tc>
          <w:tcPr>
            <w:tcW w:w="756" w:type="dxa"/>
            <w:vAlign w:val="bottom"/>
          </w:tcPr>
          <w:p w14:paraId="7222D555" w14:textId="77777777" w:rsidR="002B733E" w:rsidRPr="00FD50F6" w:rsidRDefault="002B733E" w:rsidP="002B733E">
            <w:pPr>
              <w:pStyle w:val="7"/>
              <w:rPr>
                <w:b/>
              </w:rPr>
            </w:pPr>
            <w:r w:rsidRPr="00FD50F6">
              <w:rPr>
                <w:rFonts w:hint="eastAsia"/>
                <w:b/>
              </w:rPr>
              <w:t>33d</w:t>
            </w:r>
            <w:r w:rsidRPr="00FD50F6">
              <w:rPr>
                <w:rFonts w:hint="eastAsia"/>
                <w:b/>
              </w:rPr>
              <w:t>’</w:t>
            </w:r>
          </w:p>
        </w:tc>
        <w:tc>
          <w:tcPr>
            <w:tcW w:w="756" w:type="dxa"/>
            <w:vAlign w:val="bottom"/>
          </w:tcPr>
          <w:p w14:paraId="3D5F1BD5" w14:textId="77777777" w:rsidR="002B733E" w:rsidRPr="00FD50F6" w:rsidRDefault="002B733E" w:rsidP="002B733E">
            <w:pPr>
              <w:pStyle w:val="7"/>
              <w:rPr>
                <w:b/>
              </w:rPr>
            </w:pPr>
            <w:r w:rsidRPr="00FD50F6">
              <w:rPr>
                <w:rFonts w:hint="eastAsia"/>
                <w:b/>
              </w:rPr>
              <w:t>34d</w:t>
            </w:r>
            <w:r w:rsidRPr="00FD50F6">
              <w:rPr>
                <w:rFonts w:hint="eastAsia"/>
                <w:b/>
              </w:rPr>
              <w:t>’</w:t>
            </w:r>
          </w:p>
        </w:tc>
        <w:tc>
          <w:tcPr>
            <w:tcW w:w="756" w:type="dxa"/>
            <w:vAlign w:val="bottom"/>
          </w:tcPr>
          <w:p w14:paraId="04BBA142" w14:textId="77777777" w:rsidR="002B733E" w:rsidRPr="00FD50F6" w:rsidRDefault="002B733E" w:rsidP="002B733E">
            <w:pPr>
              <w:pStyle w:val="7"/>
              <w:rPr>
                <w:b/>
              </w:rPr>
            </w:pPr>
            <w:r w:rsidRPr="00FD50F6">
              <w:rPr>
                <w:rFonts w:hint="eastAsia"/>
                <w:b/>
              </w:rPr>
              <w:t>m1</w:t>
            </w:r>
            <w:r w:rsidRPr="00FD50F6">
              <w:rPr>
                <w:rFonts w:hint="eastAsia"/>
                <w:b/>
              </w:rPr>
              <w:t>’</w:t>
            </w:r>
          </w:p>
        </w:tc>
        <w:tc>
          <w:tcPr>
            <w:tcW w:w="756" w:type="dxa"/>
            <w:vAlign w:val="bottom"/>
          </w:tcPr>
          <w:p w14:paraId="2D262384" w14:textId="77777777" w:rsidR="002B733E" w:rsidRPr="00FD50F6" w:rsidRDefault="002B733E" w:rsidP="002B733E">
            <w:pPr>
              <w:pStyle w:val="7"/>
              <w:rPr>
                <w:b/>
              </w:rPr>
            </w:pPr>
            <w:r w:rsidRPr="00FD50F6">
              <w:rPr>
                <w:rFonts w:hint="eastAsia"/>
                <w:b/>
              </w:rPr>
              <w:t>m2</w:t>
            </w:r>
            <w:r w:rsidRPr="00FD50F6">
              <w:rPr>
                <w:rFonts w:hint="eastAsia"/>
                <w:b/>
              </w:rPr>
              <w:t>’</w:t>
            </w:r>
          </w:p>
        </w:tc>
        <w:tc>
          <w:tcPr>
            <w:tcW w:w="756" w:type="dxa"/>
            <w:vAlign w:val="bottom"/>
          </w:tcPr>
          <w:p w14:paraId="2B2D3DD2" w14:textId="77777777" w:rsidR="002B733E" w:rsidRPr="00FD50F6" w:rsidRDefault="002B733E" w:rsidP="002B733E">
            <w:pPr>
              <w:pStyle w:val="7"/>
              <w:rPr>
                <w:b/>
              </w:rPr>
            </w:pPr>
            <w:r w:rsidRPr="00FD50F6">
              <w:rPr>
                <w:rFonts w:hint="eastAsia"/>
                <w:b/>
              </w:rPr>
              <w:t>m3</w:t>
            </w:r>
            <w:r w:rsidRPr="00FD50F6">
              <w:rPr>
                <w:rFonts w:hint="eastAsia"/>
                <w:b/>
              </w:rPr>
              <w:t>’</w:t>
            </w:r>
          </w:p>
        </w:tc>
        <w:tc>
          <w:tcPr>
            <w:tcW w:w="756" w:type="dxa"/>
            <w:vAlign w:val="bottom"/>
          </w:tcPr>
          <w:p w14:paraId="01A963FB" w14:textId="77777777" w:rsidR="002B733E" w:rsidRPr="00FD50F6" w:rsidRDefault="002B733E" w:rsidP="002B733E">
            <w:pPr>
              <w:pStyle w:val="7"/>
              <w:rPr>
                <w:b/>
              </w:rPr>
            </w:pPr>
            <w:r w:rsidRPr="00FD50F6">
              <w:rPr>
                <w:rFonts w:hint="eastAsia"/>
                <w:b/>
              </w:rPr>
              <w:t>m4</w:t>
            </w:r>
            <w:r w:rsidRPr="00FD50F6">
              <w:rPr>
                <w:rFonts w:hint="eastAsia"/>
                <w:b/>
              </w:rPr>
              <w:t>’</w:t>
            </w:r>
          </w:p>
        </w:tc>
      </w:tr>
      <w:tr w:rsidR="00FD50F6" w:rsidRPr="00FD50F6" w14:paraId="4D120F35" w14:textId="77777777" w:rsidTr="002B733E">
        <w:trPr>
          <w:trHeight w:val="397"/>
        </w:trPr>
        <w:tc>
          <w:tcPr>
            <w:tcW w:w="701" w:type="dxa"/>
            <w:vAlign w:val="center"/>
          </w:tcPr>
          <w:p w14:paraId="2B6EC692" w14:textId="77777777" w:rsidR="002B733E" w:rsidRPr="00FD50F6" w:rsidRDefault="002B733E" w:rsidP="002B733E">
            <w:pPr>
              <w:pStyle w:val="7"/>
            </w:pPr>
            <w:r w:rsidRPr="00FD50F6">
              <w:rPr>
                <w:rFonts w:hint="eastAsia"/>
              </w:rPr>
              <w:t>X</w:t>
            </w:r>
          </w:p>
        </w:tc>
        <w:tc>
          <w:tcPr>
            <w:tcW w:w="756" w:type="dxa"/>
            <w:vAlign w:val="bottom"/>
          </w:tcPr>
          <w:p w14:paraId="53C4A80E" w14:textId="77777777" w:rsidR="002B733E" w:rsidRPr="00FD50F6" w:rsidRDefault="002B733E" w:rsidP="002B733E">
            <w:pPr>
              <w:pStyle w:val="7"/>
            </w:pPr>
            <w:r w:rsidRPr="00FD50F6">
              <w:rPr>
                <w:rFonts w:hint="eastAsia"/>
              </w:rPr>
              <w:t>-1333</w:t>
            </w:r>
          </w:p>
        </w:tc>
        <w:tc>
          <w:tcPr>
            <w:tcW w:w="756" w:type="dxa"/>
            <w:vAlign w:val="bottom"/>
          </w:tcPr>
          <w:p w14:paraId="3A6FF2D5" w14:textId="77777777" w:rsidR="002B733E" w:rsidRPr="00FD50F6" w:rsidRDefault="002B733E" w:rsidP="002B733E">
            <w:pPr>
              <w:pStyle w:val="7"/>
            </w:pPr>
            <w:r w:rsidRPr="00FD50F6">
              <w:rPr>
                <w:rFonts w:hint="eastAsia"/>
              </w:rPr>
              <w:t>-1610</w:t>
            </w:r>
          </w:p>
        </w:tc>
        <w:tc>
          <w:tcPr>
            <w:tcW w:w="756" w:type="dxa"/>
            <w:vAlign w:val="bottom"/>
          </w:tcPr>
          <w:p w14:paraId="73C3B5BC" w14:textId="77777777" w:rsidR="002B733E" w:rsidRPr="00FD50F6" w:rsidRDefault="002B733E" w:rsidP="002B733E">
            <w:pPr>
              <w:pStyle w:val="7"/>
            </w:pPr>
            <w:r w:rsidRPr="00FD50F6">
              <w:rPr>
                <w:rFonts w:hint="eastAsia"/>
              </w:rPr>
              <w:t>-1610</w:t>
            </w:r>
          </w:p>
        </w:tc>
        <w:tc>
          <w:tcPr>
            <w:tcW w:w="756" w:type="dxa"/>
            <w:vAlign w:val="bottom"/>
          </w:tcPr>
          <w:p w14:paraId="361FDDC4" w14:textId="77777777" w:rsidR="002B733E" w:rsidRPr="00FD50F6" w:rsidRDefault="002B733E" w:rsidP="002B733E">
            <w:pPr>
              <w:pStyle w:val="7"/>
            </w:pPr>
            <w:r w:rsidRPr="00FD50F6">
              <w:rPr>
                <w:rFonts w:hint="eastAsia"/>
              </w:rPr>
              <w:t>-1435</w:t>
            </w:r>
          </w:p>
        </w:tc>
        <w:tc>
          <w:tcPr>
            <w:tcW w:w="756" w:type="dxa"/>
            <w:vAlign w:val="bottom"/>
          </w:tcPr>
          <w:p w14:paraId="7F8B7467" w14:textId="77777777" w:rsidR="002B733E" w:rsidRPr="00FD50F6" w:rsidRDefault="002B733E" w:rsidP="002B733E">
            <w:pPr>
              <w:pStyle w:val="7"/>
            </w:pPr>
            <w:r w:rsidRPr="00FD50F6">
              <w:rPr>
                <w:rFonts w:hint="eastAsia"/>
              </w:rPr>
              <w:t>-1426</w:t>
            </w:r>
          </w:p>
        </w:tc>
        <w:tc>
          <w:tcPr>
            <w:tcW w:w="756" w:type="dxa"/>
            <w:vAlign w:val="bottom"/>
          </w:tcPr>
          <w:p w14:paraId="23FD8935" w14:textId="77777777" w:rsidR="002B733E" w:rsidRPr="00FD50F6" w:rsidRDefault="002B733E" w:rsidP="002B733E">
            <w:pPr>
              <w:pStyle w:val="7"/>
            </w:pPr>
            <w:r w:rsidRPr="00FD50F6">
              <w:rPr>
                <w:rFonts w:hint="eastAsia"/>
              </w:rPr>
              <w:t>-1148</w:t>
            </w:r>
          </w:p>
        </w:tc>
        <w:tc>
          <w:tcPr>
            <w:tcW w:w="756" w:type="dxa"/>
            <w:vAlign w:val="bottom"/>
          </w:tcPr>
          <w:p w14:paraId="50857E69" w14:textId="77777777" w:rsidR="002B733E" w:rsidRPr="00FD50F6" w:rsidRDefault="002B733E" w:rsidP="002B733E">
            <w:pPr>
              <w:pStyle w:val="7"/>
            </w:pPr>
            <w:r w:rsidRPr="00FD50F6">
              <w:rPr>
                <w:rFonts w:hint="eastAsia"/>
              </w:rPr>
              <w:t>1143</w:t>
            </w:r>
          </w:p>
        </w:tc>
        <w:tc>
          <w:tcPr>
            <w:tcW w:w="756" w:type="dxa"/>
            <w:vAlign w:val="bottom"/>
          </w:tcPr>
          <w:p w14:paraId="2C4F58EA" w14:textId="77777777" w:rsidR="002B733E" w:rsidRPr="00FD50F6" w:rsidRDefault="002B733E" w:rsidP="002B733E">
            <w:pPr>
              <w:pStyle w:val="7"/>
            </w:pPr>
            <w:r w:rsidRPr="00FD50F6">
              <w:rPr>
                <w:rFonts w:hint="eastAsia"/>
              </w:rPr>
              <w:t>1495</w:t>
            </w:r>
          </w:p>
        </w:tc>
        <w:tc>
          <w:tcPr>
            <w:tcW w:w="756" w:type="dxa"/>
            <w:vAlign w:val="bottom"/>
          </w:tcPr>
          <w:p w14:paraId="7B12C985" w14:textId="77777777" w:rsidR="002B733E" w:rsidRPr="00FD50F6" w:rsidRDefault="002B733E" w:rsidP="002B733E">
            <w:pPr>
              <w:pStyle w:val="7"/>
            </w:pPr>
            <w:r w:rsidRPr="00FD50F6">
              <w:rPr>
                <w:rFonts w:hint="eastAsia"/>
              </w:rPr>
              <w:t>1594</w:t>
            </w:r>
          </w:p>
        </w:tc>
        <w:tc>
          <w:tcPr>
            <w:tcW w:w="756" w:type="dxa"/>
            <w:vAlign w:val="bottom"/>
          </w:tcPr>
          <w:p w14:paraId="1AC9DC38" w14:textId="77777777" w:rsidR="002B733E" w:rsidRPr="00FD50F6" w:rsidRDefault="002B733E" w:rsidP="002B733E">
            <w:pPr>
              <w:pStyle w:val="7"/>
            </w:pPr>
            <w:r w:rsidRPr="00FD50F6">
              <w:rPr>
                <w:rFonts w:hint="eastAsia"/>
              </w:rPr>
              <w:t>1543</w:t>
            </w:r>
          </w:p>
        </w:tc>
      </w:tr>
      <w:tr w:rsidR="00FD50F6" w:rsidRPr="00FD50F6" w14:paraId="02B6503B" w14:textId="77777777" w:rsidTr="002B733E">
        <w:trPr>
          <w:trHeight w:val="397"/>
        </w:trPr>
        <w:tc>
          <w:tcPr>
            <w:tcW w:w="701" w:type="dxa"/>
            <w:vAlign w:val="center"/>
          </w:tcPr>
          <w:p w14:paraId="48DE4D4E" w14:textId="77777777" w:rsidR="002B733E" w:rsidRPr="00FD50F6" w:rsidRDefault="002B733E" w:rsidP="002B733E">
            <w:pPr>
              <w:pStyle w:val="7"/>
            </w:pPr>
            <w:r w:rsidRPr="00FD50F6">
              <w:rPr>
                <w:rFonts w:hint="eastAsia"/>
              </w:rPr>
              <w:t>Y</w:t>
            </w:r>
          </w:p>
        </w:tc>
        <w:tc>
          <w:tcPr>
            <w:tcW w:w="756" w:type="dxa"/>
            <w:vAlign w:val="bottom"/>
          </w:tcPr>
          <w:p w14:paraId="13487624" w14:textId="77777777" w:rsidR="002B733E" w:rsidRPr="00FD50F6" w:rsidRDefault="002B733E" w:rsidP="002B733E">
            <w:pPr>
              <w:pStyle w:val="7"/>
            </w:pPr>
            <w:r w:rsidRPr="00FD50F6">
              <w:rPr>
                <w:rFonts w:hint="eastAsia"/>
              </w:rPr>
              <w:t>205</w:t>
            </w:r>
          </w:p>
        </w:tc>
        <w:tc>
          <w:tcPr>
            <w:tcW w:w="756" w:type="dxa"/>
            <w:vAlign w:val="bottom"/>
          </w:tcPr>
          <w:p w14:paraId="5DE8FD85" w14:textId="77777777" w:rsidR="002B733E" w:rsidRPr="00FD50F6" w:rsidRDefault="002B733E" w:rsidP="002B733E">
            <w:pPr>
              <w:pStyle w:val="7"/>
            </w:pPr>
            <w:r w:rsidRPr="00FD50F6">
              <w:rPr>
                <w:rFonts w:hint="eastAsia"/>
              </w:rPr>
              <w:t>205</w:t>
            </w:r>
          </w:p>
        </w:tc>
        <w:tc>
          <w:tcPr>
            <w:tcW w:w="756" w:type="dxa"/>
            <w:vAlign w:val="bottom"/>
          </w:tcPr>
          <w:p w14:paraId="4E52CB3B" w14:textId="77777777" w:rsidR="002B733E" w:rsidRPr="00FD50F6" w:rsidRDefault="002B733E" w:rsidP="002B733E">
            <w:pPr>
              <w:pStyle w:val="7"/>
            </w:pPr>
            <w:r w:rsidRPr="00FD50F6">
              <w:rPr>
                <w:rFonts w:hint="eastAsia"/>
              </w:rPr>
              <w:t>22</w:t>
            </w:r>
          </w:p>
        </w:tc>
        <w:tc>
          <w:tcPr>
            <w:tcW w:w="756" w:type="dxa"/>
            <w:vAlign w:val="bottom"/>
          </w:tcPr>
          <w:p w14:paraId="594B7032" w14:textId="77777777" w:rsidR="002B733E" w:rsidRPr="00FD50F6" w:rsidRDefault="002B733E" w:rsidP="002B733E">
            <w:pPr>
              <w:pStyle w:val="7"/>
            </w:pPr>
            <w:r w:rsidRPr="00FD50F6">
              <w:rPr>
                <w:rFonts w:hint="eastAsia"/>
              </w:rPr>
              <w:t>22</w:t>
            </w:r>
          </w:p>
        </w:tc>
        <w:tc>
          <w:tcPr>
            <w:tcW w:w="756" w:type="dxa"/>
            <w:vAlign w:val="bottom"/>
          </w:tcPr>
          <w:p w14:paraId="3E1C1F3B" w14:textId="77777777" w:rsidR="002B733E" w:rsidRPr="00FD50F6" w:rsidRDefault="002B733E" w:rsidP="002B733E">
            <w:pPr>
              <w:pStyle w:val="7"/>
            </w:pPr>
            <w:r w:rsidRPr="00FD50F6">
              <w:rPr>
                <w:rFonts w:hint="eastAsia"/>
              </w:rPr>
              <w:t>16</w:t>
            </w:r>
          </w:p>
        </w:tc>
        <w:tc>
          <w:tcPr>
            <w:tcW w:w="756" w:type="dxa"/>
            <w:vAlign w:val="bottom"/>
          </w:tcPr>
          <w:p w14:paraId="57E6F7F1" w14:textId="77777777" w:rsidR="002B733E" w:rsidRPr="00FD50F6" w:rsidRDefault="002B733E" w:rsidP="002B733E">
            <w:pPr>
              <w:pStyle w:val="7"/>
            </w:pPr>
            <w:r w:rsidRPr="00FD50F6">
              <w:rPr>
                <w:rFonts w:hint="eastAsia"/>
              </w:rPr>
              <w:t>66</w:t>
            </w:r>
          </w:p>
        </w:tc>
        <w:tc>
          <w:tcPr>
            <w:tcW w:w="756" w:type="dxa"/>
            <w:vAlign w:val="bottom"/>
          </w:tcPr>
          <w:p w14:paraId="52C2CCC4" w14:textId="77777777" w:rsidR="002B733E" w:rsidRPr="00FD50F6" w:rsidRDefault="002B733E" w:rsidP="002B733E">
            <w:pPr>
              <w:pStyle w:val="7"/>
            </w:pPr>
            <w:r w:rsidRPr="00FD50F6">
              <w:rPr>
                <w:rFonts w:hint="eastAsia"/>
              </w:rPr>
              <w:t>3188</w:t>
            </w:r>
          </w:p>
        </w:tc>
        <w:tc>
          <w:tcPr>
            <w:tcW w:w="756" w:type="dxa"/>
            <w:vAlign w:val="bottom"/>
          </w:tcPr>
          <w:p w14:paraId="16364A7B" w14:textId="77777777" w:rsidR="002B733E" w:rsidRPr="00FD50F6" w:rsidRDefault="002B733E" w:rsidP="002B733E">
            <w:pPr>
              <w:pStyle w:val="7"/>
            </w:pPr>
            <w:r w:rsidRPr="00FD50F6">
              <w:rPr>
                <w:rFonts w:hint="eastAsia"/>
              </w:rPr>
              <w:t>3188</w:t>
            </w:r>
          </w:p>
        </w:tc>
        <w:tc>
          <w:tcPr>
            <w:tcW w:w="756" w:type="dxa"/>
            <w:vAlign w:val="bottom"/>
          </w:tcPr>
          <w:p w14:paraId="3BD40AE7" w14:textId="77777777" w:rsidR="002B733E" w:rsidRPr="00FD50F6" w:rsidRDefault="002B733E" w:rsidP="002B733E">
            <w:pPr>
              <w:pStyle w:val="7"/>
            </w:pPr>
            <w:r w:rsidRPr="00FD50F6">
              <w:rPr>
                <w:rFonts w:hint="eastAsia"/>
              </w:rPr>
              <w:t>1055</w:t>
            </w:r>
          </w:p>
        </w:tc>
        <w:tc>
          <w:tcPr>
            <w:tcW w:w="756" w:type="dxa"/>
            <w:vAlign w:val="bottom"/>
          </w:tcPr>
          <w:p w14:paraId="50B31EED" w14:textId="77777777" w:rsidR="002B733E" w:rsidRPr="00FD50F6" w:rsidRDefault="002B733E" w:rsidP="002B733E">
            <w:pPr>
              <w:pStyle w:val="7"/>
            </w:pPr>
            <w:r w:rsidRPr="00FD50F6">
              <w:rPr>
                <w:rFonts w:hint="eastAsia"/>
              </w:rPr>
              <w:t>1055</w:t>
            </w:r>
          </w:p>
        </w:tc>
      </w:tr>
      <w:tr w:rsidR="00FD50F6" w:rsidRPr="00FD50F6" w14:paraId="1019FA23" w14:textId="77777777" w:rsidTr="002B733E">
        <w:trPr>
          <w:trHeight w:val="397"/>
        </w:trPr>
        <w:tc>
          <w:tcPr>
            <w:tcW w:w="701" w:type="dxa"/>
            <w:vAlign w:val="center"/>
          </w:tcPr>
          <w:p w14:paraId="27308AA7" w14:textId="77777777" w:rsidR="002B733E" w:rsidRPr="00FD50F6" w:rsidRDefault="002B733E" w:rsidP="002B733E">
            <w:pPr>
              <w:pStyle w:val="7"/>
            </w:pPr>
            <w:r w:rsidRPr="00FD50F6">
              <w:rPr>
                <w:rFonts w:hint="eastAsia"/>
              </w:rPr>
              <w:t>点号</w:t>
            </w:r>
          </w:p>
        </w:tc>
        <w:tc>
          <w:tcPr>
            <w:tcW w:w="756" w:type="dxa"/>
            <w:vAlign w:val="bottom"/>
          </w:tcPr>
          <w:p w14:paraId="0C43EA63" w14:textId="77777777" w:rsidR="002B733E" w:rsidRPr="00FD50F6" w:rsidRDefault="002B733E" w:rsidP="002B733E">
            <w:pPr>
              <w:pStyle w:val="7"/>
              <w:rPr>
                <w:b/>
              </w:rPr>
            </w:pPr>
            <w:r w:rsidRPr="00FD50F6">
              <w:rPr>
                <w:rFonts w:hint="eastAsia"/>
                <w:b/>
              </w:rPr>
              <w:t>29e</w:t>
            </w:r>
            <w:r w:rsidRPr="00FD50F6">
              <w:rPr>
                <w:rFonts w:hint="eastAsia"/>
                <w:b/>
              </w:rPr>
              <w:t>’</w:t>
            </w:r>
          </w:p>
        </w:tc>
        <w:tc>
          <w:tcPr>
            <w:tcW w:w="756" w:type="dxa"/>
            <w:vAlign w:val="bottom"/>
          </w:tcPr>
          <w:p w14:paraId="2483878C" w14:textId="77777777" w:rsidR="002B733E" w:rsidRPr="00FD50F6" w:rsidRDefault="002B733E" w:rsidP="002B733E">
            <w:pPr>
              <w:pStyle w:val="7"/>
              <w:rPr>
                <w:b/>
              </w:rPr>
            </w:pPr>
            <w:r w:rsidRPr="00FD50F6">
              <w:rPr>
                <w:rFonts w:hint="eastAsia"/>
                <w:b/>
              </w:rPr>
              <w:t>30e</w:t>
            </w:r>
            <w:r w:rsidRPr="00FD50F6">
              <w:rPr>
                <w:rFonts w:hint="eastAsia"/>
                <w:b/>
              </w:rPr>
              <w:t>’</w:t>
            </w:r>
          </w:p>
        </w:tc>
        <w:tc>
          <w:tcPr>
            <w:tcW w:w="756" w:type="dxa"/>
            <w:vAlign w:val="bottom"/>
          </w:tcPr>
          <w:p w14:paraId="64F3C672" w14:textId="77777777" w:rsidR="002B733E" w:rsidRPr="00FD50F6" w:rsidRDefault="002B733E" w:rsidP="002B733E">
            <w:pPr>
              <w:pStyle w:val="7"/>
              <w:rPr>
                <w:b/>
              </w:rPr>
            </w:pPr>
            <w:r w:rsidRPr="00FD50F6">
              <w:rPr>
                <w:rFonts w:hint="eastAsia"/>
                <w:b/>
              </w:rPr>
              <w:t>31e</w:t>
            </w:r>
            <w:r w:rsidRPr="00FD50F6">
              <w:rPr>
                <w:rFonts w:hint="eastAsia"/>
                <w:b/>
              </w:rPr>
              <w:t>’</w:t>
            </w:r>
          </w:p>
        </w:tc>
        <w:tc>
          <w:tcPr>
            <w:tcW w:w="756" w:type="dxa"/>
            <w:vAlign w:val="bottom"/>
          </w:tcPr>
          <w:p w14:paraId="7710F347" w14:textId="77777777" w:rsidR="002B733E" w:rsidRPr="00FD50F6" w:rsidRDefault="002B733E" w:rsidP="002B733E">
            <w:pPr>
              <w:pStyle w:val="7"/>
              <w:rPr>
                <w:b/>
              </w:rPr>
            </w:pPr>
            <w:r w:rsidRPr="00FD50F6">
              <w:rPr>
                <w:rFonts w:hint="eastAsia"/>
                <w:b/>
              </w:rPr>
              <w:t>32e</w:t>
            </w:r>
            <w:r w:rsidRPr="00FD50F6">
              <w:rPr>
                <w:rFonts w:hint="eastAsia"/>
                <w:b/>
              </w:rPr>
              <w:t>’</w:t>
            </w:r>
          </w:p>
        </w:tc>
        <w:tc>
          <w:tcPr>
            <w:tcW w:w="756" w:type="dxa"/>
            <w:vAlign w:val="bottom"/>
          </w:tcPr>
          <w:p w14:paraId="6051F243" w14:textId="77777777" w:rsidR="002B733E" w:rsidRPr="00FD50F6" w:rsidRDefault="002B733E" w:rsidP="002B733E">
            <w:pPr>
              <w:pStyle w:val="7"/>
              <w:rPr>
                <w:b/>
              </w:rPr>
            </w:pPr>
            <w:r w:rsidRPr="00FD50F6">
              <w:rPr>
                <w:rFonts w:hint="eastAsia"/>
                <w:b/>
              </w:rPr>
              <w:t>33e</w:t>
            </w:r>
            <w:r w:rsidRPr="00FD50F6">
              <w:rPr>
                <w:rFonts w:hint="eastAsia"/>
                <w:b/>
              </w:rPr>
              <w:t>’</w:t>
            </w:r>
          </w:p>
        </w:tc>
        <w:tc>
          <w:tcPr>
            <w:tcW w:w="756" w:type="dxa"/>
            <w:vAlign w:val="bottom"/>
          </w:tcPr>
          <w:p w14:paraId="42C7DDC4" w14:textId="77777777" w:rsidR="002B733E" w:rsidRPr="00FD50F6" w:rsidRDefault="002B733E" w:rsidP="002B733E">
            <w:pPr>
              <w:pStyle w:val="7"/>
              <w:rPr>
                <w:b/>
              </w:rPr>
            </w:pPr>
            <w:r w:rsidRPr="00FD50F6">
              <w:rPr>
                <w:rFonts w:hint="eastAsia"/>
                <w:b/>
              </w:rPr>
              <w:t>34e</w:t>
            </w:r>
            <w:r w:rsidRPr="00FD50F6">
              <w:rPr>
                <w:rFonts w:hint="eastAsia"/>
                <w:b/>
              </w:rPr>
              <w:t>’</w:t>
            </w:r>
          </w:p>
        </w:tc>
        <w:tc>
          <w:tcPr>
            <w:tcW w:w="756" w:type="dxa"/>
            <w:vAlign w:val="bottom"/>
          </w:tcPr>
          <w:p w14:paraId="0893717D" w14:textId="77777777" w:rsidR="002B733E" w:rsidRPr="00FD50F6" w:rsidRDefault="002B733E" w:rsidP="002B733E">
            <w:pPr>
              <w:pStyle w:val="7"/>
              <w:rPr>
                <w:b/>
              </w:rPr>
            </w:pPr>
            <w:r w:rsidRPr="00FD50F6">
              <w:rPr>
                <w:rFonts w:hint="eastAsia"/>
                <w:b/>
              </w:rPr>
              <w:t>—</w:t>
            </w:r>
          </w:p>
        </w:tc>
        <w:tc>
          <w:tcPr>
            <w:tcW w:w="756" w:type="dxa"/>
            <w:vAlign w:val="bottom"/>
          </w:tcPr>
          <w:p w14:paraId="1B756E40" w14:textId="77777777" w:rsidR="002B733E" w:rsidRPr="00FD50F6" w:rsidRDefault="002B733E" w:rsidP="002B733E">
            <w:pPr>
              <w:pStyle w:val="7"/>
              <w:rPr>
                <w:b/>
              </w:rPr>
            </w:pPr>
            <w:r w:rsidRPr="00FD50F6">
              <w:rPr>
                <w:rFonts w:hint="eastAsia"/>
                <w:b/>
              </w:rPr>
              <w:t>—</w:t>
            </w:r>
          </w:p>
        </w:tc>
        <w:tc>
          <w:tcPr>
            <w:tcW w:w="756" w:type="dxa"/>
            <w:vAlign w:val="bottom"/>
          </w:tcPr>
          <w:p w14:paraId="03135CAE" w14:textId="77777777" w:rsidR="002B733E" w:rsidRPr="00FD50F6" w:rsidRDefault="002B733E" w:rsidP="002B733E">
            <w:pPr>
              <w:pStyle w:val="7"/>
              <w:rPr>
                <w:b/>
              </w:rPr>
            </w:pPr>
            <w:r w:rsidRPr="00FD50F6">
              <w:rPr>
                <w:rFonts w:hint="eastAsia"/>
                <w:b/>
              </w:rPr>
              <w:t>—</w:t>
            </w:r>
          </w:p>
        </w:tc>
        <w:tc>
          <w:tcPr>
            <w:tcW w:w="756" w:type="dxa"/>
            <w:vAlign w:val="bottom"/>
          </w:tcPr>
          <w:p w14:paraId="18D72102" w14:textId="77777777" w:rsidR="002B733E" w:rsidRPr="00FD50F6" w:rsidRDefault="002B733E" w:rsidP="002B733E">
            <w:pPr>
              <w:pStyle w:val="7"/>
              <w:rPr>
                <w:b/>
              </w:rPr>
            </w:pPr>
            <w:r w:rsidRPr="00FD50F6">
              <w:rPr>
                <w:rFonts w:hint="eastAsia"/>
                <w:b/>
              </w:rPr>
              <w:t>—</w:t>
            </w:r>
          </w:p>
        </w:tc>
      </w:tr>
      <w:tr w:rsidR="00FD50F6" w:rsidRPr="00FD50F6" w14:paraId="1DB4A45E" w14:textId="77777777" w:rsidTr="002B733E">
        <w:trPr>
          <w:trHeight w:val="397"/>
        </w:trPr>
        <w:tc>
          <w:tcPr>
            <w:tcW w:w="701" w:type="dxa"/>
            <w:vAlign w:val="center"/>
          </w:tcPr>
          <w:p w14:paraId="4F9DC1DE" w14:textId="77777777" w:rsidR="002B733E" w:rsidRPr="00FD50F6" w:rsidRDefault="002B733E" w:rsidP="002B733E">
            <w:pPr>
              <w:pStyle w:val="7"/>
            </w:pPr>
            <w:r w:rsidRPr="00FD50F6">
              <w:rPr>
                <w:rFonts w:hint="eastAsia"/>
              </w:rPr>
              <w:t>X</w:t>
            </w:r>
          </w:p>
        </w:tc>
        <w:tc>
          <w:tcPr>
            <w:tcW w:w="756" w:type="dxa"/>
            <w:vAlign w:val="bottom"/>
          </w:tcPr>
          <w:p w14:paraId="7223417B" w14:textId="77777777" w:rsidR="002B733E" w:rsidRPr="00FD50F6" w:rsidRDefault="002B733E" w:rsidP="002B733E">
            <w:pPr>
              <w:pStyle w:val="7"/>
            </w:pPr>
            <w:r w:rsidRPr="00FD50F6">
              <w:rPr>
                <w:rFonts w:hint="eastAsia"/>
              </w:rPr>
              <w:t>1346</w:t>
            </w:r>
          </w:p>
        </w:tc>
        <w:tc>
          <w:tcPr>
            <w:tcW w:w="756" w:type="dxa"/>
            <w:vAlign w:val="bottom"/>
          </w:tcPr>
          <w:p w14:paraId="4D93F1BC" w14:textId="77777777" w:rsidR="002B733E" w:rsidRPr="00FD50F6" w:rsidRDefault="002B733E" w:rsidP="002B733E">
            <w:pPr>
              <w:pStyle w:val="7"/>
            </w:pPr>
            <w:r w:rsidRPr="00FD50F6">
              <w:rPr>
                <w:rFonts w:hint="eastAsia"/>
              </w:rPr>
              <w:t>1610</w:t>
            </w:r>
          </w:p>
        </w:tc>
        <w:tc>
          <w:tcPr>
            <w:tcW w:w="756" w:type="dxa"/>
            <w:vAlign w:val="bottom"/>
          </w:tcPr>
          <w:p w14:paraId="3FADA26C" w14:textId="77777777" w:rsidR="002B733E" w:rsidRPr="00FD50F6" w:rsidRDefault="002B733E" w:rsidP="002B733E">
            <w:pPr>
              <w:pStyle w:val="7"/>
            </w:pPr>
            <w:r w:rsidRPr="00FD50F6">
              <w:rPr>
                <w:rFonts w:hint="eastAsia"/>
              </w:rPr>
              <w:t>1610</w:t>
            </w:r>
          </w:p>
        </w:tc>
        <w:tc>
          <w:tcPr>
            <w:tcW w:w="756" w:type="dxa"/>
            <w:vAlign w:val="bottom"/>
          </w:tcPr>
          <w:p w14:paraId="033CDD02" w14:textId="77777777" w:rsidR="002B733E" w:rsidRPr="00FD50F6" w:rsidRDefault="002B733E" w:rsidP="002B733E">
            <w:pPr>
              <w:pStyle w:val="7"/>
            </w:pPr>
            <w:r w:rsidRPr="00FD50F6">
              <w:rPr>
                <w:rFonts w:hint="eastAsia"/>
              </w:rPr>
              <w:t>1435</w:t>
            </w:r>
          </w:p>
        </w:tc>
        <w:tc>
          <w:tcPr>
            <w:tcW w:w="756" w:type="dxa"/>
            <w:vAlign w:val="bottom"/>
          </w:tcPr>
          <w:p w14:paraId="50F74C0D" w14:textId="77777777" w:rsidR="002B733E" w:rsidRPr="00FD50F6" w:rsidRDefault="002B733E" w:rsidP="002B733E">
            <w:pPr>
              <w:pStyle w:val="7"/>
            </w:pPr>
            <w:r w:rsidRPr="00FD50F6">
              <w:rPr>
                <w:rFonts w:hint="eastAsia"/>
              </w:rPr>
              <w:t>1426</w:t>
            </w:r>
          </w:p>
        </w:tc>
        <w:tc>
          <w:tcPr>
            <w:tcW w:w="756" w:type="dxa"/>
            <w:vAlign w:val="bottom"/>
          </w:tcPr>
          <w:p w14:paraId="3A2D5CA7" w14:textId="77777777" w:rsidR="002B733E" w:rsidRPr="00FD50F6" w:rsidRDefault="002B733E" w:rsidP="002B733E">
            <w:pPr>
              <w:pStyle w:val="7"/>
            </w:pPr>
            <w:r w:rsidRPr="00FD50F6">
              <w:rPr>
                <w:rFonts w:hint="eastAsia"/>
              </w:rPr>
              <w:t>1148</w:t>
            </w:r>
          </w:p>
        </w:tc>
        <w:tc>
          <w:tcPr>
            <w:tcW w:w="756" w:type="dxa"/>
            <w:vAlign w:val="bottom"/>
          </w:tcPr>
          <w:p w14:paraId="7948398C" w14:textId="77777777" w:rsidR="002B733E" w:rsidRPr="00FD50F6" w:rsidRDefault="002B733E" w:rsidP="002B733E">
            <w:pPr>
              <w:pStyle w:val="7"/>
              <w:rPr>
                <w:b/>
              </w:rPr>
            </w:pPr>
            <w:r w:rsidRPr="00FD50F6">
              <w:rPr>
                <w:rFonts w:hint="eastAsia"/>
                <w:b/>
              </w:rPr>
              <w:t>—</w:t>
            </w:r>
          </w:p>
        </w:tc>
        <w:tc>
          <w:tcPr>
            <w:tcW w:w="756" w:type="dxa"/>
            <w:vAlign w:val="bottom"/>
          </w:tcPr>
          <w:p w14:paraId="62D4A99E" w14:textId="77777777" w:rsidR="002B733E" w:rsidRPr="00FD50F6" w:rsidRDefault="002B733E" w:rsidP="002B733E">
            <w:pPr>
              <w:pStyle w:val="7"/>
              <w:rPr>
                <w:b/>
              </w:rPr>
            </w:pPr>
            <w:r w:rsidRPr="00FD50F6">
              <w:rPr>
                <w:rFonts w:hint="eastAsia"/>
                <w:b/>
              </w:rPr>
              <w:t>—</w:t>
            </w:r>
          </w:p>
        </w:tc>
        <w:tc>
          <w:tcPr>
            <w:tcW w:w="756" w:type="dxa"/>
            <w:vAlign w:val="bottom"/>
          </w:tcPr>
          <w:p w14:paraId="137BF2AF" w14:textId="77777777" w:rsidR="002B733E" w:rsidRPr="00FD50F6" w:rsidRDefault="002B733E" w:rsidP="002B733E">
            <w:pPr>
              <w:pStyle w:val="7"/>
              <w:rPr>
                <w:b/>
              </w:rPr>
            </w:pPr>
            <w:r w:rsidRPr="00FD50F6">
              <w:rPr>
                <w:rFonts w:hint="eastAsia"/>
                <w:b/>
              </w:rPr>
              <w:t>—</w:t>
            </w:r>
          </w:p>
        </w:tc>
        <w:tc>
          <w:tcPr>
            <w:tcW w:w="756" w:type="dxa"/>
            <w:vAlign w:val="bottom"/>
          </w:tcPr>
          <w:p w14:paraId="1519E6B7" w14:textId="77777777" w:rsidR="002B733E" w:rsidRPr="00FD50F6" w:rsidRDefault="002B733E" w:rsidP="002B733E">
            <w:pPr>
              <w:pStyle w:val="7"/>
              <w:rPr>
                <w:b/>
              </w:rPr>
            </w:pPr>
            <w:r w:rsidRPr="00FD50F6">
              <w:rPr>
                <w:rFonts w:hint="eastAsia"/>
                <w:b/>
              </w:rPr>
              <w:t>—</w:t>
            </w:r>
          </w:p>
        </w:tc>
      </w:tr>
      <w:tr w:rsidR="002B733E" w:rsidRPr="00FD50F6" w14:paraId="25E984C6" w14:textId="77777777" w:rsidTr="002B733E">
        <w:trPr>
          <w:trHeight w:val="397"/>
        </w:trPr>
        <w:tc>
          <w:tcPr>
            <w:tcW w:w="701" w:type="dxa"/>
            <w:vAlign w:val="center"/>
          </w:tcPr>
          <w:p w14:paraId="3612723B" w14:textId="77777777" w:rsidR="002B733E" w:rsidRPr="00FD50F6" w:rsidRDefault="002B733E" w:rsidP="002B733E">
            <w:pPr>
              <w:pStyle w:val="7"/>
            </w:pPr>
            <w:r w:rsidRPr="00FD50F6">
              <w:rPr>
                <w:rFonts w:hint="eastAsia"/>
              </w:rPr>
              <w:t>Y</w:t>
            </w:r>
          </w:p>
        </w:tc>
        <w:tc>
          <w:tcPr>
            <w:tcW w:w="756" w:type="dxa"/>
            <w:vAlign w:val="bottom"/>
          </w:tcPr>
          <w:p w14:paraId="7CB5113B" w14:textId="77777777" w:rsidR="002B733E" w:rsidRPr="00FD50F6" w:rsidRDefault="002B733E" w:rsidP="002B733E">
            <w:pPr>
              <w:pStyle w:val="7"/>
            </w:pPr>
            <w:r w:rsidRPr="00FD50F6">
              <w:rPr>
                <w:rFonts w:hint="eastAsia"/>
              </w:rPr>
              <w:t>291</w:t>
            </w:r>
          </w:p>
        </w:tc>
        <w:tc>
          <w:tcPr>
            <w:tcW w:w="756" w:type="dxa"/>
            <w:vAlign w:val="bottom"/>
          </w:tcPr>
          <w:p w14:paraId="4962EF6E" w14:textId="77777777" w:rsidR="002B733E" w:rsidRPr="00FD50F6" w:rsidRDefault="002B733E" w:rsidP="002B733E">
            <w:pPr>
              <w:pStyle w:val="7"/>
            </w:pPr>
            <w:r w:rsidRPr="00FD50F6">
              <w:rPr>
                <w:rFonts w:hint="eastAsia"/>
              </w:rPr>
              <w:t>292</w:t>
            </w:r>
          </w:p>
        </w:tc>
        <w:tc>
          <w:tcPr>
            <w:tcW w:w="756" w:type="dxa"/>
            <w:vAlign w:val="bottom"/>
          </w:tcPr>
          <w:p w14:paraId="7388377C" w14:textId="77777777" w:rsidR="002B733E" w:rsidRPr="00FD50F6" w:rsidRDefault="002B733E" w:rsidP="002B733E">
            <w:pPr>
              <w:pStyle w:val="7"/>
            </w:pPr>
            <w:r w:rsidRPr="00FD50F6">
              <w:rPr>
                <w:rFonts w:hint="eastAsia"/>
              </w:rPr>
              <w:t>22</w:t>
            </w:r>
          </w:p>
        </w:tc>
        <w:tc>
          <w:tcPr>
            <w:tcW w:w="756" w:type="dxa"/>
            <w:vAlign w:val="bottom"/>
          </w:tcPr>
          <w:p w14:paraId="4BC578CC" w14:textId="77777777" w:rsidR="002B733E" w:rsidRPr="00FD50F6" w:rsidRDefault="002B733E" w:rsidP="002B733E">
            <w:pPr>
              <w:pStyle w:val="7"/>
            </w:pPr>
            <w:r w:rsidRPr="00FD50F6">
              <w:rPr>
                <w:rFonts w:hint="eastAsia"/>
              </w:rPr>
              <w:t>22</w:t>
            </w:r>
          </w:p>
        </w:tc>
        <w:tc>
          <w:tcPr>
            <w:tcW w:w="756" w:type="dxa"/>
            <w:vAlign w:val="bottom"/>
          </w:tcPr>
          <w:p w14:paraId="71B8018C" w14:textId="77777777" w:rsidR="002B733E" w:rsidRPr="00FD50F6" w:rsidRDefault="002B733E" w:rsidP="002B733E">
            <w:pPr>
              <w:pStyle w:val="7"/>
            </w:pPr>
            <w:r w:rsidRPr="00FD50F6">
              <w:rPr>
                <w:rFonts w:hint="eastAsia"/>
              </w:rPr>
              <w:t>16</w:t>
            </w:r>
          </w:p>
        </w:tc>
        <w:tc>
          <w:tcPr>
            <w:tcW w:w="756" w:type="dxa"/>
            <w:vAlign w:val="bottom"/>
          </w:tcPr>
          <w:p w14:paraId="3B205717" w14:textId="77777777" w:rsidR="002B733E" w:rsidRPr="00FD50F6" w:rsidRDefault="002B733E" w:rsidP="002B733E">
            <w:pPr>
              <w:pStyle w:val="7"/>
            </w:pPr>
            <w:r w:rsidRPr="00FD50F6">
              <w:rPr>
                <w:rFonts w:hint="eastAsia"/>
              </w:rPr>
              <w:t>66</w:t>
            </w:r>
          </w:p>
        </w:tc>
        <w:tc>
          <w:tcPr>
            <w:tcW w:w="756" w:type="dxa"/>
            <w:vAlign w:val="bottom"/>
          </w:tcPr>
          <w:p w14:paraId="62B9D150" w14:textId="77777777" w:rsidR="002B733E" w:rsidRPr="00FD50F6" w:rsidRDefault="002B733E" w:rsidP="002B733E">
            <w:pPr>
              <w:pStyle w:val="7"/>
              <w:rPr>
                <w:b/>
              </w:rPr>
            </w:pPr>
            <w:r w:rsidRPr="00FD50F6">
              <w:rPr>
                <w:rFonts w:hint="eastAsia"/>
                <w:b/>
              </w:rPr>
              <w:t>—</w:t>
            </w:r>
          </w:p>
        </w:tc>
        <w:tc>
          <w:tcPr>
            <w:tcW w:w="756" w:type="dxa"/>
            <w:vAlign w:val="bottom"/>
          </w:tcPr>
          <w:p w14:paraId="0D9FE09A" w14:textId="77777777" w:rsidR="002B733E" w:rsidRPr="00FD50F6" w:rsidRDefault="002B733E" w:rsidP="002B733E">
            <w:pPr>
              <w:pStyle w:val="7"/>
              <w:rPr>
                <w:b/>
              </w:rPr>
            </w:pPr>
            <w:r w:rsidRPr="00FD50F6">
              <w:rPr>
                <w:rFonts w:hint="eastAsia"/>
                <w:b/>
              </w:rPr>
              <w:t>—</w:t>
            </w:r>
          </w:p>
        </w:tc>
        <w:tc>
          <w:tcPr>
            <w:tcW w:w="756" w:type="dxa"/>
            <w:vAlign w:val="bottom"/>
          </w:tcPr>
          <w:p w14:paraId="4978350F" w14:textId="77777777" w:rsidR="002B733E" w:rsidRPr="00FD50F6" w:rsidRDefault="002B733E" w:rsidP="002B733E">
            <w:pPr>
              <w:pStyle w:val="7"/>
              <w:rPr>
                <w:b/>
              </w:rPr>
            </w:pPr>
            <w:r w:rsidRPr="00FD50F6">
              <w:rPr>
                <w:rFonts w:hint="eastAsia"/>
                <w:b/>
              </w:rPr>
              <w:t>—</w:t>
            </w:r>
          </w:p>
        </w:tc>
        <w:tc>
          <w:tcPr>
            <w:tcW w:w="756" w:type="dxa"/>
            <w:vAlign w:val="bottom"/>
          </w:tcPr>
          <w:p w14:paraId="2398545F" w14:textId="77777777" w:rsidR="002B733E" w:rsidRPr="00FD50F6" w:rsidRDefault="002B733E" w:rsidP="002B733E">
            <w:pPr>
              <w:pStyle w:val="7"/>
              <w:rPr>
                <w:b/>
              </w:rPr>
            </w:pPr>
            <w:r w:rsidRPr="00FD50F6">
              <w:rPr>
                <w:rFonts w:hint="eastAsia"/>
                <w:b/>
              </w:rPr>
              <w:t>—</w:t>
            </w:r>
          </w:p>
        </w:tc>
      </w:tr>
    </w:tbl>
    <w:p w14:paraId="0A97659E" w14:textId="77777777" w:rsidR="002B733E" w:rsidRPr="00FD50F6" w:rsidRDefault="002B733E" w:rsidP="002B733E">
      <w:pPr>
        <w:spacing w:before="246" w:line="400" w:lineRule="exact"/>
        <w:ind w:firstLine="352"/>
        <w:jc w:val="left"/>
        <w:rPr>
          <w:rFonts w:ascii="Calibri" w:hAnsi="Calibri" w:cs="Times New Roman"/>
          <w:sz w:val="18"/>
          <w:szCs w:val="24"/>
        </w:rPr>
      </w:pPr>
    </w:p>
    <w:p w14:paraId="6D220F06" w14:textId="77777777" w:rsidR="002B733E" w:rsidRPr="00FD50F6" w:rsidRDefault="002B733E" w:rsidP="002B733E">
      <w:pPr>
        <w:pStyle w:val="6"/>
      </w:pPr>
      <w:r w:rsidRPr="00FD50F6">
        <w:rPr>
          <w:rFonts w:hint="eastAsia"/>
        </w:rPr>
        <w:t>表</w:t>
      </w:r>
      <w:r w:rsidRPr="00FD50F6">
        <w:rPr>
          <w:rFonts w:ascii="Calibri" w:hAnsi="Calibri" w:hint="eastAsia"/>
          <w:b/>
        </w:rPr>
        <w:t>B.0.2-3</w:t>
      </w:r>
      <w:r w:rsidRPr="00FD50F6">
        <w:rPr>
          <w:rFonts w:hint="eastAsia"/>
        </w:rPr>
        <w:t xml:space="preserve">  </w:t>
      </w:r>
      <w:r w:rsidRPr="00FD50F6">
        <w:rPr>
          <w:rFonts w:hint="eastAsia"/>
        </w:rPr>
        <w:t>隧道外车站直线地段停站车辆限界坐标值（</w:t>
      </w:r>
      <w:r w:rsidRPr="00FD50F6">
        <w:rPr>
          <w:rFonts w:hint="eastAsia"/>
        </w:rPr>
        <w:t>mm</w:t>
      </w:r>
      <w:r w:rsidRPr="00FD50F6">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2216B700" w14:textId="77777777" w:rsidTr="002B733E">
        <w:trPr>
          <w:trHeight w:val="397"/>
        </w:trPr>
        <w:tc>
          <w:tcPr>
            <w:tcW w:w="701" w:type="dxa"/>
            <w:vAlign w:val="center"/>
          </w:tcPr>
          <w:p w14:paraId="4EA754F6" w14:textId="77777777" w:rsidR="002B733E" w:rsidRPr="00FD50F6" w:rsidRDefault="002B733E" w:rsidP="002B733E">
            <w:pPr>
              <w:pStyle w:val="7"/>
            </w:pPr>
            <w:r w:rsidRPr="00FD50F6">
              <w:rPr>
                <w:rFonts w:hint="eastAsia"/>
              </w:rPr>
              <w:t>点号</w:t>
            </w:r>
          </w:p>
        </w:tc>
        <w:tc>
          <w:tcPr>
            <w:tcW w:w="756" w:type="dxa"/>
            <w:vAlign w:val="center"/>
          </w:tcPr>
          <w:p w14:paraId="04733DE8"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541AAD45"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1E760E8E"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321912F0"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06F84141"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7CEC19B3" w14:textId="77777777" w:rsidR="002B733E" w:rsidRPr="00FD50F6" w:rsidRDefault="002B733E" w:rsidP="002B733E">
            <w:pPr>
              <w:pStyle w:val="7"/>
            </w:pPr>
            <w:r w:rsidRPr="00FD50F6">
              <w:rPr>
                <w:rFonts w:hint="eastAsia"/>
              </w:rPr>
              <w:t>4a</w:t>
            </w:r>
            <w:r w:rsidRPr="00FD50F6">
              <w:rPr>
                <w:rFonts w:hint="eastAsia"/>
              </w:rPr>
              <w:t>’</w:t>
            </w:r>
          </w:p>
        </w:tc>
        <w:tc>
          <w:tcPr>
            <w:tcW w:w="756" w:type="dxa"/>
            <w:vAlign w:val="center"/>
          </w:tcPr>
          <w:p w14:paraId="08A2E5FC"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6C5DB50F"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center"/>
          </w:tcPr>
          <w:p w14:paraId="61F7E959" w14:textId="77777777" w:rsidR="002B733E" w:rsidRPr="00FD50F6" w:rsidRDefault="002B733E" w:rsidP="002B733E">
            <w:pPr>
              <w:pStyle w:val="7"/>
            </w:pPr>
            <w:r w:rsidRPr="00FD50F6">
              <w:rPr>
                <w:rFonts w:hint="eastAsia"/>
              </w:rPr>
              <w:t>7</w:t>
            </w:r>
            <w:r w:rsidRPr="00FD50F6">
              <w:rPr>
                <w:rFonts w:hint="eastAsia"/>
              </w:rPr>
              <w:t>’</w:t>
            </w:r>
          </w:p>
        </w:tc>
        <w:tc>
          <w:tcPr>
            <w:tcW w:w="756" w:type="dxa"/>
            <w:vAlign w:val="center"/>
          </w:tcPr>
          <w:p w14:paraId="7EBFE08F" w14:textId="77777777" w:rsidR="002B733E" w:rsidRPr="00FD50F6" w:rsidRDefault="002B733E" w:rsidP="002B733E">
            <w:pPr>
              <w:pStyle w:val="7"/>
            </w:pPr>
            <w:r w:rsidRPr="00FD50F6">
              <w:rPr>
                <w:rFonts w:hint="eastAsia"/>
              </w:rPr>
              <w:t>8</w:t>
            </w:r>
            <w:r w:rsidRPr="00FD50F6">
              <w:rPr>
                <w:rFonts w:hint="eastAsia"/>
              </w:rPr>
              <w:t>’</w:t>
            </w:r>
          </w:p>
        </w:tc>
      </w:tr>
      <w:tr w:rsidR="00FD50F6" w:rsidRPr="00FD50F6" w14:paraId="055EB89A" w14:textId="77777777" w:rsidTr="002B733E">
        <w:trPr>
          <w:trHeight w:val="397"/>
        </w:trPr>
        <w:tc>
          <w:tcPr>
            <w:tcW w:w="701" w:type="dxa"/>
            <w:vAlign w:val="center"/>
          </w:tcPr>
          <w:p w14:paraId="5C7747F3" w14:textId="77777777" w:rsidR="002B733E" w:rsidRPr="00FD50F6" w:rsidRDefault="002B733E" w:rsidP="002B733E">
            <w:pPr>
              <w:pStyle w:val="7"/>
            </w:pPr>
            <w:r w:rsidRPr="00FD50F6">
              <w:rPr>
                <w:rFonts w:hint="eastAsia"/>
              </w:rPr>
              <w:t>X</w:t>
            </w:r>
          </w:p>
        </w:tc>
        <w:tc>
          <w:tcPr>
            <w:tcW w:w="756" w:type="dxa"/>
            <w:vAlign w:val="center"/>
          </w:tcPr>
          <w:p w14:paraId="67102405" w14:textId="77777777" w:rsidR="002B733E" w:rsidRPr="00FD50F6" w:rsidRDefault="002B733E" w:rsidP="002B733E">
            <w:pPr>
              <w:pStyle w:val="7"/>
            </w:pPr>
            <w:r w:rsidRPr="00FD50F6">
              <w:rPr>
                <w:rFonts w:hint="eastAsia"/>
              </w:rPr>
              <w:t>0</w:t>
            </w:r>
          </w:p>
        </w:tc>
        <w:tc>
          <w:tcPr>
            <w:tcW w:w="756" w:type="dxa"/>
            <w:vAlign w:val="center"/>
          </w:tcPr>
          <w:p w14:paraId="7142BF7C" w14:textId="77777777" w:rsidR="002B733E" w:rsidRPr="00FD50F6" w:rsidRDefault="002B733E" w:rsidP="002B733E">
            <w:pPr>
              <w:pStyle w:val="7"/>
            </w:pPr>
            <w:r w:rsidRPr="00FD50F6">
              <w:rPr>
                <w:rFonts w:hint="eastAsia"/>
              </w:rPr>
              <w:t>731</w:t>
            </w:r>
          </w:p>
        </w:tc>
        <w:tc>
          <w:tcPr>
            <w:tcW w:w="756" w:type="dxa"/>
            <w:vAlign w:val="center"/>
          </w:tcPr>
          <w:p w14:paraId="28B8F8ED" w14:textId="77777777" w:rsidR="002B733E" w:rsidRPr="00FD50F6" w:rsidRDefault="002B733E" w:rsidP="002B733E">
            <w:pPr>
              <w:pStyle w:val="7"/>
            </w:pPr>
            <w:r w:rsidRPr="00FD50F6">
              <w:rPr>
                <w:rFonts w:hint="eastAsia"/>
              </w:rPr>
              <w:t>751</w:t>
            </w:r>
          </w:p>
        </w:tc>
        <w:tc>
          <w:tcPr>
            <w:tcW w:w="756" w:type="dxa"/>
            <w:vAlign w:val="center"/>
          </w:tcPr>
          <w:p w14:paraId="5B325FC2" w14:textId="77777777" w:rsidR="002B733E" w:rsidRPr="00FD50F6" w:rsidRDefault="002B733E" w:rsidP="002B733E">
            <w:pPr>
              <w:pStyle w:val="7"/>
            </w:pPr>
            <w:r w:rsidRPr="00FD50F6">
              <w:rPr>
                <w:rFonts w:hint="eastAsia"/>
              </w:rPr>
              <w:t>834</w:t>
            </w:r>
          </w:p>
        </w:tc>
        <w:tc>
          <w:tcPr>
            <w:tcW w:w="756" w:type="dxa"/>
            <w:vAlign w:val="center"/>
          </w:tcPr>
          <w:p w14:paraId="36907024" w14:textId="77777777" w:rsidR="002B733E" w:rsidRPr="00FD50F6" w:rsidRDefault="002B733E" w:rsidP="002B733E">
            <w:pPr>
              <w:pStyle w:val="7"/>
            </w:pPr>
            <w:r w:rsidRPr="00FD50F6">
              <w:rPr>
                <w:rFonts w:hint="eastAsia"/>
              </w:rPr>
              <w:t>834</w:t>
            </w:r>
          </w:p>
        </w:tc>
        <w:tc>
          <w:tcPr>
            <w:tcW w:w="756" w:type="dxa"/>
            <w:vAlign w:val="center"/>
          </w:tcPr>
          <w:p w14:paraId="5E2AE6AC" w14:textId="77777777" w:rsidR="002B733E" w:rsidRPr="00FD50F6" w:rsidRDefault="002B733E" w:rsidP="002B733E">
            <w:pPr>
              <w:pStyle w:val="7"/>
            </w:pPr>
            <w:r w:rsidRPr="00FD50F6">
              <w:rPr>
                <w:rFonts w:hint="eastAsia"/>
              </w:rPr>
              <w:t>894</w:t>
            </w:r>
          </w:p>
        </w:tc>
        <w:tc>
          <w:tcPr>
            <w:tcW w:w="756" w:type="dxa"/>
            <w:vAlign w:val="center"/>
          </w:tcPr>
          <w:p w14:paraId="2EE04D45" w14:textId="77777777" w:rsidR="002B733E" w:rsidRPr="00FD50F6" w:rsidRDefault="002B733E" w:rsidP="002B733E">
            <w:pPr>
              <w:pStyle w:val="7"/>
            </w:pPr>
            <w:r w:rsidRPr="00FD50F6">
              <w:rPr>
                <w:rFonts w:hint="eastAsia"/>
              </w:rPr>
              <w:t>1141</w:t>
            </w:r>
          </w:p>
        </w:tc>
        <w:tc>
          <w:tcPr>
            <w:tcW w:w="756" w:type="dxa"/>
            <w:vAlign w:val="center"/>
          </w:tcPr>
          <w:p w14:paraId="6E012269" w14:textId="77777777" w:rsidR="002B733E" w:rsidRPr="00FD50F6" w:rsidRDefault="002B733E" w:rsidP="002B733E">
            <w:pPr>
              <w:pStyle w:val="7"/>
            </w:pPr>
            <w:r w:rsidRPr="00FD50F6">
              <w:rPr>
                <w:rFonts w:hint="eastAsia"/>
              </w:rPr>
              <w:t>1403</w:t>
            </w:r>
          </w:p>
        </w:tc>
        <w:tc>
          <w:tcPr>
            <w:tcW w:w="756" w:type="dxa"/>
            <w:vAlign w:val="center"/>
          </w:tcPr>
          <w:p w14:paraId="3C9207E3" w14:textId="77777777" w:rsidR="002B733E" w:rsidRPr="00FD50F6" w:rsidRDefault="002B733E" w:rsidP="002B733E">
            <w:pPr>
              <w:pStyle w:val="7"/>
            </w:pPr>
            <w:r w:rsidRPr="00FD50F6">
              <w:rPr>
                <w:rFonts w:hint="eastAsia"/>
              </w:rPr>
              <w:t>1444</w:t>
            </w:r>
          </w:p>
        </w:tc>
        <w:tc>
          <w:tcPr>
            <w:tcW w:w="756" w:type="dxa"/>
            <w:vAlign w:val="center"/>
          </w:tcPr>
          <w:p w14:paraId="49455F1D" w14:textId="77777777" w:rsidR="002B733E" w:rsidRPr="00FD50F6" w:rsidRDefault="002B733E" w:rsidP="002B733E">
            <w:pPr>
              <w:pStyle w:val="7"/>
            </w:pPr>
            <w:r w:rsidRPr="00FD50F6">
              <w:rPr>
                <w:rFonts w:hint="eastAsia"/>
              </w:rPr>
              <w:t>1545</w:t>
            </w:r>
          </w:p>
        </w:tc>
      </w:tr>
      <w:tr w:rsidR="00FD50F6" w:rsidRPr="00FD50F6" w14:paraId="23288C87" w14:textId="77777777" w:rsidTr="002B733E">
        <w:trPr>
          <w:trHeight w:val="397"/>
        </w:trPr>
        <w:tc>
          <w:tcPr>
            <w:tcW w:w="701" w:type="dxa"/>
            <w:vAlign w:val="center"/>
          </w:tcPr>
          <w:p w14:paraId="1DDC8FFD" w14:textId="77777777" w:rsidR="002B733E" w:rsidRPr="00FD50F6" w:rsidRDefault="002B733E" w:rsidP="002B733E">
            <w:pPr>
              <w:pStyle w:val="7"/>
            </w:pPr>
            <w:r w:rsidRPr="00FD50F6">
              <w:rPr>
                <w:rFonts w:hint="eastAsia"/>
              </w:rPr>
              <w:t>Y</w:t>
            </w:r>
          </w:p>
        </w:tc>
        <w:tc>
          <w:tcPr>
            <w:tcW w:w="756" w:type="dxa"/>
            <w:vAlign w:val="center"/>
          </w:tcPr>
          <w:p w14:paraId="318C9E8C" w14:textId="77777777" w:rsidR="002B733E" w:rsidRPr="00FD50F6" w:rsidRDefault="002B733E" w:rsidP="002B733E">
            <w:pPr>
              <w:pStyle w:val="7"/>
            </w:pPr>
            <w:r w:rsidRPr="00FD50F6">
              <w:rPr>
                <w:rFonts w:hint="eastAsia"/>
              </w:rPr>
              <w:t>3860</w:t>
            </w:r>
          </w:p>
        </w:tc>
        <w:tc>
          <w:tcPr>
            <w:tcW w:w="756" w:type="dxa"/>
            <w:vAlign w:val="center"/>
          </w:tcPr>
          <w:p w14:paraId="7AAB3F31" w14:textId="77777777" w:rsidR="002B733E" w:rsidRPr="00FD50F6" w:rsidRDefault="002B733E" w:rsidP="002B733E">
            <w:pPr>
              <w:pStyle w:val="7"/>
            </w:pPr>
            <w:r w:rsidRPr="00FD50F6">
              <w:rPr>
                <w:rFonts w:hint="eastAsia"/>
              </w:rPr>
              <w:t>3863</w:t>
            </w:r>
          </w:p>
        </w:tc>
        <w:tc>
          <w:tcPr>
            <w:tcW w:w="756" w:type="dxa"/>
            <w:vAlign w:val="center"/>
          </w:tcPr>
          <w:p w14:paraId="16A42EF1" w14:textId="77777777" w:rsidR="002B733E" w:rsidRPr="00FD50F6" w:rsidRDefault="002B733E" w:rsidP="002B733E">
            <w:pPr>
              <w:pStyle w:val="7"/>
            </w:pPr>
            <w:r w:rsidRPr="00FD50F6">
              <w:rPr>
                <w:rFonts w:hint="eastAsia"/>
              </w:rPr>
              <w:t>3863</w:t>
            </w:r>
          </w:p>
        </w:tc>
        <w:tc>
          <w:tcPr>
            <w:tcW w:w="756" w:type="dxa"/>
            <w:vAlign w:val="center"/>
          </w:tcPr>
          <w:p w14:paraId="33A99C02" w14:textId="77777777" w:rsidR="002B733E" w:rsidRPr="00FD50F6" w:rsidRDefault="002B733E" w:rsidP="002B733E">
            <w:pPr>
              <w:pStyle w:val="7"/>
            </w:pPr>
            <w:r w:rsidRPr="00FD50F6">
              <w:rPr>
                <w:rFonts w:hint="eastAsia"/>
              </w:rPr>
              <w:t>3822</w:t>
            </w:r>
          </w:p>
        </w:tc>
        <w:tc>
          <w:tcPr>
            <w:tcW w:w="756" w:type="dxa"/>
            <w:vAlign w:val="center"/>
          </w:tcPr>
          <w:p w14:paraId="0CD2C502" w14:textId="77777777" w:rsidR="002B733E" w:rsidRPr="00FD50F6" w:rsidRDefault="002B733E" w:rsidP="002B733E">
            <w:pPr>
              <w:pStyle w:val="7"/>
            </w:pPr>
            <w:r w:rsidRPr="00FD50F6">
              <w:rPr>
                <w:rFonts w:hint="eastAsia"/>
              </w:rPr>
              <w:t>3749</w:t>
            </w:r>
          </w:p>
        </w:tc>
        <w:tc>
          <w:tcPr>
            <w:tcW w:w="756" w:type="dxa"/>
            <w:vAlign w:val="center"/>
          </w:tcPr>
          <w:p w14:paraId="0CDC8DC2" w14:textId="77777777" w:rsidR="002B733E" w:rsidRPr="00FD50F6" w:rsidRDefault="002B733E" w:rsidP="002B733E">
            <w:pPr>
              <w:pStyle w:val="7"/>
            </w:pPr>
            <w:r w:rsidRPr="00FD50F6">
              <w:rPr>
                <w:rFonts w:hint="eastAsia"/>
              </w:rPr>
              <w:t>3727</w:t>
            </w:r>
          </w:p>
        </w:tc>
        <w:tc>
          <w:tcPr>
            <w:tcW w:w="756" w:type="dxa"/>
            <w:vAlign w:val="center"/>
          </w:tcPr>
          <w:p w14:paraId="04370F84" w14:textId="77777777" w:rsidR="002B733E" w:rsidRPr="00FD50F6" w:rsidRDefault="002B733E" w:rsidP="002B733E">
            <w:pPr>
              <w:pStyle w:val="7"/>
            </w:pPr>
            <w:r w:rsidRPr="00FD50F6">
              <w:rPr>
                <w:rFonts w:hint="eastAsia"/>
              </w:rPr>
              <w:t>3576</w:t>
            </w:r>
          </w:p>
        </w:tc>
        <w:tc>
          <w:tcPr>
            <w:tcW w:w="756" w:type="dxa"/>
            <w:vAlign w:val="center"/>
          </w:tcPr>
          <w:p w14:paraId="4F5AEBBB" w14:textId="77777777" w:rsidR="002B733E" w:rsidRPr="00FD50F6" w:rsidRDefault="002B733E" w:rsidP="002B733E">
            <w:pPr>
              <w:pStyle w:val="7"/>
            </w:pPr>
            <w:r w:rsidRPr="00FD50F6">
              <w:rPr>
                <w:rFonts w:hint="eastAsia"/>
              </w:rPr>
              <w:t>3413</w:t>
            </w:r>
          </w:p>
        </w:tc>
        <w:tc>
          <w:tcPr>
            <w:tcW w:w="756" w:type="dxa"/>
            <w:vAlign w:val="center"/>
          </w:tcPr>
          <w:p w14:paraId="6E124849" w14:textId="77777777" w:rsidR="002B733E" w:rsidRPr="00FD50F6" w:rsidRDefault="002B733E" w:rsidP="002B733E">
            <w:pPr>
              <w:pStyle w:val="7"/>
            </w:pPr>
            <w:r w:rsidRPr="00FD50F6">
              <w:rPr>
                <w:rFonts w:hint="eastAsia"/>
              </w:rPr>
              <w:t>3323</w:t>
            </w:r>
          </w:p>
        </w:tc>
        <w:tc>
          <w:tcPr>
            <w:tcW w:w="756" w:type="dxa"/>
            <w:vAlign w:val="center"/>
          </w:tcPr>
          <w:p w14:paraId="4E6C132D" w14:textId="77777777" w:rsidR="002B733E" w:rsidRPr="00FD50F6" w:rsidRDefault="002B733E" w:rsidP="002B733E">
            <w:pPr>
              <w:pStyle w:val="7"/>
            </w:pPr>
            <w:r w:rsidRPr="00FD50F6">
              <w:rPr>
                <w:rFonts w:hint="eastAsia"/>
              </w:rPr>
              <w:t>1024</w:t>
            </w:r>
          </w:p>
        </w:tc>
      </w:tr>
      <w:tr w:rsidR="00FD50F6" w:rsidRPr="00FD50F6" w14:paraId="0ACC47EE" w14:textId="77777777" w:rsidTr="002B733E">
        <w:trPr>
          <w:trHeight w:val="397"/>
        </w:trPr>
        <w:tc>
          <w:tcPr>
            <w:tcW w:w="701" w:type="dxa"/>
            <w:vAlign w:val="center"/>
          </w:tcPr>
          <w:p w14:paraId="65A3CF16" w14:textId="77777777" w:rsidR="002B733E" w:rsidRPr="00FD50F6" w:rsidRDefault="002B733E" w:rsidP="002B733E">
            <w:pPr>
              <w:pStyle w:val="7"/>
            </w:pPr>
            <w:r w:rsidRPr="00FD50F6">
              <w:rPr>
                <w:rFonts w:hint="eastAsia"/>
              </w:rPr>
              <w:t>点号</w:t>
            </w:r>
          </w:p>
        </w:tc>
        <w:tc>
          <w:tcPr>
            <w:tcW w:w="756" w:type="dxa"/>
            <w:vAlign w:val="center"/>
          </w:tcPr>
          <w:p w14:paraId="584C7A19" w14:textId="77777777" w:rsidR="002B733E" w:rsidRPr="00FD50F6" w:rsidRDefault="002B733E" w:rsidP="002B733E">
            <w:pPr>
              <w:pStyle w:val="7"/>
              <w:rPr>
                <w:b/>
              </w:rPr>
            </w:pPr>
            <w:r w:rsidRPr="00FD50F6">
              <w:rPr>
                <w:rFonts w:hint="eastAsia"/>
                <w:b/>
              </w:rPr>
              <w:t>9</w:t>
            </w:r>
            <w:r w:rsidRPr="00FD50F6">
              <w:rPr>
                <w:rFonts w:hint="eastAsia"/>
                <w:b/>
              </w:rPr>
              <w:t>’</w:t>
            </w:r>
          </w:p>
        </w:tc>
        <w:tc>
          <w:tcPr>
            <w:tcW w:w="756" w:type="dxa"/>
            <w:vAlign w:val="center"/>
          </w:tcPr>
          <w:p w14:paraId="08F4FBA2" w14:textId="77777777" w:rsidR="002B733E" w:rsidRPr="00FD50F6" w:rsidRDefault="002B733E" w:rsidP="002B733E">
            <w:pPr>
              <w:pStyle w:val="7"/>
              <w:rPr>
                <w:b/>
              </w:rPr>
            </w:pPr>
            <w:r w:rsidRPr="00FD50F6">
              <w:rPr>
                <w:rFonts w:hint="eastAsia"/>
                <w:b/>
              </w:rPr>
              <w:t>10</w:t>
            </w:r>
            <w:r w:rsidRPr="00FD50F6">
              <w:rPr>
                <w:rFonts w:hint="eastAsia"/>
                <w:b/>
              </w:rPr>
              <w:t>’</w:t>
            </w:r>
          </w:p>
        </w:tc>
        <w:tc>
          <w:tcPr>
            <w:tcW w:w="756" w:type="dxa"/>
            <w:vAlign w:val="center"/>
          </w:tcPr>
          <w:p w14:paraId="39663491" w14:textId="77777777" w:rsidR="002B733E" w:rsidRPr="00FD50F6" w:rsidRDefault="002B733E" w:rsidP="002B733E">
            <w:pPr>
              <w:pStyle w:val="7"/>
              <w:rPr>
                <w:b/>
              </w:rPr>
            </w:pPr>
            <w:r w:rsidRPr="00FD50F6">
              <w:rPr>
                <w:rFonts w:hint="eastAsia"/>
                <w:b/>
              </w:rPr>
              <w:t>11</w:t>
            </w:r>
            <w:r w:rsidRPr="00FD50F6">
              <w:rPr>
                <w:rFonts w:hint="eastAsia"/>
                <w:b/>
              </w:rPr>
              <w:t>’</w:t>
            </w:r>
          </w:p>
        </w:tc>
        <w:tc>
          <w:tcPr>
            <w:tcW w:w="756" w:type="dxa"/>
            <w:vAlign w:val="center"/>
          </w:tcPr>
          <w:p w14:paraId="20FB79CA" w14:textId="77777777" w:rsidR="002B733E" w:rsidRPr="00FD50F6" w:rsidRDefault="002B733E" w:rsidP="002B733E">
            <w:pPr>
              <w:pStyle w:val="7"/>
              <w:rPr>
                <w:b/>
              </w:rPr>
            </w:pPr>
            <w:r w:rsidRPr="00FD50F6">
              <w:rPr>
                <w:rFonts w:hint="eastAsia"/>
                <w:b/>
              </w:rPr>
              <w:t>12</w:t>
            </w:r>
            <w:r w:rsidRPr="00FD50F6">
              <w:rPr>
                <w:rFonts w:hint="eastAsia"/>
                <w:b/>
              </w:rPr>
              <w:t>’</w:t>
            </w:r>
          </w:p>
        </w:tc>
        <w:tc>
          <w:tcPr>
            <w:tcW w:w="756" w:type="dxa"/>
            <w:vAlign w:val="center"/>
          </w:tcPr>
          <w:p w14:paraId="6A7C0F6D" w14:textId="77777777" w:rsidR="002B733E" w:rsidRPr="00FD50F6" w:rsidRDefault="002B733E" w:rsidP="002B733E">
            <w:pPr>
              <w:pStyle w:val="7"/>
              <w:rPr>
                <w:b/>
              </w:rPr>
            </w:pPr>
            <w:r w:rsidRPr="00FD50F6">
              <w:rPr>
                <w:rFonts w:hint="eastAsia"/>
                <w:b/>
              </w:rPr>
              <w:t>14</w:t>
            </w:r>
            <w:r w:rsidRPr="00FD50F6">
              <w:rPr>
                <w:rFonts w:hint="eastAsia"/>
                <w:b/>
              </w:rPr>
              <w:t>’</w:t>
            </w:r>
          </w:p>
        </w:tc>
        <w:tc>
          <w:tcPr>
            <w:tcW w:w="756" w:type="dxa"/>
            <w:vAlign w:val="center"/>
          </w:tcPr>
          <w:p w14:paraId="3468A8A8" w14:textId="77777777" w:rsidR="002B733E" w:rsidRPr="00FD50F6" w:rsidRDefault="002B733E" w:rsidP="002B733E">
            <w:pPr>
              <w:pStyle w:val="7"/>
              <w:rPr>
                <w:b/>
              </w:rPr>
            </w:pPr>
            <w:r w:rsidRPr="00FD50F6">
              <w:rPr>
                <w:rFonts w:hint="eastAsia"/>
                <w:b/>
              </w:rPr>
              <w:t>15</w:t>
            </w:r>
            <w:r w:rsidRPr="00FD50F6">
              <w:rPr>
                <w:rFonts w:hint="eastAsia"/>
                <w:b/>
              </w:rPr>
              <w:t>’</w:t>
            </w:r>
          </w:p>
        </w:tc>
        <w:tc>
          <w:tcPr>
            <w:tcW w:w="756" w:type="dxa"/>
            <w:vAlign w:val="center"/>
          </w:tcPr>
          <w:p w14:paraId="2E1B09A0" w14:textId="77777777" w:rsidR="002B733E" w:rsidRPr="00FD50F6" w:rsidRDefault="002B733E" w:rsidP="002B733E">
            <w:pPr>
              <w:pStyle w:val="7"/>
              <w:rPr>
                <w:b/>
              </w:rPr>
            </w:pPr>
            <w:r w:rsidRPr="00FD50F6">
              <w:rPr>
                <w:rFonts w:hint="eastAsia"/>
                <w:b/>
              </w:rPr>
              <w:t>16</w:t>
            </w:r>
            <w:r w:rsidRPr="00FD50F6">
              <w:rPr>
                <w:rFonts w:hint="eastAsia"/>
                <w:b/>
              </w:rPr>
              <w:t>’</w:t>
            </w:r>
          </w:p>
        </w:tc>
        <w:tc>
          <w:tcPr>
            <w:tcW w:w="756" w:type="dxa"/>
            <w:vAlign w:val="center"/>
          </w:tcPr>
          <w:p w14:paraId="5E4D1BBC" w14:textId="77777777" w:rsidR="002B733E" w:rsidRPr="00FD50F6" w:rsidRDefault="002B733E" w:rsidP="002B733E">
            <w:pPr>
              <w:pStyle w:val="7"/>
              <w:rPr>
                <w:b/>
              </w:rPr>
            </w:pPr>
            <w:r w:rsidRPr="00FD50F6">
              <w:rPr>
                <w:rFonts w:hint="eastAsia"/>
                <w:b/>
              </w:rPr>
              <w:t>17</w:t>
            </w:r>
            <w:r w:rsidRPr="00FD50F6">
              <w:rPr>
                <w:rFonts w:hint="eastAsia"/>
                <w:b/>
              </w:rPr>
              <w:t>’</w:t>
            </w:r>
          </w:p>
        </w:tc>
        <w:tc>
          <w:tcPr>
            <w:tcW w:w="756" w:type="dxa"/>
            <w:vAlign w:val="center"/>
          </w:tcPr>
          <w:p w14:paraId="4F2DE89E" w14:textId="77777777" w:rsidR="002B733E" w:rsidRPr="00FD50F6" w:rsidRDefault="002B733E" w:rsidP="002B733E">
            <w:pPr>
              <w:pStyle w:val="7"/>
              <w:rPr>
                <w:b/>
              </w:rPr>
            </w:pPr>
            <w:r w:rsidRPr="00FD50F6">
              <w:rPr>
                <w:rFonts w:hint="eastAsia"/>
                <w:b/>
              </w:rPr>
              <w:t>18</w:t>
            </w:r>
            <w:r w:rsidRPr="00FD50F6">
              <w:rPr>
                <w:rFonts w:hint="eastAsia"/>
                <w:b/>
              </w:rPr>
              <w:t>’</w:t>
            </w:r>
          </w:p>
        </w:tc>
        <w:tc>
          <w:tcPr>
            <w:tcW w:w="756" w:type="dxa"/>
            <w:vAlign w:val="center"/>
          </w:tcPr>
          <w:p w14:paraId="2F41CFC3" w14:textId="77777777" w:rsidR="002B733E" w:rsidRPr="00FD50F6" w:rsidRDefault="002B733E" w:rsidP="002B733E">
            <w:pPr>
              <w:pStyle w:val="7"/>
              <w:rPr>
                <w:b/>
              </w:rPr>
            </w:pPr>
            <w:r w:rsidRPr="00FD50F6">
              <w:rPr>
                <w:rFonts w:hint="eastAsia"/>
                <w:b/>
              </w:rPr>
              <w:t>19</w:t>
            </w:r>
            <w:r w:rsidRPr="00FD50F6">
              <w:rPr>
                <w:rFonts w:hint="eastAsia"/>
                <w:b/>
              </w:rPr>
              <w:t>’</w:t>
            </w:r>
          </w:p>
        </w:tc>
      </w:tr>
      <w:tr w:rsidR="00FD50F6" w:rsidRPr="00FD50F6" w14:paraId="7BFF1485" w14:textId="77777777" w:rsidTr="002B733E">
        <w:trPr>
          <w:trHeight w:val="397"/>
        </w:trPr>
        <w:tc>
          <w:tcPr>
            <w:tcW w:w="701" w:type="dxa"/>
            <w:vAlign w:val="center"/>
          </w:tcPr>
          <w:p w14:paraId="59F03200" w14:textId="77777777" w:rsidR="002B733E" w:rsidRPr="00FD50F6" w:rsidRDefault="002B733E" w:rsidP="002B733E">
            <w:pPr>
              <w:pStyle w:val="7"/>
            </w:pPr>
            <w:r w:rsidRPr="00FD50F6">
              <w:rPr>
                <w:rFonts w:hint="eastAsia"/>
              </w:rPr>
              <w:t>X</w:t>
            </w:r>
          </w:p>
        </w:tc>
        <w:tc>
          <w:tcPr>
            <w:tcW w:w="756" w:type="dxa"/>
            <w:vAlign w:val="center"/>
          </w:tcPr>
          <w:p w14:paraId="6EBB2135" w14:textId="77777777" w:rsidR="002B733E" w:rsidRPr="00FD50F6" w:rsidRDefault="002B733E" w:rsidP="002B733E">
            <w:pPr>
              <w:pStyle w:val="7"/>
            </w:pPr>
            <w:r w:rsidRPr="00FD50F6">
              <w:rPr>
                <w:rFonts w:hint="eastAsia"/>
              </w:rPr>
              <w:t>1530</w:t>
            </w:r>
          </w:p>
        </w:tc>
        <w:tc>
          <w:tcPr>
            <w:tcW w:w="756" w:type="dxa"/>
            <w:vAlign w:val="center"/>
          </w:tcPr>
          <w:p w14:paraId="1BF5EE16" w14:textId="77777777" w:rsidR="002B733E" w:rsidRPr="00FD50F6" w:rsidRDefault="002B733E" w:rsidP="002B733E">
            <w:pPr>
              <w:pStyle w:val="7"/>
            </w:pPr>
            <w:r w:rsidRPr="00FD50F6">
              <w:rPr>
                <w:rFonts w:hint="eastAsia"/>
              </w:rPr>
              <w:t>1524</w:t>
            </w:r>
          </w:p>
        </w:tc>
        <w:tc>
          <w:tcPr>
            <w:tcW w:w="756" w:type="dxa"/>
            <w:vAlign w:val="center"/>
          </w:tcPr>
          <w:p w14:paraId="44BB70F9" w14:textId="77777777" w:rsidR="002B733E" w:rsidRPr="00FD50F6" w:rsidRDefault="002B733E" w:rsidP="002B733E">
            <w:pPr>
              <w:pStyle w:val="7"/>
            </w:pPr>
            <w:r w:rsidRPr="00FD50F6">
              <w:rPr>
                <w:rFonts w:hint="eastAsia"/>
              </w:rPr>
              <w:t>1489</w:t>
            </w:r>
          </w:p>
        </w:tc>
        <w:tc>
          <w:tcPr>
            <w:tcW w:w="756" w:type="dxa"/>
            <w:vAlign w:val="center"/>
          </w:tcPr>
          <w:p w14:paraId="65E9D606" w14:textId="77777777" w:rsidR="002B733E" w:rsidRPr="00FD50F6" w:rsidRDefault="002B733E" w:rsidP="002B733E">
            <w:pPr>
              <w:pStyle w:val="7"/>
            </w:pPr>
            <w:r w:rsidRPr="00FD50F6">
              <w:rPr>
                <w:rFonts w:hint="eastAsia"/>
              </w:rPr>
              <w:t>1399</w:t>
            </w:r>
          </w:p>
        </w:tc>
        <w:tc>
          <w:tcPr>
            <w:tcW w:w="756" w:type="dxa"/>
            <w:vAlign w:val="center"/>
          </w:tcPr>
          <w:p w14:paraId="56C48EA7" w14:textId="77777777" w:rsidR="002B733E" w:rsidRPr="00FD50F6" w:rsidRDefault="002B733E" w:rsidP="002B733E">
            <w:pPr>
              <w:pStyle w:val="7"/>
            </w:pPr>
            <w:r w:rsidRPr="00FD50F6">
              <w:rPr>
                <w:rFonts w:hint="eastAsia"/>
              </w:rPr>
              <w:t>1068</w:t>
            </w:r>
          </w:p>
        </w:tc>
        <w:tc>
          <w:tcPr>
            <w:tcW w:w="756" w:type="dxa"/>
            <w:vAlign w:val="center"/>
          </w:tcPr>
          <w:p w14:paraId="4DA17AC7" w14:textId="77777777" w:rsidR="002B733E" w:rsidRPr="00FD50F6" w:rsidRDefault="002B733E" w:rsidP="002B733E">
            <w:pPr>
              <w:pStyle w:val="7"/>
            </w:pPr>
            <w:r w:rsidRPr="00FD50F6">
              <w:rPr>
                <w:rFonts w:hint="eastAsia"/>
              </w:rPr>
              <w:t>1009</w:t>
            </w:r>
          </w:p>
        </w:tc>
        <w:tc>
          <w:tcPr>
            <w:tcW w:w="756" w:type="dxa"/>
            <w:vAlign w:val="center"/>
          </w:tcPr>
          <w:p w14:paraId="46F00387" w14:textId="77777777" w:rsidR="002B733E" w:rsidRPr="00FD50F6" w:rsidRDefault="002B733E" w:rsidP="002B733E">
            <w:pPr>
              <w:pStyle w:val="7"/>
            </w:pPr>
            <w:r w:rsidRPr="00FD50F6">
              <w:rPr>
                <w:rFonts w:hint="eastAsia"/>
              </w:rPr>
              <w:t>988</w:t>
            </w:r>
          </w:p>
        </w:tc>
        <w:tc>
          <w:tcPr>
            <w:tcW w:w="756" w:type="dxa"/>
            <w:vAlign w:val="center"/>
          </w:tcPr>
          <w:p w14:paraId="00C426B7" w14:textId="77777777" w:rsidR="002B733E" w:rsidRPr="00FD50F6" w:rsidRDefault="002B733E" w:rsidP="002B733E">
            <w:pPr>
              <w:pStyle w:val="7"/>
            </w:pPr>
            <w:r w:rsidRPr="00FD50F6">
              <w:rPr>
                <w:rFonts w:hint="eastAsia"/>
              </w:rPr>
              <w:t>980</w:t>
            </w:r>
          </w:p>
        </w:tc>
        <w:tc>
          <w:tcPr>
            <w:tcW w:w="756" w:type="dxa"/>
            <w:vAlign w:val="center"/>
          </w:tcPr>
          <w:p w14:paraId="000DF7B3" w14:textId="77777777" w:rsidR="002B733E" w:rsidRPr="00FD50F6" w:rsidRDefault="002B733E" w:rsidP="002B733E">
            <w:pPr>
              <w:pStyle w:val="7"/>
            </w:pPr>
            <w:r w:rsidRPr="00FD50F6">
              <w:rPr>
                <w:rFonts w:hint="eastAsia"/>
              </w:rPr>
              <w:t>836</w:t>
            </w:r>
          </w:p>
        </w:tc>
        <w:tc>
          <w:tcPr>
            <w:tcW w:w="756" w:type="dxa"/>
            <w:vAlign w:val="center"/>
          </w:tcPr>
          <w:p w14:paraId="32E450DE" w14:textId="77777777" w:rsidR="002B733E" w:rsidRPr="00FD50F6" w:rsidRDefault="002B733E" w:rsidP="002B733E">
            <w:pPr>
              <w:pStyle w:val="7"/>
            </w:pPr>
            <w:r w:rsidRPr="00FD50F6">
              <w:rPr>
                <w:rFonts w:hint="eastAsia"/>
              </w:rPr>
              <w:t>836</w:t>
            </w:r>
          </w:p>
        </w:tc>
      </w:tr>
      <w:tr w:rsidR="00FD50F6" w:rsidRPr="00FD50F6" w14:paraId="6CCE2439" w14:textId="77777777" w:rsidTr="002B733E">
        <w:trPr>
          <w:trHeight w:val="397"/>
        </w:trPr>
        <w:tc>
          <w:tcPr>
            <w:tcW w:w="701" w:type="dxa"/>
            <w:vAlign w:val="center"/>
          </w:tcPr>
          <w:p w14:paraId="03C32B11" w14:textId="77777777" w:rsidR="002B733E" w:rsidRPr="00FD50F6" w:rsidRDefault="002B733E" w:rsidP="002B733E">
            <w:pPr>
              <w:pStyle w:val="7"/>
            </w:pPr>
            <w:r w:rsidRPr="00FD50F6">
              <w:rPr>
                <w:rFonts w:hint="eastAsia"/>
              </w:rPr>
              <w:t>Y</w:t>
            </w:r>
          </w:p>
        </w:tc>
        <w:tc>
          <w:tcPr>
            <w:tcW w:w="756" w:type="dxa"/>
            <w:vAlign w:val="center"/>
          </w:tcPr>
          <w:p w14:paraId="7157E6E4" w14:textId="77777777" w:rsidR="002B733E" w:rsidRPr="00FD50F6" w:rsidRDefault="002B733E" w:rsidP="002B733E">
            <w:pPr>
              <w:pStyle w:val="7"/>
            </w:pPr>
            <w:r w:rsidRPr="00FD50F6">
              <w:rPr>
                <w:rFonts w:hint="eastAsia"/>
              </w:rPr>
              <w:t>825</w:t>
            </w:r>
          </w:p>
        </w:tc>
        <w:tc>
          <w:tcPr>
            <w:tcW w:w="756" w:type="dxa"/>
            <w:vAlign w:val="center"/>
          </w:tcPr>
          <w:p w14:paraId="5441B01D" w14:textId="77777777" w:rsidR="002B733E" w:rsidRPr="00FD50F6" w:rsidRDefault="002B733E" w:rsidP="002B733E">
            <w:pPr>
              <w:pStyle w:val="7"/>
            </w:pPr>
            <w:r w:rsidRPr="00FD50F6">
              <w:rPr>
                <w:rFonts w:hint="eastAsia"/>
              </w:rPr>
              <w:t>792</w:t>
            </w:r>
          </w:p>
        </w:tc>
        <w:tc>
          <w:tcPr>
            <w:tcW w:w="756" w:type="dxa"/>
            <w:vAlign w:val="center"/>
          </w:tcPr>
          <w:p w14:paraId="770E28F7" w14:textId="77777777" w:rsidR="002B733E" w:rsidRPr="00FD50F6" w:rsidRDefault="002B733E" w:rsidP="002B733E">
            <w:pPr>
              <w:pStyle w:val="7"/>
            </w:pPr>
            <w:r w:rsidRPr="00FD50F6">
              <w:rPr>
                <w:rFonts w:hint="eastAsia"/>
              </w:rPr>
              <w:t>618</w:t>
            </w:r>
          </w:p>
        </w:tc>
        <w:tc>
          <w:tcPr>
            <w:tcW w:w="756" w:type="dxa"/>
            <w:vAlign w:val="center"/>
          </w:tcPr>
          <w:p w14:paraId="7546832A" w14:textId="77777777" w:rsidR="002B733E" w:rsidRPr="00FD50F6" w:rsidRDefault="002B733E" w:rsidP="002B733E">
            <w:pPr>
              <w:pStyle w:val="7"/>
            </w:pPr>
            <w:r w:rsidRPr="00FD50F6">
              <w:rPr>
                <w:rFonts w:hint="eastAsia"/>
              </w:rPr>
              <w:t>619</w:t>
            </w:r>
          </w:p>
        </w:tc>
        <w:tc>
          <w:tcPr>
            <w:tcW w:w="756" w:type="dxa"/>
            <w:vAlign w:val="center"/>
          </w:tcPr>
          <w:p w14:paraId="2D22D0C7" w14:textId="77777777" w:rsidR="002B733E" w:rsidRPr="00FD50F6" w:rsidRDefault="002B733E" w:rsidP="002B733E">
            <w:pPr>
              <w:pStyle w:val="7"/>
            </w:pPr>
            <w:r w:rsidRPr="00FD50F6">
              <w:rPr>
                <w:rFonts w:hint="eastAsia"/>
              </w:rPr>
              <w:t>108</w:t>
            </w:r>
          </w:p>
        </w:tc>
        <w:tc>
          <w:tcPr>
            <w:tcW w:w="756" w:type="dxa"/>
            <w:vAlign w:val="center"/>
          </w:tcPr>
          <w:p w14:paraId="2BB03923" w14:textId="77777777" w:rsidR="002B733E" w:rsidRPr="00FD50F6" w:rsidRDefault="002B733E" w:rsidP="002B733E">
            <w:pPr>
              <w:pStyle w:val="7"/>
            </w:pPr>
            <w:r w:rsidRPr="00FD50F6">
              <w:rPr>
                <w:rFonts w:hint="eastAsia"/>
              </w:rPr>
              <w:t>110</w:t>
            </w:r>
          </w:p>
        </w:tc>
        <w:tc>
          <w:tcPr>
            <w:tcW w:w="756" w:type="dxa"/>
            <w:vAlign w:val="center"/>
          </w:tcPr>
          <w:p w14:paraId="228CBB33" w14:textId="77777777" w:rsidR="002B733E" w:rsidRPr="00FD50F6" w:rsidRDefault="002B733E" w:rsidP="002B733E">
            <w:pPr>
              <w:pStyle w:val="7"/>
            </w:pPr>
            <w:r w:rsidRPr="00FD50F6">
              <w:rPr>
                <w:rFonts w:hint="eastAsia"/>
              </w:rPr>
              <w:t>104</w:t>
            </w:r>
          </w:p>
        </w:tc>
        <w:tc>
          <w:tcPr>
            <w:tcW w:w="756" w:type="dxa"/>
            <w:vAlign w:val="center"/>
          </w:tcPr>
          <w:p w14:paraId="0BF651F2" w14:textId="77777777" w:rsidR="002B733E" w:rsidRPr="00FD50F6" w:rsidRDefault="002B733E" w:rsidP="002B733E">
            <w:pPr>
              <w:pStyle w:val="7"/>
            </w:pPr>
            <w:r w:rsidRPr="00FD50F6">
              <w:rPr>
                <w:rFonts w:hint="eastAsia"/>
              </w:rPr>
              <w:t>104</w:t>
            </w:r>
          </w:p>
        </w:tc>
        <w:tc>
          <w:tcPr>
            <w:tcW w:w="756" w:type="dxa"/>
            <w:vAlign w:val="center"/>
          </w:tcPr>
          <w:p w14:paraId="03B27028" w14:textId="77777777" w:rsidR="002B733E" w:rsidRPr="00FD50F6" w:rsidRDefault="002B733E" w:rsidP="002B733E">
            <w:pPr>
              <w:pStyle w:val="7"/>
            </w:pPr>
            <w:r w:rsidRPr="00FD50F6">
              <w:rPr>
                <w:rFonts w:hint="eastAsia"/>
              </w:rPr>
              <w:t>105</w:t>
            </w:r>
          </w:p>
        </w:tc>
        <w:tc>
          <w:tcPr>
            <w:tcW w:w="756" w:type="dxa"/>
            <w:vAlign w:val="center"/>
          </w:tcPr>
          <w:p w14:paraId="6F856DB1" w14:textId="77777777" w:rsidR="002B733E" w:rsidRPr="00FD50F6" w:rsidRDefault="002B733E" w:rsidP="002B733E">
            <w:pPr>
              <w:pStyle w:val="7"/>
            </w:pPr>
            <w:r w:rsidRPr="00FD50F6">
              <w:rPr>
                <w:rFonts w:hint="eastAsia"/>
              </w:rPr>
              <w:t>-13</w:t>
            </w:r>
          </w:p>
        </w:tc>
      </w:tr>
      <w:tr w:rsidR="00FD50F6" w:rsidRPr="00FD50F6" w14:paraId="4BED5AAA" w14:textId="77777777" w:rsidTr="002B733E">
        <w:trPr>
          <w:trHeight w:val="397"/>
        </w:trPr>
        <w:tc>
          <w:tcPr>
            <w:tcW w:w="701" w:type="dxa"/>
            <w:vAlign w:val="center"/>
          </w:tcPr>
          <w:p w14:paraId="3B50818A" w14:textId="77777777" w:rsidR="002B733E" w:rsidRPr="00FD50F6" w:rsidRDefault="002B733E" w:rsidP="002B733E">
            <w:pPr>
              <w:pStyle w:val="7"/>
            </w:pPr>
            <w:r w:rsidRPr="00FD50F6">
              <w:rPr>
                <w:rFonts w:hint="eastAsia"/>
              </w:rPr>
              <w:t>点号</w:t>
            </w:r>
          </w:p>
        </w:tc>
        <w:tc>
          <w:tcPr>
            <w:tcW w:w="756" w:type="dxa"/>
            <w:vAlign w:val="center"/>
          </w:tcPr>
          <w:p w14:paraId="1A865517" w14:textId="77777777" w:rsidR="002B733E" w:rsidRPr="00FD50F6" w:rsidRDefault="002B733E" w:rsidP="002B733E">
            <w:pPr>
              <w:pStyle w:val="7"/>
              <w:rPr>
                <w:b/>
              </w:rPr>
            </w:pPr>
            <w:r w:rsidRPr="00FD50F6">
              <w:rPr>
                <w:rFonts w:hint="eastAsia"/>
                <w:b/>
              </w:rPr>
              <w:t>20</w:t>
            </w:r>
            <w:r w:rsidRPr="00FD50F6">
              <w:rPr>
                <w:rFonts w:hint="eastAsia"/>
                <w:b/>
              </w:rPr>
              <w:t>’</w:t>
            </w:r>
          </w:p>
        </w:tc>
        <w:tc>
          <w:tcPr>
            <w:tcW w:w="756" w:type="dxa"/>
            <w:vAlign w:val="center"/>
          </w:tcPr>
          <w:p w14:paraId="2E7B118C" w14:textId="77777777" w:rsidR="002B733E" w:rsidRPr="00FD50F6" w:rsidRDefault="002B733E" w:rsidP="002B733E">
            <w:pPr>
              <w:pStyle w:val="7"/>
              <w:rPr>
                <w:b/>
              </w:rPr>
            </w:pPr>
            <w:r w:rsidRPr="00FD50F6">
              <w:rPr>
                <w:rFonts w:hint="eastAsia"/>
                <w:b/>
              </w:rPr>
              <w:t>21</w:t>
            </w:r>
            <w:r w:rsidRPr="00FD50F6">
              <w:rPr>
                <w:rFonts w:hint="eastAsia"/>
                <w:b/>
              </w:rPr>
              <w:t>’</w:t>
            </w:r>
          </w:p>
        </w:tc>
        <w:tc>
          <w:tcPr>
            <w:tcW w:w="756" w:type="dxa"/>
            <w:vAlign w:val="center"/>
          </w:tcPr>
          <w:p w14:paraId="425CF88F" w14:textId="77777777" w:rsidR="002B733E" w:rsidRPr="00FD50F6" w:rsidRDefault="002B733E" w:rsidP="002B733E">
            <w:pPr>
              <w:pStyle w:val="7"/>
              <w:rPr>
                <w:b/>
              </w:rPr>
            </w:pPr>
            <w:r w:rsidRPr="00FD50F6">
              <w:rPr>
                <w:rFonts w:hint="eastAsia"/>
                <w:b/>
              </w:rPr>
              <w:t>22</w:t>
            </w:r>
            <w:r w:rsidRPr="00FD50F6">
              <w:rPr>
                <w:rFonts w:hint="eastAsia"/>
                <w:b/>
              </w:rPr>
              <w:t>’</w:t>
            </w:r>
          </w:p>
        </w:tc>
        <w:tc>
          <w:tcPr>
            <w:tcW w:w="756" w:type="dxa"/>
            <w:vAlign w:val="center"/>
          </w:tcPr>
          <w:p w14:paraId="03B8517B" w14:textId="77777777" w:rsidR="002B733E" w:rsidRPr="00FD50F6" w:rsidRDefault="002B733E" w:rsidP="002B733E">
            <w:pPr>
              <w:pStyle w:val="7"/>
              <w:rPr>
                <w:b/>
              </w:rPr>
            </w:pPr>
            <w:r w:rsidRPr="00FD50F6">
              <w:rPr>
                <w:rFonts w:hint="eastAsia"/>
                <w:b/>
              </w:rPr>
              <w:t>23</w:t>
            </w:r>
            <w:r w:rsidRPr="00FD50F6">
              <w:rPr>
                <w:rFonts w:hint="eastAsia"/>
                <w:b/>
              </w:rPr>
              <w:t>’</w:t>
            </w:r>
          </w:p>
        </w:tc>
        <w:tc>
          <w:tcPr>
            <w:tcW w:w="756" w:type="dxa"/>
            <w:vAlign w:val="center"/>
          </w:tcPr>
          <w:p w14:paraId="511A92C1" w14:textId="77777777" w:rsidR="002B733E" w:rsidRPr="00FD50F6" w:rsidRDefault="002B733E" w:rsidP="002B733E">
            <w:pPr>
              <w:pStyle w:val="7"/>
              <w:rPr>
                <w:b/>
              </w:rPr>
            </w:pPr>
            <w:r w:rsidRPr="00FD50F6">
              <w:rPr>
                <w:rFonts w:hint="eastAsia"/>
                <w:b/>
              </w:rPr>
              <w:t>24</w:t>
            </w:r>
            <w:r w:rsidRPr="00FD50F6">
              <w:rPr>
                <w:rFonts w:hint="eastAsia"/>
                <w:b/>
              </w:rPr>
              <w:t>’</w:t>
            </w:r>
          </w:p>
        </w:tc>
        <w:tc>
          <w:tcPr>
            <w:tcW w:w="756" w:type="dxa"/>
            <w:vAlign w:val="center"/>
          </w:tcPr>
          <w:p w14:paraId="037CE35D" w14:textId="77777777" w:rsidR="002B733E" w:rsidRPr="00FD50F6" w:rsidRDefault="002B733E" w:rsidP="002B733E">
            <w:pPr>
              <w:pStyle w:val="7"/>
              <w:rPr>
                <w:b/>
              </w:rPr>
            </w:pPr>
            <w:r w:rsidRPr="00FD50F6">
              <w:rPr>
                <w:rFonts w:hint="eastAsia"/>
                <w:b/>
              </w:rPr>
              <w:t>25</w:t>
            </w:r>
            <w:r w:rsidRPr="00FD50F6">
              <w:rPr>
                <w:rFonts w:hint="eastAsia"/>
                <w:b/>
              </w:rPr>
              <w:t>’</w:t>
            </w:r>
          </w:p>
        </w:tc>
        <w:tc>
          <w:tcPr>
            <w:tcW w:w="756" w:type="dxa"/>
            <w:vAlign w:val="center"/>
          </w:tcPr>
          <w:p w14:paraId="692B13D1" w14:textId="77777777" w:rsidR="002B733E" w:rsidRPr="00FD50F6" w:rsidRDefault="002B733E" w:rsidP="002B733E">
            <w:pPr>
              <w:pStyle w:val="7"/>
              <w:rPr>
                <w:b/>
              </w:rPr>
            </w:pPr>
            <w:r w:rsidRPr="00FD50F6">
              <w:rPr>
                <w:rFonts w:hint="eastAsia"/>
                <w:b/>
              </w:rPr>
              <w:t>26</w:t>
            </w:r>
            <w:r w:rsidRPr="00FD50F6">
              <w:rPr>
                <w:rFonts w:hint="eastAsia"/>
                <w:b/>
              </w:rPr>
              <w:t>’</w:t>
            </w:r>
          </w:p>
        </w:tc>
        <w:tc>
          <w:tcPr>
            <w:tcW w:w="756" w:type="dxa"/>
            <w:vAlign w:val="center"/>
          </w:tcPr>
          <w:p w14:paraId="34A41922" w14:textId="77777777" w:rsidR="002B733E" w:rsidRPr="00FD50F6" w:rsidRDefault="002B733E" w:rsidP="002B733E">
            <w:pPr>
              <w:pStyle w:val="7"/>
              <w:rPr>
                <w:b/>
              </w:rPr>
            </w:pPr>
            <w:r w:rsidRPr="00FD50F6">
              <w:rPr>
                <w:rFonts w:hint="eastAsia"/>
                <w:b/>
              </w:rPr>
              <w:t>27</w:t>
            </w:r>
            <w:r w:rsidRPr="00FD50F6">
              <w:rPr>
                <w:rFonts w:hint="eastAsia"/>
                <w:b/>
              </w:rPr>
              <w:t>’</w:t>
            </w:r>
          </w:p>
        </w:tc>
        <w:tc>
          <w:tcPr>
            <w:tcW w:w="756" w:type="dxa"/>
            <w:vAlign w:val="center"/>
          </w:tcPr>
          <w:p w14:paraId="16650FE3" w14:textId="77777777" w:rsidR="002B733E" w:rsidRPr="00FD50F6" w:rsidRDefault="002B733E" w:rsidP="002B733E">
            <w:pPr>
              <w:pStyle w:val="7"/>
              <w:rPr>
                <w:b/>
              </w:rPr>
            </w:pPr>
            <w:r w:rsidRPr="00FD50F6">
              <w:rPr>
                <w:rFonts w:hint="eastAsia"/>
                <w:b/>
              </w:rPr>
              <w:t>28</w:t>
            </w:r>
            <w:r w:rsidRPr="00FD50F6">
              <w:rPr>
                <w:rFonts w:hint="eastAsia"/>
                <w:b/>
              </w:rPr>
              <w:t>’</w:t>
            </w:r>
          </w:p>
        </w:tc>
        <w:tc>
          <w:tcPr>
            <w:tcW w:w="756" w:type="dxa"/>
            <w:vAlign w:val="bottom"/>
          </w:tcPr>
          <w:p w14:paraId="3E1F2579" w14:textId="77777777" w:rsidR="002B733E" w:rsidRPr="00FD50F6" w:rsidRDefault="002B733E" w:rsidP="002B733E">
            <w:pPr>
              <w:pStyle w:val="7"/>
              <w:rPr>
                <w:b/>
              </w:rPr>
            </w:pPr>
            <w:r w:rsidRPr="00FD50F6">
              <w:rPr>
                <w:rFonts w:hint="eastAsia"/>
                <w:b/>
              </w:rPr>
              <w:t>—</w:t>
            </w:r>
          </w:p>
        </w:tc>
      </w:tr>
      <w:tr w:rsidR="00FD50F6" w:rsidRPr="00FD50F6" w14:paraId="45DDF156" w14:textId="77777777" w:rsidTr="002B733E">
        <w:trPr>
          <w:trHeight w:val="397"/>
        </w:trPr>
        <w:tc>
          <w:tcPr>
            <w:tcW w:w="701" w:type="dxa"/>
            <w:vAlign w:val="center"/>
          </w:tcPr>
          <w:p w14:paraId="6BBBFF13" w14:textId="77777777" w:rsidR="002B733E" w:rsidRPr="00FD50F6" w:rsidRDefault="002B733E" w:rsidP="002B733E">
            <w:pPr>
              <w:pStyle w:val="7"/>
            </w:pPr>
            <w:r w:rsidRPr="00FD50F6">
              <w:rPr>
                <w:rFonts w:hint="eastAsia"/>
              </w:rPr>
              <w:t>X</w:t>
            </w:r>
          </w:p>
        </w:tc>
        <w:tc>
          <w:tcPr>
            <w:tcW w:w="756" w:type="dxa"/>
            <w:vAlign w:val="center"/>
          </w:tcPr>
          <w:p w14:paraId="26357B82" w14:textId="77777777" w:rsidR="002B733E" w:rsidRPr="00FD50F6" w:rsidRDefault="002B733E" w:rsidP="002B733E">
            <w:pPr>
              <w:pStyle w:val="7"/>
            </w:pPr>
            <w:r w:rsidRPr="00FD50F6">
              <w:rPr>
                <w:rFonts w:hint="eastAsia"/>
              </w:rPr>
              <w:t>771</w:t>
            </w:r>
          </w:p>
        </w:tc>
        <w:tc>
          <w:tcPr>
            <w:tcW w:w="756" w:type="dxa"/>
            <w:vAlign w:val="center"/>
          </w:tcPr>
          <w:p w14:paraId="6CCFEA96" w14:textId="77777777" w:rsidR="002B733E" w:rsidRPr="00FD50F6" w:rsidRDefault="002B733E" w:rsidP="002B733E">
            <w:pPr>
              <w:pStyle w:val="7"/>
            </w:pPr>
            <w:r w:rsidRPr="00FD50F6">
              <w:rPr>
                <w:rFonts w:hint="eastAsia"/>
              </w:rPr>
              <w:t>731</w:t>
            </w:r>
          </w:p>
        </w:tc>
        <w:tc>
          <w:tcPr>
            <w:tcW w:w="756" w:type="dxa"/>
            <w:vAlign w:val="center"/>
          </w:tcPr>
          <w:p w14:paraId="7F677DD1" w14:textId="77777777" w:rsidR="002B733E" w:rsidRPr="00FD50F6" w:rsidRDefault="002B733E" w:rsidP="002B733E">
            <w:pPr>
              <w:pStyle w:val="7"/>
            </w:pPr>
            <w:r w:rsidRPr="00FD50F6">
              <w:rPr>
                <w:rFonts w:hint="eastAsia"/>
              </w:rPr>
              <w:t>731</w:t>
            </w:r>
          </w:p>
        </w:tc>
        <w:tc>
          <w:tcPr>
            <w:tcW w:w="756" w:type="dxa"/>
            <w:vAlign w:val="center"/>
          </w:tcPr>
          <w:p w14:paraId="4052A88C" w14:textId="77777777" w:rsidR="002B733E" w:rsidRPr="00FD50F6" w:rsidRDefault="002B733E" w:rsidP="002B733E">
            <w:pPr>
              <w:pStyle w:val="7"/>
            </w:pPr>
            <w:r w:rsidRPr="00FD50F6">
              <w:rPr>
                <w:rFonts w:hint="eastAsia"/>
              </w:rPr>
              <w:t>652</w:t>
            </w:r>
          </w:p>
        </w:tc>
        <w:tc>
          <w:tcPr>
            <w:tcW w:w="756" w:type="dxa"/>
            <w:vAlign w:val="center"/>
          </w:tcPr>
          <w:p w14:paraId="3E18D2CF" w14:textId="77777777" w:rsidR="002B733E" w:rsidRPr="00FD50F6" w:rsidRDefault="002B733E" w:rsidP="002B733E">
            <w:pPr>
              <w:pStyle w:val="7"/>
            </w:pPr>
            <w:r w:rsidRPr="00FD50F6">
              <w:rPr>
                <w:rFonts w:hint="eastAsia"/>
              </w:rPr>
              <w:t>652</w:t>
            </w:r>
          </w:p>
        </w:tc>
        <w:tc>
          <w:tcPr>
            <w:tcW w:w="756" w:type="dxa"/>
            <w:vAlign w:val="center"/>
          </w:tcPr>
          <w:p w14:paraId="595C21C5" w14:textId="77777777" w:rsidR="002B733E" w:rsidRPr="00FD50F6" w:rsidRDefault="002B733E" w:rsidP="002B733E">
            <w:pPr>
              <w:pStyle w:val="7"/>
            </w:pPr>
            <w:r w:rsidRPr="00FD50F6">
              <w:rPr>
                <w:rFonts w:hint="eastAsia"/>
              </w:rPr>
              <w:t>533</w:t>
            </w:r>
          </w:p>
        </w:tc>
        <w:tc>
          <w:tcPr>
            <w:tcW w:w="756" w:type="dxa"/>
            <w:vAlign w:val="center"/>
          </w:tcPr>
          <w:p w14:paraId="3E8862DA" w14:textId="77777777" w:rsidR="002B733E" w:rsidRPr="00FD50F6" w:rsidRDefault="002B733E" w:rsidP="002B733E">
            <w:pPr>
              <w:pStyle w:val="7"/>
            </w:pPr>
            <w:r w:rsidRPr="00FD50F6">
              <w:rPr>
                <w:rFonts w:hint="eastAsia"/>
              </w:rPr>
              <w:t>159</w:t>
            </w:r>
          </w:p>
        </w:tc>
        <w:tc>
          <w:tcPr>
            <w:tcW w:w="756" w:type="dxa"/>
            <w:vAlign w:val="center"/>
          </w:tcPr>
          <w:p w14:paraId="11450856" w14:textId="77777777" w:rsidR="002B733E" w:rsidRPr="00FD50F6" w:rsidRDefault="002B733E" w:rsidP="002B733E">
            <w:pPr>
              <w:pStyle w:val="7"/>
            </w:pPr>
            <w:r w:rsidRPr="00FD50F6">
              <w:rPr>
                <w:rFonts w:hint="eastAsia"/>
              </w:rPr>
              <w:t>159</w:t>
            </w:r>
          </w:p>
        </w:tc>
        <w:tc>
          <w:tcPr>
            <w:tcW w:w="756" w:type="dxa"/>
            <w:vAlign w:val="center"/>
          </w:tcPr>
          <w:p w14:paraId="205D7521" w14:textId="77777777" w:rsidR="002B733E" w:rsidRPr="00FD50F6" w:rsidRDefault="002B733E" w:rsidP="002B733E">
            <w:pPr>
              <w:pStyle w:val="7"/>
            </w:pPr>
            <w:r w:rsidRPr="00FD50F6">
              <w:rPr>
                <w:rFonts w:hint="eastAsia"/>
              </w:rPr>
              <w:t>0</w:t>
            </w:r>
          </w:p>
        </w:tc>
        <w:tc>
          <w:tcPr>
            <w:tcW w:w="756" w:type="dxa"/>
            <w:vAlign w:val="bottom"/>
          </w:tcPr>
          <w:p w14:paraId="3C633B12" w14:textId="77777777" w:rsidR="002B733E" w:rsidRPr="00FD50F6" w:rsidRDefault="002B733E" w:rsidP="002B733E">
            <w:pPr>
              <w:pStyle w:val="7"/>
              <w:rPr>
                <w:b/>
              </w:rPr>
            </w:pPr>
            <w:r w:rsidRPr="00FD50F6">
              <w:rPr>
                <w:rFonts w:hint="eastAsia"/>
                <w:b/>
              </w:rPr>
              <w:t>—</w:t>
            </w:r>
          </w:p>
        </w:tc>
      </w:tr>
      <w:tr w:rsidR="00FD50F6" w:rsidRPr="00FD50F6" w14:paraId="0F8C9185" w14:textId="77777777" w:rsidTr="002B733E">
        <w:trPr>
          <w:trHeight w:val="397"/>
        </w:trPr>
        <w:tc>
          <w:tcPr>
            <w:tcW w:w="701" w:type="dxa"/>
            <w:vAlign w:val="center"/>
          </w:tcPr>
          <w:p w14:paraId="6E805B3D" w14:textId="77777777" w:rsidR="002B733E" w:rsidRPr="00FD50F6" w:rsidRDefault="002B733E" w:rsidP="002B733E">
            <w:pPr>
              <w:pStyle w:val="7"/>
            </w:pPr>
            <w:r w:rsidRPr="00FD50F6">
              <w:rPr>
                <w:rFonts w:hint="eastAsia"/>
              </w:rPr>
              <w:t>Y</w:t>
            </w:r>
          </w:p>
        </w:tc>
        <w:tc>
          <w:tcPr>
            <w:tcW w:w="756" w:type="dxa"/>
            <w:vAlign w:val="center"/>
          </w:tcPr>
          <w:p w14:paraId="4D391BAF" w14:textId="77777777" w:rsidR="002B733E" w:rsidRPr="00FD50F6" w:rsidRDefault="002B733E" w:rsidP="002B733E">
            <w:pPr>
              <w:pStyle w:val="7"/>
            </w:pPr>
            <w:r w:rsidRPr="00FD50F6">
              <w:rPr>
                <w:rFonts w:hint="eastAsia"/>
              </w:rPr>
              <w:t>-13</w:t>
            </w:r>
          </w:p>
        </w:tc>
        <w:tc>
          <w:tcPr>
            <w:tcW w:w="756" w:type="dxa"/>
            <w:vAlign w:val="center"/>
          </w:tcPr>
          <w:p w14:paraId="22E7F167" w14:textId="77777777" w:rsidR="002B733E" w:rsidRPr="00FD50F6" w:rsidRDefault="002B733E" w:rsidP="002B733E">
            <w:pPr>
              <w:pStyle w:val="7"/>
            </w:pPr>
            <w:r w:rsidRPr="00FD50F6">
              <w:rPr>
                <w:rFonts w:hint="eastAsia"/>
              </w:rPr>
              <w:t>-13</w:t>
            </w:r>
          </w:p>
        </w:tc>
        <w:tc>
          <w:tcPr>
            <w:tcW w:w="756" w:type="dxa"/>
            <w:vAlign w:val="center"/>
          </w:tcPr>
          <w:p w14:paraId="3724B451" w14:textId="77777777" w:rsidR="002B733E" w:rsidRPr="00FD50F6" w:rsidRDefault="002B733E" w:rsidP="002B733E">
            <w:pPr>
              <w:pStyle w:val="7"/>
            </w:pPr>
            <w:r w:rsidRPr="00FD50F6">
              <w:rPr>
                <w:rFonts w:hint="eastAsia"/>
              </w:rPr>
              <w:t>-53</w:t>
            </w:r>
          </w:p>
        </w:tc>
        <w:tc>
          <w:tcPr>
            <w:tcW w:w="756" w:type="dxa"/>
            <w:vAlign w:val="center"/>
          </w:tcPr>
          <w:p w14:paraId="16264E3C" w14:textId="77777777" w:rsidR="002B733E" w:rsidRPr="00FD50F6" w:rsidRDefault="002B733E" w:rsidP="002B733E">
            <w:pPr>
              <w:pStyle w:val="7"/>
            </w:pPr>
            <w:r w:rsidRPr="00FD50F6">
              <w:rPr>
                <w:rFonts w:hint="eastAsia"/>
              </w:rPr>
              <w:t>-53</w:t>
            </w:r>
          </w:p>
        </w:tc>
        <w:tc>
          <w:tcPr>
            <w:tcW w:w="756" w:type="dxa"/>
            <w:vAlign w:val="center"/>
          </w:tcPr>
          <w:p w14:paraId="56942039" w14:textId="77777777" w:rsidR="002B733E" w:rsidRPr="00FD50F6" w:rsidRDefault="002B733E" w:rsidP="002B733E">
            <w:pPr>
              <w:pStyle w:val="7"/>
            </w:pPr>
            <w:r w:rsidRPr="00FD50F6">
              <w:rPr>
                <w:rFonts w:hint="eastAsia"/>
              </w:rPr>
              <w:t>35</w:t>
            </w:r>
          </w:p>
        </w:tc>
        <w:tc>
          <w:tcPr>
            <w:tcW w:w="756" w:type="dxa"/>
            <w:vAlign w:val="center"/>
          </w:tcPr>
          <w:p w14:paraId="0BA50F0A" w14:textId="77777777" w:rsidR="002B733E" w:rsidRPr="00FD50F6" w:rsidRDefault="002B733E" w:rsidP="002B733E">
            <w:pPr>
              <w:pStyle w:val="7"/>
            </w:pPr>
            <w:r w:rsidRPr="00FD50F6">
              <w:rPr>
                <w:rFonts w:hint="eastAsia"/>
              </w:rPr>
              <w:t>36</w:t>
            </w:r>
          </w:p>
        </w:tc>
        <w:tc>
          <w:tcPr>
            <w:tcW w:w="756" w:type="dxa"/>
            <w:vAlign w:val="center"/>
          </w:tcPr>
          <w:p w14:paraId="563EAE6D" w14:textId="77777777" w:rsidR="002B733E" w:rsidRPr="00FD50F6" w:rsidRDefault="002B733E" w:rsidP="002B733E">
            <w:pPr>
              <w:pStyle w:val="7"/>
            </w:pPr>
            <w:r w:rsidRPr="00FD50F6">
              <w:rPr>
                <w:rFonts w:hint="eastAsia"/>
              </w:rPr>
              <w:t>36</w:t>
            </w:r>
          </w:p>
        </w:tc>
        <w:tc>
          <w:tcPr>
            <w:tcW w:w="756" w:type="dxa"/>
            <w:vAlign w:val="center"/>
          </w:tcPr>
          <w:p w14:paraId="3DB6637D" w14:textId="77777777" w:rsidR="002B733E" w:rsidRPr="00FD50F6" w:rsidRDefault="002B733E" w:rsidP="002B733E">
            <w:pPr>
              <w:pStyle w:val="7"/>
            </w:pPr>
            <w:r w:rsidRPr="00FD50F6">
              <w:rPr>
                <w:rFonts w:hint="eastAsia"/>
              </w:rPr>
              <w:t>83</w:t>
            </w:r>
          </w:p>
        </w:tc>
        <w:tc>
          <w:tcPr>
            <w:tcW w:w="756" w:type="dxa"/>
            <w:vAlign w:val="center"/>
          </w:tcPr>
          <w:p w14:paraId="19138EB9" w14:textId="77777777" w:rsidR="002B733E" w:rsidRPr="00FD50F6" w:rsidRDefault="002B733E" w:rsidP="002B733E">
            <w:pPr>
              <w:pStyle w:val="7"/>
            </w:pPr>
            <w:r w:rsidRPr="00FD50F6">
              <w:rPr>
                <w:rFonts w:hint="eastAsia"/>
              </w:rPr>
              <w:t>84</w:t>
            </w:r>
          </w:p>
        </w:tc>
        <w:tc>
          <w:tcPr>
            <w:tcW w:w="756" w:type="dxa"/>
            <w:vAlign w:val="bottom"/>
          </w:tcPr>
          <w:p w14:paraId="1E5720A8" w14:textId="77777777" w:rsidR="002B733E" w:rsidRPr="00FD50F6" w:rsidRDefault="002B733E" w:rsidP="002B733E">
            <w:pPr>
              <w:pStyle w:val="7"/>
              <w:rPr>
                <w:b/>
              </w:rPr>
            </w:pPr>
            <w:r w:rsidRPr="00FD50F6">
              <w:rPr>
                <w:rFonts w:hint="eastAsia"/>
                <w:b/>
              </w:rPr>
              <w:t>—</w:t>
            </w:r>
          </w:p>
        </w:tc>
      </w:tr>
      <w:tr w:rsidR="00FD50F6" w:rsidRPr="00FD50F6" w14:paraId="42766D91" w14:textId="77777777" w:rsidTr="002B733E">
        <w:trPr>
          <w:trHeight w:val="397"/>
        </w:trPr>
        <w:tc>
          <w:tcPr>
            <w:tcW w:w="701" w:type="dxa"/>
            <w:vAlign w:val="center"/>
          </w:tcPr>
          <w:p w14:paraId="1EB74F8B" w14:textId="77777777" w:rsidR="002B733E" w:rsidRPr="00FD50F6" w:rsidRDefault="002B733E" w:rsidP="002B733E">
            <w:pPr>
              <w:pStyle w:val="7"/>
            </w:pPr>
            <w:r w:rsidRPr="00FD50F6">
              <w:rPr>
                <w:rFonts w:hint="eastAsia"/>
              </w:rPr>
              <w:t>点号</w:t>
            </w:r>
          </w:p>
        </w:tc>
        <w:tc>
          <w:tcPr>
            <w:tcW w:w="756" w:type="dxa"/>
            <w:vAlign w:val="bottom"/>
          </w:tcPr>
          <w:p w14:paraId="7973521F" w14:textId="77777777" w:rsidR="002B733E" w:rsidRPr="00FD50F6" w:rsidRDefault="002B733E" w:rsidP="002B733E">
            <w:pPr>
              <w:pStyle w:val="7"/>
              <w:rPr>
                <w:b/>
              </w:rPr>
            </w:pPr>
            <w:r w:rsidRPr="00FD50F6">
              <w:rPr>
                <w:rFonts w:hint="eastAsia"/>
                <w:b/>
              </w:rPr>
              <w:t>29d</w:t>
            </w:r>
            <w:r w:rsidRPr="00FD50F6">
              <w:rPr>
                <w:rFonts w:hint="eastAsia"/>
                <w:b/>
              </w:rPr>
              <w:t>’</w:t>
            </w:r>
          </w:p>
        </w:tc>
        <w:tc>
          <w:tcPr>
            <w:tcW w:w="756" w:type="dxa"/>
            <w:vAlign w:val="bottom"/>
          </w:tcPr>
          <w:p w14:paraId="58226C2B" w14:textId="77777777" w:rsidR="002B733E" w:rsidRPr="00FD50F6" w:rsidRDefault="002B733E" w:rsidP="002B733E">
            <w:pPr>
              <w:pStyle w:val="7"/>
              <w:rPr>
                <w:b/>
              </w:rPr>
            </w:pPr>
            <w:r w:rsidRPr="00FD50F6">
              <w:rPr>
                <w:rFonts w:hint="eastAsia"/>
                <w:b/>
              </w:rPr>
              <w:t>30d</w:t>
            </w:r>
            <w:r w:rsidRPr="00FD50F6">
              <w:rPr>
                <w:rFonts w:hint="eastAsia"/>
                <w:b/>
              </w:rPr>
              <w:t>’</w:t>
            </w:r>
          </w:p>
        </w:tc>
        <w:tc>
          <w:tcPr>
            <w:tcW w:w="756" w:type="dxa"/>
            <w:vAlign w:val="bottom"/>
          </w:tcPr>
          <w:p w14:paraId="3B9C7FAB" w14:textId="77777777" w:rsidR="002B733E" w:rsidRPr="00FD50F6" w:rsidRDefault="002B733E" w:rsidP="002B733E">
            <w:pPr>
              <w:pStyle w:val="7"/>
              <w:rPr>
                <w:b/>
              </w:rPr>
            </w:pPr>
            <w:r w:rsidRPr="00FD50F6">
              <w:rPr>
                <w:rFonts w:hint="eastAsia"/>
                <w:b/>
              </w:rPr>
              <w:t>31d</w:t>
            </w:r>
            <w:r w:rsidRPr="00FD50F6">
              <w:rPr>
                <w:rFonts w:hint="eastAsia"/>
                <w:b/>
              </w:rPr>
              <w:t>’</w:t>
            </w:r>
          </w:p>
        </w:tc>
        <w:tc>
          <w:tcPr>
            <w:tcW w:w="756" w:type="dxa"/>
            <w:vAlign w:val="bottom"/>
          </w:tcPr>
          <w:p w14:paraId="7DDA98FC" w14:textId="77777777" w:rsidR="002B733E" w:rsidRPr="00FD50F6" w:rsidRDefault="002B733E" w:rsidP="002B733E">
            <w:pPr>
              <w:pStyle w:val="7"/>
              <w:rPr>
                <w:b/>
              </w:rPr>
            </w:pPr>
            <w:r w:rsidRPr="00FD50F6">
              <w:rPr>
                <w:rFonts w:hint="eastAsia"/>
                <w:b/>
              </w:rPr>
              <w:t>32d</w:t>
            </w:r>
            <w:r w:rsidRPr="00FD50F6">
              <w:rPr>
                <w:rFonts w:hint="eastAsia"/>
                <w:b/>
              </w:rPr>
              <w:t>’</w:t>
            </w:r>
          </w:p>
        </w:tc>
        <w:tc>
          <w:tcPr>
            <w:tcW w:w="756" w:type="dxa"/>
            <w:vAlign w:val="bottom"/>
          </w:tcPr>
          <w:p w14:paraId="462C01E5" w14:textId="77777777" w:rsidR="002B733E" w:rsidRPr="00FD50F6" w:rsidRDefault="002B733E" w:rsidP="002B733E">
            <w:pPr>
              <w:pStyle w:val="7"/>
              <w:rPr>
                <w:b/>
              </w:rPr>
            </w:pPr>
            <w:r w:rsidRPr="00FD50F6">
              <w:rPr>
                <w:rFonts w:hint="eastAsia"/>
                <w:b/>
              </w:rPr>
              <w:t>33d</w:t>
            </w:r>
            <w:r w:rsidRPr="00FD50F6">
              <w:rPr>
                <w:rFonts w:hint="eastAsia"/>
                <w:b/>
              </w:rPr>
              <w:t>’</w:t>
            </w:r>
          </w:p>
        </w:tc>
        <w:tc>
          <w:tcPr>
            <w:tcW w:w="756" w:type="dxa"/>
            <w:vAlign w:val="bottom"/>
          </w:tcPr>
          <w:p w14:paraId="21517BE5" w14:textId="77777777" w:rsidR="002B733E" w:rsidRPr="00FD50F6" w:rsidRDefault="002B733E" w:rsidP="002B733E">
            <w:pPr>
              <w:pStyle w:val="7"/>
              <w:rPr>
                <w:b/>
              </w:rPr>
            </w:pPr>
            <w:r w:rsidRPr="00FD50F6">
              <w:rPr>
                <w:rFonts w:hint="eastAsia"/>
                <w:b/>
              </w:rPr>
              <w:t>34d</w:t>
            </w:r>
            <w:r w:rsidRPr="00FD50F6">
              <w:rPr>
                <w:rFonts w:hint="eastAsia"/>
                <w:b/>
              </w:rPr>
              <w:t>’</w:t>
            </w:r>
          </w:p>
        </w:tc>
        <w:tc>
          <w:tcPr>
            <w:tcW w:w="756" w:type="dxa"/>
            <w:vAlign w:val="bottom"/>
          </w:tcPr>
          <w:p w14:paraId="4E0AC187" w14:textId="77777777" w:rsidR="002B733E" w:rsidRPr="00FD50F6" w:rsidRDefault="002B733E" w:rsidP="002B733E">
            <w:pPr>
              <w:pStyle w:val="7"/>
              <w:rPr>
                <w:b/>
              </w:rPr>
            </w:pPr>
            <w:r w:rsidRPr="00FD50F6">
              <w:rPr>
                <w:rFonts w:hint="eastAsia"/>
                <w:b/>
              </w:rPr>
              <w:t>m1</w:t>
            </w:r>
            <w:r w:rsidRPr="00FD50F6">
              <w:rPr>
                <w:rFonts w:hint="eastAsia"/>
                <w:b/>
              </w:rPr>
              <w:t>’</w:t>
            </w:r>
          </w:p>
        </w:tc>
        <w:tc>
          <w:tcPr>
            <w:tcW w:w="756" w:type="dxa"/>
            <w:vAlign w:val="bottom"/>
          </w:tcPr>
          <w:p w14:paraId="0DAF40DF" w14:textId="77777777" w:rsidR="002B733E" w:rsidRPr="00FD50F6" w:rsidRDefault="002B733E" w:rsidP="002B733E">
            <w:pPr>
              <w:pStyle w:val="7"/>
              <w:rPr>
                <w:b/>
              </w:rPr>
            </w:pPr>
            <w:r w:rsidRPr="00FD50F6">
              <w:rPr>
                <w:rFonts w:hint="eastAsia"/>
                <w:b/>
              </w:rPr>
              <w:t>m2</w:t>
            </w:r>
            <w:r w:rsidRPr="00FD50F6">
              <w:rPr>
                <w:rFonts w:hint="eastAsia"/>
                <w:b/>
              </w:rPr>
              <w:t>’</w:t>
            </w:r>
          </w:p>
        </w:tc>
        <w:tc>
          <w:tcPr>
            <w:tcW w:w="756" w:type="dxa"/>
            <w:vAlign w:val="bottom"/>
          </w:tcPr>
          <w:p w14:paraId="175862E9" w14:textId="77777777" w:rsidR="002B733E" w:rsidRPr="00FD50F6" w:rsidRDefault="002B733E" w:rsidP="002B733E">
            <w:pPr>
              <w:pStyle w:val="7"/>
              <w:rPr>
                <w:b/>
              </w:rPr>
            </w:pPr>
            <w:r w:rsidRPr="00FD50F6">
              <w:rPr>
                <w:rFonts w:hint="eastAsia"/>
                <w:b/>
              </w:rPr>
              <w:t>m3</w:t>
            </w:r>
            <w:r w:rsidRPr="00FD50F6">
              <w:rPr>
                <w:rFonts w:hint="eastAsia"/>
                <w:b/>
              </w:rPr>
              <w:t>’</w:t>
            </w:r>
          </w:p>
        </w:tc>
        <w:tc>
          <w:tcPr>
            <w:tcW w:w="756" w:type="dxa"/>
            <w:vAlign w:val="bottom"/>
          </w:tcPr>
          <w:p w14:paraId="34D74B74" w14:textId="77777777" w:rsidR="002B733E" w:rsidRPr="00FD50F6" w:rsidRDefault="002B733E" w:rsidP="002B733E">
            <w:pPr>
              <w:pStyle w:val="7"/>
              <w:rPr>
                <w:b/>
              </w:rPr>
            </w:pPr>
            <w:r w:rsidRPr="00FD50F6">
              <w:rPr>
                <w:rFonts w:hint="eastAsia"/>
                <w:b/>
              </w:rPr>
              <w:t>m4</w:t>
            </w:r>
            <w:r w:rsidRPr="00FD50F6">
              <w:rPr>
                <w:rFonts w:hint="eastAsia"/>
                <w:b/>
              </w:rPr>
              <w:t>’</w:t>
            </w:r>
          </w:p>
        </w:tc>
      </w:tr>
      <w:tr w:rsidR="00FD50F6" w:rsidRPr="00FD50F6" w14:paraId="396B6BD9" w14:textId="77777777" w:rsidTr="002B733E">
        <w:trPr>
          <w:trHeight w:val="397"/>
        </w:trPr>
        <w:tc>
          <w:tcPr>
            <w:tcW w:w="701" w:type="dxa"/>
            <w:vAlign w:val="center"/>
          </w:tcPr>
          <w:p w14:paraId="54563801" w14:textId="77777777" w:rsidR="002B733E" w:rsidRPr="00FD50F6" w:rsidRDefault="002B733E" w:rsidP="002B733E">
            <w:pPr>
              <w:pStyle w:val="7"/>
            </w:pPr>
            <w:r w:rsidRPr="00FD50F6">
              <w:rPr>
                <w:rFonts w:hint="eastAsia"/>
              </w:rPr>
              <w:t>X</w:t>
            </w:r>
          </w:p>
        </w:tc>
        <w:tc>
          <w:tcPr>
            <w:tcW w:w="756" w:type="dxa"/>
            <w:vAlign w:val="bottom"/>
          </w:tcPr>
          <w:p w14:paraId="0AAF6086" w14:textId="77777777" w:rsidR="002B733E" w:rsidRPr="00FD50F6" w:rsidRDefault="002B733E" w:rsidP="002B733E">
            <w:pPr>
              <w:pStyle w:val="7"/>
            </w:pPr>
            <w:r w:rsidRPr="00FD50F6">
              <w:rPr>
                <w:rFonts w:hint="eastAsia"/>
              </w:rPr>
              <w:t>-1334</w:t>
            </w:r>
          </w:p>
        </w:tc>
        <w:tc>
          <w:tcPr>
            <w:tcW w:w="756" w:type="dxa"/>
            <w:vAlign w:val="bottom"/>
          </w:tcPr>
          <w:p w14:paraId="0516A636" w14:textId="77777777" w:rsidR="002B733E" w:rsidRPr="00FD50F6" w:rsidRDefault="002B733E" w:rsidP="002B733E">
            <w:pPr>
              <w:pStyle w:val="7"/>
            </w:pPr>
            <w:r w:rsidRPr="00FD50F6">
              <w:rPr>
                <w:rFonts w:hint="eastAsia"/>
              </w:rPr>
              <w:t>-1610</w:t>
            </w:r>
          </w:p>
        </w:tc>
        <w:tc>
          <w:tcPr>
            <w:tcW w:w="756" w:type="dxa"/>
            <w:vAlign w:val="bottom"/>
          </w:tcPr>
          <w:p w14:paraId="50F31B91" w14:textId="77777777" w:rsidR="002B733E" w:rsidRPr="00FD50F6" w:rsidRDefault="002B733E" w:rsidP="002B733E">
            <w:pPr>
              <w:pStyle w:val="7"/>
            </w:pPr>
            <w:r w:rsidRPr="00FD50F6">
              <w:rPr>
                <w:rFonts w:hint="eastAsia"/>
              </w:rPr>
              <w:t>-1610</w:t>
            </w:r>
          </w:p>
        </w:tc>
        <w:tc>
          <w:tcPr>
            <w:tcW w:w="756" w:type="dxa"/>
            <w:vAlign w:val="bottom"/>
          </w:tcPr>
          <w:p w14:paraId="19755B20" w14:textId="77777777" w:rsidR="002B733E" w:rsidRPr="00FD50F6" w:rsidRDefault="002B733E" w:rsidP="002B733E">
            <w:pPr>
              <w:pStyle w:val="7"/>
            </w:pPr>
            <w:r w:rsidRPr="00FD50F6">
              <w:rPr>
                <w:rFonts w:hint="eastAsia"/>
              </w:rPr>
              <w:t>-1436</w:t>
            </w:r>
          </w:p>
        </w:tc>
        <w:tc>
          <w:tcPr>
            <w:tcW w:w="756" w:type="dxa"/>
            <w:vAlign w:val="bottom"/>
          </w:tcPr>
          <w:p w14:paraId="46359F1C" w14:textId="77777777" w:rsidR="002B733E" w:rsidRPr="00FD50F6" w:rsidRDefault="002B733E" w:rsidP="002B733E">
            <w:pPr>
              <w:pStyle w:val="7"/>
            </w:pPr>
            <w:r w:rsidRPr="00FD50F6">
              <w:rPr>
                <w:rFonts w:hint="eastAsia"/>
              </w:rPr>
              <w:t>-1427</w:t>
            </w:r>
          </w:p>
        </w:tc>
        <w:tc>
          <w:tcPr>
            <w:tcW w:w="756" w:type="dxa"/>
            <w:vAlign w:val="bottom"/>
          </w:tcPr>
          <w:p w14:paraId="1225CFC3" w14:textId="77777777" w:rsidR="002B733E" w:rsidRPr="00FD50F6" w:rsidRDefault="002B733E" w:rsidP="002B733E">
            <w:pPr>
              <w:pStyle w:val="7"/>
            </w:pPr>
            <w:r w:rsidRPr="00FD50F6">
              <w:rPr>
                <w:rFonts w:hint="eastAsia"/>
              </w:rPr>
              <w:t>-1149</w:t>
            </w:r>
          </w:p>
        </w:tc>
        <w:tc>
          <w:tcPr>
            <w:tcW w:w="756" w:type="dxa"/>
            <w:vAlign w:val="bottom"/>
          </w:tcPr>
          <w:p w14:paraId="4FA03678" w14:textId="77777777" w:rsidR="002B733E" w:rsidRPr="00FD50F6" w:rsidRDefault="002B733E" w:rsidP="002B733E">
            <w:pPr>
              <w:pStyle w:val="7"/>
            </w:pPr>
            <w:r w:rsidRPr="00FD50F6">
              <w:rPr>
                <w:rFonts w:hint="eastAsia"/>
              </w:rPr>
              <w:t>1450</w:t>
            </w:r>
          </w:p>
        </w:tc>
        <w:tc>
          <w:tcPr>
            <w:tcW w:w="756" w:type="dxa"/>
            <w:vAlign w:val="bottom"/>
          </w:tcPr>
          <w:p w14:paraId="50567023" w14:textId="77777777" w:rsidR="002B733E" w:rsidRPr="00FD50F6" w:rsidRDefault="002B733E" w:rsidP="002B733E">
            <w:pPr>
              <w:pStyle w:val="7"/>
            </w:pPr>
            <w:r w:rsidRPr="00FD50F6">
              <w:rPr>
                <w:rFonts w:hint="eastAsia"/>
              </w:rPr>
              <w:t>1502</w:t>
            </w:r>
          </w:p>
        </w:tc>
        <w:tc>
          <w:tcPr>
            <w:tcW w:w="756" w:type="dxa"/>
            <w:vAlign w:val="bottom"/>
          </w:tcPr>
          <w:p w14:paraId="1F18C0B0" w14:textId="77777777" w:rsidR="002B733E" w:rsidRPr="00FD50F6" w:rsidRDefault="002B733E" w:rsidP="002B733E">
            <w:pPr>
              <w:pStyle w:val="7"/>
            </w:pPr>
            <w:r w:rsidRPr="00FD50F6">
              <w:rPr>
                <w:rFonts w:hint="eastAsia"/>
              </w:rPr>
              <w:t>1595</w:t>
            </w:r>
          </w:p>
        </w:tc>
        <w:tc>
          <w:tcPr>
            <w:tcW w:w="756" w:type="dxa"/>
            <w:vAlign w:val="bottom"/>
          </w:tcPr>
          <w:p w14:paraId="13A4EED7" w14:textId="77777777" w:rsidR="002B733E" w:rsidRPr="00FD50F6" w:rsidRDefault="002B733E" w:rsidP="002B733E">
            <w:pPr>
              <w:pStyle w:val="7"/>
            </w:pPr>
            <w:r w:rsidRPr="00FD50F6">
              <w:rPr>
                <w:rFonts w:hint="eastAsia"/>
              </w:rPr>
              <w:t>1544</w:t>
            </w:r>
          </w:p>
        </w:tc>
      </w:tr>
      <w:tr w:rsidR="00FD50F6" w:rsidRPr="00FD50F6" w14:paraId="7FD3552B" w14:textId="77777777" w:rsidTr="002B733E">
        <w:trPr>
          <w:trHeight w:val="397"/>
        </w:trPr>
        <w:tc>
          <w:tcPr>
            <w:tcW w:w="701" w:type="dxa"/>
            <w:vAlign w:val="center"/>
          </w:tcPr>
          <w:p w14:paraId="69153115" w14:textId="77777777" w:rsidR="002B733E" w:rsidRPr="00FD50F6" w:rsidRDefault="002B733E" w:rsidP="002B733E">
            <w:pPr>
              <w:pStyle w:val="7"/>
            </w:pPr>
            <w:r w:rsidRPr="00FD50F6">
              <w:rPr>
                <w:rFonts w:hint="eastAsia"/>
              </w:rPr>
              <w:t>Y</w:t>
            </w:r>
          </w:p>
        </w:tc>
        <w:tc>
          <w:tcPr>
            <w:tcW w:w="756" w:type="dxa"/>
            <w:vAlign w:val="bottom"/>
          </w:tcPr>
          <w:p w14:paraId="6D08D6E1" w14:textId="77777777" w:rsidR="002B733E" w:rsidRPr="00FD50F6" w:rsidRDefault="002B733E" w:rsidP="002B733E">
            <w:pPr>
              <w:pStyle w:val="7"/>
            </w:pPr>
            <w:r w:rsidRPr="00FD50F6">
              <w:rPr>
                <w:rFonts w:hint="eastAsia"/>
              </w:rPr>
              <w:t>205</w:t>
            </w:r>
          </w:p>
        </w:tc>
        <w:tc>
          <w:tcPr>
            <w:tcW w:w="756" w:type="dxa"/>
            <w:vAlign w:val="bottom"/>
          </w:tcPr>
          <w:p w14:paraId="0728774B" w14:textId="77777777" w:rsidR="002B733E" w:rsidRPr="00FD50F6" w:rsidRDefault="002B733E" w:rsidP="002B733E">
            <w:pPr>
              <w:pStyle w:val="7"/>
            </w:pPr>
            <w:r w:rsidRPr="00FD50F6">
              <w:rPr>
                <w:rFonts w:hint="eastAsia"/>
              </w:rPr>
              <w:t>205</w:t>
            </w:r>
          </w:p>
        </w:tc>
        <w:tc>
          <w:tcPr>
            <w:tcW w:w="756" w:type="dxa"/>
            <w:vAlign w:val="bottom"/>
          </w:tcPr>
          <w:p w14:paraId="36752DF8" w14:textId="77777777" w:rsidR="002B733E" w:rsidRPr="00FD50F6" w:rsidRDefault="002B733E" w:rsidP="002B733E">
            <w:pPr>
              <w:pStyle w:val="7"/>
            </w:pPr>
            <w:r w:rsidRPr="00FD50F6">
              <w:rPr>
                <w:rFonts w:hint="eastAsia"/>
              </w:rPr>
              <w:t>21</w:t>
            </w:r>
          </w:p>
        </w:tc>
        <w:tc>
          <w:tcPr>
            <w:tcW w:w="756" w:type="dxa"/>
            <w:vAlign w:val="bottom"/>
          </w:tcPr>
          <w:p w14:paraId="48716600" w14:textId="77777777" w:rsidR="002B733E" w:rsidRPr="00FD50F6" w:rsidRDefault="002B733E" w:rsidP="002B733E">
            <w:pPr>
              <w:pStyle w:val="7"/>
            </w:pPr>
            <w:r w:rsidRPr="00FD50F6">
              <w:rPr>
                <w:rFonts w:hint="eastAsia"/>
              </w:rPr>
              <w:t>22</w:t>
            </w:r>
          </w:p>
        </w:tc>
        <w:tc>
          <w:tcPr>
            <w:tcW w:w="756" w:type="dxa"/>
            <w:vAlign w:val="bottom"/>
          </w:tcPr>
          <w:p w14:paraId="4162DED9" w14:textId="77777777" w:rsidR="002B733E" w:rsidRPr="00FD50F6" w:rsidRDefault="002B733E" w:rsidP="002B733E">
            <w:pPr>
              <w:pStyle w:val="7"/>
            </w:pPr>
            <w:r w:rsidRPr="00FD50F6">
              <w:rPr>
                <w:rFonts w:hint="eastAsia"/>
              </w:rPr>
              <w:t>15</w:t>
            </w:r>
          </w:p>
        </w:tc>
        <w:tc>
          <w:tcPr>
            <w:tcW w:w="756" w:type="dxa"/>
            <w:vAlign w:val="bottom"/>
          </w:tcPr>
          <w:p w14:paraId="090C044D" w14:textId="77777777" w:rsidR="002B733E" w:rsidRPr="00FD50F6" w:rsidRDefault="002B733E" w:rsidP="002B733E">
            <w:pPr>
              <w:pStyle w:val="7"/>
            </w:pPr>
            <w:r w:rsidRPr="00FD50F6">
              <w:rPr>
                <w:rFonts w:hint="eastAsia"/>
              </w:rPr>
              <w:t>66</w:t>
            </w:r>
          </w:p>
        </w:tc>
        <w:tc>
          <w:tcPr>
            <w:tcW w:w="756" w:type="dxa"/>
            <w:vAlign w:val="bottom"/>
          </w:tcPr>
          <w:p w14:paraId="2D0DACCE" w14:textId="77777777" w:rsidR="002B733E" w:rsidRPr="00FD50F6" w:rsidRDefault="002B733E" w:rsidP="002B733E">
            <w:pPr>
              <w:pStyle w:val="7"/>
            </w:pPr>
            <w:r w:rsidRPr="00FD50F6">
              <w:rPr>
                <w:rFonts w:hint="eastAsia"/>
              </w:rPr>
              <w:t>3191</w:t>
            </w:r>
          </w:p>
        </w:tc>
        <w:tc>
          <w:tcPr>
            <w:tcW w:w="756" w:type="dxa"/>
            <w:vAlign w:val="bottom"/>
          </w:tcPr>
          <w:p w14:paraId="00AB2279" w14:textId="77777777" w:rsidR="002B733E" w:rsidRPr="00FD50F6" w:rsidRDefault="002B733E" w:rsidP="002B733E">
            <w:pPr>
              <w:pStyle w:val="7"/>
            </w:pPr>
            <w:r w:rsidRPr="00FD50F6">
              <w:rPr>
                <w:rFonts w:hint="eastAsia"/>
              </w:rPr>
              <w:t>3191</w:t>
            </w:r>
          </w:p>
        </w:tc>
        <w:tc>
          <w:tcPr>
            <w:tcW w:w="756" w:type="dxa"/>
            <w:vAlign w:val="bottom"/>
          </w:tcPr>
          <w:p w14:paraId="405621F2" w14:textId="77777777" w:rsidR="002B733E" w:rsidRPr="00FD50F6" w:rsidRDefault="002B733E" w:rsidP="002B733E">
            <w:pPr>
              <w:pStyle w:val="7"/>
            </w:pPr>
            <w:r w:rsidRPr="00FD50F6">
              <w:rPr>
                <w:rFonts w:hint="eastAsia"/>
              </w:rPr>
              <w:t>1050</w:t>
            </w:r>
          </w:p>
        </w:tc>
        <w:tc>
          <w:tcPr>
            <w:tcW w:w="756" w:type="dxa"/>
            <w:vAlign w:val="bottom"/>
          </w:tcPr>
          <w:p w14:paraId="43611E47" w14:textId="77777777" w:rsidR="002B733E" w:rsidRPr="00FD50F6" w:rsidRDefault="002B733E" w:rsidP="002B733E">
            <w:pPr>
              <w:pStyle w:val="7"/>
            </w:pPr>
            <w:r w:rsidRPr="00FD50F6">
              <w:rPr>
                <w:rFonts w:hint="eastAsia"/>
              </w:rPr>
              <w:t>1051</w:t>
            </w:r>
          </w:p>
        </w:tc>
      </w:tr>
      <w:tr w:rsidR="00FD50F6" w:rsidRPr="00FD50F6" w14:paraId="679956FC" w14:textId="77777777" w:rsidTr="002B733E">
        <w:trPr>
          <w:trHeight w:val="397"/>
        </w:trPr>
        <w:tc>
          <w:tcPr>
            <w:tcW w:w="701" w:type="dxa"/>
            <w:vAlign w:val="center"/>
          </w:tcPr>
          <w:p w14:paraId="6977487B" w14:textId="77777777" w:rsidR="002B733E" w:rsidRPr="00FD50F6" w:rsidRDefault="002B733E" w:rsidP="002B733E">
            <w:pPr>
              <w:pStyle w:val="7"/>
            </w:pPr>
            <w:r w:rsidRPr="00FD50F6">
              <w:rPr>
                <w:rFonts w:hint="eastAsia"/>
              </w:rPr>
              <w:t>点号</w:t>
            </w:r>
          </w:p>
        </w:tc>
        <w:tc>
          <w:tcPr>
            <w:tcW w:w="756" w:type="dxa"/>
            <w:vAlign w:val="bottom"/>
          </w:tcPr>
          <w:p w14:paraId="20248C40" w14:textId="77777777" w:rsidR="002B733E" w:rsidRPr="00FD50F6" w:rsidRDefault="002B733E" w:rsidP="002B733E">
            <w:pPr>
              <w:pStyle w:val="7"/>
              <w:rPr>
                <w:b/>
              </w:rPr>
            </w:pPr>
            <w:r w:rsidRPr="00FD50F6">
              <w:rPr>
                <w:rFonts w:hint="eastAsia"/>
                <w:b/>
              </w:rPr>
              <w:t>29e</w:t>
            </w:r>
            <w:r w:rsidRPr="00FD50F6">
              <w:rPr>
                <w:rFonts w:hint="eastAsia"/>
                <w:b/>
              </w:rPr>
              <w:t>’</w:t>
            </w:r>
          </w:p>
        </w:tc>
        <w:tc>
          <w:tcPr>
            <w:tcW w:w="756" w:type="dxa"/>
            <w:vAlign w:val="bottom"/>
          </w:tcPr>
          <w:p w14:paraId="35252680" w14:textId="77777777" w:rsidR="002B733E" w:rsidRPr="00FD50F6" w:rsidRDefault="002B733E" w:rsidP="002B733E">
            <w:pPr>
              <w:pStyle w:val="7"/>
              <w:rPr>
                <w:b/>
              </w:rPr>
            </w:pPr>
            <w:r w:rsidRPr="00FD50F6">
              <w:rPr>
                <w:rFonts w:hint="eastAsia"/>
                <w:b/>
              </w:rPr>
              <w:t>30e</w:t>
            </w:r>
            <w:r w:rsidRPr="00FD50F6">
              <w:rPr>
                <w:rFonts w:hint="eastAsia"/>
                <w:b/>
              </w:rPr>
              <w:t>’</w:t>
            </w:r>
          </w:p>
        </w:tc>
        <w:tc>
          <w:tcPr>
            <w:tcW w:w="756" w:type="dxa"/>
            <w:vAlign w:val="bottom"/>
          </w:tcPr>
          <w:p w14:paraId="6D42DFA1" w14:textId="77777777" w:rsidR="002B733E" w:rsidRPr="00FD50F6" w:rsidRDefault="002B733E" w:rsidP="002B733E">
            <w:pPr>
              <w:pStyle w:val="7"/>
              <w:rPr>
                <w:b/>
              </w:rPr>
            </w:pPr>
            <w:r w:rsidRPr="00FD50F6">
              <w:rPr>
                <w:rFonts w:hint="eastAsia"/>
                <w:b/>
              </w:rPr>
              <w:t>31e</w:t>
            </w:r>
            <w:r w:rsidRPr="00FD50F6">
              <w:rPr>
                <w:rFonts w:hint="eastAsia"/>
                <w:b/>
              </w:rPr>
              <w:t>’</w:t>
            </w:r>
          </w:p>
        </w:tc>
        <w:tc>
          <w:tcPr>
            <w:tcW w:w="756" w:type="dxa"/>
            <w:vAlign w:val="bottom"/>
          </w:tcPr>
          <w:p w14:paraId="398A093E" w14:textId="77777777" w:rsidR="002B733E" w:rsidRPr="00FD50F6" w:rsidRDefault="002B733E" w:rsidP="002B733E">
            <w:pPr>
              <w:pStyle w:val="7"/>
              <w:rPr>
                <w:b/>
              </w:rPr>
            </w:pPr>
            <w:r w:rsidRPr="00FD50F6">
              <w:rPr>
                <w:rFonts w:hint="eastAsia"/>
                <w:b/>
              </w:rPr>
              <w:t>32e</w:t>
            </w:r>
            <w:r w:rsidRPr="00FD50F6">
              <w:rPr>
                <w:rFonts w:hint="eastAsia"/>
                <w:b/>
              </w:rPr>
              <w:t>’</w:t>
            </w:r>
          </w:p>
        </w:tc>
        <w:tc>
          <w:tcPr>
            <w:tcW w:w="756" w:type="dxa"/>
            <w:vAlign w:val="bottom"/>
          </w:tcPr>
          <w:p w14:paraId="7F915CC5" w14:textId="77777777" w:rsidR="002B733E" w:rsidRPr="00FD50F6" w:rsidRDefault="002B733E" w:rsidP="002B733E">
            <w:pPr>
              <w:pStyle w:val="7"/>
              <w:rPr>
                <w:b/>
              </w:rPr>
            </w:pPr>
            <w:r w:rsidRPr="00FD50F6">
              <w:rPr>
                <w:rFonts w:hint="eastAsia"/>
                <w:b/>
              </w:rPr>
              <w:t>33e</w:t>
            </w:r>
            <w:r w:rsidRPr="00FD50F6">
              <w:rPr>
                <w:rFonts w:hint="eastAsia"/>
                <w:b/>
              </w:rPr>
              <w:t>’</w:t>
            </w:r>
          </w:p>
        </w:tc>
        <w:tc>
          <w:tcPr>
            <w:tcW w:w="756" w:type="dxa"/>
            <w:vAlign w:val="bottom"/>
          </w:tcPr>
          <w:p w14:paraId="06A0FC30" w14:textId="77777777" w:rsidR="002B733E" w:rsidRPr="00FD50F6" w:rsidRDefault="002B733E" w:rsidP="002B733E">
            <w:pPr>
              <w:pStyle w:val="7"/>
              <w:rPr>
                <w:b/>
              </w:rPr>
            </w:pPr>
            <w:r w:rsidRPr="00FD50F6">
              <w:rPr>
                <w:rFonts w:hint="eastAsia"/>
                <w:b/>
              </w:rPr>
              <w:t>34e</w:t>
            </w:r>
            <w:r w:rsidRPr="00FD50F6">
              <w:rPr>
                <w:rFonts w:hint="eastAsia"/>
                <w:b/>
              </w:rPr>
              <w:t>’</w:t>
            </w:r>
          </w:p>
        </w:tc>
        <w:tc>
          <w:tcPr>
            <w:tcW w:w="756" w:type="dxa"/>
            <w:vAlign w:val="bottom"/>
          </w:tcPr>
          <w:p w14:paraId="68F77269" w14:textId="77777777" w:rsidR="002B733E" w:rsidRPr="00FD50F6" w:rsidRDefault="002B733E" w:rsidP="002B733E">
            <w:pPr>
              <w:pStyle w:val="7"/>
              <w:rPr>
                <w:b/>
              </w:rPr>
            </w:pPr>
            <w:r w:rsidRPr="00FD50F6">
              <w:rPr>
                <w:rFonts w:hint="eastAsia"/>
                <w:b/>
              </w:rPr>
              <w:t>—</w:t>
            </w:r>
          </w:p>
        </w:tc>
        <w:tc>
          <w:tcPr>
            <w:tcW w:w="756" w:type="dxa"/>
            <w:vAlign w:val="bottom"/>
          </w:tcPr>
          <w:p w14:paraId="77ED1017" w14:textId="77777777" w:rsidR="002B733E" w:rsidRPr="00FD50F6" w:rsidRDefault="002B733E" w:rsidP="002B733E">
            <w:pPr>
              <w:pStyle w:val="7"/>
              <w:rPr>
                <w:b/>
              </w:rPr>
            </w:pPr>
            <w:r w:rsidRPr="00FD50F6">
              <w:rPr>
                <w:rFonts w:hint="eastAsia"/>
                <w:b/>
              </w:rPr>
              <w:t>—</w:t>
            </w:r>
          </w:p>
        </w:tc>
        <w:tc>
          <w:tcPr>
            <w:tcW w:w="756" w:type="dxa"/>
            <w:vAlign w:val="bottom"/>
          </w:tcPr>
          <w:p w14:paraId="5C8F3C6A" w14:textId="77777777" w:rsidR="002B733E" w:rsidRPr="00FD50F6" w:rsidRDefault="002B733E" w:rsidP="002B733E">
            <w:pPr>
              <w:pStyle w:val="7"/>
              <w:rPr>
                <w:b/>
              </w:rPr>
            </w:pPr>
            <w:r w:rsidRPr="00FD50F6">
              <w:rPr>
                <w:rFonts w:hint="eastAsia"/>
                <w:b/>
              </w:rPr>
              <w:t>—</w:t>
            </w:r>
          </w:p>
        </w:tc>
        <w:tc>
          <w:tcPr>
            <w:tcW w:w="756" w:type="dxa"/>
            <w:vAlign w:val="bottom"/>
          </w:tcPr>
          <w:p w14:paraId="7E0D844C" w14:textId="77777777" w:rsidR="002B733E" w:rsidRPr="00FD50F6" w:rsidRDefault="002B733E" w:rsidP="002B733E">
            <w:pPr>
              <w:pStyle w:val="7"/>
              <w:rPr>
                <w:b/>
              </w:rPr>
            </w:pPr>
            <w:r w:rsidRPr="00FD50F6">
              <w:rPr>
                <w:rFonts w:hint="eastAsia"/>
                <w:b/>
              </w:rPr>
              <w:t>—</w:t>
            </w:r>
          </w:p>
        </w:tc>
      </w:tr>
      <w:tr w:rsidR="00FD50F6" w:rsidRPr="00FD50F6" w14:paraId="32C63CC6" w14:textId="77777777" w:rsidTr="002B733E">
        <w:trPr>
          <w:trHeight w:val="397"/>
        </w:trPr>
        <w:tc>
          <w:tcPr>
            <w:tcW w:w="701" w:type="dxa"/>
            <w:vAlign w:val="center"/>
          </w:tcPr>
          <w:p w14:paraId="00AAF9A9" w14:textId="77777777" w:rsidR="002B733E" w:rsidRPr="00FD50F6" w:rsidRDefault="002B733E" w:rsidP="002B733E">
            <w:pPr>
              <w:pStyle w:val="7"/>
            </w:pPr>
            <w:r w:rsidRPr="00FD50F6">
              <w:rPr>
                <w:rFonts w:hint="eastAsia"/>
              </w:rPr>
              <w:t>X</w:t>
            </w:r>
          </w:p>
        </w:tc>
        <w:tc>
          <w:tcPr>
            <w:tcW w:w="756" w:type="dxa"/>
            <w:vAlign w:val="bottom"/>
          </w:tcPr>
          <w:p w14:paraId="3A388264" w14:textId="77777777" w:rsidR="002B733E" w:rsidRPr="00FD50F6" w:rsidRDefault="002B733E" w:rsidP="002B733E">
            <w:pPr>
              <w:pStyle w:val="7"/>
            </w:pPr>
            <w:r w:rsidRPr="00FD50F6">
              <w:rPr>
                <w:rFonts w:hint="eastAsia"/>
              </w:rPr>
              <w:t>1348</w:t>
            </w:r>
          </w:p>
        </w:tc>
        <w:tc>
          <w:tcPr>
            <w:tcW w:w="756" w:type="dxa"/>
            <w:vAlign w:val="bottom"/>
          </w:tcPr>
          <w:p w14:paraId="24EF006F" w14:textId="77777777" w:rsidR="002B733E" w:rsidRPr="00FD50F6" w:rsidRDefault="002B733E" w:rsidP="002B733E">
            <w:pPr>
              <w:pStyle w:val="7"/>
            </w:pPr>
            <w:r w:rsidRPr="00FD50F6">
              <w:rPr>
                <w:rFonts w:hint="eastAsia"/>
              </w:rPr>
              <w:t>1610</w:t>
            </w:r>
          </w:p>
        </w:tc>
        <w:tc>
          <w:tcPr>
            <w:tcW w:w="756" w:type="dxa"/>
            <w:vAlign w:val="bottom"/>
          </w:tcPr>
          <w:p w14:paraId="7FF079E9" w14:textId="77777777" w:rsidR="002B733E" w:rsidRPr="00FD50F6" w:rsidRDefault="002B733E" w:rsidP="002B733E">
            <w:pPr>
              <w:pStyle w:val="7"/>
            </w:pPr>
            <w:r w:rsidRPr="00FD50F6">
              <w:rPr>
                <w:rFonts w:hint="eastAsia"/>
              </w:rPr>
              <w:t>1610</w:t>
            </w:r>
          </w:p>
        </w:tc>
        <w:tc>
          <w:tcPr>
            <w:tcW w:w="756" w:type="dxa"/>
            <w:vAlign w:val="bottom"/>
          </w:tcPr>
          <w:p w14:paraId="4781ECCF" w14:textId="77777777" w:rsidR="002B733E" w:rsidRPr="00FD50F6" w:rsidRDefault="002B733E" w:rsidP="002B733E">
            <w:pPr>
              <w:pStyle w:val="7"/>
            </w:pPr>
            <w:r w:rsidRPr="00FD50F6">
              <w:rPr>
                <w:rFonts w:hint="eastAsia"/>
              </w:rPr>
              <w:t>1436</w:t>
            </w:r>
          </w:p>
        </w:tc>
        <w:tc>
          <w:tcPr>
            <w:tcW w:w="756" w:type="dxa"/>
            <w:vAlign w:val="bottom"/>
          </w:tcPr>
          <w:p w14:paraId="5E66A321" w14:textId="77777777" w:rsidR="002B733E" w:rsidRPr="00FD50F6" w:rsidRDefault="002B733E" w:rsidP="002B733E">
            <w:pPr>
              <w:pStyle w:val="7"/>
            </w:pPr>
            <w:r w:rsidRPr="00FD50F6">
              <w:rPr>
                <w:rFonts w:hint="eastAsia"/>
              </w:rPr>
              <w:t>1427</w:t>
            </w:r>
          </w:p>
        </w:tc>
        <w:tc>
          <w:tcPr>
            <w:tcW w:w="756" w:type="dxa"/>
            <w:vAlign w:val="bottom"/>
          </w:tcPr>
          <w:p w14:paraId="228D1257" w14:textId="77777777" w:rsidR="002B733E" w:rsidRPr="00FD50F6" w:rsidRDefault="002B733E" w:rsidP="002B733E">
            <w:pPr>
              <w:pStyle w:val="7"/>
            </w:pPr>
            <w:r w:rsidRPr="00FD50F6">
              <w:rPr>
                <w:rFonts w:hint="eastAsia"/>
              </w:rPr>
              <w:t>1149</w:t>
            </w:r>
          </w:p>
        </w:tc>
        <w:tc>
          <w:tcPr>
            <w:tcW w:w="756" w:type="dxa"/>
            <w:vAlign w:val="bottom"/>
          </w:tcPr>
          <w:p w14:paraId="190555EB" w14:textId="77777777" w:rsidR="002B733E" w:rsidRPr="00FD50F6" w:rsidRDefault="002B733E" w:rsidP="002B733E">
            <w:pPr>
              <w:pStyle w:val="7"/>
              <w:rPr>
                <w:b/>
              </w:rPr>
            </w:pPr>
            <w:r w:rsidRPr="00FD50F6">
              <w:rPr>
                <w:rFonts w:hint="eastAsia"/>
                <w:b/>
              </w:rPr>
              <w:t>—</w:t>
            </w:r>
          </w:p>
        </w:tc>
        <w:tc>
          <w:tcPr>
            <w:tcW w:w="756" w:type="dxa"/>
            <w:vAlign w:val="bottom"/>
          </w:tcPr>
          <w:p w14:paraId="7CBDE8B1" w14:textId="77777777" w:rsidR="002B733E" w:rsidRPr="00FD50F6" w:rsidRDefault="002B733E" w:rsidP="002B733E">
            <w:pPr>
              <w:pStyle w:val="7"/>
              <w:rPr>
                <w:b/>
              </w:rPr>
            </w:pPr>
            <w:r w:rsidRPr="00FD50F6">
              <w:rPr>
                <w:rFonts w:hint="eastAsia"/>
                <w:b/>
              </w:rPr>
              <w:t>—</w:t>
            </w:r>
          </w:p>
        </w:tc>
        <w:tc>
          <w:tcPr>
            <w:tcW w:w="756" w:type="dxa"/>
            <w:vAlign w:val="bottom"/>
          </w:tcPr>
          <w:p w14:paraId="1C94C3B7" w14:textId="77777777" w:rsidR="002B733E" w:rsidRPr="00FD50F6" w:rsidRDefault="002B733E" w:rsidP="002B733E">
            <w:pPr>
              <w:pStyle w:val="7"/>
              <w:rPr>
                <w:b/>
              </w:rPr>
            </w:pPr>
            <w:r w:rsidRPr="00FD50F6">
              <w:rPr>
                <w:rFonts w:hint="eastAsia"/>
                <w:b/>
              </w:rPr>
              <w:t>—</w:t>
            </w:r>
          </w:p>
        </w:tc>
        <w:tc>
          <w:tcPr>
            <w:tcW w:w="756" w:type="dxa"/>
            <w:vAlign w:val="bottom"/>
          </w:tcPr>
          <w:p w14:paraId="12250F3C" w14:textId="77777777" w:rsidR="002B733E" w:rsidRPr="00FD50F6" w:rsidRDefault="002B733E" w:rsidP="002B733E">
            <w:pPr>
              <w:pStyle w:val="7"/>
              <w:rPr>
                <w:b/>
              </w:rPr>
            </w:pPr>
            <w:r w:rsidRPr="00FD50F6">
              <w:rPr>
                <w:rFonts w:hint="eastAsia"/>
                <w:b/>
              </w:rPr>
              <w:t>—</w:t>
            </w:r>
          </w:p>
        </w:tc>
      </w:tr>
      <w:tr w:rsidR="002B733E" w:rsidRPr="00FD50F6" w14:paraId="55140FCD" w14:textId="77777777" w:rsidTr="002B733E">
        <w:trPr>
          <w:trHeight w:val="397"/>
        </w:trPr>
        <w:tc>
          <w:tcPr>
            <w:tcW w:w="701" w:type="dxa"/>
            <w:vAlign w:val="center"/>
          </w:tcPr>
          <w:p w14:paraId="7A1658CF" w14:textId="77777777" w:rsidR="002B733E" w:rsidRPr="00FD50F6" w:rsidRDefault="002B733E" w:rsidP="002B733E">
            <w:pPr>
              <w:pStyle w:val="7"/>
            </w:pPr>
            <w:r w:rsidRPr="00FD50F6">
              <w:rPr>
                <w:rFonts w:hint="eastAsia"/>
              </w:rPr>
              <w:t>Y</w:t>
            </w:r>
          </w:p>
        </w:tc>
        <w:tc>
          <w:tcPr>
            <w:tcW w:w="756" w:type="dxa"/>
            <w:vAlign w:val="bottom"/>
          </w:tcPr>
          <w:p w14:paraId="4659F815" w14:textId="77777777" w:rsidR="002B733E" w:rsidRPr="00FD50F6" w:rsidRDefault="002B733E" w:rsidP="002B733E">
            <w:pPr>
              <w:pStyle w:val="7"/>
            </w:pPr>
            <w:r w:rsidRPr="00FD50F6">
              <w:rPr>
                <w:rFonts w:hint="eastAsia"/>
              </w:rPr>
              <w:t>292</w:t>
            </w:r>
          </w:p>
        </w:tc>
        <w:tc>
          <w:tcPr>
            <w:tcW w:w="756" w:type="dxa"/>
            <w:vAlign w:val="bottom"/>
          </w:tcPr>
          <w:p w14:paraId="048F1347" w14:textId="77777777" w:rsidR="002B733E" w:rsidRPr="00FD50F6" w:rsidRDefault="002B733E" w:rsidP="002B733E">
            <w:pPr>
              <w:pStyle w:val="7"/>
            </w:pPr>
            <w:r w:rsidRPr="00FD50F6">
              <w:rPr>
                <w:rFonts w:hint="eastAsia"/>
              </w:rPr>
              <w:t>293</w:t>
            </w:r>
          </w:p>
        </w:tc>
        <w:tc>
          <w:tcPr>
            <w:tcW w:w="756" w:type="dxa"/>
            <w:vAlign w:val="bottom"/>
          </w:tcPr>
          <w:p w14:paraId="7FE32F81" w14:textId="77777777" w:rsidR="002B733E" w:rsidRPr="00FD50F6" w:rsidRDefault="002B733E" w:rsidP="002B733E">
            <w:pPr>
              <w:pStyle w:val="7"/>
            </w:pPr>
            <w:r w:rsidRPr="00FD50F6">
              <w:rPr>
                <w:rFonts w:hint="eastAsia"/>
              </w:rPr>
              <w:t>21</w:t>
            </w:r>
          </w:p>
        </w:tc>
        <w:tc>
          <w:tcPr>
            <w:tcW w:w="756" w:type="dxa"/>
            <w:vAlign w:val="bottom"/>
          </w:tcPr>
          <w:p w14:paraId="49A26837" w14:textId="77777777" w:rsidR="002B733E" w:rsidRPr="00FD50F6" w:rsidRDefault="002B733E" w:rsidP="002B733E">
            <w:pPr>
              <w:pStyle w:val="7"/>
            </w:pPr>
            <w:r w:rsidRPr="00FD50F6">
              <w:rPr>
                <w:rFonts w:hint="eastAsia"/>
              </w:rPr>
              <w:t>22</w:t>
            </w:r>
          </w:p>
        </w:tc>
        <w:tc>
          <w:tcPr>
            <w:tcW w:w="756" w:type="dxa"/>
            <w:vAlign w:val="bottom"/>
          </w:tcPr>
          <w:p w14:paraId="7684E5A9" w14:textId="77777777" w:rsidR="002B733E" w:rsidRPr="00FD50F6" w:rsidRDefault="002B733E" w:rsidP="002B733E">
            <w:pPr>
              <w:pStyle w:val="7"/>
            </w:pPr>
            <w:r w:rsidRPr="00FD50F6">
              <w:rPr>
                <w:rFonts w:hint="eastAsia"/>
              </w:rPr>
              <w:t>15</w:t>
            </w:r>
          </w:p>
        </w:tc>
        <w:tc>
          <w:tcPr>
            <w:tcW w:w="756" w:type="dxa"/>
            <w:vAlign w:val="bottom"/>
          </w:tcPr>
          <w:p w14:paraId="636B82DF" w14:textId="77777777" w:rsidR="002B733E" w:rsidRPr="00FD50F6" w:rsidRDefault="002B733E" w:rsidP="002B733E">
            <w:pPr>
              <w:pStyle w:val="7"/>
            </w:pPr>
            <w:r w:rsidRPr="00FD50F6">
              <w:rPr>
                <w:rFonts w:hint="eastAsia"/>
              </w:rPr>
              <w:t>66</w:t>
            </w:r>
          </w:p>
        </w:tc>
        <w:tc>
          <w:tcPr>
            <w:tcW w:w="756" w:type="dxa"/>
            <w:vAlign w:val="bottom"/>
          </w:tcPr>
          <w:p w14:paraId="2E88963B" w14:textId="77777777" w:rsidR="002B733E" w:rsidRPr="00FD50F6" w:rsidRDefault="002B733E" w:rsidP="002B733E">
            <w:pPr>
              <w:pStyle w:val="7"/>
              <w:rPr>
                <w:b/>
              </w:rPr>
            </w:pPr>
            <w:r w:rsidRPr="00FD50F6">
              <w:rPr>
                <w:rFonts w:hint="eastAsia"/>
                <w:b/>
              </w:rPr>
              <w:t>—</w:t>
            </w:r>
          </w:p>
        </w:tc>
        <w:tc>
          <w:tcPr>
            <w:tcW w:w="756" w:type="dxa"/>
            <w:vAlign w:val="bottom"/>
          </w:tcPr>
          <w:p w14:paraId="48F81A84" w14:textId="77777777" w:rsidR="002B733E" w:rsidRPr="00FD50F6" w:rsidRDefault="002B733E" w:rsidP="002B733E">
            <w:pPr>
              <w:pStyle w:val="7"/>
              <w:rPr>
                <w:b/>
              </w:rPr>
            </w:pPr>
            <w:r w:rsidRPr="00FD50F6">
              <w:rPr>
                <w:rFonts w:hint="eastAsia"/>
                <w:b/>
              </w:rPr>
              <w:t>—</w:t>
            </w:r>
          </w:p>
        </w:tc>
        <w:tc>
          <w:tcPr>
            <w:tcW w:w="756" w:type="dxa"/>
            <w:vAlign w:val="bottom"/>
          </w:tcPr>
          <w:p w14:paraId="711E25EC" w14:textId="77777777" w:rsidR="002B733E" w:rsidRPr="00FD50F6" w:rsidRDefault="002B733E" w:rsidP="002B733E">
            <w:pPr>
              <w:pStyle w:val="7"/>
              <w:rPr>
                <w:b/>
              </w:rPr>
            </w:pPr>
            <w:r w:rsidRPr="00FD50F6">
              <w:rPr>
                <w:rFonts w:hint="eastAsia"/>
                <w:b/>
              </w:rPr>
              <w:t>—</w:t>
            </w:r>
          </w:p>
        </w:tc>
        <w:tc>
          <w:tcPr>
            <w:tcW w:w="756" w:type="dxa"/>
            <w:vAlign w:val="bottom"/>
          </w:tcPr>
          <w:p w14:paraId="2CA1C51F" w14:textId="77777777" w:rsidR="002B733E" w:rsidRPr="00FD50F6" w:rsidRDefault="002B733E" w:rsidP="002B733E">
            <w:pPr>
              <w:pStyle w:val="7"/>
              <w:rPr>
                <w:b/>
              </w:rPr>
            </w:pPr>
            <w:r w:rsidRPr="00FD50F6">
              <w:rPr>
                <w:rFonts w:hint="eastAsia"/>
                <w:b/>
              </w:rPr>
              <w:t>—</w:t>
            </w:r>
          </w:p>
        </w:tc>
      </w:tr>
    </w:tbl>
    <w:p w14:paraId="7DAF07A2" w14:textId="77777777" w:rsidR="002B733E" w:rsidRPr="00FD50F6" w:rsidRDefault="002B733E" w:rsidP="002B733E">
      <w:pPr>
        <w:spacing w:line="240" w:lineRule="auto"/>
        <w:rPr>
          <w:rFonts w:ascii="Calibri" w:hAnsi="Calibri" w:cs="Times New Roman"/>
          <w:sz w:val="18"/>
          <w:szCs w:val="24"/>
        </w:rPr>
      </w:pPr>
    </w:p>
    <w:p w14:paraId="3EC4BBBA" w14:textId="77777777" w:rsidR="002B733E" w:rsidRPr="00FD50F6" w:rsidRDefault="002B733E" w:rsidP="002B733E">
      <w:pPr>
        <w:spacing w:line="240" w:lineRule="auto"/>
        <w:rPr>
          <w:rFonts w:ascii="Calibri" w:hAnsi="Calibri" w:cs="Times New Roman"/>
          <w:szCs w:val="24"/>
        </w:rPr>
      </w:pPr>
    </w:p>
    <w:p w14:paraId="1C629B60" w14:textId="77777777" w:rsidR="002B733E" w:rsidRPr="00FD50F6" w:rsidRDefault="002B733E" w:rsidP="002B733E">
      <w:pPr>
        <w:widowControl/>
        <w:tabs>
          <w:tab w:val="left" w:pos="0"/>
        </w:tabs>
        <w:spacing w:before="246" w:after="120" w:line="240" w:lineRule="auto"/>
        <w:jc w:val="center"/>
        <w:outlineLvl w:val="0"/>
        <w:rPr>
          <w:rFonts w:ascii="Calibri" w:hAnsi="Calibri" w:cs="Times New Roman"/>
          <w:kern w:val="0"/>
          <w:szCs w:val="24"/>
        </w:rPr>
        <w:sectPr w:rsidR="002B733E" w:rsidRPr="00FD50F6">
          <w:footerReference w:type="even" r:id="rId113"/>
          <w:footerReference w:type="default" r:id="rId114"/>
          <w:pgSz w:w="11906" w:h="16838"/>
          <w:pgMar w:top="1440" w:right="1797" w:bottom="1440" w:left="1797" w:header="851" w:footer="850" w:gutter="0"/>
          <w:cols w:space="720"/>
          <w:docGrid w:linePitch="492" w:charSpace="703"/>
        </w:sectPr>
      </w:pPr>
      <w:bookmarkStart w:id="1358" w:name="_Toc306207506"/>
      <w:bookmarkStart w:id="1359" w:name="_Toc320643550"/>
      <w:bookmarkStart w:id="1360" w:name="_Toc306207315"/>
      <w:bookmarkStart w:id="1361" w:name="_Toc321985672"/>
    </w:p>
    <w:p w14:paraId="0DEF6C53" w14:textId="77777777" w:rsidR="002B733E" w:rsidRPr="00FD50F6" w:rsidRDefault="002B733E" w:rsidP="002B733E">
      <w:pPr>
        <w:pStyle w:val="12"/>
        <w:numPr>
          <w:ilvl w:val="0"/>
          <w:numId w:val="0"/>
        </w:numPr>
      </w:pPr>
      <w:bookmarkStart w:id="1362" w:name="_Toc464482435"/>
      <w:bookmarkStart w:id="1363" w:name="_Toc464482707"/>
      <w:bookmarkStart w:id="1364" w:name="_Toc489216828"/>
      <w:bookmarkStart w:id="1365" w:name="_Toc465325496"/>
      <w:bookmarkStart w:id="1366" w:name="_Toc467785956"/>
      <w:bookmarkStart w:id="1367" w:name="_Toc491875537"/>
      <w:bookmarkStart w:id="1368" w:name="_Toc469903348"/>
      <w:bookmarkStart w:id="1369" w:name="_Toc535866748"/>
      <w:bookmarkStart w:id="1370" w:name="_Toc535865483"/>
      <w:bookmarkStart w:id="1371" w:name="_Toc465346334"/>
      <w:bookmarkStart w:id="1372" w:name="_Toc112830901"/>
      <w:r w:rsidRPr="00FD50F6">
        <w:rPr>
          <w:rFonts w:hint="eastAsia"/>
        </w:rPr>
        <w:lastRenderedPageBreak/>
        <w:t>附录</w:t>
      </w:r>
      <w:r w:rsidRPr="00FD50F6">
        <w:rPr>
          <w:rFonts w:hint="eastAsia"/>
        </w:rPr>
        <w:t>C  A</w:t>
      </w:r>
      <w:r w:rsidRPr="00FD50F6">
        <w:rPr>
          <w:vertAlign w:val="subscript"/>
        </w:rPr>
        <w:t>2</w:t>
      </w:r>
      <w:r w:rsidRPr="00FD50F6">
        <w:rPr>
          <w:rFonts w:hint="eastAsia"/>
        </w:rPr>
        <w:t>型车限界</w:t>
      </w:r>
      <w:bookmarkEnd w:id="1362"/>
      <w:bookmarkEnd w:id="1363"/>
      <w:bookmarkEnd w:id="1364"/>
      <w:bookmarkEnd w:id="1365"/>
      <w:bookmarkEnd w:id="1366"/>
      <w:bookmarkEnd w:id="1367"/>
      <w:bookmarkEnd w:id="1368"/>
      <w:bookmarkEnd w:id="1369"/>
      <w:bookmarkEnd w:id="1370"/>
      <w:bookmarkEnd w:id="1371"/>
      <w:bookmarkEnd w:id="1372"/>
    </w:p>
    <w:p w14:paraId="351B5357" w14:textId="67136C27" w:rsidR="002B733E" w:rsidRPr="00FD50F6" w:rsidRDefault="002B733E" w:rsidP="002B733E">
      <w:pPr>
        <w:pStyle w:val="30"/>
        <w:numPr>
          <w:ilvl w:val="0"/>
          <w:numId w:val="0"/>
        </w:numPr>
      </w:pPr>
      <w:r w:rsidRPr="00FD50F6">
        <w:rPr>
          <w:rFonts w:hint="eastAsia"/>
          <w:b/>
        </w:rPr>
        <w:t>C</w:t>
      </w:r>
      <w:r w:rsidRPr="00FD50F6">
        <w:rPr>
          <w:b/>
        </w:rPr>
        <w:t>.</w:t>
      </w:r>
      <w:r w:rsidRPr="00FD50F6">
        <w:rPr>
          <w:rFonts w:hint="eastAsia"/>
          <w:b/>
        </w:rPr>
        <w:t>0.</w:t>
      </w:r>
      <w:r w:rsidRPr="00FD50F6">
        <w:rPr>
          <w:b/>
        </w:rPr>
        <w:t>1</w:t>
      </w:r>
      <w:r w:rsidRPr="00FD50F6">
        <w:rPr>
          <w:rFonts w:hint="eastAsia"/>
        </w:rPr>
        <w:t>区间或过站直线地段车辆轮廓线、车辆限界、设备限界（图</w:t>
      </w:r>
      <w:r w:rsidRPr="00FD50F6">
        <w:rPr>
          <w:rFonts w:hint="eastAsia"/>
        </w:rPr>
        <w:t>C.0.1</w:t>
      </w:r>
      <w:r w:rsidRPr="00FD50F6">
        <w:rPr>
          <w:rFonts w:hint="eastAsia"/>
        </w:rPr>
        <w:t>）的坐标值应按表</w:t>
      </w:r>
      <w:r w:rsidRPr="00FD50F6">
        <w:rPr>
          <w:rFonts w:hint="eastAsia"/>
        </w:rPr>
        <w:t>C</w:t>
      </w:r>
      <w:r w:rsidRPr="00FD50F6">
        <w:t>.0.1-1</w:t>
      </w:r>
      <w:r w:rsidRPr="00FD50F6">
        <w:rPr>
          <w:rFonts w:hint="eastAsia"/>
        </w:rPr>
        <w:t>～</w:t>
      </w:r>
      <w:r w:rsidRPr="00FD50F6">
        <w:rPr>
          <w:rFonts w:hint="eastAsia"/>
        </w:rPr>
        <w:t>C</w:t>
      </w:r>
      <w:r w:rsidRPr="00FD50F6">
        <w:t>.0.1-7</w:t>
      </w:r>
      <w:r w:rsidRPr="00FD50F6">
        <w:rPr>
          <w:rFonts w:hint="eastAsia"/>
        </w:rPr>
        <w:t>选取。</w:t>
      </w:r>
    </w:p>
    <w:p w14:paraId="74590A5E"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eastAsia="黑体" w:hAnsi="Calibri" w:cs="Times New Roman"/>
          <w:noProof/>
          <w:sz w:val="21"/>
          <w:szCs w:val="24"/>
        </w:rPr>
        <w:drawing>
          <wp:inline distT="0" distB="0" distL="0" distR="0" wp14:anchorId="6C780710" wp14:editId="53B3EB9E">
            <wp:extent cx="4732020" cy="7124700"/>
            <wp:effectExtent l="0" t="0" r="0" b="0"/>
            <wp:docPr id="57" name="图片 5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A2"/>
                    <pic:cNvPicPr>
                      <a:picLocks noChangeAspect="1" noChangeArrowheads="1"/>
                    </pic:cNvPicPr>
                  </pic:nvPicPr>
                  <pic:blipFill>
                    <a:blip r:embed="rId115">
                      <a:extLst>
                        <a:ext uri="{28A0092B-C50C-407E-A947-70E740481C1C}">
                          <a14:useLocalDpi xmlns:a14="http://schemas.microsoft.com/office/drawing/2010/main" val="0"/>
                        </a:ext>
                      </a:extLst>
                    </a:blip>
                    <a:srcRect l="27272" t="1007" r="27095" b="2016"/>
                    <a:stretch>
                      <a:fillRect/>
                    </a:stretch>
                  </pic:blipFill>
                  <pic:spPr>
                    <a:xfrm>
                      <a:off x="0" y="0"/>
                      <a:ext cx="4732020" cy="7124700"/>
                    </a:xfrm>
                    <a:prstGeom prst="rect">
                      <a:avLst/>
                    </a:prstGeom>
                    <a:noFill/>
                    <a:ln>
                      <a:noFill/>
                    </a:ln>
                  </pic:spPr>
                </pic:pic>
              </a:graphicData>
            </a:graphic>
          </wp:inline>
        </w:drawing>
      </w:r>
    </w:p>
    <w:p w14:paraId="16EFA938"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eastAsia="黑体" w:hAnsi="Calibri" w:cs="Times New Roman" w:hint="eastAsia"/>
          <w:sz w:val="21"/>
          <w:szCs w:val="24"/>
        </w:rPr>
        <w:t>图</w:t>
      </w:r>
      <w:r w:rsidRPr="00FD50F6">
        <w:rPr>
          <w:rFonts w:ascii="Calibri" w:eastAsia="黑体" w:hAnsi="Calibri" w:cs="Times New Roman" w:hint="eastAsia"/>
          <w:sz w:val="21"/>
          <w:szCs w:val="24"/>
        </w:rPr>
        <w:t>C.0.1  A</w:t>
      </w:r>
      <w:r w:rsidRPr="00FD50F6">
        <w:rPr>
          <w:rFonts w:ascii="Calibri" w:eastAsia="黑体" w:hAnsi="Calibri" w:cs="Times New Roman" w:hint="eastAsia"/>
          <w:sz w:val="21"/>
          <w:szCs w:val="24"/>
          <w:vertAlign w:val="subscript"/>
        </w:rPr>
        <w:t>2</w:t>
      </w:r>
      <w:r w:rsidRPr="00FD50F6">
        <w:rPr>
          <w:rFonts w:ascii="Calibri" w:eastAsia="黑体" w:hAnsi="Calibri" w:cs="Times New Roman" w:hint="eastAsia"/>
          <w:sz w:val="21"/>
          <w:szCs w:val="24"/>
        </w:rPr>
        <w:t>型车区间或过站直线地段车辆轮廓线、车辆限界和设备限界</w:t>
      </w:r>
    </w:p>
    <w:p w14:paraId="033B8092"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hAnsi="Calibri" w:cs="Times New Roman" w:hint="eastAsia"/>
          <w:sz w:val="21"/>
          <w:szCs w:val="24"/>
        </w:rPr>
        <w:t>a</w:t>
      </w:r>
      <w:r w:rsidRPr="00FD50F6">
        <w:rPr>
          <w:rFonts w:ascii="Calibri" w:hAnsi="Calibri" w:cs="Times New Roman" w:hint="eastAsia"/>
          <w:sz w:val="21"/>
          <w:szCs w:val="24"/>
        </w:rPr>
        <w:t>—车辆轮廓线；</w:t>
      </w:r>
      <w:r w:rsidRPr="00FD50F6">
        <w:rPr>
          <w:rFonts w:ascii="Calibri" w:hAnsi="Calibri" w:cs="Times New Roman"/>
          <w:sz w:val="21"/>
          <w:szCs w:val="24"/>
        </w:rPr>
        <w:t>b</w:t>
      </w:r>
      <w:r w:rsidRPr="00FD50F6">
        <w:rPr>
          <w:rFonts w:ascii="Calibri" w:hAnsi="Calibri" w:cs="Times New Roman" w:hint="eastAsia"/>
          <w:sz w:val="21"/>
          <w:szCs w:val="24"/>
        </w:rPr>
        <w:t>—车辆限界；</w:t>
      </w:r>
      <w:r w:rsidRPr="00FD50F6">
        <w:rPr>
          <w:rFonts w:ascii="Calibri" w:hAnsi="Calibri" w:cs="Times New Roman"/>
          <w:sz w:val="21"/>
          <w:szCs w:val="24"/>
        </w:rPr>
        <w:t>c</w:t>
      </w:r>
      <w:r w:rsidRPr="00FD50F6">
        <w:rPr>
          <w:rFonts w:ascii="Calibri" w:hAnsi="Calibri" w:cs="Times New Roman" w:hint="eastAsia"/>
          <w:sz w:val="21"/>
          <w:szCs w:val="24"/>
        </w:rPr>
        <w:t>—设备限界</w:t>
      </w:r>
    </w:p>
    <w:p w14:paraId="1CC00F7F" w14:textId="77777777" w:rsidR="002B733E" w:rsidRPr="00FD50F6" w:rsidRDefault="002B733E" w:rsidP="002B733E">
      <w:pPr>
        <w:spacing w:line="240" w:lineRule="auto"/>
        <w:jc w:val="center"/>
        <w:rPr>
          <w:rFonts w:ascii="Calibri" w:eastAsia="黑体" w:hAnsi="Calibri" w:cs="Times New Roman"/>
          <w:sz w:val="21"/>
          <w:szCs w:val="24"/>
        </w:rPr>
        <w:sectPr w:rsidR="002B733E" w:rsidRPr="00FD50F6">
          <w:pgSz w:w="11906" w:h="16838"/>
          <w:pgMar w:top="1440" w:right="1797" w:bottom="1440" w:left="1797" w:header="851" w:footer="850" w:gutter="0"/>
          <w:cols w:space="720"/>
          <w:docGrid w:linePitch="492" w:charSpace="703"/>
        </w:sectPr>
      </w:pPr>
    </w:p>
    <w:p w14:paraId="0F1F464C"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lastRenderedPageBreak/>
        <w:t>表</w:t>
      </w:r>
      <w:r w:rsidRPr="00FD50F6">
        <w:rPr>
          <w:rFonts w:ascii="Calibri" w:eastAsia="黑体" w:hAnsi="Calibri" w:cs="Times New Roman" w:hint="eastAsia"/>
          <w:b/>
          <w:sz w:val="21"/>
          <w:szCs w:val="24"/>
        </w:rPr>
        <w:t>C</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1-1</w:t>
      </w:r>
      <w:r w:rsidRPr="00FD50F6">
        <w:rPr>
          <w:rFonts w:ascii="黑体" w:eastAsia="黑体" w:hAnsi="黑体" w:cs="Times New Roman" w:hint="eastAsia"/>
          <w:sz w:val="21"/>
          <w:szCs w:val="24"/>
        </w:rPr>
        <w:t xml:space="preserve">  车辆轮廓线坐标（mm）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5"/>
        <w:gridCol w:w="772"/>
        <w:gridCol w:w="773"/>
        <w:gridCol w:w="773"/>
        <w:gridCol w:w="773"/>
        <w:gridCol w:w="778"/>
        <w:gridCol w:w="778"/>
        <w:gridCol w:w="778"/>
        <w:gridCol w:w="841"/>
        <w:gridCol w:w="778"/>
        <w:gridCol w:w="779"/>
      </w:tblGrid>
      <w:tr w:rsidR="00FD50F6" w:rsidRPr="00FD50F6" w14:paraId="355B6D1D" w14:textId="77777777" w:rsidTr="002B733E">
        <w:trPr>
          <w:trHeight w:val="397"/>
          <w:jc w:val="center"/>
        </w:trPr>
        <w:tc>
          <w:tcPr>
            <w:tcW w:w="705" w:type="dxa"/>
            <w:vAlign w:val="center"/>
          </w:tcPr>
          <w:p w14:paraId="3DD87CD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353A3CE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p>
        </w:tc>
        <w:tc>
          <w:tcPr>
            <w:tcW w:w="773" w:type="dxa"/>
            <w:vAlign w:val="center"/>
          </w:tcPr>
          <w:p w14:paraId="163EC92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p>
        </w:tc>
        <w:tc>
          <w:tcPr>
            <w:tcW w:w="773" w:type="dxa"/>
            <w:vAlign w:val="center"/>
          </w:tcPr>
          <w:p w14:paraId="01B88EB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p>
        </w:tc>
        <w:tc>
          <w:tcPr>
            <w:tcW w:w="773" w:type="dxa"/>
            <w:vAlign w:val="center"/>
          </w:tcPr>
          <w:p w14:paraId="2048451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p>
        </w:tc>
        <w:tc>
          <w:tcPr>
            <w:tcW w:w="778" w:type="dxa"/>
            <w:vAlign w:val="center"/>
          </w:tcPr>
          <w:p w14:paraId="0F8E92A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p>
        </w:tc>
        <w:tc>
          <w:tcPr>
            <w:tcW w:w="778" w:type="dxa"/>
            <w:vAlign w:val="center"/>
          </w:tcPr>
          <w:p w14:paraId="6B9D6D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p>
        </w:tc>
        <w:tc>
          <w:tcPr>
            <w:tcW w:w="778" w:type="dxa"/>
            <w:vAlign w:val="center"/>
          </w:tcPr>
          <w:p w14:paraId="117B0CF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p>
        </w:tc>
        <w:tc>
          <w:tcPr>
            <w:tcW w:w="841" w:type="dxa"/>
            <w:vAlign w:val="center"/>
          </w:tcPr>
          <w:p w14:paraId="38AD460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p>
        </w:tc>
        <w:tc>
          <w:tcPr>
            <w:tcW w:w="778" w:type="dxa"/>
            <w:vAlign w:val="center"/>
          </w:tcPr>
          <w:p w14:paraId="6A6392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p>
        </w:tc>
        <w:tc>
          <w:tcPr>
            <w:tcW w:w="779" w:type="dxa"/>
            <w:vAlign w:val="center"/>
          </w:tcPr>
          <w:p w14:paraId="08EE34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p>
        </w:tc>
      </w:tr>
      <w:tr w:rsidR="00FD50F6" w:rsidRPr="00FD50F6" w14:paraId="708C6E27" w14:textId="77777777" w:rsidTr="002B733E">
        <w:trPr>
          <w:trHeight w:val="397"/>
          <w:jc w:val="center"/>
        </w:trPr>
        <w:tc>
          <w:tcPr>
            <w:tcW w:w="705" w:type="dxa"/>
            <w:vAlign w:val="center"/>
          </w:tcPr>
          <w:p w14:paraId="0F75B4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318CDB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3" w:type="dxa"/>
            <w:vAlign w:val="center"/>
          </w:tcPr>
          <w:p w14:paraId="03D2E1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c>
          <w:tcPr>
            <w:tcW w:w="773" w:type="dxa"/>
            <w:vAlign w:val="center"/>
          </w:tcPr>
          <w:p w14:paraId="4C14159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668</w:t>
            </w:r>
          </w:p>
        </w:tc>
        <w:tc>
          <w:tcPr>
            <w:tcW w:w="773" w:type="dxa"/>
            <w:vAlign w:val="center"/>
          </w:tcPr>
          <w:p w14:paraId="398E2B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685</w:t>
            </w:r>
          </w:p>
        </w:tc>
        <w:tc>
          <w:tcPr>
            <w:tcW w:w="778" w:type="dxa"/>
            <w:vAlign w:val="center"/>
          </w:tcPr>
          <w:p w14:paraId="1E2EB7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785</w:t>
            </w:r>
          </w:p>
        </w:tc>
        <w:tc>
          <w:tcPr>
            <w:tcW w:w="778" w:type="dxa"/>
            <w:vAlign w:val="center"/>
          </w:tcPr>
          <w:p w14:paraId="015134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800</w:t>
            </w:r>
          </w:p>
        </w:tc>
        <w:tc>
          <w:tcPr>
            <w:tcW w:w="778" w:type="dxa"/>
            <w:vAlign w:val="center"/>
          </w:tcPr>
          <w:p w14:paraId="236116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858</w:t>
            </w:r>
          </w:p>
        </w:tc>
        <w:tc>
          <w:tcPr>
            <w:tcW w:w="841" w:type="dxa"/>
            <w:vAlign w:val="center"/>
          </w:tcPr>
          <w:p w14:paraId="5E9A66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905</w:t>
            </w:r>
          </w:p>
        </w:tc>
        <w:tc>
          <w:tcPr>
            <w:tcW w:w="778" w:type="dxa"/>
            <w:vAlign w:val="center"/>
          </w:tcPr>
          <w:p w14:paraId="645A12A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982</w:t>
            </w:r>
          </w:p>
        </w:tc>
        <w:tc>
          <w:tcPr>
            <w:tcW w:w="779" w:type="dxa"/>
            <w:vAlign w:val="center"/>
          </w:tcPr>
          <w:p w14:paraId="6E8B49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1090</w:t>
            </w:r>
          </w:p>
        </w:tc>
      </w:tr>
      <w:tr w:rsidR="00FD50F6" w:rsidRPr="00FD50F6" w14:paraId="2F35AF46" w14:textId="77777777" w:rsidTr="002B733E">
        <w:trPr>
          <w:trHeight w:val="397"/>
          <w:jc w:val="center"/>
        </w:trPr>
        <w:tc>
          <w:tcPr>
            <w:tcW w:w="705" w:type="dxa"/>
            <w:vAlign w:val="center"/>
          </w:tcPr>
          <w:p w14:paraId="566AB7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5717CB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50</w:t>
            </w:r>
          </w:p>
        </w:tc>
        <w:tc>
          <w:tcPr>
            <w:tcW w:w="773" w:type="dxa"/>
            <w:vAlign w:val="center"/>
          </w:tcPr>
          <w:p w14:paraId="46DFAD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50</w:t>
            </w:r>
          </w:p>
        </w:tc>
        <w:tc>
          <w:tcPr>
            <w:tcW w:w="773" w:type="dxa"/>
            <w:vAlign w:val="center"/>
          </w:tcPr>
          <w:p w14:paraId="0E0A48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3813</w:t>
            </w:r>
          </w:p>
        </w:tc>
        <w:tc>
          <w:tcPr>
            <w:tcW w:w="773" w:type="dxa"/>
            <w:vAlign w:val="center"/>
          </w:tcPr>
          <w:p w14:paraId="3B7D42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3797</w:t>
            </w:r>
          </w:p>
        </w:tc>
        <w:tc>
          <w:tcPr>
            <w:tcW w:w="778" w:type="dxa"/>
            <w:vAlign w:val="center"/>
          </w:tcPr>
          <w:p w14:paraId="4F5AB09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3756</w:t>
            </w:r>
          </w:p>
        </w:tc>
        <w:tc>
          <w:tcPr>
            <w:tcW w:w="778" w:type="dxa"/>
            <w:vAlign w:val="center"/>
          </w:tcPr>
          <w:p w14:paraId="6534F3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3743</w:t>
            </w:r>
          </w:p>
        </w:tc>
        <w:tc>
          <w:tcPr>
            <w:tcW w:w="778" w:type="dxa"/>
            <w:vAlign w:val="center"/>
          </w:tcPr>
          <w:p w14:paraId="3B792D9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3675</w:t>
            </w:r>
          </w:p>
        </w:tc>
        <w:tc>
          <w:tcPr>
            <w:tcW w:w="841" w:type="dxa"/>
            <w:vAlign w:val="center"/>
          </w:tcPr>
          <w:p w14:paraId="32D64C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3624</w:t>
            </w:r>
          </w:p>
        </w:tc>
        <w:tc>
          <w:tcPr>
            <w:tcW w:w="778" w:type="dxa"/>
            <w:vAlign w:val="center"/>
          </w:tcPr>
          <w:p w14:paraId="62342F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3597</w:t>
            </w:r>
          </w:p>
        </w:tc>
        <w:tc>
          <w:tcPr>
            <w:tcW w:w="779" w:type="dxa"/>
            <w:vAlign w:val="center"/>
          </w:tcPr>
          <w:p w14:paraId="0706E96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3551</w:t>
            </w:r>
          </w:p>
        </w:tc>
      </w:tr>
      <w:tr w:rsidR="00FD50F6" w:rsidRPr="00FD50F6" w14:paraId="75685F82" w14:textId="77777777" w:rsidTr="002B733E">
        <w:trPr>
          <w:trHeight w:val="397"/>
          <w:jc w:val="center"/>
        </w:trPr>
        <w:tc>
          <w:tcPr>
            <w:tcW w:w="705" w:type="dxa"/>
            <w:vAlign w:val="center"/>
          </w:tcPr>
          <w:p w14:paraId="3991DE8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2C11DF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p>
        </w:tc>
        <w:tc>
          <w:tcPr>
            <w:tcW w:w="773" w:type="dxa"/>
            <w:vAlign w:val="center"/>
          </w:tcPr>
          <w:p w14:paraId="44A67D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p>
        </w:tc>
        <w:tc>
          <w:tcPr>
            <w:tcW w:w="773" w:type="dxa"/>
            <w:vAlign w:val="center"/>
          </w:tcPr>
          <w:p w14:paraId="421E871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p>
        </w:tc>
        <w:tc>
          <w:tcPr>
            <w:tcW w:w="773" w:type="dxa"/>
            <w:vAlign w:val="center"/>
          </w:tcPr>
          <w:p w14:paraId="28323F1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p>
        </w:tc>
        <w:tc>
          <w:tcPr>
            <w:tcW w:w="778" w:type="dxa"/>
            <w:vAlign w:val="center"/>
          </w:tcPr>
          <w:p w14:paraId="2AAB7A9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p>
        </w:tc>
        <w:tc>
          <w:tcPr>
            <w:tcW w:w="778" w:type="dxa"/>
            <w:vAlign w:val="center"/>
          </w:tcPr>
          <w:p w14:paraId="0F8A20B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p>
        </w:tc>
        <w:tc>
          <w:tcPr>
            <w:tcW w:w="778" w:type="dxa"/>
            <w:vAlign w:val="center"/>
          </w:tcPr>
          <w:p w14:paraId="4116A32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p>
        </w:tc>
        <w:tc>
          <w:tcPr>
            <w:tcW w:w="841" w:type="dxa"/>
            <w:vAlign w:val="center"/>
          </w:tcPr>
          <w:p w14:paraId="1C7D639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p>
        </w:tc>
        <w:tc>
          <w:tcPr>
            <w:tcW w:w="778" w:type="dxa"/>
            <w:vAlign w:val="center"/>
          </w:tcPr>
          <w:p w14:paraId="116149B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p>
        </w:tc>
        <w:tc>
          <w:tcPr>
            <w:tcW w:w="779" w:type="dxa"/>
            <w:vAlign w:val="center"/>
          </w:tcPr>
          <w:p w14:paraId="5C564A2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19385841" w14:textId="77777777" w:rsidTr="002B733E">
        <w:trPr>
          <w:trHeight w:val="397"/>
          <w:jc w:val="center"/>
        </w:trPr>
        <w:tc>
          <w:tcPr>
            <w:tcW w:w="705" w:type="dxa"/>
            <w:vAlign w:val="center"/>
          </w:tcPr>
          <w:p w14:paraId="402503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66F6AB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1174</w:t>
            </w:r>
          </w:p>
        </w:tc>
        <w:tc>
          <w:tcPr>
            <w:tcW w:w="773" w:type="dxa"/>
            <w:vAlign w:val="center"/>
          </w:tcPr>
          <w:p w14:paraId="202356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1209</w:t>
            </w:r>
          </w:p>
        </w:tc>
        <w:tc>
          <w:tcPr>
            <w:tcW w:w="773" w:type="dxa"/>
            <w:vAlign w:val="center"/>
          </w:tcPr>
          <w:p w14:paraId="06AAB44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1235</w:t>
            </w:r>
          </w:p>
        </w:tc>
        <w:tc>
          <w:tcPr>
            <w:tcW w:w="773" w:type="dxa"/>
            <w:vAlign w:val="center"/>
          </w:tcPr>
          <w:p w14:paraId="5DD3E9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1262</w:t>
            </w:r>
          </w:p>
        </w:tc>
        <w:tc>
          <w:tcPr>
            <w:tcW w:w="778" w:type="dxa"/>
            <w:vAlign w:val="center"/>
          </w:tcPr>
          <w:p w14:paraId="25A46E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1287</w:t>
            </w:r>
          </w:p>
        </w:tc>
        <w:tc>
          <w:tcPr>
            <w:tcW w:w="778" w:type="dxa"/>
            <w:vAlign w:val="center"/>
          </w:tcPr>
          <w:p w14:paraId="3037108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1308</w:t>
            </w:r>
          </w:p>
        </w:tc>
        <w:tc>
          <w:tcPr>
            <w:tcW w:w="778" w:type="dxa"/>
            <w:vAlign w:val="center"/>
          </w:tcPr>
          <w:p w14:paraId="4B820C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1327</w:t>
            </w:r>
          </w:p>
        </w:tc>
        <w:tc>
          <w:tcPr>
            <w:tcW w:w="841" w:type="dxa"/>
            <w:vAlign w:val="center"/>
          </w:tcPr>
          <w:p w14:paraId="57357E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1345</w:t>
            </w:r>
          </w:p>
        </w:tc>
        <w:tc>
          <w:tcPr>
            <w:tcW w:w="778" w:type="dxa"/>
            <w:vAlign w:val="center"/>
          </w:tcPr>
          <w:p w14:paraId="3A4AFD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1357</w:t>
            </w:r>
          </w:p>
        </w:tc>
        <w:tc>
          <w:tcPr>
            <w:tcW w:w="779" w:type="dxa"/>
            <w:vAlign w:val="center"/>
          </w:tcPr>
          <w:p w14:paraId="69FC90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1367</w:t>
            </w:r>
          </w:p>
        </w:tc>
      </w:tr>
      <w:tr w:rsidR="00FD50F6" w:rsidRPr="00FD50F6" w14:paraId="6FD6A0CD" w14:textId="77777777" w:rsidTr="002B733E">
        <w:trPr>
          <w:trHeight w:val="397"/>
          <w:jc w:val="center"/>
        </w:trPr>
        <w:tc>
          <w:tcPr>
            <w:tcW w:w="705" w:type="dxa"/>
            <w:vAlign w:val="center"/>
          </w:tcPr>
          <w:p w14:paraId="219E62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542CD4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3508</w:t>
            </w:r>
          </w:p>
        </w:tc>
        <w:tc>
          <w:tcPr>
            <w:tcW w:w="773" w:type="dxa"/>
            <w:vAlign w:val="center"/>
          </w:tcPr>
          <w:p w14:paraId="56EC66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3487</w:t>
            </w:r>
          </w:p>
        </w:tc>
        <w:tc>
          <w:tcPr>
            <w:tcW w:w="773" w:type="dxa"/>
            <w:vAlign w:val="center"/>
          </w:tcPr>
          <w:p w14:paraId="4633BE9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3471</w:t>
            </w:r>
          </w:p>
        </w:tc>
        <w:tc>
          <w:tcPr>
            <w:tcW w:w="773" w:type="dxa"/>
            <w:vAlign w:val="center"/>
          </w:tcPr>
          <w:p w14:paraId="4A23CC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3452</w:t>
            </w:r>
          </w:p>
        </w:tc>
        <w:tc>
          <w:tcPr>
            <w:tcW w:w="778" w:type="dxa"/>
            <w:vAlign w:val="center"/>
          </w:tcPr>
          <w:p w14:paraId="5A785A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3431</w:t>
            </w:r>
          </w:p>
        </w:tc>
        <w:tc>
          <w:tcPr>
            <w:tcW w:w="778" w:type="dxa"/>
            <w:vAlign w:val="center"/>
          </w:tcPr>
          <w:p w14:paraId="5640AD6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3411</w:t>
            </w:r>
          </w:p>
        </w:tc>
        <w:tc>
          <w:tcPr>
            <w:tcW w:w="778" w:type="dxa"/>
            <w:vAlign w:val="center"/>
          </w:tcPr>
          <w:p w14:paraId="0A4A6D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3391</w:t>
            </w:r>
          </w:p>
        </w:tc>
        <w:tc>
          <w:tcPr>
            <w:tcW w:w="841" w:type="dxa"/>
            <w:vAlign w:val="center"/>
          </w:tcPr>
          <w:p w14:paraId="644F94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3368</w:t>
            </w:r>
          </w:p>
        </w:tc>
        <w:tc>
          <w:tcPr>
            <w:tcW w:w="778" w:type="dxa"/>
            <w:vAlign w:val="center"/>
          </w:tcPr>
          <w:p w14:paraId="5BF89D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3348</w:t>
            </w:r>
          </w:p>
        </w:tc>
        <w:tc>
          <w:tcPr>
            <w:tcW w:w="779" w:type="dxa"/>
            <w:vAlign w:val="center"/>
          </w:tcPr>
          <w:p w14:paraId="6BC496B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3325</w:t>
            </w:r>
          </w:p>
        </w:tc>
      </w:tr>
      <w:tr w:rsidR="00FD50F6" w:rsidRPr="00FD50F6" w14:paraId="0BB0D43C" w14:textId="77777777" w:rsidTr="002B733E">
        <w:trPr>
          <w:trHeight w:val="397"/>
          <w:jc w:val="center"/>
        </w:trPr>
        <w:tc>
          <w:tcPr>
            <w:tcW w:w="705" w:type="dxa"/>
            <w:vAlign w:val="center"/>
          </w:tcPr>
          <w:p w14:paraId="17E3CCD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19360B0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73" w:type="dxa"/>
            <w:vAlign w:val="center"/>
          </w:tcPr>
          <w:p w14:paraId="4951EAD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73" w:type="dxa"/>
            <w:vAlign w:val="center"/>
          </w:tcPr>
          <w:p w14:paraId="66AB88D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73" w:type="dxa"/>
            <w:vAlign w:val="center"/>
          </w:tcPr>
          <w:p w14:paraId="5DAD32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778" w:type="dxa"/>
            <w:vAlign w:val="center"/>
          </w:tcPr>
          <w:p w14:paraId="5884255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778" w:type="dxa"/>
            <w:vAlign w:val="center"/>
          </w:tcPr>
          <w:p w14:paraId="60986BA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78" w:type="dxa"/>
            <w:vAlign w:val="center"/>
          </w:tcPr>
          <w:p w14:paraId="52665CE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841" w:type="dxa"/>
            <w:vAlign w:val="center"/>
          </w:tcPr>
          <w:p w14:paraId="3C06DA1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778" w:type="dxa"/>
            <w:vAlign w:val="center"/>
          </w:tcPr>
          <w:p w14:paraId="6DE98BD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79" w:type="dxa"/>
            <w:vAlign w:val="center"/>
          </w:tcPr>
          <w:p w14:paraId="33A63E4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2EE3C891" w14:textId="77777777" w:rsidTr="002B733E">
        <w:trPr>
          <w:trHeight w:val="397"/>
          <w:jc w:val="center"/>
        </w:trPr>
        <w:tc>
          <w:tcPr>
            <w:tcW w:w="705" w:type="dxa"/>
            <w:vAlign w:val="center"/>
          </w:tcPr>
          <w:p w14:paraId="19CAC7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135390A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1540</w:t>
            </w:r>
          </w:p>
        </w:tc>
        <w:tc>
          <w:tcPr>
            <w:tcW w:w="773" w:type="dxa"/>
            <w:vAlign w:val="center"/>
          </w:tcPr>
          <w:p w14:paraId="07E2124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1544</w:t>
            </w:r>
          </w:p>
        </w:tc>
        <w:tc>
          <w:tcPr>
            <w:tcW w:w="773" w:type="dxa"/>
            <w:vAlign w:val="center"/>
          </w:tcPr>
          <w:p w14:paraId="06E397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1546</w:t>
            </w:r>
          </w:p>
        </w:tc>
        <w:tc>
          <w:tcPr>
            <w:tcW w:w="773" w:type="dxa"/>
            <w:vAlign w:val="center"/>
          </w:tcPr>
          <w:p w14:paraId="642DE58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1546</w:t>
            </w:r>
          </w:p>
        </w:tc>
        <w:tc>
          <w:tcPr>
            <w:tcW w:w="778" w:type="dxa"/>
            <w:vAlign w:val="center"/>
          </w:tcPr>
          <w:p w14:paraId="4FCAB1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1498</w:t>
            </w:r>
          </w:p>
        </w:tc>
        <w:tc>
          <w:tcPr>
            <w:tcW w:w="778" w:type="dxa"/>
            <w:vAlign w:val="center"/>
          </w:tcPr>
          <w:p w14:paraId="2DF8019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1483</w:t>
            </w:r>
          </w:p>
        </w:tc>
        <w:tc>
          <w:tcPr>
            <w:tcW w:w="778" w:type="dxa"/>
            <w:vAlign w:val="center"/>
          </w:tcPr>
          <w:p w14:paraId="1E62CA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1475</w:t>
            </w:r>
          </w:p>
        </w:tc>
        <w:tc>
          <w:tcPr>
            <w:tcW w:w="841" w:type="dxa"/>
            <w:vAlign w:val="center"/>
          </w:tcPr>
          <w:p w14:paraId="4EFDF6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1471</w:t>
            </w:r>
          </w:p>
        </w:tc>
        <w:tc>
          <w:tcPr>
            <w:tcW w:w="778" w:type="dxa"/>
            <w:vAlign w:val="center"/>
          </w:tcPr>
          <w:p w14:paraId="7FDF7F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1442</w:t>
            </w:r>
          </w:p>
        </w:tc>
        <w:tc>
          <w:tcPr>
            <w:tcW w:w="779" w:type="dxa"/>
            <w:vAlign w:val="center"/>
          </w:tcPr>
          <w:p w14:paraId="3C26930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1419</w:t>
            </w:r>
          </w:p>
        </w:tc>
      </w:tr>
      <w:tr w:rsidR="00FD50F6" w:rsidRPr="00FD50F6" w14:paraId="1114692A" w14:textId="77777777" w:rsidTr="002B733E">
        <w:trPr>
          <w:trHeight w:val="397"/>
          <w:jc w:val="center"/>
        </w:trPr>
        <w:tc>
          <w:tcPr>
            <w:tcW w:w="705" w:type="dxa"/>
            <w:vAlign w:val="center"/>
          </w:tcPr>
          <w:p w14:paraId="739225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48BBAD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1887</w:t>
            </w:r>
          </w:p>
        </w:tc>
        <w:tc>
          <w:tcPr>
            <w:tcW w:w="773" w:type="dxa"/>
            <w:vAlign w:val="center"/>
          </w:tcPr>
          <w:p w14:paraId="62EB5B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1834</w:t>
            </w:r>
          </w:p>
        </w:tc>
        <w:tc>
          <w:tcPr>
            <w:tcW w:w="773" w:type="dxa"/>
            <w:vAlign w:val="center"/>
          </w:tcPr>
          <w:p w14:paraId="7A32DC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1787</w:t>
            </w:r>
          </w:p>
        </w:tc>
        <w:tc>
          <w:tcPr>
            <w:tcW w:w="773" w:type="dxa"/>
            <w:vAlign w:val="center"/>
          </w:tcPr>
          <w:p w14:paraId="0C36A4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1739</w:t>
            </w:r>
          </w:p>
        </w:tc>
        <w:tc>
          <w:tcPr>
            <w:tcW w:w="778" w:type="dxa"/>
            <w:vAlign w:val="center"/>
          </w:tcPr>
          <w:p w14:paraId="275D85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1097</w:t>
            </w:r>
          </w:p>
        </w:tc>
        <w:tc>
          <w:tcPr>
            <w:tcW w:w="778" w:type="dxa"/>
            <w:vAlign w:val="center"/>
          </w:tcPr>
          <w:p w14:paraId="49C4F9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894</w:t>
            </w:r>
          </w:p>
        </w:tc>
        <w:tc>
          <w:tcPr>
            <w:tcW w:w="778" w:type="dxa"/>
            <w:vAlign w:val="center"/>
          </w:tcPr>
          <w:p w14:paraId="249B87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802</w:t>
            </w:r>
          </w:p>
        </w:tc>
        <w:tc>
          <w:tcPr>
            <w:tcW w:w="841" w:type="dxa"/>
            <w:vAlign w:val="center"/>
          </w:tcPr>
          <w:p w14:paraId="7DA97B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797</w:t>
            </w:r>
          </w:p>
        </w:tc>
        <w:tc>
          <w:tcPr>
            <w:tcW w:w="778" w:type="dxa"/>
            <w:vAlign w:val="center"/>
          </w:tcPr>
          <w:p w14:paraId="69F228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797</w:t>
            </w:r>
          </w:p>
        </w:tc>
        <w:tc>
          <w:tcPr>
            <w:tcW w:w="779" w:type="dxa"/>
            <w:vAlign w:val="center"/>
          </w:tcPr>
          <w:p w14:paraId="0A0586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729</w:t>
            </w:r>
          </w:p>
        </w:tc>
      </w:tr>
      <w:tr w:rsidR="00FD50F6" w:rsidRPr="00FD50F6" w14:paraId="26593E74" w14:textId="77777777" w:rsidTr="002B733E">
        <w:trPr>
          <w:trHeight w:val="397"/>
          <w:jc w:val="center"/>
        </w:trPr>
        <w:tc>
          <w:tcPr>
            <w:tcW w:w="705" w:type="dxa"/>
            <w:vAlign w:val="center"/>
          </w:tcPr>
          <w:p w14:paraId="57133AA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17BE4D6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773" w:type="dxa"/>
            <w:vAlign w:val="center"/>
          </w:tcPr>
          <w:p w14:paraId="7AABFA0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773" w:type="dxa"/>
            <w:vAlign w:val="center"/>
          </w:tcPr>
          <w:p w14:paraId="32A3AC5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73" w:type="dxa"/>
            <w:vAlign w:val="center"/>
          </w:tcPr>
          <w:p w14:paraId="4C168E3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778" w:type="dxa"/>
            <w:vAlign w:val="center"/>
          </w:tcPr>
          <w:p w14:paraId="185BD32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778" w:type="dxa"/>
            <w:vAlign w:val="center"/>
          </w:tcPr>
          <w:p w14:paraId="15C0C8A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78" w:type="dxa"/>
            <w:vAlign w:val="center"/>
          </w:tcPr>
          <w:p w14:paraId="1FDE72B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841" w:type="dxa"/>
            <w:vAlign w:val="center"/>
          </w:tcPr>
          <w:p w14:paraId="33E33A8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778" w:type="dxa"/>
            <w:vAlign w:val="center"/>
          </w:tcPr>
          <w:p w14:paraId="2F4956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79" w:type="dxa"/>
            <w:vAlign w:val="center"/>
          </w:tcPr>
          <w:p w14:paraId="2B924B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0301A37B" w14:textId="77777777" w:rsidTr="002B733E">
        <w:trPr>
          <w:trHeight w:val="397"/>
          <w:jc w:val="center"/>
        </w:trPr>
        <w:tc>
          <w:tcPr>
            <w:tcW w:w="705" w:type="dxa"/>
            <w:vAlign w:val="center"/>
          </w:tcPr>
          <w:p w14:paraId="48BDBF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326B8F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1422</w:t>
            </w:r>
          </w:p>
        </w:tc>
        <w:tc>
          <w:tcPr>
            <w:tcW w:w="773" w:type="dxa"/>
            <w:vAlign w:val="center"/>
          </w:tcPr>
          <w:p w14:paraId="637FED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1422</w:t>
            </w:r>
          </w:p>
        </w:tc>
        <w:tc>
          <w:tcPr>
            <w:tcW w:w="773" w:type="dxa"/>
            <w:vAlign w:val="center"/>
          </w:tcPr>
          <w:p w14:paraId="3DC5170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1395</w:t>
            </w:r>
          </w:p>
        </w:tc>
        <w:tc>
          <w:tcPr>
            <w:tcW w:w="773" w:type="dxa"/>
            <w:vAlign w:val="center"/>
          </w:tcPr>
          <w:p w14:paraId="4D10BD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1326</w:t>
            </w:r>
          </w:p>
        </w:tc>
        <w:tc>
          <w:tcPr>
            <w:tcW w:w="778" w:type="dxa"/>
            <w:vAlign w:val="center"/>
          </w:tcPr>
          <w:p w14:paraId="164E81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1307</w:t>
            </w:r>
          </w:p>
        </w:tc>
        <w:tc>
          <w:tcPr>
            <w:tcW w:w="778" w:type="dxa"/>
            <w:vAlign w:val="center"/>
          </w:tcPr>
          <w:p w14:paraId="5CC5E4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1308</w:t>
            </w:r>
          </w:p>
        </w:tc>
        <w:tc>
          <w:tcPr>
            <w:tcW w:w="778" w:type="dxa"/>
            <w:vAlign w:val="center"/>
          </w:tcPr>
          <w:p w14:paraId="2EE7EE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1305</w:t>
            </w:r>
          </w:p>
        </w:tc>
        <w:tc>
          <w:tcPr>
            <w:tcW w:w="841" w:type="dxa"/>
            <w:vAlign w:val="center"/>
          </w:tcPr>
          <w:p w14:paraId="12B3D1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1298</w:t>
            </w:r>
          </w:p>
        </w:tc>
        <w:tc>
          <w:tcPr>
            <w:tcW w:w="778" w:type="dxa"/>
            <w:vAlign w:val="center"/>
          </w:tcPr>
          <w:p w14:paraId="178285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1252</w:t>
            </w:r>
          </w:p>
        </w:tc>
        <w:tc>
          <w:tcPr>
            <w:tcW w:w="779" w:type="dxa"/>
            <w:vAlign w:val="center"/>
          </w:tcPr>
          <w:p w14:paraId="0535FB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1240</w:t>
            </w:r>
          </w:p>
        </w:tc>
      </w:tr>
      <w:tr w:rsidR="00FD50F6" w:rsidRPr="00FD50F6" w14:paraId="44629AA3" w14:textId="77777777" w:rsidTr="002B733E">
        <w:trPr>
          <w:trHeight w:val="397"/>
          <w:jc w:val="center"/>
        </w:trPr>
        <w:tc>
          <w:tcPr>
            <w:tcW w:w="705" w:type="dxa"/>
            <w:vAlign w:val="center"/>
          </w:tcPr>
          <w:p w14:paraId="70E94E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4164DE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726</w:t>
            </w:r>
          </w:p>
        </w:tc>
        <w:tc>
          <w:tcPr>
            <w:tcW w:w="773" w:type="dxa"/>
            <w:vAlign w:val="center"/>
          </w:tcPr>
          <w:p w14:paraId="55C0B2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682</w:t>
            </w:r>
          </w:p>
        </w:tc>
        <w:tc>
          <w:tcPr>
            <w:tcW w:w="773" w:type="dxa"/>
            <w:vAlign w:val="center"/>
          </w:tcPr>
          <w:p w14:paraId="5C85FB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603</w:t>
            </w:r>
          </w:p>
        </w:tc>
        <w:tc>
          <w:tcPr>
            <w:tcW w:w="773" w:type="dxa"/>
            <w:vAlign w:val="center"/>
          </w:tcPr>
          <w:p w14:paraId="1B107B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480</w:t>
            </w:r>
          </w:p>
        </w:tc>
        <w:tc>
          <w:tcPr>
            <w:tcW w:w="778" w:type="dxa"/>
            <w:vAlign w:val="center"/>
          </w:tcPr>
          <w:p w14:paraId="626D6C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464</w:t>
            </w:r>
          </w:p>
        </w:tc>
        <w:tc>
          <w:tcPr>
            <w:tcW w:w="778" w:type="dxa"/>
            <w:vAlign w:val="center"/>
          </w:tcPr>
          <w:p w14:paraId="1ADF140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440</w:t>
            </w:r>
          </w:p>
        </w:tc>
        <w:tc>
          <w:tcPr>
            <w:tcW w:w="778" w:type="dxa"/>
            <w:vAlign w:val="center"/>
          </w:tcPr>
          <w:p w14:paraId="7B10AB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401</w:t>
            </w:r>
          </w:p>
        </w:tc>
        <w:tc>
          <w:tcPr>
            <w:tcW w:w="841" w:type="dxa"/>
            <w:vAlign w:val="center"/>
          </w:tcPr>
          <w:p w14:paraId="4989C4B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375</w:t>
            </w:r>
          </w:p>
        </w:tc>
        <w:tc>
          <w:tcPr>
            <w:tcW w:w="778" w:type="dxa"/>
            <w:vAlign w:val="center"/>
          </w:tcPr>
          <w:p w14:paraId="454C0B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337</w:t>
            </w:r>
          </w:p>
        </w:tc>
        <w:tc>
          <w:tcPr>
            <w:tcW w:w="779" w:type="dxa"/>
            <w:vAlign w:val="center"/>
          </w:tcPr>
          <w:p w14:paraId="116AAC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321</w:t>
            </w:r>
          </w:p>
        </w:tc>
      </w:tr>
      <w:tr w:rsidR="00FD50F6" w:rsidRPr="00FD50F6" w14:paraId="7D34DBA7" w14:textId="77777777" w:rsidTr="002B733E">
        <w:trPr>
          <w:trHeight w:val="397"/>
          <w:jc w:val="center"/>
        </w:trPr>
        <w:tc>
          <w:tcPr>
            <w:tcW w:w="705" w:type="dxa"/>
            <w:vAlign w:val="center"/>
          </w:tcPr>
          <w:p w14:paraId="15D343E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64E16D0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773" w:type="dxa"/>
            <w:vAlign w:val="center"/>
          </w:tcPr>
          <w:p w14:paraId="371FA90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773" w:type="dxa"/>
            <w:vAlign w:val="center"/>
          </w:tcPr>
          <w:p w14:paraId="54A3B64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73" w:type="dxa"/>
            <w:vAlign w:val="center"/>
          </w:tcPr>
          <w:p w14:paraId="279481A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778" w:type="dxa"/>
            <w:vAlign w:val="center"/>
          </w:tcPr>
          <w:p w14:paraId="073DF46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778" w:type="dxa"/>
            <w:vAlign w:val="center"/>
          </w:tcPr>
          <w:p w14:paraId="6ED5D10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78" w:type="dxa"/>
            <w:vAlign w:val="center"/>
          </w:tcPr>
          <w:p w14:paraId="1BC01F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841" w:type="dxa"/>
            <w:vAlign w:val="center"/>
          </w:tcPr>
          <w:p w14:paraId="34819E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778" w:type="dxa"/>
            <w:vAlign w:val="center"/>
          </w:tcPr>
          <w:p w14:paraId="6BBD315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79" w:type="dxa"/>
            <w:vAlign w:val="center"/>
          </w:tcPr>
          <w:p w14:paraId="5419CF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2B7077A0" w14:textId="77777777" w:rsidTr="002B733E">
        <w:trPr>
          <w:trHeight w:val="397"/>
          <w:jc w:val="center"/>
        </w:trPr>
        <w:tc>
          <w:tcPr>
            <w:tcW w:w="705" w:type="dxa"/>
            <w:vAlign w:val="center"/>
          </w:tcPr>
          <w:p w14:paraId="6FDB90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554B06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1166</w:t>
            </w:r>
          </w:p>
        </w:tc>
        <w:tc>
          <w:tcPr>
            <w:tcW w:w="773" w:type="dxa"/>
            <w:vAlign w:val="center"/>
          </w:tcPr>
          <w:p w14:paraId="3A4F11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1121</w:t>
            </w:r>
          </w:p>
        </w:tc>
        <w:tc>
          <w:tcPr>
            <w:tcW w:w="773" w:type="dxa"/>
            <w:vAlign w:val="center"/>
          </w:tcPr>
          <w:p w14:paraId="065876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812</w:t>
            </w:r>
          </w:p>
        </w:tc>
        <w:tc>
          <w:tcPr>
            <w:tcW w:w="773" w:type="dxa"/>
            <w:vAlign w:val="center"/>
          </w:tcPr>
          <w:p w14:paraId="0ACB60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812</w:t>
            </w:r>
          </w:p>
        </w:tc>
        <w:tc>
          <w:tcPr>
            <w:tcW w:w="778" w:type="dxa"/>
            <w:vAlign w:val="center"/>
          </w:tcPr>
          <w:p w14:paraId="37456E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717</w:t>
            </w:r>
          </w:p>
        </w:tc>
        <w:tc>
          <w:tcPr>
            <w:tcW w:w="778" w:type="dxa"/>
            <w:vAlign w:val="center"/>
          </w:tcPr>
          <w:p w14:paraId="7DBA6D8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717</w:t>
            </w:r>
          </w:p>
        </w:tc>
        <w:tc>
          <w:tcPr>
            <w:tcW w:w="778" w:type="dxa"/>
            <w:vAlign w:val="center"/>
          </w:tcPr>
          <w:p w14:paraId="740971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677</w:t>
            </w:r>
          </w:p>
        </w:tc>
        <w:tc>
          <w:tcPr>
            <w:tcW w:w="841" w:type="dxa"/>
            <w:vAlign w:val="center"/>
          </w:tcPr>
          <w:p w14:paraId="294957C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677</w:t>
            </w:r>
          </w:p>
        </w:tc>
        <w:tc>
          <w:tcPr>
            <w:tcW w:w="778" w:type="dxa"/>
            <w:vAlign w:val="center"/>
          </w:tcPr>
          <w:p w14:paraId="7DB906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493</w:t>
            </w:r>
          </w:p>
        </w:tc>
        <w:tc>
          <w:tcPr>
            <w:tcW w:w="779" w:type="dxa"/>
            <w:vAlign w:val="center"/>
          </w:tcPr>
          <w:p w14:paraId="3E2BA54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493</w:t>
            </w:r>
          </w:p>
        </w:tc>
      </w:tr>
      <w:tr w:rsidR="00FD50F6" w:rsidRPr="00FD50F6" w14:paraId="079FF97A" w14:textId="77777777" w:rsidTr="002B733E">
        <w:trPr>
          <w:trHeight w:val="397"/>
          <w:jc w:val="center"/>
        </w:trPr>
        <w:tc>
          <w:tcPr>
            <w:tcW w:w="705" w:type="dxa"/>
            <w:vAlign w:val="center"/>
          </w:tcPr>
          <w:p w14:paraId="14A9FF0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58A8A6F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285</w:t>
            </w:r>
          </w:p>
        </w:tc>
        <w:tc>
          <w:tcPr>
            <w:tcW w:w="773" w:type="dxa"/>
            <w:vAlign w:val="center"/>
          </w:tcPr>
          <w:p w14:paraId="59198D1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190</w:t>
            </w:r>
          </w:p>
        </w:tc>
        <w:tc>
          <w:tcPr>
            <w:tcW w:w="773" w:type="dxa"/>
            <w:vAlign w:val="center"/>
          </w:tcPr>
          <w:p w14:paraId="4446C3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190</w:t>
            </w:r>
          </w:p>
        </w:tc>
        <w:tc>
          <w:tcPr>
            <w:tcW w:w="773" w:type="dxa"/>
            <w:vAlign w:val="center"/>
          </w:tcPr>
          <w:p w14:paraId="69BCB5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8" w:type="dxa"/>
            <w:vAlign w:val="center"/>
          </w:tcPr>
          <w:p w14:paraId="0795889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8" w:type="dxa"/>
            <w:vAlign w:val="center"/>
          </w:tcPr>
          <w:p w14:paraId="0EA64D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c>
          <w:tcPr>
            <w:tcW w:w="778" w:type="dxa"/>
            <w:vAlign w:val="center"/>
          </w:tcPr>
          <w:p w14:paraId="1CF6C0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c>
          <w:tcPr>
            <w:tcW w:w="841" w:type="dxa"/>
            <w:vAlign w:val="center"/>
          </w:tcPr>
          <w:p w14:paraId="413262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w:t>
            </w:r>
          </w:p>
        </w:tc>
        <w:tc>
          <w:tcPr>
            <w:tcW w:w="778" w:type="dxa"/>
            <w:vAlign w:val="center"/>
          </w:tcPr>
          <w:p w14:paraId="45062A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w:t>
            </w:r>
          </w:p>
        </w:tc>
        <w:tc>
          <w:tcPr>
            <w:tcW w:w="779" w:type="dxa"/>
            <w:vAlign w:val="center"/>
          </w:tcPr>
          <w:p w14:paraId="1886D4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w:t>
            </w:r>
          </w:p>
        </w:tc>
      </w:tr>
      <w:tr w:rsidR="00FD50F6" w:rsidRPr="00FD50F6" w14:paraId="6A35EC72" w14:textId="77777777" w:rsidTr="002B733E">
        <w:trPr>
          <w:trHeight w:val="397"/>
          <w:jc w:val="center"/>
        </w:trPr>
        <w:tc>
          <w:tcPr>
            <w:tcW w:w="705" w:type="dxa"/>
            <w:vAlign w:val="center"/>
          </w:tcPr>
          <w:p w14:paraId="1F3267B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6BC2436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773" w:type="dxa"/>
            <w:vAlign w:val="center"/>
          </w:tcPr>
          <w:p w14:paraId="16A1AC4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773" w:type="dxa"/>
            <w:vAlign w:val="center"/>
          </w:tcPr>
          <w:p w14:paraId="535AE70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73" w:type="dxa"/>
            <w:vAlign w:val="center"/>
          </w:tcPr>
          <w:p w14:paraId="615EAD9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0s</w:t>
            </w:r>
          </w:p>
        </w:tc>
        <w:tc>
          <w:tcPr>
            <w:tcW w:w="778" w:type="dxa"/>
            <w:vAlign w:val="center"/>
          </w:tcPr>
          <w:p w14:paraId="0836923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1s</w:t>
            </w:r>
          </w:p>
        </w:tc>
        <w:tc>
          <w:tcPr>
            <w:tcW w:w="778" w:type="dxa"/>
            <w:vAlign w:val="center"/>
          </w:tcPr>
          <w:p w14:paraId="3092F97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2s</w:t>
            </w:r>
          </w:p>
        </w:tc>
        <w:tc>
          <w:tcPr>
            <w:tcW w:w="778" w:type="dxa"/>
            <w:vAlign w:val="center"/>
          </w:tcPr>
          <w:p w14:paraId="1179A67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3s</w:t>
            </w:r>
          </w:p>
        </w:tc>
        <w:tc>
          <w:tcPr>
            <w:tcW w:w="841" w:type="dxa"/>
            <w:vAlign w:val="center"/>
          </w:tcPr>
          <w:p w14:paraId="02F3373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4s</w:t>
            </w:r>
          </w:p>
        </w:tc>
        <w:tc>
          <w:tcPr>
            <w:tcW w:w="778" w:type="dxa"/>
            <w:vAlign w:val="center"/>
          </w:tcPr>
          <w:p w14:paraId="4798E2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b/>
                <w:sz w:val="18"/>
                <w:szCs w:val="24"/>
              </w:rPr>
              <w:t>a</w:t>
            </w:r>
          </w:p>
        </w:tc>
        <w:tc>
          <w:tcPr>
            <w:tcW w:w="779" w:type="dxa"/>
            <w:vAlign w:val="center"/>
          </w:tcPr>
          <w:p w14:paraId="4F4020C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b/>
                <w:sz w:val="18"/>
                <w:szCs w:val="24"/>
              </w:rPr>
              <w:t>a</w:t>
            </w:r>
          </w:p>
        </w:tc>
      </w:tr>
      <w:tr w:rsidR="00FD50F6" w:rsidRPr="00FD50F6" w14:paraId="67A727F9" w14:textId="77777777" w:rsidTr="002B733E">
        <w:trPr>
          <w:trHeight w:val="397"/>
          <w:jc w:val="center"/>
        </w:trPr>
        <w:tc>
          <w:tcPr>
            <w:tcW w:w="705" w:type="dxa"/>
            <w:vAlign w:val="center"/>
          </w:tcPr>
          <w:p w14:paraId="31BCCB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32CB37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w:t>
            </w:r>
          </w:p>
        </w:tc>
        <w:tc>
          <w:tcPr>
            <w:tcW w:w="773" w:type="dxa"/>
            <w:vAlign w:val="center"/>
          </w:tcPr>
          <w:p w14:paraId="391135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w:t>
            </w:r>
          </w:p>
        </w:tc>
        <w:tc>
          <w:tcPr>
            <w:tcW w:w="773" w:type="dxa"/>
            <w:vAlign w:val="center"/>
          </w:tcPr>
          <w:p w14:paraId="6437D2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3" w:type="dxa"/>
            <w:vAlign w:val="center"/>
          </w:tcPr>
          <w:p w14:paraId="4C89A8F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8" w:type="dxa"/>
            <w:vAlign w:val="center"/>
          </w:tcPr>
          <w:p w14:paraId="582392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521</w:t>
            </w:r>
          </w:p>
        </w:tc>
        <w:tc>
          <w:tcPr>
            <w:tcW w:w="778" w:type="dxa"/>
            <w:vAlign w:val="center"/>
          </w:tcPr>
          <w:p w14:paraId="67B153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593</w:t>
            </w:r>
          </w:p>
        </w:tc>
        <w:tc>
          <w:tcPr>
            <w:tcW w:w="778" w:type="dxa"/>
            <w:vAlign w:val="center"/>
          </w:tcPr>
          <w:p w14:paraId="18D909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637</w:t>
            </w:r>
          </w:p>
        </w:tc>
        <w:tc>
          <w:tcPr>
            <w:tcW w:w="841" w:type="dxa"/>
            <w:vAlign w:val="center"/>
          </w:tcPr>
          <w:p w14:paraId="5960B6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775</w:t>
            </w:r>
          </w:p>
        </w:tc>
        <w:tc>
          <w:tcPr>
            <w:tcW w:w="778" w:type="dxa"/>
            <w:vAlign w:val="center"/>
          </w:tcPr>
          <w:p w14:paraId="6E39CD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9" w:type="dxa"/>
            <w:vAlign w:val="center"/>
          </w:tcPr>
          <w:p w14:paraId="3A9E58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521</w:t>
            </w:r>
          </w:p>
        </w:tc>
      </w:tr>
      <w:tr w:rsidR="00FD50F6" w:rsidRPr="00FD50F6" w14:paraId="27C06378" w14:textId="77777777" w:rsidTr="002B733E">
        <w:trPr>
          <w:trHeight w:val="397"/>
          <w:jc w:val="center"/>
        </w:trPr>
        <w:tc>
          <w:tcPr>
            <w:tcW w:w="705" w:type="dxa"/>
            <w:vAlign w:val="center"/>
          </w:tcPr>
          <w:p w14:paraId="12B57A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573075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w:t>
            </w:r>
          </w:p>
        </w:tc>
        <w:tc>
          <w:tcPr>
            <w:tcW w:w="773" w:type="dxa"/>
            <w:vAlign w:val="center"/>
          </w:tcPr>
          <w:p w14:paraId="792208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w:t>
            </w:r>
          </w:p>
        </w:tc>
        <w:tc>
          <w:tcPr>
            <w:tcW w:w="773" w:type="dxa"/>
            <w:vAlign w:val="center"/>
          </w:tcPr>
          <w:p w14:paraId="29BF9B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w:t>
            </w:r>
          </w:p>
        </w:tc>
        <w:tc>
          <w:tcPr>
            <w:tcW w:w="773" w:type="dxa"/>
            <w:vAlign w:val="center"/>
          </w:tcPr>
          <w:p w14:paraId="36B452F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4040</w:t>
            </w:r>
          </w:p>
        </w:tc>
        <w:tc>
          <w:tcPr>
            <w:tcW w:w="778" w:type="dxa"/>
            <w:vAlign w:val="center"/>
          </w:tcPr>
          <w:p w14:paraId="3EDF06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4027</w:t>
            </w:r>
          </w:p>
        </w:tc>
        <w:tc>
          <w:tcPr>
            <w:tcW w:w="778" w:type="dxa"/>
            <w:vAlign w:val="center"/>
          </w:tcPr>
          <w:p w14:paraId="0D0B13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4001</w:t>
            </w:r>
          </w:p>
        </w:tc>
        <w:tc>
          <w:tcPr>
            <w:tcW w:w="778" w:type="dxa"/>
            <w:vAlign w:val="center"/>
          </w:tcPr>
          <w:p w14:paraId="7CFD01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3960</w:t>
            </w:r>
          </w:p>
        </w:tc>
        <w:tc>
          <w:tcPr>
            <w:tcW w:w="841" w:type="dxa"/>
            <w:vAlign w:val="center"/>
          </w:tcPr>
          <w:p w14:paraId="112E4D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3814</w:t>
            </w:r>
          </w:p>
        </w:tc>
        <w:tc>
          <w:tcPr>
            <w:tcW w:w="778" w:type="dxa"/>
            <w:vAlign w:val="center"/>
          </w:tcPr>
          <w:p w14:paraId="3867EE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46</w:t>
            </w:r>
            <w:r w:rsidRPr="00FD50F6">
              <w:rPr>
                <w:rFonts w:ascii="Calibri" w:hAnsi="Calibri" w:cs="Times New Roman" w:hint="eastAsia"/>
                <w:sz w:val="18"/>
                <w:szCs w:val="24"/>
              </w:rPr>
              <w:t>00</w:t>
            </w:r>
          </w:p>
        </w:tc>
        <w:tc>
          <w:tcPr>
            <w:tcW w:w="779" w:type="dxa"/>
            <w:vAlign w:val="center"/>
          </w:tcPr>
          <w:p w14:paraId="064889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4587</w:t>
            </w:r>
          </w:p>
        </w:tc>
      </w:tr>
      <w:tr w:rsidR="00FD50F6" w:rsidRPr="00FD50F6" w14:paraId="160F3C93" w14:textId="77777777" w:rsidTr="002B733E">
        <w:trPr>
          <w:trHeight w:val="397"/>
          <w:jc w:val="center"/>
        </w:trPr>
        <w:tc>
          <w:tcPr>
            <w:tcW w:w="705" w:type="dxa"/>
            <w:vAlign w:val="center"/>
          </w:tcPr>
          <w:p w14:paraId="1AB4AED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2" w:type="dxa"/>
            <w:vAlign w:val="center"/>
          </w:tcPr>
          <w:p w14:paraId="20A4231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b/>
                <w:sz w:val="18"/>
                <w:szCs w:val="24"/>
              </w:rPr>
              <w:t>a</w:t>
            </w:r>
          </w:p>
        </w:tc>
        <w:tc>
          <w:tcPr>
            <w:tcW w:w="773" w:type="dxa"/>
            <w:vAlign w:val="center"/>
          </w:tcPr>
          <w:p w14:paraId="53E2A0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b/>
                <w:sz w:val="18"/>
                <w:szCs w:val="24"/>
              </w:rPr>
              <w:t>a</w:t>
            </w:r>
          </w:p>
        </w:tc>
        <w:tc>
          <w:tcPr>
            <w:tcW w:w="773" w:type="dxa"/>
            <w:vAlign w:val="center"/>
          </w:tcPr>
          <w:p w14:paraId="382931A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b/>
                <w:sz w:val="18"/>
                <w:szCs w:val="24"/>
              </w:rPr>
              <w:t>a</w:t>
            </w:r>
          </w:p>
        </w:tc>
        <w:tc>
          <w:tcPr>
            <w:tcW w:w="773" w:type="dxa"/>
            <w:vAlign w:val="center"/>
          </w:tcPr>
          <w:p w14:paraId="1F638F9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b/>
                <w:sz w:val="18"/>
                <w:szCs w:val="24"/>
              </w:rPr>
              <w:t>k</w:t>
            </w:r>
          </w:p>
        </w:tc>
        <w:tc>
          <w:tcPr>
            <w:tcW w:w="778" w:type="dxa"/>
            <w:vAlign w:val="center"/>
          </w:tcPr>
          <w:p w14:paraId="49877FB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b/>
                <w:sz w:val="18"/>
                <w:szCs w:val="24"/>
              </w:rPr>
              <w:t>k</w:t>
            </w:r>
          </w:p>
        </w:tc>
        <w:tc>
          <w:tcPr>
            <w:tcW w:w="778" w:type="dxa"/>
            <w:vAlign w:val="center"/>
          </w:tcPr>
          <w:p w14:paraId="6E3BB21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b/>
                <w:sz w:val="18"/>
                <w:szCs w:val="24"/>
              </w:rPr>
              <w:t>k</w:t>
            </w:r>
          </w:p>
        </w:tc>
        <w:tc>
          <w:tcPr>
            <w:tcW w:w="778" w:type="dxa"/>
            <w:vAlign w:val="center"/>
          </w:tcPr>
          <w:p w14:paraId="032B62E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b/>
                <w:sz w:val="18"/>
                <w:szCs w:val="24"/>
              </w:rPr>
              <w:t>k</w:t>
            </w:r>
          </w:p>
        </w:tc>
        <w:tc>
          <w:tcPr>
            <w:tcW w:w="841" w:type="dxa"/>
            <w:vAlign w:val="center"/>
          </w:tcPr>
          <w:p w14:paraId="327D6C2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b/>
                <w:sz w:val="18"/>
                <w:szCs w:val="24"/>
              </w:rPr>
              <w:t>k</w:t>
            </w:r>
          </w:p>
        </w:tc>
        <w:tc>
          <w:tcPr>
            <w:tcW w:w="778" w:type="dxa"/>
            <w:vAlign w:val="center"/>
          </w:tcPr>
          <w:p w14:paraId="10AB6E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79" w:type="dxa"/>
            <w:vAlign w:val="center"/>
          </w:tcPr>
          <w:p w14:paraId="1BCCAC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7E802A44" w14:textId="77777777" w:rsidTr="002B733E">
        <w:trPr>
          <w:trHeight w:val="397"/>
          <w:jc w:val="center"/>
        </w:trPr>
        <w:tc>
          <w:tcPr>
            <w:tcW w:w="705" w:type="dxa"/>
            <w:vAlign w:val="center"/>
          </w:tcPr>
          <w:p w14:paraId="61939B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2" w:type="dxa"/>
            <w:vAlign w:val="center"/>
          </w:tcPr>
          <w:p w14:paraId="76AF749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593</w:t>
            </w:r>
          </w:p>
        </w:tc>
        <w:tc>
          <w:tcPr>
            <w:tcW w:w="773" w:type="dxa"/>
            <w:vAlign w:val="center"/>
          </w:tcPr>
          <w:p w14:paraId="4419D5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637</w:t>
            </w:r>
          </w:p>
        </w:tc>
        <w:tc>
          <w:tcPr>
            <w:tcW w:w="773" w:type="dxa"/>
            <w:vAlign w:val="center"/>
          </w:tcPr>
          <w:p w14:paraId="2E11EC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775</w:t>
            </w:r>
          </w:p>
        </w:tc>
        <w:tc>
          <w:tcPr>
            <w:tcW w:w="773" w:type="dxa"/>
            <w:vAlign w:val="center"/>
          </w:tcPr>
          <w:p w14:paraId="00B201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8" w:type="dxa"/>
            <w:vAlign w:val="center"/>
          </w:tcPr>
          <w:p w14:paraId="47EC30E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521</w:t>
            </w:r>
          </w:p>
        </w:tc>
        <w:tc>
          <w:tcPr>
            <w:tcW w:w="778" w:type="dxa"/>
            <w:vAlign w:val="center"/>
          </w:tcPr>
          <w:p w14:paraId="4B1D8E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593</w:t>
            </w:r>
          </w:p>
        </w:tc>
        <w:tc>
          <w:tcPr>
            <w:tcW w:w="778" w:type="dxa"/>
            <w:vAlign w:val="center"/>
          </w:tcPr>
          <w:p w14:paraId="47E41B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637</w:t>
            </w:r>
          </w:p>
        </w:tc>
        <w:tc>
          <w:tcPr>
            <w:tcW w:w="841" w:type="dxa"/>
            <w:vAlign w:val="center"/>
          </w:tcPr>
          <w:p w14:paraId="14FB39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775</w:t>
            </w:r>
          </w:p>
        </w:tc>
        <w:tc>
          <w:tcPr>
            <w:tcW w:w="778" w:type="dxa"/>
            <w:vAlign w:val="center"/>
          </w:tcPr>
          <w:p w14:paraId="04DC6E0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79" w:type="dxa"/>
            <w:vAlign w:val="center"/>
          </w:tcPr>
          <w:p w14:paraId="1774FFA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0320D20A" w14:textId="77777777" w:rsidTr="002B733E">
        <w:trPr>
          <w:trHeight w:val="397"/>
          <w:jc w:val="center"/>
        </w:trPr>
        <w:tc>
          <w:tcPr>
            <w:tcW w:w="705" w:type="dxa"/>
            <w:vAlign w:val="center"/>
          </w:tcPr>
          <w:p w14:paraId="15E25D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2" w:type="dxa"/>
            <w:vAlign w:val="center"/>
          </w:tcPr>
          <w:p w14:paraId="283A24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4561</w:t>
            </w:r>
          </w:p>
        </w:tc>
        <w:tc>
          <w:tcPr>
            <w:tcW w:w="773" w:type="dxa"/>
            <w:vAlign w:val="center"/>
          </w:tcPr>
          <w:p w14:paraId="598D1B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4520</w:t>
            </w:r>
          </w:p>
        </w:tc>
        <w:tc>
          <w:tcPr>
            <w:tcW w:w="773" w:type="dxa"/>
            <w:vAlign w:val="center"/>
          </w:tcPr>
          <w:p w14:paraId="15656B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4374</w:t>
            </w:r>
          </w:p>
        </w:tc>
        <w:tc>
          <w:tcPr>
            <w:tcW w:w="773" w:type="dxa"/>
            <w:vAlign w:val="center"/>
          </w:tcPr>
          <w:p w14:paraId="6ED036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50</w:t>
            </w:r>
            <w:r w:rsidRPr="00FD50F6">
              <w:rPr>
                <w:rFonts w:ascii="Calibri" w:hAnsi="Calibri" w:cs="Times New Roman" w:hint="eastAsia"/>
                <w:sz w:val="18"/>
                <w:szCs w:val="24"/>
              </w:rPr>
              <w:t>00</w:t>
            </w:r>
          </w:p>
        </w:tc>
        <w:tc>
          <w:tcPr>
            <w:tcW w:w="778" w:type="dxa"/>
            <w:vAlign w:val="center"/>
          </w:tcPr>
          <w:p w14:paraId="44DA5F5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4987</w:t>
            </w:r>
          </w:p>
        </w:tc>
        <w:tc>
          <w:tcPr>
            <w:tcW w:w="778" w:type="dxa"/>
            <w:vAlign w:val="center"/>
          </w:tcPr>
          <w:p w14:paraId="0888D8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4961</w:t>
            </w:r>
          </w:p>
        </w:tc>
        <w:tc>
          <w:tcPr>
            <w:tcW w:w="778" w:type="dxa"/>
            <w:vAlign w:val="center"/>
          </w:tcPr>
          <w:p w14:paraId="04EBAF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4920</w:t>
            </w:r>
          </w:p>
        </w:tc>
        <w:tc>
          <w:tcPr>
            <w:tcW w:w="841" w:type="dxa"/>
            <w:vAlign w:val="center"/>
          </w:tcPr>
          <w:p w14:paraId="60CB87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4774</w:t>
            </w:r>
          </w:p>
        </w:tc>
        <w:tc>
          <w:tcPr>
            <w:tcW w:w="778" w:type="dxa"/>
            <w:vAlign w:val="center"/>
          </w:tcPr>
          <w:p w14:paraId="7B23C0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79" w:type="dxa"/>
            <w:vAlign w:val="center"/>
          </w:tcPr>
          <w:p w14:paraId="25A9EE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1D2674A5" w14:textId="77777777" w:rsidR="002B733E" w:rsidRPr="00FD50F6" w:rsidRDefault="002B733E" w:rsidP="002B733E">
      <w:pPr>
        <w:spacing w:line="340" w:lineRule="exact"/>
        <w:jc w:val="left"/>
        <w:rPr>
          <w:rFonts w:ascii="Calibri" w:hAnsi="Calibri" w:cs="Times New Roman"/>
          <w:sz w:val="18"/>
          <w:szCs w:val="24"/>
        </w:rPr>
      </w:pPr>
      <w:r w:rsidRPr="00FD50F6">
        <w:rPr>
          <w:rFonts w:ascii="Calibri" w:hAnsi="Calibri" w:cs="Times New Roman" w:hint="eastAsia"/>
          <w:sz w:val="18"/>
          <w:szCs w:val="24"/>
        </w:rPr>
        <w:t>注：表中第</w:t>
      </w:r>
      <w:r w:rsidRPr="00FD50F6">
        <w:rPr>
          <w:rFonts w:ascii="Calibri" w:hAnsi="Calibri" w:cs="Times New Roman" w:hint="eastAsia"/>
          <w:sz w:val="18"/>
          <w:szCs w:val="24"/>
        </w:rPr>
        <w:t>1</w:t>
      </w:r>
      <w:r w:rsidRPr="00FD50F6">
        <w:rPr>
          <w:rFonts w:ascii="Calibri" w:hAnsi="Calibri" w:cs="Times New Roman" w:hint="eastAsia"/>
          <w:sz w:val="18"/>
          <w:szCs w:val="24"/>
        </w:rPr>
        <w:t>～</w:t>
      </w:r>
      <w:r w:rsidRPr="00FD50F6">
        <w:rPr>
          <w:rFonts w:ascii="Calibri" w:hAnsi="Calibri" w:cs="Times New Roman" w:hint="eastAsia"/>
          <w:sz w:val="18"/>
          <w:szCs w:val="24"/>
        </w:rPr>
        <w:t>41</w:t>
      </w:r>
      <w:r w:rsidRPr="00FD50F6">
        <w:rPr>
          <w:rFonts w:ascii="Calibri" w:hAnsi="Calibri" w:cs="Times New Roman" w:hint="eastAsia"/>
          <w:sz w:val="18"/>
          <w:szCs w:val="24"/>
        </w:rPr>
        <w:t>点为车体上控制点；第</w:t>
      </w:r>
      <w:r w:rsidRPr="00FD50F6">
        <w:rPr>
          <w:rFonts w:ascii="Calibri" w:hAnsi="Calibri" w:cs="Times New Roman" w:hint="eastAsia"/>
          <w:sz w:val="18"/>
          <w:szCs w:val="24"/>
        </w:rPr>
        <w:t>41</w:t>
      </w:r>
      <w:r w:rsidRPr="00FD50F6">
        <w:rPr>
          <w:rFonts w:ascii="Calibri" w:hAnsi="Calibri" w:cs="Times New Roman" w:hint="eastAsia"/>
          <w:sz w:val="18"/>
          <w:szCs w:val="24"/>
        </w:rPr>
        <w:t>～</w:t>
      </w:r>
      <w:r w:rsidRPr="00FD50F6">
        <w:rPr>
          <w:rFonts w:ascii="Calibri" w:hAnsi="Calibri" w:cs="Times New Roman" w:hint="eastAsia"/>
          <w:sz w:val="18"/>
          <w:szCs w:val="24"/>
        </w:rPr>
        <w:t>42</w:t>
      </w:r>
      <w:r w:rsidRPr="00FD50F6">
        <w:rPr>
          <w:rFonts w:ascii="Calibri" w:hAnsi="Calibri" w:cs="Times New Roman" w:hint="eastAsia"/>
          <w:sz w:val="18"/>
          <w:szCs w:val="24"/>
        </w:rPr>
        <w:t>点为构架上控制点；第</w:t>
      </w:r>
      <w:r w:rsidRPr="00FD50F6">
        <w:rPr>
          <w:rFonts w:ascii="Calibri" w:hAnsi="Calibri" w:cs="Times New Roman" w:hint="eastAsia"/>
          <w:sz w:val="18"/>
          <w:szCs w:val="24"/>
        </w:rPr>
        <w:t>0s</w:t>
      </w:r>
      <w:r w:rsidRPr="00FD50F6">
        <w:rPr>
          <w:rFonts w:ascii="Calibri" w:hAnsi="Calibri" w:cs="Times New Roman" w:hint="eastAsia"/>
          <w:sz w:val="18"/>
          <w:szCs w:val="24"/>
        </w:rPr>
        <w:t>～</w:t>
      </w:r>
      <w:r w:rsidRPr="00FD50F6">
        <w:rPr>
          <w:rFonts w:ascii="Calibri" w:hAnsi="Calibri" w:cs="Times New Roman" w:hint="eastAsia"/>
          <w:sz w:val="18"/>
          <w:szCs w:val="24"/>
        </w:rPr>
        <w:t>4s</w:t>
      </w:r>
      <w:r w:rsidRPr="00FD50F6">
        <w:rPr>
          <w:rFonts w:ascii="Calibri" w:hAnsi="Calibri" w:cs="Times New Roman" w:hint="eastAsia"/>
          <w:sz w:val="18"/>
          <w:szCs w:val="24"/>
        </w:rPr>
        <w:t>点为隧道内受电弓控制点；受电弓工作高度为</w:t>
      </w:r>
      <w:r w:rsidRPr="00FD50F6">
        <w:rPr>
          <w:rFonts w:ascii="Calibri" w:hAnsi="Calibri" w:cs="Times New Roman" w:hint="eastAsia"/>
          <w:sz w:val="18"/>
          <w:szCs w:val="24"/>
        </w:rPr>
        <w:t>4040mm</w:t>
      </w:r>
      <w:r w:rsidRPr="00FD50F6">
        <w:rPr>
          <w:rFonts w:ascii="Calibri" w:hAnsi="Calibri" w:cs="Times New Roman" w:hint="eastAsia"/>
          <w:sz w:val="18"/>
          <w:szCs w:val="24"/>
        </w:rPr>
        <w:t>；第</w:t>
      </w:r>
      <w:r w:rsidRPr="00FD50F6">
        <w:rPr>
          <w:rFonts w:ascii="Calibri" w:hAnsi="Calibri" w:cs="Times New Roman" w:hint="eastAsia"/>
          <w:sz w:val="18"/>
          <w:szCs w:val="24"/>
        </w:rPr>
        <w:t>1a</w:t>
      </w:r>
      <w:r w:rsidRPr="00FD50F6">
        <w:rPr>
          <w:rFonts w:ascii="Calibri" w:hAnsi="Calibri" w:cs="Times New Roman" w:hint="eastAsia"/>
          <w:sz w:val="18"/>
          <w:szCs w:val="24"/>
        </w:rPr>
        <w:t>～</w:t>
      </w:r>
      <w:r w:rsidRPr="00FD50F6">
        <w:rPr>
          <w:rFonts w:ascii="Calibri" w:hAnsi="Calibri" w:cs="Times New Roman" w:hint="eastAsia"/>
          <w:sz w:val="18"/>
          <w:szCs w:val="24"/>
        </w:rPr>
        <w:t>5a</w:t>
      </w:r>
      <w:r w:rsidRPr="00FD50F6">
        <w:rPr>
          <w:rFonts w:ascii="Calibri" w:hAnsi="Calibri" w:cs="Times New Roman" w:hint="eastAsia"/>
          <w:sz w:val="18"/>
          <w:szCs w:val="24"/>
        </w:rPr>
        <w:t>点为隧道外受电弓控制点</w:t>
      </w:r>
      <w:r w:rsidRPr="00FD50F6">
        <w:rPr>
          <w:rFonts w:ascii="Calibri" w:hAnsi="Calibri" w:cs="Times New Roman" w:hint="eastAsia"/>
          <w:sz w:val="18"/>
          <w:szCs w:val="24"/>
        </w:rPr>
        <w:t>,</w:t>
      </w:r>
      <w:r w:rsidRPr="00FD50F6">
        <w:rPr>
          <w:rFonts w:ascii="Calibri" w:hAnsi="Calibri" w:cs="Times New Roman" w:hint="eastAsia"/>
          <w:sz w:val="18"/>
          <w:szCs w:val="24"/>
        </w:rPr>
        <w:t>受电弓工作高度为</w:t>
      </w:r>
      <w:r w:rsidRPr="00FD50F6">
        <w:rPr>
          <w:rFonts w:ascii="Calibri" w:hAnsi="Calibri" w:cs="Times New Roman" w:hint="eastAsia"/>
          <w:sz w:val="18"/>
          <w:szCs w:val="24"/>
        </w:rPr>
        <w:t>4600mm</w:t>
      </w:r>
      <w:r w:rsidRPr="00FD50F6">
        <w:rPr>
          <w:rFonts w:ascii="Calibri" w:hAnsi="Calibri" w:cs="Times New Roman" w:hint="eastAsia"/>
          <w:sz w:val="18"/>
          <w:szCs w:val="24"/>
        </w:rPr>
        <w:t>；第</w:t>
      </w:r>
      <w:r w:rsidRPr="00FD50F6">
        <w:rPr>
          <w:rFonts w:ascii="Calibri" w:hAnsi="Calibri" w:cs="Times New Roman" w:hint="eastAsia"/>
          <w:sz w:val="18"/>
          <w:szCs w:val="24"/>
        </w:rPr>
        <w:t>1k</w:t>
      </w:r>
      <w:r w:rsidRPr="00FD50F6">
        <w:rPr>
          <w:rFonts w:ascii="Calibri" w:hAnsi="Calibri" w:cs="Times New Roman" w:hint="eastAsia"/>
          <w:sz w:val="18"/>
          <w:szCs w:val="24"/>
        </w:rPr>
        <w:t>～</w:t>
      </w:r>
      <w:r w:rsidRPr="00FD50F6">
        <w:rPr>
          <w:rFonts w:ascii="Calibri" w:hAnsi="Calibri" w:cs="Times New Roman" w:hint="eastAsia"/>
          <w:sz w:val="18"/>
          <w:szCs w:val="24"/>
        </w:rPr>
        <w:t>5k</w:t>
      </w:r>
      <w:r w:rsidRPr="00FD50F6">
        <w:rPr>
          <w:rFonts w:ascii="Calibri" w:hAnsi="Calibri" w:cs="Times New Roman" w:hint="eastAsia"/>
          <w:sz w:val="18"/>
          <w:szCs w:val="24"/>
        </w:rPr>
        <w:t>点为车辆段库内受电弓控制点，受电弓工作高度为</w:t>
      </w:r>
      <w:r w:rsidRPr="00FD50F6">
        <w:rPr>
          <w:rFonts w:ascii="Calibri" w:hAnsi="Calibri" w:cs="Times New Roman" w:hint="eastAsia"/>
          <w:sz w:val="18"/>
          <w:szCs w:val="24"/>
        </w:rPr>
        <w:t>5000mm</w:t>
      </w:r>
      <w:r w:rsidRPr="00FD50F6">
        <w:rPr>
          <w:rFonts w:ascii="Calibri" w:hAnsi="Calibri" w:cs="Times New Roman" w:hint="eastAsia"/>
          <w:sz w:val="18"/>
          <w:szCs w:val="24"/>
        </w:rPr>
        <w:t>；库内受电弓车辆限界和设备限界根据隧道外相应限界值确定。</w:t>
      </w:r>
    </w:p>
    <w:p w14:paraId="67559B75" w14:textId="77777777" w:rsidR="002B733E" w:rsidRPr="00FD50F6" w:rsidRDefault="002B733E" w:rsidP="002B733E">
      <w:pPr>
        <w:spacing w:line="240" w:lineRule="auto"/>
        <w:jc w:val="left"/>
        <w:rPr>
          <w:rFonts w:ascii="黑体" w:eastAsia="黑体" w:hAnsi="黑体" w:cs="Times New Roman"/>
          <w:sz w:val="21"/>
          <w:szCs w:val="24"/>
        </w:rPr>
      </w:pPr>
    </w:p>
    <w:p w14:paraId="5A39CD37"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C</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1-2</w:t>
      </w:r>
      <w:r w:rsidRPr="00FD50F6">
        <w:rPr>
          <w:rFonts w:ascii="黑体" w:eastAsia="黑体" w:hAnsi="黑体" w:cs="Times New Roman" w:hint="eastAsia"/>
          <w:sz w:val="21"/>
          <w:szCs w:val="24"/>
        </w:rPr>
        <w:t xml:space="preserve">  隧道内区间直线地段车辆限界坐标值（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5"/>
        <w:gridCol w:w="815"/>
        <w:gridCol w:w="761"/>
        <w:gridCol w:w="761"/>
        <w:gridCol w:w="761"/>
        <w:gridCol w:w="814"/>
        <w:gridCol w:w="814"/>
        <w:gridCol w:w="761"/>
        <w:gridCol w:w="761"/>
        <w:gridCol w:w="814"/>
        <w:gridCol w:w="761"/>
      </w:tblGrid>
      <w:tr w:rsidR="00FD50F6" w:rsidRPr="00FD50F6" w14:paraId="163C0CD0" w14:textId="77777777" w:rsidTr="002B733E">
        <w:trPr>
          <w:trHeight w:val="397"/>
          <w:jc w:val="center"/>
        </w:trPr>
        <w:tc>
          <w:tcPr>
            <w:tcW w:w="705" w:type="dxa"/>
            <w:vAlign w:val="center"/>
          </w:tcPr>
          <w:p w14:paraId="76829E8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0C08A24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61" w:type="dxa"/>
            <w:vAlign w:val="center"/>
          </w:tcPr>
          <w:p w14:paraId="4246FD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61" w:type="dxa"/>
            <w:vAlign w:val="center"/>
          </w:tcPr>
          <w:p w14:paraId="388454A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61" w:type="dxa"/>
            <w:vAlign w:val="center"/>
          </w:tcPr>
          <w:p w14:paraId="47B1668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814" w:type="dxa"/>
            <w:vAlign w:val="center"/>
          </w:tcPr>
          <w:p w14:paraId="7BB8637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814" w:type="dxa"/>
            <w:vAlign w:val="center"/>
          </w:tcPr>
          <w:p w14:paraId="6BCE006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61" w:type="dxa"/>
            <w:vAlign w:val="center"/>
          </w:tcPr>
          <w:p w14:paraId="58F1BC8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61" w:type="dxa"/>
            <w:vAlign w:val="center"/>
          </w:tcPr>
          <w:p w14:paraId="4CDAED9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814" w:type="dxa"/>
            <w:vAlign w:val="center"/>
          </w:tcPr>
          <w:p w14:paraId="05D9DCE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61" w:type="dxa"/>
            <w:vAlign w:val="center"/>
          </w:tcPr>
          <w:p w14:paraId="11FC46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r>
      <w:tr w:rsidR="00FD50F6" w:rsidRPr="00FD50F6" w14:paraId="4138D42A" w14:textId="77777777" w:rsidTr="002B733E">
        <w:trPr>
          <w:trHeight w:val="397"/>
          <w:jc w:val="center"/>
        </w:trPr>
        <w:tc>
          <w:tcPr>
            <w:tcW w:w="705" w:type="dxa"/>
            <w:vAlign w:val="center"/>
          </w:tcPr>
          <w:p w14:paraId="18C444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3C7870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61" w:type="dxa"/>
            <w:vAlign w:val="center"/>
          </w:tcPr>
          <w:p w14:paraId="7381C06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619</w:t>
            </w:r>
          </w:p>
        </w:tc>
        <w:tc>
          <w:tcPr>
            <w:tcW w:w="761" w:type="dxa"/>
            <w:vAlign w:val="center"/>
          </w:tcPr>
          <w:p w14:paraId="53BE6B8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767</w:t>
            </w:r>
          </w:p>
        </w:tc>
        <w:tc>
          <w:tcPr>
            <w:tcW w:w="761" w:type="dxa"/>
            <w:vAlign w:val="center"/>
          </w:tcPr>
          <w:p w14:paraId="4B302B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783</w:t>
            </w:r>
          </w:p>
        </w:tc>
        <w:tc>
          <w:tcPr>
            <w:tcW w:w="814" w:type="dxa"/>
            <w:vAlign w:val="center"/>
          </w:tcPr>
          <w:p w14:paraId="11EF97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882</w:t>
            </w:r>
          </w:p>
        </w:tc>
        <w:tc>
          <w:tcPr>
            <w:tcW w:w="814" w:type="dxa"/>
            <w:vAlign w:val="center"/>
          </w:tcPr>
          <w:p w14:paraId="2F9752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897</w:t>
            </w:r>
          </w:p>
        </w:tc>
        <w:tc>
          <w:tcPr>
            <w:tcW w:w="761" w:type="dxa"/>
            <w:vAlign w:val="center"/>
          </w:tcPr>
          <w:p w14:paraId="5B5224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954</w:t>
            </w:r>
          </w:p>
        </w:tc>
        <w:tc>
          <w:tcPr>
            <w:tcW w:w="761" w:type="dxa"/>
            <w:vAlign w:val="center"/>
          </w:tcPr>
          <w:p w14:paraId="794587C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1021</w:t>
            </w:r>
          </w:p>
        </w:tc>
        <w:tc>
          <w:tcPr>
            <w:tcW w:w="814" w:type="dxa"/>
            <w:vAlign w:val="center"/>
          </w:tcPr>
          <w:p w14:paraId="7B77105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1097</w:t>
            </w:r>
          </w:p>
        </w:tc>
        <w:tc>
          <w:tcPr>
            <w:tcW w:w="761" w:type="dxa"/>
            <w:vAlign w:val="center"/>
          </w:tcPr>
          <w:p w14:paraId="21BBEB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1205</w:t>
            </w:r>
          </w:p>
        </w:tc>
      </w:tr>
      <w:tr w:rsidR="00FD50F6" w:rsidRPr="00FD50F6" w14:paraId="6F8B99CD" w14:textId="77777777" w:rsidTr="002B733E">
        <w:trPr>
          <w:trHeight w:val="397"/>
          <w:jc w:val="center"/>
        </w:trPr>
        <w:tc>
          <w:tcPr>
            <w:tcW w:w="705" w:type="dxa"/>
            <w:vAlign w:val="center"/>
          </w:tcPr>
          <w:p w14:paraId="3C3034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205782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72</w:t>
            </w:r>
          </w:p>
        </w:tc>
        <w:tc>
          <w:tcPr>
            <w:tcW w:w="761" w:type="dxa"/>
            <w:vAlign w:val="center"/>
          </w:tcPr>
          <w:p w14:paraId="582BBB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387</w:t>
            </w:r>
            <w:r w:rsidRPr="00FD50F6">
              <w:rPr>
                <w:rFonts w:ascii="Calibri" w:hAnsi="Calibri" w:cs="Times New Roman"/>
                <w:sz w:val="18"/>
                <w:szCs w:val="24"/>
              </w:rPr>
              <w:t>6</w:t>
            </w:r>
          </w:p>
        </w:tc>
        <w:tc>
          <w:tcPr>
            <w:tcW w:w="761" w:type="dxa"/>
            <w:vAlign w:val="center"/>
          </w:tcPr>
          <w:p w14:paraId="20D7DFB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3841</w:t>
            </w:r>
          </w:p>
        </w:tc>
        <w:tc>
          <w:tcPr>
            <w:tcW w:w="761" w:type="dxa"/>
            <w:vAlign w:val="center"/>
          </w:tcPr>
          <w:p w14:paraId="14ADF3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3825</w:t>
            </w:r>
          </w:p>
        </w:tc>
        <w:tc>
          <w:tcPr>
            <w:tcW w:w="814" w:type="dxa"/>
            <w:vAlign w:val="center"/>
          </w:tcPr>
          <w:p w14:paraId="706FD4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3784</w:t>
            </w:r>
          </w:p>
        </w:tc>
        <w:tc>
          <w:tcPr>
            <w:tcW w:w="814" w:type="dxa"/>
            <w:vAlign w:val="center"/>
          </w:tcPr>
          <w:p w14:paraId="0D25B3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3771</w:t>
            </w:r>
          </w:p>
        </w:tc>
        <w:tc>
          <w:tcPr>
            <w:tcW w:w="761" w:type="dxa"/>
            <w:vAlign w:val="center"/>
          </w:tcPr>
          <w:p w14:paraId="7A5142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3704</w:t>
            </w:r>
          </w:p>
        </w:tc>
        <w:tc>
          <w:tcPr>
            <w:tcW w:w="761" w:type="dxa"/>
            <w:vAlign w:val="center"/>
          </w:tcPr>
          <w:p w14:paraId="1A7E40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3667</w:t>
            </w:r>
          </w:p>
        </w:tc>
        <w:tc>
          <w:tcPr>
            <w:tcW w:w="814" w:type="dxa"/>
            <w:vAlign w:val="center"/>
          </w:tcPr>
          <w:p w14:paraId="7881D9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3641</w:t>
            </w:r>
          </w:p>
        </w:tc>
        <w:tc>
          <w:tcPr>
            <w:tcW w:w="761" w:type="dxa"/>
            <w:vAlign w:val="center"/>
          </w:tcPr>
          <w:p w14:paraId="288E20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3597</w:t>
            </w:r>
          </w:p>
        </w:tc>
      </w:tr>
      <w:tr w:rsidR="00FD50F6" w:rsidRPr="00FD50F6" w14:paraId="2B358FEE" w14:textId="77777777" w:rsidTr="002B733E">
        <w:trPr>
          <w:trHeight w:val="397"/>
          <w:jc w:val="center"/>
        </w:trPr>
        <w:tc>
          <w:tcPr>
            <w:tcW w:w="705" w:type="dxa"/>
            <w:vAlign w:val="center"/>
          </w:tcPr>
          <w:p w14:paraId="599839D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3FEEF9F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61" w:type="dxa"/>
            <w:vAlign w:val="center"/>
          </w:tcPr>
          <w:p w14:paraId="4DF7656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61" w:type="dxa"/>
            <w:vAlign w:val="center"/>
          </w:tcPr>
          <w:p w14:paraId="26FAB60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61" w:type="dxa"/>
            <w:vAlign w:val="center"/>
          </w:tcPr>
          <w:p w14:paraId="7B26038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814" w:type="dxa"/>
            <w:vAlign w:val="center"/>
          </w:tcPr>
          <w:p w14:paraId="7C6356B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814" w:type="dxa"/>
            <w:vAlign w:val="center"/>
          </w:tcPr>
          <w:p w14:paraId="0A01CB1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61" w:type="dxa"/>
            <w:vAlign w:val="center"/>
          </w:tcPr>
          <w:p w14:paraId="01D94F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61" w:type="dxa"/>
            <w:vAlign w:val="center"/>
          </w:tcPr>
          <w:p w14:paraId="08C1596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814" w:type="dxa"/>
            <w:vAlign w:val="center"/>
          </w:tcPr>
          <w:p w14:paraId="7C8FD5D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61" w:type="dxa"/>
            <w:vAlign w:val="center"/>
          </w:tcPr>
          <w:p w14:paraId="350C12A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3C51B0F3" w14:textId="77777777" w:rsidTr="002B733E">
        <w:trPr>
          <w:trHeight w:val="397"/>
          <w:jc w:val="center"/>
        </w:trPr>
        <w:tc>
          <w:tcPr>
            <w:tcW w:w="705" w:type="dxa"/>
            <w:vAlign w:val="center"/>
          </w:tcPr>
          <w:p w14:paraId="40DF54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52B7F2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1288</w:t>
            </w:r>
          </w:p>
        </w:tc>
        <w:tc>
          <w:tcPr>
            <w:tcW w:w="761" w:type="dxa"/>
            <w:vAlign w:val="center"/>
          </w:tcPr>
          <w:p w14:paraId="75E9BA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1323</w:t>
            </w:r>
          </w:p>
        </w:tc>
        <w:tc>
          <w:tcPr>
            <w:tcW w:w="761" w:type="dxa"/>
            <w:vAlign w:val="center"/>
          </w:tcPr>
          <w:p w14:paraId="229809D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1348</w:t>
            </w:r>
          </w:p>
        </w:tc>
        <w:tc>
          <w:tcPr>
            <w:tcW w:w="761" w:type="dxa"/>
            <w:vAlign w:val="center"/>
          </w:tcPr>
          <w:p w14:paraId="3DBD7D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1375</w:t>
            </w:r>
          </w:p>
        </w:tc>
        <w:tc>
          <w:tcPr>
            <w:tcW w:w="814" w:type="dxa"/>
            <w:vAlign w:val="center"/>
          </w:tcPr>
          <w:p w14:paraId="29734B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814" w:type="dxa"/>
            <w:vAlign w:val="center"/>
          </w:tcPr>
          <w:p w14:paraId="472AA0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1420</w:t>
            </w:r>
          </w:p>
        </w:tc>
        <w:tc>
          <w:tcPr>
            <w:tcW w:w="761" w:type="dxa"/>
            <w:vAlign w:val="center"/>
          </w:tcPr>
          <w:p w14:paraId="4968F0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1439</w:t>
            </w:r>
          </w:p>
        </w:tc>
        <w:tc>
          <w:tcPr>
            <w:tcW w:w="761" w:type="dxa"/>
            <w:vAlign w:val="center"/>
          </w:tcPr>
          <w:p w14:paraId="59E633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1457</w:t>
            </w:r>
          </w:p>
        </w:tc>
        <w:tc>
          <w:tcPr>
            <w:tcW w:w="814" w:type="dxa"/>
            <w:vAlign w:val="center"/>
          </w:tcPr>
          <w:p w14:paraId="6F4827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1469</w:t>
            </w:r>
          </w:p>
        </w:tc>
        <w:tc>
          <w:tcPr>
            <w:tcW w:w="761" w:type="dxa"/>
            <w:vAlign w:val="center"/>
          </w:tcPr>
          <w:p w14:paraId="3E1164B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1478</w:t>
            </w:r>
          </w:p>
        </w:tc>
      </w:tr>
      <w:tr w:rsidR="00FD50F6" w:rsidRPr="00FD50F6" w14:paraId="214DD4A1" w14:textId="77777777" w:rsidTr="002B733E">
        <w:trPr>
          <w:trHeight w:val="397"/>
          <w:jc w:val="center"/>
        </w:trPr>
        <w:tc>
          <w:tcPr>
            <w:tcW w:w="705" w:type="dxa"/>
            <w:vAlign w:val="center"/>
          </w:tcPr>
          <w:p w14:paraId="24FE26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45142C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3555</w:t>
            </w:r>
          </w:p>
        </w:tc>
        <w:tc>
          <w:tcPr>
            <w:tcW w:w="761" w:type="dxa"/>
            <w:vAlign w:val="center"/>
          </w:tcPr>
          <w:p w14:paraId="31F1EC7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3535</w:t>
            </w:r>
          </w:p>
        </w:tc>
        <w:tc>
          <w:tcPr>
            <w:tcW w:w="761" w:type="dxa"/>
            <w:vAlign w:val="center"/>
          </w:tcPr>
          <w:p w14:paraId="29085B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3518</w:t>
            </w:r>
          </w:p>
        </w:tc>
        <w:tc>
          <w:tcPr>
            <w:tcW w:w="761" w:type="dxa"/>
            <w:vAlign w:val="center"/>
          </w:tcPr>
          <w:p w14:paraId="409AF8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3500</w:t>
            </w:r>
          </w:p>
        </w:tc>
        <w:tc>
          <w:tcPr>
            <w:tcW w:w="814" w:type="dxa"/>
            <w:vAlign w:val="center"/>
          </w:tcPr>
          <w:p w14:paraId="144268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3479</w:t>
            </w:r>
          </w:p>
        </w:tc>
        <w:tc>
          <w:tcPr>
            <w:tcW w:w="814" w:type="dxa"/>
            <w:vAlign w:val="center"/>
          </w:tcPr>
          <w:p w14:paraId="52BF22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3460</w:t>
            </w:r>
          </w:p>
        </w:tc>
        <w:tc>
          <w:tcPr>
            <w:tcW w:w="761" w:type="dxa"/>
            <w:vAlign w:val="center"/>
          </w:tcPr>
          <w:p w14:paraId="09AB18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3440</w:t>
            </w:r>
          </w:p>
        </w:tc>
        <w:tc>
          <w:tcPr>
            <w:tcW w:w="761" w:type="dxa"/>
            <w:vAlign w:val="center"/>
          </w:tcPr>
          <w:p w14:paraId="03E896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3417</w:t>
            </w:r>
          </w:p>
        </w:tc>
        <w:tc>
          <w:tcPr>
            <w:tcW w:w="814" w:type="dxa"/>
            <w:vAlign w:val="center"/>
          </w:tcPr>
          <w:p w14:paraId="0CDA6C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3397</w:t>
            </w:r>
          </w:p>
        </w:tc>
        <w:tc>
          <w:tcPr>
            <w:tcW w:w="761" w:type="dxa"/>
            <w:vAlign w:val="center"/>
          </w:tcPr>
          <w:p w14:paraId="327A85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3230</w:t>
            </w:r>
          </w:p>
        </w:tc>
      </w:tr>
      <w:tr w:rsidR="00FD50F6" w:rsidRPr="00FD50F6" w14:paraId="00710576" w14:textId="77777777" w:rsidTr="002B733E">
        <w:trPr>
          <w:trHeight w:val="397"/>
          <w:jc w:val="center"/>
        </w:trPr>
        <w:tc>
          <w:tcPr>
            <w:tcW w:w="705" w:type="dxa"/>
            <w:vAlign w:val="center"/>
          </w:tcPr>
          <w:p w14:paraId="41E2E6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38BA36E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61" w:type="dxa"/>
            <w:vAlign w:val="center"/>
          </w:tcPr>
          <w:p w14:paraId="5AD9F54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61" w:type="dxa"/>
            <w:vAlign w:val="center"/>
          </w:tcPr>
          <w:p w14:paraId="76A3235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61" w:type="dxa"/>
            <w:vAlign w:val="center"/>
          </w:tcPr>
          <w:p w14:paraId="6B90BC0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814" w:type="dxa"/>
            <w:vAlign w:val="center"/>
          </w:tcPr>
          <w:p w14:paraId="2A8AC5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814" w:type="dxa"/>
            <w:vAlign w:val="center"/>
          </w:tcPr>
          <w:p w14:paraId="28BDADD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61" w:type="dxa"/>
            <w:vAlign w:val="center"/>
          </w:tcPr>
          <w:p w14:paraId="0FC40F6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61" w:type="dxa"/>
            <w:vAlign w:val="center"/>
          </w:tcPr>
          <w:p w14:paraId="6F8F3E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814" w:type="dxa"/>
            <w:vAlign w:val="center"/>
          </w:tcPr>
          <w:p w14:paraId="656A1A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61" w:type="dxa"/>
            <w:vAlign w:val="center"/>
          </w:tcPr>
          <w:p w14:paraId="3279A9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5DAF75CD" w14:textId="77777777" w:rsidTr="002B733E">
        <w:trPr>
          <w:trHeight w:val="397"/>
          <w:jc w:val="center"/>
        </w:trPr>
        <w:tc>
          <w:tcPr>
            <w:tcW w:w="705" w:type="dxa"/>
            <w:vAlign w:val="center"/>
          </w:tcPr>
          <w:p w14:paraId="0AEB3E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lastRenderedPageBreak/>
              <w:t>X</w:t>
            </w:r>
          </w:p>
        </w:tc>
        <w:tc>
          <w:tcPr>
            <w:tcW w:w="815" w:type="dxa"/>
            <w:vAlign w:val="center"/>
          </w:tcPr>
          <w:p w14:paraId="7DD834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1633</w:t>
            </w:r>
          </w:p>
        </w:tc>
        <w:tc>
          <w:tcPr>
            <w:tcW w:w="761" w:type="dxa"/>
            <w:vAlign w:val="center"/>
          </w:tcPr>
          <w:p w14:paraId="6A6B93A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1637</w:t>
            </w:r>
          </w:p>
        </w:tc>
        <w:tc>
          <w:tcPr>
            <w:tcW w:w="761" w:type="dxa"/>
            <w:vAlign w:val="center"/>
          </w:tcPr>
          <w:p w14:paraId="3C0B77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1638</w:t>
            </w:r>
          </w:p>
        </w:tc>
        <w:tc>
          <w:tcPr>
            <w:tcW w:w="761" w:type="dxa"/>
            <w:vAlign w:val="center"/>
          </w:tcPr>
          <w:p w14:paraId="1EFFFE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1637</w:t>
            </w:r>
          </w:p>
        </w:tc>
        <w:tc>
          <w:tcPr>
            <w:tcW w:w="814" w:type="dxa"/>
            <w:vAlign w:val="center"/>
          </w:tcPr>
          <w:p w14:paraId="5DCF13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1584</w:t>
            </w:r>
          </w:p>
        </w:tc>
        <w:tc>
          <w:tcPr>
            <w:tcW w:w="814" w:type="dxa"/>
            <w:vAlign w:val="center"/>
          </w:tcPr>
          <w:p w14:paraId="6C19BF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1567</w:t>
            </w:r>
          </w:p>
        </w:tc>
        <w:tc>
          <w:tcPr>
            <w:tcW w:w="761" w:type="dxa"/>
            <w:vAlign w:val="center"/>
          </w:tcPr>
          <w:p w14:paraId="32C3F2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1537</w:t>
            </w:r>
          </w:p>
        </w:tc>
        <w:tc>
          <w:tcPr>
            <w:tcW w:w="761" w:type="dxa"/>
            <w:vAlign w:val="center"/>
          </w:tcPr>
          <w:p w14:paraId="224D27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1532</w:t>
            </w:r>
          </w:p>
        </w:tc>
        <w:tc>
          <w:tcPr>
            <w:tcW w:w="814" w:type="dxa"/>
            <w:vAlign w:val="center"/>
          </w:tcPr>
          <w:p w14:paraId="04FBD7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1525</w:t>
            </w:r>
          </w:p>
        </w:tc>
        <w:tc>
          <w:tcPr>
            <w:tcW w:w="761" w:type="dxa"/>
            <w:vAlign w:val="center"/>
          </w:tcPr>
          <w:p w14:paraId="4C8D24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1501</w:t>
            </w:r>
          </w:p>
        </w:tc>
      </w:tr>
      <w:tr w:rsidR="00FD50F6" w:rsidRPr="00FD50F6" w14:paraId="528EE831" w14:textId="77777777" w:rsidTr="002B733E">
        <w:trPr>
          <w:trHeight w:val="397"/>
          <w:jc w:val="center"/>
        </w:trPr>
        <w:tc>
          <w:tcPr>
            <w:tcW w:w="705" w:type="dxa"/>
            <w:vAlign w:val="center"/>
          </w:tcPr>
          <w:p w14:paraId="2F4730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5923830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1791</w:t>
            </w:r>
          </w:p>
        </w:tc>
        <w:tc>
          <w:tcPr>
            <w:tcW w:w="761" w:type="dxa"/>
            <w:vAlign w:val="center"/>
          </w:tcPr>
          <w:p w14:paraId="4266EB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1738</w:t>
            </w:r>
          </w:p>
        </w:tc>
        <w:tc>
          <w:tcPr>
            <w:tcW w:w="761" w:type="dxa"/>
            <w:vAlign w:val="center"/>
          </w:tcPr>
          <w:p w14:paraId="0171EBA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1691</w:t>
            </w:r>
          </w:p>
        </w:tc>
        <w:tc>
          <w:tcPr>
            <w:tcW w:w="761" w:type="dxa"/>
            <w:vAlign w:val="center"/>
          </w:tcPr>
          <w:p w14:paraId="0A6A0B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1643</w:t>
            </w:r>
          </w:p>
        </w:tc>
        <w:tc>
          <w:tcPr>
            <w:tcW w:w="814" w:type="dxa"/>
            <w:vAlign w:val="center"/>
          </w:tcPr>
          <w:p w14:paraId="214E09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1001</w:t>
            </w:r>
          </w:p>
        </w:tc>
        <w:tc>
          <w:tcPr>
            <w:tcW w:w="814" w:type="dxa"/>
            <w:vAlign w:val="center"/>
          </w:tcPr>
          <w:p w14:paraId="49CB33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799</w:t>
            </w:r>
          </w:p>
        </w:tc>
        <w:tc>
          <w:tcPr>
            <w:tcW w:w="761" w:type="dxa"/>
            <w:vAlign w:val="center"/>
          </w:tcPr>
          <w:p w14:paraId="137478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712</w:t>
            </w:r>
          </w:p>
        </w:tc>
        <w:tc>
          <w:tcPr>
            <w:tcW w:w="761" w:type="dxa"/>
            <w:vAlign w:val="center"/>
          </w:tcPr>
          <w:p w14:paraId="7651C8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707</w:t>
            </w:r>
          </w:p>
        </w:tc>
        <w:tc>
          <w:tcPr>
            <w:tcW w:w="814" w:type="dxa"/>
            <w:vAlign w:val="center"/>
          </w:tcPr>
          <w:p w14:paraId="3A8C04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702</w:t>
            </w:r>
          </w:p>
        </w:tc>
        <w:tc>
          <w:tcPr>
            <w:tcW w:w="761" w:type="dxa"/>
            <w:vAlign w:val="center"/>
          </w:tcPr>
          <w:p w14:paraId="288D5F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634</w:t>
            </w:r>
          </w:p>
        </w:tc>
      </w:tr>
      <w:tr w:rsidR="00FD50F6" w:rsidRPr="00FD50F6" w14:paraId="2F00B901" w14:textId="77777777" w:rsidTr="002B733E">
        <w:trPr>
          <w:trHeight w:val="397"/>
          <w:jc w:val="center"/>
        </w:trPr>
        <w:tc>
          <w:tcPr>
            <w:tcW w:w="705" w:type="dxa"/>
            <w:vAlign w:val="center"/>
          </w:tcPr>
          <w:p w14:paraId="4F6E6F0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5AA52C9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761" w:type="dxa"/>
            <w:vAlign w:val="center"/>
          </w:tcPr>
          <w:p w14:paraId="0DAD662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761" w:type="dxa"/>
            <w:vAlign w:val="center"/>
          </w:tcPr>
          <w:p w14:paraId="50353F0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61" w:type="dxa"/>
            <w:vAlign w:val="center"/>
          </w:tcPr>
          <w:p w14:paraId="25BF233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814" w:type="dxa"/>
            <w:vAlign w:val="center"/>
          </w:tcPr>
          <w:p w14:paraId="30B5E51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814" w:type="dxa"/>
            <w:vAlign w:val="center"/>
          </w:tcPr>
          <w:p w14:paraId="4D23935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61" w:type="dxa"/>
            <w:vAlign w:val="center"/>
          </w:tcPr>
          <w:p w14:paraId="68D7D8C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761" w:type="dxa"/>
            <w:vAlign w:val="center"/>
          </w:tcPr>
          <w:p w14:paraId="3BA42D4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814" w:type="dxa"/>
            <w:vAlign w:val="center"/>
          </w:tcPr>
          <w:p w14:paraId="2469AE3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61" w:type="dxa"/>
            <w:vAlign w:val="center"/>
          </w:tcPr>
          <w:p w14:paraId="054E7C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6D2FEBBF" w14:textId="77777777" w:rsidTr="002B733E">
        <w:trPr>
          <w:trHeight w:val="397"/>
          <w:jc w:val="center"/>
        </w:trPr>
        <w:tc>
          <w:tcPr>
            <w:tcW w:w="705" w:type="dxa"/>
            <w:vAlign w:val="center"/>
          </w:tcPr>
          <w:p w14:paraId="49C61F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50B243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1488</w:t>
            </w:r>
          </w:p>
        </w:tc>
        <w:tc>
          <w:tcPr>
            <w:tcW w:w="761" w:type="dxa"/>
            <w:vAlign w:val="center"/>
          </w:tcPr>
          <w:p w14:paraId="61C3C2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1487</w:t>
            </w:r>
          </w:p>
        </w:tc>
        <w:tc>
          <w:tcPr>
            <w:tcW w:w="761" w:type="dxa"/>
            <w:vAlign w:val="center"/>
          </w:tcPr>
          <w:p w14:paraId="2E060A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1460</w:t>
            </w:r>
          </w:p>
        </w:tc>
        <w:tc>
          <w:tcPr>
            <w:tcW w:w="761" w:type="dxa"/>
            <w:vAlign w:val="center"/>
          </w:tcPr>
          <w:p w14:paraId="38D9B1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1412</w:t>
            </w:r>
          </w:p>
        </w:tc>
        <w:tc>
          <w:tcPr>
            <w:tcW w:w="814" w:type="dxa"/>
            <w:vAlign w:val="center"/>
          </w:tcPr>
          <w:p w14:paraId="126D9B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1394</w:t>
            </w:r>
          </w:p>
        </w:tc>
        <w:tc>
          <w:tcPr>
            <w:tcW w:w="814" w:type="dxa"/>
            <w:vAlign w:val="center"/>
          </w:tcPr>
          <w:p w14:paraId="11EACD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1379</w:t>
            </w:r>
          </w:p>
        </w:tc>
        <w:tc>
          <w:tcPr>
            <w:tcW w:w="761" w:type="dxa"/>
            <w:vAlign w:val="center"/>
          </w:tcPr>
          <w:p w14:paraId="77DBB2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1377</w:t>
            </w:r>
          </w:p>
        </w:tc>
        <w:tc>
          <w:tcPr>
            <w:tcW w:w="761" w:type="dxa"/>
            <w:vAlign w:val="center"/>
          </w:tcPr>
          <w:p w14:paraId="426DC8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1370</w:t>
            </w:r>
          </w:p>
        </w:tc>
        <w:tc>
          <w:tcPr>
            <w:tcW w:w="814" w:type="dxa"/>
            <w:vAlign w:val="center"/>
          </w:tcPr>
          <w:p w14:paraId="08BB8D4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1280</w:t>
            </w:r>
          </w:p>
        </w:tc>
        <w:tc>
          <w:tcPr>
            <w:tcW w:w="761" w:type="dxa"/>
            <w:vAlign w:val="center"/>
          </w:tcPr>
          <w:p w14:paraId="1E2785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1268</w:t>
            </w:r>
          </w:p>
        </w:tc>
      </w:tr>
      <w:tr w:rsidR="00FD50F6" w:rsidRPr="00FD50F6" w14:paraId="60E19E42" w14:textId="77777777" w:rsidTr="002B733E">
        <w:trPr>
          <w:trHeight w:val="397"/>
          <w:jc w:val="center"/>
        </w:trPr>
        <w:tc>
          <w:tcPr>
            <w:tcW w:w="705" w:type="dxa"/>
            <w:vAlign w:val="center"/>
          </w:tcPr>
          <w:p w14:paraId="6273F6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15B5E7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635</w:t>
            </w:r>
          </w:p>
        </w:tc>
        <w:tc>
          <w:tcPr>
            <w:tcW w:w="761" w:type="dxa"/>
            <w:vAlign w:val="center"/>
          </w:tcPr>
          <w:p w14:paraId="7E76EE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591</w:t>
            </w:r>
          </w:p>
        </w:tc>
        <w:tc>
          <w:tcPr>
            <w:tcW w:w="761" w:type="dxa"/>
            <w:vAlign w:val="center"/>
          </w:tcPr>
          <w:p w14:paraId="33A999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512</w:t>
            </w:r>
          </w:p>
        </w:tc>
        <w:tc>
          <w:tcPr>
            <w:tcW w:w="761" w:type="dxa"/>
            <w:vAlign w:val="center"/>
          </w:tcPr>
          <w:p w14:paraId="0C6F78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w:t>
            </w:r>
          </w:p>
        </w:tc>
        <w:tc>
          <w:tcPr>
            <w:tcW w:w="814" w:type="dxa"/>
            <w:vAlign w:val="center"/>
          </w:tcPr>
          <w:p w14:paraId="2B7890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369</w:t>
            </w:r>
          </w:p>
        </w:tc>
        <w:tc>
          <w:tcPr>
            <w:tcW w:w="814" w:type="dxa"/>
            <w:vAlign w:val="center"/>
          </w:tcPr>
          <w:p w14:paraId="4B5EB3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w:t>
            </w:r>
          </w:p>
        </w:tc>
        <w:tc>
          <w:tcPr>
            <w:tcW w:w="761" w:type="dxa"/>
            <w:vAlign w:val="center"/>
          </w:tcPr>
          <w:p w14:paraId="0B0F24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295</w:t>
            </w:r>
          </w:p>
        </w:tc>
        <w:tc>
          <w:tcPr>
            <w:tcW w:w="761" w:type="dxa"/>
            <w:vAlign w:val="center"/>
          </w:tcPr>
          <w:p w14:paraId="5F0B0B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270</w:t>
            </w:r>
          </w:p>
        </w:tc>
        <w:tc>
          <w:tcPr>
            <w:tcW w:w="814" w:type="dxa"/>
            <w:vAlign w:val="center"/>
          </w:tcPr>
          <w:p w14:paraId="45C319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281</w:t>
            </w:r>
          </w:p>
        </w:tc>
        <w:tc>
          <w:tcPr>
            <w:tcW w:w="761" w:type="dxa"/>
            <w:vAlign w:val="center"/>
          </w:tcPr>
          <w:p w14:paraId="68AA1B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265</w:t>
            </w:r>
          </w:p>
        </w:tc>
      </w:tr>
      <w:tr w:rsidR="00FD50F6" w:rsidRPr="00FD50F6" w14:paraId="4E4E878D" w14:textId="77777777" w:rsidTr="002B733E">
        <w:trPr>
          <w:trHeight w:val="397"/>
          <w:jc w:val="center"/>
        </w:trPr>
        <w:tc>
          <w:tcPr>
            <w:tcW w:w="705" w:type="dxa"/>
            <w:vAlign w:val="center"/>
          </w:tcPr>
          <w:p w14:paraId="4A812F0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58F7073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761" w:type="dxa"/>
            <w:vAlign w:val="center"/>
          </w:tcPr>
          <w:p w14:paraId="17DC049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761" w:type="dxa"/>
            <w:vAlign w:val="center"/>
          </w:tcPr>
          <w:p w14:paraId="6EA8351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61" w:type="dxa"/>
            <w:vAlign w:val="center"/>
          </w:tcPr>
          <w:p w14:paraId="4609D4A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814" w:type="dxa"/>
            <w:vAlign w:val="center"/>
          </w:tcPr>
          <w:p w14:paraId="0230CD8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814" w:type="dxa"/>
            <w:vAlign w:val="center"/>
          </w:tcPr>
          <w:p w14:paraId="2549CEB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61" w:type="dxa"/>
            <w:vAlign w:val="center"/>
          </w:tcPr>
          <w:p w14:paraId="1B8B58E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761" w:type="dxa"/>
            <w:vAlign w:val="center"/>
          </w:tcPr>
          <w:p w14:paraId="4BDEAFB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814" w:type="dxa"/>
            <w:vAlign w:val="center"/>
          </w:tcPr>
          <w:p w14:paraId="390908B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61" w:type="dxa"/>
            <w:vAlign w:val="center"/>
          </w:tcPr>
          <w:p w14:paraId="2A9FC4D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3ABCC4C7" w14:textId="77777777" w:rsidTr="002B733E">
        <w:trPr>
          <w:trHeight w:val="397"/>
          <w:jc w:val="center"/>
        </w:trPr>
        <w:tc>
          <w:tcPr>
            <w:tcW w:w="705" w:type="dxa"/>
            <w:vAlign w:val="center"/>
          </w:tcPr>
          <w:p w14:paraId="35B30F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315B15B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1195</w:t>
            </w:r>
          </w:p>
        </w:tc>
        <w:tc>
          <w:tcPr>
            <w:tcW w:w="761" w:type="dxa"/>
            <w:vAlign w:val="center"/>
          </w:tcPr>
          <w:p w14:paraId="0E5C96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1150</w:t>
            </w:r>
          </w:p>
        </w:tc>
        <w:tc>
          <w:tcPr>
            <w:tcW w:w="761" w:type="dxa"/>
            <w:vAlign w:val="center"/>
          </w:tcPr>
          <w:p w14:paraId="10F712A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840</w:t>
            </w:r>
          </w:p>
        </w:tc>
        <w:tc>
          <w:tcPr>
            <w:tcW w:w="761" w:type="dxa"/>
            <w:vAlign w:val="center"/>
          </w:tcPr>
          <w:p w14:paraId="719354C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839</w:t>
            </w:r>
          </w:p>
        </w:tc>
        <w:tc>
          <w:tcPr>
            <w:tcW w:w="814" w:type="dxa"/>
            <w:vAlign w:val="center"/>
          </w:tcPr>
          <w:p w14:paraId="3C28346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745</w:t>
            </w:r>
          </w:p>
        </w:tc>
        <w:tc>
          <w:tcPr>
            <w:tcW w:w="814" w:type="dxa"/>
            <w:vAlign w:val="center"/>
          </w:tcPr>
          <w:p w14:paraId="6D6F32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744</w:t>
            </w:r>
          </w:p>
        </w:tc>
        <w:tc>
          <w:tcPr>
            <w:tcW w:w="761" w:type="dxa"/>
            <w:vAlign w:val="center"/>
          </w:tcPr>
          <w:p w14:paraId="5DF705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649</w:t>
            </w:r>
          </w:p>
        </w:tc>
        <w:tc>
          <w:tcPr>
            <w:tcW w:w="761" w:type="dxa"/>
            <w:vAlign w:val="center"/>
          </w:tcPr>
          <w:p w14:paraId="689497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641</w:t>
            </w:r>
          </w:p>
        </w:tc>
        <w:tc>
          <w:tcPr>
            <w:tcW w:w="814" w:type="dxa"/>
            <w:vAlign w:val="center"/>
          </w:tcPr>
          <w:p w14:paraId="2796FC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528</w:t>
            </w:r>
          </w:p>
        </w:tc>
        <w:tc>
          <w:tcPr>
            <w:tcW w:w="761" w:type="dxa"/>
            <w:vAlign w:val="center"/>
          </w:tcPr>
          <w:p w14:paraId="665735E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r>
      <w:tr w:rsidR="00FD50F6" w:rsidRPr="00FD50F6" w14:paraId="668AAFCB" w14:textId="77777777" w:rsidTr="002B733E">
        <w:trPr>
          <w:trHeight w:val="397"/>
          <w:jc w:val="center"/>
        </w:trPr>
        <w:tc>
          <w:tcPr>
            <w:tcW w:w="705" w:type="dxa"/>
            <w:vAlign w:val="center"/>
          </w:tcPr>
          <w:p w14:paraId="76D5CD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033B6A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229</w:t>
            </w:r>
          </w:p>
        </w:tc>
        <w:tc>
          <w:tcPr>
            <w:tcW w:w="761" w:type="dxa"/>
            <w:vAlign w:val="center"/>
          </w:tcPr>
          <w:p w14:paraId="19620CD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w:t>
            </w:r>
          </w:p>
        </w:tc>
        <w:tc>
          <w:tcPr>
            <w:tcW w:w="761" w:type="dxa"/>
            <w:vAlign w:val="center"/>
          </w:tcPr>
          <w:p w14:paraId="619339B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w:t>
            </w:r>
          </w:p>
        </w:tc>
        <w:tc>
          <w:tcPr>
            <w:tcW w:w="761" w:type="dxa"/>
            <w:vAlign w:val="center"/>
          </w:tcPr>
          <w:p w14:paraId="681A3F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814" w:type="dxa"/>
            <w:vAlign w:val="center"/>
          </w:tcPr>
          <w:p w14:paraId="520BB4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814" w:type="dxa"/>
            <w:vAlign w:val="center"/>
          </w:tcPr>
          <w:p w14:paraId="2614106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61" w:type="dxa"/>
            <w:vAlign w:val="center"/>
          </w:tcPr>
          <w:p w14:paraId="6AC73D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61" w:type="dxa"/>
            <w:vAlign w:val="center"/>
          </w:tcPr>
          <w:p w14:paraId="7888928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47</w:t>
            </w:r>
          </w:p>
        </w:tc>
        <w:tc>
          <w:tcPr>
            <w:tcW w:w="814" w:type="dxa"/>
            <w:vAlign w:val="center"/>
          </w:tcPr>
          <w:p w14:paraId="2A6A75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w:t>
            </w:r>
          </w:p>
        </w:tc>
        <w:tc>
          <w:tcPr>
            <w:tcW w:w="761" w:type="dxa"/>
            <w:vAlign w:val="center"/>
          </w:tcPr>
          <w:p w14:paraId="512A80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43</w:t>
            </w:r>
          </w:p>
        </w:tc>
      </w:tr>
      <w:tr w:rsidR="00FD50F6" w:rsidRPr="00FD50F6" w14:paraId="164753CE" w14:textId="77777777" w:rsidTr="002B733E">
        <w:trPr>
          <w:trHeight w:val="397"/>
          <w:jc w:val="center"/>
        </w:trPr>
        <w:tc>
          <w:tcPr>
            <w:tcW w:w="705" w:type="dxa"/>
            <w:vAlign w:val="center"/>
          </w:tcPr>
          <w:p w14:paraId="7186FA4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623D49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761" w:type="dxa"/>
            <w:vAlign w:val="center"/>
          </w:tcPr>
          <w:p w14:paraId="644B7B7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761" w:type="dxa"/>
            <w:vAlign w:val="center"/>
          </w:tcPr>
          <w:p w14:paraId="3ECBA1C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61" w:type="dxa"/>
            <w:vAlign w:val="center"/>
          </w:tcPr>
          <w:p w14:paraId="250A0F3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0s</w:t>
            </w:r>
            <w:r w:rsidRPr="00FD50F6">
              <w:rPr>
                <w:rFonts w:ascii="Calibri" w:hAnsi="Calibri" w:cs="Times New Roman" w:hint="eastAsia"/>
                <w:b/>
                <w:sz w:val="18"/>
                <w:szCs w:val="24"/>
              </w:rPr>
              <w:t>’</w:t>
            </w:r>
          </w:p>
        </w:tc>
        <w:tc>
          <w:tcPr>
            <w:tcW w:w="814" w:type="dxa"/>
            <w:vAlign w:val="center"/>
          </w:tcPr>
          <w:p w14:paraId="0DF63BC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1s</w:t>
            </w:r>
            <w:r w:rsidRPr="00FD50F6">
              <w:rPr>
                <w:rFonts w:ascii="Calibri" w:hAnsi="Calibri" w:cs="Times New Roman" w:hint="eastAsia"/>
                <w:b/>
                <w:sz w:val="18"/>
                <w:szCs w:val="24"/>
              </w:rPr>
              <w:t>’</w:t>
            </w:r>
          </w:p>
        </w:tc>
        <w:tc>
          <w:tcPr>
            <w:tcW w:w="814" w:type="dxa"/>
            <w:vAlign w:val="center"/>
          </w:tcPr>
          <w:p w14:paraId="3A5FD46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2s</w:t>
            </w:r>
            <w:r w:rsidRPr="00FD50F6">
              <w:rPr>
                <w:rFonts w:ascii="Calibri" w:hAnsi="Calibri" w:cs="Times New Roman" w:hint="eastAsia"/>
                <w:b/>
                <w:sz w:val="18"/>
                <w:szCs w:val="24"/>
              </w:rPr>
              <w:t>’</w:t>
            </w:r>
          </w:p>
        </w:tc>
        <w:tc>
          <w:tcPr>
            <w:tcW w:w="761" w:type="dxa"/>
            <w:vAlign w:val="center"/>
          </w:tcPr>
          <w:p w14:paraId="096433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3s</w:t>
            </w:r>
            <w:r w:rsidRPr="00FD50F6">
              <w:rPr>
                <w:rFonts w:ascii="Calibri" w:hAnsi="Calibri" w:cs="Times New Roman" w:hint="eastAsia"/>
                <w:b/>
                <w:sz w:val="18"/>
                <w:szCs w:val="24"/>
              </w:rPr>
              <w:t>’</w:t>
            </w:r>
          </w:p>
        </w:tc>
        <w:tc>
          <w:tcPr>
            <w:tcW w:w="761" w:type="dxa"/>
            <w:vAlign w:val="center"/>
          </w:tcPr>
          <w:p w14:paraId="64097BC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4s</w:t>
            </w:r>
            <w:r w:rsidRPr="00FD50F6">
              <w:rPr>
                <w:rFonts w:ascii="Calibri" w:hAnsi="Calibri" w:cs="Times New Roman" w:hint="eastAsia"/>
                <w:b/>
                <w:sz w:val="18"/>
                <w:szCs w:val="24"/>
              </w:rPr>
              <w:t>’</w:t>
            </w:r>
          </w:p>
        </w:tc>
        <w:tc>
          <w:tcPr>
            <w:tcW w:w="814" w:type="dxa"/>
            <w:vAlign w:val="center"/>
          </w:tcPr>
          <w:p w14:paraId="5ADE93D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61" w:type="dxa"/>
            <w:vAlign w:val="center"/>
          </w:tcPr>
          <w:p w14:paraId="27DAF72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4F0F025A" w14:textId="77777777" w:rsidTr="002B733E">
        <w:trPr>
          <w:trHeight w:val="397"/>
          <w:jc w:val="center"/>
        </w:trPr>
        <w:tc>
          <w:tcPr>
            <w:tcW w:w="705" w:type="dxa"/>
            <w:vAlign w:val="center"/>
          </w:tcPr>
          <w:p w14:paraId="4966BC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05643D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235</w:t>
            </w:r>
          </w:p>
        </w:tc>
        <w:tc>
          <w:tcPr>
            <w:tcW w:w="761" w:type="dxa"/>
            <w:vAlign w:val="center"/>
          </w:tcPr>
          <w:p w14:paraId="71A323A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227</w:t>
            </w:r>
          </w:p>
        </w:tc>
        <w:tc>
          <w:tcPr>
            <w:tcW w:w="761" w:type="dxa"/>
            <w:vAlign w:val="center"/>
          </w:tcPr>
          <w:p w14:paraId="1A9BC3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61" w:type="dxa"/>
            <w:vAlign w:val="center"/>
          </w:tcPr>
          <w:p w14:paraId="64A77C2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814" w:type="dxa"/>
            <w:vAlign w:val="center"/>
          </w:tcPr>
          <w:p w14:paraId="0852098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613</w:t>
            </w:r>
          </w:p>
        </w:tc>
        <w:tc>
          <w:tcPr>
            <w:tcW w:w="814" w:type="dxa"/>
            <w:vAlign w:val="center"/>
          </w:tcPr>
          <w:p w14:paraId="4E437BF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685</w:t>
            </w:r>
          </w:p>
        </w:tc>
        <w:tc>
          <w:tcPr>
            <w:tcW w:w="761" w:type="dxa"/>
            <w:vAlign w:val="center"/>
          </w:tcPr>
          <w:p w14:paraId="0DF6C3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728</w:t>
            </w:r>
          </w:p>
        </w:tc>
        <w:tc>
          <w:tcPr>
            <w:tcW w:w="761" w:type="dxa"/>
            <w:vAlign w:val="center"/>
          </w:tcPr>
          <w:p w14:paraId="4EC3C9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865</w:t>
            </w:r>
          </w:p>
        </w:tc>
        <w:tc>
          <w:tcPr>
            <w:tcW w:w="814" w:type="dxa"/>
            <w:vAlign w:val="center"/>
          </w:tcPr>
          <w:p w14:paraId="480994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1" w:type="dxa"/>
            <w:vAlign w:val="center"/>
          </w:tcPr>
          <w:p w14:paraId="328FBB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67B3E48F" w14:textId="77777777" w:rsidTr="002B733E">
        <w:trPr>
          <w:trHeight w:val="397"/>
          <w:jc w:val="center"/>
        </w:trPr>
        <w:tc>
          <w:tcPr>
            <w:tcW w:w="705" w:type="dxa"/>
            <w:vAlign w:val="center"/>
          </w:tcPr>
          <w:p w14:paraId="0DDA25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04E984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w:t>
            </w:r>
          </w:p>
        </w:tc>
        <w:tc>
          <w:tcPr>
            <w:tcW w:w="761" w:type="dxa"/>
            <w:vAlign w:val="center"/>
          </w:tcPr>
          <w:p w14:paraId="0D9526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w:t>
            </w:r>
          </w:p>
        </w:tc>
        <w:tc>
          <w:tcPr>
            <w:tcW w:w="761" w:type="dxa"/>
            <w:vAlign w:val="center"/>
          </w:tcPr>
          <w:p w14:paraId="2DEE8F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61" w:type="dxa"/>
            <w:vAlign w:val="center"/>
          </w:tcPr>
          <w:p w14:paraId="3411DA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4084</w:t>
            </w:r>
          </w:p>
        </w:tc>
        <w:tc>
          <w:tcPr>
            <w:tcW w:w="814" w:type="dxa"/>
            <w:vAlign w:val="center"/>
          </w:tcPr>
          <w:p w14:paraId="2BF219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4071</w:t>
            </w:r>
          </w:p>
        </w:tc>
        <w:tc>
          <w:tcPr>
            <w:tcW w:w="814" w:type="dxa"/>
            <w:vAlign w:val="center"/>
          </w:tcPr>
          <w:p w14:paraId="01C021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4045</w:t>
            </w:r>
          </w:p>
        </w:tc>
        <w:tc>
          <w:tcPr>
            <w:tcW w:w="761" w:type="dxa"/>
            <w:vAlign w:val="center"/>
          </w:tcPr>
          <w:p w14:paraId="42D1A5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4004</w:t>
            </w:r>
          </w:p>
        </w:tc>
        <w:tc>
          <w:tcPr>
            <w:tcW w:w="761" w:type="dxa"/>
            <w:vAlign w:val="center"/>
          </w:tcPr>
          <w:p w14:paraId="7FD2B1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3858</w:t>
            </w:r>
          </w:p>
        </w:tc>
        <w:tc>
          <w:tcPr>
            <w:tcW w:w="814" w:type="dxa"/>
            <w:vAlign w:val="center"/>
          </w:tcPr>
          <w:p w14:paraId="50E3AD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1" w:type="dxa"/>
            <w:vAlign w:val="center"/>
          </w:tcPr>
          <w:p w14:paraId="498754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7B5428F9" w14:textId="77777777" w:rsidR="002B733E" w:rsidRPr="00FD50F6" w:rsidRDefault="002B733E" w:rsidP="002B733E">
      <w:pPr>
        <w:spacing w:line="240" w:lineRule="auto"/>
        <w:jc w:val="center"/>
        <w:rPr>
          <w:rFonts w:ascii="黑体" w:eastAsia="黑体" w:hAnsi="黑体" w:cs="Times New Roman"/>
          <w:sz w:val="21"/>
          <w:szCs w:val="24"/>
        </w:rPr>
      </w:pPr>
    </w:p>
    <w:p w14:paraId="66B4CF4B" w14:textId="77777777" w:rsidR="002B733E" w:rsidRPr="00FD50F6" w:rsidRDefault="002B733E" w:rsidP="002B733E">
      <w:pPr>
        <w:spacing w:line="240" w:lineRule="auto"/>
        <w:jc w:val="center"/>
        <w:rPr>
          <w:rFonts w:ascii="黑体" w:eastAsia="黑体" w:hAnsi="黑体" w:cs="Times New Roman"/>
          <w:sz w:val="21"/>
          <w:szCs w:val="24"/>
        </w:rPr>
      </w:pPr>
    </w:p>
    <w:p w14:paraId="41814D62"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C.0.1-3</w:t>
      </w:r>
      <w:r w:rsidRPr="00FD50F6">
        <w:rPr>
          <w:rFonts w:ascii="黑体" w:eastAsia="黑体" w:hAnsi="黑体" w:cs="Times New Roman" w:hint="eastAsia"/>
          <w:sz w:val="21"/>
          <w:szCs w:val="24"/>
        </w:rPr>
        <w:t xml:space="preserve">  隧道内区间直线地段设备限界坐标值（mm）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2"/>
        <w:gridCol w:w="819"/>
        <w:gridCol w:w="820"/>
        <w:gridCol w:w="766"/>
        <w:gridCol w:w="766"/>
        <w:gridCol w:w="766"/>
        <w:gridCol w:w="766"/>
        <w:gridCol w:w="766"/>
        <w:gridCol w:w="766"/>
        <w:gridCol w:w="820"/>
        <w:gridCol w:w="761"/>
      </w:tblGrid>
      <w:tr w:rsidR="00FD50F6" w:rsidRPr="00FD50F6" w14:paraId="4CA3DBD5" w14:textId="77777777" w:rsidTr="002B733E">
        <w:trPr>
          <w:trHeight w:val="397"/>
          <w:jc w:val="center"/>
        </w:trPr>
        <w:tc>
          <w:tcPr>
            <w:tcW w:w="712" w:type="dxa"/>
            <w:vAlign w:val="center"/>
          </w:tcPr>
          <w:p w14:paraId="188279F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9" w:type="dxa"/>
            <w:vAlign w:val="center"/>
          </w:tcPr>
          <w:p w14:paraId="608E295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820" w:type="dxa"/>
            <w:vAlign w:val="center"/>
          </w:tcPr>
          <w:p w14:paraId="48D4A6F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66" w:type="dxa"/>
            <w:vAlign w:val="center"/>
          </w:tcPr>
          <w:p w14:paraId="2115A8E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66" w:type="dxa"/>
            <w:vAlign w:val="center"/>
          </w:tcPr>
          <w:p w14:paraId="56FD334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66" w:type="dxa"/>
            <w:vAlign w:val="center"/>
          </w:tcPr>
          <w:p w14:paraId="4AA42B3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66" w:type="dxa"/>
            <w:vAlign w:val="center"/>
          </w:tcPr>
          <w:p w14:paraId="1719C3D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66" w:type="dxa"/>
            <w:vAlign w:val="center"/>
          </w:tcPr>
          <w:p w14:paraId="527A6B5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66" w:type="dxa"/>
            <w:vAlign w:val="center"/>
          </w:tcPr>
          <w:p w14:paraId="3D75B65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820" w:type="dxa"/>
            <w:vAlign w:val="center"/>
          </w:tcPr>
          <w:p w14:paraId="67E0DC2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61" w:type="dxa"/>
            <w:vAlign w:val="center"/>
          </w:tcPr>
          <w:p w14:paraId="3869C4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r>
      <w:tr w:rsidR="00FD50F6" w:rsidRPr="00FD50F6" w14:paraId="298E476D" w14:textId="77777777" w:rsidTr="002B733E">
        <w:trPr>
          <w:trHeight w:val="397"/>
          <w:jc w:val="center"/>
        </w:trPr>
        <w:tc>
          <w:tcPr>
            <w:tcW w:w="712" w:type="dxa"/>
            <w:vAlign w:val="center"/>
          </w:tcPr>
          <w:p w14:paraId="45354D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9" w:type="dxa"/>
            <w:vAlign w:val="center"/>
          </w:tcPr>
          <w:p w14:paraId="28F865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820" w:type="dxa"/>
            <w:vAlign w:val="center"/>
          </w:tcPr>
          <w:p w14:paraId="5C47DC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679</w:t>
            </w:r>
          </w:p>
        </w:tc>
        <w:tc>
          <w:tcPr>
            <w:tcW w:w="766" w:type="dxa"/>
            <w:vAlign w:val="center"/>
          </w:tcPr>
          <w:p w14:paraId="4BD4FF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767</w:t>
            </w:r>
          </w:p>
        </w:tc>
        <w:tc>
          <w:tcPr>
            <w:tcW w:w="766" w:type="dxa"/>
            <w:vAlign w:val="center"/>
          </w:tcPr>
          <w:p w14:paraId="455916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783</w:t>
            </w:r>
          </w:p>
        </w:tc>
        <w:tc>
          <w:tcPr>
            <w:tcW w:w="766" w:type="dxa"/>
            <w:vAlign w:val="center"/>
          </w:tcPr>
          <w:p w14:paraId="05AFD5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944</w:t>
            </w:r>
          </w:p>
        </w:tc>
        <w:tc>
          <w:tcPr>
            <w:tcW w:w="766" w:type="dxa"/>
            <w:vAlign w:val="center"/>
          </w:tcPr>
          <w:p w14:paraId="45A9F4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960</w:t>
            </w:r>
          </w:p>
        </w:tc>
        <w:tc>
          <w:tcPr>
            <w:tcW w:w="766" w:type="dxa"/>
            <w:vAlign w:val="center"/>
          </w:tcPr>
          <w:p w14:paraId="2418F3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1023</w:t>
            </w:r>
          </w:p>
        </w:tc>
        <w:tc>
          <w:tcPr>
            <w:tcW w:w="766" w:type="dxa"/>
            <w:vAlign w:val="center"/>
          </w:tcPr>
          <w:p w14:paraId="6C43AED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1093</w:t>
            </w:r>
          </w:p>
        </w:tc>
        <w:tc>
          <w:tcPr>
            <w:tcW w:w="820" w:type="dxa"/>
            <w:vAlign w:val="center"/>
          </w:tcPr>
          <w:p w14:paraId="7B96CF9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1171</w:t>
            </w:r>
          </w:p>
        </w:tc>
        <w:tc>
          <w:tcPr>
            <w:tcW w:w="761" w:type="dxa"/>
            <w:vAlign w:val="center"/>
          </w:tcPr>
          <w:p w14:paraId="63A770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1283</w:t>
            </w:r>
          </w:p>
        </w:tc>
      </w:tr>
      <w:tr w:rsidR="00FD50F6" w:rsidRPr="00FD50F6" w14:paraId="44AC3E60" w14:textId="77777777" w:rsidTr="002B733E">
        <w:trPr>
          <w:trHeight w:val="397"/>
          <w:jc w:val="center"/>
        </w:trPr>
        <w:tc>
          <w:tcPr>
            <w:tcW w:w="712" w:type="dxa"/>
            <w:vAlign w:val="center"/>
          </w:tcPr>
          <w:p w14:paraId="5256D7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9" w:type="dxa"/>
            <w:vAlign w:val="center"/>
          </w:tcPr>
          <w:p w14:paraId="689408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w:t>
            </w:r>
            <w:r w:rsidRPr="00FD50F6">
              <w:rPr>
                <w:rFonts w:ascii="Calibri" w:hAnsi="Calibri" w:cs="Times New Roman"/>
                <w:sz w:val="18"/>
                <w:szCs w:val="24"/>
              </w:rPr>
              <w:t>32</w:t>
            </w:r>
          </w:p>
        </w:tc>
        <w:tc>
          <w:tcPr>
            <w:tcW w:w="820" w:type="dxa"/>
            <w:vAlign w:val="center"/>
          </w:tcPr>
          <w:p w14:paraId="1220B3E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393</w:t>
            </w:r>
            <w:r w:rsidRPr="00FD50F6">
              <w:rPr>
                <w:rFonts w:ascii="Calibri" w:hAnsi="Calibri" w:cs="Times New Roman"/>
                <w:sz w:val="18"/>
                <w:szCs w:val="24"/>
              </w:rPr>
              <w:t>6</w:t>
            </w:r>
          </w:p>
        </w:tc>
        <w:tc>
          <w:tcPr>
            <w:tcW w:w="766" w:type="dxa"/>
            <w:vAlign w:val="center"/>
          </w:tcPr>
          <w:p w14:paraId="0BA151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3901</w:t>
            </w:r>
          </w:p>
        </w:tc>
        <w:tc>
          <w:tcPr>
            <w:tcW w:w="766" w:type="dxa"/>
            <w:vAlign w:val="center"/>
          </w:tcPr>
          <w:p w14:paraId="46B0F2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3885</w:t>
            </w:r>
          </w:p>
        </w:tc>
        <w:tc>
          <w:tcPr>
            <w:tcW w:w="766" w:type="dxa"/>
            <w:vAlign w:val="center"/>
          </w:tcPr>
          <w:p w14:paraId="0D6001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3844</w:t>
            </w:r>
          </w:p>
        </w:tc>
        <w:tc>
          <w:tcPr>
            <w:tcW w:w="766" w:type="dxa"/>
            <w:vAlign w:val="center"/>
          </w:tcPr>
          <w:p w14:paraId="3721F5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3831</w:t>
            </w:r>
          </w:p>
        </w:tc>
        <w:tc>
          <w:tcPr>
            <w:tcW w:w="766" w:type="dxa"/>
            <w:vAlign w:val="center"/>
          </w:tcPr>
          <w:p w14:paraId="2CC2D5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3764</w:t>
            </w:r>
          </w:p>
        </w:tc>
        <w:tc>
          <w:tcPr>
            <w:tcW w:w="766" w:type="dxa"/>
            <w:vAlign w:val="center"/>
          </w:tcPr>
          <w:p w14:paraId="4985914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3727</w:t>
            </w:r>
          </w:p>
        </w:tc>
        <w:tc>
          <w:tcPr>
            <w:tcW w:w="820" w:type="dxa"/>
            <w:vAlign w:val="center"/>
          </w:tcPr>
          <w:p w14:paraId="24231B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3701</w:t>
            </w:r>
          </w:p>
        </w:tc>
        <w:tc>
          <w:tcPr>
            <w:tcW w:w="761" w:type="dxa"/>
            <w:vAlign w:val="center"/>
          </w:tcPr>
          <w:p w14:paraId="71DCF4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3657</w:t>
            </w:r>
          </w:p>
        </w:tc>
      </w:tr>
      <w:tr w:rsidR="00FD50F6" w:rsidRPr="00FD50F6" w14:paraId="1005F116" w14:textId="77777777" w:rsidTr="002B733E">
        <w:trPr>
          <w:trHeight w:val="397"/>
          <w:jc w:val="center"/>
        </w:trPr>
        <w:tc>
          <w:tcPr>
            <w:tcW w:w="712" w:type="dxa"/>
            <w:vAlign w:val="center"/>
          </w:tcPr>
          <w:p w14:paraId="1EE1B77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9" w:type="dxa"/>
            <w:vAlign w:val="center"/>
          </w:tcPr>
          <w:p w14:paraId="54488B8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820" w:type="dxa"/>
            <w:vAlign w:val="center"/>
          </w:tcPr>
          <w:p w14:paraId="7E1E7DF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66" w:type="dxa"/>
            <w:vAlign w:val="center"/>
          </w:tcPr>
          <w:p w14:paraId="72D302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66" w:type="dxa"/>
            <w:vAlign w:val="center"/>
          </w:tcPr>
          <w:p w14:paraId="241DB5E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66" w:type="dxa"/>
            <w:vAlign w:val="center"/>
          </w:tcPr>
          <w:p w14:paraId="22D8284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66" w:type="dxa"/>
            <w:vAlign w:val="center"/>
          </w:tcPr>
          <w:p w14:paraId="598DD89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66" w:type="dxa"/>
            <w:vAlign w:val="center"/>
          </w:tcPr>
          <w:p w14:paraId="31BB574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66" w:type="dxa"/>
            <w:vAlign w:val="center"/>
          </w:tcPr>
          <w:p w14:paraId="7B0EFAC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820" w:type="dxa"/>
            <w:vAlign w:val="center"/>
          </w:tcPr>
          <w:p w14:paraId="08B79DE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61" w:type="dxa"/>
            <w:vAlign w:val="center"/>
          </w:tcPr>
          <w:p w14:paraId="0731794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5E2A4436" w14:textId="77777777" w:rsidTr="002B733E">
        <w:trPr>
          <w:trHeight w:val="397"/>
          <w:jc w:val="center"/>
        </w:trPr>
        <w:tc>
          <w:tcPr>
            <w:tcW w:w="712" w:type="dxa"/>
            <w:vAlign w:val="center"/>
          </w:tcPr>
          <w:p w14:paraId="4EFE822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9" w:type="dxa"/>
            <w:vAlign w:val="center"/>
          </w:tcPr>
          <w:p w14:paraId="14D2FB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1367</w:t>
            </w:r>
          </w:p>
        </w:tc>
        <w:tc>
          <w:tcPr>
            <w:tcW w:w="820" w:type="dxa"/>
            <w:vAlign w:val="center"/>
          </w:tcPr>
          <w:p w14:paraId="7CF85A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1404</w:t>
            </w:r>
          </w:p>
        </w:tc>
        <w:tc>
          <w:tcPr>
            <w:tcW w:w="766" w:type="dxa"/>
            <w:vAlign w:val="center"/>
          </w:tcPr>
          <w:p w14:paraId="5EA87D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1431</w:t>
            </w:r>
          </w:p>
        </w:tc>
        <w:tc>
          <w:tcPr>
            <w:tcW w:w="766" w:type="dxa"/>
            <w:vAlign w:val="center"/>
          </w:tcPr>
          <w:p w14:paraId="00F52B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1460</w:t>
            </w:r>
          </w:p>
        </w:tc>
        <w:tc>
          <w:tcPr>
            <w:tcW w:w="766" w:type="dxa"/>
            <w:vAlign w:val="center"/>
          </w:tcPr>
          <w:p w14:paraId="58A1CE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1487</w:t>
            </w:r>
          </w:p>
        </w:tc>
        <w:tc>
          <w:tcPr>
            <w:tcW w:w="766" w:type="dxa"/>
            <w:vAlign w:val="center"/>
          </w:tcPr>
          <w:p w14:paraId="52857E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1509</w:t>
            </w:r>
          </w:p>
        </w:tc>
        <w:tc>
          <w:tcPr>
            <w:tcW w:w="766" w:type="dxa"/>
            <w:vAlign w:val="center"/>
          </w:tcPr>
          <w:p w14:paraId="66502F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1530</w:t>
            </w:r>
          </w:p>
        </w:tc>
        <w:tc>
          <w:tcPr>
            <w:tcW w:w="766" w:type="dxa"/>
            <w:vAlign w:val="center"/>
          </w:tcPr>
          <w:p w14:paraId="2D43F6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1550</w:t>
            </w:r>
          </w:p>
        </w:tc>
        <w:tc>
          <w:tcPr>
            <w:tcW w:w="820" w:type="dxa"/>
            <w:vAlign w:val="center"/>
          </w:tcPr>
          <w:p w14:paraId="235DC0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1564</w:t>
            </w:r>
          </w:p>
        </w:tc>
        <w:tc>
          <w:tcPr>
            <w:tcW w:w="761" w:type="dxa"/>
            <w:vAlign w:val="center"/>
          </w:tcPr>
          <w:p w14:paraId="5EB844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1574</w:t>
            </w:r>
          </w:p>
        </w:tc>
      </w:tr>
      <w:tr w:rsidR="00FD50F6" w:rsidRPr="00FD50F6" w14:paraId="36C22BDE" w14:textId="77777777" w:rsidTr="002B733E">
        <w:trPr>
          <w:trHeight w:val="397"/>
          <w:jc w:val="center"/>
        </w:trPr>
        <w:tc>
          <w:tcPr>
            <w:tcW w:w="712" w:type="dxa"/>
            <w:vAlign w:val="center"/>
          </w:tcPr>
          <w:p w14:paraId="1687C2E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9" w:type="dxa"/>
            <w:vAlign w:val="center"/>
          </w:tcPr>
          <w:p w14:paraId="714CF8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3615</w:t>
            </w:r>
          </w:p>
        </w:tc>
        <w:tc>
          <w:tcPr>
            <w:tcW w:w="820" w:type="dxa"/>
            <w:vAlign w:val="center"/>
          </w:tcPr>
          <w:p w14:paraId="30E065C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3595</w:t>
            </w:r>
          </w:p>
        </w:tc>
        <w:tc>
          <w:tcPr>
            <w:tcW w:w="766" w:type="dxa"/>
            <w:vAlign w:val="center"/>
          </w:tcPr>
          <w:p w14:paraId="2BACFE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3578</w:t>
            </w:r>
          </w:p>
        </w:tc>
        <w:tc>
          <w:tcPr>
            <w:tcW w:w="766" w:type="dxa"/>
            <w:vAlign w:val="center"/>
          </w:tcPr>
          <w:p w14:paraId="26B4D5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3560</w:t>
            </w:r>
          </w:p>
        </w:tc>
        <w:tc>
          <w:tcPr>
            <w:tcW w:w="766" w:type="dxa"/>
            <w:vAlign w:val="center"/>
          </w:tcPr>
          <w:p w14:paraId="028198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3539</w:t>
            </w:r>
          </w:p>
        </w:tc>
        <w:tc>
          <w:tcPr>
            <w:tcW w:w="766" w:type="dxa"/>
            <w:vAlign w:val="center"/>
          </w:tcPr>
          <w:p w14:paraId="40BDDD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3520</w:t>
            </w:r>
          </w:p>
        </w:tc>
        <w:tc>
          <w:tcPr>
            <w:tcW w:w="766" w:type="dxa"/>
            <w:vAlign w:val="center"/>
          </w:tcPr>
          <w:p w14:paraId="4EF200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3500</w:t>
            </w:r>
          </w:p>
        </w:tc>
        <w:tc>
          <w:tcPr>
            <w:tcW w:w="766" w:type="dxa"/>
            <w:vAlign w:val="center"/>
          </w:tcPr>
          <w:p w14:paraId="350AEE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3477</w:t>
            </w:r>
          </w:p>
        </w:tc>
        <w:tc>
          <w:tcPr>
            <w:tcW w:w="820" w:type="dxa"/>
            <w:vAlign w:val="center"/>
          </w:tcPr>
          <w:p w14:paraId="7F6776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3457</w:t>
            </w:r>
          </w:p>
        </w:tc>
        <w:tc>
          <w:tcPr>
            <w:tcW w:w="761" w:type="dxa"/>
            <w:vAlign w:val="center"/>
          </w:tcPr>
          <w:p w14:paraId="3F30308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3180</w:t>
            </w:r>
          </w:p>
        </w:tc>
      </w:tr>
      <w:tr w:rsidR="00FD50F6" w:rsidRPr="00FD50F6" w14:paraId="3904EFE2" w14:textId="77777777" w:rsidTr="002B733E">
        <w:trPr>
          <w:trHeight w:val="397"/>
          <w:jc w:val="center"/>
        </w:trPr>
        <w:tc>
          <w:tcPr>
            <w:tcW w:w="712" w:type="dxa"/>
            <w:vAlign w:val="center"/>
          </w:tcPr>
          <w:p w14:paraId="5219BD6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9" w:type="dxa"/>
            <w:vAlign w:val="center"/>
          </w:tcPr>
          <w:p w14:paraId="4084563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820" w:type="dxa"/>
            <w:vAlign w:val="center"/>
          </w:tcPr>
          <w:p w14:paraId="2FEC332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66" w:type="dxa"/>
            <w:vAlign w:val="center"/>
          </w:tcPr>
          <w:p w14:paraId="137246D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66" w:type="dxa"/>
            <w:vAlign w:val="center"/>
          </w:tcPr>
          <w:p w14:paraId="2214756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766" w:type="dxa"/>
            <w:vAlign w:val="center"/>
          </w:tcPr>
          <w:p w14:paraId="05E7EA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766" w:type="dxa"/>
            <w:vAlign w:val="center"/>
          </w:tcPr>
          <w:p w14:paraId="2D28594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66" w:type="dxa"/>
            <w:vAlign w:val="center"/>
          </w:tcPr>
          <w:p w14:paraId="7FF69EB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66" w:type="dxa"/>
            <w:vAlign w:val="center"/>
          </w:tcPr>
          <w:p w14:paraId="333482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820" w:type="dxa"/>
            <w:vAlign w:val="center"/>
          </w:tcPr>
          <w:p w14:paraId="0075466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61" w:type="dxa"/>
            <w:vAlign w:val="center"/>
          </w:tcPr>
          <w:p w14:paraId="2E1A10D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455CCA4A" w14:textId="77777777" w:rsidTr="002B733E">
        <w:trPr>
          <w:trHeight w:val="397"/>
          <w:jc w:val="center"/>
        </w:trPr>
        <w:tc>
          <w:tcPr>
            <w:tcW w:w="712" w:type="dxa"/>
            <w:vAlign w:val="center"/>
          </w:tcPr>
          <w:p w14:paraId="0D7386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9" w:type="dxa"/>
            <w:vAlign w:val="center"/>
          </w:tcPr>
          <w:p w14:paraId="23E9C9A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1698</w:t>
            </w:r>
          </w:p>
        </w:tc>
        <w:tc>
          <w:tcPr>
            <w:tcW w:w="820" w:type="dxa"/>
            <w:vAlign w:val="center"/>
          </w:tcPr>
          <w:p w14:paraId="5AEA09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1699</w:t>
            </w:r>
          </w:p>
        </w:tc>
        <w:tc>
          <w:tcPr>
            <w:tcW w:w="766" w:type="dxa"/>
            <w:vAlign w:val="center"/>
          </w:tcPr>
          <w:p w14:paraId="5F74801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1698</w:t>
            </w:r>
          </w:p>
        </w:tc>
        <w:tc>
          <w:tcPr>
            <w:tcW w:w="766" w:type="dxa"/>
            <w:vAlign w:val="center"/>
          </w:tcPr>
          <w:p w14:paraId="136271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1695</w:t>
            </w:r>
          </w:p>
        </w:tc>
        <w:tc>
          <w:tcPr>
            <w:tcW w:w="766" w:type="dxa"/>
            <w:vAlign w:val="center"/>
          </w:tcPr>
          <w:p w14:paraId="42B0081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1628</w:t>
            </w:r>
          </w:p>
        </w:tc>
        <w:tc>
          <w:tcPr>
            <w:tcW w:w="766" w:type="dxa"/>
            <w:vAlign w:val="center"/>
          </w:tcPr>
          <w:p w14:paraId="76321E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1607</w:t>
            </w:r>
          </w:p>
        </w:tc>
        <w:tc>
          <w:tcPr>
            <w:tcW w:w="766" w:type="dxa"/>
            <w:vAlign w:val="center"/>
          </w:tcPr>
          <w:p w14:paraId="7BBDD3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1575</w:t>
            </w:r>
          </w:p>
        </w:tc>
        <w:tc>
          <w:tcPr>
            <w:tcW w:w="766" w:type="dxa"/>
            <w:vAlign w:val="center"/>
          </w:tcPr>
          <w:p w14:paraId="3C6CDBC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1570</w:t>
            </w:r>
          </w:p>
        </w:tc>
        <w:tc>
          <w:tcPr>
            <w:tcW w:w="820" w:type="dxa"/>
            <w:vAlign w:val="center"/>
          </w:tcPr>
          <w:p w14:paraId="373800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1563</w:t>
            </w:r>
          </w:p>
        </w:tc>
        <w:tc>
          <w:tcPr>
            <w:tcW w:w="761" w:type="dxa"/>
            <w:vAlign w:val="center"/>
          </w:tcPr>
          <w:p w14:paraId="7A73BE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1537</w:t>
            </w:r>
          </w:p>
        </w:tc>
      </w:tr>
      <w:tr w:rsidR="00FD50F6" w:rsidRPr="00FD50F6" w14:paraId="73DC274E" w14:textId="77777777" w:rsidTr="002B733E">
        <w:trPr>
          <w:trHeight w:val="397"/>
          <w:jc w:val="center"/>
        </w:trPr>
        <w:tc>
          <w:tcPr>
            <w:tcW w:w="712" w:type="dxa"/>
            <w:vAlign w:val="center"/>
          </w:tcPr>
          <w:p w14:paraId="13C954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9" w:type="dxa"/>
            <w:vAlign w:val="center"/>
          </w:tcPr>
          <w:p w14:paraId="2DB692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1741</w:t>
            </w:r>
          </w:p>
        </w:tc>
        <w:tc>
          <w:tcPr>
            <w:tcW w:w="820" w:type="dxa"/>
            <w:vAlign w:val="center"/>
          </w:tcPr>
          <w:p w14:paraId="500D2E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1688</w:t>
            </w:r>
          </w:p>
        </w:tc>
        <w:tc>
          <w:tcPr>
            <w:tcW w:w="766" w:type="dxa"/>
            <w:vAlign w:val="center"/>
          </w:tcPr>
          <w:p w14:paraId="24C645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1641</w:t>
            </w:r>
          </w:p>
        </w:tc>
        <w:tc>
          <w:tcPr>
            <w:tcW w:w="766" w:type="dxa"/>
            <w:vAlign w:val="center"/>
          </w:tcPr>
          <w:p w14:paraId="656BC8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1593</w:t>
            </w:r>
          </w:p>
        </w:tc>
        <w:tc>
          <w:tcPr>
            <w:tcW w:w="766" w:type="dxa"/>
            <w:vAlign w:val="center"/>
          </w:tcPr>
          <w:p w14:paraId="7305263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951</w:t>
            </w:r>
          </w:p>
        </w:tc>
        <w:tc>
          <w:tcPr>
            <w:tcW w:w="766" w:type="dxa"/>
            <w:vAlign w:val="center"/>
          </w:tcPr>
          <w:p w14:paraId="2797EF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749</w:t>
            </w:r>
          </w:p>
        </w:tc>
        <w:tc>
          <w:tcPr>
            <w:tcW w:w="766" w:type="dxa"/>
            <w:vAlign w:val="center"/>
          </w:tcPr>
          <w:p w14:paraId="0AD3E9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662</w:t>
            </w:r>
          </w:p>
        </w:tc>
        <w:tc>
          <w:tcPr>
            <w:tcW w:w="766" w:type="dxa"/>
            <w:vAlign w:val="center"/>
          </w:tcPr>
          <w:p w14:paraId="7EC382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657</w:t>
            </w:r>
          </w:p>
        </w:tc>
        <w:tc>
          <w:tcPr>
            <w:tcW w:w="820" w:type="dxa"/>
            <w:vAlign w:val="center"/>
          </w:tcPr>
          <w:p w14:paraId="2D668D5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652</w:t>
            </w:r>
          </w:p>
        </w:tc>
        <w:tc>
          <w:tcPr>
            <w:tcW w:w="761" w:type="dxa"/>
            <w:vAlign w:val="center"/>
          </w:tcPr>
          <w:p w14:paraId="5249CA2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584</w:t>
            </w:r>
          </w:p>
        </w:tc>
      </w:tr>
      <w:tr w:rsidR="00FD50F6" w:rsidRPr="00FD50F6" w14:paraId="56804AF7" w14:textId="77777777" w:rsidTr="002B733E">
        <w:trPr>
          <w:trHeight w:val="397"/>
          <w:jc w:val="center"/>
        </w:trPr>
        <w:tc>
          <w:tcPr>
            <w:tcW w:w="712" w:type="dxa"/>
            <w:vAlign w:val="center"/>
          </w:tcPr>
          <w:p w14:paraId="5FDCDAF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9" w:type="dxa"/>
            <w:vAlign w:val="center"/>
          </w:tcPr>
          <w:p w14:paraId="36C80FE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820" w:type="dxa"/>
            <w:vAlign w:val="center"/>
          </w:tcPr>
          <w:p w14:paraId="34175EF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766" w:type="dxa"/>
            <w:vAlign w:val="center"/>
          </w:tcPr>
          <w:p w14:paraId="7FA33D8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66" w:type="dxa"/>
            <w:vAlign w:val="center"/>
          </w:tcPr>
          <w:p w14:paraId="347DA59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766" w:type="dxa"/>
            <w:vAlign w:val="center"/>
          </w:tcPr>
          <w:p w14:paraId="53474BE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766" w:type="dxa"/>
            <w:vAlign w:val="center"/>
          </w:tcPr>
          <w:p w14:paraId="7136DA6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66" w:type="dxa"/>
            <w:vAlign w:val="center"/>
          </w:tcPr>
          <w:p w14:paraId="60651E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766" w:type="dxa"/>
            <w:vAlign w:val="center"/>
          </w:tcPr>
          <w:p w14:paraId="224FC4D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820" w:type="dxa"/>
            <w:vAlign w:val="center"/>
          </w:tcPr>
          <w:p w14:paraId="693ED8E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61" w:type="dxa"/>
            <w:vAlign w:val="center"/>
          </w:tcPr>
          <w:p w14:paraId="2B14C2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1BB5E2EE" w14:textId="77777777" w:rsidTr="002B733E">
        <w:trPr>
          <w:trHeight w:val="397"/>
          <w:jc w:val="center"/>
        </w:trPr>
        <w:tc>
          <w:tcPr>
            <w:tcW w:w="712" w:type="dxa"/>
            <w:vAlign w:val="center"/>
          </w:tcPr>
          <w:p w14:paraId="12C8D2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9" w:type="dxa"/>
            <w:vAlign w:val="center"/>
          </w:tcPr>
          <w:p w14:paraId="3D38B5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1524</w:t>
            </w:r>
          </w:p>
        </w:tc>
        <w:tc>
          <w:tcPr>
            <w:tcW w:w="820" w:type="dxa"/>
            <w:vAlign w:val="center"/>
          </w:tcPr>
          <w:p w14:paraId="439329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1522</w:t>
            </w:r>
          </w:p>
        </w:tc>
        <w:tc>
          <w:tcPr>
            <w:tcW w:w="766" w:type="dxa"/>
            <w:vAlign w:val="center"/>
          </w:tcPr>
          <w:p w14:paraId="7F9F5C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1493</w:t>
            </w:r>
          </w:p>
        </w:tc>
        <w:tc>
          <w:tcPr>
            <w:tcW w:w="766" w:type="dxa"/>
            <w:vAlign w:val="center"/>
          </w:tcPr>
          <w:p w14:paraId="1F9EC5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1442</w:t>
            </w:r>
          </w:p>
        </w:tc>
        <w:tc>
          <w:tcPr>
            <w:tcW w:w="766" w:type="dxa"/>
            <w:vAlign w:val="center"/>
          </w:tcPr>
          <w:p w14:paraId="28FDDD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1424</w:t>
            </w:r>
          </w:p>
        </w:tc>
        <w:tc>
          <w:tcPr>
            <w:tcW w:w="766" w:type="dxa"/>
            <w:vAlign w:val="center"/>
          </w:tcPr>
          <w:p w14:paraId="2E34E3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1394</w:t>
            </w:r>
          </w:p>
        </w:tc>
        <w:tc>
          <w:tcPr>
            <w:tcW w:w="766" w:type="dxa"/>
            <w:vAlign w:val="center"/>
          </w:tcPr>
          <w:p w14:paraId="3E1B3B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1392</w:t>
            </w:r>
          </w:p>
        </w:tc>
        <w:tc>
          <w:tcPr>
            <w:tcW w:w="766" w:type="dxa"/>
            <w:vAlign w:val="center"/>
          </w:tcPr>
          <w:p w14:paraId="35B528E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1385</w:t>
            </w:r>
          </w:p>
        </w:tc>
        <w:tc>
          <w:tcPr>
            <w:tcW w:w="820" w:type="dxa"/>
            <w:vAlign w:val="center"/>
          </w:tcPr>
          <w:p w14:paraId="01EF15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1295</w:t>
            </w:r>
          </w:p>
        </w:tc>
        <w:tc>
          <w:tcPr>
            <w:tcW w:w="761" w:type="dxa"/>
            <w:vAlign w:val="center"/>
          </w:tcPr>
          <w:p w14:paraId="4C0CA22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1283</w:t>
            </w:r>
          </w:p>
        </w:tc>
      </w:tr>
      <w:tr w:rsidR="00FD50F6" w:rsidRPr="00FD50F6" w14:paraId="72A3D5C9" w14:textId="77777777" w:rsidTr="002B733E">
        <w:trPr>
          <w:trHeight w:val="397"/>
          <w:jc w:val="center"/>
        </w:trPr>
        <w:tc>
          <w:tcPr>
            <w:tcW w:w="712" w:type="dxa"/>
            <w:vAlign w:val="center"/>
          </w:tcPr>
          <w:p w14:paraId="2BCF7B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9" w:type="dxa"/>
            <w:vAlign w:val="center"/>
          </w:tcPr>
          <w:p w14:paraId="51BD3D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585</w:t>
            </w:r>
          </w:p>
        </w:tc>
        <w:tc>
          <w:tcPr>
            <w:tcW w:w="820" w:type="dxa"/>
            <w:vAlign w:val="center"/>
          </w:tcPr>
          <w:p w14:paraId="63FCEF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541</w:t>
            </w:r>
          </w:p>
        </w:tc>
        <w:tc>
          <w:tcPr>
            <w:tcW w:w="766" w:type="dxa"/>
            <w:vAlign w:val="center"/>
          </w:tcPr>
          <w:p w14:paraId="79747C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462</w:t>
            </w:r>
          </w:p>
        </w:tc>
        <w:tc>
          <w:tcPr>
            <w:tcW w:w="766" w:type="dxa"/>
            <w:vAlign w:val="center"/>
          </w:tcPr>
          <w:p w14:paraId="04DD7C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w:t>
            </w:r>
          </w:p>
        </w:tc>
        <w:tc>
          <w:tcPr>
            <w:tcW w:w="766" w:type="dxa"/>
            <w:vAlign w:val="center"/>
          </w:tcPr>
          <w:p w14:paraId="400243F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319</w:t>
            </w:r>
          </w:p>
        </w:tc>
        <w:tc>
          <w:tcPr>
            <w:tcW w:w="766" w:type="dxa"/>
            <w:vAlign w:val="center"/>
          </w:tcPr>
          <w:p w14:paraId="31F625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319</w:t>
            </w:r>
          </w:p>
        </w:tc>
        <w:tc>
          <w:tcPr>
            <w:tcW w:w="766" w:type="dxa"/>
            <w:vAlign w:val="center"/>
          </w:tcPr>
          <w:p w14:paraId="4B0F90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280</w:t>
            </w:r>
          </w:p>
        </w:tc>
        <w:tc>
          <w:tcPr>
            <w:tcW w:w="766" w:type="dxa"/>
            <w:vAlign w:val="center"/>
          </w:tcPr>
          <w:p w14:paraId="2F254D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255</w:t>
            </w:r>
          </w:p>
        </w:tc>
        <w:tc>
          <w:tcPr>
            <w:tcW w:w="820" w:type="dxa"/>
            <w:vAlign w:val="center"/>
          </w:tcPr>
          <w:p w14:paraId="4511FA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266</w:t>
            </w:r>
          </w:p>
        </w:tc>
        <w:tc>
          <w:tcPr>
            <w:tcW w:w="761" w:type="dxa"/>
            <w:vAlign w:val="center"/>
          </w:tcPr>
          <w:p w14:paraId="5DB48D7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250</w:t>
            </w:r>
          </w:p>
        </w:tc>
      </w:tr>
      <w:tr w:rsidR="00FD50F6" w:rsidRPr="00FD50F6" w14:paraId="30F2A0EF" w14:textId="77777777" w:rsidTr="002B733E">
        <w:trPr>
          <w:trHeight w:val="397"/>
          <w:jc w:val="center"/>
        </w:trPr>
        <w:tc>
          <w:tcPr>
            <w:tcW w:w="712" w:type="dxa"/>
            <w:vAlign w:val="center"/>
          </w:tcPr>
          <w:p w14:paraId="124D6BC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9" w:type="dxa"/>
            <w:vAlign w:val="center"/>
          </w:tcPr>
          <w:p w14:paraId="3F2C1F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820" w:type="dxa"/>
            <w:vAlign w:val="center"/>
          </w:tcPr>
          <w:p w14:paraId="1ACE223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766" w:type="dxa"/>
            <w:vAlign w:val="center"/>
          </w:tcPr>
          <w:p w14:paraId="710391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66" w:type="dxa"/>
            <w:vAlign w:val="center"/>
          </w:tcPr>
          <w:p w14:paraId="30E3E0E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766" w:type="dxa"/>
            <w:vAlign w:val="center"/>
          </w:tcPr>
          <w:p w14:paraId="3137DB0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766" w:type="dxa"/>
            <w:vAlign w:val="center"/>
          </w:tcPr>
          <w:p w14:paraId="46DB797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66" w:type="dxa"/>
            <w:vAlign w:val="center"/>
          </w:tcPr>
          <w:p w14:paraId="6CCF616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766" w:type="dxa"/>
            <w:vAlign w:val="center"/>
          </w:tcPr>
          <w:p w14:paraId="6AD7CB4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820" w:type="dxa"/>
            <w:vAlign w:val="center"/>
          </w:tcPr>
          <w:p w14:paraId="739F865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61" w:type="dxa"/>
            <w:vAlign w:val="center"/>
          </w:tcPr>
          <w:p w14:paraId="49F0AB9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0E3FECEE" w14:textId="77777777" w:rsidTr="002B733E">
        <w:trPr>
          <w:trHeight w:val="397"/>
          <w:jc w:val="center"/>
        </w:trPr>
        <w:tc>
          <w:tcPr>
            <w:tcW w:w="712" w:type="dxa"/>
            <w:vAlign w:val="center"/>
          </w:tcPr>
          <w:p w14:paraId="6714C0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9" w:type="dxa"/>
            <w:vAlign w:val="center"/>
          </w:tcPr>
          <w:p w14:paraId="22315E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1210</w:t>
            </w:r>
          </w:p>
        </w:tc>
        <w:tc>
          <w:tcPr>
            <w:tcW w:w="820" w:type="dxa"/>
            <w:vAlign w:val="center"/>
          </w:tcPr>
          <w:p w14:paraId="5B082AE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1165</w:t>
            </w:r>
          </w:p>
        </w:tc>
        <w:tc>
          <w:tcPr>
            <w:tcW w:w="766" w:type="dxa"/>
            <w:vAlign w:val="center"/>
          </w:tcPr>
          <w:p w14:paraId="636255F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855</w:t>
            </w:r>
          </w:p>
        </w:tc>
        <w:tc>
          <w:tcPr>
            <w:tcW w:w="766" w:type="dxa"/>
            <w:vAlign w:val="center"/>
          </w:tcPr>
          <w:p w14:paraId="4E8845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854</w:t>
            </w:r>
          </w:p>
        </w:tc>
        <w:tc>
          <w:tcPr>
            <w:tcW w:w="766" w:type="dxa"/>
            <w:vAlign w:val="center"/>
          </w:tcPr>
          <w:p w14:paraId="5CDBA9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760</w:t>
            </w:r>
          </w:p>
        </w:tc>
        <w:tc>
          <w:tcPr>
            <w:tcW w:w="766" w:type="dxa"/>
            <w:vAlign w:val="center"/>
          </w:tcPr>
          <w:p w14:paraId="720F1E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759</w:t>
            </w:r>
          </w:p>
        </w:tc>
        <w:tc>
          <w:tcPr>
            <w:tcW w:w="766" w:type="dxa"/>
            <w:vAlign w:val="center"/>
          </w:tcPr>
          <w:p w14:paraId="490A6C9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634</w:t>
            </w:r>
          </w:p>
        </w:tc>
        <w:tc>
          <w:tcPr>
            <w:tcW w:w="766" w:type="dxa"/>
            <w:vAlign w:val="center"/>
          </w:tcPr>
          <w:p w14:paraId="2FF446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626</w:t>
            </w:r>
          </w:p>
        </w:tc>
        <w:tc>
          <w:tcPr>
            <w:tcW w:w="820" w:type="dxa"/>
            <w:vAlign w:val="center"/>
          </w:tcPr>
          <w:p w14:paraId="4939DE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543</w:t>
            </w:r>
          </w:p>
        </w:tc>
        <w:tc>
          <w:tcPr>
            <w:tcW w:w="761" w:type="dxa"/>
            <w:vAlign w:val="center"/>
          </w:tcPr>
          <w:p w14:paraId="4C12F4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535</w:t>
            </w:r>
          </w:p>
        </w:tc>
      </w:tr>
      <w:tr w:rsidR="00FD50F6" w:rsidRPr="00FD50F6" w14:paraId="7668C056" w14:textId="77777777" w:rsidTr="002B733E">
        <w:trPr>
          <w:trHeight w:val="397"/>
          <w:jc w:val="center"/>
        </w:trPr>
        <w:tc>
          <w:tcPr>
            <w:tcW w:w="712" w:type="dxa"/>
            <w:vAlign w:val="center"/>
          </w:tcPr>
          <w:p w14:paraId="457126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9" w:type="dxa"/>
            <w:vAlign w:val="center"/>
          </w:tcPr>
          <w:p w14:paraId="20DFC8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214</w:t>
            </w:r>
          </w:p>
        </w:tc>
        <w:tc>
          <w:tcPr>
            <w:tcW w:w="820" w:type="dxa"/>
            <w:vAlign w:val="center"/>
          </w:tcPr>
          <w:p w14:paraId="440D97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120</w:t>
            </w:r>
          </w:p>
        </w:tc>
        <w:tc>
          <w:tcPr>
            <w:tcW w:w="766" w:type="dxa"/>
            <w:vAlign w:val="center"/>
          </w:tcPr>
          <w:p w14:paraId="588ADF5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122</w:t>
            </w:r>
          </w:p>
        </w:tc>
        <w:tc>
          <w:tcPr>
            <w:tcW w:w="766" w:type="dxa"/>
            <w:vAlign w:val="center"/>
          </w:tcPr>
          <w:p w14:paraId="62A761A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766" w:type="dxa"/>
            <w:vAlign w:val="center"/>
          </w:tcPr>
          <w:p w14:paraId="4A5920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766" w:type="dxa"/>
            <w:vAlign w:val="center"/>
          </w:tcPr>
          <w:p w14:paraId="583FAAA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w:t>
            </w:r>
          </w:p>
        </w:tc>
        <w:tc>
          <w:tcPr>
            <w:tcW w:w="766" w:type="dxa"/>
            <w:vAlign w:val="center"/>
          </w:tcPr>
          <w:p w14:paraId="1D81D9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w:t>
            </w:r>
          </w:p>
        </w:tc>
        <w:tc>
          <w:tcPr>
            <w:tcW w:w="766" w:type="dxa"/>
            <w:vAlign w:val="center"/>
          </w:tcPr>
          <w:p w14:paraId="197562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820" w:type="dxa"/>
            <w:vAlign w:val="center"/>
          </w:tcPr>
          <w:p w14:paraId="474CAE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w:t>
            </w:r>
          </w:p>
        </w:tc>
        <w:tc>
          <w:tcPr>
            <w:tcW w:w="761" w:type="dxa"/>
            <w:vAlign w:val="center"/>
          </w:tcPr>
          <w:p w14:paraId="63D827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r>
      <w:tr w:rsidR="00FD50F6" w:rsidRPr="00FD50F6" w14:paraId="7991AC75" w14:textId="77777777" w:rsidTr="002B733E">
        <w:trPr>
          <w:trHeight w:val="397"/>
          <w:jc w:val="center"/>
        </w:trPr>
        <w:tc>
          <w:tcPr>
            <w:tcW w:w="712" w:type="dxa"/>
            <w:vAlign w:val="center"/>
          </w:tcPr>
          <w:p w14:paraId="2BA79DC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9" w:type="dxa"/>
            <w:vAlign w:val="center"/>
          </w:tcPr>
          <w:p w14:paraId="585BA7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820" w:type="dxa"/>
            <w:vAlign w:val="center"/>
          </w:tcPr>
          <w:p w14:paraId="4F487B9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766" w:type="dxa"/>
            <w:vAlign w:val="center"/>
          </w:tcPr>
          <w:p w14:paraId="2AB9174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66" w:type="dxa"/>
            <w:vAlign w:val="center"/>
          </w:tcPr>
          <w:p w14:paraId="19BFFCE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0s</w:t>
            </w:r>
            <w:r w:rsidRPr="00FD50F6">
              <w:rPr>
                <w:rFonts w:ascii="Calibri" w:hAnsi="Calibri" w:cs="Times New Roman" w:hint="eastAsia"/>
                <w:b/>
                <w:sz w:val="18"/>
                <w:szCs w:val="24"/>
              </w:rPr>
              <w:t>”</w:t>
            </w:r>
          </w:p>
        </w:tc>
        <w:tc>
          <w:tcPr>
            <w:tcW w:w="766" w:type="dxa"/>
            <w:vAlign w:val="center"/>
          </w:tcPr>
          <w:p w14:paraId="7556F80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1s</w:t>
            </w:r>
            <w:r w:rsidRPr="00FD50F6">
              <w:rPr>
                <w:rFonts w:ascii="Calibri" w:hAnsi="Calibri" w:cs="Times New Roman" w:hint="eastAsia"/>
                <w:b/>
                <w:sz w:val="18"/>
                <w:szCs w:val="24"/>
              </w:rPr>
              <w:t>”</w:t>
            </w:r>
          </w:p>
        </w:tc>
        <w:tc>
          <w:tcPr>
            <w:tcW w:w="766" w:type="dxa"/>
            <w:vAlign w:val="center"/>
          </w:tcPr>
          <w:p w14:paraId="2475D58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2s</w:t>
            </w:r>
            <w:r w:rsidRPr="00FD50F6">
              <w:rPr>
                <w:rFonts w:ascii="Calibri" w:hAnsi="Calibri" w:cs="Times New Roman" w:hint="eastAsia"/>
                <w:b/>
                <w:sz w:val="18"/>
                <w:szCs w:val="24"/>
              </w:rPr>
              <w:t>”</w:t>
            </w:r>
          </w:p>
        </w:tc>
        <w:tc>
          <w:tcPr>
            <w:tcW w:w="766" w:type="dxa"/>
            <w:vAlign w:val="center"/>
          </w:tcPr>
          <w:p w14:paraId="578E2DE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3s</w:t>
            </w:r>
            <w:r w:rsidRPr="00FD50F6">
              <w:rPr>
                <w:rFonts w:ascii="Calibri" w:hAnsi="Calibri" w:cs="Times New Roman" w:hint="eastAsia"/>
                <w:b/>
                <w:sz w:val="18"/>
                <w:szCs w:val="24"/>
              </w:rPr>
              <w:t>”</w:t>
            </w:r>
          </w:p>
        </w:tc>
        <w:tc>
          <w:tcPr>
            <w:tcW w:w="766" w:type="dxa"/>
            <w:vAlign w:val="center"/>
          </w:tcPr>
          <w:p w14:paraId="0483F3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4s</w:t>
            </w:r>
            <w:r w:rsidRPr="00FD50F6">
              <w:rPr>
                <w:rFonts w:ascii="Calibri" w:hAnsi="Calibri" w:cs="Times New Roman" w:hint="eastAsia"/>
                <w:b/>
                <w:sz w:val="18"/>
                <w:szCs w:val="24"/>
              </w:rPr>
              <w:t>”</w:t>
            </w:r>
          </w:p>
        </w:tc>
        <w:tc>
          <w:tcPr>
            <w:tcW w:w="820" w:type="dxa"/>
            <w:vAlign w:val="center"/>
          </w:tcPr>
          <w:p w14:paraId="5513D8C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61" w:type="dxa"/>
            <w:vAlign w:val="center"/>
          </w:tcPr>
          <w:p w14:paraId="75708B0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55EE2AD1" w14:textId="77777777" w:rsidTr="002B733E">
        <w:trPr>
          <w:trHeight w:val="397"/>
          <w:jc w:val="center"/>
        </w:trPr>
        <w:tc>
          <w:tcPr>
            <w:tcW w:w="712" w:type="dxa"/>
            <w:vAlign w:val="center"/>
          </w:tcPr>
          <w:p w14:paraId="6491F1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9" w:type="dxa"/>
            <w:vAlign w:val="center"/>
          </w:tcPr>
          <w:p w14:paraId="4DEB86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220</w:t>
            </w:r>
          </w:p>
        </w:tc>
        <w:tc>
          <w:tcPr>
            <w:tcW w:w="820" w:type="dxa"/>
            <w:vAlign w:val="center"/>
          </w:tcPr>
          <w:p w14:paraId="5F97DB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212</w:t>
            </w:r>
          </w:p>
        </w:tc>
        <w:tc>
          <w:tcPr>
            <w:tcW w:w="766" w:type="dxa"/>
            <w:vAlign w:val="center"/>
          </w:tcPr>
          <w:p w14:paraId="5FD9F1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66" w:type="dxa"/>
            <w:vAlign w:val="center"/>
          </w:tcPr>
          <w:p w14:paraId="4703EB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66" w:type="dxa"/>
            <w:vAlign w:val="center"/>
          </w:tcPr>
          <w:p w14:paraId="7C632B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713</w:t>
            </w:r>
          </w:p>
        </w:tc>
        <w:tc>
          <w:tcPr>
            <w:tcW w:w="766" w:type="dxa"/>
            <w:vAlign w:val="center"/>
          </w:tcPr>
          <w:p w14:paraId="0397A9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785</w:t>
            </w:r>
          </w:p>
        </w:tc>
        <w:tc>
          <w:tcPr>
            <w:tcW w:w="766" w:type="dxa"/>
            <w:vAlign w:val="center"/>
          </w:tcPr>
          <w:p w14:paraId="6C463F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828</w:t>
            </w:r>
          </w:p>
        </w:tc>
        <w:tc>
          <w:tcPr>
            <w:tcW w:w="766" w:type="dxa"/>
            <w:vAlign w:val="center"/>
          </w:tcPr>
          <w:p w14:paraId="5DF512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965</w:t>
            </w:r>
          </w:p>
        </w:tc>
        <w:tc>
          <w:tcPr>
            <w:tcW w:w="820" w:type="dxa"/>
            <w:vAlign w:val="center"/>
          </w:tcPr>
          <w:p w14:paraId="1DDA59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1" w:type="dxa"/>
            <w:vAlign w:val="center"/>
          </w:tcPr>
          <w:p w14:paraId="5C98332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6D02EE77" w14:textId="77777777" w:rsidTr="002B733E">
        <w:trPr>
          <w:trHeight w:val="397"/>
          <w:jc w:val="center"/>
        </w:trPr>
        <w:tc>
          <w:tcPr>
            <w:tcW w:w="712" w:type="dxa"/>
            <w:vAlign w:val="center"/>
          </w:tcPr>
          <w:p w14:paraId="2CED65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9" w:type="dxa"/>
            <w:vAlign w:val="center"/>
          </w:tcPr>
          <w:p w14:paraId="2A6537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w:t>
            </w:r>
          </w:p>
        </w:tc>
        <w:tc>
          <w:tcPr>
            <w:tcW w:w="820" w:type="dxa"/>
            <w:vAlign w:val="center"/>
          </w:tcPr>
          <w:p w14:paraId="08172D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w:t>
            </w:r>
          </w:p>
        </w:tc>
        <w:tc>
          <w:tcPr>
            <w:tcW w:w="766" w:type="dxa"/>
            <w:vAlign w:val="center"/>
          </w:tcPr>
          <w:p w14:paraId="7C37FA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p>
        </w:tc>
        <w:tc>
          <w:tcPr>
            <w:tcW w:w="766" w:type="dxa"/>
            <w:vAlign w:val="center"/>
          </w:tcPr>
          <w:p w14:paraId="0A9AC3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4144</w:t>
            </w:r>
          </w:p>
        </w:tc>
        <w:tc>
          <w:tcPr>
            <w:tcW w:w="766" w:type="dxa"/>
            <w:vAlign w:val="center"/>
          </w:tcPr>
          <w:p w14:paraId="6E408C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4131</w:t>
            </w:r>
          </w:p>
        </w:tc>
        <w:tc>
          <w:tcPr>
            <w:tcW w:w="766" w:type="dxa"/>
            <w:vAlign w:val="center"/>
          </w:tcPr>
          <w:p w14:paraId="3D59AF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4105</w:t>
            </w:r>
          </w:p>
        </w:tc>
        <w:tc>
          <w:tcPr>
            <w:tcW w:w="766" w:type="dxa"/>
            <w:vAlign w:val="center"/>
          </w:tcPr>
          <w:p w14:paraId="34BC63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4064</w:t>
            </w:r>
          </w:p>
        </w:tc>
        <w:tc>
          <w:tcPr>
            <w:tcW w:w="766" w:type="dxa"/>
            <w:vAlign w:val="center"/>
          </w:tcPr>
          <w:p w14:paraId="3A4FE01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3918</w:t>
            </w:r>
          </w:p>
        </w:tc>
        <w:tc>
          <w:tcPr>
            <w:tcW w:w="820" w:type="dxa"/>
            <w:vAlign w:val="center"/>
          </w:tcPr>
          <w:p w14:paraId="2553AA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1" w:type="dxa"/>
            <w:vAlign w:val="center"/>
          </w:tcPr>
          <w:p w14:paraId="15B8C8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24834EA8" w14:textId="77777777" w:rsidR="002B733E" w:rsidRPr="00FD50F6" w:rsidRDefault="002B733E" w:rsidP="002B733E">
      <w:pPr>
        <w:spacing w:line="240" w:lineRule="auto"/>
        <w:jc w:val="center"/>
        <w:rPr>
          <w:rFonts w:ascii="黑体" w:eastAsia="黑体" w:hAnsi="黑体" w:cs="Times New Roman"/>
          <w:sz w:val="21"/>
          <w:szCs w:val="24"/>
        </w:rPr>
      </w:pPr>
    </w:p>
    <w:p w14:paraId="5C6D4D95" w14:textId="77777777" w:rsidR="002B733E" w:rsidRPr="00FD50F6" w:rsidRDefault="002B733E" w:rsidP="002B733E">
      <w:pPr>
        <w:spacing w:line="240" w:lineRule="auto"/>
        <w:jc w:val="center"/>
        <w:rPr>
          <w:rFonts w:ascii="黑体" w:eastAsia="黑体" w:hAnsi="黑体" w:cs="Times New Roman"/>
          <w:sz w:val="21"/>
          <w:szCs w:val="24"/>
        </w:rPr>
      </w:pPr>
    </w:p>
    <w:p w14:paraId="68464310" w14:textId="77777777" w:rsidR="002B733E" w:rsidRPr="00FD50F6" w:rsidRDefault="002B733E" w:rsidP="002B733E">
      <w:pPr>
        <w:spacing w:line="240" w:lineRule="auto"/>
        <w:jc w:val="center"/>
        <w:rPr>
          <w:rFonts w:ascii="黑体" w:eastAsia="黑体" w:hAnsi="黑体" w:cs="Times New Roman"/>
          <w:sz w:val="21"/>
          <w:szCs w:val="24"/>
        </w:rPr>
      </w:pPr>
    </w:p>
    <w:p w14:paraId="6A87B944" w14:textId="77777777" w:rsidR="002B733E" w:rsidRPr="00FD50F6" w:rsidRDefault="002B733E" w:rsidP="002B733E">
      <w:pPr>
        <w:spacing w:line="240" w:lineRule="auto"/>
        <w:jc w:val="center"/>
        <w:rPr>
          <w:rFonts w:ascii="黑体" w:eastAsia="黑体" w:hAnsi="黑体" w:cs="Times New Roman"/>
          <w:sz w:val="21"/>
          <w:szCs w:val="24"/>
        </w:rPr>
      </w:pPr>
    </w:p>
    <w:p w14:paraId="73DB5A97"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lastRenderedPageBreak/>
        <w:t>表</w:t>
      </w:r>
      <w:r w:rsidRPr="00FD50F6">
        <w:rPr>
          <w:rFonts w:ascii="Calibri" w:eastAsia="黑体" w:hAnsi="Calibri" w:cs="Times New Roman" w:hint="eastAsia"/>
          <w:b/>
          <w:sz w:val="21"/>
          <w:szCs w:val="24"/>
        </w:rPr>
        <w:t>C</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1-4</w:t>
      </w:r>
      <w:r w:rsidRPr="00FD50F6">
        <w:rPr>
          <w:rFonts w:ascii="黑体" w:eastAsia="黑体" w:hAnsi="黑体" w:cs="Times New Roman" w:hint="eastAsia"/>
          <w:sz w:val="21"/>
          <w:szCs w:val="24"/>
        </w:rPr>
        <w:t>隧道外区间直线地段车辆限界坐标值（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5"/>
        <w:gridCol w:w="815"/>
        <w:gridCol w:w="761"/>
        <w:gridCol w:w="761"/>
        <w:gridCol w:w="761"/>
        <w:gridCol w:w="814"/>
        <w:gridCol w:w="814"/>
        <w:gridCol w:w="761"/>
        <w:gridCol w:w="761"/>
        <w:gridCol w:w="814"/>
        <w:gridCol w:w="761"/>
      </w:tblGrid>
      <w:tr w:rsidR="00FD50F6" w:rsidRPr="00FD50F6" w14:paraId="01BB6B53" w14:textId="77777777" w:rsidTr="002B733E">
        <w:trPr>
          <w:trHeight w:val="397"/>
          <w:jc w:val="center"/>
        </w:trPr>
        <w:tc>
          <w:tcPr>
            <w:tcW w:w="705" w:type="dxa"/>
            <w:vAlign w:val="center"/>
          </w:tcPr>
          <w:p w14:paraId="412F3A7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4BE3629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61" w:type="dxa"/>
            <w:vAlign w:val="center"/>
          </w:tcPr>
          <w:p w14:paraId="6D4B0A6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61" w:type="dxa"/>
            <w:vAlign w:val="center"/>
          </w:tcPr>
          <w:p w14:paraId="72DA3A4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61" w:type="dxa"/>
            <w:vAlign w:val="center"/>
          </w:tcPr>
          <w:p w14:paraId="38FA863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814" w:type="dxa"/>
            <w:vAlign w:val="center"/>
          </w:tcPr>
          <w:p w14:paraId="7DFADBE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814" w:type="dxa"/>
            <w:vAlign w:val="center"/>
          </w:tcPr>
          <w:p w14:paraId="1BD2AEB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61" w:type="dxa"/>
            <w:vAlign w:val="center"/>
          </w:tcPr>
          <w:p w14:paraId="7C858A1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61" w:type="dxa"/>
            <w:vAlign w:val="center"/>
          </w:tcPr>
          <w:p w14:paraId="2A100FA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814" w:type="dxa"/>
            <w:vAlign w:val="center"/>
          </w:tcPr>
          <w:p w14:paraId="4535CF4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61" w:type="dxa"/>
            <w:vAlign w:val="center"/>
          </w:tcPr>
          <w:p w14:paraId="3C5E1E4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r>
      <w:tr w:rsidR="00FD50F6" w:rsidRPr="00FD50F6" w14:paraId="78D6273E" w14:textId="77777777" w:rsidTr="002B733E">
        <w:trPr>
          <w:trHeight w:val="397"/>
          <w:jc w:val="center"/>
        </w:trPr>
        <w:tc>
          <w:tcPr>
            <w:tcW w:w="705" w:type="dxa"/>
            <w:vAlign w:val="center"/>
          </w:tcPr>
          <w:p w14:paraId="0E10FC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3CA4976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61" w:type="dxa"/>
            <w:vAlign w:val="center"/>
          </w:tcPr>
          <w:p w14:paraId="115194C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622</w:t>
            </w:r>
          </w:p>
        </w:tc>
        <w:tc>
          <w:tcPr>
            <w:tcW w:w="761" w:type="dxa"/>
            <w:vAlign w:val="center"/>
          </w:tcPr>
          <w:p w14:paraId="01C647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770</w:t>
            </w:r>
          </w:p>
        </w:tc>
        <w:tc>
          <w:tcPr>
            <w:tcW w:w="761" w:type="dxa"/>
            <w:vAlign w:val="center"/>
          </w:tcPr>
          <w:p w14:paraId="2EAE06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787</w:t>
            </w:r>
          </w:p>
        </w:tc>
        <w:tc>
          <w:tcPr>
            <w:tcW w:w="814" w:type="dxa"/>
            <w:vAlign w:val="center"/>
          </w:tcPr>
          <w:p w14:paraId="653B11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886</w:t>
            </w:r>
          </w:p>
        </w:tc>
        <w:tc>
          <w:tcPr>
            <w:tcW w:w="814" w:type="dxa"/>
            <w:vAlign w:val="center"/>
          </w:tcPr>
          <w:p w14:paraId="261929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901</w:t>
            </w:r>
          </w:p>
        </w:tc>
        <w:tc>
          <w:tcPr>
            <w:tcW w:w="761" w:type="dxa"/>
            <w:vAlign w:val="center"/>
          </w:tcPr>
          <w:p w14:paraId="2E6603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958</w:t>
            </w:r>
          </w:p>
        </w:tc>
        <w:tc>
          <w:tcPr>
            <w:tcW w:w="761" w:type="dxa"/>
            <w:vAlign w:val="center"/>
          </w:tcPr>
          <w:p w14:paraId="1AAF97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1024</w:t>
            </w:r>
          </w:p>
        </w:tc>
        <w:tc>
          <w:tcPr>
            <w:tcW w:w="814" w:type="dxa"/>
            <w:vAlign w:val="center"/>
          </w:tcPr>
          <w:p w14:paraId="5D4545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1100</w:t>
            </w:r>
          </w:p>
        </w:tc>
        <w:tc>
          <w:tcPr>
            <w:tcW w:w="761" w:type="dxa"/>
            <w:vAlign w:val="center"/>
          </w:tcPr>
          <w:p w14:paraId="458ACC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1208</w:t>
            </w:r>
          </w:p>
        </w:tc>
      </w:tr>
      <w:tr w:rsidR="00FD50F6" w:rsidRPr="00FD50F6" w14:paraId="5E18A2A8" w14:textId="77777777" w:rsidTr="002B733E">
        <w:trPr>
          <w:trHeight w:val="397"/>
          <w:jc w:val="center"/>
        </w:trPr>
        <w:tc>
          <w:tcPr>
            <w:tcW w:w="705" w:type="dxa"/>
            <w:vAlign w:val="center"/>
          </w:tcPr>
          <w:p w14:paraId="4AAC76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554CD0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72</w:t>
            </w:r>
          </w:p>
        </w:tc>
        <w:tc>
          <w:tcPr>
            <w:tcW w:w="761" w:type="dxa"/>
            <w:vAlign w:val="center"/>
          </w:tcPr>
          <w:p w14:paraId="7EF99A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387</w:t>
            </w:r>
            <w:r w:rsidRPr="00FD50F6">
              <w:rPr>
                <w:rFonts w:ascii="Calibri" w:hAnsi="Calibri" w:cs="Times New Roman"/>
                <w:sz w:val="18"/>
                <w:szCs w:val="24"/>
              </w:rPr>
              <w:t>6</w:t>
            </w:r>
          </w:p>
        </w:tc>
        <w:tc>
          <w:tcPr>
            <w:tcW w:w="761" w:type="dxa"/>
            <w:vAlign w:val="center"/>
          </w:tcPr>
          <w:p w14:paraId="48A71E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3841</w:t>
            </w:r>
          </w:p>
        </w:tc>
        <w:tc>
          <w:tcPr>
            <w:tcW w:w="761" w:type="dxa"/>
            <w:vAlign w:val="center"/>
          </w:tcPr>
          <w:p w14:paraId="4E4023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3825</w:t>
            </w:r>
          </w:p>
        </w:tc>
        <w:tc>
          <w:tcPr>
            <w:tcW w:w="814" w:type="dxa"/>
            <w:vAlign w:val="center"/>
          </w:tcPr>
          <w:p w14:paraId="0D8EF8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3785</w:t>
            </w:r>
          </w:p>
        </w:tc>
        <w:tc>
          <w:tcPr>
            <w:tcW w:w="814" w:type="dxa"/>
            <w:vAlign w:val="center"/>
          </w:tcPr>
          <w:p w14:paraId="40EAD8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3772</w:t>
            </w:r>
          </w:p>
        </w:tc>
        <w:tc>
          <w:tcPr>
            <w:tcW w:w="761" w:type="dxa"/>
            <w:vAlign w:val="center"/>
          </w:tcPr>
          <w:p w14:paraId="0C8C7A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3705</w:t>
            </w:r>
          </w:p>
        </w:tc>
        <w:tc>
          <w:tcPr>
            <w:tcW w:w="761" w:type="dxa"/>
            <w:vAlign w:val="center"/>
          </w:tcPr>
          <w:p w14:paraId="043DCF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3668</w:t>
            </w:r>
          </w:p>
        </w:tc>
        <w:tc>
          <w:tcPr>
            <w:tcW w:w="814" w:type="dxa"/>
            <w:vAlign w:val="center"/>
          </w:tcPr>
          <w:p w14:paraId="524A18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3642</w:t>
            </w:r>
          </w:p>
        </w:tc>
        <w:tc>
          <w:tcPr>
            <w:tcW w:w="761" w:type="dxa"/>
            <w:vAlign w:val="center"/>
          </w:tcPr>
          <w:p w14:paraId="7F904E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3599</w:t>
            </w:r>
          </w:p>
        </w:tc>
      </w:tr>
      <w:tr w:rsidR="00FD50F6" w:rsidRPr="00FD50F6" w14:paraId="4234559E" w14:textId="77777777" w:rsidTr="002B733E">
        <w:trPr>
          <w:trHeight w:val="397"/>
          <w:jc w:val="center"/>
        </w:trPr>
        <w:tc>
          <w:tcPr>
            <w:tcW w:w="705" w:type="dxa"/>
            <w:vAlign w:val="center"/>
          </w:tcPr>
          <w:p w14:paraId="7224FA5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0FA4F0B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61" w:type="dxa"/>
            <w:vAlign w:val="center"/>
          </w:tcPr>
          <w:p w14:paraId="45B361F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61" w:type="dxa"/>
            <w:vAlign w:val="center"/>
          </w:tcPr>
          <w:p w14:paraId="0DC11CA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61" w:type="dxa"/>
            <w:vAlign w:val="center"/>
          </w:tcPr>
          <w:p w14:paraId="44747AF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814" w:type="dxa"/>
            <w:vAlign w:val="center"/>
          </w:tcPr>
          <w:p w14:paraId="439F640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814" w:type="dxa"/>
            <w:vAlign w:val="center"/>
          </w:tcPr>
          <w:p w14:paraId="54CE114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61" w:type="dxa"/>
            <w:vAlign w:val="center"/>
          </w:tcPr>
          <w:p w14:paraId="0079A05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61" w:type="dxa"/>
            <w:vAlign w:val="center"/>
          </w:tcPr>
          <w:p w14:paraId="550A0C3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814" w:type="dxa"/>
            <w:vAlign w:val="center"/>
          </w:tcPr>
          <w:p w14:paraId="7D84750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61" w:type="dxa"/>
            <w:vAlign w:val="center"/>
          </w:tcPr>
          <w:p w14:paraId="5D8B407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30C7A5E1" w14:textId="77777777" w:rsidTr="002B733E">
        <w:trPr>
          <w:trHeight w:val="397"/>
          <w:jc w:val="center"/>
        </w:trPr>
        <w:tc>
          <w:tcPr>
            <w:tcW w:w="705" w:type="dxa"/>
            <w:vAlign w:val="center"/>
          </w:tcPr>
          <w:p w14:paraId="6CC560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6B036BE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1291</w:t>
            </w:r>
          </w:p>
        </w:tc>
        <w:tc>
          <w:tcPr>
            <w:tcW w:w="761" w:type="dxa"/>
            <w:vAlign w:val="center"/>
          </w:tcPr>
          <w:p w14:paraId="7D5057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1326</w:t>
            </w:r>
          </w:p>
        </w:tc>
        <w:tc>
          <w:tcPr>
            <w:tcW w:w="761" w:type="dxa"/>
            <w:vAlign w:val="center"/>
          </w:tcPr>
          <w:p w14:paraId="0E43A6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1351</w:t>
            </w:r>
          </w:p>
        </w:tc>
        <w:tc>
          <w:tcPr>
            <w:tcW w:w="761" w:type="dxa"/>
            <w:vAlign w:val="center"/>
          </w:tcPr>
          <w:p w14:paraId="545C8A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1377</w:t>
            </w:r>
          </w:p>
        </w:tc>
        <w:tc>
          <w:tcPr>
            <w:tcW w:w="814" w:type="dxa"/>
            <w:vAlign w:val="center"/>
          </w:tcPr>
          <w:p w14:paraId="7D2B5E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1403</w:t>
            </w:r>
          </w:p>
        </w:tc>
        <w:tc>
          <w:tcPr>
            <w:tcW w:w="814" w:type="dxa"/>
            <w:vAlign w:val="center"/>
          </w:tcPr>
          <w:p w14:paraId="03DA86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1423</w:t>
            </w:r>
          </w:p>
        </w:tc>
        <w:tc>
          <w:tcPr>
            <w:tcW w:w="761" w:type="dxa"/>
            <w:vAlign w:val="center"/>
          </w:tcPr>
          <w:p w14:paraId="7173575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1442</w:t>
            </w:r>
          </w:p>
        </w:tc>
        <w:tc>
          <w:tcPr>
            <w:tcW w:w="761" w:type="dxa"/>
            <w:vAlign w:val="center"/>
          </w:tcPr>
          <w:p w14:paraId="70EAAD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1454</w:t>
            </w:r>
          </w:p>
        </w:tc>
        <w:tc>
          <w:tcPr>
            <w:tcW w:w="814" w:type="dxa"/>
            <w:vAlign w:val="center"/>
          </w:tcPr>
          <w:p w14:paraId="76007C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1471</w:t>
            </w:r>
          </w:p>
        </w:tc>
        <w:tc>
          <w:tcPr>
            <w:tcW w:w="761" w:type="dxa"/>
            <w:vAlign w:val="center"/>
          </w:tcPr>
          <w:p w14:paraId="0BBB701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1481</w:t>
            </w:r>
          </w:p>
        </w:tc>
      </w:tr>
      <w:tr w:rsidR="00FD50F6" w:rsidRPr="00FD50F6" w14:paraId="2705DA99" w14:textId="77777777" w:rsidTr="002B733E">
        <w:trPr>
          <w:trHeight w:val="397"/>
          <w:jc w:val="center"/>
        </w:trPr>
        <w:tc>
          <w:tcPr>
            <w:tcW w:w="705" w:type="dxa"/>
            <w:vAlign w:val="center"/>
          </w:tcPr>
          <w:p w14:paraId="763370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2E7BF8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3557</w:t>
            </w:r>
          </w:p>
        </w:tc>
        <w:tc>
          <w:tcPr>
            <w:tcW w:w="761" w:type="dxa"/>
            <w:vAlign w:val="center"/>
          </w:tcPr>
          <w:p w14:paraId="64E94F1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3536</w:t>
            </w:r>
          </w:p>
        </w:tc>
        <w:tc>
          <w:tcPr>
            <w:tcW w:w="761" w:type="dxa"/>
            <w:vAlign w:val="center"/>
          </w:tcPr>
          <w:p w14:paraId="658B08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3520</w:t>
            </w:r>
          </w:p>
        </w:tc>
        <w:tc>
          <w:tcPr>
            <w:tcW w:w="761" w:type="dxa"/>
            <w:vAlign w:val="center"/>
          </w:tcPr>
          <w:p w14:paraId="21CA7C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3502</w:t>
            </w:r>
          </w:p>
        </w:tc>
        <w:tc>
          <w:tcPr>
            <w:tcW w:w="814" w:type="dxa"/>
            <w:vAlign w:val="center"/>
          </w:tcPr>
          <w:p w14:paraId="7028E7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3481</w:t>
            </w:r>
          </w:p>
        </w:tc>
        <w:tc>
          <w:tcPr>
            <w:tcW w:w="814" w:type="dxa"/>
            <w:vAlign w:val="center"/>
          </w:tcPr>
          <w:p w14:paraId="6C41FB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3462</w:t>
            </w:r>
          </w:p>
        </w:tc>
        <w:tc>
          <w:tcPr>
            <w:tcW w:w="761" w:type="dxa"/>
            <w:vAlign w:val="center"/>
          </w:tcPr>
          <w:p w14:paraId="3A58BB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3442</w:t>
            </w:r>
          </w:p>
        </w:tc>
        <w:tc>
          <w:tcPr>
            <w:tcW w:w="761" w:type="dxa"/>
            <w:vAlign w:val="center"/>
          </w:tcPr>
          <w:p w14:paraId="7927A5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3422</w:t>
            </w:r>
          </w:p>
        </w:tc>
        <w:tc>
          <w:tcPr>
            <w:tcW w:w="814" w:type="dxa"/>
            <w:vAlign w:val="center"/>
          </w:tcPr>
          <w:p w14:paraId="0105A0F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3400</w:t>
            </w:r>
          </w:p>
        </w:tc>
        <w:tc>
          <w:tcPr>
            <w:tcW w:w="761" w:type="dxa"/>
            <w:vAlign w:val="center"/>
          </w:tcPr>
          <w:p w14:paraId="4FFC8E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3229</w:t>
            </w:r>
          </w:p>
        </w:tc>
      </w:tr>
      <w:tr w:rsidR="00FD50F6" w:rsidRPr="00FD50F6" w14:paraId="4FE96C2B" w14:textId="77777777" w:rsidTr="002B733E">
        <w:trPr>
          <w:trHeight w:val="397"/>
          <w:jc w:val="center"/>
        </w:trPr>
        <w:tc>
          <w:tcPr>
            <w:tcW w:w="705" w:type="dxa"/>
            <w:vAlign w:val="center"/>
          </w:tcPr>
          <w:p w14:paraId="269FF35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6147A0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61" w:type="dxa"/>
            <w:vAlign w:val="center"/>
          </w:tcPr>
          <w:p w14:paraId="13E09D8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61" w:type="dxa"/>
            <w:vAlign w:val="center"/>
          </w:tcPr>
          <w:p w14:paraId="2B081A4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61" w:type="dxa"/>
            <w:vAlign w:val="center"/>
          </w:tcPr>
          <w:p w14:paraId="70E53EF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814" w:type="dxa"/>
            <w:vAlign w:val="center"/>
          </w:tcPr>
          <w:p w14:paraId="25AE029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814" w:type="dxa"/>
            <w:vAlign w:val="center"/>
          </w:tcPr>
          <w:p w14:paraId="1FA557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61" w:type="dxa"/>
            <w:vAlign w:val="center"/>
          </w:tcPr>
          <w:p w14:paraId="2515205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61" w:type="dxa"/>
            <w:vAlign w:val="center"/>
          </w:tcPr>
          <w:p w14:paraId="3687759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814" w:type="dxa"/>
            <w:vAlign w:val="center"/>
          </w:tcPr>
          <w:p w14:paraId="05B7DC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61" w:type="dxa"/>
            <w:vAlign w:val="center"/>
          </w:tcPr>
          <w:p w14:paraId="7983CA0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70F6790E" w14:textId="77777777" w:rsidTr="002B733E">
        <w:trPr>
          <w:trHeight w:val="397"/>
          <w:jc w:val="center"/>
        </w:trPr>
        <w:tc>
          <w:tcPr>
            <w:tcW w:w="705" w:type="dxa"/>
            <w:vAlign w:val="center"/>
          </w:tcPr>
          <w:p w14:paraId="48E785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74F40F2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1633</w:t>
            </w:r>
          </w:p>
        </w:tc>
        <w:tc>
          <w:tcPr>
            <w:tcW w:w="761" w:type="dxa"/>
            <w:vAlign w:val="center"/>
          </w:tcPr>
          <w:p w14:paraId="51F671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1638</w:t>
            </w:r>
          </w:p>
        </w:tc>
        <w:tc>
          <w:tcPr>
            <w:tcW w:w="761" w:type="dxa"/>
            <w:vAlign w:val="center"/>
          </w:tcPr>
          <w:p w14:paraId="76704B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1639</w:t>
            </w:r>
          </w:p>
        </w:tc>
        <w:tc>
          <w:tcPr>
            <w:tcW w:w="761" w:type="dxa"/>
            <w:vAlign w:val="center"/>
          </w:tcPr>
          <w:p w14:paraId="4D05B1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1638</w:t>
            </w:r>
          </w:p>
        </w:tc>
        <w:tc>
          <w:tcPr>
            <w:tcW w:w="814" w:type="dxa"/>
            <w:vAlign w:val="center"/>
          </w:tcPr>
          <w:p w14:paraId="6E7A1D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1584</w:t>
            </w:r>
          </w:p>
        </w:tc>
        <w:tc>
          <w:tcPr>
            <w:tcW w:w="814" w:type="dxa"/>
            <w:vAlign w:val="center"/>
          </w:tcPr>
          <w:p w14:paraId="5DD46EA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1567</w:t>
            </w:r>
          </w:p>
        </w:tc>
        <w:tc>
          <w:tcPr>
            <w:tcW w:w="761" w:type="dxa"/>
            <w:vAlign w:val="center"/>
          </w:tcPr>
          <w:p w14:paraId="39A5A1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1537</w:t>
            </w:r>
          </w:p>
        </w:tc>
        <w:tc>
          <w:tcPr>
            <w:tcW w:w="761" w:type="dxa"/>
            <w:vAlign w:val="center"/>
          </w:tcPr>
          <w:p w14:paraId="223B65F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1532</w:t>
            </w:r>
          </w:p>
        </w:tc>
        <w:tc>
          <w:tcPr>
            <w:tcW w:w="814" w:type="dxa"/>
            <w:vAlign w:val="center"/>
          </w:tcPr>
          <w:p w14:paraId="5BC2BF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1525</w:t>
            </w:r>
          </w:p>
        </w:tc>
        <w:tc>
          <w:tcPr>
            <w:tcW w:w="761" w:type="dxa"/>
            <w:vAlign w:val="center"/>
          </w:tcPr>
          <w:p w14:paraId="59496D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1501</w:t>
            </w:r>
          </w:p>
        </w:tc>
      </w:tr>
      <w:tr w:rsidR="00FD50F6" w:rsidRPr="00FD50F6" w14:paraId="05B85348" w14:textId="77777777" w:rsidTr="002B733E">
        <w:trPr>
          <w:trHeight w:val="397"/>
          <w:jc w:val="center"/>
        </w:trPr>
        <w:tc>
          <w:tcPr>
            <w:tcW w:w="705" w:type="dxa"/>
            <w:vAlign w:val="center"/>
          </w:tcPr>
          <w:p w14:paraId="3A8F053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1BC82E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1790</w:t>
            </w:r>
          </w:p>
        </w:tc>
        <w:tc>
          <w:tcPr>
            <w:tcW w:w="761" w:type="dxa"/>
            <w:vAlign w:val="center"/>
          </w:tcPr>
          <w:p w14:paraId="69A719F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1737</w:t>
            </w:r>
          </w:p>
        </w:tc>
        <w:tc>
          <w:tcPr>
            <w:tcW w:w="761" w:type="dxa"/>
            <w:vAlign w:val="center"/>
          </w:tcPr>
          <w:p w14:paraId="4A9B3E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1690</w:t>
            </w:r>
          </w:p>
        </w:tc>
        <w:tc>
          <w:tcPr>
            <w:tcW w:w="761" w:type="dxa"/>
            <w:vAlign w:val="center"/>
          </w:tcPr>
          <w:p w14:paraId="40B193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1642</w:t>
            </w:r>
          </w:p>
        </w:tc>
        <w:tc>
          <w:tcPr>
            <w:tcW w:w="814" w:type="dxa"/>
            <w:vAlign w:val="center"/>
          </w:tcPr>
          <w:p w14:paraId="7782969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1000</w:t>
            </w:r>
          </w:p>
        </w:tc>
        <w:tc>
          <w:tcPr>
            <w:tcW w:w="814" w:type="dxa"/>
            <w:vAlign w:val="center"/>
          </w:tcPr>
          <w:p w14:paraId="67D740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798</w:t>
            </w:r>
          </w:p>
        </w:tc>
        <w:tc>
          <w:tcPr>
            <w:tcW w:w="761" w:type="dxa"/>
            <w:vAlign w:val="center"/>
          </w:tcPr>
          <w:p w14:paraId="47D5F4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710</w:t>
            </w:r>
          </w:p>
        </w:tc>
        <w:tc>
          <w:tcPr>
            <w:tcW w:w="761" w:type="dxa"/>
            <w:vAlign w:val="center"/>
          </w:tcPr>
          <w:p w14:paraId="7607AD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706</w:t>
            </w:r>
          </w:p>
        </w:tc>
        <w:tc>
          <w:tcPr>
            <w:tcW w:w="814" w:type="dxa"/>
            <w:vAlign w:val="center"/>
          </w:tcPr>
          <w:p w14:paraId="1F8538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701</w:t>
            </w:r>
          </w:p>
        </w:tc>
        <w:tc>
          <w:tcPr>
            <w:tcW w:w="761" w:type="dxa"/>
            <w:vAlign w:val="center"/>
          </w:tcPr>
          <w:p w14:paraId="54DB8CE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633</w:t>
            </w:r>
          </w:p>
        </w:tc>
      </w:tr>
      <w:tr w:rsidR="00FD50F6" w:rsidRPr="00FD50F6" w14:paraId="2E185F83" w14:textId="77777777" w:rsidTr="002B733E">
        <w:trPr>
          <w:trHeight w:val="397"/>
          <w:jc w:val="center"/>
        </w:trPr>
        <w:tc>
          <w:tcPr>
            <w:tcW w:w="705" w:type="dxa"/>
            <w:vAlign w:val="center"/>
          </w:tcPr>
          <w:p w14:paraId="0B5FA5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6F69AA7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761" w:type="dxa"/>
            <w:vAlign w:val="center"/>
          </w:tcPr>
          <w:p w14:paraId="43BD085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761" w:type="dxa"/>
            <w:vAlign w:val="center"/>
          </w:tcPr>
          <w:p w14:paraId="45F5061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61" w:type="dxa"/>
            <w:vAlign w:val="center"/>
          </w:tcPr>
          <w:p w14:paraId="63F73A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814" w:type="dxa"/>
            <w:vAlign w:val="center"/>
          </w:tcPr>
          <w:p w14:paraId="1E94EF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814" w:type="dxa"/>
            <w:vAlign w:val="center"/>
          </w:tcPr>
          <w:p w14:paraId="52B00EB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61" w:type="dxa"/>
            <w:vAlign w:val="center"/>
          </w:tcPr>
          <w:p w14:paraId="473252D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761" w:type="dxa"/>
            <w:vAlign w:val="center"/>
          </w:tcPr>
          <w:p w14:paraId="70A09DF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814" w:type="dxa"/>
            <w:vAlign w:val="center"/>
          </w:tcPr>
          <w:p w14:paraId="5CD96F8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61" w:type="dxa"/>
            <w:vAlign w:val="center"/>
          </w:tcPr>
          <w:p w14:paraId="1C98D4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1D1361E2" w14:textId="77777777" w:rsidTr="002B733E">
        <w:trPr>
          <w:trHeight w:val="397"/>
          <w:jc w:val="center"/>
        </w:trPr>
        <w:tc>
          <w:tcPr>
            <w:tcW w:w="705" w:type="dxa"/>
            <w:vAlign w:val="center"/>
          </w:tcPr>
          <w:p w14:paraId="7814E8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553B789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1488</w:t>
            </w:r>
          </w:p>
        </w:tc>
        <w:tc>
          <w:tcPr>
            <w:tcW w:w="761" w:type="dxa"/>
            <w:vAlign w:val="center"/>
          </w:tcPr>
          <w:p w14:paraId="658F3A8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1487</w:t>
            </w:r>
          </w:p>
        </w:tc>
        <w:tc>
          <w:tcPr>
            <w:tcW w:w="761" w:type="dxa"/>
            <w:vAlign w:val="center"/>
          </w:tcPr>
          <w:p w14:paraId="42C489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1460</w:t>
            </w:r>
          </w:p>
        </w:tc>
        <w:tc>
          <w:tcPr>
            <w:tcW w:w="761" w:type="dxa"/>
            <w:vAlign w:val="center"/>
          </w:tcPr>
          <w:p w14:paraId="08E5ACF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1412</w:t>
            </w:r>
          </w:p>
        </w:tc>
        <w:tc>
          <w:tcPr>
            <w:tcW w:w="814" w:type="dxa"/>
            <w:vAlign w:val="center"/>
          </w:tcPr>
          <w:p w14:paraId="6E29899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1394</w:t>
            </w:r>
          </w:p>
        </w:tc>
        <w:tc>
          <w:tcPr>
            <w:tcW w:w="814" w:type="dxa"/>
            <w:vAlign w:val="center"/>
          </w:tcPr>
          <w:p w14:paraId="4A9094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1379</w:t>
            </w:r>
          </w:p>
        </w:tc>
        <w:tc>
          <w:tcPr>
            <w:tcW w:w="761" w:type="dxa"/>
            <w:vAlign w:val="center"/>
          </w:tcPr>
          <w:p w14:paraId="27A9CE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1377</w:t>
            </w:r>
          </w:p>
        </w:tc>
        <w:tc>
          <w:tcPr>
            <w:tcW w:w="761" w:type="dxa"/>
            <w:vAlign w:val="center"/>
          </w:tcPr>
          <w:p w14:paraId="3863BD4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1370</w:t>
            </w:r>
          </w:p>
        </w:tc>
        <w:tc>
          <w:tcPr>
            <w:tcW w:w="814" w:type="dxa"/>
            <w:vAlign w:val="center"/>
          </w:tcPr>
          <w:p w14:paraId="6561DA4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1280</w:t>
            </w:r>
          </w:p>
        </w:tc>
        <w:tc>
          <w:tcPr>
            <w:tcW w:w="761" w:type="dxa"/>
            <w:vAlign w:val="center"/>
          </w:tcPr>
          <w:p w14:paraId="7600F0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1268</w:t>
            </w:r>
          </w:p>
        </w:tc>
      </w:tr>
      <w:tr w:rsidR="00FD50F6" w:rsidRPr="00FD50F6" w14:paraId="68B079C6" w14:textId="77777777" w:rsidTr="002B733E">
        <w:trPr>
          <w:trHeight w:val="397"/>
          <w:jc w:val="center"/>
        </w:trPr>
        <w:tc>
          <w:tcPr>
            <w:tcW w:w="705" w:type="dxa"/>
            <w:vAlign w:val="center"/>
          </w:tcPr>
          <w:p w14:paraId="0B9ED31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67144D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634</w:t>
            </w:r>
          </w:p>
        </w:tc>
        <w:tc>
          <w:tcPr>
            <w:tcW w:w="761" w:type="dxa"/>
            <w:vAlign w:val="center"/>
          </w:tcPr>
          <w:p w14:paraId="10F4D48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590</w:t>
            </w:r>
          </w:p>
        </w:tc>
        <w:tc>
          <w:tcPr>
            <w:tcW w:w="761" w:type="dxa"/>
            <w:vAlign w:val="center"/>
          </w:tcPr>
          <w:p w14:paraId="1B89B0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511</w:t>
            </w:r>
          </w:p>
        </w:tc>
        <w:tc>
          <w:tcPr>
            <w:tcW w:w="761" w:type="dxa"/>
            <w:vAlign w:val="center"/>
          </w:tcPr>
          <w:p w14:paraId="0C4AFB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383</w:t>
            </w:r>
          </w:p>
        </w:tc>
        <w:tc>
          <w:tcPr>
            <w:tcW w:w="814" w:type="dxa"/>
            <w:vAlign w:val="center"/>
          </w:tcPr>
          <w:p w14:paraId="33A592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368</w:t>
            </w:r>
          </w:p>
        </w:tc>
        <w:tc>
          <w:tcPr>
            <w:tcW w:w="814" w:type="dxa"/>
            <w:vAlign w:val="center"/>
          </w:tcPr>
          <w:p w14:paraId="71EE7DF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w:t>
            </w:r>
          </w:p>
        </w:tc>
        <w:tc>
          <w:tcPr>
            <w:tcW w:w="761" w:type="dxa"/>
            <w:vAlign w:val="center"/>
          </w:tcPr>
          <w:p w14:paraId="656352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295</w:t>
            </w:r>
          </w:p>
        </w:tc>
        <w:tc>
          <w:tcPr>
            <w:tcW w:w="761" w:type="dxa"/>
            <w:vAlign w:val="center"/>
          </w:tcPr>
          <w:p w14:paraId="2E716B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270</w:t>
            </w:r>
          </w:p>
        </w:tc>
        <w:tc>
          <w:tcPr>
            <w:tcW w:w="814" w:type="dxa"/>
            <w:vAlign w:val="center"/>
          </w:tcPr>
          <w:p w14:paraId="5030FF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281</w:t>
            </w:r>
          </w:p>
        </w:tc>
        <w:tc>
          <w:tcPr>
            <w:tcW w:w="761" w:type="dxa"/>
            <w:vAlign w:val="center"/>
          </w:tcPr>
          <w:p w14:paraId="02C55D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265</w:t>
            </w:r>
          </w:p>
        </w:tc>
      </w:tr>
      <w:tr w:rsidR="00FD50F6" w:rsidRPr="00FD50F6" w14:paraId="09B84310" w14:textId="77777777" w:rsidTr="002B733E">
        <w:trPr>
          <w:trHeight w:val="397"/>
          <w:jc w:val="center"/>
        </w:trPr>
        <w:tc>
          <w:tcPr>
            <w:tcW w:w="705" w:type="dxa"/>
            <w:vAlign w:val="center"/>
          </w:tcPr>
          <w:p w14:paraId="553CA1B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12157CF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761" w:type="dxa"/>
            <w:vAlign w:val="center"/>
          </w:tcPr>
          <w:p w14:paraId="5D68F1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761" w:type="dxa"/>
            <w:vAlign w:val="center"/>
          </w:tcPr>
          <w:p w14:paraId="1E186F5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61" w:type="dxa"/>
            <w:vAlign w:val="center"/>
          </w:tcPr>
          <w:p w14:paraId="2A7372A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814" w:type="dxa"/>
            <w:vAlign w:val="center"/>
          </w:tcPr>
          <w:p w14:paraId="2A02770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814" w:type="dxa"/>
            <w:vAlign w:val="center"/>
          </w:tcPr>
          <w:p w14:paraId="3B9CA21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61" w:type="dxa"/>
            <w:vAlign w:val="center"/>
          </w:tcPr>
          <w:p w14:paraId="0302BA0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761" w:type="dxa"/>
            <w:vAlign w:val="center"/>
          </w:tcPr>
          <w:p w14:paraId="1AA6589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814" w:type="dxa"/>
            <w:vAlign w:val="center"/>
          </w:tcPr>
          <w:p w14:paraId="7AA12A0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61" w:type="dxa"/>
            <w:vAlign w:val="center"/>
          </w:tcPr>
          <w:p w14:paraId="13D5BCC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18588ED2" w14:textId="77777777" w:rsidTr="002B733E">
        <w:trPr>
          <w:trHeight w:val="397"/>
          <w:jc w:val="center"/>
        </w:trPr>
        <w:tc>
          <w:tcPr>
            <w:tcW w:w="705" w:type="dxa"/>
            <w:vAlign w:val="center"/>
          </w:tcPr>
          <w:p w14:paraId="7CF180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57E31C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1195</w:t>
            </w:r>
          </w:p>
        </w:tc>
        <w:tc>
          <w:tcPr>
            <w:tcW w:w="761" w:type="dxa"/>
            <w:vAlign w:val="center"/>
          </w:tcPr>
          <w:p w14:paraId="3EBEEF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1150</w:t>
            </w:r>
          </w:p>
        </w:tc>
        <w:tc>
          <w:tcPr>
            <w:tcW w:w="761" w:type="dxa"/>
            <w:vAlign w:val="center"/>
          </w:tcPr>
          <w:p w14:paraId="3DE7B9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840</w:t>
            </w:r>
          </w:p>
        </w:tc>
        <w:tc>
          <w:tcPr>
            <w:tcW w:w="761" w:type="dxa"/>
            <w:vAlign w:val="center"/>
          </w:tcPr>
          <w:p w14:paraId="7DBD68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839</w:t>
            </w:r>
          </w:p>
        </w:tc>
        <w:tc>
          <w:tcPr>
            <w:tcW w:w="814" w:type="dxa"/>
            <w:vAlign w:val="center"/>
          </w:tcPr>
          <w:p w14:paraId="666ACE3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745</w:t>
            </w:r>
          </w:p>
        </w:tc>
        <w:tc>
          <w:tcPr>
            <w:tcW w:w="814" w:type="dxa"/>
            <w:vAlign w:val="center"/>
          </w:tcPr>
          <w:p w14:paraId="2A7658D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744</w:t>
            </w:r>
          </w:p>
        </w:tc>
        <w:tc>
          <w:tcPr>
            <w:tcW w:w="761" w:type="dxa"/>
            <w:vAlign w:val="center"/>
          </w:tcPr>
          <w:p w14:paraId="193A2A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649</w:t>
            </w:r>
          </w:p>
        </w:tc>
        <w:tc>
          <w:tcPr>
            <w:tcW w:w="761" w:type="dxa"/>
            <w:vAlign w:val="center"/>
          </w:tcPr>
          <w:p w14:paraId="6774FC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641</w:t>
            </w:r>
          </w:p>
        </w:tc>
        <w:tc>
          <w:tcPr>
            <w:tcW w:w="814" w:type="dxa"/>
            <w:vAlign w:val="center"/>
          </w:tcPr>
          <w:p w14:paraId="0E0C52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528</w:t>
            </w:r>
          </w:p>
        </w:tc>
        <w:tc>
          <w:tcPr>
            <w:tcW w:w="761" w:type="dxa"/>
            <w:vAlign w:val="center"/>
          </w:tcPr>
          <w:p w14:paraId="09BC50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r>
      <w:tr w:rsidR="00FD50F6" w:rsidRPr="00FD50F6" w14:paraId="61B4BDA9" w14:textId="77777777" w:rsidTr="002B733E">
        <w:trPr>
          <w:trHeight w:val="397"/>
          <w:jc w:val="center"/>
        </w:trPr>
        <w:tc>
          <w:tcPr>
            <w:tcW w:w="705" w:type="dxa"/>
            <w:vAlign w:val="center"/>
          </w:tcPr>
          <w:p w14:paraId="186BBE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787113D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229</w:t>
            </w:r>
          </w:p>
        </w:tc>
        <w:tc>
          <w:tcPr>
            <w:tcW w:w="761" w:type="dxa"/>
            <w:vAlign w:val="center"/>
          </w:tcPr>
          <w:p w14:paraId="25125C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w:t>
            </w:r>
          </w:p>
        </w:tc>
        <w:tc>
          <w:tcPr>
            <w:tcW w:w="761" w:type="dxa"/>
            <w:vAlign w:val="center"/>
          </w:tcPr>
          <w:p w14:paraId="4C7EBB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w:t>
            </w:r>
          </w:p>
        </w:tc>
        <w:tc>
          <w:tcPr>
            <w:tcW w:w="761" w:type="dxa"/>
            <w:vAlign w:val="center"/>
          </w:tcPr>
          <w:p w14:paraId="34DF88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814" w:type="dxa"/>
            <w:vAlign w:val="center"/>
          </w:tcPr>
          <w:p w14:paraId="7E88AB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814" w:type="dxa"/>
            <w:vAlign w:val="center"/>
          </w:tcPr>
          <w:p w14:paraId="5C2DFD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61" w:type="dxa"/>
            <w:vAlign w:val="center"/>
          </w:tcPr>
          <w:p w14:paraId="6B6253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61" w:type="dxa"/>
            <w:vAlign w:val="center"/>
          </w:tcPr>
          <w:p w14:paraId="3625F8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47</w:t>
            </w:r>
          </w:p>
        </w:tc>
        <w:tc>
          <w:tcPr>
            <w:tcW w:w="814" w:type="dxa"/>
            <w:vAlign w:val="center"/>
          </w:tcPr>
          <w:p w14:paraId="69CA53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w:t>
            </w:r>
          </w:p>
        </w:tc>
        <w:tc>
          <w:tcPr>
            <w:tcW w:w="761" w:type="dxa"/>
            <w:vAlign w:val="center"/>
          </w:tcPr>
          <w:p w14:paraId="11FE3E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43</w:t>
            </w:r>
          </w:p>
        </w:tc>
      </w:tr>
      <w:tr w:rsidR="00FD50F6" w:rsidRPr="00FD50F6" w14:paraId="4C8E6F4C" w14:textId="77777777" w:rsidTr="002B733E">
        <w:trPr>
          <w:trHeight w:val="397"/>
          <w:jc w:val="center"/>
        </w:trPr>
        <w:tc>
          <w:tcPr>
            <w:tcW w:w="705" w:type="dxa"/>
            <w:vAlign w:val="center"/>
          </w:tcPr>
          <w:p w14:paraId="6DDCF82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15" w:type="dxa"/>
            <w:vAlign w:val="center"/>
          </w:tcPr>
          <w:p w14:paraId="5129B2E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761" w:type="dxa"/>
            <w:vAlign w:val="center"/>
          </w:tcPr>
          <w:p w14:paraId="47C06E8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761" w:type="dxa"/>
            <w:vAlign w:val="center"/>
          </w:tcPr>
          <w:p w14:paraId="3C5D167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61" w:type="dxa"/>
            <w:vAlign w:val="center"/>
          </w:tcPr>
          <w:p w14:paraId="5A34DD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1a</w:t>
            </w:r>
            <w:r w:rsidRPr="00FD50F6">
              <w:rPr>
                <w:rFonts w:ascii="Calibri" w:hAnsi="Calibri" w:cs="Times New Roman" w:hint="eastAsia"/>
                <w:b/>
                <w:sz w:val="18"/>
                <w:szCs w:val="24"/>
              </w:rPr>
              <w:t>’</w:t>
            </w:r>
          </w:p>
        </w:tc>
        <w:tc>
          <w:tcPr>
            <w:tcW w:w="814" w:type="dxa"/>
            <w:vAlign w:val="center"/>
          </w:tcPr>
          <w:p w14:paraId="392B0F5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2a</w:t>
            </w:r>
            <w:r w:rsidRPr="00FD50F6">
              <w:rPr>
                <w:rFonts w:ascii="Calibri" w:hAnsi="Calibri" w:cs="Times New Roman" w:hint="eastAsia"/>
                <w:b/>
                <w:sz w:val="18"/>
                <w:szCs w:val="24"/>
              </w:rPr>
              <w:t>’</w:t>
            </w:r>
          </w:p>
        </w:tc>
        <w:tc>
          <w:tcPr>
            <w:tcW w:w="814" w:type="dxa"/>
            <w:vAlign w:val="center"/>
          </w:tcPr>
          <w:p w14:paraId="43F9917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3a</w:t>
            </w:r>
            <w:r w:rsidRPr="00FD50F6">
              <w:rPr>
                <w:rFonts w:ascii="Calibri" w:hAnsi="Calibri" w:cs="Times New Roman" w:hint="eastAsia"/>
                <w:b/>
                <w:sz w:val="18"/>
                <w:szCs w:val="24"/>
              </w:rPr>
              <w:t>’</w:t>
            </w:r>
          </w:p>
        </w:tc>
        <w:tc>
          <w:tcPr>
            <w:tcW w:w="761" w:type="dxa"/>
            <w:vAlign w:val="center"/>
          </w:tcPr>
          <w:p w14:paraId="584D856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4a</w:t>
            </w:r>
            <w:r w:rsidRPr="00FD50F6">
              <w:rPr>
                <w:rFonts w:ascii="Calibri" w:hAnsi="Calibri" w:cs="Times New Roman" w:hint="eastAsia"/>
                <w:b/>
                <w:sz w:val="18"/>
                <w:szCs w:val="24"/>
              </w:rPr>
              <w:t>’</w:t>
            </w:r>
          </w:p>
        </w:tc>
        <w:tc>
          <w:tcPr>
            <w:tcW w:w="761" w:type="dxa"/>
            <w:vAlign w:val="center"/>
          </w:tcPr>
          <w:p w14:paraId="310382B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5a</w:t>
            </w:r>
            <w:r w:rsidRPr="00FD50F6">
              <w:rPr>
                <w:rFonts w:ascii="Calibri" w:hAnsi="Calibri" w:cs="Times New Roman" w:hint="eastAsia"/>
                <w:b/>
                <w:sz w:val="18"/>
                <w:szCs w:val="24"/>
              </w:rPr>
              <w:t>’</w:t>
            </w:r>
          </w:p>
        </w:tc>
        <w:tc>
          <w:tcPr>
            <w:tcW w:w="814" w:type="dxa"/>
            <w:vAlign w:val="center"/>
          </w:tcPr>
          <w:p w14:paraId="6EBB104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61" w:type="dxa"/>
            <w:vAlign w:val="center"/>
          </w:tcPr>
          <w:p w14:paraId="196B830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4DA90947" w14:textId="77777777" w:rsidTr="002B733E">
        <w:trPr>
          <w:trHeight w:val="397"/>
          <w:jc w:val="center"/>
        </w:trPr>
        <w:tc>
          <w:tcPr>
            <w:tcW w:w="705" w:type="dxa"/>
            <w:vAlign w:val="center"/>
          </w:tcPr>
          <w:p w14:paraId="0F5082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15" w:type="dxa"/>
            <w:vAlign w:val="center"/>
          </w:tcPr>
          <w:p w14:paraId="1EAE95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235</w:t>
            </w:r>
          </w:p>
        </w:tc>
        <w:tc>
          <w:tcPr>
            <w:tcW w:w="761" w:type="dxa"/>
            <w:vAlign w:val="center"/>
          </w:tcPr>
          <w:p w14:paraId="2AA558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227</w:t>
            </w:r>
          </w:p>
        </w:tc>
        <w:tc>
          <w:tcPr>
            <w:tcW w:w="761" w:type="dxa"/>
            <w:vAlign w:val="center"/>
          </w:tcPr>
          <w:p w14:paraId="243CF0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61" w:type="dxa"/>
            <w:vAlign w:val="center"/>
          </w:tcPr>
          <w:p w14:paraId="50DCDE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814" w:type="dxa"/>
            <w:vAlign w:val="center"/>
          </w:tcPr>
          <w:p w14:paraId="4449C9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624</w:t>
            </w:r>
          </w:p>
        </w:tc>
        <w:tc>
          <w:tcPr>
            <w:tcW w:w="814" w:type="dxa"/>
            <w:vAlign w:val="center"/>
          </w:tcPr>
          <w:p w14:paraId="5DCEB6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696</w:t>
            </w:r>
          </w:p>
        </w:tc>
        <w:tc>
          <w:tcPr>
            <w:tcW w:w="761" w:type="dxa"/>
            <w:vAlign w:val="center"/>
          </w:tcPr>
          <w:p w14:paraId="5E4B8D1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739</w:t>
            </w:r>
          </w:p>
        </w:tc>
        <w:tc>
          <w:tcPr>
            <w:tcW w:w="761" w:type="dxa"/>
            <w:vAlign w:val="center"/>
          </w:tcPr>
          <w:p w14:paraId="136F94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875</w:t>
            </w:r>
          </w:p>
        </w:tc>
        <w:tc>
          <w:tcPr>
            <w:tcW w:w="814" w:type="dxa"/>
            <w:vAlign w:val="center"/>
          </w:tcPr>
          <w:p w14:paraId="3A9360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1" w:type="dxa"/>
            <w:vAlign w:val="center"/>
          </w:tcPr>
          <w:p w14:paraId="42F860D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03326491" w14:textId="77777777" w:rsidTr="002B733E">
        <w:trPr>
          <w:trHeight w:val="397"/>
          <w:jc w:val="center"/>
        </w:trPr>
        <w:tc>
          <w:tcPr>
            <w:tcW w:w="705" w:type="dxa"/>
            <w:vAlign w:val="center"/>
          </w:tcPr>
          <w:p w14:paraId="68D5C0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15" w:type="dxa"/>
            <w:vAlign w:val="center"/>
          </w:tcPr>
          <w:p w14:paraId="6B4536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w:t>
            </w:r>
          </w:p>
        </w:tc>
        <w:tc>
          <w:tcPr>
            <w:tcW w:w="761" w:type="dxa"/>
            <w:vAlign w:val="center"/>
          </w:tcPr>
          <w:p w14:paraId="593FF9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w:t>
            </w:r>
          </w:p>
        </w:tc>
        <w:tc>
          <w:tcPr>
            <w:tcW w:w="761" w:type="dxa"/>
            <w:vAlign w:val="center"/>
          </w:tcPr>
          <w:p w14:paraId="064982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61" w:type="dxa"/>
            <w:vAlign w:val="center"/>
          </w:tcPr>
          <w:p w14:paraId="4D2EFD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4644</w:t>
            </w:r>
          </w:p>
        </w:tc>
        <w:tc>
          <w:tcPr>
            <w:tcW w:w="814" w:type="dxa"/>
            <w:vAlign w:val="center"/>
          </w:tcPr>
          <w:p w14:paraId="1EB688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4631</w:t>
            </w:r>
          </w:p>
        </w:tc>
        <w:tc>
          <w:tcPr>
            <w:tcW w:w="814" w:type="dxa"/>
            <w:vAlign w:val="center"/>
          </w:tcPr>
          <w:p w14:paraId="5BA6E5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4605</w:t>
            </w:r>
          </w:p>
        </w:tc>
        <w:tc>
          <w:tcPr>
            <w:tcW w:w="761" w:type="dxa"/>
            <w:vAlign w:val="center"/>
          </w:tcPr>
          <w:p w14:paraId="2CC28BE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4564</w:t>
            </w:r>
          </w:p>
        </w:tc>
        <w:tc>
          <w:tcPr>
            <w:tcW w:w="761" w:type="dxa"/>
            <w:vAlign w:val="center"/>
          </w:tcPr>
          <w:p w14:paraId="3E7ED4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4418</w:t>
            </w:r>
          </w:p>
        </w:tc>
        <w:tc>
          <w:tcPr>
            <w:tcW w:w="814" w:type="dxa"/>
            <w:vAlign w:val="center"/>
          </w:tcPr>
          <w:p w14:paraId="229E63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1" w:type="dxa"/>
            <w:vAlign w:val="center"/>
          </w:tcPr>
          <w:p w14:paraId="316ED0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3F48D077" w14:textId="77777777" w:rsidR="002B733E" w:rsidRPr="00FD50F6" w:rsidRDefault="002B733E" w:rsidP="002B733E">
      <w:pPr>
        <w:jc w:val="center"/>
        <w:rPr>
          <w:rFonts w:ascii="黑体" w:eastAsia="黑体" w:hAnsi="黑体" w:cs="Times New Roman"/>
          <w:sz w:val="21"/>
          <w:szCs w:val="24"/>
        </w:rPr>
      </w:pPr>
    </w:p>
    <w:p w14:paraId="67722B24"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C</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1-5</w:t>
      </w:r>
      <w:r w:rsidRPr="00FD50F6">
        <w:rPr>
          <w:rFonts w:ascii="黑体" w:eastAsia="黑体" w:hAnsi="黑体" w:cs="Times New Roman" w:hint="eastAsia"/>
          <w:sz w:val="21"/>
          <w:szCs w:val="24"/>
        </w:rPr>
        <w:t xml:space="preserve">  隧道外区间直线地段设备限界坐标值（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9"/>
        <w:gridCol w:w="833"/>
        <w:gridCol w:w="778"/>
        <w:gridCol w:w="776"/>
        <w:gridCol w:w="774"/>
        <w:gridCol w:w="774"/>
        <w:gridCol w:w="774"/>
        <w:gridCol w:w="774"/>
        <w:gridCol w:w="774"/>
        <w:gridCol w:w="774"/>
        <w:gridCol w:w="768"/>
      </w:tblGrid>
      <w:tr w:rsidR="00FD50F6" w:rsidRPr="00FD50F6" w14:paraId="2F042234" w14:textId="77777777" w:rsidTr="002B733E">
        <w:trPr>
          <w:trHeight w:val="397"/>
          <w:jc w:val="center"/>
        </w:trPr>
        <w:tc>
          <w:tcPr>
            <w:tcW w:w="729" w:type="dxa"/>
            <w:vAlign w:val="center"/>
          </w:tcPr>
          <w:p w14:paraId="21EDE09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33" w:type="dxa"/>
            <w:vAlign w:val="center"/>
          </w:tcPr>
          <w:p w14:paraId="3DCECD6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78" w:type="dxa"/>
            <w:vAlign w:val="center"/>
          </w:tcPr>
          <w:p w14:paraId="41AA2D7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76" w:type="dxa"/>
            <w:vAlign w:val="center"/>
          </w:tcPr>
          <w:p w14:paraId="389E70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74" w:type="dxa"/>
            <w:vAlign w:val="center"/>
          </w:tcPr>
          <w:p w14:paraId="314E51D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74" w:type="dxa"/>
            <w:vAlign w:val="center"/>
          </w:tcPr>
          <w:p w14:paraId="24A6643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74" w:type="dxa"/>
            <w:vAlign w:val="center"/>
          </w:tcPr>
          <w:p w14:paraId="1E5EA9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74" w:type="dxa"/>
            <w:vAlign w:val="center"/>
          </w:tcPr>
          <w:p w14:paraId="30A337E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74" w:type="dxa"/>
            <w:vAlign w:val="center"/>
          </w:tcPr>
          <w:p w14:paraId="00A4EDF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74" w:type="dxa"/>
            <w:vAlign w:val="center"/>
          </w:tcPr>
          <w:p w14:paraId="5248F98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68" w:type="dxa"/>
            <w:vAlign w:val="center"/>
          </w:tcPr>
          <w:p w14:paraId="5499E57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r>
      <w:tr w:rsidR="00FD50F6" w:rsidRPr="00FD50F6" w14:paraId="539407BE" w14:textId="77777777" w:rsidTr="002B733E">
        <w:trPr>
          <w:trHeight w:val="397"/>
          <w:jc w:val="center"/>
        </w:trPr>
        <w:tc>
          <w:tcPr>
            <w:tcW w:w="729" w:type="dxa"/>
            <w:vAlign w:val="center"/>
          </w:tcPr>
          <w:p w14:paraId="4CA0EBE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33" w:type="dxa"/>
            <w:vAlign w:val="center"/>
          </w:tcPr>
          <w:p w14:paraId="54879E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8" w:type="dxa"/>
            <w:vAlign w:val="center"/>
          </w:tcPr>
          <w:p w14:paraId="71C7CA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682</w:t>
            </w:r>
          </w:p>
        </w:tc>
        <w:tc>
          <w:tcPr>
            <w:tcW w:w="776" w:type="dxa"/>
            <w:vAlign w:val="center"/>
          </w:tcPr>
          <w:p w14:paraId="18A2AA5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834</w:t>
            </w:r>
          </w:p>
        </w:tc>
        <w:tc>
          <w:tcPr>
            <w:tcW w:w="774" w:type="dxa"/>
            <w:vAlign w:val="center"/>
          </w:tcPr>
          <w:p w14:paraId="336E58D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851</w:t>
            </w:r>
          </w:p>
        </w:tc>
        <w:tc>
          <w:tcPr>
            <w:tcW w:w="774" w:type="dxa"/>
            <w:vAlign w:val="center"/>
          </w:tcPr>
          <w:p w14:paraId="2B52627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954</w:t>
            </w:r>
          </w:p>
        </w:tc>
        <w:tc>
          <w:tcPr>
            <w:tcW w:w="774" w:type="dxa"/>
            <w:vAlign w:val="center"/>
          </w:tcPr>
          <w:p w14:paraId="1298DB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969</w:t>
            </w:r>
          </w:p>
        </w:tc>
        <w:tc>
          <w:tcPr>
            <w:tcW w:w="774" w:type="dxa"/>
            <w:vAlign w:val="center"/>
          </w:tcPr>
          <w:p w14:paraId="0D2E8C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1032</w:t>
            </w:r>
          </w:p>
        </w:tc>
        <w:tc>
          <w:tcPr>
            <w:tcW w:w="774" w:type="dxa"/>
            <w:vAlign w:val="center"/>
          </w:tcPr>
          <w:p w14:paraId="4DC748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1101</w:t>
            </w:r>
          </w:p>
        </w:tc>
        <w:tc>
          <w:tcPr>
            <w:tcW w:w="774" w:type="dxa"/>
            <w:vAlign w:val="center"/>
          </w:tcPr>
          <w:p w14:paraId="712785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1179</w:t>
            </w:r>
          </w:p>
        </w:tc>
        <w:tc>
          <w:tcPr>
            <w:tcW w:w="768" w:type="dxa"/>
            <w:vAlign w:val="center"/>
          </w:tcPr>
          <w:p w14:paraId="143BC2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1291</w:t>
            </w:r>
          </w:p>
        </w:tc>
      </w:tr>
      <w:tr w:rsidR="00FD50F6" w:rsidRPr="00FD50F6" w14:paraId="29191976" w14:textId="77777777" w:rsidTr="002B733E">
        <w:trPr>
          <w:trHeight w:val="397"/>
          <w:jc w:val="center"/>
        </w:trPr>
        <w:tc>
          <w:tcPr>
            <w:tcW w:w="729" w:type="dxa"/>
            <w:vAlign w:val="center"/>
          </w:tcPr>
          <w:p w14:paraId="70F9D8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33" w:type="dxa"/>
            <w:vAlign w:val="center"/>
          </w:tcPr>
          <w:p w14:paraId="3C0661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w:t>
            </w:r>
            <w:r w:rsidRPr="00FD50F6">
              <w:rPr>
                <w:rFonts w:ascii="Calibri" w:hAnsi="Calibri" w:cs="Times New Roman"/>
                <w:sz w:val="18"/>
                <w:szCs w:val="24"/>
              </w:rPr>
              <w:t>32</w:t>
            </w:r>
          </w:p>
        </w:tc>
        <w:tc>
          <w:tcPr>
            <w:tcW w:w="778" w:type="dxa"/>
            <w:vAlign w:val="center"/>
          </w:tcPr>
          <w:p w14:paraId="5BD205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393</w:t>
            </w:r>
            <w:r w:rsidRPr="00FD50F6">
              <w:rPr>
                <w:rFonts w:ascii="Calibri" w:hAnsi="Calibri" w:cs="Times New Roman"/>
                <w:sz w:val="18"/>
                <w:szCs w:val="24"/>
              </w:rPr>
              <w:t>6</w:t>
            </w:r>
          </w:p>
        </w:tc>
        <w:tc>
          <w:tcPr>
            <w:tcW w:w="776" w:type="dxa"/>
            <w:vAlign w:val="center"/>
          </w:tcPr>
          <w:p w14:paraId="232CBB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3901</w:t>
            </w:r>
          </w:p>
        </w:tc>
        <w:tc>
          <w:tcPr>
            <w:tcW w:w="774" w:type="dxa"/>
            <w:vAlign w:val="center"/>
          </w:tcPr>
          <w:p w14:paraId="062616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3885</w:t>
            </w:r>
          </w:p>
        </w:tc>
        <w:tc>
          <w:tcPr>
            <w:tcW w:w="774" w:type="dxa"/>
            <w:vAlign w:val="center"/>
          </w:tcPr>
          <w:p w14:paraId="7E27F9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3845</w:t>
            </w:r>
          </w:p>
        </w:tc>
        <w:tc>
          <w:tcPr>
            <w:tcW w:w="774" w:type="dxa"/>
            <w:vAlign w:val="center"/>
          </w:tcPr>
          <w:p w14:paraId="5EAA502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3832</w:t>
            </w:r>
          </w:p>
        </w:tc>
        <w:tc>
          <w:tcPr>
            <w:tcW w:w="774" w:type="dxa"/>
            <w:vAlign w:val="center"/>
          </w:tcPr>
          <w:p w14:paraId="46D1EE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3765</w:t>
            </w:r>
          </w:p>
        </w:tc>
        <w:tc>
          <w:tcPr>
            <w:tcW w:w="774" w:type="dxa"/>
            <w:vAlign w:val="center"/>
          </w:tcPr>
          <w:p w14:paraId="7EB80B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3728</w:t>
            </w:r>
          </w:p>
        </w:tc>
        <w:tc>
          <w:tcPr>
            <w:tcW w:w="774" w:type="dxa"/>
            <w:vAlign w:val="center"/>
          </w:tcPr>
          <w:p w14:paraId="75A10D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3702</w:t>
            </w:r>
          </w:p>
        </w:tc>
        <w:tc>
          <w:tcPr>
            <w:tcW w:w="768" w:type="dxa"/>
            <w:vAlign w:val="center"/>
          </w:tcPr>
          <w:p w14:paraId="3E8FAE2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3659</w:t>
            </w:r>
          </w:p>
        </w:tc>
      </w:tr>
      <w:tr w:rsidR="00FD50F6" w:rsidRPr="00FD50F6" w14:paraId="42211BD7" w14:textId="77777777" w:rsidTr="002B733E">
        <w:trPr>
          <w:trHeight w:val="397"/>
          <w:jc w:val="center"/>
        </w:trPr>
        <w:tc>
          <w:tcPr>
            <w:tcW w:w="729" w:type="dxa"/>
            <w:vAlign w:val="center"/>
          </w:tcPr>
          <w:p w14:paraId="42F291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33" w:type="dxa"/>
            <w:vAlign w:val="center"/>
          </w:tcPr>
          <w:p w14:paraId="6EB3304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78" w:type="dxa"/>
            <w:vAlign w:val="center"/>
          </w:tcPr>
          <w:p w14:paraId="6B50197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76" w:type="dxa"/>
            <w:vAlign w:val="center"/>
          </w:tcPr>
          <w:p w14:paraId="7AEDC5D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74" w:type="dxa"/>
            <w:vAlign w:val="center"/>
          </w:tcPr>
          <w:p w14:paraId="0ECCB52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74" w:type="dxa"/>
            <w:vAlign w:val="center"/>
          </w:tcPr>
          <w:p w14:paraId="5E4F965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74" w:type="dxa"/>
            <w:vAlign w:val="center"/>
          </w:tcPr>
          <w:p w14:paraId="2E46EE9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74" w:type="dxa"/>
            <w:vAlign w:val="center"/>
          </w:tcPr>
          <w:p w14:paraId="723B8A5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74" w:type="dxa"/>
            <w:vAlign w:val="center"/>
          </w:tcPr>
          <w:p w14:paraId="71371EF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774" w:type="dxa"/>
            <w:vAlign w:val="center"/>
          </w:tcPr>
          <w:p w14:paraId="6AACEBF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68" w:type="dxa"/>
            <w:vAlign w:val="center"/>
          </w:tcPr>
          <w:p w14:paraId="06E60A2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6ED5E27E" w14:textId="77777777" w:rsidTr="002B733E">
        <w:trPr>
          <w:trHeight w:val="397"/>
          <w:jc w:val="center"/>
        </w:trPr>
        <w:tc>
          <w:tcPr>
            <w:tcW w:w="729" w:type="dxa"/>
            <w:vAlign w:val="center"/>
          </w:tcPr>
          <w:p w14:paraId="0B35E9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33" w:type="dxa"/>
            <w:vAlign w:val="center"/>
          </w:tcPr>
          <w:p w14:paraId="2E4B26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1378</w:t>
            </w:r>
          </w:p>
        </w:tc>
        <w:tc>
          <w:tcPr>
            <w:tcW w:w="778" w:type="dxa"/>
            <w:vAlign w:val="center"/>
          </w:tcPr>
          <w:p w14:paraId="141DFC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1414</w:t>
            </w:r>
          </w:p>
        </w:tc>
        <w:tc>
          <w:tcPr>
            <w:tcW w:w="776" w:type="dxa"/>
            <w:vAlign w:val="center"/>
          </w:tcPr>
          <w:p w14:paraId="5D69677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1441</w:t>
            </w:r>
          </w:p>
        </w:tc>
        <w:tc>
          <w:tcPr>
            <w:tcW w:w="774" w:type="dxa"/>
            <w:vAlign w:val="center"/>
          </w:tcPr>
          <w:p w14:paraId="2FB23A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1468</w:t>
            </w:r>
          </w:p>
        </w:tc>
        <w:tc>
          <w:tcPr>
            <w:tcW w:w="774" w:type="dxa"/>
            <w:vAlign w:val="center"/>
          </w:tcPr>
          <w:p w14:paraId="6374B8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1496</w:t>
            </w:r>
          </w:p>
        </w:tc>
        <w:tc>
          <w:tcPr>
            <w:tcW w:w="774" w:type="dxa"/>
            <w:vAlign w:val="center"/>
          </w:tcPr>
          <w:p w14:paraId="0FD231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1518</w:t>
            </w:r>
          </w:p>
        </w:tc>
        <w:tc>
          <w:tcPr>
            <w:tcW w:w="774" w:type="dxa"/>
            <w:vAlign w:val="center"/>
          </w:tcPr>
          <w:p w14:paraId="0DC150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1538</w:t>
            </w:r>
          </w:p>
        </w:tc>
        <w:tc>
          <w:tcPr>
            <w:tcW w:w="774" w:type="dxa"/>
            <w:vAlign w:val="center"/>
          </w:tcPr>
          <w:p w14:paraId="4C39C1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1557</w:t>
            </w:r>
          </w:p>
        </w:tc>
        <w:tc>
          <w:tcPr>
            <w:tcW w:w="774" w:type="dxa"/>
            <w:vAlign w:val="center"/>
          </w:tcPr>
          <w:p w14:paraId="5EC3E9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1571</w:t>
            </w:r>
          </w:p>
        </w:tc>
        <w:tc>
          <w:tcPr>
            <w:tcW w:w="768" w:type="dxa"/>
            <w:vAlign w:val="center"/>
          </w:tcPr>
          <w:p w14:paraId="1CCFE6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1577</w:t>
            </w:r>
          </w:p>
        </w:tc>
      </w:tr>
      <w:tr w:rsidR="00FD50F6" w:rsidRPr="00FD50F6" w14:paraId="21C338B4" w14:textId="77777777" w:rsidTr="002B733E">
        <w:trPr>
          <w:trHeight w:val="397"/>
          <w:jc w:val="center"/>
        </w:trPr>
        <w:tc>
          <w:tcPr>
            <w:tcW w:w="729" w:type="dxa"/>
            <w:vAlign w:val="center"/>
          </w:tcPr>
          <w:p w14:paraId="1E5EF9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33" w:type="dxa"/>
            <w:vAlign w:val="center"/>
          </w:tcPr>
          <w:p w14:paraId="3C93BBF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3617</w:t>
            </w:r>
          </w:p>
        </w:tc>
        <w:tc>
          <w:tcPr>
            <w:tcW w:w="778" w:type="dxa"/>
            <w:vAlign w:val="center"/>
          </w:tcPr>
          <w:p w14:paraId="0A9EC5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3596</w:t>
            </w:r>
          </w:p>
        </w:tc>
        <w:tc>
          <w:tcPr>
            <w:tcW w:w="776" w:type="dxa"/>
            <w:vAlign w:val="center"/>
          </w:tcPr>
          <w:p w14:paraId="08153A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3580</w:t>
            </w:r>
          </w:p>
        </w:tc>
        <w:tc>
          <w:tcPr>
            <w:tcW w:w="774" w:type="dxa"/>
            <w:vAlign w:val="center"/>
          </w:tcPr>
          <w:p w14:paraId="317151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3562</w:t>
            </w:r>
          </w:p>
        </w:tc>
        <w:tc>
          <w:tcPr>
            <w:tcW w:w="774" w:type="dxa"/>
            <w:vAlign w:val="center"/>
          </w:tcPr>
          <w:p w14:paraId="634EC80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3541</w:t>
            </w:r>
          </w:p>
        </w:tc>
        <w:tc>
          <w:tcPr>
            <w:tcW w:w="774" w:type="dxa"/>
            <w:vAlign w:val="center"/>
          </w:tcPr>
          <w:p w14:paraId="605B81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3522</w:t>
            </w:r>
          </w:p>
        </w:tc>
        <w:tc>
          <w:tcPr>
            <w:tcW w:w="774" w:type="dxa"/>
            <w:vAlign w:val="center"/>
          </w:tcPr>
          <w:p w14:paraId="317CC7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3502</w:t>
            </w:r>
          </w:p>
        </w:tc>
        <w:tc>
          <w:tcPr>
            <w:tcW w:w="774" w:type="dxa"/>
            <w:vAlign w:val="center"/>
          </w:tcPr>
          <w:p w14:paraId="1B0554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3479</w:t>
            </w:r>
          </w:p>
        </w:tc>
        <w:tc>
          <w:tcPr>
            <w:tcW w:w="774" w:type="dxa"/>
            <w:vAlign w:val="center"/>
          </w:tcPr>
          <w:p w14:paraId="36858B6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3460</w:t>
            </w:r>
          </w:p>
        </w:tc>
        <w:tc>
          <w:tcPr>
            <w:tcW w:w="768" w:type="dxa"/>
            <w:vAlign w:val="center"/>
          </w:tcPr>
          <w:p w14:paraId="3C40ECA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3179</w:t>
            </w:r>
          </w:p>
        </w:tc>
      </w:tr>
      <w:tr w:rsidR="00FD50F6" w:rsidRPr="00FD50F6" w14:paraId="4A140885" w14:textId="77777777" w:rsidTr="002B733E">
        <w:trPr>
          <w:trHeight w:val="397"/>
          <w:jc w:val="center"/>
        </w:trPr>
        <w:tc>
          <w:tcPr>
            <w:tcW w:w="729" w:type="dxa"/>
            <w:vAlign w:val="center"/>
          </w:tcPr>
          <w:p w14:paraId="5963252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33" w:type="dxa"/>
            <w:vAlign w:val="center"/>
          </w:tcPr>
          <w:p w14:paraId="4B95729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78" w:type="dxa"/>
            <w:vAlign w:val="center"/>
          </w:tcPr>
          <w:p w14:paraId="3F598C0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76" w:type="dxa"/>
            <w:vAlign w:val="center"/>
          </w:tcPr>
          <w:p w14:paraId="695ECB5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74" w:type="dxa"/>
            <w:vAlign w:val="center"/>
          </w:tcPr>
          <w:p w14:paraId="74AB31F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774" w:type="dxa"/>
            <w:vAlign w:val="center"/>
          </w:tcPr>
          <w:p w14:paraId="66A9233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774" w:type="dxa"/>
            <w:vAlign w:val="center"/>
          </w:tcPr>
          <w:p w14:paraId="01B8649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74" w:type="dxa"/>
            <w:vAlign w:val="center"/>
          </w:tcPr>
          <w:p w14:paraId="19F7175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74" w:type="dxa"/>
            <w:vAlign w:val="center"/>
          </w:tcPr>
          <w:p w14:paraId="374770C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774" w:type="dxa"/>
            <w:vAlign w:val="center"/>
          </w:tcPr>
          <w:p w14:paraId="4ABF2D2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68" w:type="dxa"/>
            <w:vAlign w:val="center"/>
          </w:tcPr>
          <w:p w14:paraId="23352D3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731ED7B5" w14:textId="77777777" w:rsidTr="002B733E">
        <w:trPr>
          <w:trHeight w:val="397"/>
          <w:jc w:val="center"/>
        </w:trPr>
        <w:tc>
          <w:tcPr>
            <w:tcW w:w="729" w:type="dxa"/>
            <w:vAlign w:val="center"/>
          </w:tcPr>
          <w:p w14:paraId="7D97AD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33" w:type="dxa"/>
            <w:vAlign w:val="center"/>
          </w:tcPr>
          <w:p w14:paraId="3EFA63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1696</w:t>
            </w:r>
          </w:p>
        </w:tc>
        <w:tc>
          <w:tcPr>
            <w:tcW w:w="778" w:type="dxa"/>
            <w:vAlign w:val="center"/>
          </w:tcPr>
          <w:p w14:paraId="26D965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1700</w:t>
            </w:r>
          </w:p>
        </w:tc>
        <w:tc>
          <w:tcPr>
            <w:tcW w:w="776" w:type="dxa"/>
            <w:vAlign w:val="center"/>
          </w:tcPr>
          <w:p w14:paraId="7D18B65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1700</w:t>
            </w:r>
          </w:p>
        </w:tc>
        <w:tc>
          <w:tcPr>
            <w:tcW w:w="774" w:type="dxa"/>
            <w:vAlign w:val="center"/>
          </w:tcPr>
          <w:p w14:paraId="38193B8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1697</w:t>
            </w:r>
          </w:p>
        </w:tc>
        <w:tc>
          <w:tcPr>
            <w:tcW w:w="774" w:type="dxa"/>
            <w:vAlign w:val="center"/>
          </w:tcPr>
          <w:p w14:paraId="3B0E26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1629</w:t>
            </w:r>
          </w:p>
        </w:tc>
        <w:tc>
          <w:tcPr>
            <w:tcW w:w="774" w:type="dxa"/>
            <w:vAlign w:val="center"/>
          </w:tcPr>
          <w:p w14:paraId="28D5AE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1607</w:t>
            </w:r>
          </w:p>
        </w:tc>
        <w:tc>
          <w:tcPr>
            <w:tcW w:w="774" w:type="dxa"/>
            <w:vAlign w:val="center"/>
          </w:tcPr>
          <w:p w14:paraId="28A40E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1575</w:t>
            </w:r>
          </w:p>
        </w:tc>
        <w:tc>
          <w:tcPr>
            <w:tcW w:w="774" w:type="dxa"/>
            <w:vAlign w:val="center"/>
          </w:tcPr>
          <w:p w14:paraId="38D555C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1569</w:t>
            </w:r>
          </w:p>
        </w:tc>
        <w:tc>
          <w:tcPr>
            <w:tcW w:w="774" w:type="dxa"/>
            <w:vAlign w:val="center"/>
          </w:tcPr>
          <w:p w14:paraId="6B4972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1563</w:t>
            </w:r>
          </w:p>
        </w:tc>
        <w:tc>
          <w:tcPr>
            <w:tcW w:w="768" w:type="dxa"/>
            <w:vAlign w:val="center"/>
          </w:tcPr>
          <w:p w14:paraId="7BC296C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1537</w:t>
            </w:r>
          </w:p>
        </w:tc>
      </w:tr>
      <w:tr w:rsidR="00FD50F6" w:rsidRPr="00FD50F6" w14:paraId="265889E2" w14:textId="77777777" w:rsidTr="002B733E">
        <w:trPr>
          <w:trHeight w:val="397"/>
          <w:jc w:val="center"/>
        </w:trPr>
        <w:tc>
          <w:tcPr>
            <w:tcW w:w="729" w:type="dxa"/>
            <w:vAlign w:val="center"/>
          </w:tcPr>
          <w:p w14:paraId="01463A5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33" w:type="dxa"/>
            <w:vAlign w:val="center"/>
          </w:tcPr>
          <w:p w14:paraId="7E399B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1740</w:t>
            </w:r>
          </w:p>
        </w:tc>
        <w:tc>
          <w:tcPr>
            <w:tcW w:w="778" w:type="dxa"/>
            <w:vAlign w:val="center"/>
          </w:tcPr>
          <w:p w14:paraId="031A48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1687</w:t>
            </w:r>
          </w:p>
        </w:tc>
        <w:tc>
          <w:tcPr>
            <w:tcW w:w="776" w:type="dxa"/>
            <w:vAlign w:val="center"/>
          </w:tcPr>
          <w:p w14:paraId="226EBE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1640</w:t>
            </w:r>
          </w:p>
        </w:tc>
        <w:tc>
          <w:tcPr>
            <w:tcW w:w="774" w:type="dxa"/>
            <w:vAlign w:val="center"/>
          </w:tcPr>
          <w:p w14:paraId="0D8345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1592</w:t>
            </w:r>
          </w:p>
        </w:tc>
        <w:tc>
          <w:tcPr>
            <w:tcW w:w="774" w:type="dxa"/>
            <w:vAlign w:val="center"/>
          </w:tcPr>
          <w:p w14:paraId="7FFD00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950</w:t>
            </w:r>
          </w:p>
        </w:tc>
        <w:tc>
          <w:tcPr>
            <w:tcW w:w="774" w:type="dxa"/>
            <w:vAlign w:val="center"/>
          </w:tcPr>
          <w:p w14:paraId="27F9D35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748</w:t>
            </w:r>
          </w:p>
        </w:tc>
        <w:tc>
          <w:tcPr>
            <w:tcW w:w="774" w:type="dxa"/>
            <w:vAlign w:val="center"/>
          </w:tcPr>
          <w:p w14:paraId="362E82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660</w:t>
            </w:r>
          </w:p>
        </w:tc>
        <w:tc>
          <w:tcPr>
            <w:tcW w:w="774" w:type="dxa"/>
            <w:vAlign w:val="center"/>
          </w:tcPr>
          <w:p w14:paraId="31555C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656</w:t>
            </w:r>
          </w:p>
        </w:tc>
        <w:tc>
          <w:tcPr>
            <w:tcW w:w="774" w:type="dxa"/>
            <w:vAlign w:val="center"/>
          </w:tcPr>
          <w:p w14:paraId="32D460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651</w:t>
            </w:r>
          </w:p>
        </w:tc>
        <w:tc>
          <w:tcPr>
            <w:tcW w:w="768" w:type="dxa"/>
            <w:vAlign w:val="center"/>
          </w:tcPr>
          <w:p w14:paraId="187D9F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583</w:t>
            </w:r>
          </w:p>
        </w:tc>
      </w:tr>
      <w:tr w:rsidR="00FD50F6" w:rsidRPr="00FD50F6" w14:paraId="233E5D62" w14:textId="77777777" w:rsidTr="002B733E">
        <w:trPr>
          <w:trHeight w:val="397"/>
          <w:jc w:val="center"/>
        </w:trPr>
        <w:tc>
          <w:tcPr>
            <w:tcW w:w="729" w:type="dxa"/>
            <w:vAlign w:val="center"/>
          </w:tcPr>
          <w:p w14:paraId="2DAE72A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33" w:type="dxa"/>
            <w:vAlign w:val="center"/>
          </w:tcPr>
          <w:p w14:paraId="18722CF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778" w:type="dxa"/>
            <w:vAlign w:val="center"/>
          </w:tcPr>
          <w:p w14:paraId="6F32E81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776" w:type="dxa"/>
            <w:vAlign w:val="center"/>
          </w:tcPr>
          <w:p w14:paraId="0EFE088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74" w:type="dxa"/>
            <w:vAlign w:val="center"/>
          </w:tcPr>
          <w:p w14:paraId="429A04F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774" w:type="dxa"/>
            <w:vAlign w:val="center"/>
          </w:tcPr>
          <w:p w14:paraId="29BDADC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774" w:type="dxa"/>
            <w:vAlign w:val="center"/>
          </w:tcPr>
          <w:p w14:paraId="6CC1A08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74" w:type="dxa"/>
            <w:vAlign w:val="center"/>
          </w:tcPr>
          <w:p w14:paraId="5B3791E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774" w:type="dxa"/>
            <w:vAlign w:val="center"/>
          </w:tcPr>
          <w:p w14:paraId="7DE58D0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774" w:type="dxa"/>
            <w:vAlign w:val="center"/>
          </w:tcPr>
          <w:p w14:paraId="6A61442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68" w:type="dxa"/>
            <w:vAlign w:val="center"/>
          </w:tcPr>
          <w:p w14:paraId="307F6B2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2852C56F" w14:textId="77777777" w:rsidTr="002B733E">
        <w:trPr>
          <w:trHeight w:val="397"/>
          <w:jc w:val="center"/>
        </w:trPr>
        <w:tc>
          <w:tcPr>
            <w:tcW w:w="729" w:type="dxa"/>
            <w:vAlign w:val="center"/>
          </w:tcPr>
          <w:p w14:paraId="2A9144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33" w:type="dxa"/>
            <w:vAlign w:val="center"/>
          </w:tcPr>
          <w:p w14:paraId="21FDE2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1524</w:t>
            </w:r>
          </w:p>
        </w:tc>
        <w:tc>
          <w:tcPr>
            <w:tcW w:w="778" w:type="dxa"/>
            <w:vAlign w:val="center"/>
          </w:tcPr>
          <w:p w14:paraId="23F1C4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1522</w:t>
            </w:r>
          </w:p>
        </w:tc>
        <w:tc>
          <w:tcPr>
            <w:tcW w:w="776" w:type="dxa"/>
            <w:vAlign w:val="center"/>
          </w:tcPr>
          <w:p w14:paraId="0D1CDA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1493</w:t>
            </w:r>
          </w:p>
        </w:tc>
        <w:tc>
          <w:tcPr>
            <w:tcW w:w="774" w:type="dxa"/>
            <w:vAlign w:val="center"/>
          </w:tcPr>
          <w:p w14:paraId="26E799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1442</w:t>
            </w:r>
          </w:p>
        </w:tc>
        <w:tc>
          <w:tcPr>
            <w:tcW w:w="774" w:type="dxa"/>
            <w:vAlign w:val="center"/>
          </w:tcPr>
          <w:p w14:paraId="1DF1A7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1424</w:t>
            </w:r>
          </w:p>
        </w:tc>
        <w:tc>
          <w:tcPr>
            <w:tcW w:w="774" w:type="dxa"/>
            <w:vAlign w:val="center"/>
          </w:tcPr>
          <w:p w14:paraId="5AA148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1394</w:t>
            </w:r>
          </w:p>
        </w:tc>
        <w:tc>
          <w:tcPr>
            <w:tcW w:w="774" w:type="dxa"/>
            <w:vAlign w:val="center"/>
          </w:tcPr>
          <w:p w14:paraId="78692B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1392</w:t>
            </w:r>
          </w:p>
        </w:tc>
        <w:tc>
          <w:tcPr>
            <w:tcW w:w="774" w:type="dxa"/>
            <w:vAlign w:val="center"/>
          </w:tcPr>
          <w:p w14:paraId="75C8FF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1385</w:t>
            </w:r>
          </w:p>
        </w:tc>
        <w:tc>
          <w:tcPr>
            <w:tcW w:w="774" w:type="dxa"/>
            <w:vAlign w:val="center"/>
          </w:tcPr>
          <w:p w14:paraId="3AEF1D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1295</w:t>
            </w:r>
          </w:p>
        </w:tc>
        <w:tc>
          <w:tcPr>
            <w:tcW w:w="768" w:type="dxa"/>
            <w:vAlign w:val="center"/>
          </w:tcPr>
          <w:p w14:paraId="024B92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1283</w:t>
            </w:r>
          </w:p>
        </w:tc>
      </w:tr>
      <w:tr w:rsidR="00FD50F6" w:rsidRPr="00FD50F6" w14:paraId="4158EF13" w14:textId="77777777" w:rsidTr="002B733E">
        <w:trPr>
          <w:trHeight w:val="397"/>
          <w:jc w:val="center"/>
        </w:trPr>
        <w:tc>
          <w:tcPr>
            <w:tcW w:w="729" w:type="dxa"/>
            <w:vAlign w:val="center"/>
          </w:tcPr>
          <w:p w14:paraId="0A6CFE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33" w:type="dxa"/>
            <w:vAlign w:val="center"/>
          </w:tcPr>
          <w:p w14:paraId="127705C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584</w:t>
            </w:r>
          </w:p>
        </w:tc>
        <w:tc>
          <w:tcPr>
            <w:tcW w:w="778" w:type="dxa"/>
            <w:vAlign w:val="center"/>
          </w:tcPr>
          <w:p w14:paraId="7B24F2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540</w:t>
            </w:r>
          </w:p>
        </w:tc>
        <w:tc>
          <w:tcPr>
            <w:tcW w:w="776" w:type="dxa"/>
            <w:vAlign w:val="center"/>
          </w:tcPr>
          <w:p w14:paraId="536A22E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461</w:t>
            </w:r>
          </w:p>
        </w:tc>
        <w:tc>
          <w:tcPr>
            <w:tcW w:w="774" w:type="dxa"/>
            <w:vAlign w:val="center"/>
          </w:tcPr>
          <w:p w14:paraId="29CA9B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333</w:t>
            </w:r>
          </w:p>
        </w:tc>
        <w:tc>
          <w:tcPr>
            <w:tcW w:w="774" w:type="dxa"/>
            <w:vAlign w:val="center"/>
          </w:tcPr>
          <w:p w14:paraId="5CBAF50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318</w:t>
            </w:r>
          </w:p>
        </w:tc>
        <w:tc>
          <w:tcPr>
            <w:tcW w:w="774" w:type="dxa"/>
            <w:vAlign w:val="center"/>
          </w:tcPr>
          <w:p w14:paraId="0B55F9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319</w:t>
            </w:r>
          </w:p>
        </w:tc>
        <w:tc>
          <w:tcPr>
            <w:tcW w:w="774" w:type="dxa"/>
            <w:vAlign w:val="center"/>
          </w:tcPr>
          <w:p w14:paraId="7C5F46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280</w:t>
            </w:r>
          </w:p>
        </w:tc>
        <w:tc>
          <w:tcPr>
            <w:tcW w:w="774" w:type="dxa"/>
            <w:vAlign w:val="center"/>
          </w:tcPr>
          <w:p w14:paraId="6E16596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254</w:t>
            </w:r>
          </w:p>
        </w:tc>
        <w:tc>
          <w:tcPr>
            <w:tcW w:w="774" w:type="dxa"/>
            <w:vAlign w:val="center"/>
          </w:tcPr>
          <w:p w14:paraId="6A712D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266</w:t>
            </w:r>
          </w:p>
        </w:tc>
        <w:tc>
          <w:tcPr>
            <w:tcW w:w="768" w:type="dxa"/>
            <w:vAlign w:val="center"/>
          </w:tcPr>
          <w:p w14:paraId="12F7A3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250</w:t>
            </w:r>
          </w:p>
        </w:tc>
      </w:tr>
      <w:tr w:rsidR="00FD50F6" w:rsidRPr="00FD50F6" w14:paraId="4EBCCCBF" w14:textId="77777777" w:rsidTr="002B733E">
        <w:trPr>
          <w:trHeight w:val="397"/>
          <w:jc w:val="center"/>
        </w:trPr>
        <w:tc>
          <w:tcPr>
            <w:tcW w:w="729" w:type="dxa"/>
            <w:vAlign w:val="center"/>
          </w:tcPr>
          <w:p w14:paraId="0BD8914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33" w:type="dxa"/>
            <w:vAlign w:val="center"/>
          </w:tcPr>
          <w:p w14:paraId="0E4A47C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778" w:type="dxa"/>
            <w:vAlign w:val="center"/>
          </w:tcPr>
          <w:p w14:paraId="52B088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776" w:type="dxa"/>
            <w:vAlign w:val="center"/>
          </w:tcPr>
          <w:p w14:paraId="5966878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74" w:type="dxa"/>
            <w:vAlign w:val="center"/>
          </w:tcPr>
          <w:p w14:paraId="4D6A7FA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774" w:type="dxa"/>
            <w:vAlign w:val="center"/>
          </w:tcPr>
          <w:p w14:paraId="09AF8D8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774" w:type="dxa"/>
            <w:vAlign w:val="center"/>
          </w:tcPr>
          <w:p w14:paraId="2ED40F9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74" w:type="dxa"/>
            <w:vAlign w:val="center"/>
          </w:tcPr>
          <w:p w14:paraId="1866CE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774" w:type="dxa"/>
            <w:vAlign w:val="center"/>
          </w:tcPr>
          <w:p w14:paraId="3AFF6DC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774" w:type="dxa"/>
            <w:vAlign w:val="center"/>
          </w:tcPr>
          <w:p w14:paraId="742373A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68" w:type="dxa"/>
            <w:vAlign w:val="center"/>
          </w:tcPr>
          <w:p w14:paraId="0F190AB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1FD9ECBD" w14:textId="77777777" w:rsidTr="002B733E">
        <w:trPr>
          <w:trHeight w:val="397"/>
          <w:jc w:val="center"/>
        </w:trPr>
        <w:tc>
          <w:tcPr>
            <w:tcW w:w="729" w:type="dxa"/>
            <w:vAlign w:val="center"/>
          </w:tcPr>
          <w:p w14:paraId="3C0793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lastRenderedPageBreak/>
              <w:t>X</w:t>
            </w:r>
          </w:p>
        </w:tc>
        <w:tc>
          <w:tcPr>
            <w:tcW w:w="833" w:type="dxa"/>
            <w:vAlign w:val="center"/>
          </w:tcPr>
          <w:p w14:paraId="09A147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1210</w:t>
            </w:r>
          </w:p>
        </w:tc>
        <w:tc>
          <w:tcPr>
            <w:tcW w:w="778" w:type="dxa"/>
            <w:vAlign w:val="center"/>
          </w:tcPr>
          <w:p w14:paraId="0B408A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1165</w:t>
            </w:r>
          </w:p>
        </w:tc>
        <w:tc>
          <w:tcPr>
            <w:tcW w:w="776" w:type="dxa"/>
            <w:vAlign w:val="center"/>
          </w:tcPr>
          <w:p w14:paraId="46115F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855</w:t>
            </w:r>
          </w:p>
        </w:tc>
        <w:tc>
          <w:tcPr>
            <w:tcW w:w="774" w:type="dxa"/>
            <w:vAlign w:val="center"/>
          </w:tcPr>
          <w:p w14:paraId="2397135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854</w:t>
            </w:r>
          </w:p>
        </w:tc>
        <w:tc>
          <w:tcPr>
            <w:tcW w:w="774" w:type="dxa"/>
            <w:vAlign w:val="center"/>
          </w:tcPr>
          <w:p w14:paraId="75CE1F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760</w:t>
            </w:r>
          </w:p>
        </w:tc>
        <w:tc>
          <w:tcPr>
            <w:tcW w:w="774" w:type="dxa"/>
            <w:vAlign w:val="center"/>
          </w:tcPr>
          <w:p w14:paraId="7F97F66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759</w:t>
            </w:r>
          </w:p>
        </w:tc>
        <w:tc>
          <w:tcPr>
            <w:tcW w:w="774" w:type="dxa"/>
            <w:vAlign w:val="center"/>
          </w:tcPr>
          <w:p w14:paraId="03D5BA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634</w:t>
            </w:r>
          </w:p>
        </w:tc>
        <w:tc>
          <w:tcPr>
            <w:tcW w:w="774" w:type="dxa"/>
            <w:vAlign w:val="center"/>
          </w:tcPr>
          <w:p w14:paraId="395C85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626</w:t>
            </w:r>
          </w:p>
        </w:tc>
        <w:tc>
          <w:tcPr>
            <w:tcW w:w="774" w:type="dxa"/>
            <w:vAlign w:val="center"/>
          </w:tcPr>
          <w:p w14:paraId="2D8758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543</w:t>
            </w:r>
          </w:p>
        </w:tc>
        <w:tc>
          <w:tcPr>
            <w:tcW w:w="768" w:type="dxa"/>
            <w:vAlign w:val="center"/>
          </w:tcPr>
          <w:p w14:paraId="3C4AE2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535</w:t>
            </w:r>
          </w:p>
        </w:tc>
      </w:tr>
      <w:tr w:rsidR="00FD50F6" w:rsidRPr="00FD50F6" w14:paraId="28FC0919" w14:textId="77777777" w:rsidTr="002B733E">
        <w:trPr>
          <w:trHeight w:val="397"/>
          <w:jc w:val="center"/>
        </w:trPr>
        <w:tc>
          <w:tcPr>
            <w:tcW w:w="729" w:type="dxa"/>
            <w:vAlign w:val="center"/>
          </w:tcPr>
          <w:p w14:paraId="065BCC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33" w:type="dxa"/>
            <w:vAlign w:val="center"/>
          </w:tcPr>
          <w:p w14:paraId="0AD177C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214</w:t>
            </w:r>
          </w:p>
        </w:tc>
        <w:tc>
          <w:tcPr>
            <w:tcW w:w="778" w:type="dxa"/>
            <w:vAlign w:val="center"/>
          </w:tcPr>
          <w:p w14:paraId="20EC61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120</w:t>
            </w:r>
          </w:p>
        </w:tc>
        <w:tc>
          <w:tcPr>
            <w:tcW w:w="776" w:type="dxa"/>
            <w:vAlign w:val="center"/>
          </w:tcPr>
          <w:p w14:paraId="27697B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122</w:t>
            </w:r>
          </w:p>
        </w:tc>
        <w:tc>
          <w:tcPr>
            <w:tcW w:w="774" w:type="dxa"/>
            <w:vAlign w:val="center"/>
          </w:tcPr>
          <w:p w14:paraId="14B307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774" w:type="dxa"/>
            <w:vAlign w:val="center"/>
          </w:tcPr>
          <w:p w14:paraId="333005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774" w:type="dxa"/>
            <w:vAlign w:val="center"/>
          </w:tcPr>
          <w:p w14:paraId="546083E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w:t>
            </w:r>
          </w:p>
        </w:tc>
        <w:tc>
          <w:tcPr>
            <w:tcW w:w="774" w:type="dxa"/>
            <w:vAlign w:val="center"/>
          </w:tcPr>
          <w:p w14:paraId="15B12C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-68</w:t>
            </w:r>
          </w:p>
        </w:tc>
        <w:tc>
          <w:tcPr>
            <w:tcW w:w="774" w:type="dxa"/>
            <w:vAlign w:val="center"/>
          </w:tcPr>
          <w:p w14:paraId="48F9A7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774" w:type="dxa"/>
            <w:vAlign w:val="center"/>
          </w:tcPr>
          <w:p w14:paraId="2C94EC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w:t>
            </w:r>
          </w:p>
        </w:tc>
        <w:tc>
          <w:tcPr>
            <w:tcW w:w="768" w:type="dxa"/>
            <w:vAlign w:val="center"/>
          </w:tcPr>
          <w:p w14:paraId="683735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r>
      <w:tr w:rsidR="00FD50F6" w:rsidRPr="00FD50F6" w14:paraId="10B6AD05" w14:textId="77777777" w:rsidTr="002B733E">
        <w:trPr>
          <w:trHeight w:val="397"/>
          <w:jc w:val="center"/>
        </w:trPr>
        <w:tc>
          <w:tcPr>
            <w:tcW w:w="729" w:type="dxa"/>
            <w:vAlign w:val="center"/>
          </w:tcPr>
          <w:p w14:paraId="67F5CC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33" w:type="dxa"/>
            <w:vAlign w:val="center"/>
          </w:tcPr>
          <w:p w14:paraId="5BC015E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778" w:type="dxa"/>
            <w:vAlign w:val="center"/>
          </w:tcPr>
          <w:p w14:paraId="7314B81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776" w:type="dxa"/>
            <w:vAlign w:val="center"/>
          </w:tcPr>
          <w:p w14:paraId="7CE782F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74" w:type="dxa"/>
            <w:vAlign w:val="center"/>
          </w:tcPr>
          <w:p w14:paraId="5898A03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1a</w:t>
            </w:r>
            <w:r w:rsidRPr="00FD50F6">
              <w:rPr>
                <w:rFonts w:ascii="Calibri" w:hAnsi="Calibri" w:cs="Times New Roman" w:hint="eastAsia"/>
                <w:b/>
                <w:sz w:val="18"/>
                <w:szCs w:val="24"/>
              </w:rPr>
              <w:t>”</w:t>
            </w:r>
          </w:p>
        </w:tc>
        <w:tc>
          <w:tcPr>
            <w:tcW w:w="774" w:type="dxa"/>
            <w:vAlign w:val="center"/>
          </w:tcPr>
          <w:p w14:paraId="724821E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2a</w:t>
            </w:r>
            <w:r w:rsidRPr="00FD50F6">
              <w:rPr>
                <w:rFonts w:ascii="Calibri" w:hAnsi="Calibri" w:cs="Times New Roman" w:hint="eastAsia"/>
                <w:b/>
                <w:sz w:val="18"/>
                <w:szCs w:val="24"/>
              </w:rPr>
              <w:t>”</w:t>
            </w:r>
          </w:p>
        </w:tc>
        <w:tc>
          <w:tcPr>
            <w:tcW w:w="774" w:type="dxa"/>
            <w:vAlign w:val="center"/>
          </w:tcPr>
          <w:p w14:paraId="544930F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3a</w:t>
            </w:r>
            <w:r w:rsidRPr="00FD50F6">
              <w:rPr>
                <w:rFonts w:ascii="Calibri" w:hAnsi="Calibri" w:cs="Times New Roman" w:hint="eastAsia"/>
                <w:b/>
                <w:sz w:val="18"/>
                <w:szCs w:val="24"/>
              </w:rPr>
              <w:t>”</w:t>
            </w:r>
          </w:p>
        </w:tc>
        <w:tc>
          <w:tcPr>
            <w:tcW w:w="774" w:type="dxa"/>
            <w:vAlign w:val="center"/>
          </w:tcPr>
          <w:p w14:paraId="16E79D5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4a</w:t>
            </w:r>
            <w:r w:rsidRPr="00FD50F6">
              <w:rPr>
                <w:rFonts w:ascii="Calibri" w:hAnsi="Calibri" w:cs="Times New Roman" w:hint="eastAsia"/>
                <w:b/>
                <w:sz w:val="18"/>
                <w:szCs w:val="24"/>
              </w:rPr>
              <w:t>”</w:t>
            </w:r>
          </w:p>
        </w:tc>
        <w:tc>
          <w:tcPr>
            <w:tcW w:w="774" w:type="dxa"/>
            <w:vAlign w:val="center"/>
          </w:tcPr>
          <w:p w14:paraId="4E8BDBE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5a</w:t>
            </w:r>
            <w:r w:rsidRPr="00FD50F6">
              <w:rPr>
                <w:rFonts w:ascii="Calibri" w:hAnsi="Calibri" w:cs="Times New Roman" w:hint="eastAsia"/>
                <w:b/>
                <w:sz w:val="18"/>
                <w:szCs w:val="24"/>
              </w:rPr>
              <w:t>”</w:t>
            </w:r>
          </w:p>
        </w:tc>
        <w:tc>
          <w:tcPr>
            <w:tcW w:w="774" w:type="dxa"/>
            <w:vAlign w:val="center"/>
          </w:tcPr>
          <w:p w14:paraId="667F5FA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68" w:type="dxa"/>
            <w:vAlign w:val="center"/>
          </w:tcPr>
          <w:p w14:paraId="3F85F28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7C9C221B" w14:textId="77777777" w:rsidTr="002B733E">
        <w:trPr>
          <w:trHeight w:val="397"/>
          <w:jc w:val="center"/>
        </w:trPr>
        <w:tc>
          <w:tcPr>
            <w:tcW w:w="729" w:type="dxa"/>
            <w:vAlign w:val="center"/>
          </w:tcPr>
          <w:p w14:paraId="4B1849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833" w:type="dxa"/>
            <w:vAlign w:val="center"/>
          </w:tcPr>
          <w:p w14:paraId="7DBDD0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220</w:t>
            </w:r>
          </w:p>
        </w:tc>
        <w:tc>
          <w:tcPr>
            <w:tcW w:w="778" w:type="dxa"/>
            <w:vAlign w:val="center"/>
          </w:tcPr>
          <w:p w14:paraId="75E9DD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212</w:t>
            </w:r>
          </w:p>
        </w:tc>
        <w:tc>
          <w:tcPr>
            <w:tcW w:w="776" w:type="dxa"/>
            <w:vAlign w:val="center"/>
          </w:tcPr>
          <w:p w14:paraId="27D978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4" w:type="dxa"/>
            <w:vAlign w:val="center"/>
          </w:tcPr>
          <w:p w14:paraId="5CFA46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4" w:type="dxa"/>
            <w:vAlign w:val="center"/>
          </w:tcPr>
          <w:p w14:paraId="087DD3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724</w:t>
            </w:r>
          </w:p>
        </w:tc>
        <w:tc>
          <w:tcPr>
            <w:tcW w:w="774" w:type="dxa"/>
            <w:vAlign w:val="center"/>
          </w:tcPr>
          <w:p w14:paraId="5E1A0F2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796</w:t>
            </w:r>
          </w:p>
        </w:tc>
        <w:tc>
          <w:tcPr>
            <w:tcW w:w="774" w:type="dxa"/>
            <w:vAlign w:val="center"/>
          </w:tcPr>
          <w:p w14:paraId="28C332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839</w:t>
            </w:r>
          </w:p>
        </w:tc>
        <w:tc>
          <w:tcPr>
            <w:tcW w:w="774" w:type="dxa"/>
            <w:vAlign w:val="center"/>
          </w:tcPr>
          <w:p w14:paraId="638511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975</w:t>
            </w:r>
          </w:p>
        </w:tc>
        <w:tc>
          <w:tcPr>
            <w:tcW w:w="774" w:type="dxa"/>
            <w:vAlign w:val="center"/>
          </w:tcPr>
          <w:p w14:paraId="02F3A0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8" w:type="dxa"/>
            <w:vAlign w:val="center"/>
          </w:tcPr>
          <w:p w14:paraId="576945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6DCABE4E" w14:textId="77777777" w:rsidTr="002B733E">
        <w:trPr>
          <w:trHeight w:val="397"/>
          <w:jc w:val="center"/>
        </w:trPr>
        <w:tc>
          <w:tcPr>
            <w:tcW w:w="729" w:type="dxa"/>
            <w:vAlign w:val="center"/>
          </w:tcPr>
          <w:p w14:paraId="0CD558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833" w:type="dxa"/>
            <w:vAlign w:val="center"/>
          </w:tcPr>
          <w:p w14:paraId="6FA38AD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w:t>
            </w:r>
          </w:p>
        </w:tc>
        <w:tc>
          <w:tcPr>
            <w:tcW w:w="778" w:type="dxa"/>
            <w:vAlign w:val="center"/>
          </w:tcPr>
          <w:p w14:paraId="701216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w:t>
            </w:r>
          </w:p>
        </w:tc>
        <w:tc>
          <w:tcPr>
            <w:tcW w:w="776" w:type="dxa"/>
            <w:vAlign w:val="center"/>
          </w:tcPr>
          <w:p w14:paraId="00EA70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p>
        </w:tc>
        <w:tc>
          <w:tcPr>
            <w:tcW w:w="774" w:type="dxa"/>
            <w:vAlign w:val="center"/>
          </w:tcPr>
          <w:p w14:paraId="3CDA89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4704</w:t>
            </w:r>
          </w:p>
        </w:tc>
        <w:tc>
          <w:tcPr>
            <w:tcW w:w="774" w:type="dxa"/>
            <w:vAlign w:val="center"/>
          </w:tcPr>
          <w:p w14:paraId="26CAA2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4691</w:t>
            </w:r>
          </w:p>
        </w:tc>
        <w:tc>
          <w:tcPr>
            <w:tcW w:w="774" w:type="dxa"/>
            <w:vAlign w:val="center"/>
          </w:tcPr>
          <w:p w14:paraId="46C82D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4665</w:t>
            </w:r>
          </w:p>
        </w:tc>
        <w:tc>
          <w:tcPr>
            <w:tcW w:w="774" w:type="dxa"/>
            <w:vAlign w:val="center"/>
          </w:tcPr>
          <w:p w14:paraId="0887CD5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4624</w:t>
            </w:r>
          </w:p>
        </w:tc>
        <w:tc>
          <w:tcPr>
            <w:tcW w:w="774" w:type="dxa"/>
            <w:vAlign w:val="center"/>
          </w:tcPr>
          <w:p w14:paraId="5CDD64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4478</w:t>
            </w:r>
          </w:p>
        </w:tc>
        <w:tc>
          <w:tcPr>
            <w:tcW w:w="774" w:type="dxa"/>
            <w:vAlign w:val="center"/>
          </w:tcPr>
          <w:p w14:paraId="3452A6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68" w:type="dxa"/>
            <w:vAlign w:val="center"/>
          </w:tcPr>
          <w:p w14:paraId="61B813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15F39E0A" w14:textId="77777777" w:rsidR="002B733E" w:rsidRPr="00FD50F6" w:rsidRDefault="002B733E" w:rsidP="002B733E">
      <w:pPr>
        <w:spacing w:line="240" w:lineRule="auto"/>
        <w:jc w:val="center"/>
        <w:rPr>
          <w:rFonts w:ascii="黑体" w:eastAsia="黑体" w:hAnsi="黑体" w:cs="Times New Roman"/>
          <w:sz w:val="21"/>
          <w:szCs w:val="24"/>
        </w:rPr>
      </w:pPr>
    </w:p>
    <w:p w14:paraId="3E02A818"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C</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1-6</w:t>
      </w:r>
      <w:r w:rsidRPr="00FD50F6">
        <w:rPr>
          <w:rFonts w:ascii="黑体" w:eastAsia="黑体" w:hAnsi="黑体" w:cs="Times New Roman" w:hint="eastAsia"/>
          <w:sz w:val="21"/>
          <w:szCs w:val="24"/>
        </w:rPr>
        <w:t>隧道内过站直线地段车辆限界坐标值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9"/>
        <w:gridCol w:w="774"/>
        <w:gridCol w:w="774"/>
        <w:gridCol w:w="814"/>
        <w:gridCol w:w="774"/>
        <w:gridCol w:w="774"/>
        <w:gridCol w:w="785"/>
        <w:gridCol w:w="774"/>
        <w:gridCol w:w="774"/>
        <w:gridCol w:w="785"/>
        <w:gridCol w:w="771"/>
      </w:tblGrid>
      <w:tr w:rsidR="00FD50F6" w:rsidRPr="00FD50F6" w14:paraId="4893F7A5" w14:textId="77777777" w:rsidTr="002B733E">
        <w:trPr>
          <w:trHeight w:val="397"/>
          <w:jc w:val="center"/>
        </w:trPr>
        <w:tc>
          <w:tcPr>
            <w:tcW w:w="729" w:type="dxa"/>
            <w:vAlign w:val="center"/>
          </w:tcPr>
          <w:p w14:paraId="06F77EF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5FCF29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74" w:type="dxa"/>
            <w:vAlign w:val="center"/>
          </w:tcPr>
          <w:p w14:paraId="298AC1B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814" w:type="dxa"/>
            <w:vAlign w:val="center"/>
          </w:tcPr>
          <w:p w14:paraId="4B35D45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74" w:type="dxa"/>
            <w:vAlign w:val="center"/>
          </w:tcPr>
          <w:p w14:paraId="6B20893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74" w:type="dxa"/>
            <w:vAlign w:val="center"/>
          </w:tcPr>
          <w:p w14:paraId="5A3CDAD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85" w:type="dxa"/>
            <w:vAlign w:val="center"/>
          </w:tcPr>
          <w:p w14:paraId="6BA5796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74" w:type="dxa"/>
            <w:vAlign w:val="center"/>
          </w:tcPr>
          <w:p w14:paraId="462F167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74" w:type="dxa"/>
            <w:vAlign w:val="center"/>
          </w:tcPr>
          <w:p w14:paraId="177DE05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85" w:type="dxa"/>
            <w:vAlign w:val="center"/>
          </w:tcPr>
          <w:p w14:paraId="531384C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71" w:type="dxa"/>
            <w:vAlign w:val="center"/>
          </w:tcPr>
          <w:p w14:paraId="2ED8A73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r>
      <w:tr w:rsidR="00FD50F6" w:rsidRPr="00FD50F6" w14:paraId="09CCBDD4" w14:textId="77777777" w:rsidTr="002B733E">
        <w:trPr>
          <w:trHeight w:val="397"/>
          <w:jc w:val="center"/>
        </w:trPr>
        <w:tc>
          <w:tcPr>
            <w:tcW w:w="729" w:type="dxa"/>
            <w:vAlign w:val="center"/>
          </w:tcPr>
          <w:p w14:paraId="6F9048C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4" w:type="dxa"/>
            <w:vAlign w:val="center"/>
          </w:tcPr>
          <w:p w14:paraId="0D452A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4" w:type="dxa"/>
            <w:vAlign w:val="center"/>
          </w:tcPr>
          <w:p w14:paraId="3182F8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583</w:t>
            </w:r>
          </w:p>
        </w:tc>
        <w:tc>
          <w:tcPr>
            <w:tcW w:w="814" w:type="dxa"/>
            <w:vAlign w:val="center"/>
          </w:tcPr>
          <w:p w14:paraId="088FB5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737</w:t>
            </w:r>
          </w:p>
        </w:tc>
        <w:tc>
          <w:tcPr>
            <w:tcW w:w="774" w:type="dxa"/>
            <w:vAlign w:val="center"/>
          </w:tcPr>
          <w:p w14:paraId="0C209E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753</w:t>
            </w:r>
          </w:p>
        </w:tc>
        <w:tc>
          <w:tcPr>
            <w:tcW w:w="774" w:type="dxa"/>
            <w:vAlign w:val="center"/>
          </w:tcPr>
          <w:p w14:paraId="5A637C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852</w:t>
            </w:r>
          </w:p>
        </w:tc>
        <w:tc>
          <w:tcPr>
            <w:tcW w:w="785" w:type="dxa"/>
            <w:vAlign w:val="center"/>
          </w:tcPr>
          <w:p w14:paraId="359ADC2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867</w:t>
            </w:r>
          </w:p>
        </w:tc>
        <w:tc>
          <w:tcPr>
            <w:tcW w:w="774" w:type="dxa"/>
            <w:vAlign w:val="center"/>
          </w:tcPr>
          <w:p w14:paraId="10FCD7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924</w:t>
            </w:r>
          </w:p>
        </w:tc>
        <w:tc>
          <w:tcPr>
            <w:tcW w:w="774" w:type="dxa"/>
            <w:vAlign w:val="center"/>
          </w:tcPr>
          <w:p w14:paraId="4EEEC0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991</w:t>
            </w:r>
          </w:p>
        </w:tc>
        <w:tc>
          <w:tcPr>
            <w:tcW w:w="785" w:type="dxa"/>
            <w:vAlign w:val="center"/>
          </w:tcPr>
          <w:p w14:paraId="386300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1067</w:t>
            </w:r>
          </w:p>
        </w:tc>
        <w:tc>
          <w:tcPr>
            <w:tcW w:w="771" w:type="dxa"/>
            <w:vAlign w:val="center"/>
          </w:tcPr>
          <w:p w14:paraId="49096DF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1175</w:t>
            </w:r>
          </w:p>
        </w:tc>
      </w:tr>
      <w:tr w:rsidR="00FD50F6" w:rsidRPr="00FD50F6" w14:paraId="74F34E05" w14:textId="77777777" w:rsidTr="002B733E">
        <w:trPr>
          <w:trHeight w:val="397"/>
          <w:jc w:val="center"/>
        </w:trPr>
        <w:tc>
          <w:tcPr>
            <w:tcW w:w="729" w:type="dxa"/>
            <w:vAlign w:val="center"/>
          </w:tcPr>
          <w:p w14:paraId="0E9B35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4" w:type="dxa"/>
            <w:vAlign w:val="center"/>
          </w:tcPr>
          <w:p w14:paraId="7368CD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72</w:t>
            </w:r>
          </w:p>
        </w:tc>
        <w:tc>
          <w:tcPr>
            <w:tcW w:w="774" w:type="dxa"/>
            <w:vAlign w:val="center"/>
          </w:tcPr>
          <w:p w14:paraId="16A18D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387</w:t>
            </w:r>
            <w:r w:rsidRPr="00FD50F6">
              <w:rPr>
                <w:rFonts w:ascii="Calibri" w:hAnsi="Calibri" w:cs="Times New Roman"/>
                <w:sz w:val="18"/>
                <w:szCs w:val="24"/>
              </w:rPr>
              <w:t>6</w:t>
            </w:r>
          </w:p>
        </w:tc>
        <w:tc>
          <w:tcPr>
            <w:tcW w:w="814" w:type="dxa"/>
            <w:vAlign w:val="center"/>
          </w:tcPr>
          <w:p w14:paraId="4EB5E9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3841</w:t>
            </w:r>
          </w:p>
        </w:tc>
        <w:tc>
          <w:tcPr>
            <w:tcW w:w="774" w:type="dxa"/>
            <w:vAlign w:val="center"/>
          </w:tcPr>
          <w:p w14:paraId="33DA5E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3825</w:t>
            </w:r>
          </w:p>
        </w:tc>
        <w:tc>
          <w:tcPr>
            <w:tcW w:w="774" w:type="dxa"/>
            <w:vAlign w:val="center"/>
          </w:tcPr>
          <w:p w14:paraId="5B5779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3784</w:t>
            </w:r>
          </w:p>
        </w:tc>
        <w:tc>
          <w:tcPr>
            <w:tcW w:w="785" w:type="dxa"/>
            <w:vAlign w:val="center"/>
          </w:tcPr>
          <w:p w14:paraId="45D4A7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3771</w:t>
            </w:r>
          </w:p>
        </w:tc>
        <w:tc>
          <w:tcPr>
            <w:tcW w:w="774" w:type="dxa"/>
            <w:vAlign w:val="center"/>
          </w:tcPr>
          <w:p w14:paraId="0A29075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3704</w:t>
            </w:r>
          </w:p>
        </w:tc>
        <w:tc>
          <w:tcPr>
            <w:tcW w:w="774" w:type="dxa"/>
            <w:vAlign w:val="center"/>
          </w:tcPr>
          <w:p w14:paraId="630BC4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3667</w:t>
            </w:r>
          </w:p>
        </w:tc>
        <w:tc>
          <w:tcPr>
            <w:tcW w:w="785" w:type="dxa"/>
            <w:vAlign w:val="center"/>
          </w:tcPr>
          <w:p w14:paraId="5590E7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3641</w:t>
            </w:r>
          </w:p>
        </w:tc>
        <w:tc>
          <w:tcPr>
            <w:tcW w:w="771" w:type="dxa"/>
            <w:vAlign w:val="center"/>
          </w:tcPr>
          <w:p w14:paraId="33162E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3597</w:t>
            </w:r>
          </w:p>
        </w:tc>
      </w:tr>
      <w:tr w:rsidR="00FD50F6" w:rsidRPr="00FD50F6" w14:paraId="3DA2EC9A" w14:textId="77777777" w:rsidTr="002B733E">
        <w:trPr>
          <w:trHeight w:val="397"/>
          <w:jc w:val="center"/>
        </w:trPr>
        <w:tc>
          <w:tcPr>
            <w:tcW w:w="729" w:type="dxa"/>
            <w:vAlign w:val="center"/>
          </w:tcPr>
          <w:p w14:paraId="350506F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1CE8C9A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74" w:type="dxa"/>
            <w:vAlign w:val="center"/>
          </w:tcPr>
          <w:p w14:paraId="298C238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814" w:type="dxa"/>
            <w:vAlign w:val="center"/>
          </w:tcPr>
          <w:p w14:paraId="003B6C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74" w:type="dxa"/>
            <w:vAlign w:val="center"/>
          </w:tcPr>
          <w:p w14:paraId="02C6D30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74" w:type="dxa"/>
            <w:vAlign w:val="center"/>
          </w:tcPr>
          <w:p w14:paraId="209A2A2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85" w:type="dxa"/>
            <w:vAlign w:val="center"/>
          </w:tcPr>
          <w:p w14:paraId="5550F3E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74" w:type="dxa"/>
            <w:vAlign w:val="center"/>
          </w:tcPr>
          <w:p w14:paraId="1DA8B5C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74" w:type="dxa"/>
            <w:vAlign w:val="center"/>
          </w:tcPr>
          <w:p w14:paraId="6C52438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785" w:type="dxa"/>
            <w:vAlign w:val="center"/>
          </w:tcPr>
          <w:p w14:paraId="2AF62AC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71" w:type="dxa"/>
            <w:vAlign w:val="center"/>
          </w:tcPr>
          <w:p w14:paraId="40D4C55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77CA74BC" w14:textId="77777777" w:rsidTr="002B733E">
        <w:trPr>
          <w:trHeight w:val="397"/>
          <w:jc w:val="center"/>
        </w:trPr>
        <w:tc>
          <w:tcPr>
            <w:tcW w:w="729" w:type="dxa"/>
            <w:vAlign w:val="center"/>
          </w:tcPr>
          <w:p w14:paraId="2E5B95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4" w:type="dxa"/>
            <w:vAlign w:val="center"/>
          </w:tcPr>
          <w:p w14:paraId="0A8538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1258</w:t>
            </w:r>
          </w:p>
        </w:tc>
        <w:tc>
          <w:tcPr>
            <w:tcW w:w="774" w:type="dxa"/>
            <w:vAlign w:val="center"/>
          </w:tcPr>
          <w:p w14:paraId="33D9923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1293</w:t>
            </w:r>
          </w:p>
        </w:tc>
        <w:tc>
          <w:tcPr>
            <w:tcW w:w="814" w:type="dxa"/>
            <w:vAlign w:val="center"/>
          </w:tcPr>
          <w:p w14:paraId="3CCAFD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1318</w:t>
            </w:r>
          </w:p>
        </w:tc>
        <w:tc>
          <w:tcPr>
            <w:tcW w:w="774" w:type="dxa"/>
            <w:vAlign w:val="center"/>
          </w:tcPr>
          <w:p w14:paraId="5276A52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1345</w:t>
            </w:r>
          </w:p>
        </w:tc>
        <w:tc>
          <w:tcPr>
            <w:tcW w:w="774" w:type="dxa"/>
            <w:vAlign w:val="center"/>
          </w:tcPr>
          <w:p w14:paraId="2CAB2F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1370</w:t>
            </w:r>
          </w:p>
        </w:tc>
        <w:tc>
          <w:tcPr>
            <w:tcW w:w="785" w:type="dxa"/>
            <w:vAlign w:val="center"/>
          </w:tcPr>
          <w:p w14:paraId="3E4443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1390</w:t>
            </w:r>
          </w:p>
        </w:tc>
        <w:tc>
          <w:tcPr>
            <w:tcW w:w="774" w:type="dxa"/>
            <w:vAlign w:val="center"/>
          </w:tcPr>
          <w:p w14:paraId="5BD1C0A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1409</w:t>
            </w:r>
          </w:p>
        </w:tc>
        <w:tc>
          <w:tcPr>
            <w:tcW w:w="774" w:type="dxa"/>
            <w:vAlign w:val="center"/>
          </w:tcPr>
          <w:p w14:paraId="18D8C6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1427</w:t>
            </w:r>
          </w:p>
        </w:tc>
        <w:tc>
          <w:tcPr>
            <w:tcW w:w="785" w:type="dxa"/>
            <w:vAlign w:val="center"/>
          </w:tcPr>
          <w:p w14:paraId="4F40EB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1439</w:t>
            </w:r>
          </w:p>
        </w:tc>
        <w:tc>
          <w:tcPr>
            <w:tcW w:w="771" w:type="dxa"/>
            <w:vAlign w:val="center"/>
          </w:tcPr>
          <w:p w14:paraId="0895D9A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1448</w:t>
            </w:r>
          </w:p>
        </w:tc>
      </w:tr>
      <w:tr w:rsidR="00FD50F6" w:rsidRPr="00FD50F6" w14:paraId="7F47AAAD" w14:textId="77777777" w:rsidTr="002B733E">
        <w:trPr>
          <w:trHeight w:val="397"/>
          <w:jc w:val="center"/>
        </w:trPr>
        <w:tc>
          <w:tcPr>
            <w:tcW w:w="729" w:type="dxa"/>
            <w:vAlign w:val="center"/>
          </w:tcPr>
          <w:p w14:paraId="2CED578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4" w:type="dxa"/>
            <w:vAlign w:val="center"/>
          </w:tcPr>
          <w:p w14:paraId="2844441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3555</w:t>
            </w:r>
          </w:p>
        </w:tc>
        <w:tc>
          <w:tcPr>
            <w:tcW w:w="774" w:type="dxa"/>
            <w:vAlign w:val="center"/>
          </w:tcPr>
          <w:p w14:paraId="5DF502F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3535</w:t>
            </w:r>
          </w:p>
        </w:tc>
        <w:tc>
          <w:tcPr>
            <w:tcW w:w="814" w:type="dxa"/>
            <w:vAlign w:val="center"/>
          </w:tcPr>
          <w:p w14:paraId="1B7FAB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3518</w:t>
            </w:r>
          </w:p>
        </w:tc>
        <w:tc>
          <w:tcPr>
            <w:tcW w:w="774" w:type="dxa"/>
            <w:vAlign w:val="center"/>
          </w:tcPr>
          <w:p w14:paraId="0BD1EC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3500</w:t>
            </w:r>
          </w:p>
        </w:tc>
        <w:tc>
          <w:tcPr>
            <w:tcW w:w="774" w:type="dxa"/>
            <w:vAlign w:val="center"/>
          </w:tcPr>
          <w:p w14:paraId="0F5AE4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3479</w:t>
            </w:r>
          </w:p>
        </w:tc>
        <w:tc>
          <w:tcPr>
            <w:tcW w:w="785" w:type="dxa"/>
            <w:vAlign w:val="center"/>
          </w:tcPr>
          <w:p w14:paraId="2CECB6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3460</w:t>
            </w:r>
          </w:p>
        </w:tc>
        <w:tc>
          <w:tcPr>
            <w:tcW w:w="774" w:type="dxa"/>
            <w:vAlign w:val="center"/>
          </w:tcPr>
          <w:p w14:paraId="101586D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3440</w:t>
            </w:r>
          </w:p>
        </w:tc>
        <w:tc>
          <w:tcPr>
            <w:tcW w:w="774" w:type="dxa"/>
            <w:vAlign w:val="center"/>
          </w:tcPr>
          <w:p w14:paraId="24E272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3417</w:t>
            </w:r>
          </w:p>
        </w:tc>
        <w:tc>
          <w:tcPr>
            <w:tcW w:w="785" w:type="dxa"/>
            <w:vAlign w:val="center"/>
          </w:tcPr>
          <w:p w14:paraId="1E5C9D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3397</w:t>
            </w:r>
          </w:p>
        </w:tc>
        <w:tc>
          <w:tcPr>
            <w:tcW w:w="771" w:type="dxa"/>
            <w:vAlign w:val="center"/>
          </w:tcPr>
          <w:p w14:paraId="62194A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3230</w:t>
            </w:r>
          </w:p>
        </w:tc>
      </w:tr>
      <w:tr w:rsidR="00FD50F6" w:rsidRPr="00FD50F6" w14:paraId="08519FB6" w14:textId="77777777" w:rsidTr="002B733E">
        <w:trPr>
          <w:trHeight w:val="397"/>
          <w:jc w:val="center"/>
        </w:trPr>
        <w:tc>
          <w:tcPr>
            <w:tcW w:w="729" w:type="dxa"/>
            <w:vAlign w:val="center"/>
          </w:tcPr>
          <w:p w14:paraId="7B6BB29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6DAE717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74" w:type="dxa"/>
            <w:vAlign w:val="center"/>
          </w:tcPr>
          <w:p w14:paraId="5843C7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814" w:type="dxa"/>
            <w:vAlign w:val="center"/>
          </w:tcPr>
          <w:p w14:paraId="3B533C1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74" w:type="dxa"/>
            <w:vAlign w:val="center"/>
          </w:tcPr>
          <w:p w14:paraId="0335E7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774" w:type="dxa"/>
            <w:vAlign w:val="center"/>
          </w:tcPr>
          <w:p w14:paraId="460B417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785" w:type="dxa"/>
            <w:vAlign w:val="center"/>
          </w:tcPr>
          <w:p w14:paraId="38DBA52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74" w:type="dxa"/>
            <w:vAlign w:val="center"/>
          </w:tcPr>
          <w:p w14:paraId="5D5BFD7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74" w:type="dxa"/>
            <w:vAlign w:val="center"/>
          </w:tcPr>
          <w:p w14:paraId="2D16D94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785" w:type="dxa"/>
            <w:vAlign w:val="center"/>
          </w:tcPr>
          <w:p w14:paraId="609B457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71" w:type="dxa"/>
            <w:vAlign w:val="center"/>
          </w:tcPr>
          <w:p w14:paraId="3FC51F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0292E7CC" w14:textId="77777777" w:rsidTr="002B733E">
        <w:trPr>
          <w:trHeight w:val="397"/>
          <w:jc w:val="center"/>
        </w:trPr>
        <w:tc>
          <w:tcPr>
            <w:tcW w:w="729" w:type="dxa"/>
            <w:vAlign w:val="center"/>
          </w:tcPr>
          <w:p w14:paraId="3E68C9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4" w:type="dxa"/>
            <w:vAlign w:val="center"/>
          </w:tcPr>
          <w:p w14:paraId="55178D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1603</w:t>
            </w:r>
          </w:p>
        </w:tc>
        <w:tc>
          <w:tcPr>
            <w:tcW w:w="774" w:type="dxa"/>
            <w:vAlign w:val="center"/>
          </w:tcPr>
          <w:p w14:paraId="03AA78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1607</w:t>
            </w:r>
          </w:p>
        </w:tc>
        <w:tc>
          <w:tcPr>
            <w:tcW w:w="814" w:type="dxa"/>
            <w:vAlign w:val="center"/>
          </w:tcPr>
          <w:p w14:paraId="3DE76E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1608</w:t>
            </w:r>
          </w:p>
        </w:tc>
        <w:tc>
          <w:tcPr>
            <w:tcW w:w="774" w:type="dxa"/>
            <w:vAlign w:val="center"/>
          </w:tcPr>
          <w:p w14:paraId="728D2E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1607</w:t>
            </w:r>
          </w:p>
        </w:tc>
        <w:tc>
          <w:tcPr>
            <w:tcW w:w="774" w:type="dxa"/>
            <w:vAlign w:val="center"/>
          </w:tcPr>
          <w:p w14:paraId="2D3CB3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1554</w:t>
            </w:r>
          </w:p>
        </w:tc>
        <w:tc>
          <w:tcPr>
            <w:tcW w:w="785" w:type="dxa"/>
            <w:vAlign w:val="center"/>
          </w:tcPr>
          <w:p w14:paraId="0CAE8E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1537</w:t>
            </w:r>
          </w:p>
        </w:tc>
        <w:tc>
          <w:tcPr>
            <w:tcW w:w="774" w:type="dxa"/>
            <w:vAlign w:val="center"/>
          </w:tcPr>
          <w:p w14:paraId="1FA0CA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1507</w:t>
            </w:r>
          </w:p>
        </w:tc>
        <w:tc>
          <w:tcPr>
            <w:tcW w:w="774" w:type="dxa"/>
            <w:vAlign w:val="center"/>
          </w:tcPr>
          <w:p w14:paraId="767968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1502</w:t>
            </w:r>
          </w:p>
        </w:tc>
        <w:tc>
          <w:tcPr>
            <w:tcW w:w="785" w:type="dxa"/>
            <w:vAlign w:val="center"/>
          </w:tcPr>
          <w:p w14:paraId="2A98D78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495</w:t>
            </w:r>
          </w:p>
        </w:tc>
        <w:tc>
          <w:tcPr>
            <w:tcW w:w="771" w:type="dxa"/>
            <w:vAlign w:val="center"/>
          </w:tcPr>
          <w:p w14:paraId="4490D0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1471</w:t>
            </w:r>
          </w:p>
        </w:tc>
      </w:tr>
      <w:tr w:rsidR="00FD50F6" w:rsidRPr="00FD50F6" w14:paraId="3E6EB85F" w14:textId="77777777" w:rsidTr="002B733E">
        <w:trPr>
          <w:trHeight w:val="397"/>
          <w:jc w:val="center"/>
        </w:trPr>
        <w:tc>
          <w:tcPr>
            <w:tcW w:w="729" w:type="dxa"/>
            <w:vAlign w:val="center"/>
          </w:tcPr>
          <w:p w14:paraId="58D332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4" w:type="dxa"/>
            <w:vAlign w:val="center"/>
          </w:tcPr>
          <w:p w14:paraId="3951F8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1791</w:t>
            </w:r>
          </w:p>
        </w:tc>
        <w:tc>
          <w:tcPr>
            <w:tcW w:w="774" w:type="dxa"/>
            <w:vAlign w:val="center"/>
          </w:tcPr>
          <w:p w14:paraId="18AEF0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1738</w:t>
            </w:r>
          </w:p>
        </w:tc>
        <w:tc>
          <w:tcPr>
            <w:tcW w:w="814" w:type="dxa"/>
            <w:vAlign w:val="center"/>
          </w:tcPr>
          <w:p w14:paraId="0A483C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1691</w:t>
            </w:r>
          </w:p>
        </w:tc>
        <w:tc>
          <w:tcPr>
            <w:tcW w:w="774" w:type="dxa"/>
            <w:vAlign w:val="center"/>
          </w:tcPr>
          <w:p w14:paraId="10558C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1643</w:t>
            </w:r>
          </w:p>
        </w:tc>
        <w:tc>
          <w:tcPr>
            <w:tcW w:w="774" w:type="dxa"/>
            <w:vAlign w:val="center"/>
          </w:tcPr>
          <w:p w14:paraId="3D021D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1001</w:t>
            </w:r>
          </w:p>
        </w:tc>
        <w:tc>
          <w:tcPr>
            <w:tcW w:w="785" w:type="dxa"/>
            <w:vAlign w:val="center"/>
          </w:tcPr>
          <w:p w14:paraId="152B71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799</w:t>
            </w:r>
          </w:p>
        </w:tc>
        <w:tc>
          <w:tcPr>
            <w:tcW w:w="774" w:type="dxa"/>
            <w:vAlign w:val="center"/>
          </w:tcPr>
          <w:p w14:paraId="3EB9F3A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712</w:t>
            </w:r>
          </w:p>
        </w:tc>
        <w:tc>
          <w:tcPr>
            <w:tcW w:w="774" w:type="dxa"/>
            <w:vAlign w:val="center"/>
          </w:tcPr>
          <w:p w14:paraId="7EC640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707</w:t>
            </w:r>
          </w:p>
        </w:tc>
        <w:tc>
          <w:tcPr>
            <w:tcW w:w="785" w:type="dxa"/>
            <w:vAlign w:val="center"/>
          </w:tcPr>
          <w:p w14:paraId="169673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702</w:t>
            </w:r>
          </w:p>
        </w:tc>
        <w:tc>
          <w:tcPr>
            <w:tcW w:w="771" w:type="dxa"/>
            <w:vAlign w:val="center"/>
          </w:tcPr>
          <w:p w14:paraId="24DC9C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634</w:t>
            </w:r>
          </w:p>
        </w:tc>
      </w:tr>
      <w:tr w:rsidR="00FD50F6" w:rsidRPr="00FD50F6" w14:paraId="2A88B194" w14:textId="77777777" w:rsidTr="002B733E">
        <w:trPr>
          <w:trHeight w:val="397"/>
          <w:jc w:val="center"/>
        </w:trPr>
        <w:tc>
          <w:tcPr>
            <w:tcW w:w="729" w:type="dxa"/>
            <w:vAlign w:val="center"/>
          </w:tcPr>
          <w:p w14:paraId="38A3E49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0286152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774" w:type="dxa"/>
            <w:vAlign w:val="center"/>
          </w:tcPr>
          <w:p w14:paraId="6CE75DC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814" w:type="dxa"/>
            <w:vAlign w:val="center"/>
          </w:tcPr>
          <w:p w14:paraId="0304790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74" w:type="dxa"/>
            <w:vAlign w:val="center"/>
          </w:tcPr>
          <w:p w14:paraId="5DA2D54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774" w:type="dxa"/>
            <w:vAlign w:val="center"/>
          </w:tcPr>
          <w:p w14:paraId="4ADD14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785" w:type="dxa"/>
            <w:vAlign w:val="center"/>
          </w:tcPr>
          <w:p w14:paraId="1E6E584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74" w:type="dxa"/>
            <w:vAlign w:val="center"/>
          </w:tcPr>
          <w:p w14:paraId="0A3DA78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774" w:type="dxa"/>
            <w:vAlign w:val="center"/>
          </w:tcPr>
          <w:p w14:paraId="7A51036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785" w:type="dxa"/>
            <w:vAlign w:val="center"/>
          </w:tcPr>
          <w:p w14:paraId="10FBFE4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71" w:type="dxa"/>
            <w:vAlign w:val="center"/>
          </w:tcPr>
          <w:p w14:paraId="2E55BEE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0F6482EF" w14:textId="77777777" w:rsidTr="002B733E">
        <w:trPr>
          <w:trHeight w:val="397"/>
          <w:jc w:val="center"/>
        </w:trPr>
        <w:tc>
          <w:tcPr>
            <w:tcW w:w="729" w:type="dxa"/>
            <w:vAlign w:val="center"/>
          </w:tcPr>
          <w:p w14:paraId="59114D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4" w:type="dxa"/>
            <w:vAlign w:val="center"/>
          </w:tcPr>
          <w:p w14:paraId="07D95C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1458</w:t>
            </w:r>
          </w:p>
        </w:tc>
        <w:tc>
          <w:tcPr>
            <w:tcW w:w="774" w:type="dxa"/>
            <w:vAlign w:val="center"/>
          </w:tcPr>
          <w:p w14:paraId="38B087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1457</w:t>
            </w:r>
          </w:p>
        </w:tc>
        <w:tc>
          <w:tcPr>
            <w:tcW w:w="814" w:type="dxa"/>
            <w:vAlign w:val="center"/>
          </w:tcPr>
          <w:p w14:paraId="6758879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1430</w:t>
            </w:r>
          </w:p>
        </w:tc>
        <w:tc>
          <w:tcPr>
            <w:tcW w:w="774" w:type="dxa"/>
            <w:vAlign w:val="center"/>
          </w:tcPr>
          <w:p w14:paraId="4A55A9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1382</w:t>
            </w:r>
          </w:p>
        </w:tc>
        <w:tc>
          <w:tcPr>
            <w:tcW w:w="774" w:type="dxa"/>
            <w:vAlign w:val="center"/>
          </w:tcPr>
          <w:p w14:paraId="53568B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1364</w:t>
            </w:r>
          </w:p>
        </w:tc>
        <w:tc>
          <w:tcPr>
            <w:tcW w:w="785" w:type="dxa"/>
            <w:vAlign w:val="center"/>
          </w:tcPr>
          <w:p w14:paraId="3A2AAC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1349</w:t>
            </w:r>
          </w:p>
        </w:tc>
        <w:tc>
          <w:tcPr>
            <w:tcW w:w="774" w:type="dxa"/>
            <w:vAlign w:val="center"/>
          </w:tcPr>
          <w:p w14:paraId="1236745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1347</w:t>
            </w:r>
          </w:p>
        </w:tc>
        <w:tc>
          <w:tcPr>
            <w:tcW w:w="774" w:type="dxa"/>
            <w:vAlign w:val="center"/>
          </w:tcPr>
          <w:p w14:paraId="4E1A60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1340</w:t>
            </w:r>
          </w:p>
        </w:tc>
        <w:tc>
          <w:tcPr>
            <w:tcW w:w="785" w:type="dxa"/>
            <w:vAlign w:val="center"/>
          </w:tcPr>
          <w:p w14:paraId="650497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1280</w:t>
            </w:r>
          </w:p>
        </w:tc>
        <w:tc>
          <w:tcPr>
            <w:tcW w:w="771" w:type="dxa"/>
            <w:vAlign w:val="center"/>
          </w:tcPr>
          <w:p w14:paraId="7C3B70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1268</w:t>
            </w:r>
          </w:p>
        </w:tc>
      </w:tr>
      <w:tr w:rsidR="00FD50F6" w:rsidRPr="00FD50F6" w14:paraId="3A6C3681" w14:textId="77777777" w:rsidTr="002B733E">
        <w:trPr>
          <w:trHeight w:val="397"/>
          <w:jc w:val="center"/>
        </w:trPr>
        <w:tc>
          <w:tcPr>
            <w:tcW w:w="729" w:type="dxa"/>
            <w:vAlign w:val="center"/>
          </w:tcPr>
          <w:p w14:paraId="1DFFBF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4" w:type="dxa"/>
            <w:vAlign w:val="center"/>
          </w:tcPr>
          <w:p w14:paraId="77625F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635</w:t>
            </w:r>
          </w:p>
        </w:tc>
        <w:tc>
          <w:tcPr>
            <w:tcW w:w="774" w:type="dxa"/>
            <w:vAlign w:val="center"/>
          </w:tcPr>
          <w:p w14:paraId="13F96E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591</w:t>
            </w:r>
          </w:p>
        </w:tc>
        <w:tc>
          <w:tcPr>
            <w:tcW w:w="814" w:type="dxa"/>
            <w:vAlign w:val="center"/>
          </w:tcPr>
          <w:p w14:paraId="63141E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512</w:t>
            </w:r>
          </w:p>
        </w:tc>
        <w:tc>
          <w:tcPr>
            <w:tcW w:w="774" w:type="dxa"/>
            <w:vAlign w:val="center"/>
          </w:tcPr>
          <w:p w14:paraId="15DFFC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w:t>
            </w:r>
          </w:p>
        </w:tc>
        <w:tc>
          <w:tcPr>
            <w:tcW w:w="774" w:type="dxa"/>
            <w:vAlign w:val="center"/>
          </w:tcPr>
          <w:p w14:paraId="4CE046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369</w:t>
            </w:r>
          </w:p>
        </w:tc>
        <w:tc>
          <w:tcPr>
            <w:tcW w:w="785" w:type="dxa"/>
            <w:vAlign w:val="center"/>
          </w:tcPr>
          <w:p w14:paraId="5304807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w:t>
            </w:r>
          </w:p>
        </w:tc>
        <w:tc>
          <w:tcPr>
            <w:tcW w:w="774" w:type="dxa"/>
            <w:vAlign w:val="center"/>
          </w:tcPr>
          <w:p w14:paraId="6EC032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295</w:t>
            </w:r>
          </w:p>
        </w:tc>
        <w:tc>
          <w:tcPr>
            <w:tcW w:w="774" w:type="dxa"/>
            <w:vAlign w:val="center"/>
          </w:tcPr>
          <w:p w14:paraId="5E6C0A8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270</w:t>
            </w:r>
          </w:p>
        </w:tc>
        <w:tc>
          <w:tcPr>
            <w:tcW w:w="785" w:type="dxa"/>
            <w:vAlign w:val="center"/>
          </w:tcPr>
          <w:p w14:paraId="71DC80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281</w:t>
            </w:r>
          </w:p>
        </w:tc>
        <w:tc>
          <w:tcPr>
            <w:tcW w:w="771" w:type="dxa"/>
            <w:vAlign w:val="center"/>
          </w:tcPr>
          <w:p w14:paraId="3328AC7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165</w:t>
            </w:r>
          </w:p>
        </w:tc>
      </w:tr>
      <w:tr w:rsidR="00FD50F6" w:rsidRPr="00FD50F6" w14:paraId="0E572858" w14:textId="77777777" w:rsidTr="002B733E">
        <w:trPr>
          <w:trHeight w:val="397"/>
          <w:jc w:val="center"/>
        </w:trPr>
        <w:tc>
          <w:tcPr>
            <w:tcW w:w="729" w:type="dxa"/>
            <w:vAlign w:val="center"/>
          </w:tcPr>
          <w:p w14:paraId="6473C954" w14:textId="77777777" w:rsidR="002B733E" w:rsidRPr="00FD50F6" w:rsidRDefault="002B733E" w:rsidP="002B733E">
            <w:pPr>
              <w:spacing w:line="400" w:lineRule="exact"/>
              <w:jc w:val="center"/>
              <w:rPr>
                <w:rFonts w:ascii="Calibri" w:hAnsi="Calibri" w:cs="Times New Roman"/>
                <w:sz w:val="21"/>
              </w:rPr>
            </w:pPr>
            <w:r w:rsidRPr="00FD50F6">
              <w:rPr>
                <w:rFonts w:ascii="Calibri" w:hAnsi="Calibri" w:cs="Times New Roman" w:hint="eastAsia"/>
                <w:b/>
                <w:sz w:val="21"/>
              </w:rPr>
              <w:t>点号</w:t>
            </w:r>
          </w:p>
        </w:tc>
        <w:tc>
          <w:tcPr>
            <w:tcW w:w="774" w:type="dxa"/>
            <w:vAlign w:val="center"/>
          </w:tcPr>
          <w:p w14:paraId="48FF8CE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774" w:type="dxa"/>
            <w:vAlign w:val="center"/>
          </w:tcPr>
          <w:p w14:paraId="0ECC8D2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814" w:type="dxa"/>
            <w:vAlign w:val="center"/>
          </w:tcPr>
          <w:p w14:paraId="584EC1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74" w:type="dxa"/>
            <w:vAlign w:val="center"/>
          </w:tcPr>
          <w:p w14:paraId="6074FE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774" w:type="dxa"/>
            <w:vAlign w:val="center"/>
          </w:tcPr>
          <w:p w14:paraId="0342E4D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785" w:type="dxa"/>
            <w:vAlign w:val="center"/>
          </w:tcPr>
          <w:p w14:paraId="38527EE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74" w:type="dxa"/>
            <w:vAlign w:val="center"/>
          </w:tcPr>
          <w:p w14:paraId="4FDA1EA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774" w:type="dxa"/>
            <w:vAlign w:val="center"/>
          </w:tcPr>
          <w:p w14:paraId="7DD613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785" w:type="dxa"/>
            <w:vAlign w:val="center"/>
          </w:tcPr>
          <w:p w14:paraId="18BFAF7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71" w:type="dxa"/>
            <w:vAlign w:val="center"/>
          </w:tcPr>
          <w:p w14:paraId="0CBB73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28185893" w14:textId="77777777" w:rsidTr="002B733E">
        <w:trPr>
          <w:trHeight w:val="397"/>
          <w:jc w:val="center"/>
        </w:trPr>
        <w:tc>
          <w:tcPr>
            <w:tcW w:w="729" w:type="dxa"/>
            <w:vAlign w:val="center"/>
          </w:tcPr>
          <w:p w14:paraId="40B35E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4" w:type="dxa"/>
            <w:vAlign w:val="center"/>
          </w:tcPr>
          <w:p w14:paraId="3C399C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1195</w:t>
            </w:r>
          </w:p>
        </w:tc>
        <w:tc>
          <w:tcPr>
            <w:tcW w:w="774" w:type="dxa"/>
            <w:vAlign w:val="center"/>
          </w:tcPr>
          <w:p w14:paraId="09391A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1150</w:t>
            </w:r>
          </w:p>
        </w:tc>
        <w:tc>
          <w:tcPr>
            <w:tcW w:w="814" w:type="dxa"/>
            <w:vAlign w:val="center"/>
          </w:tcPr>
          <w:p w14:paraId="6EB6E18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840</w:t>
            </w:r>
          </w:p>
        </w:tc>
        <w:tc>
          <w:tcPr>
            <w:tcW w:w="774" w:type="dxa"/>
            <w:vAlign w:val="center"/>
          </w:tcPr>
          <w:p w14:paraId="78F782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839</w:t>
            </w:r>
          </w:p>
        </w:tc>
        <w:tc>
          <w:tcPr>
            <w:tcW w:w="774" w:type="dxa"/>
            <w:vAlign w:val="center"/>
          </w:tcPr>
          <w:p w14:paraId="4A58AB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745</w:t>
            </w:r>
          </w:p>
        </w:tc>
        <w:tc>
          <w:tcPr>
            <w:tcW w:w="785" w:type="dxa"/>
            <w:vAlign w:val="center"/>
          </w:tcPr>
          <w:p w14:paraId="46C76B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744</w:t>
            </w:r>
          </w:p>
        </w:tc>
        <w:tc>
          <w:tcPr>
            <w:tcW w:w="774" w:type="dxa"/>
            <w:vAlign w:val="center"/>
          </w:tcPr>
          <w:p w14:paraId="6B71EC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649</w:t>
            </w:r>
          </w:p>
        </w:tc>
        <w:tc>
          <w:tcPr>
            <w:tcW w:w="774" w:type="dxa"/>
            <w:vAlign w:val="center"/>
          </w:tcPr>
          <w:p w14:paraId="0C9A10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641</w:t>
            </w:r>
          </w:p>
        </w:tc>
        <w:tc>
          <w:tcPr>
            <w:tcW w:w="785" w:type="dxa"/>
            <w:vAlign w:val="center"/>
          </w:tcPr>
          <w:p w14:paraId="0D73A84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528</w:t>
            </w:r>
          </w:p>
        </w:tc>
        <w:tc>
          <w:tcPr>
            <w:tcW w:w="771" w:type="dxa"/>
            <w:vAlign w:val="center"/>
          </w:tcPr>
          <w:p w14:paraId="290B0DA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r>
      <w:tr w:rsidR="00FD50F6" w:rsidRPr="00FD50F6" w14:paraId="515AABD4" w14:textId="77777777" w:rsidTr="002B733E">
        <w:trPr>
          <w:trHeight w:val="397"/>
          <w:jc w:val="center"/>
        </w:trPr>
        <w:tc>
          <w:tcPr>
            <w:tcW w:w="729" w:type="dxa"/>
            <w:vAlign w:val="center"/>
          </w:tcPr>
          <w:p w14:paraId="490AD8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4" w:type="dxa"/>
            <w:vAlign w:val="center"/>
          </w:tcPr>
          <w:p w14:paraId="4011D3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229</w:t>
            </w:r>
          </w:p>
        </w:tc>
        <w:tc>
          <w:tcPr>
            <w:tcW w:w="774" w:type="dxa"/>
            <w:vAlign w:val="center"/>
          </w:tcPr>
          <w:p w14:paraId="06DDB03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w:t>
            </w:r>
          </w:p>
        </w:tc>
        <w:tc>
          <w:tcPr>
            <w:tcW w:w="814" w:type="dxa"/>
            <w:vAlign w:val="center"/>
          </w:tcPr>
          <w:p w14:paraId="01BD36C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w:t>
            </w:r>
          </w:p>
        </w:tc>
        <w:tc>
          <w:tcPr>
            <w:tcW w:w="774" w:type="dxa"/>
            <w:vAlign w:val="center"/>
          </w:tcPr>
          <w:p w14:paraId="52EAFD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774" w:type="dxa"/>
            <w:vAlign w:val="center"/>
          </w:tcPr>
          <w:p w14:paraId="1C16AF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785" w:type="dxa"/>
            <w:vAlign w:val="center"/>
          </w:tcPr>
          <w:p w14:paraId="2D6373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74" w:type="dxa"/>
            <w:vAlign w:val="center"/>
          </w:tcPr>
          <w:p w14:paraId="5B6577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74" w:type="dxa"/>
            <w:vAlign w:val="center"/>
          </w:tcPr>
          <w:p w14:paraId="5EB739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47</w:t>
            </w:r>
          </w:p>
        </w:tc>
        <w:tc>
          <w:tcPr>
            <w:tcW w:w="785" w:type="dxa"/>
            <w:vAlign w:val="center"/>
          </w:tcPr>
          <w:p w14:paraId="36346B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w:t>
            </w:r>
          </w:p>
        </w:tc>
        <w:tc>
          <w:tcPr>
            <w:tcW w:w="771" w:type="dxa"/>
            <w:vAlign w:val="center"/>
          </w:tcPr>
          <w:p w14:paraId="13FC4E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43</w:t>
            </w:r>
          </w:p>
        </w:tc>
      </w:tr>
      <w:tr w:rsidR="00FD50F6" w:rsidRPr="00FD50F6" w14:paraId="3170B9EF" w14:textId="77777777" w:rsidTr="002B733E">
        <w:trPr>
          <w:trHeight w:val="397"/>
          <w:jc w:val="center"/>
        </w:trPr>
        <w:tc>
          <w:tcPr>
            <w:tcW w:w="729" w:type="dxa"/>
            <w:vAlign w:val="center"/>
          </w:tcPr>
          <w:p w14:paraId="1E7ECF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01E12E3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774" w:type="dxa"/>
            <w:vAlign w:val="center"/>
          </w:tcPr>
          <w:p w14:paraId="36B7437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814" w:type="dxa"/>
            <w:vAlign w:val="center"/>
          </w:tcPr>
          <w:p w14:paraId="2FA3B7E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74" w:type="dxa"/>
            <w:vAlign w:val="center"/>
          </w:tcPr>
          <w:p w14:paraId="36D3B01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0s</w:t>
            </w:r>
            <w:r w:rsidRPr="00FD50F6">
              <w:rPr>
                <w:rFonts w:ascii="Calibri" w:hAnsi="Calibri" w:cs="Times New Roman" w:hint="eastAsia"/>
                <w:b/>
                <w:sz w:val="18"/>
                <w:szCs w:val="24"/>
              </w:rPr>
              <w:t>’</w:t>
            </w:r>
          </w:p>
        </w:tc>
        <w:tc>
          <w:tcPr>
            <w:tcW w:w="774" w:type="dxa"/>
            <w:vAlign w:val="center"/>
          </w:tcPr>
          <w:p w14:paraId="7217A75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1s</w:t>
            </w:r>
            <w:r w:rsidRPr="00FD50F6">
              <w:rPr>
                <w:rFonts w:ascii="Calibri" w:hAnsi="Calibri" w:cs="Times New Roman" w:hint="eastAsia"/>
                <w:b/>
                <w:sz w:val="18"/>
                <w:szCs w:val="24"/>
              </w:rPr>
              <w:t>’</w:t>
            </w:r>
          </w:p>
        </w:tc>
        <w:tc>
          <w:tcPr>
            <w:tcW w:w="785" w:type="dxa"/>
            <w:vAlign w:val="center"/>
          </w:tcPr>
          <w:p w14:paraId="107BA2E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2s</w:t>
            </w:r>
            <w:r w:rsidRPr="00FD50F6">
              <w:rPr>
                <w:rFonts w:ascii="Calibri" w:hAnsi="Calibri" w:cs="Times New Roman" w:hint="eastAsia"/>
                <w:b/>
                <w:sz w:val="18"/>
                <w:szCs w:val="24"/>
              </w:rPr>
              <w:t>’</w:t>
            </w:r>
          </w:p>
        </w:tc>
        <w:tc>
          <w:tcPr>
            <w:tcW w:w="774" w:type="dxa"/>
            <w:vAlign w:val="center"/>
          </w:tcPr>
          <w:p w14:paraId="722539C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3s</w:t>
            </w:r>
            <w:r w:rsidRPr="00FD50F6">
              <w:rPr>
                <w:rFonts w:ascii="Calibri" w:hAnsi="Calibri" w:cs="Times New Roman" w:hint="eastAsia"/>
                <w:b/>
                <w:sz w:val="18"/>
                <w:szCs w:val="24"/>
              </w:rPr>
              <w:t>’</w:t>
            </w:r>
          </w:p>
        </w:tc>
        <w:tc>
          <w:tcPr>
            <w:tcW w:w="774" w:type="dxa"/>
            <w:vAlign w:val="center"/>
          </w:tcPr>
          <w:p w14:paraId="19267A8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4s</w:t>
            </w:r>
            <w:r w:rsidRPr="00FD50F6">
              <w:rPr>
                <w:rFonts w:ascii="Calibri" w:hAnsi="Calibri" w:cs="Times New Roman" w:hint="eastAsia"/>
                <w:b/>
                <w:sz w:val="18"/>
                <w:szCs w:val="24"/>
              </w:rPr>
              <w:t>’</w:t>
            </w:r>
          </w:p>
        </w:tc>
        <w:tc>
          <w:tcPr>
            <w:tcW w:w="785" w:type="dxa"/>
            <w:vAlign w:val="center"/>
          </w:tcPr>
          <w:p w14:paraId="74379B5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71" w:type="dxa"/>
            <w:vAlign w:val="center"/>
          </w:tcPr>
          <w:p w14:paraId="144EE34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48291936" w14:textId="77777777" w:rsidTr="002B733E">
        <w:trPr>
          <w:trHeight w:val="397"/>
          <w:jc w:val="center"/>
        </w:trPr>
        <w:tc>
          <w:tcPr>
            <w:tcW w:w="729" w:type="dxa"/>
            <w:vAlign w:val="center"/>
          </w:tcPr>
          <w:p w14:paraId="4C99DB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4" w:type="dxa"/>
            <w:vAlign w:val="center"/>
          </w:tcPr>
          <w:p w14:paraId="458DF5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235</w:t>
            </w:r>
          </w:p>
        </w:tc>
        <w:tc>
          <w:tcPr>
            <w:tcW w:w="774" w:type="dxa"/>
            <w:vAlign w:val="center"/>
          </w:tcPr>
          <w:p w14:paraId="7207BF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227</w:t>
            </w:r>
          </w:p>
        </w:tc>
        <w:tc>
          <w:tcPr>
            <w:tcW w:w="814" w:type="dxa"/>
            <w:vAlign w:val="center"/>
          </w:tcPr>
          <w:p w14:paraId="2E3CCF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4" w:type="dxa"/>
            <w:vAlign w:val="center"/>
          </w:tcPr>
          <w:p w14:paraId="6DE4B80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4" w:type="dxa"/>
            <w:vAlign w:val="center"/>
          </w:tcPr>
          <w:p w14:paraId="7A73E33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583</w:t>
            </w:r>
          </w:p>
        </w:tc>
        <w:tc>
          <w:tcPr>
            <w:tcW w:w="785" w:type="dxa"/>
            <w:vAlign w:val="center"/>
          </w:tcPr>
          <w:p w14:paraId="4AE0A1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655</w:t>
            </w:r>
          </w:p>
        </w:tc>
        <w:tc>
          <w:tcPr>
            <w:tcW w:w="774" w:type="dxa"/>
            <w:vAlign w:val="center"/>
          </w:tcPr>
          <w:p w14:paraId="26A83F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698</w:t>
            </w:r>
          </w:p>
        </w:tc>
        <w:tc>
          <w:tcPr>
            <w:tcW w:w="774" w:type="dxa"/>
            <w:vAlign w:val="center"/>
          </w:tcPr>
          <w:p w14:paraId="1F96D61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835</w:t>
            </w:r>
          </w:p>
        </w:tc>
        <w:tc>
          <w:tcPr>
            <w:tcW w:w="785" w:type="dxa"/>
            <w:vAlign w:val="center"/>
          </w:tcPr>
          <w:p w14:paraId="789F72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71" w:type="dxa"/>
            <w:vAlign w:val="center"/>
          </w:tcPr>
          <w:p w14:paraId="17FFB7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5977AB35" w14:textId="77777777" w:rsidTr="002B733E">
        <w:trPr>
          <w:trHeight w:val="397"/>
          <w:jc w:val="center"/>
        </w:trPr>
        <w:tc>
          <w:tcPr>
            <w:tcW w:w="729" w:type="dxa"/>
            <w:vAlign w:val="center"/>
          </w:tcPr>
          <w:p w14:paraId="6BB904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4" w:type="dxa"/>
            <w:vAlign w:val="center"/>
          </w:tcPr>
          <w:p w14:paraId="33F1AB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w:t>
            </w:r>
          </w:p>
        </w:tc>
        <w:tc>
          <w:tcPr>
            <w:tcW w:w="774" w:type="dxa"/>
            <w:vAlign w:val="center"/>
          </w:tcPr>
          <w:p w14:paraId="5949A88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w:t>
            </w:r>
          </w:p>
        </w:tc>
        <w:tc>
          <w:tcPr>
            <w:tcW w:w="814" w:type="dxa"/>
            <w:vAlign w:val="center"/>
          </w:tcPr>
          <w:p w14:paraId="79D3CE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74" w:type="dxa"/>
            <w:vAlign w:val="center"/>
          </w:tcPr>
          <w:p w14:paraId="4DAD08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4084</w:t>
            </w:r>
          </w:p>
        </w:tc>
        <w:tc>
          <w:tcPr>
            <w:tcW w:w="774" w:type="dxa"/>
            <w:vAlign w:val="center"/>
          </w:tcPr>
          <w:p w14:paraId="023AA2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4071</w:t>
            </w:r>
          </w:p>
        </w:tc>
        <w:tc>
          <w:tcPr>
            <w:tcW w:w="785" w:type="dxa"/>
            <w:vAlign w:val="center"/>
          </w:tcPr>
          <w:p w14:paraId="1E89AD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4045</w:t>
            </w:r>
          </w:p>
        </w:tc>
        <w:tc>
          <w:tcPr>
            <w:tcW w:w="774" w:type="dxa"/>
            <w:vAlign w:val="center"/>
          </w:tcPr>
          <w:p w14:paraId="22C099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4004</w:t>
            </w:r>
          </w:p>
        </w:tc>
        <w:tc>
          <w:tcPr>
            <w:tcW w:w="774" w:type="dxa"/>
            <w:vAlign w:val="center"/>
          </w:tcPr>
          <w:p w14:paraId="51D642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3858</w:t>
            </w:r>
          </w:p>
        </w:tc>
        <w:tc>
          <w:tcPr>
            <w:tcW w:w="785" w:type="dxa"/>
            <w:vAlign w:val="center"/>
          </w:tcPr>
          <w:p w14:paraId="23BEF88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71" w:type="dxa"/>
            <w:vAlign w:val="center"/>
          </w:tcPr>
          <w:p w14:paraId="705073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5EEFF661" w14:textId="77777777" w:rsidR="002B733E" w:rsidRPr="00FD50F6" w:rsidRDefault="002B733E" w:rsidP="002B733E">
      <w:pPr>
        <w:jc w:val="center"/>
        <w:rPr>
          <w:rFonts w:ascii="黑体" w:eastAsia="黑体" w:hAnsi="黑体" w:cs="Times New Roman"/>
          <w:sz w:val="21"/>
          <w:szCs w:val="24"/>
        </w:rPr>
      </w:pPr>
    </w:p>
    <w:p w14:paraId="36CBD72F"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C</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1-7</w:t>
      </w:r>
      <w:r w:rsidRPr="00FD50F6">
        <w:rPr>
          <w:rFonts w:ascii="黑体" w:eastAsia="黑体" w:hAnsi="黑体" w:cs="Times New Roman" w:hint="eastAsia"/>
          <w:sz w:val="21"/>
          <w:szCs w:val="24"/>
        </w:rPr>
        <w:t>隧道外过站直线地段车辆限界坐标值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7"/>
        <w:gridCol w:w="775"/>
        <w:gridCol w:w="775"/>
        <w:gridCol w:w="775"/>
        <w:gridCol w:w="775"/>
        <w:gridCol w:w="775"/>
        <w:gridCol w:w="775"/>
        <w:gridCol w:w="775"/>
        <w:gridCol w:w="774"/>
        <w:gridCol w:w="774"/>
        <w:gridCol w:w="778"/>
      </w:tblGrid>
      <w:tr w:rsidR="00FD50F6" w:rsidRPr="00FD50F6" w14:paraId="0E470F90" w14:textId="77777777" w:rsidTr="002B733E">
        <w:trPr>
          <w:trHeight w:val="397"/>
          <w:jc w:val="center"/>
        </w:trPr>
        <w:tc>
          <w:tcPr>
            <w:tcW w:w="777" w:type="dxa"/>
            <w:vAlign w:val="center"/>
          </w:tcPr>
          <w:p w14:paraId="450AE7C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4E6AEF5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75" w:type="dxa"/>
            <w:vAlign w:val="center"/>
          </w:tcPr>
          <w:p w14:paraId="776C0CC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75" w:type="dxa"/>
            <w:vAlign w:val="center"/>
          </w:tcPr>
          <w:p w14:paraId="073429E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75" w:type="dxa"/>
            <w:vAlign w:val="center"/>
          </w:tcPr>
          <w:p w14:paraId="77377E1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75" w:type="dxa"/>
            <w:vAlign w:val="center"/>
          </w:tcPr>
          <w:p w14:paraId="26EC508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75" w:type="dxa"/>
            <w:vAlign w:val="center"/>
          </w:tcPr>
          <w:p w14:paraId="52D9484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75" w:type="dxa"/>
            <w:vAlign w:val="center"/>
          </w:tcPr>
          <w:p w14:paraId="74B7408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74" w:type="dxa"/>
            <w:vAlign w:val="center"/>
          </w:tcPr>
          <w:p w14:paraId="35329E3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74" w:type="dxa"/>
            <w:vAlign w:val="center"/>
          </w:tcPr>
          <w:p w14:paraId="71EC2F2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78" w:type="dxa"/>
            <w:vAlign w:val="center"/>
          </w:tcPr>
          <w:p w14:paraId="0CD97A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r>
      <w:tr w:rsidR="00FD50F6" w:rsidRPr="00FD50F6" w14:paraId="5410EB70" w14:textId="77777777" w:rsidTr="002B733E">
        <w:trPr>
          <w:trHeight w:val="397"/>
          <w:jc w:val="center"/>
        </w:trPr>
        <w:tc>
          <w:tcPr>
            <w:tcW w:w="777" w:type="dxa"/>
            <w:vAlign w:val="center"/>
          </w:tcPr>
          <w:p w14:paraId="572CCB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5" w:type="dxa"/>
            <w:vAlign w:val="center"/>
          </w:tcPr>
          <w:p w14:paraId="6C932B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5" w:type="dxa"/>
            <w:vAlign w:val="center"/>
          </w:tcPr>
          <w:p w14:paraId="65003CA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592</w:t>
            </w:r>
          </w:p>
        </w:tc>
        <w:tc>
          <w:tcPr>
            <w:tcW w:w="775" w:type="dxa"/>
            <w:vAlign w:val="center"/>
          </w:tcPr>
          <w:p w14:paraId="5523CF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740</w:t>
            </w:r>
          </w:p>
        </w:tc>
        <w:tc>
          <w:tcPr>
            <w:tcW w:w="775" w:type="dxa"/>
            <w:vAlign w:val="center"/>
          </w:tcPr>
          <w:p w14:paraId="59DF0C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757</w:t>
            </w:r>
          </w:p>
        </w:tc>
        <w:tc>
          <w:tcPr>
            <w:tcW w:w="775" w:type="dxa"/>
            <w:vAlign w:val="center"/>
          </w:tcPr>
          <w:p w14:paraId="5CEA8DC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856</w:t>
            </w:r>
          </w:p>
        </w:tc>
        <w:tc>
          <w:tcPr>
            <w:tcW w:w="775" w:type="dxa"/>
            <w:vAlign w:val="center"/>
          </w:tcPr>
          <w:p w14:paraId="2D4DC9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871</w:t>
            </w:r>
          </w:p>
        </w:tc>
        <w:tc>
          <w:tcPr>
            <w:tcW w:w="775" w:type="dxa"/>
            <w:vAlign w:val="center"/>
          </w:tcPr>
          <w:p w14:paraId="1C262B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928</w:t>
            </w:r>
          </w:p>
        </w:tc>
        <w:tc>
          <w:tcPr>
            <w:tcW w:w="774" w:type="dxa"/>
            <w:vAlign w:val="center"/>
          </w:tcPr>
          <w:p w14:paraId="7F60719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994</w:t>
            </w:r>
          </w:p>
        </w:tc>
        <w:tc>
          <w:tcPr>
            <w:tcW w:w="774" w:type="dxa"/>
            <w:vAlign w:val="center"/>
          </w:tcPr>
          <w:p w14:paraId="31F1C9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1070</w:t>
            </w:r>
          </w:p>
        </w:tc>
        <w:tc>
          <w:tcPr>
            <w:tcW w:w="778" w:type="dxa"/>
            <w:vAlign w:val="center"/>
          </w:tcPr>
          <w:p w14:paraId="23C1922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1178</w:t>
            </w:r>
          </w:p>
        </w:tc>
      </w:tr>
      <w:tr w:rsidR="00FD50F6" w:rsidRPr="00FD50F6" w14:paraId="0DDA82CB" w14:textId="77777777" w:rsidTr="002B733E">
        <w:trPr>
          <w:trHeight w:val="397"/>
          <w:jc w:val="center"/>
        </w:trPr>
        <w:tc>
          <w:tcPr>
            <w:tcW w:w="777" w:type="dxa"/>
            <w:vAlign w:val="center"/>
          </w:tcPr>
          <w:p w14:paraId="2824F8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5" w:type="dxa"/>
            <w:vAlign w:val="center"/>
          </w:tcPr>
          <w:p w14:paraId="2D5F79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72</w:t>
            </w:r>
          </w:p>
        </w:tc>
        <w:tc>
          <w:tcPr>
            <w:tcW w:w="775" w:type="dxa"/>
            <w:vAlign w:val="center"/>
          </w:tcPr>
          <w:p w14:paraId="42BAC7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387</w:t>
            </w:r>
            <w:r w:rsidRPr="00FD50F6">
              <w:rPr>
                <w:rFonts w:ascii="Calibri" w:hAnsi="Calibri" w:cs="Times New Roman"/>
                <w:sz w:val="18"/>
                <w:szCs w:val="24"/>
              </w:rPr>
              <w:t>6</w:t>
            </w:r>
          </w:p>
        </w:tc>
        <w:tc>
          <w:tcPr>
            <w:tcW w:w="775" w:type="dxa"/>
            <w:vAlign w:val="center"/>
          </w:tcPr>
          <w:p w14:paraId="129722E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3841</w:t>
            </w:r>
          </w:p>
        </w:tc>
        <w:tc>
          <w:tcPr>
            <w:tcW w:w="775" w:type="dxa"/>
            <w:vAlign w:val="center"/>
          </w:tcPr>
          <w:p w14:paraId="4B22EA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3825</w:t>
            </w:r>
          </w:p>
        </w:tc>
        <w:tc>
          <w:tcPr>
            <w:tcW w:w="775" w:type="dxa"/>
            <w:vAlign w:val="center"/>
          </w:tcPr>
          <w:p w14:paraId="1590263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3785</w:t>
            </w:r>
          </w:p>
        </w:tc>
        <w:tc>
          <w:tcPr>
            <w:tcW w:w="775" w:type="dxa"/>
            <w:vAlign w:val="center"/>
          </w:tcPr>
          <w:p w14:paraId="5616CB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3772</w:t>
            </w:r>
          </w:p>
        </w:tc>
        <w:tc>
          <w:tcPr>
            <w:tcW w:w="775" w:type="dxa"/>
            <w:vAlign w:val="center"/>
          </w:tcPr>
          <w:p w14:paraId="4398E7B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3705</w:t>
            </w:r>
          </w:p>
        </w:tc>
        <w:tc>
          <w:tcPr>
            <w:tcW w:w="774" w:type="dxa"/>
            <w:vAlign w:val="center"/>
          </w:tcPr>
          <w:p w14:paraId="5BFDEA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3668</w:t>
            </w:r>
          </w:p>
        </w:tc>
        <w:tc>
          <w:tcPr>
            <w:tcW w:w="774" w:type="dxa"/>
            <w:vAlign w:val="center"/>
          </w:tcPr>
          <w:p w14:paraId="371D62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3642</w:t>
            </w:r>
          </w:p>
        </w:tc>
        <w:tc>
          <w:tcPr>
            <w:tcW w:w="778" w:type="dxa"/>
            <w:vAlign w:val="center"/>
          </w:tcPr>
          <w:p w14:paraId="7D5A57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3599</w:t>
            </w:r>
          </w:p>
        </w:tc>
      </w:tr>
      <w:tr w:rsidR="00FD50F6" w:rsidRPr="00FD50F6" w14:paraId="4251EC5C" w14:textId="77777777" w:rsidTr="002B733E">
        <w:trPr>
          <w:trHeight w:val="397"/>
          <w:jc w:val="center"/>
        </w:trPr>
        <w:tc>
          <w:tcPr>
            <w:tcW w:w="777" w:type="dxa"/>
            <w:vAlign w:val="center"/>
          </w:tcPr>
          <w:p w14:paraId="12D8645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128D1E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75" w:type="dxa"/>
            <w:vAlign w:val="center"/>
          </w:tcPr>
          <w:p w14:paraId="4ACDE77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75" w:type="dxa"/>
            <w:vAlign w:val="center"/>
          </w:tcPr>
          <w:p w14:paraId="5834DFB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75" w:type="dxa"/>
            <w:vAlign w:val="center"/>
          </w:tcPr>
          <w:p w14:paraId="7F7797D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75" w:type="dxa"/>
            <w:vAlign w:val="center"/>
          </w:tcPr>
          <w:p w14:paraId="2A0918E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75" w:type="dxa"/>
            <w:vAlign w:val="center"/>
          </w:tcPr>
          <w:p w14:paraId="3A0E25D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75" w:type="dxa"/>
            <w:vAlign w:val="center"/>
          </w:tcPr>
          <w:p w14:paraId="4BCDCE7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74" w:type="dxa"/>
            <w:vAlign w:val="center"/>
          </w:tcPr>
          <w:p w14:paraId="3175A72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774" w:type="dxa"/>
            <w:vAlign w:val="center"/>
          </w:tcPr>
          <w:p w14:paraId="0999944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78" w:type="dxa"/>
            <w:vAlign w:val="center"/>
          </w:tcPr>
          <w:p w14:paraId="63DA21D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r>
      <w:tr w:rsidR="00FD50F6" w:rsidRPr="00FD50F6" w14:paraId="0EB957E3" w14:textId="77777777" w:rsidTr="002B733E">
        <w:trPr>
          <w:trHeight w:val="397"/>
          <w:jc w:val="center"/>
        </w:trPr>
        <w:tc>
          <w:tcPr>
            <w:tcW w:w="777" w:type="dxa"/>
            <w:vAlign w:val="center"/>
          </w:tcPr>
          <w:p w14:paraId="5BE54D6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5" w:type="dxa"/>
            <w:vAlign w:val="center"/>
          </w:tcPr>
          <w:p w14:paraId="06D83D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1261</w:t>
            </w:r>
          </w:p>
        </w:tc>
        <w:tc>
          <w:tcPr>
            <w:tcW w:w="775" w:type="dxa"/>
            <w:vAlign w:val="center"/>
          </w:tcPr>
          <w:p w14:paraId="30C75D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1296</w:t>
            </w:r>
          </w:p>
        </w:tc>
        <w:tc>
          <w:tcPr>
            <w:tcW w:w="775" w:type="dxa"/>
            <w:vAlign w:val="center"/>
          </w:tcPr>
          <w:p w14:paraId="6B5ADF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1321</w:t>
            </w:r>
          </w:p>
        </w:tc>
        <w:tc>
          <w:tcPr>
            <w:tcW w:w="775" w:type="dxa"/>
            <w:vAlign w:val="center"/>
          </w:tcPr>
          <w:p w14:paraId="1842CF9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1347</w:t>
            </w:r>
          </w:p>
        </w:tc>
        <w:tc>
          <w:tcPr>
            <w:tcW w:w="775" w:type="dxa"/>
            <w:vAlign w:val="center"/>
          </w:tcPr>
          <w:p w14:paraId="562226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1373</w:t>
            </w:r>
          </w:p>
        </w:tc>
        <w:tc>
          <w:tcPr>
            <w:tcW w:w="775" w:type="dxa"/>
            <w:vAlign w:val="center"/>
          </w:tcPr>
          <w:p w14:paraId="772700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1393</w:t>
            </w:r>
          </w:p>
        </w:tc>
        <w:tc>
          <w:tcPr>
            <w:tcW w:w="775" w:type="dxa"/>
            <w:vAlign w:val="center"/>
          </w:tcPr>
          <w:p w14:paraId="2E5A511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1412</w:t>
            </w:r>
          </w:p>
        </w:tc>
        <w:tc>
          <w:tcPr>
            <w:tcW w:w="774" w:type="dxa"/>
            <w:vAlign w:val="center"/>
          </w:tcPr>
          <w:p w14:paraId="59E5E1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1424</w:t>
            </w:r>
          </w:p>
        </w:tc>
        <w:tc>
          <w:tcPr>
            <w:tcW w:w="774" w:type="dxa"/>
            <w:vAlign w:val="center"/>
          </w:tcPr>
          <w:p w14:paraId="631A3E7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1441</w:t>
            </w:r>
          </w:p>
        </w:tc>
        <w:tc>
          <w:tcPr>
            <w:tcW w:w="778" w:type="dxa"/>
            <w:vAlign w:val="center"/>
          </w:tcPr>
          <w:p w14:paraId="00DBE3A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1451</w:t>
            </w:r>
          </w:p>
        </w:tc>
      </w:tr>
      <w:tr w:rsidR="00FD50F6" w:rsidRPr="00FD50F6" w14:paraId="08D26030" w14:textId="77777777" w:rsidTr="002B733E">
        <w:trPr>
          <w:trHeight w:val="397"/>
          <w:jc w:val="center"/>
        </w:trPr>
        <w:tc>
          <w:tcPr>
            <w:tcW w:w="777" w:type="dxa"/>
            <w:vAlign w:val="center"/>
          </w:tcPr>
          <w:p w14:paraId="776D47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5" w:type="dxa"/>
            <w:vAlign w:val="center"/>
          </w:tcPr>
          <w:p w14:paraId="365358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3557</w:t>
            </w:r>
          </w:p>
        </w:tc>
        <w:tc>
          <w:tcPr>
            <w:tcW w:w="775" w:type="dxa"/>
            <w:vAlign w:val="center"/>
          </w:tcPr>
          <w:p w14:paraId="36864E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3536</w:t>
            </w:r>
          </w:p>
        </w:tc>
        <w:tc>
          <w:tcPr>
            <w:tcW w:w="775" w:type="dxa"/>
            <w:vAlign w:val="center"/>
          </w:tcPr>
          <w:p w14:paraId="597830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3520</w:t>
            </w:r>
          </w:p>
        </w:tc>
        <w:tc>
          <w:tcPr>
            <w:tcW w:w="775" w:type="dxa"/>
            <w:vAlign w:val="center"/>
          </w:tcPr>
          <w:p w14:paraId="72F60AF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3502</w:t>
            </w:r>
          </w:p>
        </w:tc>
        <w:tc>
          <w:tcPr>
            <w:tcW w:w="775" w:type="dxa"/>
            <w:vAlign w:val="center"/>
          </w:tcPr>
          <w:p w14:paraId="640F3F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3481</w:t>
            </w:r>
          </w:p>
        </w:tc>
        <w:tc>
          <w:tcPr>
            <w:tcW w:w="775" w:type="dxa"/>
            <w:vAlign w:val="center"/>
          </w:tcPr>
          <w:p w14:paraId="381563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3462</w:t>
            </w:r>
          </w:p>
        </w:tc>
        <w:tc>
          <w:tcPr>
            <w:tcW w:w="775" w:type="dxa"/>
            <w:vAlign w:val="center"/>
          </w:tcPr>
          <w:p w14:paraId="279D131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3442</w:t>
            </w:r>
          </w:p>
        </w:tc>
        <w:tc>
          <w:tcPr>
            <w:tcW w:w="774" w:type="dxa"/>
            <w:vAlign w:val="center"/>
          </w:tcPr>
          <w:p w14:paraId="4FF1A1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3422</w:t>
            </w:r>
          </w:p>
        </w:tc>
        <w:tc>
          <w:tcPr>
            <w:tcW w:w="774" w:type="dxa"/>
            <w:vAlign w:val="center"/>
          </w:tcPr>
          <w:p w14:paraId="03BD93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3400</w:t>
            </w:r>
          </w:p>
        </w:tc>
        <w:tc>
          <w:tcPr>
            <w:tcW w:w="778" w:type="dxa"/>
            <w:vAlign w:val="center"/>
          </w:tcPr>
          <w:p w14:paraId="1ABE12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3229</w:t>
            </w:r>
          </w:p>
        </w:tc>
      </w:tr>
      <w:tr w:rsidR="00FD50F6" w:rsidRPr="00FD50F6" w14:paraId="2510B733" w14:textId="77777777" w:rsidTr="002B733E">
        <w:trPr>
          <w:trHeight w:val="397"/>
          <w:jc w:val="center"/>
        </w:trPr>
        <w:tc>
          <w:tcPr>
            <w:tcW w:w="777" w:type="dxa"/>
            <w:vAlign w:val="center"/>
          </w:tcPr>
          <w:p w14:paraId="09C0B6F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41386EB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75" w:type="dxa"/>
            <w:vAlign w:val="center"/>
          </w:tcPr>
          <w:p w14:paraId="2CFCFAF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75" w:type="dxa"/>
            <w:vAlign w:val="center"/>
          </w:tcPr>
          <w:p w14:paraId="00339E7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75" w:type="dxa"/>
            <w:vAlign w:val="center"/>
          </w:tcPr>
          <w:p w14:paraId="5752BD1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775" w:type="dxa"/>
            <w:vAlign w:val="center"/>
          </w:tcPr>
          <w:p w14:paraId="1C2D7D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c>
          <w:tcPr>
            <w:tcW w:w="775" w:type="dxa"/>
            <w:vAlign w:val="center"/>
          </w:tcPr>
          <w:p w14:paraId="1822D4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75" w:type="dxa"/>
            <w:vAlign w:val="center"/>
          </w:tcPr>
          <w:p w14:paraId="0B48CE1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74" w:type="dxa"/>
            <w:vAlign w:val="center"/>
          </w:tcPr>
          <w:p w14:paraId="0316803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774" w:type="dxa"/>
            <w:vAlign w:val="center"/>
          </w:tcPr>
          <w:p w14:paraId="1141017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c>
          <w:tcPr>
            <w:tcW w:w="778" w:type="dxa"/>
            <w:vAlign w:val="center"/>
          </w:tcPr>
          <w:p w14:paraId="05E1088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r>
      <w:tr w:rsidR="00FD50F6" w:rsidRPr="00FD50F6" w14:paraId="25BD8D16" w14:textId="77777777" w:rsidTr="002B733E">
        <w:trPr>
          <w:trHeight w:val="397"/>
          <w:jc w:val="center"/>
        </w:trPr>
        <w:tc>
          <w:tcPr>
            <w:tcW w:w="777" w:type="dxa"/>
            <w:vAlign w:val="center"/>
          </w:tcPr>
          <w:p w14:paraId="0D50F4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lastRenderedPageBreak/>
              <w:t>X</w:t>
            </w:r>
          </w:p>
        </w:tc>
        <w:tc>
          <w:tcPr>
            <w:tcW w:w="775" w:type="dxa"/>
            <w:vAlign w:val="center"/>
          </w:tcPr>
          <w:p w14:paraId="75AF460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1603</w:t>
            </w:r>
          </w:p>
        </w:tc>
        <w:tc>
          <w:tcPr>
            <w:tcW w:w="775" w:type="dxa"/>
            <w:vAlign w:val="center"/>
          </w:tcPr>
          <w:p w14:paraId="601D5F7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1608</w:t>
            </w:r>
          </w:p>
        </w:tc>
        <w:tc>
          <w:tcPr>
            <w:tcW w:w="775" w:type="dxa"/>
            <w:vAlign w:val="center"/>
          </w:tcPr>
          <w:p w14:paraId="61E34C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1609</w:t>
            </w:r>
          </w:p>
        </w:tc>
        <w:tc>
          <w:tcPr>
            <w:tcW w:w="775" w:type="dxa"/>
            <w:vAlign w:val="center"/>
          </w:tcPr>
          <w:p w14:paraId="67EEBA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1608</w:t>
            </w:r>
          </w:p>
        </w:tc>
        <w:tc>
          <w:tcPr>
            <w:tcW w:w="775" w:type="dxa"/>
            <w:vAlign w:val="center"/>
          </w:tcPr>
          <w:p w14:paraId="4C881E7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1554</w:t>
            </w:r>
          </w:p>
        </w:tc>
        <w:tc>
          <w:tcPr>
            <w:tcW w:w="775" w:type="dxa"/>
            <w:vAlign w:val="center"/>
          </w:tcPr>
          <w:p w14:paraId="1D0517D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1537</w:t>
            </w:r>
          </w:p>
        </w:tc>
        <w:tc>
          <w:tcPr>
            <w:tcW w:w="775" w:type="dxa"/>
            <w:vAlign w:val="center"/>
          </w:tcPr>
          <w:p w14:paraId="67715D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1507</w:t>
            </w:r>
          </w:p>
        </w:tc>
        <w:tc>
          <w:tcPr>
            <w:tcW w:w="774" w:type="dxa"/>
            <w:vAlign w:val="center"/>
          </w:tcPr>
          <w:p w14:paraId="0315B2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1502</w:t>
            </w:r>
          </w:p>
        </w:tc>
        <w:tc>
          <w:tcPr>
            <w:tcW w:w="774" w:type="dxa"/>
            <w:vAlign w:val="center"/>
          </w:tcPr>
          <w:p w14:paraId="7275B22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1495</w:t>
            </w:r>
          </w:p>
        </w:tc>
        <w:tc>
          <w:tcPr>
            <w:tcW w:w="778" w:type="dxa"/>
            <w:vAlign w:val="center"/>
          </w:tcPr>
          <w:p w14:paraId="283F76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1471</w:t>
            </w:r>
          </w:p>
        </w:tc>
      </w:tr>
      <w:tr w:rsidR="00FD50F6" w:rsidRPr="00FD50F6" w14:paraId="3DCDC9DF" w14:textId="77777777" w:rsidTr="002B733E">
        <w:trPr>
          <w:trHeight w:val="397"/>
          <w:jc w:val="center"/>
        </w:trPr>
        <w:tc>
          <w:tcPr>
            <w:tcW w:w="777" w:type="dxa"/>
            <w:vAlign w:val="center"/>
          </w:tcPr>
          <w:p w14:paraId="73DA4D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5" w:type="dxa"/>
            <w:vAlign w:val="center"/>
          </w:tcPr>
          <w:p w14:paraId="18CBA1B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1790</w:t>
            </w:r>
          </w:p>
        </w:tc>
        <w:tc>
          <w:tcPr>
            <w:tcW w:w="775" w:type="dxa"/>
            <w:vAlign w:val="center"/>
          </w:tcPr>
          <w:p w14:paraId="57073B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1737</w:t>
            </w:r>
          </w:p>
        </w:tc>
        <w:tc>
          <w:tcPr>
            <w:tcW w:w="775" w:type="dxa"/>
            <w:vAlign w:val="center"/>
          </w:tcPr>
          <w:p w14:paraId="4B731D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1690</w:t>
            </w:r>
          </w:p>
        </w:tc>
        <w:tc>
          <w:tcPr>
            <w:tcW w:w="775" w:type="dxa"/>
            <w:vAlign w:val="center"/>
          </w:tcPr>
          <w:p w14:paraId="1A4275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1642</w:t>
            </w:r>
          </w:p>
        </w:tc>
        <w:tc>
          <w:tcPr>
            <w:tcW w:w="775" w:type="dxa"/>
            <w:vAlign w:val="center"/>
          </w:tcPr>
          <w:p w14:paraId="02908B9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1000</w:t>
            </w:r>
          </w:p>
        </w:tc>
        <w:tc>
          <w:tcPr>
            <w:tcW w:w="775" w:type="dxa"/>
            <w:vAlign w:val="center"/>
          </w:tcPr>
          <w:p w14:paraId="7E474D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798</w:t>
            </w:r>
          </w:p>
        </w:tc>
        <w:tc>
          <w:tcPr>
            <w:tcW w:w="775" w:type="dxa"/>
            <w:vAlign w:val="center"/>
          </w:tcPr>
          <w:p w14:paraId="1080DC0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710</w:t>
            </w:r>
          </w:p>
        </w:tc>
        <w:tc>
          <w:tcPr>
            <w:tcW w:w="774" w:type="dxa"/>
            <w:vAlign w:val="center"/>
          </w:tcPr>
          <w:p w14:paraId="3A8539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706</w:t>
            </w:r>
          </w:p>
        </w:tc>
        <w:tc>
          <w:tcPr>
            <w:tcW w:w="774" w:type="dxa"/>
            <w:vAlign w:val="center"/>
          </w:tcPr>
          <w:p w14:paraId="23FCD3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701</w:t>
            </w:r>
          </w:p>
        </w:tc>
        <w:tc>
          <w:tcPr>
            <w:tcW w:w="778" w:type="dxa"/>
            <w:vAlign w:val="center"/>
          </w:tcPr>
          <w:p w14:paraId="353B44D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633</w:t>
            </w:r>
          </w:p>
        </w:tc>
      </w:tr>
      <w:tr w:rsidR="00FD50F6" w:rsidRPr="00FD50F6" w14:paraId="0993895D" w14:textId="77777777" w:rsidTr="002B733E">
        <w:trPr>
          <w:trHeight w:val="397"/>
          <w:jc w:val="center"/>
        </w:trPr>
        <w:tc>
          <w:tcPr>
            <w:tcW w:w="777" w:type="dxa"/>
            <w:vAlign w:val="center"/>
          </w:tcPr>
          <w:p w14:paraId="1AC645F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4376889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31'</w:t>
            </w:r>
          </w:p>
        </w:tc>
        <w:tc>
          <w:tcPr>
            <w:tcW w:w="775" w:type="dxa"/>
            <w:vAlign w:val="center"/>
          </w:tcPr>
          <w:p w14:paraId="3562F8B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32'</w:t>
            </w:r>
          </w:p>
        </w:tc>
        <w:tc>
          <w:tcPr>
            <w:tcW w:w="775" w:type="dxa"/>
            <w:vAlign w:val="center"/>
          </w:tcPr>
          <w:p w14:paraId="30ECB25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33'</w:t>
            </w:r>
          </w:p>
        </w:tc>
        <w:tc>
          <w:tcPr>
            <w:tcW w:w="775" w:type="dxa"/>
            <w:vAlign w:val="center"/>
          </w:tcPr>
          <w:p w14:paraId="038190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34'</w:t>
            </w:r>
          </w:p>
        </w:tc>
        <w:tc>
          <w:tcPr>
            <w:tcW w:w="775" w:type="dxa"/>
            <w:vAlign w:val="center"/>
          </w:tcPr>
          <w:p w14:paraId="1C90D4B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35'</w:t>
            </w:r>
          </w:p>
        </w:tc>
        <w:tc>
          <w:tcPr>
            <w:tcW w:w="775" w:type="dxa"/>
            <w:vAlign w:val="center"/>
          </w:tcPr>
          <w:p w14:paraId="7B3C568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36'</w:t>
            </w:r>
          </w:p>
        </w:tc>
        <w:tc>
          <w:tcPr>
            <w:tcW w:w="775" w:type="dxa"/>
            <w:vAlign w:val="center"/>
          </w:tcPr>
          <w:p w14:paraId="54CF624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37'</w:t>
            </w:r>
          </w:p>
        </w:tc>
        <w:tc>
          <w:tcPr>
            <w:tcW w:w="774" w:type="dxa"/>
            <w:vAlign w:val="center"/>
          </w:tcPr>
          <w:p w14:paraId="32FA790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38'</w:t>
            </w:r>
          </w:p>
        </w:tc>
        <w:tc>
          <w:tcPr>
            <w:tcW w:w="774" w:type="dxa"/>
            <w:vAlign w:val="center"/>
          </w:tcPr>
          <w:p w14:paraId="4E024B6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39'</w:t>
            </w:r>
          </w:p>
        </w:tc>
        <w:tc>
          <w:tcPr>
            <w:tcW w:w="778" w:type="dxa"/>
            <w:vAlign w:val="center"/>
          </w:tcPr>
          <w:p w14:paraId="49136EE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40'</w:t>
            </w:r>
          </w:p>
        </w:tc>
      </w:tr>
      <w:tr w:rsidR="00FD50F6" w:rsidRPr="00FD50F6" w14:paraId="08193A5D" w14:textId="77777777" w:rsidTr="002B733E">
        <w:trPr>
          <w:trHeight w:val="397"/>
          <w:jc w:val="center"/>
        </w:trPr>
        <w:tc>
          <w:tcPr>
            <w:tcW w:w="777" w:type="dxa"/>
            <w:vAlign w:val="center"/>
          </w:tcPr>
          <w:p w14:paraId="7C0973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5" w:type="dxa"/>
            <w:vAlign w:val="center"/>
          </w:tcPr>
          <w:p w14:paraId="11A690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1458</w:t>
            </w:r>
          </w:p>
        </w:tc>
        <w:tc>
          <w:tcPr>
            <w:tcW w:w="775" w:type="dxa"/>
            <w:vAlign w:val="center"/>
          </w:tcPr>
          <w:p w14:paraId="3DFCC0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1457</w:t>
            </w:r>
          </w:p>
        </w:tc>
        <w:tc>
          <w:tcPr>
            <w:tcW w:w="775" w:type="dxa"/>
            <w:vAlign w:val="center"/>
          </w:tcPr>
          <w:p w14:paraId="245EFB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1430</w:t>
            </w:r>
          </w:p>
        </w:tc>
        <w:tc>
          <w:tcPr>
            <w:tcW w:w="775" w:type="dxa"/>
            <w:vAlign w:val="center"/>
          </w:tcPr>
          <w:p w14:paraId="6AE216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1382</w:t>
            </w:r>
          </w:p>
        </w:tc>
        <w:tc>
          <w:tcPr>
            <w:tcW w:w="775" w:type="dxa"/>
            <w:vAlign w:val="center"/>
          </w:tcPr>
          <w:p w14:paraId="7E7D093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1364</w:t>
            </w:r>
          </w:p>
        </w:tc>
        <w:tc>
          <w:tcPr>
            <w:tcW w:w="775" w:type="dxa"/>
            <w:vAlign w:val="center"/>
          </w:tcPr>
          <w:p w14:paraId="1DD76D0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1349</w:t>
            </w:r>
          </w:p>
        </w:tc>
        <w:tc>
          <w:tcPr>
            <w:tcW w:w="775" w:type="dxa"/>
            <w:vAlign w:val="center"/>
          </w:tcPr>
          <w:p w14:paraId="6C7D9A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1347</w:t>
            </w:r>
          </w:p>
        </w:tc>
        <w:tc>
          <w:tcPr>
            <w:tcW w:w="774" w:type="dxa"/>
            <w:vAlign w:val="center"/>
          </w:tcPr>
          <w:p w14:paraId="298DB0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1340</w:t>
            </w:r>
          </w:p>
        </w:tc>
        <w:tc>
          <w:tcPr>
            <w:tcW w:w="774" w:type="dxa"/>
            <w:vAlign w:val="center"/>
          </w:tcPr>
          <w:p w14:paraId="3BA631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1280</w:t>
            </w:r>
          </w:p>
        </w:tc>
        <w:tc>
          <w:tcPr>
            <w:tcW w:w="778" w:type="dxa"/>
            <w:vAlign w:val="center"/>
          </w:tcPr>
          <w:p w14:paraId="71C75B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1268</w:t>
            </w:r>
          </w:p>
        </w:tc>
      </w:tr>
      <w:tr w:rsidR="00FD50F6" w:rsidRPr="00FD50F6" w14:paraId="1A4503AC" w14:textId="77777777" w:rsidTr="002B733E">
        <w:trPr>
          <w:trHeight w:val="397"/>
          <w:jc w:val="center"/>
        </w:trPr>
        <w:tc>
          <w:tcPr>
            <w:tcW w:w="777" w:type="dxa"/>
            <w:vAlign w:val="center"/>
          </w:tcPr>
          <w:p w14:paraId="4AE0BD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5" w:type="dxa"/>
            <w:vAlign w:val="center"/>
          </w:tcPr>
          <w:p w14:paraId="2AD2CE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634</w:t>
            </w:r>
          </w:p>
        </w:tc>
        <w:tc>
          <w:tcPr>
            <w:tcW w:w="775" w:type="dxa"/>
            <w:vAlign w:val="center"/>
          </w:tcPr>
          <w:p w14:paraId="7453D5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590</w:t>
            </w:r>
          </w:p>
        </w:tc>
        <w:tc>
          <w:tcPr>
            <w:tcW w:w="775" w:type="dxa"/>
            <w:vAlign w:val="center"/>
          </w:tcPr>
          <w:p w14:paraId="4F30943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511</w:t>
            </w:r>
          </w:p>
        </w:tc>
        <w:tc>
          <w:tcPr>
            <w:tcW w:w="775" w:type="dxa"/>
            <w:vAlign w:val="center"/>
          </w:tcPr>
          <w:p w14:paraId="15B2CA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383</w:t>
            </w:r>
          </w:p>
        </w:tc>
        <w:tc>
          <w:tcPr>
            <w:tcW w:w="775" w:type="dxa"/>
            <w:vAlign w:val="center"/>
          </w:tcPr>
          <w:p w14:paraId="070177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368</w:t>
            </w:r>
          </w:p>
        </w:tc>
        <w:tc>
          <w:tcPr>
            <w:tcW w:w="775" w:type="dxa"/>
            <w:vAlign w:val="center"/>
          </w:tcPr>
          <w:p w14:paraId="5E5190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w:t>
            </w:r>
          </w:p>
        </w:tc>
        <w:tc>
          <w:tcPr>
            <w:tcW w:w="775" w:type="dxa"/>
            <w:vAlign w:val="center"/>
          </w:tcPr>
          <w:p w14:paraId="7A23A6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295</w:t>
            </w:r>
          </w:p>
        </w:tc>
        <w:tc>
          <w:tcPr>
            <w:tcW w:w="774" w:type="dxa"/>
            <w:vAlign w:val="center"/>
          </w:tcPr>
          <w:p w14:paraId="44C4B8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269</w:t>
            </w:r>
          </w:p>
        </w:tc>
        <w:tc>
          <w:tcPr>
            <w:tcW w:w="774" w:type="dxa"/>
            <w:vAlign w:val="center"/>
          </w:tcPr>
          <w:p w14:paraId="49D600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281</w:t>
            </w:r>
          </w:p>
        </w:tc>
        <w:tc>
          <w:tcPr>
            <w:tcW w:w="778" w:type="dxa"/>
            <w:vAlign w:val="center"/>
          </w:tcPr>
          <w:p w14:paraId="31E0DB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165</w:t>
            </w:r>
          </w:p>
        </w:tc>
      </w:tr>
      <w:tr w:rsidR="00FD50F6" w:rsidRPr="00FD50F6" w14:paraId="6C32694B" w14:textId="77777777" w:rsidTr="002B733E">
        <w:trPr>
          <w:trHeight w:val="397"/>
          <w:jc w:val="center"/>
        </w:trPr>
        <w:tc>
          <w:tcPr>
            <w:tcW w:w="777" w:type="dxa"/>
            <w:vAlign w:val="center"/>
          </w:tcPr>
          <w:p w14:paraId="64AAAB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027EB16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41'</w:t>
            </w:r>
          </w:p>
        </w:tc>
        <w:tc>
          <w:tcPr>
            <w:tcW w:w="775" w:type="dxa"/>
            <w:vAlign w:val="center"/>
          </w:tcPr>
          <w:p w14:paraId="5167FF6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42'</w:t>
            </w:r>
          </w:p>
        </w:tc>
        <w:tc>
          <w:tcPr>
            <w:tcW w:w="775" w:type="dxa"/>
            <w:vAlign w:val="center"/>
          </w:tcPr>
          <w:p w14:paraId="1DBED7F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43'</w:t>
            </w:r>
          </w:p>
        </w:tc>
        <w:tc>
          <w:tcPr>
            <w:tcW w:w="775" w:type="dxa"/>
            <w:vAlign w:val="center"/>
          </w:tcPr>
          <w:p w14:paraId="3D70B1C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44'</w:t>
            </w:r>
          </w:p>
        </w:tc>
        <w:tc>
          <w:tcPr>
            <w:tcW w:w="775" w:type="dxa"/>
            <w:vAlign w:val="center"/>
          </w:tcPr>
          <w:p w14:paraId="27618B0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45'</w:t>
            </w:r>
          </w:p>
        </w:tc>
        <w:tc>
          <w:tcPr>
            <w:tcW w:w="775" w:type="dxa"/>
            <w:vAlign w:val="center"/>
          </w:tcPr>
          <w:p w14:paraId="641F033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46'</w:t>
            </w:r>
          </w:p>
        </w:tc>
        <w:tc>
          <w:tcPr>
            <w:tcW w:w="775" w:type="dxa"/>
            <w:vAlign w:val="center"/>
          </w:tcPr>
          <w:p w14:paraId="14CB9BB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47'</w:t>
            </w:r>
          </w:p>
        </w:tc>
        <w:tc>
          <w:tcPr>
            <w:tcW w:w="774" w:type="dxa"/>
            <w:vAlign w:val="center"/>
          </w:tcPr>
          <w:p w14:paraId="6220A40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48'</w:t>
            </w:r>
          </w:p>
        </w:tc>
        <w:tc>
          <w:tcPr>
            <w:tcW w:w="774" w:type="dxa"/>
            <w:vAlign w:val="center"/>
          </w:tcPr>
          <w:p w14:paraId="19425CE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49'</w:t>
            </w:r>
          </w:p>
        </w:tc>
        <w:tc>
          <w:tcPr>
            <w:tcW w:w="778" w:type="dxa"/>
            <w:vAlign w:val="center"/>
          </w:tcPr>
          <w:p w14:paraId="21F26C5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50'</w:t>
            </w:r>
          </w:p>
        </w:tc>
      </w:tr>
      <w:tr w:rsidR="00FD50F6" w:rsidRPr="00FD50F6" w14:paraId="57F24B09" w14:textId="77777777" w:rsidTr="002B733E">
        <w:trPr>
          <w:trHeight w:val="397"/>
          <w:jc w:val="center"/>
        </w:trPr>
        <w:tc>
          <w:tcPr>
            <w:tcW w:w="777" w:type="dxa"/>
            <w:vAlign w:val="center"/>
          </w:tcPr>
          <w:p w14:paraId="64FE447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5" w:type="dxa"/>
            <w:vAlign w:val="center"/>
          </w:tcPr>
          <w:p w14:paraId="0995DB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1195</w:t>
            </w:r>
          </w:p>
        </w:tc>
        <w:tc>
          <w:tcPr>
            <w:tcW w:w="775" w:type="dxa"/>
            <w:vAlign w:val="center"/>
          </w:tcPr>
          <w:p w14:paraId="55092BC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1150</w:t>
            </w:r>
          </w:p>
        </w:tc>
        <w:tc>
          <w:tcPr>
            <w:tcW w:w="775" w:type="dxa"/>
            <w:vAlign w:val="center"/>
          </w:tcPr>
          <w:p w14:paraId="5BE118A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840</w:t>
            </w:r>
          </w:p>
        </w:tc>
        <w:tc>
          <w:tcPr>
            <w:tcW w:w="775" w:type="dxa"/>
            <w:vAlign w:val="center"/>
          </w:tcPr>
          <w:p w14:paraId="657AC0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839</w:t>
            </w:r>
          </w:p>
        </w:tc>
        <w:tc>
          <w:tcPr>
            <w:tcW w:w="775" w:type="dxa"/>
            <w:vAlign w:val="center"/>
          </w:tcPr>
          <w:p w14:paraId="312BDA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745</w:t>
            </w:r>
          </w:p>
        </w:tc>
        <w:tc>
          <w:tcPr>
            <w:tcW w:w="775" w:type="dxa"/>
            <w:vAlign w:val="center"/>
          </w:tcPr>
          <w:p w14:paraId="7A611A9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744</w:t>
            </w:r>
          </w:p>
        </w:tc>
        <w:tc>
          <w:tcPr>
            <w:tcW w:w="775" w:type="dxa"/>
            <w:vAlign w:val="center"/>
          </w:tcPr>
          <w:p w14:paraId="7A464C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649</w:t>
            </w:r>
          </w:p>
        </w:tc>
        <w:tc>
          <w:tcPr>
            <w:tcW w:w="774" w:type="dxa"/>
            <w:vAlign w:val="center"/>
          </w:tcPr>
          <w:p w14:paraId="75FB54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641</w:t>
            </w:r>
          </w:p>
        </w:tc>
        <w:tc>
          <w:tcPr>
            <w:tcW w:w="774" w:type="dxa"/>
            <w:vAlign w:val="center"/>
          </w:tcPr>
          <w:p w14:paraId="45E9F6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528</w:t>
            </w:r>
          </w:p>
        </w:tc>
        <w:tc>
          <w:tcPr>
            <w:tcW w:w="778" w:type="dxa"/>
            <w:vAlign w:val="center"/>
          </w:tcPr>
          <w:p w14:paraId="3B9ED8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r>
      <w:tr w:rsidR="00FD50F6" w:rsidRPr="00FD50F6" w14:paraId="12ABBB2F" w14:textId="77777777" w:rsidTr="002B733E">
        <w:trPr>
          <w:trHeight w:val="397"/>
          <w:jc w:val="center"/>
        </w:trPr>
        <w:tc>
          <w:tcPr>
            <w:tcW w:w="777" w:type="dxa"/>
            <w:vAlign w:val="center"/>
          </w:tcPr>
          <w:p w14:paraId="05356D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5" w:type="dxa"/>
            <w:vAlign w:val="center"/>
          </w:tcPr>
          <w:p w14:paraId="6DAF76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229</w:t>
            </w:r>
          </w:p>
        </w:tc>
        <w:tc>
          <w:tcPr>
            <w:tcW w:w="775" w:type="dxa"/>
            <w:vAlign w:val="center"/>
          </w:tcPr>
          <w:p w14:paraId="7F5357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w:t>
            </w:r>
          </w:p>
        </w:tc>
        <w:tc>
          <w:tcPr>
            <w:tcW w:w="775" w:type="dxa"/>
            <w:vAlign w:val="center"/>
          </w:tcPr>
          <w:p w14:paraId="3B5E49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w:t>
            </w:r>
          </w:p>
        </w:tc>
        <w:tc>
          <w:tcPr>
            <w:tcW w:w="775" w:type="dxa"/>
            <w:vAlign w:val="center"/>
          </w:tcPr>
          <w:p w14:paraId="2B2CC3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775" w:type="dxa"/>
            <w:vAlign w:val="center"/>
          </w:tcPr>
          <w:p w14:paraId="6F63B8A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w:t>
            </w:r>
          </w:p>
        </w:tc>
        <w:tc>
          <w:tcPr>
            <w:tcW w:w="775" w:type="dxa"/>
            <w:vAlign w:val="center"/>
          </w:tcPr>
          <w:p w14:paraId="5FB09D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75" w:type="dxa"/>
            <w:vAlign w:val="center"/>
          </w:tcPr>
          <w:p w14:paraId="158B1A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-53</w:t>
            </w:r>
          </w:p>
        </w:tc>
        <w:tc>
          <w:tcPr>
            <w:tcW w:w="774" w:type="dxa"/>
            <w:vAlign w:val="center"/>
          </w:tcPr>
          <w:p w14:paraId="147BAF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w:t>
            </w:r>
          </w:p>
        </w:tc>
        <w:tc>
          <w:tcPr>
            <w:tcW w:w="774" w:type="dxa"/>
            <w:vAlign w:val="center"/>
          </w:tcPr>
          <w:p w14:paraId="67F9FA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w:t>
            </w:r>
          </w:p>
        </w:tc>
        <w:tc>
          <w:tcPr>
            <w:tcW w:w="778" w:type="dxa"/>
            <w:vAlign w:val="center"/>
          </w:tcPr>
          <w:p w14:paraId="7C1A29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43</w:t>
            </w:r>
          </w:p>
        </w:tc>
      </w:tr>
      <w:tr w:rsidR="00FD50F6" w:rsidRPr="00FD50F6" w14:paraId="5A79D4DF" w14:textId="77777777" w:rsidTr="002B733E">
        <w:trPr>
          <w:trHeight w:val="397"/>
          <w:jc w:val="center"/>
        </w:trPr>
        <w:tc>
          <w:tcPr>
            <w:tcW w:w="777" w:type="dxa"/>
            <w:vAlign w:val="center"/>
          </w:tcPr>
          <w:p w14:paraId="6138C75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5A439F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51'</w:t>
            </w:r>
          </w:p>
        </w:tc>
        <w:tc>
          <w:tcPr>
            <w:tcW w:w="775" w:type="dxa"/>
            <w:vAlign w:val="center"/>
          </w:tcPr>
          <w:p w14:paraId="6F4733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52'</w:t>
            </w:r>
          </w:p>
        </w:tc>
        <w:tc>
          <w:tcPr>
            <w:tcW w:w="775" w:type="dxa"/>
            <w:vAlign w:val="center"/>
          </w:tcPr>
          <w:p w14:paraId="19A18D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53'</w:t>
            </w:r>
          </w:p>
        </w:tc>
        <w:tc>
          <w:tcPr>
            <w:tcW w:w="775" w:type="dxa"/>
            <w:vAlign w:val="center"/>
          </w:tcPr>
          <w:p w14:paraId="65AF20B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1a</w:t>
            </w:r>
            <w:r w:rsidRPr="00FD50F6">
              <w:rPr>
                <w:rFonts w:ascii="Calibri" w:hAnsi="Calibri" w:cs="Times New Roman" w:hint="eastAsia"/>
                <w:b/>
                <w:sz w:val="18"/>
                <w:szCs w:val="24"/>
              </w:rPr>
              <w:t>’</w:t>
            </w:r>
          </w:p>
        </w:tc>
        <w:tc>
          <w:tcPr>
            <w:tcW w:w="775" w:type="dxa"/>
            <w:vAlign w:val="center"/>
          </w:tcPr>
          <w:p w14:paraId="0A8814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2a</w:t>
            </w:r>
            <w:r w:rsidRPr="00FD50F6">
              <w:rPr>
                <w:rFonts w:ascii="Calibri" w:hAnsi="Calibri" w:cs="Times New Roman" w:hint="eastAsia"/>
                <w:b/>
                <w:sz w:val="18"/>
                <w:szCs w:val="24"/>
              </w:rPr>
              <w:t>’</w:t>
            </w:r>
          </w:p>
        </w:tc>
        <w:tc>
          <w:tcPr>
            <w:tcW w:w="775" w:type="dxa"/>
            <w:vAlign w:val="center"/>
          </w:tcPr>
          <w:p w14:paraId="2181C0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3a</w:t>
            </w:r>
            <w:r w:rsidRPr="00FD50F6">
              <w:rPr>
                <w:rFonts w:ascii="Calibri" w:hAnsi="Calibri" w:cs="Times New Roman" w:hint="eastAsia"/>
                <w:b/>
                <w:sz w:val="18"/>
                <w:szCs w:val="24"/>
              </w:rPr>
              <w:t>’</w:t>
            </w:r>
          </w:p>
        </w:tc>
        <w:tc>
          <w:tcPr>
            <w:tcW w:w="775" w:type="dxa"/>
            <w:vAlign w:val="center"/>
          </w:tcPr>
          <w:p w14:paraId="09B54A8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4a</w:t>
            </w:r>
            <w:r w:rsidRPr="00FD50F6">
              <w:rPr>
                <w:rFonts w:ascii="Calibri" w:hAnsi="Calibri" w:cs="Times New Roman" w:hint="eastAsia"/>
                <w:b/>
                <w:sz w:val="18"/>
                <w:szCs w:val="24"/>
              </w:rPr>
              <w:t>’</w:t>
            </w:r>
          </w:p>
        </w:tc>
        <w:tc>
          <w:tcPr>
            <w:tcW w:w="774" w:type="dxa"/>
            <w:vAlign w:val="center"/>
          </w:tcPr>
          <w:p w14:paraId="0AF8AC8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5a</w:t>
            </w:r>
            <w:r w:rsidRPr="00FD50F6">
              <w:rPr>
                <w:rFonts w:ascii="Calibri" w:hAnsi="Calibri" w:cs="Times New Roman" w:hint="eastAsia"/>
                <w:b/>
                <w:sz w:val="18"/>
                <w:szCs w:val="24"/>
              </w:rPr>
              <w:t>’</w:t>
            </w:r>
          </w:p>
        </w:tc>
        <w:tc>
          <w:tcPr>
            <w:tcW w:w="774" w:type="dxa"/>
            <w:vAlign w:val="center"/>
          </w:tcPr>
          <w:p w14:paraId="01008E1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c>
          <w:tcPr>
            <w:tcW w:w="778" w:type="dxa"/>
            <w:vAlign w:val="center"/>
          </w:tcPr>
          <w:p w14:paraId="0D56EAC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w:t>
            </w:r>
          </w:p>
        </w:tc>
      </w:tr>
      <w:tr w:rsidR="00FD50F6" w:rsidRPr="00FD50F6" w14:paraId="573C9F0D" w14:textId="77777777" w:rsidTr="002B733E">
        <w:trPr>
          <w:trHeight w:val="397"/>
          <w:jc w:val="center"/>
        </w:trPr>
        <w:tc>
          <w:tcPr>
            <w:tcW w:w="777" w:type="dxa"/>
            <w:vAlign w:val="center"/>
          </w:tcPr>
          <w:p w14:paraId="0EE848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75" w:type="dxa"/>
            <w:vAlign w:val="center"/>
          </w:tcPr>
          <w:p w14:paraId="003875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235</w:t>
            </w:r>
          </w:p>
        </w:tc>
        <w:tc>
          <w:tcPr>
            <w:tcW w:w="775" w:type="dxa"/>
            <w:vAlign w:val="center"/>
          </w:tcPr>
          <w:p w14:paraId="10F619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227</w:t>
            </w:r>
          </w:p>
        </w:tc>
        <w:tc>
          <w:tcPr>
            <w:tcW w:w="775" w:type="dxa"/>
            <w:vAlign w:val="center"/>
          </w:tcPr>
          <w:p w14:paraId="4C33644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5" w:type="dxa"/>
            <w:vAlign w:val="center"/>
          </w:tcPr>
          <w:p w14:paraId="6A9B9AB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75" w:type="dxa"/>
            <w:vAlign w:val="center"/>
          </w:tcPr>
          <w:p w14:paraId="6E8B727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594</w:t>
            </w:r>
          </w:p>
        </w:tc>
        <w:tc>
          <w:tcPr>
            <w:tcW w:w="775" w:type="dxa"/>
            <w:vAlign w:val="center"/>
          </w:tcPr>
          <w:p w14:paraId="76B30F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666</w:t>
            </w:r>
          </w:p>
        </w:tc>
        <w:tc>
          <w:tcPr>
            <w:tcW w:w="775" w:type="dxa"/>
            <w:vAlign w:val="center"/>
          </w:tcPr>
          <w:p w14:paraId="4E574A9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709</w:t>
            </w:r>
          </w:p>
        </w:tc>
        <w:tc>
          <w:tcPr>
            <w:tcW w:w="774" w:type="dxa"/>
            <w:vAlign w:val="center"/>
          </w:tcPr>
          <w:p w14:paraId="05D4425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845</w:t>
            </w:r>
          </w:p>
        </w:tc>
        <w:tc>
          <w:tcPr>
            <w:tcW w:w="774" w:type="dxa"/>
            <w:vAlign w:val="center"/>
          </w:tcPr>
          <w:p w14:paraId="3B02D1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78" w:type="dxa"/>
            <w:vAlign w:val="center"/>
          </w:tcPr>
          <w:p w14:paraId="76312A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6639174E" w14:textId="77777777" w:rsidTr="002B733E">
        <w:trPr>
          <w:trHeight w:val="397"/>
          <w:jc w:val="center"/>
        </w:trPr>
        <w:tc>
          <w:tcPr>
            <w:tcW w:w="777" w:type="dxa"/>
            <w:vAlign w:val="center"/>
          </w:tcPr>
          <w:p w14:paraId="4BAEA3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75" w:type="dxa"/>
            <w:vAlign w:val="center"/>
          </w:tcPr>
          <w:p w14:paraId="05C8B6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w:t>
            </w:r>
          </w:p>
        </w:tc>
        <w:tc>
          <w:tcPr>
            <w:tcW w:w="775" w:type="dxa"/>
            <w:vAlign w:val="center"/>
          </w:tcPr>
          <w:p w14:paraId="00076F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49</w:t>
            </w:r>
          </w:p>
        </w:tc>
        <w:tc>
          <w:tcPr>
            <w:tcW w:w="775" w:type="dxa"/>
            <w:vAlign w:val="center"/>
          </w:tcPr>
          <w:p w14:paraId="38527F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75" w:type="dxa"/>
            <w:vAlign w:val="center"/>
          </w:tcPr>
          <w:p w14:paraId="4FFBEA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4644</w:t>
            </w:r>
          </w:p>
        </w:tc>
        <w:tc>
          <w:tcPr>
            <w:tcW w:w="775" w:type="dxa"/>
            <w:vAlign w:val="center"/>
          </w:tcPr>
          <w:p w14:paraId="0E52B5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4631</w:t>
            </w:r>
          </w:p>
        </w:tc>
        <w:tc>
          <w:tcPr>
            <w:tcW w:w="775" w:type="dxa"/>
            <w:vAlign w:val="center"/>
          </w:tcPr>
          <w:p w14:paraId="16185F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4605</w:t>
            </w:r>
          </w:p>
        </w:tc>
        <w:tc>
          <w:tcPr>
            <w:tcW w:w="775" w:type="dxa"/>
            <w:vAlign w:val="center"/>
          </w:tcPr>
          <w:p w14:paraId="4007B3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4564</w:t>
            </w:r>
          </w:p>
        </w:tc>
        <w:tc>
          <w:tcPr>
            <w:tcW w:w="774" w:type="dxa"/>
            <w:vAlign w:val="center"/>
          </w:tcPr>
          <w:p w14:paraId="028624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4418</w:t>
            </w:r>
          </w:p>
        </w:tc>
        <w:tc>
          <w:tcPr>
            <w:tcW w:w="774" w:type="dxa"/>
            <w:vAlign w:val="center"/>
          </w:tcPr>
          <w:p w14:paraId="6F3B1A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78" w:type="dxa"/>
            <w:vAlign w:val="center"/>
          </w:tcPr>
          <w:p w14:paraId="49769B8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373FEAF2" w14:textId="77777777" w:rsidR="002B733E" w:rsidRPr="00FD50F6" w:rsidRDefault="002B733E" w:rsidP="002B733E">
      <w:pPr>
        <w:spacing w:line="240" w:lineRule="auto"/>
        <w:jc w:val="center"/>
        <w:rPr>
          <w:rFonts w:ascii="Calibri" w:hAnsi="Calibri" w:cs="Times New Roman"/>
          <w:sz w:val="18"/>
          <w:szCs w:val="24"/>
        </w:rPr>
      </w:pPr>
    </w:p>
    <w:p w14:paraId="2A251710" w14:textId="77777777" w:rsidR="002B733E" w:rsidRPr="00FD50F6" w:rsidRDefault="002B733E" w:rsidP="002B733E">
      <w:pPr>
        <w:spacing w:line="240" w:lineRule="auto"/>
        <w:rPr>
          <w:rFonts w:ascii="Calibri" w:hAnsi="Calibri" w:cs="Times New Roman"/>
          <w:szCs w:val="24"/>
        </w:rPr>
      </w:pPr>
    </w:p>
    <w:p w14:paraId="6BF28FC9" w14:textId="77777777" w:rsidR="002B733E" w:rsidRPr="00FD50F6" w:rsidRDefault="002B733E" w:rsidP="002B733E">
      <w:pPr>
        <w:widowControl/>
        <w:tabs>
          <w:tab w:val="left" w:pos="0"/>
        </w:tabs>
        <w:spacing w:before="240" w:after="120" w:line="240" w:lineRule="auto"/>
        <w:jc w:val="center"/>
        <w:outlineLvl w:val="0"/>
        <w:rPr>
          <w:rFonts w:ascii="Calibri" w:hAnsi="Calibri" w:cs="Times New Roman"/>
          <w:kern w:val="0"/>
          <w:szCs w:val="24"/>
        </w:rPr>
        <w:sectPr w:rsidR="002B733E" w:rsidRPr="00FD50F6">
          <w:pgSz w:w="11906" w:h="16838"/>
          <w:pgMar w:top="1440" w:right="1797" w:bottom="1440" w:left="1797" w:header="851" w:footer="850" w:gutter="0"/>
          <w:cols w:space="720"/>
          <w:docGrid w:linePitch="492" w:charSpace="703"/>
        </w:sectPr>
      </w:pPr>
      <w:bookmarkStart w:id="1373" w:name="_Toc320643551"/>
      <w:bookmarkStart w:id="1374" w:name="_Toc306207316"/>
      <w:bookmarkStart w:id="1375" w:name="_Toc321985673"/>
      <w:bookmarkStart w:id="1376" w:name="_Toc306207507"/>
      <w:bookmarkEnd w:id="1358"/>
      <w:bookmarkEnd w:id="1359"/>
      <w:bookmarkEnd w:id="1360"/>
      <w:bookmarkEnd w:id="1361"/>
    </w:p>
    <w:p w14:paraId="5382FD17" w14:textId="77777777" w:rsidR="002B733E" w:rsidRPr="00FD50F6" w:rsidRDefault="002B733E" w:rsidP="002B733E">
      <w:pPr>
        <w:pStyle w:val="12"/>
        <w:numPr>
          <w:ilvl w:val="0"/>
          <w:numId w:val="0"/>
        </w:numPr>
      </w:pPr>
      <w:bookmarkStart w:id="1377" w:name="_Toc489216829"/>
      <w:bookmarkStart w:id="1378" w:name="_Toc491875538"/>
      <w:bookmarkStart w:id="1379" w:name="_Toc469903349"/>
      <w:bookmarkStart w:id="1380" w:name="_Toc535866749"/>
      <w:bookmarkStart w:id="1381" w:name="_Toc464482708"/>
      <w:bookmarkStart w:id="1382" w:name="_Toc465346335"/>
      <w:bookmarkStart w:id="1383" w:name="_Toc535865484"/>
      <w:bookmarkStart w:id="1384" w:name="_Toc464482436"/>
      <w:bookmarkStart w:id="1385" w:name="_Toc465325497"/>
      <w:bookmarkStart w:id="1386" w:name="_Toc467785957"/>
      <w:bookmarkStart w:id="1387" w:name="_Toc112830902"/>
      <w:r w:rsidRPr="00FD50F6">
        <w:rPr>
          <w:rFonts w:hint="eastAsia"/>
        </w:rPr>
        <w:lastRenderedPageBreak/>
        <w:t>附录</w:t>
      </w:r>
      <w:r w:rsidRPr="00FD50F6">
        <w:rPr>
          <w:rFonts w:hint="eastAsia"/>
        </w:rPr>
        <w:t>D</w:t>
      </w:r>
      <w:r w:rsidRPr="00FD50F6">
        <w:rPr>
          <w:sz w:val="32"/>
          <w:szCs w:val="20"/>
        </w:rPr>
        <w:t xml:space="preserve"> </w:t>
      </w:r>
      <w:r w:rsidRPr="00FD50F6">
        <w:t xml:space="preserve"> B</w:t>
      </w:r>
      <w:r w:rsidRPr="00FD50F6">
        <w:rPr>
          <w:vertAlign w:val="subscript"/>
        </w:rPr>
        <w:t>1</w:t>
      </w:r>
      <w:r w:rsidRPr="00FD50F6">
        <w:rPr>
          <w:rFonts w:hint="eastAsia"/>
        </w:rPr>
        <w:t>型车限界</w:t>
      </w:r>
      <w:bookmarkEnd w:id="1377"/>
      <w:bookmarkEnd w:id="1378"/>
      <w:bookmarkEnd w:id="1379"/>
      <w:bookmarkEnd w:id="1380"/>
      <w:bookmarkEnd w:id="1381"/>
      <w:bookmarkEnd w:id="1382"/>
      <w:bookmarkEnd w:id="1383"/>
      <w:bookmarkEnd w:id="1384"/>
      <w:bookmarkEnd w:id="1385"/>
      <w:bookmarkEnd w:id="1386"/>
      <w:bookmarkEnd w:id="1387"/>
    </w:p>
    <w:p w14:paraId="63344AEC" w14:textId="6F29083B" w:rsidR="002B733E" w:rsidRPr="00FD50F6" w:rsidRDefault="002B733E" w:rsidP="002B733E">
      <w:pPr>
        <w:pStyle w:val="30"/>
        <w:numPr>
          <w:ilvl w:val="0"/>
          <w:numId w:val="0"/>
        </w:numPr>
      </w:pPr>
      <w:r w:rsidRPr="00FD50F6">
        <w:rPr>
          <w:rFonts w:hint="eastAsia"/>
          <w:b/>
        </w:rPr>
        <w:t>D.0.1</w:t>
      </w:r>
      <w:r w:rsidRPr="00FD50F6">
        <w:rPr>
          <w:rFonts w:hint="eastAsia"/>
        </w:rPr>
        <w:t>区间或过站直线地段车辆轮廓线、车辆限界、设备限界（图</w:t>
      </w:r>
      <w:r w:rsidRPr="00FD50F6">
        <w:rPr>
          <w:rFonts w:hint="eastAsia"/>
        </w:rPr>
        <w:t>D.0.1</w:t>
      </w:r>
      <w:r w:rsidRPr="00FD50F6">
        <w:rPr>
          <w:rFonts w:hint="eastAsia"/>
        </w:rPr>
        <w:t>）的坐标值应按表</w:t>
      </w:r>
      <w:r w:rsidRPr="00FD50F6">
        <w:rPr>
          <w:rFonts w:hint="eastAsia"/>
        </w:rPr>
        <w:t>D.0.1-1</w:t>
      </w:r>
      <w:r w:rsidRPr="00FD50F6">
        <w:rPr>
          <w:rFonts w:hint="eastAsia"/>
        </w:rPr>
        <w:t>～</w:t>
      </w:r>
      <w:r w:rsidRPr="00FD50F6">
        <w:rPr>
          <w:rFonts w:hint="eastAsia"/>
        </w:rPr>
        <w:t>D.0.1-7</w:t>
      </w:r>
      <w:r w:rsidRPr="00FD50F6">
        <w:rPr>
          <w:rFonts w:hint="eastAsia"/>
        </w:rPr>
        <w:t>选取。</w:t>
      </w:r>
    </w:p>
    <w:p w14:paraId="682B2B54" w14:textId="77777777" w:rsidR="002B733E" w:rsidRPr="00FD50F6" w:rsidRDefault="002B733E" w:rsidP="002B733E">
      <w:pPr>
        <w:spacing w:line="240" w:lineRule="auto"/>
        <w:jc w:val="center"/>
        <w:rPr>
          <w:rFonts w:ascii="Calibri" w:hAnsi="Calibri" w:cs="Times New Roman"/>
          <w:sz w:val="21"/>
          <w:szCs w:val="24"/>
        </w:rPr>
      </w:pPr>
      <w:r w:rsidRPr="00FD50F6">
        <w:rPr>
          <w:rFonts w:ascii="Calibri" w:hAnsi="Calibri" w:cs="Times New Roman" w:hint="eastAsia"/>
          <w:noProof/>
          <w:sz w:val="21"/>
          <w:szCs w:val="24"/>
        </w:rPr>
        <w:drawing>
          <wp:inline distT="0" distB="0" distL="0" distR="0" wp14:anchorId="38630183" wp14:editId="493DD4C2">
            <wp:extent cx="5394960" cy="6370320"/>
            <wp:effectExtent l="0" t="0" r="0" b="0"/>
            <wp:docPr id="56" name="图片 56"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B1"/>
                    <pic:cNvPicPr>
                      <a:picLocks noChangeAspect="1" noChangeArrowheads="1"/>
                    </pic:cNvPicPr>
                  </pic:nvPicPr>
                  <pic:blipFill>
                    <a:blip r:embed="rId116">
                      <a:extLst>
                        <a:ext uri="{28A0092B-C50C-407E-A947-70E740481C1C}">
                          <a14:useLocalDpi xmlns:a14="http://schemas.microsoft.com/office/drawing/2010/main" val="0"/>
                        </a:ext>
                      </a:extLst>
                    </a:blip>
                    <a:srcRect l="21925" t="2016" r="21925" b="4282"/>
                    <a:stretch>
                      <a:fillRect/>
                    </a:stretch>
                  </pic:blipFill>
                  <pic:spPr>
                    <a:xfrm>
                      <a:off x="0" y="0"/>
                      <a:ext cx="5394960" cy="6370320"/>
                    </a:xfrm>
                    <a:prstGeom prst="rect">
                      <a:avLst/>
                    </a:prstGeom>
                    <a:noFill/>
                    <a:ln>
                      <a:noFill/>
                    </a:ln>
                  </pic:spPr>
                </pic:pic>
              </a:graphicData>
            </a:graphic>
          </wp:inline>
        </w:drawing>
      </w:r>
    </w:p>
    <w:p w14:paraId="5B2A2F6C"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eastAsia="黑体" w:hAnsi="Calibri" w:cs="Times New Roman" w:hint="eastAsia"/>
          <w:sz w:val="21"/>
          <w:szCs w:val="24"/>
        </w:rPr>
        <w:t>图</w:t>
      </w:r>
      <w:r w:rsidRPr="00FD50F6">
        <w:rPr>
          <w:rFonts w:ascii="Calibri" w:eastAsia="黑体" w:hAnsi="Calibri" w:cs="Times New Roman" w:hint="eastAsia"/>
          <w:sz w:val="21"/>
          <w:szCs w:val="24"/>
        </w:rPr>
        <w:t>D.0.1  B</w:t>
      </w:r>
      <w:r w:rsidRPr="00FD50F6">
        <w:rPr>
          <w:rFonts w:ascii="Calibri" w:eastAsia="黑体" w:hAnsi="Calibri" w:cs="Times New Roman" w:hint="eastAsia"/>
          <w:sz w:val="21"/>
          <w:szCs w:val="24"/>
          <w:vertAlign w:val="subscript"/>
        </w:rPr>
        <w:t>1</w:t>
      </w:r>
      <w:r w:rsidRPr="00FD50F6">
        <w:rPr>
          <w:rFonts w:ascii="Calibri" w:eastAsia="黑体" w:hAnsi="Calibri" w:cs="Times New Roman" w:hint="eastAsia"/>
          <w:sz w:val="21"/>
          <w:szCs w:val="24"/>
        </w:rPr>
        <w:t>型车区间或过站直线地段车辆轮廓线、车辆限界、设备限界</w:t>
      </w:r>
    </w:p>
    <w:p w14:paraId="7C6A3060"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hAnsi="Calibri" w:cs="Times New Roman" w:hint="eastAsia"/>
          <w:sz w:val="21"/>
          <w:szCs w:val="24"/>
        </w:rPr>
        <w:t>a</w:t>
      </w:r>
      <w:r w:rsidRPr="00FD50F6">
        <w:rPr>
          <w:rFonts w:ascii="Calibri" w:hAnsi="Calibri" w:cs="Times New Roman" w:hint="eastAsia"/>
          <w:sz w:val="21"/>
          <w:szCs w:val="24"/>
        </w:rPr>
        <w:t>—车辆轮廓线；</w:t>
      </w:r>
      <w:r w:rsidRPr="00FD50F6">
        <w:rPr>
          <w:rFonts w:ascii="Calibri" w:hAnsi="Calibri" w:cs="Times New Roman"/>
          <w:sz w:val="21"/>
          <w:szCs w:val="24"/>
        </w:rPr>
        <w:t>b</w:t>
      </w:r>
      <w:r w:rsidRPr="00FD50F6">
        <w:rPr>
          <w:rFonts w:ascii="Calibri" w:hAnsi="Calibri" w:cs="Times New Roman" w:hint="eastAsia"/>
          <w:sz w:val="21"/>
          <w:szCs w:val="24"/>
        </w:rPr>
        <w:t>—车辆限界；</w:t>
      </w:r>
      <w:r w:rsidRPr="00FD50F6">
        <w:rPr>
          <w:rFonts w:ascii="Calibri" w:hAnsi="Calibri" w:cs="Times New Roman"/>
          <w:sz w:val="21"/>
          <w:szCs w:val="24"/>
        </w:rPr>
        <w:t>c</w:t>
      </w:r>
      <w:r w:rsidRPr="00FD50F6">
        <w:rPr>
          <w:rFonts w:ascii="Calibri" w:hAnsi="Calibri" w:cs="Times New Roman" w:hint="eastAsia"/>
          <w:sz w:val="21"/>
          <w:szCs w:val="24"/>
        </w:rPr>
        <w:t>—设备限界</w:t>
      </w:r>
    </w:p>
    <w:p w14:paraId="10CED388"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Calibri" w:hAnsi="Calibri" w:cs="Times New Roman"/>
          <w:sz w:val="21"/>
          <w:szCs w:val="24"/>
        </w:rPr>
        <w:br w:type="page"/>
      </w:r>
      <w:r w:rsidRPr="00FD50F6">
        <w:rPr>
          <w:rFonts w:ascii="黑体" w:eastAsia="黑体" w:hAnsi="黑体" w:cs="Times New Roman" w:hint="eastAsia"/>
          <w:sz w:val="21"/>
          <w:szCs w:val="24"/>
        </w:rPr>
        <w:lastRenderedPageBreak/>
        <w:t>表</w:t>
      </w:r>
      <w:r w:rsidRPr="00FD50F6">
        <w:rPr>
          <w:rFonts w:ascii="Calibri" w:eastAsia="黑体" w:hAnsi="Calibri" w:cs="Times New Roman" w:hint="eastAsia"/>
          <w:b/>
          <w:sz w:val="21"/>
          <w:szCs w:val="24"/>
        </w:rPr>
        <w:t>D.0.1-1</w:t>
      </w:r>
      <w:r w:rsidRPr="00FD50F6">
        <w:rPr>
          <w:rFonts w:ascii="黑体" w:eastAsia="黑体" w:hAnsi="黑体" w:cs="Times New Roman" w:hint="eastAsia"/>
          <w:sz w:val="21"/>
          <w:szCs w:val="24"/>
        </w:rPr>
        <w:t xml:space="preserve">  车辆轮廓线坐标值（mm）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34CD6F58" w14:textId="77777777" w:rsidTr="002B733E">
        <w:trPr>
          <w:trHeight w:val="397"/>
        </w:trPr>
        <w:tc>
          <w:tcPr>
            <w:tcW w:w="701" w:type="dxa"/>
            <w:vAlign w:val="center"/>
          </w:tcPr>
          <w:p w14:paraId="6995B7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2FA366C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p>
        </w:tc>
        <w:tc>
          <w:tcPr>
            <w:tcW w:w="756" w:type="dxa"/>
            <w:vAlign w:val="center"/>
          </w:tcPr>
          <w:p w14:paraId="2AAB461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p>
        </w:tc>
        <w:tc>
          <w:tcPr>
            <w:tcW w:w="756" w:type="dxa"/>
            <w:vAlign w:val="center"/>
          </w:tcPr>
          <w:p w14:paraId="07AD0A7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p>
        </w:tc>
        <w:tc>
          <w:tcPr>
            <w:tcW w:w="756" w:type="dxa"/>
            <w:vAlign w:val="center"/>
          </w:tcPr>
          <w:p w14:paraId="1476775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p>
        </w:tc>
        <w:tc>
          <w:tcPr>
            <w:tcW w:w="756" w:type="dxa"/>
            <w:vAlign w:val="center"/>
          </w:tcPr>
          <w:p w14:paraId="1FCCA90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p>
        </w:tc>
        <w:tc>
          <w:tcPr>
            <w:tcW w:w="756" w:type="dxa"/>
            <w:vAlign w:val="center"/>
          </w:tcPr>
          <w:p w14:paraId="097D77B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p>
        </w:tc>
        <w:tc>
          <w:tcPr>
            <w:tcW w:w="756" w:type="dxa"/>
            <w:vAlign w:val="center"/>
          </w:tcPr>
          <w:p w14:paraId="2D6773B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p>
        </w:tc>
        <w:tc>
          <w:tcPr>
            <w:tcW w:w="756" w:type="dxa"/>
            <w:vAlign w:val="center"/>
          </w:tcPr>
          <w:p w14:paraId="74CEF61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p>
        </w:tc>
        <w:tc>
          <w:tcPr>
            <w:tcW w:w="756" w:type="dxa"/>
            <w:vAlign w:val="center"/>
          </w:tcPr>
          <w:p w14:paraId="42C3BC8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p>
        </w:tc>
        <w:tc>
          <w:tcPr>
            <w:tcW w:w="756" w:type="dxa"/>
            <w:vAlign w:val="bottom"/>
          </w:tcPr>
          <w:p w14:paraId="6A25522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p>
        </w:tc>
      </w:tr>
      <w:tr w:rsidR="00FD50F6" w:rsidRPr="00FD50F6" w14:paraId="4105C6DD" w14:textId="77777777" w:rsidTr="002B733E">
        <w:trPr>
          <w:trHeight w:val="397"/>
        </w:trPr>
        <w:tc>
          <w:tcPr>
            <w:tcW w:w="701" w:type="dxa"/>
            <w:vAlign w:val="center"/>
          </w:tcPr>
          <w:p w14:paraId="483560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42BA7CE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075745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840</w:t>
            </w:r>
          </w:p>
        </w:tc>
        <w:tc>
          <w:tcPr>
            <w:tcW w:w="756" w:type="dxa"/>
            <w:vAlign w:val="center"/>
          </w:tcPr>
          <w:p w14:paraId="3A0D2CF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950</w:t>
            </w:r>
          </w:p>
        </w:tc>
        <w:tc>
          <w:tcPr>
            <w:tcW w:w="756" w:type="dxa"/>
            <w:vAlign w:val="center"/>
          </w:tcPr>
          <w:p w14:paraId="26830F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1129</w:t>
            </w:r>
          </w:p>
        </w:tc>
        <w:tc>
          <w:tcPr>
            <w:tcW w:w="756" w:type="dxa"/>
            <w:vAlign w:val="center"/>
          </w:tcPr>
          <w:p w14:paraId="0CFCEA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1229</w:t>
            </w:r>
          </w:p>
        </w:tc>
        <w:tc>
          <w:tcPr>
            <w:tcW w:w="756" w:type="dxa"/>
            <w:vAlign w:val="center"/>
          </w:tcPr>
          <w:p w14:paraId="5DB6CF9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1299</w:t>
            </w:r>
          </w:p>
        </w:tc>
        <w:tc>
          <w:tcPr>
            <w:tcW w:w="756" w:type="dxa"/>
            <w:vAlign w:val="center"/>
          </w:tcPr>
          <w:p w14:paraId="4945BD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1318</w:t>
            </w:r>
          </w:p>
        </w:tc>
        <w:tc>
          <w:tcPr>
            <w:tcW w:w="756" w:type="dxa"/>
            <w:vAlign w:val="center"/>
          </w:tcPr>
          <w:p w14:paraId="139115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1332</w:t>
            </w:r>
          </w:p>
        </w:tc>
        <w:tc>
          <w:tcPr>
            <w:tcW w:w="756" w:type="dxa"/>
            <w:vAlign w:val="center"/>
          </w:tcPr>
          <w:p w14:paraId="3FEB4B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1387</w:t>
            </w:r>
          </w:p>
        </w:tc>
        <w:tc>
          <w:tcPr>
            <w:tcW w:w="756" w:type="dxa"/>
            <w:vAlign w:val="center"/>
          </w:tcPr>
          <w:p w14:paraId="40C0D7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1413</w:t>
            </w:r>
          </w:p>
        </w:tc>
      </w:tr>
      <w:tr w:rsidR="00FD50F6" w:rsidRPr="00FD50F6" w14:paraId="74D757D4" w14:textId="77777777" w:rsidTr="002B733E">
        <w:trPr>
          <w:trHeight w:val="397"/>
        </w:trPr>
        <w:tc>
          <w:tcPr>
            <w:tcW w:w="701" w:type="dxa"/>
            <w:vAlign w:val="center"/>
          </w:tcPr>
          <w:p w14:paraId="15AAE3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57DDF03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5</w:t>
            </w:r>
            <w:r w:rsidRPr="00FD50F6">
              <w:rPr>
                <w:rFonts w:ascii="Calibri" w:hAnsi="Calibri" w:cs="Times New Roman" w:hint="eastAsia"/>
                <w:sz w:val="18"/>
                <w:szCs w:val="24"/>
              </w:rPr>
              <w:t>0</w:t>
            </w:r>
          </w:p>
        </w:tc>
        <w:tc>
          <w:tcPr>
            <w:tcW w:w="756" w:type="dxa"/>
            <w:vAlign w:val="center"/>
          </w:tcPr>
          <w:p w14:paraId="785524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5</w:t>
            </w:r>
            <w:r w:rsidRPr="00FD50F6">
              <w:rPr>
                <w:rFonts w:ascii="Calibri" w:hAnsi="Calibri" w:cs="Times New Roman" w:hint="eastAsia"/>
                <w:sz w:val="18"/>
                <w:szCs w:val="24"/>
              </w:rPr>
              <w:t>0</w:t>
            </w:r>
          </w:p>
        </w:tc>
        <w:tc>
          <w:tcPr>
            <w:tcW w:w="756" w:type="dxa"/>
            <w:vAlign w:val="center"/>
          </w:tcPr>
          <w:p w14:paraId="7558D2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3750</w:t>
            </w:r>
          </w:p>
        </w:tc>
        <w:tc>
          <w:tcPr>
            <w:tcW w:w="756" w:type="dxa"/>
            <w:vAlign w:val="center"/>
          </w:tcPr>
          <w:p w14:paraId="6B9116F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3636</w:t>
            </w:r>
          </w:p>
        </w:tc>
        <w:tc>
          <w:tcPr>
            <w:tcW w:w="756" w:type="dxa"/>
            <w:vAlign w:val="center"/>
          </w:tcPr>
          <w:p w14:paraId="382A520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3538</w:t>
            </w:r>
          </w:p>
        </w:tc>
        <w:tc>
          <w:tcPr>
            <w:tcW w:w="756" w:type="dxa"/>
            <w:vAlign w:val="center"/>
          </w:tcPr>
          <w:p w14:paraId="4A98AF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3406</w:t>
            </w:r>
          </w:p>
        </w:tc>
        <w:tc>
          <w:tcPr>
            <w:tcW w:w="756" w:type="dxa"/>
            <w:vAlign w:val="center"/>
          </w:tcPr>
          <w:p w14:paraId="5E872D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3315</w:t>
            </w:r>
          </w:p>
        </w:tc>
        <w:tc>
          <w:tcPr>
            <w:tcW w:w="756" w:type="dxa"/>
            <w:vAlign w:val="center"/>
          </w:tcPr>
          <w:p w14:paraId="02DACB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3077</w:t>
            </w:r>
          </w:p>
        </w:tc>
        <w:tc>
          <w:tcPr>
            <w:tcW w:w="756" w:type="dxa"/>
            <w:vAlign w:val="center"/>
          </w:tcPr>
          <w:p w14:paraId="1EAD05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3036</w:t>
            </w:r>
          </w:p>
        </w:tc>
        <w:tc>
          <w:tcPr>
            <w:tcW w:w="756" w:type="dxa"/>
            <w:vAlign w:val="center"/>
          </w:tcPr>
          <w:p w14:paraId="6EBD72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2621</w:t>
            </w:r>
          </w:p>
        </w:tc>
      </w:tr>
      <w:tr w:rsidR="00FD50F6" w:rsidRPr="00FD50F6" w14:paraId="6CF390EA" w14:textId="77777777" w:rsidTr="002B733E">
        <w:trPr>
          <w:trHeight w:val="397"/>
        </w:trPr>
        <w:tc>
          <w:tcPr>
            <w:tcW w:w="701" w:type="dxa"/>
            <w:vAlign w:val="center"/>
          </w:tcPr>
          <w:p w14:paraId="0451481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3D477FB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30</w:t>
            </w:r>
          </w:p>
        </w:tc>
        <w:tc>
          <w:tcPr>
            <w:tcW w:w="756" w:type="dxa"/>
            <w:vAlign w:val="center"/>
          </w:tcPr>
          <w:p w14:paraId="7AFC1FE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p>
        </w:tc>
        <w:tc>
          <w:tcPr>
            <w:tcW w:w="756" w:type="dxa"/>
            <w:vAlign w:val="center"/>
          </w:tcPr>
          <w:p w14:paraId="3561654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p>
        </w:tc>
        <w:tc>
          <w:tcPr>
            <w:tcW w:w="756" w:type="dxa"/>
            <w:vAlign w:val="center"/>
          </w:tcPr>
          <w:p w14:paraId="7477CFE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p>
        </w:tc>
        <w:tc>
          <w:tcPr>
            <w:tcW w:w="756" w:type="dxa"/>
            <w:vAlign w:val="center"/>
          </w:tcPr>
          <w:p w14:paraId="336EB8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p>
        </w:tc>
        <w:tc>
          <w:tcPr>
            <w:tcW w:w="756" w:type="dxa"/>
            <w:vAlign w:val="center"/>
          </w:tcPr>
          <w:p w14:paraId="399DE8E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p>
        </w:tc>
        <w:tc>
          <w:tcPr>
            <w:tcW w:w="756" w:type="dxa"/>
            <w:vAlign w:val="center"/>
          </w:tcPr>
          <w:p w14:paraId="79FDA8D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p>
        </w:tc>
        <w:tc>
          <w:tcPr>
            <w:tcW w:w="756" w:type="dxa"/>
            <w:vAlign w:val="center"/>
          </w:tcPr>
          <w:p w14:paraId="1343D4D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p>
        </w:tc>
        <w:tc>
          <w:tcPr>
            <w:tcW w:w="756" w:type="dxa"/>
            <w:vAlign w:val="center"/>
          </w:tcPr>
          <w:p w14:paraId="2C48282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p>
        </w:tc>
        <w:tc>
          <w:tcPr>
            <w:tcW w:w="756" w:type="dxa"/>
            <w:vAlign w:val="center"/>
          </w:tcPr>
          <w:p w14:paraId="6738111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p>
        </w:tc>
      </w:tr>
      <w:tr w:rsidR="00FD50F6" w:rsidRPr="00FD50F6" w14:paraId="2316AAD5" w14:textId="77777777" w:rsidTr="002B733E">
        <w:trPr>
          <w:trHeight w:val="397"/>
        </w:trPr>
        <w:tc>
          <w:tcPr>
            <w:tcW w:w="701" w:type="dxa"/>
            <w:vAlign w:val="center"/>
          </w:tcPr>
          <w:p w14:paraId="570B55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68E55A3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1358</w:t>
            </w:r>
          </w:p>
        </w:tc>
        <w:tc>
          <w:tcPr>
            <w:tcW w:w="756" w:type="dxa"/>
            <w:vAlign w:val="center"/>
          </w:tcPr>
          <w:p w14:paraId="41C334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756" w:type="dxa"/>
            <w:vAlign w:val="center"/>
          </w:tcPr>
          <w:p w14:paraId="78CB36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756" w:type="dxa"/>
            <w:vAlign w:val="center"/>
          </w:tcPr>
          <w:p w14:paraId="26F34E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756" w:type="dxa"/>
            <w:vAlign w:val="center"/>
          </w:tcPr>
          <w:p w14:paraId="5F204E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1334</w:t>
            </w:r>
          </w:p>
        </w:tc>
        <w:tc>
          <w:tcPr>
            <w:tcW w:w="756" w:type="dxa"/>
            <w:vAlign w:val="center"/>
          </w:tcPr>
          <w:p w14:paraId="755F14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1334</w:t>
            </w:r>
          </w:p>
        </w:tc>
        <w:tc>
          <w:tcPr>
            <w:tcW w:w="756" w:type="dxa"/>
            <w:vAlign w:val="center"/>
          </w:tcPr>
          <w:p w14:paraId="5BA9F7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1314</w:t>
            </w:r>
          </w:p>
        </w:tc>
        <w:tc>
          <w:tcPr>
            <w:tcW w:w="756" w:type="dxa"/>
            <w:vAlign w:val="center"/>
          </w:tcPr>
          <w:p w14:paraId="22987A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1492</w:t>
            </w:r>
          </w:p>
        </w:tc>
        <w:tc>
          <w:tcPr>
            <w:tcW w:w="756" w:type="dxa"/>
            <w:vAlign w:val="center"/>
          </w:tcPr>
          <w:p w14:paraId="4E9652C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1492</w:t>
            </w:r>
          </w:p>
        </w:tc>
        <w:tc>
          <w:tcPr>
            <w:tcW w:w="756" w:type="dxa"/>
            <w:vAlign w:val="center"/>
          </w:tcPr>
          <w:p w14:paraId="77F23C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1423</w:t>
            </w:r>
          </w:p>
        </w:tc>
      </w:tr>
      <w:tr w:rsidR="00FD50F6" w:rsidRPr="00FD50F6" w14:paraId="2D578E3B" w14:textId="77777777" w:rsidTr="002B733E">
        <w:trPr>
          <w:trHeight w:val="397"/>
        </w:trPr>
        <w:tc>
          <w:tcPr>
            <w:tcW w:w="701" w:type="dxa"/>
            <w:vAlign w:val="center"/>
          </w:tcPr>
          <w:p w14:paraId="37A463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38807F1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2605</w:t>
            </w:r>
          </w:p>
        </w:tc>
        <w:tc>
          <w:tcPr>
            <w:tcW w:w="756" w:type="dxa"/>
            <w:vAlign w:val="center"/>
          </w:tcPr>
          <w:p w14:paraId="349884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1860</w:t>
            </w:r>
          </w:p>
        </w:tc>
        <w:tc>
          <w:tcPr>
            <w:tcW w:w="756" w:type="dxa"/>
            <w:vAlign w:val="center"/>
          </w:tcPr>
          <w:p w14:paraId="5A193E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1100</w:t>
            </w:r>
          </w:p>
        </w:tc>
        <w:tc>
          <w:tcPr>
            <w:tcW w:w="756" w:type="dxa"/>
            <w:vAlign w:val="center"/>
          </w:tcPr>
          <w:p w14:paraId="157A6A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600</w:t>
            </w:r>
          </w:p>
        </w:tc>
        <w:tc>
          <w:tcPr>
            <w:tcW w:w="756" w:type="dxa"/>
            <w:vAlign w:val="center"/>
          </w:tcPr>
          <w:p w14:paraId="144CD0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600</w:t>
            </w:r>
          </w:p>
        </w:tc>
        <w:tc>
          <w:tcPr>
            <w:tcW w:w="756" w:type="dxa"/>
            <w:vAlign w:val="center"/>
          </w:tcPr>
          <w:p w14:paraId="61F172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450</w:t>
            </w:r>
          </w:p>
        </w:tc>
        <w:tc>
          <w:tcPr>
            <w:tcW w:w="756" w:type="dxa"/>
            <w:vAlign w:val="center"/>
          </w:tcPr>
          <w:p w14:paraId="06C551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5AE42F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7F0636D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101</w:t>
            </w:r>
          </w:p>
        </w:tc>
        <w:tc>
          <w:tcPr>
            <w:tcW w:w="756" w:type="dxa"/>
            <w:vAlign w:val="center"/>
          </w:tcPr>
          <w:p w14:paraId="2C7205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76</w:t>
            </w:r>
          </w:p>
        </w:tc>
      </w:tr>
      <w:tr w:rsidR="00FD50F6" w:rsidRPr="00FD50F6" w14:paraId="27B8BB40" w14:textId="77777777" w:rsidTr="002B733E">
        <w:trPr>
          <w:trHeight w:val="397"/>
        </w:trPr>
        <w:tc>
          <w:tcPr>
            <w:tcW w:w="701" w:type="dxa"/>
            <w:vAlign w:val="center"/>
          </w:tcPr>
          <w:p w14:paraId="12F847F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59ECF8F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p>
        </w:tc>
        <w:tc>
          <w:tcPr>
            <w:tcW w:w="756" w:type="dxa"/>
            <w:vAlign w:val="center"/>
          </w:tcPr>
          <w:p w14:paraId="7316E9D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p>
        </w:tc>
        <w:tc>
          <w:tcPr>
            <w:tcW w:w="756" w:type="dxa"/>
            <w:vAlign w:val="center"/>
          </w:tcPr>
          <w:p w14:paraId="511621C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p>
        </w:tc>
        <w:tc>
          <w:tcPr>
            <w:tcW w:w="756" w:type="dxa"/>
            <w:vAlign w:val="center"/>
          </w:tcPr>
          <w:p w14:paraId="591B3B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p>
        </w:tc>
        <w:tc>
          <w:tcPr>
            <w:tcW w:w="756" w:type="dxa"/>
            <w:vAlign w:val="center"/>
          </w:tcPr>
          <w:p w14:paraId="04BC92D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p>
        </w:tc>
        <w:tc>
          <w:tcPr>
            <w:tcW w:w="756" w:type="dxa"/>
            <w:vAlign w:val="center"/>
          </w:tcPr>
          <w:p w14:paraId="515A095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p>
        </w:tc>
        <w:tc>
          <w:tcPr>
            <w:tcW w:w="756" w:type="dxa"/>
            <w:vAlign w:val="center"/>
          </w:tcPr>
          <w:p w14:paraId="062604A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p>
        </w:tc>
        <w:tc>
          <w:tcPr>
            <w:tcW w:w="756" w:type="dxa"/>
            <w:vAlign w:val="center"/>
          </w:tcPr>
          <w:p w14:paraId="7B8D92F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p>
        </w:tc>
        <w:tc>
          <w:tcPr>
            <w:tcW w:w="756" w:type="dxa"/>
            <w:vAlign w:val="center"/>
          </w:tcPr>
          <w:p w14:paraId="014D25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p>
        </w:tc>
        <w:tc>
          <w:tcPr>
            <w:tcW w:w="756" w:type="dxa"/>
            <w:vAlign w:val="center"/>
          </w:tcPr>
          <w:p w14:paraId="0792D9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p>
        </w:tc>
      </w:tr>
      <w:tr w:rsidR="00FD50F6" w:rsidRPr="00FD50F6" w14:paraId="07893409" w14:textId="77777777" w:rsidTr="002B733E">
        <w:trPr>
          <w:trHeight w:val="397"/>
        </w:trPr>
        <w:tc>
          <w:tcPr>
            <w:tcW w:w="701" w:type="dxa"/>
            <w:vAlign w:val="center"/>
          </w:tcPr>
          <w:p w14:paraId="74F448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5A7DDD7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1118</w:t>
            </w:r>
          </w:p>
        </w:tc>
        <w:tc>
          <w:tcPr>
            <w:tcW w:w="756" w:type="dxa"/>
            <w:vAlign w:val="center"/>
          </w:tcPr>
          <w:p w14:paraId="29A6680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1118</w:t>
            </w:r>
          </w:p>
        </w:tc>
        <w:tc>
          <w:tcPr>
            <w:tcW w:w="756" w:type="dxa"/>
            <w:vAlign w:val="center"/>
          </w:tcPr>
          <w:p w14:paraId="6FF11A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1065</w:t>
            </w:r>
          </w:p>
        </w:tc>
        <w:tc>
          <w:tcPr>
            <w:tcW w:w="756" w:type="dxa"/>
            <w:vAlign w:val="center"/>
          </w:tcPr>
          <w:p w14:paraId="0FA595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1065</w:t>
            </w:r>
          </w:p>
        </w:tc>
        <w:tc>
          <w:tcPr>
            <w:tcW w:w="756" w:type="dxa"/>
            <w:vAlign w:val="center"/>
          </w:tcPr>
          <w:p w14:paraId="5E6B32F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818</w:t>
            </w:r>
          </w:p>
        </w:tc>
        <w:tc>
          <w:tcPr>
            <w:tcW w:w="756" w:type="dxa"/>
            <w:vAlign w:val="center"/>
          </w:tcPr>
          <w:p w14:paraId="518ED48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818</w:t>
            </w:r>
          </w:p>
        </w:tc>
        <w:tc>
          <w:tcPr>
            <w:tcW w:w="756" w:type="dxa"/>
            <w:vAlign w:val="center"/>
          </w:tcPr>
          <w:p w14:paraId="6F7CB5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718</w:t>
            </w:r>
          </w:p>
        </w:tc>
        <w:tc>
          <w:tcPr>
            <w:tcW w:w="756" w:type="dxa"/>
            <w:vAlign w:val="center"/>
          </w:tcPr>
          <w:p w14:paraId="1E5698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718</w:t>
            </w:r>
          </w:p>
        </w:tc>
        <w:tc>
          <w:tcPr>
            <w:tcW w:w="756" w:type="dxa"/>
            <w:vAlign w:val="center"/>
          </w:tcPr>
          <w:p w14:paraId="7B3717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677</w:t>
            </w:r>
          </w:p>
        </w:tc>
        <w:tc>
          <w:tcPr>
            <w:tcW w:w="756" w:type="dxa"/>
            <w:vAlign w:val="center"/>
          </w:tcPr>
          <w:p w14:paraId="0B8850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677</w:t>
            </w:r>
          </w:p>
        </w:tc>
      </w:tr>
      <w:tr w:rsidR="00FD50F6" w:rsidRPr="00FD50F6" w14:paraId="29AF3FCA" w14:textId="77777777" w:rsidTr="002B733E">
        <w:trPr>
          <w:trHeight w:val="397"/>
        </w:trPr>
        <w:tc>
          <w:tcPr>
            <w:tcW w:w="701" w:type="dxa"/>
            <w:vAlign w:val="center"/>
          </w:tcPr>
          <w:p w14:paraId="359DFC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08DBAD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76</w:t>
            </w:r>
          </w:p>
        </w:tc>
        <w:tc>
          <w:tcPr>
            <w:tcW w:w="756" w:type="dxa"/>
            <w:vAlign w:val="center"/>
          </w:tcPr>
          <w:p w14:paraId="6E9D0B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89</w:t>
            </w:r>
          </w:p>
        </w:tc>
        <w:tc>
          <w:tcPr>
            <w:tcW w:w="756" w:type="dxa"/>
            <w:vAlign w:val="center"/>
          </w:tcPr>
          <w:p w14:paraId="19C875F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89</w:t>
            </w:r>
          </w:p>
        </w:tc>
        <w:tc>
          <w:tcPr>
            <w:tcW w:w="756" w:type="dxa"/>
            <w:vAlign w:val="center"/>
          </w:tcPr>
          <w:p w14:paraId="3A61BC6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161</w:t>
            </w:r>
          </w:p>
        </w:tc>
        <w:tc>
          <w:tcPr>
            <w:tcW w:w="756" w:type="dxa"/>
            <w:vAlign w:val="center"/>
          </w:tcPr>
          <w:p w14:paraId="528670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161</w:t>
            </w:r>
          </w:p>
        </w:tc>
        <w:tc>
          <w:tcPr>
            <w:tcW w:w="756" w:type="dxa"/>
            <w:vAlign w:val="center"/>
          </w:tcPr>
          <w:p w14:paraId="0A997C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3D3B2D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2253B7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w:t>
            </w:r>
          </w:p>
        </w:tc>
        <w:tc>
          <w:tcPr>
            <w:tcW w:w="756" w:type="dxa"/>
            <w:vAlign w:val="center"/>
          </w:tcPr>
          <w:p w14:paraId="00AF28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w:t>
            </w:r>
          </w:p>
        </w:tc>
        <w:tc>
          <w:tcPr>
            <w:tcW w:w="756" w:type="dxa"/>
            <w:vAlign w:val="center"/>
          </w:tcPr>
          <w:p w14:paraId="5AB696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80</w:t>
            </w:r>
          </w:p>
        </w:tc>
      </w:tr>
      <w:tr w:rsidR="00FD50F6" w:rsidRPr="00FD50F6" w14:paraId="5797AADB" w14:textId="77777777" w:rsidTr="002B733E">
        <w:trPr>
          <w:trHeight w:val="397"/>
        </w:trPr>
        <w:tc>
          <w:tcPr>
            <w:tcW w:w="701" w:type="dxa"/>
            <w:vAlign w:val="center"/>
          </w:tcPr>
          <w:p w14:paraId="432EF73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bottom"/>
          </w:tcPr>
          <w:p w14:paraId="7BCE896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p>
        </w:tc>
        <w:tc>
          <w:tcPr>
            <w:tcW w:w="756" w:type="dxa"/>
            <w:vAlign w:val="center"/>
          </w:tcPr>
          <w:p w14:paraId="3D7992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BFDC1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0E422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B1548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A8999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BC929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F59743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5CC07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F4F12F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5A0BA96D" w14:textId="77777777" w:rsidTr="002B733E">
        <w:trPr>
          <w:trHeight w:val="397"/>
        </w:trPr>
        <w:tc>
          <w:tcPr>
            <w:tcW w:w="701" w:type="dxa"/>
            <w:vAlign w:val="center"/>
          </w:tcPr>
          <w:p w14:paraId="708269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bottom"/>
          </w:tcPr>
          <w:p w14:paraId="56191A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1C13A7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911F4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0CF2B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26B320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0EF26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1AC7C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121D62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A214E7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ACB08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391BCC27" w14:textId="77777777" w:rsidTr="002B733E">
        <w:trPr>
          <w:trHeight w:val="397"/>
        </w:trPr>
        <w:tc>
          <w:tcPr>
            <w:tcW w:w="701" w:type="dxa"/>
            <w:vAlign w:val="center"/>
          </w:tcPr>
          <w:p w14:paraId="0C6FA0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bottom"/>
          </w:tcPr>
          <w:p w14:paraId="317B88E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80</w:t>
            </w:r>
          </w:p>
        </w:tc>
        <w:tc>
          <w:tcPr>
            <w:tcW w:w="756" w:type="dxa"/>
            <w:vAlign w:val="center"/>
          </w:tcPr>
          <w:p w14:paraId="6B3F72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C1EA3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E7135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81FC2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587D47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6EF162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D30A0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D80437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CA8F71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7A73C0BE" w14:textId="77777777" w:rsidR="002B733E" w:rsidRPr="00FD50F6" w:rsidRDefault="002B733E" w:rsidP="002B733E">
      <w:pPr>
        <w:spacing w:line="0" w:lineRule="atLeast"/>
        <w:ind w:left="360" w:hangingChars="200" w:hanging="360"/>
        <w:rPr>
          <w:rFonts w:ascii="Calibri" w:hAnsi="Calibri" w:cs="Times New Roman"/>
          <w:sz w:val="18"/>
          <w:szCs w:val="24"/>
        </w:rPr>
      </w:pPr>
      <w:r w:rsidRPr="00FD50F6">
        <w:rPr>
          <w:rFonts w:ascii="Calibri" w:hAnsi="Calibri" w:cs="Times New Roman" w:hint="eastAsia"/>
          <w:sz w:val="18"/>
          <w:szCs w:val="24"/>
        </w:rPr>
        <w:t>注：表中第</w:t>
      </w:r>
      <w:r w:rsidRPr="00FD50F6">
        <w:rPr>
          <w:rFonts w:ascii="Calibri" w:hAnsi="Calibri" w:cs="Times New Roman" w:hint="eastAsia"/>
          <w:sz w:val="18"/>
          <w:szCs w:val="24"/>
        </w:rPr>
        <w:t>0</w:t>
      </w:r>
      <w:r w:rsidRPr="00FD50F6">
        <w:rPr>
          <w:rFonts w:ascii="Calibri" w:hAnsi="Calibri" w:cs="Times New Roman" w:hint="eastAsia"/>
          <w:sz w:val="18"/>
          <w:szCs w:val="24"/>
        </w:rPr>
        <w:t>～</w:t>
      </w:r>
      <w:r w:rsidRPr="00FD50F6">
        <w:rPr>
          <w:rFonts w:ascii="Calibri" w:hAnsi="Calibri" w:cs="Times New Roman" w:hint="eastAsia"/>
          <w:sz w:val="18"/>
          <w:szCs w:val="24"/>
        </w:rPr>
        <w:t>11</w:t>
      </w:r>
      <w:r w:rsidRPr="00FD50F6">
        <w:rPr>
          <w:rFonts w:ascii="Calibri" w:hAnsi="Calibri" w:cs="Times New Roman" w:hint="eastAsia"/>
          <w:sz w:val="18"/>
          <w:szCs w:val="24"/>
        </w:rPr>
        <w:t>点、</w:t>
      </w:r>
      <w:r w:rsidRPr="00FD50F6">
        <w:rPr>
          <w:rFonts w:ascii="Calibri" w:hAnsi="Calibri" w:cs="Times New Roman" w:hint="eastAsia"/>
          <w:sz w:val="18"/>
          <w:szCs w:val="24"/>
        </w:rPr>
        <w:t>27</w:t>
      </w:r>
      <w:r w:rsidRPr="00FD50F6">
        <w:rPr>
          <w:rFonts w:ascii="Calibri" w:hAnsi="Calibri" w:cs="Times New Roman" w:hint="eastAsia"/>
          <w:sz w:val="18"/>
          <w:szCs w:val="24"/>
        </w:rPr>
        <w:t>～</w:t>
      </w:r>
      <w:r w:rsidRPr="00FD50F6">
        <w:rPr>
          <w:rFonts w:ascii="Calibri" w:hAnsi="Calibri" w:cs="Times New Roman" w:hint="eastAsia"/>
          <w:sz w:val="18"/>
          <w:szCs w:val="24"/>
        </w:rPr>
        <w:t>30</w:t>
      </w:r>
      <w:r w:rsidRPr="00FD50F6">
        <w:rPr>
          <w:rFonts w:ascii="Calibri" w:hAnsi="Calibri" w:cs="Times New Roman" w:hint="eastAsia"/>
          <w:sz w:val="18"/>
          <w:szCs w:val="24"/>
        </w:rPr>
        <w:t>点是车体上的控制点；第</w:t>
      </w:r>
      <w:r w:rsidRPr="00FD50F6">
        <w:rPr>
          <w:rFonts w:ascii="Calibri" w:hAnsi="Calibri" w:cs="Times New Roman" w:hint="eastAsia"/>
          <w:sz w:val="18"/>
          <w:szCs w:val="24"/>
        </w:rPr>
        <w:t>12</w:t>
      </w:r>
      <w:r w:rsidRPr="00FD50F6">
        <w:rPr>
          <w:rFonts w:ascii="Calibri" w:hAnsi="Calibri" w:cs="Times New Roman" w:hint="eastAsia"/>
          <w:sz w:val="18"/>
          <w:szCs w:val="24"/>
        </w:rPr>
        <w:t>～</w:t>
      </w:r>
      <w:r w:rsidRPr="00FD50F6">
        <w:rPr>
          <w:rFonts w:ascii="Calibri" w:hAnsi="Calibri" w:cs="Times New Roman" w:hint="eastAsia"/>
          <w:sz w:val="18"/>
          <w:szCs w:val="24"/>
        </w:rPr>
        <w:t>26</w:t>
      </w:r>
      <w:r w:rsidRPr="00FD50F6">
        <w:rPr>
          <w:rFonts w:ascii="Calibri" w:hAnsi="Calibri" w:cs="Times New Roman" w:hint="eastAsia"/>
          <w:sz w:val="18"/>
          <w:szCs w:val="24"/>
        </w:rPr>
        <w:t>点是转向架上的控制点；第</w:t>
      </w:r>
      <w:r w:rsidRPr="00FD50F6">
        <w:rPr>
          <w:rFonts w:ascii="Calibri" w:hAnsi="Calibri" w:cs="Times New Roman" w:hint="eastAsia"/>
          <w:sz w:val="18"/>
          <w:szCs w:val="24"/>
        </w:rPr>
        <w:t>f</w:t>
      </w:r>
      <w:r w:rsidRPr="00FD50F6">
        <w:rPr>
          <w:rFonts w:ascii="Calibri" w:hAnsi="Calibri" w:cs="Times New Roman" w:hint="eastAsia"/>
          <w:sz w:val="18"/>
          <w:szCs w:val="24"/>
        </w:rPr>
        <w:t>、</w:t>
      </w:r>
      <w:r w:rsidRPr="00FD50F6">
        <w:rPr>
          <w:rFonts w:ascii="Calibri" w:hAnsi="Calibri" w:cs="Times New Roman" w:hint="eastAsia"/>
          <w:sz w:val="18"/>
          <w:szCs w:val="24"/>
        </w:rPr>
        <w:t>g</w:t>
      </w:r>
      <w:r w:rsidRPr="00FD50F6">
        <w:rPr>
          <w:rFonts w:ascii="Calibri" w:hAnsi="Calibri" w:cs="Times New Roman" w:hint="eastAsia"/>
          <w:sz w:val="18"/>
          <w:szCs w:val="24"/>
        </w:rPr>
        <w:t>点为受电靴工作状态控制点；第</w:t>
      </w:r>
      <w:r w:rsidRPr="00FD50F6">
        <w:rPr>
          <w:rFonts w:ascii="Calibri" w:hAnsi="Calibri" w:cs="Times New Roman" w:hint="eastAsia"/>
          <w:sz w:val="18"/>
          <w:szCs w:val="24"/>
        </w:rPr>
        <w:t>a</w:t>
      </w:r>
      <w:r w:rsidRPr="00FD50F6">
        <w:rPr>
          <w:rFonts w:ascii="Calibri" w:hAnsi="Calibri" w:cs="Times New Roman" w:hint="eastAsia"/>
          <w:sz w:val="18"/>
          <w:szCs w:val="24"/>
        </w:rPr>
        <w:t>～</w:t>
      </w:r>
      <w:r w:rsidRPr="00FD50F6">
        <w:rPr>
          <w:rFonts w:ascii="Calibri" w:hAnsi="Calibri" w:cs="Times New Roman" w:hint="eastAsia"/>
          <w:sz w:val="18"/>
          <w:szCs w:val="24"/>
        </w:rPr>
        <w:t>e</w:t>
      </w:r>
      <w:r w:rsidRPr="00FD50F6">
        <w:rPr>
          <w:rFonts w:ascii="Calibri" w:hAnsi="Calibri" w:cs="Times New Roman" w:hint="eastAsia"/>
          <w:sz w:val="18"/>
          <w:szCs w:val="24"/>
        </w:rPr>
        <w:t>点为受电靴非工作状态控制点。</w:t>
      </w:r>
    </w:p>
    <w:p w14:paraId="45B62B4A" w14:textId="77777777" w:rsidR="002B733E" w:rsidRPr="00FD50F6" w:rsidRDefault="002B733E" w:rsidP="002B733E">
      <w:pPr>
        <w:spacing w:line="240" w:lineRule="auto"/>
        <w:jc w:val="center"/>
        <w:rPr>
          <w:rFonts w:ascii="黑体" w:eastAsia="黑体" w:hAnsi="黑体" w:cs="Times New Roman"/>
          <w:sz w:val="21"/>
          <w:szCs w:val="24"/>
        </w:rPr>
      </w:pPr>
    </w:p>
    <w:p w14:paraId="78A78FDE"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D.0.1-2</w:t>
      </w:r>
      <w:r w:rsidRPr="00FD50F6">
        <w:rPr>
          <w:rFonts w:ascii="黑体" w:eastAsia="黑体" w:hAnsi="黑体" w:cs="Times New Roman" w:hint="eastAsia"/>
          <w:sz w:val="21"/>
          <w:szCs w:val="24"/>
        </w:rPr>
        <w:t xml:space="preserve">  隧道内区间直线地段车辆限界坐标值（mm）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0FE42323" w14:textId="77777777" w:rsidTr="002B733E">
        <w:trPr>
          <w:trHeight w:val="397"/>
        </w:trPr>
        <w:tc>
          <w:tcPr>
            <w:tcW w:w="701" w:type="dxa"/>
            <w:vAlign w:val="center"/>
          </w:tcPr>
          <w:p w14:paraId="4F473D9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7B13CDE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r w:rsidRPr="00FD50F6">
              <w:rPr>
                <w:rFonts w:ascii="Calibri" w:hAnsi="Calibri" w:cs="Times New Roman" w:hint="eastAsia"/>
                <w:b/>
                <w:sz w:val="18"/>
                <w:szCs w:val="24"/>
              </w:rPr>
              <w:t>’</w:t>
            </w:r>
          </w:p>
        </w:tc>
        <w:tc>
          <w:tcPr>
            <w:tcW w:w="756" w:type="dxa"/>
            <w:vAlign w:val="center"/>
          </w:tcPr>
          <w:p w14:paraId="41CF329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56" w:type="dxa"/>
            <w:vAlign w:val="center"/>
          </w:tcPr>
          <w:p w14:paraId="44D5C29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56" w:type="dxa"/>
            <w:vAlign w:val="center"/>
          </w:tcPr>
          <w:p w14:paraId="579824D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56" w:type="dxa"/>
            <w:vAlign w:val="center"/>
          </w:tcPr>
          <w:p w14:paraId="02C9B5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56" w:type="dxa"/>
            <w:vAlign w:val="center"/>
          </w:tcPr>
          <w:p w14:paraId="0F4108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56" w:type="dxa"/>
            <w:vAlign w:val="center"/>
          </w:tcPr>
          <w:p w14:paraId="4CFCBA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56" w:type="dxa"/>
            <w:vAlign w:val="center"/>
          </w:tcPr>
          <w:p w14:paraId="167C8FC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r w:rsidRPr="00FD50F6">
              <w:rPr>
                <w:rFonts w:ascii="Calibri" w:hAnsi="Calibri" w:cs="Times New Roman" w:hint="eastAsia"/>
                <w:b/>
                <w:sz w:val="18"/>
                <w:szCs w:val="24"/>
              </w:rPr>
              <w:t>’</w:t>
            </w:r>
          </w:p>
        </w:tc>
        <w:tc>
          <w:tcPr>
            <w:tcW w:w="756" w:type="dxa"/>
            <w:vAlign w:val="center"/>
          </w:tcPr>
          <w:p w14:paraId="43A4835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r w:rsidRPr="00FD50F6">
              <w:rPr>
                <w:rFonts w:ascii="Calibri" w:hAnsi="Calibri" w:cs="Times New Roman" w:hint="eastAsia"/>
                <w:b/>
                <w:sz w:val="18"/>
                <w:szCs w:val="24"/>
              </w:rPr>
              <w:t>’</w:t>
            </w:r>
          </w:p>
        </w:tc>
        <w:tc>
          <w:tcPr>
            <w:tcW w:w="756" w:type="dxa"/>
            <w:vAlign w:val="bottom"/>
          </w:tcPr>
          <w:p w14:paraId="194F3D0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r w:rsidRPr="00FD50F6">
              <w:rPr>
                <w:rFonts w:ascii="Calibri" w:hAnsi="Calibri" w:cs="Times New Roman" w:hint="eastAsia"/>
                <w:b/>
                <w:sz w:val="18"/>
                <w:szCs w:val="24"/>
              </w:rPr>
              <w:t>’</w:t>
            </w:r>
          </w:p>
        </w:tc>
      </w:tr>
      <w:tr w:rsidR="00FD50F6" w:rsidRPr="00FD50F6" w14:paraId="17CF5E93" w14:textId="77777777" w:rsidTr="002B733E">
        <w:trPr>
          <w:trHeight w:val="397"/>
        </w:trPr>
        <w:tc>
          <w:tcPr>
            <w:tcW w:w="701" w:type="dxa"/>
            <w:vAlign w:val="center"/>
          </w:tcPr>
          <w:p w14:paraId="3E24AC0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1FE8C9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408949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56" w:type="dxa"/>
            <w:vAlign w:val="center"/>
          </w:tcPr>
          <w:p w14:paraId="6DC9B9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1073</w:t>
            </w:r>
          </w:p>
        </w:tc>
        <w:tc>
          <w:tcPr>
            <w:tcW w:w="756" w:type="dxa"/>
            <w:vAlign w:val="center"/>
          </w:tcPr>
          <w:p w14:paraId="6ED51E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1250</w:t>
            </w:r>
          </w:p>
        </w:tc>
        <w:tc>
          <w:tcPr>
            <w:tcW w:w="756" w:type="dxa"/>
            <w:vAlign w:val="center"/>
          </w:tcPr>
          <w:p w14:paraId="010881E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1348</w:t>
            </w:r>
          </w:p>
        </w:tc>
        <w:tc>
          <w:tcPr>
            <w:tcW w:w="756" w:type="dxa"/>
            <w:vAlign w:val="center"/>
          </w:tcPr>
          <w:p w14:paraId="3E6BC3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1416</w:t>
            </w:r>
          </w:p>
        </w:tc>
        <w:tc>
          <w:tcPr>
            <w:tcW w:w="756" w:type="dxa"/>
            <w:vAlign w:val="center"/>
          </w:tcPr>
          <w:p w14:paraId="474522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1433</w:t>
            </w:r>
          </w:p>
        </w:tc>
        <w:tc>
          <w:tcPr>
            <w:tcW w:w="756" w:type="dxa"/>
            <w:vAlign w:val="center"/>
          </w:tcPr>
          <w:p w14:paraId="424066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1443</w:t>
            </w:r>
          </w:p>
        </w:tc>
        <w:tc>
          <w:tcPr>
            <w:tcW w:w="756" w:type="dxa"/>
            <w:vAlign w:val="center"/>
          </w:tcPr>
          <w:p w14:paraId="3B9A577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1498</w:t>
            </w:r>
          </w:p>
        </w:tc>
        <w:tc>
          <w:tcPr>
            <w:tcW w:w="756" w:type="dxa"/>
            <w:vAlign w:val="center"/>
          </w:tcPr>
          <w:p w14:paraId="2B19CC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1516</w:t>
            </w:r>
          </w:p>
        </w:tc>
      </w:tr>
      <w:tr w:rsidR="00FD50F6" w:rsidRPr="00FD50F6" w14:paraId="19E5329C" w14:textId="77777777" w:rsidTr="002B733E">
        <w:trPr>
          <w:trHeight w:val="397"/>
        </w:trPr>
        <w:tc>
          <w:tcPr>
            <w:tcW w:w="701" w:type="dxa"/>
            <w:vAlign w:val="center"/>
          </w:tcPr>
          <w:p w14:paraId="096BFB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0EAC9A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w:t>
            </w:r>
            <w:r w:rsidRPr="00FD50F6">
              <w:rPr>
                <w:rFonts w:ascii="Calibri" w:hAnsi="Calibri" w:cs="Times New Roman"/>
                <w:sz w:val="18"/>
                <w:szCs w:val="24"/>
              </w:rPr>
              <w:t>90</w:t>
            </w:r>
            <w:r w:rsidRPr="00FD50F6">
              <w:rPr>
                <w:rFonts w:ascii="Calibri" w:hAnsi="Calibri" w:cs="Times New Roman" w:hint="eastAsia"/>
                <w:sz w:val="18"/>
                <w:szCs w:val="24"/>
              </w:rPr>
              <w:t>9</w:t>
            </w:r>
          </w:p>
        </w:tc>
        <w:tc>
          <w:tcPr>
            <w:tcW w:w="756" w:type="dxa"/>
            <w:vAlign w:val="center"/>
          </w:tcPr>
          <w:p w14:paraId="0EB88D1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w:t>
            </w:r>
            <w:r w:rsidRPr="00FD50F6">
              <w:rPr>
                <w:rFonts w:ascii="Calibri" w:hAnsi="Calibri" w:cs="Times New Roman"/>
                <w:sz w:val="18"/>
                <w:szCs w:val="24"/>
              </w:rPr>
              <w:t>91</w:t>
            </w:r>
            <w:r w:rsidRPr="00FD50F6">
              <w:rPr>
                <w:rFonts w:ascii="Calibri" w:hAnsi="Calibri" w:cs="Times New Roman" w:hint="eastAsia"/>
                <w:sz w:val="18"/>
                <w:szCs w:val="24"/>
              </w:rPr>
              <w:t>7</w:t>
            </w:r>
          </w:p>
        </w:tc>
        <w:tc>
          <w:tcPr>
            <w:tcW w:w="756" w:type="dxa"/>
            <w:vAlign w:val="center"/>
          </w:tcPr>
          <w:p w14:paraId="590881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3790</w:t>
            </w:r>
          </w:p>
        </w:tc>
        <w:tc>
          <w:tcPr>
            <w:tcW w:w="756" w:type="dxa"/>
            <w:vAlign w:val="center"/>
          </w:tcPr>
          <w:p w14:paraId="3651219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3672</w:t>
            </w:r>
          </w:p>
        </w:tc>
        <w:tc>
          <w:tcPr>
            <w:tcW w:w="756" w:type="dxa"/>
            <w:vAlign w:val="center"/>
          </w:tcPr>
          <w:p w14:paraId="6182BA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3572</w:t>
            </w:r>
          </w:p>
        </w:tc>
        <w:tc>
          <w:tcPr>
            <w:tcW w:w="756" w:type="dxa"/>
            <w:vAlign w:val="center"/>
          </w:tcPr>
          <w:p w14:paraId="6F3AC5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3439</w:t>
            </w:r>
          </w:p>
        </w:tc>
        <w:tc>
          <w:tcPr>
            <w:tcW w:w="756" w:type="dxa"/>
            <w:vAlign w:val="center"/>
          </w:tcPr>
          <w:p w14:paraId="3CC9E8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3347</w:t>
            </w:r>
          </w:p>
        </w:tc>
        <w:tc>
          <w:tcPr>
            <w:tcW w:w="756" w:type="dxa"/>
            <w:vAlign w:val="center"/>
          </w:tcPr>
          <w:p w14:paraId="28DA17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3109</w:t>
            </w:r>
          </w:p>
        </w:tc>
        <w:tc>
          <w:tcPr>
            <w:tcW w:w="756" w:type="dxa"/>
            <w:vAlign w:val="center"/>
          </w:tcPr>
          <w:p w14:paraId="51B1F2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3094</w:t>
            </w:r>
          </w:p>
        </w:tc>
        <w:tc>
          <w:tcPr>
            <w:tcW w:w="756" w:type="dxa"/>
            <w:vAlign w:val="center"/>
          </w:tcPr>
          <w:p w14:paraId="329F07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2501</w:t>
            </w:r>
          </w:p>
        </w:tc>
      </w:tr>
      <w:tr w:rsidR="00FD50F6" w:rsidRPr="00FD50F6" w14:paraId="1FAE9097" w14:textId="77777777" w:rsidTr="002B733E">
        <w:trPr>
          <w:trHeight w:val="397"/>
        </w:trPr>
        <w:tc>
          <w:tcPr>
            <w:tcW w:w="701" w:type="dxa"/>
            <w:vAlign w:val="center"/>
          </w:tcPr>
          <w:p w14:paraId="08D34BC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2D0F31F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56" w:type="dxa"/>
            <w:vAlign w:val="center"/>
          </w:tcPr>
          <w:p w14:paraId="3AFBAED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56" w:type="dxa"/>
            <w:vAlign w:val="center"/>
          </w:tcPr>
          <w:p w14:paraId="646E27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56" w:type="dxa"/>
            <w:vAlign w:val="center"/>
          </w:tcPr>
          <w:p w14:paraId="70E472E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c>
          <w:tcPr>
            <w:tcW w:w="756" w:type="dxa"/>
            <w:vAlign w:val="center"/>
          </w:tcPr>
          <w:p w14:paraId="0717F72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56" w:type="dxa"/>
            <w:vAlign w:val="center"/>
          </w:tcPr>
          <w:p w14:paraId="3D71961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56" w:type="dxa"/>
            <w:vAlign w:val="center"/>
          </w:tcPr>
          <w:p w14:paraId="4996F08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56" w:type="dxa"/>
            <w:vAlign w:val="center"/>
          </w:tcPr>
          <w:p w14:paraId="3E96498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56" w:type="dxa"/>
            <w:vAlign w:val="center"/>
          </w:tcPr>
          <w:p w14:paraId="268F9B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56" w:type="dxa"/>
            <w:vAlign w:val="center"/>
          </w:tcPr>
          <w:p w14:paraId="6E57218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r w:rsidRPr="00FD50F6">
              <w:rPr>
                <w:rFonts w:ascii="Calibri" w:hAnsi="Calibri" w:cs="Times New Roman" w:hint="eastAsia"/>
                <w:b/>
                <w:sz w:val="18"/>
                <w:szCs w:val="24"/>
              </w:rPr>
              <w:t>’</w:t>
            </w:r>
          </w:p>
        </w:tc>
      </w:tr>
      <w:tr w:rsidR="00FD50F6" w:rsidRPr="00FD50F6" w14:paraId="419EADD4" w14:textId="77777777" w:rsidTr="002B733E">
        <w:trPr>
          <w:trHeight w:val="397"/>
        </w:trPr>
        <w:tc>
          <w:tcPr>
            <w:tcW w:w="701" w:type="dxa"/>
            <w:vAlign w:val="center"/>
          </w:tcPr>
          <w:p w14:paraId="06EDA2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6575A6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1540</w:t>
            </w:r>
          </w:p>
        </w:tc>
        <w:tc>
          <w:tcPr>
            <w:tcW w:w="756" w:type="dxa"/>
            <w:vAlign w:val="center"/>
          </w:tcPr>
          <w:p w14:paraId="6D74BFA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1480</w:t>
            </w:r>
          </w:p>
        </w:tc>
        <w:tc>
          <w:tcPr>
            <w:tcW w:w="756" w:type="dxa"/>
            <w:vAlign w:val="center"/>
          </w:tcPr>
          <w:p w14:paraId="32EA13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1475</w:t>
            </w:r>
          </w:p>
        </w:tc>
        <w:tc>
          <w:tcPr>
            <w:tcW w:w="756" w:type="dxa"/>
            <w:vAlign w:val="center"/>
          </w:tcPr>
          <w:p w14:paraId="58FE1C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1366</w:t>
            </w:r>
          </w:p>
        </w:tc>
        <w:tc>
          <w:tcPr>
            <w:tcW w:w="756" w:type="dxa"/>
            <w:vAlign w:val="center"/>
          </w:tcPr>
          <w:p w14:paraId="27A232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1342</w:t>
            </w:r>
          </w:p>
        </w:tc>
        <w:tc>
          <w:tcPr>
            <w:tcW w:w="756" w:type="dxa"/>
            <w:vAlign w:val="center"/>
          </w:tcPr>
          <w:p w14:paraId="1471203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1504</w:t>
            </w:r>
          </w:p>
        </w:tc>
        <w:tc>
          <w:tcPr>
            <w:tcW w:w="756" w:type="dxa"/>
            <w:vAlign w:val="center"/>
          </w:tcPr>
          <w:p w14:paraId="52EDF98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1430</w:t>
            </w:r>
          </w:p>
        </w:tc>
        <w:tc>
          <w:tcPr>
            <w:tcW w:w="756" w:type="dxa"/>
            <w:vAlign w:val="center"/>
          </w:tcPr>
          <w:p w14:paraId="0E8AB3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1118</w:t>
            </w:r>
          </w:p>
        </w:tc>
        <w:tc>
          <w:tcPr>
            <w:tcW w:w="756" w:type="dxa"/>
            <w:vAlign w:val="center"/>
          </w:tcPr>
          <w:p w14:paraId="7A16AC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1115</w:t>
            </w:r>
          </w:p>
        </w:tc>
        <w:tc>
          <w:tcPr>
            <w:tcW w:w="756" w:type="dxa"/>
            <w:vAlign w:val="center"/>
          </w:tcPr>
          <w:p w14:paraId="52F2A4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852</w:t>
            </w:r>
          </w:p>
        </w:tc>
      </w:tr>
      <w:tr w:rsidR="00FD50F6" w:rsidRPr="00FD50F6" w14:paraId="6AFCFC25" w14:textId="77777777" w:rsidTr="002B733E">
        <w:trPr>
          <w:trHeight w:val="397"/>
        </w:trPr>
        <w:tc>
          <w:tcPr>
            <w:tcW w:w="701" w:type="dxa"/>
            <w:vAlign w:val="center"/>
          </w:tcPr>
          <w:p w14:paraId="7F7F6F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56DB4D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1740</w:t>
            </w:r>
          </w:p>
        </w:tc>
        <w:tc>
          <w:tcPr>
            <w:tcW w:w="756" w:type="dxa"/>
            <w:vAlign w:val="center"/>
          </w:tcPr>
          <w:p w14:paraId="3629C5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980</w:t>
            </w:r>
          </w:p>
        </w:tc>
        <w:tc>
          <w:tcPr>
            <w:tcW w:w="756" w:type="dxa"/>
            <w:vAlign w:val="center"/>
          </w:tcPr>
          <w:p w14:paraId="7B89836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6583EFF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119900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216</w:t>
            </w:r>
          </w:p>
        </w:tc>
        <w:tc>
          <w:tcPr>
            <w:tcW w:w="756" w:type="dxa"/>
            <w:vAlign w:val="center"/>
          </w:tcPr>
          <w:p w14:paraId="35C012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w:t>
            </w:r>
          </w:p>
        </w:tc>
        <w:tc>
          <w:tcPr>
            <w:tcW w:w="756" w:type="dxa"/>
            <w:vAlign w:val="center"/>
          </w:tcPr>
          <w:p w14:paraId="248396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p>
        </w:tc>
        <w:tc>
          <w:tcPr>
            <w:tcW w:w="756" w:type="dxa"/>
            <w:vAlign w:val="center"/>
          </w:tcPr>
          <w:p w14:paraId="671EC2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p>
        </w:tc>
        <w:tc>
          <w:tcPr>
            <w:tcW w:w="756" w:type="dxa"/>
            <w:vAlign w:val="center"/>
          </w:tcPr>
          <w:p w14:paraId="22228C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57</w:t>
            </w:r>
          </w:p>
        </w:tc>
        <w:tc>
          <w:tcPr>
            <w:tcW w:w="756" w:type="dxa"/>
            <w:vAlign w:val="center"/>
          </w:tcPr>
          <w:p w14:paraId="226A81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57</w:t>
            </w:r>
          </w:p>
        </w:tc>
      </w:tr>
      <w:tr w:rsidR="00FD50F6" w:rsidRPr="00FD50F6" w14:paraId="6EC113C6" w14:textId="77777777" w:rsidTr="002B733E">
        <w:trPr>
          <w:trHeight w:val="397"/>
        </w:trPr>
        <w:tc>
          <w:tcPr>
            <w:tcW w:w="701" w:type="dxa"/>
            <w:vAlign w:val="center"/>
          </w:tcPr>
          <w:p w14:paraId="066209C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7A1E1EA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r w:rsidRPr="00FD50F6">
              <w:rPr>
                <w:rFonts w:ascii="Calibri" w:hAnsi="Calibri" w:cs="Times New Roman" w:hint="eastAsia"/>
                <w:b/>
                <w:sz w:val="18"/>
                <w:szCs w:val="24"/>
              </w:rPr>
              <w:t>’</w:t>
            </w:r>
          </w:p>
        </w:tc>
        <w:tc>
          <w:tcPr>
            <w:tcW w:w="756" w:type="dxa"/>
            <w:vAlign w:val="center"/>
          </w:tcPr>
          <w:p w14:paraId="708C286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r w:rsidRPr="00FD50F6">
              <w:rPr>
                <w:rFonts w:ascii="Calibri" w:hAnsi="Calibri" w:cs="Times New Roman" w:hint="eastAsia"/>
                <w:b/>
                <w:sz w:val="18"/>
                <w:szCs w:val="24"/>
              </w:rPr>
              <w:t>’</w:t>
            </w:r>
          </w:p>
        </w:tc>
        <w:tc>
          <w:tcPr>
            <w:tcW w:w="756" w:type="dxa"/>
            <w:vAlign w:val="center"/>
          </w:tcPr>
          <w:p w14:paraId="4BF678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r w:rsidRPr="00FD50F6">
              <w:rPr>
                <w:rFonts w:ascii="Calibri" w:hAnsi="Calibri" w:cs="Times New Roman" w:hint="eastAsia"/>
                <w:b/>
                <w:sz w:val="18"/>
                <w:szCs w:val="24"/>
              </w:rPr>
              <w:t>’</w:t>
            </w:r>
          </w:p>
        </w:tc>
        <w:tc>
          <w:tcPr>
            <w:tcW w:w="756" w:type="dxa"/>
            <w:vAlign w:val="center"/>
          </w:tcPr>
          <w:p w14:paraId="496FBC5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r w:rsidRPr="00FD50F6">
              <w:rPr>
                <w:rFonts w:ascii="Calibri" w:hAnsi="Calibri" w:cs="Times New Roman" w:hint="eastAsia"/>
                <w:b/>
                <w:sz w:val="18"/>
                <w:szCs w:val="24"/>
              </w:rPr>
              <w:t>’</w:t>
            </w:r>
          </w:p>
        </w:tc>
        <w:tc>
          <w:tcPr>
            <w:tcW w:w="756" w:type="dxa"/>
            <w:vAlign w:val="center"/>
          </w:tcPr>
          <w:p w14:paraId="5E9A0D7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r w:rsidRPr="00FD50F6">
              <w:rPr>
                <w:rFonts w:ascii="Calibri" w:hAnsi="Calibri" w:cs="Times New Roman" w:hint="eastAsia"/>
                <w:b/>
                <w:sz w:val="18"/>
                <w:szCs w:val="24"/>
              </w:rPr>
              <w:t>’</w:t>
            </w:r>
          </w:p>
        </w:tc>
        <w:tc>
          <w:tcPr>
            <w:tcW w:w="756" w:type="dxa"/>
            <w:vAlign w:val="center"/>
          </w:tcPr>
          <w:p w14:paraId="57031AE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r w:rsidRPr="00FD50F6">
              <w:rPr>
                <w:rFonts w:ascii="Calibri" w:hAnsi="Calibri" w:cs="Times New Roman" w:hint="eastAsia"/>
                <w:b/>
                <w:sz w:val="18"/>
                <w:szCs w:val="24"/>
              </w:rPr>
              <w:t>’</w:t>
            </w:r>
          </w:p>
        </w:tc>
        <w:tc>
          <w:tcPr>
            <w:tcW w:w="756" w:type="dxa"/>
            <w:vAlign w:val="center"/>
          </w:tcPr>
          <w:p w14:paraId="2D2B91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B7681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C57A3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918FD7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6AEA7518" w14:textId="77777777" w:rsidTr="002B733E">
        <w:trPr>
          <w:trHeight w:val="397"/>
        </w:trPr>
        <w:tc>
          <w:tcPr>
            <w:tcW w:w="701" w:type="dxa"/>
            <w:vAlign w:val="center"/>
          </w:tcPr>
          <w:p w14:paraId="002086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7ADC269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852</w:t>
            </w:r>
          </w:p>
        </w:tc>
        <w:tc>
          <w:tcPr>
            <w:tcW w:w="756" w:type="dxa"/>
            <w:vAlign w:val="center"/>
          </w:tcPr>
          <w:p w14:paraId="6AC062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718</w:t>
            </w:r>
          </w:p>
        </w:tc>
        <w:tc>
          <w:tcPr>
            <w:tcW w:w="756" w:type="dxa"/>
            <w:vAlign w:val="center"/>
          </w:tcPr>
          <w:p w14:paraId="719321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718</w:t>
            </w:r>
          </w:p>
        </w:tc>
        <w:tc>
          <w:tcPr>
            <w:tcW w:w="756" w:type="dxa"/>
            <w:vAlign w:val="center"/>
          </w:tcPr>
          <w:p w14:paraId="3487AB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647</w:t>
            </w:r>
          </w:p>
        </w:tc>
        <w:tc>
          <w:tcPr>
            <w:tcW w:w="756" w:type="dxa"/>
            <w:vAlign w:val="center"/>
          </w:tcPr>
          <w:p w14:paraId="53CE03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647</w:t>
            </w:r>
          </w:p>
        </w:tc>
        <w:tc>
          <w:tcPr>
            <w:tcW w:w="756" w:type="dxa"/>
            <w:vAlign w:val="center"/>
          </w:tcPr>
          <w:p w14:paraId="216A968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111CB6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59B75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80077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4F736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084B455C" w14:textId="77777777" w:rsidTr="002B733E">
        <w:trPr>
          <w:trHeight w:val="397"/>
        </w:trPr>
        <w:tc>
          <w:tcPr>
            <w:tcW w:w="701" w:type="dxa"/>
            <w:vAlign w:val="center"/>
          </w:tcPr>
          <w:p w14:paraId="3F9B0D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3A52BA8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12CA67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79FF8A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56" w:type="dxa"/>
            <w:vAlign w:val="center"/>
          </w:tcPr>
          <w:p w14:paraId="5B72904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56" w:type="dxa"/>
            <w:vAlign w:val="center"/>
          </w:tcPr>
          <w:p w14:paraId="551593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w:t>
            </w:r>
          </w:p>
        </w:tc>
        <w:tc>
          <w:tcPr>
            <w:tcW w:w="756" w:type="dxa"/>
            <w:vAlign w:val="center"/>
          </w:tcPr>
          <w:p w14:paraId="37C7F5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w:t>
            </w:r>
          </w:p>
        </w:tc>
        <w:tc>
          <w:tcPr>
            <w:tcW w:w="756" w:type="dxa"/>
            <w:vAlign w:val="center"/>
          </w:tcPr>
          <w:p w14:paraId="0D309FE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D73B2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A9087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5AF7C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4E4742FF" w14:textId="77777777" w:rsidTr="002B733E">
        <w:trPr>
          <w:trHeight w:val="397"/>
        </w:trPr>
        <w:tc>
          <w:tcPr>
            <w:tcW w:w="701" w:type="dxa"/>
            <w:vAlign w:val="center"/>
          </w:tcPr>
          <w:p w14:paraId="4AB09D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bottom"/>
          </w:tcPr>
          <w:p w14:paraId="748807F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a</w:t>
            </w:r>
            <w:r w:rsidRPr="00FD50F6">
              <w:rPr>
                <w:rFonts w:ascii="Calibri" w:hAnsi="Calibri" w:cs="Times New Roman" w:hint="eastAsia"/>
                <w:b/>
                <w:sz w:val="18"/>
                <w:szCs w:val="24"/>
              </w:rPr>
              <w:t>’</w:t>
            </w:r>
          </w:p>
        </w:tc>
        <w:tc>
          <w:tcPr>
            <w:tcW w:w="756" w:type="dxa"/>
            <w:vAlign w:val="bottom"/>
          </w:tcPr>
          <w:p w14:paraId="21A6BC4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b</w:t>
            </w:r>
            <w:r w:rsidRPr="00FD50F6">
              <w:rPr>
                <w:rFonts w:ascii="Calibri" w:hAnsi="Calibri" w:cs="Times New Roman" w:hint="eastAsia"/>
                <w:b/>
                <w:sz w:val="18"/>
                <w:szCs w:val="24"/>
              </w:rPr>
              <w:t>’</w:t>
            </w:r>
          </w:p>
        </w:tc>
        <w:tc>
          <w:tcPr>
            <w:tcW w:w="756" w:type="dxa"/>
            <w:vAlign w:val="bottom"/>
          </w:tcPr>
          <w:p w14:paraId="14914A4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c</w:t>
            </w:r>
            <w:r w:rsidRPr="00FD50F6">
              <w:rPr>
                <w:rFonts w:ascii="Calibri" w:hAnsi="Calibri" w:cs="Times New Roman" w:hint="eastAsia"/>
                <w:b/>
                <w:sz w:val="18"/>
                <w:szCs w:val="24"/>
              </w:rPr>
              <w:t>’</w:t>
            </w:r>
          </w:p>
        </w:tc>
        <w:tc>
          <w:tcPr>
            <w:tcW w:w="756" w:type="dxa"/>
            <w:vAlign w:val="center"/>
          </w:tcPr>
          <w:p w14:paraId="24DA79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d</w:t>
            </w:r>
            <w:r w:rsidRPr="00FD50F6">
              <w:rPr>
                <w:rFonts w:ascii="Calibri" w:hAnsi="Calibri" w:cs="Times New Roman" w:hint="eastAsia"/>
                <w:b/>
                <w:sz w:val="18"/>
                <w:szCs w:val="24"/>
              </w:rPr>
              <w:t>’</w:t>
            </w:r>
          </w:p>
        </w:tc>
        <w:tc>
          <w:tcPr>
            <w:tcW w:w="756" w:type="dxa"/>
            <w:vAlign w:val="center"/>
          </w:tcPr>
          <w:p w14:paraId="6C6F48F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e</w:t>
            </w:r>
            <w:r w:rsidRPr="00FD50F6">
              <w:rPr>
                <w:rFonts w:ascii="Calibri" w:hAnsi="Calibri" w:cs="Times New Roman" w:hint="eastAsia"/>
                <w:b/>
                <w:sz w:val="18"/>
                <w:szCs w:val="24"/>
              </w:rPr>
              <w:t>’</w:t>
            </w:r>
          </w:p>
        </w:tc>
        <w:tc>
          <w:tcPr>
            <w:tcW w:w="756" w:type="dxa"/>
            <w:vAlign w:val="bottom"/>
          </w:tcPr>
          <w:p w14:paraId="044E231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f</w:t>
            </w:r>
            <w:r w:rsidRPr="00FD50F6">
              <w:rPr>
                <w:rFonts w:ascii="Calibri" w:hAnsi="Calibri" w:cs="Times New Roman" w:hint="eastAsia"/>
                <w:b/>
                <w:sz w:val="18"/>
                <w:szCs w:val="24"/>
              </w:rPr>
              <w:t>’</w:t>
            </w:r>
          </w:p>
        </w:tc>
        <w:tc>
          <w:tcPr>
            <w:tcW w:w="756" w:type="dxa"/>
            <w:vAlign w:val="bottom"/>
          </w:tcPr>
          <w:p w14:paraId="44A3EAA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g</w:t>
            </w:r>
            <w:r w:rsidRPr="00FD50F6">
              <w:rPr>
                <w:rFonts w:ascii="Calibri" w:hAnsi="Calibri" w:cs="Times New Roman" w:hint="eastAsia"/>
                <w:b/>
                <w:sz w:val="18"/>
                <w:szCs w:val="24"/>
              </w:rPr>
              <w:t>’</w:t>
            </w:r>
          </w:p>
        </w:tc>
        <w:tc>
          <w:tcPr>
            <w:tcW w:w="756" w:type="dxa"/>
            <w:vAlign w:val="center"/>
          </w:tcPr>
          <w:p w14:paraId="5F6E4B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254152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60664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046C3995" w14:textId="77777777" w:rsidTr="002B733E">
        <w:trPr>
          <w:trHeight w:val="397"/>
        </w:trPr>
        <w:tc>
          <w:tcPr>
            <w:tcW w:w="701" w:type="dxa"/>
            <w:vAlign w:val="center"/>
          </w:tcPr>
          <w:p w14:paraId="1EE220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bottom"/>
          </w:tcPr>
          <w:p w14:paraId="6408B5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756" w:type="dxa"/>
            <w:vAlign w:val="bottom"/>
          </w:tcPr>
          <w:p w14:paraId="3D34DE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1423</w:t>
            </w:r>
          </w:p>
        </w:tc>
        <w:tc>
          <w:tcPr>
            <w:tcW w:w="756" w:type="dxa"/>
            <w:vAlign w:val="bottom"/>
          </w:tcPr>
          <w:p w14:paraId="30452BC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1458</w:t>
            </w:r>
          </w:p>
        </w:tc>
        <w:tc>
          <w:tcPr>
            <w:tcW w:w="756" w:type="dxa"/>
            <w:vAlign w:val="bottom"/>
          </w:tcPr>
          <w:p w14:paraId="68AE20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1495</w:t>
            </w:r>
          </w:p>
        </w:tc>
        <w:tc>
          <w:tcPr>
            <w:tcW w:w="756" w:type="dxa"/>
            <w:vAlign w:val="bottom"/>
          </w:tcPr>
          <w:p w14:paraId="7B1459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1509</w:t>
            </w:r>
          </w:p>
        </w:tc>
        <w:tc>
          <w:tcPr>
            <w:tcW w:w="756" w:type="dxa"/>
            <w:vAlign w:val="bottom"/>
          </w:tcPr>
          <w:p w14:paraId="56B49B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-1341</w:t>
            </w:r>
          </w:p>
        </w:tc>
        <w:tc>
          <w:tcPr>
            <w:tcW w:w="756" w:type="dxa"/>
            <w:vAlign w:val="bottom"/>
          </w:tcPr>
          <w:p w14:paraId="69C6F3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-1508</w:t>
            </w:r>
          </w:p>
        </w:tc>
        <w:tc>
          <w:tcPr>
            <w:tcW w:w="756" w:type="dxa"/>
            <w:vAlign w:val="center"/>
          </w:tcPr>
          <w:p w14:paraId="1081198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3BC82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1E6F5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41734666" w14:textId="77777777" w:rsidTr="002B733E">
        <w:trPr>
          <w:trHeight w:val="397"/>
        </w:trPr>
        <w:tc>
          <w:tcPr>
            <w:tcW w:w="701" w:type="dxa"/>
            <w:vAlign w:val="center"/>
          </w:tcPr>
          <w:p w14:paraId="46E9B8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bottom"/>
          </w:tcPr>
          <w:p w14:paraId="0F45FF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216</w:t>
            </w:r>
          </w:p>
        </w:tc>
        <w:tc>
          <w:tcPr>
            <w:tcW w:w="756" w:type="dxa"/>
            <w:vAlign w:val="bottom"/>
          </w:tcPr>
          <w:p w14:paraId="0B75D6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250</w:t>
            </w:r>
          </w:p>
        </w:tc>
        <w:tc>
          <w:tcPr>
            <w:tcW w:w="756" w:type="dxa"/>
            <w:vAlign w:val="bottom"/>
          </w:tcPr>
          <w:p w14:paraId="42A8E6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w:t>
            </w:r>
          </w:p>
        </w:tc>
        <w:tc>
          <w:tcPr>
            <w:tcW w:w="756" w:type="dxa"/>
            <w:vAlign w:val="bottom"/>
          </w:tcPr>
          <w:p w14:paraId="649654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w:t>
            </w:r>
          </w:p>
        </w:tc>
        <w:tc>
          <w:tcPr>
            <w:tcW w:w="756" w:type="dxa"/>
            <w:vAlign w:val="bottom"/>
          </w:tcPr>
          <w:p w14:paraId="763D73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226</w:t>
            </w:r>
          </w:p>
        </w:tc>
        <w:tc>
          <w:tcPr>
            <w:tcW w:w="756" w:type="dxa"/>
            <w:vAlign w:val="bottom"/>
          </w:tcPr>
          <w:p w14:paraId="2E7999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bottom"/>
          </w:tcPr>
          <w:p w14:paraId="0A1446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46ED68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CC4BB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25492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7E609CCE" w14:textId="77777777" w:rsidR="002B733E" w:rsidRPr="00FD50F6" w:rsidRDefault="002B733E" w:rsidP="002B733E">
      <w:pPr>
        <w:spacing w:line="400" w:lineRule="exact"/>
        <w:jc w:val="right"/>
        <w:rPr>
          <w:rFonts w:ascii="Calibri" w:hAnsi="Calibri" w:cs="Times New Roman"/>
          <w:sz w:val="21"/>
          <w:szCs w:val="24"/>
        </w:rPr>
      </w:pPr>
    </w:p>
    <w:p w14:paraId="5B6C7E4D"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D.0.1-3</w:t>
      </w:r>
      <w:r w:rsidRPr="00FD50F6">
        <w:rPr>
          <w:rFonts w:ascii="黑体" w:eastAsia="黑体" w:hAnsi="黑体" w:cs="Times New Roman" w:hint="eastAsia"/>
          <w:sz w:val="21"/>
          <w:szCs w:val="24"/>
        </w:rPr>
        <w:t xml:space="preserve">  隧道内区间直线地段设备限界坐标值（mm）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20F9179E" w14:textId="77777777" w:rsidTr="002B733E">
        <w:trPr>
          <w:trHeight w:val="397"/>
        </w:trPr>
        <w:tc>
          <w:tcPr>
            <w:tcW w:w="701" w:type="dxa"/>
            <w:vAlign w:val="center"/>
          </w:tcPr>
          <w:p w14:paraId="6C36265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746AA82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r w:rsidRPr="00FD50F6">
              <w:rPr>
                <w:rFonts w:ascii="Calibri" w:hAnsi="Calibri" w:cs="Times New Roman" w:hint="eastAsia"/>
                <w:b/>
                <w:sz w:val="18"/>
                <w:szCs w:val="24"/>
              </w:rPr>
              <w:t>”</w:t>
            </w:r>
          </w:p>
        </w:tc>
        <w:tc>
          <w:tcPr>
            <w:tcW w:w="756" w:type="dxa"/>
            <w:vAlign w:val="center"/>
          </w:tcPr>
          <w:p w14:paraId="3AC2EA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56" w:type="dxa"/>
            <w:vAlign w:val="center"/>
          </w:tcPr>
          <w:p w14:paraId="62A0236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56" w:type="dxa"/>
            <w:vAlign w:val="center"/>
          </w:tcPr>
          <w:p w14:paraId="347B4E6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56" w:type="dxa"/>
            <w:vAlign w:val="center"/>
          </w:tcPr>
          <w:p w14:paraId="797BCE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56" w:type="dxa"/>
            <w:vAlign w:val="center"/>
          </w:tcPr>
          <w:p w14:paraId="1DB7E6A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56" w:type="dxa"/>
            <w:vAlign w:val="center"/>
          </w:tcPr>
          <w:p w14:paraId="3318906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56" w:type="dxa"/>
            <w:vAlign w:val="center"/>
          </w:tcPr>
          <w:p w14:paraId="5067887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r w:rsidRPr="00FD50F6">
              <w:rPr>
                <w:rFonts w:ascii="Calibri" w:hAnsi="Calibri" w:cs="Times New Roman" w:hint="eastAsia"/>
                <w:b/>
                <w:sz w:val="18"/>
                <w:szCs w:val="24"/>
              </w:rPr>
              <w:t>”</w:t>
            </w:r>
          </w:p>
        </w:tc>
        <w:tc>
          <w:tcPr>
            <w:tcW w:w="756" w:type="dxa"/>
            <w:vAlign w:val="center"/>
          </w:tcPr>
          <w:p w14:paraId="2EEA418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r w:rsidRPr="00FD50F6">
              <w:rPr>
                <w:rFonts w:ascii="Calibri" w:hAnsi="Calibri" w:cs="Times New Roman" w:hint="eastAsia"/>
                <w:b/>
                <w:sz w:val="18"/>
                <w:szCs w:val="24"/>
              </w:rPr>
              <w:t>”</w:t>
            </w:r>
          </w:p>
        </w:tc>
        <w:tc>
          <w:tcPr>
            <w:tcW w:w="756" w:type="dxa"/>
            <w:vAlign w:val="center"/>
          </w:tcPr>
          <w:p w14:paraId="6BE08FC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r w:rsidRPr="00FD50F6">
              <w:rPr>
                <w:rFonts w:ascii="Calibri" w:hAnsi="Calibri" w:cs="Times New Roman" w:hint="eastAsia"/>
                <w:b/>
                <w:sz w:val="18"/>
                <w:szCs w:val="24"/>
              </w:rPr>
              <w:t>”</w:t>
            </w:r>
          </w:p>
        </w:tc>
      </w:tr>
      <w:tr w:rsidR="00FD50F6" w:rsidRPr="00FD50F6" w14:paraId="416E6356" w14:textId="77777777" w:rsidTr="002B733E">
        <w:trPr>
          <w:trHeight w:val="397"/>
        </w:trPr>
        <w:tc>
          <w:tcPr>
            <w:tcW w:w="701" w:type="dxa"/>
            <w:vAlign w:val="center"/>
          </w:tcPr>
          <w:p w14:paraId="0F0BDD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552F98A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1DFF17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1038</w:t>
            </w:r>
          </w:p>
        </w:tc>
        <w:tc>
          <w:tcPr>
            <w:tcW w:w="756" w:type="dxa"/>
            <w:vAlign w:val="center"/>
          </w:tcPr>
          <w:p w14:paraId="5E2A010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1132</w:t>
            </w:r>
          </w:p>
        </w:tc>
        <w:tc>
          <w:tcPr>
            <w:tcW w:w="756" w:type="dxa"/>
            <w:vAlign w:val="center"/>
          </w:tcPr>
          <w:p w14:paraId="0C75586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1325</w:t>
            </w:r>
          </w:p>
        </w:tc>
        <w:tc>
          <w:tcPr>
            <w:tcW w:w="756" w:type="dxa"/>
            <w:vAlign w:val="center"/>
          </w:tcPr>
          <w:p w14:paraId="0CCD6D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1440</w:t>
            </w:r>
          </w:p>
        </w:tc>
        <w:tc>
          <w:tcPr>
            <w:tcW w:w="756" w:type="dxa"/>
            <w:vAlign w:val="center"/>
          </w:tcPr>
          <w:p w14:paraId="3FFBA5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1539</w:t>
            </w:r>
          </w:p>
        </w:tc>
        <w:tc>
          <w:tcPr>
            <w:tcW w:w="756" w:type="dxa"/>
            <w:vAlign w:val="center"/>
          </w:tcPr>
          <w:p w14:paraId="3410A0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1583</w:t>
            </w:r>
          </w:p>
        </w:tc>
        <w:tc>
          <w:tcPr>
            <w:tcW w:w="756" w:type="dxa"/>
            <w:vAlign w:val="center"/>
          </w:tcPr>
          <w:p w14:paraId="7CEF7A8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1588</w:t>
            </w:r>
          </w:p>
        </w:tc>
        <w:tc>
          <w:tcPr>
            <w:tcW w:w="756" w:type="dxa"/>
            <w:vAlign w:val="center"/>
          </w:tcPr>
          <w:p w14:paraId="0A3CB4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1642</w:t>
            </w:r>
          </w:p>
        </w:tc>
        <w:tc>
          <w:tcPr>
            <w:tcW w:w="756" w:type="dxa"/>
            <w:vAlign w:val="center"/>
          </w:tcPr>
          <w:p w14:paraId="55D758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1647</w:t>
            </w:r>
          </w:p>
        </w:tc>
      </w:tr>
      <w:tr w:rsidR="00FD50F6" w:rsidRPr="00FD50F6" w14:paraId="19B07037" w14:textId="77777777" w:rsidTr="002B733E">
        <w:trPr>
          <w:trHeight w:val="397"/>
        </w:trPr>
        <w:tc>
          <w:tcPr>
            <w:tcW w:w="701" w:type="dxa"/>
            <w:vAlign w:val="center"/>
          </w:tcPr>
          <w:p w14:paraId="42E5A2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7EA5390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w:t>
            </w:r>
            <w:r w:rsidRPr="00FD50F6">
              <w:rPr>
                <w:rFonts w:ascii="Calibri" w:hAnsi="Calibri" w:cs="Times New Roman"/>
                <w:sz w:val="18"/>
                <w:szCs w:val="24"/>
              </w:rPr>
              <w:t>6</w:t>
            </w:r>
            <w:r w:rsidRPr="00FD50F6">
              <w:rPr>
                <w:rFonts w:ascii="Calibri" w:hAnsi="Calibri" w:cs="Times New Roman" w:hint="eastAsia"/>
                <w:sz w:val="18"/>
                <w:szCs w:val="24"/>
              </w:rPr>
              <w:t>9</w:t>
            </w:r>
          </w:p>
        </w:tc>
        <w:tc>
          <w:tcPr>
            <w:tcW w:w="756" w:type="dxa"/>
            <w:vAlign w:val="center"/>
          </w:tcPr>
          <w:p w14:paraId="238A4F8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w:t>
            </w:r>
            <w:r w:rsidRPr="00FD50F6">
              <w:rPr>
                <w:rFonts w:ascii="Calibri" w:hAnsi="Calibri" w:cs="Times New Roman"/>
                <w:sz w:val="18"/>
                <w:szCs w:val="24"/>
              </w:rPr>
              <w:t>7</w:t>
            </w:r>
            <w:r w:rsidRPr="00FD50F6">
              <w:rPr>
                <w:rFonts w:ascii="Calibri" w:hAnsi="Calibri" w:cs="Times New Roman" w:hint="eastAsia"/>
                <w:sz w:val="18"/>
                <w:szCs w:val="24"/>
              </w:rPr>
              <w:t>8</w:t>
            </w:r>
          </w:p>
        </w:tc>
        <w:tc>
          <w:tcPr>
            <w:tcW w:w="756" w:type="dxa"/>
            <w:vAlign w:val="center"/>
          </w:tcPr>
          <w:p w14:paraId="0C19197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3883</w:t>
            </w:r>
          </w:p>
        </w:tc>
        <w:tc>
          <w:tcPr>
            <w:tcW w:w="756" w:type="dxa"/>
            <w:vAlign w:val="center"/>
          </w:tcPr>
          <w:p w14:paraId="39F227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3753</w:t>
            </w:r>
          </w:p>
        </w:tc>
        <w:tc>
          <w:tcPr>
            <w:tcW w:w="756" w:type="dxa"/>
            <w:vAlign w:val="center"/>
          </w:tcPr>
          <w:p w14:paraId="19EF65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3635</w:t>
            </w:r>
          </w:p>
        </w:tc>
        <w:tc>
          <w:tcPr>
            <w:tcW w:w="756" w:type="dxa"/>
            <w:vAlign w:val="center"/>
          </w:tcPr>
          <w:p w14:paraId="10235A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3482</w:t>
            </w:r>
          </w:p>
        </w:tc>
        <w:tc>
          <w:tcPr>
            <w:tcW w:w="756" w:type="dxa"/>
            <w:vAlign w:val="center"/>
          </w:tcPr>
          <w:p w14:paraId="3765E9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3348</w:t>
            </w:r>
          </w:p>
        </w:tc>
        <w:tc>
          <w:tcPr>
            <w:tcW w:w="756" w:type="dxa"/>
            <w:vAlign w:val="center"/>
          </w:tcPr>
          <w:p w14:paraId="5BAF8B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3110</w:t>
            </w:r>
          </w:p>
        </w:tc>
        <w:tc>
          <w:tcPr>
            <w:tcW w:w="756" w:type="dxa"/>
            <w:vAlign w:val="center"/>
          </w:tcPr>
          <w:p w14:paraId="7875C5B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3095</w:t>
            </w:r>
          </w:p>
        </w:tc>
        <w:tc>
          <w:tcPr>
            <w:tcW w:w="756" w:type="dxa"/>
            <w:vAlign w:val="center"/>
          </w:tcPr>
          <w:p w14:paraId="592FCB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2502</w:t>
            </w:r>
          </w:p>
        </w:tc>
      </w:tr>
      <w:tr w:rsidR="00FD50F6" w:rsidRPr="00FD50F6" w14:paraId="0CD2E4D4" w14:textId="77777777" w:rsidTr="002B733E">
        <w:trPr>
          <w:trHeight w:val="397"/>
        </w:trPr>
        <w:tc>
          <w:tcPr>
            <w:tcW w:w="701" w:type="dxa"/>
            <w:vAlign w:val="center"/>
          </w:tcPr>
          <w:p w14:paraId="20CDAB4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0D30663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56" w:type="dxa"/>
            <w:vAlign w:val="center"/>
          </w:tcPr>
          <w:p w14:paraId="14CEE26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56" w:type="dxa"/>
            <w:vAlign w:val="center"/>
          </w:tcPr>
          <w:p w14:paraId="5FD0D57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56" w:type="dxa"/>
            <w:vAlign w:val="center"/>
          </w:tcPr>
          <w:p w14:paraId="6999678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c>
          <w:tcPr>
            <w:tcW w:w="756" w:type="dxa"/>
            <w:vAlign w:val="center"/>
          </w:tcPr>
          <w:p w14:paraId="3D26971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56" w:type="dxa"/>
            <w:vAlign w:val="center"/>
          </w:tcPr>
          <w:p w14:paraId="0C7E30E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r w:rsidRPr="00FD50F6">
              <w:rPr>
                <w:rFonts w:ascii="Calibri" w:hAnsi="Calibri" w:cs="Times New Roman" w:hint="eastAsia"/>
                <w:b/>
                <w:sz w:val="18"/>
                <w:szCs w:val="24"/>
              </w:rPr>
              <w:t>”</w:t>
            </w:r>
          </w:p>
        </w:tc>
        <w:tc>
          <w:tcPr>
            <w:tcW w:w="756" w:type="dxa"/>
            <w:vAlign w:val="center"/>
          </w:tcPr>
          <w:p w14:paraId="602703E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r w:rsidRPr="00FD50F6">
              <w:rPr>
                <w:rFonts w:ascii="Calibri" w:hAnsi="Calibri" w:cs="Times New Roman" w:hint="eastAsia"/>
                <w:b/>
                <w:sz w:val="18"/>
                <w:szCs w:val="24"/>
              </w:rPr>
              <w:t>”</w:t>
            </w:r>
          </w:p>
        </w:tc>
        <w:tc>
          <w:tcPr>
            <w:tcW w:w="756" w:type="dxa"/>
            <w:vAlign w:val="center"/>
          </w:tcPr>
          <w:p w14:paraId="53CE9E8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r w:rsidRPr="00FD50F6">
              <w:rPr>
                <w:rFonts w:ascii="Calibri" w:hAnsi="Calibri" w:cs="Times New Roman" w:hint="eastAsia"/>
                <w:b/>
                <w:sz w:val="18"/>
                <w:szCs w:val="24"/>
              </w:rPr>
              <w:t>”</w:t>
            </w:r>
          </w:p>
        </w:tc>
        <w:tc>
          <w:tcPr>
            <w:tcW w:w="756" w:type="dxa"/>
            <w:vAlign w:val="center"/>
          </w:tcPr>
          <w:p w14:paraId="38A4451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r w:rsidRPr="00FD50F6">
              <w:rPr>
                <w:rFonts w:ascii="Calibri" w:hAnsi="Calibri" w:cs="Times New Roman" w:hint="eastAsia"/>
                <w:b/>
                <w:sz w:val="18"/>
                <w:szCs w:val="24"/>
              </w:rPr>
              <w:t>”</w:t>
            </w:r>
          </w:p>
        </w:tc>
        <w:tc>
          <w:tcPr>
            <w:tcW w:w="756" w:type="dxa"/>
            <w:vAlign w:val="center"/>
          </w:tcPr>
          <w:p w14:paraId="10FB1EA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r w:rsidRPr="00FD50F6">
              <w:rPr>
                <w:rFonts w:ascii="Calibri" w:hAnsi="Calibri" w:cs="Times New Roman" w:hint="eastAsia"/>
                <w:b/>
                <w:sz w:val="18"/>
                <w:szCs w:val="24"/>
              </w:rPr>
              <w:t>”</w:t>
            </w:r>
          </w:p>
        </w:tc>
      </w:tr>
      <w:tr w:rsidR="00FD50F6" w:rsidRPr="00FD50F6" w14:paraId="3703A468" w14:textId="77777777" w:rsidTr="002B733E">
        <w:trPr>
          <w:trHeight w:val="397"/>
        </w:trPr>
        <w:tc>
          <w:tcPr>
            <w:tcW w:w="701" w:type="dxa"/>
            <w:vAlign w:val="center"/>
          </w:tcPr>
          <w:p w14:paraId="11A140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lastRenderedPageBreak/>
              <w:t>X</w:t>
            </w:r>
          </w:p>
        </w:tc>
        <w:tc>
          <w:tcPr>
            <w:tcW w:w="756" w:type="dxa"/>
            <w:vAlign w:val="center"/>
          </w:tcPr>
          <w:p w14:paraId="723184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1654</w:t>
            </w:r>
          </w:p>
        </w:tc>
        <w:tc>
          <w:tcPr>
            <w:tcW w:w="756" w:type="dxa"/>
            <w:vAlign w:val="center"/>
          </w:tcPr>
          <w:p w14:paraId="70AC096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1577</w:t>
            </w:r>
          </w:p>
        </w:tc>
        <w:tc>
          <w:tcPr>
            <w:tcW w:w="756" w:type="dxa"/>
            <w:vAlign w:val="center"/>
          </w:tcPr>
          <w:p w14:paraId="12F1B9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1577</w:t>
            </w:r>
          </w:p>
        </w:tc>
        <w:tc>
          <w:tcPr>
            <w:tcW w:w="756" w:type="dxa"/>
            <w:vAlign w:val="center"/>
          </w:tcPr>
          <w:p w14:paraId="5E6301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1700</w:t>
            </w:r>
          </w:p>
        </w:tc>
        <w:tc>
          <w:tcPr>
            <w:tcW w:w="756" w:type="dxa"/>
            <w:vAlign w:val="center"/>
          </w:tcPr>
          <w:p w14:paraId="173319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1700</w:t>
            </w:r>
          </w:p>
        </w:tc>
        <w:tc>
          <w:tcPr>
            <w:tcW w:w="756" w:type="dxa"/>
            <w:vAlign w:val="center"/>
          </w:tcPr>
          <w:p w14:paraId="1E69719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867</w:t>
            </w:r>
          </w:p>
        </w:tc>
        <w:tc>
          <w:tcPr>
            <w:tcW w:w="756" w:type="dxa"/>
            <w:vAlign w:val="center"/>
          </w:tcPr>
          <w:p w14:paraId="4E36E5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867</w:t>
            </w:r>
          </w:p>
        </w:tc>
        <w:tc>
          <w:tcPr>
            <w:tcW w:w="756" w:type="dxa"/>
            <w:vAlign w:val="center"/>
          </w:tcPr>
          <w:p w14:paraId="2B0881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006028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04010A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632</w:t>
            </w:r>
          </w:p>
        </w:tc>
      </w:tr>
      <w:tr w:rsidR="00FD50F6" w:rsidRPr="00FD50F6" w14:paraId="27E74A64" w14:textId="77777777" w:rsidTr="002B733E">
        <w:trPr>
          <w:trHeight w:val="397"/>
        </w:trPr>
        <w:tc>
          <w:tcPr>
            <w:tcW w:w="701" w:type="dxa"/>
            <w:vAlign w:val="center"/>
          </w:tcPr>
          <w:p w14:paraId="21C700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6A7AB7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1735</w:t>
            </w:r>
          </w:p>
        </w:tc>
        <w:tc>
          <w:tcPr>
            <w:tcW w:w="756" w:type="dxa"/>
            <w:vAlign w:val="center"/>
          </w:tcPr>
          <w:p w14:paraId="00D0F1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977</w:t>
            </w:r>
          </w:p>
        </w:tc>
        <w:tc>
          <w:tcPr>
            <w:tcW w:w="756" w:type="dxa"/>
            <w:vAlign w:val="center"/>
          </w:tcPr>
          <w:p w14:paraId="6AD6BD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4B382D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4546E7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4C3712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77CF10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5DA692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5A4EBD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w:t>
            </w:r>
          </w:p>
        </w:tc>
        <w:tc>
          <w:tcPr>
            <w:tcW w:w="756" w:type="dxa"/>
            <w:vAlign w:val="center"/>
          </w:tcPr>
          <w:p w14:paraId="19BDF8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w:t>
            </w:r>
          </w:p>
        </w:tc>
      </w:tr>
      <w:tr w:rsidR="00FD50F6" w:rsidRPr="00FD50F6" w14:paraId="131343CB" w14:textId="77777777" w:rsidTr="002B733E">
        <w:trPr>
          <w:trHeight w:val="397"/>
        </w:trPr>
        <w:tc>
          <w:tcPr>
            <w:tcW w:w="701" w:type="dxa"/>
            <w:vAlign w:val="center"/>
          </w:tcPr>
          <w:p w14:paraId="6F1DA8F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5FE7958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r w:rsidRPr="00FD50F6">
              <w:rPr>
                <w:rFonts w:ascii="Calibri" w:hAnsi="Calibri" w:cs="Times New Roman" w:hint="eastAsia"/>
                <w:b/>
                <w:sz w:val="18"/>
                <w:szCs w:val="24"/>
              </w:rPr>
              <w:t>”</w:t>
            </w:r>
          </w:p>
        </w:tc>
        <w:tc>
          <w:tcPr>
            <w:tcW w:w="756" w:type="dxa"/>
            <w:vAlign w:val="center"/>
          </w:tcPr>
          <w:p w14:paraId="5260EDE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r w:rsidRPr="00FD50F6">
              <w:rPr>
                <w:rFonts w:ascii="Calibri" w:hAnsi="Calibri" w:cs="Times New Roman" w:hint="eastAsia"/>
                <w:b/>
                <w:sz w:val="18"/>
                <w:szCs w:val="24"/>
              </w:rPr>
              <w:t>”</w:t>
            </w:r>
          </w:p>
        </w:tc>
        <w:tc>
          <w:tcPr>
            <w:tcW w:w="756" w:type="dxa"/>
            <w:vAlign w:val="bottom"/>
          </w:tcPr>
          <w:p w14:paraId="6B93B32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9e</w:t>
            </w:r>
            <w:r w:rsidRPr="00FD50F6">
              <w:rPr>
                <w:rFonts w:ascii="Calibri" w:hAnsi="Calibri" w:cs="Times New Roman" w:hint="eastAsia"/>
                <w:b/>
                <w:sz w:val="18"/>
                <w:szCs w:val="24"/>
              </w:rPr>
              <w:t>”</w:t>
            </w:r>
          </w:p>
        </w:tc>
        <w:tc>
          <w:tcPr>
            <w:tcW w:w="756" w:type="dxa"/>
            <w:vAlign w:val="bottom"/>
          </w:tcPr>
          <w:p w14:paraId="1C4C98C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10e</w:t>
            </w:r>
            <w:r w:rsidRPr="00FD50F6">
              <w:rPr>
                <w:rFonts w:ascii="Calibri" w:hAnsi="Calibri" w:cs="Times New Roman" w:hint="eastAsia"/>
                <w:b/>
                <w:sz w:val="18"/>
                <w:szCs w:val="24"/>
              </w:rPr>
              <w:t>”</w:t>
            </w:r>
          </w:p>
        </w:tc>
        <w:tc>
          <w:tcPr>
            <w:tcW w:w="756" w:type="dxa"/>
            <w:vAlign w:val="bottom"/>
          </w:tcPr>
          <w:p w14:paraId="418E4B1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14e</w:t>
            </w:r>
            <w:r w:rsidRPr="00FD50F6">
              <w:rPr>
                <w:rFonts w:ascii="Calibri" w:hAnsi="Calibri" w:cs="Times New Roman" w:hint="eastAsia"/>
                <w:b/>
                <w:sz w:val="18"/>
                <w:szCs w:val="24"/>
              </w:rPr>
              <w:t>”</w:t>
            </w:r>
          </w:p>
        </w:tc>
        <w:tc>
          <w:tcPr>
            <w:tcW w:w="756" w:type="dxa"/>
            <w:vAlign w:val="center"/>
          </w:tcPr>
          <w:p w14:paraId="0AE34C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CF41B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BC9B6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47929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73839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1FAE96CF" w14:textId="77777777" w:rsidTr="002B733E">
        <w:trPr>
          <w:trHeight w:val="397"/>
        </w:trPr>
        <w:tc>
          <w:tcPr>
            <w:tcW w:w="701" w:type="dxa"/>
            <w:vAlign w:val="center"/>
          </w:tcPr>
          <w:p w14:paraId="651C7E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112F4C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632</w:t>
            </w:r>
          </w:p>
        </w:tc>
        <w:tc>
          <w:tcPr>
            <w:tcW w:w="756" w:type="dxa"/>
            <w:vAlign w:val="center"/>
          </w:tcPr>
          <w:p w14:paraId="5E845E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1729D93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-1577</w:t>
            </w:r>
          </w:p>
        </w:tc>
        <w:tc>
          <w:tcPr>
            <w:tcW w:w="756" w:type="dxa"/>
            <w:vAlign w:val="center"/>
          </w:tcPr>
          <w:p w14:paraId="3B7F24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-1750</w:t>
            </w:r>
          </w:p>
        </w:tc>
        <w:tc>
          <w:tcPr>
            <w:tcW w:w="756" w:type="dxa"/>
            <w:vAlign w:val="center"/>
          </w:tcPr>
          <w:p w14:paraId="179C466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-1750</w:t>
            </w:r>
          </w:p>
        </w:tc>
        <w:tc>
          <w:tcPr>
            <w:tcW w:w="756" w:type="dxa"/>
            <w:vAlign w:val="center"/>
          </w:tcPr>
          <w:p w14:paraId="614534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70D71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9C9D9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FB68F4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9A37A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0F0078F8" w14:textId="77777777" w:rsidTr="002B733E">
        <w:trPr>
          <w:trHeight w:val="397"/>
        </w:trPr>
        <w:tc>
          <w:tcPr>
            <w:tcW w:w="701" w:type="dxa"/>
            <w:vAlign w:val="center"/>
          </w:tcPr>
          <w:p w14:paraId="07DC411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27B9EA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2267B28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7F38012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22917D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427DF34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74EC04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D6FC4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3D9859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2AE753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78832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202D8681" w14:textId="77777777" w:rsidR="002B733E" w:rsidRPr="00FD50F6" w:rsidRDefault="002B733E" w:rsidP="002B733E">
      <w:pPr>
        <w:spacing w:line="240" w:lineRule="auto"/>
        <w:jc w:val="center"/>
        <w:rPr>
          <w:rFonts w:ascii="Calibri" w:hAnsi="Calibri" w:cs="Times New Roman"/>
          <w:sz w:val="21"/>
          <w:szCs w:val="24"/>
        </w:rPr>
      </w:pPr>
    </w:p>
    <w:p w14:paraId="0D8DD67D"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D.0.1-4</w:t>
      </w:r>
      <w:r w:rsidRPr="00FD50F6">
        <w:rPr>
          <w:rFonts w:ascii="黑体" w:eastAsia="黑体" w:hAnsi="黑体" w:cs="Times New Roman" w:hint="eastAsia"/>
          <w:sz w:val="21"/>
          <w:szCs w:val="24"/>
        </w:rPr>
        <w:t xml:space="preserve">  隧道外区间直线地段车辆限界坐标值（mm）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566E70A2" w14:textId="77777777" w:rsidTr="002B733E">
        <w:trPr>
          <w:trHeight w:val="397"/>
        </w:trPr>
        <w:tc>
          <w:tcPr>
            <w:tcW w:w="701" w:type="dxa"/>
            <w:vAlign w:val="center"/>
          </w:tcPr>
          <w:p w14:paraId="156A21C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239F654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r w:rsidRPr="00FD50F6">
              <w:rPr>
                <w:rFonts w:ascii="Calibri" w:hAnsi="Calibri" w:cs="Times New Roman" w:hint="eastAsia"/>
                <w:b/>
                <w:sz w:val="18"/>
                <w:szCs w:val="24"/>
              </w:rPr>
              <w:t>’</w:t>
            </w:r>
          </w:p>
        </w:tc>
        <w:tc>
          <w:tcPr>
            <w:tcW w:w="756" w:type="dxa"/>
            <w:vAlign w:val="center"/>
          </w:tcPr>
          <w:p w14:paraId="34FD2A4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56" w:type="dxa"/>
            <w:vAlign w:val="center"/>
          </w:tcPr>
          <w:p w14:paraId="6F4C160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56" w:type="dxa"/>
            <w:vAlign w:val="center"/>
          </w:tcPr>
          <w:p w14:paraId="54F5C66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56" w:type="dxa"/>
            <w:vAlign w:val="center"/>
          </w:tcPr>
          <w:p w14:paraId="73C9891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56" w:type="dxa"/>
            <w:vAlign w:val="center"/>
          </w:tcPr>
          <w:p w14:paraId="159CA36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56" w:type="dxa"/>
            <w:vAlign w:val="center"/>
          </w:tcPr>
          <w:p w14:paraId="35365A7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56" w:type="dxa"/>
            <w:vAlign w:val="center"/>
          </w:tcPr>
          <w:p w14:paraId="0138BD0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r w:rsidRPr="00FD50F6">
              <w:rPr>
                <w:rFonts w:ascii="Calibri" w:hAnsi="Calibri" w:cs="Times New Roman" w:hint="eastAsia"/>
                <w:b/>
                <w:sz w:val="18"/>
                <w:szCs w:val="24"/>
              </w:rPr>
              <w:t>’</w:t>
            </w:r>
          </w:p>
        </w:tc>
        <w:tc>
          <w:tcPr>
            <w:tcW w:w="756" w:type="dxa"/>
            <w:vAlign w:val="center"/>
          </w:tcPr>
          <w:p w14:paraId="78B97C4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r w:rsidRPr="00FD50F6">
              <w:rPr>
                <w:rFonts w:ascii="Calibri" w:hAnsi="Calibri" w:cs="Times New Roman" w:hint="eastAsia"/>
                <w:b/>
                <w:sz w:val="18"/>
                <w:szCs w:val="24"/>
              </w:rPr>
              <w:t>’</w:t>
            </w:r>
          </w:p>
        </w:tc>
        <w:tc>
          <w:tcPr>
            <w:tcW w:w="756" w:type="dxa"/>
            <w:vAlign w:val="bottom"/>
          </w:tcPr>
          <w:p w14:paraId="7EE29B5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r w:rsidRPr="00FD50F6">
              <w:rPr>
                <w:rFonts w:ascii="Calibri" w:hAnsi="Calibri" w:cs="Times New Roman" w:hint="eastAsia"/>
                <w:b/>
                <w:sz w:val="18"/>
                <w:szCs w:val="24"/>
              </w:rPr>
              <w:t>’</w:t>
            </w:r>
          </w:p>
        </w:tc>
      </w:tr>
      <w:tr w:rsidR="00FD50F6" w:rsidRPr="00FD50F6" w14:paraId="6A5B0933" w14:textId="77777777" w:rsidTr="002B733E">
        <w:trPr>
          <w:trHeight w:val="397"/>
        </w:trPr>
        <w:tc>
          <w:tcPr>
            <w:tcW w:w="701" w:type="dxa"/>
            <w:vAlign w:val="center"/>
          </w:tcPr>
          <w:p w14:paraId="65E3E5D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72F483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2965BA0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925</w:t>
            </w:r>
          </w:p>
        </w:tc>
        <w:tc>
          <w:tcPr>
            <w:tcW w:w="756" w:type="dxa"/>
            <w:vAlign w:val="center"/>
          </w:tcPr>
          <w:p w14:paraId="3E9DF0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1149</w:t>
            </w:r>
          </w:p>
        </w:tc>
        <w:tc>
          <w:tcPr>
            <w:tcW w:w="756" w:type="dxa"/>
            <w:vAlign w:val="center"/>
          </w:tcPr>
          <w:p w14:paraId="4C19042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1323</w:t>
            </w:r>
          </w:p>
        </w:tc>
        <w:tc>
          <w:tcPr>
            <w:tcW w:w="756" w:type="dxa"/>
            <w:vAlign w:val="center"/>
          </w:tcPr>
          <w:p w14:paraId="76C042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1418</w:t>
            </w:r>
          </w:p>
        </w:tc>
        <w:tc>
          <w:tcPr>
            <w:tcW w:w="756" w:type="dxa"/>
            <w:vAlign w:val="center"/>
          </w:tcPr>
          <w:p w14:paraId="48BF35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1428</w:t>
            </w:r>
          </w:p>
        </w:tc>
        <w:tc>
          <w:tcPr>
            <w:tcW w:w="756" w:type="dxa"/>
            <w:vAlign w:val="center"/>
          </w:tcPr>
          <w:p w14:paraId="6A6C3E9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1497</w:t>
            </w:r>
          </w:p>
        </w:tc>
        <w:tc>
          <w:tcPr>
            <w:tcW w:w="756" w:type="dxa"/>
            <w:vAlign w:val="center"/>
          </w:tcPr>
          <w:p w14:paraId="55AAC1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1500</w:t>
            </w:r>
          </w:p>
        </w:tc>
        <w:tc>
          <w:tcPr>
            <w:tcW w:w="756" w:type="dxa"/>
            <w:vAlign w:val="center"/>
          </w:tcPr>
          <w:p w14:paraId="12D351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1554</w:t>
            </w:r>
          </w:p>
        </w:tc>
        <w:tc>
          <w:tcPr>
            <w:tcW w:w="756" w:type="dxa"/>
            <w:vAlign w:val="center"/>
          </w:tcPr>
          <w:p w14:paraId="4FE39F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1560</w:t>
            </w:r>
          </w:p>
        </w:tc>
      </w:tr>
      <w:tr w:rsidR="00FD50F6" w:rsidRPr="00FD50F6" w14:paraId="3D8A8680" w14:textId="77777777" w:rsidTr="002B733E">
        <w:trPr>
          <w:trHeight w:val="397"/>
        </w:trPr>
        <w:tc>
          <w:tcPr>
            <w:tcW w:w="701" w:type="dxa"/>
            <w:vAlign w:val="center"/>
          </w:tcPr>
          <w:p w14:paraId="417CCD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6BD84DE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w:t>
            </w:r>
            <w:r w:rsidRPr="00FD50F6">
              <w:rPr>
                <w:rFonts w:ascii="Calibri" w:hAnsi="Calibri" w:cs="Times New Roman"/>
                <w:sz w:val="18"/>
                <w:szCs w:val="24"/>
              </w:rPr>
              <w:t>90</w:t>
            </w:r>
            <w:r w:rsidRPr="00FD50F6">
              <w:rPr>
                <w:rFonts w:ascii="Calibri" w:hAnsi="Calibri" w:cs="Times New Roman" w:hint="eastAsia"/>
                <w:sz w:val="18"/>
                <w:szCs w:val="24"/>
              </w:rPr>
              <w:t>9</w:t>
            </w:r>
          </w:p>
        </w:tc>
        <w:tc>
          <w:tcPr>
            <w:tcW w:w="756" w:type="dxa"/>
            <w:vAlign w:val="center"/>
          </w:tcPr>
          <w:p w14:paraId="6430875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w:t>
            </w:r>
            <w:r w:rsidRPr="00FD50F6">
              <w:rPr>
                <w:rFonts w:ascii="Calibri" w:hAnsi="Calibri" w:cs="Times New Roman"/>
                <w:sz w:val="18"/>
                <w:szCs w:val="24"/>
              </w:rPr>
              <w:t>92</w:t>
            </w:r>
            <w:r w:rsidRPr="00FD50F6">
              <w:rPr>
                <w:rFonts w:ascii="Calibri" w:hAnsi="Calibri" w:cs="Times New Roman" w:hint="eastAsia"/>
                <w:sz w:val="18"/>
                <w:szCs w:val="24"/>
              </w:rPr>
              <w:t>9</w:t>
            </w:r>
          </w:p>
        </w:tc>
        <w:tc>
          <w:tcPr>
            <w:tcW w:w="756" w:type="dxa"/>
            <w:vAlign w:val="center"/>
          </w:tcPr>
          <w:p w14:paraId="34C5870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3764</w:t>
            </w:r>
          </w:p>
        </w:tc>
        <w:tc>
          <w:tcPr>
            <w:tcW w:w="756" w:type="dxa"/>
            <w:vAlign w:val="center"/>
          </w:tcPr>
          <w:p w14:paraId="18D8D5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3641</w:t>
            </w:r>
          </w:p>
        </w:tc>
        <w:tc>
          <w:tcPr>
            <w:tcW w:w="756" w:type="dxa"/>
            <w:vAlign w:val="center"/>
          </w:tcPr>
          <w:p w14:paraId="518E17C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3538</w:t>
            </w:r>
          </w:p>
        </w:tc>
        <w:tc>
          <w:tcPr>
            <w:tcW w:w="756" w:type="dxa"/>
            <w:vAlign w:val="center"/>
          </w:tcPr>
          <w:p w14:paraId="5332D0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3403</w:t>
            </w:r>
          </w:p>
        </w:tc>
        <w:tc>
          <w:tcPr>
            <w:tcW w:w="756" w:type="dxa"/>
            <w:vAlign w:val="center"/>
          </w:tcPr>
          <w:p w14:paraId="5F7BB30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3311</w:t>
            </w:r>
          </w:p>
        </w:tc>
        <w:tc>
          <w:tcPr>
            <w:tcW w:w="756" w:type="dxa"/>
            <w:vAlign w:val="center"/>
          </w:tcPr>
          <w:p w14:paraId="27908A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3037</w:t>
            </w:r>
          </w:p>
        </w:tc>
        <w:tc>
          <w:tcPr>
            <w:tcW w:w="756" w:type="dxa"/>
            <w:vAlign w:val="center"/>
          </w:tcPr>
          <w:p w14:paraId="6F0D2B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3056</w:t>
            </w:r>
          </w:p>
        </w:tc>
        <w:tc>
          <w:tcPr>
            <w:tcW w:w="756" w:type="dxa"/>
            <w:vAlign w:val="center"/>
          </w:tcPr>
          <w:p w14:paraId="675832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2478</w:t>
            </w:r>
          </w:p>
        </w:tc>
      </w:tr>
      <w:tr w:rsidR="00FD50F6" w:rsidRPr="00FD50F6" w14:paraId="6F754F27" w14:textId="77777777" w:rsidTr="002B733E">
        <w:trPr>
          <w:trHeight w:val="397"/>
        </w:trPr>
        <w:tc>
          <w:tcPr>
            <w:tcW w:w="701" w:type="dxa"/>
            <w:vAlign w:val="center"/>
          </w:tcPr>
          <w:p w14:paraId="0656AA4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45CF2E1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56" w:type="dxa"/>
            <w:vAlign w:val="center"/>
          </w:tcPr>
          <w:p w14:paraId="382859C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56" w:type="dxa"/>
            <w:vAlign w:val="center"/>
          </w:tcPr>
          <w:p w14:paraId="7F0952A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56" w:type="dxa"/>
            <w:vAlign w:val="center"/>
          </w:tcPr>
          <w:p w14:paraId="23B4BA5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c>
          <w:tcPr>
            <w:tcW w:w="756" w:type="dxa"/>
            <w:vAlign w:val="center"/>
          </w:tcPr>
          <w:p w14:paraId="675C93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56" w:type="dxa"/>
            <w:vAlign w:val="center"/>
          </w:tcPr>
          <w:p w14:paraId="659D6D9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56" w:type="dxa"/>
            <w:vAlign w:val="center"/>
          </w:tcPr>
          <w:p w14:paraId="63830EB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56" w:type="dxa"/>
            <w:vAlign w:val="center"/>
          </w:tcPr>
          <w:p w14:paraId="35D7F41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56" w:type="dxa"/>
            <w:vAlign w:val="center"/>
          </w:tcPr>
          <w:p w14:paraId="38BC1B5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56" w:type="dxa"/>
            <w:vAlign w:val="center"/>
          </w:tcPr>
          <w:p w14:paraId="2372355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r w:rsidRPr="00FD50F6">
              <w:rPr>
                <w:rFonts w:ascii="Calibri" w:hAnsi="Calibri" w:cs="Times New Roman" w:hint="eastAsia"/>
                <w:b/>
                <w:sz w:val="18"/>
                <w:szCs w:val="24"/>
              </w:rPr>
              <w:t>’</w:t>
            </w:r>
          </w:p>
        </w:tc>
      </w:tr>
      <w:tr w:rsidR="00FD50F6" w:rsidRPr="00FD50F6" w14:paraId="0DE22041" w14:textId="77777777" w:rsidTr="002B733E">
        <w:trPr>
          <w:trHeight w:val="397"/>
        </w:trPr>
        <w:tc>
          <w:tcPr>
            <w:tcW w:w="701" w:type="dxa"/>
            <w:vAlign w:val="center"/>
          </w:tcPr>
          <w:p w14:paraId="026A71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488C1A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1562</w:t>
            </w:r>
          </w:p>
        </w:tc>
        <w:tc>
          <w:tcPr>
            <w:tcW w:w="756" w:type="dxa"/>
            <w:vAlign w:val="center"/>
          </w:tcPr>
          <w:p w14:paraId="41D095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1480</w:t>
            </w:r>
          </w:p>
        </w:tc>
        <w:tc>
          <w:tcPr>
            <w:tcW w:w="756" w:type="dxa"/>
            <w:vAlign w:val="center"/>
          </w:tcPr>
          <w:p w14:paraId="7A008D1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1475</w:t>
            </w:r>
          </w:p>
        </w:tc>
        <w:tc>
          <w:tcPr>
            <w:tcW w:w="756" w:type="dxa"/>
            <w:vAlign w:val="center"/>
          </w:tcPr>
          <w:p w14:paraId="0231DB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1366</w:t>
            </w:r>
          </w:p>
        </w:tc>
        <w:tc>
          <w:tcPr>
            <w:tcW w:w="756" w:type="dxa"/>
            <w:vAlign w:val="center"/>
          </w:tcPr>
          <w:p w14:paraId="4DBF0BE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1342</w:t>
            </w:r>
          </w:p>
        </w:tc>
        <w:tc>
          <w:tcPr>
            <w:tcW w:w="756" w:type="dxa"/>
            <w:vAlign w:val="center"/>
          </w:tcPr>
          <w:p w14:paraId="35396D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1504</w:t>
            </w:r>
          </w:p>
        </w:tc>
        <w:tc>
          <w:tcPr>
            <w:tcW w:w="756" w:type="dxa"/>
            <w:vAlign w:val="center"/>
          </w:tcPr>
          <w:p w14:paraId="771950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1430</w:t>
            </w:r>
          </w:p>
        </w:tc>
        <w:tc>
          <w:tcPr>
            <w:tcW w:w="756" w:type="dxa"/>
            <w:vAlign w:val="center"/>
          </w:tcPr>
          <w:p w14:paraId="21211C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1118</w:t>
            </w:r>
          </w:p>
        </w:tc>
        <w:tc>
          <w:tcPr>
            <w:tcW w:w="756" w:type="dxa"/>
            <w:vAlign w:val="center"/>
          </w:tcPr>
          <w:p w14:paraId="0E3FE4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1115</w:t>
            </w:r>
          </w:p>
        </w:tc>
        <w:tc>
          <w:tcPr>
            <w:tcW w:w="756" w:type="dxa"/>
            <w:vAlign w:val="center"/>
          </w:tcPr>
          <w:p w14:paraId="4429AD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852</w:t>
            </w:r>
          </w:p>
        </w:tc>
      </w:tr>
      <w:tr w:rsidR="00FD50F6" w:rsidRPr="00FD50F6" w14:paraId="10BE9185" w14:textId="77777777" w:rsidTr="002B733E">
        <w:trPr>
          <w:trHeight w:val="397"/>
        </w:trPr>
        <w:tc>
          <w:tcPr>
            <w:tcW w:w="701" w:type="dxa"/>
            <w:vAlign w:val="center"/>
          </w:tcPr>
          <w:p w14:paraId="36FC09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7E005E5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1718</w:t>
            </w:r>
          </w:p>
        </w:tc>
        <w:tc>
          <w:tcPr>
            <w:tcW w:w="756" w:type="dxa"/>
            <w:vAlign w:val="center"/>
          </w:tcPr>
          <w:p w14:paraId="6F3058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980</w:t>
            </w:r>
          </w:p>
        </w:tc>
        <w:tc>
          <w:tcPr>
            <w:tcW w:w="756" w:type="dxa"/>
            <w:vAlign w:val="center"/>
          </w:tcPr>
          <w:p w14:paraId="2CB444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1AAD9C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115173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216</w:t>
            </w:r>
          </w:p>
        </w:tc>
        <w:tc>
          <w:tcPr>
            <w:tcW w:w="756" w:type="dxa"/>
            <w:vAlign w:val="center"/>
          </w:tcPr>
          <w:p w14:paraId="7CCC1DE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w:t>
            </w:r>
          </w:p>
        </w:tc>
        <w:tc>
          <w:tcPr>
            <w:tcW w:w="756" w:type="dxa"/>
            <w:vAlign w:val="center"/>
          </w:tcPr>
          <w:p w14:paraId="3DA319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p>
        </w:tc>
        <w:tc>
          <w:tcPr>
            <w:tcW w:w="756" w:type="dxa"/>
            <w:vAlign w:val="center"/>
          </w:tcPr>
          <w:p w14:paraId="3508D3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p>
        </w:tc>
        <w:tc>
          <w:tcPr>
            <w:tcW w:w="756" w:type="dxa"/>
            <w:vAlign w:val="center"/>
          </w:tcPr>
          <w:p w14:paraId="2EB5D32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57</w:t>
            </w:r>
          </w:p>
        </w:tc>
        <w:tc>
          <w:tcPr>
            <w:tcW w:w="756" w:type="dxa"/>
            <w:vAlign w:val="center"/>
          </w:tcPr>
          <w:p w14:paraId="10726C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57</w:t>
            </w:r>
          </w:p>
        </w:tc>
      </w:tr>
      <w:tr w:rsidR="00FD50F6" w:rsidRPr="00FD50F6" w14:paraId="35307EA9" w14:textId="77777777" w:rsidTr="002B733E">
        <w:trPr>
          <w:trHeight w:val="397"/>
        </w:trPr>
        <w:tc>
          <w:tcPr>
            <w:tcW w:w="701" w:type="dxa"/>
            <w:vAlign w:val="center"/>
          </w:tcPr>
          <w:p w14:paraId="79E148C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52B29D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r w:rsidRPr="00FD50F6">
              <w:rPr>
                <w:rFonts w:ascii="Calibri" w:hAnsi="Calibri" w:cs="Times New Roman" w:hint="eastAsia"/>
                <w:b/>
                <w:sz w:val="18"/>
                <w:szCs w:val="24"/>
              </w:rPr>
              <w:t>’</w:t>
            </w:r>
          </w:p>
        </w:tc>
        <w:tc>
          <w:tcPr>
            <w:tcW w:w="756" w:type="dxa"/>
            <w:vAlign w:val="center"/>
          </w:tcPr>
          <w:p w14:paraId="295B322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r w:rsidRPr="00FD50F6">
              <w:rPr>
                <w:rFonts w:ascii="Calibri" w:hAnsi="Calibri" w:cs="Times New Roman" w:hint="eastAsia"/>
                <w:b/>
                <w:sz w:val="18"/>
                <w:szCs w:val="24"/>
              </w:rPr>
              <w:t>’</w:t>
            </w:r>
          </w:p>
        </w:tc>
        <w:tc>
          <w:tcPr>
            <w:tcW w:w="756" w:type="dxa"/>
            <w:vAlign w:val="center"/>
          </w:tcPr>
          <w:p w14:paraId="2AA00D1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r w:rsidRPr="00FD50F6">
              <w:rPr>
                <w:rFonts w:ascii="Calibri" w:hAnsi="Calibri" w:cs="Times New Roman" w:hint="eastAsia"/>
                <w:b/>
                <w:sz w:val="18"/>
                <w:szCs w:val="24"/>
              </w:rPr>
              <w:t>’</w:t>
            </w:r>
          </w:p>
        </w:tc>
        <w:tc>
          <w:tcPr>
            <w:tcW w:w="756" w:type="dxa"/>
            <w:vAlign w:val="center"/>
          </w:tcPr>
          <w:p w14:paraId="5922D5B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r w:rsidRPr="00FD50F6">
              <w:rPr>
                <w:rFonts w:ascii="Calibri" w:hAnsi="Calibri" w:cs="Times New Roman" w:hint="eastAsia"/>
                <w:b/>
                <w:sz w:val="18"/>
                <w:szCs w:val="24"/>
              </w:rPr>
              <w:t>’</w:t>
            </w:r>
          </w:p>
        </w:tc>
        <w:tc>
          <w:tcPr>
            <w:tcW w:w="756" w:type="dxa"/>
            <w:vAlign w:val="center"/>
          </w:tcPr>
          <w:p w14:paraId="286CB2D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r w:rsidRPr="00FD50F6">
              <w:rPr>
                <w:rFonts w:ascii="Calibri" w:hAnsi="Calibri" w:cs="Times New Roman" w:hint="eastAsia"/>
                <w:b/>
                <w:sz w:val="18"/>
                <w:szCs w:val="24"/>
              </w:rPr>
              <w:t>’</w:t>
            </w:r>
          </w:p>
        </w:tc>
        <w:tc>
          <w:tcPr>
            <w:tcW w:w="756" w:type="dxa"/>
            <w:vAlign w:val="center"/>
          </w:tcPr>
          <w:p w14:paraId="6D154C7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r w:rsidRPr="00FD50F6">
              <w:rPr>
                <w:rFonts w:ascii="Calibri" w:hAnsi="Calibri" w:cs="Times New Roman" w:hint="eastAsia"/>
                <w:b/>
                <w:sz w:val="18"/>
                <w:szCs w:val="24"/>
              </w:rPr>
              <w:t>’</w:t>
            </w:r>
          </w:p>
        </w:tc>
        <w:tc>
          <w:tcPr>
            <w:tcW w:w="756" w:type="dxa"/>
            <w:vAlign w:val="center"/>
          </w:tcPr>
          <w:p w14:paraId="6522C5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1ED4A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75889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A9A1B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136D1AC1" w14:textId="77777777" w:rsidTr="002B733E">
        <w:trPr>
          <w:trHeight w:val="397"/>
        </w:trPr>
        <w:tc>
          <w:tcPr>
            <w:tcW w:w="701" w:type="dxa"/>
            <w:vAlign w:val="center"/>
          </w:tcPr>
          <w:p w14:paraId="2077E8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330EC9B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852</w:t>
            </w:r>
          </w:p>
        </w:tc>
        <w:tc>
          <w:tcPr>
            <w:tcW w:w="756" w:type="dxa"/>
            <w:vAlign w:val="center"/>
          </w:tcPr>
          <w:p w14:paraId="595E31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718</w:t>
            </w:r>
          </w:p>
        </w:tc>
        <w:tc>
          <w:tcPr>
            <w:tcW w:w="756" w:type="dxa"/>
            <w:vAlign w:val="center"/>
          </w:tcPr>
          <w:p w14:paraId="0D952D9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718</w:t>
            </w:r>
          </w:p>
        </w:tc>
        <w:tc>
          <w:tcPr>
            <w:tcW w:w="756" w:type="dxa"/>
            <w:vAlign w:val="center"/>
          </w:tcPr>
          <w:p w14:paraId="2F01ACB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647</w:t>
            </w:r>
          </w:p>
        </w:tc>
        <w:tc>
          <w:tcPr>
            <w:tcW w:w="756" w:type="dxa"/>
            <w:vAlign w:val="center"/>
          </w:tcPr>
          <w:p w14:paraId="6E4B42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647</w:t>
            </w:r>
          </w:p>
        </w:tc>
        <w:tc>
          <w:tcPr>
            <w:tcW w:w="756" w:type="dxa"/>
            <w:vAlign w:val="center"/>
          </w:tcPr>
          <w:p w14:paraId="5842B2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11B6FF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47F9D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EC1B6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87534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70CAAF42" w14:textId="77777777" w:rsidTr="002B733E">
        <w:trPr>
          <w:trHeight w:val="397"/>
        </w:trPr>
        <w:tc>
          <w:tcPr>
            <w:tcW w:w="701" w:type="dxa"/>
            <w:vAlign w:val="center"/>
          </w:tcPr>
          <w:p w14:paraId="5BA80D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5913C6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66C243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45AAAF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56" w:type="dxa"/>
            <w:vAlign w:val="center"/>
          </w:tcPr>
          <w:p w14:paraId="402E77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56" w:type="dxa"/>
            <w:vAlign w:val="center"/>
          </w:tcPr>
          <w:p w14:paraId="51BC3C2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w:t>
            </w:r>
          </w:p>
        </w:tc>
        <w:tc>
          <w:tcPr>
            <w:tcW w:w="756" w:type="dxa"/>
            <w:vAlign w:val="center"/>
          </w:tcPr>
          <w:p w14:paraId="3D5BA7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w:t>
            </w:r>
          </w:p>
        </w:tc>
        <w:tc>
          <w:tcPr>
            <w:tcW w:w="756" w:type="dxa"/>
            <w:vAlign w:val="center"/>
          </w:tcPr>
          <w:p w14:paraId="0029B7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B6511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F6D0C4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257E13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17CAB5D8" w14:textId="77777777" w:rsidTr="002B733E">
        <w:trPr>
          <w:trHeight w:val="397"/>
        </w:trPr>
        <w:tc>
          <w:tcPr>
            <w:tcW w:w="701" w:type="dxa"/>
            <w:vAlign w:val="center"/>
          </w:tcPr>
          <w:p w14:paraId="2AB2669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bottom"/>
          </w:tcPr>
          <w:p w14:paraId="1917AE1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a</w:t>
            </w:r>
            <w:r w:rsidRPr="00FD50F6">
              <w:rPr>
                <w:rFonts w:ascii="Calibri" w:hAnsi="Calibri" w:cs="Times New Roman" w:hint="eastAsia"/>
                <w:b/>
                <w:sz w:val="18"/>
                <w:szCs w:val="24"/>
              </w:rPr>
              <w:t>’</w:t>
            </w:r>
          </w:p>
        </w:tc>
        <w:tc>
          <w:tcPr>
            <w:tcW w:w="756" w:type="dxa"/>
            <w:vAlign w:val="bottom"/>
          </w:tcPr>
          <w:p w14:paraId="3C7F6BE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b</w:t>
            </w:r>
            <w:r w:rsidRPr="00FD50F6">
              <w:rPr>
                <w:rFonts w:ascii="Calibri" w:hAnsi="Calibri" w:cs="Times New Roman" w:hint="eastAsia"/>
                <w:b/>
                <w:sz w:val="18"/>
                <w:szCs w:val="24"/>
              </w:rPr>
              <w:t>’</w:t>
            </w:r>
          </w:p>
        </w:tc>
        <w:tc>
          <w:tcPr>
            <w:tcW w:w="756" w:type="dxa"/>
            <w:vAlign w:val="bottom"/>
          </w:tcPr>
          <w:p w14:paraId="7F5B167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c</w:t>
            </w:r>
            <w:r w:rsidRPr="00FD50F6">
              <w:rPr>
                <w:rFonts w:ascii="Calibri" w:hAnsi="Calibri" w:cs="Times New Roman" w:hint="eastAsia"/>
                <w:b/>
                <w:sz w:val="18"/>
                <w:szCs w:val="24"/>
              </w:rPr>
              <w:t>’</w:t>
            </w:r>
          </w:p>
        </w:tc>
        <w:tc>
          <w:tcPr>
            <w:tcW w:w="756" w:type="dxa"/>
            <w:vAlign w:val="center"/>
          </w:tcPr>
          <w:p w14:paraId="6479D1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d</w:t>
            </w:r>
            <w:r w:rsidRPr="00FD50F6">
              <w:rPr>
                <w:rFonts w:ascii="Calibri" w:hAnsi="Calibri" w:cs="Times New Roman" w:hint="eastAsia"/>
                <w:b/>
                <w:sz w:val="18"/>
                <w:szCs w:val="24"/>
              </w:rPr>
              <w:t>’</w:t>
            </w:r>
          </w:p>
        </w:tc>
        <w:tc>
          <w:tcPr>
            <w:tcW w:w="756" w:type="dxa"/>
            <w:vAlign w:val="center"/>
          </w:tcPr>
          <w:p w14:paraId="3057FF0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e</w:t>
            </w:r>
            <w:r w:rsidRPr="00FD50F6">
              <w:rPr>
                <w:rFonts w:ascii="Calibri" w:hAnsi="Calibri" w:cs="Times New Roman" w:hint="eastAsia"/>
                <w:b/>
                <w:sz w:val="18"/>
                <w:szCs w:val="24"/>
              </w:rPr>
              <w:t>’</w:t>
            </w:r>
          </w:p>
        </w:tc>
        <w:tc>
          <w:tcPr>
            <w:tcW w:w="756" w:type="dxa"/>
            <w:vAlign w:val="bottom"/>
          </w:tcPr>
          <w:p w14:paraId="3ADEAF6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f</w:t>
            </w:r>
            <w:r w:rsidRPr="00FD50F6">
              <w:rPr>
                <w:rFonts w:ascii="Calibri" w:hAnsi="Calibri" w:cs="Times New Roman" w:hint="eastAsia"/>
                <w:b/>
                <w:sz w:val="18"/>
                <w:szCs w:val="24"/>
              </w:rPr>
              <w:t>’</w:t>
            </w:r>
          </w:p>
        </w:tc>
        <w:tc>
          <w:tcPr>
            <w:tcW w:w="756" w:type="dxa"/>
            <w:vAlign w:val="bottom"/>
          </w:tcPr>
          <w:p w14:paraId="0BFC5E7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g</w:t>
            </w:r>
            <w:r w:rsidRPr="00FD50F6">
              <w:rPr>
                <w:rFonts w:ascii="Calibri" w:hAnsi="Calibri" w:cs="Times New Roman" w:hint="eastAsia"/>
                <w:b/>
                <w:sz w:val="18"/>
                <w:szCs w:val="24"/>
              </w:rPr>
              <w:t>’</w:t>
            </w:r>
          </w:p>
        </w:tc>
        <w:tc>
          <w:tcPr>
            <w:tcW w:w="756" w:type="dxa"/>
            <w:vAlign w:val="center"/>
          </w:tcPr>
          <w:p w14:paraId="6BC180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97A1C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CAA995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72DA78BF" w14:textId="77777777" w:rsidTr="002B733E">
        <w:trPr>
          <w:trHeight w:val="397"/>
        </w:trPr>
        <w:tc>
          <w:tcPr>
            <w:tcW w:w="701" w:type="dxa"/>
            <w:vAlign w:val="center"/>
          </w:tcPr>
          <w:p w14:paraId="56AEDB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bottom"/>
          </w:tcPr>
          <w:p w14:paraId="0D1E71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756" w:type="dxa"/>
            <w:vAlign w:val="bottom"/>
          </w:tcPr>
          <w:p w14:paraId="63EAC0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1423</w:t>
            </w:r>
          </w:p>
        </w:tc>
        <w:tc>
          <w:tcPr>
            <w:tcW w:w="756" w:type="dxa"/>
            <w:vAlign w:val="bottom"/>
          </w:tcPr>
          <w:p w14:paraId="3FF130D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1458</w:t>
            </w:r>
          </w:p>
        </w:tc>
        <w:tc>
          <w:tcPr>
            <w:tcW w:w="756" w:type="dxa"/>
            <w:vAlign w:val="bottom"/>
          </w:tcPr>
          <w:p w14:paraId="22EB46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1495</w:t>
            </w:r>
          </w:p>
        </w:tc>
        <w:tc>
          <w:tcPr>
            <w:tcW w:w="756" w:type="dxa"/>
            <w:vAlign w:val="bottom"/>
          </w:tcPr>
          <w:p w14:paraId="36F1F9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1509</w:t>
            </w:r>
          </w:p>
        </w:tc>
        <w:tc>
          <w:tcPr>
            <w:tcW w:w="756" w:type="dxa"/>
            <w:vAlign w:val="bottom"/>
          </w:tcPr>
          <w:p w14:paraId="7C0393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-1341</w:t>
            </w:r>
          </w:p>
        </w:tc>
        <w:tc>
          <w:tcPr>
            <w:tcW w:w="756" w:type="dxa"/>
            <w:vAlign w:val="bottom"/>
          </w:tcPr>
          <w:p w14:paraId="302C23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-1508</w:t>
            </w:r>
          </w:p>
        </w:tc>
        <w:tc>
          <w:tcPr>
            <w:tcW w:w="756" w:type="dxa"/>
            <w:vAlign w:val="center"/>
          </w:tcPr>
          <w:p w14:paraId="286342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2F18D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7CD87A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4CE7AA37" w14:textId="77777777" w:rsidTr="002B733E">
        <w:trPr>
          <w:trHeight w:val="397"/>
        </w:trPr>
        <w:tc>
          <w:tcPr>
            <w:tcW w:w="701" w:type="dxa"/>
            <w:vAlign w:val="center"/>
          </w:tcPr>
          <w:p w14:paraId="42572F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bottom"/>
          </w:tcPr>
          <w:p w14:paraId="25B740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216</w:t>
            </w:r>
          </w:p>
        </w:tc>
        <w:tc>
          <w:tcPr>
            <w:tcW w:w="756" w:type="dxa"/>
            <w:vAlign w:val="bottom"/>
          </w:tcPr>
          <w:p w14:paraId="0229CE5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250</w:t>
            </w:r>
          </w:p>
        </w:tc>
        <w:tc>
          <w:tcPr>
            <w:tcW w:w="756" w:type="dxa"/>
            <w:vAlign w:val="bottom"/>
          </w:tcPr>
          <w:p w14:paraId="18DDC4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w:t>
            </w:r>
          </w:p>
        </w:tc>
        <w:tc>
          <w:tcPr>
            <w:tcW w:w="756" w:type="dxa"/>
            <w:vAlign w:val="bottom"/>
          </w:tcPr>
          <w:p w14:paraId="0ECF48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262</w:t>
            </w:r>
          </w:p>
        </w:tc>
        <w:tc>
          <w:tcPr>
            <w:tcW w:w="756" w:type="dxa"/>
            <w:vAlign w:val="bottom"/>
          </w:tcPr>
          <w:p w14:paraId="412473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226</w:t>
            </w:r>
          </w:p>
        </w:tc>
        <w:tc>
          <w:tcPr>
            <w:tcW w:w="756" w:type="dxa"/>
            <w:vAlign w:val="bottom"/>
          </w:tcPr>
          <w:p w14:paraId="2E8261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bottom"/>
          </w:tcPr>
          <w:p w14:paraId="5AE4C0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14BBBD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16BA1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92C20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6E79CB8B" w14:textId="77777777" w:rsidR="002B733E" w:rsidRPr="00FD50F6" w:rsidRDefault="002B733E" w:rsidP="002B733E">
      <w:pPr>
        <w:spacing w:line="0" w:lineRule="atLeast"/>
        <w:rPr>
          <w:rFonts w:ascii="Calibri" w:hAnsi="Calibri" w:cs="Times New Roman"/>
          <w:sz w:val="18"/>
          <w:szCs w:val="24"/>
        </w:rPr>
      </w:pPr>
    </w:p>
    <w:p w14:paraId="518287A2" w14:textId="77777777" w:rsidR="002B733E" w:rsidRPr="00FD50F6" w:rsidRDefault="002B733E" w:rsidP="002B733E">
      <w:pPr>
        <w:spacing w:line="0" w:lineRule="atLeast"/>
        <w:rPr>
          <w:rFonts w:ascii="Calibri" w:hAnsi="Calibri" w:cs="Times New Roman"/>
          <w:sz w:val="18"/>
          <w:szCs w:val="24"/>
        </w:rPr>
      </w:pPr>
    </w:p>
    <w:p w14:paraId="179A40AC"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D.0.1-5</w:t>
      </w:r>
      <w:r w:rsidRPr="00FD50F6">
        <w:rPr>
          <w:rFonts w:ascii="黑体" w:eastAsia="黑体" w:hAnsi="黑体" w:cs="Times New Roman" w:hint="eastAsia"/>
          <w:sz w:val="21"/>
          <w:szCs w:val="24"/>
        </w:rPr>
        <w:t xml:space="preserve">  隧道外区间直线地段设备限界坐标值（mm）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4A9579EC" w14:textId="77777777" w:rsidTr="002B733E">
        <w:trPr>
          <w:trHeight w:val="397"/>
        </w:trPr>
        <w:tc>
          <w:tcPr>
            <w:tcW w:w="701" w:type="dxa"/>
            <w:vAlign w:val="center"/>
          </w:tcPr>
          <w:p w14:paraId="13AFD2C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5B35593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r w:rsidRPr="00FD50F6">
              <w:rPr>
                <w:rFonts w:ascii="Calibri" w:hAnsi="Calibri" w:cs="Times New Roman" w:hint="eastAsia"/>
                <w:b/>
                <w:sz w:val="18"/>
                <w:szCs w:val="24"/>
              </w:rPr>
              <w:t>”</w:t>
            </w:r>
          </w:p>
        </w:tc>
        <w:tc>
          <w:tcPr>
            <w:tcW w:w="756" w:type="dxa"/>
            <w:vAlign w:val="center"/>
          </w:tcPr>
          <w:p w14:paraId="28AD16D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56" w:type="dxa"/>
            <w:vAlign w:val="center"/>
          </w:tcPr>
          <w:p w14:paraId="1351C08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56" w:type="dxa"/>
            <w:vAlign w:val="center"/>
          </w:tcPr>
          <w:p w14:paraId="425391A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56" w:type="dxa"/>
            <w:vAlign w:val="center"/>
          </w:tcPr>
          <w:p w14:paraId="1B0847C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56" w:type="dxa"/>
            <w:vAlign w:val="center"/>
          </w:tcPr>
          <w:p w14:paraId="27B6846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56" w:type="dxa"/>
            <w:vAlign w:val="center"/>
          </w:tcPr>
          <w:p w14:paraId="2001EE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56" w:type="dxa"/>
            <w:vAlign w:val="center"/>
          </w:tcPr>
          <w:p w14:paraId="0519673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27</w:t>
            </w:r>
            <w:r w:rsidRPr="00FD50F6">
              <w:rPr>
                <w:rFonts w:ascii="Calibri" w:hAnsi="Calibri" w:cs="Times New Roman" w:hint="eastAsia"/>
                <w:b/>
                <w:sz w:val="18"/>
                <w:szCs w:val="24"/>
              </w:rPr>
              <w:t>”</w:t>
            </w:r>
          </w:p>
        </w:tc>
        <w:tc>
          <w:tcPr>
            <w:tcW w:w="756" w:type="dxa"/>
            <w:vAlign w:val="center"/>
          </w:tcPr>
          <w:p w14:paraId="3A99932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28</w:t>
            </w:r>
            <w:r w:rsidRPr="00FD50F6">
              <w:rPr>
                <w:rFonts w:ascii="Calibri" w:hAnsi="Calibri" w:cs="Times New Roman" w:hint="eastAsia"/>
                <w:b/>
                <w:sz w:val="18"/>
                <w:szCs w:val="24"/>
              </w:rPr>
              <w:t>”</w:t>
            </w:r>
          </w:p>
        </w:tc>
        <w:tc>
          <w:tcPr>
            <w:tcW w:w="756" w:type="dxa"/>
            <w:vAlign w:val="center"/>
          </w:tcPr>
          <w:p w14:paraId="30AF27C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29</w:t>
            </w:r>
            <w:r w:rsidRPr="00FD50F6">
              <w:rPr>
                <w:rFonts w:ascii="Calibri" w:hAnsi="Calibri" w:cs="Times New Roman" w:hint="eastAsia"/>
                <w:b/>
                <w:sz w:val="18"/>
                <w:szCs w:val="24"/>
              </w:rPr>
              <w:t>”</w:t>
            </w:r>
          </w:p>
        </w:tc>
      </w:tr>
      <w:tr w:rsidR="00FD50F6" w:rsidRPr="00FD50F6" w14:paraId="5227E2D6" w14:textId="77777777" w:rsidTr="002B733E">
        <w:trPr>
          <w:trHeight w:val="397"/>
        </w:trPr>
        <w:tc>
          <w:tcPr>
            <w:tcW w:w="701" w:type="dxa"/>
            <w:vAlign w:val="center"/>
          </w:tcPr>
          <w:p w14:paraId="637325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538200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3D5D43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1043</w:t>
            </w:r>
          </w:p>
        </w:tc>
        <w:tc>
          <w:tcPr>
            <w:tcW w:w="756" w:type="dxa"/>
            <w:vAlign w:val="center"/>
          </w:tcPr>
          <w:p w14:paraId="3DE1106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1210</w:t>
            </w:r>
          </w:p>
        </w:tc>
        <w:tc>
          <w:tcPr>
            <w:tcW w:w="756" w:type="dxa"/>
            <w:vAlign w:val="center"/>
          </w:tcPr>
          <w:p w14:paraId="7E3FF7D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1400</w:t>
            </w:r>
          </w:p>
        </w:tc>
        <w:tc>
          <w:tcPr>
            <w:tcW w:w="756" w:type="dxa"/>
            <w:vAlign w:val="center"/>
          </w:tcPr>
          <w:p w14:paraId="7714EA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1516</w:t>
            </w:r>
          </w:p>
        </w:tc>
        <w:tc>
          <w:tcPr>
            <w:tcW w:w="756" w:type="dxa"/>
            <w:vAlign w:val="center"/>
          </w:tcPr>
          <w:p w14:paraId="787204E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1607</w:t>
            </w:r>
          </w:p>
        </w:tc>
        <w:tc>
          <w:tcPr>
            <w:tcW w:w="756" w:type="dxa"/>
            <w:vAlign w:val="center"/>
          </w:tcPr>
          <w:p w14:paraId="4933F4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1647</w:t>
            </w:r>
          </w:p>
        </w:tc>
        <w:tc>
          <w:tcPr>
            <w:tcW w:w="756" w:type="dxa"/>
            <w:vAlign w:val="center"/>
          </w:tcPr>
          <w:p w14:paraId="692E3A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1651</w:t>
            </w:r>
          </w:p>
        </w:tc>
        <w:tc>
          <w:tcPr>
            <w:tcW w:w="756" w:type="dxa"/>
            <w:vAlign w:val="center"/>
          </w:tcPr>
          <w:p w14:paraId="2D8EE4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1698</w:t>
            </w:r>
          </w:p>
        </w:tc>
        <w:tc>
          <w:tcPr>
            <w:tcW w:w="756" w:type="dxa"/>
            <w:vAlign w:val="center"/>
          </w:tcPr>
          <w:p w14:paraId="5DD1BC0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1691</w:t>
            </w:r>
          </w:p>
        </w:tc>
      </w:tr>
      <w:tr w:rsidR="00FD50F6" w:rsidRPr="00FD50F6" w14:paraId="7006745A" w14:textId="77777777" w:rsidTr="002B733E">
        <w:trPr>
          <w:trHeight w:val="397"/>
        </w:trPr>
        <w:tc>
          <w:tcPr>
            <w:tcW w:w="701" w:type="dxa"/>
            <w:vAlign w:val="center"/>
          </w:tcPr>
          <w:p w14:paraId="5F361A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39AB92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w:t>
            </w:r>
            <w:r w:rsidRPr="00FD50F6">
              <w:rPr>
                <w:rFonts w:ascii="Calibri" w:hAnsi="Calibri" w:cs="Times New Roman"/>
                <w:sz w:val="18"/>
                <w:szCs w:val="24"/>
              </w:rPr>
              <w:t>6</w:t>
            </w:r>
            <w:r w:rsidRPr="00FD50F6">
              <w:rPr>
                <w:rFonts w:ascii="Calibri" w:hAnsi="Calibri" w:cs="Times New Roman" w:hint="eastAsia"/>
                <w:sz w:val="18"/>
                <w:szCs w:val="24"/>
              </w:rPr>
              <w:t>9</w:t>
            </w:r>
          </w:p>
        </w:tc>
        <w:tc>
          <w:tcPr>
            <w:tcW w:w="756" w:type="dxa"/>
            <w:vAlign w:val="center"/>
          </w:tcPr>
          <w:p w14:paraId="061995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w:t>
            </w:r>
            <w:r w:rsidRPr="00FD50F6">
              <w:rPr>
                <w:rFonts w:ascii="Calibri" w:hAnsi="Calibri" w:cs="Times New Roman"/>
                <w:sz w:val="18"/>
                <w:szCs w:val="24"/>
              </w:rPr>
              <w:t>9</w:t>
            </w:r>
            <w:r w:rsidRPr="00FD50F6">
              <w:rPr>
                <w:rFonts w:ascii="Calibri" w:hAnsi="Calibri" w:cs="Times New Roman" w:hint="eastAsia"/>
                <w:sz w:val="18"/>
                <w:szCs w:val="24"/>
              </w:rPr>
              <w:t>1</w:t>
            </w:r>
          </w:p>
        </w:tc>
        <w:tc>
          <w:tcPr>
            <w:tcW w:w="756" w:type="dxa"/>
            <w:vAlign w:val="center"/>
          </w:tcPr>
          <w:p w14:paraId="1E7718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3856</w:t>
            </w:r>
          </w:p>
        </w:tc>
        <w:tc>
          <w:tcPr>
            <w:tcW w:w="756" w:type="dxa"/>
            <w:vAlign w:val="center"/>
          </w:tcPr>
          <w:p w14:paraId="59FB0E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3721</w:t>
            </w:r>
          </w:p>
        </w:tc>
        <w:tc>
          <w:tcPr>
            <w:tcW w:w="756" w:type="dxa"/>
            <w:vAlign w:val="center"/>
          </w:tcPr>
          <w:p w14:paraId="0F643F9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3599</w:t>
            </w:r>
          </w:p>
        </w:tc>
        <w:tc>
          <w:tcPr>
            <w:tcW w:w="756" w:type="dxa"/>
            <w:vAlign w:val="center"/>
          </w:tcPr>
          <w:p w14:paraId="13E74F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3443</w:t>
            </w:r>
          </w:p>
        </w:tc>
        <w:tc>
          <w:tcPr>
            <w:tcW w:w="756" w:type="dxa"/>
            <w:vAlign w:val="center"/>
          </w:tcPr>
          <w:p w14:paraId="2BDC19F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3312</w:t>
            </w:r>
          </w:p>
        </w:tc>
        <w:tc>
          <w:tcPr>
            <w:tcW w:w="756" w:type="dxa"/>
            <w:vAlign w:val="center"/>
          </w:tcPr>
          <w:p w14:paraId="35DC22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3072</w:t>
            </w:r>
          </w:p>
        </w:tc>
        <w:tc>
          <w:tcPr>
            <w:tcW w:w="756" w:type="dxa"/>
            <w:vAlign w:val="center"/>
          </w:tcPr>
          <w:p w14:paraId="5915C4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3055</w:t>
            </w:r>
          </w:p>
        </w:tc>
        <w:tc>
          <w:tcPr>
            <w:tcW w:w="756" w:type="dxa"/>
            <w:vAlign w:val="center"/>
          </w:tcPr>
          <w:p w14:paraId="33200F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2477</w:t>
            </w:r>
          </w:p>
        </w:tc>
      </w:tr>
      <w:tr w:rsidR="00FD50F6" w:rsidRPr="00FD50F6" w14:paraId="44C8F2DF" w14:textId="77777777" w:rsidTr="002B733E">
        <w:trPr>
          <w:trHeight w:val="397"/>
        </w:trPr>
        <w:tc>
          <w:tcPr>
            <w:tcW w:w="701" w:type="dxa"/>
            <w:vAlign w:val="center"/>
          </w:tcPr>
          <w:p w14:paraId="42AAA15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26FCA88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56" w:type="dxa"/>
            <w:vAlign w:val="center"/>
          </w:tcPr>
          <w:p w14:paraId="45DA0AA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56" w:type="dxa"/>
            <w:vAlign w:val="center"/>
          </w:tcPr>
          <w:p w14:paraId="58D85B3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c>
          <w:tcPr>
            <w:tcW w:w="756" w:type="dxa"/>
            <w:vAlign w:val="center"/>
          </w:tcPr>
          <w:p w14:paraId="7F2F90E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c>
          <w:tcPr>
            <w:tcW w:w="756" w:type="dxa"/>
            <w:vAlign w:val="center"/>
          </w:tcPr>
          <w:p w14:paraId="5ED63AB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c>
          <w:tcPr>
            <w:tcW w:w="756" w:type="dxa"/>
            <w:vAlign w:val="center"/>
          </w:tcPr>
          <w:p w14:paraId="5B98629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r w:rsidRPr="00FD50F6">
              <w:rPr>
                <w:rFonts w:ascii="Calibri" w:hAnsi="Calibri" w:cs="Times New Roman" w:hint="eastAsia"/>
                <w:b/>
                <w:sz w:val="18"/>
                <w:szCs w:val="24"/>
              </w:rPr>
              <w:t>”</w:t>
            </w:r>
          </w:p>
        </w:tc>
        <w:tc>
          <w:tcPr>
            <w:tcW w:w="756" w:type="dxa"/>
            <w:vAlign w:val="center"/>
          </w:tcPr>
          <w:p w14:paraId="000C07D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21</w:t>
            </w:r>
            <w:r w:rsidRPr="00FD50F6">
              <w:rPr>
                <w:rFonts w:ascii="Calibri" w:hAnsi="Calibri" w:cs="Times New Roman" w:hint="eastAsia"/>
                <w:b/>
                <w:sz w:val="18"/>
                <w:szCs w:val="24"/>
              </w:rPr>
              <w:t>”</w:t>
            </w:r>
          </w:p>
        </w:tc>
        <w:tc>
          <w:tcPr>
            <w:tcW w:w="756" w:type="dxa"/>
            <w:vAlign w:val="center"/>
          </w:tcPr>
          <w:p w14:paraId="68957EA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22</w:t>
            </w:r>
            <w:r w:rsidRPr="00FD50F6">
              <w:rPr>
                <w:rFonts w:ascii="Calibri" w:hAnsi="Calibri" w:cs="Times New Roman" w:hint="eastAsia"/>
                <w:b/>
                <w:sz w:val="18"/>
                <w:szCs w:val="24"/>
              </w:rPr>
              <w:t>”</w:t>
            </w:r>
          </w:p>
        </w:tc>
        <w:tc>
          <w:tcPr>
            <w:tcW w:w="756" w:type="dxa"/>
            <w:vAlign w:val="center"/>
          </w:tcPr>
          <w:p w14:paraId="4A2975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23</w:t>
            </w:r>
            <w:r w:rsidRPr="00FD50F6">
              <w:rPr>
                <w:rFonts w:ascii="Calibri" w:hAnsi="Calibri" w:cs="Times New Roman" w:hint="eastAsia"/>
                <w:b/>
                <w:sz w:val="18"/>
                <w:szCs w:val="24"/>
              </w:rPr>
              <w:t>”</w:t>
            </w:r>
          </w:p>
        </w:tc>
        <w:tc>
          <w:tcPr>
            <w:tcW w:w="756" w:type="dxa"/>
            <w:vAlign w:val="center"/>
          </w:tcPr>
          <w:p w14:paraId="339A62B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24</w:t>
            </w:r>
            <w:r w:rsidRPr="00FD50F6">
              <w:rPr>
                <w:rFonts w:ascii="Calibri" w:hAnsi="Calibri" w:cs="Times New Roman" w:hint="eastAsia"/>
                <w:b/>
                <w:sz w:val="18"/>
                <w:szCs w:val="24"/>
              </w:rPr>
              <w:t>”</w:t>
            </w:r>
          </w:p>
        </w:tc>
      </w:tr>
      <w:tr w:rsidR="00FD50F6" w:rsidRPr="00FD50F6" w14:paraId="0FD2F826" w14:textId="77777777" w:rsidTr="002B733E">
        <w:trPr>
          <w:trHeight w:val="397"/>
        </w:trPr>
        <w:tc>
          <w:tcPr>
            <w:tcW w:w="701" w:type="dxa"/>
            <w:vAlign w:val="center"/>
          </w:tcPr>
          <w:p w14:paraId="6C1A35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447B67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1676</w:t>
            </w:r>
          </w:p>
        </w:tc>
        <w:tc>
          <w:tcPr>
            <w:tcW w:w="756" w:type="dxa"/>
            <w:vAlign w:val="center"/>
          </w:tcPr>
          <w:p w14:paraId="4D47DA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1580</w:t>
            </w:r>
          </w:p>
        </w:tc>
        <w:tc>
          <w:tcPr>
            <w:tcW w:w="756" w:type="dxa"/>
            <w:vAlign w:val="center"/>
          </w:tcPr>
          <w:p w14:paraId="589B674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1574</w:t>
            </w:r>
          </w:p>
        </w:tc>
        <w:tc>
          <w:tcPr>
            <w:tcW w:w="756" w:type="dxa"/>
            <w:vAlign w:val="center"/>
          </w:tcPr>
          <w:p w14:paraId="5CD69E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1700</w:t>
            </w:r>
          </w:p>
        </w:tc>
        <w:tc>
          <w:tcPr>
            <w:tcW w:w="756" w:type="dxa"/>
            <w:vAlign w:val="center"/>
          </w:tcPr>
          <w:p w14:paraId="3087E6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1700</w:t>
            </w:r>
          </w:p>
        </w:tc>
        <w:tc>
          <w:tcPr>
            <w:tcW w:w="756" w:type="dxa"/>
            <w:vAlign w:val="center"/>
          </w:tcPr>
          <w:p w14:paraId="68AD48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867</w:t>
            </w:r>
          </w:p>
        </w:tc>
        <w:tc>
          <w:tcPr>
            <w:tcW w:w="756" w:type="dxa"/>
            <w:vAlign w:val="center"/>
          </w:tcPr>
          <w:p w14:paraId="5ACF62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867</w:t>
            </w:r>
          </w:p>
        </w:tc>
        <w:tc>
          <w:tcPr>
            <w:tcW w:w="756" w:type="dxa"/>
            <w:vAlign w:val="center"/>
          </w:tcPr>
          <w:p w14:paraId="61095E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3F6D560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608956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632</w:t>
            </w:r>
          </w:p>
        </w:tc>
      </w:tr>
      <w:tr w:rsidR="00FD50F6" w:rsidRPr="00FD50F6" w14:paraId="746540C8" w14:textId="77777777" w:rsidTr="002B733E">
        <w:trPr>
          <w:trHeight w:val="397"/>
        </w:trPr>
        <w:tc>
          <w:tcPr>
            <w:tcW w:w="701" w:type="dxa"/>
            <w:vAlign w:val="center"/>
          </w:tcPr>
          <w:p w14:paraId="2B8673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6016D5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1712</w:t>
            </w:r>
          </w:p>
        </w:tc>
        <w:tc>
          <w:tcPr>
            <w:tcW w:w="756" w:type="dxa"/>
            <w:vAlign w:val="center"/>
          </w:tcPr>
          <w:p w14:paraId="66FAF4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955</w:t>
            </w:r>
          </w:p>
        </w:tc>
        <w:tc>
          <w:tcPr>
            <w:tcW w:w="756" w:type="dxa"/>
            <w:vAlign w:val="center"/>
          </w:tcPr>
          <w:p w14:paraId="447674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0F5E8D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3979E2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13F130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26EA900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0FA334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56" w:type="dxa"/>
            <w:vAlign w:val="center"/>
          </w:tcPr>
          <w:p w14:paraId="03159C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w:t>
            </w:r>
          </w:p>
        </w:tc>
        <w:tc>
          <w:tcPr>
            <w:tcW w:w="756" w:type="dxa"/>
            <w:vAlign w:val="center"/>
          </w:tcPr>
          <w:p w14:paraId="6F3236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-66</w:t>
            </w:r>
          </w:p>
        </w:tc>
      </w:tr>
      <w:tr w:rsidR="00FD50F6" w:rsidRPr="00FD50F6" w14:paraId="54AFC045" w14:textId="77777777" w:rsidTr="002B733E">
        <w:trPr>
          <w:trHeight w:val="397"/>
        </w:trPr>
        <w:tc>
          <w:tcPr>
            <w:tcW w:w="701" w:type="dxa"/>
            <w:vAlign w:val="center"/>
          </w:tcPr>
          <w:p w14:paraId="6B73283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3BDAFE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25</w:t>
            </w:r>
            <w:r w:rsidRPr="00FD50F6">
              <w:rPr>
                <w:rFonts w:ascii="Calibri" w:hAnsi="Calibri" w:cs="Times New Roman" w:hint="eastAsia"/>
                <w:b/>
                <w:sz w:val="18"/>
                <w:szCs w:val="24"/>
              </w:rPr>
              <w:t>”</w:t>
            </w:r>
          </w:p>
        </w:tc>
        <w:tc>
          <w:tcPr>
            <w:tcW w:w="756" w:type="dxa"/>
            <w:vAlign w:val="center"/>
          </w:tcPr>
          <w:p w14:paraId="5B5DA9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26</w:t>
            </w:r>
            <w:r w:rsidRPr="00FD50F6">
              <w:rPr>
                <w:rFonts w:ascii="Calibri" w:hAnsi="Calibri" w:cs="Times New Roman" w:hint="eastAsia"/>
                <w:b/>
                <w:sz w:val="18"/>
                <w:szCs w:val="24"/>
              </w:rPr>
              <w:t>”</w:t>
            </w:r>
          </w:p>
        </w:tc>
        <w:tc>
          <w:tcPr>
            <w:tcW w:w="756" w:type="dxa"/>
            <w:vAlign w:val="bottom"/>
          </w:tcPr>
          <w:p w14:paraId="3348F4A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9e</w:t>
            </w:r>
            <w:r w:rsidRPr="00FD50F6">
              <w:rPr>
                <w:rFonts w:ascii="Calibri" w:hAnsi="Calibri" w:cs="Times New Roman" w:hint="eastAsia"/>
                <w:b/>
                <w:sz w:val="18"/>
                <w:szCs w:val="24"/>
              </w:rPr>
              <w:t>”</w:t>
            </w:r>
          </w:p>
        </w:tc>
        <w:tc>
          <w:tcPr>
            <w:tcW w:w="756" w:type="dxa"/>
            <w:vAlign w:val="bottom"/>
          </w:tcPr>
          <w:p w14:paraId="10DE347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10e</w:t>
            </w:r>
            <w:r w:rsidRPr="00FD50F6">
              <w:rPr>
                <w:rFonts w:ascii="Calibri" w:hAnsi="Calibri" w:cs="Times New Roman" w:hint="eastAsia"/>
                <w:b/>
                <w:sz w:val="18"/>
                <w:szCs w:val="24"/>
              </w:rPr>
              <w:t>”</w:t>
            </w:r>
          </w:p>
        </w:tc>
        <w:tc>
          <w:tcPr>
            <w:tcW w:w="756" w:type="dxa"/>
            <w:vAlign w:val="bottom"/>
          </w:tcPr>
          <w:p w14:paraId="37904B0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14e</w:t>
            </w:r>
            <w:r w:rsidRPr="00FD50F6">
              <w:rPr>
                <w:rFonts w:ascii="Calibri" w:hAnsi="Calibri" w:cs="Times New Roman" w:hint="eastAsia"/>
                <w:b/>
                <w:sz w:val="18"/>
                <w:szCs w:val="24"/>
              </w:rPr>
              <w:t>”</w:t>
            </w:r>
          </w:p>
        </w:tc>
        <w:tc>
          <w:tcPr>
            <w:tcW w:w="756" w:type="dxa"/>
            <w:vAlign w:val="center"/>
          </w:tcPr>
          <w:p w14:paraId="359ACDB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ED2C99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78C4C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C68F9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22FF3F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4260D8BF" w14:textId="77777777" w:rsidTr="002B733E">
        <w:trPr>
          <w:trHeight w:val="397"/>
        </w:trPr>
        <w:tc>
          <w:tcPr>
            <w:tcW w:w="701" w:type="dxa"/>
            <w:vAlign w:val="center"/>
          </w:tcPr>
          <w:p w14:paraId="756FF9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63D596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632</w:t>
            </w:r>
          </w:p>
        </w:tc>
        <w:tc>
          <w:tcPr>
            <w:tcW w:w="756" w:type="dxa"/>
            <w:vAlign w:val="center"/>
          </w:tcPr>
          <w:p w14:paraId="13F407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13DEF8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-1574</w:t>
            </w:r>
          </w:p>
        </w:tc>
        <w:tc>
          <w:tcPr>
            <w:tcW w:w="756" w:type="dxa"/>
            <w:vAlign w:val="center"/>
          </w:tcPr>
          <w:p w14:paraId="6BF189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-1750</w:t>
            </w:r>
          </w:p>
        </w:tc>
        <w:tc>
          <w:tcPr>
            <w:tcW w:w="756" w:type="dxa"/>
            <w:vAlign w:val="center"/>
          </w:tcPr>
          <w:p w14:paraId="2C3A4B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-1750</w:t>
            </w:r>
          </w:p>
        </w:tc>
        <w:tc>
          <w:tcPr>
            <w:tcW w:w="756" w:type="dxa"/>
            <w:vAlign w:val="center"/>
          </w:tcPr>
          <w:p w14:paraId="5375B8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645870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45A64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ABC086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A9B49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20E600FE" w14:textId="77777777" w:rsidTr="002B733E">
        <w:trPr>
          <w:trHeight w:val="397"/>
        </w:trPr>
        <w:tc>
          <w:tcPr>
            <w:tcW w:w="701" w:type="dxa"/>
            <w:vAlign w:val="center"/>
          </w:tcPr>
          <w:p w14:paraId="1867F8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67AC43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56A9A72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457DB4C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028DA9B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481</w:t>
            </w:r>
          </w:p>
        </w:tc>
        <w:tc>
          <w:tcPr>
            <w:tcW w:w="756" w:type="dxa"/>
            <w:vAlign w:val="center"/>
          </w:tcPr>
          <w:p w14:paraId="0FB570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3EB945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4A972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3AB43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C3D9F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30E26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32C0C360" w14:textId="77777777" w:rsidR="002B733E" w:rsidRPr="00FD50F6" w:rsidRDefault="002B733E" w:rsidP="002B733E">
      <w:pPr>
        <w:spacing w:line="0" w:lineRule="atLeast"/>
        <w:rPr>
          <w:rFonts w:ascii="Calibri" w:hAnsi="Calibri" w:cs="Times New Roman"/>
          <w:sz w:val="18"/>
          <w:szCs w:val="24"/>
        </w:rPr>
      </w:pPr>
    </w:p>
    <w:p w14:paraId="28140F12" w14:textId="77777777" w:rsidR="002B733E" w:rsidRPr="00FD50F6" w:rsidRDefault="002B733E" w:rsidP="002B733E">
      <w:pPr>
        <w:spacing w:line="0" w:lineRule="atLeast"/>
        <w:rPr>
          <w:rFonts w:ascii="Calibri" w:hAnsi="Calibri" w:cs="Times New Roman"/>
          <w:sz w:val="18"/>
          <w:szCs w:val="24"/>
        </w:rPr>
      </w:pPr>
    </w:p>
    <w:p w14:paraId="2492ED2C"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D.0.1-6</w:t>
      </w:r>
      <w:r w:rsidRPr="00FD50F6">
        <w:rPr>
          <w:rFonts w:ascii="黑体" w:eastAsia="黑体" w:hAnsi="黑体" w:cs="Times New Roman" w:hint="eastAsia"/>
          <w:sz w:val="21"/>
          <w:szCs w:val="24"/>
        </w:rPr>
        <w:t xml:space="preserve">  隧道内过站直线地段车辆限界坐标值（mm）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27602FBE" w14:textId="77777777" w:rsidTr="002B733E">
        <w:trPr>
          <w:trHeight w:val="397"/>
        </w:trPr>
        <w:tc>
          <w:tcPr>
            <w:tcW w:w="701" w:type="dxa"/>
            <w:vAlign w:val="center"/>
          </w:tcPr>
          <w:p w14:paraId="33A17D5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5552299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r w:rsidRPr="00FD50F6">
              <w:rPr>
                <w:rFonts w:ascii="Calibri" w:hAnsi="Calibri" w:cs="Times New Roman" w:hint="eastAsia"/>
                <w:b/>
                <w:sz w:val="18"/>
                <w:szCs w:val="24"/>
              </w:rPr>
              <w:t>’</w:t>
            </w:r>
          </w:p>
        </w:tc>
        <w:tc>
          <w:tcPr>
            <w:tcW w:w="756" w:type="dxa"/>
            <w:vAlign w:val="center"/>
          </w:tcPr>
          <w:p w14:paraId="4C12DF3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56" w:type="dxa"/>
            <w:vAlign w:val="center"/>
          </w:tcPr>
          <w:p w14:paraId="0B0A653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56" w:type="dxa"/>
            <w:vAlign w:val="center"/>
          </w:tcPr>
          <w:p w14:paraId="28DA1B8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56" w:type="dxa"/>
            <w:vAlign w:val="center"/>
          </w:tcPr>
          <w:p w14:paraId="525F632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56" w:type="dxa"/>
            <w:vAlign w:val="center"/>
          </w:tcPr>
          <w:p w14:paraId="306CEB0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56" w:type="dxa"/>
            <w:vAlign w:val="center"/>
          </w:tcPr>
          <w:p w14:paraId="5D82178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56" w:type="dxa"/>
            <w:vAlign w:val="center"/>
          </w:tcPr>
          <w:p w14:paraId="62CE878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56" w:type="dxa"/>
            <w:vAlign w:val="center"/>
          </w:tcPr>
          <w:p w14:paraId="2831A02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56" w:type="dxa"/>
            <w:vAlign w:val="center"/>
          </w:tcPr>
          <w:p w14:paraId="12D8EF4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r>
      <w:tr w:rsidR="00FD50F6" w:rsidRPr="00FD50F6" w14:paraId="0AEC2078" w14:textId="77777777" w:rsidTr="002B733E">
        <w:trPr>
          <w:trHeight w:val="397"/>
        </w:trPr>
        <w:tc>
          <w:tcPr>
            <w:tcW w:w="701" w:type="dxa"/>
            <w:vAlign w:val="center"/>
          </w:tcPr>
          <w:p w14:paraId="3014414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1419E0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3FB5D5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927</w:t>
            </w:r>
          </w:p>
        </w:tc>
        <w:tc>
          <w:tcPr>
            <w:tcW w:w="756" w:type="dxa"/>
            <w:vAlign w:val="center"/>
          </w:tcPr>
          <w:p w14:paraId="3DD5FD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1027</w:t>
            </w:r>
          </w:p>
        </w:tc>
        <w:tc>
          <w:tcPr>
            <w:tcW w:w="756" w:type="dxa"/>
            <w:vAlign w:val="center"/>
          </w:tcPr>
          <w:p w14:paraId="557CD7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1204</w:t>
            </w:r>
          </w:p>
        </w:tc>
        <w:tc>
          <w:tcPr>
            <w:tcW w:w="756" w:type="dxa"/>
            <w:vAlign w:val="center"/>
          </w:tcPr>
          <w:p w14:paraId="315304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1303</w:t>
            </w:r>
          </w:p>
        </w:tc>
        <w:tc>
          <w:tcPr>
            <w:tcW w:w="756" w:type="dxa"/>
            <w:vAlign w:val="center"/>
          </w:tcPr>
          <w:p w14:paraId="58D73F7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1371</w:t>
            </w:r>
          </w:p>
        </w:tc>
        <w:tc>
          <w:tcPr>
            <w:tcW w:w="756" w:type="dxa"/>
            <w:vAlign w:val="center"/>
          </w:tcPr>
          <w:p w14:paraId="54AA19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1389</w:t>
            </w:r>
          </w:p>
        </w:tc>
        <w:tc>
          <w:tcPr>
            <w:tcW w:w="756" w:type="dxa"/>
            <w:vAlign w:val="center"/>
          </w:tcPr>
          <w:p w14:paraId="1C903F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1409</w:t>
            </w:r>
          </w:p>
        </w:tc>
        <w:tc>
          <w:tcPr>
            <w:tcW w:w="756" w:type="dxa"/>
            <w:vAlign w:val="center"/>
          </w:tcPr>
          <w:p w14:paraId="64D081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1455</w:t>
            </w:r>
          </w:p>
        </w:tc>
        <w:tc>
          <w:tcPr>
            <w:tcW w:w="756" w:type="dxa"/>
            <w:vAlign w:val="center"/>
          </w:tcPr>
          <w:p w14:paraId="2E082E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1447</w:t>
            </w:r>
          </w:p>
        </w:tc>
      </w:tr>
      <w:tr w:rsidR="00FD50F6" w:rsidRPr="00FD50F6" w14:paraId="4BEA6C30" w14:textId="77777777" w:rsidTr="002B733E">
        <w:trPr>
          <w:trHeight w:val="397"/>
        </w:trPr>
        <w:tc>
          <w:tcPr>
            <w:tcW w:w="701" w:type="dxa"/>
            <w:vAlign w:val="center"/>
          </w:tcPr>
          <w:p w14:paraId="1FA651C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lastRenderedPageBreak/>
              <w:t>Y</w:t>
            </w:r>
          </w:p>
        </w:tc>
        <w:tc>
          <w:tcPr>
            <w:tcW w:w="756" w:type="dxa"/>
            <w:vAlign w:val="center"/>
          </w:tcPr>
          <w:p w14:paraId="4A9BB2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9</w:t>
            </w:r>
            <w:r w:rsidRPr="00FD50F6">
              <w:rPr>
                <w:rFonts w:ascii="Calibri" w:hAnsi="Calibri" w:cs="Times New Roman" w:hint="eastAsia"/>
                <w:sz w:val="18"/>
                <w:szCs w:val="24"/>
              </w:rPr>
              <w:t>2</w:t>
            </w:r>
          </w:p>
        </w:tc>
        <w:tc>
          <w:tcPr>
            <w:tcW w:w="756" w:type="dxa"/>
            <w:vAlign w:val="center"/>
          </w:tcPr>
          <w:p w14:paraId="521DD0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9</w:t>
            </w:r>
            <w:r w:rsidRPr="00FD50F6">
              <w:rPr>
                <w:rFonts w:ascii="Calibri" w:hAnsi="Calibri" w:cs="Times New Roman" w:hint="eastAsia"/>
                <w:sz w:val="18"/>
                <w:szCs w:val="24"/>
              </w:rPr>
              <w:t>3</w:t>
            </w:r>
          </w:p>
        </w:tc>
        <w:tc>
          <w:tcPr>
            <w:tcW w:w="756" w:type="dxa"/>
            <w:vAlign w:val="center"/>
          </w:tcPr>
          <w:p w14:paraId="5CC41E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3793</w:t>
            </w:r>
          </w:p>
        </w:tc>
        <w:tc>
          <w:tcPr>
            <w:tcW w:w="756" w:type="dxa"/>
            <w:vAlign w:val="center"/>
          </w:tcPr>
          <w:p w14:paraId="6AC963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3679</w:t>
            </w:r>
          </w:p>
        </w:tc>
        <w:tc>
          <w:tcPr>
            <w:tcW w:w="756" w:type="dxa"/>
            <w:vAlign w:val="center"/>
          </w:tcPr>
          <w:p w14:paraId="4B01C9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3582</w:t>
            </w:r>
          </w:p>
        </w:tc>
        <w:tc>
          <w:tcPr>
            <w:tcW w:w="756" w:type="dxa"/>
            <w:vAlign w:val="center"/>
          </w:tcPr>
          <w:p w14:paraId="1E9466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3450</w:t>
            </w:r>
          </w:p>
        </w:tc>
        <w:tc>
          <w:tcPr>
            <w:tcW w:w="756" w:type="dxa"/>
            <w:vAlign w:val="center"/>
          </w:tcPr>
          <w:p w14:paraId="3E3548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3359</w:t>
            </w:r>
          </w:p>
        </w:tc>
        <w:tc>
          <w:tcPr>
            <w:tcW w:w="756" w:type="dxa"/>
            <w:vAlign w:val="center"/>
          </w:tcPr>
          <w:p w14:paraId="1D38D3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3019</w:t>
            </w:r>
          </w:p>
        </w:tc>
        <w:tc>
          <w:tcPr>
            <w:tcW w:w="756" w:type="dxa"/>
            <w:vAlign w:val="center"/>
          </w:tcPr>
          <w:p w14:paraId="280D01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1904</w:t>
            </w:r>
          </w:p>
        </w:tc>
        <w:tc>
          <w:tcPr>
            <w:tcW w:w="756" w:type="dxa"/>
            <w:vAlign w:val="center"/>
          </w:tcPr>
          <w:p w14:paraId="161202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1007</w:t>
            </w:r>
          </w:p>
        </w:tc>
      </w:tr>
      <w:tr w:rsidR="00FD50F6" w:rsidRPr="00FD50F6" w14:paraId="605699CA" w14:textId="77777777" w:rsidTr="002B733E">
        <w:trPr>
          <w:trHeight w:val="397"/>
        </w:trPr>
        <w:tc>
          <w:tcPr>
            <w:tcW w:w="701" w:type="dxa"/>
            <w:vAlign w:val="center"/>
          </w:tcPr>
          <w:p w14:paraId="7B45403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2ABE0CA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c>
          <w:tcPr>
            <w:tcW w:w="756" w:type="dxa"/>
            <w:vAlign w:val="center"/>
          </w:tcPr>
          <w:p w14:paraId="57F70CE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56" w:type="dxa"/>
            <w:vAlign w:val="center"/>
          </w:tcPr>
          <w:p w14:paraId="3BB6A4E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11a</w:t>
            </w:r>
            <w:r w:rsidRPr="00FD50F6">
              <w:rPr>
                <w:rFonts w:ascii="Calibri" w:hAnsi="Calibri" w:cs="Times New Roman" w:hint="eastAsia"/>
                <w:b/>
                <w:sz w:val="18"/>
                <w:szCs w:val="24"/>
              </w:rPr>
              <w:t>’</w:t>
            </w:r>
          </w:p>
        </w:tc>
        <w:tc>
          <w:tcPr>
            <w:tcW w:w="756" w:type="dxa"/>
            <w:vAlign w:val="center"/>
          </w:tcPr>
          <w:p w14:paraId="68E1FBF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56" w:type="dxa"/>
            <w:vAlign w:val="center"/>
          </w:tcPr>
          <w:p w14:paraId="408C848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12a</w:t>
            </w:r>
            <w:r w:rsidRPr="00FD50F6">
              <w:rPr>
                <w:rFonts w:ascii="Calibri" w:hAnsi="Calibri" w:cs="Times New Roman" w:hint="eastAsia"/>
                <w:b/>
                <w:sz w:val="18"/>
                <w:szCs w:val="24"/>
              </w:rPr>
              <w:t>’</w:t>
            </w:r>
          </w:p>
        </w:tc>
        <w:tc>
          <w:tcPr>
            <w:tcW w:w="756" w:type="dxa"/>
            <w:vAlign w:val="center"/>
          </w:tcPr>
          <w:p w14:paraId="69C51F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12e</w:t>
            </w:r>
            <w:r w:rsidRPr="00FD50F6">
              <w:rPr>
                <w:rFonts w:ascii="Calibri" w:hAnsi="Calibri" w:cs="Times New Roman" w:hint="eastAsia"/>
                <w:b/>
                <w:sz w:val="18"/>
                <w:szCs w:val="24"/>
              </w:rPr>
              <w:t>’</w:t>
            </w:r>
          </w:p>
        </w:tc>
        <w:tc>
          <w:tcPr>
            <w:tcW w:w="756" w:type="dxa"/>
            <w:vAlign w:val="center"/>
          </w:tcPr>
          <w:p w14:paraId="4A5C707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12f</w:t>
            </w:r>
            <w:r w:rsidRPr="00FD50F6">
              <w:rPr>
                <w:rFonts w:ascii="Calibri" w:hAnsi="Calibri" w:cs="Times New Roman" w:hint="eastAsia"/>
                <w:b/>
                <w:sz w:val="18"/>
                <w:szCs w:val="24"/>
              </w:rPr>
              <w:t>’</w:t>
            </w:r>
          </w:p>
        </w:tc>
        <w:tc>
          <w:tcPr>
            <w:tcW w:w="756" w:type="dxa"/>
            <w:vAlign w:val="center"/>
          </w:tcPr>
          <w:p w14:paraId="57531F1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12d</w:t>
            </w:r>
            <w:r w:rsidRPr="00FD50F6">
              <w:rPr>
                <w:rFonts w:ascii="Calibri" w:hAnsi="Calibri" w:cs="Times New Roman" w:hint="eastAsia"/>
                <w:b/>
                <w:sz w:val="18"/>
                <w:szCs w:val="24"/>
              </w:rPr>
              <w:t>’</w:t>
            </w:r>
          </w:p>
        </w:tc>
        <w:tc>
          <w:tcPr>
            <w:tcW w:w="756" w:type="dxa"/>
            <w:vAlign w:val="center"/>
          </w:tcPr>
          <w:p w14:paraId="2ADC35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56" w:type="dxa"/>
            <w:vAlign w:val="center"/>
          </w:tcPr>
          <w:p w14:paraId="5D033D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r>
      <w:tr w:rsidR="00FD50F6" w:rsidRPr="00FD50F6" w14:paraId="12DF7D09" w14:textId="77777777" w:rsidTr="002B733E">
        <w:trPr>
          <w:trHeight w:val="397"/>
        </w:trPr>
        <w:tc>
          <w:tcPr>
            <w:tcW w:w="701" w:type="dxa"/>
            <w:vAlign w:val="center"/>
          </w:tcPr>
          <w:p w14:paraId="7556B54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1A74FE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1445</w:t>
            </w:r>
          </w:p>
        </w:tc>
        <w:tc>
          <w:tcPr>
            <w:tcW w:w="756" w:type="dxa"/>
            <w:vAlign w:val="center"/>
          </w:tcPr>
          <w:p w14:paraId="1556ED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1357</w:t>
            </w:r>
          </w:p>
        </w:tc>
        <w:tc>
          <w:tcPr>
            <w:tcW w:w="756" w:type="dxa"/>
            <w:vAlign w:val="center"/>
          </w:tcPr>
          <w:p w14:paraId="42D2AB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1376</w:t>
            </w:r>
          </w:p>
        </w:tc>
        <w:tc>
          <w:tcPr>
            <w:tcW w:w="756" w:type="dxa"/>
            <w:vAlign w:val="center"/>
          </w:tcPr>
          <w:p w14:paraId="270C276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1357</w:t>
            </w:r>
          </w:p>
        </w:tc>
        <w:tc>
          <w:tcPr>
            <w:tcW w:w="756" w:type="dxa"/>
            <w:vAlign w:val="center"/>
          </w:tcPr>
          <w:p w14:paraId="185052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1527</w:t>
            </w:r>
          </w:p>
        </w:tc>
        <w:tc>
          <w:tcPr>
            <w:tcW w:w="756" w:type="dxa"/>
            <w:vAlign w:val="center"/>
          </w:tcPr>
          <w:p w14:paraId="5C7873F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1527</w:t>
            </w:r>
          </w:p>
        </w:tc>
        <w:tc>
          <w:tcPr>
            <w:tcW w:w="756" w:type="dxa"/>
            <w:vAlign w:val="center"/>
          </w:tcPr>
          <w:p w14:paraId="1406020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1211</w:t>
            </w:r>
          </w:p>
        </w:tc>
        <w:tc>
          <w:tcPr>
            <w:tcW w:w="756" w:type="dxa"/>
            <w:vAlign w:val="center"/>
          </w:tcPr>
          <w:p w14:paraId="4587C57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1027</w:t>
            </w:r>
          </w:p>
        </w:tc>
        <w:tc>
          <w:tcPr>
            <w:tcW w:w="756" w:type="dxa"/>
            <w:vAlign w:val="center"/>
          </w:tcPr>
          <w:p w14:paraId="04AE5B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1027</w:t>
            </w:r>
          </w:p>
        </w:tc>
        <w:tc>
          <w:tcPr>
            <w:tcW w:w="756" w:type="dxa"/>
            <w:vAlign w:val="center"/>
          </w:tcPr>
          <w:p w14:paraId="2FEC2F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836</w:t>
            </w:r>
          </w:p>
        </w:tc>
      </w:tr>
      <w:tr w:rsidR="00FD50F6" w:rsidRPr="00FD50F6" w14:paraId="0742301F" w14:textId="77777777" w:rsidTr="002B733E">
        <w:trPr>
          <w:trHeight w:val="397"/>
        </w:trPr>
        <w:tc>
          <w:tcPr>
            <w:tcW w:w="701" w:type="dxa"/>
            <w:vAlign w:val="center"/>
          </w:tcPr>
          <w:p w14:paraId="22CC70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1804BB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777</w:t>
            </w:r>
          </w:p>
        </w:tc>
        <w:tc>
          <w:tcPr>
            <w:tcW w:w="756" w:type="dxa"/>
            <w:vAlign w:val="center"/>
          </w:tcPr>
          <w:p w14:paraId="088B0E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561</w:t>
            </w:r>
          </w:p>
        </w:tc>
        <w:tc>
          <w:tcPr>
            <w:tcW w:w="756" w:type="dxa"/>
            <w:vAlign w:val="center"/>
          </w:tcPr>
          <w:p w14:paraId="59B7D2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561</w:t>
            </w:r>
          </w:p>
        </w:tc>
        <w:tc>
          <w:tcPr>
            <w:tcW w:w="756" w:type="dxa"/>
            <w:vAlign w:val="center"/>
          </w:tcPr>
          <w:p w14:paraId="7C0564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75F8EF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6A042D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32</w:t>
            </w:r>
          </w:p>
        </w:tc>
        <w:tc>
          <w:tcPr>
            <w:tcW w:w="756" w:type="dxa"/>
            <w:vAlign w:val="center"/>
          </w:tcPr>
          <w:p w14:paraId="3D427E8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51</w:t>
            </w:r>
          </w:p>
        </w:tc>
        <w:tc>
          <w:tcPr>
            <w:tcW w:w="756" w:type="dxa"/>
            <w:vAlign w:val="center"/>
          </w:tcPr>
          <w:p w14:paraId="3AFD03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w:t>
            </w:r>
          </w:p>
        </w:tc>
        <w:tc>
          <w:tcPr>
            <w:tcW w:w="756" w:type="dxa"/>
            <w:vAlign w:val="center"/>
          </w:tcPr>
          <w:p w14:paraId="177EBB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w:t>
            </w:r>
          </w:p>
        </w:tc>
        <w:tc>
          <w:tcPr>
            <w:tcW w:w="756" w:type="dxa"/>
            <w:vAlign w:val="center"/>
          </w:tcPr>
          <w:p w14:paraId="73EDDCF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w:t>
            </w:r>
          </w:p>
        </w:tc>
      </w:tr>
      <w:tr w:rsidR="00FD50F6" w:rsidRPr="00FD50F6" w14:paraId="55D8092A" w14:textId="77777777" w:rsidTr="002B733E">
        <w:trPr>
          <w:trHeight w:val="397"/>
        </w:trPr>
        <w:tc>
          <w:tcPr>
            <w:tcW w:w="701" w:type="dxa"/>
            <w:vAlign w:val="center"/>
          </w:tcPr>
          <w:p w14:paraId="113CC0A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62B75A4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56" w:type="dxa"/>
            <w:vAlign w:val="center"/>
          </w:tcPr>
          <w:p w14:paraId="2F10061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56" w:type="dxa"/>
            <w:vAlign w:val="center"/>
          </w:tcPr>
          <w:p w14:paraId="14C5F96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56" w:type="dxa"/>
            <w:vAlign w:val="center"/>
          </w:tcPr>
          <w:p w14:paraId="09FD60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756" w:type="dxa"/>
            <w:vAlign w:val="center"/>
          </w:tcPr>
          <w:p w14:paraId="585E5E1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56" w:type="dxa"/>
            <w:vAlign w:val="center"/>
          </w:tcPr>
          <w:p w14:paraId="374C220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r w:rsidRPr="00FD50F6">
              <w:rPr>
                <w:rFonts w:ascii="Calibri" w:hAnsi="Calibri" w:cs="Times New Roman" w:hint="eastAsia"/>
                <w:b/>
                <w:sz w:val="18"/>
                <w:szCs w:val="24"/>
              </w:rPr>
              <w:t>’</w:t>
            </w:r>
          </w:p>
        </w:tc>
        <w:tc>
          <w:tcPr>
            <w:tcW w:w="756" w:type="dxa"/>
            <w:vAlign w:val="center"/>
          </w:tcPr>
          <w:p w14:paraId="7EC2043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42889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2214DB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2AE5AA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0DE6192B" w14:textId="77777777" w:rsidTr="002B733E">
        <w:trPr>
          <w:trHeight w:val="397"/>
        </w:trPr>
        <w:tc>
          <w:tcPr>
            <w:tcW w:w="701" w:type="dxa"/>
            <w:vAlign w:val="center"/>
          </w:tcPr>
          <w:p w14:paraId="5BE463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63DB5D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836</w:t>
            </w:r>
          </w:p>
        </w:tc>
        <w:tc>
          <w:tcPr>
            <w:tcW w:w="756" w:type="dxa"/>
            <w:vAlign w:val="center"/>
          </w:tcPr>
          <w:p w14:paraId="719964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24B025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149A000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652</w:t>
            </w:r>
          </w:p>
        </w:tc>
        <w:tc>
          <w:tcPr>
            <w:tcW w:w="756" w:type="dxa"/>
            <w:vAlign w:val="center"/>
          </w:tcPr>
          <w:p w14:paraId="72FEDB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652</w:t>
            </w:r>
          </w:p>
        </w:tc>
        <w:tc>
          <w:tcPr>
            <w:tcW w:w="756" w:type="dxa"/>
            <w:vAlign w:val="center"/>
          </w:tcPr>
          <w:p w14:paraId="3639FB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697DD5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1B6A89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1236B9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26E3D8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4CC14769" w14:textId="77777777" w:rsidTr="002B733E">
        <w:trPr>
          <w:trHeight w:val="397"/>
        </w:trPr>
        <w:tc>
          <w:tcPr>
            <w:tcW w:w="701" w:type="dxa"/>
            <w:vAlign w:val="center"/>
          </w:tcPr>
          <w:p w14:paraId="4F6031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384B922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463266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16939D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w:t>
            </w:r>
          </w:p>
        </w:tc>
        <w:tc>
          <w:tcPr>
            <w:tcW w:w="756" w:type="dxa"/>
            <w:vAlign w:val="center"/>
          </w:tcPr>
          <w:p w14:paraId="381FAF3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w:t>
            </w:r>
          </w:p>
        </w:tc>
        <w:tc>
          <w:tcPr>
            <w:tcW w:w="756" w:type="dxa"/>
            <w:vAlign w:val="center"/>
          </w:tcPr>
          <w:p w14:paraId="329100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p>
        </w:tc>
        <w:tc>
          <w:tcPr>
            <w:tcW w:w="756" w:type="dxa"/>
            <w:vAlign w:val="center"/>
          </w:tcPr>
          <w:p w14:paraId="7FC4B2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p>
        </w:tc>
        <w:tc>
          <w:tcPr>
            <w:tcW w:w="756" w:type="dxa"/>
            <w:vAlign w:val="center"/>
          </w:tcPr>
          <w:p w14:paraId="37F9469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7116944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0A435E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580E4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2DDD7105" w14:textId="77777777" w:rsidR="002B733E" w:rsidRPr="00FD50F6" w:rsidRDefault="002B733E" w:rsidP="002B733E">
      <w:pPr>
        <w:spacing w:line="0" w:lineRule="atLeast"/>
        <w:jc w:val="center"/>
        <w:rPr>
          <w:rFonts w:ascii="Calibri" w:hAnsi="Calibri" w:cs="Times New Roman"/>
          <w:sz w:val="21"/>
          <w:szCs w:val="24"/>
        </w:rPr>
      </w:pPr>
    </w:p>
    <w:p w14:paraId="2345998C"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D.0.1-7</w:t>
      </w:r>
      <w:r w:rsidRPr="00FD50F6">
        <w:rPr>
          <w:rFonts w:ascii="黑体" w:eastAsia="黑体" w:hAnsi="黑体" w:cs="Times New Roman" w:hint="eastAsia"/>
          <w:sz w:val="21"/>
          <w:szCs w:val="24"/>
        </w:rPr>
        <w:t xml:space="preserve">  隧道外过站直线地段车辆限界坐标值（mm）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3E2D0914" w14:textId="77777777" w:rsidTr="002B733E">
        <w:trPr>
          <w:trHeight w:val="397"/>
        </w:trPr>
        <w:tc>
          <w:tcPr>
            <w:tcW w:w="701" w:type="dxa"/>
            <w:vAlign w:val="center"/>
          </w:tcPr>
          <w:p w14:paraId="4020435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30C40BE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0</w:t>
            </w:r>
            <w:r w:rsidRPr="00FD50F6">
              <w:rPr>
                <w:rFonts w:ascii="Calibri" w:hAnsi="Calibri" w:cs="Times New Roman" w:hint="eastAsia"/>
                <w:b/>
                <w:sz w:val="18"/>
                <w:szCs w:val="24"/>
              </w:rPr>
              <w:t>’</w:t>
            </w:r>
          </w:p>
        </w:tc>
        <w:tc>
          <w:tcPr>
            <w:tcW w:w="756" w:type="dxa"/>
            <w:vAlign w:val="center"/>
          </w:tcPr>
          <w:p w14:paraId="6C09E96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w:t>
            </w:r>
            <w:r w:rsidRPr="00FD50F6">
              <w:rPr>
                <w:rFonts w:ascii="Calibri" w:hAnsi="Calibri" w:cs="Times New Roman" w:hint="eastAsia"/>
                <w:b/>
                <w:sz w:val="18"/>
                <w:szCs w:val="24"/>
              </w:rPr>
              <w:t>’</w:t>
            </w:r>
          </w:p>
        </w:tc>
        <w:tc>
          <w:tcPr>
            <w:tcW w:w="756" w:type="dxa"/>
            <w:vAlign w:val="center"/>
          </w:tcPr>
          <w:p w14:paraId="534BBC4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w:t>
            </w:r>
            <w:r w:rsidRPr="00FD50F6">
              <w:rPr>
                <w:rFonts w:ascii="Calibri" w:hAnsi="Calibri" w:cs="Times New Roman" w:hint="eastAsia"/>
                <w:b/>
                <w:sz w:val="18"/>
                <w:szCs w:val="24"/>
              </w:rPr>
              <w:t>’</w:t>
            </w:r>
          </w:p>
        </w:tc>
        <w:tc>
          <w:tcPr>
            <w:tcW w:w="756" w:type="dxa"/>
            <w:vAlign w:val="center"/>
          </w:tcPr>
          <w:p w14:paraId="1B82E1E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3</w:t>
            </w:r>
            <w:r w:rsidRPr="00FD50F6">
              <w:rPr>
                <w:rFonts w:ascii="Calibri" w:hAnsi="Calibri" w:cs="Times New Roman" w:hint="eastAsia"/>
                <w:b/>
                <w:sz w:val="18"/>
                <w:szCs w:val="24"/>
              </w:rPr>
              <w:t>’</w:t>
            </w:r>
          </w:p>
        </w:tc>
        <w:tc>
          <w:tcPr>
            <w:tcW w:w="756" w:type="dxa"/>
            <w:vAlign w:val="center"/>
          </w:tcPr>
          <w:p w14:paraId="072173A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4</w:t>
            </w:r>
            <w:r w:rsidRPr="00FD50F6">
              <w:rPr>
                <w:rFonts w:ascii="Calibri" w:hAnsi="Calibri" w:cs="Times New Roman" w:hint="eastAsia"/>
                <w:b/>
                <w:sz w:val="18"/>
                <w:szCs w:val="24"/>
              </w:rPr>
              <w:t>’</w:t>
            </w:r>
          </w:p>
        </w:tc>
        <w:tc>
          <w:tcPr>
            <w:tcW w:w="756" w:type="dxa"/>
            <w:vAlign w:val="center"/>
          </w:tcPr>
          <w:p w14:paraId="295D7BA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5</w:t>
            </w:r>
            <w:r w:rsidRPr="00FD50F6">
              <w:rPr>
                <w:rFonts w:ascii="Calibri" w:hAnsi="Calibri" w:cs="Times New Roman" w:hint="eastAsia"/>
                <w:b/>
                <w:sz w:val="18"/>
                <w:szCs w:val="24"/>
              </w:rPr>
              <w:t>’</w:t>
            </w:r>
          </w:p>
        </w:tc>
        <w:tc>
          <w:tcPr>
            <w:tcW w:w="756" w:type="dxa"/>
            <w:vAlign w:val="center"/>
          </w:tcPr>
          <w:p w14:paraId="025D3D7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6</w:t>
            </w:r>
            <w:r w:rsidRPr="00FD50F6">
              <w:rPr>
                <w:rFonts w:ascii="Calibri" w:hAnsi="Calibri" w:cs="Times New Roman" w:hint="eastAsia"/>
                <w:b/>
                <w:sz w:val="18"/>
                <w:szCs w:val="24"/>
              </w:rPr>
              <w:t>’</w:t>
            </w:r>
          </w:p>
        </w:tc>
        <w:tc>
          <w:tcPr>
            <w:tcW w:w="756" w:type="dxa"/>
            <w:vAlign w:val="center"/>
          </w:tcPr>
          <w:p w14:paraId="4E0BAD8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7</w:t>
            </w:r>
            <w:r w:rsidRPr="00FD50F6">
              <w:rPr>
                <w:rFonts w:ascii="Calibri" w:hAnsi="Calibri" w:cs="Times New Roman" w:hint="eastAsia"/>
                <w:b/>
                <w:sz w:val="18"/>
                <w:szCs w:val="24"/>
              </w:rPr>
              <w:t>’</w:t>
            </w:r>
          </w:p>
        </w:tc>
        <w:tc>
          <w:tcPr>
            <w:tcW w:w="756" w:type="dxa"/>
            <w:vAlign w:val="center"/>
          </w:tcPr>
          <w:p w14:paraId="310C45A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8</w:t>
            </w:r>
            <w:r w:rsidRPr="00FD50F6">
              <w:rPr>
                <w:rFonts w:ascii="Calibri" w:hAnsi="Calibri" w:cs="Times New Roman" w:hint="eastAsia"/>
                <w:b/>
                <w:sz w:val="18"/>
                <w:szCs w:val="24"/>
              </w:rPr>
              <w:t>’</w:t>
            </w:r>
          </w:p>
        </w:tc>
        <w:tc>
          <w:tcPr>
            <w:tcW w:w="756" w:type="dxa"/>
            <w:vAlign w:val="center"/>
          </w:tcPr>
          <w:p w14:paraId="3ED9A21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9</w:t>
            </w:r>
            <w:r w:rsidRPr="00FD50F6">
              <w:rPr>
                <w:rFonts w:ascii="Calibri" w:hAnsi="Calibri" w:cs="Times New Roman" w:hint="eastAsia"/>
                <w:b/>
                <w:sz w:val="18"/>
                <w:szCs w:val="24"/>
              </w:rPr>
              <w:t>’</w:t>
            </w:r>
          </w:p>
        </w:tc>
      </w:tr>
      <w:tr w:rsidR="00FD50F6" w:rsidRPr="00FD50F6" w14:paraId="5BC8E3F0" w14:textId="77777777" w:rsidTr="002B733E">
        <w:trPr>
          <w:trHeight w:val="397"/>
        </w:trPr>
        <w:tc>
          <w:tcPr>
            <w:tcW w:w="701" w:type="dxa"/>
            <w:vAlign w:val="center"/>
          </w:tcPr>
          <w:p w14:paraId="60C2163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10DBF11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60BBB0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972</w:t>
            </w:r>
          </w:p>
        </w:tc>
        <w:tc>
          <w:tcPr>
            <w:tcW w:w="756" w:type="dxa"/>
            <w:vAlign w:val="center"/>
          </w:tcPr>
          <w:p w14:paraId="1B7104D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1070</w:t>
            </w:r>
          </w:p>
        </w:tc>
        <w:tc>
          <w:tcPr>
            <w:tcW w:w="756" w:type="dxa"/>
            <w:vAlign w:val="center"/>
          </w:tcPr>
          <w:p w14:paraId="59D369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1246</w:t>
            </w:r>
          </w:p>
        </w:tc>
        <w:tc>
          <w:tcPr>
            <w:tcW w:w="756" w:type="dxa"/>
            <w:vAlign w:val="center"/>
          </w:tcPr>
          <w:p w14:paraId="1E9636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1343</w:t>
            </w:r>
          </w:p>
        </w:tc>
        <w:tc>
          <w:tcPr>
            <w:tcW w:w="756" w:type="dxa"/>
            <w:vAlign w:val="center"/>
          </w:tcPr>
          <w:p w14:paraId="03C218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1410</w:t>
            </w:r>
          </w:p>
        </w:tc>
        <w:tc>
          <w:tcPr>
            <w:tcW w:w="756" w:type="dxa"/>
            <w:vAlign w:val="center"/>
          </w:tcPr>
          <w:p w14:paraId="48390D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1426</w:t>
            </w:r>
          </w:p>
        </w:tc>
        <w:tc>
          <w:tcPr>
            <w:tcW w:w="756" w:type="dxa"/>
            <w:vAlign w:val="center"/>
          </w:tcPr>
          <w:p w14:paraId="4FCF3A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1441</w:t>
            </w:r>
          </w:p>
        </w:tc>
        <w:tc>
          <w:tcPr>
            <w:tcW w:w="756" w:type="dxa"/>
            <w:vAlign w:val="center"/>
          </w:tcPr>
          <w:p w14:paraId="5C0931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1470</w:t>
            </w:r>
          </w:p>
        </w:tc>
        <w:tc>
          <w:tcPr>
            <w:tcW w:w="756" w:type="dxa"/>
            <w:vAlign w:val="center"/>
          </w:tcPr>
          <w:p w14:paraId="67CDC3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1451</w:t>
            </w:r>
          </w:p>
        </w:tc>
      </w:tr>
      <w:tr w:rsidR="00FD50F6" w:rsidRPr="00FD50F6" w14:paraId="1D0FF065" w14:textId="77777777" w:rsidTr="002B733E">
        <w:trPr>
          <w:trHeight w:val="397"/>
        </w:trPr>
        <w:tc>
          <w:tcPr>
            <w:tcW w:w="701" w:type="dxa"/>
            <w:vAlign w:val="center"/>
          </w:tcPr>
          <w:p w14:paraId="44DD5F0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7B937E8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w:t>
            </w:r>
            <w:r w:rsidRPr="00FD50F6">
              <w:rPr>
                <w:rFonts w:ascii="Calibri" w:hAnsi="Calibri" w:cs="Times New Roman"/>
                <w:sz w:val="18"/>
                <w:szCs w:val="24"/>
              </w:rPr>
              <w:t>90</w:t>
            </w:r>
            <w:r w:rsidRPr="00FD50F6">
              <w:rPr>
                <w:rFonts w:ascii="Calibri" w:hAnsi="Calibri" w:cs="Times New Roman" w:hint="eastAsia"/>
                <w:sz w:val="18"/>
                <w:szCs w:val="24"/>
              </w:rPr>
              <w:t>4</w:t>
            </w:r>
          </w:p>
        </w:tc>
        <w:tc>
          <w:tcPr>
            <w:tcW w:w="756" w:type="dxa"/>
            <w:vAlign w:val="center"/>
          </w:tcPr>
          <w:p w14:paraId="646941C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w:t>
            </w:r>
            <w:r w:rsidRPr="00FD50F6">
              <w:rPr>
                <w:rFonts w:ascii="Calibri" w:hAnsi="Calibri" w:cs="Times New Roman"/>
                <w:sz w:val="18"/>
                <w:szCs w:val="24"/>
              </w:rPr>
              <w:t>90</w:t>
            </w:r>
            <w:r w:rsidRPr="00FD50F6">
              <w:rPr>
                <w:rFonts w:ascii="Calibri" w:hAnsi="Calibri" w:cs="Times New Roman" w:hint="eastAsia"/>
                <w:sz w:val="18"/>
                <w:szCs w:val="24"/>
              </w:rPr>
              <w:t>4</w:t>
            </w:r>
          </w:p>
        </w:tc>
        <w:tc>
          <w:tcPr>
            <w:tcW w:w="756" w:type="dxa"/>
            <w:vAlign w:val="center"/>
          </w:tcPr>
          <w:p w14:paraId="350E49F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3806</w:t>
            </w:r>
          </w:p>
        </w:tc>
        <w:tc>
          <w:tcPr>
            <w:tcW w:w="756" w:type="dxa"/>
            <w:vAlign w:val="center"/>
          </w:tcPr>
          <w:p w14:paraId="003933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3694</w:t>
            </w:r>
          </w:p>
        </w:tc>
        <w:tc>
          <w:tcPr>
            <w:tcW w:w="756" w:type="dxa"/>
            <w:vAlign w:val="center"/>
          </w:tcPr>
          <w:p w14:paraId="2D8103C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3598</w:t>
            </w:r>
          </w:p>
        </w:tc>
        <w:tc>
          <w:tcPr>
            <w:tcW w:w="756" w:type="dxa"/>
            <w:vAlign w:val="center"/>
          </w:tcPr>
          <w:p w14:paraId="497A30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3467</w:t>
            </w:r>
          </w:p>
        </w:tc>
        <w:tc>
          <w:tcPr>
            <w:tcW w:w="756" w:type="dxa"/>
            <w:vAlign w:val="center"/>
          </w:tcPr>
          <w:p w14:paraId="6F9DAC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3376</w:t>
            </w:r>
          </w:p>
        </w:tc>
        <w:tc>
          <w:tcPr>
            <w:tcW w:w="756" w:type="dxa"/>
            <w:vAlign w:val="center"/>
          </w:tcPr>
          <w:p w14:paraId="0EF973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3037</w:t>
            </w:r>
          </w:p>
        </w:tc>
        <w:tc>
          <w:tcPr>
            <w:tcW w:w="756" w:type="dxa"/>
            <w:vAlign w:val="center"/>
          </w:tcPr>
          <w:p w14:paraId="12E149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1923</w:t>
            </w:r>
          </w:p>
        </w:tc>
        <w:tc>
          <w:tcPr>
            <w:tcW w:w="756" w:type="dxa"/>
            <w:vAlign w:val="center"/>
          </w:tcPr>
          <w:p w14:paraId="67C21E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986</w:t>
            </w:r>
          </w:p>
        </w:tc>
      </w:tr>
      <w:tr w:rsidR="00FD50F6" w:rsidRPr="00FD50F6" w14:paraId="4BA2666A" w14:textId="77777777" w:rsidTr="002B733E">
        <w:trPr>
          <w:trHeight w:val="397"/>
        </w:trPr>
        <w:tc>
          <w:tcPr>
            <w:tcW w:w="701" w:type="dxa"/>
            <w:vAlign w:val="center"/>
          </w:tcPr>
          <w:p w14:paraId="0786166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3E17353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10</w:t>
            </w:r>
            <w:r w:rsidRPr="00FD50F6">
              <w:rPr>
                <w:rFonts w:ascii="Calibri" w:hAnsi="Calibri" w:cs="Times New Roman" w:hint="eastAsia"/>
                <w:b/>
                <w:sz w:val="18"/>
                <w:szCs w:val="24"/>
              </w:rPr>
              <w:t>’</w:t>
            </w:r>
          </w:p>
        </w:tc>
        <w:tc>
          <w:tcPr>
            <w:tcW w:w="756" w:type="dxa"/>
            <w:vAlign w:val="center"/>
          </w:tcPr>
          <w:p w14:paraId="1B61E5E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w:t>
            </w:r>
            <w:r w:rsidRPr="00FD50F6">
              <w:rPr>
                <w:rFonts w:ascii="Calibri" w:hAnsi="Calibri" w:cs="Times New Roman" w:hint="eastAsia"/>
                <w:b/>
                <w:sz w:val="18"/>
                <w:szCs w:val="24"/>
              </w:rPr>
              <w:t>’</w:t>
            </w:r>
          </w:p>
        </w:tc>
        <w:tc>
          <w:tcPr>
            <w:tcW w:w="756" w:type="dxa"/>
            <w:vAlign w:val="center"/>
          </w:tcPr>
          <w:p w14:paraId="15BDEE7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11a</w:t>
            </w:r>
            <w:r w:rsidRPr="00FD50F6">
              <w:rPr>
                <w:rFonts w:ascii="Calibri" w:hAnsi="Calibri" w:cs="Times New Roman" w:hint="eastAsia"/>
                <w:b/>
                <w:sz w:val="18"/>
                <w:szCs w:val="24"/>
              </w:rPr>
              <w:t>’</w:t>
            </w:r>
          </w:p>
        </w:tc>
        <w:tc>
          <w:tcPr>
            <w:tcW w:w="756" w:type="dxa"/>
            <w:vAlign w:val="center"/>
          </w:tcPr>
          <w:p w14:paraId="327133E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w:t>
            </w:r>
            <w:r w:rsidRPr="00FD50F6">
              <w:rPr>
                <w:rFonts w:ascii="Calibri" w:hAnsi="Calibri" w:cs="Times New Roman" w:hint="eastAsia"/>
                <w:b/>
                <w:sz w:val="18"/>
                <w:szCs w:val="24"/>
              </w:rPr>
              <w:t>’</w:t>
            </w:r>
          </w:p>
        </w:tc>
        <w:tc>
          <w:tcPr>
            <w:tcW w:w="756" w:type="dxa"/>
            <w:vAlign w:val="center"/>
          </w:tcPr>
          <w:p w14:paraId="3BDFF58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12a</w:t>
            </w:r>
            <w:r w:rsidRPr="00FD50F6">
              <w:rPr>
                <w:rFonts w:ascii="Calibri" w:hAnsi="Calibri" w:cs="Times New Roman" w:hint="eastAsia"/>
                <w:b/>
                <w:sz w:val="18"/>
                <w:szCs w:val="24"/>
              </w:rPr>
              <w:t>’</w:t>
            </w:r>
          </w:p>
        </w:tc>
        <w:tc>
          <w:tcPr>
            <w:tcW w:w="756" w:type="dxa"/>
            <w:vAlign w:val="center"/>
          </w:tcPr>
          <w:p w14:paraId="19DA73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12e</w:t>
            </w:r>
            <w:r w:rsidRPr="00FD50F6">
              <w:rPr>
                <w:rFonts w:ascii="Calibri" w:hAnsi="Calibri" w:cs="Times New Roman" w:hint="eastAsia"/>
                <w:b/>
                <w:sz w:val="18"/>
                <w:szCs w:val="24"/>
              </w:rPr>
              <w:t>’</w:t>
            </w:r>
          </w:p>
        </w:tc>
        <w:tc>
          <w:tcPr>
            <w:tcW w:w="756" w:type="dxa"/>
            <w:vAlign w:val="center"/>
          </w:tcPr>
          <w:p w14:paraId="6C9F883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12f</w:t>
            </w:r>
            <w:r w:rsidRPr="00FD50F6">
              <w:rPr>
                <w:rFonts w:ascii="Calibri" w:hAnsi="Calibri" w:cs="Times New Roman" w:hint="eastAsia"/>
                <w:b/>
                <w:sz w:val="18"/>
                <w:szCs w:val="24"/>
              </w:rPr>
              <w:t>’</w:t>
            </w:r>
          </w:p>
        </w:tc>
        <w:tc>
          <w:tcPr>
            <w:tcW w:w="756" w:type="dxa"/>
            <w:vAlign w:val="center"/>
          </w:tcPr>
          <w:p w14:paraId="3F3AB79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12d</w:t>
            </w:r>
            <w:r w:rsidRPr="00FD50F6">
              <w:rPr>
                <w:rFonts w:ascii="Calibri" w:hAnsi="Calibri" w:cs="Times New Roman" w:hint="eastAsia"/>
                <w:b/>
                <w:sz w:val="18"/>
                <w:szCs w:val="24"/>
              </w:rPr>
              <w:t>’</w:t>
            </w:r>
          </w:p>
        </w:tc>
        <w:tc>
          <w:tcPr>
            <w:tcW w:w="756" w:type="dxa"/>
            <w:vAlign w:val="center"/>
          </w:tcPr>
          <w:p w14:paraId="4AA232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13</w:t>
            </w:r>
            <w:r w:rsidRPr="00FD50F6">
              <w:rPr>
                <w:rFonts w:ascii="Calibri" w:hAnsi="Calibri" w:cs="Times New Roman" w:hint="eastAsia"/>
                <w:b/>
                <w:sz w:val="18"/>
                <w:szCs w:val="24"/>
              </w:rPr>
              <w:t>’</w:t>
            </w:r>
          </w:p>
        </w:tc>
        <w:tc>
          <w:tcPr>
            <w:tcW w:w="756" w:type="dxa"/>
            <w:vAlign w:val="center"/>
          </w:tcPr>
          <w:p w14:paraId="4B8515C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14</w:t>
            </w:r>
            <w:r w:rsidRPr="00FD50F6">
              <w:rPr>
                <w:rFonts w:ascii="Calibri" w:hAnsi="Calibri" w:cs="Times New Roman" w:hint="eastAsia"/>
                <w:b/>
                <w:sz w:val="18"/>
                <w:szCs w:val="24"/>
              </w:rPr>
              <w:t>’</w:t>
            </w:r>
          </w:p>
        </w:tc>
      </w:tr>
      <w:tr w:rsidR="00FD50F6" w:rsidRPr="00FD50F6" w14:paraId="57F6EBE8" w14:textId="77777777" w:rsidTr="002B733E">
        <w:trPr>
          <w:trHeight w:val="397"/>
        </w:trPr>
        <w:tc>
          <w:tcPr>
            <w:tcW w:w="701" w:type="dxa"/>
            <w:vAlign w:val="center"/>
          </w:tcPr>
          <w:p w14:paraId="303FBD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1857001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1446</w:t>
            </w:r>
          </w:p>
        </w:tc>
        <w:tc>
          <w:tcPr>
            <w:tcW w:w="756" w:type="dxa"/>
            <w:vAlign w:val="center"/>
          </w:tcPr>
          <w:p w14:paraId="5CAC66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1358</w:t>
            </w:r>
          </w:p>
        </w:tc>
        <w:tc>
          <w:tcPr>
            <w:tcW w:w="756" w:type="dxa"/>
            <w:vAlign w:val="center"/>
          </w:tcPr>
          <w:p w14:paraId="5CE324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1379</w:t>
            </w:r>
          </w:p>
        </w:tc>
        <w:tc>
          <w:tcPr>
            <w:tcW w:w="756" w:type="dxa"/>
            <w:vAlign w:val="center"/>
          </w:tcPr>
          <w:p w14:paraId="110274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1358</w:t>
            </w:r>
          </w:p>
        </w:tc>
        <w:tc>
          <w:tcPr>
            <w:tcW w:w="756" w:type="dxa"/>
            <w:vAlign w:val="center"/>
          </w:tcPr>
          <w:p w14:paraId="2632F4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1528</w:t>
            </w:r>
          </w:p>
        </w:tc>
        <w:tc>
          <w:tcPr>
            <w:tcW w:w="756" w:type="dxa"/>
            <w:vAlign w:val="center"/>
          </w:tcPr>
          <w:p w14:paraId="0BD6C0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1529</w:t>
            </w:r>
          </w:p>
        </w:tc>
        <w:tc>
          <w:tcPr>
            <w:tcW w:w="756" w:type="dxa"/>
            <w:vAlign w:val="center"/>
          </w:tcPr>
          <w:p w14:paraId="48A4BB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1213</w:t>
            </w:r>
          </w:p>
        </w:tc>
        <w:tc>
          <w:tcPr>
            <w:tcW w:w="756" w:type="dxa"/>
            <w:vAlign w:val="center"/>
          </w:tcPr>
          <w:p w14:paraId="72C79EF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1029</w:t>
            </w:r>
          </w:p>
        </w:tc>
        <w:tc>
          <w:tcPr>
            <w:tcW w:w="756" w:type="dxa"/>
            <w:vAlign w:val="center"/>
          </w:tcPr>
          <w:p w14:paraId="6F2A64D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1029</w:t>
            </w:r>
          </w:p>
        </w:tc>
        <w:tc>
          <w:tcPr>
            <w:tcW w:w="756" w:type="dxa"/>
            <w:vAlign w:val="center"/>
          </w:tcPr>
          <w:p w14:paraId="486B50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836</w:t>
            </w:r>
          </w:p>
        </w:tc>
      </w:tr>
      <w:tr w:rsidR="00FD50F6" w:rsidRPr="00FD50F6" w14:paraId="5122AB47" w14:textId="77777777" w:rsidTr="002B733E">
        <w:trPr>
          <w:trHeight w:val="397"/>
        </w:trPr>
        <w:tc>
          <w:tcPr>
            <w:tcW w:w="701" w:type="dxa"/>
            <w:vAlign w:val="center"/>
          </w:tcPr>
          <w:p w14:paraId="36C501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3ECD78D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756</w:t>
            </w:r>
          </w:p>
        </w:tc>
        <w:tc>
          <w:tcPr>
            <w:tcW w:w="756" w:type="dxa"/>
            <w:vAlign w:val="center"/>
          </w:tcPr>
          <w:p w14:paraId="6BA0ED3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541</w:t>
            </w:r>
          </w:p>
        </w:tc>
        <w:tc>
          <w:tcPr>
            <w:tcW w:w="756" w:type="dxa"/>
            <w:vAlign w:val="center"/>
          </w:tcPr>
          <w:p w14:paraId="17B8A05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541</w:t>
            </w:r>
          </w:p>
        </w:tc>
        <w:tc>
          <w:tcPr>
            <w:tcW w:w="756" w:type="dxa"/>
            <w:vAlign w:val="center"/>
          </w:tcPr>
          <w:p w14:paraId="20ECB3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33AA4E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200</w:t>
            </w:r>
          </w:p>
        </w:tc>
        <w:tc>
          <w:tcPr>
            <w:tcW w:w="756" w:type="dxa"/>
            <w:vAlign w:val="center"/>
          </w:tcPr>
          <w:p w14:paraId="278FA2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w:t>
            </w:r>
          </w:p>
        </w:tc>
        <w:tc>
          <w:tcPr>
            <w:tcW w:w="756" w:type="dxa"/>
            <w:vAlign w:val="center"/>
          </w:tcPr>
          <w:p w14:paraId="4C5FF8E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47</w:t>
            </w:r>
          </w:p>
        </w:tc>
        <w:tc>
          <w:tcPr>
            <w:tcW w:w="756" w:type="dxa"/>
            <w:vAlign w:val="center"/>
          </w:tcPr>
          <w:p w14:paraId="18DD53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w:t>
            </w:r>
          </w:p>
        </w:tc>
        <w:tc>
          <w:tcPr>
            <w:tcW w:w="756" w:type="dxa"/>
            <w:vAlign w:val="center"/>
          </w:tcPr>
          <w:p w14:paraId="7DCC85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w:t>
            </w:r>
          </w:p>
        </w:tc>
        <w:tc>
          <w:tcPr>
            <w:tcW w:w="756" w:type="dxa"/>
            <w:vAlign w:val="center"/>
          </w:tcPr>
          <w:p w14:paraId="2A3869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w:t>
            </w:r>
          </w:p>
        </w:tc>
      </w:tr>
      <w:tr w:rsidR="00FD50F6" w:rsidRPr="00FD50F6" w14:paraId="2973AD00" w14:textId="77777777" w:rsidTr="002B733E">
        <w:trPr>
          <w:trHeight w:val="397"/>
        </w:trPr>
        <w:tc>
          <w:tcPr>
            <w:tcW w:w="701" w:type="dxa"/>
            <w:vAlign w:val="center"/>
          </w:tcPr>
          <w:p w14:paraId="3A11AC4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56" w:type="dxa"/>
            <w:vAlign w:val="center"/>
          </w:tcPr>
          <w:p w14:paraId="530B89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15</w:t>
            </w:r>
            <w:r w:rsidRPr="00FD50F6">
              <w:rPr>
                <w:rFonts w:ascii="Calibri" w:hAnsi="Calibri" w:cs="Times New Roman" w:hint="eastAsia"/>
                <w:b/>
                <w:sz w:val="18"/>
                <w:szCs w:val="24"/>
              </w:rPr>
              <w:t>’</w:t>
            </w:r>
          </w:p>
        </w:tc>
        <w:tc>
          <w:tcPr>
            <w:tcW w:w="756" w:type="dxa"/>
            <w:vAlign w:val="center"/>
          </w:tcPr>
          <w:p w14:paraId="7CA695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16</w:t>
            </w:r>
            <w:r w:rsidRPr="00FD50F6">
              <w:rPr>
                <w:rFonts w:ascii="Calibri" w:hAnsi="Calibri" w:cs="Times New Roman" w:hint="eastAsia"/>
                <w:b/>
                <w:sz w:val="18"/>
                <w:szCs w:val="24"/>
              </w:rPr>
              <w:t>’</w:t>
            </w:r>
          </w:p>
        </w:tc>
        <w:tc>
          <w:tcPr>
            <w:tcW w:w="756" w:type="dxa"/>
            <w:vAlign w:val="center"/>
          </w:tcPr>
          <w:p w14:paraId="1DB7552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17</w:t>
            </w:r>
            <w:r w:rsidRPr="00FD50F6">
              <w:rPr>
                <w:rFonts w:ascii="Calibri" w:hAnsi="Calibri" w:cs="Times New Roman" w:hint="eastAsia"/>
                <w:b/>
                <w:sz w:val="18"/>
                <w:szCs w:val="24"/>
              </w:rPr>
              <w:t>’</w:t>
            </w:r>
          </w:p>
        </w:tc>
        <w:tc>
          <w:tcPr>
            <w:tcW w:w="756" w:type="dxa"/>
            <w:vAlign w:val="center"/>
          </w:tcPr>
          <w:p w14:paraId="1D4A31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18</w:t>
            </w:r>
            <w:r w:rsidRPr="00FD50F6">
              <w:rPr>
                <w:rFonts w:ascii="Calibri" w:hAnsi="Calibri" w:cs="Times New Roman" w:hint="eastAsia"/>
                <w:b/>
                <w:sz w:val="18"/>
                <w:szCs w:val="24"/>
              </w:rPr>
              <w:t>’</w:t>
            </w:r>
          </w:p>
        </w:tc>
        <w:tc>
          <w:tcPr>
            <w:tcW w:w="756" w:type="dxa"/>
            <w:vAlign w:val="center"/>
          </w:tcPr>
          <w:p w14:paraId="424C6E4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19</w:t>
            </w:r>
            <w:r w:rsidRPr="00FD50F6">
              <w:rPr>
                <w:rFonts w:ascii="Calibri" w:hAnsi="Calibri" w:cs="Times New Roman" w:hint="eastAsia"/>
                <w:b/>
                <w:sz w:val="18"/>
                <w:szCs w:val="24"/>
              </w:rPr>
              <w:t>’</w:t>
            </w:r>
          </w:p>
        </w:tc>
        <w:tc>
          <w:tcPr>
            <w:tcW w:w="756" w:type="dxa"/>
            <w:vAlign w:val="center"/>
          </w:tcPr>
          <w:p w14:paraId="09303E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20</w:t>
            </w:r>
            <w:r w:rsidRPr="00FD50F6">
              <w:rPr>
                <w:rFonts w:ascii="Calibri" w:hAnsi="Calibri" w:cs="Times New Roman" w:hint="eastAsia"/>
                <w:b/>
                <w:sz w:val="18"/>
                <w:szCs w:val="24"/>
              </w:rPr>
              <w:t>’</w:t>
            </w:r>
          </w:p>
        </w:tc>
        <w:tc>
          <w:tcPr>
            <w:tcW w:w="756" w:type="dxa"/>
            <w:vAlign w:val="center"/>
          </w:tcPr>
          <w:p w14:paraId="1AD081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C1169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306320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2FBAB9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55FCFFE2" w14:textId="77777777" w:rsidTr="002B733E">
        <w:trPr>
          <w:trHeight w:val="397"/>
        </w:trPr>
        <w:tc>
          <w:tcPr>
            <w:tcW w:w="701" w:type="dxa"/>
            <w:vAlign w:val="center"/>
          </w:tcPr>
          <w:p w14:paraId="55C094B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X</w:t>
            </w:r>
          </w:p>
        </w:tc>
        <w:tc>
          <w:tcPr>
            <w:tcW w:w="756" w:type="dxa"/>
            <w:vAlign w:val="center"/>
          </w:tcPr>
          <w:p w14:paraId="581627C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836</w:t>
            </w:r>
          </w:p>
        </w:tc>
        <w:tc>
          <w:tcPr>
            <w:tcW w:w="756" w:type="dxa"/>
            <w:vAlign w:val="center"/>
          </w:tcPr>
          <w:p w14:paraId="65006AA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5C07C0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733</w:t>
            </w:r>
          </w:p>
        </w:tc>
        <w:tc>
          <w:tcPr>
            <w:tcW w:w="756" w:type="dxa"/>
            <w:vAlign w:val="center"/>
          </w:tcPr>
          <w:p w14:paraId="30689EE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652</w:t>
            </w:r>
          </w:p>
        </w:tc>
        <w:tc>
          <w:tcPr>
            <w:tcW w:w="756" w:type="dxa"/>
            <w:vAlign w:val="center"/>
          </w:tcPr>
          <w:p w14:paraId="38A459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652</w:t>
            </w:r>
          </w:p>
        </w:tc>
        <w:tc>
          <w:tcPr>
            <w:tcW w:w="756" w:type="dxa"/>
            <w:vAlign w:val="center"/>
          </w:tcPr>
          <w:p w14:paraId="141071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56" w:type="dxa"/>
            <w:vAlign w:val="center"/>
          </w:tcPr>
          <w:p w14:paraId="55D1A6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6FECAE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57BB38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474F5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2B733E" w:rsidRPr="00FD50F6" w14:paraId="4E06F38A" w14:textId="77777777" w:rsidTr="002B733E">
        <w:trPr>
          <w:trHeight w:val="397"/>
        </w:trPr>
        <w:tc>
          <w:tcPr>
            <w:tcW w:w="701" w:type="dxa"/>
            <w:vAlign w:val="center"/>
          </w:tcPr>
          <w:p w14:paraId="65F15C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Y</w:t>
            </w:r>
          </w:p>
        </w:tc>
        <w:tc>
          <w:tcPr>
            <w:tcW w:w="756" w:type="dxa"/>
            <w:vAlign w:val="center"/>
          </w:tcPr>
          <w:p w14:paraId="77855D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526EA2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56" w:type="dxa"/>
            <w:vAlign w:val="center"/>
          </w:tcPr>
          <w:p w14:paraId="79536FA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w:t>
            </w:r>
          </w:p>
        </w:tc>
        <w:tc>
          <w:tcPr>
            <w:tcW w:w="756" w:type="dxa"/>
            <w:vAlign w:val="center"/>
          </w:tcPr>
          <w:p w14:paraId="10EF43E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w:t>
            </w:r>
          </w:p>
        </w:tc>
        <w:tc>
          <w:tcPr>
            <w:tcW w:w="756" w:type="dxa"/>
            <w:vAlign w:val="center"/>
          </w:tcPr>
          <w:p w14:paraId="460D57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p>
        </w:tc>
        <w:tc>
          <w:tcPr>
            <w:tcW w:w="756" w:type="dxa"/>
            <w:vAlign w:val="center"/>
          </w:tcPr>
          <w:p w14:paraId="08EB4D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p>
        </w:tc>
        <w:tc>
          <w:tcPr>
            <w:tcW w:w="756" w:type="dxa"/>
            <w:vAlign w:val="center"/>
          </w:tcPr>
          <w:p w14:paraId="46123D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44C788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35BB079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56" w:type="dxa"/>
            <w:vAlign w:val="center"/>
          </w:tcPr>
          <w:p w14:paraId="631F979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7BB9C8C0" w14:textId="77777777" w:rsidR="002B733E" w:rsidRPr="00FD50F6" w:rsidRDefault="002B733E" w:rsidP="002B733E">
      <w:pPr>
        <w:spacing w:line="240" w:lineRule="auto"/>
        <w:jc w:val="center"/>
        <w:rPr>
          <w:rFonts w:ascii="Calibri" w:hAnsi="Calibri" w:cs="Times New Roman"/>
          <w:sz w:val="21"/>
          <w:szCs w:val="24"/>
        </w:rPr>
      </w:pPr>
    </w:p>
    <w:p w14:paraId="215762DD" w14:textId="77777777" w:rsidR="002B733E" w:rsidRPr="00FD50F6" w:rsidRDefault="002B733E" w:rsidP="002B733E">
      <w:pPr>
        <w:spacing w:line="240" w:lineRule="auto"/>
        <w:rPr>
          <w:rFonts w:ascii="Calibri" w:hAnsi="Calibri" w:cs="Times New Roman"/>
          <w:sz w:val="28"/>
          <w:szCs w:val="24"/>
        </w:rPr>
        <w:sectPr w:rsidR="002B733E" w:rsidRPr="00FD50F6">
          <w:pgSz w:w="11906" w:h="16838"/>
          <w:pgMar w:top="1440" w:right="1797" w:bottom="1440" w:left="1797" w:header="851" w:footer="850" w:gutter="0"/>
          <w:cols w:space="720"/>
          <w:docGrid w:linePitch="492" w:charSpace="703"/>
        </w:sectPr>
      </w:pPr>
    </w:p>
    <w:p w14:paraId="30788E87" w14:textId="77777777" w:rsidR="002B733E" w:rsidRPr="00FD50F6" w:rsidRDefault="002B733E" w:rsidP="002B733E">
      <w:pPr>
        <w:pStyle w:val="30"/>
        <w:numPr>
          <w:ilvl w:val="0"/>
          <w:numId w:val="0"/>
        </w:numPr>
      </w:pPr>
      <w:r w:rsidRPr="00FD50F6">
        <w:rPr>
          <w:rFonts w:hint="eastAsia"/>
          <w:b/>
        </w:rPr>
        <w:lastRenderedPageBreak/>
        <w:t>D.0.2</w:t>
      </w:r>
      <w:r w:rsidRPr="00FD50F6">
        <w:rPr>
          <w:rFonts w:hint="eastAsia"/>
        </w:rPr>
        <w:t>车站直线地段停站车辆限界（图</w:t>
      </w:r>
      <w:r w:rsidRPr="00FD50F6">
        <w:rPr>
          <w:rFonts w:hint="eastAsia"/>
        </w:rPr>
        <w:t>D.0.2</w:t>
      </w:r>
      <w:r w:rsidRPr="00FD50F6">
        <w:rPr>
          <w:rFonts w:hint="eastAsia"/>
        </w:rPr>
        <w:t>）的坐标值应按表</w:t>
      </w:r>
      <w:r w:rsidRPr="00FD50F6">
        <w:rPr>
          <w:rFonts w:hint="eastAsia"/>
        </w:rPr>
        <w:t>D.0.2-1</w:t>
      </w:r>
      <w:r w:rsidRPr="00FD50F6">
        <w:rPr>
          <w:rFonts w:hint="eastAsia"/>
        </w:rPr>
        <w:t>～</w:t>
      </w:r>
      <w:r w:rsidRPr="00FD50F6">
        <w:rPr>
          <w:rFonts w:hint="eastAsia"/>
        </w:rPr>
        <w:t>D.0.2-3</w:t>
      </w:r>
      <w:r w:rsidRPr="00FD50F6">
        <w:rPr>
          <w:rFonts w:hint="eastAsia"/>
        </w:rPr>
        <w:t>选取。</w:t>
      </w:r>
    </w:p>
    <w:p w14:paraId="1C00AD82" w14:textId="77777777" w:rsidR="002B733E" w:rsidRPr="00FD50F6" w:rsidRDefault="002B733E" w:rsidP="002B733E">
      <w:pPr>
        <w:widowControl/>
        <w:spacing w:line="240" w:lineRule="auto"/>
        <w:jc w:val="center"/>
        <w:rPr>
          <w:rFonts w:ascii="宋体" w:hAnsi="宋体" w:cs="宋体"/>
          <w:kern w:val="0"/>
          <w:szCs w:val="24"/>
        </w:rPr>
      </w:pPr>
      <w:r w:rsidRPr="00FD50F6">
        <w:rPr>
          <w:rFonts w:ascii="Calibri" w:hAnsi="Calibri" w:cs="Times New Roman" w:hint="eastAsia"/>
          <w:noProof/>
          <w:sz w:val="18"/>
          <w:szCs w:val="24"/>
        </w:rPr>
        <w:drawing>
          <wp:inline distT="0" distB="0" distL="0" distR="0" wp14:anchorId="6417EBF8" wp14:editId="04C46C9A">
            <wp:extent cx="5356860" cy="6667500"/>
            <wp:effectExtent l="0" t="0" r="0" b="0"/>
            <wp:docPr id="55" name="图片 55" descr="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1-2"/>
                    <pic:cNvPicPr>
                      <a:picLocks noChangeAspect="1" noChangeArrowheads="1"/>
                    </pic:cNvPicPr>
                  </pic:nvPicPr>
                  <pic:blipFill>
                    <a:blip r:embed="rId117">
                      <a:extLst>
                        <a:ext uri="{28A0092B-C50C-407E-A947-70E740481C1C}">
                          <a14:useLocalDpi xmlns:a14="http://schemas.microsoft.com/office/drawing/2010/main" val="0"/>
                        </a:ext>
                      </a:extLst>
                    </a:blip>
                    <a:srcRect l="24548" t="1790" r="21661" b="3325"/>
                    <a:stretch>
                      <a:fillRect/>
                    </a:stretch>
                  </pic:blipFill>
                  <pic:spPr>
                    <a:xfrm>
                      <a:off x="0" y="0"/>
                      <a:ext cx="5356860" cy="6667500"/>
                    </a:xfrm>
                    <a:prstGeom prst="rect">
                      <a:avLst/>
                    </a:prstGeom>
                    <a:noFill/>
                    <a:ln>
                      <a:noFill/>
                    </a:ln>
                  </pic:spPr>
                </pic:pic>
              </a:graphicData>
            </a:graphic>
          </wp:inline>
        </w:drawing>
      </w:r>
    </w:p>
    <w:p w14:paraId="610D0D3F"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eastAsia="黑体" w:hAnsi="Calibri" w:cs="Times New Roman" w:hint="eastAsia"/>
          <w:sz w:val="21"/>
          <w:szCs w:val="24"/>
        </w:rPr>
        <w:t>图</w:t>
      </w:r>
      <w:r w:rsidRPr="00FD50F6">
        <w:rPr>
          <w:rFonts w:ascii="Calibri" w:eastAsia="黑体" w:hAnsi="Calibri" w:cs="Times New Roman" w:hint="eastAsia"/>
          <w:sz w:val="21"/>
          <w:szCs w:val="24"/>
        </w:rPr>
        <w:t>D.0.2  B</w:t>
      </w:r>
      <w:r w:rsidRPr="00FD50F6">
        <w:rPr>
          <w:rFonts w:ascii="Calibri" w:eastAsia="黑体" w:hAnsi="Calibri" w:cs="Times New Roman" w:hint="eastAsia"/>
          <w:sz w:val="21"/>
          <w:szCs w:val="24"/>
          <w:vertAlign w:val="subscript"/>
        </w:rPr>
        <w:t>1</w:t>
      </w:r>
      <w:r w:rsidRPr="00FD50F6">
        <w:rPr>
          <w:rFonts w:ascii="Calibri" w:eastAsia="黑体" w:hAnsi="Calibri" w:cs="Times New Roman" w:hint="eastAsia"/>
          <w:sz w:val="21"/>
          <w:szCs w:val="24"/>
        </w:rPr>
        <w:t>型车车站直线地段停站车辆限界</w:t>
      </w:r>
    </w:p>
    <w:p w14:paraId="4CC20C7E"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hAnsi="Calibri" w:cs="Times New Roman" w:hint="eastAsia"/>
          <w:sz w:val="21"/>
          <w:szCs w:val="24"/>
        </w:rPr>
        <w:t>b</w:t>
      </w:r>
      <w:r w:rsidRPr="00FD50F6">
        <w:rPr>
          <w:rFonts w:ascii="Calibri" w:hAnsi="Calibri" w:cs="Times New Roman"/>
          <w:sz w:val="21"/>
          <w:szCs w:val="24"/>
        </w:rPr>
        <w:t>-2</w:t>
      </w:r>
      <w:r w:rsidRPr="00FD50F6">
        <w:rPr>
          <w:rFonts w:ascii="Calibri" w:hAnsi="Calibri" w:cs="Times New Roman" w:hint="eastAsia"/>
          <w:sz w:val="21"/>
          <w:szCs w:val="24"/>
        </w:rPr>
        <w:t>—停站开门车门车辆限界</w:t>
      </w:r>
    </w:p>
    <w:p w14:paraId="4B66191C" w14:textId="77777777" w:rsidR="002B733E" w:rsidRPr="00FD50F6" w:rsidRDefault="002B733E" w:rsidP="002B733E">
      <w:pPr>
        <w:spacing w:line="240" w:lineRule="auto"/>
        <w:ind w:firstLineChars="1215" w:firstLine="2551"/>
        <w:rPr>
          <w:rFonts w:ascii="Calibri" w:hAnsi="Calibri" w:cs="Times New Roman"/>
          <w:sz w:val="21"/>
          <w:szCs w:val="24"/>
        </w:rPr>
        <w:sectPr w:rsidR="002B733E" w:rsidRPr="00FD50F6">
          <w:pgSz w:w="11906" w:h="16838"/>
          <w:pgMar w:top="1440" w:right="1797" w:bottom="1440" w:left="1797" w:header="851" w:footer="992" w:gutter="0"/>
          <w:cols w:space="720"/>
          <w:docGrid w:linePitch="312"/>
        </w:sectPr>
      </w:pPr>
    </w:p>
    <w:p w14:paraId="26DE311F"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lastRenderedPageBreak/>
        <w:t>表</w:t>
      </w:r>
      <w:r w:rsidRPr="00FD50F6">
        <w:rPr>
          <w:rFonts w:ascii="Calibri" w:eastAsia="黑体" w:hAnsi="Calibri" w:cs="Times New Roman" w:hint="eastAsia"/>
          <w:b/>
          <w:sz w:val="21"/>
          <w:szCs w:val="24"/>
        </w:rPr>
        <w:t>D.0.2-1</w:t>
      </w:r>
      <w:r w:rsidRPr="00FD50F6">
        <w:rPr>
          <w:rFonts w:ascii="黑体" w:eastAsia="黑体" w:hAnsi="黑体" w:cs="Times New Roman" w:hint="eastAsia"/>
          <w:sz w:val="21"/>
          <w:szCs w:val="24"/>
        </w:rPr>
        <w:t xml:space="preserve">  车辆轮廓线坐标值（mm）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5FB0AC18" w14:textId="77777777" w:rsidTr="002B733E">
        <w:trPr>
          <w:trHeight w:val="397"/>
        </w:trPr>
        <w:tc>
          <w:tcPr>
            <w:tcW w:w="701" w:type="dxa"/>
            <w:vAlign w:val="center"/>
          </w:tcPr>
          <w:p w14:paraId="350F45F5" w14:textId="77777777" w:rsidR="002B733E" w:rsidRPr="00FD50F6" w:rsidRDefault="002B733E" w:rsidP="002B733E">
            <w:pPr>
              <w:pStyle w:val="7"/>
            </w:pPr>
            <w:r w:rsidRPr="00FD50F6">
              <w:rPr>
                <w:rFonts w:hint="eastAsia"/>
              </w:rPr>
              <w:t>点号</w:t>
            </w:r>
          </w:p>
        </w:tc>
        <w:tc>
          <w:tcPr>
            <w:tcW w:w="756" w:type="dxa"/>
            <w:vAlign w:val="center"/>
          </w:tcPr>
          <w:p w14:paraId="25FB9DB9" w14:textId="77777777" w:rsidR="002B733E" w:rsidRPr="00FD50F6" w:rsidRDefault="002B733E" w:rsidP="002B733E">
            <w:pPr>
              <w:pStyle w:val="7"/>
            </w:pPr>
            <w:r w:rsidRPr="00FD50F6">
              <w:rPr>
                <w:rFonts w:hint="eastAsia"/>
              </w:rPr>
              <w:t>0</w:t>
            </w:r>
          </w:p>
        </w:tc>
        <w:tc>
          <w:tcPr>
            <w:tcW w:w="756" w:type="dxa"/>
            <w:vAlign w:val="center"/>
          </w:tcPr>
          <w:p w14:paraId="40DE9441" w14:textId="77777777" w:rsidR="002B733E" w:rsidRPr="00FD50F6" w:rsidRDefault="002B733E" w:rsidP="002B733E">
            <w:pPr>
              <w:pStyle w:val="7"/>
            </w:pPr>
            <w:r w:rsidRPr="00FD50F6">
              <w:rPr>
                <w:rFonts w:hint="eastAsia"/>
              </w:rPr>
              <w:t>1</w:t>
            </w:r>
          </w:p>
        </w:tc>
        <w:tc>
          <w:tcPr>
            <w:tcW w:w="756" w:type="dxa"/>
            <w:vAlign w:val="center"/>
          </w:tcPr>
          <w:p w14:paraId="35EA577B" w14:textId="77777777" w:rsidR="002B733E" w:rsidRPr="00FD50F6" w:rsidRDefault="002B733E" w:rsidP="002B733E">
            <w:pPr>
              <w:pStyle w:val="7"/>
            </w:pPr>
            <w:r w:rsidRPr="00FD50F6">
              <w:rPr>
                <w:rFonts w:hint="eastAsia"/>
              </w:rPr>
              <w:t>2</w:t>
            </w:r>
          </w:p>
        </w:tc>
        <w:tc>
          <w:tcPr>
            <w:tcW w:w="756" w:type="dxa"/>
            <w:vAlign w:val="center"/>
          </w:tcPr>
          <w:p w14:paraId="7A2AE9AA" w14:textId="77777777" w:rsidR="002B733E" w:rsidRPr="00FD50F6" w:rsidRDefault="002B733E" w:rsidP="002B733E">
            <w:pPr>
              <w:pStyle w:val="7"/>
            </w:pPr>
            <w:r w:rsidRPr="00FD50F6">
              <w:rPr>
                <w:rFonts w:hint="eastAsia"/>
              </w:rPr>
              <w:t>3</w:t>
            </w:r>
          </w:p>
        </w:tc>
        <w:tc>
          <w:tcPr>
            <w:tcW w:w="756" w:type="dxa"/>
            <w:vAlign w:val="center"/>
          </w:tcPr>
          <w:p w14:paraId="5B5312BF" w14:textId="77777777" w:rsidR="002B733E" w:rsidRPr="00FD50F6" w:rsidRDefault="002B733E" w:rsidP="002B733E">
            <w:pPr>
              <w:pStyle w:val="7"/>
            </w:pPr>
            <w:r w:rsidRPr="00FD50F6">
              <w:rPr>
                <w:rFonts w:hint="eastAsia"/>
              </w:rPr>
              <w:t>4</w:t>
            </w:r>
          </w:p>
        </w:tc>
        <w:tc>
          <w:tcPr>
            <w:tcW w:w="756" w:type="dxa"/>
            <w:vAlign w:val="center"/>
          </w:tcPr>
          <w:p w14:paraId="1D030A1F" w14:textId="77777777" w:rsidR="002B733E" w:rsidRPr="00FD50F6" w:rsidRDefault="002B733E" w:rsidP="002B733E">
            <w:pPr>
              <w:pStyle w:val="7"/>
            </w:pPr>
            <w:r w:rsidRPr="00FD50F6">
              <w:rPr>
                <w:rFonts w:hint="eastAsia"/>
              </w:rPr>
              <w:t>5</w:t>
            </w:r>
          </w:p>
        </w:tc>
        <w:tc>
          <w:tcPr>
            <w:tcW w:w="756" w:type="dxa"/>
            <w:vAlign w:val="center"/>
          </w:tcPr>
          <w:p w14:paraId="18A80DD9" w14:textId="77777777" w:rsidR="002B733E" w:rsidRPr="00FD50F6" w:rsidRDefault="002B733E" w:rsidP="002B733E">
            <w:pPr>
              <w:pStyle w:val="7"/>
            </w:pPr>
            <w:r w:rsidRPr="00FD50F6">
              <w:rPr>
                <w:rFonts w:hint="eastAsia"/>
              </w:rPr>
              <w:t>6</w:t>
            </w:r>
          </w:p>
        </w:tc>
        <w:tc>
          <w:tcPr>
            <w:tcW w:w="756" w:type="dxa"/>
            <w:vAlign w:val="center"/>
          </w:tcPr>
          <w:p w14:paraId="0227F55C" w14:textId="77777777" w:rsidR="002B733E" w:rsidRPr="00FD50F6" w:rsidRDefault="002B733E" w:rsidP="002B733E">
            <w:pPr>
              <w:pStyle w:val="7"/>
            </w:pPr>
            <w:r w:rsidRPr="00FD50F6">
              <w:rPr>
                <w:rFonts w:hint="eastAsia"/>
              </w:rPr>
              <w:t>27</w:t>
            </w:r>
          </w:p>
        </w:tc>
        <w:tc>
          <w:tcPr>
            <w:tcW w:w="756" w:type="dxa"/>
            <w:vAlign w:val="center"/>
          </w:tcPr>
          <w:p w14:paraId="51FC6E63" w14:textId="77777777" w:rsidR="002B733E" w:rsidRPr="00FD50F6" w:rsidRDefault="002B733E" w:rsidP="002B733E">
            <w:pPr>
              <w:pStyle w:val="7"/>
            </w:pPr>
            <w:r w:rsidRPr="00FD50F6">
              <w:rPr>
                <w:rFonts w:hint="eastAsia"/>
              </w:rPr>
              <w:t>28</w:t>
            </w:r>
          </w:p>
        </w:tc>
        <w:tc>
          <w:tcPr>
            <w:tcW w:w="756" w:type="dxa"/>
            <w:vAlign w:val="bottom"/>
          </w:tcPr>
          <w:p w14:paraId="5C23ACFF" w14:textId="77777777" w:rsidR="002B733E" w:rsidRPr="00FD50F6" w:rsidRDefault="002B733E" w:rsidP="002B733E">
            <w:pPr>
              <w:pStyle w:val="7"/>
            </w:pPr>
            <w:r w:rsidRPr="00FD50F6">
              <w:rPr>
                <w:rFonts w:hint="eastAsia"/>
              </w:rPr>
              <w:t>29</w:t>
            </w:r>
          </w:p>
        </w:tc>
      </w:tr>
      <w:tr w:rsidR="00FD50F6" w:rsidRPr="00FD50F6" w14:paraId="3C31B38E" w14:textId="77777777" w:rsidTr="002B733E">
        <w:trPr>
          <w:trHeight w:val="397"/>
        </w:trPr>
        <w:tc>
          <w:tcPr>
            <w:tcW w:w="701" w:type="dxa"/>
            <w:vAlign w:val="center"/>
          </w:tcPr>
          <w:p w14:paraId="17C6FF6B" w14:textId="77777777" w:rsidR="002B733E" w:rsidRPr="00FD50F6" w:rsidRDefault="002B733E" w:rsidP="002B733E">
            <w:pPr>
              <w:pStyle w:val="7"/>
            </w:pPr>
            <w:r w:rsidRPr="00FD50F6">
              <w:rPr>
                <w:rFonts w:hint="eastAsia"/>
              </w:rPr>
              <w:t>X</w:t>
            </w:r>
          </w:p>
        </w:tc>
        <w:tc>
          <w:tcPr>
            <w:tcW w:w="756" w:type="dxa"/>
            <w:vAlign w:val="center"/>
          </w:tcPr>
          <w:p w14:paraId="48417886" w14:textId="77777777" w:rsidR="002B733E" w:rsidRPr="00FD50F6" w:rsidRDefault="002B733E" w:rsidP="002B733E">
            <w:pPr>
              <w:pStyle w:val="7"/>
            </w:pPr>
            <w:r w:rsidRPr="00FD50F6">
              <w:rPr>
                <w:rFonts w:hint="eastAsia"/>
              </w:rPr>
              <w:t>0</w:t>
            </w:r>
          </w:p>
        </w:tc>
        <w:tc>
          <w:tcPr>
            <w:tcW w:w="756" w:type="dxa"/>
            <w:vAlign w:val="center"/>
          </w:tcPr>
          <w:p w14:paraId="12B97F8E" w14:textId="77777777" w:rsidR="002B733E" w:rsidRPr="00FD50F6" w:rsidRDefault="002B733E" w:rsidP="002B733E">
            <w:pPr>
              <w:pStyle w:val="7"/>
            </w:pPr>
            <w:r w:rsidRPr="00FD50F6">
              <w:rPr>
                <w:rFonts w:hint="eastAsia"/>
              </w:rPr>
              <w:t>840</w:t>
            </w:r>
          </w:p>
        </w:tc>
        <w:tc>
          <w:tcPr>
            <w:tcW w:w="756" w:type="dxa"/>
            <w:vAlign w:val="center"/>
          </w:tcPr>
          <w:p w14:paraId="715F1A03" w14:textId="77777777" w:rsidR="002B733E" w:rsidRPr="00FD50F6" w:rsidRDefault="002B733E" w:rsidP="002B733E">
            <w:pPr>
              <w:pStyle w:val="7"/>
            </w:pPr>
            <w:r w:rsidRPr="00FD50F6">
              <w:rPr>
                <w:rFonts w:hint="eastAsia"/>
              </w:rPr>
              <w:t>950</w:t>
            </w:r>
          </w:p>
        </w:tc>
        <w:tc>
          <w:tcPr>
            <w:tcW w:w="756" w:type="dxa"/>
            <w:vAlign w:val="center"/>
          </w:tcPr>
          <w:p w14:paraId="6875E477" w14:textId="77777777" w:rsidR="002B733E" w:rsidRPr="00FD50F6" w:rsidRDefault="002B733E" w:rsidP="002B733E">
            <w:pPr>
              <w:pStyle w:val="7"/>
            </w:pPr>
            <w:r w:rsidRPr="00FD50F6">
              <w:rPr>
                <w:rFonts w:hint="eastAsia"/>
              </w:rPr>
              <w:t>1129</w:t>
            </w:r>
          </w:p>
        </w:tc>
        <w:tc>
          <w:tcPr>
            <w:tcW w:w="756" w:type="dxa"/>
            <w:vAlign w:val="center"/>
          </w:tcPr>
          <w:p w14:paraId="0DCAA158" w14:textId="77777777" w:rsidR="002B733E" w:rsidRPr="00FD50F6" w:rsidRDefault="002B733E" w:rsidP="002B733E">
            <w:pPr>
              <w:pStyle w:val="7"/>
            </w:pPr>
            <w:r w:rsidRPr="00FD50F6">
              <w:rPr>
                <w:rFonts w:hint="eastAsia"/>
              </w:rPr>
              <w:t>1229</w:t>
            </w:r>
          </w:p>
        </w:tc>
        <w:tc>
          <w:tcPr>
            <w:tcW w:w="756" w:type="dxa"/>
            <w:vAlign w:val="center"/>
          </w:tcPr>
          <w:p w14:paraId="319C66F7" w14:textId="77777777" w:rsidR="002B733E" w:rsidRPr="00FD50F6" w:rsidRDefault="002B733E" w:rsidP="002B733E">
            <w:pPr>
              <w:pStyle w:val="7"/>
            </w:pPr>
            <w:r w:rsidRPr="00FD50F6">
              <w:rPr>
                <w:rFonts w:hint="eastAsia"/>
              </w:rPr>
              <w:t>1299</w:t>
            </w:r>
          </w:p>
        </w:tc>
        <w:tc>
          <w:tcPr>
            <w:tcW w:w="756" w:type="dxa"/>
            <w:vAlign w:val="center"/>
          </w:tcPr>
          <w:p w14:paraId="5826DBD5" w14:textId="77777777" w:rsidR="002B733E" w:rsidRPr="00FD50F6" w:rsidRDefault="002B733E" w:rsidP="002B733E">
            <w:pPr>
              <w:pStyle w:val="7"/>
            </w:pPr>
            <w:r w:rsidRPr="00FD50F6">
              <w:rPr>
                <w:rFonts w:hint="eastAsia"/>
              </w:rPr>
              <w:t>1318</w:t>
            </w:r>
          </w:p>
        </w:tc>
        <w:tc>
          <w:tcPr>
            <w:tcW w:w="756" w:type="dxa"/>
            <w:vAlign w:val="center"/>
          </w:tcPr>
          <w:p w14:paraId="65CC6CDE" w14:textId="77777777" w:rsidR="002B733E" w:rsidRPr="00FD50F6" w:rsidRDefault="002B733E" w:rsidP="002B733E">
            <w:pPr>
              <w:pStyle w:val="7"/>
            </w:pPr>
            <w:r w:rsidRPr="00FD50F6">
              <w:rPr>
                <w:rFonts w:hint="eastAsia"/>
              </w:rPr>
              <w:t>1332</w:t>
            </w:r>
          </w:p>
        </w:tc>
        <w:tc>
          <w:tcPr>
            <w:tcW w:w="756" w:type="dxa"/>
            <w:vAlign w:val="center"/>
          </w:tcPr>
          <w:p w14:paraId="6E796F77" w14:textId="77777777" w:rsidR="002B733E" w:rsidRPr="00FD50F6" w:rsidRDefault="002B733E" w:rsidP="002B733E">
            <w:pPr>
              <w:pStyle w:val="7"/>
            </w:pPr>
            <w:r w:rsidRPr="00FD50F6">
              <w:rPr>
                <w:rFonts w:hint="eastAsia"/>
              </w:rPr>
              <w:t>1387</w:t>
            </w:r>
          </w:p>
        </w:tc>
        <w:tc>
          <w:tcPr>
            <w:tcW w:w="756" w:type="dxa"/>
            <w:vAlign w:val="center"/>
          </w:tcPr>
          <w:p w14:paraId="43B61ADF" w14:textId="77777777" w:rsidR="002B733E" w:rsidRPr="00FD50F6" w:rsidRDefault="002B733E" w:rsidP="002B733E">
            <w:pPr>
              <w:pStyle w:val="7"/>
            </w:pPr>
            <w:r w:rsidRPr="00FD50F6">
              <w:rPr>
                <w:rFonts w:hint="eastAsia"/>
              </w:rPr>
              <w:t>1413</w:t>
            </w:r>
          </w:p>
        </w:tc>
      </w:tr>
      <w:tr w:rsidR="00FD50F6" w:rsidRPr="00FD50F6" w14:paraId="6C33BEB8" w14:textId="77777777" w:rsidTr="002B733E">
        <w:trPr>
          <w:trHeight w:val="397"/>
        </w:trPr>
        <w:tc>
          <w:tcPr>
            <w:tcW w:w="701" w:type="dxa"/>
            <w:vAlign w:val="center"/>
          </w:tcPr>
          <w:p w14:paraId="59C2208E" w14:textId="77777777" w:rsidR="002B733E" w:rsidRPr="00FD50F6" w:rsidRDefault="002B733E" w:rsidP="002B733E">
            <w:pPr>
              <w:pStyle w:val="7"/>
            </w:pPr>
            <w:r w:rsidRPr="00FD50F6">
              <w:rPr>
                <w:rFonts w:hint="eastAsia"/>
              </w:rPr>
              <w:t>Y</w:t>
            </w:r>
          </w:p>
        </w:tc>
        <w:tc>
          <w:tcPr>
            <w:tcW w:w="756" w:type="dxa"/>
            <w:vAlign w:val="center"/>
          </w:tcPr>
          <w:p w14:paraId="0767DCDA" w14:textId="77777777" w:rsidR="002B733E" w:rsidRPr="00FD50F6" w:rsidRDefault="002B733E" w:rsidP="002B733E">
            <w:pPr>
              <w:pStyle w:val="7"/>
            </w:pPr>
            <w:r w:rsidRPr="00FD50F6">
              <w:rPr>
                <w:rFonts w:hint="eastAsia"/>
              </w:rPr>
              <w:t>38</w:t>
            </w:r>
            <w:r w:rsidRPr="00FD50F6">
              <w:t>5</w:t>
            </w:r>
            <w:r w:rsidRPr="00FD50F6">
              <w:rPr>
                <w:rFonts w:hint="eastAsia"/>
              </w:rPr>
              <w:t>0</w:t>
            </w:r>
          </w:p>
        </w:tc>
        <w:tc>
          <w:tcPr>
            <w:tcW w:w="756" w:type="dxa"/>
            <w:vAlign w:val="center"/>
          </w:tcPr>
          <w:p w14:paraId="369054F0" w14:textId="77777777" w:rsidR="002B733E" w:rsidRPr="00FD50F6" w:rsidRDefault="002B733E" w:rsidP="002B733E">
            <w:pPr>
              <w:pStyle w:val="7"/>
            </w:pPr>
            <w:r w:rsidRPr="00FD50F6">
              <w:rPr>
                <w:rFonts w:hint="eastAsia"/>
              </w:rPr>
              <w:t>38</w:t>
            </w:r>
            <w:r w:rsidRPr="00FD50F6">
              <w:t>5</w:t>
            </w:r>
            <w:r w:rsidRPr="00FD50F6">
              <w:rPr>
                <w:rFonts w:hint="eastAsia"/>
              </w:rPr>
              <w:t>0</w:t>
            </w:r>
          </w:p>
        </w:tc>
        <w:tc>
          <w:tcPr>
            <w:tcW w:w="756" w:type="dxa"/>
            <w:vAlign w:val="center"/>
          </w:tcPr>
          <w:p w14:paraId="5A174870" w14:textId="77777777" w:rsidR="002B733E" w:rsidRPr="00FD50F6" w:rsidRDefault="002B733E" w:rsidP="002B733E">
            <w:pPr>
              <w:pStyle w:val="7"/>
            </w:pPr>
            <w:r w:rsidRPr="00FD50F6">
              <w:rPr>
                <w:rFonts w:hint="eastAsia"/>
              </w:rPr>
              <w:t>3750</w:t>
            </w:r>
          </w:p>
        </w:tc>
        <w:tc>
          <w:tcPr>
            <w:tcW w:w="756" w:type="dxa"/>
            <w:vAlign w:val="center"/>
          </w:tcPr>
          <w:p w14:paraId="4A42D4F1" w14:textId="77777777" w:rsidR="002B733E" w:rsidRPr="00FD50F6" w:rsidRDefault="002B733E" w:rsidP="002B733E">
            <w:pPr>
              <w:pStyle w:val="7"/>
            </w:pPr>
            <w:r w:rsidRPr="00FD50F6">
              <w:rPr>
                <w:rFonts w:hint="eastAsia"/>
              </w:rPr>
              <w:t>3636</w:t>
            </w:r>
          </w:p>
        </w:tc>
        <w:tc>
          <w:tcPr>
            <w:tcW w:w="756" w:type="dxa"/>
            <w:vAlign w:val="center"/>
          </w:tcPr>
          <w:p w14:paraId="00EFFCBE" w14:textId="77777777" w:rsidR="002B733E" w:rsidRPr="00FD50F6" w:rsidRDefault="002B733E" w:rsidP="002B733E">
            <w:pPr>
              <w:pStyle w:val="7"/>
            </w:pPr>
            <w:r w:rsidRPr="00FD50F6">
              <w:rPr>
                <w:rFonts w:hint="eastAsia"/>
              </w:rPr>
              <w:t>3538</w:t>
            </w:r>
          </w:p>
        </w:tc>
        <w:tc>
          <w:tcPr>
            <w:tcW w:w="756" w:type="dxa"/>
            <w:vAlign w:val="center"/>
          </w:tcPr>
          <w:p w14:paraId="11BFBAAD" w14:textId="77777777" w:rsidR="002B733E" w:rsidRPr="00FD50F6" w:rsidRDefault="002B733E" w:rsidP="002B733E">
            <w:pPr>
              <w:pStyle w:val="7"/>
            </w:pPr>
            <w:r w:rsidRPr="00FD50F6">
              <w:rPr>
                <w:rFonts w:hint="eastAsia"/>
              </w:rPr>
              <w:t>3406</w:t>
            </w:r>
          </w:p>
        </w:tc>
        <w:tc>
          <w:tcPr>
            <w:tcW w:w="756" w:type="dxa"/>
            <w:vAlign w:val="center"/>
          </w:tcPr>
          <w:p w14:paraId="0369346D" w14:textId="77777777" w:rsidR="002B733E" w:rsidRPr="00FD50F6" w:rsidRDefault="002B733E" w:rsidP="002B733E">
            <w:pPr>
              <w:pStyle w:val="7"/>
            </w:pPr>
            <w:r w:rsidRPr="00FD50F6">
              <w:rPr>
                <w:rFonts w:hint="eastAsia"/>
              </w:rPr>
              <w:t>3315</w:t>
            </w:r>
          </w:p>
        </w:tc>
        <w:tc>
          <w:tcPr>
            <w:tcW w:w="756" w:type="dxa"/>
            <w:vAlign w:val="center"/>
          </w:tcPr>
          <w:p w14:paraId="760CF3B4" w14:textId="77777777" w:rsidR="002B733E" w:rsidRPr="00FD50F6" w:rsidRDefault="002B733E" w:rsidP="002B733E">
            <w:pPr>
              <w:pStyle w:val="7"/>
            </w:pPr>
            <w:r w:rsidRPr="00FD50F6">
              <w:rPr>
                <w:rFonts w:hint="eastAsia"/>
              </w:rPr>
              <w:t>3077</w:t>
            </w:r>
          </w:p>
        </w:tc>
        <w:tc>
          <w:tcPr>
            <w:tcW w:w="756" w:type="dxa"/>
            <w:vAlign w:val="center"/>
          </w:tcPr>
          <w:p w14:paraId="69EE2820" w14:textId="77777777" w:rsidR="002B733E" w:rsidRPr="00FD50F6" w:rsidRDefault="002B733E" w:rsidP="002B733E">
            <w:pPr>
              <w:pStyle w:val="7"/>
            </w:pPr>
            <w:r w:rsidRPr="00FD50F6">
              <w:rPr>
                <w:rFonts w:hint="eastAsia"/>
              </w:rPr>
              <w:t>3036</w:t>
            </w:r>
          </w:p>
        </w:tc>
        <w:tc>
          <w:tcPr>
            <w:tcW w:w="756" w:type="dxa"/>
            <w:vAlign w:val="center"/>
          </w:tcPr>
          <w:p w14:paraId="7086533A" w14:textId="77777777" w:rsidR="002B733E" w:rsidRPr="00FD50F6" w:rsidRDefault="002B733E" w:rsidP="002B733E">
            <w:pPr>
              <w:pStyle w:val="7"/>
            </w:pPr>
            <w:r w:rsidRPr="00FD50F6">
              <w:rPr>
                <w:rFonts w:hint="eastAsia"/>
              </w:rPr>
              <w:t>2621</w:t>
            </w:r>
          </w:p>
        </w:tc>
      </w:tr>
      <w:tr w:rsidR="00FD50F6" w:rsidRPr="00FD50F6" w14:paraId="7CDA3E2E" w14:textId="77777777" w:rsidTr="002B733E">
        <w:trPr>
          <w:trHeight w:val="397"/>
        </w:trPr>
        <w:tc>
          <w:tcPr>
            <w:tcW w:w="701" w:type="dxa"/>
            <w:vAlign w:val="center"/>
          </w:tcPr>
          <w:p w14:paraId="1828935B" w14:textId="77777777" w:rsidR="002B733E" w:rsidRPr="00FD50F6" w:rsidRDefault="002B733E" w:rsidP="002B733E">
            <w:pPr>
              <w:pStyle w:val="7"/>
            </w:pPr>
            <w:r w:rsidRPr="00FD50F6">
              <w:rPr>
                <w:rFonts w:hint="eastAsia"/>
              </w:rPr>
              <w:t>点号</w:t>
            </w:r>
          </w:p>
        </w:tc>
        <w:tc>
          <w:tcPr>
            <w:tcW w:w="756" w:type="dxa"/>
            <w:vAlign w:val="center"/>
          </w:tcPr>
          <w:p w14:paraId="67A9BCEF" w14:textId="77777777" w:rsidR="002B733E" w:rsidRPr="00FD50F6" w:rsidRDefault="002B733E" w:rsidP="002B733E">
            <w:pPr>
              <w:pStyle w:val="7"/>
            </w:pPr>
            <w:r w:rsidRPr="00FD50F6">
              <w:rPr>
                <w:rFonts w:hint="eastAsia"/>
              </w:rPr>
              <w:t>30</w:t>
            </w:r>
          </w:p>
        </w:tc>
        <w:tc>
          <w:tcPr>
            <w:tcW w:w="756" w:type="dxa"/>
            <w:vAlign w:val="center"/>
          </w:tcPr>
          <w:p w14:paraId="75C20379" w14:textId="77777777" w:rsidR="002B733E" w:rsidRPr="00FD50F6" w:rsidRDefault="002B733E" w:rsidP="002B733E">
            <w:pPr>
              <w:pStyle w:val="7"/>
            </w:pPr>
            <w:r w:rsidRPr="00FD50F6">
              <w:rPr>
                <w:rFonts w:hint="eastAsia"/>
              </w:rPr>
              <w:t>7</w:t>
            </w:r>
          </w:p>
        </w:tc>
        <w:tc>
          <w:tcPr>
            <w:tcW w:w="756" w:type="dxa"/>
            <w:vAlign w:val="center"/>
          </w:tcPr>
          <w:p w14:paraId="2F0C3351" w14:textId="77777777" w:rsidR="002B733E" w:rsidRPr="00FD50F6" w:rsidRDefault="002B733E" w:rsidP="002B733E">
            <w:pPr>
              <w:pStyle w:val="7"/>
            </w:pPr>
            <w:r w:rsidRPr="00FD50F6">
              <w:rPr>
                <w:rFonts w:hint="eastAsia"/>
              </w:rPr>
              <w:t>8</w:t>
            </w:r>
          </w:p>
        </w:tc>
        <w:tc>
          <w:tcPr>
            <w:tcW w:w="756" w:type="dxa"/>
            <w:vAlign w:val="center"/>
          </w:tcPr>
          <w:p w14:paraId="021975BC" w14:textId="77777777" w:rsidR="002B733E" w:rsidRPr="00FD50F6" w:rsidRDefault="002B733E" w:rsidP="002B733E">
            <w:pPr>
              <w:pStyle w:val="7"/>
            </w:pPr>
            <w:r w:rsidRPr="00FD50F6">
              <w:rPr>
                <w:rFonts w:hint="eastAsia"/>
              </w:rPr>
              <w:t>9</w:t>
            </w:r>
          </w:p>
        </w:tc>
        <w:tc>
          <w:tcPr>
            <w:tcW w:w="756" w:type="dxa"/>
            <w:vAlign w:val="center"/>
          </w:tcPr>
          <w:p w14:paraId="25C64F77" w14:textId="77777777" w:rsidR="002B733E" w:rsidRPr="00FD50F6" w:rsidRDefault="002B733E" w:rsidP="002B733E">
            <w:pPr>
              <w:pStyle w:val="7"/>
            </w:pPr>
            <w:r w:rsidRPr="00FD50F6">
              <w:rPr>
                <w:rFonts w:hint="eastAsia"/>
              </w:rPr>
              <w:t>10</w:t>
            </w:r>
          </w:p>
        </w:tc>
        <w:tc>
          <w:tcPr>
            <w:tcW w:w="756" w:type="dxa"/>
            <w:vAlign w:val="center"/>
          </w:tcPr>
          <w:p w14:paraId="43E35B7A" w14:textId="77777777" w:rsidR="002B733E" w:rsidRPr="00FD50F6" w:rsidRDefault="002B733E" w:rsidP="002B733E">
            <w:pPr>
              <w:pStyle w:val="7"/>
            </w:pPr>
            <w:r w:rsidRPr="00FD50F6">
              <w:rPr>
                <w:rFonts w:hint="eastAsia"/>
              </w:rPr>
              <w:t>11</w:t>
            </w:r>
          </w:p>
        </w:tc>
        <w:tc>
          <w:tcPr>
            <w:tcW w:w="756" w:type="dxa"/>
            <w:vAlign w:val="center"/>
          </w:tcPr>
          <w:p w14:paraId="04394099" w14:textId="77777777" w:rsidR="002B733E" w:rsidRPr="00FD50F6" w:rsidRDefault="002B733E" w:rsidP="002B733E">
            <w:pPr>
              <w:pStyle w:val="7"/>
            </w:pPr>
            <w:r w:rsidRPr="00FD50F6">
              <w:rPr>
                <w:rFonts w:hint="eastAsia"/>
              </w:rPr>
              <w:t>12</w:t>
            </w:r>
          </w:p>
        </w:tc>
        <w:tc>
          <w:tcPr>
            <w:tcW w:w="756" w:type="dxa"/>
            <w:vAlign w:val="center"/>
          </w:tcPr>
          <w:p w14:paraId="236FE8ED" w14:textId="77777777" w:rsidR="002B733E" w:rsidRPr="00FD50F6" w:rsidRDefault="002B733E" w:rsidP="002B733E">
            <w:pPr>
              <w:pStyle w:val="7"/>
            </w:pPr>
            <w:r w:rsidRPr="00FD50F6">
              <w:rPr>
                <w:rFonts w:hint="eastAsia"/>
              </w:rPr>
              <w:t>13</w:t>
            </w:r>
          </w:p>
        </w:tc>
        <w:tc>
          <w:tcPr>
            <w:tcW w:w="756" w:type="dxa"/>
            <w:vAlign w:val="center"/>
          </w:tcPr>
          <w:p w14:paraId="1747A08B" w14:textId="77777777" w:rsidR="002B733E" w:rsidRPr="00FD50F6" w:rsidRDefault="002B733E" w:rsidP="002B733E">
            <w:pPr>
              <w:pStyle w:val="7"/>
            </w:pPr>
            <w:r w:rsidRPr="00FD50F6">
              <w:rPr>
                <w:rFonts w:hint="eastAsia"/>
              </w:rPr>
              <w:t>14</w:t>
            </w:r>
          </w:p>
        </w:tc>
        <w:tc>
          <w:tcPr>
            <w:tcW w:w="756" w:type="dxa"/>
            <w:vAlign w:val="center"/>
          </w:tcPr>
          <w:p w14:paraId="31E6C32C" w14:textId="77777777" w:rsidR="002B733E" w:rsidRPr="00FD50F6" w:rsidRDefault="002B733E" w:rsidP="002B733E">
            <w:pPr>
              <w:pStyle w:val="7"/>
            </w:pPr>
            <w:r w:rsidRPr="00FD50F6">
              <w:rPr>
                <w:rFonts w:hint="eastAsia"/>
              </w:rPr>
              <w:t>15</w:t>
            </w:r>
          </w:p>
        </w:tc>
      </w:tr>
      <w:tr w:rsidR="00FD50F6" w:rsidRPr="00FD50F6" w14:paraId="5557DB0B" w14:textId="77777777" w:rsidTr="002B733E">
        <w:trPr>
          <w:trHeight w:val="397"/>
        </w:trPr>
        <w:tc>
          <w:tcPr>
            <w:tcW w:w="701" w:type="dxa"/>
            <w:vAlign w:val="center"/>
          </w:tcPr>
          <w:p w14:paraId="5B906AB0" w14:textId="77777777" w:rsidR="002B733E" w:rsidRPr="00FD50F6" w:rsidRDefault="002B733E" w:rsidP="002B733E">
            <w:pPr>
              <w:pStyle w:val="7"/>
            </w:pPr>
            <w:r w:rsidRPr="00FD50F6">
              <w:rPr>
                <w:rFonts w:hint="eastAsia"/>
              </w:rPr>
              <w:t>X</w:t>
            </w:r>
          </w:p>
        </w:tc>
        <w:tc>
          <w:tcPr>
            <w:tcW w:w="756" w:type="dxa"/>
            <w:vAlign w:val="center"/>
          </w:tcPr>
          <w:p w14:paraId="4E59C511" w14:textId="77777777" w:rsidR="002B733E" w:rsidRPr="00FD50F6" w:rsidRDefault="002B733E" w:rsidP="002B733E">
            <w:pPr>
              <w:pStyle w:val="7"/>
            </w:pPr>
            <w:r w:rsidRPr="00FD50F6">
              <w:rPr>
                <w:rFonts w:hint="eastAsia"/>
              </w:rPr>
              <w:t>1358</w:t>
            </w:r>
          </w:p>
        </w:tc>
        <w:tc>
          <w:tcPr>
            <w:tcW w:w="756" w:type="dxa"/>
            <w:vAlign w:val="center"/>
          </w:tcPr>
          <w:p w14:paraId="64EA02ED" w14:textId="77777777" w:rsidR="002B733E" w:rsidRPr="00FD50F6" w:rsidRDefault="002B733E" w:rsidP="002B733E">
            <w:pPr>
              <w:pStyle w:val="7"/>
            </w:pPr>
            <w:r w:rsidRPr="00FD50F6">
              <w:rPr>
                <w:rFonts w:hint="eastAsia"/>
              </w:rPr>
              <w:t>1400</w:t>
            </w:r>
          </w:p>
        </w:tc>
        <w:tc>
          <w:tcPr>
            <w:tcW w:w="756" w:type="dxa"/>
            <w:vAlign w:val="center"/>
          </w:tcPr>
          <w:p w14:paraId="007F3191" w14:textId="77777777" w:rsidR="002B733E" w:rsidRPr="00FD50F6" w:rsidRDefault="002B733E" w:rsidP="002B733E">
            <w:pPr>
              <w:pStyle w:val="7"/>
            </w:pPr>
            <w:r w:rsidRPr="00FD50F6">
              <w:rPr>
                <w:rFonts w:hint="eastAsia"/>
              </w:rPr>
              <w:t>1400</w:t>
            </w:r>
          </w:p>
        </w:tc>
        <w:tc>
          <w:tcPr>
            <w:tcW w:w="756" w:type="dxa"/>
            <w:vAlign w:val="center"/>
          </w:tcPr>
          <w:p w14:paraId="2A9D37A2" w14:textId="77777777" w:rsidR="002B733E" w:rsidRPr="00FD50F6" w:rsidRDefault="002B733E" w:rsidP="002B733E">
            <w:pPr>
              <w:pStyle w:val="7"/>
            </w:pPr>
            <w:r w:rsidRPr="00FD50F6">
              <w:rPr>
                <w:rFonts w:hint="eastAsia"/>
              </w:rPr>
              <w:t>1400</w:t>
            </w:r>
          </w:p>
        </w:tc>
        <w:tc>
          <w:tcPr>
            <w:tcW w:w="756" w:type="dxa"/>
            <w:vAlign w:val="center"/>
          </w:tcPr>
          <w:p w14:paraId="6C6BFEEB" w14:textId="77777777" w:rsidR="002B733E" w:rsidRPr="00FD50F6" w:rsidRDefault="002B733E" w:rsidP="002B733E">
            <w:pPr>
              <w:pStyle w:val="7"/>
            </w:pPr>
            <w:r w:rsidRPr="00FD50F6">
              <w:rPr>
                <w:rFonts w:hint="eastAsia"/>
              </w:rPr>
              <w:t>1334</w:t>
            </w:r>
          </w:p>
        </w:tc>
        <w:tc>
          <w:tcPr>
            <w:tcW w:w="756" w:type="dxa"/>
            <w:vAlign w:val="center"/>
          </w:tcPr>
          <w:p w14:paraId="061F6424" w14:textId="77777777" w:rsidR="002B733E" w:rsidRPr="00FD50F6" w:rsidRDefault="002B733E" w:rsidP="002B733E">
            <w:pPr>
              <w:pStyle w:val="7"/>
            </w:pPr>
            <w:r w:rsidRPr="00FD50F6">
              <w:rPr>
                <w:rFonts w:hint="eastAsia"/>
              </w:rPr>
              <w:t>1334</w:t>
            </w:r>
          </w:p>
        </w:tc>
        <w:tc>
          <w:tcPr>
            <w:tcW w:w="756" w:type="dxa"/>
            <w:vAlign w:val="center"/>
          </w:tcPr>
          <w:p w14:paraId="7D515E04" w14:textId="77777777" w:rsidR="002B733E" w:rsidRPr="00FD50F6" w:rsidRDefault="002B733E" w:rsidP="002B733E">
            <w:pPr>
              <w:pStyle w:val="7"/>
            </w:pPr>
            <w:r w:rsidRPr="00FD50F6">
              <w:rPr>
                <w:rFonts w:hint="eastAsia"/>
              </w:rPr>
              <w:t>1314</w:t>
            </w:r>
          </w:p>
        </w:tc>
        <w:tc>
          <w:tcPr>
            <w:tcW w:w="756" w:type="dxa"/>
            <w:vAlign w:val="center"/>
          </w:tcPr>
          <w:p w14:paraId="3590AE59" w14:textId="77777777" w:rsidR="002B733E" w:rsidRPr="00FD50F6" w:rsidRDefault="002B733E" w:rsidP="002B733E">
            <w:pPr>
              <w:pStyle w:val="7"/>
            </w:pPr>
            <w:r w:rsidRPr="00FD50F6">
              <w:rPr>
                <w:rFonts w:hint="eastAsia"/>
              </w:rPr>
              <w:t>1492</w:t>
            </w:r>
          </w:p>
        </w:tc>
        <w:tc>
          <w:tcPr>
            <w:tcW w:w="756" w:type="dxa"/>
            <w:vAlign w:val="center"/>
          </w:tcPr>
          <w:p w14:paraId="0A7D5F95" w14:textId="77777777" w:rsidR="002B733E" w:rsidRPr="00FD50F6" w:rsidRDefault="002B733E" w:rsidP="002B733E">
            <w:pPr>
              <w:pStyle w:val="7"/>
            </w:pPr>
            <w:r w:rsidRPr="00FD50F6">
              <w:rPr>
                <w:rFonts w:hint="eastAsia"/>
              </w:rPr>
              <w:t>1492</w:t>
            </w:r>
          </w:p>
        </w:tc>
        <w:tc>
          <w:tcPr>
            <w:tcW w:w="756" w:type="dxa"/>
            <w:vAlign w:val="center"/>
          </w:tcPr>
          <w:p w14:paraId="06C8830A" w14:textId="77777777" w:rsidR="002B733E" w:rsidRPr="00FD50F6" w:rsidRDefault="002B733E" w:rsidP="002B733E">
            <w:pPr>
              <w:pStyle w:val="7"/>
            </w:pPr>
            <w:r w:rsidRPr="00FD50F6">
              <w:rPr>
                <w:rFonts w:hint="eastAsia"/>
              </w:rPr>
              <w:t>1423</w:t>
            </w:r>
          </w:p>
        </w:tc>
      </w:tr>
      <w:tr w:rsidR="00FD50F6" w:rsidRPr="00FD50F6" w14:paraId="79665CF2" w14:textId="77777777" w:rsidTr="002B733E">
        <w:trPr>
          <w:trHeight w:val="397"/>
        </w:trPr>
        <w:tc>
          <w:tcPr>
            <w:tcW w:w="701" w:type="dxa"/>
            <w:vAlign w:val="center"/>
          </w:tcPr>
          <w:p w14:paraId="267B089E" w14:textId="77777777" w:rsidR="002B733E" w:rsidRPr="00FD50F6" w:rsidRDefault="002B733E" w:rsidP="002B733E">
            <w:pPr>
              <w:pStyle w:val="7"/>
            </w:pPr>
            <w:r w:rsidRPr="00FD50F6">
              <w:rPr>
                <w:rFonts w:hint="eastAsia"/>
              </w:rPr>
              <w:t>Y</w:t>
            </w:r>
          </w:p>
        </w:tc>
        <w:tc>
          <w:tcPr>
            <w:tcW w:w="756" w:type="dxa"/>
            <w:vAlign w:val="center"/>
          </w:tcPr>
          <w:p w14:paraId="59066426" w14:textId="77777777" w:rsidR="002B733E" w:rsidRPr="00FD50F6" w:rsidRDefault="002B733E" w:rsidP="002B733E">
            <w:pPr>
              <w:pStyle w:val="7"/>
            </w:pPr>
            <w:r w:rsidRPr="00FD50F6">
              <w:rPr>
                <w:rFonts w:hint="eastAsia"/>
              </w:rPr>
              <w:t>2605</w:t>
            </w:r>
          </w:p>
        </w:tc>
        <w:tc>
          <w:tcPr>
            <w:tcW w:w="756" w:type="dxa"/>
            <w:vAlign w:val="center"/>
          </w:tcPr>
          <w:p w14:paraId="653CDBF8" w14:textId="77777777" w:rsidR="002B733E" w:rsidRPr="00FD50F6" w:rsidRDefault="002B733E" w:rsidP="002B733E">
            <w:pPr>
              <w:pStyle w:val="7"/>
            </w:pPr>
            <w:r w:rsidRPr="00FD50F6">
              <w:rPr>
                <w:rFonts w:hint="eastAsia"/>
              </w:rPr>
              <w:t>1860</w:t>
            </w:r>
          </w:p>
        </w:tc>
        <w:tc>
          <w:tcPr>
            <w:tcW w:w="756" w:type="dxa"/>
            <w:vAlign w:val="center"/>
          </w:tcPr>
          <w:p w14:paraId="6ACFB4F3" w14:textId="77777777" w:rsidR="002B733E" w:rsidRPr="00FD50F6" w:rsidRDefault="002B733E" w:rsidP="002B733E">
            <w:pPr>
              <w:pStyle w:val="7"/>
            </w:pPr>
            <w:r w:rsidRPr="00FD50F6">
              <w:rPr>
                <w:rFonts w:hint="eastAsia"/>
              </w:rPr>
              <w:t>1100</w:t>
            </w:r>
          </w:p>
        </w:tc>
        <w:tc>
          <w:tcPr>
            <w:tcW w:w="756" w:type="dxa"/>
            <w:vAlign w:val="center"/>
          </w:tcPr>
          <w:p w14:paraId="3D5DB1C8" w14:textId="77777777" w:rsidR="002B733E" w:rsidRPr="00FD50F6" w:rsidRDefault="002B733E" w:rsidP="002B733E">
            <w:pPr>
              <w:pStyle w:val="7"/>
            </w:pPr>
            <w:r w:rsidRPr="00FD50F6">
              <w:rPr>
                <w:rFonts w:hint="eastAsia"/>
              </w:rPr>
              <w:t>600</w:t>
            </w:r>
          </w:p>
        </w:tc>
        <w:tc>
          <w:tcPr>
            <w:tcW w:w="756" w:type="dxa"/>
            <w:vAlign w:val="center"/>
          </w:tcPr>
          <w:p w14:paraId="4E7A27E3" w14:textId="77777777" w:rsidR="002B733E" w:rsidRPr="00FD50F6" w:rsidRDefault="002B733E" w:rsidP="002B733E">
            <w:pPr>
              <w:pStyle w:val="7"/>
            </w:pPr>
            <w:r w:rsidRPr="00FD50F6">
              <w:rPr>
                <w:rFonts w:hint="eastAsia"/>
              </w:rPr>
              <w:t>600</w:t>
            </w:r>
          </w:p>
        </w:tc>
        <w:tc>
          <w:tcPr>
            <w:tcW w:w="756" w:type="dxa"/>
            <w:vAlign w:val="center"/>
          </w:tcPr>
          <w:p w14:paraId="3F590E53" w14:textId="77777777" w:rsidR="002B733E" w:rsidRPr="00FD50F6" w:rsidRDefault="002B733E" w:rsidP="002B733E">
            <w:pPr>
              <w:pStyle w:val="7"/>
            </w:pPr>
            <w:r w:rsidRPr="00FD50F6">
              <w:rPr>
                <w:rFonts w:hint="eastAsia"/>
              </w:rPr>
              <w:t>450</w:t>
            </w:r>
          </w:p>
        </w:tc>
        <w:tc>
          <w:tcPr>
            <w:tcW w:w="756" w:type="dxa"/>
            <w:vAlign w:val="center"/>
          </w:tcPr>
          <w:p w14:paraId="56875E58" w14:textId="77777777" w:rsidR="002B733E" w:rsidRPr="00FD50F6" w:rsidRDefault="002B733E" w:rsidP="002B733E">
            <w:pPr>
              <w:pStyle w:val="7"/>
            </w:pPr>
            <w:r w:rsidRPr="00FD50F6">
              <w:rPr>
                <w:rFonts w:hint="eastAsia"/>
              </w:rPr>
              <w:t>200</w:t>
            </w:r>
          </w:p>
        </w:tc>
        <w:tc>
          <w:tcPr>
            <w:tcW w:w="756" w:type="dxa"/>
            <w:vAlign w:val="center"/>
          </w:tcPr>
          <w:p w14:paraId="223B27CB" w14:textId="77777777" w:rsidR="002B733E" w:rsidRPr="00FD50F6" w:rsidRDefault="002B733E" w:rsidP="002B733E">
            <w:pPr>
              <w:pStyle w:val="7"/>
            </w:pPr>
            <w:r w:rsidRPr="00FD50F6">
              <w:rPr>
                <w:rFonts w:hint="eastAsia"/>
              </w:rPr>
              <w:t>200</w:t>
            </w:r>
          </w:p>
        </w:tc>
        <w:tc>
          <w:tcPr>
            <w:tcW w:w="756" w:type="dxa"/>
            <w:vAlign w:val="center"/>
          </w:tcPr>
          <w:p w14:paraId="527257B5" w14:textId="77777777" w:rsidR="002B733E" w:rsidRPr="00FD50F6" w:rsidRDefault="002B733E" w:rsidP="002B733E">
            <w:pPr>
              <w:pStyle w:val="7"/>
            </w:pPr>
            <w:r w:rsidRPr="00FD50F6">
              <w:rPr>
                <w:rFonts w:hint="eastAsia"/>
              </w:rPr>
              <w:t>101</w:t>
            </w:r>
          </w:p>
        </w:tc>
        <w:tc>
          <w:tcPr>
            <w:tcW w:w="756" w:type="dxa"/>
            <w:vAlign w:val="center"/>
          </w:tcPr>
          <w:p w14:paraId="079BA71B" w14:textId="77777777" w:rsidR="002B733E" w:rsidRPr="00FD50F6" w:rsidRDefault="002B733E" w:rsidP="002B733E">
            <w:pPr>
              <w:pStyle w:val="7"/>
            </w:pPr>
            <w:r w:rsidRPr="00FD50F6">
              <w:rPr>
                <w:rFonts w:hint="eastAsia"/>
              </w:rPr>
              <w:t>76</w:t>
            </w:r>
          </w:p>
        </w:tc>
      </w:tr>
      <w:tr w:rsidR="00FD50F6" w:rsidRPr="00FD50F6" w14:paraId="02D78F80" w14:textId="77777777" w:rsidTr="002B733E">
        <w:trPr>
          <w:trHeight w:val="397"/>
        </w:trPr>
        <w:tc>
          <w:tcPr>
            <w:tcW w:w="701" w:type="dxa"/>
            <w:vAlign w:val="center"/>
          </w:tcPr>
          <w:p w14:paraId="67089B36" w14:textId="77777777" w:rsidR="002B733E" w:rsidRPr="00FD50F6" w:rsidRDefault="002B733E" w:rsidP="002B733E">
            <w:pPr>
              <w:pStyle w:val="7"/>
            </w:pPr>
            <w:r w:rsidRPr="00FD50F6">
              <w:rPr>
                <w:rFonts w:hint="eastAsia"/>
              </w:rPr>
              <w:t>点号</w:t>
            </w:r>
          </w:p>
        </w:tc>
        <w:tc>
          <w:tcPr>
            <w:tcW w:w="756" w:type="dxa"/>
            <w:vAlign w:val="center"/>
          </w:tcPr>
          <w:p w14:paraId="503744A7" w14:textId="77777777" w:rsidR="002B733E" w:rsidRPr="00FD50F6" w:rsidRDefault="002B733E" w:rsidP="002B733E">
            <w:pPr>
              <w:pStyle w:val="7"/>
            </w:pPr>
            <w:r w:rsidRPr="00FD50F6">
              <w:rPr>
                <w:rFonts w:hint="eastAsia"/>
              </w:rPr>
              <w:t>16</w:t>
            </w:r>
          </w:p>
        </w:tc>
        <w:tc>
          <w:tcPr>
            <w:tcW w:w="756" w:type="dxa"/>
            <w:vAlign w:val="center"/>
          </w:tcPr>
          <w:p w14:paraId="735192EE" w14:textId="77777777" w:rsidR="002B733E" w:rsidRPr="00FD50F6" w:rsidRDefault="002B733E" w:rsidP="002B733E">
            <w:pPr>
              <w:pStyle w:val="7"/>
            </w:pPr>
            <w:r w:rsidRPr="00FD50F6">
              <w:rPr>
                <w:rFonts w:hint="eastAsia"/>
              </w:rPr>
              <w:t>17</w:t>
            </w:r>
          </w:p>
        </w:tc>
        <w:tc>
          <w:tcPr>
            <w:tcW w:w="756" w:type="dxa"/>
            <w:vAlign w:val="center"/>
          </w:tcPr>
          <w:p w14:paraId="1B7EB39E" w14:textId="77777777" w:rsidR="002B733E" w:rsidRPr="00FD50F6" w:rsidRDefault="002B733E" w:rsidP="002B733E">
            <w:pPr>
              <w:pStyle w:val="7"/>
            </w:pPr>
            <w:r w:rsidRPr="00FD50F6">
              <w:rPr>
                <w:rFonts w:hint="eastAsia"/>
              </w:rPr>
              <w:t>18</w:t>
            </w:r>
          </w:p>
        </w:tc>
        <w:tc>
          <w:tcPr>
            <w:tcW w:w="756" w:type="dxa"/>
            <w:vAlign w:val="center"/>
          </w:tcPr>
          <w:p w14:paraId="66BD7150" w14:textId="77777777" w:rsidR="002B733E" w:rsidRPr="00FD50F6" w:rsidRDefault="002B733E" w:rsidP="002B733E">
            <w:pPr>
              <w:pStyle w:val="7"/>
            </w:pPr>
            <w:r w:rsidRPr="00FD50F6">
              <w:rPr>
                <w:rFonts w:hint="eastAsia"/>
              </w:rPr>
              <w:t>19</w:t>
            </w:r>
          </w:p>
        </w:tc>
        <w:tc>
          <w:tcPr>
            <w:tcW w:w="756" w:type="dxa"/>
            <w:vAlign w:val="center"/>
          </w:tcPr>
          <w:p w14:paraId="0CB0FDC1" w14:textId="77777777" w:rsidR="002B733E" w:rsidRPr="00FD50F6" w:rsidRDefault="002B733E" w:rsidP="002B733E">
            <w:pPr>
              <w:pStyle w:val="7"/>
            </w:pPr>
            <w:r w:rsidRPr="00FD50F6">
              <w:rPr>
                <w:rFonts w:hint="eastAsia"/>
              </w:rPr>
              <w:t>20</w:t>
            </w:r>
          </w:p>
        </w:tc>
        <w:tc>
          <w:tcPr>
            <w:tcW w:w="756" w:type="dxa"/>
            <w:vAlign w:val="center"/>
          </w:tcPr>
          <w:p w14:paraId="7D0399F8" w14:textId="77777777" w:rsidR="002B733E" w:rsidRPr="00FD50F6" w:rsidRDefault="002B733E" w:rsidP="002B733E">
            <w:pPr>
              <w:pStyle w:val="7"/>
            </w:pPr>
            <w:r w:rsidRPr="00FD50F6">
              <w:rPr>
                <w:rFonts w:hint="eastAsia"/>
              </w:rPr>
              <w:t>21</w:t>
            </w:r>
          </w:p>
        </w:tc>
        <w:tc>
          <w:tcPr>
            <w:tcW w:w="756" w:type="dxa"/>
            <w:vAlign w:val="center"/>
          </w:tcPr>
          <w:p w14:paraId="0E36BC87" w14:textId="77777777" w:rsidR="002B733E" w:rsidRPr="00FD50F6" w:rsidRDefault="002B733E" w:rsidP="002B733E">
            <w:pPr>
              <w:pStyle w:val="7"/>
            </w:pPr>
            <w:r w:rsidRPr="00FD50F6">
              <w:rPr>
                <w:rFonts w:hint="eastAsia"/>
              </w:rPr>
              <w:t>22</w:t>
            </w:r>
          </w:p>
        </w:tc>
        <w:tc>
          <w:tcPr>
            <w:tcW w:w="756" w:type="dxa"/>
            <w:vAlign w:val="center"/>
          </w:tcPr>
          <w:p w14:paraId="64EB3D37" w14:textId="77777777" w:rsidR="002B733E" w:rsidRPr="00FD50F6" w:rsidRDefault="002B733E" w:rsidP="002B733E">
            <w:pPr>
              <w:pStyle w:val="7"/>
            </w:pPr>
            <w:r w:rsidRPr="00FD50F6">
              <w:rPr>
                <w:rFonts w:hint="eastAsia"/>
              </w:rPr>
              <w:t>23</w:t>
            </w:r>
          </w:p>
        </w:tc>
        <w:tc>
          <w:tcPr>
            <w:tcW w:w="756" w:type="dxa"/>
            <w:vAlign w:val="center"/>
          </w:tcPr>
          <w:p w14:paraId="2F984D55" w14:textId="77777777" w:rsidR="002B733E" w:rsidRPr="00FD50F6" w:rsidRDefault="002B733E" w:rsidP="002B733E">
            <w:pPr>
              <w:pStyle w:val="7"/>
            </w:pPr>
            <w:r w:rsidRPr="00FD50F6">
              <w:rPr>
                <w:rFonts w:hint="eastAsia"/>
              </w:rPr>
              <w:t>24</w:t>
            </w:r>
          </w:p>
        </w:tc>
        <w:tc>
          <w:tcPr>
            <w:tcW w:w="756" w:type="dxa"/>
            <w:vAlign w:val="center"/>
          </w:tcPr>
          <w:p w14:paraId="00DB945E" w14:textId="77777777" w:rsidR="002B733E" w:rsidRPr="00FD50F6" w:rsidRDefault="002B733E" w:rsidP="002B733E">
            <w:pPr>
              <w:pStyle w:val="7"/>
            </w:pPr>
            <w:r w:rsidRPr="00FD50F6">
              <w:rPr>
                <w:rFonts w:hint="eastAsia"/>
              </w:rPr>
              <w:t>25</w:t>
            </w:r>
          </w:p>
        </w:tc>
      </w:tr>
      <w:tr w:rsidR="00FD50F6" w:rsidRPr="00FD50F6" w14:paraId="6BC2C750" w14:textId="77777777" w:rsidTr="002B733E">
        <w:trPr>
          <w:trHeight w:val="397"/>
        </w:trPr>
        <w:tc>
          <w:tcPr>
            <w:tcW w:w="701" w:type="dxa"/>
            <w:vAlign w:val="center"/>
          </w:tcPr>
          <w:p w14:paraId="22A8E191" w14:textId="77777777" w:rsidR="002B733E" w:rsidRPr="00FD50F6" w:rsidRDefault="002B733E" w:rsidP="002B733E">
            <w:pPr>
              <w:pStyle w:val="7"/>
            </w:pPr>
            <w:r w:rsidRPr="00FD50F6">
              <w:rPr>
                <w:rFonts w:hint="eastAsia"/>
              </w:rPr>
              <w:t>X</w:t>
            </w:r>
          </w:p>
        </w:tc>
        <w:tc>
          <w:tcPr>
            <w:tcW w:w="756" w:type="dxa"/>
            <w:vAlign w:val="center"/>
          </w:tcPr>
          <w:p w14:paraId="43E24244" w14:textId="77777777" w:rsidR="002B733E" w:rsidRPr="00FD50F6" w:rsidRDefault="002B733E" w:rsidP="002B733E">
            <w:pPr>
              <w:pStyle w:val="7"/>
            </w:pPr>
            <w:r w:rsidRPr="00FD50F6">
              <w:rPr>
                <w:rFonts w:hint="eastAsia"/>
              </w:rPr>
              <w:t>1118</w:t>
            </w:r>
          </w:p>
        </w:tc>
        <w:tc>
          <w:tcPr>
            <w:tcW w:w="756" w:type="dxa"/>
            <w:vAlign w:val="center"/>
          </w:tcPr>
          <w:p w14:paraId="5A14F9F0" w14:textId="77777777" w:rsidR="002B733E" w:rsidRPr="00FD50F6" w:rsidRDefault="002B733E" w:rsidP="002B733E">
            <w:pPr>
              <w:pStyle w:val="7"/>
            </w:pPr>
            <w:r w:rsidRPr="00FD50F6">
              <w:rPr>
                <w:rFonts w:hint="eastAsia"/>
              </w:rPr>
              <w:t>1118</w:t>
            </w:r>
          </w:p>
        </w:tc>
        <w:tc>
          <w:tcPr>
            <w:tcW w:w="756" w:type="dxa"/>
            <w:vAlign w:val="center"/>
          </w:tcPr>
          <w:p w14:paraId="71C55C6D" w14:textId="77777777" w:rsidR="002B733E" w:rsidRPr="00FD50F6" w:rsidRDefault="002B733E" w:rsidP="002B733E">
            <w:pPr>
              <w:pStyle w:val="7"/>
            </w:pPr>
            <w:r w:rsidRPr="00FD50F6">
              <w:rPr>
                <w:rFonts w:hint="eastAsia"/>
              </w:rPr>
              <w:t>1065</w:t>
            </w:r>
          </w:p>
        </w:tc>
        <w:tc>
          <w:tcPr>
            <w:tcW w:w="756" w:type="dxa"/>
            <w:vAlign w:val="center"/>
          </w:tcPr>
          <w:p w14:paraId="3B77C58C" w14:textId="77777777" w:rsidR="002B733E" w:rsidRPr="00FD50F6" w:rsidRDefault="002B733E" w:rsidP="002B733E">
            <w:pPr>
              <w:pStyle w:val="7"/>
            </w:pPr>
            <w:r w:rsidRPr="00FD50F6">
              <w:rPr>
                <w:rFonts w:hint="eastAsia"/>
              </w:rPr>
              <w:t>1065</w:t>
            </w:r>
          </w:p>
        </w:tc>
        <w:tc>
          <w:tcPr>
            <w:tcW w:w="756" w:type="dxa"/>
            <w:vAlign w:val="center"/>
          </w:tcPr>
          <w:p w14:paraId="7CE260C0" w14:textId="77777777" w:rsidR="002B733E" w:rsidRPr="00FD50F6" w:rsidRDefault="002B733E" w:rsidP="002B733E">
            <w:pPr>
              <w:pStyle w:val="7"/>
            </w:pPr>
            <w:r w:rsidRPr="00FD50F6">
              <w:rPr>
                <w:rFonts w:hint="eastAsia"/>
              </w:rPr>
              <w:t>818</w:t>
            </w:r>
          </w:p>
        </w:tc>
        <w:tc>
          <w:tcPr>
            <w:tcW w:w="756" w:type="dxa"/>
            <w:vAlign w:val="center"/>
          </w:tcPr>
          <w:p w14:paraId="13A69E3D" w14:textId="77777777" w:rsidR="002B733E" w:rsidRPr="00FD50F6" w:rsidRDefault="002B733E" w:rsidP="002B733E">
            <w:pPr>
              <w:pStyle w:val="7"/>
            </w:pPr>
            <w:r w:rsidRPr="00FD50F6">
              <w:rPr>
                <w:rFonts w:hint="eastAsia"/>
              </w:rPr>
              <w:t>818</w:t>
            </w:r>
          </w:p>
        </w:tc>
        <w:tc>
          <w:tcPr>
            <w:tcW w:w="756" w:type="dxa"/>
            <w:vAlign w:val="center"/>
          </w:tcPr>
          <w:p w14:paraId="7A1140A1" w14:textId="77777777" w:rsidR="002B733E" w:rsidRPr="00FD50F6" w:rsidRDefault="002B733E" w:rsidP="002B733E">
            <w:pPr>
              <w:pStyle w:val="7"/>
            </w:pPr>
            <w:r w:rsidRPr="00FD50F6">
              <w:rPr>
                <w:rFonts w:hint="eastAsia"/>
              </w:rPr>
              <w:t>718</w:t>
            </w:r>
          </w:p>
        </w:tc>
        <w:tc>
          <w:tcPr>
            <w:tcW w:w="756" w:type="dxa"/>
            <w:vAlign w:val="center"/>
          </w:tcPr>
          <w:p w14:paraId="02E962B8" w14:textId="77777777" w:rsidR="002B733E" w:rsidRPr="00FD50F6" w:rsidRDefault="002B733E" w:rsidP="002B733E">
            <w:pPr>
              <w:pStyle w:val="7"/>
            </w:pPr>
            <w:r w:rsidRPr="00FD50F6">
              <w:rPr>
                <w:rFonts w:hint="eastAsia"/>
              </w:rPr>
              <w:t>718</w:t>
            </w:r>
          </w:p>
        </w:tc>
        <w:tc>
          <w:tcPr>
            <w:tcW w:w="756" w:type="dxa"/>
            <w:vAlign w:val="center"/>
          </w:tcPr>
          <w:p w14:paraId="4E7CD4A1" w14:textId="77777777" w:rsidR="002B733E" w:rsidRPr="00FD50F6" w:rsidRDefault="002B733E" w:rsidP="002B733E">
            <w:pPr>
              <w:pStyle w:val="7"/>
            </w:pPr>
            <w:r w:rsidRPr="00FD50F6">
              <w:rPr>
                <w:rFonts w:hint="eastAsia"/>
              </w:rPr>
              <w:t>677</w:t>
            </w:r>
          </w:p>
        </w:tc>
        <w:tc>
          <w:tcPr>
            <w:tcW w:w="756" w:type="dxa"/>
            <w:vAlign w:val="center"/>
          </w:tcPr>
          <w:p w14:paraId="25F60FA4" w14:textId="77777777" w:rsidR="002B733E" w:rsidRPr="00FD50F6" w:rsidRDefault="002B733E" w:rsidP="002B733E">
            <w:pPr>
              <w:pStyle w:val="7"/>
            </w:pPr>
            <w:r w:rsidRPr="00FD50F6">
              <w:rPr>
                <w:rFonts w:hint="eastAsia"/>
              </w:rPr>
              <w:t>677</w:t>
            </w:r>
          </w:p>
        </w:tc>
      </w:tr>
      <w:tr w:rsidR="00FD50F6" w:rsidRPr="00FD50F6" w14:paraId="32C04009" w14:textId="77777777" w:rsidTr="002B733E">
        <w:trPr>
          <w:trHeight w:val="397"/>
        </w:trPr>
        <w:tc>
          <w:tcPr>
            <w:tcW w:w="701" w:type="dxa"/>
            <w:vAlign w:val="center"/>
          </w:tcPr>
          <w:p w14:paraId="2A6545DE" w14:textId="77777777" w:rsidR="002B733E" w:rsidRPr="00FD50F6" w:rsidRDefault="002B733E" w:rsidP="002B733E">
            <w:pPr>
              <w:pStyle w:val="7"/>
            </w:pPr>
            <w:r w:rsidRPr="00FD50F6">
              <w:rPr>
                <w:rFonts w:hint="eastAsia"/>
              </w:rPr>
              <w:t>Y</w:t>
            </w:r>
          </w:p>
        </w:tc>
        <w:tc>
          <w:tcPr>
            <w:tcW w:w="756" w:type="dxa"/>
            <w:vAlign w:val="center"/>
          </w:tcPr>
          <w:p w14:paraId="0A362E98" w14:textId="77777777" w:rsidR="002B733E" w:rsidRPr="00FD50F6" w:rsidRDefault="002B733E" w:rsidP="002B733E">
            <w:pPr>
              <w:pStyle w:val="7"/>
            </w:pPr>
            <w:r w:rsidRPr="00FD50F6">
              <w:rPr>
                <w:rFonts w:hint="eastAsia"/>
              </w:rPr>
              <w:t>76</w:t>
            </w:r>
          </w:p>
        </w:tc>
        <w:tc>
          <w:tcPr>
            <w:tcW w:w="756" w:type="dxa"/>
            <w:vAlign w:val="center"/>
          </w:tcPr>
          <w:p w14:paraId="5BA621A2" w14:textId="77777777" w:rsidR="002B733E" w:rsidRPr="00FD50F6" w:rsidRDefault="002B733E" w:rsidP="002B733E">
            <w:pPr>
              <w:pStyle w:val="7"/>
            </w:pPr>
            <w:r w:rsidRPr="00FD50F6">
              <w:rPr>
                <w:rFonts w:hint="eastAsia"/>
              </w:rPr>
              <w:t>89</w:t>
            </w:r>
          </w:p>
        </w:tc>
        <w:tc>
          <w:tcPr>
            <w:tcW w:w="756" w:type="dxa"/>
            <w:vAlign w:val="center"/>
          </w:tcPr>
          <w:p w14:paraId="0F652855" w14:textId="77777777" w:rsidR="002B733E" w:rsidRPr="00FD50F6" w:rsidRDefault="002B733E" w:rsidP="002B733E">
            <w:pPr>
              <w:pStyle w:val="7"/>
            </w:pPr>
            <w:r w:rsidRPr="00FD50F6">
              <w:rPr>
                <w:rFonts w:hint="eastAsia"/>
              </w:rPr>
              <w:t>89</w:t>
            </w:r>
          </w:p>
        </w:tc>
        <w:tc>
          <w:tcPr>
            <w:tcW w:w="756" w:type="dxa"/>
            <w:vAlign w:val="center"/>
          </w:tcPr>
          <w:p w14:paraId="36C90E9C" w14:textId="77777777" w:rsidR="002B733E" w:rsidRPr="00FD50F6" w:rsidRDefault="002B733E" w:rsidP="002B733E">
            <w:pPr>
              <w:pStyle w:val="7"/>
            </w:pPr>
            <w:r w:rsidRPr="00FD50F6">
              <w:rPr>
                <w:rFonts w:hint="eastAsia"/>
              </w:rPr>
              <w:t>161</w:t>
            </w:r>
          </w:p>
        </w:tc>
        <w:tc>
          <w:tcPr>
            <w:tcW w:w="756" w:type="dxa"/>
            <w:vAlign w:val="center"/>
          </w:tcPr>
          <w:p w14:paraId="5A424652" w14:textId="77777777" w:rsidR="002B733E" w:rsidRPr="00FD50F6" w:rsidRDefault="002B733E" w:rsidP="002B733E">
            <w:pPr>
              <w:pStyle w:val="7"/>
            </w:pPr>
            <w:r w:rsidRPr="00FD50F6">
              <w:rPr>
                <w:rFonts w:hint="eastAsia"/>
              </w:rPr>
              <w:t>161</w:t>
            </w:r>
          </w:p>
        </w:tc>
        <w:tc>
          <w:tcPr>
            <w:tcW w:w="756" w:type="dxa"/>
            <w:vAlign w:val="center"/>
          </w:tcPr>
          <w:p w14:paraId="3B9094DA" w14:textId="77777777" w:rsidR="002B733E" w:rsidRPr="00FD50F6" w:rsidRDefault="002B733E" w:rsidP="002B733E">
            <w:pPr>
              <w:pStyle w:val="7"/>
            </w:pPr>
            <w:r w:rsidRPr="00FD50F6">
              <w:rPr>
                <w:rFonts w:hint="eastAsia"/>
              </w:rPr>
              <w:t>0</w:t>
            </w:r>
          </w:p>
        </w:tc>
        <w:tc>
          <w:tcPr>
            <w:tcW w:w="756" w:type="dxa"/>
            <w:vAlign w:val="center"/>
          </w:tcPr>
          <w:p w14:paraId="34AB399A" w14:textId="77777777" w:rsidR="002B733E" w:rsidRPr="00FD50F6" w:rsidRDefault="002B733E" w:rsidP="002B733E">
            <w:pPr>
              <w:pStyle w:val="7"/>
            </w:pPr>
            <w:r w:rsidRPr="00FD50F6">
              <w:rPr>
                <w:rFonts w:hint="eastAsia"/>
              </w:rPr>
              <w:t>0</w:t>
            </w:r>
          </w:p>
        </w:tc>
        <w:tc>
          <w:tcPr>
            <w:tcW w:w="756" w:type="dxa"/>
            <w:vAlign w:val="center"/>
          </w:tcPr>
          <w:p w14:paraId="27CD8A96" w14:textId="77777777" w:rsidR="002B733E" w:rsidRPr="00FD50F6" w:rsidRDefault="002B733E" w:rsidP="002B733E">
            <w:pPr>
              <w:pStyle w:val="7"/>
            </w:pPr>
            <w:r w:rsidRPr="00FD50F6">
              <w:rPr>
                <w:rFonts w:hint="eastAsia"/>
              </w:rPr>
              <w:t>-25</w:t>
            </w:r>
          </w:p>
        </w:tc>
        <w:tc>
          <w:tcPr>
            <w:tcW w:w="756" w:type="dxa"/>
            <w:vAlign w:val="center"/>
          </w:tcPr>
          <w:p w14:paraId="134A5477" w14:textId="77777777" w:rsidR="002B733E" w:rsidRPr="00FD50F6" w:rsidRDefault="002B733E" w:rsidP="002B733E">
            <w:pPr>
              <w:pStyle w:val="7"/>
            </w:pPr>
            <w:r w:rsidRPr="00FD50F6">
              <w:rPr>
                <w:rFonts w:hint="eastAsia"/>
              </w:rPr>
              <w:t>-25</w:t>
            </w:r>
          </w:p>
        </w:tc>
        <w:tc>
          <w:tcPr>
            <w:tcW w:w="756" w:type="dxa"/>
            <w:vAlign w:val="center"/>
          </w:tcPr>
          <w:p w14:paraId="25972702" w14:textId="77777777" w:rsidR="002B733E" w:rsidRPr="00FD50F6" w:rsidRDefault="002B733E" w:rsidP="002B733E">
            <w:pPr>
              <w:pStyle w:val="7"/>
            </w:pPr>
            <w:r w:rsidRPr="00FD50F6">
              <w:rPr>
                <w:rFonts w:hint="eastAsia"/>
              </w:rPr>
              <w:t>80</w:t>
            </w:r>
          </w:p>
        </w:tc>
      </w:tr>
      <w:tr w:rsidR="00FD50F6" w:rsidRPr="00FD50F6" w14:paraId="3252771C" w14:textId="77777777" w:rsidTr="002B733E">
        <w:trPr>
          <w:trHeight w:val="397"/>
        </w:trPr>
        <w:tc>
          <w:tcPr>
            <w:tcW w:w="701" w:type="dxa"/>
            <w:vAlign w:val="center"/>
          </w:tcPr>
          <w:p w14:paraId="1465579D" w14:textId="77777777" w:rsidR="002B733E" w:rsidRPr="00FD50F6" w:rsidRDefault="002B733E" w:rsidP="002B733E">
            <w:pPr>
              <w:pStyle w:val="7"/>
            </w:pPr>
            <w:r w:rsidRPr="00FD50F6">
              <w:rPr>
                <w:rFonts w:hint="eastAsia"/>
              </w:rPr>
              <w:t>点号</w:t>
            </w:r>
          </w:p>
        </w:tc>
        <w:tc>
          <w:tcPr>
            <w:tcW w:w="756" w:type="dxa"/>
            <w:vAlign w:val="bottom"/>
          </w:tcPr>
          <w:p w14:paraId="0EDEDA4F" w14:textId="77777777" w:rsidR="002B733E" w:rsidRPr="00FD50F6" w:rsidRDefault="002B733E" w:rsidP="002B733E">
            <w:pPr>
              <w:pStyle w:val="7"/>
            </w:pPr>
            <w:r w:rsidRPr="00FD50F6">
              <w:rPr>
                <w:rFonts w:hint="eastAsia"/>
              </w:rPr>
              <w:t>26</w:t>
            </w:r>
          </w:p>
        </w:tc>
        <w:tc>
          <w:tcPr>
            <w:tcW w:w="756" w:type="dxa"/>
            <w:vAlign w:val="bottom"/>
          </w:tcPr>
          <w:p w14:paraId="1669CBFD" w14:textId="77777777" w:rsidR="002B733E" w:rsidRPr="00FD50F6" w:rsidRDefault="002B733E" w:rsidP="002B733E">
            <w:pPr>
              <w:pStyle w:val="7"/>
            </w:pPr>
            <w:r w:rsidRPr="00FD50F6">
              <w:rPr>
                <w:rFonts w:hint="eastAsia"/>
              </w:rPr>
              <w:t>m1</w:t>
            </w:r>
          </w:p>
        </w:tc>
        <w:tc>
          <w:tcPr>
            <w:tcW w:w="756" w:type="dxa"/>
            <w:vAlign w:val="bottom"/>
          </w:tcPr>
          <w:p w14:paraId="73C360BB" w14:textId="77777777" w:rsidR="002B733E" w:rsidRPr="00FD50F6" w:rsidRDefault="002B733E" w:rsidP="002B733E">
            <w:pPr>
              <w:pStyle w:val="7"/>
            </w:pPr>
            <w:r w:rsidRPr="00FD50F6">
              <w:rPr>
                <w:rFonts w:hint="eastAsia"/>
              </w:rPr>
              <w:t>m2</w:t>
            </w:r>
          </w:p>
        </w:tc>
        <w:tc>
          <w:tcPr>
            <w:tcW w:w="756" w:type="dxa"/>
            <w:vAlign w:val="center"/>
          </w:tcPr>
          <w:p w14:paraId="2962CC23" w14:textId="77777777" w:rsidR="002B733E" w:rsidRPr="00FD50F6" w:rsidRDefault="002B733E" w:rsidP="002B733E">
            <w:pPr>
              <w:pStyle w:val="7"/>
            </w:pPr>
            <w:r w:rsidRPr="00FD50F6">
              <w:rPr>
                <w:rFonts w:hint="eastAsia"/>
              </w:rPr>
              <w:t>m3</w:t>
            </w:r>
          </w:p>
        </w:tc>
        <w:tc>
          <w:tcPr>
            <w:tcW w:w="756" w:type="dxa"/>
            <w:vAlign w:val="center"/>
          </w:tcPr>
          <w:p w14:paraId="4E3E2B43" w14:textId="77777777" w:rsidR="002B733E" w:rsidRPr="00FD50F6" w:rsidRDefault="002B733E" w:rsidP="002B733E">
            <w:pPr>
              <w:pStyle w:val="7"/>
            </w:pPr>
            <w:r w:rsidRPr="00FD50F6">
              <w:rPr>
                <w:rFonts w:hint="eastAsia"/>
              </w:rPr>
              <w:t>m4</w:t>
            </w:r>
          </w:p>
        </w:tc>
        <w:tc>
          <w:tcPr>
            <w:tcW w:w="756" w:type="dxa"/>
            <w:vAlign w:val="bottom"/>
          </w:tcPr>
          <w:p w14:paraId="420E8D4B" w14:textId="77777777" w:rsidR="002B733E" w:rsidRPr="00FD50F6" w:rsidRDefault="002B733E" w:rsidP="002B733E">
            <w:pPr>
              <w:pStyle w:val="7"/>
            </w:pPr>
            <w:r w:rsidRPr="00FD50F6">
              <w:rPr>
                <w:rFonts w:hint="eastAsia"/>
              </w:rPr>
              <w:t>m5</w:t>
            </w:r>
          </w:p>
        </w:tc>
        <w:tc>
          <w:tcPr>
            <w:tcW w:w="756" w:type="dxa"/>
            <w:vAlign w:val="bottom"/>
          </w:tcPr>
          <w:p w14:paraId="434F5BED" w14:textId="77777777" w:rsidR="002B733E" w:rsidRPr="00FD50F6" w:rsidRDefault="002B733E" w:rsidP="002B733E">
            <w:pPr>
              <w:pStyle w:val="7"/>
            </w:pPr>
            <w:r w:rsidRPr="00FD50F6">
              <w:rPr>
                <w:rFonts w:hint="eastAsia"/>
              </w:rPr>
              <w:t>m6</w:t>
            </w:r>
          </w:p>
        </w:tc>
        <w:tc>
          <w:tcPr>
            <w:tcW w:w="756" w:type="dxa"/>
            <w:vAlign w:val="center"/>
          </w:tcPr>
          <w:p w14:paraId="5686593B" w14:textId="77777777" w:rsidR="002B733E" w:rsidRPr="00FD50F6" w:rsidRDefault="002B733E" w:rsidP="002B733E">
            <w:pPr>
              <w:pStyle w:val="7"/>
            </w:pPr>
            <w:r w:rsidRPr="00FD50F6">
              <w:rPr>
                <w:rFonts w:hint="eastAsia"/>
              </w:rPr>
              <w:t>—</w:t>
            </w:r>
          </w:p>
        </w:tc>
        <w:tc>
          <w:tcPr>
            <w:tcW w:w="756" w:type="dxa"/>
            <w:vAlign w:val="center"/>
          </w:tcPr>
          <w:p w14:paraId="7B1A06DE" w14:textId="77777777" w:rsidR="002B733E" w:rsidRPr="00FD50F6" w:rsidRDefault="002B733E" w:rsidP="002B733E">
            <w:pPr>
              <w:pStyle w:val="7"/>
            </w:pPr>
            <w:r w:rsidRPr="00FD50F6">
              <w:rPr>
                <w:rFonts w:hint="eastAsia"/>
              </w:rPr>
              <w:t>—</w:t>
            </w:r>
          </w:p>
        </w:tc>
        <w:tc>
          <w:tcPr>
            <w:tcW w:w="756" w:type="dxa"/>
            <w:vAlign w:val="center"/>
          </w:tcPr>
          <w:p w14:paraId="30867C11" w14:textId="77777777" w:rsidR="002B733E" w:rsidRPr="00FD50F6" w:rsidRDefault="002B733E" w:rsidP="002B733E">
            <w:pPr>
              <w:pStyle w:val="7"/>
            </w:pPr>
            <w:r w:rsidRPr="00FD50F6">
              <w:rPr>
                <w:rFonts w:hint="eastAsia"/>
              </w:rPr>
              <w:t>—</w:t>
            </w:r>
          </w:p>
        </w:tc>
      </w:tr>
      <w:tr w:rsidR="00FD50F6" w:rsidRPr="00FD50F6" w14:paraId="5BC469BE" w14:textId="77777777" w:rsidTr="002B733E">
        <w:trPr>
          <w:trHeight w:val="397"/>
        </w:trPr>
        <w:tc>
          <w:tcPr>
            <w:tcW w:w="701" w:type="dxa"/>
            <w:vAlign w:val="center"/>
          </w:tcPr>
          <w:p w14:paraId="20B04C55" w14:textId="77777777" w:rsidR="002B733E" w:rsidRPr="00FD50F6" w:rsidRDefault="002B733E" w:rsidP="002B733E">
            <w:pPr>
              <w:pStyle w:val="7"/>
            </w:pPr>
            <w:r w:rsidRPr="00FD50F6">
              <w:rPr>
                <w:rFonts w:hint="eastAsia"/>
              </w:rPr>
              <w:t>X</w:t>
            </w:r>
          </w:p>
        </w:tc>
        <w:tc>
          <w:tcPr>
            <w:tcW w:w="756" w:type="dxa"/>
            <w:vAlign w:val="bottom"/>
          </w:tcPr>
          <w:p w14:paraId="266D2695" w14:textId="77777777" w:rsidR="002B733E" w:rsidRPr="00FD50F6" w:rsidRDefault="002B733E" w:rsidP="002B733E">
            <w:pPr>
              <w:pStyle w:val="7"/>
            </w:pPr>
            <w:r w:rsidRPr="00FD50F6">
              <w:rPr>
                <w:rFonts w:hint="eastAsia"/>
              </w:rPr>
              <w:t>0</w:t>
            </w:r>
          </w:p>
        </w:tc>
        <w:tc>
          <w:tcPr>
            <w:tcW w:w="756" w:type="dxa"/>
            <w:vAlign w:val="center"/>
          </w:tcPr>
          <w:p w14:paraId="446DE377" w14:textId="77777777" w:rsidR="002B733E" w:rsidRPr="00FD50F6" w:rsidRDefault="002B733E" w:rsidP="002B733E">
            <w:pPr>
              <w:pStyle w:val="7"/>
            </w:pPr>
            <w:r w:rsidRPr="00FD50F6">
              <w:rPr>
                <w:rFonts w:hint="eastAsia"/>
              </w:rPr>
              <w:t>1304</w:t>
            </w:r>
          </w:p>
        </w:tc>
        <w:tc>
          <w:tcPr>
            <w:tcW w:w="756" w:type="dxa"/>
            <w:vAlign w:val="center"/>
          </w:tcPr>
          <w:p w14:paraId="46BC350E" w14:textId="77777777" w:rsidR="002B733E" w:rsidRPr="00FD50F6" w:rsidRDefault="002B733E" w:rsidP="002B733E">
            <w:pPr>
              <w:pStyle w:val="7"/>
            </w:pPr>
            <w:r w:rsidRPr="00FD50F6">
              <w:rPr>
                <w:rFonts w:hint="eastAsia"/>
              </w:rPr>
              <w:t>1392</w:t>
            </w:r>
          </w:p>
        </w:tc>
        <w:tc>
          <w:tcPr>
            <w:tcW w:w="756" w:type="dxa"/>
            <w:vAlign w:val="center"/>
          </w:tcPr>
          <w:p w14:paraId="3D4C3859" w14:textId="77777777" w:rsidR="002B733E" w:rsidRPr="00FD50F6" w:rsidRDefault="002B733E" w:rsidP="002B733E">
            <w:pPr>
              <w:pStyle w:val="7"/>
            </w:pPr>
            <w:r w:rsidRPr="00FD50F6">
              <w:rPr>
                <w:rFonts w:hint="eastAsia"/>
              </w:rPr>
              <w:t>1400</w:t>
            </w:r>
          </w:p>
        </w:tc>
        <w:tc>
          <w:tcPr>
            <w:tcW w:w="756" w:type="dxa"/>
            <w:vAlign w:val="center"/>
          </w:tcPr>
          <w:p w14:paraId="301A7524" w14:textId="77777777" w:rsidR="002B733E" w:rsidRPr="00FD50F6" w:rsidRDefault="002B733E" w:rsidP="002B733E">
            <w:pPr>
              <w:pStyle w:val="7"/>
            </w:pPr>
            <w:r w:rsidRPr="00FD50F6">
              <w:rPr>
                <w:rFonts w:hint="eastAsia"/>
              </w:rPr>
              <w:t>1458</w:t>
            </w:r>
          </w:p>
        </w:tc>
        <w:tc>
          <w:tcPr>
            <w:tcW w:w="756" w:type="dxa"/>
            <w:vAlign w:val="center"/>
          </w:tcPr>
          <w:p w14:paraId="020CB282" w14:textId="77777777" w:rsidR="002B733E" w:rsidRPr="00FD50F6" w:rsidRDefault="002B733E" w:rsidP="002B733E">
            <w:pPr>
              <w:pStyle w:val="7"/>
            </w:pPr>
            <w:r w:rsidRPr="00FD50F6">
              <w:rPr>
                <w:rFonts w:hint="eastAsia"/>
              </w:rPr>
              <w:t>1450</w:t>
            </w:r>
          </w:p>
        </w:tc>
        <w:tc>
          <w:tcPr>
            <w:tcW w:w="756" w:type="dxa"/>
            <w:vAlign w:val="center"/>
          </w:tcPr>
          <w:p w14:paraId="3C28E331" w14:textId="77777777" w:rsidR="002B733E" w:rsidRPr="00FD50F6" w:rsidRDefault="002B733E" w:rsidP="002B733E">
            <w:pPr>
              <w:pStyle w:val="7"/>
            </w:pPr>
            <w:r w:rsidRPr="00FD50F6">
              <w:rPr>
                <w:rFonts w:hint="eastAsia"/>
              </w:rPr>
              <w:t>1398</w:t>
            </w:r>
          </w:p>
        </w:tc>
        <w:tc>
          <w:tcPr>
            <w:tcW w:w="756" w:type="dxa"/>
            <w:vAlign w:val="center"/>
          </w:tcPr>
          <w:p w14:paraId="07A0B0F7" w14:textId="77777777" w:rsidR="002B733E" w:rsidRPr="00FD50F6" w:rsidRDefault="002B733E" w:rsidP="002B733E">
            <w:pPr>
              <w:pStyle w:val="7"/>
            </w:pPr>
            <w:r w:rsidRPr="00FD50F6">
              <w:rPr>
                <w:rFonts w:hint="eastAsia"/>
              </w:rPr>
              <w:t>—</w:t>
            </w:r>
          </w:p>
        </w:tc>
        <w:tc>
          <w:tcPr>
            <w:tcW w:w="756" w:type="dxa"/>
            <w:vAlign w:val="center"/>
          </w:tcPr>
          <w:p w14:paraId="3AB195E6" w14:textId="77777777" w:rsidR="002B733E" w:rsidRPr="00FD50F6" w:rsidRDefault="002B733E" w:rsidP="002B733E">
            <w:pPr>
              <w:pStyle w:val="7"/>
            </w:pPr>
            <w:r w:rsidRPr="00FD50F6">
              <w:rPr>
                <w:rFonts w:hint="eastAsia"/>
              </w:rPr>
              <w:t>—</w:t>
            </w:r>
          </w:p>
        </w:tc>
        <w:tc>
          <w:tcPr>
            <w:tcW w:w="756" w:type="dxa"/>
            <w:vAlign w:val="center"/>
          </w:tcPr>
          <w:p w14:paraId="49D06BCD" w14:textId="77777777" w:rsidR="002B733E" w:rsidRPr="00FD50F6" w:rsidRDefault="002B733E" w:rsidP="002B733E">
            <w:pPr>
              <w:pStyle w:val="7"/>
            </w:pPr>
            <w:r w:rsidRPr="00FD50F6">
              <w:rPr>
                <w:rFonts w:hint="eastAsia"/>
              </w:rPr>
              <w:t>—</w:t>
            </w:r>
          </w:p>
        </w:tc>
      </w:tr>
      <w:tr w:rsidR="00FD50F6" w:rsidRPr="00FD50F6" w14:paraId="63F460D7" w14:textId="77777777" w:rsidTr="002B733E">
        <w:trPr>
          <w:trHeight w:val="397"/>
        </w:trPr>
        <w:tc>
          <w:tcPr>
            <w:tcW w:w="701" w:type="dxa"/>
            <w:vAlign w:val="center"/>
          </w:tcPr>
          <w:p w14:paraId="191988CD" w14:textId="77777777" w:rsidR="002B733E" w:rsidRPr="00FD50F6" w:rsidRDefault="002B733E" w:rsidP="002B733E">
            <w:pPr>
              <w:pStyle w:val="7"/>
            </w:pPr>
            <w:r w:rsidRPr="00FD50F6">
              <w:rPr>
                <w:rFonts w:hint="eastAsia"/>
              </w:rPr>
              <w:t>Y</w:t>
            </w:r>
          </w:p>
        </w:tc>
        <w:tc>
          <w:tcPr>
            <w:tcW w:w="756" w:type="dxa"/>
            <w:vAlign w:val="bottom"/>
          </w:tcPr>
          <w:p w14:paraId="03A1CDBC" w14:textId="77777777" w:rsidR="002B733E" w:rsidRPr="00FD50F6" w:rsidRDefault="002B733E" w:rsidP="002B733E">
            <w:pPr>
              <w:pStyle w:val="7"/>
            </w:pPr>
            <w:r w:rsidRPr="00FD50F6">
              <w:rPr>
                <w:rFonts w:hint="eastAsia"/>
              </w:rPr>
              <w:t>80</w:t>
            </w:r>
          </w:p>
        </w:tc>
        <w:tc>
          <w:tcPr>
            <w:tcW w:w="756" w:type="dxa"/>
            <w:vAlign w:val="center"/>
          </w:tcPr>
          <w:p w14:paraId="715E4DAE" w14:textId="77777777" w:rsidR="002B733E" w:rsidRPr="00FD50F6" w:rsidRDefault="002B733E" w:rsidP="002B733E">
            <w:pPr>
              <w:pStyle w:val="7"/>
            </w:pPr>
            <w:r w:rsidRPr="00FD50F6">
              <w:rPr>
                <w:rFonts w:hint="eastAsia"/>
              </w:rPr>
              <w:t>3125</w:t>
            </w:r>
          </w:p>
        </w:tc>
        <w:tc>
          <w:tcPr>
            <w:tcW w:w="756" w:type="dxa"/>
            <w:vAlign w:val="center"/>
          </w:tcPr>
          <w:p w14:paraId="49D708BE" w14:textId="77777777" w:rsidR="002B733E" w:rsidRPr="00FD50F6" w:rsidRDefault="002B733E" w:rsidP="002B733E">
            <w:pPr>
              <w:pStyle w:val="7"/>
            </w:pPr>
            <w:r w:rsidRPr="00FD50F6">
              <w:rPr>
                <w:rFonts w:hint="eastAsia"/>
              </w:rPr>
              <w:t>3125</w:t>
            </w:r>
          </w:p>
        </w:tc>
        <w:tc>
          <w:tcPr>
            <w:tcW w:w="756" w:type="dxa"/>
            <w:vAlign w:val="center"/>
          </w:tcPr>
          <w:p w14:paraId="597736AA" w14:textId="77777777" w:rsidR="002B733E" w:rsidRPr="00FD50F6" w:rsidRDefault="002B733E" w:rsidP="002B733E">
            <w:pPr>
              <w:pStyle w:val="7"/>
            </w:pPr>
            <w:r w:rsidRPr="00FD50F6">
              <w:rPr>
                <w:rFonts w:hint="eastAsia"/>
              </w:rPr>
              <w:t>2987</w:t>
            </w:r>
          </w:p>
        </w:tc>
        <w:tc>
          <w:tcPr>
            <w:tcW w:w="756" w:type="dxa"/>
            <w:vAlign w:val="center"/>
          </w:tcPr>
          <w:p w14:paraId="4D790933" w14:textId="77777777" w:rsidR="002B733E" w:rsidRPr="00FD50F6" w:rsidRDefault="002B733E" w:rsidP="002B733E">
            <w:pPr>
              <w:pStyle w:val="7"/>
            </w:pPr>
            <w:r w:rsidRPr="00FD50F6">
              <w:rPr>
                <w:rFonts w:hint="eastAsia"/>
              </w:rPr>
              <w:t>1874</w:t>
            </w:r>
          </w:p>
        </w:tc>
        <w:tc>
          <w:tcPr>
            <w:tcW w:w="756" w:type="dxa"/>
            <w:vAlign w:val="center"/>
          </w:tcPr>
          <w:p w14:paraId="3762C384" w14:textId="77777777" w:rsidR="002B733E" w:rsidRPr="00FD50F6" w:rsidRDefault="002B733E" w:rsidP="002B733E">
            <w:pPr>
              <w:pStyle w:val="7"/>
            </w:pPr>
            <w:r w:rsidRPr="00FD50F6">
              <w:rPr>
                <w:rFonts w:hint="eastAsia"/>
              </w:rPr>
              <w:t>1096</w:t>
            </w:r>
          </w:p>
        </w:tc>
        <w:tc>
          <w:tcPr>
            <w:tcW w:w="756" w:type="dxa"/>
            <w:vAlign w:val="center"/>
          </w:tcPr>
          <w:p w14:paraId="62F37E8F" w14:textId="77777777" w:rsidR="002B733E" w:rsidRPr="00FD50F6" w:rsidRDefault="002B733E" w:rsidP="002B733E">
            <w:pPr>
              <w:pStyle w:val="7"/>
            </w:pPr>
            <w:r w:rsidRPr="00FD50F6">
              <w:rPr>
                <w:rFonts w:hint="eastAsia"/>
              </w:rPr>
              <w:t>1097</w:t>
            </w:r>
          </w:p>
        </w:tc>
        <w:tc>
          <w:tcPr>
            <w:tcW w:w="756" w:type="dxa"/>
            <w:vAlign w:val="center"/>
          </w:tcPr>
          <w:p w14:paraId="324B2B76" w14:textId="77777777" w:rsidR="002B733E" w:rsidRPr="00FD50F6" w:rsidRDefault="002B733E" w:rsidP="002B733E">
            <w:pPr>
              <w:pStyle w:val="7"/>
            </w:pPr>
            <w:r w:rsidRPr="00FD50F6">
              <w:rPr>
                <w:rFonts w:hint="eastAsia"/>
              </w:rPr>
              <w:t>—</w:t>
            </w:r>
          </w:p>
        </w:tc>
        <w:tc>
          <w:tcPr>
            <w:tcW w:w="756" w:type="dxa"/>
            <w:vAlign w:val="center"/>
          </w:tcPr>
          <w:p w14:paraId="08CF1CD8" w14:textId="77777777" w:rsidR="002B733E" w:rsidRPr="00FD50F6" w:rsidRDefault="002B733E" w:rsidP="002B733E">
            <w:pPr>
              <w:pStyle w:val="7"/>
            </w:pPr>
            <w:r w:rsidRPr="00FD50F6">
              <w:rPr>
                <w:rFonts w:hint="eastAsia"/>
              </w:rPr>
              <w:t>—</w:t>
            </w:r>
          </w:p>
        </w:tc>
        <w:tc>
          <w:tcPr>
            <w:tcW w:w="756" w:type="dxa"/>
            <w:vAlign w:val="center"/>
          </w:tcPr>
          <w:p w14:paraId="0C924F2E" w14:textId="77777777" w:rsidR="002B733E" w:rsidRPr="00FD50F6" w:rsidRDefault="002B733E" w:rsidP="002B733E">
            <w:pPr>
              <w:pStyle w:val="7"/>
            </w:pPr>
            <w:r w:rsidRPr="00FD50F6">
              <w:rPr>
                <w:rFonts w:hint="eastAsia"/>
              </w:rPr>
              <w:t>—</w:t>
            </w:r>
          </w:p>
        </w:tc>
      </w:tr>
    </w:tbl>
    <w:p w14:paraId="3133FCBC" w14:textId="77777777" w:rsidR="002B733E" w:rsidRPr="00FD50F6" w:rsidRDefault="002B733E" w:rsidP="002B733E">
      <w:pPr>
        <w:spacing w:line="240" w:lineRule="auto"/>
        <w:ind w:left="360" w:hangingChars="200" w:hanging="360"/>
        <w:rPr>
          <w:rFonts w:ascii="Calibri" w:hAnsi="Calibri" w:cs="Times New Roman"/>
          <w:sz w:val="18"/>
          <w:szCs w:val="24"/>
        </w:rPr>
      </w:pPr>
      <w:r w:rsidRPr="00FD50F6">
        <w:rPr>
          <w:rFonts w:ascii="Calibri" w:hAnsi="Calibri" w:cs="Times New Roman" w:hint="eastAsia"/>
          <w:sz w:val="18"/>
          <w:szCs w:val="24"/>
        </w:rPr>
        <w:t>注：表中第</w:t>
      </w:r>
      <w:r w:rsidRPr="00FD50F6">
        <w:rPr>
          <w:rFonts w:ascii="Calibri" w:hAnsi="Calibri" w:cs="Times New Roman" w:hint="eastAsia"/>
          <w:sz w:val="18"/>
          <w:szCs w:val="24"/>
        </w:rPr>
        <w:t>0</w:t>
      </w:r>
      <w:r w:rsidRPr="00FD50F6">
        <w:rPr>
          <w:rFonts w:ascii="Calibri" w:hAnsi="Calibri" w:cs="Times New Roman" w:hint="eastAsia"/>
          <w:sz w:val="18"/>
          <w:szCs w:val="24"/>
        </w:rPr>
        <w:t>～</w:t>
      </w:r>
      <w:r w:rsidRPr="00FD50F6">
        <w:rPr>
          <w:rFonts w:ascii="Calibri" w:hAnsi="Calibri" w:cs="Times New Roman" w:hint="eastAsia"/>
          <w:sz w:val="18"/>
          <w:szCs w:val="24"/>
        </w:rPr>
        <w:t>11</w:t>
      </w:r>
      <w:r w:rsidRPr="00FD50F6">
        <w:rPr>
          <w:rFonts w:ascii="Calibri" w:hAnsi="Calibri" w:cs="Times New Roman" w:hint="eastAsia"/>
          <w:sz w:val="18"/>
          <w:szCs w:val="24"/>
        </w:rPr>
        <w:t>点、</w:t>
      </w:r>
      <w:r w:rsidRPr="00FD50F6">
        <w:rPr>
          <w:rFonts w:ascii="Calibri" w:hAnsi="Calibri" w:cs="Times New Roman" w:hint="eastAsia"/>
          <w:sz w:val="18"/>
          <w:szCs w:val="24"/>
        </w:rPr>
        <w:t>27</w:t>
      </w:r>
      <w:r w:rsidRPr="00FD50F6">
        <w:rPr>
          <w:rFonts w:ascii="Calibri" w:hAnsi="Calibri" w:cs="Times New Roman" w:hint="eastAsia"/>
          <w:sz w:val="18"/>
          <w:szCs w:val="24"/>
        </w:rPr>
        <w:t>～</w:t>
      </w:r>
      <w:r w:rsidRPr="00FD50F6">
        <w:rPr>
          <w:rFonts w:ascii="Calibri" w:hAnsi="Calibri" w:cs="Times New Roman" w:hint="eastAsia"/>
          <w:sz w:val="18"/>
          <w:szCs w:val="24"/>
        </w:rPr>
        <w:t>30</w:t>
      </w:r>
      <w:r w:rsidRPr="00FD50F6">
        <w:rPr>
          <w:rFonts w:ascii="Calibri" w:hAnsi="Calibri" w:cs="Times New Roman" w:hint="eastAsia"/>
          <w:sz w:val="18"/>
          <w:szCs w:val="24"/>
        </w:rPr>
        <w:t>点是车体上的控制点；第</w:t>
      </w:r>
      <w:r w:rsidRPr="00FD50F6">
        <w:rPr>
          <w:rFonts w:ascii="Calibri" w:hAnsi="Calibri" w:cs="Times New Roman" w:hint="eastAsia"/>
          <w:sz w:val="18"/>
          <w:szCs w:val="24"/>
        </w:rPr>
        <w:t>12</w:t>
      </w:r>
      <w:r w:rsidRPr="00FD50F6">
        <w:rPr>
          <w:rFonts w:ascii="Calibri" w:hAnsi="Calibri" w:cs="Times New Roman" w:hint="eastAsia"/>
          <w:sz w:val="18"/>
          <w:szCs w:val="24"/>
        </w:rPr>
        <w:t>～</w:t>
      </w:r>
      <w:r w:rsidRPr="00FD50F6">
        <w:rPr>
          <w:rFonts w:ascii="Calibri" w:hAnsi="Calibri" w:cs="Times New Roman" w:hint="eastAsia"/>
          <w:sz w:val="18"/>
          <w:szCs w:val="24"/>
        </w:rPr>
        <w:t>26</w:t>
      </w:r>
      <w:r w:rsidRPr="00FD50F6">
        <w:rPr>
          <w:rFonts w:ascii="Calibri" w:hAnsi="Calibri" w:cs="Times New Roman" w:hint="eastAsia"/>
          <w:sz w:val="18"/>
          <w:szCs w:val="24"/>
        </w:rPr>
        <w:t>点是转向架上的控制点；第</w:t>
      </w:r>
      <w:r w:rsidRPr="00FD50F6">
        <w:rPr>
          <w:rFonts w:ascii="Calibri" w:hAnsi="Calibri" w:cs="Times New Roman" w:hint="eastAsia"/>
          <w:sz w:val="18"/>
          <w:szCs w:val="24"/>
        </w:rPr>
        <w:t>f</w:t>
      </w:r>
      <w:r w:rsidRPr="00FD50F6">
        <w:rPr>
          <w:rFonts w:ascii="Calibri" w:hAnsi="Calibri" w:cs="Times New Roman" w:hint="eastAsia"/>
          <w:sz w:val="18"/>
          <w:szCs w:val="24"/>
        </w:rPr>
        <w:t>、</w:t>
      </w:r>
      <w:r w:rsidRPr="00FD50F6">
        <w:rPr>
          <w:rFonts w:ascii="Calibri" w:hAnsi="Calibri" w:cs="Times New Roman" w:hint="eastAsia"/>
          <w:sz w:val="18"/>
          <w:szCs w:val="24"/>
        </w:rPr>
        <w:t>g</w:t>
      </w:r>
      <w:r w:rsidRPr="00FD50F6">
        <w:rPr>
          <w:rFonts w:ascii="Calibri" w:hAnsi="Calibri" w:cs="Times New Roman" w:hint="eastAsia"/>
          <w:sz w:val="18"/>
          <w:szCs w:val="24"/>
        </w:rPr>
        <w:t>点为受电靴工作状态控制点；第</w:t>
      </w:r>
      <w:r w:rsidRPr="00FD50F6">
        <w:rPr>
          <w:rFonts w:ascii="Calibri" w:hAnsi="Calibri" w:cs="Times New Roman" w:hint="eastAsia"/>
          <w:sz w:val="18"/>
          <w:szCs w:val="24"/>
        </w:rPr>
        <w:t>a</w:t>
      </w:r>
      <w:r w:rsidRPr="00FD50F6">
        <w:rPr>
          <w:rFonts w:ascii="Calibri" w:hAnsi="Calibri" w:cs="Times New Roman" w:hint="eastAsia"/>
          <w:sz w:val="18"/>
          <w:szCs w:val="24"/>
        </w:rPr>
        <w:t>～</w:t>
      </w:r>
      <w:r w:rsidRPr="00FD50F6">
        <w:rPr>
          <w:rFonts w:ascii="Calibri" w:hAnsi="Calibri" w:cs="Times New Roman" w:hint="eastAsia"/>
          <w:sz w:val="18"/>
          <w:szCs w:val="24"/>
        </w:rPr>
        <w:t>e</w:t>
      </w:r>
      <w:r w:rsidRPr="00FD50F6">
        <w:rPr>
          <w:rFonts w:ascii="Calibri" w:hAnsi="Calibri" w:cs="Times New Roman" w:hint="eastAsia"/>
          <w:sz w:val="18"/>
          <w:szCs w:val="24"/>
        </w:rPr>
        <w:t>点为受电靴非工作状态控制点；</w:t>
      </w:r>
      <w:r w:rsidRPr="00FD50F6">
        <w:rPr>
          <w:rFonts w:ascii="Calibri" w:hAnsi="Calibri" w:cs="Times New Roman" w:hint="eastAsia"/>
          <w:sz w:val="18"/>
          <w:szCs w:val="24"/>
        </w:rPr>
        <w:t>m1</w:t>
      </w:r>
      <w:r w:rsidRPr="00FD50F6">
        <w:rPr>
          <w:rFonts w:ascii="Calibri" w:hAnsi="Calibri" w:cs="Times New Roman" w:hint="eastAsia"/>
          <w:sz w:val="18"/>
          <w:szCs w:val="24"/>
        </w:rPr>
        <w:t>～</w:t>
      </w:r>
      <w:r w:rsidRPr="00FD50F6">
        <w:rPr>
          <w:rFonts w:ascii="Calibri" w:hAnsi="Calibri" w:cs="Times New Roman" w:hint="eastAsia"/>
          <w:sz w:val="18"/>
          <w:szCs w:val="24"/>
        </w:rPr>
        <w:t>m6</w:t>
      </w:r>
      <w:r w:rsidRPr="00FD50F6">
        <w:rPr>
          <w:rFonts w:ascii="Calibri" w:hAnsi="Calibri" w:cs="Times New Roman" w:hint="eastAsia"/>
          <w:sz w:val="18"/>
          <w:szCs w:val="24"/>
        </w:rPr>
        <w:t>点是开门状态下车门控制点。</w:t>
      </w:r>
    </w:p>
    <w:p w14:paraId="32738FF7" w14:textId="77777777" w:rsidR="002B733E" w:rsidRPr="00FD50F6" w:rsidRDefault="002B733E" w:rsidP="002B733E">
      <w:pPr>
        <w:spacing w:line="240" w:lineRule="auto"/>
        <w:rPr>
          <w:rFonts w:ascii="Calibri" w:hAnsi="Calibri" w:cs="Times New Roman"/>
          <w:sz w:val="18"/>
          <w:szCs w:val="24"/>
        </w:rPr>
      </w:pPr>
    </w:p>
    <w:p w14:paraId="1666BE24"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D.0.2-2</w:t>
      </w:r>
      <w:r w:rsidRPr="00FD50F6">
        <w:rPr>
          <w:rFonts w:ascii="黑体" w:eastAsia="黑体" w:hAnsi="黑体" w:cs="Times New Roman" w:hint="eastAsia"/>
          <w:sz w:val="21"/>
          <w:szCs w:val="24"/>
        </w:rPr>
        <w:t xml:space="preserve">  隧道内车站直线地段停站车辆限界坐标值（mm）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45CFDA99" w14:textId="77777777" w:rsidTr="002B733E">
        <w:trPr>
          <w:trHeight w:val="397"/>
        </w:trPr>
        <w:tc>
          <w:tcPr>
            <w:tcW w:w="701" w:type="dxa"/>
            <w:vAlign w:val="center"/>
          </w:tcPr>
          <w:p w14:paraId="7E992286" w14:textId="77777777" w:rsidR="002B733E" w:rsidRPr="00FD50F6" w:rsidRDefault="002B733E" w:rsidP="002B733E">
            <w:pPr>
              <w:pStyle w:val="7"/>
            </w:pPr>
            <w:r w:rsidRPr="00FD50F6">
              <w:rPr>
                <w:rFonts w:hint="eastAsia"/>
              </w:rPr>
              <w:t>点号</w:t>
            </w:r>
          </w:p>
        </w:tc>
        <w:tc>
          <w:tcPr>
            <w:tcW w:w="756" w:type="dxa"/>
            <w:vAlign w:val="center"/>
          </w:tcPr>
          <w:p w14:paraId="53CE5867"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2E224CA6"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74E33EFD"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4CF46313"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5689B0C9"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7B4FE389"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42D8FAC7"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bottom"/>
          </w:tcPr>
          <w:p w14:paraId="19196F73" w14:textId="77777777" w:rsidR="002B733E" w:rsidRPr="00FD50F6" w:rsidRDefault="002B733E" w:rsidP="002B733E">
            <w:pPr>
              <w:pStyle w:val="7"/>
            </w:pPr>
            <w:r w:rsidRPr="00FD50F6">
              <w:rPr>
                <w:rFonts w:hint="eastAsia"/>
              </w:rPr>
              <w:t>m1</w:t>
            </w:r>
            <w:r w:rsidRPr="00FD50F6">
              <w:rPr>
                <w:rFonts w:hint="eastAsia"/>
              </w:rPr>
              <w:t>’</w:t>
            </w:r>
          </w:p>
        </w:tc>
        <w:tc>
          <w:tcPr>
            <w:tcW w:w="756" w:type="dxa"/>
            <w:vAlign w:val="bottom"/>
          </w:tcPr>
          <w:p w14:paraId="7FD5495E" w14:textId="77777777" w:rsidR="002B733E" w:rsidRPr="00FD50F6" w:rsidRDefault="002B733E" w:rsidP="002B733E">
            <w:pPr>
              <w:pStyle w:val="7"/>
            </w:pPr>
            <w:r w:rsidRPr="00FD50F6">
              <w:rPr>
                <w:rFonts w:hint="eastAsia"/>
              </w:rPr>
              <w:t>m2</w:t>
            </w:r>
            <w:r w:rsidRPr="00FD50F6">
              <w:rPr>
                <w:rFonts w:hint="eastAsia"/>
              </w:rPr>
              <w:t>’</w:t>
            </w:r>
          </w:p>
        </w:tc>
        <w:tc>
          <w:tcPr>
            <w:tcW w:w="756" w:type="dxa"/>
            <w:vAlign w:val="bottom"/>
          </w:tcPr>
          <w:p w14:paraId="346C9D00" w14:textId="77777777" w:rsidR="002B733E" w:rsidRPr="00FD50F6" w:rsidRDefault="002B733E" w:rsidP="002B733E">
            <w:pPr>
              <w:pStyle w:val="7"/>
            </w:pPr>
            <w:r w:rsidRPr="00FD50F6">
              <w:rPr>
                <w:rFonts w:hint="eastAsia"/>
              </w:rPr>
              <w:t>m3</w:t>
            </w:r>
            <w:r w:rsidRPr="00FD50F6">
              <w:rPr>
                <w:rFonts w:hint="eastAsia"/>
              </w:rPr>
              <w:t>’</w:t>
            </w:r>
          </w:p>
        </w:tc>
      </w:tr>
      <w:tr w:rsidR="00FD50F6" w:rsidRPr="00FD50F6" w14:paraId="6B18F18C" w14:textId="77777777" w:rsidTr="002B733E">
        <w:trPr>
          <w:trHeight w:val="397"/>
        </w:trPr>
        <w:tc>
          <w:tcPr>
            <w:tcW w:w="701" w:type="dxa"/>
            <w:vAlign w:val="center"/>
          </w:tcPr>
          <w:p w14:paraId="5201F201" w14:textId="77777777" w:rsidR="002B733E" w:rsidRPr="00FD50F6" w:rsidRDefault="002B733E" w:rsidP="002B733E">
            <w:pPr>
              <w:pStyle w:val="7"/>
            </w:pPr>
            <w:r w:rsidRPr="00FD50F6">
              <w:rPr>
                <w:rFonts w:hint="eastAsia"/>
              </w:rPr>
              <w:t>X</w:t>
            </w:r>
          </w:p>
        </w:tc>
        <w:tc>
          <w:tcPr>
            <w:tcW w:w="756" w:type="dxa"/>
            <w:vAlign w:val="center"/>
          </w:tcPr>
          <w:p w14:paraId="2FADE2B6" w14:textId="77777777" w:rsidR="002B733E" w:rsidRPr="00FD50F6" w:rsidRDefault="002B733E" w:rsidP="002B733E">
            <w:pPr>
              <w:pStyle w:val="7"/>
            </w:pPr>
            <w:r w:rsidRPr="00FD50F6">
              <w:rPr>
                <w:rFonts w:hint="eastAsia"/>
              </w:rPr>
              <w:t>0</w:t>
            </w:r>
          </w:p>
        </w:tc>
        <w:tc>
          <w:tcPr>
            <w:tcW w:w="756" w:type="dxa"/>
            <w:vAlign w:val="center"/>
          </w:tcPr>
          <w:p w14:paraId="3CDF2B7F" w14:textId="77777777" w:rsidR="002B733E" w:rsidRPr="00FD50F6" w:rsidRDefault="002B733E" w:rsidP="002B733E">
            <w:pPr>
              <w:pStyle w:val="7"/>
            </w:pPr>
            <w:r w:rsidRPr="00FD50F6">
              <w:rPr>
                <w:rFonts w:hint="eastAsia"/>
              </w:rPr>
              <w:t>921</w:t>
            </w:r>
          </w:p>
        </w:tc>
        <w:tc>
          <w:tcPr>
            <w:tcW w:w="756" w:type="dxa"/>
            <w:vAlign w:val="center"/>
          </w:tcPr>
          <w:p w14:paraId="589476A2" w14:textId="77777777" w:rsidR="002B733E" w:rsidRPr="00FD50F6" w:rsidRDefault="002B733E" w:rsidP="002B733E">
            <w:pPr>
              <w:pStyle w:val="7"/>
            </w:pPr>
            <w:r w:rsidRPr="00FD50F6">
              <w:rPr>
                <w:rFonts w:hint="eastAsia"/>
              </w:rPr>
              <w:t>1021</w:t>
            </w:r>
          </w:p>
        </w:tc>
        <w:tc>
          <w:tcPr>
            <w:tcW w:w="756" w:type="dxa"/>
            <w:vAlign w:val="center"/>
          </w:tcPr>
          <w:p w14:paraId="52981A57" w14:textId="77777777" w:rsidR="002B733E" w:rsidRPr="00FD50F6" w:rsidRDefault="002B733E" w:rsidP="002B733E">
            <w:pPr>
              <w:pStyle w:val="7"/>
            </w:pPr>
            <w:r w:rsidRPr="00FD50F6">
              <w:rPr>
                <w:rFonts w:hint="eastAsia"/>
              </w:rPr>
              <w:t>1198</w:t>
            </w:r>
          </w:p>
        </w:tc>
        <w:tc>
          <w:tcPr>
            <w:tcW w:w="756" w:type="dxa"/>
            <w:vAlign w:val="center"/>
          </w:tcPr>
          <w:p w14:paraId="30374E41" w14:textId="77777777" w:rsidR="002B733E" w:rsidRPr="00FD50F6" w:rsidRDefault="002B733E" w:rsidP="002B733E">
            <w:pPr>
              <w:pStyle w:val="7"/>
            </w:pPr>
            <w:r w:rsidRPr="00FD50F6">
              <w:rPr>
                <w:rFonts w:hint="eastAsia"/>
              </w:rPr>
              <w:t>1297</w:t>
            </w:r>
          </w:p>
        </w:tc>
        <w:tc>
          <w:tcPr>
            <w:tcW w:w="756" w:type="dxa"/>
            <w:vAlign w:val="center"/>
          </w:tcPr>
          <w:p w14:paraId="54C1D480" w14:textId="77777777" w:rsidR="002B733E" w:rsidRPr="00FD50F6" w:rsidRDefault="002B733E" w:rsidP="002B733E">
            <w:pPr>
              <w:pStyle w:val="7"/>
            </w:pPr>
            <w:r w:rsidRPr="00FD50F6">
              <w:rPr>
                <w:rFonts w:hint="eastAsia"/>
              </w:rPr>
              <w:t>1366</w:t>
            </w:r>
          </w:p>
        </w:tc>
        <w:tc>
          <w:tcPr>
            <w:tcW w:w="756" w:type="dxa"/>
            <w:vAlign w:val="center"/>
          </w:tcPr>
          <w:p w14:paraId="2B0217E1" w14:textId="77777777" w:rsidR="002B733E" w:rsidRPr="00FD50F6" w:rsidRDefault="002B733E" w:rsidP="002B733E">
            <w:pPr>
              <w:pStyle w:val="7"/>
            </w:pPr>
            <w:r w:rsidRPr="00FD50F6">
              <w:rPr>
                <w:rFonts w:hint="eastAsia"/>
              </w:rPr>
              <w:t>1384</w:t>
            </w:r>
          </w:p>
        </w:tc>
        <w:tc>
          <w:tcPr>
            <w:tcW w:w="756" w:type="dxa"/>
            <w:vAlign w:val="bottom"/>
          </w:tcPr>
          <w:p w14:paraId="0A5AE35D" w14:textId="77777777" w:rsidR="002B733E" w:rsidRPr="00FD50F6" w:rsidRDefault="002B733E" w:rsidP="002B733E">
            <w:pPr>
              <w:pStyle w:val="7"/>
            </w:pPr>
            <w:r w:rsidRPr="00FD50F6">
              <w:rPr>
                <w:rFonts w:hint="eastAsia"/>
              </w:rPr>
              <w:t>1359</w:t>
            </w:r>
          </w:p>
        </w:tc>
        <w:tc>
          <w:tcPr>
            <w:tcW w:w="756" w:type="dxa"/>
            <w:vAlign w:val="bottom"/>
          </w:tcPr>
          <w:p w14:paraId="5BD12B58" w14:textId="77777777" w:rsidR="002B733E" w:rsidRPr="00FD50F6" w:rsidRDefault="002B733E" w:rsidP="002B733E">
            <w:pPr>
              <w:pStyle w:val="7"/>
            </w:pPr>
            <w:r w:rsidRPr="00FD50F6">
              <w:rPr>
                <w:rFonts w:hint="eastAsia"/>
              </w:rPr>
              <w:t>1447</w:t>
            </w:r>
          </w:p>
        </w:tc>
        <w:tc>
          <w:tcPr>
            <w:tcW w:w="756" w:type="dxa"/>
            <w:vAlign w:val="bottom"/>
          </w:tcPr>
          <w:p w14:paraId="0278B088" w14:textId="77777777" w:rsidR="002B733E" w:rsidRPr="00FD50F6" w:rsidRDefault="002B733E" w:rsidP="002B733E">
            <w:pPr>
              <w:pStyle w:val="7"/>
            </w:pPr>
            <w:r w:rsidRPr="00FD50F6">
              <w:rPr>
                <w:rFonts w:hint="eastAsia"/>
              </w:rPr>
              <w:t>1455</w:t>
            </w:r>
          </w:p>
        </w:tc>
      </w:tr>
      <w:tr w:rsidR="00FD50F6" w:rsidRPr="00FD50F6" w14:paraId="48925A46" w14:textId="77777777" w:rsidTr="002B733E">
        <w:trPr>
          <w:trHeight w:val="397"/>
        </w:trPr>
        <w:tc>
          <w:tcPr>
            <w:tcW w:w="701" w:type="dxa"/>
            <w:vAlign w:val="center"/>
          </w:tcPr>
          <w:p w14:paraId="36F78525" w14:textId="77777777" w:rsidR="002B733E" w:rsidRPr="00FD50F6" w:rsidRDefault="002B733E" w:rsidP="002B733E">
            <w:pPr>
              <w:pStyle w:val="7"/>
            </w:pPr>
            <w:r w:rsidRPr="00FD50F6">
              <w:rPr>
                <w:rFonts w:hint="eastAsia"/>
              </w:rPr>
              <w:t>Y</w:t>
            </w:r>
          </w:p>
        </w:tc>
        <w:tc>
          <w:tcPr>
            <w:tcW w:w="756" w:type="dxa"/>
            <w:vAlign w:val="center"/>
          </w:tcPr>
          <w:p w14:paraId="50BB9B9B" w14:textId="77777777" w:rsidR="002B733E" w:rsidRPr="00FD50F6" w:rsidRDefault="002B733E" w:rsidP="002B733E">
            <w:pPr>
              <w:pStyle w:val="7"/>
            </w:pPr>
            <w:r w:rsidRPr="00FD50F6">
              <w:rPr>
                <w:rFonts w:hint="eastAsia"/>
              </w:rPr>
              <w:t>38</w:t>
            </w:r>
            <w:r w:rsidRPr="00FD50F6">
              <w:t>7</w:t>
            </w:r>
            <w:r w:rsidRPr="00FD50F6">
              <w:rPr>
                <w:rFonts w:hint="eastAsia"/>
              </w:rPr>
              <w:t>6</w:t>
            </w:r>
          </w:p>
        </w:tc>
        <w:tc>
          <w:tcPr>
            <w:tcW w:w="756" w:type="dxa"/>
            <w:vAlign w:val="center"/>
          </w:tcPr>
          <w:p w14:paraId="484D67DE" w14:textId="77777777" w:rsidR="002B733E" w:rsidRPr="00FD50F6" w:rsidRDefault="002B733E" w:rsidP="002B733E">
            <w:pPr>
              <w:pStyle w:val="7"/>
            </w:pPr>
            <w:r w:rsidRPr="00FD50F6">
              <w:rPr>
                <w:rFonts w:hint="eastAsia"/>
              </w:rPr>
              <w:t>38</w:t>
            </w:r>
            <w:r w:rsidRPr="00FD50F6">
              <w:t>7</w:t>
            </w:r>
            <w:r w:rsidRPr="00FD50F6">
              <w:rPr>
                <w:rFonts w:hint="eastAsia"/>
              </w:rPr>
              <w:t>5</w:t>
            </w:r>
          </w:p>
        </w:tc>
        <w:tc>
          <w:tcPr>
            <w:tcW w:w="756" w:type="dxa"/>
            <w:vAlign w:val="center"/>
          </w:tcPr>
          <w:p w14:paraId="5C969254" w14:textId="77777777" w:rsidR="002B733E" w:rsidRPr="00FD50F6" w:rsidRDefault="002B733E" w:rsidP="002B733E">
            <w:pPr>
              <w:pStyle w:val="7"/>
            </w:pPr>
            <w:r w:rsidRPr="00FD50F6">
              <w:rPr>
                <w:rFonts w:hint="eastAsia"/>
              </w:rPr>
              <w:t>3776</w:t>
            </w:r>
          </w:p>
        </w:tc>
        <w:tc>
          <w:tcPr>
            <w:tcW w:w="756" w:type="dxa"/>
            <w:vAlign w:val="center"/>
          </w:tcPr>
          <w:p w14:paraId="177882D3" w14:textId="77777777" w:rsidR="002B733E" w:rsidRPr="00FD50F6" w:rsidRDefault="002B733E" w:rsidP="002B733E">
            <w:pPr>
              <w:pStyle w:val="7"/>
            </w:pPr>
            <w:r w:rsidRPr="00FD50F6">
              <w:rPr>
                <w:rFonts w:hint="eastAsia"/>
              </w:rPr>
              <w:t>3662</w:t>
            </w:r>
          </w:p>
        </w:tc>
        <w:tc>
          <w:tcPr>
            <w:tcW w:w="756" w:type="dxa"/>
            <w:vAlign w:val="center"/>
          </w:tcPr>
          <w:p w14:paraId="053F981F" w14:textId="77777777" w:rsidR="002B733E" w:rsidRPr="00FD50F6" w:rsidRDefault="002B733E" w:rsidP="002B733E">
            <w:pPr>
              <w:pStyle w:val="7"/>
            </w:pPr>
            <w:r w:rsidRPr="00FD50F6">
              <w:rPr>
                <w:rFonts w:hint="eastAsia"/>
              </w:rPr>
              <w:t>3565</w:t>
            </w:r>
          </w:p>
        </w:tc>
        <w:tc>
          <w:tcPr>
            <w:tcW w:w="756" w:type="dxa"/>
            <w:vAlign w:val="center"/>
          </w:tcPr>
          <w:p w14:paraId="73BB8AF7" w14:textId="77777777" w:rsidR="002B733E" w:rsidRPr="00FD50F6" w:rsidRDefault="002B733E" w:rsidP="002B733E">
            <w:pPr>
              <w:pStyle w:val="7"/>
            </w:pPr>
            <w:r w:rsidRPr="00FD50F6">
              <w:rPr>
                <w:rFonts w:hint="eastAsia"/>
              </w:rPr>
              <w:t>3433</w:t>
            </w:r>
          </w:p>
        </w:tc>
        <w:tc>
          <w:tcPr>
            <w:tcW w:w="756" w:type="dxa"/>
            <w:vAlign w:val="center"/>
          </w:tcPr>
          <w:p w14:paraId="7CCF1E49" w14:textId="77777777" w:rsidR="002B733E" w:rsidRPr="00FD50F6" w:rsidRDefault="002B733E" w:rsidP="002B733E">
            <w:pPr>
              <w:pStyle w:val="7"/>
            </w:pPr>
            <w:r w:rsidRPr="00FD50F6">
              <w:rPr>
                <w:rFonts w:hint="eastAsia"/>
              </w:rPr>
              <w:t>3342</w:t>
            </w:r>
          </w:p>
        </w:tc>
        <w:tc>
          <w:tcPr>
            <w:tcW w:w="756" w:type="dxa"/>
            <w:vAlign w:val="bottom"/>
          </w:tcPr>
          <w:p w14:paraId="30C9E0C3" w14:textId="77777777" w:rsidR="002B733E" w:rsidRPr="00FD50F6" w:rsidRDefault="002B733E" w:rsidP="002B733E">
            <w:pPr>
              <w:pStyle w:val="7"/>
            </w:pPr>
            <w:r w:rsidRPr="00FD50F6">
              <w:rPr>
                <w:rFonts w:hint="eastAsia"/>
              </w:rPr>
              <w:t>3140</w:t>
            </w:r>
          </w:p>
        </w:tc>
        <w:tc>
          <w:tcPr>
            <w:tcW w:w="756" w:type="dxa"/>
            <w:vAlign w:val="bottom"/>
          </w:tcPr>
          <w:p w14:paraId="4BC077A0" w14:textId="77777777" w:rsidR="002B733E" w:rsidRPr="00FD50F6" w:rsidRDefault="002B733E" w:rsidP="002B733E">
            <w:pPr>
              <w:pStyle w:val="7"/>
            </w:pPr>
            <w:r w:rsidRPr="00FD50F6">
              <w:rPr>
                <w:rFonts w:hint="eastAsia"/>
              </w:rPr>
              <w:t>3140</w:t>
            </w:r>
          </w:p>
        </w:tc>
        <w:tc>
          <w:tcPr>
            <w:tcW w:w="756" w:type="dxa"/>
            <w:vAlign w:val="bottom"/>
          </w:tcPr>
          <w:p w14:paraId="31BA0659" w14:textId="77777777" w:rsidR="002B733E" w:rsidRPr="00FD50F6" w:rsidRDefault="002B733E" w:rsidP="002B733E">
            <w:pPr>
              <w:pStyle w:val="7"/>
            </w:pPr>
            <w:r w:rsidRPr="00FD50F6">
              <w:rPr>
                <w:rFonts w:hint="eastAsia"/>
              </w:rPr>
              <w:t>3002</w:t>
            </w:r>
          </w:p>
        </w:tc>
      </w:tr>
      <w:tr w:rsidR="00FD50F6" w:rsidRPr="00FD50F6" w14:paraId="63C09620" w14:textId="77777777" w:rsidTr="002B733E">
        <w:trPr>
          <w:trHeight w:val="397"/>
        </w:trPr>
        <w:tc>
          <w:tcPr>
            <w:tcW w:w="701" w:type="dxa"/>
            <w:vAlign w:val="center"/>
          </w:tcPr>
          <w:p w14:paraId="319E1662" w14:textId="77777777" w:rsidR="002B733E" w:rsidRPr="00FD50F6" w:rsidRDefault="002B733E" w:rsidP="002B733E">
            <w:pPr>
              <w:pStyle w:val="7"/>
            </w:pPr>
            <w:r w:rsidRPr="00FD50F6">
              <w:rPr>
                <w:rFonts w:hint="eastAsia"/>
              </w:rPr>
              <w:t>点号</w:t>
            </w:r>
          </w:p>
        </w:tc>
        <w:tc>
          <w:tcPr>
            <w:tcW w:w="756" w:type="dxa"/>
            <w:vAlign w:val="bottom"/>
          </w:tcPr>
          <w:p w14:paraId="18CD771C" w14:textId="77777777" w:rsidR="002B733E" w:rsidRPr="00FD50F6" w:rsidRDefault="002B733E" w:rsidP="002B733E">
            <w:pPr>
              <w:pStyle w:val="7"/>
            </w:pPr>
            <w:r w:rsidRPr="00FD50F6">
              <w:rPr>
                <w:rFonts w:hint="eastAsia"/>
              </w:rPr>
              <w:t>m4</w:t>
            </w:r>
            <w:r w:rsidRPr="00FD50F6">
              <w:rPr>
                <w:rFonts w:hint="eastAsia"/>
              </w:rPr>
              <w:t>’</w:t>
            </w:r>
          </w:p>
        </w:tc>
        <w:tc>
          <w:tcPr>
            <w:tcW w:w="756" w:type="dxa"/>
            <w:vAlign w:val="bottom"/>
          </w:tcPr>
          <w:p w14:paraId="1D5F27EB" w14:textId="77777777" w:rsidR="002B733E" w:rsidRPr="00FD50F6" w:rsidRDefault="002B733E" w:rsidP="002B733E">
            <w:pPr>
              <w:pStyle w:val="7"/>
            </w:pPr>
            <w:r w:rsidRPr="00FD50F6">
              <w:rPr>
                <w:rFonts w:hint="eastAsia"/>
              </w:rPr>
              <w:t>m5</w:t>
            </w:r>
            <w:r w:rsidRPr="00FD50F6">
              <w:rPr>
                <w:rFonts w:hint="eastAsia"/>
              </w:rPr>
              <w:t>’</w:t>
            </w:r>
          </w:p>
        </w:tc>
        <w:tc>
          <w:tcPr>
            <w:tcW w:w="756" w:type="dxa"/>
            <w:vAlign w:val="bottom"/>
          </w:tcPr>
          <w:p w14:paraId="668B256E" w14:textId="77777777" w:rsidR="002B733E" w:rsidRPr="00FD50F6" w:rsidRDefault="002B733E" w:rsidP="002B733E">
            <w:pPr>
              <w:pStyle w:val="7"/>
            </w:pPr>
            <w:r w:rsidRPr="00FD50F6">
              <w:rPr>
                <w:rFonts w:hint="eastAsia"/>
              </w:rPr>
              <w:t>m6</w:t>
            </w:r>
            <w:r w:rsidRPr="00FD50F6">
              <w:rPr>
                <w:rFonts w:hint="eastAsia"/>
              </w:rPr>
              <w:t>’</w:t>
            </w:r>
          </w:p>
        </w:tc>
        <w:tc>
          <w:tcPr>
            <w:tcW w:w="756" w:type="dxa"/>
            <w:vAlign w:val="center"/>
          </w:tcPr>
          <w:p w14:paraId="0327DC9C" w14:textId="77777777" w:rsidR="002B733E" w:rsidRPr="00FD50F6" w:rsidRDefault="002B733E" w:rsidP="002B733E">
            <w:pPr>
              <w:pStyle w:val="7"/>
            </w:pPr>
            <w:r w:rsidRPr="00FD50F6">
              <w:rPr>
                <w:rFonts w:hint="eastAsia"/>
              </w:rPr>
              <w:t>10</w:t>
            </w:r>
          </w:p>
        </w:tc>
        <w:tc>
          <w:tcPr>
            <w:tcW w:w="756" w:type="dxa"/>
            <w:vAlign w:val="center"/>
          </w:tcPr>
          <w:p w14:paraId="2B46F283" w14:textId="77777777" w:rsidR="002B733E" w:rsidRPr="00FD50F6" w:rsidRDefault="002B733E" w:rsidP="002B733E">
            <w:pPr>
              <w:pStyle w:val="7"/>
            </w:pPr>
            <w:r w:rsidRPr="00FD50F6">
              <w:rPr>
                <w:rFonts w:hint="eastAsia"/>
              </w:rPr>
              <w:t>11</w:t>
            </w:r>
            <w:r w:rsidRPr="00FD50F6">
              <w:rPr>
                <w:rFonts w:hint="eastAsia"/>
              </w:rPr>
              <w:t>’</w:t>
            </w:r>
          </w:p>
        </w:tc>
        <w:tc>
          <w:tcPr>
            <w:tcW w:w="756" w:type="dxa"/>
            <w:vAlign w:val="center"/>
          </w:tcPr>
          <w:p w14:paraId="5BD25B04" w14:textId="77777777" w:rsidR="002B733E" w:rsidRPr="00FD50F6" w:rsidRDefault="002B733E" w:rsidP="002B733E">
            <w:pPr>
              <w:pStyle w:val="7"/>
            </w:pPr>
            <w:r w:rsidRPr="00FD50F6">
              <w:rPr>
                <w:rFonts w:hint="eastAsia"/>
              </w:rPr>
              <w:t>11a</w:t>
            </w:r>
            <w:r w:rsidRPr="00FD50F6">
              <w:rPr>
                <w:rFonts w:hint="eastAsia"/>
              </w:rPr>
              <w:t>’</w:t>
            </w:r>
          </w:p>
        </w:tc>
        <w:tc>
          <w:tcPr>
            <w:tcW w:w="756" w:type="dxa"/>
            <w:vAlign w:val="center"/>
          </w:tcPr>
          <w:p w14:paraId="2FFA879D" w14:textId="77777777" w:rsidR="002B733E" w:rsidRPr="00FD50F6" w:rsidRDefault="002B733E" w:rsidP="002B733E">
            <w:pPr>
              <w:pStyle w:val="7"/>
            </w:pPr>
            <w:r w:rsidRPr="00FD50F6">
              <w:rPr>
                <w:rFonts w:hint="eastAsia"/>
              </w:rPr>
              <w:t>12</w:t>
            </w:r>
            <w:r w:rsidRPr="00FD50F6">
              <w:rPr>
                <w:rFonts w:hint="eastAsia"/>
              </w:rPr>
              <w:t>’</w:t>
            </w:r>
          </w:p>
        </w:tc>
        <w:tc>
          <w:tcPr>
            <w:tcW w:w="756" w:type="dxa"/>
            <w:vAlign w:val="center"/>
          </w:tcPr>
          <w:p w14:paraId="39315FBD" w14:textId="77777777" w:rsidR="002B733E" w:rsidRPr="00FD50F6" w:rsidRDefault="002B733E" w:rsidP="002B733E">
            <w:pPr>
              <w:pStyle w:val="7"/>
            </w:pPr>
            <w:r w:rsidRPr="00FD50F6">
              <w:rPr>
                <w:rFonts w:hint="eastAsia"/>
              </w:rPr>
              <w:t>12a</w:t>
            </w:r>
            <w:r w:rsidRPr="00FD50F6">
              <w:rPr>
                <w:rFonts w:hint="eastAsia"/>
              </w:rPr>
              <w:t>’</w:t>
            </w:r>
          </w:p>
        </w:tc>
        <w:tc>
          <w:tcPr>
            <w:tcW w:w="756" w:type="dxa"/>
            <w:vAlign w:val="center"/>
          </w:tcPr>
          <w:p w14:paraId="36329700" w14:textId="77777777" w:rsidR="002B733E" w:rsidRPr="00FD50F6" w:rsidRDefault="002B733E" w:rsidP="002B733E">
            <w:pPr>
              <w:pStyle w:val="7"/>
            </w:pPr>
            <w:r w:rsidRPr="00FD50F6">
              <w:rPr>
                <w:rFonts w:hint="eastAsia"/>
              </w:rPr>
              <w:t>12e</w:t>
            </w:r>
            <w:r w:rsidRPr="00FD50F6">
              <w:rPr>
                <w:rFonts w:hint="eastAsia"/>
              </w:rPr>
              <w:t>’</w:t>
            </w:r>
          </w:p>
        </w:tc>
        <w:tc>
          <w:tcPr>
            <w:tcW w:w="756" w:type="dxa"/>
            <w:vAlign w:val="center"/>
          </w:tcPr>
          <w:p w14:paraId="4DD79D76" w14:textId="77777777" w:rsidR="002B733E" w:rsidRPr="00FD50F6" w:rsidRDefault="002B733E" w:rsidP="002B733E">
            <w:pPr>
              <w:pStyle w:val="7"/>
            </w:pPr>
            <w:r w:rsidRPr="00FD50F6">
              <w:rPr>
                <w:rFonts w:hint="eastAsia"/>
              </w:rPr>
              <w:t>12f</w:t>
            </w:r>
            <w:r w:rsidRPr="00FD50F6">
              <w:rPr>
                <w:rFonts w:hint="eastAsia"/>
              </w:rPr>
              <w:t>’</w:t>
            </w:r>
          </w:p>
        </w:tc>
      </w:tr>
      <w:tr w:rsidR="00FD50F6" w:rsidRPr="00FD50F6" w14:paraId="174DB235" w14:textId="77777777" w:rsidTr="002B733E">
        <w:trPr>
          <w:trHeight w:val="397"/>
        </w:trPr>
        <w:tc>
          <w:tcPr>
            <w:tcW w:w="701" w:type="dxa"/>
            <w:vAlign w:val="center"/>
          </w:tcPr>
          <w:p w14:paraId="6E4C36CB" w14:textId="77777777" w:rsidR="002B733E" w:rsidRPr="00FD50F6" w:rsidRDefault="002B733E" w:rsidP="002B733E">
            <w:pPr>
              <w:pStyle w:val="7"/>
            </w:pPr>
            <w:r w:rsidRPr="00FD50F6">
              <w:rPr>
                <w:rFonts w:hint="eastAsia"/>
              </w:rPr>
              <w:t>X</w:t>
            </w:r>
          </w:p>
        </w:tc>
        <w:tc>
          <w:tcPr>
            <w:tcW w:w="756" w:type="dxa"/>
            <w:vAlign w:val="bottom"/>
          </w:tcPr>
          <w:p w14:paraId="7CDEFC88" w14:textId="77777777" w:rsidR="002B733E" w:rsidRPr="00FD50F6" w:rsidRDefault="002B733E" w:rsidP="002B733E">
            <w:pPr>
              <w:pStyle w:val="7"/>
            </w:pPr>
            <w:r w:rsidRPr="00FD50F6">
              <w:rPr>
                <w:rFonts w:hint="eastAsia"/>
              </w:rPr>
              <w:t>1503</w:t>
            </w:r>
          </w:p>
        </w:tc>
        <w:tc>
          <w:tcPr>
            <w:tcW w:w="756" w:type="dxa"/>
            <w:vAlign w:val="bottom"/>
          </w:tcPr>
          <w:p w14:paraId="118AF81A" w14:textId="77777777" w:rsidR="002B733E" w:rsidRPr="00FD50F6" w:rsidRDefault="002B733E" w:rsidP="002B733E">
            <w:pPr>
              <w:pStyle w:val="7"/>
            </w:pPr>
            <w:r w:rsidRPr="00FD50F6">
              <w:rPr>
                <w:rFonts w:hint="eastAsia"/>
              </w:rPr>
              <w:t>1495</w:t>
            </w:r>
          </w:p>
        </w:tc>
        <w:tc>
          <w:tcPr>
            <w:tcW w:w="756" w:type="dxa"/>
            <w:vAlign w:val="bottom"/>
          </w:tcPr>
          <w:p w14:paraId="1B5CB951" w14:textId="77777777" w:rsidR="002B733E" w:rsidRPr="00FD50F6" w:rsidRDefault="002B733E" w:rsidP="002B733E">
            <w:pPr>
              <w:pStyle w:val="7"/>
            </w:pPr>
            <w:r w:rsidRPr="00FD50F6">
              <w:rPr>
                <w:rFonts w:hint="eastAsia"/>
              </w:rPr>
              <w:t>1443</w:t>
            </w:r>
          </w:p>
        </w:tc>
        <w:tc>
          <w:tcPr>
            <w:tcW w:w="756" w:type="dxa"/>
            <w:vAlign w:val="center"/>
          </w:tcPr>
          <w:p w14:paraId="4F3E10EC" w14:textId="77777777" w:rsidR="002B733E" w:rsidRPr="00FD50F6" w:rsidRDefault="002B733E" w:rsidP="002B733E">
            <w:pPr>
              <w:pStyle w:val="7"/>
            </w:pPr>
            <w:r w:rsidRPr="00FD50F6">
              <w:rPr>
                <w:rFonts w:hint="eastAsia"/>
              </w:rPr>
              <w:t>1441</w:t>
            </w:r>
          </w:p>
        </w:tc>
        <w:tc>
          <w:tcPr>
            <w:tcW w:w="756" w:type="dxa"/>
            <w:vAlign w:val="center"/>
          </w:tcPr>
          <w:p w14:paraId="1B1C05ED" w14:textId="77777777" w:rsidR="002B733E" w:rsidRPr="00FD50F6" w:rsidRDefault="002B733E" w:rsidP="002B733E">
            <w:pPr>
              <w:pStyle w:val="7"/>
            </w:pPr>
            <w:r w:rsidRPr="00FD50F6">
              <w:rPr>
                <w:rFonts w:hint="eastAsia"/>
              </w:rPr>
              <w:t>1357</w:t>
            </w:r>
          </w:p>
        </w:tc>
        <w:tc>
          <w:tcPr>
            <w:tcW w:w="756" w:type="dxa"/>
            <w:vAlign w:val="center"/>
          </w:tcPr>
          <w:p w14:paraId="1D1C26EC" w14:textId="77777777" w:rsidR="002B733E" w:rsidRPr="00FD50F6" w:rsidRDefault="002B733E" w:rsidP="002B733E">
            <w:pPr>
              <w:pStyle w:val="7"/>
            </w:pPr>
            <w:r w:rsidRPr="00FD50F6">
              <w:rPr>
                <w:rFonts w:hint="eastAsia"/>
              </w:rPr>
              <w:t>1373</w:t>
            </w:r>
          </w:p>
        </w:tc>
        <w:tc>
          <w:tcPr>
            <w:tcW w:w="756" w:type="dxa"/>
            <w:vAlign w:val="center"/>
          </w:tcPr>
          <w:p w14:paraId="5C0DECB2" w14:textId="77777777" w:rsidR="002B733E" w:rsidRPr="00FD50F6" w:rsidRDefault="002B733E" w:rsidP="002B733E">
            <w:pPr>
              <w:pStyle w:val="7"/>
            </w:pPr>
            <w:r w:rsidRPr="00FD50F6">
              <w:rPr>
                <w:rFonts w:hint="eastAsia"/>
              </w:rPr>
              <w:t>1357</w:t>
            </w:r>
          </w:p>
        </w:tc>
        <w:tc>
          <w:tcPr>
            <w:tcW w:w="756" w:type="dxa"/>
            <w:vAlign w:val="center"/>
          </w:tcPr>
          <w:p w14:paraId="1D3E5503" w14:textId="77777777" w:rsidR="002B733E" w:rsidRPr="00FD50F6" w:rsidRDefault="002B733E" w:rsidP="002B733E">
            <w:pPr>
              <w:pStyle w:val="7"/>
            </w:pPr>
            <w:r w:rsidRPr="00FD50F6">
              <w:rPr>
                <w:rFonts w:hint="eastAsia"/>
              </w:rPr>
              <w:t>1527</w:t>
            </w:r>
          </w:p>
        </w:tc>
        <w:tc>
          <w:tcPr>
            <w:tcW w:w="756" w:type="dxa"/>
            <w:vAlign w:val="center"/>
          </w:tcPr>
          <w:p w14:paraId="7B502097" w14:textId="77777777" w:rsidR="002B733E" w:rsidRPr="00FD50F6" w:rsidRDefault="002B733E" w:rsidP="002B733E">
            <w:pPr>
              <w:pStyle w:val="7"/>
            </w:pPr>
            <w:r w:rsidRPr="00FD50F6">
              <w:rPr>
                <w:rFonts w:hint="eastAsia"/>
              </w:rPr>
              <w:t>1527</w:t>
            </w:r>
          </w:p>
        </w:tc>
        <w:tc>
          <w:tcPr>
            <w:tcW w:w="756" w:type="dxa"/>
            <w:vAlign w:val="center"/>
          </w:tcPr>
          <w:p w14:paraId="4BFF2C27" w14:textId="77777777" w:rsidR="002B733E" w:rsidRPr="00FD50F6" w:rsidRDefault="002B733E" w:rsidP="002B733E">
            <w:pPr>
              <w:pStyle w:val="7"/>
            </w:pPr>
            <w:r w:rsidRPr="00FD50F6">
              <w:rPr>
                <w:rFonts w:hint="eastAsia"/>
              </w:rPr>
              <w:t>1211</w:t>
            </w:r>
          </w:p>
        </w:tc>
      </w:tr>
      <w:tr w:rsidR="00FD50F6" w:rsidRPr="00FD50F6" w14:paraId="307F89BC" w14:textId="77777777" w:rsidTr="002B733E">
        <w:trPr>
          <w:trHeight w:val="397"/>
        </w:trPr>
        <w:tc>
          <w:tcPr>
            <w:tcW w:w="701" w:type="dxa"/>
            <w:vAlign w:val="center"/>
          </w:tcPr>
          <w:p w14:paraId="1ABA4D29" w14:textId="77777777" w:rsidR="002B733E" w:rsidRPr="00FD50F6" w:rsidRDefault="002B733E" w:rsidP="002B733E">
            <w:pPr>
              <w:pStyle w:val="7"/>
            </w:pPr>
            <w:r w:rsidRPr="00FD50F6">
              <w:rPr>
                <w:rFonts w:hint="eastAsia"/>
              </w:rPr>
              <w:t>Y</w:t>
            </w:r>
          </w:p>
        </w:tc>
        <w:tc>
          <w:tcPr>
            <w:tcW w:w="756" w:type="dxa"/>
            <w:vAlign w:val="bottom"/>
          </w:tcPr>
          <w:p w14:paraId="782ED051" w14:textId="77777777" w:rsidR="002B733E" w:rsidRPr="00FD50F6" w:rsidRDefault="002B733E" w:rsidP="002B733E">
            <w:pPr>
              <w:pStyle w:val="7"/>
            </w:pPr>
            <w:r w:rsidRPr="00FD50F6">
              <w:rPr>
                <w:rFonts w:hint="eastAsia"/>
              </w:rPr>
              <w:t>1809</w:t>
            </w:r>
          </w:p>
        </w:tc>
        <w:tc>
          <w:tcPr>
            <w:tcW w:w="756" w:type="dxa"/>
            <w:vAlign w:val="bottom"/>
          </w:tcPr>
          <w:p w14:paraId="36FABCFF" w14:textId="77777777" w:rsidR="002B733E" w:rsidRPr="00FD50F6" w:rsidRDefault="002B733E" w:rsidP="002B733E">
            <w:pPr>
              <w:pStyle w:val="7"/>
            </w:pPr>
            <w:r w:rsidRPr="00FD50F6">
              <w:rPr>
                <w:rFonts w:hint="eastAsia"/>
              </w:rPr>
              <w:t>1031</w:t>
            </w:r>
          </w:p>
        </w:tc>
        <w:tc>
          <w:tcPr>
            <w:tcW w:w="756" w:type="dxa"/>
            <w:vAlign w:val="bottom"/>
          </w:tcPr>
          <w:p w14:paraId="4C3148FE" w14:textId="77777777" w:rsidR="002B733E" w:rsidRPr="00FD50F6" w:rsidRDefault="002B733E" w:rsidP="002B733E">
            <w:pPr>
              <w:pStyle w:val="7"/>
            </w:pPr>
            <w:r w:rsidRPr="00FD50F6">
              <w:rPr>
                <w:rFonts w:hint="eastAsia"/>
              </w:rPr>
              <w:t>1032</w:t>
            </w:r>
          </w:p>
        </w:tc>
        <w:tc>
          <w:tcPr>
            <w:tcW w:w="756" w:type="dxa"/>
            <w:vAlign w:val="center"/>
          </w:tcPr>
          <w:p w14:paraId="19CA279F" w14:textId="77777777" w:rsidR="002B733E" w:rsidRPr="00FD50F6" w:rsidRDefault="002B733E" w:rsidP="002B733E">
            <w:pPr>
              <w:pStyle w:val="7"/>
            </w:pPr>
            <w:r w:rsidRPr="00FD50F6">
              <w:rPr>
                <w:rFonts w:hint="eastAsia"/>
              </w:rPr>
              <w:t>811</w:t>
            </w:r>
          </w:p>
        </w:tc>
        <w:tc>
          <w:tcPr>
            <w:tcW w:w="756" w:type="dxa"/>
            <w:vAlign w:val="center"/>
          </w:tcPr>
          <w:p w14:paraId="7B5EAF16" w14:textId="77777777" w:rsidR="002B733E" w:rsidRPr="00FD50F6" w:rsidRDefault="002B733E" w:rsidP="002B733E">
            <w:pPr>
              <w:pStyle w:val="7"/>
            </w:pPr>
            <w:r w:rsidRPr="00FD50F6">
              <w:rPr>
                <w:rFonts w:hint="eastAsia"/>
              </w:rPr>
              <w:t>596</w:t>
            </w:r>
          </w:p>
        </w:tc>
        <w:tc>
          <w:tcPr>
            <w:tcW w:w="756" w:type="dxa"/>
            <w:vAlign w:val="center"/>
          </w:tcPr>
          <w:p w14:paraId="7A6FE543" w14:textId="77777777" w:rsidR="002B733E" w:rsidRPr="00FD50F6" w:rsidRDefault="002B733E" w:rsidP="002B733E">
            <w:pPr>
              <w:pStyle w:val="7"/>
            </w:pPr>
            <w:r w:rsidRPr="00FD50F6">
              <w:rPr>
                <w:rFonts w:hint="eastAsia"/>
              </w:rPr>
              <w:t>596</w:t>
            </w:r>
          </w:p>
        </w:tc>
        <w:tc>
          <w:tcPr>
            <w:tcW w:w="756" w:type="dxa"/>
            <w:vAlign w:val="center"/>
          </w:tcPr>
          <w:p w14:paraId="31BB285D" w14:textId="77777777" w:rsidR="002B733E" w:rsidRPr="00FD50F6" w:rsidRDefault="002B733E" w:rsidP="002B733E">
            <w:pPr>
              <w:pStyle w:val="7"/>
            </w:pPr>
            <w:r w:rsidRPr="00FD50F6">
              <w:rPr>
                <w:rFonts w:hint="eastAsia"/>
              </w:rPr>
              <w:t>200</w:t>
            </w:r>
          </w:p>
        </w:tc>
        <w:tc>
          <w:tcPr>
            <w:tcW w:w="756" w:type="dxa"/>
            <w:vAlign w:val="center"/>
          </w:tcPr>
          <w:p w14:paraId="74083659" w14:textId="77777777" w:rsidR="002B733E" w:rsidRPr="00FD50F6" w:rsidRDefault="002B733E" w:rsidP="002B733E">
            <w:pPr>
              <w:pStyle w:val="7"/>
            </w:pPr>
            <w:r w:rsidRPr="00FD50F6">
              <w:rPr>
                <w:rFonts w:hint="eastAsia"/>
              </w:rPr>
              <w:t>200</w:t>
            </w:r>
          </w:p>
        </w:tc>
        <w:tc>
          <w:tcPr>
            <w:tcW w:w="756" w:type="dxa"/>
            <w:vAlign w:val="center"/>
          </w:tcPr>
          <w:p w14:paraId="7A19E7DE" w14:textId="77777777" w:rsidR="002B733E" w:rsidRPr="00FD50F6" w:rsidRDefault="002B733E" w:rsidP="002B733E">
            <w:pPr>
              <w:pStyle w:val="7"/>
            </w:pPr>
            <w:r w:rsidRPr="00FD50F6">
              <w:rPr>
                <w:rFonts w:hint="eastAsia"/>
              </w:rPr>
              <w:t>32</w:t>
            </w:r>
          </w:p>
        </w:tc>
        <w:tc>
          <w:tcPr>
            <w:tcW w:w="756" w:type="dxa"/>
            <w:vAlign w:val="center"/>
          </w:tcPr>
          <w:p w14:paraId="4EE13372" w14:textId="77777777" w:rsidR="002B733E" w:rsidRPr="00FD50F6" w:rsidRDefault="002B733E" w:rsidP="002B733E">
            <w:pPr>
              <w:pStyle w:val="7"/>
            </w:pPr>
            <w:r w:rsidRPr="00FD50F6">
              <w:rPr>
                <w:rFonts w:hint="eastAsia"/>
              </w:rPr>
              <w:t>51</w:t>
            </w:r>
          </w:p>
        </w:tc>
      </w:tr>
      <w:tr w:rsidR="00FD50F6" w:rsidRPr="00FD50F6" w14:paraId="7AA9F105" w14:textId="77777777" w:rsidTr="002B733E">
        <w:trPr>
          <w:trHeight w:val="397"/>
        </w:trPr>
        <w:tc>
          <w:tcPr>
            <w:tcW w:w="701" w:type="dxa"/>
            <w:vAlign w:val="center"/>
          </w:tcPr>
          <w:p w14:paraId="27D3CBAA" w14:textId="77777777" w:rsidR="002B733E" w:rsidRPr="00FD50F6" w:rsidRDefault="002B733E" w:rsidP="002B733E">
            <w:pPr>
              <w:pStyle w:val="7"/>
            </w:pPr>
            <w:r w:rsidRPr="00FD50F6">
              <w:rPr>
                <w:rFonts w:hint="eastAsia"/>
              </w:rPr>
              <w:t>点号</w:t>
            </w:r>
          </w:p>
        </w:tc>
        <w:tc>
          <w:tcPr>
            <w:tcW w:w="756" w:type="dxa"/>
            <w:vAlign w:val="center"/>
          </w:tcPr>
          <w:p w14:paraId="0338EE7C" w14:textId="77777777" w:rsidR="002B733E" w:rsidRPr="00FD50F6" w:rsidRDefault="002B733E" w:rsidP="002B733E">
            <w:pPr>
              <w:pStyle w:val="7"/>
            </w:pPr>
            <w:r w:rsidRPr="00FD50F6">
              <w:rPr>
                <w:rFonts w:hint="eastAsia"/>
              </w:rPr>
              <w:t>12d</w:t>
            </w:r>
            <w:r w:rsidRPr="00FD50F6">
              <w:rPr>
                <w:rFonts w:hint="eastAsia"/>
              </w:rPr>
              <w:t>’</w:t>
            </w:r>
          </w:p>
        </w:tc>
        <w:tc>
          <w:tcPr>
            <w:tcW w:w="756" w:type="dxa"/>
            <w:vAlign w:val="center"/>
          </w:tcPr>
          <w:p w14:paraId="3A21C797" w14:textId="77777777" w:rsidR="002B733E" w:rsidRPr="00FD50F6" w:rsidRDefault="002B733E" w:rsidP="002B733E">
            <w:pPr>
              <w:pStyle w:val="7"/>
            </w:pPr>
            <w:r w:rsidRPr="00FD50F6">
              <w:rPr>
                <w:rFonts w:hint="eastAsia"/>
              </w:rPr>
              <w:t>13</w:t>
            </w:r>
            <w:r w:rsidRPr="00FD50F6">
              <w:rPr>
                <w:rFonts w:hint="eastAsia"/>
              </w:rPr>
              <w:t>’</w:t>
            </w:r>
          </w:p>
        </w:tc>
        <w:tc>
          <w:tcPr>
            <w:tcW w:w="756" w:type="dxa"/>
            <w:vAlign w:val="center"/>
          </w:tcPr>
          <w:p w14:paraId="3CF2BCB5" w14:textId="77777777" w:rsidR="002B733E" w:rsidRPr="00FD50F6" w:rsidRDefault="002B733E" w:rsidP="002B733E">
            <w:pPr>
              <w:pStyle w:val="7"/>
            </w:pPr>
            <w:r w:rsidRPr="00FD50F6">
              <w:rPr>
                <w:rFonts w:hint="eastAsia"/>
              </w:rPr>
              <w:t>14</w:t>
            </w:r>
            <w:r w:rsidRPr="00FD50F6">
              <w:rPr>
                <w:rFonts w:hint="eastAsia"/>
              </w:rPr>
              <w:t>’</w:t>
            </w:r>
          </w:p>
        </w:tc>
        <w:tc>
          <w:tcPr>
            <w:tcW w:w="756" w:type="dxa"/>
            <w:vAlign w:val="center"/>
          </w:tcPr>
          <w:p w14:paraId="473E35DC" w14:textId="77777777" w:rsidR="002B733E" w:rsidRPr="00FD50F6" w:rsidRDefault="002B733E" w:rsidP="002B733E">
            <w:pPr>
              <w:pStyle w:val="7"/>
            </w:pPr>
            <w:r w:rsidRPr="00FD50F6">
              <w:rPr>
                <w:rFonts w:hint="eastAsia"/>
              </w:rPr>
              <w:t>15</w:t>
            </w:r>
            <w:r w:rsidRPr="00FD50F6">
              <w:rPr>
                <w:rFonts w:hint="eastAsia"/>
              </w:rPr>
              <w:t>’</w:t>
            </w:r>
          </w:p>
        </w:tc>
        <w:tc>
          <w:tcPr>
            <w:tcW w:w="756" w:type="dxa"/>
            <w:vAlign w:val="center"/>
          </w:tcPr>
          <w:p w14:paraId="38A5050D" w14:textId="77777777" w:rsidR="002B733E" w:rsidRPr="00FD50F6" w:rsidRDefault="002B733E" w:rsidP="002B733E">
            <w:pPr>
              <w:pStyle w:val="7"/>
            </w:pPr>
            <w:r w:rsidRPr="00FD50F6">
              <w:rPr>
                <w:rFonts w:hint="eastAsia"/>
              </w:rPr>
              <w:t>16</w:t>
            </w:r>
            <w:r w:rsidRPr="00FD50F6">
              <w:rPr>
                <w:rFonts w:hint="eastAsia"/>
              </w:rPr>
              <w:t>’</w:t>
            </w:r>
          </w:p>
        </w:tc>
        <w:tc>
          <w:tcPr>
            <w:tcW w:w="756" w:type="dxa"/>
            <w:vAlign w:val="center"/>
          </w:tcPr>
          <w:p w14:paraId="2DBF8C2E" w14:textId="77777777" w:rsidR="002B733E" w:rsidRPr="00FD50F6" w:rsidRDefault="002B733E" w:rsidP="002B733E">
            <w:pPr>
              <w:pStyle w:val="7"/>
            </w:pPr>
            <w:r w:rsidRPr="00FD50F6">
              <w:rPr>
                <w:rFonts w:hint="eastAsia"/>
              </w:rPr>
              <w:t>17</w:t>
            </w:r>
            <w:r w:rsidRPr="00FD50F6">
              <w:rPr>
                <w:rFonts w:hint="eastAsia"/>
              </w:rPr>
              <w:t>’</w:t>
            </w:r>
          </w:p>
        </w:tc>
        <w:tc>
          <w:tcPr>
            <w:tcW w:w="756" w:type="dxa"/>
            <w:vAlign w:val="center"/>
          </w:tcPr>
          <w:p w14:paraId="28718CFD" w14:textId="77777777" w:rsidR="002B733E" w:rsidRPr="00FD50F6" w:rsidRDefault="002B733E" w:rsidP="002B733E">
            <w:pPr>
              <w:pStyle w:val="7"/>
            </w:pPr>
            <w:r w:rsidRPr="00FD50F6">
              <w:rPr>
                <w:rFonts w:hint="eastAsia"/>
              </w:rPr>
              <w:t>18</w:t>
            </w:r>
            <w:r w:rsidRPr="00FD50F6">
              <w:rPr>
                <w:rFonts w:hint="eastAsia"/>
              </w:rPr>
              <w:t>’</w:t>
            </w:r>
          </w:p>
        </w:tc>
        <w:tc>
          <w:tcPr>
            <w:tcW w:w="756" w:type="dxa"/>
            <w:vAlign w:val="center"/>
          </w:tcPr>
          <w:p w14:paraId="273A9C4E" w14:textId="77777777" w:rsidR="002B733E" w:rsidRPr="00FD50F6" w:rsidRDefault="002B733E" w:rsidP="002B733E">
            <w:pPr>
              <w:pStyle w:val="7"/>
            </w:pPr>
            <w:r w:rsidRPr="00FD50F6">
              <w:rPr>
                <w:rFonts w:hint="eastAsia"/>
              </w:rPr>
              <w:t>19</w:t>
            </w:r>
            <w:r w:rsidRPr="00FD50F6">
              <w:rPr>
                <w:rFonts w:hint="eastAsia"/>
              </w:rPr>
              <w:t>’</w:t>
            </w:r>
          </w:p>
        </w:tc>
        <w:tc>
          <w:tcPr>
            <w:tcW w:w="756" w:type="dxa"/>
            <w:vAlign w:val="center"/>
          </w:tcPr>
          <w:p w14:paraId="0E8B2060" w14:textId="77777777" w:rsidR="002B733E" w:rsidRPr="00FD50F6" w:rsidRDefault="002B733E" w:rsidP="002B733E">
            <w:pPr>
              <w:pStyle w:val="7"/>
            </w:pPr>
            <w:r w:rsidRPr="00FD50F6">
              <w:rPr>
                <w:rFonts w:hint="eastAsia"/>
              </w:rPr>
              <w:t>20</w:t>
            </w:r>
            <w:r w:rsidRPr="00FD50F6">
              <w:rPr>
                <w:rFonts w:hint="eastAsia"/>
              </w:rPr>
              <w:t>’</w:t>
            </w:r>
          </w:p>
        </w:tc>
        <w:tc>
          <w:tcPr>
            <w:tcW w:w="756" w:type="dxa"/>
            <w:vAlign w:val="center"/>
          </w:tcPr>
          <w:p w14:paraId="0A65B3A8" w14:textId="77777777" w:rsidR="002B733E" w:rsidRPr="00FD50F6" w:rsidRDefault="002B733E" w:rsidP="002B733E">
            <w:pPr>
              <w:pStyle w:val="7"/>
            </w:pPr>
            <w:r w:rsidRPr="00FD50F6">
              <w:rPr>
                <w:rFonts w:hint="eastAsia"/>
              </w:rPr>
              <w:t>—</w:t>
            </w:r>
          </w:p>
        </w:tc>
      </w:tr>
      <w:tr w:rsidR="00FD50F6" w:rsidRPr="00FD50F6" w14:paraId="5C4A5E3F" w14:textId="77777777" w:rsidTr="002B733E">
        <w:trPr>
          <w:trHeight w:val="397"/>
        </w:trPr>
        <w:tc>
          <w:tcPr>
            <w:tcW w:w="701" w:type="dxa"/>
            <w:vAlign w:val="center"/>
          </w:tcPr>
          <w:p w14:paraId="64904779" w14:textId="77777777" w:rsidR="002B733E" w:rsidRPr="00FD50F6" w:rsidRDefault="002B733E" w:rsidP="002B733E">
            <w:pPr>
              <w:pStyle w:val="7"/>
            </w:pPr>
            <w:r w:rsidRPr="00FD50F6">
              <w:rPr>
                <w:rFonts w:hint="eastAsia"/>
              </w:rPr>
              <w:t>X</w:t>
            </w:r>
          </w:p>
        </w:tc>
        <w:tc>
          <w:tcPr>
            <w:tcW w:w="756" w:type="dxa"/>
            <w:vAlign w:val="center"/>
          </w:tcPr>
          <w:p w14:paraId="0E12D423" w14:textId="77777777" w:rsidR="002B733E" w:rsidRPr="00FD50F6" w:rsidRDefault="002B733E" w:rsidP="002B733E">
            <w:pPr>
              <w:pStyle w:val="7"/>
            </w:pPr>
            <w:r w:rsidRPr="00FD50F6">
              <w:rPr>
                <w:rFonts w:hint="eastAsia"/>
              </w:rPr>
              <w:t>1027</w:t>
            </w:r>
          </w:p>
        </w:tc>
        <w:tc>
          <w:tcPr>
            <w:tcW w:w="756" w:type="dxa"/>
            <w:vAlign w:val="center"/>
          </w:tcPr>
          <w:p w14:paraId="0360FAC4" w14:textId="77777777" w:rsidR="002B733E" w:rsidRPr="00FD50F6" w:rsidRDefault="002B733E" w:rsidP="002B733E">
            <w:pPr>
              <w:pStyle w:val="7"/>
            </w:pPr>
            <w:r w:rsidRPr="00FD50F6">
              <w:rPr>
                <w:rFonts w:hint="eastAsia"/>
              </w:rPr>
              <w:t>1027</w:t>
            </w:r>
          </w:p>
        </w:tc>
        <w:tc>
          <w:tcPr>
            <w:tcW w:w="756" w:type="dxa"/>
            <w:vAlign w:val="center"/>
          </w:tcPr>
          <w:p w14:paraId="3A80DF96" w14:textId="77777777" w:rsidR="002B733E" w:rsidRPr="00FD50F6" w:rsidRDefault="002B733E" w:rsidP="002B733E">
            <w:pPr>
              <w:pStyle w:val="7"/>
            </w:pPr>
            <w:r w:rsidRPr="00FD50F6">
              <w:rPr>
                <w:rFonts w:hint="eastAsia"/>
              </w:rPr>
              <w:t>834</w:t>
            </w:r>
          </w:p>
        </w:tc>
        <w:tc>
          <w:tcPr>
            <w:tcW w:w="756" w:type="dxa"/>
            <w:vAlign w:val="center"/>
          </w:tcPr>
          <w:p w14:paraId="7D0E41AC" w14:textId="77777777" w:rsidR="002B733E" w:rsidRPr="00FD50F6" w:rsidRDefault="002B733E" w:rsidP="002B733E">
            <w:pPr>
              <w:pStyle w:val="7"/>
            </w:pPr>
            <w:r w:rsidRPr="00FD50F6">
              <w:rPr>
                <w:rFonts w:hint="eastAsia"/>
              </w:rPr>
              <w:t>834</w:t>
            </w:r>
          </w:p>
        </w:tc>
        <w:tc>
          <w:tcPr>
            <w:tcW w:w="756" w:type="dxa"/>
            <w:vAlign w:val="center"/>
          </w:tcPr>
          <w:p w14:paraId="26FA6EEE" w14:textId="77777777" w:rsidR="002B733E" w:rsidRPr="00FD50F6" w:rsidRDefault="002B733E" w:rsidP="002B733E">
            <w:pPr>
              <w:pStyle w:val="7"/>
            </w:pPr>
            <w:r w:rsidRPr="00FD50F6">
              <w:rPr>
                <w:rFonts w:hint="eastAsia"/>
              </w:rPr>
              <w:t>731</w:t>
            </w:r>
          </w:p>
        </w:tc>
        <w:tc>
          <w:tcPr>
            <w:tcW w:w="756" w:type="dxa"/>
            <w:vAlign w:val="center"/>
          </w:tcPr>
          <w:p w14:paraId="707E5548" w14:textId="77777777" w:rsidR="002B733E" w:rsidRPr="00FD50F6" w:rsidRDefault="002B733E" w:rsidP="002B733E">
            <w:pPr>
              <w:pStyle w:val="7"/>
            </w:pPr>
            <w:r w:rsidRPr="00FD50F6">
              <w:rPr>
                <w:rFonts w:hint="eastAsia"/>
              </w:rPr>
              <w:t>731</w:t>
            </w:r>
          </w:p>
        </w:tc>
        <w:tc>
          <w:tcPr>
            <w:tcW w:w="756" w:type="dxa"/>
            <w:vAlign w:val="center"/>
          </w:tcPr>
          <w:p w14:paraId="399AAD88" w14:textId="77777777" w:rsidR="002B733E" w:rsidRPr="00FD50F6" w:rsidRDefault="002B733E" w:rsidP="002B733E">
            <w:pPr>
              <w:pStyle w:val="7"/>
            </w:pPr>
            <w:r w:rsidRPr="00FD50F6">
              <w:rPr>
                <w:rFonts w:hint="eastAsia"/>
              </w:rPr>
              <w:t>654</w:t>
            </w:r>
          </w:p>
        </w:tc>
        <w:tc>
          <w:tcPr>
            <w:tcW w:w="756" w:type="dxa"/>
            <w:vAlign w:val="center"/>
          </w:tcPr>
          <w:p w14:paraId="7E001657" w14:textId="77777777" w:rsidR="002B733E" w:rsidRPr="00FD50F6" w:rsidRDefault="002B733E" w:rsidP="002B733E">
            <w:pPr>
              <w:pStyle w:val="7"/>
            </w:pPr>
            <w:r w:rsidRPr="00FD50F6">
              <w:rPr>
                <w:rFonts w:hint="eastAsia"/>
              </w:rPr>
              <w:t>654</w:t>
            </w:r>
          </w:p>
        </w:tc>
        <w:tc>
          <w:tcPr>
            <w:tcW w:w="756" w:type="dxa"/>
            <w:vAlign w:val="center"/>
          </w:tcPr>
          <w:p w14:paraId="646602F0" w14:textId="77777777" w:rsidR="002B733E" w:rsidRPr="00FD50F6" w:rsidRDefault="002B733E" w:rsidP="002B733E">
            <w:pPr>
              <w:pStyle w:val="7"/>
            </w:pPr>
            <w:r w:rsidRPr="00FD50F6">
              <w:rPr>
                <w:rFonts w:hint="eastAsia"/>
              </w:rPr>
              <w:t>0</w:t>
            </w:r>
          </w:p>
        </w:tc>
        <w:tc>
          <w:tcPr>
            <w:tcW w:w="756" w:type="dxa"/>
            <w:vAlign w:val="center"/>
          </w:tcPr>
          <w:p w14:paraId="388B8A6E" w14:textId="77777777" w:rsidR="002B733E" w:rsidRPr="00FD50F6" w:rsidRDefault="002B733E" w:rsidP="002B733E">
            <w:pPr>
              <w:pStyle w:val="7"/>
            </w:pPr>
            <w:r w:rsidRPr="00FD50F6">
              <w:rPr>
                <w:rFonts w:hint="eastAsia"/>
              </w:rPr>
              <w:t>—</w:t>
            </w:r>
          </w:p>
        </w:tc>
      </w:tr>
      <w:tr w:rsidR="00FD50F6" w:rsidRPr="00FD50F6" w14:paraId="75D7A7ED" w14:textId="77777777" w:rsidTr="002B733E">
        <w:trPr>
          <w:trHeight w:val="397"/>
        </w:trPr>
        <w:tc>
          <w:tcPr>
            <w:tcW w:w="701" w:type="dxa"/>
            <w:vAlign w:val="center"/>
          </w:tcPr>
          <w:p w14:paraId="2C0E913F" w14:textId="77777777" w:rsidR="002B733E" w:rsidRPr="00FD50F6" w:rsidRDefault="002B733E" w:rsidP="002B733E">
            <w:pPr>
              <w:pStyle w:val="7"/>
            </w:pPr>
            <w:r w:rsidRPr="00FD50F6">
              <w:rPr>
                <w:rFonts w:hint="eastAsia"/>
              </w:rPr>
              <w:t>Y</w:t>
            </w:r>
          </w:p>
        </w:tc>
        <w:tc>
          <w:tcPr>
            <w:tcW w:w="756" w:type="dxa"/>
            <w:vAlign w:val="center"/>
          </w:tcPr>
          <w:p w14:paraId="45E6E91D" w14:textId="77777777" w:rsidR="002B733E" w:rsidRPr="00FD50F6" w:rsidRDefault="002B733E" w:rsidP="002B733E">
            <w:pPr>
              <w:pStyle w:val="7"/>
            </w:pPr>
            <w:r w:rsidRPr="00FD50F6">
              <w:rPr>
                <w:rFonts w:hint="eastAsia"/>
              </w:rPr>
              <w:t>67</w:t>
            </w:r>
          </w:p>
        </w:tc>
        <w:tc>
          <w:tcPr>
            <w:tcW w:w="756" w:type="dxa"/>
            <w:vAlign w:val="center"/>
          </w:tcPr>
          <w:p w14:paraId="4689E576" w14:textId="77777777" w:rsidR="002B733E" w:rsidRPr="00FD50F6" w:rsidRDefault="002B733E" w:rsidP="002B733E">
            <w:pPr>
              <w:pStyle w:val="7"/>
            </w:pPr>
            <w:r w:rsidRPr="00FD50F6">
              <w:rPr>
                <w:rFonts w:hint="eastAsia"/>
              </w:rPr>
              <w:t>39</w:t>
            </w:r>
          </w:p>
        </w:tc>
        <w:tc>
          <w:tcPr>
            <w:tcW w:w="756" w:type="dxa"/>
            <w:vAlign w:val="center"/>
          </w:tcPr>
          <w:p w14:paraId="3334B73C" w14:textId="77777777" w:rsidR="002B733E" w:rsidRPr="00FD50F6" w:rsidRDefault="002B733E" w:rsidP="002B733E">
            <w:pPr>
              <w:pStyle w:val="7"/>
            </w:pPr>
            <w:r w:rsidRPr="00FD50F6">
              <w:rPr>
                <w:rFonts w:hint="eastAsia"/>
              </w:rPr>
              <w:t>39</w:t>
            </w:r>
          </w:p>
        </w:tc>
        <w:tc>
          <w:tcPr>
            <w:tcW w:w="756" w:type="dxa"/>
            <w:vAlign w:val="center"/>
          </w:tcPr>
          <w:p w14:paraId="08664AB2" w14:textId="77777777" w:rsidR="002B733E" w:rsidRPr="00FD50F6" w:rsidRDefault="002B733E" w:rsidP="002B733E">
            <w:pPr>
              <w:pStyle w:val="7"/>
            </w:pPr>
            <w:r w:rsidRPr="00FD50F6">
              <w:rPr>
                <w:rFonts w:hint="eastAsia"/>
              </w:rPr>
              <w:t>-13</w:t>
            </w:r>
          </w:p>
        </w:tc>
        <w:tc>
          <w:tcPr>
            <w:tcW w:w="756" w:type="dxa"/>
            <w:vAlign w:val="center"/>
          </w:tcPr>
          <w:p w14:paraId="574C5698" w14:textId="77777777" w:rsidR="002B733E" w:rsidRPr="00FD50F6" w:rsidRDefault="002B733E" w:rsidP="002B733E">
            <w:pPr>
              <w:pStyle w:val="7"/>
            </w:pPr>
            <w:r w:rsidRPr="00FD50F6">
              <w:rPr>
                <w:rFonts w:hint="eastAsia"/>
              </w:rPr>
              <w:t>-13</w:t>
            </w:r>
          </w:p>
        </w:tc>
        <w:tc>
          <w:tcPr>
            <w:tcW w:w="756" w:type="dxa"/>
            <w:vAlign w:val="center"/>
          </w:tcPr>
          <w:p w14:paraId="26A2ED72" w14:textId="77777777" w:rsidR="002B733E" w:rsidRPr="00FD50F6" w:rsidRDefault="002B733E" w:rsidP="002B733E">
            <w:pPr>
              <w:pStyle w:val="7"/>
            </w:pPr>
            <w:r w:rsidRPr="00FD50F6">
              <w:rPr>
                <w:rFonts w:hint="eastAsia"/>
              </w:rPr>
              <w:t>-13</w:t>
            </w:r>
          </w:p>
        </w:tc>
        <w:tc>
          <w:tcPr>
            <w:tcW w:w="756" w:type="dxa"/>
            <w:vAlign w:val="center"/>
          </w:tcPr>
          <w:p w14:paraId="537BFB4A" w14:textId="77777777" w:rsidR="002B733E" w:rsidRPr="00FD50F6" w:rsidRDefault="002B733E" w:rsidP="002B733E">
            <w:pPr>
              <w:pStyle w:val="7"/>
            </w:pPr>
            <w:r w:rsidRPr="00FD50F6">
              <w:rPr>
                <w:rFonts w:hint="eastAsia"/>
              </w:rPr>
              <w:t>-42</w:t>
            </w:r>
          </w:p>
        </w:tc>
        <w:tc>
          <w:tcPr>
            <w:tcW w:w="756" w:type="dxa"/>
            <w:vAlign w:val="center"/>
          </w:tcPr>
          <w:p w14:paraId="56642DA8" w14:textId="77777777" w:rsidR="002B733E" w:rsidRPr="00FD50F6" w:rsidRDefault="002B733E" w:rsidP="002B733E">
            <w:pPr>
              <w:pStyle w:val="7"/>
            </w:pPr>
            <w:r w:rsidRPr="00FD50F6">
              <w:rPr>
                <w:rFonts w:hint="eastAsia"/>
              </w:rPr>
              <w:t>35</w:t>
            </w:r>
          </w:p>
        </w:tc>
        <w:tc>
          <w:tcPr>
            <w:tcW w:w="756" w:type="dxa"/>
            <w:vAlign w:val="center"/>
          </w:tcPr>
          <w:p w14:paraId="5C3875D3" w14:textId="77777777" w:rsidR="002B733E" w:rsidRPr="00FD50F6" w:rsidRDefault="002B733E" w:rsidP="002B733E">
            <w:pPr>
              <w:pStyle w:val="7"/>
            </w:pPr>
            <w:r w:rsidRPr="00FD50F6">
              <w:rPr>
                <w:rFonts w:hint="eastAsia"/>
              </w:rPr>
              <w:t>35</w:t>
            </w:r>
          </w:p>
        </w:tc>
        <w:tc>
          <w:tcPr>
            <w:tcW w:w="756" w:type="dxa"/>
            <w:vAlign w:val="center"/>
          </w:tcPr>
          <w:p w14:paraId="7D0CF9CA" w14:textId="77777777" w:rsidR="002B733E" w:rsidRPr="00FD50F6" w:rsidRDefault="002B733E" w:rsidP="002B733E">
            <w:pPr>
              <w:pStyle w:val="7"/>
            </w:pPr>
            <w:r w:rsidRPr="00FD50F6">
              <w:rPr>
                <w:rFonts w:hint="eastAsia"/>
              </w:rPr>
              <w:t>—</w:t>
            </w:r>
          </w:p>
        </w:tc>
      </w:tr>
    </w:tbl>
    <w:p w14:paraId="6D521E83"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D.0.2-3</w:t>
      </w:r>
      <w:r w:rsidRPr="00FD50F6">
        <w:rPr>
          <w:rFonts w:ascii="黑体" w:eastAsia="黑体" w:hAnsi="黑体" w:cs="Times New Roman" w:hint="eastAsia"/>
          <w:sz w:val="21"/>
          <w:szCs w:val="24"/>
        </w:rPr>
        <w:t xml:space="preserve">  隧道外车站直线地段停站车辆限界坐标值（mm）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756"/>
        <w:gridCol w:w="756"/>
        <w:gridCol w:w="756"/>
        <w:gridCol w:w="756"/>
        <w:gridCol w:w="756"/>
        <w:gridCol w:w="756"/>
        <w:gridCol w:w="756"/>
        <w:gridCol w:w="756"/>
        <w:gridCol w:w="756"/>
        <w:gridCol w:w="756"/>
      </w:tblGrid>
      <w:tr w:rsidR="00FD50F6" w:rsidRPr="00FD50F6" w14:paraId="1E154621" w14:textId="77777777" w:rsidTr="002B733E">
        <w:trPr>
          <w:trHeight w:val="397"/>
        </w:trPr>
        <w:tc>
          <w:tcPr>
            <w:tcW w:w="701" w:type="dxa"/>
            <w:vAlign w:val="center"/>
          </w:tcPr>
          <w:p w14:paraId="02698BB1" w14:textId="77777777" w:rsidR="002B733E" w:rsidRPr="00FD50F6" w:rsidRDefault="002B733E" w:rsidP="002B733E">
            <w:pPr>
              <w:pStyle w:val="7"/>
            </w:pPr>
            <w:r w:rsidRPr="00FD50F6">
              <w:rPr>
                <w:rFonts w:hint="eastAsia"/>
              </w:rPr>
              <w:t>点号</w:t>
            </w:r>
          </w:p>
        </w:tc>
        <w:tc>
          <w:tcPr>
            <w:tcW w:w="756" w:type="dxa"/>
            <w:vAlign w:val="center"/>
          </w:tcPr>
          <w:p w14:paraId="2620C1C5" w14:textId="77777777" w:rsidR="002B733E" w:rsidRPr="00FD50F6" w:rsidRDefault="002B733E" w:rsidP="002B733E">
            <w:pPr>
              <w:pStyle w:val="7"/>
            </w:pPr>
            <w:r w:rsidRPr="00FD50F6">
              <w:rPr>
                <w:rFonts w:hint="eastAsia"/>
              </w:rPr>
              <w:t>0</w:t>
            </w:r>
            <w:r w:rsidRPr="00FD50F6">
              <w:rPr>
                <w:rFonts w:hint="eastAsia"/>
              </w:rPr>
              <w:t>’</w:t>
            </w:r>
          </w:p>
        </w:tc>
        <w:tc>
          <w:tcPr>
            <w:tcW w:w="756" w:type="dxa"/>
            <w:vAlign w:val="center"/>
          </w:tcPr>
          <w:p w14:paraId="51B66C73" w14:textId="77777777" w:rsidR="002B733E" w:rsidRPr="00FD50F6" w:rsidRDefault="002B733E" w:rsidP="002B733E">
            <w:pPr>
              <w:pStyle w:val="7"/>
            </w:pPr>
            <w:r w:rsidRPr="00FD50F6">
              <w:rPr>
                <w:rFonts w:hint="eastAsia"/>
              </w:rPr>
              <w:t>1</w:t>
            </w:r>
            <w:r w:rsidRPr="00FD50F6">
              <w:rPr>
                <w:rFonts w:hint="eastAsia"/>
              </w:rPr>
              <w:t>’</w:t>
            </w:r>
          </w:p>
        </w:tc>
        <w:tc>
          <w:tcPr>
            <w:tcW w:w="756" w:type="dxa"/>
            <w:vAlign w:val="center"/>
          </w:tcPr>
          <w:p w14:paraId="5E6B4600" w14:textId="77777777" w:rsidR="002B733E" w:rsidRPr="00FD50F6" w:rsidRDefault="002B733E" w:rsidP="002B733E">
            <w:pPr>
              <w:pStyle w:val="7"/>
            </w:pPr>
            <w:r w:rsidRPr="00FD50F6">
              <w:rPr>
                <w:rFonts w:hint="eastAsia"/>
              </w:rPr>
              <w:t>2</w:t>
            </w:r>
            <w:r w:rsidRPr="00FD50F6">
              <w:rPr>
                <w:rFonts w:hint="eastAsia"/>
              </w:rPr>
              <w:t>’</w:t>
            </w:r>
          </w:p>
        </w:tc>
        <w:tc>
          <w:tcPr>
            <w:tcW w:w="756" w:type="dxa"/>
            <w:vAlign w:val="center"/>
          </w:tcPr>
          <w:p w14:paraId="5469601D" w14:textId="77777777" w:rsidR="002B733E" w:rsidRPr="00FD50F6" w:rsidRDefault="002B733E" w:rsidP="002B733E">
            <w:pPr>
              <w:pStyle w:val="7"/>
            </w:pPr>
            <w:r w:rsidRPr="00FD50F6">
              <w:rPr>
                <w:rFonts w:hint="eastAsia"/>
              </w:rPr>
              <w:t>3</w:t>
            </w:r>
            <w:r w:rsidRPr="00FD50F6">
              <w:rPr>
                <w:rFonts w:hint="eastAsia"/>
              </w:rPr>
              <w:t>’</w:t>
            </w:r>
          </w:p>
        </w:tc>
        <w:tc>
          <w:tcPr>
            <w:tcW w:w="756" w:type="dxa"/>
            <w:vAlign w:val="center"/>
          </w:tcPr>
          <w:p w14:paraId="69992AE0" w14:textId="77777777" w:rsidR="002B733E" w:rsidRPr="00FD50F6" w:rsidRDefault="002B733E" w:rsidP="002B733E">
            <w:pPr>
              <w:pStyle w:val="7"/>
            </w:pPr>
            <w:r w:rsidRPr="00FD50F6">
              <w:rPr>
                <w:rFonts w:hint="eastAsia"/>
              </w:rPr>
              <w:t>4</w:t>
            </w:r>
            <w:r w:rsidRPr="00FD50F6">
              <w:rPr>
                <w:rFonts w:hint="eastAsia"/>
              </w:rPr>
              <w:t>’</w:t>
            </w:r>
          </w:p>
        </w:tc>
        <w:tc>
          <w:tcPr>
            <w:tcW w:w="756" w:type="dxa"/>
            <w:vAlign w:val="center"/>
          </w:tcPr>
          <w:p w14:paraId="340EB442" w14:textId="77777777" w:rsidR="002B733E" w:rsidRPr="00FD50F6" w:rsidRDefault="002B733E" w:rsidP="002B733E">
            <w:pPr>
              <w:pStyle w:val="7"/>
            </w:pPr>
            <w:r w:rsidRPr="00FD50F6">
              <w:rPr>
                <w:rFonts w:hint="eastAsia"/>
              </w:rPr>
              <w:t>5</w:t>
            </w:r>
            <w:r w:rsidRPr="00FD50F6">
              <w:rPr>
                <w:rFonts w:hint="eastAsia"/>
              </w:rPr>
              <w:t>’</w:t>
            </w:r>
          </w:p>
        </w:tc>
        <w:tc>
          <w:tcPr>
            <w:tcW w:w="756" w:type="dxa"/>
            <w:vAlign w:val="center"/>
          </w:tcPr>
          <w:p w14:paraId="33261C7F" w14:textId="77777777" w:rsidR="002B733E" w:rsidRPr="00FD50F6" w:rsidRDefault="002B733E" w:rsidP="002B733E">
            <w:pPr>
              <w:pStyle w:val="7"/>
            </w:pPr>
            <w:r w:rsidRPr="00FD50F6">
              <w:rPr>
                <w:rFonts w:hint="eastAsia"/>
              </w:rPr>
              <w:t>6</w:t>
            </w:r>
            <w:r w:rsidRPr="00FD50F6">
              <w:rPr>
                <w:rFonts w:hint="eastAsia"/>
              </w:rPr>
              <w:t>’</w:t>
            </w:r>
          </w:p>
        </w:tc>
        <w:tc>
          <w:tcPr>
            <w:tcW w:w="756" w:type="dxa"/>
            <w:vAlign w:val="bottom"/>
          </w:tcPr>
          <w:p w14:paraId="582009C7" w14:textId="77777777" w:rsidR="002B733E" w:rsidRPr="00FD50F6" w:rsidRDefault="002B733E" w:rsidP="002B733E">
            <w:pPr>
              <w:pStyle w:val="7"/>
            </w:pPr>
            <w:r w:rsidRPr="00FD50F6">
              <w:rPr>
                <w:rFonts w:hint="eastAsia"/>
              </w:rPr>
              <w:t>m1</w:t>
            </w:r>
            <w:r w:rsidRPr="00FD50F6">
              <w:rPr>
                <w:rFonts w:hint="eastAsia"/>
              </w:rPr>
              <w:t>’</w:t>
            </w:r>
          </w:p>
        </w:tc>
        <w:tc>
          <w:tcPr>
            <w:tcW w:w="756" w:type="dxa"/>
            <w:vAlign w:val="bottom"/>
          </w:tcPr>
          <w:p w14:paraId="602408BC" w14:textId="77777777" w:rsidR="002B733E" w:rsidRPr="00FD50F6" w:rsidRDefault="002B733E" w:rsidP="002B733E">
            <w:pPr>
              <w:pStyle w:val="7"/>
            </w:pPr>
            <w:r w:rsidRPr="00FD50F6">
              <w:rPr>
                <w:rFonts w:hint="eastAsia"/>
              </w:rPr>
              <w:t>m2</w:t>
            </w:r>
            <w:r w:rsidRPr="00FD50F6">
              <w:rPr>
                <w:rFonts w:hint="eastAsia"/>
              </w:rPr>
              <w:t>’</w:t>
            </w:r>
          </w:p>
        </w:tc>
        <w:tc>
          <w:tcPr>
            <w:tcW w:w="756" w:type="dxa"/>
            <w:vAlign w:val="bottom"/>
          </w:tcPr>
          <w:p w14:paraId="616FEE49" w14:textId="77777777" w:rsidR="002B733E" w:rsidRPr="00FD50F6" w:rsidRDefault="002B733E" w:rsidP="002B733E">
            <w:pPr>
              <w:pStyle w:val="7"/>
            </w:pPr>
            <w:r w:rsidRPr="00FD50F6">
              <w:rPr>
                <w:rFonts w:hint="eastAsia"/>
              </w:rPr>
              <w:t>m3</w:t>
            </w:r>
            <w:r w:rsidRPr="00FD50F6">
              <w:rPr>
                <w:rFonts w:hint="eastAsia"/>
              </w:rPr>
              <w:t>’</w:t>
            </w:r>
          </w:p>
        </w:tc>
      </w:tr>
      <w:tr w:rsidR="00FD50F6" w:rsidRPr="00FD50F6" w14:paraId="4522D230" w14:textId="77777777" w:rsidTr="002B733E">
        <w:trPr>
          <w:trHeight w:val="397"/>
        </w:trPr>
        <w:tc>
          <w:tcPr>
            <w:tcW w:w="701" w:type="dxa"/>
            <w:vAlign w:val="center"/>
          </w:tcPr>
          <w:p w14:paraId="31303123" w14:textId="77777777" w:rsidR="002B733E" w:rsidRPr="00FD50F6" w:rsidRDefault="002B733E" w:rsidP="002B733E">
            <w:pPr>
              <w:pStyle w:val="7"/>
            </w:pPr>
            <w:r w:rsidRPr="00FD50F6">
              <w:rPr>
                <w:rFonts w:hint="eastAsia"/>
              </w:rPr>
              <w:t>X</w:t>
            </w:r>
          </w:p>
        </w:tc>
        <w:tc>
          <w:tcPr>
            <w:tcW w:w="756" w:type="dxa"/>
            <w:vAlign w:val="center"/>
          </w:tcPr>
          <w:p w14:paraId="20D9DAB1" w14:textId="77777777" w:rsidR="002B733E" w:rsidRPr="00FD50F6" w:rsidRDefault="002B733E" w:rsidP="002B733E">
            <w:pPr>
              <w:pStyle w:val="7"/>
            </w:pPr>
            <w:r w:rsidRPr="00FD50F6">
              <w:rPr>
                <w:rFonts w:hint="eastAsia"/>
              </w:rPr>
              <w:t>0</w:t>
            </w:r>
          </w:p>
        </w:tc>
        <w:tc>
          <w:tcPr>
            <w:tcW w:w="756" w:type="dxa"/>
            <w:vAlign w:val="center"/>
          </w:tcPr>
          <w:p w14:paraId="60A77D02" w14:textId="77777777" w:rsidR="002B733E" w:rsidRPr="00FD50F6" w:rsidRDefault="002B733E" w:rsidP="002B733E">
            <w:pPr>
              <w:pStyle w:val="7"/>
            </w:pPr>
            <w:r w:rsidRPr="00FD50F6">
              <w:rPr>
                <w:rFonts w:hint="eastAsia"/>
              </w:rPr>
              <w:t>965</w:t>
            </w:r>
          </w:p>
        </w:tc>
        <w:tc>
          <w:tcPr>
            <w:tcW w:w="756" w:type="dxa"/>
            <w:vAlign w:val="center"/>
          </w:tcPr>
          <w:p w14:paraId="1473A539" w14:textId="77777777" w:rsidR="002B733E" w:rsidRPr="00FD50F6" w:rsidRDefault="002B733E" w:rsidP="002B733E">
            <w:pPr>
              <w:pStyle w:val="7"/>
            </w:pPr>
            <w:r w:rsidRPr="00FD50F6">
              <w:rPr>
                <w:rFonts w:hint="eastAsia"/>
              </w:rPr>
              <w:t>1064</w:t>
            </w:r>
          </w:p>
        </w:tc>
        <w:tc>
          <w:tcPr>
            <w:tcW w:w="756" w:type="dxa"/>
            <w:vAlign w:val="center"/>
          </w:tcPr>
          <w:p w14:paraId="339639F9" w14:textId="77777777" w:rsidR="002B733E" w:rsidRPr="00FD50F6" w:rsidRDefault="002B733E" w:rsidP="002B733E">
            <w:pPr>
              <w:pStyle w:val="7"/>
            </w:pPr>
            <w:r w:rsidRPr="00FD50F6">
              <w:rPr>
                <w:rFonts w:hint="eastAsia"/>
              </w:rPr>
              <w:t>1240</w:t>
            </w:r>
          </w:p>
        </w:tc>
        <w:tc>
          <w:tcPr>
            <w:tcW w:w="756" w:type="dxa"/>
            <w:vAlign w:val="center"/>
          </w:tcPr>
          <w:p w14:paraId="253ADD20" w14:textId="77777777" w:rsidR="002B733E" w:rsidRPr="00FD50F6" w:rsidRDefault="002B733E" w:rsidP="002B733E">
            <w:pPr>
              <w:pStyle w:val="7"/>
            </w:pPr>
            <w:r w:rsidRPr="00FD50F6">
              <w:rPr>
                <w:rFonts w:hint="eastAsia"/>
              </w:rPr>
              <w:t>1337</w:t>
            </w:r>
          </w:p>
        </w:tc>
        <w:tc>
          <w:tcPr>
            <w:tcW w:w="756" w:type="dxa"/>
            <w:vAlign w:val="center"/>
          </w:tcPr>
          <w:p w14:paraId="5E41DC08" w14:textId="77777777" w:rsidR="002B733E" w:rsidRPr="00FD50F6" w:rsidRDefault="002B733E" w:rsidP="002B733E">
            <w:pPr>
              <w:pStyle w:val="7"/>
            </w:pPr>
            <w:r w:rsidRPr="00FD50F6">
              <w:rPr>
                <w:rFonts w:hint="eastAsia"/>
              </w:rPr>
              <w:t>1404</w:t>
            </w:r>
          </w:p>
        </w:tc>
        <w:tc>
          <w:tcPr>
            <w:tcW w:w="756" w:type="dxa"/>
            <w:vAlign w:val="center"/>
          </w:tcPr>
          <w:p w14:paraId="1FA2FCB8" w14:textId="77777777" w:rsidR="002B733E" w:rsidRPr="00FD50F6" w:rsidRDefault="002B733E" w:rsidP="002B733E">
            <w:pPr>
              <w:pStyle w:val="7"/>
            </w:pPr>
            <w:r w:rsidRPr="00FD50F6">
              <w:rPr>
                <w:rFonts w:hint="eastAsia"/>
              </w:rPr>
              <w:t>1421</w:t>
            </w:r>
          </w:p>
        </w:tc>
        <w:tc>
          <w:tcPr>
            <w:tcW w:w="756" w:type="dxa"/>
            <w:vAlign w:val="bottom"/>
          </w:tcPr>
          <w:p w14:paraId="4AC5E234" w14:textId="77777777" w:rsidR="002B733E" w:rsidRPr="00FD50F6" w:rsidRDefault="002B733E" w:rsidP="002B733E">
            <w:pPr>
              <w:pStyle w:val="7"/>
            </w:pPr>
            <w:r w:rsidRPr="00FD50F6">
              <w:rPr>
                <w:rFonts w:hint="eastAsia"/>
              </w:rPr>
              <w:t>1429</w:t>
            </w:r>
          </w:p>
        </w:tc>
        <w:tc>
          <w:tcPr>
            <w:tcW w:w="756" w:type="dxa"/>
            <w:vAlign w:val="bottom"/>
          </w:tcPr>
          <w:p w14:paraId="2483CA0C" w14:textId="77777777" w:rsidR="002B733E" w:rsidRPr="00FD50F6" w:rsidRDefault="002B733E" w:rsidP="002B733E">
            <w:pPr>
              <w:pStyle w:val="7"/>
            </w:pPr>
            <w:r w:rsidRPr="00FD50F6">
              <w:rPr>
                <w:rFonts w:hint="eastAsia"/>
              </w:rPr>
              <w:t>1481</w:t>
            </w:r>
          </w:p>
        </w:tc>
        <w:tc>
          <w:tcPr>
            <w:tcW w:w="756" w:type="dxa"/>
            <w:vAlign w:val="bottom"/>
          </w:tcPr>
          <w:p w14:paraId="6EEAEA13" w14:textId="77777777" w:rsidR="002B733E" w:rsidRPr="00FD50F6" w:rsidRDefault="002B733E" w:rsidP="002B733E">
            <w:pPr>
              <w:pStyle w:val="7"/>
            </w:pPr>
            <w:r w:rsidRPr="00FD50F6">
              <w:rPr>
                <w:rFonts w:hint="eastAsia"/>
              </w:rPr>
              <w:t>1487</w:t>
            </w:r>
          </w:p>
        </w:tc>
      </w:tr>
      <w:tr w:rsidR="00FD50F6" w:rsidRPr="00FD50F6" w14:paraId="1F61AFB1" w14:textId="77777777" w:rsidTr="002B733E">
        <w:trPr>
          <w:trHeight w:val="397"/>
        </w:trPr>
        <w:tc>
          <w:tcPr>
            <w:tcW w:w="701" w:type="dxa"/>
            <w:vAlign w:val="center"/>
          </w:tcPr>
          <w:p w14:paraId="63E65BDE" w14:textId="77777777" w:rsidR="002B733E" w:rsidRPr="00FD50F6" w:rsidRDefault="002B733E" w:rsidP="002B733E">
            <w:pPr>
              <w:pStyle w:val="7"/>
            </w:pPr>
            <w:r w:rsidRPr="00FD50F6">
              <w:rPr>
                <w:rFonts w:hint="eastAsia"/>
              </w:rPr>
              <w:t>Y</w:t>
            </w:r>
          </w:p>
        </w:tc>
        <w:tc>
          <w:tcPr>
            <w:tcW w:w="756" w:type="dxa"/>
            <w:vAlign w:val="center"/>
          </w:tcPr>
          <w:p w14:paraId="175F4B16" w14:textId="77777777" w:rsidR="002B733E" w:rsidRPr="00FD50F6" w:rsidRDefault="002B733E" w:rsidP="002B733E">
            <w:pPr>
              <w:pStyle w:val="7"/>
            </w:pPr>
            <w:r w:rsidRPr="00FD50F6">
              <w:rPr>
                <w:rFonts w:hint="eastAsia"/>
              </w:rPr>
              <w:t>38</w:t>
            </w:r>
            <w:r w:rsidRPr="00FD50F6">
              <w:t>8</w:t>
            </w:r>
            <w:r w:rsidRPr="00FD50F6">
              <w:rPr>
                <w:rFonts w:hint="eastAsia"/>
              </w:rPr>
              <w:t>8</w:t>
            </w:r>
          </w:p>
        </w:tc>
        <w:tc>
          <w:tcPr>
            <w:tcW w:w="756" w:type="dxa"/>
            <w:vAlign w:val="center"/>
          </w:tcPr>
          <w:p w14:paraId="3DD05300" w14:textId="77777777" w:rsidR="002B733E" w:rsidRPr="00FD50F6" w:rsidRDefault="002B733E" w:rsidP="002B733E">
            <w:pPr>
              <w:pStyle w:val="7"/>
            </w:pPr>
            <w:r w:rsidRPr="00FD50F6">
              <w:rPr>
                <w:rFonts w:hint="eastAsia"/>
              </w:rPr>
              <w:t>38</w:t>
            </w:r>
            <w:r w:rsidRPr="00FD50F6">
              <w:t>8</w:t>
            </w:r>
            <w:r w:rsidRPr="00FD50F6">
              <w:rPr>
                <w:rFonts w:hint="eastAsia"/>
              </w:rPr>
              <w:t>8</w:t>
            </w:r>
          </w:p>
        </w:tc>
        <w:tc>
          <w:tcPr>
            <w:tcW w:w="756" w:type="dxa"/>
            <w:vAlign w:val="center"/>
          </w:tcPr>
          <w:p w14:paraId="7C0CEFD4" w14:textId="77777777" w:rsidR="002B733E" w:rsidRPr="00FD50F6" w:rsidRDefault="002B733E" w:rsidP="002B733E">
            <w:pPr>
              <w:pStyle w:val="7"/>
            </w:pPr>
            <w:r w:rsidRPr="00FD50F6">
              <w:rPr>
                <w:rFonts w:hint="eastAsia"/>
              </w:rPr>
              <w:t>3789</w:t>
            </w:r>
          </w:p>
        </w:tc>
        <w:tc>
          <w:tcPr>
            <w:tcW w:w="756" w:type="dxa"/>
            <w:vAlign w:val="center"/>
          </w:tcPr>
          <w:p w14:paraId="17598723" w14:textId="77777777" w:rsidR="002B733E" w:rsidRPr="00FD50F6" w:rsidRDefault="002B733E" w:rsidP="002B733E">
            <w:pPr>
              <w:pStyle w:val="7"/>
            </w:pPr>
            <w:r w:rsidRPr="00FD50F6">
              <w:rPr>
                <w:rFonts w:hint="eastAsia"/>
              </w:rPr>
              <w:t>3678</w:t>
            </w:r>
          </w:p>
        </w:tc>
        <w:tc>
          <w:tcPr>
            <w:tcW w:w="756" w:type="dxa"/>
            <w:vAlign w:val="center"/>
          </w:tcPr>
          <w:p w14:paraId="60A20B93" w14:textId="77777777" w:rsidR="002B733E" w:rsidRPr="00FD50F6" w:rsidRDefault="002B733E" w:rsidP="002B733E">
            <w:pPr>
              <w:pStyle w:val="7"/>
            </w:pPr>
            <w:r w:rsidRPr="00FD50F6">
              <w:rPr>
                <w:rFonts w:hint="eastAsia"/>
              </w:rPr>
              <w:t>3582</w:t>
            </w:r>
          </w:p>
        </w:tc>
        <w:tc>
          <w:tcPr>
            <w:tcW w:w="756" w:type="dxa"/>
            <w:vAlign w:val="center"/>
          </w:tcPr>
          <w:p w14:paraId="43A2F9A4" w14:textId="77777777" w:rsidR="002B733E" w:rsidRPr="00FD50F6" w:rsidRDefault="002B733E" w:rsidP="002B733E">
            <w:pPr>
              <w:pStyle w:val="7"/>
            </w:pPr>
            <w:r w:rsidRPr="00FD50F6">
              <w:rPr>
                <w:rFonts w:hint="eastAsia"/>
              </w:rPr>
              <w:t>3451</w:t>
            </w:r>
          </w:p>
        </w:tc>
        <w:tc>
          <w:tcPr>
            <w:tcW w:w="756" w:type="dxa"/>
            <w:vAlign w:val="center"/>
          </w:tcPr>
          <w:p w14:paraId="5E4FF05A" w14:textId="77777777" w:rsidR="002B733E" w:rsidRPr="00FD50F6" w:rsidRDefault="002B733E" w:rsidP="002B733E">
            <w:pPr>
              <w:pStyle w:val="7"/>
            </w:pPr>
            <w:r w:rsidRPr="00FD50F6">
              <w:rPr>
                <w:rFonts w:hint="eastAsia"/>
              </w:rPr>
              <w:t>3360</w:t>
            </w:r>
          </w:p>
        </w:tc>
        <w:tc>
          <w:tcPr>
            <w:tcW w:w="756" w:type="dxa"/>
            <w:vAlign w:val="bottom"/>
          </w:tcPr>
          <w:p w14:paraId="3BC49C7D" w14:textId="77777777" w:rsidR="002B733E" w:rsidRPr="00FD50F6" w:rsidRDefault="002B733E" w:rsidP="002B733E">
            <w:pPr>
              <w:pStyle w:val="7"/>
            </w:pPr>
            <w:r w:rsidRPr="00FD50F6">
              <w:rPr>
                <w:rFonts w:hint="eastAsia"/>
              </w:rPr>
              <w:t>3158</w:t>
            </w:r>
          </w:p>
        </w:tc>
        <w:tc>
          <w:tcPr>
            <w:tcW w:w="756" w:type="dxa"/>
            <w:vAlign w:val="bottom"/>
          </w:tcPr>
          <w:p w14:paraId="00B4418E" w14:textId="77777777" w:rsidR="002B733E" w:rsidRPr="00FD50F6" w:rsidRDefault="002B733E" w:rsidP="002B733E">
            <w:pPr>
              <w:pStyle w:val="7"/>
            </w:pPr>
            <w:r w:rsidRPr="00FD50F6">
              <w:rPr>
                <w:rFonts w:hint="eastAsia"/>
              </w:rPr>
              <w:t>3159</w:t>
            </w:r>
          </w:p>
        </w:tc>
        <w:tc>
          <w:tcPr>
            <w:tcW w:w="756" w:type="dxa"/>
            <w:vAlign w:val="bottom"/>
          </w:tcPr>
          <w:p w14:paraId="1E438568" w14:textId="77777777" w:rsidR="002B733E" w:rsidRPr="00FD50F6" w:rsidRDefault="002B733E" w:rsidP="002B733E">
            <w:pPr>
              <w:pStyle w:val="7"/>
            </w:pPr>
            <w:r w:rsidRPr="00FD50F6">
              <w:rPr>
                <w:rFonts w:hint="eastAsia"/>
              </w:rPr>
              <w:t>3022</w:t>
            </w:r>
          </w:p>
        </w:tc>
      </w:tr>
      <w:tr w:rsidR="00FD50F6" w:rsidRPr="00FD50F6" w14:paraId="52C48B86" w14:textId="77777777" w:rsidTr="002B733E">
        <w:trPr>
          <w:trHeight w:val="397"/>
        </w:trPr>
        <w:tc>
          <w:tcPr>
            <w:tcW w:w="701" w:type="dxa"/>
            <w:vAlign w:val="center"/>
          </w:tcPr>
          <w:p w14:paraId="019DCE2B" w14:textId="77777777" w:rsidR="002B733E" w:rsidRPr="00FD50F6" w:rsidRDefault="002B733E" w:rsidP="002B733E">
            <w:pPr>
              <w:pStyle w:val="7"/>
            </w:pPr>
            <w:r w:rsidRPr="00FD50F6">
              <w:rPr>
                <w:rFonts w:hint="eastAsia"/>
              </w:rPr>
              <w:t>点号</w:t>
            </w:r>
          </w:p>
        </w:tc>
        <w:tc>
          <w:tcPr>
            <w:tcW w:w="756" w:type="dxa"/>
            <w:vAlign w:val="bottom"/>
          </w:tcPr>
          <w:p w14:paraId="1DFAED93" w14:textId="77777777" w:rsidR="002B733E" w:rsidRPr="00FD50F6" w:rsidRDefault="002B733E" w:rsidP="002B733E">
            <w:pPr>
              <w:pStyle w:val="7"/>
            </w:pPr>
            <w:r w:rsidRPr="00FD50F6">
              <w:rPr>
                <w:rFonts w:hint="eastAsia"/>
              </w:rPr>
              <w:t>m4</w:t>
            </w:r>
            <w:r w:rsidRPr="00FD50F6">
              <w:rPr>
                <w:rFonts w:hint="eastAsia"/>
              </w:rPr>
              <w:t>’</w:t>
            </w:r>
          </w:p>
        </w:tc>
        <w:tc>
          <w:tcPr>
            <w:tcW w:w="756" w:type="dxa"/>
            <w:vAlign w:val="bottom"/>
          </w:tcPr>
          <w:p w14:paraId="3E78E719" w14:textId="77777777" w:rsidR="002B733E" w:rsidRPr="00FD50F6" w:rsidRDefault="002B733E" w:rsidP="002B733E">
            <w:pPr>
              <w:pStyle w:val="7"/>
            </w:pPr>
            <w:r w:rsidRPr="00FD50F6">
              <w:rPr>
                <w:rFonts w:hint="eastAsia"/>
              </w:rPr>
              <w:t>m5</w:t>
            </w:r>
            <w:r w:rsidRPr="00FD50F6">
              <w:rPr>
                <w:rFonts w:hint="eastAsia"/>
              </w:rPr>
              <w:t>’</w:t>
            </w:r>
          </w:p>
        </w:tc>
        <w:tc>
          <w:tcPr>
            <w:tcW w:w="756" w:type="dxa"/>
            <w:vAlign w:val="bottom"/>
          </w:tcPr>
          <w:p w14:paraId="3F468ABD" w14:textId="77777777" w:rsidR="002B733E" w:rsidRPr="00FD50F6" w:rsidRDefault="002B733E" w:rsidP="002B733E">
            <w:pPr>
              <w:pStyle w:val="7"/>
            </w:pPr>
            <w:r w:rsidRPr="00FD50F6">
              <w:rPr>
                <w:rFonts w:hint="eastAsia"/>
              </w:rPr>
              <w:t>m6</w:t>
            </w:r>
            <w:r w:rsidRPr="00FD50F6">
              <w:rPr>
                <w:rFonts w:hint="eastAsia"/>
              </w:rPr>
              <w:t>’</w:t>
            </w:r>
          </w:p>
        </w:tc>
        <w:tc>
          <w:tcPr>
            <w:tcW w:w="756" w:type="dxa"/>
            <w:vAlign w:val="center"/>
          </w:tcPr>
          <w:p w14:paraId="10455AA4" w14:textId="77777777" w:rsidR="002B733E" w:rsidRPr="00FD50F6" w:rsidRDefault="002B733E" w:rsidP="002B733E">
            <w:pPr>
              <w:pStyle w:val="7"/>
            </w:pPr>
            <w:r w:rsidRPr="00FD50F6">
              <w:rPr>
                <w:rFonts w:hint="eastAsia"/>
              </w:rPr>
              <w:t>10</w:t>
            </w:r>
          </w:p>
        </w:tc>
        <w:tc>
          <w:tcPr>
            <w:tcW w:w="756" w:type="dxa"/>
            <w:vAlign w:val="center"/>
          </w:tcPr>
          <w:p w14:paraId="4FB30138" w14:textId="77777777" w:rsidR="002B733E" w:rsidRPr="00FD50F6" w:rsidRDefault="002B733E" w:rsidP="002B733E">
            <w:pPr>
              <w:pStyle w:val="7"/>
            </w:pPr>
            <w:r w:rsidRPr="00FD50F6">
              <w:rPr>
                <w:rFonts w:hint="eastAsia"/>
              </w:rPr>
              <w:t>11</w:t>
            </w:r>
            <w:r w:rsidRPr="00FD50F6">
              <w:rPr>
                <w:rFonts w:hint="eastAsia"/>
              </w:rPr>
              <w:t>’</w:t>
            </w:r>
          </w:p>
        </w:tc>
        <w:tc>
          <w:tcPr>
            <w:tcW w:w="756" w:type="dxa"/>
            <w:vAlign w:val="center"/>
          </w:tcPr>
          <w:p w14:paraId="2142B1AA" w14:textId="77777777" w:rsidR="002B733E" w:rsidRPr="00FD50F6" w:rsidRDefault="002B733E" w:rsidP="002B733E">
            <w:pPr>
              <w:pStyle w:val="7"/>
            </w:pPr>
            <w:r w:rsidRPr="00FD50F6">
              <w:rPr>
                <w:rFonts w:hint="eastAsia"/>
              </w:rPr>
              <w:t>11a</w:t>
            </w:r>
            <w:r w:rsidRPr="00FD50F6">
              <w:rPr>
                <w:rFonts w:hint="eastAsia"/>
              </w:rPr>
              <w:t>’</w:t>
            </w:r>
          </w:p>
        </w:tc>
        <w:tc>
          <w:tcPr>
            <w:tcW w:w="756" w:type="dxa"/>
            <w:vAlign w:val="center"/>
          </w:tcPr>
          <w:p w14:paraId="16A684F3" w14:textId="77777777" w:rsidR="002B733E" w:rsidRPr="00FD50F6" w:rsidRDefault="002B733E" w:rsidP="002B733E">
            <w:pPr>
              <w:pStyle w:val="7"/>
            </w:pPr>
            <w:r w:rsidRPr="00FD50F6">
              <w:rPr>
                <w:rFonts w:hint="eastAsia"/>
              </w:rPr>
              <w:t>12</w:t>
            </w:r>
            <w:r w:rsidRPr="00FD50F6">
              <w:rPr>
                <w:rFonts w:hint="eastAsia"/>
              </w:rPr>
              <w:t>’</w:t>
            </w:r>
          </w:p>
        </w:tc>
        <w:tc>
          <w:tcPr>
            <w:tcW w:w="756" w:type="dxa"/>
            <w:vAlign w:val="center"/>
          </w:tcPr>
          <w:p w14:paraId="0D472EFB" w14:textId="77777777" w:rsidR="002B733E" w:rsidRPr="00FD50F6" w:rsidRDefault="002B733E" w:rsidP="002B733E">
            <w:pPr>
              <w:pStyle w:val="7"/>
            </w:pPr>
            <w:r w:rsidRPr="00FD50F6">
              <w:rPr>
                <w:rFonts w:hint="eastAsia"/>
              </w:rPr>
              <w:t>12a</w:t>
            </w:r>
            <w:r w:rsidRPr="00FD50F6">
              <w:rPr>
                <w:rFonts w:hint="eastAsia"/>
              </w:rPr>
              <w:t>’</w:t>
            </w:r>
          </w:p>
        </w:tc>
        <w:tc>
          <w:tcPr>
            <w:tcW w:w="756" w:type="dxa"/>
            <w:vAlign w:val="center"/>
          </w:tcPr>
          <w:p w14:paraId="7EE1F858" w14:textId="77777777" w:rsidR="002B733E" w:rsidRPr="00FD50F6" w:rsidRDefault="002B733E" w:rsidP="002B733E">
            <w:pPr>
              <w:pStyle w:val="7"/>
            </w:pPr>
            <w:r w:rsidRPr="00FD50F6">
              <w:rPr>
                <w:rFonts w:hint="eastAsia"/>
              </w:rPr>
              <w:t>12e</w:t>
            </w:r>
            <w:r w:rsidRPr="00FD50F6">
              <w:rPr>
                <w:rFonts w:hint="eastAsia"/>
              </w:rPr>
              <w:t>’</w:t>
            </w:r>
          </w:p>
        </w:tc>
        <w:tc>
          <w:tcPr>
            <w:tcW w:w="756" w:type="dxa"/>
            <w:vAlign w:val="center"/>
          </w:tcPr>
          <w:p w14:paraId="3E014BC5" w14:textId="77777777" w:rsidR="002B733E" w:rsidRPr="00FD50F6" w:rsidRDefault="002B733E" w:rsidP="002B733E">
            <w:pPr>
              <w:pStyle w:val="7"/>
            </w:pPr>
            <w:r w:rsidRPr="00FD50F6">
              <w:rPr>
                <w:rFonts w:hint="eastAsia"/>
              </w:rPr>
              <w:t>12f</w:t>
            </w:r>
            <w:r w:rsidRPr="00FD50F6">
              <w:rPr>
                <w:rFonts w:hint="eastAsia"/>
              </w:rPr>
              <w:t>’</w:t>
            </w:r>
          </w:p>
        </w:tc>
      </w:tr>
      <w:tr w:rsidR="00FD50F6" w:rsidRPr="00FD50F6" w14:paraId="0D492FCC" w14:textId="77777777" w:rsidTr="002B733E">
        <w:trPr>
          <w:trHeight w:val="397"/>
        </w:trPr>
        <w:tc>
          <w:tcPr>
            <w:tcW w:w="701" w:type="dxa"/>
            <w:vAlign w:val="center"/>
          </w:tcPr>
          <w:p w14:paraId="59296E0B" w14:textId="77777777" w:rsidR="002B733E" w:rsidRPr="00FD50F6" w:rsidRDefault="002B733E" w:rsidP="002B733E">
            <w:pPr>
              <w:pStyle w:val="7"/>
            </w:pPr>
            <w:r w:rsidRPr="00FD50F6">
              <w:rPr>
                <w:rFonts w:hint="eastAsia"/>
              </w:rPr>
              <w:t>X</w:t>
            </w:r>
          </w:p>
        </w:tc>
        <w:tc>
          <w:tcPr>
            <w:tcW w:w="756" w:type="dxa"/>
            <w:vAlign w:val="bottom"/>
          </w:tcPr>
          <w:p w14:paraId="256F7816" w14:textId="77777777" w:rsidR="002B733E" w:rsidRPr="00FD50F6" w:rsidRDefault="002B733E" w:rsidP="002B733E">
            <w:pPr>
              <w:pStyle w:val="7"/>
            </w:pPr>
            <w:r w:rsidRPr="00FD50F6">
              <w:rPr>
                <w:rFonts w:hint="eastAsia"/>
              </w:rPr>
              <w:t>1518</w:t>
            </w:r>
          </w:p>
        </w:tc>
        <w:tc>
          <w:tcPr>
            <w:tcW w:w="756" w:type="dxa"/>
            <w:vAlign w:val="bottom"/>
          </w:tcPr>
          <w:p w14:paraId="405EA089" w14:textId="77777777" w:rsidR="002B733E" w:rsidRPr="00FD50F6" w:rsidRDefault="002B733E" w:rsidP="002B733E">
            <w:pPr>
              <w:pStyle w:val="7"/>
            </w:pPr>
            <w:r w:rsidRPr="00FD50F6">
              <w:rPr>
                <w:rFonts w:hint="eastAsia"/>
              </w:rPr>
              <w:t>1499</w:t>
            </w:r>
          </w:p>
        </w:tc>
        <w:tc>
          <w:tcPr>
            <w:tcW w:w="756" w:type="dxa"/>
            <w:vAlign w:val="bottom"/>
          </w:tcPr>
          <w:p w14:paraId="0941789F" w14:textId="77777777" w:rsidR="002B733E" w:rsidRPr="00FD50F6" w:rsidRDefault="002B733E" w:rsidP="002B733E">
            <w:pPr>
              <w:pStyle w:val="7"/>
            </w:pPr>
            <w:r w:rsidRPr="00FD50F6">
              <w:rPr>
                <w:rFonts w:hint="eastAsia"/>
              </w:rPr>
              <w:t>1447</w:t>
            </w:r>
          </w:p>
        </w:tc>
        <w:tc>
          <w:tcPr>
            <w:tcW w:w="756" w:type="dxa"/>
            <w:vAlign w:val="center"/>
          </w:tcPr>
          <w:p w14:paraId="2FBD1EDD" w14:textId="77777777" w:rsidR="002B733E" w:rsidRPr="00FD50F6" w:rsidRDefault="002B733E" w:rsidP="002B733E">
            <w:pPr>
              <w:pStyle w:val="7"/>
            </w:pPr>
            <w:r w:rsidRPr="00FD50F6">
              <w:rPr>
                <w:rFonts w:hint="eastAsia"/>
              </w:rPr>
              <w:t>1442</w:t>
            </w:r>
          </w:p>
        </w:tc>
        <w:tc>
          <w:tcPr>
            <w:tcW w:w="756" w:type="dxa"/>
            <w:vAlign w:val="center"/>
          </w:tcPr>
          <w:p w14:paraId="0555D97C" w14:textId="77777777" w:rsidR="002B733E" w:rsidRPr="00FD50F6" w:rsidRDefault="002B733E" w:rsidP="002B733E">
            <w:pPr>
              <w:pStyle w:val="7"/>
            </w:pPr>
            <w:r w:rsidRPr="00FD50F6">
              <w:rPr>
                <w:rFonts w:hint="eastAsia"/>
              </w:rPr>
              <w:t>1358</w:t>
            </w:r>
          </w:p>
        </w:tc>
        <w:tc>
          <w:tcPr>
            <w:tcW w:w="756" w:type="dxa"/>
            <w:vAlign w:val="center"/>
          </w:tcPr>
          <w:p w14:paraId="49850B51" w14:textId="77777777" w:rsidR="002B733E" w:rsidRPr="00FD50F6" w:rsidRDefault="002B733E" w:rsidP="002B733E">
            <w:pPr>
              <w:pStyle w:val="7"/>
            </w:pPr>
            <w:r w:rsidRPr="00FD50F6">
              <w:rPr>
                <w:rFonts w:hint="eastAsia"/>
              </w:rPr>
              <w:t>1379</w:t>
            </w:r>
          </w:p>
        </w:tc>
        <w:tc>
          <w:tcPr>
            <w:tcW w:w="756" w:type="dxa"/>
            <w:vAlign w:val="center"/>
          </w:tcPr>
          <w:p w14:paraId="100FEEC8" w14:textId="77777777" w:rsidR="002B733E" w:rsidRPr="00FD50F6" w:rsidRDefault="002B733E" w:rsidP="002B733E">
            <w:pPr>
              <w:pStyle w:val="7"/>
            </w:pPr>
            <w:r w:rsidRPr="00FD50F6">
              <w:rPr>
                <w:rFonts w:hint="eastAsia"/>
              </w:rPr>
              <w:t>1358</w:t>
            </w:r>
          </w:p>
        </w:tc>
        <w:tc>
          <w:tcPr>
            <w:tcW w:w="756" w:type="dxa"/>
            <w:vAlign w:val="center"/>
          </w:tcPr>
          <w:p w14:paraId="4E4825A7" w14:textId="77777777" w:rsidR="002B733E" w:rsidRPr="00FD50F6" w:rsidRDefault="002B733E" w:rsidP="002B733E">
            <w:pPr>
              <w:pStyle w:val="7"/>
            </w:pPr>
            <w:r w:rsidRPr="00FD50F6">
              <w:rPr>
                <w:rFonts w:hint="eastAsia"/>
              </w:rPr>
              <w:t>1528</w:t>
            </w:r>
          </w:p>
        </w:tc>
        <w:tc>
          <w:tcPr>
            <w:tcW w:w="756" w:type="dxa"/>
            <w:vAlign w:val="center"/>
          </w:tcPr>
          <w:p w14:paraId="40D95DF2" w14:textId="77777777" w:rsidR="002B733E" w:rsidRPr="00FD50F6" w:rsidRDefault="002B733E" w:rsidP="002B733E">
            <w:pPr>
              <w:pStyle w:val="7"/>
            </w:pPr>
            <w:r w:rsidRPr="00FD50F6">
              <w:rPr>
                <w:rFonts w:hint="eastAsia"/>
              </w:rPr>
              <w:t>1529</w:t>
            </w:r>
          </w:p>
        </w:tc>
        <w:tc>
          <w:tcPr>
            <w:tcW w:w="756" w:type="dxa"/>
            <w:vAlign w:val="center"/>
          </w:tcPr>
          <w:p w14:paraId="6DF5E46E" w14:textId="77777777" w:rsidR="002B733E" w:rsidRPr="00FD50F6" w:rsidRDefault="002B733E" w:rsidP="002B733E">
            <w:pPr>
              <w:pStyle w:val="7"/>
            </w:pPr>
            <w:r w:rsidRPr="00FD50F6">
              <w:rPr>
                <w:rFonts w:hint="eastAsia"/>
              </w:rPr>
              <w:t>1213</w:t>
            </w:r>
          </w:p>
        </w:tc>
      </w:tr>
      <w:tr w:rsidR="00FD50F6" w:rsidRPr="00FD50F6" w14:paraId="091A66E3" w14:textId="77777777" w:rsidTr="002B733E">
        <w:trPr>
          <w:trHeight w:val="397"/>
        </w:trPr>
        <w:tc>
          <w:tcPr>
            <w:tcW w:w="701" w:type="dxa"/>
            <w:vAlign w:val="center"/>
          </w:tcPr>
          <w:p w14:paraId="4BBB64DF" w14:textId="77777777" w:rsidR="002B733E" w:rsidRPr="00FD50F6" w:rsidRDefault="002B733E" w:rsidP="002B733E">
            <w:pPr>
              <w:pStyle w:val="7"/>
            </w:pPr>
            <w:r w:rsidRPr="00FD50F6">
              <w:rPr>
                <w:rFonts w:hint="eastAsia"/>
              </w:rPr>
              <w:t>Y</w:t>
            </w:r>
          </w:p>
        </w:tc>
        <w:tc>
          <w:tcPr>
            <w:tcW w:w="756" w:type="dxa"/>
            <w:vAlign w:val="bottom"/>
          </w:tcPr>
          <w:p w14:paraId="6F19AEF4" w14:textId="77777777" w:rsidR="002B733E" w:rsidRPr="00FD50F6" w:rsidRDefault="002B733E" w:rsidP="002B733E">
            <w:pPr>
              <w:pStyle w:val="7"/>
            </w:pPr>
            <w:r w:rsidRPr="00FD50F6">
              <w:rPr>
                <w:rFonts w:hint="eastAsia"/>
              </w:rPr>
              <w:t>1787</w:t>
            </w:r>
          </w:p>
        </w:tc>
        <w:tc>
          <w:tcPr>
            <w:tcW w:w="756" w:type="dxa"/>
            <w:vAlign w:val="bottom"/>
          </w:tcPr>
          <w:p w14:paraId="4759AEB7" w14:textId="77777777" w:rsidR="002B733E" w:rsidRPr="00FD50F6" w:rsidRDefault="002B733E" w:rsidP="002B733E">
            <w:pPr>
              <w:pStyle w:val="7"/>
            </w:pPr>
            <w:r w:rsidRPr="00FD50F6">
              <w:rPr>
                <w:rFonts w:hint="eastAsia"/>
              </w:rPr>
              <w:t>1009</w:t>
            </w:r>
          </w:p>
        </w:tc>
        <w:tc>
          <w:tcPr>
            <w:tcW w:w="756" w:type="dxa"/>
            <w:vAlign w:val="bottom"/>
          </w:tcPr>
          <w:p w14:paraId="569087DB" w14:textId="77777777" w:rsidR="002B733E" w:rsidRPr="00FD50F6" w:rsidRDefault="002B733E" w:rsidP="002B733E">
            <w:pPr>
              <w:pStyle w:val="7"/>
            </w:pPr>
            <w:r w:rsidRPr="00FD50F6">
              <w:rPr>
                <w:rFonts w:hint="eastAsia"/>
              </w:rPr>
              <w:t>1010</w:t>
            </w:r>
          </w:p>
        </w:tc>
        <w:tc>
          <w:tcPr>
            <w:tcW w:w="756" w:type="dxa"/>
            <w:vAlign w:val="center"/>
          </w:tcPr>
          <w:p w14:paraId="01B8D38D" w14:textId="77777777" w:rsidR="002B733E" w:rsidRPr="00FD50F6" w:rsidRDefault="002B733E" w:rsidP="002B733E">
            <w:pPr>
              <w:pStyle w:val="7"/>
            </w:pPr>
            <w:r w:rsidRPr="00FD50F6">
              <w:rPr>
                <w:rFonts w:hint="eastAsia"/>
              </w:rPr>
              <w:t>790</w:t>
            </w:r>
          </w:p>
        </w:tc>
        <w:tc>
          <w:tcPr>
            <w:tcW w:w="756" w:type="dxa"/>
            <w:vAlign w:val="center"/>
          </w:tcPr>
          <w:p w14:paraId="2A98666C" w14:textId="77777777" w:rsidR="002B733E" w:rsidRPr="00FD50F6" w:rsidRDefault="002B733E" w:rsidP="002B733E">
            <w:pPr>
              <w:pStyle w:val="7"/>
            </w:pPr>
            <w:r w:rsidRPr="00FD50F6">
              <w:rPr>
                <w:rFonts w:hint="eastAsia"/>
              </w:rPr>
              <w:t>541</w:t>
            </w:r>
          </w:p>
        </w:tc>
        <w:tc>
          <w:tcPr>
            <w:tcW w:w="756" w:type="dxa"/>
            <w:vAlign w:val="center"/>
          </w:tcPr>
          <w:p w14:paraId="339DF86E" w14:textId="77777777" w:rsidR="002B733E" w:rsidRPr="00FD50F6" w:rsidRDefault="002B733E" w:rsidP="002B733E">
            <w:pPr>
              <w:pStyle w:val="7"/>
            </w:pPr>
            <w:r w:rsidRPr="00FD50F6">
              <w:rPr>
                <w:rFonts w:hint="eastAsia"/>
              </w:rPr>
              <w:t>541</w:t>
            </w:r>
          </w:p>
        </w:tc>
        <w:tc>
          <w:tcPr>
            <w:tcW w:w="756" w:type="dxa"/>
            <w:vAlign w:val="center"/>
          </w:tcPr>
          <w:p w14:paraId="4E507179" w14:textId="77777777" w:rsidR="002B733E" w:rsidRPr="00FD50F6" w:rsidRDefault="002B733E" w:rsidP="002B733E">
            <w:pPr>
              <w:pStyle w:val="7"/>
            </w:pPr>
            <w:r w:rsidRPr="00FD50F6">
              <w:rPr>
                <w:rFonts w:hint="eastAsia"/>
              </w:rPr>
              <w:t>200</w:t>
            </w:r>
          </w:p>
        </w:tc>
        <w:tc>
          <w:tcPr>
            <w:tcW w:w="756" w:type="dxa"/>
            <w:vAlign w:val="center"/>
          </w:tcPr>
          <w:p w14:paraId="7F1DFCCE" w14:textId="77777777" w:rsidR="002B733E" w:rsidRPr="00FD50F6" w:rsidRDefault="002B733E" w:rsidP="002B733E">
            <w:pPr>
              <w:pStyle w:val="7"/>
            </w:pPr>
            <w:r w:rsidRPr="00FD50F6">
              <w:rPr>
                <w:rFonts w:hint="eastAsia"/>
              </w:rPr>
              <w:t>200</w:t>
            </w:r>
          </w:p>
        </w:tc>
        <w:tc>
          <w:tcPr>
            <w:tcW w:w="756" w:type="dxa"/>
            <w:vAlign w:val="center"/>
          </w:tcPr>
          <w:p w14:paraId="3C786079" w14:textId="77777777" w:rsidR="002B733E" w:rsidRPr="00FD50F6" w:rsidRDefault="002B733E" w:rsidP="002B733E">
            <w:pPr>
              <w:pStyle w:val="7"/>
            </w:pPr>
            <w:r w:rsidRPr="00FD50F6">
              <w:rPr>
                <w:rFonts w:hint="eastAsia"/>
              </w:rPr>
              <w:t>27</w:t>
            </w:r>
          </w:p>
        </w:tc>
        <w:tc>
          <w:tcPr>
            <w:tcW w:w="756" w:type="dxa"/>
            <w:vAlign w:val="center"/>
          </w:tcPr>
          <w:p w14:paraId="7119E2B0" w14:textId="77777777" w:rsidR="002B733E" w:rsidRPr="00FD50F6" w:rsidRDefault="002B733E" w:rsidP="002B733E">
            <w:pPr>
              <w:pStyle w:val="7"/>
            </w:pPr>
            <w:r w:rsidRPr="00FD50F6">
              <w:rPr>
                <w:rFonts w:hint="eastAsia"/>
              </w:rPr>
              <w:t>47</w:t>
            </w:r>
          </w:p>
        </w:tc>
      </w:tr>
      <w:tr w:rsidR="00FD50F6" w:rsidRPr="00FD50F6" w14:paraId="68E675D7" w14:textId="77777777" w:rsidTr="002B733E">
        <w:trPr>
          <w:trHeight w:val="397"/>
        </w:trPr>
        <w:tc>
          <w:tcPr>
            <w:tcW w:w="701" w:type="dxa"/>
            <w:vAlign w:val="center"/>
          </w:tcPr>
          <w:p w14:paraId="54E9CA23" w14:textId="77777777" w:rsidR="002B733E" w:rsidRPr="00FD50F6" w:rsidRDefault="002B733E" w:rsidP="002B733E">
            <w:pPr>
              <w:pStyle w:val="7"/>
            </w:pPr>
            <w:r w:rsidRPr="00FD50F6">
              <w:rPr>
                <w:rFonts w:hint="eastAsia"/>
              </w:rPr>
              <w:t>点号</w:t>
            </w:r>
          </w:p>
        </w:tc>
        <w:tc>
          <w:tcPr>
            <w:tcW w:w="756" w:type="dxa"/>
            <w:vAlign w:val="center"/>
          </w:tcPr>
          <w:p w14:paraId="27FC78FB" w14:textId="77777777" w:rsidR="002B733E" w:rsidRPr="00FD50F6" w:rsidRDefault="002B733E" w:rsidP="002B733E">
            <w:pPr>
              <w:pStyle w:val="7"/>
            </w:pPr>
            <w:r w:rsidRPr="00FD50F6">
              <w:rPr>
                <w:rFonts w:hint="eastAsia"/>
              </w:rPr>
              <w:t>12d</w:t>
            </w:r>
            <w:r w:rsidRPr="00FD50F6">
              <w:rPr>
                <w:rFonts w:hint="eastAsia"/>
              </w:rPr>
              <w:t>’</w:t>
            </w:r>
          </w:p>
        </w:tc>
        <w:tc>
          <w:tcPr>
            <w:tcW w:w="756" w:type="dxa"/>
            <w:vAlign w:val="center"/>
          </w:tcPr>
          <w:p w14:paraId="1BBA0DFA" w14:textId="77777777" w:rsidR="002B733E" w:rsidRPr="00FD50F6" w:rsidRDefault="002B733E" w:rsidP="002B733E">
            <w:pPr>
              <w:pStyle w:val="7"/>
            </w:pPr>
            <w:r w:rsidRPr="00FD50F6">
              <w:rPr>
                <w:rFonts w:hint="eastAsia"/>
              </w:rPr>
              <w:t>13</w:t>
            </w:r>
            <w:r w:rsidRPr="00FD50F6">
              <w:rPr>
                <w:rFonts w:hint="eastAsia"/>
              </w:rPr>
              <w:t>’</w:t>
            </w:r>
          </w:p>
        </w:tc>
        <w:tc>
          <w:tcPr>
            <w:tcW w:w="756" w:type="dxa"/>
            <w:vAlign w:val="center"/>
          </w:tcPr>
          <w:p w14:paraId="4BB6ECA9" w14:textId="77777777" w:rsidR="002B733E" w:rsidRPr="00FD50F6" w:rsidRDefault="002B733E" w:rsidP="002B733E">
            <w:pPr>
              <w:pStyle w:val="7"/>
            </w:pPr>
            <w:r w:rsidRPr="00FD50F6">
              <w:rPr>
                <w:rFonts w:hint="eastAsia"/>
              </w:rPr>
              <w:t>14</w:t>
            </w:r>
            <w:r w:rsidRPr="00FD50F6">
              <w:rPr>
                <w:rFonts w:hint="eastAsia"/>
              </w:rPr>
              <w:t>’</w:t>
            </w:r>
          </w:p>
        </w:tc>
        <w:tc>
          <w:tcPr>
            <w:tcW w:w="756" w:type="dxa"/>
            <w:vAlign w:val="center"/>
          </w:tcPr>
          <w:p w14:paraId="43A1FC1E" w14:textId="77777777" w:rsidR="002B733E" w:rsidRPr="00FD50F6" w:rsidRDefault="002B733E" w:rsidP="002B733E">
            <w:pPr>
              <w:pStyle w:val="7"/>
            </w:pPr>
            <w:r w:rsidRPr="00FD50F6">
              <w:rPr>
                <w:rFonts w:hint="eastAsia"/>
              </w:rPr>
              <w:t>15</w:t>
            </w:r>
            <w:r w:rsidRPr="00FD50F6">
              <w:rPr>
                <w:rFonts w:hint="eastAsia"/>
              </w:rPr>
              <w:t>’</w:t>
            </w:r>
          </w:p>
        </w:tc>
        <w:tc>
          <w:tcPr>
            <w:tcW w:w="756" w:type="dxa"/>
            <w:vAlign w:val="center"/>
          </w:tcPr>
          <w:p w14:paraId="3851D3E1" w14:textId="77777777" w:rsidR="002B733E" w:rsidRPr="00FD50F6" w:rsidRDefault="002B733E" w:rsidP="002B733E">
            <w:pPr>
              <w:pStyle w:val="7"/>
            </w:pPr>
            <w:r w:rsidRPr="00FD50F6">
              <w:rPr>
                <w:rFonts w:hint="eastAsia"/>
              </w:rPr>
              <w:t>16</w:t>
            </w:r>
            <w:r w:rsidRPr="00FD50F6">
              <w:rPr>
                <w:rFonts w:hint="eastAsia"/>
              </w:rPr>
              <w:t>’</w:t>
            </w:r>
          </w:p>
        </w:tc>
        <w:tc>
          <w:tcPr>
            <w:tcW w:w="756" w:type="dxa"/>
            <w:vAlign w:val="center"/>
          </w:tcPr>
          <w:p w14:paraId="363A356E" w14:textId="77777777" w:rsidR="002B733E" w:rsidRPr="00FD50F6" w:rsidRDefault="002B733E" w:rsidP="002B733E">
            <w:pPr>
              <w:pStyle w:val="7"/>
            </w:pPr>
            <w:r w:rsidRPr="00FD50F6">
              <w:rPr>
                <w:rFonts w:hint="eastAsia"/>
              </w:rPr>
              <w:t>17</w:t>
            </w:r>
            <w:r w:rsidRPr="00FD50F6">
              <w:rPr>
                <w:rFonts w:hint="eastAsia"/>
              </w:rPr>
              <w:t>’</w:t>
            </w:r>
          </w:p>
        </w:tc>
        <w:tc>
          <w:tcPr>
            <w:tcW w:w="756" w:type="dxa"/>
            <w:vAlign w:val="center"/>
          </w:tcPr>
          <w:p w14:paraId="72209CDE" w14:textId="77777777" w:rsidR="002B733E" w:rsidRPr="00FD50F6" w:rsidRDefault="002B733E" w:rsidP="002B733E">
            <w:pPr>
              <w:pStyle w:val="7"/>
            </w:pPr>
            <w:r w:rsidRPr="00FD50F6">
              <w:rPr>
                <w:rFonts w:hint="eastAsia"/>
              </w:rPr>
              <w:t>18</w:t>
            </w:r>
            <w:r w:rsidRPr="00FD50F6">
              <w:rPr>
                <w:rFonts w:hint="eastAsia"/>
              </w:rPr>
              <w:t>’</w:t>
            </w:r>
          </w:p>
        </w:tc>
        <w:tc>
          <w:tcPr>
            <w:tcW w:w="756" w:type="dxa"/>
            <w:vAlign w:val="center"/>
          </w:tcPr>
          <w:p w14:paraId="682EDDAB" w14:textId="77777777" w:rsidR="002B733E" w:rsidRPr="00FD50F6" w:rsidRDefault="002B733E" w:rsidP="002B733E">
            <w:pPr>
              <w:pStyle w:val="7"/>
            </w:pPr>
            <w:r w:rsidRPr="00FD50F6">
              <w:rPr>
                <w:rFonts w:hint="eastAsia"/>
              </w:rPr>
              <w:t>19</w:t>
            </w:r>
            <w:r w:rsidRPr="00FD50F6">
              <w:rPr>
                <w:rFonts w:hint="eastAsia"/>
              </w:rPr>
              <w:t>’</w:t>
            </w:r>
          </w:p>
        </w:tc>
        <w:tc>
          <w:tcPr>
            <w:tcW w:w="756" w:type="dxa"/>
            <w:vAlign w:val="center"/>
          </w:tcPr>
          <w:p w14:paraId="68FACE0C" w14:textId="77777777" w:rsidR="002B733E" w:rsidRPr="00FD50F6" w:rsidRDefault="002B733E" w:rsidP="002B733E">
            <w:pPr>
              <w:pStyle w:val="7"/>
            </w:pPr>
            <w:r w:rsidRPr="00FD50F6">
              <w:rPr>
                <w:rFonts w:hint="eastAsia"/>
              </w:rPr>
              <w:t>20</w:t>
            </w:r>
            <w:r w:rsidRPr="00FD50F6">
              <w:rPr>
                <w:rFonts w:hint="eastAsia"/>
              </w:rPr>
              <w:t>’</w:t>
            </w:r>
          </w:p>
        </w:tc>
        <w:tc>
          <w:tcPr>
            <w:tcW w:w="756" w:type="dxa"/>
            <w:vAlign w:val="center"/>
          </w:tcPr>
          <w:p w14:paraId="78BF95E5" w14:textId="77777777" w:rsidR="002B733E" w:rsidRPr="00FD50F6" w:rsidRDefault="002B733E" w:rsidP="002B733E">
            <w:pPr>
              <w:pStyle w:val="7"/>
            </w:pPr>
            <w:r w:rsidRPr="00FD50F6">
              <w:rPr>
                <w:rFonts w:hint="eastAsia"/>
              </w:rPr>
              <w:t>—</w:t>
            </w:r>
          </w:p>
        </w:tc>
      </w:tr>
      <w:tr w:rsidR="00FD50F6" w:rsidRPr="00FD50F6" w14:paraId="43B47A87" w14:textId="77777777" w:rsidTr="002B733E">
        <w:trPr>
          <w:trHeight w:val="397"/>
        </w:trPr>
        <w:tc>
          <w:tcPr>
            <w:tcW w:w="701" w:type="dxa"/>
            <w:vAlign w:val="center"/>
          </w:tcPr>
          <w:p w14:paraId="6C43987D" w14:textId="77777777" w:rsidR="002B733E" w:rsidRPr="00FD50F6" w:rsidRDefault="002B733E" w:rsidP="002B733E">
            <w:pPr>
              <w:pStyle w:val="7"/>
            </w:pPr>
            <w:r w:rsidRPr="00FD50F6">
              <w:rPr>
                <w:rFonts w:hint="eastAsia"/>
              </w:rPr>
              <w:t>X</w:t>
            </w:r>
          </w:p>
        </w:tc>
        <w:tc>
          <w:tcPr>
            <w:tcW w:w="756" w:type="dxa"/>
            <w:vAlign w:val="center"/>
          </w:tcPr>
          <w:p w14:paraId="783DD603" w14:textId="77777777" w:rsidR="002B733E" w:rsidRPr="00FD50F6" w:rsidRDefault="002B733E" w:rsidP="002B733E">
            <w:pPr>
              <w:pStyle w:val="7"/>
            </w:pPr>
            <w:r w:rsidRPr="00FD50F6">
              <w:rPr>
                <w:rFonts w:hint="eastAsia"/>
              </w:rPr>
              <w:t>1029</w:t>
            </w:r>
          </w:p>
        </w:tc>
        <w:tc>
          <w:tcPr>
            <w:tcW w:w="756" w:type="dxa"/>
            <w:vAlign w:val="center"/>
          </w:tcPr>
          <w:p w14:paraId="774832CA" w14:textId="77777777" w:rsidR="002B733E" w:rsidRPr="00FD50F6" w:rsidRDefault="002B733E" w:rsidP="002B733E">
            <w:pPr>
              <w:pStyle w:val="7"/>
            </w:pPr>
            <w:r w:rsidRPr="00FD50F6">
              <w:rPr>
                <w:rFonts w:hint="eastAsia"/>
              </w:rPr>
              <w:t>1029</w:t>
            </w:r>
          </w:p>
        </w:tc>
        <w:tc>
          <w:tcPr>
            <w:tcW w:w="756" w:type="dxa"/>
            <w:vAlign w:val="center"/>
          </w:tcPr>
          <w:p w14:paraId="27D15968" w14:textId="77777777" w:rsidR="002B733E" w:rsidRPr="00FD50F6" w:rsidRDefault="002B733E" w:rsidP="002B733E">
            <w:pPr>
              <w:pStyle w:val="7"/>
            </w:pPr>
            <w:r w:rsidRPr="00FD50F6">
              <w:rPr>
                <w:rFonts w:hint="eastAsia"/>
              </w:rPr>
              <w:t>836</w:t>
            </w:r>
          </w:p>
        </w:tc>
        <w:tc>
          <w:tcPr>
            <w:tcW w:w="756" w:type="dxa"/>
            <w:vAlign w:val="center"/>
          </w:tcPr>
          <w:p w14:paraId="255FC585" w14:textId="77777777" w:rsidR="002B733E" w:rsidRPr="00FD50F6" w:rsidRDefault="002B733E" w:rsidP="002B733E">
            <w:pPr>
              <w:pStyle w:val="7"/>
            </w:pPr>
            <w:r w:rsidRPr="00FD50F6">
              <w:rPr>
                <w:rFonts w:hint="eastAsia"/>
              </w:rPr>
              <w:t>836</w:t>
            </w:r>
          </w:p>
        </w:tc>
        <w:tc>
          <w:tcPr>
            <w:tcW w:w="756" w:type="dxa"/>
            <w:vAlign w:val="center"/>
          </w:tcPr>
          <w:p w14:paraId="662957E1" w14:textId="77777777" w:rsidR="002B733E" w:rsidRPr="00FD50F6" w:rsidRDefault="002B733E" w:rsidP="002B733E">
            <w:pPr>
              <w:pStyle w:val="7"/>
            </w:pPr>
            <w:r w:rsidRPr="00FD50F6">
              <w:rPr>
                <w:rFonts w:hint="eastAsia"/>
              </w:rPr>
              <w:t>733</w:t>
            </w:r>
          </w:p>
        </w:tc>
        <w:tc>
          <w:tcPr>
            <w:tcW w:w="756" w:type="dxa"/>
            <w:vAlign w:val="center"/>
          </w:tcPr>
          <w:p w14:paraId="5B1D4766" w14:textId="77777777" w:rsidR="002B733E" w:rsidRPr="00FD50F6" w:rsidRDefault="002B733E" w:rsidP="002B733E">
            <w:pPr>
              <w:pStyle w:val="7"/>
            </w:pPr>
            <w:r w:rsidRPr="00FD50F6">
              <w:rPr>
                <w:rFonts w:hint="eastAsia"/>
              </w:rPr>
              <w:t>733</w:t>
            </w:r>
          </w:p>
        </w:tc>
        <w:tc>
          <w:tcPr>
            <w:tcW w:w="756" w:type="dxa"/>
            <w:vAlign w:val="center"/>
          </w:tcPr>
          <w:p w14:paraId="0D490D24" w14:textId="77777777" w:rsidR="002B733E" w:rsidRPr="00FD50F6" w:rsidRDefault="002B733E" w:rsidP="002B733E">
            <w:pPr>
              <w:pStyle w:val="7"/>
            </w:pPr>
            <w:r w:rsidRPr="00FD50F6">
              <w:rPr>
                <w:rFonts w:hint="eastAsia"/>
              </w:rPr>
              <w:t>652</w:t>
            </w:r>
          </w:p>
        </w:tc>
        <w:tc>
          <w:tcPr>
            <w:tcW w:w="756" w:type="dxa"/>
            <w:vAlign w:val="center"/>
          </w:tcPr>
          <w:p w14:paraId="4689E5EF" w14:textId="77777777" w:rsidR="002B733E" w:rsidRPr="00FD50F6" w:rsidRDefault="002B733E" w:rsidP="002B733E">
            <w:pPr>
              <w:pStyle w:val="7"/>
            </w:pPr>
            <w:r w:rsidRPr="00FD50F6">
              <w:rPr>
                <w:rFonts w:hint="eastAsia"/>
              </w:rPr>
              <w:t>652</w:t>
            </w:r>
          </w:p>
        </w:tc>
        <w:tc>
          <w:tcPr>
            <w:tcW w:w="756" w:type="dxa"/>
            <w:vAlign w:val="center"/>
          </w:tcPr>
          <w:p w14:paraId="3346E315" w14:textId="77777777" w:rsidR="002B733E" w:rsidRPr="00FD50F6" w:rsidRDefault="002B733E" w:rsidP="002B733E">
            <w:pPr>
              <w:pStyle w:val="7"/>
            </w:pPr>
            <w:r w:rsidRPr="00FD50F6">
              <w:rPr>
                <w:rFonts w:hint="eastAsia"/>
              </w:rPr>
              <w:t>0</w:t>
            </w:r>
          </w:p>
        </w:tc>
        <w:tc>
          <w:tcPr>
            <w:tcW w:w="756" w:type="dxa"/>
            <w:vAlign w:val="center"/>
          </w:tcPr>
          <w:p w14:paraId="41826DA0" w14:textId="77777777" w:rsidR="002B733E" w:rsidRPr="00FD50F6" w:rsidRDefault="002B733E" w:rsidP="002B733E">
            <w:pPr>
              <w:pStyle w:val="7"/>
            </w:pPr>
            <w:r w:rsidRPr="00FD50F6">
              <w:rPr>
                <w:rFonts w:hint="eastAsia"/>
              </w:rPr>
              <w:t>—</w:t>
            </w:r>
          </w:p>
        </w:tc>
      </w:tr>
      <w:tr w:rsidR="00FD50F6" w:rsidRPr="00FD50F6" w14:paraId="09720E8E" w14:textId="77777777" w:rsidTr="002B733E">
        <w:trPr>
          <w:trHeight w:val="397"/>
        </w:trPr>
        <w:tc>
          <w:tcPr>
            <w:tcW w:w="701" w:type="dxa"/>
            <w:vAlign w:val="center"/>
          </w:tcPr>
          <w:p w14:paraId="7DCD59FE" w14:textId="77777777" w:rsidR="002B733E" w:rsidRPr="00FD50F6" w:rsidRDefault="002B733E" w:rsidP="002B733E">
            <w:pPr>
              <w:pStyle w:val="7"/>
            </w:pPr>
            <w:r w:rsidRPr="00FD50F6">
              <w:rPr>
                <w:rFonts w:hint="eastAsia"/>
              </w:rPr>
              <w:t>Y</w:t>
            </w:r>
          </w:p>
        </w:tc>
        <w:tc>
          <w:tcPr>
            <w:tcW w:w="756" w:type="dxa"/>
            <w:vAlign w:val="center"/>
          </w:tcPr>
          <w:p w14:paraId="4A025404" w14:textId="77777777" w:rsidR="002B733E" w:rsidRPr="00FD50F6" w:rsidRDefault="002B733E" w:rsidP="002B733E">
            <w:pPr>
              <w:pStyle w:val="7"/>
            </w:pPr>
            <w:r w:rsidRPr="00FD50F6">
              <w:rPr>
                <w:rFonts w:hint="eastAsia"/>
              </w:rPr>
              <w:t>64</w:t>
            </w:r>
          </w:p>
        </w:tc>
        <w:tc>
          <w:tcPr>
            <w:tcW w:w="756" w:type="dxa"/>
            <w:vAlign w:val="center"/>
          </w:tcPr>
          <w:p w14:paraId="565E0946" w14:textId="77777777" w:rsidR="002B733E" w:rsidRPr="00FD50F6" w:rsidRDefault="002B733E" w:rsidP="002B733E">
            <w:pPr>
              <w:pStyle w:val="7"/>
            </w:pPr>
            <w:r w:rsidRPr="00FD50F6">
              <w:rPr>
                <w:rFonts w:hint="eastAsia"/>
              </w:rPr>
              <w:t>37</w:t>
            </w:r>
          </w:p>
        </w:tc>
        <w:tc>
          <w:tcPr>
            <w:tcW w:w="756" w:type="dxa"/>
            <w:vAlign w:val="center"/>
          </w:tcPr>
          <w:p w14:paraId="7096AAE1" w14:textId="77777777" w:rsidR="002B733E" w:rsidRPr="00FD50F6" w:rsidRDefault="002B733E" w:rsidP="002B733E">
            <w:pPr>
              <w:pStyle w:val="7"/>
            </w:pPr>
            <w:r w:rsidRPr="00FD50F6">
              <w:rPr>
                <w:rFonts w:hint="eastAsia"/>
              </w:rPr>
              <w:t>37</w:t>
            </w:r>
          </w:p>
        </w:tc>
        <w:tc>
          <w:tcPr>
            <w:tcW w:w="756" w:type="dxa"/>
            <w:vAlign w:val="center"/>
          </w:tcPr>
          <w:p w14:paraId="5F265B85" w14:textId="77777777" w:rsidR="002B733E" w:rsidRPr="00FD50F6" w:rsidRDefault="002B733E" w:rsidP="002B733E">
            <w:pPr>
              <w:pStyle w:val="7"/>
            </w:pPr>
            <w:r w:rsidRPr="00FD50F6">
              <w:rPr>
                <w:rFonts w:hint="eastAsia"/>
              </w:rPr>
              <w:t>-15</w:t>
            </w:r>
          </w:p>
        </w:tc>
        <w:tc>
          <w:tcPr>
            <w:tcW w:w="756" w:type="dxa"/>
            <w:vAlign w:val="center"/>
          </w:tcPr>
          <w:p w14:paraId="5D91D8CD" w14:textId="77777777" w:rsidR="002B733E" w:rsidRPr="00FD50F6" w:rsidRDefault="002B733E" w:rsidP="002B733E">
            <w:pPr>
              <w:pStyle w:val="7"/>
            </w:pPr>
            <w:r w:rsidRPr="00FD50F6">
              <w:rPr>
                <w:rFonts w:hint="eastAsia"/>
              </w:rPr>
              <w:t>-15</w:t>
            </w:r>
          </w:p>
        </w:tc>
        <w:tc>
          <w:tcPr>
            <w:tcW w:w="756" w:type="dxa"/>
            <w:vAlign w:val="center"/>
          </w:tcPr>
          <w:p w14:paraId="3F37285C" w14:textId="77777777" w:rsidR="002B733E" w:rsidRPr="00FD50F6" w:rsidRDefault="002B733E" w:rsidP="002B733E">
            <w:pPr>
              <w:pStyle w:val="7"/>
            </w:pPr>
            <w:r w:rsidRPr="00FD50F6">
              <w:rPr>
                <w:rFonts w:hint="eastAsia"/>
              </w:rPr>
              <w:t>-44</w:t>
            </w:r>
          </w:p>
        </w:tc>
        <w:tc>
          <w:tcPr>
            <w:tcW w:w="756" w:type="dxa"/>
            <w:vAlign w:val="center"/>
          </w:tcPr>
          <w:p w14:paraId="42141CE0" w14:textId="77777777" w:rsidR="002B733E" w:rsidRPr="00FD50F6" w:rsidRDefault="002B733E" w:rsidP="002B733E">
            <w:pPr>
              <w:pStyle w:val="7"/>
            </w:pPr>
            <w:r w:rsidRPr="00FD50F6">
              <w:rPr>
                <w:rFonts w:hint="eastAsia"/>
              </w:rPr>
              <w:t>-44</w:t>
            </w:r>
          </w:p>
        </w:tc>
        <w:tc>
          <w:tcPr>
            <w:tcW w:w="756" w:type="dxa"/>
            <w:vAlign w:val="center"/>
          </w:tcPr>
          <w:p w14:paraId="18A493D8" w14:textId="77777777" w:rsidR="002B733E" w:rsidRPr="00FD50F6" w:rsidRDefault="002B733E" w:rsidP="002B733E">
            <w:pPr>
              <w:pStyle w:val="7"/>
            </w:pPr>
            <w:r w:rsidRPr="00FD50F6">
              <w:rPr>
                <w:rFonts w:hint="eastAsia"/>
              </w:rPr>
              <w:t>38</w:t>
            </w:r>
          </w:p>
        </w:tc>
        <w:tc>
          <w:tcPr>
            <w:tcW w:w="756" w:type="dxa"/>
            <w:vAlign w:val="center"/>
          </w:tcPr>
          <w:p w14:paraId="7CC89078" w14:textId="77777777" w:rsidR="002B733E" w:rsidRPr="00FD50F6" w:rsidRDefault="002B733E" w:rsidP="002B733E">
            <w:pPr>
              <w:pStyle w:val="7"/>
            </w:pPr>
            <w:r w:rsidRPr="00FD50F6">
              <w:rPr>
                <w:rFonts w:hint="eastAsia"/>
              </w:rPr>
              <w:t>38</w:t>
            </w:r>
          </w:p>
        </w:tc>
        <w:tc>
          <w:tcPr>
            <w:tcW w:w="756" w:type="dxa"/>
            <w:vAlign w:val="center"/>
          </w:tcPr>
          <w:p w14:paraId="355B44FB" w14:textId="77777777" w:rsidR="002B733E" w:rsidRPr="00FD50F6" w:rsidRDefault="002B733E" w:rsidP="002B733E">
            <w:pPr>
              <w:pStyle w:val="7"/>
            </w:pPr>
            <w:r w:rsidRPr="00FD50F6">
              <w:rPr>
                <w:rFonts w:hint="eastAsia"/>
              </w:rPr>
              <w:t>—</w:t>
            </w:r>
          </w:p>
        </w:tc>
      </w:tr>
    </w:tbl>
    <w:p w14:paraId="77A507FE" w14:textId="77777777" w:rsidR="002B733E" w:rsidRPr="00FD50F6" w:rsidRDefault="002B733E" w:rsidP="002B733E">
      <w:pPr>
        <w:widowControl/>
        <w:tabs>
          <w:tab w:val="left" w:pos="0"/>
        </w:tabs>
        <w:spacing w:before="240" w:after="120" w:line="240" w:lineRule="auto"/>
        <w:jc w:val="center"/>
        <w:outlineLvl w:val="0"/>
        <w:rPr>
          <w:rFonts w:ascii="Calibri" w:hAnsi="Calibri" w:cs="Times New Roman"/>
          <w:kern w:val="0"/>
          <w:szCs w:val="24"/>
        </w:rPr>
        <w:sectPr w:rsidR="002B733E" w:rsidRPr="00FD50F6">
          <w:pgSz w:w="11906" w:h="16838"/>
          <w:pgMar w:top="1440" w:right="1797" w:bottom="1440" w:left="1797" w:header="851" w:footer="992" w:gutter="0"/>
          <w:cols w:space="720"/>
          <w:docGrid w:linePitch="312"/>
        </w:sectPr>
      </w:pPr>
    </w:p>
    <w:p w14:paraId="11309423" w14:textId="77777777" w:rsidR="002B733E" w:rsidRPr="00FD50F6" w:rsidRDefault="002B733E" w:rsidP="002B733E">
      <w:pPr>
        <w:pStyle w:val="12"/>
        <w:numPr>
          <w:ilvl w:val="0"/>
          <w:numId w:val="0"/>
        </w:numPr>
      </w:pPr>
      <w:bookmarkStart w:id="1388" w:name="_Toc489216830"/>
      <w:bookmarkStart w:id="1389" w:name="_Toc464482437"/>
      <w:bookmarkStart w:id="1390" w:name="_Toc467785958"/>
      <w:bookmarkStart w:id="1391" w:name="_Toc465325498"/>
      <w:bookmarkStart w:id="1392" w:name="_Toc464482709"/>
      <w:bookmarkStart w:id="1393" w:name="_Toc465346336"/>
      <w:bookmarkStart w:id="1394" w:name="_Toc491875539"/>
      <w:bookmarkStart w:id="1395" w:name="_Toc535865485"/>
      <w:bookmarkStart w:id="1396" w:name="_Toc469903350"/>
      <w:bookmarkStart w:id="1397" w:name="_Toc535866750"/>
      <w:bookmarkStart w:id="1398" w:name="_Toc112830903"/>
      <w:r w:rsidRPr="00FD50F6">
        <w:rPr>
          <w:rFonts w:hint="eastAsia"/>
        </w:rPr>
        <w:lastRenderedPageBreak/>
        <w:t>附录</w:t>
      </w:r>
      <w:r w:rsidRPr="00FD50F6">
        <w:rPr>
          <w:rFonts w:hint="eastAsia"/>
        </w:rPr>
        <w:t>E</w:t>
      </w:r>
      <w:r w:rsidRPr="00FD50F6">
        <w:rPr>
          <w:sz w:val="32"/>
          <w:szCs w:val="20"/>
        </w:rPr>
        <w:t xml:space="preserve">  </w:t>
      </w:r>
      <w:r w:rsidRPr="00FD50F6">
        <w:t>B</w:t>
      </w:r>
      <w:r w:rsidRPr="00FD50F6">
        <w:rPr>
          <w:vertAlign w:val="subscript"/>
        </w:rPr>
        <w:t>2</w:t>
      </w:r>
      <w:r w:rsidRPr="00FD50F6">
        <w:rPr>
          <w:rFonts w:hint="eastAsia"/>
        </w:rPr>
        <w:t>型车限界</w:t>
      </w:r>
      <w:bookmarkEnd w:id="1373"/>
      <w:bookmarkEnd w:id="1374"/>
      <w:bookmarkEnd w:id="1375"/>
      <w:bookmarkEnd w:id="1376"/>
      <w:bookmarkEnd w:id="1388"/>
      <w:bookmarkEnd w:id="1389"/>
      <w:bookmarkEnd w:id="1390"/>
      <w:bookmarkEnd w:id="1391"/>
      <w:bookmarkEnd w:id="1392"/>
      <w:bookmarkEnd w:id="1393"/>
      <w:bookmarkEnd w:id="1394"/>
      <w:bookmarkEnd w:id="1395"/>
      <w:bookmarkEnd w:id="1396"/>
      <w:bookmarkEnd w:id="1397"/>
      <w:bookmarkEnd w:id="1398"/>
    </w:p>
    <w:p w14:paraId="0FAFB5BF" w14:textId="77777777" w:rsidR="002B733E" w:rsidRPr="00FD50F6" w:rsidRDefault="002B733E" w:rsidP="002B733E">
      <w:pPr>
        <w:pStyle w:val="30"/>
        <w:numPr>
          <w:ilvl w:val="0"/>
          <w:numId w:val="0"/>
        </w:numPr>
      </w:pPr>
      <w:r w:rsidRPr="00FD50F6">
        <w:rPr>
          <w:rFonts w:hint="eastAsia"/>
          <w:b/>
        </w:rPr>
        <w:t>E</w:t>
      </w:r>
      <w:r w:rsidRPr="00FD50F6">
        <w:rPr>
          <w:b/>
        </w:rPr>
        <w:t>.</w:t>
      </w:r>
      <w:r w:rsidRPr="00FD50F6">
        <w:rPr>
          <w:rFonts w:hint="eastAsia"/>
          <w:b/>
        </w:rPr>
        <w:t>0.</w:t>
      </w:r>
      <w:r w:rsidRPr="00FD50F6">
        <w:rPr>
          <w:b/>
        </w:rPr>
        <w:t>1</w:t>
      </w:r>
      <w:r w:rsidRPr="00FD50F6">
        <w:rPr>
          <w:rFonts w:hint="eastAsia"/>
        </w:rPr>
        <w:t>区间或过站直线地段车辆轮廓线、车辆限界、设备限界（图</w:t>
      </w:r>
      <w:r w:rsidRPr="00FD50F6">
        <w:t>E</w:t>
      </w:r>
      <w:r w:rsidRPr="00FD50F6">
        <w:rPr>
          <w:rFonts w:hint="eastAsia"/>
        </w:rPr>
        <w:t>.0.1</w:t>
      </w:r>
      <w:r w:rsidRPr="00FD50F6">
        <w:rPr>
          <w:rFonts w:hint="eastAsia"/>
        </w:rPr>
        <w:t>）的坐标值，应按表</w:t>
      </w:r>
      <w:r w:rsidRPr="00FD50F6">
        <w:t>E</w:t>
      </w:r>
      <w:r w:rsidRPr="00FD50F6">
        <w:rPr>
          <w:rFonts w:hint="eastAsia"/>
        </w:rPr>
        <w:t>.0.1-1</w:t>
      </w:r>
      <w:r w:rsidRPr="00FD50F6">
        <w:rPr>
          <w:rFonts w:hint="eastAsia"/>
        </w:rPr>
        <w:t>～</w:t>
      </w:r>
      <w:r w:rsidRPr="00FD50F6">
        <w:t>E</w:t>
      </w:r>
      <w:r w:rsidRPr="00FD50F6">
        <w:rPr>
          <w:rFonts w:hint="eastAsia"/>
        </w:rPr>
        <w:t>.0.1-</w:t>
      </w:r>
      <w:r w:rsidRPr="00FD50F6">
        <w:t>7</w:t>
      </w:r>
      <w:r w:rsidRPr="00FD50F6">
        <w:rPr>
          <w:rFonts w:hint="eastAsia"/>
        </w:rPr>
        <w:t>选取。</w:t>
      </w:r>
    </w:p>
    <w:p w14:paraId="62DC083F" w14:textId="77777777" w:rsidR="002B733E" w:rsidRPr="00FD50F6" w:rsidRDefault="002B733E" w:rsidP="002B733E">
      <w:pPr>
        <w:spacing w:line="240" w:lineRule="auto"/>
        <w:jc w:val="center"/>
        <w:rPr>
          <w:rFonts w:ascii="Calibri" w:hAnsi="Calibri" w:cs="Times New Roman"/>
          <w:szCs w:val="24"/>
        </w:rPr>
      </w:pPr>
      <w:r w:rsidRPr="00FD50F6">
        <w:rPr>
          <w:rFonts w:ascii="Calibri" w:hAnsi="Calibri" w:cs="Times New Roman"/>
          <w:noProof/>
          <w:szCs w:val="24"/>
        </w:rPr>
        <w:drawing>
          <wp:inline distT="0" distB="0" distL="0" distR="0" wp14:anchorId="7E870BCF" wp14:editId="1DDD096D">
            <wp:extent cx="4424680" cy="7155815"/>
            <wp:effectExtent l="0" t="0" r="0" b="6985"/>
            <wp:docPr id="54" name="图片 54"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2"/>
                    <pic:cNvPicPr>
                      <a:picLocks noChangeAspect="1" noChangeArrowheads="1"/>
                    </pic:cNvPicPr>
                  </pic:nvPicPr>
                  <pic:blipFill>
                    <a:blip r:embed="rId118">
                      <a:extLst>
                        <a:ext uri="{28A0092B-C50C-407E-A947-70E740481C1C}">
                          <a14:useLocalDpi xmlns:a14="http://schemas.microsoft.com/office/drawing/2010/main" val="0"/>
                        </a:ext>
                      </a:extLst>
                    </a:blip>
                    <a:srcRect l="31047" t="2557" r="27798" b="3325"/>
                    <a:stretch>
                      <a:fillRect/>
                    </a:stretch>
                  </pic:blipFill>
                  <pic:spPr>
                    <a:xfrm>
                      <a:off x="0" y="0"/>
                      <a:ext cx="4427563" cy="7160538"/>
                    </a:xfrm>
                    <a:prstGeom prst="rect">
                      <a:avLst/>
                    </a:prstGeom>
                    <a:noFill/>
                    <a:ln>
                      <a:noFill/>
                    </a:ln>
                  </pic:spPr>
                </pic:pic>
              </a:graphicData>
            </a:graphic>
          </wp:inline>
        </w:drawing>
      </w:r>
    </w:p>
    <w:p w14:paraId="2E354B01" w14:textId="77777777" w:rsidR="002B733E" w:rsidRPr="00FD50F6" w:rsidRDefault="002B733E" w:rsidP="002B733E">
      <w:pPr>
        <w:spacing w:line="240" w:lineRule="auto"/>
        <w:jc w:val="center"/>
        <w:rPr>
          <w:rFonts w:ascii="Calibri" w:eastAsia="黑体" w:hAnsi="Calibri" w:cs="Times New Roman"/>
          <w:sz w:val="21"/>
          <w:szCs w:val="24"/>
        </w:rPr>
      </w:pPr>
      <w:r w:rsidRPr="00FD50F6">
        <w:rPr>
          <w:rFonts w:ascii="Calibri" w:eastAsia="黑体" w:hAnsi="Calibri" w:cs="Times New Roman" w:hint="eastAsia"/>
          <w:sz w:val="21"/>
          <w:szCs w:val="24"/>
        </w:rPr>
        <w:t>图</w:t>
      </w:r>
      <w:r w:rsidRPr="00FD50F6">
        <w:rPr>
          <w:rFonts w:ascii="Calibri" w:eastAsia="黑体" w:hAnsi="Calibri" w:cs="Times New Roman" w:hint="eastAsia"/>
          <w:sz w:val="21"/>
          <w:szCs w:val="24"/>
        </w:rPr>
        <w:t>E</w:t>
      </w:r>
      <w:r w:rsidRPr="00FD50F6">
        <w:rPr>
          <w:rFonts w:ascii="Calibri" w:eastAsia="黑体" w:hAnsi="Calibri" w:cs="Times New Roman"/>
          <w:sz w:val="21"/>
          <w:szCs w:val="24"/>
        </w:rPr>
        <w:t>.</w:t>
      </w:r>
      <w:r w:rsidRPr="00FD50F6">
        <w:rPr>
          <w:rFonts w:ascii="Calibri" w:eastAsia="黑体" w:hAnsi="Calibri" w:cs="Times New Roman" w:hint="eastAsia"/>
          <w:sz w:val="21"/>
          <w:szCs w:val="24"/>
        </w:rPr>
        <w:t>0.</w:t>
      </w:r>
      <w:r w:rsidRPr="00FD50F6">
        <w:rPr>
          <w:rFonts w:ascii="Calibri" w:eastAsia="黑体" w:hAnsi="Calibri" w:cs="Times New Roman"/>
          <w:sz w:val="21"/>
          <w:szCs w:val="24"/>
        </w:rPr>
        <w:t xml:space="preserve">1  </w:t>
      </w:r>
      <w:r w:rsidRPr="00FD50F6">
        <w:rPr>
          <w:rFonts w:ascii="Calibri" w:eastAsia="黑体" w:hAnsi="Calibri" w:cs="Times New Roman" w:hint="eastAsia"/>
          <w:sz w:val="21"/>
          <w:szCs w:val="24"/>
        </w:rPr>
        <w:t>B</w:t>
      </w:r>
      <w:r w:rsidRPr="00FD50F6">
        <w:rPr>
          <w:rFonts w:ascii="Calibri" w:eastAsia="黑体" w:hAnsi="Calibri" w:cs="Times New Roman" w:hint="eastAsia"/>
          <w:sz w:val="21"/>
          <w:szCs w:val="24"/>
          <w:vertAlign w:val="subscript"/>
        </w:rPr>
        <w:t>2</w:t>
      </w:r>
      <w:r w:rsidRPr="00FD50F6">
        <w:rPr>
          <w:rFonts w:ascii="Calibri" w:eastAsia="黑体" w:hAnsi="Calibri" w:cs="Times New Roman" w:hint="eastAsia"/>
          <w:sz w:val="21"/>
          <w:szCs w:val="24"/>
        </w:rPr>
        <w:t>区间或过站直线地段车辆轮廓线、车辆限界和设备限界</w:t>
      </w:r>
    </w:p>
    <w:p w14:paraId="4D8B3157" w14:textId="77777777" w:rsidR="002B733E" w:rsidRPr="00FD50F6" w:rsidRDefault="002B733E" w:rsidP="002B733E">
      <w:pPr>
        <w:spacing w:line="240" w:lineRule="auto"/>
        <w:jc w:val="center"/>
        <w:rPr>
          <w:rFonts w:ascii="Calibri" w:eastAsia="黑体" w:hAnsi="Calibri" w:cs="Times New Roman"/>
          <w:sz w:val="21"/>
          <w:szCs w:val="24"/>
        </w:rPr>
        <w:sectPr w:rsidR="002B733E" w:rsidRPr="00FD50F6">
          <w:footerReference w:type="default" r:id="rId119"/>
          <w:pgSz w:w="11907" w:h="16839"/>
          <w:pgMar w:top="1440" w:right="1797" w:bottom="1440" w:left="1797" w:header="851" w:footer="992" w:gutter="0"/>
          <w:cols w:space="720"/>
          <w:docGrid w:linePitch="312" w:charSpace="-4301"/>
        </w:sectPr>
      </w:pPr>
      <w:r w:rsidRPr="00FD50F6">
        <w:rPr>
          <w:rFonts w:ascii="Calibri" w:hAnsi="Calibri" w:cs="Times New Roman" w:hint="eastAsia"/>
          <w:sz w:val="21"/>
          <w:szCs w:val="24"/>
        </w:rPr>
        <w:t>a</w:t>
      </w:r>
      <w:r w:rsidRPr="00FD50F6">
        <w:rPr>
          <w:rFonts w:ascii="Calibri" w:hAnsi="Calibri" w:cs="Times New Roman" w:hint="eastAsia"/>
          <w:sz w:val="21"/>
          <w:szCs w:val="24"/>
        </w:rPr>
        <w:t>—车辆轮廓线；</w:t>
      </w:r>
      <w:r w:rsidRPr="00FD50F6">
        <w:rPr>
          <w:rFonts w:ascii="Calibri" w:hAnsi="Calibri" w:cs="Times New Roman"/>
          <w:sz w:val="21"/>
          <w:szCs w:val="24"/>
        </w:rPr>
        <w:t>b</w:t>
      </w:r>
      <w:r w:rsidRPr="00FD50F6">
        <w:rPr>
          <w:rFonts w:ascii="Calibri" w:hAnsi="Calibri" w:cs="Times New Roman" w:hint="eastAsia"/>
          <w:sz w:val="21"/>
          <w:szCs w:val="24"/>
        </w:rPr>
        <w:t>—车辆限界；</w:t>
      </w:r>
      <w:r w:rsidRPr="00FD50F6">
        <w:rPr>
          <w:rFonts w:ascii="Calibri" w:hAnsi="Calibri" w:cs="Times New Roman"/>
          <w:sz w:val="21"/>
          <w:szCs w:val="24"/>
        </w:rPr>
        <w:t>c</w:t>
      </w:r>
      <w:r w:rsidRPr="00FD50F6">
        <w:rPr>
          <w:rFonts w:ascii="Calibri" w:hAnsi="Calibri" w:cs="Times New Roman" w:hint="eastAsia"/>
          <w:sz w:val="21"/>
          <w:szCs w:val="24"/>
        </w:rPr>
        <w:t>—设备限界</w:t>
      </w:r>
    </w:p>
    <w:p w14:paraId="6FF0B77C"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lastRenderedPageBreak/>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1-1</w:t>
      </w:r>
      <w:r w:rsidRPr="00FD50F6">
        <w:rPr>
          <w:rFonts w:ascii="黑体" w:eastAsia="黑体" w:hAnsi="黑体" w:cs="Times New Roman" w:hint="eastAsia"/>
          <w:sz w:val="21"/>
          <w:szCs w:val="24"/>
        </w:rPr>
        <w:t xml:space="preserve">  车辆轮廓线坐标（mm）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6"/>
        <w:gridCol w:w="870"/>
        <w:gridCol w:w="798"/>
        <w:gridCol w:w="770"/>
        <w:gridCol w:w="798"/>
        <w:gridCol w:w="826"/>
        <w:gridCol w:w="798"/>
        <w:gridCol w:w="870"/>
        <w:gridCol w:w="840"/>
        <w:gridCol w:w="778"/>
        <w:gridCol w:w="778"/>
      </w:tblGrid>
      <w:tr w:rsidR="00FD50F6" w:rsidRPr="00FD50F6" w14:paraId="57B53FFA" w14:textId="77777777" w:rsidTr="002B733E">
        <w:trPr>
          <w:trHeight w:val="397"/>
          <w:jc w:val="center"/>
        </w:trPr>
        <w:tc>
          <w:tcPr>
            <w:tcW w:w="706" w:type="dxa"/>
          </w:tcPr>
          <w:p w14:paraId="00BC0AE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70" w:type="dxa"/>
          </w:tcPr>
          <w:p w14:paraId="48FC221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798" w:type="dxa"/>
          </w:tcPr>
          <w:p w14:paraId="0BB530E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770" w:type="dxa"/>
          </w:tcPr>
          <w:p w14:paraId="412159E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98" w:type="dxa"/>
          </w:tcPr>
          <w:p w14:paraId="378363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826" w:type="dxa"/>
          </w:tcPr>
          <w:p w14:paraId="469EBB2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798" w:type="dxa"/>
          </w:tcPr>
          <w:p w14:paraId="527F428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870" w:type="dxa"/>
          </w:tcPr>
          <w:p w14:paraId="7729049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840" w:type="dxa"/>
          </w:tcPr>
          <w:p w14:paraId="7BA13DB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778" w:type="dxa"/>
          </w:tcPr>
          <w:p w14:paraId="73C965E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78" w:type="dxa"/>
          </w:tcPr>
          <w:p w14:paraId="10563ED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32D182A9" w14:textId="77777777" w:rsidTr="002B733E">
        <w:trPr>
          <w:trHeight w:val="397"/>
          <w:jc w:val="center"/>
        </w:trPr>
        <w:tc>
          <w:tcPr>
            <w:tcW w:w="706" w:type="dxa"/>
            <w:vAlign w:val="center"/>
          </w:tcPr>
          <w:p w14:paraId="5F64486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70" w:type="dxa"/>
          </w:tcPr>
          <w:p w14:paraId="253AE8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98" w:type="dxa"/>
          </w:tcPr>
          <w:p w14:paraId="5FEC754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850</w:t>
            </w:r>
          </w:p>
        </w:tc>
        <w:tc>
          <w:tcPr>
            <w:tcW w:w="770" w:type="dxa"/>
          </w:tcPr>
          <w:p w14:paraId="0D5C0E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1198</w:t>
            </w:r>
          </w:p>
        </w:tc>
        <w:tc>
          <w:tcPr>
            <w:tcW w:w="798" w:type="dxa"/>
          </w:tcPr>
          <w:p w14:paraId="1F9483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333</w:t>
            </w:r>
          </w:p>
        </w:tc>
        <w:tc>
          <w:tcPr>
            <w:tcW w:w="826" w:type="dxa"/>
          </w:tcPr>
          <w:p w14:paraId="1F9449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440</w:t>
            </w:r>
          </w:p>
        </w:tc>
        <w:tc>
          <w:tcPr>
            <w:tcW w:w="798" w:type="dxa"/>
          </w:tcPr>
          <w:p w14:paraId="16D64E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382</w:t>
            </w:r>
          </w:p>
        </w:tc>
        <w:tc>
          <w:tcPr>
            <w:tcW w:w="870" w:type="dxa"/>
          </w:tcPr>
          <w:p w14:paraId="368FAC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13</w:t>
            </w:r>
            <w:r w:rsidRPr="00FD50F6">
              <w:rPr>
                <w:rFonts w:ascii="Calibri" w:hAnsi="Calibri" w:cs="Times New Roman" w:hint="eastAsia"/>
                <w:sz w:val="18"/>
                <w:szCs w:val="24"/>
              </w:rPr>
              <w:t>82</w:t>
            </w:r>
          </w:p>
        </w:tc>
        <w:tc>
          <w:tcPr>
            <w:tcW w:w="840" w:type="dxa"/>
          </w:tcPr>
          <w:p w14:paraId="40EB7FB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1343</w:t>
            </w:r>
          </w:p>
        </w:tc>
        <w:tc>
          <w:tcPr>
            <w:tcW w:w="778" w:type="dxa"/>
          </w:tcPr>
          <w:p w14:paraId="258F25E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1318</w:t>
            </w:r>
          </w:p>
        </w:tc>
        <w:tc>
          <w:tcPr>
            <w:tcW w:w="778" w:type="dxa"/>
          </w:tcPr>
          <w:p w14:paraId="7FAD34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1318</w:t>
            </w:r>
          </w:p>
        </w:tc>
      </w:tr>
      <w:tr w:rsidR="00FD50F6" w:rsidRPr="00FD50F6" w14:paraId="512D566D" w14:textId="77777777" w:rsidTr="002B733E">
        <w:trPr>
          <w:trHeight w:val="397"/>
          <w:jc w:val="center"/>
        </w:trPr>
        <w:tc>
          <w:tcPr>
            <w:tcW w:w="706" w:type="dxa"/>
            <w:vAlign w:val="center"/>
          </w:tcPr>
          <w:p w14:paraId="2A8E63C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70" w:type="dxa"/>
          </w:tcPr>
          <w:p w14:paraId="3397006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3850</w:t>
            </w:r>
          </w:p>
        </w:tc>
        <w:tc>
          <w:tcPr>
            <w:tcW w:w="798" w:type="dxa"/>
          </w:tcPr>
          <w:p w14:paraId="42F7E0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3850</w:t>
            </w:r>
          </w:p>
        </w:tc>
        <w:tc>
          <w:tcPr>
            <w:tcW w:w="770" w:type="dxa"/>
          </w:tcPr>
          <w:p w14:paraId="3A59B6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52</w:t>
            </w:r>
            <w:r w:rsidRPr="00FD50F6">
              <w:rPr>
                <w:rFonts w:ascii="Calibri" w:hAnsi="Calibri" w:cs="Times New Roman"/>
                <w:sz w:val="18"/>
                <w:szCs w:val="24"/>
              </w:rPr>
              <w:t>0</w:t>
            </w:r>
          </w:p>
        </w:tc>
        <w:tc>
          <w:tcPr>
            <w:tcW w:w="798" w:type="dxa"/>
          </w:tcPr>
          <w:p w14:paraId="1EB907B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3325</w:t>
            </w:r>
          </w:p>
        </w:tc>
        <w:tc>
          <w:tcPr>
            <w:tcW w:w="826" w:type="dxa"/>
          </w:tcPr>
          <w:p w14:paraId="3B6991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1737</w:t>
            </w:r>
          </w:p>
        </w:tc>
        <w:tc>
          <w:tcPr>
            <w:tcW w:w="798" w:type="dxa"/>
          </w:tcPr>
          <w:p w14:paraId="5C0D560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862</w:t>
            </w:r>
          </w:p>
        </w:tc>
        <w:tc>
          <w:tcPr>
            <w:tcW w:w="870" w:type="dxa"/>
          </w:tcPr>
          <w:p w14:paraId="06A916D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c>
          <w:tcPr>
            <w:tcW w:w="840" w:type="dxa"/>
          </w:tcPr>
          <w:p w14:paraId="1FDF067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520</w:t>
            </w:r>
          </w:p>
        </w:tc>
        <w:tc>
          <w:tcPr>
            <w:tcW w:w="778" w:type="dxa"/>
          </w:tcPr>
          <w:p w14:paraId="4A079F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450</w:t>
            </w:r>
          </w:p>
        </w:tc>
        <w:tc>
          <w:tcPr>
            <w:tcW w:w="778" w:type="dxa"/>
          </w:tcPr>
          <w:p w14:paraId="216F982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235</w:t>
            </w:r>
          </w:p>
        </w:tc>
      </w:tr>
      <w:tr w:rsidR="00FD50F6" w:rsidRPr="00FD50F6" w14:paraId="34B79F01" w14:textId="77777777" w:rsidTr="002B733E">
        <w:trPr>
          <w:trHeight w:val="397"/>
          <w:jc w:val="center"/>
        </w:trPr>
        <w:tc>
          <w:tcPr>
            <w:tcW w:w="706" w:type="dxa"/>
          </w:tcPr>
          <w:p w14:paraId="5359854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70" w:type="dxa"/>
          </w:tcPr>
          <w:p w14:paraId="2C5A4A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798" w:type="dxa"/>
          </w:tcPr>
          <w:p w14:paraId="1EDEB3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770" w:type="dxa"/>
          </w:tcPr>
          <w:p w14:paraId="60877F4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98" w:type="dxa"/>
          </w:tcPr>
          <w:p w14:paraId="492A3E7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826" w:type="dxa"/>
          </w:tcPr>
          <w:p w14:paraId="74ABA1F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798" w:type="dxa"/>
          </w:tcPr>
          <w:p w14:paraId="7770694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870" w:type="dxa"/>
          </w:tcPr>
          <w:p w14:paraId="2E84853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840" w:type="dxa"/>
          </w:tcPr>
          <w:p w14:paraId="2CF76B8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778" w:type="dxa"/>
          </w:tcPr>
          <w:p w14:paraId="2AE48D4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78" w:type="dxa"/>
          </w:tcPr>
          <w:p w14:paraId="1D0DC7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4FD146AC" w14:textId="77777777" w:rsidTr="002B733E">
        <w:trPr>
          <w:trHeight w:val="397"/>
          <w:jc w:val="center"/>
        </w:trPr>
        <w:tc>
          <w:tcPr>
            <w:tcW w:w="706" w:type="dxa"/>
            <w:vAlign w:val="center"/>
          </w:tcPr>
          <w:p w14:paraId="035BA96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70" w:type="dxa"/>
          </w:tcPr>
          <w:p w14:paraId="6E7FA0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1225</w:t>
            </w:r>
          </w:p>
        </w:tc>
        <w:tc>
          <w:tcPr>
            <w:tcW w:w="798" w:type="dxa"/>
          </w:tcPr>
          <w:p w14:paraId="312BEA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882</w:t>
            </w:r>
          </w:p>
        </w:tc>
        <w:tc>
          <w:tcPr>
            <w:tcW w:w="770" w:type="dxa"/>
          </w:tcPr>
          <w:p w14:paraId="7CC8E5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882</w:t>
            </w:r>
          </w:p>
        </w:tc>
        <w:tc>
          <w:tcPr>
            <w:tcW w:w="798" w:type="dxa"/>
          </w:tcPr>
          <w:p w14:paraId="422A111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812</w:t>
            </w:r>
          </w:p>
        </w:tc>
        <w:tc>
          <w:tcPr>
            <w:tcW w:w="826" w:type="dxa"/>
          </w:tcPr>
          <w:p w14:paraId="62DE5E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81</w:t>
            </w:r>
            <w:r w:rsidRPr="00FD50F6">
              <w:rPr>
                <w:rFonts w:ascii="Calibri" w:hAnsi="Calibri" w:cs="Times New Roman" w:hint="eastAsia"/>
                <w:sz w:val="18"/>
                <w:szCs w:val="24"/>
              </w:rPr>
              <w:t>2</w:t>
            </w:r>
          </w:p>
        </w:tc>
        <w:tc>
          <w:tcPr>
            <w:tcW w:w="798" w:type="dxa"/>
          </w:tcPr>
          <w:p w14:paraId="07D173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709</w:t>
            </w:r>
          </w:p>
        </w:tc>
        <w:tc>
          <w:tcPr>
            <w:tcW w:w="870" w:type="dxa"/>
          </w:tcPr>
          <w:p w14:paraId="0944B6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w:t>
            </w:r>
            <w:r w:rsidRPr="00FD50F6">
              <w:rPr>
                <w:rFonts w:ascii="Calibri" w:hAnsi="Calibri" w:cs="Times New Roman" w:hint="eastAsia"/>
                <w:sz w:val="18"/>
                <w:szCs w:val="24"/>
              </w:rPr>
              <w:t>09</w:t>
            </w:r>
          </w:p>
        </w:tc>
        <w:tc>
          <w:tcPr>
            <w:tcW w:w="840" w:type="dxa"/>
          </w:tcPr>
          <w:p w14:paraId="2C19E09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677</w:t>
            </w:r>
          </w:p>
        </w:tc>
        <w:tc>
          <w:tcPr>
            <w:tcW w:w="778" w:type="dxa"/>
          </w:tcPr>
          <w:p w14:paraId="77C981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677</w:t>
            </w:r>
          </w:p>
        </w:tc>
        <w:tc>
          <w:tcPr>
            <w:tcW w:w="778" w:type="dxa"/>
          </w:tcPr>
          <w:p w14:paraId="0880C9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7D46F78E" w14:textId="77777777" w:rsidTr="002B733E">
        <w:trPr>
          <w:trHeight w:val="397"/>
          <w:jc w:val="center"/>
        </w:trPr>
        <w:tc>
          <w:tcPr>
            <w:tcW w:w="706" w:type="dxa"/>
            <w:vAlign w:val="center"/>
          </w:tcPr>
          <w:p w14:paraId="2A911FE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70" w:type="dxa"/>
          </w:tcPr>
          <w:p w14:paraId="1C82D96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167</w:t>
            </w:r>
          </w:p>
        </w:tc>
        <w:tc>
          <w:tcPr>
            <w:tcW w:w="798" w:type="dxa"/>
          </w:tcPr>
          <w:p w14:paraId="62DC4759" w14:textId="77777777" w:rsidR="002B733E" w:rsidRPr="00FD50F6" w:rsidRDefault="002B733E" w:rsidP="002B733E">
            <w:pPr>
              <w:spacing w:line="400" w:lineRule="exact"/>
              <w:ind w:firstLineChars="50" w:firstLine="90"/>
              <w:jc w:val="center"/>
              <w:rPr>
                <w:rFonts w:ascii="Calibri" w:hAnsi="Calibri" w:cs="Times New Roman"/>
                <w:sz w:val="18"/>
                <w:szCs w:val="24"/>
              </w:rPr>
            </w:pPr>
            <w:r w:rsidRPr="00FD50F6">
              <w:rPr>
                <w:rFonts w:ascii="Calibri" w:hAnsi="Calibri" w:cs="Times New Roman" w:hint="eastAsia"/>
                <w:sz w:val="18"/>
                <w:szCs w:val="24"/>
              </w:rPr>
              <w:t xml:space="preserve"> 167</w:t>
            </w:r>
          </w:p>
        </w:tc>
        <w:tc>
          <w:tcPr>
            <w:tcW w:w="770" w:type="dxa"/>
          </w:tcPr>
          <w:p w14:paraId="37A9FA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124</w:t>
            </w:r>
          </w:p>
        </w:tc>
        <w:tc>
          <w:tcPr>
            <w:tcW w:w="798" w:type="dxa"/>
          </w:tcPr>
          <w:p w14:paraId="0F0A192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124</w:t>
            </w:r>
          </w:p>
        </w:tc>
        <w:tc>
          <w:tcPr>
            <w:tcW w:w="826" w:type="dxa"/>
          </w:tcPr>
          <w:p w14:paraId="117496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c>
          <w:tcPr>
            <w:tcW w:w="798" w:type="dxa"/>
          </w:tcPr>
          <w:p w14:paraId="40CC42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870" w:type="dxa"/>
          </w:tcPr>
          <w:p w14:paraId="7725B4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-25</w:t>
            </w:r>
          </w:p>
        </w:tc>
        <w:tc>
          <w:tcPr>
            <w:tcW w:w="840" w:type="dxa"/>
          </w:tcPr>
          <w:p w14:paraId="7C7CC1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-25</w:t>
            </w:r>
          </w:p>
        </w:tc>
        <w:tc>
          <w:tcPr>
            <w:tcW w:w="778" w:type="dxa"/>
          </w:tcPr>
          <w:p w14:paraId="59094F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80</w:t>
            </w:r>
          </w:p>
        </w:tc>
        <w:tc>
          <w:tcPr>
            <w:tcW w:w="778" w:type="dxa"/>
          </w:tcPr>
          <w:p w14:paraId="552B68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w:t>
            </w:r>
            <w:r w:rsidRPr="00FD50F6">
              <w:rPr>
                <w:rFonts w:ascii="Calibri" w:hAnsi="Calibri" w:cs="Times New Roman" w:hint="eastAsia"/>
                <w:sz w:val="18"/>
                <w:szCs w:val="24"/>
              </w:rPr>
              <w:t>0</w:t>
            </w:r>
          </w:p>
        </w:tc>
      </w:tr>
      <w:tr w:rsidR="00FD50F6" w:rsidRPr="00FD50F6" w14:paraId="76EC717F" w14:textId="77777777" w:rsidTr="002B733E">
        <w:trPr>
          <w:trHeight w:val="397"/>
          <w:jc w:val="center"/>
        </w:trPr>
        <w:tc>
          <w:tcPr>
            <w:tcW w:w="706" w:type="dxa"/>
          </w:tcPr>
          <w:p w14:paraId="2693F18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70" w:type="dxa"/>
          </w:tcPr>
          <w:p w14:paraId="14A6AEE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0s</w:t>
            </w:r>
          </w:p>
        </w:tc>
        <w:tc>
          <w:tcPr>
            <w:tcW w:w="798" w:type="dxa"/>
          </w:tcPr>
          <w:p w14:paraId="598F9C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1s</w:t>
            </w:r>
          </w:p>
        </w:tc>
        <w:tc>
          <w:tcPr>
            <w:tcW w:w="770" w:type="dxa"/>
          </w:tcPr>
          <w:p w14:paraId="757374C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2s</w:t>
            </w:r>
          </w:p>
        </w:tc>
        <w:tc>
          <w:tcPr>
            <w:tcW w:w="798" w:type="dxa"/>
          </w:tcPr>
          <w:p w14:paraId="6954ACF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3s</w:t>
            </w:r>
          </w:p>
        </w:tc>
        <w:tc>
          <w:tcPr>
            <w:tcW w:w="826" w:type="dxa"/>
          </w:tcPr>
          <w:p w14:paraId="707B9D0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4s</w:t>
            </w:r>
          </w:p>
        </w:tc>
        <w:tc>
          <w:tcPr>
            <w:tcW w:w="798" w:type="dxa"/>
          </w:tcPr>
          <w:p w14:paraId="5144CD1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0b</w:t>
            </w:r>
          </w:p>
        </w:tc>
        <w:tc>
          <w:tcPr>
            <w:tcW w:w="870" w:type="dxa"/>
          </w:tcPr>
          <w:p w14:paraId="577CF5B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1b</w:t>
            </w:r>
          </w:p>
        </w:tc>
        <w:tc>
          <w:tcPr>
            <w:tcW w:w="840" w:type="dxa"/>
          </w:tcPr>
          <w:p w14:paraId="6FEC8D0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2b</w:t>
            </w:r>
          </w:p>
        </w:tc>
        <w:tc>
          <w:tcPr>
            <w:tcW w:w="778" w:type="dxa"/>
          </w:tcPr>
          <w:p w14:paraId="60EB544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3b</w:t>
            </w:r>
          </w:p>
        </w:tc>
        <w:tc>
          <w:tcPr>
            <w:tcW w:w="778" w:type="dxa"/>
          </w:tcPr>
          <w:p w14:paraId="3F0D290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4b</w:t>
            </w:r>
          </w:p>
        </w:tc>
      </w:tr>
      <w:tr w:rsidR="00FD50F6" w:rsidRPr="00FD50F6" w14:paraId="750236C4" w14:textId="77777777" w:rsidTr="002B733E">
        <w:trPr>
          <w:trHeight w:val="397"/>
          <w:jc w:val="center"/>
        </w:trPr>
        <w:tc>
          <w:tcPr>
            <w:tcW w:w="706" w:type="dxa"/>
            <w:vAlign w:val="center"/>
          </w:tcPr>
          <w:p w14:paraId="67CB018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70" w:type="dxa"/>
          </w:tcPr>
          <w:p w14:paraId="72079E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98" w:type="dxa"/>
          </w:tcPr>
          <w:p w14:paraId="295835E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325</w:t>
            </w:r>
          </w:p>
        </w:tc>
        <w:tc>
          <w:tcPr>
            <w:tcW w:w="770" w:type="dxa"/>
          </w:tcPr>
          <w:p w14:paraId="381952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615</w:t>
            </w:r>
          </w:p>
        </w:tc>
        <w:tc>
          <w:tcPr>
            <w:tcW w:w="798" w:type="dxa"/>
          </w:tcPr>
          <w:p w14:paraId="3E8AB2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687</w:t>
            </w:r>
          </w:p>
        </w:tc>
        <w:tc>
          <w:tcPr>
            <w:tcW w:w="826" w:type="dxa"/>
          </w:tcPr>
          <w:p w14:paraId="69E546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850</w:t>
            </w:r>
          </w:p>
        </w:tc>
        <w:tc>
          <w:tcPr>
            <w:tcW w:w="798" w:type="dxa"/>
          </w:tcPr>
          <w:p w14:paraId="1BCA88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870" w:type="dxa"/>
          </w:tcPr>
          <w:p w14:paraId="43DAE1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325</w:t>
            </w:r>
          </w:p>
        </w:tc>
        <w:tc>
          <w:tcPr>
            <w:tcW w:w="840" w:type="dxa"/>
          </w:tcPr>
          <w:p w14:paraId="3F12D0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615</w:t>
            </w:r>
          </w:p>
        </w:tc>
        <w:tc>
          <w:tcPr>
            <w:tcW w:w="778" w:type="dxa"/>
          </w:tcPr>
          <w:p w14:paraId="4FCBF0C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687</w:t>
            </w:r>
          </w:p>
        </w:tc>
        <w:tc>
          <w:tcPr>
            <w:tcW w:w="778" w:type="dxa"/>
          </w:tcPr>
          <w:p w14:paraId="5DDFFD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850</w:t>
            </w:r>
          </w:p>
        </w:tc>
      </w:tr>
      <w:tr w:rsidR="00FD50F6" w:rsidRPr="00FD50F6" w14:paraId="474A1099" w14:textId="77777777" w:rsidTr="002B733E">
        <w:trPr>
          <w:trHeight w:val="397"/>
          <w:jc w:val="center"/>
        </w:trPr>
        <w:tc>
          <w:tcPr>
            <w:tcW w:w="706" w:type="dxa"/>
            <w:vAlign w:val="center"/>
          </w:tcPr>
          <w:p w14:paraId="70FBECD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70" w:type="dxa"/>
          </w:tcPr>
          <w:p w14:paraId="0BBA0D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4040</w:t>
            </w:r>
          </w:p>
        </w:tc>
        <w:tc>
          <w:tcPr>
            <w:tcW w:w="798" w:type="dxa"/>
          </w:tcPr>
          <w:p w14:paraId="7B98A18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4040</w:t>
            </w:r>
          </w:p>
        </w:tc>
        <w:tc>
          <w:tcPr>
            <w:tcW w:w="770" w:type="dxa"/>
          </w:tcPr>
          <w:p w14:paraId="2978E5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w:t>
            </w:r>
            <w:r w:rsidRPr="00FD50F6">
              <w:rPr>
                <w:rFonts w:ascii="Calibri" w:hAnsi="Calibri" w:cs="Times New Roman" w:hint="eastAsia"/>
                <w:sz w:val="18"/>
                <w:szCs w:val="24"/>
              </w:rPr>
              <w:t>22</w:t>
            </w:r>
          </w:p>
        </w:tc>
        <w:tc>
          <w:tcPr>
            <w:tcW w:w="798" w:type="dxa"/>
          </w:tcPr>
          <w:p w14:paraId="1E0826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3992</w:t>
            </w:r>
          </w:p>
        </w:tc>
        <w:tc>
          <w:tcPr>
            <w:tcW w:w="826" w:type="dxa"/>
          </w:tcPr>
          <w:p w14:paraId="39B9EAA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3856</w:t>
            </w:r>
          </w:p>
        </w:tc>
        <w:tc>
          <w:tcPr>
            <w:tcW w:w="798" w:type="dxa"/>
          </w:tcPr>
          <w:p w14:paraId="2C6B96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5000</w:t>
            </w:r>
          </w:p>
        </w:tc>
        <w:tc>
          <w:tcPr>
            <w:tcW w:w="870" w:type="dxa"/>
          </w:tcPr>
          <w:p w14:paraId="366F2A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50</w:t>
            </w:r>
            <w:r w:rsidRPr="00FD50F6">
              <w:rPr>
                <w:rFonts w:ascii="Calibri" w:hAnsi="Calibri" w:cs="Times New Roman"/>
                <w:sz w:val="18"/>
                <w:szCs w:val="24"/>
              </w:rPr>
              <w:t>00</w:t>
            </w:r>
          </w:p>
        </w:tc>
        <w:tc>
          <w:tcPr>
            <w:tcW w:w="840" w:type="dxa"/>
          </w:tcPr>
          <w:p w14:paraId="61C04A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982</w:t>
            </w:r>
          </w:p>
        </w:tc>
        <w:tc>
          <w:tcPr>
            <w:tcW w:w="778" w:type="dxa"/>
          </w:tcPr>
          <w:p w14:paraId="28ED49B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952</w:t>
            </w:r>
          </w:p>
        </w:tc>
        <w:tc>
          <w:tcPr>
            <w:tcW w:w="778" w:type="dxa"/>
          </w:tcPr>
          <w:p w14:paraId="32321B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816</w:t>
            </w:r>
          </w:p>
        </w:tc>
      </w:tr>
      <w:tr w:rsidR="00FD50F6" w:rsidRPr="00FD50F6" w14:paraId="5832EBF5" w14:textId="77777777" w:rsidTr="002B733E">
        <w:trPr>
          <w:trHeight w:val="397"/>
          <w:jc w:val="center"/>
        </w:trPr>
        <w:tc>
          <w:tcPr>
            <w:tcW w:w="706" w:type="dxa"/>
          </w:tcPr>
          <w:p w14:paraId="7F6BA9B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70" w:type="dxa"/>
          </w:tcPr>
          <w:p w14:paraId="605A3C5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0a</w:t>
            </w:r>
          </w:p>
        </w:tc>
        <w:tc>
          <w:tcPr>
            <w:tcW w:w="798" w:type="dxa"/>
          </w:tcPr>
          <w:p w14:paraId="00CA1A2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1a</w:t>
            </w:r>
          </w:p>
        </w:tc>
        <w:tc>
          <w:tcPr>
            <w:tcW w:w="770" w:type="dxa"/>
          </w:tcPr>
          <w:p w14:paraId="6459C1E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2a</w:t>
            </w:r>
          </w:p>
        </w:tc>
        <w:tc>
          <w:tcPr>
            <w:tcW w:w="798" w:type="dxa"/>
          </w:tcPr>
          <w:p w14:paraId="62717BA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3a</w:t>
            </w:r>
          </w:p>
        </w:tc>
        <w:tc>
          <w:tcPr>
            <w:tcW w:w="826" w:type="dxa"/>
          </w:tcPr>
          <w:p w14:paraId="36A2E50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4a</w:t>
            </w:r>
          </w:p>
        </w:tc>
        <w:tc>
          <w:tcPr>
            <w:tcW w:w="798" w:type="dxa"/>
            <w:vAlign w:val="center"/>
          </w:tcPr>
          <w:p w14:paraId="2239326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870" w:type="dxa"/>
          </w:tcPr>
          <w:p w14:paraId="07508D97"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0" w:type="dxa"/>
          </w:tcPr>
          <w:p w14:paraId="38549559"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8" w:type="dxa"/>
          </w:tcPr>
          <w:p w14:paraId="1FF259B7"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8" w:type="dxa"/>
          </w:tcPr>
          <w:p w14:paraId="2F6887E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798F552F" w14:textId="77777777" w:rsidTr="002B733E">
        <w:trPr>
          <w:trHeight w:val="397"/>
          <w:jc w:val="center"/>
        </w:trPr>
        <w:tc>
          <w:tcPr>
            <w:tcW w:w="706" w:type="dxa"/>
            <w:vAlign w:val="center"/>
          </w:tcPr>
          <w:p w14:paraId="3492E89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70" w:type="dxa"/>
          </w:tcPr>
          <w:p w14:paraId="02F12F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98" w:type="dxa"/>
          </w:tcPr>
          <w:p w14:paraId="79BF36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325</w:t>
            </w:r>
          </w:p>
        </w:tc>
        <w:tc>
          <w:tcPr>
            <w:tcW w:w="770" w:type="dxa"/>
          </w:tcPr>
          <w:p w14:paraId="378A47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615</w:t>
            </w:r>
          </w:p>
        </w:tc>
        <w:tc>
          <w:tcPr>
            <w:tcW w:w="798" w:type="dxa"/>
          </w:tcPr>
          <w:p w14:paraId="4ED8824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687</w:t>
            </w:r>
          </w:p>
        </w:tc>
        <w:tc>
          <w:tcPr>
            <w:tcW w:w="826" w:type="dxa"/>
          </w:tcPr>
          <w:p w14:paraId="6309BE5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850</w:t>
            </w:r>
          </w:p>
        </w:tc>
        <w:tc>
          <w:tcPr>
            <w:tcW w:w="798" w:type="dxa"/>
            <w:vAlign w:val="center"/>
          </w:tcPr>
          <w:p w14:paraId="07D821C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870" w:type="dxa"/>
          </w:tcPr>
          <w:p w14:paraId="09952AD6"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0" w:type="dxa"/>
          </w:tcPr>
          <w:p w14:paraId="3A990F29"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8" w:type="dxa"/>
          </w:tcPr>
          <w:p w14:paraId="1CE7734F"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8" w:type="dxa"/>
          </w:tcPr>
          <w:p w14:paraId="763F6840"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70BB5577" w14:textId="77777777" w:rsidTr="002B733E">
        <w:trPr>
          <w:trHeight w:val="397"/>
          <w:jc w:val="center"/>
        </w:trPr>
        <w:tc>
          <w:tcPr>
            <w:tcW w:w="706" w:type="dxa"/>
            <w:vAlign w:val="center"/>
          </w:tcPr>
          <w:p w14:paraId="0AC3E8A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70" w:type="dxa"/>
          </w:tcPr>
          <w:p w14:paraId="18C237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4600</w:t>
            </w:r>
          </w:p>
        </w:tc>
        <w:tc>
          <w:tcPr>
            <w:tcW w:w="798" w:type="dxa"/>
          </w:tcPr>
          <w:p w14:paraId="6DE180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36</w:t>
            </w:r>
            <w:r w:rsidRPr="00FD50F6">
              <w:rPr>
                <w:rFonts w:ascii="Calibri" w:hAnsi="Calibri" w:cs="Times New Roman"/>
                <w:sz w:val="18"/>
                <w:szCs w:val="24"/>
              </w:rPr>
              <w:t>00</w:t>
            </w:r>
          </w:p>
        </w:tc>
        <w:tc>
          <w:tcPr>
            <w:tcW w:w="770" w:type="dxa"/>
          </w:tcPr>
          <w:p w14:paraId="7F14B1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5</w:t>
            </w:r>
            <w:r w:rsidRPr="00FD50F6">
              <w:rPr>
                <w:rFonts w:ascii="Calibri" w:hAnsi="Calibri" w:cs="Times New Roman"/>
                <w:sz w:val="18"/>
                <w:szCs w:val="24"/>
              </w:rPr>
              <w:t>82</w:t>
            </w:r>
          </w:p>
        </w:tc>
        <w:tc>
          <w:tcPr>
            <w:tcW w:w="798" w:type="dxa"/>
          </w:tcPr>
          <w:p w14:paraId="57DCB4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5</w:t>
            </w:r>
            <w:r w:rsidRPr="00FD50F6">
              <w:rPr>
                <w:rFonts w:ascii="Calibri" w:hAnsi="Calibri" w:cs="Times New Roman"/>
                <w:sz w:val="18"/>
                <w:szCs w:val="24"/>
              </w:rPr>
              <w:t>52</w:t>
            </w:r>
          </w:p>
        </w:tc>
        <w:tc>
          <w:tcPr>
            <w:tcW w:w="826" w:type="dxa"/>
          </w:tcPr>
          <w:p w14:paraId="48FB02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4</w:t>
            </w:r>
            <w:r w:rsidRPr="00FD50F6">
              <w:rPr>
                <w:rFonts w:ascii="Calibri" w:hAnsi="Calibri" w:cs="Times New Roman"/>
                <w:sz w:val="18"/>
                <w:szCs w:val="24"/>
              </w:rPr>
              <w:t>16</w:t>
            </w:r>
          </w:p>
        </w:tc>
        <w:tc>
          <w:tcPr>
            <w:tcW w:w="798" w:type="dxa"/>
            <w:vAlign w:val="center"/>
          </w:tcPr>
          <w:p w14:paraId="609D50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870" w:type="dxa"/>
          </w:tcPr>
          <w:p w14:paraId="0E23862C"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0" w:type="dxa"/>
          </w:tcPr>
          <w:p w14:paraId="03DF0348"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8" w:type="dxa"/>
          </w:tcPr>
          <w:p w14:paraId="1D8D849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8" w:type="dxa"/>
          </w:tcPr>
          <w:p w14:paraId="5924B83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bl>
    <w:p w14:paraId="5DCAA75F" w14:textId="77777777" w:rsidR="002B733E" w:rsidRPr="00FD50F6" w:rsidRDefault="002B733E" w:rsidP="002B733E">
      <w:pPr>
        <w:spacing w:line="240" w:lineRule="exact"/>
        <w:jc w:val="left"/>
        <w:rPr>
          <w:rFonts w:ascii="黑体" w:eastAsia="黑体" w:hAnsi="黑体" w:cs="Times New Roman"/>
          <w:sz w:val="21"/>
          <w:szCs w:val="24"/>
        </w:rPr>
      </w:pPr>
      <w:r w:rsidRPr="00FD50F6">
        <w:rPr>
          <w:rFonts w:ascii="Calibri" w:hAnsi="Calibri" w:cs="Times New Roman" w:hint="eastAsia"/>
          <w:sz w:val="18"/>
          <w:szCs w:val="24"/>
        </w:rPr>
        <w:t>注：表中第</w:t>
      </w:r>
      <w:r w:rsidRPr="00FD50F6">
        <w:rPr>
          <w:rFonts w:ascii="Calibri" w:hAnsi="Calibri" w:cs="Times New Roman" w:hint="eastAsia"/>
          <w:sz w:val="18"/>
          <w:szCs w:val="24"/>
        </w:rPr>
        <w:t>1</w:t>
      </w:r>
      <w:r w:rsidRPr="00FD50F6">
        <w:rPr>
          <w:rFonts w:ascii="Calibri" w:hAnsi="Calibri" w:cs="Times New Roman" w:hint="eastAsia"/>
          <w:sz w:val="18"/>
          <w:szCs w:val="24"/>
        </w:rPr>
        <w:t>～</w:t>
      </w:r>
      <w:r w:rsidRPr="00FD50F6">
        <w:rPr>
          <w:rFonts w:ascii="Calibri" w:hAnsi="Calibri" w:cs="Times New Roman" w:hint="eastAsia"/>
          <w:sz w:val="18"/>
          <w:szCs w:val="24"/>
        </w:rPr>
        <w:t>8</w:t>
      </w:r>
      <w:r w:rsidRPr="00FD50F6">
        <w:rPr>
          <w:rFonts w:ascii="Calibri" w:hAnsi="Calibri" w:cs="Times New Roman" w:hint="eastAsia"/>
          <w:sz w:val="18"/>
          <w:szCs w:val="24"/>
        </w:rPr>
        <w:t>点为车体上控制点；第</w:t>
      </w:r>
      <w:r w:rsidRPr="00FD50F6">
        <w:rPr>
          <w:rFonts w:ascii="Calibri" w:hAnsi="Calibri" w:cs="Times New Roman" w:hint="eastAsia"/>
          <w:sz w:val="18"/>
          <w:szCs w:val="24"/>
        </w:rPr>
        <w:t>9</w:t>
      </w:r>
      <w:r w:rsidRPr="00FD50F6">
        <w:rPr>
          <w:rFonts w:ascii="Calibri" w:hAnsi="Calibri" w:cs="Times New Roman" w:hint="eastAsia"/>
          <w:sz w:val="18"/>
          <w:szCs w:val="24"/>
        </w:rPr>
        <w:t>～</w:t>
      </w:r>
      <w:r w:rsidRPr="00FD50F6">
        <w:rPr>
          <w:rFonts w:ascii="Calibri" w:hAnsi="Calibri" w:cs="Times New Roman" w:hint="eastAsia"/>
          <w:sz w:val="18"/>
          <w:szCs w:val="24"/>
        </w:rPr>
        <w:t>13</w:t>
      </w:r>
      <w:r w:rsidRPr="00FD50F6">
        <w:rPr>
          <w:rFonts w:ascii="Calibri" w:hAnsi="Calibri" w:cs="Times New Roman" w:hint="eastAsia"/>
          <w:sz w:val="18"/>
          <w:szCs w:val="24"/>
        </w:rPr>
        <w:t>点为构架上控制点；第</w:t>
      </w:r>
      <w:r w:rsidRPr="00FD50F6">
        <w:rPr>
          <w:rFonts w:ascii="Calibri" w:hAnsi="Calibri" w:cs="Times New Roman" w:hint="eastAsia"/>
          <w:sz w:val="18"/>
          <w:szCs w:val="24"/>
        </w:rPr>
        <w:t>0s</w:t>
      </w:r>
      <w:r w:rsidRPr="00FD50F6">
        <w:rPr>
          <w:rFonts w:ascii="Calibri" w:hAnsi="Calibri" w:cs="Times New Roman" w:hint="eastAsia"/>
          <w:sz w:val="18"/>
          <w:szCs w:val="24"/>
        </w:rPr>
        <w:t>～</w:t>
      </w:r>
      <w:r w:rsidRPr="00FD50F6">
        <w:rPr>
          <w:rFonts w:ascii="Calibri" w:hAnsi="Calibri" w:cs="Times New Roman" w:hint="eastAsia"/>
          <w:sz w:val="18"/>
          <w:szCs w:val="24"/>
        </w:rPr>
        <w:t>4s</w:t>
      </w:r>
      <w:r w:rsidRPr="00FD50F6">
        <w:rPr>
          <w:rFonts w:ascii="Calibri" w:hAnsi="Calibri" w:cs="Times New Roman" w:hint="eastAsia"/>
          <w:sz w:val="18"/>
          <w:szCs w:val="24"/>
        </w:rPr>
        <w:t>点为隧道内受电弓控制点；受电弓工作高度为</w:t>
      </w:r>
      <w:r w:rsidRPr="00FD50F6">
        <w:rPr>
          <w:rFonts w:ascii="Calibri" w:hAnsi="Calibri" w:cs="Times New Roman" w:hint="eastAsia"/>
          <w:sz w:val="18"/>
          <w:szCs w:val="24"/>
        </w:rPr>
        <w:t>4040mm</w:t>
      </w:r>
      <w:r w:rsidRPr="00FD50F6">
        <w:rPr>
          <w:rFonts w:ascii="Calibri" w:hAnsi="Calibri" w:cs="Times New Roman" w:hint="eastAsia"/>
          <w:sz w:val="18"/>
          <w:szCs w:val="24"/>
        </w:rPr>
        <w:t>；第</w:t>
      </w:r>
      <w:r w:rsidRPr="00FD50F6">
        <w:rPr>
          <w:rFonts w:ascii="Calibri" w:hAnsi="Calibri" w:cs="Times New Roman" w:hint="eastAsia"/>
          <w:sz w:val="18"/>
          <w:szCs w:val="24"/>
        </w:rPr>
        <w:t>0a</w:t>
      </w:r>
      <w:r w:rsidRPr="00FD50F6">
        <w:rPr>
          <w:rFonts w:ascii="Calibri" w:hAnsi="Calibri" w:cs="Times New Roman" w:hint="eastAsia"/>
          <w:sz w:val="18"/>
          <w:szCs w:val="24"/>
        </w:rPr>
        <w:t>～</w:t>
      </w:r>
      <w:r w:rsidRPr="00FD50F6">
        <w:rPr>
          <w:rFonts w:ascii="Calibri" w:hAnsi="Calibri" w:cs="Times New Roman" w:hint="eastAsia"/>
          <w:sz w:val="18"/>
          <w:szCs w:val="24"/>
        </w:rPr>
        <w:t>4a</w:t>
      </w:r>
      <w:r w:rsidRPr="00FD50F6">
        <w:rPr>
          <w:rFonts w:ascii="Calibri" w:hAnsi="Calibri" w:cs="Times New Roman" w:hint="eastAsia"/>
          <w:sz w:val="18"/>
          <w:szCs w:val="24"/>
        </w:rPr>
        <w:t>点为隧道外受电弓控制点，受电弓工作高度为</w:t>
      </w:r>
      <w:r w:rsidRPr="00FD50F6">
        <w:rPr>
          <w:rFonts w:ascii="Calibri" w:hAnsi="Calibri" w:cs="Times New Roman" w:hint="eastAsia"/>
          <w:sz w:val="18"/>
          <w:szCs w:val="24"/>
        </w:rPr>
        <w:t>4600mm</w:t>
      </w:r>
      <w:r w:rsidRPr="00FD50F6">
        <w:rPr>
          <w:rFonts w:ascii="Calibri" w:hAnsi="Calibri" w:cs="Times New Roman" w:hint="eastAsia"/>
          <w:sz w:val="18"/>
          <w:szCs w:val="24"/>
        </w:rPr>
        <w:t>；第</w:t>
      </w:r>
      <w:r w:rsidRPr="00FD50F6">
        <w:rPr>
          <w:rFonts w:ascii="Calibri" w:hAnsi="Calibri" w:cs="Times New Roman" w:hint="eastAsia"/>
          <w:sz w:val="18"/>
          <w:szCs w:val="24"/>
        </w:rPr>
        <w:t>0b</w:t>
      </w:r>
      <w:r w:rsidRPr="00FD50F6">
        <w:rPr>
          <w:rFonts w:ascii="Calibri" w:hAnsi="Calibri" w:cs="Times New Roman" w:hint="eastAsia"/>
          <w:sz w:val="18"/>
          <w:szCs w:val="24"/>
        </w:rPr>
        <w:t>～</w:t>
      </w:r>
      <w:r w:rsidRPr="00FD50F6">
        <w:rPr>
          <w:rFonts w:ascii="Calibri" w:hAnsi="Calibri" w:cs="Times New Roman" w:hint="eastAsia"/>
          <w:sz w:val="18"/>
          <w:szCs w:val="24"/>
        </w:rPr>
        <w:t>4b</w:t>
      </w:r>
      <w:r w:rsidRPr="00FD50F6">
        <w:rPr>
          <w:rFonts w:ascii="Calibri" w:hAnsi="Calibri" w:cs="Times New Roman" w:hint="eastAsia"/>
          <w:sz w:val="18"/>
          <w:szCs w:val="24"/>
        </w:rPr>
        <w:t>点为车辆段库内受电弓控制点，受电弓工作高度为</w:t>
      </w:r>
      <w:r w:rsidRPr="00FD50F6">
        <w:rPr>
          <w:rFonts w:ascii="Calibri" w:hAnsi="Calibri" w:cs="Times New Roman" w:hint="eastAsia"/>
          <w:sz w:val="18"/>
          <w:szCs w:val="24"/>
        </w:rPr>
        <w:t>5000mm</w:t>
      </w:r>
      <w:r w:rsidRPr="00FD50F6">
        <w:rPr>
          <w:rFonts w:ascii="Calibri" w:hAnsi="Calibri" w:cs="Times New Roman" w:hint="eastAsia"/>
          <w:sz w:val="18"/>
          <w:szCs w:val="24"/>
        </w:rPr>
        <w:t>；库内受电弓车辆限界和设备限界根据隧道外相应限界值确定。</w:t>
      </w:r>
    </w:p>
    <w:p w14:paraId="4283CC24"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1-2</w:t>
      </w:r>
      <w:r w:rsidRPr="00FD50F6">
        <w:rPr>
          <w:rFonts w:ascii="黑体" w:eastAsia="黑体" w:hAnsi="黑体" w:cs="Times New Roman" w:hint="eastAsia"/>
          <w:sz w:val="21"/>
          <w:szCs w:val="24"/>
        </w:rPr>
        <w:t xml:space="preserve">  隧道内区间直线地段车辆限界坐标值（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0"/>
        <w:gridCol w:w="844"/>
        <w:gridCol w:w="789"/>
        <w:gridCol w:w="789"/>
        <w:gridCol w:w="789"/>
        <w:gridCol w:w="844"/>
        <w:gridCol w:w="844"/>
        <w:gridCol w:w="789"/>
        <w:gridCol w:w="789"/>
        <w:gridCol w:w="844"/>
        <w:gridCol w:w="789"/>
      </w:tblGrid>
      <w:tr w:rsidR="00FD50F6" w:rsidRPr="00FD50F6" w14:paraId="48F04578" w14:textId="77777777" w:rsidTr="002B733E">
        <w:trPr>
          <w:trHeight w:val="397"/>
          <w:jc w:val="center"/>
        </w:trPr>
        <w:tc>
          <w:tcPr>
            <w:tcW w:w="730" w:type="dxa"/>
          </w:tcPr>
          <w:p w14:paraId="553B58B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4" w:type="dxa"/>
          </w:tcPr>
          <w:p w14:paraId="60C85EC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789" w:type="dxa"/>
          </w:tcPr>
          <w:p w14:paraId="01E96F8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789" w:type="dxa"/>
          </w:tcPr>
          <w:p w14:paraId="7369844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89" w:type="dxa"/>
          </w:tcPr>
          <w:p w14:paraId="3205AFD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844" w:type="dxa"/>
          </w:tcPr>
          <w:p w14:paraId="1F38375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844" w:type="dxa"/>
          </w:tcPr>
          <w:p w14:paraId="4AB06CE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789" w:type="dxa"/>
          </w:tcPr>
          <w:p w14:paraId="6D4DF7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789" w:type="dxa"/>
          </w:tcPr>
          <w:p w14:paraId="6312B08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844" w:type="dxa"/>
          </w:tcPr>
          <w:p w14:paraId="5F0B356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89" w:type="dxa"/>
          </w:tcPr>
          <w:p w14:paraId="4C0DCFF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0796CFAC" w14:textId="77777777" w:rsidTr="002B733E">
        <w:trPr>
          <w:trHeight w:val="397"/>
          <w:jc w:val="center"/>
        </w:trPr>
        <w:tc>
          <w:tcPr>
            <w:tcW w:w="730" w:type="dxa"/>
            <w:vAlign w:val="center"/>
          </w:tcPr>
          <w:p w14:paraId="44A5E7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4" w:type="dxa"/>
          </w:tcPr>
          <w:p w14:paraId="2BAB60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89" w:type="dxa"/>
          </w:tcPr>
          <w:p w14:paraId="689ACD9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954</w:t>
            </w:r>
          </w:p>
        </w:tc>
        <w:tc>
          <w:tcPr>
            <w:tcW w:w="789" w:type="dxa"/>
          </w:tcPr>
          <w:p w14:paraId="15CE866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299</w:t>
            </w:r>
          </w:p>
        </w:tc>
        <w:tc>
          <w:tcPr>
            <w:tcW w:w="789" w:type="dxa"/>
          </w:tcPr>
          <w:p w14:paraId="2F0708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1433</w:t>
            </w:r>
          </w:p>
        </w:tc>
        <w:tc>
          <w:tcPr>
            <w:tcW w:w="844" w:type="dxa"/>
          </w:tcPr>
          <w:p w14:paraId="3BCF338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527</w:t>
            </w:r>
          </w:p>
        </w:tc>
        <w:tc>
          <w:tcPr>
            <w:tcW w:w="844" w:type="dxa"/>
          </w:tcPr>
          <w:p w14:paraId="16F97B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464</w:t>
            </w:r>
          </w:p>
        </w:tc>
        <w:tc>
          <w:tcPr>
            <w:tcW w:w="789" w:type="dxa"/>
          </w:tcPr>
          <w:p w14:paraId="7BF41D8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14</w:t>
            </w:r>
            <w:r w:rsidRPr="00FD50F6">
              <w:rPr>
                <w:rFonts w:ascii="Calibri" w:hAnsi="Calibri" w:cs="Times New Roman" w:hint="eastAsia"/>
                <w:sz w:val="18"/>
                <w:szCs w:val="24"/>
              </w:rPr>
              <w:t>63</w:t>
            </w:r>
          </w:p>
        </w:tc>
        <w:tc>
          <w:tcPr>
            <w:tcW w:w="789" w:type="dxa"/>
          </w:tcPr>
          <w:p w14:paraId="5F1D039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378</w:t>
            </w:r>
          </w:p>
        </w:tc>
        <w:tc>
          <w:tcPr>
            <w:tcW w:w="844" w:type="dxa"/>
          </w:tcPr>
          <w:p w14:paraId="772023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353</w:t>
            </w:r>
          </w:p>
        </w:tc>
        <w:tc>
          <w:tcPr>
            <w:tcW w:w="789" w:type="dxa"/>
          </w:tcPr>
          <w:p w14:paraId="26EDB0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352</w:t>
            </w:r>
          </w:p>
        </w:tc>
      </w:tr>
      <w:tr w:rsidR="00FD50F6" w:rsidRPr="00FD50F6" w14:paraId="0DAC68DC" w14:textId="77777777" w:rsidTr="002B733E">
        <w:trPr>
          <w:trHeight w:val="397"/>
          <w:jc w:val="center"/>
        </w:trPr>
        <w:tc>
          <w:tcPr>
            <w:tcW w:w="730" w:type="dxa"/>
            <w:vAlign w:val="center"/>
          </w:tcPr>
          <w:p w14:paraId="3FA9AD2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4" w:type="dxa"/>
          </w:tcPr>
          <w:p w14:paraId="6B65CA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8</w:t>
            </w:r>
          </w:p>
        </w:tc>
        <w:tc>
          <w:tcPr>
            <w:tcW w:w="789" w:type="dxa"/>
          </w:tcPr>
          <w:p w14:paraId="3B1C35B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38</w:t>
            </w:r>
            <w:r w:rsidRPr="00FD50F6">
              <w:rPr>
                <w:rFonts w:ascii="Calibri" w:hAnsi="Calibri" w:cs="Times New Roman"/>
                <w:sz w:val="18"/>
                <w:szCs w:val="24"/>
              </w:rPr>
              <w:t>7</w:t>
            </w:r>
            <w:r w:rsidRPr="00FD50F6">
              <w:rPr>
                <w:rFonts w:ascii="Calibri" w:hAnsi="Calibri" w:cs="Times New Roman" w:hint="eastAsia"/>
                <w:sz w:val="18"/>
                <w:szCs w:val="24"/>
              </w:rPr>
              <w:t>8</w:t>
            </w:r>
          </w:p>
        </w:tc>
        <w:tc>
          <w:tcPr>
            <w:tcW w:w="789" w:type="dxa"/>
          </w:tcPr>
          <w:p w14:paraId="4444BD0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3549</w:t>
            </w:r>
          </w:p>
        </w:tc>
        <w:tc>
          <w:tcPr>
            <w:tcW w:w="789" w:type="dxa"/>
          </w:tcPr>
          <w:p w14:paraId="1C1403A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354</w:t>
            </w:r>
          </w:p>
        </w:tc>
        <w:tc>
          <w:tcPr>
            <w:tcW w:w="844" w:type="dxa"/>
          </w:tcPr>
          <w:p w14:paraId="46DC85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1670</w:t>
            </w:r>
          </w:p>
        </w:tc>
        <w:tc>
          <w:tcPr>
            <w:tcW w:w="844" w:type="dxa"/>
          </w:tcPr>
          <w:p w14:paraId="14F90C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795</w:t>
            </w:r>
          </w:p>
        </w:tc>
        <w:tc>
          <w:tcPr>
            <w:tcW w:w="789" w:type="dxa"/>
          </w:tcPr>
          <w:p w14:paraId="316A4E5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453</w:t>
            </w:r>
          </w:p>
        </w:tc>
        <w:tc>
          <w:tcPr>
            <w:tcW w:w="789" w:type="dxa"/>
          </w:tcPr>
          <w:p w14:paraId="564CCC8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453</w:t>
            </w:r>
          </w:p>
        </w:tc>
        <w:tc>
          <w:tcPr>
            <w:tcW w:w="844" w:type="dxa"/>
          </w:tcPr>
          <w:p w14:paraId="5B4F3E3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372</w:t>
            </w:r>
          </w:p>
        </w:tc>
        <w:tc>
          <w:tcPr>
            <w:tcW w:w="789" w:type="dxa"/>
          </w:tcPr>
          <w:p w14:paraId="0A12C8C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81</w:t>
            </w:r>
          </w:p>
        </w:tc>
      </w:tr>
      <w:tr w:rsidR="00FD50F6" w:rsidRPr="00FD50F6" w14:paraId="1542519C" w14:textId="77777777" w:rsidTr="002B733E">
        <w:trPr>
          <w:trHeight w:val="397"/>
          <w:jc w:val="center"/>
        </w:trPr>
        <w:tc>
          <w:tcPr>
            <w:tcW w:w="730" w:type="dxa"/>
          </w:tcPr>
          <w:p w14:paraId="2A3F84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4" w:type="dxa"/>
          </w:tcPr>
          <w:p w14:paraId="61BBE4E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789" w:type="dxa"/>
          </w:tcPr>
          <w:p w14:paraId="0048B39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789" w:type="dxa"/>
          </w:tcPr>
          <w:p w14:paraId="001E09D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89" w:type="dxa"/>
          </w:tcPr>
          <w:p w14:paraId="1B6B2A4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844" w:type="dxa"/>
          </w:tcPr>
          <w:p w14:paraId="794108F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844" w:type="dxa"/>
          </w:tcPr>
          <w:p w14:paraId="4F00FE1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789" w:type="dxa"/>
          </w:tcPr>
          <w:p w14:paraId="741FEC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789" w:type="dxa"/>
          </w:tcPr>
          <w:p w14:paraId="07B3786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844" w:type="dxa"/>
          </w:tcPr>
          <w:p w14:paraId="0B1FA29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89" w:type="dxa"/>
          </w:tcPr>
          <w:p w14:paraId="57ACA4F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6EADFA4C" w14:textId="77777777" w:rsidTr="002B733E">
        <w:trPr>
          <w:trHeight w:val="397"/>
          <w:jc w:val="center"/>
        </w:trPr>
        <w:tc>
          <w:tcPr>
            <w:tcW w:w="730" w:type="dxa"/>
            <w:vAlign w:val="center"/>
          </w:tcPr>
          <w:p w14:paraId="2C417D0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4" w:type="dxa"/>
          </w:tcPr>
          <w:p w14:paraId="676647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254</w:t>
            </w:r>
          </w:p>
        </w:tc>
        <w:tc>
          <w:tcPr>
            <w:tcW w:w="789" w:type="dxa"/>
          </w:tcPr>
          <w:p w14:paraId="59D541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89" w:type="dxa"/>
          </w:tcPr>
          <w:p w14:paraId="6547363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89" w:type="dxa"/>
          </w:tcPr>
          <w:p w14:paraId="77F6C3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844" w:type="dxa"/>
          </w:tcPr>
          <w:p w14:paraId="50B40D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844" w:type="dxa"/>
          </w:tcPr>
          <w:p w14:paraId="26703C8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89" w:type="dxa"/>
          </w:tcPr>
          <w:p w14:paraId="3ACF38A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89" w:type="dxa"/>
          </w:tcPr>
          <w:p w14:paraId="3ABC18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844" w:type="dxa"/>
          </w:tcPr>
          <w:p w14:paraId="5CFE564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789" w:type="dxa"/>
          </w:tcPr>
          <w:p w14:paraId="24410D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75C84A98" w14:textId="77777777" w:rsidTr="002B733E">
        <w:trPr>
          <w:trHeight w:val="397"/>
          <w:jc w:val="center"/>
        </w:trPr>
        <w:tc>
          <w:tcPr>
            <w:tcW w:w="730" w:type="dxa"/>
            <w:vAlign w:val="center"/>
          </w:tcPr>
          <w:p w14:paraId="236829A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4" w:type="dxa"/>
          </w:tcPr>
          <w:p w14:paraId="6E13934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113</w:t>
            </w:r>
          </w:p>
        </w:tc>
        <w:tc>
          <w:tcPr>
            <w:tcW w:w="789" w:type="dxa"/>
          </w:tcPr>
          <w:p w14:paraId="00053AC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114</w:t>
            </w:r>
          </w:p>
        </w:tc>
        <w:tc>
          <w:tcPr>
            <w:tcW w:w="789" w:type="dxa"/>
          </w:tcPr>
          <w:p w14:paraId="63AC71B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789" w:type="dxa"/>
          </w:tcPr>
          <w:p w14:paraId="6992F3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37</w:t>
            </w:r>
          </w:p>
        </w:tc>
        <w:tc>
          <w:tcPr>
            <w:tcW w:w="844" w:type="dxa"/>
          </w:tcPr>
          <w:p w14:paraId="45A514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844" w:type="dxa"/>
          </w:tcPr>
          <w:p w14:paraId="6921BB8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89" w:type="dxa"/>
          </w:tcPr>
          <w:p w14:paraId="4E239FD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789" w:type="dxa"/>
          </w:tcPr>
          <w:p w14:paraId="47B8536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-55</w:t>
            </w:r>
          </w:p>
        </w:tc>
        <w:tc>
          <w:tcPr>
            <w:tcW w:w="844" w:type="dxa"/>
          </w:tcPr>
          <w:p w14:paraId="05653F4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w:t>
            </w:r>
          </w:p>
        </w:tc>
        <w:tc>
          <w:tcPr>
            <w:tcW w:w="789" w:type="dxa"/>
          </w:tcPr>
          <w:p w14:paraId="1839A0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r>
      <w:tr w:rsidR="00FD50F6" w:rsidRPr="00FD50F6" w14:paraId="44E02523" w14:textId="77777777" w:rsidTr="002B733E">
        <w:trPr>
          <w:trHeight w:val="397"/>
          <w:jc w:val="center"/>
        </w:trPr>
        <w:tc>
          <w:tcPr>
            <w:tcW w:w="730" w:type="dxa"/>
          </w:tcPr>
          <w:p w14:paraId="1FE29D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4" w:type="dxa"/>
          </w:tcPr>
          <w:p w14:paraId="53B2FB3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0s’</w:t>
            </w:r>
          </w:p>
        </w:tc>
        <w:tc>
          <w:tcPr>
            <w:tcW w:w="789" w:type="dxa"/>
          </w:tcPr>
          <w:p w14:paraId="145B587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1s’</w:t>
            </w:r>
          </w:p>
        </w:tc>
        <w:tc>
          <w:tcPr>
            <w:tcW w:w="789" w:type="dxa"/>
          </w:tcPr>
          <w:p w14:paraId="0F5DF35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2s’</w:t>
            </w:r>
          </w:p>
        </w:tc>
        <w:tc>
          <w:tcPr>
            <w:tcW w:w="789" w:type="dxa"/>
          </w:tcPr>
          <w:p w14:paraId="224D6B8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3s’</w:t>
            </w:r>
          </w:p>
        </w:tc>
        <w:tc>
          <w:tcPr>
            <w:tcW w:w="844" w:type="dxa"/>
          </w:tcPr>
          <w:p w14:paraId="0F2418B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4s’</w:t>
            </w:r>
          </w:p>
        </w:tc>
        <w:tc>
          <w:tcPr>
            <w:tcW w:w="844" w:type="dxa"/>
            <w:vAlign w:val="center"/>
          </w:tcPr>
          <w:p w14:paraId="76D47D5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89" w:type="dxa"/>
          </w:tcPr>
          <w:p w14:paraId="50DA6008"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64A2E780"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4" w:type="dxa"/>
          </w:tcPr>
          <w:p w14:paraId="5897F61C"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58C97D7E"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721B8290" w14:textId="77777777" w:rsidTr="002B733E">
        <w:trPr>
          <w:trHeight w:val="397"/>
          <w:jc w:val="center"/>
        </w:trPr>
        <w:tc>
          <w:tcPr>
            <w:tcW w:w="730" w:type="dxa"/>
            <w:vAlign w:val="center"/>
          </w:tcPr>
          <w:p w14:paraId="65FD8BC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4" w:type="dxa"/>
          </w:tcPr>
          <w:p w14:paraId="4AE91A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89" w:type="dxa"/>
          </w:tcPr>
          <w:p w14:paraId="6BA5CC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42</w:t>
            </w:r>
          </w:p>
        </w:tc>
        <w:tc>
          <w:tcPr>
            <w:tcW w:w="789" w:type="dxa"/>
          </w:tcPr>
          <w:p w14:paraId="529341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w:t>
            </w:r>
            <w:r w:rsidRPr="00FD50F6">
              <w:rPr>
                <w:rFonts w:ascii="Calibri" w:hAnsi="Calibri" w:cs="Times New Roman" w:hint="eastAsia"/>
                <w:sz w:val="18"/>
                <w:szCs w:val="24"/>
              </w:rPr>
              <w:t>31</w:t>
            </w:r>
          </w:p>
        </w:tc>
        <w:tc>
          <w:tcPr>
            <w:tcW w:w="789" w:type="dxa"/>
          </w:tcPr>
          <w:p w14:paraId="7642FA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803</w:t>
            </w:r>
          </w:p>
        </w:tc>
        <w:tc>
          <w:tcPr>
            <w:tcW w:w="844" w:type="dxa"/>
          </w:tcPr>
          <w:p w14:paraId="029E2C6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w:t>
            </w:r>
            <w:r w:rsidRPr="00FD50F6">
              <w:rPr>
                <w:rFonts w:ascii="Calibri" w:hAnsi="Calibri" w:cs="Times New Roman" w:hint="eastAsia"/>
                <w:sz w:val="18"/>
                <w:szCs w:val="24"/>
              </w:rPr>
              <w:t>65</w:t>
            </w:r>
          </w:p>
        </w:tc>
        <w:tc>
          <w:tcPr>
            <w:tcW w:w="844" w:type="dxa"/>
            <w:vAlign w:val="center"/>
          </w:tcPr>
          <w:p w14:paraId="091A2FA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89" w:type="dxa"/>
          </w:tcPr>
          <w:p w14:paraId="4CA3EBE5"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479D9E2D"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4" w:type="dxa"/>
          </w:tcPr>
          <w:p w14:paraId="04CA07C8"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5599388E"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2B733E" w:rsidRPr="00FD50F6" w14:paraId="7B53641B" w14:textId="77777777" w:rsidTr="002B733E">
        <w:trPr>
          <w:trHeight w:val="397"/>
          <w:jc w:val="center"/>
        </w:trPr>
        <w:tc>
          <w:tcPr>
            <w:tcW w:w="730" w:type="dxa"/>
            <w:vAlign w:val="center"/>
          </w:tcPr>
          <w:p w14:paraId="246CCC7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4" w:type="dxa"/>
          </w:tcPr>
          <w:p w14:paraId="7CEDD3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4071</w:t>
            </w:r>
          </w:p>
        </w:tc>
        <w:tc>
          <w:tcPr>
            <w:tcW w:w="789" w:type="dxa"/>
          </w:tcPr>
          <w:p w14:paraId="4AC8FB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4071</w:t>
            </w:r>
          </w:p>
        </w:tc>
        <w:tc>
          <w:tcPr>
            <w:tcW w:w="789" w:type="dxa"/>
          </w:tcPr>
          <w:p w14:paraId="1B63EE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4053</w:t>
            </w:r>
          </w:p>
        </w:tc>
        <w:tc>
          <w:tcPr>
            <w:tcW w:w="789" w:type="dxa"/>
          </w:tcPr>
          <w:p w14:paraId="63CF0D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4023</w:t>
            </w:r>
          </w:p>
        </w:tc>
        <w:tc>
          <w:tcPr>
            <w:tcW w:w="844" w:type="dxa"/>
          </w:tcPr>
          <w:p w14:paraId="193BDA8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3887</w:t>
            </w:r>
          </w:p>
        </w:tc>
        <w:tc>
          <w:tcPr>
            <w:tcW w:w="844" w:type="dxa"/>
            <w:vAlign w:val="center"/>
          </w:tcPr>
          <w:p w14:paraId="283ACF6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89" w:type="dxa"/>
          </w:tcPr>
          <w:p w14:paraId="73324C0C"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6B9C4EB6"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4" w:type="dxa"/>
          </w:tcPr>
          <w:p w14:paraId="66847AC0"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0366017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bl>
    <w:p w14:paraId="49346841" w14:textId="77777777" w:rsidR="002B733E" w:rsidRPr="00FD50F6" w:rsidRDefault="002B733E" w:rsidP="002B733E">
      <w:pPr>
        <w:spacing w:line="240" w:lineRule="auto"/>
        <w:jc w:val="center"/>
        <w:rPr>
          <w:rFonts w:ascii="黑体" w:eastAsia="黑体" w:hAnsi="黑体" w:cs="Times New Roman"/>
          <w:sz w:val="21"/>
          <w:szCs w:val="24"/>
        </w:rPr>
      </w:pPr>
    </w:p>
    <w:p w14:paraId="7A90569C"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1-3</w:t>
      </w:r>
      <w:r w:rsidRPr="00FD50F6">
        <w:rPr>
          <w:rFonts w:ascii="黑体" w:eastAsia="黑体" w:hAnsi="黑体" w:cs="Times New Roman" w:hint="eastAsia"/>
          <w:sz w:val="21"/>
          <w:szCs w:val="24"/>
        </w:rPr>
        <w:t xml:space="preserve">  隧道内区间直线地段设备限界坐标值（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9"/>
        <w:gridCol w:w="849"/>
        <w:gridCol w:w="850"/>
        <w:gridCol w:w="794"/>
        <w:gridCol w:w="793"/>
        <w:gridCol w:w="793"/>
        <w:gridCol w:w="793"/>
        <w:gridCol w:w="793"/>
        <w:gridCol w:w="793"/>
        <w:gridCol w:w="850"/>
        <w:gridCol w:w="793"/>
      </w:tblGrid>
      <w:tr w:rsidR="00FD50F6" w:rsidRPr="00FD50F6" w14:paraId="3E4685B6" w14:textId="77777777" w:rsidTr="002B733E">
        <w:trPr>
          <w:trHeight w:val="397"/>
          <w:jc w:val="center"/>
        </w:trPr>
        <w:tc>
          <w:tcPr>
            <w:tcW w:w="739" w:type="dxa"/>
          </w:tcPr>
          <w:p w14:paraId="0E57861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9" w:type="dxa"/>
          </w:tcPr>
          <w:p w14:paraId="4EBF53D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850" w:type="dxa"/>
          </w:tcPr>
          <w:p w14:paraId="1D00C0F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794" w:type="dxa"/>
          </w:tcPr>
          <w:p w14:paraId="40F6A2D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93" w:type="dxa"/>
          </w:tcPr>
          <w:p w14:paraId="50D2AC6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793" w:type="dxa"/>
          </w:tcPr>
          <w:p w14:paraId="3D2E085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793" w:type="dxa"/>
          </w:tcPr>
          <w:p w14:paraId="2A0318F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793" w:type="dxa"/>
          </w:tcPr>
          <w:p w14:paraId="53E2C0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793" w:type="dxa"/>
          </w:tcPr>
          <w:p w14:paraId="3CF5903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850" w:type="dxa"/>
          </w:tcPr>
          <w:p w14:paraId="33AA86B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93" w:type="dxa"/>
          </w:tcPr>
          <w:p w14:paraId="2FFDFFA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2FC98821" w14:textId="77777777" w:rsidTr="002B733E">
        <w:trPr>
          <w:trHeight w:val="397"/>
          <w:jc w:val="center"/>
        </w:trPr>
        <w:tc>
          <w:tcPr>
            <w:tcW w:w="739" w:type="dxa"/>
            <w:vAlign w:val="center"/>
          </w:tcPr>
          <w:p w14:paraId="3284663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9" w:type="dxa"/>
          </w:tcPr>
          <w:p w14:paraId="1C532B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850" w:type="dxa"/>
          </w:tcPr>
          <w:p w14:paraId="3DABF7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10</w:t>
            </w:r>
            <w:r w:rsidRPr="00FD50F6">
              <w:rPr>
                <w:rFonts w:ascii="Calibri" w:hAnsi="Calibri" w:cs="Times New Roman" w:hint="eastAsia"/>
                <w:sz w:val="18"/>
                <w:szCs w:val="24"/>
              </w:rPr>
              <w:t>54</w:t>
            </w:r>
          </w:p>
        </w:tc>
        <w:tc>
          <w:tcPr>
            <w:tcW w:w="794" w:type="dxa"/>
          </w:tcPr>
          <w:p w14:paraId="09510B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399</w:t>
            </w:r>
          </w:p>
        </w:tc>
        <w:tc>
          <w:tcPr>
            <w:tcW w:w="793" w:type="dxa"/>
          </w:tcPr>
          <w:p w14:paraId="052ECBF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533</w:t>
            </w:r>
          </w:p>
        </w:tc>
        <w:tc>
          <w:tcPr>
            <w:tcW w:w="793" w:type="dxa"/>
          </w:tcPr>
          <w:p w14:paraId="6F53143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579</w:t>
            </w:r>
          </w:p>
        </w:tc>
        <w:tc>
          <w:tcPr>
            <w:tcW w:w="793" w:type="dxa"/>
          </w:tcPr>
          <w:p w14:paraId="613ACA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1494</w:t>
            </w:r>
          </w:p>
        </w:tc>
        <w:tc>
          <w:tcPr>
            <w:tcW w:w="793" w:type="dxa"/>
          </w:tcPr>
          <w:p w14:paraId="276774A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1493</w:t>
            </w:r>
          </w:p>
        </w:tc>
        <w:tc>
          <w:tcPr>
            <w:tcW w:w="793" w:type="dxa"/>
          </w:tcPr>
          <w:p w14:paraId="46F2E92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393</w:t>
            </w:r>
          </w:p>
        </w:tc>
        <w:tc>
          <w:tcPr>
            <w:tcW w:w="850" w:type="dxa"/>
          </w:tcPr>
          <w:p w14:paraId="6FE790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1368</w:t>
            </w:r>
          </w:p>
        </w:tc>
        <w:tc>
          <w:tcPr>
            <w:tcW w:w="793" w:type="dxa"/>
          </w:tcPr>
          <w:p w14:paraId="219016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367</w:t>
            </w:r>
          </w:p>
        </w:tc>
      </w:tr>
      <w:tr w:rsidR="00FD50F6" w:rsidRPr="00FD50F6" w14:paraId="0565666D" w14:textId="77777777" w:rsidTr="002B733E">
        <w:trPr>
          <w:trHeight w:val="397"/>
          <w:jc w:val="center"/>
        </w:trPr>
        <w:tc>
          <w:tcPr>
            <w:tcW w:w="739" w:type="dxa"/>
            <w:vAlign w:val="center"/>
          </w:tcPr>
          <w:p w14:paraId="6178392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9" w:type="dxa"/>
          </w:tcPr>
          <w:p w14:paraId="5C3534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3938</w:t>
            </w:r>
          </w:p>
        </w:tc>
        <w:tc>
          <w:tcPr>
            <w:tcW w:w="850" w:type="dxa"/>
          </w:tcPr>
          <w:p w14:paraId="002C209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3938</w:t>
            </w:r>
          </w:p>
        </w:tc>
        <w:tc>
          <w:tcPr>
            <w:tcW w:w="794" w:type="dxa"/>
          </w:tcPr>
          <w:p w14:paraId="37EA1D2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609</w:t>
            </w:r>
          </w:p>
        </w:tc>
        <w:tc>
          <w:tcPr>
            <w:tcW w:w="793" w:type="dxa"/>
          </w:tcPr>
          <w:p w14:paraId="2B6CA5F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414</w:t>
            </w:r>
          </w:p>
        </w:tc>
        <w:tc>
          <w:tcPr>
            <w:tcW w:w="793" w:type="dxa"/>
          </w:tcPr>
          <w:p w14:paraId="02283D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1670</w:t>
            </w:r>
          </w:p>
        </w:tc>
        <w:tc>
          <w:tcPr>
            <w:tcW w:w="793" w:type="dxa"/>
          </w:tcPr>
          <w:p w14:paraId="5CB98A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745</w:t>
            </w:r>
          </w:p>
        </w:tc>
        <w:tc>
          <w:tcPr>
            <w:tcW w:w="793" w:type="dxa"/>
          </w:tcPr>
          <w:p w14:paraId="54F33A5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423</w:t>
            </w:r>
          </w:p>
        </w:tc>
        <w:tc>
          <w:tcPr>
            <w:tcW w:w="793" w:type="dxa"/>
          </w:tcPr>
          <w:p w14:paraId="121236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423</w:t>
            </w:r>
          </w:p>
        </w:tc>
        <w:tc>
          <w:tcPr>
            <w:tcW w:w="850" w:type="dxa"/>
          </w:tcPr>
          <w:p w14:paraId="5FBB38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342</w:t>
            </w:r>
          </w:p>
        </w:tc>
        <w:tc>
          <w:tcPr>
            <w:tcW w:w="793" w:type="dxa"/>
          </w:tcPr>
          <w:p w14:paraId="2C63A2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151</w:t>
            </w:r>
          </w:p>
        </w:tc>
      </w:tr>
      <w:tr w:rsidR="00FD50F6" w:rsidRPr="00FD50F6" w14:paraId="00A54704" w14:textId="77777777" w:rsidTr="002B733E">
        <w:trPr>
          <w:trHeight w:val="397"/>
          <w:jc w:val="center"/>
        </w:trPr>
        <w:tc>
          <w:tcPr>
            <w:tcW w:w="739" w:type="dxa"/>
          </w:tcPr>
          <w:p w14:paraId="1E171C5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9" w:type="dxa"/>
          </w:tcPr>
          <w:p w14:paraId="77A63C8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850" w:type="dxa"/>
          </w:tcPr>
          <w:p w14:paraId="3F6CA6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794" w:type="dxa"/>
          </w:tcPr>
          <w:p w14:paraId="462E753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93" w:type="dxa"/>
          </w:tcPr>
          <w:p w14:paraId="7F548DE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793" w:type="dxa"/>
          </w:tcPr>
          <w:p w14:paraId="69D4FAE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793" w:type="dxa"/>
          </w:tcPr>
          <w:p w14:paraId="2AAB943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793" w:type="dxa"/>
          </w:tcPr>
          <w:p w14:paraId="1360EED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793" w:type="dxa"/>
          </w:tcPr>
          <w:p w14:paraId="08B6D20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850" w:type="dxa"/>
          </w:tcPr>
          <w:p w14:paraId="68A3DA9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93" w:type="dxa"/>
          </w:tcPr>
          <w:p w14:paraId="7105A55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34A90F6A" w14:textId="77777777" w:rsidTr="002B733E">
        <w:trPr>
          <w:trHeight w:val="397"/>
          <w:jc w:val="center"/>
        </w:trPr>
        <w:tc>
          <w:tcPr>
            <w:tcW w:w="739" w:type="dxa"/>
            <w:vAlign w:val="center"/>
          </w:tcPr>
          <w:p w14:paraId="5FA2055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9" w:type="dxa"/>
          </w:tcPr>
          <w:p w14:paraId="65B3F7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269</w:t>
            </w:r>
          </w:p>
        </w:tc>
        <w:tc>
          <w:tcPr>
            <w:tcW w:w="850" w:type="dxa"/>
          </w:tcPr>
          <w:p w14:paraId="441F83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926</w:t>
            </w:r>
          </w:p>
        </w:tc>
        <w:tc>
          <w:tcPr>
            <w:tcW w:w="794" w:type="dxa"/>
          </w:tcPr>
          <w:p w14:paraId="07FDBD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926</w:t>
            </w:r>
          </w:p>
        </w:tc>
        <w:tc>
          <w:tcPr>
            <w:tcW w:w="793" w:type="dxa"/>
          </w:tcPr>
          <w:p w14:paraId="2C4F3FC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793" w:type="dxa"/>
          </w:tcPr>
          <w:p w14:paraId="774E029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w:t>
            </w:r>
            <w:r w:rsidRPr="00FD50F6">
              <w:rPr>
                <w:rFonts w:ascii="Calibri" w:hAnsi="Calibri" w:cs="Times New Roman" w:hint="eastAsia"/>
                <w:sz w:val="18"/>
                <w:szCs w:val="24"/>
              </w:rPr>
              <w:t>41</w:t>
            </w:r>
          </w:p>
        </w:tc>
        <w:tc>
          <w:tcPr>
            <w:tcW w:w="793" w:type="dxa"/>
          </w:tcPr>
          <w:p w14:paraId="06C54FA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93" w:type="dxa"/>
          </w:tcPr>
          <w:p w14:paraId="5A8D0DD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73</w:t>
            </w:r>
            <w:r w:rsidRPr="00FD50F6">
              <w:rPr>
                <w:rFonts w:ascii="Calibri" w:hAnsi="Calibri" w:cs="Times New Roman" w:hint="eastAsia"/>
                <w:sz w:val="18"/>
                <w:szCs w:val="24"/>
              </w:rPr>
              <w:t>8</w:t>
            </w:r>
          </w:p>
        </w:tc>
        <w:tc>
          <w:tcPr>
            <w:tcW w:w="793" w:type="dxa"/>
          </w:tcPr>
          <w:p w14:paraId="70589A9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850" w:type="dxa"/>
          </w:tcPr>
          <w:p w14:paraId="12306B0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w:t>
            </w:r>
            <w:r w:rsidRPr="00FD50F6">
              <w:rPr>
                <w:rFonts w:ascii="Calibri" w:hAnsi="Calibri" w:cs="Times New Roman" w:hint="eastAsia"/>
                <w:sz w:val="18"/>
                <w:szCs w:val="24"/>
              </w:rPr>
              <w:t>48</w:t>
            </w:r>
          </w:p>
        </w:tc>
        <w:tc>
          <w:tcPr>
            <w:tcW w:w="793" w:type="dxa"/>
          </w:tcPr>
          <w:p w14:paraId="6685C37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0E3472C6" w14:textId="77777777" w:rsidTr="002B733E">
        <w:trPr>
          <w:trHeight w:val="397"/>
          <w:jc w:val="center"/>
        </w:trPr>
        <w:tc>
          <w:tcPr>
            <w:tcW w:w="739" w:type="dxa"/>
            <w:vAlign w:val="center"/>
          </w:tcPr>
          <w:p w14:paraId="54C1252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9" w:type="dxa"/>
          </w:tcPr>
          <w:p w14:paraId="10BB4C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w:t>
            </w:r>
          </w:p>
        </w:tc>
        <w:tc>
          <w:tcPr>
            <w:tcW w:w="850" w:type="dxa"/>
          </w:tcPr>
          <w:p w14:paraId="7C762D9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w:t>
            </w:r>
          </w:p>
        </w:tc>
        <w:tc>
          <w:tcPr>
            <w:tcW w:w="794" w:type="dxa"/>
          </w:tcPr>
          <w:p w14:paraId="5CC114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41</w:t>
            </w:r>
          </w:p>
        </w:tc>
        <w:tc>
          <w:tcPr>
            <w:tcW w:w="793" w:type="dxa"/>
          </w:tcPr>
          <w:p w14:paraId="76465B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41</w:t>
            </w:r>
          </w:p>
        </w:tc>
        <w:tc>
          <w:tcPr>
            <w:tcW w:w="793" w:type="dxa"/>
          </w:tcPr>
          <w:p w14:paraId="04249B2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93" w:type="dxa"/>
          </w:tcPr>
          <w:p w14:paraId="0B5FE31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8</w:t>
            </w:r>
          </w:p>
        </w:tc>
        <w:tc>
          <w:tcPr>
            <w:tcW w:w="793" w:type="dxa"/>
          </w:tcPr>
          <w:p w14:paraId="789768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-55</w:t>
            </w:r>
          </w:p>
        </w:tc>
        <w:tc>
          <w:tcPr>
            <w:tcW w:w="793" w:type="dxa"/>
          </w:tcPr>
          <w:p w14:paraId="63A062A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 xml:space="preserve"> -55</w:t>
            </w:r>
          </w:p>
        </w:tc>
        <w:tc>
          <w:tcPr>
            <w:tcW w:w="850" w:type="dxa"/>
          </w:tcPr>
          <w:p w14:paraId="1AF64A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93" w:type="dxa"/>
          </w:tcPr>
          <w:p w14:paraId="75A677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r>
      <w:tr w:rsidR="00FD50F6" w:rsidRPr="00FD50F6" w14:paraId="20788DCF" w14:textId="77777777" w:rsidTr="002B733E">
        <w:trPr>
          <w:trHeight w:val="397"/>
          <w:jc w:val="center"/>
        </w:trPr>
        <w:tc>
          <w:tcPr>
            <w:tcW w:w="739" w:type="dxa"/>
          </w:tcPr>
          <w:p w14:paraId="0D23C45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9" w:type="dxa"/>
          </w:tcPr>
          <w:p w14:paraId="302EF54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0s”</w:t>
            </w:r>
          </w:p>
        </w:tc>
        <w:tc>
          <w:tcPr>
            <w:tcW w:w="850" w:type="dxa"/>
          </w:tcPr>
          <w:p w14:paraId="148356F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1s”</w:t>
            </w:r>
          </w:p>
        </w:tc>
        <w:tc>
          <w:tcPr>
            <w:tcW w:w="794" w:type="dxa"/>
          </w:tcPr>
          <w:p w14:paraId="0DAC1CD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2s”</w:t>
            </w:r>
          </w:p>
        </w:tc>
        <w:tc>
          <w:tcPr>
            <w:tcW w:w="793" w:type="dxa"/>
          </w:tcPr>
          <w:p w14:paraId="1EDB5F8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3s”</w:t>
            </w:r>
          </w:p>
        </w:tc>
        <w:tc>
          <w:tcPr>
            <w:tcW w:w="793" w:type="dxa"/>
          </w:tcPr>
          <w:p w14:paraId="60EC04A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4s”</w:t>
            </w:r>
          </w:p>
        </w:tc>
        <w:tc>
          <w:tcPr>
            <w:tcW w:w="793" w:type="dxa"/>
            <w:vAlign w:val="center"/>
          </w:tcPr>
          <w:p w14:paraId="597B28E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3" w:type="dxa"/>
          </w:tcPr>
          <w:p w14:paraId="64DCDC2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93" w:type="dxa"/>
          </w:tcPr>
          <w:p w14:paraId="07F72495"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50" w:type="dxa"/>
          </w:tcPr>
          <w:p w14:paraId="2F431C21"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93" w:type="dxa"/>
          </w:tcPr>
          <w:p w14:paraId="3C9AFA1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51F74CB9" w14:textId="77777777" w:rsidTr="002B733E">
        <w:trPr>
          <w:trHeight w:val="397"/>
          <w:jc w:val="center"/>
        </w:trPr>
        <w:tc>
          <w:tcPr>
            <w:tcW w:w="739" w:type="dxa"/>
            <w:vAlign w:val="center"/>
          </w:tcPr>
          <w:p w14:paraId="4BE50F0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lastRenderedPageBreak/>
              <w:t>X</w:t>
            </w:r>
          </w:p>
        </w:tc>
        <w:tc>
          <w:tcPr>
            <w:tcW w:w="849" w:type="dxa"/>
          </w:tcPr>
          <w:p w14:paraId="2D7F18D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850" w:type="dxa"/>
          </w:tcPr>
          <w:p w14:paraId="7FE82BD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5</w:t>
            </w:r>
            <w:r w:rsidRPr="00FD50F6">
              <w:rPr>
                <w:rFonts w:ascii="Calibri" w:hAnsi="Calibri" w:cs="Times New Roman" w:hint="eastAsia"/>
                <w:sz w:val="18"/>
                <w:szCs w:val="24"/>
              </w:rPr>
              <w:t>42</w:t>
            </w:r>
          </w:p>
        </w:tc>
        <w:tc>
          <w:tcPr>
            <w:tcW w:w="794" w:type="dxa"/>
          </w:tcPr>
          <w:p w14:paraId="08E6EB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831</w:t>
            </w:r>
          </w:p>
        </w:tc>
        <w:tc>
          <w:tcPr>
            <w:tcW w:w="793" w:type="dxa"/>
          </w:tcPr>
          <w:p w14:paraId="1DE4009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903</w:t>
            </w:r>
          </w:p>
        </w:tc>
        <w:tc>
          <w:tcPr>
            <w:tcW w:w="793" w:type="dxa"/>
          </w:tcPr>
          <w:p w14:paraId="4EF731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10</w:t>
            </w:r>
            <w:r w:rsidRPr="00FD50F6">
              <w:rPr>
                <w:rFonts w:ascii="Calibri" w:hAnsi="Calibri" w:cs="Times New Roman" w:hint="eastAsia"/>
                <w:sz w:val="18"/>
                <w:szCs w:val="24"/>
              </w:rPr>
              <w:t>65</w:t>
            </w:r>
          </w:p>
        </w:tc>
        <w:tc>
          <w:tcPr>
            <w:tcW w:w="793" w:type="dxa"/>
            <w:vAlign w:val="center"/>
          </w:tcPr>
          <w:p w14:paraId="7C326EA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3" w:type="dxa"/>
          </w:tcPr>
          <w:p w14:paraId="35CD2D74"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93" w:type="dxa"/>
          </w:tcPr>
          <w:p w14:paraId="1B559AF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50" w:type="dxa"/>
          </w:tcPr>
          <w:p w14:paraId="3E27288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93" w:type="dxa"/>
          </w:tcPr>
          <w:p w14:paraId="7F49EC3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2B733E" w:rsidRPr="00FD50F6" w14:paraId="60C1C70A" w14:textId="77777777" w:rsidTr="002B733E">
        <w:trPr>
          <w:trHeight w:val="397"/>
          <w:jc w:val="center"/>
        </w:trPr>
        <w:tc>
          <w:tcPr>
            <w:tcW w:w="739" w:type="dxa"/>
            <w:vAlign w:val="center"/>
          </w:tcPr>
          <w:p w14:paraId="17473A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9" w:type="dxa"/>
          </w:tcPr>
          <w:p w14:paraId="228E1D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4071</w:t>
            </w:r>
          </w:p>
        </w:tc>
        <w:tc>
          <w:tcPr>
            <w:tcW w:w="850" w:type="dxa"/>
          </w:tcPr>
          <w:p w14:paraId="411D91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4071</w:t>
            </w:r>
          </w:p>
        </w:tc>
        <w:tc>
          <w:tcPr>
            <w:tcW w:w="794" w:type="dxa"/>
          </w:tcPr>
          <w:p w14:paraId="2654E4D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4053</w:t>
            </w:r>
          </w:p>
        </w:tc>
        <w:tc>
          <w:tcPr>
            <w:tcW w:w="793" w:type="dxa"/>
          </w:tcPr>
          <w:p w14:paraId="21DC0E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4023</w:t>
            </w:r>
          </w:p>
        </w:tc>
        <w:tc>
          <w:tcPr>
            <w:tcW w:w="793" w:type="dxa"/>
          </w:tcPr>
          <w:p w14:paraId="1216014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3887</w:t>
            </w:r>
          </w:p>
        </w:tc>
        <w:tc>
          <w:tcPr>
            <w:tcW w:w="793" w:type="dxa"/>
          </w:tcPr>
          <w:p w14:paraId="713B7746" w14:textId="77777777" w:rsidR="002B733E" w:rsidRPr="00FD50F6" w:rsidRDefault="002B733E" w:rsidP="002B733E">
            <w:pPr>
              <w:spacing w:line="400" w:lineRule="exact"/>
              <w:jc w:val="center"/>
              <w:rPr>
                <w:rFonts w:ascii="Calibri" w:hAnsi="Calibri" w:cs="Times New Roman"/>
                <w:sz w:val="18"/>
                <w:szCs w:val="24"/>
              </w:rPr>
            </w:pPr>
          </w:p>
        </w:tc>
        <w:tc>
          <w:tcPr>
            <w:tcW w:w="793" w:type="dxa"/>
          </w:tcPr>
          <w:p w14:paraId="115BB60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93" w:type="dxa"/>
          </w:tcPr>
          <w:p w14:paraId="0662550E"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50" w:type="dxa"/>
          </w:tcPr>
          <w:p w14:paraId="0565A3E6"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93" w:type="dxa"/>
          </w:tcPr>
          <w:p w14:paraId="274D6FAB"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bl>
    <w:p w14:paraId="04FDB542" w14:textId="77777777" w:rsidR="002B733E" w:rsidRPr="00FD50F6" w:rsidRDefault="002B733E" w:rsidP="002B733E">
      <w:pPr>
        <w:spacing w:line="240" w:lineRule="auto"/>
        <w:jc w:val="center"/>
        <w:rPr>
          <w:rFonts w:ascii="黑体" w:eastAsia="黑体" w:hAnsi="黑体" w:cs="Times New Roman"/>
          <w:sz w:val="21"/>
          <w:szCs w:val="24"/>
        </w:rPr>
      </w:pPr>
    </w:p>
    <w:p w14:paraId="141F6AAA" w14:textId="77777777" w:rsidR="002B733E" w:rsidRPr="00FD50F6" w:rsidRDefault="002B733E" w:rsidP="002B733E">
      <w:pPr>
        <w:spacing w:line="240" w:lineRule="auto"/>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1-4</w:t>
      </w:r>
      <w:r w:rsidRPr="00FD50F6">
        <w:rPr>
          <w:rFonts w:ascii="黑体" w:eastAsia="黑体" w:hAnsi="黑体" w:cs="Times New Roman" w:hint="eastAsia"/>
          <w:sz w:val="21"/>
          <w:szCs w:val="24"/>
        </w:rPr>
        <w:t xml:space="preserve">  隧道外区间直线地段车辆限界坐标值（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0"/>
        <w:gridCol w:w="844"/>
        <w:gridCol w:w="789"/>
        <w:gridCol w:w="789"/>
        <w:gridCol w:w="789"/>
        <w:gridCol w:w="844"/>
        <w:gridCol w:w="844"/>
        <w:gridCol w:w="789"/>
        <w:gridCol w:w="789"/>
        <w:gridCol w:w="844"/>
        <w:gridCol w:w="789"/>
      </w:tblGrid>
      <w:tr w:rsidR="00FD50F6" w:rsidRPr="00FD50F6" w14:paraId="3693B2DC" w14:textId="77777777" w:rsidTr="002B733E">
        <w:trPr>
          <w:trHeight w:val="397"/>
          <w:jc w:val="center"/>
        </w:trPr>
        <w:tc>
          <w:tcPr>
            <w:tcW w:w="730" w:type="dxa"/>
          </w:tcPr>
          <w:p w14:paraId="144BAC6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4" w:type="dxa"/>
          </w:tcPr>
          <w:p w14:paraId="3621276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789" w:type="dxa"/>
          </w:tcPr>
          <w:p w14:paraId="30F0B72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789" w:type="dxa"/>
          </w:tcPr>
          <w:p w14:paraId="1DAEA01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89" w:type="dxa"/>
          </w:tcPr>
          <w:p w14:paraId="4F3F8AA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844" w:type="dxa"/>
          </w:tcPr>
          <w:p w14:paraId="53B7511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844" w:type="dxa"/>
          </w:tcPr>
          <w:p w14:paraId="3AAF5F3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789" w:type="dxa"/>
          </w:tcPr>
          <w:p w14:paraId="74E5663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789" w:type="dxa"/>
          </w:tcPr>
          <w:p w14:paraId="1F907CD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844" w:type="dxa"/>
          </w:tcPr>
          <w:p w14:paraId="05122AF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89" w:type="dxa"/>
          </w:tcPr>
          <w:p w14:paraId="2507C81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12B418F6" w14:textId="77777777" w:rsidTr="002B733E">
        <w:trPr>
          <w:trHeight w:val="397"/>
          <w:jc w:val="center"/>
        </w:trPr>
        <w:tc>
          <w:tcPr>
            <w:tcW w:w="730" w:type="dxa"/>
            <w:vAlign w:val="center"/>
          </w:tcPr>
          <w:p w14:paraId="5B41649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4" w:type="dxa"/>
          </w:tcPr>
          <w:p w14:paraId="76BD817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89" w:type="dxa"/>
          </w:tcPr>
          <w:p w14:paraId="5F1CDFC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w:t>
            </w:r>
            <w:r w:rsidRPr="00FD50F6">
              <w:rPr>
                <w:rFonts w:ascii="Calibri" w:hAnsi="Calibri" w:cs="Times New Roman" w:hint="eastAsia"/>
                <w:sz w:val="18"/>
                <w:szCs w:val="24"/>
              </w:rPr>
              <w:t>69</w:t>
            </w:r>
          </w:p>
        </w:tc>
        <w:tc>
          <w:tcPr>
            <w:tcW w:w="789" w:type="dxa"/>
          </w:tcPr>
          <w:p w14:paraId="71C12F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314</w:t>
            </w:r>
          </w:p>
        </w:tc>
        <w:tc>
          <w:tcPr>
            <w:tcW w:w="789" w:type="dxa"/>
          </w:tcPr>
          <w:p w14:paraId="1B51D8E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446</w:t>
            </w:r>
          </w:p>
        </w:tc>
        <w:tc>
          <w:tcPr>
            <w:tcW w:w="844" w:type="dxa"/>
          </w:tcPr>
          <w:p w14:paraId="2DF9FA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532</w:t>
            </w:r>
          </w:p>
        </w:tc>
        <w:tc>
          <w:tcPr>
            <w:tcW w:w="844" w:type="dxa"/>
          </w:tcPr>
          <w:p w14:paraId="6A0F5E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465</w:t>
            </w:r>
          </w:p>
        </w:tc>
        <w:tc>
          <w:tcPr>
            <w:tcW w:w="789" w:type="dxa"/>
          </w:tcPr>
          <w:p w14:paraId="6AA19BF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462</w:t>
            </w:r>
          </w:p>
        </w:tc>
        <w:tc>
          <w:tcPr>
            <w:tcW w:w="789" w:type="dxa"/>
          </w:tcPr>
          <w:p w14:paraId="54E862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378</w:t>
            </w:r>
          </w:p>
        </w:tc>
        <w:tc>
          <w:tcPr>
            <w:tcW w:w="844" w:type="dxa"/>
          </w:tcPr>
          <w:p w14:paraId="72286A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353</w:t>
            </w:r>
          </w:p>
        </w:tc>
        <w:tc>
          <w:tcPr>
            <w:tcW w:w="789" w:type="dxa"/>
          </w:tcPr>
          <w:p w14:paraId="13933D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353</w:t>
            </w:r>
          </w:p>
        </w:tc>
      </w:tr>
      <w:tr w:rsidR="00FD50F6" w:rsidRPr="00FD50F6" w14:paraId="3226501C" w14:textId="77777777" w:rsidTr="002B733E">
        <w:trPr>
          <w:trHeight w:val="397"/>
          <w:jc w:val="center"/>
        </w:trPr>
        <w:tc>
          <w:tcPr>
            <w:tcW w:w="730" w:type="dxa"/>
            <w:vAlign w:val="center"/>
          </w:tcPr>
          <w:p w14:paraId="222E49A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4" w:type="dxa"/>
          </w:tcPr>
          <w:p w14:paraId="64CCF6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9</w:t>
            </w:r>
          </w:p>
        </w:tc>
        <w:tc>
          <w:tcPr>
            <w:tcW w:w="789" w:type="dxa"/>
          </w:tcPr>
          <w:p w14:paraId="2621C3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9</w:t>
            </w:r>
          </w:p>
        </w:tc>
        <w:tc>
          <w:tcPr>
            <w:tcW w:w="789" w:type="dxa"/>
          </w:tcPr>
          <w:p w14:paraId="784CDA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550</w:t>
            </w:r>
          </w:p>
        </w:tc>
        <w:tc>
          <w:tcPr>
            <w:tcW w:w="789" w:type="dxa"/>
          </w:tcPr>
          <w:p w14:paraId="3755F01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356</w:t>
            </w:r>
          </w:p>
        </w:tc>
        <w:tc>
          <w:tcPr>
            <w:tcW w:w="844" w:type="dxa"/>
          </w:tcPr>
          <w:p w14:paraId="76E8E51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1669</w:t>
            </w:r>
          </w:p>
        </w:tc>
        <w:tc>
          <w:tcPr>
            <w:tcW w:w="844" w:type="dxa"/>
          </w:tcPr>
          <w:p w14:paraId="5FA9A6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794</w:t>
            </w:r>
          </w:p>
        </w:tc>
        <w:tc>
          <w:tcPr>
            <w:tcW w:w="789" w:type="dxa"/>
          </w:tcPr>
          <w:p w14:paraId="0A70113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452</w:t>
            </w:r>
          </w:p>
        </w:tc>
        <w:tc>
          <w:tcPr>
            <w:tcW w:w="789" w:type="dxa"/>
          </w:tcPr>
          <w:p w14:paraId="085114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452</w:t>
            </w:r>
          </w:p>
        </w:tc>
        <w:tc>
          <w:tcPr>
            <w:tcW w:w="844" w:type="dxa"/>
          </w:tcPr>
          <w:p w14:paraId="298071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181</w:t>
            </w:r>
          </w:p>
        </w:tc>
        <w:tc>
          <w:tcPr>
            <w:tcW w:w="789" w:type="dxa"/>
          </w:tcPr>
          <w:p w14:paraId="3F9E2CB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81</w:t>
            </w:r>
          </w:p>
        </w:tc>
      </w:tr>
      <w:tr w:rsidR="00FD50F6" w:rsidRPr="00FD50F6" w14:paraId="7D2E37A0" w14:textId="77777777" w:rsidTr="002B733E">
        <w:trPr>
          <w:trHeight w:val="397"/>
          <w:jc w:val="center"/>
        </w:trPr>
        <w:tc>
          <w:tcPr>
            <w:tcW w:w="730" w:type="dxa"/>
          </w:tcPr>
          <w:p w14:paraId="02DBFDA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4" w:type="dxa"/>
          </w:tcPr>
          <w:p w14:paraId="4C9F452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789" w:type="dxa"/>
          </w:tcPr>
          <w:p w14:paraId="152C3C8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789" w:type="dxa"/>
          </w:tcPr>
          <w:p w14:paraId="5D1A548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89" w:type="dxa"/>
          </w:tcPr>
          <w:p w14:paraId="562A220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844" w:type="dxa"/>
          </w:tcPr>
          <w:p w14:paraId="29673B1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844" w:type="dxa"/>
          </w:tcPr>
          <w:p w14:paraId="7853643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789" w:type="dxa"/>
          </w:tcPr>
          <w:p w14:paraId="32391B1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789" w:type="dxa"/>
          </w:tcPr>
          <w:p w14:paraId="53D09A9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844" w:type="dxa"/>
          </w:tcPr>
          <w:p w14:paraId="04C87C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89" w:type="dxa"/>
          </w:tcPr>
          <w:p w14:paraId="1A6704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7FAAD35A" w14:textId="77777777" w:rsidTr="002B733E">
        <w:trPr>
          <w:trHeight w:val="397"/>
          <w:jc w:val="center"/>
        </w:trPr>
        <w:tc>
          <w:tcPr>
            <w:tcW w:w="730" w:type="dxa"/>
            <w:vAlign w:val="center"/>
          </w:tcPr>
          <w:p w14:paraId="7118FB5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4" w:type="dxa"/>
          </w:tcPr>
          <w:p w14:paraId="666E5E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254</w:t>
            </w:r>
          </w:p>
        </w:tc>
        <w:tc>
          <w:tcPr>
            <w:tcW w:w="789" w:type="dxa"/>
          </w:tcPr>
          <w:p w14:paraId="333C27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89" w:type="dxa"/>
          </w:tcPr>
          <w:p w14:paraId="25B200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89" w:type="dxa"/>
          </w:tcPr>
          <w:p w14:paraId="38BF6BE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844" w:type="dxa"/>
          </w:tcPr>
          <w:p w14:paraId="229AD3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844" w:type="dxa"/>
          </w:tcPr>
          <w:p w14:paraId="28BE64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89" w:type="dxa"/>
          </w:tcPr>
          <w:p w14:paraId="2B1246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73</w:t>
            </w:r>
            <w:r w:rsidRPr="00FD50F6">
              <w:rPr>
                <w:rFonts w:ascii="Calibri" w:hAnsi="Calibri" w:cs="Times New Roman" w:hint="eastAsia"/>
                <w:sz w:val="18"/>
                <w:szCs w:val="24"/>
              </w:rPr>
              <w:t>8</w:t>
            </w:r>
          </w:p>
        </w:tc>
        <w:tc>
          <w:tcPr>
            <w:tcW w:w="789" w:type="dxa"/>
          </w:tcPr>
          <w:p w14:paraId="771C2B2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844" w:type="dxa"/>
          </w:tcPr>
          <w:p w14:paraId="0EB0777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789" w:type="dxa"/>
          </w:tcPr>
          <w:p w14:paraId="22E329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6CFEE902" w14:textId="77777777" w:rsidTr="002B733E">
        <w:trPr>
          <w:trHeight w:val="397"/>
          <w:jc w:val="center"/>
        </w:trPr>
        <w:tc>
          <w:tcPr>
            <w:tcW w:w="730" w:type="dxa"/>
            <w:vAlign w:val="center"/>
          </w:tcPr>
          <w:p w14:paraId="577B18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4" w:type="dxa"/>
          </w:tcPr>
          <w:p w14:paraId="286DD3B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113</w:t>
            </w:r>
          </w:p>
        </w:tc>
        <w:tc>
          <w:tcPr>
            <w:tcW w:w="789" w:type="dxa"/>
          </w:tcPr>
          <w:p w14:paraId="185F5EB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114</w:t>
            </w:r>
          </w:p>
        </w:tc>
        <w:tc>
          <w:tcPr>
            <w:tcW w:w="789" w:type="dxa"/>
          </w:tcPr>
          <w:p w14:paraId="1DC20A9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789" w:type="dxa"/>
          </w:tcPr>
          <w:p w14:paraId="381C46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844" w:type="dxa"/>
          </w:tcPr>
          <w:p w14:paraId="2FC2BC5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844" w:type="dxa"/>
          </w:tcPr>
          <w:p w14:paraId="5CC0157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-18</w:t>
            </w:r>
          </w:p>
        </w:tc>
        <w:tc>
          <w:tcPr>
            <w:tcW w:w="789" w:type="dxa"/>
          </w:tcPr>
          <w:p w14:paraId="500386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-55</w:t>
            </w:r>
          </w:p>
        </w:tc>
        <w:tc>
          <w:tcPr>
            <w:tcW w:w="789" w:type="dxa"/>
          </w:tcPr>
          <w:p w14:paraId="325D6F5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844" w:type="dxa"/>
          </w:tcPr>
          <w:p w14:paraId="458482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27</w:t>
            </w:r>
          </w:p>
        </w:tc>
        <w:tc>
          <w:tcPr>
            <w:tcW w:w="789" w:type="dxa"/>
          </w:tcPr>
          <w:p w14:paraId="078DFBB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r>
      <w:tr w:rsidR="00FD50F6" w:rsidRPr="00FD50F6" w14:paraId="34464266" w14:textId="77777777" w:rsidTr="002B733E">
        <w:trPr>
          <w:trHeight w:val="397"/>
          <w:jc w:val="center"/>
        </w:trPr>
        <w:tc>
          <w:tcPr>
            <w:tcW w:w="730" w:type="dxa"/>
          </w:tcPr>
          <w:p w14:paraId="0A3DD4C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44" w:type="dxa"/>
          </w:tcPr>
          <w:p w14:paraId="0118DB9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89" w:type="dxa"/>
          </w:tcPr>
          <w:p w14:paraId="31AD0F0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89" w:type="dxa"/>
          </w:tcPr>
          <w:p w14:paraId="5725DA2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89" w:type="dxa"/>
          </w:tcPr>
          <w:p w14:paraId="622EFD5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844" w:type="dxa"/>
          </w:tcPr>
          <w:p w14:paraId="3FBAF69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844" w:type="dxa"/>
            <w:vAlign w:val="center"/>
          </w:tcPr>
          <w:p w14:paraId="0292A0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89" w:type="dxa"/>
          </w:tcPr>
          <w:p w14:paraId="4E241754"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599FE0A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4" w:type="dxa"/>
          </w:tcPr>
          <w:p w14:paraId="6579A601"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06E25792"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71AB6F5B" w14:textId="77777777" w:rsidTr="002B733E">
        <w:trPr>
          <w:trHeight w:val="397"/>
          <w:jc w:val="center"/>
        </w:trPr>
        <w:tc>
          <w:tcPr>
            <w:tcW w:w="730" w:type="dxa"/>
            <w:vAlign w:val="center"/>
          </w:tcPr>
          <w:p w14:paraId="066E0C0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44" w:type="dxa"/>
          </w:tcPr>
          <w:p w14:paraId="46D08B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89" w:type="dxa"/>
          </w:tcPr>
          <w:p w14:paraId="49963C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50</w:t>
            </w:r>
          </w:p>
        </w:tc>
        <w:tc>
          <w:tcPr>
            <w:tcW w:w="789" w:type="dxa"/>
          </w:tcPr>
          <w:p w14:paraId="2393367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w:t>
            </w:r>
            <w:r w:rsidRPr="00FD50F6">
              <w:rPr>
                <w:rFonts w:ascii="Calibri" w:hAnsi="Calibri" w:cs="Times New Roman" w:hint="eastAsia"/>
                <w:sz w:val="18"/>
                <w:szCs w:val="24"/>
              </w:rPr>
              <w:t>40</w:t>
            </w:r>
          </w:p>
        </w:tc>
        <w:tc>
          <w:tcPr>
            <w:tcW w:w="789" w:type="dxa"/>
          </w:tcPr>
          <w:p w14:paraId="619CBEA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812</w:t>
            </w:r>
          </w:p>
        </w:tc>
        <w:tc>
          <w:tcPr>
            <w:tcW w:w="844" w:type="dxa"/>
          </w:tcPr>
          <w:p w14:paraId="554A13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w:t>
            </w:r>
            <w:r w:rsidRPr="00FD50F6">
              <w:rPr>
                <w:rFonts w:ascii="Calibri" w:hAnsi="Calibri" w:cs="Times New Roman" w:hint="eastAsia"/>
                <w:sz w:val="18"/>
                <w:szCs w:val="24"/>
              </w:rPr>
              <w:t>74</w:t>
            </w:r>
          </w:p>
        </w:tc>
        <w:tc>
          <w:tcPr>
            <w:tcW w:w="844" w:type="dxa"/>
            <w:vAlign w:val="center"/>
          </w:tcPr>
          <w:p w14:paraId="15CA07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89" w:type="dxa"/>
          </w:tcPr>
          <w:p w14:paraId="029C3B7F"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3EA32FEF"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4" w:type="dxa"/>
          </w:tcPr>
          <w:p w14:paraId="1572B188"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6C116062"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2B733E" w:rsidRPr="00FD50F6" w14:paraId="0710EE68" w14:textId="77777777" w:rsidTr="002B733E">
        <w:trPr>
          <w:trHeight w:val="397"/>
          <w:jc w:val="center"/>
        </w:trPr>
        <w:tc>
          <w:tcPr>
            <w:tcW w:w="730" w:type="dxa"/>
            <w:vAlign w:val="center"/>
          </w:tcPr>
          <w:p w14:paraId="58DBFB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44" w:type="dxa"/>
          </w:tcPr>
          <w:p w14:paraId="0A5230C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631</w:t>
            </w:r>
          </w:p>
        </w:tc>
        <w:tc>
          <w:tcPr>
            <w:tcW w:w="789" w:type="dxa"/>
          </w:tcPr>
          <w:p w14:paraId="0E26067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631</w:t>
            </w:r>
          </w:p>
        </w:tc>
        <w:tc>
          <w:tcPr>
            <w:tcW w:w="789" w:type="dxa"/>
          </w:tcPr>
          <w:p w14:paraId="63D35B6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613</w:t>
            </w:r>
          </w:p>
        </w:tc>
        <w:tc>
          <w:tcPr>
            <w:tcW w:w="789" w:type="dxa"/>
          </w:tcPr>
          <w:p w14:paraId="3E6633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583</w:t>
            </w:r>
          </w:p>
        </w:tc>
        <w:tc>
          <w:tcPr>
            <w:tcW w:w="844" w:type="dxa"/>
          </w:tcPr>
          <w:p w14:paraId="71C5CD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4447</w:t>
            </w:r>
          </w:p>
        </w:tc>
        <w:tc>
          <w:tcPr>
            <w:tcW w:w="844" w:type="dxa"/>
            <w:vAlign w:val="center"/>
          </w:tcPr>
          <w:p w14:paraId="4C6FD2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89" w:type="dxa"/>
          </w:tcPr>
          <w:p w14:paraId="78F770AB"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47AA3AAB"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844" w:type="dxa"/>
          </w:tcPr>
          <w:p w14:paraId="68999759"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9" w:type="dxa"/>
          </w:tcPr>
          <w:p w14:paraId="67501A61"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bl>
    <w:p w14:paraId="2F96C63A" w14:textId="77777777" w:rsidR="002B733E" w:rsidRPr="00FD50F6" w:rsidRDefault="002B733E" w:rsidP="002B733E">
      <w:pPr>
        <w:jc w:val="center"/>
        <w:rPr>
          <w:rFonts w:ascii="黑体" w:eastAsia="黑体" w:hAnsi="黑体" w:cs="Times New Roman"/>
          <w:sz w:val="21"/>
          <w:szCs w:val="24"/>
        </w:rPr>
      </w:pPr>
    </w:p>
    <w:p w14:paraId="463F6C9F" w14:textId="77777777" w:rsidR="002B733E" w:rsidRPr="00FD50F6" w:rsidRDefault="002B733E" w:rsidP="002B733E">
      <w:pPr>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1-5</w:t>
      </w:r>
      <w:r w:rsidRPr="00FD50F6">
        <w:rPr>
          <w:rFonts w:ascii="黑体" w:eastAsia="黑体" w:hAnsi="黑体" w:cs="Times New Roman" w:hint="eastAsia"/>
          <w:sz w:val="21"/>
          <w:szCs w:val="24"/>
        </w:rPr>
        <w:t xml:space="preserve">  隧道外区间直线地段设备限界坐标值（</w:t>
      </w:r>
      <w:r w:rsidRPr="00FD50F6">
        <w:rPr>
          <w:rFonts w:ascii="黑体" w:eastAsia="黑体" w:hAnsi="黑体" w:cs="Times New Roman"/>
          <w:sz w:val="21"/>
          <w:szCs w:val="24"/>
        </w:rPr>
        <w:t>mm</w:t>
      </w:r>
      <w:r w:rsidRPr="00FD50F6">
        <w:rPr>
          <w:rFonts w:ascii="黑体" w:eastAsia="黑体" w:hAnsi="黑体" w:cs="Times New Roman" w:hint="eastAsia"/>
          <w:sz w:val="21"/>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8"/>
        <w:gridCol w:w="857"/>
        <w:gridCol w:w="799"/>
        <w:gridCol w:w="799"/>
        <w:gridCol w:w="798"/>
        <w:gridCol w:w="798"/>
        <w:gridCol w:w="798"/>
        <w:gridCol w:w="798"/>
        <w:gridCol w:w="798"/>
        <w:gridCol w:w="798"/>
        <w:gridCol w:w="798"/>
      </w:tblGrid>
      <w:tr w:rsidR="00FD50F6" w:rsidRPr="00FD50F6" w14:paraId="52C41632" w14:textId="77777777" w:rsidTr="002B733E">
        <w:trPr>
          <w:trHeight w:val="397"/>
          <w:jc w:val="center"/>
        </w:trPr>
        <w:tc>
          <w:tcPr>
            <w:tcW w:w="748" w:type="dxa"/>
          </w:tcPr>
          <w:p w14:paraId="0A36E98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57" w:type="dxa"/>
          </w:tcPr>
          <w:p w14:paraId="77A9AAB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799" w:type="dxa"/>
          </w:tcPr>
          <w:p w14:paraId="43083EE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799" w:type="dxa"/>
          </w:tcPr>
          <w:p w14:paraId="2E61CB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98" w:type="dxa"/>
          </w:tcPr>
          <w:p w14:paraId="78C5240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798" w:type="dxa"/>
          </w:tcPr>
          <w:p w14:paraId="3E050DA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798" w:type="dxa"/>
          </w:tcPr>
          <w:p w14:paraId="62EA383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798" w:type="dxa"/>
          </w:tcPr>
          <w:p w14:paraId="4E7B0FF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798" w:type="dxa"/>
          </w:tcPr>
          <w:p w14:paraId="6221225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798" w:type="dxa"/>
          </w:tcPr>
          <w:p w14:paraId="2C30589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98" w:type="dxa"/>
          </w:tcPr>
          <w:p w14:paraId="55C3C75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707B63F9" w14:textId="77777777" w:rsidTr="002B733E">
        <w:trPr>
          <w:trHeight w:val="397"/>
          <w:jc w:val="center"/>
        </w:trPr>
        <w:tc>
          <w:tcPr>
            <w:tcW w:w="748" w:type="dxa"/>
            <w:vAlign w:val="center"/>
          </w:tcPr>
          <w:p w14:paraId="47946D1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57" w:type="dxa"/>
          </w:tcPr>
          <w:p w14:paraId="24298E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99" w:type="dxa"/>
          </w:tcPr>
          <w:p w14:paraId="694136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069</w:t>
            </w:r>
          </w:p>
        </w:tc>
        <w:tc>
          <w:tcPr>
            <w:tcW w:w="799" w:type="dxa"/>
          </w:tcPr>
          <w:p w14:paraId="05E730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414</w:t>
            </w:r>
          </w:p>
        </w:tc>
        <w:tc>
          <w:tcPr>
            <w:tcW w:w="798" w:type="dxa"/>
          </w:tcPr>
          <w:p w14:paraId="112C0A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1546</w:t>
            </w:r>
          </w:p>
        </w:tc>
        <w:tc>
          <w:tcPr>
            <w:tcW w:w="798" w:type="dxa"/>
          </w:tcPr>
          <w:p w14:paraId="618ECF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584</w:t>
            </w:r>
          </w:p>
        </w:tc>
        <w:tc>
          <w:tcPr>
            <w:tcW w:w="798" w:type="dxa"/>
          </w:tcPr>
          <w:p w14:paraId="3EAC6DE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495</w:t>
            </w:r>
          </w:p>
        </w:tc>
        <w:tc>
          <w:tcPr>
            <w:tcW w:w="798" w:type="dxa"/>
          </w:tcPr>
          <w:p w14:paraId="780196C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492</w:t>
            </w:r>
          </w:p>
        </w:tc>
        <w:tc>
          <w:tcPr>
            <w:tcW w:w="798" w:type="dxa"/>
          </w:tcPr>
          <w:p w14:paraId="70032C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393</w:t>
            </w:r>
          </w:p>
        </w:tc>
        <w:tc>
          <w:tcPr>
            <w:tcW w:w="798" w:type="dxa"/>
          </w:tcPr>
          <w:p w14:paraId="44D9ED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368</w:t>
            </w:r>
          </w:p>
        </w:tc>
        <w:tc>
          <w:tcPr>
            <w:tcW w:w="798" w:type="dxa"/>
          </w:tcPr>
          <w:p w14:paraId="777F7A1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368</w:t>
            </w:r>
          </w:p>
        </w:tc>
      </w:tr>
      <w:tr w:rsidR="00FD50F6" w:rsidRPr="00FD50F6" w14:paraId="20309AF2" w14:textId="77777777" w:rsidTr="002B733E">
        <w:trPr>
          <w:trHeight w:val="397"/>
          <w:jc w:val="center"/>
        </w:trPr>
        <w:tc>
          <w:tcPr>
            <w:tcW w:w="748" w:type="dxa"/>
            <w:vAlign w:val="center"/>
          </w:tcPr>
          <w:p w14:paraId="48B73A7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57" w:type="dxa"/>
          </w:tcPr>
          <w:p w14:paraId="384B06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393</w:t>
            </w:r>
            <w:r w:rsidRPr="00FD50F6">
              <w:rPr>
                <w:rFonts w:ascii="Calibri" w:hAnsi="Calibri" w:cs="Times New Roman" w:hint="eastAsia"/>
                <w:sz w:val="18"/>
                <w:szCs w:val="24"/>
              </w:rPr>
              <w:t>9</w:t>
            </w:r>
          </w:p>
        </w:tc>
        <w:tc>
          <w:tcPr>
            <w:tcW w:w="799" w:type="dxa"/>
          </w:tcPr>
          <w:p w14:paraId="3154A8A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393</w:t>
            </w:r>
            <w:r w:rsidRPr="00FD50F6">
              <w:rPr>
                <w:rFonts w:ascii="Calibri" w:hAnsi="Calibri" w:cs="Times New Roman" w:hint="eastAsia"/>
                <w:sz w:val="18"/>
                <w:szCs w:val="24"/>
              </w:rPr>
              <w:t>9</w:t>
            </w:r>
          </w:p>
        </w:tc>
        <w:tc>
          <w:tcPr>
            <w:tcW w:w="799" w:type="dxa"/>
          </w:tcPr>
          <w:p w14:paraId="17D7F01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610</w:t>
            </w:r>
          </w:p>
        </w:tc>
        <w:tc>
          <w:tcPr>
            <w:tcW w:w="798" w:type="dxa"/>
          </w:tcPr>
          <w:p w14:paraId="52230DE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3416</w:t>
            </w:r>
          </w:p>
        </w:tc>
        <w:tc>
          <w:tcPr>
            <w:tcW w:w="798" w:type="dxa"/>
          </w:tcPr>
          <w:p w14:paraId="25DA404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1669</w:t>
            </w:r>
          </w:p>
        </w:tc>
        <w:tc>
          <w:tcPr>
            <w:tcW w:w="798" w:type="dxa"/>
          </w:tcPr>
          <w:p w14:paraId="40E17F7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744</w:t>
            </w:r>
          </w:p>
        </w:tc>
        <w:tc>
          <w:tcPr>
            <w:tcW w:w="798" w:type="dxa"/>
          </w:tcPr>
          <w:p w14:paraId="25E412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422</w:t>
            </w:r>
          </w:p>
        </w:tc>
        <w:tc>
          <w:tcPr>
            <w:tcW w:w="798" w:type="dxa"/>
          </w:tcPr>
          <w:p w14:paraId="39B81E3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422</w:t>
            </w:r>
          </w:p>
        </w:tc>
        <w:tc>
          <w:tcPr>
            <w:tcW w:w="798" w:type="dxa"/>
          </w:tcPr>
          <w:p w14:paraId="676BFC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340</w:t>
            </w:r>
          </w:p>
        </w:tc>
        <w:tc>
          <w:tcPr>
            <w:tcW w:w="798" w:type="dxa"/>
          </w:tcPr>
          <w:p w14:paraId="34BBB58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51</w:t>
            </w:r>
          </w:p>
        </w:tc>
      </w:tr>
      <w:tr w:rsidR="00FD50F6" w:rsidRPr="00FD50F6" w14:paraId="01539D59" w14:textId="77777777" w:rsidTr="002B733E">
        <w:trPr>
          <w:trHeight w:val="397"/>
          <w:jc w:val="center"/>
        </w:trPr>
        <w:tc>
          <w:tcPr>
            <w:tcW w:w="748" w:type="dxa"/>
          </w:tcPr>
          <w:p w14:paraId="03B4FCA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57" w:type="dxa"/>
          </w:tcPr>
          <w:p w14:paraId="514D31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799" w:type="dxa"/>
          </w:tcPr>
          <w:p w14:paraId="197AEE4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799" w:type="dxa"/>
          </w:tcPr>
          <w:p w14:paraId="1C146EA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98" w:type="dxa"/>
          </w:tcPr>
          <w:p w14:paraId="56E64B2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798" w:type="dxa"/>
          </w:tcPr>
          <w:p w14:paraId="5BDEA18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798" w:type="dxa"/>
          </w:tcPr>
          <w:p w14:paraId="06E7FAB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798" w:type="dxa"/>
          </w:tcPr>
          <w:p w14:paraId="0C89C7D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798" w:type="dxa"/>
          </w:tcPr>
          <w:p w14:paraId="1CC49E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798" w:type="dxa"/>
          </w:tcPr>
          <w:p w14:paraId="3DFBF0A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98" w:type="dxa"/>
          </w:tcPr>
          <w:p w14:paraId="054D4B6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1F76C0C9" w14:textId="77777777" w:rsidTr="002B733E">
        <w:trPr>
          <w:trHeight w:val="397"/>
          <w:jc w:val="center"/>
        </w:trPr>
        <w:tc>
          <w:tcPr>
            <w:tcW w:w="748" w:type="dxa"/>
            <w:vAlign w:val="center"/>
          </w:tcPr>
          <w:p w14:paraId="7FC7FF6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57" w:type="dxa"/>
          </w:tcPr>
          <w:p w14:paraId="369DE25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269</w:t>
            </w:r>
          </w:p>
        </w:tc>
        <w:tc>
          <w:tcPr>
            <w:tcW w:w="799" w:type="dxa"/>
          </w:tcPr>
          <w:p w14:paraId="62020E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926</w:t>
            </w:r>
          </w:p>
        </w:tc>
        <w:tc>
          <w:tcPr>
            <w:tcW w:w="799" w:type="dxa"/>
          </w:tcPr>
          <w:p w14:paraId="03ECB91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926</w:t>
            </w:r>
          </w:p>
        </w:tc>
        <w:tc>
          <w:tcPr>
            <w:tcW w:w="798" w:type="dxa"/>
          </w:tcPr>
          <w:p w14:paraId="2B852B2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798" w:type="dxa"/>
          </w:tcPr>
          <w:p w14:paraId="2ED641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w:t>
            </w:r>
            <w:r w:rsidRPr="00FD50F6">
              <w:rPr>
                <w:rFonts w:ascii="Calibri" w:hAnsi="Calibri" w:cs="Times New Roman" w:hint="eastAsia"/>
                <w:sz w:val="18"/>
                <w:szCs w:val="24"/>
              </w:rPr>
              <w:t>41</w:t>
            </w:r>
          </w:p>
        </w:tc>
        <w:tc>
          <w:tcPr>
            <w:tcW w:w="798" w:type="dxa"/>
          </w:tcPr>
          <w:p w14:paraId="6C940CA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98" w:type="dxa"/>
          </w:tcPr>
          <w:p w14:paraId="06B628C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73</w:t>
            </w:r>
            <w:r w:rsidRPr="00FD50F6">
              <w:rPr>
                <w:rFonts w:ascii="Calibri" w:hAnsi="Calibri" w:cs="Times New Roman" w:hint="eastAsia"/>
                <w:sz w:val="18"/>
                <w:szCs w:val="24"/>
              </w:rPr>
              <w:t>8</w:t>
            </w:r>
          </w:p>
        </w:tc>
        <w:tc>
          <w:tcPr>
            <w:tcW w:w="798" w:type="dxa"/>
          </w:tcPr>
          <w:p w14:paraId="15481AE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798" w:type="dxa"/>
          </w:tcPr>
          <w:p w14:paraId="0A3D3FB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798" w:type="dxa"/>
          </w:tcPr>
          <w:p w14:paraId="6AC194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62D98072" w14:textId="77777777" w:rsidTr="002B733E">
        <w:trPr>
          <w:trHeight w:val="397"/>
          <w:jc w:val="center"/>
        </w:trPr>
        <w:tc>
          <w:tcPr>
            <w:tcW w:w="748" w:type="dxa"/>
            <w:vAlign w:val="center"/>
          </w:tcPr>
          <w:p w14:paraId="29CEB4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57" w:type="dxa"/>
          </w:tcPr>
          <w:p w14:paraId="7A01285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83</w:t>
            </w:r>
          </w:p>
        </w:tc>
        <w:tc>
          <w:tcPr>
            <w:tcW w:w="799" w:type="dxa"/>
          </w:tcPr>
          <w:p w14:paraId="19749B4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w:t>
            </w:r>
          </w:p>
        </w:tc>
        <w:tc>
          <w:tcPr>
            <w:tcW w:w="799" w:type="dxa"/>
          </w:tcPr>
          <w:p w14:paraId="29766D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41</w:t>
            </w:r>
          </w:p>
        </w:tc>
        <w:tc>
          <w:tcPr>
            <w:tcW w:w="798" w:type="dxa"/>
          </w:tcPr>
          <w:p w14:paraId="3F50DE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41</w:t>
            </w:r>
          </w:p>
        </w:tc>
        <w:tc>
          <w:tcPr>
            <w:tcW w:w="798" w:type="dxa"/>
          </w:tcPr>
          <w:p w14:paraId="1C877B6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98" w:type="dxa"/>
          </w:tcPr>
          <w:p w14:paraId="14971D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18</w:t>
            </w:r>
          </w:p>
        </w:tc>
        <w:tc>
          <w:tcPr>
            <w:tcW w:w="798" w:type="dxa"/>
          </w:tcPr>
          <w:p w14:paraId="0462F2D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798" w:type="dxa"/>
          </w:tcPr>
          <w:p w14:paraId="630A3C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-55</w:t>
            </w:r>
          </w:p>
        </w:tc>
        <w:tc>
          <w:tcPr>
            <w:tcW w:w="798" w:type="dxa"/>
          </w:tcPr>
          <w:p w14:paraId="1AB46F8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c>
          <w:tcPr>
            <w:tcW w:w="798" w:type="dxa"/>
          </w:tcPr>
          <w:p w14:paraId="172789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15</w:t>
            </w:r>
          </w:p>
        </w:tc>
      </w:tr>
      <w:tr w:rsidR="00FD50F6" w:rsidRPr="00FD50F6" w14:paraId="468DE7A1" w14:textId="77777777" w:rsidTr="002B733E">
        <w:trPr>
          <w:trHeight w:val="397"/>
          <w:jc w:val="center"/>
        </w:trPr>
        <w:tc>
          <w:tcPr>
            <w:tcW w:w="748" w:type="dxa"/>
          </w:tcPr>
          <w:p w14:paraId="4D21840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857" w:type="dxa"/>
          </w:tcPr>
          <w:p w14:paraId="19D21E7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0a”</w:t>
            </w:r>
          </w:p>
        </w:tc>
        <w:tc>
          <w:tcPr>
            <w:tcW w:w="799" w:type="dxa"/>
          </w:tcPr>
          <w:p w14:paraId="2CE777A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1a”</w:t>
            </w:r>
          </w:p>
        </w:tc>
        <w:tc>
          <w:tcPr>
            <w:tcW w:w="799" w:type="dxa"/>
          </w:tcPr>
          <w:p w14:paraId="46E4F80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2a”</w:t>
            </w:r>
          </w:p>
        </w:tc>
        <w:tc>
          <w:tcPr>
            <w:tcW w:w="798" w:type="dxa"/>
          </w:tcPr>
          <w:p w14:paraId="590C52F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3a”</w:t>
            </w:r>
          </w:p>
        </w:tc>
        <w:tc>
          <w:tcPr>
            <w:tcW w:w="798" w:type="dxa"/>
          </w:tcPr>
          <w:p w14:paraId="48D8154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4a”</w:t>
            </w:r>
          </w:p>
        </w:tc>
        <w:tc>
          <w:tcPr>
            <w:tcW w:w="798" w:type="dxa"/>
            <w:vAlign w:val="center"/>
          </w:tcPr>
          <w:p w14:paraId="24B4A0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4079787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0F0E3A4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2FDF7F1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2C1BEE3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1A30927D" w14:textId="77777777" w:rsidTr="002B733E">
        <w:trPr>
          <w:trHeight w:val="397"/>
          <w:jc w:val="center"/>
        </w:trPr>
        <w:tc>
          <w:tcPr>
            <w:tcW w:w="748" w:type="dxa"/>
            <w:vAlign w:val="center"/>
          </w:tcPr>
          <w:p w14:paraId="4CFBE1C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857" w:type="dxa"/>
          </w:tcPr>
          <w:p w14:paraId="76127F4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99" w:type="dxa"/>
          </w:tcPr>
          <w:p w14:paraId="3EA92EF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550</w:t>
            </w:r>
          </w:p>
        </w:tc>
        <w:tc>
          <w:tcPr>
            <w:tcW w:w="799" w:type="dxa"/>
          </w:tcPr>
          <w:p w14:paraId="7B7B9C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w:t>
            </w:r>
            <w:r w:rsidRPr="00FD50F6">
              <w:rPr>
                <w:rFonts w:ascii="Calibri" w:hAnsi="Calibri" w:cs="Times New Roman"/>
                <w:sz w:val="18"/>
                <w:szCs w:val="24"/>
              </w:rPr>
              <w:t>40</w:t>
            </w:r>
          </w:p>
        </w:tc>
        <w:tc>
          <w:tcPr>
            <w:tcW w:w="798" w:type="dxa"/>
          </w:tcPr>
          <w:p w14:paraId="503D89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912</w:t>
            </w:r>
          </w:p>
        </w:tc>
        <w:tc>
          <w:tcPr>
            <w:tcW w:w="798" w:type="dxa"/>
          </w:tcPr>
          <w:p w14:paraId="63D77F1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074</w:t>
            </w:r>
          </w:p>
        </w:tc>
        <w:tc>
          <w:tcPr>
            <w:tcW w:w="798" w:type="dxa"/>
            <w:vAlign w:val="center"/>
          </w:tcPr>
          <w:p w14:paraId="5D33C6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264CAC6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667FD3F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50F3D3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35019EA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r w:rsidR="00FD50F6" w:rsidRPr="00FD50F6" w14:paraId="3AE4BD4E" w14:textId="77777777" w:rsidTr="002B733E">
        <w:trPr>
          <w:trHeight w:val="397"/>
          <w:jc w:val="center"/>
        </w:trPr>
        <w:tc>
          <w:tcPr>
            <w:tcW w:w="748" w:type="dxa"/>
            <w:vAlign w:val="center"/>
          </w:tcPr>
          <w:p w14:paraId="547077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857" w:type="dxa"/>
          </w:tcPr>
          <w:p w14:paraId="79AF50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4631</w:t>
            </w:r>
          </w:p>
        </w:tc>
        <w:tc>
          <w:tcPr>
            <w:tcW w:w="799" w:type="dxa"/>
          </w:tcPr>
          <w:p w14:paraId="559FD9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4631</w:t>
            </w:r>
          </w:p>
        </w:tc>
        <w:tc>
          <w:tcPr>
            <w:tcW w:w="799" w:type="dxa"/>
          </w:tcPr>
          <w:p w14:paraId="70713D2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4613</w:t>
            </w:r>
          </w:p>
        </w:tc>
        <w:tc>
          <w:tcPr>
            <w:tcW w:w="798" w:type="dxa"/>
          </w:tcPr>
          <w:p w14:paraId="4343763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583</w:t>
            </w:r>
          </w:p>
        </w:tc>
        <w:tc>
          <w:tcPr>
            <w:tcW w:w="798" w:type="dxa"/>
          </w:tcPr>
          <w:p w14:paraId="0E1B7B7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4447</w:t>
            </w:r>
          </w:p>
        </w:tc>
        <w:tc>
          <w:tcPr>
            <w:tcW w:w="798" w:type="dxa"/>
            <w:vAlign w:val="center"/>
          </w:tcPr>
          <w:p w14:paraId="4F5D64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4CDB85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1CA5027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015B577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c>
          <w:tcPr>
            <w:tcW w:w="798" w:type="dxa"/>
            <w:vAlign w:val="center"/>
          </w:tcPr>
          <w:p w14:paraId="2836018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w:t>
            </w:r>
          </w:p>
        </w:tc>
      </w:tr>
    </w:tbl>
    <w:p w14:paraId="743F3FF3" w14:textId="77777777" w:rsidR="002B733E" w:rsidRPr="00FD50F6" w:rsidRDefault="002B733E" w:rsidP="002B733E">
      <w:pPr>
        <w:jc w:val="center"/>
        <w:rPr>
          <w:rFonts w:ascii="黑体" w:eastAsia="黑体" w:hAnsi="黑体" w:cs="Times New Roman"/>
          <w:sz w:val="21"/>
          <w:szCs w:val="24"/>
        </w:rPr>
      </w:pPr>
      <w:r w:rsidRPr="00FD50F6">
        <w:rPr>
          <w:rFonts w:ascii="黑体" w:eastAsia="黑体" w:hAnsi="黑体" w:cs="Times New Roman" w:hint="eastAsia"/>
          <w:sz w:val="21"/>
          <w:szCs w:val="24"/>
        </w:rPr>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1-6</w:t>
      </w:r>
      <w:r w:rsidRPr="00FD50F6">
        <w:rPr>
          <w:rFonts w:ascii="黑体" w:eastAsia="黑体" w:hAnsi="黑体" w:cs="Times New Roman" w:hint="eastAsia"/>
          <w:sz w:val="21"/>
          <w:szCs w:val="24"/>
        </w:rPr>
        <w:t xml:space="preserve">  隧道内过站直线地段车辆限界坐标值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9"/>
        <w:gridCol w:w="774"/>
        <w:gridCol w:w="774"/>
        <w:gridCol w:w="814"/>
        <w:gridCol w:w="774"/>
        <w:gridCol w:w="774"/>
        <w:gridCol w:w="785"/>
        <w:gridCol w:w="774"/>
        <w:gridCol w:w="774"/>
        <w:gridCol w:w="785"/>
        <w:gridCol w:w="771"/>
      </w:tblGrid>
      <w:tr w:rsidR="00FD50F6" w:rsidRPr="00FD50F6" w14:paraId="4AF73C6C" w14:textId="77777777" w:rsidTr="002B733E">
        <w:trPr>
          <w:trHeight w:val="397"/>
          <w:jc w:val="center"/>
        </w:trPr>
        <w:tc>
          <w:tcPr>
            <w:tcW w:w="729" w:type="dxa"/>
            <w:vAlign w:val="center"/>
          </w:tcPr>
          <w:p w14:paraId="398530E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45B30AC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774" w:type="dxa"/>
            <w:vAlign w:val="center"/>
          </w:tcPr>
          <w:p w14:paraId="00B158D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814" w:type="dxa"/>
            <w:vAlign w:val="center"/>
          </w:tcPr>
          <w:p w14:paraId="2EAA4D8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74" w:type="dxa"/>
            <w:vAlign w:val="center"/>
          </w:tcPr>
          <w:p w14:paraId="566D25E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774" w:type="dxa"/>
            <w:vAlign w:val="center"/>
          </w:tcPr>
          <w:p w14:paraId="34552AC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785" w:type="dxa"/>
            <w:vAlign w:val="center"/>
          </w:tcPr>
          <w:p w14:paraId="4256506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774" w:type="dxa"/>
            <w:vAlign w:val="center"/>
          </w:tcPr>
          <w:p w14:paraId="0457904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774" w:type="dxa"/>
            <w:vAlign w:val="center"/>
          </w:tcPr>
          <w:p w14:paraId="2E45EBB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785" w:type="dxa"/>
            <w:vAlign w:val="center"/>
          </w:tcPr>
          <w:p w14:paraId="4B70F77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71" w:type="dxa"/>
            <w:vAlign w:val="center"/>
          </w:tcPr>
          <w:p w14:paraId="47D17EB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0348FBE2" w14:textId="77777777" w:rsidTr="002B733E">
        <w:trPr>
          <w:trHeight w:val="397"/>
          <w:jc w:val="center"/>
        </w:trPr>
        <w:tc>
          <w:tcPr>
            <w:tcW w:w="729" w:type="dxa"/>
            <w:vAlign w:val="center"/>
          </w:tcPr>
          <w:p w14:paraId="09D5E47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774" w:type="dxa"/>
            <w:vAlign w:val="center"/>
          </w:tcPr>
          <w:p w14:paraId="6DA9510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74" w:type="dxa"/>
            <w:vAlign w:val="center"/>
          </w:tcPr>
          <w:p w14:paraId="1397AB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92</w:t>
            </w:r>
            <w:r w:rsidRPr="00FD50F6">
              <w:rPr>
                <w:rFonts w:ascii="Calibri" w:hAnsi="Calibri" w:cs="Times New Roman" w:hint="eastAsia"/>
                <w:sz w:val="18"/>
                <w:szCs w:val="24"/>
              </w:rPr>
              <w:t>4</w:t>
            </w:r>
          </w:p>
        </w:tc>
        <w:tc>
          <w:tcPr>
            <w:tcW w:w="814" w:type="dxa"/>
            <w:vAlign w:val="center"/>
          </w:tcPr>
          <w:p w14:paraId="3C9676B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271</w:t>
            </w:r>
          </w:p>
        </w:tc>
        <w:tc>
          <w:tcPr>
            <w:tcW w:w="774" w:type="dxa"/>
            <w:vAlign w:val="center"/>
          </w:tcPr>
          <w:p w14:paraId="73541E9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405</w:t>
            </w:r>
          </w:p>
        </w:tc>
        <w:tc>
          <w:tcPr>
            <w:tcW w:w="774" w:type="dxa"/>
            <w:vAlign w:val="center"/>
          </w:tcPr>
          <w:p w14:paraId="7D26933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506</w:t>
            </w:r>
          </w:p>
        </w:tc>
        <w:tc>
          <w:tcPr>
            <w:tcW w:w="785" w:type="dxa"/>
            <w:vAlign w:val="center"/>
          </w:tcPr>
          <w:p w14:paraId="4BE9C73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445</w:t>
            </w:r>
          </w:p>
        </w:tc>
        <w:tc>
          <w:tcPr>
            <w:tcW w:w="774" w:type="dxa"/>
            <w:vAlign w:val="center"/>
          </w:tcPr>
          <w:p w14:paraId="628D8CE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444</w:t>
            </w:r>
          </w:p>
        </w:tc>
        <w:tc>
          <w:tcPr>
            <w:tcW w:w="774" w:type="dxa"/>
            <w:vAlign w:val="center"/>
          </w:tcPr>
          <w:p w14:paraId="6B62A1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378</w:t>
            </w:r>
          </w:p>
        </w:tc>
        <w:tc>
          <w:tcPr>
            <w:tcW w:w="785" w:type="dxa"/>
            <w:vAlign w:val="center"/>
          </w:tcPr>
          <w:p w14:paraId="41DA9E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1353</w:t>
            </w:r>
          </w:p>
        </w:tc>
        <w:tc>
          <w:tcPr>
            <w:tcW w:w="771" w:type="dxa"/>
            <w:vAlign w:val="center"/>
          </w:tcPr>
          <w:p w14:paraId="7B0B806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352</w:t>
            </w:r>
          </w:p>
        </w:tc>
      </w:tr>
      <w:tr w:rsidR="00FD50F6" w:rsidRPr="00FD50F6" w14:paraId="2C60A0BC" w14:textId="77777777" w:rsidTr="002B733E">
        <w:trPr>
          <w:trHeight w:val="397"/>
          <w:jc w:val="center"/>
        </w:trPr>
        <w:tc>
          <w:tcPr>
            <w:tcW w:w="729" w:type="dxa"/>
            <w:vAlign w:val="center"/>
          </w:tcPr>
          <w:p w14:paraId="21F3BD4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774" w:type="dxa"/>
            <w:vAlign w:val="center"/>
          </w:tcPr>
          <w:p w14:paraId="1EB1452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8</w:t>
            </w:r>
          </w:p>
        </w:tc>
        <w:tc>
          <w:tcPr>
            <w:tcW w:w="774" w:type="dxa"/>
            <w:vAlign w:val="center"/>
          </w:tcPr>
          <w:p w14:paraId="11B5E8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8</w:t>
            </w:r>
          </w:p>
        </w:tc>
        <w:tc>
          <w:tcPr>
            <w:tcW w:w="814" w:type="dxa"/>
            <w:vAlign w:val="center"/>
          </w:tcPr>
          <w:p w14:paraId="0AB44DD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549</w:t>
            </w:r>
          </w:p>
        </w:tc>
        <w:tc>
          <w:tcPr>
            <w:tcW w:w="774" w:type="dxa"/>
            <w:vAlign w:val="center"/>
          </w:tcPr>
          <w:p w14:paraId="421C0BB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354</w:t>
            </w:r>
          </w:p>
        </w:tc>
        <w:tc>
          <w:tcPr>
            <w:tcW w:w="774" w:type="dxa"/>
            <w:vAlign w:val="center"/>
          </w:tcPr>
          <w:p w14:paraId="48FA9C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1673</w:t>
            </w:r>
          </w:p>
        </w:tc>
        <w:tc>
          <w:tcPr>
            <w:tcW w:w="785" w:type="dxa"/>
            <w:vAlign w:val="center"/>
          </w:tcPr>
          <w:p w14:paraId="514E56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798</w:t>
            </w:r>
          </w:p>
        </w:tc>
        <w:tc>
          <w:tcPr>
            <w:tcW w:w="774" w:type="dxa"/>
            <w:vAlign w:val="center"/>
          </w:tcPr>
          <w:p w14:paraId="454D29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456</w:t>
            </w:r>
          </w:p>
        </w:tc>
        <w:tc>
          <w:tcPr>
            <w:tcW w:w="774" w:type="dxa"/>
            <w:vAlign w:val="center"/>
          </w:tcPr>
          <w:p w14:paraId="3C32B1D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457</w:t>
            </w:r>
          </w:p>
        </w:tc>
        <w:tc>
          <w:tcPr>
            <w:tcW w:w="785" w:type="dxa"/>
            <w:vAlign w:val="center"/>
          </w:tcPr>
          <w:p w14:paraId="7FDC776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373</w:t>
            </w:r>
          </w:p>
        </w:tc>
        <w:tc>
          <w:tcPr>
            <w:tcW w:w="771" w:type="dxa"/>
            <w:vAlign w:val="center"/>
          </w:tcPr>
          <w:p w14:paraId="47DE0B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81</w:t>
            </w:r>
          </w:p>
        </w:tc>
      </w:tr>
      <w:tr w:rsidR="00FD50F6" w:rsidRPr="00FD50F6" w14:paraId="39ABACAE" w14:textId="77777777" w:rsidTr="002B733E">
        <w:trPr>
          <w:trHeight w:val="397"/>
          <w:jc w:val="center"/>
        </w:trPr>
        <w:tc>
          <w:tcPr>
            <w:tcW w:w="729" w:type="dxa"/>
            <w:vAlign w:val="center"/>
          </w:tcPr>
          <w:p w14:paraId="120313C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1B1A9E1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774" w:type="dxa"/>
            <w:vAlign w:val="center"/>
          </w:tcPr>
          <w:p w14:paraId="672EFE2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814" w:type="dxa"/>
            <w:vAlign w:val="center"/>
          </w:tcPr>
          <w:p w14:paraId="10D8909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74" w:type="dxa"/>
            <w:vAlign w:val="center"/>
          </w:tcPr>
          <w:p w14:paraId="5F3068D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774" w:type="dxa"/>
            <w:vAlign w:val="center"/>
          </w:tcPr>
          <w:p w14:paraId="5F33EF54"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785" w:type="dxa"/>
            <w:vAlign w:val="center"/>
          </w:tcPr>
          <w:p w14:paraId="66714BD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774" w:type="dxa"/>
            <w:vAlign w:val="center"/>
          </w:tcPr>
          <w:p w14:paraId="23769D1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774" w:type="dxa"/>
            <w:vAlign w:val="center"/>
          </w:tcPr>
          <w:p w14:paraId="18765BF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785" w:type="dxa"/>
            <w:vAlign w:val="center"/>
          </w:tcPr>
          <w:p w14:paraId="0FB30B4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71" w:type="dxa"/>
            <w:vAlign w:val="center"/>
          </w:tcPr>
          <w:p w14:paraId="62C4F9A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4748CFFF" w14:textId="77777777" w:rsidTr="002B733E">
        <w:trPr>
          <w:trHeight w:val="397"/>
          <w:jc w:val="center"/>
        </w:trPr>
        <w:tc>
          <w:tcPr>
            <w:tcW w:w="729" w:type="dxa"/>
            <w:vAlign w:val="center"/>
          </w:tcPr>
          <w:p w14:paraId="0A0C5D9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774" w:type="dxa"/>
            <w:vAlign w:val="center"/>
          </w:tcPr>
          <w:p w14:paraId="176F1D2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254</w:t>
            </w:r>
          </w:p>
        </w:tc>
        <w:tc>
          <w:tcPr>
            <w:tcW w:w="774" w:type="dxa"/>
            <w:vAlign w:val="center"/>
          </w:tcPr>
          <w:p w14:paraId="1CBF57D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814" w:type="dxa"/>
            <w:vAlign w:val="center"/>
          </w:tcPr>
          <w:p w14:paraId="739881D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74" w:type="dxa"/>
            <w:vAlign w:val="center"/>
          </w:tcPr>
          <w:p w14:paraId="3CB995D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774" w:type="dxa"/>
            <w:vAlign w:val="center"/>
          </w:tcPr>
          <w:p w14:paraId="36B6C58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8</w:t>
            </w:r>
            <w:r w:rsidRPr="00FD50F6">
              <w:rPr>
                <w:rFonts w:ascii="Calibri" w:hAnsi="Calibri" w:cs="Times New Roman" w:hint="eastAsia"/>
                <w:sz w:val="18"/>
                <w:szCs w:val="24"/>
              </w:rPr>
              <w:t>41</w:t>
            </w:r>
          </w:p>
        </w:tc>
        <w:tc>
          <w:tcPr>
            <w:tcW w:w="785" w:type="dxa"/>
            <w:vAlign w:val="center"/>
          </w:tcPr>
          <w:p w14:paraId="1CC3C2A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74" w:type="dxa"/>
            <w:vAlign w:val="center"/>
          </w:tcPr>
          <w:p w14:paraId="1D0E490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73</w:t>
            </w:r>
            <w:r w:rsidRPr="00FD50F6">
              <w:rPr>
                <w:rFonts w:ascii="Calibri" w:hAnsi="Calibri" w:cs="Times New Roman" w:hint="eastAsia"/>
                <w:sz w:val="18"/>
                <w:szCs w:val="24"/>
              </w:rPr>
              <w:t>8</w:t>
            </w:r>
          </w:p>
        </w:tc>
        <w:tc>
          <w:tcPr>
            <w:tcW w:w="774" w:type="dxa"/>
            <w:vAlign w:val="center"/>
          </w:tcPr>
          <w:p w14:paraId="481416F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785" w:type="dxa"/>
            <w:vAlign w:val="center"/>
          </w:tcPr>
          <w:p w14:paraId="45C0D20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w:t>
            </w:r>
            <w:r w:rsidRPr="00FD50F6">
              <w:rPr>
                <w:rFonts w:ascii="Calibri" w:hAnsi="Calibri" w:cs="Times New Roman" w:hint="eastAsia"/>
                <w:sz w:val="18"/>
                <w:szCs w:val="24"/>
              </w:rPr>
              <w:t>48</w:t>
            </w:r>
          </w:p>
        </w:tc>
        <w:tc>
          <w:tcPr>
            <w:tcW w:w="771" w:type="dxa"/>
            <w:vAlign w:val="center"/>
          </w:tcPr>
          <w:p w14:paraId="11460C0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4597C98A" w14:textId="77777777" w:rsidTr="002B733E">
        <w:trPr>
          <w:trHeight w:val="397"/>
          <w:jc w:val="center"/>
        </w:trPr>
        <w:tc>
          <w:tcPr>
            <w:tcW w:w="729" w:type="dxa"/>
            <w:vAlign w:val="center"/>
          </w:tcPr>
          <w:p w14:paraId="4F6046D9"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774" w:type="dxa"/>
            <w:vAlign w:val="center"/>
          </w:tcPr>
          <w:p w14:paraId="3B8ACB2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113</w:t>
            </w:r>
          </w:p>
        </w:tc>
        <w:tc>
          <w:tcPr>
            <w:tcW w:w="774" w:type="dxa"/>
            <w:vAlign w:val="center"/>
          </w:tcPr>
          <w:p w14:paraId="56A136B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114</w:t>
            </w:r>
          </w:p>
        </w:tc>
        <w:tc>
          <w:tcPr>
            <w:tcW w:w="814" w:type="dxa"/>
            <w:vAlign w:val="center"/>
          </w:tcPr>
          <w:p w14:paraId="01BDF61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774" w:type="dxa"/>
            <w:vAlign w:val="center"/>
          </w:tcPr>
          <w:p w14:paraId="6F9756E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774" w:type="dxa"/>
            <w:vAlign w:val="center"/>
          </w:tcPr>
          <w:p w14:paraId="1BEDC7B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85" w:type="dxa"/>
            <w:vAlign w:val="center"/>
          </w:tcPr>
          <w:p w14:paraId="0C149D1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8</w:t>
            </w:r>
          </w:p>
        </w:tc>
        <w:tc>
          <w:tcPr>
            <w:tcW w:w="774" w:type="dxa"/>
            <w:vAlign w:val="center"/>
          </w:tcPr>
          <w:p w14:paraId="0DDC3A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774" w:type="dxa"/>
            <w:vAlign w:val="center"/>
          </w:tcPr>
          <w:p w14:paraId="54B3857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785" w:type="dxa"/>
            <w:vAlign w:val="center"/>
          </w:tcPr>
          <w:p w14:paraId="0614D6E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w:t>
            </w:r>
          </w:p>
        </w:tc>
        <w:tc>
          <w:tcPr>
            <w:tcW w:w="771" w:type="dxa"/>
            <w:vAlign w:val="center"/>
          </w:tcPr>
          <w:p w14:paraId="6884B16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r>
      <w:tr w:rsidR="00FD50F6" w:rsidRPr="00FD50F6" w14:paraId="38F229CC" w14:textId="77777777" w:rsidTr="002B733E">
        <w:trPr>
          <w:trHeight w:val="397"/>
          <w:jc w:val="center"/>
        </w:trPr>
        <w:tc>
          <w:tcPr>
            <w:tcW w:w="729" w:type="dxa"/>
            <w:vAlign w:val="center"/>
          </w:tcPr>
          <w:p w14:paraId="6B1B814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4" w:type="dxa"/>
            <w:vAlign w:val="center"/>
          </w:tcPr>
          <w:p w14:paraId="193B924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0s’</w:t>
            </w:r>
          </w:p>
        </w:tc>
        <w:tc>
          <w:tcPr>
            <w:tcW w:w="774" w:type="dxa"/>
            <w:vAlign w:val="center"/>
          </w:tcPr>
          <w:p w14:paraId="1D688A9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1s’</w:t>
            </w:r>
          </w:p>
        </w:tc>
        <w:tc>
          <w:tcPr>
            <w:tcW w:w="814" w:type="dxa"/>
            <w:vAlign w:val="center"/>
          </w:tcPr>
          <w:p w14:paraId="4E99649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2s’</w:t>
            </w:r>
          </w:p>
        </w:tc>
        <w:tc>
          <w:tcPr>
            <w:tcW w:w="774" w:type="dxa"/>
            <w:vAlign w:val="center"/>
          </w:tcPr>
          <w:p w14:paraId="6DB42B3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3s’</w:t>
            </w:r>
          </w:p>
        </w:tc>
        <w:tc>
          <w:tcPr>
            <w:tcW w:w="774" w:type="dxa"/>
            <w:vAlign w:val="center"/>
          </w:tcPr>
          <w:p w14:paraId="33EA2E8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4s’</w:t>
            </w:r>
          </w:p>
        </w:tc>
        <w:tc>
          <w:tcPr>
            <w:tcW w:w="785" w:type="dxa"/>
            <w:vAlign w:val="center"/>
          </w:tcPr>
          <w:p w14:paraId="3A07B33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Cs/>
                <w:sz w:val="18"/>
                <w:szCs w:val="18"/>
              </w:rPr>
              <w:t>—</w:t>
            </w:r>
          </w:p>
        </w:tc>
        <w:tc>
          <w:tcPr>
            <w:tcW w:w="774" w:type="dxa"/>
            <w:vAlign w:val="center"/>
          </w:tcPr>
          <w:p w14:paraId="5472BAA4"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4" w:type="dxa"/>
            <w:vAlign w:val="center"/>
          </w:tcPr>
          <w:p w14:paraId="506EFCDE"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5" w:type="dxa"/>
            <w:vAlign w:val="center"/>
          </w:tcPr>
          <w:p w14:paraId="4CE7C1F1"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1" w:type="dxa"/>
            <w:vAlign w:val="center"/>
          </w:tcPr>
          <w:p w14:paraId="7208069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29AA6499" w14:textId="77777777" w:rsidTr="002B733E">
        <w:trPr>
          <w:trHeight w:val="397"/>
          <w:jc w:val="center"/>
        </w:trPr>
        <w:tc>
          <w:tcPr>
            <w:tcW w:w="729" w:type="dxa"/>
            <w:vAlign w:val="center"/>
          </w:tcPr>
          <w:p w14:paraId="3D3A47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774" w:type="dxa"/>
            <w:vAlign w:val="center"/>
          </w:tcPr>
          <w:p w14:paraId="7FDBDBF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74" w:type="dxa"/>
            <w:vAlign w:val="center"/>
          </w:tcPr>
          <w:p w14:paraId="3093383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26</w:t>
            </w:r>
          </w:p>
        </w:tc>
        <w:tc>
          <w:tcPr>
            <w:tcW w:w="814" w:type="dxa"/>
            <w:vAlign w:val="center"/>
          </w:tcPr>
          <w:p w14:paraId="1AE0CF4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716</w:t>
            </w:r>
          </w:p>
        </w:tc>
        <w:tc>
          <w:tcPr>
            <w:tcW w:w="774" w:type="dxa"/>
            <w:vAlign w:val="center"/>
          </w:tcPr>
          <w:p w14:paraId="3D7CB83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w:t>
            </w:r>
            <w:r w:rsidRPr="00FD50F6">
              <w:rPr>
                <w:rFonts w:ascii="Calibri" w:hAnsi="Calibri" w:cs="Times New Roman" w:hint="eastAsia"/>
                <w:sz w:val="18"/>
                <w:szCs w:val="24"/>
              </w:rPr>
              <w:t>88</w:t>
            </w:r>
          </w:p>
        </w:tc>
        <w:tc>
          <w:tcPr>
            <w:tcW w:w="774" w:type="dxa"/>
            <w:vAlign w:val="center"/>
          </w:tcPr>
          <w:p w14:paraId="74B35B7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w:t>
            </w:r>
            <w:r w:rsidRPr="00FD50F6">
              <w:rPr>
                <w:rFonts w:ascii="Calibri" w:hAnsi="Calibri" w:cs="Times New Roman" w:hint="eastAsia"/>
                <w:sz w:val="18"/>
                <w:szCs w:val="24"/>
              </w:rPr>
              <w:t>50</w:t>
            </w:r>
          </w:p>
        </w:tc>
        <w:tc>
          <w:tcPr>
            <w:tcW w:w="785" w:type="dxa"/>
            <w:vAlign w:val="center"/>
          </w:tcPr>
          <w:p w14:paraId="1FC89D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4" w:type="dxa"/>
            <w:vAlign w:val="center"/>
          </w:tcPr>
          <w:p w14:paraId="6E3CE364"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4" w:type="dxa"/>
            <w:vAlign w:val="center"/>
          </w:tcPr>
          <w:p w14:paraId="30EC68F8"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5" w:type="dxa"/>
            <w:vAlign w:val="center"/>
          </w:tcPr>
          <w:p w14:paraId="7883AC76"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1" w:type="dxa"/>
            <w:vAlign w:val="center"/>
          </w:tcPr>
          <w:p w14:paraId="6E7C17CF"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r w:rsidR="00FD50F6" w:rsidRPr="00FD50F6" w14:paraId="348A28F8" w14:textId="77777777" w:rsidTr="002B733E">
        <w:trPr>
          <w:trHeight w:val="397"/>
          <w:jc w:val="center"/>
        </w:trPr>
        <w:tc>
          <w:tcPr>
            <w:tcW w:w="729" w:type="dxa"/>
            <w:vAlign w:val="center"/>
          </w:tcPr>
          <w:p w14:paraId="08E219E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774" w:type="dxa"/>
            <w:vAlign w:val="center"/>
          </w:tcPr>
          <w:p w14:paraId="650952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4071</w:t>
            </w:r>
          </w:p>
        </w:tc>
        <w:tc>
          <w:tcPr>
            <w:tcW w:w="774" w:type="dxa"/>
            <w:vAlign w:val="center"/>
          </w:tcPr>
          <w:p w14:paraId="31AE8AD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4071</w:t>
            </w:r>
          </w:p>
        </w:tc>
        <w:tc>
          <w:tcPr>
            <w:tcW w:w="814" w:type="dxa"/>
            <w:vAlign w:val="center"/>
          </w:tcPr>
          <w:p w14:paraId="1011E0A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4053</w:t>
            </w:r>
          </w:p>
        </w:tc>
        <w:tc>
          <w:tcPr>
            <w:tcW w:w="774" w:type="dxa"/>
            <w:vAlign w:val="center"/>
          </w:tcPr>
          <w:p w14:paraId="18E452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4023</w:t>
            </w:r>
          </w:p>
        </w:tc>
        <w:tc>
          <w:tcPr>
            <w:tcW w:w="774" w:type="dxa"/>
            <w:vAlign w:val="center"/>
          </w:tcPr>
          <w:p w14:paraId="0A3D6DD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3887</w:t>
            </w:r>
          </w:p>
        </w:tc>
        <w:tc>
          <w:tcPr>
            <w:tcW w:w="785" w:type="dxa"/>
            <w:vAlign w:val="center"/>
          </w:tcPr>
          <w:p w14:paraId="71AC72B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4" w:type="dxa"/>
            <w:vAlign w:val="center"/>
          </w:tcPr>
          <w:p w14:paraId="7FB93ECD"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4" w:type="dxa"/>
            <w:vAlign w:val="center"/>
          </w:tcPr>
          <w:p w14:paraId="00AB2F65"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85" w:type="dxa"/>
            <w:vAlign w:val="center"/>
          </w:tcPr>
          <w:p w14:paraId="4245DEFA"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c>
          <w:tcPr>
            <w:tcW w:w="771" w:type="dxa"/>
            <w:vAlign w:val="center"/>
          </w:tcPr>
          <w:p w14:paraId="0D87F9E3" w14:textId="77777777" w:rsidR="002B733E" w:rsidRPr="00FD50F6" w:rsidRDefault="002B733E" w:rsidP="002B733E">
            <w:pPr>
              <w:spacing w:line="400" w:lineRule="exact"/>
              <w:jc w:val="center"/>
              <w:rPr>
                <w:rFonts w:ascii="Calibri" w:hAnsi="Calibri" w:cs="Times New Roman"/>
                <w:sz w:val="18"/>
                <w:szCs w:val="18"/>
              </w:rPr>
            </w:pPr>
            <w:r w:rsidRPr="00FD50F6">
              <w:rPr>
                <w:rFonts w:ascii="Calibri" w:hAnsi="Calibri" w:cs="Times New Roman"/>
                <w:bCs/>
                <w:sz w:val="18"/>
                <w:szCs w:val="18"/>
              </w:rPr>
              <w:t>—</w:t>
            </w:r>
          </w:p>
        </w:tc>
      </w:tr>
    </w:tbl>
    <w:p w14:paraId="33529214" w14:textId="77777777" w:rsidR="002B733E" w:rsidRPr="00FD50F6" w:rsidRDefault="002B733E" w:rsidP="002B733E">
      <w:pPr>
        <w:jc w:val="center"/>
        <w:rPr>
          <w:rFonts w:ascii="黑体" w:eastAsia="黑体" w:hAnsi="黑体" w:cs="Times New Roman"/>
          <w:sz w:val="21"/>
          <w:szCs w:val="24"/>
        </w:rPr>
      </w:pPr>
      <w:r w:rsidRPr="00FD50F6">
        <w:rPr>
          <w:rFonts w:ascii="黑体" w:eastAsia="黑体" w:hAnsi="黑体" w:cs="Times New Roman" w:hint="eastAsia"/>
          <w:sz w:val="21"/>
          <w:szCs w:val="24"/>
        </w:rPr>
        <w:lastRenderedPageBreak/>
        <w:t>表</w:t>
      </w:r>
      <w:r w:rsidRPr="00FD50F6">
        <w:rPr>
          <w:rFonts w:ascii="Calibri" w:eastAsia="黑体" w:hAnsi="Calibri" w:cs="Times New Roman" w:hint="eastAsia"/>
          <w:b/>
          <w:sz w:val="21"/>
          <w:szCs w:val="24"/>
        </w:rPr>
        <w:t>E</w:t>
      </w:r>
      <w:r w:rsidRPr="00FD50F6">
        <w:rPr>
          <w:rFonts w:ascii="Calibri" w:eastAsia="黑体" w:hAnsi="Calibri" w:cs="Times New Roman"/>
          <w:b/>
          <w:sz w:val="21"/>
          <w:szCs w:val="24"/>
        </w:rPr>
        <w:t>.</w:t>
      </w:r>
      <w:r w:rsidRPr="00FD50F6">
        <w:rPr>
          <w:rFonts w:ascii="Calibri" w:eastAsia="黑体" w:hAnsi="Calibri" w:cs="Times New Roman" w:hint="eastAsia"/>
          <w:b/>
          <w:sz w:val="21"/>
          <w:szCs w:val="24"/>
        </w:rPr>
        <w:t>0.</w:t>
      </w:r>
      <w:r w:rsidRPr="00FD50F6">
        <w:rPr>
          <w:rFonts w:ascii="Calibri" w:eastAsia="黑体" w:hAnsi="Calibri" w:cs="Times New Roman"/>
          <w:b/>
          <w:sz w:val="21"/>
          <w:szCs w:val="24"/>
        </w:rPr>
        <w:t>1-7</w:t>
      </w:r>
      <w:r w:rsidRPr="00FD50F6">
        <w:rPr>
          <w:rFonts w:ascii="黑体" w:eastAsia="黑体" w:hAnsi="黑体" w:cs="Times New Roman" w:hint="eastAsia"/>
          <w:sz w:val="21"/>
          <w:szCs w:val="24"/>
        </w:rPr>
        <w:t xml:space="preserve">  隧道外过站直线地段车辆限界坐标值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6"/>
        <w:gridCol w:w="775"/>
        <w:gridCol w:w="775"/>
        <w:gridCol w:w="775"/>
        <w:gridCol w:w="775"/>
        <w:gridCol w:w="775"/>
        <w:gridCol w:w="775"/>
        <w:gridCol w:w="775"/>
        <w:gridCol w:w="775"/>
        <w:gridCol w:w="775"/>
        <w:gridCol w:w="777"/>
      </w:tblGrid>
      <w:tr w:rsidR="00FD50F6" w:rsidRPr="00FD50F6" w14:paraId="0D498638" w14:textId="77777777" w:rsidTr="002B733E">
        <w:trPr>
          <w:trHeight w:val="397"/>
          <w:jc w:val="center"/>
        </w:trPr>
        <w:tc>
          <w:tcPr>
            <w:tcW w:w="776" w:type="dxa"/>
            <w:vAlign w:val="center"/>
          </w:tcPr>
          <w:p w14:paraId="01BAD6E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77D2C98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p>
        </w:tc>
        <w:tc>
          <w:tcPr>
            <w:tcW w:w="775" w:type="dxa"/>
            <w:vAlign w:val="center"/>
          </w:tcPr>
          <w:p w14:paraId="6C8B5FE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p>
        </w:tc>
        <w:tc>
          <w:tcPr>
            <w:tcW w:w="775" w:type="dxa"/>
            <w:vAlign w:val="center"/>
          </w:tcPr>
          <w:p w14:paraId="39EAC92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p>
        </w:tc>
        <w:tc>
          <w:tcPr>
            <w:tcW w:w="775" w:type="dxa"/>
            <w:vAlign w:val="center"/>
          </w:tcPr>
          <w:p w14:paraId="7F33CBD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p>
        </w:tc>
        <w:tc>
          <w:tcPr>
            <w:tcW w:w="775" w:type="dxa"/>
            <w:vAlign w:val="center"/>
          </w:tcPr>
          <w:p w14:paraId="011FB57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p>
        </w:tc>
        <w:tc>
          <w:tcPr>
            <w:tcW w:w="775" w:type="dxa"/>
            <w:vAlign w:val="center"/>
          </w:tcPr>
          <w:p w14:paraId="3880B50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5’</w:t>
            </w:r>
          </w:p>
        </w:tc>
        <w:tc>
          <w:tcPr>
            <w:tcW w:w="775" w:type="dxa"/>
            <w:vAlign w:val="center"/>
          </w:tcPr>
          <w:p w14:paraId="3CAE770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6’</w:t>
            </w:r>
          </w:p>
        </w:tc>
        <w:tc>
          <w:tcPr>
            <w:tcW w:w="775" w:type="dxa"/>
            <w:vAlign w:val="center"/>
          </w:tcPr>
          <w:p w14:paraId="0C18716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7’</w:t>
            </w:r>
          </w:p>
        </w:tc>
        <w:tc>
          <w:tcPr>
            <w:tcW w:w="775" w:type="dxa"/>
            <w:vAlign w:val="center"/>
          </w:tcPr>
          <w:p w14:paraId="20C24E1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8’</w:t>
            </w:r>
          </w:p>
        </w:tc>
        <w:tc>
          <w:tcPr>
            <w:tcW w:w="777" w:type="dxa"/>
            <w:vAlign w:val="center"/>
          </w:tcPr>
          <w:p w14:paraId="59397BA6"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9’</w:t>
            </w:r>
          </w:p>
        </w:tc>
      </w:tr>
      <w:tr w:rsidR="00FD50F6" w:rsidRPr="00FD50F6" w14:paraId="0DEA8289" w14:textId="77777777" w:rsidTr="002B733E">
        <w:trPr>
          <w:trHeight w:val="397"/>
          <w:jc w:val="center"/>
        </w:trPr>
        <w:tc>
          <w:tcPr>
            <w:tcW w:w="776" w:type="dxa"/>
            <w:vAlign w:val="center"/>
          </w:tcPr>
          <w:p w14:paraId="58AECFE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775" w:type="dxa"/>
            <w:vAlign w:val="center"/>
          </w:tcPr>
          <w:p w14:paraId="456BE98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75" w:type="dxa"/>
            <w:vAlign w:val="center"/>
          </w:tcPr>
          <w:p w14:paraId="57E9BFF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w:t>
            </w:r>
            <w:r w:rsidRPr="00FD50F6">
              <w:rPr>
                <w:rFonts w:ascii="Calibri" w:hAnsi="Calibri" w:cs="Times New Roman" w:hint="eastAsia"/>
                <w:sz w:val="18"/>
                <w:szCs w:val="24"/>
              </w:rPr>
              <w:t>40</w:t>
            </w:r>
          </w:p>
        </w:tc>
        <w:tc>
          <w:tcPr>
            <w:tcW w:w="775" w:type="dxa"/>
            <w:vAlign w:val="center"/>
          </w:tcPr>
          <w:p w14:paraId="3D77741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285</w:t>
            </w:r>
          </w:p>
        </w:tc>
        <w:tc>
          <w:tcPr>
            <w:tcW w:w="775" w:type="dxa"/>
            <w:vAlign w:val="center"/>
          </w:tcPr>
          <w:p w14:paraId="2AACDF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418</w:t>
            </w:r>
          </w:p>
        </w:tc>
        <w:tc>
          <w:tcPr>
            <w:tcW w:w="775" w:type="dxa"/>
            <w:vAlign w:val="center"/>
          </w:tcPr>
          <w:p w14:paraId="451898C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511</w:t>
            </w:r>
          </w:p>
        </w:tc>
        <w:tc>
          <w:tcPr>
            <w:tcW w:w="775" w:type="dxa"/>
            <w:vAlign w:val="center"/>
          </w:tcPr>
          <w:p w14:paraId="5BAA4E9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14</w:t>
            </w:r>
            <w:r w:rsidRPr="00FD50F6">
              <w:rPr>
                <w:rFonts w:ascii="Calibri" w:hAnsi="Calibri" w:cs="Times New Roman" w:hint="eastAsia"/>
                <w:sz w:val="18"/>
                <w:szCs w:val="24"/>
              </w:rPr>
              <w:t>46</w:t>
            </w:r>
          </w:p>
        </w:tc>
        <w:tc>
          <w:tcPr>
            <w:tcW w:w="775" w:type="dxa"/>
            <w:vAlign w:val="center"/>
          </w:tcPr>
          <w:p w14:paraId="2F966641"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14</w:t>
            </w:r>
            <w:r w:rsidRPr="00FD50F6">
              <w:rPr>
                <w:rFonts w:ascii="Calibri" w:hAnsi="Calibri" w:cs="Times New Roman" w:hint="eastAsia"/>
                <w:sz w:val="18"/>
                <w:szCs w:val="24"/>
              </w:rPr>
              <w:t>43</w:t>
            </w:r>
          </w:p>
        </w:tc>
        <w:tc>
          <w:tcPr>
            <w:tcW w:w="775" w:type="dxa"/>
            <w:vAlign w:val="center"/>
          </w:tcPr>
          <w:p w14:paraId="37DD8C3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378</w:t>
            </w:r>
          </w:p>
        </w:tc>
        <w:tc>
          <w:tcPr>
            <w:tcW w:w="775" w:type="dxa"/>
            <w:vAlign w:val="center"/>
          </w:tcPr>
          <w:p w14:paraId="495870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353</w:t>
            </w:r>
          </w:p>
        </w:tc>
        <w:tc>
          <w:tcPr>
            <w:tcW w:w="777" w:type="dxa"/>
            <w:vAlign w:val="center"/>
          </w:tcPr>
          <w:p w14:paraId="60DCB3C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352</w:t>
            </w:r>
          </w:p>
        </w:tc>
      </w:tr>
      <w:tr w:rsidR="00FD50F6" w:rsidRPr="00FD50F6" w14:paraId="1A0B8567" w14:textId="77777777" w:rsidTr="002B733E">
        <w:trPr>
          <w:trHeight w:val="397"/>
          <w:jc w:val="center"/>
        </w:trPr>
        <w:tc>
          <w:tcPr>
            <w:tcW w:w="776" w:type="dxa"/>
            <w:vAlign w:val="center"/>
          </w:tcPr>
          <w:p w14:paraId="789E8B0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775" w:type="dxa"/>
            <w:vAlign w:val="center"/>
          </w:tcPr>
          <w:p w14:paraId="75493DEC"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9</w:t>
            </w:r>
          </w:p>
        </w:tc>
        <w:tc>
          <w:tcPr>
            <w:tcW w:w="775" w:type="dxa"/>
            <w:vAlign w:val="center"/>
          </w:tcPr>
          <w:p w14:paraId="15D97C9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387</w:t>
            </w:r>
            <w:r w:rsidRPr="00FD50F6">
              <w:rPr>
                <w:rFonts w:ascii="Calibri" w:hAnsi="Calibri" w:cs="Times New Roman" w:hint="eastAsia"/>
                <w:sz w:val="18"/>
                <w:szCs w:val="24"/>
              </w:rPr>
              <w:t>9</w:t>
            </w:r>
          </w:p>
        </w:tc>
        <w:tc>
          <w:tcPr>
            <w:tcW w:w="775" w:type="dxa"/>
            <w:vAlign w:val="center"/>
          </w:tcPr>
          <w:p w14:paraId="538DC8C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550</w:t>
            </w:r>
          </w:p>
        </w:tc>
        <w:tc>
          <w:tcPr>
            <w:tcW w:w="775" w:type="dxa"/>
            <w:vAlign w:val="center"/>
          </w:tcPr>
          <w:p w14:paraId="015C7A4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3</w:t>
            </w:r>
            <w:r w:rsidRPr="00FD50F6">
              <w:rPr>
                <w:rFonts w:ascii="Calibri" w:hAnsi="Calibri" w:cs="Times New Roman" w:hint="eastAsia"/>
                <w:sz w:val="18"/>
                <w:szCs w:val="24"/>
              </w:rPr>
              <w:t>355</w:t>
            </w:r>
          </w:p>
        </w:tc>
        <w:tc>
          <w:tcPr>
            <w:tcW w:w="775" w:type="dxa"/>
            <w:vAlign w:val="center"/>
          </w:tcPr>
          <w:p w14:paraId="53CB8C3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1672</w:t>
            </w:r>
          </w:p>
        </w:tc>
        <w:tc>
          <w:tcPr>
            <w:tcW w:w="775" w:type="dxa"/>
            <w:vAlign w:val="center"/>
          </w:tcPr>
          <w:p w14:paraId="42CE3FE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797</w:t>
            </w:r>
          </w:p>
        </w:tc>
        <w:tc>
          <w:tcPr>
            <w:tcW w:w="775" w:type="dxa"/>
            <w:vAlign w:val="center"/>
          </w:tcPr>
          <w:p w14:paraId="7D76F2E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455</w:t>
            </w:r>
          </w:p>
        </w:tc>
        <w:tc>
          <w:tcPr>
            <w:tcW w:w="775" w:type="dxa"/>
            <w:vAlign w:val="center"/>
          </w:tcPr>
          <w:p w14:paraId="5752AF7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455</w:t>
            </w:r>
          </w:p>
        </w:tc>
        <w:tc>
          <w:tcPr>
            <w:tcW w:w="775" w:type="dxa"/>
            <w:vAlign w:val="center"/>
          </w:tcPr>
          <w:p w14:paraId="1A23213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371</w:t>
            </w:r>
          </w:p>
        </w:tc>
        <w:tc>
          <w:tcPr>
            <w:tcW w:w="777" w:type="dxa"/>
            <w:vAlign w:val="center"/>
          </w:tcPr>
          <w:p w14:paraId="50BDBD1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181</w:t>
            </w:r>
          </w:p>
        </w:tc>
      </w:tr>
      <w:tr w:rsidR="00FD50F6" w:rsidRPr="00FD50F6" w14:paraId="56C4727E" w14:textId="77777777" w:rsidTr="002B733E">
        <w:trPr>
          <w:trHeight w:val="397"/>
          <w:jc w:val="center"/>
        </w:trPr>
        <w:tc>
          <w:tcPr>
            <w:tcW w:w="776" w:type="dxa"/>
            <w:vAlign w:val="center"/>
          </w:tcPr>
          <w:p w14:paraId="470991C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552AD64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10’</w:t>
            </w:r>
          </w:p>
        </w:tc>
        <w:tc>
          <w:tcPr>
            <w:tcW w:w="775" w:type="dxa"/>
            <w:vAlign w:val="center"/>
          </w:tcPr>
          <w:p w14:paraId="676AA70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11’</w:t>
            </w:r>
          </w:p>
        </w:tc>
        <w:tc>
          <w:tcPr>
            <w:tcW w:w="775" w:type="dxa"/>
            <w:vAlign w:val="center"/>
          </w:tcPr>
          <w:p w14:paraId="019767F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12’</w:t>
            </w:r>
          </w:p>
        </w:tc>
        <w:tc>
          <w:tcPr>
            <w:tcW w:w="775" w:type="dxa"/>
            <w:vAlign w:val="center"/>
          </w:tcPr>
          <w:p w14:paraId="287CBBE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13’</w:t>
            </w:r>
          </w:p>
        </w:tc>
        <w:tc>
          <w:tcPr>
            <w:tcW w:w="775" w:type="dxa"/>
            <w:vAlign w:val="center"/>
          </w:tcPr>
          <w:p w14:paraId="5440B3AE"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14’</w:t>
            </w:r>
          </w:p>
        </w:tc>
        <w:tc>
          <w:tcPr>
            <w:tcW w:w="775" w:type="dxa"/>
            <w:vAlign w:val="center"/>
          </w:tcPr>
          <w:p w14:paraId="5139F2B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15’</w:t>
            </w:r>
          </w:p>
        </w:tc>
        <w:tc>
          <w:tcPr>
            <w:tcW w:w="775" w:type="dxa"/>
            <w:vAlign w:val="center"/>
          </w:tcPr>
          <w:p w14:paraId="37221A9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16’</w:t>
            </w:r>
          </w:p>
        </w:tc>
        <w:tc>
          <w:tcPr>
            <w:tcW w:w="775" w:type="dxa"/>
            <w:vAlign w:val="center"/>
          </w:tcPr>
          <w:p w14:paraId="3264170F"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17’</w:t>
            </w:r>
          </w:p>
        </w:tc>
        <w:tc>
          <w:tcPr>
            <w:tcW w:w="775" w:type="dxa"/>
            <w:vAlign w:val="center"/>
          </w:tcPr>
          <w:p w14:paraId="44D577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18’</w:t>
            </w:r>
          </w:p>
        </w:tc>
        <w:tc>
          <w:tcPr>
            <w:tcW w:w="777" w:type="dxa"/>
            <w:vAlign w:val="center"/>
          </w:tcPr>
          <w:p w14:paraId="4C50E74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19’</w:t>
            </w:r>
          </w:p>
        </w:tc>
      </w:tr>
      <w:tr w:rsidR="00FD50F6" w:rsidRPr="00FD50F6" w14:paraId="2DEF8C44" w14:textId="77777777" w:rsidTr="002B733E">
        <w:trPr>
          <w:trHeight w:val="397"/>
          <w:jc w:val="center"/>
        </w:trPr>
        <w:tc>
          <w:tcPr>
            <w:tcW w:w="776" w:type="dxa"/>
            <w:vAlign w:val="center"/>
          </w:tcPr>
          <w:p w14:paraId="4969295C"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775" w:type="dxa"/>
            <w:vAlign w:val="center"/>
          </w:tcPr>
          <w:p w14:paraId="6264833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254</w:t>
            </w:r>
          </w:p>
        </w:tc>
        <w:tc>
          <w:tcPr>
            <w:tcW w:w="775" w:type="dxa"/>
            <w:vAlign w:val="center"/>
          </w:tcPr>
          <w:p w14:paraId="450BACA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75" w:type="dxa"/>
            <w:vAlign w:val="center"/>
          </w:tcPr>
          <w:p w14:paraId="6BEC49C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911</w:t>
            </w:r>
          </w:p>
        </w:tc>
        <w:tc>
          <w:tcPr>
            <w:tcW w:w="775" w:type="dxa"/>
            <w:vAlign w:val="center"/>
          </w:tcPr>
          <w:p w14:paraId="62D83F5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775" w:type="dxa"/>
            <w:vAlign w:val="center"/>
          </w:tcPr>
          <w:p w14:paraId="1D0224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841</w:t>
            </w:r>
          </w:p>
        </w:tc>
        <w:tc>
          <w:tcPr>
            <w:tcW w:w="775" w:type="dxa"/>
            <w:vAlign w:val="center"/>
          </w:tcPr>
          <w:p w14:paraId="7648AC2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738</w:t>
            </w:r>
          </w:p>
        </w:tc>
        <w:tc>
          <w:tcPr>
            <w:tcW w:w="775" w:type="dxa"/>
            <w:vAlign w:val="center"/>
          </w:tcPr>
          <w:p w14:paraId="5D01E65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73</w:t>
            </w:r>
            <w:r w:rsidRPr="00FD50F6">
              <w:rPr>
                <w:rFonts w:ascii="Calibri" w:hAnsi="Calibri" w:cs="Times New Roman" w:hint="eastAsia"/>
                <w:sz w:val="18"/>
                <w:szCs w:val="24"/>
              </w:rPr>
              <w:t>8</w:t>
            </w:r>
          </w:p>
        </w:tc>
        <w:tc>
          <w:tcPr>
            <w:tcW w:w="775" w:type="dxa"/>
            <w:vAlign w:val="center"/>
          </w:tcPr>
          <w:p w14:paraId="2CEE165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648</w:t>
            </w:r>
          </w:p>
        </w:tc>
        <w:tc>
          <w:tcPr>
            <w:tcW w:w="775" w:type="dxa"/>
            <w:vAlign w:val="center"/>
          </w:tcPr>
          <w:p w14:paraId="44DB915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6</w:t>
            </w:r>
            <w:r w:rsidRPr="00FD50F6">
              <w:rPr>
                <w:rFonts w:ascii="Calibri" w:hAnsi="Calibri" w:cs="Times New Roman" w:hint="eastAsia"/>
                <w:sz w:val="18"/>
                <w:szCs w:val="24"/>
              </w:rPr>
              <w:t>48</w:t>
            </w:r>
          </w:p>
        </w:tc>
        <w:tc>
          <w:tcPr>
            <w:tcW w:w="777" w:type="dxa"/>
            <w:vAlign w:val="center"/>
          </w:tcPr>
          <w:p w14:paraId="3663CE5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0</w:t>
            </w:r>
          </w:p>
        </w:tc>
      </w:tr>
      <w:tr w:rsidR="00FD50F6" w:rsidRPr="00FD50F6" w14:paraId="704F5BA3" w14:textId="77777777" w:rsidTr="002B733E">
        <w:trPr>
          <w:trHeight w:val="397"/>
          <w:jc w:val="center"/>
        </w:trPr>
        <w:tc>
          <w:tcPr>
            <w:tcW w:w="776" w:type="dxa"/>
            <w:vAlign w:val="center"/>
          </w:tcPr>
          <w:p w14:paraId="59E4CA11"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775" w:type="dxa"/>
            <w:vAlign w:val="center"/>
          </w:tcPr>
          <w:p w14:paraId="3928E5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13</w:t>
            </w:r>
          </w:p>
        </w:tc>
        <w:tc>
          <w:tcPr>
            <w:tcW w:w="775" w:type="dxa"/>
            <w:vAlign w:val="center"/>
          </w:tcPr>
          <w:p w14:paraId="70F2008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114</w:t>
            </w:r>
          </w:p>
        </w:tc>
        <w:tc>
          <w:tcPr>
            <w:tcW w:w="775" w:type="dxa"/>
            <w:vAlign w:val="center"/>
          </w:tcPr>
          <w:p w14:paraId="0F0C4744"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775" w:type="dxa"/>
            <w:vAlign w:val="center"/>
          </w:tcPr>
          <w:p w14:paraId="6516C2F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71</w:t>
            </w:r>
          </w:p>
        </w:tc>
        <w:tc>
          <w:tcPr>
            <w:tcW w:w="775" w:type="dxa"/>
            <w:vAlign w:val="center"/>
          </w:tcPr>
          <w:p w14:paraId="3542273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-18</w:t>
            </w:r>
          </w:p>
        </w:tc>
        <w:tc>
          <w:tcPr>
            <w:tcW w:w="775" w:type="dxa"/>
            <w:vAlign w:val="center"/>
          </w:tcPr>
          <w:p w14:paraId="45E8412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-1</w:t>
            </w:r>
            <w:r w:rsidRPr="00FD50F6">
              <w:rPr>
                <w:rFonts w:ascii="Calibri" w:hAnsi="Calibri" w:cs="Times New Roman" w:hint="eastAsia"/>
                <w:sz w:val="18"/>
                <w:szCs w:val="24"/>
              </w:rPr>
              <w:t>8</w:t>
            </w:r>
          </w:p>
        </w:tc>
        <w:tc>
          <w:tcPr>
            <w:tcW w:w="775" w:type="dxa"/>
            <w:vAlign w:val="center"/>
          </w:tcPr>
          <w:p w14:paraId="7A174D0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775" w:type="dxa"/>
            <w:vAlign w:val="center"/>
          </w:tcPr>
          <w:p w14:paraId="6AF2EEAA"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w:t>
            </w:r>
            <w:r w:rsidRPr="00FD50F6">
              <w:rPr>
                <w:rFonts w:ascii="Calibri" w:hAnsi="Calibri" w:cs="Times New Roman" w:hint="eastAsia"/>
                <w:sz w:val="18"/>
                <w:szCs w:val="24"/>
              </w:rPr>
              <w:t>55</w:t>
            </w:r>
          </w:p>
        </w:tc>
        <w:tc>
          <w:tcPr>
            <w:tcW w:w="775" w:type="dxa"/>
            <w:vAlign w:val="center"/>
          </w:tcPr>
          <w:p w14:paraId="04BAE9F8"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27</w:t>
            </w:r>
          </w:p>
        </w:tc>
        <w:tc>
          <w:tcPr>
            <w:tcW w:w="777" w:type="dxa"/>
            <w:vAlign w:val="center"/>
          </w:tcPr>
          <w:p w14:paraId="11AE8C77"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28</w:t>
            </w:r>
          </w:p>
        </w:tc>
      </w:tr>
      <w:tr w:rsidR="00FD50F6" w:rsidRPr="00FD50F6" w14:paraId="53B534CE" w14:textId="77777777" w:rsidTr="002B733E">
        <w:trPr>
          <w:trHeight w:val="397"/>
          <w:jc w:val="center"/>
        </w:trPr>
        <w:tc>
          <w:tcPr>
            <w:tcW w:w="776" w:type="dxa"/>
            <w:vAlign w:val="center"/>
          </w:tcPr>
          <w:p w14:paraId="2F7B7513"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点号</w:t>
            </w:r>
          </w:p>
        </w:tc>
        <w:tc>
          <w:tcPr>
            <w:tcW w:w="775" w:type="dxa"/>
            <w:vAlign w:val="center"/>
          </w:tcPr>
          <w:p w14:paraId="2E47334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0</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75" w:type="dxa"/>
            <w:vAlign w:val="center"/>
          </w:tcPr>
          <w:p w14:paraId="7C87927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1</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75" w:type="dxa"/>
            <w:vAlign w:val="center"/>
          </w:tcPr>
          <w:p w14:paraId="780AF7B5"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2</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75" w:type="dxa"/>
            <w:vAlign w:val="center"/>
          </w:tcPr>
          <w:p w14:paraId="57CDCD2B"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3</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75" w:type="dxa"/>
            <w:vAlign w:val="center"/>
          </w:tcPr>
          <w:p w14:paraId="0D44D28D"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
                <w:sz w:val="18"/>
                <w:szCs w:val="24"/>
              </w:rPr>
              <w:t>4</w:t>
            </w:r>
            <w:r w:rsidRPr="00FD50F6">
              <w:rPr>
                <w:rFonts w:ascii="Calibri" w:hAnsi="Calibri" w:cs="Times New Roman" w:hint="eastAsia"/>
                <w:b/>
                <w:sz w:val="18"/>
                <w:szCs w:val="24"/>
              </w:rPr>
              <w:t>a</w:t>
            </w:r>
            <w:r w:rsidRPr="00FD50F6">
              <w:rPr>
                <w:rFonts w:ascii="Calibri" w:hAnsi="Calibri" w:cs="Times New Roman"/>
                <w:b/>
                <w:sz w:val="18"/>
                <w:szCs w:val="24"/>
              </w:rPr>
              <w:t>’</w:t>
            </w:r>
          </w:p>
        </w:tc>
        <w:tc>
          <w:tcPr>
            <w:tcW w:w="775" w:type="dxa"/>
            <w:vAlign w:val="center"/>
          </w:tcPr>
          <w:p w14:paraId="244E1C3A"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Cs/>
                <w:sz w:val="18"/>
                <w:szCs w:val="18"/>
              </w:rPr>
              <w:t>—</w:t>
            </w:r>
          </w:p>
        </w:tc>
        <w:tc>
          <w:tcPr>
            <w:tcW w:w="775" w:type="dxa"/>
            <w:vAlign w:val="center"/>
          </w:tcPr>
          <w:p w14:paraId="639DAEF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Cs/>
                <w:sz w:val="18"/>
                <w:szCs w:val="18"/>
              </w:rPr>
              <w:t>—</w:t>
            </w:r>
          </w:p>
        </w:tc>
        <w:tc>
          <w:tcPr>
            <w:tcW w:w="775" w:type="dxa"/>
            <w:vAlign w:val="center"/>
          </w:tcPr>
          <w:p w14:paraId="334E280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Cs/>
                <w:sz w:val="18"/>
                <w:szCs w:val="18"/>
              </w:rPr>
              <w:t>—</w:t>
            </w:r>
          </w:p>
        </w:tc>
        <w:tc>
          <w:tcPr>
            <w:tcW w:w="775" w:type="dxa"/>
            <w:vAlign w:val="center"/>
          </w:tcPr>
          <w:p w14:paraId="58625667"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Cs/>
                <w:sz w:val="18"/>
                <w:szCs w:val="18"/>
              </w:rPr>
              <w:t>—</w:t>
            </w:r>
          </w:p>
        </w:tc>
        <w:tc>
          <w:tcPr>
            <w:tcW w:w="777" w:type="dxa"/>
            <w:vAlign w:val="center"/>
          </w:tcPr>
          <w:p w14:paraId="4F99A0A8"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bCs/>
                <w:sz w:val="18"/>
                <w:szCs w:val="18"/>
              </w:rPr>
              <w:t>—</w:t>
            </w:r>
          </w:p>
        </w:tc>
      </w:tr>
      <w:tr w:rsidR="00FD50F6" w:rsidRPr="00FD50F6" w14:paraId="15BBD151" w14:textId="77777777" w:rsidTr="002B733E">
        <w:trPr>
          <w:trHeight w:val="397"/>
          <w:jc w:val="center"/>
        </w:trPr>
        <w:tc>
          <w:tcPr>
            <w:tcW w:w="776" w:type="dxa"/>
            <w:vAlign w:val="center"/>
          </w:tcPr>
          <w:p w14:paraId="69B7B2A0"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X</w:t>
            </w:r>
          </w:p>
        </w:tc>
        <w:tc>
          <w:tcPr>
            <w:tcW w:w="775" w:type="dxa"/>
            <w:vAlign w:val="center"/>
          </w:tcPr>
          <w:p w14:paraId="474CA4A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0</w:t>
            </w:r>
          </w:p>
        </w:tc>
        <w:tc>
          <w:tcPr>
            <w:tcW w:w="775" w:type="dxa"/>
            <w:vAlign w:val="center"/>
          </w:tcPr>
          <w:p w14:paraId="62547BAB"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35</w:t>
            </w:r>
          </w:p>
        </w:tc>
        <w:tc>
          <w:tcPr>
            <w:tcW w:w="775" w:type="dxa"/>
            <w:vAlign w:val="center"/>
          </w:tcPr>
          <w:p w14:paraId="5E193E63"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7</w:t>
            </w:r>
            <w:r w:rsidRPr="00FD50F6">
              <w:rPr>
                <w:rFonts w:ascii="Calibri" w:hAnsi="Calibri" w:cs="Times New Roman" w:hint="eastAsia"/>
                <w:sz w:val="18"/>
                <w:szCs w:val="24"/>
              </w:rPr>
              <w:t>25</w:t>
            </w:r>
          </w:p>
        </w:tc>
        <w:tc>
          <w:tcPr>
            <w:tcW w:w="775" w:type="dxa"/>
            <w:vAlign w:val="center"/>
          </w:tcPr>
          <w:p w14:paraId="097B520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796</w:t>
            </w:r>
          </w:p>
        </w:tc>
        <w:tc>
          <w:tcPr>
            <w:tcW w:w="775" w:type="dxa"/>
            <w:vAlign w:val="center"/>
          </w:tcPr>
          <w:p w14:paraId="5B07A0C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9</w:t>
            </w:r>
            <w:r w:rsidRPr="00FD50F6">
              <w:rPr>
                <w:rFonts w:ascii="Calibri" w:hAnsi="Calibri" w:cs="Times New Roman" w:hint="eastAsia"/>
                <w:sz w:val="18"/>
                <w:szCs w:val="24"/>
              </w:rPr>
              <w:t>58</w:t>
            </w:r>
          </w:p>
        </w:tc>
        <w:tc>
          <w:tcPr>
            <w:tcW w:w="775" w:type="dxa"/>
            <w:vAlign w:val="center"/>
          </w:tcPr>
          <w:p w14:paraId="4EAED26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5" w:type="dxa"/>
            <w:vAlign w:val="center"/>
          </w:tcPr>
          <w:p w14:paraId="23CA551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5" w:type="dxa"/>
            <w:vAlign w:val="center"/>
          </w:tcPr>
          <w:p w14:paraId="242E47F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5" w:type="dxa"/>
            <w:vAlign w:val="center"/>
          </w:tcPr>
          <w:p w14:paraId="1E8C9472"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7" w:type="dxa"/>
            <w:vAlign w:val="center"/>
          </w:tcPr>
          <w:p w14:paraId="1227A399"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r>
      <w:tr w:rsidR="002B733E" w:rsidRPr="00FD50F6" w14:paraId="7E1A911F" w14:textId="77777777" w:rsidTr="002B733E">
        <w:trPr>
          <w:trHeight w:val="397"/>
          <w:jc w:val="center"/>
        </w:trPr>
        <w:tc>
          <w:tcPr>
            <w:tcW w:w="776" w:type="dxa"/>
            <w:vAlign w:val="center"/>
          </w:tcPr>
          <w:p w14:paraId="6159D4C2" w14:textId="77777777" w:rsidR="002B733E" w:rsidRPr="00FD50F6" w:rsidRDefault="002B733E" w:rsidP="002B733E">
            <w:pPr>
              <w:spacing w:line="400" w:lineRule="exact"/>
              <w:jc w:val="center"/>
              <w:rPr>
                <w:rFonts w:ascii="Calibri" w:hAnsi="Calibri" w:cs="Times New Roman"/>
                <w:b/>
                <w:sz w:val="18"/>
                <w:szCs w:val="24"/>
              </w:rPr>
            </w:pPr>
            <w:r w:rsidRPr="00FD50F6">
              <w:rPr>
                <w:rFonts w:ascii="Calibri" w:hAnsi="Calibri" w:cs="Times New Roman" w:hint="eastAsia"/>
                <w:b/>
                <w:sz w:val="18"/>
                <w:szCs w:val="24"/>
              </w:rPr>
              <w:t>Y</w:t>
            </w:r>
          </w:p>
        </w:tc>
        <w:tc>
          <w:tcPr>
            <w:tcW w:w="775" w:type="dxa"/>
            <w:vAlign w:val="center"/>
          </w:tcPr>
          <w:p w14:paraId="4E44097E"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631</w:t>
            </w:r>
          </w:p>
        </w:tc>
        <w:tc>
          <w:tcPr>
            <w:tcW w:w="775" w:type="dxa"/>
            <w:vAlign w:val="center"/>
          </w:tcPr>
          <w:p w14:paraId="232CF9A5"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631</w:t>
            </w:r>
          </w:p>
        </w:tc>
        <w:tc>
          <w:tcPr>
            <w:tcW w:w="775" w:type="dxa"/>
            <w:vAlign w:val="center"/>
          </w:tcPr>
          <w:p w14:paraId="0F7204B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613</w:t>
            </w:r>
          </w:p>
        </w:tc>
        <w:tc>
          <w:tcPr>
            <w:tcW w:w="775" w:type="dxa"/>
            <w:vAlign w:val="center"/>
          </w:tcPr>
          <w:p w14:paraId="242C795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sz w:val="18"/>
                <w:szCs w:val="24"/>
              </w:rPr>
              <w:t>4</w:t>
            </w:r>
            <w:r w:rsidRPr="00FD50F6">
              <w:rPr>
                <w:rFonts w:ascii="Calibri" w:hAnsi="Calibri" w:cs="Times New Roman" w:hint="eastAsia"/>
                <w:sz w:val="18"/>
                <w:szCs w:val="24"/>
              </w:rPr>
              <w:t>583</w:t>
            </w:r>
          </w:p>
        </w:tc>
        <w:tc>
          <w:tcPr>
            <w:tcW w:w="775" w:type="dxa"/>
            <w:vAlign w:val="center"/>
          </w:tcPr>
          <w:p w14:paraId="5936C3C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hint="eastAsia"/>
                <w:sz w:val="18"/>
                <w:szCs w:val="24"/>
              </w:rPr>
              <w:t>4447</w:t>
            </w:r>
          </w:p>
        </w:tc>
        <w:tc>
          <w:tcPr>
            <w:tcW w:w="775" w:type="dxa"/>
            <w:vAlign w:val="center"/>
          </w:tcPr>
          <w:p w14:paraId="2502BC8F"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5" w:type="dxa"/>
            <w:vAlign w:val="center"/>
          </w:tcPr>
          <w:p w14:paraId="7508840D"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5" w:type="dxa"/>
            <w:vAlign w:val="center"/>
          </w:tcPr>
          <w:p w14:paraId="62BED93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5" w:type="dxa"/>
            <w:vAlign w:val="center"/>
          </w:tcPr>
          <w:p w14:paraId="4E9FDB70"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c>
          <w:tcPr>
            <w:tcW w:w="777" w:type="dxa"/>
            <w:vAlign w:val="center"/>
          </w:tcPr>
          <w:p w14:paraId="65B223F6" w14:textId="77777777" w:rsidR="002B733E" w:rsidRPr="00FD50F6" w:rsidRDefault="002B733E" w:rsidP="002B733E">
            <w:pPr>
              <w:spacing w:line="400" w:lineRule="exact"/>
              <w:jc w:val="center"/>
              <w:rPr>
                <w:rFonts w:ascii="Calibri" w:hAnsi="Calibri" w:cs="Times New Roman"/>
                <w:sz w:val="18"/>
                <w:szCs w:val="24"/>
              </w:rPr>
            </w:pPr>
            <w:r w:rsidRPr="00FD50F6">
              <w:rPr>
                <w:rFonts w:ascii="Calibri" w:hAnsi="Calibri" w:cs="Times New Roman"/>
                <w:bCs/>
                <w:sz w:val="18"/>
                <w:szCs w:val="18"/>
              </w:rPr>
              <w:t>—</w:t>
            </w:r>
          </w:p>
        </w:tc>
      </w:tr>
    </w:tbl>
    <w:p w14:paraId="5C3E3CA9" w14:textId="77777777" w:rsidR="002B733E" w:rsidRPr="00FD50F6" w:rsidRDefault="002B733E" w:rsidP="002B733E">
      <w:pPr>
        <w:tabs>
          <w:tab w:val="left" w:pos="0"/>
        </w:tabs>
        <w:spacing w:line="240" w:lineRule="auto"/>
        <w:rPr>
          <w:rFonts w:ascii="宋体" w:hAnsi="宋体" w:cs="Times New Roman"/>
          <w:kern w:val="0"/>
          <w:sz w:val="28"/>
          <w:szCs w:val="28"/>
        </w:rPr>
      </w:pPr>
    </w:p>
    <w:p w14:paraId="5AA9F689" w14:textId="77777777" w:rsidR="002B733E" w:rsidRPr="00FD50F6" w:rsidRDefault="002B733E" w:rsidP="002B733E">
      <w:pPr>
        <w:spacing w:beforeLines="200" w:before="480" w:afterLines="100" w:after="240" w:line="240" w:lineRule="auto"/>
        <w:jc w:val="center"/>
        <w:outlineLvl w:val="0"/>
        <w:rPr>
          <w:rFonts w:ascii="Calibri" w:hAnsi="Calibri" w:cs="Times New Roman"/>
          <w:b/>
          <w:sz w:val="21"/>
          <w:szCs w:val="24"/>
        </w:rPr>
      </w:pPr>
    </w:p>
    <w:p w14:paraId="4563C920" w14:textId="77777777" w:rsidR="002B733E" w:rsidRPr="00FD50F6" w:rsidRDefault="002B733E" w:rsidP="002B733E">
      <w:pPr>
        <w:pStyle w:val="12"/>
        <w:numPr>
          <w:ilvl w:val="0"/>
          <w:numId w:val="0"/>
        </w:numPr>
      </w:pPr>
      <w:r w:rsidRPr="00FD50F6">
        <w:br w:type="page"/>
      </w:r>
      <w:bookmarkStart w:id="1399" w:name="_Toc320643552"/>
      <w:bookmarkStart w:id="1400" w:name="_Toc321985674"/>
      <w:bookmarkStart w:id="1401" w:name="_Toc112830904"/>
      <w:r w:rsidRPr="00FD50F6">
        <w:rPr>
          <w:rFonts w:hint="eastAsia"/>
        </w:rPr>
        <w:lastRenderedPageBreak/>
        <w:t>附录</w:t>
      </w:r>
      <w:r w:rsidRPr="00FD50F6">
        <w:rPr>
          <w:rFonts w:hint="eastAsia"/>
        </w:rPr>
        <w:t>F</w:t>
      </w:r>
      <w:r w:rsidRPr="00FD50F6">
        <w:t xml:space="preserve"> </w:t>
      </w:r>
      <w:r w:rsidRPr="00FD50F6">
        <w:rPr>
          <w:rFonts w:hint="eastAsia"/>
        </w:rPr>
        <w:t>曲线地段车辆限界和设备限界计算方法</w:t>
      </w:r>
      <w:bookmarkEnd w:id="1399"/>
      <w:bookmarkEnd w:id="1400"/>
      <w:bookmarkEnd w:id="1401"/>
    </w:p>
    <w:p w14:paraId="2027A4EC" w14:textId="77777777" w:rsidR="002B733E" w:rsidRPr="00FD50F6" w:rsidRDefault="002B733E" w:rsidP="002B733E">
      <w:pPr>
        <w:pStyle w:val="30"/>
        <w:numPr>
          <w:ilvl w:val="0"/>
          <w:numId w:val="0"/>
        </w:numPr>
      </w:pPr>
      <w:r w:rsidRPr="00FD50F6">
        <w:rPr>
          <w:rFonts w:hint="eastAsia"/>
        </w:rPr>
        <w:t>F</w:t>
      </w:r>
      <w:r w:rsidRPr="00FD50F6">
        <w:t>.</w:t>
      </w:r>
      <w:r w:rsidRPr="00FD50F6">
        <w:rPr>
          <w:rFonts w:hint="eastAsia"/>
        </w:rPr>
        <w:t>0.</w:t>
      </w:r>
      <w:r w:rsidRPr="00FD50F6">
        <w:t xml:space="preserve">1 </w:t>
      </w:r>
      <w:r w:rsidRPr="00FD50F6">
        <w:rPr>
          <w:rFonts w:hint="eastAsia"/>
        </w:rPr>
        <w:t>曲线地段车辆限界或设备限界应在直线地段车辆限界或设备限界基础上加宽和加高。</w:t>
      </w:r>
    </w:p>
    <w:p w14:paraId="2BEEB279" w14:textId="39E4248C" w:rsidR="002B733E" w:rsidRPr="00FD50F6" w:rsidRDefault="002B733E" w:rsidP="002B733E">
      <w:pPr>
        <w:pStyle w:val="30"/>
        <w:numPr>
          <w:ilvl w:val="0"/>
          <w:numId w:val="0"/>
        </w:numPr>
      </w:pPr>
      <w:r w:rsidRPr="00FD50F6">
        <w:rPr>
          <w:rFonts w:hint="eastAsia"/>
        </w:rPr>
        <w:t>F</w:t>
      </w:r>
      <w:r w:rsidRPr="00FD50F6">
        <w:t>.</w:t>
      </w:r>
      <w:r w:rsidRPr="00FD50F6">
        <w:rPr>
          <w:rFonts w:hint="eastAsia"/>
        </w:rPr>
        <w:t>0.</w:t>
      </w:r>
      <w:r w:rsidRPr="00FD50F6">
        <w:t xml:space="preserve">2 </w:t>
      </w:r>
      <w:r w:rsidRPr="00FD50F6">
        <w:rPr>
          <w:rFonts w:hint="eastAsia"/>
        </w:rPr>
        <w:t>曲线地段车辆限界或曲线地段设备限界应按平面曲线或竖曲线引起的几何偏移量、过超高或欠超高引起的限界加宽和加高量、曲线轨道参数及车辆参数变化引起的限界加宽量计算确定，并应符合下列规定：</w:t>
      </w:r>
    </w:p>
    <w:p w14:paraId="7F41A365" w14:textId="3C72779F" w:rsidR="002B733E" w:rsidRPr="00FD50F6" w:rsidRDefault="002B733E" w:rsidP="002B733E">
      <w:pPr>
        <w:pStyle w:val="8"/>
        <w:ind w:firstLine="480"/>
      </w:pPr>
      <w:r w:rsidRPr="00FD50F6">
        <w:t xml:space="preserve">1 </w:t>
      </w:r>
      <w:r w:rsidRPr="00FD50F6">
        <w:rPr>
          <w:rFonts w:hint="eastAsia"/>
        </w:rPr>
        <w:t>平面曲线或竖曲线引起的车体几何偏移量可按表</w:t>
      </w:r>
      <w:r w:rsidRPr="00FD50F6">
        <w:rPr>
          <w:rFonts w:hint="eastAsia"/>
        </w:rPr>
        <w:t>F.0.2-1</w:t>
      </w:r>
      <w:r w:rsidRPr="00FD50F6">
        <w:rPr>
          <w:rFonts w:hint="eastAsia"/>
        </w:rPr>
        <w:t>和表</w:t>
      </w:r>
      <w:r w:rsidRPr="00FD50F6">
        <w:rPr>
          <w:rFonts w:hint="eastAsia"/>
        </w:rPr>
        <w:t>F.0.2-2</w:t>
      </w:r>
      <w:r w:rsidRPr="00FD50F6">
        <w:rPr>
          <w:rFonts w:hint="eastAsia"/>
        </w:rPr>
        <w:t>选取；</w:t>
      </w:r>
    </w:p>
    <w:p w14:paraId="142658EC" w14:textId="77777777" w:rsidR="002B733E" w:rsidRPr="00FD50F6" w:rsidRDefault="002B733E" w:rsidP="002B733E">
      <w:pPr>
        <w:pStyle w:val="6"/>
      </w:pPr>
      <w:r w:rsidRPr="00FD50F6">
        <w:rPr>
          <w:rFonts w:hint="eastAsia"/>
        </w:rPr>
        <w:t>表</w:t>
      </w:r>
      <w:r w:rsidRPr="00FD50F6">
        <w:rPr>
          <w:rFonts w:hint="eastAsia"/>
        </w:rPr>
        <w:t>F</w:t>
      </w:r>
      <w:r w:rsidRPr="00FD50F6">
        <w:t>.</w:t>
      </w:r>
      <w:r w:rsidRPr="00FD50F6">
        <w:rPr>
          <w:rFonts w:hint="eastAsia"/>
        </w:rPr>
        <w:t>0.2</w:t>
      </w:r>
      <w:r w:rsidRPr="00FD50F6">
        <w:t>-1</w:t>
      </w:r>
      <w:r w:rsidRPr="00FD50F6">
        <w:rPr>
          <w:rFonts w:hint="eastAsia"/>
        </w:rPr>
        <w:t xml:space="preserve">  </w:t>
      </w:r>
      <w:r w:rsidRPr="00FD50F6">
        <w:t>A</w:t>
      </w:r>
      <w:r w:rsidRPr="00FD50F6">
        <w:rPr>
          <w:rFonts w:hint="eastAsia"/>
        </w:rPr>
        <w:t>型车车体几何偏移量</w:t>
      </w:r>
    </w:p>
    <w:tbl>
      <w:tblP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4"/>
        <w:gridCol w:w="854"/>
        <w:gridCol w:w="854"/>
        <w:gridCol w:w="854"/>
        <w:gridCol w:w="854"/>
        <w:gridCol w:w="854"/>
        <w:gridCol w:w="854"/>
        <w:gridCol w:w="854"/>
      </w:tblGrid>
      <w:tr w:rsidR="00E60653" w:rsidRPr="00FD50F6" w14:paraId="3273D17D" w14:textId="77777777" w:rsidTr="002D74E7">
        <w:trPr>
          <w:trHeight w:val="471"/>
        </w:trPr>
        <w:tc>
          <w:tcPr>
            <w:tcW w:w="1413" w:type="dxa"/>
            <w:vAlign w:val="center"/>
          </w:tcPr>
          <w:p w14:paraId="699C91D6" w14:textId="3B7ECEC0" w:rsidR="00E60653" w:rsidRPr="00FD50F6" w:rsidRDefault="00E60653" w:rsidP="002B733E">
            <w:pPr>
              <w:pStyle w:val="7"/>
            </w:pPr>
            <w:r>
              <w:rPr>
                <w:rFonts w:hint="eastAsia"/>
              </w:rPr>
              <w:t>偏移位置</w:t>
            </w:r>
          </w:p>
        </w:tc>
        <w:tc>
          <w:tcPr>
            <w:tcW w:w="854" w:type="dxa"/>
            <w:vAlign w:val="center"/>
          </w:tcPr>
          <w:p w14:paraId="3693A638" w14:textId="77777777" w:rsidR="00E60653" w:rsidRPr="00FD50F6" w:rsidRDefault="00E60653" w:rsidP="002B733E">
            <w:pPr>
              <w:pStyle w:val="7"/>
            </w:pPr>
            <w:r w:rsidRPr="00FD50F6">
              <w:t>R100</w:t>
            </w:r>
          </w:p>
        </w:tc>
        <w:tc>
          <w:tcPr>
            <w:tcW w:w="854" w:type="dxa"/>
            <w:vAlign w:val="center"/>
          </w:tcPr>
          <w:p w14:paraId="595C8643" w14:textId="77777777" w:rsidR="00E60653" w:rsidRPr="00FD50F6" w:rsidRDefault="00E60653" w:rsidP="002B733E">
            <w:pPr>
              <w:pStyle w:val="7"/>
            </w:pPr>
            <w:r w:rsidRPr="00FD50F6">
              <w:t>R150</w:t>
            </w:r>
          </w:p>
        </w:tc>
        <w:tc>
          <w:tcPr>
            <w:tcW w:w="854" w:type="dxa"/>
            <w:vAlign w:val="center"/>
          </w:tcPr>
          <w:p w14:paraId="4D97A2F6" w14:textId="77777777" w:rsidR="00E60653" w:rsidRPr="00FD50F6" w:rsidRDefault="00E60653" w:rsidP="002B733E">
            <w:pPr>
              <w:pStyle w:val="7"/>
            </w:pPr>
            <w:r w:rsidRPr="00FD50F6">
              <w:t>R200</w:t>
            </w:r>
          </w:p>
        </w:tc>
        <w:tc>
          <w:tcPr>
            <w:tcW w:w="854" w:type="dxa"/>
            <w:vAlign w:val="center"/>
          </w:tcPr>
          <w:p w14:paraId="4D53A36A" w14:textId="77777777" w:rsidR="00E60653" w:rsidRPr="00FD50F6" w:rsidRDefault="00E60653" w:rsidP="002B733E">
            <w:pPr>
              <w:pStyle w:val="7"/>
            </w:pPr>
            <w:r w:rsidRPr="00FD50F6">
              <w:t>R250</w:t>
            </w:r>
          </w:p>
        </w:tc>
        <w:tc>
          <w:tcPr>
            <w:tcW w:w="854" w:type="dxa"/>
            <w:vAlign w:val="center"/>
          </w:tcPr>
          <w:p w14:paraId="1CB0F081" w14:textId="77777777" w:rsidR="00E60653" w:rsidRPr="00FD50F6" w:rsidRDefault="00E60653" w:rsidP="002B733E">
            <w:pPr>
              <w:pStyle w:val="7"/>
            </w:pPr>
            <w:r w:rsidRPr="00FD50F6">
              <w:t>R300</w:t>
            </w:r>
          </w:p>
        </w:tc>
        <w:tc>
          <w:tcPr>
            <w:tcW w:w="854" w:type="dxa"/>
            <w:vAlign w:val="center"/>
          </w:tcPr>
          <w:p w14:paraId="4B0733EB" w14:textId="77777777" w:rsidR="00E60653" w:rsidRPr="00FD50F6" w:rsidRDefault="00E60653" w:rsidP="002B733E">
            <w:pPr>
              <w:pStyle w:val="7"/>
            </w:pPr>
            <w:r w:rsidRPr="00FD50F6">
              <w:t>R350</w:t>
            </w:r>
          </w:p>
        </w:tc>
        <w:tc>
          <w:tcPr>
            <w:tcW w:w="854" w:type="dxa"/>
            <w:vAlign w:val="center"/>
          </w:tcPr>
          <w:p w14:paraId="6E5F9AE8" w14:textId="77777777" w:rsidR="00E60653" w:rsidRPr="00FD50F6" w:rsidRDefault="00E60653" w:rsidP="002B733E">
            <w:pPr>
              <w:pStyle w:val="7"/>
            </w:pPr>
            <w:r w:rsidRPr="00FD50F6">
              <w:t>R400</w:t>
            </w:r>
          </w:p>
        </w:tc>
        <w:tc>
          <w:tcPr>
            <w:tcW w:w="854" w:type="dxa"/>
            <w:vAlign w:val="center"/>
          </w:tcPr>
          <w:p w14:paraId="64C69CA2" w14:textId="77777777" w:rsidR="00E60653" w:rsidRPr="00FD50F6" w:rsidRDefault="00E60653" w:rsidP="002B733E">
            <w:pPr>
              <w:pStyle w:val="7"/>
            </w:pPr>
            <w:r w:rsidRPr="00FD50F6">
              <w:t>R500</w:t>
            </w:r>
          </w:p>
        </w:tc>
      </w:tr>
      <w:tr w:rsidR="00E60653" w:rsidRPr="00FD50F6" w14:paraId="3613D03D" w14:textId="77777777" w:rsidTr="002D74E7">
        <w:tc>
          <w:tcPr>
            <w:tcW w:w="1413" w:type="dxa"/>
            <w:vAlign w:val="center"/>
          </w:tcPr>
          <w:p w14:paraId="2F8869DA" w14:textId="0829AD8A" w:rsidR="00E60653" w:rsidRPr="00FD50F6" w:rsidRDefault="00E60653" w:rsidP="002B733E">
            <w:pPr>
              <w:pStyle w:val="7"/>
            </w:pPr>
            <w:r w:rsidRPr="00FD50F6">
              <w:rPr>
                <w:rFonts w:hint="eastAsia"/>
              </w:rPr>
              <w:t>曲线外侧</w:t>
            </w:r>
            <w:bookmarkStart w:id="1402" w:name="_Hlk119696506"/>
            <w:r w:rsidRPr="001A4CF3">
              <w:rPr>
                <w:i/>
                <w:iCs/>
              </w:rPr>
              <w:t>Ta</w:t>
            </w:r>
            <w:r w:rsidRPr="00FD50F6">
              <w:rPr>
                <w:rFonts w:hint="eastAsia"/>
              </w:rPr>
              <w:t>（</w:t>
            </w:r>
            <w:r w:rsidRPr="00FD50F6">
              <w:t>mm</w:t>
            </w:r>
            <w:r w:rsidRPr="00FD50F6">
              <w:rPr>
                <w:rFonts w:hint="eastAsia"/>
              </w:rPr>
              <w:t>）</w:t>
            </w:r>
            <w:bookmarkEnd w:id="1402"/>
          </w:p>
        </w:tc>
        <w:tc>
          <w:tcPr>
            <w:tcW w:w="854" w:type="dxa"/>
            <w:vAlign w:val="center"/>
          </w:tcPr>
          <w:p w14:paraId="1F519009" w14:textId="77777777" w:rsidR="00E60653" w:rsidRPr="00FD50F6" w:rsidRDefault="00E60653" w:rsidP="002B733E">
            <w:pPr>
              <w:pStyle w:val="7"/>
            </w:pPr>
            <w:r w:rsidRPr="00FD50F6">
              <w:t>295</w:t>
            </w:r>
          </w:p>
        </w:tc>
        <w:tc>
          <w:tcPr>
            <w:tcW w:w="854" w:type="dxa"/>
            <w:vAlign w:val="center"/>
          </w:tcPr>
          <w:p w14:paraId="170F79D2" w14:textId="77777777" w:rsidR="00E60653" w:rsidRPr="00FD50F6" w:rsidRDefault="00E60653" w:rsidP="002B733E">
            <w:pPr>
              <w:pStyle w:val="7"/>
            </w:pPr>
            <w:r w:rsidRPr="00FD50F6">
              <w:t>196</w:t>
            </w:r>
          </w:p>
        </w:tc>
        <w:tc>
          <w:tcPr>
            <w:tcW w:w="854" w:type="dxa"/>
            <w:vAlign w:val="center"/>
          </w:tcPr>
          <w:p w14:paraId="47C12AE1" w14:textId="77777777" w:rsidR="00E60653" w:rsidRPr="00FD50F6" w:rsidRDefault="00E60653" w:rsidP="002B733E">
            <w:pPr>
              <w:pStyle w:val="7"/>
            </w:pPr>
            <w:r w:rsidRPr="00FD50F6">
              <w:t>147</w:t>
            </w:r>
          </w:p>
        </w:tc>
        <w:tc>
          <w:tcPr>
            <w:tcW w:w="854" w:type="dxa"/>
            <w:vAlign w:val="center"/>
          </w:tcPr>
          <w:p w14:paraId="5896DF6A" w14:textId="77777777" w:rsidR="00E60653" w:rsidRPr="00FD50F6" w:rsidRDefault="00E60653" w:rsidP="002B733E">
            <w:pPr>
              <w:pStyle w:val="7"/>
            </w:pPr>
            <w:r w:rsidRPr="00FD50F6">
              <w:t>118</w:t>
            </w:r>
          </w:p>
        </w:tc>
        <w:tc>
          <w:tcPr>
            <w:tcW w:w="854" w:type="dxa"/>
            <w:vAlign w:val="center"/>
          </w:tcPr>
          <w:p w14:paraId="2F05D201" w14:textId="77777777" w:rsidR="00E60653" w:rsidRPr="00FD50F6" w:rsidRDefault="00E60653" w:rsidP="002B733E">
            <w:pPr>
              <w:pStyle w:val="7"/>
            </w:pPr>
            <w:r w:rsidRPr="00FD50F6">
              <w:t xml:space="preserve">  98</w:t>
            </w:r>
          </w:p>
        </w:tc>
        <w:tc>
          <w:tcPr>
            <w:tcW w:w="854" w:type="dxa"/>
            <w:vAlign w:val="center"/>
          </w:tcPr>
          <w:p w14:paraId="0D564ACE" w14:textId="77777777" w:rsidR="00E60653" w:rsidRPr="00FD50F6" w:rsidRDefault="00E60653" w:rsidP="002B733E">
            <w:pPr>
              <w:pStyle w:val="7"/>
            </w:pPr>
            <w:r w:rsidRPr="00FD50F6">
              <w:t>84</w:t>
            </w:r>
          </w:p>
        </w:tc>
        <w:tc>
          <w:tcPr>
            <w:tcW w:w="854" w:type="dxa"/>
            <w:vAlign w:val="center"/>
          </w:tcPr>
          <w:p w14:paraId="42807D87" w14:textId="77777777" w:rsidR="00E60653" w:rsidRPr="00FD50F6" w:rsidRDefault="00E60653" w:rsidP="002B733E">
            <w:pPr>
              <w:pStyle w:val="7"/>
            </w:pPr>
            <w:r w:rsidRPr="00FD50F6">
              <w:t>74</w:t>
            </w:r>
          </w:p>
        </w:tc>
        <w:tc>
          <w:tcPr>
            <w:tcW w:w="854" w:type="dxa"/>
            <w:vAlign w:val="center"/>
          </w:tcPr>
          <w:p w14:paraId="565C82D4" w14:textId="77777777" w:rsidR="00E60653" w:rsidRPr="00FD50F6" w:rsidRDefault="00E60653" w:rsidP="002B733E">
            <w:pPr>
              <w:pStyle w:val="7"/>
            </w:pPr>
            <w:r w:rsidRPr="00FD50F6">
              <w:t xml:space="preserve">  59 </w:t>
            </w:r>
          </w:p>
        </w:tc>
      </w:tr>
      <w:tr w:rsidR="00E60653" w:rsidRPr="00FD50F6" w14:paraId="24C5E199" w14:textId="77777777" w:rsidTr="002D74E7">
        <w:tc>
          <w:tcPr>
            <w:tcW w:w="1413" w:type="dxa"/>
            <w:vAlign w:val="center"/>
          </w:tcPr>
          <w:p w14:paraId="7B46EE65" w14:textId="1CA5D9CF" w:rsidR="00E60653" w:rsidRPr="00FD50F6" w:rsidRDefault="00E60653" w:rsidP="002B733E">
            <w:pPr>
              <w:pStyle w:val="7"/>
            </w:pPr>
            <w:r w:rsidRPr="00FD50F6">
              <w:rPr>
                <w:rFonts w:hint="eastAsia"/>
              </w:rPr>
              <w:t>曲线内侧</w:t>
            </w:r>
            <w:r w:rsidRPr="001A4CF3">
              <w:rPr>
                <w:i/>
                <w:iCs/>
              </w:rPr>
              <w:t>Ti</w:t>
            </w:r>
            <w:r w:rsidRPr="00FD50F6">
              <w:rPr>
                <w:rFonts w:hint="eastAsia"/>
              </w:rPr>
              <w:t>（</w:t>
            </w:r>
            <w:r w:rsidRPr="00FD50F6">
              <w:t>mm</w:t>
            </w:r>
            <w:r w:rsidRPr="00FD50F6">
              <w:rPr>
                <w:rFonts w:hint="eastAsia"/>
              </w:rPr>
              <w:t>）</w:t>
            </w:r>
          </w:p>
        </w:tc>
        <w:tc>
          <w:tcPr>
            <w:tcW w:w="854" w:type="dxa"/>
            <w:vAlign w:val="center"/>
          </w:tcPr>
          <w:p w14:paraId="6B34888F" w14:textId="77777777" w:rsidR="00E60653" w:rsidRPr="00FD50F6" w:rsidRDefault="00E60653" w:rsidP="002B733E">
            <w:pPr>
              <w:pStyle w:val="7"/>
            </w:pPr>
            <w:r w:rsidRPr="00FD50F6">
              <w:t>316</w:t>
            </w:r>
          </w:p>
        </w:tc>
        <w:tc>
          <w:tcPr>
            <w:tcW w:w="854" w:type="dxa"/>
            <w:vAlign w:val="center"/>
          </w:tcPr>
          <w:p w14:paraId="5967B721" w14:textId="77777777" w:rsidR="00E60653" w:rsidRPr="00FD50F6" w:rsidRDefault="00E60653" w:rsidP="002B733E">
            <w:pPr>
              <w:pStyle w:val="7"/>
            </w:pPr>
            <w:r w:rsidRPr="00FD50F6">
              <w:t>211</w:t>
            </w:r>
          </w:p>
        </w:tc>
        <w:tc>
          <w:tcPr>
            <w:tcW w:w="854" w:type="dxa"/>
            <w:vAlign w:val="center"/>
          </w:tcPr>
          <w:p w14:paraId="7AE95D74" w14:textId="77777777" w:rsidR="00E60653" w:rsidRPr="00FD50F6" w:rsidRDefault="00E60653" w:rsidP="002B733E">
            <w:pPr>
              <w:pStyle w:val="7"/>
            </w:pPr>
            <w:r w:rsidRPr="00FD50F6">
              <w:t>158</w:t>
            </w:r>
          </w:p>
        </w:tc>
        <w:tc>
          <w:tcPr>
            <w:tcW w:w="854" w:type="dxa"/>
            <w:vAlign w:val="center"/>
          </w:tcPr>
          <w:p w14:paraId="65B31DA1" w14:textId="77777777" w:rsidR="00E60653" w:rsidRPr="00FD50F6" w:rsidRDefault="00E60653" w:rsidP="002B733E">
            <w:pPr>
              <w:pStyle w:val="7"/>
            </w:pPr>
            <w:r w:rsidRPr="00FD50F6">
              <w:t xml:space="preserve">  126</w:t>
            </w:r>
          </w:p>
        </w:tc>
        <w:tc>
          <w:tcPr>
            <w:tcW w:w="854" w:type="dxa"/>
            <w:vAlign w:val="center"/>
          </w:tcPr>
          <w:p w14:paraId="2384984F" w14:textId="77777777" w:rsidR="00E60653" w:rsidRPr="00FD50F6" w:rsidRDefault="00E60653" w:rsidP="002B733E">
            <w:pPr>
              <w:pStyle w:val="7"/>
            </w:pPr>
            <w:r w:rsidRPr="00FD50F6">
              <w:t>105</w:t>
            </w:r>
          </w:p>
        </w:tc>
        <w:tc>
          <w:tcPr>
            <w:tcW w:w="854" w:type="dxa"/>
            <w:vAlign w:val="center"/>
          </w:tcPr>
          <w:p w14:paraId="30D3DAFA" w14:textId="77777777" w:rsidR="00E60653" w:rsidRPr="00FD50F6" w:rsidRDefault="00E60653" w:rsidP="002B733E">
            <w:pPr>
              <w:pStyle w:val="7"/>
            </w:pPr>
            <w:r w:rsidRPr="00FD50F6">
              <w:t>90</w:t>
            </w:r>
          </w:p>
        </w:tc>
        <w:tc>
          <w:tcPr>
            <w:tcW w:w="854" w:type="dxa"/>
            <w:vAlign w:val="center"/>
          </w:tcPr>
          <w:p w14:paraId="4A847F36" w14:textId="77777777" w:rsidR="00E60653" w:rsidRPr="00FD50F6" w:rsidRDefault="00E60653" w:rsidP="002B733E">
            <w:pPr>
              <w:pStyle w:val="7"/>
            </w:pPr>
            <w:r w:rsidRPr="00FD50F6">
              <w:t>79</w:t>
            </w:r>
          </w:p>
        </w:tc>
        <w:tc>
          <w:tcPr>
            <w:tcW w:w="854" w:type="dxa"/>
            <w:vAlign w:val="center"/>
          </w:tcPr>
          <w:p w14:paraId="58112504" w14:textId="77777777" w:rsidR="00E60653" w:rsidRPr="00FD50F6" w:rsidRDefault="00E60653" w:rsidP="002B733E">
            <w:pPr>
              <w:pStyle w:val="7"/>
            </w:pPr>
            <w:r w:rsidRPr="00FD50F6">
              <w:t xml:space="preserve">  63</w:t>
            </w:r>
          </w:p>
        </w:tc>
      </w:tr>
      <w:tr w:rsidR="00E60653" w:rsidRPr="00FD50F6" w14:paraId="30BF43C5" w14:textId="77777777" w:rsidTr="002D74E7">
        <w:tc>
          <w:tcPr>
            <w:tcW w:w="1413" w:type="dxa"/>
            <w:vAlign w:val="center"/>
          </w:tcPr>
          <w:p w14:paraId="17CE46B3" w14:textId="0ACE713F" w:rsidR="00E60653" w:rsidRPr="00FD50F6" w:rsidRDefault="00E60653" w:rsidP="002B733E">
            <w:pPr>
              <w:pStyle w:val="7"/>
            </w:pPr>
            <w:r>
              <w:rPr>
                <w:rFonts w:hint="eastAsia"/>
              </w:rPr>
              <w:t>偏移位置</w:t>
            </w:r>
          </w:p>
        </w:tc>
        <w:tc>
          <w:tcPr>
            <w:tcW w:w="854" w:type="dxa"/>
            <w:vAlign w:val="center"/>
          </w:tcPr>
          <w:p w14:paraId="5F7B01C4" w14:textId="77777777" w:rsidR="00E60653" w:rsidRPr="00FD50F6" w:rsidRDefault="00E60653" w:rsidP="002B733E">
            <w:pPr>
              <w:pStyle w:val="7"/>
            </w:pPr>
            <w:r w:rsidRPr="00FD50F6">
              <w:t>R600</w:t>
            </w:r>
          </w:p>
        </w:tc>
        <w:tc>
          <w:tcPr>
            <w:tcW w:w="854" w:type="dxa"/>
            <w:vAlign w:val="center"/>
          </w:tcPr>
          <w:p w14:paraId="0CFF93A6" w14:textId="77777777" w:rsidR="00E60653" w:rsidRPr="00FD50F6" w:rsidRDefault="00E60653" w:rsidP="002B733E">
            <w:pPr>
              <w:pStyle w:val="7"/>
            </w:pPr>
            <w:r w:rsidRPr="00FD50F6">
              <w:t>R700</w:t>
            </w:r>
          </w:p>
        </w:tc>
        <w:tc>
          <w:tcPr>
            <w:tcW w:w="854" w:type="dxa"/>
            <w:vAlign w:val="center"/>
          </w:tcPr>
          <w:p w14:paraId="43CFF9CE" w14:textId="77777777" w:rsidR="00E60653" w:rsidRPr="00FD50F6" w:rsidRDefault="00E60653" w:rsidP="002B733E">
            <w:pPr>
              <w:pStyle w:val="7"/>
            </w:pPr>
            <w:r w:rsidRPr="00FD50F6">
              <w:t>R800</w:t>
            </w:r>
          </w:p>
        </w:tc>
        <w:tc>
          <w:tcPr>
            <w:tcW w:w="854" w:type="dxa"/>
            <w:vAlign w:val="center"/>
          </w:tcPr>
          <w:p w14:paraId="1CAF3E03" w14:textId="77777777" w:rsidR="00E60653" w:rsidRPr="00FD50F6" w:rsidRDefault="00E60653" w:rsidP="002B733E">
            <w:pPr>
              <w:pStyle w:val="7"/>
            </w:pPr>
            <w:r w:rsidRPr="00FD50F6">
              <w:t>R1000</w:t>
            </w:r>
          </w:p>
        </w:tc>
        <w:tc>
          <w:tcPr>
            <w:tcW w:w="854" w:type="dxa"/>
            <w:vAlign w:val="center"/>
          </w:tcPr>
          <w:p w14:paraId="09EABB55" w14:textId="77777777" w:rsidR="00E60653" w:rsidRPr="00FD50F6" w:rsidRDefault="00E60653" w:rsidP="002B733E">
            <w:pPr>
              <w:pStyle w:val="7"/>
            </w:pPr>
            <w:r w:rsidRPr="00FD50F6">
              <w:t>R1200</w:t>
            </w:r>
          </w:p>
        </w:tc>
        <w:tc>
          <w:tcPr>
            <w:tcW w:w="854" w:type="dxa"/>
            <w:vAlign w:val="center"/>
          </w:tcPr>
          <w:p w14:paraId="0D214EE0" w14:textId="77777777" w:rsidR="00E60653" w:rsidRPr="00FD50F6" w:rsidRDefault="00E60653" w:rsidP="002B733E">
            <w:pPr>
              <w:pStyle w:val="7"/>
            </w:pPr>
            <w:r w:rsidRPr="00FD50F6">
              <w:t>R1500</w:t>
            </w:r>
          </w:p>
        </w:tc>
        <w:tc>
          <w:tcPr>
            <w:tcW w:w="854" w:type="dxa"/>
            <w:vAlign w:val="center"/>
          </w:tcPr>
          <w:p w14:paraId="51DB942E" w14:textId="77777777" w:rsidR="00E60653" w:rsidRPr="00FD50F6" w:rsidRDefault="00E60653" w:rsidP="002B733E">
            <w:pPr>
              <w:pStyle w:val="7"/>
            </w:pPr>
            <w:r w:rsidRPr="00FD50F6">
              <w:t>R2000</w:t>
            </w:r>
          </w:p>
        </w:tc>
        <w:tc>
          <w:tcPr>
            <w:tcW w:w="854" w:type="dxa"/>
            <w:vAlign w:val="center"/>
          </w:tcPr>
          <w:p w14:paraId="6FD09A60" w14:textId="77777777" w:rsidR="00E60653" w:rsidRPr="00FD50F6" w:rsidRDefault="00E60653" w:rsidP="002B733E">
            <w:pPr>
              <w:pStyle w:val="7"/>
            </w:pPr>
            <w:r w:rsidRPr="00FD50F6">
              <w:t>R3000</w:t>
            </w:r>
          </w:p>
        </w:tc>
      </w:tr>
      <w:tr w:rsidR="00E60653" w:rsidRPr="00FD50F6" w14:paraId="6C1FDE01" w14:textId="77777777" w:rsidTr="002D74E7">
        <w:tc>
          <w:tcPr>
            <w:tcW w:w="1413" w:type="dxa"/>
            <w:vAlign w:val="center"/>
          </w:tcPr>
          <w:p w14:paraId="3A4090D6" w14:textId="75272870" w:rsidR="00E60653" w:rsidRPr="00FD50F6" w:rsidRDefault="00E60653" w:rsidP="002B733E">
            <w:pPr>
              <w:pStyle w:val="7"/>
            </w:pPr>
            <w:r w:rsidRPr="00FD50F6">
              <w:rPr>
                <w:rFonts w:hint="eastAsia"/>
              </w:rPr>
              <w:t>曲线外侧</w:t>
            </w:r>
            <w:r w:rsidRPr="001A4CF3">
              <w:rPr>
                <w:i/>
                <w:iCs/>
              </w:rPr>
              <w:t>Ta</w:t>
            </w:r>
            <w:r w:rsidRPr="00FD50F6">
              <w:rPr>
                <w:rFonts w:hint="eastAsia"/>
              </w:rPr>
              <w:t>（</w:t>
            </w:r>
            <w:r w:rsidRPr="00FD50F6">
              <w:t>mm</w:t>
            </w:r>
            <w:r w:rsidRPr="00FD50F6">
              <w:rPr>
                <w:rFonts w:hint="eastAsia"/>
              </w:rPr>
              <w:t>）</w:t>
            </w:r>
          </w:p>
        </w:tc>
        <w:tc>
          <w:tcPr>
            <w:tcW w:w="854" w:type="dxa"/>
            <w:vAlign w:val="center"/>
          </w:tcPr>
          <w:p w14:paraId="5A012627" w14:textId="77777777" w:rsidR="00E60653" w:rsidRPr="00FD50F6" w:rsidRDefault="00E60653" w:rsidP="002B733E">
            <w:pPr>
              <w:pStyle w:val="7"/>
            </w:pPr>
            <w:r w:rsidRPr="00FD50F6">
              <w:t>49</w:t>
            </w:r>
          </w:p>
        </w:tc>
        <w:tc>
          <w:tcPr>
            <w:tcW w:w="854" w:type="dxa"/>
            <w:vAlign w:val="center"/>
          </w:tcPr>
          <w:p w14:paraId="792179C9" w14:textId="77777777" w:rsidR="00E60653" w:rsidRPr="00FD50F6" w:rsidRDefault="00E60653" w:rsidP="002B733E">
            <w:pPr>
              <w:pStyle w:val="7"/>
            </w:pPr>
            <w:r w:rsidRPr="00FD50F6">
              <w:t>42</w:t>
            </w:r>
          </w:p>
        </w:tc>
        <w:tc>
          <w:tcPr>
            <w:tcW w:w="854" w:type="dxa"/>
            <w:vAlign w:val="center"/>
          </w:tcPr>
          <w:p w14:paraId="144A0923" w14:textId="77777777" w:rsidR="00E60653" w:rsidRPr="00FD50F6" w:rsidRDefault="00E60653" w:rsidP="002B733E">
            <w:pPr>
              <w:pStyle w:val="7"/>
            </w:pPr>
            <w:r w:rsidRPr="00FD50F6">
              <w:t>37</w:t>
            </w:r>
          </w:p>
        </w:tc>
        <w:tc>
          <w:tcPr>
            <w:tcW w:w="854" w:type="dxa"/>
            <w:vAlign w:val="center"/>
          </w:tcPr>
          <w:p w14:paraId="774D3397" w14:textId="77777777" w:rsidR="00E60653" w:rsidRPr="00FD50F6" w:rsidRDefault="00E60653" w:rsidP="002B733E">
            <w:pPr>
              <w:pStyle w:val="7"/>
            </w:pPr>
            <w:r w:rsidRPr="00FD50F6">
              <w:t>29</w:t>
            </w:r>
          </w:p>
        </w:tc>
        <w:tc>
          <w:tcPr>
            <w:tcW w:w="854" w:type="dxa"/>
            <w:vAlign w:val="center"/>
          </w:tcPr>
          <w:p w14:paraId="67C12AAE" w14:textId="77777777" w:rsidR="00E60653" w:rsidRPr="00FD50F6" w:rsidRDefault="00E60653" w:rsidP="002B733E">
            <w:pPr>
              <w:pStyle w:val="7"/>
            </w:pPr>
            <w:r w:rsidRPr="00FD50F6">
              <w:t>25</w:t>
            </w:r>
          </w:p>
        </w:tc>
        <w:tc>
          <w:tcPr>
            <w:tcW w:w="854" w:type="dxa"/>
            <w:vAlign w:val="center"/>
          </w:tcPr>
          <w:p w14:paraId="788F34BE" w14:textId="77777777" w:rsidR="00E60653" w:rsidRPr="00FD50F6" w:rsidRDefault="00E60653" w:rsidP="002B733E">
            <w:pPr>
              <w:pStyle w:val="7"/>
            </w:pPr>
            <w:r w:rsidRPr="00FD50F6">
              <w:t>20</w:t>
            </w:r>
          </w:p>
        </w:tc>
        <w:tc>
          <w:tcPr>
            <w:tcW w:w="854" w:type="dxa"/>
            <w:vAlign w:val="center"/>
          </w:tcPr>
          <w:p w14:paraId="28E74D91" w14:textId="77777777" w:rsidR="00E60653" w:rsidRPr="00FD50F6" w:rsidRDefault="00E60653" w:rsidP="002B733E">
            <w:pPr>
              <w:pStyle w:val="7"/>
            </w:pPr>
            <w:r w:rsidRPr="00FD50F6">
              <w:t>15</w:t>
            </w:r>
          </w:p>
        </w:tc>
        <w:tc>
          <w:tcPr>
            <w:tcW w:w="854" w:type="dxa"/>
            <w:vAlign w:val="center"/>
          </w:tcPr>
          <w:p w14:paraId="4C9786EC" w14:textId="77777777" w:rsidR="00E60653" w:rsidRPr="00FD50F6" w:rsidRDefault="00E60653" w:rsidP="002B733E">
            <w:pPr>
              <w:pStyle w:val="7"/>
            </w:pPr>
            <w:r w:rsidRPr="00FD50F6">
              <w:t>10</w:t>
            </w:r>
          </w:p>
        </w:tc>
      </w:tr>
      <w:tr w:rsidR="00E60653" w:rsidRPr="00FD50F6" w14:paraId="326F3207" w14:textId="77777777" w:rsidTr="002D74E7">
        <w:tc>
          <w:tcPr>
            <w:tcW w:w="1413" w:type="dxa"/>
            <w:vAlign w:val="center"/>
          </w:tcPr>
          <w:p w14:paraId="6D428D68" w14:textId="17D112AA" w:rsidR="00E60653" w:rsidRPr="00FD50F6" w:rsidRDefault="00E60653" w:rsidP="002B733E">
            <w:pPr>
              <w:pStyle w:val="7"/>
            </w:pPr>
            <w:r w:rsidRPr="00FD50F6">
              <w:rPr>
                <w:rFonts w:hint="eastAsia"/>
              </w:rPr>
              <w:t>曲线内侧</w:t>
            </w:r>
            <w:r w:rsidRPr="001A4CF3">
              <w:rPr>
                <w:i/>
                <w:iCs/>
              </w:rPr>
              <w:t>Ti</w:t>
            </w:r>
            <w:r w:rsidRPr="00FD50F6">
              <w:rPr>
                <w:rFonts w:hint="eastAsia"/>
              </w:rPr>
              <w:t>（</w:t>
            </w:r>
            <w:r w:rsidRPr="00FD50F6">
              <w:t>mm</w:t>
            </w:r>
            <w:r w:rsidRPr="00FD50F6">
              <w:rPr>
                <w:rFonts w:hint="eastAsia"/>
              </w:rPr>
              <w:t>）</w:t>
            </w:r>
          </w:p>
        </w:tc>
        <w:tc>
          <w:tcPr>
            <w:tcW w:w="854" w:type="dxa"/>
            <w:vAlign w:val="center"/>
          </w:tcPr>
          <w:p w14:paraId="2D37CADD" w14:textId="77777777" w:rsidR="00E60653" w:rsidRPr="00FD50F6" w:rsidRDefault="00E60653" w:rsidP="002B733E">
            <w:pPr>
              <w:pStyle w:val="7"/>
            </w:pPr>
            <w:r w:rsidRPr="00FD50F6">
              <w:t>53</w:t>
            </w:r>
          </w:p>
        </w:tc>
        <w:tc>
          <w:tcPr>
            <w:tcW w:w="854" w:type="dxa"/>
            <w:vAlign w:val="center"/>
          </w:tcPr>
          <w:p w14:paraId="506E5255" w14:textId="77777777" w:rsidR="00E60653" w:rsidRPr="00FD50F6" w:rsidRDefault="00E60653" w:rsidP="002B733E">
            <w:pPr>
              <w:pStyle w:val="7"/>
            </w:pPr>
            <w:r w:rsidRPr="00FD50F6">
              <w:t>45</w:t>
            </w:r>
          </w:p>
        </w:tc>
        <w:tc>
          <w:tcPr>
            <w:tcW w:w="854" w:type="dxa"/>
            <w:vAlign w:val="center"/>
          </w:tcPr>
          <w:p w14:paraId="33595CBF" w14:textId="77777777" w:rsidR="00E60653" w:rsidRPr="00FD50F6" w:rsidRDefault="00E60653" w:rsidP="002B733E">
            <w:pPr>
              <w:pStyle w:val="7"/>
            </w:pPr>
            <w:r w:rsidRPr="00FD50F6">
              <w:t>39</w:t>
            </w:r>
          </w:p>
        </w:tc>
        <w:tc>
          <w:tcPr>
            <w:tcW w:w="854" w:type="dxa"/>
            <w:vAlign w:val="center"/>
          </w:tcPr>
          <w:p w14:paraId="0647EB60" w14:textId="77777777" w:rsidR="00E60653" w:rsidRPr="00FD50F6" w:rsidRDefault="00E60653" w:rsidP="002B733E">
            <w:pPr>
              <w:pStyle w:val="7"/>
            </w:pPr>
            <w:r w:rsidRPr="00FD50F6">
              <w:t>32</w:t>
            </w:r>
          </w:p>
        </w:tc>
        <w:tc>
          <w:tcPr>
            <w:tcW w:w="854" w:type="dxa"/>
            <w:vAlign w:val="center"/>
          </w:tcPr>
          <w:p w14:paraId="101D6924" w14:textId="77777777" w:rsidR="00E60653" w:rsidRPr="00FD50F6" w:rsidRDefault="00E60653" w:rsidP="002B733E">
            <w:pPr>
              <w:pStyle w:val="7"/>
            </w:pPr>
            <w:r w:rsidRPr="00FD50F6">
              <w:t>26</w:t>
            </w:r>
          </w:p>
        </w:tc>
        <w:tc>
          <w:tcPr>
            <w:tcW w:w="854" w:type="dxa"/>
            <w:vAlign w:val="center"/>
          </w:tcPr>
          <w:p w14:paraId="53574472" w14:textId="77777777" w:rsidR="00E60653" w:rsidRPr="00FD50F6" w:rsidRDefault="00E60653" w:rsidP="002B733E">
            <w:pPr>
              <w:pStyle w:val="7"/>
            </w:pPr>
            <w:r w:rsidRPr="00FD50F6">
              <w:t>21</w:t>
            </w:r>
          </w:p>
        </w:tc>
        <w:tc>
          <w:tcPr>
            <w:tcW w:w="854" w:type="dxa"/>
            <w:vAlign w:val="center"/>
          </w:tcPr>
          <w:p w14:paraId="55E9B65C" w14:textId="77777777" w:rsidR="00E60653" w:rsidRPr="00FD50F6" w:rsidRDefault="00E60653" w:rsidP="002B733E">
            <w:pPr>
              <w:pStyle w:val="7"/>
            </w:pPr>
            <w:r w:rsidRPr="00FD50F6">
              <w:t>16</w:t>
            </w:r>
          </w:p>
        </w:tc>
        <w:tc>
          <w:tcPr>
            <w:tcW w:w="854" w:type="dxa"/>
            <w:vAlign w:val="center"/>
          </w:tcPr>
          <w:p w14:paraId="0205C550" w14:textId="77777777" w:rsidR="00E60653" w:rsidRPr="00FD50F6" w:rsidRDefault="00E60653" w:rsidP="002B733E">
            <w:pPr>
              <w:pStyle w:val="7"/>
            </w:pPr>
            <w:r w:rsidRPr="00FD50F6">
              <w:t>11</w:t>
            </w:r>
          </w:p>
        </w:tc>
      </w:tr>
    </w:tbl>
    <w:p w14:paraId="6EDF1793" w14:textId="77777777" w:rsidR="002B733E" w:rsidRPr="00FD50F6" w:rsidRDefault="002B733E" w:rsidP="002B733E">
      <w:pPr>
        <w:pStyle w:val="6"/>
      </w:pPr>
      <w:r w:rsidRPr="00FD50F6">
        <w:rPr>
          <w:rFonts w:hint="eastAsia"/>
        </w:rPr>
        <w:t>表</w:t>
      </w:r>
      <w:r w:rsidRPr="00FD50F6">
        <w:rPr>
          <w:rFonts w:hint="eastAsia"/>
        </w:rPr>
        <w:t>F</w:t>
      </w:r>
      <w:r w:rsidRPr="00FD50F6">
        <w:t>.</w:t>
      </w:r>
      <w:r w:rsidRPr="00FD50F6">
        <w:rPr>
          <w:rFonts w:hint="eastAsia"/>
        </w:rPr>
        <w:t>0.</w:t>
      </w:r>
      <w:r w:rsidRPr="00FD50F6">
        <w:t>1-2</w:t>
      </w:r>
      <w:r w:rsidRPr="00FD50F6">
        <w:rPr>
          <w:rFonts w:hint="eastAsia"/>
        </w:rPr>
        <w:t xml:space="preserve">  </w:t>
      </w:r>
      <w:r w:rsidRPr="00FD50F6">
        <w:t>B</w:t>
      </w:r>
      <w:r w:rsidRPr="00FD50F6">
        <w:rPr>
          <w:rFonts w:hint="eastAsia"/>
        </w:rPr>
        <w:t>型车车体几何偏移量</w:t>
      </w:r>
    </w:p>
    <w:tbl>
      <w:tblPr>
        <w:tblW w:w="8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4"/>
        <w:gridCol w:w="854"/>
        <w:gridCol w:w="854"/>
        <w:gridCol w:w="854"/>
        <w:gridCol w:w="854"/>
        <w:gridCol w:w="854"/>
        <w:gridCol w:w="854"/>
        <w:gridCol w:w="854"/>
      </w:tblGrid>
      <w:tr w:rsidR="00E60653" w:rsidRPr="00FD50F6" w14:paraId="24F04523" w14:textId="77777777" w:rsidTr="002D74E7">
        <w:trPr>
          <w:trHeight w:val="471"/>
        </w:trPr>
        <w:tc>
          <w:tcPr>
            <w:tcW w:w="1555" w:type="dxa"/>
            <w:vAlign w:val="center"/>
          </w:tcPr>
          <w:p w14:paraId="1308F1B3" w14:textId="1CBF6ED5" w:rsidR="00E60653" w:rsidRPr="00FD50F6" w:rsidRDefault="00E60653" w:rsidP="002B733E">
            <w:pPr>
              <w:widowControl/>
              <w:spacing w:line="240" w:lineRule="auto"/>
              <w:jc w:val="center"/>
              <w:rPr>
                <w:rFonts w:ascii="Times New Roman" w:hAnsi="Times New Roman" w:cs="Times New Roman"/>
                <w:kern w:val="0"/>
                <w:sz w:val="21"/>
              </w:rPr>
            </w:pPr>
            <w:r>
              <w:rPr>
                <w:rFonts w:hint="eastAsia"/>
              </w:rPr>
              <w:t>偏移位置</w:t>
            </w:r>
          </w:p>
        </w:tc>
        <w:tc>
          <w:tcPr>
            <w:tcW w:w="854" w:type="dxa"/>
            <w:vAlign w:val="center"/>
          </w:tcPr>
          <w:p w14:paraId="592D0D5C"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R100</w:t>
            </w:r>
          </w:p>
        </w:tc>
        <w:tc>
          <w:tcPr>
            <w:tcW w:w="854" w:type="dxa"/>
            <w:vAlign w:val="center"/>
          </w:tcPr>
          <w:p w14:paraId="30665824"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R150</w:t>
            </w:r>
          </w:p>
        </w:tc>
        <w:tc>
          <w:tcPr>
            <w:tcW w:w="854" w:type="dxa"/>
            <w:vAlign w:val="center"/>
          </w:tcPr>
          <w:p w14:paraId="61502F1F"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R200</w:t>
            </w:r>
          </w:p>
        </w:tc>
        <w:tc>
          <w:tcPr>
            <w:tcW w:w="854" w:type="dxa"/>
            <w:vAlign w:val="center"/>
          </w:tcPr>
          <w:p w14:paraId="5C2CB47E"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R250</w:t>
            </w:r>
          </w:p>
        </w:tc>
        <w:tc>
          <w:tcPr>
            <w:tcW w:w="854" w:type="dxa"/>
            <w:vAlign w:val="center"/>
          </w:tcPr>
          <w:p w14:paraId="3A1525C2"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R300</w:t>
            </w:r>
          </w:p>
        </w:tc>
        <w:tc>
          <w:tcPr>
            <w:tcW w:w="854" w:type="dxa"/>
            <w:vAlign w:val="center"/>
          </w:tcPr>
          <w:p w14:paraId="5856511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R350</w:t>
            </w:r>
          </w:p>
        </w:tc>
        <w:tc>
          <w:tcPr>
            <w:tcW w:w="854" w:type="dxa"/>
            <w:vAlign w:val="center"/>
          </w:tcPr>
          <w:p w14:paraId="0272332F"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R400</w:t>
            </w:r>
          </w:p>
        </w:tc>
        <w:tc>
          <w:tcPr>
            <w:tcW w:w="854" w:type="dxa"/>
            <w:vAlign w:val="center"/>
          </w:tcPr>
          <w:p w14:paraId="7222324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R500</w:t>
            </w:r>
          </w:p>
        </w:tc>
      </w:tr>
      <w:tr w:rsidR="00E60653" w:rsidRPr="00FD50F6" w14:paraId="10A38E8D" w14:textId="77777777" w:rsidTr="002D74E7">
        <w:tc>
          <w:tcPr>
            <w:tcW w:w="1555" w:type="dxa"/>
            <w:vAlign w:val="center"/>
          </w:tcPr>
          <w:p w14:paraId="7A3BB389" w14:textId="5AC51D7B"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曲线外侧</w:t>
            </w:r>
            <w:r w:rsidRPr="001A4CF3">
              <w:rPr>
                <w:rFonts w:ascii="Times New Roman" w:hAnsi="Times New Roman" w:cs="Times New Roman"/>
                <w:i/>
                <w:iCs/>
                <w:kern w:val="0"/>
                <w:sz w:val="21"/>
              </w:rPr>
              <w:t>Ta</w:t>
            </w:r>
            <w:r w:rsidRPr="00FD50F6">
              <w:rPr>
                <w:rFonts w:ascii="Times New Roman" w:hAnsi="Times New Roman" w:cs="Times New Roman"/>
                <w:kern w:val="0"/>
                <w:sz w:val="21"/>
              </w:rPr>
              <w:t>（</w:t>
            </w:r>
            <w:r w:rsidRPr="00FD50F6">
              <w:rPr>
                <w:rFonts w:ascii="Times New Roman" w:hAnsi="Times New Roman" w:cs="Times New Roman"/>
                <w:kern w:val="0"/>
                <w:sz w:val="21"/>
              </w:rPr>
              <w:t>mm</w:t>
            </w:r>
            <w:r w:rsidRPr="00FD50F6">
              <w:rPr>
                <w:rFonts w:ascii="Times New Roman" w:hAnsi="Times New Roman" w:cs="Times New Roman"/>
                <w:kern w:val="0"/>
                <w:sz w:val="21"/>
              </w:rPr>
              <w:t>）</w:t>
            </w:r>
          </w:p>
        </w:tc>
        <w:tc>
          <w:tcPr>
            <w:tcW w:w="854" w:type="dxa"/>
            <w:vAlign w:val="center"/>
          </w:tcPr>
          <w:p w14:paraId="5F639869"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247</w:t>
            </w:r>
          </w:p>
        </w:tc>
        <w:tc>
          <w:tcPr>
            <w:tcW w:w="854" w:type="dxa"/>
            <w:vAlign w:val="center"/>
          </w:tcPr>
          <w:p w14:paraId="0ADAE7E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165</w:t>
            </w:r>
          </w:p>
        </w:tc>
        <w:tc>
          <w:tcPr>
            <w:tcW w:w="854" w:type="dxa"/>
            <w:vAlign w:val="center"/>
          </w:tcPr>
          <w:p w14:paraId="0AFFA17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123</w:t>
            </w:r>
          </w:p>
        </w:tc>
        <w:tc>
          <w:tcPr>
            <w:tcW w:w="854" w:type="dxa"/>
            <w:vAlign w:val="center"/>
          </w:tcPr>
          <w:p w14:paraId="0BE271E8"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99</w:t>
            </w:r>
          </w:p>
        </w:tc>
        <w:tc>
          <w:tcPr>
            <w:tcW w:w="854" w:type="dxa"/>
            <w:vAlign w:val="center"/>
          </w:tcPr>
          <w:p w14:paraId="093887AF"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82</w:t>
            </w:r>
          </w:p>
        </w:tc>
        <w:tc>
          <w:tcPr>
            <w:tcW w:w="854" w:type="dxa"/>
            <w:vAlign w:val="center"/>
          </w:tcPr>
          <w:p w14:paraId="58B9F31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71</w:t>
            </w:r>
          </w:p>
        </w:tc>
        <w:tc>
          <w:tcPr>
            <w:tcW w:w="854" w:type="dxa"/>
            <w:vAlign w:val="center"/>
          </w:tcPr>
          <w:p w14:paraId="70B024ED"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62</w:t>
            </w:r>
          </w:p>
        </w:tc>
        <w:tc>
          <w:tcPr>
            <w:tcW w:w="854" w:type="dxa"/>
            <w:vAlign w:val="center"/>
          </w:tcPr>
          <w:p w14:paraId="30859B4C"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49</w:t>
            </w:r>
          </w:p>
        </w:tc>
      </w:tr>
      <w:tr w:rsidR="00E60653" w:rsidRPr="00FD50F6" w14:paraId="0C5243A8" w14:textId="77777777" w:rsidTr="002D74E7">
        <w:tc>
          <w:tcPr>
            <w:tcW w:w="1555" w:type="dxa"/>
            <w:vAlign w:val="center"/>
          </w:tcPr>
          <w:p w14:paraId="3D6F4F1B" w14:textId="511988E3"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曲线内侧</w:t>
            </w:r>
            <w:r w:rsidRPr="001A4CF3">
              <w:rPr>
                <w:rFonts w:ascii="Times New Roman" w:hAnsi="Times New Roman" w:cs="Times New Roman"/>
                <w:i/>
                <w:iCs/>
                <w:kern w:val="0"/>
                <w:sz w:val="21"/>
              </w:rPr>
              <w:t>Ti</w:t>
            </w:r>
            <w:r w:rsidRPr="00FD50F6">
              <w:rPr>
                <w:rFonts w:ascii="Times New Roman" w:hAnsi="Times New Roman" w:cs="Times New Roman"/>
                <w:kern w:val="0"/>
                <w:sz w:val="21"/>
              </w:rPr>
              <w:t>（</w:t>
            </w:r>
            <w:r w:rsidRPr="00FD50F6">
              <w:rPr>
                <w:rFonts w:ascii="Times New Roman" w:hAnsi="Times New Roman" w:cs="Times New Roman"/>
                <w:kern w:val="0"/>
                <w:sz w:val="21"/>
              </w:rPr>
              <w:t>mm</w:t>
            </w:r>
            <w:r w:rsidRPr="00FD50F6">
              <w:rPr>
                <w:rFonts w:ascii="Times New Roman" w:hAnsi="Times New Roman" w:cs="Times New Roman"/>
                <w:kern w:val="0"/>
                <w:sz w:val="21"/>
              </w:rPr>
              <w:t>）</w:t>
            </w:r>
          </w:p>
        </w:tc>
        <w:tc>
          <w:tcPr>
            <w:tcW w:w="854" w:type="dxa"/>
            <w:vAlign w:val="center"/>
          </w:tcPr>
          <w:p w14:paraId="723A9799"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205</w:t>
            </w:r>
          </w:p>
        </w:tc>
        <w:tc>
          <w:tcPr>
            <w:tcW w:w="854" w:type="dxa"/>
            <w:vAlign w:val="center"/>
          </w:tcPr>
          <w:p w14:paraId="4CD6ABC9"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136</w:t>
            </w:r>
          </w:p>
        </w:tc>
        <w:tc>
          <w:tcPr>
            <w:tcW w:w="854" w:type="dxa"/>
            <w:vAlign w:val="center"/>
          </w:tcPr>
          <w:p w14:paraId="62892ABD"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102</w:t>
            </w:r>
          </w:p>
        </w:tc>
        <w:tc>
          <w:tcPr>
            <w:tcW w:w="854" w:type="dxa"/>
            <w:vAlign w:val="center"/>
          </w:tcPr>
          <w:p w14:paraId="43398401"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82</w:t>
            </w:r>
          </w:p>
        </w:tc>
        <w:tc>
          <w:tcPr>
            <w:tcW w:w="854" w:type="dxa"/>
            <w:vAlign w:val="center"/>
          </w:tcPr>
          <w:p w14:paraId="1089F10F"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68</w:t>
            </w:r>
          </w:p>
        </w:tc>
        <w:tc>
          <w:tcPr>
            <w:tcW w:w="854" w:type="dxa"/>
            <w:vAlign w:val="center"/>
          </w:tcPr>
          <w:p w14:paraId="16F185FF"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58</w:t>
            </w:r>
          </w:p>
        </w:tc>
        <w:tc>
          <w:tcPr>
            <w:tcW w:w="854" w:type="dxa"/>
            <w:vAlign w:val="center"/>
          </w:tcPr>
          <w:p w14:paraId="4AAE4E4B"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51</w:t>
            </w:r>
          </w:p>
        </w:tc>
        <w:tc>
          <w:tcPr>
            <w:tcW w:w="854" w:type="dxa"/>
            <w:vAlign w:val="center"/>
          </w:tcPr>
          <w:p w14:paraId="1BFE781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41</w:t>
            </w:r>
          </w:p>
        </w:tc>
      </w:tr>
      <w:tr w:rsidR="00E60653" w:rsidRPr="00FD50F6" w14:paraId="15D6A0D7" w14:textId="77777777" w:rsidTr="002D74E7">
        <w:tc>
          <w:tcPr>
            <w:tcW w:w="1555" w:type="dxa"/>
            <w:vAlign w:val="center"/>
          </w:tcPr>
          <w:p w14:paraId="7D529AD5" w14:textId="6950AA1E" w:rsidR="00E60653" w:rsidRPr="00FD50F6" w:rsidRDefault="00E60653" w:rsidP="002B733E">
            <w:pPr>
              <w:widowControl/>
              <w:spacing w:line="240" w:lineRule="auto"/>
              <w:jc w:val="center"/>
              <w:rPr>
                <w:rFonts w:ascii="Times New Roman" w:hAnsi="Times New Roman" w:cs="Times New Roman"/>
                <w:kern w:val="0"/>
                <w:sz w:val="21"/>
              </w:rPr>
            </w:pPr>
            <w:r>
              <w:rPr>
                <w:rFonts w:hint="eastAsia"/>
              </w:rPr>
              <w:t>偏移位置</w:t>
            </w:r>
          </w:p>
        </w:tc>
        <w:tc>
          <w:tcPr>
            <w:tcW w:w="854" w:type="dxa"/>
            <w:vAlign w:val="center"/>
          </w:tcPr>
          <w:p w14:paraId="650AE2E6"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R600</w:t>
            </w:r>
          </w:p>
        </w:tc>
        <w:tc>
          <w:tcPr>
            <w:tcW w:w="854" w:type="dxa"/>
            <w:vAlign w:val="center"/>
          </w:tcPr>
          <w:p w14:paraId="6DAF85C4"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R700</w:t>
            </w:r>
          </w:p>
        </w:tc>
        <w:tc>
          <w:tcPr>
            <w:tcW w:w="854" w:type="dxa"/>
            <w:vAlign w:val="center"/>
          </w:tcPr>
          <w:p w14:paraId="01ABA5D8"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R800</w:t>
            </w:r>
          </w:p>
        </w:tc>
        <w:tc>
          <w:tcPr>
            <w:tcW w:w="854" w:type="dxa"/>
            <w:vAlign w:val="center"/>
          </w:tcPr>
          <w:p w14:paraId="310609D7"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R1000</w:t>
            </w:r>
          </w:p>
        </w:tc>
        <w:tc>
          <w:tcPr>
            <w:tcW w:w="854" w:type="dxa"/>
            <w:vAlign w:val="center"/>
          </w:tcPr>
          <w:p w14:paraId="4FB443B1"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R1200</w:t>
            </w:r>
          </w:p>
        </w:tc>
        <w:tc>
          <w:tcPr>
            <w:tcW w:w="854" w:type="dxa"/>
            <w:vAlign w:val="center"/>
          </w:tcPr>
          <w:p w14:paraId="5195ABD3"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R1500</w:t>
            </w:r>
          </w:p>
        </w:tc>
        <w:tc>
          <w:tcPr>
            <w:tcW w:w="854" w:type="dxa"/>
            <w:vAlign w:val="center"/>
          </w:tcPr>
          <w:p w14:paraId="75EDA546"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R2000</w:t>
            </w:r>
          </w:p>
        </w:tc>
        <w:tc>
          <w:tcPr>
            <w:tcW w:w="854" w:type="dxa"/>
            <w:vAlign w:val="center"/>
          </w:tcPr>
          <w:p w14:paraId="38EA76A6"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R3000</w:t>
            </w:r>
          </w:p>
        </w:tc>
      </w:tr>
      <w:tr w:rsidR="00E60653" w:rsidRPr="00FD50F6" w14:paraId="47671880" w14:textId="77777777" w:rsidTr="002D74E7">
        <w:tc>
          <w:tcPr>
            <w:tcW w:w="1555" w:type="dxa"/>
            <w:vAlign w:val="center"/>
          </w:tcPr>
          <w:p w14:paraId="1E284E3E" w14:textId="06756DEC"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曲线外侧</w:t>
            </w:r>
            <w:r w:rsidRPr="001A4CF3">
              <w:rPr>
                <w:rFonts w:ascii="Times New Roman" w:hAnsi="Times New Roman" w:cs="Times New Roman"/>
                <w:i/>
                <w:iCs/>
                <w:kern w:val="0"/>
                <w:sz w:val="21"/>
              </w:rPr>
              <w:t>Ta</w:t>
            </w:r>
            <w:r w:rsidRPr="00FD50F6">
              <w:rPr>
                <w:rFonts w:ascii="Times New Roman" w:hAnsi="Times New Roman" w:cs="Times New Roman"/>
                <w:kern w:val="0"/>
                <w:sz w:val="21"/>
              </w:rPr>
              <w:t>（</w:t>
            </w:r>
            <w:r w:rsidRPr="00FD50F6">
              <w:rPr>
                <w:rFonts w:ascii="Times New Roman" w:hAnsi="Times New Roman" w:cs="Times New Roman"/>
                <w:kern w:val="0"/>
                <w:sz w:val="21"/>
              </w:rPr>
              <w:t>mm</w:t>
            </w:r>
            <w:r w:rsidRPr="00FD50F6">
              <w:rPr>
                <w:rFonts w:ascii="Times New Roman" w:hAnsi="Times New Roman" w:cs="Times New Roman"/>
                <w:kern w:val="0"/>
                <w:sz w:val="21"/>
              </w:rPr>
              <w:t>）</w:t>
            </w:r>
          </w:p>
        </w:tc>
        <w:tc>
          <w:tcPr>
            <w:tcW w:w="854" w:type="dxa"/>
            <w:vAlign w:val="center"/>
          </w:tcPr>
          <w:p w14:paraId="0B4E73D9"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41</w:t>
            </w:r>
          </w:p>
        </w:tc>
        <w:tc>
          <w:tcPr>
            <w:tcW w:w="854" w:type="dxa"/>
            <w:vAlign w:val="center"/>
          </w:tcPr>
          <w:p w14:paraId="5BBEFEB5"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35</w:t>
            </w:r>
          </w:p>
        </w:tc>
        <w:tc>
          <w:tcPr>
            <w:tcW w:w="854" w:type="dxa"/>
            <w:vAlign w:val="center"/>
          </w:tcPr>
          <w:p w14:paraId="493E4C68"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31</w:t>
            </w:r>
          </w:p>
        </w:tc>
        <w:tc>
          <w:tcPr>
            <w:tcW w:w="854" w:type="dxa"/>
            <w:vAlign w:val="center"/>
          </w:tcPr>
          <w:p w14:paraId="760605C6"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25</w:t>
            </w:r>
          </w:p>
        </w:tc>
        <w:tc>
          <w:tcPr>
            <w:tcW w:w="854" w:type="dxa"/>
            <w:vAlign w:val="center"/>
          </w:tcPr>
          <w:p w14:paraId="60186E85"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21</w:t>
            </w:r>
          </w:p>
        </w:tc>
        <w:tc>
          <w:tcPr>
            <w:tcW w:w="854" w:type="dxa"/>
            <w:vAlign w:val="center"/>
          </w:tcPr>
          <w:p w14:paraId="2454CC3E"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17</w:t>
            </w:r>
          </w:p>
        </w:tc>
        <w:tc>
          <w:tcPr>
            <w:tcW w:w="854" w:type="dxa"/>
            <w:vAlign w:val="center"/>
          </w:tcPr>
          <w:p w14:paraId="642C3DE3"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12</w:t>
            </w:r>
          </w:p>
        </w:tc>
        <w:tc>
          <w:tcPr>
            <w:tcW w:w="854" w:type="dxa"/>
            <w:vAlign w:val="center"/>
          </w:tcPr>
          <w:p w14:paraId="104F25BA"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8</w:t>
            </w:r>
          </w:p>
        </w:tc>
      </w:tr>
      <w:tr w:rsidR="00E60653" w:rsidRPr="00FD50F6" w14:paraId="270A84B4" w14:textId="77777777" w:rsidTr="002D74E7">
        <w:tc>
          <w:tcPr>
            <w:tcW w:w="1555" w:type="dxa"/>
            <w:vAlign w:val="center"/>
          </w:tcPr>
          <w:p w14:paraId="4DBE8272" w14:textId="157EEC84"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曲线内侧</w:t>
            </w:r>
            <w:r w:rsidRPr="001A4CF3">
              <w:rPr>
                <w:rFonts w:ascii="Times New Roman" w:hAnsi="Times New Roman" w:cs="Times New Roman"/>
                <w:i/>
                <w:iCs/>
                <w:kern w:val="0"/>
                <w:sz w:val="21"/>
              </w:rPr>
              <w:t>Ti</w:t>
            </w:r>
            <w:r w:rsidRPr="00FD50F6">
              <w:rPr>
                <w:rFonts w:ascii="Times New Roman" w:hAnsi="Times New Roman" w:cs="Times New Roman"/>
                <w:kern w:val="0"/>
                <w:sz w:val="21"/>
              </w:rPr>
              <w:t>（</w:t>
            </w:r>
            <w:r w:rsidRPr="00FD50F6">
              <w:rPr>
                <w:rFonts w:ascii="Times New Roman" w:hAnsi="Times New Roman" w:cs="Times New Roman"/>
                <w:kern w:val="0"/>
                <w:sz w:val="21"/>
              </w:rPr>
              <w:t>mm</w:t>
            </w:r>
            <w:r w:rsidRPr="00FD50F6">
              <w:rPr>
                <w:rFonts w:ascii="Times New Roman" w:hAnsi="Times New Roman" w:cs="Times New Roman"/>
                <w:kern w:val="0"/>
                <w:sz w:val="21"/>
              </w:rPr>
              <w:t>）</w:t>
            </w:r>
          </w:p>
        </w:tc>
        <w:tc>
          <w:tcPr>
            <w:tcW w:w="854" w:type="dxa"/>
            <w:vAlign w:val="center"/>
          </w:tcPr>
          <w:p w14:paraId="209F3731"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34</w:t>
            </w:r>
          </w:p>
        </w:tc>
        <w:tc>
          <w:tcPr>
            <w:tcW w:w="854" w:type="dxa"/>
            <w:vAlign w:val="center"/>
          </w:tcPr>
          <w:p w14:paraId="17151C3C"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29</w:t>
            </w:r>
          </w:p>
        </w:tc>
        <w:tc>
          <w:tcPr>
            <w:tcW w:w="854" w:type="dxa"/>
            <w:vAlign w:val="center"/>
          </w:tcPr>
          <w:p w14:paraId="1FE8DD93"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26</w:t>
            </w:r>
          </w:p>
        </w:tc>
        <w:tc>
          <w:tcPr>
            <w:tcW w:w="854" w:type="dxa"/>
            <w:vAlign w:val="center"/>
          </w:tcPr>
          <w:p w14:paraId="43891796"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20</w:t>
            </w:r>
          </w:p>
        </w:tc>
        <w:tc>
          <w:tcPr>
            <w:tcW w:w="854" w:type="dxa"/>
            <w:vAlign w:val="center"/>
          </w:tcPr>
          <w:p w14:paraId="7D5A9E65"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17</w:t>
            </w:r>
          </w:p>
        </w:tc>
        <w:tc>
          <w:tcPr>
            <w:tcW w:w="854" w:type="dxa"/>
            <w:vAlign w:val="center"/>
          </w:tcPr>
          <w:p w14:paraId="187B7EC8"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14</w:t>
            </w:r>
          </w:p>
        </w:tc>
        <w:tc>
          <w:tcPr>
            <w:tcW w:w="854" w:type="dxa"/>
            <w:vAlign w:val="center"/>
          </w:tcPr>
          <w:p w14:paraId="54BB7C52"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10</w:t>
            </w:r>
          </w:p>
        </w:tc>
        <w:tc>
          <w:tcPr>
            <w:tcW w:w="854" w:type="dxa"/>
            <w:vAlign w:val="center"/>
          </w:tcPr>
          <w:p w14:paraId="379D4270" w14:textId="77777777" w:rsidR="00E60653" w:rsidRPr="00FD50F6" w:rsidRDefault="00E60653" w:rsidP="002B733E">
            <w:pPr>
              <w:widowControl/>
              <w:spacing w:line="240" w:lineRule="auto"/>
              <w:jc w:val="center"/>
              <w:rPr>
                <w:rFonts w:ascii="Times New Roman" w:hAnsi="Times New Roman" w:cs="Times New Roman"/>
                <w:kern w:val="0"/>
                <w:sz w:val="21"/>
              </w:rPr>
            </w:pPr>
            <w:r w:rsidRPr="00FD50F6">
              <w:rPr>
                <w:rFonts w:ascii="Times New Roman" w:hAnsi="Times New Roman" w:cs="Times New Roman"/>
                <w:kern w:val="0"/>
                <w:sz w:val="21"/>
              </w:rPr>
              <w:t>7</w:t>
            </w:r>
          </w:p>
        </w:tc>
      </w:tr>
    </w:tbl>
    <w:p w14:paraId="5991A1D7" w14:textId="77777777" w:rsidR="002B733E" w:rsidRPr="00FD50F6" w:rsidRDefault="002B733E" w:rsidP="002B733E">
      <w:pPr>
        <w:spacing w:line="240" w:lineRule="auto"/>
        <w:rPr>
          <w:rFonts w:ascii="Calibri" w:hAnsi="Calibri" w:cs="Times New Roman"/>
          <w:sz w:val="21"/>
        </w:rPr>
      </w:pPr>
    </w:p>
    <w:p w14:paraId="42FA94A4" w14:textId="77777777" w:rsidR="002B733E" w:rsidRPr="00FD50F6" w:rsidRDefault="002B733E" w:rsidP="002B733E">
      <w:pPr>
        <w:pStyle w:val="8"/>
        <w:ind w:firstLine="480"/>
      </w:pPr>
      <w:r w:rsidRPr="00FD50F6">
        <w:t xml:space="preserve">2 </w:t>
      </w:r>
      <w:r w:rsidRPr="00FD50F6">
        <w:rPr>
          <w:rFonts w:hint="eastAsia"/>
        </w:rPr>
        <w:t>过超高或欠超高引起的车辆限界加宽或加高量可按表</w:t>
      </w:r>
      <w:r w:rsidRPr="00FD50F6">
        <w:rPr>
          <w:rFonts w:hint="eastAsia"/>
        </w:rPr>
        <w:t>F.0.2-3</w:t>
      </w:r>
      <w:r w:rsidRPr="00FD50F6">
        <w:rPr>
          <w:rFonts w:hint="eastAsia"/>
        </w:rPr>
        <w:t>确定；</w:t>
      </w:r>
    </w:p>
    <w:p w14:paraId="222521C2" w14:textId="77777777" w:rsidR="002B733E" w:rsidRPr="00FD50F6" w:rsidRDefault="002B733E" w:rsidP="002B733E">
      <w:pPr>
        <w:spacing w:line="240" w:lineRule="auto"/>
        <w:ind w:firstLineChars="200" w:firstLine="420"/>
        <w:jc w:val="left"/>
        <w:rPr>
          <w:rFonts w:ascii="Calibri" w:hAnsi="Calibri" w:cs="Times New Roman"/>
          <w:sz w:val="21"/>
          <w:szCs w:val="24"/>
        </w:rPr>
      </w:pPr>
    </w:p>
    <w:p w14:paraId="058CE293" w14:textId="77777777" w:rsidR="002B733E" w:rsidRPr="00FD50F6" w:rsidRDefault="002B733E" w:rsidP="002B733E">
      <w:pPr>
        <w:pStyle w:val="6"/>
      </w:pPr>
      <w:r w:rsidRPr="00FD50F6">
        <w:rPr>
          <w:rFonts w:hint="eastAsia"/>
        </w:rPr>
        <w:t>表</w:t>
      </w:r>
      <w:r w:rsidRPr="00FD50F6">
        <w:rPr>
          <w:rFonts w:hint="eastAsia"/>
        </w:rPr>
        <w:t>F</w:t>
      </w:r>
      <w:r w:rsidRPr="00FD50F6">
        <w:t>.</w:t>
      </w:r>
      <w:r w:rsidRPr="00FD50F6">
        <w:rPr>
          <w:rFonts w:hint="eastAsia"/>
        </w:rPr>
        <w:t>0.</w:t>
      </w:r>
      <w:r w:rsidRPr="00FD50F6">
        <w:t>2-</w:t>
      </w:r>
      <w:r w:rsidRPr="00FD50F6">
        <w:rPr>
          <w:rFonts w:hint="eastAsia"/>
        </w:rPr>
        <w:t xml:space="preserve">3  </w:t>
      </w:r>
      <w:r w:rsidRPr="00FD50F6">
        <w:rPr>
          <w:rFonts w:hint="eastAsia"/>
        </w:rPr>
        <w:t>过超高或欠超高引起的车辆限界加宽或加高量</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647"/>
        <w:gridCol w:w="587"/>
        <w:gridCol w:w="575"/>
        <w:gridCol w:w="601"/>
        <w:gridCol w:w="575"/>
        <w:gridCol w:w="630"/>
        <w:gridCol w:w="708"/>
        <w:gridCol w:w="922"/>
        <w:gridCol w:w="665"/>
        <w:gridCol w:w="610"/>
        <w:gridCol w:w="650"/>
        <w:gridCol w:w="626"/>
      </w:tblGrid>
      <w:tr w:rsidR="00FD50F6" w:rsidRPr="00FD50F6" w14:paraId="7052A99D" w14:textId="77777777" w:rsidTr="002B733E">
        <w:tc>
          <w:tcPr>
            <w:tcW w:w="866" w:type="dxa"/>
            <w:vMerge w:val="restart"/>
            <w:vAlign w:val="center"/>
          </w:tcPr>
          <w:p w14:paraId="08DCE5BE" w14:textId="77777777" w:rsidR="002B733E" w:rsidRPr="00FD50F6" w:rsidRDefault="002B733E" w:rsidP="002B733E">
            <w:pPr>
              <w:pStyle w:val="7"/>
              <w:rPr>
                <w:rFonts w:cs="Times New Roman"/>
              </w:rPr>
            </w:pPr>
            <w:r w:rsidRPr="00FD50F6">
              <w:rPr>
                <w:rFonts w:cs="Times New Roman"/>
              </w:rPr>
              <w:t>过超高或欠超高值（</w:t>
            </w:r>
            <w:r w:rsidRPr="00FD50F6">
              <w:rPr>
                <w:rFonts w:cs="Times New Roman"/>
              </w:rPr>
              <w:t>mm</w:t>
            </w:r>
            <w:r w:rsidRPr="00FD50F6">
              <w:rPr>
                <w:rFonts w:cs="Times New Roman"/>
              </w:rPr>
              <w:t>）</w:t>
            </w:r>
          </w:p>
        </w:tc>
        <w:tc>
          <w:tcPr>
            <w:tcW w:w="3615" w:type="dxa"/>
            <w:gridSpan w:val="6"/>
            <w:vAlign w:val="center"/>
          </w:tcPr>
          <w:p w14:paraId="1D665050" w14:textId="77777777" w:rsidR="002B733E" w:rsidRPr="00FD50F6" w:rsidRDefault="002B733E" w:rsidP="002B733E">
            <w:pPr>
              <w:pStyle w:val="7"/>
              <w:rPr>
                <w:rFonts w:cs="Times New Roman"/>
              </w:rPr>
            </w:pPr>
            <w:r w:rsidRPr="00FD50F6">
              <w:rPr>
                <w:rFonts w:cs="Times New Roman"/>
              </w:rPr>
              <w:t>横向偏移量（</w:t>
            </w:r>
            <w:r w:rsidRPr="00FD50F6">
              <w:rPr>
                <w:rFonts w:cs="Times New Roman"/>
              </w:rPr>
              <w:t>mm</w:t>
            </w:r>
            <w:r w:rsidRPr="00FD50F6">
              <w:rPr>
                <w:rFonts w:cs="Times New Roman"/>
              </w:rPr>
              <w:t>）</w:t>
            </w:r>
            <w:r w:rsidRPr="00FD50F6">
              <w:rPr>
                <w:rFonts w:ascii="宋体" w:hAnsi="宋体" w:cs="宋体" w:hint="eastAsia"/>
              </w:rPr>
              <w:t>△</w:t>
            </w:r>
            <w:r w:rsidRPr="001A4CF3">
              <w:rPr>
                <w:rFonts w:cs="Times New Roman"/>
                <w:i/>
                <w:iCs/>
              </w:rPr>
              <w:t>Y</w:t>
            </w:r>
            <w:r w:rsidRPr="001A4CF3">
              <w:rPr>
                <w:rFonts w:cs="Times New Roman"/>
                <w:i/>
                <w:iCs/>
                <w:vertAlign w:val="subscript"/>
              </w:rPr>
              <w:t>Qa</w:t>
            </w:r>
            <w:r w:rsidRPr="00FD50F6">
              <w:rPr>
                <w:rFonts w:cs="Times New Roman"/>
              </w:rPr>
              <w:t>或</w:t>
            </w:r>
            <w:r w:rsidRPr="00FD50F6">
              <w:rPr>
                <w:rFonts w:ascii="宋体" w:hAnsi="宋体" w:cs="宋体" w:hint="eastAsia"/>
              </w:rPr>
              <w:t>△</w:t>
            </w:r>
            <w:r w:rsidRPr="001A4CF3">
              <w:rPr>
                <w:rFonts w:cs="Times New Roman"/>
                <w:i/>
                <w:iCs/>
              </w:rPr>
              <w:t>Y</w:t>
            </w:r>
            <w:r w:rsidRPr="001A4CF3">
              <w:rPr>
                <w:rFonts w:cs="Times New Roman"/>
                <w:i/>
                <w:iCs/>
                <w:vertAlign w:val="subscript"/>
              </w:rPr>
              <w:t>Q</w:t>
            </w:r>
            <w:r w:rsidRPr="00FD50F6">
              <w:rPr>
                <w:rFonts w:cs="Times New Roman"/>
                <w:i/>
                <w:iCs/>
                <w:vertAlign w:val="subscript"/>
              </w:rPr>
              <w:t>i</w:t>
            </w:r>
          </w:p>
        </w:tc>
        <w:tc>
          <w:tcPr>
            <w:tcW w:w="4181" w:type="dxa"/>
            <w:gridSpan w:val="6"/>
            <w:vAlign w:val="center"/>
          </w:tcPr>
          <w:p w14:paraId="7923DFEE" w14:textId="77777777" w:rsidR="002B733E" w:rsidRPr="00FD50F6" w:rsidRDefault="002B733E" w:rsidP="002B733E">
            <w:pPr>
              <w:pStyle w:val="7"/>
              <w:rPr>
                <w:rFonts w:cs="Times New Roman"/>
              </w:rPr>
            </w:pPr>
            <w:r w:rsidRPr="00FD50F6">
              <w:rPr>
                <w:rFonts w:cs="Times New Roman"/>
              </w:rPr>
              <w:t>竖向偏移量（</w:t>
            </w:r>
            <w:r w:rsidRPr="00FD50F6">
              <w:rPr>
                <w:rFonts w:cs="Times New Roman"/>
              </w:rPr>
              <w:t>mm</w:t>
            </w:r>
            <w:r w:rsidRPr="00FD50F6">
              <w:rPr>
                <w:rFonts w:cs="Times New Roman"/>
              </w:rPr>
              <w:t>）</w:t>
            </w:r>
            <w:r w:rsidRPr="00FD50F6">
              <w:rPr>
                <w:rFonts w:ascii="宋体" w:hAnsi="宋体" w:cs="宋体" w:hint="eastAsia"/>
              </w:rPr>
              <w:t>△</w:t>
            </w:r>
            <w:r w:rsidRPr="001A4CF3">
              <w:rPr>
                <w:rFonts w:cs="Times New Roman"/>
                <w:i/>
                <w:iCs/>
              </w:rPr>
              <w:t>Z</w:t>
            </w:r>
            <w:r w:rsidRPr="001A4CF3">
              <w:rPr>
                <w:rFonts w:cs="Times New Roman"/>
                <w:i/>
                <w:iCs/>
                <w:vertAlign w:val="subscript"/>
              </w:rPr>
              <w:t>Qa</w:t>
            </w:r>
            <w:r w:rsidRPr="001A4CF3">
              <w:rPr>
                <w:rFonts w:cs="Times New Roman"/>
                <w:i/>
                <w:iCs/>
              </w:rPr>
              <w:t xml:space="preserve"> </w:t>
            </w:r>
            <w:r w:rsidRPr="00FD50F6">
              <w:rPr>
                <w:rFonts w:cs="Times New Roman"/>
              </w:rPr>
              <w:t>或</w:t>
            </w:r>
            <w:r w:rsidRPr="00FD50F6">
              <w:rPr>
                <w:rFonts w:ascii="宋体" w:hAnsi="宋体" w:cs="宋体" w:hint="eastAsia"/>
              </w:rPr>
              <w:t>△</w:t>
            </w:r>
            <w:r w:rsidRPr="001A4CF3">
              <w:rPr>
                <w:rFonts w:cs="Times New Roman"/>
                <w:i/>
                <w:iCs/>
              </w:rPr>
              <w:t>Z</w:t>
            </w:r>
            <w:r w:rsidRPr="001A4CF3">
              <w:rPr>
                <w:rFonts w:cs="Times New Roman"/>
                <w:i/>
                <w:iCs/>
                <w:vertAlign w:val="subscript"/>
              </w:rPr>
              <w:t>Q</w:t>
            </w:r>
            <w:r w:rsidRPr="00FD50F6">
              <w:rPr>
                <w:rFonts w:cs="Times New Roman"/>
                <w:i/>
                <w:iCs/>
                <w:vertAlign w:val="subscript"/>
              </w:rPr>
              <w:t>i</w:t>
            </w:r>
            <w:r w:rsidRPr="001A4CF3">
              <w:rPr>
                <w:rFonts w:cs="Times New Roman"/>
                <w:i/>
                <w:iCs/>
              </w:rPr>
              <w:t xml:space="preserve"> </w:t>
            </w:r>
          </w:p>
        </w:tc>
      </w:tr>
      <w:tr w:rsidR="00FD50F6" w:rsidRPr="00FD50F6" w14:paraId="5AFB8FA7" w14:textId="77777777" w:rsidTr="002B733E">
        <w:trPr>
          <w:trHeight w:val="388"/>
        </w:trPr>
        <w:tc>
          <w:tcPr>
            <w:tcW w:w="866" w:type="dxa"/>
            <w:vMerge/>
            <w:vAlign w:val="center"/>
          </w:tcPr>
          <w:p w14:paraId="2E41EB7D" w14:textId="77777777" w:rsidR="002B733E" w:rsidRPr="00FD50F6" w:rsidRDefault="002B733E" w:rsidP="002B733E">
            <w:pPr>
              <w:pStyle w:val="7"/>
              <w:rPr>
                <w:rFonts w:cs="Times New Roman"/>
              </w:rPr>
            </w:pPr>
          </w:p>
        </w:tc>
        <w:tc>
          <w:tcPr>
            <w:tcW w:w="1234" w:type="dxa"/>
            <w:gridSpan w:val="2"/>
            <w:vAlign w:val="center"/>
          </w:tcPr>
          <w:p w14:paraId="31F3F334" w14:textId="77777777" w:rsidR="002B733E" w:rsidRPr="00FD50F6" w:rsidRDefault="002B733E" w:rsidP="002B733E">
            <w:pPr>
              <w:pStyle w:val="7"/>
              <w:rPr>
                <w:rFonts w:cs="Times New Roman"/>
              </w:rPr>
            </w:pPr>
            <w:r w:rsidRPr="00FD50F6">
              <w:rPr>
                <w:rFonts w:cs="Times New Roman"/>
              </w:rPr>
              <w:t>A</w:t>
            </w:r>
            <w:r w:rsidRPr="00FD50F6">
              <w:rPr>
                <w:rFonts w:cs="Times New Roman"/>
              </w:rPr>
              <w:t>型车</w:t>
            </w:r>
          </w:p>
        </w:tc>
        <w:tc>
          <w:tcPr>
            <w:tcW w:w="2381" w:type="dxa"/>
            <w:gridSpan w:val="4"/>
            <w:vAlign w:val="center"/>
          </w:tcPr>
          <w:p w14:paraId="76C5CEBB" w14:textId="77777777" w:rsidR="002B733E" w:rsidRPr="00FD50F6" w:rsidRDefault="002B733E" w:rsidP="002B733E">
            <w:pPr>
              <w:pStyle w:val="7"/>
              <w:rPr>
                <w:rFonts w:cs="Times New Roman"/>
              </w:rPr>
            </w:pPr>
            <w:r w:rsidRPr="00FD50F6">
              <w:rPr>
                <w:rFonts w:cs="Times New Roman"/>
              </w:rPr>
              <w:t>B</w:t>
            </w:r>
            <w:r w:rsidRPr="00FD50F6">
              <w:rPr>
                <w:rFonts w:cs="Times New Roman"/>
              </w:rPr>
              <w:t>型车</w:t>
            </w:r>
          </w:p>
        </w:tc>
        <w:tc>
          <w:tcPr>
            <w:tcW w:w="1630" w:type="dxa"/>
            <w:gridSpan w:val="2"/>
            <w:vAlign w:val="center"/>
          </w:tcPr>
          <w:p w14:paraId="1D98C8A8" w14:textId="77777777" w:rsidR="002B733E" w:rsidRPr="00FD50F6" w:rsidRDefault="002B733E" w:rsidP="002B733E">
            <w:pPr>
              <w:pStyle w:val="7"/>
              <w:rPr>
                <w:rFonts w:cs="Times New Roman"/>
              </w:rPr>
            </w:pPr>
            <w:r w:rsidRPr="00FD50F6">
              <w:rPr>
                <w:rFonts w:cs="Times New Roman"/>
              </w:rPr>
              <w:t>A</w:t>
            </w:r>
            <w:r w:rsidRPr="00FD50F6">
              <w:rPr>
                <w:rFonts w:cs="Times New Roman"/>
              </w:rPr>
              <w:t>型车</w:t>
            </w:r>
          </w:p>
        </w:tc>
        <w:tc>
          <w:tcPr>
            <w:tcW w:w="2551" w:type="dxa"/>
            <w:gridSpan w:val="4"/>
            <w:vAlign w:val="center"/>
          </w:tcPr>
          <w:p w14:paraId="09569E17" w14:textId="77777777" w:rsidR="002B733E" w:rsidRPr="00FD50F6" w:rsidRDefault="002B733E" w:rsidP="002B733E">
            <w:pPr>
              <w:pStyle w:val="7"/>
              <w:rPr>
                <w:rFonts w:cs="Times New Roman"/>
              </w:rPr>
            </w:pPr>
            <w:r w:rsidRPr="00FD50F6">
              <w:rPr>
                <w:rFonts w:cs="Times New Roman"/>
              </w:rPr>
              <w:t>B</w:t>
            </w:r>
            <w:r w:rsidRPr="00FD50F6">
              <w:rPr>
                <w:rFonts w:cs="Times New Roman"/>
              </w:rPr>
              <w:t>型车</w:t>
            </w:r>
          </w:p>
        </w:tc>
      </w:tr>
      <w:tr w:rsidR="00FD50F6" w:rsidRPr="00FD50F6" w14:paraId="07552F8B" w14:textId="77777777" w:rsidTr="002B733E">
        <w:trPr>
          <w:trHeight w:val="396"/>
        </w:trPr>
        <w:tc>
          <w:tcPr>
            <w:tcW w:w="866" w:type="dxa"/>
            <w:vMerge/>
            <w:vAlign w:val="center"/>
          </w:tcPr>
          <w:p w14:paraId="7FC2D574" w14:textId="77777777" w:rsidR="002B733E" w:rsidRPr="00FD50F6" w:rsidRDefault="002B733E" w:rsidP="002B733E">
            <w:pPr>
              <w:pStyle w:val="7"/>
              <w:rPr>
                <w:rFonts w:cs="Times New Roman"/>
              </w:rPr>
            </w:pPr>
          </w:p>
        </w:tc>
        <w:tc>
          <w:tcPr>
            <w:tcW w:w="647" w:type="dxa"/>
            <w:vMerge w:val="restart"/>
            <w:vAlign w:val="center"/>
          </w:tcPr>
          <w:p w14:paraId="7083B089"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W0</w:t>
            </w:r>
          </w:p>
        </w:tc>
        <w:tc>
          <w:tcPr>
            <w:tcW w:w="587" w:type="dxa"/>
            <w:vMerge w:val="restart"/>
            <w:vAlign w:val="center"/>
          </w:tcPr>
          <w:p w14:paraId="0718591B"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W3</w:t>
            </w:r>
          </w:p>
        </w:tc>
        <w:tc>
          <w:tcPr>
            <w:tcW w:w="1176" w:type="dxa"/>
            <w:gridSpan w:val="2"/>
            <w:vMerge w:val="restart"/>
            <w:vAlign w:val="center"/>
          </w:tcPr>
          <w:p w14:paraId="4C1F127C" w14:textId="77777777" w:rsidR="002B733E" w:rsidRPr="00FD50F6" w:rsidRDefault="002B733E" w:rsidP="002B733E">
            <w:pPr>
              <w:pStyle w:val="7"/>
              <w:rPr>
                <w:rFonts w:cs="Times New Roman"/>
              </w:rPr>
            </w:pPr>
            <w:r w:rsidRPr="00FD50F6">
              <w:rPr>
                <w:rFonts w:cs="Times New Roman"/>
              </w:rPr>
              <w:t>无扭杆</w:t>
            </w:r>
          </w:p>
        </w:tc>
        <w:tc>
          <w:tcPr>
            <w:tcW w:w="1205" w:type="dxa"/>
            <w:gridSpan w:val="2"/>
            <w:vMerge w:val="restart"/>
            <w:vAlign w:val="center"/>
          </w:tcPr>
          <w:p w14:paraId="5F15094B" w14:textId="77777777" w:rsidR="002B733E" w:rsidRPr="00FD50F6" w:rsidRDefault="002B733E" w:rsidP="002B733E">
            <w:pPr>
              <w:pStyle w:val="7"/>
              <w:rPr>
                <w:rFonts w:cs="Times New Roman"/>
              </w:rPr>
            </w:pPr>
            <w:r w:rsidRPr="00FD50F6">
              <w:rPr>
                <w:rFonts w:cs="Times New Roman"/>
              </w:rPr>
              <w:t>有扭杆</w:t>
            </w:r>
          </w:p>
        </w:tc>
        <w:tc>
          <w:tcPr>
            <w:tcW w:w="708" w:type="dxa"/>
            <w:vMerge w:val="restart"/>
            <w:vAlign w:val="center"/>
          </w:tcPr>
          <w:p w14:paraId="451271D0"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W0</w:t>
            </w:r>
          </w:p>
        </w:tc>
        <w:tc>
          <w:tcPr>
            <w:tcW w:w="922" w:type="dxa"/>
            <w:vMerge w:val="restart"/>
            <w:vAlign w:val="center"/>
          </w:tcPr>
          <w:p w14:paraId="6FA52428"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W3</w:t>
            </w:r>
          </w:p>
        </w:tc>
        <w:tc>
          <w:tcPr>
            <w:tcW w:w="1275" w:type="dxa"/>
            <w:gridSpan w:val="2"/>
            <w:vAlign w:val="center"/>
          </w:tcPr>
          <w:p w14:paraId="2D690C71" w14:textId="77777777" w:rsidR="002B733E" w:rsidRPr="00FD50F6" w:rsidRDefault="002B733E" w:rsidP="002B733E">
            <w:pPr>
              <w:pStyle w:val="7"/>
              <w:rPr>
                <w:rFonts w:cs="Times New Roman"/>
              </w:rPr>
            </w:pPr>
            <w:r w:rsidRPr="00FD50F6">
              <w:rPr>
                <w:rFonts w:cs="Times New Roman"/>
              </w:rPr>
              <w:t>无扭杆</w:t>
            </w:r>
          </w:p>
        </w:tc>
        <w:tc>
          <w:tcPr>
            <w:tcW w:w="1276" w:type="dxa"/>
            <w:gridSpan w:val="2"/>
            <w:vAlign w:val="center"/>
          </w:tcPr>
          <w:p w14:paraId="320F12E8" w14:textId="77777777" w:rsidR="002B733E" w:rsidRPr="00FD50F6" w:rsidRDefault="002B733E" w:rsidP="002B733E">
            <w:pPr>
              <w:pStyle w:val="7"/>
              <w:rPr>
                <w:rFonts w:cs="Times New Roman"/>
              </w:rPr>
            </w:pPr>
            <w:r w:rsidRPr="00FD50F6">
              <w:rPr>
                <w:rFonts w:cs="Times New Roman"/>
              </w:rPr>
              <w:t>有扭杆</w:t>
            </w:r>
          </w:p>
        </w:tc>
      </w:tr>
      <w:tr w:rsidR="00FD50F6" w:rsidRPr="00FD50F6" w14:paraId="7CE89CB4" w14:textId="77777777" w:rsidTr="002B733E">
        <w:trPr>
          <w:trHeight w:val="467"/>
        </w:trPr>
        <w:tc>
          <w:tcPr>
            <w:tcW w:w="866" w:type="dxa"/>
            <w:vMerge/>
            <w:vAlign w:val="center"/>
          </w:tcPr>
          <w:p w14:paraId="6A0D9221" w14:textId="77777777" w:rsidR="002B733E" w:rsidRPr="00FD50F6" w:rsidRDefault="002B733E" w:rsidP="002B733E">
            <w:pPr>
              <w:pStyle w:val="7"/>
              <w:rPr>
                <w:rFonts w:cs="Times New Roman"/>
              </w:rPr>
            </w:pPr>
          </w:p>
        </w:tc>
        <w:tc>
          <w:tcPr>
            <w:tcW w:w="647" w:type="dxa"/>
            <w:vMerge/>
            <w:vAlign w:val="center"/>
          </w:tcPr>
          <w:p w14:paraId="25ABE364" w14:textId="77777777" w:rsidR="002B733E" w:rsidRPr="00FD50F6" w:rsidRDefault="002B733E" w:rsidP="002B733E">
            <w:pPr>
              <w:pStyle w:val="7"/>
              <w:rPr>
                <w:rFonts w:cs="Times New Roman"/>
              </w:rPr>
            </w:pPr>
          </w:p>
        </w:tc>
        <w:tc>
          <w:tcPr>
            <w:tcW w:w="587" w:type="dxa"/>
            <w:vMerge/>
            <w:vAlign w:val="center"/>
          </w:tcPr>
          <w:p w14:paraId="4E3F4047" w14:textId="77777777" w:rsidR="002B733E" w:rsidRPr="00FD50F6" w:rsidRDefault="002B733E" w:rsidP="002B733E">
            <w:pPr>
              <w:pStyle w:val="7"/>
              <w:rPr>
                <w:rFonts w:cs="Times New Roman"/>
              </w:rPr>
            </w:pPr>
          </w:p>
        </w:tc>
        <w:tc>
          <w:tcPr>
            <w:tcW w:w="1176" w:type="dxa"/>
            <w:gridSpan w:val="2"/>
            <w:vMerge/>
            <w:vAlign w:val="center"/>
          </w:tcPr>
          <w:p w14:paraId="6B91D289" w14:textId="77777777" w:rsidR="002B733E" w:rsidRPr="00FD50F6" w:rsidRDefault="002B733E" w:rsidP="002B733E">
            <w:pPr>
              <w:pStyle w:val="7"/>
              <w:rPr>
                <w:rFonts w:cs="Times New Roman"/>
              </w:rPr>
            </w:pPr>
          </w:p>
        </w:tc>
        <w:tc>
          <w:tcPr>
            <w:tcW w:w="1205" w:type="dxa"/>
            <w:gridSpan w:val="2"/>
            <w:vMerge/>
            <w:vAlign w:val="center"/>
          </w:tcPr>
          <w:p w14:paraId="5446BD71" w14:textId="77777777" w:rsidR="002B733E" w:rsidRPr="00FD50F6" w:rsidRDefault="002B733E" w:rsidP="002B733E">
            <w:pPr>
              <w:pStyle w:val="7"/>
              <w:rPr>
                <w:rFonts w:cs="Times New Roman"/>
              </w:rPr>
            </w:pPr>
          </w:p>
        </w:tc>
        <w:tc>
          <w:tcPr>
            <w:tcW w:w="708" w:type="dxa"/>
            <w:vMerge/>
            <w:vAlign w:val="center"/>
          </w:tcPr>
          <w:p w14:paraId="38DE72A4" w14:textId="77777777" w:rsidR="002B733E" w:rsidRPr="00FD50F6" w:rsidRDefault="002B733E" w:rsidP="002B733E">
            <w:pPr>
              <w:pStyle w:val="7"/>
              <w:rPr>
                <w:rFonts w:cs="Times New Roman"/>
              </w:rPr>
            </w:pPr>
          </w:p>
        </w:tc>
        <w:tc>
          <w:tcPr>
            <w:tcW w:w="922" w:type="dxa"/>
            <w:vMerge/>
            <w:vAlign w:val="center"/>
          </w:tcPr>
          <w:p w14:paraId="48E0C835" w14:textId="77777777" w:rsidR="002B733E" w:rsidRPr="00FD50F6" w:rsidRDefault="002B733E" w:rsidP="002B733E">
            <w:pPr>
              <w:pStyle w:val="7"/>
              <w:rPr>
                <w:rFonts w:cs="Times New Roman"/>
              </w:rPr>
            </w:pPr>
          </w:p>
        </w:tc>
        <w:tc>
          <w:tcPr>
            <w:tcW w:w="665" w:type="dxa"/>
            <w:vMerge w:val="restart"/>
            <w:vAlign w:val="center"/>
          </w:tcPr>
          <w:p w14:paraId="726D6FCB"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W0</w:t>
            </w:r>
          </w:p>
        </w:tc>
        <w:tc>
          <w:tcPr>
            <w:tcW w:w="610" w:type="dxa"/>
            <w:vMerge w:val="restart"/>
            <w:vAlign w:val="center"/>
          </w:tcPr>
          <w:p w14:paraId="6B66B714"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W3</w:t>
            </w:r>
          </w:p>
        </w:tc>
        <w:tc>
          <w:tcPr>
            <w:tcW w:w="650" w:type="dxa"/>
            <w:vMerge w:val="restart"/>
            <w:vAlign w:val="center"/>
          </w:tcPr>
          <w:p w14:paraId="5E8A6FAD"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W0</w:t>
            </w:r>
          </w:p>
        </w:tc>
        <w:tc>
          <w:tcPr>
            <w:tcW w:w="626" w:type="dxa"/>
            <w:vMerge w:val="restart"/>
            <w:vAlign w:val="center"/>
          </w:tcPr>
          <w:p w14:paraId="7FEB31F6"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W3</w:t>
            </w:r>
          </w:p>
        </w:tc>
      </w:tr>
      <w:tr w:rsidR="00FD50F6" w:rsidRPr="00FD50F6" w14:paraId="0EB566CC" w14:textId="77777777" w:rsidTr="002B733E">
        <w:trPr>
          <w:trHeight w:val="198"/>
        </w:trPr>
        <w:tc>
          <w:tcPr>
            <w:tcW w:w="866" w:type="dxa"/>
            <w:vMerge/>
            <w:vAlign w:val="center"/>
          </w:tcPr>
          <w:p w14:paraId="02D0ACCA" w14:textId="77777777" w:rsidR="002B733E" w:rsidRPr="00FD50F6" w:rsidRDefault="002B733E" w:rsidP="002B733E">
            <w:pPr>
              <w:pStyle w:val="7"/>
              <w:rPr>
                <w:rFonts w:cs="Times New Roman"/>
              </w:rPr>
            </w:pPr>
          </w:p>
        </w:tc>
        <w:tc>
          <w:tcPr>
            <w:tcW w:w="647" w:type="dxa"/>
            <w:vMerge/>
            <w:vAlign w:val="center"/>
          </w:tcPr>
          <w:p w14:paraId="1A817D8E" w14:textId="77777777" w:rsidR="002B733E" w:rsidRPr="00FD50F6" w:rsidRDefault="002B733E" w:rsidP="002B733E">
            <w:pPr>
              <w:pStyle w:val="7"/>
              <w:rPr>
                <w:rFonts w:cs="Times New Roman"/>
              </w:rPr>
            </w:pPr>
          </w:p>
        </w:tc>
        <w:tc>
          <w:tcPr>
            <w:tcW w:w="587" w:type="dxa"/>
            <w:vMerge/>
            <w:vAlign w:val="center"/>
          </w:tcPr>
          <w:p w14:paraId="74BA5E97" w14:textId="77777777" w:rsidR="002B733E" w:rsidRPr="00FD50F6" w:rsidRDefault="002B733E" w:rsidP="002B733E">
            <w:pPr>
              <w:pStyle w:val="7"/>
              <w:rPr>
                <w:rFonts w:cs="Times New Roman"/>
              </w:rPr>
            </w:pPr>
          </w:p>
        </w:tc>
        <w:tc>
          <w:tcPr>
            <w:tcW w:w="575" w:type="dxa"/>
            <w:vAlign w:val="center"/>
          </w:tcPr>
          <w:p w14:paraId="2CCBCBEE"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W0</w:t>
            </w:r>
          </w:p>
        </w:tc>
        <w:tc>
          <w:tcPr>
            <w:tcW w:w="601" w:type="dxa"/>
            <w:vAlign w:val="center"/>
          </w:tcPr>
          <w:p w14:paraId="215B33B8"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W3</w:t>
            </w:r>
          </w:p>
        </w:tc>
        <w:tc>
          <w:tcPr>
            <w:tcW w:w="575" w:type="dxa"/>
            <w:vAlign w:val="center"/>
          </w:tcPr>
          <w:p w14:paraId="42DBCD8B"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W0</w:t>
            </w:r>
          </w:p>
        </w:tc>
        <w:tc>
          <w:tcPr>
            <w:tcW w:w="630" w:type="dxa"/>
            <w:vAlign w:val="center"/>
          </w:tcPr>
          <w:p w14:paraId="05693414" w14:textId="77777777" w:rsidR="002B733E" w:rsidRPr="00FD50F6" w:rsidRDefault="002B733E" w:rsidP="002B733E">
            <w:pPr>
              <w:pStyle w:val="7"/>
              <w:rPr>
                <w:rFonts w:cs="Times New Roman"/>
              </w:rPr>
            </w:pPr>
            <w:r w:rsidRPr="00FD50F6">
              <w:rPr>
                <w:rFonts w:cs="Times New Roman"/>
              </w:rPr>
              <w:t>A</w:t>
            </w:r>
            <w:r w:rsidRPr="00FD50F6">
              <w:rPr>
                <w:rFonts w:cs="Times New Roman"/>
                <w:vertAlign w:val="subscript"/>
              </w:rPr>
              <w:t>W3</w:t>
            </w:r>
          </w:p>
        </w:tc>
        <w:tc>
          <w:tcPr>
            <w:tcW w:w="708" w:type="dxa"/>
            <w:vMerge/>
            <w:vAlign w:val="center"/>
          </w:tcPr>
          <w:p w14:paraId="2FFF89EE" w14:textId="77777777" w:rsidR="002B733E" w:rsidRPr="00FD50F6" w:rsidRDefault="002B733E" w:rsidP="002B733E">
            <w:pPr>
              <w:pStyle w:val="7"/>
              <w:rPr>
                <w:rFonts w:cs="Times New Roman"/>
              </w:rPr>
            </w:pPr>
          </w:p>
        </w:tc>
        <w:tc>
          <w:tcPr>
            <w:tcW w:w="922" w:type="dxa"/>
            <w:vMerge/>
            <w:vAlign w:val="center"/>
          </w:tcPr>
          <w:p w14:paraId="795B3ECF" w14:textId="77777777" w:rsidR="002B733E" w:rsidRPr="00FD50F6" w:rsidRDefault="002B733E" w:rsidP="002B733E">
            <w:pPr>
              <w:pStyle w:val="7"/>
              <w:rPr>
                <w:rFonts w:cs="Times New Roman"/>
              </w:rPr>
            </w:pPr>
          </w:p>
        </w:tc>
        <w:tc>
          <w:tcPr>
            <w:tcW w:w="665" w:type="dxa"/>
            <w:vMerge/>
            <w:vAlign w:val="center"/>
          </w:tcPr>
          <w:p w14:paraId="3C8572C0" w14:textId="77777777" w:rsidR="002B733E" w:rsidRPr="00FD50F6" w:rsidRDefault="002B733E" w:rsidP="002B733E">
            <w:pPr>
              <w:pStyle w:val="7"/>
              <w:rPr>
                <w:rFonts w:cs="Times New Roman"/>
              </w:rPr>
            </w:pPr>
          </w:p>
        </w:tc>
        <w:tc>
          <w:tcPr>
            <w:tcW w:w="610" w:type="dxa"/>
            <w:vMerge/>
            <w:vAlign w:val="center"/>
          </w:tcPr>
          <w:p w14:paraId="66900AC9" w14:textId="77777777" w:rsidR="002B733E" w:rsidRPr="00FD50F6" w:rsidRDefault="002B733E" w:rsidP="002B733E">
            <w:pPr>
              <w:pStyle w:val="7"/>
              <w:rPr>
                <w:rFonts w:cs="Times New Roman"/>
              </w:rPr>
            </w:pPr>
          </w:p>
        </w:tc>
        <w:tc>
          <w:tcPr>
            <w:tcW w:w="650" w:type="dxa"/>
            <w:vMerge/>
            <w:vAlign w:val="center"/>
          </w:tcPr>
          <w:p w14:paraId="3EFAB575" w14:textId="77777777" w:rsidR="002B733E" w:rsidRPr="00FD50F6" w:rsidRDefault="002B733E" w:rsidP="002B733E">
            <w:pPr>
              <w:pStyle w:val="7"/>
              <w:rPr>
                <w:rFonts w:cs="Times New Roman"/>
              </w:rPr>
            </w:pPr>
          </w:p>
        </w:tc>
        <w:tc>
          <w:tcPr>
            <w:tcW w:w="626" w:type="dxa"/>
            <w:vMerge/>
            <w:vAlign w:val="center"/>
          </w:tcPr>
          <w:p w14:paraId="33102DAF" w14:textId="77777777" w:rsidR="002B733E" w:rsidRPr="00FD50F6" w:rsidRDefault="002B733E" w:rsidP="002B733E">
            <w:pPr>
              <w:pStyle w:val="7"/>
              <w:rPr>
                <w:rFonts w:cs="Times New Roman"/>
              </w:rPr>
            </w:pPr>
          </w:p>
        </w:tc>
      </w:tr>
      <w:tr w:rsidR="00FD50F6" w:rsidRPr="00FD50F6" w14:paraId="69E949BA" w14:textId="77777777" w:rsidTr="002B733E">
        <w:tc>
          <w:tcPr>
            <w:tcW w:w="866" w:type="dxa"/>
            <w:vAlign w:val="center"/>
          </w:tcPr>
          <w:p w14:paraId="603559E1" w14:textId="77777777" w:rsidR="002B733E" w:rsidRPr="00FD50F6" w:rsidRDefault="002B733E" w:rsidP="002B733E">
            <w:pPr>
              <w:pStyle w:val="7"/>
              <w:rPr>
                <w:rFonts w:cs="Times New Roman"/>
              </w:rPr>
            </w:pPr>
            <w:r w:rsidRPr="00FD50F6">
              <w:rPr>
                <w:rFonts w:cs="Times New Roman"/>
              </w:rPr>
              <w:t>13</w:t>
            </w:r>
          </w:p>
        </w:tc>
        <w:tc>
          <w:tcPr>
            <w:tcW w:w="647" w:type="dxa"/>
            <w:vAlign w:val="center"/>
          </w:tcPr>
          <w:p w14:paraId="79C5E84C" w14:textId="77777777" w:rsidR="002B733E" w:rsidRPr="00FD50F6" w:rsidRDefault="002B733E" w:rsidP="002B733E">
            <w:pPr>
              <w:pStyle w:val="7"/>
              <w:rPr>
                <w:rFonts w:cs="Times New Roman"/>
              </w:rPr>
            </w:pPr>
            <w:r w:rsidRPr="00FD50F6">
              <w:rPr>
                <w:rFonts w:cs="Times New Roman"/>
              </w:rPr>
              <w:t>2</w:t>
            </w:r>
          </w:p>
        </w:tc>
        <w:tc>
          <w:tcPr>
            <w:tcW w:w="587" w:type="dxa"/>
            <w:vAlign w:val="center"/>
          </w:tcPr>
          <w:p w14:paraId="386DAA77" w14:textId="77777777" w:rsidR="002B733E" w:rsidRPr="00FD50F6" w:rsidRDefault="002B733E" w:rsidP="002B733E">
            <w:pPr>
              <w:pStyle w:val="7"/>
              <w:rPr>
                <w:rFonts w:cs="Times New Roman"/>
              </w:rPr>
            </w:pPr>
            <w:r w:rsidRPr="00FD50F6">
              <w:rPr>
                <w:rFonts w:cs="Times New Roman"/>
              </w:rPr>
              <w:t>4</w:t>
            </w:r>
          </w:p>
        </w:tc>
        <w:tc>
          <w:tcPr>
            <w:tcW w:w="575" w:type="dxa"/>
            <w:vAlign w:val="center"/>
          </w:tcPr>
          <w:p w14:paraId="62315EA3" w14:textId="77777777" w:rsidR="002B733E" w:rsidRPr="00FD50F6" w:rsidRDefault="002B733E" w:rsidP="002B733E">
            <w:pPr>
              <w:pStyle w:val="7"/>
              <w:rPr>
                <w:rFonts w:cs="Times New Roman"/>
              </w:rPr>
            </w:pPr>
            <w:r w:rsidRPr="00FD50F6">
              <w:rPr>
                <w:rFonts w:cs="Times New Roman"/>
              </w:rPr>
              <w:t>8</w:t>
            </w:r>
          </w:p>
        </w:tc>
        <w:tc>
          <w:tcPr>
            <w:tcW w:w="601" w:type="dxa"/>
            <w:vAlign w:val="center"/>
          </w:tcPr>
          <w:p w14:paraId="1B087107" w14:textId="77777777" w:rsidR="002B733E" w:rsidRPr="00FD50F6" w:rsidRDefault="002B733E" w:rsidP="002B733E">
            <w:pPr>
              <w:pStyle w:val="7"/>
              <w:rPr>
                <w:rFonts w:cs="Times New Roman"/>
              </w:rPr>
            </w:pPr>
            <w:r w:rsidRPr="00FD50F6">
              <w:rPr>
                <w:rFonts w:cs="Times New Roman"/>
              </w:rPr>
              <w:t>7</w:t>
            </w:r>
          </w:p>
        </w:tc>
        <w:tc>
          <w:tcPr>
            <w:tcW w:w="575" w:type="dxa"/>
            <w:vAlign w:val="center"/>
          </w:tcPr>
          <w:p w14:paraId="2DE4DCE8" w14:textId="77777777" w:rsidR="002B733E" w:rsidRPr="00FD50F6" w:rsidRDefault="002B733E" w:rsidP="002B733E">
            <w:pPr>
              <w:pStyle w:val="7"/>
              <w:rPr>
                <w:rFonts w:cs="Times New Roman"/>
              </w:rPr>
            </w:pPr>
            <w:r w:rsidRPr="00FD50F6">
              <w:rPr>
                <w:rFonts w:cs="Times New Roman"/>
              </w:rPr>
              <w:t>2</w:t>
            </w:r>
          </w:p>
        </w:tc>
        <w:tc>
          <w:tcPr>
            <w:tcW w:w="630" w:type="dxa"/>
            <w:vAlign w:val="center"/>
          </w:tcPr>
          <w:p w14:paraId="3FFB6F12" w14:textId="77777777" w:rsidR="002B733E" w:rsidRPr="00FD50F6" w:rsidRDefault="002B733E" w:rsidP="002B733E">
            <w:pPr>
              <w:pStyle w:val="7"/>
              <w:rPr>
                <w:rFonts w:cs="Times New Roman"/>
              </w:rPr>
            </w:pPr>
            <w:r w:rsidRPr="00FD50F6">
              <w:rPr>
                <w:rFonts w:cs="Times New Roman"/>
              </w:rPr>
              <w:t>3</w:t>
            </w:r>
          </w:p>
        </w:tc>
        <w:tc>
          <w:tcPr>
            <w:tcW w:w="708" w:type="dxa"/>
            <w:vAlign w:val="center"/>
          </w:tcPr>
          <w:p w14:paraId="2BE0E79F" w14:textId="77777777" w:rsidR="002B733E" w:rsidRPr="00FD50F6" w:rsidRDefault="002B733E" w:rsidP="002B733E">
            <w:pPr>
              <w:pStyle w:val="7"/>
              <w:rPr>
                <w:rFonts w:cs="Times New Roman"/>
              </w:rPr>
            </w:pPr>
            <w:r w:rsidRPr="00FD50F6">
              <w:rPr>
                <w:rFonts w:cs="Times New Roman"/>
              </w:rPr>
              <w:t>±0.8</w:t>
            </w:r>
          </w:p>
        </w:tc>
        <w:tc>
          <w:tcPr>
            <w:tcW w:w="922" w:type="dxa"/>
            <w:vAlign w:val="center"/>
          </w:tcPr>
          <w:p w14:paraId="6E228FAF" w14:textId="77777777" w:rsidR="002B733E" w:rsidRPr="00FD50F6" w:rsidRDefault="002B733E" w:rsidP="002B733E">
            <w:pPr>
              <w:pStyle w:val="7"/>
              <w:rPr>
                <w:rFonts w:cs="Times New Roman"/>
              </w:rPr>
            </w:pPr>
            <w:r w:rsidRPr="00FD50F6">
              <w:rPr>
                <w:rFonts w:cs="Times New Roman"/>
              </w:rPr>
              <w:t>±1.6</w:t>
            </w:r>
          </w:p>
        </w:tc>
        <w:tc>
          <w:tcPr>
            <w:tcW w:w="665" w:type="dxa"/>
            <w:vAlign w:val="center"/>
          </w:tcPr>
          <w:p w14:paraId="3EEF0D02" w14:textId="77777777" w:rsidR="002B733E" w:rsidRPr="00FD50F6" w:rsidRDefault="002B733E" w:rsidP="002B733E">
            <w:pPr>
              <w:pStyle w:val="7"/>
              <w:rPr>
                <w:rFonts w:cs="Times New Roman"/>
              </w:rPr>
            </w:pPr>
            <w:r w:rsidRPr="00FD50F6">
              <w:rPr>
                <w:rFonts w:cs="Times New Roman"/>
              </w:rPr>
              <w:t>±3</w:t>
            </w:r>
          </w:p>
        </w:tc>
        <w:tc>
          <w:tcPr>
            <w:tcW w:w="610" w:type="dxa"/>
            <w:vAlign w:val="center"/>
          </w:tcPr>
          <w:p w14:paraId="73D2D6DF" w14:textId="77777777" w:rsidR="002B733E" w:rsidRPr="00FD50F6" w:rsidRDefault="002B733E" w:rsidP="002B733E">
            <w:pPr>
              <w:pStyle w:val="7"/>
              <w:rPr>
                <w:rFonts w:cs="Times New Roman"/>
              </w:rPr>
            </w:pPr>
            <w:r w:rsidRPr="00FD50F6">
              <w:rPr>
                <w:rFonts w:cs="Times New Roman"/>
              </w:rPr>
              <w:t>±3</w:t>
            </w:r>
          </w:p>
        </w:tc>
        <w:tc>
          <w:tcPr>
            <w:tcW w:w="650" w:type="dxa"/>
            <w:vAlign w:val="center"/>
          </w:tcPr>
          <w:p w14:paraId="7A8A1E59" w14:textId="77777777" w:rsidR="002B733E" w:rsidRPr="00FD50F6" w:rsidRDefault="002B733E" w:rsidP="002B733E">
            <w:pPr>
              <w:pStyle w:val="7"/>
              <w:rPr>
                <w:rFonts w:cs="Times New Roman"/>
              </w:rPr>
            </w:pPr>
            <w:r w:rsidRPr="00FD50F6">
              <w:rPr>
                <w:rFonts w:cs="Times New Roman"/>
              </w:rPr>
              <w:t>±1</w:t>
            </w:r>
          </w:p>
        </w:tc>
        <w:tc>
          <w:tcPr>
            <w:tcW w:w="626" w:type="dxa"/>
            <w:vAlign w:val="center"/>
          </w:tcPr>
          <w:p w14:paraId="1FBB278F" w14:textId="77777777" w:rsidR="002B733E" w:rsidRPr="00FD50F6" w:rsidRDefault="002B733E" w:rsidP="002B733E">
            <w:pPr>
              <w:pStyle w:val="7"/>
              <w:rPr>
                <w:rFonts w:cs="Times New Roman"/>
              </w:rPr>
            </w:pPr>
            <w:r w:rsidRPr="00FD50F6">
              <w:rPr>
                <w:rFonts w:cs="Times New Roman"/>
              </w:rPr>
              <w:t>±1</w:t>
            </w:r>
          </w:p>
        </w:tc>
      </w:tr>
      <w:tr w:rsidR="00FD50F6" w:rsidRPr="00FD50F6" w14:paraId="709FDDE0" w14:textId="77777777" w:rsidTr="002B733E">
        <w:tc>
          <w:tcPr>
            <w:tcW w:w="866" w:type="dxa"/>
            <w:vAlign w:val="center"/>
          </w:tcPr>
          <w:p w14:paraId="35BE47ED" w14:textId="77777777" w:rsidR="002B733E" w:rsidRPr="00FD50F6" w:rsidRDefault="002B733E" w:rsidP="002B733E">
            <w:pPr>
              <w:pStyle w:val="7"/>
              <w:rPr>
                <w:rFonts w:cs="Times New Roman"/>
              </w:rPr>
            </w:pPr>
            <w:r w:rsidRPr="00FD50F6">
              <w:rPr>
                <w:rFonts w:cs="Times New Roman"/>
              </w:rPr>
              <w:lastRenderedPageBreak/>
              <w:t>21</w:t>
            </w:r>
          </w:p>
        </w:tc>
        <w:tc>
          <w:tcPr>
            <w:tcW w:w="647" w:type="dxa"/>
            <w:vAlign w:val="center"/>
          </w:tcPr>
          <w:p w14:paraId="5FDA2364" w14:textId="77777777" w:rsidR="002B733E" w:rsidRPr="00FD50F6" w:rsidRDefault="002B733E" w:rsidP="002B733E">
            <w:pPr>
              <w:pStyle w:val="7"/>
              <w:rPr>
                <w:rFonts w:cs="Times New Roman"/>
              </w:rPr>
            </w:pPr>
            <w:r w:rsidRPr="00FD50F6">
              <w:rPr>
                <w:rFonts w:cs="Times New Roman"/>
              </w:rPr>
              <w:t>3</w:t>
            </w:r>
          </w:p>
        </w:tc>
        <w:tc>
          <w:tcPr>
            <w:tcW w:w="587" w:type="dxa"/>
            <w:vAlign w:val="center"/>
          </w:tcPr>
          <w:p w14:paraId="4E8C9A6E" w14:textId="77777777" w:rsidR="002B733E" w:rsidRPr="00FD50F6" w:rsidRDefault="002B733E" w:rsidP="002B733E">
            <w:pPr>
              <w:pStyle w:val="7"/>
              <w:rPr>
                <w:rFonts w:cs="Times New Roman"/>
              </w:rPr>
            </w:pPr>
            <w:r w:rsidRPr="00FD50F6">
              <w:rPr>
                <w:rFonts w:cs="Times New Roman"/>
              </w:rPr>
              <w:t>6</w:t>
            </w:r>
          </w:p>
        </w:tc>
        <w:tc>
          <w:tcPr>
            <w:tcW w:w="575" w:type="dxa"/>
            <w:vAlign w:val="center"/>
          </w:tcPr>
          <w:p w14:paraId="030D4568" w14:textId="77777777" w:rsidR="002B733E" w:rsidRPr="00FD50F6" w:rsidRDefault="002B733E" w:rsidP="002B733E">
            <w:pPr>
              <w:pStyle w:val="7"/>
              <w:rPr>
                <w:rFonts w:cs="Times New Roman"/>
              </w:rPr>
            </w:pPr>
            <w:r w:rsidRPr="00FD50F6">
              <w:rPr>
                <w:rFonts w:cs="Times New Roman"/>
              </w:rPr>
              <w:t>12</w:t>
            </w:r>
          </w:p>
        </w:tc>
        <w:tc>
          <w:tcPr>
            <w:tcW w:w="601" w:type="dxa"/>
            <w:vAlign w:val="center"/>
          </w:tcPr>
          <w:p w14:paraId="2F2C5949" w14:textId="77777777" w:rsidR="002B733E" w:rsidRPr="00FD50F6" w:rsidRDefault="002B733E" w:rsidP="002B733E">
            <w:pPr>
              <w:pStyle w:val="7"/>
              <w:rPr>
                <w:rFonts w:cs="Times New Roman"/>
              </w:rPr>
            </w:pPr>
            <w:r w:rsidRPr="00FD50F6">
              <w:rPr>
                <w:rFonts w:cs="Times New Roman"/>
              </w:rPr>
              <w:t>11</w:t>
            </w:r>
          </w:p>
        </w:tc>
        <w:tc>
          <w:tcPr>
            <w:tcW w:w="575" w:type="dxa"/>
            <w:vAlign w:val="center"/>
          </w:tcPr>
          <w:p w14:paraId="536A0955" w14:textId="77777777" w:rsidR="002B733E" w:rsidRPr="00FD50F6" w:rsidRDefault="002B733E" w:rsidP="002B733E">
            <w:pPr>
              <w:pStyle w:val="7"/>
              <w:rPr>
                <w:rFonts w:cs="Times New Roman"/>
              </w:rPr>
            </w:pPr>
            <w:r w:rsidRPr="00FD50F6">
              <w:rPr>
                <w:rFonts w:cs="Times New Roman"/>
              </w:rPr>
              <w:t>3</w:t>
            </w:r>
          </w:p>
        </w:tc>
        <w:tc>
          <w:tcPr>
            <w:tcW w:w="630" w:type="dxa"/>
            <w:vAlign w:val="center"/>
          </w:tcPr>
          <w:p w14:paraId="25F4DB1F" w14:textId="77777777" w:rsidR="002B733E" w:rsidRPr="00FD50F6" w:rsidRDefault="002B733E" w:rsidP="002B733E">
            <w:pPr>
              <w:pStyle w:val="7"/>
              <w:rPr>
                <w:rFonts w:cs="Times New Roman"/>
              </w:rPr>
            </w:pPr>
            <w:r w:rsidRPr="00FD50F6">
              <w:rPr>
                <w:rFonts w:cs="Times New Roman"/>
              </w:rPr>
              <w:t>5</w:t>
            </w:r>
          </w:p>
        </w:tc>
        <w:tc>
          <w:tcPr>
            <w:tcW w:w="708" w:type="dxa"/>
            <w:vAlign w:val="center"/>
          </w:tcPr>
          <w:p w14:paraId="3D86F48D" w14:textId="77777777" w:rsidR="002B733E" w:rsidRPr="00FD50F6" w:rsidRDefault="002B733E" w:rsidP="002B733E">
            <w:pPr>
              <w:pStyle w:val="7"/>
              <w:rPr>
                <w:rFonts w:cs="Times New Roman"/>
              </w:rPr>
            </w:pPr>
            <w:r w:rsidRPr="00FD50F6">
              <w:rPr>
                <w:rFonts w:cs="Times New Roman"/>
              </w:rPr>
              <w:t>±1.3</w:t>
            </w:r>
          </w:p>
        </w:tc>
        <w:tc>
          <w:tcPr>
            <w:tcW w:w="922" w:type="dxa"/>
            <w:vAlign w:val="center"/>
          </w:tcPr>
          <w:p w14:paraId="7D609937" w14:textId="77777777" w:rsidR="002B733E" w:rsidRPr="00FD50F6" w:rsidRDefault="002B733E" w:rsidP="002B733E">
            <w:pPr>
              <w:pStyle w:val="7"/>
              <w:rPr>
                <w:rFonts w:cs="Times New Roman"/>
              </w:rPr>
            </w:pPr>
            <w:r w:rsidRPr="00FD50F6">
              <w:rPr>
                <w:rFonts w:cs="Times New Roman"/>
              </w:rPr>
              <w:t>±2.7</w:t>
            </w:r>
          </w:p>
        </w:tc>
        <w:tc>
          <w:tcPr>
            <w:tcW w:w="665" w:type="dxa"/>
            <w:vAlign w:val="center"/>
          </w:tcPr>
          <w:p w14:paraId="7DE2C491" w14:textId="77777777" w:rsidR="002B733E" w:rsidRPr="00FD50F6" w:rsidRDefault="002B733E" w:rsidP="002B733E">
            <w:pPr>
              <w:pStyle w:val="7"/>
              <w:rPr>
                <w:rFonts w:cs="Times New Roman"/>
              </w:rPr>
            </w:pPr>
            <w:r w:rsidRPr="00FD50F6">
              <w:rPr>
                <w:rFonts w:cs="Times New Roman"/>
              </w:rPr>
              <w:t>±5</w:t>
            </w:r>
          </w:p>
        </w:tc>
        <w:tc>
          <w:tcPr>
            <w:tcW w:w="610" w:type="dxa"/>
            <w:vAlign w:val="center"/>
          </w:tcPr>
          <w:p w14:paraId="7F9BFCF6" w14:textId="77777777" w:rsidR="002B733E" w:rsidRPr="00FD50F6" w:rsidRDefault="002B733E" w:rsidP="002B733E">
            <w:pPr>
              <w:pStyle w:val="7"/>
              <w:rPr>
                <w:rFonts w:cs="Times New Roman"/>
              </w:rPr>
            </w:pPr>
            <w:r w:rsidRPr="00FD50F6">
              <w:rPr>
                <w:rFonts w:cs="Times New Roman"/>
              </w:rPr>
              <w:t>±5</w:t>
            </w:r>
          </w:p>
        </w:tc>
        <w:tc>
          <w:tcPr>
            <w:tcW w:w="650" w:type="dxa"/>
            <w:vAlign w:val="center"/>
          </w:tcPr>
          <w:p w14:paraId="1E44672D" w14:textId="77777777" w:rsidR="002B733E" w:rsidRPr="00FD50F6" w:rsidRDefault="002B733E" w:rsidP="002B733E">
            <w:pPr>
              <w:pStyle w:val="7"/>
              <w:rPr>
                <w:rFonts w:cs="Times New Roman"/>
              </w:rPr>
            </w:pPr>
            <w:r w:rsidRPr="00FD50F6">
              <w:rPr>
                <w:rFonts w:cs="Times New Roman"/>
              </w:rPr>
              <w:t>±1</w:t>
            </w:r>
          </w:p>
        </w:tc>
        <w:tc>
          <w:tcPr>
            <w:tcW w:w="626" w:type="dxa"/>
            <w:vAlign w:val="center"/>
          </w:tcPr>
          <w:p w14:paraId="4136DBED" w14:textId="77777777" w:rsidR="002B733E" w:rsidRPr="00FD50F6" w:rsidRDefault="002B733E" w:rsidP="002B733E">
            <w:pPr>
              <w:pStyle w:val="7"/>
              <w:rPr>
                <w:rFonts w:cs="Times New Roman"/>
              </w:rPr>
            </w:pPr>
            <w:r w:rsidRPr="00FD50F6">
              <w:rPr>
                <w:rFonts w:cs="Times New Roman"/>
              </w:rPr>
              <w:t>±2</w:t>
            </w:r>
          </w:p>
        </w:tc>
      </w:tr>
      <w:tr w:rsidR="00FD50F6" w:rsidRPr="00FD50F6" w14:paraId="296E23AE" w14:textId="77777777" w:rsidTr="002B733E">
        <w:tc>
          <w:tcPr>
            <w:tcW w:w="866" w:type="dxa"/>
            <w:vAlign w:val="center"/>
          </w:tcPr>
          <w:p w14:paraId="400FBEDB" w14:textId="77777777" w:rsidR="002B733E" w:rsidRPr="00FD50F6" w:rsidRDefault="002B733E" w:rsidP="002B733E">
            <w:pPr>
              <w:pStyle w:val="7"/>
              <w:rPr>
                <w:rFonts w:cs="Times New Roman"/>
              </w:rPr>
            </w:pPr>
            <w:r w:rsidRPr="00FD50F6">
              <w:rPr>
                <w:rFonts w:cs="Times New Roman"/>
              </w:rPr>
              <w:t>28</w:t>
            </w:r>
          </w:p>
        </w:tc>
        <w:tc>
          <w:tcPr>
            <w:tcW w:w="647" w:type="dxa"/>
            <w:vAlign w:val="center"/>
          </w:tcPr>
          <w:p w14:paraId="3719A15D" w14:textId="77777777" w:rsidR="002B733E" w:rsidRPr="00FD50F6" w:rsidRDefault="002B733E" w:rsidP="002B733E">
            <w:pPr>
              <w:pStyle w:val="7"/>
              <w:rPr>
                <w:rFonts w:cs="Times New Roman"/>
              </w:rPr>
            </w:pPr>
            <w:r w:rsidRPr="00FD50F6">
              <w:rPr>
                <w:rFonts w:cs="Times New Roman"/>
              </w:rPr>
              <w:t>4</w:t>
            </w:r>
          </w:p>
        </w:tc>
        <w:tc>
          <w:tcPr>
            <w:tcW w:w="587" w:type="dxa"/>
            <w:vAlign w:val="center"/>
          </w:tcPr>
          <w:p w14:paraId="6D504366" w14:textId="77777777" w:rsidR="002B733E" w:rsidRPr="00FD50F6" w:rsidRDefault="002B733E" w:rsidP="002B733E">
            <w:pPr>
              <w:pStyle w:val="7"/>
              <w:rPr>
                <w:rFonts w:cs="Times New Roman"/>
              </w:rPr>
            </w:pPr>
            <w:r w:rsidRPr="00FD50F6">
              <w:rPr>
                <w:rFonts w:cs="Times New Roman"/>
              </w:rPr>
              <w:t>8</w:t>
            </w:r>
          </w:p>
        </w:tc>
        <w:tc>
          <w:tcPr>
            <w:tcW w:w="575" w:type="dxa"/>
            <w:vAlign w:val="center"/>
          </w:tcPr>
          <w:p w14:paraId="3B369F5C" w14:textId="77777777" w:rsidR="002B733E" w:rsidRPr="00FD50F6" w:rsidRDefault="002B733E" w:rsidP="002B733E">
            <w:pPr>
              <w:pStyle w:val="7"/>
              <w:rPr>
                <w:rFonts w:cs="Times New Roman"/>
              </w:rPr>
            </w:pPr>
            <w:r w:rsidRPr="00FD50F6">
              <w:rPr>
                <w:rFonts w:cs="Times New Roman"/>
              </w:rPr>
              <w:t>16</w:t>
            </w:r>
          </w:p>
        </w:tc>
        <w:tc>
          <w:tcPr>
            <w:tcW w:w="601" w:type="dxa"/>
            <w:vAlign w:val="center"/>
          </w:tcPr>
          <w:p w14:paraId="398C5747" w14:textId="77777777" w:rsidR="002B733E" w:rsidRPr="00FD50F6" w:rsidRDefault="002B733E" w:rsidP="002B733E">
            <w:pPr>
              <w:pStyle w:val="7"/>
              <w:rPr>
                <w:rFonts w:cs="Times New Roman"/>
              </w:rPr>
            </w:pPr>
            <w:r w:rsidRPr="00FD50F6">
              <w:rPr>
                <w:rFonts w:cs="Times New Roman"/>
              </w:rPr>
              <w:t>15</w:t>
            </w:r>
          </w:p>
        </w:tc>
        <w:tc>
          <w:tcPr>
            <w:tcW w:w="575" w:type="dxa"/>
            <w:vAlign w:val="center"/>
          </w:tcPr>
          <w:p w14:paraId="57FD03E0" w14:textId="77777777" w:rsidR="002B733E" w:rsidRPr="00FD50F6" w:rsidRDefault="002B733E" w:rsidP="002B733E">
            <w:pPr>
              <w:pStyle w:val="7"/>
              <w:rPr>
                <w:rFonts w:cs="Times New Roman"/>
              </w:rPr>
            </w:pPr>
            <w:r w:rsidRPr="00FD50F6">
              <w:rPr>
                <w:rFonts w:cs="Times New Roman"/>
              </w:rPr>
              <w:t>4</w:t>
            </w:r>
          </w:p>
        </w:tc>
        <w:tc>
          <w:tcPr>
            <w:tcW w:w="630" w:type="dxa"/>
            <w:vAlign w:val="center"/>
          </w:tcPr>
          <w:p w14:paraId="208A9459" w14:textId="77777777" w:rsidR="002B733E" w:rsidRPr="00FD50F6" w:rsidRDefault="002B733E" w:rsidP="002B733E">
            <w:pPr>
              <w:pStyle w:val="7"/>
              <w:rPr>
                <w:rFonts w:cs="Times New Roman"/>
              </w:rPr>
            </w:pPr>
            <w:r w:rsidRPr="00FD50F6">
              <w:rPr>
                <w:rFonts w:cs="Times New Roman"/>
              </w:rPr>
              <w:t>7</w:t>
            </w:r>
          </w:p>
        </w:tc>
        <w:tc>
          <w:tcPr>
            <w:tcW w:w="708" w:type="dxa"/>
            <w:vAlign w:val="center"/>
          </w:tcPr>
          <w:p w14:paraId="7F69EA5A" w14:textId="77777777" w:rsidR="002B733E" w:rsidRPr="00FD50F6" w:rsidRDefault="002B733E" w:rsidP="002B733E">
            <w:pPr>
              <w:pStyle w:val="7"/>
              <w:rPr>
                <w:rFonts w:cs="Times New Roman"/>
              </w:rPr>
            </w:pPr>
            <w:r w:rsidRPr="00FD50F6">
              <w:rPr>
                <w:rFonts w:cs="Times New Roman"/>
              </w:rPr>
              <w:t>±1.7</w:t>
            </w:r>
          </w:p>
        </w:tc>
        <w:tc>
          <w:tcPr>
            <w:tcW w:w="922" w:type="dxa"/>
            <w:vAlign w:val="center"/>
          </w:tcPr>
          <w:p w14:paraId="1D507E9A" w14:textId="77777777" w:rsidR="002B733E" w:rsidRPr="00FD50F6" w:rsidRDefault="002B733E" w:rsidP="002B733E">
            <w:pPr>
              <w:pStyle w:val="7"/>
              <w:rPr>
                <w:rFonts w:cs="Times New Roman"/>
              </w:rPr>
            </w:pPr>
            <w:r w:rsidRPr="00FD50F6">
              <w:rPr>
                <w:rFonts w:cs="Times New Roman"/>
              </w:rPr>
              <w:t>±3.5</w:t>
            </w:r>
          </w:p>
        </w:tc>
        <w:tc>
          <w:tcPr>
            <w:tcW w:w="665" w:type="dxa"/>
            <w:vAlign w:val="center"/>
          </w:tcPr>
          <w:p w14:paraId="34158FD2" w14:textId="77777777" w:rsidR="002B733E" w:rsidRPr="00FD50F6" w:rsidRDefault="002B733E" w:rsidP="002B733E">
            <w:pPr>
              <w:pStyle w:val="7"/>
              <w:rPr>
                <w:rFonts w:cs="Times New Roman"/>
              </w:rPr>
            </w:pPr>
            <w:r w:rsidRPr="00FD50F6">
              <w:rPr>
                <w:rFonts w:cs="Times New Roman"/>
              </w:rPr>
              <w:t>±7</w:t>
            </w:r>
          </w:p>
        </w:tc>
        <w:tc>
          <w:tcPr>
            <w:tcW w:w="610" w:type="dxa"/>
            <w:vAlign w:val="center"/>
          </w:tcPr>
          <w:p w14:paraId="3A3B35C5" w14:textId="77777777" w:rsidR="002B733E" w:rsidRPr="00FD50F6" w:rsidRDefault="002B733E" w:rsidP="002B733E">
            <w:pPr>
              <w:pStyle w:val="7"/>
              <w:rPr>
                <w:rFonts w:cs="Times New Roman"/>
              </w:rPr>
            </w:pPr>
            <w:r w:rsidRPr="00FD50F6">
              <w:rPr>
                <w:rFonts w:cs="Times New Roman"/>
              </w:rPr>
              <w:t>±7</w:t>
            </w:r>
          </w:p>
        </w:tc>
        <w:tc>
          <w:tcPr>
            <w:tcW w:w="650" w:type="dxa"/>
            <w:vAlign w:val="center"/>
          </w:tcPr>
          <w:p w14:paraId="0C8A8F2D" w14:textId="77777777" w:rsidR="002B733E" w:rsidRPr="00FD50F6" w:rsidRDefault="002B733E" w:rsidP="002B733E">
            <w:pPr>
              <w:pStyle w:val="7"/>
              <w:rPr>
                <w:rFonts w:cs="Times New Roman"/>
              </w:rPr>
            </w:pPr>
            <w:r w:rsidRPr="00FD50F6">
              <w:rPr>
                <w:rFonts w:cs="Times New Roman"/>
              </w:rPr>
              <w:t>±2</w:t>
            </w:r>
          </w:p>
        </w:tc>
        <w:tc>
          <w:tcPr>
            <w:tcW w:w="626" w:type="dxa"/>
            <w:vAlign w:val="center"/>
          </w:tcPr>
          <w:p w14:paraId="3AA36533" w14:textId="77777777" w:rsidR="002B733E" w:rsidRPr="00FD50F6" w:rsidRDefault="002B733E" w:rsidP="002B733E">
            <w:pPr>
              <w:pStyle w:val="7"/>
              <w:rPr>
                <w:rFonts w:cs="Times New Roman"/>
              </w:rPr>
            </w:pPr>
            <w:r w:rsidRPr="00FD50F6">
              <w:rPr>
                <w:rFonts w:cs="Times New Roman"/>
              </w:rPr>
              <w:t>±3</w:t>
            </w:r>
          </w:p>
        </w:tc>
      </w:tr>
      <w:tr w:rsidR="00FD50F6" w:rsidRPr="00FD50F6" w14:paraId="473BAA29" w14:textId="77777777" w:rsidTr="002B733E">
        <w:tc>
          <w:tcPr>
            <w:tcW w:w="866" w:type="dxa"/>
            <w:vAlign w:val="center"/>
          </w:tcPr>
          <w:p w14:paraId="015B8F00" w14:textId="77777777" w:rsidR="002B733E" w:rsidRPr="00FD50F6" w:rsidRDefault="002B733E" w:rsidP="002B733E">
            <w:pPr>
              <w:pStyle w:val="7"/>
              <w:rPr>
                <w:rFonts w:cs="Times New Roman"/>
              </w:rPr>
            </w:pPr>
            <w:r w:rsidRPr="00FD50F6">
              <w:rPr>
                <w:rFonts w:cs="Times New Roman"/>
              </w:rPr>
              <w:t>38</w:t>
            </w:r>
          </w:p>
        </w:tc>
        <w:tc>
          <w:tcPr>
            <w:tcW w:w="647" w:type="dxa"/>
            <w:vAlign w:val="center"/>
          </w:tcPr>
          <w:p w14:paraId="30899CBD" w14:textId="77777777" w:rsidR="002B733E" w:rsidRPr="00FD50F6" w:rsidRDefault="002B733E" w:rsidP="002B733E">
            <w:pPr>
              <w:pStyle w:val="7"/>
              <w:rPr>
                <w:rFonts w:cs="Times New Roman"/>
              </w:rPr>
            </w:pPr>
            <w:r w:rsidRPr="00FD50F6">
              <w:rPr>
                <w:rFonts w:cs="Times New Roman"/>
              </w:rPr>
              <w:t>5</w:t>
            </w:r>
          </w:p>
        </w:tc>
        <w:tc>
          <w:tcPr>
            <w:tcW w:w="587" w:type="dxa"/>
            <w:vAlign w:val="center"/>
          </w:tcPr>
          <w:p w14:paraId="2A4EB8CF" w14:textId="77777777" w:rsidR="002B733E" w:rsidRPr="00FD50F6" w:rsidRDefault="002B733E" w:rsidP="002B733E">
            <w:pPr>
              <w:pStyle w:val="7"/>
              <w:rPr>
                <w:rFonts w:cs="Times New Roman"/>
              </w:rPr>
            </w:pPr>
            <w:r w:rsidRPr="00FD50F6">
              <w:rPr>
                <w:rFonts w:cs="Times New Roman"/>
              </w:rPr>
              <w:t>10</w:t>
            </w:r>
          </w:p>
        </w:tc>
        <w:tc>
          <w:tcPr>
            <w:tcW w:w="575" w:type="dxa"/>
            <w:vAlign w:val="center"/>
          </w:tcPr>
          <w:p w14:paraId="29149A61" w14:textId="77777777" w:rsidR="002B733E" w:rsidRPr="00FD50F6" w:rsidRDefault="002B733E" w:rsidP="002B733E">
            <w:pPr>
              <w:pStyle w:val="7"/>
              <w:rPr>
                <w:rFonts w:cs="Times New Roman"/>
              </w:rPr>
            </w:pPr>
            <w:r w:rsidRPr="00FD50F6">
              <w:rPr>
                <w:rFonts w:cs="Times New Roman"/>
              </w:rPr>
              <w:t>22</w:t>
            </w:r>
          </w:p>
        </w:tc>
        <w:tc>
          <w:tcPr>
            <w:tcW w:w="601" w:type="dxa"/>
            <w:vAlign w:val="center"/>
          </w:tcPr>
          <w:p w14:paraId="16734DC6" w14:textId="77777777" w:rsidR="002B733E" w:rsidRPr="00FD50F6" w:rsidRDefault="002B733E" w:rsidP="002B733E">
            <w:pPr>
              <w:pStyle w:val="7"/>
              <w:rPr>
                <w:rFonts w:cs="Times New Roman"/>
              </w:rPr>
            </w:pPr>
            <w:r w:rsidRPr="00FD50F6">
              <w:rPr>
                <w:rFonts w:cs="Times New Roman"/>
              </w:rPr>
              <w:t>20</w:t>
            </w:r>
          </w:p>
        </w:tc>
        <w:tc>
          <w:tcPr>
            <w:tcW w:w="575" w:type="dxa"/>
            <w:vAlign w:val="center"/>
          </w:tcPr>
          <w:p w14:paraId="607B6E8C" w14:textId="77777777" w:rsidR="002B733E" w:rsidRPr="00FD50F6" w:rsidRDefault="002B733E" w:rsidP="002B733E">
            <w:pPr>
              <w:pStyle w:val="7"/>
              <w:rPr>
                <w:rFonts w:cs="Times New Roman"/>
              </w:rPr>
            </w:pPr>
            <w:r w:rsidRPr="00FD50F6">
              <w:rPr>
                <w:rFonts w:cs="Times New Roman"/>
              </w:rPr>
              <w:t>5</w:t>
            </w:r>
          </w:p>
        </w:tc>
        <w:tc>
          <w:tcPr>
            <w:tcW w:w="630" w:type="dxa"/>
            <w:vAlign w:val="center"/>
          </w:tcPr>
          <w:p w14:paraId="7A4CC93C" w14:textId="77777777" w:rsidR="002B733E" w:rsidRPr="00FD50F6" w:rsidRDefault="002B733E" w:rsidP="002B733E">
            <w:pPr>
              <w:pStyle w:val="7"/>
              <w:rPr>
                <w:rFonts w:cs="Times New Roman"/>
              </w:rPr>
            </w:pPr>
            <w:r w:rsidRPr="00FD50F6">
              <w:rPr>
                <w:rFonts w:cs="Times New Roman"/>
              </w:rPr>
              <w:t>9</w:t>
            </w:r>
          </w:p>
        </w:tc>
        <w:tc>
          <w:tcPr>
            <w:tcW w:w="708" w:type="dxa"/>
            <w:vAlign w:val="center"/>
          </w:tcPr>
          <w:p w14:paraId="6ED0F92E" w14:textId="77777777" w:rsidR="002B733E" w:rsidRPr="00FD50F6" w:rsidRDefault="002B733E" w:rsidP="002B733E">
            <w:pPr>
              <w:pStyle w:val="7"/>
              <w:rPr>
                <w:rFonts w:cs="Times New Roman"/>
              </w:rPr>
            </w:pPr>
            <w:r w:rsidRPr="00FD50F6">
              <w:rPr>
                <w:rFonts w:cs="Times New Roman"/>
              </w:rPr>
              <w:t>±2.4</w:t>
            </w:r>
          </w:p>
        </w:tc>
        <w:tc>
          <w:tcPr>
            <w:tcW w:w="922" w:type="dxa"/>
            <w:vAlign w:val="center"/>
          </w:tcPr>
          <w:p w14:paraId="61F4599D" w14:textId="77777777" w:rsidR="002B733E" w:rsidRPr="00FD50F6" w:rsidRDefault="002B733E" w:rsidP="002B733E">
            <w:pPr>
              <w:pStyle w:val="7"/>
              <w:rPr>
                <w:rFonts w:cs="Times New Roman"/>
              </w:rPr>
            </w:pPr>
            <w:r w:rsidRPr="00FD50F6">
              <w:rPr>
                <w:rFonts w:cs="Times New Roman"/>
              </w:rPr>
              <w:t>±4.8</w:t>
            </w:r>
          </w:p>
        </w:tc>
        <w:tc>
          <w:tcPr>
            <w:tcW w:w="665" w:type="dxa"/>
            <w:vAlign w:val="center"/>
          </w:tcPr>
          <w:p w14:paraId="761EB845" w14:textId="77777777" w:rsidR="002B733E" w:rsidRPr="00FD50F6" w:rsidRDefault="002B733E" w:rsidP="002B733E">
            <w:pPr>
              <w:pStyle w:val="7"/>
              <w:rPr>
                <w:rFonts w:cs="Times New Roman"/>
              </w:rPr>
            </w:pPr>
            <w:r w:rsidRPr="00FD50F6">
              <w:rPr>
                <w:rFonts w:cs="Times New Roman"/>
              </w:rPr>
              <w:t>±10</w:t>
            </w:r>
          </w:p>
        </w:tc>
        <w:tc>
          <w:tcPr>
            <w:tcW w:w="610" w:type="dxa"/>
            <w:vAlign w:val="center"/>
          </w:tcPr>
          <w:p w14:paraId="13901FE9" w14:textId="77777777" w:rsidR="002B733E" w:rsidRPr="00FD50F6" w:rsidRDefault="002B733E" w:rsidP="002B733E">
            <w:pPr>
              <w:pStyle w:val="7"/>
              <w:rPr>
                <w:rFonts w:cs="Times New Roman"/>
              </w:rPr>
            </w:pPr>
            <w:r w:rsidRPr="00FD50F6">
              <w:rPr>
                <w:rFonts w:cs="Times New Roman"/>
              </w:rPr>
              <w:t>±9</w:t>
            </w:r>
          </w:p>
        </w:tc>
        <w:tc>
          <w:tcPr>
            <w:tcW w:w="650" w:type="dxa"/>
            <w:vAlign w:val="center"/>
          </w:tcPr>
          <w:p w14:paraId="1B24F667" w14:textId="77777777" w:rsidR="002B733E" w:rsidRPr="00FD50F6" w:rsidRDefault="002B733E" w:rsidP="002B733E">
            <w:pPr>
              <w:pStyle w:val="7"/>
              <w:rPr>
                <w:rFonts w:cs="Times New Roman"/>
              </w:rPr>
            </w:pPr>
            <w:r w:rsidRPr="00FD50F6">
              <w:rPr>
                <w:rFonts w:cs="Times New Roman"/>
              </w:rPr>
              <w:t>±2</w:t>
            </w:r>
          </w:p>
        </w:tc>
        <w:tc>
          <w:tcPr>
            <w:tcW w:w="626" w:type="dxa"/>
            <w:vAlign w:val="center"/>
          </w:tcPr>
          <w:p w14:paraId="740D8F34" w14:textId="77777777" w:rsidR="002B733E" w:rsidRPr="00FD50F6" w:rsidRDefault="002B733E" w:rsidP="002B733E">
            <w:pPr>
              <w:pStyle w:val="7"/>
              <w:rPr>
                <w:rFonts w:cs="Times New Roman"/>
              </w:rPr>
            </w:pPr>
            <w:r w:rsidRPr="00FD50F6">
              <w:rPr>
                <w:rFonts w:cs="Times New Roman"/>
              </w:rPr>
              <w:t>±4</w:t>
            </w:r>
          </w:p>
        </w:tc>
      </w:tr>
    </w:tbl>
    <w:p w14:paraId="56FBD2DD" w14:textId="11C24B1E" w:rsidR="002B733E" w:rsidRPr="002D74E7" w:rsidRDefault="002B733E" w:rsidP="002D74E7">
      <w:pPr>
        <w:spacing w:line="240" w:lineRule="auto"/>
        <w:ind w:leftChars="76" w:left="812" w:hangingChars="300" w:hanging="630"/>
        <w:rPr>
          <w:rFonts w:ascii="Calibri" w:hAnsi="Calibri" w:cs="Times New Roman"/>
          <w:sz w:val="21"/>
        </w:rPr>
      </w:pPr>
      <w:r w:rsidRPr="002D74E7">
        <w:rPr>
          <w:rFonts w:ascii="Calibri" w:hAnsi="Calibri" w:cs="Times New Roman" w:hint="eastAsia"/>
          <w:sz w:val="21"/>
        </w:rPr>
        <w:t>注</w:t>
      </w:r>
      <w:r w:rsidR="00170715" w:rsidRPr="002D74E7">
        <w:rPr>
          <w:rFonts w:ascii="Calibri" w:hAnsi="Calibri" w:cs="Times New Roman" w:hint="eastAsia"/>
          <w:sz w:val="21"/>
        </w:rPr>
        <w:t>：</w:t>
      </w:r>
      <w:r w:rsidRPr="002D74E7">
        <w:rPr>
          <w:rFonts w:ascii="Calibri" w:hAnsi="Calibri" w:cs="Times New Roman"/>
          <w:sz w:val="21"/>
        </w:rPr>
        <w:t>1</w:t>
      </w:r>
      <w:r w:rsidRPr="002D74E7">
        <w:rPr>
          <w:rFonts w:ascii="Calibri" w:hAnsi="Calibri" w:cs="Times New Roman" w:hint="eastAsia"/>
          <w:sz w:val="21"/>
        </w:rPr>
        <w:t>横向偏移量计算值按车顶处</w:t>
      </w:r>
      <w:r w:rsidRPr="002D74E7">
        <w:rPr>
          <w:rFonts w:ascii="Calibri" w:hAnsi="Calibri" w:cs="Times New Roman"/>
          <w:sz w:val="21"/>
        </w:rPr>
        <w:t>Z=3800mm</w:t>
      </w:r>
      <w:r w:rsidRPr="002D74E7">
        <w:rPr>
          <w:rFonts w:ascii="Calibri" w:hAnsi="Calibri" w:cs="Times New Roman" w:hint="eastAsia"/>
          <w:sz w:val="21"/>
        </w:rPr>
        <w:t>计算，车底架下边梁处加宽量为</w:t>
      </w:r>
      <w:r w:rsidRPr="002D74E7">
        <w:rPr>
          <w:rFonts w:ascii="Calibri" w:hAnsi="Calibri" w:cs="Times New Roman"/>
          <w:sz w:val="21"/>
        </w:rPr>
        <w:t>0</w:t>
      </w:r>
      <w:r w:rsidRPr="002D74E7">
        <w:rPr>
          <w:rFonts w:ascii="Calibri" w:hAnsi="Calibri" w:cs="Times New Roman" w:hint="eastAsia"/>
          <w:sz w:val="21"/>
        </w:rPr>
        <w:t>，其余各控制点的偏移量采用插入法计算。</w:t>
      </w:r>
    </w:p>
    <w:p w14:paraId="15D55EAD" w14:textId="31845141" w:rsidR="002B733E" w:rsidRPr="002D74E7" w:rsidRDefault="002B733E" w:rsidP="002D74E7">
      <w:pPr>
        <w:spacing w:line="240" w:lineRule="auto"/>
        <w:ind w:left="825" w:hangingChars="393" w:hanging="825"/>
        <w:rPr>
          <w:rFonts w:ascii="Calibri" w:hAnsi="Calibri" w:cs="Times New Roman"/>
          <w:sz w:val="21"/>
        </w:rPr>
      </w:pPr>
      <w:r w:rsidRPr="002D74E7">
        <w:rPr>
          <w:rFonts w:ascii="Calibri" w:hAnsi="Calibri" w:cs="Times New Roman"/>
          <w:sz w:val="21"/>
        </w:rPr>
        <w:t xml:space="preserve">      </w:t>
      </w:r>
      <w:r w:rsidR="00170715" w:rsidRPr="002D74E7">
        <w:rPr>
          <w:rFonts w:ascii="Calibri" w:hAnsi="Calibri" w:cs="Times New Roman"/>
          <w:sz w:val="21"/>
        </w:rPr>
        <w:t xml:space="preserve">      </w:t>
      </w:r>
      <w:r w:rsidRPr="002D74E7">
        <w:rPr>
          <w:rFonts w:ascii="Calibri" w:hAnsi="Calibri" w:cs="Times New Roman"/>
          <w:sz w:val="21"/>
        </w:rPr>
        <w:t xml:space="preserve"> 2 </w:t>
      </w:r>
      <w:r w:rsidRPr="002D74E7">
        <w:rPr>
          <w:rFonts w:ascii="Calibri" w:hAnsi="Calibri" w:cs="Times New Roman" w:hint="eastAsia"/>
          <w:sz w:val="21"/>
        </w:rPr>
        <w:t>竖向偏移量计算值按车体肩部处的横坐标值计算：</w:t>
      </w:r>
      <w:r w:rsidRPr="002D74E7">
        <w:rPr>
          <w:rFonts w:ascii="Calibri" w:hAnsi="Calibri" w:cs="Times New Roman"/>
          <w:sz w:val="21"/>
        </w:rPr>
        <w:t>A</w:t>
      </w:r>
      <w:r w:rsidRPr="002D74E7">
        <w:rPr>
          <w:rFonts w:ascii="Calibri" w:hAnsi="Calibri" w:cs="Times New Roman" w:hint="eastAsia"/>
          <w:sz w:val="21"/>
        </w:rPr>
        <w:t>型车取</w:t>
      </w:r>
      <w:r w:rsidRPr="002D74E7">
        <w:rPr>
          <w:rFonts w:ascii="Calibri" w:hAnsi="Calibri" w:cs="Times New Roman"/>
          <w:sz w:val="21"/>
        </w:rPr>
        <w:t>1450mm</w:t>
      </w:r>
      <w:r w:rsidRPr="002D74E7">
        <w:rPr>
          <w:rFonts w:ascii="Calibri" w:hAnsi="Calibri" w:cs="Times New Roman" w:hint="eastAsia"/>
          <w:sz w:val="21"/>
        </w:rPr>
        <w:t>，</w:t>
      </w:r>
      <w:r w:rsidRPr="002D74E7">
        <w:rPr>
          <w:rFonts w:ascii="Calibri" w:hAnsi="Calibri" w:cs="Times New Roman"/>
          <w:sz w:val="21"/>
        </w:rPr>
        <w:t>B</w:t>
      </w:r>
      <w:r w:rsidRPr="002D74E7">
        <w:rPr>
          <w:rFonts w:ascii="Calibri" w:hAnsi="Calibri" w:cs="Times New Roman" w:hint="eastAsia"/>
          <w:sz w:val="21"/>
        </w:rPr>
        <w:t>型车取</w:t>
      </w:r>
      <w:r w:rsidRPr="002D74E7">
        <w:rPr>
          <w:rFonts w:ascii="Calibri" w:hAnsi="Calibri" w:cs="Times New Roman"/>
          <w:sz w:val="21"/>
        </w:rPr>
        <w:t>1318mm</w:t>
      </w:r>
      <w:r w:rsidRPr="002D74E7">
        <w:rPr>
          <w:rFonts w:ascii="Calibri" w:hAnsi="Calibri" w:cs="Times New Roman" w:hint="eastAsia"/>
          <w:sz w:val="21"/>
        </w:rPr>
        <w:t>；当采用过超高时，曲线内侧求得的竖向偏移量为负值，曲线外侧求得的竖向偏移量为正值；当采用欠超高时，曲线外侧求得的竖向偏移量为负值，曲线内侧求得的竖向偏移量为正值。</w:t>
      </w:r>
    </w:p>
    <w:p w14:paraId="359DC606" w14:textId="21BDA4B8" w:rsidR="002B733E" w:rsidRPr="002D74E7" w:rsidRDefault="002B733E" w:rsidP="002B733E">
      <w:pPr>
        <w:spacing w:line="240" w:lineRule="auto"/>
        <w:rPr>
          <w:rFonts w:ascii="Calibri" w:hAnsi="Calibri" w:cs="Times New Roman"/>
          <w:sz w:val="21"/>
        </w:rPr>
      </w:pPr>
      <w:r w:rsidRPr="002D74E7">
        <w:rPr>
          <w:rFonts w:ascii="Calibri" w:hAnsi="Calibri" w:cs="Times New Roman"/>
          <w:sz w:val="21"/>
        </w:rPr>
        <w:t xml:space="preserve">       </w:t>
      </w:r>
      <w:r w:rsidR="00170715" w:rsidRPr="002D74E7">
        <w:rPr>
          <w:rFonts w:ascii="Calibri" w:hAnsi="Calibri" w:cs="Times New Roman"/>
          <w:sz w:val="21"/>
        </w:rPr>
        <w:t xml:space="preserve">     </w:t>
      </w:r>
      <w:r w:rsidRPr="002D74E7">
        <w:rPr>
          <w:rFonts w:ascii="Calibri" w:hAnsi="Calibri" w:cs="Times New Roman"/>
          <w:sz w:val="21"/>
        </w:rPr>
        <w:t>3</w:t>
      </w:r>
      <w:r w:rsidRPr="002D74E7">
        <w:rPr>
          <w:rFonts w:ascii="Calibri" w:hAnsi="Calibri" w:cs="Times New Roman" w:hint="eastAsia"/>
          <w:sz w:val="21"/>
        </w:rPr>
        <w:t>本表只适用于计算站台计算长度内的曲线车辆限界值。</w:t>
      </w:r>
    </w:p>
    <w:p w14:paraId="00C2B058" w14:textId="77777777" w:rsidR="002B733E" w:rsidRPr="00FD50F6" w:rsidRDefault="002B733E" w:rsidP="002B733E">
      <w:pPr>
        <w:pStyle w:val="8"/>
        <w:ind w:firstLine="480"/>
      </w:pPr>
      <w:r w:rsidRPr="00FD50F6">
        <w:rPr>
          <w:rFonts w:hint="eastAsia"/>
        </w:rPr>
        <w:t>3</w:t>
      </w:r>
      <w:r w:rsidRPr="00FD50F6">
        <w:t xml:space="preserve"> </w:t>
      </w:r>
      <w:r w:rsidRPr="00FD50F6">
        <w:rPr>
          <w:rFonts w:hint="eastAsia"/>
        </w:rPr>
        <w:t>过超高或欠超高引起的设备限界加宽或加高量可按表</w:t>
      </w:r>
      <w:r w:rsidRPr="00FD50F6">
        <w:rPr>
          <w:rFonts w:hint="eastAsia"/>
        </w:rPr>
        <w:t>F.0.2-4</w:t>
      </w:r>
      <w:r w:rsidRPr="00FD50F6">
        <w:rPr>
          <w:rFonts w:hint="eastAsia"/>
        </w:rPr>
        <w:t>确定；</w:t>
      </w:r>
    </w:p>
    <w:p w14:paraId="47F3E37B" w14:textId="77777777" w:rsidR="002B733E" w:rsidRPr="00FD50F6" w:rsidRDefault="002B733E" w:rsidP="002B733E">
      <w:pPr>
        <w:pStyle w:val="6"/>
      </w:pPr>
      <w:r w:rsidRPr="00FD50F6">
        <w:rPr>
          <w:rFonts w:hint="eastAsia"/>
        </w:rPr>
        <w:t>表</w:t>
      </w:r>
      <w:r w:rsidRPr="00FD50F6">
        <w:rPr>
          <w:rFonts w:hint="eastAsia"/>
        </w:rPr>
        <w:t>F</w:t>
      </w:r>
      <w:r w:rsidRPr="00FD50F6">
        <w:t>.</w:t>
      </w:r>
      <w:r w:rsidRPr="00FD50F6">
        <w:rPr>
          <w:rFonts w:hint="eastAsia"/>
        </w:rPr>
        <w:t>0.</w:t>
      </w:r>
      <w:r w:rsidRPr="00FD50F6">
        <w:t>2-</w:t>
      </w:r>
      <w:r w:rsidRPr="00FD50F6">
        <w:rPr>
          <w:rFonts w:hint="eastAsia"/>
        </w:rPr>
        <w:t xml:space="preserve">4  </w:t>
      </w:r>
      <w:r w:rsidRPr="00FD50F6">
        <w:rPr>
          <w:rFonts w:hint="eastAsia"/>
        </w:rPr>
        <w:t>过超高或欠超高引起的设备限界加宽或加高量</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657"/>
        <w:gridCol w:w="704"/>
        <w:gridCol w:w="658"/>
        <w:gridCol w:w="715"/>
        <w:gridCol w:w="670"/>
        <w:gridCol w:w="669"/>
        <w:gridCol w:w="723"/>
        <w:gridCol w:w="840"/>
        <w:gridCol w:w="765"/>
        <w:gridCol w:w="788"/>
        <w:gridCol w:w="784"/>
        <w:gridCol w:w="659"/>
      </w:tblGrid>
      <w:tr w:rsidR="00FD50F6" w:rsidRPr="00FD50F6" w14:paraId="42401F02" w14:textId="77777777" w:rsidTr="002B733E">
        <w:trPr>
          <w:jc w:val="center"/>
        </w:trPr>
        <w:tc>
          <w:tcPr>
            <w:tcW w:w="706" w:type="dxa"/>
            <w:vMerge w:val="restart"/>
            <w:vAlign w:val="center"/>
          </w:tcPr>
          <w:p w14:paraId="726AB269" w14:textId="77777777" w:rsidR="002B733E" w:rsidRPr="00FD50F6" w:rsidRDefault="002B733E" w:rsidP="002B733E">
            <w:pPr>
              <w:pStyle w:val="7"/>
              <w:rPr>
                <w:rFonts w:cs="Times New Roman"/>
              </w:rPr>
            </w:pPr>
            <w:r w:rsidRPr="00FD50F6">
              <w:rPr>
                <w:rFonts w:cs="Times New Roman"/>
              </w:rPr>
              <w:t>过超高或欠超高值（</w:t>
            </w:r>
            <w:r w:rsidRPr="00FD50F6">
              <w:rPr>
                <w:rFonts w:cs="Times New Roman"/>
              </w:rPr>
              <w:t>mm</w:t>
            </w:r>
            <w:r w:rsidRPr="00FD50F6">
              <w:rPr>
                <w:rFonts w:cs="Times New Roman"/>
              </w:rPr>
              <w:t>）</w:t>
            </w:r>
          </w:p>
        </w:tc>
        <w:tc>
          <w:tcPr>
            <w:tcW w:w="4073" w:type="dxa"/>
            <w:gridSpan w:val="6"/>
            <w:vAlign w:val="center"/>
          </w:tcPr>
          <w:p w14:paraId="024B4B74" w14:textId="77777777" w:rsidR="002B733E" w:rsidRPr="00FD50F6" w:rsidRDefault="002B733E" w:rsidP="002B733E">
            <w:pPr>
              <w:pStyle w:val="7"/>
              <w:rPr>
                <w:rFonts w:cs="Times New Roman"/>
              </w:rPr>
            </w:pPr>
            <w:r w:rsidRPr="00FD50F6">
              <w:rPr>
                <w:rFonts w:cs="Times New Roman"/>
              </w:rPr>
              <w:t>横向偏移量（</w:t>
            </w:r>
            <w:r w:rsidRPr="00FD50F6">
              <w:rPr>
                <w:rFonts w:cs="Times New Roman"/>
              </w:rPr>
              <w:t>mm</w:t>
            </w:r>
            <w:r w:rsidRPr="00FD50F6">
              <w:rPr>
                <w:rFonts w:cs="Times New Roman"/>
              </w:rPr>
              <w:t>）</w:t>
            </w:r>
            <w:r w:rsidRPr="00FD50F6">
              <w:rPr>
                <w:rFonts w:ascii="宋体" w:hAnsi="宋体" w:cs="宋体" w:hint="eastAsia"/>
              </w:rPr>
              <w:t>△</w:t>
            </w:r>
            <w:r w:rsidRPr="001A4CF3">
              <w:rPr>
                <w:rFonts w:cs="Times New Roman"/>
                <w:i/>
                <w:iCs/>
              </w:rPr>
              <w:t>Y</w:t>
            </w:r>
            <w:r w:rsidRPr="001A4CF3">
              <w:rPr>
                <w:rFonts w:cs="Times New Roman"/>
                <w:i/>
                <w:iCs/>
                <w:vertAlign w:val="subscript"/>
              </w:rPr>
              <w:t>Qa</w:t>
            </w:r>
            <w:r w:rsidRPr="00FD50F6">
              <w:rPr>
                <w:rFonts w:cs="Times New Roman"/>
              </w:rPr>
              <w:t>或</w:t>
            </w:r>
            <w:r w:rsidRPr="00FD50F6">
              <w:rPr>
                <w:rFonts w:ascii="宋体" w:hAnsi="宋体" w:cs="宋体" w:hint="eastAsia"/>
              </w:rPr>
              <w:t>△</w:t>
            </w:r>
            <w:r w:rsidRPr="001A4CF3">
              <w:rPr>
                <w:rFonts w:cs="Times New Roman"/>
                <w:i/>
                <w:iCs/>
              </w:rPr>
              <w:t>Y</w:t>
            </w:r>
            <w:r w:rsidRPr="001A4CF3">
              <w:rPr>
                <w:rFonts w:cs="Times New Roman"/>
                <w:i/>
                <w:iCs/>
                <w:vertAlign w:val="subscript"/>
              </w:rPr>
              <w:t>Qi</w:t>
            </w:r>
          </w:p>
        </w:tc>
        <w:tc>
          <w:tcPr>
            <w:tcW w:w="4559" w:type="dxa"/>
            <w:gridSpan w:val="6"/>
            <w:vAlign w:val="center"/>
          </w:tcPr>
          <w:p w14:paraId="1D9A446F" w14:textId="77777777" w:rsidR="002B733E" w:rsidRPr="00FD50F6" w:rsidRDefault="002B733E" w:rsidP="002B733E">
            <w:pPr>
              <w:pStyle w:val="7"/>
              <w:rPr>
                <w:rFonts w:cs="Times New Roman"/>
              </w:rPr>
            </w:pPr>
            <w:r w:rsidRPr="00FD50F6">
              <w:rPr>
                <w:rFonts w:cs="Times New Roman"/>
              </w:rPr>
              <w:t>竖向偏移量（</w:t>
            </w:r>
            <w:r w:rsidRPr="00FD50F6">
              <w:rPr>
                <w:rFonts w:cs="Times New Roman"/>
              </w:rPr>
              <w:t>mm</w:t>
            </w:r>
            <w:r w:rsidRPr="00FD50F6">
              <w:rPr>
                <w:rFonts w:cs="Times New Roman"/>
              </w:rPr>
              <w:t>）</w:t>
            </w:r>
            <w:r w:rsidRPr="00FD50F6">
              <w:rPr>
                <w:rFonts w:ascii="宋体" w:hAnsi="宋体" w:cs="宋体" w:hint="eastAsia"/>
              </w:rPr>
              <w:t>△</w:t>
            </w:r>
            <w:r w:rsidRPr="001A4CF3">
              <w:rPr>
                <w:rFonts w:cs="Times New Roman"/>
                <w:i/>
                <w:iCs/>
              </w:rPr>
              <w:t>Z</w:t>
            </w:r>
            <w:r w:rsidRPr="001A4CF3">
              <w:rPr>
                <w:rFonts w:cs="Times New Roman"/>
                <w:i/>
                <w:iCs/>
                <w:vertAlign w:val="subscript"/>
              </w:rPr>
              <w:t>Qa</w:t>
            </w:r>
            <w:r w:rsidRPr="00FD50F6">
              <w:rPr>
                <w:rFonts w:cs="Times New Roman"/>
              </w:rPr>
              <w:t xml:space="preserve"> </w:t>
            </w:r>
            <w:r w:rsidRPr="00FD50F6">
              <w:rPr>
                <w:rFonts w:cs="Times New Roman"/>
              </w:rPr>
              <w:t>或</w:t>
            </w:r>
            <w:r w:rsidRPr="00FD50F6">
              <w:rPr>
                <w:rFonts w:ascii="宋体" w:hAnsi="宋体" w:cs="宋体" w:hint="eastAsia"/>
              </w:rPr>
              <w:t>△</w:t>
            </w:r>
            <w:r w:rsidRPr="001A4CF3">
              <w:rPr>
                <w:rFonts w:cs="Times New Roman"/>
                <w:i/>
                <w:iCs/>
              </w:rPr>
              <w:t>Z</w:t>
            </w:r>
            <w:r w:rsidRPr="001A4CF3">
              <w:rPr>
                <w:rFonts w:cs="Times New Roman"/>
                <w:i/>
                <w:iCs/>
                <w:vertAlign w:val="subscript"/>
              </w:rPr>
              <w:t>Qi</w:t>
            </w:r>
            <w:r w:rsidRPr="001A4CF3">
              <w:rPr>
                <w:rFonts w:cs="Times New Roman"/>
                <w:i/>
                <w:iCs/>
              </w:rPr>
              <w:t xml:space="preserve"> </w:t>
            </w:r>
          </w:p>
        </w:tc>
      </w:tr>
      <w:tr w:rsidR="00FD50F6" w:rsidRPr="00FD50F6" w14:paraId="021E3542" w14:textId="77777777" w:rsidTr="002B733E">
        <w:trPr>
          <w:trHeight w:val="388"/>
          <w:jc w:val="center"/>
        </w:trPr>
        <w:tc>
          <w:tcPr>
            <w:tcW w:w="706" w:type="dxa"/>
            <w:vMerge/>
            <w:vAlign w:val="center"/>
          </w:tcPr>
          <w:p w14:paraId="30F2618D" w14:textId="77777777" w:rsidR="002B733E" w:rsidRPr="00FD50F6" w:rsidRDefault="002B733E" w:rsidP="002B733E">
            <w:pPr>
              <w:pStyle w:val="7"/>
              <w:rPr>
                <w:rFonts w:cs="Times New Roman"/>
              </w:rPr>
            </w:pPr>
          </w:p>
        </w:tc>
        <w:tc>
          <w:tcPr>
            <w:tcW w:w="1361" w:type="dxa"/>
            <w:gridSpan w:val="2"/>
            <w:vAlign w:val="center"/>
          </w:tcPr>
          <w:p w14:paraId="5D951F2F" w14:textId="77777777" w:rsidR="002B733E" w:rsidRPr="00FD50F6" w:rsidRDefault="002B733E" w:rsidP="002B733E">
            <w:pPr>
              <w:pStyle w:val="7"/>
              <w:rPr>
                <w:rFonts w:cs="Times New Roman"/>
              </w:rPr>
            </w:pPr>
            <w:r w:rsidRPr="00FD50F6">
              <w:rPr>
                <w:rFonts w:cs="Times New Roman"/>
              </w:rPr>
              <w:t>A</w:t>
            </w:r>
            <w:r w:rsidRPr="00FD50F6">
              <w:rPr>
                <w:rFonts w:cs="Times New Roman"/>
              </w:rPr>
              <w:t>型车</w:t>
            </w:r>
          </w:p>
        </w:tc>
        <w:tc>
          <w:tcPr>
            <w:tcW w:w="2712" w:type="dxa"/>
            <w:gridSpan w:val="4"/>
            <w:vAlign w:val="center"/>
          </w:tcPr>
          <w:p w14:paraId="3CDA3A6C" w14:textId="77777777" w:rsidR="002B733E" w:rsidRPr="00FD50F6" w:rsidRDefault="002B733E" w:rsidP="002B733E">
            <w:pPr>
              <w:pStyle w:val="7"/>
              <w:rPr>
                <w:rFonts w:cs="Times New Roman"/>
              </w:rPr>
            </w:pPr>
            <w:r w:rsidRPr="00FD50F6">
              <w:rPr>
                <w:rFonts w:cs="Times New Roman"/>
              </w:rPr>
              <w:t>B</w:t>
            </w:r>
            <w:r w:rsidRPr="00FD50F6">
              <w:rPr>
                <w:rFonts w:cs="Times New Roman"/>
              </w:rPr>
              <w:t>型车</w:t>
            </w:r>
          </w:p>
        </w:tc>
        <w:tc>
          <w:tcPr>
            <w:tcW w:w="1563" w:type="dxa"/>
            <w:gridSpan w:val="2"/>
            <w:vAlign w:val="center"/>
          </w:tcPr>
          <w:p w14:paraId="1B000DBD" w14:textId="77777777" w:rsidR="002B733E" w:rsidRPr="00FD50F6" w:rsidRDefault="002B733E" w:rsidP="002B733E">
            <w:pPr>
              <w:pStyle w:val="7"/>
              <w:rPr>
                <w:rFonts w:cs="Times New Roman"/>
              </w:rPr>
            </w:pPr>
            <w:r w:rsidRPr="00FD50F6">
              <w:rPr>
                <w:rFonts w:cs="Times New Roman"/>
              </w:rPr>
              <w:t>A</w:t>
            </w:r>
            <w:r w:rsidRPr="00FD50F6">
              <w:rPr>
                <w:rFonts w:cs="Times New Roman"/>
              </w:rPr>
              <w:t>型车</w:t>
            </w:r>
          </w:p>
        </w:tc>
        <w:tc>
          <w:tcPr>
            <w:tcW w:w="2996" w:type="dxa"/>
            <w:gridSpan w:val="4"/>
            <w:vAlign w:val="center"/>
          </w:tcPr>
          <w:p w14:paraId="6C1BD098" w14:textId="77777777" w:rsidR="002B733E" w:rsidRPr="00FD50F6" w:rsidRDefault="002B733E" w:rsidP="002B733E">
            <w:pPr>
              <w:pStyle w:val="7"/>
              <w:rPr>
                <w:rFonts w:cs="Times New Roman"/>
              </w:rPr>
            </w:pPr>
            <w:r w:rsidRPr="00FD50F6">
              <w:rPr>
                <w:rFonts w:cs="Times New Roman"/>
              </w:rPr>
              <w:t>B</w:t>
            </w:r>
            <w:r w:rsidRPr="00FD50F6">
              <w:rPr>
                <w:rFonts w:cs="Times New Roman"/>
              </w:rPr>
              <w:t>型车</w:t>
            </w:r>
          </w:p>
        </w:tc>
      </w:tr>
      <w:tr w:rsidR="00FD50F6" w:rsidRPr="00FD50F6" w14:paraId="7BD4C37F" w14:textId="77777777" w:rsidTr="002B733E">
        <w:trPr>
          <w:trHeight w:val="396"/>
          <w:jc w:val="center"/>
        </w:trPr>
        <w:tc>
          <w:tcPr>
            <w:tcW w:w="706" w:type="dxa"/>
            <w:vMerge/>
            <w:vAlign w:val="center"/>
          </w:tcPr>
          <w:p w14:paraId="5BEDD6F4" w14:textId="77777777" w:rsidR="002B733E" w:rsidRPr="00FD50F6" w:rsidRDefault="002B733E" w:rsidP="002B733E">
            <w:pPr>
              <w:pStyle w:val="7"/>
              <w:rPr>
                <w:rFonts w:cs="Times New Roman"/>
              </w:rPr>
            </w:pPr>
          </w:p>
        </w:tc>
        <w:tc>
          <w:tcPr>
            <w:tcW w:w="657" w:type="dxa"/>
            <w:vMerge w:val="restart"/>
            <w:vAlign w:val="center"/>
          </w:tcPr>
          <w:p w14:paraId="4E5C2E67" w14:textId="77777777" w:rsidR="002B733E" w:rsidRPr="00FD50F6" w:rsidRDefault="002B733E" w:rsidP="002B733E">
            <w:pPr>
              <w:pStyle w:val="7"/>
              <w:rPr>
                <w:rFonts w:cs="Times New Roman"/>
              </w:rPr>
            </w:pPr>
            <w:r w:rsidRPr="00FD50F6">
              <w:rPr>
                <w:rFonts w:cs="Times New Roman"/>
              </w:rPr>
              <w:t>AW0</w:t>
            </w:r>
          </w:p>
        </w:tc>
        <w:tc>
          <w:tcPr>
            <w:tcW w:w="704" w:type="dxa"/>
            <w:vMerge w:val="restart"/>
            <w:vAlign w:val="center"/>
          </w:tcPr>
          <w:p w14:paraId="416CF524" w14:textId="77777777" w:rsidR="002B733E" w:rsidRPr="00FD50F6" w:rsidRDefault="002B733E" w:rsidP="002B733E">
            <w:pPr>
              <w:pStyle w:val="7"/>
              <w:rPr>
                <w:rFonts w:cs="Times New Roman"/>
              </w:rPr>
            </w:pPr>
            <w:r w:rsidRPr="00FD50F6">
              <w:rPr>
                <w:rFonts w:cs="Times New Roman"/>
              </w:rPr>
              <w:t>AW3</w:t>
            </w:r>
          </w:p>
        </w:tc>
        <w:tc>
          <w:tcPr>
            <w:tcW w:w="1373" w:type="dxa"/>
            <w:gridSpan w:val="2"/>
            <w:vMerge w:val="restart"/>
            <w:vAlign w:val="center"/>
          </w:tcPr>
          <w:p w14:paraId="0C054A1C" w14:textId="77777777" w:rsidR="002B733E" w:rsidRPr="00FD50F6" w:rsidRDefault="002B733E" w:rsidP="002B733E">
            <w:pPr>
              <w:pStyle w:val="7"/>
              <w:rPr>
                <w:rFonts w:cs="Times New Roman"/>
              </w:rPr>
            </w:pPr>
            <w:r w:rsidRPr="00FD50F6">
              <w:rPr>
                <w:rFonts w:cs="Times New Roman"/>
              </w:rPr>
              <w:t>无扭杆</w:t>
            </w:r>
          </w:p>
        </w:tc>
        <w:tc>
          <w:tcPr>
            <w:tcW w:w="1339" w:type="dxa"/>
            <w:gridSpan w:val="2"/>
            <w:vMerge w:val="restart"/>
            <w:vAlign w:val="center"/>
          </w:tcPr>
          <w:p w14:paraId="41F8DA74" w14:textId="77777777" w:rsidR="002B733E" w:rsidRPr="00FD50F6" w:rsidRDefault="002B733E" w:rsidP="002B733E">
            <w:pPr>
              <w:pStyle w:val="7"/>
              <w:rPr>
                <w:rFonts w:cs="Times New Roman"/>
              </w:rPr>
            </w:pPr>
            <w:r w:rsidRPr="00FD50F6">
              <w:rPr>
                <w:rFonts w:cs="Times New Roman"/>
              </w:rPr>
              <w:t>有扭杆</w:t>
            </w:r>
          </w:p>
        </w:tc>
        <w:tc>
          <w:tcPr>
            <w:tcW w:w="723" w:type="dxa"/>
            <w:vMerge w:val="restart"/>
            <w:vAlign w:val="center"/>
          </w:tcPr>
          <w:p w14:paraId="02E17C85" w14:textId="77777777" w:rsidR="002B733E" w:rsidRPr="00FD50F6" w:rsidRDefault="002B733E" w:rsidP="002B733E">
            <w:pPr>
              <w:pStyle w:val="7"/>
              <w:rPr>
                <w:rFonts w:cs="Times New Roman"/>
              </w:rPr>
            </w:pPr>
            <w:r w:rsidRPr="00FD50F6">
              <w:rPr>
                <w:rFonts w:cs="Times New Roman"/>
              </w:rPr>
              <w:t>AW0</w:t>
            </w:r>
          </w:p>
        </w:tc>
        <w:tc>
          <w:tcPr>
            <w:tcW w:w="840" w:type="dxa"/>
            <w:vMerge w:val="restart"/>
            <w:vAlign w:val="center"/>
          </w:tcPr>
          <w:p w14:paraId="1F72AEC5" w14:textId="77777777" w:rsidR="002B733E" w:rsidRPr="00FD50F6" w:rsidRDefault="002B733E" w:rsidP="002B733E">
            <w:pPr>
              <w:pStyle w:val="7"/>
              <w:rPr>
                <w:rFonts w:cs="Times New Roman"/>
              </w:rPr>
            </w:pPr>
            <w:r w:rsidRPr="00FD50F6">
              <w:rPr>
                <w:rFonts w:cs="Times New Roman"/>
              </w:rPr>
              <w:t>AW3</w:t>
            </w:r>
          </w:p>
        </w:tc>
        <w:tc>
          <w:tcPr>
            <w:tcW w:w="1553" w:type="dxa"/>
            <w:gridSpan w:val="2"/>
            <w:vAlign w:val="center"/>
          </w:tcPr>
          <w:p w14:paraId="0DA774BE" w14:textId="77777777" w:rsidR="002B733E" w:rsidRPr="00FD50F6" w:rsidRDefault="002B733E" w:rsidP="002B733E">
            <w:pPr>
              <w:pStyle w:val="7"/>
              <w:rPr>
                <w:rFonts w:cs="Times New Roman"/>
              </w:rPr>
            </w:pPr>
            <w:r w:rsidRPr="00FD50F6">
              <w:rPr>
                <w:rFonts w:cs="Times New Roman"/>
              </w:rPr>
              <w:t>无扭杆</w:t>
            </w:r>
          </w:p>
        </w:tc>
        <w:tc>
          <w:tcPr>
            <w:tcW w:w="1443" w:type="dxa"/>
            <w:gridSpan w:val="2"/>
            <w:vAlign w:val="center"/>
          </w:tcPr>
          <w:p w14:paraId="6C3657D7" w14:textId="77777777" w:rsidR="002B733E" w:rsidRPr="00FD50F6" w:rsidRDefault="002B733E" w:rsidP="002B733E">
            <w:pPr>
              <w:pStyle w:val="7"/>
              <w:rPr>
                <w:rFonts w:cs="Times New Roman"/>
              </w:rPr>
            </w:pPr>
            <w:r w:rsidRPr="00FD50F6">
              <w:rPr>
                <w:rFonts w:cs="Times New Roman"/>
              </w:rPr>
              <w:t>有扭杆</w:t>
            </w:r>
          </w:p>
        </w:tc>
      </w:tr>
      <w:tr w:rsidR="00FD50F6" w:rsidRPr="00FD50F6" w14:paraId="3061A8E8" w14:textId="77777777" w:rsidTr="002B733E">
        <w:trPr>
          <w:trHeight w:val="467"/>
          <w:jc w:val="center"/>
        </w:trPr>
        <w:tc>
          <w:tcPr>
            <w:tcW w:w="706" w:type="dxa"/>
            <w:vMerge/>
            <w:vAlign w:val="center"/>
          </w:tcPr>
          <w:p w14:paraId="2C5CCAA9" w14:textId="77777777" w:rsidR="002B733E" w:rsidRPr="00FD50F6" w:rsidRDefault="002B733E" w:rsidP="002B733E">
            <w:pPr>
              <w:pStyle w:val="7"/>
              <w:rPr>
                <w:rFonts w:cs="Times New Roman"/>
              </w:rPr>
            </w:pPr>
          </w:p>
        </w:tc>
        <w:tc>
          <w:tcPr>
            <w:tcW w:w="657" w:type="dxa"/>
            <w:vMerge/>
            <w:vAlign w:val="center"/>
          </w:tcPr>
          <w:p w14:paraId="7ED7820B" w14:textId="77777777" w:rsidR="002B733E" w:rsidRPr="00FD50F6" w:rsidRDefault="002B733E" w:rsidP="002B733E">
            <w:pPr>
              <w:pStyle w:val="7"/>
              <w:rPr>
                <w:rFonts w:cs="Times New Roman"/>
              </w:rPr>
            </w:pPr>
          </w:p>
        </w:tc>
        <w:tc>
          <w:tcPr>
            <w:tcW w:w="704" w:type="dxa"/>
            <w:vMerge/>
            <w:vAlign w:val="center"/>
          </w:tcPr>
          <w:p w14:paraId="2CA4D93B" w14:textId="77777777" w:rsidR="002B733E" w:rsidRPr="00FD50F6" w:rsidRDefault="002B733E" w:rsidP="002B733E">
            <w:pPr>
              <w:pStyle w:val="7"/>
              <w:rPr>
                <w:rFonts w:cs="Times New Roman"/>
              </w:rPr>
            </w:pPr>
          </w:p>
        </w:tc>
        <w:tc>
          <w:tcPr>
            <w:tcW w:w="1373" w:type="dxa"/>
            <w:gridSpan w:val="2"/>
            <w:vMerge/>
            <w:vAlign w:val="center"/>
          </w:tcPr>
          <w:p w14:paraId="4B2E8260" w14:textId="77777777" w:rsidR="002B733E" w:rsidRPr="00FD50F6" w:rsidRDefault="002B733E" w:rsidP="002B733E">
            <w:pPr>
              <w:pStyle w:val="7"/>
              <w:rPr>
                <w:rFonts w:cs="Times New Roman"/>
              </w:rPr>
            </w:pPr>
          </w:p>
        </w:tc>
        <w:tc>
          <w:tcPr>
            <w:tcW w:w="1339" w:type="dxa"/>
            <w:gridSpan w:val="2"/>
            <w:vMerge/>
            <w:vAlign w:val="center"/>
          </w:tcPr>
          <w:p w14:paraId="524C83D3" w14:textId="77777777" w:rsidR="002B733E" w:rsidRPr="00FD50F6" w:rsidRDefault="002B733E" w:rsidP="002B733E">
            <w:pPr>
              <w:pStyle w:val="7"/>
              <w:rPr>
                <w:rFonts w:cs="Times New Roman"/>
              </w:rPr>
            </w:pPr>
          </w:p>
        </w:tc>
        <w:tc>
          <w:tcPr>
            <w:tcW w:w="723" w:type="dxa"/>
            <w:vMerge/>
            <w:vAlign w:val="center"/>
          </w:tcPr>
          <w:p w14:paraId="5C6A2585" w14:textId="77777777" w:rsidR="002B733E" w:rsidRPr="00FD50F6" w:rsidRDefault="002B733E" w:rsidP="002B733E">
            <w:pPr>
              <w:pStyle w:val="7"/>
              <w:rPr>
                <w:rFonts w:cs="Times New Roman"/>
              </w:rPr>
            </w:pPr>
          </w:p>
        </w:tc>
        <w:tc>
          <w:tcPr>
            <w:tcW w:w="840" w:type="dxa"/>
            <w:vMerge/>
            <w:vAlign w:val="center"/>
          </w:tcPr>
          <w:p w14:paraId="6F2E406C" w14:textId="77777777" w:rsidR="002B733E" w:rsidRPr="00FD50F6" w:rsidRDefault="002B733E" w:rsidP="002B733E">
            <w:pPr>
              <w:pStyle w:val="7"/>
              <w:rPr>
                <w:rFonts w:cs="Times New Roman"/>
              </w:rPr>
            </w:pPr>
          </w:p>
        </w:tc>
        <w:tc>
          <w:tcPr>
            <w:tcW w:w="765" w:type="dxa"/>
            <w:vMerge w:val="restart"/>
            <w:vAlign w:val="center"/>
          </w:tcPr>
          <w:p w14:paraId="5C6A58A8" w14:textId="77777777" w:rsidR="002B733E" w:rsidRPr="00FD50F6" w:rsidRDefault="002B733E" w:rsidP="002B733E">
            <w:pPr>
              <w:pStyle w:val="7"/>
              <w:rPr>
                <w:rFonts w:cs="Times New Roman"/>
              </w:rPr>
            </w:pPr>
            <w:r w:rsidRPr="00FD50F6">
              <w:rPr>
                <w:rFonts w:cs="Times New Roman"/>
              </w:rPr>
              <w:t>AW0</w:t>
            </w:r>
          </w:p>
        </w:tc>
        <w:tc>
          <w:tcPr>
            <w:tcW w:w="788" w:type="dxa"/>
            <w:vMerge w:val="restart"/>
            <w:vAlign w:val="center"/>
          </w:tcPr>
          <w:p w14:paraId="76D814BF" w14:textId="77777777" w:rsidR="002B733E" w:rsidRPr="00FD50F6" w:rsidRDefault="002B733E" w:rsidP="002B733E">
            <w:pPr>
              <w:pStyle w:val="7"/>
              <w:rPr>
                <w:rFonts w:cs="Times New Roman"/>
              </w:rPr>
            </w:pPr>
            <w:r w:rsidRPr="00FD50F6">
              <w:rPr>
                <w:rFonts w:cs="Times New Roman"/>
              </w:rPr>
              <w:t>AW3</w:t>
            </w:r>
          </w:p>
        </w:tc>
        <w:tc>
          <w:tcPr>
            <w:tcW w:w="784" w:type="dxa"/>
            <w:vMerge w:val="restart"/>
            <w:vAlign w:val="center"/>
          </w:tcPr>
          <w:p w14:paraId="5AA0DCEB" w14:textId="77777777" w:rsidR="002B733E" w:rsidRPr="00FD50F6" w:rsidRDefault="002B733E" w:rsidP="002B733E">
            <w:pPr>
              <w:pStyle w:val="7"/>
              <w:rPr>
                <w:rFonts w:cs="Times New Roman"/>
              </w:rPr>
            </w:pPr>
            <w:r w:rsidRPr="00FD50F6">
              <w:rPr>
                <w:rFonts w:cs="Times New Roman"/>
              </w:rPr>
              <w:t>AW0</w:t>
            </w:r>
          </w:p>
        </w:tc>
        <w:tc>
          <w:tcPr>
            <w:tcW w:w="659" w:type="dxa"/>
            <w:vMerge w:val="restart"/>
            <w:vAlign w:val="center"/>
          </w:tcPr>
          <w:p w14:paraId="6848152F" w14:textId="77777777" w:rsidR="002B733E" w:rsidRPr="00FD50F6" w:rsidRDefault="002B733E" w:rsidP="002B733E">
            <w:pPr>
              <w:pStyle w:val="7"/>
              <w:rPr>
                <w:rFonts w:cs="Times New Roman"/>
              </w:rPr>
            </w:pPr>
            <w:r w:rsidRPr="00FD50F6">
              <w:rPr>
                <w:rFonts w:cs="Times New Roman"/>
              </w:rPr>
              <w:t>AW3</w:t>
            </w:r>
          </w:p>
        </w:tc>
      </w:tr>
      <w:tr w:rsidR="00FD50F6" w:rsidRPr="00FD50F6" w14:paraId="0900815A" w14:textId="77777777" w:rsidTr="002B733E">
        <w:trPr>
          <w:trHeight w:val="198"/>
          <w:jc w:val="center"/>
        </w:trPr>
        <w:tc>
          <w:tcPr>
            <w:tcW w:w="706" w:type="dxa"/>
            <w:vMerge/>
            <w:vAlign w:val="center"/>
          </w:tcPr>
          <w:p w14:paraId="2D999749" w14:textId="77777777" w:rsidR="002B733E" w:rsidRPr="00FD50F6" w:rsidRDefault="002B733E" w:rsidP="002B733E">
            <w:pPr>
              <w:pStyle w:val="7"/>
              <w:rPr>
                <w:rFonts w:cs="Times New Roman"/>
              </w:rPr>
            </w:pPr>
          </w:p>
        </w:tc>
        <w:tc>
          <w:tcPr>
            <w:tcW w:w="657" w:type="dxa"/>
            <w:vMerge/>
            <w:vAlign w:val="center"/>
          </w:tcPr>
          <w:p w14:paraId="784D9E89" w14:textId="77777777" w:rsidR="002B733E" w:rsidRPr="00FD50F6" w:rsidRDefault="002B733E" w:rsidP="002B733E">
            <w:pPr>
              <w:pStyle w:val="7"/>
              <w:rPr>
                <w:rFonts w:cs="Times New Roman"/>
              </w:rPr>
            </w:pPr>
          </w:p>
        </w:tc>
        <w:tc>
          <w:tcPr>
            <w:tcW w:w="704" w:type="dxa"/>
            <w:vMerge/>
            <w:vAlign w:val="center"/>
          </w:tcPr>
          <w:p w14:paraId="54C7F7DD" w14:textId="77777777" w:rsidR="002B733E" w:rsidRPr="00FD50F6" w:rsidRDefault="002B733E" w:rsidP="002B733E">
            <w:pPr>
              <w:pStyle w:val="7"/>
              <w:rPr>
                <w:rFonts w:cs="Times New Roman"/>
              </w:rPr>
            </w:pPr>
          </w:p>
        </w:tc>
        <w:tc>
          <w:tcPr>
            <w:tcW w:w="658" w:type="dxa"/>
            <w:vAlign w:val="center"/>
          </w:tcPr>
          <w:p w14:paraId="167CAA23" w14:textId="77777777" w:rsidR="002B733E" w:rsidRPr="00FD50F6" w:rsidRDefault="002B733E" w:rsidP="002B733E">
            <w:pPr>
              <w:pStyle w:val="7"/>
              <w:rPr>
                <w:rFonts w:cs="Times New Roman"/>
              </w:rPr>
            </w:pPr>
            <w:r w:rsidRPr="00FD50F6">
              <w:rPr>
                <w:rFonts w:cs="Times New Roman"/>
              </w:rPr>
              <w:t>AW0</w:t>
            </w:r>
          </w:p>
        </w:tc>
        <w:tc>
          <w:tcPr>
            <w:tcW w:w="715" w:type="dxa"/>
            <w:vAlign w:val="center"/>
          </w:tcPr>
          <w:p w14:paraId="4797B3D1" w14:textId="77777777" w:rsidR="002B733E" w:rsidRPr="00FD50F6" w:rsidRDefault="002B733E" w:rsidP="002B733E">
            <w:pPr>
              <w:pStyle w:val="7"/>
              <w:rPr>
                <w:rFonts w:cs="Times New Roman"/>
              </w:rPr>
            </w:pPr>
            <w:r w:rsidRPr="00FD50F6">
              <w:rPr>
                <w:rFonts w:cs="Times New Roman"/>
              </w:rPr>
              <w:t>AW3</w:t>
            </w:r>
          </w:p>
        </w:tc>
        <w:tc>
          <w:tcPr>
            <w:tcW w:w="670" w:type="dxa"/>
            <w:vAlign w:val="center"/>
          </w:tcPr>
          <w:p w14:paraId="21DA2E1F" w14:textId="77777777" w:rsidR="002B733E" w:rsidRPr="00FD50F6" w:rsidRDefault="002B733E" w:rsidP="002B733E">
            <w:pPr>
              <w:pStyle w:val="7"/>
              <w:rPr>
                <w:rFonts w:cs="Times New Roman"/>
              </w:rPr>
            </w:pPr>
            <w:r w:rsidRPr="00FD50F6">
              <w:rPr>
                <w:rFonts w:cs="Times New Roman"/>
              </w:rPr>
              <w:t>AW0</w:t>
            </w:r>
          </w:p>
        </w:tc>
        <w:tc>
          <w:tcPr>
            <w:tcW w:w="669" w:type="dxa"/>
            <w:vAlign w:val="center"/>
          </w:tcPr>
          <w:p w14:paraId="4A2822E5" w14:textId="77777777" w:rsidR="002B733E" w:rsidRPr="00FD50F6" w:rsidRDefault="002B733E" w:rsidP="002B733E">
            <w:pPr>
              <w:pStyle w:val="7"/>
              <w:rPr>
                <w:rFonts w:cs="Times New Roman"/>
              </w:rPr>
            </w:pPr>
            <w:r w:rsidRPr="00FD50F6">
              <w:rPr>
                <w:rFonts w:cs="Times New Roman"/>
              </w:rPr>
              <w:t>AW3</w:t>
            </w:r>
          </w:p>
        </w:tc>
        <w:tc>
          <w:tcPr>
            <w:tcW w:w="723" w:type="dxa"/>
            <w:vMerge/>
            <w:vAlign w:val="center"/>
          </w:tcPr>
          <w:p w14:paraId="00CF778C" w14:textId="77777777" w:rsidR="002B733E" w:rsidRPr="00FD50F6" w:rsidRDefault="002B733E" w:rsidP="002B733E">
            <w:pPr>
              <w:pStyle w:val="7"/>
              <w:rPr>
                <w:rFonts w:cs="Times New Roman"/>
              </w:rPr>
            </w:pPr>
          </w:p>
        </w:tc>
        <w:tc>
          <w:tcPr>
            <w:tcW w:w="840" w:type="dxa"/>
            <w:vMerge/>
            <w:vAlign w:val="center"/>
          </w:tcPr>
          <w:p w14:paraId="3229ECDC" w14:textId="77777777" w:rsidR="002B733E" w:rsidRPr="00FD50F6" w:rsidRDefault="002B733E" w:rsidP="002B733E">
            <w:pPr>
              <w:pStyle w:val="7"/>
              <w:rPr>
                <w:rFonts w:cs="Times New Roman"/>
              </w:rPr>
            </w:pPr>
          </w:p>
        </w:tc>
        <w:tc>
          <w:tcPr>
            <w:tcW w:w="765" w:type="dxa"/>
            <w:vMerge/>
            <w:vAlign w:val="center"/>
          </w:tcPr>
          <w:p w14:paraId="0D7073D7" w14:textId="77777777" w:rsidR="002B733E" w:rsidRPr="00FD50F6" w:rsidRDefault="002B733E" w:rsidP="002B733E">
            <w:pPr>
              <w:pStyle w:val="7"/>
              <w:rPr>
                <w:rFonts w:cs="Times New Roman"/>
              </w:rPr>
            </w:pPr>
          </w:p>
        </w:tc>
        <w:tc>
          <w:tcPr>
            <w:tcW w:w="788" w:type="dxa"/>
            <w:vMerge/>
            <w:vAlign w:val="center"/>
          </w:tcPr>
          <w:p w14:paraId="2E18BBC3" w14:textId="77777777" w:rsidR="002B733E" w:rsidRPr="00FD50F6" w:rsidRDefault="002B733E" w:rsidP="002B733E">
            <w:pPr>
              <w:pStyle w:val="7"/>
              <w:rPr>
                <w:rFonts w:cs="Times New Roman"/>
              </w:rPr>
            </w:pPr>
          </w:p>
        </w:tc>
        <w:tc>
          <w:tcPr>
            <w:tcW w:w="784" w:type="dxa"/>
            <w:vMerge/>
            <w:vAlign w:val="center"/>
          </w:tcPr>
          <w:p w14:paraId="05E7EFF6" w14:textId="77777777" w:rsidR="002B733E" w:rsidRPr="00FD50F6" w:rsidRDefault="002B733E" w:rsidP="002B733E">
            <w:pPr>
              <w:pStyle w:val="7"/>
              <w:rPr>
                <w:rFonts w:cs="Times New Roman"/>
              </w:rPr>
            </w:pPr>
          </w:p>
        </w:tc>
        <w:tc>
          <w:tcPr>
            <w:tcW w:w="659" w:type="dxa"/>
            <w:vMerge/>
            <w:vAlign w:val="center"/>
          </w:tcPr>
          <w:p w14:paraId="2DED7078" w14:textId="77777777" w:rsidR="002B733E" w:rsidRPr="00FD50F6" w:rsidRDefault="002B733E" w:rsidP="002B733E">
            <w:pPr>
              <w:pStyle w:val="7"/>
              <w:rPr>
                <w:rFonts w:cs="Times New Roman"/>
              </w:rPr>
            </w:pPr>
          </w:p>
        </w:tc>
      </w:tr>
      <w:tr w:rsidR="00FD50F6" w:rsidRPr="00FD50F6" w14:paraId="3AD60EB5" w14:textId="77777777" w:rsidTr="002B733E">
        <w:trPr>
          <w:jc w:val="center"/>
        </w:trPr>
        <w:tc>
          <w:tcPr>
            <w:tcW w:w="706" w:type="dxa"/>
            <w:vAlign w:val="center"/>
          </w:tcPr>
          <w:p w14:paraId="736F1C0B" w14:textId="77777777" w:rsidR="002B733E" w:rsidRPr="00FD50F6" w:rsidRDefault="002B733E" w:rsidP="002B733E">
            <w:pPr>
              <w:pStyle w:val="7"/>
              <w:rPr>
                <w:rFonts w:cs="Times New Roman"/>
              </w:rPr>
            </w:pPr>
            <w:r w:rsidRPr="00FD50F6">
              <w:rPr>
                <w:rFonts w:cs="Times New Roman"/>
              </w:rPr>
              <w:t>13</w:t>
            </w:r>
          </w:p>
        </w:tc>
        <w:tc>
          <w:tcPr>
            <w:tcW w:w="657" w:type="dxa"/>
            <w:vAlign w:val="center"/>
          </w:tcPr>
          <w:p w14:paraId="0893B8FD" w14:textId="77777777" w:rsidR="002B733E" w:rsidRPr="00FD50F6" w:rsidRDefault="002B733E" w:rsidP="002B733E">
            <w:pPr>
              <w:pStyle w:val="7"/>
              <w:rPr>
                <w:rFonts w:cs="Times New Roman"/>
              </w:rPr>
            </w:pPr>
            <w:r w:rsidRPr="00FD50F6">
              <w:rPr>
                <w:rFonts w:cs="Times New Roman"/>
              </w:rPr>
              <w:t>0.8</w:t>
            </w:r>
          </w:p>
        </w:tc>
        <w:tc>
          <w:tcPr>
            <w:tcW w:w="704" w:type="dxa"/>
            <w:vAlign w:val="center"/>
          </w:tcPr>
          <w:p w14:paraId="262C7BD5" w14:textId="77777777" w:rsidR="002B733E" w:rsidRPr="00FD50F6" w:rsidRDefault="002B733E" w:rsidP="002B733E">
            <w:pPr>
              <w:pStyle w:val="7"/>
              <w:rPr>
                <w:rFonts w:cs="Times New Roman"/>
              </w:rPr>
            </w:pPr>
            <w:r w:rsidRPr="00FD50F6">
              <w:rPr>
                <w:rFonts w:cs="Times New Roman"/>
              </w:rPr>
              <w:t>1.1</w:t>
            </w:r>
          </w:p>
        </w:tc>
        <w:tc>
          <w:tcPr>
            <w:tcW w:w="658" w:type="dxa"/>
            <w:vAlign w:val="center"/>
          </w:tcPr>
          <w:p w14:paraId="13975D85" w14:textId="77777777" w:rsidR="002B733E" w:rsidRPr="00FD50F6" w:rsidRDefault="002B733E" w:rsidP="002B733E">
            <w:pPr>
              <w:pStyle w:val="7"/>
              <w:rPr>
                <w:rFonts w:cs="Times New Roman"/>
              </w:rPr>
            </w:pPr>
            <w:r w:rsidRPr="00FD50F6">
              <w:rPr>
                <w:rFonts w:cs="Times New Roman"/>
              </w:rPr>
              <w:t>2.6</w:t>
            </w:r>
          </w:p>
        </w:tc>
        <w:tc>
          <w:tcPr>
            <w:tcW w:w="715" w:type="dxa"/>
            <w:vAlign w:val="center"/>
          </w:tcPr>
          <w:p w14:paraId="30EB6134" w14:textId="77777777" w:rsidR="002B733E" w:rsidRPr="00FD50F6" w:rsidRDefault="002B733E" w:rsidP="002B733E">
            <w:pPr>
              <w:pStyle w:val="7"/>
              <w:rPr>
                <w:rFonts w:cs="Times New Roman"/>
              </w:rPr>
            </w:pPr>
            <w:r w:rsidRPr="00FD50F6">
              <w:rPr>
                <w:rFonts w:cs="Times New Roman"/>
              </w:rPr>
              <w:t>3.9</w:t>
            </w:r>
          </w:p>
        </w:tc>
        <w:tc>
          <w:tcPr>
            <w:tcW w:w="670" w:type="dxa"/>
            <w:vAlign w:val="center"/>
          </w:tcPr>
          <w:p w14:paraId="50FCCFF9" w14:textId="77777777" w:rsidR="002B733E" w:rsidRPr="00FD50F6" w:rsidRDefault="002B733E" w:rsidP="002B733E">
            <w:pPr>
              <w:pStyle w:val="7"/>
              <w:rPr>
                <w:rFonts w:cs="Times New Roman"/>
              </w:rPr>
            </w:pPr>
            <w:r w:rsidRPr="00FD50F6">
              <w:rPr>
                <w:rFonts w:cs="Times New Roman"/>
              </w:rPr>
              <w:t>1.0</w:t>
            </w:r>
          </w:p>
        </w:tc>
        <w:tc>
          <w:tcPr>
            <w:tcW w:w="669" w:type="dxa"/>
            <w:vAlign w:val="center"/>
          </w:tcPr>
          <w:p w14:paraId="0DC35342" w14:textId="77777777" w:rsidR="002B733E" w:rsidRPr="00FD50F6" w:rsidRDefault="002B733E" w:rsidP="002B733E">
            <w:pPr>
              <w:pStyle w:val="7"/>
              <w:rPr>
                <w:rFonts w:cs="Times New Roman"/>
              </w:rPr>
            </w:pPr>
            <w:r w:rsidRPr="00FD50F6">
              <w:rPr>
                <w:rFonts w:cs="Times New Roman"/>
              </w:rPr>
              <w:t>1.2</w:t>
            </w:r>
          </w:p>
        </w:tc>
        <w:tc>
          <w:tcPr>
            <w:tcW w:w="723" w:type="dxa"/>
            <w:vAlign w:val="center"/>
          </w:tcPr>
          <w:p w14:paraId="195DCF9D" w14:textId="77777777" w:rsidR="002B733E" w:rsidRPr="00FD50F6" w:rsidRDefault="002B733E" w:rsidP="002B733E">
            <w:pPr>
              <w:pStyle w:val="7"/>
              <w:rPr>
                <w:rFonts w:cs="Times New Roman"/>
              </w:rPr>
            </w:pPr>
            <w:r w:rsidRPr="00FD50F6">
              <w:rPr>
                <w:rFonts w:cs="Times New Roman"/>
              </w:rPr>
              <w:t>±0.4</w:t>
            </w:r>
          </w:p>
        </w:tc>
        <w:tc>
          <w:tcPr>
            <w:tcW w:w="840" w:type="dxa"/>
            <w:vAlign w:val="center"/>
          </w:tcPr>
          <w:p w14:paraId="3EF27C32" w14:textId="77777777" w:rsidR="002B733E" w:rsidRPr="00FD50F6" w:rsidRDefault="002B733E" w:rsidP="002B733E">
            <w:pPr>
              <w:pStyle w:val="7"/>
              <w:rPr>
                <w:rFonts w:cs="Times New Roman"/>
              </w:rPr>
            </w:pPr>
            <w:r w:rsidRPr="00FD50F6">
              <w:rPr>
                <w:rFonts w:cs="Times New Roman"/>
              </w:rPr>
              <w:t>±0.5</w:t>
            </w:r>
          </w:p>
        </w:tc>
        <w:tc>
          <w:tcPr>
            <w:tcW w:w="765" w:type="dxa"/>
          </w:tcPr>
          <w:p w14:paraId="779372E9" w14:textId="77777777" w:rsidR="002B733E" w:rsidRPr="00FD50F6" w:rsidRDefault="002B733E" w:rsidP="002B733E">
            <w:pPr>
              <w:pStyle w:val="7"/>
              <w:rPr>
                <w:rFonts w:cs="Times New Roman"/>
              </w:rPr>
            </w:pPr>
            <w:r w:rsidRPr="00FD50F6">
              <w:rPr>
                <w:rFonts w:cs="Times New Roman"/>
              </w:rPr>
              <w:t>±1.2</w:t>
            </w:r>
          </w:p>
        </w:tc>
        <w:tc>
          <w:tcPr>
            <w:tcW w:w="788" w:type="dxa"/>
          </w:tcPr>
          <w:p w14:paraId="6EAC524C" w14:textId="77777777" w:rsidR="002B733E" w:rsidRPr="00FD50F6" w:rsidRDefault="002B733E" w:rsidP="002B733E">
            <w:pPr>
              <w:pStyle w:val="7"/>
              <w:rPr>
                <w:rFonts w:cs="Times New Roman"/>
              </w:rPr>
            </w:pPr>
            <w:r w:rsidRPr="00FD50F6">
              <w:rPr>
                <w:rFonts w:cs="Times New Roman"/>
              </w:rPr>
              <w:t>±1.8</w:t>
            </w:r>
          </w:p>
        </w:tc>
        <w:tc>
          <w:tcPr>
            <w:tcW w:w="784" w:type="dxa"/>
          </w:tcPr>
          <w:p w14:paraId="63DE1EF9" w14:textId="77777777" w:rsidR="002B733E" w:rsidRPr="00FD50F6" w:rsidRDefault="002B733E" w:rsidP="002B733E">
            <w:pPr>
              <w:pStyle w:val="7"/>
              <w:rPr>
                <w:rFonts w:cs="Times New Roman"/>
              </w:rPr>
            </w:pPr>
            <w:r w:rsidRPr="00FD50F6">
              <w:rPr>
                <w:rFonts w:cs="Times New Roman"/>
              </w:rPr>
              <w:t>±0.5</w:t>
            </w:r>
          </w:p>
        </w:tc>
        <w:tc>
          <w:tcPr>
            <w:tcW w:w="659" w:type="dxa"/>
          </w:tcPr>
          <w:p w14:paraId="5B572FEA" w14:textId="77777777" w:rsidR="002B733E" w:rsidRPr="00FD50F6" w:rsidRDefault="002B733E" w:rsidP="002B733E">
            <w:pPr>
              <w:pStyle w:val="7"/>
              <w:rPr>
                <w:rFonts w:cs="Times New Roman"/>
              </w:rPr>
            </w:pPr>
            <w:r w:rsidRPr="00FD50F6">
              <w:rPr>
                <w:rFonts w:cs="Times New Roman"/>
              </w:rPr>
              <w:t>±0.5</w:t>
            </w:r>
          </w:p>
        </w:tc>
      </w:tr>
      <w:tr w:rsidR="00FD50F6" w:rsidRPr="00FD50F6" w14:paraId="5CBCFE60" w14:textId="77777777" w:rsidTr="002B733E">
        <w:trPr>
          <w:jc w:val="center"/>
        </w:trPr>
        <w:tc>
          <w:tcPr>
            <w:tcW w:w="706" w:type="dxa"/>
            <w:vAlign w:val="center"/>
          </w:tcPr>
          <w:p w14:paraId="40FF0268" w14:textId="77777777" w:rsidR="002B733E" w:rsidRPr="00FD50F6" w:rsidRDefault="002B733E" w:rsidP="002B733E">
            <w:pPr>
              <w:pStyle w:val="7"/>
              <w:rPr>
                <w:rFonts w:cs="Times New Roman"/>
              </w:rPr>
            </w:pPr>
            <w:r w:rsidRPr="00FD50F6">
              <w:rPr>
                <w:rFonts w:cs="Times New Roman"/>
              </w:rPr>
              <w:t>21</w:t>
            </w:r>
          </w:p>
        </w:tc>
        <w:tc>
          <w:tcPr>
            <w:tcW w:w="657" w:type="dxa"/>
            <w:vAlign w:val="center"/>
          </w:tcPr>
          <w:p w14:paraId="120C22A8" w14:textId="77777777" w:rsidR="002B733E" w:rsidRPr="00FD50F6" w:rsidRDefault="002B733E" w:rsidP="002B733E">
            <w:pPr>
              <w:pStyle w:val="7"/>
              <w:rPr>
                <w:rFonts w:cs="Times New Roman"/>
              </w:rPr>
            </w:pPr>
            <w:r w:rsidRPr="00FD50F6">
              <w:rPr>
                <w:rFonts w:cs="Times New Roman"/>
              </w:rPr>
              <w:t>1.3</w:t>
            </w:r>
          </w:p>
        </w:tc>
        <w:tc>
          <w:tcPr>
            <w:tcW w:w="704" w:type="dxa"/>
            <w:vAlign w:val="center"/>
          </w:tcPr>
          <w:p w14:paraId="769A3675" w14:textId="77777777" w:rsidR="002B733E" w:rsidRPr="00FD50F6" w:rsidRDefault="002B733E" w:rsidP="002B733E">
            <w:pPr>
              <w:pStyle w:val="7"/>
              <w:rPr>
                <w:rFonts w:cs="Times New Roman"/>
              </w:rPr>
            </w:pPr>
            <w:r w:rsidRPr="00FD50F6">
              <w:rPr>
                <w:rFonts w:cs="Times New Roman"/>
              </w:rPr>
              <w:t>1.8</w:t>
            </w:r>
          </w:p>
        </w:tc>
        <w:tc>
          <w:tcPr>
            <w:tcW w:w="658" w:type="dxa"/>
            <w:vAlign w:val="center"/>
          </w:tcPr>
          <w:p w14:paraId="152825E3" w14:textId="77777777" w:rsidR="002B733E" w:rsidRPr="00FD50F6" w:rsidRDefault="002B733E" w:rsidP="002B733E">
            <w:pPr>
              <w:pStyle w:val="7"/>
              <w:rPr>
                <w:rFonts w:cs="Times New Roman"/>
              </w:rPr>
            </w:pPr>
            <w:r w:rsidRPr="00FD50F6">
              <w:rPr>
                <w:rFonts w:cs="Times New Roman"/>
              </w:rPr>
              <w:t>4.2</w:t>
            </w:r>
          </w:p>
        </w:tc>
        <w:tc>
          <w:tcPr>
            <w:tcW w:w="715" w:type="dxa"/>
            <w:vAlign w:val="center"/>
          </w:tcPr>
          <w:p w14:paraId="404220D9" w14:textId="77777777" w:rsidR="002B733E" w:rsidRPr="00FD50F6" w:rsidRDefault="002B733E" w:rsidP="002B733E">
            <w:pPr>
              <w:pStyle w:val="7"/>
              <w:rPr>
                <w:rFonts w:cs="Times New Roman"/>
              </w:rPr>
            </w:pPr>
            <w:r w:rsidRPr="00FD50F6">
              <w:rPr>
                <w:rFonts w:cs="Times New Roman"/>
              </w:rPr>
              <w:t>6.3</w:t>
            </w:r>
          </w:p>
        </w:tc>
        <w:tc>
          <w:tcPr>
            <w:tcW w:w="670" w:type="dxa"/>
            <w:vAlign w:val="center"/>
          </w:tcPr>
          <w:p w14:paraId="43F30531" w14:textId="77777777" w:rsidR="002B733E" w:rsidRPr="00FD50F6" w:rsidRDefault="002B733E" w:rsidP="002B733E">
            <w:pPr>
              <w:pStyle w:val="7"/>
              <w:rPr>
                <w:rFonts w:cs="Times New Roman"/>
              </w:rPr>
            </w:pPr>
            <w:r w:rsidRPr="00FD50F6">
              <w:rPr>
                <w:rFonts w:cs="Times New Roman"/>
              </w:rPr>
              <w:t>1.7</w:t>
            </w:r>
          </w:p>
        </w:tc>
        <w:tc>
          <w:tcPr>
            <w:tcW w:w="669" w:type="dxa"/>
            <w:vAlign w:val="center"/>
          </w:tcPr>
          <w:p w14:paraId="5D1AF2E7" w14:textId="77777777" w:rsidR="002B733E" w:rsidRPr="00FD50F6" w:rsidRDefault="002B733E" w:rsidP="002B733E">
            <w:pPr>
              <w:pStyle w:val="7"/>
              <w:rPr>
                <w:rFonts w:cs="Times New Roman"/>
              </w:rPr>
            </w:pPr>
            <w:r w:rsidRPr="00FD50F6">
              <w:rPr>
                <w:rFonts w:cs="Times New Roman"/>
              </w:rPr>
              <w:t>2</w:t>
            </w:r>
          </w:p>
        </w:tc>
        <w:tc>
          <w:tcPr>
            <w:tcW w:w="723" w:type="dxa"/>
            <w:vAlign w:val="center"/>
          </w:tcPr>
          <w:p w14:paraId="6DE57A68" w14:textId="77777777" w:rsidR="002B733E" w:rsidRPr="00FD50F6" w:rsidRDefault="002B733E" w:rsidP="002B733E">
            <w:pPr>
              <w:pStyle w:val="7"/>
              <w:rPr>
                <w:rFonts w:cs="Times New Roman"/>
              </w:rPr>
            </w:pPr>
            <w:r w:rsidRPr="00FD50F6">
              <w:rPr>
                <w:rFonts w:cs="Times New Roman"/>
              </w:rPr>
              <w:t>±0.65</w:t>
            </w:r>
          </w:p>
        </w:tc>
        <w:tc>
          <w:tcPr>
            <w:tcW w:w="840" w:type="dxa"/>
            <w:vAlign w:val="center"/>
          </w:tcPr>
          <w:p w14:paraId="1795D69A" w14:textId="77777777" w:rsidR="002B733E" w:rsidRPr="00FD50F6" w:rsidRDefault="002B733E" w:rsidP="002B733E">
            <w:pPr>
              <w:pStyle w:val="7"/>
              <w:rPr>
                <w:rFonts w:cs="Times New Roman"/>
              </w:rPr>
            </w:pPr>
            <w:r w:rsidRPr="00FD50F6">
              <w:rPr>
                <w:rFonts w:cs="Times New Roman"/>
              </w:rPr>
              <w:t>±0.9</w:t>
            </w:r>
          </w:p>
        </w:tc>
        <w:tc>
          <w:tcPr>
            <w:tcW w:w="765" w:type="dxa"/>
          </w:tcPr>
          <w:p w14:paraId="6A569E4C" w14:textId="77777777" w:rsidR="002B733E" w:rsidRPr="00FD50F6" w:rsidRDefault="002B733E" w:rsidP="002B733E">
            <w:pPr>
              <w:pStyle w:val="7"/>
              <w:rPr>
                <w:rFonts w:cs="Times New Roman"/>
              </w:rPr>
            </w:pPr>
            <w:r w:rsidRPr="00FD50F6">
              <w:rPr>
                <w:rFonts w:cs="Times New Roman"/>
              </w:rPr>
              <w:t>±1.9</w:t>
            </w:r>
          </w:p>
        </w:tc>
        <w:tc>
          <w:tcPr>
            <w:tcW w:w="788" w:type="dxa"/>
          </w:tcPr>
          <w:p w14:paraId="1803A6F9" w14:textId="77777777" w:rsidR="002B733E" w:rsidRPr="00FD50F6" w:rsidRDefault="002B733E" w:rsidP="002B733E">
            <w:pPr>
              <w:pStyle w:val="7"/>
              <w:rPr>
                <w:rFonts w:cs="Times New Roman"/>
              </w:rPr>
            </w:pPr>
            <w:r w:rsidRPr="00FD50F6">
              <w:rPr>
                <w:rFonts w:cs="Times New Roman"/>
              </w:rPr>
              <w:t>±2.8</w:t>
            </w:r>
          </w:p>
        </w:tc>
        <w:tc>
          <w:tcPr>
            <w:tcW w:w="784" w:type="dxa"/>
          </w:tcPr>
          <w:p w14:paraId="5F295E5F" w14:textId="77777777" w:rsidR="002B733E" w:rsidRPr="00FD50F6" w:rsidRDefault="002B733E" w:rsidP="002B733E">
            <w:pPr>
              <w:pStyle w:val="7"/>
              <w:rPr>
                <w:rFonts w:cs="Times New Roman"/>
              </w:rPr>
            </w:pPr>
            <w:r w:rsidRPr="00FD50F6">
              <w:rPr>
                <w:rFonts w:cs="Times New Roman"/>
              </w:rPr>
              <w:t>±0.7</w:t>
            </w:r>
          </w:p>
        </w:tc>
        <w:tc>
          <w:tcPr>
            <w:tcW w:w="659" w:type="dxa"/>
          </w:tcPr>
          <w:p w14:paraId="51163A07" w14:textId="77777777" w:rsidR="002B733E" w:rsidRPr="00FD50F6" w:rsidRDefault="002B733E" w:rsidP="002B733E">
            <w:pPr>
              <w:pStyle w:val="7"/>
              <w:rPr>
                <w:rFonts w:cs="Times New Roman"/>
              </w:rPr>
            </w:pPr>
            <w:r w:rsidRPr="00FD50F6">
              <w:rPr>
                <w:rFonts w:cs="Times New Roman"/>
              </w:rPr>
              <w:t>±0.9</w:t>
            </w:r>
          </w:p>
        </w:tc>
      </w:tr>
      <w:tr w:rsidR="00FD50F6" w:rsidRPr="00FD50F6" w14:paraId="6FC7A619" w14:textId="77777777" w:rsidTr="002B733E">
        <w:trPr>
          <w:jc w:val="center"/>
        </w:trPr>
        <w:tc>
          <w:tcPr>
            <w:tcW w:w="706" w:type="dxa"/>
            <w:vAlign w:val="center"/>
          </w:tcPr>
          <w:p w14:paraId="59778EED" w14:textId="77777777" w:rsidR="002B733E" w:rsidRPr="00FD50F6" w:rsidRDefault="002B733E" w:rsidP="002B733E">
            <w:pPr>
              <w:pStyle w:val="7"/>
              <w:rPr>
                <w:rFonts w:cs="Times New Roman"/>
              </w:rPr>
            </w:pPr>
            <w:r w:rsidRPr="00FD50F6">
              <w:rPr>
                <w:rFonts w:cs="Times New Roman"/>
              </w:rPr>
              <w:t>28</w:t>
            </w:r>
          </w:p>
        </w:tc>
        <w:tc>
          <w:tcPr>
            <w:tcW w:w="657" w:type="dxa"/>
            <w:vAlign w:val="center"/>
          </w:tcPr>
          <w:p w14:paraId="5AB30312" w14:textId="77777777" w:rsidR="002B733E" w:rsidRPr="00FD50F6" w:rsidRDefault="002B733E" w:rsidP="002B733E">
            <w:pPr>
              <w:pStyle w:val="7"/>
              <w:rPr>
                <w:rFonts w:cs="Times New Roman"/>
              </w:rPr>
            </w:pPr>
            <w:r w:rsidRPr="00FD50F6">
              <w:rPr>
                <w:rFonts w:cs="Times New Roman"/>
              </w:rPr>
              <w:t>1.7</w:t>
            </w:r>
          </w:p>
        </w:tc>
        <w:tc>
          <w:tcPr>
            <w:tcW w:w="704" w:type="dxa"/>
            <w:vAlign w:val="center"/>
          </w:tcPr>
          <w:p w14:paraId="2089B5BD" w14:textId="77777777" w:rsidR="002B733E" w:rsidRPr="00FD50F6" w:rsidRDefault="002B733E" w:rsidP="002B733E">
            <w:pPr>
              <w:pStyle w:val="7"/>
              <w:rPr>
                <w:rFonts w:cs="Times New Roman"/>
              </w:rPr>
            </w:pPr>
            <w:r w:rsidRPr="00FD50F6">
              <w:rPr>
                <w:rFonts w:cs="Times New Roman"/>
              </w:rPr>
              <w:t>2.4</w:t>
            </w:r>
          </w:p>
        </w:tc>
        <w:tc>
          <w:tcPr>
            <w:tcW w:w="658" w:type="dxa"/>
            <w:vAlign w:val="center"/>
          </w:tcPr>
          <w:p w14:paraId="5E0DD239" w14:textId="77777777" w:rsidR="002B733E" w:rsidRPr="00FD50F6" w:rsidRDefault="002B733E" w:rsidP="002B733E">
            <w:pPr>
              <w:pStyle w:val="7"/>
              <w:rPr>
                <w:rFonts w:cs="Times New Roman"/>
              </w:rPr>
            </w:pPr>
            <w:r w:rsidRPr="00FD50F6">
              <w:rPr>
                <w:rFonts w:cs="Times New Roman"/>
              </w:rPr>
              <w:t>5.6</w:t>
            </w:r>
          </w:p>
        </w:tc>
        <w:tc>
          <w:tcPr>
            <w:tcW w:w="715" w:type="dxa"/>
            <w:vAlign w:val="center"/>
          </w:tcPr>
          <w:p w14:paraId="5346C83F" w14:textId="77777777" w:rsidR="002B733E" w:rsidRPr="00FD50F6" w:rsidRDefault="002B733E" w:rsidP="002B733E">
            <w:pPr>
              <w:pStyle w:val="7"/>
              <w:rPr>
                <w:rFonts w:cs="Times New Roman"/>
              </w:rPr>
            </w:pPr>
            <w:r w:rsidRPr="00FD50F6">
              <w:rPr>
                <w:rFonts w:cs="Times New Roman"/>
              </w:rPr>
              <w:t>8.4</w:t>
            </w:r>
          </w:p>
        </w:tc>
        <w:tc>
          <w:tcPr>
            <w:tcW w:w="670" w:type="dxa"/>
            <w:vAlign w:val="center"/>
          </w:tcPr>
          <w:p w14:paraId="5D7CF62C" w14:textId="77777777" w:rsidR="002B733E" w:rsidRPr="00FD50F6" w:rsidRDefault="002B733E" w:rsidP="002B733E">
            <w:pPr>
              <w:pStyle w:val="7"/>
              <w:rPr>
                <w:rFonts w:cs="Times New Roman"/>
              </w:rPr>
            </w:pPr>
            <w:r w:rsidRPr="00FD50F6">
              <w:rPr>
                <w:rFonts w:cs="Times New Roman"/>
              </w:rPr>
              <w:t>2.2</w:t>
            </w:r>
          </w:p>
        </w:tc>
        <w:tc>
          <w:tcPr>
            <w:tcW w:w="669" w:type="dxa"/>
            <w:vAlign w:val="center"/>
          </w:tcPr>
          <w:p w14:paraId="1DFCD54C" w14:textId="77777777" w:rsidR="002B733E" w:rsidRPr="00FD50F6" w:rsidRDefault="002B733E" w:rsidP="002B733E">
            <w:pPr>
              <w:pStyle w:val="7"/>
              <w:rPr>
                <w:rFonts w:cs="Times New Roman"/>
              </w:rPr>
            </w:pPr>
            <w:r w:rsidRPr="00FD50F6">
              <w:rPr>
                <w:rFonts w:cs="Times New Roman"/>
              </w:rPr>
              <w:t>2.6</w:t>
            </w:r>
          </w:p>
        </w:tc>
        <w:tc>
          <w:tcPr>
            <w:tcW w:w="723" w:type="dxa"/>
            <w:vAlign w:val="center"/>
          </w:tcPr>
          <w:p w14:paraId="078F79E3" w14:textId="77777777" w:rsidR="002B733E" w:rsidRPr="00FD50F6" w:rsidRDefault="002B733E" w:rsidP="002B733E">
            <w:pPr>
              <w:pStyle w:val="7"/>
              <w:rPr>
                <w:rFonts w:cs="Times New Roman"/>
              </w:rPr>
            </w:pPr>
            <w:r w:rsidRPr="00FD50F6">
              <w:rPr>
                <w:rFonts w:cs="Times New Roman"/>
              </w:rPr>
              <w:t>±0.9</w:t>
            </w:r>
          </w:p>
        </w:tc>
        <w:tc>
          <w:tcPr>
            <w:tcW w:w="840" w:type="dxa"/>
            <w:vAlign w:val="center"/>
          </w:tcPr>
          <w:p w14:paraId="2643B290" w14:textId="77777777" w:rsidR="002B733E" w:rsidRPr="00FD50F6" w:rsidRDefault="002B733E" w:rsidP="002B733E">
            <w:pPr>
              <w:pStyle w:val="7"/>
              <w:rPr>
                <w:rFonts w:cs="Times New Roman"/>
              </w:rPr>
            </w:pPr>
            <w:r w:rsidRPr="00FD50F6">
              <w:rPr>
                <w:rFonts w:cs="Times New Roman"/>
              </w:rPr>
              <w:t>±1.2</w:t>
            </w:r>
          </w:p>
        </w:tc>
        <w:tc>
          <w:tcPr>
            <w:tcW w:w="765" w:type="dxa"/>
          </w:tcPr>
          <w:p w14:paraId="0E260187" w14:textId="77777777" w:rsidR="002B733E" w:rsidRPr="00FD50F6" w:rsidRDefault="002B733E" w:rsidP="002B733E">
            <w:pPr>
              <w:pStyle w:val="7"/>
              <w:rPr>
                <w:rFonts w:cs="Times New Roman"/>
              </w:rPr>
            </w:pPr>
            <w:r w:rsidRPr="00FD50F6">
              <w:rPr>
                <w:rFonts w:cs="Times New Roman"/>
              </w:rPr>
              <w:t>±2.5</w:t>
            </w:r>
          </w:p>
        </w:tc>
        <w:tc>
          <w:tcPr>
            <w:tcW w:w="788" w:type="dxa"/>
          </w:tcPr>
          <w:p w14:paraId="631548E5" w14:textId="77777777" w:rsidR="002B733E" w:rsidRPr="00FD50F6" w:rsidRDefault="002B733E" w:rsidP="002B733E">
            <w:pPr>
              <w:pStyle w:val="7"/>
              <w:rPr>
                <w:rFonts w:cs="Times New Roman"/>
              </w:rPr>
            </w:pPr>
            <w:r w:rsidRPr="00FD50F6">
              <w:rPr>
                <w:rFonts w:cs="Times New Roman"/>
              </w:rPr>
              <w:t>±3.8</w:t>
            </w:r>
          </w:p>
        </w:tc>
        <w:tc>
          <w:tcPr>
            <w:tcW w:w="784" w:type="dxa"/>
          </w:tcPr>
          <w:p w14:paraId="429A6384" w14:textId="77777777" w:rsidR="002B733E" w:rsidRPr="00FD50F6" w:rsidRDefault="002B733E" w:rsidP="002B733E">
            <w:pPr>
              <w:pStyle w:val="7"/>
              <w:rPr>
                <w:rFonts w:cs="Times New Roman"/>
              </w:rPr>
            </w:pPr>
            <w:r w:rsidRPr="00FD50F6">
              <w:rPr>
                <w:rFonts w:cs="Times New Roman"/>
              </w:rPr>
              <w:t>±1.0</w:t>
            </w:r>
          </w:p>
        </w:tc>
        <w:tc>
          <w:tcPr>
            <w:tcW w:w="659" w:type="dxa"/>
          </w:tcPr>
          <w:p w14:paraId="37E88F21" w14:textId="77777777" w:rsidR="002B733E" w:rsidRPr="00FD50F6" w:rsidRDefault="002B733E" w:rsidP="002B733E">
            <w:pPr>
              <w:pStyle w:val="7"/>
              <w:rPr>
                <w:rFonts w:cs="Times New Roman"/>
              </w:rPr>
            </w:pPr>
            <w:r w:rsidRPr="00FD50F6">
              <w:rPr>
                <w:rFonts w:cs="Times New Roman"/>
              </w:rPr>
              <w:t>±1.2</w:t>
            </w:r>
          </w:p>
        </w:tc>
      </w:tr>
      <w:tr w:rsidR="00FD50F6" w:rsidRPr="00FD50F6" w14:paraId="21C6B82E" w14:textId="77777777" w:rsidTr="002B733E">
        <w:trPr>
          <w:jc w:val="center"/>
        </w:trPr>
        <w:tc>
          <w:tcPr>
            <w:tcW w:w="706" w:type="dxa"/>
            <w:vAlign w:val="center"/>
          </w:tcPr>
          <w:p w14:paraId="593C075D" w14:textId="77777777" w:rsidR="002B733E" w:rsidRPr="00FD50F6" w:rsidRDefault="002B733E" w:rsidP="002B733E">
            <w:pPr>
              <w:pStyle w:val="7"/>
              <w:rPr>
                <w:rFonts w:cs="Times New Roman"/>
              </w:rPr>
            </w:pPr>
            <w:r w:rsidRPr="00FD50F6">
              <w:rPr>
                <w:rFonts w:cs="Times New Roman"/>
              </w:rPr>
              <w:t>38</w:t>
            </w:r>
          </w:p>
        </w:tc>
        <w:tc>
          <w:tcPr>
            <w:tcW w:w="657" w:type="dxa"/>
            <w:vAlign w:val="center"/>
          </w:tcPr>
          <w:p w14:paraId="6EF36568" w14:textId="77777777" w:rsidR="002B733E" w:rsidRPr="00FD50F6" w:rsidRDefault="002B733E" w:rsidP="002B733E">
            <w:pPr>
              <w:pStyle w:val="7"/>
              <w:rPr>
                <w:rFonts w:cs="Times New Roman"/>
              </w:rPr>
            </w:pPr>
            <w:r w:rsidRPr="00FD50F6">
              <w:rPr>
                <w:rFonts w:cs="Times New Roman"/>
              </w:rPr>
              <w:t>2.3</w:t>
            </w:r>
          </w:p>
        </w:tc>
        <w:tc>
          <w:tcPr>
            <w:tcW w:w="704" w:type="dxa"/>
            <w:vAlign w:val="center"/>
          </w:tcPr>
          <w:p w14:paraId="0A8632D5" w14:textId="77777777" w:rsidR="002B733E" w:rsidRPr="00FD50F6" w:rsidRDefault="002B733E" w:rsidP="002B733E">
            <w:pPr>
              <w:pStyle w:val="7"/>
              <w:rPr>
                <w:rFonts w:cs="Times New Roman"/>
              </w:rPr>
            </w:pPr>
            <w:r w:rsidRPr="00FD50F6">
              <w:rPr>
                <w:rFonts w:cs="Times New Roman"/>
              </w:rPr>
              <w:t>3.2</w:t>
            </w:r>
          </w:p>
        </w:tc>
        <w:tc>
          <w:tcPr>
            <w:tcW w:w="658" w:type="dxa"/>
            <w:vAlign w:val="center"/>
          </w:tcPr>
          <w:p w14:paraId="5958C628" w14:textId="77777777" w:rsidR="002B733E" w:rsidRPr="00FD50F6" w:rsidRDefault="002B733E" w:rsidP="002B733E">
            <w:pPr>
              <w:pStyle w:val="7"/>
              <w:rPr>
                <w:rFonts w:cs="Times New Roman"/>
              </w:rPr>
            </w:pPr>
            <w:r w:rsidRPr="00FD50F6">
              <w:rPr>
                <w:rFonts w:cs="Times New Roman"/>
              </w:rPr>
              <w:t>7.6</w:t>
            </w:r>
          </w:p>
        </w:tc>
        <w:tc>
          <w:tcPr>
            <w:tcW w:w="715" w:type="dxa"/>
            <w:vAlign w:val="center"/>
          </w:tcPr>
          <w:p w14:paraId="3DB6CFE3" w14:textId="77777777" w:rsidR="002B733E" w:rsidRPr="00FD50F6" w:rsidRDefault="002B733E" w:rsidP="002B733E">
            <w:pPr>
              <w:pStyle w:val="7"/>
              <w:rPr>
                <w:rFonts w:cs="Times New Roman"/>
              </w:rPr>
            </w:pPr>
            <w:r w:rsidRPr="00FD50F6">
              <w:rPr>
                <w:rFonts w:cs="Times New Roman"/>
              </w:rPr>
              <w:t>11.4</w:t>
            </w:r>
          </w:p>
        </w:tc>
        <w:tc>
          <w:tcPr>
            <w:tcW w:w="670" w:type="dxa"/>
            <w:vAlign w:val="center"/>
          </w:tcPr>
          <w:p w14:paraId="29520BC3" w14:textId="77777777" w:rsidR="002B733E" w:rsidRPr="00FD50F6" w:rsidRDefault="002B733E" w:rsidP="002B733E">
            <w:pPr>
              <w:pStyle w:val="7"/>
              <w:rPr>
                <w:rFonts w:cs="Times New Roman"/>
              </w:rPr>
            </w:pPr>
            <w:r w:rsidRPr="00FD50F6">
              <w:rPr>
                <w:rFonts w:cs="Times New Roman"/>
              </w:rPr>
              <w:t>3</w:t>
            </w:r>
          </w:p>
        </w:tc>
        <w:tc>
          <w:tcPr>
            <w:tcW w:w="669" w:type="dxa"/>
            <w:vAlign w:val="center"/>
          </w:tcPr>
          <w:p w14:paraId="4B99F894" w14:textId="77777777" w:rsidR="002B733E" w:rsidRPr="00FD50F6" w:rsidRDefault="002B733E" w:rsidP="002B733E">
            <w:pPr>
              <w:pStyle w:val="7"/>
              <w:rPr>
                <w:rFonts w:cs="Times New Roman"/>
              </w:rPr>
            </w:pPr>
            <w:r w:rsidRPr="00FD50F6">
              <w:rPr>
                <w:rFonts w:cs="Times New Roman"/>
              </w:rPr>
              <w:t>3.6</w:t>
            </w:r>
          </w:p>
        </w:tc>
        <w:tc>
          <w:tcPr>
            <w:tcW w:w="723" w:type="dxa"/>
            <w:vAlign w:val="center"/>
          </w:tcPr>
          <w:p w14:paraId="6CE21D34" w14:textId="77777777" w:rsidR="002B733E" w:rsidRPr="00FD50F6" w:rsidRDefault="002B733E" w:rsidP="002B733E">
            <w:pPr>
              <w:pStyle w:val="7"/>
              <w:rPr>
                <w:rFonts w:cs="Times New Roman"/>
              </w:rPr>
            </w:pPr>
            <w:r w:rsidRPr="00FD50F6">
              <w:rPr>
                <w:rFonts w:cs="Times New Roman"/>
              </w:rPr>
              <w:t>±1.2</w:t>
            </w:r>
          </w:p>
        </w:tc>
        <w:tc>
          <w:tcPr>
            <w:tcW w:w="840" w:type="dxa"/>
            <w:vAlign w:val="center"/>
          </w:tcPr>
          <w:p w14:paraId="3987531F" w14:textId="77777777" w:rsidR="002B733E" w:rsidRPr="00FD50F6" w:rsidRDefault="002B733E" w:rsidP="002B733E">
            <w:pPr>
              <w:pStyle w:val="7"/>
              <w:rPr>
                <w:rFonts w:cs="Times New Roman"/>
              </w:rPr>
            </w:pPr>
            <w:r w:rsidRPr="00FD50F6">
              <w:rPr>
                <w:rFonts w:cs="Times New Roman"/>
              </w:rPr>
              <w:t>±1.6</w:t>
            </w:r>
          </w:p>
        </w:tc>
        <w:tc>
          <w:tcPr>
            <w:tcW w:w="765" w:type="dxa"/>
          </w:tcPr>
          <w:p w14:paraId="178C9039" w14:textId="77777777" w:rsidR="002B733E" w:rsidRPr="00FD50F6" w:rsidRDefault="002B733E" w:rsidP="002B733E">
            <w:pPr>
              <w:pStyle w:val="7"/>
              <w:rPr>
                <w:rFonts w:cs="Times New Roman"/>
              </w:rPr>
            </w:pPr>
            <w:r w:rsidRPr="00FD50F6">
              <w:rPr>
                <w:rFonts w:cs="Times New Roman"/>
              </w:rPr>
              <w:t>±3.4</w:t>
            </w:r>
          </w:p>
        </w:tc>
        <w:tc>
          <w:tcPr>
            <w:tcW w:w="788" w:type="dxa"/>
          </w:tcPr>
          <w:p w14:paraId="0685AAE2" w14:textId="77777777" w:rsidR="002B733E" w:rsidRPr="00FD50F6" w:rsidRDefault="002B733E" w:rsidP="002B733E">
            <w:pPr>
              <w:pStyle w:val="7"/>
              <w:rPr>
                <w:rFonts w:cs="Times New Roman"/>
              </w:rPr>
            </w:pPr>
            <w:r w:rsidRPr="00FD50F6">
              <w:rPr>
                <w:rFonts w:cs="Times New Roman"/>
              </w:rPr>
              <w:t>±5.1</w:t>
            </w:r>
          </w:p>
        </w:tc>
        <w:tc>
          <w:tcPr>
            <w:tcW w:w="784" w:type="dxa"/>
          </w:tcPr>
          <w:p w14:paraId="50F96137" w14:textId="77777777" w:rsidR="002B733E" w:rsidRPr="00FD50F6" w:rsidRDefault="002B733E" w:rsidP="002B733E">
            <w:pPr>
              <w:pStyle w:val="7"/>
              <w:rPr>
                <w:rFonts w:cs="Times New Roman"/>
              </w:rPr>
            </w:pPr>
            <w:r w:rsidRPr="00FD50F6">
              <w:rPr>
                <w:rFonts w:cs="Times New Roman"/>
              </w:rPr>
              <w:t>±1.4</w:t>
            </w:r>
          </w:p>
        </w:tc>
        <w:tc>
          <w:tcPr>
            <w:tcW w:w="659" w:type="dxa"/>
          </w:tcPr>
          <w:p w14:paraId="0A134EE7" w14:textId="77777777" w:rsidR="002B733E" w:rsidRPr="00FD50F6" w:rsidRDefault="002B733E" w:rsidP="002B733E">
            <w:pPr>
              <w:pStyle w:val="7"/>
              <w:rPr>
                <w:rFonts w:cs="Times New Roman"/>
              </w:rPr>
            </w:pPr>
            <w:r w:rsidRPr="00FD50F6">
              <w:rPr>
                <w:rFonts w:cs="Times New Roman"/>
              </w:rPr>
              <w:t>±1.6</w:t>
            </w:r>
          </w:p>
        </w:tc>
      </w:tr>
      <w:tr w:rsidR="00FD50F6" w:rsidRPr="00FD50F6" w14:paraId="11EC27DD" w14:textId="77777777" w:rsidTr="002B733E">
        <w:trPr>
          <w:jc w:val="center"/>
        </w:trPr>
        <w:tc>
          <w:tcPr>
            <w:tcW w:w="706" w:type="dxa"/>
            <w:vAlign w:val="center"/>
          </w:tcPr>
          <w:p w14:paraId="5F948265" w14:textId="77777777" w:rsidR="002B733E" w:rsidRPr="00FD50F6" w:rsidRDefault="002B733E" w:rsidP="002B733E">
            <w:pPr>
              <w:pStyle w:val="7"/>
              <w:rPr>
                <w:rFonts w:cs="Times New Roman"/>
              </w:rPr>
            </w:pPr>
            <w:r w:rsidRPr="00FD50F6">
              <w:rPr>
                <w:rFonts w:cs="Times New Roman"/>
              </w:rPr>
              <w:t>45</w:t>
            </w:r>
          </w:p>
        </w:tc>
        <w:tc>
          <w:tcPr>
            <w:tcW w:w="657" w:type="dxa"/>
            <w:vAlign w:val="center"/>
          </w:tcPr>
          <w:p w14:paraId="5F5B33AE" w14:textId="77777777" w:rsidR="002B733E" w:rsidRPr="00FD50F6" w:rsidRDefault="002B733E" w:rsidP="002B733E">
            <w:pPr>
              <w:pStyle w:val="7"/>
              <w:rPr>
                <w:rFonts w:cs="Times New Roman"/>
              </w:rPr>
            </w:pPr>
            <w:r w:rsidRPr="00FD50F6">
              <w:rPr>
                <w:rFonts w:cs="Times New Roman"/>
              </w:rPr>
              <w:t>2.8</w:t>
            </w:r>
          </w:p>
        </w:tc>
        <w:tc>
          <w:tcPr>
            <w:tcW w:w="704" w:type="dxa"/>
            <w:vAlign w:val="center"/>
          </w:tcPr>
          <w:p w14:paraId="48DA95FE" w14:textId="77777777" w:rsidR="002B733E" w:rsidRPr="00FD50F6" w:rsidRDefault="002B733E" w:rsidP="002B733E">
            <w:pPr>
              <w:pStyle w:val="7"/>
              <w:rPr>
                <w:rFonts w:cs="Times New Roman"/>
              </w:rPr>
            </w:pPr>
            <w:r w:rsidRPr="00FD50F6">
              <w:rPr>
                <w:rFonts w:cs="Times New Roman"/>
              </w:rPr>
              <w:t>3.8</w:t>
            </w:r>
          </w:p>
        </w:tc>
        <w:tc>
          <w:tcPr>
            <w:tcW w:w="658" w:type="dxa"/>
            <w:vAlign w:val="center"/>
          </w:tcPr>
          <w:p w14:paraId="04B90DD0" w14:textId="77777777" w:rsidR="002B733E" w:rsidRPr="00FD50F6" w:rsidRDefault="002B733E" w:rsidP="002B733E">
            <w:pPr>
              <w:pStyle w:val="7"/>
              <w:rPr>
                <w:rFonts w:cs="Times New Roman"/>
              </w:rPr>
            </w:pPr>
            <w:r w:rsidRPr="00FD50F6">
              <w:rPr>
                <w:rFonts w:cs="Times New Roman"/>
              </w:rPr>
              <w:t>9</w:t>
            </w:r>
          </w:p>
        </w:tc>
        <w:tc>
          <w:tcPr>
            <w:tcW w:w="715" w:type="dxa"/>
            <w:vAlign w:val="center"/>
          </w:tcPr>
          <w:p w14:paraId="4A53A48D" w14:textId="77777777" w:rsidR="002B733E" w:rsidRPr="00FD50F6" w:rsidRDefault="002B733E" w:rsidP="002B733E">
            <w:pPr>
              <w:pStyle w:val="7"/>
              <w:rPr>
                <w:rFonts w:cs="Times New Roman"/>
              </w:rPr>
            </w:pPr>
            <w:r w:rsidRPr="00FD50F6">
              <w:rPr>
                <w:rFonts w:cs="Times New Roman"/>
              </w:rPr>
              <w:t>13.5</w:t>
            </w:r>
          </w:p>
        </w:tc>
        <w:tc>
          <w:tcPr>
            <w:tcW w:w="670" w:type="dxa"/>
            <w:vAlign w:val="center"/>
          </w:tcPr>
          <w:p w14:paraId="05DC93B6" w14:textId="77777777" w:rsidR="002B733E" w:rsidRPr="00FD50F6" w:rsidRDefault="002B733E" w:rsidP="002B733E">
            <w:pPr>
              <w:pStyle w:val="7"/>
              <w:rPr>
                <w:rFonts w:cs="Times New Roman"/>
              </w:rPr>
            </w:pPr>
            <w:r w:rsidRPr="00FD50F6">
              <w:rPr>
                <w:rFonts w:cs="Times New Roman"/>
              </w:rPr>
              <w:t>3.6</w:t>
            </w:r>
          </w:p>
        </w:tc>
        <w:tc>
          <w:tcPr>
            <w:tcW w:w="669" w:type="dxa"/>
            <w:vAlign w:val="center"/>
          </w:tcPr>
          <w:p w14:paraId="7A1B6277" w14:textId="77777777" w:rsidR="002B733E" w:rsidRPr="00FD50F6" w:rsidRDefault="002B733E" w:rsidP="002B733E">
            <w:pPr>
              <w:pStyle w:val="7"/>
              <w:rPr>
                <w:rFonts w:cs="Times New Roman"/>
              </w:rPr>
            </w:pPr>
            <w:r w:rsidRPr="00FD50F6">
              <w:rPr>
                <w:rFonts w:cs="Times New Roman"/>
              </w:rPr>
              <w:t>4.2</w:t>
            </w:r>
          </w:p>
        </w:tc>
        <w:tc>
          <w:tcPr>
            <w:tcW w:w="723" w:type="dxa"/>
            <w:vAlign w:val="center"/>
          </w:tcPr>
          <w:p w14:paraId="079D55A9" w14:textId="77777777" w:rsidR="002B733E" w:rsidRPr="00FD50F6" w:rsidRDefault="002B733E" w:rsidP="002B733E">
            <w:pPr>
              <w:pStyle w:val="7"/>
              <w:rPr>
                <w:rFonts w:cs="Times New Roman"/>
              </w:rPr>
            </w:pPr>
            <w:r w:rsidRPr="00FD50F6">
              <w:rPr>
                <w:rFonts w:cs="Times New Roman"/>
              </w:rPr>
              <w:t>±1.4</w:t>
            </w:r>
          </w:p>
        </w:tc>
        <w:tc>
          <w:tcPr>
            <w:tcW w:w="840" w:type="dxa"/>
            <w:vAlign w:val="center"/>
          </w:tcPr>
          <w:p w14:paraId="39EBF38F" w14:textId="77777777" w:rsidR="002B733E" w:rsidRPr="00FD50F6" w:rsidRDefault="002B733E" w:rsidP="002B733E">
            <w:pPr>
              <w:pStyle w:val="7"/>
              <w:rPr>
                <w:rFonts w:cs="Times New Roman"/>
              </w:rPr>
            </w:pPr>
            <w:r w:rsidRPr="00FD50F6">
              <w:rPr>
                <w:rFonts w:cs="Times New Roman"/>
              </w:rPr>
              <w:t>±1.9</w:t>
            </w:r>
          </w:p>
        </w:tc>
        <w:tc>
          <w:tcPr>
            <w:tcW w:w="765" w:type="dxa"/>
            <w:vAlign w:val="center"/>
          </w:tcPr>
          <w:p w14:paraId="2BEB9383" w14:textId="77777777" w:rsidR="002B733E" w:rsidRPr="00FD50F6" w:rsidRDefault="002B733E" w:rsidP="002B733E">
            <w:pPr>
              <w:pStyle w:val="7"/>
              <w:rPr>
                <w:rFonts w:cs="Times New Roman"/>
              </w:rPr>
            </w:pPr>
            <w:r w:rsidRPr="00FD50F6">
              <w:rPr>
                <w:rFonts w:cs="Times New Roman"/>
              </w:rPr>
              <w:t>±4.0</w:t>
            </w:r>
          </w:p>
        </w:tc>
        <w:tc>
          <w:tcPr>
            <w:tcW w:w="788" w:type="dxa"/>
            <w:vAlign w:val="center"/>
          </w:tcPr>
          <w:p w14:paraId="0786C4E9" w14:textId="77777777" w:rsidR="002B733E" w:rsidRPr="00FD50F6" w:rsidRDefault="002B733E" w:rsidP="002B733E">
            <w:pPr>
              <w:pStyle w:val="7"/>
              <w:rPr>
                <w:rFonts w:cs="Times New Roman"/>
              </w:rPr>
            </w:pPr>
            <w:r w:rsidRPr="00FD50F6">
              <w:rPr>
                <w:rFonts w:cs="Times New Roman"/>
              </w:rPr>
              <w:t>±6.0</w:t>
            </w:r>
          </w:p>
        </w:tc>
        <w:tc>
          <w:tcPr>
            <w:tcW w:w="784" w:type="dxa"/>
            <w:vAlign w:val="center"/>
          </w:tcPr>
          <w:p w14:paraId="583CDA96" w14:textId="77777777" w:rsidR="002B733E" w:rsidRPr="00FD50F6" w:rsidRDefault="002B733E" w:rsidP="002B733E">
            <w:pPr>
              <w:pStyle w:val="7"/>
              <w:rPr>
                <w:rFonts w:cs="Times New Roman"/>
              </w:rPr>
            </w:pPr>
            <w:r w:rsidRPr="00FD50F6">
              <w:rPr>
                <w:rFonts w:cs="Times New Roman"/>
              </w:rPr>
              <w:t>±1.6</w:t>
            </w:r>
          </w:p>
        </w:tc>
        <w:tc>
          <w:tcPr>
            <w:tcW w:w="659" w:type="dxa"/>
            <w:vAlign w:val="center"/>
          </w:tcPr>
          <w:p w14:paraId="319A9252" w14:textId="77777777" w:rsidR="002B733E" w:rsidRPr="00FD50F6" w:rsidRDefault="002B733E" w:rsidP="002B733E">
            <w:pPr>
              <w:pStyle w:val="7"/>
              <w:rPr>
                <w:rFonts w:cs="Times New Roman"/>
              </w:rPr>
            </w:pPr>
            <w:r w:rsidRPr="00FD50F6">
              <w:rPr>
                <w:rFonts w:cs="Times New Roman"/>
              </w:rPr>
              <w:t>±1.9</w:t>
            </w:r>
          </w:p>
        </w:tc>
      </w:tr>
      <w:tr w:rsidR="00FD50F6" w:rsidRPr="00FD50F6" w14:paraId="6EEB083E" w14:textId="77777777" w:rsidTr="002B733E">
        <w:trPr>
          <w:jc w:val="center"/>
        </w:trPr>
        <w:tc>
          <w:tcPr>
            <w:tcW w:w="706" w:type="dxa"/>
            <w:vAlign w:val="center"/>
          </w:tcPr>
          <w:p w14:paraId="2BC1F51F" w14:textId="77777777" w:rsidR="002B733E" w:rsidRPr="00FD50F6" w:rsidRDefault="002B733E" w:rsidP="002B733E">
            <w:pPr>
              <w:pStyle w:val="7"/>
              <w:rPr>
                <w:rFonts w:cs="Times New Roman"/>
              </w:rPr>
            </w:pPr>
            <w:r w:rsidRPr="00FD50F6">
              <w:rPr>
                <w:rFonts w:cs="Times New Roman"/>
              </w:rPr>
              <w:t>52</w:t>
            </w:r>
          </w:p>
        </w:tc>
        <w:tc>
          <w:tcPr>
            <w:tcW w:w="657" w:type="dxa"/>
            <w:vAlign w:val="center"/>
          </w:tcPr>
          <w:p w14:paraId="4AE563B4" w14:textId="77777777" w:rsidR="002B733E" w:rsidRPr="00FD50F6" w:rsidRDefault="002B733E" w:rsidP="002B733E">
            <w:pPr>
              <w:pStyle w:val="7"/>
              <w:rPr>
                <w:rFonts w:cs="Times New Roman"/>
              </w:rPr>
            </w:pPr>
            <w:r w:rsidRPr="00FD50F6">
              <w:rPr>
                <w:rFonts w:cs="Times New Roman"/>
              </w:rPr>
              <w:t>3.2</w:t>
            </w:r>
          </w:p>
        </w:tc>
        <w:tc>
          <w:tcPr>
            <w:tcW w:w="704" w:type="dxa"/>
            <w:vAlign w:val="center"/>
          </w:tcPr>
          <w:p w14:paraId="5D2EC821" w14:textId="77777777" w:rsidR="002B733E" w:rsidRPr="00FD50F6" w:rsidRDefault="002B733E" w:rsidP="002B733E">
            <w:pPr>
              <w:pStyle w:val="7"/>
              <w:rPr>
                <w:rFonts w:cs="Times New Roman"/>
              </w:rPr>
            </w:pPr>
            <w:r w:rsidRPr="00FD50F6">
              <w:rPr>
                <w:rFonts w:cs="Times New Roman"/>
              </w:rPr>
              <w:t>4.4</w:t>
            </w:r>
          </w:p>
        </w:tc>
        <w:tc>
          <w:tcPr>
            <w:tcW w:w="658" w:type="dxa"/>
            <w:vAlign w:val="center"/>
          </w:tcPr>
          <w:p w14:paraId="66C08EB9" w14:textId="77777777" w:rsidR="002B733E" w:rsidRPr="00FD50F6" w:rsidRDefault="002B733E" w:rsidP="002B733E">
            <w:pPr>
              <w:pStyle w:val="7"/>
              <w:rPr>
                <w:rFonts w:cs="Times New Roman"/>
              </w:rPr>
            </w:pPr>
            <w:r w:rsidRPr="00FD50F6">
              <w:rPr>
                <w:rFonts w:cs="Times New Roman"/>
              </w:rPr>
              <w:t>10.4</w:t>
            </w:r>
          </w:p>
        </w:tc>
        <w:tc>
          <w:tcPr>
            <w:tcW w:w="715" w:type="dxa"/>
            <w:vAlign w:val="center"/>
          </w:tcPr>
          <w:p w14:paraId="04304F43" w14:textId="77777777" w:rsidR="002B733E" w:rsidRPr="00FD50F6" w:rsidRDefault="002B733E" w:rsidP="002B733E">
            <w:pPr>
              <w:pStyle w:val="7"/>
              <w:rPr>
                <w:rFonts w:cs="Times New Roman"/>
              </w:rPr>
            </w:pPr>
            <w:r w:rsidRPr="00FD50F6">
              <w:rPr>
                <w:rFonts w:cs="Times New Roman"/>
              </w:rPr>
              <w:t>15.7</w:t>
            </w:r>
          </w:p>
        </w:tc>
        <w:tc>
          <w:tcPr>
            <w:tcW w:w="670" w:type="dxa"/>
            <w:vAlign w:val="center"/>
          </w:tcPr>
          <w:p w14:paraId="4C5D8113" w14:textId="77777777" w:rsidR="002B733E" w:rsidRPr="00FD50F6" w:rsidRDefault="002B733E" w:rsidP="002B733E">
            <w:pPr>
              <w:pStyle w:val="7"/>
              <w:rPr>
                <w:rFonts w:cs="Times New Roman"/>
              </w:rPr>
            </w:pPr>
            <w:r w:rsidRPr="00FD50F6">
              <w:rPr>
                <w:rFonts w:cs="Times New Roman"/>
              </w:rPr>
              <w:t>4.1</w:t>
            </w:r>
          </w:p>
        </w:tc>
        <w:tc>
          <w:tcPr>
            <w:tcW w:w="669" w:type="dxa"/>
            <w:vAlign w:val="center"/>
          </w:tcPr>
          <w:p w14:paraId="3A2D9789" w14:textId="77777777" w:rsidR="002B733E" w:rsidRPr="00FD50F6" w:rsidRDefault="002B733E" w:rsidP="002B733E">
            <w:pPr>
              <w:pStyle w:val="7"/>
              <w:rPr>
                <w:rFonts w:cs="Times New Roman"/>
              </w:rPr>
            </w:pPr>
            <w:r w:rsidRPr="00FD50F6">
              <w:rPr>
                <w:rFonts w:cs="Times New Roman"/>
              </w:rPr>
              <w:t>4.9</w:t>
            </w:r>
          </w:p>
        </w:tc>
        <w:tc>
          <w:tcPr>
            <w:tcW w:w="723" w:type="dxa"/>
            <w:vAlign w:val="center"/>
          </w:tcPr>
          <w:p w14:paraId="021B3040" w14:textId="77777777" w:rsidR="002B733E" w:rsidRPr="00FD50F6" w:rsidRDefault="002B733E" w:rsidP="002B733E">
            <w:pPr>
              <w:pStyle w:val="7"/>
              <w:rPr>
                <w:rFonts w:cs="Times New Roman"/>
              </w:rPr>
            </w:pPr>
            <w:r w:rsidRPr="00FD50F6">
              <w:rPr>
                <w:rFonts w:cs="Times New Roman"/>
              </w:rPr>
              <w:t>±1.6</w:t>
            </w:r>
          </w:p>
        </w:tc>
        <w:tc>
          <w:tcPr>
            <w:tcW w:w="840" w:type="dxa"/>
            <w:vAlign w:val="center"/>
          </w:tcPr>
          <w:p w14:paraId="6816B3AE" w14:textId="77777777" w:rsidR="002B733E" w:rsidRPr="00FD50F6" w:rsidRDefault="002B733E" w:rsidP="002B733E">
            <w:pPr>
              <w:pStyle w:val="7"/>
              <w:rPr>
                <w:rFonts w:cs="Times New Roman"/>
              </w:rPr>
            </w:pPr>
            <w:r w:rsidRPr="00FD50F6">
              <w:rPr>
                <w:rFonts w:cs="Times New Roman"/>
              </w:rPr>
              <w:t>±2.2</w:t>
            </w:r>
          </w:p>
        </w:tc>
        <w:tc>
          <w:tcPr>
            <w:tcW w:w="765" w:type="dxa"/>
            <w:vAlign w:val="center"/>
          </w:tcPr>
          <w:p w14:paraId="49F80F67" w14:textId="77777777" w:rsidR="002B733E" w:rsidRPr="00FD50F6" w:rsidRDefault="002B733E" w:rsidP="002B733E">
            <w:pPr>
              <w:pStyle w:val="7"/>
              <w:rPr>
                <w:rFonts w:cs="Times New Roman"/>
              </w:rPr>
            </w:pPr>
            <w:r w:rsidRPr="00FD50F6">
              <w:rPr>
                <w:rFonts w:cs="Times New Roman"/>
              </w:rPr>
              <w:t>±4.7</w:t>
            </w:r>
          </w:p>
        </w:tc>
        <w:tc>
          <w:tcPr>
            <w:tcW w:w="788" w:type="dxa"/>
            <w:vAlign w:val="center"/>
          </w:tcPr>
          <w:p w14:paraId="4C73B031" w14:textId="77777777" w:rsidR="002B733E" w:rsidRPr="00FD50F6" w:rsidRDefault="002B733E" w:rsidP="002B733E">
            <w:pPr>
              <w:pStyle w:val="7"/>
              <w:rPr>
                <w:rFonts w:cs="Times New Roman"/>
              </w:rPr>
            </w:pPr>
            <w:r w:rsidRPr="00FD50F6">
              <w:rPr>
                <w:rFonts w:cs="Times New Roman"/>
              </w:rPr>
              <w:t>±7.0</w:t>
            </w:r>
          </w:p>
        </w:tc>
        <w:tc>
          <w:tcPr>
            <w:tcW w:w="784" w:type="dxa"/>
            <w:vAlign w:val="center"/>
          </w:tcPr>
          <w:p w14:paraId="0D3B3679" w14:textId="77777777" w:rsidR="002B733E" w:rsidRPr="00FD50F6" w:rsidRDefault="002B733E" w:rsidP="002B733E">
            <w:pPr>
              <w:pStyle w:val="7"/>
              <w:rPr>
                <w:rFonts w:cs="Times New Roman"/>
              </w:rPr>
            </w:pPr>
            <w:r w:rsidRPr="00FD50F6">
              <w:rPr>
                <w:rFonts w:cs="Times New Roman"/>
              </w:rPr>
              <w:t>±1.9</w:t>
            </w:r>
          </w:p>
        </w:tc>
        <w:tc>
          <w:tcPr>
            <w:tcW w:w="659" w:type="dxa"/>
            <w:vAlign w:val="center"/>
          </w:tcPr>
          <w:p w14:paraId="33A57E4C" w14:textId="77777777" w:rsidR="002B733E" w:rsidRPr="00FD50F6" w:rsidRDefault="002B733E" w:rsidP="002B733E">
            <w:pPr>
              <w:pStyle w:val="7"/>
              <w:rPr>
                <w:rFonts w:cs="Times New Roman"/>
              </w:rPr>
            </w:pPr>
            <w:r w:rsidRPr="00FD50F6">
              <w:rPr>
                <w:rFonts w:cs="Times New Roman"/>
              </w:rPr>
              <w:t>±2.2</w:t>
            </w:r>
          </w:p>
        </w:tc>
      </w:tr>
      <w:tr w:rsidR="00FD50F6" w:rsidRPr="00FD50F6" w14:paraId="0A55FD31" w14:textId="77777777" w:rsidTr="002B733E">
        <w:trPr>
          <w:jc w:val="center"/>
        </w:trPr>
        <w:tc>
          <w:tcPr>
            <w:tcW w:w="706" w:type="dxa"/>
            <w:vAlign w:val="center"/>
          </w:tcPr>
          <w:p w14:paraId="49A81C2C" w14:textId="77777777" w:rsidR="002B733E" w:rsidRPr="00FD50F6" w:rsidRDefault="002B733E" w:rsidP="002B733E">
            <w:pPr>
              <w:pStyle w:val="7"/>
              <w:rPr>
                <w:rFonts w:cs="Times New Roman"/>
              </w:rPr>
            </w:pPr>
            <w:r w:rsidRPr="00FD50F6">
              <w:rPr>
                <w:rFonts w:cs="Times New Roman"/>
              </w:rPr>
              <w:t>61</w:t>
            </w:r>
          </w:p>
        </w:tc>
        <w:tc>
          <w:tcPr>
            <w:tcW w:w="657" w:type="dxa"/>
            <w:vAlign w:val="center"/>
          </w:tcPr>
          <w:p w14:paraId="514DA252" w14:textId="77777777" w:rsidR="002B733E" w:rsidRPr="00FD50F6" w:rsidRDefault="002B733E" w:rsidP="002B733E">
            <w:pPr>
              <w:pStyle w:val="7"/>
              <w:rPr>
                <w:rFonts w:cs="Times New Roman"/>
              </w:rPr>
            </w:pPr>
            <w:r w:rsidRPr="00FD50F6">
              <w:rPr>
                <w:rFonts w:cs="Times New Roman"/>
              </w:rPr>
              <w:t>3.8</w:t>
            </w:r>
          </w:p>
        </w:tc>
        <w:tc>
          <w:tcPr>
            <w:tcW w:w="704" w:type="dxa"/>
            <w:vAlign w:val="center"/>
          </w:tcPr>
          <w:p w14:paraId="2A58F191" w14:textId="77777777" w:rsidR="002B733E" w:rsidRPr="00FD50F6" w:rsidRDefault="002B733E" w:rsidP="002B733E">
            <w:pPr>
              <w:pStyle w:val="7"/>
              <w:rPr>
                <w:rFonts w:cs="Times New Roman"/>
              </w:rPr>
            </w:pPr>
            <w:r w:rsidRPr="00FD50F6">
              <w:rPr>
                <w:rFonts w:cs="Times New Roman"/>
              </w:rPr>
              <w:t>5.1</w:t>
            </w:r>
          </w:p>
        </w:tc>
        <w:tc>
          <w:tcPr>
            <w:tcW w:w="658" w:type="dxa"/>
            <w:vAlign w:val="center"/>
          </w:tcPr>
          <w:p w14:paraId="31380FFC" w14:textId="77777777" w:rsidR="002B733E" w:rsidRPr="00FD50F6" w:rsidRDefault="002B733E" w:rsidP="002B733E">
            <w:pPr>
              <w:pStyle w:val="7"/>
              <w:rPr>
                <w:rFonts w:cs="Times New Roman"/>
              </w:rPr>
            </w:pPr>
            <w:r w:rsidRPr="00FD50F6">
              <w:rPr>
                <w:rFonts w:cs="Times New Roman"/>
              </w:rPr>
              <w:t>12.2</w:t>
            </w:r>
          </w:p>
        </w:tc>
        <w:tc>
          <w:tcPr>
            <w:tcW w:w="715" w:type="dxa"/>
            <w:vAlign w:val="center"/>
          </w:tcPr>
          <w:p w14:paraId="4EC9F4E3" w14:textId="77777777" w:rsidR="002B733E" w:rsidRPr="00FD50F6" w:rsidRDefault="002B733E" w:rsidP="002B733E">
            <w:pPr>
              <w:pStyle w:val="7"/>
              <w:rPr>
                <w:rFonts w:cs="Times New Roman"/>
              </w:rPr>
            </w:pPr>
            <w:r w:rsidRPr="00FD50F6">
              <w:rPr>
                <w:rFonts w:cs="Times New Roman"/>
              </w:rPr>
              <w:t>18.4</w:t>
            </w:r>
          </w:p>
        </w:tc>
        <w:tc>
          <w:tcPr>
            <w:tcW w:w="670" w:type="dxa"/>
            <w:vAlign w:val="center"/>
          </w:tcPr>
          <w:p w14:paraId="34C4871A" w14:textId="77777777" w:rsidR="002B733E" w:rsidRPr="00FD50F6" w:rsidRDefault="002B733E" w:rsidP="002B733E">
            <w:pPr>
              <w:pStyle w:val="7"/>
              <w:rPr>
                <w:rFonts w:cs="Times New Roman"/>
              </w:rPr>
            </w:pPr>
            <w:r w:rsidRPr="00FD50F6">
              <w:rPr>
                <w:rFonts w:cs="Times New Roman"/>
              </w:rPr>
              <w:t>4.9</w:t>
            </w:r>
          </w:p>
        </w:tc>
        <w:tc>
          <w:tcPr>
            <w:tcW w:w="669" w:type="dxa"/>
            <w:vAlign w:val="center"/>
          </w:tcPr>
          <w:p w14:paraId="727FB3BA" w14:textId="77777777" w:rsidR="002B733E" w:rsidRPr="00FD50F6" w:rsidRDefault="002B733E" w:rsidP="002B733E">
            <w:pPr>
              <w:pStyle w:val="7"/>
              <w:rPr>
                <w:rFonts w:cs="Times New Roman"/>
              </w:rPr>
            </w:pPr>
            <w:r w:rsidRPr="00FD50F6">
              <w:rPr>
                <w:rFonts w:cs="Times New Roman"/>
              </w:rPr>
              <w:t>5.7</w:t>
            </w:r>
          </w:p>
        </w:tc>
        <w:tc>
          <w:tcPr>
            <w:tcW w:w="723" w:type="dxa"/>
            <w:vAlign w:val="center"/>
          </w:tcPr>
          <w:p w14:paraId="281EEB1F" w14:textId="77777777" w:rsidR="002B733E" w:rsidRPr="00FD50F6" w:rsidRDefault="002B733E" w:rsidP="002B733E">
            <w:pPr>
              <w:pStyle w:val="7"/>
              <w:rPr>
                <w:rFonts w:cs="Times New Roman"/>
              </w:rPr>
            </w:pPr>
            <w:r w:rsidRPr="00FD50F6">
              <w:rPr>
                <w:rFonts w:cs="Times New Roman"/>
              </w:rPr>
              <w:t>±1.9</w:t>
            </w:r>
          </w:p>
        </w:tc>
        <w:tc>
          <w:tcPr>
            <w:tcW w:w="840" w:type="dxa"/>
            <w:vAlign w:val="center"/>
          </w:tcPr>
          <w:p w14:paraId="452EC42D" w14:textId="77777777" w:rsidR="002B733E" w:rsidRPr="00FD50F6" w:rsidRDefault="002B733E" w:rsidP="002B733E">
            <w:pPr>
              <w:pStyle w:val="7"/>
              <w:rPr>
                <w:rFonts w:cs="Times New Roman"/>
              </w:rPr>
            </w:pPr>
            <w:r w:rsidRPr="00FD50F6">
              <w:rPr>
                <w:rFonts w:cs="Times New Roman"/>
              </w:rPr>
              <w:t>±2.6</w:t>
            </w:r>
          </w:p>
        </w:tc>
        <w:tc>
          <w:tcPr>
            <w:tcW w:w="765" w:type="dxa"/>
            <w:vAlign w:val="center"/>
          </w:tcPr>
          <w:p w14:paraId="2E28C9DE" w14:textId="77777777" w:rsidR="002B733E" w:rsidRPr="00FD50F6" w:rsidRDefault="002B733E" w:rsidP="002B733E">
            <w:pPr>
              <w:pStyle w:val="7"/>
              <w:rPr>
                <w:rFonts w:cs="Times New Roman"/>
              </w:rPr>
            </w:pPr>
            <w:r w:rsidRPr="00FD50F6">
              <w:rPr>
                <w:rFonts w:cs="Times New Roman"/>
              </w:rPr>
              <w:t>±5.5</w:t>
            </w:r>
          </w:p>
        </w:tc>
        <w:tc>
          <w:tcPr>
            <w:tcW w:w="788" w:type="dxa"/>
            <w:vAlign w:val="center"/>
          </w:tcPr>
          <w:p w14:paraId="6DD5031E" w14:textId="77777777" w:rsidR="002B733E" w:rsidRPr="00FD50F6" w:rsidRDefault="002B733E" w:rsidP="002B733E">
            <w:pPr>
              <w:pStyle w:val="7"/>
              <w:rPr>
                <w:rFonts w:cs="Times New Roman"/>
              </w:rPr>
            </w:pPr>
            <w:r w:rsidRPr="00FD50F6">
              <w:rPr>
                <w:rFonts w:cs="Times New Roman"/>
              </w:rPr>
              <w:t>±8.2</w:t>
            </w:r>
          </w:p>
        </w:tc>
        <w:tc>
          <w:tcPr>
            <w:tcW w:w="784" w:type="dxa"/>
            <w:vAlign w:val="center"/>
          </w:tcPr>
          <w:p w14:paraId="1FE57BF4" w14:textId="77777777" w:rsidR="002B733E" w:rsidRPr="00FD50F6" w:rsidRDefault="002B733E" w:rsidP="002B733E">
            <w:pPr>
              <w:pStyle w:val="7"/>
              <w:rPr>
                <w:rFonts w:cs="Times New Roman"/>
              </w:rPr>
            </w:pPr>
            <w:r w:rsidRPr="00FD50F6">
              <w:rPr>
                <w:rFonts w:cs="Times New Roman"/>
              </w:rPr>
              <w:t>±2.2</w:t>
            </w:r>
          </w:p>
        </w:tc>
        <w:tc>
          <w:tcPr>
            <w:tcW w:w="659" w:type="dxa"/>
            <w:vAlign w:val="center"/>
          </w:tcPr>
          <w:p w14:paraId="41D10267" w14:textId="77777777" w:rsidR="002B733E" w:rsidRPr="00FD50F6" w:rsidRDefault="002B733E" w:rsidP="002B733E">
            <w:pPr>
              <w:pStyle w:val="7"/>
              <w:rPr>
                <w:rFonts w:cs="Times New Roman"/>
              </w:rPr>
            </w:pPr>
            <w:r w:rsidRPr="00FD50F6">
              <w:rPr>
                <w:rFonts w:cs="Times New Roman"/>
              </w:rPr>
              <w:t>±2.6</w:t>
            </w:r>
          </w:p>
        </w:tc>
      </w:tr>
    </w:tbl>
    <w:p w14:paraId="1FDEF720" w14:textId="77777777" w:rsidR="002B733E" w:rsidRPr="00FD50F6" w:rsidRDefault="002B733E" w:rsidP="002B733E">
      <w:pPr>
        <w:spacing w:line="240" w:lineRule="auto"/>
        <w:rPr>
          <w:rFonts w:ascii="Calibri" w:hAnsi="Calibri" w:cs="Times New Roman"/>
          <w:sz w:val="21"/>
          <w:szCs w:val="24"/>
        </w:rPr>
      </w:pPr>
    </w:p>
    <w:p w14:paraId="47BB548D" w14:textId="5EFEDB7A" w:rsidR="002B733E" w:rsidRPr="00FD50F6" w:rsidRDefault="002B733E" w:rsidP="002B733E">
      <w:pPr>
        <w:pStyle w:val="8"/>
        <w:ind w:firstLine="480"/>
      </w:pPr>
      <w:r w:rsidRPr="00FD50F6">
        <w:t xml:space="preserve">4 </w:t>
      </w:r>
      <w:r w:rsidRPr="00FD50F6">
        <w:rPr>
          <w:rFonts w:hint="eastAsia"/>
        </w:rPr>
        <w:t>曲线轨道参数及车辆参数变化引起车体及转向架车辆限界或设备限界加宽量可按下列公式计算：</w:t>
      </w:r>
    </w:p>
    <w:p w14:paraId="78A77B76" w14:textId="77777777" w:rsidR="002B733E" w:rsidRPr="00FD50F6" w:rsidRDefault="002B733E" w:rsidP="002B733E">
      <w:pPr>
        <w:pStyle w:val="8"/>
        <w:ind w:firstLine="480"/>
      </w:pPr>
      <w:r w:rsidRPr="00FD50F6">
        <w:t>1</w:t>
      </w:r>
      <w:r w:rsidRPr="00FD50F6">
        <w:rPr>
          <w:rFonts w:hint="eastAsia"/>
        </w:rPr>
        <w:t>）曲线外侧：</w:t>
      </w:r>
    </w:p>
    <w:p w14:paraId="4C3860B1" w14:textId="77777777" w:rsidR="002B733E" w:rsidRPr="00FD50F6" w:rsidRDefault="002B733E" w:rsidP="002B733E">
      <w:pPr>
        <w:pStyle w:val="8"/>
        <w:ind w:firstLine="480"/>
      </w:pPr>
      <w:r w:rsidRPr="00FD50F6">
        <w:rPr>
          <w:rFonts w:hint="eastAsia"/>
        </w:rPr>
        <w:t>整体道床</w:t>
      </w:r>
      <w:r w:rsidRPr="00FD50F6">
        <w:rPr>
          <w:rFonts w:hint="eastAsia"/>
          <w:i/>
        </w:rPr>
        <w:t>△</w:t>
      </w:r>
      <w:r w:rsidRPr="00FD50F6">
        <w:rPr>
          <w:i/>
        </w:rPr>
        <w:t>Y</w:t>
      </w:r>
      <w:r w:rsidRPr="00FD50F6">
        <w:rPr>
          <w:i/>
          <w:vertAlign w:val="subscript"/>
        </w:rPr>
        <w:t>ca</w:t>
      </w:r>
      <w:r w:rsidRPr="00FD50F6">
        <w:rPr>
          <w:i/>
        </w:rPr>
        <w:t>=</w:t>
      </w:r>
      <w:r w:rsidRPr="00FD50F6">
        <w:rPr>
          <w:rFonts w:hint="eastAsia"/>
          <w:i/>
        </w:rPr>
        <w:t>3+300/R</w:t>
      </w:r>
      <w:r w:rsidRPr="00FD50F6">
        <w:rPr>
          <w:i/>
        </w:rPr>
        <w:t>+</w:t>
      </w:r>
      <w:r w:rsidRPr="00FD50F6">
        <w:rPr>
          <w:rFonts w:hint="eastAsia"/>
          <w:i/>
        </w:rPr>
        <w:t>△</w:t>
      </w:r>
      <w:r w:rsidRPr="00FD50F6">
        <w:rPr>
          <w:i/>
          <w:vertAlign w:val="subscript"/>
        </w:rPr>
        <w:t>de</w:t>
      </w:r>
      <w:r w:rsidRPr="00FD50F6">
        <w:rPr>
          <w:i/>
        </w:rPr>
        <w:t>+</w:t>
      </w:r>
      <w:r w:rsidRPr="00FD50F6">
        <w:rPr>
          <w:rFonts w:hint="eastAsia"/>
          <w:i/>
        </w:rPr>
        <w:t>△</w:t>
      </w:r>
      <w:r w:rsidRPr="00FD50F6">
        <w:rPr>
          <w:i/>
          <w:vertAlign w:val="subscript"/>
        </w:rPr>
        <w:t>w</w:t>
      </w:r>
      <w:r w:rsidRPr="00FD50F6">
        <w:rPr>
          <w:i/>
        </w:rPr>
        <w:t xml:space="preserve"> +</w:t>
      </w:r>
      <w:r w:rsidRPr="00FD50F6">
        <w:rPr>
          <w:rFonts w:hint="eastAsia"/>
          <w:i/>
        </w:rPr>
        <w:t>△</w:t>
      </w:r>
      <w:r w:rsidRPr="00FD50F6">
        <w:rPr>
          <w:i/>
          <w:vertAlign w:val="subscript"/>
        </w:rPr>
        <w:t>q</w:t>
      </w:r>
      <w:r w:rsidRPr="00FD50F6">
        <w:rPr>
          <w:i/>
        </w:rPr>
        <w:t xml:space="preserve">             </w:t>
      </w:r>
      <w:r w:rsidRPr="00FD50F6">
        <w:rPr>
          <w:rFonts w:hint="eastAsia"/>
          <w:i/>
        </w:rPr>
        <w:t xml:space="preserve">        </w:t>
      </w:r>
      <w:r w:rsidRPr="00FD50F6">
        <w:rPr>
          <w:rFonts w:hint="eastAsia"/>
        </w:rPr>
        <w:t>（</w:t>
      </w:r>
      <w:r w:rsidRPr="00FD50F6">
        <w:rPr>
          <w:rFonts w:hint="eastAsia"/>
        </w:rPr>
        <w:t>F.0.2-1</w:t>
      </w:r>
      <w:r w:rsidRPr="00FD50F6">
        <w:rPr>
          <w:rFonts w:hint="eastAsia"/>
        </w:rPr>
        <w:t>）</w:t>
      </w:r>
    </w:p>
    <w:p w14:paraId="29E245D6" w14:textId="77777777" w:rsidR="002B733E" w:rsidRPr="00FD50F6" w:rsidRDefault="002B733E" w:rsidP="002B733E">
      <w:pPr>
        <w:pStyle w:val="8"/>
        <w:ind w:firstLine="480"/>
      </w:pPr>
      <w:r w:rsidRPr="00FD50F6">
        <w:rPr>
          <w:rFonts w:hint="eastAsia"/>
        </w:rPr>
        <w:t>碎石道床</w:t>
      </w:r>
      <w:r w:rsidRPr="00FD50F6">
        <w:t xml:space="preserve"> </w:t>
      </w:r>
      <w:r w:rsidRPr="00FD50F6">
        <w:rPr>
          <w:rFonts w:hint="eastAsia"/>
          <w:i/>
        </w:rPr>
        <w:t>△</w:t>
      </w:r>
      <w:r w:rsidRPr="00FD50F6">
        <w:rPr>
          <w:i/>
        </w:rPr>
        <w:t>Y</w:t>
      </w:r>
      <w:r w:rsidRPr="00FD50F6">
        <w:rPr>
          <w:i/>
          <w:vertAlign w:val="subscript"/>
        </w:rPr>
        <w:t>ca</w:t>
      </w:r>
      <w:r w:rsidRPr="00FD50F6">
        <w:rPr>
          <w:i/>
        </w:rPr>
        <w:t>=1000/R+</w:t>
      </w:r>
      <w:r w:rsidRPr="00FD50F6">
        <w:rPr>
          <w:rFonts w:hint="eastAsia"/>
          <w:i/>
        </w:rPr>
        <w:t xml:space="preserve">3+300/R </w:t>
      </w:r>
      <w:r w:rsidRPr="00FD50F6">
        <w:rPr>
          <w:i/>
        </w:rPr>
        <w:t>+</w:t>
      </w:r>
      <w:r w:rsidRPr="00FD50F6">
        <w:rPr>
          <w:rFonts w:hint="eastAsia"/>
          <w:i/>
        </w:rPr>
        <w:t>△</w:t>
      </w:r>
      <w:r w:rsidRPr="00FD50F6">
        <w:rPr>
          <w:i/>
          <w:vertAlign w:val="subscript"/>
        </w:rPr>
        <w:t>de</w:t>
      </w:r>
      <w:r w:rsidRPr="00FD50F6">
        <w:rPr>
          <w:i/>
        </w:rPr>
        <w:t xml:space="preserve"> +</w:t>
      </w:r>
      <w:r w:rsidRPr="00FD50F6">
        <w:rPr>
          <w:rFonts w:hint="eastAsia"/>
          <w:i/>
        </w:rPr>
        <w:t>△</w:t>
      </w:r>
      <w:r w:rsidRPr="00FD50F6">
        <w:rPr>
          <w:i/>
          <w:vertAlign w:val="subscript"/>
        </w:rPr>
        <w:t>w</w:t>
      </w:r>
      <w:r w:rsidRPr="00FD50F6">
        <w:rPr>
          <w:i/>
        </w:rPr>
        <w:t xml:space="preserve"> +</w:t>
      </w:r>
      <w:r w:rsidRPr="00FD50F6">
        <w:rPr>
          <w:rFonts w:hint="eastAsia"/>
          <w:i/>
        </w:rPr>
        <w:t>△</w:t>
      </w:r>
      <w:r w:rsidRPr="00FD50F6">
        <w:rPr>
          <w:i/>
          <w:vertAlign w:val="subscript"/>
        </w:rPr>
        <w:t>q</w:t>
      </w:r>
      <w:r w:rsidRPr="00FD50F6">
        <w:rPr>
          <w:i/>
        </w:rPr>
        <w:t xml:space="preserve"> </w:t>
      </w:r>
      <w:r w:rsidRPr="00FD50F6">
        <w:rPr>
          <w:rFonts w:hint="eastAsia"/>
          <w:i/>
        </w:rPr>
        <w:t xml:space="preserve">        </w:t>
      </w:r>
      <w:r w:rsidRPr="00FD50F6">
        <w:rPr>
          <w:i/>
        </w:rPr>
        <w:t xml:space="preserve">   </w:t>
      </w:r>
      <w:r w:rsidRPr="00FD50F6">
        <w:rPr>
          <w:rFonts w:hint="eastAsia"/>
        </w:rPr>
        <w:t>（</w:t>
      </w:r>
      <w:r w:rsidRPr="00FD50F6">
        <w:rPr>
          <w:rFonts w:hint="eastAsia"/>
        </w:rPr>
        <w:t>F.0.2-2</w:t>
      </w:r>
      <w:r w:rsidRPr="00FD50F6">
        <w:rPr>
          <w:rFonts w:hint="eastAsia"/>
        </w:rPr>
        <w:t>）</w:t>
      </w:r>
    </w:p>
    <w:p w14:paraId="689DECEB" w14:textId="77777777" w:rsidR="002B733E" w:rsidRPr="00FD50F6" w:rsidRDefault="002B733E" w:rsidP="002B733E">
      <w:pPr>
        <w:pStyle w:val="8"/>
        <w:ind w:firstLine="480"/>
      </w:pPr>
      <w:r w:rsidRPr="00FD50F6">
        <w:t>2</w:t>
      </w:r>
      <w:r w:rsidRPr="00FD50F6">
        <w:rPr>
          <w:rFonts w:hint="eastAsia"/>
        </w:rPr>
        <w:t>）曲线内侧：</w:t>
      </w:r>
    </w:p>
    <w:p w14:paraId="0D96ECD5" w14:textId="77777777" w:rsidR="002B733E" w:rsidRPr="00FD50F6" w:rsidRDefault="002B733E" w:rsidP="002B733E">
      <w:pPr>
        <w:pStyle w:val="8"/>
        <w:ind w:firstLine="480"/>
      </w:pPr>
      <w:r w:rsidRPr="00FD50F6">
        <w:rPr>
          <w:rFonts w:hint="eastAsia"/>
        </w:rPr>
        <w:t>整体道床</w:t>
      </w:r>
      <w:r w:rsidRPr="00FD50F6">
        <w:t xml:space="preserve"> </w:t>
      </w:r>
      <w:r w:rsidRPr="00FD50F6">
        <w:rPr>
          <w:rFonts w:hint="eastAsia"/>
          <w:i/>
        </w:rPr>
        <w:t>△</w:t>
      </w:r>
      <w:r w:rsidRPr="00FD50F6">
        <w:rPr>
          <w:i/>
        </w:rPr>
        <w:t>Y</w:t>
      </w:r>
      <w:r w:rsidRPr="00FD50F6">
        <w:rPr>
          <w:i/>
          <w:vertAlign w:val="subscript"/>
        </w:rPr>
        <w:t>ci</w:t>
      </w:r>
      <w:r w:rsidRPr="00FD50F6">
        <w:rPr>
          <w:i/>
        </w:rPr>
        <w:t>=</w:t>
      </w:r>
      <w:r w:rsidRPr="00FD50F6">
        <w:rPr>
          <w:rFonts w:hint="eastAsia"/>
          <w:i/>
        </w:rPr>
        <w:t xml:space="preserve">300/R </w:t>
      </w:r>
      <w:r w:rsidRPr="00FD50F6">
        <w:rPr>
          <w:i/>
        </w:rPr>
        <w:t>+</w:t>
      </w:r>
      <w:r w:rsidRPr="00FD50F6">
        <w:rPr>
          <w:rFonts w:hint="eastAsia"/>
          <w:i/>
        </w:rPr>
        <w:t>△</w:t>
      </w:r>
      <w:r w:rsidRPr="00FD50F6">
        <w:rPr>
          <w:i/>
          <w:vertAlign w:val="subscript"/>
        </w:rPr>
        <w:t>de</w:t>
      </w:r>
      <w:r w:rsidRPr="00FD50F6">
        <w:rPr>
          <w:i/>
        </w:rPr>
        <w:t xml:space="preserve"> +</w:t>
      </w:r>
      <w:r w:rsidRPr="00FD50F6">
        <w:rPr>
          <w:rFonts w:hint="eastAsia"/>
          <w:i/>
        </w:rPr>
        <w:t>△</w:t>
      </w:r>
      <w:r w:rsidRPr="00FD50F6">
        <w:rPr>
          <w:i/>
          <w:vertAlign w:val="subscript"/>
        </w:rPr>
        <w:t>w</w:t>
      </w:r>
      <w:r w:rsidRPr="00FD50F6">
        <w:rPr>
          <w:i/>
        </w:rPr>
        <w:t xml:space="preserve"> +</w:t>
      </w:r>
      <w:r w:rsidRPr="00FD50F6">
        <w:rPr>
          <w:rFonts w:hint="eastAsia"/>
          <w:i/>
        </w:rPr>
        <w:t>△</w:t>
      </w:r>
      <w:r w:rsidRPr="00FD50F6">
        <w:rPr>
          <w:i/>
          <w:vertAlign w:val="subscript"/>
        </w:rPr>
        <w:t>q</w:t>
      </w:r>
      <w:r w:rsidRPr="00FD50F6">
        <w:rPr>
          <w:i/>
        </w:rPr>
        <w:t xml:space="preserve"> </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F.0.2-3</w:t>
      </w:r>
      <w:r w:rsidRPr="00FD50F6">
        <w:rPr>
          <w:rFonts w:hint="eastAsia"/>
        </w:rPr>
        <w:t>）</w:t>
      </w:r>
    </w:p>
    <w:p w14:paraId="72086BB6" w14:textId="77777777" w:rsidR="002B733E" w:rsidRPr="00FD50F6" w:rsidRDefault="002B733E" w:rsidP="002B733E">
      <w:pPr>
        <w:pStyle w:val="8"/>
        <w:ind w:firstLine="480"/>
      </w:pPr>
      <w:r w:rsidRPr="00FD50F6">
        <w:rPr>
          <w:rFonts w:hint="eastAsia"/>
        </w:rPr>
        <w:t>碎石道床</w:t>
      </w:r>
      <w:r w:rsidRPr="00FD50F6">
        <w:t xml:space="preserve"> </w:t>
      </w:r>
      <w:r w:rsidRPr="00FD50F6">
        <w:rPr>
          <w:rFonts w:hint="eastAsia"/>
          <w:i/>
        </w:rPr>
        <w:t>△</w:t>
      </w:r>
      <w:r w:rsidRPr="00FD50F6">
        <w:rPr>
          <w:i/>
        </w:rPr>
        <w:t>Y</w:t>
      </w:r>
      <w:r w:rsidRPr="00FD50F6">
        <w:rPr>
          <w:i/>
          <w:vertAlign w:val="subscript"/>
        </w:rPr>
        <w:t>ci</w:t>
      </w:r>
      <w:r w:rsidRPr="00FD50F6">
        <w:rPr>
          <w:i/>
        </w:rPr>
        <w:t>=1000/R</w:t>
      </w:r>
      <w:r w:rsidRPr="00FD50F6">
        <w:rPr>
          <w:rFonts w:hint="eastAsia"/>
          <w:i/>
        </w:rPr>
        <w:t xml:space="preserve"> </w:t>
      </w:r>
      <w:r w:rsidRPr="00FD50F6">
        <w:rPr>
          <w:i/>
        </w:rPr>
        <w:t>+</w:t>
      </w:r>
      <w:r w:rsidRPr="00FD50F6">
        <w:rPr>
          <w:rFonts w:hint="eastAsia"/>
          <w:i/>
        </w:rPr>
        <w:t>300/R</w:t>
      </w:r>
      <w:r w:rsidRPr="00FD50F6">
        <w:rPr>
          <w:i/>
        </w:rPr>
        <w:t>+</w:t>
      </w:r>
      <w:r w:rsidRPr="00FD50F6">
        <w:rPr>
          <w:rFonts w:hint="eastAsia"/>
          <w:i/>
        </w:rPr>
        <w:t>△</w:t>
      </w:r>
      <w:r w:rsidRPr="00FD50F6">
        <w:rPr>
          <w:i/>
          <w:vertAlign w:val="subscript"/>
        </w:rPr>
        <w:t>de</w:t>
      </w:r>
      <w:r w:rsidRPr="00FD50F6">
        <w:rPr>
          <w:i/>
        </w:rPr>
        <w:t xml:space="preserve"> +</w:t>
      </w:r>
      <w:r w:rsidRPr="00FD50F6">
        <w:rPr>
          <w:rFonts w:hint="eastAsia"/>
          <w:i/>
        </w:rPr>
        <w:t>△</w:t>
      </w:r>
      <w:r w:rsidRPr="00FD50F6">
        <w:rPr>
          <w:i/>
          <w:vertAlign w:val="subscript"/>
        </w:rPr>
        <w:t>w</w:t>
      </w:r>
      <w:r w:rsidRPr="00FD50F6">
        <w:rPr>
          <w:i/>
        </w:rPr>
        <w:t xml:space="preserve"> +</w:t>
      </w:r>
      <w:r w:rsidRPr="00FD50F6">
        <w:rPr>
          <w:rFonts w:hint="eastAsia"/>
          <w:i/>
        </w:rPr>
        <w:t>△</w:t>
      </w:r>
      <w:r w:rsidRPr="00FD50F6">
        <w:rPr>
          <w:i/>
          <w:vertAlign w:val="subscript"/>
        </w:rPr>
        <w:t>q</w:t>
      </w:r>
      <w:r w:rsidRPr="00FD50F6">
        <w:rPr>
          <w:rFonts w:hint="eastAsia"/>
          <w:i/>
        </w:rPr>
        <w:t xml:space="preserve"> </w:t>
      </w:r>
      <w:r w:rsidRPr="00FD50F6">
        <w:rPr>
          <w:i/>
        </w:rPr>
        <w:t xml:space="preserve">    </w:t>
      </w:r>
      <w:r w:rsidRPr="00FD50F6">
        <w:t xml:space="preserve"> </w:t>
      </w:r>
      <w:r w:rsidRPr="00FD50F6">
        <w:rPr>
          <w:rFonts w:hint="eastAsia"/>
        </w:rPr>
        <w:t xml:space="preserve">   </w:t>
      </w:r>
      <w:r w:rsidRPr="00FD50F6">
        <w:t xml:space="preserve">     </w:t>
      </w:r>
      <w:r w:rsidRPr="00FD50F6">
        <w:rPr>
          <w:rFonts w:hint="eastAsia"/>
        </w:rPr>
        <w:t xml:space="preserve"> </w:t>
      </w:r>
      <w:r w:rsidRPr="00FD50F6">
        <w:rPr>
          <w:rFonts w:hint="eastAsia"/>
        </w:rPr>
        <w:t>（</w:t>
      </w:r>
      <w:r w:rsidRPr="00FD50F6">
        <w:rPr>
          <w:rFonts w:hint="eastAsia"/>
        </w:rPr>
        <w:t>F.0.2-4</w:t>
      </w:r>
      <w:r w:rsidRPr="00FD50F6">
        <w:rPr>
          <w:rFonts w:hint="eastAsia"/>
        </w:rPr>
        <w:t>）</w:t>
      </w:r>
    </w:p>
    <w:p w14:paraId="48191822" w14:textId="342AD9DD" w:rsidR="002B733E" w:rsidRPr="00FD50F6" w:rsidRDefault="002B733E" w:rsidP="001A4CF3">
      <w:pPr>
        <w:pStyle w:val="8"/>
        <w:ind w:firstLineChars="0" w:firstLine="0"/>
      </w:pPr>
      <w:r w:rsidRPr="00FD50F6">
        <w:rPr>
          <w:rFonts w:hint="eastAsia"/>
        </w:rPr>
        <w:t>式中：</w:t>
      </w:r>
      <w:r w:rsidRPr="00FD50F6">
        <w:t xml:space="preserve">  </w:t>
      </w:r>
      <w:r w:rsidRPr="00FD50F6">
        <w:rPr>
          <w:rFonts w:hint="eastAsia"/>
          <w:i/>
        </w:rPr>
        <w:t>△</w:t>
      </w:r>
      <w:r w:rsidRPr="00FD50F6">
        <w:rPr>
          <w:i/>
          <w:vertAlign w:val="subscript"/>
        </w:rPr>
        <w:t>de</w:t>
      </w:r>
      <w:r w:rsidRPr="00FD50F6">
        <w:rPr>
          <w:rFonts w:hint="eastAsia"/>
        </w:rPr>
        <w:t>——钢轨横向弹性变形量（</w:t>
      </w:r>
      <w:r w:rsidRPr="00FD50F6">
        <w:t>mm</w:t>
      </w:r>
      <w:r w:rsidRPr="00FD50F6">
        <w:rPr>
          <w:rFonts w:hint="eastAsia"/>
        </w:rPr>
        <w:t>），曲线与直线差值取</w:t>
      </w:r>
      <w:r w:rsidRPr="00FD50F6">
        <w:t>1.4mm</w:t>
      </w:r>
      <w:r w:rsidRPr="00FD50F6">
        <w:rPr>
          <w:rFonts w:hint="eastAsia"/>
        </w:rPr>
        <w:t>；</w:t>
      </w:r>
    </w:p>
    <w:p w14:paraId="05BFA34D" w14:textId="2D351E14" w:rsidR="002B733E" w:rsidRPr="00FD50F6" w:rsidRDefault="002B733E" w:rsidP="002B733E">
      <w:pPr>
        <w:pStyle w:val="8"/>
        <w:ind w:firstLineChars="500" w:firstLine="1200"/>
      </w:pPr>
      <w:r w:rsidRPr="00FD50F6">
        <w:rPr>
          <w:rFonts w:hint="eastAsia"/>
          <w:i/>
        </w:rPr>
        <w:t>△</w:t>
      </w:r>
      <w:r w:rsidRPr="00FD50F6">
        <w:rPr>
          <w:i/>
          <w:vertAlign w:val="subscript"/>
        </w:rPr>
        <w:t>w</w:t>
      </w:r>
      <w:r w:rsidRPr="00FD50F6">
        <w:rPr>
          <w:rFonts w:hint="eastAsia"/>
        </w:rPr>
        <w:t>——车辆二系弹簧的横向位移（</w:t>
      </w:r>
      <w:r w:rsidRPr="00FD50F6">
        <w:t>mm</w:t>
      </w:r>
      <w:r w:rsidRPr="00FD50F6">
        <w:rPr>
          <w:rFonts w:hint="eastAsia"/>
        </w:rPr>
        <w:t>），在曲线与直线的差值取</w:t>
      </w:r>
      <w:r w:rsidRPr="00FD50F6">
        <w:t>15mm</w:t>
      </w:r>
      <w:r w:rsidRPr="00FD50F6">
        <w:rPr>
          <w:rFonts w:hint="eastAsia"/>
        </w:rPr>
        <w:t>；</w:t>
      </w:r>
    </w:p>
    <w:p w14:paraId="23E8775F" w14:textId="29E1A9EB" w:rsidR="002B733E" w:rsidRPr="00FD50F6" w:rsidRDefault="002B733E" w:rsidP="002B733E">
      <w:pPr>
        <w:pStyle w:val="8"/>
        <w:ind w:firstLineChars="500" w:firstLine="1200"/>
      </w:pPr>
      <w:r w:rsidRPr="00FD50F6">
        <w:rPr>
          <w:rFonts w:hint="eastAsia"/>
          <w:i/>
        </w:rPr>
        <w:t>△</w:t>
      </w:r>
      <w:r w:rsidRPr="00FD50F6">
        <w:rPr>
          <w:i/>
          <w:vertAlign w:val="subscript"/>
        </w:rPr>
        <w:t>q</w:t>
      </w:r>
      <w:r w:rsidRPr="00FD50F6">
        <w:rPr>
          <w:rFonts w:hint="eastAsia"/>
        </w:rPr>
        <w:t>——车辆一系弹簧的横向位移（</w:t>
      </w:r>
      <w:r w:rsidRPr="00FD50F6">
        <w:t>mm</w:t>
      </w:r>
      <w:r w:rsidRPr="00FD50F6">
        <w:rPr>
          <w:rFonts w:hint="eastAsia"/>
        </w:rPr>
        <w:t>），在曲线与直线的差值取</w:t>
      </w:r>
      <w:r w:rsidRPr="00FD50F6">
        <w:t>4mm</w:t>
      </w:r>
      <w:r w:rsidRPr="00FD50F6">
        <w:rPr>
          <w:rFonts w:hint="eastAsia"/>
        </w:rPr>
        <w:t>；</w:t>
      </w:r>
    </w:p>
    <w:p w14:paraId="28384C68" w14:textId="51406DD1" w:rsidR="002B733E" w:rsidRPr="00FD50F6" w:rsidRDefault="002B733E" w:rsidP="002B733E">
      <w:pPr>
        <w:pStyle w:val="8"/>
        <w:ind w:firstLineChars="500" w:firstLine="1200"/>
      </w:pPr>
      <w:r w:rsidRPr="00FD50F6">
        <w:rPr>
          <w:rFonts w:hint="eastAsia"/>
          <w:i/>
        </w:rPr>
        <w:t>R</w:t>
      </w:r>
      <w:r w:rsidRPr="00FD50F6">
        <w:rPr>
          <w:rFonts w:hint="eastAsia"/>
        </w:rPr>
        <w:t>——平面曲线半径（</w:t>
      </w:r>
      <w:r w:rsidRPr="00FD50F6">
        <w:t>m</w:t>
      </w:r>
      <w:r w:rsidRPr="00FD50F6">
        <w:rPr>
          <w:rFonts w:hint="eastAsia"/>
        </w:rPr>
        <w:t>）。</w:t>
      </w:r>
    </w:p>
    <w:p w14:paraId="12D803E8" w14:textId="2FC1D5C6" w:rsidR="002B733E" w:rsidRPr="00FD50F6" w:rsidRDefault="002B733E" w:rsidP="002B733E">
      <w:pPr>
        <w:pStyle w:val="8"/>
        <w:ind w:firstLine="480"/>
      </w:pPr>
      <w:r w:rsidRPr="00FD50F6">
        <w:lastRenderedPageBreak/>
        <w:t xml:space="preserve">5 </w:t>
      </w:r>
      <w:r w:rsidRPr="00FD50F6">
        <w:rPr>
          <w:rFonts w:hint="eastAsia"/>
        </w:rPr>
        <w:t>车辆限界和设备限界偏移量总和可按下列规定计算：</w:t>
      </w:r>
    </w:p>
    <w:p w14:paraId="041A91C2" w14:textId="77777777" w:rsidR="002B733E" w:rsidRPr="00FD50F6" w:rsidRDefault="002B733E" w:rsidP="002B733E">
      <w:pPr>
        <w:pStyle w:val="8"/>
        <w:ind w:firstLine="480"/>
        <w:jc w:val="left"/>
      </w:pPr>
      <w:r w:rsidRPr="00FD50F6">
        <w:t>1</w:t>
      </w:r>
      <w:r w:rsidRPr="00FD50F6">
        <w:rPr>
          <w:rFonts w:hint="eastAsia"/>
        </w:rPr>
        <w:t>）</w:t>
      </w:r>
      <w:r w:rsidRPr="00FD50F6">
        <w:t xml:space="preserve"> </w:t>
      </w:r>
      <w:r w:rsidRPr="00FD50F6">
        <w:rPr>
          <w:rFonts w:hint="eastAsia"/>
        </w:rPr>
        <w:t>当车体横向加宽和过超高（或欠超高）偏移方向相同时，可按下列公式计算：</w:t>
      </w:r>
    </w:p>
    <w:p w14:paraId="0A5674FB" w14:textId="77777777" w:rsidR="002B733E" w:rsidRPr="00FD50F6" w:rsidRDefault="002B733E" w:rsidP="002B733E">
      <w:pPr>
        <w:pStyle w:val="8"/>
        <w:ind w:firstLine="480"/>
      </w:pPr>
      <w:r w:rsidRPr="00FD50F6">
        <w:rPr>
          <w:rFonts w:hint="eastAsia"/>
        </w:rPr>
        <w:t>曲线外侧：</w:t>
      </w:r>
      <w:r w:rsidRPr="00FD50F6">
        <w:t xml:space="preserve">  </w:t>
      </w:r>
      <w:r w:rsidRPr="00FD50F6">
        <w:rPr>
          <w:rFonts w:hint="eastAsia"/>
          <w:i/>
        </w:rPr>
        <w:t>△</w:t>
      </w:r>
      <w:r w:rsidRPr="00FD50F6">
        <w:rPr>
          <w:i/>
        </w:rPr>
        <w:t>Y</w:t>
      </w:r>
      <w:r w:rsidRPr="00FD50F6">
        <w:rPr>
          <w:i/>
          <w:vertAlign w:val="subscript"/>
        </w:rPr>
        <w:t>a</w:t>
      </w:r>
      <w:r w:rsidRPr="00FD50F6">
        <w:rPr>
          <w:i/>
        </w:rPr>
        <w:t>= T</w:t>
      </w:r>
      <w:r w:rsidRPr="00FD50F6">
        <w:rPr>
          <w:i/>
          <w:vertAlign w:val="subscript"/>
        </w:rPr>
        <w:t>a</w:t>
      </w:r>
      <w:r w:rsidRPr="00FD50F6">
        <w:rPr>
          <w:rFonts w:hint="eastAsia"/>
          <w:i/>
        </w:rPr>
        <w:t>＋△</w:t>
      </w:r>
      <w:r w:rsidRPr="00FD50F6">
        <w:rPr>
          <w:i/>
        </w:rPr>
        <w:t>Y</w:t>
      </w:r>
      <w:r w:rsidRPr="00FD50F6">
        <w:rPr>
          <w:i/>
          <w:vertAlign w:val="subscript"/>
        </w:rPr>
        <w:t>Qa</w:t>
      </w:r>
      <w:r w:rsidRPr="00FD50F6">
        <w:rPr>
          <w:i/>
        </w:rPr>
        <w:t>+</w:t>
      </w:r>
      <w:r w:rsidRPr="00FD50F6">
        <w:rPr>
          <w:rFonts w:hint="eastAsia"/>
          <w:i/>
        </w:rPr>
        <w:t>△</w:t>
      </w:r>
      <w:r w:rsidRPr="00FD50F6">
        <w:rPr>
          <w:i/>
        </w:rPr>
        <w:t>Y</w:t>
      </w:r>
      <w:r w:rsidRPr="00FD50F6">
        <w:rPr>
          <w:i/>
          <w:vertAlign w:val="subscript"/>
        </w:rPr>
        <w:t>ca</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5</w:t>
      </w:r>
      <w:r w:rsidRPr="00FD50F6">
        <w:rPr>
          <w:rFonts w:hint="eastAsia"/>
        </w:rPr>
        <w:t>）</w:t>
      </w:r>
    </w:p>
    <w:p w14:paraId="31D268D2" w14:textId="77777777" w:rsidR="002B733E" w:rsidRPr="00FD50F6" w:rsidRDefault="002B733E" w:rsidP="002B733E">
      <w:pPr>
        <w:pStyle w:val="8"/>
        <w:ind w:firstLine="480"/>
        <w:jc w:val="left"/>
      </w:pPr>
      <w:r w:rsidRPr="00FD50F6">
        <w:t xml:space="preserve">            </w:t>
      </w:r>
      <w:r w:rsidRPr="00FD50F6">
        <w:rPr>
          <w:rFonts w:hint="eastAsia"/>
          <w:i/>
        </w:rPr>
        <w:t>△</w:t>
      </w:r>
      <w:r w:rsidRPr="00FD50F6">
        <w:rPr>
          <w:i/>
        </w:rPr>
        <w:t>Z</w:t>
      </w:r>
      <w:r w:rsidRPr="00FD50F6">
        <w:rPr>
          <w:i/>
          <w:vertAlign w:val="subscript"/>
        </w:rPr>
        <w:t>a</w:t>
      </w:r>
      <w:r w:rsidRPr="00FD50F6">
        <w:rPr>
          <w:i/>
        </w:rPr>
        <w:t>=-</w:t>
      </w:r>
      <w:r w:rsidRPr="00FD50F6">
        <w:rPr>
          <w:rFonts w:hint="eastAsia"/>
          <w:i/>
        </w:rPr>
        <w:t>△</w:t>
      </w:r>
      <w:r w:rsidRPr="00FD50F6">
        <w:rPr>
          <w:i/>
        </w:rPr>
        <w:t>Z</w:t>
      </w:r>
      <w:r w:rsidRPr="00FD50F6">
        <w:rPr>
          <w:i/>
          <w:vertAlign w:val="subscript"/>
        </w:rPr>
        <w:t>Qa</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6</w:t>
      </w:r>
      <w:r w:rsidRPr="00FD50F6">
        <w:rPr>
          <w:rFonts w:hint="eastAsia"/>
        </w:rPr>
        <w:t>）</w:t>
      </w:r>
    </w:p>
    <w:p w14:paraId="700C1D7F" w14:textId="77777777" w:rsidR="002B733E" w:rsidRPr="00FD50F6" w:rsidRDefault="002B733E" w:rsidP="002B733E">
      <w:pPr>
        <w:pStyle w:val="8"/>
        <w:ind w:firstLine="480"/>
      </w:pPr>
      <w:r w:rsidRPr="00FD50F6">
        <w:rPr>
          <w:rFonts w:hint="eastAsia"/>
        </w:rPr>
        <w:t>曲线内侧：</w:t>
      </w:r>
      <w:r w:rsidRPr="00FD50F6">
        <w:t xml:space="preserve">  </w:t>
      </w:r>
      <w:r w:rsidRPr="00FD50F6">
        <w:rPr>
          <w:rFonts w:hint="eastAsia"/>
          <w:i/>
        </w:rPr>
        <w:t>△</w:t>
      </w:r>
      <w:r w:rsidRPr="00FD50F6">
        <w:rPr>
          <w:i/>
        </w:rPr>
        <w:t>Y</w:t>
      </w:r>
      <w:r w:rsidRPr="00FD50F6">
        <w:rPr>
          <w:i/>
          <w:vertAlign w:val="subscript"/>
        </w:rPr>
        <w:t>i</w:t>
      </w:r>
      <w:r w:rsidRPr="00FD50F6">
        <w:rPr>
          <w:i/>
        </w:rPr>
        <w:t>= T</w:t>
      </w:r>
      <w:r w:rsidRPr="00FD50F6">
        <w:rPr>
          <w:i/>
          <w:vertAlign w:val="subscript"/>
        </w:rPr>
        <w:t>i</w:t>
      </w:r>
      <w:r w:rsidRPr="00FD50F6">
        <w:rPr>
          <w:rFonts w:hint="eastAsia"/>
          <w:i/>
        </w:rPr>
        <w:t>＋△</w:t>
      </w:r>
      <w:r w:rsidRPr="00FD50F6">
        <w:rPr>
          <w:i/>
        </w:rPr>
        <w:t>Y</w:t>
      </w:r>
      <w:r w:rsidRPr="00FD50F6">
        <w:rPr>
          <w:i/>
          <w:vertAlign w:val="subscript"/>
        </w:rPr>
        <w:t>Qi</w:t>
      </w:r>
      <w:r w:rsidRPr="00FD50F6">
        <w:rPr>
          <w:i/>
        </w:rPr>
        <w:t>+</w:t>
      </w:r>
      <w:r w:rsidRPr="00FD50F6">
        <w:rPr>
          <w:rFonts w:hint="eastAsia"/>
          <w:i/>
        </w:rPr>
        <w:t>△</w:t>
      </w:r>
      <w:r w:rsidRPr="00FD50F6">
        <w:rPr>
          <w:i/>
        </w:rPr>
        <w:t>Y</w:t>
      </w:r>
      <w:r w:rsidRPr="00FD50F6">
        <w:rPr>
          <w:i/>
          <w:vertAlign w:val="subscript"/>
        </w:rPr>
        <w:t>ci</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7</w:t>
      </w:r>
      <w:r w:rsidRPr="00FD50F6">
        <w:rPr>
          <w:rFonts w:hint="eastAsia"/>
        </w:rPr>
        <w:t>）</w:t>
      </w:r>
    </w:p>
    <w:p w14:paraId="1BD48FD8" w14:textId="77777777" w:rsidR="002B733E" w:rsidRPr="00FD50F6" w:rsidRDefault="002B733E" w:rsidP="002B733E">
      <w:pPr>
        <w:pStyle w:val="8"/>
        <w:ind w:firstLine="480"/>
        <w:jc w:val="left"/>
      </w:pPr>
      <w:r w:rsidRPr="00FD50F6">
        <w:t xml:space="preserve">            </w:t>
      </w:r>
      <w:r w:rsidRPr="00FD50F6">
        <w:rPr>
          <w:rFonts w:hint="eastAsia"/>
          <w:i/>
        </w:rPr>
        <w:t>△</w:t>
      </w:r>
      <w:r w:rsidRPr="00FD50F6">
        <w:rPr>
          <w:i/>
        </w:rPr>
        <w:t>Z</w:t>
      </w:r>
      <w:r w:rsidRPr="00FD50F6">
        <w:rPr>
          <w:i/>
          <w:vertAlign w:val="subscript"/>
        </w:rPr>
        <w:t>i</w:t>
      </w:r>
      <w:r w:rsidRPr="00FD50F6">
        <w:rPr>
          <w:i/>
        </w:rPr>
        <w:t>=-</w:t>
      </w:r>
      <w:r w:rsidRPr="00FD50F6">
        <w:rPr>
          <w:rFonts w:hint="eastAsia"/>
          <w:i/>
        </w:rPr>
        <w:t>△</w:t>
      </w:r>
      <w:r w:rsidRPr="00FD50F6">
        <w:rPr>
          <w:i/>
        </w:rPr>
        <w:t>Z</w:t>
      </w:r>
      <w:r w:rsidRPr="00FD50F6">
        <w:rPr>
          <w:i/>
          <w:vertAlign w:val="subscript"/>
        </w:rPr>
        <w:t>Qi</w:t>
      </w:r>
      <w:r w:rsidRPr="00FD50F6">
        <w:t xml:space="preserve">               </w:t>
      </w:r>
      <w:r w:rsidRPr="00FD50F6">
        <w:rPr>
          <w:vertAlign w:val="subscript"/>
        </w:rPr>
        <w:t xml:space="preserve"> </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8</w:t>
      </w:r>
      <w:r w:rsidRPr="00FD50F6">
        <w:rPr>
          <w:rFonts w:hint="eastAsia"/>
        </w:rPr>
        <w:t>）</w:t>
      </w:r>
    </w:p>
    <w:p w14:paraId="449F0AF0" w14:textId="77777777" w:rsidR="002B733E" w:rsidRPr="00FD50F6" w:rsidRDefault="002B733E" w:rsidP="002B733E">
      <w:pPr>
        <w:pStyle w:val="8"/>
        <w:ind w:firstLine="480"/>
      </w:pPr>
      <w:r w:rsidRPr="00FD50F6">
        <w:t>2</w:t>
      </w:r>
      <w:r w:rsidRPr="00FD50F6">
        <w:rPr>
          <w:rFonts w:hint="eastAsia"/>
        </w:rPr>
        <w:t>）</w:t>
      </w:r>
      <w:r w:rsidRPr="00FD50F6">
        <w:t xml:space="preserve"> </w:t>
      </w:r>
      <w:r w:rsidRPr="00FD50F6">
        <w:rPr>
          <w:rFonts w:hint="eastAsia"/>
        </w:rPr>
        <w:t>当车体横向加宽和过超高（或欠超高）偏移方向相反时，可按下列公式计算：</w:t>
      </w:r>
    </w:p>
    <w:p w14:paraId="24737F3E" w14:textId="77777777" w:rsidR="002B733E" w:rsidRPr="00FD50F6" w:rsidRDefault="002B733E" w:rsidP="002B733E">
      <w:pPr>
        <w:pStyle w:val="8"/>
        <w:ind w:firstLine="480"/>
      </w:pPr>
      <w:r w:rsidRPr="00FD50F6">
        <w:rPr>
          <w:rFonts w:hint="eastAsia"/>
        </w:rPr>
        <w:t>曲线外侧：</w:t>
      </w:r>
      <w:r w:rsidRPr="00FD50F6">
        <w:t xml:space="preserve"> </w:t>
      </w:r>
      <w:r w:rsidRPr="00FD50F6">
        <w:rPr>
          <w:rFonts w:hint="eastAsia"/>
          <w:i/>
        </w:rPr>
        <w:t>△</w:t>
      </w:r>
      <w:r w:rsidRPr="00FD50F6">
        <w:rPr>
          <w:i/>
        </w:rPr>
        <w:t>Y</w:t>
      </w:r>
      <w:r w:rsidRPr="00FD50F6">
        <w:rPr>
          <w:i/>
          <w:vertAlign w:val="subscript"/>
        </w:rPr>
        <w:t>a</w:t>
      </w:r>
      <w:r w:rsidRPr="00FD50F6">
        <w:rPr>
          <w:i/>
        </w:rPr>
        <w:t>= T</w:t>
      </w:r>
      <w:r w:rsidRPr="00FD50F6">
        <w:rPr>
          <w:i/>
          <w:vertAlign w:val="subscript"/>
        </w:rPr>
        <w:t>a</w:t>
      </w:r>
      <w:r w:rsidRPr="00FD50F6">
        <w:rPr>
          <w:i/>
        </w:rPr>
        <w:t>-</w:t>
      </w:r>
      <w:r w:rsidRPr="00FD50F6">
        <w:rPr>
          <w:rFonts w:hint="eastAsia"/>
          <w:i/>
        </w:rPr>
        <w:t>△</w:t>
      </w:r>
      <w:r w:rsidRPr="00FD50F6">
        <w:rPr>
          <w:i/>
        </w:rPr>
        <w:t>Y</w:t>
      </w:r>
      <w:r w:rsidRPr="00FD50F6">
        <w:rPr>
          <w:i/>
          <w:vertAlign w:val="subscript"/>
        </w:rPr>
        <w:t>Qa</w:t>
      </w:r>
      <w:r w:rsidRPr="00FD50F6">
        <w:rPr>
          <w:i/>
        </w:rPr>
        <w:t>+</w:t>
      </w:r>
      <w:r w:rsidRPr="00FD50F6">
        <w:rPr>
          <w:rFonts w:hint="eastAsia"/>
          <w:i/>
        </w:rPr>
        <w:t>△</w:t>
      </w:r>
      <w:r w:rsidRPr="00FD50F6">
        <w:rPr>
          <w:i/>
        </w:rPr>
        <w:t>Y</w:t>
      </w:r>
      <w:r w:rsidRPr="00FD50F6">
        <w:rPr>
          <w:i/>
          <w:vertAlign w:val="subscript"/>
        </w:rPr>
        <w:t>ca</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9</w:t>
      </w:r>
      <w:r w:rsidRPr="00FD50F6">
        <w:rPr>
          <w:rFonts w:hint="eastAsia"/>
        </w:rPr>
        <w:t>）</w:t>
      </w:r>
    </w:p>
    <w:p w14:paraId="7DE53022" w14:textId="77777777" w:rsidR="002B733E" w:rsidRPr="00FD50F6" w:rsidRDefault="002B733E" w:rsidP="002B733E">
      <w:pPr>
        <w:pStyle w:val="8"/>
        <w:ind w:firstLine="480"/>
        <w:jc w:val="left"/>
      </w:pPr>
      <w:r w:rsidRPr="00FD50F6">
        <w:t xml:space="preserve">          </w:t>
      </w:r>
      <w:r w:rsidRPr="00FD50F6">
        <w:rPr>
          <w:rFonts w:hint="eastAsia"/>
          <w:i/>
        </w:rPr>
        <w:t>△</w:t>
      </w:r>
      <w:r w:rsidRPr="00FD50F6">
        <w:rPr>
          <w:i/>
        </w:rPr>
        <w:t>Z</w:t>
      </w:r>
      <w:r w:rsidRPr="00FD50F6">
        <w:rPr>
          <w:i/>
          <w:vertAlign w:val="subscript"/>
        </w:rPr>
        <w:t>a</w:t>
      </w:r>
      <w:r w:rsidRPr="00FD50F6">
        <w:rPr>
          <w:i/>
        </w:rPr>
        <w:t>=</w:t>
      </w:r>
      <w:r w:rsidRPr="00FD50F6">
        <w:rPr>
          <w:rFonts w:hint="eastAsia"/>
          <w:i/>
        </w:rPr>
        <w:t>△</w:t>
      </w:r>
      <w:r w:rsidRPr="00FD50F6">
        <w:rPr>
          <w:i/>
        </w:rPr>
        <w:t>Z</w:t>
      </w:r>
      <w:r w:rsidRPr="00FD50F6">
        <w:rPr>
          <w:i/>
          <w:vertAlign w:val="subscript"/>
        </w:rPr>
        <w:t>Qa</w:t>
      </w:r>
      <w:r w:rsidRPr="00FD50F6">
        <w:t xml:space="preserve">                    </w:t>
      </w:r>
      <w:r w:rsidRPr="00FD50F6">
        <w:rPr>
          <w:rFonts w:hint="eastAsia"/>
        </w:rPr>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10</w:t>
      </w:r>
      <w:r w:rsidRPr="00FD50F6">
        <w:rPr>
          <w:rFonts w:hint="eastAsia"/>
        </w:rPr>
        <w:t>）</w:t>
      </w:r>
    </w:p>
    <w:p w14:paraId="5C74748C" w14:textId="77777777" w:rsidR="002B733E" w:rsidRPr="00FD50F6" w:rsidRDefault="002B733E" w:rsidP="002B733E">
      <w:pPr>
        <w:pStyle w:val="8"/>
        <w:ind w:firstLine="480"/>
      </w:pPr>
      <w:r w:rsidRPr="00FD50F6">
        <w:rPr>
          <w:rFonts w:hint="eastAsia"/>
        </w:rPr>
        <w:t>曲线内侧：</w:t>
      </w:r>
      <w:r w:rsidRPr="00FD50F6">
        <w:t xml:space="preserve"> </w:t>
      </w:r>
      <w:r w:rsidRPr="00FD50F6">
        <w:rPr>
          <w:rFonts w:hint="eastAsia"/>
          <w:i/>
        </w:rPr>
        <w:t>△</w:t>
      </w:r>
      <w:r w:rsidRPr="00FD50F6">
        <w:rPr>
          <w:i/>
        </w:rPr>
        <w:t>Y</w:t>
      </w:r>
      <w:r w:rsidRPr="00FD50F6">
        <w:rPr>
          <w:i/>
          <w:vertAlign w:val="subscript"/>
        </w:rPr>
        <w:t>i</w:t>
      </w:r>
      <w:r w:rsidRPr="00FD50F6">
        <w:rPr>
          <w:i/>
        </w:rPr>
        <w:t>= T</w:t>
      </w:r>
      <w:r w:rsidRPr="00FD50F6">
        <w:rPr>
          <w:i/>
          <w:vertAlign w:val="subscript"/>
        </w:rPr>
        <w:t>i</w:t>
      </w:r>
      <w:r w:rsidRPr="00FD50F6">
        <w:rPr>
          <w:i/>
        </w:rPr>
        <w:t>-</w:t>
      </w:r>
      <w:r w:rsidRPr="00FD50F6">
        <w:rPr>
          <w:rFonts w:hint="eastAsia"/>
          <w:i/>
        </w:rPr>
        <w:t>△</w:t>
      </w:r>
      <w:r w:rsidRPr="00FD50F6">
        <w:rPr>
          <w:i/>
        </w:rPr>
        <w:t>Y</w:t>
      </w:r>
      <w:r w:rsidRPr="00FD50F6">
        <w:rPr>
          <w:i/>
          <w:vertAlign w:val="subscript"/>
        </w:rPr>
        <w:t>Qi</w:t>
      </w:r>
      <w:r w:rsidRPr="00FD50F6">
        <w:rPr>
          <w:i/>
        </w:rPr>
        <w:t>+</w:t>
      </w:r>
      <w:r w:rsidRPr="00FD50F6">
        <w:rPr>
          <w:rFonts w:hint="eastAsia"/>
          <w:i/>
        </w:rPr>
        <w:t>△</w:t>
      </w:r>
      <w:r w:rsidRPr="00FD50F6">
        <w:rPr>
          <w:i/>
        </w:rPr>
        <w:t>Y</w:t>
      </w:r>
      <w:r w:rsidRPr="00FD50F6">
        <w:rPr>
          <w:i/>
          <w:vertAlign w:val="subscript"/>
        </w:rPr>
        <w:t>ci</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11</w:t>
      </w:r>
      <w:r w:rsidRPr="00FD50F6">
        <w:rPr>
          <w:rFonts w:hint="eastAsia"/>
        </w:rPr>
        <w:t>）</w:t>
      </w:r>
    </w:p>
    <w:p w14:paraId="7AA803C9" w14:textId="77777777" w:rsidR="002B733E" w:rsidRPr="00FD50F6" w:rsidRDefault="002B733E" w:rsidP="002B733E">
      <w:pPr>
        <w:pStyle w:val="8"/>
        <w:ind w:firstLine="480"/>
        <w:jc w:val="center"/>
      </w:pPr>
      <w:r w:rsidRPr="00FD50F6">
        <w:rPr>
          <w:rFonts w:hint="eastAsia"/>
          <w:i/>
        </w:rPr>
        <w:t xml:space="preserve"> </w:t>
      </w:r>
      <w:r w:rsidRPr="00FD50F6">
        <w:rPr>
          <w:i/>
        </w:rPr>
        <w:t xml:space="preserve">      </w:t>
      </w:r>
      <w:r w:rsidRPr="00FD50F6">
        <w:rPr>
          <w:rFonts w:hint="eastAsia"/>
          <w:i/>
        </w:rPr>
        <w:t>△</w:t>
      </w:r>
      <w:r w:rsidRPr="00FD50F6">
        <w:rPr>
          <w:i/>
        </w:rPr>
        <w:t>Z</w:t>
      </w:r>
      <w:r w:rsidRPr="00FD50F6">
        <w:rPr>
          <w:i/>
          <w:vertAlign w:val="subscript"/>
        </w:rPr>
        <w:t>i</w:t>
      </w:r>
      <w:r w:rsidRPr="00FD50F6">
        <w:rPr>
          <w:i/>
        </w:rPr>
        <w:t>=</w:t>
      </w:r>
      <w:r w:rsidRPr="00FD50F6">
        <w:rPr>
          <w:rFonts w:hint="eastAsia"/>
          <w:i/>
        </w:rPr>
        <w:t>△</w:t>
      </w:r>
      <w:r w:rsidRPr="00FD50F6">
        <w:rPr>
          <w:i/>
        </w:rPr>
        <w:t>Z</w:t>
      </w:r>
      <w:r w:rsidRPr="00FD50F6">
        <w:rPr>
          <w:i/>
          <w:vertAlign w:val="subscript"/>
        </w:rPr>
        <w:t>Qi</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F.0</w:t>
      </w:r>
      <w:r w:rsidRPr="00FD50F6">
        <w:t>.</w:t>
      </w:r>
      <w:r w:rsidRPr="00FD50F6">
        <w:rPr>
          <w:rFonts w:hint="eastAsia"/>
        </w:rPr>
        <w:t>2</w:t>
      </w:r>
      <w:r w:rsidRPr="00FD50F6">
        <w:t>-</w:t>
      </w:r>
      <w:r w:rsidRPr="00FD50F6">
        <w:rPr>
          <w:rFonts w:hint="eastAsia"/>
        </w:rPr>
        <w:t>12</w:t>
      </w:r>
      <w:r w:rsidRPr="00FD50F6">
        <w:rPr>
          <w:rFonts w:hint="eastAsia"/>
        </w:rPr>
        <w:t>）</w:t>
      </w:r>
    </w:p>
    <w:p w14:paraId="1AA62990" w14:textId="77777777" w:rsidR="002B733E" w:rsidRPr="00FD50F6" w:rsidRDefault="002B733E" w:rsidP="002B733E">
      <w:pPr>
        <w:pStyle w:val="30"/>
        <w:numPr>
          <w:ilvl w:val="0"/>
          <w:numId w:val="0"/>
        </w:numPr>
      </w:pPr>
      <w:r w:rsidRPr="00FD50F6">
        <w:rPr>
          <w:rFonts w:hint="eastAsia"/>
        </w:rPr>
        <w:t>F.0</w:t>
      </w:r>
      <w:r w:rsidRPr="00FD50F6">
        <w:t>.3</w:t>
      </w:r>
      <w:r w:rsidRPr="00FD50F6">
        <w:rPr>
          <w:rFonts w:hint="eastAsia"/>
        </w:rPr>
        <w:t>曲线地段车辆限界或设备限界各点坐标值应由相应的直线地段车辆限界或设备限界各点坐标值加上</w:t>
      </w:r>
      <w:r w:rsidRPr="00FD50F6">
        <w:rPr>
          <w:rFonts w:hint="eastAsia"/>
          <w:iCs/>
        </w:rPr>
        <w:t>△</w:t>
      </w:r>
      <w:r w:rsidRPr="00FD50F6">
        <w:rPr>
          <w:iCs/>
        </w:rPr>
        <w:t>Y</w:t>
      </w:r>
      <w:r w:rsidRPr="00FD50F6">
        <w:rPr>
          <w:iCs/>
          <w:vertAlign w:val="subscript"/>
        </w:rPr>
        <w:t>a</w:t>
      </w:r>
      <w:r w:rsidRPr="00FD50F6">
        <w:rPr>
          <w:rFonts w:hint="eastAsia"/>
          <w:iCs/>
        </w:rPr>
        <w:t>（△</w:t>
      </w:r>
      <w:r w:rsidRPr="00FD50F6">
        <w:rPr>
          <w:iCs/>
        </w:rPr>
        <w:t>Y</w:t>
      </w:r>
      <w:r w:rsidRPr="00FD50F6">
        <w:rPr>
          <w:iCs/>
          <w:vertAlign w:val="subscript"/>
        </w:rPr>
        <w:t>i</w:t>
      </w:r>
      <w:r w:rsidRPr="00FD50F6">
        <w:rPr>
          <w:rFonts w:hint="eastAsia"/>
          <w:iCs/>
        </w:rPr>
        <w:t>）和△</w:t>
      </w:r>
      <w:r w:rsidRPr="00FD50F6">
        <w:rPr>
          <w:iCs/>
        </w:rPr>
        <w:t>Z</w:t>
      </w:r>
      <w:r w:rsidRPr="00FD50F6">
        <w:rPr>
          <w:iCs/>
          <w:vertAlign w:val="subscript"/>
        </w:rPr>
        <w:t>a</w:t>
      </w:r>
      <w:r w:rsidRPr="00FD50F6">
        <w:rPr>
          <w:rFonts w:hint="eastAsia"/>
          <w:iCs/>
        </w:rPr>
        <w:t>（△</w:t>
      </w:r>
      <w:r w:rsidRPr="00FD50F6">
        <w:rPr>
          <w:iCs/>
        </w:rPr>
        <w:t>Z</w:t>
      </w:r>
      <w:r w:rsidRPr="00FD50F6">
        <w:rPr>
          <w:iCs/>
          <w:vertAlign w:val="subscript"/>
        </w:rPr>
        <w:t>i</w:t>
      </w:r>
      <w:r w:rsidRPr="00FD50F6">
        <w:rPr>
          <w:rFonts w:hint="eastAsia"/>
          <w:iCs/>
        </w:rPr>
        <w:t>）</w:t>
      </w:r>
      <w:r w:rsidRPr="00FD50F6">
        <w:rPr>
          <w:rFonts w:hint="eastAsia"/>
        </w:rPr>
        <w:t>值后得到。</w:t>
      </w:r>
    </w:p>
    <w:p w14:paraId="73953062" w14:textId="77777777" w:rsidR="002B733E" w:rsidRPr="00FD50F6" w:rsidRDefault="002B733E" w:rsidP="002B733E">
      <w:pPr>
        <w:spacing w:line="240" w:lineRule="auto"/>
        <w:rPr>
          <w:rFonts w:ascii="Calibri" w:hAnsi="Calibri" w:cs="Times New Roman"/>
          <w:sz w:val="21"/>
          <w:szCs w:val="24"/>
        </w:rPr>
        <w:sectPr w:rsidR="002B733E" w:rsidRPr="00FD50F6">
          <w:footerReference w:type="default" r:id="rId120"/>
          <w:pgSz w:w="11906" w:h="16838"/>
          <w:pgMar w:top="1440" w:right="1797" w:bottom="1440" w:left="1797" w:header="851" w:footer="992" w:gutter="0"/>
          <w:cols w:space="720"/>
          <w:docGrid w:linePitch="312"/>
        </w:sectPr>
      </w:pPr>
    </w:p>
    <w:p w14:paraId="3D6E0CD9" w14:textId="77777777" w:rsidR="002B733E" w:rsidRPr="00FD50F6" w:rsidRDefault="002B733E" w:rsidP="002B733E">
      <w:pPr>
        <w:spacing w:line="240" w:lineRule="auto"/>
        <w:rPr>
          <w:rFonts w:ascii="Calibri" w:hAnsi="Calibri" w:cs="Times New Roman"/>
          <w:sz w:val="21"/>
          <w:szCs w:val="24"/>
        </w:rPr>
        <w:sectPr w:rsidR="002B733E" w:rsidRPr="00FD50F6">
          <w:type w:val="continuous"/>
          <w:pgSz w:w="11906" w:h="16838"/>
          <w:pgMar w:top="1440" w:right="1797" w:bottom="1440" w:left="1797" w:header="851" w:footer="992" w:gutter="0"/>
          <w:cols w:space="720"/>
          <w:docGrid w:linePitch="312"/>
        </w:sectPr>
      </w:pPr>
    </w:p>
    <w:p w14:paraId="41EFB461" w14:textId="77777777" w:rsidR="002B733E" w:rsidRPr="00FD50F6" w:rsidRDefault="002B733E" w:rsidP="002B733E">
      <w:pPr>
        <w:pStyle w:val="12"/>
        <w:numPr>
          <w:ilvl w:val="0"/>
          <w:numId w:val="0"/>
        </w:numPr>
      </w:pPr>
      <w:bookmarkStart w:id="1403" w:name="_Toc321985675"/>
      <w:bookmarkStart w:id="1404" w:name="_Toc320643553"/>
      <w:bookmarkStart w:id="1405" w:name="_Toc112830905"/>
      <w:r w:rsidRPr="00FD50F6">
        <w:rPr>
          <w:rFonts w:hint="eastAsia"/>
        </w:rPr>
        <w:lastRenderedPageBreak/>
        <w:t>附录</w:t>
      </w:r>
      <w:r w:rsidRPr="00FD50F6">
        <w:rPr>
          <w:rFonts w:hint="eastAsia"/>
        </w:rPr>
        <w:t>G</w:t>
      </w:r>
      <w:r w:rsidRPr="00FD50F6">
        <w:t xml:space="preserve"> </w:t>
      </w:r>
      <w:r w:rsidRPr="00FD50F6">
        <w:rPr>
          <w:rFonts w:hint="eastAsia"/>
        </w:rPr>
        <w:t>缓和曲线地段建筑限界的加宽计算公式</w:t>
      </w:r>
      <w:bookmarkEnd w:id="1403"/>
      <w:bookmarkEnd w:id="1404"/>
      <w:bookmarkEnd w:id="1405"/>
    </w:p>
    <w:p w14:paraId="23E7B506" w14:textId="3A32E785" w:rsidR="002B733E" w:rsidRPr="00FD50F6" w:rsidRDefault="002B733E" w:rsidP="002B733E">
      <w:pPr>
        <w:pStyle w:val="30"/>
        <w:numPr>
          <w:ilvl w:val="0"/>
          <w:numId w:val="0"/>
        </w:numPr>
      </w:pPr>
      <w:r w:rsidRPr="00FD50F6">
        <w:rPr>
          <w:rFonts w:hint="eastAsia"/>
        </w:rPr>
        <w:t>G.0.</w:t>
      </w:r>
      <w:r w:rsidRPr="00FD50F6">
        <w:t xml:space="preserve">1 </w:t>
      </w:r>
      <w:r w:rsidRPr="00FD50F6">
        <w:rPr>
          <w:rFonts w:hint="eastAsia"/>
        </w:rPr>
        <w:t>缓和曲线引起的几何加宽量可按下列规定计算：</w:t>
      </w:r>
    </w:p>
    <w:p w14:paraId="0B185B1C" w14:textId="77777777" w:rsidR="002B733E" w:rsidRPr="00FD50F6" w:rsidRDefault="002B733E" w:rsidP="002B733E">
      <w:pPr>
        <w:pStyle w:val="8"/>
        <w:ind w:firstLine="480"/>
      </w:pPr>
      <w:r w:rsidRPr="00FD50F6">
        <w:t xml:space="preserve">1 </w:t>
      </w:r>
      <w:r w:rsidRPr="00FD50F6">
        <w:rPr>
          <w:rFonts w:hint="eastAsia"/>
        </w:rPr>
        <w:t>缓和曲线内侧加宽量可按下列公式计算：</w:t>
      </w:r>
    </w:p>
    <w:p w14:paraId="406BEFED" w14:textId="051C2156" w:rsidR="002B733E" w:rsidRPr="00FD50F6" w:rsidRDefault="002B733E" w:rsidP="002B733E">
      <w:pPr>
        <w:pStyle w:val="8"/>
        <w:ind w:firstLine="480"/>
      </w:pPr>
      <w:r w:rsidRPr="00FD50F6">
        <w:t>A</w:t>
      </w:r>
      <w:r w:rsidRPr="00FD50F6">
        <w:rPr>
          <w:rFonts w:hint="eastAsia"/>
        </w:rPr>
        <w:t>型车</w:t>
      </w:r>
      <w:r w:rsidRPr="00FD50F6">
        <w:t xml:space="preserve">     </w:t>
      </w:r>
      <w:r w:rsidRPr="00FD50F6">
        <w:rPr>
          <w:noProof/>
          <w:position w:val="-24"/>
        </w:rPr>
        <w:drawing>
          <wp:inline distT="0" distB="0" distL="0" distR="0" wp14:anchorId="6117BDDB" wp14:editId="40B89AEC">
            <wp:extent cx="927100" cy="38735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27100" cy="387350"/>
                    </a:xfrm>
                    <a:prstGeom prst="rect">
                      <a:avLst/>
                    </a:prstGeom>
                    <a:noFill/>
                    <a:ln>
                      <a:noFill/>
                    </a:ln>
                  </pic:spPr>
                </pic:pic>
              </a:graphicData>
            </a:graphic>
          </wp:inline>
        </w:drawing>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w:t>
      </w:r>
      <w:r w:rsidRPr="00FD50F6">
        <w:t>1-1</w:t>
      </w:r>
      <w:r w:rsidRPr="00FD50F6">
        <w:rPr>
          <w:rFonts w:hint="eastAsia"/>
        </w:rPr>
        <w:t>）</w:t>
      </w:r>
    </w:p>
    <w:p w14:paraId="07E03E21" w14:textId="77EA2CF8" w:rsidR="002B733E" w:rsidRPr="00FD50F6" w:rsidRDefault="002B733E" w:rsidP="002B733E">
      <w:pPr>
        <w:pStyle w:val="8"/>
        <w:ind w:firstLine="480"/>
      </w:pPr>
      <w:r w:rsidRPr="00FD50F6">
        <w:t>B</w:t>
      </w:r>
      <w:r w:rsidRPr="00FD50F6">
        <w:rPr>
          <w:rFonts w:hint="eastAsia"/>
        </w:rPr>
        <w:t>型车</w:t>
      </w:r>
      <w:r w:rsidRPr="00FD50F6">
        <w:t xml:space="preserve">    </w:t>
      </w:r>
      <w:r w:rsidRPr="00FD50F6">
        <w:rPr>
          <w:noProof/>
          <w:position w:val="-24"/>
        </w:rPr>
        <w:drawing>
          <wp:inline distT="0" distB="0" distL="0" distR="0" wp14:anchorId="66DB6747" wp14:editId="1818510D">
            <wp:extent cx="946150" cy="3873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6150" cy="387350"/>
                    </a:xfrm>
                    <a:prstGeom prst="rect">
                      <a:avLst/>
                    </a:prstGeom>
                    <a:noFill/>
                    <a:ln>
                      <a:noFill/>
                    </a:ln>
                  </pic:spPr>
                </pic:pic>
              </a:graphicData>
            </a:graphic>
          </wp:inline>
        </w:drawing>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w:t>
      </w:r>
      <w:r w:rsidRPr="00FD50F6">
        <w:t>1-2</w:t>
      </w:r>
      <w:r w:rsidRPr="00FD50F6">
        <w:rPr>
          <w:rFonts w:hint="eastAsia"/>
        </w:rPr>
        <w:t>）</w:t>
      </w:r>
    </w:p>
    <w:p w14:paraId="40BC2219" w14:textId="77777777" w:rsidR="002B733E" w:rsidRPr="00FD50F6" w:rsidRDefault="002B733E" w:rsidP="002B733E">
      <w:pPr>
        <w:pStyle w:val="8"/>
        <w:ind w:firstLine="480"/>
      </w:pPr>
      <w:r w:rsidRPr="00FD50F6">
        <w:t xml:space="preserve">2 </w:t>
      </w:r>
      <w:r w:rsidRPr="00FD50F6">
        <w:rPr>
          <w:rFonts w:hint="eastAsia"/>
        </w:rPr>
        <w:t>缓和曲线外侧加宽量可按下列公式计算：</w:t>
      </w:r>
    </w:p>
    <w:p w14:paraId="0C74F612" w14:textId="2DD8861B" w:rsidR="002B733E" w:rsidRPr="00FD50F6" w:rsidRDefault="002B733E" w:rsidP="002B733E">
      <w:pPr>
        <w:pStyle w:val="8"/>
        <w:ind w:firstLine="480"/>
      </w:pPr>
      <w:r w:rsidRPr="00FD50F6">
        <w:t>A</w:t>
      </w:r>
      <w:r w:rsidRPr="00FD50F6">
        <w:rPr>
          <w:rFonts w:hint="eastAsia"/>
        </w:rPr>
        <w:t>型车</w:t>
      </w:r>
      <w:r w:rsidRPr="00FD50F6">
        <w:t xml:space="preserve">   </w:t>
      </w:r>
      <w:r w:rsidRPr="00FD50F6">
        <w:rPr>
          <w:noProof/>
          <w:position w:val="-24"/>
        </w:rPr>
        <w:drawing>
          <wp:inline distT="0" distB="0" distL="0" distR="0" wp14:anchorId="0A15FE24" wp14:editId="3BFE8246">
            <wp:extent cx="1758950" cy="3873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58950" cy="387350"/>
                    </a:xfrm>
                    <a:prstGeom prst="rect">
                      <a:avLst/>
                    </a:prstGeom>
                    <a:noFill/>
                    <a:ln>
                      <a:noFill/>
                    </a:ln>
                  </pic:spPr>
                </pic:pic>
              </a:graphicData>
            </a:graphic>
          </wp:inline>
        </w:drawing>
      </w:r>
      <w:r w:rsidRPr="00FD50F6">
        <w:t xml:space="preserve">               </w:t>
      </w:r>
      <w:r w:rsidRPr="00FD50F6">
        <w:rPr>
          <w:rFonts w:hint="eastAsia"/>
        </w:rPr>
        <w:t>（</w:t>
      </w:r>
      <w:r w:rsidRPr="00FD50F6">
        <w:rPr>
          <w:rFonts w:hint="eastAsia"/>
        </w:rPr>
        <w:t>G.0.</w:t>
      </w:r>
      <w:r w:rsidRPr="00FD50F6">
        <w:t>1-3</w:t>
      </w:r>
      <w:r w:rsidRPr="00FD50F6">
        <w:rPr>
          <w:rFonts w:hint="eastAsia"/>
        </w:rPr>
        <w:t>）</w:t>
      </w:r>
    </w:p>
    <w:p w14:paraId="7E10D3F9" w14:textId="7286ACE9" w:rsidR="002B733E" w:rsidRPr="00FD50F6" w:rsidRDefault="002B733E" w:rsidP="002B733E">
      <w:pPr>
        <w:pStyle w:val="8"/>
        <w:ind w:firstLine="480"/>
      </w:pPr>
      <w:r w:rsidRPr="00FD50F6">
        <w:t>B</w:t>
      </w:r>
      <w:r w:rsidRPr="00FD50F6">
        <w:rPr>
          <w:rFonts w:hint="eastAsia"/>
        </w:rPr>
        <w:t>型车</w:t>
      </w:r>
      <w:r w:rsidRPr="00FD50F6">
        <w:t xml:space="preserve">  </w:t>
      </w:r>
      <w:r w:rsidRPr="00FD50F6">
        <w:rPr>
          <w:noProof/>
          <w:position w:val="-24"/>
        </w:rPr>
        <w:drawing>
          <wp:inline distT="0" distB="0" distL="0" distR="0" wp14:anchorId="08C35B69" wp14:editId="0FC77957">
            <wp:extent cx="1746250" cy="3873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46250" cy="387350"/>
                    </a:xfrm>
                    <a:prstGeom prst="rect">
                      <a:avLst/>
                    </a:prstGeom>
                    <a:noFill/>
                    <a:ln>
                      <a:noFill/>
                    </a:ln>
                  </pic:spPr>
                </pic:pic>
              </a:graphicData>
            </a:graphic>
          </wp:inline>
        </w:drawing>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w:t>
      </w:r>
      <w:r w:rsidRPr="00FD50F6">
        <w:t>1-4</w:t>
      </w:r>
      <w:r w:rsidRPr="00FD50F6">
        <w:rPr>
          <w:rFonts w:hint="eastAsia"/>
        </w:rPr>
        <w:t>）</w:t>
      </w:r>
    </w:p>
    <w:p w14:paraId="66A0E394" w14:textId="73A649E3" w:rsidR="002B733E" w:rsidRPr="00FD50F6" w:rsidRDefault="002B733E" w:rsidP="002B733E">
      <w:pPr>
        <w:pStyle w:val="8"/>
        <w:ind w:firstLine="480"/>
      </w:pPr>
      <w:r w:rsidRPr="00FD50F6">
        <w:rPr>
          <w:rFonts w:hint="eastAsia"/>
        </w:rPr>
        <w:t>式中：</w:t>
      </w:r>
      <w:r w:rsidRPr="00FD50F6">
        <w:rPr>
          <w:noProof/>
        </w:rPr>
        <w:drawing>
          <wp:inline distT="0" distB="0" distL="0" distR="0" wp14:anchorId="499684B0" wp14:editId="79DECE89">
            <wp:extent cx="266700" cy="254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a:ln>
                      <a:noFill/>
                    </a:ln>
                  </pic:spPr>
                </pic:pic>
              </a:graphicData>
            </a:graphic>
          </wp:inline>
        </w:drawing>
      </w:r>
      <w:r w:rsidRPr="00FD50F6">
        <w:rPr>
          <w:rFonts w:hint="eastAsia"/>
        </w:rPr>
        <w:t>，</w:t>
      </w:r>
      <w:r w:rsidRPr="00FD50F6">
        <w:rPr>
          <w:noProof/>
        </w:rPr>
        <w:drawing>
          <wp:inline distT="0" distB="0" distL="0" distR="0" wp14:anchorId="2E6D40F6" wp14:editId="0B1528EB">
            <wp:extent cx="266700" cy="254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a:ln>
                      <a:noFill/>
                    </a:ln>
                  </pic:spPr>
                </pic:pic>
              </a:graphicData>
            </a:graphic>
          </wp:inline>
        </w:drawing>
      </w:r>
      <w:r w:rsidRPr="00FD50F6">
        <w:rPr>
          <w:rFonts w:hint="eastAsia"/>
        </w:rPr>
        <w:t>——缓和曲线引起的曲线内、外侧限界加宽量（</w:t>
      </w:r>
      <w:r w:rsidRPr="00FD50F6">
        <w:t>mm</w:t>
      </w:r>
      <w:r w:rsidRPr="00FD50F6">
        <w:rPr>
          <w:rFonts w:hint="eastAsia"/>
        </w:rPr>
        <w:t>）；</w:t>
      </w:r>
    </w:p>
    <w:p w14:paraId="454782CD" w14:textId="200748F1" w:rsidR="002B733E" w:rsidRPr="00FD50F6" w:rsidRDefault="002B733E" w:rsidP="002B733E">
      <w:pPr>
        <w:pStyle w:val="30"/>
        <w:numPr>
          <w:ilvl w:val="0"/>
          <w:numId w:val="0"/>
        </w:numPr>
      </w:pPr>
      <w:r w:rsidRPr="00FD50F6">
        <w:rPr>
          <w:rFonts w:hint="eastAsia"/>
        </w:rPr>
        <w:t>G.0.</w:t>
      </w:r>
      <w:r w:rsidRPr="00FD50F6">
        <w:t xml:space="preserve">2 </w:t>
      </w:r>
      <w:r w:rsidRPr="00FD50F6">
        <w:rPr>
          <w:rFonts w:hint="eastAsia"/>
        </w:rPr>
        <w:t>轨道超高引起的加宽量</w:t>
      </w:r>
      <w:r w:rsidR="00E60653">
        <w:rPr>
          <w:rFonts w:hint="eastAsia"/>
        </w:rPr>
        <w:t>应按下列公式计算：</w:t>
      </w:r>
    </w:p>
    <w:p w14:paraId="6371CABD" w14:textId="544EC14B" w:rsidR="002B733E" w:rsidRPr="00FD50F6" w:rsidRDefault="002B733E" w:rsidP="002B733E">
      <w:pPr>
        <w:pStyle w:val="8"/>
        <w:ind w:firstLine="480"/>
      </w:pPr>
      <w:r w:rsidRPr="00FD50F6">
        <w:t xml:space="preserve">  </w:t>
      </w:r>
      <w:r w:rsidRPr="00FD50F6">
        <w:rPr>
          <w:noProof/>
          <w:position w:val="-24"/>
        </w:rPr>
        <w:drawing>
          <wp:inline distT="0" distB="0" distL="0" distR="0" wp14:anchorId="3061DBDC" wp14:editId="1E70526E">
            <wp:extent cx="673100" cy="3873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3100" cy="387350"/>
                    </a:xfrm>
                    <a:prstGeom prst="rect">
                      <a:avLst/>
                    </a:prstGeom>
                    <a:noFill/>
                    <a:ln>
                      <a:noFill/>
                    </a:ln>
                  </pic:spPr>
                </pic:pic>
              </a:graphicData>
            </a:graphic>
          </wp:inline>
        </w:drawing>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w:t>
      </w:r>
      <w:r w:rsidRPr="00FD50F6">
        <w:t>2-1</w:t>
      </w:r>
      <w:r w:rsidRPr="00FD50F6">
        <w:rPr>
          <w:rFonts w:hint="eastAsia"/>
        </w:rPr>
        <w:t>）</w:t>
      </w:r>
    </w:p>
    <w:p w14:paraId="1F7B8D74" w14:textId="6C5A385B" w:rsidR="002B733E" w:rsidRPr="00FD50F6" w:rsidRDefault="002B733E" w:rsidP="002B733E">
      <w:pPr>
        <w:pStyle w:val="8"/>
        <w:ind w:firstLine="480"/>
      </w:pPr>
      <w:r w:rsidRPr="00FD50F6">
        <w:t xml:space="preserve"> </w:t>
      </w:r>
      <w:r w:rsidRPr="00FD50F6">
        <w:rPr>
          <w:noProof/>
          <w:position w:val="-14"/>
        </w:rPr>
        <w:drawing>
          <wp:inline distT="0" distB="0" distL="0" distR="0" wp14:anchorId="353C4D21" wp14:editId="607D6326">
            <wp:extent cx="1676400" cy="254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76400" cy="254000"/>
                    </a:xfrm>
                    <a:prstGeom prst="rect">
                      <a:avLst/>
                    </a:prstGeom>
                    <a:noFill/>
                    <a:ln>
                      <a:noFill/>
                    </a:ln>
                  </pic:spPr>
                </pic:pic>
              </a:graphicData>
            </a:graphic>
          </wp:inline>
        </w:drawing>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w:t>
      </w:r>
      <w:r w:rsidRPr="00FD50F6">
        <w:t>2-2</w:t>
      </w:r>
      <w:r w:rsidRPr="00FD50F6">
        <w:rPr>
          <w:rFonts w:hint="eastAsia"/>
        </w:rPr>
        <w:t>）</w:t>
      </w:r>
    </w:p>
    <w:p w14:paraId="61EE57FB" w14:textId="5C30DA4B" w:rsidR="002B733E" w:rsidRPr="00FD50F6" w:rsidRDefault="002B733E" w:rsidP="002B733E">
      <w:pPr>
        <w:pStyle w:val="8"/>
        <w:ind w:firstLine="480"/>
      </w:pPr>
      <w:r w:rsidRPr="00FD50F6">
        <w:t xml:space="preserve"> </w:t>
      </w:r>
      <w:r w:rsidRPr="00FD50F6">
        <w:rPr>
          <w:noProof/>
          <w:position w:val="-12"/>
        </w:rPr>
        <w:drawing>
          <wp:inline distT="0" distB="0" distL="0" distR="0" wp14:anchorId="6567CC65" wp14:editId="34098309">
            <wp:extent cx="1727200" cy="24130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27200" cy="241300"/>
                    </a:xfrm>
                    <a:prstGeom prst="rect">
                      <a:avLst/>
                    </a:prstGeom>
                    <a:noFill/>
                    <a:ln>
                      <a:noFill/>
                    </a:ln>
                  </pic:spPr>
                </pic:pic>
              </a:graphicData>
            </a:graphic>
          </wp:inline>
        </w:drawing>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w:t>
      </w:r>
      <w:r w:rsidRPr="00FD50F6">
        <w:t>2-3</w:t>
      </w:r>
      <w:r w:rsidRPr="00FD50F6">
        <w:rPr>
          <w:rFonts w:hint="eastAsia"/>
        </w:rPr>
        <w:t>）</w:t>
      </w:r>
    </w:p>
    <w:p w14:paraId="6E18CC3D" w14:textId="141580D3" w:rsidR="00170715" w:rsidRDefault="002B733E" w:rsidP="002B733E">
      <w:pPr>
        <w:pStyle w:val="8"/>
        <w:ind w:firstLine="480"/>
      </w:pPr>
      <w:r w:rsidRPr="00FD50F6">
        <w:rPr>
          <w:noProof/>
          <w:position w:val="-24"/>
        </w:rPr>
        <w:drawing>
          <wp:inline distT="0" distB="0" distL="0" distR="0" wp14:anchorId="5A191DA0" wp14:editId="16D3428B">
            <wp:extent cx="812800" cy="40005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12800" cy="400050"/>
                    </a:xfrm>
                    <a:prstGeom prst="rect">
                      <a:avLst/>
                    </a:prstGeom>
                    <a:noFill/>
                    <a:ln>
                      <a:noFill/>
                    </a:ln>
                  </pic:spPr>
                </pic:pic>
              </a:graphicData>
            </a:graphic>
          </wp:inline>
        </w:drawing>
      </w:r>
      <w:r w:rsidRPr="00FD50F6">
        <w:t xml:space="preserve">    </w:t>
      </w:r>
      <w:r w:rsidR="00E60653">
        <w:t xml:space="preserve">             </w:t>
      </w:r>
      <w:r w:rsidR="00E60653">
        <w:rPr>
          <w:rFonts w:hint="eastAsia"/>
        </w:rPr>
        <w:t xml:space="preserve">       </w:t>
      </w:r>
      <w:r w:rsidR="00E60653">
        <w:t xml:space="preserve">                </w:t>
      </w:r>
      <w:r w:rsidR="00E60653">
        <w:rPr>
          <w:rFonts w:hint="eastAsia"/>
        </w:rPr>
        <w:t xml:space="preserve"> </w:t>
      </w:r>
      <w:r w:rsidR="00E60653">
        <w:t xml:space="preserve">  </w:t>
      </w:r>
      <w:r w:rsidR="00E60653">
        <w:rPr>
          <w:rFonts w:hint="eastAsia"/>
        </w:rPr>
        <w:t>（</w:t>
      </w:r>
      <w:r w:rsidR="00E60653">
        <w:rPr>
          <w:rFonts w:hint="eastAsia"/>
        </w:rPr>
        <w:t>G.0.</w:t>
      </w:r>
      <w:r w:rsidR="00E60653">
        <w:t>2-</w:t>
      </w:r>
      <w:r w:rsidR="00E60653">
        <w:rPr>
          <w:rFonts w:hint="eastAsia"/>
        </w:rPr>
        <w:t>4</w:t>
      </w:r>
      <w:r w:rsidR="00E60653">
        <w:rPr>
          <w:rFonts w:hint="eastAsia"/>
        </w:rPr>
        <w:t>）</w:t>
      </w:r>
      <w:r w:rsidR="00E60653">
        <w:t xml:space="preserve"> </w:t>
      </w:r>
      <w:r w:rsidRPr="00FD50F6">
        <w:t xml:space="preserve"> </w:t>
      </w:r>
      <w:r w:rsidR="00170715">
        <w:t xml:space="preserve">                                    </w:t>
      </w:r>
    </w:p>
    <w:p w14:paraId="403EA143" w14:textId="6CCC78F5" w:rsidR="002B733E" w:rsidRPr="00FD50F6" w:rsidRDefault="002B733E" w:rsidP="002B733E">
      <w:pPr>
        <w:pStyle w:val="8"/>
        <w:ind w:firstLine="480"/>
      </w:pPr>
      <w:r w:rsidRPr="00FD50F6">
        <w:t xml:space="preserve"> </w:t>
      </w:r>
      <w:r w:rsidRPr="00FD50F6">
        <w:rPr>
          <w:noProof/>
        </w:rPr>
        <w:drawing>
          <wp:inline distT="0" distB="0" distL="0" distR="0" wp14:anchorId="1092624A" wp14:editId="29B0DCB8">
            <wp:extent cx="63500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00E60653">
        <w:t xml:space="preserve">                  </w:t>
      </w:r>
      <w:r w:rsidR="00E60653">
        <w:rPr>
          <w:rFonts w:hint="eastAsia"/>
        </w:rPr>
        <w:t xml:space="preserve">         </w:t>
      </w:r>
      <w:r w:rsidR="00E60653">
        <w:t xml:space="preserve">   </w:t>
      </w:r>
      <w:r w:rsidR="00E60653">
        <w:rPr>
          <w:rFonts w:hint="eastAsia"/>
        </w:rPr>
        <w:t xml:space="preserve"> </w:t>
      </w:r>
      <w:r w:rsidR="00E60653">
        <w:t xml:space="preserve">  </w:t>
      </w:r>
      <w:r w:rsidR="00E60653">
        <w:rPr>
          <w:rFonts w:hint="eastAsia"/>
        </w:rPr>
        <w:t>（</w:t>
      </w:r>
      <w:r w:rsidR="00E60653">
        <w:rPr>
          <w:rFonts w:hint="eastAsia"/>
        </w:rPr>
        <w:t>G.0.</w:t>
      </w:r>
      <w:r w:rsidR="00E60653">
        <w:t>2-</w:t>
      </w:r>
      <w:r w:rsidR="00E60653">
        <w:rPr>
          <w:rFonts w:hint="eastAsia"/>
        </w:rPr>
        <w:t>5</w:t>
      </w:r>
      <w:r w:rsidR="00E60653">
        <w:rPr>
          <w:rFonts w:hint="eastAsia"/>
        </w:rPr>
        <w:t>）</w:t>
      </w:r>
    </w:p>
    <w:p w14:paraId="3DBD5E08" w14:textId="50F8A695" w:rsidR="002B733E" w:rsidRPr="00FD50F6" w:rsidRDefault="002B733E" w:rsidP="001A4CF3">
      <w:pPr>
        <w:pStyle w:val="8"/>
        <w:ind w:firstLineChars="0" w:firstLine="0"/>
      </w:pPr>
      <w:r w:rsidRPr="00FD50F6">
        <w:rPr>
          <w:rFonts w:hint="eastAsia"/>
        </w:rPr>
        <w:t>式中：</w:t>
      </w:r>
      <w:r w:rsidRPr="00FD50F6">
        <w:rPr>
          <w:noProof/>
        </w:rPr>
        <w:drawing>
          <wp:inline distT="0" distB="0" distL="0" distR="0" wp14:anchorId="5AD15838" wp14:editId="73850408">
            <wp:extent cx="254000" cy="254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FD50F6">
        <w:rPr>
          <w:rFonts w:hint="eastAsia"/>
        </w:rPr>
        <w:t>，</w:t>
      </w:r>
      <w:r w:rsidRPr="00FD50F6">
        <w:rPr>
          <w:noProof/>
        </w:rPr>
        <w:drawing>
          <wp:inline distT="0" distB="0" distL="0" distR="0" wp14:anchorId="2C32440C" wp14:editId="027D08B1">
            <wp:extent cx="266700" cy="2413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FD50F6">
        <w:rPr>
          <w:rFonts w:hint="eastAsia"/>
        </w:rPr>
        <w:t>——轨道超高引起的曲线内、外侧限界加宽量（</w:t>
      </w:r>
      <w:r w:rsidRPr="00FD50F6">
        <w:t>mm</w:t>
      </w:r>
      <w:r w:rsidRPr="00FD50F6">
        <w:rPr>
          <w:rFonts w:hint="eastAsia"/>
        </w:rPr>
        <w:t>）；</w:t>
      </w:r>
    </w:p>
    <w:p w14:paraId="24CD38D1" w14:textId="1A94DC1E" w:rsidR="002B733E" w:rsidRPr="00FD50F6" w:rsidRDefault="002B733E" w:rsidP="002B733E">
      <w:pPr>
        <w:pStyle w:val="8"/>
        <w:ind w:firstLine="480"/>
      </w:pPr>
      <w:r w:rsidRPr="00FD50F6">
        <w:rPr>
          <w:noProof/>
          <w:position w:val="-6"/>
        </w:rPr>
        <w:drawing>
          <wp:inline distT="0" distB="0" distL="0" distR="0" wp14:anchorId="1F6942D3" wp14:editId="00F6E3FC">
            <wp:extent cx="114300" cy="1270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FD50F6">
        <w:rPr>
          <w:rFonts w:hint="eastAsia"/>
        </w:rPr>
        <w:t>——为计算点距离缓和曲线起点的距离（</w:t>
      </w:r>
      <w:r w:rsidRPr="00FD50F6">
        <w:t>m</w:t>
      </w:r>
      <w:r w:rsidRPr="00FD50F6">
        <w:rPr>
          <w:rFonts w:hint="eastAsia"/>
        </w:rPr>
        <w:t>）；</w:t>
      </w:r>
    </w:p>
    <w:p w14:paraId="70097095" w14:textId="71ED1048" w:rsidR="002B733E" w:rsidRPr="00FD50F6" w:rsidRDefault="002B733E" w:rsidP="002B733E">
      <w:pPr>
        <w:pStyle w:val="8"/>
        <w:ind w:firstLine="480"/>
      </w:pPr>
      <w:r w:rsidRPr="00FD50F6">
        <w:rPr>
          <w:noProof/>
        </w:rPr>
        <w:drawing>
          <wp:inline distT="0" distB="0" distL="0" distR="0" wp14:anchorId="2435508D" wp14:editId="70290D38">
            <wp:extent cx="127000" cy="1778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FD50F6">
        <w:rPr>
          <w:rFonts w:hint="eastAsia"/>
        </w:rPr>
        <w:t>——缓和曲线长度（</w:t>
      </w:r>
      <w:r w:rsidRPr="00FD50F6">
        <w:t>m</w:t>
      </w:r>
      <w:r w:rsidRPr="00FD50F6">
        <w:rPr>
          <w:rFonts w:hint="eastAsia"/>
        </w:rPr>
        <w:t>）；</w:t>
      </w:r>
    </w:p>
    <w:p w14:paraId="3530E8FC" w14:textId="124AFC55" w:rsidR="002B733E" w:rsidRPr="00FD50F6" w:rsidRDefault="002B733E" w:rsidP="002B733E">
      <w:pPr>
        <w:pStyle w:val="8"/>
        <w:ind w:firstLine="480"/>
      </w:pPr>
      <w:r w:rsidRPr="00FD50F6">
        <w:rPr>
          <w:noProof/>
        </w:rPr>
        <w:drawing>
          <wp:inline distT="0" distB="0" distL="0" distR="0" wp14:anchorId="2C5FF808" wp14:editId="02690755">
            <wp:extent cx="152400" cy="177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FD50F6">
        <w:rPr>
          <w:rFonts w:hint="eastAsia"/>
        </w:rPr>
        <w:t>——圆曲线半径（</w:t>
      </w:r>
      <w:r w:rsidRPr="00FD50F6">
        <w:t>m</w:t>
      </w:r>
      <w:r w:rsidRPr="00FD50F6">
        <w:rPr>
          <w:rFonts w:hint="eastAsia"/>
        </w:rPr>
        <w:t>）；</w:t>
      </w:r>
    </w:p>
    <w:p w14:paraId="3066D1E8" w14:textId="0CBB6F55" w:rsidR="002B733E" w:rsidRPr="00FD50F6" w:rsidRDefault="002B733E" w:rsidP="002B733E">
      <w:pPr>
        <w:pStyle w:val="8"/>
        <w:ind w:firstLine="480"/>
      </w:pPr>
      <w:r w:rsidRPr="00FD50F6">
        <w:rPr>
          <w:noProof/>
        </w:rPr>
        <w:drawing>
          <wp:inline distT="0" distB="0" distL="0" distR="0" wp14:anchorId="78BB1754" wp14:editId="06086FF3">
            <wp:extent cx="11430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FD50F6">
        <w:rPr>
          <w:rFonts w:hint="eastAsia"/>
        </w:rPr>
        <w:t>——圆曲线段轨道超高值（</w:t>
      </w:r>
      <w:r w:rsidRPr="00FD50F6">
        <w:t>mm</w:t>
      </w:r>
      <w:r w:rsidRPr="00FD50F6">
        <w:rPr>
          <w:rFonts w:hint="eastAsia"/>
        </w:rPr>
        <w:t>）；</w:t>
      </w:r>
    </w:p>
    <w:p w14:paraId="738F7A42" w14:textId="1424625F" w:rsidR="002B733E" w:rsidRPr="00FD50F6" w:rsidRDefault="002B733E" w:rsidP="002B733E">
      <w:pPr>
        <w:pStyle w:val="8"/>
        <w:ind w:firstLine="480"/>
      </w:pPr>
      <w:r w:rsidRPr="00FD50F6">
        <w:rPr>
          <w:noProof/>
        </w:rPr>
        <w:drawing>
          <wp:inline distT="0" distB="0" distL="0" distR="0" wp14:anchorId="3C7AFC35" wp14:editId="48E39457">
            <wp:extent cx="203200" cy="2540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3200" cy="254000"/>
                    </a:xfrm>
                    <a:prstGeom prst="rect">
                      <a:avLst/>
                    </a:prstGeom>
                    <a:noFill/>
                    <a:ln>
                      <a:noFill/>
                    </a:ln>
                  </pic:spPr>
                </pic:pic>
              </a:graphicData>
            </a:graphic>
          </wp:inline>
        </w:drawing>
      </w:r>
      <w:r w:rsidRPr="00FD50F6">
        <w:rPr>
          <w:rFonts w:hint="eastAsia"/>
        </w:rPr>
        <w:t>—缓和曲线上计算点处的超高值（</w:t>
      </w:r>
      <w:r w:rsidRPr="00FD50F6">
        <w:t>mm</w:t>
      </w:r>
      <w:r w:rsidRPr="00FD50F6">
        <w:rPr>
          <w:rFonts w:hint="eastAsia"/>
        </w:rPr>
        <w:t>）；</w:t>
      </w:r>
    </w:p>
    <w:p w14:paraId="62523308" w14:textId="3C2F29DB" w:rsidR="002B733E" w:rsidRPr="00FD50F6" w:rsidRDefault="002B733E" w:rsidP="002B733E">
      <w:pPr>
        <w:pStyle w:val="8"/>
        <w:ind w:firstLine="480"/>
        <w:rPr>
          <w:b/>
        </w:rPr>
      </w:pPr>
      <w:r w:rsidRPr="00FD50F6">
        <w:rPr>
          <w:rFonts w:hint="eastAsia"/>
        </w:rPr>
        <w:t>（</w:t>
      </w:r>
      <w:r w:rsidRPr="00FD50F6">
        <w:t xml:space="preserve">Y1 </w:t>
      </w:r>
      <w:r w:rsidRPr="00FD50F6">
        <w:rPr>
          <w:rFonts w:hint="eastAsia"/>
        </w:rPr>
        <w:t>，</w:t>
      </w:r>
      <w:r w:rsidRPr="00FD50F6">
        <w:t>Z1</w:t>
      </w:r>
      <w:r w:rsidRPr="00FD50F6">
        <w:rPr>
          <w:rFonts w:hint="eastAsia"/>
        </w:rPr>
        <w:t>）及（</w:t>
      </w:r>
      <w:r w:rsidRPr="00FD50F6">
        <w:t xml:space="preserve">Y2 </w:t>
      </w:r>
      <w:r w:rsidRPr="00FD50F6">
        <w:rPr>
          <w:rFonts w:hint="eastAsia"/>
        </w:rPr>
        <w:t>，</w:t>
      </w:r>
      <w:r w:rsidRPr="00FD50F6">
        <w:t>Z2</w:t>
      </w:r>
      <w:r w:rsidRPr="00FD50F6">
        <w:rPr>
          <w:rFonts w:hint="eastAsia"/>
        </w:rPr>
        <w:t>）</w:t>
      </w:r>
      <w:r w:rsidR="00314480">
        <w:rPr>
          <w:rFonts w:hint="eastAsia"/>
        </w:rPr>
        <w:t>——</w:t>
      </w:r>
      <w:r w:rsidRPr="00FD50F6">
        <w:rPr>
          <w:rFonts w:hint="eastAsia"/>
        </w:rPr>
        <w:t>计算曲线内外侧限界加宽的设备限界控制</w:t>
      </w:r>
      <w:r w:rsidRPr="00FD50F6">
        <w:rPr>
          <w:rFonts w:hint="eastAsia"/>
        </w:rPr>
        <w:lastRenderedPageBreak/>
        <w:t>点坐标（</w:t>
      </w:r>
      <w:r w:rsidRPr="00FD50F6">
        <w:t>mm</w:t>
      </w:r>
      <w:r w:rsidRPr="00FD50F6">
        <w:rPr>
          <w:rFonts w:hint="eastAsia"/>
          <w:b/>
        </w:rPr>
        <w:t>）。</w:t>
      </w:r>
    </w:p>
    <w:p w14:paraId="067C99E5" w14:textId="52DEA230" w:rsidR="002B733E" w:rsidRPr="00FD50F6" w:rsidRDefault="002B733E" w:rsidP="002B733E">
      <w:pPr>
        <w:pStyle w:val="30"/>
        <w:numPr>
          <w:ilvl w:val="0"/>
          <w:numId w:val="0"/>
        </w:numPr>
      </w:pPr>
      <w:r w:rsidRPr="00FD50F6">
        <w:rPr>
          <w:rFonts w:hint="eastAsia"/>
        </w:rPr>
        <w:t>G.0.</w:t>
      </w:r>
      <w:r w:rsidRPr="00FD50F6">
        <w:t xml:space="preserve">3 </w:t>
      </w:r>
      <w:r w:rsidRPr="00FD50F6">
        <w:rPr>
          <w:rFonts w:hint="eastAsia"/>
        </w:rPr>
        <w:t>引起加宽的其他因素可包括欠超高或过超高引起的加宽量和曲线轨道参数及车辆参数变化引起的建筑限界加宽量。其他因素引起的加宽量值，车站地段应取</w:t>
      </w:r>
      <w:r w:rsidRPr="00FD50F6">
        <w:rPr>
          <w:rFonts w:hint="eastAsia"/>
        </w:rPr>
        <w:t>10mm</w:t>
      </w:r>
      <w:r w:rsidRPr="00FD50F6">
        <w:rPr>
          <w:rFonts w:hint="eastAsia"/>
        </w:rPr>
        <w:t>，区间地段应取</w:t>
      </w:r>
      <w:r w:rsidRPr="00FD50F6">
        <w:rPr>
          <w:rFonts w:hint="eastAsia"/>
        </w:rPr>
        <w:t>30mm</w:t>
      </w:r>
      <w:r w:rsidRPr="00FD50F6">
        <w:rPr>
          <w:rFonts w:hint="eastAsia"/>
        </w:rPr>
        <w:t>。</w:t>
      </w:r>
    </w:p>
    <w:p w14:paraId="75288D73" w14:textId="77777777" w:rsidR="002B733E" w:rsidRPr="00FD50F6" w:rsidRDefault="002B733E" w:rsidP="002B733E">
      <w:pPr>
        <w:pStyle w:val="30"/>
        <w:numPr>
          <w:ilvl w:val="0"/>
          <w:numId w:val="0"/>
        </w:numPr>
      </w:pPr>
      <w:r w:rsidRPr="00FD50F6">
        <w:rPr>
          <w:rFonts w:hint="eastAsia"/>
        </w:rPr>
        <w:t>G.0.</w:t>
      </w:r>
      <w:r w:rsidRPr="00FD50F6">
        <w:t xml:space="preserve">4 </w:t>
      </w:r>
      <w:r w:rsidRPr="00FD50F6">
        <w:rPr>
          <w:rFonts w:hint="eastAsia"/>
        </w:rPr>
        <w:t>缓和曲线上限界加宽总量可按下列公式计算：</w:t>
      </w:r>
    </w:p>
    <w:p w14:paraId="2FC77BE0" w14:textId="0947872B" w:rsidR="002B733E" w:rsidRPr="00FD50F6" w:rsidRDefault="002B733E" w:rsidP="002B733E">
      <w:pPr>
        <w:pStyle w:val="8"/>
        <w:ind w:firstLine="480"/>
      </w:pPr>
      <w:r w:rsidRPr="00FD50F6">
        <w:rPr>
          <w:rFonts w:hint="eastAsia"/>
        </w:rPr>
        <w:t>曲线内侧：</w:t>
      </w:r>
      <w:r w:rsidRPr="00FD50F6">
        <w:rPr>
          <w:rFonts w:hint="eastAsia"/>
        </w:rPr>
        <w:t xml:space="preserve"> E</w:t>
      </w:r>
      <w:r w:rsidRPr="00FD50F6">
        <w:rPr>
          <w:rFonts w:hint="eastAsia"/>
          <w:vertAlign w:val="subscript"/>
        </w:rPr>
        <w:t>内</w:t>
      </w:r>
      <w:r w:rsidRPr="00FD50F6">
        <w:rPr>
          <w:rFonts w:hint="eastAsia"/>
        </w:rPr>
        <w:t>=e</w:t>
      </w:r>
      <w:r w:rsidRPr="00FD50F6">
        <w:rPr>
          <w:rFonts w:hint="eastAsia"/>
          <w:vertAlign w:val="subscript"/>
        </w:rPr>
        <w:t>p</w:t>
      </w:r>
      <w:r w:rsidRPr="00FD50F6">
        <w:rPr>
          <w:rFonts w:hint="eastAsia"/>
          <w:vertAlign w:val="subscript"/>
        </w:rPr>
        <w:t>内</w:t>
      </w:r>
      <w:r w:rsidRPr="00FD50F6">
        <w:rPr>
          <w:rFonts w:hint="eastAsia"/>
        </w:rPr>
        <w:t>+e</w:t>
      </w:r>
      <w:r w:rsidRPr="00FD50F6">
        <w:rPr>
          <w:rFonts w:hint="eastAsia"/>
          <w:vertAlign w:val="subscript"/>
        </w:rPr>
        <w:t>h</w:t>
      </w:r>
      <w:r w:rsidRPr="00FD50F6">
        <w:rPr>
          <w:rFonts w:hint="eastAsia"/>
          <w:vertAlign w:val="subscript"/>
        </w:rPr>
        <w:t>内</w:t>
      </w:r>
      <w:r w:rsidRPr="00FD50F6">
        <w:rPr>
          <w:rFonts w:hint="eastAsia"/>
        </w:rPr>
        <w:t>+e</w:t>
      </w:r>
      <w:r w:rsidRPr="00FD50F6">
        <w:rPr>
          <w:rFonts w:hint="eastAsia"/>
          <w:vertAlign w:val="subscript"/>
        </w:rPr>
        <w:t>其他</w:t>
      </w:r>
      <w:r w:rsidRPr="00FD50F6">
        <w:t xml:space="preserve">       </w:t>
      </w:r>
      <w:r w:rsidRPr="00FD50F6">
        <w:rPr>
          <w:rFonts w:hint="eastAsia"/>
        </w:rPr>
        <w:t>（</w:t>
      </w:r>
      <w:r w:rsidRPr="00FD50F6">
        <w:rPr>
          <w:rFonts w:hint="eastAsia"/>
        </w:rPr>
        <w:t>G.0.4</w:t>
      </w:r>
      <w:r w:rsidRPr="00FD50F6">
        <w:t>-1</w:t>
      </w:r>
      <w:r w:rsidRPr="00FD50F6">
        <w:rPr>
          <w:rFonts w:hint="eastAsia"/>
        </w:rPr>
        <w:t>）</w:t>
      </w:r>
    </w:p>
    <w:p w14:paraId="12E80709" w14:textId="18192CF4" w:rsidR="002B733E" w:rsidRPr="00FD50F6" w:rsidRDefault="002B733E" w:rsidP="002B733E">
      <w:pPr>
        <w:pStyle w:val="8"/>
        <w:ind w:firstLine="480"/>
      </w:pPr>
      <w:r w:rsidRPr="00FD50F6">
        <w:rPr>
          <w:rFonts w:hint="eastAsia"/>
        </w:rPr>
        <w:t>曲线外侧：</w:t>
      </w:r>
      <w:r w:rsidRPr="00FD50F6">
        <w:t xml:space="preserve"> </w:t>
      </w:r>
      <w:r w:rsidRPr="00FD50F6">
        <w:rPr>
          <w:rFonts w:hint="eastAsia"/>
        </w:rPr>
        <w:t>E</w:t>
      </w:r>
      <w:r w:rsidRPr="00FD50F6">
        <w:rPr>
          <w:rFonts w:hint="eastAsia"/>
          <w:vertAlign w:val="subscript"/>
        </w:rPr>
        <w:t>外</w:t>
      </w:r>
      <w:r w:rsidRPr="00FD50F6">
        <w:rPr>
          <w:rFonts w:hint="eastAsia"/>
        </w:rPr>
        <w:t>=e</w:t>
      </w:r>
      <w:r w:rsidRPr="00FD50F6">
        <w:rPr>
          <w:rFonts w:hint="eastAsia"/>
          <w:vertAlign w:val="subscript"/>
        </w:rPr>
        <w:t>p</w:t>
      </w:r>
      <w:r w:rsidRPr="00FD50F6">
        <w:rPr>
          <w:rFonts w:hint="eastAsia"/>
          <w:vertAlign w:val="subscript"/>
        </w:rPr>
        <w:t>外</w:t>
      </w:r>
      <w:r w:rsidRPr="00FD50F6">
        <w:rPr>
          <w:rFonts w:hint="eastAsia"/>
        </w:rPr>
        <w:t>+e</w:t>
      </w:r>
      <w:r w:rsidRPr="00FD50F6">
        <w:rPr>
          <w:rFonts w:hint="eastAsia"/>
          <w:vertAlign w:val="subscript"/>
        </w:rPr>
        <w:t>h</w:t>
      </w:r>
      <w:r w:rsidRPr="00FD50F6">
        <w:rPr>
          <w:rFonts w:hint="eastAsia"/>
          <w:vertAlign w:val="subscript"/>
        </w:rPr>
        <w:t>外</w:t>
      </w:r>
      <w:r w:rsidRPr="00FD50F6">
        <w:rPr>
          <w:rFonts w:hint="eastAsia"/>
        </w:rPr>
        <w:t>+e</w:t>
      </w:r>
      <w:r w:rsidRPr="00FD50F6">
        <w:rPr>
          <w:rFonts w:hint="eastAsia"/>
          <w:vertAlign w:val="subscript"/>
        </w:rPr>
        <w:t>其他</w:t>
      </w:r>
      <w:r w:rsidRPr="00FD50F6">
        <w:t xml:space="preserve">     </w:t>
      </w:r>
      <w:r w:rsidRPr="00FD50F6">
        <w:rPr>
          <w:rFonts w:hint="eastAsia"/>
        </w:rPr>
        <w:t xml:space="preserve"> </w:t>
      </w:r>
      <w:r w:rsidRPr="00FD50F6">
        <w:t xml:space="preserve"> </w:t>
      </w:r>
      <w:r w:rsidRPr="00FD50F6">
        <w:rPr>
          <w:rFonts w:hint="eastAsia"/>
        </w:rPr>
        <w:t>（</w:t>
      </w:r>
      <w:r w:rsidRPr="00FD50F6">
        <w:rPr>
          <w:rFonts w:hint="eastAsia"/>
        </w:rPr>
        <w:t>G.0.4</w:t>
      </w:r>
      <w:r w:rsidRPr="00FD50F6">
        <w:t>-2</w:t>
      </w:r>
      <w:r w:rsidRPr="00FD50F6">
        <w:rPr>
          <w:rFonts w:hint="eastAsia"/>
        </w:rPr>
        <w:t>）</w:t>
      </w:r>
    </w:p>
    <w:p w14:paraId="6A62A2C2" w14:textId="3A094834" w:rsidR="002B733E" w:rsidRPr="00FD50F6" w:rsidRDefault="002B733E" w:rsidP="002B733E">
      <w:pPr>
        <w:pStyle w:val="8"/>
        <w:ind w:firstLine="480"/>
      </w:pPr>
      <w:r w:rsidRPr="00FD50F6">
        <w:rPr>
          <w:rFonts w:hint="eastAsia"/>
        </w:rPr>
        <w:t>式中：</w:t>
      </w:r>
      <w:r w:rsidRPr="00FD50F6">
        <w:rPr>
          <w:rFonts w:hint="eastAsia"/>
        </w:rPr>
        <w:t>e</w:t>
      </w:r>
      <w:r w:rsidRPr="00FD50F6">
        <w:rPr>
          <w:rFonts w:hint="eastAsia"/>
          <w:vertAlign w:val="subscript"/>
        </w:rPr>
        <w:t>其他</w:t>
      </w:r>
      <w:r w:rsidRPr="00FD50F6">
        <w:rPr>
          <w:rFonts w:hint="eastAsia"/>
        </w:rPr>
        <w:t>——其他因素引起的加宽量值</w:t>
      </w:r>
      <w:r w:rsidRPr="00FD50F6">
        <w:rPr>
          <w:rFonts w:hint="eastAsia"/>
        </w:rPr>
        <w:t>(mm)</w:t>
      </w:r>
      <w:r w:rsidRPr="00FD50F6">
        <w:rPr>
          <w:rFonts w:hint="eastAsia"/>
        </w:rPr>
        <w:t>，应按本标准第</w:t>
      </w:r>
      <w:r w:rsidRPr="00FD50F6">
        <w:rPr>
          <w:rFonts w:hint="eastAsia"/>
        </w:rPr>
        <w:t>G.0.3</w:t>
      </w:r>
      <w:r w:rsidRPr="00FD50F6">
        <w:rPr>
          <w:rFonts w:hint="eastAsia"/>
        </w:rPr>
        <w:t>条取值。</w:t>
      </w:r>
    </w:p>
    <w:p w14:paraId="650AD90C" w14:textId="1123C70A" w:rsidR="002B733E" w:rsidRPr="00FD50F6" w:rsidRDefault="002B733E" w:rsidP="002B733E">
      <w:pPr>
        <w:pStyle w:val="30"/>
        <w:numPr>
          <w:ilvl w:val="0"/>
          <w:numId w:val="0"/>
        </w:numPr>
      </w:pPr>
      <w:r w:rsidRPr="00FD50F6">
        <w:rPr>
          <w:rFonts w:hint="eastAsia"/>
        </w:rPr>
        <w:t>G.0.</w:t>
      </w:r>
      <w:r w:rsidRPr="00FD50F6">
        <w:t xml:space="preserve">5 </w:t>
      </w:r>
      <w:r w:rsidRPr="00FD50F6">
        <w:rPr>
          <w:rFonts w:hint="eastAsia"/>
        </w:rPr>
        <w:t>缓和曲线段建筑限界加宽（图</w:t>
      </w:r>
      <w:r w:rsidRPr="00FD50F6">
        <w:rPr>
          <w:rFonts w:hint="eastAsia"/>
        </w:rPr>
        <w:t>G.0.5</w:t>
      </w:r>
      <w:r w:rsidRPr="00FD50F6">
        <w:t>-1</w:t>
      </w:r>
      <w:r w:rsidRPr="00FD50F6">
        <w:rPr>
          <w:rFonts w:hint="eastAsia"/>
        </w:rPr>
        <w:t>）应分为内侧加宽和外侧加宽。</w:t>
      </w:r>
    </w:p>
    <w:p w14:paraId="51B797D3" w14:textId="77777777" w:rsidR="00565FD4" w:rsidRDefault="00565FD4" w:rsidP="00565FD4">
      <w:pPr>
        <w:spacing w:line="240" w:lineRule="auto"/>
        <w:rPr>
          <w:rFonts w:ascii="Calibri" w:hAnsi="Calibri" w:cs="Times New Roman"/>
          <w:sz w:val="21"/>
          <w:szCs w:val="24"/>
        </w:rPr>
      </w:pPr>
    </w:p>
    <w:p w14:paraId="0B486DCB" w14:textId="77777777" w:rsidR="00565FD4" w:rsidRDefault="00565FD4" w:rsidP="00565FD4">
      <w:pPr>
        <w:adjustRightInd w:val="0"/>
        <w:jc w:val="center"/>
        <w:rPr>
          <w:rFonts w:eastAsia="黑体"/>
          <w:sz w:val="20"/>
        </w:rPr>
      </w:pPr>
      <w:r>
        <w:rPr>
          <w:rFonts w:eastAsia="黑体"/>
          <w:noProof/>
          <w:sz w:val="20"/>
        </w:rPr>
        <w:drawing>
          <wp:inline distT="0" distB="0" distL="114300" distR="114300" wp14:anchorId="053F7516" wp14:editId="6E7B84D0">
            <wp:extent cx="4321175" cy="1143635"/>
            <wp:effectExtent l="0" t="0" r="3175" b="18415"/>
            <wp:docPr id="6"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1"/>
                    <pic:cNvPicPr>
                      <a:picLocks noChangeAspect="1"/>
                    </pic:cNvPicPr>
                  </pic:nvPicPr>
                  <pic:blipFill>
                    <a:blip r:embed="rId139"/>
                    <a:srcRect l="4146" t="34668" b="29372"/>
                    <a:stretch>
                      <a:fillRect/>
                    </a:stretch>
                  </pic:blipFill>
                  <pic:spPr>
                    <a:xfrm>
                      <a:off x="0" y="0"/>
                      <a:ext cx="4321175" cy="1143635"/>
                    </a:xfrm>
                    <a:prstGeom prst="rect">
                      <a:avLst/>
                    </a:prstGeom>
                    <a:noFill/>
                    <a:ln>
                      <a:noFill/>
                    </a:ln>
                  </pic:spPr>
                </pic:pic>
              </a:graphicData>
            </a:graphic>
          </wp:inline>
        </w:drawing>
      </w:r>
    </w:p>
    <w:p w14:paraId="74A8CD0D" w14:textId="77777777" w:rsidR="00565FD4" w:rsidRDefault="00565FD4" w:rsidP="00565FD4">
      <w:pPr>
        <w:pStyle w:val="6"/>
      </w:pPr>
      <w:r>
        <w:rPr>
          <w:rFonts w:hint="eastAsia"/>
        </w:rPr>
        <w:t>图</w:t>
      </w:r>
      <w:r>
        <w:rPr>
          <w:rFonts w:hint="eastAsia"/>
        </w:rPr>
        <w:t>G.0.5</w:t>
      </w:r>
      <w:r>
        <w:t xml:space="preserve">-1   </w:t>
      </w:r>
      <w:r>
        <w:rPr>
          <w:rFonts w:hint="eastAsia"/>
        </w:rPr>
        <w:t>缓和曲线段建筑限界加宽适用范围示意</w:t>
      </w:r>
    </w:p>
    <w:p w14:paraId="0ACF506E" w14:textId="77777777" w:rsidR="00565FD4" w:rsidRPr="002D74E7" w:rsidRDefault="00565FD4" w:rsidP="00565FD4">
      <w:pPr>
        <w:adjustRightInd w:val="0"/>
        <w:jc w:val="center"/>
        <w:rPr>
          <w:rFonts w:ascii="Times New Roman" w:hAnsi="Times New Roman" w:cs="Times New Roman"/>
          <w:sz w:val="21"/>
        </w:rPr>
      </w:pPr>
      <w:r w:rsidRPr="002D74E7">
        <w:rPr>
          <w:rFonts w:ascii="Times New Roman" w:hAnsi="Times New Roman" w:cs="Times New Roman"/>
          <w:sz w:val="21"/>
        </w:rPr>
        <w:t>1—</w:t>
      </w:r>
      <w:r w:rsidRPr="002D74E7">
        <w:rPr>
          <w:rFonts w:ascii="Times New Roman" w:hAnsi="Times New Roman" w:cs="Times New Roman"/>
          <w:sz w:val="21"/>
        </w:rPr>
        <w:t>线路中心线的直线段；</w:t>
      </w:r>
      <w:r w:rsidRPr="002D74E7">
        <w:rPr>
          <w:rFonts w:ascii="Times New Roman" w:hAnsi="Times New Roman" w:cs="Times New Roman"/>
          <w:sz w:val="21"/>
        </w:rPr>
        <w:t>2—</w:t>
      </w:r>
      <w:r w:rsidRPr="002D74E7">
        <w:rPr>
          <w:rFonts w:ascii="Times New Roman" w:hAnsi="Times New Roman" w:cs="Times New Roman"/>
          <w:sz w:val="21"/>
        </w:rPr>
        <w:t>线路中心线的缓和曲线段；</w:t>
      </w:r>
      <w:r w:rsidRPr="002D74E7">
        <w:rPr>
          <w:rFonts w:ascii="Times New Roman" w:hAnsi="Times New Roman" w:cs="Times New Roman"/>
          <w:sz w:val="21"/>
        </w:rPr>
        <w:t>3—</w:t>
      </w:r>
      <w:r w:rsidRPr="002D74E7">
        <w:rPr>
          <w:rFonts w:ascii="Times New Roman" w:hAnsi="Times New Roman" w:cs="Times New Roman"/>
          <w:sz w:val="21"/>
        </w:rPr>
        <w:t>线路中心线的圆曲线段；</w:t>
      </w:r>
    </w:p>
    <w:p w14:paraId="4E4D443B" w14:textId="77777777" w:rsidR="00565FD4" w:rsidRPr="002D74E7" w:rsidRDefault="00565FD4" w:rsidP="00565FD4">
      <w:pPr>
        <w:adjustRightInd w:val="0"/>
        <w:jc w:val="center"/>
        <w:rPr>
          <w:rFonts w:ascii="Times New Roman" w:hAnsi="Times New Roman" w:cs="Times New Roman"/>
          <w:sz w:val="21"/>
        </w:rPr>
      </w:pPr>
      <w:r w:rsidRPr="002D74E7">
        <w:rPr>
          <w:rFonts w:ascii="Times New Roman" w:hAnsi="Times New Roman" w:cs="Times New Roman"/>
          <w:sz w:val="21"/>
        </w:rPr>
        <w:t>a—</w:t>
      </w:r>
      <w:r w:rsidRPr="002D74E7">
        <w:rPr>
          <w:rFonts w:ascii="Times New Roman" w:hAnsi="Times New Roman" w:cs="Times New Roman"/>
          <w:i/>
          <w:iCs/>
          <w:sz w:val="21"/>
        </w:rPr>
        <w:t>E</w:t>
      </w:r>
      <w:r w:rsidRPr="002D74E7">
        <w:rPr>
          <w:rStyle w:val="afff2"/>
          <w:rFonts w:ascii="Times New Roman" w:hAnsi="Times New Roman" w:cs="Times New Roman"/>
          <w:i/>
          <w:iCs/>
          <w:vertAlign w:val="subscript"/>
        </w:rPr>
        <w:t>内</w:t>
      </w:r>
      <w:r w:rsidRPr="002D74E7">
        <w:rPr>
          <w:rFonts w:ascii="Times New Roman" w:hAnsi="Times New Roman" w:cs="Times New Roman"/>
          <w:sz w:val="21"/>
        </w:rPr>
        <w:t>适用范围；</w:t>
      </w:r>
      <w:r w:rsidRPr="002D74E7">
        <w:rPr>
          <w:rFonts w:ascii="Times New Roman" w:hAnsi="Times New Roman" w:cs="Times New Roman"/>
          <w:sz w:val="21"/>
        </w:rPr>
        <w:t>b—</w:t>
      </w:r>
      <w:r w:rsidRPr="002D74E7">
        <w:rPr>
          <w:rFonts w:ascii="Times New Roman" w:hAnsi="Times New Roman" w:cs="Times New Roman"/>
          <w:i/>
          <w:iCs/>
          <w:sz w:val="21"/>
        </w:rPr>
        <w:t>E</w:t>
      </w:r>
      <w:r w:rsidRPr="002D74E7">
        <w:rPr>
          <w:rStyle w:val="afff2"/>
          <w:rFonts w:ascii="Times New Roman" w:hAnsi="Times New Roman" w:cs="Times New Roman"/>
          <w:i/>
          <w:iCs/>
          <w:vertAlign w:val="subscript"/>
        </w:rPr>
        <w:t>外</w:t>
      </w:r>
      <w:r w:rsidRPr="002D74E7">
        <w:rPr>
          <w:rFonts w:ascii="Times New Roman" w:hAnsi="Times New Roman" w:cs="Times New Roman"/>
          <w:sz w:val="21"/>
        </w:rPr>
        <w:t>适用范围</w:t>
      </w:r>
    </w:p>
    <w:p w14:paraId="07F9498C" w14:textId="25FD79C5" w:rsidR="007B7AF9" w:rsidRPr="00FD50F6" w:rsidRDefault="007B7AF9" w:rsidP="007A0D90">
      <w:r w:rsidRPr="00FD50F6">
        <w:br w:type="page"/>
      </w:r>
    </w:p>
    <w:p w14:paraId="16294B6B" w14:textId="77777777" w:rsidR="007B7AF9" w:rsidRPr="00FD50F6" w:rsidRDefault="007B7AF9" w:rsidP="007B7AF9">
      <w:pPr>
        <w:pStyle w:val="12"/>
        <w:numPr>
          <w:ilvl w:val="0"/>
          <w:numId w:val="0"/>
        </w:numPr>
      </w:pPr>
      <w:bookmarkStart w:id="1406" w:name="_Toc112830906"/>
      <w:r w:rsidRPr="00FD50F6">
        <w:rPr>
          <w:rFonts w:hint="eastAsia"/>
        </w:rPr>
        <w:lastRenderedPageBreak/>
        <w:t>附录</w:t>
      </w:r>
      <w:r w:rsidRPr="00FD50F6">
        <w:t xml:space="preserve">H </w:t>
      </w:r>
      <w:r w:rsidRPr="00FD50F6">
        <w:rPr>
          <w:rFonts w:hint="eastAsia"/>
        </w:rPr>
        <w:t>车站换乘功能评价指标和计算公式</w:t>
      </w:r>
      <w:bookmarkEnd w:id="1406"/>
    </w:p>
    <w:p w14:paraId="01EBDCDB" w14:textId="4C89051C" w:rsidR="00226CEC" w:rsidRPr="00251933" w:rsidRDefault="00226CEC" w:rsidP="00251933">
      <w:pPr>
        <w:outlineLvl w:val="2"/>
        <w:rPr>
          <w:rFonts w:ascii="Times New Roman" w:hAnsi="Times New Roman" w:cs="Times New Roman"/>
          <w:bCs/>
          <w:szCs w:val="32"/>
        </w:rPr>
      </w:pPr>
      <w:r w:rsidRPr="00FD50F6">
        <w:rPr>
          <w:rFonts w:ascii="Times New Roman" w:hAnsi="Times New Roman" w:cs="Times New Roman" w:hint="eastAsia"/>
          <w:bCs/>
          <w:szCs w:val="32"/>
        </w:rPr>
        <w:t>H</w:t>
      </w:r>
      <w:r w:rsidRPr="00FD50F6">
        <w:rPr>
          <w:rFonts w:ascii="Times New Roman" w:hAnsi="Times New Roman" w:cs="Times New Roman"/>
          <w:bCs/>
          <w:szCs w:val="32"/>
        </w:rPr>
        <w:t>.0.1</w:t>
      </w:r>
      <w:bookmarkStart w:id="1407" w:name="_Hlk119697072"/>
      <w:r w:rsidRPr="00251933">
        <w:rPr>
          <w:rFonts w:ascii="Times New Roman" w:hAnsi="Times New Roman" w:cs="Times New Roman" w:hint="eastAsia"/>
          <w:szCs w:val="24"/>
        </w:rPr>
        <w:t>换乘车站功能评价中能力适应性评价可分为良好、一般和差</w:t>
      </w:r>
      <w:bookmarkEnd w:id="1407"/>
      <w:r w:rsidRPr="00251933">
        <w:rPr>
          <w:rFonts w:ascii="Times New Roman" w:hAnsi="Times New Roman" w:cs="Times New Roman" w:hint="eastAsia"/>
          <w:szCs w:val="24"/>
        </w:rPr>
        <w:t>，车站换乘功能评价指标可按表</w:t>
      </w:r>
      <w:r w:rsidRPr="00251933">
        <w:rPr>
          <w:rFonts w:ascii="Times New Roman" w:hAnsi="Times New Roman" w:cs="Times New Roman"/>
          <w:szCs w:val="24"/>
        </w:rPr>
        <w:t>H.0.1</w:t>
      </w:r>
      <w:r w:rsidRPr="00251933">
        <w:rPr>
          <w:rFonts w:ascii="Times New Roman" w:hAnsi="Times New Roman" w:cs="Times New Roman"/>
          <w:szCs w:val="24"/>
        </w:rPr>
        <w:t>的规定执行</w:t>
      </w:r>
      <w:r w:rsidRPr="00251933">
        <w:rPr>
          <w:rFonts w:ascii="Times New Roman" w:hAnsi="Times New Roman" w:cs="Times New Roman" w:hint="eastAsia"/>
          <w:szCs w:val="24"/>
        </w:rPr>
        <w:t>。</w:t>
      </w:r>
    </w:p>
    <w:p w14:paraId="2577E960" w14:textId="77777777" w:rsidR="00226CEC" w:rsidRPr="00FD50F6" w:rsidRDefault="00226CEC" w:rsidP="00226CEC">
      <w:pPr>
        <w:pStyle w:val="6"/>
      </w:pPr>
      <w:r w:rsidRPr="00FD50F6">
        <w:rPr>
          <w:rFonts w:hint="eastAsia"/>
        </w:rPr>
        <w:t>表</w:t>
      </w:r>
      <w:r w:rsidRPr="00FD50F6">
        <w:t>H</w:t>
      </w:r>
      <w:r w:rsidRPr="00FD50F6">
        <w:rPr>
          <w:rFonts w:hint="eastAsia"/>
        </w:rPr>
        <w:t>.0.</w:t>
      </w:r>
      <w:r w:rsidRPr="00FD50F6">
        <w:t xml:space="preserve">1 </w:t>
      </w:r>
      <w:r w:rsidRPr="00FD50F6">
        <w:rPr>
          <w:rFonts w:hint="eastAsia"/>
        </w:rPr>
        <w:t>换乘功能评价指标与标准</w:t>
      </w:r>
    </w:p>
    <w:tbl>
      <w:tblPr>
        <w:tblStyle w:val="74"/>
        <w:tblW w:w="8359" w:type="dxa"/>
        <w:tblLook w:val="04A0" w:firstRow="1" w:lastRow="0" w:firstColumn="1" w:lastColumn="0" w:noHBand="0" w:noVBand="1"/>
      </w:tblPr>
      <w:tblGrid>
        <w:gridCol w:w="704"/>
        <w:gridCol w:w="1276"/>
        <w:gridCol w:w="2126"/>
        <w:gridCol w:w="1985"/>
        <w:gridCol w:w="1134"/>
        <w:gridCol w:w="1134"/>
      </w:tblGrid>
      <w:tr w:rsidR="00FD50F6" w:rsidRPr="00FD50F6" w14:paraId="614D3A3D" w14:textId="77777777" w:rsidTr="0090483B">
        <w:trPr>
          <w:trHeight w:val="481"/>
        </w:trPr>
        <w:tc>
          <w:tcPr>
            <w:tcW w:w="704" w:type="dxa"/>
            <w:vAlign w:val="center"/>
          </w:tcPr>
          <w:p w14:paraId="7E8D7EFD"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评价内容</w:t>
            </w:r>
          </w:p>
        </w:tc>
        <w:tc>
          <w:tcPr>
            <w:tcW w:w="1276" w:type="dxa"/>
            <w:vAlign w:val="center"/>
          </w:tcPr>
          <w:p w14:paraId="154DB74F"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评价指标</w:t>
            </w:r>
          </w:p>
        </w:tc>
        <w:tc>
          <w:tcPr>
            <w:tcW w:w="2126" w:type="dxa"/>
            <w:vAlign w:val="center"/>
          </w:tcPr>
          <w:p w14:paraId="617E0DDD"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含义</w:t>
            </w:r>
          </w:p>
        </w:tc>
        <w:tc>
          <w:tcPr>
            <w:tcW w:w="1985" w:type="dxa"/>
            <w:vAlign w:val="center"/>
          </w:tcPr>
          <w:p w14:paraId="3BE6D205"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评价范围</w:t>
            </w:r>
          </w:p>
        </w:tc>
        <w:tc>
          <w:tcPr>
            <w:tcW w:w="1134" w:type="dxa"/>
            <w:vAlign w:val="center"/>
          </w:tcPr>
          <w:p w14:paraId="2113D186" w14:textId="3F95DD3C" w:rsidR="007B7AF9" w:rsidRPr="00FD50F6" w:rsidRDefault="00226CEC" w:rsidP="0090483B">
            <w:pPr>
              <w:adjustRightInd w:val="0"/>
              <w:snapToGrid w:val="0"/>
              <w:jc w:val="center"/>
              <w:rPr>
                <w:rFonts w:ascii="宋体" w:hAnsi="宋体" w:cs="Times New Roman"/>
                <w:sz w:val="18"/>
                <w:szCs w:val="18"/>
              </w:rPr>
            </w:pPr>
            <w:r>
              <w:rPr>
                <w:rFonts w:ascii="宋体" w:hAnsi="宋体" w:cs="Times New Roman" w:hint="eastAsia"/>
                <w:sz w:val="18"/>
                <w:szCs w:val="18"/>
              </w:rPr>
              <w:t>评价</w:t>
            </w:r>
            <w:r w:rsidRPr="00FD50F6">
              <w:rPr>
                <w:rFonts w:ascii="宋体" w:hAnsi="宋体" w:cs="Times New Roman" w:hint="eastAsia"/>
                <w:sz w:val="18"/>
                <w:szCs w:val="18"/>
              </w:rPr>
              <w:t>指标</w:t>
            </w:r>
          </w:p>
        </w:tc>
        <w:tc>
          <w:tcPr>
            <w:tcW w:w="1134" w:type="dxa"/>
            <w:vAlign w:val="center"/>
          </w:tcPr>
          <w:p w14:paraId="1059D50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能力适应性评价</w:t>
            </w:r>
          </w:p>
        </w:tc>
      </w:tr>
      <w:tr w:rsidR="00FD50F6" w:rsidRPr="00FD50F6" w14:paraId="2C70F2BC" w14:textId="77777777" w:rsidTr="0090483B">
        <w:trPr>
          <w:trHeight w:val="365"/>
        </w:trPr>
        <w:tc>
          <w:tcPr>
            <w:tcW w:w="704" w:type="dxa"/>
            <w:vMerge w:val="restart"/>
            <w:vAlign w:val="center"/>
          </w:tcPr>
          <w:p w14:paraId="6AC01CCF"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通行能力适应性</w:t>
            </w:r>
          </w:p>
        </w:tc>
        <w:tc>
          <w:tcPr>
            <w:tcW w:w="1276" w:type="dxa"/>
            <w:vMerge w:val="restart"/>
            <w:vAlign w:val="center"/>
          </w:tcPr>
          <w:p w14:paraId="671E2B8E"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设施利用的均衡性</w:t>
            </w:r>
          </w:p>
        </w:tc>
        <w:tc>
          <w:tcPr>
            <w:tcW w:w="2126" w:type="dxa"/>
            <w:vMerge w:val="restart"/>
            <w:vAlign w:val="center"/>
          </w:tcPr>
          <w:p w14:paraId="0B79D82E"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换乘路径上所有设施能力是否匹配，反映了换乘的安全性</w:t>
            </w:r>
          </w:p>
        </w:tc>
        <w:tc>
          <w:tcPr>
            <w:tcW w:w="1985" w:type="dxa"/>
            <w:vMerge w:val="restart"/>
            <w:vAlign w:val="center"/>
          </w:tcPr>
          <w:p w14:paraId="5C671E46"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楼梯、自动扶梯</w:t>
            </w:r>
          </w:p>
        </w:tc>
        <w:tc>
          <w:tcPr>
            <w:tcW w:w="1134" w:type="dxa"/>
            <w:vAlign w:val="center"/>
          </w:tcPr>
          <w:p w14:paraId="7B013ACB"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1</w:t>
            </w:r>
            <w:r w:rsidRPr="00FD50F6">
              <w:rPr>
                <w:rFonts w:ascii="宋体" w:hAnsi="宋体" w:cs="Times New Roman"/>
                <w:sz w:val="18"/>
                <w:szCs w:val="18"/>
              </w:rPr>
              <w:t>.2</w:t>
            </w:r>
          </w:p>
        </w:tc>
        <w:tc>
          <w:tcPr>
            <w:tcW w:w="1134" w:type="dxa"/>
            <w:vAlign w:val="center"/>
          </w:tcPr>
          <w:p w14:paraId="7939760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良好</w:t>
            </w:r>
          </w:p>
        </w:tc>
      </w:tr>
      <w:tr w:rsidR="00FD50F6" w:rsidRPr="00FD50F6" w14:paraId="702D1C89" w14:textId="77777777" w:rsidTr="0090483B">
        <w:tc>
          <w:tcPr>
            <w:tcW w:w="704" w:type="dxa"/>
            <w:vMerge/>
            <w:vAlign w:val="center"/>
          </w:tcPr>
          <w:p w14:paraId="041CDF35"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62AB9D9D"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6CCA7410"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2DD37676"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24744F08"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1</w:t>
            </w:r>
            <w:r w:rsidRPr="00FD50F6">
              <w:rPr>
                <w:rFonts w:ascii="宋体" w:hAnsi="宋体" w:cs="Times New Roman"/>
                <w:sz w:val="18"/>
                <w:szCs w:val="18"/>
              </w:rPr>
              <w:t>.2</w:t>
            </w:r>
            <w:r w:rsidRPr="001A4CF3">
              <w:rPr>
                <w:rFonts w:ascii="Times New Roman" w:hAnsi="Times New Roman" w:cs="Times New Roman"/>
                <w:sz w:val="18"/>
                <w:szCs w:val="18"/>
              </w:rPr>
              <w:t>~</w:t>
            </w:r>
            <w:r w:rsidRPr="00FD50F6">
              <w:rPr>
                <w:rFonts w:ascii="宋体" w:hAnsi="宋体" w:cs="Times New Roman"/>
                <w:sz w:val="18"/>
                <w:szCs w:val="18"/>
              </w:rPr>
              <w:t>1.5</w:t>
            </w:r>
          </w:p>
        </w:tc>
        <w:tc>
          <w:tcPr>
            <w:tcW w:w="1134" w:type="dxa"/>
            <w:vAlign w:val="center"/>
          </w:tcPr>
          <w:p w14:paraId="1D08A84C"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一般</w:t>
            </w:r>
          </w:p>
        </w:tc>
      </w:tr>
      <w:tr w:rsidR="00FD50F6" w:rsidRPr="00FD50F6" w14:paraId="016FD6AA" w14:textId="77777777" w:rsidTr="0090483B">
        <w:tc>
          <w:tcPr>
            <w:tcW w:w="704" w:type="dxa"/>
            <w:vMerge/>
            <w:vAlign w:val="center"/>
          </w:tcPr>
          <w:p w14:paraId="0DACA511"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334522DE"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7E576022"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790FEF1C"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735501A0"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1</w:t>
            </w:r>
            <w:r w:rsidRPr="00FD50F6">
              <w:rPr>
                <w:rFonts w:ascii="宋体" w:hAnsi="宋体" w:cs="Times New Roman"/>
                <w:sz w:val="18"/>
                <w:szCs w:val="18"/>
              </w:rPr>
              <w:t>.5</w:t>
            </w:r>
          </w:p>
        </w:tc>
        <w:tc>
          <w:tcPr>
            <w:tcW w:w="1134" w:type="dxa"/>
            <w:vAlign w:val="center"/>
          </w:tcPr>
          <w:p w14:paraId="1F2C4C17"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差</w:t>
            </w:r>
          </w:p>
        </w:tc>
      </w:tr>
      <w:tr w:rsidR="00FD50F6" w:rsidRPr="00FD50F6" w14:paraId="76C53E79" w14:textId="77777777" w:rsidTr="0090483B">
        <w:tc>
          <w:tcPr>
            <w:tcW w:w="704" w:type="dxa"/>
            <w:vMerge w:val="restart"/>
            <w:vAlign w:val="center"/>
          </w:tcPr>
          <w:p w14:paraId="3A8AF619" w14:textId="77777777" w:rsidR="007B7AF9" w:rsidRPr="00FD50F6" w:rsidRDefault="007B7AF9" w:rsidP="0090483B">
            <w:pPr>
              <w:adjustRightInd w:val="0"/>
              <w:snapToGrid w:val="0"/>
              <w:jc w:val="center"/>
              <w:rPr>
                <w:rFonts w:ascii="宋体" w:hAnsi="宋体" w:cs="Times New Roman"/>
                <w:sz w:val="18"/>
                <w:szCs w:val="18"/>
              </w:rPr>
            </w:pPr>
            <w:bookmarkStart w:id="1408" w:name="_Hlk39122379"/>
            <w:r w:rsidRPr="00FD50F6">
              <w:rPr>
                <w:rFonts w:ascii="宋体" w:hAnsi="宋体" w:cs="Times New Roman" w:hint="eastAsia"/>
                <w:sz w:val="18"/>
                <w:szCs w:val="18"/>
              </w:rPr>
              <w:t>站台短时冲击性</w:t>
            </w:r>
          </w:p>
        </w:tc>
        <w:tc>
          <w:tcPr>
            <w:tcW w:w="1276" w:type="dxa"/>
            <w:vMerge w:val="restart"/>
            <w:vAlign w:val="center"/>
          </w:tcPr>
          <w:p w14:paraId="000FFBB9"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瓶颈设施最大等待人数（人）</w:t>
            </w:r>
          </w:p>
        </w:tc>
        <w:tc>
          <w:tcPr>
            <w:tcW w:w="2126" w:type="dxa"/>
            <w:vMerge w:val="restart"/>
            <w:vAlign w:val="center"/>
          </w:tcPr>
          <w:p w14:paraId="00389099"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反映一批客流到达时的短时冲击性大小，反映了换乘的安全性</w:t>
            </w:r>
          </w:p>
        </w:tc>
        <w:tc>
          <w:tcPr>
            <w:tcW w:w="1985" w:type="dxa"/>
            <w:vMerge w:val="restart"/>
            <w:vAlign w:val="center"/>
          </w:tcPr>
          <w:p w14:paraId="150FED64" w14:textId="24977D70"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换乘路径的端部设施（站台楼梯、自动扶梯）</w:t>
            </w:r>
          </w:p>
        </w:tc>
        <w:tc>
          <w:tcPr>
            <w:tcW w:w="1134" w:type="dxa"/>
            <w:vAlign w:val="center"/>
          </w:tcPr>
          <w:p w14:paraId="1F12D21E"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5</w:t>
            </w:r>
            <w:r w:rsidRPr="00FD50F6">
              <w:rPr>
                <w:rFonts w:ascii="宋体" w:hAnsi="宋体" w:cs="Times New Roman"/>
                <w:sz w:val="18"/>
                <w:szCs w:val="18"/>
              </w:rPr>
              <w:t>0</w:t>
            </w:r>
          </w:p>
        </w:tc>
        <w:tc>
          <w:tcPr>
            <w:tcW w:w="1134" w:type="dxa"/>
            <w:vAlign w:val="center"/>
          </w:tcPr>
          <w:p w14:paraId="30137D93"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良好</w:t>
            </w:r>
          </w:p>
        </w:tc>
      </w:tr>
      <w:tr w:rsidR="00FD50F6" w:rsidRPr="00FD50F6" w14:paraId="46D19C79" w14:textId="77777777" w:rsidTr="0090483B">
        <w:tc>
          <w:tcPr>
            <w:tcW w:w="704" w:type="dxa"/>
            <w:vMerge/>
            <w:vAlign w:val="center"/>
          </w:tcPr>
          <w:p w14:paraId="07FAB281"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379EACCC"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5D57CED9"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0CA73247"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0540804C"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5</w:t>
            </w:r>
            <w:r w:rsidRPr="00FD50F6">
              <w:rPr>
                <w:rFonts w:ascii="宋体" w:hAnsi="宋体" w:cs="Times New Roman"/>
                <w:sz w:val="18"/>
                <w:szCs w:val="18"/>
              </w:rPr>
              <w:t>0</w:t>
            </w:r>
            <w:r w:rsidRPr="001A4CF3">
              <w:rPr>
                <w:rFonts w:ascii="Times New Roman" w:hAnsi="Times New Roman" w:cs="Times New Roman"/>
                <w:sz w:val="18"/>
                <w:szCs w:val="18"/>
              </w:rPr>
              <w:t>~</w:t>
            </w:r>
            <w:r w:rsidRPr="00FD50F6">
              <w:rPr>
                <w:rFonts w:ascii="宋体" w:hAnsi="宋体" w:cs="Times New Roman"/>
                <w:sz w:val="18"/>
                <w:szCs w:val="18"/>
              </w:rPr>
              <w:t>200</w:t>
            </w:r>
          </w:p>
        </w:tc>
        <w:tc>
          <w:tcPr>
            <w:tcW w:w="1134" w:type="dxa"/>
            <w:vAlign w:val="center"/>
          </w:tcPr>
          <w:p w14:paraId="1686A76C"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一般</w:t>
            </w:r>
          </w:p>
        </w:tc>
      </w:tr>
      <w:tr w:rsidR="00FD50F6" w:rsidRPr="00FD50F6" w14:paraId="253097DF" w14:textId="77777777" w:rsidTr="0090483B">
        <w:tc>
          <w:tcPr>
            <w:tcW w:w="704" w:type="dxa"/>
            <w:vMerge/>
            <w:vAlign w:val="center"/>
          </w:tcPr>
          <w:p w14:paraId="726C974F"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4AF5AB3C"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4DB6E840"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7CF8B5B7"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6C601ED8"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2</w:t>
            </w:r>
            <w:r w:rsidRPr="00FD50F6">
              <w:rPr>
                <w:rFonts w:ascii="宋体" w:hAnsi="宋体" w:cs="Times New Roman"/>
                <w:sz w:val="18"/>
                <w:szCs w:val="18"/>
              </w:rPr>
              <w:t>00</w:t>
            </w:r>
          </w:p>
        </w:tc>
        <w:tc>
          <w:tcPr>
            <w:tcW w:w="1134" w:type="dxa"/>
            <w:vAlign w:val="center"/>
          </w:tcPr>
          <w:p w14:paraId="3E8C3DEE"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差</w:t>
            </w:r>
          </w:p>
        </w:tc>
      </w:tr>
      <w:bookmarkEnd w:id="1408"/>
      <w:tr w:rsidR="00FD50F6" w:rsidRPr="00FD50F6" w14:paraId="0C65F7CB" w14:textId="77777777" w:rsidTr="0090483B">
        <w:tc>
          <w:tcPr>
            <w:tcW w:w="704" w:type="dxa"/>
            <w:vMerge/>
            <w:vAlign w:val="center"/>
          </w:tcPr>
          <w:p w14:paraId="543F19A1"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restart"/>
            <w:vAlign w:val="center"/>
          </w:tcPr>
          <w:p w14:paraId="13C72A9B"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两端站台人流密度（人</w:t>
            </w:r>
            <w:r w:rsidRPr="00FD50F6">
              <w:rPr>
                <w:rFonts w:ascii="宋体" w:hAnsi="宋体" w:cs="Times New Roman" w:hint="eastAsia"/>
                <w:sz w:val="18"/>
                <w:szCs w:val="18"/>
              </w:rPr>
              <w:t>/m</w:t>
            </w:r>
            <w:r w:rsidRPr="001A4CF3">
              <w:rPr>
                <w:rFonts w:ascii="宋体" w:hAnsi="宋体" w:cs="Times New Roman"/>
                <w:sz w:val="18"/>
                <w:szCs w:val="18"/>
                <w:vertAlign w:val="superscript"/>
              </w:rPr>
              <w:t>2</w:t>
            </w:r>
            <w:r w:rsidRPr="00FD50F6">
              <w:rPr>
                <w:rFonts w:ascii="宋体" w:hAnsi="宋体" w:cs="Times New Roman" w:hint="eastAsia"/>
                <w:sz w:val="18"/>
                <w:szCs w:val="18"/>
              </w:rPr>
              <w:t>）</w:t>
            </w:r>
          </w:p>
        </w:tc>
        <w:tc>
          <w:tcPr>
            <w:tcW w:w="2126" w:type="dxa"/>
            <w:vMerge w:val="restart"/>
            <w:vAlign w:val="center"/>
          </w:tcPr>
          <w:p w14:paraId="5ABA2C1D"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反应一批客流到达时，换乘路径两端站台有效面积内的人流拥挤情况和安全要求</w:t>
            </w:r>
          </w:p>
        </w:tc>
        <w:tc>
          <w:tcPr>
            <w:tcW w:w="1985" w:type="dxa"/>
            <w:vMerge w:val="restart"/>
            <w:vAlign w:val="center"/>
          </w:tcPr>
          <w:p w14:paraId="333B2A08"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换乘路径的两端站台</w:t>
            </w:r>
          </w:p>
        </w:tc>
        <w:tc>
          <w:tcPr>
            <w:tcW w:w="1134" w:type="dxa"/>
            <w:vAlign w:val="center"/>
          </w:tcPr>
          <w:p w14:paraId="7FC8320B"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1</w:t>
            </w:r>
            <w:r w:rsidRPr="00FD50F6">
              <w:rPr>
                <w:rFonts w:ascii="宋体" w:hAnsi="宋体" w:cs="Times New Roman"/>
                <w:sz w:val="18"/>
                <w:szCs w:val="18"/>
              </w:rPr>
              <w:t>.0</w:t>
            </w:r>
          </w:p>
        </w:tc>
        <w:tc>
          <w:tcPr>
            <w:tcW w:w="1134" w:type="dxa"/>
            <w:vAlign w:val="center"/>
          </w:tcPr>
          <w:p w14:paraId="3E34D897"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良好</w:t>
            </w:r>
          </w:p>
        </w:tc>
      </w:tr>
      <w:tr w:rsidR="00FD50F6" w:rsidRPr="00FD50F6" w14:paraId="0DA25CAC" w14:textId="77777777" w:rsidTr="0090483B">
        <w:tc>
          <w:tcPr>
            <w:tcW w:w="704" w:type="dxa"/>
            <w:vMerge/>
            <w:vAlign w:val="center"/>
          </w:tcPr>
          <w:p w14:paraId="3EDFDF8B"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2D8FA533"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7AC156DD"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662E451C"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181E2182"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1</w:t>
            </w:r>
            <w:r w:rsidRPr="00FD50F6">
              <w:rPr>
                <w:rFonts w:ascii="宋体" w:hAnsi="宋体" w:cs="Times New Roman"/>
                <w:sz w:val="18"/>
                <w:szCs w:val="18"/>
              </w:rPr>
              <w:t>.0</w:t>
            </w:r>
            <w:r w:rsidRPr="001A4CF3">
              <w:rPr>
                <w:rFonts w:ascii="Times New Roman" w:hAnsi="Times New Roman" w:cs="Times New Roman"/>
                <w:sz w:val="18"/>
                <w:szCs w:val="18"/>
              </w:rPr>
              <w:t>~</w:t>
            </w:r>
            <w:r w:rsidRPr="00FD50F6">
              <w:rPr>
                <w:rFonts w:ascii="宋体" w:hAnsi="宋体" w:cs="Times New Roman"/>
                <w:sz w:val="18"/>
                <w:szCs w:val="18"/>
              </w:rPr>
              <w:t>1.2</w:t>
            </w:r>
          </w:p>
        </w:tc>
        <w:tc>
          <w:tcPr>
            <w:tcW w:w="1134" w:type="dxa"/>
            <w:vAlign w:val="center"/>
          </w:tcPr>
          <w:p w14:paraId="56F84600"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一般</w:t>
            </w:r>
          </w:p>
        </w:tc>
      </w:tr>
      <w:tr w:rsidR="00FD50F6" w:rsidRPr="00FD50F6" w14:paraId="69F133AA" w14:textId="77777777" w:rsidTr="0090483B">
        <w:tc>
          <w:tcPr>
            <w:tcW w:w="704" w:type="dxa"/>
            <w:vMerge/>
            <w:vAlign w:val="center"/>
          </w:tcPr>
          <w:p w14:paraId="28C9F0D4"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6628AD49"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418CB32B"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4DC256CE"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3389030A"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1</w:t>
            </w:r>
            <w:r w:rsidRPr="00FD50F6">
              <w:rPr>
                <w:rFonts w:ascii="宋体" w:hAnsi="宋体" w:cs="Times New Roman"/>
                <w:sz w:val="18"/>
                <w:szCs w:val="18"/>
              </w:rPr>
              <w:t>.2</w:t>
            </w:r>
          </w:p>
        </w:tc>
        <w:tc>
          <w:tcPr>
            <w:tcW w:w="1134" w:type="dxa"/>
            <w:vAlign w:val="center"/>
          </w:tcPr>
          <w:p w14:paraId="2A46672F"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差</w:t>
            </w:r>
          </w:p>
        </w:tc>
      </w:tr>
      <w:tr w:rsidR="00FD50F6" w:rsidRPr="00FD50F6" w14:paraId="6A9B99CB" w14:textId="77777777" w:rsidTr="0090483B">
        <w:tc>
          <w:tcPr>
            <w:tcW w:w="704" w:type="dxa"/>
            <w:vMerge w:val="restart"/>
            <w:vAlign w:val="center"/>
          </w:tcPr>
          <w:p w14:paraId="6557E66F"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换乘便捷性</w:t>
            </w:r>
          </w:p>
        </w:tc>
        <w:tc>
          <w:tcPr>
            <w:tcW w:w="1276" w:type="dxa"/>
            <w:vMerge w:val="restart"/>
            <w:vAlign w:val="center"/>
          </w:tcPr>
          <w:p w14:paraId="78301CD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平均换乘时间（</w:t>
            </w:r>
            <w:r w:rsidRPr="00FD50F6">
              <w:rPr>
                <w:rFonts w:ascii="宋体" w:hAnsi="宋体" w:cs="Times New Roman" w:hint="eastAsia"/>
                <w:sz w:val="18"/>
                <w:szCs w:val="18"/>
              </w:rPr>
              <w:t>min</w:t>
            </w:r>
            <w:r w:rsidRPr="00FD50F6">
              <w:rPr>
                <w:rFonts w:ascii="宋体" w:hAnsi="宋体" w:cs="Times New Roman" w:hint="eastAsia"/>
                <w:sz w:val="18"/>
                <w:szCs w:val="18"/>
              </w:rPr>
              <w:t>）</w:t>
            </w:r>
          </w:p>
        </w:tc>
        <w:tc>
          <w:tcPr>
            <w:tcW w:w="2126" w:type="dxa"/>
            <w:vMerge w:val="restart"/>
            <w:vAlign w:val="center"/>
          </w:tcPr>
          <w:p w14:paraId="68CE7EBA"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反应换乘方式及通行设施的完善程度对换乘走形时间的影响</w:t>
            </w:r>
          </w:p>
        </w:tc>
        <w:tc>
          <w:tcPr>
            <w:tcW w:w="1985" w:type="dxa"/>
            <w:vMerge w:val="restart"/>
            <w:vAlign w:val="center"/>
          </w:tcPr>
          <w:p w14:paraId="54E088B3"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所有换乘方向</w:t>
            </w:r>
          </w:p>
        </w:tc>
        <w:tc>
          <w:tcPr>
            <w:tcW w:w="1134" w:type="dxa"/>
            <w:vAlign w:val="center"/>
          </w:tcPr>
          <w:p w14:paraId="44E920C8"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1</w:t>
            </w:r>
          </w:p>
        </w:tc>
        <w:tc>
          <w:tcPr>
            <w:tcW w:w="1134" w:type="dxa"/>
            <w:vAlign w:val="center"/>
          </w:tcPr>
          <w:p w14:paraId="3E9B65C2"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良好</w:t>
            </w:r>
          </w:p>
        </w:tc>
      </w:tr>
      <w:tr w:rsidR="00FD50F6" w:rsidRPr="00FD50F6" w14:paraId="0523E347" w14:textId="77777777" w:rsidTr="0090483B">
        <w:tc>
          <w:tcPr>
            <w:tcW w:w="704" w:type="dxa"/>
            <w:vMerge/>
            <w:vAlign w:val="center"/>
          </w:tcPr>
          <w:p w14:paraId="6E67E42C"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22A96D9D"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58DEDCCD"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78C98A39"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66C8A02B"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1</w:t>
            </w:r>
            <w:r w:rsidRPr="001A4CF3">
              <w:rPr>
                <w:rFonts w:ascii="Times New Roman" w:hAnsi="Times New Roman" w:cs="Times New Roman"/>
                <w:sz w:val="18"/>
                <w:szCs w:val="18"/>
              </w:rPr>
              <w:t>~</w:t>
            </w:r>
            <w:r w:rsidRPr="00FD50F6">
              <w:rPr>
                <w:rFonts w:ascii="宋体" w:hAnsi="宋体" w:cs="Times New Roman"/>
                <w:sz w:val="18"/>
                <w:szCs w:val="18"/>
              </w:rPr>
              <w:t>3</w:t>
            </w:r>
          </w:p>
        </w:tc>
        <w:tc>
          <w:tcPr>
            <w:tcW w:w="1134" w:type="dxa"/>
            <w:vAlign w:val="center"/>
          </w:tcPr>
          <w:p w14:paraId="39B58E6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一般</w:t>
            </w:r>
          </w:p>
        </w:tc>
      </w:tr>
      <w:tr w:rsidR="00FD50F6" w:rsidRPr="00FD50F6" w14:paraId="4AEF376C" w14:textId="77777777" w:rsidTr="0090483B">
        <w:tc>
          <w:tcPr>
            <w:tcW w:w="704" w:type="dxa"/>
            <w:vMerge/>
            <w:vAlign w:val="center"/>
          </w:tcPr>
          <w:p w14:paraId="4CD2CB92"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4DD88365"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06358DFD"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4F94E3A6"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1DEE2EC0"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3</w:t>
            </w:r>
          </w:p>
        </w:tc>
        <w:tc>
          <w:tcPr>
            <w:tcW w:w="1134" w:type="dxa"/>
            <w:vAlign w:val="center"/>
          </w:tcPr>
          <w:p w14:paraId="55842E40"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差</w:t>
            </w:r>
          </w:p>
        </w:tc>
      </w:tr>
      <w:tr w:rsidR="00FD50F6" w:rsidRPr="00FD50F6" w14:paraId="7277BC9A" w14:textId="77777777" w:rsidTr="0090483B">
        <w:tc>
          <w:tcPr>
            <w:tcW w:w="704" w:type="dxa"/>
            <w:vMerge w:val="restart"/>
            <w:vAlign w:val="center"/>
          </w:tcPr>
          <w:p w14:paraId="562E12D5"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运能匹配性</w:t>
            </w:r>
          </w:p>
        </w:tc>
        <w:tc>
          <w:tcPr>
            <w:tcW w:w="1276" w:type="dxa"/>
            <w:vMerge w:val="restart"/>
            <w:vAlign w:val="center"/>
          </w:tcPr>
          <w:p w14:paraId="40956519"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站台滞留人数（人）</w:t>
            </w:r>
          </w:p>
        </w:tc>
        <w:tc>
          <w:tcPr>
            <w:tcW w:w="2126" w:type="dxa"/>
            <w:vMerge w:val="restart"/>
            <w:vAlign w:val="center"/>
          </w:tcPr>
          <w:p w14:paraId="3E54434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客流控制期超高峰时，考核一批换乘客流是否会滞留在站台</w:t>
            </w:r>
          </w:p>
        </w:tc>
        <w:tc>
          <w:tcPr>
            <w:tcW w:w="1985" w:type="dxa"/>
            <w:vMerge w:val="restart"/>
            <w:vAlign w:val="center"/>
          </w:tcPr>
          <w:p w14:paraId="41A4DFEB"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相交线路上下行方向的短棉服与能力与换乘客流之间的匹配性</w:t>
            </w:r>
          </w:p>
        </w:tc>
        <w:tc>
          <w:tcPr>
            <w:tcW w:w="1134" w:type="dxa"/>
            <w:vAlign w:val="center"/>
          </w:tcPr>
          <w:p w14:paraId="6D2F02E6"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0</w:t>
            </w:r>
          </w:p>
        </w:tc>
        <w:tc>
          <w:tcPr>
            <w:tcW w:w="1134" w:type="dxa"/>
            <w:vAlign w:val="center"/>
          </w:tcPr>
          <w:p w14:paraId="3F8F2B2A"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良好</w:t>
            </w:r>
          </w:p>
        </w:tc>
      </w:tr>
      <w:tr w:rsidR="00FD50F6" w:rsidRPr="00FD50F6" w14:paraId="0617AB34" w14:textId="77777777" w:rsidTr="0090483B">
        <w:tc>
          <w:tcPr>
            <w:tcW w:w="704" w:type="dxa"/>
            <w:vMerge/>
            <w:vAlign w:val="center"/>
          </w:tcPr>
          <w:p w14:paraId="768B51AF"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59C99C96"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268903A1"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715D08DC"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1929C3CE"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0</w:t>
            </w:r>
            <w:r w:rsidRPr="001A4CF3">
              <w:rPr>
                <w:rFonts w:ascii="Times New Roman" w:hAnsi="Times New Roman" w:cs="Times New Roman"/>
                <w:sz w:val="18"/>
                <w:szCs w:val="18"/>
              </w:rPr>
              <w:t>~</w:t>
            </w:r>
            <w:r w:rsidRPr="00FD50F6">
              <w:rPr>
                <w:rFonts w:ascii="宋体" w:hAnsi="宋体" w:cs="Times New Roman" w:hint="eastAsia"/>
                <w:sz w:val="18"/>
                <w:szCs w:val="18"/>
              </w:rPr>
              <w:t>400</w:t>
            </w:r>
          </w:p>
        </w:tc>
        <w:tc>
          <w:tcPr>
            <w:tcW w:w="1134" w:type="dxa"/>
            <w:vAlign w:val="center"/>
          </w:tcPr>
          <w:p w14:paraId="72496E4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一般</w:t>
            </w:r>
          </w:p>
        </w:tc>
      </w:tr>
      <w:tr w:rsidR="00FD50F6" w:rsidRPr="00FD50F6" w14:paraId="53D4BE65" w14:textId="77777777" w:rsidTr="0090483B">
        <w:tc>
          <w:tcPr>
            <w:tcW w:w="704" w:type="dxa"/>
            <w:vMerge/>
            <w:vAlign w:val="center"/>
          </w:tcPr>
          <w:p w14:paraId="550F9978" w14:textId="77777777" w:rsidR="007B7AF9" w:rsidRPr="00FD50F6" w:rsidRDefault="007B7AF9" w:rsidP="0090483B">
            <w:pPr>
              <w:adjustRightInd w:val="0"/>
              <w:snapToGrid w:val="0"/>
              <w:jc w:val="center"/>
              <w:rPr>
                <w:rFonts w:ascii="宋体" w:hAnsi="宋体" w:cs="Times New Roman"/>
                <w:sz w:val="18"/>
                <w:szCs w:val="18"/>
              </w:rPr>
            </w:pPr>
          </w:p>
        </w:tc>
        <w:tc>
          <w:tcPr>
            <w:tcW w:w="1276" w:type="dxa"/>
            <w:vMerge/>
            <w:vAlign w:val="center"/>
          </w:tcPr>
          <w:p w14:paraId="527F778B" w14:textId="77777777" w:rsidR="007B7AF9" w:rsidRPr="00FD50F6" w:rsidRDefault="007B7AF9" w:rsidP="0090483B">
            <w:pPr>
              <w:adjustRightInd w:val="0"/>
              <w:snapToGrid w:val="0"/>
              <w:jc w:val="center"/>
              <w:rPr>
                <w:rFonts w:ascii="宋体" w:hAnsi="宋体" w:cs="Times New Roman"/>
                <w:sz w:val="18"/>
                <w:szCs w:val="18"/>
              </w:rPr>
            </w:pPr>
          </w:p>
        </w:tc>
        <w:tc>
          <w:tcPr>
            <w:tcW w:w="2126" w:type="dxa"/>
            <w:vMerge/>
            <w:vAlign w:val="center"/>
          </w:tcPr>
          <w:p w14:paraId="7F19FF5C" w14:textId="77777777" w:rsidR="007B7AF9" w:rsidRPr="00FD50F6" w:rsidRDefault="007B7AF9" w:rsidP="0090483B">
            <w:pPr>
              <w:adjustRightInd w:val="0"/>
              <w:snapToGrid w:val="0"/>
              <w:jc w:val="center"/>
              <w:rPr>
                <w:rFonts w:ascii="宋体" w:hAnsi="宋体" w:cs="Times New Roman"/>
                <w:sz w:val="18"/>
                <w:szCs w:val="18"/>
              </w:rPr>
            </w:pPr>
          </w:p>
        </w:tc>
        <w:tc>
          <w:tcPr>
            <w:tcW w:w="1985" w:type="dxa"/>
            <w:vMerge/>
            <w:vAlign w:val="center"/>
          </w:tcPr>
          <w:p w14:paraId="236673E5" w14:textId="77777777" w:rsidR="007B7AF9" w:rsidRPr="00FD50F6" w:rsidRDefault="007B7AF9" w:rsidP="0090483B">
            <w:pPr>
              <w:adjustRightInd w:val="0"/>
              <w:snapToGrid w:val="0"/>
              <w:jc w:val="center"/>
              <w:rPr>
                <w:rFonts w:ascii="宋体" w:hAnsi="宋体" w:cs="Times New Roman"/>
                <w:sz w:val="18"/>
                <w:szCs w:val="18"/>
              </w:rPr>
            </w:pPr>
          </w:p>
        </w:tc>
        <w:tc>
          <w:tcPr>
            <w:tcW w:w="1134" w:type="dxa"/>
            <w:vAlign w:val="center"/>
          </w:tcPr>
          <w:p w14:paraId="2C78DB41"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sz w:val="18"/>
                <w:szCs w:val="18"/>
              </w:rPr>
              <w:t>≥</w:t>
            </w:r>
            <w:r w:rsidRPr="00FD50F6">
              <w:rPr>
                <w:rFonts w:ascii="宋体" w:hAnsi="宋体" w:cs="Times New Roman" w:hint="eastAsia"/>
                <w:sz w:val="18"/>
                <w:szCs w:val="18"/>
              </w:rPr>
              <w:t>400</w:t>
            </w:r>
          </w:p>
        </w:tc>
        <w:tc>
          <w:tcPr>
            <w:tcW w:w="1134" w:type="dxa"/>
            <w:vAlign w:val="center"/>
          </w:tcPr>
          <w:p w14:paraId="338015E5" w14:textId="77777777" w:rsidR="007B7AF9" w:rsidRPr="00FD50F6" w:rsidRDefault="007B7AF9" w:rsidP="0090483B">
            <w:pPr>
              <w:adjustRightInd w:val="0"/>
              <w:snapToGrid w:val="0"/>
              <w:jc w:val="center"/>
              <w:rPr>
                <w:rFonts w:ascii="宋体" w:hAnsi="宋体" w:cs="Times New Roman"/>
                <w:sz w:val="18"/>
                <w:szCs w:val="18"/>
              </w:rPr>
            </w:pPr>
            <w:r w:rsidRPr="00FD50F6">
              <w:rPr>
                <w:rFonts w:ascii="宋体" w:hAnsi="宋体" w:cs="Times New Roman" w:hint="eastAsia"/>
                <w:sz w:val="18"/>
                <w:szCs w:val="18"/>
              </w:rPr>
              <w:t>差</w:t>
            </w:r>
          </w:p>
        </w:tc>
      </w:tr>
    </w:tbl>
    <w:p w14:paraId="3E735F0E" w14:textId="1E688BC4" w:rsidR="007B7AF9" w:rsidRPr="00FD50F6" w:rsidRDefault="007B7AF9" w:rsidP="00251933">
      <w:pPr>
        <w:adjustRightInd w:val="0"/>
        <w:snapToGrid w:val="0"/>
        <w:ind w:left="525" w:hangingChars="250" w:hanging="525"/>
        <w:rPr>
          <w:rFonts w:ascii="Times New Roman" w:hAnsi="Times New Roman" w:cs="Times New Roman"/>
          <w:sz w:val="21"/>
          <w:szCs w:val="24"/>
        </w:rPr>
      </w:pPr>
      <w:r w:rsidRPr="00FD50F6">
        <w:rPr>
          <w:rFonts w:ascii="Times New Roman" w:hAnsi="Times New Roman" w:cs="Times New Roman" w:hint="eastAsia"/>
          <w:sz w:val="21"/>
          <w:szCs w:val="24"/>
        </w:rPr>
        <w:t>注：</w:t>
      </w:r>
      <w:r w:rsidRPr="00FD50F6">
        <w:rPr>
          <w:rFonts w:ascii="Times New Roman" w:hAnsi="Times New Roman" w:cs="Times New Roman"/>
          <w:sz w:val="21"/>
          <w:szCs w:val="24"/>
        </w:rPr>
        <w:t>1</w:t>
      </w:r>
      <w:r w:rsidR="00314480">
        <w:rPr>
          <w:rFonts w:ascii="Times New Roman" w:hAnsi="Times New Roman" w:cs="Times New Roman" w:hint="eastAsia"/>
          <w:sz w:val="21"/>
          <w:szCs w:val="24"/>
        </w:rPr>
        <w:t xml:space="preserve"> </w:t>
      </w:r>
      <w:r w:rsidRPr="00FD50F6">
        <w:rPr>
          <w:rFonts w:ascii="Times New Roman" w:hAnsi="Times New Roman" w:cs="Times New Roman" w:hint="eastAsia"/>
          <w:sz w:val="21"/>
          <w:szCs w:val="24"/>
        </w:rPr>
        <w:t>换乘车站站台滞留人数评价指标中的</w:t>
      </w:r>
      <w:r w:rsidRPr="00FD50F6">
        <w:rPr>
          <w:rFonts w:ascii="Times New Roman" w:hAnsi="Times New Roman" w:cs="Times New Roman" w:hint="eastAsia"/>
          <w:sz w:val="21"/>
          <w:szCs w:val="24"/>
        </w:rPr>
        <w:t>400</w:t>
      </w:r>
      <w:r w:rsidRPr="00FD50F6">
        <w:rPr>
          <w:rFonts w:ascii="Times New Roman" w:hAnsi="Times New Roman" w:cs="Times New Roman" w:hint="eastAsia"/>
          <w:sz w:val="21"/>
          <w:szCs w:val="24"/>
        </w:rPr>
        <w:t>人是针对</w:t>
      </w:r>
      <w:r w:rsidRPr="00FD50F6">
        <w:rPr>
          <w:rFonts w:ascii="Times New Roman" w:hAnsi="Times New Roman" w:cs="Times New Roman" w:hint="eastAsia"/>
          <w:sz w:val="21"/>
          <w:szCs w:val="24"/>
        </w:rPr>
        <w:t>6</w:t>
      </w:r>
      <w:r w:rsidRPr="00FD50F6">
        <w:rPr>
          <w:rFonts w:ascii="Times New Roman" w:hAnsi="Times New Roman" w:cs="Times New Roman" w:hint="eastAsia"/>
          <w:sz w:val="21"/>
          <w:szCs w:val="24"/>
        </w:rPr>
        <w:t>节</w:t>
      </w:r>
      <w:r w:rsidRPr="00FD50F6">
        <w:rPr>
          <w:rFonts w:ascii="Times New Roman" w:hAnsi="Times New Roman" w:cs="Times New Roman" w:hint="eastAsia"/>
          <w:sz w:val="21"/>
          <w:szCs w:val="24"/>
        </w:rPr>
        <w:t>B</w:t>
      </w:r>
      <w:r w:rsidRPr="00FD50F6">
        <w:rPr>
          <w:rFonts w:ascii="Times New Roman" w:hAnsi="Times New Roman" w:cs="Times New Roman" w:hint="eastAsia"/>
          <w:sz w:val="21"/>
          <w:szCs w:val="24"/>
        </w:rPr>
        <w:t>型车的标准，其上限不能超过列车超员数和定员数的差值；</w:t>
      </w:r>
    </w:p>
    <w:p w14:paraId="6B1272DA" w14:textId="2BC694FA" w:rsidR="007B7AF9" w:rsidRPr="00FD50F6" w:rsidRDefault="007B7AF9" w:rsidP="00251933">
      <w:pPr>
        <w:adjustRightInd w:val="0"/>
        <w:snapToGrid w:val="0"/>
        <w:ind w:leftChars="150" w:left="570" w:hangingChars="100" w:hanging="210"/>
        <w:rPr>
          <w:rFonts w:ascii="Times New Roman" w:hAnsi="Times New Roman" w:cs="Times New Roman"/>
          <w:sz w:val="21"/>
          <w:szCs w:val="24"/>
        </w:rPr>
      </w:pPr>
      <w:r w:rsidRPr="00FD50F6">
        <w:rPr>
          <w:rFonts w:ascii="Times New Roman" w:hAnsi="Times New Roman" w:cs="Times New Roman"/>
          <w:sz w:val="21"/>
          <w:szCs w:val="24"/>
        </w:rPr>
        <w:t>2</w:t>
      </w:r>
      <w:r w:rsidR="00314480">
        <w:rPr>
          <w:rFonts w:ascii="Times New Roman" w:hAnsi="Times New Roman" w:cs="Times New Roman" w:hint="eastAsia"/>
          <w:sz w:val="21"/>
          <w:szCs w:val="24"/>
        </w:rPr>
        <w:t xml:space="preserve"> </w:t>
      </w:r>
      <w:r w:rsidRPr="00FD50F6">
        <w:rPr>
          <w:rFonts w:ascii="Times New Roman" w:hAnsi="Times New Roman" w:cs="Times New Roman" w:hint="eastAsia"/>
          <w:sz w:val="21"/>
          <w:szCs w:val="24"/>
        </w:rPr>
        <w:t>换乘便捷性评价指标中，换乘时间小于</w:t>
      </w:r>
      <w:r w:rsidRPr="00FD50F6">
        <w:rPr>
          <w:rFonts w:ascii="Times New Roman" w:hAnsi="Times New Roman" w:cs="Times New Roman" w:hint="eastAsia"/>
          <w:sz w:val="21"/>
          <w:szCs w:val="24"/>
        </w:rPr>
        <w:t>1min</w:t>
      </w:r>
      <w:r w:rsidRPr="00FD50F6">
        <w:rPr>
          <w:rFonts w:ascii="Times New Roman" w:hAnsi="Times New Roman" w:cs="Times New Roman" w:hint="eastAsia"/>
          <w:sz w:val="21"/>
          <w:szCs w:val="24"/>
        </w:rPr>
        <w:t>是针对同站台换乘车站，小于或等于</w:t>
      </w:r>
      <w:r w:rsidR="00314480">
        <w:rPr>
          <w:rFonts w:ascii="Times New Roman" w:hAnsi="Times New Roman" w:cs="Times New Roman" w:hint="eastAsia"/>
          <w:sz w:val="21"/>
          <w:szCs w:val="24"/>
        </w:rPr>
        <w:t xml:space="preserve"> </w:t>
      </w:r>
      <w:r w:rsidRPr="00FD50F6">
        <w:rPr>
          <w:rFonts w:ascii="Times New Roman" w:hAnsi="Times New Roman" w:cs="Times New Roman" w:hint="eastAsia"/>
          <w:sz w:val="21"/>
          <w:szCs w:val="24"/>
        </w:rPr>
        <w:t>3min</w:t>
      </w:r>
      <w:r w:rsidRPr="00FD50F6">
        <w:rPr>
          <w:rFonts w:ascii="Times New Roman" w:hAnsi="Times New Roman" w:cs="Times New Roman" w:hint="eastAsia"/>
          <w:sz w:val="21"/>
          <w:szCs w:val="24"/>
        </w:rPr>
        <w:t>是指节点换乘车站。</w:t>
      </w:r>
    </w:p>
    <w:p w14:paraId="5CCCBA3B" w14:textId="77777777" w:rsidR="00226CEC" w:rsidRPr="00FD50F6" w:rsidRDefault="00226CEC" w:rsidP="00226CEC">
      <w:pPr>
        <w:outlineLvl w:val="2"/>
        <w:rPr>
          <w:rFonts w:ascii="Times New Roman" w:hAnsi="Times New Roman" w:cs="Times New Roman"/>
          <w:bCs/>
          <w:szCs w:val="32"/>
        </w:rPr>
      </w:pPr>
      <w:r w:rsidRPr="00FD50F6">
        <w:rPr>
          <w:rFonts w:ascii="Times New Roman" w:hAnsi="Times New Roman" w:cs="Times New Roman" w:hint="eastAsia"/>
          <w:bCs/>
          <w:szCs w:val="32"/>
        </w:rPr>
        <w:t>H</w:t>
      </w:r>
      <w:r w:rsidRPr="00FD50F6">
        <w:rPr>
          <w:rFonts w:ascii="Times New Roman" w:hAnsi="Times New Roman" w:cs="Times New Roman"/>
          <w:bCs/>
          <w:szCs w:val="32"/>
        </w:rPr>
        <w:t>.0.2</w:t>
      </w:r>
      <w:r w:rsidRPr="00FD50F6">
        <w:rPr>
          <w:rFonts w:ascii="Times New Roman" w:hAnsi="Times New Roman" w:cs="Times New Roman" w:hint="eastAsia"/>
          <w:bCs/>
          <w:szCs w:val="32"/>
        </w:rPr>
        <w:t>换乘车站内的换乘设施超高峰饱和度应按下列公式计算：</w:t>
      </w:r>
    </w:p>
    <w:bookmarkStart w:id="1409" w:name="_Hlk39138929"/>
    <w:p w14:paraId="35115734" w14:textId="0F1A9C28" w:rsidR="00226CEC" w:rsidRPr="00FD50F6" w:rsidRDefault="00BF2787" w:rsidP="00226CEC">
      <w:pPr>
        <w:adjustRightInd w:val="0"/>
        <w:snapToGrid w:val="0"/>
        <w:jc w:val="center"/>
        <w:rPr>
          <w:rFonts w:ascii="Times New Roman" w:hAnsi="Times New Roman" w:cs="Times New Roman"/>
          <w:sz w:val="21"/>
          <w:szCs w:val="24"/>
        </w:rPr>
      </w:pPr>
      <m:oMath>
        <m:sSub>
          <m:sSubPr>
            <m:ctrlPr>
              <w:rPr>
                <w:rFonts w:ascii="Cambria Math" w:hAnsi="Times New Roman" w:cs="Times New Roman"/>
                <w:i/>
                <w:szCs w:val="24"/>
              </w:rPr>
            </m:ctrlPr>
          </m:sSubPr>
          <m:e>
            <m:r>
              <w:rPr>
                <w:rFonts w:ascii="Cambria Math" w:hAnsi="Times New Roman" w:cs="Times New Roman"/>
                <w:szCs w:val="24"/>
              </w:rPr>
              <m:t>S</m:t>
            </m:r>
          </m:e>
          <m:sub>
            <m:r>
              <w:rPr>
                <w:rFonts w:ascii="Cambria Math" w:hAnsi="Times New Roman" w:cs="Times New Roman"/>
                <w:szCs w:val="24"/>
              </w:rPr>
              <m:t>c</m:t>
            </m:r>
          </m:sub>
        </m:sSub>
        <m:r>
          <w:rPr>
            <w:rFonts w:ascii="Cambria Math" w:hAnsi="Times New Roman" w:cs="Times New Roman"/>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Q</m:t>
            </m:r>
          </m:e>
          <m:sub>
            <m:r>
              <w:rPr>
                <w:rFonts w:ascii="MS Gothic" w:eastAsia="MS Gothic" w:hAnsi="MS Gothic" w:cs="MS Gothic" w:hint="eastAsia"/>
                <w:szCs w:val="24"/>
              </w:rPr>
              <m:t>h</m:t>
            </m:r>
            <m:r>
              <w:rPr>
                <w:rFonts w:ascii="Cambria Math" w:hAnsi="Cambria Math" w:cs="Times New Roman" w:hint="eastAsia"/>
                <w:szCs w:val="24"/>
              </w:rPr>
              <m:t>c</m:t>
            </m:r>
          </m:sub>
        </m:sSub>
        <m:r>
          <w:rPr>
            <w:rFonts w:ascii="Cambria Math" w:hAnsi="Cambria Math" w:cs="Times New Roman"/>
            <w:szCs w:val="24"/>
          </w:rPr>
          <m:t>×α)/W</m:t>
        </m:r>
        <m:r>
          <w:rPr>
            <w:rFonts w:ascii="Cambria Math" w:hAnsi="Times New Roman" w:cs="Times New Roman"/>
            <w:szCs w:val="24"/>
          </w:rPr>
          <m:t>c</m:t>
        </m:r>
        <m:r>
          <w:rPr>
            <w:rFonts w:ascii="Cambria Math" w:hAnsi="Cambria Math" w:cs="Times New Roman"/>
            <w:szCs w:val="24"/>
          </w:rPr>
          <m:t xml:space="preserve"> </m:t>
        </m:r>
      </m:oMath>
      <w:r w:rsidR="00226CEC" w:rsidRPr="00FD50F6">
        <w:rPr>
          <w:rFonts w:ascii="Times New Roman" w:hAnsi="Times New Roman" w:cs="Times New Roman"/>
          <w:szCs w:val="24"/>
        </w:rPr>
        <w:t xml:space="preserve">  </w:t>
      </w:r>
      <w:r w:rsidR="00226CEC">
        <w:rPr>
          <w:rFonts w:ascii="Times New Roman" w:hAnsi="Times New Roman" w:cs="Times New Roman"/>
          <w:szCs w:val="24"/>
        </w:rPr>
        <w:t xml:space="preserve">  </w:t>
      </w:r>
      <w:r w:rsidR="00226CEC" w:rsidRPr="00FD50F6">
        <w:rPr>
          <w:rFonts w:ascii="Times New Roman" w:hAnsi="Times New Roman" w:cs="Times New Roman"/>
          <w:szCs w:val="24"/>
        </w:rPr>
        <w:t>(</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.0.2-1)</w:t>
      </w:r>
    </w:p>
    <w:bookmarkEnd w:id="1409"/>
    <w:p w14:paraId="754B43B3" w14:textId="4CDA6B99" w:rsidR="00226CEC" w:rsidRPr="00FD50F6" w:rsidRDefault="00BF2787" w:rsidP="00226CEC">
      <w:pPr>
        <w:adjustRightInd w:val="0"/>
        <w:snapToGrid w:val="0"/>
        <w:jc w:val="center"/>
        <w:rPr>
          <w:rFonts w:ascii="Times New Roman" w:hAnsi="Times New Roman" w:cs="Times New Roman"/>
          <w:sz w:val="21"/>
          <w:szCs w:val="24"/>
        </w:rPr>
      </w:pPr>
      <m:oMath>
        <m:sSub>
          <m:sSubPr>
            <m:ctrlPr>
              <w:rPr>
                <w:rFonts w:ascii="Cambria Math" w:hAnsi="Times New Roman" w:cs="Times New Roman"/>
                <w:i/>
                <w:szCs w:val="24"/>
              </w:rPr>
            </m:ctrlPr>
          </m:sSubPr>
          <m:e>
            <m:r>
              <w:rPr>
                <w:rFonts w:ascii="Cambria Math" w:hAnsi="Times New Roman" w:cs="Times New Roman"/>
                <w:szCs w:val="24"/>
              </w:rPr>
              <m:t>S</m:t>
            </m:r>
          </m:e>
          <m:sub>
            <m:r>
              <w:rPr>
                <w:rFonts w:ascii="Cambria Math" w:hAnsi="Times New Roman" w:cs="Times New Roman"/>
                <w:szCs w:val="24"/>
              </w:rPr>
              <m:t>r</m:t>
            </m:r>
          </m:sub>
        </m:sSub>
        <m:r>
          <w:rPr>
            <w:rFonts w:ascii="Cambria Math" w:hAnsi="Times New Roman" w:cs="Times New Roman"/>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hr</m:t>
            </m:r>
          </m:sub>
        </m:sSub>
        <m:r>
          <w:rPr>
            <w:rFonts w:ascii="Cambria Math" w:hAnsi="Cambria Math" w:cs="Times New Roman"/>
            <w:szCs w:val="24"/>
          </w:rPr>
          <m:t>×α)/W</m:t>
        </m:r>
        <m:r>
          <w:rPr>
            <w:rFonts w:ascii="Cambria Math" w:hAnsi="Times New Roman" w:cs="Times New Roman"/>
            <w:szCs w:val="24"/>
          </w:rPr>
          <m:t>r</m:t>
        </m:r>
        <m:r>
          <w:rPr>
            <w:rFonts w:ascii="Cambria Math" w:hAnsi="Cambria Math" w:cs="Times New Roman"/>
            <w:szCs w:val="24"/>
          </w:rPr>
          <m:t xml:space="preserve"> </m:t>
        </m:r>
      </m:oMath>
      <w:r w:rsidR="00226CEC" w:rsidRPr="00FD50F6">
        <w:rPr>
          <w:rFonts w:ascii="Times New Roman" w:hAnsi="Times New Roman" w:cs="Times New Roman" w:hint="eastAsia"/>
          <w:szCs w:val="24"/>
        </w:rPr>
        <w:t xml:space="preserve"> </w:t>
      </w:r>
      <w:r w:rsidR="00226CEC" w:rsidRPr="00FD50F6">
        <w:rPr>
          <w:rFonts w:ascii="Times New Roman" w:hAnsi="Times New Roman" w:cs="Times New Roman"/>
          <w:szCs w:val="24"/>
        </w:rPr>
        <w:t xml:space="preserve">   (</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 xml:space="preserve">.0.2-2) </w:t>
      </w:r>
    </w:p>
    <w:p w14:paraId="637113C0" w14:textId="1B69D6C0" w:rsidR="00226CEC" w:rsidRPr="00FD50F6" w:rsidRDefault="00226CEC" w:rsidP="00226CEC">
      <w:pPr>
        <w:adjustRightInd w:val="0"/>
        <w:snapToGrid w:val="0"/>
        <w:rPr>
          <w:rFonts w:ascii="Times New Roman" w:hAnsi="Times New Roman" w:cs="Times New Roman"/>
          <w:sz w:val="21"/>
          <w:szCs w:val="24"/>
        </w:rPr>
      </w:pPr>
      <w:bookmarkStart w:id="1410" w:name="_Hlk39139058"/>
      <w:r w:rsidRPr="00FD50F6">
        <w:rPr>
          <w:rFonts w:ascii="Times New Roman" w:hAnsi="Times New Roman" w:cs="Times New Roman" w:hint="eastAsia"/>
          <w:sz w:val="21"/>
          <w:szCs w:val="24"/>
        </w:rPr>
        <w:t>式中：</w:t>
      </w:r>
      <w:r w:rsidRPr="00FD50F6">
        <w:rPr>
          <w:rFonts w:ascii="Times New Roman" w:hAnsi="Times New Roman" w:cs="Times New Roman"/>
          <w:i/>
          <w:iCs/>
          <w:sz w:val="21"/>
          <w:szCs w:val="24"/>
        </w:rPr>
        <w:t>S</w:t>
      </w:r>
      <w:r w:rsidRPr="00FD50F6">
        <w:rPr>
          <w:rFonts w:ascii="Times New Roman" w:hAnsi="Times New Roman" w:cs="Times New Roman" w:hint="eastAsia"/>
          <w:i/>
          <w:iCs/>
          <w:sz w:val="21"/>
          <w:szCs w:val="24"/>
          <w:vertAlign w:val="subscript"/>
        </w:rPr>
        <w:t>c</w:t>
      </w:r>
      <w:r>
        <w:rPr>
          <w:rFonts w:ascii="Times New Roman" w:hAnsi="Times New Roman" w:cs="Times New Roman"/>
          <w:sz w:val="21"/>
          <w:szCs w:val="24"/>
        </w:rPr>
        <w:t>—</w:t>
      </w:r>
      <w:r w:rsidRPr="00FD50F6">
        <w:rPr>
          <w:rFonts w:ascii="Times New Roman" w:hAnsi="Times New Roman" w:cs="Times New Roman" w:hint="eastAsia"/>
          <w:sz w:val="21"/>
          <w:szCs w:val="24"/>
        </w:rPr>
        <w:t>换出设施的超高峰饱和度；</w:t>
      </w:r>
    </w:p>
    <w:p w14:paraId="040F91FB" w14:textId="52BA54FB"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Pr>
          <w:rFonts w:ascii="Times New Roman" w:hAnsi="Times New Roman" w:cs="Times New Roman"/>
          <w:sz w:val="21"/>
          <w:szCs w:val="24"/>
        </w:rPr>
        <w:t xml:space="preserve">    </w:t>
      </w:r>
      <w:r w:rsidRPr="00FD50F6">
        <w:rPr>
          <w:rFonts w:ascii="Times New Roman" w:hAnsi="Times New Roman" w:cs="Times New Roman"/>
          <w:i/>
          <w:iCs/>
          <w:sz w:val="21"/>
          <w:szCs w:val="24"/>
        </w:rPr>
        <w:t>S</w:t>
      </w:r>
      <w:r w:rsidRPr="00FD50F6">
        <w:rPr>
          <w:rFonts w:ascii="Times New Roman" w:hAnsi="Times New Roman" w:cs="Times New Roman" w:hint="eastAsia"/>
          <w:i/>
          <w:iCs/>
          <w:sz w:val="21"/>
          <w:szCs w:val="24"/>
          <w:vertAlign w:val="subscript"/>
        </w:rPr>
        <w:t>r</w:t>
      </w:r>
      <w:r>
        <w:rPr>
          <w:rFonts w:ascii="Times New Roman" w:hAnsi="Times New Roman" w:cs="Times New Roman"/>
          <w:sz w:val="21"/>
          <w:szCs w:val="24"/>
        </w:rPr>
        <w:t>—</w:t>
      </w:r>
      <w:r w:rsidRPr="00FD50F6">
        <w:rPr>
          <w:rFonts w:ascii="Times New Roman" w:hAnsi="Times New Roman" w:cs="Times New Roman" w:hint="eastAsia"/>
          <w:sz w:val="21"/>
          <w:szCs w:val="24"/>
        </w:rPr>
        <w:t>换入设施的超高峰饱和度；</w:t>
      </w:r>
    </w:p>
    <w:p w14:paraId="64600CDE" w14:textId="36C260F6"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Pr>
          <w:rFonts w:ascii="Times New Roman" w:hAnsi="Times New Roman" w:cs="Times New Roman"/>
          <w:sz w:val="21"/>
          <w:szCs w:val="24"/>
        </w:rPr>
        <w:t xml:space="preserve">   </w:t>
      </w:r>
      <w:bookmarkStart w:id="1411" w:name="_Hlk120207106"/>
      <w:r w:rsidRPr="00FD50F6">
        <w:rPr>
          <w:rFonts w:ascii="Times New Roman" w:hAnsi="Times New Roman" w:cs="Times New Roman"/>
          <w:i/>
          <w:iCs/>
          <w:sz w:val="21"/>
          <w:szCs w:val="24"/>
        </w:rPr>
        <w:t>Q</w:t>
      </w:r>
      <w:r w:rsidRPr="00FD50F6">
        <w:rPr>
          <w:rFonts w:ascii="Times New Roman" w:hAnsi="Times New Roman" w:cs="Times New Roman" w:hint="eastAsia"/>
          <w:i/>
          <w:iCs/>
          <w:sz w:val="21"/>
          <w:szCs w:val="24"/>
          <w:vertAlign w:val="subscript"/>
        </w:rPr>
        <w:t>hc</w:t>
      </w:r>
      <w:bookmarkEnd w:id="1411"/>
      <w:r>
        <w:rPr>
          <w:rFonts w:ascii="Times New Roman" w:hAnsi="Times New Roman" w:cs="Times New Roman"/>
          <w:sz w:val="21"/>
          <w:szCs w:val="24"/>
        </w:rPr>
        <w:t>—</w:t>
      </w:r>
      <w:r w:rsidRPr="00FD50F6">
        <w:rPr>
          <w:rFonts w:ascii="Times New Roman" w:hAnsi="Times New Roman" w:cs="Times New Roman" w:hint="eastAsia"/>
          <w:sz w:val="21"/>
          <w:szCs w:val="24"/>
        </w:rPr>
        <w:t>远期或客流控制期高峰小时换乘设施服务的换出客流量（人</w:t>
      </w:r>
      <w:r w:rsidR="005E0F39">
        <w:rPr>
          <w:rFonts w:ascii="Times New Roman" w:hAnsi="Times New Roman" w:cs="Times New Roman" w:hint="eastAsia"/>
          <w:sz w:val="21"/>
          <w:szCs w:val="24"/>
        </w:rPr>
        <w:t>次</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p w14:paraId="53DA93D0" w14:textId="7B16E33B"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sidRPr="00FD50F6">
        <w:rPr>
          <w:rFonts w:ascii="Times New Roman" w:hAnsi="Times New Roman" w:cs="Times New Roman"/>
          <w:i/>
          <w:iCs/>
          <w:sz w:val="21"/>
          <w:szCs w:val="24"/>
        </w:rPr>
        <w:t>Q</w:t>
      </w:r>
      <w:r w:rsidRPr="00FD50F6">
        <w:rPr>
          <w:rFonts w:ascii="Times New Roman" w:hAnsi="Times New Roman" w:cs="Times New Roman" w:hint="eastAsia"/>
          <w:i/>
          <w:iCs/>
          <w:sz w:val="21"/>
          <w:szCs w:val="24"/>
          <w:vertAlign w:val="subscript"/>
        </w:rPr>
        <w:t>hr</w:t>
      </w:r>
      <w:r>
        <w:rPr>
          <w:rFonts w:ascii="Times New Roman" w:hAnsi="Times New Roman" w:cs="Times New Roman"/>
          <w:sz w:val="21"/>
          <w:szCs w:val="24"/>
        </w:rPr>
        <w:t>—</w:t>
      </w:r>
      <w:r w:rsidRPr="00FD50F6">
        <w:rPr>
          <w:rFonts w:ascii="Times New Roman" w:hAnsi="Times New Roman" w:cs="Times New Roman" w:hint="eastAsia"/>
          <w:sz w:val="21"/>
          <w:szCs w:val="24"/>
        </w:rPr>
        <w:t>远期或客流控制期高峰小时换乘设施服务的换入客流量（人</w:t>
      </w:r>
      <w:r w:rsidR="005E0F39">
        <w:rPr>
          <w:rFonts w:ascii="Times New Roman" w:hAnsi="Times New Roman" w:cs="Times New Roman" w:hint="eastAsia"/>
          <w:sz w:val="21"/>
          <w:szCs w:val="24"/>
        </w:rPr>
        <w:t>次</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p w14:paraId="03657360" w14:textId="677815A4"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lastRenderedPageBreak/>
        <w:tab/>
      </w:r>
      <w:r w:rsidRPr="00FD50F6">
        <w:rPr>
          <w:rFonts w:ascii="宋体" w:hAnsi="宋体" w:cs="Times New Roman" w:hint="eastAsia"/>
          <w:i/>
          <w:iCs/>
          <w:sz w:val="21"/>
          <w:szCs w:val="24"/>
        </w:rPr>
        <w:t>α</w:t>
      </w:r>
      <w:r>
        <w:rPr>
          <w:rFonts w:ascii="宋体" w:hAnsi="宋体" w:cs="Times New Roman"/>
          <w:sz w:val="21"/>
          <w:szCs w:val="24"/>
        </w:rPr>
        <w:t>—</w:t>
      </w:r>
      <w:r w:rsidRPr="00FD50F6">
        <w:rPr>
          <w:rFonts w:ascii="宋体" w:hAnsi="宋体" w:cs="Times New Roman" w:hint="eastAsia"/>
          <w:sz w:val="21"/>
          <w:szCs w:val="24"/>
        </w:rPr>
        <w:t>超高峰系数；</w:t>
      </w:r>
    </w:p>
    <w:p w14:paraId="6607D10F" w14:textId="62E0BC0A"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sidRPr="00FD50F6">
        <w:rPr>
          <w:rFonts w:ascii="Times New Roman" w:hAnsi="Times New Roman" w:cs="Times New Roman"/>
          <w:i/>
          <w:iCs/>
          <w:sz w:val="21"/>
          <w:szCs w:val="24"/>
        </w:rPr>
        <w:t>W</w:t>
      </w:r>
      <w:r w:rsidRPr="00FD50F6">
        <w:rPr>
          <w:rFonts w:ascii="Times New Roman" w:hAnsi="Times New Roman" w:cs="Times New Roman" w:hint="eastAsia"/>
          <w:i/>
          <w:iCs/>
          <w:sz w:val="21"/>
          <w:szCs w:val="24"/>
          <w:vertAlign w:val="subscript"/>
        </w:rPr>
        <w:t>c</w:t>
      </w:r>
      <w:r>
        <w:rPr>
          <w:rFonts w:ascii="Times New Roman" w:hAnsi="Times New Roman" w:cs="Times New Roman"/>
          <w:sz w:val="21"/>
          <w:szCs w:val="24"/>
        </w:rPr>
        <w:t>—</w:t>
      </w:r>
      <w:r w:rsidRPr="00FD50F6">
        <w:rPr>
          <w:rFonts w:ascii="Times New Roman" w:hAnsi="Times New Roman" w:cs="Times New Roman" w:hint="eastAsia"/>
          <w:sz w:val="21"/>
          <w:szCs w:val="24"/>
        </w:rPr>
        <w:t>换出设施的通行能力（人</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p w14:paraId="058D7D1C" w14:textId="020FAF8D" w:rsidR="00226CEC" w:rsidRPr="00DC1C65" w:rsidRDefault="00226CEC" w:rsidP="00DC1C65">
      <w:pPr>
        <w:adjustRightInd w:val="0"/>
        <w:snapToGrid w:val="0"/>
        <w:ind w:firstLineChars="200" w:firstLine="420"/>
        <w:rPr>
          <w:rFonts w:ascii="Times New Roman" w:hAnsi="Times New Roman" w:cs="Times New Roman"/>
          <w:sz w:val="21"/>
          <w:szCs w:val="24"/>
        </w:rPr>
      </w:pPr>
      <w:r w:rsidRPr="00FD50F6">
        <w:rPr>
          <w:rFonts w:ascii="Times New Roman" w:hAnsi="Times New Roman" w:cs="Times New Roman"/>
          <w:i/>
          <w:iCs/>
          <w:sz w:val="21"/>
          <w:szCs w:val="24"/>
        </w:rPr>
        <w:t>W</w:t>
      </w:r>
      <w:r>
        <w:rPr>
          <w:rFonts w:ascii="Times New Roman" w:hAnsi="Times New Roman" w:cs="Times New Roman"/>
          <w:i/>
          <w:iCs/>
          <w:sz w:val="21"/>
          <w:szCs w:val="24"/>
          <w:vertAlign w:val="subscript"/>
        </w:rPr>
        <w:t>r</w:t>
      </w:r>
      <w:r>
        <w:rPr>
          <w:rFonts w:ascii="Times New Roman" w:hAnsi="Times New Roman" w:cs="Times New Roman"/>
          <w:sz w:val="21"/>
          <w:szCs w:val="24"/>
        </w:rPr>
        <w:t>—</w:t>
      </w:r>
      <w:r w:rsidRPr="00FD50F6">
        <w:rPr>
          <w:rFonts w:ascii="Times New Roman" w:hAnsi="Times New Roman" w:cs="Times New Roman" w:hint="eastAsia"/>
          <w:sz w:val="21"/>
          <w:szCs w:val="24"/>
        </w:rPr>
        <w:t>换入设施的通行能力（人</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bookmarkEnd w:id="1410"/>
    <w:p w14:paraId="200542A9" w14:textId="77777777" w:rsidR="00226CEC" w:rsidRPr="00FD50F6" w:rsidRDefault="00226CEC" w:rsidP="00251933">
      <w:pPr>
        <w:outlineLvl w:val="2"/>
        <w:rPr>
          <w:rFonts w:ascii="Times New Roman" w:hAnsi="Times New Roman" w:cs="Times New Roman"/>
          <w:b/>
          <w:szCs w:val="24"/>
        </w:rPr>
      </w:pPr>
      <w:r w:rsidRPr="00FD50F6">
        <w:rPr>
          <w:rFonts w:ascii="Times New Roman" w:hAnsi="Times New Roman" w:cs="Times New Roman" w:hint="eastAsia"/>
          <w:bCs/>
          <w:szCs w:val="32"/>
        </w:rPr>
        <w:t>H</w:t>
      </w:r>
      <w:r w:rsidRPr="00FD50F6">
        <w:rPr>
          <w:rFonts w:ascii="Times New Roman" w:hAnsi="Times New Roman" w:cs="Times New Roman"/>
          <w:bCs/>
          <w:szCs w:val="32"/>
        </w:rPr>
        <w:t>.0.3</w:t>
      </w:r>
      <w:r w:rsidRPr="00FD50F6">
        <w:rPr>
          <w:rFonts w:ascii="Times New Roman" w:hAnsi="Times New Roman" w:cs="Times New Roman" w:hint="eastAsia"/>
          <w:bCs/>
          <w:szCs w:val="32"/>
        </w:rPr>
        <w:t>换乘车站在换乘路径中各部位换乘设施的不均衡系数应按下列公式计</w:t>
      </w:r>
      <w:r w:rsidRPr="001A4CF3">
        <w:rPr>
          <w:rFonts w:ascii="Times New Roman" w:hAnsi="Times New Roman" w:cs="Times New Roman" w:hint="eastAsia"/>
          <w:bCs/>
          <w:szCs w:val="24"/>
        </w:rPr>
        <w:t>算：</w:t>
      </w:r>
    </w:p>
    <w:bookmarkStart w:id="1412" w:name="_Hlk39139025"/>
    <w:p w14:paraId="04DB1CAC" w14:textId="5590B5C0" w:rsidR="00226CEC" w:rsidRPr="00FD50F6" w:rsidRDefault="00BF2787" w:rsidP="00226CEC">
      <w:pPr>
        <w:adjustRightInd w:val="0"/>
        <w:snapToGrid w:val="0"/>
        <w:ind w:firstLineChars="886" w:firstLine="2126"/>
        <w:jc w:val="left"/>
        <w:rPr>
          <w:rFonts w:ascii="Times New Roman" w:hAnsi="Times New Roman" w:cs="Times New Roman"/>
          <w:sz w:val="21"/>
          <w:szCs w:val="24"/>
        </w:rPr>
      </w:pPr>
      <m:oMath>
        <m:sSub>
          <m:sSubPr>
            <m:ctrlPr>
              <w:rPr>
                <w:rFonts w:ascii="Cambria Math" w:hAnsi="Times New Roman" w:cs="Times New Roman"/>
                <w:i/>
                <w:szCs w:val="24"/>
              </w:rPr>
            </m:ctrlPr>
          </m:sSubPr>
          <m:e>
            <m:r>
              <w:rPr>
                <w:rFonts w:ascii="Cambria Math" w:hAnsi="Times New Roman" w:cs="Times New Roman" w:hint="eastAsia"/>
                <w:szCs w:val="24"/>
              </w:rPr>
              <m:t>K</m:t>
            </m:r>
          </m:e>
          <m:sub>
            <m:r>
              <w:rPr>
                <w:rFonts w:ascii="Cambria Math" w:hAnsi="Times New Roman" w:cs="Times New Roman" w:hint="eastAsia"/>
                <w:szCs w:val="24"/>
              </w:rPr>
              <m:t>c</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Times New Roman" w:cs="Times New Roman"/>
                <w:szCs w:val="24"/>
              </w:rPr>
              <m:t>S</m:t>
            </m:r>
          </m:e>
          <m:sub>
            <m:r>
              <w:rPr>
                <w:rFonts w:ascii="Cambria Math" w:hAnsi="Times New Roman" w:cs="Times New Roman" w:hint="eastAsia"/>
                <w:szCs w:val="24"/>
              </w:rPr>
              <m:t>xc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pc</m:t>
            </m:r>
          </m:sub>
        </m:sSub>
        <m:r>
          <w:rPr>
            <w:rFonts w:ascii="Cambria Math" w:hAnsi="Cambria Math" w:cs="Times New Roman"/>
            <w:szCs w:val="24"/>
          </w:rPr>
          <m:t xml:space="preserve"> </m:t>
        </m:r>
      </m:oMath>
      <w:r w:rsidR="00226CEC" w:rsidRPr="00FD50F6">
        <w:rPr>
          <w:rFonts w:ascii="Times New Roman" w:hAnsi="Times New Roman" w:cs="Times New Roman" w:hint="eastAsia"/>
          <w:szCs w:val="24"/>
        </w:rPr>
        <w:t xml:space="preserve"> </w:t>
      </w:r>
      <w:r w:rsidR="00226CEC" w:rsidRPr="00FD50F6">
        <w:rPr>
          <w:rFonts w:ascii="Times New Roman" w:hAnsi="Times New Roman" w:cs="Times New Roman"/>
          <w:szCs w:val="24"/>
        </w:rPr>
        <w:t xml:space="preserve">          (</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.0.3-1)</w:t>
      </w:r>
    </w:p>
    <w:bookmarkEnd w:id="1412"/>
    <w:p w14:paraId="64E7ACB4" w14:textId="7B61D952" w:rsidR="00226CEC" w:rsidRPr="00FD50F6" w:rsidRDefault="00BF2787" w:rsidP="00226CEC">
      <w:pPr>
        <w:adjustRightInd w:val="0"/>
        <w:snapToGrid w:val="0"/>
        <w:ind w:firstLineChars="1012" w:firstLine="2125"/>
        <w:jc w:val="left"/>
        <w:rPr>
          <w:rFonts w:ascii="Times New Roman" w:hAnsi="Times New Roman" w:cs="Times New Roman"/>
          <w:sz w:val="21"/>
          <w:szCs w:val="24"/>
        </w:rPr>
      </w:pPr>
      <m:oMath>
        <m:sSub>
          <m:sSubPr>
            <m:ctrlPr>
              <w:rPr>
                <w:rFonts w:ascii="Cambria Math" w:hAnsi="Cambria Math" w:cs="Times New Roman"/>
                <w:i/>
                <w:sz w:val="21"/>
                <w:szCs w:val="24"/>
              </w:rPr>
            </m:ctrlPr>
          </m:sSubPr>
          <m:e>
            <m:r>
              <w:rPr>
                <w:rFonts w:ascii="Cambria Math" w:hAnsi="Cambria Math" w:cs="Times New Roman"/>
                <w:sz w:val="21"/>
                <w:szCs w:val="24"/>
              </w:rPr>
              <m:t>K</m:t>
            </m:r>
          </m:e>
          <m:sub>
            <m:r>
              <w:rPr>
                <w:rFonts w:ascii="Cambria Math" w:hAnsi="Cambria Math" w:cs="Times New Roman"/>
                <w:sz w:val="21"/>
                <w:szCs w:val="24"/>
              </w:rPr>
              <m:t>r</m:t>
            </m:r>
          </m:sub>
        </m:sSub>
        <m:r>
          <w:rPr>
            <w:rFonts w:ascii="Cambria Math" w:hAnsi="Cambria Math" w:cs="Times New Roman"/>
            <w:sz w:val="21"/>
            <w:szCs w:val="24"/>
          </w:rPr>
          <m:t>=</m:t>
        </m:r>
        <m:sSub>
          <m:sSubPr>
            <m:ctrlPr>
              <w:rPr>
                <w:rFonts w:ascii="Cambria Math" w:hAnsi="Cambria Math" w:cs="Times New Roman"/>
                <w:i/>
                <w:sz w:val="21"/>
                <w:szCs w:val="24"/>
              </w:rPr>
            </m:ctrlPr>
          </m:sSubPr>
          <m:e>
            <m:r>
              <w:rPr>
                <w:rFonts w:ascii="Cambria Math" w:hAnsi="Cambria Math" w:cs="Times New Roman"/>
                <w:sz w:val="21"/>
                <w:szCs w:val="24"/>
              </w:rPr>
              <m:t>S</m:t>
            </m:r>
          </m:e>
          <m:sub>
            <m:r>
              <w:rPr>
                <w:rFonts w:ascii="Cambria Math" w:hAnsi="Cambria Math" w:cs="Times New Roman"/>
                <w:sz w:val="21"/>
                <w:szCs w:val="24"/>
              </w:rPr>
              <m:t>x</m:t>
            </m:r>
            <m:r>
              <w:rPr>
                <w:rFonts w:ascii="Cambria Math" w:hAnsi="Cambria Math" w:cs="Times New Roman" w:hint="eastAsia"/>
                <w:sz w:val="21"/>
                <w:szCs w:val="24"/>
              </w:rPr>
              <m:t>r</m:t>
            </m:r>
          </m:sub>
        </m:sSub>
        <m:r>
          <w:rPr>
            <w:rFonts w:ascii="Cambria Math" w:hAnsi="Cambria Math" w:cs="Times New Roman"/>
            <w:sz w:val="21"/>
            <w:szCs w:val="24"/>
          </w:rPr>
          <m:t>/</m:t>
        </m:r>
        <m:sSub>
          <m:sSubPr>
            <m:ctrlPr>
              <w:rPr>
                <w:rFonts w:ascii="Cambria Math" w:hAnsi="Cambria Math" w:cs="Times New Roman"/>
                <w:i/>
                <w:sz w:val="21"/>
                <w:szCs w:val="24"/>
              </w:rPr>
            </m:ctrlPr>
          </m:sSubPr>
          <m:e>
            <m:r>
              <w:rPr>
                <w:rFonts w:ascii="Cambria Math" w:hAnsi="Cambria Math" w:cs="Times New Roman"/>
                <w:sz w:val="21"/>
                <w:szCs w:val="24"/>
              </w:rPr>
              <m:t>S</m:t>
            </m:r>
          </m:e>
          <m:sub>
            <m:r>
              <w:rPr>
                <w:rFonts w:ascii="Cambria Math" w:hAnsi="Cambria Math" w:cs="Times New Roman"/>
                <w:sz w:val="21"/>
                <w:szCs w:val="24"/>
              </w:rPr>
              <m:t>pr</m:t>
            </m:r>
          </m:sub>
        </m:sSub>
        <m:r>
          <w:rPr>
            <w:rFonts w:ascii="Cambria Math" w:hAnsi="Cambria Math" w:cs="Times New Roman"/>
            <w:sz w:val="21"/>
            <w:szCs w:val="24"/>
          </w:rPr>
          <m:t xml:space="preserve"> </m:t>
        </m:r>
      </m:oMath>
      <w:r w:rsidR="00226CEC" w:rsidRPr="00FD50F6">
        <w:rPr>
          <w:rFonts w:ascii="Times New Roman" w:hAnsi="Times New Roman" w:cs="Times New Roman" w:hint="eastAsia"/>
          <w:sz w:val="21"/>
          <w:szCs w:val="24"/>
        </w:rPr>
        <w:t xml:space="preserve"> </w:t>
      </w:r>
      <w:r w:rsidR="00226CEC" w:rsidRPr="00FD50F6">
        <w:rPr>
          <w:rFonts w:ascii="Times New Roman" w:hAnsi="Times New Roman" w:cs="Times New Roman"/>
          <w:sz w:val="21"/>
          <w:szCs w:val="24"/>
        </w:rPr>
        <w:t xml:space="preserve">         </w:t>
      </w:r>
      <w:r w:rsidR="00226CEC">
        <w:rPr>
          <w:rFonts w:ascii="Times New Roman" w:hAnsi="Times New Roman" w:cs="Times New Roman"/>
          <w:sz w:val="21"/>
          <w:szCs w:val="24"/>
        </w:rPr>
        <w:t xml:space="preserve"> </w:t>
      </w:r>
      <w:r w:rsidR="00226CEC" w:rsidRPr="00FD50F6">
        <w:rPr>
          <w:rFonts w:ascii="Times New Roman" w:hAnsi="Times New Roman" w:cs="Times New Roman"/>
          <w:sz w:val="21"/>
          <w:szCs w:val="24"/>
        </w:rPr>
        <w:t xml:space="preserve">   </w:t>
      </w:r>
      <w:r w:rsidR="00226CEC" w:rsidRPr="00FD50F6">
        <w:rPr>
          <w:rFonts w:ascii="Times New Roman" w:hAnsi="Times New Roman" w:cs="Times New Roman"/>
          <w:szCs w:val="24"/>
        </w:rPr>
        <w:t xml:space="preserve"> (</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.0.3-2)</w:t>
      </w:r>
    </w:p>
    <w:p w14:paraId="26D95467" w14:textId="5CE5E1E1"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式中：</w:t>
      </w:r>
      <w:r w:rsidRPr="00FD50F6">
        <w:rPr>
          <w:rFonts w:ascii="Times New Roman" w:hAnsi="Times New Roman" w:cs="Times New Roman"/>
          <w:i/>
          <w:iCs/>
          <w:sz w:val="21"/>
          <w:szCs w:val="24"/>
        </w:rPr>
        <w:t>K</w:t>
      </w:r>
      <w:r w:rsidRPr="00FD50F6">
        <w:rPr>
          <w:rFonts w:ascii="Times New Roman" w:hAnsi="Times New Roman" w:cs="Times New Roman"/>
          <w:i/>
          <w:iCs/>
          <w:sz w:val="21"/>
          <w:szCs w:val="24"/>
          <w:vertAlign w:val="subscript"/>
        </w:rPr>
        <w:t>c</w:t>
      </w:r>
      <w:r>
        <w:rPr>
          <w:rFonts w:ascii="Times New Roman" w:hAnsi="Times New Roman" w:cs="Times New Roman"/>
          <w:sz w:val="21"/>
          <w:szCs w:val="24"/>
        </w:rPr>
        <w:t>—</w:t>
      </w:r>
      <w:r w:rsidRPr="00FD50F6">
        <w:rPr>
          <w:rFonts w:ascii="Times New Roman" w:hAnsi="Times New Roman" w:cs="Times New Roman" w:hint="eastAsia"/>
          <w:sz w:val="21"/>
          <w:szCs w:val="24"/>
        </w:rPr>
        <w:t>换乘路径上各部位换出通勤设施的不均衡系数</w:t>
      </w:r>
      <w:r w:rsidRPr="00FD50F6">
        <w:rPr>
          <w:rFonts w:ascii="Times New Roman" w:hAnsi="Times New Roman" w:cs="Times New Roman"/>
          <w:sz w:val="21"/>
          <w:szCs w:val="24"/>
        </w:rPr>
        <w:t>；</w:t>
      </w:r>
    </w:p>
    <w:p w14:paraId="7A87B32E" w14:textId="248B0D9C"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Pr>
          <w:rFonts w:ascii="Times New Roman" w:hAnsi="Times New Roman" w:cs="Times New Roman"/>
          <w:sz w:val="21"/>
          <w:szCs w:val="24"/>
        </w:rPr>
        <w:t xml:space="preserve">   </w:t>
      </w:r>
      <w:r w:rsidRPr="00FD50F6">
        <w:rPr>
          <w:rFonts w:ascii="Times New Roman" w:hAnsi="Times New Roman" w:cs="Times New Roman"/>
          <w:i/>
          <w:iCs/>
          <w:sz w:val="21"/>
          <w:szCs w:val="24"/>
        </w:rPr>
        <w:t>K</w:t>
      </w:r>
      <w:r w:rsidRPr="00FD50F6">
        <w:rPr>
          <w:rFonts w:ascii="Times New Roman" w:hAnsi="Times New Roman" w:cs="Times New Roman"/>
          <w:i/>
          <w:iCs/>
          <w:sz w:val="21"/>
          <w:szCs w:val="24"/>
          <w:vertAlign w:val="subscript"/>
        </w:rPr>
        <w:t>r</w:t>
      </w:r>
      <w:r>
        <w:rPr>
          <w:rFonts w:ascii="Times New Roman" w:hAnsi="Times New Roman" w:cs="Times New Roman"/>
          <w:sz w:val="21"/>
          <w:szCs w:val="24"/>
        </w:rPr>
        <w:t>—</w:t>
      </w:r>
      <w:r w:rsidRPr="00FD50F6">
        <w:rPr>
          <w:rFonts w:ascii="Times New Roman" w:hAnsi="Times New Roman" w:cs="Times New Roman" w:hint="eastAsia"/>
          <w:sz w:val="21"/>
          <w:szCs w:val="24"/>
        </w:rPr>
        <w:t>换乘路径上各部位换入通勤设施的不均衡系数</w:t>
      </w:r>
      <w:r w:rsidRPr="00FD50F6">
        <w:rPr>
          <w:rFonts w:ascii="Times New Roman" w:hAnsi="Times New Roman" w:cs="Times New Roman"/>
          <w:sz w:val="21"/>
          <w:szCs w:val="24"/>
        </w:rPr>
        <w:t>；</w:t>
      </w:r>
    </w:p>
    <w:p w14:paraId="42F1DBA7" w14:textId="745F26A8"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Pr>
          <w:rFonts w:ascii="Times New Roman" w:hAnsi="Times New Roman" w:cs="Times New Roman"/>
          <w:sz w:val="21"/>
          <w:szCs w:val="24"/>
        </w:rPr>
        <w:t xml:space="preserve"> </w:t>
      </w:r>
      <w:r w:rsidRPr="00FD50F6">
        <w:rPr>
          <w:rFonts w:ascii="Times New Roman" w:hAnsi="Times New Roman" w:cs="Times New Roman"/>
          <w:i/>
          <w:iCs/>
          <w:sz w:val="21"/>
          <w:szCs w:val="24"/>
        </w:rPr>
        <w:t>S</w:t>
      </w:r>
      <w:r w:rsidRPr="00FD50F6">
        <w:rPr>
          <w:rFonts w:ascii="Times New Roman" w:hAnsi="Times New Roman" w:cs="Times New Roman" w:hint="eastAsia"/>
          <w:i/>
          <w:iCs/>
          <w:sz w:val="21"/>
          <w:szCs w:val="24"/>
          <w:vertAlign w:val="subscript"/>
        </w:rPr>
        <w:t>xc</w:t>
      </w:r>
      <w:r>
        <w:rPr>
          <w:rFonts w:ascii="Times New Roman" w:hAnsi="Times New Roman" w:cs="Times New Roman"/>
          <w:sz w:val="21"/>
          <w:szCs w:val="24"/>
        </w:rPr>
        <w:t>—</w:t>
      </w:r>
      <w:r w:rsidRPr="00FD50F6">
        <w:rPr>
          <w:rFonts w:ascii="Times New Roman" w:hAnsi="Times New Roman" w:cs="Times New Roman" w:hint="eastAsia"/>
          <w:sz w:val="21"/>
          <w:szCs w:val="24"/>
        </w:rPr>
        <w:t>换出设施的最大饱和度；</w:t>
      </w:r>
    </w:p>
    <w:p w14:paraId="53847DE4" w14:textId="72F9029D"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sidRPr="00FD50F6">
        <w:rPr>
          <w:rFonts w:ascii="Times New Roman" w:hAnsi="Times New Roman" w:cs="Times New Roman"/>
          <w:i/>
          <w:iCs/>
          <w:sz w:val="21"/>
          <w:szCs w:val="24"/>
        </w:rPr>
        <w:t>S</w:t>
      </w:r>
      <w:r w:rsidRPr="00FD50F6">
        <w:rPr>
          <w:rFonts w:ascii="Times New Roman" w:hAnsi="Times New Roman" w:cs="Times New Roman" w:hint="eastAsia"/>
          <w:i/>
          <w:iCs/>
          <w:sz w:val="21"/>
          <w:szCs w:val="24"/>
          <w:vertAlign w:val="subscript"/>
        </w:rPr>
        <w:t>xr</w:t>
      </w:r>
      <w:r>
        <w:rPr>
          <w:rFonts w:ascii="Times New Roman" w:hAnsi="Times New Roman" w:cs="Times New Roman"/>
          <w:sz w:val="21"/>
          <w:szCs w:val="24"/>
        </w:rPr>
        <w:t>—</w:t>
      </w:r>
      <w:r w:rsidRPr="00FD50F6">
        <w:rPr>
          <w:rFonts w:ascii="Times New Roman" w:hAnsi="Times New Roman" w:cs="Times New Roman" w:hint="eastAsia"/>
          <w:sz w:val="21"/>
          <w:szCs w:val="24"/>
        </w:rPr>
        <w:t>换入设施的最大饱和度；</w:t>
      </w:r>
    </w:p>
    <w:p w14:paraId="1CDE8712" w14:textId="4829C96D" w:rsidR="00226CEC" w:rsidRPr="00FD50F6" w:rsidRDefault="00226CEC" w:rsidP="00226CEC">
      <w:pPr>
        <w:adjustRightInd w:val="0"/>
        <w:snapToGrid w:val="0"/>
        <w:rPr>
          <w:rFonts w:ascii="Times New Roman" w:hAnsi="Times New Roman" w:cs="Times New Roman"/>
          <w:i/>
          <w:iCs/>
          <w:sz w:val="21"/>
          <w:szCs w:val="24"/>
        </w:rPr>
      </w:pPr>
      <w:r w:rsidRPr="00FD50F6">
        <w:rPr>
          <w:rFonts w:ascii="Times New Roman" w:hAnsi="Times New Roman" w:cs="Times New Roman"/>
          <w:sz w:val="21"/>
          <w:szCs w:val="24"/>
        </w:rPr>
        <w:tab/>
      </w:r>
      <w:r w:rsidRPr="00FD50F6">
        <w:rPr>
          <w:rFonts w:ascii="Times New Roman" w:hAnsi="Times New Roman" w:cs="Times New Roman" w:hint="eastAsia"/>
          <w:i/>
          <w:iCs/>
          <w:sz w:val="21"/>
          <w:szCs w:val="24"/>
        </w:rPr>
        <w:t>S</w:t>
      </w:r>
      <w:r>
        <w:rPr>
          <w:rFonts w:ascii="Times New Roman" w:hAnsi="Times New Roman" w:cs="Times New Roman"/>
          <w:i/>
          <w:iCs/>
          <w:sz w:val="21"/>
          <w:szCs w:val="24"/>
          <w:vertAlign w:val="subscript"/>
        </w:rPr>
        <w:t>p</w:t>
      </w:r>
      <w:r w:rsidRPr="00FD50F6">
        <w:rPr>
          <w:rFonts w:ascii="Times New Roman" w:hAnsi="Times New Roman" w:cs="Times New Roman" w:hint="eastAsia"/>
          <w:i/>
          <w:iCs/>
          <w:sz w:val="21"/>
          <w:szCs w:val="24"/>
          <w:vertAlign w:val="subscript"/>
        </w:rPr>
        <w:t>c</w:t>
      </w:r>
      <w:r>
        <w:rPr>
          <w:rFonts w:ascii="Times New Roman" w:hAnsi="Times New Roman" w:cs="Times New Roman" w:hint="eastAsia"/>
          <w:i/>
          <w:iCs/>
          <w:sz w:val="21"/>
          <w:szCs w:val="24"/>
        </w:rPr>
        <w:t>—</w:t>
      </w:r>
      <w:r w:rsidRPr="00FD50F6">
        <w:rPr>
          <w:rFonts w:ascii="Times New Roman" w:hAnsi="Times New Roman" w:cs="Times New Roman" w:hint="eastAsia"/>
          <w:sz w:val="21"/>
          <w:szCs w:val="24"/>
        </w:rPr>
        <w:t>换出设施平均饱和度；</w:t>
      </w:r>
    </w:p>
    <w:p w14:paraId="1FF07EF4" w14:textId="5C0EE166"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hint="eastAsia"/>
          <w:i/>
          <w:iCs/>
          <w:sz w:val="21"/>
          <w:szCs w:val="24"/>
        </w:rPr>
        <w:tab/>
        <w:t>S</w:t>
      </w:r>
      <w:r>
        <w:rPr>
          <w:rFonts w:ascii="Times New Roman" w:hAnsi="Times New Roman" w:cs="Times New Roman"/>
          <w:i/>
          <w:iCs/>
          <w:sz w:val="21"/>
          <w:szCs w:val="24"/>
          <w:vertAlign w:val="subscript"/>
        </w:rPr>
        <w:t>p</w:t>
      </w:r>
      <w:r w:rsidRPr="00FD50F6">
        <w:rPr>
          <w:rFonts w:ascii="Times New Roman" w:hAnsi="Times New Roman" w:cs="Times New Roman" w:hint="eastAsia"/>
          <w:i/>
          <w:iCs/>
          <w:sz w:val="21"/>
          <w:szCs w:val="24"/>
          <w:vertAlign w:val="subscript"/>
        </w:rPr>
        <w:t>r</w:t>
      </w:r>
      <w:r>
        <w:rPr>
          <w:rFonts w:ascii="Times New Roman" w:hAnsi="Times New Roman" w:cs="Times New Roman" w:hint="eastAsia"/>
          <w:i/>
          <w:iCs/>
          <w:sz w:val="21"/>
          <w:szCs w:val="24"/>
        </w:rPr>
        <w:t>—</w:t>
      </w:r>
      <w:r w:rsidRPr="00FD50F6">
        <w:rPr>
          <w:rFonts w:ascii="Times New Roman" w:hAnsi="Times New Roman" w:cs="Times New Roman" w:hint="eastAsia"/>
          <w:sz w:val="21"/>
          <w:szCs w:val="24"/>
        </w:rPr>
        <w:t>换入设施平均饱和度；</w:t>
      </w:r>
    </w:p>
    <w:p w14:paraId="68432011" w14:textId="77777777" w:rsidR="00226CEC" w:rsidRPr="00FD50F6" w:rsidRDefault="00226CEC" w:rsidP="00226CEC">
      <w:pPr>
        <w:outlineLvl w:val="2"/>
        <w:rPr>
          <w:rFonts w:ascii="Times New Roman" w:hAnsi="Times New Roman" w:cs="Times New Roman"/>
          <w:bCs/>
          <w:szCs w:val="32"/>
        </w:rPr>
      </w:pPr>
      <w:r w:rsidRPr="00FD50F6">
        <w:rPr>
          <w:rFonts w:ascii="Times New Roman" w:hAnsi="Times New Roman" w:cs="Times New Roman" w:hint="eastAsia"/>
          <w:bCs/>
          <w:szCs w:val="32"/>
        </w:rPr>
        <w:t>H</w:t>
      </w:r>
      <w:r w:rsidRPr="00FD50F6">
        <w:rPr>
          <w:rFonts w:ascii="Times New Roman" w:hAnsi="Times New Roman" w:cs="Times New Roman"/>
          <w:bCs/>
          <w:szCs w:val="32"/>
        </w:rPr>
        <w:t>.0.4</w:t>
      </w:r>
      <w:r w:rsidRPr="00FD50F6">
        <w:rPr>
          <w:rFonts w:ascii="Times New Roman" w:hAnsi="Times New Roman" w:cs="Times New Roman" w:hint="eastAsia"/>
          <w:bCs/>
          <w:szCs w:val="32"/>
        </w:rPr>
        <w:t>换乘车站换乘设施端部前的最大拥堵人数应按下列公式计算：</w:t>
      </w:r>
    </w:p>
    <w:p w14:paraId="72322CAD" w14:textId="2BB86B90" w:rsidR="00226CEC" w:rsidRPr="00FD50F6" w:rsidRDefault="00226CEC" w:rsidP="00226CEC">
      <w:pPr>
        <w:adjustRightInd w:val="0"/>
        <w:snapToGrid w:val="0"/>
        <w:jc w:val="center"/>
        <w:rPr>
          <w:rFonts w:ascii="Times New Roman" w:hAnsi="Times New Roman" w:cs="Times New Roman"/>
          <w:szCs w:val="24"/>
        </w:rPr>
      </w:pPr>
      <m:oMath>
        <m:r>
          <w:rPr>
            <w:rFonts w:ascii="Cambria Math" w:hAnsi="Cambria Math" w:cs="Times New Roman"/>
            <w:szCs w:val="24"/>
          </w:rPr>
          <m:t>D</m:t>
        </m:r>
        <m:r>
          <w:rPr>
            <w:rFonts w:ascii="Cambria Math" w:hAnsi="Times New Roman" w:cs="Times New Roman"/>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h</m:t>
            </m:r>
          </m:sub>
        </m:sSub>
        <m:r>
          <w:rPr>
            <w:rFonts w:ascii="Cambria Math" w:hAnsi="Cambria Math" w:cs="Times New Roman"/>
            <w:szCs w:val="24"/>
          </w:rPr>
          <m:t>×α×β)/</m:t>
        </m:r>
        <m:r>
          <w:rPr>
            <w:rFonts w:ascii="Cambria Math" w:hAnsi="Times New Roman" w:cs="Times New Roman" w:hint="eastAsia"/>
            <w:szCs w:val="24"/>
          </w:rPr>
          <m:t>n</m:t>
        </m:r>
        <m:r>
          <w:rPr>
            <w:rFonts w:ascii="Cambria Math" w:eastAsia="微软雅黑" w:hAnsi="Cambria Math" w:cs="微软雅黑" w:hint="eastAsia"/>
            <w:szCs w:val="24"/>
          </w:rPr>
          <m:t>-</m:t>
        </m:r>
        <m:r>
          <w:rPr>
            <w:rFonts w:ascii="Cambria Math" w:hAnsi="Cambria Math" w:cs="Times New Roman"/>
            <w:szCs w:val="24"/>
          </w:rPr>
          <m:t>(</m:t>
        </m:r>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m</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hint="eastAsia"/>
            <w:szCs w:val="24"/>
          </w:rPr>
          <m:t>）</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 xml:space="preserve"> </m:t>
        </m:r>
      </m:oMath>
      <w:r w:rsidRPr="00FD50F6">
        <w:rPr>
          <w:rFonts w:ascii="Times New Roman" w:hAnsi="Times New Roman" w:cs="Times New Roman" w:hint="eastAsia"/>
          <w:szCs w:val="24"/>
        </w:rPr>
        <w:t xml:space="preserve"> </w:t>
      </w:r>
      <w:r w:rsidRPr="00FD50F6">
        <w:rPr>
          <w:rFonts w:ascii="Times New Roman" w:hAnsi="Times New Roman" w:cs="Times New Roman"/>
          <w:szCs w:val="24"/>
        </w:rPr>
        <w:t xml:space="preserve">   (</w:t>
      </w:r>
      <w:r w:rsidRPr="00FD50F6">
        <w:rPr>
          <w:rFonts w:ascii="Times New Roman" w:hAnsi="Times New Roman" w:cs="Times New Roman" w:hint="eastAsia"/>
          <w:sz w:val="21"/>
          <w:szCs w:val="24"/>
        </w:rPr>
        <w:t>H</w:t>
      </w:r>
      <w:r w:rsidRPr="00FD50F6">
        <w:rPr>
          <w:rFonts w:ascii="Times New Roman" w:hAnsi="Times New Roman" w:cs="Times New Roman"/>
          <w:sz w:val="21"/>
          <w:szCs w:val="24"/>
        </w:rPr>
        <w:t>.0.4-1)</w:t>
      </w:r>
    </w:p>
    <w:bookmarkStart w:id="1413" w:name="_Hlk39144309"/>
    <w:p w14:paraId="09E8D665" w14:textId="483B561E" w:rsidR="00226CEC" w:rsidRPr="00FD50F6" w:rsidRDefault="00BF2787" w:rsidP="00226CEC">
      <w:pPr>
        <w:adjustRightInd w:val="0"/>
        <w:snapToGrid w:val="0"/>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z</m:t>
            </m:r>
          </m:sub>
        </m:sSub>
        <m:r>
          <w:rPr>
            <w:rFonts w:ascii="Cambria Math" w:eastAsia="微软雅黑" w:hAnsi="Cambria Math" w:cs="微软雅黑"/>
            <w:szCs w:val="24"/>
          </w:rPr>
          <m:t xml:space="preserve"> </m:t>
        </m:r>
        <m:sSub>
          <m:sSubPr>
            <m:ctrlPr>
              <w:rPr>
                <w:rFonts w:ascii="Cambria Math" w:eastAsia="微软雅黑" w:hAnsi="Cambria Math" w:cs="微软雅黑"/>
                <w:i/>
                <w:szCs w:val="24"/>
              </w:rPr>
            </m:ctrlPr>
          </m:sSubPr>
          <m:e>
            <m:r>
              <w:rPr>
                <w:rFonts w:ascii="Cambria Math" w:eastAsia="微软雅黑" w:hAnsi="Cambria Math" w:cs="微软雅黑"/>
                <w:szCs w:val="24"/>
              </w:rPr>
              <m:t>N</m:t>
            </m:r>
          </m:e>
          <m:sub>
            <m:r>
              <w:rPr>
                <w:rFonts w:ascii="Cambria Math" w:eastAsia="微软雅黑" w:hAnsi="Cambria Math" w:cs="微软雅黑"/>
                <w:szCs w:val="24"/>
              </w:rPr>
              <m:t>z1</m:t>
            </m:r>
          </m:sub>
        </m:sSub>
        <m:r>
          <w:rPr>
            <w:rFonts w:ascii="Cambria Math" w:eastAsia="微软雅黑" w:hAnsi="Cambria Math" w:cs="微软雅黑" w:hint="eastAsia"/>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l</m:t>
            </m:r>
          </m:sub>
        </m:sSub>
        <m:r>
          <w:rPr>
            <w:rFonts w:ascii="Cambria Math" w:eastAsia="微软雅黑" w:hAnsi="Cambria Math" w:cs="微软雅黑"/>
            <w:szCs w:val="24"/>
          </w:rPr>
          <m:t xml:space="preserve"> </m:t>
        </m:r>
        <m:sSub>
          <m:sSubPr>
            <m:ctrlPr>
              <w:rPr>
                <w:rFonts w:ascii="Cambria Math" w:eastAsia="微软雅黑" w:hAnsi="Cambria Math" w:cs="微软雅黑"/>
                <w:i/>
                <w:szCs w:val="24"/>
              </w:rPr>
            </m:ctrlPr>
          </m:sSubPr>
          <m:e>
            <m:r>
              <w:rPr>
                <w:rFonts w:ascii="Cambria Math" w:eastAsia="微软雅黑" w:hAnsi="Cambria Math" w:cs="微软雅黑"/>
                <w:szCs w:val="24"/>
              </w:rPr>
              <m:t>B</m:t>
            </m:r>
          </m:e>
          <m:sub>
            <m:r>
              <w:rPr>
                <w:rFonts w:ascii="Cambria Math" w:eastAsia="微软雅黑" w:hAnsi="Cambria Math" w:cs="微软雅黑"/>
                <w:szCs w:val="24"/>
              </w:rPr>
              <m:t>l1</m:t>
            </m:r>
          </m:sub>
        </m:sSub>
      </m:oMath>
      <w:r w:rsidR="00226CEC" w:rsidRPr="00FD50F6">
        <w:rPr>
          <w:rFonts w:ascii="Times New Roman" w:hAnsi="Times New Roman" w:cs="Times New Roman" w:hint="eastAsia"/>
          <w:szCs w:val="24"/>
        </w:rPr>
        <w:t xml:space="preserve"> </w:t>
      </w:r>
      <w:r w:rsidR="00226CEC" w:rsidRPr="00FD50F6">
        <w:rPr>
          <w:rFonts w:ascii="Times New Roman" w:hAnsi="Times New Roman" w:cs="Times New Roman"/>
          <w:szCs w:val="24"/>
        </w:rPr>
        <w:t xml:space="preserve">      (</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.0.4-2)</w:t>
      </w:r>
    </w:p>
    <w:bookmarkEnd w:id="1413"/>
    <w:p w14:paraId="4475A9BF" w14:textId="7FE8024A" w:rsidR="00226CEC" w:rsidRPr="00FD50F6" w:rsidRDefault="00226CEC" w:rsidP="00226CEC">
      <w:pPr>
        <w:adjustRightInd w:val="0"/>
        <w:snapToGrid w:val="0"/>
        <w:jc w:val="center"/>
        <w:rPr>
          <w:rFonts w:ascii="Times New Roman" w:hAnsi="Times New Roman" w:cs="Times New Roman"/>
          <w:sz w:val="21"/>
          <w:szCs w:val="24"/>
        </w:rPr>
      </w:pPr>
      <m:oMath>
        <m:r>
          <w:rPr>
            <w:rFonts w:ascii="Cambria Math" w:hAnsi="Cambria Math" w:cs="Times New Roman"/>
            <w:szCs w:val="24"/>
          </w:rPr>
          <m:t>β</m:t>
        </m:r>
        <m:r>
          <w:rPr>
            <w:rFonts w:ascii="Cambria Math" w:hAnsi="Times New Roman" w:cs="Times New Roman"/>
            <w:szCs w:val="24"/>
          </w:rPr>
          <m:t>=</m:t>
        </m:r>
        <m:sSub>
          <m:sSubPr>
            <m:ctrlPr>
              <w:rPr>
                <w:rFonts w:ascii="Cambria Math" w:hAnsi="Times New Roman" w:cs="Times New Roman"/>
                <w:i/>
                <w:szCs w:val="24"/>
              </w:rPr>
            </m:ctrlPr>
          </m:sSubPr>
          <m:e>
            <m:r>
              <w:rPr>
                <w:rFonts w:ascii="Cambria Math" w:hAnsi="Times New Roman" w:cs="Times New Roman"/>
                <w:szCs w:val="24"/>
              </w:rPr>
              <m:t>W</m:t>
            </m:r>
          </m:e>
          <m:sub>
            <m:r>
              <w:rPr>
                <w:rFonts w:ascii="Cambria Math" w:hAnsi="Times New Roman"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m:t>
            </m:r>
          </m:sub>
        </m:sSub>
        <m:r>
          <w:rPr>
            <w:rFonts w:ascii="Cambria Math" w:hAnsi="Cambria Math" w:cs="Times New Roman"/>
            <w:szCs w:val="24"/>
          </w:rPr>
          <m:t xml:space="preserve"> </m:t>
        </m:r>
      </m:oMath>
      <w:r w:rsidRPr="00FD50F6">
        <w:rPr>
          <w:rFonts w:ascii="Times New Roman" w:hAnsi="Times New Roman" w:cs="Times New Roman" w:hint="eastAsia"/>
          <w:szCs w:val="24"/>
        </w:rPr>
        <w:t xml:space="preserve"> </w:t>
      </w:r>
      <w:r w:rsidRPr="00FD50F6">
        <w:rPr>
          <w:rFonts w:ascii="Times New Roman" w:hAnsi="Times New Roman" w:cs="Times New Roman"/>
          <w:szCs w:val="24"/>
        </w:rPr>
        <w:t xml:space="preserve">            </w:t>
      </w:r>
      <w:r>
        <w:rPr>
          <w:rFonts w:ascii="Times New Roman" w:hAnsi="Times New Roman" w:cs="Times New Roman"/>
          <w:szCs w:val="24"/>
        </w:rPr>
        <w:t xml:space="preserve">     </w:t>
      </w:r>
      <w:r w:rsidRPr="00FD50F6">
        <w:rPr>
          <w:rFonts w:ascii="Times New Roman" w:hAnsi="Times New Roman" w:cs="Times New Roman"/>
          <w:szCs w:val="24"/>
        </w:rPr>
        <w:t xml:space="preserve">    (</w:t>
      </w:r>
      <w:r w:rsidRPr="00FD50F6">
        <w:rPr>
          <w:rFonts w:ascii="Times New Roman" w:hAnsi="Times New Roman" w:cs="Times New Roman" w:hint="eastAsia"/>
          <w:sz w:val="21"/>
          <w:szCs w:val="24"/>
        </w:rPr>
        <w:t>H</w:t>
      </w:r>
      <w:r w:rsidRPr="00FD50F6">
        <w:rPr>
          <w:rFonts w:ascii="Times New Roman" w:hAnsi="Times New Roman" w:cs="Times New Roman"/>
          <w:sz w:val="21"/>
          <w:szCs w:val="24"/>
        </w:rPr>
        <w:t>.0.4-3)</w:t>
      </w:r>
    </w:p>
    <w:p w14:paraId="70FDE20B" w14:textId="77777777" w:rsidR="00226CEC" w:rsidRPr="00FD50F6" w:rsidRDefault="00226CEC" w:rsidP="00226CEC">
      <w:pPr>
        <w:adjustRightInd w:val="0"/>
        <w:snapToGrid w:val="0"/>
        <w:jc w:val="center"/>
        <w:rPr>
          <w:rFonts w:ascii="Times New Roman" w:hAnsi="Times New Roman" w:cs="Times New Roman"/>
          <w:sz w:val="21"/>
          <w:szCs w:val="24"/>
        </w:rPr>
      </w:pPr>
    </w:p>
    <w:p w14:paraId="56D5C225" w14:textId="77777777"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式中：</w:t>
      </w:r>
      <w:r w:rsidRPr="00FD50F6">
        <w:rPr>
          <w:rFonts w:ascii="Times New Roman" w:hAnsi="Times New Roman" w:cs="Times New Roman" w:hint="eastAsia"/>
          <w:sz w:val="21"/>
          <w:szCs w:val="24"/>
        </w:rPr>
        <w:t xml:space="preserve"> </w:t>
      </w:r>
      <w:r w:rsidRPr="00FD50F6">
        <w:rPr>
          <w:rFonts w:ascii="Times New Roman" w:hAnsi="Times New Roman" w:cs="Times New Roman"/>
          <w:sz w:val="21"/>
          <w:szCs w:val="24"/>
        </w:rPr>
        <w:tab/>
      </w:r>
      <w:r w:rsidRPr="00FD50F6">
        <w:rPr>
          <w:rFonts w:ascii="Times New Roman" w:hAnsi="Times New Roman" w:cs="Times New Roman"/>
          <w:i/>
          <w:iCs/>
          <w:sz w:val="21"/>
          <w:szCs w:val="24"/>
        </w:rPr>
        <w:t>D</w:t>
      </w:r>
      <w:r w:rsidRPr="00FD50F6">
        <w:rPr>
          <w:rFonts w:ascii="Times New Roman" w:hAnsi="Times New Roman" w:cs="Times New Roman"/>
          <w:sz w:val="21"/>
          <w:szCs w:val="24"/>
        </w:rPr>
        <w:t>—</w:t>
      </w:r>
      <w:r w:rsidRPr="00FD50F6">
        <w:rPr>
          <w:rFonts w:ascii="Times New Roman" w:hAnsi="Times New Roman" w:cs="Times New Roman" w:hint="eastAsia"/>
          <w:sz w:val="21"/>
          <w:szCs w:val="24"/>
        </w:rPr>
        <w:t>改组换乘设施端部前的最大拥堵人数</w:t>
      </w:r>
      <w:r w:rsidRPr="00FD50F6">
        <w:rPr>
          <w:rFonts w:ascii="Times New Roman" w:hAnsi="Times New Roman" w:cs="Times New Roman"/>
          <w:sz w:val="21"/>
          <w:szCs w:val="24"/>
        </w:rPr>
        <w:t>；</w:t>
      </w:r>
    </w:p>
    <w:p w14:paraId="6185F2E9" w14:textId="38183EFA"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sidRPr="00FD50F6">
        <w:rPr>
          <w:rFonts w:ascii="Times New Roman" w:hAnsi="Times New Roman" w:cs="Times New Roman"/>
          <w:sz w:val="21"/>
          <w:szCs w:val="24"/>
        </w:rPr>
        <w:tab/>
      </w:r>
      <w:r w:rsidRPr="00FD50F6">
        <w:rPr>
          <w:rFonts w:ascii="Times New Roman" w:hAnsi="Times New Roman" w:cs="Times New Roman"/>
          <w:i/>
          <w:iCs/>
          <w:sz w:val="21"/>
          <w:szCs w:val="24"/>
        </w:rPr>
        <w:t>Q</w:t>
      </w:r>
      <w:r w:rsidRPr="00FD50F6">
        <w:rPr>
          <w:rFonts w:ascii="Times New Roman" w:hAnsi="Times New Roman" w:cs="Times New Roman" w:hint="eastAsia"/>
          <w:i/>
          <w:iCs/>
          <w:sz w:val="21"/>
          <w:szCs w:val="24"/>
          <w:vertAlign w:val="subscript"/>
        </w:rPr>
        <w:t>h</w:t>
      </w:r>
      <w:r w:rsidRPr="00FD50F6">
        <w:rPr>
          <w:rFonts w:ascii="Times New Roman" w:hAnsi="Times New Roman" w:cs="Times New Roman"/>
          <w:sz w:val="21"/>
          <w:szCs w:val="24"/>
        </w:rPr>
        <w:t>—</w:t>
      </w:r>
      <w:r w:rsidRPr="00FD50F6">
        <w:rPr>
          <w:rFonts w:ascii="Times New Roman" w:hAnsi="Times New Roman" w:cs="Times New Roman" w:hint="eastAsia"/>
          <w:sz w:val="21"/>
          <w:szCs w:val="24"/>
        </w:rPr>
        <w:t>远期或客流控制期高峰小时换乘设施服务的客流量（人</w:t>
      </w:r>
      <w:r w:rsidR="005E0F39">
        <w:rPr>
          <w:rFonts w:ascii="Times New Roman" w:hAnsi="Times New Roman" w:cs="Times New Roman" w:hint="eastAsia"/>
          <w:sz w:val="21"/>
          <w:szCs w:val="24"/>
        </w:rPr>
        <w:t>次</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r w:rsidRPr="00FD50F6">
        <w:rPr>
          <w:rFonts w:ascii="Times New Roman" w:hAnsi="Times New Roman" w:cs="Times New Roman"/>
          <w:sz w:val="21"/>
          <w:szCs w:val="24"/>
        </w:rPr>
        <w:t>；</w:t>
      </w:r>
    </w:p>
    <w:p w14:paraId="6AC4BCF1" w14:textId="77777777" w:rsidR="00226CEC" w:rsidRPr="00FD50F6" w:rsidRDefault="00226CEC" w:rsidP="00226CEC">
      <w:pPr>
        <w:adjustRightInd w:val="0"/>
        <w:snapToGrid w:val="0"/>
        <w:rPr>
          <w:rFonts w:ascii="Times New Roman" w:hAnsi="Times New Roman" w:cs="Times New Roman"/>
          <w:sz w:val="21"/>
          <w:szCs w:val="24"/>
        </w:rPr>
      </w:pPr>
      <w:bookmarkStart w:id="1414" w:name="_Hlk39164096"/>
      <w:r w:rsidRPr="00FD50F6">
        <w:rPr>
          <w:rFonts w:ascii="Times New Roman" w:hAnsi="Times New Roman" w:cs="Times New Roman"/>
          <w:sz w:val="21"/>
          <w:szCs w:val="24"/>
        </w:rPr>
        <w:tab/>
      </w:r>
      <w:r w:rsidRPr="00FD50F6">
        <w:rPr>
          <w:rFonts w:ascii="Times New Roman" w:hAnsi="Times New Roman" w:cs="Times New Roman"/>
          <w:sz w:val="21"/>
          <w:szCs w:val="24"/>
        </w:rPr>
        <w:tab/>
      </w:r>
      <w:r w:rsidRPr="00FD50F6">
        <w:rPr>
          <w:rFonts w:ascii="Times New Roman" w:hAnsi="Times New Roman" w:cs="Times New Roman" w:hint="eastAsia"/>
          <w:i/>
          <w:iCs/>
          <w:sz w:val="21"/>
          <w:szCs w:val="24"/>
        </w:rPr>
        <w:t>α</w:t>
      </w:r>
      <w:r w:rsidRPr="00FD50F6">
        <w:rPr>
          <w:rFonts w:ascii="Times New Roman" w:hAnsi="Times New Roman" w:cs="Times New Roman"/>
          <w:sz w:val="21"/>
          <w:szCs w:val="24"/>
        </w:rPr>
        <w:t>—</w:t>
      </w:r>
      <w:r w:rsidRPr="00FD50F6">
        <w:rPr>
          <w:rFonts w:ascii="Times New Roman" w:hAnsi="Times New Roman" w:cs="Times New Roman" w:hint="eastAsia"/>
          <w:sz w:val="21"/>
          <w:szCs w:val="24"/>
        </w:rPr>
        <w:t>超高峰系数；</w:t>
      </w:r>
    </w:p>
    <w:bookmarkEnd w:id="1414"/>
    <w:p w14:paraId="189163C3" w14:textId="77777777" w:rsidR="00226CEC" w:rsidRPr="00FD50F6" w:rsidRDefault="00226CEC" w:rsidP="00226CEC">
      <w:pPr>
        <w:adjustRightInd w:val="0"/>
        <w:snapToGrid w:val="0"/>
        <w:rPr>
          <w:rFonts w:ascii="Times New Roman" w:hAnsi="Times New Roman" w:cs="Times New Roman"/>
          <w:i/>
          <w:iCs/>
          <w:sz w:val="21"/>
          <w:szCs w:val="24"/>
        </w:rPr>
      </w:pPr>
      <w:r w:rsidRPr="00FD50F6">
        <w:rPr>
          <w:rFonts w:ascii="Times New Roman" w:hAnsi="Times New Roman" w:cs="Times New Roman"/>
          <w:sz w:val="21"/>
          <w:szCs w:val="24"/>
        </w:rPr>
        <w:tab/>
      </w:r>
      <w:r w:rsidRPr="00FD50F6">
        <w:rPr>
          <w:rFonts w:ascii="Times New Roman" w:hAnsi="Times New Roman" w:cs="Times New Roman"/>
          <w:sz w:val="21"/>
          <w:szCs w:val="24"/>
        </w:rPr>
        <w:tab/>
      </w:r>
      <w:r w:rsidRPr="00FD50F6">
        <w:rPr>
          <w:rFonts w:ascii="Times New Roman" w:hAnsi="Times New Roman" w:cs="Times New Roman"/>
          <w:i/>
          <w:iCs/>
          <w:sz w:val="21"/>
          <w:szCs w:val="24"/>
        </w:rPr>
        <w:t>β</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该组换乘设施通行能力和全部换乘设施通行能力的比值；</w:t>
      </w:r>
    </w:p>
    <w:p w14:paraId="1CACED35" w14:textId="77777777"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sz w:val="21"/>
          <w:szCs w:val="24"/>
        </w:rPr>
        <w:tab/>
      </w:r>
      <w:r w:rsidRPr="00FD50F6">
        <w:rPr>
          <w:rFonts w:ascii="Times New Roman" w:hAnsi="Times New Roman" w:cs="Times New Roman"/>
          <w:sz w:val="21"/>
          <w:szCs w:val="24"/>
        </w:rPr>
        <w:tab/>
      </w:r>
      <w:r w:rsidRPr="00FD50F6">
        <w:rPr>
          <w:rFonts w:ascii="Times New Roman" w:hAnsi="Times New Roman" w:cs="Times New Roman" w:hint="eastAsia"/>
          <w:i/>
          <w:iCs/>
          <w:sz w:val="21"/>
          <w:szCs w:val="24"/>
        </w:rPr>
        <w:t>n</w:t>
      </w:r>
      <w:r w:rsidRPr="00FD50F6">
        <w:rPr>
          <w:rFonts w:ascii="Times New Roman" w:hAnsi="Times New Roman" w:cs="Times New Roman"/>
          <w:sz w:val="21"/>
          <w:szCs w:val="24"/>
        </w:rPr>
        <w:t xml:space="preserve"> —</w:t>
      </w:r>
      <w:r w:rsidRPr="00FD50F6">
        <w:rPr>
          <w:rFonts w:ascii="Times New Roman" w:hAnsi="Times New Roman" w:cs="Times New Roman" w:hint="eastAsia"/>
          <w:sz w:val="21"/>
          <w:szCs w:val="24"/>
        </w:rPr>
        <w:t>该组换乘设施端部到相对最远的列车车门间的距离（</w:t>
      </w:r>
      <w:r w:rsidRPr="00FD50F6">
        <w:rPr>
          <w:rFonts w:ascii="Times New Roman" w:hAnsi="Times New Roman" w:cs="Times New Roman" w:hint="eastAsia"/>
          <w:sz w:val="21"/>
          <w:szCs w:val="24"/>
        </w:rPr>
        <w:t>m</w:t>
      </w:r>
      <w:r w:rsidRPr="00FD50F6">
        <w:rPr>
          <w:rFonts w:ascii="Times New Roman" w:hAnsi="Times New Roman" w:cs="Times New Roman" w:hint="eastAsia"/>
          <w:sz w:val="21"/>
          <w:szCs w:val="24"/>
        </w:rPr>
        <w:t>）；</w:t>
      </w:r>
    </w:p>
    <w:p w14:paraId="08236E0B" w14:textId="77777777"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hint="eastAsia"/>
          <w:i/>
          <w:iCs/>
          <w:sz w:val="21"/>
          <w:szCs w:val="24"/>
        </w:rPr>
        <w:tab/>
      </w:r>
      <w:r w:rsidRPr="00FD50F6">
        <w:rPr>
          <w:rFonts w:ascii="Times New Roman" w:hAnsi="Times New Roman" w:cs="Times New Roman" w:hint="eastAsia"/>
          <w:i/>
          <w:iCs/>
          <w:sz w:val="21"/>
          <w:szCs w:val="24"/>
        </w:rPr>
        <w:tab/>
      </w:r>
      <w:r w:rsidRPr="00FD50F6">
        <w:rPr>
          <w:rFonts w:ascii="Times New Roman" w:hAnsi="Times New Roman" w:cs="Times New Roman"/>
          <w:i/>
          <w:iCs/>
          <w:sz w:val="21"/>
          <w:szCs w:val="24"/>
        </w:rPr>
        <w:t>L</w:t>
      </w:r>
      <w:r w:rsidRPr="00FD50F6">
        <w:rPr>
          <w:rFonts w:ascii="Times New Roman" w:hAnsi="Times New Roman" w:cs="Times New Roman" w:hint="eastAsia"/>
          <w:i/>
          <w:iCs/>
          <w:sz w:val="21"/>
          <w:szCs w:val="24"/>
          <w:vertAlign w:val="subscript"/>
        </w:rPr>
        <w:t>m</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该组换乘设施端部到相对最远的列车车门间的距离（</w:t>
      </w:r>
      <w:r w:rsidRPr="00FD50F6">
        <w:rPr>
          <w:rFonts w:ascii="Times New Roman" w:hAnsi="Times New Roman" w:cs="Times New Roman" w:hint="eastAsia"/>
          <w:sz w:val="21"/>
          <w:szCs w:val="24"/>
        </w:rPr>
        <w:t>m</w:t>
      </w:r>
      <w:r w:rsidRPr="00FD50F6">
        <w:rPr>
          <w:rFonts w:ascii="Times New Roman" w:hAnsi="Times New Roman" w:cs="Times New Roman" w:hint="eastAsia"/>
          <w:sz w:val="21"/>
          <w:szCs w:val="24"/>
        </w:rPr>
        <w:t>）；</w:t>
      </w:r>
    </w:p>
    <w:p w14:paraId="52414EF2" w14:textId="77777777"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hint="eastAsia"/>
          <w:i/>
          <w:iCs/>
          <w:sz w:val="21"/>
          <w:szCs w:val="24"/>
        </w:rPr>
        <w:tab/>
      </w:r>
      <w:r w:rsidRPr="00FD50F6">
        <w:rPr>
          <w:rFonts w:ascii="Times New Roman" w:hAnsi="Times New Roman" w:cs="Times New Roman" w:hint="eastAsia"/>
          <w:i/>
          <w:iCs/>
          <w:sz w:val="21"/>
          <w:szCs w:val="24"/>
        </w:rPr>
        <w:tab/>
      </w:r>
      <w:r w:rsidRPr="00FD50F6">
        <w:rPr>
          <w:rFonts w:ascii="Times New Roman" w:hAnsi="Times New Roman" w:cs="Times New Roman"/>
          <w:i/>
          <w:iCs/>
          <w:sz w:val="21"/>
          <w:szCs w:val="24"/>
        </w:rPr>
        <w:t>L</w:t>
      </w:r>
      <w:r w:rsidRPr="00FD50F6">
        <w:rPr>
          <w:rFonts w:ascii="Times New Roman" w:hAnsi="Times New Roman" w:cs="Times New Roman" w:hint="eastAsia"/>
          <w:i/>
          <w:iCs/>
          <w:sz w:val="21"/>
          <w:szCs w:val="24"/>
          <w:vertAlign w:val="subscript"/>
        </w:rPr>
        <w:t>n</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该组换乘设施端部到相对最近的列车车门间的距离（</w:t>
      </w:r>
      <w:r w:rsidRPr="00FD50F6">
        <w:rPr>
          <w:rFonts w:ascii="Times New Roman" w:hAnsi="Times New Roman" w:cs="Times New Roman" w:hint="eastAsia"/>
          <w:sz w:val="21"/>
          <w:szCs w:val="24"/>
        </w:rPr>
        <w:t>m</w:t>
      </w:r>
      <w:r w:rsidRPr="00FD50F6">
        <w:rPr>
          <w:rFonts w:ascii="Times New Roman" w:hAnsi="Times New Roman" w:cs="Times New Roman" w:hint="eastAsia"/>
          <w:sz w:val="21"/>
          <w:szCs w:val="24"/>
        </w:rPr>
        <w:t>）；</w:t>
      </w:r>
    </w:p>
    <w:p w14:paraId="2E7E8789" w14:textId="13A6D104" w:rsidR="00226CEC" w:rsidRPr="00FD50F6" w:rsidRDefault="00226CEC" w:rsidP="00226CEC">
      <w:pPr>
        <w:adjustRightInd w:val="0"/>
        <w:snapToGrid w:val="0"/>
        <w:ind w:left="420" w:firstLine="420"/>
        <w:rPr>
          <w:rFonts w:ascii="Times New Roman" w:hAnsi="Times New Roman" w:cs="Times New Roman"/>
          <w:sz w:val="21"/>
          <w:szCs w:val="24"/>
        </w:rPr>
      </w:pPr>
      <w:bookmarkStart w:id="1415" w:name="_Hlk39140955"/>
      <w:r w:rsidRPr="00FD50F6">
        <w:rPr>
          <w:rFonts w:ascii="Times New Roman" w:hAnsi="Times New Roman" w:cs="Times New Roman"/>
          <w:i/>
          <w:iCs/>
          <w:sz w:val="21"/>
          <w:szCs w:val="24"/>
        </w:rPr>
        <w:t>W</w:t>
      </w:r>
      <w:r>
        <w:rPr>
          <w:rFonts w:ascii="Times New Roman" w:hAnsi="Times New Roman" w:cs="Times New Roman"/>
          <w:i/>
          <w:iCs/>
          <w:sz w:val="21"/>
          <w:szCs w:val="24"/>
          <w:vertAlign w:val="subscript"/>
        </w:rPr>
        <w:t>1</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该该组换乘设施的通行能力（人</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bookmarkEnd w:id="1415"/>
    <w:p w14:paraId="472262A5" w14:textId="77777777"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i/>
          <w:iCs/>
          <w:sz w:val="21"/>
          <w:szCs w:val="24"/>
        </w:rPr>
        <w:t>W</w:t>
      </w:r>
      <w:r w:rsidRPr="00FD50F6">
        <w:rPr>
          <w:rFonts w:ascii="Times New Roman" w:hAnsi="Times New Roman" w:cs="Times New Roman" w:hint="eastAsia"/>
          <w:i/>
          <w:iCs/>
          <w:sz w:val="21"/>
          <w:szCs w:val="24"/>
          <w:vertAlign w:val="subscript"/>
        </w:rPr>
        <w:t>i</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全部换乘设施的通行能力（人</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p w14:paraId="0D2F1F8C" w14:textId="3DE873BF"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i/>
          <w:iCs/>
          <w:sz w:val="21"/>
          <w:szCs w:val="24"/>
        </w:rPr>
        <w:t>V</w:t>
      </w:r>
      <w:r w:rsidRPr="00FD50F6">
        <w:rPr>
          <w:rFonts w:ascii="Times New Roman" w:hAnsi="Times New Roman" w:cs="Times New Roman" w:hint="eastAsia"/>
          <w:i/>
          <w:iCs/>
          <w:sz w:val="21"/>
          <w:szCs w:val="24"/>
          <w:vertAlign w:val="subscript"/>
        </w:rPr>
        <w:t>r</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乘客在站台的平均步行速度（</w:t>
      </w:r>
      <w:r w:rsidRPr="00FD50F6">
        <w:rPr>
          <w:rFonts w:ascii="Times New Roman" w:hAnsi="Times New Roman" w:cs="Times New Roman" w:hint="eastAsia"/>
          <w:sz w:val="21"/>
          <w:szCs w:val="24"/>
        </w:rPr>
        <w:t>60m/min</w:t>
      </w:r>
      <w:r w:rsidRPr="00FD50F6">
        <w:rPr>
          <w:rFonts w:ascii="Times New Roman" w:hAnsi="Times New Roman" w:cs="Times New Roman" w:hint="eastAsia"/>
          <w:sz w:val="21"/>
          <w:szCs w:val="24"/>
        </w:rPr>
        <w:t>）；</w:t>
      </w:r>
    </w:p>
    <w:p w14:paraId="63D9FBE6" w14:textId="77777777" w:rsidR="00226CEC" w:rsidRPr="00FD50F6" w:rsidRDefault="00226CEC" w:rsidP="00226CEC">
      <w:pPr>
        <w:adjustRightInd w:val="0"/>
        <w:snapToGrid w:val="0"/>
        <w:ind w:left="420" w:firstLine="420"/>
        <w:rPr>
          <w:rFonts w:ascii="Times New Roman" w:hAnsi="Times New Roman" w:cs="Times New Roman"/>
          <w:sz w:val="21"/>
          <w:szCs w:val="24"/>
        </w:rPr>
      </w:pPr>
      <w:bookmarkStart w:id="1416" w:name="_Hlk39143959"/>
      <w:r w:rsidRPr="00FD50F6">
        <w:rPr>
          <w:rFonts w:ascii="Times New Roman" w:hAnsi="Times New Roman" w:cs="Times New Roman"/>
          <w:i/>
          <w:iCs/>
          <w:sz w:val="21"/>
          <w:szCs w:val="24"/>
        </w:rPr>
        <w:t>A</w:t>
      </w:r>
      <w:r w:rsidRPr="00FD50F6">
        <w:rPr>
          <w:rFonts w:ascii="Times New Roman" w:hAnsi="Times New Roman" w:cs="Times New Roman" w:hint="eastAsia"/>
          <w:i/>
          <w:iCs/>
          <w:sz w:val="21"/>
          <w:szCs w:val="24"/>
          <w:vertAlign w:val="subscript"/>
        </w:rPr>
        <w:t>z</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自动扶梯的通行能力（人</w:t>
      </w:r>
      <w:r w:rsidRPr="00FD50F6">
        <w:rPr>
          <w:rFonts w:ascii="Times New Roman" w:hAnsi="Times New Roman" w:cs="Times New Roman" w:hint="eastAsia"/>
          <w:sz w:val="21"/>
          <w:szCs w:val="24"/>
        </w:rPr>
        <w:t>/h</w:t>
      </w:r>
      <w:r w:rsidRPr="00FD50F6">
        <w:rPr>
          <w:rFonts w:ascii="Times New Roman" w:hAnsi="Times New Roman" w:cs="Times New Roman" w:hint="eastAsia"/>
          <w:sz w:val="21"/>
          <w:szCs w:val="24"/>
        </w:rPr>
        <w:t>）；</w:t>
      </w:r>
    </w:p>
    <w:p w14:paraId="3CA18FAE" w14:textId="279116B7" w:rsidR="00226CEC" w:rsidRPr="00FD50F6" w:rsidRDefault="00226CEC" w:rsidP="00226CEC">
      <w:pPr>
        <w:adjustRightInd w:val="0"/>
        <w:snapToGrid w:val="0"/>
        <w:ind w:left="420" w:firstLine="420"/>
        <w:rPr>
          <w:rFonts w:ascii="Times New Roman" w:hAnsi="Times New Roman" w:cs="Times New Roman"/>
          <w:sz w:val="21"/>
          <w:szCs w:val="24"/>
        </w:rPr>
      </w:pPr>
      <w:r>
        <w:rPr>
          <w:rFonts w:ascii="Times New Roman" w:hAnsi="Times New Roman" w:cs="Times New Roman"/>
          <w:i/>
          <w:iCs/>
          <w:sz w:val="21"/>
          <w:szCs w:val="24"/>
        </w:rPr>
        <w:t>N</w:t>
      </w:r>
      <w:r w:rsidRPr="00FD50F6">
        <w:rPr>
          <w:rFonts w:ascii="Times New Roman" w:hAnsi="Times New Roman" w:cs="Times New Roman" w:hint="eastAsia"/>
          <w:i/>
          <w:iCs/>
          <w:sz w:val="21"/>
          <w:szCs w:val="24"/>
          <w:vertAlign w:val="subscript"/>
        </w:rPr>
        <w:t>z</w:t>
      </w:r>
      <w:r w:rsidRPr="005E0F39">
        <w:rPr>
          <w:rFonts w:ascii="Times New Roman" w:hAnsi="Times New Roman" w:cs="Times New Roman"/>
          <w:sz w:val="21"/>
          <w:szCs w:val="24"/>
          <w:vertAlign w:val="subscript"/>
        </w:rPr>
        <w:t>1</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该组自动扶梯数量；</w:t>
      </w:r>
    </w:p>
    <w:bookmarkEnd w:id="1416"/>
    <w:p w14:paraId="1D11D9FC" w14:textId="77777777"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i/>
          <w:iCs/>
          <w:sz w:val="21"/>
          <w:szCs w:val="24"/>
        </w:rPr>
        <w:t>A</w:t>
      </w:r>
      <w:r w:rsidRPr="00FD50F6">
        <w:rPr>
          <w:rFonts w:ascii="Times New Roman" w:hAnsi="Times New Roman" w:cs="Times New Roman" w:hint="eastAsia"/>
          <w:i/>
          <w:iCs/>
          <w:sz w:val="21"/>
          <w:szCs w:val="24"/>
          <w:vertAlign w:val="subscript"/>
        </w:rPr>
        <w:t>l</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人行楼梯的通行能力（人</w:t>
      </w:r>
      <w:r w:rsidRPr="00FD50F6">
        <w:rPr>
          <w:rFonts w:ascii="Times New Roman" w:hAnsi="Times New Roman" w:cs="Times New Roman" w:hint="eastAsia"/>
          <w:sz w:val="21"/>
          <w:szCs w:val="24"/>
        </w:rPr>
        <w:t>/h.</w:t>
      </w:r>
      <w:r w:rsidRPr="00FD50F6">
        <w:rPr>
          <w:rFonts w:ascii="Times New Roman" w:hAnsi="Times New Roman" w:cs="Times New Roman"/>
          <w:sz w:val="21"/>
          <w:szCs w:val="24"/>
        </w:rPr>
        <w:t>m</w:t>
      </w:r>
      <w:r w:rsidRPr="00FD50F6">
        <w:rPr>
          <w:rFonts w:ascii="Times New Roman" w:hAnsi="Times New Roman" w:cs="Times New Roman" w:hint="eastAsia"/>
          <w:sz w:val="21"/>
          <w:szCs w:val="24"/>
        </w:rPr>
        <w:t>）；</w:t>
      </w:r>
    </w:p>
    <w:p w14:paraId="50E44EDF" w14:textId="0B43EF98" w:rsidR="00226CEC" w:rsidRPr="00FD50F6" w:rsidRDefault="00226CEC" w:rsidP="00226CEC">
      <w:pPr>
        <w:adjustRightInd w:val="0"/>
        <w:snapToGrid w:val="0"/>
        <w:ind w:left="420" w:firstLine="420"/>
        <w:rPr>
          <w:rFonts w:ascii="Times New Roman" w:hAnsi="Times New Roman" w:cs="Times New Roman"/>
          <w:sz w:val="21"/>
          <w:szCs w:val="24"/>
        </w:rPr>
      </w:pPr>
      <w:r>
        <w:rPr>
          <w:rFonts w:ascii="Times New Roman" w:hAnsi="Times New Roman" w:cs="Times New Roman"/>
          <w:i/>
          <w:iCs/>
          <w:sz w:val="21"/>
          <w:szCs w:val="24"/>
        </w:rPr>
        <w:t>B</w:t>
      </w:r>
      <w:r w:rsidRPr="00FD50F6">
        <w:rPr>
          <w:rFonts w:ascii="Times New Roman" w:hAnsi="Times New Roman" w:cs="Times New Roman" w:hint="eastAsia"/>
          <w:i/>
          <w:iCs/>
          <w:sz w:val="21"/>
          <w:szCs w:val="24"/>
          <w:vertAlign w:val="subscript"/>
        </w:rPr>
        <w:t>l</w:t>
      </w:r>
      <w:r w:rsidRPr="005E0F39">
        <w:rPr>
          <w:rFonts w:ascii="Times New Roman" w:hAnsi="Times New Roman" w:cs="Times New Roman"/>
          <w:sz w:val="21"/>
          <w:szCs w:val="24"/>
          <w:vertAlign w:val="subscript"/>
        </w:rPr>
        <w:t>1</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该组人行扶梯的总宽度（</w:t>
      </w:r>
      <w:r w:rsidRPr="00FD50F6">
        <w:rPr>
          <w:rFonts w:ascii="Times New Roman" w:hAnsi="Times New Roman" w:cs="Times New Roman" w:hint="eastAsia"/>
          <w:sz w:val="21"/>
          <w:szCs w:val="24"/>
        </w:rPr>
        <w:t>m</w:t>
      </w:r>
      <w:r w:rsidRPr="00FD50F6">
        <w:rPr>
          <w:rFonts w:ascii="Times New Roman" w:hAnsi="Times New Roman" w:cs="Times New Roman" w:hint="eastAsia"/>
          <w:sz w:val="21"/>
          <w:szCs w:val="24"/>
        </w:rPr>
        <w:t>）。</w:t>
      </w:r>
    </w:p>
    <w:p w14:paraId="61B28EEF" w14:textId="6A87F69B" w:rsidR="00226CEC" w:rsidRPr="00FD50F6" w:rsidRDefault="00226CEC" w:rsidP="00226CEC">
      <w:pPr>
        <w:outlineLvl w:val="2"/>
        <w:rPr>
          <w:rFonts w:ascii="Times New Roman" w:hAnsi="Times New Roman" w:cs="Times New Roman"/>
          <w:bCs/>
          <w:szCs w:val="32"/>
        </w:rPr>
      </w:pPr>
      <w:r w:rsidRPr="00FD50F6">
        <w:rPr>
          <w:rFonts w:ascii="Times New Roman" w:hAnsi="Times New Roman" w:cs="Times New Roman" w:hint="eastAsia"/>
          <w:bCs/>
          <w:szCs w:val="32"/>
        </w:rPr>
        <w:t>H</w:t>
      </w:r>
      <w:r w:rsidRPr="00FD50F6">
        <w:rPr>
          <w:rFonts w:ascii="Times New Roman" w:hAnsi="Times New Roman" w:cs="Times New Roman"/>
          <w:bCs/>
          <w:szCs w:val="32"/>
        </w:rPr>
        <w:t>.0.5</w:t>
      </w:r>
      <w:r w:rsidRPr="00FD50F6">
        <w:rPr>
          <w:rFonts w:ascii="Times New Roman" w:hAnsi="Times New Roman" w:cs="Times New Roman" w:hint="eastAsia"/>
          <w:bCs/>
          <w:szCs w:val="32"/>
        </w:rPr>
        <w:t>换乘车站乘客的平均换乘时间应按下列公式计算</w:t>
      </w:r>
      <w:r w:rsidR="00E96E15">
        <w:rPr>
          <w:rFonts w:ascii="Times New Roman" w:hAnsi="Times New Roman" w:cs="Times New Roman" w:hint="eastAsia"/>
          <w:bCs/>
          <w:szCs w:val="32"/>
        </w:rPr>
        <w:t>，</w:t>
      </w:r>
      <w:r w:rsidR="00E96E15" w:rsidRPr="00BD4557">
        <w:rPr>
          <w:rFonts w:ascii="Times New Roman" w:hAnsi="Times New Roman" w:cs="Times New Roman" w:hint="eastAsia"/>
          <w:bCs/>
          <w:szCs w:val="32"/>
        </w:rPr>
        <w:t>且当换乘通道内设有楼梯、自动扶梯和自动人行道时，应分段计算</w:t>
      </w:r>
      <w:r w:rsidRPr="00BD4557">
        <w:rPr>
          <w:rFonts w:ascii="Times New Roman" w:hAnsi="Times New Roman" w:cs="Times New Roman" w:hint="eastAsia"/>
          <w:bCs/>
          <w:szCs w:val="32"/>
        </w:rPr>
        <w:t>：</w:t>
      </w:r>
    </w:p>
    <w:p w14:paraId="1A22636F" w14:textId="51C59586" w:rsidR="00226CEC" w:rsidRDefault="00BF2787" w:rsidP="005E0F39">
      <w:pPr>
        <w:adjustRightInd w:val="0"/>
        <w:snapToGrid w:val="0"/>
        <w:ind w:firstLineChars="650" w:firstLine="1560"/>
        <w:jc w:val="left"/>
        <w:rPr>
          <w:rFonts w:ascii="Times New Roman" w:hAnsi="Times New Roman" w:cs="Times New Roman"/>
          <w:sz w:val="21"/>
          <w:szCs w:val="24"/>
        </w:rPr>
      </w:p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s</m:t>
            </m:r>
          </m:sub>
        </m:sSub>
        <m:r>
          <w:rPr>
            <w:rFonts w:ascii="Cambria Math" w:hAnsi="Cambria Math" w:cs="Times New Roman"/>
            <w:szCs w:val="24"/>
          </w:rPr>
          <m:t>=0.5(</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s1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s2</m:t>
            </m:r>
          </m:sub>
        </m:sSub>
        <m:r>
          <w:rPr>
            <w:rFonts w:ascii="Cambria Math" w:eastAsia="微软雅黑" w:hAnsi="Cambria Math" w:cs="微软雅黑"/>
            <w:szCs w:val="24"/>
          </w:rPr>
          <m:t xml:space="preserve"> </m:t>
        </m:r>
        <m:r>
          <w:rPr>
            <w:rFonts w:ascii="Cambria Math" w:eastAsia="微软雅黑" w:hAnsi="微软雅黑" w:cs="微软雅黑"/>
            <w:szCs w:val="24"/>
          </w:rPr>
          <m:t>)</m:t>
        </m:r>
        <m:r>
          <w:rPr>
            <w:rFonts w:ascii="Cambria Math" w:eastAsia="微软雅黑" w:hAnsi="Cambria Math" w:cs="微软雅黑"/>
            <w:szCs w:val="24"/>
          </w:rPr>
          <m:t>≤</m:t>
        </m:r>
        <m:sSub>
          <m:sSubPr>
            <m:ctrlPr>
              <w:rPr>
                <w:rFonts w:ascii="Cambria Math" w:eastAsia="微软雅黑" w:hAnsi="Cambria Math" w:cs="微软雅黑"/>
                <w:i/>
                <w:szCs w:val="24"/>
              </w:rPr>
            </m:ctrlPr>
          </m:sSubPr>
          <m:e>
            <m:r>
              <w:rPr>
                <w:rFonts w:ascii="Cambria Math" w:eastAsia="微软雅黑" w:hAnsi="Cambria Math" w:cs="微软雅黑"/>
                <w:szCs w:val="24"/>
              </w:rPr>
              <m:t>T</m:t>
            </m:r>
          </m:e>
          <m:sub>
            <m:r>
              <w:rPr>
                <w:rFonts w:ascii="Cambria Math" w:eastAsia="微软雅黑" w:hAnsi="Cambria Math" w:cs="微软雅黑"/>
                <w:szCs w:val="24"/>
              </w:rPr>
              <m:t>p</m:t>
            </m:r>
          </m:sub>
        </m:sSub>
      </m:oMath>
      <w:r w:rsidR="00226CEC" w:rsidRPr="00FD50F6">
        <w:rPr>
          <w:rFonts w:ascii="Times New Roman" w:hAnsi="Times New Roman" w:cs="Times New Roman" w:hint="eastAsia"/>
          <w:szCs w:val="24"/>
        </w:rPr>
        <w:t xml:space="preserve"> </w:t>
      </w:r>
      <w:r w:rsidR="00226CEC" w:rsidRPr="00FD50F6">
        <w:rPr>
          <w:rFonts w:ascii="Times New Roman" w:hAnsi="Times New Roman" w:cs="Times New Roman"/>
          <w:szCs w:val="24"/>
        </w:rPr>
        <w:t xml:space="preserve">                   (</w:t>
      </w:r>
      <w:bookmarkStart w:id="1417" w:name="_Hlk120255553"/>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.0.5-1</w:t>
      </w:r>
      <w:bookmarkEnd w:id="1417"/>
      <w:r w:rsidR="00226CEC" w:rsidRPr="00FD50F6">
        <w:rPr>
          <w:rFonts w:ascii="Times New Roman" w:hAnsi="Times New Roman" w:cs="Times New Roman"/>
          <w:sz w:val="21"/>
          <w:szCs w:val="24"/>
        </w:rPr>
        <w:t>)</w:t>
      </w:r>
    </w:p>
    <w:p w14:paraId="344D4F6C" w14:textId="24062480" w:rsidR="00226CEC" w:rsidRDefault="00BF2787" w:rsidP="005E0F39">
      <w:pPr>
        <w:adjustRightInd w:val="0"/>
        <w:snapToGrid w:val="0"/>
        <w:jc w:val="center"/>
        <w:rPr>
          <w:rFonts w:ascii="Times New Roman" w:hAnsi="Times New Roman" w:cs="Times New Roman"/>
          <w:sz w:val="21"/>
          <w:szCs w:val="24"/>
        </w:rPr>
      </w:pPr>
      <m:oMath>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hint="eastAsia"/>
                <w:szCs w:val="24"/>
              </w:rPr>
              <m:t>s</m:t>
            </m:r>
            <m:r>
              <w:rPr>
                <w:rFonts w:ascii="Cambria Math" w:hAnsi="Cambria Math" w:cs="Times New Roman"/>
                <w:szCs w:val="24"/>
              </w:rPr>
              <m:t>1</m:t>
            </m:r>
          </m:sub>
        </m:sSub>
        <m:r>
          <w:rPr>
            <w:rFonts w:ascii="Cambria Math" w:hAnsi="Cambria Math" w:cs="Times New Roman"/>
            <w:szCs w:val="24"/>
          </w:rPr>
          <m:t>=</m:t>
        </m:r>
        <m:nary>
          <m:naryPr>
            <m:chr m:val="∑"/>
            <m:limLoc m:val="undOvr"/>
            <m:supHide m:val="1"/>
            <m:ctrlPr>
              <w:rPr>
                <w:rFonts w:ascii="Cambria Math" w:hAnsi="Cambria Math" w:cs="Times New Roman"/>
                <w:i/>
                <w:szCs w:val="24"/>
              </w:rPr>
            </m:ctrlPr>
          </m:naryPr>
          <m:sub>
            <m:r>
              <w:rPr>
                <w:rFonts w:ascii="Cambria Math" w:hAnsi="Cambria Math" w:cs="Times New Roman" w:hint="eastAsia"/>
                <w:szCs w:val="24"/>
              </w:rPr>
              <m:t>i</m:t>
            </m:r>
          </m:sub>
          <m:sup/>
          <m:e>
            <m:sSub>
              <m:sSubPr>
                <m:ctrlPr>
                  <w:rPr>
                    <w:rFonts w:ascii="Cambria Math" w:hAnsi="Cambria Math" w:cs="Times New Roman"/>
                    <w:i/>
                    <w:szCs w:val="24"/>
                  </w:rPr>
                </m:ctrlPr>
              </m:sSubPr>
              <m:e>
                <m:r>
                  <w:rPr>
                    <w:rFonts w:ascii="Cambria Math" w:hAnsi="Cambria Math" w:cs="Times New Roman" w:hint="eastAsia"/>
                    <w:szCs w:val="24"/>
                  </w:rPr>
                  <m:t>T</m:t>
                </m:r>
              </m:e>
              <m:sub>
                <m:r>
                  <w:rPr>
                    <w:rFonts w:ascii="Cambria Math" w:hAnsi="Cambria Math" w:cs="Times New Roman" w:hint="eastAsia"/>
                    <w:szCs w:val="24"/>
                  </w:rPr>
                  <m:t>i</m:t>
                </m:r>
              </m:sub>
            </m:sSub>
          </m:e>
        </m:nary>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4</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5</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w:r w:rsidR="00226CEC">
        <w:rPr>
          <w:rFonts w:ascii="Times New Roman" w:hAnsi="Times New Roman" w:cs="Times New Roman"/>
          <w:szCs w:val="24"/>
        </w:rPr>
        <w:t xml:space="preserve">           </w:t>
      </w:r>
      <w:r w:rsidR="00226CEC" w:rsidRPr="00FD50F6">
        <w:rPr>
          <w:rFonts w:ascii="Times New Roman" w:hAnsi="Times New Roman" w:cs="Times New Roman"/>
          <w:szCs w:val="24"/>
        </w:rPr>
        <w:t>(</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.0.5-</w:t>
      </w:r>
      <w:r w:rsidR="00226CEC">
        <w:rPr>
          <w:rFonts w:ascii="Times New Roman" w:hAnsi="Times New Roman" w:cs="Times New Roman"/>
          <w:sz w:val="21"/>
          <w:szCs w:val="24"/>
        </w:rPr>
        <w:t>2</w:t>
      </w:r>
      <w:r w:rsidR="00226CEC" w:rsidRPr="00FD50F6">
        <w:rPr>
          <w:rFonts w:ascii="Times New Roman" w:hAnsi="Times New Roman" w:cs="Times New Roman"/>
          <w:sz w:val="21"/>
          <w:szCs w:val="24"/>
        </w:rPr>
        <w:t>)</w:t>
      </w:r>
    </w:p>
    <w:p w14:paraId="14ECC19F" w14:textId="77777777" w:rsidR="00226CEC" w:rsidRPr="00FD50F6" w:rsidRDefault="00BF2787" w:rsidP="00226CEC">
      <w:pPr>
        <w:adjustRightInd w:val="0"/>
        <w:snapToGrid w:val="0"/>
        <w:jc w:val="center"/>
        <w:rPr>
          <w:rFonts w:ascii="Times New Roman" w:hAnsi="Times New Roman" w:cs="Times New Roman"/>
          <w:sz w:val="21"/>
          <w:szCs w:val="24"/>
        </w:rPr>
      </w:p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s2</m:t>
            </m:r>
          </m:sub>
        </m:sSub>
        <m:r>
          <w:rPr>
            <w:rFonts w:ascii="Cambria Math" w:hAnsi="Cambria Math" w:cs="Times New Roman"/>
            <w:sz w:val="21"/>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a</m:t>
            </m:r>
          </m:sub>
        </m:sSub>
        <m:r>
          <w:rPr>
            <w:rFonts w:ascii="Cambria Math" w:hAnsi="Cambria Math" w:cs="Times New Roman"/>
            <w:sz w:val="21"/>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m:t>
            </m:r>
          </m:sub>
        </m:sSub>
        <m:r>
          <w:rPr>
            <w:rFonts w:ascii="Cambria Math" w:hAnsi="Cambria Math" w:cs="Times New Roman"/>
            <w:sz w:val="21"/>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c</m:t>
            </m:r>
          </m:sub>
        </m:sSub>
      </m:oMath>
      <w:r w:rsidR="00226CEC" w:rsidRPr="00FD50F6">
        <w:rPr>
          <w:rFonts w:ascii="Times New Roman" w:hAnsi="Times New Roman" w:cs="Times New Roman" w:hint="eastAsia"/>
          <w:sz w:val="21"/>
          <w:szCs w:val="24"/>
        </w:rPr>
        <w:t xml:space="preserve"> </w:t>
      </w:r>
      <w:r w:rsidR="00226CEC" w:rsidRPr="00FD50F6">
        <w:rPr>
          <w:rFonts w:ascii="Times New Roman" w:hAnsi="Times New Roman" w:cs="Times New Roman"/>
          <w:sz w:val="21"/>
          <w:szCs w:val="24"/>
        </w:rPr>
        <w:t xml:space="preserve">                              </w:t>
      </w:r>
      <w:r w:rsidR="00226CEC" w:rsidRPr="00FD50F6">
        <w:rPr>
          <w:rFonts w:ascii="Times New Roman" w:hAnsi="Times New Roman" w:cs="Times New Roman"/>
          <w:szCs w:val="24"/>
        </w:rPr>
        <w:t>(</w:t>
      </w:r>
      <w:r w:rsidR="00226CEC" w:rsidRPr="00FD50F6">
        <w:rPr>
          <w:rFonts w:ascii="Times New Roman" w:hAnsi="Times New Roman" w:cs="Times New Roman" w:hint="eastAsia"/>
          <w:sz w:val="21"/>
          <w:szCs w:val="24"/>
        </w:rPr>
        <w:t>H</w:t>
      </w:r>
      <w:r w:rsidR="00226CEC" w:rsidRPr="00FD50F6">
        <w:rPr>
          <w:rFonts w:ascii="Times New Roman" w:hAnsi="Times New Roman" w:cs="Times New Roman"/>
          <w:sz w:val="21"/>
          <w:szCs w:val="24"/>
        </w:rPr>
        <w:t>.0.5-3)</w:t>
      </w:r>
    </w:p>
    <w:p w14:paraId="33A3C084" w14:textId="2F4DBDCE" w:rsidR="00226CEC" w:rsidRPr="00FD50F6" w:rsidRDefault="00226CEC" w:rsidP="00226CEC">
      <w:pPr>
        <w:adjustRightInd w:val="0"/>
        <w:snapToGrid w:val="0"/>
        <w:rPr>
          <w:rFonts w:ascii="Times New Roman" w:hAnsi="Times New Roman" w:cs="Times New Roman"/>
          <w:sz w:val="21"/>
          <w:szCs w:val="24"/>
        </w:rPr>
      </w:pPr>
      <w:r w:rsidRPr="00FD50F6">
        <w:rPr>
          <w:rFonts w:ascii="Times New Roman" w:hAnsi="Times New Roman" w:cs="Times New Roman" w:hint="eastAsia"/>
          <w:sz w:val="21"/>
          <w:szCs w:val="24"/>
        </w:rPr>
        <w:t>式中：</w:t>
      </w:r>
      <w:r w:rsidRPr="00FD50F6">
        <w:rPr>
          <w:rFonts w:ascii="Times New Roman" w:hAnsi="Times New Roman" w:cs="Times New Roman"/>
          <w:sz w:val="21"/>
          <w:szCs w:val="24"/>
        </w:rPr>
        <w:tab/>
      </w:r>
      <w:r w:rsidRPr="00FD50F6">
        <w:rPr>
          <w:rFonts w:ascii="Times New Roman" w:hAnsi="Times New Roman" w:cs="Times New Roman" w:hint="eastAsia"/>
          <w:i/>
          <w:iCs/>
          <w:sz w:val="21"/>
          <w:szCs w:val="24"/>
        </w:rPr>
        <w:t>T</w:t>
      </w:r>
      <w:r w:rsidRPr="00FD50F6">
        <w:rPr>
          <w:rFonts w:ascii="Times New Roman" w:hAnsi="Times New Roman" w:cs="Times New Roman" w:hint="eastAsia"/>
          <w:i/>
          <w:iCs/>
          <w:sz w:val="21"/>
          <w:szCs w:val="24"/>
          <w:vertAlign w:val="subscript"/>
        </w:rPr>
        <w:t>s</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节点换乘车站</w:t>
      </w:r>
      <w:r>
        <w:rPr>
          <w:rFonts w:ascii="Times New Roman" w:hAnsi="Times New Roman" w:cs="Times New Roman" w:hint="eastAsia"/>
          <w:sz w:val="21"/>
          <w:szCs w:val="24"/>
        </w:rPr>
        <w:t>站</w:t>
      </w:r>
      <w:r w:rsidRPr="00FD50F6">
        <w:rPr>
          <w:rFonts w:ascii="Times New Roman" w:hAnsi="Times New Roman" w:cs="Times New Roman" w:hint="eastAsia"/>
          <w:sz w:val="21"/>
          <w:szCs w:val="24"/>
        </w:rPr>
        <w:t>台</w:t>
      </w:r>
      <w:r>
        <w:rPr>
          <w:rFonts w:ascii="Times New Roman" w:hAnsi="Times New Roman" w:cs="Times New Roman" w:hint="eastAsia"/>
          <w:sz w:val="21"/>
          <w:szCs w:val="24"/>
        </w:rPr>
        <w:t>到站</w:t>
      </w:r>
      <w:r w:rsidRPr="00FD50F6">
        <w:rPr>
          <w:rFonts w:ascii="Times New Roman" w:hAnsi="Times New Roman" w:cs="Times New Roman" w:hint="eastAsia"/>
          <w:sz w:val="21"/>
          <w:szCs w:val="24"/>
        </w:rPr>
        <w:t>台和</w:t>
      </w:r>
      <w:r>
        <w:rPr>
          <w:rFonts w:ascii="Times New Roman" w:hAnsi="Times New Roman" w:cs="Times New Roman" w:hint="eastAsia"/>
          <w:sz w:val="21"/>
          <w:szCs w:val="24"/>
        </w:rPr>
        <w:t>站</w:t>
      </w:r>
      <w:r w:rsidRPr="00FD50F6">
        <w:rPr>
          <w:rFonts w:ascii="Times New Roman" w:hAnsi="Times New Roman" w:cs="Times New Roman" w:hint="eastAsia"/>
          <w:sz w:val="21"/>
          <w:szCs w:val="24"/>
        </w:rPr>
        <w:t>台</w:t>
      </w:r>
      <w:r>
        <w:rPr>
          <w:rFonts w:ascii="Times New Roman" w:hAnsi="Times New Roman" w:cs="Times New Roman" w:hint="eastAsia"/>
          <w:sz w:val="21"/>
          <w:szCs w:val="24"/>
        </w:rPr>
        <w:t>经站</w:t>
      </w:r>
      <w:r w:rsidRPr="00FD50F6">
        <w:rPr>
          <w:rFonts w:ascii="Times New Roman" w:hAnsi="Times New Roman" w:cs="Times New Roman" w:hint="eastAsia"/>
          <w:sz w:val="21"/>
          <w:szCs w:val="24"/>
        </w:rPr>
        <w:t>厅</w:t>
      </w:r>
      <w:r>
        <w:rPr>
          <w:rFonts w:ascii="Times New Roman" w:hAnsi="Times New Roman" w:cs="Times New Roman" w:hint="eastAsia"/>
          <w:sz w:val="21"/>
          <w:szCs w:val="24"/>
        </w:rPr>
        <w:t>到站</w:t>
      </w:r>
      <w:r w:rsidRPr="00FD50F6">
        <w:rPr>
          <w:rFonts w:ascii="Times New Roman" w:hAnsi="Times New Roman" w:cs="Times New Roman" w:hint="eastAsia"/>
          <w:sz w:val="21"/>
          <w:szCs w:val="24"/>
        </w:rPr>
        <w:t>台的平均换乘时间（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2C1D5DAC" w14:textId="4EEBCBCC"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hint="eastAsia"/>
          <w:i/>
          <w:iCs/>
          <w:sz w:val="21"/>
          <w:szCs w:val="24"/>
          <w:vertAlign w:val="subscript"/>
        </w:rPr>
        <w:t>s</w:t>
      </w:r>
      <w:r w:rsidRPr="005E0F39">
        <w:rPr>
          <w:rFonts w:ascii="Times New Roman" w:hAnsi="Times New Roman" w:cs="Times New Roman"/>
          <w:sz w:val="21"/>
          <w:szCs w:val="24"/>
          <w:vertAlign w:val="subscript"/>
        </w:rPr>
        <w:t>1</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乘客从本线站台经站厅换乘到另一条线路的平均换乘时间（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7D9F6187" w14:textId="6CA9A025"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i/>
          <w:iCs/>
          <w:sz w:val="21"/>
          <w:szCs w:val="24"/>
          <w:vertAlign w:val="subscript"/>
        </w:rPr>
        <w:t>s2</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站台到站台的平均换乘时间（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666D7446" w14:textId="1CC196E7"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1A4CF3">
        <w:rPr>
          <w:rFonts w:ascii="Times New Roman" w:hAnsi="Times New Roman" w:cs="Times New Roman"/>
          <w:sz w:val="21"/>
          <w:szCs w:val="24"/>
          <w:vertAlign w:val="subscript"/>
        </w:rPr>
        <w:t>1</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站台上相对最远车门和最近车门分别到各组换乘楼梯和自动扶梯的梯口（换乘通道口）的平均行走时间（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10128191" w14:textId="0BD834A6"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1A4CF3">
        <w:rPr>
          <w:rFonts w:ascii="Times New Roman" w:hAnsi="Times New Roman" w:cs="Times New Roman"/>
          <w:sz w:val="21"/>
          <w:szCs w:val="24"/>
          <w:vertAlign w:val="subscript"/>
        </w:rPr>
        <w:t>2</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乘客通过上行</w:t>
      </w:r>
      <w:r>
        <w:rPr>
          <w:rFonts w:ascii="Times New Roman" w:hAnsi="Times New Roman" w:cs="Times New Roman" w:hint="eastAsia"/>
          <w:sz w:val="21"/>
          <w:szCs w:val="24"/>
        </w:rPr>
        <w:t>或</w:t>
      </w:r>
      <w:r w:rsidRPr="00FD50F6">
        <w:rPr>
          <w:rFonts w:ascii="Times New Roman" w:hAnsi="Times New Roman" w:cs="Times New Roman" w:hint="eastAsia"/>
          <w:sz w:val="21"/>
          <w:szCs w:val="24"/>
        </w:rPr>
        <w:t>下行换乘楼梯和自动扶梯所需的时间总和（</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31014CE0" w14:textId="45EA013F"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1A4CF3">
        <w:rPr>
          <w:rFonts w:ascii="Times New Roman" w:hAnsi="Times New Roman" w:cs="Times New Roman"/>
          <w:sz w:val="21"/>
          <w:szCs w:val="24"/>
          <w:vertAlign w:val="subscript"/>
        </w:rPr>
        <w:t>3</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乘客在站厅上的平均行走时间（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19EF05DE" w14:textId="27CF4977"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1A4CF3">
        <w:rPr>
          <w:rFonts w:ascii="Times New Roman" w:hAnsi="Times New Roman" w:cs="Times New Roman"/>
          <w:sz w:val="21"/>
          <w:szCs w:val="24"/>
          <w:vertAlign w:val="subscript"/>
        </w:rPr>
        <w:t>4</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换乘通道行走时间（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01C0DCFC" w14:textId="10B92F34"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1A4CF3">
        <w:rPr>
          <w:rFonts w:ascii="Times New Roman" w:hAnsi="Times New Roman" w:cs="Times New Roman"/>
          <w:sz w:val="21"/>
          <w:szCs w:val="24"/>
          <w:vertAlign w:val="subscript"/>
        </w:rPr>
        <w:t>5</w:t>
      </w:r>
      <w:r w:rsidRPr="00FD50F6">
        <w:rPr>
          <w:rFonts w:ascii="Times New Roman" w:hAnsi="Times New Roman" w:cs="Times New Roman" w:hint="eastAsia"/>
          <w:i/>
          <w:iCs/>
          <w:sz w:val="21"/>
          <w:szCs w:val="24"/>
        </w:rPr>
        <w:t>—</w:t>
      </w:r>
      <w:r w:rsidRPr="00FD50F6">
        <w:rPr>
          <w:rFonts w:ascii="Times New Roman" w:hAnsi="Times New Roman" w:cs="Times New Roman" w:hint="eastAsia"/>
          <w:sz w:val="21"/>
          <w:szCs w:val="24"/>
        </w:rPr>
        <w:t>换入车站最近的换乘楼梯和自动扶梯下梯口到最近车门之间的行走时间（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5EEA6006" w14:textId="336D95B5"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i/>
          <w:iCs/>
          <w:sz w:val="21"/>
          <w:szCs w:val="24"/>
          <w:vertAlign w:val="subscript"/>
        </w:rPr>
        <w:t>i</w:t>
      </w:r>
      <w:r w:rsidRPr="00FD50F6">
        <w:rPr>
          <w:rFonts w:ascii="Times New Roman" w:hAnsi="Times New Roman" w:cs="Times New Roman" w:hint="eastAsia"/>
          <w:i/>
          <w:iCs/>
          <w:sz w:val="21"/>
          <w:szCs w:val="24"/>
        </w:rPr>
        <w:t>—</w:t>
      </w:r>
      <w:r>
        <w:rPr>
          <w:rFonts w:ascii="Times New Roman" w:hAnsi="Times New Roman" w:cs="Times New Roman" w:hint="eastAsia"/>
          <w:sz w:val="21"/>
          <w:szCs w:val="24"/>
        </w:rPr>
        <w:t>换乘</w:t>
      </w:r>
      <w:r w:rsidRPr="00FD50F6">
        <w:rPr>
          <w:rFonts w:ascii="Times New Roman" w:hAnsi="Times New Roman" w:cs="Times New Roman" w:hint="eastAsia"/>
          <w:sz w:val="21"/>
          <w:szCs w:val="24"/>
        </w:rPr>
        <w:t>路径</w:t>
      </w:r>
      <w:r>
        <w:rPr>
          <w:rFonts w:ascii="Times New Roman" w:hAnsi="Times New Roman" w:cs="Times New Roman" w:hint="eastAsia"/>
          <w:sz w:val="21"/>
          <w:szCs w:val="24"/>
        </w:rPr>
        <w:t>中</w:t>
      </w:r>
      <w:r w:rsidRPr="00FD50F6">
        <w:rPr>
          <w:rFonts w:ascii="Times New Roman" w:hAnsi="Times New Roman" w:cs="Times New Roman" w:hint="eastAsia"/>
          <w:sz w:val="21"/>
          <w:szCs w:val="24"/>
        </w:rPr>
        <w:t>的</w:t>
      </w:r>
      <w:r>
        <w:rPr>
          <w:rFonts w:ascii="Times New Roman" w:hAnsi="Times New Roman" w:cs="Times New Roman" w:hint="eastAsia"/>
          <w:sz w:val="21"/>
          <w:szCs w:val="24"/>
        </w:rPr>
        <w:t>其他</w:t>
      </w:r>
      <w:r w:rsidRPr="00FD50F6">
        <w:rPr>
          <w:rFonts w:ascii="Times New Roman" w:hAnsi="Times New Roman" w:cs="Times New Roman" w:hint="eastAsia"/>
          <w:sz w:val="21"/>
          <w:szCs w:val="24"/>
        </w:rPr>
        <w:t>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6072B406" w14:textId="587F43D9"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i/>
          <w:iCs/>
          <w:sz w:val="21"/>
          <w:szCs w:val="24"/>
          <w:vertAlign w:val="subscript"/>
        </w:rPr>
        <w:t>p</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换乘评价时间（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2B7145F6" w14:textId="281D0970"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i/>
          <w:iCs/>
          <w:sz w:val="21"/>
          <w:szCs w:val="24"/>
          <w:vertAlign w:val="subscript"/>
        </w:rPr>
        <w:t>a</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站台上相对最远车门和最近车门分别到各组换乘楼梯和自动扶梯梯口之间的平均行走时间（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3395CAE8" w14:textId="7CA4C2C7" w:rsidR="00226CEC" w:rsidRPr="00FD50F6"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hint="eastAsia"/>
          <w:i/>
          <w:iCs/>
          <w:sz w:val="21"/>
          <w:szCs w:val="24"/>
          <w:vertAlign w:val="subscript"/>
        </w:rPr>
        <w:t>b</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换入车站换乘楼梯和自动扶梯下梯口到最近车门之间的行走时间（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1495E646" w14:textId="1211C5AA" w:rsidR="00226CEC" w:rsidRPr="004F38C3" w:rsidRDefault="00226CEC" w:rsidP="00226CEC">
      <w:pPr>
        <w:adjustRightInd w:val="0"/>
        <w:snapToGrid w:val="0"/>
        <w:ind w:left="420" w:firstLine="420"/>
        <w:rPr>
          <w:rFonts w:ascii="Times New Roman" w:hAnsi="Times New Roman" w:cs="Times New Roman"/>
          <w:sz w:val="21"/>
          <w:szCs w:val="24"/>
        </w:rPr>
      </w:pPr>
      <w:r w:rsidRPr="00FD50F6">
        <w:rPr>
          <w:rFonts w:ascii="Times New Roman" w:hAnsi="Times New Roman" w:cs="Times New Roman" w:hint="eastAsia"/>
          <w:i/>
          <w:iCs/>
          <w:sz w:val="21"/>
          <w:szCs w:val="24"/>
        </w:rPr>
        <w:t>T</w:t>
      </w:r>
      <w:r w:rsidRPr="00FD50F6">
        <w:rPr>
          <w:rFonts w:ascii="Times New Roman" w:hAnsi="Times New Roman" w:cs="Times New Roman" w:hint="eastAsia"/>
          <w:i/>
          <w:iCs/>
          <w:sz w:val="21"/>
          <w:szCs w:val="24"/>
          <w:vertAlign w:val="subscript"/>
        </w:rPr>
        <w:t>c</w:t>
      </w:r>
      <w:r w:rsidRPr="005E0F39">
        <w:rPr>
          <w:rFonts w:ascii="Times New Roman" w:hAnsi="Times New Roman" w:cs="Times New Roman" w:hint="eastAsia"/>
          <w:sz w:val="21"/>
          <w:szCs w:val="24"/>
        </w:rPr>
        <w:t>—</w:t>
      </w:r>
      <w:r w:rsidRPr="00FD50F6">
        <w:rPr>
          <w:rFonts w:ascii="Times New Roman" w:hAnsi="Times New Roman" w:cs="Times New Roman" w:hint="eastAsia"/>
          <w:sz w:val="21"/>
          <w:szCs w:val="24"/>
        </w:rPr>
        <w:t>乘客通过换乘楼梯和自动扶梯所需的时间（</w:t>
      </w:r>
      <w:r w:rsidRPr="00FD50F6">
        <w:rPr>
          <w:rFonts w:ascii="Times New Roman" w:hAnsi="Times New Roman" w:cs="Times New Roman" w:hint="eastAsia"/>
          <w:sz w:val="21"/>
          <w:szCs w:val="24"/>
        </w:rPr>
        <w:t>min</w:t>
      </w:r>
      <w:r w:rsidRPr="00FD50F6">
        <w:rPr>
          <w:rFonts w:ascii="Times New Roman" w:hAnsi="Times New Roman" w:cs="Times New Roman" w:hint="eastAsia"/>
          <w:sz w:val="21"/>
          <w:szCs w:val="24"/>
        </w:rPr>
        <w:t>）。</w:t>
      </w:r>
    </w:p>
    <w:p w14:paraId="39D30BE7" w14:textId="77777777" w:rsidR="002B733E" w:rsidRPr="00FD50F6" w:rsidRDefault="002B733E" w:rsidP="00E96E15">
      <w:pPr>
        <w:pStyle w:val="12"/>
        <w:numPr>
          <w:ilvl w:val="0"/>
          <w:numId w:val="0"/>
        </w:numPr>
        <w:jc w:val="both"/>
        <w:sectPr w:rsidR="002B733E" w:rsidRPr="00FD50F6" w:rsidSect="00B84F8E">
          <w:headerReference w:type="even" r:id="rId140"/>
          <w:footerReference w:type="even" r:id="rId141"/>
          <w:footerReference w:type="default" r:id="rId142"/>
          <w:headerReference w:type="first" r:id="rId143"/>
          <w:footerReference w:type="first" r:id="rId144"/>
          <w:pgSz w:w="11906" w:h="16838"/>
          <w:pgMar w:top="1440" w:right="1797" w:bottom="1440" w:left="1797" w:header="851" w:footer="992" w:gutter="0"/>
          <w:cols w:space="425"/>
          <w:docGrid w:linePitch="312"/>
        </w:sectPr>
      </w:pPr>
    </w:p>
    <w:p w14:paraId="56F0D4B5" w14:textId="53DE238F" w:rsidR="007A0D90" w:rsidRPr="00FD50F6" w:rsidRDefault="007A0D90" w:rsidP="00555717">
      <w:pPr>
        <w:pStyle w:val="12"/>
        <w:numPr>
          <w:ilvl w:val="0"/>
          <w:numId w:val="0"/>
        </w:numPr>
      </w:pPr>
      <w:bookmarkStart w:id="1418" w:name="_Toc112830907"/>
      <w:r w:rsidRPr="00FD50F6">
        <w:rPr>
          <w:rFonts w:hint="eastAsia"/>
        </w:rPr>
        <w:lastRenderedPageBreak/>
        <w:t>本</w:t>
      </w:r>
      <w:r w:rsidR="00B97958" w:rsidRPr="00FD50F6">
        <w:rPr>
          <w:rFonts w:hint="eastAsia"/>
        </w:rPr>
        <w:t>标准</w:t>
      </w:r>
      <w:r w:rsidRPr="00FD50F6">
        <w:rPr>
          <w:rFonts w:hint="eastAsia"/>
        </w:rPr>
        <w:t>用词说明</w:t>
      </w:r>
      <w:bookmarkEnd w:id="1418"/>
    </w:p>
    <w:p w14:paraId="701D0682" w14:textId="77777777" w:rsidR="007A0D90" w:rsidRPr="00FD50F6" w:rsidRDefault="007A0D90" w:rsidP="007A0D90">
      <w:pPr>
        <w:rPr>
          <w:rFonts w:asciiTheme="minorEastAsia" w:hAnsiTheme="minorEastAsia"/>
          <w:szCs w:val="24"/>
        </w:rPr>
      </w:pPr>
      <w:r w:rsidRPr="00FD50F6">
        <w:rPr>
          <w:rFonts w:asciiTheme="minorEastAsia" w:hAnsiTheme="minorEastAsia" w:hint="eastAsia"/>
          <w:szCs w:val="24"/>
        </w:rPr>
        <w:t xml:space="preserve">1  </w:t>
      </w:r>
      <w:r w:rsidRPr="00FD50F6">
        <w:rPr>
          <w:rFonts w:asciiTheme="minorEastAsia" w:hAnsiTheme="minorEastAsia" w:hint="eastAsia"/>
          <w:szCs w:val="24"/>
        </w:rPr>
        <w:t>为便于在执行本标准条文时区别对待，对要求严格程度不同的用词说明如下：</w:t>
      </w:r>
    </w:p>
    <w:p w14:paraId="248F9281" w14:textId="77777777" w:rsidR="007A0D90" w:rsidRPr="00FD50F6" w:rsidRDefault="007A0D90" w:rsidP="001A4CF3">
      <w:pPr>
        <w:ind w:firstLineChars="150" w:firstLine="360"/>
        <w:rPr>
          <w:rFonts w:asciiTheme="minorEastAsia" w:hAnsiTheme="minorEastAsia"/>
          <w:szCs w:val="24"/>
        </w:rPr>
      </w:pPr>
      <w:r w:rsidRPr="00FD50F6">
        <w:rPr>
          <w:rFonts w:asciiTheme="minorEastAsia" w:hAnsiTheme="minorEastAsia" w:hint="eastAsia"/>
          <w:szCs w:val="24"/>
        </w:rPr>
        <w:t>1</w:t>
      </w:r>
      <w:r w:rsidRPr="00FD50F6">
        <w:rPr>
          <w:rFonts w:asciiTheme="minorEastAsia" w:hAnsiTheme="minorEastAsia" w:hint="eastAsia"/>
          <w:szCs w:val="24"/>
        </w:rPr>
        <w:t>）表示很严格，非这样做不可的：</w:t>
      </w:r>
    </w:p>
    <w:p w14:paraId="32F41A48" w14:textId="0C06F92C" w:rsidR="007A0D90" w:rsidRPr="00FD50F6" w:rsidRDefault="007A0D90" w:rsidP="007A0D90">
      <w:pPr>
        <w:rPr>
          <w:rFonts w:asciiTheme="minorEastAsia" w:hAnsiTheme="minorEastAsia"/>
          <w:szCs w:val="24"/>
        </w:rPr>
      </w:pPr>
      <w:r w:rsidRPr="00FD50F6">
        <w:rPr>
          <w:rFonts w:asciiTheme="minorEastAsia" w:hAnsiTheme="minorEastAsia" w:hint="eastAsia"/>
          <w:szCs w:val="24"/>
        </w:rPr>
        <w:t xml:space="preserve">   </w:t>
      </w:r>
      <w:r w:rsidR="00463317" w:rsidRPr="00FD50F6">
        <w:rPr>
          <w:rFonts w:asciiTheme="minorEastAsia" w:hAnsiTheme="minorEastAsia"/>
          <w:szCs w:val="24"/>
        </w:rPr>
        <w:t xml:space="preserve">   </w:t>
      </w:r>
      <w:r w:rsidRPr="00FD50F6">
        <w:rPr>
          <w:rFonts w:asciiTheme="minorEastAsia" w:hAnsiTheme="minorEastAsia" w:hint="eastAsia"/>
          <w:szCs w:val="24"/>
        </w:rPr>
        <w:t>正面词采用“必须”，反面词采用“严禁”；</w:t>
      </w:r>
    </w:p>
    <w:p w14:paraId="59A11791" w14:textId="77777777" w:rsidR="007A0D90" w:rsidRPr="00FD50F6" w:rsidRDefault="007A0D90" w:rsidP="001A4CF3">
      <w:pPr>
        <w:ind w:firstLineChars="150" w:firstLine="360"/>
        <w:rPr>
          <w:rFonts w:asciiTheme="minorEastAsia" w:hAnsiTheme="minorEastAsia"/>
          <w:szCs w:val="24"/>
        </w:rPr>
      </w:pPr>
      <w:r w:rsidRPr="00FD50F6">
        <w:rPr>
          <w:rFonts w:asciiTheme="minorEastAsia" w:hAnsiTheme="minorEastAsia" w:hint="eastAsia"/>
          <w:szCs w:val="24"/>
        </w:rPr>
        <w:t>2</w:t>
      </w:r>
      <w:r w:rsidRPr="00FD50F6">
        <w:rPr>
          <w:rFonts w:asciiTheme="minorEastAsia" w:hAnsiTheme="minorEastAsia" w:hint="eastAsia"/>
          <w:szCs w:val="24"/>
        </w:rPr>
        <w:t>）表示严格，在正常情况下均应这样做的：</w:t>
      </w:r>
    </w:p>
    <w:p w14:paraId="14120699" w14:textId="0291C6C2" w:rsidR="007A0D90" w:rsidRPr="00FD50F6" w:rsidRDefault="007A0D90" w:rsidP="007A0D90">
      <w:pPr>
        <w:rPr>
          <w:rFonts w:asciiTheme="minorEastAsia" w:hAnsiTheme="minorEastAsia"/>
          <w:szCs w:val="24"/>
        </w:rPr>
      </w:pPr>
      <w:r w:rsidRPr="00FD50F6">
        <w:rPr>
          <w:rFonts w:asciiTheme="minorEastAsia" w:hAnsiTheme="minorEastAsia" w:hint="eastAsia"/>
          <w:szCs w:val="24"/>
        </w:rPr>
        <w:t xml:space="preserve">   </w:t>
      </w:r>
      <w:r w:rsidR="00463317" w:rsidRPr="00FD50F6">
        <w:rPr>
          <w:rFonts w:asciiTheme="minorEastAsia" w:hAnsiTheme="minorEastAsia"/>
          <w:szCs w:val="24"/>
        </w:rPr>
        <w:t xml:space="preserve">   </w:t>
      </w:r>
      <w:r w:rsidRPr="00FD50F6">
        <w:rPr>
          <w:rFonts w:asciiTheme="minorEastAsia" w:hAnsiTheme="minorEastAsia" w:hint="eastAsia"/>
          <w:szCs w:val="24"/>
        </w:rPr>
        <w:t>正面词采用“应”，反面词采用“不应”或“不得”；</w:t>
      </w:r>
    </w:p>
    <w:p w14:paraId="1293C4CC" w14:textId="77777777" w:rsidR="007A0D90" w:rsidRPr="00FD50F6" w:rsidRDefault="007A0D90" w:rsidP="001A4CF3">
      <w:pPr>
        <w:ind w:firstLineChars="150" w:firstLine="360"/>
        <w:rPr>
          <w:rFonts w:asciiTheme="minorEastAsia" w:hAnsiTheme="minorEastAsia"/>
          <w:szCs w:val="24"/>
        </w:rPr>
      </w:pPr>
      <w:r w:rsidRPr="00FD50F6">
        <w:rPr>
          <w:rFonts w:asciiTheme="minorEastAsia" w:hAnsiTheme="minorEastAsia" w:hint="eastAsia"/>
          <w:szCs w:val="24"/>
        </w:rPr>
        <w:t>3</w:t>
      </w:r>
      <w:r w:rsidRPr="00FD50F6">
        <w:rPr>
          <w:rFonts w:asciiTheme="minorEastAsia" w:hAnsiTheme="minorEastAsia" w:hint="eastAsia"/>
          <w:szCs w:val="24"/>
        </w:rPr>
        <w:t>）表示允许稍有选择，在条件许可时首先这样做的：</w:t>
      </w:r>
    </w:p>
    <w:p w14:paraId="49F175D7" w14:textId="77777777" w:rsidR="007A0D90" w:rsidRPr="00FD50F6" w:rsidRDefault="007A0D90" w:rsidP="001A4CF3">
      <w:pPr>
        <w:ind w:firstLineChars="300" w:firstLine="720"/>
        <w:rPr>
          <w:rFonts w:asciiTheme="minorEastAsia" w:hAnsiTheme="minorEastAsia"/>
          <w:szCs w:val="24"/>
        </w:rPr>
      </w:pPr>
      <w:r w:rsidRPr="00FD50F6">
        <w:rPr>
          <w:rFonts w:asciiTheme="minorEastAsia" w:hAnsiTheme="minorEastAsia" w:hint="eastAsia"/>
          <w:szCs w:val="24"/>
        </w:rPr>
        <w:t>正面词采用“宜”，反面词采用“不宜”；</w:t>
      </w:r>
    </w:p>
    <w:p w14:paraId="4F4287A1" w14:textId="77777777" w:rsidR="007A0D90" w:rsidRPr="00FD50F6" w:rsidRDefault="007A0D90" w:rsidP="001A4CF3">
      <w:pPr>
        <w:ind w:firstLineChars="150" w:firstLine="360"/>
        <w:rPr>
          <w:rFonts w:asciiTheme="minorEastAsia" w:hAnsiTheme="minorEastAsia"/>
          <w:szCs w:val="24"/>
        </w:rPr>
      </w:pPr>
      <w:r w:rsidRPr="00FD50F6">
        <w:rPr>
          <w:rFonts w:asciiTheme="minorEastAsia" w:hAnsiTheme="minorEastAsia" w:hint="eastAsia"/>
          <w:szCs w:val="24"/>
        </w:rPr>
        <w:t>4</w:t>
      </w:r>
      <w:r w:rsidRPr="00FD50F6">
        <w:rPr>
          <w:rFonts w:asciiTheme="minorEastAsia" w:hAnsiTheme="minorEastAsia" w:hint="eastAsia"/>
          <w:szCs w:val="24"/>
        </w:rPr>
        <w:t>）表示有选择，在一定条件下可以这样做的，可采用“可”。</w:t>
      </w:r>
    </w:p>
    <w:p w14:paraId="465A131D" w14:textId="77777777" w:rsidR="007A0D90" w:rsidRPr="00FD50F6" w:rsidRDefault="007A0D90" w:rsidP="007A0D90">
      <w:pPr>
        <w:rPr>
          <w:rFonts w:asciiTheme="minorEastAsia" w:hAnsiTheme="minorEastAsia"/>
          <w:szCs w:val="24"/>
        </w:rPr>
      </w:pPr>
      <w:r w:rsidRPr="00FD50F6">
        <w:rPr>
          <w:rFonts w:asciiTheme="minorEastAsia" w:hAnsiTheme="minorEastAsia" w:hint="eastAsia"/>
          <w:szCs w:val="24"/>
        </w:rPr>
        <w:t xml:space="preserve">2  </w:t>
      </w:r>
      <w:r w:rsidRPr="00FD50F6">
        <w:rPr>
          <w:rFonts w:asciiTheme="minorEastAsia" w:hAnsiTheme="minorEastAsia" w:hint="eastAsia"/>
          <w:szCs w:val="24"/>
        </w:rPr>
        <w:t>条文中指明应按其他有关标准执行的写法为：“应符合……的规定”或“应按……执行”。</w:t>
      </w:r>
    </w:p>
    <w:bookmarkEnd w:id="1351"/>
    <w:bookmarkEnd w:id="1352"/>
    <w:bookmarkEnd w:id="1353"/>
    <w:bookmarkEnd w:id="1354"/>
    <w:p w14:paraId="089C2165" w14:textId="2A98FFF6" w:rsidR="007A0D90" w:rsidRPr="00FD50F6" w:rsidRDefault="007A0D90" w:rsidP="007A0D90"/>
    <w:p w14:paraId="15C17CEA" w14:textId="77777777" w:rsidR="007A0D90" w:rsidRPr="00FD50F6" w:rsidRDefault="007A0D90" w:rsidP="007A0D90"/>
    <w:p w14:paraId="0718BEEB" w14:textId="77777777" w:rsidR="007A0D90" w:rsidRPr="00FD50F6" w:rsidRDefault="007A0D90" w:rsidP="007A0D90"/>
    <w:p w14:paraId="3146A388" w14:textId="77777777" w:rsidR="007A0D90" w:rsidRPr="00FD50F6" w:rsidRDefault="007A0D90" w:rsidP="007A0D90"/>
    <w:p w14:paraId="55F1AC80" w14:textId="77777777" w:rsidR="007A0D90" w:rsidRPr="00FD50F6" w:rsidRDefault="007A0D90" w:rsidP="007A0D90"/>
    <w:p w14:paraId="74AB2C9D" w14:textId="77777777" w:rsidR="007A0D90" w:rsidRPr="00FD50F6" w:rsidRDefault="007A0D90" w:rsidP="007A0D90"/>
    <w:p w14:paraId="326BBFB8" w14:textId="77777777" w:rsidR="007A0D90" w:rsidRPr="00FD50F6" w:rsidRDefault="007A0D90" w:rsidP="007A0D90"/>
    <w:p w14:paraId="17F3D25E" w14:textId="77777777" w:rsidR="007A0D90" w:rsidRPr="00FD50F6" w:rsidRDefault="007A0D90" w:rsidP="007A0D90"/>
    <w:p w14:paraId="6DCAC04D" w14:textId="77777777" w:rsidR="007A0D90" w:rsidRPr="00FD50F6" w:rsidRDefault="007A0D90" w:rsidP="007A0D90"/>
    <w:p w14:paraId="39484AAB" w14:textId="77777777" w:rsidR="007A0D90" w:rsidRPr="00FD50F6" w:rsidRDefault="007A0D90" w:rsidP="007A0D90"/>
    <w:p w14:paraId="3A1BB9D8" w14:textId="77777777" w:rsidR="007A0D90" w:rsidRPr="00FD50F6" w:rsidRDefault="007A0D90" w:rsidP="007A0D90"/>
    <w:p w14:paraId="4FAADBCF" w14:textId="77777777" w:rsidR="007A0D90" w:rsidRPr="00FD50F6" w:rsidRDefault="007A0D90" w:rsidP="007A0D90"/>
    <w:p w14:paraId="150C8EDD" w14:textId="77777777" w:rsidR="007A0D90" w:rsidRPr="00FD50F6" w:rsidRDefault="007A0D90" w:rsidP="007A0D90"/>
    <w:p w14:paraId="0977681F" w14:textId="77777777" w:rsidR="007A0D90" w:rsidRPr="00FD50F6" w:rsidRDefault="007A0D90" w:rsidP="007A0D90">
      <w:pPr>
        <w:jc w:val="center"/>
      </w:pPr>
    </w:p>
    <w:p w14:paraId="13AEA4E2" w14:textId="77777777" w:rsidR="007A0D90" w:rsidRPr="00FD50F6" w:rsidRDefault="007A0D90" w:rsidP="007A0D90">
      <w:pPr>
        <w:sectPr w:rsidR="007A0D90" w:rsidRPr="00FD50F6" w:rsidSect="00B84F8E">
          <w:pgSz w:w="11906" w:h="16838"/>
          <w:pgMar w:top="1440" w:right="1797" w:bottom="1440" w:left="1797" w:header="851" w:footer="992" w:gutter="0"/>
          <w:cols w:space="425"/>
          <w:docGrid w:linePitch="312"/>
        </w:sectPr>
      </w:pPr>
    </w:p>
    <w:p w14:paraId="4E49F3B2" w14:textId="77777777" w:rsidR="007A0D90" w:rsidRDefault="007A0D90" w:rsidP="00555717">
      <w:pPr>
        <w:pStyle w:val="12"/>
        <w:numPr>
          <w:ilvl w:val="0"/>
          <w:numId w:val="0"/>
        </w:numPr>
      </w:pPr>
      <w:bookmarkStart w:id="1419" w:name="_Toc112830908"/>
      <w:r w:rsidRPr="00FD50F6">
        <w:rPr>
          <w:rFonts w:hint="eastAsia"/>
        </w:rPr>
        <w:lastRenderedPageBreak/>
        <w:t>引用</w:t>
      </w:r>
      <w:r w:rsidRPr="00FD50F6">
        <w:t>标准名录</w:t>
      </w:r>
      <w:bookmarkEnd w:id="1419"/>
    </w:p>
    <w:tbl>
      <w:tblPr>
        <w:tblW w:w="8221" w:type="dxa"/>
        <w:tblLook w:val="04A0" w:firstRow="1" w:lastRow="0" w:firstColumn="1" w:lastColumn="0" w:noHBand="0" w:noVBand="1"/>
      </w:tblPr>
      <w:tblGrid>
        <w:gridCol w:w="851"/>
        <w:gridCol w:w="5386"/>
        <w:gridCol w:w="1984"/>
      </w:tblGrid>
      <w:tr w:rsidR="00893D77" w:rsidRPr="00893D77" w14:paraId="19F42F54" w14:textId="77777777" w:rsidTr="00E92FED">
        <w:trPr>
          <w:trHeight w:val="288"/>
        </w:trPr>
        <w:tc>
          <w:tcPr>
            <w:tcW w:w="851" w:type="dxa"/>
            <w:tcBorders>
              <w:top w:val="nil"/>
              <w:left w:val="nil"/>
              <w:bottom w:val="nil"/>
              <w:right w:val="nil"/>
            </w:tcBorders>
            <w:shd w:val="clear" w:color="auto" w:fill="auto"/>
            <w:noWrap/>
            <w:hideMark/>
          </w:tcPr>
          <w:p w14:paraId="160989F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w:t>
            </w:r>
          </w:p>
        </w:tc>
        <w:tc>
          <w:tcPr>
            <w:tcW w:w="5386" w:type="dxa"/>
            <w:tcBorders>
              <w:top w:val="nil"/>
              <w:left w:val="nil"/>
              <w:bottom w:val="nil"/>
              <w:right w:val="nil"/>
            </w:tcBorders>
            <w:shd w:val="clear" w:color="auto" w:fill="auto"/>
            <w:hideMark/>
          </w:tcPr>
          <w:p w14:paraId="06FF488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建筑结构荷载规范</w:t>
            </w:r>
          </w:p>
        </w:tc>
        <w:tc>
          <w:tcPr>
            <w:tcW w:w="1984" w:type="dxa"/>
            <w:tcBorders>
              <w:top w:val="nil"/>
              <w:left w:val="nil"/>
              <w:bottom w:val="nil"/>
              <w:right w:val="nil"/>
            </w:tcBorders>
            <w:shd w:val="clear" w:color="auto" w:fill="auto"/>
            <w:noWrap/>
            <w:hideMark/>
          </w:tcPr>
          <w:p w14:paraId="0A8E8E4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50009</w:t>
            </w:r>
          </w:p>
        </w:tc>
      </w:tr>
      <w:tr w:rsidR="00893D77" w:rsidRPr="00893D77" w14:paraId="7D2C1EB3" w14:textId="77777777" w:rsidTr="00E92FED">
        <w:trPr>
          <w:trHeight w:val="288"/>
        </w:trPr>
        <w:tc>
          <w:tcPr>
            <w:tcW w:w="851" w:type="dxa"/>
            <w:tcBorders>
              <w:top w:val="nil"/>
              <w:left w:val="nil"/>
              <w:bottom w:val="nil"/>
              <w:right w:val="nil"/>
            </w:tcBorders>
            <w:shd w:val="clear" w:color="auto" w:fill="auto"/>
            <w:noWrap/>
            <w:hideMark/>
          </w:tcPr>
          <w:p w14:paraId="47C8699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w:t>
            </w:r>
          </w:p>
        </w:tc>
        <w:tc>
          <w:tcPr>
            <w:tcW w:w="5386" w:type="dxa"/>
            <w:tcBorders>
              <w:top w:val="nil"/>
              <w:left w:val="nil"/>
              <w:bottom w:val="nil"/>
              <w:right w:val="nil"/>
            </w:tcBorders>
            <w:shd w:val="clear" w:color="auto" w:fill="auto"/>
            <w:hideMark/>
          </w:tcPr>
          <w:p w14:paraId="6E87383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混凝土结构设计规范</w:t>
            </w:r>
          </w:p>
        </w:tc>
        <w:tc>
          <w:tcPr>
            <w:tcW w:w="1984" w:type="dxa"/>
            <w:tcBorders>
              <w:top w:val="nil"/>
              <w:left w:val="nil"/>
              <w:bottom w:val="nil"/>
              <w:right w:val="nil"/>
            </w:tcBorders>
            <w:shd w:val="clear" w:color="auto" w:fill="auto"/>
            <w:noWrap/>
            <w:hideMark/>
          </w:tcPr>
          <w:p w14:paraId="548493E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50010</w:t>
            </w:r>
          </w:p>
        </w:tc>
      </w:tr>
      <w:tr w:rsidR="00893D77" w:rsidRPr="00893D77" w14:paraId="07FC82B2" w14:textId="77777777" w:rsidTr="00E92FED">
        <w:trPr>
          <w:trHeight w:val="288"/>
        </w:trPr>
        <w:tc>
          <w:tcPr>
            <w:tcW w:w="851" w:type="dxa"/>
            <w:tcBorders>
              <w:top w:val="nil"/>
              <w:left w:val="nil"/>
              <w:bottom w:val="nil"/>
              <w:right w:val="nil"/>
            </w:tcBorders>
            <w:shd w:val="clear" w:color="auto" w:fill="auto"/>
            <w:noWrap/>
            <w:hideMark/>
          </w:tcPr>
          <w:p w14:paraId="20A2A1E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w:t>
            </w:r>
          </w:p>
        </w:tc>
        <w:tc>
          <w:tcPr>
            <w:tcW w:w="5386" w:type="dxa"/>
            <w:tcBorders>
              <w:top w:val="nil"/>
              <w:left w:val="nil"/>
              <w:bottom w:val="nil"/>
              <w:right w:val="nil"/>
            </w:tcBorders>
            <w:shd w:val="clear" w:color="auto" w:fill="auto"/>
            <w:hideMark/>
          </w:tcPr>
          <w:p w14:paraId="1A2AE65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建筑抗震设计规范</w:t>
            </w:r>
          </w:p>
        </w:tc>
        <w:tc>
          <w:tcPr>
            <w:tcW w:w="1984" w:type="dxa"/>
            <w:tcBorders>
              <w:top w:val="nil"/>
              <w:left w:val="nil"/>
              <w:bottom w:val="nil"/>
              <w:right w:val="nil"/>
            </w:tcBorders>
            <w:shd w:val="clear" w:color="auto" w:fill="auto"/>
            <w:noWrap/>
            <w:hideMark/>
          </w:tcPr>
          <w:p w14:paraId="7AD2E73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50011</w:t>
            </w:r>
          </w:p>
        </w:tc>
      </w:tr>
      <w:tr w:rsidR="00893D77" w:rsidRPr="00893D77" w14:paraId="2233D15E" w14:textId="77777777" w:rsidTr="00E92FED">
        <w:trPr>
          <w:trHeight w:val="288"/>
        </w:trPr>
        <w:tc>
          <w:tcPr>
            <w:tcW w:w="851" w:type="dxa"/>
            <w:tcBorders>
              <w:top w:val="nil"/>
              <w:left w:val="nil"/>
              <w:bottom w:val="nil"/>
              <w:right w:val="nil"/>
            </w:tcBorders>
            <w:shd w:val="clear" w:color="auto" w:fill="auto"/>
            <w:noWrap/>
            <w:hideMark/>
          </w:tcPr>
          <w:p w14:paraId="7D2EA12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w:t>
            </w:r>
          </w:p>
        </w:tc>
        <w:tc>
          <w:tcPr>
            <w:tcW w:w="5386" w:type="dxa"/>
            <w:tcBorders>
              <w:top w:val="nil"/>
              <w:left w:val="nil"/>
              <w:bottom w:val="nil"/>
              <w:right w:val="nil"/>
            </w:tcBorders>
            <w:shd w:val="clear" w:color="auto" w:fill="auto"/>
            <w:hideMark/>
          </w:tcPr>
          <w:p w14:paraId="00EA5C9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室外排水设计规范</w:t>
            </w:r>
          </w:p>
        </w:tc>
        <w:tc>
          <w:tcPr>
            <w:tcW w:w="1984" w:type="dxa"/>
            <w:tcBorders>
              <w:top w:val="nil"/>
              <w:left w:val="nil"/>
              <w:bottom w:val="nil"/>
              <w:right w:val="nil"/>
            </w:tcBorders>
            <w:shd w:val="clear" w:color="auto" w:fill="auto"/>
            <w:noWrap/>
            <w:hideMark/>
          </w:tcPr>
          <w:p w14:paraId="39EF08D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50014</w:t>
            </w:r>
          </w:p>
        </w:tc>
      </w:tr>
      <w:tr w:rsidR="00893D77" w:rsidRPr="00893D77" w14:paraId="5EB15C27" w14:textId="77777777" w:rsidTr="00E92FED">
        <w:trPr>
          <w:trHeight w:val="288"/>
        </w:trPr>
        <w:tc>
          <w:tcPr>
            <w:tcW w:w="851" w:type="dxa"/>
            <w:tcBorders>
              <w:top w:val="nil"/>
              <w:left w:val="nil"/>
              <w:bottom w:val="nil"/>
              <w:right w:val="nil"/>
            </w:tcBorders>
            <w:shd w:val="clear" w:color="auto" w:fill="auto"/>
            <w:noWrap/>
            <w:hideMark/>
          </w:tcPr>
          <w:p w14:paraId="38F3C23D"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w:t>
            </w:r>
          </w:p>
        </w:tc>
        <w:tc>
          <w:tcPr>
            <w:tcW w:w="5386" w:type="dxa"/>
            <w:tcBorders>
              <w:top w:val="nil"/>
              <w:left w:val="nil"/>
              <w:bottom w:val="nil"/>
              <w:right w:val="nil"/>
            </w:tcBorders>
            <w:shd w:val="clear" w:color="auto" w:fill="auto"/>
            <w:hideMark/>
          </w:tcPr>
          <w:p w14:paraId="7A6F75C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建筑给水排水设计规范标准</w:t>
            </w:r>
          </w:p>
        </w:tc>
        <w:tc>
          <w:tcPr>
            <w:tcW w:w="1984" w:type="dxa"/>
            <w:tcBorders>
              <w:top w:val="nil"/>
              <w:left w:val="nil"/>
              <w:bottom w:val="nil"/>
              <w:right w:val="nil"/>
            </w:tcBorders>
            <w:shd w:val="clear" w:color="auto" w:fill="auto"/>
            <w:noWrap/>
            <w:hideMark/>
          </w:tcPr>
          <w:p w14:paraId="21052D8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50015</w:t>
            </w:r>
          </w:p>
        </w:tc>
      </w:tr>
      <w:tr w:rsidR="00893D77" w:rsidRPr="00893D77" w14:paraId="1DC73B9D" w14:textId="77777777" w:rsidTr="00E92FED">
        <w:trPr>
          <w:trHeight w:val="288"/>
        </w:trPr>
        <w:tc>
          <w:tcPr>
            <w:tcW w:w="851" w:type="dxa"/>
            <w:tcBorders>
              <w:top w:val="nil"/>
              <w:left w:val="nil"/>
              <w:bottom w:val="nil"/>
              <w:right w:val="nil"/>
            </w:tcBorders>
            <w:shd w:val="clear" w:color="auto" w:fill="auto"/>
            <w:noWrap/>
            <w:hideMark/>
          </w:tcPr>
          <w:p w14:paraId="55292D8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w:t>
            </w:r>
          </w:p>
        </w:tc>
        <w:tc>
          <w:tcPr>
            <w:tcW w:w="5386" w:type="dxa"/>
            <w:tcBorders>
              <w:top w:val="nil"/>
              <w:left w:val="nil"/>
              <w:bottom w:val="nil"/>
              <w:right w:val="nil"/>
            </w:tcBorders>
            <w:shd w:val="clear" w:color="auto" w:fill="auto"/>
            <w:hideMark/>
          </w:tcPr>
          <w:p w14:paraId="27C409A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锅炉房设计规范</w:t>
            </w:r>
          </w:p>
        </w:tc>
        <w:tc>
          <w:tcPr>
            <w:tcW w:w="1984" w:type="dxa"/>
            <w:tcBorders>
              <w:top w:val="nil"/>
              <w:left w:val="nil"/>
              <w:bottom w:val="nil"/>
              <w:right w:val="nil"/>
            </w:tcBorders>
            <w:shd w:val="clear" w:color="auto" w:fill="auto"/>
            <w:noWrap/>
            <w:hideMark/>
          </w:tcPr>
          <w:p w14:paraId="26B235D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50041</w:t>
            </w:r>
          </w:p>
        </w:tc>
      </w:tr>
      <w:tr w:rsidR="00893D77" w:rsidRPr="00893D77" w14:paraId="0B41F487" w14:textId="77777777" w:rsidTr="00E92FED">
        <w:trPr>
          <w:trHeight w:val="288"/>
        </w:trPr>
        <w:tc>
          <w:tcPr>
            <w:tcW w:w="851" w:type="dxa"/>
            <w:tcBorders>
              <w:top w:val="nil"/>
              <w:left w:val="nil"/>
              <w:bottom w:val="nil"/>
              <w:right w:val="nil"/>
            </w:tcBorders>
            <w:shd w:val="clear" w:color="auto" w:fill="auto"/>
            <w:noWrap/>
            <w:hideMark/>
          </w:tcPr>
          <w:p w14:paraId="7F46C1B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w:t>
            </w:r>
          </w:p>
        </w:tc>
        <w:tc>
          <w:tcPr>
            <w:tcW w:w="5386" w:type="dxa"/>
            <w:tcBorders>
              <w:top w:val="nil"/>
              <w:left w:val="nil"/>
              <w:bottom w:val="nil"/>
              <w:right w:val="nil"/>
            </w:tcBorders>
            <w:shd w:val="clear" w:color="auto" w:fill="auto"/>
            <w:hideMark/>
          </w:tcPr>
          <w:p w14:paraId="58824E7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供配电系统设计规范</w:t>
            </w:r>
          </w:p>
        </w:tc>
        <w:tc>
          <w:tcPr>
            <w:tcW w:w="1984" w:type="dxa"/>
            <w:tcBorders>
              <w:top w:val="nil"/>
              <w:left w:val="nil"/>
              <w:bottom w:val="nil"/>
              <w:right w:val="nil"/>
            </w:tcBorders>
            <w:shd w:val="clear" w:color="auto" w:fill="auto"/>
            <w:noWrap/>
            <w:hideMark/>
          </w:tcPr>
          <w:p w14:paraId="1A09F67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50052</w:t>
            </w:r>
          </w:p>
        </w:tc>
      </w:tr>
      <w:tr w:rsidR="00893D77" w:rsidRPr="00893D77" w14:paraId="52BEB309" w14:textId="77777777" w:rsidTr="00E92FED">
        <w:trPr>
          <w:trHeight w:val="288"/>
        </w:trPr>
        <w:tc>
          <w:tcPr>
            <w:tcW w:w="851" w:type="dxa"/>
            <w:tcBorders>
              <w:top w:val="nil"/>
              <w:left w:val="nil"/>
              <w:bottom w:val="nil"/>
              <w:right w:val="nil"/>
            </w:tcBorders>
            <w:shd w:val="clear" w:color="auto" w:fill="auto"/>
            <w:noWrap/>
            <w:hideMark/>
          </w:tcPr>
          <w:p w14:paraId="7C4E8DB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w:t>
            </w:r>
          </w:p>
        </w:tc>
        <w:tc>
          <w:tcPr>
            <w:tcW w:w="5386" w:type="dxa"/>
            <w:tcBorders>
              <w:top w:val="nil"/>
              <w:left w:val="nil"/>
              <w:bottom w:val="nil"/>
              <w:right w:val="nil"/>
            </w:tcBorders>
            <w:shd w:val="clear" w:color="auto" w:fill="auto"/>
            <w:hideMark/>
          </w:tcPr>
          <w:p w14:paraId="6C9FD243"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20kV及以下变电所设计规范</w:t>
            </w:r>
          </w:p>
        </w:tc>
        <w:tc>
          <w:tcPr>
            <w:tcW w:w="1984" w:type="dxa"/>
            <w:tcBorders>
              <w:top w:val="nil"/>
              <w:left w:val="nil"/>
              <w:bottom w:val="nil"/>
              <w:right w:val="nil"/>
            </w:tcBorders>
            <w:shd w:val="clear" w:color="auto" w:fill="auto"/>
            <w:noWrap/>
            <w:hideMark/>
          </w:tcPr>
          <w:p w14:paraId="4A524F7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50053</w:t>
            </w:r>
          </w:p>
        </w:tc>
      </w:tr>
      <w:tr w:rsidR="00893D77" w:rsidRPr="00893D77" w14:paraId="2E9E3F4B" w14:textId="77777777" w:rsidTr="00E92FED">
        <w:trPr>
          <w:trHeight w:val="288"/>
        </w:trPr>
        <w:tc>
          <w:tcPr>
            <w:tcW w:w="851" w:type="dxa"/>
            <w:tcBorders>
              <w:top w:val="nil"/>
              <w:left w:val="nil"/>
              <w:bottom w:val="nil"/>
              <w:right w:val="nil"/>
            </w:tcBorders>
            <w:shd w:val="clear" w:color="auto" w:fill="auto"/>
            <w:noWrap/>
            <w:hideMark/>
          </w:tcPr>
          <w:p w14:paraId="78E74C5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w:t>
            </w:r>
          </w:p>
        </w:tc>
        <w:tc>
          <w:tcPr>
            <w:tcW w:w="5386" w:type="dxa"/>
            <w:tcBorders>
              <w:top w:val="nil"/>
              <w:left w:val="nil"/>
              <w:bottom w:val="nil"/>
              <w:right w:val="nil"/>
            </w:tcBorders>
            <w:shd w:val="clear" w:color="auto" w:fill="auto"/>
            <w:hideMark/>
          </w:tcPr>
          <w:p w14:paraId="5C67966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低压配电设计规范</w:t>
            </w:r>
          </w:p>
        </w:tc>
        <w:tc>
          <w:tcPr>
            <w:tcW w:w="1984" w:type="dxa"/>
            <w:tcBorders>
              <w:top w:val="nil"/>
              <w:left w:val="nil"/>
              <w:bottom w:val="nil"/>
              <w:right w:val="nil"/>
            </w:tcBorders>
            <w:shd w:val="clear" w:color="auto" w:fill="auto"/>
            <w:noWrap/>
            <w:hideMark/>
          </w:tcPr>
          <w:p w14:paraId="0D025C5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50054</w:t>
            </w:r>
          </w:p>
        </w:tc>
      </w:tr>
      <w:tr w:rsidR="00893D77" w:rsidRPr="00893D77" w14:paraId="321DFD00" w14:textId="77777777" w:rsidTr="00E92FED">
        <w:trPr>
          <w:trHeight w:val="288"/>
        </w:trPr>
        <w:tc>
          <w:tcPr>
            <w:tcW w:w="851" w:type="dxa"/>
            <w:tcBorders>
              <w:top w:val="nil"/>
              <w:left w:val="nil"/>
              <w:bottom w:val="nil"/>
              <w:right w:val="nil"/>
            </w:tcBorders>
            <w:shd w:val="clear" w:color="auto" w:fill="auto"/>
            <w:noWrap/>
            <w:hideMark/>
          </w:tcPr>
          <w:p w14:paraId="07EEDC1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w:t>
            </w:r>
          </w:p>
        </w:tc>
        <w:tc>
          <w:tcPr>
            <w:tcW w:w="5386" w:type="dxa"/>
            <w:tcBorders>
              <w:top w:val="nil"/>
              <w:left w:val="nil"/>
              <w:bottom w:val="nil"/>
              <w:right w:val="nil"/>
            </w:tcBorders>
            <w:shd w:val="clear" w:color="auto" w:fill="auto"/>
            <w:hideMark/>
          </w:tcPr>
          <w:p w14:paraId="717F236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通用用电设备配电设计规范</w:t>
            </w:r>
          </w:p>
        </w:tc>
        <w:tc>
          <w:tcPr>
            <w:tcW w:w="1984" w:type="dxa"/>
            <w:tcBorders>
              <w:top w:val="nil"/>
              <w:left w:val="nil"/>
              <w:bottom w:val="nil"/>
              <w:right w:val="nil"/>
            </w:tcBorders>
            <w:shd w:val="clear" w:color="auto" w:fill="auto"/>
            <w:noWrap/>
            <w:hideMark/>
          </w:tcPr>
          <w:p w14:paraId="357DB1E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50055</w:t>
            </w:r>
          </w:p>
        </w:tc>
      </w:tr>
      <w:tr w:rsidR="00893D77" w:rsidRPr="00893D77" w14:paraId="0EDA2157" w14:textId="77777777" w:rsidTr="00E92FED">
        <w:trPr>
          <w:trHeight w:val="288"/>
        </w:trPr>
        <w:tc>
          <w:tcPr>
            <w:tcW w:w="851" w:type="dxa"/>
            <w:tcBorders>
              <w:top w:val="nil"/>
              <w:left w:val="nil"/>
              <w:bottom w:val="nil"/>
              <w:right w:val="nil"/>
            </w:tcBorders>
            <w:shd w:val="clear" w:color="auto" w:fill="auto"/>
            <w:noWrap/>
            <w:hideMark/>
          </w:tcPr>
          <w:p w14:paraId="437FB0E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w:t>
            </w:r>
          </w:p>
        </w:tc>
        <w:tc>
          <w:tcPr>
            <w:tcW w:w="5386" w:type="dxa"/>
            <w:tcBorders>
              <w:top w:val="nil"/>
              <w:left w:val="nil"/>
              <w:bottom w:val="nil"/>
              <w:right w:val="nil"/>
            </w:tcBorders>
            <w:shd w:val="clear" w:color="auto" w:fill="auto"/>
            <w:hideMark/>
          </w:tcPr>
          <w:p w14:paraId="14B382B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建筑物防雷设计规范</w:t>
            </w:r>
          </w:p>
        </w:tc>
        <w:tc>
          <w:tcPr>
            <w:tcW w:w="1984" w:type="dxa"/>
            <w:tcBorders>
              <w:top w:val="nil"/>
              <w:left w:val="nil"/>
              <w:bottom w:val="nil"/>
              <w:right w:val="nil"/>
            </w:tcBorders>
            <w:shd w:val="clear" w:color="auto" w:fill="auto"/>
            <w:noWrap/>
            <w:hideMark/>
          </w:tcPr>
          <w:p w14:paraId="45A966D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50057</w:t>
            </w:r>
          </w:p>
        </w:tc>
      </w:tr>
      <w:tr w:rsidR="00893D77" w:rsidRPr="00893D77" w14:paraId="1769116C" w14:textId="77777777" w:rsidTr="00E92FED">
        <w:trPr>
          <w:trHeight w:val="288"/>
        </w:trPr>
        <w:tc>
          <w:tcPr>
            <w:tcW w:w="851" w:type="dxa"/>
            <w:tcBorders>
              <w:top w:val="nil"/>
              <w:left w:val="nil"/>
              <w:bottom w:val="nil"/>
              <w:right w:val="nil"/>
            </w:tcBorders>
            <w:shd w:val="clear" w:color="auto" w:fill="auto"/>
            <w:noWrap/>
            <w:hideMark/>
          </w:tcPr>
          <w:p w14:paraId="613DD00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w:t>
            </w:r>
          </w:p>
        </w:tc>
        <w:tc>
          <w:tcPr>
            <w:tcW w:w="5386" w:type="dxa"/>
            <w:tcBorders>
              <w:top w:val="nil"/>
              <w:left w:val="nil"/>
              <w:bottom w:val="nil"/>
              <w:right w:val="nil"/>
            </w:tcBorders>
            <w:shd w:val="clear" w:color="auto" w:fill="auto"/>
            <w:hideMark/>
          </w:tcPr>
          <w:p w14:paraId="1B62C36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建筑结构可靠性设计统一标准</w:t>
            </w:r>
          </w:p>
        </w:tc>
        <w:tc>
          <w:tcPr>
            <w:tcW w:w="1984" w:type="dxa"/>
            <w:tcBorders>
              <w:top w:val="nil"/>
              <w:left w:val="nil"/>
              <w:bottom w:val="nil"/>
              <w:right w:val="nil"/>
            </w:tcBorders>
            <w:shd w:val="clear" w:color="auto" w:fill="auto"/>
            <w:noWrap/>
            <w:hideMark/>
          </w:tcPr>
          <w:p w14:paraId="36EF5A54"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50068 </w:t>
            </w:r>
          </w:p>
        </w:tc>
      </w:tr>
      <w:tr w:rsidR="00893D77" w:rsidRPr="00893D77" w14:paraId="30DDD699" w14:textId="77777777" w:rsidTr="00E92FED">
        <w:trPr>
          <w:trHeight w:val="288"/>
        </w:trPr>
        <w:tc>
          <w:tcPr>
            <w:tcW w:w="851" w:type="dxa"/>
            <w:tcBorders>
              <w:top w:val="nil"/>
              <w:left w:val="nil"/>
              <w:bottom w:val="nil"/>
              <w:right w:val="nil"/>
            </w:tcBorders>
            <w:shd w:val="clear" w:color="auto" w:fill="auto"/>
            <w:noWrap/>
            <w:hideMark/>
          </w:tcPr>
          <w:p w14:paraId="34CE2BF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w:t>
            </w:r>
          </w:p>
        </w:tc>
        <w:tc>
          <w:tcPr>
            <w:tcW w:w="5386" w:type="dxa"/>
            <w:tcBorders>
              <w:top w:val="nil"/>
              <w:left w:val="nil"/>
              <w:bottom w:val="nil"/>
              <w:right w:val="nil"/>
            </w:tcBorders>
            <w:shd w:val="clear" w:color="auto" w:fill="auto"/>
            <w:hideMark/>
          </w:tcPr>
          <w:p w14:paraId="64793A0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自动喷水灭火系统设计规范</w:t>
            </w:r>
          </w:p>
        </w:tc>
        <w:tc>
          <w:tcPr>
            <w:tcW w:w="1984" w:type="dxa"/>
            <w:tcBorders>
              <w:top w:val="nil"/>
              <w:left w:val="nil"/>
              <w:bottom w:val="nil"/>
              <w:right w:val="nil"/>
            </w:tcBorders>
            <w:shd w:val="clear" w:color="auto" w:fill="auto"/>
            <w:noWrap/>
            <w:hideMark/>
          </w:tcPr>
          <w:p w14:paraId="19B4318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50084</w:t>
            </w:r>
          </w:p>
        </w:tc>
      </w:tr>
      <w:tr w:rsidR="00893D77" w:rsidRPr="00893D77" w14:paraId="50C64958" w14:textId="77777777" w:rsidTr="00E92FED">
        <w:trPr>
          <w:trHeight w:val="288"/>
        </w:trPr>
        <w:tc>
          <w:tcPr>
            <w:tcW w:w="851" w:type="dxa"/>
            <w:tcBorders>
              <w:top w:val="nil"/>
              <w:left w:val="nil"/>
              <w:bottom w:val="nil"/>
              <w:right w:val="nil"/>
            </w:tcBorders>
            <w:shd w:val="clear" w:color="auto" w:fill="auto"/>
            <w:noWrap/>
            <w:hideMark/>
          </w:tcPr>
          <w:p w14:paraId="497E8665"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14</w:t>
            </w:r>
          </w:p>
        </w:tc>
        <w:tc>
          <w:tcPr>
            <w:tcW w:w="5386" w:type="dxa"/>
            <w:tcBorders>
              <w:top w:val="nil"/>
              <w:left w:val="nil"/>
              <w:bottom w:val="nil"/>
              <w:right w:val="nil"/>
            </w:tcBorders>
            <w:shd w:val="clear" w:color="auto" w:fill="auto"/>
            <w:hideMark/>
          </w:tcPr>
          <w:p w14:paraId="15F6B03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铁路线路设计规范</w:t>
            </w:r>
          </w:p>
        </w:tc>
        <w:tc>
          <w:tcPr>
            <w:tcW w:w="1984" w:type="dxa"/>
            <w:tcBorders>
              <w:top w:val="nil"/>
              <w:left w:val="nil"/>
              <w:bottom w:val="nil"/>
              <w:right w:val="nil"/>
            </w:tcBorders>
            <w:shd w:val="clear" w:color="auto" w:fill="auto"/>
            <w:noWrap/>
            <w:hideMark/>
          </w:tcPr>
          <w:p w14:paraId="33D36B4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50090</w:t>
            </w:r>
          </w:p>
        </w:tc>
      </w:tr>
      <w:tr w:rsidR="00893D77" w:rsidRPr="00893D77" w14:paraId="3E493B44" w14:textId="77777777" w:rsidTr="00E92FED">
        <w:trPr>
          <w:trHeight w:val="288"/>
        </w:trPr>
        <w:tc>
          <w:tcPr>
            <w:tcW w:w="851" w:type="dxa"/>
            <w:tcBorders>
              <w:top w:val="nil"/>
              <w:left w:val="nil"/>
              <w:bottom w:val="nil"/>
              <w:right w:val="nil"/>
            </w:tcBorders>
            <w:shd w:val="clear" w:color="auto" w:fill="auto"/>
            <w:noWrap/>
            <w:hideMark/>
          </w:tcPr>
          <w:p w14:paraId="61F89FA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15</w:t>
            </w:r>
          </w:p>
        </w:tc>
        <w:tc>
          <w:tcPr>
            <w:tcW w:w="5386" w:type="dxa"/>
            <w:tcBorders>
              <w:top w:val="nil"/>
              <w:left w:val="nil"/>
              <w:bottom w:val="nil"/>
              <w:right w:val="nil"/>
            </w:tcBorders>
            <w:shd w:val="clear" w:color="auto" w:fill="auto"/>
            <w:hideMark/>
          </w:tcPr>
          <w:p w14:paraId="1A122FC6"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地下工程防水技术规范</w:t>
            </w:r>
          </w:p>
        </w:tc>
        <w:tc>
          <w:tcPr>
            <w:tcW w:w="1984" w:type="dxa"/>
            <w:tcBorders>
              <w:top w:val="nil"/>
              <w:left w:val="nil"/>
              <w:bottom w:val="nil"/>
              <w:right w:val="nil"/>
            </w:tcBorders>
            <w:shd w:val="clear" w:color="auto" w:fill="auto"/>
            <w:noWrap/>
            <w:hideMark/>
          </w:tcPr>
          <w:p w14:paraId="46BF91C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50108</w:t>
            </w:r>
          </w:p>
        </w:tc>
      </w:tr>
      <w:tr w:rsidR="00893D77" w:rsidRPr="00893D77" w14:paraId="1EACC116" w14:textId="77777777" w:rsidTr="00E92FED">
        <w:trPr>
          <w:trHeight w:val="288"/>
        </w:trPr>
        <w:tc>
          <w:tcPr>
            <w:tcW w:w="851" w:type="dxa"/>
            <w:tcBorders>
              <w:top w:val="nil"/>
              <w:left w:val="nil"/>
              <w:bottom w:val="nil"/>
              <w:right w:val="nil"/>
            </w:tcBorders>
            <w:shd w:val="clear" w:color="auto" w:fill="auto"/>
            <w:noWrap/>
            <w:hideMark/>
          </w:tcPr>
          <w:p w14:paraId="1A7378B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16</w:t>
            </w:r>
          </w:p>
        </w:tc>
        <w:tc>
          <w:tcPr>
            <w:tcW w:w="5386" w:type="dxa"/>
            <w:tcBorders>
              <w:top w:val="nil"/>
              <w:left w:val="nil"/>
              <w:bottom w:val="nil"/>
              <w:right w:val="nil"/>
            </w:tcBorders>
            <w:shd w:val="clear" w:color="auto" w:fill="auto"/>
            <w:hideMark/>
          </w:tcPr>
          <w:p w14:paraId="5AEAFC9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铁路工程抗震设计规范</w:t>
            </w:r>
          </w:p>
        </w:tc>
        <w:tc>
          <w:tcPr>
            <w:tcW w:w="1984" w:type="dxa"/>
            <w:tcBorders>
              <w:top w:val="nil"/>
              <w:left w:val="nil"/>
              <w:bottom w:val="nil"/>
              <w:right w:val="nil"/>
            </w:tcBorders>
            <w:shd w:val="clear" w:color="auto" w:fill="auto"/>
            <w:noWrap/>
            <w:hideMark/>
          </w:tcPr>
          <w:p w14:paraId="03E90D3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50111</w:t>
            </w:r>
          </w:p>
        </w:tc>
      </w:tr>
      <w:tr w:rsidR="00893D77" w:rsidRPr="00893D77" w14:paraId="76BE9CCD" w14:textId="77777777" w:rsidTr="00E92FED">
        <w:trPr>
          <w:trHeight w:val="288"/>
        </w:trPr>
        <w:tc>
          <w:tcPr>
            <w:tcW w:w="851" w:type="dxa"/>
            <w:tcBorders>
              <w:top w:val="nil"/>
              <w:left w:val="nil"/>
              <w:bottom w:val="nil"/>
              <w:right w:val="nil"/>
            </w:tcBorders>
            <w:shd w:val="clear" w:color="auto" w:fill="auto"/>
            <w:noWrap/>
            <w:hideMark/>
          </w:tcPr>
          <w:p w14:paraId="6478351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17</w:t>
            </w:r>
          </w:p>
        </w:tc>
        <w:tc>
          <w:tcPr>
            <w:tcW w:w="5386" w:type="dxa"/>
            <w:tcBorders>
              <w:top w:val="nil"/>
              <w:left w:val="nil"/>
              <w:bottom w:val="nil"/>
              <w:right w:val="nil"/>
            </w:tcBorders>
            <w:shd w:val="clear" w:color="auto" w:fill="auto"/>
            <w:hideMark/>
          </w:tcPr>
          <w:p w14:paraId="729AAEB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火灾自动报警系统设计规范</w:t>
            </w:r>
          </w:p>
        </w:tc>
        <w:tc>
          <w:tcPr>
            <w:tcW w:w="1984" w:type="dxa"/>
            <w:tcBorders>
              <w:top w:val="nil"/>
              <w:left w:val="nil"/>
              <w:bottom w:val="nil"/>
              <w:right w:val="nil"/>
            </w:tcBorders>
            <w:shd w:val="clear" w:color="auto" w:fill="auto"/>
            <w:noWrap/>
            <w:hideMark/>
          </w:tcPr>
          <w:p w14:paraId="332D951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50116</w:t>
            </w:r>
          </w:p>
        </w:tc>
      </w:tr>
      <w:tr w:rsidR="00893D77" w:rsidRPr="00893D77" w14:paraId="7D874977" w14:textId="77777777" w:rsidTr="00E92FED">
        <w:trPr>
          <w:trHeight w:val="288"/>
        </w:trPr>
        <w:tc>
          <w:tcPr>
            <w:tcW w:w="851" w:type="dxa"/>
            <w:tcBorders>
              <w:top w:val="nil"/>
              <w:left w:val="nil"/>
              <w:bottom w:val="nil"/>
              <w:right w:val="nil"/>
            </w:tcBorders>
            <w:shd w:val="clear" w:color="auto" w:fill="auto"/>
            <w:noWrap/>
            <w:hideMark/>
          </w:tcPr>
          <w:p w14:paraId="09925CD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18</w:t>
            </w:r>
          </w:p>
        </w:tc>
        <w:tc>
          <w:tcPr>
            <w:tcW w:w="5386" w:type="dxa"/>
            <w:tcBorders>
              <w:top w:val="nil"/>
              <w:left w:val="nil"/>
              <w:bottom w:val="nil"/>
              <w:right w:val="nil"/>
            </w:tcBorders>
            <w:shd w:val="clear" w:color="auto" w:fill="auto"/>
            <w:hideMark/>
          </w:tcPr>
          <w:p w14:paraId="4EFF403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内河通航标准</w:t>
            </w:r>
          </w:p>
        </w:tc>
        <w:tc>
          <w:tcPr>
            <w:tcW w:w="1984" w:type="dxa"/>
            <w:tcBorders>
              <w:top w:val="nil"/>
              <w:left w:val="nil"/>
              <w:bottom w:val="nil"/>
              <w:right w:val="nil"/>
            </w:tcBorders>
            <w:shd w:val="clear" w:color="auto" w:fill="auto"/>
            <w:noWrap/>
            <w:hideMark/>
          </w:tcPr>
          <w:p w14:paraId="3150A2E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50139</w:t>
            </w:r>
          </w:p>
        </w:tc>
      </w:tr>
      <w:tr w:rsidR="00893D77" w:rsidRPr="00893D77" w14:paraId="083F6622" w14:textId="77777777" w:rsidTr="00E92FED">
        <w:trPr>
          <w:trHeight w:val="288"/>
        </w:trPr>
        <w:tc>
          <w:tcPr>
            <w:tcW w:w="851" w:type="dxa"/>
            <w:tcBorders>
              <w:top w:val="nil"/>
              <w:left w:val="nil"/>
              <w:bottom w:val="nil"/>
              <w:right w:val="nil"/>
            </w:tcBorders>
            <w:shd w:val="clear" w:color="auto" w:fill="auto"/>
            <w:noWrap/>
            <w:hideMark/>
          </w:tcPr>
          <w:p w14:paraId="4A1A659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19</w:t>
            </w:r>
          </w:p>
        </w:tc>
        <w:tc>
          <w:tcPr>
            <w:tcW w:w="5386" w:type="dxa"/>
            <w:tcBorders>
              <w:top w:val="nil"/>
              <w:left w:val="nil"/>
              <w:bottom w:val="nil"/>
              <w:right w:val="nil"/>
            </w:tcBorders>
            <w:shd w:val="clear" w:color="auto" w:fill="auto"/>
            <w:hideMark/>
          </w:tcPr>
          <w:p w14:paraId="71B872B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建筑灭火器配置设计规范</w:t>
            </w:r>
          </w:p>
        </w:tc>
        <w:tc>
          <w:tcPr>
            <w:tcW w:w="1984" w:type="dxa"/>
            <w:tcBorders>
              <w:top w:val="nil"/>
              <w:left w:val="nil"/>
              <w:bottom w:val="nil"/>
              <w:right w:val="nil"/>
            </w:tcBorders>
            <w:shd w:val="clear" w:color="auto" w:fill="auto"/>
            <w:noWrap/>
            <w:hideMark/>
          </w:tcPr>
          <w:p w14:paraId="4C1622B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50140</w:t>
            </w:r>
          </w:p>
        </w:tc>
      </w:tr>
      <w:tr w:rsidR="00893D77" w:rsidRPr="00893D77" w14:paraId="4BE344DF" w14:textId="77777777" w:rsidTr="00E92FED">
        <w:trPr>
          <w:trHeight w:val="288"/>
        </w:trPr>
        <w:tc>
          <w:tcPr>
            <w:tcW w:w="851" w:type="dxa"/>
            <w:tcBorders>
              <w:top w:val="nil"/>
              <w:left w:val="nil"/>
              <w:bottom w:val="nil"/>
              <w:right w:val="nil"/>
            </w:tcBorders>
            <w:shd w:val="clear" w:color="auto" w:fill="auto"/>
            <w:noWrap/>
            <w:hideMark/>
          </w:tcPr>
          <w:p w14:paraId="033DE60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20</w:t>
            </w:r>
          </w:p>
        </w:tc>
        <w:tc>
          <w:tcPr>
            <w:tcW w:w="5386" w:type="dxa"/>
            <w:tcBorders>
              <w:top w:val="nil"/>
              <w:left w:val="nil"/>
              <w:bottom w:val="nil"/>
              <w:right w:val="nil"/>
            </w:tcBorders>
            <w:shd w:val="clear" w:color="auto" w:fill="auto"/>
            <w:hideMark/>
          </w:tcPr>
          <w:p w14:paraId="78AEF69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建筑设计防火规范</w:t>
            </w:r>
          </w:p>
        </w:tc>
        <w:tc>
          <w:tcPr>
            <w:tcW w:w="1984" w:type="dxa"/>
            <w:tcBorders>
              <w:top w:val="nil"/>
              <w:left w:val="nil"/>
              <w:bottom w:val="nil"/>
              <w:right w:val="nil"/>
            </w:tcBorders>
            <w:shd w:val="clear" w:color="auto" w:fill="auto"/>
            <w:noWrap/>
            <w:hideMark/>
          </w:tcPr>
          <w:p w14:paraId="6B37848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50016</w:t>
            </w:r>
          </w:p>
        </w:tc>
      </w:tr>
      <w:tr w:rsidR="00893D77" w:rsidRPr="00893D77" w14:paraId="5A060030" w14:textId="77777777" w:rsidTr="00E92FED">
        <w:trPr>
          <w:trHeight w:val="288"/>
        </w:trPr>
        <w:tc>
          <w:tcPr>
            <w:tcW w:w="851" w:type="dxa"/>
            <w:tcBorders>
              <w:top w:val="nil"/>
              <w:left w:val="nil"/>
              <w:bottom w:val="nil"/>
              <w:right w:val="nil"/>
            </w:tcBorders>
            <w:shd w:val="clear" w:color="auto" w:fill="auto"/>
            <w:noWrap/>
            <w:hideMark/>
          </w:tcPr>
          <w:p w14:paraId="68D5EA2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21</w:t>
            </w:r>
          </w:p>
        </w:tc>
        <w:tc>
          <w:tcPr>
            <w:tcW w:w="5386" w:type="dxa"/>
            <w:tcBorders>
              <w:top w:val="nil"/>
              <w:left w:val="nil"/>
              <w:bottom w:val="nil"/>
              <w:right w:val="nil"/>
            </w:tcBorders>
            <w:shd w:val="clear" w:color="auto" w:fill="auto"/>
            <w:hideMark/>
          </w:tcPr>
          <w:p w14:paraId="71852E36"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数据中心设计规范</w:t>
            </w:r>
          </w:p>
        </w:tc>
        <w:tc>
          <w:tcPr>
            <w:tcW w:w="1984" w:type="dxa"/>
            <w:tcBorders>
              <w:top w:val="nil"/>
              <w:left w:val="nil"/>
              <w:bottom w:val="nil"/>
              <w:right w:val="nil"/>
            </w:tcBorders>
            <w:shd w:val="clear" w:color="auto" w:fill="auto"/>
            <w:noWrap/>
            <w:hideMark/>
          </w:tcPr>
          <w:p w14:paraId="1D4ACF7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50174</w:t>
            </w:r>
          </w:p>
        </w:tc>
      </w:tr>
      <w:tr w:rsidR="00893D77" w:rsidRPr="00893D77" w14:paraId="60E94FBA" w14:textId="77777777" w:rsidTr="00E92FED">
        <w:trPr>
          <w:trHeight w:val="288"/>
        </w:trPr>
        <w:tc>
          <w:tcPr>
            <w:tcW w:w="851" w:type="dxa"/>
            <w:tcBorders>
              <w:top w:val="nil"/>
              <w:left w:val="nil"/>
              <w:bottom w:val="nil"/>
              <w:right w:val="nil"/>
            </w:tcBorders>
            <w:shd w:val="clear" w:color="auto" w:fill="auto"/>
            <w:noWrap/>
            <w:hideMark/>
          </w:tcPr>
          <w:p w14:paraId="33422A3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22</w:t>
            </w:r>
          </w:p>
        </w:tc>
        <w:tc>
          <w:tcPr>
            <w:tcW w:w="5386" w:type="dxa"/>
            <w:tcBorders>
              <w:top w:val="nil"/>
              <w:left w:val="nil"/>
              <w:bottom w:val="nil"/>
              <w:right w:val="nil"/>
            </w:tcBorders>
            <w:shd w:val="clear" w:color="auto" w:fill="auto"/>
            <w:hideMark/>
          </w:tcPr>
          <w:p w14:paraId="0C5A9F0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工业企业总平面设计规范</w:t>
            </w:r>
          </w:p>
        </w:tc>
        <w:tc>
          <w:tcPr>
            <w:tcW w:w="1984" w:type="dxa"/>
            <w:tcBorders>
              <w:top w:val="nil"/>
              <w:left w:val="nil"/>
              <w:bottom w:val="nil"/>
              <w:right w:val="nil"/>
            </w:tcBorders>
            <w:shd w:val="clear" w:color="auto" w:fill="auto"/>
            <w:noWrap/>
            <w:hideMark/>
          </w:tcPr>
          <w:p w14:paraId="0B94A77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50187 </w:t>
            </w:r>
          </w:p>
        </w:tc>
      </w:tr>
      <w:tr w:rsidR="00893D77" w:rsidRPr="00893D77" w14:paraId="0AA2DC59" w14:textId="77777777" w:rsidTr="00E92FED">
        <w:trPr>
          <w:trHeight w:val="288"/>
        </w:trPr>
        <w:tc>
          <w:tcPr>
            <w:tcW w:w="851" w:type="dxa"/>
            <w:tcBorders>
              <w:top w:val="nil"/>
              <w:left w:val="nil"/>
              <w:bottom w:val="nil"/>
              <w:right w:val="nil"/>
            </w:tcBorders>
            <w:shd w:val="clear" w:color="auto" w:fill="auto"/>
            <w:noWrap/>
            <w:hideMark/>
          </w:tcPr>
          <w:p w14:paraId="71A4880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23</w:t>
            </w:r>
          </w:p>
        </w:tc>
        <w:tc>
          <w:tcPr>
            <w:tcW w:w="5386" w:type="dxa"/>
            <w:tcBorders>
              <w:top w:val="nil"/>
              <w:left w:val="nil"/>
              <w:bottom w:val="nil"/>
              <w:right w:val="nil"/>
            </w:tcBorders>
            <w:shd w:val="clear" w:color="auto" w:fill="auto"/>
            <w:hideMark/>
          </w:tcPr>
          <w:p w14:paraId="50047A1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公共建筑节能设计标准</w:t>
            </w:r>
          </w:p>
        </w:tc>
        <w:tc>
          <w:tcPr>
            <w:tcW w:w="1984" w:type="dxa"/>
            <w:tcBorders>
              <w:top w:val="nil"/>
              <w:left w:val="nil"/>
              <w:bottom w:val="nil"/>
              <w:right w:val="nil"/>
            </w:tcBorders>
            <w:shd w:val="clear" w:color="auto" w:fill="auto"/>
            <w:noWrap/>
            <w:hideMark/>
          </w:tcPr>
          <w:p w14:paraId="56CCD20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50189</w:t>
            </w:r>
          </w:p>
        </w:tc>
      </w:tr>
      <w:tr w:rsidR="00893D77" w:rsidRPr="00893D77" w14:paraId="695FFC8C" w14:textId="77777777" w:rsidTr="00E92FED">
        <w:trPr>
          <w:trHeight w:val="288"/>
        </w:trPr>
        <w:tc>
          <w:tcPr>
            <w:tcW w:w="851" w:type="dxa"/>
            <w:tcBorders>
              <w:top w:val="nil"/>
              <w:left w:val="nil"/>
              <w:bottom w:val="nil"/>
              <w:right w:val="nil"/>
            </w:tcBorders>
            <w:shd w:val="clear" w:color="auto" w:fill="auto"/>
            <w:noWrap/>
            <w:hideMark/>
          </w:tcPr>
          <w:p w14:paraId="24EBE87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24</w:t>
            </w:r>
          </w:p>
        </w:tc>
        <w:tc>
          <w:tcPr>
            <w:tcW w:w="5386" w:type="dxa"/>
            <w:tcBorders>
              <w:top w:val="nil"/>
              <w:left w:val="nil"/>
              <w:bottom w:val="nil"/>
              <w:right w:val="nil"/>
            </w:tcBorders>
            <w:shd w:val="clear" w:color="auto" w:fill="auto"/>
            <w:hideMark/>
          </w:tcPr>
          <w:p w14:paraId="09422EE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电力工程电缆设计标准</w:t>
            </w:r>
          </w:p>
        </w:tc>
        <w:tc>
          <w:tcPr>
            <w:tcW w:w="1984" w:type="dxa"/>
            <w:tcBorders>
              <w:top w:val="nil"/>
              <w:left w:val="nil"/>
              <w:bottom w:val="nil"/>
              <w:right w:val="nil"/>
            </w:tcBorders>
            <w:shd w:val="clear" w:color="auto" w:fill="auto"/>
            <w:noWrap/>
            <w:hideMark/>
          </w:tcPr>
          <w:p w14:paraId="4B0DBED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50217</w:t>
            </w:r>
          </w:p>
        </w:tc>
      </w:tr>
      <w:tr w:rsidR="00893D77" w:rsidRPr="00893D77" w14:paraId="0FBFFC14" w14:textId="77777777" w:rsidTr="00E92FED">
        <w:trPr>
          <w:trHeight w:val="288"/>
        </w:trPr>
        <w:tc>
          <w:tcPr>
            <w:tcW w:w="851" w:type="dxa"/>
            <w:tcBorders>
              <w:top w:val="nil"/>
              <w:left w:val="nil"/>
              <w:bottom w:val="nil"/>
              <w:right w:val="nil"/>
            </w:tcBorders>
            <w:shd w:val="clear" w:color="auto" w:fill="auto"/>
            <w:noWrap/>
            <w:hideMark/>
          </w:tcPr>
          <w:p w14:paraId="2268860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25</w:t>
            </w:r>
          </w:p>
        </w:tc>
        <w:tc>
          <w:tcPr>
            <w:tcW w:w="5386" w:type="dxa"/>
            <w:tcBorders>
              <w:top w:val="nil"/>
              <w:left w:val="nil"/>
              <w:bottom w:val="nil"/>
              <w:right w:val="nil"/>
            </w:tcBorders>
            <w:shd w:val="clear" w:color="auto" w:fill="auto"/>
            <w:hideMark/>
          </w:tcPr>
          <w:p w14:paraId="1EEA044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建筑工程抗震设防分类标准</w:t>
            </w:r>
          </w:p>
        </w:tc>
        <w:tc>
          <w:tcPr>
            <w:tcW w:w="1984" w:type="dxa"/>
            <w:tcBorders>
              <w:top w:val="nil"/>
              <w:left w:val="nil"/>
              <w:bottom w:val="nil"/>
              <w:right w:val="nil"/>
            </w:tcBorders>
            <w:shd w:val="clear" w:color="auto" w:fill="auto"/>
            <w:noWrap/>
            <w:hideMark/>
          </w:tcPr>
          <w:p w14:paraId="12B39DF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50223</w:t>
            </w:r>
          </w:p>
        </w:tc>
      </w:tr>
      <w:tr w:rsidR="00893D77" w:rsidRPr="00893D77" w14:paraId="6B55BCCB" w14:textId="77777777" w:rsidTr="00E92FED">
        <w:trPr>
          <w:trHeight w:val="288"/>
        </w:trPr>
        <w:tc>
          <w:tcPr>
            <w:tcW w:w="851" w:type="dxa"/>
            <w:tcBorders>
              <w:top w:val="nil"/>
              <w:left w:val="nil"/>
              <w:bottom w:val="nil"/>
              <w:right w:val="nil"/>
            </w:tcBorders>
            <w:shd w:val="clear" w:color="auto" w:fill="auto"/>
            <w:noWrap/>
            <w:hideMark/>
          </w:tcPr>
          <w:p w14:paraId="53363B9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26</w:t>
            </w:r>
          </w:p>
        </w:tc>
        <w:tc>
          <w:tcPr>
            <w:tcW w:w="5386" w:type="dxa"/>
            <w:tcBorders>
              <w:top w:val="nil"/>
              <w:left w:val="nil"/>
              <w:bottom w:val="nil"/>
              <w:right w:val="nil"/>
            </w:tcBorders>
            <w:shd w:val="clear" w:color="auto" w:fill="auto"/>
            <w:hideMark/>
          </w:tcPr>
          <w:p w14:paraId="6299162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人民防空工程设计规范</w:t>
            </w:r>
          </w:p>
        </w:tc>
        <w:tc>
          <w:tcPr>
            <w:tcW w:w="1984" w:type="dxa"/>
            <w:tcBorders>
              <w:top w:val="nil"/>
              <w:left w:val="nil"/>
              <w:bottom w:val="nil"/>
              <w:right w:val="nil"/>
            </w:tcBorders>
            <w:shd w:val="clear" w:color="auto" w:fill="auto"/>
            <w:noWrap/>
            <w:hideMark/>
          </w:tcPr>
          <w:p w14:paraId="25F2B6A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50225</w:t>
            </w:r>
          </w:p>
        </w:tc>
      </w:tr>
      <w:tr w:rsidR="00893D77" w:rsidRPr="00893D77" w14:paraId="5574001C" w14:textId="77777777" w:rsidTr="00E92FED">
        <w:trPr>
          <w:trHeight w:val="288"/>
        </w:trPr>
        <w:tc>
          <w:tcPr>
            <w:tcW w:w="851" w:type="dxa"/>
            <w:tcBorders>
              <w:top w:val="nil"/>
              <w:left w:val="nil"/>
              <w:bottom w:val="nil"/>
              <w:right w:val="nil"/>
            </w:tcBorders>
            <w:shd w:val="clear" w:color="auto" w:fill="auto"/>
            <w:noWrap/>
            <w:hideMark/>
          </w:tcPr>
          <w:p w14:paraId="5338A45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27</w:t>
            </w:r>
          </w:p>
        </w:tc>
        <w:tc>
          <w:tcPr>
            <w:tcW w:w="5386" w:type="dxa"/>
            <w:tcBorders>
              <w:top w:val="nil"/>
              <w:left w:val="nil"/>
              <w:bottom w:val="nil"/>
              <w:right w:val="nil"/>
            </w:tcBorders>
            <w:shd w:val="clear" w:color="auto" w:fill="auto"/>
            <w:hideMark/>
          </w:tcPr>
          <w:p w14:paraId="3F0498E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城市电力规划规范</w:t>
            </w:r>
          </w:p>
        </w:tc>
        <w:tc>
          <w:tcPr>
            <w:tcW w:w="1984" w:type="dxa"/>
            <w:tcBorders>
              <w:top w:val="nil"/>
              <w:left w:val="nil"/>
              <w:bottom w:val="nil"/>
              <w:right w:val="nil"/>
            </w:tcBorders>
            <w:shd w:val="clear" w:color="auto" w:fill="auto"/>
            <w:noWrap/>
            <w:hideMark/>
          </w:tcPr>
          <w:p w14:paraId="2E6AE22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50293</w:t>
            </w:r>
          </w:p>
        </w:tc>
      </w:tr>
      <w:tr w:rsidR="00893D77" w:rsidRPr="00893D77" w14:paraId="3BE507A4" w14:textId="77777777" w:rsidTr="00E92FED">
        <w:trPr>
          <w:trHeight w:val="288"/>
        </w:trPr>
        <w:tc>
          <w:tcPr>
            <w:tcW w:w="851" w:type="dxa"/>
            <w:tcBorders>
              <w:top w:val="nil"/>
              <w:left w:val="nil"/>
              <w:bottom w:val="nil"/>
              <w:right w:val="nil"/>
            </w:tcBorders>
            <w:shd w:val="clear" w:color="auto" w:fill="auto"/>
            <w:noWrap/>
            <w:hideMark/>
          </w:tcPr>
          <w:p w14:paraId="5E35269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lastRenderedPageBreak/>
              <w:t>28</w:t>
            </w:r>
          </w:p>
        </w:tc>
        <w:tc>
          <w:tcPr>
            <w:tcW w:w="5386" w:type="dxa"/>
            <w:tcBorders>
              <w:top w:val="nil"/>
              <w:left w:val="nil"/>
              <w:bottom w:val="nil"/>
              <w:right w:val="nil"/>
            </w:tcBorders>
            <w:shd w:val="clear" w:color="auto" w:fill="auto"/>
            <w:hideMark/>
          </w:tcPr>
          <w:p w14:paraId="381712D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城市轨道交通岩土工程勘察规范</w:t>
            </w:r>
          </w:p>
        </w:tc>
        <w:tc>
          <w:tcPr>
            <w:tcW w:w="1984" w:type="dxa"/>
            <w:tcBorders>
              <w:top w:val="nil"/>
              <w:left w:val="nil"/>
              <w:bottom w:val="nil"/>
              <w:right w:val="nil"/>
            </w:tcBorders>
            <w:shd w:val="clear" w:color="auto" w:fill="auto"/>
            <w:noWrap/>
            <w:hideMark/>
          </w:tcPr>
          <w:p w14:paraId="683B096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50307</w:t>
            </w:r>
          </w:p>
        </w:tc>
      </w:tr>
      <w:tr w:rsidR="00893D77" w:rsidRPr="00893D77" w14:paraId="063BE25C" w14:textId="77777777" w:rsidTr="00E92FED">
        <w:trPr>
          <w:trHeight w:val="288"/>
        </w:trPr>
        <w:tc>
          <w:tcPr>
            <w:tcW w:w="851" w:type="dxa"/>
            <w:tcBorders>
              <w:top w:val="nil"/>
              <w:left w:val="nil"/>
              <w:bottom w:val="nil"/>
              <w:right w:val="nil"/>
            </w:tcBorders>
            <w:shd w:val="clear" w:color="auto" w:fill="auto"/>
            <w:noWrap/>
            <w:hideMark/>
          </w:tcPr>
          <w:p w14:paraId="5C62FA2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29</w:t>
            </w:r>
          </w:p>
        </w:tc>
        <w:tc>
          <w:tcPr>
            <w:tcW w:w="5386" w:type="dxa"/>
            <w:tcBorders>
              <w:top w:val="nil"/>
              <w:left w:val="nil"/>
              <w:bottom w:val="nil"/>
              <w:right w:val="nil"/>
            </w:tcBorders>
            <w:shd w:val="clear" w:color="auto" w:fill="auto"/>
            <w:hideMark/>
          </w:tcPr>
          <w:p w14:paraId="5C230F9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综合布线系统工程设计规范</w:t>
            </w:r>
          </w:p>
        </w:tc>
        <w:tc>
          <w:tcPr>
            <w:tcW w:w="1984" w:type="dxa"/>
            <w:tcBorders>
              <w:top w:val="nil"/>
              <w:left w:val="nil"/>
              <w:bottom w:val="nil"/>
              <w:right w:val="nil"/>
            </w:tcBorders>
            <w:shd w:val="clear" w:color="auto" w:fill="auto"/>
            <w:noWrap/>
            <w:hideMark/>
          </w:tcPr>
          <w:p w14:paraId="48191B5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50311</w:t>
            </w:r>
          </w:p>
        </w:tc>
      </w:tr>
      <w:tr w:rsidR="00893D77" w:rsidRPr="00893D77" w14:paraId="0FA01C6B" w14:textId="77777777" w:rsidTr="00E92FED">
        <w:trPr>
          <w:trHeight w:val="288"/>
        </w:trPr>
        <w:tc>
          <w:tcPr>
            <w:tcW w:w="851" w:type="dxa"/>
            <w:tcBorders>
              <w:top w:val="nil"/>
              <w:left w:val="nil"/>
              <w:bottom w:val="nil"/>
              <w:right w:val="nil"/>
            </w:tcBorders>
            <w:shd w:val="clear" w:color="auto" w:fill="auto"/>
            <w:noWrap/>
            <w:hideMark/>
          </w:tcPr>
          <w:p w14:paraId="4267848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30</w:t>
            </w:r>
          </w:p>
        </w:tc>
        <w:tc>
          <w:tcPr>
            <w:tcW w:w="5386" w:type="dxa"/>
            <w:tcBorders>
              <w:top w:val="nil"/>
              <w:left w:val="nil"/>
              <w:bottom w:val="nil"/>
              <w:right w:val="nil"/>
            </w:tcBorders>
            <w:shd w:val="clear" w:color="auto" w:fill="auto"/>
            <w:hideMark/>
          </w:tcPr>
          <w:p w14:paraId="185486E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建筑边坡工程技术规范</w:t>
            </w:r>
          </w:p>
        </w:tc>
        <w:tc>
          <w:tcPr>
            <w:tcW w:w="1984" w:type="dxa"/>
            <w:tcBorders>
              <w:top w:val="nil"/>
              <w:left w:val="nil"/>
              <w:bottom w:val="nil"/>
              <w:right w:val="nil"/>
            </w:tcBorders>
            <w:shd w:val="clear" w:color="auto" w:fill="auto"/>
            <w:noWrap/>
            <w:hideMark/>
          </w:tcPr>
          <w:p w14:paraId="7DC87E3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50330</w:t>
            </w:r>
          </w:p>
        </w:tc>
      </w:tr>
      <w:tr w:rsidR="00893D77" w:rsidRPr="00893D77" w14:paraId="3A4C5A51" w14:textId="77777777" w:rsidTr="00E92FED">
        <w:trPr>
          <w:trHeight w:val="288"/>
        </w:trPr>
        <w:tc>
          <w:tcPr>
            <w:tcW w:w="851" w:type="dxa"/>
            <w:tcBorders>
              <w:top w:val="nil"/>
              <w:left w:val="nil"/>
              <w:bottom w:val="nil"/>
              <w:right w:val="nil"/>
            </w:tcBorders>
            <w:shd w:val="clear" w:color="auto" w:fill="auto"/>
            <w:noWrap/>
            <w:hideMark/>
          </w:tcPr>
          <w:p w14:paraId="0C6EED25"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31</w:t>
            </w:r>
          </w:p>
        </w:tc>
        <w:tc>
          <w:tcPr>
            <w:tcW w:w="5386" w:type="dxa"/>
            <w:tcBorders>
              <w:top w:val="nil"/>
              <w:left w:val="nil"/>
              <w:bottom w:val="nil"/>
              <w:right w:val="nil"/>
            </w:tcBorders>
            <w:shd w:val="clear" w:color="auto" w:fill="auto"/>
            <w:hideMark/>
          </w:tcPr>
          <w:p w14:paraId="168C67B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建筑物电子信息系统防雷技术规范</w:t>
            </w:r>
          </w:p>
        </w:tc>
        <w:tc>
          <w:tcPr>
            <w:tcW w:w="1984" w:type="dxa"/>
            <w:tcBorders>
              <w:top w:val="nil"/>
              <w:left w:val="nil"/>
              <w:bottom w:val="nil"/>
              <w:right w:val="nil"/>
            </w:tcBorders>
            <w:shd w:val="clear" w:color="auto" w:fill="auto"/>
            <w:noWrap/>
            <w:hideMark/>
          </w:tcPr>
          <w:p w14:paraId="237428C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50343</w:t>
            </w:r>
          </w:p>
        </w:tc>
      </w:tr>
      <w:tr w:rsidR="00893D77" w:rsidRPr="00893D77" w14:paraId="4A27EEDC" w14:textId="77777777" w:rsidTr="00E92FED">
        <w:trPr>
          <w:trHeight w:val="288"/>
        </w:trPr>
        <w:tc>
          <w:tcPr>
            <w:tcW w:w="851" w:type="dxa"/>
            <w:tcBorders>
              <w:top w:val="nil"/>
              <w:left w:val="nil"/>
              <w:bottom w:val="nil"/>
              <w:right w:val="nil"/>
            </w:tcBorders>
            <w:shd w:val="clear" w:color="auto" w:fill="auto"/>
            <w:noWrap/>
            <w:hideMark/>
          </w:tcPr>
          <w:p w14:paraId="1E31A5F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32</w:t>
            </w:r>
          </w:p>
        </w:tc>
        <w:tc>
          <w:tcPr>
            <w:tcW w:w="5386" w:type="dxa"/>
            <w:tcBorders>
              <w:top w:val="nil"/>
              <w:left w:val="nil"/>
              <w:bottom w:val="nil"/>
              <w:right w:val="nil"/>
            </w:tcBorders>
            <w:shd w:val="clear" w:color="auto" w:fill="auto"/>
            <w:hideMark/>
          </w:tcPr>
          <w:p w14:paraId="71B9256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屋面工程技术规范</w:t>
            </w:r>
          </w:p>
        </w:tc>
        <w:tc>
          <w:tcPr>
            <w:tcW w:w="1984" w:type="dxa"/>
            <w:tcBorders>
              <w:top w:val="nil"/>
              <w:left w:val="nil"/>
              <w:bottom w:val="nil"/>
              <w:right w:val="nil"/>
            </w:tcBorders>
            <w:shd w:val="clear" w:color="auto" w:fill="auto"/>
            <w:noWrap/>
            <w:hideMark/>
          </w:tcPr>
          <w:p w14:paraId="66DD12D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50345</w:t>
            </w:r>
          </w:p>
        </w:tc>
      </w:tr>
      <w:tr w:rsidR="00893D77" w:rsidRPr="00893D77" w14:paraId="5A257EC2" w14:textId="77777777" w:rsidTr="00E92FED">
        <w:trPr>
          <w:trHeight w:val="288"/>
        </w:trPr>
        <w:tc>
          <w:tcPr>
            <w:tcW w:w="851" w:type="dxa"/>
            <w:tcBorders>
              <w:top w:val="nil"/>
              <w:left w:val="nil"/>
              <w:bottom w:val="nil"/>
              <w:right w:val="nil"/>
            </w:tcBorders>
            <w:shd w:val="clear" w:color="auto" w:fill="auto"/>
            <w:noWrap/>
            <w:hideMark/>
          </w:tcPr>
          <w:p w14:paraId="79034F53"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33</w:t>
            </w:r>
          </w:p>
        </w:tc>
        <w:tc>
          <w:tcPr>
            <w:tcW w:w="5386" w:type="dxa"/>
            <w:tcBorders>
              <w:top w:val="nil"/>
              <w:left w:val="nil"/>
              <w:bottom w:val="nil"/>
              <w:right w:val="nil"/>
            </w:tcBorders>
            <w:shd w:val="clear" w:color="auto" w:fill="auto"/>
            <w:hideMark/>
          </w:tcPr>
          <w:p w14:paraId="0F07287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入侵报警系统工程设计规范</w:t>
            </w:r>
          </w:p>
        </w:tc>
        <w:tc>
          <w:tcPr>
            <w:tcW w:w="1984" w:type="dxa"/>
            <w:tcBorders>
              <w:top w:val="nil"/>
              <w:left w:val="nil"/>
              <w:bottom w:val="nil"/>
              <w:right w:val="nil"/>
            </w:tcBorders>
            <w:shd w:val="clear" w:color="auto" w:fill="auto"/>
            <w:noWrap/>
            <w:hideMark/>
          </w:tcPr>
          <w:p w14:paraId="20A7A30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50394 </w:t>
            </w:r>
          </w:p>
        </w:tc>
      </w:tr>
      <w:tr w:rsidR="00893D77" w:rsidRPr="00893D77" w14:paraId="4C6FB98B" w14:textId="77777777" w:rsidTr="00E92FED">
        <w:trPr>
          <w:trHeight w:val="288"/>
        </w:trPr>
        <w:tc>
          <w:tcPr>
            <w:tcW w:w="851" w:type="dxa"/>
            <w:tcBorders>
              <w:top w:val="nil"/>
              <w:left w:val="nil"/>
              <w:bottom w:val="nil"/>
              <w:right w:val="nil"/>
            </w:tcBorders>
            <w:shd w:val="clear" w:color="auto" w:fill="auto"/>
            <w:noWrap/>
            <w:hideMark/>
          </w:tcPr>
          <w:p w14:paraId="6B7CBC0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34</w:t>
            </w:r>
          </w:p>
        </w:tc>
        <w:tc>
          <w:tcPr>
            <w:tcW w:w="5386" w:type="dxa"/>
            <w:tcBorders>
              <w:top w:val="nil"/>
              <w:left w:val="nil"/>
              <w:bottom w:val="nil"/>
              <w:right w:val="nil"/>
            </w:tcBorders>
            <w:shd w:val="clear" w:color="auto" w:fill="auto"/>
            <w:hideMark/>
          </w:tcPr>
          <w:p w14:paraId="2B474E4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城市轨道交通技术规范</w:t>
            </w:r>
          </w:p>
        </w:tc>
        <w:tc>
          <w:tcPr>
            <w:tcW w:w="1984" w:type="dxa"/>
            <w:tcBorders>
              <w:top w:val="nil"/>
              <w:left w:val="nil"/>
              <w:bottom w:val="nil"/>
              <w:right w:val="nil"/>
            </w:tcBorders>
            <w:shd w:val="clear" w:color="auto" w:fill="auto"/>
            <w:noWrap/>
            <w:hideMark/>
          </w:tcPr>
          <w:p w14:paraId="6993214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50490</w:t>
            </w:r>
          </w:p>
        </w:tc>
      </w:tr>
      <w:tr w:rsidR="00893D77" w:rsidRPr="00893D77" w14:paraId="65A79D20" w14:textId="77777777" w:rsidTr="00E92FED">
        <w:trPr>
          <w:trHeight w:val="288"/>
        </w:trPr>
        <w:tc>
          <w:tcPr>
            <w:tcW w:w="851" w:type="dxa"/>
            <w:tcBorders>
              <w:top w:val="nil"/>
              <w:left w:val="nil"/>
              <w:bottom w:val="nil"/>
              <w:right w:val="nil"/>
            </w:tcBorders>
            <w:shd w:val="clear" w:color="auto" w:fill="auto"/>
            <w:noWrap/>
            <w:hideMark/>
          </w:tcPr>
          <w:p w14:paraId="752DD7C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35</w:t>
            </w:r>
          </w:p>
        </w:tc>
        <w:tc>
          <w:tcPr>
            <w:tcW w:w="5386" w:type="dxa"/>
            <w:tcBorders>
              <w:top w:val="nil"/>
              <w:left w:val="nil"/>
              <w:bottom w:val="nil"/>
              <w:right w:val="nil"/>
            </w:tcBorders>
            <w:shd w:val="clear" w:color="auto" w:fill="auto"/>
            <w:hideMark/>
          </w:tcPr>
          <w:p w14:paraId="7ABC7FD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民用建筑节水设计标准</w:t>
            </w:r>
          </w:p>
        </w:tc>
        <w:tc>
          <w:tcPr>
            <w:tcW w:w="1984" w:type="dxa"/>
            <w:tcBorders>
              <w:top w:val="nil"/>
              <w:left w:val="nil"/>
              <w:bottom w:val="nil"/>
              <w:right w:val="nil"/>
            </w:tcBorders>
            <w:shd w:val="clear" w:color="auto" w:fill="auto"/>
            <w:noWrap/>
            <w:hideMark/>
          </w:tcPr>
          <w:p w14:paraId="2C80D63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50555</w:t>
            </w:r>
          </w:p>
        </w:tc>
      </w:tr>
      <w:tr w:rsidR="00893D77" w:rsidRPr="00893D77" w14:paraId="700E2EAB" w14:textId="77777777" w:rsidTr="00E92FED">
        <w:trPr>
          <w:trHeight w:val="288"/>
        </w:trPr>
        <w:tc>
          <w:tcPr>
            <w:tcW w:w="851" w:type="dxa"/>
            <w:tcBorders>
              <w:top w:val="nil"/>
              <w:left w:val="nil"/>
              <w:bottom w:val="nil"/>
              <w:right w:val="nil"/>
            </w:tcBorders>
            <w:shd w:val="clear" w:color="auto" w:fill="auto"/>
            <w:noWrap/>
            <w:hideMark/>
          </w:tcPr>
          <w:p w14:paraId="6A43D2F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36</w:t>
            </w:r>
          </w:p>
        </w:tc>
        <w:tc>
          <w:tcPr>
            <w:tcW w:w="5386" w:type="dxa"/>
            <w:tcBorders>
              <w:top w:val="nil"/>
              <w:left w:val="nil"/>
              <w:bottom w:val="nil"/>
              <w:right w:val="nil"/>
            </w:tcBorders>
            <w:shd w:val="clear" w:color="auto" w:fill="auto"/>
            <w:hideMark/>
          </w:tcPr>
          <w:p w14:paraId="4700BDE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城市轨道交通地下工程建设风险管理规范</w:t>
            </w:r>
          </w:p>
        </w:tc>
        <w:tc>
          <w:tcPr>
            <w:tcW w:w="1984" w:type="dxa"/>
            <w:tcBorders>
              <w:top w:val="nil"/>
              <w:left w:val="nil"/>
              <w:bottom w:val="nil"/>
              <w:right w:val="nil"/>
            </w:tcBorders>
            <w:shd w:val="clear" w:color="auto" w:fill="auto"/>
            <w:noWrap/>
            <w:hideMark/>
          </w:tcPr>
          <w:p w14:paraId="0282D41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50652</w:t>
            </w:r>
          </w:p>
        </w:tc>
      </w:tr>
      <w:tr w:rsidR="00893D77" w:rsidRPr="00893D77" w14:paraId="366071FD" w14:textId="77777777" w:rsidTr="00E92FED">
        <w:trPr>
          <w:trHeight w:val="288"/>
        </w:trPr>
        <w:tc>
          <w:tcPr>
            <w:tcW w:w="851" w:type="dxa"/>
            <w:tcBorders>
              <w:top w:val="nil"/>
              <w:left w:val="nil"/>
              <w:bottom w:val="nil"/>
              <w:right w:val="nil"/>
            </w:tcBorders>
            <w:shd w:val="clear" w:color="auto" w:fill="auto"/>
            <w:noWrap/>
            <w:hideMark/>
          </w:tcPr>
          <w:p w14:paraId="6B21538D"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37</w:t>
            </w:r>
          </w:p>
        </w:tc>
        <w:tc>
          <w:tcPr>
            <w:tcW w:w="5386" w:type="dxa"/>
            <w:tcBorders>
              <w:top w:val="nil"/>
              <w:left w:val="nil"/>
              <w:bottom w:val="nil"/>
              <w:right w:val="nil"/>
            </w:tcBorders>
            <w:shd w:val="clear" w:color="auto" w:fill="auto"/>
            <w:hideMark/>
          </w:tcPr>
          <w:p w14:paraId="788F3BA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无障碍设计规范</w:t>
            </w:r>
          </w:p>
        </w:tc>
        <w:tc>
          <w:tcPr>
            <w:tcW w:w="1984" w:type="dxa"/>
            <w:tcBorders>
              <w:top w:val="nil"/>
              <w:left w:val="nil"/>
              <w:bottom w:val="nil"/>
              <w:right w:val="nil"/>
            </w:tcBorders>
            <w:shd w:val="clear" w:color="auto" w:fill="auto"/>
            <w:noWrap/>
            <w:hideMark/>
          </w:tcPr>
          <w:p w14:paraId="29F1A55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50763</w:t>
            </w:r>
          </w:p>
        </w:tc>
      </w:tr>
      <w:tr w:rsidR="00893D77" w:rsidRPr="00893D77" w14:paraId="6C8A2AE8" w14:textId="77777777" w:rsidTr="00E92FED">
        <w:trPr>
          <w:trHeight w:val="288"/>
        </w:trPr>
        <w:tc>
          <w:tcPr>
            <w:tcW w:w="851" w:type="dxa"/>
            <w:tcBorders>
              <w:top w:val="nil"/>
              <w:left w:val="nil"/>
              <w:bottom w:val="nil"/>
              <w:right w:val="nil"/>
            </w:tcBorders>
            <w:shd w:val="clear" w:color="auto" w:fill="auto"/>
            <w:noWrap/>
            <w:hideMark/>
          </w:tcPr>
          <w:p w14:paraId="2D01D50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38</w:t>
            </w:r>
          </w:p>
        </w:tc>
        <w:tc>
          <w:tcPr>
            <w:tcW w:w="5386" w:type="dxa"/>
            <w:tcBorders>
              <w:top w:val="nil"/>
              <w:left w:val="nil"/>
              <w:bottom w:val="nil"/>
              <w:right w:val="nil"/>
            </w:tcBorders>
            <w:shd w:val="clear" w:color="auto" w:fill="auto"/>
            <w:hideMark/>
          </w:tcPr>
          <w:p w14:paraId="3A56000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城市轨道交通结构抗震设计规范</w:t>
            </w:r>
          </w:p>
        </w:tc>
        <w:tc>
          <w:tcPr>
            <w:tcW w:w="1984" w:type="dxa"/>
            <w:tcBorders>
              <w:top w:val="nil"/>
              <w:left w:val="nil"/>
              <w:bottom w:val="nil"/>
              <w:right w:val="nil"/>
            </w:tcBorders>
            <w:shd w:val="clear" w:color="auto" w:fill="auto"/>
            <w:noWrap/>
            <w:hideMark/>
          </w:tcPr>
          <w:p w14:paraId="104CC76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50909</w:t>
            </w:r>
          </w:p>
        </w:tc>
      </w:tr>
      <w:tr w:rsidR="00893D77" w:rsidRPr="00893D77" w14:paraId="70FF0DC5" w14:textId="77777777" w:rsidTr="00E92FED">
        <w:trPr>
          <w:trHeight w:val="288"/>
        </w:trPr>
        <w:tc>
          <w:tcPr>
            <w:tcW w:w="851" w:type="dxa"/>
            <w:tcBorders>
              <w:top w:val="nil"/>
              <w:left w:val="nil"/>
              <w:bottom w:val="nil"/>
              <w:right w:val="nil"/>
            </w:tcBorders>
            <w:shd w:val="clear" w:color="auto" w:fill="auto"/>
            <w:noWrap/>
            <w:hideMark/>
          </w:tcPr>
          <w:p w14:paraId="0B9CEF7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39</w:t>
            </w:r>
          </w:p>
        </w:tc>
        <w:tc>
          <w:tcPr>
            <w:tcW w:w="5386" w:type="dxa"/>
            <w:tcBorders>
              <w:top w:val="nil"/>
              <w:left w:val="nil"/>
              <w:bottom w:val="nil"/>
              <w:right w:val="nil"/>
            </w:tcBorders>
            <w:shd w:val="clear" w:color="auto" w:fill="auto"/>
            <w:hideMark/>
          </w:tcPr>
          <w:p w14:paraId="1E9C1C6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城市轨道交通工程监测技术规范</w:t>
            </w:r>
          </w:p>
        </w:tc>
        <w:tc>
          <w:tcPr>
            <w:tcW w:w="1984" w:type="dxa"/>
            <w:tcBorders>
              <w:top w:val="nil"/>
              <w:left w:val="nil"/>
              <w:bottom w:val="nil"/>
              <w:right w:val="nil"/>
            </w:tcBorders>
            <w:shd w:val="clear" w:color="auto" w:fill="auto"/>
            <w:noWrap/>
            <w:hideMark/>
          </w:tcPr>
          <w:p w14:paraId="65FB33C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50911</w:t>
            </w:r>
          </w:p>
        </w:tc>
      </w:tr>
      <w:tr w:rsidR="00893D77" w:rsidRPr="00893D77" w14:paraId="59059A2F" w14:textId="77777777" w:rsidTr="00E92FED">
        <w:trPr>
          <w:trHeight w:val="288"/>
        </w:trPr>
        <w:tc>
          <w:tcPr>
            <w:tcW w:w="851" w:type="dxa"/>
            <w:tcBorders>
              <w:top w:val="nil"/>
              <w:left w:val="nil"/>
              <w:bottom w:val="nil"/>
              <w:right w:val="nil"/>
            </w:tcBorders>
            <w:shd w:val="clear" w:color="auto" w:fill="auto"/>
            <w:noWrap/>
            <w:hideMark/>
          </w:tcPr>
          <w:p w14:paraId="03C037A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40</w:t>
            </w:r>
          </w:p>
        </w:tc>
        <w:tc>
          <w:tcPr>
            <w:tcW w:w="5386" w:type="dxa"/>
            <w:tcBorders>
              <w:top w:val="nil"/>
              <w:left w:val="nil"/>
              <w:bottom w:val="nil"/>
              <w:right w:val="nil"/>
            </w:tcBorders>
            <w:shd w:val="clear" w:color="auto" w:fill="auto"/>
            <w:hideMark/>
          </w:tcPr>
          <w:p w14:paraId="0023C98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消防给水及消火栓系统技术规范</w:t>
            </w:r>
          </w:p>
        </w:tc>
        <w:tc>
          <w:tcPr>
            <w:tcW w:w="1984" w:type="dxa"/>
            <w:tcBorders>
              <w:top w:val="nil"/>
              <w:left w:val="nil"/>
              <w:bottom w:val="nil"/>
              <w:right w:val="nil"/>
            </w:tcBorders>
            <w:shd w:val="clear" w:color="auto" w:fill="auto"/>
            <w:noWrap/>
            <w:hideMark/>
          </w:tcPr>
          <w:p w14:paraId="77F6FAE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50974</w:t>
            </w:r>
          </w:p>
        </w:tc>
      </w:tr>
      <w:tr w:rsidR="00893D77" w:rsidRPr="00893D77" w14:paraId="0D4B6A02" w14:textId="77777777" w:rsidTr="00E92FED">
        <w:trPr>
          <w:trHeight w:val="288"/>
        </w:trPr>
        <w:tc>
          <w:tcPr>
            <w:tcW w:w="851" w:type="dxa"/>
            <w:tcBorders>
              <w:top w:val="nil"/>
              <w:left w:val="nil"/>
              <w:bottom w:val="nil"/>
              <w:right w:val="nil"/>
            </w:tcBorders>
            <w:shd w:val="clear" w:color="auto" w:fill="auto"/>
            <w:noWrap/>
            <w:hideMark/>
          </w:tcPr>
          <w:p w14:paraId="46F8F2F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41</w:t>
            </w:r>
          </w:p>
        </w:tc>
        <w:tc>
          <w:tcPr>
            <w:tcW w:w="5386" w:type="dxa"/>
            <w:tcBorders>
              <w:top w:val="nil"/>
              <w:left w:val="nil"/>
              <w:bottom w:val="nil"/>
              <w:right w:val="nil"/>
            </w:tcBorders>
            <w:shd w:val="clear" w:color="auto" w:fill="auto"/>
            <w:hideMark/>
          </w:tcPr>
          <w:p w14:paraId="578CB05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工业建筑节能设计统一标准</w:t>
            </w:r>
          </w:p>
        </w:tc>
        <w:tc>
          <w:tcPr>
            <w:tcW w:w="1984" w:type="dxa"/>
            <w:tcBorders>
              <w:top w:val="nil"/>
              <w:left w:val="nil"/>
              <w:bottom w:val="nil"/>
              <w:right w:val="nil"/>
            </w:tcBorders>
            <w:shd w:val="clear" w:color="auto" w:fill="auto"/>
            <w:noWrap/>
            <w:hideMark/>
          </w:tcPr>
          <w:p w14:paraId="4B54BFB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51245</w:t>
            </w:r>
          </w:p>
        </w:tc>
      </w:tr>
      <w:tr w:rsidR="00893D77" w:rsidRPr="00893D77" w14:paraId="0E92A5D8" w14:textId="77777777" w:rsidTr="00E92FED">
        <w:trPr>
          <w:trHeight w:val="288"/>
        </w:trPr>
        <w:tc>
          <w:tcPr>
            <w:tcW w:w="851" w:type="dxa"/>
            <w:tcBorders>
              <w:top w:val="nil"/>
              <w:left w:val="nil"/>
              <w:bottom w:val="nil"/>
              <w:right w:val="nil"/>
            </w:tcBorders>
            <w:shd w:val="clear" w:color="auto" w:fill="auto"/>
            <w:noWrap/>
            <w:hideMark/>
          </w:tcPr>
          <w:p w14:paraId="212E8DB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42</w:t>
            </w:r>
          </w:p>
        </w:tc>
        <w:tc>
          <w:tcPr>
            <w:tcW w:w="5386" w:type="dxa"/>
            <w:tcBorders>
              <w:top w:val="nil"/>
              <w:left w:val="nil"/>
              <w:bottom w:val="nil"/>
              <w:right w:val="nil"/>
            </w:tcBorders>
            <w:shd w:val="clear" w:color="auto" w:fill="auto"/>
            <w:hideMark/>
          </w:tcPr>
          <w:p w14:paraId="120082A6"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建筑防烟排烟系统技术标准</w:t>
            </w:r>
          </w:p>
        </w:tc>
        <w:tc>
          <w:tcPr>
            <w:tcW w:w="1984" w:type="dxa"/>
            <w:tcBorders>
              <w:top w:val="nil"/>
              <w:left w:val="nil"/>
              <w:bottom w:val="nil"/>
              <w:right w:val="nil"/>
            </w:tcBorders>
            <w:shd w:val="clear" w:color="auto" w:fill="auto"/>
            <w:noWrap/>
            <w:hideMark/>
          </w:tcPr>
          <w:p w14:paraId="38A0DED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51251 </w:t>
            </w:r>
          </w:p>
        </w:tc>
      </w:tr>
      <w:tr w:rsidR="00893D77" w:rsidRPr="00893D77" w14:paraId="025CEDE9" w14:textId="77777777" w:rsidTr="00E92FED">
        <w:trPr>
          <w:trHeight w:val="288"/>
        </w:trPr>
        <w:tc>
          <w:tcPr>
            <w:tcW w:w="851" w:type="dxa"/>
            <w:tcBorders>
              <w:top w:val="nil"/>
              <w:left w:val="nil"/>
              <w:bottom w:val="nil"/>
              <w:right w:val="nil"/>
            </w:tcBorders>
            <w:shd w:val="clear" w:color="auto" w:fill="auto"/>
            <w:noWrap/>
            <w:hideMark/>
          </w:tcPr>
          <w:p w14:paraId="2AF115F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43</w:t>
            </w:r>
          </w:p>
        </w:tc>
        <w:tc>
          <w:tcPr>
            <w:tcW w:w="5386" w:type="dxa"/>
            <w:tcBorders>
              <w:top w:val="nil"/>
              <w:left w:val="nil"/>
              <w:bottom w:val="nil"/>
              <w:right w:val="nil"/>
            </w:tcBorders>
            <w:shd w:val="clear" w:color="auto" w:fill="auto"/>
            <w:hideMark/>
          </w:tcPr>
          <w:p w14:paraId="7DE4EEB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地铁设计防火标准</w:t>
            </w:r>
          </w:p>
        </w:tc>
        <w:tc>
          <w:tcPr>
            <w:tcW w:w="1984" w:type="dxa"/>
            <w:tcBorders>
              <w:top w:val="nil"/>
              <w:left w:val="nil"/>
              <w:bottom w:val="nil"/>
              <w:right w:val="nil"/>
            </w:tcBorders>
            <w:shd w:val="clear" w:color="auto" w:fill="auto"/>
            <w:noWrap/>
            <w:hideMark/>
          </w:tcPr>
          <w:p w14:paraId="52A7971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51298</w:t>
            </w:r>
          </w:p>
        </w:tc>
      </w:tr>
      <w:tr w:rsidR="00893D77" w:rsidRPr="00893D77" w14:paraId="7E3EFB63" w14:textId="77777777" w:rsidTr="00E92FED">
        <w:trPr>
          <w:trHeight w:val="288"/>
        </w:trPr>
        <w:tc>
          <w:tcPr>
            <w:tcW w:w="851" w:type="dxa"/>
            <w:tcBorders>
              <w:top w:val="nil"/>
              <w:left w:val="nil"/>
              <w:bottom w:val="nil"/>
              <w:right w:val="nil"/>
            </w:tcBorders>
            <w:shd w:val="clear" w:color="auto" w:fill="auto"/>
            <w:noWrap/>
            <w:hideMark/>
          </w:tcPr>
          <w:p w14:paraId="421FA3DD"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44</w:t>
            </w:r>
          </w:p>
        </w:tc>
        <w:tc>
          <w:tcPr>
            <w:tcW w:w="5386" w:type="dxa"/>
            <w:tcBorders>
              <w:top w:val="nil"/>
              <w:left w:val="nil"/>
              <w:bottom w:val="nil"/>
              <w:right w:val="nil"/>
            </w:tcBorders>
            <w:shd w:val="clear" w:color="auto" w:fill="auto"/>
            <w:hideMark/>
          </w:tcPr>
          <w:p w14:paraId="52DE332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建筑与市政工程无障碍通用规范</w:t>
            </w:r>
          </w:p>
        </w:tc>
        <w:tc>
          <w:tcPr>
            <w:tcW w:w="1984" w:type="dxa"/>
            <w:tcBorders>
              <w:top w:val="nil"/>
              <w:left w:val="nil"/>
              <w:bottom w:val="nil"/>
              <w:right w:val="nil"/>
            </w:tcBorders>
            <w:shd w:val="clear" w:color="auto" w:fill="auto"/>
            <w:noWrap/>
            <w:hideMark/>
          </w:tcPr>
          <w:p w14:paraId="315E005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55019</w:t>
            </w:r>
          </w:p>
        </w:tc>
      </w:tr>
      <w:tr w:rsidR="00893D77" w:rsidRPr="00893D77" w14:paraId="7CB8D0E0" w14:textId="77777777" w:rsidTr="00E92FED">
        <w:trPr>
          <w:trHeight w:val="288"/>
        </w:trPr>
        <w:tc>
          <w:tcPr>
            <w:tcW w:w="851" w:type="dxa"/>
            <w:tcBorders>
              <w:top w:val="nil"/>
              <w:left w:val="nil"/>
              <w:bottom w:val="nil"/>
              <w:right w:val="nil"/>
            </w:tcBorders>
            <w:shd w:val="clear" w:color="auto" w:fill="auto"/>
            <w:noWrap/>
            <w:hideMark/>
          </w:tcPr>
          <w:p w14:paraId="513F0E9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45</w:t>
            </w:r>
          </w:p>
        </w:tc>
        <w:tc>
          <w:tcPr>
            <w:tcW w:w="5386" w:type="dxa"/>
            <w:tcBorders>
              <w:top w:val="nil"/>
              <w:left w:val="nil"/>
              <w:bottom w:val="nil"/>
              <w:right w:val="nil"/>
            </w:tcBorders>
            <w:shd w:val="clear" w:color="auto" w:fill="auto"/>
            <w:hideMark/>
          </w:tcPr>
          <w:p w14:paraId="7B204412"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城市轨道交通工程项目规范</w:t>
            </w:r>
          </w:p>
        </w:tc>
        <w:tc>
          <w:tcPr>
            <w:tcW w:w="1984" w:type="dxa"/>
            <w:tcBorders>
              <w:top w:val="nil"/>
              <w:left w:val="nil"/>
              <w:bottom w:val="nil"/>
              <w:right w:val="nil"/>
            </w:tcBorders>
            <w:shd w:val="clear" w:color="auto" w:fill="auto"/>
            <w:noWrap/>
            <w:hideMark/>
          </w:tcPr>
          <w:p w14:paraId="1FE058B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55033</w:t>
            </w:r>
          </w:p>
        </w:tc>
      </w:tr>
      <w:tr w:rsidR="00893D77" w:rsidRPr="00893D77" w14:paraId="388C8F55" w14:textId="77777777" w:rsidTr="00E92FED">
        <w:trPr>
          <w:trHeight w:val="288"/>
        </w:trPr>
        <w:tc>
          <w:tcPr>
            <w:tcW w:w="851" w:type="dxa"/>
            <w:tcBorders>
              <w:top w:val="nil"/>
              <w:left w:val="nil"/>
              <w:bottom w:val="nil"/>
              <w:right w:val="nil"/>
            </w:tcBorders>
            <w:shd w:val="clear" w:color="auto" w:fill="auto"/>
            <w:noWrap/>
            <w:hideMark/>
          </w:tcPr>
          <w:p w14:paraId="5932248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46</w:t>
            </w:r>
          </w:p>
        </w:tc>
        <w:tc>
          <w:tcPr>
            <w:tcW w:w="5386" w:type="dxa"/>
            <w:tcBorders>
              <w:top w:val="nil"/>
              <w:left w:val="nil"/>
              <w:bottom w:val="nil"/>
              <w:right w:val="nil"/>
            </w:tcBorders>
            <w:shd w:val="clear" w:color="auto" w:fill="auto"/>
            <w:hideMark/>
          </w:tcPr>
          <w:p w14:paraId="73AF178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声环境质量标准</w:t>
            </w:r>
          </w:p>
        </w:tc>
        <w:tc>
          <w:tcPr>
            <w:tcW w:w="1984" w:type="dxa"/>
            <w:tcBorders>
              <w:top w:val="nil"/>
              <w:left w:val="nil"/>
              <w:bottom w:val="nil"/>
              <w:right w:val="nil"/>
            </w:tcBorders>
            <w:shd w:val="clear" w:color="auto" w:fill="auto"/>
            <w:noWrap/>
            <w:hideMark/>
          </w:tcPr>
          <w:p w14:paraId="1F270F8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3096</w:t>
            </w:r>
          </w:p>
        </w:tc>
      </w:tr>
      <w:tr w:rsidR="00893D77" w:rsidRPr="00893D77" w14:paraId="14382199" w14:textId="77777777" w:rsidTr="00E92FED">
        <w:trPr>
          <w:trHeight w:val="288"/>
        </w:trPr>
        <w:tc>
          <w:tcPr>
            <w:tcW w:w="851" w:type="dxa"/>
            <w:tcBorders>
              <w:top w:val="nil"/>
              <w:left w:val="nil"/>
              <w:bottom w:val="nil"/>
              <w:right w:val="nil"/>
            </w:tcBorders>
            <w:shd w:val="clear" w:color="auto" w:fill="auto"/>
            <w:noWrap/>
            <w:hideMark/>
          </w:tcPr>
          <w:p w14:paraId="0363741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47</w:t>
            </w:r>
          </w:p>
        </w:tc>
        <w:tc>
          <w:tcPr>
            <w:tcW w:w="5386" w:type="dxa"/>
            <w:tcBorders>
              <w:top w:val="nil"/>
              <w:left w:val="nil"/>
              <w:bottom w:val="nil"/>
              <w:right w:val="nil"/>
            </w:tcBorders>
            <w:shd w:val="clear" w:color="auto" w:fill="auto"/>
            <w:hideMark/>
          </w:tcPr>
          <w:p w14:paraId="19686EE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低压电器外壳防护等级</w:t>
            </w:r>
          </w:p>
        </w:tc>
        <w:tc>
          <w:tcPr>
            <w:tcW w:w="1984" w:type="dxa"/>
            <w:tcBorders>
              <w:top w:val="nil"/>
              <w:left w:val="nil"/>
              <w:bottom w:val="nil"/>
              <w:right w:val="nil"/>
            </w:tcBorders>
            <w:shd w:val="clear" w:color="auto" w:fill="auto"/>
            <w:noWrap/>
            <w:hideMark/>
          </w:tcPr>
          <w:p w14:paraId="5672FBF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4942.2</w:t>
            </w:r>
          </w:p>
        </w:tc>
      </w:tr>
      <w:tr w:rsidR="00893D77" w:rsidRPr="00893D77" w14:paraId="6FE80AB8" w14:textId="77777777" w:rsidTr="00E92FED">
        <w:trPr>
          <w:trHeight w:val="288"/>
        </w:trPr>
        <w:tc>
          <w:tcPr>
            <w:tcW w:w="851" w:type="dxa"/>
            <w:tcBorders>
              <w:top w:val="nil"/>
              <w:left w:val="nil"/>
              <w:bottom w:val="nil"/>
              <w:right w:val="nil"/>
            </w:tcBorders>
            <w:shd w:val="clear" w:color="auto" w:fill="auto"/>
            <w:noWrap/>
            <w:hideMark/>
          </w:tcPr>
          <w:p w14:paraId="486DA44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48</w:t>
            </w:r>
          </w:p>
        </w:tc>
        <w:tc>
          <w:tcPr>
            <w:tcW w:w="5386" w:type="dxa"/>
            <w:tcBorders>
              <w:top w:val="nil"/>
              <w:left w:val="nil"/>
              <w:bottom w:val="nil"/>
              <w:right w:val="nil"/>
            </w:tcBorders>
            <w:shd w:val="clear" w:color="auto" w:fill="auto"/>
            <w:hideMark/>
          </w:tcPr>
          <w:p w14:paraId="31440C63"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铁道车辆动力学性能评定和试验鉴定规范</w:t>
            </w:r>
          </w:p>
        </w:tc>
        <w:tc>
          <w:tcPr>
            <w:tcW w:w="1984" w:type="dxa"/>
            <w:tcBorders>
              <w:top w:val="nil"/>
              <w:left w:val="nil"/>
              <w:bottom w:val="nil"/>
              <w:right w:val="nil"/>
            </w:tcBorders>
            <w:shd w:val="clear" w:color="auto" w:fill="auto"/>
            <w:noWrap/>
            <w:hideMark/>
          </w:tcPr>
          <w:p w14:paraId="1A9C0E94"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5599</w:t>
            </w:r>
          </w:p>
        </w:tc>
      </w:tr>
      <w:tr w:rsidR="00893D77" w:rsidRPr="00893D77" w14:paraId="3FD6AA09" w14:textId="77777777" w:rsidTr="00E92FED">
        <w:trPr>
          <w:trHeight w:val="288"/>
        </w:trPr>
        <w:tc>
          <w:tcPr>
            <w:tcW w:w="851" w:type="dxa"/>
            <w:tcBorders>
              <w:top w:val="nil"/>
              <w:left w:val="nil"/>
              <w:bottom w:val="nil"/>
              <w:right w:val="nil"/>
            </w:tcBorders>
            <w:shd w:val="clear" w:color="auto" w:fill="auto"/>
            <w:noWrap/>
            <w:hideMark/>
          </w:tcPr>
          <w:p w14:paraId="33F03592"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49</w:t>
            </w:r>
          </w:p>
        </w:tc>
        <w:tc>
          <w:tcPr>
            <w:tcW w:w="5386" w:type="dxa"/>
            <w:tcBorders>
              <w:top w:val="nil"/>
              <w:left w:val="nil"/>
              <w:bottom w:val="nil"/>
              <w:right w:val="nil"/>
            </w:tcBorders>
            <w:shd w:val="clear" w:color="auto" w:fill="auto"/>
            <w:hideMark/>
          </w:tcPr>
          <w:p w14:paraId="2143FE4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生活饮用水卫生标准</w:t>
            </w:r>
          </w:p>
        </w:tc>
        <w:tc>
          <w:tcPr>
            <w:tcW w:w="1984" w:type="dxa"/>
            <w:tcBorders>
              <w:top w:val="nil"/>
              <w:left w:val="nil"/>
              <w:bottom w:val="nil"/>
              <w:right w:val="nil"/>
            </w:tcBorders>
            <w:shd w:val="clear" w:color="auto" w:fill="auto"/>
            <w:noWrap/>
            <w:hideMark/>
          </w:tcPr>
          <w:p w14:paraId="487EB44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5749</w:t>
            </w:r>
          </w:p>
        </w:tc>
      </w:tr>
      <w:tr w:rsidR="00893D77" w:rsidRPr="00893D77" w14:paraId="329A7650" w14:textId="77777777" w:rsidTr="00E92FED">
        <w:trPr>
          <w:trHeight w:val="288"/>
        </w:trPr>
        <w:tc>
          <w:tcPr>
            <w:tcW w:w="851" w:type="dxa"/>
            <w:tcBorders>
              <w:top w:val="nil"/>
              <w:left w:val="nil"/>
              <w:bottom w:val="nil"/>
              <w:right w:val="nil"/>
            </w:tcBorders>
            <w:shd w:val="clear" w:color="auto" w:fill="auto"/>
            <w:noWrap/>
            <w:hideMark/>
          </w:tcPr>
          <w:p w14:paraId="2945F57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50</w:t>
            </w:r>
          </w:p>
        </w:tc>
        <w:tc>
          <w:tcPr>
            <w:tcW w:w="5386" w:type="dxa"/>
            <w:tcBorders>
              <w:top w:val="nil"/>
              <w:left w:val="nil"/>
              <w:bottom w:val="nil"/>
              <w:right w:val="nil"/>
            </w:tcBorders>
            <w:shd w:val="clear" w:color="auto" w:fill="auto"/>
            <w:hideMark/>
          </w:tcPr>
          <w:p w14:paraId="7BE76432"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爆破安全规程</w:t>
            </w:r>
          </w:p>
        </w:tc>
        <w:tc>
          <w:tcPr>
            <w:tcW w:w="1984" w:type="dxa"/>
            <w:tcBorders>
              <w:top w:val="nil"/>
              <w:left w:val="nil"/>
              <w:bottom w:val="nil"/>
              <w:right w:val="nil"/>
            </w:tcBorders>
            <w:shd w:val="clear" w:color="auto" w:fill="auto"/>
            <w:noWrap/>
            <w:hideMark/>
          </w:tcPr>
          <w:p w14:paraId="76FBBD4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6722</w:t>
            </w:r>
          </w:p>
        </w:tc>
      </w:tr>
      <w:tr w:rsidR="00893D77" w:rsidRPr="00893D77" w14:paraId="652D4C55" w14:textId="77777777" w:rsidTr="00E92FED">
        <w:trPr>
          <w:trHeight w:val="288"/>
        </w:trPr>
        <w:tc>
          <w:tcPr>
            <w:tcW w:w="851" w:type="dxa"/>
            <w:tcBorders>
              <w:top w:val="nil"/>
              <w:left w:val="nil"/>
              <w:bottom w:val="nil"/>
              <w:right w:val="nil"/>
            </w:tcBorders>
            <w:shd w:val="clear" w:color="auto" w:fill="auto"/>
            <w:noWrap/>
            <w:hideMark/>
          </w:tcPr>
          <w:p w14:paraId="6AB9A33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51</w:t>
            </w:r>
          </w:p>
        </w:tc>
        <w:tc>
          <w:tcPr>
            <w:tcW w:w="5386" w:type="dxa"/>
            <w:tcBorders>
              <w:top w:val="nil"/>
              <w:left w:val="nil"/>
              <w:bottom w:val="nil"/>
              <w:right w:val="nil"/>
            </w:tcBorders>
            <w:shd w:val="clear" w:color="auto" w:fill="auto"/>
            <w:hideMark/>
          </w:tcPr>
          <w:p w14:paraId="6EB7721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污水综合排放标准</w:t>
            </w:r>
          </w:p>
        </w:tc>
        <w:tc>
          <w:tcPr>
            <w:tcW w:w="1984" w:type="dxa"/>
            <w:tcBorders>
              <w:top w:val="nil"/>
              <w:left w:val="nil"/>
              <w:bottom w:val="nil"/>
              <w:right w:val="nil"/>
            </w:tcBorders>
            <w:shd w:val="clear" w:color="auto" w:fill="auto"/>
            <w:noWrap/>
            <w:hideMark/>
          </w:tcPr>
          <w:p w14:paraId="0EA1830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8978</w:t>
            </w:r>
          </w:p>
        </w:tc>
      </w:tr>
      <w:tr w:rsidR="00893D77" w:rsidRPr="00893D77" w14:paraId="30ACBADF" w14:textId="77777777" w:rsidTr="00E92FED">
        <w:trPr>
          <w:trHeight w:val="288"/>
        </w:trPr>
        <w:tc>
          <w:tcPr>
            <w:tcW w:w="851" w:type="dxa"/>
            <w:tcBorders>
              <w:top w:val="nil"/>
              <w:left w:val="nil"/>
              <w:bottom w:val="nil"/>
              <w:right w:val="nil"/>
            </w:tcBorders>
            <w:shd w:val="clear" w:color="auto" w:fill="auto"/>
            <w:noWrap/>
            <w:hideMark/>
          </w:tcPr>
          <w:p w14:paraId="15D6451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52</w:t>
            </w:r>
          </w:p>
        </w:tc>
        <w:tc>
          <w:tcPr>
            <w:tcW w:w="5386" w:type="dxa"/>
            <w:tcBorders>
              <w:top w:val="nil"/>
              <w:left w:val="nil"/>
              <w:bottom w:val="nil"/>
              <w:right w:val="nil"/>
            </w:tcBorders>
            <w:shd w:val="clear" w:color="auto" w:fill="auto"/>
            <w:hideMark/>
          </w:tcPr>
          <w:p w14:paraId="5824CED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城市区域环境振动标准</w:t>
            </w:r>
          </w:p>
        </w:tc>
        <w:tc>
          <w:tcPr>
            <w:tcW w:w="1984" w:type="dxa"/>
            <w:tcBorders>
              <w:top w:val="nil"/>
              <w:left w:val="nil"/>
              <w:bottom w:val="nil"/>
              <w:right w:val="nil"/>
            </w:tcBorders>
            <w:shd w:val="clear" w:color="auto" w:fill="auto"/>
            <w:noWrap/>
            <w:hideMark/>
          </w:tcPr>
          <w:p w14:paraId="171F8E8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10070</w:t>
            </w:r>
          </w:p>
        </w:tc>
      </w:tr>
      <w:tr w:rsidR="00893D77" w:rsidRPr="00893D77" w14:paraId="682C7C87" w14:textId="77777777" w:rsidTr="00E92FED">
        <w:trPr>
          <w:trHeight w:val="288"/>
        </w:trPr>
        <w:tc>
          <w:tcPr>
            <w:tcW w:w="851" w:type="dxa"/>
            <w:tcBorders>
              <w:top w:val="nil"/>
              <w:left w:val="nil"/>
              <w:bottom w:val="nil"/>
              <w:right w:val="nil"/>
            </w:tcBorders>
            <w:shd w:val="clear" w:color="auto" w:fill="auto"/>
            <w:noWrap/>
            <w:hideMark/>
          </w:tcPr>
          <w:p w14:paraId="6D89DC5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53</w:t>
            </w:r>
          </w:p>
        </w:tc>
        <w:tc>
          <w:tcPr>
            <w:tcW w:w="5386" w:type="dxa"/>
            <w:tcBorders>
              <w:top w:val="nil"/>
              <w:left w:val="nil"/>
              <w:bottom w:val="nil"/>
              <w:right w:val="nil"/>
            </w:tcBorders>
            <w:shd w:val="clear" w:color="auto" w:fill="auto"/>
            <w:hideMark/>
          </w:tcPr>
          <w:p w14:paraId="5CD6116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工业企业厂界环境噪声排放标准</w:t>
            </w:r>
          </w:p>
        </w:tc>
        <w:tc>
          <w:tcPr>
            <w:tcW w:w="1984" w:type="dxa"/>
            <w:tcBorders>
              <w:top w:val="nil"/>
              <w:left w:val="nil"/>
              <w:bottom w:val="nil"/>
              <w:right w:val="nil"/>
            </w:tcBorders>
            <w:shd w:val="clear" w:color="auto" w:fill="auto"/>
            <w:noWrap/>
            <w:hideMark/>
          </w:tcPr>
          <w:p w14:paraId="1B67622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12348</w:t>
            </w:r>
          </w:p>
        </w:tc>
      </w:tr>
      <w:tr w:rsidR="00893D77" w:rsidRPr="00893D77" w14:paraId="666AA594" w14:textId="77777777" w:rsidTr="00E92FED">
        <w:trPr>
          <w:trHeight w:val="288"/>
        </w:trPr>
        <w:tc>
          <w:tcPr>
            <w:tcW w:w="851" w:type="dxa"/>
            <w:tcBorders>
              <w:top w:val="nil"/>
              <w:left w:val="nil"/>
              <w:bottom w:val="nil"/>
              <w:right w:val="nil"/>
            </w:tcBorders>
            <w:shd w:val="clear" w:color="auto" w:fill="auto"/>
            <w:noWrap/>
            <w:hideMark/>
          </w:tcPr>
          <w:p w14:paraId="0DB2408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54</w:t>
            </w:r>
          </w:p>
        </w:tc>
        <w:tc>
          <w:tcPr>
            <w:tcW w:w="5386" w:type="dxa"/>
            <w:tcBorders>
              <w:top w:val="nil"/>
              <w:left w:val="nil"/>
              <w:bottom w:val="nil"/>
              <w:right w:val="nil"/>
            </w:tcBorders>
            <w:shd w:val="clear" w:color="auto" w:fill="auto"/>
            <w:hideMark/>
          </w:tcPr>
          <w:p w14:paraId="0A61593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锅炉大气污染物排放标准</w:t>
            </w:r>
          </w:p>
        </w:tc>
        <w:tc>
          <w:tcPr>
            <w:tcW w:w="1984" w:type="dxa"/>
            <w:tcBorders>
              <w:top w:val="nil"/>
              <w:left w:val="nil"/>
              <w:bottom w:val="nil"/>
              <w:right w:val="nil"/>
            </w:tcBorders>
            <w:shd w:val="clear" w:color="auto" w:fill="auto"/>
            <w:noWrap/>
            <w:hideMark/>
          </w:tcPr>
          <w:p w14:paraId="53A7C62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13271</w:t>
            </w:r>
          </w:p>
        </w:tc>
      </w:tr>
      <w:tr w:rsidR="00893D77" w:rsidRPr="00893D77" w14:paraId="5089AB92" w14:textId="77777777" w:rsidTr="00E92FED">
        <w:trPr>
          <w:trHeight w:val="288"/>
        </w:trPr>
        <w:tc>
          <w:tcPr>
            <w:tcW w:w="851" w:type="dxa"/>
            <w:tcBorders>
              <w:top w:val="nil"/>
              <w:left w:val="nil"/>
              <w:bottom w:val="nil"/>
              <w:right w:val="nil"/>
            </w:tcBorders>
            <w:shd w:val="clear" w:color="auto" w:fill="auto"/>
            <w:noWrap/>
            <w:hideMark/>
          </w:tcPr>
          <w:p w14:paraId="245F1AE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55</w:t>
            </w:r>
          </w:p>
        </w:tc>
        <w:tc>
          <w:tcPr>
            <w:tcW w:w="5386" w:type="dxa"/>
            <w:tcBorders>
              <w:top w:val="nil"/>
              <w:left w:val="nil"/>
              <w:bottom w:val="nil"/>
              <w:right w:val="nil"/>
            </w:tcBorders>
            <w:shd w:val="clear" w:color="auto" w:fill="auto"/>
            <w:hideMark/>
          </w:tcPr>
          <w:p w14:paraId="6F98A8B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城市轨道交通车站站台声学要求和测量方法</w:t>
            </w:r>
          </w:p>
        </w:tc>
        <w:tc>
          <w:tcPr>
            <w:tcW w:w="1984" w:type="dxa"/>
            <w:tcBorders>
              <w:top w:val="nil"/>
              <w:left w:val="nil"/>
              <w:bottom w:val="nil"/>
              <w:right w:val="nil"/>
            </w:tcBorders>
            <w:shd w:val="clear" w:color="auto" w:fill="auto"/>
            <w:noWrap/>
            <w:hideMark/>
          </w:tcPr>
          <w:p w14:paraId="4E8E9F7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14227</w:t>
            </w:r>
          </w:p>
        </w:tc>
      </w:tr>
      <w:tr w:rsidR="00893D77" w:rsidRPr="00893D77" w14:paraId="159E9D46" w14:textId="77777777" w:rsidTr="00E92FED">
        <w:trPr>
          <w:trHeight w:val="288"/>
        </w:trPr>
        <w:tc>
          <w:tcPr>
            <w:tcW w:w="851" w:type="dxa"/>
            <w:tcBorders>
              <w:top w:val="nil"/>
              <w:left w:val="nil"/>
              <w:bottom w:val="nil"/>
              <w:right w:val="nil"/>
            </w:tcBorders>
            <w:shd w:val="clear" w:color="auto" w:fill="auto"/>
            <w:noWrap/>
            <w:hideMark/>
          </w:tcPr>
          <w:p w14:paraId="4C87D11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56</w:t>
            </w:r>
          </w:p>
        </w:tc>
        <w:tc>
          <w:tcPr>
            <w:tcW w:w="5386" w:type="dxa"/>
            <w:tcBorders>
              <w:top w:val="nil"/>
              <w:left w:val="nil"/>
              <w:bottom w:val="nil"/>
              <w:right w:val="nil"/>
            </w:tcBorders>
            <w:shd w:val="clear" w:color="auto" w:fill="auto"/>
            <w:hideMark/>
          </w:tcPr>
          <w:p w14:paraId="116E0D8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建筑用安全玻璃</w:t>
            </w:r>
          </w:p>
        </w:tc>
        <w:tc>
          <w:tcPr>
            <w:tcW w:w="1984" w:type="dxa"/>
            <w:tcBorders>
              <w:top w:val="nil"/>
              <w:left w:val="nil"/>
              <w:bottom w:val="nil"/>
              <w:right w:val="nil"/>
            </w:tcBorders>
            <w:shd w:val="clear" w:color="auto" w:fill="auto"/>
            <w:noWrap/>
            <w:hideMark/>
          </w:tcPr>
          <w:p w14:paraId="460A5654"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15763.2</w:t>
            </w:r>
          </w:p>
        </w:tc>
      </w:tr>
      <w:tr w:rsidR="00893D77" w:rsidRPr="00893D77" w14:paraId="38A77F5D" w14:textId="77777777" w:rsidTr="00E92FED">
        <w:trPr>
          <w:trHeight w:val="288"/>
        </w:trPr>
        <w:tc>
          <w:tcPr>
            <w:tcW w:w="851" w:type="dxa"/>
            <w:tcBorders>
              <w:top w:val="nil"/>
              <w:left w:val="nil"/>
              <w:bottom w:val="nil"/>
              <w:right w:val="nil"/>
            </w:tcBorders>
            <w:shd w:val="clear" w:color="auto" w:fill="auto"/>
            <w:noWrap/>
            <w:hideMark/>
          </w:tcPr>
          <w:p w14:paraId="0104483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57</w:t>
            </w:r>
          </w:p>
        </w:tc>
        <w:tc>
          <w:tcPr>
            <w:tcW w:w="5386" w:type="dxa"/>
            <w:tcBorders>
              <w:top w:val="nil"/>
              <w:left w:val="nil"/>
              <w:bottom w:val="nil"/>
              <w:right w:val="nil"/>
            </w:tcBorders>
            <w:shd w:val="clear" w:color="auto" w:fill="auto"/>
            <w:hideMark/>
          </w:tcPr>
          <w:p w14:paraId="1C53524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自动扶梯和自动人行道的制造和安装安全规范</w:t>
            </w:r>
          </w:p>
        </w:tc>
        <w:tc>
          <w:tcPr>
            <w:tcW w:w="1984" w:type="dxa"/>
            <w:tcBorders>
              <w:top w:val="nil"/>
              <w:left w:val="nil"/>
              <w:bottom w:val="nil"/>
              <w:right w:val="nil"/>
            </w:tcBorders>
            <w:shd w:val="clear" w:color="auto" w:fill="auto"/>
            <w:noWrap/>
            <w:hideMark/>
          </w:tcPr>
          <w:p w14:paraId="43874D2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16899</w:t>
            </w:r>
          </w:p>
        </w:tc>
      </w:tr>
      <w:tr w:rsidR="00893D77" w:rsidRPr="00893D77" w14:paraId="14F0D4FF" w14:textId="77777777" w:rsidTr="00E92FED">
        <w:trPr>
          <w:trHeight w:val="288"/>
        </w:trPr>
        <w:tc>
          <w:tcPr>
            <w:tcW w:w="851" w:type="dxa"/>
            <w:tcBorders>
              <w:top w:val="nil"/>
              <w:left w:val="nil"/>
              <w:bottom w:val="nil"/>
              <w:right w:val="nil"/>
            </w:tcBorders>
            <w:shd w:val="clear" w:color="auto" w:fill="auto"/>
            <w:noWrap/>
            <w:hideMark/>
          </w:tcPr>
          <w:p w14:paraId="0CCDD8C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lastRenderedPageBreak/>
              <w:t>58</w:t>
            </w:r>
          </w:p>
        </w:tc>
        <w:tc>
          <w:tcPr>
            <w:tcW w:w="5386" w:type="dxa"/>
            <w:tcBorders>
              <w:top w:val="nil"/>
              <w:left w:val="nil"/>
              <w:bottom w:val="nil"/>
              <w:right w:val="nil"/>
            </w:tcBorders>
            <w:shd w:val="clear" w:color="auto" w:fill="auto"/>
            <w:hideMark/>
          </w:tcPr>
          <w:p w14:paraId="5001CA1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用能单位能源计量器具配备和管理通则</w:t>
            </w:r>
          </w:p>
        </w:tc>
        <w:tc>
          <w:tcPr>
            <w:tcW w:w="1984" w:type="dxa"/>
            <w:tcBorders>
              <w:top w:val="nil"/>
              <w:left w:val="nil"/>
              <w:bottom w:val="nil"/>
              <w:right w:val="nil"/>
            </w:tcBorders>
            <w:shd w:val="clear" w:color="auto" w:fill="auto"/>
            <w:noWrap/>
            <w:hideMark/>
          </w:tcPr>
          <w:p w14:paraId="6FB1D97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17167</w:t>
            </w:r>
          </w:p>
        </w:tc>
      </w:tr>
      <w:tr w:rsidR="00893D77" w:rsidRPr="00893D77" w14:paraId="32F205EE" w14:textId="77777777" w:rsidTr="00E92FED">
        <w:trPr>
          <w:trHeight w:val="288"/>
        </w:trPr>
        <w:tc>
          <w:tcPr>
            <w:tcW w:w="851" w:type="dxa"/>
            <w:tcBorders>
              <w:top w:val="nil"/>
              <w:left w:val="nil"/>
              <w:bottom w:val="nil"/>
              <w:right w:val="nil"/>
            </w:tcBorders>
            <w:shd w:val="clear" w:color="auto" w:fill="auto"/>
            <w:noWrap/>
            <w:hideMark/>
          </w:tcPr>
          <w:p w14:paraId="7627EC9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59</w:t>
            </w:r>
          </w:p>
        </w:tc>
        <w:tc>
          <w:tcPr>
            <w:tcW w:w="5386" w:type="dxa"/>
            <w:tcBorders>
              <w:top w:val="nil"/>
              <w:left w:val="nil"/>
              <w:bottom w:val="nil"/>
              <w:right w:val="nil"/>
            </w:tcBorders>
            <w:shd w:val="clear" w:color="auto" w:fill="auto"/>
            <w:hideMark/>
          </w:tcPr>
          <w:p w14:paraId="74AD22C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中国地震动参数区划图</w:t>
            </w:r>
          </w:p>
        </w:tc>
        <w:tc>
          <w:tcPr>
            <w:tcW w:w="1984" w:type="dxa"/>
            <w:tcBorders>
              <w:top w:val="nil"/>
              <w:left w:val="nil"/>
              <w:bottom w:val="nil"/>
              <w:right w:val="nil"/>
            </w:tcBorders>
            <w:shd w:val="clear" w:color="auto" w:fill="auto"/>
            <w:noWrap/>
            <w:hideMark/>
          </w:tcPr>
          <w:p w14:paraId="311CA4F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18306</w:t>
            </w:r>
          </w:p>
        </w:tc>
      </w:tr>
      <w:tr w:rsidR="00893D77" w:rsidRPr="00893D77" w14:paraId="4B658381" w14:textId="77777777" w:rsidTr="00E92FED">
        <w:trPr>
          <w:trHeight w:val="288"/>
        </w:trPr>
        <w:tc>
          <w:tcPr>
            <w:tcW w:w="851" w:type="dxa"/>
            <w:tcBorders>
              <w:top w:val="nil"/>
              <w:left w:val="nil"/>
              <w:bottom w:val="nil"/>
              <w:right w:val="nil"/>
            </w:tcBorders>
            <w:shd w:val="clear" w:color="auto" w:fill="auto"/>
            <w:noWrap/>
            <w:hideMark/>
          </w:tcPr>
          <w:p w14:paraId="09DA3FA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60</w:t>
            </w:r>
          </w:p>
        </w:tc>
        <w:tc>
          <w:tcPr>
            <w:tcW w:w="5386" w:type="dxa"/>
            <w:tcBorders>
              <w:top w:val="nil"/>
              <w:left w:val="nil"/>
              <w:bottom w:val="nil"/>
              <w:right w:val="nil"/>
            </w:tcBorders>
            <w:shd w:val="clear" w:color="auto" w:fill="auto"/>
            <w:hideMark/>
          </w:tcPr>
          <w:p w14:paraId="14C88206"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城市污水再生利用城市杂用水水质</w:t>
            </w:r>
          </w:p>
        </w:tc>
        <w:tc>
          <w:tcPr>
            <w:tcW w:w="1984" w:type="dxa"/>
            <w:tcBorders>
              <w:top w:val="nil"/>
              <w:left w:val="nil"/>
              <w:bottom w:val="nil"/>
              <w:right w:val="nil"/>
            </w:tcBorders>
            <w:shd w:val="clear" w:color="auto" w:fill="auto"/>
            <w:noWrap/>
            <w:hideMark/>
          </w:tcPr>
          <w:p w14:paraId="6B30D4E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18920</w:t>
            </w:r>
          </w:p>
        </w:tc>
      </w:tr>
      <w:tr w:rsidR="00893D77" w:rsidRPr="00893D77" w14:paraId="4B460926" w14:textId="77777777" w:rsidTr="00E92FED">
        <w:trPr>
          <w:trHeight w:val="288"/>
        </w:trPr>
        <w:tc>
          <w:tcPr>
            <w:tcW w:w="851" w:type="dxa"/>
            <w:tcBorders>
              <w:top w:val="nil"/>
              <w:left w:val="nil"/>
              <w:bottom w:val="nil"/>
              <w:right w:val="nil"/>
            </w:tcBorders>
            <w:shd w:val="clear" w:color="auto" w:fill="auto"/>
            <w:noWrap/>
            <w:hideMark/>
          </w:tcPr>
          <w:p w14:paraId="1072CC0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61</w:t>
            </w:r>
          </w:p>
        </w:tc>
        <w:tc>
          <w:tcPr>
            <w:tcW w:w="5386" w:type="dxa"/>
            <w:tcBorders>
              <w:top w:val="nil"/>
              <w:left w:val="nil"/>
              <w:bottom w:val="nil"/>
              <w:right w:val="nil"/>
            </w:tcBorders>
            <w:shd w:val="clear" w:color="auto" w:fill="auto"/>
            <w:hideMark/>
          </w:tcPr>
          <w:p w14:paraId="1F08D13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三相配电变压器能效限定值及能效等级</w:t>
            </w:r>
          </w:p>
        </w:tc>
        <w:tc>
          <w:tcPr>
            <w:tcW w:w="1984" w:type="dxa"/>
            <w:tcBorders>
              <w:top w:val="nil"/>
              <w:left w:val="nil"/>
              <w:bottom w:val="nil"/>
              <w:right w:val="nil"/>
            </w:tcBorders>
            <w:shd w:val="clear" w:color="auto" w:fill="auto"/>
            <w:noWrap/>
            <w:hideMark/>
          </w:tcPr>
          <w:p w14:paraId="304E6A0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20052</w:t>
            </w:r>
          </w:p>
        </w:tc>
      </w:tr>
      <w:tr w:rsidR="00893D77" w:rsidRPr="00893D77" w14:paraId="6D81AEB6" w14:textId="77777777" w:rsidTr="00E92FED">
        <w:trPr>
          <w:trHeight w:val="288"/>
        </w:trPr>
        <w:tc>
          <w:tcPr>
            <w:tcW w:w="851" w:type="dxa"/>
            <w:tcBorders>
              <w:top w:val="nil"/>
              <w:left w:val="nil"/>
              <w:bottom w:val="nil"/>
              <w:right w:val="nil"/>
            </w:tcBorders>
            <w:shd w:val="clear" w:color="auto" w:fill="auto"/>
            <w:noWrap/>
            <w:hideMark/>
          </w:tcPr>
          <w:p w14:paraId="58D9CDA5"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62</w:t>
            </w:r>
          </w:p>
        </w:tc>
        <w:tc>
          <w:tcPr>
            <w:tcW w:w="5386" w:type="dxa"/>
            <w:tcBorders>
              <w:top w:val="nil"/>
              <w:left w:val="nil"/>
              <w:bottom w:val="nil"/>
              <w:right w:val="nil"/>
            </w:tcBorders>
            <w:shd w:val="clear" w:color="auto" w:fill="auto"/>
            <w:hideMark/>
          </w:tcPr>
          <w:p w14:paraId="36B320C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液压电梯制造与安装安全规范</w:t>
            </w:r>
          </w:p>
        </w:tc>
        <w:tc>
          <w:tcPr>
            <w:tcW w:w="1984" w:type="dxa"/>
            <w:tcBorders>
              <w:top w:val="nil"/>
              <w:left w:val="nil"/>
              <w:bottom w:val="nil"/>
              <w:right w:val="nil"/>
            </w:tcBorders>
            <w:shd w:val="clear" w:color="auto" w:fill="auto"/>
            <w:noWrap/>
            <w:hideMark/>
          </w:tcPr>
          <w:p w14:paraId="10FDA3C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21240</w:t>
            </w:r>
          </w:p>
        </w:tc>
      </w:tr>
      <w:tr w:rsidR="00893D77" w:rsidRPr="00893D77" w14:paraId="4E849B0F" w14:textId="77777777" w:rsidTr="00E92FED">
        <w:trPr>
          <w:trHeight w:val="288"/>
        </w:trPr>
        <w:tc>
          <w:tcPr>
            <w:tcW w:w="851" w:type="dxa"/>
            <w:tcBorders>
              <w:top w:val="nil"/>
              <w:left w:val="nil"/>
              <w:bottom w:val="nil"/>
              <w:right w:val="nil"/>
            </w:tcBorders>
            <w:shd w:val="clear" w:color="auto" w:fill="auto"/>
            <w:noWrap/>
            <w:hideMark/>
          </w:tcPr>
          <w:p w14:paraId="231861A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63</w:t>
            </w:r>
          </w:p>
        </w:tc>
        <w:tc>
          <w:tcPr>
            <w:tcW w:w="5386" w:type="dxa"/>
            <w:tcBorders>
              <w:top w:val="nil"/>
              <w:left w:val="nil"/>
              <w:bottom w:val="nil"/>
              <w:right w:val="nil"/>
            </w:tcBorders>
            <w:shd w:val="clear" w:color="auto" w:fill="auto"/>
            <w:hideMark/>
          </w:tcPr>
          <w:p w14:paraId="7966D593"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电缆及光缆燃烧性能分级</w:t>
            </w:r>
          </w:p>
        </w:tc>
        <w:tc>
          <w:tcPr>
            <w:tcW w:w="1984" w:type="dxa"/>
            <w:tcBorders>
              <w:top w:val="nil"/>
              <w:left w:val="nil"/>
              <w:bottom w:val="nil"/>
              <w:right w:val="nil"/>
            </w:tcBorders>
            <w:shd w:val="clear" w:color="auto" w:fill="auto"/>
            <w:noWrap/>
            <w:hideMark/>
          </w:tcPr>
          <w:p w14:paraId="791C520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 31247</w:t>
            </w:r>
          </w:p>
        </w:tc>
      </w:tr>
      <w:tr w:rsidR="00893D77" w:rsidRPr="00893D77" w14:paraId="3E25F49A" w14:textId="77777777" w:rsidTr="00E92FED">
        <w:trPr>
          <w:trHeight w:val="288"/>
        </w:trPr>
        <w:tc>
          <w:tcPr>
            <w:tcW w:w="851" w:type="dxa"/>
            <w:tcBorders>
              <w:top w:val="nil"/>
              <w:left w:val="nil"/>
              <w:bottom w:val="nil"/>
              <w:right w:val="nil"/>
            </w:tcBorders>
            <w:shd w:val="clear" w:color="auto" w:fill="auto"/>
            <w:noWrap/>
            <w:hideMark/>
          </w:tcPr>
          <w:p w14:paraId="503D5C4D"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64</w:t>
            </w:r>
          </w:p>
        </w:tc>
        <w:tc>
          <w:tcPr>
            <w:tcW w:w="5386" w:type="dxa"/>
            <w:tcBorders>
              <w:top w:val="nil"/>
              <w:left w:val="nil"/>
              <w:bottom w:val="nil"/>
              <w:right w:val="nil"/>
            </w:tcBorders>
            <w:shd w:val="clear" w:color="auto" w:fill="auto"/>
            <w:hideMark/>
          </w:tcPr>
          <w:p w14:paraId="5D0AC53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电力装置的继电保护和自动装置设计规范</w:t>
            </w:r>
          </w:p>
        </w:tc>
        <w:tc>
          <w:tcPr>
            <w:tcW w:w="1984" w:type="dxa"/>
            <w:tcBorders>
              <w:top w:val="nil"/>
              <w:left w:val="nil"/>
              <w:bottom w:val="nil"/>
              <w:right w:val="nil"/>
            </w:tcBorders>
            <w:shd w:val="clear" w:color="auto" w:fill="auto"/>
            <w:noWrap/>
            <w:hideMark/>
          </w:tcPr>
          <w:p w14:paraId="013DE27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50062</w:t>
            </w:r>
          </w:p>
        </w:tc>
      </w:tr>
      <w:tr w:rsidR="00893D77" w:rsidRPr="00893D77" w14:paraId="5F71C70D" w14:textId="77777777" w:rsidTr="00E92FED">
        <w:trPr>
          <w:trHeight w:val="288"/>
        </w:trPr>
        <w:tc>
          <w:tcPr>
            <w:tcW w:w="851" w:type="dxa"/>
            <w:tcBorders>
              <w:top w:val="nil"/>
              <w:left w:val="nil"/>
              <w:bottom w:val="nil"/>
              <w:right w:val="nil"/>
            </w:tcBorders>
            <w:shd w:val="clear" w:color="auto" w:fill="auto"/>
            <w:noWrap/>
            <w:hideMark/>
          </w:tcPr>
          <w:p w14:paraId="51259E13"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65</w:t>
            </w:r>
          </w:p>
        </w:tc>
        <w:tc>
          <w:tcPr>
            <w:tcW w:w="5386" w:type="dxa"/>
            <w:tcBorders>
              <w:top w:val="nil"/>
              <w:left w:val="nil"/>
              <w:bottom w:val="nil"/>
              <w:right w:val="nil"/>
            </w:tcBorders>
            <w:shd w:val="clear" w:color="auto" w:fill="auto"/>
            <w:hideMark/>
          </w:tcPr>
          <w:p w14:paraId="2B2E13F3"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交流电气装置的过电压保护和绝缘配合设计规范</w:t>
            </w:r>
          </w:p>
        </w:tc>
        <w:tc>
          <w:tcPr>
            <w:tcW w:w="1984" w:type="dxa"/>
            <w:tcBorders>
              <w:top w:val="nil"/>
              <w:left w:val="nil"/>
              <w:bottom w:val="nil"/>
              <w:right w:val="nil"/>
            </w:tcBorders>
            <w:shd w:val="clear" w:color="auto" w:fill="auto"/>
            <w:noWrap/>
            <w:hideMark/>
          </w:tcPr>
          <w:p w14:paraId="21C00AF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50064</w:t>
            </w:r>
          </w:p>
        </w:tc>
      </w:tr>
      <w:tr w:rsidR="00893D77" w:rsidRPr="00893D77" w14:paraId="54F3C8EA" w14:textId="77777777" w:rsidTr="00E92FED">
        <w:trPr>
          <w:trHeight w:val="288"/>
        </w:trPr>
        <w:tc>
          <w:tcPr>
            <w:tcW w:w="851" w:type="dxa"/>
            <w:tcBorders>
              <w:top w:val="nil"/>
              <w:left w:val="nil"/>
              <w:bottom w:val="nil"/>
              <w:right w:val="nil"/>
            </w:tcBorders>
            <w:shd w:val="clear" w:color="auto" w:fill="auto"/>
            <w:noWrap/>
            <w:hideMark/>
          </w:tcPr>
          <w:p w14:paraId="2AEE1A5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66</w:t>
            </w:r>
          </w:p>
        </w:tc>
        <w:tc>
          <w:tcPr>
            <w:tcW w:w="5386" w:type="dxa"/>
            <w:tcBorders>
              <w:top w:val="nil"/>
              <w:left w:val="nil"/>
              <w:bottom w:val="nil"/>
              <w:right w:val="nil"/>
            </w:tcBorders>
            <w:shd w:val="clear" w:color="auto" w:fill="auto"/>
            <w:hideMark/>
          </w:tcPr>
          <w:p w14:paraId="0B751C3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交流电气装置的接地设计规范</w:t>
            </w:r>
          </w:p>
        </w:tc>
        <w:tc>
          <w:tcPr>
            <w:tcW w:w="1984" w:type="dxa"/>
            <w:tcBorders>
              <w:top w:val="nil"/>
              <w:left w:val="nil"/>
              <w:bottom w:val="nil"/>
              <w:right w:val="nil"/>
            </w:tcBorders>
            <w:shd w:val="clear" w:color="auto" w:fill="auto"/>
            <w:noWrap/>
            <w:hideMark/>
          </w:tcPr>
          <w:p w14:paraId="26C7AAE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50065</w:t>
            </w:r>
          </w:p>
        </w:tc>
      </w:tr>
      <w:tr w:rsidR="00893D77" w:rsidRPr="00893D77" w14:paraId="0A018A87" w14:textId="77777777" w:rsidTr="00E92FED">
        <w:trPr>
          <w:trHeight w:val="288"/>
        </w:trPr>
        <w:tc>
          <w:tcPr>
            <w:tcW w:w="851" w:type="dxa"/>
            <w:tcBorders>
              <w:top w:val="nil"/>
              <w:left w:val="nil"/>
              <w:bottom w:val="nil"/>
              <w:right w:val="nil"/>
            </w:tcBorders>
            <w:shd w:val="clear" w:color="auto" w:fill="auto"/>
            <w:noWrap/>
            <w:hideMark/>
          </w:tcPr>
          <w:p w14:paraId="276F9BE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67</w:t>
            </w:r>
          </w:p>
        </w:tc>
        <w:tc>
          <w:tcPr>
            <w:tcW w:w="5386" w:type="dxa"/>
            <w:tcBorders>
              <w:top w:val="nil"/>
              <w:left w:val="nil"/>
              <w:bottom w:val="nil"/>
              <w:right w:val="nil"/>
            </w:tcBorders>
            <w:shd w:val="clear" w:color="auto" w:fill="auto"/>
            <w:hideMark/>
          </w:tcPr>
          <w:p w14:paraId="7FBD30D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工业企业噪声控制设计规范</w:t>
            </w:r>
          </w:p>
        </w:tc>
        <w:tc>
          <w:tcPr>
            <w:tcW w:w="1984" w:type="dxa"/>
            <w:tcBorders>
              <w:top w:val="nil"/>
              <w:left w:val="nil"/>
              <w:bottom w:val="nil"/>
              <w:right w:val="nil"/>
            </w:tcBorders>
            <w:shd w:val="clear" w:color="auto" w:fill="auto"/>
            <w:noWrap/>
            <w:hideMark/>
          </w:tcPr>
          <w:p w14:paraId="18081B07"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50087</w:t>
            </w:r>
          </w:p>
        </w:tc>
      </w:tr>
      <w:tr w:rsidR="00893D77" w:rsidRPr="00893D77" w14:paraId="39957A83" w14:textId="77777777" w:rsidTr="00E92FED">
        <w:trPr>
          <w:trHeight w:val="288"/>
        </w:trPr>
        <w:tc>
          <w:tcPr>
            <w:tcW w:w="851" w:type="dxa"/>
            <w:tcBorders>
              <w:top w:val="nil"/>
              <w:left w:val="nil"/>
              <w:bottom w:val="nil"/>
              <w:right w:val="nil"/>
            </w:tcBorders>
            <w:shd w:val="clear" w:color="auto" w:fill="auto"/>
            <w:noWrap/>
            <w:hideMark/>
          </w:tcPr>
          <w:p w14:paraId="782C0C3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68</w:t>
            </w:r>
          </w:p>
        </w:tc>
        <w:tc>
          <w:tcPr>
            <w:tcW w:w="5386" w:type="dxa"/>
            <w:tcBorders>
              <w:top w:val="nil"/>
              <w:left w:val="nil"/>
              <w:bottom w:val="nil"/>
              <w:right w:val="nil"/>
            </w:tcBorders>
            <w:shd w:val="clear" w:color="auto" w:fill="auto"/>
            <w:hideMark/>
          </w:tcPr>
          <w:p w14:paraId="4CDEB75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建筑隔声评价标准</w:t>
            </w:r>
          </w:p>
        </w:tc>
        <w:tc>
          <w:tcPr>
            <w:tcW w:w="1984" w:type="dxa"/>
            <w:tcBorders>
              <w:top w:val="nil"/>
              <w:left w:val="nil"/>
              <w:bottom w:val="nil"/>
              <w:right w:val="nil"/>
            </w:tcBorders>
            <w:shd w:val="clear" w:color="auto" w:fill="auto"/>
            <w:noWrap/>
            <w:hideMark/>
          </w:tcPr>
          <w:p w14:paraId="172D229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50121</w:t>
            </w:r>
          </w:p>
        </w:tc>
      </w:tr>
      <w:tr w:rsidR="00893D77" w:rsidRPr="00893D77" w14:paraId="700F559A" w14:textId="77777777" w:rsidTr="00E92FED">
        <w:trPr>
          <w:trHeight w:val="288"/>
        </w:trPr>
        <w:tc>
          <w:tcPr>
            <w:tcW w:w="851" w:type="dxa"/>
            <w:tcBorders>
              <w:top w:val="nil"/>
              <w:left w:val="nil"/>
              <w:bottom w:val="nil"/>
              <w:right w:val="nil"/>
            </w:tcBorders>
            <w:shd w:val="clear" w:color="auto" w:fill="auto"/>
            <w:noWrap/>
            <w:hideMark/>
          </w:tcPr>
          <w:p w14:paraId="3689C423"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69</w:t>
            </w:r>
          </w:p>
        </w:tc>
        <w:tc>
          <w:tcPr>
            <w:tcW w:w="5386" w:type="dxa"/>
            <w:tcBorders>
              <w:top w:val="nil"/>
              <w:left w:val="nil"/>
              <w:bottom w:val="nil"/>
              <w:right w:val="nil"/>
            </w:tcBorders>
            <w:shd w:val="clear" w:color="auto" w:fill="auto"/>
            <w:hideMark/>
          </w:tcPr>
          <w:p w14:paraId="5E3656A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古建筑防工业振动技术规范</w:t>
            </w:r>
          </w:p>
        </w:tc>
        <w:tc>
          <w:tcPr>
            <w:tcW w:w="1984" w:type="dxa"/>
            <w:tcBorders>
              <w:top w:val="nil"/>
              <w:left w:val="nil"/>
              <w:bottom w:val="nil"/>
              <w:right w:val="nil"/>
            </w:tcBorders>
            <w:shd w:val="clear" w:color="auto" w:fill="auto"/>
            <w:noWrap/>
            <w:hideMark/>
          </w:tcPr>
          <w:p w14:paraId="65A7C3C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50452</w:t>
            </w:r>
          </w:p>
        </w:tc>
      </w:tr>
      <w:tr w:rsidR="00893D77" w:rsidRPr="00893D77" w14:paraId="4151A0DB" w14:textId="77777777" w:rsidTr="00E92FED">
        <w:trPr>
          <w:trHeight w:val="288"/>
        </w:trPr>
        <w:tc>
          <w:tcPr>
            <w:tcW w:w="851" w:type="dxa"/>
            <w:tcBorders>
              <w:top w:val="nil"/>
              <w:left w:val="nil"/>
              <w:bottom w:val="nil"/>
              <w:right w:val="nil"/>
            </w:tcBorders>
            <w:shd w:val="clear" w:color="auto" w:fill="auto"/>
            <w:noWrap/>
            <w:hideMark/>
          </w:tcPr>
          <w:p w14:paraId="1753F5C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70</w:t>
            </w:r>
          </w:p>
        </w:tc>
        <w:tc>
          <w:tcPr>
            <w:tcW w:w="5386" w:type="dxa"/>
            <w:tcBorders>
              <w:top w:val="nil"/>
              <w:left w:val="nil"/>
              <w:bottom w:val="nil"/>
              <w:right w:val="nil"/>
            </w:tcBorders>
            <w:shd w:val="clear" w:color="auto" w:fill="auto"/>
            <w:hideMark/>
          </w:tcPr>
          <w:p w14:paraId="0B07838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混凝土结构耐久性设计规范</w:t>
            </w:r>
          </w:p>
        </w:tc>
        <w:tc>
          <w:tcPr>
            <w:tcW w:w="1984" w:type="dxa"/>
            <w:tcBorders>
              <w:top w:val="nil"/>
              <w:left w:val="nil"/>
              <w:bottom w:val="nil"/>
              <w:right w:val="nil"/>
            </w:tcBorders>
            <w:shd w:val="clear" w:color="auto" w:fill="auto"/>
            <w:noWrap/>
            <w:hideMark/>
          </w:tcPr>
          <w:p w14:paraId="3A4D44B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50476</w:t>
            </w:r>
          </w:p>
        </w:tc>
      </w:tr>
      <w:tr w:rsidR="00893D77" w:rsidRPr="00893D77" w14:paraId="290F0AEF" w14:textId="77777777" w:rsidTr="00E92FED">
        <w:trPr>
          <w:trHeight w:val="288"/>
        </w:trPr>
        <w:tc>
          <w:tcPr>
            <w:tcW w:w="851" w:type="dxa"/>
            <w:tcBorders>
              <w:top w:val="nil"/>
              <w:left w:val="nil"/>
              <w:bottom w:val="nil"/>
              <w:right w:val="nil"/>
            </w:tcBorders>
            <w:shd w:val="clear" w:color="auto" w:fill="auto"/>
            <w:noWrap/>
            <w:hideMark/>
          </w:tcPr>
          <w:p w14:paraId="7394C7E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71</w:t>
            </w:r>
          </w:p>
        </w:tc>
        <w:tc>
          <w:tcPr>
            <w:tcW w:w="5386" w:type="dxa"/>
            <w:tcBorders>
              <w:top w:val="nil"/>
              <w:left w:val="nil"/>
              <w:bottom w:val="nil"/>
              <w:right w:val="nil"/>
            </w:tcBorders>
            <w:shd w:val="clear" w:color="auto" w:fill="auto"/>
            <w:hideMark/>
          </w:tcPr>
          <w:p w14:paraId="2DC4BFC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声屏障结构技术标准</w:t>
            </w:r>
          </w:p>
        </w:tc>
        <w:tc>
          <w:tcPr>
            <w:tcW w:w="1984" w:type="dxa"/>
            <w:tcBorders>
              <w:top w:val="nil"/>
              <w:left w:val="nil"/>
              <w:bottom w:val="nil"/>
              <w:right w:val="nil"/>
            </w:tcBorders>
            <w:shd w:val="clear" w:color="auto" w:fill="auto"/>
            <w:noWrap/>
            <w:hideMark/>
          </w:tcPr>
          <w:p w14:paraId="6FFF1D2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51335</w:t>
            </w:r>
          </w:p>
        </w:tc>
      </w:tr>
      <w:tr w:rsidR="00893D77" w:rsidRPr="00893D77" w14:paraId="50077AB3" w14:textId="77777777" w:rsidTr="00E92FED">
        <w:trPr>
          <w:trHeight w:val="288"/>
        </w:trPr>
        <w:tc>
          <w:tcPr>
            <w:tcW w:w="851" w:type="dxa"/>
            <w:tcBorders>
              <w:top w:val="nil"/>
              <w:left w:val="nil"/>
              <w:bottom w:val="nil"/>
              <w:right w:val="nil"/>
            </w:tcBorders>
            <w:shd w:val="clear" w:color="auto" w:fill="auto"/>
            <w:noWrap/>
            <w:hideMark/>
          </w:tcPr>
          <w:p w14:paraId="412346A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72</w:t>
            </w:r>
          </w:p>
        </w:tc>
        <w:tc>
          <w:tcPr>
            <w:tcW w:w="5386" w:type="dxa"/>
            <w:tcBorders>
              <w:top w:val="nil"/>
              <w:left w:val="nil"/>
              <w:bottom w:val="nil"/>
              <w:right w:val="nil"/>
            </w:tcBorders>
            <w:shd w:val="clear" w:color="auto" w:fill="auto"/>
            <w:hideMark/>
          </w:tcPr>
          <w:p w14:paraId="015AF1C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地下结构抗震设计标准</w:t>
            </w:r>
          </w:p>
        </w:tc>
        <w:tc>
          <w:tcPr>
            <w:tcW w:w="1984" w:type="dxa"/>
            <w:tcBorders>
              <w:top w:val="nil"/>
              <w:left w:val="nil"/>
              <w:bottom w:val="nil"/>
              <w:right w:val="nil"/>
            </w:tcBorders>
            <w:shd w:val="clear" w:color="auto" w:fill="auto"/>
            <w:noWrap/>
            <w:hideMark/>
          </w:tcPr>
          <w:p w14:paraId="18FA291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51336</w:t>
            </w:r>
          </w:p>
        </w:tc>
      </w:tr>
      <w:tr w:rsidR="00893D77" w:rsidRPr="00893D77" w14:paraId="21FD2F93" w14:textId="77777777" w:rsidTr="00E92FED">
        <w:trPr>
          <w:trHeight w:val="288"/>
        </w:trPr>
        <w:tc>
          <w:tcPr>
            <w:tcW w:w="851" w:type="dxa"/>
            <w:tcBorders>
              <w:top w:val="nil"/>
              <w:left w:val="nil"/>
              <w:bottom w:val="nil"/>
              <w:right w:val="nil"/>
            </w:tcBorders>
            <w:shd w:val="clear" w:color="auto" w:fill="auto"/>
            <w:noWrap/>
            <w:hideMark/>
          </w:tcPr>
          <w:p w14:paraId="49FB097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73</w:t>
            </w:r>
          </w:p>
        </w:tc>
        <w:tc>
          <w:tcPr>
            <w:tcW w:w="5386" w:type="dxa"/>
            <w:tcBorders>
              <w:top w:val="nil"/>
              <w:left w:val="nil"/>
              <w:bottom w:val="nil"/>
              <w:right w:val="nil"/>
            </w:tcBorders>
            <w:shd w:val="clear" w:color="auto" w:fill="auto"/>
            <w:hideMark/>
          </w:tcPr>
          <w:p w14:paraId="3EA71A0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城市轨道交通通风空气调节与供暖设计标准</w:t>
            </w:r>
          </w:p>
        </w:tc>
        <w:tc>
          <w:tcPr>
            <w:tcW w:w="1984" w:type="dxa"/>
            <w:tcBorders>
              <w:top w:val="nil"/>
              <w:left w:val="nil"/>
              <w:bottom w:val="nil"/>
              <w:right w:val="nil"/>
            </w:tcBorders>
            <w:shd w:val="clear" w:color="auto" w:fill="auto"/>
            <w:noWrap/>
            <w:hideMark/>
          </w:tcPr>
          <w:p w14:paraId="2B9F86A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51357</w:t>
            </w:r>
          </w:p>
        </w:tc>
      </w:tr>
      <w:tr w:rsidR="00893D77" w:rsidRPr="00893D77" w14:paraId="57E20C50" w14:textId="77777777" w:rsidTr="00E92FED">
        <w:trPr>
          <w:trHeight w:val="324"/>
        </w:trPr>
        <w:tc>
          <w:tcPr>
            <w:tcW w:w="851" w:type="dxa"/>
            <w:tcBorders>
              <w:top w:val="nil"/>
              <w:left w:val="nil"/>
              <w:bottom w:val="nil"/>
              <w:right w:val="nil"/>
            </w:tcBorders>
            <w:shd w:val="clear" w:color="auto" w:fill="auto"/>
            <w:noWrap/>
            <w:hideMark/>
          </w:tcPr>
          <w:p w14:paraId="0916E6C2"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74</w:t>
            </w:r>
          </w:p>
        </w:tc>
        <w:tc>
          <w:tcPr>
            <w:tcW w:w="5386" w:type="dxa"/>
            <w:tcBorders>
              <w:top w:val="nil"/>
              <w:left w:val="nil"/>
              <w:bottom w:val="nil"/>
              <w:right w:val="nil"/>
            </w:tcBorders>
            <w:shd w:val="clear" w:color="auto" w:fill="auto"/>
            <w:hideMark/>
          </w:tcPr>
          <w:p w14:paraId="4E9F577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外壳防护等级（IP代码）</w:t>
            </w:r>
          </w:p>
        </w:tc>
        <w:tc>
          <w:tcPr>
            <w:tcW w:w="1984" w:type="dxa"/>
            <w:tcBorders>
              <w:top w:val="nil"/>
              <w:left w:val="nil"/>
              <w:bottom w:val="nil"/>
              <w:right w:val="nil"/>
            </w:tcBorders>
            <w:shd w:val="clear" w:color="auto" w:fill="auto"/>
            <w:noWrap/>
            <w:hideMark/>
          </w:tcPr>
          <w:p w14:paraId="51EBA33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4208 </w:t>
            </w:r>
          </w:p>
        </w:tc>
      </w:tr>
      <w:tr w:rsidR="00893D77" w:rsidRPr="00893D77" w14:paraId="742BC268" w14:textId="77777777" w:rsidTr="00E92FED">
        <w:trPr>
          <w:trHeight w:val="288"/>
        </w:trPr>
        <w:tc>
          <w:tcPr>
            <w:tcW w:w="851" w:type="dxa"/>
            <w:tcBorders>
              <w:top w:val="nil"/>
              <w:left w:val="nil"/>
              <w:bottom w:val="nil"/>
              <w:right w:val="nil"/>
            </w:tcBorders>
            <w:shd w:val="clear" w:color="auto" w:fill="auto"/>
            <w:noWrap/>
            <w:hideMark/>
          </w:tcPr>
          <w:p w14:paraId="15FF38E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75</w:t>
            </w:r>
          </w:p>
        </w:tc>
        <w:tc>
          <w:tcPr>
            <w:tcW w:w="5386" w:type="dxa"/>
            <w:tcBorders>
              <w:top w:val="nil"/>
              <w:left w:val="nil"/>
              <w:bottom w:val="nil"/>
              <w:right w:val="nil"/>
            </w:tcBorders>
            <w:shd w:val="clear" w:color="auto" w:fill="auto"/>
            <w:hideMark/>
          </w:tcPr>
          <w:p w14:paraId="7B368F3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机械通风冷却塔</w:t>
            </w:r>
          </w:p>
        </w:tc>
        <w:tc>
          <w:tcPr>
            <w:tcW w:w="1984" w:type="dxa"/>
            <w:tcBorders>
              <w:top w:val="nil"/>
              <w:left w:val="nil"/>
              <w:bottom w:val="nil"/>
              <w:right w:val="nil"/>
            </w:tcBorders>
            <w:shd w:val="clear" w:color="auto" w:fill="auto"/>
            <w:noWrap/>
            <w:hideMark/>
          </w:tcPr>
          <w:p w14:paraId="7722267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7190</w:t>
            </w:r>
          </w:p>
        </w:tc>
      </w:tr>
      <w:tr w:rsidR="00893D77" w:rsidRPr="00893D77" w14:paraId="482E3EAA" w14:textId="77777777" w:rsidTr="00E92FED">
        <w:trPr>
          <w:trHeight w:val="288"/>
        </w:trPr>
        <w:tc>
          <w:tcPr>
            <w:tcW w:w="851" w:type="dxa"/>
            <w:tcBorders>
              <w:top w:val="nil"/>
              <w:left w:val="nil"/>
              <w:bottom w:val="nil"/>
              <w:right w:val="nil"/>
            </w:tcBorders>
            <w:shd w:val="clear" w:color="auto" w:fill="auto"/>
            <w:noWrap/>
            <w:hideMark/>
          </w:tcPr>
          <w:p w14:paraId="4DCDFBC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76</w:t>
            </w:r>
          </w:p>
        </w:tc>
        <w:tc>
          <w:tcPr>
            <w:tcW w:w="5386" w:type="dxa"/>
            <w:tcBorders>
              <w:top w:val="nil"/>
              <w:left w:val="nil"/>
              <w:bottom w:val="nil"/>
              <w:right w:val="nil"/>
            </w:tcBorders>
            <w:shd w:val="clear" w:color="auto" w:fill="auto"/>
            <w:hideMark/>
          </w:tcPr>
          <w:p w14:paraId="723FEB3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地铁车辆通用技术条件</w:t>
            </w:r>
          </w:p>
        </w:tc>
        <w:tc>
          <w:tcPr>
            <w:tcW w:w="1984" w:type="dxa"/>
            <w:tcBorders>
              <w:top w:val="nil"/>
              <w:left w:val="nil"/>
              <w:bottom w:val="nil"/>
              <w:right w:val="nil"/>
            </w:tcBorders>
            <w:shd w:val="clear" w:color="auto" w:fill="auto"/>
            <w:noWrap/>
            <w:hideMark/>
          </w:tcPr>
          <w:p w14:paraId="192F572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7928</w:t>
            </w:r>
          </w:p>
        </w:tc>
      </w:tr>
      <w:tr w:rsidR="00893D77" w:rsidRPr="00893D77" w14:paraId="7D529FFE" w14:textId="77777777" w:rsidTr="00E92FED">
        <w:trPr>
          <w:trHeight w:val="288"/>
        </w:trPr>
        <w:tc>
          <w:tcPr>
            <w:tcW w:w="851" w:type="dxa"/>
            <w:tcBorders>
              <w:top w:val="nil"/>
              <w:left w:val="nil"/>
              <w:bottom w:val="nil"/>
              <w:right w:val="nil"/>
            </w:tcBorders>
            <w:shd w:val="clear" w:color="auto" w:fill="auto"/>
            <w:noWrap/>
            <w:hideMark/>
          </w:tcPr>
          <w:p w14:paraId="3126EA02"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77</w:t>
            </w:r>
          </w:p>
        </w:tc>
        <w:tc>
          <w:tcPr>
            <w:tcW w:w="5386" w:type="dxa"/>
            <w:tcBorders>
              <w:top w:val="nil"/>
              <w:left w:val="nil"/>
              <w:bottom w:val="nil"/>
              <w:right w:val="nil"/>
            </w:tcBorders>
            <w:shd w:val="clear" w:color="auto" w:fill="auto"/>
            <w:hideMark/>
          </w:tcPr>
          <w:p w14:paraId="3CEC17E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城市轨道交通照明</w:t>
            </w:r>
          </w:p>
        </w:tc>
        <w:tc>
          <w:tcPr>
            <w:tcW w:w="1984" w:type="dxa"/>
            <w:tcBorders>
              <w:top w:val="nil"/>
              <w:left w:val="nil"/>
              <w:bottom w:val="nil"/>
              <w:right w:val="nil"/>
            </w:tcBorders>
            <w:shd w:val="clear" w:color="auto" w:fill="auto"/>
            <w:noWrap/>
            <w:hideMark/>
          </w:tcPr>
          <w:p w14:paraId="485EF10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16275</w:t>
            </w:r>
          </w:p>
        </w:tc>
      </w:tr>
      <w:tr w:rsidR="00893D77" w:rsidRPr="00893D77" w14:paraId="3FBBFFE6" w14:textId="77777777" w:rsidTr="00E92FED">
        <w:trPr>
          <w:trHeight w:val="576"/>
        </w:trPr>
        <w:tc>
          <w:tcPr>
            <w:tcW w:w="851" w:type="dxa"/>
            <w:tcBorders>
              <w:top w:val="nil"/>
              <w:left w:val="nil"/>
              <w:bottom w:val="nil"/>
              <w:right w:val="nil"/>
            </w:tcBorders>
            <w:shd w:val="clear" w:color="auto" w:fill="auto"/>
            <w:noWrap/>
            <w:hideMark/>
          </w:tcPr>
          <w:p w14:paraId="65D0C16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78</w:t>
            </w:r>
          </w:p>
        </w:tc>
        <w:tc>
          <w:tcPr>
            <w:tcW w:w="5386" w:type="dxa"/>
            <w:tcBorders>
              <w:top w:val="nil"/>
              <w:left w:val="nil"/>
              <w:bottom w:val="nil"/>
              <w:right w:val="nil"/>
            </w:tcBorders>
            <w:shd w:val="clear" w:color="auto" w:fill="auto"/>
            <w:hideMark/>
          </w:tcPr>
          <w:p w14:paraId="1499005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声学 建筑和建筑构件隔声测量 第3部分：建筑构件空气隔声实验室测量</w:t>
            </w:r>
          </w:p>
        </w:tc>
        <w:tc>
          <w:tcPr>
            <w:tcW w:w="1984" w:type="dxa"/>
            <w:tcBorders>
              <w:top w:val="nil"/>
              <w:left w:val="nil"/>
              <w:bottom w:val="nil"/>
              <w:right w:val="nil"/>
            </w:tcBorders>
            <w:shd w:val="clear" w:color="auto" w:fill="auto"/>
            <w:noWrap/>
            <w:hideMark/>
          </w:tcPr>
          <w:p w14:paraId="4CADB9C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19889.3</w:t>
            </w:r>
          </w:p>
        </w:tc>
      </w:tr>
      <w:tr w:rsidR="00893D77" w:rsidRPr="00893D77" w14:paraId="38BBE241" w14:textId="77777777" w:rsidTr="00E92FED">
        <w:trPr>
          <w:trHeight w:val="288"/>
        </w:trPr>
        <w:tc>
          <w:tcPr>
            <w:tcW w:w="851" w:type="dxa"/>
            <w:tcBorders>
              <w:top w:val="nil"/>
              <w:left w:val="nil"/>
              <w:bottom w:val="nil"/>
              <w:right w:val="nil"/>
            </w:tcBorders>
            <w:shd w:val="clear" w:color="auto" w:fill="auto"/>
            <w:noWrap/>
            <w:hideMark/>
          </w:tcPr>
          <w:p w14:paraId="2A54EBC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79</w:t>
            </w:r>
          </w:p>
        </w:tc>
        <w:tc>
          <w:tcPr>
            <w:tcW w:w="5386" w:type="dxa"/>
            <w:tcBorders>
              <w:top w:val="nil"/>
              <w:left w:val="nil"/>
              <w:bottom w:val="nil"/>
              <w:right w:val="nil"/>
            </w:tcBorders>
            <w:shd w:val="clear" w:color="auto" w:fill="auto"/>
            <w:hideMark/>
          </w:tcPr>
          <w:p w14:paraId="16E6073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声学 混响室吸声测量</w:t>
            </w:r>
          </w:p>
        </w:tc>
        <w:tc>
          <w:tcPr>
            <w:tcW w:w="1984" w:type="dxa"/>
            <w:tcBorders>
              <w:top w:val="nil"/>
              <w:left w:val="nil"/>
              <w:bottom w:val="nil"/>
              <w:right w:val="nil"/>
            </w:tcBorders>
            <w:shd w:val="clear" w:color="auto" w:fill="auto"/>
            <w:noWrap/>
            <w:hideMark/>
          </w:tcPr>
          <w:p w14:paraId="11B06FC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20247</w:t>
            </w:r>
          </w:p>
        </w:tc>
      </w:tr>
      <w:tr w:rsidR="00893D77" w:rsidRPr="00893D77" w14:paraId="31C8B689" w14:textId="77777777" w:rsidTr="00E92FED">
        <w:trPr>
          <w:trHeight w:val="288"/>
        </w:trPr>
        <w:tc>
          <w:tcPr>
            <w:tcW w:w="851" w:type="dxa"/>
            <w:tcBorders>
              <w:top w:val="nil"/>
              <w:left w:val="nil"/>
              <w:bottom w:val="nil"/>
              <w:right w:val="nil"/>
            </w:tcBorders>
            <w:shd w:val="clear" w:color="auto" w:fill="auto"/>
            <w:noWrap/>
            <w:hideMark/>
          </w:tcPr>
          <w:p w14:paraId="1AE3B8B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80</w:t>
            </w:r>
          </w:p>
        </w:tc>
        <w:tc>
          <w:tcPr>
            <w:tcW w:w="5386" w:type="dxa"/>
            <w:tcBorders>
              <w:top w:val="nil"/>
              <w:left w:val="nil"/>
              <w:bottom w:val="nil"/>
              <w:right w:val="nil"/>
            </w:tcBorders>
            <w:shd w:val="clear" w:color="auto" w:fill="auto"/>
            <w:hideMark/>
          </w:tcPr>
          <w:p w14:paraId="2D32544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消防电梯制造与安装安全规范</w:t>
            </w:r>
          </w:p>
        </w:tc>
        <w:tc>
          <w:tcPr>
            <w:tcW w:w="1984" w:type="dxa"/>
            <w:tcBorders>
              <w:top w:val="nil"/>
              <w:left w:val="nil"/>
              <w:bottom w:val="nil"/>
              <w:right w:val="nil"/>
            </w:tcBorders>
            <w:shd w:val="clear" w:color="auto" w:fill="auto"/>
            <w:noWrap/>
            <w:hideMark/>
          </w:tcPr>
          <w:p w14:paraId="7ED7A45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26465</w:t>
            </w:r>
          </w:p>
        </w:tc>
      </w:tr>
      <w:tr w:rsidR="00893D77" w:rsidRPr="00893D77" w14:paraId="149D5DBE" w14:textId="77777777" w:rsidTr="00E92FED">
        <w:trPr>
          <w:trHeight w:val="288"/>
        </w:trPr>
        <w:tc>
          <w:tcPr>
            <w:tcW w:w="851" w:type="dxa"/>
            <w:tcBorders>
              <w:top w:val="nil"/>
              <w:left w:val="nil"/>
              <w:bottom w:val="nil"/>
              <w:right w:val="nil"/>
            </w:tcBorders>
            <w:shd w:val="clear" w:color="auto" w:fill="auto"/>
            <w:noWrap/>
            <w:hideMark/>
          </w:tcPr>
          <w:p w14:paraId="7C0F754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81</w:t>
            </w:r>
          </w:p>
        </w:tc>
        <w:tc>
          <w:tcPr>
            <w:tcW w:w="5386" w:type="dxa"/>
            <w:tcBorders>
              <w:top w:val="nil"/>
              <w:left w:val="nil"/>
              <w:bottom w:val="nil"/>
              <w:right w:val="nil"/>
            </w:tcBorders>
            <w:shd w:val="clear" w:color="auto" w:fill="auto"/>
            <w:hideMark/>
          </w:tcPr>
          <w:p w14:paraId="7812A73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电能质量 公用电网谐波</w:t>
            </w:r>
          </w:p>
        </w:tc>
        <w:tc>
          <w:tcPr>
            <w:tcW w:w="1984" w:type="dxa"/>
            <w:tcBorders>
              <w:top w:val="nil"/>
              <w:left w:val="nil"/>
              <w:bottom w:val="nil"/>
              <w:right w:val="nil"/>
            </w:tcBorders>
            <w:shd w:val="clear" w:color="auto" w:fill="auto"/>
            <w:noWrap/>
            <w:hideMark/>
          </w:tcPr>
          <w:p w14:paraId="7EA4D57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14549</w:t>
            </w:r>
          </w:p>
        </w:tc>
      </w:tr>
      <w:tr w:rsidR="00893D77" w:rsidRPr="00893D77" w14:paraId="2D167921" w14:textId="77777777" w:rsidTr="00E92FED">
        <w:trPr>
          <w:trHeight w:val="288"/>
        </w:trPr>
        <w:tc>
          <w:tcPr>
            <w:tcW w:w="851" w:type="dxa"/>
            <w:tcBorders>
              <w:top w:val="nil"/>
              <w:left w:val="nil"/>
              <w:bottom w:val="nil"/>
              <w:right w:val="nil"/>
            </w:tcBorders>
            <w:shd w:val="clear" w:color="auto" w:fill="auto"/>
            <w:noWrap/>
            <w:hideMark/>
          </w:tcPr>
          <w:p w14:paraId="7422081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82</w:t>
            </w:r>
          </w:p>
        </w:tc>
        <w:tc>
          <w:tcPr>
            <w:tcW w:w="5386" w:type="dxa"/>
            <w:tcBorders>
              <w:top w:val="nil"/>
              <w:left w:val="nil"/>
              <w:bottom w:val="nil"/>
              <w:right w:val="nil"/>
            </w:tcBorders>
            <w:shd w:val="clear" w:color="auto" w:fill="auto"/>
            <w:hideMark/>
          </w:tcPr>
          <w:p w14:paraId="589CE11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城市轨道交通车辆组装后检查和试验规则</w:t>
            </w:r>
          </w:p>
        </w:tc>
        <w:tc>
          <w:tcPr>
            <w:tcW w:w="1984" w:type="dxa"/>
            <w:tcBorders>
              <w:top w:val="nil"/>
              <w:left w:val="nil"/>
              <w:bottom w:val="nil"/>
              <w:right w:val="nil"/>
            </w:tcBorders>
            <w:shd w:val="clear" w:color="auto" w:fill="auto"/>
            <w:noWrap/>
            <w:hideMark/>
          </w:tcPr>
          <w:p w14:paraId="1574636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14894</w:t>
            </w:r>
          </w:p>
        </w:tc>
      </w:tr>
      <w:tr w:rsidR="00893D77" w:rsidRPr="00893D77" w14:paraId="6377DBA6" w14:textId="77777777" w:rsidTr="00E92FED">
        <w:trPr>
          <w:trHeight w:val="312"/>
        </w:trPr>
        <w:tc>
          <w:tcPr>
            <w:tcW w:w="851" w:type="dxa"/>
            <w:tcBorders>
              <w:top w:val="nil"/>
              <w:left w:val="nil"/>
              <w:bottom w:val="nil"/>
              <w:right w:val="nil"/>
            </w:tcBorders>
            <w:shd w:val="clear" w:color="auto" w:fill="auto"/>
            <w:noWrap/>
            <w:hideMark/>
          </w:tcPr>
          <w:p w14:paraId="5231B37D"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83</w:t>
            </w:r>
          </w:p>
        </w:tc>
        <w:tc>
          <w:tcPr>
            <w:tcW w:w="5386" w:type="dxa"/>
            <w:tcBorders>
              <w:top w:val="nil"/>
              <w:left w:val="nil"/>
              <w:bottom w:val="nil"/>
              <w:right w:val="nil"/>
            </w:tcBorders>
            <w:shd w:val="clear" w:color="auto" w:fill="auto"/>
            <w:hideMark/>
          </w:tcPr>
          <w:p w14:paraId="57BFADB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 xml:space="preserve">信息技术设备 抗扰度限值和测量办法 </w:t>
            </w:r>
          </w:p>
        </w:tc>
        <w:tc>
          <w:tcPr>
            <w:tcW w:w="1984" w:type="dxa"/>
            <w:tcBorders>
              <w:top w:val="nil"/>
              <w:left w:val="nil"/>
              <w:bottom w:val="nil"/>
              <w:right w:val="nil"/>
            </w:tcBorders>
            <w:shd w:val="clear" w:color="auto" w:fill="auto"/>
            <w:noWrap/>
            <w:hideMark/>
          </w:tcPr>
          <w:p w14:paraId="6F77D6C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17618 </w:t>
            </w:r>
          </w:p>
        </w:tc>
      </w:tr>
      <w:tr w:rsidR="00893D77" w:rsidRPr="00893D77" w14:paraId="2638CEE4" w14:textId="77777777" w:rsidTr="00E92FED">
        <w:trPr>
          <w:trHeight w:val="324"/>
        </w:trPr>
        <w:tc>
          <w:tcPr>
            <w:tcW w:w="851" w:type="dxa"/>
            <w:tcBorders>
              <w:top w:val="nil"/>
              <w:left w:val="nil"/>
              <w:bottom w:val="nil"/>
              <w:right w:val="nil"/>
            </w:tcBorders>
            <w:shd w:val="clear" w:color="auto" w:fill="auto"/>
            <w:noWrap/>
            <w:hideMark/>
          </w:tcPr>
          <w:p w14:paraId="0832484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84</w:t>
            </w:r>
          </w:p>
        </w:tc>
        <w:tc>
          <w:tcPr>
            <w:tcW w:w="5386" w:type="dxa"/>
            <w:tcBorders>
              <w:top w:val="nil"/>
              <w:left w:val="nil"/>
              <w:bottom w:val="nil"/>
              <w:right w:val="nil"/>
            </w:tcBorders>
            <w:shd w:val="clear" w:color="auto" w:fill="auto"/>
            <w:hideMark/>
          </w:tcPr>
          <w:p w14:paraId="0C0A63A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城市污水再生利用  城市杂用水水质</w:t>
            </w:r>
          </w:p>
        </w:tc>
        <w:tc>
          <w:tcPr>
            <w:tcW w:w="1984" w:type="dxa"/>
            <w:tcBorders>
              <w:top w:val="nil"/>
              <w:left w:val="nil"/>
              <w:bottom w:val="nil"/>
              <w:right w:val="nil"/>
            </w:tcBorders>
            <w:shd w:val="clear" w:color="auto" w:fill="auto"/>
            <w:noWrap/>
            <w:hideMark/>
          </w:tcPr>
          <w:p w14:paraId="059E553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18920</w:t>
            </w:r>
          </w:p>
        </w:tc>
      </w:tr>
      <w:tr w:rsidR="00893D77" w:rsidRPr="00893D77" w14:paraId="056C3D1C" w14:textId="77777777" w:rsidTr="00E92FED">
        <w:trPr>
          <w:trHeight w:val="324"/>
        </w:trPr>
        <w:tc>
          <w:tcPr>
            <w:tcW w:w="851" w:type="dxa"/>
            <w:tcBorders>
              <w:top w:val="nil"/>
              <w:left w:val="nil"/>
              <w:bottom w:val="nil"/>
              <w:right w:val="nil"/>
            </w:tcBorders>
            <w:shd w:val="clear" w:color="auto" w:fill="auto"/>
            <w:noWrap/>
            <w:hideMark/>
          </w:tcPr>
          <w:p w14:paraId="6C65D07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85</w:t>
            </w:r>
          </w:p>
        </w:tc>
        <w:tc>
          <w:tcPr>
            <w:tcW w:w="5386" w:type="dxa"/>
            <w:tcBorders>
              <w:top w:val="nil"/>
              <w:left w:val="nil"/>
              <w:bottom w:val="nil"/>
              <w:right w:val="nil"/>
            </w:tcBorders>
            <w:shd w:val="clear" w:color="auto" w:fill="auto"/>
            <w:hideMark/>
          </w:tcPr>
          <w:p w14:paraId="18FBB562"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城市污水再生利用 工业用水水质 </w:t>
            </w:r>
          </w:p>
        </w:tc>
        <w:tc>
          <w:tcPr>
            <w:tcW w:w="1984" w:type="dxa"/>
            <w:tcBorders>
              <w:top w:val="nil"/>
              <w:left w:val="nil"/>
              <w:bottom w:val="nil"/>
              <w:right w:val="nil"/>
            </w:tcBorders>
            <w:shd w:val="clear" w:color="auto" w:fill="auto"/>
            <w:noWrap/>
            <w:hideMark/>
          </w:tcPr>
          <w:p w14:paraId="0B6A3B2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19923</w:t>
            </w:r>
          </w:p>
        </w:tc>
      </w:tr>
      <w:tr w:rsidR="00893D77" w:rsidRPr="00893D77" w14:paraId="15BE8AB5" w14:textId="77777777" w:rsidTr="00E92FED">
        <w:trPr>
          <w:trHeight w:val="288"/>
        </w:trPr>
        <w:tc>
          <w:tcPr>
            <w:tcW w:w="851" w:type="dxa"/>
            <w:tcBorders>
              <w:top w:val="nil"/>
              <w:left w:val="nil"/>
              <w:bottom w:val="nil"/>
              <w:right w:val="nil"/>
            </w:tcBorders>
            <w:shd w:val="clear" w:color="auto" w:fill="auto"/>
            <w:noWrap/>
            <w:hideMark/>
          </w:tcPr>
          <w:p w14:paraId="24710AE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86</w:t>
            </w:r>
          </w:p>
        </w:tc>
        <w:tc>
          <w:tcPr>
            <w:tcW w:w="5386" w:type="dxa"/>
            <w:tcBorders>
              <w:top w:val="nil"/>
              <w:left w:val="nil"/>
              <w:bottom w:val="nil"/>
              <w:right w:val="nil"/>
            </w:tcBorders>
            <w:shd w:val="clear" w:color="auto" w:fill="auto"/>
            <w:hideMark/>
          </w:tcPr>
          <w:p w14:paraId="1FBC0E72"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铁路应用 机车车辆电气设备</w:t>
            </w:r>
          </w:p>
        </w:tc>
        <w:tc>
          <w:tcPr>
            <w:tcW w:w="1984" w:type="dxa"/>
            <w:tcBorders>
              <w:top w:val="nil"/>
              <w:left w:val="nil"/>
              <w:bottom w:val="nil"/>
              <w:right w:val="nil"/>
            </w:tcBorders>
            <w:shd w:val="clear" w:color="auto" w:fill="auto"/>
            <w:noWrap/>
            <w:hideMark/>
          </w:tcPr>
          <w:p w14:paraId="0C82ECA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21413</w:t>
            </w:r>
          </w:p>
        </w:tc>
      </w:tr>
      <w:tr w:rsidR="00893D77" w:rsidRPr="00893D77" w14:paraId="7AABD4DD" w14:textId="77777777" w:rsidTr="00E92FED">
        <w:trPr>
          <w:trHeight w:val="576"/>
        </w:trPr>
        <w:tc>
          <w:tcPr>
            <w:tcW w:w="851" w:type="dxa"/>
            <w:tcBorders>
              <w:top w:val="nil"/>
              <w:left w:val="nil"/>
              <w:bottom w:val="nil"/>
              <w:right w:val="nil"/>
            </w:tcBorders>
            <w:shd w:val="clear" w:color="auto" w:fill="auto"/>
            <w:noWrap/>
            <w:hideMark/>
          </w:tcPr>
          <w:p w14:paraId="49DBFDC5"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lastRenderedPageBreak/>
              <w:t>87</w:t>
            </w:r>
          </w:p>
        </w:tc>
        <w:tc>
          <w:tcPr>
            <w:tcW w:w="5386" w:type="dxa"/>
            <w:tcBorders>
              <w:top w:val="nil"/>
              <w:left w:val="nil"/>
              <w:bottom w:val="nil"/>
              <w:right w:val="nil"/>
            </w:tcBorders>
            <w:shd w:val="clear" w:color="auto" w:fill="auto"/>
            <w:hideMark/>
          </w:tcPr>
          <w:p w14:paraId="17A35B5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铁路应用机车车辆电气设备 第 l 部分：一般使用条件和通用规则</w:t>
            </w:r>
          </w:p>
        </w:tc>
        <w:tc>
          <w:tcPr>
            <w:tcW w:w="1984" w:type="dxa"/>
            <w:tcBorders>
              <w:top w:val="nil"/>
              <w:left w:val="nil"/>
              <w:bottom w:val="nil"/>
              <w:right w:val="nil"/>
            </w:tcBorders>
            <w:shd w:val="clear" w:color="auto" w:fill="auto"/>
            <w:noWrap/>
            <w:hideMark/>
          </w:tcPr>
          <w:p w14:paraId="70F4CEB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21413.1</w:t>
            </w:r>
          </w:p>
        </w:tc>
      </w:tr>
      <w:tr w:rsidR="00893D77" w:rsidRPr="00893D77" w14:paraId="3C028BC7" w14:textId="77777777" w:rsidTr="00E92FED">
        <w:trPr>
          <w:trHeight w:val="312"/>
        </w:trPr>
        <w:tc>
          <w:tcPr>
            <w:tcW w:w="851" w:type="dxa"/>
            <w:tcBorders>
              <w:top w:val="nil"/>
              <w:left w:val="nil"/>
              <w:bottom w:val="nil"/>
              <w:right w:val="nil"/>
            </w:tcBorders>
            <w:shd w:val="clear" w:color="auto" w:fill="auto"/>
            <w:noWrap/>
            <w:hideMark/>
          </w:tcPr>
          <w:p w14:paraId="2D122915"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88</w:t>
            </w:r>
          </w:p>
        </w:tc>
        <w:tc>
          <w:tcPr>
            <w:tcW w:w="5386" w:type="dxa"/>
            <w:tcBorders>
              <w:top w:val="nil"/>
              <w:left w:val="nil"/>
              <w:bottom w:val="nil"/>
              <w:right w:val="nil"/>
            </w:tcBorders>
            <w:shd w:val="clear" w:color="auto" w:fill="auto"/>
            <w:hideMark/>
          </w:tcPr>
          <w:p w14:paraId="2CBEDBC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 xml:space="preserve">通信设备过电压过电流保护导则 </w:t>
            </w:r>
          </w:p>
        </w:tc>
        <w:tc>
          <w:tcPr>
            <w:tcW w:w="1984" w:type="dxa"/>
            <w:tcBorders>
              <w:top w:val="nil"/>
              <w:left w:val="nil"/>
              <w:bottom w:val="nil"/>
              <w:right w:val="nil"/>
            </w:tcBorders>
            <w:shd w:val="clear" w:color="auto" w:fill="auto"/>
            <w:noWrap/>
            <w:hideMark/>
          </w:tcPr>
          <w:p w14:paraId="3102304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21545 </w:t>
            </w:r>
          </w:p>
        </w:tc>
      </w:tr>
      <w:tr w:rsidR="00893D77" w:rsidRPr="00893D77" w14:paraId="3109C60D" w14:textId="77777777" w:rsidTr="00E92FED">
        <w:trPr>
          <w:trHeight w:val="288"/>
        </w:trPr>
        <w:tc>
          <w:tcPr>
            <w:tcW w:w="851" w:type="dxa"/>
            <w:tcBorders>
              <w:top w:val="nil"/>
              <w:left w:val="nil"/>
              <w:bottom w:val="nil"/>
              <w:right w:val="nil"/>
            </w:tcBorders>
            <w:shd w:val="clear" w:color="auto" w:fill="auto"/>
            <w:noWrap/>
            <w:hideMark/>
          </w:tcPr>
          <w:p w14:paraId="48B91A6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89</w:t>
            </w:r>
          </w:p>
        </w:tc>
        <w:tc>
          <w:tcPr>
            <w:tcW w:w="5386" w:type="dxa"/>
            <w:tcBorders>
              <w:top w:val="nil"/>
              <w:left w:val="nil"/>
              <w:bottom w:val="nil"/>
              <w:right w:val="nil"/>
            </w:tcBorders>
            <w:shd w:val="clear" w:color="auto" w:fill="auto"/>
            <w:hideMark/>
          </w:tcPr>
          <w:p w14:paraId="003785D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信息安全技术 网络安全等级保护基本要求</w:t>
            </w:r>
          </w:p>
        </w:tc>
        <w:tc>
          <w:tcPr>
            <w:tcW w:w="1984" w:type="dxa"/>
            <w:tcBorders>
              <w:top w:val="nil"/>
              <w:left w:val="nil"/>
              <w:bottom w:val="nil"/>
              <w:right w:val="nil"/>
            </w:tcBorders>
            <w:shd w:val="clear" w:color="auto" w:fill="auto"/>
            <w:noWrap/>
            <w:hideMark/>
          </w:tcPr>
          <w:p w14:paraId="6D1746F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22239</w:t>
            </w:r>
          </w:p>
        </w:tc>
      </w:tr>
      <w:tr w:rsidR="00893D77" w:rsidRPr="00893D77" w14:paraId="12510A7B" w14:textId="77777777" w:rsidTr="00E92FED">
        <w:trPr>
          <w:trHeight w:val="288"/>
        </w:trPr>
        <w:tc>
          <w:tcPr>
            <w:tcW w:w="851" w:type="dxa"/>
            <w:tcBorders>
              <w:top w:val="nil"/>
              <w:left w:val="nil"/>
              <w:bottom w:val="nil"/>
              <w:right w:val="nil"/>
            </w:tcBorders>
            <w:shd w:val="clear" w:color="auto" w:fill="auto"/>
            <w:noWrap/>
            <w:hideMark/>
          </w:tcPr>
          <w:p w14:paraId="5EFFA6A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90</w:t>
            </w:r>
          </w:p>
        </w:tc>
        <w:tc>
          <w:tcPr>
            <w:tcW w:w="5386" w:type="dxa"/>
            <w:tcBorders>
              <w:top w:val="nil"/>
              <w:left w:val="nil"/>
              <w:bottom w:val="nil"/>
              <w:right w:val="nil"/>
            </w:tcBorders>
            <w:shd w:val="clear" w:color="auto" w:fill="auto"/>
            <w:hideMark/>
          </w:tcPr>
          <w:p w14:paraId="10A85A63"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轨道交通电磁兼容</w:t>
            </w:r>
          </w:p>
        </w:tc>
        <w:tc>
          <w:tcPr>
            <w:tcW w:w="1984" w:type="dxa"/>
            <w:tcBorders>
              <w:top w:val="nil"/>
              <w:left w:val="nil"/>
              <w:bottom w:val="nil"/>
              <w:right w:val="nil"/>
            </w:tcBorders>
            <w:shd w:val="clear" w:color="auto" w:fill="auto"/>
            <w:noWrap/>
            <w:hideMark/>
          </w:tcPr>
          <w:p w14:paraId="25A0510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24338</w:t>
            </w:r>
          </w:p>
        </w:tc>
      </w:tr>
      <w:tr w:rsidR="00893D77" w:rsidRPr="00893D77" w14:paraId="69333DAC" w14:textId="77777777" w:rsidTr="00E92FED">
        <w:trPr>
          <w:trHeight w:val="288"/>
        </w:trPr>
        <w:tc>
          <w:tcPr>
            <w:tcW w:w="851" w:type="dxa"/>
            <w:tcBorders>
              <w:top w:val="nil"/>
              <w:left w:val="nil"/>
              <w:bottom w:val="nil"/>
              <w:right w:val="nil"/>
            </w:tcBorders>
            <w:shd w:val="clear" w:color="auto" w:fill="auto"/>
            <w:noWrap/>
            <w:hideMark/>
          </w:tcPr>
          <w:p w14:paraId="4A0BC61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91</w:t>
            </w:r>
          </w:p>
        </w:tc>
        <w:tc>
          <w:tcPr>
            <w:tcW w:w="5386" w:type="dxa"/>
            <w:tcBorders>
              <w:top w:val="nil"/>
              <w:left w:val="nil"/>
              <w:bottom w:val="nil"/>
              <w:right w:val="nil"/>
            </w:tcBorders>
            <w:shd w:val="clear" w:color="auto" w:fill="auto"/>
            <w:hideMark/>
          </w:tcPr>
          <w:p w14:paraId="40BBE73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信息安全技术网络安全等级保护安全设计技术要求</w:t>
            </w:r>
          </w:p>
        </w:tc>
        <w:tc>
          <w:tcPr>
            <w:tcW w:w="1984" w:type="dxa"/>
            <w:tcBorders>
              <w:top w:val="nil"/>
              <w:left w:val="nil"/>
              <w:bottom w:val="nil"/>
              <w:right w:val="nil"/>
            </w:tcBorders>
            <w:shd w:val="clear" w:color="auto" w:fill="auto"/>
            <w:noWrap/>
            <w:hideMark/>
          </w:tcPr>
          <w:p w14:paraId="03A1973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25070 </w:t>
            </w:r>
          </w:p>
        </w:tc>
      </w:tr>
      <w:tr w:rsidR="00893D77" w:rsidRPr="00893D77" w14:paraId="53877BC5" w14:textId="77777777" w:rsidTr="00E92FED">
        <w:trPr>
          <w:trHeight w:val="288"/>
        </w:trPr>
        <w:tc>
          <w:tcPr>
            <w:tcW w:w="851" w:type="dxa"/>
            <w:tcBorders>
              <w:top w:val="nil"/>
              <w:left w:val="nil"/>
              <w:bottom w:val="nil"/>
              <w:right w:val="nil"/>
            </w:tcBorders>
            <w:shd w:val="clear" w:color="auto" w:fill="auto"/>
            <w:noWrap/>
            <w:hideMark/>
          </w:tcPr>
          <w:p w14:paraId="6DD1D2C3"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92</w:t>
            </w:r>
          </w:p>
        </w:tc>
        <w:tc>
          <w:tcPr>
            <w:tcW w:w="5386" w:type="dxa"/>
            <w:tcBorders>
              <w:top w:val="nil"/>
              <w:left w:val="nil"/>
              <w:bottom w:val="nil"/>
              <w:right w:val="nil"/>
            </w:tcBorders>
            <w:shd w:val="clear" w:color="auto" w:fill="auto"/>
            <w:hideMark/>
          </w:tcPr>
          <w:p w14:paraId="258F768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轨道交通机车车辆电子装置</w:t>
            </w:r>
          </w:p>
        </w:tc>
        <w:tc>
          <w:tcPr>
            <w:tcW w:w="1984" w:type="dxa"/>
            <w:tcBorders>
              <w:top w:val="nil"/>
              <w:left w:val="nil"/>
              <w:bottom w:val="nil"/>
              <w:right w:val="nil"/>
            </w:tcBorders>
            <w:shd w:val="clear" w:color="auto" w:fill="auto"/>
            <w:noWrap/>
            <w:hideMark/>
          </w:tcPr>
          <w:p w14:paraId="0BC3044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25119</w:t>
            </w:r>
          </w:p>
        </w:tc>
      </w:tr>
      <w:tr w:rsidR="00893D77" w:rsidRPr="00893D77" w14:paraId="7F7D6A86" w14:textId="77777777" w:rsidTr="00E92FED">
        <w:trPr>
          <w:trHeight w:val="288"/>
        </w:trPr>
        <w:tc>
          <w:tcPr>
            <w:tcW w:w="851" w:type="dxa"/>
            <w:tcBorders>
              <w:top w:val="nil"/>
              <w:left w:val="nil"/>
              <w:bottom w:val="nil"/>
              <w:right w:val="nil"/>
            </w:tcBorders>
            <w:shd w:val="clear" w:color="auto" w:fill="auto"/>
            <w:noWrap/>
            <w:hideMark/>
          </w:tcPr>
          <w:p w14:paraId="0FA410F5"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93</w:t>
            </w:r>
          </w:p>
        </w:tc>
        <w:tc>
          <w:tcPr>
            <w:tcW w:w="5386" w:type="dxa"/>
            <w:tcBorders>
              <w:top w:val="nil"/>
              <w:left w:val="nil"/>
              <w:bottom w:val="nil"/>
              <w:right w:val="nil"/>
            </w:tcBorders>
            <w:shd w:val="clear" w:color="auto" w:fill="auto"/>
            <w:hideMark/>
          </w:tcPr>
          <w:p w14:paraId="242B390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轨道交通机车车辆用电力变流器</w:t>
            </w:r>
          </w:p>
        </w:tc>
        <w:tc>
          <w:tcPr>
            <w:tcW w:w="1984" w:type="dxa"/>
            <w:tcBorders>
              <w:top w:val="nil"/>
              <w:left w:val="nil"/>
              <w:bottom w:val="nil"/>
              <w:right w:val="nil"/>
            </w:tcBorders>
            <w:shd w:val="clear" w:color="auto" w:fill="auto"/>
            <w:noWrap/>
            <w:hideMark/>
          </w:tcPr>
          <w:p w14:paraId="2938B4D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25122.1</w:t>
            </w:r>
          </w:p>
        </w:tc>
      </w:tr>
      <w:tr w:rsidR="00893D77" w:rsidRPr="00893D77" w14:paraId="0532D538" w14:textId="77777777" w:rsidTr="00E92FED">
        <w:trPr>
          <w:trHeight w:val="288"/>
        </w:trPr>
        <w:tc>
          <w:tcPr>
            <w:tcW w:w="851" w:type="dxa"/>
            <w:tcBorders>
              <w:top w:val="nil"/>
              <w:left w:val="nil"/>
              <w:bottom w:val="nil"/>
              <w:right w:val="nil"/>
            </w:tcBorders>
            <w:shd w:val="clear" w:color="auto" w:fill="auto"/>
            <w:noWrap/>
            <w:hideMark/>
          </w:tcPr>
          <w:p w14:paraId="096C842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94</w:t>
            </w:r>
          </w:p>
        </w:tc>
        <w:tc>
          <w:tcPr>
            <w:tcW w:w="5386" w:type="dxa"/>
            <w:tcBorders>
              <w:top w:val="nil"/>
              <w:left w:val="nil"/>
              <w:bottom w:val="nil"/>
              <w:right w:val="nil"/>
            </w:tcBorders>
            <w:shd w:val="clear" w:color="auto" w:fill="auto"/>
            <w:hideMark/>
          </w:tcPr>
          <w:p w14:paraId="23168E2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电力牵引轨道机车车辆和公路车辆用旋转电机</w:t>
            </w:r>
          </w:p>
        </w:tc>
        <w:tc>
          <w:tcPr>
            <w:tcW w:w="1984" w:type="dxa"/>
            <w:tcBorders>
              <w:top w:val="nil"/>
              <w:left w:val="nil"/>
              <w:bottom w:val="nil"/>
              <w:right w:val="nil"/>
            </w:tcBorders>
            <w:shd w:val="clear" w:color="auto" w:fill="auto"/>
            <w:noWrap/>
            <w:hideMark/>
          </w:tcPr>
          <w:p w14:paraId="3359558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25123</w:t>
            </w:r>
          </w:p>
        </w:tc>
      </w:tr>
      <w:tr w:rsidR="00893D77" w:rsidRPr="00893D77" w14:paraId="732E2D52" w14:textId="77777777" w:rsidTr="00E92FED">
        <w:trPr>
          <w:trHeight w:val="636"/>
        </w:trPr>
        <w:tc>
          <w:tcPr>
            <w:tcW w:w="851" w:type="dxa"/>
            <w:tcBorders>
              <w:top w:val="nil"/>
              <w:left w:val="nil"/>
              <w:bottom w:val="nil"/>
              <w:right w:val="nil"/>
            </w:tcBorders>
            <w:shd w:val="clear" w:color="auto" w:fill="auto"/>
            <w:noWrap/>
            <w:hideMark/>
          </w:tcPr>
          <w:p w14:paraId="0A2A692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95</w:t>
            </w:r>
          </w:p>
        </w:tc>
        <w:tc>
          <w:tcPr>
            <w:tcW w:w="5386" w:type="dxa"/>
            <w:tcBorders>
              <w:top w:val="nil"/>
              <w:left w:val="nil"/>
              <w:bottom w:val="nil"/>
              <w:right w:val="nil"/>
            </w:tcBorders>
            <w:shd w:val="clear" w:color="auto" w:fill="auto"/>
            <w:hideMark/>
          </w:tcPr>
          <w:p w14:paraId="18111CF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 地面装置 电气安全、接地和回流 第1部分：电击防护措施</w:t>
            </w:r>
          </w:p>
        </w:tc>
        <w:tc>
          <w:tcPr>
            <w:tcW w:w="1984" w:type="dxa"/>
            <w:tcBorders>
              <w:top w:val="nil"/>
              <w:left w:val="nil"/>
              <w:bottom w:val="nil"/>
              <w:right w:val="nil"/>
            </w:tcBorders>
            <w:shd w:val="clear" w:color="auto" w:fill="auto"/>
            <w:noWrap/>
            <w:hideMark/>
          </w:tcPr>
          <w:p w14:paraId="6392009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28026.1 </w:t>
            </w:r>
          </w:p>
        </w:tc>
      </w:tr>
      <w:tr w:rsidR="00893D77" w:rsidRPr="00893D77" w14:paraId="6A758B7C" w14:textId="77777777" w:rsidTr="00E92FED">
        <w:trPr>
          <w:trHeight w:val="636"/>
        </w:trPr>
        <w:tc>
          <w:tcPr>
            <w:tcW w:w="851" w:type="dxa"/>
            <w:tcBorders>
              <w:top w:val="nil"/>
              <w:left w:val="nil"/>
              <w:bottom w:val="nil"/>
              <w:right w:val="nil"/>
            </w:tcBorders>
            <w:shd w:val="clear" w:color="auto" w:fill="auto"/>
            <w:noWrap/>
            <w:hideMark/>
          </w:tcPr>
          <w:p w14:paraId="4D8D9C06"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96</w:t>
            </w:r>
          </w:p>
        </w:tc>
        <w:tc>
          <w:tcPr>
            <w:tcW w:w="5386" w:type="dxa"/>
            <w:tcBorders>
              <w:top w:val="nil"/>
              <w:left w:val="nil"/>
              <w:bottom w:val="nil"/>
              <w:right w:val="nil"/>
            </w:tcBorders>
            <w:shd w:val="clear" w:color="auto" w:fill="auto"/>
            <w:hideMark/>
          </w:tcPr>
          <w:p w14:paraId="4CA7681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 地面装置 电气安全、接地和回流 第2部分：直流牵引供电系统杂散电流的防护措施</w:t>
            </w:r>
          </w:p>
        </w:tc>
        <w:tc>
          <w:tcPr>
            <w:tcW w:w="1984" w:type="dxa"/>
            <w:tcBorders>
              <w:top w:val="nil"/>
              <w:left w:val="nil"/>
              <w:bottom w:val="nil"/>
              <w:right w:val="nil"/>
            </w:tcBorders>
            <w:shd w:val="clear" w:color="auto" w:fill="auto"/>
            <w:noWrap/>
            <w:hideMark/>
          </w:tcPr>
          <w:p w14:paraId="4D52543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28026.2 </w:t>
            </w:r>
          </w:p>
        </w:tc>
      </w:tr>
      <w:tr w:rsidR="00893D77" w:rsidRPr="00893D77" w14:paraId="4A529CB4" w14:textId="77777777" w:rsidTr="00E92FED">
        <w:trPr>
          <w:trHeight w:val="288"/>
        </w:trPr>
        <w:tc>
          <w:tcPr>
            <w:tcW w:w="851" w:type="dxa"/>
            <w:tcBorders>
              <w:top w:val="nil"/>
              <w:left w:val="nil"/>
              <w:bottom w:val="nil"/>
              <w:right w:val="nil"/>
            </w:tcBorders>
            <w:shd w:val="clear" w:color="auto" w:fill="auto"/>
            <w:noWrap/>
            <w:hideMark/>
          </w:tcPr>
          <w:p w14:paraId="3A74F52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97</w:t>
            </w:r>
          </w:p>
        </w:tc>
        <w:tc>
          <w:tcPr>
            <w:tcW w:w="5386" w:type="dxa"/>
            <w:tcBorders>
              <w:top w:val="nil"/>
              <w:left w:val="nil"/>
              <w:bottom w:val="nil"/>
              <w:right w:val="nil"/>
            </w:tcBorders>
            <w:shd w:val="clear" w:color="auto" w:fill="auto"/>
            <w:hideMark/>
          </w:tcPr>
          <w:p w14:paraId="33EDC29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信息安全技术网络安全等级保护测评要求</w:t>
            </w:r>
          </w:p>
        </w:tc>
        <w:tc>
          <w:tcPr>
            <w:tcW w:w="1984" w:type="dxa"/>
            <w:tcBorders>
              <w:top w:val="nil"/>
              <w:left w:val="nil"/>
              <w:bottom w:val="nil"/>
              <w:right w:val="nil"/>
            </w:tcBorders>
            <w:shd w:val="clear" w:color="auto" w:fill="auto"/>
            <w:noWrap/>
            <w:hideMark/>
          </w:tcPr>
          <w:p w14:paraId="434F0A8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28448</w:t>
            </w:r>
          </w:p>
        </w:tc>
      </w:tr>
      <w:tr w:rsidR="00893D77" w:rsidRPr="00893D77" w14:paraId="78614391" w14:textId="77777777" w:rsidTr="00E92FED">
        <w:trPr>
          <w:trHeight w:val="288"/>
        </w:trPr>
        <w:tc>
          <w:tcPr>
            <w:tcW w:w="851" w:type="dxa"/>
            <w:tcBorders>
              <w:top w:val="nil"/>
              <w:left w:val="nil"/>
              <w:bottom w:val="nil"/>
              <w:right w:val="nil"/>
            </w:tcBorders>
            <w:shd w:val="clear" w:color="auto" w:fill="auto"/>
            <w:noWrap/>
            <w:hideMark/>
          </w:tcPr>
          <w:p w14:paraId="5E5274D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98</w:t>
            </w:r>
          </w:p>
        </w:tc>
        <w:tc>
          <w:tcPr>
            <w:tcW w:w="5386" w:type="dxa"/>
            <w:tcBorders>
              <w:top w:val="nil"/>
              <w:left w:val="nil"/>
              <w:bottom w:val="nil"/>
              <w:right w:val="nil"/>
            </w:tcBorders>
            <w:shd w:val="clear" w:color="auto" w:fill="auto"/>
            <w:hideMark/>
          </w:tcPr>
          <w:p w14:paraId="1C583E16"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采暖空调系统水质</w:t>
            </w:r>
          </w:p>
        </w:tc>
        <w:tc>
          <w:tcPr>
            <w:tcW w:w="1984" w:type="dxa"/>
            <w:tcBorders>
              <w:top w:val="nil"/>
              <w:left w:val="nil"/>
              <w:bottom w:val="nil"/>
              <w:right w:val="nil"/>
            </w:tcBorders>
            <w:shd w:val="clear" w:color="auto" w:fill="auto"/>
            <w:noWrap/>
            <w:hideMark/>
          </w:tcPr>
          <w:p w14:paraId="0052826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29044</w:t>
            </w:r>
          </w:p>
        </w:tc>
      </w:tr>
      <w:tr w:rsidR="00893D77" w:rsidRPr="00893D77" w14:paraId="0FC458F2" w14:textId="77777777" w:rsidTr="00E92FED">
        <w:trPr>
          <w:trHeight w:val="324"/>
        </w:trPr>
        <w:tc>
          <w:tcPr>
            <w:tcW w:w="851" w:type="dxa"/>
            <w:tcBorders>
              <w:top w:val="nil"/>
              <w:left w:val="nil"/>
              <w:bottom w:val="nil"/>
              <w:right w:val="nil"/>
            </w:tcBorders>
            <w:shd w:val="clear" w:color="auto" w:fill="auto"/>
            <w:noWrap/>
            <w:hideMark/>
          </w:tcPr>
          <w:p w14:paraId="4669FA9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99</w:t>
            </w:r>
          </w:p>
        </w:tc>
        <w:tc>
          <w:tcPr>
            <w:tcW w:w="5386" w:type="dxa"/>
            <w:tcBorders>
              <w:top w:val="nil"/>
              <w:left w:val="nil"/>
              <w:bottom w:val="nil"/>
              <w:right w:val="nil"/>
            </w:tcBorders>
            <w:shd w:val="clear" w:color="auto" w:fill="auto"/>
            <w:hideMark/>
          </w:tcPr>
          <w:p w14:paraId="6ABECD0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现场设备工具（FDT）接口规范标准</w:t>
            </w:r>
          </w:p>
        </w:tc>
        <w:tc>
          <w:tcPr>
            <w:tcW w:w="1984" w:type="dxa"/>
            <w:tcBorders>
              <w:top w:val="nil"/>
              <w:left w:val="nil"/>
              <w:bottom w:val="nil"/>
              <w:right w:val="nil"/>
            </w:tcBorders>
            <w:shd w:val="clear" w:color="auto" w:fill="auto"/>
            <w:noWrap/>
            <w:hideMark/>
          </w:tcPr>
          <w:p w14:paraId="34CBF6B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29618</w:t>
            </w:r>
          </w:p>
        </w:tc>
      </w:tr>
      <w:tr w:rsidR="00893D77" w:rsidRPr="00893D77" w14:paraId="752FFE4D" w14:textId="77777777" w:rsidTr="00E92FED">
        <w:trPr>
          <w:trHeight w:val="288"/>
        </w:trPr>
        <w:tc>
          <w:tcPr>
            <w:tcW w:w="851" w:type="dxa"/>
            <w:tcBorders>
              <w:top w:val="nil"/>
              <w:left w:val="nil"/>
              <w:bottom w:val="nil"/>
              <w:right w:val="nil"/>
            </w:tcBorders>
            <w:shd w:val="clear" w:color="auto" w:fill="auto"/>
            <w:noWrap/>
            <w:hideMark/>
          </w:tcPr>
          <w:p w14:paraId="7A94F18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100</w:t>
            </w:r>
          </w:p>
        </w:tc>
        <w:tc>
          <w:tcPr>
            <w:tcW w:w="5386" w:type="dxa"/>
            <w:tcBorders>
              <w:top w:val="nil"/>
              <w:left w:val="nil"/>
              <w:bottom w:val="nil"/>
              <w:right w:val="nil"/>
            </w:tcBorders>
            <w:shd w:val="clear" w:color="auto" w:fill="auto"/>
            <w:hideMark/>
          </w:tcPr>
          <w:p w14:paraId="3F03FD4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声屏障用橡胶件</w:t>
            </w:r>
          </w:p>
        </w:tc>
        <w:tc>
          <w:tcPr>
            <w:tcW w:w="1984" w:type="dxa"/>
            <w:tcBorders>
              <w:top w:val="nil"/>
              <w:left w:val="nil"/>
              <w:bottom w:val="nil"/>
              <w:right w:val="nil"/>
            </w:tcBorders>
            <w:shd w:val="clear" w:color="auto" w:fill="auto"/>
            <w:noWrap/>
            <w:hideMark/>
          </w:tcPr>
          <w:p w14:paraId="1717554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30649</w:t>
            </w:r>
          </w:p>
        </w:tc>
      </w:tr>
      <w:tr w:rsidR="00893D77" w:rsidRPr="00893D77" w14:paraId="4B7AF02D" w14:textId="77777777" w:rsidTr="00E92FED">
        <w:trPr>
          <w:trHeight w:val="288"/>
        </w:trPr>
        <w:tc>
          <w:tcPr>
            <w:tcW w:w="851" w:type="dxa"/>
            <w:tcBorders>
              <w:top w:val="nil"/>
              <w:left w:val="nil"/>
              <w:bottom w:val="nil"/>
              <w:right w:val="nil"/>
            </w:tcBorders>
            <w:shd w:val="clear" w:color="auto" w:fill="auto"/>
            <w:noWrap/>
            <w:hideMark/>
          </w:tcPr>
          <w:p w14:paraId="4D3BCAE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101</w:t>
            </w:r>
          </w:p>
        </w:tc>
        <w:tc>
          <w:tcPr>
            <w:tcW w:w="5386" w:type="dxa"/>
            <w:tcBorders>
              <w:top w:val="nil"/>
              <w:left w:val="nil"/>
              <w:bottom w:val="nil"/>
              <w:right w:val="nil"/>
            </w:tcBorders>
            <w:shd w:val="clear" w:color="auto" w:fill="auto"/>
            <w:hideMark/>
          </w:tcPr>
          <w:p w14:paraId="09E4E927"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工业控制系统信息安全 第1 部分：评估规范</w:t>
            </w:r>
          </w:p>
        </w:tc>
        <w:tc>
          <w:tcPr>
            <w:tcW w:w="1984" w:type="dxa"/>
            <w:tcBorders>
              <w:top w:val="nil"/>
              <w:left w:val="nil"/>
              <w:bottom w:val="nil"/>
              <w:right w:val="nil"/>
            </w:tcBorders>
            <w:shd w:val="clear" w:color="auto" w:fill="auto"/>
            <w:noWrap/>
            <w:hideMark/>
          </w:tcPr>
          <w:p w14:paraId="2DD124B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30976.1</w:t>
            </w:r>
          </w:p>
        </w:tc>
      </w:tr>
      <w:tr w:rsidR="00893D77" w:rsidRPr="00893D77" w14:paraId="65619BA2" w14:textId="77777777" w:rsidTr="00E92FED">
        <w:trPr>
          <w:trHeight w:val="288"/>
        </w:trPr>
        <w:tc>
          <w:tcPr>
            <w:tcW w:w="851" w:type="dxa"/>
            <w:tcBorders>
              <w:top w:val="nil"/>
              <w:left w:val="nil"/>
              <w:bottom w:val="nil"/>
              <w:right w:val="nil"/>
            </w:tcBorders>
            <w:shd w:val="clear" w:color="auto" w:fill="auto"/>
            <w:noWrap/>
            <w:hideMark/>
          </w:tcPr>
          <w:p w14:paraId="465CCAC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102</w:t>
            </w:r>
          </w:p>
        </w:tc>
        <w:tc>
          <w:tcPr>
            <w:tcW w:w="5386" w:type="dxa"/>
            <w:tcBorders>
              <w:top w:val="nil"/>
              <w:left w:val="nil"/>
              <w:bottom w:val="nil"/>
              <w:right w:val="nil"/>
            </w:tcBorders>
            <w:shd w:val="clear" w:color="auto" w:fill="auto"/>
            <w:hideMark/>
          </w:tcPr>
          <w:p w14:paraId="70DD469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工业控制系统信息安全 第2 部分：验收规范</w:t>
            </w:r>
          </w:p>
        </w:tc>
        <w:tc>
          <w:tcPr>
            <w:tcW w:w="1984" w:type="dxa"/>
            <w:tcBorders>
              <w:top w:val="nil"/>
              <w:left w:val="nil"/>
              <w:bottom w:val="nil"/>
              <w:right w:val="nil"/>
            </w:tcBorders>
            <w:shd w:val="clear" w:color="auto" w:fill="auto"/>
            <w:noWrap/>
            <w:hideMark/>
          </w:tcPr>
          <w:p w14:paraId="73E9A4B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30976.2</w:t>
            </w:r>
          </w:p>
        </w:tc>
      </w:tr>
      <w:tr w:rsidR="00893D77" w:rsidRPr="00893D77" w14:paraId="4FCA1D98" w14:textId="77777777" w:rsidTr="00E92FED">
        <w:trPr>
          <w:trHeight w:val="288"/>
        </w:trPr>
        <w:tc>
          <w:tcPr>
            <w:tcW w:w="851" w:type="dxa"/>
            <w:tcBorders>
              <w:top w:val="nil"/>
              <w:left w:val="nil"/>
              <w:bottom w:val="nil"/>
              <w:right w:val="nil"/>
            </w:tcBorders>
            <w:shd w:val="clear" w:color="auto" w:fill="auto"/>
            <w:noWrap/>
            <w:hideMark/>
          </w:tcPr>
          <w:p w14:paraId="6C9C7FD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103</w:t>
            </w:r>
          </w:p>
        </w:tc>
        <w:tc>
          <w:tcPr>
            <w:tcW w:w="5386" w:type="dxa"/>
            <w:tcBorders>
              <w:top w:val="nil"/>
              <w:left w:val="nil"/>
              <w:bottom w:val="nil"/>
              <w:right w:val="nil"/>
            </w:tcBorders>
            <w:shd w:val="clear" w:color="auto" w:fill="auto"/>
            <w:hideMark/>
          </w:tcPr>
          <w:p w14:paraId="4AE28F0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 xml:space="preserve">工业以太网现场总线EtherCAN </w:t>
            </w:r>
          </w:p>
        </w:tc>
        <w:tc>
          <w:tcPr>
            <w:tcW w:w="1984" w:type="dxa"/>
            <w:tcBorders>
              <w:top w:val="nil"/>
              <w:left w:val="nil"/>
              <w:bottom w:val="nil"/>
              <w:right w:val="nil"/>
            </w:tcBorders>
            <w:shd w:val="clear" w:color="auto" w:fill="auto"/>
            <w:noWrap/>
            <w:hideMark/>
          </w:tcPr>
          <w:p w14:paraId="7096446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31230</w:t>
            </w:r>
          </w:p>
        </w:tc>
      </w:tr>
      <w:tr w:rsidR="00893D77" w:rsidRPr="00893D77" w14:paraId="275C0389" w14:textId="77777777" w:rsidTr="00E92FED">
        <w:trPr>
          <w:trHeight w:val="288"/>
        </w:trPr>
        <w:tc>
          <w:tcPr>
            <w:tcW w:w="851" w:type="dxa"/>
            <w:tcBorders>
              <w:top w:val="nil"/>
              <w:left w:val="nil"/>
              <w:bottom w:val="nil"/>
              <w:right w:val="nil"/>
            </w:tcBorders>
            <w:shd w:val="clear" w:color="auto" w:fill="auto"/>
            <w:noWrap/>
            <w:hideMark/>
          </w:tcPr>
          <w:p w14:paraId="17DE40D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104</w:t>
            </w:r>
          </w:p>
        </w:tc>
        <w:tc>
          <w:tcPr>
            <w:tcW w:w="5386" w:type="dxa"/>
            <w:tcBorders>
              <w:top w:val="nil"/>
              <w:left w:val="nil"/>
              <w:bottom w:val="nil"/>
              <w:right w:val="nil"/>
            </w:tcBorders>
            <w:shd w:val="clear" w:color="auto" w:fill="auto"/>
            <w:hideMark/>
          </w:tcPr>
          <w:p w14:paraId="446A2BC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节水型卫生洁具</w:t>
            </w:r>
          </w:p>
        </w:tc>
        <w:tc>
          <w:tcPr>
            <w:tcW w:w="1984" w:type="dxa"/>
            <w:tcBorders>
              <w:top w:val="nil"/>
              <w:left w:val="nil"/>
              <w:bottom w:val="nil"/>
              <w:right w:val="nil"/>
            </w:tcBorders>
            <w:shd w:val="clear" w:color="auto" w:fill="auto"/>
            <w:noWrap/>
            <w:hideMark/>
          </w:tcPr>
          <w:p w14:paraId="381F646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31436</w:t>
            </w:r>
          </w:p>
        </w:tc>
      </w:tr>
      <w:tr w:rsidR="00893D77" w:rsidRPr="00893D77" w14:paraId="6F419A55" w14:textId="77777777" w:rsidTr="00E92FED">
        <w:trPr>
          <w:trHeight w:val="288"/>
        </w:trPr>
        <w:tc>
          <w:tcPr>
            <w:tcW w:w="851" w:type="dxa"/>
            <w:tcBorders>
              <w:top w:val="nil"/>
              <w:left w:val="nil"/>
              <w:bottom w:val="nil"/>
              <w:right w:val="nil"/>
            </w:tcBorders>
            <w:shd w:val="clear" w:color="auto" w:fill="auto"/>
            <w:noWrap/>
            <w:hideMark/>
          </w:tcPr>
          <w:p w14:paraId="10006E1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105</w:t>
            </w:r>
          </w:p>
        </w:tc>
        <w:tc>
          <w:tcPr>
            <w:tcW w:w="5386" w:type="dxa"/>
            <w:tcBorders>
              <w:top w:val="nil"/>
              <w:left w:val="nil"/>
              <w:bottom w:val="nil"/>
              <w:right w:val="nil"/>
            </w:tcBorders>
            <w:shd w:val="clear" w:color="auto" w:fill="auto"/>
            <w:hideMark/>
          </w:tcPr>
          <w:p w14:paraId="7B8D5C72"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 地面装置 电力牵引架空接触网</w:t>
            </w:r>
          </w:p>
        </w:tc>
        <w:tc>
          <w:tcPr>
            <w:tcW w:w="1984" w:type="dxa"/>
            <w:tcBorders>
              <w:top w:val="nil"/>
              <w:left w:val="nil"/>
              <w:bottom w:val="nil"/>
              <w:right w:val="nil"/>
            </w:tcBorders>
            <w:shd w:val="clear" w:color="auto" w:fill="auto"/>
            <w:noWrap/>
            <w:hideMark/>
          </w:tcPr>
          <w:p w14:paraId="792082A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32578</w:t>
            </w:r>
          </w:p>
        </w:tc>
      </w:tr>
      <w:tr w:rsidR="00893D77" w:rsidRPr="00893D77" w14:paraId="04D3366F" w14:textId="77777777" w:rsidTr="00E92FED">
        <w:trPr>
          <w:trHeight w:val="288"/>
        </w:trPr>
        <w:tc>
          <w:tcPr>
            <w:tcW w:w="851" w:type="dxa"/>
            <w:tcBorders>
              <w:top w:val="nil"/>
              <w:left w:val="nil"/>
              <w:bottom w:val="nil"/>
              <w:right w:val="nil"/>
            </w:tcBorders>
            <w:shd w:val="clear" w:color="auto" w:fill="auto"/>
            <w:noWrap/>
            <w:hideMark/>
          </w:tcPr>
          <w:p w14:paraId="42CAA25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106</w:t>
            </w:r>
          </w:p>
        </w:tc>
        <w:tc>
          <w:tcPr>
            <w:tcW w:w="5386" w:type="dxa"/>
            <w:tcBorders>
              <w:top w:val="nil"/>
              <w:left w:val="nil"/>
              <w:bottom w:val="nil"/>
              <w:right w:val="nil"/>
            </w:tcBorders>
            <w:shd w:val="clear" w:color="auto" w:fill="auto"/>
            <w:hideMark/>
          </w:tcPr>
          <w:p w14:paraId="72C2E05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城市轨道交通机电设备节能要求</w:t>
            </w:r>
          </w:p>
        </w:tc>
        <w:tc>
          <w:tcPr>
            <w:tcW w:w="1984" w:type="dxa"/>
            <w:tcBorders>
              <w:top w:val="nil"/>
              <w:left w:val="nil"/>
              <w:bottom w:val="nil"/>
              <w:right w:val="nil"/>
            </w:tcBorders>
            <w:shd w:val="clear" w:color="auto" w:fill="auto"/>
            <w:noWrap/>
            <w:hideMark/>
          </w:tcPr>
          <w:p w14:paraId="392613D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35553</w:t>
            </w:r>
          </w:p>
        </w:tc>
      </w:tr>
      <w:tr w:rsidR="00893D77" w:rsidRPr="00893D77" w14:paraId="6AC3F05A" w14:textId="77777777" w:rsidTr="00E92FED">
        <w:trPr>
          <w:trHeight w:val="288"/>
        </w:trPr>
        <w:tc>
          <w:tcPr>
            <w:tcW w:w="851" w:type="dxa"/>
            <w:tcBorders>
              <w:top w:val="nil"/>
              <w:left w:val="nil"/>
              <w:bottom w:val="nil"/>
              <w:right w:val="nil"/>
            </w:tcBorders>
            <w:shd w:val="clear" w:color="auto" w:fill="auto"/>
            <w:noWrap/>
            <w:hideMark/>
          </w:tcPr>
          <w:p w14:paraId="35DBFD5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107</w:t>
            </w:r>
          </w:p>
        </w:tc>
        <w:tc>
          <w:tcPr>
            <w:tcW w:w="5386" w:type="dxa"/>
            <w:tcBorders>
              <w:top w:val="nil"/>
              <w:left w:val="nil"/>
              <w:bottom w:val="nil"/>
              <w:right w:val="nil"/>
            </w:tcBorders>
            <w:shd w:val="clear" w:color="auto" w:fill="auto"/>
            <w:hideMark/>
          </w:tcPr>
          <w:p w14:paraId="5391E0B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城市轨道交通列车再生制动能量地面利用系统</w:t>
            </w:r>
          </w:p>
        </w:tc>
        <w:tc>
          <w:tcPr>
            <w:tcW w:w="1984" w:type="dxa"/>
            <w:tcBorders>
              <w:top w:val="nil"/>
              <w:left w:val="nil"/>
              <w:bottom w:val="nil"/>
              <w:right w:val="nil"/>
            </w:tcBorders>
            <w:shd w:val="clear" w:color="auto" w:fill="auto"/>
            <w:noWrap/>
            <w:hideMark/>
          </w:tcPr>
          <w:p w14:paraId="1E66D9F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36287</w:t>
            </w:r>
          </w:p>
        </w:tc>
      </w:tr>
      <w:tr w:rsidR="00893D77" w:rsidRPr="00893D77" w14:paraId="1D811968" w14:textId="77777777" w:rsidTr="00E92FED">
        <w:trPr>
          <w:trHeight w:val="576"/>
        </w:trPr>
        <w:tc>
          <w:tcPr>
            <w:tcW w:w="851" w:type="dxa"/>
            <w:tcBorders>
              <w:top w:val="nil"/>
              <w:left w:val="nil"/>
              <w:bottom w:val="nil"/>
              <w:right w:val="nil"/>
            </w:tcBorders>
            <w:shd w:val="clear" w:color="auto" w:fill="auto"/>
            <w:noWrap/>
            <w:hideMark/>
          </w:tcPr>
          <w:p w14:paraId="79E8ABE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108</w:t>
            </w:r>
          </w:p>
        </w:tc>
        <w:tc>
          <w:tcPr>
            <w:tcW w:w="5386" w:type="dxa"/>
            <w:tcBorders>
              <w:top w:val="nil"/>
              <w:left w:val="nil"/>
              <w:bottom w:val="nil"/>
              <w:right w:val="nil"/>
            </w:tcBorders>
            <w:shd w:val="clear" w:color="auto" w:fill="auto"/>
            <w:hideMark/>
          </w:tcPr>
          <w:p w14:paraId="6E1866E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城市轨道交通市域快线120 km/h~ 160 km/h车辆通用技术条件</w:t>
            </w:r>
          </w:p>
        </w:tc>
        <w:tc>
          <w:tcPr>
            <w:tcW w:w="1984" w:type="dxa"/>
            <w:tcBorders>
              <w:top w:val="nil"/>
              <w:left w:val="nil"/>
              <w:bottom w:val="nil"/>
              <w:right w:val="nil"/>
            </w:tcBorders>
            <w:shd w:val="clear" w:color="auto" w:fill="auto"/>
            <w:noWrap/>
            <w:hideMark/>
          </w:tcPr>
          <w:p w14:paraId="3930BAF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37532</w:t>
            </w:r>
          </w:p>
        </w:tc>
      </w:tr>
      <w:tr w:rsidR="00893D77" w:rsidRPr="00893D77" w14:paraId="6F9F886B" w14:textId="77777777" w:rsidTr="00E92FED">
        <w:trPr>
          <w:trHeight w:val="288"/>
        </w:trPr>
        <w:tc>
          <w:tcPr>
            <w:tcW w:w="851" w:type="dxa"/>
            <w:tcBorders>
              <w:top w:val="nil"/>
              <w:left w:val="nil"/>
              <w:bottom w:val="nil"/>
              <w:right w:val="nil"/>
            </w:tcBorders>
            <w:shd w:val="clear" w:color="auto" w:fill="auto"/>
            <w:noWrap/>
            <w:hideMark/>
          </w:tcPr>
          <w:p w14:paraId="7CB85A6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109</w:t>
            </w:r>
          </w:p>
        </w:tc>
        <w:tc>
          <w:tcPr>
            <w:tcW w:w="5386" w:type="dxa"/>
            <w:tcBorders>
              <w:top w:val="nil"/>
              <w:left w:val="nil"/>
              <w:bottom w:val="nil"/>
              <w:right w:val="nil"/>
            </w:tcBorders>
            <w:shd w:val="clear" w:color="auto" w:fill="auto"/>
            <w:hideMark/>
          </w:tcPr>
          <w:p w14:paraId="4772423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混凝土用钢纤维</w:t>
            </w:r>
          </w:p>
        </w:tc>
        <w:tc>
          <w:tcPr>
            <w:tcW w:w="1984" w:type="dxa"/>
            <w:tcBorders>
              <w:top w:val="nil"/>
              <w:left w:val="nil"/>
              <w:bottom w:val="nil"/>
              <w:right w:val="nil"/>
            </w:tcBorders>
            <w:shd w:val="clear" w:color="auto" w:fill="auto"/>
            <w:noWrap/>
            <w:hideMark/>
          </w:tcPr>
          <w:p w14:paraId="0564305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GB/T 39147</w:t>
            </w:r>
          </w:p>
        </w:tc>
      </w:tr>
      <w:tr w:rsidR="00893D77" w:rsidRPr="00893D77" w14:paraId="6FB38089" w14:textId="77777777" w:rsidTr="00E92FED">
        <w:trPr>
          <w:trHeight w:val="288"/>
        </w:trPr>
        <w:tc>
          <w:tcPr>
            <w:tcW w:w="851" w:type="dxa"/>
            <w:tcBorders>
              <w:top w:val="nil"/>
              <w:left w:val="nil"/>
              <w:bottom w:val="nil"/>
              <w:right w:val="nil"/>
            </w:tcBorders>
            <w:shd w:val="clear" w:color="auto" w:fill="auto"/>
            <w:noWrap/>
            <w:hideMark/>
          </w:tcPr>
          <w:p w14:paraId="564152A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110</w:t>
            </w:r>
          </w:p>
        </w:tc>
        <w:tc>
          <w:tcPr>
            <w:tcW w:w="5386" w:type="dxa"/>
            <w:tcBorders>
              <w:top w:val="nil"/>
              <w:left w:val="nil"/>
              <w:bottom w:val="nil"/>
              <w:right w:val="nil"/>
            </w:tcBorders>
            <w:shd w:val="clear" w:color="auto" w:fill="auto"/>
            <w:hideMark/>
          </w:tcPr>
          <w:p w14:paraId="230CAC2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城市桥梁设计规范</w:t>
            </w:r>
          </w:p>
        </w:tc>
        <w:tc>
          <w:tcPr>
            <w:tcW w:w="1984" w:type="dxa"/>
            <w:tcBorders>
              <w:top w:val="nil"/>
              <w:left w:val="nil"/>
              <w:bottom w:val="nil"/>
              <w:right w:val="nil"/>
            </w:tcBorders>
            <w:shd w:val="clear" w:color="auto" w:fill="auto"/>
            <w:noWrap/>
            <w:hideMark/>
          </w:tcPr>
          <w:p w14:paraId="38354C0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CJJ 11</w:t>
            </w:r>
          </w:p>
        </w:tc>
      </w:tr>
      <w:tr w:rsidR="00893D77" w:rsidRPr="00893D77" w14:paraId="0078A620" w14:textId="77777777" w:rsidTr="00E92FED">
        <w:trPr>
          <w:trHeight w:val="288"/>
        </w:trPr>
        <w:tc>
          <w:tcPr>
            <w:tcW w:w="851" w:type="dxa"/>
            <w:tcBorders>
              <w:top w:val="nil"/>
              <w:left w:val="nil"/>
              <w:bottom w:val="nil"/>
              <w:right w:val="nil"/>
            </w:tcBorders>
            <w:shd w:val="clear" w:color="auto" w:fill="auto"/>
            <w:noWrap/>
            <w:hideMark/>
          </w:tcPr>
          <w:p w14:paraId="5457049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111</w:t>
            </w:r>
          </w:p>
        </w:tc>
        <w:tc>
          <w:tcPr>
            <w:tcW w:w="5386" w:type="dxa"/>
            <w:tcBorders>
              <w:top w:val="nil"/>
              <w:left w:val="nil"/>
              <w:bottom w:val="nil"/>
              <w:right w:val="nil"/>
            </w:tcBorders>
            <w:shd w:val="clear" w:color="auto" w:fill="auto"/>
            <w:hideMark/>
          </w:tcPr>
          <w:p w14:paraId="2958531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地铁杂散电流腐蚀防护技术规程标准</w:t>
            </w:r>
          </w:p>
        </w:tc>
        <w:tc>
          <w:tcPr>
            <w:tcW w:w="1984" w:type="dxa"/>
            <w:tcBorders>
              <w:top w:val="nil"/>
              <w:left w:val="nil"/>
              <w:bottom w:val="nil"/>
              <w:right w:val="nil"/>
            </w:tcBorders>
            <w:shd w:val="clear" w:color="auto" w:fill="auto"/>
            <w:noWrap/>
            <w:hideMark/>
          </w:tcPr>
          <w:p w14:paraId="3C78C70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CJJ/T 49</w:t>
            </w:r>
          </w:p>
        </w:tc>
      </w:tr>
      <w:tr w:rsidR="00893D77" w:rsidRPr="00893D77" w14:paraId="442B02B6" w14:textId="77777777" w:rsidTr="00E92FED">
        <w:trPr>
          <w:trHeight w:val="288"/>
        </w:trPr>
        <w:tc>
          <w:tcPr>
            <w:tcW w:w="851" w:type="dxa"/>
            <w:tcBorders>
              <w:top w:val="nil"/>
              <w:left w:val="nil"/>
              <w:bottom w:val="nil"/>
              <w:right w:val="nil"/>
            </w:tcBorders>
            <w:shd w:val="clear" w:color="auto" w:fill="auto"/>
            <w:noWrap/>
            <w:hideMark/>
          </w:tcPr>
          <w:p w14:paraId="2F89C4C9"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112</w:t>
            </w:r>
          </w:p>
        </w:tc>
        <w:tc>
          <w:tcPr>
            <w:tcW w:w="5386" w:type="dxa"/>
            <w:tcBorders>
              <w:top w:val="nil"/>
              <w:left w:val="nil"/>
              <w:bottom w:val="nil"/>
              <w:right w:val="nil"/>
            </w:tcBorders>
            <w:shd w:val="clear" w:color="auto" w:fill="auto"/>
            <w:hideMark/>
          </w:tcPr>
          <w:p w14:paraId="534F1E7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城市人行天桥与人行地道技术规范</w:t>
            </w:r>
          </w:p>
        </w:tc>
        <w:tc>
          <w:tcPr>
            <w:tcW w:w="1984" w:type="dxa"/>
            <w:tcBorders>
              <w:top w:val="nil"/>
              <w:left w:val="nil"/>
              <w:bottom w:val="nil"/>
              <w:right w:val="nil"/>
            </w:tcBorders>
            <w:shd w:val="clear" w:color="auto" w:fill="auto"/>
            <w:noWrap/>
            <w:hideMark/>
          </w:tcPr>
          <w:p w14:paraId="1D50E9E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CJJ 69</w:t>
            </w:r>
          </w:p>
        </w:tc>
      </w:tr>
      <w:tr w:rsidR="00893D77" w:rsidRPr="00893D77" w14:paraId="57BDBE87" w14:textId="77777777" w:rsidTr="00E92FED">
        <w:trPr>
          <w:trHeight w:val="288"/>
        </w:trPr>
        <w:tc>
          <w:tcPr>
            <w:tcW w:w="851" w:type="dxa"/>
            <w:tcBorders>
              <w:top w:val="nil"/>
              <w:left w:val="nil"/>
              <w:bottom w:val="nil"/>
              <w:right w:val="nil"/>
            </w:tcBorders>
            <w:shd w:val="clear" w:color="auto" w:fill="auto"/>
            <w:noWrap/>
            <w:hideMark/>
          </w:tcPr>
          <w:p w14:paraId="4113E33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113</w:t>
            </w:r>
          </w:p>
        </w:tc>
        <w:tc>
          <w:tcPr>
            <w:tcW w:w="5386" w:type="dxa"/>
            <w:tcBorders>
              <w:top w:val="nil"/>
              <w:left w:val="nil"/>
              <w:bottom w:val="nil"/>
              <w:right w:val="nil"/>
            </w:tcBorders>
            <w:shd w:val="clear" w:color="auto" w:fill="auto"/>
            <w:hideMark/>
          </w:tcPr>
          <w:p w14:paraId="3301CDA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城市轨道交通接触轨供电系统技术规范</w:t>
            </w:r>
          </w:p>
        </w:tc>
        <w:tc>
          <w:tcPr>
            <w:tcW w:w="1984" w:type="dxa"/>
            <w:tcBorders>
              <w:top w:val="nil"/>
              <w:left w:val="nil"/>
              <w:bottom w:val="nil"/>
              <w:right w:val="nil"/>
            </w:tcBorders>
            <w:shd w:val="clear" w:color="auto" w:fill="auto"/>
            <w:noWrap/>
            <w:hideMark/>
          </w:tcPr>
          <w:p w14:paraId="673AD9A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CJJ/T 198</w:t>
            </w:r>
          </w:p>
        </w:tc>
      </w:tr>
      <w:tr w:rsidR="00893D77" w:rsidRPr="00893D77" w14:paraId="63EB6BF7" w14:textId="77777777" w:rsidTr="00E92FED">
        <w:trPr>
          <w:trHeight w:val="288"/>
        </w:trPr>
        <w:tc>
          <w:tcPr>
            <w:tcW w:w="851" w:type="dxa"/>
            <w:tcBorders>
              <w:top w:val="nil"/>
              <w:left w:val="nil"/>
              <w:bottom w:val="nil"/>
              <w:right w:val="nil"/>
            </w:tcBorders>
            <w:shd w:val="clear" w:color="auto" w:fill="auto"/>
            <w:noWrap/>
            <w:hideMark/>
          </w:tcPr>
          <w:p w14:paraId="2543247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114</w:t>
            </w:r>
          </w:p>
        </w:tc>
        <w:tc>
          <w:tcPr>
            <w:tcW w:w="5386" w:type="dxa"/>
            <w:tcBorders>
              <w:top w:val="nil"/>
              <w:left w:val="nil"/>
              <w:bottom w:val="nil"/>
              <w:right w:val="nil"/>
            </w:tcBorders>
            <w:shd w:val="clear" w:color="auto" w:fill="auto"/>
            <w:hideMark/>
          </w:tcPr>
          <w:p w14:paraId="1BDB113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城市轨道交通安全防范要求</w:t>
            </w:r>
          </w:p>
        </w:tc>
        <w:tc>
          <w:tcPr>
            <w:tcW w:w="1984" w:type="dxa"/>
            <w:tcBorders>
              <w:top w:val="nil"/>
              <w:left w:val="nil"/>
              <w:bottom w:val="nil"/>
              <w:right w:val="nil"/>
            </w:tcBorders>
            <w:shd w:val="clear" w:color="auto" w:fill="auto"/>
            <w:noWrap/>
            <w:hideMark/>
          </w:tcPr>
          <w:p w14:paraId="3E30745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GA 1467 </w:t>
            </w:r>
          </w:p>
        </w:tc>
      </w:tr>
      <w:tr w:rsidR="00893D77" w:rsidRPr="00893D77" w14:paraId="4893962D" w14:textId="77777777" w:rsidTr="00E92FED">
        <w:trPr>
          <w:trHeight w:val="288"/>
        </w:trPr>
        <w:tc>
          <w:tcPr>
            <w:tcW w:w="851" w:type="dxa"/>
            <w:tcBorders>
              <w:top w:val="nil"/>
              <w:left w:val="nil"/>
              <w:bottom w:val="nil"/>
              <w:right w:val="nil"/>
            </w:tcBorders>
            <w:shd w:val="clear" w:color="auto" w:fill="auto"/>
            <w:noWrap/>
            <w:hideMark/>
          </w:tcPr>
          <w:p w14:paraId="5999DE7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lastRenderedPageBreak/>
              <w:t>115</w:t>
            </w:r>
          </w:p>
        </w:tc>
        <w:tc>
          <w:tcPr>
            <w:tcW w:w="5386" w:type="dxa"/>
            <w:tcBorders>
              <w:top w:val="nil"/>
              <w:left w:val="nil"/>
              <w:bottom w:val="nil"/>
              <w:right w:val="nil"/>
            </w:tcBorders>
            <w:shd w:val="clear" w:color="auto" w:fill="auto"/>
            <w:hideMark/>
          </w:tcPr>
          <w:p w14:paraId="7EF7444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环境影响评价技术导则 输变电工程</w:t>
            </w:r>
          </w:p>
        </w:tc>
        <w:tc>
          <w:tcPr>
            <w:tcW w:w="1984" w:type="dxa"/>
            <w:tcBorders>
              <w:top w:val="nil"/>
              <w:left w:val="nil"/>
              <w:bottom w:val="nil"/>
              <w:right w:val="nil"/>
            </w:tcBorders>
            <w:shd w:val="clear" w:color="auto" w:fill="auto"/>
            <w:noWrap/>
            <w:hideMark/>
          </w:tcPr>
          <w:p w14:paraId="6F025C1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HJ 24</w:t>
            </w:r>
          </w:p>
        </w:tc>
      </w:tr>
      <w:tr w:rsidR="00893D77" w:rsidRPr="00893D77" w14:paraId="61582C32" w14:textId="77777777" w:rsidTr="00E92FED">
        <w:trPr>
          <w:trHeight w:val="288"/>
        </w:trPr>
        <w:tc>
          <w:tcPr>
            <w:tcW w:w="851" w:type="dxa"/>
            <w:tcBorders>
              <w:top w:val="nil"/>
              <w:left w:val="nil"/>
              <w:bottom w:val="nil"/>
              <w:right w:val="nil"/>
            </w:tcBorders>
            <w:shd w:val="clear" w:color="auto" w:fill="auto"/>
            <w:noWrap/>
            <w:hideMark/>
          </w:tcPr>
          <w:p w14:paraId="60F522A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116</w:t>
            </w:r>
          </w:p>
        </w:tc>
        <w:tc>
          <w:tcPr>
            <w:tcW w:w="5386" w:type="dxa"/>
            <w:tcBorders>
              <w:top w:val="nil"/>
              <w:left w:val="nil"/>
              <w:bottom w:val="nil"/>
              <w:right w:val="nil"/>
            </w:tcBorders>
            <w:shd w:val="clear" w:color="auto" w:fill="auto"/>
            <w:hideMark/>
          </w:tcPr>
          <w:p w14:paraId="373E2BA4"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声屏障声学设计和测量规范</w:t>
            </w:r>
          </w:p>
        </w:tc>
        <w:tc>
          <w:tcPr>
            <w:tcW w:w="1984" w:type="dxa"/>
            <w:tcBorders>
              <w:top w:val="nil"/>
              <w:left w:val="nil"/>
              <w:bottom w:val="nil"/>
              <w:right w:val="nil"/>
            </w:tcBorders>
            <w:shd w:val="clear" w:color="auto" w:fill="auto"/>
            <w:noWrap/>
            <w:hideMark/>
          </w:tcPr>
          <w:p w14:paraId="671D1269"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HJ/T90</w:t>
            </w:r>
          </w:p>
        </w:tc>
      </w:tr>
      <w:tr w:rsidR="00893D77" w:rsidRPr="00893D77" w14:paraId="640DF094" w14:textId="77777777" w:rsidTr="00E92FED">
        <w:trPr>
          <w:trHeight w:val="288"/>
        </w:trPr>
        <w:tc>
          <w:tcPr>
            <w:tcW w:w="851" w:type="dxa"/>
            <w:tcBorders>
              <w:top w:val="nil"/>
              <w:left w:val="nil"/>
              <w:bottom w:val="nil"/>
              <w:right w:val="nil"/>
            </w:tcBorders>
            <w:shd w:val="clear" w:color="auto" w:fill="auto"/>
            <w:noWrap/>
            <w:hideMark/>
          </w:tcPr>
          <w:p w14:paraId="0EA4632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117</w:t>
            </w:r>
          </w:p>
        </w:tc>
        <w:tc>
          <w:tcPr>
            <w:tcW w:w="5386" w:type="dxa"/>
            <w:tcBorders>
              <w:top w:val="nil"/>
              <w:left w:val="nil"/>
              <w:bottom w:val="nil"/>
              <w:right w:val="nil"/>
            </w:tcBorders>
            <w:shd w:val="clear" w:color="auto" w:fill="auto"/>
            <w:hideMark/>
          </w:tcPr>
          <w:p w14:paraId="537C21E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工业通风机 噪声限值</w:t>
            </w:r>
          </w:p>
        </w:tc>
        <w:tc>
          <w:tcPr>
            <w:tcW w:w="1984" w:type="dxa"/>
            <w:tcBorders>
              <w:top w:val="nil"/>
              <w:left w:val="nil"/>
              <w:bottom w:val="nil"/>
              <w:right w:val="nil"/>
            </w:tcBorders>
            <w:shd w:val="clear" w:color="auto" w:fill="auto"/>
            <w:noWrap/>
            <w:hideMark/>
          </w:tcPr>
          <w:p w14:paraId="5C2DCC9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JB/T 8690</w:t>
            </w:r>
          </w:p>
        </w:tc>
      </w:tr>
      <w:tr w:rsidR="00893D77" w:rsidRPr="00893D77" w14:paraId="2735D2F5" w14:textId="77777777" w:rsidTr="00E92FED">
        <w:trPr>
          <w:trHeight w:val="288"/>
        </w:trPr>
        <w:tc>
          <w:tcPr>
            <w:tcW w:w="851" w:type="dxa"/>
            <w:tcBorders>
              <w:top w:val="nil"/>
              <w:left w:val="nil"/>
              <w:bottom w:val="nil"/>
              <w:right w:val="nil"/>
            </w:tcBorders>
            <w:shd w:val="clear" w:color="auto" w:fill="auto"/>
            <w:noWrap/>
            <w:hideMark/>
          </w:tcPr>
          <w:p w14:paraId="05D33B0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118</w:t>
            </w:r>
          </w:p>
        </w:tc>
        <w:tc>
          <w:tcPr>
            <w:tcW w:w="5386" w:type="dxa"/>
            <w:tcBorders>
              <w:top w:val="nil"/>
              <w:left w:val="nil"/>
              <w:bottom w:val="nil"/>
              <w:right w:val="nil"/>
            </w:tcBorders>
            <w:shd w:val="clear" w:color="auto" w:fill="auto"/>
            <w:hideMark/>
          </w:tcPr>
          <w:p w14:paraId="138D410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城市轨道交通用干式牵引整流变压器</w:t>
            </w:r>
          </w:p>
        </w:tc>
        <w:tc>
          <w:tcPr>
            <w:tcW w:w="1984" w:type="dxa"/>
            <w:tcBorders>
              <w:top w:val="nil"/>
              <w:left w:val="nil"/>
              <w:bottom w:val="nil"/>
              <w:right w:val="nil"/>
            </w:tcBorders>
            <w:shd w:val="clear" w:color="auto" w:fill="auto"/>
            <w:noWrap/>
            <w:hideMark/>
          </w:tcPr>
          <w:p w14:paraId="2D04AB8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JB/T 10693</w:t>
            </w:r>
          </w:p>
        </w:tc>
      </w:tr>
      <w:tr w:rsidR="00893D77" w:rsidRPr="00893D77" w14:paraId="1FBDA496" w14:textId="77777777" w:rsidTr="00E92FED">
        <w:trPr>
          <w:trHeight w:val="288"/>
        </w:trPr>
        <w:tc>
          <w:tcPr>
            <w:tcW w:w="851" w:type="dxa"/>
            <w:tcBorders>
              <w:top w:val="nil"/>
              <w:left w:val="nil"/>
              <w:bottom w:val="nil"/>
              <w:right w:val="nil"/>
            </w:tcBorders>
            <w:shd w:val="clear" w:color="auto" w:fill="auto"/>
            <w:noWrap/>
            <w:hideMark/>
          </w:tcPr>
          <w:p w14:paraId="56EAC43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119</w:t>
            </w:r>
          </w:p>
        </w:tc>
        <w:tc>
          <w:tcPr>
            <w:tcW w:w="5386" w:type="dxa"/>
            <w:tcBorders>
              <w:top w:val="nil"/>
              <w:left w:val="nil"/>
              <w:bottom w:val="nil"/>
              <w:right w:val="nil"/>
            </w:tcBorders>
            <w:shd w:val="clear" w:color="auto" w:fill="auto"/>
            <w:hideMark/>
          </w:tcPr>
          <w:p w14:paraId="07764933"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建筑防水涂料中有害物质限量</w:t>
            </w:r>
          </w:p>
        </w:tc>
        <w:tc>
          <w:tcPr>
            <w:tcW w:w="1984" w:type="dxa"/>
            <w:tcBorders>
              <w:top w:val="nil"/>
              <w:left w:val="nil"/>
              <w:bottom w:val="nil"/>
              <w:right w:val="nil"/>
            </w:tcBorders>
            <w:shd w:val="clear" w:color="auto" w:fill="auto"/>
            <w:noWrap/>
            <w:hideMark/>
          </w:tcPr>
          <w:p w14:paraId="5FE2ED7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 xml:space="preserve">JC1066 </w:t>
            </w:r>
          </w:p>
        </w:tc>
      </w:tr>
      <w:tr w:rsidR="00893D77" w:rsidRPr="00893D77" w14:paraId="6C3ECA6C" w14:textId="77777777" w:rsidTr="00E92FED">
        <w:trPr>
          <w:trHeight w:val="288"/>
        </w:trPr>
        <w:tc>
          <w:tcPr>
            <w:tcW w:w="851" w:type="dxa"/>
            <w:tcBorders>
              <w:top w:val="nil"/>
              <w:left w:val="nil"/>
              <w:bottom w:val="nil"/>
              <w:right w:val="nil"/>
            </w:tcBorders>
            <w:shd w:val="clear" w:color="auto" w:fill="auto"/>
            <w:noWrap/>
            <w:hideMark/>
          </w:tcPr>
          <w:p w14:paraId="495FCF9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120</w:t>
            </w:r>
          </w:p>
        </w:tc>
        <w:tc>
          <w:tcPr>
            <w:tcW w:w="5386" w:type="dxa"/>
            <w:tcBorders>
              <w:top w:val="nil"/>
              <w:left w:val="nil"/>
              <w:bottom w:val="nil"/>
              <w:right w:val="nil"/>
            </w:tcBorders>
            <w:shd w:val="clear" w:color="auto" w:fill="auto"/>
            <w:hideMark/>
          </w:tcPr>
          <w:p w14:paraId="7BAC413A"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建筑基桩检测技术规范</w:t>
            </w:r>
          </w:p>
        </w:tc>
        <w:tc>
          <w:tcPr>
            <w:tcW w:w="1984" w:type="dxa"/>
            <w:tcBorders>
              <w:top w:val="nil"/>
              <w:left w:val="nil"/>
              <w:bottom w:val="nil"/>
              <w:right w:val="nil"/>
            </w:tcBorders>
            <w:shd w:val="clear" w:color="auto" w:fill="auto"/>
            <w:noWrap/>
            <w:hideMark/>
          </w:tcPr>
          <w:p w14:paraId="1A4F38B2"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JGJ 106</w:t>
            </w:r>
          </w:p>
        </w:tc>
      </w:tr>
      <w:tr w:rsidR="00893D77" w:rsidRPr="00893D77" w14:paraId="5FF939E7" w14:textId="77777777" w:rsidTr="00E92FED">
        <w:trPr>
          <w:trHeight w:val="288"/>
        </w:trPr>
        <w:tc>
          <w:tcPr>
            <w:tcW w:w="851" w:type="dxa"/>
            <w:tcBorders>
              <w:top w:val="nil"/>
              <w:left w:val="nil"/>
              <w:bottom w:val="nil"/>
              <w:right w:val="nil"/>
            </w:tcBorders>
            <w:shd w:val="clear" w:color="auto" w:fill="auto"/>
            <w:noWrap/>
            <w:hideMark/>
          </w:tcPr>
          <w:p w14:paraId="3FE86F32"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121</w:t>
            </w:r>
          </w:p>
        </w:tc>
        <w:tc>
          <w:tcPr>
            <w:tcW w:w="5386" w:type="dxa"/>
            <w:tcBorders>
              <w:top w:val="nil"/>
              <w:left w:val="nil"/>
              <w:bottom w:val="nil"/>
              <w:right w:val="nil"/>
            </w:tcBorders>
            <w:shd w:val="clear" w:color="auto" w:fill="auto"/>
            <w:hideMark/>
          </w:tcPr>
          <w:p w14:paraId="52FEA29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钢筋机械连接技术规程</w:t>
            </w:r>
          </w:p>
        </w:tc>
        <w:tc>
          <w:tcPr>
            <w:tcW w:w="1984" w:type="dxa"/>
            <w:tcBorders>
              <w:top w:val="nil"/>
              <w:left w:val="nil"/>
              <w:bottom w:val="nil"/>
              <w:right w:val="nil"/>
            </w:tcBorders>
            <w:shd w:val="clear" w:color="auto" w:fill="auto"/>
            <w:noWrap/>
            <w:hideMark/>
          </w:tcPr>
          <w:p w14:paraId="0DB1258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JGJ 107</w:t>
            </w:r>
          </w:p>
        </w:tc>
      </w:tr>
      <w:tr w:rsidR="00893D77" w:rsidRPr="00893D77" w14:paraId="7C1659FC" w14:textId="77777777" w:rsidTr="00E92FED">
        <w:trPr>
          <w:trHeight w:val="288"/>
        </w:trPr>
        <w:tc>
          <w:tcPr>
            <w:tcW w:w="851" w:type="dxa"/>
            <w:tcBorders>
              <w:top w:val="nil"/>
              <w:left w:val="nil"/>
              <w:bottom w:val="nil"/>
              <w:right w:val="nil"/>
            </w:tcBorders>
            <w:shd w:val="clear" w:color="auto" w:fill="auto"/>
            <w:noWrap/>
            <w:hideMark/>
          </w:tcPr>
          <w:p w14:paraId="772F43E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122</w:t>
            </w:r>
          </w:p>
        </w:tc>
        <w:tc>
          <w:tcPr>
            <w:tcW w:w="5386" w:type="dxa"/>
            <w:tcBorders>
              <w:top w:val="nil"/>
              <w:left w:val="nil"/>
              <w:bottom w:val="nil"/>
              <w:right w:val="nil"/>
            </w:tcBorders>
            <w:shd w:val="clear" w:color="auto" w:fill="auto"/>
            <w:hideMark/>
          </w:tcPr>
          <w:p w14:paraId="6B4D182F"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建筑基坑支护技术规程</w:t>
            </w:r>
          </w:p>
        </w:tc>
        <w:tc>
          <w:tcPr>
            <w:tcW w:w="1984" w:type="dxa"/>
            <w:tcBorders>
              <w:top w:val="nil"/>
              <w:left w:val="nil"/>
              <w:bottom w:val="nil"/>
              <w:right w:val="nil"/>
            </w:tcBorders>
            <w:shd w:val="clear" w:color="auto" w:fill="auto"/>
            <w:noWrap/>
            <w:hideMark/>
          </w:tcPr>
          <w:p w14:paraId="07A5BB7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JGJ 120</w:t>
            </w:r>
          </w:p>
        </w:tc>
      </w:tr>
      <w:tr w:rsidR="00893D77" w:rsidRPr="00893D77" w14:paraId="681E6A14" w14:textId="77777777" w:rsidTr="00E92FED">
        <w:trPr>
          <w:trHeight w:val="288"/>
        </w:trPr>
        <w:tc>
          <w:tcPr>
            <w:tcW w:w="851" w:type="dxa"/>
            <w:tcBorders>
              <w:top w:val="nil"/>
              <w:left w:val="nil"/>
              <w:bottom w:val="nil"/>
              <w:right w:val="nil"/>
            </w:tcBorders>
            <w:shd w:val="clear" w:color="auto" w:fill="auto"/>
            <w:noWrap/>
            <w:hideMark/>
          </w:tcPr>
          <w:p w14:paraId="008725D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123</w:t>
            </w:r>
          </w:p>
        </w:tc>
        <w:tc>
          <w:tcPr>
            <w:tcW w:w="5386" w:type="dxa"/>
            <w:tcBorders>
              <w:top w:val="nil"/>
              <w:left w:val="nil"/>
              <w:bottom w:val="nil"/>
              <w:right w:val="nil"/>
            </w:tcBorders>
            <w:shd w:val="clear" w:color="auto" w:fill="auto"/>
            <w:hideMark/>
          </w:tcPr>
          <w:p w14:paraId="5BC458F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民用建筑电气设计规范</w:t>
            </w:r>
          </w:p>
        </w:tc>
        <w:tc>
          <w:tcPr>
            <w:tcW w:w="1984" w:type="dxa"/>
            <w:tcBorders>
              <w:top w:val="nil"/>
              <w:left w:val="nil"/>
              <w:bottom w:val="nil"/>
              <w:right w:val="nil"/>
            </w:tcBorders>
            <w:shd w:val="clear" w:color="auto" w:fill="auto"/>
            <w:noWrap/>
            <w:hideMark/>
          </w:tcPr>
          <w:p w14:paraId="1694DE3C"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JGJ 16</w:t>
            </w:r>
          </w:p>
        </w:tc>
      </w:tr>
      <w:tr w:rsidR="00893D77" w:rsidRPr="00893D77" w14:paraId="71A9E276" w14:textId="77777777" w:rsidTr="00E92FED">
        <w:trPr>
          <w:trHeight w:val="576"/>
        </w:trPr>
        <w:tc>
          <w:tcPr>
            <w:tcW w:w="851" w:type="dxa"/>
            <w:tcBorders>
              <w:top w:val="nil"/>
              <w:left w:val="nil"/>
              <w:bottom w:val="nil"/>
              <w:right w:val="nil"/>
            </w:tcBorders>
            <w:shd w:val="clear" w:color="auto" w:fill="auto"/>
            <w:noWrap/>
            <w:hideMark/>
          </w:tcPr>
          <w:p w14:paraId="71D869A3"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124</w:t>
            </w:r>
          </w:p>
        </w:tc>
        <w:tc>
          <w:tcPr>
            <w:tcW w:w="5386" w:type="dxa"/>
            <w:tcBorders>
              <w:top w:val="nil"/>
              <w:left w:val="nil"/>
              <w:bottom w:val="nil"/>
              <w:right w:val="nil"/>
            </w:tcBorders>
            <w:shd w:val="clear" w:color="auto" w:fill="auto"/>
            <w:hideMark/>
          </w:tcPr>
          <w:p w14:paraId="1659936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城市轨道交通引起建筑物振动与二次辐射噪声限值及其测量方法标准</w:t>
            </w:r>
          </w:p>
        </w:tc>
        <w:tc>
          <w:tcPr>
            <w:tcW w:w="1984" w:type="dxa"/>
            <w:tcBorders>
              <w:top w:val="nil"/>
              <w:left w:val="nil"/>
              <w:bottom w:val="nil"/>
              <w:right w:val="nil"/>
            </w:tcBorders>
            <w:shd w:val="clear" w:color="auto" w:fill="auto"/>
            <w:noWrap/>
            <w:hideMark/>
          </w:tcPr>
          <w:p w14:paraId="057842DE"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JGJ/T170</w:t>
            </w:r>
          </w:p>
        </w:tc>
      </w:tr>
      <w:tr w:rsidR="00893D77" w:rsidRPr="00893D77" w14:paraId="25747098" w14:textId="77777777" w:rsidTr="00E92FED">
        <w:trPr>
          <w:trHeight w:val="288"/>
        </w:trPr>
        <w:tc>
          <w:tcPr>
            <w:tcW w:w="851" w:type="dxa"/>
            <w:tcBorders>
              <w:top w:val="nil"/>
              <w:left w:val="nil"/>
              <w:bottom w:val="nil"/>
              <w:right w:val="nil"/>
            </w:tcBorders>
            <w:shd w:val="clear" w:color="auto" w:fill="auto"/>
            <w:noWrap/>
            <w:hideMark/>
          </w:tcPr>
          <w:p w14:paraId="1D61C25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125</w:t>
            </w:r>
          </w:p>
        </w:tc>
        <w:tc>
          <w:tcPr>
            <w:tcW w:w="5386" w:type="dxa"/>
            <w:tcBorders>
              <w:top w:val="nil"/>
              <w:left w:val="nil"/>
              <w:bottom w:val="nil"/>
              <w:right w:val="nil"/>
            </w:tcBorders>
            <w:shd w:val="clear" w:color="auto" w:fill="auto"/>
            <w:hideMark/>
          </w:tcPr>
          <w:p w14:paraId="4A68D4ED"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土木工程用玻璃纤维增强筋</w:t>
            </w:r>
          </w:p>
        </w:tc>
        <w:tc>
          <w:tcPr>
            <w:tcW w:w="1984" w:type="dxa"/>
            <w:tcBorders>
              <w:top w:val="nil"/>
              <w:left w:val="nil"/>
              <w:bottom w:val="nil"/>
              <w:right w:val="nil"/>
            </w:tcBorders>
            <w:shd w:val="clear" w:color="auto" w:fill="auto"/>
            <w:noWrap/>
            <w:hideMark/>
          </w:tcPr>
          <w:p w14:paraId="32BD5BB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JG/T 406</w:t>
            </w:r>
          </w:p>
        </w:tc>
      </w:tr>
      <w:tr w:rsidR="00893D77" w:rsidRPr="00893D77" w14:paraId="72970ED3" w14:textId="77777777" w:rsidTr="00E92FED">
        <w:trPr>
          <w:trHeight w:val="288"/>
        </w:trPr>
        <w:tc>
          <w:tcPr>
            <w:tcW w:w="851" w:type="dxa"/>
            <w:tcBorders>
              <w:top w:val="nil"/>
              <w:left w:val="nil"/>
              <w:bottom w:val="nil"/>
              <w:right w:val="nil"/>
            </w:tcBorders>
            <w:shd w:val="clear" w:color="auto" w:fill="auto"/>
            <w:noWrap/>
            <w:hideMark/>
          </w:tcPr>
          <w:p w14:paraId="7F104D62"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126</w:t>
            </w:r>
          </w:p>
        </w:tc>
        <w:tc>
          <w:tcPr>
            <w:tcW w:w="5386" w:type="dxa"/>
            <w:tcBorders>
              <w:top w:val="nil"/>
              <w:left w:val="nil"/>
              <w:bottom w:val="nil"/>
              <w:right w:val="nil"/>
            </w:tcBorders>
            <w:shd w:val="clear" w:color="auto" w:fill="auto"/>
            <w:hideMark/>
          </w:tcPr>
          <w:p w14:paraId="2F75A476"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公路钢筋混凝土及预应力混凝土桥涵设计规范</w:t>
            </w:r>
          </w:p>
        </w:tc>
        <w:tc>
          <w:tcPr>
            <w:tcW w:w="1984" w:type="dxa"/>
            <w:tcBorders>
              <w:top w:val="nil"/>
              <w:left w:val="nil"/>
              <w:bottom w:val="nil"/>
              <w:right w:val="nil"/>
            </w:tcBorders>
            <w:shd w:val="clear" w:color="auto" w:fill="auto"/>
            <w:noWrap/>
            <w:hideMark/>
          </w:tcPr>
          <w:p w14:paraId="4F33001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JTG 3362</w:t>
            </w:r>
          </w:p>
        </w:tc>
      </w:tr>
      <w:tr w:rsidR="00893D77" w:rsidRPr="00893D77" w14:paraId="16770834" w14:textId="77777777" w:rsidTr="00E92FED">
        <w:trPr>
          <w:trHeight w:val="288"/>
        </w:trPr>
        <w:tc>
          <w:tcPr>
            <w:tcW w:w="851" w:type="dxa"/>
            <w:tcBorders>
              <w:top w:val="nil"/>
              <w:left w:val="nil"/>
              <w:bottom w:val="nil"/>
              <w:right w:val="nil"/>
            </w:tcBorders>
            <w:shd w:val="clear" w:color="auto" w:fill="auto"/>
            <w:noWrap/>
            <w:hideMark/>
          </w:tcPr>
          <w:p w14:paraId="2820B5C1"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127</w:t>
            </w:r>
          </w:p>
        </w:tc>
        <w:tc>
          <w:tcPr>
            <w:tcW w:w="5386" w:type="dxa"/>
            <w:tcBorders>
              <w:top w:val="nil"/>
              <w:left w:val="nil"/>
              <w:bottom w:val="nil"/>
              <w:right w:val="nil"/>
            </w:tcBorders>
            <w:shd w:val="clear" w:color="auto" w:fill="auto"/>
            <w:hideMark/>
          </w:tcPr>
          <w:p w14:paraId="09E985C2"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公路桥涵设计通用规范</w:t>
            </w:r>
          </w:p>
        </w:tc>
        <w:tc>
          <w:tcPr>
            <w:tcW w:w="1984" w:type="dxa"/>
            <w:tcBorders>
              <w:top w:val="nil"/>
              <w:left w:val="nil"/>
              <w:bottom w:val="nil"/>
              <w:right w:val="nil"/>
            </w:tcBorders>
            <w:shd w:val="clear" w:color="auto" w:fill="auto"/>
            <w:noWrap/>
            <w:hideMark/>
          </w:tcPr>
          <w:p w14:paraId="5EBD126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JTG D60 </w:t>
            </w:r>
          </w:p>
        </w:tc>
      </w:tr>
      <w:tr w:rsidR="00893D77" w:rsidRPr="00893D77" w14:paraId="3CC2538C" w14:textId="77777777" w:rsidTr="00E92FED">
        <w:trPr>
          <w:trHeight w:val="288"/>
        </w:trPr>
        <w:tc>
          <w:tcPr>
            <w:tcW w:w="851" w:type="dxa"/>
            <w:tcBorders>
              <w:top w:val="nil"/>
              <w:left w:val="nil"/>
              <w:bottom w:val="nil"/>
              <w:right w:val="nil"/>
            </w:tcBorders>
            <w:shd w:val="clear" w:color="auto" w:fill="auto"/>
            <w:noWrap/>
            <w:hideMark/>
          </w:tcPr>
          <w:p w14:paraId="6F827B1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128</w:t>
            </w:r>
          </w:p>
        </w:tc>
        <w:tc>
          <w:tcPr>
            <w:tcW w:w="5386" w:type="dxa"/>
            <w:tcBorders>
              <w:top w:val="nil"/>
              <w:left w:val="nil"/>
              <w:bottom w:val="nil"/>
              <w:right w:val="nil"/>
            </w:tcBorders>
            <w:shd w:val="clear" w:color="auto" w:fill="auto"/>
            <w:hideMark/>
          </w:tcPr>
          <w:p w14:paraId="7BBA31FE"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轨道交通工程人民防空设计规范</w:t>
            </w:r>
          </w:p>
        </w:tc>
        <w:tc>
          <w:tcPr>
            <w:tcW w:w="1984" w:type="dxa"/>
            <w:tcBorders>
              <w:top w:val="nil"/>
              <w:left w:val="nil"/>
              <w:bottom w:val="nil"/>
              <w:right w:val="nil"/>
            </w:tcBorders>
            <w:shd w:val="clear" w:color="auto" w:fill="auto"/>
            <w:noWrap/>
            <w:hideMark/>
          </w:tcPr>
          <w:p w14:paraId="311CE67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 xml:space="preserve">RFJ 02 </w:t>
            </w:r>
          </w:p>
        </w:tc>
      </w:tr>
      <w:tr w:rsidR="00893D77" w:rsidRPr="00893D77" w14:paraId="0136CB19" w14:textId="77777777" w:rsidTr="00E92FED">
        <w:trPr>
          <w:trHeight w:val="288"/>
        </w:trPr>
        <w:tc>
          <w:tcPr>
            <w:tcW w:w="851" w:type="dxa"/>
            <w:tcBorders>
              <w:top w:val="nil"/>
              <w:left w:val="nil"/>
              <w:bottom w:val="nil"/>
              <w:right w:val="nil"/>
            </w:tcBorders>
            <w:shd w:val="clear" w:color="auto" w:fill="auto"/>
            <w:noWrap/>
            <w:hideMark/>
          </w:tcPr>
          <w:p w14:paraId="060C066B"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129</w:t>
            </w:r>
          </w:p>
        </w:tc>
        <w:tc>
          <w:tcPr>
            <w:tcW w:w="5386" w:type="dxa"/>
            <w:tcBorders>
              <w:top w:val="nil"/>
              <w:left w:val="nil"/>
              <w:bottom w:val="nil"/>
              <w:right w:val="nil"/>
            </w:tcBorders>
            <w:shd w:val="clear" w:color="auto" w:fill="auto"/>
            <w:hideMark/>
          </w:tcPr>
          <w:p w14:paraId="165EE13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铁路路基设计规范</w:t>
            </w:r>
          </w:p>
        </w:tc>
        <w:tc>
          <w:tcPr>
            <w:tcW w:w="1984" w:type="dxa"/>
            <w:tcBorders>
              <w:top w:val="nil"/>
              <w:left w:val="nil"/>
              <w:bottom w:val="nil"/>
              <w:right w:val="nil"/>
            </w:tcBorders>
            <w:shd w:val="clear" w:color="auto" w:fill="auto"/>
            <w:noWrap/>
            <w:hideMark/>
          </w:tcPr>
          <w:p w14:paraId="50F279C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10001</w:t>
            </w:r>
          </w:p>
        </w:tc>
      </w:tr>
      <w:tr w:rsidR="00893D77" w:rsidRPr="00893D77" w14:paraId="7F92E433" w14:textId="77777777" w:rsidTr="00E92FED">
        <w:trPr>
          <w:trHeight w:val="288"/>
        </w:trPr>
        <w:tc>
          <w:tcPr>
            <w:tcW w:w="851" w:type="dxa"/>
            <w:tcBorders>
              <w:top w:val="nil"/>
              <w:left w:val="nil"/>
              <w:bottom w:val="nil"/>
              <w:right w:val="nil"/>
            </w:tcBorders>
            <w:shd w:val="clear" w:color="auto" w:fill="auto"/>
            <w:noWrap/>
            <w:hideMark/>
          </w:tcPr>
          <w:p w14:paraId="2E1A1E9A"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130</w:t>
            </w:r>
          </w:p>
        </w:tc>
        <w:tc>
          <w:tcPr>
            <w:tcW w:w="5386" w:type="dxa"/>
            <w:tcBorders>
              <w:top w:val="nil"/>
              <w:left w:val="nil"/>
              <w:bottom w:val="nil"/>
              <w:right w:val="nil"/>
            </w:tcBorders>
            <w:shd w:val="clear" w:color="auto" w:fill="auto"/>
            <w:hideMark/>
          </w:tcPr>
          <w:p w14:paraId="3B14CD5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铁路桥涵设计规范</w:t>
            </w:r>
          </w:p>
        </w:tc>
        <w:tc>
          <w:tcPr>
            <w:tcW w:w="1984" w:type="dxa"/>
            <w:tcBorders>
              <w:top w:val="nil"/>
              <w:left w:val="nil"/>
              <w:bottom w:val="nil"/>
              <w:right w:val="nil"/>
            </w:tcBorders>
            <w:shd w:val="clear" w:color="auto" w:fill="auto"/>
            <w:noWrap/>
            <w:hideMark/>
          </w:tcPr>
          <w:p w14:paraId="28166E51"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10002</w:t>
            </w:r>
          </w:p>
        </w:tc>
      </w:tr>
      <w:tr w:rsidR="00893D77" w:rsidRPr="00893D77" w14:paraId="0BAA95F1" w14:textId="77777777" w:rsidTr="00E92FED">
        <w:trPr>
          <w:trHeight w:val="288"/>
        </w:trPr>
        <w:tc>
          <w:tcPr>
            <w:tcW w:w="851" w:type="dxa"/>
            <w:tcBorders>
              <w:top w:val="nil"/>
              <w:left w:val="nil"/>
              <w:bottom w:val="nil"/>
              <w:right w:val="nil"/>
            </w:tcBorders>
            <w:shd w:val="clear" w:color="auto" w:fill="auto"/>
            <w:noWrap/>
            <w:hideMark/>
          </w:tcPr>
          <w:p w14:paraId="4149835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131</w:t>
            </w:r>
          </w:p>
        </w:tc>
        <w:tc>
          <w:tcPr>
            <w:tcW w:w="5386" w:type="dxa"/>
            <w:tcBorders>
              <w:top w:val="nil"/>
              <w:left w:val="nil"/>
              <w:bottom w:val="nil"/>
              <w:right w:val="nil"/>
            </w:tcBorders>
            <w:shd w:val="clear" w:color="auto" w:fill="auto"/>
            <w:hideMark/>
          </w:tcPr>
          <w:p w14:paraId="3C419D5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铁路桥梁钢结构设计规范</w:t>
            </w:r>
          </w:p>
        </w:tc>
        <w:tc>
          <w:tcPr>
            <w:tcW w:w="1984" w:type="dxa"/>
            <w:tcBorders>
              <w:top w:val="nil"/>
              <w:left w:val="nil"/>
              <w:bottom w:val="nil"/>
              <w:right w:val="nil"/>
            </w:tcBorders>
            <w:shd w:val="clear" w:color="auto" w:fill="auto"/>
            <w:noWrap/>
            <w:hideMark/>
          </w:tcPr>
          <w:p w14:paraId="3C3D030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10091</w:t>
            </w:r>
          </w:p>
        </w:tc>
      </w:tr>
      <w:tr w:rsidR="00893D77" w:rsidRPr="00893D77" w14:paraId="4F7F74FB" w14:textId="77777777" w:rsidTr="00E92FED">
        <w:trPr>
          <w:trHeight w:val="288"/>
        </w:trPr>
        <w:tc>
          <w:tcPr>
            <w:tcW w:w="851" w:type="dxa"/>
            <w:tcBorders>
              <w:top w:val="nil"/>
              <w:left w:val="nil"/>
              <w:bottom w:val="nil"/>
              <w:right w:val="nil"/>
            </w:tcBorders>
            <w:shd w:val="clear" w:color="auto" w:fill="auto"/>
            <w:noWrap/>
            <w:hideMark/>
          </w:tcPr>
          <w:p w14:paraId="2A46E2F8"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132</w:t>
            </w:r>
          </w:p>
        </w:tc>
        <w:tc>
          <w:tcPr>
            <w:tcW w:w="5386" w:type="dxa"/>
            <w:tcBorders>
              <w:top w:val="nil"/>
              <w:left w:val="nil"/>
              <w:bottom w:val="nil"/>
              <w:right w:val="nil"/>
            </w:tcBorders>
            <w:shd w:val="clear" w:color="auto" w:fill="auto"/>
            <w:hideMark/>
          </w:tcPr>
          <w:p w14:paraId="7C7E023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铁路桥涵混凝土结构设计规范</w:t>
            </w:r>
          </w:p>
        </w:tc>
        <w:tc>
          <w:tcPr>
            <w:tcW w:w="1984" w:type="dxa"/>
            <w:tcBorders>
              <w:top w:val="nil"/>
              <w:left w:val="nil"/>
              <w:bottom w:val="nil"/>
              <w:right w:val="nil"/>
            </w:tcBorders>
            <w:shd w:val="clear" w:color="auto" w:fill="auto"/>
            <w:noWrap/>
            <w:hideMark/>
          </w:tcPr>
          <w:p w14:paraId="09279B5A"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10092</w:t>
            </w:r>
          </w:p>
        </w:tc>
      </w:tr>
      <w:tr w:rsidR="00893D77" w:rsidRPr="00893D77" w14:paraId="69A36B6F" w14:textId="77777777" w:rsidTr="00E92FED">
        <w:trPr>
          <w:trHeight w:val="288"/>
        </w:trPr>
        <w:tc>
          <w:tcPr>
            <w:tcW w:w="851" w:type="dxa"/>
            <w:tcBorders>
              <w:top w:val="nil"/>
              <w:left w:val="nil"/>
              <w:bottom w:val="nil"/>
              <w:right w:val="nil"/>
            </w:tcBorders>
            <w:shd w:val="clear" w:color="auto" w:fill="auto"/>
            <w:noWrap/>
            <w:hideMark/>
          </w:tcPr>
          <w:p w14:paraId="67B79E3E"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133</w:t>
            </w:r>
          </w:p>
        </w:tc>
        <w:tc>
          <w:tcPr>
            <w:tcW w:w="5386" w:type="dxa"/>
            <w:tcBorders>
              <w:top w:val="nil"/>
              <w:left w:val="nil"/>
              <w:bottom w:val="nil"/>
              <w:right w:val="nil"/>
            </w:tcBorders>
            <w:shd w:val="clear" w:color="auto" w:fill="auto"/>
            <w:hideMark/>
          </w:tcPr>
          <w:p w14:paraId="0A3EA14B"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铁路桥涵地基和基础设计规范</w:t>
            </w:r>
          </w:p>
        </w:tc>
        <w:tc>
          <w:tcPr>
            <w:tcW w:w="1984" w:type="dxa"/>
            <w:tcBorders>
              <w:top w:val="nil"/>
              <w:left w:val="nil"/>
              <w:bottom w:val="nil"/>
              <w:right w:val="nil"/>
            </w:tcBorders>
            <w:shd w:val="clear" w:color="auto" w:fill="auto"/>
            <w:noWrap/>
            <w:hideMark/>
          </w:tcPr>
          <w:p w14:paraId="1FBE7BE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10093</w:t>
            </w:r>
          </w:p>
        </w:tc>
      </w:tr>
      <w:tr w:rsidR="00893D77" w:rsidRPr="00893D77" w14:paraId="1978CA98" w14:textId="77777777" w:rsidTr="00E92FED">
        <w:trPr>
          <w:trHeight w:val="288"/>
        </w:trPr>
        <w:tc>
          <w:tcPr>
            <w:tcW w:w="851" w:type="dxa"/>
            <w:tcBorders>
              <w:top w:val="nil"/>
              <w:left w:val="nil"/>
              <w:bottom w:val="nil"/>
              <w:right w:val="nil"/>
            </w:tcBorders>
            <w:shd w:val="clear" w:color="auto" w:fill="auto"/>
            <w:noWrap/>
            <w:hideMark/>
          </w:tcPr>
          <w:p w14:paraId="3D5D7577"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134</w:t>
            </w:r>
          </w:p>
        </w:tc>
        <w:tc>
          <w:tcPr>
            <w:tcW w:w="5386" w:type="dxa"/>
            <w:tcBorders>
              <w:top w:val="nil"/>
              <w:left w:val="nil"/>
              <w:bottom w:val="nil"/>
              <w:right w:val="nil"/>
            </w:tcBorders>
            <w:shd w:val="clear" w:color="auto" w:fill="auto"/>
            <w:hideMark/>
          </w:tcPr>
          <w:p w14:paraId="45701E8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铁路隧道设计规范</w:t>
            </w:r>
          </w:p>
        </w:tc>
        <w:tc>
          <w:tcPr>
            <w:tcW w:w="1984" w:type="dxa"/>
            <w:tcBorders>
              <w:top w:val="nil"/>
              <w:left w:val="nil"/>
              <w:bottom w:val="nil"/>
              <w:right w:val="nil"/>
            </w:tcBorders>
            <w:shd w:val="clear" w:color="auto" w:fill="auto"/>
            <w:noWrap/>
            <w:hideMark/>
          </w:tcPr>
          <w:p w14:paraId="79505278"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10003</w:t>
            </w:r>
          </w:p>
        </w:tc>
      </w:tr>
      <w:tr w:rsidR="00893D77" w:rsidRPr="00893D77" w14:paraId="6E850610" w14:textId="77777777" w:rsidTr="00E92FED">
        <w:trPr>
          <w:trHeight w:val="288"/>
        </w:trPr>
        <w:tc>
          <w:tcPr>
            <w:tcW w:w="851" w:type="dxa"/>
            <w:tcBorders>
              <w:top w:val="nil"/>
              <w:left w:val="nil"/>
              <w:bottom w:val="nil"/>
              <w:right w:val="nil"/>
            </w:tcBorders>
            <w:shd w:val="clear" w:color="auto" w:fill="auto"/>
            <w:noWrap/>
            <w:hideMark/>
          </w:tcPr>
          <w:p w14:paraId="4A00EC9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135</w:t>
            </w:r>
          </w:p>
        </w:tc>
        <w:tc>
          <w:tcPr>
            <w:tcW w:w="5386" w:type="dxa"/>
            <w:tcBorders>
              <w:top w:val="nil"/>
              <w:left w:val="nil"/>
              <w:bottom w:val="nil"/>
              <w:right w:val="nil"/>
            </w:tcBorders>
            <w:shd w:val="clear" w:color="auto" w:fill="auto"/>
            <w:hideMark/>
          </w:tcPr>
          <w:p w14:paraId="2080CEEC"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铁路混凝土结构耐久性设计规范</w:t>
            </w:r>
          </w:p>
        </w:tc>
        <w:tc>
          <w:tcPr>
            <w:tcW w:w="1984" w:type="dxa"/>
            <w:tcBorders>
              <w:top w:val="nil"/>
              <w:left w:val="nil"/>
              <w:bottom w:val="nil"/>
              <w:right w:val="nil"/>
            </w:tcBorders>
            <w:shd w:val="clear" w:color="auto" w:fill="auto"/>
            <w:noWrap/>
            <w:hideMark/>
          </w:tcPr>
          <w:p w14:paraId="088EEF75"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10005</w:t>
            </w:r>
          </w:p>
        </w:tc>
      </w:tr>
      <w:tr w:rsidR="00893D77" w:rsidRPr="00893D77" w14:paraId="225EE1FC" w14:textId="77777777" w:rsidTr="00E92FED">
        <w:trPr>
          <w:trHeight w:val="288"/>
        </w:trPr>
        <w:tc>
          <w:tcPr>
            <w:tcW w:w="851" w:type="dxa"/>
            <w:tcBorders>
              <w:top w:val="nil"/>
              <w:left w:val="nil"/>
              <w:bottom w:val="nil"/>
              <w:right w:val="nil"/>
            </w:tcBorders>
            <w:shd w:val="clear" w:color="auto" w:fill="auto"/>
            <w:noWrap/>
            <w:hideMark/>
          </w:tcPr>
          <w:p w14:paraId="0046744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136</w:t>
            </w:r>
          </w:p>
        </w:tc>
        <w:tc>
          <w:tcPr>
            <w:tcW w:w="5386" w:type="dxa"/>
            <w:tcBorders>
              <w:top w:val="nil"/>
              <w:left w:val="nil"/>
              <w:bottom w:val="nil"/>
              <w:right w:val="nil"/>
            </w:tcBorders>
            <w:shd w:val="clear" w:color="auto" w:fill="auto"/>
            <w:hideMark/>
          </w:tcPr>
          <w:p w14:paraId="29E66609"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铁路路基支挡结构设计规范</w:t>
            </w:r>
          </w:p>
        </w:tc>
        <w:tc>
          <w:tcPr>
            <w:tcW w:w="1984" w:type="dxa"/>
            <w:tcBorders>
              <w:top w:val="nil"/>
              <w:left w:val="nil"/>
              <w:bottom w:val="nil"/>
              <w:right w:val="nil"/>
            </w:tcBorders>
            <w:shd w:val="clear" w:color="auto" w:fill="auto"/>
            <w:noWrap/>
            <w:hideMark/>
          </w:tcPr>
          <w:p w14:paraId="06E53640"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10025</w:t>
            </w:r>
          </w:p>
        </w:tc>
      </w:tr>
      <w:tr w:rsidR="00893D77" w:rsidRPr="00893D77" w14:paraId="6F276D56" w14:textId="77777777" w:rsidTr="00E92FED">
        <w:trPr>
          <w:trHeight w:val="288"/>
        </w:trPr>
        <w:tc>
          <w:tcPr>
            <w:tcW w:w="851" w:type="dxa"/>
            <w:tcBorders>
              <w:top w:val="nil"/>
              <w:left w:val="nil"/>
              <w:bottom w:val="nil"/>
              <w:right w:val="nil"/>
            </w:tcBorders>
            <w:shd w:val="clear" w:color="auto" w:fill="auto"/>
            <w:noWrap/>
            <w:hideMark/>
          </w:tcPr>
          <w:p w14:paraId="2D1044E2"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137</w:t>
            </w:r>
          </w:p>
        </w:tc>
        <w:tc>
          <w:tcPr>
            <w:tcW w:w="5386" w:type="dxa"/>
            <w:tcBorders>
              <w:top w:val="nil"/>
              <w:left w:val="nil"/>
              <w:bottom w:val="nil"/>
              <w:right w:val="nil"/>
            </w:tcBorders>
            <w:shd w:val="clear" w:color="auto" w:fill="auto"/>
            <w:hideMark/>
          </w:tcPr>
          <w:p w14:paraId="642F5EC0"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铁路特殊路基设计规范</w:t>
            </w:r>
          </w:p>
        </w:tc>
        <w:tc>
          <w:tcPr>
            <w:tcW w:w="1984" w:type="dxa"/>
            <w:tcBorders>
              <w:top w:val="nil"/>
              <w:left w:val="nil"/>
              <w:bottom w:val="nil"/>
              <w:right w:val="nil"/>
            </w:tcBorders>
            <w:shd w:val="clear" w:color="auto" w:fill="auto"/>
            <w:noWrap/>
            <w:hideMark/>
          </w:tcPr>
          <w:p w14:paraId="0852E4FD"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10035</w:t>
            </w:r>
          </w:p>
        </w:tc>
      </w:tr>
      <w:tr w:rsidR="00893D77" w:rsidRPr="00893D77" w14:paraId="7E1947BE" w14:textId="77777777" w:rsidTr="00E92FED">
        <w:trPr>
          <w:trHeight w:val="288"/>
        </w:trPr>
        <w:tc>
          <w:tcPr>
            <w:tcW w:w="851" w:type="dxa"/>
            <w:tcBorders>
              <w:top w:val="nil"/>
              <w:left w:val="nil"/>
              <w:bottom w:val="nil"/>
              <w:right w:val="nil"/>
            </w:tcBorders>
            <w:shd w:val="clear" w:color="auto" w:fill="auto"/>
            <w:noWrap/>
            <w:hideMark/>
          </w:tcPr>
          <w:p w14:paraId="569A7B9F"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138</w:t>
            </w:r>
          </w:p>
        </w:tc>
        <w:tc>
          <w:tcPr>
            <w:tcW w:w="5386" w:type="dxa"/>
            <w:tcBorders>
              <w:top w:val="nil"/>
              <w:left w:val="nil"/>
              <w:bottom w:val="nil"/>
              <w:right w:val="nil"/>
            </w:tcBorders>
            <w:shd w:val="clear" w:color="auto" w:fill="auto"/>
            <w:hideMark/>
          </w:tcPr>
          <w:p w14:paraId="7F85548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铁路桥涵混凝土结构设计规范</w:t>
            </w:r>
          </w:p>
        </w:tc>
        <w:tc>
          <w:tcPr>
            <w:tcW w:w="1984" w:type="dxa"/>
            <w:tcBorders>
              <w:top w:val="nil"/>
              <w:left w:val="nil"/>
              <w:bottom w:val="nil"/>
              <w:right w:val="nil"/>
            </w:tcBorders>
            <w:shd w:val="clear" w:color="auto" w:fill="auto"/>
            <w:noWrap/>
            <w:hideMark/>
          </w:tcPr>
          <w:p w14:paraId="3907DF9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10092</w:t>
            </w:r>
          </w:p>
        </w:tc>
      </w:tr>
      <w:tr w:rsidR="00893D77" w:rsidRPr="00893D77" w14:paraId="4C25A51F" w14:textId="77777777" w:rsidTr="00E92FED">
        <w:trPr>
          <w:trHeight w:val="288"/>
        </w:trPr>
        <w:tc>
          <w:tcPr>
            <w:tcW w:w="851" w:type="dxa"/>
            <w:tcBorders>
              <w:top w:val="nil"/>
              <w:left w:val="nil"/>
              <w:bottom w:val="nil"/>
              <w:right w:val="nil"/>
            </w:tcBorders>
            <w:shd w:val="clear" w:color="auto" w:fill="auto"/>
            <w:noWrap/>
            <w:hideMark/>
          </w:tcPr>
          <w:p w14:paraId="2AE24474"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139</w:t>
            </w:r>
          </w:p>
        </w:tc>
        <w:tc>
          <w:tcPr>
            <w:tcW w:w="5386" w:type="dxa"/>
            <w:tcBorders>
              <w:top w:val="nil"/>
              <w:left w:val="nil"/>
              <w:bottom w:val="nil"/>
              <w:right w:val="nil"/>
            </w:tcBorders>
            <w:shd w:val="clear" w:color="auto" w:fill="auto"/>
            <w:hideMark/>
          </w:tcPr>
          <w:p w14:paraId="4568D68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铁路工程地基处理技术规程</w:t>
            </w:r>
          </w:p>
        </w:tc>
        <w:tc>
          <w:tcPr>
            <w:tcW w:w="1984" w:type="dxa"/>
            <w:tcBorders>
              <w:top w:val="nil"/>
              <w:left w:val="nil"/>
              <w:bottom w:val="nil"/>
              <w:right w:val="nil"/>
            </w:tcBorders>
            <w:shd w:val="clear" w:color="auto" w:fill="auto"/>
            <w:noWrap/>
            <w:hideMark/>
          </w:tcPr>
          <w:p w14:paraId="61F9EDD3"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10106</w:t>
            </w:r>
          </w:p>
        </w:tc>
      </w:tr>
      <w:tr w:rsidR="00893D77" w:rsidRPr="00893D77" w14:paraId="6FE6333D" w14:textId="77777777" w:rsidTr="00E92FED">
        <w:trPr>
          <w:trHeight w:val="288"/>
        </w:trPr>
        <w:tc>
          <w:tcPr>
            <w:tcW w:w="851" w:type="dxa"/>
            <w:tcBorders>
              <w:top w:val="nil"/>
              <w:left w:val="nil"/>
              <w:bottom w:val="nil"/>
              <w:right w:val="nil"/>
            </w:tcBorders>
            <w:shd w:val="clear" w:color="auto" w:fill="auto"/>
            <w:noWrap/>
            <w:hideMark/>
          </w:tcPr>
          <w:p w14:paraId="5B3C7E90"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140</w:t>
            </w:r>
          </w:p>
        </w:tc>
        <w:tc>
          <w:tcPr>
            <w:tcW w:w="5386" w:type="dxa"/>
            <w:tcBorders>
              <w:top w:val="nil"/>
              <w:left w:val="nil"/>
              <w:bottom w:val="nil"/>
              <w:right w:val="nil"/>
            </w:tcBorders>
            <w:shd w:val="clear" w:color="auto" w:fill="auto"/>
            <w:hideMark/>
          </w:tcPr>
          <w:p w14:paraId="3AD02E28"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高速铁路工程动态验收技术规范</w:t>
            </w:r>
          </w:p>
        </w:tc>
        <w:tc>
          <w:tcPr>
            <w:tcW w:w="1984" w:type="dxa"/>
            <w:tcBorders>
              <w:top w:val="nil"/>
              <w:left w:val="nil"/>
              <w:bottom w:val="nil"/>
              <w:right w:val="nil"/>
            </w:tcBorders>
            <w:shd w:val="clear" w:color="auto" w:fill="auto"/>
            <w:noWrap/>
            <w:hideMark/>
          </w:tcPr>
          <w:p w14:paraId="5F87982F"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 10761 </w:t>
            </w:r>
          </w:p>
        </w:tc>
      </w:tr>
      <w:tr w:rsidR="00893D77" w:rsidRPr="00893D77" w14:paraId="4A51A391" w14:textId="77777777" w:rsidTr="003C6072">
        <w:trPr>
          <w:trHeight w:val="281"/>
        </w:trPr>
        <w:tc>
          <w:tcPr>
            <w:tcW w:w="851" w:type="dxa"/>
            <w:tcBorders>
              <w:top w:val="nil"/>
              <w:left w:val="nil"/>
              <w:bottom w:val="nil"/>
              <w:right w:val="nil"/>
            </w:tcBorders>
            <w:shd w:val="clear" w:color="auto" w:fill="auto"/>
            <w:noWrap/>
            <w:hideMark/>
          </w:tcPr>
          <w:p w14:paraId="6D48A823"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141</w:t>
            </w:r>
          </w:p>
        </w:tc>
        <w:tc>
          <w:tcPr>
            <w:tcW w:w="5386" w:type="dxa"/>
            <w:tcBorders>
              <w:top w:val="nil"/>
              <w:left w:val="nil"/>
              <w:bottom w:val="nil"/>
              <w:right w:val="nil"/>
            </w:tcBorders>
            <w:shd w:val="clear" w:color="auto" w:fill="auto"/>
            <w:hideMark/>
          </w:tcPr>
          <w:p w14:paraId="17674605"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铁路钢桥保护涂装及涂料供货技术条件</w:t>
            </w:r>
          </w:p>
        </w:tc>
        <w:tc>
          <w:tcPr>
            <w:tcW w:w="1984" w:type="dxa"/>
            <w:tcBorders>
              <w:top w:val="nil"/>
              <w:left w:val="nil"/>
              <w:bottom w:val="nil"/>
              <w:right w:val="nil"/>
            </w:tcBorders>
            <w:shd w:val="clear" w:color="auto" w:fill="auto"/>
            <w:noWrap/>
            <w:hideMark/>
          </w:tcPr>
          <w:p w14:paraId="6FF5F8AB"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TB/T 1527</w:t>
            </w:r>
          </w:p>
        </w:tc>
      </w:tr>
      <w:tr w:rsidR="00893D77" w:rsidRPr="00893D77" w14:paraId="04A4C6A8" w14:textId="77777777" w:rsidTr="003C6072">
        <w:trPr>
          <w:trHeight w:val="89"/>
        </w:trPr>
        <w:tc>
          <w:tcPr>
            <w:tcW w:w="851" w:type="dxa"/>
            <w:tcBorders>
              <w:top w:val="nil"/>
              <w:left w:val="nil"/>
              <w:bottom w:val="nil"/>
              <w:right w:val="nil"/>
            </w:tcBorders>
            <w:shd w:val="clear" w:color="auto" w:fill="auto"/>
            <w:noWrap/>
            <w:hideMark/>
          </w:tcPr>
          <w:p w14:paraId="38FCDDCC" w14:textId="77777777" w:rsidR="00893D77" w:rsidRPr="00893D77" w:rsidRDefault="00893D77" w:rsidP="00E92FED">
            <w:pPr>
              <w:widowControl/>
              <w:jc w:val="center"/>
              <w:rPr>
                <w:rFonts w:ascii="宋体" w:hAnsi="宋体" w:cs="宋体"/>
                <w:kern w:val="0"/>
                <w:szCs w:val="24"/>
              </w:rPr>
            </w:pPr>
            <w:r w:rsidRPr="00893D77">
              <w:rPr>
                <w:rFonts w:ascii="宋体" w:hAnsi="宋体" w:cs="宋体" w:hint="eastAsia"/>
                <w:kern w:val="0"/>
                <w:szCs w:val="24"/>
              </w:rPr>
              <w:t>142</w:t>
            </w:r>
          </w:p>
        </w:tc>
        <w:tc>
          <w:tcPr>
            <w:tcW w:w="5386" w:type="dxa"/>
            <w:tcBorders>
              <w:top w:val="nil"/>
              <w:left w:val="nil"/>
              <w:bottom w:val="nil"/>
              <w:right w:val="nil"/>
            </w:tcBorders>
            <w:shd w:val="clear" w:color="auto" w:fill="auto"/>
            <w:hideMark/>
          </w:tcPr>
          <w:p w14:paraId="57D5B911" w14:textId="77777777" w:rsidR="00893D77" w:rsidRPr="00893D77" w:rsidRDefault="00893D77" w:rsidP="00E92FED">
            <w:pPr>
              <w:widowControl/>
              <w:spacing w:line="240" w:lineRule="auto"/>
              <w:rPr>
                <w:rFonts w:ascii="宋体" w:hAnsi="宋体" w:cs="宋体"/>
                <w:kern w:val="0"/>
                <w:szCs w:val="24"/>
              </w:rPr>
            </w:pPr>
            <w:r w:rsidRPr="00893D77">
              <w:rPr>
                <w:rFonts w:ascii="宋体" w:hAnsi="宋体" w:cs="宋体" w:hint="eastAsia"/>
                <w:kern w:val="0"/>
                <w:szCs w:val="24"/>
              </w:rPr>
              <w:t>机车车辆车轮轮缘踏面外形</w:t>
            </w:r>
          </w:p>
        </w:tc>
        <w:tc>
          <w:tcPr>
            <w:tcW w:w="1984" w:type="dxa"/>
            <w:tcBorders>
              <w:top w:val="nil"/>
              <w:left w:val="nil"/>
              <w:bottom w:val="nil"/>
              <w:right w:val="nil"/>
            </w:tcBorders>
            <w:shd w:val="clear" w:color="auto" w:fill="auto"/>
            <w:noWrap/>
            <w:hideMark/>
          </w:tcPr>
          <w:p w14:paraId="3D29B8D6" w14:textId="77777777" w:rsidR="00893D77" w:rsidRPr="00893D77" w:rsidRDefault="00893D77" w:rsidP="00E92FED">
            <w:pPr>
              <w:widowControl/>
              <w:spacing w:line="240" w:lineRule="auto"/>
              <w:rPr>
                <w:rFonts w:ascii="宋体" w:hAnsi="宋体" w:cs="宋体"/>
                <w:color w:val="000000"/>
                <w:kern w:val="0"/>
                <w:sz w:val="22"/>
                <w:szCs w:val="22"/>
              </w:rPr>
            </w:pPr>
            <w:r w:rsidRPr="00893D77">
              <w:rPr>
                <w:rFonts w:ascii="宋体" w:hAnsi="宋体" w:cs="宋体" w:hint="eastAsia"/>
                <w:color w:val="000000"/>
                <w:kern w:val="0"/>
                <w:sz w:val="22"/>
                <w:szCs w:val="22"/>
              </w:rPr>
              <w:t>TB／T 449</w:t>
            </w:r>
          </w:p>
        </w:tc>
      </w:tr>
    </w:tbl>
    <w:p w14:paraId="7EA11200" w14:textId="77777777" w:rsidR="00893D77" w:rsidRDefault="00893D77" w:rsidP="003C6072"/>
    <w:sectPr w:rsidR="00893D77" w:rsidSect="003C6072">
      <w:pgSz w:w="11906" w:h="16838"/>
      <w:pgMar w:top="1276" w:right="1797" w:bottom="1440" w:left="1797" w:header="851" w:footer="992" w:gutter="0"/>
      <w:cols w:space="425"/>
      <w:docGrid w:linePitch="312"/>
    </w:sectPr>
  </w:body>
</w:document>
</file>

<file path=word/customizations.xml><?xml version="1.0" encoding="utf-8"?>
<wne:tcg xmlns:r="http://schemas.openxmlformats.org/officeDocument/2006/relationships" xmlns:wne="http://schemas.microsoft.com/office/word/2006/wordml">
  <wne:keymaps>
    <wne:keymap wne:kcmPrimary="0071">
      <wne:acd wne:acdName="acd5"/>
    </wne:keymap>
    <wne:keymap wne:kcmPrimary="0072">
      <wne:acd wne:acdName="acd6"/>
    </wne:keymap>
    <wne:keymap wne:kcmPrimary="0078">
      <wne:acd wne:acdName="acd7"/>
    </wne:keymap>
    <wne:keymap wne:kcmPrimary="0230">
      <wne:acd wne:acdName="acd8"/>
    </wne:keymap>
    <wne:keymap wne:kcmPrimary="0233">
      <wne:acd wne:acdName="acd10"/>
    </wne:keymap>
    <wne:keymap wne:kcmPrimary="0239">
      <wne:acd wne:acdName="acd9"/>
    </wne:keymap>
    <wne:keymap wne:kcmPrimary="0251">
      <wne:acd wne:acdName="acd12"/>
    </wne:keymap>
    <wne:keymap wne:kcmPrimary="0431">
      <wne:acd wne:acdName="acd0"/>
    </wne:keymap>
    <wne:keymap wne:kcmPrimary="0433">
      <wne:acd wne:acdName="acd1"/>
    </wne:keymap>
    <wne:keymap wne:kcmPrimary="0438">
      <wne:acd wne:acdName="acd2"/>
    </wne:keymap>
    <wne:keymap wne:kcmPrimary="0439">
      <wne:acd wne:acdName="acd3"/>
    </wne:keymap>
    <wne:keymap wne:kcmPrimary="0451">
      <wne:acd wne:acdName="acd1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Manifest>
  </wne:toolbars>
  <wne:acds>
    <wne:acd wne:argValue="AQAAAAEA" wne:acdName="acd0" wne:fciIndexBasedOn="0065"/>
    <wne:acd wne:argValue="AQAAAAMA" wne:acdName="acd1" wne:fciIndexBasedOn="0065"/>
    <wne:acd wne:argValue="AQAAAAgA" wne:acdName="acd2" wne:fciIndexBasedOn="0065"/>
    <wne:acd wne:argValue="AQAAAAkA" wne:acdName="acd3" wne:fciIndexBasedOn="0065"/>
    <wne:acd wne:acdName="acd4" wne:fciIndexBasedOn="0065"/>
    <wne:acd wne:argValue="AgAHaJiYIAAyACwAB2iYmCAAMgAtAIKCLQBGADIA" wne:acdName="acd5" wne:fciIndexBasedOn="0065"/>
    <wne:acd wne:argValue="AgAHaJiYIAAzACwAB2iYmCAAMwAtAGFnLQBGADMA" wne:acdName="acd6" wne:fciIndexBasedOn="0065"/>
    <wne:acd wne:argValue="AgAHaJiYIAA5ACwAB2iYmCAAOQAtAGFnh2X0iw5m" wne:acdName="acd7" wne:fciIndexBasedOn="0065"/>
    <wne:acd wne:argValue="AgAHaJiYIAA4ACwAB2iYmCAAOAAtAIdlLGc=" wne:acdName="acd8" wne:fciIndexBasedOn="0065"/>
    <wne:acd wne:argValue="AgAHaJiYIAAzACwAB2iYmCAAMwAtAGFn" wne:acdName="acd9" wne:fciIndexBasedOn="0065"/>
    <wne:acd wne:argValue="AgAHaJiYIAAzACwAB2iYmCAAMwAtAGFnLQBDAHQAcgBsACsAMwA=" wne:acdName="acd10" wne:fciIndexBasedOn="0065"/>
    <wne:acd wne:acdName="acd11" wne:fciIndexBasedOn="0065"/>
    <wne:acd wne:argValue="AgAHaJiYIAA4ACwAB2iYmCAAOAAtAIdlLGctAEMAdAByAGwAKwBRAA==" wne:acdName="acd12" wne:fciIndexBasedOn="0065"/>
    <wne:acd wne:argValue="AgAHaJiYIAA5ACwAB2iYmCAAOQAtAGFnh2X0iw5mLQBBAGwAdAArAFEA" wne:acdName="acd1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0B705" w14:textId="77777777" w:rsidR="00C53D5E" w:rsidRDefault="00C53D5E">
      <w:pPr>
        <w:spacing w:line="240" w:lineRule="auto"/>
      </w:pPr>
      <w:r>
        <w:separator/>
      </w:r>
    </w:p>
  </w:endnote>
  <w:endnote w:type="continuationSeparator" w:id="0">
    <w:p w14:paraId="05B92592" w14:textId="77777777" w:rsidR="00C53D5E" w:rsidRDefault="00C53D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标题 CS)">
    <w:altName w:val="宋体"/>
    <w:charset w:val="86"/>
    <w:family w:val="roman"/>
    <w:pitch w:val="default"/>
  </w:font>
  <w:font w:name="楷体">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华文仿宋">
    <w:charset w:val="86"/>
    <w:family w:val="auto"/>
    <w:pitch w:val="variable"/>
    <w:sig w:usb0="00000287" w:usb1="080F0000" w:usb2="00000010" w:usb3="00000000" w:csb0="0004009F" w:csb1="00000000"/>
  </w:font>
  <w:font w:name="Cambria">
    <w:charset w:val="00"/>
    <w:family w:val="roman"/>
    <w:pitch w:val="variable"/>
    <w:sig w:usb0="E00002FF" w:usb1="400004FF" w:usb2="00000000" w:usb3="00000000" w:csb0="0000019F" w:csb1="00000000"/>
  </w:font>
  <w:font w:name="Lucida Grande">
    <w:altName w:val="Courier New"/>
    <w:charset w:val="00"/>
    <w:family w:val="auto"/>
    <w:pitch w:val="default"/>
    <w:sig w:usb0="00000000" w:usb1="00000000" w:usb2="00000000" w:usb3="00000000" w:csb0="00040001" w:csb1="00000000"/>
  </w:font>
  <w:font w:name="ヒラギノ角ゴ Pro W3">
    <w:altName w:val="Arial Unicode MS"/>
    <w:charset w:val="00"/>
    <w:family w:val="auto"/>
    <w:pitch w:val="default"/>
    <w:sig w:usb0="00000000" w:usb1="00000000" w:usb2="00000000" w:usb3="00000000" w:csb0="00040001" w:csb1="00000000"/>
  </w:font>
  <w:font w:name="Tahoma">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FuturaA Bk BT">
    <w:altName w:val="Segoe Print"/>
    <w:charset w:val="00"/>
    <w:family w:val="roman"/>
    <w:pitch w:val="default"/>
    <w:sig w:usb0="00000000" w:usb1="00000000" w:usb2="00000000" w:usb3="00000000" w:csb0="00000001" w:csb1="00000000"/>
  </w:font>
  <w:font w:name="Myriad Pro Black">
    <w:altName w:val="Segoe UI"/>
    <w:charset w:val="00"/>
    <w:family w:val="swiss"/>
    <w:pitch w:val="default"/>
    <w:sig w:usb0="00000000" w:usb1="00000000" w:usb2="00000000" w:usb3="00000000" w:csb0="0000019F" w:csb1="00000000"/>
  </w:font>
  <w:font w:name="汉仪大黑简">
    <w:charset w:val="86"/>
    <w:family w:val="modern"/>
    <w:pitch w:val="default"/>
    <w:sig w:usb0="00000000" w:usb1="00000000" w:usb2="00000012" w:usb3="00000000" w:csb0="00040000" w:csb1="00000000"/>
  </w:font>
  <w:font w:name="Myriad Pro">
    <w:altName w:val="Segoe Print"/>
    <w:charset w:val="00"/>
    <w:family w:val="swiss"/>
    <w:notTrueType/>
    <w:pitch w:val="variable"/>
    <w:sig w:usb0="20000287" w:usb1="00000001" w:usb2="00000000" w:usb3="00000000" w:csb0="0000019F" w:csb1="00000000"/>
  </w:font>
  <w:font w:name="汉仪中等线简">
    <w:altName w:val="宋体"/>
    <w:charset w:val="86"/>
    <w:family w:val="modern"/>
    <w:pitch w:val="default"/>
    <w:sig w:usb0="00000000" w:usb1="00000000" w:usb2="00000012" w:usb3="00000000" w:csb0="00040000" w:csb1="00000000"/>
  </w:font>
  <w:font w:name="仿宋">
    <w:charset w:val="86"/>
    <w:family w:val="modern"/>
    <w:pitch w:val="fixed"/>
    <w:sig w:usb0="800002BF" w:usb1="38CF7CFA" w:usb2="00000016" w:usb3="00000000" w:csb0="00040001" w:csb1="00000000"/>
  </w:font>
  <w:font w:name="Cambria Math">
    <w:panose1 w:val="00000000000000000000"/>
    <w:charset w:val="00"/>
    <w:family w:val="roman"/>
    <w:pitch w:val="variable"/>
    <w:sig w:usb0="E00002FF" w:usb1="420024FF" w:usb2="00000000" w:usb3="00000000" w:csb0="0000019F" w:csb1="00000000"/>
  </w:font>
  <w:font w:name="华文宋体">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Light">
    <w:altName w:val="微软雅黑"/>
    <w:charset w:val="86"/>
    <w:family w:val="swiss"/>
    <w:pitch w:val="variable"/>
    <w:sig w:usb0="80000287" w:usb1="2ACF0010" w:usb2="00000016" w:usb3="00000000" w:csb0="0004001F" w:csb1="00000000"/>
  </w:font>
  <w:font w:name="微软雅黑">
    <w:charset w:val="86"/>
    <w:family w:val="swiss"/>
    <w:pitch w:val="variable"/>
    <w:sig w:usb0="80000287" w:usb1="280F3C52" w:usb2="00000016" w:usb3="00000000" w:csb0="0004001F" w:csb1="00000000"/>
  </w:font>
  <w:font w:name="HEITI SC LIGHT">
    <w:altName w:val="Segoe Print"/>
    <w:charset w:val="00"/>
    <w:family w:val="roman"/>
    <w:pitch w:val="default"/>
  </w:font>
  <w:font w:name="Calibri Light">
    <w:panose1 w:val="020F0302020204030204"/>
    <w:charset w:val="00"/>
    <w:family w:val="swiss"/>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07286" w14:textId="60FDDD73" w:rsidR="00BF2787" w:rsidRDefault="00BF2787">
    <w:pPr>
      <w:pStyle w:val="af1"/>
      <w:framePr w:h="0" w:wrap="around" w:vAnchor="text" w:hAnchor="margin" w:xAlign="right" w:y="1"/>
      <w:rPr>
        <w:rStyle w:val="afff"/>
      </w:rPr>
    </w:pPr>
    <w:r>
      <w:fldChar w:fldCharType="begin"/>
    </w:r>
    <w:r>
      <w:rPr>
        <w:rStyle w:val="afff"/>
      </w:rPr>
      <w:instrText xml:space="preserve">PAGE  </w:instrText>
    </w:r>
    <w:r>
      <w:fldChar w:fldCharType="separate"/>
    </w:r>
    <w:r>
      <w:rPr>
        <w:rStyle w:val="afff"/>
        <w:noProof/>
      </w:rPr>
      <w:t>28</w:t>
    </w:r>
    <w:r>
      <w:fldChar w:fldCharType="end"/>
    </w:r>
  </w:p>
  <w:p w14:paraId="1AE66722" w14:textId="77777777" w:rsidR="00BF2787" w:rsidRDefault="00BF2787">
    <w:pPr>
      <w:pStyle w:val="af1"/>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539895"/>
    </w:sdtPr>
    <w:sdtContent>
      <w:sdt>
        <w:sdtPr>
          <w:id w:val="-129715371"/>
        </w:sdtPr>
        <w:sdtContent>
          <w:p w14:paraId="35A85C5D" w14:textId="0E5BF571" w:rsidR="00BF2787" w:rsidRDefault="00BF2787" w:rsidP="007A0D90">
            <w:pPr>
              <w:pStyle w:val="af1"/>
              <w:spacing w:after="120"/>
              <w:jc w:val="center"/>
            </w:pPr>
            <w:r>
              <w:rPr>
                <w:lang w:val="zh-CN"/>
              </w:rPr>
              <w:t xml:space="preserve"> </w:t>
            </w:r>
            <w:r w:rsidRPr="007A0D90">
              <w:rPr>
                <w:noProof/>
                <w:sz w:val="21"/>
                <w:szCs w:val="21"/>
                <w:lang w:val="zh-CN"/>
              </w:rPr>
              <w:fldChar w:fldCharType="begin"/>
            </w:r>
            <w:r w:rsidRPr="007A0D90">
              <w:rPr>
                <w:noProof/>
                <w:sz w:val="21"/>
                <w:szCs w:val="21"/>
                <w:lang w:val="zh-CN"/>
              </w:rPr>
              <w:instrText>PAGE</w:instrText>
            </w:r>
            <w:r w:rsidRPr="007A0D90">
              <w:rPr>
                <w:noProof/>
                <w:sz w:val="21"/>
                <w:szCs w:val="21"/>
                <w:lang w:val="zh-CN"/>
              </w:rPr>
              <w:fldChar w:fldCharType="separate"/>
            </w:r>
            <w:r>
              <w:rPr>
                <w:noProof/>
                <w:sz w:val="21"/>
                <w:szCs w:val="21"/>
                <w:lang w:val="zh-CN"/>
              </w:rPr>
              <w:t>345</w:t>
            </w:r>
            <w:r w:rsidRPr="007A0D90">
              <w:rPr>
                <w:noProof/>
                <w:sz w:val="21"/>
                <w:szCs w:val="21"/>
                <w:lang w:val="zh-CN"/>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2B68" w14:textId="77777777" w:rsidR="00BF2787" w:rsidRDefault="00BF2787">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F5BE" w14:textId="77777777" w:rsidR="00BF2787" w:rsidRDefault="00BF2787">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3C4D" w14:textId="1DD40C83" w:rsidR="00BF2787" w:rsidRPr="00B84F8E" w:rsidRDefault="00BF2787" w:rsidP="00A171BC">
    <w:pPr>
      <w:pStyle w:val="af1"/>
      <w:jc w:val="center"/>
      <w:rPr>
        <w:rFonts w:ascii="Times New Roman" w:hAnsi="Times New Roman" w:cs="Times New Roman"/>
        <w:sz w:val="21"/>
        <w:szCs w:val="21"/>
      </w:rPr>
    </w:pPr>
    <w:r w:rsidRPr="00B84F8E">
      <w:rPr>
        <w:rFonts w:ascii="Times New Roman" w:hAnsi="Times New Roman" w:cs="Times New Roman"/>
        <w:sz w:val="21"/>
        <w:szCs w:val="21"/>
      </w:rPr>
      <w:fldChar w:fldCharType="begin"/>
    </w:r>
    <w:r w:rsidRPr="00B84F8E">
      <w:rPr>
        <w:rFonts w:ascii="Times New Roman" w:hAnsi="Times New Roman" w:cs="Times New Roman"/>
        <w:sz w:val="21"/>
        <w:szCs w:val="21"/>
      </w:rPr>
      <w:instrText>PAGE   \* MERGEFORMAT</w:instrText>
    </w:r>
    <w:r w:rsidRPr="00B84F8E">
      <w:rPr>
        <w:rFonts w:ascii="Times New Roman" w:hAnsi="Times New Roman" w:cs="Times New Roman"/>
        <w:sz w:val="21"/>
        <w:szCs w:val="21"/>
      </w:rPr>
      <w:fldChar w:fldCharType="separate"/>
    </w:r>
    <w:r w:rsidRPr="00CA6052">
      <w:rPr>
        <w:rFonts w:ascii="Times New Roman" w:hAnsi="Times New Roman" w:cs="Times New Roman"/>
        <w:noProof/>
        <w:sz w:val="21"/>
        <w:szCs w:val="21"/>
        <w:lang w:val="zh-CN"/>
      </w:rPr>
      <w:t>2</w:t>
    </w:r>
    <w:r w:rsidRPr="00B84F8E">
      <w:rPr>
        <w:rFonts w:ascii="Times New Roman" w:hAnsi="Times New Roman" w:cs="Times New Roman"/>
        <w:sz w:val="21"/>
        <w:szCs w:val="21"/>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ACD7B" w14:textId="374EE661" w:rsidR="00BF2787" w:rsidRPr="00B84F8E" w:rsidRDefault="00BF2787" w:rsidP="00A171BC">
    <w:pPr>
      <w:pStyle w:val="af1"/>
      <w:jc w:val="center"/>
      <w:rPr>
        <w:rFonts w:ascii="Times New Roman" w:hAnsi="Times New Roman" w:cs="Times New Roman"/>
        <w:sz w:val="21"/>
        <w:szCs w:val="21"/>
      </w:rPr>
    </w:pPr>
    <w:r w:rsidRPr="00B84F8E">
      <w:rPr>
        <w:rFonts w:ascii="Times New Roman" w:hAnsi="Times New Roman" w:cs="Times New Roman"/>
        <w:sz w:val="21"/>
        <w:szCs w:val="21"/>
      </w:rPr>
      <w:fldChar w:fldCharType="begin"/>
    </w:r>
    <w:r w:rsidRPr="00B84F8E">
      <w:rPr>
        <w:rFonts w:ascii="Times New Roman" w:hAnsi="Times New Roman" w:cs="Times New Roman"/>
        <w:sz w:val="21"/>
        <w:szCs w:val="21"/>
      </w:rPr>
      <w:instrText>PAGE   \* MERGEFORMAT</w:instrText>
    </w:r>
    <w:r w:rsidRPr="00B84F8E">
      <w:rPr>
        <w:rFonts w:ascii="Times New Roman" w:hAnsi="Times New Roman" w:cs="Times New Roman"/>
        <w:sz w:val="21"/>
        <w:szCs w:val="21"/>
      </w:rPr>
      <w:fldChar w:fldCharType="separate"/>
    </w:r>
    <w:r w:rsidRPr="003779E1">
      <w:rPr>
        <w:rFonts w:ascii="Times New Roman" w:hAnsi="Times New Roman" w:cs="Times New Roman"/>
        <w:noProof/>
        <w:sz w:val="21"/>
        <w:szCs w:val="21"/>
        <w:lang w:val="zh-CN"/>
      </w:rPr>
      <w:t>309</w:t>
    </w:r>
    <w:r w:rsidRPr="00B84F8E">
      <w:rPr>
        <w:rFonts w:ascii="Times New Roman" w:hAnsi="Times New Roman" w:cs="Times New Roman"/>
        <w:sz w:val="21"/>
        <w:szCs w:val="21"/>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FB070" w14:textId="77777777" w:rsidR="00BF2787" w:rsidRDefault="00BF2787">
    <w:pPr>
      <w:pStyle w:val="af1"/>
      <w:framePr w:wrap="around" w:vAnchor="text" w:hAnchor="margin" w:xAlign="center" w:y="1"/>
      <w:rPr>
        <w:rStyle w:val="afff"/>
      </w:rPr>
    </w:pPr>
    <w:r>
      <w:fldChar w:fldCharType="begin"/>
    </w:r>
    <w:r>
      <w:rPr>
        <w:rStyle w:val="afff"/>
      </w:rPr>
      <w:instrText xml:space="preserve">PAGE  </w:instrText>
    </w:r>
    <w:r>
      <w:fldChar w:fldCharType="end"/>
    </w:r>
  </w:p>
  <w:p w14:paraId="46809BE4" w14:textId="77777777" w:rsidR="00BF2787" w:rsidRDefault="00BF2787">
    <w:pPr>
      <w:pStyle w:val="af1"/>
      <w:spacing w:before="120"/>
      <w:ind w:firstLine="34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FF833" w14:textId="49B884C9" w:rsidR="00BF2787" w:rsidRDefault="00BF2787">
    <w:pPr>
      <w:pStyle w:val="af1"/>
      <w:framePr w:wrap="around" w:vAnchor="text" w:hAnchor="margin" w:xAlign="center" w:y="1"/>
      <w:spacing w:before="120"/>
      <w:ind w:firstLine="346"/>
      <w:jc w:val="center"/>
      <w:rPr>
        <w:rStyle w:val="afff"/>
        <w:rFonts w:ascii="宋体"/>
        <w:sz w:val="21"/>
      </w:rPr>
    </w:pPr>
    <w:r>
      <w:fldChar w:fldCharType="begin"/>
    </w:r>
    <w:r>
      <w:rPr>
        <w:rStyle w:val="afff"/>
      </w:rPr>
      <w:instrText xml:space="preserve">PAGE  </w:instrText>
    </w:r>
    <w:r>
      <w:fldChar w:fldCharType="separate"/>
    </w:r>
    <w:r>
      <w:rPr>
        <w:rStyle w:val="afff"/>
        <w:noProof/>
      </w:rPr>
      <w:t>324</w:t>
    </w:r>
    <w:r>
      <w:fldChar w:fldCharType="end"/>
    </w:r>
  </w:p>
  <w:p w14:paraId="5EB1B995" w14:textId="77777777" w:rsidR="00BF2787" w:rsidRDefault="00BF2787">
    <w:pPr>
      <w:pStyle w:val="af1"/>
      <w:spacing w:before="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4B29" w14:textId="34ADFA4B" w:rsidR="00BF2787" w:rsidRDefault="00BF2787">
    <w:pPr>
      <w:pStyle w:val="af1"/>
      <w:framePr w:wrap="around" w:vAnchor="text" w:hAnchor="margin" w:xAlign="center" w:y="1"/>
      <w:rPr>
        <w:rStyle w:val="afff"/>
      </w:rPr>
    </w:pPr>
    <w:r>
      <w:fldChar w:fldCharType="begin"/>
    </w:r>
    <w:r>
      <w:rPr>
        <w:rStyle w:val="afff"/>
      </w:rPr>
      <w:instrText xml:space="preserve">PAGE  </w:instrText>
    </w:r>
    <w:r>
      <w:fldChar w:fldCharType="separate"/>
    </w:r>
    <w:r>
      <w:rPr>
        <w:rStyle w:val="afff"/>
        <w:noProof/>
      </w:rPr>
      <w:t>338</w:t>
    </w:r>
    <w:r>
      <w:fldChar w:fldCharType="end"/>
    </w:r>
  </w:p>
  <w:p w14:paraId="40FA44A1" w14:textId="77777777" w:rsidR="00BF2787" w:rsidRDefault="00BF2787">
    <w:pPr>
      <w:pStyle w:val="af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DF6C" w14:textId="4947C78B" w:rsidR="00BF2787" w:rsidRDefault="00BF2787">
    <w:pPr>
      <w:pStyle w:val="af1"/>
      <w:jc w:val="center"/>
    </w:pPr>
    <w:r>
      <w:fldChar w:fldCharType="begin"/>
    </w:r>
    <w:r>
      <w:instrText xml:space="preserve"> PAGE   \* MERGEFORMAT </w:instrText>
    </w:r>
    <w:r>
      <w:fldChar w:fldCharType="separate"/>
    </w:r>
    <w:r w:rsidRPr="003779E1">
      <w:rPr>
        <w:noProof/>
        <w:lang w:val="zh-CN"/>
      </w:rPr>
      <w:t>339</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3CDA" w14:textId="77777777" w:rsidR="00BF2787" w:rsidRDefault="00BF2787">
    <w:pPr>
      <w:pStyle w:val="af1"/>
      <w:ind w:firstLine="360"/>
    </w:pPr>
  </w:p>
  <w:p w14:paraId="4B73B8AD" w14:textId="77777777" w:rsidR="00BF2787" w:rsidRDefault="00BF2787"/>
  <w:p w14:paraId="282E9BF9" w14:textId="77777777" w:rsidR="00BF2787" w:rsidRDefault="00BF2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5D21C" w14:textId="77777777" w:rsidR="00C53D5E" w:rsidRDefault="00C53D5E">
      <w:pPr>
        <w:spacing w:line="240" w:lineRule="auto"/>
      </w:pPr>
      <w:r>
        <w:separator/>
      </w:r>
    </w:p>
  </w:footnote>
  <w:footnote w:type="continuationSeparator" w:id="0">
    <w:p w14:paraId="1DC5FE4C" w14:textId="77777777" w:rsidR="00C53D5E" w:rsidRDefault="00C53D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6534B" w14:textId="77777777" w:rsidR="00BF2787" w:rsidRDefault="00BF2787">
    <w:pPr>
      <w:ind w:firstLine="420"/>
    </w:pPr>
  </w:p>
  <w:p w14:paraId="0FE5BA26" w14:textId="77777777" w:rsidR="00BF2787" w:rsidRDefault="00BF2787"/>
  <w:p w14:paraId="11D82087" w14:textId="77777777" w:rsidR="00BF2787" w:rsidRDefault="00BF27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C9E9" w14:textId="77777777" w:rsidR="00BF2787" w:rsidRDefault="00BF2787">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64CC58"/>
    <w:multiLevelType w:val="singleLevel"/>
    <w:tmpl w:val="C964CC58"/>
    <w:lvl w:ilvl="0">
      <w:start w:val="1"/>
      <w:numFmt w:val="decimal"/>
      <w:lvlText w:val="%1)"/>
      <w:lvlJc w:val="left"/>
      <w:pPr>
        <w:ind w:left="425" w:hanging="425"/>
      </w:pPr>
      <w:rPr>
        <w:rFonts w:hint="default"/>
      </w:rPr>
    </w:lvl>
  </w:abstractNum>
  <w:abstractNum w:abstractNumId="1" w15:restartNumberingAfterBreak="0">
    <w:nsid w:val="D39239E5"/>
    <w:multiLevelType w:val="singleLevel"/>
    <w:tmpl w:val="D39239E5"/>
    <w:lvl w:ilvl="0">
      <w:start w:val="1"/>
      <w:numFmt w:val="decimal"/>
      <w:lvlText w:val="%1)"/>
      <w:lvlJc w:val="left"/>
      <w:pPr>
        <w:ind w:left="425" w:hanging="425"/>
      </w:pPr>
      <w:rPr>
        <w:rFonts w:hint="default"/>
      </w:rPr>
    </w:lvl>
  </w:abstractNum>
  <w:abstractNum w:abstractNumId="2" w15:restartNumberingAfterBreak="0">
    <w:nsid w:val="FFFFFF82"/>
    <w:multiLevelType w:val="singleLevel"/>
    <w:tmpl w:val="FFFFFF82"/>
    <w:lvl w:ilvl="0" w:tentative="1">
      <w:start w:val="1"/>
      <w:numFmt w:val="bullet"/>
      <w:pStyle w:val="3"/>
      <w:lvlText w:val=""/>
      <w:lvlJc w:val="left"/>
      <w:pPr>
        <w:tabs>
          <w:tab w:val="left" w:pos="1200"/>
        </w:tabs>
        <w:ind w:left="1200" w:hanging="360"/>
      </w:pPr>
      <w:rPr>
        <w:rFonts w:ascii="Wingdings" w:hAnsi="Wingdings" w:hint="default"/>
      </w:rPr>
    </w:lvl>
  </w:abstractNum>
  <w:abstractNum w:abstractNumId="3" w15:restartNumberingAfterBreak="0">
    <w:nsid w:val="00000002"/>
    <w:multiLevelType w:val="multilevel"/>
    <w:tmpl w:val="E638AB36"/>
    <w:lvl w:ilvl="0">
      <w:start w:val="1"/>
      <w:numFmt w:val="decimal"/>
      <w:lvlText w:val="%1 "/>
      <w:lvlJc w:val="center"/>
      <w:pPr>
        <w:tabs>
          <w:tab w:val="num" w:pos="0"/>
        </w:tabs>
        <w:ind w:left="0" w:firstLine="0"/>
      </w:pPr>
      <w:rPr>
        <w:rFonts w:hint="eastAsia"/>
      </w:rPr>
    </w:lvl>
    <w:lvl w:ilvl="1">
      <w:numFmt w:val="decimal"/>
      <w:pStyle w:val="B"/>
      <w:lvlText w:val="%1.%2 "/>
      <w:lvlJc w:val="center"/>
      <w:pPr>
        <w:tabs>
          <w:tab w:val="num" w:pos="0"/>
        </w:tabs>
        <w:ind w:left="0" w:firstLine="0"/>
      </w:pPr>
      <w:rPr>
        <w:rFonts w:hint="eastAsia"/>
      </w:rPr>
    </w:lvl>
    <w:lvl w:ilvl="2">
      <w:start w:val="1"/>
      <w:numFmt w:val="decimal"/>
      <w:pStyle w:val="C"/>
      <w:lvlText w:val="%1.%2.%3 "/>
      <w:lvlJc w:val="left"/>
      <w:pPr>
        <w:tabs>
          <w:tab w:val="num" w:pos="0"/>
        </w:tabs>
        <w:ind w:left="0" w:firstLine="0"/>
      </w:pPr>
      <w:rPr>
        <w:rFonts w:ascii="Times New Roman" w:eastAsia="宋体" w:hAnsi="Times New Roman" w:cs="Times New Roman" w:hint="default"/>
        <w:b/>
      </w:rPr>
    </w:lvl>
    <w:lvl w:ilvl="3">
      <w:start w:val="1"/>
      <w:numFmt w:val="decimal"/>
      <w:lvlText w:val="%4 "/>
      <w:lvlJc w:val="left"/>
      <w:rPr>
        <w:rFonts w:hAnsi="Times New Roman" w:cs="Times New Roman" w:hint="eastAsia"/>
        <w:bCs w:val="0"/>
        <w:i w:val="0"/>
        <w:iCs w:val="0"/>
        <w:caps w:val="0"/>
        <w:smallCaps w:val="0"/>
        <w:strike w:val="0"/>
        <w:dstrike w:val="0"/>
        <w:vanish w:val="0"/>
        <w:color w:val="000000"/>
        <w:spacing w:val="0"/>
        <w:position w:val="0"/>
        <w:u w:val="none"/>
        <w:vertAlign w:val="baseline"/>
        <w:em w:val="none"/>
      </w:rPr>
    </w:lvl>
    <w:lvl w:ilvl="4">
      <w:start w:val="1"/>
      <w:numFmt w:val="decimal"/>
      <w:lvlText w:val="%5）"/>
      <w:lvlJc w:val="left"/>
      <w:pPr>
        <w:tabs>
          <w:tab w:val="num" w:pos="0"/>
        </w:tabs>
        <w:ind w:left="0" w:firstLine="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4" w15:restartNumberingAfterBreak="0">
    <w:nsid w:val="092F0576"/>
    <w:multiLevelType w:val="multilevel"/>
    <w:tmpl w:val="092F0576"/>
    <w:lvl w:ilvl="0" w:tentative="1">
      <w:start w:val="1"/>
      <w:numFmt w:val="decimal"/>
      <w:lvlText w:val="第%1章  "/>
      <w:lvlJc w:val="left"/>
      <w:pPr>
        <w:tabs>
          <w:tab w:val="left" w:pos="1440"/>
        </w:tabs>
        <w:ind w:left="0" w:firstLine="0"/>
      </w:pPr>
      <w:rPr>
        <w:rFonts w:ascii="宋体" w:eastAsia="宋体" w:hint="eastAsia"/>
        <w:b/>
        <w:i w:val="0"/>
        <w:spacing w:val="6"/>
        <w:w w:val="95"/>
        <w:kern w:val="2"/>
        <w:position w:val="0"/>
        <w:sz w:val="36"/>
      </w:rPr>
    </w:lvl>
    <w:lvl w:ilvl="1" w:tentative="1">
      <w:start w:val="1"/>
      <w:numFmt w:val="decimal"/>
      <w:pStyle w:val="11"/>
      <w:lvlText w:val="%1.%2 "/>
      <w:lvlJc w:val="left"/>
      <w:pPr>
        <w:tabs>
          <w:tab w:val="left" w:pos="720"/>
        </w:tabs>
        <w:ind w:left="0" w:firstLine="0"/>
      </w:pPr>
      <w:rPr>
        <w:rFonts w:ascii="宋体" w:eastAsia="宋体" w:hint="eastAsia"/>
        <w:b/>
        <w:i w:val="0"/>
        <w:spacing w:val="6"/>
        <w:w w:val="95"/>
        <w:position w:val="0"/>
        <w:sz w:val="30"/>
      </w:rPr>
    </w:lvl>
    <w:lvl w:ilvl="2" w:tentative="1">
      <w:start w:val="1"/>
      <w:numFmt w:val="decimal"/>
      <w:pStyle w:val="111"/>
      <w:lvlText w:val="%1.%2.%3 "/>
      <w:lvlJc w:val="left"/>
      <w:pPr>
        <w:tabs>
          <w:tab w:val="left" w:pos="851"/>
        </w:tabs>
        <w:ind w:left="851" w:hanging="851"/>
      </w:pPr>
      <w:rPr>
        <w:rFonts w:ascii="宋体" w:eastAsia="宋体" w:hint="eastAsia"/>
        <w:b/>
        <w:i w:val="0"/>
        <w:spacing w:val="6"/>
        <w:w w:val="95"/>
        <w:position w:val="0"/>
        <w:sz w:val="24"/>
      </w:rPr>
    </w:lvl>
    <w:lvl w:ilvl="3" w:tentative="1">
      <w:start w:val="1"/>
      <w:numFmt w:val="decimal"/>
      <w:pStyle w:val="1111"/>
      <w:lvlText w:val="%1.%2.%3.%4 "/>
      <w:lvlJc w:val="left"/>
      <w:pPr>
        <w:tabs>
          <w:tab w:val="left" w:pos="1505"/>
        </w:tabs>
        <w:ind w:left="0" w:firstLine="425"/>
      </w:pPr>
      <w:rPr>
        <w:rFonts w:ascii="宋体" w:eastAsia="宋体" w:hint="eastAsia"/>
        <w:b/>
        <w:i w:val="0"/>
        <w:spacing w:val="6"/>
        <w:w w:val="95"/>
        <w:position w:val="0"/>
        <w:sz w:val="24"/>
      </w:rPr>
    </w:lvl>
    <w:lvl w:ilvl="4" w:tentative="1">
      <w:start w:val="1"/>
      <w:numFmt w:val="decimal"/>
      <w:pStyle w:val="1"/>
      <w:lvlText w:val="%5) "/>
      <w:lvlJc w:val="left"/>
      <w:pPr>
        <w:tabs>
          <w:tab w:val="left" w:pos="927"/>
        </w:tabs>
        <w:ind w:left="0" w:firstLine="567"/>
      </w:pPr>
      <w:rPr>
        <w:rFonts w:ascii="宋体" w:eastAsia="宋体" w:hint="eastAsia"/>
        <w:b w:val="0"/>
        <w:i w:val="0"/>
        <w:spacing w:val="6"/>
        <w:w w:val="95"/>
        <w:position w:val="0"/>
        <w:sz w:val="24"/>
      </w:rPr>
    </w:lvl>
    <w:lvl w:ilvl="5" w:tentative="1">
      <w:start w:val="1"/>
      <w:numFmt w:val="lowerLetter"/>
      <w:pStyle w:val="a"/>
      <w:lvlText w:val="%6)"/>
      <w:lvlJc w:val="left"/>
      <w:pPr>
        <w:tabs>
          <w:tab w:val="left" w:pos="1069"/>
        </w:tabs>
        <w:ind w:left="0" w:firstLine="709"/>
      </w:pPr>
      <w:rPr>
        <w:rFonts w:ascii="仿宋_GB2312" w:eastAsia="仿宋_GB2312" w:hint="eastAsia"/>
        <w:b w:val="0"/>
        <w:i w:val="0"/>
        <w:spacing w:val="6"/>
        <w:w w:val="95"/>
        <w:position w:val="0"/>
        <w:sz w:val="28"/>
      </w:rPr>
    </w:lvl>
    <w:lvl w:ilvl="6" w:tentative="1">
      <w:start w:val="1"/>
      <w:numFmt w:val="decimal"/>
      <w:lvlText w:val="%1.%2.%3.%4.%5.%6.%7."/>
      <w:lvlJc w:val="left"/>
      <w:pPr>
        <w:tabs>
          <w:tab w:val="left" w:pos="7147"/>
        </w:tabs>
        <w:ind w:left="7147" w:hanging="1276"/>
      </w:pPr>
      <w:rPr>
        <w:rFonts w:hint="eastAsia"/>
      </w:rPr>
    </w:lvl>
    <w:lvl w:ilvl="7" w:tentative="1">
      <w:start w:val="1"/>
      <w:numFmt w:val="decimal"/>
      <w:lvlText w:val="%1.%2.%3.%4.%5.%6.%7.%8."/>
      <w:lvlJc w:val="left"/>
      <w:pPr>
        <w:tabs>
          <w:tab w:val="left" w:pos="7289"/>
        </w:tabs>
        <w:ind w:left="7289" w:hanging="1418"/>
      </w:pPr>
      <w:rPr>
        <w:rFonts w:hint="eastAsia"/>
      </w:rPr>
    </w:lvl>
    <w:lvl w:ilvl="8" w:tentative="1">
      <w:start w:val="1"/>
      <w:numFmt w:val="decimal"/>
      <w:lvlText w:val="%1.%2.%3.%4.%5.%6.%7.%8.%9."/>
      <w:lvlJc w:val="left"/>
      <w:pPr>
        <w:tabs>
          <w:tab w:val="left" w:pos="7430"/>
        </w:tabs>
        <w:ind w:left="7430" w:hanging="1559"/>
      </w:pPr>
      <w:rPr>
        <w:rFonts w:hint="eastAsia"/>
      </w:rPr>
    </w:lvl>
  </w:abstractNum>
  <w:abstractNum w:abstractNumId="5" w15:restartNumberingAfterBreak="0">
    <w:nsid w:val="0A8B224C"/>
    <w:multiLevelType w:val="multilevel"/>
    <w:tmpl w:val="2EF86BC8"/>
    <w:lvl w:ilvl="0">
      <w:start w:val="7"/>
      <w:numFmt w:val="decimal"/>
      <w:suff w:val="space"/>
      <w:lvlText w:val="%1 "/>
      <w:lvlJc w:val="left"/>
      <w:pPr>
        <w:ind w:left="0" w:firstLine="0"/>
      </w:pPr>
      <w:rPr>
        <w:rFonts w:hint="eastAsia"/>
        <w:b/>
      </w:rPr>
    </w:lvl>
    <w:lvl w:ilvl="1">
      <w:numFmt w:val="decimal"/>
      <w:suff w:val="space"/>
      <w:lvlText w:val="%1.%2 "/>
      <w:lvlJc w:val="left"/>
      <w:pPr>
        <w:ind w:left="0" w:firstLine="0"/>
      </w:pPr>
      <w:rPr>
        <w:rFonts w:ascii="Times New Roman" w:hAnsi="Times New Roman" w:cs="Times New Roman" w:hint="default"/>
        <w:b/>
        <w:i w:val="0"/>
        <w:sz w:val="24"/>
        <w:szCs w:val="24"/>
      </w:rPr>
    </w:lvl>
    <w:lvl w:ilvl="2">
      <w:start w:val="1"/>
      <w:numFmt w:val="decimal"/>
      <w:suff w:val="space"/>
      <w:lvlText w:val="%1.%2.%3 "/>
      <w:lvlJc w:val="left"/>
      <w:pPr>
        <w:ind w:left="0" w:firstLine="0"/>
      </w:pPr>
      <w:rPr>
        <w:rFonts w:ascii="Times New Roman" w:hAnsi="Times New Roman" w:cs="Times New Roman" w:hint="default"/>
        <w:b/>
        <w:color w:val="auto"/>
        <w:sz w:val="24"/>
        <w:szCs w:val="24"/>
      </w:rPr>
    </w:lvl>
    <w:lvl w:ilvl="3">
      <w:start w:val="1"/>
      <w:numFmt w:val="decimal"/>
      <w:lvlText w:val="%1.%2.%3.%4"/>
      <w:lvlJc w:val="left"/>
      <w:pPr>
        <w:ind w:left="0" w:firstLine="0"/>
      </w:pPr>
      <w:rPr>
        <w:rFonts w:hint="eastAsia"/>
      </w:rPr>
    </w:lvl>
    <w:lvl w:ilvl="4">
      <w:start w:val="1"/>
      <w:numFmt w:val="decimal"/>
      <w:suff w:val="space"/>
      <w:lvlText w:val="%5 "/>
      <w:lvlJc w:val="left"/>
      <w:pPr>
        <w:ind w:left="0" w:firstLine="0"/>
      </w:pPr>
      <w:rPr>
        <w:rFonts w:hint="default"/>
        <w:b w:val="0"/>
      </w:rPr>
    </w:lvl>
    <w:lvl w:ilvl="5">
      <w:start w:val="1"/>
      <w:numFmt w:val="decimal"/>
      <w:suff w:val="space"/>
      <w:lvlText w:val="%6) "/>
      <w:lvlJc w:val="left"/>
      <w:pPr>
        <w:ind w:left="0" w:firstLine="0"/>
      </w:pPr>
      <w:rPr>
        <w:rFonts w:hint="default"/>
        <w:b w:val="0"/>
        <w:sz w:val="24"/>
        <w:szCs w:val="24"/>
      </w:rPr>
    </w:lvl>
    <w:lvl w:ilvl="6">
      <w:start w:val="1"/>
      <w:numFmt w:val="decimal"/>
      <w:suff w:val="space"/>
      <w:lvlText w:val="（%7）"/>
      <w:lvlJc w:val="left"/>
      <w:pPr>
        <w:ind w:left="0" w:firstLine="0"/>
      </w:pPr>
      <w:rPr>
        <w:rFonts w:hint="default"/>
        <w:b w:val="0"/>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ascii="Times New Roman" w:hAnsi="Times New Roman" w:cs="Times New Roman" w:hint="eastAsia"/>
        <w:b w:val="0"/>
        <w:bCs w:val="0"/>
        <w:i w:val="0"/>
        <w:iCs w:val="0"/>
        <w:caps w:val="0"/>
        <w:smallCaps w:val="0"/>
        <w:strike w:val="0"/>
        <w:dstrike w:val="0"/>
        <w:color w:val="000000"/>
        <w:spacing w:val="0"/>
        <w:kern w:val="0"/>
        <w:position w:val="0"/>
        <w:u w:val="none"/>
      </w:rPr>
    </w:lvl>
  </w:abstractNum>
  <w:abstractNum w:abstractNumId="6" w15:restartNumberingAfterBreak="0">
    <w:nsid w:val="1CEF3904"/>
    <w:multiLevelType w:val="multilevel"/>
    <w:tmpl w:val="1CEF3904"/>
    <w:lvl w:ilvl="0" w:tentative="1">
      <w:start w:val="1"/>
      <w:numFmt w:val="decimal"/>
      <w:pStyle w:val="MiddleTopicFirst"/>
      <w:lvlText w:val="%1"/>
      <w:lvlJc w:val="left"/>
      <w:pPr>
        <w:tabs>
          <w:tab w:val="left" w:pos="432"/>
        </w:tabs>
        <w:ind w:left="432" w:hanging="432"/>
      </w:pPr>
      <w:rPr>
        <w:rFonts w:hint="default"/>
      </w:rPr>
    </w:lvl>
    <w:lvl w:ilvl="1" w:tentative="1">
      <w:start w:val="1"/>
      <w:numFmt w:val="decimal"/>
      <w:pStyle w:val="RightTopicFirst"/>
      <w:lvlText w:val="%1.%2"/>
      <w:lvlJc w:val="left"/>
      <w:pPr>
        <w:tabs>
          <w:tab w:val="left" w:pos="576"/>
        </w:tabs>
        <w:ind w:left="576" w:hanging="576"/>
      </w:pPr>
      <w:rPr>
        <w:rFonts w:hint="default"/>
      </w:rPr>
    </w:lvl>
    <w:lvl w:ilvl="2" w:tentative="1">
      <w:start w:val="1"/>
      <w:numFmt w:val="decimal"/>
      <w:pStyle w:val="RightTopicSecond"/>
      <w:lvlText w:val="%1.%2.%3"/>
      <w:lvlJc w:val="left"/>
      <w:pPr>
        <w:tabs>
          <w:tab w:val="left" w:pos="720"/>
        </w:tabs>
        <w:ind w:left="720" w:hanging="720"/>
      </w:pPr>
      <w:rPr>
        <w:rFonts w:hint="default"/>
      </w:rPr>
    </w:lvl>
    <w:lvl w:ilvl="3" w:tentative="1">
      <w:start w:val="1"/>
      <w:numFmt w:val="decimal"/>
      <w:lvlText w:val="%1.%2.%3.%4"/>
      <w:lvlJc w:val="left"/>
      <w:pPr>
        <w:tabs>
          <w:tab w:val="left" w:pos="864"/>
        </w:tabs>
        <w:ind w:left="864" w:hanging="864"/>
      </w:pPr>
      <w:rPr>
        <w:rFonts w:hint="default"/>
      </w:rPr>
    </w:lvl>
    <w:lvl w:ilvl="4" w:tentative="1">
      <w:start w:val="1"/>
      <w:numFmt w:val="decimal"/>
      <w:lvlText w:val="%1.%2.%3.%4.%5"/>
      <w:lvlJc w:val="left"/>
      <w:pPr>
        <w:tabs>
          <w:tab w:val="left" w:pos="1008"/>
        </w:tabs>
        <w:ind w:left="1008" w:hanging="1008"/>
      </w:pPr>
      <w:rPr>
        <w:rFonts w:hint="default"/>
      </w:rPr>
    </w:lvl>
    <w:lvl w:ilvl="5" w:tentative="1">
      <w:start w:val="1"/>
      <w:numFmt w:val="decimal"/>
      <w:lvlText w:val="%1.%2.%3.%4.%5.%6"/>
      <w:lvlJc w:val="left"/>
      <w:pPr>
        <w:tabs>
          <w:tab w:val="left" w:pos="1152"/>
        </w:tabs>
        <w:ind w:left="1152" w:hanging="1152"/>
      </w:pPr>
      <w:rPr>
        <w:rFonts w:hint="default"/>
      </w:rPr>
    </w:lvl>
    <w:lvl w:ilvl="6" w:tentative="1">
      <w:start w:val="1"/>
      <w:numFmt w:val="decimal"/>
      <w:lvlText w:val="%1.%2.%3.%4.%5.%6.%7"/>
      <w:lvlJc w:val="left"/>
      <w:pPr>
        <w:tabs>
          <w:tab w:val="left" w:pos="1296"/>
        </w:tabs>
        <w:ind w:left="1296" w:hanging="1296"/>
      </w:pPr>
      <w:rPr>
        <w:rFonts w:hint="default"/>
      </w:rPr>
    </w:lvl>
    <w:lvl w:ilvl="7" w:tentative="1">
      <w:start w:val="1"/>
      <w:numFmt w:val="decimal"/>
      <w:lvlText w:val="%1.%2.%3.%4.%5.%6.%7.%8"/>
      <w:lvlJc w:val="left"/>
      <w:pPr>
        <w:tabs>
          <w:tab w:val="left" w:pos="1440"/>
        </w:tabs>
        <w:ind w:left="1440" w:hanging="1440"/>
      </w:pPr>
      <w:rPr>
        <w:rFonts w:hint="default"/>
      </w:rPr>
    </w:lvl>
    <w:lvl w:ilvl="8" w:tentative="1">
      <w:start w:val="1"/>
      <w:numFmt w:val="decimal"/>
      <w:lvlText w:val="%1.%2.%3.%4.%5.%6.%7.%8.%9"/>
      <w:lvlJc w:val="left"/>
      <w:pPr>
        <w:tabs>
          <w:tab w:val="left" w:pos="1584"/>
        </w:tabs>
        <w:ind w:left="1584" w:hanging="1584"/>
      </w:pPr>
      <w:rPr>
        <w:rFonts w:hint="default"/>
      </w:rPr>
    </w:lvl>
  </w:abstractNum>
  <w:abstractNum w:abstractNumId="7" w15:restartNumberingAfterBreak="0">
    <w:nsid w:val="32093C51"/>
    <w:multiLevelType w:val="multilevel"/>
    <w:tmpl w:val="32093C51"/>
    <w:lvl w:ilvl="0" w:tentative="1">
      <w:start w:val="1"/>
      <w:numFmt w:val="lowerLetter"/>
      <w:pStyle w:val="a0"/>
      <w:lvlText w:val="%1）"/>
      <w:lvlJc w:val="left"/>
      <w:pPr>
        <w:tabs>
          <w:tab w:val="left" w:pos="840"/>
        </w:tabs>
        <w:ind w:left="533" w:hanging="113"/>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tentative="1">
      <w:start w:val="1"/>
      <w:numFmt w:val="decimal"/>
      <w:lvlText w:val="%4."/>
      <w:lvlJc w:val="left"/>
      <w:pPr>
        <w:tabs>
          <w:tab w:val="left" w:pos="2100"/>
        </w:tabs>
        <w:ind w:left="2100" w:hanging="420"/>
      </w:pPr>
    </w:lvl>
    <w:lvl w:ilvl="4" w:tentative="1">
      <w:start w:val="1"/>
      <w:numFmt w:val="lowerLetter"/>
      <w:lvlText w:val="%5)"/>
      <w:lvlJc w:val="left"/>
      <w:pPr>
        <w:tabs>
          <w:tab w:val="left" w:pos="2520"/>
        </w:tabs>
        <w:ind w:left="2520" w:hanging="420"/>
      </w:pPr>
    </w:lvl>
    <w:lvl w:ilvl="5" w:tentative="1">
      <w:start w:val="1"/>
      <w:numFmt w:val="lowerRoman"/>
      <w:lvlText w:val="%6."/>
      <w:lvlJc w:val="right"/>
      <w:pPr>
        <w:tabs>
          <w:tab w:val="left" w:pos="2940"/>
        </w:tabs>
        <w:ind w:left="2940" w:hanging="420"/>
      </w:pPr>
    </w:lvl>
    <w:lvl w:ilvl="6" w:tentative="1">
      <w:start w:val="1"/>
      <w:numFmt w:val="decimal"/>
      <w:lvlText w:val="%7."/>
      <w:lvlJc w:val="left"/>
      <w:pPr>
        <w:tabs>
          <w:tab w:val="left" w:pos="3360"/>
        </w:tabs>
        <w:ind w:left="3360" w:hanging="420"/>
      </w:pPr>
    </w:lvl>
    <w:lvl w:ilvl="7" w:tentative="1">
      <w:start w:val="1"/>
      <w:numFmt w:val="lowerLetter"/>
      <w:lvlText w:val="%8)"/>
      <w:lvlJc w:val="left"/>
      <w:pPr>
        <w:tabs>
          <w:tab w:val="left" w:pos="3780"/>
        </w:tabs>
        <w:ind w:left="3780" w:hanging="420"/>
      </w:pPr>
    </w:lvl>
    <w:lvl w:ilvl="8" w:tentative="1">
      <w:start w:val="1"/>
      <w:numFmt w:val="lowerRoman"/>
      <w:lvlText w:val="%9."/>
      <w:lvlJc w:val="right"/>
      <w:pPr>
        <w:tabs>
          <w:tab w:val="left" w:pos="4200"/>
        </w:tabs>
        <w:ind w:left="4200" w:hanging="420"/>
      </w:pPr>
    </w:lvl>
  </w:abstractNum>
  <w:abstractNum w:abstractNumId="8" w15:restartNumberingAfterBreak="0">
    <w:nsid w:val="339B6C28"/>
    <w:multiLevelType w:val="multilevel"/>
    <w:tmpl w:val="339B6C28"/>
    <w:lvl w:ilvl="0">
      <w:start w:val="1"/>
      <w:numFmt w:val="bullet"/>
      <w:pStyle w:val="10"/>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34804EC4"/>
    <w:multiLevelType w:val="singleLevel"/>
    <w:tmpl w:val="34804EC4"/>
    <w:lvl w:ilvl="0">
      <w:start w:val="1"/>
      <w:numFmt w:val="bullet"/>
      <w:pStyle w:val="FirstPoint"/>
      <w:lvlText w:val=""/>
      <w:lvlJc w:val="left"/>
      <w:pPr>
        <w:tabs>
          <w:tab w:val="left" w:pos="360"/>
        </w:tabs>
        <w:ind w:left="360" w:hanging="360"/>
      </w:pPr>
      <w:rPr>
        <w:rFonts w:ascii="Symbol" w:hAnsi="Symbol" w:hint="default"/>
      </w:rPr>
    </w:lvl>
  </w:abstractNum>
  <w:abstractNum w:abstractNumId="10" w15:restartNumberingAfterBreak="0">
    <w:nsid w:val="3FAD1B5C"/>
    <w:multiLevelType w:val="multilevel"/>
    <w:tmpl w:val="6F58E1BE"/>
    <w:lvl w:ilvl="0">
      <w:start w:val="1"/>
      <w:numFmt w:val="decimal"/>
      <w:pStyle w:val="12"/>
      <w:isLgl/>
      <w:suff w:val="space"/>
      <w:lvlText w:val="%1"/>
      <w:lvlJc w:val="left"/>
      <w:pPr>
        <w:ind w:left="0" w:firstLine="0"/>
      </w:pPr>
      <w:rPr>
        <w:rFonts w:ascii="Times New Roman" w:hAnsi="Times New Roman" w:hint="default"/>
        <w:b/>
        <w:i w:val="0"/>
        <w:sz w:val="30"/>
      </w:rPr>
    </w:lvl>
    <w:lvl w:ilvl="1">
      <w:numFmt w:val="decimal"/>
      <w:pStyle w:val="2"/>
      <w:isLgl/>
      <w:suff w:val="space"/>
      <w:lvlText w:val="%1.%2"/>
      <w:lvlJc w:val="left"/>
      <w:pPr>
        <w:ind w:left="3403" w:firstLine="0"/>
      </w:pPr>
      <w:rPr>
        <w:rFonts w:ascii="Times New Roman" w:hAnsi="Times New Roman" w:hint="default"/>
        <w:b/>
        <w:i w:val="0"/>
        <w:sz w:val="28"/>
        <w:shd w:val="clear" w:color="auto" w:fill="auto"/>
      </w:rPr>
    </w:lvl>
    <w:lvl w:ilvl="2">
      <w:start w:val="1"/>
      <w:numFmt w:val="decimal"/>
      <w:pStyle w:val="30"/>
      <w:isLgl/>
      <w:suff w:val="space"/>
      <w:lvlText w:val="%1.%2.%3"/>
      <w:lvlJc w:val="left"/>
      <w:rPr>
        <w:rFonts w:ascii="Times New Roman" w:hAnsi="Times New Roman"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isLgl/>
      <w:suff w:val="space"/>
      <w:lvlText w:val="%4"/>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isLgl/>
      <w:suff w:val="space"/>
      <w:lvlText w:val="%5）"/>
      <w:lvlJc w:val="left"/>
      <w:pPr>
        <w:ind w:left="0" w:firstLine="0"/>
      </w:pPr>
      <w:rPr>
        <w:rFonts w:ascii="Times New Roman" w:hAnsi="Times New Roman" w:hint="default"/>
        <w:b/>
        <w:i w:val="0"/>
        <w:sz w:val="24"/>
      </w:rPr>
    </w:lvl>
    <w:lvl w:ilvl="5">
      <w:start w:val="1"/>
      <w:numFmt w:val="decimal"/>
      <w:isLgl/>
      <w:suff w:val="space"/>
      <w:lvlText w:val="表%1.%2.%3-1"/>
      <w:lvlJc w:val="left"/>
      <w:pPr>
        <w:ind w:left="1560" w:firstLine="0"/>
      </w:pPr>
      <w:rPr>
        <w:rFonts w:ascii="Times New Roman" w:hAnsi="Times New Roman" w:hint="default"/>
        <w:b w:val="0"/>
        <w:i w:val="0"/>
        <w:sz w:val="22"/>
        <w:lang w:val="en-US"/>
      </w:rPr>
    </w:lvl>
    <w:lvl w:ilvl="6">
      <w:start w:val="1"/>
      <w:numFmt w:val="none"/>
      <w:lvlText w:val=""/>
      <w:lvlJc w:val="left"/>
      <w:pPr>
        <w:ind w:left="1276" w:hanging="1276"/>
      </w:pPr>
      <w:rPr>
        <w:rFonts w:hint="eastAsia"/>
      </w:rPr>
    </w:lvl>
    <w:lvl w:ilvl="7">
      <w:start w:val="1"/>
      <w:numFmt w:val="none"/>
      <w:lvlText w:val=""/>
      <w:lvlJc w:val="left"/>
      <w:pPr>
        <w:ind w:left="1418" w:hanging="1418"/>
      </w:pPr>
      <w:rPr>
        <w:rFonts w:hint="eastAsia"/>
      </w:rPr>
    </w:lvl>
    <w:lvl w:ilvl="8">
      <w:start w:val="1"/>
      <w:numFmt w:val="none"/>
      <w:lvlText w:val=""/>
      <w:lvlJc w:val="left"/>
      <w:pPr>
        <w:ind w:left="1559" w:hanging="1559"/>
      </w:pPr>
      <w:rPr>
        <w:rFonts w:hint="eastAsia"/>
      </w:rPr>
    </w:lvl>
  </w:abstractNum>
  <w:abstractNum w:abstractNumId="11" w15:restartNumberingAfterBreak="0">
    <w:nsid w:val="452274C7"/>
    <w:multiLevelType w:val="multilevel"/>
    <w:tmpl w:val="452274C7"/>
    <w:lvl w:ilvl="0" w:tentative="1">
      <w:start w:val="26"/>
      <w:numFmt w:val="decimal"/>
      <w:suff w:val="nothing"/>
      <w:lvlText w:val="%1　"/>
      <w:lvlJc w:val="center"/>
      <w:pPr>
        <w:ind w:left="0" w:firstLine="288"/>
      </w:pPr>
      <w:rPr>
        <w:rFonts w:ascii="黑体" w:eastAsia="黑体" w:hint="eastAsia"/>
        <w:sz w:val="44"/>
      </w:rPr>
    </w:lvl>
    <w:lvl w:ilvl="1" w:tentative="1">
      <w:start w:val="1"/>
      <w:numFmt w:val="decimal"/>
      <w:pStyle w:val="0"/>
      <w:suff w:val="nothing"/>
      <w:lvlText w:val="%1.%2"/>
      <w:lvlJc w:val="left"/>
      <w:pPr>
        <w:ind w:left="3240" w:firstLine="0"/>
      </w:pPr>
      <w:rPr>
        <w:rFonts w:ascii="Times New Roman" w:eastAsia="黑体" w:hAnsi="Times New Roman" w:cs="Times New Roman" w:hint="default"/>
        <w:sz w:val="28"/>
        <w:szCs w:val="21"/>
      </w:rPr>
    </w:lvl>
    <w:lvl w:ilvl="2" w:tentative="1">
      <w:start w:val="1"/>
      <w:numFmt w:val="decimal"/>
      <w:pStyle w:val="13"/>
      <w:suff w:val="nothing"/>
      <w:lvlText w:val="%1.%2.%3　"/>
      <w:lvlJc w:val="left"/>
      <w:pPr>
        <w:ind w:left="710" w:firstLine="0"/>
      </w:pPr>
      <w:rPr>
        <w:rFonts w:ascii="Times New Roman" w:eastAsia="黑体" w:hAnsi="Times New Roman" w:cs="Times New Roman" w:hint="default"/>
        <w:b w:val="0"/>
        <w:sz w:val="24"/>
        <w:szCs w:val="24"/>
      </w:rPr>
    </w:lvl>
    <w:lvl w:ilvl="3" w:tentative="1">
      <w:start w:val="1"/>
      <w:numFmt w:val="decimal"/>
      <w:pStyle w:val="20"/>
      <w:suff w:val="nothing"/>
      <w:lvlText w:val="%1.%2.%3.%4　"/>
      <w:lvlJc w:val="left"/>
      <w:pPr>
        <w:ind w:left="0" w:firstLine="0"/>
      </w:pPr>
      <w:rPr>
        <w:rFonts w:ascii="黑体" w:eastAsia="黑体" w:hint="eastAsia"/>
        <w:color w:val="000000"/>
      </w:rPr>
    </w:lvl>
    <w:lvl w:ilvl="4" w:tentative="1">
      <w:start w:val="1"/>
      <w:numFmt w:val="decimal"/>
      <w:pStyle w:val="31"/>
      <w:suff w:val="nothing"/>
      <w:lvlText w:val="%1.%2.%3.%4.%5　"/>
      <w:lvlJc w:val="left"/>
      <w:pPr>
        <w:ind w:left="0" w:firstLine="0"/>
      </w:pPr>
      <w:rPr>
        <w:rFonts w:ascii="黑体" w:eastAsia="黑体" w:hint="eastAsia"/>
      </w:rPr>
    </w:lvl>
    <w:lvl w:ilvl="5" w:tentative="1">
      <w:start w:val="1"/>
      <w:numFmt w:val="decimal"/>
      <w:pStyle w:val="40"/>
      <w:suff w:val="nothing"/>
      <w:lvlText w:val="%1.%2.%3.%4.%5.%6　"/>
      <w:lvlJc w:val="left"/>
      <w:pPr>
        <w:ind w:left="0" w:firstLine="0"/>
      </w:pPr>
      <w:rPr>
        <w:rFonts w:ascii="黑体" w:eastAsia="黑体" w:hint="eastAsia"/>
      </w:rPr>
    </w:lvl>
    <w:lvl w:ilvl="6" w:tentative="1">
      <w:start w:val="1"/>
      <w:numFmt w:val="decimal"/>
      <w:lvlRestart w:val="0"/>
      <w:suff w:val="nothing"/>
      <w:lvlText w:val="表%7　"/>
      <w:lvlJc w:val="left"/>
      <w:pPr>
        <w:ind w:left="0" w:firstLine="0"/>
      </w:pPr>
      <w:rPr>
        <w:rFonts w:ascii="黑体" w:eastAsia="黑体" w:hint="eastAsia"/>
      </w:rPr>
    </w:lvl>
    <w:lvl w:ilvl="7" w:tentative="1">
      <w:start w:val="1"/>
      <w:numFmt w:val="decimal"/>
      <w:lvlRestart w:val="0"/>
      <w:pStyle w:val="a1"/>
      <w:suff w:val="nothing"/>
      <w:lvlText w:val="图%8　"/>
      <w:lvlJc w:val="left"/>
      <w:pPr>
        <w:ind w:left="0" w:firstLine="0"/>
      </w:pPr>
      <w:rPr>
        <w:rFonts w:ascii="黑体" w:eastAsia="黑体" w:hint="eastAsia"/>
      </w:rPr>
    </w:lvl>
    <w:lvl w:ilvl="8" w:tentative="1">
      <w:start w:val="1"/>
      <w:numFmt w:val="decimal"/>
      <w:lvlText w:val="%1.%2.%3.%4.%5.%6.%7.%8.%9"/>
      <w:lvlJc w:val="left"/>
      <w:pPr>
        <w:tabs>
          <w:tab w:val="left" w:pos="1584"/>
        </w:tabs>
        <w:ind w:left="1584" w:hanging="1584"/>
      </w:pPr>
      <w:rPr>
        <w:rFonts w:hint="eastAsia"/>
      </w:rPr>
    </w:lvl>
  </w:abstractNum>
  <w:abstractNum w:abstractNumId="12" w15:restartNumberingAfterBreak="0">
    <w:nsid w:val="482A3445"/>
    <w:multiLevelType w:val="multilevel"/>
    <w:tmpl w:val="482A3445"/>
    <w:lvl w:ilvl="0" w:tentative="1">
      <w:start w:val="1"/>
      <w:numFmt w:val="bullet"/>
      <w:pStyle w:val="14"/>
      <w:lvlText w:val=""/>
      <w:lvlJc w:val="left"/>
      <w:pPr>
        <w:tabs>
          <w:tab w:val="left" w:pos="1134"/>
        </w:tabs>
        <w:ind w:left="1134" w:hanging="567"/>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3" w15:restartNumberingAfterBreak="0">
    <w:nsid w:val="49310F0C"/>
    <w:multiLevelType w:val="multilevel"/>
    <w:tmpl w:val="49310F0C"/>
    <w:lvl w:ilvl="0">
      <w:start w:val="1"/>
      <w:numFmt w:val="bullet"/>
      <w:pStyle w:val="15"/>
      <w:lvlText w:val=""/>
      <w:lvlJc w:val="left"/>
      <w:pPr>
        <w:tabs>
          <w:tab w:val="left" w:pos="851"/>
        </w:tabs>
        <w:ind w:left="851" w:hanging="368"/>
      </w:pPr>
      <w:rPr>
        <w:rFonts w:ascii="Wingdings" w:hAnsi="Wingdings" w:hint="default"/>
      </w:rPr>
    </w:lvl>
    <w:lvl w:ilvl="1">
      <w:start w:val="1"/>
      <w:numFmt w:val="bullet"/>
      <w:lvlText w:val=""/>
      <w:lvlJc w:val="left"/>
      <w:pPr>
        <w:tabs>
          <w:tab w:val="left" w:pos="2129"/>
        </w:tabs>
        <w:ind w:left="2129" w:hanging="420"/>
      </w:pPr>
      <w:rPr>
        <w:rFonts w:ascii="Wingdings" w:hAnsi="Wingdings" w:hint="default"/>
      </w:rPr>
    </w:lvl>
    <w:lvl w:ilvl="2">
      <w:start w:val="1"/>
      <w:numFmt w:val="bullet"/>
      <w:lvlText w:val=""/>
      <w:lvlJc w:val="left"/>
      <w:pPr>
        <w:tabs>
          <w:tab w:val="left" w:pos="2549"/>
        </w:tabs>
        <w:ind w:left="2549" w:hanging="420"/>
      </w:pPr>
      <w:rPr>
        <w:rFonts w:ascii="Wingdings" w:hAnsi="Wingdings" w:hint="default"/>
      </w:rPr>
    </w:lvl>
    <w:lvl w:ilvl="3">
      <w:start w:val="1"/>
      <w:numFmt w:val="bullet"/>
      <w:lvlText w:val=""/>
      <w:lvlJc w:val="left"/>
      <w:pPr>
        <w:tabs>
          <w:tab w:val="left" w:pos="2969"/>
        </w:tabs>
        <w:ind w:left="2969" w:hanging="420"/>
      </w:pPr>
      <w:rPr>
        <w:rFonts w:ascii="Wingdings" w:hAnsi="Wingdings" w:hint="default"/>
      </w:rPr>
    </w:lvl>
    <w:lvl w:ilvl="4">
      <w:start w:val="1"/>
      <w:numFmt w:val="bullet"/>
      <w:lvlText w:val=""/>
      <w:lvlJc w:val="left"/>
      <w:pPr>
        <w:tabs>
          <w:tab w:val="left" w:pos="3389"/>
        </w:tabs>
        <w:ind w:left="3389" w:hanging="420"/>
      </w:pPr>
      <w:rPr>
        <w:rFonts w:ascii="Wingdings" w:hAnsi="Wingdings" w:hint="default"/>
      </w:rPr>
    </w:lvl>
    <w:lvl w:ilvl="5">
      <w:start w:val="1"/>
      <w:numFmt w:val="bullet"/>
      <w:lvlText w:val=""/>
      <w:lvlJc w:val="left"/>
      <w:pPr>
        <w:tabs>
          <w:tab w:val="left" w:pos="3809"/>
        </w:tabs>
        <w:ind w:left="3809" w:hanging="420"/>
      </w:pPr>
      <w:rPr>
        <w:rFonts w:ascii="Wingdings" w:hAnsi="Wingdings" w:hint="default"/>
      </w:rPr>
    </w:lvl>
    <w:lvl w:ilvl="6">
      <w:start w:val="1"/>
      <w:numFmt w:val="bullet"/>
      <w:lvlText w:val=""/>
      <w:lvlJc w:val="left"/>
      <w:pPr>
        <w:tabs>
          <w:tab w:val="left" w:pos="4229"/>
        </w:tabs>
        <w:ind w:left="4229" w:hanging="420"/>
      </w:pPr>
      <w:rPr>
        <w:rFonts w:ascii="Wingdings" w:hAnsi="Wingdings" w:hint="default"/>
      </w:rPr>
    </w:lvl>
    <w:lvl w:ilvl="7">
      <w:start w:val="1"/>
      <w:numFmt w:val="bullet"/>
      <w:lvlText w:val=""/>
      <w:lvlJc w:val="left"/>
      <w:pPr>
        <w:tabs>
          <w:tab w:val="left" w:pos="4649"/>
        </w:tabs>
        <w:ind w:left="4649" w:hanging="420"/>
      </w:pPr>
      <w:rPr>
        <w:rFonts w:ascii="Wingdings" w:hAnsi="Wingdings" w:hint="default"/>
      </w:rPr>
    </w:lvl>
    <w:lvl w:ilvl="8">
      <w:start w:val="1"/>
      <w:numFmt w:val="bullet"/>
      <w:lvlText w:val=""/>
      <w:lvlJc w:val="left"/>
      <w:pPr>
        <w:tabs>
          <w:tab w:val="left" w:pos="5069"/>
        </w:tabs>
        <w:ind w:left="5069" w:hanging="420"/>
      </w:pPr>
      <w:rPr>
        <w:rFonts w:ascii="Wingdings" w:hAnsi="Wingdings" w:hint="default"/>
      </w:rPr>
    </w:lvl>
  </w:abstractNum>
  <w:abstractNum w:abstractNumId="14" w15:restartNumberingAfterBreak="0">
    <w:nsid w:val="52BB17D6"/>
    <w:multiLevelType w:val="multilevel"/>
    <w:tmpl w:val="52BB17D6"/>
    <w:lvl w:ilvl="0">
      <w:start w:val="1"/>
      <w:numFmt w:val="decimal"/>
      <w:suff w:val="space"/>
      <w:lvlText w:val="%1"/>
      <w:lvlJc w:val="left"/>
      <w:pPr>
        <w:ind w:left="0" w:firstLine="0"/>
      </w:pPr>
      <w:rPr>
        <w:rFonts w:ascii="Times New Roman" w:hAnsi="Times New Roman" w:hint="default"/>
        <w:b/>
        <w:i w:val="0"/>
        <w:sz w:val="30"/>
      </w:rPr>
    </w:lvl>
    <w:lvl w:ilvl="1">
      <w:numFmt w:val="decimal"/>
      <w:pStyle w:val="32"/>
      <w:suff w:val="space"/>
      <w:lvlText w:val="%1.%2"/>
      <w:lvlJc w:val="left"/>
      <w:pPr>
        <w:ind w:left="0" w:firstLine="0"/>
      </w:pPr>
      <w:rPr>
        <w:rFonts w:ascii="Times New Roman" w:hAnsi="Times New Roman" w:hint="default"/>
        <w:b/>
        <w:i w:val="0"/>
        <w:sz w:val="28"/>
      </w:rPr>
    </w:lvl>
    <w:lvl w:ilvl="2">
      <w:start w:val="1"/>
      <w:numFmt w:val="decimal"/>
      <w:suff w:val="space"/>
      <w:lvlText w:val="%1.%2.%3"/>
      <w:lvlJc w:val="left"/>
      <w:pPr>
        <w:ind w:left="0" w:firstLine="0"/>
      </w:pPr>
      <w:rPr>
        <w:rFonts w:ascii="Times New Roman" w:hAnsi="Times New Roman" w:hint="default"/>
        <w:b/>
        <w:i w:val="0"/>
        <w:sz w:val="24"/>
      </w:rPr>
    </w:lvl>
    <w:lvl w:ilvl="3">
      <w:start w:val="1"/>
      <w:numFmt w:val="decimal"/>
      <w:suff w:val="space"/>
      <w:lvlText w:val="%4"/>
      <w:lvlJc w:val="left"/>
      <w:pPr>
        <w:ind w:left="0" w:firstLine="0"/>
      </w:pPr>
      <w:rPr>
        <w:rFonts w:ascii="Times New Roman" w:hAnsi="Times New Roman" w:hint="default"/>
        <w:b/>
        <w:i w:val="0"/>
        <w:sz w:val="24"/>
      </w:rPr>
    </w:lvl>
    <w:lvl w:ilvl="4">
      <w:start w:val="1"/>
      <w:numFmt w:val="decimal"/>
      <w:suff w:val="space"/>
      <w:lvlText w:val="%5）"/>
      <w:lvlJc w:val="left"/>
      <w:pPr>
        <w:ind w:left="0" w:firstLine="0"/>
      </w:pPr>
      <w:rPr>
        <w:rFonts w:ascii="Times New Roman" w:hAnsi="Times New Roman" w:hint="default"/>
        <w:b/>
        <w:i w:val="0"/>
        <w:sz w:val="24"/>
      </w:rPr>
    </w:lvl>
    <w:lvl w:ilvl="5">
      <w:start w:val="1"/>
      <w:numFmt w:val="decimal"/>
      <w:suff w:val="space"/>
      <w:lvlText w:val="%1.%2.%3-%6"/>
      <w:lvlJc w:val="left"/>
      <w:pPr>
        <w:ind w:left="0" w:firstLine="0"/>
      </w:pPr>
      <w:rPr>
        <w:rFonts w:ascii="Times New Roman" w:hAnsi="Times New Roman" w:hint="default"/>
        <w:b w:val="0"/>
        <w:i w:val="0"/>
        <w:sz w:val="22"/>
      </w:rPr>
    </w:lvl>
    <w:lvl w:ilvl="6">
      <w:start w:val="1"/>
      <w:numFmt w:val="none"/>
      <w:lvlText w:val=""/>
      <w:lvlJc w:val="left"/>
      <w:pPr>
        <w:ind w:left="1276" w:hanging="1276"/>
      </w:pPr>
      <w:rPr>
        <w:rFonts w:hint="eastAsia"/>
      </w:rPr>
    </w:lvl>
    <w:lvl w:ilvl="7">
      <w:start w:val="1"/>
      <w:numFmt w:val="none"/>
      <w:lvlText w:val=""/>
      <w:lvlJc w:val="left"/>
      <w:pPr>
        <w:ind w:left="1418" w:hanging="1418"/>
      </w:pPr>
      <w:rPr>
        <w:rFonts w:hint="eastAsia"/>
      </w:rPr>
    </w:lvl>
    <w:lvl w:ilvl="8">
      <w:start w:val="1"/>
      <w:numFmt w:val="none"/>
      <w:lvlText w:val=""/>
      <w:lvlJc w:val="left"/>
      <w:pPr>
        <w:ind w:left="1559" w:hanging="1559"/>
      </w:pPr>
      <w:rPr>
        <w:rFonts w:hint="eastAsia"/>
      </w:rPr>
    </w:lvl>
  </w:abstractNum>
  <w:abstractNum w:abstractNumId="15" w15:restartNumberingAfterBreak="0">
    <w:nsid w:val="57080C17"/>
    <w:multiLevelType w:val="multilevel"/>
    <w:tmpl w:val="57080C17"/>
    <w:lvl w:ilvl="0">
      <w:start w:val="1"/>
      <w:numFmt w:val="decimal"/>
      <w:pStyle w:val="16"/>
      <w:lvlText w:val="%1."/>
      <w:lvlJc w:val="left"/>
      <w:pPr>
        <w:ind w:left="425" w:hanging="425"/>
      </w:pPr>
    </w:lvl>
    <w:lvl w:ilvl="1">
      <w:start w:val="1"/>
      <w:numFmt w:val="decimal"/>
      <w:pStyle w:val="21"/>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63B4498C"/>
    <w:multiLevelType w:val="multilevel"/>
    <w:tmpl w:val="63B4498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pStyle w:val="a2"/>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42830D2"/>
    <w:multiLevelType w:val="singleLevel"/>
    <w:tmpl w:val="642830D2"/>
    <w:lvl w:ilvl="0">
      <w:start w:val="1"/>
      <w:numFmt w:val="decimal"/>
      <w:pStyle w:val="41"/>
      <w:lvlText w:val="%1)"/>
      <w:lvlJc w:val="left"/>
      <w:pPr>
        <w:tabs>
          <w:tab w:val="left" w:pos="0"/>
        </w:tabs>
        <w:ind w:left="227" w:hanging="227"/>
      </w:pPr>
      <w:rPr>
        <w:rFonts w:hint="eastAsia"/>
        <w:lang w:eastAsia="zh-CN"/>
      </w:rPr>
    </w:lvl>
  </w:abstractNum>
  <w:abstractNum w:abstractNumId="18" w15:restartNumberingAfterBreak="0">
    <w:nsid w:val="64C823AE"/>
    <w:multiLevelType w:val="singleLevel"/>
    <w:tmpl w:val="64C823AE"/>
    <w:lvl w:ilvl="0">
      <w:start w:val="1"/>
      <w:numFmt w:val="lowerLetter"/>
      <w:pStyle w:val="a3"/>
      <w:lvlText w:val="%1)"/>
      <w:lvlJc w:val="left"/>
      <w:pPr>
        <w:tabs>
          <w:tab w:val="left" w:pos="425"/>
        </w:tabs>
        <w:ind w:left="425" w:hanging="425"/>
      </w:pPr>
      <w:rPr>
        <w:rFonts w:hint="eastAsia"/>
      </w:rPr>
    </w:lvl>
  </w:abstractNum>
  <w:abstractNum w:abstractNumId="19" w15:restartNumberingAfterBreak="0">
    <w:nsid w:val="6CEA2025"/>
    <w:multiLevelType w:val="multilevel"/>
    <w:tmpl w:val="6CEA2025"/>
    <w:lvl w:ilvl="0" w:tentative="1">
      <w:start w:val="1"/>
      <w:numFmt w:val="none"/>
      <w:pStyle w:val="a4"/>
      <w:suff w:val="nothing"/>
      <w:lvlText w:val="%1"/>
      <w:lvlJc w:val="left"/>
      <w:pPr>
        <w:ind w:left="0" w:firstLine="0"/>
      </w:pPr>
      <w:rPr>
        <w:rFonts w:ascii="Times New Roman" w:hAnsi="Times New Roman" w:hint="default"/>
        <w:b/>
        <w:i w:val="0"/>
        <w:sz w:val="21"/>
      </w:rPr>
    </w:lvl>
    <w:lvl w:ilvl="1" w:tentative="1">
      <w:start w:val="1"/>
      <w:numFmt w:val="decimal"/>
      <w:pStyle w:val="a5"/>
      <w:suff w:val="nothing"/>
      <w:lvlText w:val="%1%2　"/>
      <w:lvlJc w:val="left"/>
      <w:pPr>
        <w:ind w:left="0" w:firstLine="0"/>
      </w:pPr>
      <w:rPr>
        <w:rFonts w:ascii="黑体" w:eastAsia="黑体" w:hAnsi="Times New Roman" w:hint="eastAsia"/>
        <w:b w:val="0"/>
        <w:i w:val="0"/>
        <w:sz w:val="21"/>
      </w:rPr>
    </w:lvl>
    <w:lvl w:ilvl="2" w:tentative="1">
      <w:start w:val="1"/>
      <w:numFmt w:val="decimal"/>
      <w:pStyle w:val="a6"/>
      <w:suff w:val="nothing"/>
      <w:lvlText w:val="%1%2.%3　"/>
      <w:lvlJc w:val="left"/>
      <w:pPr>
        <w:ind w:left="2520" w:firstLine="0"/>
      </w:pPr>
      <w:rPr>
        <w:rFonts w:ascii="黑体" w:eastAsia="黑体" w:hAnsi="Times New Roman" w:hint="eastAsia"/>
        <w:b w:val="0"/>
        <w:i w:val="0"/>
        <w:sz w:val="21"/>
      </w:rPr>
    </w:lvl>
    <w:lvl w:ilvl="3" w:tentative="1">
      <w:start w:val="1"/>
      <w:numFmt w:val="decimal"/>
      <w:pStyle w:val="a7"/>
      <w:suff w:val="nothing"/>
      <w:lvlText w:val="%1%2.%3.%4　"/>
      <w:lvlJc w:val="left"/>
      <w:pPr>
        <w:ind w:left="0" w:firstLine="0"/>
      </w:pPr>
      <w:rPr>
        <w:rFonts w:ascii="黑体" w:eastAsia="黑体" w:hAnsi="Times New Roman" w:hint="eastAsia"/>
        <w:b w:val="0"/>
        <w:i w:val="0"/>
        <w:sz w:val="21"/>
      </w:rPr>
    </w:lvl>
    <w:lvl w:ilvl="4" w:tentative="1">
      <w:start w:val="1"/>
      <w:numFmt w:val="decimal"/>
      <w:pStyle w:val="a8"/>
      <w:suff w:val="nothing"/>
      <w:lvlText w:val="%1%2.%3.%4.%5　"/>
      <w:lvlJc w:val="left"/>
      <w:pPr>
        <w:ind w:left="0" w:firstLine="0"/>
      </w:pPr>
      <w:rPr>
        <w:rFonts w:ascii="黑体" w:eastAsia="黑体" w:hAnsi="Times New Roman" w:hint="eastAsia"/>
        <w:b w:val="0"/>
        <w:i w:val="0"/>
        <w:sz w:val="21"/>
      </w:rPr>
    </w:lvl>
    <w:lvl w:ilvl="5" w:tentative="1">
      <w:start w:val="1"/>
      <w:numFmt w:val="decimal"/>
      <w:pStyle w:val="a9"/>
      <w:suff w:val="nothing"/>
      <w:lvlText w:val="%1%2.%3.%4.%5.%6　"/>
      <w:lvlJc w:val="left"/>
      <w:pPr>
        <w:ind w:left="0" w:firstLine="0"/>
      </w:pPr>
      <w:rPr>
        <w:rFonts w:ascii="黑体" w:eastAsia="黑体" w:hAnsi="Times New Roman" w:hint="eastAsia"/>
        <w:b w:val="0"/>
        <w:i w:val="0"/>
        <w:sz w:val="21"/>
      </w:rPr>
    </w:lvl>
    <w:lvl w:ilvl="6" w:tentative="1">
      <w:start w:val="1"/>
      <w:numFmt w:val="decimal"/>
      <w:pStyle w:val="aa"/>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20" w15:restartNumberingAfterBreak="0">
    <w:nsid w:val="76933334"/>
    <w:multiLevelType w:val="multilevel"/>
    <w:tmpl w:val="76933334"/>
    <w:lvl w:ilvl="0" w:tentative="1">
      <w:start w:val="1"/>
      <w:numFmt w:val="none"/>
      <w:pStyle w:val="ab"/>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10"/>
  </w:num>
  <w:num w:numId="2">
    <w:abstractNumId w:val="15"/>
  </w:num>
  <w:num w:numId="3">
    <w:abstractNumId w:val="14"/>
  </w:num>
  <w:num w:numId="4">
    <w:abstractNumId w:val="16"/>
  </w:num>
  <w:num w:numId="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9"/>
  </w:num>
  <w:num w:numId="9">
    <w:abstractNumId w:val="11"/>
  </w:num>
  <w:num w:numId="10">
    <w:abstractNumId w:val="6"/>
  </w:num>
  <w:num w:numId="11">
    <w:abstractNumId w:val="4"/>
  </w:num>
  <w:num w:numId="12">
    <w:abstractNumId w:val="18"/>
  </w:num>
  <w:num w:numId="13">
    <w:abstractNumId w:val="12"/>
  </w:num>
  <w:num w:numId="14">
    <w:abstractNumId w:val="17"/>
  </w:num>
  <w:num w:numId="15">
    <w:abstractNumId w:val="9"/>
  </w:num>
  <w:num w:numId="16">
    <w:abstractNumId w:val="7"/>
  </w:num>
  <w:num w:numId="17">
    <w:abstractNumId w:val="20"/>
  </w:num>
  <w:num w:numId="18">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3"/>
  </w:num>
  <w:num w:numId="27">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1"/>
  </w:num>
  <w:num w:numId="47">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1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stylePaneFormatFilter w:val="1C08" w:allStyles="0" w:customStyles="0" w:latentStyles="0" w:stylesInUse="1" w:headingStyles="0" w:numberingStyles="0" w:tableStyles="0" w:directFormattingOnRuns="0" w:directFormattingOnParagraphs="0" w:directFormattingOnNumbering="1" w:directFormattingOnTables="1" w:clearFormatting="1" w:top3HeadingStyles="0" w:visibleStyles="0" w:alternateStyleNames="0"/>
  <w:stylePaneSortMethod w:val="0000"/>
  <w:documentProtection w:formatting="1" w:enforcement="0"/>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A77F0899"/>
    <w:rsid w:val="AFDF83BF"/>
    <w:rsid w:val="B5BF798F"/>
    <w:rsid w:val="BBEFE85E"/>
    <w:rsid w:val="C2DF58BC"/>
    <w:rsid w:val="CFAF8734"/>
    <w:rsid w:val="DDBFC3AA"/>
    <w:rsid w:val="E67DF2C3"/>
    <w:rsid w:val="FE7728E1"/>
    <w:rsid w:val="00000DA3"/>
    <w:rsid w:val="00002060"/>
    <w:rsid w:val="00004012"/>
    <w:rsid w:val="00004B22"/>
    <w:rsid w:val="00004C05"/>
    <w:rsid w:val="00010C49"/>
    <w:rsid w:val="00010CF8"/>
    <w:rsid w:val="00010D80"/>
    <w:rsid w:val="0001193D"/>
    <w:rsid w:val="00011A28"/>
    <w:rsid w:val="0001294E"/>
    <w:rsid w:val="00012D92"/>
    <w:rsid w:val="00013F49"/>
    <w:rsid w:val="000148F2"/>
    <w:rsid w:val="000159FA"/>
    <w:rsid w:val="0001633B"/>
    <w:rsid w:val="00016C57"/>
    <w:rsid w:val="00020002"/>
    <w:rsid w:val="00020311"/>
    <w:rsid w:val="000228CF"/>
    <w:rsid w:val="00026AB5"/>
    <w:rsid w:val="0002795C"/>
    <w:rsid w:val="00032A87"/>
    <w:rsid w:val="00033345"/>
    <w:rsid w:val="00033C93"/>
    <w:rsid w:val="00033DFE"/>
    <w:rsid w:val="00034943"/>
    <w:rsid w:val="00040FDD"/>
    <w:rsid w:val="000415C5"/>
    <w:rsid w:val="000419BE"/>
    <w:rsid w:val="00042592"/>
    <w:rsid w:val="0004408A"/>
    <w:rsid w:val="0004523E"/>
    <w:rsid w:val="0004569D"/>
    <w:rsid w:val="00046A3F"/>
    <w:rsid w:val="00046FF6"/>
    <w:rsid w:val="000506D1"/>
    <w:rsid w:val="00051897"/>
    <w:rsid w:val="00051E12"/>
    <w:rsid w:val="00052FB0"/>
    <w:rsid w:val="000536D5"/>
    <w:rsid w:val="000554E7"/>
    <w:rsid w:val="00055E99"/>
    <w:rsid w:val="0005619B"/>
    <w:rsid w:val="000571B7"/>
    <w:rsid w:val="000577BD"/>
    <w:rsid w:val="00060B1B"/>
    <w:rsid w:val="00060ED8"/>
    <w:rsid w:val="00062174"/>
    <w:rsid w:val="0006491D"/>
    <w:rsid w:val="00064E5D"/>
    <w:rsid w:val="00071866"/>
    <w:rsid w:val="00073A93"/>
    <w:rsid w:val="000770B7"/>
    <w:rsid w:val="0007712C"/>
    <w:rsid w:val="00077467"/>
    <w:rsid w:val="000813AD"/>
    <w:rsid w:val="00081808"/>
    <w:rsid w:val="00081EE8"/>
    <w:rsid w:val="000831EC"/>
    <w:rsid w:val="00083D65"/>
    <w:rsid w:val="00084FC0"/>
    <w:rsid w:val="000852D2"/>
    <w:rsid w:val="00085AB4"/>
    <w:rsid w:val="0008681D"/>
    <w:rsid w:val="0008713C"/>
    <w:rsid w:val="000872C1"/>
    <w:rsid w:val="00090395"/>
    <w:rsid w:val="00090C18"/>
    <w:rsid w:val="00091299"/>
    <w:rsid w:val="00092DE9"/>
    <w:rsid w:val="00093B94"/>
    <w:rsid w:val="000949C5"/>
    <w:rsid w:val="00096021"/>
    <w:rsid w:val="00096240"/>
    <w:rsid w:val="0009774C"/>
    <w:rsid w:val="000A0D41"/>
    <w:rsid w:val="000A143B"/>
    <w:rsid w:val="000A2ACC"/>
    <w:rsid w:val="000A2B94"/>
    <w:rsid w:val="000A4058"/>
    <w:rsid w:val="000A5B7F"/>
    <w:rsid w:val="000A77EF"/>
    <w:rsid w:val="000A789F"/>
    <w:rsid w:val="000B032B"/>
    <w:rsid w:val="000B2A9C"/>
    <w:rsid w:val="000B2FD7"/>
    <w:rsid w:val="000B30CD"/>
    <w:rsid w:val="000B45C8"/>
    <w:rsid w:val="000B6613"/>
    <w:rsid w:val="000C34BB"/>
    <w:rsid w:val="000C415B"/>
    <w:rsid w:val="000C7C0A"/>
    <w:rsid w:val="000D1446"/>
    <w:rsid w:val="000D2BF3"/>
    <w:rsid w:val="000D32B6"/>
    <w:rsid w:val="000D4C28"/>
    <w:rsid w:val="000D4D38"/>
    <w:rsid w:val="000D5AFD"/>
    <w:rsid w:val="000D5D2B"/>
    <w:rsid w:val="000D76A2"/>
    <w:rsid w:val="000D782B"/>
    <w:rsid w:val="000E01B8"/>
    <w:rsid w:val="000E08E0"/>
    <w:rsid w:val="000E2713"/>
    <w:rsid w:val="000F0387"/>
    <w:rsid w:val="000F2456"/>
    <w:rsid w:val="000F40AB"/>
    <w:rsid w:val="000F484B"/>
    <w:rsid w:val="000F4AED"/>
    <w:rsid w:val="000F5BF5"/>
    <w:rsid w:val="000F63AC"/>
    <w:rsid w:val="000F6BE3"/>
    <w:rsid w:val="000F6EF0"/>
    <w:rsid w:val="000F78F9"/>
    <w:rsid w:val="00100CB7"/>
    <w:rsid w:val="00102703"/>
    <w:rsid w:val="001035D1"/>
    <w:rsid w:val="00103764"/>
    <w:rsid w:val="0010456B"/>
    <w:rsid w:val="00104C58"/>
    <w:rsid w:val="00106B0B"/>
    <w:rsid w:val="00106E83"/>
    <w:rsid w:val="00106EA3"/>
    <w:rsid w:val="00107083"/>
    <w:rsid w:val="001073BE"/>
    <w:rsid w:val="00112E60"/>
    <w:rsid w:val="0011329D"/>
    <w:rsid w:val="0011395E"/>
    <w:rsid w:val="00114C3E"/>
    <w:rsid w:val="00114D26"/>
    <w:rsid w:val="001177C7"/>
    <w:rsid w:val="00117B60"/>
    <w:rsid w:val="00117F3F"/>
    <w:rsid w:val="00120A17"/>
    <w:rsid w:val="00121A5A"/>
    <w:rsid w:val="00122B19"/>
    <w:rsid w:val="0012415A"/>
    <w:rsid w:val="00124F3D"/>
    <w:rsid w:val="00126EBF"/>
    <w:rsid w:val="00127019"/>
    <w:rsid w:val="00127036"/>
    <w:rsid w:val="00127E53"/>
    <w:rsid w:val="00131B65"/>
    <w:rsid w:val="00131E1B"/>
    <w:rsid w:val="00133114"/>
    <w:rsid w:val="001332BD"/>
    <w:rsid w:val="00134979"/>
    <w:rsid w:val="00135475"/>
    <w:rsid w:val="00135ED6"/>
    <w:rsid w:val="00136213"/>
    <w:rsid w:val="00140729"/>
    <w:rsid w:val="00140738"/>
    <w:rsid w:val="00141A08"/>
    <w:rsid w:val="0014202A"/>
    <w:rsid w:val="00142EFF"/>
    <w:rsid w:val="00142F16"/>
    <w:rsid w:val="001448AD"/>
    <w:rsid w:val="00146120"/>
    <w:rsid w:val="001467C1"/>
    <w:rsid w:val="00151B1C"/>
    <w:rsid w:val="00151E22"/>
    <w:rsid w:val="001532FA"/>
    <w:rsid w:val="00154160"/>
    <w:rsid w:val="00154E38"/>
    <w:rsid w:val="001611CA"/>
    <w:rsid w:val="0016182A"/>
    <w:rsid w:val="0016310B"/>
    <w:rsid w:val="001649BE"/>
    <w:rsid w:val="001658D6"/>
    <w:rsid w:val="00165A72"/>
    <w:rsid w:val="00165ACD"/>
    <w:rsid w:val="00165D92"/>
    <w:rsid w:val="00167900"/>
    <w:rsid w:val="00167D1F"/>
    <w:rsid w:val="00170204"/>
    <w:rsid w:val="00170715"/>
    <w:rsid w:val="001708ED"/>
    <w:rsid w:val="001714B1"/>
    <w:rsid w:val="0017166E"/>
    <w:rsid w:val="00172A27"/>
    <w:rsid w:val="00173619"/>
    <w:rsid w:val="0017408E"/>
    <w:rsid w:val="00174CEF"/>
    <w:rsid w:val="00175150"/>
    <w:rsid w:val="0017775F"/>
    <w:rsid w:val="001819B8"/>
    <w:rsid w:val="00181CEA"/>
    <w:rsid w:val="0018294A"/>
    <w:rsid w:val="00183B3F"/>
    <w:rsid w:val="00183C45"/>
    <w:rsid w:val="00183E02"/>
    <w:rsid w:val="00184262"/>
    <w:rsid w:val="00184B17"/>
    <w:rsid w:val="001868FA"/>
    <w:rsid w:val="001870DB"/>
    <w:rsid w:val="001875B1"/>
    <w:rsid w:val="00187641"/>
    <w:rsid w:val="001878A9"/>
    <w:rsid w:val="00190D31"/>
    <w:rsid w:val="001916C4"/>
    <w:rsid w:val="00192BE0"/>
    <w:rsid w:val="001951E3"/>
    <w:rsid w:val="001A1CE1"/>
    <w:rsid w:val="001A1D93"/>
    <w:rsid w:val="001A2479"/>
    <w:rsid w:val="001A4CF3"/>
    <w:rsid w:val="001A6476"/>
    <w:rsid w:val="001A64CE"/>
    <w:rsid w:val="001A72D2"/>
    <w:rsid w:val="001A7C75"/>
    <w:rsid w:val="001B00C6"/>
    <w:rsid w:val="001B1BA6"/>
    <w:rsid w:val="001B2036"/>
    <w:rsid w:val="001B24EC"/>
    <w:rsid w:val="001B2CC4"/>
    <w:rsid w:val="001B4B23"/>
    <w:rsid w:val="001B6048"/>
    <w:rsid w:val="001C00E9"/>
    <w:rsid w:val="001C0CF2"/>
    <w:rsid w:val="001C1054"/>
    <w:rsid w:val="001C12AF"/>
    <w:rsid w:val="001C1440"/>
    <w:rsid w:val="001C460B"/>
    <w:rsid w:val="001C486F"/>
    <w:rsid w:val="001C57B3"/>
    <w:rsid w:val="001C75D8"/>
    <w:rsid w:val="001C7647"/>
    <w:rsid w:val="001D1EE5"/>
    <w:rsid w:val="001D1F8D"/>
    <w:rsid w:val="001D3DD1"/>
    <w:rsid w:val="001D41CF"/>
    <w:rsid w:val="001D518D"/>
    <w:rsid w:val="001D5D4E"/>
    <w:rsid w:val="001D7E56"/>
    <w:rsid w:val="001D7F48"/>
    <w:rsid w:val="001E0D67"/>
    <w:rsid w:val="001E1CD2"/>
    <w:rsid w:val="001E22A8"/>
    <w:rsid w:val="001E2468"/>
    <w:rsid w:val="001E288E"/>
    <w:rsid w:val="001E2DB4"/>
    <w:rsid w:val="001E47A0"/>
    <w:rsid w:val="001E4CE5"/>
    <w:rsid w:val="001E52F3"/>
    <w:rsid w:val="001E62DF"/>
    <w:rsid w:val="001E6D00"/>
    <w:rsid w:val="001E7011"/>
    <w:rsid w:val="001E754D"/>
    <w:rsid w:val="001E7CF8"/>
    <w:rsid w:val="001F1B19"/>
    <w:rsid w:val="001F39A4"/>
    <w:rsid w:val="001F5382"/>
    <w:rsid w:val="001F6472"/>
    <w:rsid w:val="001F65D6"/>
    <w:rsid w:val="001F6BFF"/>
    <w:rsid w:val="001F78A2"/>
    <w:rsid w:val="00200910"/>
    <w:rsid w:val="00202D9E"/>
    <w:rsid w:val="002030E4"/>
    <w:rsid w:val="0020368E"/>
    <w:rsid w:val="0020583F"/>
    <w:rsid w:val="00205B6D"/>
    <w:rsid w:val="00205C02"/>
    <w:rsid w:val="002063C6"/>
    <w:rsid w:val="00206CBA"/>
    <w:rsid w:val="0020707B"/>
    <w:rsid w:val="00207657"/>
    <w:rsid w:val="00211E47"/>
    <w:rsid w:val="00213A23"/>
    <w:rsid w:val="00213E7C"/>
    <w:rsid w:val="00213EB2"/>
    <w:rsid w:val="002141AE"/>
    <w:rsid w:val="00214383"/>
    <w:rsid w:val="002153F3"/>
    <w:rsid w:val="00215B50"/>
    <w:rsid w:val="00217378"/>
    <w:rsid w:val="00221CC7"/>
    <w:rsid w:val="00223328"/>
    <w:rsid w:val="00223CB1"/>
    <w:rsid w:val="00224E51"/>
    <w:rsid w:val="00226863"/>
    <w:rsid w:val="00226CEC"/>
    <w:rsid w:val="00226ED9"/>
    <w:rsid w:val="00227F81"/>
    <w:rsid w:val="0023096D"/>
    <w:rsid w:val="00232030"/>
    <w:rsid w:val="002325F9"/>
    <w:rsid w:val="00232AC3"/>
    <w:rsid w:val="00235141"/>
    <w:rsid w:val="00236434"/>
    <w:rsid w:val="00236D88"/>
    <w:rsid w:val="0023747D"/>
    <w:rsid w:val="002411EF"/>
    <w:rsid w:val="0024146E"/>
    <w:rsid w:val="0024181B"/>
    <w:rsid w:val="0024243F"/>
    <w:rsid w:val="00242552"/>
    <w:rsid w:val="00243716"/>
    <w:rsid w:val="0024566A"/>
    <w:rsid w:val="00246017"/>
    <w:rsid w:val="00246577"/>
    <w:rsid w:val="002473B2"/>
    <w:rsid w:val="00251252"/>
    <w:rsid w:val="00251933"/>
    <w:rsid w:val="002528CB"/>
    <w:rsid w:val="002534CF"/>
    <w:rsid w:val="00253D8B"/>
    <w:rsid w:val="00254A18"/>
    <w:rsid w:val="00254A39"/>
    <w:rsid w:val="0025666B"/>
    <w:rsid w:val="00260101"/>
    <w:rsid w:val="002608EC"/>
    <w:rsid w:val="00261152"/>
    <w:rsid w:val="00262675"/>
    <w:rsid w:val="00262991"/>
    <w:rsid w:val="00263EEE"/>
    <w:rsid w:val="00264219"/>
    <w:rsid w:val="002650CC"/>
    <w:rsid w:val="0027076B"/>
    <w:rsid w:val="00271F7E"/>
    <w:rsid w:val="00272774"/>
    <w:rsid w:val="00272919"/>
    <w:rsid w:val="00274025"/>
    <w:rsid w:val="002757AF"/>
    <w:rsid w:val="00276383"/>
    <w:rsid w:val="002769FC"/>
    <w:rsid w:val="00276B59"/>
    <w:rsid w:val="002809ED"/>
    <w:rsid w:val="002810B7"/>
    <w:rsid w:val="00282796"/>
    <w:rsid w:val="00282D38"/>
    <w:rsid w:val="0028373B"/>
    <w:rsid w:val="00283C1E"/>
    <w:rsid w:val="00283CD8"/>
    <w:rsid w:val="002849DC"/>
    <w:rsid w:val="00284CB7"/>
    <w:rsid w:val="002854AC"/>
    <w:rsid w:val="00285A3A"/>
    <w:rsid w:val="00287C35"/>
    <w:rsid w:val="00290C46"/>
    <w:rsid w:val="00290C70"/>
    <w:rsid w:val="00292CD6"/>
    <w:rsid w:val="00295860"/>
    <w:rsid w:val="0029647D"/>
    <w:rsid w:val="002979D3"/>
    <w:rsid w:val="00297ED7"/>
    <w:rsid w:val="00297F36"/>
    <w:rsid w:val="002A044C"/>
    <w:rsid w:val="002A0671"/>
    <w:rsid w:val="002A0D8B"/>
    <w:rsid w:val="002A0D97"/>
    <w:rsid w:val="002A1D75"/>
    <w:rsid w:val="002A2589"/>
    <w:rsid w:val="002A2953"/>
    <w:rsid w:val="002A3D57"/>
    <w:rsid w:val="002A4708"/>
    <w:rsid w:val="002A651B"/>
    <w:rsid w:val="002A68B7"/>
    <w:rsid w:val="002A69C2"/>
    <w:rsid w:val="002A6E61"/>
    <w:rsid w:val="002A773C"/>
    <w:rsid w:val="002A777D"/>
    <w:rsid w:val="002A7F28"/>
    <w:rsid w:val="002B007C"/>
    <w:rsid w:val="002B023E"/>
    <w:rsid w:val="002B0652"/>
    <w:rsid w:val="002B177E"/>
    <w:rsid w:val="002B2BEC"/>
    <w:rsid w:val="002B3C05"/>
    <w:rsid w:val="002B4508"/>
    <w:rsid w:val="002B69AA"/>
    <w:rsid w:val="002B728F"/>
    <w:rsid w:val="002B733E"/>
    <w:rsid w:val="002C00FF"/>
    <w:rsid w:val="002C0C53"/>
    <w:rsid w:val="002C202B"/>
    <w:rsid w:val="002C246E"/>
    <w:rsid w:val="002C2F45"/>
    <w:rsid w:val="002C33FB"/>
    <w:rsid w:val="002C4293"/>
    <w:rsid w:val="002C591D"/>
    <w:rsid w:val="002C6A8F"/>
    <w:rsid w:val="002C7919"/>
    <w:rsid w:val="002D00CA"/>
    <w:rsid w:val="002D0DA2"/>
    <w:rsid w:val="002D2246"/>
    <w:rsid w:val="002D2A35"/>
    <w:rsid w:val="002D2C71"/>
    <w:rsid w:val="002D58B9"/>
    <w:rsid w:val="002D58BD"/>
    <w:rsid w:val="002D60B6"/>
    <w:rsid w:val="002D654C"/>
    <w:rsid w:val="002D6FDA"/>
    <w:rsid w:val="002D74E7"/>
    <w:rsid w:val="002E1318"/>
    <w:rsid w:val="002E187E"/>
    <w:rsid w:val="002E1D37"/>
    <w:rsid w:val="002E628D"/>
    <w:rsid w:val="002E7093"/>
    <w:rsid w:val="002E7AE4"/>
    <w:rsid w:val="002F0210"/>
    <w:rsid w:val="002F1CBB"/>
    <w:rsid w:val="002F39B8"/>
    <w:rsid w:val="002F3C4E"/>
    <w:rsid w:val="002F6942"/>
    <w:rsid w:val="002F6B2A"/>
    <w:rsid w:val="0030023F"/>
    <w:rsid w:val="0030145B"/>
    <w:rsid w:val="00301F6B"/>
    <w:rsid w:val="003023AE"/>
    <w:rsid w:val="00306722"/>
    <w:rsid w:val="00306A78"/>
    <w:rsid w:val="00306ACD"/>
    <w:rsid w:val="003073B3"/>
    <w:rsid w:val="003101B6"/>
    <w:rsid w:val="0031116A"/>
    <w:rsid w:val="003111FD"/>
    <w:rsid w:val="00311489"/>
    <w:rsid w:val="00311B9F"/>
    <w:rsid w:val="003129B5"/>
    <w:rsid w:val="003130FB"/>
    <w:rsid w:val="00314480"/>
    <w:rsid w:val="0031448C"/>
    <w:rsid w:val="00314A10"/>
    <w:rsid w:val="0031540E"/>
    <w:rsid w:val="0031636A"/>
    <w:rsid w:val="003163DD"/>
    <w:rsid w:val="00316F46"/>
    <w:rsid w:val="003178AE"/>
    <w:rsid w:val="00321656"/>
    <w:rsid w:val="003222C7"/>
    <w:rsid w:val="003226F5"/>
    <w:rsid w:val="00323A44"/>
    <w:rsid w:val="00324A80"/>
    <w:rsid w:val="00326177"/>
    <w:rsid w:val="0032633C"/>
    <w:rsid w:val="0033099B"/>
    <w:rsid w:val="00331A50"/>
    <w:rsid w:val="00332F88"/>
    <w:rsid w:val="0033498D"/>
    <w:rsid w:val="00334A7B"/>
    <w:rsid w:val="00335082"/>
    <w:rsid w:val="00335CD9"/>
    <w:rsid w:val="00335DA0"/>
    <w:rsid w:val="00336BCA"/>
    <w:rsid w:val="00337552"/>
    <w:rsid w:val="00337748"/>
    <w:rsid w:val="003400DC"/>
    <w:rsid w:val="003415E1"/>
    <w:rsid w:val="00341908"/>
    <w:rsid w:val="00341A91"/>
    <w:rsid w:val="0034224D"/>
    <w:rsid w:val="003426A3"/>
    <w:rsid w:val="00343225"/>
    <w:rsid w:val="003442B0"/>
    <w:rsid w:val="003444BA"/>
    <w:rsid w:val="003449CF"/>
    <w:rsid w:val="00344E65"/>
    <w:rsid w:val="0034528C"/>
    <w:rsid w:val="00347867"/>
    <w:rsid w:val="0035098C"/>
    <w:rsid w:val="00350FE7"/>
    <w:rsid w:val="003528E7"/>
    <w:rsid w:val="00352E9D"/>
    <w:rsid w:val="00352F2E"/>
    <w:rsid w:val="00352FDD"/>
    <w:rsid w:val="00353026"/>
    <w:rsid w:val="00354124"/>
    <w:rsid w:val="0035480C"/>
    <w:rsid w:val="00354A2C"/>
    <w:rsid w:val="00355113"/>
    <w:rsid w:val="0035570D"/>
    <w:rsid w:val="00355F26"/>
    <w:rsid w:val="003562D8"/>
    <w:rsid w:val="0035633D"/>
    <w:rsid w:val="003566A4"/>
    <w:rsid w:val="003566F9"/>
    <w:rsid w:val="0035795E"/>
    <w:rsid w:val="00362E56"/>
    <w:rsid w:val="00363581"/>
    <w:rsid w:val="00364930"/>
    <w:rsid w:val="00365556"/>
    <w:rsid w:val="00365EFF"/>
    <w:rsid w:val="00366E97"/>
    <w:rsid w:val="00367D04"/>
    <w:rsid w:val="0037103A"/>
    <w:rsid w:val="0037104B"/>
    <w:rsid w:val="00372130"/>
    <w:rsid w:val="003722A4"/>
    <w:rsid w:val="0037265E"/>
    <w:rsid w:val="003732D1"/>
    <w:rsid w:val="00374DB5"/>
    <w:rsid w:val="00377654"/>
    <w:rsid w:val="003779E1"/>
    <w:rsid w:val="0038626C"/>
    <w:rsid w:val="00386BA4"/>
    <w:rsid w:val="00391066"/>
    <w:rsid w:val="0039175B"/>
    <w:rsid w:val="00392FA1"/>
    <w:rsid w:val="0039322C"/>
    <w:rsid w:val="00393C18"/>
    <w:rsid w:val="00395202"/>
    <w:rsid w:val="00395A24"/>
    <w:rsid w:val="003A2B2B"/>
    <w:rsid w:val="003A3A26"/>
    <w:rsid w:val="003A546B"/>
    <w:rsid w:val="003A5F64"/>
    <w:rsid w:val="003A7917"/>
    <w:rsid w:val="003A7B93"/>
    <w:rsid w:val="003B006B"/>
    <w:rsid w:val="003B12A7"/>
    <w:rsid w:val="003B3217"/>
    <w:rsid w:val="003B3823"/>
    <w:rsid w:val="003B5B0C"/>
    <w:rsid w:val="003B6FBC"/>
    <w:rsid w:val="003B7B5C"/>
    <w:rsid w:val="003C0FA0"/>
    <w:rsid w:val="003C120A"/>
    <w:rsid w:val="003C138F"/>
    <w:rsid w:val="003C1FB0"/>
    <w:rsid w:val="003C4A13"/>
    <w:rsid w:val="003C58E1"/>
    <w:rsid w:val="003C6072"/>
    <w:rsid w:val="003C664D"/>
    <w:rsid w:val="003C7507"/>
    <w:rsid w:val="003C75F5"/>
    <w:rsid w:val="003D0B1B"/>
    <w:rsid w:val="003D14D9"/>
    <w:rsid w:val="003D2CE2"/>
    <w:rsid w:val="003D3009"/>
    <w:rsid w:val="003D3660"/>
    <w:rsid w:val="003D38ED"/>
    <w:rsid w:val="003D3B98"/>
    <w:rsid w:val="003D3BB6"/>
    <w:rsid w:val="003D3EFD"/>
    <w:rsid w:val="003D468C"/>
    <w:rsid w:val="003D4B2A"/>
    <w:rsid w:val="003D565F"/>
    <w:rsid w:val="003D5CA6"/>
    <w:rsid w:val="003E156A"/>
    <w:rsid w:val="003E1AE5"/>
    <w:rsid w:val="003E2706"/>
    <w:rsid w:val="003E2E24"/>
    <w:rsid w:val="003E2FD1"/>
    <w:rsid w:val="003E33DA"/>
    <w:rsid w:val="003E3AD4"/>
    <w:rsid w:val="003E48DD"/>
    <w:rsid w:val="003E492E"/>
    <w:rsid w:val="003E4C53"/>
    <w:rsid w:val="003F149C"/>
    <w:rsid w:val="003F1D74"/>
    <w:rsid w:val="003F2C03"/>
    <w:rsid w:val="003F3267"/>
    <w:rsid w:val="003F32B4"/>
    <w:rsid w:val="003F3D6C"/>
    <w:rsid w:val="003F43BE"/>
    <w:rsid w:val="003F6281"/>
    <w:rsid w:val="00400448"/>
    <w:rsid w:val="00401453"/>
    <w:rsid w:val="004018C0"/>
    <w:rsid w:val="00402290"/>
    <w:rsid w:val="004028EB"/>
    <w:rsid w:val="004032E5"/>
    <w:rsid w:val="00404C9F"/>
    <w:rsid w:val="00406296"/>
    <w:rsid w:val="00407E72"/>
    <w:rsid w:val="004102B9"/>
    <w:rsid w:val="00411222"/>
    <w:rsid w:val="004118CF"/>
    <w:rsid w:val="00412269"/>
    <w:rsid w:val="004123E5"/>
    <w:rsid w:val="0041245C"/>
    <w:rsid w:val="004124A7"/>
    <w:rsid w:val="00412E3E"/>
    <w:rsid w:val="00412E66"/>
    <w:rsid w:val="004134FE"/>
    <w:rsid w:val="00413536"/>
    <w:rsid w:val="004142B4"/>
    <w:rsid w:val="004157D2"/>
    <w:rsid w:val="00415B96"/>
    <w:rsid w:val="00416C09"/>
    <w:rsid w:val="00417148"/>
    <w:rsid w:val="00417F18"/>
    <w:rsid w:val="00420060"/>
    <w:rsid w:val="00422125"/>
    <w:rsid w:val="00422615"/>
    <w:rsid w:val="00422786"/>
    <w:rsid w:val="00422D75"/>
    <w:rsid w:val="00422DC2"/>
    <w:rsid w:val="00423093"/>
    <w:rsid w:val="00423697"/>
    <w:rsid w:val="0042594D"/>
    <w:rsid w:val="004264B2"/>
    <w:rsid w:val="00426DB1"/>
    <w:rsid w:val="00426E50"/>
    <w:rsid w:val="00427167"/>
    <w:rsid w:val="00427DED"/>
    <w:rsid w:val="0043007A"/>
    <w:rsid w:val="0043018D"/>
    <w:rsid w:val="004335C4"/>
    <w:rsid w:val="00435392"/>
    <w:rsid w:val="00435A85"/>
    <w:rsid w:val="0043683F"/>
    <w:rsid w:val="004420F3"/>
    <w:rsid w:val="0044246F"/>
    <w:rsid w:val="0044343A"/>
    <w:rsid w:val="00443D71"/>
    <w:rsid w:val="00444236"/>
    <w:rsid w:val="004467FE"/>
    <w:rsid w:val="00447F03"/>
    <w:rsid w:val="00450BAC"/>
    <w:rsid w:val="00451644"/>
    <w:rsid w:val="0045201B"/>
    <w:rsid w:val="00453DA5"/>
    <w:rsid w:val="00454E56"/>
    <w:rsid w:val="00455652"/>
    <w:rsid w:val="00455853"/>
    <w:rsid w:val="00456DF7"/>
    <w:rsid w:val="00460E53"/>
    <w:rsid w:val="0046107A"/>
    <w:rsid w:val="00461916"/>
    <w:rsid w:val="004623C9"/>
    <w:rsid w:val="00462604"/>
    <w:rsid w:val="00462E98"/>
    <w:rsid w:val="00463317"/>
    <w:rsid w:val="0046366B"/>
    <w:rsid w:val="004645B2"/>
    <w:rsid w:val="00467315"/>
    <w:rsid w:val="00470F39"/>
    <w:rsid w:val="0047125E"/>
    <w:rsid w:val="0047188C"/>
    <w:rsid w:val="00472834"/>
    <w:rsid w:val="00474994"/>
    <w:rsid w:val="004755BE"/>
    <w:rsid w:val="004755F9"/>
    <w:rsid w:val="00476DDD"/>
    <w:rsid w:val="00477504"/>
    <w:rsid w:val="0048089C"/>
    <w:rsid w:val="00480AAD"/>
    <w:rsid w:val="00480E26"/>
    <w:rsid w:val="00480F90"/>
    <w:rsid w:val="0048101A"/>
    <w:rsid w:val="0048278A"/>
    <w:rsid w:val="004829D3"/>
    <w:rsid w:val="00483047"/>
    <w:rsid w:val="004830EC"/>
    <w:rsid w:val="004835B7"/>
    <w:rsid w:val="00483E7F"/>
    <w:rsid w:val="004846A2"/>
    <w:rsid w:val="00484FE0"/>
    <w:rsid w:val="0048540D"/>
    <w:rsid w:val="004861D5"/>
    <w:rsid w:val="00486ECA"/>
    <w:rsid w:val="004878F4"/>
    <w:rsid w:val="00487CA7"/>
    <w:rsid w:val="004906BB"/>
    <w:rsid w:val="00492E08"/>
    <w:rsid w:val="0049429D"/>
    <w:rsid w:val="0049591E"/>
    <w:rsid w:val="00496051"/>
    <w:rsid w:val="00496173"/>
    <w:rsid w:val="0049678E"/>
    <w:rsid w:val="00496ED1"/>
    <w:rsid w:val="004A0C0A"/>
    <w:rsid w:val="004A1B28"/>
    <w:rsid w:val="004A29D8"/>
    <w:rsid w:val="004A2DE1"/>
    <w:rsid w:val="004A3070"/>
    <w:rsid w:val="004A395B"/>
    <w:rsid w:val="004A504B"/>
    <w:rsid w:val="004A552B"/>
    <w:rsid w:val="004A5E9D"/>
    <w:rsid w:val="004A5EF0"/>
    <w:rsid w:val="004B0D8A"/>
    <w:rsid w:val="004B17B7"/>
    <w:rsid w:val="004B1EE3"/>
    <w:rsid w:val="004B2054"/>
    <w:rsid w:val="004B24DF"/>
    <w:rsid w:val="004B3374"/>
    <w:rsid w:val="004B4051"/>
    <w:rsid w:val="004B4B5B"/>
    <w:rsid w:val="004B4F56"/>
    <w:rsid w:val="004B54F4"/>
    <w:rsid w:val="004B70E0"/>
    <w:rsid w:val="004B7434"/>
    <w:rsid w:val="004B768F"/>
    <w:rsid w:val="004B78B2"/>
    <w:rsid w:val="004B7DDE"/>
    <w:rsid w:val="004C0969"/>
    <w:rsid w:val="004C2E04"/>
    <w:rsid w:val="004C5C06"/>
    <w:rsid w:val="004C5D97"/>
    <w:rsid w:val="004C62BE"/>
    <w:rsid w:val="004C6D35"/>
    <w:rsid w:val="004C6E4C"/>
    <w:rsid w:val="004C74B0"/>
    <w:rsid w:val="004D0484"/>
    <w:rsid w:val="004D18AD"/>
    <w:rsid w:val="004D1C7F"/>
    <w:rsid w:val="004D1D48"/>
    <w:rsid w:val="004D294C"/>
    <w:rsid w:val="004D2D2E"/>
    <w:rsid w:val="004D54D9"/>
    <w:rsid w:val="004D591D"/>
    <w:rsid w:val="004E00C7"/>
    <w:rsid w:val="004E1443"/>
    <w:rsid w:val="004E2E35"/>
    <w:rsid w:val="004E3389"/>
    <w:rsid w:val="004E544C"/>
    <w:rsid w:val="004E56A4"/>
    <w:rsid w:val="004E5EC3"/>
    <w:rsid w:val="004E622B"/>
    <w:rsid w:val="004F00BC"/>
    <w:rsid w:val="004F0508"/>
    <w:rsid w:val="004F116D"/>
    <w:rsid w:val="004F164C"/>
    <w:rsid w:val="004F1A32"/>
    <w:rsid w:val="004F1ABF"/>
    <w:rsid w:val="004F3CF1"/>
    <w:rsid w:val="004F4918"/>
    <w:rsid w:val="004F493E"/>
    <w:rsid w:val="004F53FF"/>
    <w:rsid w:val="004F5566"/>
    <w:rsid w:val="004F5870"/>
    <w:rsid w:val="004F6F2F"/>
    <w:rsid w:val="00500C33"/>
    <w:rsid w:val="005019B6"/>
    <w:rsid w:val="00501A4A"/>
    <w:rsid w:val="00502076"/>
    <w:rsid w:val="00504014"/>
    <w:rsid w:val="00505FFD"/>
    <w:rsid w:val="005065FE"/>
    <w:rsid w:val="0050686C"/>
    <w:rsid w:val="00506B28"/>
    <w:rsid w:val="00510061"/>
    <w:rsid w:val="00511E49"/>
    <w:rsid w:val="005137CA"/>
    <w:rsid w:val="0051388B"/>
    <w:rsid w:val="00513D1B"/>
    <w:rsid w:val="00514092"/>
    <w:rsid w:val="005141AB"/>
    <w:rsid w:val="005144A3"/>
    <w:rsid w:val="0051537E"/>
    <w:rsid w:val="00516A77"/>
    <w:rsid w:val="00520DCD"/>
    <w:rsid w:val="00521794"/>
    <w:rsid w:val="00524794"/>
    <w:rsid w:val="00524DFB"/>
    <w:rsid w:val="005252FC"/>
    <w:rsid w:val="005257AE"/>
    <w:rsid w:val="00525B18"/>
    <w:rsid w:val="00527B98"/>
    <w:rsid w:val="005304E6"/>
    <w:rsid w:val="00533317"/>
    <w:rsid w:val="005333AD"/>
    <w:rsid w:val="005335A9"/>
    <w:rsid w:val="0053480B"/>
    <w:rsid w:val="00534B59"/>
    <w:rsid w:val="00534DA8"/>
    <w:rsid w:val="005353FC"/>
    <w:rsid w:val="00535D7C"/>
    <w:rsid w:val="00535DD1"/>
    <w:rsid w:val="00535DE6"/>
    <w:rsid w:val="00536A65"/>
    <w:rsid w:val="00536FAB"/>
    <w:rsid w:val="005416E6"/>
    <w:rsid w:val="00542260"/>
    <w:rsid w:val="00543044"/>
    <w:rsid w:val="00543430"/>
    <w:rsid w:val="005446BD"/>
    <w:rsid w:val="00546032"/>
    <w:rsid w:val="00546B82"/>
    <w:rsid w:val="00547607"/>
    <w:rsid w:val="00551BFF"/>
    <w:rsid w:val="0055235C"/>
    <w:rsid w:val="00553BBF"/>
    <w:rsid w:val="00553DA3"/>
    <w:rsid w:val="00554997"/>
    <w:rsid w:val="005553C9"/>
    <w:rsid w:val="00555717"/>
    <w:rsid w:val="00555C99"/>
    <w:rsid w:val="005569BD"/>
    <w:rsid w:val="00560EE0"/>
    <w:rsid w:val="00562824"/>
    <w:rsid w:val="00562FD1"/>
    <w:rsid w:val="00563044"/>
    <w:rsid w:val="00563B96"/>
    <w:rsid w:val="00563E28"/>
    <w:rsid w:val="005654D5"/>
    <w:rsid w:val="00565875"/>
    <w:rsid w:val="005659D1"/>
    <w:rsid w:val="00565FD4"/>
    <w:rsid w:val="00566010"/>
    <w:rsid w:val="00567119"/>
    <w:rsid w:val="00567662"/>
    <w:rsid w:val="00570840"/>
    <w:rsid w:val="00573A9A"/>
    <w:rsid w:val="00573C87"/>
    <w:rsid w:val="0057466E"/>
    <w:rsid w:val="00577F0D"/>
    <w:rsid w:val="00583450"/>
    <w:rsid w:val="005836DC"/>
    <w:rsid w:val="00583931"/>
    <w:rsid w:val="0058397B"/>
    <w:rsid w:val="00583D37"/>
    <w:rsid w:val="00583EC0"/>
    <w:rsid w:val="00585279"/>
    <w:rsid w:val="00585A3F"/>
    <w:rsid w:val="00585D2A"/>
    <w:rsid w:val="0058722F"/>
    <w:rsid w:val="005903EF"/>
    <w:rsid w:val="00590705"/>
    <w:rsid w:val="00593F2F"/>
    <w:rsid w:val="005943D3"/>
    <w:rsid w:val="0059482F"/>
    <w:rsid w:val="00595A23"/>
    <w:rsid w:val="00597366"/>
    <w:rsid w:val="00597D3D"/>
    <w:rsid w:val="005A03B1"/>
    <w:rsid w:val="005A291B"/>
    <w:rsid w:val="005A3622"/>
    <w:rsid w:val="005A3776"/>
    <w:rsid w:val="005A3998"/>
    <w:rsid w:val="005A5172"/>
    <w:rsid w:val="005A76C1"/>
    <w:rsid w:val="005A7A77"/>
    <w:rsid w:val="005B09D4"/>
    <w:rsid w:val="005B0E57"/>
    <w:rsid w:val="005B106D"/>
    <w:rsid w:val="005B333E"/>
    <w:rsid w:val="005B391D"/>
    <w:rsid w:val="005B3DC2"/>
    <w:rsid w:val="005B5114"/>
    <w:rsid w:val="005B5B9D"/>
    <w:rsid w:val="005B5CA2"/>
    <w:rsid w:val="005B62B1"/>
    <w:rsid w:val="005B74A2"/>
    <w:rsid w:val="005B7B52"/>
    <w:rsid w:val="005B7BF8"/>
    <w:rsid w:val="005B7CFC"/>
    <w:rsid w:val="005B7F1E"/>
    <w:rsid w:val="005C318A"/>
    <w:rsid w:val="005C42A1"/>
    <w:rsid w:val="005C7456"/>
    <w:rsid w:val="005D32AF"/>
    <w:rsid w:val="005D389E"/>
    <w:rsid w:val="005D3B67"/>
    <w:rsid w:val="005D403C"/>
    <w:rsid w:val="005D4939"/>
    <w:rsid w:val="005D4D17"/>
    <w:rsid w:val="005D634F"/>
    <w:rsid w:val="005E070C"/>
    <w:rsid w:val="005E0F39"/>
    <w:rsid w:val="005E389C"/>
    <w:rsid w:val="005E396D"/>
    <w:rsid w:val="005E4AA9"/>
    <w:rsid w:val="005E64D0"/>
    <w:rsid w:val="005E790D"/>
    <w:rsid w:val="005F01E9"/>
    <w:rsid w:val="005F079B"/>
    <w:rsid w:val="005F3B54"/>
    <w:rsid w:val="005F3C6B"/>
    <w:rsid w:val="005F47D9"/>
    <w:rsid w:val="005F49BE"/>
    <w:rsid w:val="005F5303"/>
    <w:rsid w:val="005F5668"/>
    <w:rsid w:val="005F5A08"/>
    <w:rsid w:val="005F64C2"/>
    <w:rsid w:val="005F76E1"/>
    <w:rsid w:val="00600121"/>
    <w:rsid w:val="00601322"/>
    <w:rsid w:val="00601BBA"/>
    <w:rsid w:val="00602603"/>
    <w:rsid w:val="00602A8D"/>
    <w:rsid w:val="00603208"/>
    <w:rsid w:val="006032A3"/>
    <w:rsid w:val="0060388A"/>
    <w:rsid w:val="00603BB3"/>
    <w:rsid w:val="00604E08"/>
    <w:rsid w:val="006054CB"/>
    <w:rsid w:val="00606091"/>
    <w:rsid w:val="00607B0A"/>
    <w:rsid w:val="00607D91"/>
    <w:rsid w:val="006109AE"/>
    <w:rsid w:val="006157B0"/>
    <w:rsid w:val="006165C1"/>
    <w:rsid w:val="006223F5"/>
    <w:rsid w:val="00623632"/>
    <w:rsid w:val="00623C6E"/>
    <w:rsid w:val="006242D8"/>
    <w:rsid w:val="00624F96"/>
    <w:rsid w:val="006275AF"/>
    <w:rsid w:val="00631510"/>
    <w:rsid w:val="00631B06"/>
    <w:rsid w:val="006326E0"/>
    <w:rsid w:val="006343C8"/>
    <w:rsid w:val="006345C4"/>
    <w:rsid w:val="00634619"/>
    <w:rsid w:val="006359B8"/>
    <w:rsid w:val="006362C9"/>
    <w:rsid w:val="00636D1D"/>
    <w:rsid w:val="00636EE0"/>
    <w:rsid w:val="006425C0"/>
    <w:rsid w:val="0064308F"/>
    <w:rsid w:val="00643BBC"/>
    <w:rsid w:val="00643FA4"/>
    <w:rsid w:val="00644111"/>
    <w:rsid w:val="00644BB9"/>
    <w:rsid w:val="00645D5A"/>
    <w:rsid w:val="0064600E"/>
    <w:rsid w:val="006463DB"/>
    <w:rsid w:val="0064662F"/>
    <w:rsid w:val="00650624"/>
    <w:rsid w:val="00655A28"/>
    <w:rsid w:val="00657168"/>
    <w:rsid w:val="00657AF0"/>
    <w:rsid w:val="00657F15"/>
    <w:rsid w:val="00660837"/>
    <w:rsid w:val="00660B67"/>
    <w:rsid w:val="006613B1"/>
    <w:rsid w:val="00662493"/>
    <w:rsid w:val="00662B16"/>
    <w:rsid w:val="0066411E"/>
    <w:rsid w:val="0066517F"/>
    <w:rsid w:val="00666425"/>
    <w:rsid w:val="00666475"/>
    <w:rsid w:val="00666996"/>
    <w:rsid w:val="00666C50"/>
    <w:rsid w:val="00670F0B"/>
    <w:rsid w:val="006713DF"/>
    <w:rsid w:val="00672425"/>
    <w:rsid w:val="00672FF3"/>
    <w:rsid w:val="00673845"/>
    <w:rsid w:val="006739F1"/>
    <w:rsid w:val="006743E2"/>
    <w:rsid w:val="00674692"/>
    <w:rsid w:val="00674CD1"/>
    <w:rsid w:val="00676802"/>
    <w:rsid w:val="0068070E"/>
    <w:rsid w:val="00681E17"/>
    <w:rsid w:val="00683775"/>
    <w:rsid w:val="00683EAC"/>
    <w:rsid w:val="00684833"/>
    <w:rsid w:val="0068601E"/>
    <w:rsid w:val="0068620D"/>
    <w:rsid w:val="006867EF"/>
    <w:rsid w:val="0069260A"/>
    <w:rsid w:val="00692A92"/>
    <w:rsid w:val="00692CAC"/>
    <w:rsid w:val="0069486E"/>
    <w:rsid w:val="00695620"/>
    <w:rsid w:val="00696CC9"/>
    <w:rsid w:val="00696CE4"/>
    <w:rsid w:val="00697B3E"/>
    <w:rsid w:val="006A0A63"/>
    <w:rsid w:val="006A130A"/>
    <w:rsid w:val="006A163E"/>
    <w:rsid w:val="006A1C6E"/>
    <w:rsid w:val="006A3841"/>
    <w:rsid w:val="006A3A16"/>
    <w:rsid w:val="006A3DA8"/>
    <w:rsid w:val="006A4E89"/>
    <w:rsid w:val="006A5F6B"/>
    <w:rsid w:val="006A60C6"/>
    <w:rsid w:val="006A75E2"/>
    <w:rsid w:val="006A770F"/>
    <w:rsid w:val="006B00DF"/>
    <w:rsid w:val="006B01DA"/>
    <w:rsid w:val="006B0E1C"/>
    <w:rsid w:val="006B2422"/>
    <w:rsid w:val="006B25DF"/>
    <w:rsid w:val="006B3049"/>
    <w:rsid w:val="006B351C"/>
    <w:rsid w:val="006B4081"/>
    <w:rsid w:val="006B4496"/>
    <w:rsid w:val="006B4657"/>
    <w:rsid w:val="006B599C"/>
    <w:rsid w:val="006B681F"/>
    <w:rsid w:val="006B69A4"/>
    <w:rsid w:val="006B6D19"/>
    <w:rsid w:val="006B7242"/>
    <w:rsid w:val="006B7B8B"/>
    <w:rsid w:val="006C0C4B"/>
    <w:rsid w:val="006C0D04"/>
    <w:rsid w:val="006C2AAA"/>
    <w:rsid w:val="006C4CBD"/>
    <w:rsid w:val="006C5313"/>
    <w:rsid w:val="006C555F"/>
    <w:rsid w:val="006C561E"/>
    <w:rsid w:val="006C76CC"/>
    <w:rsid w:val="006C793B"/>
    <w:rsid w:val="006D06F9"/>
    <w:rsid w:val="006D0EFF"/>
    <w:rsid w:val="006D155B"/>
    <w:rsid w:val="006D5EA2"/>
    <w:rsid w:val="006D5F22"/>
    <w:rsid w:val="006D60C2"/>
    <w:rsid w:val="006D776B"/>
    <w:rsid w:val="006E02EC"/>
    <w:rsid w:val="006E062E"/>
    <w:rsid w:val="006E07D0"/>
    <w:rsid w:val="006E09E0"/>
    <w:rsid w:val="006E143B"/>
    <w:rsid w:val="006E2974"/>
    <w:rsid w:val="006E372E"/>
    <w:rsid w:val="006E3D1B"/>
    <w:rsid w:val="006E5361"/>
    <w:rsid w:val="006E6D1D"/>
    <w:rsid w:val="006E6F89"/>
    <w:rsid w:val="006E7E89"/>
    <w:rsid w:val="006E7F10"/>
    <w:rsid w:val="006F11E3"/>
    <w:rsid w:val="006F272B"/>
    <w:rsid w:val="006F337C"/>
    <w:rsid w:val="006F381E"/>
    <w:rsid w:val="006F4494"/>
    <w:rsid w:val="006F4DF6"/>
    <w:rsid w:val="006F4E3A"/>
    <w:rsid w:val="006F52D3"/>
    <w:rsid w:val="006F5E98"/>
    <w:rsid w:val="006F70EE"/>
    <w:rsid w:val="00700B73"/>
    <w:rsid w:val="0070116F"/>
    <w:rsid w:val="0070230B"/>
    <w:rsid w:val="00705493"/>
    <w:rsid w:val="00706EEF"/>
    <w:rsid w:val="00707F0A"/>
    <w:rsid w:val="007104FD"/>
    <w:rsid w:val="00710A93"/>
    <w:rsid w:val="00710E04"/>
    <w:rsid w:val="00710FB0"/>
    <w:rsid w:val="00711299"/>
    <w:rsid w:val="0071133B"/>
    <w:rsid w:val="00711824"/>
    <w:rsid w:val="007118D4"/>
    <w:rsid w:val="00712A5A"/>
    <w:rsid w:val="00712B83"/>
    <w:rsid w:val="00713791"/>
    <w:rsid w:val="00715B35"/>
    <w:rsid w:val="0071682D"/>
    <w:rsid w:val="00716E20"/>
    <w:rsid w:val="00717F96"/>
    <w:rsid w:val="00720865"/>
    <w:rsid w:val="00721C78"/>
    <w:rsid w:val="007230D6"/>
    <w:rsid w:val="00723948"/>
    <w:rsid w:val="00724CD0"/>
    <w:rsid w:val="00724E97"/>
    <w:rsid w:val="007254A5"/>
    <w:rsid w:val="007259E7"/>
    <w:rsid w:val="00725D8E"/>
    <w:rsid w:val="007274F6"/>
    <w:rsid w:val="00727BC5"/>
    <w:rsid w:val="00730B15"/>
    <w:rsid w:val="00731E78"/>
    <w:rsid w:val="007338D4"/>
    <w:rsid w:val="00733C99"/>
    <w:rsid w:val="00733E3A"/>
    <w:rsid w:val="00735875"/>
    <w:rsid w:val="00735E16"/>
    <w:rsid w:val="0073633F"/>
    <w:rsid w:val="00736D44"/>
    <w:rsid w:val="007370F2"/>
    <w:rsid w:val="00737B6C"/>
    <w:rsid w:val="00743F91"/>
    <w:rsid w:val="007440A0"/>
    <w:rsid w:val="0074467F"/>
    <w:rsid w:val="0074503B"/>
    <w:rsid w:val="007457A3"/>
    <w:rsid w:val="00745D0E"/>
    <w:rsid w:val="00745E61"/>
    <w:rsid w:val="00750E3A"/>
    <w:rsid w:val="00751123"/>
    <w:rsid w:val="00751896"/>
    <w:rsid w:val="007525E7"/>
    <w:rsid w:val="007526CF"/>
    <w:rsid w:val="007527E5"/>
    <w:rsid w:val="007534DE"/>
    <w:rsid w:val="007548BE"/>
    <w:rsid w:val="00755E71"/>
    <w:rsid w:val="00755FEE"/>
    <w:rsid w:val="00756D6C"/>
    <w:rsid w:val="00756F09"/>
    <w:rsid w:val="0076037B"/>
    <w:rsid w:val="00760A9E"/>
    <w:rsid w:val="00761F64"/>
    <w:rsid w:val="00762B60"/>
    <w:rsid w:val="0076343A"/>
    <w:rsid w:val="00763EE2"/>
    <w:rsid w:val="00765076"/>
    <w:rsid w:val="00765876"/>
    <w:rsid w:val="00767C7C"/>
    <w:rsid w:val="00767F0F"/>
    <w:rsid w:val="00770031"/>
    <w:rsid w:val="00770444"/>
    <w:rsid w:val="00771826"/>
    <w:rsid w:val="00773820"/>
    <w:rsid w:val="007743EE"/>
    <w:rsid w:val="00774623"/>
    <w:rsid w:val="0077645C"/>
    <w:rsid w:val="007767F3"/>
    <w:rsid w:val="007773D4"/>
    <w:rsid w:val="007774A9"/>
    <w:rsid w:val="00777C79"/>
    <w:rsid w:val="00780F7A"/>
    <w:rsid w:val="00781511"/>
    <w:rsid w:val="007818E9"/>
    <w:rsid w:val="00781FC9"/>
    <w:rsid w:val="007828AB"/>
    <w:rsid w:val="00782EC0"/>
    <w:rsid w:val="007831EC"/>
    <w:rsid w:val="007833CF"/>
    <w:rsid w:val="007838AA"/>
    <w:rsid w:val="00783902"/>
    <w:rsid w:val="00783BFC"/>
    <w:rsid w:val="00785983"/>
    <w:rsid w:val="00785D11"/>
    <w:rsid w:val="00785E50"/>
    <w:rsid w:val="00786438"/>
    <w:rsid w:val="00787115"/>
    <w:rsid w:val="007873D3"/>
    <w:rsid w:val="007919EE"/>
    <w:rsid w:val="007923E6"/>
    <w:rsid w:val="007924B5"/>
    <w:rsid w:val="007924E7"/>
    <w:rsid w:val="007929E6"/>
    <w:rsid w:val="00792FD4"/>
    <w:rsid w:val="007936C2"/>
    <w:rsid w:val="00793CDE"/>
    <w:rsid w:val="0079410F"/>
    <w:rsid w:val="007942B7"/>
    <w:rsid w:val="00797E5B"/>
    <w:rsid w:val="007A0006"/>
    <w:rsid w:val="007A0932"/>
    <w:rsid w:val="007A0D90"/>
    <w:rsid w:val="007A1B71"/>
    <w:rsid w:val="007A1D1C"/>
    <w:rsid w:val="007A2468"/>
    <w:rsid w:val="007A2AD3"/>
    <w:rsid w:val="007A44C4"/>
    <w:rsid w:val="007A4573"/>
    <w:rsid w:val="007A4A14"/>
    <w:rsid w:val="007A4DD4"/>
    <w:rsid w:val="007A4E25"/>
    <w:rsid w:val="007A5A3A"/>
    <w:rsid w:val="007A5E8D"/>
    <w:rsid w:val="007A7293"/>
    <w:rsid w:val="007B135B"/>
    <w:rsid w:val="007B18C8"/>
    <w:rsid w:val="007B18FB"/>
    <w:rsid w:val="007B2CA8"/>
    <w:rsid w:val="007B338E"/>
    <w:rsid w:val="007B41B6"/>
    <w:rsid w:val="007B516B"/>
    <w:rsid w:val="007B5219"/>
    <w:rsid w:val="007B64D9"/>
    <w:rsid w:val="007B7A88"/>
    <w:rsid w:val="007B7AF9"/>
    <w:rsid w:val="007C00E3"/>
    <w:rsid w:val="007C0586"/>
    <w:rsid w:val="007C1B40"/>
    <w:rsid w:val="007C24D2"/>
    <w:rsid w:val="007C2D21"/>
    <w:rsid w:val="007C3389"/>
    <w:rsid w:val="007C33A6"/>
    <w:rsid w:val="007C3806"/>
    <w:rsid w:val="007C3912"/>
    <w:rsid w:val="007C4147"/>
    <w:rsid w:val="007C4A61"/>
    <w:rsid w:val="007C6098"/>
    <w:rsid w:val="007C61F6"/>
    <w:rsid w:val="007C6424"/>
    <w:rsid w:val="007C7AD5"/>
    <w:rsid w:val="007D21E3"/>
    <w:rsid w:val="007D2739"/>
    <w:rsid w:val="007D3268"/>
    <w:rsid w:val="007D38CE"/>
    <w:rsid w:val="007D40B7"/>
    <w:rsid w:val="007D5442"/>
    <w:rsid w:val="007D64DA"/>
    <w:rsid w:val="007D6D45"/>
    <w:rsid w:val="007D74C7"/>
    <w:rsid w:val="007E02A9"/>
    <w:rsid w:val="007E0AC8"/>
    <w:rsid w:val="007E105D"/>
    <w:rsid w:val="007E1758"/>
    <w:rsid w:val="007E1CFB"/>
    <w:rsid w:val="007E4041"/>
    <w:rsid w:val="007E41AE"/>
    <w:rsid w:val="007E4536"/>
    <w:rsid w:val="007E5C48"/>
    <w:rsid w:val="007E64D2"/>
    <w:rsid w:val="007E6D9F"/>
    <w:rsid w:val="007E6FDE"/>
    <w:rsid w:val="007E7EFA"/>
    <w:rsid w:val="007F0E86"/>
    <w:rsid w:val="007F1238"/>
    <w:rsid w:val="007F202A"/>
    <w:rsid w:val="007F3EC0"/>
    <w:rsid w:val="007F6433"/>
    <w:rsid w:val="007F672C"/>
    <w:rsid w:val="007F69A4"/>
    <w:rsid w:val="007F7F28"/>
    <w:rsid w:val="007F7F70"/>
    <w:rsid w:val="00800ADC"/>
    <w:rsid w:val="00801206"/>
    <w:rsid w:val="008018AB"/>
    <w:rsid w:val="008020F4"/>
    <w:rsid w:val="00802FB4"/>
    <w:rsid w:val="0080462E"/>
    <w:rsid w:val="008051E6"/>
    <w:rsid w:val="00805449"/>
    <w:rsid w:val="00806128"/>
    <w:rsid w:val="00807418"/>
    <w:rsid w:val="00807585"/>
    <w:rsid w:val="00807D02"/>
    <w:rsid w:val="00810981"/>
    <w:rsid w:val="00810A1D"/>
    <w:rsid w:val="008118AD"/>
    <w:rsid w:val="008153A9"/>
    <w:rsid w:val="00815E9A"/>
    <w:rsid w:val="008171E0"/>
    <w:rsid w:val="00820ECF"/>
    <w:rsid w:val="008217A2"/>
    <w:rsid w:val="00822E59"/>
    <w:rsid w:val="00823250"/>
    <w:rsid w:val="008236CA"/>
    <w:rsid w:val="0082400B"/>
    <w:rsid w:val="008256AA"/>
    <w:rsid w:val="00825945"/>
    <w:rsid w:val="00825BD6"/>
    <w:rsid w:val="00826068"/>
    <w:rsid w:val="00827460"/>
    <w:rsid w:val="00827B37"/>
    <w:rsid w:val="0083028F"/>
    <w:rsid w:val="008335FE"/>
    <w:rsid w:val="00834008"/>
    <w:rsid w:val="00834B4A"/>
    <w:rsid w:val="00837F99"/>
    <w:rsid w:val="0084028E"/>
    <w:rsid w:val="00840561"/>
    <w:rsid w:val="0084432A"/>
    <w:rsid w:val="00845870"/>
    <w:rsid w:val="00845948"/>
    <w:rsid w:val="0084630D"/>
    <w:rsid w:val="00846956"/>
    <w:rsid w:val="00846C65"/>
    <w:rsid w:val="00847703"/>
    <w:rsid w:val="00850F0F"/>
    <w:rsid w:val="00854787"/>
    <w:rsid w:val="00855EE5"/>
    <w:rsid w:val="0085688F"/>
    <w:rsid w:val="00856B83"/>
    <w:rsid w:val="00856D30"/>
    <w:rsid w:val="00857043"/>
    <w:rsid w:val="008570FB"/>
    <w:rsid w:val="00857435"/>
    <w:rsid w:val="0085785C"/>
    <w:rsid w:val="00860235"/>
    <w:rsid w:val="008610E0"/>
    <w:rsid w:val="00861371"/>
    <w:rsid w:val="00861452"/>
    <w:rsid w:val="00861544"/>
    <w:rsid w:val="0086324A"/>
    <w:rsid w:val="00863987"/>
    <w:rsid w:val="00865429"/>
    <w:rsid w:val="0086552E"/>
    <w:rsid w:val="008665AA"/>
    <w:rsid w:val="0086663E"/>
    <w:rsid w:val="00867258"/>
    <w:rsid w:val="008716A3"/>
    <w:rsid w:val="0087213B"/>
    <w:rsid w:val="00873466"/>
    <w:rsid w:val="00873AA4"/>
    <w:rsid w:val="00874024"/>
    <w:rsid w:val="00874702"/>
    <w:rsid w:val="00874D6C"/>
    <w:rsid w:val="00875251"/>
    <w:rsid w:val="0087556F"/>
    <w:rsid w:val="008772D4"/>
    <w:rsid w:val="008802E2"/>
    <w:rsid w:val="00880333"/>
    <w:rsid w:val="00880733"/>
    <w:rsid w:val="00881123"/>
    <w:rsid w:val="00882837"/>
    <w:rsid w:val="008859BD"/>
    <w:rsid w:val="008864AD"/>
    <w:rsid w:val="00886DFB"/>
    <w:rsid w:val="008904DB"/>
    <w:rsid w:val="008929C8"/>
    <w:rsid w:val="00893563"/>
    <w:rsid w:val="00893D77"/>
    <w:rsid w:val="0089420A"/>
    <w:rsid w:val="00894AAF"/>
    <w:rsid w:val="008A102A"/>
    <w:rsid w:val="008A19F3"/>
    <w:rsid w:val="008A537E"/>
    <w:rsid w:val="008A580C"/>
    <w:rsid w:val="008A7213"/>
    <w:rsid w:val="008B1ACF"/>
    <w:rsid w:val="008B1DD3"/>
    <w:rsid w:val="008B315D"/>
    <w:rsid w:val="008B5005"/>
    <w:rsid w:val="008B6779"/>
    <w:rsid w:val="008B680F"/>
    <w:rsid w:val="008C10A7"/>
    <w:rsid w:val="008C3181"/>
    <w:rsid w:val="008C3354"/>
    <w:rsid w:val="008C35DE"/>
    <w:rsid w:val="008C4621"/>
    <w:rsid w:val="008C6B9B"/>
    <w:rsid w:val="008C7FF7"/>
    <w:rsid w:val="008D1EAD"/>
    <w:rsid w:val="008D2666"/>
    <w:rsid w:val="008D26EF"/>
    <w:rsid w:val="008D2AE1"/>
    <w:rsid w:val="008D30A9"/>
    <w:rsid w:val="008D3D06"/>
    <w:rsid w:val="008D488F"/>
    <w:rsid w:val="008D55F8"/>
    <w:rsid w:val="008D6C92"/>
    <w:rsid w:val="008D788A"/>
    <w:rsid w:val="008E0760"/>
    <w:rsid w:val="008E2C96"/>
    <w:rsid w:val="008E3583"/>
    <w:rsid w:val="008E410A"/>
    <w:rsid w:val="008E661B"/>
    <w:rsid w:val="008E6695"/>
    <w:rsid w:val="008E6DAD"/>
    <w:rsid w:val="008E7EB7"/>
    <w:rsid w:val="008F1971"/>
    <w:rsid w:val="008F261E"/>
    <w:rsid w:val="008F2779"/>
    <w:rsid w:val="008F36E0"/>
    <w:rsid w:val="008F49B4"/>
    <w:rsid w:val="008F52F0"/>
    <w:rsid w:val="008F5627"/>
    <w:rsid w:val="008F5721"/>
    <w:rsid w:val="008F633E"/>
    <w:rsid w:val="008F654B"/>
    <w:rsid w:val="008F6873"/>
    <w:rsid w:val="008F7FF4"/>
    <w:rsid w:val="00901527"/>
    <w:rsid w:val="009018AC"/>
    <w:rsid w:val="00902780"/>
    <w:rsid w:val="009033F7"/>
    <w:rsid w:val="00903C50"/>
    <w:rsid w:val="0090483B"/>
    <w:rsid w:val="009064D2"/>
    <w:rsid w:val="0090719D"/>
    <w:rsid w:val="00914A25"/>
    <w:rsid w:val="0091683E"/>
    <w:rsid w:val="0092195D"/>
    <w:rsid w:val="009221CC"/>
    <w:rsid w:val="00922215"/>
    <w:rsid w:val="00925049"/>
    <w:rsid w:val="009254A7"/>
    <w:rsid w:val="00925D42"/>
    <w:rsid w:val="00926683"/>
    <w:rsid w:val="00926D40"/>
    <w:rsid w:val="00927FF8"/>
    <w:rsid w:val="0093017D"/>
    <w:rsid w:val="00931E68"/>
    <w:rsid w:val="00932ED0"/>
    <w:rsid w:val="009331C1"/>
    <w:rsid w:val="00933950"/>
    <w:rsid w:val="00933F76"/>
    <w:rsid w:val="009351BB"/>
    <w:rsid w:val="00936D66"/>
    <w:rsid w:val="00936F15"/>
    <w:rsid w:val="00941C41"/>
    <w:rsid w:val="0094205A"/>
    <w:rsid w:val="00942357"/>
    <w:rsid w:val="00942E70"/>
    <w:rsid w:val="009440E3"/>
    <w:rsid w:val="009462C7"/>
    <w:rsid w:val="00946642"/>
    <w:rsid w:val="00947A8D"/>
    <w:rsid w:val="00951221"/>
    <w:rsid w:val="00951EBC"/>
    <w:rsid w:val="00954C8E"/>
    <w:rsid w:val="00954D3D"/>
    <w:rsid w:val="00954D6F"/>
    <w:rsid w:val="00955988"/>
    <w:rsid w:val="00960586"/>
    <w:rsid w:val="00962AF2"/>
    <w:rsid w:val="00962B68"/>
    <w:rsid w:val="0096391F"/>
    <w:rsid w:val="009641A6"/>
    <w:rsid w:val="00965CA4"/>
    <w:rsid w:val="0096640B"/>
    <w:rsid w:val="00966A93"/>
    <w:rsid w:val="00966D7A"/>
    <w:rsid w:val="00970AEA"/>
    <w:rsid w:val="00970BF0"/>
    <w:rsid w:val="00971289"/>
    <w:rsid w:val="00971B7E"/>
    <w:rsid w:val="00972B60"/>
    <w:rsid w:val="009745C3"/>
    <w:rsid w:val="009748FA"/>
    <w:rsid w:val="00977ED1"/>
    <w:rsid w:val="00980B62"/>
    <w:rsid w:val="00982059"/>
    <w:rsid w:val="0098262E"/>
    <w:rsid w:val="00985835"/>
    <w:rsid w:val="00985D7E"/>
    <w:rsid w:val="00987B46"/>
    <w:rsid w:val="00991488"/>
    <w:rsid w:val="009922CA"/>
    <w:rsid w:val="00993E34"/>
    <w:rsid w:val="009948B8"/>
    <w:rsid w:val="00996026"/>
    <w:rsid w:val="00997D9C"/>
    <w:rsid w:val="009A1F9C"/>
    <w:rsid w:val="009A36DB"/>
    <w:rsid w:val="009A596F"/>
    <w:rsid w:val="009A64E0"/>
    <w:rsid w:val="009B048C"/>
    <w:rsid w:val="009B2332"/>
    <w:rsid w:val="009B2966"/>
    <w:rsid w:val="009B4162"/>
    <w:rsid w:val="009B4F46"/>
    <w:rsid w:val="009B5B8E"/>
    <w:rsid w:val="009B65FB"/>
    <w:rsid w:val="009B6AE7"/>
    <w:rsid w:val="009B7F34"/>
    <w:rsid w:val="009C0446"/>
    <w:rsid w:val="009C33E9"/>
    <w:rsid w:val="009C3A9C"/>
    <w:rsid w:val="009C43DF"/>
    <w:rsid w:val="009C7532"/>
    <w:rsid w:val="009C7B24"/>
    <w:rsid w:val="009D0495"/>
    <w:rsid w:val="009D2B00"/>
    <w:rsid w:val="009D322F"/>
    <w:rsid w:val="009D3A32"/>
    <w:rsid w:val="009D437A"/>
    <w:rsid w:val="009D4E1B"/>
    <w:rsid w:val="009D510E"/>
    <w:rsid w:val="009D5381"/>
    <w:rsid w:val="009D7F02"/>
    <w:rsid w:val="009E1A4A"/>
    <w:rsid w:val="009E3184"/>
    <w:rsid w:val="009E43C8"/>
    <w:rsid w:val="009E5B91"/>
    <w:rsid w:val="009E5C19"/>
    <w:rsid w:val="009F18C5"/>
    <w:rsid w:val="009F2E47"/>
    <w:rsid w:val="009F4DE0"/>
    <w:rsid w:val="009F4E23"/>
    <w:rsid w:val="009F5748"/>
    <w:rsid w:val="009F5824"/>
    <w:rsid w:val="009F5938"/>
    <w:rsid w:val="009F6F61"/>
    <w:rsid w:val="009F72D7"/>
    <w:rsid w:val="009F7C56"/>
    <w:rsid w:val="00A0170A"/>
    <w:rsid w:val="00A0175C"/>
    <w:rsid w:val="00A01836"/>
    <w:rsid w:val="00A01DD5"/>
    <w:rsid w:val="00A0338F"/>
    <w:rsid w:val="00A04029"/>
    <w:rsid w:val="00A048FB"/>
    <w:rsid w:val="00A128DD"/>
    <w:rsid w:val="00A13C00"/>
    <w:rsid w:val="00A15224"/>
    <w:rsid w:val="00A15DDE"/>
    <w:rsid w:val="00A16AF2"/>
    <w:rsid w:val="00A16B07"/>
    <w:rsid w:val="00A16F9E"/>
    <w:rsid w:val="00A171BC"/>
    <w:rsid w:val="00A17967"/>
    <w:rsid w:val="00A220C2"/>
    <w:rsid w:val="00A2251F"/>
    <w:rsid w:val="00A235F1"/>
    <w:rsid w:val="00A2362D"/>
    <w:rsid w:val="00A2536C"/>
    <w:rsid w:val="00A2550F"/>
    <w:rsid w:val="00A25A7D"/>
    <w:rsid w:val="00A26172"/>
    <w:rsid w:val="00A27436"/>
    <w:rsid w:val="00A27703"/>
    <w:rsid w:val="00A305BD"/>
    <w:rsid w:val="00A32476"/>
    <w:rsid w:val="00A3318E"/>
    <w:rsid w:val="00A3376B"/>
    <w:rsid w:val="00A33795"/>
    <w:rsid w:val="00A337E1"/>
    <w:rsid w:val="00A33A47"/>
    <w:rsid w:val="00A34309"/>
    <w:rsid w:val="00A34592"/>
    <w:rsid w:val="00A3564B"/>
    <w:rsid w:val="00A370DD"/>
    <w:rsid w:val="00A40EF0"/>
    <w:rsid w:val="00A4115E"/>
    <w:rsid w:val="00A4332C"/>
    <w:rsid w:val="00A43767"/>
    <w:rsid w:val="00A449FD"/>
    <w:rsid w:val="00A44FC4"/>
    <w:rsid w:val="00A45B4F"/>
    <w:rsid w:val="00A45C71"/>
    <w:rsid w:val="00A45CA5"/>
    <w:rsid w:val="00A45EEE"/>
    <w:rsid w:val="00A464B2"/>
    <w:rsid w:val="00A47F33"/>
    <w:rsid w:val="00A50E03"/>
    <w:rsid w:val="00A5170F"/>
    <w:rsid w:val="00A52850"/>
    <w:rsid w:val="00A53056"/>
    <w:rsid w:val="00A539F9"/>
    <w:rsid w:val="00A53A78"/>
    <w:rsid w:val="00A53C38"/>
    <w:rsid w:val="00A54A08"/>
    <w:rsid w:val="00A54BBD"/>
    <w:rsid w:val="00A55CC1"/>
    <w:rsid w:val="00A55EBF"/>
    <w:rsid w:val="00A5622E"/>
    <w:rsid w:val="00A56253"/>
    <w:rsid w:val="00A56C5B"/>
    <w:rsid w:val="00A576EC"/>
    <w:rsid w:val="00A607DB"/>
    <w:rsid w:val="00A61997"/>
    <w:rsid w:val="00A619F4"/>
    <w:rsid w:val="00A6228C"/>
    <w:rsid w:val="00A64031"/>
    <w:rsid w:val="00A64AE9"/>
    <w:rsid w:val="00A65181"/>
    <w:rsid w:val="00A657E5"/>
    <w:rsid w:val="00A709A0"/>
    <w:rsid w:val="00A7367F"/>
    <w:rsid w:val="00A736DE"/>
    <w:rsid w:val="00A7418A"/>
    <w:rsid w:val="00A742CE"/>
    <w:rsid w:val="00A74391"/>
    <w:rsid w:val="00A7480F"/>
    <w:rsid w:val="00A75302"/>
    <w:rsid w:val="00A75E79"/>
    <w:rsid w:val="00A76670"/>
    <w:rsid w:val="00A76DCB"/>
    <w:rsid w:val="00A77C50"/>
    <w:rsid w:val="00A80166"/>
    <w:rsid w:val="00A812BF"/>
    <w:rsid w:val="00A81FE4"/>
    <w:rsid w:val="00A826B2"/>
    <w:rsid w:val="00A8280B"/>
    <w:rsid w:val="00A82C73"/>
    <w:rsid w:val="00A82EAB"/>
    <w:rsid w:val="00A82FD0"/>
    <w:rsid w:val="00A83300"/>
    <w:rsid w:val="00A839B9"/>
    <w:rsid w:val="00A84195"/>
    <w:rsid w:val="00A845C6"/>
    <w:rsid w:val="00A846BE"/>
    <w:rsid w:val="00A8470C"/>
    <w:rsid w:val="00A850DA"/>
    <w:rsid w:val="00A8564A"/>
    <w:rsid w:val="00A86D26"/>
    <w:rsid w:val="00A878AE"/>
    <w:rsid w:val="00A87ED7"/>
    <w:rsid w:val="00A926BD"/>
    <w:rsid w:val="00A93187"/>
    <w:rsid w:val="00A936C1"/>
    <w:rsid w:val="00A9486C"/>
    <w:rsid w:val="00A951E0"/>
    <w:rsid w:val="00A95A48"/>
    <w:rsid w:val="00A95D49"/>
    <w:rsid w:val="00A975B6"/>
    <w:rsid w:val="00A97A2C"/>
    <w:rsid w:val="00AA03EF"/>
    <w:rsid w:val="00AA05F0"/>
    <w:rsid w:val="00AA0E76"/>
    <w:rsid w:val="00AA11FA"/>
    <w:rsid w:val="00AA14F9"/>
    <w:rsid w:val="00AA1D50"/>
    <w:rsid w:val="00AA30A5"/>
    <w:rsid w:val="00AA3CA4"/>
    <w:rsid w:val="00AA42E0"/>
    <w:rsid w:val="00AA46DF"/>
    <w:rsid w:val="00AA4CE6"/>
    <w:rsid w:val="00AB0367"/>
    <w:rsid w:val="00AB1073"/>
    <w:rsid w:val="00AB1EBA"/>
    <w:rsid w:val="00AB2A4F"/>
    <w:rsid w:val="00AB2F3A"/>
    <w:rsid w:val="00AB3AAA"/>
    <w:rsid w:val="00AB3E47"/>
    <w:rsid w:val="00AB42D1"/>
    <w:rsid w:val="00AB671C"/>
    <w:rsid w:val="00AB68A1"/>
    <w:rsid w:val="00AB694D"/>
    <w:rsid w:val="00AB6EE3"/>
    <w:rsid w:val="00AB709D"/>
    <w:rsid w:val="00AB7245"/>
    <w:rsid w:val="00AB73AC"/>
    <w:rsid w:val="00AB745C"/>
    <w:rsid w:val="00AC07AC"/>
    <w:rsid w:val="00AC1333"/>
    <w:rsid w:val="00AC178C"/>
    <w:rsid w:val="00AC1C19"/>
    <w:rsid w:val="00AC2082"/>
    <w:rsid w:val="00AC26A7"/>
    <w:rsid w:val="00AC2FCA"/>
    <w:rsid w:val="00AC35F6"/>
    <w:rsid w:val="00AC4CA8"/>
    <w:rsid w:val="00AC50C7"/>
    <w:rsid w:val="00AC6673"/>
    <w:rsid w:val="00AC6C6B"/>
    <w:rsid w:val="00AC7393"/>
    <w:rsid w:val="00AD08B3"/>
    <w:rsid w:val="00AD0F5C"/>
    <w:rsid w:val="00AD169B"/>
    <w:rsid w:val="00AD173F"/>
    <w:rsid w:val="00AD25EB"/>
    <w:rsid w:val="00AD4370"/>
    <w:rsid w:val="00AD4AFB"/>
    <w:rsid w:val="00AD51B8"/>
    <w:rsid w:val="00AD6B52"/>
    <w:rsid w:val="00AD79D8"/>
    <w:rsid w:val="00AE0A48"/>
    <w:rsid w:val="00AE2E5F"/>
    <w:rsid w:val="00AE3AEE"/>
    <w:rsid w:val="00AE44C8"/>
    <w:rsid w:val="00AE4D33"/>
    <w:rsid w:val="00AE5A44"/>
    <w:rsid w:val="00AE67BB"/>
    <w:rsid w:val="00AE7A88"/>
    <w:rsid w:val="00AF0032"/>
    <w:rsid w:val="00AF13A4"/>
    <w:rsid w:val="00AF16EB"/>
    <w:rsid w:val="00AF1B8A"/>
    <w:rsid w:val="00AF21F5"/>
    <w:rsid w:val="00AF334D"/>
    <w:rsid w:val="00AF3A87"/>
    <w:rsid w:val="00AF561D"/>
    <w:rsid w:val="00AF5AF9"/>
    <w:rsid w:val="00AF6A5B"/>
    <w:rsid w:val="00AF6C42"/>
    <w:rsid w:val="00AF6FEC"/>
    <w:rsid w:val="00B02176"/>
    <w:rsid w:val="00B02512"/>
    <w:rsid w:val="00B05B85"/>
    <w:rsid w:val="00B06162"/>
    <w:rsid w:val="00B07F22"/>
    <w:rsid w:val="00B10E67"/>
    <w:rsid w:val="00B110DA"/>
    <w:rsid w:val="00B11424"/>
    <w:rsid w:val="00B11AC5"/>
    <w:rsid w:val="00B11BFC"/>
    <w:rsid w:val="00B1299D"/>
    <w:rsid w:val="00B13558"/>
    <w:rsid w:val="00B137FF"/>
    <w:rsid w:val="00B13A12"/>
    <w:rsid w:val="00B148FD"/>
    <w:rsid w:val="00B14930"/>
    <w:rsid w:val="00B14D95"/>
    <w:rsid w:val="00B15022"/>
    <w:rsid w:val="00B150E7"/>
    <w:rsid w:val="00B1575D"/>
    <w:rsid w:val="00B15C81"/>
    <w:rsid w:val="00B2016D"/>
    <w:rsid w:val="00B22AB7"/>
    <w:rsid w:val="00B260FA"/>
    <w:rsid w:val="00B26E96"/>
    <w:rsid w:val="00B27CB5"/>
    <w:rsid w:val="00B27EA8"/>
    <w:rsid w:val="00B307CB"/>
    <w:rsid w:val="00B319EA"/>
    <w:rsid w:val="00B3449C"/>
    <w:rsid w:val="00B35D6E"/>
    <w:rsid w:val="00B37D0F"/>
    <w:rsid w:val="00B40B96"/>
    <w:rsid w:val="00B41674"/>
    <w:rsid w:val="00B41C08"/>
    <w:rsid w:val="00B42586"/>
    <w:rsid w:val="00B4292A"/>
    <w:rsid w:val="00B42970"/>
    <w:rsid w:val="00B430AF"/>
    <w:rsid w:val="00B438C1"/>
    <w:rsid w:val="00B43BAC"/>
    <w:rsid w:val="00B458ED"/>
    <w:rsid w:val="00B46D7C"/>
    <w:rsid w:val="00B46FAE"/>
    <w:rsid w:val="00B50653"/>
    <w:rsid w:val="00B50C8A"/>
    <w:rsid w:val="00B52176"/>
    <w:rsid w:val="00B52767"/>
    <w:rsid w:val="00B528A1"/>
    <w:rsid w:val="00B5331A"/>
    <w:rsid w:val="00B537D3"/>
    <w:rsid w:val="00B56986"/>
    <w:rsid w:val="00B57262"/>
    <w:rsid w:val="00B577F1"/>
    <w:rsid w:val="00B57AD8"/>
    <w:rsid w:val="00B62349"/>
    <w:rsid w:val="00B6258C"/>
    <w:rsid w:val="00B6275C"/>
    <w:rsid w:val="00B6374B"/>
    <w:rsid w:val="00B639B6"/>
    <w:rsid w:val="00B63F55"/>
    <w:rsid w:val="00B64634"/>
    <w:rsid w:val="00B64D69"/>
    <w:rsid w:val="00B64E75"/>
    <w:rsid w:val="00B65993"/>
    <w:rsid w:val="00B65B7B"/>
    <w:rsid w:val="00B65C09"/>
    <w:rsid w:val="00B665A7"/>
    <w:rsid w:val="00B67E9E"/>
    <w:rsid w:val="00B71209"/>
    <w:rsid w:val="00B716B5"/>
    <w:rsid w:val="00B71F5C"/>
    <w:rsid w:val="00B729A8"/>
    <w:rsid w:val="00B72AF5"/>
    <w:rsid w:val="00B739E5"/>
    <w:rsid w:val="00B75D10"/>
    <w:rsid w:val="00B76A6F"/>
    <w:rsid w:val="00B77BAB"/>
    <w:rsid w:val="00B81298"/>
    <w:rsid w:val="00B82555"/>
    <w:rsid w:val="00B835FD"/>
    <w:rsid w:val="00B840B6"/>
    <w:rsid w:val="00B84F8E"/>
    <w:rsid w:val="00B85753"/>
    <w:rsid w:val="00B85AFC"/>
    <w:rsid w:val="00B86CD1"/>
    <w:rsid w:val="00B8748E"/>
    <w:rsid w:val="00B877A3"/>
    <w:rsid w:val="00B90629"/>
    <w:rsid w:val="00B9207E"/>
    <w:rsid w:val="00B9208D"/>
    <w:rsid w:val="00B92431"/>
    <w:rsid w:val="00B930F2"/>
    <w:rsid w:val="00B94441"/>
    <w:rsid w:val="00B94575"/>
    <w:rsid w:val="00B948DF"/>
    <w:rsid w:val="00B967D8"/>
    <w:rsid w:val="00B97958"/>
    <w:rsid w:val="00B97EC6"/>
    <w:rsid w:val="00BA0055"/>
    <w:rsid w:val="00BA053D"/>
    <w:rsid w:val="00BA0B6A"/>
    <w:rsid w:val="00BA0FE9"/>
    <w:rsid w:val="00BA28D1"/>
    <w:rsid w:val="00BA3E4C"/>
    <w:rsid w:val="00BA3EC3"/>
    <w:rsid w:val="00BA4A19"/>
    <w:rsid w:val="00BA4B66"/>
    <w:rsid w:val="00BA68B4"/>
    <w:rsid w:val="00BA6E5C"/>
    <w:rsid w:val="00BA78A8"/>
    <w:rsid w:val="00BB02DD"/>
    <w:rsid w:val="00BB0482"/>
    <w:rsid w:val="00BB08B4"/>
    <w:rsid w:val="00BB1FF9"/>
    <w:rsid w:val="00BB3463"/>
    <w:rsid w:val="00BB3B78"/>
    <w:rsid w:val="00BB5BA0"/>
    <w:rsid w:val="00BB5DD7"/>
    <w:rsid w:val="00BB6204"/>
    <w:rsid w:val="00BB7113"/>
    <w:rsid w:val="00BB7ADE"/>
    <w:rsid w:val="00BC074C"/>
    <w:rsid w:val="00BC0E70"/>
    <w:rsid w:val="00BC2541"/>
    <w:rsid w:val="00BC3050"/>
    <w:rsid w:val="00BC444B"/>
    <w:rsid w:val="00BC48B2"/>
    <w:rsid w:val="00BC543C"/>
    <w:rsid w:val="00BC5CD5"/>
    <w:rsid w:val="00BC6272"/>
    <w:rsid w:val="00BC65D3"/>
    <w:rsid w:val="00BC7406"/>
    <w:rsid w:val="00BD0801"/>
    <w:rsid w:val="00BD12E2"/>
    <w:rsid w:val="00BD19A9"/>
    <w:rsid w:val="00BD1F3A"/>
    <w:rsid w:val="00BD3409"/>
    <w:rsid w:val="00BD3A64"/>
    <w:rsid w:val="00BD4438"/>
    <w:rsid w:val="00BD4557"/>
    <w:rsid w:val="00BD4723"/>
    <w:rsid w:val="00BD5766"/>
    <w:rsid w:val="00BE283B"/>
    <w:rsid w:val="00BE2A67"/>
    <w:rsid w:val="00BE3F81"/>
    <w:rsid w:val="00BE3FB2"/>
    <w:rsid w:val="00BE43D4"/>
    <w:rsid w:val="00BE5409"/>
    <w:rsid w:val="00BE7690"/>
    <w:rsid w:val="00BE7AAE"/>
    <w:rsid w:val="00BF07BC"/>
    <w:rsid w:val="00BF09F2"/>
    <w:rsid w:val="00BF2132"/>
    <w:rsid w:val="00BF2787"/>
    <w:rsid w:val="00BF2870"/>
    <w:rsid w:val="00BF3007"/>
    <w:rsid w:val="00BF3B2D"/>
    <w:rsid w:val="00BF3B95"/>
    <w:rsid w:val="00BF5004"/>
    <w:rsid w:val="00BF56F5"/>
    <w:rsid w:val="00BF79BC"/>
    <w:rsid w:val="00BF7A38"/>
    <w:rsid w:val="00C0026A"/>
    <w:rsid w:val="00C00959"/>
    <w:rsid w:val="00C03AD5"/>
    <w:rsid w:val="00C07DA3"/>
    <w:rsid w:val="00C07DFE"/>
    <w:rsid w:val="00C10734"/>
    <w:rsid w:val="00C11163"/>
    <w:rsid w:val="00C127E3"/>
    <w:rsid w:val="00C12F8B"/>
    <w:rsid w:val="00C13926"/>
    <w:rsid w:val="00C13EAF"/>
    <w:rsid w:val="00C1406E"/>
    <w:rsid w:val="00C1461A"/>
    <w:rsid w:val="00C15617"/>
    <w:rsid w:val="00C1563B"/>
    <w:rsid w:val="00C157B9"/>
    <w:rsid w:val="00C16E35"/>
    <w:rsid w:val="00C206C9"/>
    <w:rsid w:val="00C20771"/>
    <w:rsid w:val="00C209A9"/>
    <w:rsid w:val="00C21038"/>
    <w:rsid w:val="00C21A66"/>
    <w:rsid w:val="00C22F74"/>
    <w:rsid w:val="00C236D8"/>
    <w:rsid w:val="00C23BD4"/>
    <w:rsid w:val="00C23C50"/>
    <w:rsid w:val="00C27137"/>
    <w:rsid w:val="00C27928"/>
    <w:rsid w:val="00C279C6"/>
    <w:rsid w:val="00C30DA2"/>
    <w:rsid w:val="00C32E0F"/>
    <w:rsid w:val="00C338B7"/>
    <w:rsid w:val="00C34EC3"/>
    <w:rsid w:val="00C36E40"/>
    <w:rsid w:val="00C374B5"/>
    <w:rsid w:val="00C40073"/>
    <w:rsid w:val="00C400A0"/>
    <w:rsid w:val="00C42D39"/>
    <w:rsid w:val="00C45A28"/>
    <w:rsid w:val="00C45BE9"/>
    <w:rsid w:val="00C45D24"/>
    <w:rsid w:val="00C46D29"/>
    <w:rsid w:val="00C47AE5"/>
    <w:rsid w:val="00C47C47"/>
    <w:rsid w:val="00C51682"/>
    <w:rsid w:val="00C52093"/>
    <w:rsid w:val="00C522D5"/>
    <w:rsid w:val="00C53D3B"/>
    <w:rsid w:val="00C53D5E"/>
    <w:rsid w:val="00C5468C"/>
    <w:rsid w:val="00C55A58"/>
    <w:rsid w:val="00C55DCD"/>
    <w:rsid w:val="00C60065"/>
    <w:rsid w:val="00C6039D"/>
    <w:rsid w:val="00C625C8"/>
    <w:rsid w:val="00C62735"/>
    <w:rsid w:val="00C649D4"/>
    <w:rsid w:val="00C650BB"/>
    <w:rsid w:val="00C662A1"/>
    <w:rsid w:val="00C67DA9"/>
    <w:rsid w:val="00C70434"/>
    <w:rsid w:val="00C70C25"/>
    <w:rsid w:val="00C70C43"/>
    <w:rsid w:val="00C720DD"/>
    <w:rsid w:val="00C7271F"/>
    <w:rsid w:val="00C73885"/>
    <w:rsid w:val="00C74B77"/>
    <w:rsid w:val="00C778FE"/>
    <w:rsid w:val="00C80FC8"/>
    <w:rsid w:val="00C83ABE"/>
    <w:rsid w:val="00C83E80"/>
    <w:rsid w:val="00C850F4"/>
    <w:rsid w:val="00C86E97"/>
    <w:rsid w:val="00C87774"/>
    <w:rsid w:val="00C879FA"/>
    <w:rsid w:val="00C87AF2"/>
    <w:rsid w:val="00C87B8C"/>
    <w:rsid w:val="00C91825"/>
    <w:rsid w:val="00C973A4"/>
    <w:rsid w:val="00CA00C3"/>
    <w:rsid w:val="00CA0521"/>
    <w:rsid w:val="00CA187B"/>
    <w:rsid w:val="00CA1CFE"/>
    <w:rsid w:val="00CA44A4"/>
    <w:rsid w:val="00CA4BFF"/>
    <w:rsid w:val="00CA4F3B"/>
    <w:rsid w:val="00CA6052"/>
    <w:rsid w:val="00CA6675"/>
    <w:rsid w:val="00CA77A2"/>
    <w:rsid w:val="00CA7CAE"/>
    <w:rsid w:val="00CB1369"/>
    <w:rsid w:val="00CB2A4F"/>
    <w:rsid w:val="00CB35A0"/>
    <w:rsid w:val="00CB3B80"/>
    <w:rsid w:val="00CB3FDC"/>
    <w:rsid w:val="00CB473D"/>
    <w:rsid w:val="00CB4BF4"/>
    <w:rsid w:val="00CB4F22"/>
    <w:rsid w:val="00CB5A6B"/>
    <w:rsid w:val="00CB5AEB"/>
    <w:rsid w:val="00CB5B65"/>
    <w:rsid w:val="00CB5BE1"/>
    <w:rsid w:val="00CB6367"/>
    <w:rsid w:val="00CB641F"/>
    <w:rsid w:val="00CB6799"/>
    <w:rsid w:val="00CB76D1"/>
    <w:rsid w:val="00CC033D"/>
    <w:rsid w:val="00CC134C"/>
    <w:rsid w:val="00CC1977"/>
    <w:rsid w:val="00CC1C79"/>
    <w:rsid w:val="00CC2926"/>
    <w:rsid w:val="00CC2CFA"/>
    <w:rsid w:val="00CC3677"/>
    <w:rsid w:val="00CC3C37"/>
    <w:rsid w:val="00CC465A"/>
    <w:rsid w:val="00CC62FF"/>
    <w:rsid w:val="00CC6A7F"/>
    <w:rsid w:val="00CD0099"/>
    <w:rsid w:val="00CD1063"/>
    <w:rsid w:val="00CD1682"/>
    <w:rsid w:val="00CD1D12"/>
    <w:rsid w:val="00CD1DB8"/>
    <w:rsid w:val="00CD3731"/>
    <w:rsid w:val="00CD3AA0"/>
    <w:rsid w:val="00CD3C09"/>
    <w:rsid w:val="00CD3F71"/>
    <w:rsid w:val="00CD5258"/>
    <w:rsid w:val="00CD52B7"/>
    <w:rsid w:val="00CD549B"/>
    <w:rsid w:val="00CD56C1"/>
    <w:rsid w:val="00CD74AA"/>
    <w:rsid w:val="00CE0DA1"/>
    <w:rsid w:val="00CE1FD0"/>
    <w:rsid w:val="00CE3E58"/>
    <w:rsid w:val="00CE3EB7"/>
    <w:rsid w:val="00CE433A"/>
    <w:rsid w:val="00CE5488"/>
    <w:rsid w:val="00CE5588"/>
    <w:rsid w:val="00CE6523"/>
    <w:rsid w:val="00CE6A94"/>
    <w:rsid w:val="00CE6D2E"/>
    <w:rsid w:val="00CE7BDC"/>
    <w:rsid w:val="00CF093B"/>
    <w:rsid w:val="00CF3AEF"/>
    <w:rsid w:val="00CF3BEE"/>
    <w:rsid w:val="00CF5A56"/>
    <w:rsid w:val="00CF6031"/>
    <w:rsid w:val="00CF6500"/>
    <w:rsid w:val="00CF69BC"/>
    <w:rsid w:val="00CF6ADC"/>
    <w:rsid w:val="00CF762B"/>
    <w:rsid w:val="00CF790C"/>
    <w:rsid w:val="00CF7A58"/>
    <w:rsid w:val="00D00FF9"/>
    <w:rsid w:val="00D0144E"/>
    <w:rsid w:val="00D024C5"/>
    <w:rsid w:val="00D0334A"/>
    <w:rsid w:val="00D03D7A"/>
    <w:rsid w:val="00D0429D"/>
    <w:rsid w:val="00D04851"/>
    <w:rsid w:val="00D04A8C"/>
    <w:rsid w:val="00D05422"/>
    <w:rsid w:val="00D0605F"/>
    <w:rsid w:val="00D07CBD"/>
    <w:rsid w:val="00D07F0F"/>
    <w:rsid w:val="00D107CE"/>
    <w:rsid w:val="00D11CAC"/>
    <w:rsid w:val="00D13E20"/>
    <w:rsid w:val="00D13EB3"/>
    <w:rsid w:val="00D1438C"/>
    <w:rsid w:val="00D1647B"/>
    <w:rsid w:val="00D16F0F"/>
    <w:rsid w:val="00D20E4E"/>
    <w:rsid w:val="00D21D5B"/>
    <w:rsid w:val="00D22524"/>
    <w:rsid w:val="00D25890"/>
    <w:rsid w:val="00D25F7E"/>
    <w:rsid w:val="00D268C0"/>
    <w:rsid w:val="00D277EC"/>
    <w:rsid w:val="00D27A33"/>
    <w:rsid w:val="00D30A4A"/>
    <w:rsid w:val="00D30CE0"/>
    <w:rsid w:val="00D30EAD"/>
    <w:rsid w:val="00D3119D"/>
    <w:rsid w:val="00D339B3"/>
    <w:rsid w:val="00D365FB"/>
    <w:rsid w:val="00D36872"/>
    <w:rsid w:val="00D3751B"/>
    <w:rsid w:val="00D410A5"/>
    <w:rsid w:val="00D4181D"/>
    <w:rsid w:val="00D41D65"/>
    <w:rsid w:val="00D4426A"/>
    <w:rsid w:val="00D4519E"/>
    <w:rsid w:val="00D45FB8"/>
    <w:rsid w:val="00D4626D"/>
    <w:rsid w:val="00D479E8"/>
    <w:rsid w:val="00D47D18"/>
    <w:rsid w:val="00D50B13"/>
    <w:rsid w:val="00D5150A"/>
    <w:rsid w:val="00D51C12"/>
    <w:rsid w:val="00D5241E"/>
    <w:rsid w:val="00D5254D"/>
    <w:rsid w:val="00D53A05"/>
    <w:rsid w:val="00D5440A"/>
    <w:rsid w:val="00D54E84"/>
    <w:rsid w:val="00D55480"/>
    <w:rsid w:val="00D56ED0"/>
    <w:rsid w:val="00D57801"/>
    <w:rsid w:val="00D57C48"/>
    <w:rsid w:val="00D57DF7"/>
    <w:rsid w:val="00D622C6"/>
    <w:rsid w:val="00D62482"/>
    <w:rsid w:val="00D6288D"/>
    <w:rsid w:val="00D632BF"/>
    <w:rsid w:val="00D6475F"/>
    <w:rsid w:val="00D64D9F"/>
    <w:rsid w:val="00D65709"/>
    <w:rsid w:val="00D65E07"/>
    <w:rsid w:val="00D65E36"/>
    <w:rsid w:val="00D6659C"/>
    <w:rsid w:val="00D666E5"/>
    <w:rsid w:val="00D67C94"/>
    <w:rsid w:val="00D67EB1"/>
    <w:rsid w:val="00D70A4C"/>
    <w:rsid w:val="00D70B3C"/>
    <w:rsid w:val="00D71081"/>
    <w:rsid w:val="00D71E38"/>
    <w:rsid w:val="00D7259E"/>
    <w:rsid w:val="00D72C9E"/>
    <w:rsid w:val="00D72CF4"/>
    <w:rsid w:val="00D72F14"/>
    <w:rsid w:val="00D73BA0"/>
    <w:rsid w:val="00D7546E"/>
    <w:rsid w:val="00D761FB"/>
    <w:rsid w:val="00D765CF"/>
    <w:rsid w:val="00D77720"/>
    <w:rsid w:val="00D82B54"/>
    <w:rsid w:val="00D84020"/>
    <w:rsid w:val="00D850F9"/>
    <w:rsid w:val="00D859AA"/>
    <w:rsid w:val="00D85CE5"/>
    <w:rsid w:val="00D86102"/>
    <w:rsid w:val="00D86765"/>
    <w:rsid w:val="00D912CF"/>
    <w:rsid w:val="00D94C13"/>
    <w:rsid w:val="00D94FB7"/>
    <w:rsid w:val="00D96579"/>
    <w:rsid w:val="00D97D2A"/>
    <w:rsid w:val="00DA0258"/>
    <w:rsid w:val="00DA0531"/>
    <w:rsid w:val="00DA06AF"/>
    <w:rsid w:val="00DA06C1"/>
    <w:rsid w:val="00DA2DE8"/>
    <w:rsid w:val="00DA3222"/>
    <w:rsid w:val="00DA4C52"/>
    <w:rsid w:val="00DA603F"/>
    <w:rsid w:val="00DA7C98"/>
    <w:rsid w:val="00DA7DDA"/>
    <w:rsid w:val="00DB0F77"/>
    <w:rsid w:val="00DB1A8B"/>
    <w:rsid w:val="00DB3391"/>
    <w:rsid w:val="00DB6022"/>
    <w:rsid w:val="00DB6B0C"/>
    <w:rsid w:val="00DB7491"/>
    <w:rsid w:val="00DB7AD4"/>
    <w:rsid w:val="00DC0BEB"/>
    <w:rsid w:val="00DC0DC7"/>
    <w:rsid w:val="00DC1C65"/>
    <w:rsid w:val="00DC2C74"/>
    <w:rsid w:val="00DC304F"/>
    <w:rsid w:val="00DC34DC"/>
    <w:rsid w:val="00DC5A5F"/>
    <w:rsid w:val="00DC5D98"/>
    <w:rsid w:val="00DC69C6"/>
    <w:rsid w:val="00DC6C4C"/>
    <w:rsid w:val="00DD008C"/>
    <w:rsid w:val="00DD0104"/>
    <w:rsid w:val="00DD1F8D"/>
    <w:rsid w:val="00DD2CC5"/>
    <w:rsid w:val="00DD46AD"/>
    <w:rsid w:val="00DD68F0"/>
    <w:rsid w:val="00DE46A7"/>
    <w:rsid w:val="00DE50C6"/>
    <w:rsid w:val="00DE5975"/>
    <w:rsid w:val="00DE78F8"/>
    <w:rsid w:val="00DE7DD0"/>
    <w:rsid w:val="00DF1358"/>
    <w:rsid w:val="00DF326F"/>
    <w:rsid w:val="00DF45F7"/>
    <w:rsid w:val="00DF4C52"/>
    <w:rsid w:val="00DF5862"/>
    <w:rsid w:val="00DF613E"/>
    <w:rsid w:val="00E00A50"/>
    <w:rsid w:val="00E0156A"/>
    <w:rsid w:val="00E0157A"/>
    <w:rsid w:val="00E01E33"/>
    <w:rsid w:val="00E02769"/>
    <w:rsid w:val="00E02A8F"/>
    <w:rsid w:val="00E0330B"/>
    <w:rsid w:val="00E047DA"/>
    <w:rsid w:val="00E04870"/>
    <w:rsid w:val="00E06D9F"/>
    <w:rsid w:val="00E06EF8"/>
    <w:rsid w:val="00E10094"/>
    <w:rsid w:val="00E10A75"/>
    <w:rsid w:val="00E112E3"/>
    <w:rsid w:val="00E11AA5"/>
    <w:rsid w:val="00E120F0"/>
    <w:rsid w:val="00E12613"/>
    <w:rsid w:val="00E12872"/>
    <w:rsid w:val="00E1377A"/>
    <w:rsid w:val="00E14B0E"/>
    <w:rsid w:val="00E16CA0"/>
    <w:rsid w:val="00E16F1F"/>
    <w:rsid w:val="00E174F3"/>
    <w:rsid w:val="00E21FD3"/>
    <w:rsid w:val="00E2284B"/>
    <w:rsid w:val="00E23652"/>
    <w:rsid w:val="00E23F09"/>
    <w:rsid w:val="00E251B8"/>
    <w:rsid w:val="00E262E6"/>
    <w:rsid w:val="00E26742"/>
    <w:rsid w:val="00E26DAD"/>
    <w:rsid w:val="00E27209"/>
    <w:rsid w:val="00E27BCF"/>
    <w:rsid w:val="00E304E0"/>
    <w:rsid w:val="00E316AF"/>
    <w:rsid w:val="00E32345"/>
    <w:rsid w:val="00E32515"/>
    <w:rsid w:val="00E33093"/>
    <w:rsid w:val="00E33478"/>
    <w:rsid w:val="00E337E9"/>
    <w:rsid w:val="00E33915"/>
    <w:rsid w:val="00E34793"/>
    <w:rsid w:val="00E34EA3"/>
    <w:rsid w:val="00E353BE"/>
    <w:rsid w:val="00E35F4F"/>
    <w:rsid w:val="00E360BB"/>
    <w:rsid w:val="00E36456"/>
    <w:rsid w:val="00E3666A"/>
    <w:rsid w:val="00E36E55"/>
    <w:rsid w:val="00E37152"/>
    <w:rsid w:val="00E37F15"/>
    <w:rsid w:val="00E40173"/>
    <w:rsid w:val="00E4056B"/>
    <w:rsid w:val="00E4160B"/>
    <w:rsid w:val="00E42B53"/>
    <w:rsid w:val="00E434AA"/>
    <w:rsid w:val="00E43AEE"/>
    <w:rsid w:val="00E43D81"/>
    <w:rsid w:val="00E459B4"/>
    <w:rsid w:val="00E4765A"/>
    <w:rsid w:val="00E5204A"/>
    <w:rsid w:val="00E53916"/>
    <w:rsid w:val="00E551C4"/>
    <w:rsid w:val="00E559B9"/>
    <w:rsid w:val="00E57305"/>
    <w:rsid w:val="00E577CA"/>
    <w:rsid w:val="00E60653"/>
    <w:rsid w:val="00E6105F"/>
    <w:rsid w:val="00E61290"/>
    <w:rsid w:val="00E61808"/>
    <w:rsid w:val="00E6190A"/>
    <w:rsid w:val="00E61AC4"/>
    <w:rsid w:val="00E62694"/>
    <w:rsid w:val="00E63712"/>
    <w:rsid w:val="00E63A01"/>
    <w:rsid w:val="00E65C54"/>
    <w:rsid w:val="00E66490"/>
    <w:rsid w:val="00E67416"/>
    <w:rsid w:val="00E679F9"/>
    <w:rsid w:val="00E70BF7"/>
    <w:rsid w:val="00E71FAB"/>
    <w:rsid w:val="00E727BC"/>
    <w:rsid w:val="00E73031"/>
    <w:rsid w:val="00E7367A"/>
    <w:rsid w:val="00E73D12"/>
    <w:rsid w:val="00E75BD9"/>
    <w:rsid w:val="00E75E9F"/>
    <w:rsid w:val="00E76E8F"/>
    <w:rsid w:val="00E777AE"/>
    <w:rsid w:val="00E80291"/>
    <w:rsid w:val="00E80613"/>
    <w:rsid w:val="00E80D02"/>
    <w:rsid w:val="00E818BC"/>
    <w:rsid w:val="00E824B9"/>
    <w:rsid w:val="00E82D55"/>
    <w:rsid w:val="00E82E9D"/>
    <w:rsid w:val="00E83D36"/>
    <w:rsid w:val="00E84C29"/>
    <w:rsid w:val="00E9030D"/>
    <w:rsid w:val="00E903FB"/>
    <w:rsid w:val="00E90AE9"/>
    <w:rsid w:val="00E91EF8"/>
    <w:rsid w:val="00E92724"/>
    <w:rsid w:val="00E92D6C"/>
    <w:rsid w:val="00E92EEF"/>
    <w:rsid w:val="00E92F3E"/>
    <w:rsid w:val="00E92FED"/>
    <w:rsid w:val="00E949EB"/>
    <w:rsid w:val="00E95D69"/>
    <w:rsid w:val="00E965DE"/>
    <w:rsid w:val="00E96754"/>
    <w:rsid w:val="00E9675B"/>
    <w:rsid w:val="00E96E15"/>
    <w:rsid w:val="00E97096"/>
    <w:rsid w:val="00EA07BF"/>
    <w:rsid w:val="00EA258E"/>
    <w:rsid w:val="00EA2778"/>
    <w:rsid w:val="00EA28A6"/>
    <w:rsid w:val="00EA343B"/>
    <w:rsid w:val="00EA3C6F"/>
    <w:rsid w:val="00EA4198"/>
    <w:rsid w:val="00EA4AE7"/>
    <w:rsid w:val="00EA4D26"/>
    <w:rsid w:val="00EA505C"/>
    <w:rsid w:val="00EA51F2"/>
    <w:rsid w:val="00EA52BD"/>
    <w:rsid w:val="00EA5641"/>
    <w:rsid w:val="00EA5BF1"/>
    <w:rsid w:val="00EA5F6F"/>
    <w:rsid w:val="00EA62C6"/>
    <w:rsid w:val="00EA782C"/>
    <w:rsid w:val="00EA7DF6"/>
    <w:rsid w:val="00EB0D95"/>
    <w:rsid w:val="00EB1DC5"/>
    <w:rsid w:val="00EB2291"/>
    <w:rsid w:val="00EB3069"/>
    <w:rsid w:val="00EB3149"/>
    <w:rsid w:val="00EB3986"/>
    <w:rsid w:val="00EB39E2"/>
    <w:rsid w:val="00EB3A39"/>
    <w:rsid w:val="00EB3AC4"/>
    <w:rsid w:val="00EB4219"/>
    <w:rsid w:val="00EB5617"/>
    <w:rsid w:val="00EB6661"/>
    <w:rsid w:val="00EB68D5"/>
    <w:rsid w:val="00EB68DC"/>
    <w:rsid w:val="00EC1F35"/>
    <w:rsid w:val="00EC3972"/>
    <w:rsid w:val="00EC50AF"/>
    <w:rsid w:val="00EC5930"/>
    <w:rsid w:val="00EC5DB3"/>
    <w:rsid w:val="00EC6882"/>
    <w:rsid w:val="00EC6BC5"/>
    <w:rsid w:val="00EC70E8"/>
    <w:rsid w:val="00EC7715"/>
    <w:rsid w:val="00EC78FE"/>
    <w:rsid w:val="00EC7B46"/>
    <w:rsid w:val="00ED0A1C"/>
    <w:rsid w:val="00ED24E8"/>
    <w:rsid w:val="00ED2A2E"/>
    <w:rsid w:val="00ED386D"/>
    <w:rsid w:val="00ED618F"/>
    <w:rsid w:val="00ED729E"/>
    <w:rsid w:val="00ED7B36"/>
    <w:rsid w:val="00EE1BD9"/>
    <w:rsid w:val="00EE30C7"/>
    <w:rsid w:val="00EE4164"/>
    <w:rsid w:val="00EE4934"/>
    <w:rsid w:val="00EE4F45"/>
    <w:rsid w:val="00EE569E"/>
    <w:rsid w:val="00EE77CA"/>
    <w:rsid w:val="00EE7DE8"/>
    <w:rsid w:val="00EF01E5"/>
    <w:rsid w:val="00EF02B1"/>
    <w:rsid w:val="00EF0C60"/>
    <w:rsid w:val="00EF187A"/>
    <w:rsid w:val="00EF1FAD"/>
    <w:rsid w:val="00EF3818"/>
    <w:rsid w:val="00EF3C11"/>
    <w:rsid w:val="00EF47BC"/>
    <w:rsid w:val="00EF5025"/>
    <w:rsid w:val="00EF558F"/>
    <w:rsid w:val="00F0091F"/>
    <w:rsid w:val="00F009D5"/>
    <w:rsid w:val="00F01374"/>
    <w:rsid w:val="00F0321D"/>
    <w:rsid w:val="00F039C7"/>
    <w:rsid w:val="00F03BF4"/>
    <w:rsid w:val="00F0413B"/>
    <w:rsid w:val="00F05B11"/>
    <w:rsid w:val="00F05D3F"/>
    <w:rsid w:val="00F06C95"/>
    <w:rsid w:val="00F06D1B"/>
    <w:rsid w:val="00F07806"/>
    <w:rsid w:val="00F112D7"/>
    <w:rsid w:val="00F13A2D"/>
    <w:rsid w:val="00F16352"/>
    <w:rsid w:val="00F207D4"/>
    <w:rsid w:val="00F21B60"/>
    <w:rsid w:val="00F23B1A"/>
    <w:rsid w:val="00F23CE2"/>
    <w:rsid w:val="00F24280"/>
    <w:rsid w:val="00F312DF"/>
    <w:rsid w:val="00F33893"/>
    <w:rsid w:val="00F35EB3"/>
    <w:rsid w:val="00F36291"/>
    <w:rsid w:val="00F36D19"/>
    <w:rsid w:val="00F4075F"/>
    <w:rsid w:val="00F414FC"/>
    <w:rsid w:val="00F41A20"/>
    <w:rsid w:val="00F43373"/>
    <w:rsid w:val="00F43989"/>
    <w:rsid w:val="00F44D5F"/>
    <w:rsid w:val="00F450F1"/>
    <w:rsid w:val="00F458F4"/>
    <w:rsid w:val="00F464ED"/>
    <w:rsid w:val="00F467F2"/>
    <w:rsid w:val="00F47991"/>
    <w:rsid w:val="00F51095"/>
    <w:rsid w:val="00F5246D"/>
    <w:rsid w:val="00F52637"/>
    <w:rsid w:val="00F529D6"/>
    <w:rsid w:val="00F53523"/>
    <w:rsid w:val="00F538F4"/>
    <w:rsid w:val="00F53A99"/>
    <w:rsid w:val="00F53AB4"/>
    <w:rsid w:val="00F54012"/>
    <w:rsid w:val="00F5531C"/>
    <w:rsid w:val="00F553F2"/>
    <w:rsid w:val="00F55934"/>
    <w:rsid w:val="00F5757B"/>
    <w:rsid w:val="00F57D64"/>
    <w:rsid w:val="00F612FC"/>
    <w:rsid w:val="00F61B5A"/>
    <w:rsid w:val="00F62631"/>
    <w:rsid w:val="00F626EB"/>
    <w:rsid w:val="00F636EB"/>
    <w:rsid w:val="00F6381C"/>
    <w:rsid w:val="00F63E79"/>
    <w:rsid w:val="00F64B34"/>
    <w:rsid w:val="00F64C4E"/>
    <w:rsid w:val="00F65749"/>
    <w:rsid w:val="00F65BC7"/>
    <w:rsid w:val="00F670A4"/>
    <w:rsid w:val="00F67590"/>
    <w:rsid w:val="00F705C5"/>
    <w:rsid w:val="00F70ADA"/>
    <w:rsid w:val="00F70D15"/>
    <w:rsid w:val="00F711FF"/>
    <w:rsid w:val="00F71D65"/>
    <w:rsid w:val="00F72C8E"/>
    <w:rsid w:val="00F72CDC"/>
    <w:rsid w:val="00F72D4F"/>
    <w:rsid w:val="00F72E0E"/>
    <w:rsid w:val="00F7337D"/>
    <w:rsid w:val="00F73E40"/>
    <w:rsid w:val="00F7426F"/>
    <w:rsid w:val="00F74FA7"/>
    <w:rsid w:val="00F7693F"/>
    <w:rsid w:val="00F800DC"/>
    <w:rsid w:val="00F8147E"/>
    <w:rsid w:val="00F8206A"/>
    <w:rsid w:val="00F8345F"/>
    <w:rsid w:val="00F8425A"/>
    <w:rsid w:val="00F846A1"/>
    <w:rsid w:val="00F85736"/>
    <w:rsid w:val="00F866EB"/>
    <w:rsid w:val="00F90547"/>
    <w:rsid w:val="00F90616"/>
    <w:rsid w:val="00F916F3"/>
    <w:rsid w:val="00F92540"/>
    <w:rsid w:val="00F93334"/>
    <w:rsid w:val="00F934AE"/>
    <w:rsid w:val="00F939FC"/>
    <w:rsid w:val="00F93D67"/>
    <w:rsid w:val="00F9400D"/>
    <w:rsid w:val="00F9442C"/>
    <w:rsid w:val="00F951D7"/>
    <w:rsid w:val="00F9545E"/>
    <w:rsid w:val="00F95495"/>
    <w:rsid w:val="00F96877"/>
    <w:rsid w:val="00F96A39"/>
    <w:rsid w:val="00F96E50"/>
    <w:rsid w:val="00F97100"/>
    <w:rsid w:val="00F976E7"/>
    <w:rsid w:val="00FA052C"/>
    <w:rsid w:val="00FA1DED"/>
    <w:rsid w:val="00FA2111"/>
    <w:rsid w:val="00FA682E"/>
    <w:rsid w:val="00FA7585"/>
    <w:rsid w:val="00FB0727"/>
    <w:rsid w:val="00FB17AB"/>
    <w:rsid w:val="00FB207E"/>
    <w:rsid w:val="00FB2A8E"/>
    <w:rsid w:val="00FB2E68"/>
    <w:rsid w:val="00FB3E44"/>
    <w:rsid w:val="00FB50D7"/>
    <w:rsid w:val="00FB75C1"/>
    <w:rsid w:val="00FC0D8A"/>
    <w:rsid w:val="00FC113F"/>
    <w:rsid w:val="00FC1465"/>
    <w:rsid w:val="00FC19B9"/>
    <w:rsid w:val="00FC1ED2"/>
    <w:rsid w:val="00FC2792"/>
    <w:rsid w:val="00FC334A"/>
    <w:rsid w:val="00FC79FD"/>
    <w:rsid w:val="00FD1812"/>
    <w:rsid w:val="00FD1FE8"/>
    <w:rsid w:val="00FD50F6"/>
    <w:rsid w:val="00FD59AC"/>
    <w:rsid w:val="00FD5DAB"/>
    <w:rsid w:val="00FD5F93"/>
    <w:rsid w:val="00FD6A5C"/>
    <w:rsid w:val="00FE0035"/>
    <w:rsid w:val="00FE1B40"/>
    <w:rsid w:val="00FE2705"/>
    <w:rsid w:val="00FE2A4D"/>
    <w:rsid w:val="00FE4E4C"/>
    <w:rsid w:val="00FE5F45"/>
    <w:rsid w:val="00FE77CE"/>
    <w:rsid w:val="00FF0B29"/>
    <w:rsid w:val="00FF0ED8"/>
    <w:rsid w:val="00FF1C04"/>
    <w:rsid w:val="00FF1D45"/>
    <w:rsid w:val="00FF2795"/>
    <w:rsid w:val="00FF2802"/>
    <w:rsid w:val="00FF2E29"/>
    <w:rsid w:val="00FF300C"/>
    <w:rsid w:val="00FF3ED8"/>
    <w:rsid w:val="00FF4B2C"/>
    <w:rsid w:val="00FF55FA"/>
    <w:rsid w:val="00FF6034"/>
    <w:rsid w:val="00FF6329"/>
    <w:rsid w:val="079E929F"/>
    <w:rsid w:val="1CFFE495"/>
    <w:rsid w:val="21D3E384"/>
    <w:rsid w:val="22224900"/>
    <w:rsid w:val="2CFCE09C"/>
    <w:rsid w:val="36FF0EE6"/>
    <w:rsid w:val="37D8B252"/>
    <w:rsid w:val="5156DC07"/>
    <w:rsid w:val="5F3FFA5D"/>
    <w:rsid w:val="5FE3CCFA"/>
    <w:rsid w:val="6FEFB894"/>
    <w:rsid w:val="6FF5854B"/>
    <w:rsid w:val="73EA7183"/>
    <w:rsid w:val="73FF51A2"/>
    <w:rsid w:val="77CA4299"/>
    <w:rsid w:val="77EA8F71"/>
    <w:rsid w:val="7AF357E7"/>
    <w:rsid w:val="7B6F649F"/>
    <w:rsid w:val="7CF57D6E"/>
    <w:rsid w:val="7D7C5511"/>
    <w:rsid w:val="7EFF277C"/>
    <w:rsid w:val="7F7AD505"/>
    <w:rsid w:val="7FCF283F"/>
    <w:rsid w:val="7FDD0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CD4EE"/>
  <w15:docId w15:val="{10ACDA96-0949-4365-ABBA-863210D0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0" w:unhideWhenUsed="1" w:qFormat="1"/>
    <w:lsdException w:name="heading 5" w:uiPriority="9" w:unhideWhenUsed="1" w:qFormat="1"/>
    <w:lsdException w:name="heading 6" w:uiPriority="0" w:unhideWhenUsed="1" w:qFormat="1"/>
    <w:lsdException w:name="heading 7" w:uiPriority="0" w:unhideWhenUsed="1" w:qFormat="1"/>
    <w:lsdException w:name="heading 8" w:uiPriority="9" w:unhideWhenUsed="1" w:qFormat="1"/>
    <w:lsdException w:name="heading 9" w:uiPriority="9"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uiPriority="0" w:unhideWhenUsed="1" w:qFormat="1"/>
    <w:lsdException w:name="header" w:uiPriority="0" w:unhideWhenUsed="1" w:qFormat="1"/>
    <w:lsdException w:name="footer" w:uiPriority="0"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iPriority="0" w:unhideWhenUsed="1" w:qFormat="1"/>
    <w:lsdException w:name="macro" w:semiHidden="1" w:uiPriority="0" w:unhideWhenUsed="1" w:qFormat="1"/>
    <w:lsdException w:name="toa heading" w:semiHidden="1" w:uiPriority="0" w:unhideWhenUsed="1" w:qFormat="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c">
    <w:name w:val="Normal"/>
    <w:qFormat/>
    <w:rsid w:val="00A65181"/>
    <w:pPr>
      <w:widowControl w:val="0"/>
      <w:spacing w:line="360" w:lineRule="auto"/>
      <w:jc w:val="both"/>
    </w:pPr>
    <w:rPr>
      <w:rFonts w:asciiTheme="minorHAnsi" w:hAnsiTheme="minorHAnsi" w:cstheme="minorBidi"/>
      <w:kern w:val="2"/>
      <w:sz w:val="24"/>
      <w:szCs w:val="21"/>
    </w:rPr>
  </w:style>
  <w:style w:type="paragraph" w:styleId="12">
    <w:name w:val="heading 1"/>
    <w:aliases w:val="标题 1-章,标题 1 1,篇,投标-章节标题,编号标题1,11,12,13,14,15,111,121,131,16,112,122,132,17,113,123,133,18,114,124,134,141,151,1111,1211,1311,161,1121,1221,1321,171,1131,1231,1331,19,115,125,135,142,152,1112,1212,1312,162,1122,1222,1322,172,1132,1232,1332,Title1,l1"/>
    <w:basedOn w:val="ac"/>
    <w:next w:val="ac"/>
    <w:link w:val="110"/>
    <w:uiPriority w:val="9"/>
    <w:qFormat/>
    <w:rsid w:val="00C720DD"/>
    <w:pPr>
      <w:numPr>
        <w:numId w:val="1"/>
      </w:numPr>
      <w:spacing w:before="340" w:after="340"/>
      <w:jc w:val="center"/>
      <w:outlineLvl w:val="0"/>
    </w:pPr>
    <w:rPr>
      <w:rFonts w:ascii="Times New Roman" w:hAnsi="Times New Roman"/>
      <w:b/>
      <w:bCs/>
      <w:kern w:val="44"/>
      <w:sz w:val="30"/>
      <w:szCs w:val="44"/>
    </w:rPr>
  </w:style>
  <w:style w:type="paragraph" w:styleId="2">
    <w:name w:val="heading 2"/>
    <w:aliases w:val="标题 2-节,ZC3号标黑,标题 1.1,编号标题2,2 headline,h,headline,S&amp;R2,ERMH2,Annex,211,221,231,212,222,232,213,223,233,214,224,234,241,251,2111,2211,2311,261,2121,2221,2321,271,2131,2231,2331,H2,h2,sect 1.2,Heading 2 Hidden,Heading 2 CCBS,第一章 标题 2,二级 1.1,Title 2,1题"/>
    <w:basedOn w:val="ac"/>
    <w:next w:val="ac"/>
    <w:link w:val="210"/>
    <w:uiPriority w:val="9"/>
    <w:unhideWhenUsed/>
    <w:qFormat/>
    <w:rsid w:val="00A65181"/>
    <w:pPr>
      <w:numPr>
        <w:ilvl w:val="1"/>
        <w:numId w:val="1"/>
      </w:numPr>
      <w:adjustRightInd w:val="0"/>
      <w:snapToGrid w:val="0"/>
      <w:spacing w:before="260" w:after="260"/>
      <w:jc w:val="left"/>
      <w:outlineLvl w:val="1"/>
    </w:pPr>
    <w:rPr>
      <w:rFonts w:ascii="Times New Roman" w:eastAsia="黑体" w:hAnsi="Times New Roman" w:cstheme="majorBidi"/>
      <w:b/>
      <w:bCs/>
      <w:sz w:val="28"/>
      <w:szCs w:val="32"/>
      <w:lang w:bidi="en-US"/>
    </w:rPr>
  </w:style>
  <w:style w:type="paragraph" w:styleId="30">
    <w:name w:val="heading 3"/>
    <w:aliases w:val="标题 3-条-Ctrl+3,H3,h3,ERMH3,Re,ERMH31,ERMH32,ERMH33,ERMH34,ERMH35,ERMH36,ERMH37,ERMH38,ERMH39,ERMH310,ERMH311,ERMH312,ERMH313,ERMH314,ERMH315,ERMH316,ERMH317,ERMH318,ERMH319,ERMH320,ERMH321,3 bullet,b,bullet,3 bullet1,b1,bullet1,3 bullet2,b2,título 3"/>
    <w:basedOn w:val="ac"/>
    <w:next w:val="ac"/>
    <w:link w:val="33"/>
    <w:unhideWhenUsed/>
    <w:qFormat/>
    <w:rsid w:val="00634619"/>
    <w:pPr>
      <w:numPr>
        <w:ilvl w:val="2"/>
        <w:numId w:val="1"/>
      </w:numPr>
      <w:outlineLvl w:val="2"/>
    </w:pPr>
    <w:rPr>
      <w:rFonts w:ascii="Times New Roman" w:hAnsi="Times New Roman"/>
      <w:bCs/>
      <w:szCs w:val="32"/>
    </w:rPr>
  </w:style>
  <w:style w:type="paragraph" w:styleId="4">
    <w:name w:val="heading 4"/>
    <w:aliases w:val="标题 4-款"/>
    <w:basedOn w:val="ac"/>
    <w:next w:val="ac"/>
    <w:link w:val="410"/>
    <w:unhideWhenUsed/>
    <w:qFormat/>
    <w:rsid w:val="00A926BD"/>
    <w:pPr>
      <w:numPr>
        <w:ilvl w:val="3"/>
        <w:numId w:val="1"/>
      </w:numPr>
      <w:ind w:firstLine="360"/>
      <w:outlineLvl w:val="3"/>
    </w:pPr>
    <w:rPr>
      <w:rFonts w:ascii="Times New Roman" w:hAnsi="Times New Roman" w:cstheme="majorBidi"/>
      <w:bCs/>
      <w:szCs w:val="28"/>
    </w:rPr>
  </w:style>
  <w:style w:type="paragraph" w:styleId="5">
    <w:name w:val="heading 5"/>
    <w:aliases w:val="标题 5-项"/>
    <w:basedOn w:val="ac"/>
    <w:next w:val="ac"/>
    <w:link w:val="50"/>
    <w:uiPriority w:val="9"/>
    <w:unhideWhenUsed/>
    <w:qFormat/>
    <w:rsid w:val="00A171BC"/>
    <w:pPr>
      <w:numPr>
        <w:ilvl w:val="4"/>
        <w:numId w:val="1"/>
      </w:numPr>
      <w:outlineLvl w:val="4"/>
    </w:pPr>
    <w:rPr>
      <w:rFonts w:ascii="Times New Roman" w:hAnsi="Times New Roman"/>
      <w:bCs/>
      <w:szCs w:val="28"/>
    </w:rPr>
  </w:style>
  <w:style w:type="paragraph" w:styleId="6">
    <w:name w:val="heading 6"/>
    <w:aliases w:val="标题 6-表头,sub-dash,sd,a.,paragraphe[3],H6,H61,H62,H611,Appendix Titre 1,Heading 6-Appendixes,Titre 51,Appendix - Titre 2,Appendix - titre 2,h6,-&gt;1),hd6,paragraphe[3]1,paragraphe[3]2,paragraphe[3]3,paragraphe[3]4,paragraphe[3]5,paragraphe[3]6,H63,第五层条"/>
    <w:basedOn w:val="ac"/>
    <w:next w:val="ac"/>
    <w:link w:val="60"/>
    <w:unhideWhenUsed/>
    <w:qFormat/>
    <w:rsid w:val="00F9442C"/>
    <w:pPr>
      <w:keepNext/>
      <w:keepLines/>
      <w:adjustRightInd w:val="0"/>
      <w:snapToGrid w:val="0"/>
      <w:spacing w:line="240" w:lineRule="auto"/>
      <w:jc w:val="center"/>
      <w:outlineLvl w:val="5"/>
    </w:pPr>
    <w:rPr>
      <w:rFonts w:ascii="Times New Roman" w:eastAsia="黑体" w:hAnsi="Times New Roman" w:cstheme="majorBidi"/>
      <w:bCs/>
      <w:sz w:val="22"/>
      <w:szCs w:val="24"/>
    </w:rPr>
  </w:style>
  <w:style w:type="paragraph" w:styleId="7">
    <w:name w:val="heading 7"/>
    <w:aliases w:val="标题 7-表格,liste[1],-&gt;a),Appendix Titre 2,liste1,Appendix 1,h7,liste[1]1,liste[1]2,liste[1]3,liste[1]4,liste[1]5,liste[1]6,liste[1]7,liste[1]11,liste[1]21,liste[1]31,liste[1]41,liste[1]51,liste[1]61,liste[1]8,liste[1]9,liste[1]10,liste[1]12,liste[1]13"/>
    <w:basedOn w:val="ac"/>
    <w:next w:val="ac"/>
    <w:link w:val="70"/>
    <w:unhideWhenUsed/>
    <w:qFormat/>
    <w:rsid w:val="00834B4A"/>
    <w:pPr>
      <w:adjustRightInd w:val="0"/>
      <w:snapToGrid w:val="0"/>
      <w:spacing w:line="240" w:lineRule="auto"/>
      <w:jc w:val="center"/>
      <w:outlineLvl w:val="6"/>
    </w:pPr>
    <w:rPr>
      <w:rFonts w:ascii="Times New Roman" w:hAnsi="Times New Roman"/>
      <w:bCs/>
      <w:sz w:val="21"/>
      <w:szCs w:val="24"/>
    </w:rPr>
  </w:style>
  <w:style w:type="paragraph" w:styleId="8">
    <w:name w:val="heading 8"/>
    <w:aliases w:val="标题 8-文本-Ctrl+Q"/>
    <w:basedOn w:val="ac"/>
    <w:next w:val="ac"/>
    <w:link w:val="80"/>
    <w:uiPriority w:val="9"/>
    <w:unhideWhenUsed/>
    <w:qFormat/>
    <w:rsid w:val="00C720DD"/>
    <w:pPr>
      <w:ind w:firstLineChars="200" w:firstLine="200"/>
      <w:outlineLvl w:val="7"/>
    </w:pPr>
    <w:rPr>
      <w:rFonts w:ascii="Times New Roman" w:hAnsi="Times New Roman" w:cs="Times New Roman (标题 CS)"/>
      <w:szCs w:val="24"/>
    </w:rPr>
  </w:style>
  <w:style w:type="paragraph" w:styleId="9">
    <w:name w:val="heading 9"/>
    <w:aliases w:val="标题 9-条文说明-Alt+Q"/>
    <w:basedOn w:val="ac"/>
    <w:next w:val="ac"/>
    <w:link w:val="90"/>
    <w:uiPriority w:val="9"/>
    <w:unhideWhenUsed/>
    <w:qFormat/>
    <w:rsid w:val="00C720DD"/>
    <w:pPr>
      <w:ind w:firstLineChars="200" w:firstLine="200"/>
      <w:outlineLvl w:val="8"/>
    </w:pPr>
    <w:rPr>
      <w:rFonts w:ascii="Times New Roman" w:eastAsia="楷体" w:hAnsi="Times New Roman" w:cs="Times New Roman (标题 C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10">
    <w:name w:val="标题 1 字符1"/>
    <w:aliases w:val="标题 1-章 字符,标题 1 1 字符,篇 字符1,投标-章节标题 字符,编号标题1 字符,11 字符1,12 字符1,13 字符1,14 字符1,15 字符1,111 字符1,121 字符1,131 字符1,16 字符1,112 字符1,122 字符1,132 字符1,17 字符1,113 字符1,123 字符1,133 字符1,18 字符1,114 字符1,124 字符1,134 字符1,141 字符1,151 字符1,1111 字符1,1211 字符1,1311 字符1"/>
    <w:basedOn w:val="ad"/>
    <w:link w:val="12"/>
    <w:qFormat/>
    <w:rsid w:val="00C720DD"/>
    <w:rPr>
      <w:rFonts w:ascii="Times New Roman" w:hAnsi="Times New Roman" w:cstheme="minorBidi"/>
      <w:b/>
      <w:bCs/>
      <w:kern w:val="44"/>
      <w:sz w:val="30"/>
      <w:szCs w:val="44"/>
    </w:rPr>
  </w:style>
  <w:style w:type="character" w:customStyle="1" w:styleId="210">
    <w:name w:val="标题 2 字符1"/>
    <w:aliases w:val="标题 2-节 字符,ZC3号标黑 字符,标题 1.1 字符1,编号标题2 字符,2 headline 字符1,h 字符1,headline 字符1,S&amp;R2 字符1,ERMH2 字符1,Annex 字符,211 字符1,221 字符1,231 字符1,212 字符1,222 字符1,232 字符1,213 字符,223 字符,233 字符,214 字符,224 字符,234 字符,241 字符,251 字符,2111 字符,2211 字符,2311 字符,261 字符,2121 字符"/>
    <w:basedOn w:val="ad"/>
    <w:link w:val="2"/>
    <w:uiPriority w:val="9"/>
    <w:qFormat/>
    <w:rsid w:val="00A65181"/>
    <w:rPr>
      <w:rFonts w:ascii="Times New Roman" w:eastAsia="黑体" w:hAnsi="Times New Roman" w:cstheme="majorBidi"/>
      <w:b/>
      <w:bCs/>
      <w:kern w:val="2"/>
      <w:sz w:val="28"/>
      <w:szCs w:val="32"/>
      <w:lang w:bidi="en-US"/>
    </w:rPr>
  </w:style>
  <w:style w:type="character" w:customStyle="1" w:styleId="33">
    <w:name w:val="标题 3 字符"/>
    <w:aliases w:val="标题 3-条-Ctrl+3 字符,H3 字符,h3 字符,ERMH3 字符,Re 字符,ERMH31 字符,ERMH32 字符,ERMH33 字符,ERMH34 字符,ERMH35 字符,ERMH36 字符,ERMH37 字符,ERMH38 字符,ERMH39 字符,ERMH310 字符,ERMH311 字符,ERMH312 字符,ERMH313 字符,ERMH314 字符,ERMH315 字符,ERMH316 字符,ERMH317 字符,ERMH318 字符,ERMH319 字符"/>
    <w:basedOn w:val="ad"/>
    <w:link w:val="30"/>
    <w:qFormat/>
    <w:rsid w:val="00634619"/>
    <w:rPr>
      <w:rFonts w:ascii="Times New Roman" w:hAnsi="Times New Roman" w:cstheme="minorBidi"/>
      <w:bCs/>
      <w:kern w:val="2"/>
      <w:sz w:val="24"/>
      <w:szCs w:val="32"/>
    </w:rPr>
  </w:style>
  <w:style w:type="character" w:customStyle="1" w:styleId="410">
    <w:name w:val="标题 4 字符1"/>
    <w:aliases w:val="标题 4-款 字符"/>
    <w:basedOn w:val="ad"/>
    <w:link w:val="4"/>
    <w:qFormat/>
    <w:rsid w:val="00A926BD"/>
    <w:rPr>
      <w:rFonts w:ascii="Times New Roman" w:hAnsi="Times New Roman" w:cstheme="majorBidi"/>
      <w:bCs/>
      <w:kern w:val="2"/>
      <w:sz w:val="24"/>
      <w:szCs w:val="28"/>
    </w:rPr>
  </w:style>
  <w:style w:type="character" w:customStyle="1" w:styleId="50">
    <w:name w:val="标题 5 字符"/>
    <w:aliases w:val="标题 5-项 字符"/>
    <w:basedOn w:val="ad"/>
    <w:link w:val="5"/>
    <w:uiPriority w:val="9"/>
    <w:qFormat/>
    <w:rsid w:val="00A171BC"/>
    <w:rPr>
      <w:rFonts w:ascii="Times New Roman" w:hAnsi="Times New Roman" w:cstheme="minorBidi"/>
      <w:bCs/>
      <w:kern w:val="2"/>
      <w:sz w:val="24"/>
      <w:szCs w:val="28"/>
    </w:rPr>
  </w:style>
  <w:style w:type="character" w:customStyle="1" w:styleId="60">
    <w:name w:val="标题 6 字符"/>
    <w:aliases w:val="标题 6-表头 字符,sub-dash 字符,sd 字符,a. 字符,paragraphe[3] 字符,H6 字符,H61 字符,H62 字符,H611 字符,Appendix Titre 1 字符,Heading 6-Appendixes 字符,Titre 51 字符,Appendix - Titre 2 字符,Appendix - titre 2 字符,h6 字符,-&gt;1) 字符,hd6 字符,paragraphe[3]1 字符,paragraphe[3]2 字符,H63 字符"/>
    <w:basedOn w:val="ad"/>
    <w:link w:val="6"/>
    <w:uiPriority w:val="9"/>
    <w:qFormat/>
    <w:rPr>
      <w:rFonts w:ascii="Times New Roman" w:eastAsia="黑体" w:hAnsi="Times New Roman" w:cstheme="majorBidi"/>
      <w:bCs/>
      <w:kern w:val="2"/>
      <w:sz w:val="22"/>
      <w:szCs w:val="24"/>
    </w:rPr>
  </w:style>
  <w:style w:type="character" w:customStyle="1" w:styleId="70">
    <w:name w:val="标题 7 字符"/>
    <w:aliases w:val="标题 7-表格 字符,liste[1] 字符,-&gt;a) 字符,Appendix Titre 2 字符,liste1 字符,Appendix 1 字符,h7 字符,liste[1]1 字符,liste[1]2 字符,liste[1]3 字符,liste[1]4 字符,liste[1]5 字符,liste[1]6 字符,liste[1]7 字符,liste[1]11 字符,liste[1]21 字符,liste[1]31 字符,liste[1]41 字符,liste[1]51 字符"/>
    <w:basedOn w:val="ad"/>
    <w:link w:val="7"/>
    <w:qFormat/>
    <w:rsid w:val="00834B4A"/>
    <w:rPr>
      <w:rFonts w:ascii="Times New Roman" w:hAnsi="Times New Roman" w:cstheme="minorBidi"/>
      <w:bCs/>
      <w:kern w:val="2"/>
      <w:sz w:val="21"/>
      <w:szCs w:val="24"/>
    </w:rPr>
  </w:style>
  <w:style w:type="character" w:customStyle="1" w:styleId="80">
    <w:name w:val="标题 8 字符"/>
    <w:aliases w:val="标题 8-文本-Ctrl+Q 字符"/>
    <w:basedOn w:val="ad"/>
    <w:link w:val="8"/>
    <w:uiPriority w:val="9"/>
    <w:qFormat/>
    <w:rsid w:val="00C720DD"/>
    <w:rPr>
      <w:rFonts w:ascii="Times New Roman" w:hAnsi="Times New Roman" w:cs="Times New Roman (标题 CS)"/>
      <w:kern w:val="2"/>
      <w:sz w:val="24"/>
      <w:szCs w:val="24"/>
    </w:rPr>
  </w:style>
  <w:style w:type="character" w:customStyle="1" w:styleId="90">
    <w:name w:val="标题 9 字符"/>
    <w:aliases w:val="标题 9-条文说明-Alt+Q 字符"/>
    <w:basedOn w:val="ad"/>
    <w:link w:val="9"/>
    <w:uiPriority w:val="9"/>
    <w:qFormat/>
    <w:rsid w:val="00C720DD"/>
    <w:rPr>
      <w:rFonts w:ascii="Times New Roman" w:eastAsia="楷体" w:hAnsi="Times New Roman" w:cs="Times New Roman (标题 CS)"/>
      <w:kern w:val="2"/>
      <w:sz w:val="24"/>
      <w:szCs w:val="21"/>
    </w:rPr>
  </w:style>
  <w:style w:type="paragraph" w:styleId="af0">
    <w:name w:val="Date"/>
    <w:basedOn w:val="ac"/>
    <w:next w:val="ac"/>
    <w:link w:val="17"/>
    <w:unhideWhenUsed/>
    <w:qFormat/>
    <w:pPr>
      <w:spacing w:line="240" w:lineRule="auto"/>
    </w:pPr>
    <w:rPr>
      <w:rFonts w:ascii="Times New Roman" w:hAnsi="Times New Roman" w:cs="Times New Roman"/>
      <w:sz w:val="28"/>
      <w:szCs w:val="20"/>
    </w:rPr>
  </w:style>
  <w:style w:type="character" w:customStyle="1" w:styleId="17">
    <w:name w:val="日期 字符1"/>
    <w:basedOn w:val="ad"/>
    <w:link w:val="af0"/>
    <w:uiPriority w:val="99"/>
    <w:qFormat/>
    <w:rPr>
      <w:rFonts w:ascii="Times New Roman" w:eastAsia="宋体" w:hAnsi="Times New Roman" w:cs="Times New Roman" w:hint="default"/>
      <w:sz w:val="28"/>
      <w:szCs w:val="20"/>
    </w:rPr>
  </w:style>
  <w:style w:type="paragraph" w:styleId="af1">
    <w:name w:val="footer"/>
    <w:basedOn w:val="ac"/>
    <w:link w:val="af2"/>
    <w:unhideWhenUsed/>
    <w:qFormat/>
    <w:pPr>
      <w:tabs>
        <w:tab w:val="center" w:pos="4153"/>
        <w:tab w:val="right" w:pos="8306"/>
      </w:tabs>
      <w:snapToGrid w:val="0"/>
      <w:spacing w:line="240" w:lineRule="auto"/>
      <w:jc w:val="left"/>
    </w:pPr>
    <w:rPr>
      <w:sz w:val="18"/>
      <w:szCs w:val="18"/>
    </w:rPr>
  </w:style>
  <w:style w:type="character" w:customStyle="1" w:styleId="af2">
    <w:name w:val="页脚 字符"/>
    <w:basedOn w:val="ad"/>
    <w:link w:val="af1"/>
    <w:uiPriority w:val="99"/>
    <w:qFormat/>
    <w:rPr>
      <w:sz w:val="18"/>
      <w:szCs w:val="18"/>
    </w:rPr>
  </w:style>
  <w:style w:type="paragraph" w:styleId="af3">
    <w:name w:val="header"/>
    <w:basedOn w:val="ac"/>
    <w:link w:val="af4"/>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customStyle="1" w:styleId="af4">
    <w:name w:val="页眉 字符"/>
    <w:basedOn w:val="ad"/>
    <w:link w:val="af3"/>
    <w:qFormat/>
    <w:rPr>
      <w:rFonts w:ascii="Times New Roman" w:eastAsia="宋体" w:hAnsi="Times New Roman" w:cs="Times New Roman" w:hint="default"/>
      <w:sz w:val="18"/>
      <w:szCs w:val="18"/>
    </w:rPr>
  </w:style>
  <w:style w:type="paragraph" w:styleId="af5">
    <w:name w:val="Title"/>
    <w:basedOn w:val="ac"/>
    <w:next w:val="ac"/>
    <w:link w:val="18"/>
    <w:qFormat/>
    <w:pPr>
      <w:widowControl/>
      <w:spacing w:beforeLines="50" w:afterLines="50"/>
      <w:jc w:val="center"/>
      <w:outlineLvl w:val="0"/>
    </w:pPr>
    <w:rPr>
      <w:rFonts w:ascii="Times New Roman" w:hAnsi="Times New Roman" w:cs="Times New Roman"/>
      <w:b/>
      <w:kern w:val="0"/>
      <w:sz w:val="28"/>
      <w:szCs w:val="20"/>
    </w:rPr>
  </w:style>
  <w:style w:type="character" w:customStyle="1" w:styleId="18">
    <w:name w:val="标题 字符1"/>
    <w:basedOn w:val="ad"/>
    <w:link w:val="af5"/>
    <w:qFormat/>
    <w:rPr>
      <w:rFonts w:ascii="Times New Roman" w:eastAsia="宋体" w:hAnsi="Times New Roman" w:cs="Times New Roman" w:hint="default"/>
      <w:b/>
      <w:kern w:val="0"/>
      <w:sz w:val="28"/>
      <w:szCs w:val="20"/>
    </w:rPr>
  </w:style>
  <w:style w:type="table" w:styleId="af6">
    <w:name w:val="Table Grid"/>
    <w:basedOn w:val="ae"/>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标题 1 字符"/>
    <w:aliases w:val="第1章 字符,篇 字符,11 字符,12 字符,13 字符,14 字符,15 字符,111 字符,121 字符,131 字符,16 字符,112 字符,122 字符,132 字符,17 字符,113 字符,123 字符,133 字符,18 字符,114 字符,124 字符,134 字符,141 字符,151 字符,1111 字符,1211 字符,1311 字符,161 字符,1121 字符,1221 字符,1321 字符,171 字符,1131 字符,1231 字符,1331 字符"/>
    <w:basedOn w:val="ad"/>
    <w:qFormat/>
    <w:rPr>
      <w:rFonts w:ascii="Times New Roman" w:eastAsia="宋体" w:hAnsi="Times New Roman"/>
      <w:b/>
      <w:bCs/>
      <w:kern w:val="44"/>
      <w:sz w:val="30"/>
      <w:szCs w:val="44"/>
    </w:rPr>
  </w:style>
  <w:style w:type="character" w:customStyle="1" w:styleId="22">
    <w:name w:val="标题 2 字符"/>
    <w:aliases w:val="1.1 字符,一、 字符,标题 1.1 字符,2 headline 字符,h 字符,headline 字符,S&amp;R2 字符,ERMH2 字符,2 sub-heading 字符,sh 字符,1st order hd 字符,title 字符,maintitle1 字符,H2 字符,Titre 2-MT 字符,Titre 2 - MT 字符,23 字符,24 字符,25 字符,211 字符,221 字符,231 字符,26 字符,212 字符,222 字符,232 字符,27 字符"/>
    <w:basedOn w:val="ad"/>
    <w:uiPriority w:val="9"/>
    <w:qFormat/>
    <w:rPr>
      <w:rFonts w:ascii="Times New Roman" w:eastAsia="黑体" w:hAnsi="Times New Roman" w:cstheme="majorBidi"/>
      <w:b/>
      <w:bCs/>
      <w:sz w:val="28"/>
      <w:szCs w:val="32"/>
    </w:rPr>
  </w:style>
  <w:style w:type="character" w:customStyle="1" w:styleId="42">
    <w:name w:val="标题 4 字符"/>
    <w:aliases w:val="1.1.1.1 字符,（1） 字符,Para4 字符,CDR_Lev 4 字符,Title3 字符,h4 字符,4 dash 字符,d 字符,dash 字符,标题 4 Char1 字符,PIM 4 Char1 字符,三级节名 Char1 字符,标题 4 Char Char 字符,标题 (1) 字符,3 dash 字符,3rd order hd 字符,3rd order 字符,H4 字符,ITT t4 字符,PA Micro Section 字符,TE Heading 4 字符,4 字符"/>
    <w:basedOn w:val="ad"/>
    <w:qFormat/>
    <w:rPr>
      <w:rFonts w:ascii="Times New Roman" w:eastAsia="宋体" w:hAnsi="Times New Roman" w:cstheme="majorBidi"/>
      <w:bCs/>
      <w:sz w:val="24"/>
      <w:szCs w:val="28"/>
    </w:rPr>
  </w:style>
  <w:style w:type="character" w:customStyle="1" w:styleId="af7">
    <w:name w:val="日期 字符"/>
    <w:basedOn w:val="ad"/>
    <w:qFormat/>
  </w:style>
  <w:style w:type="paragraph" w:customStyle="1" w:styleId="16">
    <w:name w:val="样式1"/>
    <w:basedOn w:val="12"/>
    <w:qFormat/>
    <w:pPr>
      <w:numPr>
        <w:numId w:val="2"/>
      </w:numPr>
      <w:ind w:left="0" w:firstLine="0"/>
    </w:pPr>
  </w:style>
  <w:style w:type="paragraph" w:customStyle="1" w:styleId="21">
    <w:name w:val="样式2"/>
    <w:basedOn w:val="2"/>
    <w:qFormat/>
    <w:pPr>
      <w:numPr>
        <w:numId w:val="2"/>
      </w:numPr>
      <w:ind w:left="0" w:firstLine="0"/>
    </w:pPr>
    <w:rPr>
      <w:lang w:eastAsia="zh-Hans"/>
    </w:rPr>
  </w:style>
  <w:style w:type="paragraph" w:customStyle="1" w:styleId="32">
    <w:name w:val="样式3"/>
    <w:basedOn w:val="2"/>
    <w:qFormat/>
    <w:pPr>
      <w:numPr>
        <w:numId w:val="3"/>
      </w:numPr>
    </w:pPr>
    <w:rPr>
      <w:lang w:eastAsia="zh-Hans"/>
    </w:rPr>
  </w:style>
  <w:style w:type="paragraph" w:customStyle="1" w:styleId="43">
    <w:name w:val="样式4"/>
    <w:basedOn w:val="30"/>
    <w:qFormat/>
    <w:pPr>
      <w:numPr>
        <w:ilvl w:val="0"/>
        <w:numId w:val="0"/>
      </w:numPr>
    </w:pPr>
  </w:style>
  <w:style w:type="paragraph" w:customStyle="1" w:styleId="51">
    <w:name w:val="样式5"/>
    <w:basedOn w:val="9"/>
    <w:qFormat/>
    <w:pPr>
      <w:ind w:firstLineChars="0" w:firstLine="0"/>
    </w:pPr>
  </w:style>
  <w:style w:type="numbering" w:customStyle="1" w:styleId="1a">
    <w:name w:val="无列表1"/>
    <w:next w:val="af"/>
    <w:uiPriority w:val="99"/>
    <w:semiHidden/>
    <w:unhideWhenUsed/>
    <w:rsid w:val="004018C0"/>
  </w:style>
  <w:style w:type="paragraph" w:styleId="34">
    <w:name w:val="List 3"/>
    <w:basedOn w:val="ac"/>
    <w:semiHidden/>
    <w:qFormat/>
    <w:rsid w:val="004018C0"/>
    <w:pPr>
      <w:adjustRightInd w:val="0"/>
      <w:snapToGrid w:val="0"/>
      <w:ind w:left="1260" w:hanging="420"/>
    </w:pPr>
    <w:rPr>
      <w:rFonts w:ascii="Times New Roman" w:hAnsi="Times New Roman" w:cs="Times New Roman"/>
      <w:szCs w:val="20"/>
    </w:rPr>
  </w:style>
  <w:style w:type="paragraph" w:styleId="af8">
    <w:name w:val="annotation text"/>
    <w:basedOn w:val="ac"/>
    <w:link w:val="af9"/>
    <w:unhideWhenUsed/>
    <w:qFormat/>
    <w:rsid w:val="004018C0"/>
    <w:pPr>
      <w:jc w:val="left"/>
    </w:pPr>
  </w:style>
  <w:style w:type="character" w:customStyle="1" w:styleId="af9">
    <w:name w:val="批注文字 字符"/>
    <w:basedOn w:val="ad"/>
    <w:link w:val="af8"/>
    <w:qFormat/>
    <w:rsid w:val="004018C0"/>
    <w:rPr>
      <w:rFonts w:asciiTheme="minorHAnsi" w:hAnsiTheme="minorHAnsi" w:cstheme="minorBidi"/>
      <w:kern w:val="2"/>
      <w:sz w:val="24"/>
      <w:szCs w:val="21"/>
    </w:rPr>
  </w:style>
  <w:style w:type="paragraph" w:styleId="afa">
    <w:name w:val="annotation subject"/>
    <w:basedOn w:val="af8"/>
    <w:next w:val="af8"/>
    <w:link w:val="afb"/>
    <w:unhideWhenUsed/>
    <w:qFormat/>
    <w:rsid w:val="004018C0"/>
    <w:pPr>
      <w:adjustRightInd w:val="0"/>
      <w:snapToGrid w:val="0"/>
    </w:pPr>
    <w:rPr>
      <w:rFonts w:ascii="Times New Roman" w:hAnsi="Times New Roman" w:cs="Times New Roman"/>
      <w:b/>
      <w:bCs/>
      <w:sz w:val="21"/>
      <w:szCs w:val="24"/>
    </w:rPr>
  </w:style>
  <w:style w:type="character" w:customStyle="1" w:styleId="afb">
    <w:name w:val="批注主题 字符"/>
    <w:basedOn w:val="af9"/>
    <w:link w:val="afa"/>
    <w:qFormat/>
    <w:rsid w:val="004018C0"/>
    <w:rPr>
      <w:rFonts w:ascii="Times New Roman" w:hAnsi="Times New Roman" w:cs="Times New Roman"/>
      <w:b/>
      <w:bCs/>
      <w:kern w:val="2"/>
      <w:sz w:val="21"/>
      <w:szCs w:val="24"/>
    </w:rPr>
  </w:style>
  <w:style w:type="paragraph" w:styleId="TOC7">
    <w:name w:val="toc 7"/>
    <w:basedOn w:val="ac"/>
    <w:next w:val="ac"/>
    <w:uiPriority w:val="39"/>
    <w:unhideWhenUsed/>
    <w:qFormat/>
    <w:rsid w:val="004018C0"/>
    <w:pPr>
      <w:ind w:left="1440"/>
      <w:jc w:val="left"/>
    </w:pPr>
    <w:rPr>
      <w:rFonts w:eastAsiaTheme="minorHAnsi"/>
      <w:sz w:val="18"/>
      <w:szCs w:val="18"/>
    </w:rPr>
  </w:style>
  <w:style w:type="paragraph" w:styleId="afc">
    <w:name w:val="Body Text"/>
    <w:basedOn w:val="ac"/>
    <w:link w:val="afd"/>
    <w:unhideWhenUsed/>
    <w:qFormat/>
    <w:rsid w:val="004018C0"/>
    <w:pPr>
      <w:spacing w:after="120"/>
    </w:pPr>
  </w:style>
  <w:style w:type="character" w:customStyle="1" w:styleId="afd">
    <w:name w:val="正文文本 字符"/>
    <w:basedOn w:val="ad"/>
    <w:link w:val="afc"/>
    <w:semiHidden/>
    <w:qFormat/>
    <w:rsid w:val="004018C0"/>
    <w:rPr>
      <w:rFonts w:asciiTheme="minorHAnsi" w:hAnsiTheme="minorHAnsi" w:cstheme="minorBidi"/>
      <w:kern w:val="2"/>
      <w:sz w:val="24"/>
      <w:szCs w:val="21"/>
    </w:rPr>
  </w:style>
  <w:style w:type="paragraph" w:styleId="afe">
    <w:name w:val="Body Text First Indent"/>
    <w:basedOn w:val="afc"/>
    <w:link w:val="aff"/>
    <w:qFormat/>
    <w:rsid w:val="004018C0"/>
    <w:pPr>
      <w:adjustRightInd w:val="0"/>
      <w:snapToGrid w:val="0"/>
      <w:spacing w:line="240" w:lineRule="auto"/>
      <w:ind w:firstLine="420"/>
    </w:pPr>
    <w:rPr>
      <w:rFonts w:ascii="Times New Roman" w:hAnsi="Times New Roman" w:cs="Times New Roman"/>
      <w:sz w:val="28"/>
      <w:szCs w:val="20"/>
    </w:rPr>
  </w:style>
  <w:style w:type="character" w:customStyle="1" w:styleId="aff">
    <w:name w:val="正文文本首行缩进 字符"/>
    <w:basedOn w:val="afd"/>
    <w:link w:val="afe"/>
    <w:semiHidden/>
    <w:qFormat/>
    <w:rsid w:val="004018C0"/>
    <w:rPr>
      <w:rFonts w:ascii="Times New Roman" w:hAnsi="Times New Roman" w:cs="Times New Roman"/>
      <w:kern w:val="2"/>
      <w:sz w:val="28"/>
      <w:szCs w:val="21"/>
    </w:rPr>
  </w:style>
  <w:style w:type="paragraph" w:styleId="aff0">
    <w:name w:val="Normal Indent"/>
    <w:aliases w:val="特点,表正文,正文非缩进,Alt+X,mr正文缩进,段1,正文不缩进,标题4 Char Char Char,标题4 Char,正文（首行缩进两字）,ind:txt,ALT+Z,Paragraph2,Paragraph3,Paragraph4,Paragraph5,Paragraph6,标题4 Char Char Char Char,四号,四号 Char Char,四号 Char Char Char,identication,图表,正文缩进 Char Char Ch,文本条"/>
    <w:basedOn w:val="ac"/>
    <w:link w:val="aff1"/>
    <w:qFormat/>
    <w:rsid w:val="004018C0"/>
    <w:pPr>
      <w:adjustRightInd w:val="0"/>
      <w:snapToGrid w:val="0"/>
      <w:ind w:firstLineChars="200" w:firstLine="420"/>
    </w:pPr>
    <w:rPr>
      <w:rFonts w:ascii="Times New Roman" w:hAnsi="Times New Roman" w:cs="Times New Roman"/>
      <w:sz w:val="21"/>
      <w:szCs w:val="24"/>
    </w:rPr>
  </w:style>
  <w:style w:type="paragraph" w:styleId="aff2">
    <w:name w:val="caption"/>
    <w:basedOn w:val="ac"/>
    <w:next w:val="ac"/>
    <w:qFormat/>
    <w:rsid w:val="004018C0"/>
    <w:pPr>
      <w:widowControl/>
      <w:adjustRightInd w:val="0"/>
      <w:snapToGrid w:val="0"/>
      <w:spacing w:before="152" w:after="160"/>
      <w:jc w:val="left"/>
    </w:pPr>
    <w:rPr>
      <w:rFonts w:ascii="Arial" w:eastAsia="黑体" w:hAnsi="Arial" w:cs="Arial"/>
      <w:kern w:val="0"/>
      <w:sz w:val="20"/>
      <w:szCs w:val="20"/>
    </w:rPr>
  </w:style>
  <w:style w:type="paragraph" w:styleId="aff3">
    <w:name w:val="Document Map"/>
    <w:basedOn w:val="ac"/>
    <w:link w:val="aff4"/>
    <w:unhideWhenUsed/>
    <w:qFormat/>
    <w:rsid w:val="004018C0"/>
    <w:pPr>
      <w:adjustRightInd w:val="0"/>
      <w:snapToGrid w:val="0"/>
    </w:pPr>
    <w:rPr>
      <w:rFonts w:ascii="宋体" w:hAnsi="Times New Roman" w:cs="Times New Roman"/>
      <w:sz w:val="18"/>
      <w:szCs w:val="18"/>
    </w:rPr>
  </w:style>
  <w:style w:type="character" w:customStyle="1" w:styleId="aff4">
    <w:name w:val="文档结构图 字符"/>
    <w:basedOn w:val="ad"/>
    <w:link w:val="aff3"/>
    <w:qFormat/>
    <w:rsid w:val="004018C0"/>
    <w:rPr>
      <w:rFonts w:ascii="宋体" w:hAnsi="Times New Roman" w:cs="Times New Roman"/>
      <w:kern w:val="2"/>
      <w:sz w:val="18"/>
      <w:szCs w:val="18"/>
    </w:rPr>
  </w:style>
  <w:style w:type="paragraph" w:styleId="35">
    <w:name w:val="Body Text 3"/>
    <w:basedOn w:val="ac"/>
    <w:link w:val="36"/>
    <w:qFormat/>
    <w:rsid w:val="004018C0"/>
    <w:pPr>
      <w:widowControl/>
      <w:adjustRightInd w:val="0"/>
      <w:snapToGrid w:val="0"/>
      <w:spacing w:line="360" w:lineRule="exact"/>
    </w:pPr>
    <w:rPr>
      <w:rFonts w:ascii="宋体" w:hAnsi="Times New Roman" w:cs="Times New Roman"/>
      <w:kern w:val="0"/>
      <w:szCs w:val="20"/>
    </w:rPr>
  </w:style>
  <w:style w:type="character" w:customStyle="1" w:styleId="36">
    <w:name w:val="正文文本 3 字符"/>
    <w:basedOn w:val="ad"/>
    <w:link w:val="35"/>
    <w:qFormat/>
    <w:rsid w:val="004018C0"/>
    <w:rPr>
      <w:rFonts w:ascii="宋体" w:hAnsi="Times New Roman" w:cs="Times New Roman"/>
      <w:sz w:val="24"/>
    </w:rPr>
  </w:style>
  <w:style w:type="paragraph" w:styleId="3">
    <w:name w:val="List Bullet 3"/>
    <w:basedOn w:val="ac"/>
    <w:semiHidden/>
    <w:qFormat/>
    <w:rsid w:val="004018C0"/>
    <w:pPr>
      <w:numPr>
        <w:numId w:val="7"/>
      </w:numPr>
      <w:adjustRightInd w:val="0"/>
      <w:snapToGrid w:val="0"/>
    </w:pPr>
    <w:rPr>
      <w:rFonts w:ascii="Times New Roman" w:hAnsi="Times New Roman" w:cs="Times New Roman"/>
      <w:szCs w:val="20"/>
    </w:rPr>
  </w:style>
  <w:style w:type="paragraph" w:styleId="aff5">
    <w:name w:val="Body Text Indent"/>
    <w:basedOn w:val="ac"/>
    <w:link w:val="aff6"/>
    <w:qFormat/>
    <w:rsid w:val="004018C0"/>
    <w:pPr>
      <w:spacing w:line="240" w:lineRule="auto"/>
      <w:ind w:firstLine="1080"/>
    </w:pPr>
    <w:rPr>
      <w:rFonts w:ascii="Times New Roman" w:hAnsi="Times New Roman" w:cs="Times New Roman"/>
      <w:sz w:val="28"/>
      <w:szCs w:val="20"/>
    </w:rPr>
  </w:style>
  <w:style w:type="character" w:customStyle="1" w:styleId="aff6">
    <w:name w:val="正文文本缩进 字符"/>
    <w:basedOn w:val="ad"/>
    <w:link w:val="aff5"/>
    <w:qFormat/>
    <w:rsid w:val="004018C0"/>
    <w:rPr>
      <w:rFonts w:ascii="Times New Roman" w:hAnsi="Times New Roman" w:cs="Times New Roman"/>
      <w:kern w:val="2"/>
      <w:sz w:val="28"/>
    </w:rPr>
  </w:style>
  <w:style w:type="paragraph" w:styleId="23">
    <w:name w:val="List 2"/>
    <w:basedOn w:val="ac"/>
    <w:qFormat/>
    <w:rsid w:val="004018C0"/>
    <w:pPr>
      <w:widowControl/>
      <w:adjustRightInd w:val="0"/>
      <w:snapToGrid w:val="0"/>
      <w:ind w:leftChars="200" w:left="100" w:hangingChars="200" w:hanging="200"/>
      <w:jc w:val="left"/>
    </w:pPr>
    <w:rPr>
      <w:rFonts w:ascii="Times New Roman" w:hAnsi="Times New Roman" w:cs="Times New Roman"/>
      <w:kern w:val="0"/>
      <w:szCs w:val="20"/>
    </w:rPr>
  </w:style>
  <w:style w:type="paragraph" w:styleId="aff7">
    <w:name w:val="List Continue"/>
    <w:basedOn w:val="ac"/>
    <w:semiHidden/>
    <w:qFormat/>
    <w:rsid w:val="004018C0"/>
    <w:pPr>
      <w:adjustRightInd w:val="0"/>
      <w:snapToGrid w:val="0"/>
      <w:spacing w:after="120" w:line="312" w:lineRule="atLeast"/>
      <w:ind w:left="420"/>
      <w:textAlignment w:val="baseline"/>
    </w:pPr>
    <w:rPr>
      <w:rFonts w:ascii="Times New Roman" w:hAnsi="Times New Roman" w:cs="Times New Roman"/>
      <w:kern w:val="0"/>
      <w:sz w:val="28"/>
      <w:szCs w:val="20"/>
    </w:rPr>
  </w:style>
  <w:style w:type="paragraph" w:styleId="24">
    <w:name w:val="List Bullet 2"/>
    <w:basedOn w:val="ac"/>
    <w:qFormat/>
    <w:rsid w:val="004018C0"/>
    <w:pPr>
      <w:tabs>
        <w:tab w:val="left" w:pos="360"/>
      </w:tabs>
      <w:adjustRightInd w:val="0"/>
      <w:snapToGrid w:val="0"/>
      <w:spacing w:line="520" w:lineRule="exact"/>
      <w:ind w:firstLineChars="200" w:firstLine="480"/>
      <w:textAlignment w:val="baseline"/>
    </w:pPr>
    <w:rPr>
      <w:rFonts w:ascii="Times New Roman" w:hAnsi="Times New Roman" w:cs="Times New Roman"/>
      <w:kern w:val="0"/>
      <w:szCs w:val="24"/>
    </w:rPr>
  </w:style>
  <w:style w:type="paragraph" w:styleId="TOC5">
    <w:name w:val="toc 5"/>
    <w:basedOn w:val="ac"/>
    <w:next w:val="ac"/>
    <w:uiPriority w:val="39"/>
    <w:unhideWhenUsed/>
    <w:qFormat/>
    <w:rsid w:val="004018C0"/>
    <w:pPr>
      <w:ind w:left="960"/>
      <w:jc w:val="left"/>
    </w:pPr>
    <w:rPr>
      <w:rFonts w:eastAsiaTheme="minorHAnsi"/>
      <w:sz w:val="18"/>
      <w:szCs w:val="18"/>
    </w:rPr>
  </w:style>
  <w:style w:type="paragraph" w:styleId="TOC3">
    <w:name w:val="toc 3"/>
    <w:basedOn w:val="ac"/>
    <w:next w:val="ac"/>
    <w:uiPriority w:val="39"/>
    <w:qFormat/>
    <w:rsid w:val="004018C0"/>
    <w:pPr>
      <w:ind w:left="480"/>
      <w:jc w:val="left"/>
    </w:pPr>
    <w:rPr>
      <w:rFonts w:eastAsiaTheme="minorHAnsi"/>
      <w:i/>
      <w:iCs/>
      <w:sz w:val="20"/>
      <w:szCs w:val="20"/>
    </w:rPr>
  </w:style>
  <w:style w:type="paragraph" w:styleId="aff8">
    <w:name w:val="Plain Text"/>
    <w:aliases w:val="普通文字"/>
    <w:basedOn w:val="ac"/>
    <w:link w:val="aff9"/>
    <w:qFormat/>
    <w:rsid w:val="004018C0"/>
    <w:pPr>
      <w:adjustRightInd w:val="0"/>
      <w:snapToGrid w:val="0"/>
    </w:pPr>
    <w:rPr>
      <w:rFonts w:ascii="宋体" w:hAnsi="Courier New" w:cs="Times New Roman"/>
      <w:kern w:val="0"/>
      <w:sz w:val="20"/>
    </w:rPr>
  </w:style>
  <w:style w:type="character" w:customStyle="1" w:styleId="aff9">
    <w:name w:val="纯文本 字符"/>
    <w:aliases w:val="普通文字 字符"/>
    <w:basedOn w:val="ad"/>
    <w:link w:val="aff8"/>
    <w:qFormat/>
    <w:rsid w:val="004018C0"/>
    <w:rPr>
      <w:rFonts w:ascii="宋体" w:hAnsi="Courier New" w:cs="Times New Roman"/>
      <w:szCs w:val="21"/>
    </w:rPr>
  </w:style>
  <w:style w:type="paragraph" w:styleId="TOC8">
    <w:name w:val="toc 8"/>
    <w:basedOn w:val="ac"/>
    <w:next w:val="ac"/>
    <w:uiPriority w:val="39"/>
    <w:unhideWhenUsed/>
    <w:qFormat/>
    <w:rsid w:val="004018C0"/>
    <w:pPr>
      <w:ind w:left="1680"/>
      <w:jc w:val="left"/>
    </w:pPr>
    <w:rPr>
      <w:rFonts w:eastAsiaTheme="minorHAnsi"/>
      <w:sz w:val="18"/>
      <w:szCs w:val="18"/>
    </w:rPr>
  </w:style>
  <w:style w:type="paragraph" w:styleId="25">
    <w:name w:val="Body Text Indent 2"/>
    <w:basedOn w:val="ac"/>
    <w:link w:val="26"/>
    <w:qFormat/>
    <w:rsid w:val="004018C0"/>
    <w:pPr>
      <w:spacing w:line="240" w:lineRule="auto"/>
      <w:ind w:firstLine="560"/>
    </w:pPr>
    <w:rPr>
      <w:rFonts w:ascii="Times New Roman" w:hAnsi="Times New Roman" w:cs="Times New Roman"/>
      <w:sz w:val="28"/>
      <w:szCs w:val="20"/>
    </w:rPr>
  </w:style>
  <w:style w:type="character" w:customStyle="1" w:styleId="26">
    <w:name w:val="正文文本缩进 2 字符"/>
    <w:basedOn w:val="ad"/>
    <w:link w:val="25"/>
    <w:qFormat/>
    <w:rsid w:val="004018C0"/>
    <w:rPr>
      <w:rFonts w:ascii="Times New Roman" w:hAnsi="Times New Roman" w:cs="Times New Roman"/>
      <w:kern w:val="2"/>
      <w:sz w:val="28"/>
    </w:rPr>
  </w:style>
  <w:style w:type="paragraph" w:styleId="affa">
    <w:name w:val="Balloon Text"/>
    <w:basedOn w:val="ac"/>
    <w:link w:val="affb"/>
    <w:unhideWhenUsed/>
    <w:qFormat/>
    <w:rsid w:val="004018C0"/>
    <w:pPr>
      <w:adjustRightInd w:val="0"/>
      <w:snapToGrid w:val="0"/>
    </w:pPr>
    <w:rPr>
      <w:rFonts w:ascii="Times New Roman" w:hAnsi="Times New Roman" w:cs="Times New Roman"/>
      <w:sz w:val="18"/>
      <w:szCs w:val="18"/>
    </w:rPr>
  </w:style>
  <w:style w:type="character" w:customStyle="1" w:styleId="affb">
    <w:name w:val="批注框文本 字符"/>
    <w:basedOn w:val="ad"/>
    <w:link w:val="affa"/>
    <w:qFormat/>
    <w:rsid w:val="004018C0"/>
    <w:rPr>
      <w:rFonts w:ascii="Times New Roman" w:hAnsi="Times New Roman" w:cs="Times New Roman"/>
      <w:kern w:val="2"/>
      <w:sz w:val="18"/>
      <w:szCs w:val="18"/>
    </w:rPr>
  </w:style>
  <w:style w:type="paragraph" w:styleId="27">
    <w:name w:val="Body Text First Indent 2"/>
    <w:basedOn w:val="aff5"/>
    <w:link w:val="28"/>
    <w:semiHidden/>
    <w:qFormat/>
    <w:rsid w:val="004018C0"/>
    <w:pPr>
      <w:widowControl/>
      <w:adjustRightInd w:val="0"/>
      <w:snapToGrid w:val="0"/>
      <w:spacing w:after="120"/>
      <w:ind w:leftChars="200" w:left="420" w:firstLineChars="200" w:firstLine="420"/>
      <w:jc w:val="left"/>
    </w:pPr>
    <w:rPr>
      <w:sz w:val="24"/>
    </w:rPr>
  </w:style>
  <w:style w:type="character" w:customStyle="1" w:styleId="28">
    <w:name w:val="正文文本首行缩进 2 字符"/>
    <w:basedOn w:val="aff6"/>
    <w:link w:val="27"/>
    <w:semiHidden/>
    <w:qFormat/>
    <w:rsid w:val="004018C0"/>
    <w:rPr>
      <w:rFonts w:ascii="Times New Roman" w:hAnsi="Times New Roman" w:cs="Times New Roman"/>
      <w:kern w:val="2"/>
      <w:sz w:val="24"/>
    </w:rPr>
  </w:style>
  <w:style w:type="paragraph" w:styleId="TOC1">
    <w:name w:val="toc 1"/>
    <w:basedOn w:val="ac"/>
    <w:next w:val="ac"/>
    <w:uiPriority w:val="39"/>
    <w:qFormat/>
    <w:rsid w:val="004018C0"/>
    <w:pPr>
      <w:spacing w:before="120" w:after="120"/>
      <w:jc w:val="left"/>
    </w:pPr>
    <w:rPr>
      <w:rFonts w:eastAsiaTheme="minorHAnsi"/>
      <w:b/>
      <w:bCs/>
      <w:caps/>
      <w:sz w:val="20"/>
      <w:szCs w:val="20"/>
    </w:rPr>
  </w:style>
  <w:style w:type="paragraph" w:styleId="TOC4">
    <w:name w:val="toc 4"/>
    <w:basedOn w:val="ac"/>
    <w:next w:val="ac"/>
    <w:uiPriority w:val="39"/>
    <w:unhideWhenUsed/>
    <w:qFormat/>
    <w:rsid w:val="004018C0"/>
    <w:pPr>
      <w:ind w:left="720"/>
      <w:jc w:val="left"/>
    </w:pPr>
    <w:rPr>
      <w:rFonts w:eastAsiaTheme="minorHAnsi"/>
      <w:sz w:val="18"/>
      <w:szCs w:val="18"/>
    </w:rPr>
  </w:style>
  <w:style w:type="paragraph" w:styleId="affc">
    <w:name w:val="List"/>
    <w:basedOn w:val="ac"/>
    <w:qFormat/>
    <w:rsid w:val="004018C0"/>
    <w:pPr>
      <w:widowControl/>
      <w:spacing w:line="240" w:lineRule="auto"/>
      <w:ind w:firstLine="54"/>
      <w:jc w:val="center"/>
      <w:outlineLvl w:val="6"/>
    </w:pPr>
    <w:rPr>
      <w:rFonts w:ascii="宋体" w:hAnsi="宋体" w:cs="宋体"/>
      <w:spacing w:val="-6"/>
      <w:kern w:val="0"/>
      <w:sz w:val="21"/>
    </w:rPr>
  </w:style>
  <w:style w:type="paragraph" w:styleId="TOC6">
    <w:name w:val="toc 6"/>
    <w:basedOn w:val="ac"/>
    <w:next w:val="ac"/>
    <w:uiPriority w:val="39"/>
    <w:unhideWhenUsed/>
    <w:qFormat/>
    <w:rsid w:val="004018C0"/>
    <w:pPr>
      <w:ind w:left="1200"/>
      <w:jc w:val="left"/>
    </w:pPr>
    <w:rPr>
      <w:rFonts w:eastAsiaTheme="minorHAnsi"/>
      <w:sz w:val="18"/>
      <w:szCs w:val="18"/>
    </w:rPr>
  </w:style>
  <w:style w:type="paragraph" w:styleId="37">
    <w:name w:val="Body Text Indent 3"/>
    <w:basedOn w:val="ac"/>
    <w:link w:val="38"/>
    <w:qFormat/>
    <w:rsid w:val="004018C0"/>
    <w:pPr>
      <w:adjustRightInd w:val="0"/>
      <w:snapToGrid w:val="0"/>
      <w:spacing w:before="120" w:after="120" w:line="240" w:lineRule="auto"/>
      <w:ind w:firstLineChars="200" w:firstLine="480"/>
    </w:pPr>
    <w:rPr>
      <w:rFonts w:ascii="Times New Roman" w:hAnsi="Times New Roman" w:cs="Times New Roman"/>
      <w:szCs w:val="24"/>
    </w:rPr>
  </w:style>
  <w:style w:type="character" w:customStyle="1" w:styleId="38">
    <w:name w:val="正文文本缩进 3 字符"/>
    <w:basedOn w:val="ad"/>
    <w:link w:val="37"/>
    <w:qFormat/>
    <w:rsid w:val="004018C0"/>
    <w:rPr>
      <w:rFonts w:ascii="Times New Roman" w:hAnsi="Times New Roman" w:cs="Times New Roman"/>
      <w:kern w:val="2"/>
      <w:sz w:val="24"/>
      <w:szCs w:val="24"/>
    </w:rPr>
  </w:style>
  <w:style w:type="paragraph" w:styleId="TOC2">
    <w:name w:val="toc 2"/>
    <w:basedOn w:val="ac"/>
    <w:next w:val="ac"/>
    <w:uiPriority w:val="39"/>
    <w:qFormat/>
    <w:rsid w:val="004018C0"/>
    <w:pPr>
      <w:ind w:left="240"/>
      <w:jc w:val="left"/>
    </w:pPr>
    <w:rPr>
      <w:rFonts w:eastAsiaTheme="minorHAnsi"/>
      <w:smallCaps/>
      <w:sz w:val="20"/>
      <w:szCs w:val="20"/>
    </w:rPr>
  </w:style>
  <w:style w:type="paragraph" w:styleId="TOC9">
    <w:name w:val="toc 9"/>
    <w:basedOn w:val="ac"/>
    <w:next w:val="ac"/>
    <w:uiPriority w:val="39"/>
    <w:unhideWhenUsed/>
    <w:qFormat/>
    <w:rsid w:val="004018C0"/>
    <w:pPr>
      <w:ind w:left="1920"/>
      <w:jc w:val="left"/>
    </w:pPr>
    <w:rPr>
      <w:rFonts w:eastAsiaTheme="minorHAnsi"/>
      <w:sz w:val="18"/>
      <w:szCs w:val="18"/>
    </w:rPr>
  </w:style>
  <w:style w:type="paragraph" w:styleId="29">
    <w:name w:val="Body Text 2"/>
    <w:basedOn w:val="ac"/>
    <w:link w:val="2a"/>
    <w:qFormat/>
    <w:rsid w:val="004018C0"/>
    <w:pPr>
      <w:autoSpaceDE w:val="0"/>
      <w:autoSpaceDN w:val="0"/>
      <w:adjustRightInd w:val="0"/>
      <w:snapToGrid w:val="0"/>
      <w:spacing w:line="312" w:lineRule="atLeast"/>
      <w:textAlignment w:val="baseline"/>
    </w:pPr>
    <w:rPr>
      <w:rFonts w:ascii="宋体" w:hAnsi="Tms Rmn" w:cs="Times New Roman"/>
      <w:kern w:val="0"/>
      <w:sz w:val="21"/>
      <w:szCs w:val="20"/>
    </w:rPr>
  </w:style>
  <w:style w:type="character" w:customStyle="1" w:styleId="2a">
    <w:name w:val="正文文本 2 字符"/>
    <w:basedOn w:val="ad"/>
    <w:link w:val="29"/>
    <w:qFormat/>
    <w:rsid w:val="004018C0"/>
    <w:rPr>
      <w:rFonts w:ascii="宋体" w:hAnsi="Tms Rmn" w:cs="Times New Roman"/>
      <w:sz w:val="21"/>
    </w:rPr>
  </w:style>
  <w:style w:type="paragraph" w:styleId="2b">
    <w:name w:val="List Continue 2"/>
    <w:basedOn w:val="ac"/>
    <w:semiHidden/>
    <w:qFormat/>
    <w:rsid w:val="004018C0"/>
    <w:pPr>
      <w:widowControl/>
      <w:adjustRightInd w:val="0"/>
      <w:snapToGrid w:val="0"/>
      <w:spacing w:after="120"/>
      <w:ind w:leftChars="400" w:left="840"/>
      <w:jc w:val="left"/>
    </w:pPr>
    <w:rPr>
      <w:rFonts w:ascii="Times New Roman" w:hAnsi="Times New Roman" w:cs="Times New Roman"/>
      <w:kern w:val="0"/>
      <w:szCs w:val="20"/>
    </w:rPr>
  </w:style>
  <w:style w:type="paragraph" w:styleId="affd">
    <w:name w:val="Normal (Web)"/>
    <w:basedOn w:val="ac"/>
    <w:qFormat/>
    <w:rsid w:val="004018C0"/>
    <w:pPr>
      <w:widowControl/>
      <w:adjustRightInd w:val="0"/>
      <w:snapToGrid w:val="0"/>
      <w:spacing w:before="100" w:beforeAutospacing="1" w:after="100" w:afterAutospacing="1"/>
      <w:jc w:val="left"/>
    </w:pPr>
    <w:rPr>
      <w:rFonts w:ascii="宋体" w:hAnsi="宋体" w:cs="宋体"/>
      <w:kern w:val="0"/>
      <w:szCs w:val="24"/>
    </w:rPr>
  </w:style>
  <w:style w:type="paragraph" w:styleId="39">
    <w:name w:val="List Continue 3"/>
    <w:basedOn w:val="ac"/>
    <w:semiHidden/>
    <w:qFormat/>
    <w:rsid w:val="004018C0"/>
    <w:pPr>
      <w:widowControl/>
      <w:adjustRightInd w:val="0"/>
      <w:snapToGrid w:val="0"/>
      <w:spacing w:after="120"/>
      <w:ind w:leftChars="600" w:left="1260"/>
      <w:jc w:val="left"/>
    </w:pPr>
    <w:rPr>
      <w:rFonts w:ascii="Times New Roman" w:hAnsi="Times New Roman" w:cs="Times New Roman"/>
      <w:kern w:val="0"/>
      <w:szCs w:val="20"/>
    </w:rPr>
  </w:style>
  <w:style w:type="character" w:styleId="affe">
    <w:name w:val="Strong"/>
    <w:qFormat/>
    <w:rsid w:val="004018C0"/>
    <w:rPr>
      <w:b/>
      <w:bCs/>
    </w:rPr>
  </w:style>
  <w:style w:type="character" w:styleId="afff">
    <w:name w:val="page number"/>
    <w:basedOn w:val="ad"/>
    <w:qFormat/>
    <w:rsid w:val="004018C0"/>
  </w:style>
  <w:style w:type="character" w:styleId="afff0">
    <w:name w:val="Emphasis"/>
    <w:basedOn w:val="ad"/>
    <w:qFormat/>
    <w:rsid w:val="004018C0"/>
    <w:rPr>
      <w:color w:val="CC0000"/>
    </w:rPr>
  </w:style>
  <w:style w:type="character" w:styleId="afff1">
    <w:name w:val="Hyperlink"/>
    <w:uiPriority w:val="99"/>
    <w:unhideWhenUsed/>
    <w:qFormat/>
    <w:rsid w:val="004018C0"/>
    <w:rPr>
      <w:rFonts w:ascii="Arial" w:hAnsi="Arial" w:cs="Arial" w:hint="default"/>
      <w:color w:val="0000FF"/>
      <w:u w:val="single"/>
    </w:rPr>
  </w:style>
  <w:style w:type="character" w:styleId="afff2">
    <w:name w:val="annotation reference"/>
    <w:qFormat/>
    <w:rsid w:val="004018C0"/>
    <w:rPr>
      <w:sz w:val="21"/>
      <w:szCs w:val="21"/>
    </w:rPr>
  </w:style>
  <w:style w:type="table" w:customStyle="1" w:styleId="1b">
    <w:name w:val="网格型1"/>
    <w:basedOn w:val="ae"/>
    <w:next w:val="af6"/>
    <w:uiPriority w:val="39"/>
    <w:qFormat/>
    <w:rsid w:val="004018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3">
    <w:name w:val="【条文说明】"/>
    <w:basedOn w:val="aff8"/>
    <w:next w:val="afff4"/>
    <w:qFormat/>
    <w:rsid w:val="004018C0"/>
    <w:pPr>
      <w:spacing w:line="276" w:lineRule="auto"/>
    </w:pPr>
    <w:rPr>
      <w:rFonts w:ascii="华文仿宋" w:eastAsia="华文仿宋" w:hAnsi="华文仿宋"/>
    </w:rPr>
  </w:style>
  <w:style w:type="paragraph" w:customStyle="1" w:styleId="afff4">
    <w:name w:val="条文说明"/>
    <w:basedOn w:val="afff3"/>
    <w:qFormat/>
    <w:rsid w:val="004018C0"/>
    <w:pPr>
      <w:ind w:firstLineChars="200" w:firstLine="420"/>
    </w:pPr>
  </w:style>
  <w:style w:type="paragraph" w:customStyle="1" w:styleId="1c">
    <w:name w:val="列出段落1"/>
    <w:basedOn w:val="ac"/>
    <w:uiPriority w:val="34"/>
    <w:qFormat/>
    <w:rsid w:val="004018C0"/>
    <w:pPr>
      <w:adjustRightInd w:val="0"/>
      <w:snapToGrid w:val="0"/>
      <w:ind w:firstLineChars="200" w:firstLine="420"/>
    </w:pPr>
    <w:rPr>
      <w:rFonts w:ascii="Times New Roman" w:hAnsi="Times New Roman" w:cs="Times New Roman"/>
      <w:sz w:val="21"/>
      <w:szCs w:val="24"/>
    </w:rPr>
  </w:style>
  <w:style w:type="paragraph" w:customStyle="1" w:styleId="1d">
    <w:name w:val="修订1"/>
    <w:hidden/>
    <w:uiPriority w:val="99"/>
    <w:semiHidden/>
    <w:qFormat/>
    <w:rsid w:val="004018C0"/>
    <w:rPr>
      <w:rFonts w:ascii="Times New Roman" w:hAnsi="Times New Roman" w:cs="Times New Roman"/>
      <w:kern w:val="2"/>
      <w:sz w:val="21"/>
      <w:szCs w:val="24"/>
    </w:rPr>
  </w:style>
  <w:style w:type="paragraph" w:customStyle="1" w:styleId="afff5">
    <w:name w:val="图标名"/>
    <w:basedOn w:val="ac"/>
    <w:qFormat/>
    <w:rsid w:val="004018C0"/>
    <w:pPr>
      <w:adjustRightInd w:val="0"/>
      <w:snapToGrid w:val="0"/>
      <w:jc w:val="center"/>
    </w:pPr>
    <w:rPr>
      <w:rFonts w:ascii="Times New Roman" w:hAnsi="Times New Roman" w:cs="Times New Roman"/>
      <w:sz w:val="21"/>
    </w:rPr>
  </w:style>
  <w:style w:type="paragraph" w:customStyle="1" w:styleId="afff6">
    <w:name w:val="表中文字"/>
    <w:basedOn w:val="ac"/>
    <w:link w:val="Char"/>
    <w:qFormat/>
    <w:rsid w:val="004018C0"/>
    <w:pPr>
      <w:adjustRightInd w:val="0"/>
      <w:snapToGrid w:val="0"/>
    </w:pPr>
    <w:rPr>
      <w:rFonts w:ascii="Times New Roman" w:hAnsi="Times New Roman" w:cs="Times New Roman"/>
      <w:sz w:val="21"/>
    </w:rPr>
  </w:style>
  <w:style w:type="paragraph" w:customStyle="1" w:styleId="afff7">
    <w:name w:val="表名"/>
    <w:basedOn w:val="afff5"/>
    <w:qFormat/>
    <w:rsid w:val="004018C0"/>
    <w:pPr>
      <w:spacing w:line="500" w:lineRule="exact"/>
    </w:pPr>
    <w:rPr>
      <w:rFonts w:eastAsia="黑体"/>
    </w:rPr>
  </w:style>
  <w:style w:type="paragraph" w:customStyle="1" w:styleId="afff8">
    <w:name w:val="表中居中"/>
    <w:basedOn w:val="afff6"/>
    <w:qFormat/>
    <w:rsid w:val="004018C0"/>
    <w:pPr>
      <w:jc w:val="center"/>
    </w:pPr>
  </w:style>
  <w:style w:type="paragraph" w:customStyle="1" w:styleId="33CharCharttulo33Char13CharCharChar1">
    <w:name w:val="样式 标题 3标题 3 Char Chartítulo 3标题 3 Char1标题 3 Char Char Char1..."/>
    <w:basedOn w:val="30"/>
    <w:next w:val="af0"/>
    <w:qFormat/>
    <w:rsid w:val="004018C0"/>
    <w:pPr>
      <w:numPr>
        <w:ilvl w:val="0"/>
        <w:numId w:val="0"/>
      </w:numPr>
      <w:adjustRightInd w:val="0"/>
      <w:snapToGrid w:val="0"/>
    </w:pPr>
    <w:rPr>
      <w:rFonts w:ascii="黑体" w:eastAsia="黑体" w:hAnsi="Arial" w:cs="宋体"/>
      <w:b/>
      <w:bCs w:val="0"/>
      <w:kern w:val="0"/>
      <w:szCs w:val="20"/>
    </w:rPr>
  </w:style>
  <w:style w:type="paragraph" w:customStyle="1" w:styleId="afff9">
    <w:name w:val="表头居中"/>
    <w:basedOn w:val="aff0"/>
    <w:qFormat/>
    <w:rsid w:val="004018C0"/>
    <w:pPr>
      <w:adjustRightInd/>
      <w:snapToGrid/>
      <w:spacing w:line="240" w:lineRule="auto"/>
      <w:ind w:firstLineChars="0" w:firstLine="0"/>
      <w:jc w:val="center"/>
    </w:pPr>
    <w:rPr>
      <w:rFonts w:cs="宋体"/>
      <w:sz w:val="24"/>
      <w:szCs w:val="20"/>
    </w:rPr>
  </w:style>
  <w:style w:type="paragraph" w:customStyle="1" w:styleId="afffa">
    <w:name w:val="表格，五宋"/>
    <w:qFormat/>
    <w:rsid w:val="004018C0"/>
    <w:pPr>
      <w:keepNext/>
      <w:widowControl w:val="0"/>
      <w:adjustRightInd w:val="0"/>
      <w:spacing w:line="360" w:lineRule="exact"/>
      <w:jc w:val="center"/>
    </w:pPr>
    <w:rPr>
      <w:rFonts w:ascii="宋体" w:hAnsi="宋体" w:cs="Times New Roman"/>
      <w:sz w:val="21"/>
    </w:rPr>
  </w:style>
  <w:style w:type="paragraph" w:customStyle="1" w:styleId="1e">
    <w:name w:val="列表1"/>
    <w:basedOn w:val="affc"/>
    <w:qFormat/>
    <w:rsid w:val="004018C0"/>
  </w:style>
  <w:style w:type="paragraph" w:customStyle="1" w:styleId="TOC10">
    <w:name w:val="TOC 标题1"/>
    <w:basedOn w:val="12"/>
    <w:next w:val="ac"/>
    <w:uiPriority w:val="39"/>
    <w:qFormat/>
    <w:rsid w:val="004018C0"/>
    <w:pPr>
      <w:keepNext/>
      <w:keepLines/>
      <w:widowControl/>
      <w:numPr>
        <w:ilvl w:val="1"/>
        <w:numId w:val="0"/>
      </w:numPr>
      <w:spacing w:beforeLines="50" w:before="480" w:afterLines="50" w:after="0"/>
      <w:jc w:val="left"/>
      <w:outlineLvl w:val="9"/>
    </w:pPr>
    <w:rPr>
      <w:rFonts w:ascii="Cambria" w:hAnsi="Cambria" w:cs="Times New Roman"/>
      <w:color w:val="365F91"/>
      <w:kern w:val="0"/>
      <w:sz w:val="24"/>
      <w:szCs w:val="28"/>
    </w:rPr>
  </w:style>
  <w:style w:type="paragraph" w:customStyle="1" w:styleId="afffb">
    <w:name w:val="段"/>
    <w:qFormat/>
    <w:rsid w:val="004018C0"/>
    <w:pPr>
      <w:autoSpaceDE w:val="0"/>
      <w:autoSpaceDN w:val="0"/>
      <w:ind w:firstLineChars="200" w:firstLine="200"/>
      <w:jc w:val="both"/>
    </w:pPr>
    <w:rPr>
      <w:rFonts w:ascii="宋体" w:hAnsi="Times New Roman" w:cs="Times New Roman"/>
      <w:sz w:val="21"/>
    </w:rPr>
  </w:style>
  <w:style w:type="paragraph" w:customStyle="1" w:styleId="a4">
    <w:name w:val="前言、引言标题"/>
    <w:next w:val="ac"/>
    <w:qFormat/>
    <w:rsid w:val="004018C0"/>
    <w:pPr>
      <w:numPr>
        <w:numId w:val="8"/>
      </w:numPr>
      <w:shd w:val="clear" w:color="FFFFFF" w:fill="FFFFFF"/>
      <w:spacing w:before="640" w:after="560"/>
      <w:jc w:val="center"/>
      <w:outlineLvl w:val="0"/>
    </w:pPr>
    <w:rPr>
      <w:rFonts w:ascii="黑体" w:eastAsia="黑体" w:hAnsi="Times New Roman" w:cs="Times New Roman"/>
      <w:sz w:val="32"/>
    </w:rPr>
  </w:style>
  <w:style w:type="paragraph" w:customStyle="1" w:styleId="a5">
    <w:name w:val="章标题"/>
    <w:next w:val="ac"/>
    <w:qFormat/>
    <w:rsid w:val="004018C0"/>
    <w:pPr>
      <w:numPr>
        <w:ilvl w:val="1"/>
        <w:numId w:val="8"/>
      </w:numPr>
      <w:spacing w:beforeLines="50" w:afterLines="50"/>
      <w:jc w:val="both"/>
      <w:outlineLvl w:val="1"/>
    </w:pPr>
    <w:rPr>
      <w:rFonts w:ascii="黑体" w:eastAsia="黑体" w:hAnsi="Times New Roman" w:cs="Times New Roman"/>
      <w:sz w:val="21"/>
    </w:rPr>
  </w:style>
  <w:style w:type="paragraph" w:customStyle="1" w:styleId="a6">
    <w:name w:val="一级条标题"/>
    <w:next w:val="ac"/>
    <w:link w:val="Char0"/>
    <w:qFormat/>
    <w:rsid w:val="004018C0"/>
    <w:pPr>
      <w:numPr>
        <w:ilvl w:val="2"/>
        <w:numId w:val="8"/>
      </w:numPr>
      <w:ind w:left="0"/>
      <w:outlineLvl w:val="2"/>
    </w:pPr>
    <w:rPr>
      <w:rFonts w:ascii="Times New Roman" w:eastAsia="黑体" w:hAnsi="Times New Roman"/>
      <w:sz w:val="21"/>
    </w:rPr>
  </w:style>
  <w:style w:type="paragraph" w:customStyle="1" w:styleId="a7">
    <w:name w:val="二级条标题"/>
    <w:basedOn w:val="a6"/>
    <w:next w:val="ac"/>
    <w:link w:val="Char1"/>
    <w:qFormat/>
    <w:rsid w:val="004018C0"/>
    <w:pPr>
      <w:numPr>
        <w:ilvl w:val="3"/>
      </w:numPr>
      <w:outlineLvl w:val="3"/>
    </w:pPr>
  </w:style>
  <w:style w:type="paragraph" w:customStyle="1" w:styleId="a8">
    <w:name w:val="三级条标题"/>
    <w:basedOn w:val="a7"/>
    <w:next w:val="ac"/>
    <w:link w:val="Char2"/>
    <w:qFormat/>
    <w:rsid w:val="004018C0"/>
    <w:pPr>
      <w:numPr>
        <w:ilvl w:val="4"/>
      </w:numPr>
      <w:outlineLvl w:val="4"/>
    </w:pPr>
  </w:style>
  <w:style w:type="paragraph" w:customStyle="1" w:styleId="a9">
    <w:name w:val="四级条标题"/>
    <w:basedOn w:val="a8"/>
    <w:next w:val="ac"/>
    <w:qFormat/>
    <w:rsid w:val="004018C0"/>
    <w:pPr>
      <w:numPr>
        <w:ilvl w:val="5"/>
      </w:numPr>
      <w:tabs>
        <w:tab w:val="left" w:pos="0"/>
      </w:tabs>
      <w:ind w:left="3260" w:hanging="1134"/>
      <w:outlineLvl w:val="5"/>
    </w:pPr>
  </w:style>
  <w:style w:type="paragraph" w:customStyle="1" w:styleId="aa">
    <w:name w:val="五级条标题"/>
    <w:basedOn w:val="a9"/>
    <w:next w:val="ac"/>
    <w:qFormat/>
    <w:rsid w:val="004018C0"/>
    <w:pPr>
      <w:numPr>
        <w:ilvl w:val="6"/>
      </w:numPr>
      <w:ind w:left="3827" w:hanging="1276"/>
      <w:outlineLvl w:val="6"/>
    </w:pPr>
  </w:style>
  <w:style w:type="paragraph" w:customStyle="1" w:styleId="afffc">
    <w:name w:val="标准文本"/>
    <w:basedOn w:val="ac"/>
    <w:qFormat/>
    <w:rsid w:val="004018C0"/>
    <w:pPr>
      <w:spacing w:line="400" w:lineRule="exact"/>
      <w:ind w:firstLineChars="200" w:firstLine="480"/>
    </w:pPr>
    <w:rPr>
      <w:rFonts w:ascii="黑体" w:hAnsi="宋体" w:cs="Times New Roman"/>
      <w:szCs w:val="24"/>
    </w:rPr>
  </w:style>
  <w:style w:type="paragraph" w:customStyle="1" w:styleId="CharCharCharCharCharChar1CharCharCharChar">
    <w:name w:val="Char Char Char Char Char Char1 Char Char Char Char"/>
    <w:basedOn w:val="ac"/>
    <w:qFormat/>
    <w:rsid w:val="004018C0"/>
    <w:pPr>
      <w:spacing w:line="240" w:lineRule="auto"/>
    </w:pPr>
    <w:rPr>
      <w:rFonts w:ascii="仿宋_GB2312" w:eastAsia="仿宋_GB2312" w:hAnsi="Times New Roman" w:cs="Times New Roman"/>
      <w:b/>
      <w:sz w:val="32"/>
      <w:szCs w:val="32"/>
    </w:rPr>
  </w:style>
  <w:style w:type="paragraph" w:customStyle="1" w:styleId="CharChar">
    <w:name w:val="Char Char"/>
    <w:basedOn w:val="ac"/>
    <w:qFormat/>
    <w:rsid w:val="004018C0"/>
    <w:pPr>
      <w:tabs>
        <w:tab w:val="left" w:pos="432"/>
      </w:tabs>
      <w:spacing w:line="240" w:lineRule="auto"/>
      <w:ind w:left="432" w:hanging="432"/>
    </w:pPr>
    <w:rPr>
      <w:rFonts w:ascii="Times New Roman" w:hAnsi="Times New Roman" w:cs="Times New Roman"/>
      <w:szCs w:val="24"/>
    </w:rPr>
  </w:style>
  <w:style w:type="paragraph" w:customStyle="1" w:styleId="afffd">
    <w:name w:val="表格"/>
    <w:aliases w:val="五宋"/>
    <w:basedOn w:val="ac"/>
    <w:qFormat/>
    <w:rsid w:val="004018C0"/>
    <w:pPr>
      <w:adjustRightInd w:val="0"/>
      <w:snapToGrid w:val="0"/>
      <w:spacing w:line="240" w:lineRule="auto"/>
      <w:jc w:val="center"/>
    </w:pPr>
    <w:rPr>
      <w:rFonts w:ascii="宋体" w:hAnsi="宋体" w:cs="Times New Roman"/>
      <w:color w:val="000000"/>
      <w:szCs w:val="24"/>
    </w:rPr>
  </w:style>
  <w:style w:type="paragraph" w:customStyle="1" w:styleId="CharChar1">
    <w:name w:val="Char Char1"/>
    <w:basedOn w:val="ac"/>
    <w:qFormat/>
    <w:rsid w:val="004018C0"/>
    <w:pPr>
      <w:tabs>
        <w:tab w:val="left" w:pos="432"/>
      </w:tabs>
      <w:spacing w:line="240" w:lineRule="auto"/>
      <w:ind w:left="432" w:hanging="432"/>
    </w:pPr>
    <w:rPr>
      <w:rFonts w:ascii="Times New Roman" w:hAnsi="Times New Roman" w:cs="Times New Roman"/>
      <w:szCs w:val="24"/>
    </w:rPr>
  </w:style>
  <w:style w:type="paragraph" w:customStyle="1" w:styleId="305">
    <w:name w:val="样式 标题 3 + 段前: 0.5 行"/>
    <w:basedOn w:val="30"/>
    <w:qFormat/>
    <w:rsid w:val="004018C0"/>
    <w:pPr>
      <w:numPr>
        <w:ilvl w:val="0"/>
        <w:numId w:val="0"/>
      </w:numPr>
      <w:adjustRightInd w:val="0"/>
      <w:snapToGrid w:val="0"/>
      <w:spacing w:beforeLines="50"/>
      <w:ind w:left="567" w:hanging="567"/>
    </w:pPr>
    <w:rPr>
      <w:rFonts w:cs="宋体"/>
      <w:bCs w:val="0"/>
      <w:sz w:val="28"/>
      <w:szCs w:val="20"/>
    </w:rPr>
  </w:style>
  <w:style w:type="paragraph" w:customStyle="1" w:styleId="44">
    <w:name w:val="样式 标题 4 + 加粗"/>
    <w:basedOn w:val="4"/>
    <w:link w:val="4Char"/>
    <w:qFormat/>
    <w:rsid w:val="004018C0"/>
    <w:pPr>
      <w:numPr>
        <w:ilvl w:val="4"/>
        <w:numId w:val="0"/>
      </w:numPr>
      <w:spacing w:before="360" w:afterLines="50"/>
      <w:ind w:left="454"/>
      <w:jc w:val="center"/>
    </w:pPr>
    <w:rPr>
      <w:rFonts w:ascii="Arial" w:hAnsi="Arial" w:cs="Times New Roman"/>
      <w:b/>
      <w:kern w:val="28"/>
      <w:sz w:val="28"/>
    </w:rPr>
  </w:style>
  <w:style w:type="paragraph" w:customStyle="1" w:styleId="3050">
    <w:name w:val="样式 标题 3 + 红色 段前: 0.5 行"/>
    <w:basedOn w:val="30"/>
    <w:qFormat/>
    <w:rsid w:val="004018C0"/>
    <w:pPr>
      <w:numPr>
        <w:ilvl w:val="0"/>
        <w:numId w:val="0"/>
      </w:numPr>
      <w:adjustRightInd w:val="0"/>
      <w:snapToGrid w:val="0"/>
      <w:spacing w:beforeLines="50"/>
      <w:ind w:left="567" w:hanging="567"/>
    </w:pPr>
    <w:rPr>
      <w:rFonts w:cs="宋体"/>
      <w:bCs w:val="0"/>
      <w:color w:val="FF0000"/>
      <w:sz w:val="28"/>
      <w:szCs w:val="20"/>
    </w:rPr>
  </w:style>
  <w:style w:type="paragraph" w:customStyle="1" w:styleId="3051">
    <w:name w:val="样式 标题 3 + 加粗 段前: 0.5 行"/>
    <w:basedOn w:val="30"/>
    <w:qFormat/>
    <w:rsid w:val="004018C0"/>
    <w:pPr>
      <w:numPr>
        <w:ilvl w:val="0"/>
        <w:numId w:val="0"/>
      </w:numPr>
      <w:adjustRightInd w:val="0"/>
      <w:snapToGrid w:val="0"/>
      <w:spacing w:beforeLines="50"/>
      <w:ind w:left="567" w:hanging="567"/>
    </w:pPr>
    <w:rPr>
      <w:rFonts w:cs="宋体"/>
      <w:b/>
      <w:sz w:val="28"/>
      <w:szCs w:val="20"/>
    </w:rPr>
  </w:style>
  <w:style w:type="paragraph" w:customStyle="1" w:styleId="112">
    <w:name w:val="标题 11"/>
    <w:next w:val="Afffe"/>
    <w:qFormat/>
    <w:rsid w:val="004018C0"/>
    <w:pPr>
      <w:widowControl w:val="0"/>
      <w:spacing w:before="312" w:line="500" w:lineRule="exact"/>
      <w:jc w:val="center"/>
      <w:outlineLvl w:val="0"/>
    </w:pPr>
    <w:rPr>
      <w:rFonts w:ascii="Lucida Grande" w:eastAsia="ヒラギノ角ゴ Pro W3" w:hAnsi="Lucida Grande" w:cs="Times New Roman"/>
      <w:b/>
      <w:color w:val="000000"/>
      <w:kern w:val="28"/>
      <w:sz w:val="28"/>
    </w:rPr>
  </w:style>
  <w:style w:type="paragraph" w:customStyle="1" w:styleId="Afffe">
    <w:name w:val="正文 A"/>
    <w:qFormat/>
    <w:rsid w:val="004018C0"/>
    <w:pPr>
      <w:widowControl w:val="0"/>
      <w:spacing w:line="500" w:lineRule="exact"/>
      <w:ind w:firstLine="900"/>
      <w:jc w:val="both"/>
    </w:pPr>
    <w:rPr>
      <w:rFonts w:ascii="Times New Roman" w:eastAsia="ヒラギノ角ゴ Pro W3" w:hAnsi="Times New Roman" w:cs="Times New Roman"/>
      <w:color w:val="000000"/>
      <w:kern w:val="24"/>
      <w:sz w:val="24"/>
    </w:rPr>
  </w:style>
  <w:style w:type="paragraph" w:customStyle="1" w:styleId="211">
    <w:name w:val="标题 21"/>
    <w:next w:val="Afffe"/>
    <w:qFormat/>
    <w:rsid w:val="004018C0"/>
    <w:pPr>
      <w:widowControl w:val="0"/>
      <w:spacing w:before="312" w:line="500" w:lineRule="exact"/>
      <w:jc w:val="center"/>
      <w:outlineLvl w:val="1"/>
    </w:pPr>
    <w:rPr>
      <w:rFonts w:ascii="Arial" w:eastAsia="ヒラギノ角ゴ Pro W3" w:hAnsi="Arial" w:cs="Times New Roman"/>
      <w:color w:val="000000"/>
      <w:kern w:val="28"/>
      <w:sz w:val="24"/>
    </w:rPr>
  </w:style>
  <w:style w:type="paragraph" w:customStyle="1" w:styleId="310">
    <w:name w:val="标题 31"/>
    <w:next w:val="Afffe"/>
    <w:qFormat/>
    <w:rsid w:val="004018C0"/>
    <w:pPr>
      <w:widowControl w:val="0"/>
      <w:tabs>
        <w:tab w:val="left" w:pos="0"/>
      </w:tabs>
      <w:spacing w:before="156" w:line="500" w:lineRule="exact"/>
      <w:jc w:val="both"/>
      <w:outlineLvl w:val="2"/>
    </w:pPr>
    <w:rPr>
      <w:rFonts w:ascii="Lucida Grande" w:eastAsia="ヒラギノ角ゴ Pro W3" w:hAnsi="Lucida Grande" w:cs="Times New Roman"/>
      <w:color w:val="000000"/>
      <w:kern w:val="21"/>
      <w:sz w:val="24"/>
    </w:rPr>
  </w:style>
  <w:style w:type="paragraph" w:customStyle="1" w:styleId="411">
    <w:name w:val="标题 41"/>
    <w:next w:val="Afffe"/>
    <w:qFormat/>
    <w:rsid w:val="004018C0"/>
    <w:pPr>
      <w:widowControl w:val="0"/>
      <w:spacing w:line="500" w:lineRule="exact"/>
      <w:ind w:left="900" w:hanging="864"/>
      <w:jc w:val="both"/>
      <w:outlineLvl w:val="3"/>
    </w:pPr>
    <w:rPr>
      <w:rFonts w:ascii="Lucida Grande" w:eastAsia="ヒラギノ角ゴ Pro W3" w:hAnsi="Lucida Grande" w:cs="Times New Roman"/>
      <w:color w:val="000000"/>
      <w:kern w:val="24"/>
      <w:sz w:val="24"/>
    </w:rPr>
  </w:style>
  <w:style w:type="paragraph" w:customStyle="1" w:styleId="0">
    <w:name w:val="条文 0"/>
    <w:next w:val="ac"/>
    <w:qFormat/>
    <w:rsid w:val="004018C0"/>
    <w:pPr>
      <w:numPr>
        <w:ilvl w:val="1"/>
        <w:numId w:val="9"/>
      </w:numPr>
      <w:spacing w:before="240" w:after="240"/>
    </w:pPr>
    <w:rPr>
      <w:rFonts w:ascii="Times New Roman" w:eastAsia="黑体" w:hAnsi="Times New Roman" w:cs="Times New Roman"/>
      <w:sz w:val="21"/>
    </w:rPr>
  </w:style>
  <w:style w:type="paragraph" w:customStyle="1" w:styleId="13">
    <w:name w:val="条文 1"/>
    <w:next w:val="ac"/>
    <w:qFormat/>
    <w:rsid w:val="004018C0"/>
    <w:pPr>
      <w:numPr>
        <w:ilvl w:val="2"/>
        <w:numId w:val="9"/>
      </w:numPr>
      <w:spacing w:line="310" w:lineRule="exact"/>
    </w:pPr>
    <w:rPr>
      <w:rFonts w:ascii="Times New Roman" w:eastAsia="黑体" w:hAnsi="Times New Roman" w:cs="Times New Roman"/>
      <w:sz w:val="21"/>
    </w:rPr>
  </w:style>
  <w:style w:type="paragraph" w:customStyle="1" w:styleId="20">
    <w:name w:val="条文 2"/>
    <w:next w:val="ac"/>
    <w:qFormat/>
    <w:rsid w:val="004018C0"/>
    <w:pPr>
      <w:numPr>
        <w:ilvl w:val="3"/>
        <w:numId w:val="9"/>
      </w:numPr>
      <w:spacing w:line="310" w:lineRule="exact"/>
    </w:pPr>
    <w:rPr>
      <w:rFonts w:ascii="Times New Roman" w:eastAsia="黑体" w:hAnsi="Times New Roman" w:cs="Times New Roman"/>
      <w:sz w:val="21"/>
    </w:rPr>
  </w:style>
  <w:style w:type="paragraph" w:customStyle="1" w:styleId="31">
    <w:name w:val="条文 3"/>
    <w:next w:val="ac"/>
    <w:qFormat/>
    <w:rsid w:val="004018C0"/>
    <w:pPr>
      <w:numPr>
        <w:ilvl w:val="4"/>
        <w:numId w:val="9"/>
      </w:numPr>
      <w:spacing w:line="310" w:lineRule="exact"/>
    </w:pPr>
    <w:rPr>
      <w:rFonts w:ascii="Times New Roman" w:eastAsia="黑体" w:hAnsi="Times New Roman" w:cs="Times New Roman"/>
      <w:sz w:val="21"/>
    </w:rPr>
  </w:style>
  <w:style w:type="paragraph" w:customStyle="1" w:styleId="40">
    <w:name w:val="条文 4"/>
    <w:next w:val="ac"/>
    <w:qFormat/>
    <w:rsid w:val="004018C0"/>
    <w:pPr>
      <w:numPr>
        <w:ilvl w:val="5"/>
        <w:numId w:val="9"/>
      </w:numPr>
      <w:spacing w:line="310" w:lineRule="exact"/>
    </w:pPr>
    <w:rPr>
      <w:rFonts w:ascii="Times New Roman" w:eastAsia="黑体" w:hAnsi="Times New Roman" w:cs="Times New Roman"/>
      <w:sz w:val="21"/>
    </w:rPr>
  </w:style>
  <w:style w:type="paragraph" w:customStyle="1" w:styleId="a1">
    <w:name w:val="条文 表"/>
    <w:next w:val="ac"/>
    <w:qFormat/>
    <w:rsid w:val="004018C0"/>
    <w:pPr>
      <w:numPr>
        <w:ilvl w:val="7"/>
        <w:numId w:val="9"/>
      </w:numPr>
      <w:jc w:val="center"/>
    </w:pPr>
    <w:rPr>
      <w:rFonts w:ascii="Times New Roman" w:eastAsia="黑体" w:hAnsi="Times New Roman" w:cs="Times New Roman"/>
      <w:sz w:val="21"/>
    </w:rPr>
  </w:style>
  <w:style w:type="paragraph" w:customStyle="1" w:styleId="MiddleTopicFirst">
    <w:name w:val="Middle_Topic_First"/>
    <w:basedOn w:val="ac"/>
    <w:next w:val="ac"/>
    <w:qFormat/>
    <w:rsid w:val="004018C0"/>
    <w:pPr>
      <w:widowControl/>
      <w:numPr>
        <w:numId w:val="10"/>
      </w:numPr>
      <w:spacing w:before="60" w:after="60" w:line="240" w:lineRule="auto"/>
      <w:jc w:val="left"/>
    </w:pPr>
    <w:rPr>
      <w:rFonts w:ascii="Arial" w:hAnsi="Arial" w:cs="Times New Roman"/>
      <w:b/>
      <w:kern w:val="0"/>
      <w:sz w:val="20"/>
      <w:szCs w:val="20"/>
    </w:rPr>
  </w:style>
  <w:style w:type="paragraph" w:customStyle="1" w:styleId="RightTopicFirst">
    <w:name w:val="Right_Topic_First"/>
    <w:basedOn w:val="ac"/>
    <w:qFormat/>
    <w:rsid w:val="004018C0"/>
    <w:pPr>
      <w:widowControl/>
      <w:numPr>
        <w:ilvl w:val="1"/>
        <w:numId w:val="10"/>
      </w:numPr>
      <w:tabs>
        <w:tab w:val="left" w:pos="432"/>
      </w:tabs>
      <w:spacing w:before="60" w:after="60" w:line="240" w:lineRule="auto"/>
      <w:jc w:val="left"/>
    </w:pPr>
    <w:rPr>
      <w:rFonts w:ascii="Arial" w:hAnsi="Arial" w:cs="Times New Roman"/>
      <w:b/>
      <w:kern w:val="0"/>
      <w:sz w:val="20"/>
      <w:szCs w:val="20"/>
    </w:rPr>
  </w:style>
  <w:style w:type="paragraph" w:customStyle="1" w:styleId="RightTopicSecond">
    <w:name w:val="Right_Topic_Second"/>
    <w:basedOn w:val="RightTopicFirst"/>
    <w:qFormat/>
    <w:rsid w:val="004018C0"/>
    <w:pPr>
      <w:numPr>
        <w:ilvl w:val="2"/>
      </w:numPr>
      <w:tabs>
        <w:tab w:val="clear" w:pos="720"/>
        <w:tab w:val="left" w:pos="360"/>
        <w:tab w:val="left" w:pos="1930"/>
      </w:tabs>
      <w:ind w:left="709" w:hanging="709"/>
    </w:pPr>
  </w:style>
  <w:style w:type="paragraph" w:customStyle="1" w:styleId="150">
    <w:name w:val="样式 (西文) 黑体 小四 行距: 1.5 倍行距"/>
    <w:basedOn w:val="ac"/>
    <w:qFormat/>
    <w:rsid w:val="004018C0"/>
    <w:pPr>
      <w:adjustRightInd w:val="0"/>
      <w:snapToGrid w:val="0"/>
      <w:ind w:firstLineChars="200" w:firstLine="200"/>
    </w:pPr>
    <w:rPr>
      <w:rFonts w:ascii="黑体" w:hAnsi="Arial" w:cs="宋体"/>
      <w:kern w:val="0"/>
      <w:szCs w:val="20"/>
    </w:rPr>
  </w:style>
  <w:style w:type="paragraph" w:customStyle="1" w:styleId="CharCharChar2Char">
    <w:name w:val="Char Char Char2 Char"/>
    <w:basedOn w:val="ac"/>
    <w:qFormat/>
    <w:rsid w:val="004018C0"/>
    <w:pPr>
      <w:spacing w:line="240" w:lineRule="auto"/>
      <w:ind w:firstLineChars="150" w:firstLine="360"/>
    </w:pPr>
    <w:rPr>
      <w:rFonts w:ascii="Tahoma" w:hAnsi="Tahoma" w:cs="Times New Roman"/>
      <w:szCs w:val="20"/>
    </w:rPr>
  </w:style>
  <w:style w:type="paragraph" w:customStyle="1" w:styleId="Char3">
    <w:name w:val="Char"/>
    <w:basedOn w:val="ac"/>
    <w:qFormat/>
    <w:rsid w:val="004018C0"/>
    <w:pPr>
      <w:spacing w:line="240" w:lineRule="auto"/>
      <w:jc w:val="center"/>
    </w:pPr>
    <w:rPr>
      <w:rFonts w:ascii="仿宋_GB2312" w:eastAsia="仿宋_GB2312" w:hAnsi="Times New Roman" w:cs="Times New Roman"/>
      <w:b/>
      <w:sz w:val="32"/>
      <w:szCs w:val="32"/>
    </w:rPr>
  </w:style>
  <w:style w:type="paragraph" w:customStyle="1" w:styleId="Char10">
    <w:name w:val="Char1"/>
    <w:basedOn w:val="ac"/>
    <w:qFormat/>
    <w:rsid w:val="004018C0"/>
    <w:pPr>
      <w:spacing w:line="240" w:lineRule="auto"/>
      <w:jc w:val="center"/>
    </w:pPr>
    <w:rPr>
      <w:rFonts w:ascii="仿宋_GB2312" w:eastAsia="仿宋_GB2312" w:hAnsi="Times New Roman" w:cs="Times New Roman"/>
      <w:b/>
      <w:sz w:val="32"/>
      <w:szCs w:val="32"/>
    </w:rPr>
  </w:style>
  <w:style w:type="paragraph" w:customStyle="1" w:styleId="CharCharCharCharCharCharCharChar">
    <w:name w:val="正文段落 Char Char Char Char Char Char Char Char"/>
    <w:basedOn w:val="ac"/>
    <w:semiHidden/>
    <w:qFormat/>
    <w:rsid w:val="004018C0"/>
    <w:pPr>
      <w:autoSpaceDE w:val="0"/>
      <w:autoSpaceDN w:val="0"/>
      <w:adjustRightInd w:val="0"/>
      <w:snapToGrid w:val="0"/>
      <w:ind w:firstLine="567"/>
      <w:textAlignment w:val="baseline"/>
    </w:pPr>
    <w:rPr>
      <w:rFonts w:ascii="宋体" w:hAnsi="Tms Rmn" w:cs="Times New Roman"/>
      <w:kern w:val="0"/>
      <w:sz w:val="26"/>
      <w:szCs w:val="20"/>
    </w:rPr>
  </w:style>
  <w:style w:type="paragraph" w:customStyle="1" w:styleId="affff">
    <w:name w:val="标准"/>
    <w:basedOn w:val="ac"/>
    <w:semiHidden/>
    <w:qFormat/>
    <w:rsid w:val="004018C0"/>
    <w:pPr>
      <w:autoSpaceDE w:val="0"/>
      <w:autoSpaceDN w:val="0"/>
      <w:adjustRightInd w:val="0"/>
      <w:snapToGrid w:val="0"/>
      <w:spacing w:line="312" w:lineRule="atLeast"/>
      <w:ind w:firstLine="555"/>
      <w:textAlignment w:val="baseline"/>
    </w:pPr>
    <w:rPr>
      <w:rFonts w:ascii="宋体" w:hAnsi="Tms Rmn" w:cs="Times New Roman"/>
      <w:kern w:val="0"/>
      <w:sz w:val="28"/>
      <w:szCs w:val="20"/>
    </w:rPr>
  </w:style>
  <w:style w:type="paragraph" w:customStyle="1" w:styleId="affff0">
    <w:name w:val="报告正文"/>
    <w:basedOn w:val="ac"/>
    <w:semiHidden/>
    <w:qFormat/>
    <w:rsid w:val="004018C0"/>
    <w:pPr>
      <w:adjustRightInd w:val="0"/>
      <w:snapToGrid w:val="0"/>
      <w:spacing w:line="480" w:lineRule="exact"/>
      <w:ind w:firstLineChars="200" w:firstLine="200"/>
    </w:pPr>
    <w:rPr>
      <w:rFonts w:ascii="宋体" w:hAnsi="Times New Roman" w:cs="Times New Roman"/>
      <w:color w:val="0000FF"/>
      <w:sz w:val="28"/>
      <w:szCs w:val="28"/>
    </w:rPr>
  </w:style>
  <w:style w:type="paragraph" w:customStyle="1" w:styleId="11">
    <w:name w:val="五号线1.1"/>
    <w:semiHidden/>
    <w:qFormat/>
    <w:rsid w:val="004018C0"/>
    <w:pPr>
      <w:numPr>
        <w:ilvl w:val="1"/>
        <w:numId w:val="11"/>
      </w:numPr>
      <w:tabs>
        <w:tab w:val="left" w:pos="1440"/>
      </w:tabs>
      <w:spacing w:before="120" w:after="120" w:line="500" w:lineRule="exact"/>
      <w:jc w:val="center"/>
      <w:outlineLvl w:val="1"/>
    </w:pPr>
    <w:rPr>
      <w:rFonts w:ascii="宋体" w:hAnsi="Times New Roman" w:cs="Times New Roman"/>
      <w:b/>
      <w:spacing w:val="6"/>
      <w:w w:val="95"/>
      <w:sz w:val="30"/>
    </w:rPr>
  </w:style>
  <w:style w:type="paragraph" w:customStyle="1" w:styleId="111">
    <w:name w:val="五号线1.1.1"/>
    <w:semiHidden/>
    <w:qFormat/>
    <w:rsid w:val="004018C0"/>
    <w:pPr>
      <w:numPr>
        <w:ilvl w:val="2"/>
        <w:numId w:val="11"/>
      </w:numPr>
      <w:tabs>
        <w:tab w:val="left" w:pos="1440"/>
      </w:tabs>
      <w:spacing w:before="120" w:after="120" w:line="500" w:lineRule="exact"/>
      <w:outlineLvl w:val="2"/>
    </w:pPr>
    <w:rPr>
      <w:rFonts w:ascii="宋体" w:hAnsi="Times New Roman" w:cs="Times New Roman"/>
      <w:spacing w:val="6"/>
      <w:w w:val="95"/>
      <w:sz w:val="24"/>
    </w:rPr>
  </w:style>
  <w:style w:type="paragraph" w:customStyle="1" w:styleId="1111">
    <w:name w:val="五号线1.1.1.1"/>
    <w:semiHidden/>
    <w:qFormat/>
    <w:rsid w:val="004018C0"/>
    <w:pPr>
      <w:numPr>
        <w:ilvl w:val="3"/>
        <w:numId w:val="11"/>
      </w:numPr>
      <w:tabs>
        <w:tab w:val="left" w:pos="1440"/>
      </w:tabs>
      <w:spacing w:before="120" w:after="120" w:line="500" w:lineRule="exact"/>
      <w:outlineLvl w:val="3"/>
    </w:pPr>
    <w:rPr>
      <w:rFonts w:ascii="宋体" w:hAnsi="Times New Roman" w:cs="Times New Roman"/>
      <w:spacing w:val="6"/>
      <w:w w:val="95"/>
      <w:sz w:val="24"/>
    </w:rPr>
  </w:style>
  <w:style w:type="paragraph" w:customStyle="1" w:styleId="1">
    <w:name w:val="五号线1)"/>
    <w:semiHidden/>
    <w:qFormat/>
    <w:rsid w:val="004018C0"/>
    <w:pPr>
      <w:numPr>
        <w:ilvl w:val="4"/>
        <w:numId w:val="11"/>
      </w:numPr>
      <w:tabs>
        <w:tab w:val="left" w:pos="1440"/>
      </w:tabs>
      <w:spacing w:line="500" w:lineRule="exact"/>
      <w:outlineLvl w:val="4"/>
    </w:pPr>
    <w:rPr>
      <w:rFonts w:ascii="宋体" w:hAnsi="Times New Roman" w:cs="Times New Roman"/>
      <w:spacing w:val="6"/>
      <w:w w:val="95"/>
      <w:sz w:val="24"/>
    </w:rPr>
  </w:style>
  <w:style w:type="paragraph" w:customStyle="1" w:styleId="a">
    <w:name w:val="五号线a)"/>
    <w:semiHidden/>
    <w:qFormat/>
    <w:rsid w:val="004018C0"/>
    <w:pPr>
      <w:numPr>
        <w:ilvl w:val="5"/>
        <w:numId w:val="11"/>
      </w:numPr>
      <w:tabs>
        <w:tab w:val="left" w:pos="1440"/>
      </w:tabs>
      <w:spacing w:line="500" w:lineRule="exact"/>
      <w:outlineLvl w:val="5"/>
    </w:pPr>
    <w:rPr>
      <w:rFonts w:ascii="宋体" w:hAnsi="Times New Roman" w:cs="Times New Roman"/>
      <w:spacing w:val="6"/>
      <w:w w:val="95"/>
      <w:sz w:val="24"/>
    </w:rPr>
  </w:style>
  <w:style w:type="paragraph" w:customStyle="1" w:styleId="a3">
    <w:name w:val="顺号a）"/>
    <w:basedOn w:val="aff5"/>
    <w:semiHidden/>
    <w:qFormat/>
    <w:rsid w:val="004018C0"/>
    <w:pPr>
      <w:widowControl/>
      <w:numPr>
        <w:numId w:val="12"/>
      </w:numPr>
      <w:adjustRightInd w:val="0"/>
      <w:snapToGrid w:val="0"/>
      <w:spacing w:line="360" w:lineRule="auto"/>
    </w:pPr>
    <w:rPr>
      <w:rFonts w:ascii="宋体" w:hAnsi="Arial"/>
      <w:kern w:val="0"/>
      <w:sz w:val="32"/>
    </w:rPr>
  </w:style>
  <w:style w:type="paragraph" w:customStyle="1" w:styleId="14">
    <w:name w:val="正文1"/>
    <w:semiHidden/>
    <w:qFormat/>
    <w:rsid w:val="004018C0"/>
    <w:pPr>
      <w:numPr>
        <w:numId w:val="13"/>
      </w:numPr>
      <w:spacing w:line="500" w:lineRule="exact"/>
    </w:pPr>
    <w:rPr>
      <w:rFonts w:ascii="宋体" w:hAnsi="Times New Roman" w:cs="Times New Roman"/>
      <w:spacing w:val="6"/>
      <w:w w:val="95"/>
      <w:sz w:val="24"/>
    </w:rPr>
  </w:style>
  <w:style w:type="paragraph" w:customStyle="1" w:styleId="1f">
    <w:name w:val="表格1"/>
    <w:qFormat/>
    <w:rsid w:val="004018C0"/>
    <w:pPr>
      <w:keepNext/>
      <w:jc w:val="center"/>
    </w:pPr>
    <w:rPr>
      <w:rFonts w:ascii="宋体" w:hAnsi="Times New Roman" w:cs="Times New Roman"/>
      <w:snapToGrid w:val="0"/>
      <w:spacing w:val="6"/>
      <w:w w:val="95"/>
      <w:sz w:val="24"/>
    </w:rPr>
  </w:style>
  <w:style w:type="paragraph" w:customStyle="1" w:styleId="1f0">
    <w:name w:val="日期1"/>
    <w:basedOn w:val="ac"/>
    <w:next w:val="ac"/>
    <w:semiHidden/>
    <w:qFormat/>
    <w:rsid w:val="004018C0"/>
    <w:pPr>
      <w:adjustRightInd w:val="0"/>
      <w:snapToGrid w:val="0"/>
      <w:textAlignment w:val="baseline"/>
    </w:pPr>
    <w:rPr>
      <w:rFonts w:ascii="宋体" w:hAnsi="Times New Roman" w:cs="Times New Roman"/>
      <w:sz w:val="28"/>
      <w:szCs w:val="20"/>
    </w:rPr>
  </w:style>
  <w:style w:type="paragraph" w:customStyle="1" w:styleId="212">
    <w:name w:val="正文文本 21"/>
    <w:basedOn w:val="ac"/>
    <w:semiHidden/>
    <w:qFormat/>
    <w:rsid w:val="004018C0"/>
    <w:pPr>
      <w:adjustRightInd w:val="0"/>
      <w:snapToGrid w:val="0"/>
      <w:ind w:firstLine="540"/>
      <w:textAlignment w:val="baseline"/>
    </w:pPr>
    <w:rPr>
      <w:rFonts w:ascii="Times New Roman" w:hAnsi="Times New Roman" w:cs="Times New Roman"/>
      <w:sz w:val="28"/>
      <w:szCs w:val="20"/>
    </w:rPr>
  </w:style>
  <w:style w:type="paragraph" w:customStyle="1" w:styleId="affff1">
    <w:name w:val="图"/>
    <w:basedOn w:val="ac"/>
    <w:semiHidden/>
    <w:qFormat/>
    <w:rsid w:val="004018C0"/>
    <w:pPr>
      <w:adjustRightInd w:val="0"/>
      <w:snapToGrid w:val="0"/>
      <w:spacing w:line="200" w:lineRule="atLeast"/>
      <w:jc w:val="distribute"/>
    </w:pPr>
    <w:rPr>
      <w:rFonts w:ascii="宋体" w:hAnsi="Times New Roman" w:cs="Times New Roman"/>
      <w:sz w:val="18"/>
      <w:szCs w:val="20"/>
    </w:rPr>
  </w:style>
  <w:style w:type="paragraph" w:customStyle="1" w:styleId="affff2">
    <w:name w:val="表文"/>
    <w:basedOn w:val="aff2"/>
    <w:semiHidden/>
    <w:qFormat/>
    <w:rsid w:val="004018C0"/>
    <w:pPr>
      <w:widowControl w:val="0"/>
      <w:spacing w:before="0" w:after="0" w:line="320" w:lineRule="atLeast"/>
      <w:jc w:val="center"/>
      <w:textAlignment w:val="baseline"/>
    </w:pPr>
    <w:rPr>
      <w:rFonts w:ascii="Times New Roman" w:eastAsia="宋体" w:hAnsi="Times New Roman" w:cs="Times New Roman"/>
      <w:kern w:val="24"/>
      <w:sz w:val="24"/>
    </w:rPr>
  </w:style>
  <w:style w:type="paragraph" w:customStyle="1" w:styleId="1f1">
    <w:name w:val="纯文本1"/>
    <w:basedOn w:val="ac"/>
    <w:semiHidden/>
    <w:qFormat/>
    <w:rsid w:val="004018C0"/>
    <w:pPr>
      <w:adjustRightInd w:val="0"/>
      <w:snapToGrid w:val="0"/>
      <w:textAlignment w:val="baseline"/>
    </w:pPr>
    <w:rPr>
      <w:rFonts w:ascii="宋体" w:hAnsi="Times New Roman" w:cs="Times New Roman"/>
      <w:kern w:val="0"/>
      <w:sz w:val="21"/>
      <w:szCs w:val="20"/>
    </w:rPr>
  </w:style>
  <w:style w:type="paragraph" w:customStyle="1" w:styleId="affff3">
    <w:name w:val="三级标题"/>
    <w:basedOn w:val="ac"/>
    <w:semiHidden/>
    <w:qFormat/>
    <w:rsid w:val="004018C0"/>
    <w:pPr>
      <w:adjustRightInd w:val="0"/>
      <w:snapToGrid w:val="0"/>
      <w:spacing w:line="500" w:lineRule="exact"/>
    </w:pPr>
    <w:rPr>
      <w:rFonts w:ascii="Times New Roman" w:eastAsia="黑体" w:hAnsi="Times New Roman" w:cs="Times New Roman"/>
      <w:sz w:val="28"/>
      <w:szCs w:val="20"/>
    </w:rPr>
  </w:style>
  <w:style w:type="paragraph" w:customStyle="1" w:styleId="CharCharCharCharCharCharCharChar27">
    <w:name w:val="样式 正文段落 Char Char Char Char Char Char Char Char + 行距: 固定值 27 磅"/>
    <w:basedOn w:val="CharCharCharCharCharCharCharChar"/>
    <w:semiHidden/>
    <w:qFormat/>
    <w:rsid w:val="004018C0"/>
    <w:pPr>
      <w:spacing w:beforeLines="20" w:line="540" w:lineRule="exact"/>
    </w:pPr>
    <w:rPr>
      <w:rFonts w:cs="宋体"/>
    </w:rPr>
  </w:style>
  <w:style w:type="paragraph" w:customStyle="1" w:styleId="affff4">
    <w:name w:val="图表名"/>
    <w:basedOn w:val="ac"/>
    <w:semiHidden/>
    <w:qFormat/>
    <w:rsid w:val="004018C0"/>
    <w:pPr>
      <w:adjustRightInd w:val="0"/>
      <w:snapToGrid w:val="0"/>
      <w:spacing w:after="120" w:line="312" w:lineRule="atLeast"/>
      <w:jc w:val="center"/>
      <w:textAlignment w:val="baseline"/>
    </w:pPr>
    <w:rPr>
      <w:rFonts w:ascii="Times New Roman" w:eastAsia="黑体" w:hAnsi="Times New Roman" w:cs="Times New Roman"/>
      <w:kern w:val="0"/>
      <w:szCs w:val="20"/>
    </w:rPr>
  </w:style>
  <w:style w:type="paragraph" w:customStyle="1" w:styleId="1f2">
    <w:name w:val="标题1"/>
    <w:basedOn w:val="12"/>
    <w:qFormat/>
    <w:rsid w:val="004018C0"/>
    <w:pPr>
      <w:keepNext/>
      <w:keepLines/>
      <w:numPr>
        <w:ilvl w:val="1"/>
        <w:numId w:val="0"/>
      </w:numPr>
      <w:autoSpaceDE w:val="0"/>
      <w:autoSpaceDN w:val="0"/>
      <w:spacing w:beforeLines="50" w:before="0" w:afterLines="50" w:after="0"/>
      <w:textAlignment w:val="baseline"/>
    </w:pPr>
    <w:rPr>
      <w:rFonts w:ascii="黑体" w:eastAsia="黑体" w:hAnsi="Tms Rmn" w:cs="Times New Roman"/>
      <w:b w:val="0"/>
      <w:bCs w:val="0"/>
      <w:sz w:val="24"/>
      <w:szCs w:val="28"/>
    </w:rPr>
  </w:style>
  <w:style w:type="paragraph" w:customStyle="1" w:styleId="20505">
    <w:name w:val="样式 样式 标题 2 + (符号) 宋体 段后: 0.5 行 + 段后: 0.5 行"/>
    <w:basedOn w:val="205"/>
    <w:semiHidden/>
    <w:qFormat/>
    <w:rsid w:val="004018C0"/>
  </w:style>
  <w:style w:type="paragraph" w:customStyle="1" w:styleId="205">
    <w:name w:val="样式 标题 2 + (符号) 宋体 段后: 0.5 行"/>
    <w:basedOn w:val="2"/>
    <w:semiHidden/>
    <w:qFormat/>
    <w:rsid w:val="004018C0"/>
    <w:pPr>
      <w:keepNext/>
      <w:numPr>
        <w:ilvl w:val="2"/>
        <w:numId w:val="0"/>
      </w:numPr>
      <w:spacing w:before="0" w:after="0"/>
      <w:ind w:left="578" w:hanging="578"/>
      <w:jc w:val="both"/>
    </w:pPr>
    <w:rPr>
      <w:rFonts w:ascii="黑体" w:hAnsi="宋体" w:cs="宋体"/>
      <w:bCs w:val="0"/>
      <w:szCs w:val="20"/>
    </w:rPr>
  </w:style>
  <w:style w:type="paragraph" w:customStyle="1" w:styleId="33CharChar27">
    <w:name w:val="样式 标题 3标题 3 Char Char + (西文) 宋体 行距: 固定值 27 磅"/>
    <w:basedOn w:val="30"/>
    <w:semiHidden/>
    <w:qFormat/>
    <w:rsid w:val="004018C0"/>
    <w:pPr>
      <w:keepNext/>
      <w:numPr>
        <w:ilvl w:val="0"/>
        <w:numId w:val="0"/>
      </w:numPr>
      <w:adjustRightInd w:val="0"/>
      <w:snapToGrid w:val="0"/>
      <w:spacing w:afterLines="50" w:line="540" w:lineRule="exact"/>
    </w:pPr>
    <w:rPr>
      <w:rFonts w:ascii="宋体" w:hAnsi="宋体" w:cs="宋体"/>
      <w:bCs w:val="0"/>
      <w:spacing w:val="5"/>
      <w:szCs w:val="20"/>
    </w:rPr>
  </w:style>
  <w:style w:type="paragraph" w:customStyle="1" w:styleId="zw">
    <w:name w:val="zw"/>
    <w:basedOn w:val="ac"/>
    <w:semiHidden/>
    <w:qFormat/>
    <w:rsid w:val="004018C0"/>
    <w:pPr>
      <w:widowControl/>
      <w:adjustRightInd w:val="0"/>
      <w:snapToGrid w:val="0"/>
      <w:spacing w:before="100" w:line="500" w:lineRule="exact"/>
      <w:ind w:firstLineChars="200" w:firstLine="200"/>
      <w:jc w:val="left"/>
      <w:outlineLvl w:val="0"/>
    </w:pPr>
    <w:rPr>
      <w:rFonts w:ascii="宋体" w:hAnsi="宋体" w:cs="Times New Roman"/>
      <w:bCs/>
      <w:kern w:val="0"/>
      <w:sz w:val="28"/>
      <w:szCs w:val="20"/>
    </w:rPr>
  </w:style>
  <w:style w:type="paragraph" w:customStyle="1" w:styleId="xl28">
    <w:name w:val="xl28"/>
    <w:basedOn w:val="ac"/>
    <w:semiHidden/>
    <w:qFormat/>
    <w:rsid w:val="004018C0"/>
    <w:pPr>
      <w:widowControl/>
      <w:adjustRightInd w:val="0"/>
      <w:snapToGrid w:val="0"/>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08525">
    <w:name w:val="样式 宋体 四号 首行缩进:  0.85 厘米 行距: 固定值 25 磅"/>
    <w:basedOn w:val="ac"/>
    <w:semiHidden/>
    <w:qFormat/>
    <w:rsid w:val="004018C0"/>
    <w:pPr>
      <w:adjustRightInd w:val="0"/>
      <w:snapToGrid w:val="0"/>
      <w:spacing w:before="100" w:line="500" w:lineRule="exact"/>
      <w:ind w:firstLine="482"/>
      <w:jc w:val="left"/>
      <w:textAlignment w:val="baseline"/>
    </w:pPr>
    <w:rPr>
      <w:rFonts w:ascii="宋体" w:hAnsi="宋体" w:cs="宋体"/>
      <w:sz w:val="28"/>
      <w:szCs w:val="28"/>
    </w:rPr>
  </w:style>
  <w:style w:type="paragraph" w:customStyle="1" w:styleId="CharCharChar0227">
    <w:name w:val="样式 正文段落 Char Char Char + (符号) 宋体 紧缩量  0.2 磅 行距: 固定值 27 磅"/>
    <w:basedOn w:val="CharCharChar"/>
    <w:semiHidden/>
    <w:qFormat/>
    <w:rsid w:val="004018C0"/>
    <w:pPr>
      <w:spacing w:line="540" w:lineRule="exact"/>
    </w:pPr>
    <w:rPr>
      <w:rFonts w:hAnsi="宋体" w:cs="宋体"/>
      <w:spacing w:val="-4"/>
    </w:rPr>
  </w:style>
  <w:style w:type="paragraph" w:customStyle="1" w:styleId="CharCharChar">
    <w:name w:val="正文段落 Char Char Char"/>
    <w:basedOn w:val="ac"/>
    <w:semiHidden/>
    <w:qFormat/>
    <w:rsid w:val="004018C0"/>
    <w:pPr>
      <w:autoSpaceDE w:val="0"/>
      <w:autoSpaceDN w:val="0"/>
      <w:adjustRightInd w:val="0"/>
      <w:snapToGrid w:val="0"/>
      <w:ind w:firstLine="567"/>
      <w:textAlignment w:val="baseline"/>
    </w:pPr>
    <w:rPr>
      <w:rFonts w:ascii="宋体" w:hAnsi="Tms Rmn" w:cs="Times New Roman"/>
      <w:kern w:val="0"/>
      <w:sz w:val="26"/>
      <w:szCs w:val="20"/>
    </w:rPr>
  </w:style>
  <w:style w:type="paragraph" w:customStyle="1" w:styleId="affff5">
    <w:name w:val="正文，四仿"/>
    <w:basedOn w:val="ac"/>
    <w:semiHidden/>
    <w:qFormat/>
    <w:rsid w:val="004018C0"/>
    <w:pPr>
      <w:adjustRightInd w:val="0"/>
      <w:snapToGrid w:val="0"/>
      <w:spacing w:line="460" w:lineRule="exact"/>
      <w:ind w:firstLine="567"/>
    </w:pPr>
    <w:rPr>
      <w:rFonts w:ascii="Times New Roman" w:eastAsia="仿宋_GB2312" w:hAnsi="Times New Roman" w:cs="Times New Roman"/>
      <w:sz w:val="28"/>
      <w:szCs w:val="20"/>
    </w:rPr>
  </w:style>
  <w:style w:type="paragraph" w:customStyle="1" w:styleId="02">
    <w:name w:val="样式 正文段落 + 段前: 0.2 行"/>
    <w:basedOn w:val="affff6"/>
    <w:semiHidden/>
    <w:qFormat/>
    <w:rsid w:val="004018C0"/>
    <w:pPr>
      <w:spacing w:beforeLines="50"/>
    </w:pPr>
    <w:rPr>
      <w:rFonts w:cs="宋体"/>
    </w:rPr>
  </w:style>
  <w:style w:type="paragraph" w:customStyle="1" w:styleId="affff6">
    <w:name w:val="正文段落"/>
    <w:basedOn w:val="ac"/>
    <w:semiHidden/>
    <w:qFormat/>
    <w:rsid w:val="004018C0"/>
    <w:pPr>
      <w:autoSpaceDE w:val="0"/>
      <w:autoSpaceDN w:val="0"/>
      <w:adjustRightInd w:val="0"/>
      <w:snapToGrid w:val="0"/>
      <w:spacing w:beforeLines="20"/>
      <w:ind w:firstLine="567"/>
      <w:textAlignment w:val="baseline"/>
    </w:pPr>
    <w:rPr>
      <w:rFonts w:ascii="宋体" w:hAnsi="Tms Rmn" w:cs="Times New Roman"/>
      <w:kern w:val="0"/>
      <w:sz w:val="26"/>
      <w:szCs w:val="20"/>
    </w:rPr>
  </w:style>
  <w:style w:type="paragraph" w:customStyle="1" w:styleId="1f3">
    <w:name w:val="1"/>
    <w:basedOn w:val="ac"/>
    <w:next w:val="aff5"/>
    <w:qFormat/>
    <w:rsid w:val="004018C0"/>
    <w:pPr>
      <w:adjustRightInd w:val="0"/>
      <w:snapToGrid w:val="0"/>
      <w:ind w:left="538" w:firstLineChars="193" w:firstLine="540"/>
    </w:pPr>
    <w:rPr>
      <w:rFonts w:ascii="Times New Roman" w:hAnsi="Times New Roman" w:cs="Times New Roman"/>
      <w:sz w:val="28"/>
      <w:szCs w:val="24"/>
    </w:rPr>
  </w:style>
  <w:style w:type="paragraph" w:customStyle="1" w:styleId="Char4">
    <w:name w:val="正文段落 Char"/>
    <w:basedOn w:val="ac"/>
    <w:semiHidden/>
    <w:qFormat/>
    <w:rsid w:val="004018C0"/>
    <w:pPr>
      <w:autoSpaceDE w:val="0"/>
      <w:autoSpaceDN w:val="0"/>
      <w:adjustRightInd w:val="0"/>
      <w:snapToGrid w:val="0"/>
      <w:ind w:firstLine="567"/>
      <w:textAlignment w:val="baseline"/>
    </w:pPr>
    <w:rPr>
      <w:rFonts w:ascii="宋体" w:hAnsi="Tms Rmn" w:cs="Times New Roman"/>
      <w:kern w:val="0"/>
      <w:sz w:val="26"/>
      <w:szCs w:val="20"/>
    </w:rPr>
  </w:style>
  <w:style w:type="paragraph" w:customStyle="1" w:styleId="2c">
    <w:name w:val="2"/>
    <w:basedOn w:val="ac"/>
    <w:next w:val="aff8"/>
    <w:qFormat/>
    <w:rsid w:val="004018C0"/>
    <w:pPr>
      <w:adjustRightInd w:val="0"/>
      <w:snapToGrid w:val="0"/>
      <w:spacing w:before="160" w:after="240" w:line="240" w:lineRule="atLeast"/>
      <w:ind w:firstLineChars="200" w:firstLine="200"/>
    </w:pPr>
    <w:rPr>
      <w:rFonts w:ascii="宋体" w:hAnsi="Courier New" w:cs="Times New Roman"/>
      <w:sz w:val="21"/>
      <w:szCs w:val="20"/>
    </w:rPr>
  </w:style>
  <w:style w:type="paragraph" w:customStyle="1" w:styleId="1327">
    <w:name w:val="样式 正文缩进正文（首行缩进两字）表格文字表正文正文非缩进 + 13 磅 行距: 固定值 27 磅"/>
    <w:basedOn w:val="aff0"/>
    <w:semiHidden/>
    <w:qFormat/>
    <w:rsid w:val="004018C0"/>
    <w:pPr>
      <w:widowControl/>
      <w:spacing w:beforeLines="20" w:line="540" w:lineRule="exact"/>
      <w:ind w:firstLineChars="0" w:firstLine="567"/>
      <w:jc w:val="left"/>
    </w:pPr>
    <w:rPr>
      <w:rFonts w:cs="宋体"/>
      <w:kern w:val="0"/>
      <w:sz w:val="26"/>
      <w:szCs w:val="20"/>
    </w:rPr>
  </w:style>
  <w:style w:type="paragraph" w:customStyle="1" w:styleId="CharChar0">
    <w:name w:val="正文段落 Char Char"/>
    <w:basedOn w:val="ac"/>
    <w:semiHidden/>
    <w:qFormat/>
    <w:rsid w:val="004018C0"/>
    <w:pPr>
      <w:autoSpaceDE w:val="0"/>
      <w:autoSpaceDN w:val="0"/>
      <w:adjustRightInd w:val="0"/>
      <w:snapToGrid w:val="0"/>
      <w:ind w:firstLine="567"/>
      <w:textAlignment w:val="baseline"/>
    </w:pPr>
    <w:rPr>
      <w:rFonts w:ascii="宋体" w:hAnsi="Tms Rmn" w:cs="Times New Roman"/>
      <w:kern w:val="0"/>
      <w:sz w:val="26"/>
      <w:szCs w:val="20"/>
    </w:rPr>
  </w:style>
  <w:style w:type="paragraph" w:customStyle="1" w:styleId="CharCharCharCharCharCharChar">
    <w:name w:val="正文段落 Char Char Char Char Char Char Char"/>
    <w:basedOn w:val="ac"/>
    <w:semiHidden/>
    <w:qFormat/>
    <w:rsid w:val="004018C0"/>
    <w:pPr>
      <w:autoSpaceDE w:val="0"/>
      <w:autoSpaceDN w:val="0"/>
      <w:adjustRightInd w:val="0"/>
      <w:snapToGrid w:val="0"/>
      <w:ind w:firstLine="567"/>
      <w:textAlignment w:val="baseline"/>
    </w:pPr>
    <w:rPr>
      <w:rFonts w:ascii="宋体" w:hAnsi="Tms Rmn" w:cs="Times New Roman"/>
      <w:kern w:val="0"/>
      <w:sz w:val="26"/>
      <w:szCs w:val="20"/>
    </w:rPr>
  </w:style>
  <w:style w:type="paragraph" w:customStyle="1" w:styleId="021">
    <w:name w:val="样式 正文段落 + 段前: 0.2 行1"/>
    <w:basedOn w:val="affff6"/>
    <w:semiHidden/>
    <w:qFormat/>
    <w:rsid w:val="004018C0"/>
    <w:rPr>
      <w:rFonts w:cs="宋体"/>
    </w:rPr>
  </w:style>
  <w:style w:type="paragraph" w:customStyle="1" w:styleId="33CharChar2705">
    <w:name w:val="样式 样式 标题 3标题 3 Char Char + (西文) 宋体 行距: 固定值 27 磅 + 段后: 0.5 行"/>
    <w:basedOn w:val="33CharChar27"/>
    <w:semiHidden/>
    <w:qFormat/>
    <w:rsid w:val="004018C0"/>
    <w:pPr>
      <w:spacing w:afterLines="80"/>
    </w:pPr>
  </w:style>
  <w:style w:type="paragraph" w:customStyle="1" w:styleId="33CharChar27050">
    <w:name w:val="样式 样式 样式 标题 3标题 3 Char Char + (西文) 宋体 行距: 固定值 27 磅 + 段后: 0.5 行 +..."/>
    <w:basedOn w:val="33CharChar2705"/>
    <w:semiHidden/>
    <w:qFormat/>
    <w:rsid w:val="004018C0"/>
    <w:pPr>
      <w:spacing w:afterLines="100"/>
    </w:pPr>
  </w:style>
  <w:style w:type="paragraph" w:customStyle="1" w:styleId="3a">
    <w:name w:val="3"/>
    <w:basedOn w:val="ac"/>
    <w:next w:val="aff8"/>
    <w:qFormat/>
    <w:rsid w:val="004018C0"/>
    <w:pPr>
      <w:adjustRightInd w:val="0"/>
      <w:snapToGrid w:val="0"/>
    </w:pPr>
    <w:rPr>
      <w:rFonts w:ascii="宋体" w:hAnsi="Courier New" w:cs="Times New Roman"/>
      <w:sz w:val="21"/>
      <w:szCs w:val="20"/>
    </w:rPr>
  </w:style>
  <w:style w:type="paragraph" w:customStyle="1" w:styleId="205271">
    <w:name w:val="样式 标题 2 + 段后: 0.5 行 行距: 固定值 27 磅1"/>
    <w:basedOn w:val="2"/>
    <w:semiHidden/>
    <w:qFormat/>
    <w:rsid w:val="004018C0"/>
    <w:pPr>
      <w:keepNext/>
      <w:numPr>
        <w:ilvl w:val="2"/>
        <w:numId w:val="0"/>
      </w:numPr>
      <w:tabs>
        <w:tab w:val="left" w:pos="720"/>
      </w:tabs>
      <w:spacing w:before="0" w:after="0" w:line="540" w:lineRule="exact"/>
      <w:jc w:val="both"/>
    </w:pPr>
    <w:rPr>
      <w:rFonts w:ascii="黑体" w:hAnsi="Arial" w:cs="Times New Roman"/>
      <w:bCs w:val="0"/>
      <w:szCs w:val="20"/>
    </w:rPr>
  </w:style>
  <w:style w:type="paragraph" w:customStyle="1" w:styleId="3b">
    <w:name w:val="样式 标题 3"/>
    <w:basedOn w:val="30"/>
    <w:semiHidden/>
    <w:qFormat/>
    <w:rsid w:val="004018C0"/>
    <w:pPr>
      <w:keepNext/>
      <w:numPr>
        <w:ilvl w:val="0"/>
        <w:numId w:val="0"/>
      </w:numPr>
      <w:adjustRightInd w:val="0"/>
      <w:snapToGrid w:val="0"/>
    </w:pPr>
    <w:rPr>
      <w:rFonts w:ascii="黑体" w:cs="Times New Roman"/>
      <w:bCs w:val="0"/>
      <w:sz w:val="30"/>
      <w:szCs w:val="26"/>
    </w:rPr>
  </w:style>
  <w:style w:type="paragraph" w:customStyle="1" w:styleId="xy1">
    <w:name w:val="xy1"/>
    <w:basedOn w:val="ac"/>
    <w:semiHidden/>
    <w:qFormat/>
    <w:rsid w:val="004018C0"/>
    <w:pPr>
      <w:widowControl/>
      <w:adjustRightInd w:val="0"/>
      <w:snapToGrid w:val="0"/>
      <w:spacing w:line="460" w:lineRule="exact"/>
      <w:outlineLvl w:val="0"/>
    </w:pPr>
    <w:rPr>
      <w:rFonts w:ascii="宋体" w:hAnsi="Times New Roman" w:cs="Times New Roman"/>
      <w:kern w:val="0"/>
      <w:szCs w:val="20"/>
    </w:rPr>
  </w:style>
  <w:style w:type="paragraph" w:customStyle="1" w:styleId="20527">
    <w:name w:val="样式 标题 2 + 段后: 0.5 行 行距: 固定值 27 磅"/>
    <w:basedOn w:val="2"/>
    <w:semiHidden/>
    <w:qFormat/>
    <w:rsid w:val="004018C0"/>
    <w:pPr>
      <w:keepNext/>
      <w:numPr>
        <w:ilvl w:val="2"/>
        <w:numId w:val="0"/>
      </w:numPr>
      <w:tabs>
        <w:tab w:val="left" w:pos="425"/>
        <w:tab w:val="left" w:pos="720"/>
      </w:tabs>
      <w:spacing w:before="0" w:after="0" w:line="540" w:lineRule="exact"/>
      <w:ind w:left="578" w:hanging="578"/>
      <w:jc w:val="both"/>
    </w:pPr>
    <w:rPr>
      <w:rFonts w:ascii="黑体" w:hAnsi="Arial" w:cs="Times New Roman"/>
      <w:bCs w:val="0"/>
      <w:szCs w:val="20"/>
    </w:rPr>
  </w:style>
  <w:style w:type="paragraph" w:customStyle="1" w:styleId="02102">
    <w:name w:val="样式 样式 正文段落 + 段前: 0.2 行1 + 段前: 0.2 行"/>
    <w:basedOn w:val="021"/>
    <w:semiHidden/>
    <w:qFormat/>
    <w:rsid w:val="004018C0"/>
    <w:pPr>
      <w:spacing w:line="540" w:lineRule="exact"/>
    </w:pPr>
  </w:style>
  <w:style w:type="paragraph" w:customStyle="1" w:styleId="13270">
    <w:name w:val="样式 样式 正文缩进正文（首行缩进两字）表格文字表正文正文非缩进 + 13 磅 行距: 固定值 27 磅 + 首行缩进:  0 ..."/>
    <w:basedOn w:val="1327"/>
    <w:semiHidden/>
    <w:qFormat/>
    <w:rsid w:val="004018C0"/>
    <w:pPr>
      <w:ind w:firstLine="0"/>
    </w:pPr>
  </w:style>
  <w:style w:type="paragraph" w:customStyle="1" w:styleId="022">
    <w:name w:val="样式 正文段落 + 段前: 0.2 行2"/>
    <w:basedOn w:val="affff6"/>
    <w:semiHidden/>
    <w:qFormat/>
    <w:rsid w:val="004018C0"/>
    <w:pPr>
      <w:spacing w:line="540" w:lineRule="exact"/>
    </w:pPr>
    <w:rPr>
      <w:rFonts w:cs="宋体"/>
    </w:rPr>
  </w:style>
  <w:style w:type="paragraph" w:customStyle="1" w:styleId="CharCharCharCharCharCharCharChar270">
    <w:name w:val="样式 样式 正文段落 Char Char Char Char Char Char Char Char + 行距: 固定值 27 ..."/>
    <w:basedOn w:val="CharCharCharCharCharCharCharChar27"/>
    <w:semiHidden/>
    <w:qFormat/>
    <w:rsid w:val="004018C0"/>
  </w:style>
  <w:style w:type="paragraph" w:customStyle="1" w:styleId="02202">
    <w:name w:val="样式 样式 正文段落 + 段前: 0.2 行2 + 段前: 0.2 行"/>
    <w:basedOn w:val="022"/>
    <w:semiHidden/>
    <w:qFormat/>
    <w:rsid w:val="004018C0"/>
  </w:style>
  <w:style w:type="paragraph" w:customStyle="1" w:styleId="0227">
    <w:name w:val="样式 正文段落 + 段前: 0.2 行 行距: 固定值 27 磅"/>
    <w:basedOn w:val="affff6"/>
    <w:semiHidden/>
    <w:qFormat/>
    <w:rsid w:val="004018C0"/>
    <w:pPr>
      <w:spacing w:line="540" w:lineRule="exact"/>
    </w:pPr>
    <w:rPr>
      <w:rFonts w:cs="宋体"/>
    </w:rPr>
  </w:style>
  <w:style w:type="paragraph" w:customStyle="1" w:styleId="020527">
    <w:name w:val="样式 样式 正文段落 + 段前: 0.2 行 + 段前: 0.5 行 行距: 固定值 27 磅"/>
    <w:basedOn w:val="02"/>
    <w:semiHidden/>
    <w:qFormat/>
    <w:rsid w:val="004018C0"/>
    <w:pPr>
      <w:spacing w:beforeLines="20" w:line="540" w:lineRule="exact"/>
    </w:pPr>
  </w:style>
  <w:style w:type="paragraph" w:customStyle="1" w:styleId="0205">
    <w:name w:val="样式 样式 正文段落 + 段前: 0.2 行 + 段前: 0.5 行"/>
    <w:basedOn w:val="02"/>
    <w:semiHidden/>
    <w:qFormat/>
    <w:rsid w:val="004018C0"/>
    <w:pPr>
      <w:spacing w:beforeLines="20" w:line="540" w:lineRule="exact"/>
    </w:pPr>
  </w:style>
  <w:style w:type="paragraph" w:customStyle="1" w:styleId="font0">
    <w:name w:val="font0"/>
    <w:basedOn w:val="ac"/>
    <w:semiHidden/>
    <w:qFormat/>
    <w:rsid w:val="004018C0"/>
    <w:pPr>
      <w:widowControl/>
      <w:adjustRightInd w:val="0"/>
      <w:snapToGrid w:val="0"/>
      <w:spacing w:before="100" w:beforeAutospacing="1" w:after="100" w:afterAutospacing="1"/>
      <w:jc w:val="left"/>
    </w:pPr>
    <w:rPr>
      <w:rFonts w:ascii="宋体" w:hAnsi="宋体" w:cs="Times New Roman" w:hint="eastAsia"/>
      <w:kern w:val="0"/>
      <w:szCs w:val="20"/>
    </w:rPr>
  </w:style>
  <w:style w:type="paragraph" w:customStyle="1" w:styleId="33CharChar27051">
    <w:name w:val="样式 样式 标题 3标题 3 Char Char + (西文) 宋体 行距: 固定值 27 磅 + 段后: 0.5 行1"/>
    <w:basedOn w:val="33CharChar27"/>
    <w:semiHidden/>
    <w:qFormat/>
    <w:rsid w:val="004018C0"/>
  </w:style>
  <w:style w:type="paragraph" w:customStyle="1" w:styleId="33CharChar270510">
    <w:name w:val="样式 样式 样式 标题 3标题 3 Char Char + (西文) 宋体 行距: 固定值 27 磅 + 段后: 0.5 行1 ..."/>
    <w:basedOn w:val="33CharChar27051"/>
    <w:semiHidden/>
    <w:qFormat/>
    <w:rsid w:val="004018C0"/>
    <w:pPr>
      <w:spacing w:after="156"/>
    </w:pPr>
  </w:style>
  <w:style w:type="paragraph" w:customStyle="1" w:styleId="33CharChar270511">
    <w:name w:val="样式 样式 样式 标题 3标题 3 Char Char + (西文) 宋体 行距: 固定值 27 磅 + 段后: 0.5 行1 ...1"/>
    <w:basedOn w:val="33CharChar27051"/>
    <w:semiHidden/>
    <w:qFormat/>
    <w:rsid w:val="004018C0"/>
    <w:pPr>
      <w:spacing w:after="156"/>
    </w:pPr>
  </w:style>
  <w:style w:type="paragraph" w:customStyle="1" w:styleId="33CharChar27TmsRmn">
    <w:name w:val="样式 样式 标题 3标题 3 Char Char + (西文) 宋体 行距: 固定值 27 磅 + (符号) Tms Rmn ..."/>
    <w:basedOn w:val="33CharChar27"/>
    <w:semiHidden/>
    <w:qFormat/>
    <w:rsid w:val="004018C0"/>
    <w:pPr>
      <w:spacing w:after="156"/>
    </w:pPr>
    <w:rPr>
      <w:rFonts w:hAnsi="Tms Rmn"/>
    </w:rPr>
  </w:style>
  <w:style w:type="paragraph" w:customStyle="1" w:styleId="33CharChar27TmsRm">
    <w:name w:val="样式 样式 样式 标题 3标题 3 Char Char + (西文) 宋体 行距: 固定值 27 磅 + (符号) Tms Rm..."/>
    <w:basedOn w:val="33CharChar27TmsRmn"/>
    <w:semiHidden/>
    <w:qFormat/>
    <w:rsid w:val="004018C0"/>
  </w:style>
  <w:style w:type="paragraph" w:customStyle="1" w:styleId="33CharChar27052">
    <w:name w:val="样式 样式 样式 样式 标题 3标题 3 Char Char + (西文) 宋体 行距: 固定值 27 磅 + 段后: 0.5 ..."/>
    <w:basedOn w:val="33CharChar27050"/>
    <w:semiHidden/>
    <w:qFormat/>
    <w:rsid w:val="004018C0"/>
    <w:rPr>
      <w:sz w:val="28"/>
    </w:rPr>
  </w:style>
  <w:style w:type="paragraph" w:customStyle="1" w:styleId="33CharChar270512">
    <w:name w:val="样式 样式 样式 样式 标题 3标题 3 Char Char + (西文) 宋体 行距: 固定值 27 磅 + 段后: 0.5 ...1"/>
    <w:basedOn w:val="33CharChar27050"/>
    <w:semiHidden/>
    <w:qFormat/>
    <w:rsid w:val="004018C0"/>
  </w:style>
  <w:style w:type="paragraph" w:customStyle="1" w:styleId="33CharChar270513">
    <w:name w:val="样式 样式 样式 标题 3标题 3 Char Char + (西文) 宋体 行距: 固定值 27 磅 + 段后: 0.5 行 +...1"/>
    <w:basedOn w:val="33CharChar2705"/>
    <w:semiHidden/>
    <w:qFormat/>
    <w:rsid w:val="004018C0"/>
    <w:rPr>
      <w:sz w:val="28"/>
    </w:rPr>
  </w:style>
  <w:style w:type="paragraph" w:customStyle="1" w:styleId="33CharChar270520">
    <w:name w:val="样式 样式 样式 样式 标题 3标题 3 Char Char + (西文) 宋体 行距: 固定值 27 磅 + 段后: 0.5 ...2"/>
    <w:basedOn w:val="33CharChar270513"/>
    <w:semiHidden/>
    <w:qFormat/>
    <w:rsid w:val="004018C0"/>
    <w:pPr>
      <w:spacing w:after="249"/>
    </w:pPr>
  </w:style>
  <w:style w:type="paragraph" w:customStyle="1" w:styleId="33CharChar27053">
    <w:name w:val="样式 样式 样式 样式 标题 3标题 3 Char Char + (西文) 宋体 行距: 固定值 27 磅 + 段后: 0.5 ...3"/>
    <w:basedOn w:val="33CharChar270513"/>
    <w:semiHidden/>
    <w:qFormat/>
    <w:rsid w:val="004018C0"/>
    <w:pPr>
      <w:spacing w:after="249"/>
    </w:pPr>
    <w:rPr>
      <w:sz w:val="26"/>
      <w:szCs w:val="26"/>
    </w:rPr>
  </w:style>
  <w:style w:type="paragraph" w:customStyle="1" w:styleId="33CharChar270521">
    <w:name w:val="样式 样式 样式 标题 3标题 3 Char Char + (西文) 宋体 行距: 固定值 27 磅 + 段后: 0.5 行 +...2"/>
    <w:basedOn w:val="33CharChar2705"/>
    <w:semiHidden/>
    <w:qFormat/>
    <w:rsid w:val="004018C0"/>
    <w:rPr>
      <w:color w:val="000000"/>
      <w:sz w:val="28"/>
    </w:rPr>
  </w:style>
  <w:style w:type="paragraph" w:customStyle="1" w:styleId="33CharChar27054">
    <w:name w:val="样式 样式 样式 样式 标题 3标题 3 Char Char + (西文) 宋体 行距: 固定值 27 磅 + 段后: 0.5 ...4"/>
    <w:basedOn w:val="33CharChar270521"/>
    <w:semiHidden/>
    <w:qFormat/>
    <w:rsid w:val="004018C0"/>
    <w:pPr>
      <w:spacing w:after="249"/>
    </w:pPr>
    <w:rPr>
      <w:sz w:val="26"/>
      <w:szCs w:val="26"/>
    </w:rPr>
  </w:style>
  <w:style w:type="paragraph" w:customStyle="1" w:styleId="33CharChar270530">
    <w:name w:val="样式 样式 样式 标题 3标题 3 Char Char + (西文) 宋体 行距: 固定值 27 磅 + 段后: 0.5 行 +...3"/>
    <w:basedOn w:val="33CharChar2705"/>
    <w:semiHidden/>
    <w:qFormat/>
    <w:rsid w:val="004018C0"/>
  </w:style>
  <w:style w:type="paragraph" w:customStyle="1" w:styleId="33CharChar270540">
    <w:name w:val="样式 样式 样式 标题 3标题 3 Char Char + (西文) 宋体 行距: 固定值 27 磅 + 段后: 0.5 行 +...4"/>
    <w:basedOn w:val="33CharChar2705"/>
    <w:semiHidden/>
    <w:qFormat/>
    <w:rsid w:val="004018C0"/>
    <w:rPr>
      <w:rFonts w:ascii="Times New Roman" w:hAnsi="Times New Roman"/>
      <w:color w:val="000000"/>
      <w:sz w:val="28"/>
    </w:rPr>
  </w:style>
  <w:style w:type="paragraph" w:customStyle="1" w:styleId="33CharChar27055">
    <w:name w:val="样式 样式 样式 样式 标题 3标题 3 Char Char + (西文) 宋体 行距: 固定值 27 磅 + 段后: 0.5 ...5"/>
    <w:basedOn w:val="33CharChar27050"/>
    <w:semiHidden/>
    <w:qFormat/>
    <w:rsid w:val="004018C0"/>
    <w:rPr>
      <w:sz w:val="28"/>
    </w:rPr>
  </w:style>
  <w:style w:type="paragraph" w:customStyle="1" w:styleId="33CharChar270">
    <w:name w:val="样式 样式 样式 样式 样式 标题 3标题 3 Char Char + (西文) 宋体 行距: 固定值 27 磅 + 段后: 0..."/>
    <w:basedOn w:val="33CharChar27055"/>
    <w:semiHidden/>
    <w:qFormat/>
    <w:rsid w:val="004018C0"/>
    <w:pPr>
      <w:spacing w:after="240"/>
    </w:pPr>
    <w:rPr>
      <w:sz w:val="26"/>
      <w:szCs w:val="26"/>
    </w:rPr>
  </w:style>
  <w:style w:type="paragraph" w:customStyle="1" w:styleId="33CharChar2701">
    <w:name w:val="样式 样式 样式 样式 样式 标题 3标题 3 Char Char + (西文) 宋体 行距: 固定值 27 磅 + 段后: 0...1"/>
    <w:basedOn w:val="33CharChar27055"/>
    <w:semiHidden/>
    <w:qFormat/>
    <w:rsid w:val="004018C0"/>
    <w:pPr>
      <w:spacing w:after="240"/>
    </w:pPr>
    <w:rPr>
      <w:sz w:val="26"/>
      <w:szCs w:val="26"/>
    </w:rPr>
  </w:style>
  <w:style w:type="paragraph" w:customStyle="1" w:styleId="33CharChar27056">
    <w:name w:val="样式 样式 样式 样式 标题 3标题 3 Char Char + (西文) 宋体 行距: 固定值 27 磅 + 段后: 0.5 ...6"/>
    <w:basedOn w:val="33CharChar27050"/>
    <w:semiHidden/>
    <w:qFormat/>
    <w:rsid w:val="004018C0"/>
  </w:style>
  <w:style w:type="paragraph" w:customStyle="1" w:styleId="Char11">
    <w:name w:val="报告正文 Char1"/>
    <w:basedOn w:val="ac"/>
    <w:semiHidden/>
    <w:qFormat/>
    <w:rsid w:val="004018C0"/>
    <w:pPr>
      <w:adjustRightInd w:val="0"/>
      <w:snapToGrid w:val="0"/>
      <w:spacing w:line="480" w:lineRule="exact"/>
      <w:ind w:firstLineChars="200" w:firstLine="200"/>
    </w:pPr>
    <w:rPr>
      <w:rFonts w:ascii="宋体" w:hAnsi="Times New Roman" w:cs="Times New Roman"/>
      <w:color w:val="0000FF"/>
      <w:sz w:val="28"/>
      <w:szCs w:val="28"/>
    </w:rPr>
  </w:style>
  <w:style w:type="paragraph" w:customStyle="1" w:styleId="affff7">
    <w:name w:val="小标题"/>
    <w:basedOn w:val="ac"/>
    <w:semiHidden/>
    <w:qFormat/>
    <w:rsid w:val="004018C0"/>
    <w:pPr>
      <w:adjustRightInd w:val="0"/>
      <w:snapToGrid w:val="0"/>
      <w:spacing w:before="60" w:after="60" w:line="560" w:lineRule="exact"/>
      <w:ind w:firstLineChars="200" w:firstLine="480"/>
    </w:pPr>
    <w:rPr>
      <w:rFonts w:ascii="宋体" w:hAnsi="宋体" w:cs="Times New Roman"/>
      <w:bCs/>
      <w:szCs w:val="28"/>
    </w:rPr>
  </w:style>
  <w:style w:type="paragraph" w:customStyle="1" w:styleId="41">
    <w:name w:val="标题4"/>
    <w:basedOn w:val="30"/>
    <w:qFormat/>
    <w:locked/>
    <w:rsid w:val="004018C0"/>
    <w:pPr>
      <w:keepNext/>
      <w:keepLines/>
      <w:numPr>
        <w:ilvl w:val="0"/>
        <w:numId w:val="14"/>
      </w:numPr>
      <w:adjustRightInd w:val="0"/>
      <w:snapToGrid w:val="0"/>
      <w:jc w:val="left"/>
    </w:pPr>
    <w:rPr>
      <w:rFonts w:cs="Times New Roman"/>
      <w:bCs w:val="0"/>
      <w:szCs w:val="24"/>
    </w:rPr>
  </w:style>
  <w:style w:type="paragraph" w:customStyle="1" w:styleId="1f4">
    <w:name w:val="蒋样式－1"/>
    <w:basedOn w:val="ac"/>
    <w:semiHidden/>
    <w:qFormat/>
    <w:rsid w:val="004018C0"/>
    <w:pPr>
      <w:tabs>
        <w:tab w:val="left" w:pos="567"/>
      </w:tabs>
      <w:adjustRightInd w:val="0"/>
      <w:snapToGrid w:val="0"/>
      <w:spacing w:before="100"/>
    </w:pPr>
    <w:rPr>
      <w:rFonts w:ascii="黑体" w:eastAsia="黑体" w:hAnsi="Times New Roman" w:cs="Times New Roman"/>
      <w:b/>
      <w:spacing w:val="16"/>
      <w:w w:val="90"/>
      <w:sz w:val="30"/>
      <w:szCs w:val="20"/>
    </w:rPr>
  </w:style>
  <w:style w:type="paragraph" w:customStyle="1" w:styleId="2d">
    <w:name w:val="蒋样式－2"/>
    <w:basedOn w:val="ac"/>
    <w:semiHidden/>
    <w:qFormat/>
    <w:rsid w:val="004018C0"/>
    <w:pPr>
      <w:tabs>
        <w:tab w:val="left" w:pos="851"/>
      </w:tabs>
      <w:adjustRightInd w:val="0"/>
      <w:snapToGrid w:val="0"/>
      <w:spacing w:before="100"/>
      <w:jc w:val="left"/>
    </w:pPr>
    <w:rPr>
      <w:rFonts w:ascii="黑体" w:eastAsia="黑体" w:hAnsi="Times New Roman" w:cs="Times New Roman"/>
      <w:b/>
      <w:spacing w:val="16"/>
      <w:w w:val="90"/>
      <w:sz w:val="30"/>
      <w:szCs w:val="20"/>
    </w:rPr>
  </w:style>
  <w:style w:type="paragraph" w:customStyle="1" w:styleId="3c">
    <w:name w:val="蒋样式－3"/>
    <w:basedOn w:val="ac"/>
    <w:semiHidden/>
    <w:qFormat/>
    <w:rsid w:val="004018C0"/>
    <w:pPr>
      <w:tabs>
        <w:tab w:val="left" w:pos="1134"/>
      </w:tabs>
      <w:adjustRightInd w:val="0"/>
      <w:snapToGrid w:val="0"/>
      <w:spacing w:before="100"/>
      <w:jc w:val="left"/>
    </w:pPr>
    <w:rPr>
      <w:rFonts w:ascii="黑体" w:eastAsia="黑体" w:hAnsi="Times New Roman" w:cs="Times New Roman"/>
      <w:bCs/>
      <w:spacing w:val="16"/>
      <w:w w:val="90"/>
      <w:sz w:val="30"/>
      <w:szCs w:val="20"/>
    </w:rPr>
  </w:style>
  <w:style w:type="paragraph" w:customStyle="1" w:styleId="33CharChar270522">
    <w:name w:val="样式 样式 标题 3标题 3 Char Char + (西文) 宋体 行距: 固定值 27 磅 + 段后: 0.5 行2"/>
    <w:basedOn w:val="33CharChar27"/>
    <w:semiHidden/>
    <w:qFormat/>
    <w:rsid w:val="004018C0"/>
    <w:pPr>
      <w:ind w:left="720"/>
    </w:pPr>
  </w:style>
  <w:style w:type="paragraph" w:customStyle="1" w:styleId="FooterOdd">
    <w:name w:val="Footer Odd"/>
    <w:basedOn w:val="af1"/>
    <w:semiHidden/>
    <w:qFormat/>
    <w:rsid w:val="004018C0"/>
    <w:pPr>
      <w:keepLines/>
      <w:widowControl/>
      <w:pBdr>
        <w:top w:val="single" w:sz="6" w:space="2" w:color="auto"/>
      </w:pBdr>
      <w:tabs>
        <w:tab w:val="clear" w:pos="4153"/>
        <w:tab w:val="clear" w:pos="8306"/>
        <w:tab w:val="center" w:pos="-18551"/>
        <w:tab w:val="right" w:pos="4320"/>
      </w:tabs>
      <w:adjustRightInd w:val="0"/>
      <w:snapToGrid/>
      <w:spacing w:before="600" w:line="360" w:lineRule="auto"/>
      <w:ind w:left="1080"/>
    </w:pPr>
    <w:rPr>
      <w:rFonts w:ascii="Arial" w:hAnsi="Arial" w:cs="Times New Roman"/>
      <w:spacing w:val="-4"/>
      <w:kern w:val="0"/>
      <w:sz w:val="20"/>
      <w:szCs w:val="20"/>
    </w:rPr>
  </w:style>
  <w:style w:type="paragraph" w:customStyle="1" w:styleId="33CharChar271">
    <w:name w:val="样式 样式 样式 样式 样式 样式 标题 3标题 3 Char Char + (西文) 宋体 行距: 固定值 27 磅 + 段后..."/>
    <w:basedOn w:val="33CharChar2701"/>
    <w:semiHidden/>
    <w:qFormat/>
    <w:rsid w:val="004018C0"/>
    <w:pPr>
      <w:spacing w:after="100"/>
    </w:pPr>
    <w:rPr>
      <w:szCs w:val="20"/>
    </w:rPr>
  </w:style>
  <w:style w:type="paragraph" w:customStyle="1" w:styleId="33CharChar2710">
    <w:name w:val="样式 样式 样式 样式 样式 样式 标题 3标题 3 Char Char + (西文) 宋体 行距: 固定值 27 磅 + 段后...1"/>
    <w:basedOn w:val="33CharChar2701"/>
    <w:semiHidden/>
    <w:qFormat/>
    <w:rsid w:val="004018C0"/>
    <w:pPr>
      <w:spacing w:after="312"/>
    </w:pPr>
    <w:rPr>
      <w:rFonts w:hAnsi="Times New Roman"/>
      <w:szCs w:val="20"/>
    </w:rPr>
  </w:style>
  <w:style w:type="paragraph" w:customStyle="1" w:styleId="33CharChar2702">
    <w:name w:val="样式 样式 样式 样式 样式 标题 3标题 3 Char Char + (西文) 宋体 行距: 固定值 27 磅 + 段后: 0...2"/>
    <w:basedOn w:val="33CharChar270512"/>
    <w:semiHidden/>
    <w:qFormat/>
    <w:rsid w:val="004018C0"/>
    <w:pPr>
      <w:spacing w:after="312"/>
    </w:pPr>
  </w:style>
  <w:style w:type="paragraph" w:customStyle="1" w:styleId="020502">
    <w:name w:val="样式 样式 样式 正文段落 + 段前: 0.2 行 + 段前: 0.5 行 + 段前: 0.2 行"/>
    <w:basedOn w:val="0205"/>
    <w:semiHidden/>
    <w:qFormat/>
    <w:rsid w:val="004018C0"/>
    <w:pPr>
      <w:ind w:firstLine="0"/>
    </w:pPr>
  </w:style>
  <w:style w:type="paragraph" w:customStyle="1" w:styleId="1f5">
    <w:name w:val="样式 标题 1篇 + 加粗"/>
    <w:basedOn w:val="12"/>
    <w:semiHidden/>
    <w:qFormat/>
    <w:rsid w:val="004018C0"/>
    <w:pPr>
      <w:keepNext/>
      <w:keepLines/>
      <w:numPr>
        <w:ilvl w:val="1"/>
        <w:numId w:val="0"/>
      </w:numPr>
      <w:autoSpaceDE w:val="0"/>
      <w:autoSpaceDN w:val="0"/>
      <w:spacing w:beforeLines="50" w:before="240" w:afterLines="50" w:after="0"/>
      <w:textAlignment w:val="baseline"/>
    </w:pPr>
    <w:rPr>
      <w:rFonts w:ascii="黑体" w:eastAsia="黑体" w:hAnsi="Tms Rmn" w:cs="Times New Roman"/>
      <w:b w:val="0"/>
      <w:sz w:val="24"/>
      <w:szCs w:val="28"/>
    </w:rPr>
  </w:style>
  <w:style w:type="paragraph" w:customStyle="1" w:styleId="33CharChar272">
    <w:name w:val="样式 样式 样式 样式 样式 样式 样式 标题 3标题 3 Char Char + (西文) 宋体 行距: 固定值 27 磅 +..."/>
    <w:basedOn w:val="33CharChar271"/>
    <w:semiHidden/>
    <w:qFormat/>
    <w:rsid w:val="004018C0"/>
  </w:style>
  <w:style w:type="paragraph" w:customStyle="1" w:styleId="33CharChar273">
    <w:name w:val="样式 样式 样式 样式 样式 样式 样式 样式 标题 3标题 3 Char Char + (西文) 宋体 行距: 固定值 27 ..."/>
    <w:basedOn w:val="33CharChar272"/>
    <w:semiHidden/>
    <w:qFormat/>
    <w:rsid w:val="004018C0"/>
    <w:pPr>
      <w:spacing w:after="240"/>
    </w:pPr>
  </w:style>
  <w:style w:type="paragraph" w:customStyle="1" w:styleId="2050505">
    <w:name w:val="样式 样式 样式 标题 2 + (符号) 宋体 段后: 0.5 行 + 段后: 0.5 行 + 段后: 0.5 行"/>
    <w:basedOn w:val="20505"/>
    <w:semiHidden/>
    <w:qFormat/>
    <w:rsid w:val="004018C0"/>
    <w:pPr>
      <w:spacing w:after="156"/>
    </w:pPr>
    <w:rPr>
      <w:sz w:val="26"/>
      <w:szCs w:val="26"/>
    </w:rPr>
  </w:style>
  <w:style w:type="paragraph" w:customStyle="1" w:styleId="02050202">
    <w:name w:val="样式 样式 样式 样式 正文段落 + 段前: 0.2 行 + 段前: 0.5 行 + 段前: 0.2 行 + 段前: 0.2 行"/>
    <w:basedOn w:val="020502"/>
    <w:semiHidden/>
    <w:qFormat/>
    <w:rsid w:val="004018C0"/>
    <w:pPr>
      <w:ind w:firstLineChars="200" w:firstLine="200"/>
    </w:pPr>
  </w:style>
  <w:style w:type="paragraph" w:customStyle="1" w:styleId="font5">
    <w:name w:val="font5"/>
    <w:basedOn w:val="ac"/>
    <w:semiHidden/>
    <w:qFormat/>
    <w:rsid w:val="004018C0"/>
    <w:pPr>
      <w:widowControl/>
      <w:adjustRightInd w:val="0"/>
      <w:snapToGrid w:val="0"/>
      <w:spacing w:before="100" w:beforeAutospacing="1" w:after="100" w:afterAutospacing="1"/>
      <w:jc w:val="left"/>
    </w:pPr>
    <w:rPr>
      <w:rFonts w:ascii="宋体" w:hAnsi="宋体" w:cs="Arial Unicode MS" w:hint="eastAsia"/>
      <w:kern w:val="0"/>
      <w:sz w:val="22"/>
      <w:szCs w:val="22"/>
    </w:rPr>
  </w:style>
  <w:style w:type="paragraph" w:customStyle="1" w:styleId="font6">
    <w:name w:val="font6"/>
    <w:basedOn w:val="ac"/>
    <w:semiHidden/>
    <w:qFormat/>
    <w:rsid w:val="004018C0"/>
    <w:pPr>
      <w:widowControl/>
      <w:adjustRightInd w:val="0"/>
      <w:snapToGrid w:val="0"/>
      <w:spacing w:before="100" w:beforeAutospacing="1" w:after="100" w:afterAutospacing="1"/>
      <w:jc w:val="left"/>
    </w:pPr>
    <w:rPr>
      <w:rFonts w:ascii="宋体" w:hAnsi="宋体" w:cs="Arial Unicode MS" w:hint="eastAsia"/>
      <w:kern w:val="0"/>
      <w:sz w:val="18"/>
      <w:szCs w:val="18"/>
    </w:rPr>
  </w:style>
  <w:style w:type="paragraph" w:customStyle="1" w:styleId="xl24">
    <w:name w:val="xl24"/>
    <w:basedOn w:val="ac"/>
    <w:semiHidden/>
    <w:qFormat/>
    <w:rsid w:val="004018C0"/>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jc w:val="center"/>
      <w:textAlignment w:val="center"/>
    </w:pPr>
    <w:rPr>
      <w:rFonts w:ascii="Times New Roman" w:eastAsia="Arial Unicode MS" w:hAnsi="Times New Roman" w:cs="Times New Roman"/>
      <w:kern w:val="0"/>
      <w:sz w:val="22"/>
      <w:szCs w:val="22"/>
    </w:rPr>
  </w:style>
  <w:style w:type="paragraph" w:customStyle="1" w:styleId="xl26">
    <w:name w:val="xl26"/>
    <w:basedOn w:val="ac"/>
    <w:semiHidden/>
    <w:qFormat/>
    <w:rsid w:val="004018C0"/>
    <w:pPr>
      <w:widowControl/>
      <w:pBdr>
        <w:bottom w:val="single" w:sz="4" w:space="0" w:color="auto"/>
        <w:right w:val="single" w:sz="4" w:space="0" w:color="auto"/>
      </w:pBdr>
      <w:adjustRightInd w:val="0"/>
      <w:snapToGrid w:val="0"/>
      <w:spacing w:before="100" w:beforeAutospacing="1" w:after="100" w:afterAutospacing="1"/>
      <w:jc w:val="center"/>
      <w:textAlignment w:val="center"/>
    </w:pPr>
    <w:rPr>
      <w:rFonts w:ascii="Times New Roman" w:hAnsi="Times New Roman" w:cs="Times New Roman"/>
      <w:kern w:val="0"/>
      <w:sz w:val="21"/>
    </w:rPr>
  </w:style>
  <w:style w:type="paragraph" w:customStyle="1" w:styleId="020502021">
    <w:name w:val="样式 样式 样式 样式 正文段落 + 段前: 0.2 行 + 段前: 0.5 行 + 段前: 0.2 行 + 段前: 0.2 行1"/>
    <w:basedOn w:val="020502"/>
    <w:semiHidden/>
    <w:qFormat/>
    <w:rsid w:val="004018C0"/>
    <w:pPr>
      <w:ind w:firstLineChars="200" w:firstLine="200"/>
    </w:pPr>
  </w:style>
  <w:style w:type="paragraph" w:customStyle="1" w:styleId="2e">
    <w:name w:val="标题2"/>
    <w:basedOn w:val="ac"/>
    <w:qFormat/>
    <w:rsid w:val="004018C0"/>
    <w:rPr>
      <w:rFonts w:ascii="Times New Roman" w:hAnsi="Times New Roman" w:cs="Times New Roman"/>
      <w:szCs w:val="20"/>
    </w:rPr>
  </w:style>
  <w:style w:type="paragraph" w:customStyle="1" w:styleId="affff8">
    <w:name w:val="样式 表主题"/>
    <w:basedOn w:val="ac"/>
    <w:qFormat/>
    <w:rsid w:val="004018C0"/>
    <w:pPr>
      <w:spacing w:line="240" w:lineRule="auto"/>
      <w:jc w:val="center"/>
    </w:pPr>
    <w:rPr>
      <w:rFonts w:ascii="Times New Roman" w:eastAsia="黑体" w:hAnsi="Times New Roman" w:cs="宋体"/>
      <w:sz w:val="18"/>
      <w:szCs w:val="20"/>
    </w:rPr>
  </w:style>
  <w:style w:type="paragraph" w:customStyle="1" w:styleId="affff9">
    <w:name w:val="公式"/>
    <w:basedOn w:val="ac"/>
    <w:qFormat/>
    <w:rsid w:val="004018C0"/>
    <w:pPr>
      <w:tabs>
        <w:tab w:val="center" w:pos="3780"/>
        <w:tab w:val="right" w:leader="middleDot" w:pos="8058"/>
      </w:tabs>
      <w:spacing w:line="240" w:lineRule="auto"/>
      <w:ind w:firstLine="408"/>
    </w:pPr>
    <w:rPr>
      <w:rFonts w:ascii="Times New Roman" w:hAnsi="Times New Roman" w:cs="Times New Roman"/>
      <w:sz w:val="21"/>
      <w:szCs w:val="20"/>
    </w:rPr>
  </w:style>
  <w:style w:type="paragraph" w:customStyle="1" w:styleId="3d">
    <w:name w:val="样式 新标题3 + (中文) 宋体"/>
    <w:basedOn w:val="ac"/>
    <w:qFormat/>
    <w:rsid w:val="004018C0"/>
    <w:pPr>
      <w:ind w:firstLineChars="200" w:firstLine="200"/>
    </w:pPr>
    <w:rPr>
      <w:rFonts w:ascii="宋体" w:hAnsi="Courier New" w:cs="宋体"/>
      <w:sz w:val="21"/>
      <w:szCs w:val="20"/>
    </w:rPr>
  </w:style>
  <w:style w:type="paragraph" w:customStyle="1" w:styleId="affffa">
    <w:name w:val="条款"/>
    <w:basedOn w:val="ac"/>
    <w:qFormat/>
    <w:rsid w:val="004018C0"/>
    <w:rPr>
      <w:rFonts w:ascii="Times New Roman" w:hAnsi="Times New Roman" w:cs="Times New Roman"/>
      <w:sz w:val="28"/>
      <w:szCs w:val="20"/>
    </w:rPr>
  </w:style>
  <w:style w:type="paragraph" w:customStyle="1" w:styleId="FirstPoint">
    <w:name w:val="First_Point"/>
    <w:basedOn w:val="ac"/>
    <w:qFormat/>
    <w:rsid w:val="004018C0"/>
    <w:pPr>
      <w:widowControl/>
      <w:numPr>
        <w:numId w:val="15"/>
      </w:numPr>
      <w:spacing w:after="60" w:line="240" w:lineRule="auto"/>
      <w:jc w:val="left"/>
    </w:pPr>
    <w:rPr>
      <w:rFonts w:ascii="Arial" w:hAnsi="Arial" w:cs="Times New Roman"/>
      <w:kern w:val="0"/>
      <w:sz w:val="20"/>
      <w:szCs w:val="20"/>
    </w:rPr>
  </w:style>
  <w:style w:type="paragraph" w:customStyle="1" w:styleId="a0">
    <w:name w:val="字母编号列项（一级）"/>
    <w:qFormat/>
    <w:rsid w:val="004018C0"/>
    <w:pPr>
      <w:numPr>
        <w:numId w:val="16"/>
      </w:numPr>
      <w:jc w:val="both"/>
    </w:pPr>
    <w:rPr>
      <w:rFonts w:ascii="宋体" w:hAnsi="Times New Roman" w:cs="Times New Roman"/>
      <w:sz w:val="21"/>
    </w:rPr>
  </w:style>
  <w:style w:type="paragraph" w:customStyle="1" w:styleId="ab">
    <w:name w:val="列项——"/>
    <w:qFormat/>
    <w:rsid w:val="004018C0"/>
    <w:pPr>
      <w:widowControl w:val="0"/>
      <w:numPr>
        <w:numId w:val="17"/>
      </w:numPr>
      <w:jc w:val="both"/>
    </w:pPr>
    <w:rPr>
      <w:rFonts w:ascii="宋体" w:hAnsi="Times New Roman" w:cs="Times New Roman"/>
      <w:sz w:val="21"/>
    </w:rPr>
  </w:style>
  <w:style w:type="paragraph" w:customStyle="1" w:styleId="151">
    <w:name w:val="标题1.5倍"/>
    <w:basedOn w:val="ac"/>
    <w:next w:val="ac"/>
    <w:qFormat/>
    <w:rsid w:val="004018C0"/>
    <w:pPr>
      <w:adjustRightInd w:val="0"/>
      <w:snapToGrid w:val="0"/>
      <w:ind w:firstLineChars="200" w:firstLine="200"/>
    </w:pPr>
    <w:rPr>
      <w:rFonts w:ascii="Times New Roman" w:hAnsi="Times New Roman" w:cs="Times New Roman"/>
      <w:szCs w:val="24"/>
    </w:rPr>
  </w:style>
  <w:style w:type="paragraph" w:customStyle="1" w:styleId="113">
    <w:name w:val="日期11"/>
    <w:basedOn w:val="ac"/>
    <w:next w:val="ac"/>
    <w:semiHidden/>
    <w:qFormat/>
    <w:rsid w:val="004018C0"/>
    <w:pPr>
      <w:adjustRightInd w:val="0"/>
      <w:snapToGrid w:val="0"/>
      <w:textAlignment w:val="baseline"/>
    </w:pPr>
    <w:rPr>
      <w:rFonts w:ascii="宋体" w:hAnsi="Times New Roman" w:cs="Times New Roman"/>
      <w:sz w:val="28"/>
      <w:szCs w:val="20"/>
    </w:rPr>
  </w:style>
  <w:style w:type="paragraph" w:customStyle="1" w:styleId="2110">
    <w:name w:val="正文文本 211"/>
    <w:basedOn w:val="ac"/>
    <w:semiHidden/>
    <w:qFormat/>
    <w:rsid w:val="004018C0"/>
    <w:pPr>
      <w:adjustRightInd w:val="0"/>
      <w:snapToGrid w:val="0"/>
      <w:ind w:firstLine="540"/>
      <w:textAlignment w:val="baseline"/>
    </w:pPr>
    <w:rPr>
      <w:rFonts w:ascii="Times New Roman" w:hAnsi="Times New Roman" w:cs="Times New Roman"/>
      <w:sz w:val="28"/>
      <w:szCs w:val="20"/>
    </w:rPr>
  </w:style>
  <w:style w:type="paragraph" w:customStyle="1" w:styleId="114">
    <w:name w:val="纯文本11"/>
    <w:basedOn w:val="ac"/>
    <w:semiHidden/>
    <w:qFormat/>
    <w:rsid w:val="004018C0"/>
    <w:pPr>
      <w:adjustRightInd w:val="0"/>
      <w:snapToGrid w:val="0"/>
      <w:textAlignment w:val="baseline"/>
    </w:pPr>
    <w:rPr>
      <w:rFonts w:ascii="宋体" w:hAnsi="Times New Roman" w:cs="Times New Roman"/>
      <w:kern w:val="0"/>
      <w:sz w:val="21"/>
      <w:szCs w:val="20"/>
    </w:rPr>
  </w:style>
  <w:style w:type="paragraph" w:customStyle="1" w:styleId="affffb">
    <w:name w:val="表格名称"/>
    <w:basedOn w:val="ac"/>
    <w:qFormat/>
    <w:rsid w:val="004018C0"/>
    <w:pPr>
      <w:snapToGrid w:val="0"/>
      <w:spacing w:beforeLines="50"/>
      <w:jc w:val="center"/>
    </w:pPr>
    <w:rPr>
      <w:rFonts w:ascii="黑体" w:eastAsia="黑体" w:hAnsi="黑体" w:cs="Times New Roman"/>
      <w:sz w:val="21"/>
      <w:szCs w:val="20"/>
    </w:rPr>
  </w:style>
  <w:style w:type="character" w:customStyle="1" w:styleId="Char">
    <w:name w:val="表中文字 Char"/>
    <w:link w:val="afff6"/>
    <w:qFormat/>
    <w:rsid w:val="004018C0"/>
    <w:rPr>
      <w:rFonts w:ascii="Times New Roman" w:hAnsi="Times New Roman" w:cs="Times New Roman"/>
      <w:kern w:val="2"/>
      <w:sz w:val="21"/>
      <w:szCs w:val="21"/>
    </w:rPr>
  </w:style>
  <w:style w:type="character" w:customStyle="1" w:styleId="aff1">
    <w:name w:val="正文缩进 字符"/>
    <w:aliases w:val="特点 字符,表正文 字符,正文非缩进 字符,Alt+X 字符,mr正文缩进 字符,段1 字符,正文不缩进 字符,标题4 Char Char Char 字符,标题4 Char 字符,正文（首行缩进两字） 字符,ind:txt 字符,ALT+Z 字符,Paragraph2 字符,Paragraph3 字符,Paragraph4 字符,Paragraph5 字符,Paragraph6 字符,标题4 Char Char Char Char 字符,四号 字符,四号 Char Char 字符"/>
    <w:link w:val="aff0"/>
    <w:qFormat/>
    <w:rsid w:val="004018C0"/>
    <w:rPr>
      <w:rFonts w:ascii="Times New Roman" w:hAnsi="Times New Roman" w:cs="Times New Roman"/>
      <w:kern w:val="2"/>
      <w:sz w:val="21"/>
      <w:szCs w:val="24"/>
    </w:rPr>
  </w:style>
  <w:style w:type="character" w:customStyle="1" w:styleId="4Char">
    <w:name w:val="样式 标题 4 + 加粗 Char"/>
    <w:link w:val="44"/>
    <w:qFormat/>
    <w:rsid w:val="004018C0"/>
    <w:rPr>
      <w:rFonts w:ascii="Arial" w:hAnsi="Arial" w:cs="Times New Roman"/>
      <w:b/>
      <w:bCs/>
      <w:kern w:val="28"/>
      <w:sz w:val="28"/>
      <w:szCs w:val="28"/>
    </w:rPr>
  </w:style>
  <w:style w:type="character" w:customStyle="1" w:styleId="Char0">
    <w:name w:val="一级条标题 Char"/>
    <w:link w:val="a6"/>
    <w:qFormat/>
    <w:rsid w:val="004018C0"/>
    <w:rPr>
      <w:rFonts w:ascii="Times New Roman" w:eastAsia="黑体" w:hAnsi="Times New Roman"/>
      <w:sz w:val="21"/>
    </w:rPr>
  </w:style>
  <w:style w:type="character" w:customStyle="1" w:styleId="Char1">
    <w:name w:val="二级条标题 Char"/>
    <w:basedOn w:val="Char0"/>
    <w:link w:val="a7"/>
    <w:qFormat/>
    <w:rsid w:val="004018C0"/>
    <w:rPr>
      <w:rFonts w:ascii="Times New Roman" w:eastAsia="黑体" w:hAnsi="Times New Roman"/>
      <w:sz w:val="21"/>
    </w:rPr>
  </w:style>
  <w:style w:type="character" w:customStyle="1" w:styleId="Char2">
    <w:name w:val="三级条标题 Char"/>
    <w:basedOn w:val="Char1"/>
    <w:link w:val="a8"/>
    <w:qFormat/>
    <w:rsid w:val="004018C0"/>
    <w:rPr>
      <w:rFonts w:ascii="Times New Roman" w:eastAsia="黑体" w:hAnsi="Times New Roman"/>
      <w:sz w:val="21"/>
    </w:rPr>
  </w:style>
  <w:style w:type="character" w:customStyle="1" w:styleId="CharChar2">
    <w:name w:val="正文文本 Char Char"/>
    <w:qFormat/>
    <w:rsid w:val="004018C0"/>
    <w:rPr>
      <w:rFonts w:ascii="Arial" w:hAnsi="Arial"/>
      <w:bCs/>
      <w:szCs w:val="24"/>
    </w:rPr>
  </w:style>
  <w:style w:type="character" w:customStyle="1" w:styleId="affffc">
    <w:name w:val="样式 黑体"/>
    <w:qFormat/>
    <w:rsid w:val="004018C0"/>
    <w:rPr>
      <w:rFonts w:ascii="黑体" w:eastAsia="黑体" w:hAnsi="黑体"/>
      <w:sz w:val="24"/>
    </w:rPr>
  </w:style>
  <w:style w:type="character" w:customStyle="1" w:styleId="3CharCharChar">
    <w:name w:val="标题 3 Char Char Char"/>
    <w:semiHidden/>
    <w:qFormat/>
    <w:rsid w:val="004018C0"/>
    <w:rPr>
      <w:rFonts w:ascii="黑体" w:eastAsia="黑体"/>
      <w:kern w:val="2"/>
      <w:sz w:val="26"/>
      <w:szCs w:val="26"/>
      <w:lang w:val="en-US" w:eastAsia="zh-CN" w:bidi="ar-SA"/>
    </w:rPr>
  </w:style>
  <w:style w:type="character" w:customStyle="1" w:styleId="CharCharCharCharCharCharCharCharChar">
    <w:name w:val="正文段落 Char Char Char Char Char Char Char Char Char"/>
    <w:semiHidden/>
    <w:qFormat/>
    <w:rsid w:val="004018C0"/>
    <w:rPr>
      <w:rFonts w:ascii="宋体" w:eastAsia="宋体" w:hAnsi="Tms Rmn"/>
      <w:sz w:val="26"/>
      <w:lang w:val="en-US" w:eastAsia="zh-CN" w:bidi="ar-SA"/>
    </w:rPr>
  </w:style>
  <w:style w:type="character" w:customStyle="1" w:styleId="affffd">
    <w:name w:val="标题 字符"/>
    <w:qFormat/>
    <w:rsid w:val="004018C0"/>
    <w:rPr>
      <w:rFonts w:ascii="Times New Roman" w:hAnsi="Times New Roman" w:cs="Times New Roman"/>
      <w:b/>
      <w:sz w:val="28"/>
    </w:rPr>
  </w:style>
  <w:style w:type="character" w:customStyle="1" w:styleId="BodyText2Char">
    <w:name w:val="Body Text 2 Char"/>
    <w:semiHidden/>
    <w:qFormat/>
    <w:rsid w:val="004018C0"/>
    <w:rPr>
      <w:rFonts w:eastAsia="宋体"/>
      <w:kern w:val="2"/>
      <w:sz w:val="28"/>
      <w:lang w:val="en-US" w:eastAsia="zh-CN" w:bidi="ar-SA"/>
    </w:rPr>
  </w:style>
  <w:style w:type="character" w:customStyle="1" w:styleId="md">
    <w:name w:val="md"/>
    <w:basedOn w:val="ad"/>
    <w:semiHidden/>
    <w:qFormat/>
    <w:rsid w:val="004018C0"/>
  </w:style>
  <w:style w:type="character" w:customStyle="1" w:styleId="CharCharCharChar">
    <w:name w:val="正文段落 Char Char Char Char"/>
    <w:semiHidden/>
    <w:qFormat/>
    <w:rsid w:val="004018C0"/>
    <w:rPr>
      <w:rFonts w:ascii="宋体" w:eastAsia="宋体" w:hAnsi="Tms Rmn"/>
      <w:sz w:val="26"/>
      <w:lang w:val="en-US" w:eastAsia="zh-CN" w:bidi="ar-SA"/>
    </w:rPr>
  </w:style>
  <w:style w:type="character" w:customStyle="1" w:styleId="light1">
    <w:name w:val="light1"/>
    <w:semiHidden/>
    <w:qFormat/>
    <w:rsid w:val="004018C0"/>
    <w:rPr>
      <w:sz w:val="22"/>
      <w:szCs w:val="22"/>
    </w:rPr>
  </w:style>
  <w:style w:type="character" w:customStyle="1" w:styleId="CharCharCharCharChar">
    <w:name w:val="正文段落 Char Char Char Char Char"/>
    <w:semiHidden/>
    <w:qFormat/>
    <w:rsid w:val="004018C0"/>
    <w:rPr>
      <w:rFonts w:ascii="宋体" w:eastAsia="宋体" w:hAnsi="Tms Rmn"/>
      <w:sz w:val="26"/>
      <w:lang w:val="en-US" w:eastAsia="zh-CN" w:bidi="ar-SA"/>
    </w:rPr>
  </w:style>
  <w:style w:type="character" w:customStyle="1" w:styleId="33CharChar27Char">
    <w:name w:val="样式 标题 3标题 3 Char Char + (西文) 宋体 行距: 固定值 27 磅 Char"/>
    <w:semiHidden/>
    <w:qFormat/>
    <w:rsid w:val="004018C0"/>
    <w:rPr>
      <w:rFonts w:ascii="宋体" w:eastAsia="黑体" w:hAnsi="宋体" w:cs="宋体"/>
      <w:spacing w:val="5"/>
      <w:kern w:val="2"/>
      <w:sz w:val="26"/>
      <w:szCs w:val="26"/>
      <w:lang w:val="en-US" w:eastAsia="zh-CN" w:bidi="ar-SA"/>
    </w:rPr>
  </w:style>
  <w:style w:type="character" w:customStyle="1" w:styleId="33CharChar2705Char">
    <w:name w:val="样式 样式 标题 3标题 3 Char Char + (西文) 宋体 行距: 固定值 27 磅 + 段后: 0.5 行 Char"/>
    <w:basedOn w:val="33CharChar27Char"/>
    <w:semiHidden/>
    <w:qFormat/>
    <w:rsid w:val="004018C0"/>
    <w:rPr>
      <w:rFonts w:ascii="宋体" w:eastAsia="黑体" w:hAnsi="宋体" w:cs="宋体"/>
      <w:spacing w:val="5"/>
      <w:kern w:val="2"/>
      <w:sz w:val="26"/>
      <w:szCs w:val="26"/>
      <w:lang w:val="en-US" w:eastAsia="zh-CN" w:bidi="ar-SA"/>
    </w:rPr>
  </w:style>
  <w:style w:type="character" w:customStyle="1" w:styleId="33CharChar2705Char0">
    <w:name w:val="样式 样式 样式 标题 3标题 3 Char Char + (西文) 宋体 行距: 固定值 27 磅 + 段后: 0.5 行 +... Char"/>
    <w:basedOn w:val="33CharChar2705Char"/>
    <w:semiHidden/>
    <w:qFormat/>
    <w:rsid w:val="004018C0"/>
    <w:rPr>
      <w:rFonts w:ascii="宋体" w:eastAsia="黑体" w:hAnsi="宋体" w:cs="宋体"/>
      <w:spacing w:val="5"/>
      <w:kern w:val="2"/>
      <w:sz w:val="26"/>
      <w:szCs w:val="26"/>
      <w:lang w:val="en-US" w:eastAsia="zh-CN" w:bidi="ar-SA"/>
    </w:rPr>
  </w:style>
  <w:style w:type="character" w:customStyle="1" w:styleId="unnamed1">
    <w:name w:val="unnamed1"/>
    <w:basedOn w:val="ad"/>
    <w:semiHidden/>
    <w:qFormat/>
    <w:rsid w:val="004018C0"/>
  </w:style>
  <w:style w:type="character" w:customStyle="1" w:styleId="Char12">
    <w:name w:val="正文段落 Char1"/>
    <w:semiHidden/>
    <w:qFormat/>
    <w:rsid w:val="004018C0"/>
    <w:rPr>
      <w:rFonts w:ascii="宋体" w:eastAsia="宋体" w:hAnsi="Tms Rmn"/>
      <w:sz w:val="26"/>
      <w:lang w:val="en-US" w:eastAsia="zh-CN" w:bidi="ar-SA"/>
    </w:rPr>
  </w:style>
  <w:style w:type="character" w:customStyle="1" w:styleId="02Char">
    <w:name w:val="样式 正文段落 + 段前: 0.2 行 Char"/>
    <w:semiHidden/>
    <w:qFormat/>
    <w:rsid w:val="004018C0"/>
    <w:rPr>
      <w:rFonts w:ascii="宋体" w:eastAsia="宋体" w:hAnsi="Tms Rmn" w:cs="宋体"/>
      <w:sz w:val="26"/>
      <w:lang w:val="en-US" w:eastAsia="zh-CN" w:bidi="ar-SA"/>
    </w:rPr>
  </w:style>
  <w:style w:type="character" w:customStyle="1" w:styleId="0205Char">
    <w:name w:val="样式 样式 正文段落 + 段前: 0.2 行 + 段前: 0.5 行 Char"/>
    <w:basedOn w:val="02Char"/>
    <w:semiHidden/>
    <w:qFormat/>
    <w:rsid w:val="004018C0"/>
    <w:rPr>
      <w:rFonts w:ascii="宋体" w:eastAsia="宋体" w:hAnsi="Tms Rmn" w:cs="宋体"/>
      <w:sz w:val="26"/>
      <w:lang w:val="en-US" w:eastAsia="zh-CN" w:bidi="ar-SA"/>
    </w:rPr>
  </w:style>
  <w:style w:type="character" w:customStyle="1" w:styleId="bluetxt1">
    <w:name w:val="bluetxt1"/>
    <w:basedOn w:val="ad"/>
    <w:qFormat/>
    <w:rsid w:val="004018C0"/>
  </w:style>
  <w:style w:type="paragraph" w:styleId="affffe">
    <w:name w:val="Revision"/>
    <w:hidden/>
    <w:uiPriority w:val="99"/>
    <w:unhideWhenUsed/>
    <w:rsid w:val="004018C0"/>
    <w:rPr>
      <w:rFonts w:ascii="Times New Roman" w:hAnsi="Times New Roman" w:cs="Times New Roman"/>
      <w:kern w:val="2"/>
      <w:sz w:val="21"/>
      <w:szCs w:val="24"/>
    </w:rPr>
  </w:style>
  <w:style w:type="paragraph" w:styleId="afffff">
    <w:name w:val="List Paragraph"/>
    <w:basedOn w:val="ac"/>
    <w:link w:val="afffff0"/>
    <w:uiPriority w:val="34"/>
    <w:unhideWhenUsed/>
    <w:qFormat/>
    <w:rsid w:val="004018C0"/>
    <w:pPr>
      <w:adjustRightInd w:val="0"/>
      <w:snapToGrid w:val="0"/>
      <w:ind w:firstLineChars="200" w:firstLine="420"/>
    </w:pPr>
    <w:rPr>
      <w:rFonts w:ascii="Times New Roman" w:hAnsi="Times New Roman" w:cs="Times New Roman"/>
      <w:sz w:val="21"/>
      <w:szCs w:val="24"/>
    </w:rPr>
  </w:style>
  <w:style w:type="paragraph" w:customStyle="1" w:styleId="afffff1">
    <w:name w:val="表名图名"/>
    <w:basedOn w:val="ac"/>
    <w:link w:val="afffff2"/>
    <w:qFormat/>
    <w:rsid w:val="004018C0"/>
    <w:pPr>
      <w:autoSpaceDE w:val="0"/>
      <w:autoSpaceDN w:val="0"/>
      <w:adjustRightInd w:val="0"/>
      <w:spacing w:line="240" w:lineRule="auto"/>
      <w:jc w:val="center"/>
    </w:pPr>
    <w:rPr>
      <w:rFonts w:ascii="Times New Roman" w:hAnsi="宋体" w:cs="Times New Roman"/>
      <w:b/>
      <w:sz w:val="20"/>
      <w:szCs w:val="22"/>
    </w:rPr>
  </w:style>
  <w:style w:type="character" w:customStyle="1" w:styleId="afffff2">
    <w:name w:val="表名图名 字符"/>
    <w:link w:val="afffff1"/>
    <w:qFormat/>
    <w:rsid w:val="004018C0"/>
    <w:rPr>
      <w:rFonts w:ascii="Times New Roman" w:hAnsi="宋体" w:cs="Times New Roman"/>
      <w:b/>
      <w:kern w:val="2"/>
      <w:szCs w:val="22"/>
    </w:rPr>
  </w:style>
  <w:style w:type="paragraph" w:customStyle="1" w:styleId="Default">
    <w:name w:val="Default"/>
    <w:qFormat/>
    <w:rsid w:val="004018C0"/>
    <w:pPr>
      <w:widowControl w:val="0"/>
      <w:autoSpaceDE w:val="0"/>
      <w:autoSpaceDN w:val="0"/>
      <w:adjustRightInd w:val="0"/>
    </w:pPr>
    <w:rPr>
      <w:rFonts w:ascii="Times New Roman" w:hAnsi="Times New Roman" w:cs="Times New Roman"/>
      <w:color w:val="000000"/>
      <w:sz w:val="24"/>
      <w:szCs w:val="24"/>
    </w:rPr>
  </w:style>
  <w:style w:type="paragraph" w:styleId="afffff3">
    <w:name w:val="No Spacing"/>
    <w:aliases w:val="表"/>
    <w:basedOn w:val="ac"/>
    <w:uiPriority w:val="1"/>
    <w:qFormat/>
    <w:rsid w:val="00401453"/>
    <w:pPr>
      <w:autoSpaceDE w:val="0"/>
      <w:autoSpaceDN w:val="0"/>
      <w:adjustRightInd w:val="0"/>
      <w:jc w:val="center"/>
    </w:pPr>
    <w:rPr>
      <w:rFonts w:ascii="Times New Roman" w:eastAsia="黑体" w:hAnsi="Times New Roman" w:cs="Times New Roman"/>
      <w:kern w:val="0"/>
      <w:sz w:val="21"/>
      <w:szCs w:val="24"/>
    </w:rPr>
  </w:style>
  <w:style w:type="numbering" w:customStyle="1" w:styleId="2f">
    <w:name w:val="无列表2"/>
    <w:next w:val="af"/>
    <w:uiPriority w:val="99"/>
    <w:semiHidden/>
    <w:unhideWhenUsed/>
    <w:rsid w:val="002A044C"/>
  </w:style>
  <w:style w:type="table" w:customStyle="1" w:styleId="2f0">
    <w:name w:val="网格型2"/>
    <w:basedOn w:val="ae"/>
    <w:next w:val="af6"/>
    <w:qFormat/>
    <w:rsid w:val="002A04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4">
    <w:name w:val="列项——（一级）"/>
    <w:qFormat/>
    <w:rsid w:val="002A044C"/>
    <w:pPr>
      <w:widowControl w:val="0"/>
      <w:tabs>
        <w:tab w:val="left" w:pos="1140"/>
      </w:tabs>
      <w:ind w:left="840" w:hanging="420"/>
      <w:jc w:val="both"/>
    </w:pPr>
    <w:rPr>
      <w:rFonts w:ascii="宋体" w:hAnsi="Times New Roman" w:cs="Times New Roman"/>
      <w:sz w:val="21"/>
      <w:szCs w:val="21"/>
    </w:rPr>
  </w:style>
  <w:style w:type="paragraph" w:customStyle="1" w:styleId="p1">
    <w:name w:val="p1"/>
    <w:basedOn w:val="ac"/>
    <w:qFormat/>
    <w:rsid w:val="002A044C"/>
    <w:pPr>
      <w:widowControl/>
      <w:spacing w:line="240" w:lineRule="auto"/>
      <w:jc w:val="left"/>
    </w:pPr>
    <w:rPr>
      <w:rFonts w:ascii="Helvetica" w:eastAsia="等线" w:hAnsi="Helvetica" w:cs="Times New Roman"/>
      <w:kern w:val="0"/>
      <w:sz w:val="13"/>
      <w:szCs w:val="13"/>
    </w:rPr>
  </w:style>
  <w:style w:type="paragraph" w:customStyle="1" w:styleId="3e">
    <w:name w:val="款3"/>
    <w:qFormat/>
    <w:rsid w:val="002A044C"/>
    <w:pPr>
      <w:spacing w:line="360" w:lineRule="auto"/>
      <w:ind w:firstLine="567"/>
    </w:pPr>
    <w:rPr>
      <w:rFonts w:cs="Times New Roman"/>
      <w:kern w:val="2"/>
      <w:sz w:val="24"/>
      <w:szCs w:val="24"/>
    </w:rPr>
  </w:style>
  <w:style w:type="paragraph" w:customStyle="1" w:styleId="afffff5">
    <w:name w:val="样式 二级条标题 + 宋体"/>
    <w:basedOn w:val="ac"/>
    <w:qFormat/>
    <w:rsid w:val="002A044C"/>
    <w:pPr>
      <w:widowControl/>
      <w:jc w:val="center"/>
      <w:outlineLvl w:val="3"/>
    </w:pPr>
    <w:rPr>
      <w:rFonts w:ascii="Times New Roman" w:eastAsia="黑体" w:hAnsi="宋体" w:cs="Times New Roman"/>
      <w:kern w:val="0"/>
      <w:sz w:val="20"/>
      <w:szCs w:val="20"/>
    </w:rPr>
  </w:style>
  <w:style w:type="paragraph" w:customStyle="1" w:styleId="afffff6">
    <w:name w:val="条目"/>
    <w:qFormat/>
    <w:rsid w:val="002A044C"/>
    <w:pPr>
      <w:spacing w:line="300" w:lineRule="auto"/>
      <w:jc w:val="both"/>
      <w:outlineLvl w:val="2"/>
    </w:pPr>
    <w:rPr>
      <w:rFonts w:ascii="Times New Roman" w:hAnsi="Times New Roman" w:cs="黑体"/>
      <w:kern w:val="2"/>
      <w:sz w:val="24"/>
      <w:szCs w:val="22"/>
    </w:rPr>
  </w:style>
  <w:style w:type="paragraph" w:customStyle="1" w:styleId="afffff7">
    <w:name w:val="分类"/>
    <w:qFormat/>
    <w:rsid w:val="002A044C"/>
    <w:pPr>
      <w:spacing w:line="300" w:lineRule="auto"/>
      <w:jc w:val="both"/>
    </w:pPr>
    <w:rPr>
      <w:rFonts w:ascii="Times New Roman" w:hAnsi="Times New Roman" w:cs="黑体"/>
      <w:sz w:val="24"/>
      <w:szCs w:val="21"/>
    </w:rPr>
  </w:style>
  <w:style w:type="paragraph" w:customStyle="1" w:styleId="afffff8">
    <w:name w:val="注释"/>
    <w:qFormat/>
    <w:rsid w:val="002A044C"/>
    <w:pPr>
      <w:spacing w:line="0" w:lineRule="atLeast"/>
      <w:ind w:left="200" w:hangingChars="200" w:hanging="200"/>
    </w:pPr>
    <w:rPr>
      <w:rFonts w:ascii="Times New Roman" w:hAnsi="Times New Roman" w:cs="黑体"/>
      <w:sz w:val="18"/>
      <w:szCs w:val="21"/>
    </w:rPr>
  </w:style>
  <w:style w:type="paragraph" w:customStyle="1" w:styleId="afffff9">
    <w:name w:val="条文解释"/>
    <w:next w:val="ac"/>
    <w:qFormat/>
    <w:rsid w:val="002A044C"/>
    <w:pPr>
      <w:ind w:firstLine="200"/>
      <w:jc w:val="both"/>
    </w:pPr>
    <w:rPr>
      <w:color w:val="000000"/>
    </w:rPr>
  </w:style>
  <w:style w:type="paragraph" w:customStyle="1" w:styleId="2f1">
    <w:name w:val="列出段落2"/>
    <w:basedOn w:val="ac"/>
    <w:uiPriority w:val="34"/>
    <w:qFormat/>
    <w:rsid w:val="002A044C"/>
    <w:pPr>
      <w:adjustRightInd w:val="0"/>
      <w:snapToGrid w:val="0"/>
      <w:ind w:firstLineChars="200" w:firstLine="420"/>
    </w:pPr>
    <w:rPr>
      <w:rFonts w:ascii="Times New Roman" w:hAnsi="Times New Roman" w:cs="Times New Roman"/>
      <w:sz w:val="21"/>
      <w:szCs w:val="24"/>
    </w:rPr>
  </w:style>
  <w:style w:type="character" w:customStyle="1" w:styleId="1f6">
    <w:name w:val="访问过的超链接1"/>
    <w:basedOn w:val="ad"/>
    <w:uiPriority w:val="99"/>
    <w:unhideWhenUsed/>
    <w:qFormat/>
    <w:rsid w:val="002A044C"/>
    <w:rPr>
      <w:color w:val="800080"/>
      <w:u w:val="single"/>
    </w:rPr>
  </w:style>
  <w:style w:type="character" w:styleId="afffffa">
    <w:name w:val="FollowedHyperlink"/>
    <w:basedOn w:val="ad"/>
    <w:uiPriority w:val="99"/>
    <w:unhideWhenUsed/>
    <w:qFormat/>
    <w:rsid w:val="002A044C"/>
    <w:rPr>
      <w:color w:val="954F72" w:themeColor="followedHyperlink"/>
      <w:u w:val="single"/>
    </w:rPr>
  </w:style>
  <w:style w:type="numbering" w:customStyle="1" w:styleId="3f">
    <w:name w:val="无列表3"/>
    <w:next w:val="af"/>
    <w:uiPriority w:val="99"/>
    <w:semiHidden/>
    <w:unhideWhenUsed/>
    <w:rsid w:val="00E70BF7"/>
  </w:style>
  <w:style w:type="paragraph" w:customStyle="1" w:styleId="afffffb">
    <w:name w:val="附录表标题"/>
    <w:next w:val="ac"/>
    <w:qFormat/>
    <w:rsid w:val="00E70BF7"/>
    <w:pPr>
      <w:jc w:val="center"/>
      <w:textAlignment w:val="baseline"/>
    </w:pPr>
    <w:rPr>
      <w:rFonts w:ascii="黑体" w:eastAsia="黑体" w:hAnsi="Times New Roman" w:cs="Times New Roman"/>
      <w:kern w:val="21"/>
      <w:sz w:val="21"/>
    </w:rPr>
  </w:style>
  <w:style w:type="paragraph" w:customStyle="1" w:styleId="C">
    <w:name w:val="C"/>
    <w:basedOn w:val="ac"/>
    <w:next w:val="ac"/>
    <w:qFormat/>
    <w:rsid w:val="00E70BF7"/>
    <w:pPr>
      <w:numPr>
        <w:ilvl w:val="2"/>
        <w:numId w:val="20"/>
      </w:numPr>
      <w:autoSpaceDE w:val="0"/>
      <w:autoSpaceDN w:val="0"/>
      <w:adjustRightInd w:val="0"/>
      <w:jc w:val="left"/>
    </w:pPr>
    <w:rPr>
      <w:rFonts w:ascii="Times New Roman" w:hAnsi="Times New Roman" w:cs="Times New Roman"/>
      <w:kern w:val="0"/>
      <w:szCs w:val="24"/>
    </w:rPr>
  </w:style>
  <w:style w:type="paragraph" w:customStyle="1" w:styleId="B">
    <w:name w:val="B"/>
    <w:basedOn w:val="ac"/>
    <w:next w:val="ac"/>
    <w:qFormat/>
    <w:rsid w:val="00E70BF7"/>
    <w:pPr>
      <w:numPr>
        <w:ilvl w:val="1"/>
        <w:numId w:val="20"/>
      </w:numPr>
      <w:spacing w:beforeLines="50" w:before="156"/>
      <w:jc w:val="center"/>
      <w:outlineLvl w:val="1"/>
    </w:pPr>
    <w:rPr>
      <w:rFonts w:ascii="Times New Roman" w:eastAsia="黑体" w:hAnsi="Times New Roman" w:cs="Times New Roman"/>
      <w:b/>
      <w:szCs w:val="28"/>
    </w:rPr>
  </w:style>
  <w:style w:type="character" w:customStyle="1" w:styleId="Char5">
    <w:name w:val="纯文本 Char"/>
    <w:aliases w:val="普通文字 Char"/>
    <w:qFormat/>
    <w:rsid w:val="002E1D37"/>
    <w:rPr>
      <w:rFonts w:ascii="宋体" w:hAnsi="Courier New" w:cs="Times New Roman"/>
      <w:szCs w:val="21"/>
      <w:lang w:val="x-none" w:eastAsia="x-none"/>
    </w:rPr>
  </w:style>
  <w:style w:type="numbering" w:customStyle="1" w:styleId="45">
    <w:name w:val="无列表4"/>
    <w:next w:val="af"/>
    <w:uiPriority w:val="99"/>
    <w:semiHidden/>
    <w:unhideWhenUsed/>
    <w:rsid w:val="002E1D37"/>
  </w:style>
  <w:style w:type="paragraph" w:customStyle="1" w:styleId="100">
    <w:name w:val="10"/>
    <w:basedOn w:val="ac"/>
    <w:next w:val="ac"/>
    <w:link w:val="2Char"/>
    <w:unhideWhenUsed/>
    <w:rsid w:val="002E1D37"/>
    <w:pPr>
      <w:adjustRightInd w:val="0"/>
      <w:snapToGrid w:val="0"/>
      <w:ind w:left="1680"/>
      <w:jc w:val="left"/>
    </w:pPr>
    <w:rPr>
      <w:rFonts w:ascii="Times New Roman" w:hAnsi="Times New Roman" w:cs="Calibri"/>
      <w:szCs w:val="20"/>
    </w:rPr>
  </w:style>
  <w:style w:type="character" w:customStyle="1" w:styleId="1Char">
    <w:name w:val="标题 1 Char"/>
    <w:aliases w:val="标题 1 1 Char,篇 Char,投标-章节标题 Char,编号标题1 Char,11 Char,12 Char,13 Char,14 Char,15 Char,111 Char,121 Char,131 Char,16 Char,112 Char,122 Char,132 Char,17 Char,113 Char,123 Char,133 Char,18 Char,114 Char,124 Char,134 Char,141 Char,151 Char,1111 Char"/>
    <w:qFormat/>
    <w:rsid w:val="002E1D37"/>
    <w:rPr>
      <w:rFonts w:ascii="Times New Roman" w:hAnsi="Times New Roman" w:cs="Times New Roman"/>
      <w:b/>
      <w:kern w:val="2"/>
      <w:sz w:val="24"/>
      <w:szCs w:val="24"/>
      <w:lang w:val="x-none" w:eastAsia="x-none"/>
    </w:rPr>
  </w:style>
  <w:style w:type="character" w:customStyle="1" w:styleId="2Char0">
    <w:name w:val="标题 2 Char"/>
    <w:aliases w:val="二级 1.1 Char,标题 1.1 Char,Title 2 Char,1题号 Char,mystyle2 Char,style2 Char,2 headline Char,h Char,headline Char,S&amp;R2 Char,ERMH2 Char,标题 2 Char Char Char Char1 Char,标题 2 Char Char Char Char Char Char,标题 2 Char Char Char1 Char,标题 2 Char Char Char2"/>
    <w:uiPriority w:val="9"/>
    <w:qFormat/>
    <w:rsid w:val="002E1D37"/>
    <w:rPr>
      <w:rFonts w:ascii="Times New Roman" w:hAnsi="Times New Roman" w:cs="Times New Roman"/>
      <w:kern w:val="2"/>
      <w:sz w:val="24"/>
      <w:szCs w:val="24"/>
      <w:lang w:val="x-none" w:eastAsia="x-none"/>
    </w:rPr>
  </w:style>
  <w:style w:type="character" w:customStyle="1" w:styleId="3Char">
    <w:name w:val="标题 3 Char"/>
    <w:aliases w:val="三级 1.1.1 Char,标题 1.1.1 Char,T3 Char Char1,T3 Char Char Char Char Char,T3 Char Char Char1,T3 Char1,T3 Char Char Char Char1,style3 Char,1、 Char,一 Char,节，一 Char,3za Char,第二层条 Char,第三层 Char,论文标题 2 Char,1.1.1 标题 3 Char,h3 Char,Heading 3 Char1 Char"/>
    <w:qFormat/>
    <w:rsid w:val="002E1D37"/>
    <w:rPr>
      <w:rFonts w:ascii="Times New Roman" w:hAnsi="Times New Roman"/>
      <w:kern w:val="2"/>
      <w:sz w:val="24"/>
      <w:szCs w:val="24"/>
    </w:rPr>
  </w:style>
  <w:style w:type="character" w:customStyle="1" w:styleId="Char6">
    <w:name w:val="文档结构图 Char"/>
    <w:qFormat/>
    <w:rsid w:val="002E1D37"/>
    <w:rPr>
      <w:rFonts w:ascii="宋体" w:hAnsi="Times New Roman"/>
      <w:kern w:val="2"/>
      <w:sz w:val="18"/>
      <w:szCs w:val="18"/>
    </w:rPr>
  </w:style>
  <w:style w:type="character" w:customStyle="1" w:styleId="Char7">
    <w:name w:val="页眉 Char"/>
    <w:uiPriority w:val="99"/>
    <w:qFormat/>
    <w:rsid w:val="002E1D37"/>
    <w:rPr>
      <w:rFonts w:ascii="Times New Roman" w:hAnsi="Times New Roman"/>
      <w:kern w:val="2"/>
      <w:sz w:val="18"/>
      <w:szCs w:val="18"/>
    </w:rPr>
  </w:style>
  <w:style w:type="character" w:customStyle="1" w:styleId="Char8">
    <w:name w:val="页脚 Char"/>
    <w:qFormat/>
    <w:rsid w:val="002E1D37"/>
    <w:rPr>
      <w:rFonts w:ascii="Times New Roman" w:hAnsi="Times New Roman"/>
      <w:kern w:val="2"/>
      <w:sz w:val="18"/>
      <w:szCs w:val="18"/>
    </w:rPr>
  </w:style>
  <w:style w:type="character" w:customStyle="1" w:styleId="Char9">
    <w:name w:val="批注文字 Char"/>
    <w:uiPriority w:val="99"/>
    <w:qFormat/>
    <w:rsid w:val="002E1D37"/>
    <w:rPr>
      <w:rFonts w:ascii="Times New Roman" w:hAnsi="Times New Roman"/>
      <w:kern w:val="2"/>
      <w:sz w:val="21"/>
      <w:szCs w:val="24"/>
    </w:rPr>
  </w:style>
  <w:style w:type="character" w:customStyle="1" w:styleId="Chara">
    <w:name w:val="批注框文本 Char"/>
    <w:uiPriority w:val="99"/>
    <w:qFormat/>
    <w:rsid w:val="002E1D37"/>
    <w:rPr>
      <w:rFonts w:ascii="Times New Roman" w:hAnsi="Times New Roman"/>
      <w:kern w:val="2"/>
      <w:sz w:val="18"/>
      <w:szCs w:val="18"/>
    </w:rPr>
  </w:style>
  <w:style w:type="character" w:customStyle="1" w:styleId="Charb">
    <w:name w:val="批注主题 Char"/>
    <w:qFormat/>
    <w:rsid w:val="002E1D37"/>
    <w:rPr>
      <w:rFonts w:ascii="Times New Roman" w:hAnsi="Times New Roman"/>
      <w:b/>
      <w:bCs/>
      <w:kern w:val="2"/>
      <w:sz w:val="21"/>
      <w:szCs w:val="24"/>
    </w:rPr>
  </w:style>
  <w:style w:type="character" w:customStyle="1" w:styleId="4Char0">
    <w:name w:val="标题 4 Char"/>
    <w:aliases w:val="四级 1.1.1.1 Char,Title 4 Char,（1） Char,删 Char,Para4 Char,CDR_Lev 4 Char,Title3 Char,h4 Char,4 dash Char,d Char,dash Char,标题 4 Char1 Char,PIM 4 Char1 Char,三级节名 Char1 Char,标题 4 Char Char Char,标题 (1) Char,3 Char,3 dash Char,3rd order hd Char"/>
    <w:qFormat/>
    <w:rsid w:val="002E1D37"/>
    <w:rPr>
      <w:rFonts w:ascii="Times New Roman" w:hAnsi="Times New Roman" w:cs="Times New Roman"/>
      <w:kern w:val="2"/>
      <w:sz w:val="24"/>
      <w:szCs w:val="24"/>
      <w:lang w:val="x-none" w:eastAsia="x-none"/>
    </w:rPr>
  </w:style>
  <w:style w:type="character" w:customStyle="1" w:styleId="5Char">
    <w:name w:val="标题 5 Char"/>
    <w:aliases w:val="五级 （1） Char,款，1 Char,Title 5 Char,A Char,标题 5 Char Char Char,标题 1) Char,第四层条 Char,第五层 Char,H5 Char,ds Char,dd Char,Roman list Char,h5 Char,PIM 5 Char,Block Label Char,heading 5 Char,5 Char,Level 3 - i Char,Table label Char,l5 Char,hm Char"/>
    <w:qFormat/>
    <w:rsid w:val="002E1D37"/>
    <w:rPr>
      <w:rFonts w:ascii="Times New Roman" w:hAnsi="Times New Roman" w:cs="Times New Roman"/>
      <w:kern w:val="2"/>
      <w:sz w:val="24"/>
      <w:szCs w:val="24"/>
      <w:lang w:val="x-none" w:eastAsia="x-none"/>
    </w:rPr>
  </w:style>
  <w:style w:type="character" w:customStyle="1" w:styleId="6Char">
    <w:name w:val="标题 6 Char"/>
    <w:aliases w:val="六级 1） Char,十号线6 Char,6 Char,Sub Heading Char,H6 Char,Sub Heading1 Char,Sub Heading2 Char,Sub Heading3 Char,Sub Heading4 Char,Sub Heading5 Char,Sub Heading6 Char,H61 Char,Sub Heading7 Char,H62 Char,Sub Heading8 Char,Sub Heading9 Char,H63 Char"/>
    <w:qFormat/>
    <w:rsid w:val="002E1D37"/>
    <w:rPr>
      <w:rFonts w:cs="Times New Roman"/>
      <w:kern w:val="2"/>
      <w:sz w:val="24"/>
      <w:szCs w:val="24"/>
    </w:rPr>
  </w:style>
  <w:style w:type="character" w:customStyle="1" w:styleId="7Char">
    <w:name w:val="标题 7 Char"/>
    <w:aliases w:val="七级 A Char,第六层条 Char,letter list Char,PIM 7 Char,不用 Char,Legal Level 1.1. Char,Level 1.1 Char,H TIMES1 Char,L7 Char,第六层条1 Char,letter list1 Char,PIM 71 Char,不用1 Char,Legal Level 1.1.1 Char,Level 1.11 Char,H TIMES11 Char,L71 Char,-&gt;a) Char"/>
    <w:qFormat/>
    <w:rsid w:val="002E1D37"/>
    <w:rPr>
      <w:rFonts w:ascii="Times New Roman" w:hAnsi="Times New Roman"/>
      <w:b/>
      <w:kern w:val="2"/>
      <w:sz w:val="21"/>
      <w:szCs w:val="24"/>
    </w:rPr>
  </w:style>
  <w:style w:type="character" w:customStyle="1" w:styleId="8Char">
    <w:name w:val="标题 8 Char"/>
    <w:aliases w:val="八级 a Char,liste[2] Char,第七层条 Char,不用8 Char,注意框体 Char,Legal Level 1.1.1. Char,第七层条1 Char,不用81 Char,注意框体1 Char,Legal Level 1.1.1.1 Char,Legal Level 1.1.1.2 Char,(use for figures) Char,(figures) Char,Legal Level 1.1.1.3 Char,(figures)1 Char"/>
    <w:qFormat/>
    <w:rsid w:val="002E1D37"/>
    <w:rPr>
      <w:rFonts w:eastAsia="宋体"/>
      <w:kern w:val="2"/>
      <w:sz w:val="21"/>
      <w:szCs w:val="24"/>
      <w:lang w:val="en-US" w:eastAsia="zh-CN" w:bidi="ar-SA"/>
    </w:rPr>
  </w:style>
  <w:style w:type="character" w:customStyle="1" w:styleId="9Char">
    <w:name w:val="标题 9 Char"/>
    <w:aliases w:val="表格文字_R4 Char,liste[3] Char,table Char,Appendix Titre 4 Char,Appendix 3 Char,liste[3]1 Char,liste[3]2 Char,liste[3]3 Char,liste[3]4 Char,liste[3]5 Char,liste[3]6 Char,liste[3]7 Char,liste[3]11 Char,liste[3]21 Char,liste[3]31 Char,liste[3]8 Char"/>
    <w:qFormat/>
    <w:rsid w:val="002E1D37"/>
    <w:rPr>
      <w:rFonts w:eastAsia="宋体"/>
      <w:kern w:val="2"/>
      <w:sz w:val="21"/>
      <w:szCs w:val="24"/>
      <w:lang w:val="en-US" w:eastAsia="zh-CN" w:bidi="ar-SA"/>
    </w:rPr>
  </w:style>
  <w:style w:type="character" w:customStyle="1" w:styleId="3Char0">
    <w:name w:val="正文文本缩进 3 Char"/>
    <w:qFormat/>
    <w:rsid w:val="002E1D37"/>
    <w:rPr>
      <w:rFonts w:ascii="Times New Roman" w:hAnsi="Times New Roman"/>
      <w:kern w:val="2"/>
      <w:sz w:val="24"/>
      <w:szCs w:val="24"/>
    </w:rPr>
  </w:style>
  <w:style w:type="character" w:customStyle="1" w:styleId="Charc">
    <w:name w:val="日期 Char"/>
    <w:qFormat/>
    <w:rsid w:val="002E1D37"/>
    <w:rPr>
      <w:rFonts w:ascii="Times New Roman" w:hAnsi="Times New Roman"/>
      <w:kern w:val="2"/>
      <w:sz w:val="28"/>
    </w:rPr>
  </w:style>
  <w:style w:type="character" w:customStyle="1" w:styleId="Chard">
    <w:name w:val="正文缩进 Char"/>
    <w:qFormat/>
    <w:rsid w:val="002E1D37"/>
    <w:rPr>
      <w:rFonts w:ascii="Times New Roman" w:hAnsi="Times New Roman"/>
      <w:kern w:val="2"/>
      <w:sz w:val="21"/>
      <w:szCs w:val="24"/>
    </w:rPr>
  </w:style>
  <w:style w:type="character" w:customStyle="1" w:styleId="Chare">
    <w:name w:val="正文文本 Char"/>
    <w:qFormat/>
    <w:rsid w:val="002E1D37"/>
    <w:rPr>
      <w:rFonts w:ascii="Times New Roman" w:hAnsi="Times New Roman"/>
      <w:sz w:val="28"/>
    </w:rPr>
  </w:style>
  <w:style w:type="character" w:customStyle="1" w:styleId="Charf">
    <w:name w:val="正文文本缩进 Char"/>
    <w:qFormat/>
    <w:rsid w:val="002E1D37"/>
    <w:rPr>
      <w:rFonts w:ascii="Times New Roman" w:hAnsi="Times New Roman"/>
      <w:kern w:val="2"/>
      <w:sz w:val="28"/>
    </w:rPr>
  </w:style>
  <w:style w:type="character" w:customStyle="1" w:styleId="2Char1">
    <w:name w:val="正文文本缩进 2 Char"/>
    <w:qFormat/>
    <w:rsid w:val="002E1D37"/>
    <w:rPr>
      <w:rFonts w:ascii="Times New Roman" w:hAnsi="Times New Roman"/>
      <w:kern w:val="2"/>
      <w:sz w:val="28"/>
    </w:rPr>
  </w:style>
  <w:style w:type="character" w:customStyle="1" w:styleId="Charf0">
    <w:name w:val="标题 Char"/>
    <w:qFormat/>
    <w:rsid w:val="002E1D37"/>
    <w:rPr>
      <w:rFonts w:ascii="Times New Roman" w:hAnsi="Times New Roman" w:cs="Times New Roman"/>
      <w:b/>
      <w:sz w:val="28"/>
    </w:rPr>
  </w:style>
  <w:style w:type="character" w:customStyle="1" w:styleId="2Char2">
    <w:name w:val="正文文本 2 Char"/>
    <w:qFormat/>
    <w:rsid w:val="002E1D37"/>
    <w:rPr>
      <w:rFonts w:ascii="宋体" w:hAnsi="Tms Rmn"/>
      <w:sz w:val="21"/>
    </w:rPr>
  </w:style>
  <w:style w:type="character" w:customStyle="1" w:styleId="Charf1">
    <w:name w:val="正文首行缩进 Char"/>
    <w:link w:val="1f7"/>
    <w:semiHidden/>
    <w:qFormat/>
    <w:rsid w:val="002E1D37"/>
    <w:rPr>
      <w:rFonts w:ascii="Times New Roman" w:hAnsi="Times New Roman"/>
      <w:kern w:val="2"/>
      <w:sz w:val="28"/>
    </w:rPr>
  </w:style>
  <w:style w:type="character" w:customStyle="1" w:styleId="3Char1">
    <w:name w:val="正文文本 3 Char"/>
    <w:qFormat/>
    <w:rsid w:val="002E1D37"/>
    <w:rPr>
      <w:rFonts w:ascii="宋体" w:hAnsi="Times New Roman"/>
      <w:sz w:val="24"/>
    </w:rPr>
  </w:style>
  <w:style w:type="character" w:customStyle="1" w:styleId="2Char">
    <w:name w:val="正文首行缩进 2 Char"/>
    <w:link w:val="100"/>
    <w:qFormat/>
    <w:rsid w:val="002E1D37"/>
    <w:rPr>
      <w:rFonts w:ascii="Times New Roman" w:hAnsi="Times New Roman"/>
      <w:kern w:val="2"/>
      <w:sz w:val="24"/>
    </w:rPr>
  </w:style>
  <w:style w:type="numbering" w:customStyle="1" w:styleId="52">
    <w:name w:val="无列表5"/>
    <w:next w:val="af"/>
    <w:uiPriority w:val="99"/>
    <w:semiHidden/>
    <w:unhideWhenUsed/>
    <w:rsid w:val="006B2422"/>
  </w:style>
  <w:style w:type="paragraph" w:styleId="afffffc">
    <w:name w:val="macro"/>
    <w:link w:val="afffffd"/>
    <w:semiHidden/>
    <w:qFormat/>
    <w:rsid w:val="006B242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d">
    <w:name w:val="宏文本 字符"/>
    <w:basedOn w:val="ad"/>
    <w:link w:val="afffffc"/>
    <w:semiHidden/>
    <w:qFormat/>
    <w:rsid w:val="006B2422"/>
    <w:rPr>
      <w:rFonts w:ascii="Courier New" w:hAnsi="Courier New" w:cs="Courier New"/>
      <w:kern w:val="2"/>
      <w:sz w:val="24"/>
      <w:szCs w:val="24"/>
    </w:rPr>
  </w:style>
  <w:style w:type="paragraph" w:styleId="afffffe">
    <w:name w:val="table of authorities"/>
    <w:basedOn w:val="ac"/>
    <w:next w:val="ac"/>
    <w:semiHidden/>
    <w:qFormat/>
    <w:rsid w:val="006B2422"/>
    <w:pPr>
      <w:spacing w:line="480" w:lineRule="exact"/>
      <w:ind w:leftChars="200" w:left="420"/>
    </w:pPr>
    <w:rPr>
      <w:rFonts w:ascii="Times New Roman" w:hAnsi="Times New Roman" w:cs="Times New Roman"/>
      <w:szCs w:val="24"/>
    </w:rPr>
  </w:style>
  <w:style w:type="paragraph" w:styleId="81">
    <w:name w:val="index 8"/>
    <w:basedOn w:val="ac"/>
    <w:next w:val="ac"/>
    <w:semiHidden/>
    <w:qFormat/>
    <w:rsid w:val="006B2422"/>
    <w:pPr>
      <w:spacing w:line="480" w:lineRule="exact"/>
      <w:ind w:leftChars="1400" w:left="1400"/>
    </w:pPr>
    <w:rPr>
      <w:rFonts w:ascii="Times New Roman" w:hAnsi="Times New Roman" w:cs="Times New Roman"/>
      <w:szCs w:val="24"/>
    </w:rPr>
  </w:style>
  <w:style w:type="paragraph" w:styleId="53">
    <w:name w:val="index 5"/>
    <w:basedOn w:val="ac"/>
    <w:next w:val="ac"/>
    <w:semiHidden/>
    <w:qFormat/>
    <w:rsid w:val="006B2422"/>
    <w:pPr>
      <w:spacing w:line="480" w:lineRule="exact"/>
      <w:ind w:leftChars="800" w:left="800"/>
    </w:pPr>
    <w:rPr>
      <w:rFonts w:ascii="Times New Roman" w:hAnsi="Times New Roman" w:cs="Times New Roman"/>
      <w:szCs w:val="24"/>
    </w:rPr>
  </w:style>
  <w:style w:type="paragraph" w:styleId="affffff">
    <w:name w:val="toa heading"/>
    <w:basedOn w:val="ac"/>
    <w:next w:val="ac"/>
    <w:semiHidden/>
    <w:qFormat/>
    <w:rsid w:val="006B2422"/>
    <w:pPr>
      <w:spacing w:before="120" w:line="480" w:lineRule="exact"/>
    </w:pPr>
    <w:rPr>
      <w:rFonts w:ascii="Arial" w:hAnsi="Arial" w:cs="Arial"/>
      <w:szCs w:val="24"/>
    </w:rPr>
  </w:style>
  <w:style w:type="paragraph" w:styleId="61">
    <w:name w:val="index 6"/>
    <w:basedOn w:val="ac"/>
    <w:next w:val="ac"/>
    <w:semiHidden/>
    <w:qFormat/>
    <w:rsid w:val="006B2422"/>
    <w:pPr>
      <w:spacing w:line="480" w:lineRule="exact"/>
      <w:ind w:leftChars="1000" w:left="1000"/>
    </w:pPr>
    <w:rPr>
      <w:rFonts w:ascii="Times New Roman" w:hAnsi="Times New Roman" w:cs="Times New Roman"/>
      <w:szCs w:val="24"/>
    </w:rPr>
  </w:style>
  <w:style w:type="paragraph" w:styleId="46">
    <w:name w:val="index 4"/>
    <w:basedOn w:val="ac"/>
    <w:next w:val="ac"/>
    <w:semiHidden/>
    <w:qFormat/>
    <w:rsid w:val="006B2422"/>
    <w:pPr>
      <w:spacing w:line="480" w:lineRule="exact"/>
      <w:ind w:leftChars="600" w:left="600"/>
    </w:pPr>
    <w:rPr>
      <w:rFonts w:ascii="Times New Roman" w:hAnsi="Times New Roman" w:cs="Times New Roman"/>
      <w:szCs w:val="24"/>
    </w:rPr>
  </w:style>
  <w:style w:type="paragraph" w:styleId="3f0">
    <w:name w:val="index 3"/>
    <w:basedOn w:val="ac"/>
    <w:next w:val="ac"/>
    <w:semiHidden/>
    <w:qFormat/>
    <w:rsid w:val="006B2422"/>
    <w:pPr>
      <w:spacing w:line="480" w:lineRule="exact"/>
      <w:ind w:leftChars="400" w:left="400"/>
    </w:pPr>
    <w:rPr>
      <w:rFonts w:ascii="Times New Roman" w:hAnsi="Times New Roman" w:cs="Times New Roman"/>
      <w:szCs w:val="24"/>
    </w:rPr>
  </w:style>
  <w:style w:type="paragraph" w:styleId="affffff0">
    <w:name w:val="endnote text"/>
    <w:basedOn w:val="ac"/>
    <w:link w:val="affffff1"/>
    <w:semiHidden/>
    <w:qFormat/>
    <w:rsid w:val="006B2422"/>
    <w:pPr>
      <w:snapToGrid w:val="0"/>
      <w:spacing w:line="480" w:lineRule="exact"/>
      <w:jc w:val="left"/>
    </w:pPr>
    <w:rPr>
      <w:rFonts w:ascii="Times New Roman" w:hAnsi="Times New Roman" w:cs="Times New Roman"/>
      <w:szCs w:val="24"/>
    </w:rPr>
  </w:style>
  <w:style w:type="character" w:customStyle="1" w:styleId="affffff1">
    <w:name w:val="尾注文本 字符"/>
    <w:basedOn w:val="ad"/>
    <w:link w:val="affffff0"/>
    <w:semiHidden/>
    <w:qFormat/>
    <w:rsid w:val="006B2422"/>
    <w:rPr>
      <w:rFonts w:ascii="Times New Roman" w:hAnsi="Times New Roman" w:cs="Times New Roman"/>
      <w:kern w:val="2"/>
      <w:sz w:val="24"/>
      <w:szCs w:val="24"/>
    </w:rPr>
  </w:style>
  <w:style w:type="paragraph" w:styleId="1f8">
    <w:name w:val="index 1"/>
    <w:basedOn w:val="ac"/>
    <w:next w:val="ac"/>
    <w:autoRedefine/>
    <w:unhideWhenUsed/>
    <w:qFormat/>
    <w:rsid w:val="006B2422"/>
  </w:style>
  <w:style w:type="paragraph" w:styleId="affffff2">
    <w:name w:val="index heading"/>
    <w:basedOn w:val="ac"/>
    <w:next w:val="1f8"/>
    <w:semiHidden/>
    <w:qFormat/>
    <w:rsid w:val="006B2422"/>
    <w:pPr>
      <w:spacing w:line="480" w:lineRule="exact"/>
    </w:pPr>
    <w:rPr>
      <w:rFonts w:ascii="Arial" w:hAnsi="Arial" w:cs="Arial"/>
      <w:b/>
      <w:bCs/>
      <w:szCs w:val="24"/>
    </w:rPr>
  </w:style>
  <w:style w:type="paragraph" w:styleId="affffff3">
    <w:name w:val="footnote text"/>
    <w:basedOn w:val="ac"/>
    <w:link w:val="affffff4"/>
    <w:semiHidden/>
    <w:qFormat/>
    <w:rsid w:val="006B2422"/>
    <w:pPr>
      <w:snapToGrid w:val="0"/>
      <w:spacing w:line="480" w:lineRule="exact"/>
      <w:jc w:val="left"/>
    </w:pPr>
    <w:rPr>
      <w:rFonts w:ascii="Times New Roman" w:hAnsi="Times New Roman" w:cs="Times New Roman"/>
      <w:sz w:val="18"/>
      <w:szCs w:val="18"/>
    </w:rPr>
  </w:style>
  <w:style w:type="character" w:customStyle="1" w:styleId="affffff4">
    <w:name w:val="脚注文本 字符"/>
    <w:basedOn w:val="ad"/>
    <w:link w:val="affffff3"/>
    <w:semiHidden/>
    <w:qFormat/>
    <w:rsid w:val="006B2422"/>
    <w:rPr>
      <w:rFonts w:ascii="Times New Roman" w:hAnsi="Times New Roman" w:cs="Times New Roman"/>
      <w:kern w:val="2"/>
      <w:sz w:val="18"/>
      <w:szCs w:val="18"/>
    </w:rPr>
  </w:style>
  <w:style w:type="paragraph" w:styleId="71">
    <w:name w:val="index 7"/>
    <w:basedOn w:val="ac"/>
    <w:next w:val="ac"/>
    <w:semiHidden/>
    <w:qFormat/>
    <w:rsid w:val="006B2422"/>
    <w:pPr>
      <w:spacing w:line="480" w:lineRule="exact"/>
      <w:ind w:leftChars="1200" w:left="1200"/>
    </w:pPr>
    <w:rPr>
      <w:rFonts w:ascii="Times New Roman" w:hAnsi="Times New Roman" w:cs="Times New Roman"/>
      <w:szCs w:val="24"/>
    </w:rPr>
  </w:style>
  <w:style w:type="paragraph" w:styleId="91">
    <w:name w:val="index 9"/>
    <w:basedOn w:val="ac"/>
    <w:next w:val="ac"/>
    <w:semiHidden/>
    <w:qFormat/>
    <w:rsid w:val="006B2422"/>
    <w:pPr>
      <w:spacing w:line="480" w:lineRule="exact"/>
      <w:ind w:leftChars="1600" w:left="1600"/>
    </w:pPr>
    <w:rPr>
      <w:rFonts w:ascii="Times New Roman" w:hAnsi="Times New Roman" w:cs="Times New Roman"/>
      <w:szCs w:val="24"/>
    </w:rPr>
  </w:style>
  <w:style w:type="paragraph" w:styleId="affffff5">
    <w:name w:val="table of figures"/>
    <w:basedOn w:val="ac"/>
    <w:next w:val="ac"/>
    <w:semiHidden/>
    <w:qFormat/>
    <w:rsid w:val="006B2422"/>
    <w:pPr>
      <w:spacing w:line="480" w:lineRule="exact"/>
      <w:ind w:leftChars="200" w:left="200" w:hangingChars="200" w:hanging="200"/>
    </w:pPr>
    <w:rPr>
      <w:rFonts w:ascii="Times New Roman" w:hAnsi="Times New Roman" w:cs="Times New Roman"/>
      <w:szCs w:val="24"/>
    </w:rPr>
  </w:style>
  <w:style w:type="paragraph" w:styleId="2f2">
    <w:name w:val="index 2"/>
    <w:basedOn w:val="ac"/>
    <w:next w:val="ac"/>
    <w:semiHidden/>
    <w:qFormat/>
    <w:rsid w:val="006B2422"/>
    <w:pPr>
      <w:spacing w:line="480" w:lineRule="exact"/>
      <w:ind w:leftChars="200" w:left="200"/>
    </w:pPr>
    <w:rPr>
      <w:rFonts w:ascii="Times New Roman" w:hAnsi="Times New Roman" w:cs="Times New Roman"/>
      <w:szCs w:val="24"/>
    </w:rPr>
  </w:style>
  <w:style w:type="table" w:customStyle="1" w:styleId="3f1">
    <w:name w:val="网格型3"/>
    <w:basedOn w:val="ae"/>
    <w:next w:val="af6"/>
    <w:uiPriority w:val="39"/>
    <w:qFormat/>
    <w:rsid w:val="006B2422"/>
    <w:pPr>
      <w:widowControl w:val="0"/>
      <w:jc w:val="center"/>
    </w:pPr>
    <w:rPr>
      <w:rFonts w:ascii="Times New Roman" w:hAnsi="Times New Roman" w:cs="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affffff6">
    <w:name w:val="应答文本"/>
    <w:basedOn w:val="ac"/>
    <w:link w:val="CharChar3"/>
    <w:qFormat/>
    <w:rsid w:val="006B2422"/>
    <w:pPr>
      <w:adjustRightInd w:val="0"/>
      <w:spacing w:line="400" w:lineRule="exact"/>
      <w:ind w:firstLineChars="200" w:firstLine="200"/>
      <w:jc w:val="left"/>
    </w:pPr>
    <w:rPr>
      <w:rFonts w:ascii="Arial" w:hAnsi="Arial" w:cs="Times New Roman"/>
      <w:spacing w:val="4"/>
      <w:kern w:val="0"/>
      <w:sz w:val="21"/>
    </w:rPr>
  </w:style>
  <w:style w:type="character" w:customStyle="1" w:styleId="CharChar3">
    <w:name w:val="应答文本 Char Char"/>
    <w:link w:val="affffff6"/>
    <w:qFormat/>
    <w:rsid w:val="006B2422"/>
    <w:rPr>
      <w:rFonts w:ascii="Arial" w:hAnsi="Arial" w:cs="Times New Roman"/>
      <w:spacing w:val="4"/>
      <w:sz w:val="21"/>
      <w:szCs w:val="21"/>
    </w:rPr>
  </w:style>
  <w:style w:type="paragraph" w:customStyle="1" w:styleId="10">
    <w:name w:val="列表框1"/>
    <w:basedOn w:val="affffff6"/>
    <w:next w:val="affffff6"/>
    <w:link w:val="1CharChar"/>
    <w:qFormat/>
    <w:rsid w:val="006B2422"/>
    <w:pPr>
      <w:numPr>
        <w:numId w:val="25"/>
      </w:numPr>
      <w:tabs>
        <w:tab w:val="clear" w:pos="420"/>
      </w:tabs>
      <w:snapToGrid w:val="0"/>
      <w:ind w:leftChars="300" w:left="1134" w:hangingChars="190" w:hanging="414"/>
    </w:pPr>
  </w:style>
  <w:style w:type="character" w:customStyle="1" w:styleId="1CharChar">
    <w:name w:val="列表框1 Char Char"/>
    <w:link w:val="10"/>
    <w:qFormat/>
    <w:rsid w:val="006B2422"/>
    <w:rPr>
      <w:rFonts w:ascii="Arial" w:hAnsi="Arial" w:cs="Times New Roman"/>
      <w:spacing w:val="4"/>
      <w:sz w:val="21"/>
      <w:szCs w:val="21"/>
    </w:rPr>
  </w:style>
  <w:style w:type="paragraph" w:customStyle="1" w:styleId="2f3">
    <w:name w:val="样式 首行缩进:  2 字符"/>
    <w:basedOn w:val="ac"/>
    <w:link w:val="2Char10"/>
    <w:qFormat/>
    <w:rsid w:val="006B2422"/>
    <w:pPr>
      <w:spacing w:line="480" w:lineRule="exact"/>
      <w:ind w:firstLineChars="200" w:firstLine="480"/>
    </w:pPr>
    <w:rPr>
      <w:rFonts w:ascii="Times New Roman" w:hAnsi="Times New Roman" w:cs="宋体"/>
      <w:color w:val="0000FF"/>
      <w:szCs w:val="20"/>
    </w:rPr>
  </w:style>
  <w:style w:type="paragraph" w:customStyle="1" w:styleId="affffff7">
    <w:name w:val="表格文字图表文字"/>
    <w:basedOn w:val="ac"/>
    <w:qFormat/>
    <w:rsid w:val="006B2422"/>
    <w:pPr>
      <w:snapToGrid w:val="0"/>
      <w:spacing w:line="240" w:lineRule="auto"/>
      <w:jc w:val="center"/>
    </w:pPr>
    <w:rPr>
      <w:rFonts w:ascii="Times New Roman" w:hAnsi="Times New Roman" w:cs="宋体"/>
      <w:color w:val="C00000"/>
      <w:sz w:val="21"/>
      <w:szCs w:val="20"/>
    </w:rPr>
  </w:style>
  <w:style w:type="character" w:customStyle="1" w:styleId="2Char10">
    <w:name w:val="样式 首行缩进:  2 字符 Char1"/>
    <w:link w:val="2f3"/>
    <w:qFormat/>
    <w:rsid w:val="006B2422"/>
    <w:rPr>
      <w:rFonts w:ascii="Times New Roman" w:hAnsi="Times New Roman" w:cs="宋体"/>
      <w:color w:val="0000FF"/>
      <w:kern w:val="2"/>
      <w:sz w:val="24"/>
    </w:rPr>
  </w:style>
  <w:style w:type="character" w:customStyle="1" w:styleId="710">
    <w:name w:val="标题 7 字符1"/>
    <w:qFormat/>
    <w:rsid w:val="006B2422"/>
    <w:rPr>
      <w:rFonts w:ascii="Times New Roman" w:eastAsia="宋体" w:hAnsi="Times New Roman" w:cs="Times New Roman"/>
      <w:bCs/>
      <w:color w:val="E36C0A"/>
      <w:sz w:val="24"/>
      <w:szCs w:val="24"/>
    </w:rPr>
  </w:style>
  <w:style w:type="paragraph" w:customStyle="1" w:styleId="affffff8">
    <w:name w:val="表格文字"/>
    <w:basedOn w:val="affffff7"/>
    <w:qFormat/>
    <w:rsid w:val="006B2422"/>
  </w:style>
  <w:style w:type="paragraph" w:customStyle="1" w:styleId="m14">
    <w:name w:val="正文段落 m14"/>
    <w:qFormat/>
    <w:rsid w:val="006B2422"/>
    <w:pPr>
      <w:adjustRightInd w:val="0"/>
      <w:snapToGrid w:val="0"/>
      <w:spacing w:beforeLines="50" w:line="360" w:lineRule="auto"/>
      <w:ind w:firstLineChars="200" w:firstLine="480"/>
    </w:pPr>
    <w:rPr>
      <w:rFonts w:ascii="Times New Roman" w:hAnsi="Times New Roman" w:cs="Times New Roman"/>
      <w:sz w:val="24"/>
    </w:rPr>
  </w:style>
  <w:style w:type="paragraph" w:customStyle="1" w:styleId="CharCharCharCharCharCharCharCharChar0">
    <w:name w:val="Char Char Char Char Char Char Char Char Char"/>
    <w:basedOn w:val="ac"/>
    <w:qFormat/>
    <w:rsid w:val="006B2422"/>
    <w:pPr>
      <w:widowControl/>
      <w:spacing w:after="160" w:line="240" w:lineRule="exact"/>
      <w:jc w:val="left"/>
    </w:pPr>
    <w:rPr>
      <w:rFonts w:ascii="Times New Roman" w:hAnsi="Times New Roman" w:cs="Times New Roman"/>
      <w:sz w:val="28"/>
      <w:szCs w:val="28"/>
    </w:rPr>
  </w:style>
  <w:style w:type="character" w:customStyle="1" w:styleId="1f9">
    <w:name w:val="正文文本 字符1"/>
    <w:qFormat/>
    <w:rsid w:val="006B2422"/>
    <w:rPr>
      <w:rFonts w:ascii="Times New Roman" w:eastAsia="宋体" w:hAnsi="Times New Roman" w:cs="Times New Roman"/>
      <w:sz w:val="24"/>
      <w:szCs w:val="24"/>
    </w:rPr>
  </w:style>
  <w:style w:type="character" w:customStyle="1" w:styleId="1fa">
    <w:name w:val="正文文本首行缩进 字符1"/>
    <w:qFormat/>
    <w:rsid w:val="006B2422"/>
    <w:rPr>
      <w:rFonts w:ascii="Calibri" w:eastAsia="仿宋_GB2312" w:hAnsi="Calibri" w:cs="Times New Roman"/>
      <w:sz w:val="24"/>
    </w:rPr>
  </w:style>
  <w:style w:type="paragraph" w:customStyle="1" w:styleId="affffff9">
    <w:name w:val="正常文本"/>
    <w:basedOn w:val="ac"/>
    <w:link w:val="Charf2"/>
    <w:qFormat/>
    <w:rsid w:val="006B2422"/>
    <w:pPr>
      <w:adjustRightInd w:val="0"/>
      <w:spacing w:afterLines="50" w:line="320" w:lineRule="exact"/>
      <w:ind w:leftChars="300" w:left="600" w:firstLineChars="200" w:firstLine="460"/>
    </w:pPr>
    <w:rPr>
      <w:rFonts w:ascii="Arial" w:eastAsia="楷体_GB2312" w:hAnsi="Arial" w:cs="宋体"/>
      <w:spacing w:val="10"/>
      <w:kern w:val="0"/>
      <w:sz w:val="21"/>
      <w:szCs w:val="20"/>
    </w:rPr>
  </w:style>
  <w:style w:type="character" w:customStyle="1" w:styleId="Charf2">
    <w:name w:val="正常文本 Char"/>
    <w:link w:val="affffff9"/>
    <w:qFormat/>
    <w:rsid w:val="006B2422"/>
    <w:rPr>
      <w:rFonts w:ascii="Arial" w:eastAsia="楷体_GB2312" w:hAnsi="Arial" w:cs="宋体"/>
      <w:spacing w:val="10"/>
      <w:sz w:val="21"/>
    </w:rPr>
  </w:style>
  <w:style w:type="paragraph" w:customStyle="1" w:styleId="15">
    <w:name w:val="正文缩进1级"/>
    <w:basedOn w:val="ac"/>
    <w:qFormat/>
    <w:rsid w:val="006B2422"/>
    <w:pPr>
      <w:numPr>
        <w:numId w:val="26"/>
      </w:numPr>
      <w:snapToGrid w:val="0"/>
      <w:spacing w:afterLines="30" w:after="72"/>
    </w:pPr>
    <w:rPr>
      <w:rFonts w:ascii="FuturaA Bk BT" w:hAnsi="FuturaA Bk BT" w:cs="Times New Roman"/>
      <w:sz w:val="21"/>
      <w:szCs w:val="24"/>
    </w:rPr>
  </w:style>
  <w:style w:type="paragraph" w:customStyle="1" w:styleId="2f4">
    <w:name w:val="样式 样式 首行缩进:  2 字符 + 宋体"/>
    <w:basedOn w:val="2f3"/>
    <w:link w:val="2Char3"/>
    <w:qFormat/>
    <w:rsid w:val="006B2422"/>
    <w:rPr>
      <w:rFonts w:ascii="宋体" w:hAnsi="宋体"/>
      <w:color w:val="auto"/>
    </w:rPr>
  </w:style>
  <w:style w:type="character" w:customStyle="1" w:styleId="2Char3">
    <w:name w:val="样式 样式 首行缩进:  2 字符 + 宋体 Char"/>
    <w:link w:val="2f4"/>
    <w:qFormat/>
    <w:rsid w:val="006B2422"/>
    <w:rPr>
      <w:rFonts w:ascii="宋体" w:hAnsi="宋体" w:cs="宋体"/>
      <w:kern w:val="2"/>
      <w:sz w:val="24"/>
    </w:rPr>
  </w:style>
  <w:style w:type="paragraph" w:customStyle="1" w:styleId="affffffa">
    <w:name w:val="表内"/>
    <w:basedOn w:val="ac"/>
    <w:qFormat/>
    <w:rsid w:val="006B2422"/>
    <w:pPr>
      <w:autoSpaceDE w:val="0"/>
      <w:autoSpaceDN w:val="0"/>
      <w:adjustRightInd w:val="0"/>
      <w:snapToGrid w:val="0"/>
      <w:spacing w:line="240" w:lineRule="auto"/>
      <w:ind w:left="-53"/>
      <w:jc w:val="center"/>
    </w:pPr>
    <w:rPr>
      <w:rFonts w:ascii="Times New Roman" w:hAnsi="Times New Roman" w:cs="Times New Roman"/>
      <w:sz w:val="21"/>
      <w:szCs w:val="20"/>
    </w:rPr>
  </w:style>
  <w:style w:type="paragraph" w:customStyle="1" w:styleId="affffffb">
    <w:name w:val="样式 表格文字图表文字 + 宋体"/>
    <w:basedOn w:val="affffff7"/>
    <w:qFormat/>
    <w:rsid w:val="006B2422"/>
    <w:rPr>
      <w:rFonts w:ascii="宋体" w:hAnsi="宋体"/>
      <w:color w:val="auto"/>
    </w:rPr>
  </w:style>
  <w:style w:type="paragraph" w:customStyle="1" w:styleId="ParaCharCharCharChar">
    <w:name w:val="默认段落字体 Para Char Char Char Char"/>
    <w:basedOn w:val="ac"/>
    <w:qFormat/>
    <w:rsid w:val="006B2422"/>
    <w:pPr>
      <w:spacing w:line="240" w:lineRule="auto"/>
    </w:pPr>
    <w:rPr>
      <w:rFonts w:ascii="Times New Roman" w:hAnsi="Times New Roman" w:cs="Times New Roman"/>
      <w:sz w:val="21"/>
    </w:rPr>
  </w:style>
  <w:style w:type="paragraph" w:customStyle="1" w:styleId="72">
    <w:name w:val="7"/>
    <w:basedOn w:val="ac"/>
    <w:next w:val="afc"/>
    <w:link w:val="7Char0"/>
    <w:qFormat/>
    <w:rsid w:val="006B2422"/>
    <w:pPr>
      <w:spacing w:line="240" w:lineRule="auto"/>
    </w:pPr>
    <w:rPr>
      <w:rFonts w:ascii="Times New Roman" w:hAnsi="Times New Roman" w:cs="Times New Roman"/>
      <w:sz w:val="28"/>
      <w:szCs w:val="28"/>
      <w:lang w:val="zh-CN"/>
    </w:rPr>
  </w:style>
  <w:style w:type="character" w:customStyle="1" w:styleId="7Char0">
    <w:name w:val="7 Char"/>
    <w:link w:val="72"/>
    <w:qFormat/>
    <w:rsid w:val="006B2422"/>
    <w:rPr>
      <w:rFonts w:ascii="Times New Roman" w:hAnsi="Times New Roman" w:cs="Times New Roman"/>
      <w:kern w:val="2"/>
      <w:sz w:val="28"/>
      <w:szCs w:val="28"/>
      <w:lang w:val="zh-CN"/>
    </w:rPr>
  </w:style>
  <w:style w:type="character" w:customStyle="1" w:styleId="1fb">
    <w:name w:val="批注文字 字符1"/>
    <w:uiPriority w:val="99"/>
    <w:qFormat/>
    <w:rsid w:val="006B2422"/>
    <w:rPr>
      <w:rFonts w:ascii="Times New Roman" w:eastAsia="宋体" w:hAnsi="Times New Roman" w:cs="Times New Roman"/>
      <w:sz w:val="24"/>
      <w:szCs w:val="24"/>
    </w:rPr>
  </w:style>
  <w:style w:type="paragraph" w:customStyle="1" w:styleId="CASCO1">
    <w:name w:val="CASCO 1级标题"/>
    <w:basedOn w:val="ac"/>
    <w:qFormat/>
    <w:rsid w:val="006B2422"/>
    <w:pPr>
      <w:tabs>
        <w:tab w:val="left" w:pos="360"/>
      </w:tabs>
      <w:spacing w:before="360" w:line="240" w:lineRule="auto"/>
      <w:jc w:val="left"/>
      <w:outlineLvl w:val="0"/>
    </w:pPr>
    <w:rPr>
      <w:rFonts w:ascii="Myriad Pro Black" w:eastAsia="汉仪大黑简" w:hAnsi="Myriad Pro Black" w:cs="Arial"/>
      <w:caps/>
      <w:color w:val="4D4D4D"/>
      <w:kern w:val="0"/>
      <w:sz w:val="28"/>
      <w:szCs w:val="24"/>
      <w:lang w:val="en-GB" w:eastAsia="fr-FR"/>
    </w:rPr>
  </w:style>
  <w:style w:type="paragraph" w:customStyle="1" w:styleId="affffffc">
    <w:name w:val="投标正文"/>
    <w:basedOn w:val="ac"/>
    <w:link w:val="Charf3"/>
    <w:qFormat/>
    <w:rsid w:val="006B2422"/>
    <w:pPr>
      <w:snapToGrid w:val="0"/>
      <w:spacing w:afterLines="20" w:after="20"/>
      <w:ind w:firstLineChars="200" w:firstLine="200"/>
    </w:pPr>
    <w:rPr>
      <w:rFonts w:ascii="Times New Roman" w:hAnsi="Times New Roman" w:cs="Times New Roman"/>
      <w:sz w:val="21"/>
      <w:szCs w:val="20"/>
      <w:lang w:val="zh-CN"/>
    </w:rPr>
  </w:style>
  <w:style w:type="character" w:customStyle="1" w:styleId="Charf3">
    <w:name w:val="投标正文 Char"/>
    <w:link w:val="affffffc"/>
    <w:qFormat/>
    <w:rsid w:val="006B2422"/>
    <w:rPr>
      <w:rFonts w:ascii="Times New Roman" w:hAnsi="Times New Roman" w:cs="Times New Roman"/>
      <w:kern w:val="2"/>
      <w:sz w:val="21"/>
      <w:lang w:val="zh-CN"/>
    </w:rPr>
  </w:style>
  <w:style w:type="paragraph" w:customStyle="1" w:styleId="affffffd">
    <w:name w:val="表格标题"/>
    <w:basedOn w:val="ac"/>
    <w:qFormat/>
    <w:locked/>
    <w:rsid w:val="006B2422"/>
    <w:pPr>
      <w:adjustRightInd w:val="0"/>
      <w:snapToGrid w:val="0"/>
      <w:spacing w:line="360" w:lineRule="exact"/>
      <w:jc w:val="center"/>
    </w:pPr>
    <w:rPr>
      <w:rFonts w:ascii="Times New Roman" w:hAnsi="Times New Roman" w:cs="Times New Roman"/>
      <w:b/>
      <w:kern w:val="0"/>
      <w:sz w:val="21"/>
      <w:szCs w:val="20"/>
    </w:rPr>
  </w:style>
  <w:style w:type="paragraph" w:customStyle="1" w:styleId="affffffe">
    <w:name w:val="说明书  正文"/>
    <w:basedOn w:val="ac"/>
    <w:link w:val="Charf4"/>
    <w:qFormat/>
    <w:locked/>
    <w:rsid w:val="006B2422"/>
    <w:pPr>
      <w:adjustRightInd w:val="0"/>
      <w:snapToGrid w:val="0"/>
      <w:spacing w:line="460" w:lineRule="exact"/>
      <w:ind w:firstLineChars="200" w:firstLine="200"/>
    </w:pPr>
    <w:rPr>
      <w:rFonts w:ascii="Times New Roman" w:hAnsi="Times New Roman" w:cs="宋体"/>
      <w:szCs w:val="20"/>
    </w:rPr>
  </w:style>
  <w:style w:type="character" w:customStyle="1" w:styleId="Charf4">
    <w:name w:val="说明书  正文 Char"/>
    <w:link w:val="affffffe"/>
    <w:qFormat/>
    <w:rsid w:val="006B2422"/>
    <w:rPr>
      <w:rFonts w:ascii="Times New Roman" w:hAnsi="Times New Roman" w:cs="宋体"/>
      <w:kern w:val="2"/>
      <w:sz w:val="24"/>
    </w:rPr>
  </w:style>
  <w:style w:type="paragraph" w:customStyle="1" w:styleId="afffffff">
    <w:name w:val="样式 黑色 两端对齐"/>
    <w:basedOn w:val="ac"/>
    <w:qFormat/>
    <w:rsid w:val="006B2422"/>
    <w:pPr>
      <w:adjustRightInd w:val="0"/>
      <w:snapToGrid w:val="0"/>
      <w:spacing w:line="500" w:lineRule="exact"/>
      <w:ind w:firstLineChars="300" w:firstLine="720"/>
    </w:pPr>
    <w:rPr>
      <w:rFonts w:ascii="Times New Roman" w:hAnsi="Times New Roman" w:cs="宋体"/>
      <w:snapToGrid w:val="0"/>
      <w:color w:val="000000"/>
      <w:kern w:val="24"/>
      <w:szCs w:val="20"/>
    </w:rPr>
  </w:style>
  <w:style w:type="paragraph" w:customStyle="1" w:styleId="afffffff0">
    <w:name w:val="模板正文"/>
    <w:basedOn w:val="ac"/>
    <w:qFormat/>
    <w:rsid w:val="006B2422"/>
    <w:pPr>
      <w:tabs>
        <w:tab w:val="left" w:pos="426"/>
      </w:tabs>
      <w:spacing w:line="360" w:lineRule="exact"/>
      <w:ind w:firstLineChars="200" w:firstLine="420"/>
    </w:pPr>
    <w:rPr>
      <w:rFonts w:ascii="Myriad Pro" w:eastAsia="汉仪中等线简" w:hAnsi="Myriad Pro" w:cs="Times New Roman"/>
      <w:sz w:val="21"/>
      <w:szCs w:val="24"/>
    </w:rPr>
  </w:style>
  <w:style w:type="character" w:customStyle="1" w:styleId="afffff0">
    <w:name w:val="列表段落 字符"/>
    <w:link w:val="afffff"/>
    <w:uiPriority w:val="34"/>
    <w:qFormat/>
    <w:rsid w:val="006B2422"/>
    <w:rPr>
      <w:rFonts w:ascii="Times New Roman" w:hAnsi="Times New Roman" w:cs="Times New Roman"/>
      <w:kern w:val="2"/>
      <w:sz w:val="21"/>
      <w:szCs w:val="24"/>
    </w:rPr>
  </w:style>
  <w:style w:type="paragraph" w:customStyle="1" w:styleId="TB17B">
    <w:name w:val="TB_17B条文表格－首行"/>
    <w:qFormat/>
    <w:rsid w:val="006B2422"/>
    <w:pPr>
      <w:keepNext/>
      <w:widowControl w:val="0"/>
      <w:snapToGrid w:val="0"/>
      <w:jc w:val="center"/>
    </w:pPr>
    <w:rPr>
      <w:rFonts w:ascii="Times New Roman" w:hAnsi="Times New Roman" w:cs="Times New Roman"/>
      <w:b/>
      <w:sz w:val="18"/>
      <w:szCs w:val="21"/>
    </w:rPr>
  </w:style>
  <w:style w:type="paragraph" w:customStyle="1" w:styleId="TB17A">
    <w:name w:val="TB_17A条文表格－名称"/>
    <w:qFormat/>
    <w:rsid w:val="006B2422"/>
    <w:pPr>
      <w:keepNext/>
      <w:widowControl w:val="0"/>
      <w:snapToGrid w:val="0"/>
      <w:spacing w:beforeLines="20" w:afterLines="20"/>
      <w:jc w:val="center"/>
    </w:pPr>
    <w:rPr>
      <w:rFonts w:ascii="Times New Roman" w:eastAsia="黑体" w:hAnsi="Times New Roman" w:cs="Times New Roman"/>
      <w:b/>
      <w:sz w:val="18"/>
      <w:szCs w:val="21"/>
    </w:rPr>
  </w:style>
  <w:style w:type="paragraph" w:customStyle="1" w:styleId="TB17C">
    <w:name w:val="TB_17C条文表格－普通行"/>
    <w:qFormat/>
    <w:rsid w:val="006B2422"/>
    <w:pPr>
      <w:widowControl w:val="0"/>
      <w:adjustRightInd w:val="0"/>
      <w:snapToGrid w:val="0"/>
      <w:jc w:val="center"/>
    </w:pPr>
    <w:rPr>
      <w:rFonts w:ascii="Times New Roman" w:hAnsi="Times New Roman" w:cs="Times New Roman"/>
      <w:b/>
      <w:sz w:val="18"/>
      <w:szCs w:val="21"/>
    </w:rPr>
  </w:style>
  <w:style w:type="paragraph" w:customStyle="1" w:styleId="TB15">
    <w:name w:val="TB_15条文的“注”"/>
    <w:qFormat/>
    <w:rsid w:val="006B2422"/>
    <w:pPr>
      <w:widowControl w:val="0"/>
      <w:snapToGrid w:val="0"/>
      <w:spacing w:line="300" w:lineRule="auto"/>
      <w:ind w:leftChars="100" w:left="100"/>
      <w:jc w:val="both"/>
    </w:pPr>
    <w:rPr>
      <w:rFonts w:ascii="Times New Roman" w:hAnsi="Times New Roman" w:cs="Times New Roman"/>
      <w:b/>
      <w:sz w:val="18"/>
      <w:szCs w:val="18"/>
    </w:rPr>
  </w:style>
  <w:style w:type="character" w:customStyle="1" w:styleId="311">
    <w:name w:val="正文文本缩进 3 字符1"/>
    <w:qFormat/>
    <w:rsid w:val="006B2422"/>
    <w:rPr>
      <w:rFonts w:ascii="Times New Roman" w:eastAsia="宋体" w:hAnsi="Times New Roman" w:cs="Times New Roman"/>
      <w:sz w:val="24"/>
      <w:szCs w:val="24"/>
      <w:lang w:val="zh-CN" w:eastAsia="zh-CN"/>
    </w:rPr>
  </w:style>
  <w:style w:type="character" w:customStyle="1" w:styleId="1fc">
    <w:name w:val="正文文本缩进 字符1"/>
    <w:qFormat/>
    <w:rsid w:val="006B2422"/>
    <w:rPr>
      <w:rFonts w:ascii="Times New Roman" w:eastAsia="宋体" w:hAnsi="Times New Roman" w:cs="Times New Roman"/>
      <w:sz w:val="28"/>
      <w:szCs w:val="20"/>
      <w:lang w:val="zh-CN" w:eastAsia="zh-CN"/>
    </w:rPr>
  </w:style>
  <w:style w:type="character" w:customStyle="1" w:styleId="213">
    <w:name w:val="正文文本缩进 2 字符1"/>
    <w:qFormat/>
    <w:rsid w:val="006B2422"/>
    <w:rPr>
      <w:rFonts w:ascii="Times New Roman" w:eastAsia="宋体" w:hAnsi="Times New Roman" w:cs="Times New Roman"/>
      <w:sz w:val="28"/>
      <w:szCs w:val="20"/>
      <w:lang w:val="zh-CN" w:eastAsia="zh-CN"/>
    </w:rPr>
  </w:style>
  <w:style w:type="character" w:customStyle="1" w:styleId="214">
    <w:name w:val="正文文本 2 字符1"/>
    <w:qFormat/>
    <w:rsid w:val="006B2422"/>
    <w:rPr>
      <w:rFonts w:ascii="宋体" w:eastAsia="宋体" w:hAnsi="Tms Rmn" w:cs="Times New Roman"/>
      <w:kern w:val="0"/>
      <w:szCs w:val="20"/>
      <w:lang w:val="zh-CN" w:eastAsia="zh-CN"/>
    </w:rPr>
  </w:style>
  <w:style w:type="character" w:customStyle="1" w:styleId="312">
    <w:name w:val="正文文本 3 字符1"/>
    <w:qFormat/>
    <w:rsid w:val="006B2422"/>
    <w:rPr>
      <w:rFonts w:ascii="宋体" w:eastAsia="宋体" w:hAnsi="Times New Roman" w:cs="Times New Roman"/>
      <w:kern w:val="0"/>
      <w:sz w:val="24"/>
      <w:szCs w:val="20"/>
      <w:lang w:val="zh-CN" w:eastAsia="zh-CN"/>
    </w:rPr>
  </w:style>
  <w:style w:type="paragraph" w:customStyle="1" w:styleId="Style236">
    <w:name w:val="_Style 236"/>
    <w:basedOn w:val="aff5"/>
    <w:next w:val="27"/>
    <w:qFormat/>
    <w:rsid w:val="006B2422"/>
    <w:pPr>
      <w:widowControl/>
      <w:adjustRightInd w:val="0"/>
      <w:snapToGrid w:val="0"/>
      <w:spacing w:after="120"/>
      <w:ind w:leftChars="200" w:left="420" w:firstLineChars="200" w:firstLine="420"/>
      <w:jc w:val="left"/>
    </w:pPr>
    <w:rPr>
      <w:rFonts w:eastAsiaTheme="minorEastAsia" w:cstheme="minorBidi"/>
      <w:sz w:val="24"/>
      <w:szCs w:val="22"/>
    </w:rPr>
  </w:style>
  <w:style w:type="character" w:customStyle="1" w:styleId="transsent">
    <w:name w:val="transsent"/>
    <w:basedOn w:val="ad"/>
    <w:qFormat/>
    <w:rsid w:val="006B2422"/>
  </w:style>
  <w:style w:type="paragraph" w:customStyle="1" w:styleId="2f5">
    <w:name w:val="修订2"/>
    <w:hidden/>
    <w:uiPriority w:val="99"/>
    <w:qFormat/>
    <w:rsid w:val="006B2422"/>
    <w:rPr>
      <w:rFonts w:asciiTheme="minorHAnsi" w:eastAsiaTheme="minorEastAsia" w:hAnsiTheme="minorHAnsi" w:cstheme="minorBidi"/>
      <w:kern w:val="2"/>
      <w:sz w:val="21"/>
      <w:szCs w:val="22"/>
    </w:rPr>
  </w:style>
  <w:style w:type="paragraph" w:customStyle="1" w:styleId="92">
    <w:name w:val="9"/>
    <w:basedOn w:val="ac"/>
    <w:next w:val="ac"/>
    <w:autoRedefine/>
    <w:rsid w:val="001A1CE1"/>
    <w:pPr>
      <w:spacing w:line="240" w:lineRule="auto"/>
      <w:ind w:leftChars="1600" w:left="3360"/>
    </w:pPr>
    <w:rPr>
      <w:rFonts w:ascii="Times New Roman" w:hAnsi="Times New Roman" w:cs="Times New Roman"/>
      <w:szCs w:val="24"/>
    </w:rPr>
  </w:style>
  <w:style w:type="paragraph" w:customStyle="1" w:styleId="82">
    <w:name w:val="8"/>
    <w:basedOn w:val="ac"/>
    <w:next w:val="afffff"/>
    <w:uiPriority w:val="34"/>
    <w:qFormat/>
    <w:rsid w:val="003D4B2A"/>
    <w:pPr>
      <w:spacing w:line="240" w:lineRule="auto"/>
      <w:ind w:firstLineChars="200" w:firstLine="420"/>
    </w:pPr>
    <w:rPr>
      <w:rFonts w:ascii="Calibri" w:hAnsi="Calibri" w:cs="Times New Roman"/>
      <w:sz w:val="21"/>
      <w:szCs w:val="22"/>
    </w:rPr>
  </w:style>
  <w:style w:type="character" w:customStyle="1" w:styleId="1Char1">
    <w:name w:val="标题 1 Char1"/>
    <w:aliases w:val="篇 Char1"/>
    <w:basedOn w:val="ad"/>
    <w:qFormat/>
    <w:rsid w:val="00823250"/>
    <w:rPr>
      <w:rFonts w:ascii="Times New Roman" w:eastAsia="宋体" w:hAnsi="Times New Roman" w:cs="Times New Roman"/>
      <w:b/>
      <w:bCs/>
      <w:kern w:val="44"/>
      <w:sz w:val="44"/>
      <w:szCs w:val="44"/>
    </w:rPr>
  </w:style>
  <w:style w:type="table" w:customStyle="1" w:styleId="47">
    <w:name w:val="网格型4"/>
    <w:basedOn w:val="ae"/>
    <w:next w:val="af6"/>
    <w:uiPriority w:val="59"/>
    <w:qFormat/>
    <w:rsid w:val="002A7F28"/>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无列表6"/>
    <w:next w:val="af"/>
    <w:uiPriority w:val="99"/>
    <w:semiHidden/>
    <w:unhideWhenUsed/>
    <w:rsid w:val="00F33893"/>
  </w:style>
  <w:style w:type="paragraph" w:customStyle="1" w:styleId="711">
    <w:name w:val="目录 71"/>
    <w:basedOn w:val="ac"/>
    <w:next w:val="ac"/>
    <w:uiPriority w:val="39"/>
    <w:unhideWhenUsed/>
    <w:qFormat/>
    <w:rsid w:val="00F33893"/>
    <w:pPr>
      <w:adjustRightInd w:val="0"/>
      <w:snapToGrid w:val="0"/>
      <w:ind w:left="1260"/>
      <w:jc w:val="left"/>
    </w:pPr>
    <w:rPr>
      <w:rFonts w:ascii="Calibri" w:hAnsi="Calibri" w:cs="Calibri"/>
      <w:sz w:val="18"/>
      <w:szCs w:val="18"/>
    </w:rPr>
  </w:style>
  <w:style w:type="paragraph" w:customStyle="1" w:styleId="1f7">
    <w:name w:val="正文首行缩进1"/>
    <w:basedOn w:val="afc"/>
    <w:link w:val="Charf1"/>
    <w:semiHidden/>
    <w:qFormat/>
    <w:rsid w:val="00F33893"/>
    <w:pPr>
      <w:adjustRightInd w:val="0"/>
      <w:snapToGrid w:val="0"/>
      <w:spacing w:line="240" w:lineRule="auto"/>
      <w:ind w:firstLine="420"/>
    </w:pPr>
    <w:rPr>
      <w:rFonts w:ascii="Times New Roman" w:hAnsi="Times New Roman" w:cs="Calibri"/>
      <w:sz w:val="28"/>
      <w:szCs w:val="20"/>
    </w:rPr>
  </w:style>
  <w:style w:type="paragraph" w:customStyle="1" w:styleId="510">
    <w:name w:val="目录 51"/>
    <w:basedOn w:val="ac"/>
    <w:next w:val="ac"/>
    <w:uiPriority w:val="39"/>
    <w:unhideWhenUsed/>
    <w:qFormat/>
    <w:rsid w:val="00F33893"/>
    <w:pPr>
      <w:adjustRightInd w:val="0"/>
      <w:snapToGrid w:val="0"/>
      <w:ind w:left="840"/>
      <w:jc w:val="left"/>
    </w:pPr>
    <w:rPr>
      <w:rFonts w:ascii="Calibri" w:hAnsi="Calibri" w:cs="Calibri"/>
      <w:sz w:val="18"/>
      <w:szCs w:val="18"/>
    </w:rPr>
  </w:style>
  <w:style w:type="paragraph" w:customStyle="1" w:styleId="313">
    <w:name w:val="目录 31"/>
    <w:basedOn w:val="ac"/>
    <w:next w:val="ac"/>
    <w:uiPriority w:val="39"/>
    <w:qFormat/>
    <w:rsid w:val="00F33893"/>
    <w:pPr>
      <w:adjustRightInd w:val="0"/>
      <w:snapToGrid w:val="0"/>
      <w:ind w:left="420"/>
      <w:jc w:val="left"/>
    </w:pPr>
    <w:rPr>
      <w:rFonts w:ascii="Calibri" w:hAnsi="Calibri" w:cs="Calibri"/>
      <w:i/>
      <w:iCs/>
      <w:sz w:val="20"/>
      <w:szCs w:val="20"/>
    </w:rPr>
  </w:style>
  <w:style w:type="paragraph" w:customStyle="1" w:styleId="810">
    <w:name w:val="目录 81"/>
    <w:basedOn w:val="ac"/>
    <w:next w:val="ac"/>
    <w:uiPriority w:val="39"/>
    <w:unhideWhenUsed/>
    <w:qFormat/>
    <w:rsid w:val="00F33893"/>
    <w:pPr>
      <w:adjustRightInd w:val="0"/>
      <w:snapToGrid w:val="0"/>
      <w:ind w:left="1470"/>
      <w:jc w:val="left"/>
    </w:pPr>
    <w:rPr>
      <w:rFonts w:ascii="Calibri" w:hAnsi="Calibri" w:cs="Calibri"/>
      <w:sz w:val="18"/>
      <w:szCs w:val="18"/>
    </w:rPr>
  </w:style>
  <w:style w:type="paragraph" w:customStyle="1" w:styleId="215">
    <w:name w:val="正文首行缩进 21"/>
    <w:basedOn w:val="aff5"/>
    <w:semiHidden/>
    <w:qFormat/>
    <w:rsid w:val="00F33893"/>
    <w:pPr>
      <w:widowControl/>
      <w:adjustRightInd w:val="0"/>
      <w:snapToGrid w:val="0"/>
      <w:spacing w:after="120"/>
      <w:ind w:leftChars="200" w:left="420" w:firstLineChars="200" w:firstLine="420"/>
      <w:jc w:val="left"/>
    </w:pPr>
    <w:rPr>
      <w:sz w:val="24"/>
      <w:lang w:val="x-none" w:eastAsia="x-none"/>
    </w:rPr>
  </w:style>
  <w:style w:type="paragraph" w:customStyle="1" w:styleId="115">
    <w:name w:val="目录 11"/>
    <w:basedOn w:val="ac"/>
    <w:next w:val="ac"/>
    <w:uiPriority w:val="39"/>
    <w:qFormat/>
    <w:rsid w:val="00F33893"/>
    <w:pPr>
      <w:tabs>
        <w:tab w:val="left" w:pos="630"/>
        <w:tab w:val="right" w:leader="dot" w:pos="8302"/>
      </w:tabs>
      <w:adjustRightInd w:val="0"/>
      <w:snapToGrid w:val="0"/>
      <w:spacing w:before="120" w:after="120"/>
      <w:jc w:val="left"/>
    </w:pPr>
    <w:rPr>
      <w:rFonts w:ascii="Calibri" w:hAnsi="Calibri" w:cs="Calibri"/>
      <w:b/>
      <w:bCs/>
      <w:caps/>
      <w:szCs w:val="24"/>
    </w:rPr>
  </w:style>
  <w:style w:type="paragraph" w:customStyle="1" w:styleId="412">
    <w:name w:val="目录 41"/>
    <w:basedOn w:val="ac"/>
    <w:next w:val="ac"/>
    <w:uiPriority w:val="39"/>
    <w:unhideWhenUsed/>
    <w:qFormat/>
    <w:rsid w:val="00F33893"/>
    <w:pPr>
      <w:adjustRightInd w:val="0"/>
      <w:snapToGrid w:val="0"/>
      <w:ind w:left="630"/>
      <w:jc w:val="left"/>
    </w:pPr>
    <w:rPr>
      <w:rFonts w:ascii="Calibri" w:hAnsi="Calibri" w:cs="Calibri"/>
      <w:sz w:val="18"/>
      <w:szCs w:val="18"/>
    </w:rPr>
  </w:style>
  <w:style w:type="paragraph" w:customStyle="1" w:styleId="610">
    <w:name w:val="目录 61"/>
    <w:basedOn w:val="ac"/>
    <w:next w:val="ac"/>
    <w:uiPriority w:val="39"/>
    <w:unhideWhenUsed/>
    <w:qFormat/>
    <w:rsid w:val="00F33893"/>
    <w:pPr>
      <w:adjustRightInd w:val="0"/>
      <w:snapToGrid w:val="0"/>
      <w:ind w:left="1050"/>
      <w:jc w:val="left"/>
    </w:pPr>
    <w:rPr>
      <w:rFonts w:ascii="Calibri" w:hAnsi="Calibri" w:cs="Calibri"/>
      <w:sz w:val="18"/>
      <w:szCs w:val="18"/>
    </w:rPr>
  </w:style>
  <w:style w:type="paragraph" w:customStyle="1" w:styleId="216">
    <w:name w:val="目录 21"/>
    <w:basedOn w:val="ac"/>
    <w:next w:val="ac"/>
    <w:uiPriority w:val="39"/>
    <w:qFormat/>
    <w:rsid w:val="00F33893"/>
    <w:pPr>
      <w:adjustRightInd w:val="0"/>
      <w:snapToGrid w:val="0"/>
      <w:ind w:left="210"/>
      <w:jc w:val="left"/>
    </w:pPr>
    <w:rPr>
      <w:rFonts w:ascii="Calibri" w:hAnsi="Calibri" w:cs="Calibri"/>
      <w:smallCaps/>
      <w:sz w:val="20"/>
      <w:szCs w:val="20"/>
    </w:rPr>
  </w:style>
  <w:style w:type="paragraph" w:customStyle="1" w:styleId="910">
    <w:name w:val="目录 91"/>
    <w:basedOn w:val="ac"/>
    <w:next w:val="ac"/>
    <w:uiPriority w:val="39"/>
    <w:unhideWhenUsed/>
    <w:qFormat/>
    <w:rsid w:val="00F33893"/>
    <w:pPr>
      <w:adjustRightInd w:val="0"/>
      <w:snapToGrid w:val="0"/>
      <w:ind w:left="1680"/>
      <w:jc w:val="left"/>
    </w:pPr>
    <w:rPr>
      <w:rFonts w:ascii="Calibri" w:hAnsi="Calibri" w:cs="Calibri"/>
      <w:sz w:val="18"/>
      <w:szCs w:val="18"/>
    </w:rPr>
  </w:style>
  <w:style w:type="numbering" w:customStyle="1" w:styleId="73">
    <w:name w:val="无列表7"/>
    <w:next w:val="af"/>
    <w:uiPriority w:val="99"/>
    <w:semiHidden/>
    <w:unhideWhenUsed/>
    <w:rsid w:val="00F112D7"/>
  </w:style>
  <w:style w:type="table" w:customStyle="1" w:styleId="54">
    <w:name w:val="网格型5"/>
    <w:basedOn w:val="ae"/>
    <w:next w:val="af6"/>
    <w:qFormat/>
    <w:rsid w:val="00F112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name w:val="二级无"/>
    <w:basedOn w:val="a7"/>
    <w:qFormat/>
    <w:rsid w:val="00F112D7"/>
    <w:pPr>
      <w:numPr>
        <w:ilvl w:val="2"/>
        <w:numId w:val="4"/>
      </w:numPr>
      <w:ind w:left="992"/>
    </w:pPr>
    <w:rPr>
      <w:rFonts w:ascii="宋体" w:eastAsia="宋体" w:cs="Times New Roman"/>
      <w:szCs w:val="21"/>
    </w:rPr>
  </w:style>
  <w:style w:type="character" w:customStyle="1" w:styleId="2Char4">
    <w:name w:val="正文缩进 2 字符 Char"/>
    <w:link w:val="2f6"/>
    <w:qFormat/>
    <w:rsid w:val="00F112D7"/>
    <w:rPr>
      <w:kern w:val="2"/>
      <w:sz w:val="21"/>
    </w:rPr>
  </w:style>
  <w:style w:type="paragraph" w:customStyle="1" w:styleId="2f6">
    <w:name w:val="正文缩进 2 字符"/>
    <w:basedOn w:val="ac"/>
    <w:link w:val="2Char4"/>
    <w:qFormat/>
    <w:rsid w:val="00F112D7"/>
    <w:pPr>
      <w:spacing w:after="120" w:line="480" w:lineRule="exact"/>
      <w:ind w:firstLineChars="200" w:firstLine="482"/>
    </w:pPr>
    <w:rPr>
      <w:rFonts w:ascii="Calibri" w:hAnsi="Calibri" w:cs="Calibri"/>
      <w:sz w:val="21"/>
      <w:szCs w:val="20"/>
    </w:rPr>
  </w:style>
  <w:style w:type="paragraph" w:customStyle="1" w:styleId="3f2">
    <w:name w:val="列出段落3"/>
    <w:basedOn w:val="ac"/>
    <w:uiPriority w:val="99"/>
    <w:unhideWhenUsed/>
    <w:qFormat/>
    <w:rsid w:val="00F112D7"/>
    <w:pPr>
      <w:ind w:firstLineChars="200" w:firstLine="420"/>
    </w:pPr>
    <w:rPr>
      <w:rFonts w:ascii="Times New Roman" w:eastAsia="黑体" w:hAnsi="Times New Roman" w:cs="Times New Roman"/>
      <w:sz w:val="21"/>
      <w:szCs w:val="24"/>
    </w:rPr>
  </w:style>
  <w:style w:type="numbering" w:customStyle="1" w:styleId="83">
    <w:name w:val="无列表8"/>
    <w:next w:val="af"/>
    <w:uiPriority w:val="99"/>
    <w:semiHidden/>
    <w:unhideWhenUsed/>
    <w:rsid w:val="00C22F74"/>
  </w:style>
  <w:style w:type="table" w:customStyle="1" w:styleId="63">
    <w:name w:val="网格型6"/>
    <w:basedOn w:val="ae"/>
    <w:next w:val="af6"/>
    <w:qFormat/>
    <w:rsid w:val="00C22F74"/>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1">
    <w:name w:val="Placeholder Text"/>
    <w:basedOn w:val="ad"/>
    <w:uiPriority w:val="99"/>
    <w:semiHidden/>
    <w:qFormat/>
    <w:rsid w:val="00A171BC"/>
    <w:rPr>
      <w:color w:val="808080"/>
    </w:rPr>
  </w:style>
  <w:style w:type="character" w:customStyle="1" w:styleId="1fd">
    <w:name w:val="未处理的提及1"/>
    <w:basedOn w:val="ad"/>
    <w:uiPriority w:val="99"/>
    <w:unhideWhenUsed/>
    <w:qFormat/>
    <w:rsid w:val="006D776B"/>
    <w:rPr>
      <w:color w:val="605E5C"/>
      <w:shd w:val="clear" w:color="auto" w:fill="E1DFDD"/>
    </w:rPr>
  </w:style>
  <w:style w:type="paragraph" w:customStyle="1" w:styleId="afffffff2">
    <w:name w:val="章"/>
    <w:basedOn w:val="ac"/>
    <w:qFormat/>
    <w:rsid w:val="00AB2F3A"/>
    <w:pPr>
      <w:spacing w:beforeLines="100" w:before="312" w:afterLines="100" w:after="312" w:line="300" w:lineRule="auto"/>
      <w:jc w:val="center"/>
      <w:outlineLvl w:val="0"/>
    </w:pPr>
    <w:rPr>
      <w:rFonts w:ascii="Times New Roman" w:hAnsi="Times New Roman" w:cs="Times New Roman"/>
      <w:b/>
      <w:bCs/>
      <w:sz w:val="28"/>
      <w:szCs w:val="28"/>
    </w:rPr>
  </w:style>
  <w:style w:type="table" w:customStyle="1" w:styleId="74">
    <w:name w:val="网格型7"/>
    <w:basedOn w:val="ae"/>
    <w:next w:val="af6"/>
    <w:uiPriority w:val="39"/>
    <w:qFormat/>
    <w:rsid w:val="0068070E"/>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6"/>
    <w:basedOn w:val="ac"/>
    <w:next w:val="ac"/>
    <w:unhideWhenUsed/>
    <w:rsid w:val="00D3119D"/>
    <w:pPr>
      <w:adjustRightInd w:val="0"/>
      <w:snapToGrid w:val="0"/>
      <w:ind w:left="1680"/>
      <w:jc w:val="left"/>
    </w:pPr>
    <w:rPr>
      <w:rFonts w:ascii="Times New Roman" w:hAnsi="Times New Roman" w:cs="Calibri"/>
      <w:szCs w:val="20"/>
    </w:rPr>
  </w:style>
  <w:style w:type="paragraph" w:customStyle="1" w:styleId="55">
    <w:name w:val="5"/>
    <w:basedOn w:val="ac"/>
    <w:next w:val="ac"/>
    <w:autoRedefine/>
    <w:rsid w:val="00D3119D"/>
    <w:pPr>
      <w:spacing w:line="240" w:lineRule="auto"/>
      <w:ind w:leftChars="1600" w:left="3360"/>
    </w:pPr>
    <w:rPr>
      <w:rFonts w:ascii="Times New Roman" w:hAnsi="Times New Roman" w:cs="Times New Roman"/>
      <w:szCs w:val="24"/>
    </w:rPr>
  </w:style>
  <w:style w:type="paragraph" w:customStyle="1" w:styleId="48">
    <w:name w:val="4"/>
    <w:basedOn w:val="ac"/>
    <w:next w:val="afffff"/>
    <w:uiPriority w:val="34"/>
    <w:qFormat/>
    <w:rsid w:val="00D3119D"/>
    <w:pPr>
      <w:spacing w:line="240" w:lineRule="auto"/>
      <w:ind w:firstLineChars="200" w:firstLine="420"/>
    </w:pPr>
    <w:rPr>
      <w:rFonts w:ascii="Calibri" w:hAnsi="Calibri" w:cs="Times New Roman"/>
      <w:sz w:val="21"/>
      <w:szCs w:val="22"/>
    </w:rPr>
  </w:style>
  <w:style w:type="paragraph" w:customStyle="1" w:styleId="3f3">
    <w:name w:val="修订3"/>
    <w:uiPriority w:val="99"/>
    <w:unhideWhenUsed/>
    <w:rsid w:val="00E62694"/>
    <w:rPr>
      <w:rFonts w:ascii="Times New Roman" w:hAnsi="Times New Roman" w:cs="Times New Roman"/>
      <w:kern w:val="2"/>
      <w:sz w:val="21"/>
      <w:szCs w:val="24"/>
    </w:rPr>
  </w:style>
  <w:style w:type="paragraph" w:customStyle="1" w:styleId="Style385">
    <w:name w:val="_Style 385"/>
    <w:basedOn w:val="ac"/>
    <w:next w:val="afffff"/>
    <w:uiPriority w:val="34"/>
    <w:qFormat/>
    <w:rsid w:val="00E62694"/>
    <w:pPr>
      <w:spacing w:line="240" w:lineRule="auto"/>
      <w:ind w:firstLineChars="200" w:firstLine="420"/>
    </w:pPr>
    <w:rPr>
      <w:rFonts w:ascii="Calibri" w:hAnsi="Calibri" w:cs="Times New Roman"/>
      <w:sz w:val="21"/>
      <w:szCs w:val="22"/>
    </w:rPr>
  </w:style>
  <w:style w:type="paragraph" w:customStyle="1" w:styleId="Style384">
    <w:name w:val="_Style 384"/>
    <w:basedOn w:val="ac"/>
    <w:next w:val="ac"/>
    <w:qFormat/>
    <w:rsid w:val="00E62694"/>
    <w:pPr>
      <w:spacing w:line="240" w:lineRule="auto"/>
      <w:ind w:leftChars="1600" w:left="3360"/>
    </w:pPr>
    <w:rPr>
      <w:rFonts w:ascii="Times New Roman" w:hAnsi="Times New Roman" w:cs="Times New Roman"/>
      <w:szCs w:val="24"/>
    </w:rPr>
  </w:style>
  <w:style w:type="paragraph" w:customStyle="1" w:styleId="Style292">
    <w:name w:val="_Style 292"/>
    <w:basedOn w:val="ac"/>
    <w:next w:val="ac"/>
    <w:unhideWhenUsed/>
    <w:qFormat/>
    <w:rsid w:val="00E62694"/>
    <w:pPr>
      <w:adjustRightInd w:val="0"/>
      <w:snapToGrid w:val="0"/>
      <w:ind w:left="1680"/>
      <w:jc w:val="left"/>
    </w:pPr>
    <w:rPr>
      <w:rFonts w:ascii="Times New Roman" w:hAnsi="Times New Roman" w:cs="Calibri"/>
      <w:szCs w:val="20"/>
    </w:rPr>
  </w:style>
  <w:style w:type="paragraph" w:customStyle="1" w:styleId="49">
    <w:name w:val="修订4"/>
    <w:uiPriority w:val="99"/>
    <w:unhideWhenUsed/>
    <w:qFormat/>
    <w:rsid w:val="00F8425A"/>
    <w:rPr>
      <w:rFonts w:ascii="Times New Roman" w:hAnsi="Times New Roman" w:cs="Times New Roman"/>
      <w:kern w:val="2"/>
      <w:sz w:val="21"/>
      <w:szCs w:val="24"/>
    </w:rPr>
  </w:style>
  <w:style w:type="character" w:customStyle="1" w:styleId="2f7">
    <w:name w:val="未处理的提及2"/>
    <w:basedOn w:val="ad"/>
    <w:uiPriority w:val="99"/>
    <w:semiHidden/>
    <w:unhideWhenUsed/>
    <w:rsid w:val="00D07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7755">
      <w:bodyDiv w:val="1"/>
      <w:marLeft w:val="0"/>
      <w:marRight w:val="0"/>
      <w:marTop w:val="0"/>
      <w:marBottom w:val="0"/>
      <w:divBdr>
        <w:top w:val="none" w:sz="0" w:space="0" w:color="auto"/>
        <w:left w:val="none" w:sz="0" w:space="0" w:color="auto"/>
        <w:bottom w:val="none" w:sz="0" w:space="0" w:color="auto"/>
        <w:right w:val="none" w:sz="0" w:space="0" w:color="auto"/>
      </w:divBdr>
    </w:div>
    <w:div w:id="333000113">
      <w:bodyDiv w:val="1"/>
      <w:marLeft w:val="0"/>
      <w:marRight w:val="0"/>
      <w:marTop w:val="0"/>
      <w:marBottom w:val="0"/>
      <w:divBdr>
        <w:top w:val="none" w:sz="0" w:space="0" w:color="auto"/>
        <w:left w:val="none" w:sz="0" w:space="0" w:color="auto"/>
        <w:bottom w:val="none" w:sz="0" w:space="0" w:color="auto"/>
        <w:right w:val="none" w:sz="0" w:space="0" w:color="auto"/>
      </w:divBdr>
    </w:div>
    <w:div w:id="336461829">
      <w:bodyDiv w:val="1"/>
      <w:marLeft w:val="0"/>
      <w:marRight w:val="0"/>
      <w:marTop w:val="0"/>
      <w:marBottom w:val="0"/>
      <w:divBdr>
        <w:top w:val="none" w:sz="0" w:space="0" w:color="auto"/>
        <w:left w:val="none" w:sz="0" w:space="0" w:color="auto"/>
        <w:bottom w:val="none" w:sz="0" w:space="0" w:color="auto"/>
        <w:right w:val="none" w:sz="0" w:space="0" w:color="auto"/>
      </w:divBdr>
      <w:divsChild>
        <w:div w:id="513763656">
          <w:marLeft w:val="0"/>
          <w:marRight w:val="0"/>
          <w:marTop w:val="0"/>
          <w:marBottom w:val="0"/>
          <w:divBdr>
            <w:top w:val="none" w:sz="0" w:space="0" w:color="auto"/>
            <w:left w:val="none" w:sz="0" w:space="0" w:color="auto"/>
            <w:bottom w:val="none" w:sz="0" w:space="0" w:color="auto"/>
            <w:right w:val="none" w:sz="0" w:space="0" w:color="auto"/>
          </w:divBdr>
          <w:divsChild>
            <w:div w:id="1214803853">
              <w:marLeft w:val="0"/>
              <w:marRight w:val="0"/>
              <w:marTop w:val="0"/>
              <w:marBottom w:val="0"/>
              <w:divBdr>
                <w:top w:val="none" w:sz="0" w:space="0" w:color="auto"/>
                <w:left w:val="none" w:sz="0" w:space="0" w:color="auto"/>
                <w:bottom w:val="none" w:sz="0" w:space="0" w:color="auto"/>
                <w:right w:val="none" w:sz="0" w:space="0" w:color="auto"/>
              </w:divBdr>
              <w:divsChild>
                <w:div w:id="10995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1132">
          <w:marLeft w:val="0"/>
          <w:marRight w:val="0"/>
          <w:marTop w:val="0"/>
          <w:marBottom w:val="0"/>
          <w:divBdr>
            <w:top w:val="none" w:sz="0" w:space="0" w:color="auto"/>
            <w:left w:val="none" w:sz="0" w:space="0" w:color="auto"/>
            <w:bottom w:val="none" w:sz="0" w:space="0" w:color="auto"/>
            <w:right w:val="none" w:sz="0" w:space="0" w:color="auto"/>
          </w:divBdr>
          <w:divsChild>
            <w:div w:id="382799856">
              <w:marLeft w:val="0"/>
              <w:marRight w:val="0"/>
              <w:marTop w:val="0"/>
              <w:marBottom w:val="0"/>
              <w:divBdr>
                <w:top w:val="none" w:sz="0" w:space="0" w:color="auto"/>
                <w:left w:val="none" w:sz="0" w:space="0" w:color="auto"/>
                <w:bottom w:val="none" w:sz="0" w:space="0" w:color="auto"/>
                <w:right w:val="none" w:sz="0" w:space="0" w:color="auto"/>
              </w:divBdr>
              <w:divsChild>
                <w:div w:id="952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9086">
          <w:marLeft w:val="0"/>
          <w:marRight w:val="0"/>
          <w:marTop w:val="0"/>
          <w:marBottom w:val="0"/>
          <w:divBdr>
            <w:top w:val="none" w:sz="0" w:space="0" w:color="auto"/>
            <w:left w:val="none" w:sz="0" w:space="0" w:color="auto"/>
            <w:bottom w:val="none" w:sz="0" w:space="0" w:color="auto"/>
            <w:right w:val="none" w:sz="0" w:space="0" w:color="auto"/>
          </w:divBdr>
          <w:divsChild>
            <w:div w:id="1883439950">
              <w:marLeft w:val="0"/>
              <w:marRight w:val="0"/>
              <w:marTop w:val="0"/>
              <w:marBottom w:val="0"/>
              <w:divBdr>
                <w:top w:val="none" w:sz="0" w:space="0" w:color="auto"/>
                <w:left w:val="none" w:sz="0" w:space="0" w:color="auto"/>
                <w:bottom w:val="none" w:sz="0" w:space="0" w:color="auto"/>
                <w:right w:val="none" w:sz="0" w:space="0" w:color="auto"/>
              </w:divBdr>
              <w:divsChild>
                <w:div w:id="10820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8469">
      <w:bodyDiv w:val="1"/>
      <w:marLeft w:val="0"/>
      <w:marRight w:val="0"/>
      <w:marTop w:val="0"/>
      <w:marBottom w:val="0"/>
      <w:divBdr>
        <w:top w:val="none" w:sz="0" w:space="0" w:color="auto"/>
        <w:left w:val="none" w:sz="0" w:space="0" w:color="auto"/>
        <w:bottom w:val="none" w:sz="0" w:space="0" w:color="auto"/>
        <w:right w:val="none" w:sz="0" w:space="0" w:color="auto"/>
      </w:divBdr>
    </w:div>
    <w:div w:id="712114582">
      <w:bodyDiv w:val="1"/>
      <w:marLeft w:val="0"/>
      <w:marRight w:val="0"/>
      <w:marTop w:val="0"/>
      <w:marBottom w:val="0"/>
      <w:divBdr>
        <w:top w:val="none" w:sz="0" w:space="0" w:color="auto"/>
        <w:left w:val="none" w:sz="0" w:space="0" w:color="auto"/>
        <w:bottom w:val="none" w:sz="0" w:space="0" w:color="auto"/>
        <w:right w:val="none" w:sz="0" w:space="0" w:color="auto"/>
      </w:divBdr>
    </w:div>
    <w:div w:id="1032222542">
      <w:bodyDiv w:val="1"/>
      <w:marLeft w:val="0"/>
      <w:marRight w:val="0"/>
      <w:marTop w:val="0"/>
      <w:marBottom w:val="0"/>
      <w:divBdr>
        <w:top w:val="none" w:sz="0" w:space="0" w:color="auto"/>
        <w:left w:val="none" w:sz="0" w:space="0" w:color="auto"/>
        <w:bottom w:val="none" w:sz="0" w:space="0" w:color="auto"/>
        <w:right w:val="none" w:sz="0" w:space="0" w:color="auto"/>
      </w:divBdr>
    </w:div>
    <w:div w:id="1103499231">
      <w:bodyDiv w:val="1"/>
      <w:marLeft w:val="0"/>
      <w:marRight w:val="0"/>
      <w:marTop w:val="0"/>
      <w:marBottom w:val="0"/>
      <w:divBdr>
        <w:top w:val="none" w:sz="0" w:space="0" w:color="auto"/>
        <w:left w:val="none" w:sz="0" w:space="0" w:color="auto"/>
        <w:bottom w:val="none" w:sz="0" w:space="0" w:color="auto"/>
        <w:right w:val="none" w:sz="0" w:space="0" w:color="auto"/>
      </w:divBdr>
      <w:divsChild>
        <w:div w:id="1010259388">
          <w:marLeft w:val="0"/>
          <w:marRight w:val="0"/>
          <w:marTop w:val="0"/>
          <w:marBottom w:val="0"/>
          <w:divBdr>
            <w:top w:val="none" w:sz="0" w:space="0" w:color="auto"/>
            <w:left w:val="none" w:sz="0" w:space="0" w:color="auto"/>
            <w:bottom w:val="none" w:sz="0" w:space="0" w:color="auto"/>
            <w:right w:val="none" w:sz="0" w:space="0" w:color="auto"/>
          </w:divBdr>
          <w:divsChild>
            <w:div w:id="1863476366">
              <w:marLeft w:val="0"/>
              <w:marRight w:val="0"/>
              <w:marTop w:val="0"/>
              <w:marBottom w:val="0"/>
              <w:divBdr>
                <w:top w:val="none" w:sz="0" w:space="0" w:color="auto"/>
                <w:left w:val="none" w:sz="0" w:space="0" w:color="auto"/>
                <w:bottom w:val="none" w:sz="0" w:space="0" w:color="auto"/>
                <w:right w:val="none" w:sz="0" w:space="0" w:color="auto"/>
              </w:divBdr>
              <w:divsChild>
                <w:div w:id="1779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0526">
          <w:marLeft w:val="0"/>
          <w:marRight w:val="0"/>
          <w:marTop w:val="0"/>
          <w:marBottom w:val="0"/>
          <w:divBdr>
            <w:top w:val="none" w:sz="0" w:space="0" w:color="auto"/>
            <w:left w:val="none" w:sz="0" w:space="0" w:color="auto"/>
            <w:bottom w:val="none" w:sz="0" w:space="0" w:color="auto"/>
            <w:right w:val="none" w:sz="0" w:space="0" w:color="auto"/>
          </w:divBdr>
          <w:divsChild>
            <w:div w:id="1772124428">
              <w:marLeft w:val="0"/>
              <w:marRight w:val="0"/>
              <w:marTop w:val="0"/>
              <w:marBottom w:val="0"/>
              <w:divBdr>
                <w:top w:val="none" w:sz="0" w:space="0" w:color="auto"/>
                <w:left w:val="none" w:sz="0" w:space="0" w:color="auto"/>
                <w:bottom w:val="none" w:sz="0" w:space="0" w:color="auto"/>
                <w:right w:val="none" w:sz="0" w:space="0" w:color="auto"/>
              </w:divBdr>
              <w:divsChild>
                <w:div w:id="4840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1331">
          <w:marLeft w:val="0"/>
          <w:marRight w:val="0"/>
          <w:marTop w:val="0"/>
          <w:marBottom w:val="0"/>
          <w:divBdr>
            <w:top w:val="none" w:sz="0" w:space="0" w:color="auto"/>
            <w:left w:val="none" w:sz="0" w:space="0" w:color="auto"/>
            <w:bottom w:val="none" w:sz="0" w:space="0" w:color="auto"/>
            <w:right w:val="none" w:sz="0" w:space="0" w:color="auto"/>
          </w:divBdr>
          <w:divsChild>
            <w:div w:id="1843467852">
              <w:marLeft w:val="0"/>
              <w:marRight w:val="0"/>
              <w:marTop w:val="0"/>
              <w:marBottom w:val="0"/>
              <w:divBdr>
                <w:top w:val="none" w:sz="0" w:space="0" w:color="auto"/>
                <w:left w:val="none" w:sz="0" w:space="0" w:color="auto"/>
                <w:bottom w:val="none" w:sz="0" w:space="0" w:color="auto"/>
                <w:right w:val="none" w:sz="0" w:space="0" w:color="auto"/>
              </w:divBdr>
              <w:divsChild>
                <w:div w:id="19790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21421">
      <w:bodyDiv w:val="1"/>
      <w:marLeft w:val="0"/>
      <w:marRight w:val="0"/>
      <w:marTop w:val="0"/>
      <w:marBottom w:val="0"/>
      <w:divBdr>
        <w:top w:val="none" w:sz="0" w:space="0" w:color="auto"/>
        <w:left w:val="none" w:sz="0" w:space="0" w:color="auto"/>
        <w:bottom w:val="none" w:sz="0" w:space="0" w:color="auto"/>
        <w:right w:val="none" w:sz="0" w:space="0" w:color="auto"/>
      </w:divBdr>
    </w:div>
    <w:div w:id="1912887683">
      <w:bodyDiv w:val="1"/>
      <w:marLeft w:val="0"/>
      <w:marRight w:val="0"/>
      <w:marTop w:val="0"/>
      <w:marBottom w:val="0"/>
      <w:divBdr>
        <w:top w:val="none" w:sz="0" w:space="0" w:color="auto"/>
        <w:left w:val="none" w:sz="0" w:space="0" w:color="auto"/>
        <w:bottom w:val="none" w:sz="0" w:space="0" w:color="auto"/>
        <w:right w:val="none" w:sz="0" w:space="0" w:color="auto"/>
      </w:divBdr>
    </w:div>
    <w:div w:id="1938712091">
      <w:bodyDiv w:val="1"/>
      <w:marLeft w:val="0"/>
      <w:marRight w:val="0"/>
      <w:marTop w:val="0"/>
      <w:marBottom w:val="0"/>
      <w:divBdr>
        <w:top w:val="none" w:sz="0" w:space="0" w:color="auto"/>
        <w:left w:val="none" w:sz="0" w:space="0" w:color="auto"/>
        <w:bottom w:val="none" w:sz="0" w:space="0" w:color="auto"/>
        <w:right w:val="none" w:sz="0" w:space="0" w:color="auto"/>
      </w:divBdr>
    </w:div>
    <w:div w:id="203661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76.jpeg"/><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7.wmf"/><Relationship Id="rId63" Type="http://schemas.openxmlformats.org/officeDocument/2006/relationships/image" Target="media/image24.wmf"/><Relationship Id="rId68" Type="http://schemas.openxmlformats.org/officeDocument/2006/relationships/image" Target="media/image29.wmf"/><Relationship Id="rId84" Type="http://schemas.openxmlformats.org/officeDocument/2006/relationships/image" Target="media/image45.wmf"/><Relationship Id="rId89" Type="http://schemas.openxmlformats.org/officeDocument/2006/relationships/image" Target="media/image50.wmf"/><Relationship Id="rId112" Type="http://schemas.openxmlformats.org/officeDocument/2006/relationships/image" Target="media/image73.jpeg"/><Relationship Id="rId133" Type="http://schemas.openxmlformats.org/officeDocument/2006/relationships/image" Target="media/image90.wmf"/><Relationship Id="rId138" Type="http://schemas.openxmlformats.org/officeDocument/2006/relationships/image" Target="media/image95.wmf"/><Relationship Id="rId16" Type="http://schemas.openxmlformats.org/officeDocument/2006/relationships/oleObject" Target="embeddings/oleObject1.bin"/><Relationship Id="rId107" Type="http://schemas.openxmlformats.org/officeDocument/2006/relationships/image" Target="media/image68.wmf"/><Relationship Id="rId11" Type="http://schemas.openxmlformats.org/officeDocument/2006/relationships/footer" Target="footer1.xml"/><Relationship Id="rId32" Type="http://schemas.openxmlformats.org/officeDocument/2006/relationships/oleObject" Target="embeddings/oleObject10.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image" Target="media/image40.wmf"/><Relationship Id="rId102" Type="http://schemas.openxmlformats.org/officeDocument/2006/relationships/image" Target="media/image63.wmf"/><Relationship Id="rId123" Type="http://schemas.openxmlformats.org/officeDocument/2006/relationships/image" Target="media/image80.wmf"/><Relationship Id="rId128" Type="http://schemas.openxmlformats.org/officeDocument/2006/relationships/image" Target="media/image85.wmf"/><Relationship Id="rId144" Type="http://schemas.openxmlformats.org/officeDocument/2006/relationships/footer" Target="footer11.xml"/><Relationship Id="rId5" Type="http://schemas.openxmlformats.org/officeDocument/2006/relationships/styles" Target="styles.xml"/><Relationship Id="rId90" Type="http://schemas.openxmlformats.org/officeDocument/2006/relationships/image" Target="media/image51.wmf"/><Relationship Id="rId95" Type="http://schemas.openxmlformats.org/officeDocument/2006/relationships/image" Target="media/image56.wmf"/><Relationship Id="rId22" Type="http://schemas.openxmlformats.org/officeDocument/2006/relationships/oleObject" Target="embeddings/oleObject3.bin"/><Relationship Id="rId27"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8.bin"/><Relationship Id="rId64" Type="http://schemas.openxmlformats.org/officeDocument/2006/relationships/image" Target="media/image25.wmf"/><Relationship Id="rId69" Type="http://schemas.openxmlformats.org/officeDocument/2006/relationships/image" Target="media/image30.wmf"/><Relationship Id="rId113" Type="http://schemas.openxmlformats.org/officeDocument/2006/relationships/footer" Target="footer5.xml"/><Relationship Id="rId118" Type="http://schemas.openxmlformats.org/officeDocument/2006/relationships/image" Target="media/image77.jpeg"/><Relationship Id="rId134" Type="http://schemas.openxmlformats.org/officeDocument/2006/relationships/image" Target="media/image91.wmf"/><Relationship Id="rId139" Type="http://schemas.openxmlformats.org/officeDocument/2006/relationships/image" Target="media/image96.jpeg"/><Relationship Id="rId80" Type="http://schemas.openxmlformats.org/officeDocument/2006/relationships/image" Target="media/image41.wmf"/><Relationship Id="rId85" Type="http://schemas.openxmlformats.org/officeDocument/2006/relationships/image" Target="media/image46.wmf"/><Relationship Id="rId3" Type="http://schemas.openxmlformats.org/officeDocument/2006/relationships/customXml" Target="../customXml/item2.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image" Target="media/image28.wmf"/><Relationship Id="rId103" Type="http://schemas.openxmlformats.org/officeDocument/2006/relationships/image" Target="media/image64.wmf"/><Relationship Id="rId108" Type="http://schemas.openxmlformats.org/officeDocument/2006/relationships/image" Target="media/image69.wmf"/><Relationship Id="rId116" Type="http://schemas.openxmlformats.org/officeDocument/2006/relationships/image" Target="media/image75.jpeg"/><Relationship Id="rId124" Type="http://schemas.openxmlformats.org/officeDocument/2006/relationships/image" Target="media/image81.wmf"/><Relationship Id="rId129" Type="http://schemas.openxmlformats.org/officeDocument/2006/relationships/image" Target="media/image86.wmf"/><Relationship Id="rId137" Type="http://schemas.openxmlformats.org/officeDocument/2006/relationships/image" Target="media/image94.wmf"/><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image" Target="media/image31.wmf"/><Relationship Id="rId75" Type="http://schemas.openxmlformats.org/officeDocument/2006/relationships/image" Target="media/image36.wmf"/><Relationship Id="rId83" Type="http://schemas.openxmlformats.org/officeDocument/2006/relationships/image" Target="media/image44.wmf"/><Relationship Id="rId88" Type="http://schemas.openxmlformats.org/officeDocument/2006/relationships/image" Target="media/image49.wmf"/><Relationship Id="rId91" Type="http://schemas.openxmlformats.org/officeDocument/2006/relationships/image" Target="media/image52.wmf"/><Relationship Id="rId96" Type="http://schemas.openxmlformats.org/officeDocument/2006/relationships/image" Target="media/image57.wmf"/><Relationship Id="rId111" Type="http://schemas.openxmlformats.org/officeDocument/2006/relationships/image" Target="media/image72.jpeg"/><Relationship Id="rId132" Type="http://schemas.openxmlformats.org/officeDocument/2006/relationships/image" Target="media/image89.wmf"/><Relationship Id="rId140" Type="http://schemas.openxmlformats.org/officeDocument/2006/relationships/header" Target="header1.xml"/><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image" Target="media/image18.wmf"/><Relationship Id="rId57" Type="http://schemas.openxmlformats.org/officeDocument/2006/relationships/oleObject" Target="embeddings/oleObject23.bin"/><Relationship Id="rId106" Type="http://schemas.openxmlformats.org/officeDocument/2006/relationships/image" Target="media/image67.wmf"/><Relationship Id="rId114" Type="http://schemas.openxmlformats.org/officeDocument/2006/relationships/footer" Target="footer6.xml"/><Relationship Id="rId119" Type="http://schemas.openxmlformats.org/officeDocument/2006/relationships/footer" Target="footer7.xml"/><Relationship Id="rId127" Type="http://schemas.openxmlformats.org/officeDocument/2006/relationships/image" Target="media/image84.wmf"/><Relationship Id="rId10" Type="http://schemas.openxmlformats.org/officeDocument/2006/relationships/image" Target="media/image1.emf"/><Relationship Id="rId31" Type="http://schemas.openxmlformats.org/officeDocument/2006/relationships/image" Target="media/image9.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2.emf"/><Relationship Id="rId65" Type="http://schemas.openxmlformats.org/officeDocument/2006/relationships/image" Target="media/image26.wmf"/><Relationship Id="rId73" Type="http://schemas.openxmlformats.org/officeDocument/2006/relationships/image" Target="media/image34.wmf"/><Relationship Id="rId78" Type="http://schemas.openxmlformats.org/officeDocument/2006/relationships/image" Target="media/image39.wmf"/><Relationship Id="rId81" Type="http://schemas.openxmlformats.org/officeDocument/2006/relationships/image" Target="media/image42.wmf"/><Relationship Id="rId86" Type="http://schemas.openxmlformats.org/officeDocument/2006/relationships/image" Target="media/image47.wmf"/><Relationship Id="rId94" Type="http://schemas.openxmlformats.org/officeDocument/2006/relationships/image" Target="media/image55.wmf"/><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image" Target="media/image79.wmf"/><Relationship Id="rId130" Type="http://schemas.openxmlformats.org/officeDocument/2006/relationships/image" Target="media/image87.wmf"/><Relationship Id="rId135" Type="http://schemas.openxmlformats.org/officeDocument/2006/relationships/image" Target="media/image92.wmf"/><Relationship Id="rId143"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image" Target="media/image13.wmf"/><Relationship Id="rId109" Type="http://schemas.openxmlformats.org/officeDocument/2006/relationships/image" Target="media/image7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1.wmf"/><Relationship Id="rId76" Type="http://schemas.openxmlformats.org/officeDocument/2006/relationships/image" Target="media/image37.wmf"/><Relationship Id="rId97" Type="http://schemas.openxmlformats.org/officeDocument/2006/relationships/image" Target="media/image58.wmf"/><Relationship Id="rId104" Type="http://schemas.openxmlformats.org/officeDocument/2006/relationships/image" Target="media/image65.wmf"/><Relationship Id="rId120" Type="http://schemas.openxmlformats.org/officeDocument/2006/relationships/footer" Target="footer8.xml"/><Relationship Id="rId125" Type="http://schemas.openxmlformats.org/officeDocument/2006/relationships/image" Target="media/image82.wmf"/><Relationship Id="rId141" Type="http://schemas.openxmlformats.org/officeDocument/2006/relationships/footer" Target="footer9.xm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2.wmf"/><Relationship Id="rId92" Type="http://schemas.openxmlformats.org/officeDocument/2006/relationships/image" Target="media/image53.wmf"/><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4.bin"/><Relationship Id="rId40" Type="http://schemas.openxmlformats.org/officeDocument/2006/relationships/oleObject" Target="embeddings/oleObject14.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image" Target="media/image48.wmf"/><Relationship Id="rId110" Type="http://schemas.openxmlformats.org/officeDocument/2006/relationships/image" Target="media/image71.wmf"/><Relationship Id="rId115" Type="http://schemas.openxmlformats.org/officeDocument/2006/relationships/image" Target="media/image74.jpeg"/><Relationship Id="rId131" Type="http://schemas.openxmlformats.org/officeDocument/2006/relationships/image" Target="media/image88.wmf"/><Relationship Id="rId136" Type="http://schemas.openxmlformats.org/officeDocument/2006/relationships/image" Target="media/image93.wmf"/><Relationship Id="rId61" Type="http://schemas.openxmlformats.org/officeDocument/2006/relationships/image" Target="media/image23.wmf"/><Relationship Id="rId82"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footer" Target="footer4.xml"/><Relationship Id="rId30" Type="http://schemas.openxmlformats.org/officeDocument/2006/relationships/oleObject" Target="embeddings/oleObject9.bin"/><Relationship Id="rId35" Type="http://schemas.openxmlformats.org/officeDocument/2006/relationships/image" Target="media/image11.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image" Target="media/image61.wmf"/><Relationship Id="rId105" Type="http://schemas.openxmlformats.org/officeDocument/2006/relationships/image" Target="media/image66.wmf"/><Relationship Id="rId126" Type="http://schemas.openxmlformats.org/officeDocument/2006/relationships/image" Target="media/image83.wmf"/><Relationship Id="rId8" Type="http://schemas.openxmlformats.org/officeDocument/2006/relationships/footnotes" Target="footnotes.xml"/><Relationship Id="rId51" Type="http://schemas.openxmlformats.org/officeDocument/2006/relationships/image" Target="media/image19.wmf"/><Relationship Id="rId72" Type="http://schemas.openxmlformats.org/officeDocument/2006/relationships/image" Target="media/image33.wmf"/><Relationship Id="rId93" Type="http://schemas.openxmlformats.org/officeDocument/2006/relationships/image" Target="media/image54.wmf"/><Relationship Id="rId98" Type="http://schemas.openxmlformats.org/officeDocument/2006/relationships/image" Target="media/image59.wmf"/><Relationship Id="rId121" Type="http://schemas.openxmlformats.org/officeDocument/2006/relationships/image" Target="media/image78.wmf"/><Relationship Id="rId142"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A60BA-2F3B-4483-9084-DB5CFA08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3389</TotalTime>
  <Pages>1</Pages>
  <Words>41445</Words>
  <Characters>236239</Characters>
  <Application>Microsoft Office Word</Application>
  <DocSecurity>0</DocSecurity>
  <Lines>1968</Lines>
  <Paragraphs>554</Paragraphs>
  <ScaleCrop>false</ScaleCrop>
  <Company/>
  <LinksUpToDate>false</LinksUpToDate>
  <CharactersWithSpaces>277130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T5810</cp:lastModifiedBy>
  <cp:revision>66</cp:revision>
  <cp:lastPrinted>2022-12-06T06:04:00Z</cp:lastPrinted>
  <dcterms:created xsi:type="dcterms:W3CDTF">2022-11-30T01:49:00Z</dcterms:created>
  <dcterms:modified xsi:type="dcterms:W3CDTF">2022-12-06T06:05:00Z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